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header28.xml" ContentType="application/vnd.openxmlformats-officedocument.wordprocessingml.header+xml"/>
  <Override PartName="/word/footer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E8D35" w14:textId="77777777" w:rsidR="006806CC" w:rsidRPr="00576AF8" w:rsidRDefault="006806CC" w:rsidP="006806CC">
      <w:pPr>
        <w:pStyle w:val="Heading1a"/>
        <w:keepNext w:val="0"/>
        <w:keepLines w:val="0"/>
        <w:tabs>
          <w:tab w:val="left" w:pos="708"/>
        </w:tabs>
        <w:suppressAutoHyphens w:val="0"/>
        <w:rPr>
          <w:bCs/>
          <w:sz w:val="22"/>
          <w:szCs w:val="22"/>
          <w:lang w:val="es-ES"/>
        </w:rPr>
      </w:pPr>
      <w:r w:rsidRPr="00576AF8">
        <w:rPr>
          <w:noProof/>
          <w:sz w:val="22"/>
          <w:lang w:val="es-EC" w:eastAsia="es-EC"/>
        </w:rPr>
        <mc:AlternateContent>
          <mc:Choice Requires="wpg">
            <w:drawing>
              <wp:anchor distT="0" distB="0" distL="114300" distR="114300" simplePos="0" relativeHeight="251663360" behindDoc="1" locked="0" layoutInCell="1" allowOverlap="1" wp14:anchorId="6D65593E" wp14:editId="641D8546">
                <wp:simplePos x="0" y="0"/>
                <wp:positionH relativeFrom="column">
                  <wp:posOffset>-457200</wp:posOffset>
                </wp:positionH>
                <wp:positionV relativeFrom="paragraph">
                  <wp:posOffset>0</wp:posOffset>
                </wp:positionV>
                <wp:extent cx="6948805" cy="6352428"/>
                <wp:effectExtent l="0" t="0" r="4445" b="10795"/>
                <wp:wrapTight wrapText="bothSides">
                  <wp:wrapPolygon edited="0">
                    <wp:start x="0" y="0"/>
                    <wp:lineTo x="0" y="15159"/>
                    <wp:lineTo x="8468" y="15547"/>
                    <wp:lineTo x="8468" y="21572"/>
                    <wp:lineTo x="8705" y="21572"/>
                    <wp:lineTo x="21555" y="20989"/>
                    <wp:lineTo x="21555" y="4859"/>
                    <wp:lineTo x="8705" y="4146"/>
                    <wp:lineTo x="8586" y="0"/>
                    <wp:lineTo x="0" y="0"/>
                  </wp:wrapPolygon>
                </wp:wrapTight>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805" cy="6352428"/>
                          <a:chOff x="95250" y="-465714"/>
                          <a:chExt cx="6948810" cy="3017779"/>
                        </a:xfrm>
                      </wpg:grpSpPr>
                      <wps:wsp>
                        <wps:cNvPr id="15" name="Text Box 2"/>
                        <wps:cNvSpPr txBox="1">
                          <a:spLocks noChangeArrowheads="1"/>
                        </wps:cNvSpPr>
                        <wps:spPr bwMode="auto">
                          <a:xfrm>
                            <a:off x="2886078" y="222526"/>
                            <a:ext cx="4157982" cy="2241537"/>
                          </a:xfrm>
                          <a:prstGeom prst="rect">
                            <a:avLst/>
                          </a:prstGeom>
                          <a:solidFill>
                            <a:srgbClr val="FFFFFF"/>
                          </a:solidFill>
                          <a:ln w="9525">
                            <a:noFill/>
                            <a:miter lim="800000"/>
                            <a:headEnd/>
                            <a:tailEnd/>
                          </a:ln>
                        </wps:spPr>
                        <wps:txbx>
                          <w:txbxContent>
                            <w:p w14:paraId="58128B40" w14:textId="77777777" w:rsidR="00A611D4" w:rsidRDefault="00A611D4" w:rsidP="006806CC">
                              <w:pPr>
                                <w:spacing w:after="0"/>
                                <w:rPr>
                                  <w:rFonts w:ascii="Calibri" w:hAnsi="Calibri"/>
                                  <w:sz w:val="40"/>
                                  <w:szCs w:val="40"/>
                                  <w:lang w:val="es-ES_tradnl"/>
                                </w:rPr>
                              </w:pPr>
                            </w:p>
                            <w:p w14:paraId="5A74F854" w14:textId="77777777" w:rsidR="00A611D4" w:rsidRDefault="00A611D4" w:rsidP="006806CC">
                              <w:pPr>
                                <w:spacing w:after="0"/>
                                <w:jc w:val="center"/>
                                <w:rPr>
                                  <w:rFonts w:ascii="Calibri" w:hAnsi="Calibri"/>
                                  <w:b/>
                                  <w:sz w:val="40"/>
                                  <w:szCs w:val="40"/>
                                  <w:lang w:val="es-ES_tradnl"/>
                                </w:rPr>
                              </w:pPr>
                              <w:r>
                                <w:rPr>
                                  <w:rFonts w:ascii="Calibri" w:hAnsi="Calibri"/>
                                  <w:b/>
                                  <w:sz w:val="40"/>
                                  <w:szCs w:val="40"/>
                                  <w:lang w:val="es-ES_tradnl"/>
                                </w:rPr>
                                <w:t>Licitación Pública Internacional</w:t>
                              </w:r>
                            </w:p>
                            <w:p w14:paraId="5467A5CD" w14:textId="77777777" w:rsidR="00A611D4" w:rsidRDefault="00A611D4" w:rsidP="006806CC">
                              <w:pPr>
                                <w:spacing w:after="0"/>
                                <w:rPr>
                                  <w:rFonts w:ascii="Calibri" w:hAnsi="Calibri"/>
                                  <w:b/>
                                  <w:sz w:val="40"/>
                                  <w:szCs w:val="40"/>
                                  <w:lang w:val="es-ES_tradnl"/>
                                </w:rPr>
                              </w:pPr>
                            </w:p>
                            <w:p w14:paraId="275089E8" w14:textId="77777777" w:rsidR="00A611D4" w:rsidRDefault="00A611D4" w:rsidP="006806CC">
                              <w:pPr>
                                <w:spacing w:after="0"/>
                                <w:jc w:val="center"/>
                                <w:rPr>
                                  <w:rFonts w:ascii="Calibri" w:hAnsi="Calibri"/>
                                  <w:b/>
                                  <w:sz w:val="40"/>
                                  <w:szCs w:val="40"/>
                                  <w:lang w:val="es-ES_tradnl"/>
                                </w:rPr>
                              </w:pPr>
                              <w:r w:rsidRPr="006134C9">
                                <w:rPr>
                                  <w:rFonts w:ascii="Calibri" w:hAnsi="Calibri"/>
                                  <w:b/>
                                  <w:sz w:val="40"/>
                                  <w:szCs w:val="40"/>
                                  <w:lang w:val="es-ES_tradnl"/>
                                </w:rPr>
                                <w:t xml:space="preserve">  </w:t>
                              </w:r>
                              <w:r>
                                <w:rPr>
                                  <w:rFonts w:ascii="Calibri" w:hAnsi="Calibri"/>
                                  <w:b/>
                                  <w:sz w:val="40"/>
                                  <w:szCs w:val="40"/>
                                  <w:lang w:val="es-ES_tradnl"/>
                                </w:rPr>
                                <w:t>No</w:t>
                              </w:r>
                              <w:r w:rsidRPr="006134C9">
                                <w:rPr>
                                  <w:rFonts w:ascii="Calibri" w:hAnsi="Calibri"/>
                                  <w:b/>
                                  <w:sz w:val="40"/>
                                  <w:szCs w:val="40"/>
                                  <w:lang w:val="es-ES_tradnl"/>
                                </w:rPr>
                                <w:t xml:space="preserve">. </w:t>
                              </w:r>
                              <w:bookmarkStart w:id="0" w:name="_Hlk163141197"/>
                              <w:r w:rsidRPr="006806CC">
                                <w:rPr>
                                  <w:rFonts w:ascii="Calibri" w:hAnsi="Calibri"/>
                                  <w:b/>
                                  <w:sz w:val="40"/>
                                  <w:szCs w:val="40"/>
                                  <w:lang w:val="es-ES_tradnl"/>
                                </w:rPr>
                                <w:t>EC-L1257-P00015</w:t>
                              </w:r>
                              <w:bookmarkEnd w:id="0"/>
                            </w:p>
                            <w:p w14:paraId="57C75A5A" w14:textId="77777777" w:rsidR="00A611D4" w:rsidRDefault="00A611D4" w:rsidP="006806CC">
                              <w:pPr>
                                <w:spacing w:after="0"/>
                                <w:rPr>
                                  <w:rFonts w:ascii="Calibri" w:hAnsi="Calibri"/>
                                  <w:b/>
                                  <w:sz w:val="40"/>
                                  <w:szCs w:val="40"/>
                                  <w:lang w:val="es-ES_tradnl"/>
                                </w:rPr>
                              </w:pPr>
                            </w:p>
                            <w:p w14:paraId="15E21D11" w14:textId="77777777" w:rsidR="00A611D4" w:rsidRDefault="00A611D4" w:rsidP="006806CC">
                              <w:pPr>
                                <w:spacing w:after="0"/>
                                <w:jc w:val="center"/>
                                <w:rPr>
                                  <w:rFonts w:ascii="Calibri" w:hAnsi="Calibri"/>
                                  <w:b/>
                                  <w:sz w:val="40"/>
                                  <w:szCs w:val="40"/>
                                  <w:lang w:val="es-ES_tradnl"/>
                                </w:rPr>
                              </w:pPr>
                            </w:p>
                            <w:p w14:paraId="1E81DE02" w14:textId="77777777" w:rsidR="00A611D4" w:rsidRPr="006A2000" w:rsidRDefault="00A611D4" w:rsidP="006806CC">
                              <w:pPr>
                                <w:spacing w:after="0"/>
                                <w:rPr>
                                  <w:rFonts w:ascii="Arial" w:hAnsi="Arial" w:cs="Arial"/>
                                  <w:b/>
                                  <w:i/>
                                  <w:sz w:val="40"/>
                                  <w:szCs w:val="40"/>
                                  <w:lang w:val="es-EC"/>
                                </w:rPr>
                              </w:pPr>
                            </w:p>
                            <w:p w14:paraId="772EBB7B" w14:textId="77777777" w:rsidR="00A611D4" w:rsidRDefault="00A611D4" w:rsidP="006806CC">
                              <w:pPr>
                                <w:spacing w:after="0"/>
                                <w:jc w:val="center"/>
                                <w:rPr>
                                  <w:rFonts w:ascii="Calibri" w:hAnsi="Calibri"/>
                                  <w:i/>
                                  <w:sz w:val="40"/>
                                  <w:szCs w:val="40"/>
                                  <w:lang w:val="es-ES_tradnl"/>
                                </w:rPr>
                              </w:pPr>
                              <w:r w:rsidRPr="006806CC">
                                <w:rPr>
                                  <w:rFonts w:ascii="Calibri" w:hAnsi="Calibri"/>
                                  <w:b/>
                                  <w:sz w:val="40"/>
                                  <w:szCs w:val="40"/>
                                  <w:lang w:val="es-ES_tradnl"/>
                                </w:rPr>
                                <w:t>NUEVO CENTRO DE CONTROL DEL OPERADOR NACIONAL DE ELECTRICIDAD</w:t>
                              </w:r>
                            </w:p>
                            <w:p w14:paraId="56DB45D5" w14:textId="77777777" w:rsidR="00A611D4" w:rsidRDefault="00A611D4" w:rsidP="006806CC">
                              <w:pPr>
                                <w:spacing w:after="0"/>
                                <w:jc w:val="center"/>
                                <w:rPr>
                                  <w:rFonts w:ascii="Calibri" w:hAnsi="Calibri"/>
                                  <w:i/>
                                  <w:sz w:val="40"/>
                                  <w:szCs w:val="40"/>
                                  <w:lang w:val="es-ES_tradnl"/>
                                </w:rPr>
                              </w:pPr>
                            </w:p>
                            <w:p w14:paraId="3512E8CD" w14:textId="083473C3" w:rsidR="00A611D4" w:rsidRPr="00A611D4" w:rsidRDefault="00A611D4" w:rsidP="006806CC">
                              <w:pPr>
                                <w:spacing w:after="0"/>
                                <w:jc w:val="center"/>
                                <w:rPr>
                                  <w:rFonts w:ascii="Calibri" w:hAnsi="Calibri"/>
                                  <w:sz w:val="40"/>
                                  <w:szCs w:val="40"/>
                                  <w:lang w:val="es-ES_tradnl"/>
                                </w:rPr>
                              </w:pPr>
                              <w:r w:rsidRPr="00A611D4">
                                <w:rPr>
                                  <w:rFonts w:ascii="Calibri" w:hAnsi="Calibri"/>
                                  <w:sz w:val="40"/>
                                  <w:szCs w:val="40"/>
                                  <w:lang w:val="es-ES_tradnl"/>
                                </w:rPr>
                                <w:t>Quito, diciembre de 2024</w:t>
                              </w:r>
                            </w:p>
                          </w:txbxContent>
                        </wps:txbx>
                        <wps:bodyPr rot="0" vert="horz" wrap="square" lIns="91440" tIns="45720" rIns="91440" bIns="45720" anchor="t" anchorCtr="0">
                          <a:noAutofit/>
                        </wps:bodyPr>
                      </wps:wsp>
                      <wpg:grpSp>
                        <wpg:cNvPr id="16" name="Group 12"/>
                        <wpg:cNvGrpSpPr/>
                        <wpg:grpSpPr>
                          <a:xfrm>
                            <a:off x="95250" y="-465714"/>
                            <a:ext cx="2767219" cy="3017779"/>
                            <a:chOff x="95250" y="-465714"/>
                            <a:chExt cx="2767219" cy="3017779"/>
                          </a:xfrm>
                        </wpg:grpSpPr>
                        <wps:wsp>
                          <wps:cNvPr id="17" name="Straight Connector 13"/>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s:wsp>
                          <wps:cNvPr id="18" name="Text Box 14"/>
                          <wps:cNvSpPr txBox="1"/>
                          <wps:spPr>
                            <a:xfrm>
                              <a:off x="95250" y="-465714"/>
                              <a:ext cx="2743201" cy="2119173"/>
                            </a:xfrm>
                            <a:prstGeom prst="rect">
                              <a:avLst/>
                            </a:prstGeom>
                            <a:solidFill>
                              <a:sysClr val="window" lastClr="FFFFFF"/>
                            </a:solidFill>
                            <a:ln w="6350">
                              <a:noFill/>
                            </a:ln>
                            <a:effectLst/>
                          </wps:spPr>
                          <wps:txbx>
                            <w:txbxContent>
                              <w:p w14:paraId="29C4ABBB" w14:textId="77777777" w:rsidR="00A611D4" w:rsidRDefault="00A611D4" w:rsidP="006806CC">
                                <w:pPr>
                                  <w:spacing w:after="0"/>
                                  <w:jc w:val="center"/>
                                  <w:rPr>
                                    <w:rFonts w:ascii="Calibri" w:hAnsi="Calibri"/>
                                    <w:i/>
                                    <w:sz w:val="40"/>
                                    <w:szCs w:val="40"/>
                                    <w:lang w:val="es-ES_tradnl"/>
                                  </w:rPr>
                                </w:pPr>
                              </w:p>
                              <w:p w14:paraId="78FCDCFA" w14:textId="77777777" w:rsidR="00A611D4" w:rsidRDefault="00A611D4" w:rsidP="006806CC">
                                <w:pPr>
                                  <w:spacing w:after="0"/>
                                  <w:jc w:val="center"/>
                                  <w:rPr>
                                    <w:rFonts w:ascii="Calibri" w:hAnsi="Calibri"/>
                                    <w:i/>
                                    <w:sz w:val="40"/>
                                    <w:szCs w:val="40"/>
                                    <w:lang w:val="es-ES_tradnl"/>
                                  </w:rPr>
                                </w:pPr>
                              </w:p>
                              <w:p w14:paraId="17B65DEE" w14:textId="77777777" w:rsidR="00A611D4" w:rsidRPr="00A611D4" w:rsidRDefault="00A611D4" w:rsidP="006806CC">
                                <w:pPr>
                                  <w:spacing w:after="0"/>
                                  <w:jc w:val="center"/>
                                  <w:rPr>
                                    <w:rFonts w:ascii="Calibri" w:hAnsi="Calibri"/>
                                    <w:b/>
                                    <w:sz w:val="40"/>
                                    <w:szCs w:val="40"/>
                                    <w:lang w:val="es-ES_tradnl"/>
                                  </w:rPr>
                                </w:pPr>
                                <w:r w:rsidRPr="00A611D4">
                                  <w:rPr>
                                    <w:rFonts w:ascii="Calibri" w:hAnsi="Calibri"/>
                                    <w:b/>
                                    <w:sz w:val="40"/>
                                    <w:szCs w:val="40"/>
                                    <w:lang w:val="es-ES_tradnl"/>
                                  </w:rPr>
                                  <w:t>Programa de Gestión Sostenible del Sector Estratégico de Energía y Recursos Naturales No Renovables e Infraestructura Asociada</w:t>
                                </w:r>
                              </w:p>
                              <w:p w14:paraId="4A3E37B8" w14:textId="77777777" w:rsidR="00A611D4" w:rsidRPr="00A611D4" w:rsidRDefault="00A611D4" w:rsidP="006806CC">
                                <w:pPr>
                                  <w:spacing w:after="0"/>
                                  <w:jc w:val="center"/>
                                  <w:rPr>
                                    <w:rFonts w:ascii="Calibri" w:hAnsi="Calibri"/>
                                    <w:sz w:val="40"/>
                                    <w:szCs w:val="40"/>
                                    <w:lang w:val="es-ES_tradnl"/>
                                  </w:rPr>
                                </w:pPr>
                              </w:p>
                              <w:p w14:paraId="4FEC79E4" w14:textId="77777777" w:rsidR="00A611D4" w:rsidRPr="00A611D4" w:rsidRDefault="00A611D4" w:rsidP="006806CC">
                                <w:pPr>
                                  <w:spacing w:after="0"/>
                                  <w:jc w:val="center"/>
                                  <w:rPr>
                                    <w:rFonts w:ascii="Calibri" w:hAnsi="Calibri"/>
                                    <w:sz w:val="40"/>
                                    <w:szCs w:val="40"/>
                                    <w:lang w:val="es-ES_tradnl"/>
                                  </w:rPr>
                                </w:pPr>
                                <w:r w:rsidRPr="00A611D4">
                                  <w:rPr>
                                    <w:rFonts w:ascii="Calibri" w:hAnsi="Calibri"/>
                                    <w:sz w:val="40"/>
                                    <w:szCs w:val="40"/>
                                    <w:lang w:val="es-ES_tradnl"/>
                                  </w:rPr>
                                  <w:t>Ministerio de Energía y Minas</w:t>
                                </w:r>
                              </w:p>
                              <w:p w14:paraId="3E0CF6D2" w14:textId="77777777" w:rsidR="00A611D4" w:rsidRPr="00A611D4" w:rsidRDefault="00A611D4" w:rsidP="006806CC">
                                <w:pPr>
                                  <w:spacing w:after="0"/>
                                  <w:jc w:val="center"/>
                                  <w:rPr>
                                    <w:rFonts w:ascii="Calibri" w:hAnsi="Calibri"/>
                                    <w:sz w:val="40"/>
                                    <w:szCs w:val="40"/>
                                    <w:lang w:val="es-ES_tradnl"/>
                                  </w:rPr>
                                </w:pPr>
                              </w:p>
                              <w:p w14:paraId="1265ABB6" w14:textId="77777777" w:rsidR="00A611D4" w:rsidRPr="00A611D4" w:rsidRDefault="00A611D4" w:rsidP="006806CC">
                                <w:pPr>
                                  <w:spacing w:after="0"/>
                                  <w:jc w:val="center"/>
                                  <w:rPr>
                                    <w:rFonts w:ascii="Calibri" w:hAnsi="Calibri"/>
                                    <w:sz w:val="40"/>
                                    <w:lang w:val="es-CO"/>
                                  </w:rPr>
                                </w:pPr>
                                <w:r w:rsidRPr="00A611D4">
                                  <w:rPr>
                                    <w:rFonts w:ascii="Calibri" w:hAnsi="Calibri"/>
                                    <w:sz w:val="40"/>
                                    <w:szCs w:val="40"/>
                                    <w:lang w:val="es-ES_tradnl"/>
                                  </w:rPr>
                                  <w:t xml:space="preserve">Ecuador </w:t>
                                </w:r>
                              </w:p>
                              <w:p w14:paraId="61791B4A" w14:textId="77777777" w:rsidR="00A611D4" w:rsidRPr="002F5033" w:rsidRDefault="00A611D4" w:rsidP="006806CC">
                                <w:pPr>
                                  <w:jc w:val="center"/>
                                  <w:rPr>
                                    <w:rFonts w:ascii="Calibri" w:hAnsi="Calibri"/>
                                    <w:i/>
                                    <w:sz w:val="40"/>
                                    <w:szCs w:val="4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6D65593E" id="Grupo 14" o:spid="_x0000_s1026" style="position:absolute;left:0;text-align:left;margin-left:-36pt;margin-top:0;width:547.15pt;height:500.2pt;z-index:-251653120;mso-height-relative:margin" coordorigin="952,-4657" coordsize="69488,3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YtQQQAAI8LAAAOAAAAZHJzL2Uyb0RvYy54bWzEVttu4zYUfC/QfyD0vrHF6GILcRapswkK&#10;pNsASbHPNHVFJVIl6cjp13dISrbjINnFbov6wSBF6uicOTNDXnzcdS15KpRupFgF4dk8IIXgMm9E&#10;tQr+eLz5sAiINkzkrJWiWAXPhQ4+Xv7808XQZwWVtWzzQhEEETob+lVQG9Nns5nmddExfSb7QmCx&#10;lKpjBlNVzXLFBkTv2hmdz5PZIFXeK8kLrfH02i8Gly5+WRbc/F6WujCkXQXIzbh/5f439n92ecGy&#10;SrG+bviYBvuOLDrWCHx0H+qaGUa2qnkVqmu4klqW5ozLbibLsuGFqwHVhPOTam6V3Pauliobqn4P&#10;E6A9wem7w/LPT/eKNDl6FwVEsA49ulXbXhLMAc7QVxn23Kr+ob9XvkIM7yT/U2N5drpu59Vh865U&#10;nX0JhZKdQ/15j3qxM4TjYbKMFot5HBCOteQ8phFd+L7wGs2z7y1jGqN7WP8QJXHqU2MZrz8dxwix&#10;xcY4n4dpmi5tjBnLfAou0X1iQw+26QOg+scAfahZX7g+aQvWBChK8oA+2lJ/kTtCPaRul8WTmB0e&#10;A3vHHe1hJUKuayaq4kopOdQFy5Fe6KqxeeMDvhV2om2QzfCbzNE3tjXSBTpBnS4WyTyFEIENpTSm&#10;iYd3akAUxulyQT14lGJ6nr4Aj2W90ua2kB2xg1WgoCv3JfZ0p43Hedpi261l2+Q3Tdu6iao261aR&#10;JwYN3rjfGP3FtlaQwXfaRRbSvo/QLOsaA49om24VLOb259O3yHwSudtiWNP6MTreCkdMj46lsM7M&#10;brPDRjvcyPwZoCnpvQDehUEt1d8BGeADq0D/tWWqCEj7qwDwyzCKrHG4SRSnFBN1vLI5XmGCI9Qq&#10;MAHxw7VxZmPLEPIKDSobh9chkzFX0NGrzZF0L7yJS8nEJecJJByZdCxOV9976ntDRRMNaJqkNFy+&#10;0pDV2bfq8K0Y/6sO0wm7B6NYU9WGrKUQoLBUJDy3ZLLdgK7W4l6NMyss27RXUkpolAAjSGmk4QTf&#10;aD40juk8iUeGT69P4hj10zbC+gXL3tDPEfm9LGgcgfaEW36WLQO9eNfDtLWowLS2wtnLjXIhX4hK&#10;P+u99HBq5nKwXgRuM22wgCK8oGwu7baDj3iZxgeZ4bHtvlPv/jH66UM7i33xSVvqNdO1fwO77GSE&#10;wyqTZYU7l0fjsNB7sA+SQA/g186ifW/+e6+GO5549XT+7R33YNbvc+SrMovOcdaPbhuGyzB1HNxL&#10;5Afd9lXHj7r9NffF6Tt/6b6jnb7bNGuu/goxaenEY3XPbxrQ4g6su2cKFyxw+d81XrHt1hLnC3DF&#10;19zQGrVpp2GpZPcFd8Ura/dYesupCe6avLi6cptwR+uZuRMPPZ8OaUvvx90XpvpRywaC+iynK8Ar&#10;Sfu9lvbf4P+HW4pTgLv1OYWNN1R7rTyeu12He/TlPwAAAP//AwBQSwMEFAAGAAgAAAAhAKnO/zng&#10;AAAACgEAAA8AAABkcnMvZG93bnJldi54bWxMj81qwzAQhO+FvoPYQm+JZKc/wbUcQmh7CoUkhZLb&#10;xt7YJtbKWIrtvH3lU3tZdplh9pt0NZpG9NS52rKGaK5AEOe2qLnU8H34mC1BOI9cYGOZNNzIwSq7&#10;v0sxKezAO+r3vhQhhF2CGirv20RKl1dk0M1tSxy0s+0M+nB2pSw6HEK4aWSs1Is0WHP4UGFLm4ry&#10;y/5qNHwOOKwX0Xu/vZw3t+Ph+etnG5HWjw/j+g2Ep9H/mWHCD+iQBaaTvXLhRKNh9hqHLl5DmJOs&#10;4ngB4jRtSj2BzFL5v0L2CwAA//8DAFBLAQItABQABgAIAAAAIQC2gziS/gAAAOEBAAATAAAAAAAA&#10;AAAAAAAAAAAAAABbQ29udGVudF9UeXBlc10ueG1sUEsBAi0AFAAGAAgAAAAhADj9If/WAAAAlAEA&#10;AAsAAAAAAAAAAAAAAAAALwEAAF9yZWxzLy5yZWxzUEsBAi0AFAAGAAgAAAAhAEeHpi1BBAAAjwsA&#10;AA4AAAAAAAAAAAAAAAAALgIAAGRycy9lMm9Eb2MueG1sUEsBAi0AFAAGAAgAAAAhAKnO/zngAAAA&#10;CgEAAA8AAAAAAAAAAAAAAAAAmwYAAGRycy9kb3ducmV2LnhtbFBLBQYAAAAABAAEAPMAAACoBwAA&#10;AAA=&#10;">
                <v:shapetype id="_x0000_t202" coordsize="21600,21600" o:spt="202" path="m,l,21600r21600,l21600,xe">
                  <v:stroke joinstyle="miter"/>
                  <v:path gradientshapeok="t" o:connecttype="rect"/>
                </v:shapetype>
                <v:shape id="Text Box 2" o:spid="_x0000_s1027" type="#_x0000_t202" style="position:absolute;left:28860;top:2225;width:41580;height:2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8128B40" w14:textId="77777777" w:rsidR="00A611D4" w:rsidRDefault="00A611D4" w:rsidP="006806CC">
                        <w:pPr>
                          <w:spacing w:after="0"/>
                          <w:rPr>
                            <w:rFonts w:ascii="Calibri" w:hAnsi="Calibri"/>
                            <w:sz w:val="40"/>
                            <w:szCs w:val="40"/>
                            <w:lang w:val="es-ES_tradnl"/>
                          </w:rPr>
                        </w:pPr>
                      </w:p>
                      <w:p w14:paraId="5A74F854" w14:textId="77777777" w:rsidR="00A611D4" w:rsidRDefault="00A611D4" w:rsidP="006806CC">
                        <w:pPr>
                          <w:spacing w:after="0"/>
                          <w:jc w:val="center"/>
                          <w:rPr>
                            <w:rFonts w:ascii="Calibri" w:hAnsi="Calibri"/>
                            <w:b/>
                            <w:sz w:val="40"/>
                            <w:szCs w:val="40"/>
                            <w:lang w:val="es-ES_tradnl"/>
                          </w:rPr>
                        </w:pPr>
                        <w:r>
                          <w:rPr>
                            <w:rFonts w:ascii="Calibri" w:hAnsi="Calibri"/>
                            <w:b/>
                            <w:sz w:val="40"/>
                            <w:szCs w:val="40"/>
                            <w:lang w:val="es-ES_tradnl"/>
                          </w:rPr>
                          <w:t>Licitación Pública Internacional</w:t>
                        </w:r>
                      </w:p>
                      <w:p w14:paraId="5467A5CD" w14:textId="77777777" w:rsidR="00A611D4" w:rsidRDefault="00A611D4" w:rsidP="006806CC">
                        <w:pPr>
                          <w:spacing w:after="0"/>
                          <w:rPr>
                            <w:rFonts w:ascii="Calibri" w:hAnsi="Calibri"/>
                            <w:b/>
                            <w:sz w:val="40"/>
                            <w:szCs w:val="40"/>
                            <w:lang w:val="es-ES_tradnl"/>
                          </w:rPr>
                        </w:pPr>
                      </w:p>
                      <w:p w14:paraId="275089E8" w14:textId="77777777" w:rsidR="00A611D4" w:rsidRDefault="00A611D4" w:rsidP="006806CC">
                        <w:pPr>
                          <w:spacing w:after="0"/>
                          <w:jc w:val="center"/>
                          <w:rPr>
                            <w:rFonts w:ascii="Calibri" w:hAnsi="Calibri"/>
                            <w:b/>
                            <w:sz w:val="40"/>
                            <w:szCs w:val="40"/>
                            <w:lang w:val="es-ES_tradnl"/>
                          </w:rPr>
                        </w:pPr>
                        <w:r w:rsidRPr="006134C9">
                          <w:rPr>
                            <w:rFonts w:ascii="Calibri" w:hAnsi="Calibri"/>
                            <w:b/>
                            <w:sz w:val="40"/>
                            <w:szCs w:val="40"/>
                            <w:lang w:val="es-ES_tradnl"/>
                          </w:rPr>
                          <w:t xml:space="preserve">  </w:t>
                        </w:r>
                        <w:r>
                          <w:rPr>
                            <w:rFonts w:ascii="Calibri" w:hAnsi="Calibri"/>
                            <w:b/>
                            <w:sz w:val="40"/>
                            <w:szCs w:val="40"/>
                            <w:lang w:val="es-ES_tradnl"/>
                          </w:rPr>
                          <w:t>No</w:t>
                        </w:r>
                        <w:r w:rsidRPr="006134C9">
                          <w:rPr>
                            <w:rFonts w:ascii="Calibri" w:hAnsi="Calibri"/>
                            <w:b/>
                            <w:sz w:val="40"/>
                            <w:szCs w:val="40"/>
                            <w:lang w:val="es-ES_tradnl"/>
                          </w:rPr>
                          <w:t xml:space="preserve">. </w:t>
                        </w:r>
                        <w:bookmarkStart w:id="1" w:name="_Hlk163141197"/>
                        <w:r w:rsidRPr="006806CC">
                          <w:rPr>
                            <w:rFonts w:ascii="Calibri" w:hAnsi="Calibri"/>
                            <w:b/>
                            <w:sz w:val="40"/>
                            <w:szCs w:val="40"/>
                            <w:lang w:val="es-ES_tradnl"/>
                          </w:rPr>
                          <w:t>EC-L1257-P00015</w:t>
                        </w:r>
                        <w:bookmarkEnd w:id="1"/>
                      </w:p>
                      <w:p w14:paraId="57C75A5A" w14:textId="77777777" w:rsidR="00A611D4" w:rsidRDefault="00A611D4" w:rsidP="006806CC">
                        <w:pPr>
                          <w:spacing w:after="0"/>
                          <w:rPr>
                            <w:rFonts w:ascii="Calibri" w:hAnsi="Calibri"/>
                            <w:b/>
                            <w:sz w:val="40"/>
                            <w:szCs w:val="40"/>
                            <w:lang w:val="es-ES_tradnl"/>
                          </w:rPr>
                        </w:pPr>
                      </w:p>
                      <w:p w14:paraId="15E21D11" w14:textId="77777777" w:rsidR="00A611D4" w:rsidRDefault="00A611D4" w:rsidP="006806CC">
                        <w:pPr>
                          <w:spacing w:after="0"/>
                          <w:jc w:val="center"/>
                          <w:rPr>
                            <w:rFonts w:ascii="Calibri" w:hAnsi="Calibri"/>
                            <w:b/>
                            <w:sz w:val="40"/>
                            <w:szCs w:val="40"/>
                            <w:lang w:val="es-ES_tradnl"/>
                          </w:rPr>
                        </w:pPr>
                      </w:p>
                      <w:p w14:paraId="1E81DE02" w14:textId="77777777" w:rsidR="00A611D4" w:rsidRPr="006A2000" w:rsidRDefault="00A611D4" w:rsidP="006806CC">
                        <w:pPr>
                          <w:spacing w:after="0"/>
                          <w:rPr>
                            <w:rFonts w:ascii="Arial" w:hAnsi="Arial" w:cs="Arial"/>
                            <w:b/>
                            <w:i/>
                            <w:sz w:val="40"/>
                            <w:szCs w:val="40"/>
                            <w:lang w:val="es-EC"/>
                          </w:rPr>
                        </w:pPr>
                      </w:p>
                      <w:p w14:paraId="772EBB7B" w14:textId="77777777" w:rsidR="00A611D4" w:rsidRDefault="00A611D4" w:rsidP="006806CC">
                        <w:pPr>
                          <w:spacing w:after="0"/>
                          <w:jc w:val="center"/>
                          <w:rPr>
                            <w:rFonts w:ascii="Calibri" w:hAnsi="Calibri"/>
                            <w:i/>
                            <w:sz w:val="40"/>
                            <w:szCs w:val="40"/>
                            <w:lang w:val="es-ES_tradnl"/>
                          </w:rPr>
                        </w:pPr>
                        <w:r w:rsidRPr="006806CC">
                          <w:rPr>
                            <w:rFonts w:ascii="Calibri" w:hAnsi="Calibri"/>
                            <w:b/>
                            <w:sz w:val="40"/>
                            <w:szCs w:val="40"/>
                            <w:lang w:val="es-ES_tradnl"/>
                          </w:rPr>
                          <w:t>NUEVO CENTRO DE CONTROL DEL OPERADOR NACIONAL DE ELECTRICIDAD</w:t>
                        </w:r>
                      </w:p>
                      <w:p w14:paraId="56DB45D5" w14:textId="77777777" w:rsidR="00A611D4" w:rsidRDefault="00A611D4" w:rsidP="006806CC">
                        <w:pPr>
                          <w:spacing w:after="0"/>
                          <w:jc w:val="center"/>
                          <w:rPr>
                            <w:rFonts w:ascii="Calibri" w:hAnsi="Calibri"/>
                            <w:i/>
                            <w:sz w:val="40"/>
                            <w:szCs w:val="40"/>
                            <w:lang w:val="es-ES_tradnl"/>
                          </w:rPr>
                        </w:pPr>
                      </w:p>
                      <w:p w14:paraId="3512E8CD" w14:textId="083473C3" w:rsidR="00A611D4" w:rsidRPr="00A611D4" w:rsidRDefault="00A611D4" w:rsidP="006806CC">
                        <w:pPr>
                          <w:spacing w:after="0"/>
                          <w:jc w:val="center"/>
                          <w:rPr>
                            <w:rFonts w:ascii="Calibri" w:hAnsi="Calibri"/>
                            <w:sz w:val="40"/>
                            <w:szCs w:val="40"/>
                            <w:lang w:val="es-ES_tradnl"/>
                          </w:rPr>
                        </w:pPr>
                        <w:r w:rsidRPr="00A611D4">
                          <w:rPr>
                            <w:rFonts w:ascii="Calibri" w:hAnsi="Calibri"/>
                            <w:sz w:val="40"/>
                            <w:szCs w:val="40"/>
                            <w:lang w:val="es-ES_tradnl"/>
                          </w:rPr>
                          <w:t>Quito, diciembre de 2024</w:t>
                        </w:r>
                      </w:p>
                    </w:txbxContent>
                  </v:textbox>
                </v:shape>
                <v:group id="Group 12" o:spid="_x0000_s1028" style="position:absolute;left:952;top:-4657;width:27672;height:30177" coordorigin="952,-4657" coordsize="27672,3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3" o:spid="_x0000_s1029" style="position:absolute;visibility:visible;mso-wrap-style:square" from="28624,0" to="28624,2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uMwQAAANsAAAAPAAAAZHJzL2Rvd25yZXYueG1sRE/JasMw&#10;EL0H+g9iCr0lck2JixMllIJLe0vc0PPUmtgm1shI8tK/rwKB3Obx1tnuZ9OJkZxvLSt4XiUgiCur&#10;W64VnL6L5SsIH5A1dpZJwR952O8eFlvMtZ34SGMZahFD2OeooAmhz6X0VUMG/cr2xJE7W2cwROhq&#10;qR1OMdx0Mk2StTTYcmxosKf3hqpLORgF0rwUp/L3x2VDefiqsks6Zd2HUk+P89sGRKA53MU396eO&#10;8zO4/hIPkLt/AAAA//8DAFBLAQItABQABgAIAAAAIQDb4fbL7gAAAIUBAAATAAAAAAAAAAAAAAAA&#10;AAAAAABbQ29udGVudF9UeXBlc10ueG1sUEsBAi0AFAAGAAgAAAAhAFr0LFu/AAAAFQEAAAsAAAAA&#10;AAAAAAAAAAAAHwEAAF9yZWxzLy5yZWxzUEsBAi0AFAAGAAgAAAAhAKBBi4zBAAAA2wAAAA8AAAAA&#10;AAAAAAAAAAAABwIAAGRycy9kb3ducmV2LnhtbFBLBQYAAAAAAwADALcAAAD1AgAAAAA=&#10;" strokecolor="#7f7f7f" strokeweight="2pt">
                    <v:stroke dashstyle="3 1"/>
                  </v:line>
                  <v:shape id="Text Box 14" o:spid="_x0000_s1030" type="#_x0000_t202" style="position:absolute;left:952;top:-4657;width:27432;height:2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29C4ABBB" w14:textId="77777777" w:rsidR="00A611D4" w:rsidRDefault="00A611D4" w:rsidP="006806CC">
                          <w:pPr>
                            <w:spacing w:after="0"/>
                            <w:jc w:val="center"/>
                            <w:rPr>
                              <w:rFonts w:ascii="Calibri" w:hAnsi="Calibri"/>
                              <w:i/>
                              <w:sz w:val="40"/>
                              <w:szCs w:val="40"/>
                              <w:lang w:val="es-ES_tradnl"/>
                            </w:rPr>
                          </w:pPr>
                        </w:p>
                        <w:p w14:paraId="78FCDCFA" w14:textId="77777777" w:rsidR="00A611D4" w:rsidRDefault="00A611D4" w:rsidP="006806CC">
                          <w:pPr>
                            <w:spacing w:after="0"/>
                            <w:jc w:val="center"/>
                            <w:rPr>
                              <w:rFonts w:ascii="Calibri" w:hAnsi="Calibri"/>
                              <w:i/>
                              <w:sz w:val="40"/>
                              <w:szCs w:val="40"/>
                              <w:lang w:val="es-ES_tradnl"/>
                            </w:rPr>
                          </w:pPr>
                        </w:p>
                        <w:p w14:paraId="17B65DEE" w14:textId="77777777" w:rsidR="00A611D4" w:rsidRPr="00A611D4" w:rsidRDefault="00A611D4" w:rsidP="006806CC">
                          <w:pPr>
                            <w:spacing w:after="0"/>
                            <w:jc w:val="center"/>
                            <w:rPr>
                              <w:rFonts w:ascii="Calibri" w:hAnsi="Calibri"/>
                              <w:b/>
                              <w:sz w:val="40"/>
                              <w:szCs w:val="40"/>
                              <w:lang w:val="es-ES_tradnl"/>
                            </w:rPr>
                          </w:pPr>
                          <w:r w:rsidRPr="00A611D4">
                            <w:rPr>
                              <w:rFonts w:ascii="Calibri" w:hAnsi="Calibri"/>
                              <w:b/>
                              <w:sz w:val="40"/>
                              <w:szCs w:val="40"/>
                              <w:lang w:val="es-ES_tradnl"/>
                            </w:rPr>
                            <w:t>Programa de Gestión Sostenible del Sector Estratégico de Energía y Recursos Naturales No Renovables e Infraestructura Asociada</w:t>
                          </w:r>
                        </w:p>
                        <w:p w14:paraId="4A3E37B8" w14:textId="77777777" w:rsidR="00A611D4" w:rsidRPr="00A611D4" w:rsidRDefault="00A611D4" w:rsidP="006806CC">
                          <w:pPr>
                            <w:spacing w:after="0"/>
                            <w:jc w:val="center"/>
                            <w:rPr>
                              <w:rFonts w:ascii="Calibri" w:hAnsi="Calibri"/>
                              <w:sz w:val="40"/>
                              <w:szCs w:val="40"/>
                              <w:lang w:val="es-ES_tradnl"/>
                            </w:rPr>
                          </w:pPr>
                        </w:p>
                        <w:p w14:paraId="4FEC79E4" w14:textId="77777777" w:rsidR="00A611D4" w:rsidRPr="00A611D4" w:rsidRDefault="00A611D4" w:rsidP="006806CC">
                          <w:pPr>
                            <w:spacing w:after="0"/>
                            <w:jc w:val="center"/>
                            <w:rPr>
                              <w:rFonts w:ascii="Calibri" w:hAnsi="Calibri"/>
                              <w:sz w:val="40"/>
                              <w:szCs w:val="40"/>
                              <w:lang w:val="es-ES_tradnl"/>
                            </w:rPr>
                          </w:pPr>
                          <w:r w:rsidRPr="00A611D4">
                            <w:rPr>
                              <w:rFonts w:ascii="Calibri" w:hAnsi="Calibri"/>
                              <w:sz w:val="40"/>
                              <w:szCs w:val="40"/>
                              <w:lang w:val="es-ES_tradnl"/>
                            </w:rPr>
                            <w:t>Ministerio de Energía y Minas</w:t>
                          </w:r>
                        </w:p>
                        <w:p w14:paraId="3E0CF6D2" w14:textId="77777777" w:rsidR="00A611D4" w:rsidRPr="00A611D4" w:rsidRDefault="00A611D4" w:rsidP="006806CC">
                          <w:pPr>
                            <w:spacing w:after="0"/>
                            <w:jc w:val="center"/>
                            <w:rPr>
                              <w:rFonts w:ascii="Calibri" w:hAnsi="Calibri"/>
                              <w:sz w:val="40"/>
                              <w:szCs w:val="40"/>
                              <w:lang w:val="es-ES_tradnl"/>
                            </w:rPr>
                          </w:pPr>
                        </w:p>
                        <w:p w14:paraId="1265ABB6" w14:textId="77777777" w:rsidR="00A611D4" w:rsidRPr="00A611D4" w:rsidRDefault="00A611D4" w:rsidP="006806CC">
                          <w:pPr>
                            <w:spacing w:after="0"/>
                            <w:jc w:val="center"/>
                            <w:rPr>
                              <w:rFonts w:ascii="Calibri" w:hAnsi="Calibri"/>
                              <w:sz w:val="40"/>
                              <w:lang w:val="es-CO"/>
                            </w:rPr>
                          </w:pPr>
                          <w:r w:rsidRPr="00A611D4">
                            <w:rPr>
                              <w:rFonts w:ascii="Calibri" w:hAnsi="Calibri"/>
                              <w:sz w:val="40"/>
                              <w:szCs w:val="40"/>
                              <w:lang w:val="es-ES_tradnl"/>
                            </w:rPr>
                            <w:t xml:space="preserve">Ecuador </w:t>
                          </w:r>
                        </w:p>
                        <w:p w14:paraId="61791B4A" w14:textId="77777777" w:rsidR="00A611D4" w:rsidRPr="002F5033" w:rsidRDefault="00A611D4" w:rsidP="006806CC">
                          <w:pPr>
                            <w:jc w:val="center"/>
                            <w:rPr>
                              <w:rFonts w:ascii="Calibri" w:hAnsi="Calibri"/>
                              <w:i/>
                              <w:sz w:val="40"/>
                              <w:szCs w:val="40"/>
                            </w:rPr>
                          </w:pPr>
                        </w:p>
                      </w:txbxContent>
                    </v:textbox>
                  </v:shape>
                </v:group>
                <w10:wrap type="tight"/>
              </v:group>
            </w:pict>
          </mc:Fallback>
        </mc:AlternateContent>
      </w:r>
      <w:r w:rsidRPr="00576AF8">
        <w:rPr>
          <w:bCs/>
          <w:sz w:val="22"/>
          <w:szCs w:val="22"/>
          <w:lang w:val="es-ES"/>
        </w:rPr>
        <w:t xml:space="preserve"> </w:t>
      </w:r>
    </w:p>
    <w:p w14:paraId="036BF230" w14:textId="77777777" w:rsidR="006806CC" w:rsidRPr="00576AF8" w:rsidRDefault="006806CC" w:rsidP="006806CC">
      <w:pPr>
        <w:spacing w:after="0"/>
        <w:jc w:val="center"/>
        <w:rPr>
          <w:b/>
          <w:sz w:val="22"/>
          <w:szCs w:val="22"/>
          <w:lang w:val="es-CO"/>
        </w:rPr>
      </w:pPr>
    </w:p>
    <w:p w14:paraId="5F36DD4C" w14:textId="77777777" w:rsidR="006806CC" w:rsidRPr="00576AF8" w:rsidRDefault="006806CC" w:rsidP="006806CC">
      <w:pPr>
        <w:pStyle w:val="Style1"/>
        <w:jc w:val="both"/>
        <w:rPr>
          <w:rFonts w:ascii="Times New Roman" w:hAnsi="Times New Roman"/>
          <w:bCs w:val="0"/>
          <w:iCs/>
          <w:sz w:val="22"/>
          <w:szCs w:val="22"/>
          <w:lang w:val="es-ES"/>
        </w:rPr>
      </w:pPr>
      <w:r w:rsidRPr="00576AF8">
        <w:rPr>
          <w:rFonts w:ascii="Times New Roman" w:hAnsi="Times New Roman"/>
          <w:bCs w:val="0"/>
          <w:iCs/>
          <w:sz w:val="22"/>
          <w:szCs w:val="22"/>
          <w:lang w:val="es-ES"/>
        </w:rPr>
        <w:t xml:space="preserve">                      </w:t>
      </w:r>
    </w:p>
    <w:p w14:paraId="56D49FD9" w14:textId="77777777" w:rsidR="006806CC" w:rsidRPr="00576AF8" w:rsidRDefault="006806CC" w:rsidP="006806CC">
      <w:pPr>
        <w:tabs>
          <w:tab w:val="left" w:pos="8640"/>
        </w:tabs>
        <w:jc w:val="center"/>
        <w:rPr>
          <w:b/>
          <w:sz w:val="22"/>
          <w:szCs w:val="22"/>
        </w:rPr>
      </w:pPr>
    </w:p>
    <w:p w14:paraId="36052F9C" w14:textId="77777777" w:rsidR="006806CC" w:rsidRPr="00576AF8" w:rsidRDefault="006806CC" w:rsidP="006806CC">
      <w:pPr>
        <w:tabs>
          <w:tab w:val="left" w:pos="8640"/>
        </w:tabs>
        <w:jc w:val="center"/>
        <w:rPr>
          <w:b/>
          <w:sz w:val="22"/>
          <w:szCs w:val="22"/>
        </w:rPr>
      </w:pPr>
    </w:p>
    <w:p w14:paraId="00003D1B" w14:textId="77777777" w:rsidR="006806CC" w:rsidRPr="00576AF8" w:rsidRDefault="006806CC" w:rsidP="006806CC">
      <w:pPr>
        <w:tabs>
          <w:tab w:val="left" w:pos="8640"/>
        </w:tabs>
        <w:jc w:val="center"/>
        <w:rPr>
          <w:b/>
          <w:sz w:val="22"/>
          <w:szCs w:val="22"/>
        </w:rPr>
      </w:pPr>
    </w:p>
    <w:p w14:paraId="2434E896" w14:textId="77777777" w:rsidR="006806CC" w:rsidRPr="00576AF8" w:rsidRDefault="006806CC" w:rsidP="006806CC">
      <w:pPr>
        <w:tabs>
          <w:tab w:val="left" w:pos="8640"/>
        </w:tabs>
        <w:jc w:val="center"/>
        <w:rPr>
          <w:b/>
          <w:sz w:val="22"/>
          <w:szCs w:val="22"/>
        </w:rPr>
      </w:pPr>
    </w:p>
    <w:p w14:paraId="1CCB89AE" w14:textId="77777777" w:rsidR="006806CC" w:rsidRPr="00576AF8" w:rsidRDefault="006806CC" w:rsidP="006806CC">
      <w:pPr>
        <w:tabs>
          <w:tab w:val="left" w:pos="8640"/>
        </w:tabs>
        <w:jc w:val="center"/>
        <w:rPr>
          <w:b/>
          <w:sz w:val="22"/>
          <w:szCs w:val="22"/>
        </w:rPr>
      </w:pPr>
    </w:p>
    <w:p w14:paraId="476D888A" w14:textId="77777777" w:rsidR="006806CC" w:rsidRPr="00576AF8" w:rsidRDefault="006806CC" w:rsidP="006806CC">
      <w:pPr>
        <w:tabs>
          <w:tab w:val="left" w:pos="8640"/>
        </w:tabs>
        <w:jc w:val="center"/>
        <w:rPr>
          <w:b/>
          <w:sz w:val="22"/>
          <w:szCs w:val="22"/>
        </w:rPr>
      </w:pPr>
    </w:p>
    <w:p w14:paraId="501BF60A" w14:textId="77777777" w:rsidR="006806CC" w:rsidRPr="00576AF8" w:rsidRDefault="006806CC" w:rsidP="006806CC">
      <w:pPr>
        <w:tabs>
          <w:tab w:val="left" w:pos="8640"/>
        </w:tabs>
        <w:jc w:val="center"/>
        <w:rPr>
          <w:b/>
          <w:sz w:val="22"/>
          <w:szCs w:val="22"/>
        </w:rPr>
      </w:pPr>
    </w:p>
    <w:p w14:paraId="5BBACAA7" w14:textId="77777777" w:rsidR="006806CC" w:rsidRPr="00576AF8" w:rsidRDefault="006806CC" w:rsidP="006806CC">
      <w:pPr>
        <w:tabs>
          <w:tab w:val="left" w:pos="8640"/>
        </w:tabs>
        <w:jc w:val="center"/>
        <w:rPr>
          <w:b/>
          <w:sz w:val="22"/>
          <w:szCs w:val="22"/>
        </w:rPr>
      </w:pPr>
    </w:p>
    <w:p w14:paraId="27FD4D86" w14:textId="77777777" w:rsidR="006806CC" w:rsidRPr="00576AF8" w:rsidRDefault="006806CC" w:rsidP="006806CC">
      <w:pPr>
        <w:tabs>
          <w:tab w:val="left" w:pos="8640"/>
        </w:tabs>
        <w:jc w:val="center"/>
        <w:rPr>
          <w:b/>
          <w:sz w:val="22"/>
          <w:szCs w:val="22"/>
        </w:rPr>
      </w:pPr>
    </w:p>
    <w:p w14:paraId="3B93D3E3" w14:textId="77777777" w:rsidR="006806CC" w:rsidRPr="00576AF8" w:rsidRDefault="006806CC" w:rsidP="006806CC">
      <w:pPr>
        <w:tabs>
          <w:tab w:val="left" w:pos="8640"/>
        </w:tabs>
        <w:jc w:val="center"/>
        <w:rPr>
          <w:b/>
          <w:sz w:val="22"/>
          <w:szCs w:val="22"/>
        </w:rPr>
      </w:pPr>
    </w:p>
    <w:p w14:paraId="31348CDF" w14:textId="77777777" w:rsidR="006806CC" w:rsidRPr="00576AF8" w:rsidRDefault="006806CC" w:rsidP="006806CC">
      <w:pPr>
        <w:tabs>
          <w:tab w:val="left" w:pos="8640"/>
        </w:tabs>
        <w:jc w:val="center"/>
        <w:rPr>
          <w:b/>
          <w:sz w:val="22"/>
          <w:szCs w:val="22"/>
        </w:rPr>
      </w:pPr>
    </w:p>
    <w:p w14:paraId="480D25F2" w14:textId="77777777" w:rsidR="006806CC" w:rsidRPr="00576AF8" w:rsidRDefault="006806CC" w:rsidP="006806CC">
      <w:pPr>
        <w:tabs>
          <w:tab w:val="left" w:pos="8640"/>
        </w:tabs>
        <w:jc w:val="center"/>
        <w:rPr>
          <w:b/>
          <w:sz w:val="22"/>
          <w:szCs w:val="22"/>
        </w:rPr>
      </w:pPr>
    </w:p>
    <w:p w14:paraId="3B759413" w14:textId="77777777" w:rsidR="006806CC" w:rsidRPr="00576AF8" w:rsidRDefault="006806CC" w:rsidP="006806CC">
      <w:pPr>
        <w:tabs>
          <w:tab w:val="left" w:pos="8640"/>
        </w:tabs>
        <w:jc w:val="center"/>
        <w:rPr>
          <w:b/>
          <w:sz w:val="22"/>
          <w:szCs w:val="22"/>
        </w:rPr>
      </w:pPr>
    </w:p>
    <w:p w14:paraId="28BE6A9B" w14:textId="77777777" w:rsidR="006806CC" w:rsidRPr="00576AF8" w:rsidRDefault="006806CC" w:rsidP="006806CC">
      <w:pPr>
        <w:tabs>
          <w:tab w:val="left" w:pos="8640"/>
        </w:tabs>
        <w:jc w:val="center"/>
        <w:rPr>
          <w:b/>
          <w:sz w:val="22"/>
          <w:szCs w:val="22"/>
        </w:rPr>
      </w:pPr>
    </w:p>
    <w:p w14:paraId="2C0C7DA6" w14:textId="77777777" w:rsidR="006806CC" w:rsidRPr="00576AF8" w:rsidRDefault="006806CC" w:rsidP="006806CC">
      <w:pPr>
        <w:tabs>
          <w:tab w:val="left" w:pos="8640"/>
        </w:tabs>
        <w:jc w:val="center"/>
        <w:rPr>
          <w:b/>
          <w:sz w:val="22"/>
          <w:szCs w:val="22"/>
        </w:rPr>
      </w:pPr>
    </w:p>
    <w:p w14:paraId="763D0BC3" w14:textId="77777777" w:rsidR="006806CC" w:rsidRPr="00576AF8" w:rsidRDefault="006806CC" w:rsidP="006806CC">
      <w:pPr>
        <w:tabs>
          <w:tab w:val="left" w:pos="8640"/>
        </w:tabs>
        <w:jc w:val="center"/>
        <w:rPr>
          <w:b/>
          <w:sz w:val="22"/>
          <w:szCs w:val="22"/>
        </w:rPr>
      </w:pPr>
    </w:p>
    <w:p w14:paraId="1EF93C77" w14:textId="77777777" w:rsidR="006806CC" w:rsidRPr="00576AF8" w:rsidRDefault="006806CC" w:rsidP="006806CC">
      <w:pPr>
        <w:tabs>
          <w:tab w:val="left" w:pos="8640"/>
        </w:tabs>
        <w:jc w:val="center"/>
        <w:rPr>
          <w:b/>
          <w:sz w:val="22"/>
          <w:szCs w:val="22"/>
        </w:rPr>
      </w:pPr>
    </w:p>
    <w:p w14:paraId="5A916830" w14:textId="77777777" w:rsidR="006806CC" w:rsidRPr="00576AF8" w:rsidRDefault="006806CC" w:rsidP="006806CC">
      <w:pPr>
        <w:tabs>
          <w:tab w:val="left" w:pos="8640"/>
        </w:tabs>
        <w:jc w:val="center"/>
        <w:rPr>
          <w:b/>
          <w:sz w:val="22"/>
          <w:szCs w:val="22"/>
        </w:rPr>
      </w:pPr>
    </w:p>
    <w:p w14:paraId="1756D3CE" w14:textId="77777777" w:rsidR="006A5A5D" w:rsidRPr="00576AF8" w:rsidRDefault="006A5A5D">
      <w:pPr>
        <w:jc w:val="center"/>
        <w:rPr>
          <w:sz w:val="22"/>
        </w:rPr>
      </w:pPr>
    </w:p>
    <w:p w14:paraId="79083B8E" w14:textId="77777777" w:rsidR="006806CC" w:rsidRPr="00576AF8" w:rsidRDefault="006806CC" w:rsidP="00315B93">
      <w:pPr>
        <w:tabs>
          <w:tab w:val="left" w:pos="8640"/>
        </w:tabs>
        <w:jc w:val="center"/>
        <w:rPr>
          <w:b/>
          <w:sz w:val="32"/>
          <w:szCs w:val="32"/>
        </w:rPr>
      </w:pPr>
    </w:p>
    <w:p w14:paraId="4BE1BFDB" w14:textId="77777777" w:rsidR="00F241A1" w:rsidRPr="00576AF8" w:rsidRDefault="003B1CB5" w:rsidP="00315B93">
      <w:pPr>
        <w:tabs>
          <w:tab w:val="left" w:pos="8640"/>
        </w:tabs>
        <w:jc w:val="center"/>
        <w:rPr>
          <w:b/>
          <w:sz w:val="32"/>
          <w:szCs w:val="32"/>
        </w:rPr>
      </w:pPr>
      <w:r w:rsidRPr="00576AF8">
        <w:rPr>
          <w:b/>
          <w:sz w:val="32"/>
          <w:szCs w:val="32"/>
        </w:rPr>
        <w:t>Documento Estándar de Licitación</w:t>
      </w:r>
    </w:p>
    <w:p w14:paraId="2E8A0568" w14:textId="77777777" w:rsidR="003B1CB5" w:rsidRPr="00576AF8" w:rsidRDefault="003B1CB5" w:rsidP="00315B93">
      <w:pPr>
        <w:tabs>
          <w:tab w:val="left" w:pos="8640"/>
        </w:tabs>
        <w:jc w:val="center"/>
        <w:rPr>
          <w:b/>
          <w:sz w:val="32"/>
          <w:szCs w:val="32"/>
        </w:rPr>
      </w:pPr>
    </w:p>
    <w:p w14:paraId="7FFE403E" w14:textId="77777777" w:rsidR="00205118" w:rsidRPr="00576AF8" w:rsidRDefault="003B1CB5">
      <w:pPr>
        <w:pStyle w:val="TDC1"/>
        <w:rPr>
          <w:rFonts w:ascii="Times New Roman" w:eastAsiaTheme="minorEastAsia" w:hAnsi="Times New Roman"/>
          <w:b w:val="0"/>
          <w:noProof/>
          <w:szCs w:val="24"/>
          <w:lang w:val="en-US" w:eastAsia="en-US" w:bidi="ar-SA"/>
        </w:rPr>
      </w:pPr>
      <w:r w:rsidRPr="00576AF8">
        <w:rPr>
          <w:rFonts w:ascii="Times New Roman" w:hAnsi="Times New Roman"/>
          <w:b w:val="0"/>
          <w:sz w:val="32"/>
          <w:szCs w:val="32"/>
        </w:rPr>
        <w:fldChar w:fldCharType="begin"/>
      </w:r>
      <w:r w:rsidRPr="00576AF8">
        <w:rPr>
          <w:rFonts w:ascii="Times New Roman" w:hAnsi="Times New Roman"/>
          <w:b w:val="0"/>
          <w:sz w:val="32"/>
          <w:szCs w:val="32"/>
        </w:rPr>
        <w:instrText xml:space="preserve"> TOC \h \z \t "TDC 11,1" </w:instrText>
      </w:r>
      <w:r w:rsidRPr="00576AF8">
        <w:rPr>
          <w:rFonts w:ascii="Times New Roman" w:hAnsi="Times New Roman"/>
          <w:b w:val="0"/>
          <w:sz w:val="32"/>
          <w:szCs w:val="32"/>
        </w:rPr>
        <w:fldChar w:fldCharType="separate"/>
      </w:r>
      <w:hyperlink w:anchor="_Toc28242426" w:history="1">
        <w:r w:rsidR="00205118" w:rsidRPr="00576AF8">
          <w:rPr>
            <w:rStyle w:val="Hipervnculo"/>
            <w:rFonts w:ascii="Times New Roman" w:hAnsi="Times New Roman"/>
            <w:noProof/>
          </w:rPr>
          <w:t>Sección I. Instrucciones a los Licitantes</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_Toc28242426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4</w:t>
        </w:r>
        <w:r w:rsidR="00205118" w:rsidRPr="00576AF8">
          <w:rPr>
            <w:rFonts w:ascii="Times New Roman" w:hAnsi="Times New Roman"/>
            <w:noProof/>
            <w:webHidden/>
          </w:rPr>
          <w:fldChar w:fldCharType="end"/>
        </w:r>
      </w:hyperlink>
    </w:p>
    <w:p w14:paraId="57F38614"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27" w:history="1">
        <w:r w:rsidR="00205118" w:rsidRPr="00576AF8">
          <w:rPr>
            <w:rStyle w:val="Hipervnculo"/>
            <w:rFonts w:ascii="Times New Roman" w:hAnsi="Times New Roman"/>
            <w:noProof/>
          </w:rPr>
          <w:t>Sección II. Datos de la Licitación (DDL)</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_Toc28242427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53</w:t>
        </w:r>
        <w:r w:rsidR="00205118" w:rsidRPr="00576AF8">
          <w:rPr>
            <w:rFonts w:ascii="Times New Roman" w:hAnsi="Times New Roman"/>
            <w:noProof/>
            <w:webHidden/>
          </w:rPr>
          <w:fldChar w:fldCharType="end"/>
        </w:r>
      </w:hyperlink>
    </w:p>
    <w:p w14:paraId="346B9B56"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29" w:history="1">
        <w:r w:rsidR="00205118" w:rsidRPr="00576AF8">
          <w:rPr>
            <w:rStyle w:val="Hipervnculo"/>
            <w:rFonts w:ascii="Times New Roman" w:hAnsi="Times New Roman"/>
            <w:noProof/>
          </w:rPr>
          <w:t>Sección III. Criterios de Evaluación y Calificación (Sin Precalificación)</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_Toc28242429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77</w:t>
        </w:r>
        <w:r w:rsidR="00205118" w:rsidRPr="00576AF8">
          <w:rPr>
            <w:rFonts w:ascii="Times New Roman" w:hAnsi="Times New Roman"/>
            <w:noProof/>
            <w:webHidden/>
          </w:rPr>
          <w:fldChar w:fldCharType="end"/>
        </w:r>
      </w:hyperlink>
    </w:p>
    <w:p w14:paraId="1F330591"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30" w:history="1">
        <w:r w:rsidR="00205118" w:rsidRPr="00576AF8">
          <w:rPr>
            <w:rStyle w:val="Hipervnculo"/>
            <w:rFonts w:ascii="Times New Roman" w:hAnsi="Times New Roman"/>
            <w:noProof/>
          </w:rPr>
          <w:t>Sección IV. Formularios de la Oferta</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_Toc28242430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93</w:t>
        </w:r>
        <w:r w:rsidR="00205118" w:rsidRPr="00576AF8">
          <w:rPr>
            <w:rFonts w:ascii="Times New Roman" w:hAnsi="Times New Roman"/>
            <w:noProof/>
            <w:webHidden/>
          </w:rPr>
          <w:fldChar w:fldCharType="end"/>
        </w:r>
      </w:hyperlink>
    </w:p>
    <w:p w14:paraId="03693E8E"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31" w:history="1">
        <w:r w:rsidR="00205118" w:rsidRPr="00576AF8">
          <w:rPr>
            <w:rStyle w:val="Hipervnculo"/>
            <w:rFonts w:ascii="Times New Roman" w:hAnsi="Times New Roman"/>
            <w:noProof/>
          </w:rPr>
          <w:t>Sección V. Países Elegibles</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_Toc28242431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146</w:t>
        </w:r>
        <w:r w:rsidR="00205118" w:rsidRPr="00576AF8">
          <w:rPr>
            <w:rFonts w:ascii="Times New Roman" w:hAnsi="Times New Roman"/>
            <w:noProof/>
            <w:webHidden/>
          </w:rPr>
          <w:fldChar w:fldCharType="end"/>
        </w:r>
      </w:hyperlink>
    </w:p>
    <w:p w14:paraId="77918DDF"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32" w:history="1">
        <w:r w:rsidR="00205118" w:rsidRPr="00576AF8">
          <w:rPr>
            <w:rStyle w:val="Hipervnculo"/>
            <w:rFonts w:ascii="Times New Roman" w:hAnsi="Times New Roman"/>
            <w:noProof/>
          </w:rPr>
          <w:t>Sección VI. Requisitos del Sistema Informático</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_Toc28242432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151</w:t>
        </w:r>
        <w:r w:rsidR="00205118" w:rsidRPr="00576AF8">
          <w:rPr>
            <w:rFonts w:ascii="Times New Roman" w:hAnsi="Times New Roman"/>
            <w:noProof/>
            <w:webHidden/>
          </w:rPr>
          <w:fldChar w:fldCharType="end"/>
        </w:r>
      </w:hyperlink>
    </w:p>
    <w:p w14:paraId="25FC9E5F"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33" w:history="1">
        <w:r w:rsidR="00205118" w:rsidRPr="00576AF8">
          <w:rPr>
            <w:rStyle w:val="Hipervnculo"/>
            <w:rFonts w:ascii="Times New Roman" w:hAnsi="Times New Roman"/>
            <w:noProof/>
          </w:rPr>
          <w:t>Sección VII. Condiciones Generales del Contrato</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_Toc28242433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190</w:t>
        </w:r>
        <w:r w:rsidR="00205118" w:rsidRPr="00576AF8">
          <w:rPr>
            <w:rFonts w:ascii="Times New Roman" w:hAnsi="Times New Roman"/>
            <w:noProof/>
            <w:webHidden/>
          </w:rPr>
          <w:fldChar w:fldCharType="end"/>
        </w:r>
      </w:hyperlink>
    </w:p>
    <w:p w14:paraId="67546DD0"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34" w:history="1">
        <w:r w:rsidR="00205118" w:rsidRPr="00576AF8">
          <w:rPr>
            <w:rStyle w:val="Hipervnculo"/>
            <w:rFonts w:ascii="Times New Roman" w:hAnsi="Times New Roman"/>
            <w:noProof/>
          </w:rPr>
          <w:t>Sección VIII. Condiciones Especiales del Contrato</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_Toc28242434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293</w:t>
        </w:r>
        <w:r w:rsidR="00205118" w:rsidRPr="00576AF8">
          <w:rPr>
            <w:rFonts w:ascii="Times New Roman" w:hAnsi="Times New Roman"/>
            <w:noProof/>
            <w:webHidden/>
          </w:rPr>
          <w:fldChar w:fldCharType="end"/>
        </w:r>
      </w:hyperlink>
    </w:p>
    <w:p w14:paraId="2D05B375" w14:textId="77777777" w:rsidR="00205118" w:rsidRPr="00576AF8" w:rsidRDefault="006334E7">
      <w:pPr>
        <w:pStyle w:val="TDC1"/>
        <w:rPr>
          <w:rFonts w:ascii="Times New Roman" w:eastAsiaTheme="minorEastAsia" w:hAnsi="Times New Roman"/>
          <w:b w:val="0"/>
          <w:noProof/>
          <w:szCs w:val="24"/>
          <w:lang w:val="en-US" w:eastAsia="en-US" w:bidi="ar-SA"/>
        </w:rPr>
      </w:pPr>
      <w:hyperlink w:anchor="_Toc28242435" w:history="1">
        <w:r w:rsidR="00205118" w:rsidRPr="00576AF8">
          <w:rPr>
            <w:rStyle w:val="Hipervnculo"/>
            <w:rFonts w:ascii="Times New Roman" w:hAnsi="Times New Roman"/>
            <w:noProof/>
          </w:rPr>
          <w:t>Sección IX. Formularios del Contrato</w:t>
        </w:r>
        <w:r w:rsidR="00205118" w:rsidRPr="00576AF8">
          <w:rPr>
            <w:rFonts w:ascii="Times New Roman" w:hAnsi="Times New Roman"/>
            <w:noProof/>
            <w:webHidden/>
          </w:rPr>
          <w:tab/>
        </w:r>
        <w:r w:rsidR="00205118" w:rsidRPr="00576AF8">
          <w:rPr>
            <w:rFonts w:ascii="Times New Roman" w:hAnsi="Times New Roman"/>
            <w:noProof/>
            <w:webHidden/>
          </w:rPr>
          <w:fldChar w:fldCharType="begin"/>
        </w:r>
        <w:r w:rsidR="00205118" w:rsidRPr="00576AF8">
          <w:rPr>
            <w:rFonts w:ascii="Times New Roman" w:hAnsi="Times New Roman"/>
            <w:noProof/>
            <w:webHidden/>
          </w:rPr>
          <w:instrText xml:space="preserve"> PAGEREF _Toc28242435 \h </w:instrText>
        </w:r>
        <w:r w:rsidR="00205118" w:rsidRPr="00576AF8">
          <w:rPr>
            <w:rFonts w:ascii="Times New Roman" w:hAnsi="Times New Roman"/>
            <w:noProof/>
            <w:webHidden/>
          </w:rPr>
        </w:r>
        <w:r w:rsidR="00205118" w:rsidRPr="00576AF8">
          <w:rPr>
            <w:rFonts w:ascii="Times New Roman" w:hAnsi="Times New Roman"/>
            <w:noProof/>
            <w:webHidden/>
          </w:rPr>
          <w:fldChar w:fldCharType="separate"/>
        </w:r>
        <w:r w:rsidR="00205118" w:rsidRPr="00576AF8">
          <w:rPr>
            <w:rFonts w:ascii="Times New Roman" w:hAnsi="Times New Roman"/>
            <w:noProof/>
            <w:webHidden/>
          </w:rPr>
          <w:t>324</w:t>
        </w:r>
        <w:r w:rsidR="00205118" w:rsidRPr="00576AF8">
          <w:rPr>
            <w:rFonts w:ascii="Times New Roman" w:hAnsi="Times New Roman"/>
            <w:noProof/>
            <w:webHidden/>
          </w:rPr>
          <w:fldChar w:fldCharType="end"/>
        </w:r>
      </w:hyperlink>
    </w:p>
    <w:p w14:paraId="4EC262C0" w14:textId="77777777" w:rsidR="003B1CB5" w:rsidRPr="00576AF8" w:rsidRDefault="003B1CB5" w:rsidP="00315B93">
      <w:pPr>
        <w:tabs>
          <w:tab w:val="left" w:pos="8640"/>
        </w:tabs>
        <w:jc w:val="center"/>
        <w:rPr>
          <w:b/>
          <w:sz w:val="32"/>
          <w:szCs w:val="32"/>
        </w:rPr>
      </w:pPr>
      <w:r w:rsidRPr="00576AF8">
        <w:rPr>
          <w:b/>
          <w:sz w:val="32"/>
          <w:szCs w:val="32"/>
        </w:rPr>
        <w:fldChar w:fldCharType="end"/>
      </w:r>
    </w:p>
    <w:p w14:paraId="12533206" w14:textId="77777777" w:rsidR="003B1CB5" w:rsidRPr="00576AF8" w:rsidRDefault="003B1CB5" w:rsidP="00315B93">
      <w:pPr>
        <w:tabs>
          <w:tab w:val="left" w:pos="8640"/>
        </w:tabs>
        <w:jc w:val="center"/>
        <w:rPr>
          <w:b/>
          <w:sz w:val="32"/>
          <w:szCs w:val="32"/>
        </w:rPr>
        <w:sectPr w:rsidR="003B1CB5" w:rsidRPr="00576AF8" w:rsidSect="000968D2">
          <w:headerReference w:type="first" r:id="rId13"/>
          <w:footnotePr>
            <w:numRestart w:val="eachPage"/>
          </w:footnotePr>
          <w:endnotePr>
            <w:numRestart w:val="eachSect"/>
          </w:endnotePr>
          <w:type w:val="continuous"/>
          <w:pgSz w:w="12240" w:h="15840" w:code="1"/>
          <w:pgMar w:top="1440" w:right="1440" w:bottom="1440" w:left="1440" w:header="720" w:footer="432" w:gutter="0"/>
          <w:pgNumType w:fmt="lowerRoman"/>
          <w:cols w:space="720"/>
          <w:formProt w:val="0"/>
          <w:titlePg/>
          <w:docGrid w:linePitch="326"/>
        </w:sectPr>
      </w:pPr>
    </w:p>
    <w:p w14:paraId="1CB2D497" w14:textId="77777777" w:rsidR="00224173" w:rsidRPr="00576AF8" w:rsidRDefault="00224173" w:rsidP="00315B93">
      <w:pPr>
        <w:tabs>
          <w:tab w:val="left" w:pos="8640"/>
        </w:tabs>
        <w:jc w:val="center"/>
        <w:rPr>
          <w:b/>
          <w:sz w:val="32"/>
        </w:rPr>
      </w:pPr>
      <w:r w:rsidRPr="00576AF8">
        <w:rPr>
          <w:b/>
          <w:sz w:val="32"/>
        </w:rPr>
        <w:lastRenderedPageBreak/>
        <w:t>Documento Estándar de Licitación</w:t>
      </w:r>
    </w:p>
    <w:p w14:paraId="1392787A" w14:textId="77777777" w:rsidR="00315B93" w:rsidRPr="00576AF8" w:rsidRDefault="00315B93" w:rsidP="00315B93">
      <w:pPr>
        <w:tabs>
          <w:tab w:val="left" w:pos="8640"/>
        </w:tabs>
        <w:jc w:val="center"/>
        <w:rPr>
          <w:b/>
          <w:sz w:val="32"/>
          <w:szCs w:val="32"/>
        </w:rPr>
      </w:pPr>
      <w:r w:rsidRPr="00576AF8">
        <w:rPr>
          <w:b/>
          <w:sz w:val="32"/>
        </w:rPr>
        <w:t>Índice</w:t>
      </w:r>
      <w:r w:rsidR="00610CD4" w:rsidRPr="00576AF8">
        <w:rPr>
          <w:b/>
          <w:sz w:val="32"/>
        </w:rPr>
        <w:t xml:space="preserve"> de Instrucciones</w:t>
      </w:r>
    </w:p>
    <w:p w14:paraId="7524AF11" w14:textId="77777777" w:rsidR="00DF4A5C" w:rsidRPr="00576AF8" w:rsidRDefault="00DF4A5C">
      <w:pPr>
        <w:pStyle w:val="TDC1"/>
        <w:rPr>
          <w:rFonts w:ascii="Times New Roman" w:hAnsi="Times New Roman"/>
          <w:sz w:val="32"/>
          <w:szCs w:val="32"/>
        </w:rPr>
      </w:pPr>
    </w:p>
    <w:p w14:paraId="1B5D1BB6" w14:textId="77777777" w:rsidR="004934F4" w:rsidRPr="00576AF8" w:rsidRDefault="00E31F7F">
      <w:pPr>
        <w:pStyle w:val="TDC1"/>
        <w:rPr>
          <w:rFonts w:ascii="Times New Roman" w:eastAsiaTheme="minorEastAsia" w:hAnsi="Times New Roman"/>
          <w:b w:val="0"/>
          <w:noProof/>
          <w:szCs w:val="24"/>
          <w:lang w:val="en-US" w:eastAsia="en-US" w:bidi="ar-SA"/>
        </w:rPr>
      </w:pPr>
      <w:r w:rsidRPr="00576AF8">
        <w:rPr>
          <w:rFonts w:ascii="Times New Roman" w:hAnsi="Times New Roman"/>
          <w:sz w:val="32"/>
          <w:szCs w:val="32"/>
        </w:rPr>
        <w:fldChar w:fldCharType="begin"/>
      </w:r>
      <w:r w:rsidRPr="00576AF8">
        <w:rPr>
          <w:rFonts w:ascii="Times New Roman" w:hAnsi="Times New Roman"/>
          <w:sz w:val="32"/>
          <w:szCs w:val="32"/>
        </w:rPr>
        <w:instrText xml:space="preserve"> TOC \h \z \t "Toc 2-1,1,TOC 2-2,2" </w:instrText>
      </w:r>
      <w:r w:rsidRPr="00576AF8">
        <w:rPr>
          <w:rFonts w:ascii="Times New Roman" w:hAnsi="Times New Roman"/>
          <w:sz w:val="32"/>
          <w:szCs w:val="32"/>
        </w:rPr>
        <w:fldChar w:fldCharType="separate"/>
      </w:r>
      <w:hyperlink w:anchor="_Toc25486574" w:history="1">
        <w:r w:rsidR="004934F4" w:rsidRPr="00576AF8">
          <w:rPr>
            <w:rStyle w:val="Hipervnculo"/>
            <w:rFonts w:ascii="Times New Roman" w:hAnsi="Times New Roman"/>
            <w:noProof/>
          </w:rPr>
          <w:t>A. Aspectos Generales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_Toc25486574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4</w:t>
        </w:r>
        <w:r w:rsidR="004934F4" w:rsidRPr="00576AF8">
          <w:rPr>
            <w:rFonts w:ascii="Times New Roman" w:hAnsi="Times New Roman"/>
            <w:noProof/>
            <w:webHidden/>
          </w:rPr>
          <w:fldChar w:fldCharType="end"/>
        </w:r>
      </w:hyperlink>
    </w:p>
    <w:p w14:paraId="5DFCC465" w14:textId="77777777" w:rsidR="004934F4" w:rsidRPr="00576AF8" w:rsidRDefault="006334E7">
      <w:pPr>
        <w:pStyle w:val="TDC2"/>
        <w:rPr>
          <w:rFonts w:eastAsiaTheme="minorEastAsia"/>
          <w:szCs w:val="24"/>
          <w:lang w:val="en-US" w:eastAsia="en-US" w:bidi="ar-SA"/>
        </w:rPr>
      </w:pPr>
      <w:hyperlink w:anchor="_Toc25486575" w:history="1">
        <w:r w:rsidR="004934F4" w:rsidRPr="00576AF8">
          <w:rPr>
            <w:rStyle w:val="Hipervnculo"/>
          </w:rPr>
          <w:t>1.</w:t>
        </w:r>
        <w:r w:rsidR="004934F4" w:rsidRPr="00576AF8">
          <w:rPr>
            <w:rFonts w:eastAsiaTheme="minorEastAsia"/>
            <w:szCs w:val="24"/>
            <w:lang w:val="en-US" w:eastAsia="en-US" w:bidi="ar-SA"/>
          </w:rPr>
          <w:tab/>
        </w:r>
        <w:r w:rsidR="004934F4" w:rsidRPr="00576AF8">
          <w:rPr>
            <w:rStyle w:val="Hipervnculo"/>
          </w:rPr>
          <w:t>Alcance de la Licitación</w:t>
        </w:r>
        <w:r w:rsidR="004934F4" w:rsidRPr="00576AF8">
          <w:rPr>
            <w:webHidden/>
          </w:rPr>
          <w:tab/>
        </w:r>
        <w:r w:rsidR="004934F4" w:rsidRPr="00576AF8">
          <w:rPr>
            <w:webHidden/>
          </w:rPr>
          <w:fldChar w:fldCharType="begin"/>
        </w:r>
        <w:r w:rsidR="004934F4" w:rsidRPr="00576AF8">
          <w:rPr>
            <w:webHidden/>
          </w:rPr>
          <w:instrText xml:space="preserve"> PAGEREF _Toc25486575 \h </w:instrText>
        </w:r>
        <w:r w:rsidR="004934F4" w:rsidRPr="00576AF8">
          <w:rPr>
            <w:webHidden/>
          </w:rPr>
        </w:r>
        <w:r w:rsidR="004934F4" w:rsidRPr="00576AF8">
          <w:rPr>
            <w:webHidden/>
          </w:rPr>
          <w:fldChar w:fldCharType="separate"/>
        </w:r>
        <w:r w:rsidR="004934F4" w:rsidRPr="00576AF8">
          <w:rPr>
            <w:webHidden/>
          </w:rPr>
          <w:t>4</w:t>
        </w:r>
        <w:r w:rsidR="004934F4" w:rsidRPr="00576AF8">
          <w:rPr>
            <w:webHidden/>
          </w:rPr>
          <w:fldChar w:fldCharType="end"/>
        </w:r>
      </w:hyperlink>
    </w:p>
    <w:p w14:paraId="45074822" w14:textId="77777777" w:rsidR="004934F4" w:rsidRPr="00576AF8" w:rsidRDefault="006334E7">
      <w:pPr>
        <w:pStyle w:val="TDC2"/>
        <w:rPr>
          <w:rFonts w:eastAsiaTheme="minorEastAsia"/>
          <w:szCs w:val="24"/>
          <w:lang w:val="en-US" w:eastAsia="en-US" w:bidi="ar-SA"/>
        </w:rPr>
      </w:pPr>
      <w:hyperlink w:anchor="_Toc25486576" w:history="1">
        <w:r w:rsidR="004934F4" w:rsidRPr="00576AF8">
          <w:rPr>
            <w:rStyle w:val="Hipervnculo"/>
          </w:rPr>
          <w:t>2.</w:t>
        </w:r>
        <w:r w:rsidR="004934F4" w:rsidRPr="00576AF8">
          <w:rPr>
            <w:rFonts w:eastAsiaTheme="minorEastAsia"/>
            <w:szCs w:val="24"/>
            <w:lang w:val="en-US" w:eastAsia="en-US" w:bidi="ar-SA"/>
          </w:rPr>
          <w:tab/>
        </w:r>
        <w:r w:rsidR="004934F4" w:rsidRPr="00576AF8">
          <w:rPr>
            <w:rStyle w:val="Hipervnculo"/>
          </w:rPr>
          <w:t>Fuente de los Fondos</w:t>
        </w:r>
        <w:r w:rsidR="004934F4" w:rsidRPr="00576AF8">
          <w:rPr>
            <w:webHidden/>
          </w:rPr>
          <w:tab/>
        </w:r>
        <w:r w:rsidR="004934F4" w:rsidRPr="00576AF8">
          <w:rPr>
            <w:webHidden/>
          </w:rPr>
          <w:fldChar w:fldCharType="begin"/>
        </w:r>
        <w:r w:rsidR="004934F4" w:rsidRPr="00576AF8">
          <w:rPr>
            <w:webHidden/>
          </w:rPr>
          <w:instrText xml:space="preserve"> PAGEREF _Toc25486576 \h </w:instrText>
        </w:r>
        <w:r w:rsidR="004934F4" w:rsidRPr="00576AF8">
          <w:rPr>
            <w:webHidden/>
          </w:rPr>
        </w:r>
        <w:r w:rsidR="004934F4" w:rsidRPr="00576AF8">
          <w:rPr>
            <w:webHidden/>
          </w:rPr>
          <w:fldChar w:fldCharType="separate"/>
        </w:r>
        <w:r w:rsidR="004934F4" w:rsidRPr="00576AF8">
          <w:rPr>
            <w:webHidden/>
          </w:rPr>
          <w:t>5</w:t>
        </w:r>
        <w:r w:rsidR="004934F4" w:rsidRPr="00576AF8">
          <w:rPr>
            <w:webHidden/>
          </w:rPr>
          <w:fldChar w:fldCharType="end"/>
        </w:r>
      </w:hyperlink>
    </w:p>
    <w:p w14:paraId="43671A57" w14:textId="77777777" w:rsidR="004934F4" w:rsidRPr="00576AF8" w:rsidRDefault="006334E7">
      <w:pPr>
        <w:pStyle w:val="TDC2"/>
        <w:rPr>
          <w:rFonts w:eastAsiaTheme="minorEastAsia"/>
          <w:szCs w:val="24"/>
          <w:lang w:val="en-US" w:eastAsia="en-US" w:bidi="ar-SA"/>
        </w:rPr>
      </w:pPr>
      <w:hyperlink w:anchor="_Toc25486577" w:history="1">
        <w:r w:rsidR="004934F4" w:rsidRPr="00576AF8">
          <w:rPr>
            <w:rStyle w:val="Hipervnculo"/>
          </w:rPr>
          <w:t>3.</w:t>
        </w:r>
        <w:r w:rsidR="004934F4" w:rsidRPr="00576AF8">
          <w:rPr>
            <w:rFonts w:eastAsiaTheme="minorEastAsia"/>
            <w:szCs w:val="24"/>
            <w:lang w:val="en-US" w:eastAsia="en-US" w:bidi="ar-SA"/>
          </w:rPr>
          <w:tab/>
        </w:r>
        <w:r w:rsidR="004934F4" w:rsidRPr="00576AF8">
          <w:rPr>
            <w:rStyle w:val="Hipervnculo"/>
          </w:rPr>
          <w:t>Prácticas Prohibidas</w:t>
        </w:r>
        <w:r w:rsidR="004934F4" w:rsidRPr="00576AF8">
          <w:rPr>
            <w:webHidden/>
          </w:rPr>
          <w:tab/>
        </w:r>
        <w:r w:rsidR="004934F4" w:rsidRPr="00576AF8">
          <w:rPr>
            <w:webHidden/>
          </w:rPr>
          <w:fldChar w:fldCharType="begin"/>
        </w:r>
        <w:r w:rsidR="004934F4" w:rsidRPr="00576AF8">
          <w:rPr>
            <w:webHidden/>
          </w:rPr>
          <w:instrText xml:space="preserve"> PAGEREF _Toc25486577 \h </w:instrText>
        </w:r>
        <w:r w:rsidR="004934F4" w:rsidRPr="00576AF8">
          <w:rPr>
            <w:webHidden/>
          </w:rPr>
        </w:r>
        <w:r w:rsidR="004934F4" w:rsidRPr="00576AF8">
          <w:rPr>
            <w:webHidden/>
          </w:rPr>
          <w:fldChar w:fldCharType="separate"/>
        </w:r>
        <w:r w:rsidR="004934F4" w:rsidRPr="00576AF8">
          <w:rPr>
            <w:webHidden/>
          </w:rPr>
          <w:t>5</w:t>
        </w:r>
        <w:r w:rsidR="004934F4" w:rsidRPr="00576AF8">
          <w:rPr>
            <w:webHidden/>
          </w:rPr>
          <w:fldChar w:fldCharType="end"/>
        </w:r>
      </w:hyperlink>
    </w:p>
    <w:p w14:paraId="656A5B36" w14:textId="77777777" w:rsidR="004934F4" w:rsidRPr="00576AF8" w:rsidRDefault="006334E7">
      <w:pPr>
        <w:pStyle w:val="TDC2"/>
        <w:rPr>
          <w:rFonts w:eastAsiaTheme="minorEastAsia"/>
          <w:szCs w:val="24"/>
          <w:lang w:val="en-US" w:eastAsia="en-US" w:bidi="ar-SA"/>
        </w:rPr>
      </w:pPr>
      <w:hyperlink w:anchor="_Toc25486578" w:history="1">
        <w:r w:rsidR="004934F4" w:rsidRPr="00576AF8">
          <w:rPr>
            <w:rStyle w:val="Hipervnculo"/>
          </w:rPr>
          <w:t>4.</w:t>
        </w:r>
        <w:r w:rsidR="004934F4" w:rsidRPr="00576AF8">
          <w:rPr>
            <w:rFonts w:eastAsiaTheme="minorEastAsia"/>
            <w:szCs w:val="24"/>
            <w:lang w:val="en-US" w:eastAsia="en-US" w:bidi="ar-SA"/>
          </w:rPr>
          <w:tab/>
        </w:r>
        <w:r w:rsidR="004934F4" w:rsidRPr="00576AF8">
          <w:rPr>
            <w:rStyle w:val="Hipervnculo"/>
          </w:rPr>
          <w:t>Licitantes Elegibles</w:t>
        </w:r>
        <w:r w:rsidR="004934F4" w:rsidRPr="00576AF8">
          <w:rPr>
            <w:webHidden/>
          </w:rPr>
          <w:tab/>
        </w:r>
        <w:r w:rsidR="004934F4" w:rsidRPr="00576AF8">
          <w:rPr>
            <w:webHidden/>
          </w:rPr>
          <w:fldChar w:fldCharType="begin"/>
        </w:r>
        <w:r w:rsidR="004934F4" w:rsidRPr="00576AF8">
          <w:rPr>
            <w:webHidden/>
          </w:rPr>
          <w:instrText xml:space="preserve"> PAGEREF _Toc25486578 \h </w:instrText>
        </w:r>
        <w:r w:rsidR="004934F4" w:rsidRPr="00576AF8">
          <w:rPr>
            <w:webHidden/>
          </w:rPr>
        </w:r>
        <w:r w:rsidR="004934F4" w:rsidRPr="00576AF8">
          <w:rPr>
            <w:webHidden/>
          </w:rPr>
          <w:fldChar w:fldCharType="separate"/>
        </w:r>
        <w:r w:rsidR="004934F4" w:rsidRPr="00576AF8">
          <w:rPr>
            <w:webHidden/>
          </w:rPr>
          <w:t>11</w:t>
        </w:r>
        <w:r w:rsidR="004934F4" w:rsidRPr="00576AF8">
          <w:rPr>
            <w:webHidden/>
          </w:rPr>
          <w:fldChar w:fldCharType="end"/>
        </w:r>
      </w:hyperlink>
    </w:p>
    <w:p w14:paraId="3C3A1E21" w14:textId="77777777" w:rsidR="004934F4" w:rsidRPr="00576AF8" w:rsidRDefault="006334E7">
      <w:pPr>
        <w:pStyle w:val="TDC2"/>
        <w:rPr>
          <w:rFonts w:eastAsiaTheme="minorEastAsia"/>
          <w:szCs w:val="24"/>
          <w:lang w:val="en-US" w:eastAsia="en-US" w:bidi="ar-SA"/>
        </w:rPr>
      </w:pPr>
      <w:hyperlink w:anchor="_Toc25486579" w:history="1">
        <w:r w:rsidR="004934F4" w:rsidRPr="00576AF8">
          <w:rPr>
            <w:rStyle w:val="Hipervnculo"/>
          </w:rPr>
          <w:t>5.</w:t>
        </w:r>
        <w:r w:rsidR="004934F4" w:rsidRPr="00576AF8">
          <w:rPr>
            <w:rFonts w:eastAsiaTheme="minorEastAsia"/>
            <w:szCs w:val="24"/>
            <w:lang w:val="en-US" w:eastAsia="en-US" w:bidi="ar-SA"/>
          </w:rPr>
          <w:tab/>
        </w:r>
        <w:r w:rsidR="004934F4" w:rsidRPr="00576AF8">
          <w:rPr>
            <w:rStyle w:val="Hipervnculo"/>
          </w:rPr>
          <w:t>Bienes y Servicios Elegibles</w:t>
        </w:r>
        <w:r w:rsidR="004934F4" w:rsidRPr="00576AF8">
          <w:rPr>
            <w:webHidden/>
          </w:rPr>
          <w:tab/>
        </w:r>
        <w:r w:rsidR="004934F4" w:rsidRPr="00576AF8">
          <w:rPr>
            <w:webHidden/>
          </w:rPr>
          <w:fldChar w:fldCharType="begin"/>
        </w:r>
        <w:r w:rsidR="004934F4" w:rsidRPr="00576AF8">
          <w:rPr>
            <w:webHidden/>
          </w:rPr>
          <w:instrText xml:space="preserve"> PAGEREF _Toc25486579 \h </w:instrText>
        </w:r>
        <w:r w:rsidR="004934F4" w:rsidRPr="00576AF8">
          <w:rPr>
            <w:webHidden/>
          </w:rPr>
        </w:r>
        <w:r w:rsidR="004934F4" w:rsidRPr="00576AF8">
          <w:rPr>
            <w:webHidden/>
          </w:rPr>
          <w:fldChar w:fldCharType="separate"/>
        </w:r>
        <w:r w:rsidR="004934F4" w:rsidRPr="00576AF8">
          <w:rPr>
            <w:webHidden/>
          </w:rPr>
          <w:t>14</w:t>
        </w:r>
        <w:r w:rsidR="004934F4" w:rsidRPr="00576AF8">
          <w:rPr>
            <w:webHidden/>
          </w:rPr>
          <w:fldChar w:fldCharType="end"/>
        </w:r>
      </w:hyperlink>
    </w:p>
    <w:p w14:paraId="1CA2A6F7"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580" w:history="1">
        <w:r w:rsidR="004934F4" w:rsidRPr="00576AF8">
          <w:rPr>
            <w:rStyle w:val="Hipervnculo"/>
            <w:rFonts w:ascii="Times New Roman" w:hAnsi="Times New Roman"/>
            <w:noProof/>
          </w:rPr>
          <w:t>B. Contenido del Documento de Licitación</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_Toc25486580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15</w:t>
        </w:r>
        <w:r w:rsidR="004934F4" w:rsidRPr="00576AF8">
          <w:rPr>
            <w:rFonts w:ascii="Times New Roman" w:hAnsi="Times New Roman"/>
            <w:noProof/>
            <w:webHidden/>
          </w:rPr>
          <w:fldChar w:fldCharType="end"/>
        </w:r>
      </w:hyperlink>
    </w:p>
    <w:p w14:paraId="26EC1671" w14:textId="77777777" w:rsidR="004934F4" w:rsidRPr="00576AF8" w:rsidRDefault="006334E7">
      <w:pPr>
        <w:pStyle w:val="TDC2"/>
        <w:rPr>
          <w:rFonts w:eastAsiaTheme="minorEastAsia"/>
          <w:szCs w:val="24"/>
          <w:lang w:val="en-US" w:eastAsia="en-US" w:bidi="ar-SA"/>
        </w:rPr>
      </w:pPr>
      <w:hyperlink w:anchor="_Toc25486581" w:history="1">
        <w:r w:rsidR="004934F4" w:rsidRPr="00576AF8">
          <w:rPr>
            <w:rStyle w:val="Hipervnculo"/>
          </w:rPr>
          <w:t xml:space="preserve">6. </w:t>
        </w:r>
        <w:r w:rsidR="004934F4" w:rsidRPr="00576AF8">
          <w:rPr>
            <w:rFonts w:eastAsiaTheme="minorEastAsia"/>
            <w:szCs w:val="24"/>
            <w:lang w:val="en-US" w:eastAsia="en-US" w:bidi="ar-SA"/>
          </w:rPr>
          <w:tab/>
        </w:r>
        <w:r w:rsidR="004934F4" w:rsidRPr="00576AF8">
          <w:rPr>
            <w:rStyle w:val="Hipervnculo"/>
          </w:rPr>
          <w:t>Secciones del Documento de Licitación</w:t>
        </w:r>
        <w:r w:rsidR="004934F4" w:rsidRPr="00576AF8">
          <w:rPr>
            <w:webHidden/>
          </w:rPr>
          <w:tab/>
        </w:r>
        <w:r w:rsidR="004934F4" w:rsidRPr="00576AF8">
          <w:rPr>
            <w:webHidden/>
          </w:rPr>
          <w:fldChar w:fldCharType="begin"/>
        </w:r>
        <w:r w:rsidR="004934F4" w:rsidRPr="00576AF8">
          <w:rPr>
            <w:webHidden/>
          </w:rPr>
          <w:instrText xml:space="preserve"> PAGEREF _Toc25486581 \h </w:instrText>
        </w:r>
        <w:r w:rsidR="004934F4" w:rsidRPr="00576AF8">
          <w:rPr>
            <w:webHidden/>
          </w:rPr>
        </w:r>
        <w:r w:rsidR="004934F4" w:rsidRPr="00576AF8">
          <w:rPr>
            <w:webHidden/>
          </w:rPr>
          <w:fldChar w:fldCharType="separate"/>
        </w:r>
        <w:r w:rsidR="004934F4" w:rsidRPr="00576AF8">
          <w:rPr>
            <w:webHidden/>
          </w:rPr>
          <w:t>15</w:t>
        </w:r>
        <w:r w:rsidR="004934F4" w:rsidRPr="00576AF8">
          <w:rPr>
            <w:webHidden/>
          </w:rPr>
          <w:fldChar w:fldCharType="end"/>
        </w:r>
      </w:hyperlink>
    </w:p>
    <w:p w14:paraId="4A25B62E" w14:textId="77777777" w:rsidR="004934F4" w:rsidRPr="00576AF8" w:rsidRDefault="006334E7">
      <w:pPr>
        <w:pStyle w:val="TDC2"/>
        <w:rPr>
          <w:rFonts w:eastAsiaTheme="minorEastAsia"/>
          <w:szCs w:val="24"/>
          <w:lang w:val="en-US" w:eastAsia="en-US" w:bidi="ar-SA"/>
        </w:rPr>
      </w:pPr>
      <w:hyperlink w:anchor="_Toc25486582" w:history="1">
        <w:r w:rsidR="004934F4" w:rsidRPr="00576AF8">
          <w:rPr>
            <w:rStyle w:val="Hipervnculo"/>
          </w:rPr>
          <w:t>7.</w:t>
        </w:r>
        <w:r w:rsidR="004934F4" w:rsidRPr="00576AF8">
          <w:rPr>
            <w:rFonts w:eastAsiaTheme="minorEastAsia"/>
            <w:szCs w:val="24"/>
            <w:lang w:val="en-US" w:eastAsia="en-US" w:bidi="ar-SA"/>
          </w:rPr>
          <w:tab/>
        </w:r>
        <w:r w:rsidR="004934F4" w:rsidRPr="00576AF8">
          <w:rPr>
            <w:rStyle w:val="Hipervnculo"/>
          </w:rPr>
          <w:t>Aclaración Acerca del Documento de Licitación, Visita al Sitio y Reunión Previa</w:t>
        </w:r>
        <w:r w:rsidR="004934F4" w:rsidRPr="00576AF8">
          <w:rPr>
            <w:webHidden/>
          </w:rPr>
          <w:tab/>
        </w:r>
        <w:r w:rsidR="004934F4" w:rsidRPr="00576AF8">
          <w:rPr>
            <w:webHidden/>
          </w:rPr>
          <w:fldChar w:fldCharType="begin"/>
        </w:r>
        <w:r w:rsidR="004934F4" w:rsidRPr="00576AF8">
          <w:rPr>
            <w:webHidden/>
          </w:rPr>
          <w:instrText xml:space="preserve"> PAGEREF _Toc25486582 \h </w:instrText>
        </w:r>
        <w:r w:rsidR="004934F4" w:rsidRPr="00576AF8">
          <w:rPr>
            <w:webHidden/>
          </w:rPr>
        </w:r>
        <w:r w:rsidR="004934F4" w:rsidRPr="00576AF8">
          <w:rPr>
            <w:webHidden/>
          </w:rPr>
          <w:fldChar w:fldCharType="separate"/>
        </w:r>
        <w:r w:rsidR="004934F4" w:rsidRPr="00576AF8">
          <w:rPr>
            <w:webHidden/>
          </w:rPr>
          <w:t>16</w:t>
        </w:r>
        <w:r w:rsidR="004934F4" w:rsidRPr="00576AF8">
          <w:rPr>
            <w:webHidden/>
          </w:rPr>
          <w:fldChar w:fldCharType="end"/>
        </w:r>
      </w:hyperlink>
    </w:p>
    <w:p w14:paraId="23CAE757" w14:textId="77777777" w:rsidR="004934F4" w:rsidRPr="00576AF8" w:rsidRDefault="006334E7">
      <w:pPr>
        <w:pStyle w:val="TDC2"/>
        <w:rPr>
          <w:rFonts w:eastAsiaTheme="minorEastAsia"/>
          <w:szCs w:val="24"/>
          <w:lang w:val="en-US" w:eastAsia="en-US" w:bidi="ar-SA"/>
        </w:rPr>
      </w:pPr>
      <w:hyperlink w:anchor="_Toc25486583" w:history="1">
        <w:r w:rsidR="004934F4" w:rsidRPr="00576AF8">
          <w:rPr>
            <w:rStyle w:val="Hipervnculo"/>
          </w:rPr>
          <w:t>8.</w:t>
        </w:r>
        <w:r w:rsidR="004934F4" w:rsidRPr="00576AF8">
          <w:rPr>
            <w:rFonts w:eastAsiaTheme="minorEastAsia"/>
            <w:szCs w:val="24"/>
            <w:lang w:val="en-US" w:eastAsia="en-US" w:bidi="ar-SA"/>
          </w:rPr>
          <w:tab/>
        </w:r>
        <w:r w:rsidR="004934F4" w:rsidRPr="00576AF8">
          <w:rPr>
            <w:rStyle w:val="Hipervnculo"/>
          </w:rPr>
          <w:t>Enmienda del Documento de Licitación</w:t>
        </w:r>
        <w:r w:rsidR="004934F4" w:rsidRPr="00576AF8">
          <w:rPr>
            <w:webHidden/>
          </w:rPr>
          <w:tab/>
        </w:r>
        <w:r w:rsidR="004934F4" w:rsidRPr="00576AF8">
          <w:rPr>
            <w:webHidden/>
          </w:rPr>
          <w:fldChar w:fldCharType="begin"/>
        </w:r>
        <w:r w:rsidR="004934F4" w:rsidRPr="00576AF8">
          <w:rPr>
            <w:webHidden/>
          </w:rPr>
          <w:instrText xml:space="preserve"> PAGEREF _Toc25486583 \h </w:instrText>
        </w:r>
        <w:r w:rsidR="004934F4" w:rsidRPr="00576AF8">
          <w:rPr>
            <w:webHidden/>
          </w:rPr>
        </w:r>
        <w:r w:rsidR="004934F4" w:rsidRPr="00576AF8">
          <w:rPr>
            <w:webHidden/>
          </w:rPr>
          <w:fldChar w:fldCharType="separate"/>
        </w:r>
        <w:r w:rsidR="004934F4" w:rsidRPr="00576AF8">
          <w:rPr>
            <w:webHidden/>
          </w:rPr>
          <w:t>17</w:t>
        </w:r>
        <w:r w:rsidR="004934F4" w:rsidRPr="00576AF8">
          <w:rPr>
            <w:webHidden/>
          </w:rPr>
          <w:fldChar w:fldCharType="end"/>
        </w:r>
      </w:hyperlink>
    </w:p>
    <w:p w14:paraId="3A19CC46"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584" w:history="1">
        <w:r w:rsidR="004934F4" w:rsidRPr="00576AF8">
          <w:rPr>
            <w:rStyle w:val="Hipervnculo"/>
            <w:rFonts w:ascii="Times New Roman" w:hAnsi="Times New Roman"/>
            <w:noProof/>
          </w:rPr>
          <w:t>C. Preparación de las Ofertas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_Toc25486584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17</w:t>
        </w:r>
        <w:r w:rsidR="004934F4" w:rsidRPr="00576AF8">
          <w:rPr>
            <w:rFonts w:ascii="Times New Roman" w:hAnsi="Times New Roman"/>
            <w:noProof/>
            <w:webHidden/>
          </w:rPr>
          <w:fldChar w:fldCharType="end"/>
        </w:r>
      </w:hyperlink>
    </w:p>
    <w:p w14:paraId="0ABE60D7" w14:textId="77777777" w:rsidR="004934F4" w:rsidRPr="00576AF8" w:rsidRDefault="006334E7">
      <w:pPr>
        <w:pStyle w:val="TDC2"/>
        <w:rPr>
          <w:rFonts w:eastAsiaTheme="minorEastAsia"/>
          <w:szCs w:val="24"/>
          <w:lang w:val="en-US" w:eastAsia="en-US" w:bidi="ar-SA"/>
        </w:rPr>
      </w:pPr>
      <w:hyperlink w:anchor="_Toc25486585" w:history="1">
        <w:r w:rsidR="004934F4" w:rsidRPr="00576AF8">
          <w:rPr>
            <w:rStyle w:val="Hipervnculo"/>
          </w:rPr>
          <w:t>9.</w:t>
        </w:r>
        <w:r w:rsidR="004934F4" w:rsidRPr="00576AF8">
          <w:rPr>
            <w:rFonts w:eastAsiaTheme="minorEastAsia"/>
            <w:szCs w:val="24"/>
            <w:lang w:val="en-US" w:eastAsia="en-US" w:bidi="ar-SA"/>
          </w:rPr>
          <w:tab/>
        </w:r>
        <w:r w:rsidR="004934F4" w:rsidRPr="00576AF8">
          <w:rPr>
            <w:rStyle w:val="Hipervnculo"/>
          </w:rPr>
          <w:t>Costo de la Oferta</w:t>
        </w:r>
        <w:r w:rsidR="004934F4" w:rsidRPr="00576AF8">
          <w:rPr>
            <w:webHidden/>
          </w:rPr>
          <w:tab/>
        </w:r>
        <w:r w:rsidR="004934F4" w:rsidRPr="00576AF8">
          <w:rPr>
            <w:webHidden/>
          </w:rPr>
          <w:fldChar w:fldCharType="begin"/>
        </w:r>
        <w:r w:rsidR="004934F4" w:rsidRPr="00576AF8">
          <w:rPr>
            <w:webHidden/>
          </w:rPr>
          <w:instrText xml:space="preserve"> PAGEREF _Toc25486585 \h </w:instrText>
        </w:r>
        <w:r w:rsidR="004934F4" w:rsidRPr="00576AF8">
          <w:rPr>
            <w:webHidden/>
          </w:rPr>
        </w:r>
        <w:r w:rsidR="004934F4" w:rsidRPr="00576AF8">
          <w:rPr>
            <w:webHidden/>
          </w:rPr>
          <w:fldChar w:fldCharType="separate"/>
        </w:r>
        <w:r w:rsidR="004934F4" w:rsidRPr="00576AF8">
          <w:rPr>
            <w:webHidden/>
          </w:rPr>
          <w:t>17</w:t>
        </w:r>
        <w:r w:rsidR="004934F4" w:rsidRPr="00576AF8">
          <w:rPr>
            <w:webHidden/>
          </w:rPr>
          <w:fldChar w:fldCharType="end"/>
        </w:r>
      </w:hyperlink>
    </w:p>
    <w:p w14:paraId="4495CF8D" w14:textId="77777777" w:rsidR="004934F4" w:rsidRPr="00576AF8" w:rsidRDefault="006334E7">
      <w:pPr>
        <w:pStyle w:val="TDC2"/>
        <w:rPr>
          <w:rFonts w:eastAsiaTheme="minorEastAsia"/>
          <w:szCs w:val="24"/>
          <w:lang w:val="en-US" w:eastAsia="en-US" w:bidi="ar-SA"/>
        </w:rPr>
      </w:pPr>
      <w:hyperlink w:anchor="_Toc25486586" w:history="1">
        <w:r w:rsidR="004934F4" w:rsidRPr="00576AF8">
          <w:rPr>
            <w:rStyle w:val="Hipervnculo"/>
          </w:rPr>
          <w:t>10.</w:t>
        </w:r>
        <w:r w:rsidR="004934F4" w:rsidRPr="00576AF8">
          <w:rPr>
            <w:rFonts w:eastAsiaTheme="minorEastAsia"/>
            <w:szCs w:val="24"/>
            <w:lang w:val="en-US" w:eastAsia="en-US" w:bidi="ar-SA"/>
          </w:rPr>
          <w:tab/>
        </w:r>
        <w:r w:rsidR="004934F4" w:rsidRPr="00576AF8">
          <w:rPr>
            <w:rStyle w:val="Hipervnculo"/>
          </w:rPr>
          <w:t>Idioma de la Oferta</w:t>
        </w:r>
        <w:r w:rsidR="004934F4" w:rsidRPr="00576AF8">
          <w:rPr>
            <w:webHidden/>
          </w:rPr>
          <w:tab/>
        </w:r>
        <w:r w:rsidR="004934F4" w:rsidRPr="00576AF8">
          <w:rPr>
            <w:webHidden/>
          </w:rPr>
          <w:fldChar w:fldCharType="begin"/>
        </w:r>
        <w:r w:rsidR="004934F4" w:rsidRPr="00576AF8">
          <w:rPr>
            <w:webHidden/>
          </w:rPr>
          <w:instrText xml:space="preserve"> PAGEREF _Toc25486586 \h </w:instrText>
        </w:r>
        <w:r w:rsidR="004934F4" w:rsidRPr="00576AF8">
          <w:rPr>
            <w:webHidden/>
          </w:rPr>
        </w:r>
        <w:r w:rsidR="004934F4" w:rsidRPr="00576AF8">
          <w:rPr>
            <w:webHidden/>
          </w:rPr>
          <w:fldChar w:fldCharType="separate"/>
        </w:r>
        <w:r w:rsidR="004934F4" w:rsidRPr="00576AF8">
          <w:rPr>
            <w:webHidden/>
          </w:rPr>
          <w:t>18</w:t>
        </w:r>
        <w:r w:rsidR="004934F4" w:rsidRPr="00576AF8">
          <w:rPr>
            <w:webHidden/>
          </w:rPr>
          <w:fldChar w:fldCharType="end"/>
        </w:r>
      </w:hyperlink>
    </w:p>
    <w:p w14:paraId="42483DF2" w14:textId="77777777" w:rsidR="004934F4" w:rsidRPr="00576AF8" w:rsidRDefault="006334E7">
      <w:pPr>
        <w:pStyle w:val="TDC2"/>
        <w:rPr>
          <w:rFonts w:eastAsiaTheme="minorEastAsia"/>
          <w:szCs w:val="24"/>
          <w:lang w:val="en-US" w:eastAsia="en-US" w:bidi="ar-SA"/>
        </w:rPr>
      </w:pPr>
      <w:hyperlink w:anchor="_Toc25486587" w:history="1">
        <w:r w:rsidR="004934F4" w:rsidRPr="00576AF8">
          <w:rPr>
            <w:rStyle w:val="Hipervnculo"/>
          </w:rPr>
          <w:t>11.</w:t>
        </w:r>
        <w:r w:rsidR="004934F4" w:rsidRPr="00576AF8">
          <w:rPr>
            <w:rFonts w:eastAsiaTheme="minorEastAsia"/>
            <w:szCs w:val="24"/>
            <w:lang w:val="en-US" w:eastAsia="en-US" w:bidi="ar-SA"/>
          </w:rPr>
          <w:tab/>
        </w:r>
        <w:r w:rsidR="004934F4" w:rsidRPr="00576AF8">
          <w:rPr>
            <w:rStyle w:val="Hipervnculo"/>
          </w:rPr>
          <w:t>Documentos que Conforman la Oferta</w:t>
        </w:r>
        <w:r w:rsidR="004934F4" w:rsidRPr="00576AF8">
          <w:rPr>
            <w:webHidden/>
          </w:rPr>
          <w:tab/>
        </w:r>
        <w:r w:rsidR="004934F4" w:rsidRPr="00576AF8">
          <w:rPr>
            <w:webHidden/>
          </w:rPr>
          <w:fldChar w:fldCharType="begin"/>
        </w:r>
        <w:r w:rsidR="004934F4" w:rsidRPr="00576AF8">
          <w:rPr>
            <w:webHidden/>
          </w:rPr>
          <w:instrText xml:space="preserve"> PAGEREF _Toc25486587 \h </w:instrText>
        </w:r>
        <w:r w:rsidR="004934F4" w:rsidRPr="00576AF8">
          <w:rPr>
            <w:webHidden/>
          </w:rPr>
        </w:r>
        <w:r w:rsidR="004934F4" w:rsidRPr="00576AF8">
          <w:rPr>
            <w:webHidden/>
          </w:rPr>
          <w:fldChar w:fldCharType="separate"/>
        </w:r>
        <w:r w:rsidR="004934F4" w:rsidRPr="00576AF8">
          <w:rPr>
            <w:webHidden/>
          </w:rPr>
          <w:t>18</w:t>
        </w:r>
        <w:r w:rsidR="004934F4" w:rsidRPr="00576AF8">
          <w:rPr>
            <w:webHidden/>
          </w:rPr>
          <w:fldChar w:fldCharType="end"/>
        </w:r>
      </w:hyperlink>
    </w:p>
    <w:p w14:paraId="687D5211" w14:textId="77777777" w:rsidR="004934F4" w:rsidRPr="00576AF8" w:rsidRDefault="006334E7">
      <w:pPr>
        <w:pStyle w:val="TDC2"/>
        <w:rPr>
          <w:rFonts w:eastAsiaTheme="minorEastAsia"/>
          <w:szCs w:val="24"/>
          <w:lang w:val="en-US" w:eastAsia="en-US" w:bidi="ar-SA"/>
        </w:rPr>
      </w:pPr>
      <w:hyperlink w:anchor="_Toc25486588" w:history="1">
        <w:r w:rsidR="004934F4" w:rsidRPr="00576AF8">
          <w:rPr>
            <w:rStyle w:val="Hipervnculo"/>
          </w:rPr>
          <w:t>12.</w:t>
        </w:r>
        <w:r w:rsidR="004934F4" w:rsidRPr="00576AF8">
          <w:rPr>
            <w:rFonts w:eastAsiaTheme="minorEastAsia"/>
            <w:szCs w:val="24"/>
            <w:lang w:val="en-US" w:eastAsia="en-US" w:bidi="ar-SA"/>
          </w:rPr>
          <w:tab/>
        </w:r>
        <w:r w:rsidR="004934F4" w:rsidRPr="00576AF8">
          <w:rPr>
            <w:rStyle w:val="Hipervnculo"/>
          </w:rPr>
          <w:t>Cartas de la Oferta y Formularios</w:t>
        </w:r>
        <w:r w:rsidR="004934F4" w:rsidRPr="00576AF8">
          <w:rPr>
            <w:webHidden/>
          </w:rPr>
          <w:tab/>
        </w:r>
        <w:r w:rsidR="004934F4" w:rsidRPr="00576AF8">
          <w:rPr>
            <w:webHidden/>
          </w:rPr>
          <w:fldChar w:fldCharType="begin"/>
        </w:r>
        <w:r w:rsidR="004934F4" w:rsidRPr="00576AF8">
          <w:rPr>
            <w:webHidden/>
          </w:rPr>
          <w:instrText xml:space="preserve"> PAGEREF _Toc25486588 \h </w:instrText>
        </w:r>
        <w:r w:rsidR="004934F4" w:rsidRPr="00576AF8">
          <w:rPr>
            <w:webHidden/>
          </w:rPr>
        </w:r>
        <w:r w:rsidR="004934F4" w:rsidRPr="00576AF8">
          <w:rPr>
            <w:webHidden/>
          </w:rPr>
          <w:fldChar w:fldCharType="separate"/>
        </w:r>
        <w:r w:rsidR="004934F4" w:rsidRPr="00576AF8">
          <w:rPr>
            <w:webHidden/>
          </w:rPr>
          <w:t>20</w:t>
        </w:r>
        <w:r w:rsidR="004934F4" w:rsidRPr="00576AF8">
          <w:rPr>
            <w:webHidden/>
          </w:rPr>
          <w:fldChar w:fldCharType="end"/>
        </w:r>
      </w:hyperlink>
    </w:p>
    <w:p w14:paraId="2AC23842" w14:textId="77777777" w:rsidR="004934F4" w:rsidRPr="00576AF8" w:rsidRDefault="006334E7">
      <w:pPr>
        <w:pStyle w:val="TDC2"/>
        <w:rPr>
          <w:rFonts w:eastAsiaTheme="minorEastAsia"/>
          <w:szCs w:val="24"/>
          <w:lang w:val="en-US" w:eastAsia="en-US" w:bidi="ar-SA"/>
        </w:rPr>
      </w:pPr>
      <w:hyperlink w:anchor="_Toc25486589" w:history="1">
        <w:r w:rsidR="004934F4" w:rsidRPr="00576AF8">
          <w:rPr>
            <w:rStyle w:val="Hipervnculo"/>
          </w:rPr>
          <w:t>13.</w:t>
        </w:r>
        <w:r w:rsidR="004934F4" w:rsidRPr="00576AF8">
          <w:rPr>
            <w:rFonts w:eastAsiaTheme="minorEastAsia"/>
            <w:szCs w:val="24"/>
            <w:lang w:val="en-US" w:eastAsia="en-US" w:bidi="ar-SA"/>
          </w:rPr>
          <w:tab/>
        </w:r>
        <w:r w:rsidR="004934F4" w:rsidRPr="00576AF8">
          <w:rPr>
            <w:rStyle w:val="Hipervnculo"/>
          </w:rPr>
          <w:t>Ofertas Alternativas</w:t>
        </w:r>
        <w:r w:rsidR="004934F4" w:rsidRPr="00576AF8">
          <w:rPr>
            <w:webHidden/>
          </w:rPr>
          <w:tab/>
        </w:r>
        <w:r w:rsidR="004934F4" w:rsidRPr="00576AF8">
          <w:rPr>
            <w:webHidden/>
          </w:rPr>
          <w:fldChar w:fldCharType="begin"/>
        </w:r>
        <w:r w:rsidR="004934F4" w:rsidRPr="00576AF8">
          <w:rPr>
            <w:webHidden/>
          </w:rPr>
          <w:instrText xml:space="preserve"> PAGEREF _Toc25486589 \h </w:instrText>
        </w:r>
        <w:r w:rsidR="004934F4" w:rsidRPr="00576AF8">
          <w:rPr>
            <w:webHidden/>
          </w:rPr>
        </w:r>
        <w:r w:rsidR="004934F4" w:rsidRPr="00576AF8">
          <w:rPr>
            <w:webHidden/>
          </w:rPr>
          <w:fldChar w:fldCharType="separate"/>
        </w:r>
        <w:r w:rsidR="004934F4" w:rsidRPr="00576AF8">
          <w:rPr>
            <w:webHidden/>
          </w:rPr>
          <w:t>20</w:t>
        </w:r>
        <w:r w:rsidR="004934F4" w:rsidRPr="00576AF8">
          <w:rPr>
            <w:webHidden/>
          </w:rPr>
          <w:fldChar w:fldCharType="end"/>
        </w:r>
      </w:hyperlink>
    </w:p>
    <w:p w14:paraId="77F50CE5" w14:textId="77777777" w:rsidR="004934F4" w:rsidRPr="00576AF8" w:rsidRDefault="006334E7">
      <w:pPr>
        <w:pStyle w:val="TDC2"/>
        <w:rPr>
          <w:rFonts w:eastAsiaTheme="minorEastAsia"/>
          <w:szCs w:val="24"/>
          <w:lang w:val="en-US" w:eastAsia="en-US" w:bidi="ar-SA"/>
        </w:rPr>
      </w:pPr>
      <w:hyperlink w:anchor="_Toc25486590" w:history="1">
        <w:r w:rsidR="004934F4" w:rsidRPr="00576AF8">
          <w:rPr>
            <w:rStyle w:val="Hipervnculo"/>
          </w:rPr>
          <w:t xml:space="preserve">14. </w:t>
        </w:r>
        <w:r w:rsidR="007A705B" w:rsidRPr="00576AF8">
          <w:rPr>
            <w:rStyle w:val="Hipervnculo"/>
          </w:rPr>
          <w:t xml:space="preserve">   </w:t>
        </w:r>
        <w:r w:rsidR="004934F4" w:rsidRPr="00576AF8">
          <w:rPr>
            <w:rStyle w:val="Hipervnculo"/>
          </w:rPr>
          <w:t>Precios de la Oferta y Descuentos</w:t>
        </w:r>
        <w:r w:rsidR="004934F4" w:rsidRPr="00576AF8">
          <w:rPr>
            <w:webHidden/>
          </w:rPr>
          <w:tab/>
        </w:r>
        <w:r w:rsidR="004934F4" w:rsidRPr="00576AF8">
          <w:rPr>
            <w:webHidden/>
          </w:rPr>
          <w:fldChar w:fldCharType="begin"/>
        </w:r>
        <w:r w:rsidR="004934F4" w:rsidRPr="00576AF8">
          <w:rPr>
            <w:webHidden/>
          </w:rPr>
          <w:instrText xml:space="preserve"> PAGEREF _Toc25486590 \h </w:instrText>
        </w:r>
        <w:r w:rsidR="004934F4" w:rsidRPr="00576AF8">
          <w:rPr>
            <w:webHidden/>
          </w:rPr>
        </w:r>
        <w:r w:rsidR="004934F4" w:rsidRPr="00576AF8">
          <w:rPr>
            <w:webHidden/>
          </w:rPr>
          <w:fldChar w:fldCharType="separate"/>
        </w:r>
        <w:r w:rsidR="004934F4" w:rsidRPr="00576AF8">
          <w:rPr>
            <w:webHidden/>
          </w:rPr>
          <w:t>21</w:t>
        </w:r>
        <w:r w:rsidR="004934F4" w:rsidRPr="00576AF8">
          <w:rPr>
            <w:webHidden/>
          </w:rPr>
          <w:fldChar w:fldCharType="end"/>
        </w:r>
      </w:hyperlink>
    </w:p>
    <w:p w14:paraId="0EFCB3FE" w14:textId="77777777" w:rsidR="004934F4" w:rsidRPr="00576AF8" w:rsidRDefault="006334E7">
      <w:pPr>
        <w:pStyle w:val="TDC2"/>
        <w:rPr>
          <w:rFonts w:eastAsiaTheme="minorEastAsia"/>
          <w:szCs w:val="24"/>
          <w:lang w:val="en-US" w:eastAsia="en-US" w:bidi="ar-SA"/>
        </w:rPr>
      </w:pPr>
      <w:hyperlink w:anchor="_Toc25486591" w:history="1">
        <w:r w:rsidR="004934F4" w:rsidRPr="00576AF8">
          <w:rPr>
            <w:rStyle w:val="Hipervnculo"/>
          </w:rPr>
          <w:t>15.</w:t>
        </w:r>
        <w:r w:rsidR="004934F4" w:rsidRPr="00576AF8">
          <w:rPr>
            <w:rFonts w:eastAsiaTheme="minorEastAsia"/>
            <w:szCs w:val="24"/>
            <w:lang w:val="en-US" w:eastAsia="en-US" w:bidi="ar-SA"/>
          </w:rPr>
          <w:tab/>
        </w:r>
        <w:r w:rsidR="004934F4" w:rsidRPr="00576AF8">
          <w:rPr>
            <w:rStyle w:val="Hipervnculo"/>
          </w:rPr>
          <w:t>Documentos que Establecen la Elegibilidad del Sistema Informático</w:t>
        </w:r>
        <w:r w:rsidR="004934F4" w:rsidRPr="00576AF8">
          <w:rPr>
            <w:webHidden/>
          </w:rPr>
          <w:tab/>
        </w:r>
        <w:r w:rsidR="004934F4" w:rsidRPr="00576AF8">
          <w:rPr>
            <w:webHidden/>
          </w:rPr>
          <w:fldChar w:fldCharType="begin"/>
        </w:r>
        <w:r w:rsidR="004934F4" w:rsidRPr="00576AF8">
          <w:rPr>
            <w:webHidden/>
          </w:rPr>
          <w:instrText xml:space="preserve"> PAGEREF _Toc25486591 \h </w:instrText>
        </w:r>
        <w:r w:rsidR="004934F4" w:rsidRPr="00576AF8">
          <w:rPr>
            <w:webHidden/>
          </w:rPr>
        </w:r>
        <w:r w:rsidR="004934F4" w:rsidRPr="00576AF8">
          <w:rPr>
            <w:webHidden/>
          </w:rPr>
          <w:fldChar w:fldCharType="separate"/>
        </w:r>
        <w:r w:rsidR="004934F4" w:rsidRPr="00576AF8">
          <w:rPr>
            <w:webHidden/>
          </w:rPr>
          <w:t>24</w:t>
        </w:r>
        <w:r w:rsidR="004934F4" w:rsidRPr="00576AF8">
          <w:rPr>
            <w:webHidden/>
          </w:rPr>
          <w:fldChar w:fldCharType="end"/>
        </w:r>
      </w:hyperlink>
    </w:p>
    <w:p w14:paraId="0F91C210" w14:textId="77777777" w:rsidR="004934F4" w:rsidRPr="00576AF8" w:rsidRDefault="006334E7">
      <w:pPr>
        <w:pStyle w:val="TDC2"/>
        <w:rPr>
          <w:rFonts w:eastAsiaTheme="minorEastAsia"/>
          <w:szCs w:val="24"/>
          <w:lang w:val="en-US" w:eastAsia="en-US" w:bidi="ar-SA"/>
        </w:rPr>
      </w:pPr>
      <w:hyperlink w:anchor="_Toc25486592" w:history="1">
        <w:r w:rsidR="004934F4" w:rsidRPr="00576AF8">
          <w:rPr>
            <w:rStyle w:val="Hipervnculo"/>
          </w:rPr>
          <w:t>16.</w:t>
        </w:r>
        <w:r w:rsidR="004934F4" w:rsidRPr="00576AF8">
          <w:rPr>
            <w:rFonts w:eastAsiaTheme="minorEastAsia"/>
            <w:szCs w:val="24"/>
            <w:lang w:val="en-US" w:eastAsia="en-US" w:bidi="ar-SA"/>
          </w:rPr>
          <w:tab/>
        </w:r>
        <w:r w:rsidR="004934F4" w:rsidRPr="00576AF8">
          <w:rPr>
            <w:rStyle w:val="Hipervnculo"/>
          </w:rPr>
          <w:t>Documentos que Establecen la Elegibilidad y las Calificaciones del Licitante</w:t>
        </w:r>
        <w:r w:rsidR="004934F4" w:rsidRPr="00576AF8">
          <w:rPr>
            <w:webHidden/>
          </w:rPr>
          <w:tab/>
        </w:r>
        <w:r w:rsidR="004934F4" w:rsidRPr="00576AF8">
          <w:rPr>
            <w:webHidden/>
          </w:rPr>
          <w:fldChar w:fldCharType="begin"/>
        </w:r>
        <w:r w:rsidR="004934F4" w:rsidRPr="00576AF8">
          <w:rPr>
            <w:webHidden/>
          </w:rPr>
          <w:instrText xml:space="preserve"> PAGEREF _Toc25486592 \h </w:instrText>
        </w:r>
        <w:r w:rsidR="004934F4" w:rsidRPr="00576AF8">
          <w:rPr>
            <w:webHidden/>
          </w:rPr>
        </w:r>
        <w:r w:rsidR="004934F4" w:rsidRPr="00576AF8">
          <w:rPr>
            <w:webHidden/>
          </w:rPr>
          <w:fldChar w:fldCharType="separate"/>
        </w:r>
        <w:r w:rsidR="004934F4" w:rsidRPr="00576AF8">
          <w:rPr>
            <w:webHidden/>
          </w:rPr>
          <w:t>24</w:t>
        </w:r>
        <w:r w:rsidR="004934F4" w:rsidRPr="00576AF8">
          <w:rPr>
            <w:webHidden/>
          </w:rPr>
          <w:fldChar w:fldCharType="end"/>
        </w:r>
      </w:hyperlink>
    </w:p>
    <w:p w14:paraId="65CE886C" w14:textId="77777777" w:rsidR="004934F4" w:rsidRPr="00576AF8" w:rsidRDefault="006334E7">
      <w:pPr>
        <w:pStyle w:val="TDC2"/>
        <w:rPr>
          <w:rFonts w:eastAsiaTheme="minorEastAsia"/>
          <w:szCs w:val="24"/>
          <w:lang w:val="en-US" w:eastAsia="en-US" w:bidi="ar-SA"/>
        </w:rPr>
      </w:pPr>
      <w:hyperlink w:anchor="_Toc25486593" w:history="1">
        <w:r w:rsidR="004934F4" w:rsidRPr="00576AF8">
          <w:rPr>
            <w:rStyle w:val="Hipervnculo"/>
          </w:rPr>
          <w:t>17.</w:t>
        </w:r>
        <w:r w:rsidR="004934F4" w:rsidRPr="00576AF8">
          <w:rPr>
            <w:rFonts w:eastAsiaTheme="minorEastAsia"/>
            <w:szCs w:val="24"/>
            <w:lang w:val="en-US" w:eastAsia="en-US" w:bidi="ar-SA"/>
          </w:rPr>
          <w:tab/>
        </w:r>
        <w:r w:rsidR="004934F4" w:rsidRPr="00576AF8">
          <w:rPr>
            <w:rStyle w:val="Hipervnculo"/>
          </w:rPr>
          <w:t>Documentos que Establecen la Conformidad del Sistema Informático</w:t>
        </w:r>
        <w:r w:rsidR="004934F4" w:rsidRPr="00576AF8">
          <w:rPr>
            <w:webHidden/>
          </w:rPr>
          <w:tab/>
        </w:r>
        <w:r w:rsidR="004934F4" w:rsidRPr="00576AF8">
          <w:rPr>
            <w:webHidden/>
          </w:rPr>
          <w:fldChar w:fldCharType="begin"/>
        </w:r>
        <w:r w:rsidR="004934F4" w:rsidRPr="00576AF8">
          <w:rPr>
            <w:webHidden/>
          </w:rPr>
          <w:instrText xml:space="preserve"> PAGEREF _Toc25486593 \h </w:instrText>
        </w:r>
        <w:r w:rsidR="004934F4" w:rsidRPr="00576AF8">
          <w:rPr>
            <w:webHidden/>
          </w:rPr>
        </w:r>
        <w:r w:rsidR="004934F4" w:rsidRPr="00576AF8">
          <w:rPr>
            <w:webHidden/>
          </w:rPr>
          <w:fldChar w:fldCharType="separate"/>
        </w:r>
        <w:r w:rsidR="004934F4" w:rsidRPr="00576AF8">
          <w:rPr>
            <w:webHidden/>
          </w:rPr>
          <w:t>24</w:t>
        </w:r>
        <w:r w:rsidR="004934F4" w:rsidRPr="00576AF8">
          <w:rPr>
            <w:webHidden/>
          </w:rPr>
          <w:fldChar w:fldCharType="end"/>
        </w:r>
      </w:hyperlink>
    </w:p>
    <w:p w14:paraId="3F54824F" w14:textId="77777777" w:rsidR="004934F4" w:rsidRPr="00576AF8" w:rsidRDefault="006334E7">
      <w:pPr>
        <w:pStyle w:val="TDC2"/>
        <w:rPr>
          <w:rFonts w:eastAsiaTheme="minorEastAsia"/>
          <w:szCs w:val="24"/>
          <w:lang w:val="en-US" w:eastAsia="en-US" w:bidi="ar-SA"/>
        </w:rPr>
      </w:pPr>
      <w:hyperlink w:anchor="_Toc25486594" w:history="1">
        <w:r w:rsidR="004934F4" w:rsidRPr="00576AF8">
          <w:rPr>
            <w:rStyle w:val="Hipervnculo"/>
          </w:rPr>
          <w:t>18.</w:t>
        </w:r>
        <w:r w:rsidR="004934F4" w:rsidRPr="00576AF8">
          <w:rPr>
            <w:rFonts w:eastAsiaTheme="minorEastAsia"/>
            <w:szCs w:val="24"/>
            <w:lang w:val="en-US" w:eastAsia="en-US" w:bidi="ar-SA"/>
          </w:rPr>
          <w:tab/>
        </w:r>
        <w:r w:rsidR="004934F4" w:rsidRPr="00576AF8">
          <w:rPr>
            <w:rStyle w:val="Hipervnculo"/>
          </w:rPr>
          <w:t>Monedas de la Oferta y de Pago</w:t>
        </w:r>
        <w:r w:rsidR="004934F4" w:rsidRPr="00576AF8">
          <w:rPr>
            <w:webHidden/>
          </w:rPr>
          <w:tab/>
        </w:r>
        <w:r w:rsidR="004934F4" w:rsidRPr="00576AF8">
          <w:rPr>
            <w:webHidden/>
          </w:rPr>
          <w:fldChar w:fldCharType="begin"/>
        </w:r>
        <w:r w:rsidR="004934F4" w:rsidRPr="00576AF8">
          <w:rPr>
            <w:webHidden/>
          </w:rPr>
          <w:instrText xml:space="preserve"> PAGEREF _Toc25486594 \h </w:instrText>
        </w:r>
        <w:r w:rsidR="004934F4" w:rsidRPr="00576AF8">
          <w:rPr>
            <w:webHidden/>
          </w:rPr>
        </w:r>
        <w:r w:rsidR="004934F4" w:rsidRPr="00576AF8">
          <w:rPr>
            <w:webHidden/>
          </w:rPr>
          <w:fldChar w:fldCharType="separate"/>
        </w:r>
        <w:r w:rsidR="004934F4" w:rsidRPr="00576AF8">
          <w:rPr>
            <w:webHidden/>
          </w:rPr>
          <w:t>26</w:t>
        </w:r>
        <w:r w:rsidR="004934F4" w:rsidRPr="00576AF8">
          <w:rPr>
            <w:webHidden/>
          </w:rPr>
          <w:fldChar w:fldCharType="end"/>
        </w:r>
      </w:hyperlink>
    </w:p>
    <w:p w14:paraId="2817D9D5" w14:textId="77777777" w:rsidR="004934F4" w:rsidRPr="00576AF8" w:rsidRDefault="006334E7">
      <w:pPr>
        <w:pStyle w:val="TDC2"/>
        <w:rPr>
          <w:rFonts w:eastAsiaTheme="minorEastAsia"/>
          <w:szCs w:val="24"/>
          <w:lang w:val="en-US" w:eastAsia="en-US" w:bidi="ar-SA"/>
        </w:rPr>
      </w:pPr>
      <w:hyperlink w:anchor="_Toc25486595" w:history="1">
        <w:r w:rsidR="004934F4" w:rsidRPr="00576AF8">
          <w:rPr>
            <w:rStyle w:val="Hipervnculo"/>
          </w:rPr>
          <w:t>19.</w:t>
        </w:r>
        <w:r w:rsidR="004934F4" w:rsidRPr="00576AF8">
          <w:rPr>
            <w:rFonts w:eastAsiaTheme="minorEastAsia"/>
            <w:szCs w:val="24"/>
            <w:lang w:val="en-US" w:eastAsia="en-US" w:bidi="ar-SA"/>
          </w:rPr>
          <w:tab/>
        </w:r>
        <w:r w:rsidR="004934F4" w:rsidRPr="00576AF8">
          <w:rPr>
            <w:rStyle w:val="Hipervnculo"/>
          </w:rPr>
          <w:t>Período de Validez de las Ofertas</w:t>
        </w:r>
        <w:r w:rsidR="004934F4" w:rsidRPr="00576AF8">
          <w:rPr>
            <w:webHidden/>
          </w:rPr>
          <w:tab/>
        </w:r>
        <w:r w:rsidR="004934F4" w:rsidRPr="00576AF8">
          <w:rPr>
            <w:webHidden/>
          </w:rPr>
          <w:fldChar w:fldCharType="begin"/>
        </w:r>
        <w:r w:rsidR="004934F4" w:rsidRPr="00576AF8">
          <w:rPr>
            <w:webHidden/>
          </w:rPr>
          <w:instrText xml:space="preserve"> PAGEREF _Toc25486595 \h </w:instrText>
        </w:r>
        <w:r w:rsidR="004934F4" w:rsidRPr="00576AF8">
          <w:rPr>
            <w:webHidden/>
          </w:rPr>
        </w:r>
        <w:r w:rsidR="004934F4" w:rsidRPr="00576AF8">
          <w:rPr>
            <w:webHidden/>
          </w:rPr>
          <w:fldChar w:fldCharType="separate"/>
        </w:r>
        <w:r w:rsidR="004934F4" w:rsidRPr="00576AF8">
          <w:rPr>
            <w:webHidden/>
          </w:rPr>
          <w:t>26</w:t>
        </w:r>
        <w:r w:rsidR="004934F4" w:rsidRPr="00576AF8">
          <w:rPr>
            <w:webHidden/>
          </w:rPr>
          <w:fldChar w:fldCharType="end"/>
        </w:r>
      </w:hyperlink>
    </w:p>
    <w:p w14:paraId="360C7EA5" w14:textId="77777777" w:rsidR="004934F4" w:rsidRPr="00576AF8" w:rsidRDefault="006334E7">
      <w:pPr>
        <w:pStyle w:val="TDC2"/>
        <w:rPr>
          <w:rFonts w:eastAsiaTheme="minorEastAsia"/>
          <w:szCs w:val="24"/>
          <w:lang w:val="en-US" w:eastAsia="en-US" w:bidi="ar-SA"/>
        </w:rPr>
      </w:pPr>
      <w:hyperlink w:anchor="_Toc25486596" w:history="1">
        <w:r w:rsidR="004934F4" w:rsidRPr="00576AF8">
          <w:rPr>
            <w:rStyle w:val="Hipervnculo"/>
          </w:rPr>
          <w:t>20.</w:t>
        </w:r>
        <w:r w:rsidR="004934F4" w:rsidRPr="00576AF8">
          <w:rPr>
            <w:rFonts w:eastAsiaTheme="minorEastAsia"/>
            <w:szCs w:val="24"/>
            <w:lang w:val="en-US" w:eastAsia="en-US" w:bidi="ar-SA"/>
          </w:rPr>
          <w:tab/>
        </w:r>
        <w:r w:rsidR="004934F4" w:rsidRPr="00576AF8">
          <w:rPr>
            <w:rStyle w:val="Hipervnculo"/>
          </w:rPr>
          <w:t>Garantía de Mantenimiento de la Oferta</w:t>
        </w:r>
        <w:r w:rsidR="004934F4" w:rsidRPr="00576AF8">
          <w:rPr>
            <w:webHidden/>
          </w:rPr>
          <w:tab/>
        </w:r>
        <w:r w:rsidR="004934F4" w:rsidRPr="00576AF8">
          <w:rPr>
            <w:webHidden/>
          </w:rPr>
          <w:fldChar w:fldCharType="begin"/>
        </w:r>
        <w:r w:rsidR="004934F4" w:rsidRPr="00576AF8">
          <w:rPr>
            <w:webHidden/>
          </w:rPr>
          <w:instrText xml:space="preserve"> PAGEREF _Toc25486596 \h </w:instrText>
        </w:r>
        <w:r w:rsidR="004934F4" w:rsidRPr="00576AF8">
          <w:rPr>
            <w:webHidden/>
          </w:rPr>
        </w:r>
        <w:r w:rsidR="004934F4" w:rsidRPr="00576AF8">
          <w:rPr>
            <w:webHidden/>
          </w:rPr>
          <w:fldChar w:fldCharType="separate"/>
        </w:r>
        <w:r w:rsidR="004934F4" w:rsidRPr="00576AF8">
          <w:rPr>
            <w:webHidden/>
          </w:rPr>
          <w:t>27</w:t>
        </w:r>
        <w:r w:rsidR="004934F4" w:rsidRPr="00576AF8">
          <w:rPr>
            <w:webHidden/>
          </w:rPr>
          <w:fldChar w:fldCharType="end"/>
        </w:r>
      </w:hyperlink>
    </w:p>
    <w:p w14:paraId="1863579C" w14:textId="77777777" w:rsidR="004934F4" w:rsidRPr="00576AF8" w:rsidRDefault="006334E7">
      <w:pPr>
        <w:pStyle w:val="TDC2"/>
        <w:rPr>
          <w:rFonts w:eastAsiaTheme="minorEastAsia"/>
          <w:szCs w:val="24"/>
          <w:lang w:val="en-US" w:eastAsia="en-US" w:bidi="ar-SA"/>
        </w:rPr>
      </w:pPr>
      <w:hyperlink w:anchor="_Toc25486597" w:history="1">
        <w:r w:rsidR="004934F4" w:rsidRPr="00576AF8">
          <w:rPr>
            <w:rStyle w:val="Hipervnculo"/>
          </w:rPr>
          <w:t>21.</w:t>
        </w:r>
        <w:r w:rsidR="004934F4" w:rsidRPr="00576AF8">
          <w:rPr>
            <w:rFonts w:eastAsiaTheme="minorEastAsia"/>
            <w:szCs w:val="24"/>
            <w:lang w:val="en-US" w:eastAsia="en-US" w:bidi="ar-SA"/>
          </w:rPr>
          <w:tab/>
        </w:r>
        <w:r w:rsidR="004934F4" w:rsidRPr="00576AF8">
          <w:rPr>
            <w:rStyle w:val="Hipervnculo"/>
          </w:rPr>
          <w:t>Formato y Firma de la Oferta</w:t>
        </w:r>
        <w:r w:rsidR="004934F4" w:rsidRPr="00576AF8">
          <w:rPr>
            <w:webHidden/>
          </w:rPr>
          <w:tab/>
        </w:r>
        <w:r w:rsidR="004934F4" w:rsidRPr="00576AF8">
          <w:rPr>
            <w:webHidden/>
          </w:rPr>
          <w:fldChar w:fldCharType="begin"/>
        </w:r>
        <w:r w:rsidR="004934F4" w:rsidRPr="00576AF8">
          <w:rPr>
            <w:webHidden/>
          </w:rPr>
          <w:instrText xml:space="preserve"> PAGEREF _Toc25486597 \h </w:instrText>
        </w:r>
        <w:r w:rsidR="004934F4" w:rsidRPr="00576AF8">
          <w:rPr>
            <w:webHidden/>
          </w:rPr>
        </w:r>
        <w:r w:rsidR="004934F4" w:rsidRPr="00576AF8">
          <w:rPr>
            <w:webHidden/>
          </w:rPr>
          <w:fldChar w:fldCharType="separate"/>
        </w:r>
        <w:r w:rsidR="004934F4" w:rsidRPr="00576AF8">
          <w:rPr>
            <w:webHidden/>
          </w:rPr>
          <w:t>29</w:t>
        </w:r>
        <w:r w:rsidR="004934F4" w:rsidRPr="00576AF8">
          <w:rPr>
            <w:webHidden/>
          </w:rPr>
          <w:fldChar w:fldCharType="end"/>
        </w:r>
      </w:hyperlink>
    </w:p>
    <w:p w14:paraId="3624C314"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598" w:history="1">
        <w:r w:rsidR="004934F4" w:rsidRPr="00576AF8">
          <w:rPr>
            <w:rStyle w:val="Hipervnculo"/>
            <w:rFonts w:ascii="Times New Roman" w:hAnsi="Times New Roman"/>
            <w:noProof/>
          </w:rPr>
          <w:t>D. Presentación y Apertura de las Ofertas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_Toc25486598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30</w:t>
        </w:r>
        <w:r w:rsidR="004934F4" w:rsidRPr="00576AF8">
          <w:rPr>
            <w:rFonts w:ascii="Times New Roman" w:hAnsi="Times New Roman"/>
            <w:noProof/>
            <w:webHidden/>
          </w:rPr>
          <w:fldChar w:fldCharType="end"/>
        </w:r>
      </w:hyperlink>
    </w:p>
    <w:p w14:paraId="3B5CB414" w14:textId="77777777" w:rsidR="004934F4" w:rsidRPr="00576AF8" w:rsidRDefault="006334E7">
      <w:pPr>
        <w:pStyle w:val="TDC2"/>
        <w:rPr>
          <w:rFonts w:eastAsiaTheme="minorEastAsia"/>
          <w:szCs w:val="24"/>
          <w:lang w:val="en-US" w:eastAsia="en-US" w:bidi="ar-SA"/>
        </w:rPr>
      </w:pPr>
      <w:hyperlink w:anchor="_Toc25486599" w:history="1">
        <w:r w:rsidR="004934F4" w:rsidRPr="00576AF8">
          <w:rPr>
            <w:rStyle w:val="Hipervnculo"/>
          </w:rPr>
          <w:t>22.</w:t>
        </w:r>
        <w:r w:rsidR="004934F4" w:rsidRPr="00576AF8">
          <w:rPr>
            <w:rFonts w:eastAsiaTheme="minorEastAsia"/>
            <w:szCs w:val="24"/>
            <w:lang w:val="en-US" w:eastAsia="en-US" w:bidi="ar-SA"/>
          </w:rPr>
          <w:tab/>
        </w:r>
        <w:r w:rsidR="004934F4" w:rsidRPr="00576AF8">
          <w:rPr>
            <w:rStyle w:val="Hipervnculo"/>
          </w:rPr>
          <w:t>Presentación, Cierre e Identificación de las Ofertas</w:t>
        </w:r>
        <w:r w:rsidR="004934F4" w:rsidRPr="00576AF8">
          <w:rPr>
            <w:webHidden/>
          </w:rPr>
          <w:tab/>
        </w:r>
        <w:r w:rsidR="004934F4" w:rsidRPr="00576AF8">
          <w:rPr>
            <w:webHidden/>
          </w:rPr>
          <w:fldChar w:fldCharType="begin"/>
        </w:r>
        <w:r w:rsidR="004934F4" w:rsidRPr="00576AF8">
          <w:rPr>
            <w:webHidden/>
          </w:rPr>
          <w:instrText xml:space="preserve"> PAGEREF _Toc25486599 \h </w:instrText>
        </w:r>
        <w:r w:rsidR="004934F4" w:rsidRPr="00576AF8">
          <w:rPr>
            <w:webHidden/>
          </w:rPr>
        </w:r>
        <w:r w:rsidR="004934F4" w:rsidRPr="00576AF8">
          <w:rPr>
            <w:webHidden/>
          </w:rPr>
          <w:fldChar w:fldCharType="separate"/>
        </w:r>
        <w:r w:rsidR="004934F4" w:rsidRPr="00576AF8">
          <w:rPr>
            <w:webHidden/>
          </w:rPr>
          <w:t>30</w:t>
        </w:r>
        <w:r w:rsidR="004934F4" w:rsidRPr="00576AF8">
          <w:rPr>
            <w:webHidden/>
          </w:rPr>
          <w:fldChar w:fldCharType="end"/>
        </w:r>
      </w:hyperlink>
    </w:p>
    <w:p w14:paraId="6E7526A0" w14:textId="77777777" w:rsidR="004934F4" w:rsidRPr="00576AF8" w:rsidRDefault="006334E7">
      <w:pPr>
        <w:pStyle w:val="TDC2"/>
        <w:rPr>
          <w:rFonts w:eastAsiaTheme="minorEastAsia"/>
          <w:szCs w:val="24"/>
          <w:lang w:val="en-US" w:eastAsia="en-US" w:bidi="ar-SA"/>
        </w:rPr>
      </w:pPr>
      <w:hyperlink w:anchor="_Toc25486600" w:history="1">
        <w:r w:rsidR="004934F4" w:rsidRPr="00576AF8">
          <w:rPr>
            <w:rStyle w:val="Hipervnculo"/>
          </w:rPr>
          <w:t>23.</w:t>
        </w:r>
        <w:r w:rsidR="004934F4" w:rsidRPr="00576AF8">
          <w:rPr>
            <w:rFonts w:eastAsiaTheme="minorEastAsia"/>
            <w:szCs w:val="24"/>
            <w:lang w:val="en-US" w:eastAsia="en-US" w:bidi="ar-SA"/>
          </w:rPr>
          <w:tab/>
        </w:r>
        <w:r w:rsidR="004934F4" w:rsidRPr="00576AF8">
          <w:rPr>
            <w:rStyle w:val="Hipervnculo"/>
          </w:rPr>
          <w:t>Plazo para la Presentación de Ofertas</w:t>
        </w:r>
        <w:r w:rsidR="004934F4" w:rsidRPr="00576AF8">
          <w:rPr>
            <w:webHidden/>
          </w:rPr>
          <w:tab/>
        </w:r>
        <w:r w:rsidR="004934F4" w:rsidRPr="00576AF8">
          <w:rPr>
            <w:webHidden/>
          </w:rPr>
          <w:fldChar w:fldCharType="begin"/>
        </w:r>
        <w:r w:rsidR="004934F4" w:rsidRPr="00576AF8">
          <w:rPr>
            <w:webHidden/>
          </w:rPr>
          <w:instrText xml:space="preserve"> PAGEREF _Toc25486600 \h </w:instrText>
        </w:r>
        <w:r w:rsidR="004934F4" w:rsidRPr="00576AF8">
          <w:rPr>
            <w:webHidden/>
          </w:rPr>
        </w:r>
        <w:r w:rsidR="004934F4" w:rsidRPr="00576AF8">
          <w:rPr>
            <w:webHidden/>
          </w:rPr>
          <w:fldChar w:fldCharType="separate"/>
        </w:r>
        <w:r w:rsidR="004934F4" w:rsidRPr="00576AF8">
          <w:rPr>
            <w:webHidden/>
          </w:rPr>
          <w:t>31</w:t>
        </w:r>
        <w:r w:rsidR="004934F4" w:rsidRPr="00576AF8">
          <w:rPr>
            <w:webHidden/>
          </w:rPr>
          <w:fldChar w:fldCharType="end"/>
        </w:r>
      </w:hyperlink>
    </w:p>
    <w:p w14:paraId="1F57AD48" w14:textId="77777777" w:rsidR="004934F4" w:rsidRPr="00576AF8" w:rsidRDefault="006334E7">
      <w:pPr>
        <w:pStyle w:val="TDC2"/>
        <w:rPr>
          <w:rFonts w:eastAsiaTheme="minorEastAsia"/>
          <w:szCs w:val="24"/>
          <w:lang w:val="en-US" w:eastAsia="en-US" w:bidi="ar-SA"/>
        </w:rPr>
      </w:pPr>
      <w:hyperlink w:anchor="_Toc25486601" w:history="1">
        <w:r w:rsidR="004934F4" w:rsidRPr="00576AF8">
          <w:rPr>
            <w:rStyle w:val="Hipervnculo"/>
          </w:rPr>
          <w:t>24.</w:t>
        </w:r>
        <w:r w:rsidR="004934F4" w:rsidRPr="00576AF8">
          <w:rPr>
            <w:rFonts w:eastAsiaTheme="minorEastAsia"/>
            <w:szCs w:val="24"/>
            <w:lang w:val="en-US" w:eastAsia="en-US" w:bidi="ar-SA"/>
          </w:rPr>
          <w:tab/>
        </w:r>
        <w:r w:rsidR="004934F4" w:rsidRPr="00576AF8">
          <w:rPr>
            <w:rStyle w:val="Hipervnculo"/>
          </w:rPr>
          <w:t>Ofertas Tardías</w:t>
        </w:r>
        <w:r w:rsidR="004934F4" w:rsidRPr="00576AF8">
          <w:rPr>
            <w:webHidden/>
          </w:rPr>
          <w:tab/>
        </w:r>
        <w:r w:rsidR="004934F4" w:rsidRPr="00576AF8">
          <w:rPr>
            <w:webHidden/>
          </w:rPr>
          <w:fldChar w:fldCharType="begin"/>
        </w:r>
        <w:r w:rsidR="004934F4" w:rsidRPr="00576AF8">
          <w:rPr>
            <w:webHidden/>
          </w:rPr>
          <w:instrText xml:space="preserve"> PAGEREF _Toc25486601 \h </w:instrText>
        </w:r>
        <w:r w:rsidR="004934F4" w:rsidRPr="00576AF8">
          <w:rPr>
            <w:webHidden/>
          </w:rPr>
        </w:r>
        <w:r w:rsidR="004934F4" w:rsidRPr="00576AF8">
          <w:rPr>
            <w:webHidden/>
          </w:rPr>
          <w:fldChar w:fldCharType="separate"/>
        </w:r>
        <w:r w:rsidR="004934F4" w:rsidRPr="00576AF8">
          <w:rPr>
            <w:webHidden/>
          </w:rPr>
          <w:t>31</w:t>
        </w:r>
        <w:r w:rsidR="004934F4" w:rsidRPr="00576AF8">
          <w:rPr>
            <w:webHidden/>
          </w:rPr>
          <w:fldChar w:fldCharType="end"/>
        </w:r>
      </w:hyperlink>
    </w:p>
    <w:p w14:paraId="019F5F07" w14:textId="77777777" w:rsidR="004934F4" w:rsidRPr="00576AF8" w:rsidRDefault="006334E7">
      <w:pPr>
        <w:pStyle w:val="TDC2"/>
        <w:rPr>
          <w:rFonts w:eastAsiaTheme="minorEastAsia"/>
          <w:szCs w:val="24"/>
          <w:lang w:val="en-US" w:eastAsia="en-US" w:bidi="ar-SA"/>
        </w:rPr>
      </w:pPr>
      <w:hyperlink w:anchor="_Toc25486602" w:history="1">
        <w:r w:rsidR="004934F4" w:rsidRPr="00576AF8">
          <w:rPr>
            <w:rStyle w:val="Hipervnculo"/>
          </w:rPr>
          <w:t>25.</w:t>
        </w:r>
        <w:r w:rsidR="004934F4" w:rsidRPr="00576AF8">
          <w:rPr>
            <w:rFonts w:eastAsiaTheme="minorEastAsia"/>
            <w:szCs w:val="24"/>
            <w:lang w:val="en-US" w:eastAsia="en-US" w:bidi="ar-SA"/>
          </w:rPr>
          <w:tab/>
        </w:r>
        <w:r w:rsidR="004934F4" w:rsidRPr="00576AF8">
          <w:rPr>
            <w:rStyle w:val="Hipervnculo"/>
          </w:rPr>
          <w:t>Retiro, Sustitución y Modificación de Ofertas</w:t>
        </w:r>
        <w:r w:rsidR="004934F4" w:rsidRPr="00576AF8">
          <w:rPr>
            <w:webHidden/>
          </w:rPr>
          <w:tab/>
        </w:r>
        <w:r w:rsidR="004934F4" w:rsidRPr="00576AF8">
          <w:rPr>
            <w:webHidden/>
          </w:rPr>
          <w:fldChar w:fldCharType="begin"/>
        </w:r>
        <w:r w:rsidR="004934F4" w:rsidRPr="00576AF8">
          <w:rPr>
            <w:webHidden/>
          </w:rPr>
          <w:instrText xml:space="preserve"> PAGEREF _Toc25486602 \h </w:instrText>
        </w:r>
        <w:r w:rsidR="004934F4" w:rsidRPr="00576AF8">
          <w:rPr>
            <w:webHidden/>
          </w:rPr>
        </w:r>
        <w:r w:rsidR="004934F4" w:rsidRPr="00576AF8">
          <w:rPr>
            <w:webHidden/>
          </w:rPr>
          <w:fldChar w:fldCharType="separate"/>
        </w:r>
        <w:r w:rsidR="004934F4" w:rsidRPr="00576AF8">
          <w:rPr>
            <w:webHidden/>
          </w:rPr>
          <w:t>32</w:t>
        </w:r>
        <w:r w:rsidR="004934F4" w:rsidRPr="00576AF8">
          <w:rPr>
            <w:webHidden/>
          </w:rPr>
          <w:fldChar w:fldCharType="end"/>
        </w:r>
      </w:hyperlink>
    </w:p>
    <w:p w14:paraId="5A0D480A"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03" w:history="1">
        <w:r w:rsidR="004934F4" w:rsidRPr="00576AF8">
          <w:rPr>
            <w:rStyle w:val="Hipervnculo"/>
            <w:rFonts w:ascii="Times New Roman" w:hAnsi="Times New Roman"/>
            <w:noProof/>
          </w:rPr>
          <w:t>E. Apertura Pública de las Partes Técnicas de las Ofertas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_Toc25486603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32</w:t>
        </w:r>
        <w:r w:rsidR="004934F4" w:rsidRPr="00576AF8">
          <w:rPr>
            <w:rFonts w:ascii="Times New Roman" w:hAnsi="Times New Roman"/>
            <w:noProof/>
            <w:webHidden/>
          </w:rPr>
          <w:fldChar w:fldCharType="end"/>
        </w:r>
      </w:hyperlink>
    </w:p>
    <w:p w14:paraId="4A917FD3" w14:textId="77777777" w:rsidR="004934F4" w:rsidRPr="00576AF8" w:rsidRDefault="006334E7">
      <w:pPr>
        <w:pStyle w:val="TDC2"/>
        <w:rPr>
          <w:rFonts w:eastAsiaTheme="minorEastAsia"/>
          <w:szCs w:val="24"/>
          <w:lang w:val="en-US" w:eastAsia="en-US" w:bidi="ar-SA"/>
        </w:rPr>
      </w:pPr>
      <w:hyperlink w:anchor="_Toc25486604" w:history="1">
        <w:r w:rsidR="004934F4" w:rsidRPr="00576AF8">
          <w:rPr>
            <w:rStyle w:val="Hipervnculo"/>
          </w:rPr>
          <w:t>26.</w:t>
        </w:r>
        <w:r w:rsidR="004934F4" w:rsidRPr="00576AF8">
          <w:rPr>
            <w:rFonts w:eastAsiaTheme="minorEastAsia"/>
            <w:szCs w:val="24"/>
            <w:lang w:val="en-US" w:eastAsia="en-US" w:bidi="ar-SA"/>
          </w:rPr>
          <w:tab/>
        </w:r>
        <w:r w:rsidR="004934F4" w:rsidRPr="00576AF8">
          <w:rPr>
            <w:rStyle w:val="Hipervnculo"/>
          </w:rPr>
          <w:t>Apertura de las Partes Técnicas de las Ofertas</w:t>
        </w:r>
        <w:r w:rsidR="004934F4" w:rsidRPr="00576AF8">
          <w:rPr>
            <w:webHidden/>
          </w:rPr>
          <w:tab/>
        </w:r>
        <w:r w:rsidR="004934F4" w:rsidRPr="00576AF8">
          <w:rPr>
            <w:webHidden/>
          </w:rPr>
          <w:fldChar w:fldCharType="begin"/>
        </w:r>
        <w:r w:rsidR="004934F4" w:rsidRPr="00576AF8">
          <w:rPr>
            <w:webHidden/>
          </w:rPr>
          <w:instrText xml:space="preserve"> PAGEREF _Toc25486604 \h </w:instrText>
        </w:r>
        <w:r w:rsidR="004934F4" w:rsidRPr="00576AF8">
          <w:rPr>
            <w:webHidden/>
          </w:rPr>
        </w:r>
        <w:r w:rsidR="004934F4" w:rsidRPr="00576AF8">
          <w:rPr>
            <w:webHidden/>
          </w:rPr>
          <w:fldChar w:fldCharType="separate"/>
        </w:r>
        <w:r w:rsidR="004934F4" w:rsidRPr="00576AF8">
          <w:rPr>
            <w:webHidden/>
          </w:rPr>
          <w:t>32</w:t>
        </w:r>
        <w:r w:rsidR="004934F4" w:rsidRPr="00576AF8">
          <w:rPr>
            <w:webHidden/>
          </w:rPr>
          <w:fldChar w:fldCharType="end"/>
        </w:r>
      </w:hyperlink>
    </w:p>
    <w:p w14:paraId="4AE19EF0"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05" w:history="1">
        <w:r w:rsidR="004934F4" w:rsidRPr="00576AF8">
          <w:rPr>
            <w:rStyle w:val="Hipervnculo"/>
            <w:rFonts w:ascii="Times New Roman" w:hAnsi="Times New Roman"/>
            <w:noProof/>
          </w:rPr>
          <w:t>F. Evaluación de las Ofertas. Disposiciones Generales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_Toc25486605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34</w:t>
        </w:r>
        <w:r w:rsidR="004934F4" w:rsidRPr="00576AF8">
          <w:rPr>
            <w:rFonts w:ascii="Times New Roman" w:hAnsi="Times New Roman"/>
            <w:noProof/>
            <w:webHidden/>
          </w:rPr>
          <w:fldChar w:fldCharType="end"/>
        </w:r>
      </w:hyperlink>
    </w:p>
    <w:p w14:paraId="4C9B3C7F" w14:textId="77777777" w:rsidR="004934F4" w:rsidRPr="00576AF8" w:rsidRDefault="006334E7">
      <w:pPr>
        <w:pStyle w:val="TDC2"/>
        <w:rPr>
          <w:rFonts w:eastAsiaTheme="minorEastAsia"/>
          <w:szCs w:val="24"/>
          <w:lang w:val="en-US" w:eastAsia="en-US" w:bidi="ar-SA"/>
        </w:rPr>
      </w:pPr>
      <w:hyperlink w:anchor="_Toc25486606" w:history="1">
        <w:r w:rsidR="004934F4" w:rsidRPr="00576AF8">
          <w:rPr>
            <w:rStyle w:val="Hipervnculo"/>
          </w:rPr>
          <w:t>27.</w:t>
        </w:r>
        <w:r w:rsidR="004934F4" w:rsidRPr="00576AF8">
          <w:rPr>
            <w:rFonts w:eastAsiaTheme="minorEastAsia"/>
            <w:szCs w:val="24"/>
            <w:lang w:val="en-US" w:eastAsia="en-US" w:bidi="ar-SA"/>
          </w:rPr>
          <w:tab/>
        </w:r>
        <w:r w:rsidR="004934F4" w:rsidRPr="00576AF8">
          <w:rPr>
            <w:rStyle w:val="Hipervnculo"/>
          </w:rPr>
          <w:t>Confidencialidad</w:t>
        </w:r>
        <w:r w:rsidR="004934F4" w:rsidRPr="00576AF8">
          <w:rPr>
            <w:webHidden/>
          </w:rPr>
          <w:tab/>
        </w:r>
        <w:r w:rsidR="004934F4" w:rsidRPr="00576AF8">
          <w:rPr>
            <w:webHidden/>
          </w:rPr>
          <w:fldChar w:fldCharType="begin"/>
        </w:r>
        <w:r w:rsidR="004934F4" w:rsidRPr="00576AF8">
          <w:rPr>
            <w:webHidden/>
          </w:rPr>
          <w:instrText xml:space="preserve"> PAGEREF _Toc25486606 \h </w:instrText>
        </w:r>
        <w:r w:rsidR="004934F4" w:rsidRPr="00576AF8">
          <w:rPr>
            <w:webHidden/>
          </w:rPr>
        </w:r>
        <w:r w:rsidR="004934F4" w:rsidRPr="00576AF8">
          <w:rPr>
            <w:webHidden/>
          </w:rPr>
          <w:fldChar w:fldCharType="separate"/>
        </w:r>
        <w:r w:rsidR="004934F4" w:rsidRPr="00576AF8">
          <w:rPr>
            <w:webHidden/>
          </w:rPr>
          <w:t>34</w:t>
        </w:r>
        <w:r w:rsidR="004934F4" w:rsidRPr="00576AF8">
          <w:rPr>
            <w:webHidden/>
          </w:rPr>
          <w:fldChar w:fldCharType="end"/>
        </w:r>
      </w:hyperlink>
    </w:p>
    <w:p w14:paraId="7A6CAFC5" w14:textId="77777777" w:rsidR="004934F4" w:rsidRPr="00576AF8" w:rsidRDefault="006334E7">
      <w:pPr>
        <w:pStyle w:val="TDC2"/>
        <w:rPr>
          <w:rFonts w:eastAsiaTheme="minorEastAsia"/>
          <w:szCs w:val="24"/>
          <w:lang w:val="en-US" w:eastAsia="en-US" w:bidi="ar-SA"/>
        </w:rPr>
      </w:pPr>
      <w:hyperlink w:anchor="_Toc25486607" w:history="1">
        <w:r w:rsidR="004934F4" w:rsidRPr="00576AF8">
          <w:rPr>
            <w:rStyle w:val="Hipervnculo"/>
          </w:rPr>
          <w:t>28.</w:t>
        </w:r>
        <w:r w:rsidR="004934F4" w:rsidRPr="00576AF8">
          <w:rPr>
            <w:rFonts w:eastAsiaTheme="minorEastAsia"/>
            <w:szCs w:val="24"/>
            <w:lang w:val="en-US" w:eastAsia="en-US" w:bidi="ar-SA"/>
          </w:rPr>
          <w:tab/>
        </w:r>
        <w:r w:rsidR="004934F4" w:rsidRPr="00576AF8">
          <w:rPr>
            <w:rStyle w:val="Hipervnculo"/>
          </w:rPr>
          <w:t>Aclaración de las Ofertas</w:t>
        </w:r>
        <w:r w:rsidR="004934F4" w:rsidRPr="00576AF8">
          <w:rPr>
            <w:webHidden/>
          </w:rPr>
          <w:tab/>
        </w:r>
        <w:r w:rsidR="004934F4" w:rsidRPr="00576AF8">
          <w:rPr>
            <w:webHidden/>
          </w:rPr>
          <w:fldChar w:fldCharType="begin"/>
        </w:r>
        <w:r w:rsidR="004934F4" w:rsidRPr="00576AF8">
          <w:rPr>
            <w:webHidden/>
          </w:rPr>
          <w:instrText xml:space="preserve"> PAGEREF _Toc25486607 \h </w:instrText>
        </w:r>
        <w:r w:rsidR="004934F4" w:rsidRPr="00576AF8">
          <w:rPr>
            <w:webHidden/>
          </w:rPr>
        </w:r>
        <w:r w:rsidR="004934F4" w:rsidRPr="00576AF8">
          <w:rPr>
            <w:webHidden/>
          </w:rPr>
          <w:fldChar w:fldCharType="separate"/>
        </w:r>
        <w:r w:rsidR="004934F4" w:rsidRPr="00576AF8">
          <w:rPr>
            <w:webHidden/>
          </w:rPr>
          <w:t>34</w:t>
        </w:r>
        <w:r w:rsidR="004934F4" w:rsidRPr="00576AF8">
          <w:rPr>
            <w:webHidden/>
          </w:rPr>
          <w:fldChar w:fldCharType="end"/>
        </w:r>
      </w:hyperlink>
    </w:p>
    <w:p w14:paraId="36A01E64" w14:textId="77777777" w:rsidR="004934F4" w:rsidRPr="00576AF8" w:rsidRDefault="006334E7">
      <w:pPr>
        <w:pStyle w:val="TDC2"/>
        <w:rPr>
          <w:rFonts w:eastAsiaTheme="minorEastAsia"/>
          <w:szCs w:val="24"/>
          <w:lang w:val="en-US" w:eastAsia="en-US" w:bidi="ar-SA"/>
        </w:rPr>
      </w:pPr>
      <w:hyperlink w:anchor="_Toc25486608" w:history="1">
        <w:r w:rsidR="004934F4" w:rsidRPr="00576AF8">
          <w:rPr>
            <w:rStyle w:val="Hipervnculo"/>
          </w:rPr>
          <w:t>29.</w:t>
        </w:r>
        <w:r w:rsidR="004934F4" w:rsidRPr="00576AF8">
          <w:rPr>
            <w:rFonts w:eastAsiaTheme="minorEastAsia"/>
            <w:szCs w:val="24"/>
            <w:lang w:val="en-US" w:eastAsia="en-US" w:bidi="ar-SA"/>
          </w:rPr>
          <w:tab/>
        </w:r>
        <w:r w:rsidR="004934F4" w:rsidRPr="00576AF8">
          <w:rPr>
            <w:rStyle w:val="Hipervnculo"/>
          </w:rPr>
          <w:t>Desviaciones, Reservas y Omisiones</w:t>
        </w:r>
        <w:r w:rsidR="004934F4" w:rsidRPr="00576AF8">
          <w:rPr>
            <w:webHidden/>
          </w:rPr>
          <w:tab/>
        </w:r>
        <w:r w:rsidR="004934F4" w:rsidRPr="00576AF8">
          <w:rPr>
            <w:webHidden/>
          </w:rPr>
          <w:fldChar w:fldCharType="begin"/>
        </w:r>
        <w:r w:rsidR="004934F4" w:rsidRPr="00576AF8">
          <w:rPr>
            <w:webHidden/>
          </w:rPr>
          <w:instrText xml:space="preserve"> PAGEREF _Toc25486608 \h </w:instrText>
        </w:r>
        <w:r w:rsidR="004934F4" w:rsidRPr="00576AF8">
          <w:rPr>
            <w:webHidden/>
          </w:rPr>
        </w:r>
        <w:r w:rsidR="004934F4" w:rsidRPr="00576AF8">
          <w:rPr>
            <w:webHidden/>
          </w:rPr>
          <w:fldChar w:fldCharType="separate"/>
        </w:r>
        <w:r w:rsidR="004934F4" w:rsidRPr="00576AF8">
          <w:rPr>
            <w:webHidden/>
          </w:rPr>
          <w:t>34</w:t>
        </w:r>
        <w:r w:rsidR="004934F4" w:rsidRPr="00576AF8">
          <w:rPr>
            <w:webHidden/>
          </w:rPr>
          <w:fldChar w:fldCharType="end"/>
        </w:r>
      </w:hyperlink>
    </w:p>
    <w:p w14:paraId="37BAA5B1" w14:textId="77777777" w:rsidR="004934F4" w:rsidRPr="00576AF8" w:rsidRDefault="006334E7">
      <w:pPr>
        <w:pStyle w:val="TDC2"/>
        <w:rPr>
          <w:rFonts w:eastAsiaTheme="minorEastAsia"/>
          <w:szCs w:val="24"/>
          <w:lang w:val="en-US" w:eastAsia="en-US" w:bidi="ar-SA"/>
        </w:rPr>
      </w:pPr>
      <w:hyperlink w:anchor="_Toc25486609" w:history="1">
        <w:r w:rsidR="004934F4" w:rsidRPr="00576AF8">
          <w:rPr>
            <w:rStyle w:val="Hipervnculo"/>
          </w:rPr>
          <w:t>30.</w:t>
        </w:r>
        <w:r w:rsidR="004934F4" w:rsidRPr="00576AF8">
          <w:rPr>
            <w:rFonts w:eastAsiaTheme="minorEastAsia"/>
            <w:szCs w:val="24"/>
            <w:lang w:val="en-US" w:eastAsia="en-US" w:bidi="ar-SA"/>
          </w:rPr>
          <w:tab/>
        </w:r>
        <w:r w:rsidR="004934F4" w:rsidRPr="00576AF8">
          <w:rPr>
            <w:rStyle w:val="Hipervnculo"/>
          </w:rPr>
          <w:t>Discrepancias No Significativas</w:t>
        </w:r>
        <w:r w:rsidR="004934F4" w:rsidRPr="00576AF8">
          <w:rPr>
            <w:webHidden/>
          </w:rPr>
          <w:tab/>
        </w:r>
        <w:r w:rsidR="004934F4" w:rsidRPr="00576AF8">
          <w:rPr>
            <w:webHidden/>
          </w:rPr>
          <w:fldChar w:fldCharType="begin"/>
        </w:r>
        <w:r w:rsidR="004934F4" w:rsidRPr="00576AF8">
          <w:rPr>
            <w:webHidden/>
          </w:rPr>
          <w:instrText xml:space="preserve"> PAGEREF _Toc25486609 \h </w:instrText>
        </w:r>
        <w:r w:rsidR="004934F4" w:rsidRPr="00576AF8">
          <w:rPr>
            <w:webHidden/>
          </w:rPr>
        </w:r>
        <w:r w:rsidR="004934F4" w:rsidRPr="00576AF8">
          <w:rPr>
            <w:webHidden/>
          </w:rPr>
          <w:fldChar w:fldCharType="separate"/>
        </w:r>
        <w:r w:rsidR="004934F4" w:rsidRPr="00576AF8">
          <w:rPr>
            <w:webHidden/>
          </w:rPr>
          <w:t>35</w:t>
        </w:r>
        <w:r w:rsidR="004934F4" w:rsidRPr="00576AF8">
          <w:rPr>
            <w:webHidden/>
          </w:rPr>
          <w:fldChar w:fldCharType="end"/>
        </w:r>
      </w:hyperlink>
    </w:p>
    <w:p w14:paraId="0E733618"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10" w:history="1">
        <w:r w:rsidR="004934F4" w:rsidRPr="00576AF8">
          <w:rPr>
            <w:rStyle w:val="Hipervnculo"/>
            <w:rFonts w:ascii="Times New Roman" w:hAnsi="Times New Roman"/>
            <w:noProof/>
          </w:rPr>
          <w:t>G. Evaluación de las Partes Técnicas de las Ofertas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_Toc25486610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35</w:t>
        </w:r>
        <w:r w:rsidR="004934F4" w:rsidRPr="00576AF8">
          <w:rPr>
            <w:rFonts w:ascii="Times New Roman" w:hAnsi="Times New Roman"/>
            <w:noProof/>
            <w:webHidden/>
          </w:rPr>
          <w:fldChar w:fldCharType="end"/>
        </w:r>
      </w:hyperlink>
    </w:p>
    <w:p w14:paraId="74EEF26F" w14:textId="77777777" w:rsidR="004934F4" w:rsidRPr="00576AF8" w:rsidRDefault="006334E7">
      <w:pPr>
        <w:pStyle w:val="TDC2"/>
        <w:rPr>
          <w:rFonts w:eastAsiaTheme="minorEastAsia"/>
          <w:szCs w:val="24"/>
          <w:lang w:val="en-US" w:eastAsia="en-US" w:bidi="ar-SA"/>
        </w:rPr>
      </w:pPr>
      <w:hyperlink w:anchor="_Toc25486611" w:history="1">
        <w:r w:rsidR="004934F4" w:rsidRPr="00576AF8">
          <w:rPr>
            <w:rStyle w:val="Hipervnculo"/>
          </w:rPr>
          <w:t>31. Evaluación  de las Partes Técnicas</w:t>
        </w:r>
        <w:r w:rsidR="004934F4" w:rsidRPr="00576AF8">
          <w:rPr>
            <w:webHidden/>
          </w:rPr>
          <w:tab/>
        </w:r>
        <w:r w:rsidR="004934F4" w:rsidRPr="00576AF8">
          <w:rPr>
            <w:webHidden/>
          </w:rPr>
          <w:fldChar w:fldCharType="begin"/>
        </w:r>
        <w:r w:rsidR="004934F4" w:rsidRPr="00576AF8">
          <w:rPr>
            <w:webHidden/>
          </w:rPr>
          <w:instrText xml:space="preserve"> PAGEREF _Toc25486611 \h </w:instrText>
        </w:r>
        <w:r w:rsidR="004934F4" w:rsidRPr="00576AF8">
          <w:rPr>
            <w:webHidden/>
          </w:rPr>
        </w:r>
        <w:r w:rsidR="004934F4" w:rsidRPr="00576AF8">
          <w:rPr>
            <w:webHidden/>
          </w:rPr>
          <w:fldChar w:fldCharType="separate"/>
        </w:r>
        <w:r w:rsidR="004934F4" w:rsidRPr="00576AF8">
          <w:rPr>
            <w:webHidden/>
          </w:rPr>
          <w:t>35</w:t>
        </w:r>
        <w:r w:rsidR="004934F4" w:rsidRPr="00576AF8">
          <w:rPr>
            <w:webHidden/>
          </w:rPr>
          <w:fldChar w:fldCharType="end"/>
        </w:r>
      </w:hyperlink>
    </w:p>
    <w:p w14:paraId="0DD7839D" w14:textId="77777777" w:rsidR="004934F4" w:rsidRPr="00576AF8" w:rsidRDefault="006334E7">
      <w:pPr>
        <w:pStyle w:val="TDC2"/>
        <w:rPr>
          <w:rFonts w:eastAsiaTheme="minorEastAsia"/>
          <w:szCs w:val="24"/>
          <w:lang w:val="en-US" w:eastAsia="en-US" w:bidi="ar-SA"/>
        </w:rPr>
      </w:pPr>
      <w:hyperlink w:anchor="_Toc25486612" w:history="1">
        <w:r w:rsidR="004934F4" w:rsidRPr="00576AF8">
          <w:rPr>
            <w:rStyle w:val="Hipervnculo"/>
          </w:rPr>
          <w:t>32.</w:t>
        </w:r>
        <w:r w:rsidR="004934F4" w:rsidRPr="00576AF8">
          <w:rPr>
            <w:rFonts w:eastAsiaTheme="minorEastAsia"/>
            <w:szCs w:val="24"/>
            <w:lang w:val="en-US" w:eastAsia="en-US" w:bidi="ar-SA"/>
          </w:rPr>
          <w:tab/>
        </w:r>
        <w:r w:rsidR="004934F4" w:rsidRPr="00576AF8">
          <w:rPr>
            <w:rStyle w:val="Hipervnculo"/>
          </w:rPr>
          <w:t>Determinación del Cumplimiento de los Requisitos</w:t>
        </w:r>
        <w:r w:rsidR="004934F4" w:rsidRPr="00576AF8">
          <w:rPr>
            <w:webHidden/>
          </w:rPr>
          <w:tab/>
        </w:r>
        <w:r w:rsidR="004934F4" w:rsidRPr="00576AF8">
          <w:rPr>
            <w:webHidden/>
          </w:rPr>
          <w:fldChar w:fldCharType="begin"/>
        </w:r>
        <w:r w:rsidR="004934F4" w:rsidRPr="00576AF8">
          <w:rPr>
            <w:webHidden/>
          </w:rPr>
          <w:instrText xml:space="preserve"> PAGEREF _Toc25486612 \h </w:instrText>
        </w:r>
        <w:r w:rsidR="004934F4" w:rsidRPr="00576AF8">
          <w:rPr>
            <w:webHidden/>
          </w:rPr>
        </w:r>
        <w:r w:rsidR="004934F4" w:rsidRPr="00576AF8">
          <w:rPr>
            <w:webHidden/>
          </w:rPr>
          <w:fldChar w:fldCharType="separate"/>
        </w:r>
        <w:r w:rsidR="004934F4" w:rsidRPr="00576AF8">
          <w:rPr>
            <w:webHidden/>
          </w:rPr>
          <w:t>37</w:t>
        </w:r>
        <w:r w:rsidR="004934F4" w:rsidRPr="00576AF8">
          <w:rPr>
            <w:webHidden/>
          </w:rPr>
          <w:fldChar w:fldCharType="end"/>
        </w:r>
      </w:hyperlink>
    </w:p>
    <w:p w14:paraId="1FE0D81B" w14:textId="77777777" w:rsidR="004934F4" w:rsidRPr="00576AF8" w:rsidRDefault="006334E7">
      <w:pPr>
        <w:pStyle w:val="TDC2"/>
        <w:rPr>
          <w:rFonts w:eastAsiaTheme="minorEastAsia"/>
          <w:szCs w:val="24"/>
          <w:lang w:val="en-US" w:eastAsia="en-US" w:bidi="ar-SA"/>
        </w:rPr>
      </w:pPr>
      <w:hyperlink w:anchor="_Toc25486613" w:history="1">
        <w:r w:rsidR="004934F4" w:rsidRPr="00576AF8">
          <w:rPr>
            <w:rStyle w:val="Hipervnculo"/>
          </w:rPr>
          <w:t>33.</w:t>
        </w:r>
        <w:r w:rsidR="004934F4" w:rsidRPr="00576AF8">
          <w:rPr>
            <w:rFonts w:eastAsiaTheme="minorEastAsia"/>
            <w:szCs w:val="24"/>
            <w:lang w:val="en-US" w:eastAsia="en-US" w:bidi="ar-SA"/>
          </w:rPr>
          <w:tab/>
        </w:r>
        <w:r w:rsidR="004934F4" w:rsidRPr="00576AF8">
          <w:rPr>
            <w:rStyle w:val="Hipervnculo"/>
          </w:rPr>
          <w:t>Calificación del Licitante</w:t>
        </w:r>
        <w:r w:rsidR="004934F4" w:rsidRPr="00576AF8">
          <w:rPr>
            <w:webHidden/>
          </w:rPr>
          <w:tab/>
        </w:r>
        <w:r w:rsidR="004934F4" w:rsidRPr="00576AF8">
          <w:rPr>
            <w:webHidden/>
          </w:rPr>
          <w:fldChar w:fldCharType="begin"/>
        </w:r>
        <w:r w:rsidR="004934F4" w:rsidRPr="00576AF8">
          <w:rPr>
            <w:webHidden/>
          </w:rPr>
          <w:instrText xml:space="preserve"> PAGEREF _Toc25486613 \h </w:instrText>
        </w:r>
        <w:r w:rsidR="004934F4" w:rsidRPr="00576AF8">
          <w:rPr>
            <w:webHidden/>
          </w:rPr>
        </w:r>
        <w:r w:rsidR="004934F4" w:rsidRPr="00576AF8">
          <w:rPr>
            <w:webHidden/>
          </w:rPr>
          <w:fldChar w:fldCharType="separate"/>
        </w:r>
        <w:r w:rsidR="004934F4" w:rsidRPr="00576AF8">
          <w:rPr>
            <w:webHidden/>
          </w:rPr>
          <w:t>38</w:t>
        </w:r>
        <w:r w:rsidR="004934F4" w:rsidRPr="00576AF8">
          <w:rPr>
            <w:webHidden/>
          </w:rPr>
          <w:fldChar w:fldCharType="end"/>
        </w:r>
      </w:hyperlink>
    </w:p>
    <w:p w14:paraId="0FCF54E2" w14:textId="77777777" w:rsidR="004934F4" w:rsidRPr="00576AF8" w:rsidRDefault="006334E7">
      <w:pPr>
        <w:pStyle w:val="TDC2"/>
        <w:rPr>
          <w:rFonts w:eastAsiaTheme="minorEastAsia"/>
          <w:szCs w:val="24"/>
          <w:lang w:val="en-US" w:eastAsia="en-US" w:bidi="ar-SA"/>
        </w:rPr>
      </w:pPr>
      <w:hyperlink w:anchor="_Toc25486614" w:history="1">
        <w:r w:rsidR="004934F4" w:rsidRPr="00576AF8">
          <w:rPr>
            <w:rStyle w:val="Hipervnculo"/>
          </w:rPr>
          <w:t>34. Subcontratistas</w:t>
        </w:r>
        <w:r w:rsidR="004934F4" w:rsidRPr="00576AF8">
          <w:rPr>
            <w:webHidden/>
          </w:rPr>
          <w:tab/>
        </w:r>
        <w:r w:rsidR="004934F4" w:rsidRPr="00576AF8">
          <w:rPr>
            <w:webHidden/>
          </w:rPr>
          <w:fldChar w:fldCharType="begin"/>
        </w:r>
        <w:r w:rsidR="004934F4" w:rsidRPr="00576AF8">
          <w:rPr>
            <w:webHidden/>
          </w:rPr>
          <w:instrText xml:space="preserve"> PAGEREF _Toc25486614 \h </w:instrText>
        </w:r>
        <w:r w:rsidR="004934F4" w:rsidRPr="00576AF8">
          <w:rPr>
            <w:webHidden/>
          </w:rPr>
        </w:r>
        <w:r w:rsidR="004934F4" w:rsidRPr="00576AF8">
          <w:rPr>
            <w:webHidden/>
          </w:rPr>
          <w:fldChar w:fldCharType="separate"/>
        </w:r>
        <w:r w:rsidR="004934F4" w:rsidRPr="00576AF8">
          <w:rPr>
            <w:webHidden/>
          </w:rPr>
          <w:t>39</w:t>
        </w:r>
        <w:r w:rsidR="004934F4" w:rsidRPr="00576AF8">
          <w:rPr>
            <w:webHidden/>
          </w:rPr>
          <w:fldChar w:fldCharType="end"/>
        </w:r>
      </w:hyperlink>
    </w:p>
    <w:p w14:paraId="1FF82A1C"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15" w:history="1">
        <w:r w:rsidR="004934F4" w:rsidRPr="00576AF8">
          <w:rPr>
            <w:rStyle w:val="Hipervnculo"/>
            <w:rFonts w:ascii="Times New Roman" w:hAnsi="Times New Roman"/>
            <w:noProof/>
          </w:rPr>
          <w:t>H. Apertura Pública de las Partes Financieras de las Ofertas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_Toc25486615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39</w:t>
        </w:r>
        <w:r w:rsidR="004934F4" w:rsidRPr="00576AF8">
          <w:rPr>
            <w:rFonts w:ascii="Times New Roman" w:hAnsi="Times New Roman"/>
            <w:noProof/>
            <w:webHidden/>
          </w:rPr>
          <w:fldChar w:fldCharType="end"/>
        </w:r>
      </w:hyperlink>
    </w:p>
    <w:p w14:paraId="0E743D01" w14:textId="77777777" w:rsidR="004934F4" w:rsidRPr="00576AF8" w:rsidRDefault="006334E7">
      <w:pPr>
        <w:pStyle w:val="TDC2"/>
        <w:rPr>
          <w:rFonts w:eastAsiaTheme="minorEastAsia"/>
          <w:szCs w:val="24"/>
          <w:lang w:val="en-US" w:eastAsia="en-US" w:bidi="ar-SA"/>
        </w:rPr>
      </w:pPr>
      <w:hyperlink w:anchor="_Toc25486616" w:history="1">
        <w:r w:rsidR="004934F4" w:rsidRPr="00576AF8">
          <w:rPr>
            <w:rStyle w:val="Hipervnculo"/>
          </w:rPr>
          <w:t>35. Apertura Pública de  las Partes Financieras de las Ofertas</w:t>
        </w:r>
        <w:r w:rsidR="004934F4" w:rsidRPr="00576AF8">
          <w:rPr>
            <w:webHidden/>
          </w:rPr>
          <w:tab/>
        </w:r>
        <w:r w:rsidR="004934F4" w:rsidRPr="00576AF8">
          <w:rPr>
            <w:webHidden/>
          </w:rPr>
          <w:fldChar w:fldCharType="begin"/>
        </w:r>
        <w:r w:rsidR="004934F4" w:rsidRPr="00576AF8">
          <w:rPr>
            <w:webHidden/>
          </w:rPr>
          <w:instrText xml:space="preserve"> PAGEREF _Toc25486616 \h </w:instrText>
        </w:r>
        <w:r w:rsidR="004934F4" w:rsidRPr="00576AF8">
          <w:rPr>
            <w:webHidden/>
          </w:rPr>
        </w:r>
        <w:r w:rsidR="004934F4" w:rsidRPr="00576AF8">
          <w:rPr>
            <w:webHidden/>
          </w:rPr>
          <w:fldChar w:fldCharType="separate"/>
        </w:r>
        <w:r w:rsidR="004934F4" w:rsidRPr="00576AF8">
          <w:rPr>
            <w:webHidden/>
          </w:rPr>
          <w:t>39</w:t>
        </w:r>
        <w:r w:rsidR="004934F4" w:rsidRPr="00576AF8">
          <w:rPr>
            <w:webHidden/>
          </w:rPr>
          <w:fldChar w:fldCharType="end"/>
        </w:r>
      </w:hyperlink>
    </w:p>
    <w:p w14:paraId="1C55181F"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17" w:history="1">
        <w:r w:rsidR="004934F4" w:rsidRPr="00576AF8">
          <w:rPr>
            <w:rStyle w:val="Hipervnculo"/>
            <w:rFonts w:ascii="Times New Roman" w:hAnsi="Times New Roman"/>
            <w:noProof/>
          </w:rPr>
          <w:t>I. Evaluación de las Partes Financieras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_Toc25486617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41</w:t>
        </w:r>
        <w:r w:rsidR="004934F4" w:rsidRPr="00576AF8">
          <w:rPr>
            <w:rFonts w:ascii="Times New Roman" w:hAnsi="Times New Roman"/>
            <w:noProof/>
            <w:webHidden/>
          </w:rPr>
          <w:fldChar w:fldCharType="end"/>
        </w:r>
      </w:hyperlink>
    </w:p>
    <w:p w14:paraId="078B1F0D" w14:textId="77777777" w:rsidR="004934F4" w:rsidRPr="00576AF8" w:rsidRDefault="006334E7">
      <w:pPr>
        <w:pStyle w:val="TDC2"/>
        <w:rPr>
          <w:rFonts w:eastAsiaTheme="minorEastAsia"/>
          <w:szCs w:val="24"/>
          <w:lang w:val="en-US" w:eastAsia="en-US" w:bidi="ar-SA"/>
        </w:rPr>
      </w:pPr>
      <w:hyperlink w:anchor="_Toc25486618" w:history="1">
        <w:r w:rsidR="004934F4" w:rsidRPr="00576AF8">
          <w:rPr>
            <w:rStyle w:val="Hipervnculo"/>
          </w:rPr>
          <w:t>36.</w:t>
        </w:r>
        <w:r w:rsidR="007A705B" w:rsidRPr="00576AF8">
          <w:rPr>
            <w:rStyle w:val="Hipervnculo"/>
          </w:rPr>
          <w:t xml:space="preserve">   </w:t>
        </w:r>
        <w:r w:rsidR="004934F4" w:rsidRPr="00576AF8">
          <w:rPr>
            <w:rStyle w:val="Hipervnculo"/>
          </w:rPr>
          <w:t xml:space="preserve"> Evaluación de las Partes Financieras</w:t>
        </w:r>
        <w:r w:rsidR="004934F4" w:rsidRPr="00576AF8">
          <w:rPr>
            <w:webHidden/>
          </w:rPr>
          <w:tab/>
        </w:r>
        <w:r w:rsidR="004934F4" w:rsidRPr="00576AF8">
          <w:rPr>
            <w:webHidden/>
          </w:rPr>
          <w:fldChar w:fldCharType="begin"/>
        </w:r>
        <w:r w:rsidR="004934F4" w:rsidRPr="00576AF8">
          <w:rPr>
            <w:webHidden/>
          </w:rPr>
          <w:instrText xml:space="preserve"> PAGEREF _Toc25486618 \h </w:instrText>
        </w:r>
        <w:r w:rsidR="004934F4" w:rsidRPr="00576AF8">
          <w:rPr>
            <w:webHidden/>
          </w:rPr>
        </w:r>
        <w:r w:rsidR="004934F4" w:rsidRPr="00576AF8">
          <w:rPr>
            <w:webHidden/>
          </w:rPr>
          <w:fldChar w:fldCharType="separate"/>
        </w:r>
        <w:r w:rsidR="004934F4" w:rsidRPr="00576AF8">
          <w:rPr>
            <w:webHidden/>
          </w:rPr>
          <w:t>41</w:t>
        </w:r>
        <w:r w:rsidR="004934F4" w:rsidRPr="00576AF8">
          <w:rPr>
            <w:webHidden/>
          </w:rPr>
          <w:fldChar w:fldCharType="end"/>
        </w:r>
      </w:hyperlink>
    </w:p>
    <w:p w14:paraId="7F32FBA1" w14:textId="77777777" w:rsidR="004934F4" w:rsidRPr="00576AF8" w:rsidRDefault="006334E7">
      <w:pPr>
        <w:pStyle w:val="TDC2"/>
        <w:rPr>
          <w:rFonts w:eastAsiaTheme="minorEastAsia"/>
          <w:szCs w:val="24"/>
          <w:lang w:val="en-US" w:eastAsia="en-US" w:bidi="ar-SA"/>
        </w:rPr>
      </w:pPr>
      <w:hyperlink w:anchor="_Toc25486619" w:history="1">
        <w:r w:rsidR="004934F4" w:rsidRPr="00576AF8">
          <w:rPr>
            <w:rStyle w:val="Hipervnculo"/>
          </w:rPr>
          <w:t>37.</w:t>
        </w:r>
        <w:r w:rsidR="004934F4" w:rsidRPr="00576AF8">
          <w:rPr>
            <w:rFonts w:eastAsiaTheme="minorEastAsia"/>
            <w:szCs w:val="24"/>
            <w:lang w:val="en-US" w:eastAsia="en-US" w:bidi="ar-SA"/>
          </w:rPr>
          <w:tab/>
        </w:r>
        <w:r w:rsidR="004934F4" w:rsidRPr="00576AF8">
          <w:rPr>
            <w:rStyle w:val="Hipervnculo"/>
          </w:rPr>
          <w:t>Corrección de Errores Aritméticos</w:t>
        </w:r>
        <w:r w:rsidR="004934F4" w:rsidRPr="00576AF8">
          <w:rPr>
            <w:webHidden/>
          </w:rPr>
          <w:tab/>
        </w:r>
        <w:r w:rsidR="004934F4" w:rsidRPr="00576AF8">
          <w:rPr>
            <w:webHidden/>
          </w:rPr>
          <w:fldChar w:fldCharType="begin"/>
        </w:r>
        <w:r w:rsidR="004934F4" w:rsidRPr="00576AF8">
          <w:rPr>
            <w:webHidden/>
          </w:rPr>
          <w:instrText xml:space="preserve"> PAGEREF _Toc25486619 \h </w:instrText>
        </w:r>
        <w:r w:rsidR="004934F4" w:rsidRPr="00576AF8">
          <w:rPr>
            <w:webHidden/>
          </w:rPr>
        </w:r>
        <w:r w:rsidR="004934F4" w:rsidRPr="00576AF8">
          <w:rPr>
            <w:webHidden/>
          </w:rPr>
          <w:fldChar w:fldCharType="separate"/>
        </w:r>
        <w:r w:rsidR="004934F4" w:rsidRPr="00576AF8">
          <w:rPr>
            <w:webHidden/>
          </w:rPr>
          <w:t>42</w:t>
        </w:r>
        <w:r w:rsidR="004934F4" w:rsidRPr="00576AF8">
          <w:rPr>
            <w:webHidden/>
          </w:rPr>
          <w:fldChar w:fldCharType="end"/>
        </w:r>
      </w:hyperlink>
    </w:p>
    <w:p w14:paraId="61EC3B62" w14:textId="77777777" w:rsidR="004934F4" w:rsidRPr="00576AF8" w:rsidRDefault="006334E7">
      <w:pPr>
        <w:pStyle w:val="TDC2"/>
        <w:rPr>
          <w:rFonts w:eastAsiaTheme="minorEastAsia"/>
          <w:szCs w:val="24"/>
          <w:lang w:val="en-US" w:eastAsia="en-US" w:bidi="ar-SA"/>
        </w:rPr>
      </w:pPr>
      <w:hyperlink w:anchor="_Toc25486620" w:history="1">
        <w:r w:rsidR="004934F4" w:rsidRPr="00576AF8">
          <w:rPr>
            <w:rStyle w:val="Hipervnculo"/>
          </w:rPr>
          <w:t>38.</w:t>
        </w:r>
        <w:r w:rsidR="004934F4" w:rsidRPr="00576AF8">
          <w:rPr>
            <w:rFonts w:eastAsiaTheme="minorEastAsia"/>
            <w:szCs w:val="24"/>
            <w:lang w:val="en-US" w:eastAsia="en-US" w:bidi="ar-SA"/>
          </w:rPr>
          <w:tab/>
        </w:r>
        <w:r w:rsidR="004934F4" w:rsidRPr="00576AF8">
          <w:rPr>
            <w:rStyle w:val="Hipervnculo"/>
          </w:rPr>
          <w:t>Conversión a una Sola Moneda</w:t>
        </w:r>
        <w:r w:rsidR="004934F4" w:rsidRPr="00576AF8">
          <w:rPr>
            <w:webHidden/>
          </w:rPr>
          <w:tab/>
        </w:r>
        <w:r w:rsidR="004934F4" w:rsidRPr="00576AF8">
          <w:rPr>
            <w:webHidden/>
          </w:rPr>
          <w:fldChar w:fldCharType="begin"/>
        </w:r>
        <w:r w:rsidR="004934F4" w:rsidRPr="00576AF8">
          <w:rPr>
            <w:webHidden/>
          </w:rPr>
          <w:instrText xml:space="preserve"> PAGEREF _Toc25486620 \h </w:instrText>
        </w:r>
        <w:r w:rsidR="004934F4" w:rsidRPr="00576AF8">
          <w:rPr>
            <w:webHidden/>
          </w:rPr>
        </w:r>
        <w:r w:rsidR="004934F4" w:rsidRPr="00576AF8">
          <w:rPr>
            <w:webHidden/>
          </w:rPr>
          <w:fldChar w:fldCharType="separate"/>
        </w:r>
        <w:r w:rsidR="004934F4" w:rsidRPr="00576AF8">
          <w:rPr>
            <w:webHidden/>
          </w:rPr>
          <w:t>43</w:t>
        </w:r>
        <w:r w:rsidR="004934F4" w:rsidRPr="00576AF8">
          <w:rPr>
            <w:webHidden/>
          </w:rPr>
          <w:fldChar w:fldCharType="end"/>
        </w:r>
      </w:hyperlink>
    </w:p>
    <w:p w14:paraId="3EAF0E05" w14:textId="77777777" w:rsidR="004934F4" w:rsidRPr="00576AF8" w:rsidRDefault="006334E7">
      <w:pPr>
        <w:pStyle w:val="TDC2"/>
        <w:rPr>
          <w:rFonts w:eastAsiaTheme="minorEastAsia"/>
          <w:szCs w:val="24"/>
          <w:lang w:val="en-US" w:eastAsia="en-US" w:bidi="ar-SA"/>
        </w:rPr>
      </w:pPr>
      <w:hyperlink w:anchor="_Toc25486621" w:history="1">
        <w:r w:rsidR="004934F4" w:rsidRPr="00576AF8">
          <w:rPr>
            <w:rStyle w:val="Hipervnculo"/>
          </w:rPr>
          <w:t>39.</w:t>
        </w:r>
        <w:r w:rsidR="004934F4" w:rsidRPr="00576AF8">
          <w:rPr>
            <w:rFonts w:eastAsiaTheme="minorEastAsia"/>
            <w:szCs w:val="24"/>
            <w:lang w:val="en-US" w:eastAsia="en-US" w:bidi="ar-SA"/>
          </w:rPr>
          <w:tab/>
        </w:r>
        <w:r w:rsidR="004934F4" w:rsidRPr="00576AF8">
          <w:rPr>
            <w:rStyle w:val="Hipervnculo"/>
          </w:rPr>
          <w:t>Margen de Preferencia</w:t>
        </w:r>
        <w:r w:rsidR="004934F4" w:rsidRPr="00576AF8">
          <w:rPr>
            <w:webHidden/>
          </w:rPr>
          <w:tab/>
        </w:r>
        <w:r w:rsidR="004934F4" w:rsidRPr="00576AF8">
          <w:rPr>
            <w:webHidden/>
          </w:rPr>
          <w:fldChar w:fldCharType="begin"/>
        </w:r>
        <w:r w:rsidR="004934F4" w:rsidRPr="00576AF8">
          <w:rPr>
            <w:webHidden/>
          </w:rPr>
          <w:instrText xml:space="preserve"> PAGEREF _Toc25486621 \h </w:instrText>
        </w:r>
        <w:r w:rsidR="004934F4" w:rsidRPr="00576AF8">
          <w:rPr>
            <w:webHidden/>
          </w:rPr>
        </w:r>
        <w:r w:rsidR="004934F4" w:rsidRPr="00576AF8">
          <w:rPr>
            <w:webHidden/>
          </w:rPr>
          <w:fldChar w:fldCharType="separate"/>
        </w:r>
        <w:r w:rsidR="004934F4" w:rsidRPr="00576AF8">
          <w:rPr>
            <w:webHidden/>
          </w:rPr>
          <w:t>43</w:t>
        </w:r>
        <w:r w:rsidR="004934F4" w:rsidRPr="00576AF8">
          <w:rPr>
            <w:webHidden/>
          </w:rPr>
          <w:fldChar w:fldCharType="end"/>
        </w:r>
      </w:hyperlink>
    </w:p>
    <w:p w14:paraId="5CB9B37A" w14:textId="77777777" w:rsidR="004934F4" w:rsidRPr="00576AF8" w:rsidRDefault="006334E7">
      <w:pPr>
        <w:pStyle w:val="TDC2"/>
        <w:rPr>
          <w:rFonts w:eastAsiaTheme="minorEastAsia"/>
          <w:szCs w:val="24"/>
          <w:lang w:val="en-US" w:eastAsia="en-US" w:bidi="ar-SA"/>
        </w:rPr>
      </w:pPr>
      <w:hyperlink w:anchor="_Toc25486622" w:history="1">
        <w:r w:rsidR="004934F4" w:rsidRPr="00576AF8">
          <w:rPr>
            <w:rStyle w:val="Hipervnculo"/>
          </w:rPr>
          <w:t>40.</w:t>
        </w:r>
        <w:r w:rsidR="007A705B" w:rsidRPr="00576AF8">
          <w:rPr>
            <w:rStyle w:val="Hipervnculo"/>
          </w:rPr>
          <w:t xml:space="preserve">   </w:t>
        </w:r>
        <w:r w:rsidR="004934F4" w:rsidRPr="00576AF8">
          <w:rPr>
            <w:rStyle w:val="Hipervnculo"/>
          </w:rPr>
          <w:t xml:space="preserve"> Comparación de las Partes Financieras</w:t>
        </w:r>
        <w:r w:rsidR="004934F4" w:rsidRPr="00576AF8">
          <w:rPr>
            <w:webHidden/>
          </w:rPr>
          <w:tab/>
        </w:r>
        <w:r w:rsidR="004934F4" w:rsidRPr="00576AF8">
          <w:rPr>
            <w:webHidden/>
          </w:rPr>
          <w:fldChar w:fldCharType="begin"/>
        </w:r>
        <w:r w:rsidR="004934F4" w:rsidRPr="00576AF8">
          <w:rPr>
            <w:webHidden/>
          </w:rPr>
          <w:instrText xml:space="preserve"> PAGEREF _Toc25486622 \h </w:instrText>
        </w:r>
        <w:r w:rsidR="004934F4" w:rsidRPr="00576AF8">
          <w:rPr>
            <w:webHidden/>
          </w:rPr>
        </w:r>
        <w:r w:rsidR="004934F4" w:rsidRPr="00576AF8">
          <w:rPr>
            <w:webHidden/>
          </w:rPr>
          <w:fldChar w:fldCharType="separate"/>
        </w:r>
        <w:r w:rsidR="004934F4" w:rsidRPr="00576AF8">
          <w:rPr>
            <w:webHidden/>
          </w:rPr>
          <w:t>43</w:t>
        </w:r>
        <w:r w:rsidR="004934F4" w:rsidRPr="00576AF8">
          <w:rPr>
            <w:webHidden/>
          </w:rPr>
          <w:fldChar w:fldCharType="end"/>
        </w:r>
      </w:hyperlink>
    </w:p>
    <w:p w14:paraId="5B272B1B" w14:textId="77777777" w:rsidR="004934F4" w:rsidRPr="00576AF8" w:rsidRDefault="006334E7">
      <w:pPr>
        <w:pStyle w:val="TDC2"/>
        <w:rPr>
          <w:rFonts w:eastAsiaTheme="minorEastAsia"/>
          <w:szCs w:val="24"/>
          <w:lang w:val="en-US" w:eastAsia="en-US" w:bidi="ar-SA"/>
        </w:rPr>
      </w:pPr>
      <w:hyperlink w:anchor="_Toc25486623" w:history="1">
        <w:r w:rsidR="004934F4" w:rsidRPr="00576AF8">
          <w:rPr>
            <w:rStyle w:val="Hipervnculo"/>
          </w:rPr>
          <w:t>41.</w:t>
        </w:r>
        <w:r w:rsidR="004934F4" w:rsidRPr="00576AF8">
          <w:rPr>
            <w:rFonts w:eastAsiaTheme="minorEastAsia"/>
            <w:szCs w:val="24"/>
            <w:lang w:val="en-US" w:eastAsia="en-US" w:bidi="ar-SA"/>
          </w:rPr>
          <w:tab/>
        </w:r>
        <w:r w:rsidR="004934F4" w:rsidRPr="00576AF8">
          <w:rPr>
            <w:rStyle w:val="Hipervnculo"/>
          </w:rPr>
          <w:t>Ofertas Anormalmente Bajas</w:t>
        </w:r>
        <w:r w:rsidR="004934F4" w:rsidRPr="00576AF8">
          <w:rPr>
            <w:webHidden/>
          </w:rPr>
          <w:tab/>
        </w:r>
        <w:r w:rsidR="004934F4" w:rsidRPr="00576AF8">
          <w:rPr>
            <w:webHidden/>
          </w:rPr>
          <w:fldChar w:fldCharType="begin"/>
        </w:r>
        <w:r w:rsidR="004934F4" w:rsidRPr="00576AF8">
          <w:rPr>
            <w:webHidden/>
          </w:rPr>
          <w:instrText xml:space="preserve"> PAGEREF _Toc25486623 \h </w:instrText>
        </w:r>
        <w:r w:rsidR="004934F4" w:rsidRPr="00576AF8">
          <w:rPr>
            <w:webHidden/>
          </w:rPr>
        </w:r>
        <w:r w:rsidR="004934F4" w:rsidRPr="00576AF8">
          <w:rPr>
            <w:webHidden/>
          </w:rPr>
          <w:fldChar w:fldCharType="separate"/>
        </w:r>
        <w:r w:rsidR="004934F4" w:rsidRPr="00576AF8">
          <w:rPr>
            <w:webHidden/>
          </w:rPr>
          <w:t>43</w:t>
        </w:r>
        <w:r w:rsidR="004934F4" w:rsidRPr="00576AF8">
          <w:rPr>
            <w:webHidden/>
          </w:rPr>
          <w:fldChar w:fldCharType="end"/>
        </w:r>
      </w:hyperlink>
    </w:p>
    <w:p w14:paraId="08AD9835"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24" w:history="1">
        <w:r w:rsidR="004934F4" w:rsidRPr="00576AF8">
          <w:rPr>
            <w:rStyle w:val="Hipervnculo"/>
            <w:rFonts w:ascii="Times New Roman" w:hAnsi="Times New Roman"/>
            <w:noProof/>
          </w:rPr>
          <w:t>J. Evaluación Combinada de las Ofertas Técnicas y Financieras</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_Toc25486624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44</w:t>
        </w:r>
        <w:r w:rsidR="004934F4" w:rsidRPr="00576AF8">
          <w:rPr>
            <w:rFonts w:ascii="Times New Roman" w:hAnsi="Times New Roman"/>
            <w:noProof/>
            <w:webHidden/>
          </w:rPr>
          <w:fldChar w:fldCharType="end"/>
        </w:r>
      </w:hyperlink>
    </w:p>
    <w:p w14:paraId="06B4E43A" w14:textId="77777777" w:rsidR="004934F4" w:rsidRPr="00576AF8" w:rsidRDefault="006334E7">
      <w:pPr>
        <w:pStyle w:val="TDC2"/>
        <w:rPr>
          <w:rFonts w:eastAsiaTheme="minorEastAsia"/>
          <w:szCs w:val="24"/>
          <w:lang w:val="en-US" w:eastAsia="en-US" w:bidi="ar-SA"/>
        </w:rPr>
      </w:pPr>
      <w:hyperlink w:anchor="_Toc25486625" w:history="1">
        <w:r w:rsidR="004934F4" w:rsidRPr="00576AF8">
          <w:rPr>
            <w:rStyle w:val="Hipervnculo"/>
          </w:rPr>
          <w:t>43. Evaluación Combinada Técnica y Financiera, cuando corresponde</w:t>
        </w:r>
        <w:r w:rsidR="004934F4" w:rsidRPr="00576AF8">
          <w:rPr>
            <w:webHidden/>
          </w:rPr>
          <w:tab/>
        </w:r>
        <w:r w:rsidR="004934F4" w:rsidRPr="00576AF8">
          <w:rPr>
            <w:webHidden/>
          </w:rPr>
          <w:fldChar w:fldCharType="begin"/>
        </w:r>
        <w:r w:rsidR="004934F4" w:rsidRPr="00576AF8">
          <w:rPr>
            <w:webHidden/>
          </w:rPr>
          <w:instrText xml:space="preserve"> PAGEREF _Toc25486625 \h </w:instrText>
        </w:r>
        <w:r w:rsidR="004934F4" w:rsidRPr="00576AF8">
          <w:rPr>
            <w:webHidden/>
          </w:rPr>
        </w:r>
        <w:r w:rsidR="004934F4" w:rsidRPr="00576AF8">
          <w:rPr>
            <w:webHidden/>
          </w:rPr>
          <w:fldChar w:fldCharType="separate"/>
        </w:r>
        <w:r w:rsidR="004934F4" w:rsidRPr="00576AF8">
          <w:rPr>
            <w:webHidden/>
          </w:rPr>
          <w:t>44</w:t>
        </w:r>
        <w:r w:rsidR="004934F4" w:rsidRPr="00576AF8">
          <w:rPr>
            <w:webHidden/>
          </w:rPr>
          <w:fldChar w:fldCharType="end"/>
        </w:r>
      </w:hyperlink>
    </w:p>
    <w:p w14:paraId="64A436AC" w14:textId="77777777" w:rsidR="004934F4" w:rsidRPr="00576AF8" w:rsidRDefault="006334E7">
      <w:pPr>
        <w:pStyle w:val="TDC2"/>
        <w:rPr>
          <w:rFonts w:eastAsiaTheme="minorEastAsia"/>
          <w:szCs w:val="24"/>
          <w:lang w:val="en-US" w:eastAsia="en-US" w:bidi="ar-SA"/>
        </w:rPr>
      </w:pPr>
      <w:hyperlink w:anchor="_Toc25486626" w:history="1">
        <w:r w:rsidR="004934F4" w:rsidRPr="00576AF8">
          <w:rPr>
            <w:rStyle w:val="Hipervnculo"/>
          </w:rPr>
          <w:t>44. Oferta Más Ventajosa</w:t>
        </w:r>
        <w:r w:rsidR="004934F4" w:rsidRPr="00576AF8">
          <w:rPr>
            <w:webHidden/>
          </w:rPr>
          <w:tab/>
        </w:r>
        <w:r w:rsidR="004934F4" w:rsidRPr="00576AF8">
          <w:rPr>
            <w:webHidden/>
          </w:rPr>
          <w:fldChar w:fldCharType="begin"/>
        </w:r>
        <w:r w:rsidR="004934F4" w:rsidRPr="00576AF8">
          <w:rPr>
            <w:webHidden/>
          </w:rPr>
          <w:instrText xml:space="preserve"> PAGEREF _Toc25486626 \h </w:instrText>
        </w:r>
        <w:r w:rsidR="004934F4" w:rsidRPr="00576AF8">
          <w:rPr>
            <w:webHidden/>
          </w:rPr>
        </w:r>
        <w:r w:rsidR="004934F4" w:rsidRPr="00576AF8">
          <w:rPr>
            <w:webHidden/>
          </w:rPr>
          <w:fldChar w:fldCharType="separate"/>
        </w:r>
        <w:r w:rsidR="004934F4" w:rsidRPr="00576AF8">
          <w:rPr>
            <w:webHidden/>
          </w:rPr>
          <w:t>44</w:t>
        </w:r>
        <w:r w:rsidR="004934F4" w:rsidRPr="00576AF8">
          <w:rPr>
            <w:webHidden/>
          </w:rPr>
          <w:fldChar w:fldCharType="end"/>
        </w:r>
      </w:hyperlink>
    </w:p>
    <w:p w14:paraId="0AD247C5" w14:textId="77777777" w:rsidR="004934F4" w:rsidRPr="00576AF8" w:rsidRDefault="006334E7">
      <w:pPr>
        <w:pStyle w:val="TDC2"/>
        <w:rPr>
          <w:rFonts w:eastAsiaTheme="minorEastAsia"/>
          <w:szCs w:val="24"/>
          <w:lang w:val="en-US" w:eastAsia="en-US" w:bidi="ar-SA"/>
        </w:rPr>
      </w:pPr>
      <w:hyperlink w:anchor="_Toc25486627" w:history="1">
        <w:r w:rsidR="004934F4" w:rsidRPr="00576AF8">
          <w:rPr>
            <w:rStyle w:val="Hipervnculo"/>
          </w:rPr>
          <w:t>45. Negociaciones</w:t>
        </w:r>
        <w:r w:rsidR="004934F4" w:rsidRPr="00576AF8">
          <w:rPr>
            <w:webHidden/>
          </w:rPr>
          <w:tab/>
        </w:r>
        <w:r w:rsidR="004934F4" w:rsidRPr="00576AF8">
          <w:rPr>
            <w:webHidden/>
          </w:rPr>
          <w:fldChar w:fldCharType="begin"/>
        </w:r>
        <w:r w:rsidR="004934F4" w:rsidRPr="00576AF8">
          <w:rPr>
            <w:webHidden/>
          </w:rPr>
          <w:instrText xml:space="preserve"> PAGEREF _Toc25486627 \h </w:instrText>
        </w:r>
        <w:r w:rsidR="004934F4" w:rsidRPr="00576AF8">
          <w:rPr>
            <w:webHidden/>
          </w:rPr>
        </w:r>
        <w:r w:rsidR="004934F4" w:rsidRPr="00576AF8">
          <w:rPr>
            <w:webHidden/>
          </w:rPr>
          <w:fldChar w:fldCharType="separate"/>
        </w:r>
        <w:r w:rsidR="004934F4" w:rsidRPr="00576AF8">
          <w:rPr>
            <w:webHidden/>
          </w:rPr>
          <w:t>45</w:t>
        </w:r>
        <w:r w:rsidR="004934F4" w:rsidRPr="00576AF8">
          <w:rPr>
            <w:webHidden/>
          </w:rPr>
          <w:fldChar w:fldCharType="end"/>
        </w:r>
      </w:hyperlink>
    </w:p>
    <w:p w14:paraId="4017F788" w14:textId="77777777" w:rsidR="004934F4" w:rsidRPr="00576AF8" w:rsidRDefault="006334E7">
      <w:pPr>
        <w:pStyle w:val="TDC2"/>
        <w:rPr>
          <w:rFonts w:eastAsiaTheme="minorEastAsia"/>
          <w:szCs w:val="24"/>
          <w:lang w:val="en-US" w:eastAsia="en-US" w:bidi="ar-SA"/>
        </w:rPr>
      </w:pPr>
      <w:hyperlink w:anchor="_Toc25486628" w:history="1">
        <w:r w:rsidR="004934F4" w:rsidRPr="00576AF8">
          <w:rPr>
            <w:rStyle w:val="Hipervnculo"/>
          </w:rPr>
          <w:t>46. Derecho del Comprador a Aceptar Cualquier Oferta y Rechazar Alguna o Todas las Ofertas</w:t>
        </w:r>
        <w:r w:rsidR="004934F4" w:rsidRPr="00576AF8">
          <w:rPr>
            <w:webHidden/>
          </w:rPr>
          <w:tab/>
        </w:r>
        <w:r w:rsidR="004934F4" w:rsidRPr="00576AF8">
          <w:rPr>
            <w:webHidden/>
          </w:rPr>
          <w:fldChar w:fldCharType="begin"/>
        </w:r>
        <w:r w:rsidR="004934F4" w:rsidRPr="00576AF8">
          <w:rPr>
            <w:webHidden/>
          </w:rPr>
          <w:instrText xml:space="preserve"> PAGEREF _Toc25486628 \h </w:instrText>
        </w:r>
        <w:r w:rsidR="004934F4" w:rsidRPr="00576AF8">
          <w:rPr>
            <w:webHidden/>
          </w:rPr>
        </w:r>
        <w:r w:rsidR="004934F4" w:rsidRPr="00576AF8">
          <w:rPr>
            <w:webHidden/>
          </w:rPr>
          <w:fldChar w:fldCharType="separate"/>
        </w:r>
        <w:r w:rsidR="004934F4" w:rsidRPr="00576AF8">
          <w:rPr>
            <w:webHidden/>
          </w:rPr>
          <w:t>46</w:t>
        </w:r>
        <w:r w:rsidR="004934F4" w:rsidRPr="00576AF8">
          <w:rPr>
            <w:webHidden/>
          </w:rPr>
          <w:fldChar w:fldCharType="end"/>
        </w:r>
      </w:hyperlink>
    </w:p>
    <w:p w14:paraId="727FE143" w14:textId="77777777" w:rsidR="004934F4" w:rsidRPr="00576AF8" w:rsidRDefault="006334E7">
      <w:pPr>
        <w:pStyle w:val="TDC2"/>
        <w:rPr>
          <w:rFonts w:eastAsiaTheme="minorEastAsia"/>
          <w:szCs w:val="24"/>
          <w:lang w:val="en-US" w:eastAsia="en-US" w:bidi="ar-SA"/>
        </w:rPr>
      </w:pPr>
      <w:hyperlink w:anchor="_Toc25486629" w:history="1">
        <w:r w:rsidR="004934F4" w:rsidRPr="00576AF8">
          <w:rPr>
            <w:rStyle w:val="Hipervnculo"/>
          </w:rPr>
          <w:t>47. Plazo Suspensivo</w:t>
        </w:r>
        <w:r w:rsidR="004934F4" w:rsidRPr="00576AF8">
          <w:rPr>
            <w:webHidden/>
          </w:rPr>
          <w:tab/>
        </w:r>
        <w:r w:rsidR="004934F4" w:rsidRPr="00576AF8">
          <w:rPr>
            <w:webHidden/>
          </w:rPr>
          <w:fldChar w:fldCharType="begin"/>
        </w:r>
        <w:r w:rsidR="004934F4" w:rsidRPr="00576AF8">
          <w:rPr>
            <w:webHidden/>
          </w:rPr>
          <w:instrText xml:space="preserve"> PAGEREF _Toc25486629 \h </w:instrText>
        </w:r>
        <w:r w:rsidR="004934F4" w:rsidRPr="00576AF8">
          <w:rPr>
            <w:webHidden/>
          </w:rPr>
        </w:r>
        <w:r w:rsidR="004934F4" w:rsidRPr="00576AF8">
          <w:rPr>
            <w:webHidden/>
          </w:rPr>
          <w:fldChar w:fldCharType="separate"/>
        </w:r>
        <w:r w:rsidR="004934F4" w:rsidRPr="00576AF8">
          <w:rPr>
            <w:webHidden/>
          </w:rPr>
          <w:t>46</w:t>
        </w:r>
        <w:r w:rsidR="004934F4" w:rsidRPr="00576AF8">
          <w:rPr>
            <w:webHidden/>
          </w:rPr>
          <w:fldChar w:fldCharType="end"/>
        </w:r>
      </w:hyperlink>
    </w:p>
    <w:p w14:paraId="2EF1C4C5" w14:textId="77777777" w:rsidR="004934F4" w:rsidRPr="00576AF8" w:rsidRDefault="006334E7">
      <w:pPr>
        <w:pStyle w:val="TDC2"/>
        <w:rPr>
          <w:rFonts w:eastAsiaTheme="minorEastAsia"/>
          <w:szCs w:val="24"/>
          <w:lang w:val="en-US" w:eastAsia="en-US" w:bidi="ar-SA"/>
        </w:rPr>
      </w:pPr>
      <w:hyperlink w:anchor="_Toc25486630" w:history="1">
        <w:r w:rsidR="004934F4" w:rsidRPr="00576AF8">
          <w:rPr>
            <w:rStyle w:val="Hipervnculo"/>
          </w:rPr>
          <w:t>48. Notificación de la Intención de Adjudicar</w:t>
        </w:r>
        <w:r w:rsidR="004934F4" w:rsidRPr="00576AF8">
          <w:rPr>
            <w:webHidden/>
          </w:rPr>
          <w:tab/>
        </w:r>
        <w:r w:rsidR="004934F4" w:rsidRPr="00576AF8">
          <w:rPr>
            <w:webHidden/>
          </w:rPr>
          <w:fldChar w:fldCharType="begin"/>
        </w:r>
        <w:r w:rsidR="004934F4" w:rsidRPr="00576AF8">
          <w:rPr>
            <w:webHidden/>
          </w:rPr>
          <w:instrText xml:space="preserve"> PAGEREF _Toc25486630 \h </w:instrText>
        </w:r>
        <w:r w:rsidR="004934F4" w:rsidRPr="00576AF8">
          <w:rPr>
            <w:webHidden/>
          </w:rPr>
        </w:r>
        <w:r w:rsidR="004934F4" w:rsidRPr="00576AF8">
          <w:rPr>
            <w:webHidden/>
          </w:rPr>
          <w:fldChar w:fldCharType="separate"/>
        </w:r>
        <w:r w:rsidR="004934F4" w:rsidRPr="00576AF8">
          <w:rPr>
            <w:webHidden/>
          </w:rPr>
          <w:t>46</w:t>
        </w:r>
        <w:r w:rsidR="004934F4" w:rsidRPr="00576AF8">
          <w:rPr>
            <w:webHidden/>
          </w:rPr>
          <w:fldChar w:fldCharType="end"/>
        </w:r>
      </w:hyperlink>
    </w:p>
    <w:p w14:paraId="0C16961B" w14:textId="77777777" w:rsidR="004934F4" w:rsidRPr="00576AF8" w:rsidRDefault="006334E7">
      <w:pPr>
        <w:pStyle w:val="TDC1"/>
        <w:rPr>
          <w:rFonts w:ascii="Times New Roman" w:eastAsiaTheme="minorEastAsia" w:hAnsi="Times New Roman"/>
          <w:b w:val="0"/>
          <w:noProof/>
          <w:szCs w:val="24"/>
          <w:lang w:val="en-US" w:eastAsia="en-US" w:bidi="ar-SA"/>
        </w:rPr>
      </w:pPr>
      <w:hyperlink w:anchor="_Toc25486631" w:history="1">
        <w:r w:rsidR="004934F4" w:rsidRPr="00576AF8">
          <w:rPr>
            <w:rStyle w:val="Hipervnculo"/>
            <w:rFonts w:ascii="Times New Roman" w:hAnsi="Times New Roman"/>
            <w:noProof/>
          </w:rPr>
          <w:t>K. Adjudicación del Contrato</w:t>
        </w:r>
        <w:r w:rsidR="004934F4" w:rsidRPr="00576AF8">
          <w:rPr>
            <w:rFonts w:ascii="Times New Roman" w:hAnsi="Times New Roman"/>
            <w:noProof/>
            <w:webHidden/>
          </w:rPr>
          <w:tab/>
        </w:r>
        <w:r w:rsidR="004934F4" w:rsidRPr="00576AF8">
          <w:rPr>
            <w:rFonts w:ascii="Times New Roman" w:hAnsi="Times New Roman"/>
            <w:noProof/>
            <w:webHidden/>
          </w:rPr>
          <w:fldChar w:fldCharType="begin"/>
        </w:r>
        <w:r w:rsidR="004934F4" w:rsidRPr="00576AF8">
          <w:rPr>
            <w:rFonts w:ascii="Times New Roman" w:hAnsi="Times New Roman"/>
            <w:noProof/>
            <w:webHidden/>
          </w:rPr>
          <w:instrText xml:space="preserve"> PAGEREF _Toc25486631 \h </w:instrText>
        </w:r>
        <w:r w:rsidR="004934F4" w:rsidRPr="00576AF8">
          <w:rPr>
            <w:rFonts w:ascii="Times New Roman" w:hAnsi="Times New Roman"/>
            <w:noProof/>
            <w:webHidden/>
          </w:rPr>
        </w:r>
        <w:r w:rsidR="004934F4" w:rsidRPr="00576AF8">
          <w:rPr>
            <w:rFonts w:ascii="Times New Roman" w:hAnsi="Times New Roman"/>
            <w:noProof/>
            <w:webHidden/>
          </w:rPr>
          <w:fldChar w:fldCharType="separate"/>
        </w:r>
        <w:r w:rsidR="004934F4" w:rsidRPr="00576AF8">
          <w:rPr>
            <w:rFonts w:ascii="Times New Roman" w:hAnsi="Times New Roman"/>
            <w:noProof/>
            <w:webHidden/>
          </w:rPr>
          <w:t>47</w:t>
        </w:r>
        <w:r w:rsidR="004934F4" w:rsidRPr="00576AF8">
          <w:rPr>
            <w:rFonts w:ascii="Times New Roman" w:hAnsi="Times New Roman"/>
            <w:noProof/>
            <w:webHidden/>
          </w:rPr>
          <w:fldChar w:fldCharType="end"/>
        </w:r>
      </w:hyperlink>
    </w:p>
    <w:p w14:paraId="598949CC" w14:textId="77777777" w:rsidR="004934F4" w:rsidRPr="00576AF8" w:rsidRDefault="006334E7">
      <w:pPr>
        <w:pStyle w:val="TDC2"/>
        <w:rPr>
          <w:rFonts w:eastAsiaTheme="minorEastAsia"/>
          <w:szCs w:val="24"/>
          <w:lang w:val="en-US" w:eastAsia="en-US" w:bidi="ar-SA"/>
        </w:rPr>
      </w:pPr>
      <w:hyperlink w:anchor="_Toc25486632" w:history="1">
        <w:r w:rsidR="004934F4" w:rsidRPr="00576AF8">
          <w:rPr>
            <w:rStyle w:val="Hipervnculo"/>
          </w:rPr>
          <w:t>49.</w:t>
        </w:r>
        <w:r w:rsidR="004934F4" w:rsidRPr="00576AF8">
          <w:rPr>
            <w:rFonts w:eastAsiaTheme="minorEastAsia"/>
            <w:szCs w:val="24"/>
            <w:lang w:val="en-US" w:eastAsia="en-US" w:bidi="ar-SA"/>
          </w:rPr>
          <w:tab/>
        </w:r>
        <w:r w:rsidR="004934F4" w:rsidRPr="00576AF8">
          <w:rPr>
            <w:rStyle w:val="Hipervnculo"/>
          </w:rPr>
          <w:t>Criterio de Adjudicación</w:t>
        </w:r>
        <w:r w:rsidR="004934F4" w:rsidRPr="00576AF8">
          <w:rPr>
            <w:webHidden/>
          </w:rPr>
          <w:tab/>
        </w:r>
        <w:r w:rsidR="004934F4" w:rsidRPr="00576AF8">
          <w:rPr>
            <w:webHidden/>
          </w:rPr>
          <w:fldChar w:fldCharType="begin"/>
        </w:r>
        <w:r w:rsidR="004934F4" w:rsidRPr="00576AF8">
          <w:rPr>
            <w:webHidden/>
          </w:rPr>
          <w:instrText xml:space="preserve"> PAGEREF _Toc25486632 \h </w:instrText>
        </w:r>
        <w:r w:rsidR="004934F4" w:rsidRPr="00576AF8">
          <w:rPr>
            <w:webHidden/>
          </w:rPr>
        </w:r>
        <w:r w:rsidR="004934F4" w:rsidRPr="00576AF8">
          <w:rPr>
            <w:webHidden/>
          </w:rPr>
          <w:fldChar w:fldCharType="separate"/>
        </w:r>
        <w:r w:rsidR="004934F4" w:rsidRPr="00576AF8">
          <w:rPr>
            <w:webHidden/>
          </w:rPr>
          <w:t>47</w:t>
        </w:r>
        <w:r w:rsidR="004934F4" w:rsidRPr="00576AF8">
          <w:rPr>
            <w:webHidden/>
          </w:rPr>
          <w:fldChar w:fldCharType="end"/>
        </w:r>
      </w:hyperlink>
    </w:p>
    <w:p w14:paraId="02E0F599" w14:textId="77777777" w:rsidR="004934F4" w:rsidRPr="00576AF8" w:rsidRDefault="006334E7">
      <w:pPr>
        <w:pStyle w:val="TDC2"/>
        <w:rPr>
          <w:rFonts w:eastAsiaTheme="minorEastAsia"/>
          <w:szCs w:val="24"/>
          <w:lang w:val="en-US" w:eastAsia="en-US" w:bidi="ar-SA"/>
        </w:rPr>
      </w:pPr>
      <w:hyperlink w:anchor="_Toc25486633" w:history="1">
        <w:r w:rsidR="004934F4" w:rsidRPr="00576AF8">
          <w:rPr>
            <w:rStyle w:val="Hipervnculo"/>
          </w:rPr>
          <w:t>50.</w:t>
        </w:r>
        <w:r w:rsidR="004934F4" w:rsidRPr="00576AF8">
          <w:rPr>
            <w:rFonts w:eastAsiaTheme="minorEastAsia"/>
            <w:szCs w:val="24"/>
            <w:lang w:val="en-US" w:eastAsia="en-US" w:bidi="ar-SA"/>
          </w:rPr>
          <w:tab/>
        </w:r>
        <w:r w:rsidR="004934F4" w:rsidRPr="00576AF8">
          <w:rPr>
            <w:rStyle w:val="Hipervnculo"/>
          </w:rPr>
          <w:t>Derecho del Comprador de Modificar las Cantidades en el Momento de la Adjudicación</w:t>
        </w:r>
        <w:r w:rsidR="004934F4" w:rsidRPr="00576AF8">
          <w:rPr>
            <w:webHidden/>
          </w:rPr>
          <w:tab/>
        </w:r>
        <w:r w:rsidR="004934F4" w:rsidRPr="00576AF8">
          <w:rPr>
            <w:webHidden/>
          </w:rPr>
          <w:fldChar w:fldCharType="begin"/>
        </w:r>
        <w:r w:rsidR="004934F4" w:rsidRPr="00576AF8">
          <w:rPr>
            <w:webHidden/>
          </w:rPr>
          <w:instrText xml:space="preserve"> PAGEREF _Toc25486633 \h </w:instrText>
        </w:r>
        <w:r w:rsidR="004934F4" w:rsidRPr="00576AF8">
          <w:rPr>
            <w:webHidden/>
          </w:rPr>
        </w:r>
        <w:r w:rsidR="004934F4" w:rsidRPr="00576AF8">
          <w:rPr>
            <w:webHidden/>
          </w:rPr>
          <w:fldChar w:fldCharType="separate"/>
        </w:r>
        <w:r w:rsidR="004934F4" w:rsidRPr="00576AF8">
          <w:rPr>
            <w:webHidden/>
          </w:rPr>
          <w:t>47</w:t>
        </w:r>
        <w:r w:rsidR="004934F4" w:rsidRPr="00576AF8">
          <w:rPr>
            <w:webHidden/>
          </w:rPr>
          <w:fldChar w:fldCharType="end"/>
        </w:r>
      </w:hyperlink>
    </w:p>
    <w:p w14:paraId="0B3AA3EF" w14:textId="77777777" w:rsidR="004934F4" w:rsidRPr="00576AF8" w:rsidRDefault="006334E7">
      <w:pPr>
        <w:pStyle w:val="TDC2"/>
        <w:rPr>
          <w:rFonts w:eastAsiaTheme="minorEastAsia"/>
          <w:szCs w:val="24"/>
          <w:lang w:val="en-US" w:eastAsia="en-US" w:bidi="ar-SA"/>
        </w:rPr>
      </w:pPr>
      <w:hyperlink w:anchor="_Toc25486634" w:history="1">
        <w:r w:rsidR="004934F4" w:rsidRPr="00576AF8">
          <w:rPr>
            <w:rStyle w:val="Hipervnculo"/>
          </w:rPr>
          <w:t>51.</w:t>
        </w:r>
        <w:r w:rsidR="004934F4" w:rsidRPr="00576AF8">
          <w:rPr>
            <w:rFonts w:eastAsiaTheme="minorEastAsia"/>
            <w:szCs w:val="24"/>
            <w:lang w:val="en-US" w:eastAsia="en-US" w:bidi="ar-SA"/>
          </w:rPr>
          <w:tab/>
        </w:r>
        <w:r w:rsidR="004934F4" w:rsidRPr="00576AF8">
          <w:rPr>
            <w:rStyle w:val="Hipervnculo"/>
          </w:rPr>
          <w:t>Notificación de la Adjudicación</w:t>
        </w:r>
        <w:r w:rsidR="004934F4" w:rsidRPr="00576AF8">
          <w:rPr>
            <w:webHidden/>
          </w:rPr>
          <w:tab/>
        </w:r>
        <w:r w:rsidR="004934F4" w:rsidRPr="00576AF8">
          <w:rPr>
            <w:webHidden/>
          </w:rPr>
          <w:fldChar w:fldCharType="begin"/>
        </w:r>
        <w:r w:rsidR="004934F4" w:rsidRPr="00576AF8">
          <w:rPr>
            <w:webHidden/>
          </w:rPr>
          <w:instrText xml:space="preserve"> PAGEREF _Toc25486634 \h </w:instrText>
        </w:r>
        <w:r w:rsidR="004934F4" w:rsidRPr="00576AF8">
          <w:rPr>
            <w:webHidden/>
          </w:rPr>
        </w:r>
        <w:r w:rsidR="004934F4" w:rsidRPr="00576AF8">
          <w:rPr>
            <w:webHidden/>
          </w:rPr>
          <w:fldChar w:fldCharType="separate"/>
        </w:r>
        <w:r w:rsidR="004934F4" w:rsidRPr="00576AF8">
          <w:rPr>
            <w:webHidden/>
          </w:rPr>
          <w:t>47</w:t>
        </w:r>
        <w:r w:rsidR="004934F4" w:rsidRPr="00576AF8">
          <w:rPr>
            <w:webHidden/>
          </w:rPr>
          <w:fldChar w:fldCharType="end"/>
        </w:r>
      </w:hyperlink>
    </w:p>
    <w:p w14:paraId="63AFC7E3" w14:textId="77777777" w:rsidR="004934F4" w:rsidRPr="00576AF8" w:rsidRDefault="006334E7">
      <w:pPr>
        <w:pStyle w:val="TDC2"/>
        <w:rPr>
          <w:rFonts w:eastAsiaTheme="minorEastAsia"/>
          <w:szCs w:val="24"/>
          <w:lang w:val="en-US" w:eastAsia="en-US" w:bidi="ar-SA"/>
        </w:rPr>
      </w:pPr>
      <w:hyperlink w:anchor="_Toc25486635" w:history="1">
        <w:r w:rsidR="004934F4" w:rsidRPr="00576AF8">
          <w:rPr>
            <w:rStyle w:val="Hipervnculo"/>
          </w:rPr>
          <w:t xml:space="preserve">52. </w:t>
        </w:r>
        <w:r w:rsidR="007A705B" w:rsidRPr="00576AF8">
          <w:rPr>
            <w:rStyle w:val="Hipervnculo"/>
          </w:rPr>
          <w:t xml:space="preserve">   </w:t>
        </w:r>
        <w:r w:rsidR="004934F4" w:rsidRPr="00576AF8">
          <w:rPr>
            <w:rStyle w:val="Hipervnculo"/>
          </w:rPr>
          <w:t>Explicaciones del Comprador</w:t>
        </w:r>
        <w:r w:rsidR="004934F4" w:rsidRPr="00576AF8">
          <w:rPr>
            <w:webHidden/>
          </w:rPr>
          <w:tab/>
        </w:r>
        <w:r w:rsidR="004934F4" w:rsidRPr="00576AF8">
          <w:rPr>
            <w:webHidden/>
          </w:rPr>
          <w:fldChar w:fldCharType="begin"/>
        </w:r>
        <w:r w:rsidR="004934F4" w:rsidRPr="00576AF8">
          <w:rPr>
            <w:webHidden/>
          </w:rPr>
          <w:instrText xml:space="preserve"> PAGEREF _Toc25486635 \h </w:instrText>
        </w:r>
        <w:r w:rsidR="004934F4" w:rsidRPr="00576AF8">
          <w:rPr>
            <w:webHidden/>
          </w:rPr>
        </w:r>
        <w:r w:rsidR="004934F4" w:rsidRPr="00576AF8">
          <w:rPr>
            <w:webHidden/>
          </w:rPr>
          <w:fldChar w:fldCharType="separate"/>
        </w:r>
        <w:r w:rsidR="004934F4" w:rsidRPr="00576AF8">
          <w:rPr>
            <w:webHidden/>
          </w:rPr>
          <w:t>48</w:t>
        </w:r>
        <w:r w:rsidR="004934F4" w:rsidRPr="00576AF8">
          <w:rPr>
            <w:webHidden/>
          </w:rPr>
          <w:fldChar w:fldCharType="end"/>
        </w:r>
      </w:hyperlink>
    </w:p>
    <w:p w14:paraId="69944BE9" w14:textId="77777777" w:rsidR="004934F4" w:rsidRPr="00576AF8" w:rsidRDefault="006334E7">
      <w:pPr>
        <w:pStyle w:val="TDC2"/>
        <w:rPr>
          <w:rFonts w:eastAsiaTheme="minorEastAsia"/>
          <w:szCs w:val="24"/>
          <w:lang w:val="en-US" w:eastAsia="en-US" w:bidi="ar-SA"/>
        </w:rPr>
      </w:pPr>
      <w:hyperlink w:anchor="_Toc25486636" w:history="1">
        <w:r w:rsidR="004934F4" w:rsidRPr="00576AF8">
          <w:rPr>
            <w:rStyle w:val="Hipervnculo"/>
          </w:rPr>
          <w:t>53.</w:t>
        </w:r>
        <w:r w:rsidR="004934F4" w:rsidRPr="00576AF8">
          <w:rPr>
            <w:rFonts w:eastAsiaTheme="minorEastAsia"/>
            <w:szCs w:val="24"/>
            <w:lang w:val="en-US" w:eastAsia="en-US" w:bidi="ar-SA"/>
          </w:rPr>
          <w:tab/>
        </w:r>
        <w:r w:rsidR="004934F4" w:rsidRPr="00576AF8">
          <w:rPr>
            <w:rStyle w:val="Hipervnculo"/>
          </w:rPr>
          <w:t>Firma del Contrato</w:t>
        </w:r>
        <w:r w:rsidR="004934F4" w:rsidRPr="00576AF8">
          <w:rPr>
            <w:webHidden/>
          </w:rPr>
          <w:tab/>
        </w:r>
        <w:r w:rsidR="004934F4" w:rsidRPr="00576AF8">
          <w:rPr>
            <w:webHidden/>
          </w:rPr>
          <w:fldChar w:fldCharType="begin"/>
        </w:r>
        <w:r w:rsidR="004934F4" w:rsidRPr="00576AF8">
          <w:rPr>
            <w:webHidden/>
          </w:rPr>
          <w:instrText xml:space="preserve"> PAGEREF _Toc25486636 \h </w:instrText>
        </w:r>
        <w:r w:rsidR="004934F4" w:rsidRPr="00576AF8">
          <w:rPr>
            <w:webHidden/>
          </w:rPr>
        </w:r>
        <w:r w:rsidR="004934F4" w:rsidRPr="00576AF8">
          <w:rPr>
            <w:webHidden/>
          </w:rPr>
          <w:fldChar w:fldCharType="separate"/>
        </w:r>
        <w:r w:rsidR="004934F4" w:rsidRPr="00576AF8">
          <w:rPr>
            <w:webHidden/>
          </w:rPr>
          <w:t>49</w:t>
        </w:r>
        <w:r w:rsidR="004934F4" w:rsidRPr="00576AF8">
          <w:rPr>
            <w:webHidden/>
          </w:rPr>
          <w:fldChar w:fldCharType="end"/>
        </w:r>
      </w:hyperlink>
    </w:p>
    <w:p w14:paraId="79310F3E" w14:textId="77777777" w:rsidR="004934F4" w:rsidRPr="00576AF8" w:rsidRDefault="006334E7">
      <w:pPr>
        <w:pStyle w:val="TDC2"/>
        <w:rPr>
          <w:rFonts w:eastAsiaTheme="minorEastAsia"/>
          <w:szCs w:val="24"/>
          <w:lang w:val="en-US" w:eastAsia="en-US" w:bidi="ar-SA"/>
        </w:rPr>
      </w:pPr>
      <w:hyperlink w:anchor="_Toc25486637" w:history="1">
        <w:r w:rsidR="004934F4" w:rsidRPr="00576AF8">
          <w:rPr>
            <w:rStyle w:val="Hipervnculo"/>
          </w:rPr>
          <w:t>54.</w:t>
        </w:r>
        <w:r w:rsidR="004934F4" w:rsidRPr="00576AF8">
          <w:rPr>
            <w:rFonts w:eastAsiaTheme="minorEastAsia"/>
            <w:szCs w:val="24"/>
            <w:lang w:val="en-US" w:eastAsia="en-US" w:bidi="ar-SA"/>
          </w:rPr>
          <w:tab/>
        </w:r>
        <w:r w:rsidR="004934F4" w:rsidRPr="00576AF8">
          <w:rPr>
            <w:rStyle w:val="Hipervnculo"/>
          </w:rPr>
          <w:t>Garantía de Cumplimiento</w:t>
        </w:r>
        <w:r w:rsidR="004934F4" w:rsidRPr="00576AF8">
          <w:rPr>
            <w:webHidden/>
          </w:rPr>
          <w:tab/>
        </w:r>
        <w:r w:rsidR="004934F4" w:rsidRPr="00576AF8">
          <w:rPr>
            <w:webHidden/>
          </w:rPr>
          <w:fldChar w:fldCharType="begin"/>
        </w:r>
        <w:r w:rsidR="004934F4" w:rsidRPr="00576AF8">
          <w:rPr>
            <w:webHidden/>
          </w:rPr>
          <w:instrText xml:space="preserve"> PAGEREF _Toc25486637 \h </w:instrText>
        </w:r>
        <w:r w:rsidR="004934F4" w:rsidRPr="00576AF8">
          <w:rPr>
            <w:webHidden/>
          </w:rPr>
        </w:r>
        <w:r w:rsidR="004934F4" w:rsidRPr="00576AF8">
          <w:rPr>
            <w:webHidden/>
          </w:rPr>
          <w:fldChar w:fldCharType="separate"/>
        </w:r>
        <w:r w:rsidR="004934F4" w:rsidRPr="00576AF8">
          <w:rPr>
            <w:webHidden/>
          </w:rPr>
          <w:t>50</w:t>
        </w:r>
        <w:r w:rsidR="004934F4" w:rsidRPr="00576AF8">
          <w:rPr>
            <w:webHidden/>
          </w:rPr>
          <w:fldChar w:fldCharType="end"/>
        </w:r>
      </w:hyperlink>
    </w:p>
    <w:p w14:paraId="6A22C96A" w14:textId="77777777" w:rsidR="004934F4" w:rsidRPr="00576AF8" w:rsidRDefault="006334E7">
      <w:pPr>
        <w:pStyle w:val="TDC2"/>
        <w:rPr>
          <w:rFonts w:eastAsiaTheme="minorEastAsia"/>
          <w:szCs w:val="24"/>
          <w:lang w:val="en-US" w:eastAsia="en-US" w:bidi="ar-SA"/>
        </w:rPr>
      </w:pPr>
      <w:hyperlink w:anchor="_Toc25486638" w:history="1">
        <w:r w:rsidR="004934F4" w:rsidRPr="00576AF8">
          <w:rPr>
            <w:rStyle w:val="Hipervnculo"/>
          </w:rPr>
          <w:t>55.</w:t>
        </w:r>
        <w:r w:rsidR="004934F4" w:rsidRPr="00576AF8">
          <w:rPr>
            <w:rFonts w:eastAsiaTheme="minorEastAsia"/>
            <w:szCs w:val="24"/>
            <w:lang w:val="en-US" w:eastAsia="en-US" w:bidi="ar-SA"/>
          </w:rPr>
          <w:tab/>
        </w:r>
        <w:r w:rsidR="004934F4" w:rsidRPr="00576AF8">
          <w:rPr>
            <w:rStyle w:val="Hipervnculo"/>
          </w:rPr>
          <w:t>Conciliador</w:t>
        </w:r>
        <w:r w:rsidR="004934F4" w:rsidRPr="00576AF8">
          <w:rPr>
            <w:webHidden/>
          </w:rPr>
          <w:tab/>
        </w:r>
        <w:r w:rsidR="004934F4" w:rsidRPr="00576AF8">
          <w:rPr>
            <w:webHidden/>
          </w:rPr>
          <w:fldChar w:fldCharType="begin"/>
        </w:r>
        <w:r w:rsidR="004934F4" w:rsidRPr="00576AF8">
          <w:rPr>
            <w:webHidden/>
          </w:rPr>
          <w:instrText xml:space="preserve"> PAGEREF _Toc25486638 \h </w:instrText>
        </w:r>
        <w:r w:rsidR="004934F4" w:rsidRPr="00576AF8">
          <w:rPr>
            <w:webHidden/>
          </w:rPr>
        </w:r>
        <w:r w:rsidR="004934F4" w:rsidRPr="00576AF8">
          <w:rPr>
            <w:webHidden/>
          </w:rPr>
          <w:fldChar w:fldCharType="separate"/>
        </w:r>
        <w:r w:rsidR="004934F4" w:rsidRPr="00576AF8">
          <w:rPr>
            <w:webHidden/>
          </w:rPr>
          <w:t>50</w:t>
        </w:r>
        <w:r w:rsidR="004934F4" w:rsidRPr="00576AF8">
          <w:rPr>
            <w:webHidden/>
          </w:rPr>
          <w:fldChar w:fldCharType="end"/>
        </w:r>
      </w:hyperlink>
    </w:p>
    <w:p w14:paraId="5395C624" w14:textId="77777777" w:rsidR="004934F4" w:rsidRPr="00576AF8" w:rsidRDefault="006334E7">
      <w:pPr>
        <w:pStyle w:val="TDC2"/>
        <w:rPr>
          <w:rFonts w:eastAsiaTheme="minorEastAsia"/>
          <w:szCs w:val="24"/>
          <w:lang w:val="en-US" w:eastAsia="en-US" w:bidi="ar-SA"/>
        </w:rPr>
      </w:pPr>
      <w:hyperlink w:anchor="_Toc25486639" w:history="1">
        <w:r w:rsidR="004934F4" w:rsidRPr="00576AF8">
          <w:rPr>
            <w:rStyle w:val="Hipervnculo"/>
          </w:rPr>
          <w:t xml:space="preserve">56. </w:t>
        </w:r>
        <w:r w:rsidR="007A705B" w:rsidRPr="00576AF8">
          <w:rPr>
            <w:rStyle w:val="Hipervnculo"/>
          </w:rPr>
          <w:t xml:space="preserve">   </w:t>
        </w:r>
        <w:r w:rsidR="004934F4" w:rsidRPr="00576AF8">
          <w:rPr>
            <w:rStyle w:val="Hipervnculo"/>
          </w:rPr>
          <w:t>Quejas Relacionadas con Adquisiciones</w:t>
        </w:r>
        <w:r w:rsidR="004934F4" w:rsidRPr="00576AF8">
          <w:rPr>
            <w:webHidden/>
          </w:rPr>
          <w:tab/>
        </w:r>
        <w:r w:rsidR="004934F4" w:rsidRPr="00576AF8">
          <w:rPr>
            <w:webHidden/>
          </w:rPr>
          <w:fldChar w:fldCharType="begin"/>
        </w:r>
        <w:r w:rsidR="004934F4" w:rsidRPr="00576AF8">
          <w:rPr>
            <w:webHidden/>
          </w:rPr>
          <w:instrText xml:space="preserve"> PAGEREF _Toc25486639 \h </w:instrText>
        </w:r>
        <w:r w:rsidR="004934F4" w:rsidRPr="00576AF8">
          <w:rPr>
            <w:webHidden/>
          </w:rPr>
        </w:r>
        <w:r w:rsidR="004934F4" w:rsidRPr="00576AF8">
          <w:rPr>
            <w:webHidden/>
          </w:rPr>
          <w:fldChar w:fldCharType="separate"/>
        </w:r>
        <w:r w:rsidR="004934F4" w:rsidRPr="00576AF8">
          <w:rPr>
            <w:webHidden/>
          </w:rPr>
          <w:t>51</w:t>
        </w:r>
        <w:r w:rsidR="004934F4" w:rsidRPr="00576AF8">
          <w:rPr>
            <w:webHidden/>
          </w:rPr>
          <w:fldChar w:fldCharType="end"/>
        </w:r>
      </w:hyperlink>
    </w:p>
    <w:p w14:paraId="33DF3CBA" w14:textId="77777777" w:rsidR="00987998" w:rsidRPr="00576AF8" w:rsidRDefault="00E31F7F" w:rsidP="00DF4A5C">
      <w:pPr>
        <w:pStyle w:val="TDC1"/>
        <w:rPr>
          <w:rFonts w:ascii="Times New Roman" w:hAnsi="Times New Roman"/>
          <w:b w:val="0"/>
          <w:sz w:val="32"/>
          <w:szCs w:val="32"/>
        </w:rPr>
        <w:sectPr w:rsidR="00987998" w:rsidRPr="00576AF8" w:rsidSect="000968D2">
          <w:headerReference w:type="default" r:id="rId14"/>
          <w:footnotePr>
            <w:numRestart w:val="eachPage"/>
          </w:footnotePr>
          <w:endnotePr>
            <w:numRestart w:val="eachSect"/>
          </w:endnotePr>
          <w:pgSz w:w="12240" w:h="15840" w:code="1"/>
          <w:pgMar w:top="1440" w:right="1440" w:bottom="1440" w:left="1440" w:header="720" w:footer="432" w:gutter="0"/>
          <w:pgNumType w:start="1"/>
          <w:cols w:space="720"/>
          <w:formProt w:val="0"/>
        </w:sectPr>
      </w:pPr>
      <w:r w:rsidRPr="00576AF8">
        <w:rPr>
          <w:rFonts w:ascii="Times New Roman" w:hAnsi="Times New Roman"/>
          <w:sz w:val="32"/>
          <w:szCs w:val="32"/>
        </w:rPr>
        <w:fldChar w:fldCharType="end"/>
      </w:r>
    </w:p>
    <w:p w14:paraId="162989C2" w14:textId="77777777" w:rsidR="00DE5F66" w:rsidRPr="00576AF8" w:rsidRDefault="004D598F" w:rsidP="003749BF">
      <w:pPr>
        <w:pStyle w:val="Head0"/>
        <w:spacing w:before="5160"/>
        <w:rPr>
          <w:rFonts w:ascii="Times New Roman" w:hAnsi="Times New Roman"/>
        </w:rPr>
      </w:pPr>
      <w:bookmarkStart w:id="2" w:name="_Toc384449969"/>
      <w:bookmarkStart w:id="3" w:name="_Toc384450256"/>
      <w:bookmarkStart w:id="4" w:name="_Toc384450309"/>
      <w:bookmarkStart w:id="5" w:name="_Toc521498733"/>
      <w:bookmarkStart w:id="6" w:name="_Toc215902357"/>
      <w:r w:rsidRPr="00576AF8">
        <w:rPr>
          <w:rFonts w:ascii="Times New Roman" w:hAnsi="Times New Roman"/>
          <w:szCs w:val="180"/>
        </w:rPr>
        <w:lastRenderedPageBreak/>
        <w:t xml:space="preserve">PARTE 1: Procedimientos de </w:t>
      </w:r>
      <w:r w:rsidR="00AD196A" w:rsidRPr="00576AF8">
        <w:rPr>
          <w:rFonts w:ascii="Times New Roman" w:hAnsi="Times New Roman"/>
          <w:szCs w:val="180"/>
        </w:rPr>
        <w:t>Licitación</w:t>
      </w:r>
    </w:p>
    <w:p w14:paraId="52969751" w14:textId="77777777" w:rsidR="0063414A" w:rsidRPr="00576AF8" w:rsidRDefault="0063414A"/>
    <w:p w14:paraId="7637CEF9" w14:textId="77777777" w:rsidR="00497333" w:rsidRPr="00576AF8" w:rsidRDefault="00497333" w:rsidP="00A01121">
      <w:pPr>
        <w:tabs>
          <w:tab w:val="center" w:pos="4680"/>
        </w:tabs>
        <w:sectPr w:rsidR="00497333" w:rsidRPr="00576AF8" w:rsidSect="000968D2">
          <w:headerReference w:type="even" r:id="rId15"/>
          <w:headerReference w:type="default" r:id="rId16"/>
          <w:footnotePr>
            <w:numRestart w:val="eachPage"/>
          </w:footnotePr>
          <w:endnotePr>
            <w:numRestart w:val="eachSect"/>
          </w:endnotePr>
          <w:pgSz w:w="12240" w:h="15840" w:code="1"/>
          <w:pgMar w:top="1440" w:right="1440" w:bottom="1440" w:left="1440" w:header="720" w:footer="432" w:gutter="0"/>
          <w:cols w:space="720"/>
          <w:formProt w:val="0"/>
        </w:sectPr>
      </w:pPr>
    </w:p>
    <w:p w14:paraId="560C0A69" w14:textId="77777777" w:rsidR="005D3A16" w:rsidRPr="00576AF8" w:rsidRDefault="005D3A16" w:rsidP="003B1CB5">
      <w:pPr>
        <w:pStyle w:val="TDC11"/>
        <w:rPr>
          <w:szCs w:val="36"/>
        </w:rPr>
      </w:pPr>
      <w:bookmarkStart w:id="7" w:name="_Toc445567352"/>
      <w:bookmarkStart w:id="8" w:name="_Toc28242426"/>
      <w:r w:rsidRPr="00576AF8">
        <w:lastRenderedPageBreak/>
        <w:t>Sección I</w:t>
      </w:r>
      <w:r w:rsidR="000107E9" w:rsidRPr="00576AF8">
        <w:t xml:space="preserve">. </w:t>
      </w:r>
      <w:r w:rsidRPr="00576AF8">
        <w:t>Instrucciones a los Licitantes</w:t>
      </w:r>
      <w:bookmarkEnd w:id="7"/>
      <w:bookmarkEnd w:id="8"/>
    </w:p>
    <w:p w14:paraId="26F843F9" w14:textId="77777777" w:rsidR="00CC7032" w:rsidRPr="00576AF8" w:rsidRDefault="00CC7032" w:rsidP="00D41DB7">
      <w:pPr>
        <w:jc w:val="center"/>
        <w:rPr>
          <w:b/>
          <w:sz w:val="36"/>
          <w:szCs w:val="36"/>
        </w:rPr>
      </w:pPr>
    </w:p>
    <w:p w14:paraId="1D547B87" w14:textId="77777777" w:rsidR="005D3A16" w:rsidRPr="00576AF8" w:rsidRDefault="00823764" w:rsidP="00FB1E48">
      <w:pPr>
        <w:pStyle w:val="Toc2-1"/>
      </w:pPr>
      <w:bookmarkStart w:id="9" w:name="_Toc434304491"/>
      <w:bookmarkStart w:id="10" w:name="_Toc454907765"/>
      <w:bookmarkStart w:id="11" w:name="_Toc476308197"/>
      <w:bookmarkStart w:id="12" w:name="_Toc476308765"/>
      <w:bookmarkStart w:id="13" w:name="_Toc479333315"/>
      <w:bookmarkStart w:id="14" w:name="_Toc25486574"/>
      <w:r w:rsidRPr="00576AF8">
        <w:t>A.</w:t>
      </w:r>
      <w:r w:rsidR="004724AE" w:rsidRPr="00576AF8">
        <w:t xml:space="preserve"> </w:t>
      </w:r>
      <w:r w:rsidRPr="00576AF8">
        <w:t xml:space="preserve">Aspectos </w:t>
      </w:r>
      <w:r w:rsidR="00314996" w:rsidRPr="00576AF8">
        <w:t>G</w:t>
      </w:r>
      <w:r w:rsidRPr="00576AF8">
        <w:t>enerales</w:t>
      </w:r>
      <w:bookmarkEnd w:id="9"/>
      <w:bookmarkEnd w:id="10"/>
      <w:bookmarkEnd w:id="11"/>
      <w:bookmarkEnd w:id="12"/>
      <w:bookmarkEnd w:id="13"/>
      <w:bookmarkEnd w:id="14"/>
    </w:p>
    <w:tbl>
      <w:tblPr>
        <w:tblW w:w="9356" w:type="dxa"/>
        <w:tblLayout w:type="fixed"/>
        <w:tblLook w:val="0000" w:firstRow="0" w:lastRow="0" w:firstColumn="0" w:lastColumn="0" w:noHBand="0" w:noVBand="0"/>
      </w:tblPr>
      <w:tblGrid>
        <w:gridCol w:w="2520"/>
        <w:gridCol w:w="6836"/>
      </w:tblGrid>
      <w:tr w:rsidR="005D3A16" w:rsidRPr="00576AF8" w14:paraId="1187027A" w14:textId="77777777" w:rsidTr="00205118">
        <w:trPr>
          <w:cantSplit/>
        </w:trPr>
        <w:tc>
          <w:tcPr>
            <w:tcW w:w="2520" w:type="dxa"/>
          </w:tcPr>
          <w:p w14:paraId="4D13BC3D" w14:textId="77777777" w:rsidR="005D3A16" w:rsidRPr="00576AF8" w:rsidRDefault="005D3A16" w:rsidP="00205118">
            <w:pPr>
              <w:pStyle w:val="TOC2-2"/>
              <w:suppressAutoHyphens/>
            </w:pPr>
            <w:bookmarkStart w:id="15" w:name="_Toc434304492"/>
            <w:bookmarkStart w:id="16" w:name="_Toc454907766"/>
            <w:bookmarkStart w:id="17" w:name="_Toc476308198"/>
            <w:bookmarkStart w:id="18" w:name="_Toc476308766"/>
            <w:bookmarkStart w:id="19" w:name="_Toc479333316"/>
            <w:bookmarkStart w:id="20" w:name="_Toc25486575"/>
            <w:r w:rsidRPr="00576AF8">
              <w:t>1.</w:t>
            </w:r>
            <w:r w:rsidRPr="00576AF8">
              <w:tab/>
              <w:t>Alcance de la</w:t>
            </w:r>
            <w:r w:rsidR="00C7748B" w:rsidRPr="00576AF8">
              <w:t> </w:t>
            </w:r>
            <w:bookmarkEnd w:id="15"/>
            <w:bookmarkEnd w:id="16"/>
            <w:bookmarkEnd w:id="17"/>
            <w:bookmarkEnd w:id="18"/>
            <w:bookmarkEnd w:id="19"/>
            <w:r w:rsidR="002455AF" w:rsidRPr="00576AF8">
              <w:t>Licitación</w:t>
            </w:r>
            <w:bookmarkEnd w:id="20"/>
          </w:p>
        </w:tc>
        <w:tc>
          <w:tcPr>
            <w:tcW w:w="6836" w:type="dxa"/>
          </w:tcPr>
          <w:p w14:paraId="092953F8" w14:textId="77777777" w:rsidR="001B74CA" w:rsidRPr="00576AF8" w:rsidRDefault="001B2F04">
            <w:pPr>
              <w:pStyle w:val="Sub-ClauseText"/>
              <w:numPr>
                <w:ilvl w:val="1"/>
                <w:numId w:val="25"/>
              </w:numPr>
              <w:tabs>
                <w:tab w:val="clear" w:pos="600"/>
              </w:tabs>
              <w:spacing w:before="0" w:after="160"/>
              <w:ind w:left="567" w:hanging="567"/>
              <w:rPr>
                <w:szCs w:val="24"/>
              </w:rPr>
            </w:pPr>
            <w:r w:rsidRPr="00576AF8">
              <w:t>El Comprador, indicado en los D</w:t>
            </w:r>
            <w:r w:rsidR="002455AF" w:rsidRPr="00576AF8">
              <w:t>atos de la Licitación</w:t>
            </w:r>
            <w:r w:rsidR="002455AF" w:rsidRPr="00576AF8">
              <w:rPr>
                <w:b/>
              </w:rPr>
              <w:t xml:space="preserve"> (DDL)</w:t>
            </w:r>
            <w:r w:rsidRPr="00576AF8">
              <w:t xml:space="preserve">, o su Agente de Adquisiciones debidamente autorizado, si así se especifica </w:t>
            </w:r>
            <w:r w:rsidRPr="00576AF8">
              <w:rPr>
                <w:b/>
              </w:rPr>
              <w:t>en los DDL</w:t>
            </w:r>
            <w:r w:rsidRPr="00576AF8">
              <w:t xml:space="preserve"> (ambos denominados “el Comprador” en forma intercambiable) publica este </w:t>
            </w:r>
            <w:r w:rsidR="00807C34" w:rsidRPr="00576AF8">
              <w:t>documento de licitación</w:t>
            </w:r>
            <w:r w:rsidRPr="00576AF8">
              <w:t xml:space="preserve"> para el suministro y la instalación del Sistema Informático que se especifica en la </w:t>
            </w:r>
            <w:r w:rsidR="000107E9" w:rsidRPr="00576AF8">
              <w:t>Sección </w:t>
            </w:r>
            <w:r w:rsidRPr="00576AF8">
              <w:t xml:space="preserve">VI, </w:t>
            </w:r>
            <w:r w:rsidR="007A2272" w:rsidRPr="00576AF8">
              <w:t>“</w:t>
            </w:r>
            <w:r w:rsidRPr="00576AF8">
              <w:t xml:space="preserve">Requisitos del </w:t>
            </w:r>
            <w:r w:rsidR="00A83F3E" w:rsidRPr="00576AF8">
              <w:t>Sistema Informático</w:t>
            </w:r>
            <w:r w:rsidR="007A2272" w:rsidRPr="00576AF8">
              <w:t>”</w:t>
            </w:r>
            <w:r w:rsidRPr="00576AF8">
              <w:t xml:space="preserve">. El nombre, la identificación y la cantidad de lotes (contratos) de esta </w:t>
            </w:r>
            <w:r w:rsidR="0046742A" w:rsidRPr="00576AF8">
              <w:t>licitación</w:t>
            </w:r>
            <w:r w:rsidR="00BC72E3" w:rsidRPr="00576AF8">
              <w:t xml:space="preserve"> </w:t>
            </w:r>
            <w:r w:rsidRPr="00576AF8">
              <w:t>se indican</w:t>
            </w:r>
            <w:r w:rsidRPr="00576AF8">
              <w:rPr>
                <w:b/>
              </w:rPr>
              <w:t xml:space="preserve"> en los DDL</w:t>
            </w:r>
            <w:r w:rsidRPr="00576AF8">
              <w:t>.</w:t>
            </w:r>
            <w:r w:rsidR="008C1ECF" w:rsidRPr="00576AF8">
              <w:t xml:space="preserve"> Si corresponde, el costo estimado se indica </w:t>
            </w:r>
            <w:r w:rsidR="008C1ECF" w:rsidRPr="00576AF8">
              <w:rPr>
                <w:b/>
              </w:rPr>
              <w:t>en los DDL</w:t>
            </w:r>
            <w:r w:rsidR="008C1ECF" w:rsidRPr="00576AF8">
              <w:t>.</w:t>
            </w:r>
          </w:p>
        </w:tc>
      </w:tr>
      <w:tr w:rsidR="005D3A16" w:rsidRPr="00576AF8" w14:paraId="695F9CC6" w14:textId="77777777" w:rsidTr="00205118">
        <w:tc>
          <w:tcPr>
            <w:tcW w:w="2520" w:type="dxa"/>
          </w:tcPr>
          <w:p w14:paraId="0376AA56" w14:textId="77777777" w:rsidR="005D3A16" w:rsidRPr="00576AF8" w:rsidRDefault="005D3A16" w:rsidP="00CC7032">
            <w:pPr>
              <w:numPr>
                <w:ilvl w:val="12"/>
                <w:numId w:val="0"/>
              </w:numPr>
              <w:spacing w:after="200"/>
              <w:ind w:left="360" w:hanging="360"/>
              <w:jc w:val="left"/>
              <w:rPr>
                <w:szCs w:val="24"/>
              </w:rPr>
            </w:pPr>
          </w:p>
        </w:tc>
        <w:tc>
          <w:tcPr>
            <w:tcW w:w="6836" w:type="dxa"/>
          </w:tcPr>
          <w:p w14:paraId="7A715891" w14:textId="77777777" w:rsidR="001B74CA" w:rsidRPr="00576AF8" w:rsidRDefault="004B0AEF" w:rsidP="00C7748B">
            <w:pPr>
              <w:spacing w:after="160"/>
              <w:ind w:left="567" w:hanging="567"/>
              <w:rPr>
                <w:szCs w:val="24"/>
              </w:rPr>
            </w:pPr>
            <w:r w:rsidRPr="00576AF8">
              <w:t>1.2</w:t>
            </w:r>
            <w:r w:rsidRPr="00576AF8">
              <w:tab/>
              <w:t xml:space="preserve">Salvo que se indique lo contrario, en todo este </w:t>
            </w:r>
            <w:r w:rsidR="00E00F60" w:rsidRPr="00576AF8">
              <w:t xml:space="preserve">Documento </w:t>
            </w:r>
            <w:r w:rsidR="00C7748B" w:rsidRPr="00576AF8">
              <w:br/>
            </w:r>
            <w:r w:rsidR="00E00F60" w:rsidRPr="00576AF8">
              <w:t>de Licitación</w:t>
            </w:r>
            <w:r w:rsidRPr="00576AF8">
              <w:t xml:space="preserve">, las definiciones e interpretaciones serán las </w:t>
            </w:r>
            <w:r w:rsidR="00C7748B" w:rsidRPr="00576AF8">
              <w:br/>
            </w:r>
            <w:r w:rsidRPr="00576AF8">
              <w:t xml:space="preserve">que se establecen en la </w:t>
            </w:r>
            <w:r w:rsidR="000107E9" w:rsidRPr="00576AF8">
              <w:t xml:space="preserve">Sección </w:t>
            </w:r>
            <w:r w:rsidRPr="00576AF8">
              <w:t xml:space="preserve">VII, </w:t>
            </w:r>
            <w:r w:rsidR="004648C4" w:rsidRPr="00576AF8">
              <w:t>“</w:t>
            </w:r>
            <w:r w:rsidRPr="00576AF8">
              <w:t>Condiciones Generales del Contrato</w:t>
            </w:r>
            <w:r w:rsidR="004648C4" w:rsidRPr="00576AF8">
              <w:t>”</w:t>
            </w:r>
            <w:r w:rsidRPr="00576AF8">
              <w:t>.</w:t>
            </w:r>
          </w:p>
        </w:tc>
      </w:tr>
      <w:tr w:rsidR="00D46756" w:rsidRPr="00576AF8" w14:paraId="1F35AEDE" w14:textId="77777777" w:rsidTr="00205118">
        <w:tc>
          <w:tcPr>
            <w:tcW w:w="2520" w:type="dxa"/>
          </w:tcPr>
          <w:p w14:paraId="140E3990" w14:textId="77777777" w:rsidR="00D46756" w:rsidRPr="00576AF8" w:rsidRDefault="00D46756" w:rsidP="0050581E">
            <w:pPr>
              <w:numPr>
                <w:ilvl w:val="12"/>
                <w:numId w:val="0"/>
              </w:numPr>
              <w:spacing w:after="200"/>
              <w:jc w:val="left"/>
              <w:rPr>
                <w:szCs w:val="24"/>
              </w:rPr>
            </w:pPr>
          </w:p>
        </w:tc>
        <w:tc>
          <w:tcPr>
            <w:tcW w:w="6836" w:type="dxa"/>
          </w:tcPr>
          <w:p w14:paraId="00C316CB" w14:textId="77777777" w:rsidR="00D46756" w:rsidRPr="00576AF8" w:rsidRDefault="004648C4">
            <w:pPr>
              <w:pStyle w:val="Prrafodelista"/>
              <w:numPr>
                <w:ilvl w:val="1"/>
                <w:numId w:val="26"/>
              </w:numPr>
              <w:spacing w:after="160"/>
              <w:ind w:left="539" w:hanging="539"/>
              <w:contextualSpacing w:val="0"/>
              <w:rPr>
                <w:szCs w:val="24"/>
              </w:rPr>
            </w:pPr>
            <w:r w:rsidRPr="00576AF8">
              <w:t xml:space="preserve">En </w:t>
            </w:r>
            <w:r w:rsidR="00D46756" w:rsidRPr="00576AF8">
              <w:t>todo</w:t>
            </w:r>
            <w:r w:rsidRPr="00576AF8">
              <w:t xml:space="preserve"> </w:t>
            </w:r>
            <w:r w:rsidR="00D46756" w:rsidRPr="00576AF8">
              <w:t xml:space="preserve">este </w:t>
            </w:r>
            <w:r w:rsidR="00807C34" w:rsidRPr="00576AF8">
              <w:t>documento de licitación</w:t>
            </w:r>
            <w:r w:rsidR="00D46756" w:rsidRPr="00576AF8">
              <w:t>:</w:t>
            </w:r>
          </w:p>
          <w:p w14:paraId="574E162D" w14:textId="77777777" w:rsidR="00D46756" w:rsidRPr="00576AF8" w:rsidRDefault="004648C4">
            <w:pPr>
              <w:pStyle w:val="Ttulo3"/>
              <w:numPr>
                <w:ilvl w:val="0"/>
                <w:numId w:val="16"/>
              </w:numPr>
              <w:suppressAutoHyphens w:val="0"/>
              <w:spacing w:after="160"/>
              <w:ind w:left="1203" w:hanging="650"/>
              <w:jc w:val="both"/>
              <w:rPr>
                <w:rFonts w:ascii="Times New Roman" w:hAnsi="Times New Roman"/>
                <w:b w:val="0"/>
                <w:sz w:val="24"/>
                <w:szCs w:val="24"/>
              </w:rPr>
            </w:pPr>
            <w:bookmarkStart w:id="21" w:name="_Toc445567353"/>
            <w:r w:rsidRPr="00576AF8">
              <w:rPr>
                <w:rFonts w:ascii="Times New Roman" w:hAnsi="Times New Roman"/>
                <w:b w:val="0"/>
                <w:sz w:val="24"/>
              </w:rPr>
              <w:t>E</w:t>
            </w:r>
            <w:r w:rsidR="00D46756" w:rsidRPr="00576AF8">
              <w:rPr>
                <w:rFonts w:ascii="Times New Roman" w:hAnsi="Times New Roman"/>
                <w:b w:val="0"/>
                <w:sz w:val="24"/>
              </w:rPr>
              <w:t xml:space="preserve">l término “por escrito” se entiende </w:t>
            </w:r>
            <w:r w:rsidRPr="00576AF8">
              <w:rPr>
                <w:rFonts w:ascii="Times New Roman" w:hAnsi="Times New Roman"/>
                <w:b w:val="0"/>
                <w:sz w:val="24"/>
              </w:rPr>
              <w:t xml:space="preserve">que será </w:t>
            </w:r>
            <w:r w:rsidR="00D46756" w:rsidRPr="00576AF8">
              <w:rPr>
                <w:rFonts w:ascii="Times New Roman" w:hAnsi="Times New Roman"/>
                <w:b w:val="0"/>
                <w:sz w:val="24"/>
              </w:rPr>
              <w:t xml:space="preserve">la comunicación en forma escrita (por ejemplo, por correo postal, correo electrónico e incluso, si así se especifica </w:t>
            </w:r>
            <w:r w:rsidR="0072303B" w:rsidRPr="00576AF8">
              <w:rPr>
                <w:rFonts w:ascii="Times New Roman" w:hAnsi="Times New Roman"/>
                <w:b w:val="0"/>
                <w:bCs/>
                <w:sz w:val="24"/>
              </w:rPr>
              <w:t>en la IAL 1.4</w:t>
            </w:r>
            <w:r w:rsidR="00D46756" w:rsidRPr="00576AF8">
              <w:rPr>
                <w:rFonts w:ascii="Times New Roman" w:hAnsi="Times New Roman"/>
                <w:b w:val="0"/>
                <w:sz w:val="24"/>
              </w:rPr>
              <w:t>, aquella enviada o recibida a través del sistema electrónico de adquisiciones utilizado por el Comprador) con prueba de recibo.</w:t>
            </w:r>
            <w:bookmarkEnd w:id="21"/>
          </w:p>
          <w:p w14:paraId="69B5B189" w14:textId="77777777" w:rsidR="00D46756" w:rsidRPr="00576AF8" w:rsidRDefault="00D46756">
            <w:pPr>
              <w:pStyle w:val="Ttulo3"/>
              <w:numPr>
                <w:ilvl w:val="0"/>
                <w:numId w:val="16"/>
              </w:numPr>
              <w:suppressAutoHyphens w:val="0"/>
              <w:spacing w:after="160"/>
              <w:ind w:left="1203" w:hanging="650"/>
              <w:jc w:val="both"/>
              <w:rPr>
                <w:rFonts w:ascii="Times New Roman" w:hAnsi="Times New Roman"/>
                <w:b w:val="0"/>
                <w:sz w:val="24"/>
                <w:szCs w:val="24"/>
              </w:rPr>
            </w:pPr>
            <w:bookmarkStart w:id="22" w:name="_Toc445567354"/>
            <w:r w:rsidRPr="00576AF8">
              <w:rPr>
                <w:rFonts w:ascii="Times New Roman" w:hAnsi="Times New Roman"/>
                <w:b w:val="0"/>
                <w:sz w:val="24"/>
              </w:rPr>
              <w:t>Si el contexto así lo requiere, por “singular” se entenderá “plural” y viceversa.</w:t>
            </w:r>
            <w:bookmarkEnd w:id="22"/>
          </w:p>
          <w:p w14:paraId="7A68BD5E" w14:textId="77777777" w:rsidR="00D46756" w:rsidRPr="00576AF8" w:rsidDel="00D46756" w:rsidRDefault="00D46756">
            <w:pPr>
              <w:pStyle w:val="Prrafodelista"/>
              <w:numPr>
                <w:ilvl w:val="0"/>
                <w:numId w:val="16"/>
              </w:numPr>
              <w:tabs>
                <w:tab w:val="left" w:pos="540"/>
              </w:tabs>
              <w:spacing w:after="200"/>
              <w:ind w:left="1203" w:right="-72" w:hanging="650"/>
              <w:contextualSpacing w:val="0"/>
              <w:rPr>
                <w:spacing w:val="-4"/>
                <w:szCs w:val="24"/>
              </w:rPr>
            </w:pPr>
            <w:r w:rsidRPr="00576AF8">
              <w:rPr>
                <w:spacing w:val="-4"/>
              </w:rPr>
              <w:t xml:space="preserve">Por “día” se entiende día calendario, salvo que se especifique lo contrario mediante la expresión “Día Hábil”. </w:t>
            </w:r>
            <w:r w:rsidR="000107E9" w:rsidRPr="00576AF8">
              <w:rPr>
                <w:spacing w:val="-4"/>
              </w:rPr>
              <w:t>Son días hábiles todos los días laborables del Prestatario. Se excluyen los feriados oficiales del Prestatario</w:t>
            </w:r>
            <w:r w:rsidRPr="00576AF8">
              <w:rPr>
                <w:spacing w:val="-4"/>
              </w:rPr>
              <w:t>.</w:t>
            </w:r>
          </w:p>
        </w:tc>
      </w:tr>
      <w:tr w:rsidR="00205118" w:rsidRPr="00576AF8" w14:paraId="7797C5A3" w14:textId="77777777" w:rsidTr="00205118">
        <w:tc>
          <w:tcPr>
            <w:tcW w:w="2520" w:type="dxa"/>
          </w:tcPr>
          <w:p w14:paraId="69824DE4" w14:textId="77777777" w:rsidR="00205118" w:rsidRPr="00576AF8" w:rsidRDefault="00205118" w:rsidP="0050581E">
            <w:pPr>
              <w:numPr>
                <w:ilvl w:val="12"/>
                <w:numId w:val="0"/>
              </w:numPr>
              <w:spacing w:after="200"/>
              <w:jc w:val="left"/>
              <w:rPr>
                <w:szCs w:val="24"/>
              </w:rPr>
            </w:pPr>
          </w:p>
        </w:tc>
        <w:tc>
          <w:tcPr>
            <w:tcW w:w="6836" w:type="dxa"/>
          </w:tcPr>
          <w:p w14:paraId="46F31C76" w14:textId="77777777" w:rsidR="00205118" w:rsidRPr="00576AF8" w:rsidRDefault="00205118">
            <w:pPr>
              <w:pStyle w:val="Prrafodelista"/>
              <w:numPr>
                <w:ilvl w:val="1"/>
                <w:numId w:val="26"/>
              </w:numPr>
              <w:spacing w:after="160"/>
              <w:ind w:left="539" w:hanging="539"/>
              <w:contextualSpacing w:val="0"/>
            </w:pPr>
            <w:r w:rsidRPr="00576AF8">
              <w:t xml:space="preserve">Si se especifica </w:t>
            </w:r>
            <w:r w:rsidRPr="00576AF8">
              <w:rPr>
                <w:b/>
              </w:rPr>
              <w:t>en los DDL</w:t>
            </w:r>
            <w:r w:rsidRPr="00576AF8">
              <w:t xml:space="preserve">, el Comprador tiene la intención de usar el sistema electrónico de adquisiciones, indicado </w:t>
            </w:r>
            <w:r w:rsidRPr="00576AF8">
              <w:rPr>
                <w:b/>
              </w:rPr>
              <w:t xml:space="preserve">en DDL </w:t>
            </w:r>
            <w:r w:rsidRPr="00576AF8">
              <w:t xml:space="preserve">y que será utilizado </w:t>
            </w:r>
            <w:proofErr w:type="gramStart"/>
            <w:r w:rsidRPr="00576AF8">
              <w:t>para  gestionar</w:t>
            </w:r>
            <w:proofErr w:type="gramEnd"/>
            <w:r w:rsidRPr="00576AF8">
              <w:t xml:space="preserve"> los aspectos de la licitación indicados </w:t>
            </w:r>
            <w:r w:rsidRPr="00576AF8">
              <w:rPr>
                <w:b/>
              </w:rPr>
              <w:t>en los DDL</w:t>
            </w:r>
            <w:r w:rsidRPr="00576AF8">
              <w:t>.</w:t>
            </w:r>
            <w:r w:rsidRPr="00576AF8">
              <w:rPr>
                <w:rStyle w:val="Refdenotaalpie"/>
              </w:rPr>
              <w:footnoteReference w:id="2"/>
            </w:r>
          </w:p>
        </w:tc>
      </w:tr>
      <w:tr w:rsidR="005D3A16" w:rsidRPr="00576AF8" w14:paraId="3F5E349C" w14:textId="77777777" w:rsidTr="00205118">
        <w:tc>
          <w:tcPr>
            <w:tcW w:w="2520" w:type="dxa"/>
          </w:tcPr>
          <w:p w14:paraId="1485F833" w14:textId="77777777" w:rsidR="005D3A16" w:rsidRPr="00576AF8" w:rsidRDefault="005D3A16" w:rsidP="00314996">
            <w:pPr>
              <w:pStyle w:val="TOC2-2"/>
            </w:pPr>
            <w:bookmarkStart w:id="23" w:name="_Toc434304493"/>
            <w:bookmarkStart w:id="24" w:name="_Toc454907767"/>
            <w:bookmarkStart w:id="25" w:name="_Toc476308199"/>
            <w:bookmarkStart w:id="26" w:name="_Toc476308767"/>
            <w:bookmarkStart w:id="27" w:name="_Toc479333317"/>
            <w:bookmarkStart w:id="28" w:name="_Toc25486576"/>
            <w:r w:rsidRPr="00576AF8">
              <w:lastRenderedPageBreak/>
              <w:t>2.</w:t>
            </w:r>
            <w:r w:rsidRPr="00576AF8">
              <w:tab/>
              <w:t xml:space="preserve">Fuente </w:t>
            </w:r>
            <w:bookmarkEnd w:id="23"/>
            <w:bookmarkEnd w:id="24"/>
            <w:bookmarkEnd w:id="25"/>
            <w:bookmarkEnd w:id="26"/>
            <w:bookmarkEnd w:id="27"/>
            <w:r w:rsidR="000107E9" w:rsidRPr="00576AF8">
              <w:t xml:space="preserve">de </w:t>
            </w:r>
            <w:r w:rsidR="00224173" w:rsidRPr="00576AF8">
              <w:t>los Fondos</w:t>
            </w:r>
            <w:bookmarkEnd w:id="28"/>
          </w:p>
        </w:tc>
        <w:tc>
          <w:tcPr>
            <w:tcW w:w="6836" w:type="dxa"/>
          </w:tcPr>
          <w:p w14:paraId="728F8B46" w14:textId="77777777" w:rsidR="000E76E0" w:rsidRPr="00576AF8" w:rsidRDefault="00224173">
            <w:pPr>
              <w:pStyle w:val="Prrafodelista"/>
              <w:numPr>
                <w:ilvl w:val="0"/>
                <w:numId w:val="54"/>
              </w:numPr>
              <w:spacing w:before="100" w:beforeAutospacing="1" w:after="200"/>
              <w:ind w:left="591" w:right="-72" w:hanging="567"/>
              <w:contextualSpacing w:val="0"/>
              <w:rPr>
                <w:szCs w:val="24"/>
              </w:rPr>
            </w:pPr>
            <w:r w:rsidRPr="00576AF8">
              <w:rPr>
                <w:color w:val="000000"/>
              </w:rPr>
              <w:t xml:space="preserve">El Prestatario </w:t>
            </w:r>
            <w:r w:rsidRPr="00576AF8">
              <w:rPr>
                <w:bCs/>
                <w:color w:val="000000"/>
              </w:rPr>
              <w:t>indicado en</w:t>
            </w:r>
            <w:r w:rsidRPr="00576AF8">
              <w:rPr>
                <w:b/>
                <w:bCs/>
                <w:color w:val="000000"/>
              </w:rPr>
              <w:t xml:space="preserve"> los DDL </w:t>
            </w:r>
            <w:r w:rsidRPr="00576AF8">
              <w:rPr>
                <w:color w:val="000000"/>
              </w:rPr>
              <w:t xml:space="preserve">ha solicitado o recibido financiamiento (en adelante denominados “fondos”) del Banco Interamericano de Desarrollo (en adelante denominado "el BID" o “el Banco”) </w:t>
            </w:r>
            <w:r w:rsidR="004E3B51" w:rsidRPr="00576AF8">
              <w:rPr>
                <w:color w:val="000000"/>
              </w:rPr>
              <w:t xml:space="preserve">en el monto indicado </w:t>
            </w:r>
            <w:r w:rsidR="004E3B51" w:rsidRPr="00576AF8">
              <w:rPr>
                <w:b/>
                <w:color w:val="000000"/>
              </w:rPr>
              <w:t>en los DDL</w:t>
            </w:r>
            <w:r w:rsidR="004E3B51" w:rsidRPr="00576AF8">
              <w:rPr>
                <w:color w:val="000000"/>
              </w:rPr>
              <w:t xml:space="preserve"> </w:t>
            </w:r>
            <w:r w:rsidRPr="00576AF8">
              <w:rPr>
                <w:color w:val="000000"/>
              </w:rPr>
              <w:t xml:space="preserve">para sufragar en parte el costo del proyecto </w:t>
            </w:r>
            <w:r w:rsidRPr="00576AF8">
              <w:rPr>
                <w:bCs/>
                <w:color w:val="000000"/>
              </w:rPr>
              <w:t>especificado en</w:t>
            </w:r>
            <w:r w:rsidRPr="00576AF8">
              <w:rPr>
                <w:b/>
                <w:bCs/>
                <w:color w:val="000000"/>
              </w:rPr>
              <w:t xml:space="preserve"> los DDL</w:t>
            </w:r>
            <w:r w:rsidRPr="00576AF8">
              <w:rPr>
                <w:color w:val="000000"/>
              </w:rPr>
              <w:t xml:space="preserve">. El Prestatario destinará una porción de dichos recursos para </w:t>
            </w:r>
            <w:r w:rsidRPr="00576AF8">
              <w:rPr>
                <w:spacing w:val="-2"/>
                <w:szCs w:val="24"/>
              </w:rPr>
              <w:t>efectuar</w:t>
            </w:r>
            <w:r w:rsidRPr="00576AF8">
              <w:rPr>
                <w:color w:val="000000"/>
              </w:rPr>
              <w:t xml:space="preserve"> pagos elegibles en virtud del contrato o los contratos para el cual o los cuales se emite el presente </w:t>
            </w:r>
            <w:r w:rsidR="00807C34" w:rsidRPr="00576AF8">
              <w:rPr>
                <w:color w:val="000000"/>
              </w:rPr>
              <w:t>documento de licitación</w:t>
            </w:r>
            <w:r w:rsidRPr="00576AF8">
              <w:rPr>
                <w:color w:val="000000"/>
              </w:rPr>
              <w:t>.</w:t>
            </w:r>
          </w:p>
          <w:p w14:paraId="07DEF8F7" w14:textId="77777777" w:rsidR="00DF6822" w:rsidRPr="00576AF8" w:rsidRDefault="00CC7032">
            <w:pPr>
              <w:pStyle w:val="Prrafodelista"/>
              <w:numPr>
                <w:ilvl w:val="0"/>
                <w:numId w:val="54"/>
              </w:numPr>
              <w:spacing w:before="100" w:beforeAutospacing="1" w:after="200"/>
              <w:ind w:left="591" w:right="-74" w:hanging="567"/>
              <w:contextualSpacing w:val="0"/>
              <w:rPr>
                <w:b/>
                <w:spacing w:val="-2"/>
                <w:szCs w:val="24"/>
              </w:rPr>
            </w:pPr>
            <w:r w:rsidRPr="00576AF8">
              <w:t xml:space="preserve">El </w:t>
            </w:r>
            <w:r w:rsidR="00224173" w:rsidRPr="00576AF8">
              <w:rPr>
                <w:spacing w:val="-2"/>
                <w:szCs w:val="24"/>
              </w:rPr>
              <w:t xml:space="preserve">Banco efectuará el pago solamente a pedido del Prestatario y una vez que el Banco lo haya aprobado de conformidad con las estipulaciones establecidas en el </w:t>
            </w:r>
            <w:r w:rsidR="002455AF" w:rsidRPr="00576AF8">
              <w:rPr>
                <w:spacing w:val="-2"/>
                <w:szCs w:val="24"/>
              </w:rPr>
              <w:t>Contrato de Préstamo</w:t>
            </w:r>
            <w:r w:rsidR="005543EB" w:rsidRPr="00576AF8">
              <w:rPr>
                <w:spacing w:val="-2"/>
                <w:szCs w:val="24"/>
              </w:rPr>
              <w:t>.</w:t>
            </w:r>
            <w:r w:rsidR="00224173" w:rsidRPr="00576AF8">
              <w:rPr>
                <w:spacing w:val="-2"/>
                <w:szCs w:val="24"/>
              </w:rPr>
              <w:t xml:space="preserve"> </w:t>
            </w:r>
          </w:p>
          <w:p w14:paraId="1001CB03" w14:textId="77777777" w:rsidR="00DF6822" w:rsidRPr="00576AF8" w:rsidRDefault="00224173">
            <w:pPr>
              <w:pStyle w:val="Prrafodelista"/>
              <w:numPr>
                <w:ilvl w:val="0"/>
                <w:numId w:val="54"/>
              </w:numPr>
              <w:spacing w:before="100" w:beforeAutospacing="1" w:after="200"/>
              <w:ind w:left="599" w:right="-74" w:hanging="567"/>
              <w:contextualSpacing w:val="0"/>
              <w:rPr>
                <w:szCs w:val="24"/>
              </w:rPr>
            </w:pPr>
            <w:r w:rsidRPr="00576AF8">
              <w:rPr>
                <w:spacing w:val="-2"/>
                <w:szCs w:val="24"/>
              </w:rPr>
              <w:t xml:space="preserve">El </w:t>
            </w:r>
            <w:r w:rsidR="002455AF" w:rsidRPr="00576AF8">
              <w:rPr>
                <w:spacing w:val="-2"/>
                <w:szCs w:val="24"/>
              </w:rPr>
              <w:t>Contrato de Préstamo</w:t>
            </w:r>
            <w:r w:rsidRPr="00576AF8">
              <w:rPr>
                <w:spacing w:val="-2"/>
                <w:szCs w:val="24"/>
              </w:rPr>
              <w:t xml:space="preserve">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p w14:paraId="2FD5FD2B" w14:textId="77777777" w:rsidR="00B04E14" w:rsidRPr="00576AF8" w:rsidRDefault="00224173">
            <w:pPr>
              <w:pStyle w:val="Prrafodelista"/>
              <w:numPr>
                <w:ilvl w:val="0"/>
                <w:numId w:val="54"/>
              </w:numPr>
              <w:spacing w:before="100" w:beforeAutospacing="1" w:after="200"/>
              <w:ind w:left="599" w:right="-74" w:hanging="567"/>
              <w:contextualSpacing w:val="0"/>
              <w:rPr>
                <w:szCs w:val="24"/>
              </w:rPr>
            </w:pPr>
            <w:r w:rsidRPr="00576AF8">
              <w:rPr>
                <w:spacing w:val="-2"/>
                <w:szCs w:val="24"/>
              </w:rPr>
              <w:t xml:space="preserve">Nadie más que el Prestatario podrá ejercer derecho alguno en virtud del </w:t>
            </w:r>
            <w:r w:rsidR="002455AF" w:rsidRPr="00576AF8">
              <w:rPr>
                <w:spacing w:val="-2"/>
                <w:szCs w:val="24"/>
              </w:rPr>
              <w:t>Contrato de Préstamo</w:t>
            </w:r>
            <w:r w:rsidRPr="00576AF8">
              <w:rPr>
                <w:spacing w:val="-2"/>
                <w:szCs w:val="24"/>
              </w:rPr>
              <w:t xml:space="preserve"> ni reclamar los fondos del Préstamo</w:t>
            </w:r>
            <w:r w:rsidR="00DF6822" w:rsidRPr="00576AF8">
              <w:rPr>
                <w:spacing w:val="-2"/>
                <w:szCs w:val="24"/>
              </w:rPr>
              <w:t>.</w:t>
            </w:r>
          </w:p>
        </w:tc>
      </w:tr>
      <w:tr w:rsidR="00243521" w:rsidRPr="00576AF8" w14:paraId="2F88BD26" w14:textId="77777777" w:rsidTr="00C7748B">
        <w:tc>
          <w:tcPr>
            <w:tcW w:w="2520" w:type="dxa"/>
          </w:tcPr>
          <w:p w14:paraId="1C152448" w14:textId="77777777" w:rsidR="00243521" w:rsidRPr="00576AF8" w:rsidRDefault="003D5E7A" w:rsidP="000107E9">
            <w:pPr>
              <w:pStyle w:val="TOC2-2"/>
              <w:suppressAutoHyphens/>
              <w:jc w:val="both"/>
            </w:pPr>
            <w:r w:rsidRPr="00576AF8">
              <w:t>3.</w:t>
            </w:r>
            <w:r w:rsidRPr="00576AF8">
              <w:tab/>
              <w:t>Prácticas Prohibidas</w:t>
            </w:r>
          </w:p>
        </w:tc>
        <w:tc>
          <w:tcPr>
            <w:tcW w:w="6836" w:type="dxa"/>
          </w:tcPr>
          <w:p w14:paraId="721DAF4D" w14:textId="77777777" w:rsidR="003D5E7A" w:rsidRPr="00576AF8" w:rsidRDefault="003D5E7A">
            <w:pPr>
              <w:pStyle w:val="Prrafodelista"/>
              <w:numPr>
                <w:ilvl w:val="0"/>
                <w:numId w:val="103"/>
              </w:numPr>
              <w:suppressAutoHyphens w:val="0"/>
              <w:spacing w:after="0"/>
              <w:ind w:left="495" w:hanging="426"/>
            </w:pPr>
            <w:r w:rsidRPr="00576AF8">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576AF8">
              <w:rPr>
                <w:vertAlign w:val="superscript"/>
              </w:rPr>
              <w:footnoteReference w:id="3"/>
            </w:r>
            <w:r w:rsidRPr="00576AF8">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w:t>
            </w:r>
            <w:r w:rsidRPr="00576AF8">
              <w:lastRenderedPageBreak/>
              <w:t>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77DB124F" w14:textId="77777777" w:rsidR="003D5E7A" w:rsidRPr="00576AF8" w:rsidRDefault="003D5E7A" w:rsidP="003D5E7A">
            <w:pPr>
              <w:tabs>
                <w:tab w:val="num" w:pos="1872"/>
              </w:tabs>
              <w:rPr>
                <w:bCs/>
                <w:color w:val="000000"/>
              </w:rPr>
            </w:pPr>
          </w:p>
          <w:p w14:paraId="2A5A4BEC" w14:textId="77777777" w:rsidR="003D5E7A" w:rsidRPr="00576AF8" w:rsidRDefault="003D5E7A">
            <w:pPr>
              <w:pStyle w:val="Prrafodelista"/>
              <w:numPr>
                <w:ilvl w:val="0"/>
                <w:numId w:val="102"/>
              </w:numPr>
              <w:suppressAutoHyphens w:val="0"/>
              <w:spacing w:after="0"/>
            </w:pPr>
            <w:r w:rsidRPr="00576AF8">
              <w:t xml:space="preserve">A los efectos de esta disposición, las definiciones de las Prácticas Prohibidas son las siguientes: </w:t>
            </w:r>
          </w:p>
          <w:p w14:paraId="651F73E0" w14:textId="77777777" w:rsidR="003D5E7A" w:rsidRPr="00576AF8" w:rsidRDefault="003D5E7A" w:rsidP="00592B16">
            <w:pPr>
              <w:pStyle w:val="Sangra3detindependiente"/>
              <w:spacing w:after="60"/>
              <w:ind w:left="1630" w:hanging="388"/>
              <w:outlineLvl w:val="7"/>
              <w:rPr>
                <w:bCs/>
                <w:color w:val="000000"/>
              </w:rPr>
            </w:pPr>
            <w:r w:rsidRPr="00576AF8">
              <w:rPr>
                <w:bCs/>
                <w:color w:val="000000"/>
              </w:rPr>
              <w:t xml:space="preserve">(i)  Una </w:t>
            </w:r>
            <w:r w:rsidRPr="00576AF8">
              <w:rPr>
                <w:bCs/>
                <w:i/>
                <w:iCs/>
                <w:color w:val="000000"/>
              </w:rPr>
              <w:t>práctica corrupta</w:t>
            </w:r>
            <w:r w:rsidRPr="00576AF8">
              <w:rPr>
                <w:bCs/>
                <w:color w:val="000000"/>
              </w:rPr>
              <w:t xml:space="preserve"> consiste en ofrecer, dar, recibir o solicitar, directa o indirectamente, cualquier cosa de valor para influenciar indebidamente las acciones de otra parte;</w:t>
            </w:r>
          </w:p>
          <w:p w14:paraId="02AD3BBC" w14:textId="77777777" w:rsidR="003D5E7A" w:rsidRPr="00576AF8" w:rsidRDefault="003D5E7A" w:rsidP="003D5E7A">
            <w:pPr>
              <w:pStyle w:val="Sangra3detindependiente"/>
              <w:spacing w:after="60"/>
              <w:ind w:left="1630" w:hanging="388"/>
              <w:outlineLvl w:val="7"/>
              <w:rPr>
                <w:bCs/>
                <w:color w:val="000000"/>
              </w:rPr>
            </w:pPr>
            <w:r w:rsidRPr="00576AF8">
              <w:rPr>
                <w:bCs/>
                <w:color w:val="000000"/>
              </w:rPr>
              <w:t xml:space="preserve">(ii) Una </w:t>
            </w:r>
            <w:r w:rsidRPr="00576AF8">
              <w:rPr>
                <w:bCs/>
                <w:i/>
                <w:iCs/>
                <w:color w:val="000000"/>
              </w:rPr>
              <w:t>práctica fraudulenta</w:t>
            </w:r>
            <w:r w:rsidRPr="00576AF8">
              <w:rPr>
                <w:bCs/>
                <w:color w:val="000000"/>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AD9493A" w14:textId="77777777" w:rsidR="003D5E7A" w:rsidRPr="00576AF8" w:rsidRDefault="003D5E7A" w:rsidP="003D5E7A">
            <w:pPr>
              <w:pStyle w:val="Sangra3detindependiente"/>
              <w:spacing w:after="60"/>
              <w:ind w:left="1630" w:hanging="388"/>
              <w:outlineLvl w:val="7"/>
              <w:rPr>
                <w:bCs/>
                <w:color w:val="000000"/>
              </w:rPr>
            </w:pPr>
            <w:r w:rsidRPr="00576AF8">
              <w:rPr>
                <w:bCs/>
                <w:color w:val="000000"/>
              </w:rPr>
              <w:t xml:space="preserve">(iii) Una </w:t>
            </w:r>
            <w:r w:rsidRPr="00576AF8">
              <w:rPr>
                <w:bCs/>
                <w:i/>
                <w:iCs/>
                <w:color w:val="000000"/>
              </w:rPr>
              <w:t>práctica coercitiva</w:t>
            </w:r>
            <w:r w:rsidRPr="00576AF8">
              <w:rPr>
                <w:bCs/>
                <w:color w:val="000000"/>
              </w:rPr>
              <w:t xml:space="preserve"> consiste en perjudicar o causar daño, o amenazar con perjudicar o causar daño, directa o indirectamente, a cualquier parte o a sus bienes para influenciar indebidamente las acciones de una parte;</w:t>
            </w:r>
          </w:p>
          <w:p w14:paraId="0CDB1D2D" w14:textId="77777777" w:rsidR="003D5E7A" w:rsidRPr="00576AF8" w:rsidRDefault="003D5E7A" w:rsidP="003D5E7A">
            <w:pPr>
              <w:pStyle w:val="Sangra3detindependiente"/>
              <w:tabs>
                <w:tab w:val="num" w:pos="1440"/>
              </w:tabs>
              <w:spacing w:after="60"/>
              <w:ind w:left="1630" w:hanging="388"/>
              <w:outlineLvl w:val="7"/>
              <w:rPr>
                <w:bCs/>
                <w:color w:val="000000"/>
              </w:rPr>
            </w:pPr>
            <w:r w:rsidRPr="00576AF8">
              <w:rPr>
                <w:bCs/>
                <w:color w:val="000000"/>
              </w:rPr>
              <w:t xml:space="preserve">(iv) Una </w:t>
            </w:r>
            <w:r w:rsidRPr="00576AF8">
              <w:rPr>
                <w:bCs/>
                <w:i/>
                <w:iCs/>
                <w:color w:val="000000"/>
              </w:rPr>
              <w:t>práctica colusoria</w:t>
            </w:r>
            <w:r w:rsidRPr="00576AF8">
              <w:rPr>
                <w:bCs/>
                <w:color w:val="000000"/>
              </w:rPr>
              <w:t xml:space="preserve"> es un acuerdo entre dos o más partes realizado con la intención de alcanzar un propósito inapropiado, lo que incluye influenciar en forma inapropiada las acciones de otra parte; y</w:t>
            </w:r>
          </w:p>
          <w:p w14:paraId="4CFB0F6E" w14:textId="77777777" w:rsidR="003D5E7A" w:rsidRPr="00576AF8" w:rsidRDefault="003D5E7A" w:rsidP="003D5E7A">
            <w:pPr>
              <w:pStyle w:val="Sangra3detindependiente"/>
              <w:tabs>
                <w:tab w:val="num" w:pos="1440"/>
              </w:tabs>
              <w:spacing w:after="60"/>
              <w:ind w:left="1242"/>
              <w:outlineLvl w:val="7"/>
              <w:rPr>
                <w:bCs/>
                <w:color w:val="000000"/>
              </w:rPr>
            </w:pPr>
            <w:r w:rsidRPr="00576AF8">
              <w:rPr>
                <w:bCs/>
                <w:color w:val="000000"/>
              </w:rPr>
              <w:t xml:space="preserve">(v) Una </w:t>
            </w:r>
            <w:r w:rsidRPr="00576AF8">
              <w:rPr>
                <w:bCs/>
                <w:i/>
                <w:iCs/>
                <w:color w:val="000000"/>
              </w:rPr>
              <w:t>práctica obstructiva</w:t>
            </w:r>
            <w:r w:rsidRPr="00576AF8">
              <w:rPr>
                <w:bCs/>
                <w:color w:val="000000"/>
              </w:rPr>
              <w:t xml:space="preserve"> consiste en:</w:t>
            </w:r>
          </w:p>
          <w:p w14:paraId="568BBEC2" w14:textId="77777777" w:rsidR="003D5E7A" w:rsidRPr="00576AF8" w:rsidRDefault="003D5E7A">
            <w:pPr>
              <w:pStyle w:val="Sangra3detindependiente"/>
              <w:numPr>
                <w:ilvl w:val="0"/>
                <w:numId w:val="84"/>
              </w:numPr>
              <w:spacing w:after="60"/>
              <w:ind w:left="1913" w:hanging="113"/>
              <w:outlineLvl w:val="7"/>
              <w:rPr>
                <w:bCs/>
                <w:color w:val="000000"/>
              </w:rPr>
            </w:pPr>
            <w:r w:rsidRPr="00576AF8">
              <w:rPr>
                <w:bCs/>
                <w:color w:val="000000"/>
              </w:rPr>
              <w:t xml:space="preserve">destruir, falsificar, alterar u ocultar evidencia significativa para una investigación del Grupo BID, o realizar declaraciones falsas ante los investigadores con la intención de impedir una investigación del Grupo BID; </w:t>
            </w:r>
          </w:p>
          <w:p w14:paraId="4A220379" w14:textId="77777777" w:rsidR="003D5E7A" w:rsidRPr="00576AF8" w:rsidRDefault="003D5E7A">
            <w:pPr>
              <w:pStyle w:val="Sangra3detindependiente"/>
              <w:numPr>
                <w:ilvl w:val="0"/>
                <w:numId w:val="84"/>
              </w:numPr>
              <w:spacing w:after="60"/>
              <w:ind w:left="1913" w:hanging="113"/>
              <w:outlineLvl w:val="7"/>
              <w:rPr>
                <w:bCs/>
                <w:color w:val="000000"/>
              </w:rPr>
            </w:pPr>
            <w:r w:rsidRPr="00576AF8">
              <w:rPr>
                <w:bCs/>
                <w:color w:val="000000"/>
              </w:rPr>
              <w:t xml:space="preserve">amenazar, hostigar o intimidar a cualquier parte para impedir que divulgue su conocimiento de asuntos que son importantes para una </w:t>
            </w:r>
            <w:r w:rsidRPr="00576AF8">
              <w:rPr>
                <w:bCs/>
                <w:color w:val="000000"/>
              </w:rPr>
              <w:lastRenderedPageBreak/>
              <w:t xml:space="preserve">investigación del Grupo BID o que prosiga con la investigación; o </w:t>
            </w:r>
          </w:p>
          <w:p w14:paraId="15EC217C" w14:textId="77777777" w:rsidR="003D5E7A" w:rsidRPr="00576AF8" w:rsidRDefault="003D5E7A">
            <w:pPr>
              <w:pStyle w:val="Sangra3detindependiente"/>
              <w:numPr>
                <w:ilvl w:val="0"/>
                <w:numId w:val="84"/>
              </w:numPr>
              <w:spacing w:after="60"/>
              <w:ind w:left="1913" w:hanging="113"/>
              <w:outlineLvl w:val="7"/>
              <w:rPr>
                <w:bCs/>
                <w:color w:val="000000"/>
              </w:rPr>
            </w:pPr>
            <w:r w:rsidRPr="00576AF8">
              <w:rPr>
                <w:bCs/>
                <w:color w:val="000000"/>
              </w:rPr>
              <w:t>actos realizados con la intención de impedir el ejercicio de los derechos contractuales de auditoría e inspección del Grupo BID previstos en el IA</w:t>
            </w:r>
            <w:r w:rsidR="0072303B" w:rsidRPr="00576AF8">
              <w:rPr>
                <w:bCs/>
                <w:color w:val="000000"/>
              </w:rPr>
              <w:t>L</w:t>
            </w:r>
            <w:r w:rsidRPr="00576AF8">
              <w:rPr>
                <w:bCs/>
                <w:color w:val="000000"/>
              </w:rPr>
              <w:t xml:space="preserve"> 3.1 (f) de abajo, o sus derechos de acceso a la información; </w:t>
            </w:r>
          </w:p>
          <w:p w14:paraId="1ECD5470" w14:textId="77777777" w:rsidR="003D5E7A" w:rsidRPr="00576AF8" w:rsidRDefault="003D5E7A" w:rsidP="003D5E7A">
            <w:pPr>
              <w:pStyle w:val="Sangra3detindependiente"/>
              <w:spacing w:after="60"/>
              <w:ind w:left="1629" w:hanging="387"/>
              <w:outlineLvl w:val="7"/>
              <w:rPr>
                <w:bCs/>
                <w:color w:val="000000"/>
              </w:rPr>
            </w:pPr>
            <w:r w:rsidRPr="00576AF8">
              <w:rPr>
                <w:bCs/>
                <w:color w:val="000000"/>
              </w:rPr>
              <w:t xml:space="preserve">(vi) Una </w:t>
            </w:r>
            <w:r w:rsidRPr="00576AF8">
              <w:rPr>
                <w:bCs/>
                <w:i/>
                <w:iCs/>
                <w:color w:val="000000"/>
              </w:rPr>
              <w:t>apropiación indebida</w:t>
            </w:r>
            <w:r w:rsidRPr="00576AF8">
              <w:rPr>
                <w:bCs/>
                <w:color w:val="000000"/>
              </w:rPr>
              <w:t xml:space="preserve"> consiste en el uso de fondos o recursos del Grupo BID para un propósito indebido o para un propósito no autorizado, cometido de forma intencional o por negligencia grave.</w:t>
            </w:r>
          </w:p>
          <w:p w14:paraId="462CFD9E" w14:textId="77777777" w:rsidR="003D5E7A" w:rsidRPr="00576AF8" w:rsidRDefault="003D5E7A">
            <w:pPr>
              <w:pStyle w:val="Prrafodelista"/>
              <w:numPr>
                <w:ilvl w:val="0"/>
                <w:numId w:val="102"/>
              </w:numPr>
              <w:suppressAutoHyphens w:val="0"/>
              <w:spacing w:after="0"/>
              <w:rPr>
                <w:bCs/>
                <w:color w:val="000000"/>
              </w:rPr>
            </w:pPr>
            <w:r w:rsidRPr="00576AF8">
              <w:rPr>
                <w:bCs/>
                <w:color w:val="000000"/>
              </w:rPr>
              <w:t xml:space="preserve">Si se determina que, de conformidad con los Procedimientos de Sanciones del Banco, que los Prestatarios (incluyendo los beneficiarios de donaciones), organismos ejecutores y organismos Compradores incluyendo miembros de su personal, </w:t>
            </w:r>
            <w:r w:rsidRPr="00576AF8">
              <w:t>cualquier</w:t>
            </w:r>
            <w:r w:rsidRPr="00576AF8">
              <w:rPr>
                <w:bCs/>
                <w:color w:val="000000"/>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470A6154"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no financiar ninguna propuesta de adjudicación de un contrato para la adquisición de bienes o servicios, la contratación de obras, o servicios de consultoría;</w:t>
            </w:r>
          </w:p>
          <w:p w14:paraId="74449F91"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suspender los desembolsos de la operación si se determina, en cualquier etapa, que un empleado, agencia o representante del Prestatario, el Organismo Ejecutor o el Organismo Comprador ha cometido una Práctica Prohibida;</w:t>
            </w:r>
          </w:p>
          <w:p w14:paraId="07AA6588"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w:t>
            </w:r>
            <w:r w:rsidRPr="00576AF8">
              <w:rPr>
                <w:bCs/>
                <w:color w:val="000000"/>
              </w:rPr>
              <w:lastRenderedPageBreak/>
              <w:t>correctivas adecuadas (lo que incluye, entre otras cosas, la notificación adecuada al Banco tras tener conocimiento de la comisión de la Práctica Prohibida) en un plazo que el Banco considere razonable;</w:t>
            </w:r>
          </w:p>
          <w:p w14:paraId="2F05BC98"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emitir una amonestación a la firma, entidad o individuo en el formato de una carta oficial de censura por su conducta;</w:t>
            </w:r>
          </w:p>
          <w:p w14:paraId="0A20D0D0"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 xml:space="preserve">declarar a una firma, entidad o individuo </w:t>
            </w:r>
            <w:proofErr w:type="gramStart"/>
            <w:r w:rsidRPr="00576AF8">
              <w:rPr>
                <w:bCs/>
                <w:color w:val="000000"/>
              </w:rPr>
              <w:t>inelegible,  en</w:t>
            </w:r>
            <w:proofErr w:type="gramEnd"/>
            <w:r w:rsidRPr="00576AF8">
              <w:rPr>
                <w:bCs/>
                <w:color w:val="000000"/>
              </w:rPr>
              <w:t xml:space="preserve"> forma permanente o por un período determinado de tiempo, para la participación y/o la adjudicación de contratos adicionales financiados con recursos del Grupo BID;</w:t>
            </w:r>
          </w:p>
          <w:p w14:paraId="27F77AE1"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C31CFDF"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7E007872" w14:textId="77777777" w:rsidR="003D5E7A" w:rsidRPr="00576AF8" w:rsidRDefault="003D5E7A">
            <w:pPr>
              <w:pStyle w:val="Sangra3detindependiente"/>
              <w:numPr>
                <w:ilvl w:val="0"/>
                <w:numId w:val="101"/>
              </w:numPr>
              <w:spacing w:after="60"/>
              <w:outlineLvl w:val="7"/>
              <w:rPr>
                <w:bCs/>
                <w:color w:val="000000"/>
              </w:rPr>
            </w:pPr>
            <w:r w:rsidRPr="00576AF8">
              <w:rPr>
                <w:bCs/>
                <w:color w:val="000000"/>
              </w:rPr>
              <w:t>remitir el tema a las autoridades nacionales pertinentes encargadas de hacer cumplir las leyes.</w:t>
            </w:r>
          </w:p>
          <w:p w14:paraId="7319B6D4" w14:textId="77777777" w:rsidR="003D5E7A" w:rsidRPr="00576AF8" w:rsidRDefault="003D5E7A">
            <w:pPr>
              <w:pStyle w:val="Prrafodelista"/>
              <w:numPr>
                <w:ilvl w:val="0"/>
                <w:numId w:val="102"/>
              </w:numPr>
              <w:suppressAutoHyphens w:val="0"/>
              <w:spacing w:after="0"/>
            </w:pPr>
            <w:r w:rsidRPr="00576AF8">
              <w:t>Lo dispuesto en los incisos (i) y (ii) de la IA</w:t>
            </w:r>
            <w:r w:rsidR="0072303B" w:rsidRPr="00576AF8">
              <w:t>L</w:t>
            </w:r>
            <w:r w:rsidRPr="00576AF8">
              <w:t xml:space="preserve"> 3.1 (b) se aplicará también en los casos en que las </w:t>
            </w:r>
            <w:r w:rsidRPr="00576AF8">
              <w:rPr>
                <w:bCs/>
                <w:color w:val="000000"/>
              </w:rPr>
              <w:t>partes</w:t>
            </w:r>
            <w:r w:rsidRPr="00576AF8">
              <w:t xml:space="preserve"> hayan sido declaradas temporalmente inelegibles para la adjudicación de </w:t>
            </w:r>
            <w:r w:rsidRPr="00576AF8">
              <w:lastRenderedPageBreak/>
              <w:t>nuevos contratos en espera de que se adopte una decisión definitiva en un proceso de sanción, u otra resolución.</w:t>
            </w:r>
          </w:p>
          <w:p w14:paraId="3C87E850" w14:textId="77777777" w:rsidR="003D5E7A" w:rsidRPr="00576AF8" w:rsidRDefault="003D5E7A" w:rsidP="003D5E7A"/>
          <w:p w14:paraId="44E8244C" w14:textId="77777777" w:rsidR="003D5E7A" w:rsidRPr="00576AF8" w:rsidRDefault="003D5E7A">
            <w:pPr>
              <w:pStyle w:val="Prrafodelista"/>
              <w:numPr>
                <w:ilvl w:val="0"/>
                <w:numId w:val="102"/>
              </w:numPr>
              <w:suppressAutoHyphens w:val="0"/>
              <w:spacing w:after="0"/>
            </w:pPr>
            <w:r w:rsidRPr="00576AF8">
              <w:t xml:space="preserve">La </w:t>
            </w:r>
            <w:r w:rsidRPr="00576AF8">
              <w:rPr>
                <w:bCs/>
                <w:color w:val="000000"/>
              </w:rPr>
              <w:t>imposición</w:t>
            </w:r>
            <w:r w:rsidRPr="00576AF8">
              <w:t xml:space="preserve"> de cualquier medida definitiva que sea tomada por el Banco de conformidad con las provisiones referidas anteriormente será de carácter público.</w:t>
            </w:r>
          </w:p>
          <w:p w14:paraId="18C54C48" w14:textId="77777777" w:rsidR="003D5E7A" w:rsidRPr="00576AF8" w:rsidRDefault="003D5E7A" w:rsidP="003D5E7A"/>
          <w:p w14:paraId="640C235F" w14:textId="77777777" w:rsidR="003D5E7A" w:rsidRPr="00576AF8" w:rsidRDefault="003D5E7A">
            <w:pPr>
              <w:pStyle w:val="Prrafodelista"/>
              <w:numPr>
                <w:ilvl w:val="0"/>
                <w:numId w:val="102"/>
              </w:numPr>
              <w:suppressAutoHyphens w:val="0"/>
              <w:spacing w:after="0"/>
            </w:pPr>
            <w:r w:rsidRPr="00576AF8">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576AF8">
              <w:rPr>
                <w:bCs/>
                <w:color w:val="000000"/>
              </w:rPr>
              <w:t>subcontratistas</w:t>
            </w:r>
            <w:r w:rsidRPr="00576AF8">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40B5DCB6" w14:textId="77777777" w:rsidR="003D5E7A" w:rsidRPr="00576AF8" w:rsidRDefault="003D5E7A" w:rsidP="003D5E7A"/>
          <w:p w14:paraId="1BE10CDC" w14:textId="77777777" w:rsidR="003D5E7A" w:rsidRPr="00576AF8" w:rsidRDefault="003D5E7A">
            <w:pPr>
              <w:pStyle w:val="Prrafodelista"/>
              <w:numPr>
                <w:ilvl w:val="0"/>
                <w:numId w:val="102"/>
              </w:numPr>
              <w:suppressAutoHyphens w:val="0"/>
              <w:spacing w:after="0"/>
            </w:pPr>
            <w:r w:rsidRPr="00576AF8">
              <w:t xml:space="preserve">El Banco exige que los licitantes, oferentes, proponentes, solicitantes, proveedores de </w:t>
            </w:r>
            <w:r w:rsidRPr="00576AF8">
              <w:rPr>
                <w:bCs/>
                <w:color w:val="000000"/>
              </w:rPr>
              <w:t>bienes</w:t>
            </w:r>
            <w:r w:rsidRPr="00576AF8">
              <w:t xml:space="preserve"> y sus representantes o agentes, contratistas, consultores, funcionarios o </w:t>
            </w:r>
            <w:proofErr w:type="gramStart"/>
            <w:r w:rsidRPr="00576AF8">
              <w:t>empleados,  subcontratistas</w:t>
            </w:r>
            <w:proofErr w:type="gramEnd"/>
            <w:r w:rsidRPr="00576AF8">
              <w:t xml:space="preserve">,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w:t>
            </w:r>
            <w:r w:rsidRPr="00576AF8">
              <w:lastRenderedPageBreak/>
              <w:t>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23B70620" w14:textId="77777777" w:rsidR="003D5E7A" w:rsidRPr="00576AF8" w:rsidRDefault="003D5E7A" w:rsidP="003D5E7A"/>
          <w:p w14:paraId="3F72C7ED" w14:textId="77777777" w:rsidR="003D5E7A" w:rsidRPr="00576AF8" w:rsidRDefault="003D5E7A">
            <w:pPr>
              <w:pStyle w:val="Prrafodelista"/>
              <w:numPr>
                <w:ilvl w:val="0"/>
                <w:numId w:val="102"/>
              </w:numPr>
              <w:suppressAutoHyphens w:val="0"/>
              <w:spacing w:after="0"/>
            </w:pPr>
            <w:r w:rsidRPr="00576AF8">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w:t>
            </w:r>
            <w:r w:rsidRPr="00576AF8">
              <w:lastRenderedPageBreak/>
              <w:t>especializada suscriba un contrato o una orden de compra con una firma o individuo declarado inelegible por el Banco, este no financiará los gastos conexos y tomará las medidas que considere convenientes.</w:t>
            </w:r>
          </w:p>
          <w:p w14:paraId="316CA1D2" w14:textId="77777777" w:rsidR="00610CD4" w:rsidRPr="00576AF8" w:rsidRDefault="00610CD4" w:rsidP="00592B16">
            <w:pPr>
              <w:ind w:left="423"/>
              <w:rPr>
                <w:b/>
                <w:bCs/>
                <w:color w:val="000000"/>
              </w:rPr>
            </w:pPr>
          </w:p>
        </w:tc>
      </w:tr>
      <w:tr w:rsidR="005D3A16" w:rsidRPr="00576AF8" w14:paraId="5252DE94" w14:textId="77777777" w:rsidTr="00C7748B">
        <w:trPr>
          <w:cantSplit/>
        </w:trPr>
        <w:tc>
          <w:tcPr>
            <w:tcW w:w="2520" w:type="dxa"/>
          </w:tcPr>
          <w:p w14:paraId="2BCD15B3" w14:textId="77777777" w:rsidR="001B74CA" w:rsidRPr="00576AF8" w:rsidRDefault="001B74CA" w:rsidP="000107E9">
            <w:pPr>
              <w:pStyle w:val="TOC2-2"/>
              <w:suppressAutoHyphens/>
              <w:jc w:val="both"/>
            </w:pPr>
          </w:p>
        </w:tc>
        <w:tc>
          <w:tcPr>
            <w:tcW w:w="6836" w:type="dxa"/>
          </w:tcPr>
          <w:p w14:paraId="75C64506" w14:textId="77777777" w:rsidR="005D3A16" w:rsidRPr="00576AF8" w:rsidRDefault="00243521">
            <w:pPr>
              <w:pStyle w:val="Prrafodelista"/>
              <w:numPr>
                <w:ilvl w:val="0"/>
                <w:numId w:val="103"/>
              </w:numPr>
              <w:suppressAutoHyphens w:val="0"/>
              <w:spacing w:after="0"/>
              <w:ind w:left="495" w:hanging="426"/>
              <w:rPr>
                <w:szCs w:val="24"/>
              </w:rPr>
            </w:pPr>
            <w:r w:rsidRPr="00576AF8">
              <w:rPr>
                <w:bCs/>
                <w:color w:val="000000"/>
              </w:rPr>
              <w:t xml:space="preserve">Los </w:t>
            </w:r>
            <w:r w:rsidR="0068225C" w:rsidRPr="00576AF8">
              <w:rPr>
                <w:bCs/>
                <w:color w:val="000000"/>
              </w:rPr>
              <w:t>Licitante</w:t>
            </w:r>
            <w:r w:rsidRPr="00576AF8">
              <w:rPr>
                <w:bCs/>
                <w:color w:val="000000"/>
              </w:rPr>
              <w:t>s</w:t>
            </w:r>
            <w:r w:rsidR="003D5E7A" w:rsidRPr="00576AF8">
              <w:rPr>
                <w:bCs/>
                <w:color w:val="000000"/>
              </w:rPr>
              <w:t xml:space="preserve"> </w:t>
            </w:r>
            <w:r w:rsidRPr="00576AF8">
              <w:rPr>
                <w:bCs/>
                <w:color w:val="000000"/>
              </w:rPr>
              <w:t>al presentar sus ofertas, declaran y garantizan:</w:t>
            </w:r>
          </w:p>
        </w:tc>
      </w:tr>
      <w:tr w:rsidR="00243521" w:rsidRPr="00576AF8" w14:paraId="7D2AED65" w14:textId="77777777" w:rsidTr="00C7748B">
        <w:trPr>
          <w:cantSplit/>
        </w:trPr>
        <w:tc>
          <w:tcPr>
            <w:tcW w:w="2520" w:type="dxa"/>
          </w:tcPr>
          <w:p w14:paraId="5031C714" w14:textId="77777777" w:rsidR="00243521" w:rsidRPr="00576AF8" w:rsidRDefault="00243521" w:rsidP="000107E9">
            <w:pPr>
              <w:pStyle w:val="TOC2-2"/>
              <w:suppressAutoHyphens/>
              <w:jc w:val="both"/>
            </w:pPr>
          </w:p>
        </w:tc>
        <w:tc>
          <w:tcPr>
            <w:tcW w:w="6836" w:type="dxa"/>
          </w:tcPr>
          <w:p w14:paraId="20AF3903" w14:textId="77777777" w:rsidR="00243521" w:rsidRPr="00576AF8" w:rsidRDefault="003D5E7A">
            <w:pPr>
              <w:pStyle w:val="Prrafodelista"/>
              <w:numPr>
                <w:ilvl w:val="0"/>
                <w:numId w:val="53"/>
              </w:numPr>
              <w:autoSpaceDE w:val="0"/>
              <w:autoSpaceDN w:val="0"/>
              <w:adjustRightInd w:val="0"/>
              <w:spacing w:after="200"/>
              <w:rPr>
                <w:bCs/>
                <w:color w:val="000000"/>
              </w:rPr>
            </w:pPr>
            <w:r w:rsidRPr="00576AF8">
              <w:t>que han leído y entendido las definiciones de Prácticas Prohibidas del Banco y las sanciones aplicables de conformidad con los Procedimientos de Sanciones</w:t>
            </w:r>
            <w:r w:rsidR="00243521" w:rsidRPr="00576AF8">
              <w:rPr>
                <w:bCs/>
                <w:color w:val="000000"/>
              </w:rPr>
              <w:t>;</w:t>
            </w:r>
          </w:p>
        </w:tc>
      </w:tr>
      <w:tr w:rsidR="00243521" w:rsidRPr="00576AF8" w14:paraId="19025DC5" w14:textId="77777777" w:rsidTr="00BD5036">
        <w:trPr>
          <w:cantSplit/>
          <w:trHeight w:val="1287"/>
        </w:trPr>
        <w:tc>
          <w:tcPr>
            <w:tcW w:w="2520" w:type="dxa"/>
          </w:tcPr>
          <w:p w14:paraId="72E23C91" w14:textId="77777777" w:rsidR="00243521" w:rsidRPr="00576AF8" w:rsidRDefault="00243521" w:rsidP="000107E9">
            <w:pPr>
              <w:pStyle w:val="TOC2-2"/>
              <w:suppressAutoHyphens/>
              <w:jc w:val="both"/>
            </w:pPr>
          </w:p>
        </w:tc>
        <w:tc>
          <w:tcPr>
            <w:tcW w:w="6836" w:type="dxa"/>
          </w:tcPr>
          <w:p w14:paraId="6C3A70B2" w14:textId="77777777" w:rsidR="00243521" w:rsidRPr="00576AF8" w:rsidRDefault="001410A0">
            <w:pPr>
              <w:pStyle w:val="Prrafodelista"/>
              <w:numPr>
                <w:ilvl w:val="0"/>
                <w:numId w:val="53"/>
              </w:numPr>
              <w:tabs>
                <w:tab w:val="num" w:pos="1872"/>
              </w:tabs>
              <w:suppressAutoHyphens w:val="0"/>
              <w:spacing w:after="0"/>
              <w:rPr>
                <w:bCs/>
              </w:rPr>
            </w:pPr>
            <w:r w:rsidRPr="00576AF8">
              <w:rPr>
                <w:bCs/>
              </w:rPr>
              <w:t>que no han incurrido o no incurrirán en ninguna Práctica Prohibida descrita en este documento durante los procesos de selección, negociación, adjudicación o ejecución de este contrato;</w:t>
            </w:r>
          </w:p>
        </w:tc>
      </w:tr>
      <w:tr w:rsidR="00243521" w:rsidRPr="00576AF8" w14:paraId="349AA843" w14:textId="77777777" w:rsidTr="00C7748B">
        <w:trPr>
          <w:cantSplit/>
        </w:trPr>
        <w:tc>
          <w:tcPr>
            <w:tcW w:w="2520" w:type="dxa"/>
          </w:tcPr>
          <w:p w14:paraId="0AD400D9" w14:textId="77777777" w:rsidR="00243521" w:rsidRPr="00576AF8" w:rsidRDefault="00243521" w:rsidP="000107E9">
            <w:pPr>
              <w:pStyle w:val="TOC2-2"/>
              <w:suppressAutoHyphens/>
              <w:jc w:val="both"/>
            </w:pPr>
          </w:p>
        </w:tc>
        <w:tc>
          <w:tcPr>
            <w:tcW w:w="6836" w:type="dxa"/>
          </w:tcPr>
          <w:p w14:paraId="023133BE" w14:textId="77777777" w:rsidR="00243521" w:rsidRPr="00576AF8" w:rsidRDefault="00243521">
            <w:pPr>
              <w:pStyle w:val="Prrafodelista"/>
              <w:numPr>
                <w:ilvl w:val="0"/>
                <w:numId w:val="53"/>
              </w:numPr>
              <w:autoSpaceDE w:val="0"/>
              <w:autoSpaceDN w:val="0"/>
              <w:adjustRightInd w:val="0"/>
              <w:spacing w:after="200"/>
              <w:rPr>
                <w:bCs/>
                <w:color w:val="000000"/>
              </w:rPr>
            </w:pPr>
            <w:r w:rsidRPr="00576AF8">
              <w:rPr>
                <w:bCs/>
                <w:color w:val="000000"/>
              </w:rPr>
              <w:t xml:space="preserve">que no han tergiversado ni ocultado ningún hecho sustancial durante los procesos de selección, negociación, adjudicación o ejecución de </w:t>
            </w:r>
            <w:r w:rsidR="001410A0" w:rsidRPr="00576AF8">
              <w:rPr>
                <w:bCs/>
                <w:color w:val="000000"/>
              </w:rPr>
              <w:t xml:space="preserve">este </w:t>
            </w:r>
            <w:r w:rsidRPr="00576AF8">
              <w:rPr>
                <w:bCs/>
                <w:color w:val="000000"/>
              </w:rPr>
              <w:t>contrato;</w:t>
            </w:r>
          </w:p>
        </w:tc>
      </w:tr>
      <w:tr w:rsidR="003E704C" w:rsidRPr="00576AF8" w14:paraId="5D0C2548" w14:textId="77777777" w:rsidTr="00C7748B">
        <w:trPr>
          <w:cantSplit/>
        </w:trPr>
        <w:tc>
          <w:tcPr>
            <w:tcW w:w="2520" w:type="dxa"/>
          </w:tcPr>
          <w:p w14:paraId="2C35DA93" w14:textId="77777777" w:rsidR="003E704C" w:rsidRPr="00576AF8" w:rsidRDefault="003E704C" w:rsidP="000107E9">
            <w:pPr>
              <w:pStyle w:val="TOC2-2"/>
              <w:suppressAutoHyphens/>
              <w:jc w:val="both"/>
            </w:pPr>
          </w:p>
        </w:tc>
        <w:tc>
          <w:tcPr>
            <w:tcW w:w="6836" w:type="dxa"/>
          </w:tcPr>
          <w:p w14:paraId="290F07C7" w14:textId="77777777" w:rsidR="003E704C" w:rsidRPr="00576AF8" w:rsidRDefault="003E704C">
            <w:pPr>
              <w:pStyle w:val="Prrafodelista"/>
              <w:numPr>
                <w:ilvl w:val="0"/>
                <w:numId w:val="53"/>
              </w:numPr>
              <w:suppressAutoHyphens w:val="0"/>
              <w:spacing w:after="0"/>
              <w:rPr>
                <w:bCs/>
                <w:color w:val="000000"/>
              </w:rPr>
            </w:pPr>
            <w:r w:rsidRPr="00576AF8">
              <w:rPr>
                <w:bCs/>
              </w:rPr>
              <w:t>que ni ellos ni sus agentes, personal, subcontratistas, subconsultores, directores, funcionarios o accionistas principales son inelegibles para que se les adjudiquen contratos financiados por el Banco;</w:t>
            </w:r>
            <w:r w:rsidRPr="00576AF8">
              <w:rPr>
                <w:bCs/>
                <w:color w:val="000000"/>
              </w:rPr>
              <w:t xml:space="preserve"> </w:t>
            </w:r>
          </w:p>
          <w:p w14:paraId="40AA36FB" w14:textId="77777777" w:rsidR="003D5E7A" w:rsidRPr="00576AF8" w:rsidRDefault="003D5E7A" w:rsidP="00592B16">
            <w:pPr>
              <w:suppressAutoHyphens w:val="0"/>
              <w:spacing w:after="0"/>
              <w:ind w:left="360"/>
              <w:rPr>
                <w:bCs/>
                <w:color w:val="000000"/>
              </w:rPr>
            </w:pPr>
          </w:p>
        </w:tc>
      </w:tr>
      <w:tr w:rsidR="00243521" w:rsidRPr="00576AF8" w14:paraId="7F7850B7" w14:textId="77777777" w:rsidTr="0072303B">
        <w:trPr>
          <w:cantSplit/>
        </w:trPr>
        <w:tc>
          <w:tcPr>
            <w:tcW w:w="2520" w:type="dxa"/>
          </w:tcPr>
          <w:p w14:paraId="35FF1CCA" w14:textId="77777777" w:rsidR="00243521" w:rsidRPr="00576AF8" w:rsidRDefault="00243521" w:rsidP="000107E9">
            <w:pPr>
              <w:pStyle w:val="TOC2-2"/>
              <w:suppressAutoHyphens/>
              <w:jc w:val="both"/>
            </w:pPr>
          </w:p>
        </w:tc>
        <w:tc>
          <w:tcPr>
            <w:tcW w:w="6836" w:type="dxa"/>
          </w:tcPr>
          <w:p w14:paraId="17003EDD" w14:textId="77777777" w:rsidR="00243521" w:rsidRPr="00576AF8" w:rsidRDefault="00243521">
            <w:pPr>
              <w:pStyle w:val="Prrafodelista"/>
              <w:numPr>
                <w:ilvl w:val="0"/>
                <w:numId w:val="53"/>
              </w:numPr>
              <w:autoSpaceDE w:val="0"/>
              <w:autoSpaceDN w:val="0"/>
              <w:adjustRightInd w:val="0"/>
              <w:spacing w:after="200"/>
              <w:rPr>
                <w:bCs/>
                <w:color w:val="000000"/>
              </w:rPr>
            </w:pPr>
            <w:r w:rsidRPr="00576AF8">
              <w:rPr>
                <w:bCs/>
                <w:color w:val="000000"/>
              </w:rPr>
              <w:t>que han declarado todas las comisiones, honorarios de representantes, pagos por servicios de facilitación o acuerdos para compartir ingresos relacionados con actividades financiadas por el Banco;</w:t>
            </w:r>
          </w:p>
        </w:tc>
      </w:tr>
      <w:tr w:rsidR="003D5E7A" w:rsidRPr="00576AF8" w14:paraId="1BCAD75A" w14:textId="77777777" w:rsidTr="0072303B">
        <w:trPr>
          <w:cantSplit/>
        </w:trPr>
        <w:tc>
          <w:tcPr>
            <w:tcW w:w="2520" w:type="dxa"/>
          </w:tcPr>
          <w:p w14:paraId="45BD71AB" w14:textId="77777777" w:rsidR="003D5E7A" w:rsidRPr="00576AF8" w:rsidRDefault="003D5E7A" w:rsidP="000107E9">
            <w:pPr>
              <w:pStyle w:val="TOC2-2"/>
              <w:suppressAutoHyphens/>
              <w:jc w:val="both"/>
            </w:pPr>
          </w:p>
        </w:tc>
        <w:tc>
          <w:tcPr>
            <w:tcW w:w="6836" w:type="dxa"/>
          </w:tcPr>
          <w:p w14:paraId="0FBE8A43" w14:textId="77777777" w:rsidR="003D5E7A" w:rsidRPr="00576AF8" w:rsidRDefault="003D5E7A">
            <w:pPr>
              <w:pStyle w:val="Prrafodelista"/>
              <w:numPr>
                <w:ilvl w:val="0"/>
                <w:numId w:val="53"/>
              </w:numPr>
              <w:autoSpaceDE w:val="0"/>
              <w:autoSpaceDN w:val="0"/>
              <w:adjustRightInd w:val="0"/>
              <w:spacing w:after="200"/>
              <w:rPr>
                <w:bCs/>
                <w:color w:val="000000"/>
              </w:rPr>
            </w:pPr>
            <w:r w:rsidRPr="00576AF8">
              <w:rPr>
                <w:bCs/>
                <w:color w:val="000000"/>
              </w:rPr>
              <w:t xml:space="preserve">que reconocen que el incumplimiento de cualquiera de estas garantías constituye el fundamento para la imposición por el Banco de una o más de las medidas que se describen en la IAL 3.1 (b). </w:t>
            </w:r>
          </w:p>
        </w:tc>
      </w:tr>
      <w:tr w:rsidR="006E0A06" w:rsidRPr="00576AF8" w14:paraId="37E8E247" w14:textId="77777777" w:rsidTr="0072303B">
        <w:tc>
          <w:tcPr>
            <w:tcW w:w="2520" w:type="dxa"/>
          </w:tcPr>
          <w:p w14:paraId="4FB45536" w14:textId="77777777" w:rsidR="006E0A06" w:rsidRPr="00576AF8" w:rsidRDefault="006E0A06" w:rsidP="00314996">
            <w:pPr>
              <w:pStyle w:val="TOC2-2"/>
            </w:pPr>
            <w:bookmarkStart w:id="29" w:name="_Toc454907769"/>
            <w:bookmarkStart w:id="30" w:name="_Toc476308201"/>
            <w:bookmarkStart w:id="31" w:name="_Toc476308769"/>
            <w:bookmarkStart w:id="32" w:name="_Toc479333319"/>
            <w:bookmarkStart w:id="33" w:name="_Toc25486578"/>
            <w:r w:rsidRPr="00576AF8">
              <w:t>4.</w:t>
            </w:r>
            <w:r w:rsidRPr="00576AF8">
              <w:tab/>
              <w:t xml:space="preserve">Licitantes </w:t>
            </w:r>
            <w:bookmarkEnd w:id="29"/>
            <w:bookmarkEnd w:id="30"/>
            <w:bookmarkEnd w:id="31"/>
            <w:bookmarkEnd w:id="32"/>
            <w:r w:rsidR="00E00F60" w:rsidRPr="00576AF8">
              <w:t>Elegibles</w:t>
            </w:r>
            <w:bookmarkEnd w:id="33"/>
          </w:p>
        </w:tc>
        <w:tc>
          <w:tcPr>
            <w:tcW w:w="6836" w:type="dxa"/>
          </w:tcPr>
          <w:p w14:paraId="5435D753" w14:textId="77777777" w:rsidR="00640C58" w:rsidRPr="00576AF8" w:rsidRDefault="006E0A06">
            <w:pPr>
              <w:pStyle w:val="Sub-ClauseText"/>
              <w:numPr>
                <w:ilvl w:val="1"/>
                <w:numId w:val="77"/>
              </w:numPr>
              <w:tabs>
                <w:tab w:val="clear" w:pos="360"/>
              </w:tabs>
              <w:spacing w:before="0" w:after="200"/>
              <w:ind w:left="432" w:hanging="432"/>
              <w:rPr>
                <w:spacing w:val="0"/>
                <w:szCs w:val="24"/>
              </w:rPr>
            </w:pPr>
            <w:r w:rsidRPr="00576AF8">
              <w:t xml:space="preserve">Un </w:t>
            </w:r>
            <w:r w:rsidR="0068225C" w:rsidRPr="00576AF8">
              <w:rPr>
                <w:color w:val="000000"/>
              </w:rPr>
              <w:t>Licitante</w:t>
            </w:r>
            <w:r w:rsidR="00640C58" w:rsidRPr="00576AF8">
              <w:rPr>
                <w:color w:val="000000"/>
              </w:rPr>
              <w:t xml:space="preserve">, </w:t>
            </w:r>
            <w:r w:rsidR="00510A60" w:rsidRPr="00576AF8">
              <w:rPr>
                <w:color w:val="000000"/>
              </w:rPr>
              <w:t xml:space="preserve">todo el personal </w:t>
            </w:r>
            <w:r w:rsidR="00640C58" w:rsidRPr="00576AF8">
              <w:rPr>
                <w:color w:val="000000"/>
              </w:rPr>
              <w:t xml:space="preserve">y todas las partes que </w:t>
            </w:r>
            <w:r w:rsidR="00510A60" w:rsidRPr="00576AF8">
              <w:rPr>
                <w:color w:val="000000"/>
              </w:rPr>
              <w:t xml:space="preserve">integran y </w:t>
            </w:r>
            <w:r w:rsidR="00640C58" w:rsidRPr="00576AF8">
              <w:rPr>
                <w:color w:val="000000"/>
              </w:rPr>
              <w:t xml:space="preserve">constituyen el </w:t>
            </w:r>
            <w:r w:rsidR="0068225C" w:rsidRPr="00576AF8">
              <w:rPr>
                <w:color w:val="000000"/>
              </w:rPr>
              <w:t>Licitante</w:t>
            </w:r>
            <w:r w:rsidR="00640C58" w:rsidRPr="00576AF8">
              <w:rPr>
                <w:color w:val="000000"/>
              </w:rPr>
              <w:t xml:space="preserve">, deberán ser originarios de países miembros del Banco. Los </w:t>
            </w:r>
            <w:r w:rsidR="0068225C" w:rsidRPr="00576AF8">
              <w:rPr>
                <w:color w:val="000000"/>
              </w:rPr>
              <w:t>Licitante</w:t>
            </w:r>
            <w:r w:rsidR="00640C58" w:rsidRPr="00576AF8">
              <w:rPr>
                <w:color w:val="000000"/>
              </w:rPr>
              <w:t>s originarios de países no miembros del Banco serán descalificados de participar en contratos financiados en todo o en parte con fondos del Banco. En la Sección V</w:t>
            </w:r>
            <w:r w:rsidR="00B96A84" w:rsidRPr="00576AF8">
              <w:rPr>
                <w:color w:val="000000"/>
              </w:rPr>
              <w:t>,</w:t>
            </w:r>
            <w:r w:rsidR="00640C58" w:rsidRPr="00576AF8">
              <w:rPr>
                <w:color w:val="000000"/>
              </w:rPr>
              <w:t xml:space="preserve"> </w:t>
            </w:r>
            <w:r w:rsidR="00B96A84" w:rsidRPr="00576AF8">
              <w:t>“</w:t>
            </w:r>
            <w:r w:rsidR="00640C58" w:rsidRPr="00576AF8">
              <w:rPr>
                <w:color w:val="000000"/>
              </w:rPr>
              <w:t>Países Elegibles</w:t>
            </w:r>
            <w:r w:rsidR="00B96A84" w:rsidRPr="00576AF8">
              <w:t>”</w:t>
            </w:r>
            <w:r w:rsidR="00B96A84" w:rsidRPr="00576AF8">
              <w:rPr>
                <w:color w:val="000000"/>
              </w:rPr>
              <w:t xml:space="preserve"> </w:t>
            </w:r>
            <w:r w:rsidR="00640C58" w:rsidRPr="00576AF8">
              <w:rPr>
                <w:color w:val="000000"/>
              </w:rPr>
              <w:t xml:space="preserve">de este documento se indican los países miembros del Banco al igual que los criterios para determinar la nacionalidad de los </w:t>
            </w:r>
            <w:r w:rsidR="0068225C" w:rsidRPr="00576AF8">
              <w:rPr>
                <w:color w:val="000000"/>
              </w:rPr>
              <w:t>Licitante</w:t>
            </w:r>
            <w:r w:rsidR="00640C58" w:rsidRPr="00576AF8">
              <w:rPr>
                <w:color w:val="000000"/>
              </w:rPr>
              <w:t xml:space="preserve">s y el origen de los bienes y servicios.  Los </w:t>
            </w:r>
            <w:r w:rsidR="0068225C" w:rsidRPr="00576AF8">
              <w:rPr>
                <w:color w:val="000000"/>
              </w:rPr>
              <w:t>licitante</w:t>
            </w:r>
            <w:r w:rsidR="00640C58" w:rsidRPr="00576AF8">
              <w:rPr>
                <w:color w:val="000000"/>
              </w:rPr>
              <w:t>s de un país miembro del Banco, al igual que los bienes suministrados, no serán elegibles:</w:t>
            </w:r>
          </w:p>
          <w:p w14:paraId="30927BC5" w14:textId="77777777" w:rsidR="00AB4AE3" w:rsidRPr="00576AF8" w:rsidRDefault="00AB4AE3">
            <w:pPr>
              <w:numPr>
                <w:ilvl w:val="0"/>
                <w:numId w:val="78"/>
              </w:numPr>
              <w:tabs>
                <w:tab w:val="num" w:pos="792"/>
              </w:tabs>
              <w:suppressAutoHyphens w:val="0"/>
              <w:spacing w:after="0"/>
              <w:ind w:left="792" w:hanging="360"/>
              <w:rPr>
                <w:color w:val="000000"/>
              </w:rPr>
            </w:pPr>
            <w:r w:rsidRPr="00576AF8">
              <w:rPr>
                <w:color w:val="000000"/>
              </w:rPr>
              <w:t xml:space="preserve">si las leyes o la reglamentación oficial del país del Prestatario prohíben las relaciones comerciales con aquel país, a </w:t>
            </w:r>
            <w:r w:rsidRPr="00576AF8">
              <w:rPr>
                <w:color w:val="000000"/>
              </w:rPr>
              <w:lastRenderedPageBreak/>
              <w:t xml:space="preserve">condición de que se demuestre satisfactoriamente al Banco que esa exclusión no impedirá una competencia efectiva respecto al suministro de los bienes y servicios de que se </w:t>
            </w:r>
            <w:proofErr w:type="gramStart"/>
            <w:r w:rsidRPr="00576AF8">
              <w:rPr>
                <w:color w:val="000000"/>
              </w:rPr>
              <w:t>trate;  o</w:t>
            </w:r>
            <w:proofErr w:type="gramEnd"/>
            <w:r w:rsidRPr="00576AF8">
              <w:rPr>
                <w:color w:val="000000"/>
              </w:rPr>
              <w:t xml:space="preserve"> </w:t>
            </w:r>
          </w:p>
          <w:p w14:paraId="7EA30EA0" w14:textId="77777777" w:rsidR="00AB4AE3" w:rsidRPr="00576AF8" w:rsidRDefault="00AB4AE3" w:rsidP="007B045D">
            <w:pPr>
              <w:suppressAutoHyphens w:val="0"/>
              <w:spacing w:after="0"/>
              <w:ind w:left="432"/>
              <w:rPr>
                <w:color w:val="000000"/>
              </w:rPr>
            </w:pPr>
          </w:p>
          <w:p w14:paraId="50751D10" w14:textId="77777777" w:rsidR="00A44EB2" w:rsidRPr="00576AF8" w:rsidRDefault="00640C58">
            <w:pPr>
              <w:numPr>
                <w:ilvl w:val="0"/>
                <w:numId w:val="78"/>
              </w:numPr>
              <w:tabs>
                <w:tab w:val="num" w:pos="792"/>
              </w:tabs>
              <w:suppressAutoHyphens w:val="0"/>
              <w:spacing w:after="200"/>
              <w:ind w:left="792" w:hanging="360"/>
            </w:pPr>
            <w:r w:rsidRPr="00576AF8">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tc>
      </w:tr>
      <w:tr w:rsidR="005D3A16" w:rsidRPr="00576AF8" w14:paraId="36D9B230" w14:textId="77777777" w:rsidTr="00C7748B">
        <w:tc>
          <w:tcPr>
            <w:tcW w:w="2520" w:type="dxa"/>
          </w:tcPr>
          <w:p w14:paraId="7C3D941B" w14:textId="77777777" w:rsidR="005D3A16" w:rsidRPr="00576AF8" w:rsidRDefault="005D3A16" w:rsidP="00CC7032">
            <w:pPr>
              <w:numPr>
                <w:ilvl w:val="12"/>
                <w:numId w:val="0"/>
              </w:numPr>
              <w:spacing w:after="200"/>
              <w:ind w:left="360" w:hanging="360"/>
              <w:jc w:val="left"/>
              <w:rPr>
                <w:szCs w:val="24"/>
              </w:rPr>
            </w:pPr>
          </w:p>
        </w:tc>
        <w:tc>
          <w:tcPr>
            <w:tcW w:w="6836" w:type="dxa"/>
          </w:tcPr>
          <w:p w14:paraId="6167D99A" w14:textId="77777777" w:rsidR="00C947EB" w:rsidRPr="00576AF8" w:rsidRDefault="008A761F">
            <w:pPr>
              <w:pStyle w:val="Sub-ClauseText"/>
              <w:numPr>
                <w:ilvl w:val="1"/>
                <w:numId w:val="77"/>
              </w:numPr>
              <w:tabs>
                <w:tab w:val="clear" w:pos="360"/>
              </w:tabs>
              <w:spacing w:before="0" w:after="200"/>
              <w:ind w:left="432" w:hanging="432"/>
              <w:rPr>
                <w:szCs w:val="24"/>
              </w:rPr>
            </w:pPr>
            <w:r w:rsidRPr="00576AF8">
              <w:t xml:space="preserve">Un Licitante, incluidos, en todos los casos, los respectivos directores, funcionarios, accionistas principales, personal propuesto y </w:t>
            </w:r>
            <w:proofErr w:type="gramStart"/>
            <w:r w:rsidRPr="00576AF8">
              <w:t>agentes,  no</w:t>
            </w:r>
            <w:proofErr w:type="gramEnd"/>
            <w:r w:rsidRPr="00576AF8">
              <w:t xml:space="preserve"> deberá tener conflictos de interés</w:t>
            </w:r>
            <w:r w:rsidRPr="00576AF8">
              <w:rPr>
                <w:color w:val="000000"/>
              </w:rPr>
              <w:t>.</w:t>
            </w:r>
            <w:r w:rsidR="00C947EB" w:rsidRPr="00576AF8">
              <w:t xml:space="preserve"> Todo Licitante </w:t>
            </w:r>
            <w:r w:rsidR="008A79F1" w:rsidRPr="00576AF8">
              <w:rPr>
                <w:color w:val="000000"/>
              </w:rPr>
              <w:t>respecto</w:t>
            </w:r>
            <w:r w:rsidR="008A79F1" w:rsidRPr="00576AF8">
              <w:t xml:space="preserve"> del cual </w:t>
            </w:r>
            <w:r w:rsidR="00C947EB" w:rsidRPr="00576AF8">
              <w:t xml:space="preserve">se determine la existencia de un conflicto de intereses será descalificado. Podrá considerarse que un Licitante tiene un conflicto de intereses a los fines de este </w:t>
            </w:r>
            <w:r w:rsidR="008A79F1" w:rsidRPr="00576AF8">
              <w:t>p</w:t>
            </w:r>
            <w:r w:rsidR="00C947EB" w:rsidRPr="00576AF8">
              <w:t>roceso</w:t>
            </w:r>
            <w:r w:rsidR="00664CF0" w:rsidRPr="00576AF8">
              <w:t xml:space="preserve"> de Licitación si el Licitante:</w:t>
            </w:r>
          </w:p>
          <w:p w14:paraId="6813C448" w14:textId="77777777" w:rsidR="00C947EB" w:rsidRPr="00576AF8" w:rsidRDefault="00E00F60">
            <w:pPr>
              <w:pStyle w:val="Ttulo3"/>
              <w:numPr>
                <w:ilvl w:val="0"/>
                <w:numId w:val="30"/>
              </w:numPr>
              <w:suppressAutoHyphens w:val="0"/>
              <w:spacing w:after="200"/>
              <w:ind w:left="1440" w:hanging="720"/>
              <w:jc w:val="both"/>
              <w:rPr>
                <w:rFonts w:ascii="Times New Roman" w:hAnsi="Times New Roman"/>
                <w:b w:val="0"/>
                <w:sz w:val="24"/>
                <w:szCs w:val="24"/>
              </w:rPr>
            </w:pPr>
            <w:r w:rsidRPr="00576AF8">
              <w:rPr>
                <w:rFonts w:ascii="Times New Roman" w:hAnsi="Times New Roman"/>
                <w:b w:val="0"/>
                <w:sz w:val="24"/>
              </w:rPr>
              <w:t>c</w:t>
            </w:r>
            <w:r w:rsidR="00C947EB" w:rsidRPr="00576AF8">
              <w:rPr>
                <w:rFonts w:ascii="Times New Roman" w:hAnsi="Times New Roman"/>
                <w:b w:val="0"/>
                <w:sz w:val="24"/>
              </w:rPr>
              <w:t>ontrola de manera directa o indirecta a otro Licitante, es controlado de manera directa o indirecta por otro Licitante</w:t>
            </w:r>
            <w:r w:rsidR="008A79F1" w:rsidRPr="00576AF8">
              <w:rPr>
                <w:rFonts w:ascii="Times New Roman" w:hAnsi="Times New Roman"/>
                <w:b w:val="0"/>
                <w:sz w:val="24"/>
              </w:rPr>
              <w:t>,</w:t>
            </w:r>
            <w:r w:rsidR="00C947EB" w:rsidRPr="00576AF8">
              <w:rPr>
                <w:rFonts w:ascii="Times New Roman" w:hAnsi="Times New Roman"/>
                <w:b w:val="0"/>
                <w:sz w:val="24"/>
              </w:rPr>
              <w:t xml:space="preserve"> o es controlado junto a otro Lici</w:t>
            </w:r>
            <w:r w:rsidR="00522F47" w:rsidRPr="00576AF8">
              <w:rPr>
                <w:rFonts w:ascii="Times New Roman" w:hAnsi="Times New Roman"/>
                <w:b w:val="0"/>
                <w:sz w:val="24"/>
              </w:rPr>
              <w:t xml:space="preserve">tante por una </w:t>
            </w:r>
            <w:r w:rsidR="008A761F" w:rsidRPr="00576AF8">
              <w:rPr>
                <w:rFonts w:ascii="Times New Roman" w:hAnsi="Times New Roman"/>
                <w:b w:val="0"/>
                <w:sz w:val="24"/>
              </w:rPr>
              <w:t xml:space="preserve">persona natural o jurídica </w:t>
            </w:r>
            <w:r w:rsidR="00522F47" w:rsidRPr="00576AF8">
              <w:rPr>
                <w:rFonts w:ascii="Times New Roman" w:hAnsi="Times New Roman"/>
                <w:b w:val="0"/>
                <w:sz w:val="24"/>
              </w:rPr>
              <w:t>en común</w:t>
            </w:r>
            <w:r w:rsidRPr="00576AF8">
              <w:rPr>
                <w:rFonts w:ascii="Times New Roman" w:hAnsi="Times New Roman"/>
                <w:b w:val="0"/>
                <w:sz w:val="24"/>
              </w:rPr>
              <w:t>; o</w:t>
            </w:r>
          </w:p>
          <w:p w14:paraId="595DE81B" w14:textId="77777777" w:rsidR="00C947EB" w:rsidRPr="00576AF8" w:rsidRDefault="00E00F60">
            <w:pPr>
              <w:pStyle w:val="Ttulo3"/>
              <w:numPr>
                <w:ilvl w:val="0"/>
                <w:numId w:val="30"/>
              </w:numPr>
              <w:suppressAutoHyphens w:val="0"/>
              <w:spacing w:after="200"/>
              <w:ind w:left="1440" w:hanging="720"/>
              <w:jc w:val="both"/>
              <w:rPr>
                <w:rFonts w:ascii="Times New Roman" w:hAnsi="Times New Roman"/>
                <w:b w:val="0"/>
                <w:sz w:val="24"/>
                <w:szCs w:val="24"/>
              </w:rPr>
            </w:pPr>
            <w:r w:rsidRPr="00576AF8">
              <w:rPr>
                <w:rFonts w:ascii="Times New Roman" w:hAnsi="Times New Roman"/>
                <w:b w:val="0"/>
                <w:sz w:val="24"/>
              </w:rPr>
              <w:t>r</w:t>
            </w:r>
            <w:r w:rsidR="00C947EB" w:rsidRPr="00576AF8">
              <w:rPr>
                <w:rFonts w:ascii="Times New Roman" w:hAnsi="Times New Roman"/>
                <w:b w:val="0"/>
                <w:sz w:val="24"/>
              </w:rPr>
              <w:t>ecibe o ha recibido algún subsidio directo o indirecto de otro Licitante</w:t>
            </w:r>
            <w:r w:rsidRPr="00576AF8">
              <w:rPr>
                <w:rFonts w:ascii="Times New Roman" w:hAnsi="Times New Roman"/>
                <w:b w:val="0"/>
                <w:sz w:val="24"/>
              </w:rPr>
              <w:t>; o</w:t>
            </w:r>
          </w:p>
          <w:p w14:paraId="029E2782" w14:textId="77777777" w:rsidR="00C947EB" w:rsidRPr="00576AF8" w:rsidRDefault="00E00F60">
            <w:pPr>
              <w:pStyle w:val="Ttulo3"/>
              <w:numPr>
                <w:ilvl w:val="0"/>
                <w:numId w:val="30"/>
              </w:numPr>
              <w:suppressAutoHyphens w:val="0"/>
              <w:spacing w:after="200"/>
              <w:ind w:left="1440" w:hanging="720"/>
              <w:jc w:val="both"/>
              <w:rPr>
                <w:rFonts w:ascii="Times New Roman" w:hAnsi="Times New Roman"/>
                <w:b w:val="0"/>
                <w:sz w:val="24"/>
                <w:szCs w:val="24"/>
              </w:rPr>
            </w:pPr>
            <w:r w:rsidRPr="00576AF8">
              <w:rPr>
                <w:rFonts w:ascii="Times New Roman" w:hAnsi="Times New Roman"/>
                <w:b w:val="0"/>
                <w:sz w:val="24"/>
              </w:rPr>
              <w:t>c</w:t>
            </w:r>
            <w:r w:rsidR="00C947EB" w:rsidRPr="00576AF8">
              <w:rPr>
                <w:rFonts w:ascii="Times New Roman" w:hAnsi="Times New Roman"/>
                <w:b w:val="0"/>
                <w:sz w:val="24"/>
              </w:rPr>
              <w:t>omparte el mismo representante legal con otro Licitante</w:t>
            </w:r>
            <w:r w:rsidRPr="00576AF8">
              <w:rPr>
                <w:rFonts w:ascii="Times New Roman" w:hAnsi="Times New Roman"/>
                <w:b w:val="0"/>
                <w:sz w:val="24"/>
              </w:rPr>
              <w:t>; o</w:t>
            </w:r>
          </w:p>
          <w:p w14:paraId="085E5596" w14:textId="77777777" w:rsidR="00C947EB" w:rsidRPr="00576AF8" w:rsidRDefault="00E00F60">
            <w:pPr>
              <w:pStyle w:val="Ttulo3"/>
              <w:numPr>
                <w:ilvl w:val="0"/>
                <w:numId w:val="30"/>
              </w:numPr>
              <w:suppressAutoHyphens w:val="0"/>
              <w:spacing w:after="200"/>
              <w:ind w:left="1440" w:hanging="720"/>
              <w:jc w:val="both"/>
              <w:rPr>
                <w:rFonts w:ascii="Times New Roman" w:hAnsi="Times New Roman"/>
                <w:b w:val="0"/>
                <w:spacing w:val="-4"/>
                <w:sz w:val="24"/>
                <w:szCs w:val="24"/>
              </w:rPr>
            </w:pPr>
            <w:r w:rsidRPr="00576AF8">
              <w:rPr>
                <w:rFonts w:ascii="Times New Roman" w:hAnsi="Times New Roman"/>
                <w:b w:val="0"/>
                <w:spacing w:val="-4"/>
                <w:sz w:val="24"/>
              </w:rPr>
              <w:t>posee</w:t>
            </w:r>
            <w:r w:rsidR="00C947EB" w:rsidRPr="00576AF8">
              <w:rPr>
                <w:rFonts w:ascii="Times New Roman" w:hAnsi="Times New Roman"/>
                <w:b w:val="0"/>
                <w:spacing w:val="-4"/>
                <w:sz w:val="24"/>
              </w:rPr>
              <w:t xml:space="preserve"> una relación con otro Licitante, directamente o a través de terceros en común, que le permite influir en la Oferta de otro Licitante o en las decisiones del Comprador en relación con este </w:t>
            </w:r>
            <w:r w:rsidR="00EE24FD" w:rsidRPr="00576AF8">
              <w:rPr>
                <w:rFonts w:ascii="Times New Roman" w:hAnsi="Times New Roman"/>
                <w:b w:val="0"/>
                <w:spacing w:val="-4"/>
                <w:sz w:val="24"/>
              </w:rPr>
              <w:t>p</w:t>
            </w:r>
            <w:r w:rsidR="00C947EB" w:rsidRPr="00576AF8">
              <w:rPr>
                <w:rFonts w:ascii="Times New Roman" w:hAnsi="Times New Roman"/>
                <w:b w:val="0"/>
                <w:spacing w:val="-4"/>
                <w:sz w:val="24"/>
              </w:rPr>
              <w:t>roceso de Licitación</w:t>
            </w:r>
            <w:r w:rsidRPr="00576AF8">
              <w:rPr>
                <w:rFonts w:ascii="Times New Roman" w:hAnsi="Times New Roman"/>
                <w:b w:val="0"/>
                <w:spacing w:val="-4"/>
                <w:sz w:val="24"/>
              </w:rPr>
              <w:t>; o</w:t>
            </w:r>
          </w:p>
          <w:p w14:paraId="2606072E" w14:textId="77777777" w:rsidR="00C947EB" w:rsidRPr="00576AF8" w:rsidRDefault="00E00F60">
            <w:pPr>
              <w:pStyle w:val="Ttulo3"/>
              <w:numPr>
                <w:ilvl w:val="0"/>
                <w:numId w:val="30"/>
              </w:numPr>
              <w:suppressAutoHyphens w:val="0"/>
              <w:spacing w:after="200"/>
              <w:ind w:left="1440" w:hanging="720"/>
              <w:jc w:val="both"/>
              <w:rPr>
                <w:rFonts w:ascii="Times New Roman" w:hAnsi="Times New Roman"/>
                <w:b w:val="0"/>
                <w:sz w:val="24"/>
                <w:szCs w:val="24"/>
              </w:rPr>
            </w:pPr>
            <w:r w:rsidRPr="00576AF8">
              <w:rPr>
                <w:rFonts w:ascii="Times New Roman" w:hAnsi="Times New Roman"/>
                <w:b w:val="0"/>
                <w:sz w:val="24"/>
              </w:rPr>
              <w:t>c</w:t>
            </w:r>
            <w:r w:rsidR="00EA6AB4" w:rsidRPr="00576AF8">
              <w:rPr>
                <w:rFonts w:ascii="Times New Roman" w:hAnsi="Times New Roman"/>
                <w:b w:val="0"/>
                <w:sz w:val="24"/>
              </w:rPr>
              <w:t xml:space="preserve">ualquiera de sus </w:t>
            </w:r>
            <w:r w:rsidR="00FF735E" w:rsidRPr="00576AF8">
              <w:rPr>
                <w:rFonts w:ascii="Times New Roman" w:hAnsi="Times New Roman"/>
                <w:b w:val="0"/>
                <w:sz w:val="24"/>
              </w:rPr>
              <w:t xml:space="preserve">afiliados </w:t>
            </w:r>
            <w:r w:rsidR="00EA6AB4" w:rsidRPr="00576AF8">
              <w:rPr>
                <w:rFonts w:ascii="Times New Roman" w:hAnsi="Times New Roman"/>
                <w:b w:val="0"/>
                <w:sz w:val="24"/>
              </w:rPr>
              <w:t>ha participado como consultora en la preparación del diseño o las especificaciones técnicas del Sistema Informático que constituye el objeto de la Oferta</w:t>
            </w:r>
            <w:r w:rsidRPr="00576AF8">
              <w:rPr>
                <w:rFonts w:ascii="Times New Roman" w:hAnsi="Times New Roman"/>
                <w:b w:val="0"/>
                <w:sz w:val="24"/>
              </w:rPr>
              <w:t>; o</w:t>
            </w:r>
          </w:p>
          <w:p w14:paraId="504E3635" w14:textId="77777777" w:rsidR="00EA6AB4" w:rsidRPr="00576AF8" w:rsidRDefault="00E00F60">
            <w:pPr>
              <w:pStyle w:val="Ttulo3"/>
              <w:numPr>
                <w:ilvl w:val="0"/>
                <w:numId w:val="30"/>
              </w:numPr>
              <w:suppressAutoHyphens w:val="0"/>
              <w:spacing w:after="200"/>
              <w:ind w:left="1440" w:hanging="720"/>
              <w:jc w:val="both"/>
              <w:rPr>
                <w:rFonts w:ascii="Times New Roman" w:hAnsi="Times New Roman"/>
                <w:b w:val="0"/>
                <w:sz w:val="24"/>
                <w:szCs w:val="24"/>
              </w:rPr>
            </w:pPr>
            <w:r w:rsidRPr="00576AF8">
              <w:rPr>
                <w:rFonts w:ascii="Times New Roman" w:hAnsi="Times New Roman"/>
                <w:b w:val="0"/>
                <w:sz w:val="24"/>
              </w:rPr>
              <w:t xml:space="preserve">cualquiera </w:t>
            </w:r>
            <w:r w:rsidR="00EA6AB4" w:rsidRPr="00576AF8">
              <w:rPr>
                <w:rFonts w:ascii="Times New Roman" w:hAnsi="Times New Roman"/>
                <w:b w:val="0"/>
                <w:sz w:val="24"/>
              </w:rPr>
              <w:t xml:space="preserve">de sus </w:t>
            </w:r>
            <w:r w:rsidR="00FF735E" w:rsidRPr="00576AF8">
              <w:rPr>
                <w:rFonts w:ascii="Times New Roman" w:hAnsi="Times New Roman"/>
                <w:b w:val="0"/>
                <w:sz w:val="24"/>
              </w:rPr>
              <w:t xml:space="preserve">afiliados </w:t>
            </w:r>
            <w:r w:rsidR="00EA6AB4" w:rsidRPr="00576AF8">
              <w:rPr>
                <w:rFonts w:ascii="Times New Roman" w:hAnsi="Times New Roman"/>
                <w:b w:val="0"/>
                <w:sz w:val="24"/>
              </w:rPr>
              <w:t xml:space="preserve">ha sido </w:t>
            </w:r>
            <w:proofErr w:type="gramStart"/>
            <w:r w:rsidR="00EA6AB4" w:rsidRPr="00576AF8">
              <w:rPr>
                <w:rFonts w:ascii="Times New Roman" w:hAnsi="Times New Roman"/>
                <w:b w:val="0"/>
                <w:sz w:val="24"/>
              </w:rPr>
              <w:t>contratada</w:t>
            </w:r>
            <w:proofErr w:type="gramEnd"/>
            <w:r w:rsidR="00EA6AB4" w:rsidRPr="00576AF8">
              <w:rPr>
                <w:rFonts w:ascii="Times New Roman" w:hAnsi="Times New Roman"/>
                <w:b w:val="0"/>
                <w:sz w:val="24"/>
              </w:rPr>
              <w:t xml:space="preserve"> (o se propone para ser contratada) por el Comprador o por el Prestatario como gerente de proyecto para la ejecución del Contrato</w:t>
            </w:r>
            <w:r w:rsidRPr="00576AF8">
              <w:rPr>
                <w:rFonts w:ascii="Times New Roman" w:hAnsi="Times New Roman"/>
                <w:b w:val="0"/>
                <w:sz w:val="24"/>
              </w:rPr>
              <w:t>; o</w:t>
            </w:r>
          </w:p>
          <w:p w14:paraId="63827D49" w14:textId="77777777" w:rsidR="00C947EB" w:rsidRPr="00576AF8" w:rsidRDefault="00E00F60">
            <w:pPr>
              <w:pStyle w:val="Ttulo3"/>
              <w:numPr>
                <w:ilvl w:val="0"/>
                <w:numId w:val="30"/>
              </w:numPr>
              <w:suppressAutoHyphens w:val="0"/>
              <w:spacing w:after="200"/>
              <w:ind w:left="1440" w:hanging="720"/>
              <w:jc w:val="both"/>
              <w:rPr>
                <w:rFonts w:ascii="Times New Roman" w:hAnsi="Times New Roman"/>
                <w:b w:val="0"/>
                <w:spacing w:val="-4"/>
                <w:sz w:val="24"/>
                <w:szCs w:val="24"/>
              </w:rPr>
            </w:pPr>
            <w:r w:rsidRPr="00576AF8">
              <w:rPr>
                <w:rFonts w:ascii="Times New Roman" w:hAnsi="Times New Roman"/>
                <w:b w:val="0"/>
                <w:spacing w:val="-4"/>
                <w:sz w:val="24"/>
              </w:rPr>
              <w:t xml:space="preserve">proveerá </w:t>
            </w:r>
            <w:r w:rsidR="00C947EB" w:rsidRPr="00576AF8">
              <w:rPr>
                <w:rFonts w:ascii="Times New Roman" w:hAnsi="Times New Roman"/>
                <w:b w:val="0"/>
                <w:spacing w:val="-4"/>
                <w:sz w:val="24"/>
              </w:rPr>
              <w:t xml:space="preserve">bienes, obras y servicios de no-consultoría resultantes de los servicios de consultoría, o directamente relacionados con ellos, para la preparación </w:t>
            </w:r>
            <w:r w:rsidR="00C947EB" w:rsidRPr="00576AF8">
              <w:rPr>
                <w:rFonts w:ascii="Times New Roman" w:hAnsi="Times New Roman"/>
                <w:b w:val="0"/>
                <w:spacing w:val="-4"/>
                <w:sz w:val="24"/>
              </w:rPr>
              <w:lastRenderedPageBreak/>
              <w:t xml:space="preserve">o ejecución del proyecto especificado en la </w:t>
            </w:r>
            <w:r w:rsidR="00031191" w:rsidRPr="00576AF8">
              <w:rPr>
                <w:rFonts w:ascii="Times New Roman" w:hAnsi="Times New Roman"/>
                <w:b w:val="0"/>
                <w:spacing w:val="-4"/>
                <w:sz w:val="24"/>
              </w:rPr>
              <w:t>IAL </w:t>
            </w:r>
            <w:r w:rsidR="00C7748B" w:rsidRPr="00576AF8">
              <w:rPr>
                <w:rFonts w:ascii="Times New Roman" w:hAnsi="Times New Roman"/>
                <w:b w:val="0"/>
                <w:spacing w:val="-4"/>
                <w:sz w:val="24"/>
              </w:rPr>
              <w:t xml:space="preserve">2.1 </w:t>
            </w:r>
            <w:r w:rsidR="00C7748B" w:rsidRPr="00576AF8">
              <w:rPr>
                <w:rFonts w:ascii="Times New Roman" w:hAnsi="Times New Roman"/>
                <w:b w:val="0"/>
                <w:spacing w:val="-4"/>
                <w:sz w:val="24"/>
              </w:rPr>
              <w:br/>
            </w:r>
            <w:r w:rsidR="00C947EB" w:rsidRPr="00576AF8">
              <w:rPr>
                <w:rFonts w:ascii="Times New Roman" w:hAnsi="Times New Roman"/>
                <w:spacing w:val="-4"/>
                <w:sz w:val="24"/>
              </w:rPr>
              <w:t>de los DDL</w:t>
            </w:r>
            <w:r w:rsidR="00C947EB" w:rsidRPr="00576AF8">
              <w:rPr>
                <w:rFonts w:ascii="Times New Roman" w:hAnsi="Times New Roman"/>
                <w:b w:val="0"/>
                <w:spacing w:val="-4"/>
                <w:sz w:val="24"/>
              </w:rPr>
              <w:t xml:space="preserve"> que él haya provisto o que hayan sido provistos por cualquier filial que controle de manera directa o indirecta a esa firma, sea controlada de manera directa o indirecta por esa firma</w:t>
            </w:r>
            <w:r w:rsidR="002B3635" w:rsidRPr="00576AF8">
              <w:rPr>
                <w:rFonts w:ascii="Times New Roman" w:hAnsi="Times New Roman"/>
                <w:b w:val="0"/>
                <w:spacing w:val="-4"/>
                <w:sz w:val="24"/>
              </w:rPr>
              <w:t>,</w:t>
            </w:r>
            <w:r w:rsidR="00C947EB" w:rsidRPr="00576AF8">
              <w:rPr>
                <w:rFonts w:ascii="Times New Roman" w:hAnsi="Times New Roman"/>
                <w:b w:val="0"/>
                <w:spacing w:val="-4"/>
                <w:sz w:val="24"/>
              </w:rPr>
              <w:t xml:space="preserve"> o sea controlada junto a esa firma por una entidad en común</w:t>
            </w:r>
            <w:r w:rsidR="00AD196A" w:rsidRPr="00576AF8">
              <w:rPr>
                <w:rFonts w:ascii="Times New Roman" w:hAnsi="Times New Roman"/>
                <w:b w:val="0"/>
                <w:spacing w:val="-4"/>
                <w:sz w:val="24"/>
              </w:rPr>
              <w:t>; o</w:t>
            </w:r>
          </w:p>
          <w:p w14:paraId="200D3C94" w14:textId="77777777" w:rsidR="00A44EB2" w:rsidRPr="00576AF8" w:rsidRDefault="00E00F60">
            <w:pPr>
              <w:pStyle w:val="Ttulo3"/>
              <w:numPr>
                <w:ilvl w:val="0"/>
                <w:numId w:val="30"/>
              </w:numPr>
              <w:suppressAutoHyphens w:val="0"/>
              <w:spacing w:after="200"/>
              <w:ind w:left="1440" w:hanging="720"/>
              <w:jc w:val="both"/>
              <w:rPr>
                <w:rFonts w:ascii="Times New Roman" w:hAnsi="Times New Roman"/>
                <w:b w:val="0"/>
                <w:sz w:val="24"/>
                <w:szCs w:val="24"/>
              </w:rPr>
            </w:pPr>
            <w:r w:rsidRPr="00576AF8">
              <w:rPr>
                <w:rFonts w:ascii="Times New Roman" w:hAnsi="Times New Roman"/>
                <w:b w:val="0"/>
                <w:sz w:val="24"/>
              </w:rPr>
              <w:t xml:space="preserve">posee </w:t>
            </w:r>
            <w:r w:rsidR="00C43DF3" w:rsidRPr="00576AF8">
              <w:rPr>
                <w:rFonts w:ascii="Times New Roman" w:hAnsi="Times New Roman"/>
                <w:b w:val="0"/>
                <w:sz w:val="24"/>
              </w:rPr>
              <w:t xml:space="preserve">una relación familiar </w:t>
            </w:r>
            <w:r w:rsidR="00002C3C" w:rsidRPr="00576AF8">
              <w:rPr>
                <w:rFonts w:ascii="Times New Roman" w:hAnsi="Times New Roman"/>
                <w:b w:val="0"/>
                <w:sz w:val="24"/>
              </w:rPr>
              <w:t xml:space="preserve">o </w:t>
            </w:r>
            <w:r w:rsidR="008A761F" w:rsidRPr="00576AF8">
              <w:rPr>
                <w:rFonts w:ascii="Times New Roman" w:hAnsi="Times New Roman"/>
                <w:b w:val="0"/>
                <w:sz w:val="24"/>
              </w:rPr>
              <w:t xml:space="preserve">financiera estrecha o de empleo previo o subsiguiente </w:t>
            </w:r>
            <w:r w:rsidR="00C43DF3" w:rsidRPr="00576AF8">
              <w:rPr>
                <w:rFonts w:ascii="Times New Roman" w:hAnsi="Times New Roman"/>
                <w:b w:val="0"/>
                <w:sz w:val="24"/>
              </w:rPr>
              <w:t xml:space="preserve">con algún profesional del personal del Prestatario (o del organismo de ejecución del proyecto, o de un </w:t>
            </w:r>
            <w:r w:rsidR="002B3635" w:rsidRPr="00576AF8">
              <w:rPr>
                <w:rFonts w:ascii="Times New Roman" w:hAnsi="Times New Roman"/>
                <w:b w:val="0"/>
                <w:sz w:val="24"/>
              </w:rPr>
              <w:t xml:space="preserve">receptor </w:t>
            </w:r>
            <w:r w:rsidR="00C43DF3" w:rsidRPr="00576AF8">
              <w:rPr>
                <w:rFonts w:ascii="Times New Roman" w:hAnsi="Times New Roman"/>
                <w:b w:val="0"/>
                <w:sz w:val="24"/>
              </w:rPr>
              <w:t xml:space="preserve">de parte del préstamo) que: </w:t>
            </w:r>
            <w:r w:rsidRPr="00576AF8">
              <w:rPr>
                <w:rFonts w:ascii="Times New Roman" w:hAnsi="Times New Roman"/>
                <w:b w:val="0"/>
                <w:sz w:val="24"/>
              </w:rPr>
              <w:t>(</w:t>
            </w:r>
            <w:r w:rsidR="00C43DF3" w:rsidRPr="00576AF8">
              <w:rPr>
                <w:rFonts w:ascii="Times New Roman" w:hAnsi="Times New Roman"/>
                <w:b w:val="0"/>
                <w:sz w:val="24"/>
              </w:rPr>
              <w:t xml:space="preserve">i) esté directa o indirectamente relacionado con la preparación del </w:t>
            </w:r>
            <w:r w:rsidR="00FD4376" w:rsidRPr="00576AF8">
              <w:rPr>
                <w:rFonts w:ascii="Times New Roman" w:hAnsi="Times New Roman"/>
                <w:b w:val="0"/>
                <w:sz w:val="24"/>
              </w:rPr>
              <w:t xml:space="preserve">documento </w:t>
            </w:r>
            <w:r w:rsidRPr="00576AF8">
              <w:rPr>
                <w:rFonts w:ascii="Times New Roman" w:hAnsi="Times New Roman"/>
                <w:b w:val="0"/>
                <w:sz w:val="24"/>
              </w:rPr>
              <w:t xml:space="preserve">de </w:t>
            </w:r>
            <w:r w:rsidR="00FD4376" w:rsidRPr="00576AF8">
              <w:rPr>
                <w:rFonts w:ascii="Times New Roman" w:hAnsi="Times New Roman"/>
                <w:b w:val="0"/>
                <w:sz w:val="24"/>
              </w:rPr>
              <w:t xml:space="preserve">licitación </w:t>
            </w:r>
            <w:r w:rsidR="00C43DF3" w:rsidRPr="00576AF8">
              <w:rPr>
                <w:rFonts w:ascii="Times New Roman" w:hAnsi="Times New Roman"/>
                <w:b w:val="0"/>
                <w:sz w:val="24"/>
              </w:rPr>
              <w:t xml:space="preserve">o </w:t>
            </w:r>
            <w:r w:rsidR="002B3635" w:rsidRPr="00576AF8">
              <w:rPr>
                <w:rFonts w:ascii="Times New Roman" w:hAnsi="Times New Roman"/>
                <w:b w:val="0"/>
                <w:sz w:val="24"/>
              </w:rPr>
              <w:t xml:space="preserve">de </w:t>
            </w:r>
            <w:r w:rsidR="00C43DF3" w:rsidRPr="00576AF8">
              <w:rPr>
                <w:rFonts w:ascii="Times New Roman" w:hAnsi="Times New Roman"/>
                <w:b w:val="0"/>
                <w:sz w:val="24"/>
              </w:rPr>
              <w:t xml:space="preserve">las especificaciones del Contrato, o el proceso de evaluación de la Oferta de ese Contrato, o </w:t>
            </w:r>
            <w:r w:rsidRPr="00576AF8">
              <w:rPr>
                <w:rFonts w:ascii="Times New Roman" w:hAnsi="Times New Roman"/>
                <w:b w:val="0"/>
                <w:sz w:val="24"/>
              </w:rPr>
              <w:t>(</w:t>
            </w:r>
            <w:r w:rsidR="00C43DF3" w:rsidRPr="00576AF8">
              <w:rPr>
                <w:rFonts w:ascii="Times New Roman" w:hAnsi="Times New Roman"/>
                <w:b w:val="0"/>
                <w:sz w:val="24"/>
              </w:rPr>
              <w:t>ii) pudiera estar relacionado con la ejecución o supervisión de ese Contrato</w:t>
            </w:r>
            <w:r w:rsidR="002B3635" w:rsidRPr="00576AF8">
              <w:rPr>
                <w:rFonts w:ascii="Times New Roman" w:hAnsi="Times New Roman"/>
                <w:b w:val="0"/>
                <w:sz w:val="24"/>
              </w:rPr>
              <w:t>,</w:t>
            </w:r>
            <w:r w:rsidR="00C43DF3" w:rsidRPr="00576AF8">
              <w:rPr>
                <w:rFonts w:ascii="Times New Roman" w:hAnsi="Times New Roman"/>
                <w:b w:val="0"/>
                <w:sz w:val="24"/>
              </w:rPr>
              <w:t xml:space="preserve"> a menos que el conflicto derivado de tal relación haya sido resuelto de manera aceptable para el Banco durante el </w:t>
            </w:r>
            <w:r w:rsidR="002B3635" w:rsidRPr="00576AF8">
              <w:rPr>
                <w:rFonts w:ascii="Times New Roman" w:hAnsi="Times New Roman"/>
                <w:b w:val="0"/>
                <w:sz w:val="24"/>
              </w:rPr>
              <w:t>p</w:t>
            </w:r>
            <w:r w:rsidR="00C43DF3" w:rsidRPr="00576AF8">
              <w:rPr>
                <w:rFonts w:ascii="Times New Roman" w:hAnsi="Times New Roman"/>
                <w:b w:val="0"/>
                <w:sz w:val="24"/>
              </w:rPr>
              <w:t xml:space="preserve">roceso de Licitación y la ejecución del Contrato. </w:t>
            </w:r>
          </w:p>
        </w:tc>
      </w:tr>
      <w:tr w:rsidR="00D00072" w:rsidRPr="00576AF8" w14:paraId="038CBB33" w14:textId="77777777" w:rsidTr="00C7748B">
        <w:tc>
          <w:tcPr>
            <w:tcW w:w="2520" w:type="dxa"/>
          </w:tcPr>
          <w:p w14:paraId="5895ACA9" w14:textId="77777777" w:rsidR="00D00072" w:rsidRPr="00576AF8" w:rsidRDefault="00D00072" w:rsidP="00CC7032">
            <w:pPr>
              <w:numPr>
                <w:ilvl w:val="12"/>
                <w:numId w:val="0"/>
              </w:numPr>
              <w:spacing w:after="200"/>
              <w:ind w:left="360" w:hanging="360"/>
              <w:jc w:val="left"/>
              <w:rPr>
                <w:szCs w:val="24"/>
              </w:rPr>
            </w:pPr>
          </w:p>
        </w:tc>
        <w:tc>
          <w:tcPr>
            <w:tcW w:w="6836" w:type="dxa"/>
          </w:tcPr>
          <w:p w14:paraId="010DA557" w14:textId="77777777" w:rsidR="00A44EB2" w:rsidRPr="00576AF8" w:rsidRDefault="00066AF1">
            <w:pPr>
              <w:pStyle w:val="Sub-ClauseText"/>
              <w:numPr>
                <w:ilvl w:val="1"/>
                <w:numId w:val="77"/>
              </w:numPr>
              <w:tabs>
                <w:tab w:val="clear" w:pos="360"/>
              </w:tabs>
              <w:spacing w:before="0" w:after="200"/>
              <w:ind w:left="432" w:hanging="432"/>
            </w:pPr>
            <w:r w:rsidRPr="00576AF8">
              <w:t xml:space="preserve">No es elegible un </w:t>
            </w:r>
            <w:r w:rsidR="0068225C" w:rsidRPr="00576AF8">
              <w:t>Licitante</w:t>
            </w:r>
            <w:r w:rsidRPr="00576AF8">
              <w:t xml:space="preserve"> </w:t>
            </w:r>
            <w:r w:rsidR="008A761F" w:rsidRPr="00576AF8">
              <w:t xml:space="preserve">si el mismo o sus </w:t>
            </w:r>
            <w:r w:rsidRPr="00576AF8">
              <w:t xml:space="preserve">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576AF8">
              <w:rPr>
                <w:b/>
              </w:rPr>
              <w:t>en los DDL</w:t>
            </w:r>
            <w:r w:rsidRPr="00576AF8">
              <w:t xml:space="preserve">. </w:t>
            </w:r>
          </w:p>
        </w:tc>
      </w:tr>
      <w:tr w:rsidR="00D00072" w:rsidRPr="00576AF8" w14:paraId="0A1FEBAE" w14:textId="77777777" w:rsidTr="00C7748B">
        <w:tc>
          <w:tcPr>
            <w:tcW w:w="2520" w:type="dxa"/>
          </w:tcPr>
          <w:p w14:paraId="48F636AB" w14:textId="77777777" w:rsidR="00D00072" w:rsidRPr="00576AF8" w:rsidRDefault="00D00072" w:rsidP="00CC7032">
            <w:pPr>
              <w:numPr>
                <w:ilvl w:val="12"/>
                <w:numId w:val="0"/>
              </w:numPr>
              <w:spacing w:after="200"/>
              <w:ind w:left="360" w:hanging="360"/>
              <w:jc w:val="left"/>
              <w:rPr>
                <w:szCs w:val="24"/>
              </w:rPr>
            </w:pPr>
          </w:p>
        </w:tc>
        <w:tc>
          <w:tcPr>
            <w:tcW w:w="6836" w:type="dxa"/>
          </w:tcPr>
          <w:p w14:paraId="289C2ABA" w14:textId="77777777" w:rsidR="00A44EB2" w:rsidRPr="00576AF8" w:rsidRDefault="00066AF1">
            <w:pPr>
              <w:pStyle w:val="Sub-ClauseText"/>
              <w:numPr>
                <w:ilvl w:val="1"/>
                <w:numId w:val="77"/>
              </w:numPr>
              <w:tabs>
                <w:tab w:val="clear" w:pos="360"/>
              </w:tabs>
              <w:spacing w:before="0" w:after="200"/>
              <w:ind w:left="432" w:hanging="432"/>
              <w:rPr>
                <w:szCs w:val="24"/>
              </w:rPr>
            </w:pPr>
            <w:r w:rsidRPr="00576AF8">
              <w:t xml:space="preserve">Las empresas estatales del país Prestatario serán elegibles solamente si pueden demostrar que (i) tienen autonomía legal y financiera; (ii) operan conforme a las leyes comerciales; y (iii) no dependen de ninguna agencia del </w:t>
            </w:r>
            <w:r w:rsidR="0068225C" w:rsidRPr="00576AF8">
              <w:t>Comprador.</w:t>
            </w:r>
          </w:p>
        </w:tc>
      </w:tr>
      <w:tr w:rsidR="00345B9B" w:rsidRPr="00576AF8" w14:paraId="74286211" w14:textId="77777777" w:rsidTr="00C7748B">
        <w:tc>
          <w:tcPr>
            <w:tcW w:w="2520" w:type="dxa"/>
          </w:tcPr>
          <w:p w14:paraId="05A117FB" w14:textId="77777777" w:rsidR="00345B9B" w:rsidRPr="00576AF8" w:rsidRDefault="00345B9B" w:rsidP="00CC7032">
            <w:pPr>
              <w:numPr>
                <w:ilvl w:val="12"/>
                <w:numId w:val="0"/>
              </w:numPr>
              <w:spacing w:after="200"/>
              <w:ind w:left="360" w:hanging="360"/>
              <w:jc w:val="left"/>
              <w:rPr>
                <w:szCs w:val="24"/>
              </w:rPr>
            </w:pPr>
          </w:p>
        </w:tc>
        <w:tc>
          <w:tcPr>
            <w:tcW w:w="6836" w:type="dxa"/>
          </w:tcPr>
          <w:p w14:paraId="10219A47" w14:textId="77777777" w:rsidR="00A44EB2" w:rsidRPr="00576AF8" w:rsidRDefault="006F647A">
            <w:pPr>
              <w:pStyle w:val="Sub-ClauseText"/>
              <w:numPr>
                <w:ilvl w:val="1"/>
                <w:numId w:val="77"/>
              </w:numPr>
              <w:tabs>
                <w:tab w:val="clear" w:pos="360"/>
              </w:tabs>
              <w:spacing w:before="0" w:after="200"/>
              <w:ind w:left="432" w:hanging="432"/>
              <w:rPr>
                <w:szCs w:val="24"/>
              </w:rPr>
            </w:pPr>
            <w:r w:rsidRPr="00576AF8">
              <w:rPr>
                <w:bCs/>
              </w:rPr>
              <w:t xml:space="preserve">Un Licitante no debe estar suspendido por el Comprador para presentar </w:t>
            </w:r>
            <w:r w:rsidRPr="00576AF8">
              <w:t>ofertas</w:t>
            </w:r>
            <w:r w:rsidRPr="00576AF8">
              <w:rPr>
                <w:bCs/>
              </w:rPr>
              <w:t xml:space="preserve"> o propuestas como resultado del incumplimiento con una Declaración de Mantenimiento de la Oferta o la Propuesta.</w:t>
            </w:r>
          </w:p>
        </w:tc>
      </w:tr>
      <w:tr w:rsidR="00345B9B" w:rsidRPr="00576AF8" w14:paraId="77C224EE" w14:textId="77777777" w:rsidTr="00C7748B">
        <w:tc>
          <w:tcPr>
            <w:tcW w:w="2520" w:type="dxa"/>
          </w:tcPr>
          <w:p w14:paraId="4C4722EE" w14:textId="77777777" w:rsidR="00345B9B" w:rsidRPr="00576AF8" w:rsidRDefault="00345B9B" w:rsidP="00CC7032">
            <w:pPr>
              <w:numPr>
                <w:ilvl w:val="12"/>
                <w:numId w:val="0"/>
              </w:numPr>
              <w:spacing w:after="200"/>
              <w:ind w:left="360" w:hanging="360"/>
              <w:jc w:val="left"/>
              <w:rPr>
                <w:szCs w:val="24"/>
              </w:rPr>
            </w:pPr>
          </w:p>
        </w:tc>
        <w:tc>
          <w:tcPr>
            <w:tcW w:w="6836" w:type="dxa"/>
          </w:tcPr>
          <w:p w14:paraId="6013EEEF" w14:textId="77777777" w:rsidR="00345B9B" w:rsidRPr="00576AF8" w:rsidRDefault="00345B9B">
            <w:pPr>
              <w:pStyle w:val="Sub-ClauseText"/>
              <w:numPr>
                <w:ilvl w:val="1"/>
                <w:numId w:val="77"/>
              </w:numPr>
              <w:tabs>
                <w:tab w:val="clear" w:pos="360"/>
              </w:tabs>
              <w:spacing w:before="0" w:after="200"/>
              <w:ind w:left="432" w:hanging="432"/>
              <w:rPr>
                <w:szCs w:val="24"/>
              </w:rPr>
            </w:pPr>
            <w:r w:rsidRPr="00576AF8">
              <w:t>Los Licitantes deberán proporcionar al Comprador evidencia documental satisfactoria de su continua elegibilidad, cuando el Comprador razonablemente la solicite.</w:t>
            </w:r>
          </w:p>
        </w:tc>
      </w:tr>
      <w:tr w:rsidR="00066AF1" w:rsidRPr="00576AF8" w14:paraId="769B6A6C" w14:textId="77777777" w:rsidTr="00C7748B">
        <w:tc>
          <w:tcPr>
            <w:tcW w:w="2520" w:type="dxa"/>
          </w:tcPr>
          <w:p w14:paraId="6E0FC40E" w14:textId="77777777" w:rsidR="00066AF1" w:rsidRPr="00576AF8" w:rsidRDefault="00066AF1" w:rsidP="00CC7032">
            <w:pPr>
              <w:numPr>
                <w:ilvl w:val="12"/>
                <w:numId w:val="0"/>
              </w:numPr>
              <w:spacing w:after="200"/>
              <w:ind w:left="360" w:hanging="360"/>
              <w:jc w:val="left"/>
              <w:rPr>
                <w:szCs w:val="24"/>
              </w:rPr>
            </w:pPr>
          </w:p>
        </w:tc>
        <w:tc>
          <w:tcPr>
            <w:tcW w:w="6836" w:type="dxa"/>
          </w:tcPr>
          <w:p w14:paraId="6DE14831" w14:textId="77777777" w:rsidR="00066AF1" w:rsidRPr="00576AF8" w:rsidRDefault="00066AF1">
            <w:pPr>
              <w:pStyle w:val="Sub-ClauseText"/>
              <w:numPr>
                <w:ilvl w:val="1"/>
                <w:numId w:val="77"/>
              </w:numPr>
              <w:tabs>
                <w:tab w:val="clear" w:pos="360"/>
              </w:tabs>
              <w:spacing w:before="0" w:after="200"/>
              <w:ind w:left="432" w:hanging="432"/>
            </w:pPr>
            <w:r w:rsidRPr="00576AF8">
              <w:t xml:space="preserve">Esta </w:t>
            </w:r>
            <w:r w:rsidRPr="00576AF8">
              <w:rPr>
                <w:bCs/>
              </w:rPr>
              <w:t>Licitación</w:t>
            </w:r>
            <w:r w:rsidRPr="00576AF8">
              <w:t xml:space="preserve"> está abierta a todos los Licitantes elegibles, salvo que se especifique lo contrario </w:t>
            </w:r>
            <w:r w:rsidRPr="00576AF8">
              <w:rPr>
                <w:b/>
              </w:rPr>
              <w:t>en los DDL.</w:t>
            </w:r>
          </w:p>
        </w:tc>
      </w:tr>
      <w:tr w:rsidR="005D3A16" w:rsidRPr="00576AF8" w14:paraId="687992FB" w14:textId="77777777" w:rsidTr="00C7748B">
        <w:trPr>
          <w:cantSplit/>
        </w:trPr>
        <w:tc>
          <w:tcPr>
            <w:tcW w:w="2520" w:type="dxa"/>
          </w:tcPr>
          <w:p w14:paraId="434E9D5B" w14:textId="77777777" w:rsidR="005D3A16" w:rsidRPr="00576AF8" w:rsidRDefault="005D3A16" w:rsidP="00314996">
            <w:pPr>
              <w:pStyle w:val="TOC2-2"/>
            </w:pPr>
            <w:bookmarkStart w:id="34" w:name="_Toc434304496"/>
            <w:bookmarkStart w:id="35" w:name="_Toc454907770"/>
            <w:bookmarkStart w:id="36" w:name="_Toc476308202"/>
            <w:bookmarkStart w:id="37" w:name="_Toc476308770"/>
            <w:bookmarkStart w:id="38" w:name="_Toc479333320"/>
            <w:bookmarkStart w:id="39" w:name="_Toc25486579"/>
            <w:r w:rsidRPr="00576AF8">
              <w:lastRenderedPageBreak/>
              <w:t>5.</w:t>
            </w:r>
            <w:r w:rsidRPr="00576AF8">
              <w:tab/>
              <w:t xml:space="preserve">Bienes y </w:t>
            </w:r>
            <w:r w:rsidR="00E00F60" w:rsidRPr="00576AF8">
              <w:t xml:space="preserve">Servicios </w:t>
            </w:r>
            <w:bookmarkEnd w:id="34"/>
            <w:bookmarkEnd w:id="35"/>
            <w:bookmarkEnd w:id="36"/>
            <w:bookmarkEnd w:id="37"/>
            <w:bookmarkEnd w:id="38"/>
            <w:r w:rsidR="00E00F60" w:rsidRPr="00576AF8">
              <w:t>Elegibles</w:t>
            </w:r>
            <w:bookmarkEnd w:id="39"/>
          </w:p>
        </w:tc>
        <w:tc>
          <w:tcPr>
            <w:tcW w:w="6836" w:type="dxa"/>
          </w:tcPr>
          <w:p w14:paraId="39F78A18" w14:textId="77777777" w:rsidR="005D3A16" w:rsidRPr="00576AF8" w:rsidRDefault="005D3A16" w:rsidP="00307C9E">
            <w:pPr>
              <w:numPr>
                <w:ilvl w:val="12"/>
                <w:numId w:val="0"/>
              </w:numPr>
              <w:tabs>
                <w:tab w:val="left" w:pos="540"/>
              </w:tabs>
              <w:spacing w:after="200"/>
              <w:ind w:left="547" w:right="-72" w:hanging="547"/>
              <w:rPr>
                <w:szCs w:val="24"/>
              </w:rPr>
            </w:pPr>
            <w:r w:rsidRPr="00576AF8">
              <w:t>5.1</w:t>
            </w:r>
            <w:r w:rsidRPr="00576AF8">
              <w:tab/>
              <w:t xml:space="preserve">Los Sistemas Informáticos que hayan de suministrarse de conformidad con el Contrato y que sean financiados por el Banco podrán tener su origen en cualquier país, según la </w:t>
            </w:r>
            <w:r w:rsidR="00A83F3E" w:rsidRPr="00576AF8">
              <w:t xml:space="preserve">Sección </w:t>
            </w:r>
            <w:r w:rsidRPr="00576AF8">
              <w:t xml:space="preserve">V, </w:t>
            </w:r>
            <w:r w:rsidR="000D2934" w:rsidRPr="00576AF8">
              <w:t>“</w:t>
            </w:r>
            <w:r w:rsidRPr="00576AF8">
              <w:t xml:space="preserve">Países </w:t>
            </w:r>
            <w:r w:rsidR="00A83F3E" w:rsidRPr="00576AF8">
              <w:t>Elegibles</w:t>
            </w:r>
            <w:r w:rsidR="000D2934" w:rsidRPr="00576AF8">
              <w:t>”</w:t>
            </w:r>
            <w:r w:rsidRPr="00576AF8">
              <w:t>.</w:t>
            </w:r>
          </w:p>
        </w:tc>
      </w:tr>
      <w:tr w:rsidR="009E3077" w:rsidRPr="00576AF8" w14:paraId="36D2045B" w14:textId="77777777" w:rsidTr="001411F4">
        <w:tc>
          <w:tcPr>
            <w:tcW w:w="2520" w:type="dxa"/>
          </w:tcPr>
          <w:p w14:paraId="1B08A657" w14:textId="77777777" w:rsidR="009E3077" w:rsidRPr="00576AF8" w:rsidRDefault="009E3077" w:rsidP="00CC7032">
            <w:pPr>
              <w:pStyle w:val="Head12a"/>
              <w:suppressAutoHyphens/>
              <w:spacing w:after="200"/>
              <w:jc w:val="both"/>
              <w:rPr>
                <w:szCs w:val="24"/>
              </w:rPr>
            </w:pPr>
          </w:p>
        </w:tc>
        <w:tc>
          <w:tcPr>
            <w:tcW w:w="6836" w:type="dxa"/>
          </w:tcPr>
          <w:p w14:paraId="35E21473" w14:textId="77777777" w:rsidR="009E3077" w:rsidRPr="00576AF8" w:rsidRDefault="00CC7032" w:rsidP="00CC7032">
            <w:pPr>
              <w:numPr>
                <w:ilvl w:val="12"/>
                <w:numId w:val="0"/>
              </w:numPr>
              <w:tabs>
                <w:tab w:val="left" w:pos="540"/>
              </w:tabs>
              <w:spacing w:after="200"/>
              <w:ind w:left="547" w:right="-72" w:hanging="547"/>
              <w:rPr>
                <w:szCs w:val="24"/>
              </w:rPr>
            </w:pPr>
            <w:r w:rsidRPr="00576AF8">
              <w:t>5.2</w:t>
            </w:r>
            <w:r w:rsidRPr="00576AF8">
              <w:tab/>
              <w:t xml:space="preserve">A efectos de este </w:t>
            </w:r>
            <w:r w:rsidR="00807C34" w:rsidRPr="00576AF8">
              <w:t>documento de licitación</w:t>
            </w:r>
            <w:r w:rsidRPr="00576AF8">
              <w:t>, por “Sistema Informático” se entiende:</w:t>
            </w:r>
          </w:p>
          <w:p w14:paraId="3D374623" w14:textId="77777777" w:rsidR="009E3077" w:rsidRPr="00576AF8" w:rsidRDefault="009E3077">
            <w:pPr>
              <w:pStyle w:val="Ttulo3"/>
              <w:numPr>
                <w:ilvl w:val="0"/>
                <w:numId w:val="31"/>
              </w:numPr>
              <w:suppressAutoHyphens w:val="0"/>
              <w:spacing w:after="200"/>
              <w:ind w:left="1062" w:hanging="540"/>
              <w:jc w:val="both"/>
              <w:rPr>
                <w:rFonts w:ascii="Times New Roman" w:hAnsi="Times New Roman"/>
                <w:b w:val="0"/>
                <w:sz w:val="24"/>
                <w:szCs w:val="24"/>
              </w:rPr>
            </w:pPr>
            <w:r w:rsidRPr="00576AF8">
              <w:rPr>
                <w:rFonts w:ascii="Times New Roman" w:hAnsi="Times New Roman"/>
                <w:b w:val="0"/>
                <w:sz w:val="24"/>
              </w:rPr>
              <w:t xml:space="preserve">todas las tecnologías </w:t>
            </w:r>
            <w:r w:rsidR="0025326B" w:rsidRPr="00576AF8">
              <w:rPr>
                <w:rFonts w:ascii="Times New Roman" w:hAnsi="Times New Roman"/>
                <w:b w:val="0"/>
                <w:sz w:val="24"/>
              </w:rPr>
              <w:t xml:space="preserve">de la información </w:t>
            </w:r>
            <w:r w:rsidRPr="00576AF8">
              <w:rPr>
                <w:rFonts w:ascii="Times New Roman" w:hAnsi="Times New Roman"/>
                <w:b w:val="0"/>
                <w:sz w:val="24"/>
              </w:rPr>
              <w:t xml:space="preserve">requeridas, con inclusión de todos los equipos, </w:t>
            </w:r>
            <w:r w:rsidR="001C1A03" w:rsidRPr="00576AF8">
              <w:rPr>
                <w:rFonts w:ascii="Times New Roman" w:hAnsi="Times New Roman"/>
                <w:b w:val="0"/>
                <w:sz w:val="24"/>
              </w:rPr>
              <w:t>software</w:t>
            </w:r>
            <w:r w:rsidRPr="00576AF8">
              <w:rPr>
                <w:rFonts w:ascii="Times New Roman" w:hAnsi="Times New Roman"/>
                <w:b w:val="0"/>
                <w:sz w:val="24"/>
              </w:rPr>
              <w:t xml:space="preserve">, suministros y bienes </w:t>
            </w:r>
            <w:r w:rsidR="00634D0C" w:rsidRPr="00576AF8">
              <w:rPr>
                <w:rFonts w:ascii="Times New Roman" w:hAnsi="Times New Roman"/>
                <w:b w:val="0"/>
                <w:sz w:val="24"/>
              </w:rPr>
              <w:t>fungibles</w:t>
            </w:r>
            <w:r w:rsidRPr="00576AF8">
              <w:rPr>
                <w:rFonts w:ascii="Times New Roman" w:hAnsi="Times New Roman"/>
                <w:b w:val="0"/>
                <w:sz w:val="24"/>
              </w:rPr>
              <w:t xml:space="preserve"> relativos al tratamiento de la información y a las comunicaciones, que el Proveedor deba suministrar e instalar en virtud del Contrato, además de toda la documentación correspondiente y todos los demás materiales y bienes que se han de suministrar, instalar, integrar y </w:t>
            </w:r>
            <w:r w:rsidR="000D2934" w:rsidRPr="00576AF8">
              <w:rPr>
                <w:rFonts w:ascii="Times New Roman" w:hAnsi="Times New Roman"/>
                <w:b w:val="0"/>
                <w:sz w:val="24"/>
              </w:rPr>
              <w:t xml:space="preserve">poner en </w:t>
            </w:r>
            <w:r w:rsidRPr="00576AF8">
              <w:rPr>
                <w:rFonts w:ascii="Times New Roman" w:hAnsi="Times New Roman"/>
                <w:b w:val="0"/>
                <w:sz w:val="24"/>
              </w:rPr>
              <w:t>funciona</w:t>
            </w:r>
            <w:r w:rsidR="000D2934" w:rsidRPr="00576AF8">
              <w:rPr>
                <w:rFonts w:ascii="Times New Roman" w:hAnsi="Times New Roman"/>
                <w:b w:val="0"/>
                <w:sz w:val="24"/>
              </w:rPr>
              <w:t>miento</w:t>
            </w:r>
            <w:r w:rsidRPr="00576AF8">
              <w:rPr>
                <w:rFonts w:ascii="Times New Roman" w:hAnsi="Times New Roman"/>
                <w:b w:val="0"/>
                <w:sz w:val="24"/>
              </w:rPr>
              <w:t xml:space="preserve">; </w:t>
            </w:r>
          </w:p>
          <w:p w14:paraId="0C8A75B3" w14:textId="77777777" w:rsidR="009E3077" w:rsidRPr="00576AF8" w:rsidRDefault="009E3077">
            <w:pPr>
              <w:pStyle w:val="Ttulo3"/>
              <w:numPr>
                <w:ilvl w:val="0"/>
                <w:numId w:val="31"/>
              </w:numPr>
              <w:suppressAutoHyphens w:val="0"/>
              <w:spacing w:after="200"/>
              <w:ind w:left="1062" w:hanging="540"/>
              <w:jc w:val="both"/>
              <w:rPr>
                <w:rFonts w:ascii="Times New Roman" w:hAnsi="Times New Roman"/>
                <w:sz w:val="24"/>
                <w:szCs w:val="24"/>
              </w:rPr>
            </w:pPr>
            <w:r w:rsidRPr="00576AF8">
              <w:rPr>
                <w:rFonts w:ascii="Times New Roman" w:hAnsi="Times New Roman"/>
                <w:b w:val="0"/>
                <w:sz w:val="24"/>
              </w:rPr>
              <w:t xml:space="preserve">todos los servicios conexos de desarrollo de </w:t>
            </w:r>
            <w:r w:rsidR="001C1A03" w:rsidRPr="00576AF8">
              <w:rPr>
                <w:rFonts w:ascii="Times New Roman" w:hAnsi="Times New Roman"/>
                <w:b w:val="0"/>
                <w:sz w:val="24"/>
              </w:rPr>
              <w:t>software</w:t>
            </w:r>
            <w:r w:rsidRPr="00576AF8">
              <w:rPr>
                <w:rFonts w:ascii="Times New Roman" w:hAnsi="Times New Roman"/>
                <w:b w:val="0"/>
                <w:sz w:val="24"/>
              </w:rPr>
              <w:t xml:space="preserve">, transporte, seguro, instalación, personalización, integración, puesta en servicio, capacitación, apoyo técnico, mantenimiento, reparación y de otro tipo necesarios para el buen funcionamiento del Sistema Informático que ha de suministrar el Licitante seleccionado en la forma que se especifica en el Contrato. </w:t>
            </w:r>
          </w:p>
        </w:tc>
      </w:tr>
      <w:tr w:rsidR="005D3A16" w:rsidRPr="00576AF8" w14:paraId="2EF2009B" w14:textId="77777777" w:rsidTr="00C7748B">
        <w:trPr>
          <w:trHeight w:val="2096"/>
        </w:trPr>
        <w:tc>
          <w:tcPr>
            <w:tcW w:w="2520" w:type="dxa"/>
          </w:tcPr>
          <w:p w14:paraId="31FDF6F8" w14:textId="77777777" w:rsidR="005D3A16" w:rsidRPr="00576AF8" w:rsidRDefault="005D3A16" w:rsidP="00CC7032">
            <w:pPr>
              <w:numPr>
                <w:ilvl w:val="12"/>
                <w:numId w:val="0"/>
              </w:numPr>
              <w:spacing w:after="200"/>
              <w:ind w:left="360" w:hanging="360"/>
              <w:jc w:val="left"/>
              <w:rPr>
                <w:szCs w:val="24"/>
              </w:rPr>
            </w:pPr>
          </w:p>
        </w:tc>
        <w:tc>
          <w:tcPr>
            <w:tcW w:w="6836" w:type="dxa"/>
          </w:tcPr>
          <w:p w14:paraId="76F84EC0" w14:textId="77777777" w:rsidR="005D3A16" w:rsidRPr="00576AF8" w:rsidRDefault="00155B76" w:rsidP="00031191">
            <w:pPr>
              <w:numPr>
                <w:ilvl w:val="12"/>
                <w:numId w:val="0"/>
              </w:numPr>
              <w:tabs>
                <w:tab w:val="left" w:pos="540"/>
              </w:tabs>
              <w:spacing w:after="200"/>
              <w:ind w:left="547" w:right="-72" w:hanging="547"/>
              <w:rPr>
                <w:szCs w:val="24"/>
              </w:rPr>
            </w:pPr>
            <w:r w:rsidRPr="00576AF8">
              <w:t>5.3</w:t>
            </w:r>
            <w:r w:rsidRPr="00576AF8">
              <w:tab/>
              <w:t xml:space="preserve">Para los fines de la </w:t>
            </w:r>
            <w:r w:rsidR="00031191" w:rsidRPr="00576AF8">
              <w:t>IAL</w:t>
            </w:r>
            <w:r w:rsidRPr="00576AF8">
              <w:t xml:space="preserve"> 5.1, por “origen” se entiende el lugar en el que los bienes y servicios que componen el Sistema Informático se producen o desde el cual se suministran. Se considera que un Sistema Informático se produce en un país determinado cuando, en el territorio de ese país, mediante el desarrollo, la fabricación o el ensamblado sustancial y significativo de </w:t>
            </w:r>
            <w:r w:rsidR="001C1A03" w:rsidRPr="00576AF8">
              <w:t>software</w:t>
            </w:r>
            <w:r w:rsidRPr="00576AF8">
              <w:t xml:space="preserve"> o la integración de componentes, se obtiene un producto que difiere </w:t>
            </w:r>
            <w:r w:rsidR="00CF7F09" w:rsidRPr="00576AF8">
              <w:t xml:space="preserve">de manera </w:t>
            </w:r>
            <w:r w:rsidRPr="00576AF8">
              <w:t>sustancial de sus componentes en lo que respecta a sus características básicas o a sus fines o usos.</w:t>
            </w:r>
          </w:p>
        </w:tc>
      </w:tr>
    </w:tbl>
    <w:p w14:paraId="150E00AB" w14:textId="77777777" w:rsidR="005D3A16" w:rsidRPr="00576AF8" w:rsidRDefault="00823764" w:rsidP="00314996">
      <w:pPr>
        <w:pStyle w:val="Toc2-1"/>
      </w:pPr>
      <w:bookmarkStart w:id="40" w:name="_Toc505659524"/>
      <w:bookmarkStart w:id="41" w:name="_Toc431826606"/>
      <w:bookmarkStart w:id="42" w:name="_Toc348000787"/>
      <w:bookmarkStart w:id="43" w:name="_Toc434304497"/>
      <w:bookmarkStart w:id="44" w:name="_Toc454907771"/>
      <w:bookmarkStart w:id="45" w:name="_Toc476308771"/>
      <w:bookmarkStart w:id="46" w:name="_Toc479333321"/>
      <w:bookmarkStart w:id="47" w:name="_Toc25486580"/>
      <w:r w:rsidRPr="00576AF8">
        <w:t>B.</w:t>
      </w:r>
      <w:bookmarkEnd w:id="40"/>
      <w:bookmarkEnd w:id="41"/>
      <w:bookmarkEnd w:id="42"/>
      <w:r w:rsidR="004724AE" w:rsidRPr="00576AF8">
        <w:t xml:space="preserve"> </w:t>
      </w:r>
      <w:r w:rsidRPr="00576AF8">
        <w:t xml:space="preserve">Contenido del </w:t>
      </w:r>
      <w:bookmarkEnd w:id="43"/>
      <w:bookmarkEnd w:id="44"/>
      <w:bookmarkEnd w:id="45"/>
      <w:bookmarkEnd w:id="46"/>
      <w:r w:rsidR="00E00F60" w:rsidRPr="00576AF8">
        <w:t>Documento de Licitación</w:t>
      </w:r>
      <w:bookmarkEnd w:id="47"/>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6845"/>
      </w:tblGrid>
      <w:tr w:rsidR="005D3A16" w:rsidRPr="00576AF8" w14:paraId="4901DB9F" w14:textId="77777777" w:rsidTr="001411F4">
        <w:trPr>
          <w:cantSplit/>
        </w:trPr>
        <w:tc>
          <w:tcPr>
            <w:tcW w:w="2520" w:type="dxa"/>
            <w:tcBorders>
              <w:top w:val="nil"/>
              <w:left w:val="nil"/>
              <w:bottom w:val="nil"/>
              <w:right w:val="nil"/>
            </w:tcBorders>
          </w:tcPr>
          <w:p w14:paraId="553C691A" w14:textId="77777777" w:rsidR="005D3A16" w:rsidRPr="00576AF8" w:rsidRDefault="006E6D05" w:rsidP="00314996">
            <w:pPr>
              <w:pStyle w:val="TOC2-2"/>
            </w:pPr>
            <w:bookmarkStart w:id="48" w:name="_Toc434304498"/>
            <w:bookmarkStart w:id="49" w:name="_Toc454907772"/>
            <w:bookmarkStart w:id="50" w:name="_Toc476308772"/>
            <w:bookmarkStart w:id="51" w:name="_Toc479333322"/>
            <w:bookmarkStart w:id="52" w:name="_Toc25486581"/>
            <w:r w:rsidRPr="00576AF8">
              <w:t xml:space="preserve">6. </w:t>
            </w:r>
            <w:r w:rsidR="00EE24FD" w:rsidRPr="00576AF8">
              <w:tab/>
            </w:r>
            <w:r w:rsidRPr="00576AF8">
              <w:t xml:space="preserve">Secciones del </w:t>
            </w:r>
            <w:r w:rsidR="00E00F60" w:rsidRPr="00576AF8">
              <w:t xml:space="preserve">Documento </w:t>
            </w:r>
            <w:r w:rsidRPr="00576AF8">
              <w:t xml:space="preserve">de </w:t>
            </w:r>
            <w:bookmarkEnd w:id="48"/>
            <w:bookmarkEnd w:id="49"/>
            <w:bookmarkEnd w:id="50"/>
            <w:bookmarkEnd w:id="51"/>
            <w:r w:rsidR="00E00F60" w:rsidRPr="00576AF8">
              <w:t>Licitación</w:t>
            </w:r>
            <w:bookmarkEnd w:id="52"/>
          </w:p>
        </w:tc>
        <w:tc>
          <w:tcPr>
            <w:tcW w:w="6845" w:type="dxa"/>
            <w:tcBorders>
              <w:top w:val="nil"/>
              <w:left w:val="nil"/>
              <w:bottom w:val="nil"/>
              <w:right w:val="nil"/>
            </w:tcBorders>
          </w:tcPr>
          <w:p w14:paraId="0998E124" w14:textId="77777777" w:rsidR="00A44EB2" w:rsidRPr="00576AF8" w:rsidRDefault="006E6D05" w:rsidP="00AD196A">
            <w:pPr>
              <w:numPr>
                <w:ilvl w:val="12"/>
                <w:numId w:val="0"/>
              </w:numPr>
              <w:tabs>
                <w:tab w:val="left" w:pos="540"/>
              </w:tabs>
              <w:spacing w:after="200"/>
              <w:ind w:left="547" w:right="-72" w:hanging="547"/>
              <w:rPr>
                <w:szCs w:val="24"/>
              </w:rPr>
            </w:pPr>
            <w:r w:rsidRPr="00576AF8">
              <w:t>6.1</w:t>
            </w:r>
            <w:r w:rsidRPr="00576AF8">
              <w:tab/>
            </w:r>
            <w:r w:rsidRPr="00576AF8">
              <w:tab/>
              <w:t xml:space="preserve">El </w:t>
            </w:r>
            <w:r w:rsidR="00807C34" w:rsidRPr="00576AF8">
              <w:t>documento de licitación</w:t>
            </w:r>
            <w:r w:rsidRPr="00576AF8">
              <w:t xml:space="preserve"> está compuesto por las </w:t>
            </w:r>
            <w:r w:rsidR="00AD196A" w:rsidRPr="00576AF8">
              <w:t xml:space="preserve">Partes </w:t>
            </w:r>
            <w:r w:rsidRPr="00576AF8">
              <w:t xml:space="preserve">1, 2 y 3, que incluyen todas las secciones indicadas a continuación, y debe leerse en conjunto con cualquier enmienda publicada en virtud de la </w:t>
            </w:r>
            <w:r w:rsidR="00031191" w:rsidRPr="00576AF8">
              <w:t>IAL</w:t>
            </w:r>
            <w:r w:rsidRPr="00576AF8">
              <w:t> 8:</w:t>
            </w:r>
          </w:p>
        </w:tc>
      </w:tr>
      <w:tr w:rsidR="005D3A16" w:rsidRPr="00576AF8" w14:paraId="2436A750" w14:textId="77777777" w:rsidTr="001411F4">
        <w:tc>
          <w:tcPr>
            <w:tcW w:w="2520" w:type="dxa"/>
            <w:tcBorders>
              <w:top w:val="nil"/>
              <w:left w:val="nil"/>
              <w:bottom w:val="nil"/>
              <w:right w:val="nil"/>
            </w:tcBorders>
          </w:tcPr>
          <w:p w14:paraId="67534FC8" w14:textId="77777777" w:rsidR="005D3A16" w:rsidRPr="00576AF8" w:rsidRDefault="005D3A16" w:rsidP="00CC7032">
            <w:pPr>
              <w:numPr>
                <w:ilvl w:val="12"/>
                <w:numId w:val="0"/>
              </w:numPr>
              <w:spacing w:after="200"/>
              <w:ind w:left="360" w:hanging="360"/>
              <w:jc w:val="left"/>
              <w:rPr>
                <w:szCs w:val="24"/>
              </w:rPr>
            </w:pPr>
          </w:p>
        </w:tc>
        <w:tc>
          <w:tcPr>
            <w:tcW w:w="6845" w:type="dxa"/>
            <w:tcBorders>
              <w:top w:val="nil"/>
              <w:left w:val="nil"/>
              <w:bottom w:val="nil"/>
              <w:right w:val="nil"/>
            </w:tcBorders>
          </w:tcPr>
          <w:p w14:paraId="02289084" w14:textId="77777777" w:rsidR="008B73AC" w:rsidRPr="00576AF8" w:rsidRDefault="008B73AC" w:rsidP="00CC7032">
            <w:pPr>
              <w:tabs>
                <w:tab w:val="left" w:pos="1152"/>
                <w:tab w:val="left" w:pos="2502"/>
              </w:tabs>
              <w:suppressAutoHyphens w:val="0"/>
              <w:spacing w:after="200"/>
              <w:ind w:left="612"/>
              <w:jc w:val="left"/>
              <w:rPr>
                <w:b/>
                <w:szCs w:val="24"/>
              </w:rPr>
            </w:pPr>
            <w:r w:rsidRPr="00576AF8">
              <w:rPr>
                <w:b/>
              </w:rPr>
              <w:t>PARTE 1: Procedimientos de Licitación</w:t>
            </w:r>
          </w:p>
          <w:p w14:paraId="693CB7CC" w14:textId="77777777" w:rsidR="005D3A16" w:rsidRPr="00576AF8" w:rsidRDefault="005D3A16" w:rsidP="00CC7032">
            <w:pPr>
              <w:numPr>
                <w:ilvl w:val="12"/>
                <w:numId w:val="0"/>
              </w:numPr>
              <w:spacing w:after="200"/>
              <w:ind w:left="2142" w:right="-72" w:hanging="1260"/>
              <w:jc w:val="left"/>
              <w:rPr>
                <w:szCs w:val="24"/>
              </w:rPr>
            </w:pPr>
            <w:r w:rsidRPr="00576AF8">
              <w:t>Sección I</w:t>
            </w:r>
            <w:r w:rsidR="00E00F60" w:rsidRPr="00576AF8">
              <w:t xml:space="preserve">. </w:t>
            </w:r>
            <w:r w:rsidRPr="00576AF8">
              <w:t>Instrucciones a los Licitantes</w:t>
            </w:r>
          </w:p>
          <w:p w14:paraId="5963EE84" w14:textId="77777777" w:rsidR="005D3A16" w:rsidRPr="00576AF8" w:rsidRDefault="005D3A16" w:rsidP="00CC7032">
            <w:pPr>
              <w:numPr>
                <w:ilvl w:val="12"/>
                <w:numId w:val="0"/>
              </w:numPr>
              <w:spacing w:after="200"/>
              <w:ind w:left="2142" w:right="-72" w:hanging="1260"/>
              <w:jc w:val="left"/>
              <w:rPr>
                <w:szCs w:val="24"/>
              </w:rPr>
            </w:pPr>
            <w:r w:rsidRPr="00576AF8">
              <w:lastRenderedPageBreak/>
              <w:t>Sección II</w:t>
            </w:r>
            <w:r w:rsidR="00E00F60" w:rsidRPr="00576AF8">
              <w:t xml:space="preserve">. </w:t>
            </w:r>
            <w:r w:rsidRPr="00576AF8">
              <w:t>Datos de la Licitación</w:t>
            </w:r>
          </w:p>
          <w:p w14:paraId="69C233E3" w14:textId="77777777" w:rsidR="00A07F82" w:rsidRPr="00576AF8" w:rsidRDefault="00A07F82" w:rsidP="00CC7032">
            <w:pPr>
              <w:numPr>
                <w:ilvl w:val="12"/>
                <w:numId w:val="0"/>
              </w:numPr>
              <w:spacing w:after="200"/>
              <w:ind w:left="2142" w:right="-72" w:hanging="1260"/>
              <w:jc w:val="left"/>
            </w:pPr>
          </w:p>
          <w:p w14:paraId="5A4D87EB" w14:textId="77777777" w:rsidR="006E6D05" w:rsidRPr="00576AF8" w:rsidRDefault="00A07F82" w:rsidP="00CC7032">
            <w:pPr>
              <w:numPr>
                <w:ilvl w:val="12"/>
                <w:numId w:val="0"/>
              </w:numPr>
              <w:spacing w:after="200"/>
              <w:ind w:left="2142" w:right="-72" w:hanging="1260"/>
              <w:jc w:val="left"/>
            </w:pPr>
            <w:r w:rsidRPr="00576AF8">
              <w:t xml:space="preserve"> Sección III. Criterios de Evaluación y Calificación</w:t>
            </w:r>
            <w:r w:rsidRPr="00576AF8">
              <w:tab/>
              <w:t xml:space="preserve"> (sin precalificación)</w:t>
            </w:r>
          </w:p>
          <w:p w14:paraId="6B643742" w14:textId="77777777" w:rsidR="005D3A16" w:rsidRPr="00576AF8" w:rsidRDefault="006E6D05" w:rsidP="00CC7032">
            <w:pPr>
              <w:numPr>
                <w:ilvl w:val="12"/>
                <w:numId w:val="0"/>
              </w:numPr>
              <w:spacing w:after="200"/>
              <w:ind w:left="2142" w:right="-72" w:hanging="1260"/>
              <w:jc w:val="left"/>
              <w:rPr>
                <w:szCs w:val="24"/>
              </w:rPr>
            </w:pPr>
            <w:r w:rsidRPr="00576AF8">
              <w:t>Sección IV</w:t>
            </w:r>
            <w:r w:rsidR="00E00F60" w:rsidRPr="00576AF8">
              <w:t xml:space="preserve">. </w:t>
            </w:r>
            <w:r w:rsidR="002918CE" w:rsidRPr="00576AF8">
              <w:t xml:space="preserve">Formularios de </w:t>
            </w:r>
            <w:r w:rsidR="007B045D" w:rsidRPr="00576AF8">
              <w:t xml:space="preserve">la </w:t>
            </w:r>
            <w:r w:rsidR="002918CE" w:rsidRPr="00576AF8">
              <w:t>Oferta</w:t>
            </w:r>
          </w:p>
          <w:p w14:paraId="7EA8C699" w14:textId="77777777" w:rsidR="005D3A16" w:rsidRPr="00576AF8" w:rsidRDefault="005D3A16" w:rsidP="00CC7032">
            <w:pPr>
              <w:numPr>
                <w:ilvl w:val="12"/>
                <w:numId w:val="0"/>
              </w:numPr>
              <w:spacing w:after="200"/>
              <w:ind w:left="2142" w:right="-72" w:hanging="1260"/>
              <w:jc w:val="left"/>
              <w:rPr>
                <w:szCs w:val="24"/>
              </w:rPr>
            </w:pPr>
            <w:r w:rsidRPr="00576AF8">
              <w:t>Sección V</w:t>
            </w:r>
            <w:r w:rsidR="00E00F60" w:rsidRPr="00576AF8">
              <w:t xml:space="preserve">. </w:t>
            </w:r>
            <w:r w:rsidRPr="00576AF8">
              <w:t xml:space="preserve">Países </w:t>
            </w:r>
            <w:r w:rsidR="00E00F60" w:rsidRPr="00576AF8">
              <w:t>Elegibles</w:t>
            </w:r>
          </w:p>
          <w:p w14:paraId="2BD7E3E1" w14:textId="77777777" w:rsidR="008B73AC" w:rsidRPr="00576AF8" w:rsidRDefault="008B73AC" w:rsidP="00CC7032">
            <w:pPr>
              <w:tabs>
                <w:tab w:val="left" w:pos="1152"/>
                <w:tab w:val="left" w:pos="1692"/>
                <w:tab w:val="left" w:pos="2502"/>
              </w:tabs>
              <w:suppressAutoHyphens w:val="0"/>
              <w:spacing w:after="200"/>
              <w:ind w:left="612"/>
              <w:jc w:val="left"/>
              <w:rPr>
                <w:b/>
                <w:szCs w:val="24"/>
              </w:rPr>
            </w:pPr>
            <w:r w:rsidRPr="00576AF8">
              <w:rPr>
                <w:b/>
              </w:rPr>
              <w:t>PARTE 2: Requisitos del Comprador</w:t>
            </w:r>
          </w:p>
          <w:p w14:paraId="144DF1CD" w14:textId="77777777" w:rsidR="0097104C" w:rsidRPr="00576AF8" w:rsidRDefault="005D3A16" w:rsidP="00005D3D">
            <w:pPr>
              <w:numPr>
                <w:ilvl w:val="12"/>
                <w:numId w:val="0"/>
              </w:numPr>
              <w:spacing w:after="200"/>
              <w:ind w:left="875" w:right="-72" w:hanging="11"/>
              <w:jc w:val="left"/>
              <w:rPr>
                <w:szCs w:val="24"/>
              </w:rPr>
            </w:pPr>
            <w:r w:rsidRPr="00576AF8">
              <w:t>Sección VI</w:t>
            </w:r>
            <w:r w:rsidR="00E00F60" w:rsidRPr="00576AF8">
              <w:t xml:space="preserve">. </w:t>
            </w:r>
            <w:r w:rsidRPr="00576AF8">
              <w:t>Requisitos del Sistema Informático, incluidos los siguientes:</w:t>
            </w:r>
          </w:p>
          <w:p w14:paraId="0D420EC2" w14:textId="77777777" w:rsidR="0097104C" w:rsidRPr="00576AF8" w:rsidRDefault="00984DF4">
            <w:pPr>
              <w:numPr>
                <w:ilvl w:val="0"/>
                <w:numId w:val="32"/>
              </w:numPr>
              <w:spacing w:after="200"/>
              <w:ind w:left="2233" w:right="-72" w:hanging="270"/>
              <w:jc w:val="left"/>
              <w:rPr>
                <w:szCs w:val="24"/>
              </w:rPr>
            </w:pPr>
            <w:r w:rsidRPr="00576AF8">
              <w:t>Requisitos técnicos</w:t>
            </w:r>
          </w:p>
          <w:p w14:paraId="3A3CCE51" w14:textId="77777777" w:rsidR="0097104C" w:rsidRPr="00576AF8" w:rsidRDefault="0097104C">
            <w:pPr>
              <w:numPr>
                <w:ilvl w:val="0"/>
                <w:numId w:val="32"/>
              </w:numPr>
              <w:spacing w:after="200"/>
              <w:ind w:left="2233" w:right="-72" w:hanging="270"/>
              <w:jc w:val="left"/>
              <w:rPr>
                <w:szCs w:val="24"/>
              </w:rPr>
            </w:pPr>
            <w:r w:rsidRPr="00576AF8">
              <w:t xml:space="preserve">Programa de </w:t>
            </w:r>
            <w:r w:rsidR="00CF7F09" w:rsidRPr="00576AF8">
              <w:t>e</w:t>
            </w:r>
            <w:r w:rsidRPr="00576AF8">
              <w:t>jecución</w:t>
            </w:r>
          </w:p>
          <w:p w14:paraId="49C3C8D9" w14:textId="77777777" w:rsidR="0097104C" w:rsidRPr="00576AF8" w:rsidRDefault="0097104C">
            <w:pPr>
              <w:numPr>
                <w:ilvl w:val="0"/>
                <w:numId w:val="32"/>
              </w:numPr>
              <w:spacing w:after="200"/>
              <w:ind w:left="2233" w:right="-72" w:hanging="270"/>
              <w:jc w:val="left"/>
              <w:rPr>
                <w:szCs w:val="24"/>
              </w:rPr>
            </w:pPr>
            <w:r w:rsidRPr="00576AF8">
              <w:t xml:space="preserve">Cuadros del </w:t>
            </w:r>
            <w:r w:rsidR="00CF7F09" w:rsidRPr="00576AF8">
              <w:t>i</w:t>
            </w:r>
            <w:r w:rsidRPr="00576AF8">
              <w:t>nventario del Sistema</w:t>
            </w:r>
          </w:p>
          <w:p w14:paraId="76FD1B59" w14:textId="77777777" w:rsidR="001B74CA" w:rsidRPr="00576AF8" w:rsidRDefault="0008396C">
            <w:pPr>
              <w:numPr>
                <w:ilvl w:val="0"/>
                <w:numId w:val="32"/>
              </w:numPr>
              <w:spacing w:after="200"/>
              <w:ind w:left="2233" w:right="-72" w:hanging="270"/>
              <w:jc w:val="left"/>
              <w:rPr>
                <w:szCs w:val="24"/>
              </w:rPr>
            </w:pPr>
            <w:r w:rsidRPr="00576AF8">
              <w:t>Información de referencia y m</w:t>
            </w:r>
            <w:r w:rsidR="0097104C" w:rsidRPr="00576AF8">
              <w:t xml:space="preserve">aterial </w:t>
            </w:r>
            <w:r w:rsidR="00CF7F09" w:rsidRPr="00576AF8">
              <w:t>i</w:t>
            </w:r>
            <w:r w:rsidR="0097104C" w:rsidRPr="00576AF8">
              <w:t>nformativo</w:t>
            </w:r>
          </w:p>
          <w:p w14:paraId="670F2276" w14:textId="77777777" w:rsidR="008B73AC" w:rsidRPr="00576AF8" w:rsidRDefault="008B73AC" w:rsidP="00CC7032">
            <w:pPr>
              <w:tabs>
                <w:tab w:val="left" w:pos="1152"/>
                <w:tab w:val="left" w:pos="1692"/>
                <w:tab w:val="left" w:pos="2502"/>
              </w:tabs>
              <w:suppressAutoHyphens w:val="0"/>
              <w:spacing w:after="200"/>
              <w:ind w:left="612"/>
              <w:jc w:val="left"/>
              <w:rPr>
                <w:b/>
                <w:szCs w:val="24"/>
              </w:rPr>
            </w:pPr>
            <w:r w:rsidRPr="00576AF8">
              <w:rPr>
                <w:b/>
              </w:rPr>
              <w:t>PARTE 3: Contrato</w:t>
            </w:r>
          </w:p>
          <w:p w14:paraId="4AA9EFE5" w14:textId="77777777" w:rsidR="005D3A16" w:rsidRPr="00576AF8" w:rsidRDefault="005D3A16" w:rsidP="007B2267">
            <w:pPr>
              <w:numPr>
                <w:ilvl w:val="12"/>
                <w:numId w:val="0"/>
              </w:numPr>
              <w:spacing w:after="200"/>
              <w:ind w:left="882" w:right="-72"/>
              <w:jc w:val="left"/>
              <w:rPr>
                <w:szCs w:val="24"/>
              </w:rPr>
            </w:pPr>
            <w:r w:rsidRPr="00576AF8">
              <w:t>Sección VII</w:t>
            </w:r>
            <w:r w:rsidR="00E00F60" w:rsidRPr="00576AF8">
              <w:t xml:space="preserve">. </w:t>
            </w:r>
            <w:r w:rsidRPr="00576AF8">
              <w:t xml:space="preserve">Condiciones Generales del Contrato </w:t>
            </w:r>
          </w:p>
          <w:p w14:paraId="7464F4A9" w14:textId="77777777" w:rsidR="004C1558" w:rsidRPr="00576AF8" w:rsidRDefault="005D3A16" w:rsidP="007B2267">
            <w:pPr>
              <w:numPr>
                <w:ilvl w:val="12"/>
                <w:numId w:val="0"/>
              </w:numPr>
              <w:spacing w:after="200"/>
              <w:ind w:left="882" w:right="-72"/>
              <w:jc w:val="left"/>
              <w:rPr>
                <w:szCs w:val="24"/>
              </w:rPr>
            </w:pPr>
            <w:r w:rsidRPr="00576AF8">
              <w:t xml:space="preserve">Sección </w:t>
            </w:r>
            <w:r w:rsidR="0046742A" w:rsidRPr="00576AF8">
              <w:t>VIII</w:t>
            </w:r>
            <w:r w:rsidR="00E00F60" w:rsidRPr="00576AF8">
              <w:t xml:space="preserve">. </w:t>
            </w:r>
            <w:r w:rsidRPr="00576AF8">
              <w:t>Condiciones Especiales del Contrato</w:t>
            </w:r>
          </w:p>
          <w:p w14:paraId="600AFABE" w14:textId="77777777" w:rsidR="005D3A16" w:rsidRPr="00576AF8" w:rsidRDefault="005D3A16" w:rsidP="007B2267">
            <w:pPr>
              <w:numPr>
                <w:ilvl w:val="12"/>
                <w:numId w:val="0"/>
              </w:numPr>
              <w:spacing w:after="200"/>
              <w:ind w:left="882" w:right="-72"/>
              <w:jc w:val="left"/>
              <w:rPr>
                <w:szCs w:val="24"/>
              </w:rPr>
            </w:pPr>
            <w:r w:rsidRPr="00576AF8">
              <w:t xml:space="preserve">Sección </w:t>
            </w:r>
            <w:r w:rsidR="0046742A" w:rsidRPr="00576AF8">
              <w:t>I</w:t>
            </w:r>
            <w:r w:rsidRPr="00576AF8">
              <w:t>X</w:t>
            </w:r>
            <w:r w:rsidR="00E00F60" w:rsidRPr="00576AF8">
              <w:t xml:space="preserve">. </w:t>
            </w:r>
            <w:r w:rsidRPr="00576AF8">
              <w:t>Formularios del Contrato</w:t>
            </w:r>
          </w:p>
          <w:p w14:paraId="204234E6" w14:textId="77777777" w:rsidR="002310DE" w:rsidRPr="00576AF8" w:rsidRDefault="004C1558">
            <w:pPr>
              <w:pStyle w:val="Sub-ClauseText"/>
              <w:numPr>
                <w:ilvl w:val="1"/>
                <w:numId w:val="17"/>
              </w:numPr>
              <w:spacing w:before="0" w:after="200"/>
              <w:ind w:hanging="630"/>
              <w:rPr>
                <w:color w:val="000000" w:themeColor="text1"/>
                <w:spacing w:val="0"/>
                <w:szCs w:val="24"/>
              </w:rPr>
            </w:pPr>
            <w:r w:rsidRPr="00576AF8">
              <w:rPr>
                <w:color w:val="000000" w:themeColor="text1"/>
              </w:rPr>
              <w:t xml:space="preserve">El Anuncio </w:t>
            </w:r>
            <w:r w:rsidR="00AD196A" w:rsidRPr="00576AF8">
              <w:rPr>
                <w:color w:val="000000" w:themeColor="text1"/>
              </w:rPr>
              <w:t xml:space="preserve">Específico </w:t>
            </w:r>
            <w:r w:rsidRPr="00576AF8">
              <w:rPr>
                <w:color w:val="000000" w:themeColor="text1"/>
              </w:rPr>
              <w:t xml:space="preserve">de </w:t>
            </w:r>
            <w:r w:rsidR="00AD196A" w:rsidRPr="00576AF8">
              <w:rPr>
                <w:color w:val="000000" w:themeColor="text1"/>
              </w:rPr>
              <w:t xml:space="preserve">Adquisiciones </w:t>
            </w:r>
            <w:r w:rsidR="00FD4376" w:rsidRPr="00576AF8">
              <w:rPr>
                <w:color w:val="000000" w:themeColor="text1"/>
              </w:rPr>
              <w:t xml:space="preserve">para esta </w:t>
            </w:r>
            <w:r w:rsidR="00807C34" w:rsidRPr="00576AF8">
              <w:rPr>
                <w:color w:val="000000" w:themeColor="text1"/>
              </w:rPr>
              <w:t>Solicitud de Ofertas (</w:t>
            </w:r>
            <w:proofErr w:type="gramStart"/>
            <w:r w:rsidR="00807C34" w:rsidRPr="00576AF8">
              <w:rPr>
                <w:color w:val="000000" w:themeColor="text1"/>
              </w:rPr>
              <w:t xml:space="preserve">SDO)  </w:t>
            </w:r>
            <w:r w:rsidRPr="00576AF8">
              <w:rPr>
                <w:color w:val="000000" w:themeColor="text1"/>
              </w:rPr>
              <w:t>publicado</w:t>
            </w:r>
            <w:proofErr w:type="gramEnd"/>
            <w:r w:rsidRPr="00576AF8">
              <w:rPr>
                <w:color w:val="000000" w:themeColor="text1"/>
              </w:rPr>
              <w:t xml:space="preserve"> por el Comprador no forma parte de este </w:t>
            </w:r>
            <w:r w:rsidR="00807C34" w:rsidRPr="00576AF8">
              <w:rPr>
                <w:color w:val="000000" w:themeColor="text1"/>
              </w:rPr>
              <w:t>documento de licitación</w:t>
            </w:r>
            <w:r w:rsidRPr="00576AF8">
              <w:rPr>
                <w:color w:val="000000" w:themeColor="text1"/>
              </w:rPr>
              <w:t>.</w:t>
            </w:r>
          </w:p>
          <w:p w14:paraId="26F42848" w14:textId="77777777" w:rsidR="000A105C" w:rsidRPr="00576AF8" w:rsidRDefault="007B2267" w:rsidP="00CC7032">
            <w:pPr>
              <w:pStyle w:val="Sub-ClauseText"/>
              <w:spacing w:before="0" w:after="200"/>
              <w:ind w:left="612" w:hanging="630"/>
              <w:rPr>
                <w:spacing w:val="0"/>
                <w:szCs w:val="24"/>
              </w:rPr>
            </w:pPr>
            <w:r w:rsidRPr="00576AF8">
              <w:t>6.3</w:t>
            </w:r>
            <w:r w:rsidRPr="00576AF8">
              <w:tab/>
              <w:t>Salvo que se hubieran obtenido directamente del Comprador, el Comprador no se responsabiliza por la integridad del documento</w:t>
            </w:r>
            <w:r w:rsidR="00FD4376" w:rsidRPr="00576AF8">
              <w:t xml:space="preserve"> de licitación</w:t>
            </w:r>
            <w:r w:rsidRPr="00576AF8">
              <w:t xml:space="preserve">, las respuestas a las solicitudes de aclaración, las minutas de las reuniones previas a la presentación de Ofertas, si las hubiere, o las enmiendas al </w:t>
            </w:r>
            <w:r w:rsidR="00807C34" w:rsidRPr="00576AF8">
              <w:t>documento de licitación</w:t>
            </w:r>
            <w:r w:rsidRPr="00576AF8">
              <w:t xml:space="preserve"> de conformidad con la </w:t>
            </w:r>
            <w:r w:rsidR="00031191" w:rsidRPr="00576AF8">
              <w:t>IAL</w:t>
            </w:r>
            <w:r w:rsidR="00CF7F09" w:rsidRPr="00576AF8">
              <w:t> </w:t>
            </w:r>
            <w:r w:rsidRPr="00576AF8">
              <w:t>8. En caso de existir alguna contradicción, prevalecerán los documentos obtenidos directamente del Comprador.</w:t>
            </w:r>
          </w:p>
          <w:p w14:paraId="7FBA2BFE" w14:textId="77777777" w:rsidR="00A44EB2" w:rsidRPr="00576AF8" w:rsidRDefault="004C1558" w:rsidP="00506FFF">
            <w:pPr>
              <w:numPr>
                <w:ilvl w:val="12"/>
                <w:numId w:val="0"/>
              </w:numPr>
              <w:tabs>
                <w:tab w:val="left" w:pos="540"/>
              </w:tabs>
              <w:spacing w:after="200"/>
              <w:ind w:left="547" w:right="-72" w:hanging="547"/>
              <w:rPr>
                <w:szCs w:val="24"/>
              </w:rPr>
            </w:pPr>
            <w:r w:rsidRPr="00576AF8">
              <w:t>6.4</w:t>
            </w:r>
            <w:r w:rsidRPr="00576AF8">
              <w:tab/>
              <w:t xml:space="preserve">Es responsabilidad del Licitante examinar todas las instrucciones, formularios, términos y especificaciones del </w:t>
            </w:r>
            <w:r w:rsidR="00807C34" w:rsidRPr="00576AF8">
              <w:t>documento de licitación</w:t>
            </w:r>
            <w:r w:rsidRPr="00576AF8">
              <w:t xml:space="preserve"> y proporcionar, junto con su Oferta, toda </w:t>
            </w:r>
            <w:r w:rsidRPr="00576AF8">
              <w:lastRenderedPageBreak/>
              <w:t xml:space="preserve">la información o documentación que se requiera en el </w:t>
            </w:r>
            <w:r w:rsidR="00807C34" w:rsidRPr="00576AF8">
              <w:t>documento de licitación</w:t>
            </w:r>
            <w:r w:rsidRPr="00576AF8">
              <w:t>.</w:t>
            </w:r>
          </w:p>
        </w:tc>
      </w:tr>
      <w:tr w:rsidR="005D3A16" w:rsidRPr="00576AF8" w14:paraId="12F2A6AA" w14:textId="77777777" w:rsidTr="00005D3D">
        <w:tc>
          <w:tcPr>
            <w:tcW w:w="2520" w:type="dxa"/>
            <w:tcBorders>
              <w:top w:val="nil"/>
              <w:left w:val="nil"/>
              <w:bottom w:val="nil"/>
              <w:right w:val="nil"/>
            </w:tcBorders>
          </w:tcPr>
          <w:p w14:paraId="5FBD5B3D" w14:textId="77777777" w:rsidR="005D3A16" w:rsidRPr="00576AF8" w:rsidRDefault="004C1558" w:rsidP="00314996">
            <w:pPr>
              <w:pStyle w:val="TOC2-2"/>
            </w:pPr>
            <w:bookmarkStart w:id="53" w:name="_Toc25486582"/>
            <w:bookmarkStart w:id="54" w:name="_Toc434304499"/>
            <w:bookmarkStart w:id="55" w:name="_Toc454907773"/>
            <w:bookmarkStart w:id="56" w:name="_Toc476308773"/>
            <w:bookmarkStart w:id="57" w:name="_Toc479333323"/>
            <w:r w:rsidRPr="00576AF8">
              <w:lastRenderedPageBreak/>
              <w:t>7.</w:t>
            </w:r>
            <w:r w:rsidRPr="00576AF8">
              <w:tab/>
              <w:t xml:space="preserve">Aclaración </w:t>
            </w:r>
            <w:r w:rsidR="008D228A" w:rsidRPr="00576AF8">
              <w:t xml:space="preserve">Acerca </w:t>
            </w:r>
            <w:r w:rsidRPr="00576AF8">
              <w:t xml:space="preserve">del </w:t>
            </w:r>
            <w:r w:rsidR="00E00F60" w:rsidRPr="00576AF8">
              <w:t>Documento de</w:t>
            </w:r>
            <w:r w:rsidR="00005D3D" w:rsidRPr="00576AF8">
              <w:t> </w:t>
            </w:r>
            <w:r w:rsidR="00E00F60" w:rsidRPr="00576AF8">
              <w:t>Licitación</w:t>
            </w:r>
            <w:r w:rsidRPr="00576AF8">
              <w:t xml:space="preserve">, </w:t>
            </w:r>
            <w:r w:rsidR="00E00F60" w:rsidRPr="00576AF8">
              <w:t xml:space="preserve">Visita </w:t>
            </w:r>
            <w:r w:rsidRPr="00576AF8">
              <w:t xml:space="preserve">al </w:t>
            </w:r>
            <w:r w:rsidR="00E00F60" w:rsidRPr="00576AF8">
              <w:t xml:space="preserve">Sitio </w:t>
            </w:r>
            <w:r w:rsidRPr="00576AF8">
              <w:t xml:space="preserve">y </w:t>
            </w:r>
            <w:r w:rsidR="00E00F60" w:rsidRPr="00576AF8">
              <w:t>Reunión Previa</w:t>
            </w:r>
            <w:bookmarkEnd w:id="53"/>
            <w:r w:rsidR="00E00F60" w:rsidRPr="00576AF8">
              <w:t xml:space="preserve"> </w:t>
            </w:r>
            <w:bookmarkEnd w:id="54"/>
            <w:bookmarkEnd w:id="55"/>
            <w:bookmarkEnd w:id="56"/>
            <w:bookmarkEnd w:id="57"/>
          </w:p>
        </w:tc>
        <w:tc>
          <w:tcPr>
            <w:tcW w:w="6845" w:type="dxa"/>
            <w:tcBorders>
              <w:top w:val="nil"/>
              <w:left w:val="nil"/>
              <w:bottom w:val="nil"/>
              <w:right w:val="nil"/>
            </w:tcBorders>
          </w:tcPr>
          <w:p w14:paraId="7E620F52" w14:textId="77777777" w:rsidR="00A44EB2" w:rsidRPr="00576AF8" w:rsidRDefault="00E718D4" w:rsidP="00005D3D">
            <w:pPr>
              <w:numPr>
                <w:ilvl w:val="12"/>
                <w:numId w:val="0"/>
              </w:numPr>
              <w:tabs>
                <w:tab w:val="left" w:pos="540"/>
              </w:tabs>
              <w:spacing w:after="200"/>
              <w:ind w:left="547" w:right="-72" w:hanging="547"/>
              <w:rPr>
                <w:szCs w:val="24"/>
              </w:rPr>
            </w:pPr>
            <w:r w:rsidRPr="00576AF8">
              <w:t>7.1</w:t>
            </w:r>
            <w:r w:rsidRPr="00576AF8">
              <w:tab/>
            </w:r>
            <w:r w:rsidRPr="00576AF8">
              <w:tab/>
              <w:t xml:space="preserve">El Licitante que necesite alguna aclaración respecto del </w:t>
            </w:r>
            <w:r w:rsidR="00807C34" w:rsidRPr="00576AF8">
              <w:t>documento de licitación</w:t>
            </w:r>
            <w:r w:rsidRPr="00576AF8">
              <w:t xml:space="preserve"> deberá comunicarse por escrito con el Comprador a la dirección del Comprador especificada </w:t>
            </w:r>
            <w:r w:rsidRPr="00576AF8">
              <w:rPr>
                <w:b/>
              </w:rPr>
              <w:t>en los DDL</w:t>
            </w:r>
            <w:r w:rsidRPr="00576AF8">
              <w:t xml:space="preserve"> o plantear sus dudas durante la reunión previa a la Oferta, si se dispusiera su celebración de conformidad con la </w:t>
            </w:r>
            <w:r w:rsidR="00031191" w:rsidRPr="00576AF8">
              <w:t>IAL</w:t>
            </w:r>
            <w:r w:rsidRPr="00576AF8">
              <w:t> 7.4. El Comprador responderá por escrito a todas las solicitudes de aclaración, siempre que dichas solicitudes sean recibidas antes de la fecha límite para la presentación de Ofertas dentro del período especificado</w:t>
            </w:r>
            <w:r w:rsidRPr="00576AF8">
              <w:rPr>
                <w:b/>
              </w:rPr>
              <w:t xml:space="preserve"> en los DDL</w:t>
            </w:r>
            <w:r w:rsidRPr="00576AF8">
              <w:t xml:space="preserve">. El Comprador enviará copia de las respuestas a todos los Licitantes que hubiesen adquirido el </w:t>
            </w:r>
            <w:r w:rsidR="00807C34" w:rsidRPr="00576AF8">
              <w:t>documento de licitación</w:t>
            </w:r>
            <w:r w:rsidRPr="00576AF8">
              <w:t xml:space="preserve"> de conformidad con la </w:t>
            </w:r>
            <w:r w:rsidR="00292096" w:rsidRPr="00576AF8">
              <w:t>IAL</w:t>
            </w:r>
            <w:r w:rsidRPr="00576AF8">
              <w:t> 6.3, inclu</w:t>
            </w:r>
            <w:r w:rsidR="001345E2" w:rsidRPr="00576AF8">
              <w:t>ida</w:t>
            </w:r>
            <w:r w:rsidRPr="00576AF8">
              <w:t xml:space="preserve"> una descripción de las consultas realizadas, sin identificar su </w:t>
            </w:r>
            <w:r w:rsidR="00FD4376" w:rsidRPr="00576AF8">
              <w:t>procedencia</w:t>
            </w:r>
            <w:r w:rsidRPr="00576AF8">
              <w:t xml:space="preserve">. Si así estuviera especificado </w:t>
            </w:r>
            <w:r w:rsidR="00F772EC" w:rsidRPr="00576AF8">
              <w:rPr>
                <w:b/>
              </w:rPr>
              <w:t>en los</w:t>
            </w:r>
            <w:r w:rsidRPr="00576AF8">
              <w:t xml:space="preserve"> </w:t>
            </w:r>
            <w:r w:rsidRPr="00576AF8">
              <w:rPr>
                <w:b/>
              </w:rPr>
              <w:t>DDL</w:t>
            </w:r>
            <w:r w:rsidRPr="00576AF8">
              <w:t>, el Comprador también deberá publicar prontamente su respuesta en la página web identificada</w:t>
            </w:r>
            <w:r w:rsidRPr="00576AF8">
              <w:rPr>
                <w:b/>
              </w:rPr>
              <w:t xml:space="preserve"> en los DDL.</w:t>
            </w:r>
            <w:r w:rsidRPr="00576AF8">
              <w:t xml:space="preserve"> Si el Comprador considerara necesario enmendar el </w:t>
            </w:r>
            <w:r w:rsidR="00807C34" w:rsidRPr="00576AF8">
              <w:t>documento de licitación</w:t>
            </w:r>
            <w:r w:rsidRPr="00576AF8">
              <w:t xml:space="preserve"> como resultado de una solicitud de aclaración, lo hará siguiendo el procedimiento que se describe en las </w:t>
            </w:r>
            <w:r w:rsidR="00292096" w:rsidRPr="00576AF8">
              <w:t>IAL</w:t>
            </w:r>
            <w:r w:rsidRPr="00576AF8">
              <w:t> 8 y 23.2</w:t>
            </w:r>
            <w:r w:rsidR="00292096" w:rsidRPr="00576AF8">
              <w:t>.</w:t>
            </w:r>
          </w:p>
        </w:tc>
      </w:tr>
      <w:tr w:rsidR="005D3A16" w:rsidRPr="00576AF8" w14:paraId="15457190" w14:textId="77777777" w:rsidTr="001411F4">
        <w:tc>
          <w:tcPr>
            <w:tcW w:w="2520" w:type="dxa"/>
            <w:tcBorders>
              <w:top w:val="nil"/>
              <w:left w:val="nil"/>
              <w:bottom w:val="nil"/>
              <w:right w:val="nil"/>
            </w:tcBorders>
          </w:tcPr>
          <w:p w14:paraId="01F09490" w14:textId="77777777" w:rsidR="005D3A16" w:rsidRPr="00576AF8" w:rsidRDefault="005D3A16" w:rsidP="00CC7032">
            <w:pPr>
              <w:numPr>
                <w:ilvl w:val="12"/>
                <w:numId w:val="0"/>
              </w:numPr>
              <w:spacing w:after="200"/>
              <w:ind w:left="360" w:hanging="360"/>
              <w:jc w:val="left"/>
              <w:rPr>
                <w:szCs w:val="24"/>
              </w:rPr>
            </w:pPr>
          </w:p>
        </w:tc>
        <w:tc>
          <w:tcPr>
            <w:tcW w:w="6845" w:type="dxa"/>
            <w:tcBorders>
              <w:top w:val="nil"/>
              <w:left w:val="nil"/>
              <w:bottom w:val="nil"/>
              <w:right w:val="nil"/>
            </w:tcBorders>
          </w:tcPr>
          <w:p w14:paraId="058012C3" w14:textId="77777777" w:rsidR="0067069B" w:rsidRPr="00576AF8" w:rsidRDefault="00F21539" w:rsidP="00CC7032">
            <w:pPr>
              <w:numPr>
                <w:ilvl w:val="12"/>
                <w:numId w:val="0"/>
              </w:numPr>
              <w:tabs>
                <w:tab w:val="left" w:pos="540"/>
              </w:tabs>
              <w:spacing w:after="200"/>
              <w:ind w:left="547" w:right="-72" w:hanging="547"/>
              <w:rPr>
                <w:szCs w:val="24"/>
              </w:rPr>
            </w:pPr>
            <w:r w:rsidRPr="00576AF8">
              <w:t>7.2</w:t>
            </w:r>
            <w:r w:rsidRPr="00576AF8">
              <w:tab/>
              <w:t xml:space="preserve">Se recomienda al Licitante que visite y examine el sitio en </w:t>
            </w:r>
            <w:r w:rsidR="001345E2" w:rsidRPr="00576AF8">
              <w:t xml:space="preserve">donde </w:t>
            </w:r>
            <w:r w:rsidRPr="00576AF8">
              <w:t>se instalará el Sistema Informático y sus alrededores</w:t>
            </w:r>
            <w:r w:rsidR="001345E2" w:rsidRPr="00576AF8">
              <w:t>,</w:t>
            </w:r>
            <w:r w:rsidRPr="00576AF8">
              <w:t xml:space="preserve"> y </w:t>
            </w:r>
            <w:r w:rsidR="001345E2" w:rsidRPr="00576AF8">
              <w:t xml:space="preserve">que </w:t>
            </w:r>
            <w:r w:rsidRPr="00576AF8">
              <w:t xml:space="preserve">obtenga </w:t>
            </w:r>
            <w:r w:rsidR="001345E2" w:rsidRPr="00576AF8">
              <w:t xml:space="preserve">para </w:t>
            </w:r>
            <w:r w:rsidRPr="00576AF8">
              <w:t>sí, bajo su propia responsabilidad, toda la información que pueda necesitar para preparar la Oferta y celebrar un Contrato. El costo de la visita al sitio correrá por cuenta del Licitante.</w:t>
            </w:r>
          </w:p>
          <w:p w14:paraId="1D5C6A08" w14:textId="77777777" w:rsidR="008D38B8" w:rsidRPr="00576AF8" w:rsidRDefault="008D38B8" w:rsidP="00CC7032">
            <w:pPr>
              <w:numPr>
                <w:ilvl w:val="12"/>
                <w:numId w:val="0"/>
              </w:numPr>
              <w:tabs>
                <w:tab w:val="left" w:pos="540"/>
              </w:tabs>
              <w:spacing w:after="200"/>
              <w:ind w:left="547" w:right="-72" w:hanging="547"/>
              <w:rPr>
                <w:szCs w:val="24"/>
              </w:rPr>
            </w:pPr>
            <w:r w:rsidRPr="00576AF8">
              <w:t>7.3</w:t>
            </w:r>
            <w:r w:rsidRPr="00576AF8">
              <w:tab/>
              <w:t xml:space="preserve">El Comprador autorizará el ingreso del Licitante y cualquier miembro de su personal o agente a sus recintos y terrenos para los fines de dicha visita, pero solo con la condición expresa de que el Licitante, su personal y sus agentes </w:t>
            </w:r>
            <w:r w:rsidR="001C4B2A" w:rsidRPr="00576AF8">
              <w:t xml:space="preserve">liberarán </w:t>
            </w:r>
            <w:r w:rsidR="008970F3" w:rsidRPr="00576AF8">
              <w:t>y eximirán</w:t>
            </w:r>
            <w:r w:rsidRPr="00576AF8">
              <w:t xml:space="preserve"> al Comprador y a su personal y sus agentes </w:t>
            </w:r>
            <w:r w:rsidR="008970F3" w:rsidRPr="00576AF8">
              <w:t>de</w:t>
            </w:r>
            <w:r w:rsidRPr="00576AF8">
              <w:t xml:space="preserve"> toda responsabilidad a ese respecto, y se harán responsables de toda circunstancia que resulte en muerte o lesiones personales, pérdida o daños a la propiedad y cualquier otra pérdida, daño, costo y gasto resultantes de la inspección.</w:t>
            </w:r>
          </w:p>
          <w:p w14:paraId="7D5C7F4C" w14:textId="77777777" w:rsidR="008D38B8" w:rsidRPr="00576AF8" w:rsidRDefault="008D38B8" w:rsidP="00CC7032">
            <w:pPr>
              <w:numPr>
                <w:ilvl w:val="12"/>
                <w:numId w:val="0"/>
              </w:numPr>
              <w:tabs>
                <w:tab w:val="left" w:pos="540"/>
              </w:tabs>
              <w:spacing w:after="200"/>
              <w:ind w:left="547" w:right="-72" w:hanging="547"/>
              <w:rPr>
                <w:szCs w:val="24"/>
              </w:rPr>
            </w:pPr>
            <w:r w:rsidRPr="00576AF8">
              <w:t>7.4</w:t>
            </w:r>
            <w:r w:rsidRPr="00576AF8">
              <w:tab/>
              <w:t xml:space="preserve">Se invitará al representante designado por el Licitante a asistir a una reunión previa a la Oferta o a realizar una visita al sitio, si así se establece </w:t>
            </w:r>
            <w:r w:rsidRPr="00576AF8">
              <w:rPr>
                <w:b/>
              </w:rPr>
              <w:t>en los DDL</w:t>
            </w:r>
            <w:r w:rsidRPr="00576AF8">
              <w:t>. La reunión tendrá por finalidad aclarar dudas y responder preguntas sobre cualquier asunto que pudiera plantearse en esa etapa.</w:t>
            </w:r>
          </w:p>
          <w:p w14:paraId="608C85B9" w14:textId="77777777" w:rsidR="008D38B8" w:rsidRPr="00576AF8" w:rsidRDefault="008D38B8" w:rsidP="00CC7032">
            <w:pPr>
              <w:numPr>
                <w:ilvl w:val="12"/>
                <w:numId w:val="0"/>
              </w:numPr>
              <w:tabs>
                <w:tab w:val="left" w:pos="540"/>
              </w:tabs>
              <w:spacing w:after="200"/>
              <w:ind w:left="547" w:right="-72" w:hanging="547"/>
              <w:rPr>
                <w:spacing w:val="-4"/>
                <w:szCs w:val="24"/>
              </w:rPr>
            </w:pPr>
            <w:r w:rsidRPr="00576AF8">
              <w:rPr>
                <w:spacing w:val="-4"/>
              </w:rPr>
              <w:t>7.5</w:t>
            </w:r>
            <w:r w:rsidRPr="00576AF8">
              <w:rPr>
                <w:spacing w:val="-4"/>
              </w:rPr>
              <w:tab/>
              <w:t>Se solicita que los Licitantes hagan llegar sus preguntas por escrito al Comprador, a más tardar, una semana antes de la reunión.</w:t>
            </w:r>
          </w:p>
          <w:p w14:paraId="09F2FD3A" w14:textId="77777777" w:rsidR="008D38B8" w:rsidRPr="00576AF8" w:rsidRDefault="008D38B8" w:rsidP="00CC7032">
            <w:pPr>
              <w:numPr>
                <w:ilvl w:val="12"/>
                <w:numId w:val="0"/>
              </w:numPr>
              <w:tabs>
                <w:tab w:val="left" w:pos="540"/>
              </w:tabs>
              <w:spacing w:after="200"/>
              <w:ind w:left="547" w:right="-72" w:hanging="547"/>
              <w:rPr>
                <w:szCs w:val="24"/>
              </w:rPr>
            </w:pPr>
            <w:r w:rsidRPr="00576AF8">
              <w:lastRenderedPageBreak/>
              <w:t>7.6</w:t>
            </w:r>
            <w:r w:rsidRPr="00576AF8">
              <w:tab/>
              <w:t xml:space="preserve">El acta de la reunión previa a la Oferta, incluido el texto de las preguntas planteadas, sin identificar su procedencia, y las respuestas a estas, conjuntamente con las respuestas preparadas después de la reunión, se transmitirán sin demora a todos los Licitantes que hayan adquirido el </w:t>
            </w:r>
            <w:r w:rsidR="00807C34" w:rsidRPr="00576AF8">
              <w:t>documento de licitación</w:t>
            </w:r>
            <w:r w:rsidRPr="00576AF8">
              <w:t xml:space="preserve"> de conformidad con la </w:t>
            </w:r>
            <w:r w:rsidR="00292096" w:rsidRPr="00576AF8">
              <w:t>IAL</w:t>
            </w:r>
            <w:r w:rsidRPr="00576AF8">
              <w:t xml:space="preserve"> 6.3. Cualquier modificación que fuera necesario introducir en el </w:t>
            </w:r>
            <w:r w:rsidR="00807C34" w:rsidRPr="00576AF8">
              <w:t>documento de licitación</w:t>
            </w:r>
            <w:r w:rsidRPr="00576AF8">
              <w:t xml:space="preserve"> como consecuencia de la reunión previa a la Oferta será hecha por el Comprador exclusivamente mediante la publicación de una enmienda, conforme a la </w:t>
            </w:r>
            <w:r w:rsidR="00292096" w:rsidRPr="00576AF8">
              <w:t>IAL</w:t>
            </w:r>
            <w:r w:rsidRPr="00576AF8">
              <w:t> 8, y no por intermedio del acta de la reunión.</w:t>
            </w:r>
          </w:p>
          <w:p w14:paraId="49E94694" w14:textId="77777777" w:rsidR="005D3A16" w:rsidRPr="00576AF8" w:rsidRDefault="008D38B8" w:rsidP="00CC7032">
            <w:pPr>
              <w:numPr>
                <w:ilvl w:val="12"/>
                <w:numId w:val="0"/>
              </w:numPr>
              <w:tabs>
                <w:tab w:val="left" w:pos="540"/>
              </w:tabs>
              <w:spacing w:after="200"/>
              <w:ind w:left="547" w:right="-72" w:hanging="547"/>
              <w:rPr>
                <w:szCs w:val="24"/>
              </w:rPr>
            </w:pPr>
            <w:r w:rsidRPr="00576AF8">
              <w:t>7.7</w:t>
            </w:r>
            <w:r w:rsidRPr="00576AF8">
              <w:tab/>
              <w:t>La inasistencia a la reunión previa a la Oferta no será causal de descalificación de un Licitante.</w:t>
            </w:r>
          </w:p>
        </w:tc>
      </w:tr>
      <w:tr w:rsidR="005D3A16" w:rsidRPr="00576AF8" w14:paraId="15CF8C8E" w14:textId="77777777" w:rsidTr="001411F4">
        <w:trPr>
          <w:trHeight w:val="918"/>
        </w:trPr>
        <w:tc>
          <w:tcPr>
            <w:tcW w:w="2520" w:type="dxa"/>
            <w:tcBorders>
              <w:top w:val="nil"/>
              <w:left w:val="nil"/>
              <w:bottom w:val="nil"/>
              <w:right w:val="nil"/>
            </w:tcBorders>
          </w:tcPr>
          <w:p w14:paraId="242253F7" w14:textId="77777777" w:rsidR="005D3A16" w:rsidRPr="00576AF8" w:rsidRDefault="00A04FA9" w:rsidP="00314996">
            <w:pPr>
              <w:pStyle w:val="TOC2-2"/>
            </w:pPr>
            <w:bookmarkStart w:id="58" w:name="_Toc434304500"/>
            <w:bookmarkStart w:id="59" w:name="_Toc454907774"/>
            <w:bookmarkStart w:id="60" w:name="_Toc476308774"/>
            <w:bookmarkStart w:id="61" w:name="_Toc479333324"/>
            <w:bookmarkStart w:id="62" w:name="_Toc25486583"/>
            <w:r w:rsidRPr="00576AF8">
              <w:lastRenderedPageBreak/>
              <w:t>8.</w:t>
            </w:r>
            <w:r w:rsidRPr="00576AF8">
              <w:tab/>
              <w:t xml:space="preserve">Enmienda del </w:t>
            </w:r>
            <w:bookmarkEnd w:id="58"/>
            <w:bookmarkEnd w:id="59"/>
            <w:bookmarkEnd w:id="60"/>
            <w:bookmarkEnd w:id="61"/>
            <w:r w:rsidR="00E00F60" w:rsidRPr="00576AF8">
              <w:t>Documento de Licitación</w:t>
            </w:r>
            <w:bookmarkEnd w:id="62"/>
          </w:p>
        </w:tc>
        <w:tc>
          <w:tcPr>
            <w:tcW w:w="6845" w:type="dxa"/>
            <w:tcBorders>
              <w:top w:val="nil"/>
              <w:left w:val="nil"/>
              <w:bottom w:val="nil"/>
              <w:right w:val="nil"/>
            </w:tcBorders>
          </w:tcPr>
          <w:p w14:paraId="53FBFC7A" w14:textId="77777777" w:rsidR="00A04FA9" w:rsidRPr="00576AF8" w:rsidRDefault="00A04FA9" w:rsidP="00CC7032">
            <w:pPr>
              <w:numPr>
                <w:ilvl w:val="12"/>
                <w:numId w:val="0"/>
              </w:numPr>
              <w:spacing w:after="200"/>
              <w:ind w:left="547" w:right="-72" w:hanging="547"/>
              <w:rPr>
                <w:szCs w:val="24"/>
              </w:rPr>
            </w:pPr>
            <w:r w:rsidRPr="00576AF8">
              <w:t>8.1</w:t>
            </w:r>
            <w:r w:rsidRPr="00576AF8">
              <w:tab/>
              <w:t xml:space="preserve">El Comprador podrá, en cualquier momento antes de que venza el plazo de presentación de Ofertas, modificar el </w:t>
            </w:r>
            <w:r w:rsidR="00807C34" w:rsidRPr="00576AF8">
              <w:t>documento de licitación</w:t>
            </w:r>
            <w:r w:rsidRPr="00576AF8">
              <w:t xml:space="preserve"> mediante la publicación de enmiendas.</w:t>
            </w:r>
          </w:p>
          <w:p w14:paraId="0511B4AF" w14:textId="77777777" w:rsidR="00A04FA9" w:rsidRPr="00576AF8" w:rsidRDefault="00A04FA9" w:rsidP="00CC7032">
            <w:pPr>
              <w:numPr>
                <w:ilvl w:val="12"/>
                <w:numId w:val="0"/>
              </w:numPr>
              <w:spacing w:after="200"/>
              <w:ind w:left="547" w:right="-72" w:hanging="547"/>
              <w:rPr>
                <w:szCs w:val="24"/>
              </w:rPr>
            </w:pPr>
            <w:r w:rsidRPr="00576AF8">
              <w:t>8.2</w:t>
            </w:r>
            <w:r w:rsidRPr="00576AF8">
              <w:tab/>
              <w:t xml:space="preserve">Todas las enmiendas formarán parte del </w:t>
            </w:r>
            <w:r w:rsidR="00807C34" w:rsidRPr="00576AF8">
              <w:t>documento de licitación</w:t>
            </w:r>
            <w:r w:rsidRPr="00576AF8">
              <w:t xml:space="preserve"> y se comunicarán por escrito a todos aquellos que hayan recibido el </w:t>
            </w:r>
            <w:r w:rsidR="00807C34" w:rsidRPr="00576AF8">
              <w:t>documento de licitación</w:t>
            </w:r>
            <w:r w:rsidRPr="00576AF8">
              <w:t xml:space="preserve"> del Comprador de conformidad con la </w:t>
            </w:r>
            <w:r w:rsidR="00292096" w:rsidRPr="00576AF8">
              <w:t>IAL</w:t>
            </w:r>
            <w:r w:rsidR="00F10EE3" w:rsidRPr="00576AF8">
              <w:t> </w:t>
            </w:r>
            <w:r w:rsidRPr="00576AF8">
              <w:t xml:space="preserve">6.3. El Comprador también deberá publicar sin demora la enmienda en su página web de conformidad con la </w:t>
            </w:r>
            <w:r w:rsidR="00292096" w:rsidRPr="00576AF8">
              <w:t>IAL</w:t>
            </w:r>
            <w:r w:rsidR="00F10EE3" w:rsidRPr="00576AF8">
              <w:t> </w:t>
            </w:r>
            <w:r w:rsidRPr="00576AF8">
              <w:t>7.1.</w:t>
            </w:r>
          </w:p>
          <w:p w14:paraId="134D4151" w14:textId="77777777" w:rsidR="00A44EB2" w:rsidRPr="00576AF8" w:rsidRDefault="00A04FA9" w:rsidP="00506FFF">
            <w:pPr>
              <w:numPr>
                <w:ilvl w:val="12"/>
                <w:numId w:val="0"/>
              </w:numPr>
              <w:spacing w:after="200"/>
              <w:ind w:left="547" w:right="-72" w:hanging="547"/>
              <w:rPr>
                <w:szCs w:val="24"/>
              </w:rPr>
            </w:pPr>
            <w:r w:rsidRPr="00576AF8">
              <w:t>8.3</w:t>
            </w:r>
            <w:r w:rsidRPr="00576AF8">
              <w:tab/>
              <w:t xml:space="preserve">A fin de dar a los posibles Licitantes un plazo razonable para que puedan tener en cuenta la enmienda </w:t>
            </w:r>
            <w:r w:rsidR="00F10EE3" w:rsidRPr="00576AF8">
              <w:t xml:space="preserve">al </w:t>
            </w:r>
            <w:r w:rsidRPr="00576AF8">
              <w:t>prepara</w:t>
            </w:r>
            <w:r w:rsidR="00F10EE3" w:rsidRPr="00576AF8">
              <w:t>r</w:t>
            </w:r>
            <w:r w:rsidRPr="00576AF8">
              <w:t xml:space="preserve"> sus Ofertas, el Comprador podrá, a su criterio, prorrogar el plazo de presentación de Ofertas, de conformidad con la </w:t>
            </w:r>
            <w:r w:rsidR="00292096" w:rsidRPr="00576AF8">
              <w:t>IAL</w:t>
            </w:r>
            <w:r w:rsidR="00F10EE3" w:rsidRPr="00576AF8">
              <w:t> </w:t>
            </w:r>
            <w:r w:rsidRPr="00576AF8">
              <w:t>23.2.</w:t>
            </w:r>
          </w:p>
        </w:tc>
      </w:tr>
    </w:tbl>
    <w:p w14:paraId="564FEC0A" w14:textId="77777777" w:rsidR="005D3A16" w:rsidRPr="00576AF8" w:rsidRDefault="002310DE" w:rsidP="00314996">
      <w:pPr>
        <w:pStyle w:val="Toc2-1"/>
      </w:pPr>
      <w:bookmarkStart w:id="63" w:name="_Toc505659525"/>
      <w:bookmarkStart w:id="64" w:name="_Toc431826610"/>
      <w:bookmarkStart w:id="65" w:name="_Toc348000791"/>
      <w:bookmarkStart w:id="66" w:name="_Toc434304501"/>
      <w:bookmarkStart w:id="67" w:name="_Toc454907775"/>
      <w:bookmarkStart w:id="68" w:name="_Toc476308775"/>
      <w:bookmarkStart w:id="69" w:name="_Toc479333325"/>
      <w:bookmarkStart w:id="70" w:name="_Toc25486584"/>
      <w:r w:rsidRPr="00576AF8">
        <w:t xml:space="preserve">C. </w:t>
      </w:r>
      <w:bookmarkEnd w:id="63"/>
      <w:bookmarkEnd w:id="64"/>
      <w:bookmarkEnd w:id="65"/>
      <w:r w:rsidRPr="00576AF8">
        <w:t>Preparación de las Ofertas</w:t>
      </w:r>
      <w:bookmarkEnd w:id="66"/>
      <w:bookmarkEnd w:id="67"/>
      <w:bookmarkEnd w:id="68"/>
      <w:bookmarkEnd w:id="69"/>
      <w:bookmarkEnd w:id="70"/>
    </w:p>
    <w:tbl>
      <w:tblPr>
        <w:tblW w:w="9371" w:type="dxa"/>
        <w:tblInd w:w="-15" w:type="dxa"/>
        <w:tblLayout w:type="fixed"/>
        <w:tblLook w:val="0000" w:firstRow="0" w:lastRow="0" w:firstColumn="0" w:lastColumn="0" w:noHBand="0" w:noVBand="0"/>
      </w:tblPr>
      <w:tblGrid>
        <w:gridCol w:w="2535"/>
        <w:gridCol w:w="6836"/>
      </w:tblGrid>
      <w:tr w:rsidR="005D5549" w:rsidRPr="00576AF8" w14:paraId="60F5E214" w14:textId="77777777" w:rsidTr="00005D3D">
        <w:trPr>
          <w:trHeight w:val="576"/>
        </w:trPr>
        <w:tc>
          <w:tcPr>
            <w:tcW w:w="2535" w:type="dxa"/>
          </w:tcPr>
          <w:p w14:paraId="531F2E46" w14:textId="77777777" w:rsidR="007B2819" w:rsidRPr="00576AF8" w:rsidRDefault="005D5549" w:rsidP="00314996">
            <w:pPr>
              <w:pStyle w:val="TOC2-2"/>
            </w:pPr>
            <w:bookmarkStart w:id="71" w:name="_Toc438438830"/>
            <w:bookmarkStart w:id="72" w:name="_Toc438532578"/>
            <w:bookmarkStart w:id="73" w:name="_Toc438733974"/>
            <w:bookmarkStart w:id="74" w:name="_Toc438907013"/>
            <w:bookmarkStart w:id="75" w:name="_Toc438907212"/>
            <w:bookmarkStart w:id="76" w:name="_Toc23236755"/>
            <w:bookmarkStart w:id="77" w:name="_Toc125782997"/>
            <w:bookmarkStart w:id="78" w:name="_Toc434304502"/>
            <w:bookmarkStart w:id="79" w:name="_Toc454907776"/>
            <w:bookmarkStart w:id="80" w:name="_Toc476308776"/>
            <w:bookmarkStart w:id="81" w:name="_Toc479333326"/>
            <w:bookmarkStart w:id="82" w:name="_Toc25486585"/>
            <w:r w:rsidRPr="00576AF8">
              <w:t>9.</w:t>
            </w:r>
            <w:r w:rsidR="00005D3D" w:rsidRPr="00576AF8">
              <w:tab/>
            </w:r>
            <w:r w:rsidRPr="00576AF8">
              <w:t>Costo de la Oferta</w:t>
            </w:r>
            <w:bookmarkEnd w:id="71"/>
            <w:bookmarkEnd w:id="72"/>
            <w:bookmarkEnd w:id="73"/>
            <w:bookmarkEnd w:id="74"/>
            <w:bookmarkEnd w:id="75"/>
            <w:bookmarkEnd w:id="76"/>
            <w:bookmarkEnd w:id="77"/>
            <w:bookmarkEnd w:id="78"/>
            <w:bookmarkEnd w:id="79"/>
            <w:bookmarkEnd w:id="80"/>
            <w:bookmarkEnd w:id="81"/>
            <w:bookmarkEnd w:id="82"/>
          </w:p>
          <w:p w14:paraId="6E3F09D2" w14:textId="77777777" w:rsidR="005D5549" w:rsidRPr="00576AF8" w:rsidRDefault="005D5549" w:rsidP="00FB1E48">
            <w:pPr>
              <w:pStyle w:val="TOC2-2"/>
              <w:suppressAutoHyphens/>
              <w:jc w:val="both"/>
            </w:pPr>
          </w:p>
        </w:tc>
        <w:tc>
          <w:tcPr>
            <w:tcW w:w="6836" w:type="dxa"/>
          </w:tcPr>
          <w:p w14:paraId="0368A7B1" w14:textId="77777777" w:rsidR="005D5549" w:rsidRPr="00576AF8" w:rsidRDefault="005D5549" w:rsidP="00F10EE3">
            <w:pPr>
              <w:numPr>
                <w:ilvl w:val="12"/>
                <w:numId w:val="0"/>
              </w:numPr>
              <w:spacing w:after="200"/>
              <w:ind w:left="547" w:right="-72" w:hanging="547"/>
              <w:rPr>
                <w:szCs w:val="24"/>
              </w:rPr>
            </w:pPr>
            <w:r w:rsidRPr="00576AF8">
              <w:t>9.1</w:t>
            </w:r>
            <w:r w:rsidRPr="00576AF8">
              <w:tab/>
              <w:t xml:space="preserve">El Licitante asumirá todos los costos asociados a la preparación y presentación de su Oferta, y el Comprador no tendrá responsabilidad ni obligación alguna respecto de tales costos, independientemente del desarrollo o resultado del </w:t>
            </w:r>
            <w:r w:rsidR="00F10EE3" w:rsidRPr="00576AF8">
              <w:t>p</w:t>
            </w:r>
            <w:r w:rsidRPr="00576AF8">
              <w:t xml:space="preserve">roceso </w:t>
            </w:r>
            <w:r w:rsidR="00005D3D" w:rsidRPr="00576AF8">
              <w:br/>
            </w:r>
            <w:r w:rsidRPr="00576AF8">
              <w:t>de Licitación.</w:t>
            </w:r>
          </w:p>
        </w:tc>
      </w:tr>
      <w:tr w:rsidR="005D5549" w:rsidRPr="00576AF8" w14:paraId="42FFE430" w14:textId="77777777" w:rsidTr="00005D3D">
        <w:trPr>
          <w:trHeight w:val="576"/>
        </w:trPr>
        <w:tc>
          <w:tcPr>
            <w:tcW w:w="2535" w:type="dxa"/>
          </w:tcPr>
          <w:p w14:paraId="53EEFC9F" w14:textId="77777777" w:rsidR="005D5549" w:rsidRPr="00576AF8" w:rsidRDefault="005D5549" w:rsidP="00314996">
            <w:pPr>
              <w:pStyle w:val="TOC2-2"/>
            </w:pPr>
            <w:bookmarkStart w:id="83" w:name="_Toc438438831"/>
            <w:bookmarkStart w:id="84" w:name="_Toc438532579"/>
            <w:bookmarkStart w:id="85" w:name="_Toc438733975"/>
            <w:bookmarkStart w:id="86" w:name="_Toc438907014"/>
            <w:bookmarkStart w:id="87" w:name="_Toc438907213"/>
            <w:bookmarkStart w:id="88" w:name="_Toc23236756"/>
            <w:bookmarkStart w:id="89" w:name="_Toc125782998"/>
            <w:bookmarkStart w:id="90" w:name="_Toc434304503"/>
            <w:bookmarkStart w:id="91" w:name="_Toc454907777"/>
            <w:bookmarkStart w:id="92" w:name="_Toc476308777"/>
            <w:bookmarkStart w:id="93" w:name="_Toc479333327"/>
            <w:bookmarkStart w:id="94" w:name="_Toc25486586"/>
            <w:r w:rsidRPr="00576AF8">
              <w:t>10.</w:t>
            </w:r>
            <w:r w:rsidR="00005D3D" w:rsidRPr="00576AF8">
              <w:tab/>
            </w:r>
            <w:r w:rsidRPr="00576AF8">
              <w:t>Idioma de la</w:t>
            </w:r>
            <w:r w:rsidR="00005D3D" w:rsidRPr="00576AF8">
              <w:t> </w:t>
            </w:r>
            <w:r w:rsidRPr="00576AF8">
              <w:t>Oferta</w:t>
            </w:r>
            <w:bookmarkEnd w:id="83"/>
            <w:bookmarkEnd w:id="84"/>
            <w:bookmarkEnd w:id="85"/>
            <w:bookmarkEnd w:id="86"/>
            <w:bookmarkEnd w:id="87"/>
            <w:bookmarkEnd w:id="88"/>
            <w:bookmarkEnd w:id="89"/>
            <w:bookmarkEnd w:id="90"/>
            <w:bookmarkEnd w:id="91"/>
            <w:bookmarkEnd w:id="92"/>
            <w:bookmarkEnd w:id="93"/>
            <w:bookmarkEnd w:id="94"/>
          </w:p>
        </w:tc>
        <w:tc>
          <w:tcPr>
            <w:tcW w:w="6836" w:type="dxa"/>
          </w:tcPr>
          <w:p w14:paraId="125E340F" w14:textId="77777777" w:rsidR="005D5549" w:rsidRPr="00576AF8" w:rsidRDefault="005D5549" w:rsidP="000441B9">
            <w:pPr>
              <w:numPr>
                <w:ilvl w:val="12"/>
                <w:numId w:val="0"/>
              </w:numPr>
              <w:spacing w:after="200"/>
              <w:ind w:left="547" w:right="-72" w:hanging="547"/>
              <w:rPr>
                <w:szCs w:val="24"/>
              </w:rPr>
            </w:pPr>
            <w:r w:rsidRPr="00576AF8">
              <w:t>10.1</w:t>
            </w:r>
            <w:r w:rsidRPr="00576AF8">
              <w:tab/>
              <w:t xml:space="preserve">La Oferta, y toda la correspondencia y los documentos relativos a ella que intercambien el Licitante y el Comprador, deberán redactarse en el idioma que se indica </w:t>
            </w:r>
            <w:r w:rsidRPr="00576AF8">
              <w:rPr>
                <w:b/>
              </w:rPr>
              <w:t>en los DDL</w:t>
            </w:r>
            <w:r w:rsidRPr="00576AF8">
              <w:t xml:space="preserve">. Los documentos de respaldo y el material impreso que formen parte de la Oferta podrán estar escritos en otro idioma, siempre y cuando vayan acompañados de una traducción fidedigna de las secciones pertinentes al idioma que se especifica </w:t>
            </w:r>
            <w:r w:rsidRPr="00576AF8">
              <w:rPr>
                <w:b/>
              </w:rPr>
              <w:t>en los DDL</w:t>
            </w:r>
            <w:r w:rsidRPr="00576AF8">
              <w:t>, en cuyo caso la traducción prevalecerá en lo que respecta a la interpretación de la Oferta.</w:t>
            </w:r>
          </w:p>
        </w:tc>
      </w:tr>
      <w:tr w:rsidR="007B2819" w:rsidRPr="00576AF8" w14:paraId="0E300A46" w14:textId="77777777" w:rsidTr="00005D3D">
        <w:trPr>
          <w:trHeight w:val="630"/>
        </w:trPr>
        <w:tc>
          <w:tcPr>
            <w:tcW w:w="2535" w:type="dxa"/>
          </w:tcPr>
          <w:p w14:paraId="6DE1DCE0" w14:textId="77777777" w:rsidR="007B2819" w:rsidRPr="00576AF8" w:rsidRDefault="007B2819" w:rsidP="00314996">
            <w:pPr>
              <w:pStyle w:val="TOC2-2"/>
            </w:pPr>
            <w:bookmarkStart w:id="95" w:name="_Toc454907778"/>
            <w:bookmarkStart w:id="96" w:name="_Toc476308778"/>
            <w:bookmarkStart w:id="97" w:name="_Toc479333328"/>
            <w:bookmarkStart w:id="98" w:name="_Toc25486587"/>
            <w:r w:rsidRPr="00576AF8">
              <w:lastRenderedPageBreak/>
              <w:t>11.</w:t>
            </w:r>
            <w:r w:rsidR="00005D3D" w:rsidRPr="00576AF8">
              <w:tab/>
            </w:r>
            <w:r w:rsidRPr="00576AF8">
              <w:t>Documentos que</w:t>
            </w:r>
            <w:r w:rsidR="00005D3D" w:rsidRPr="00576AF8">
              <w:t> </w:t>
            </w:r>
            <w:r w:rsidR="00C05F8A" w:rsidRPr="00576AF8">
              <w:t xml:space="preserve">Conforman </w:t>
            </w:r>
            <w:r w:rsidRPr="00576AF8">
              <w:t>la</w:t>
            </w:r>
            <w:r w:rsidR="00005D3D" w:rsidRPr="00576AF8">
              <w:t> </w:t>
            </w:r>
            <w:r w:rsidRPr="00576AF8">
              <w:t>Oferta</w:t>
            </w:r>
            <w:bookmarkEnd w:id="95"/>
            <w:bookmarkEnd w:id="96"/>
            <w:bookmarkEnd w:id="97"/>
            <w:bookmarkEnd w:id="98"/>
          </w:p>
        </w:tc>
        <w:tc>
          <w:tcPr>
            <w:tcW w:w="6836" w:type="dxa"/>
          </w:tcPr>
          <w:p w14:paraId="0CE37C9B" w14:textId="77777777" w:rsidR="007B2819" w:rsidRPr="00576AF8" w:rsidRDefault="00BC2075">
            <w:pPr>
              <w:pStyle w:val="Prrafodelista"/>
              <w:numPr>
                <w:ilvl w:val="0"/>
                <w:numId w:val="56"/>
              </w:numPr>
              <w:ind w:left="591" w:hanging="567"/>
            </w:pPr>
            <w:r w:rsidRPr="00576AF8">
              <w:t xml:space="preserve">La Oferta estará </w:t>
            </w:r>
            <w:r w:rsidR="00C05F8A" w:rsidRPr="00576AF8">
              <w:t xml:space="preserve">conformada </w:t>
            </w:r>
            <w:r w:rsidRPr="00576AF8">
              <w:t>por dos partes, a saber: la Parte Técnica y la Parte Financiera. Estas dos partes deberán presentarse simultáneamente en dos sobres sellados distintos (proceso de licitación con mecanismo de dos sobres). Uno contendrá solo la información vinculada con la Parte Técnica y el otro, solo la información relacionada con la Parte Financiera. Estos dos sobres deberán colocarse en un sobre exterior, que deberá marcarse con la leyenda “</w:t>
            </w:r>
            <w:r w:rsidRPr="00576AF8">
              <w:rPr>
                <w:sz w:val="22"/>
              </w:rPr>
              <w:t>OFERTA ORIGINAL</w:t>
            </w:r>
            <w:r w:rsidRPr="00576AF8">
              <w:t xml:space="preserve">”. </w:t>
            </w:r>
          </w:p>
        </w:tc>
      </w:tr>
      <w:tr w:rsidR="007B2819" w:rsidRPr="00576AF8" w14:paraId="3A821123" w14:textId="77777777" w:rsidTr="00005D3D">
        <w:trPr>
          <w:trHeight w:val="576"/>
        </w:trPr>
        <w:tc>
          <w:tcPr>
            <w:tcW w:w="2535" w:type="dxa"/>
          </w:tcPr>
          <w:p w14:paraId="6406C93D" w14:textId="77777777" w:rsidR="007B2819" w:rsidRPr="00576AF8" w:rsidRDefault="007B2819" w:rsidP="00CC7032">
            <w:pPr>
              <w:pStyle w:val="Head12a"/>
              <w:suppressAutoHyphens/>
              <w:spacing w:after="200"/>
              <w:jc w:val="both"/>
              <w:rPr>
                <w:szCs w:val="24"/>
              </w:rPr>
            </w:pPr>
          </w:p>
        </w:tc>
        <w:tc>
          <w:tcPr>
            <w:tcW w:w="6836" w:type="dxa"/>
          </w:tcPr>
          <w:p w14:paraId="736310A2" w14:textId="77777777" w:rsidR="007B2819" w:rsidRPr="00576AF8" w:rsidRDefault="007B2819">
            <w:pPr>
              <w:pStyle w:val="Prrafodelista"/>
              <w:numPr>
                <w:ilvl w:val="0"/>
                <w:numId w:val="18"/>
              </w:numPr>
              <w:spacing w:after="200"/>
              <w:ind w:left="1062" w:right="-72" w:hanging="450"/>
              <w:contextualSpacing w:val="0"/>
              <w:rPr>
                <w:szCs w:val="24"/>
              </w:rPr>
            </w:pPr>
            <w:r w:rsidRPr="00576AF8">
              <w:rPr>
                <w:b/>
              </w:rPr>
              <w:t>Carta de la Oferta</w:t>
            </w:r>
            <w:r w:rsidR="00BC2075" w:rsidRPr="00576AF8">
              <w:rPr>
                <w:b/>
              </w:rPr>
              <w:t>-Parte Técnica</w:t>
            </w:r>
            <w:r w:rsidRPr="00576AF8">
              <w:t xml:space="preserve"> preparada de conformidad con la </w:t>
            </w:r>
            <w:r w:rsidR="00292096" w:rsidRPr="00576AF8">
              <w:t>IAL</w:t>
            </w:r>
            <w:r w:rsidRPr="00576AF8">
              <w:t> 12</w:t>
            </w:r>
            <w:r w:rsidR="00E00F60" w:rsidRPr="00576AF8">
              <w:t>;</w:t>
            </w:r>
          </w:p>
        </w:tc>
      </w:tr>
      <w:tr w:rsidR="007B2819" w:rsidRPr="00576AF8" w14:paraId="40B7DEDB" w14:textId="77777777" w:rsidTr="00005D3D">
        <w:trPr>
          <w:trHeight w:val="576"/>
        </w:trPr>
        <w:tc>
          <w:tcPr>
            <w:tcW w:w="2535" w:type="dxa"/>
          </w:tcPr>
          <w:p w14:paraId="2AD82FFA" w14:textId="77777777" w:rsidR="007B2819" w:rsidRPr="00576AF8" w:rsidRDefault="007B2819" w:rsidP="00CC7032">
            <w:pPr>
              <w:pStyle w:val="Head12a"/>
              <w:suppressAutoHyphens/>
              <w:spacing w:after="200"/>
              <w:jc w:val="both"/>
              <w:rPr>
                <w:szCs w:val="24"/>
              </w:rPr>
            </w:pPr>
          </w:p>
        </w:tc>
        <w:tc>
          <w:tcPr>
            <w:tcW w:w="6836" w:type="dxa"/>
          </w:tcPr>
          <w:p w14:paraId="42B54F81" w14:textId="77777777" w:rsidR="00A44EB2" w:rsidRPr="00576AF8" w:rsidRDefault="00F10EE3">
            <w:pPr>
              <w:pStyle w:val="Prrafodelista"/>
              <w:numPr>
                <w:ilvl w:val="0"/>
                <w:numId w:val="18"/>
              </w:numPr>
              <w:spacing w:after="200"/>
              <w:ind w:left="1062" w:right="-72" w:hanging="450"/>
              <w:contextualSpacing w:val="0"/>
              <w:rPr>
                <w:szCs w:val="24"/>
              </w:rPr>
            </w:pPr>
            <w:r w:rsidRPr="00576AF8">
              <w:rPr>
                <w:b/>
              </w:rPr>
              <w:t>G</w:t>
            </w:r>
            <w:r w:rsidR="00984DF4" w:rsidRPr="00576AF8">
              <w:rPr>
                <w:b/>
              </w:rPr>
              <w:t>arantía</w:t>
            </w:r>
            <w:r w:rsidR="00490D16" w:rsidRPr="00576AF8">
              <w:rPr>
                <w:b/>
              </w:rPr>
              <w:t xml:space="preserve"> de </w:t>
            </w:r>
            <w:r w:rsidR="00E00F60" w:rsidRPr="00576AF8">
              <w:rPr>
                <w:b/>
              </w:rPr>
              <w:t>M</w:t>
            </w:r>
            <w:r w:rsidR="00490D16" w:rsidRPr="00576AF8">
              <w:rPr>
                <w:b/>
              </w:rPr>
              <w:t xml:space="preserve">antenimiento de la Oferta o </w:t>
            </w:r>
            <w:r w:rsidR="00E00F60" w:rsidRPr="00576AF8">
              <w:rPr>
                <w:b/>
              </w:rPr>
              <w:t xml:space="preserve">Declaración </w:t>
            </w:r>
            <w:r w:rsidR="00490D16" w:rsidRPr="00576AF8">
              <w:rPr>
                <w:b/>
              </w:rPr>
              <w:t xml:space="preserve">de </w:t>
            </w:r>
            <w:r w:rsidR="00E00F60" w:rsidRPr="00576AF8">
              <w:rPr>
                <w:b/>
              </w:rPr>
              <w:t>M</w:t>
            </w:r>
            <w:r w:rsidR="00490D16" w:rsidRPr="00576AF8">
              <w:rPr>
                <w:b/>
              </w:rPr>
              <w:t>antenimiento de la Oferta</w:t>
            </w:r>
            <w:r w:rsidR="00490D16" w:rsidRPr="00576AF8">
              <w:t xml:space="preserve"> de conformidad con </w:t>
            </w:r>
            <w:r w:rsidR="00005D3D" w:rsidRPr="00576AF8">
              <w:br/>
            </w:r>
            <w:r w:rsidR="00490D16" w:rsidRPr="00576AF8">
              <w:t xml:space="preserve">la </w:t>
            </w:r>
            <w:r w:rsidR="00292096" w:rsidRPr="00576AF8">
              <w:t>IAL</w:t>
            </w:r>
            <w:r w:rsidRPr="00576AF8">
              <w:t> </w:t>
            </w:r>
            <w:r w:rsidR="00490D16" w:rsidRPr="00576AF8">
              <w:t>20</w:t>
            </w:r>
            <w:r w:rsidR="00AD196A" w:rsidRPr="00576AF8">
              <w:t>;</w:t>
            </w:r>
          </w:p>
        </w:tc>
      </w:tr>
      <w:tr w:rsidR="007B2819" w:rsidRPr="00576AF8" w14:paraId="3C215C69" w14:textId="77777777" w:rsidTr="00005D3D">
        <w:trPr>
          <w:trHeight w:val="576"/>
        </w:trPr>
        <w:tc>
          <w:tcPr>
            <w:tcW w:w="2535" w:type="dxa"/>
          </w:tcPr>
          <w:p w14:paraId="68ED4CFA" w14:textId="77777777" w:rsidR="007B2819" w:rsidRPr="00576AF8" w:rsidRDefault="007B2819" w:rsidP="00CC7032">
            <w:pPr>
              <w:pStyle w:val="Head12a"/>
              <w:suppressAutoHyphens/>
              <w:spacing w:after="200"/>
              <w:jc w:val="both"/>
              <w:rPr>
                <w:szCs w:val="24"/>
              </w:rPr>
            </w:pPr>
          </w:p>
        </w:tc>
        <w:tc>
          <w:tcPr>
            <w:tcW w:w="6836" w:type="dxa"/>
          </w:tcPr>
          <w:p w14:paraId="72AEEF5B" w14:textId="77777777" w:rsidR="007B2819" w:rsidRPr="00576AF8" w:rsidRDefault="007B2819">
            <w:pPr>
              <w:pStyle w:val="Prrafodelista"/>
              <w:numPr>
                <w:ilvl w:val="0"/>
                <w:numId w:val="18"/>
              </w:numPr>
              <w:spacing w:after="200"/>
              <w:ind w:left="1062" w:right="-72" w:hanging="450"/>
              <w:contextualSpacing w:val="0"/>
              <w:rPr>
                <w:szCs w:val="24"/>
              </w:rPr>
            </w:pPr>
            <w:r w:rsidRPr="00576AF8">
              <w:rPr>
                <w:b/>
              </w:rPr>
              <w:t xml:space="preserve">Oferta </w:t>
            </w:r>
            <w:r w:rsidR="00E00F60" w:rsidRPr="00576AF8">
              <w:rPr>
                <w:b/>
              </w:rPr>
              <w:t>Alternativa</w:t>
            </w:r>
            <w:r w:rsidR="00BC2075" w:rsidRPr="00576AF8">
              <w:rPr>
                <w:b/>
              </w:rPr>
              <w:t>-Parte Técnica</w:t>
            </w:r>
            <w:r w:rsidRPr="00576AF8">
              <w:rPr>
                <w:b/>
              </w:rPr>
              <w:t xml:space="preserve">. </w:t>
            </w:r>
            <w:r w:rsidRPr="00576AF8">
              <w:t xml:space="preserve">Cuando se permita, de conformidad con la </w:t>
            </w:r>
            <w:r w:rsidR="00292096" w:rsidRPr="00576AF8">
              <w:t>IAL</w:t>
            </w:r>
            <w:r w:rsidRPr="00576AF8">
              <w:t> 13</w:t>
            </w:r>
            <w:r w:rsidR="00AD196A" w:rsidRPr="00576AF8">
              <w:t>;</w:t>
            </w:r>
          </w:p>
        </w:tc>
      </w:tr>
      <w:tr w:rsidR="007B2819" w:rsidRPr="00576AF8" w14:paraId="2F26A0BD" w14:textId="77777777" w:rsidTr="00005D3D">
        <w:trPr>
          <w:trHeight w:val="576"/>
        </w:trPr>
        <w:tc>
          <w:tcPr>
            <w:tcW w:w="2535" w:type="dxa"/>
          </w:tcPr>
          <w:p w14:paraId="66E306C7" w14:textId="77777777" w:rsidR="007B2819" w:rsidRPr="00576AF8" w:rsidRDefault="007B2819" w:rsidP="00CC7032">
            <w:pPr>
              <w:pStyle w:val="Head12a"/>
              <w:suppressAutoHyphens/>
              <w:spacing w:after="200"/>
              <w:jc w:val="both"/>
              <w:rPr>
                <w:szCs w:val="24"/>
              </w:rPr>
            </w:pPr>
          </w:p>
        </w:tc>
        <w:tc>
          <w:tcPr>
            <w:tcW w:w="6836" w:type="dxa"/>
          </w:tcPr>
          <w:p w14:paraId="2E87E9F1" w14:textId="77777777" w:rsidR="007B2819" w:rsidRPr="00576AF8" w:rsidRDefault="007B2819">
            <w:pPr>
              <w:pStyle w:val="Prrafodelista"/>
              <w:numPr>
                <w:ilvl w:val="0"/>
                <w:numId w:val="18"/>
              </w:numPr>
              <w:spacing w:after="200"/>
              <w:ind w:left="1062" w:right="-72" w:hanging="450"/>
              <w:contextualSpacing w:val="0"/>
              <w:rPr>
                <w:szCs w:val="24"/>
              </w:rPr>
            </w:pPr>
            <w:r w:rsidRPr="00576AF8">
              <w:rPr>
                <w:b/>
              </w:rPr>
              <w:t>Autorización</w:t>
            </w:r>
            <w:r w:rsidRPr="00576AF8">
              <w:t xml:space="preserve">. Confirmación por escrito en la que se autorice al signatario de la Oferta a comprometer al Licitante, de conformidad con la </w:t>
            </w:r>
            <w:r w:rsidR="00292096" w:rsidRPr="00576AF8">
              <w:t>IAL</w:t>
            </w:r>
            <w:r w:rsidR="00F43857" w:rsidRPr="00576AF8">
              <w:t> </w:t>
            </w:r>
            <w:r w:rsidRPr="00576AF8">
              <w:t>21.3</w:t>
            </w:r>
            <w:r w:rsidR="00AD196A" w:rsidRPr="00576AF8">
              <w:t>;</w:t>
            </w:r>
          </w:p>
        </w:tc>
      </w:tr>
      <w:tr w:rsidR="007B2819" w:rsidRPr="00576AF8" w14:paraId="41D29564" w14:textId="77777777" w:rsidTr="00005D3D">
        <w:trPr>
          <w:trHeight w:val="576"/>
        </w:trPr>
        <w:tc>
          <w:tcPr>
            <w:tcW w:w="2535" w:type="dxa"/>
          </w:tcPr>
          <w:p w14:paraId="77F1327F" w14:textId="77777777" w:rsidR="007B2819" w:rsidRPr="00576AF8" w:rsidRDefault="007B2819" w:rsidP="00CC7032">
            <w:pPr>
              <w:pStyle w:val="Head12a"/>
              <w:suppressAutoHyphens/>
              <w:spacing w:after="200"/>
              <w:jc w:val="both"/>
              <w:rPr>
                <w:szCs w:val="24"/>
              </w:rPr>
            </w:pPr>
          </w:p>
        </w:tc>
        <w:tc>
          <w:tcPr>
            <w:tcW w:w="6836" w:type="dxa"/>
          </w:tcPr>
          <w:p w14:paraId="7B2B290B" w14:textId="77777777" w:rsidR="007B2819" w:rsidRPr="00576AF8" w:rsidRDefault="007B2819">
            <w:pPr>
              <w:pStyle w:val="Prrafodelista"/>
              <w:numPr>
                <w:ilvl w:val="0"/>
                <w:numId w:val="18"/>
              </w:numPr>
              <w:spacing w:after="200"/>
              <w:ind w:left="1062" w:right="-72" w:hanging="450"/>
              <w:contextualSpacing w:val="0"/>
              <w:rPr>
                <w:szCs w:val="24"/>
              </w:rPr>
            </w:pPr>
            <w:r w:rsidRPr="00576AF8">
              <w:rPr>
                <w:b/>
              </w:rPr>
              <w:t xml:space="preserve">Elegibilidad del Sistema Informático. </w:t>
            </w:r>
            <w:r w:rsidRPr="00576AF8">
              <w:t xml:space="preserve">Prueba documental, establecida de conformidad con la </w:t>
            </w:r>
            <w:r w:rsidR="00292096" w:rsidRPr="00576AF8">
              <w:t>IAL</w:t>
            </w:r>
            <w:r w:rsidR="00F43857" w:rsidRPr="00576AF8">
              <w:t> </w:t>
            </w:r>
            <w:r w:rsidRPr="00576AF8">
              <w:t>1</w:t>
            </w:r>
            <w:r w:rsidR="00714CE3" w:rsidRPr="00576AF8">
              <w:t>5</w:t>
            </w:r>
            <w:r w:rsidRPr="00576AF8">
              <w:t>.1, de la elegibilidad del Sistema Informático ofrecido por el Licitante en su Oferta o en cualquier Oferta alternativa, cuando esta esté permitida</w:t>
            </w:r>
            <w:r w:rsidR="00AD196A" w:rsidRPr="00576AF8">
              <w:t>;</w:t>
            </w:r>
          </w:p>
        </w:tc>
      </w:tr>
      <w:tr w:rsidR="007B2819" w:rsidRPr="00576AF8" w14:paraId="69E3D110" w14:textId="77777777" w:rsidTr="00005D3D">
        <w:trPr>
          <w:trHeight w:val="576"/>
        </w:trPr>
        <w:tc>
          <w:tcPr>
            <w:tcW w:w="2535" w:type="dxa"/>
          </w:tcPr>
          <w:p w14:paraId="46B9E3B0" w14:textId="77777777" w:rsidR="007B2819" w:rsidRPr="00576AF8" w:rsidRDefault="007B2819" w:rsidP="00CC7032">
            <w:pPr>
              <w:pStyle w:val="Head12a"/>
              <w:suppressAutoHyphens/>
              <w:spacing w:after="200"/>
              <w:jc w:val="both"/>
              <w:rPr>
                <w:szCs w:val="24"/>
              </w:rPr>
            </w:pPr>
          </w:p>
        </w:tc>
        <w:tc>
          <w:tcPr>
            <w:tcW w:w="6836" w:type="dxa"/>
          </w:tcPr>
          <w:p w14:paraId="64609FEA" w14:textId="77777777" w:rsidR="007B2819" w:rsidRPr="00576AF8" w:rsidRDefault="007B2819">
            <w:pPr>
              <w:pStyle w:val="Prrafodelista"/>
              <w:numPr>
                <w:ilvl w:val="0"/>
                <w:numId w:val="18"/>
              </w:numPr>
              <w:spacing w:after="200"/>
              <w:ind w:left="1062" w:right="-72" w:hanging="450"/>
              <w:contextualSpacing w:val="0"/>
              <w:rPr>
                <w:szCs w:val="24"/>
              </w:rPr>
            </w:pPr>
            <w:r w:rsidRPr="00576AF8">
              <w:rPr>
                <w:b/>
              </w:rPr>
              <w:t>Elegibilidad del Licitante.</w:t>
            </w:r>
            <w:r w:rsidRPr="00576AF8">
              <w:t xml:space="preserve"> Prueba documental, establecida de conformidad con la </w:t>
            </w:r>
            <w:r w:rsidR="00292096" w:rsidRPr="00576AF8">
              <w:t>IAL</w:t>
            </w:r>
            <w:r w:rsidR="00F43857" w:rsidRPr="00576AF8">
              <w:t> </w:t>
            </w:r>
            <w:r w:rsidRPr="00576AF8">
              <w:t>1</w:t>
            </w:r>
            <w:r w:rsidR="00714CE3" w:rsidRPr="00576AF8">
              <w:t>6</w:t>
            </w:r>
            <w:r w:rsidRPr="00576AF8">
              <w:t>, de la elegibilidad y las calificaciones del Licitante para ejecutar el Contrato en caso de que se acepte su Oferta</w:t>
            </w:r>
            <w:r w:rsidR="00AD196A" w:rsidRPr="00576AF8">
              <w:rPr>
                <w:b/>
              </w:rPr>
              <w:t>;</w:t>
            </w:r>
          </w:p>
        </w:tc>
      </w:tr>
      <w:tr w:rsidR="007B2819" w:rsidRPr="00576AF8" w14:paraId="4B676823" w14:textId="77777777" w:rsidTr="00005D3D">
        <w:trPr>
          <w:trHeight w:val="576"/>
        </w:trPr>
        <w:tc>
          <w:tcPr>
            <w:tcW w:w="2535" w:type="dxa"/>
          </w:tcPr>
          <w:p w14:paraId="63D832B8" w14:textId="77777777" w:rsidR="007B2819" w:rsidRPr="00576AF8" w:rsidRDefault="007B2819" w:rsidP="00CC7032">
            <w:pPr>
              <w:pStyle w:val="Head12a"/>
              <w:suppressAutoHyphens/>
              <w:spacing w:after="200"/>
              <w:jc w:val="both"/>
              <w:rPr>
                <w:szCs w:val="24"/>
              </w:rPr>
            </w:pPr>
          </w:p>
        </w:tc>
        <w:tc>
          <w:tcPr>
            <w:tcW w:w="6836" w:type="dxa"/>
          </w:tcPr>
          <w:p w14:paraId="781EA9DC" w14:textId="77777777" w:rsidR="00A44EB2" w:rsidRPr="00576AF8" w:rsidRDefault="007B2819">
            <w:pPr>
              <w:pStyle w:val="Prrafodelista"/>
              <w:numPr>
                <w:ilvl w:val="0"/>
                <w:numId w:val="18"/>
              </w:numPr>
              <w:spacing w:after="200"/>
              <w:ind w:left="1062" w:right="-72" w:hanging="450"/>
              <w:contextualSpacing w:val="0"/>
              <w:rPr>
                <w:szCs w:val="24"/>
              </w:rPr>
            </w:pPr>
            <w:r w:rsidRPr="00576AF8">
              <w:rPr>
                <w:b/>
              </w:rPr>
              <w:t xml:space="preserve">Conformidad. </w:t>
            </w:r>
            <w:r w:rsidRPr="00576AF8">
              <w:t xml:space="preserve">Prueba documental, establecida de conformidad con la </w:t>
            </w:r>
            <w:r w:rsidR="00292096" w:rsidRPr="00576AF8">
              <w:t>IAL</w:t>
            </w:r>
            <w:r w:rsidR="00F43857" w:rsidRPr="00576AF8">
              <w:t> </w:t>
            </w:r>
            <w:r w:rsidR="00714CE3" w:rsidRPr="00576AF8">
              <w:t>17</w:t>
            </w:r>
            <w:r w:rsidRPr="00576AF8">
              <w:t xml:space="preserve">, de que el Sistema Informático ofrecido por el Licitante cumple con lo </w:t>
            </w:r>
            <w:r w:rsidR="00F43857" w:rsidRPr="00576AF8">
              <w:t xml:space="preserve">establecido </w:t>
            </w:r>
            <w:r w:rsidRPr="00576AF8">
              <w:t xml:space="preserve">en el </w:t>
            </w:r>
            <w:r w:rsidR="00807C34" w:rsidRPr="00576AF8">
              <w:t>documento de licitación</w:t>
            </w:r>
            <w:r w:rsidR="00AD196A" w:rsidRPr="00576AF8">
              <w:t>;</w:t>
            </w:r>
          </w:p>
        </w:tc>
      </w:tr>
      <w:tr w:rsidR="007B2819" w:rsidRPr="00576AF8" w14:paraId="12B1EED1" w14:textId="77777777" w:rsidTr="00005D3D">
        <w:trPr>
          <w:trHeight w:val="576"/>
        </w:trPr>
        <w:tc>
          <w:tcPr>
            <w:tcW w:w="2535" w:type="dxa"/>
          </w:tcPr>
          <w:p w14:paraId="5912F36F" w14:textId="77777777" w:rsidR="007B2819" w:rsidRPr="00576AF8" w:rsidRDefault="007B2819" w:rsidP="00CC7032">
            <w:pPr>
              <w:pStyle w:val="Head12a"/>
              <w:suppressAutoHyphens/>
              <w:spacing w:after="200"/>
              <w:jc w:val="both"/>
              <w:rPr>
                <w:szCs w:val="24"/>
              </w:rPr>
            </w:pPr>
          </w:p>
        </w:tc>
        <w:tc>
          <w:tcPr>
            <w:tcW w:w="6836" w:type="dxa"/>
          </w:tcPr>
          <w:p w14:paraId="4711D8AB" w14:textId="77777777" w:rsidR="007B2819" w:rsidRPr="00576AF8" w:rsidRDefault="007B2819">
            <w:pPr>
              <w:pStyle w:val="Prrafodelista"/>
              <w:numPr>
                <w:ilvl w:val="0"/>
                <w:numId w:val="18"/>
              </w:numPr>
              <w:spacing w:after="200"/>
              <w:ind w:left="1062" w:right="-72" w:hanging="450"/>
              <w:contextualSpacing w:val="0"/>
              <w:rPr>
                <w:b/>
                <w:szCs w:val="24"/>
              </w:rPr>
            </w:pPr>
            <w:r w:rsidRPr="00576AF8">
              <w:rPr>
                <w:b/>
              </w:rPr>
              <w:t>Subcontratistas.</w:t>
            </w:r>
            <w:r w:rsidRPr="00576AF8">
              <w:t xml:space="preserve"> Lista de subcontratistas, de conformidad con la </w:t>
            </w:r>
            <w:r w:rsidR="00292096" w:rsidRPr="00576AF8">
              <w:t>IAL</w:t>
            </w:r>
            <w:r w:rsidR="00F43857" w:rsidRPr="00576AF8">
              <w:t> </w:t>
            </w:r>
            <w:r w:rsidRPr="00576AF8">
              <w:t>1</w:t>
            </w:r>
            <w:r w:rsidR="00714CE3" w:rsidRPr="00576AF8">
              <w:t>7</w:t>
            </w:r>
            <w:r w:rsidRPr="00576AF8">
              <w:t>.4</w:t>
            </w:r>
            <w:r w:rsidR="00AD196A" w:rsidRPr="00576AF8">
              <w:t>;</w:t>
            </w:r>
          </w:p>
        </w:tc>
      </w:tr>
      <w:tr w:rsidR="007B2819" w:rsidRPr="00576AF8" w14:paraId="5CA191D0" w14:textId="77777777" w:rsidTr="00005D3D">
        <w:trPr>
          <w:trHeight w:val="576"/>
        </w:trPr>
        <w:tc>
          <w:tcPr>
            <w:tcW w:w="2535" w:type="dxa"/>
          </w:tcPr>
          <w:p w14:paraId="4F238178" w14:textId="77777777" w:rsidR="007B2819" w:rsidRPr="00576AF8" w:rsidRDefault="007B2819" w:rsidP="00CC7032">
            <w:pPr>
              <w:pStyle w:val="Head12a"/>
              <w:suppressAutoHyphens/>
              <w:spacing w:after="200"/>
              <w:jc w:val="both"/>
              <w:rPr>
                <w:szCs w:val="24"/>
              </w:rPr>
            </w:pPr>
          </w:p>
        </w:tc>
        <w:tc>
          <w:tcPr>
            <w:tcW w:w="6836" w:type="dxa"/>
          </w:tcPr>
          <w:p w14:paraId="202AC59E" w14:textId="77777777" w:rsidR="007B2819" w:rsidRPr="00576AF8" w:rsidRDefault="007B2819">
            <w:pPr>
              <w:pStyle w:val="Prrafodelista"/>
              <w:numPr>
                <w:ilvl w:val="0"/>
                <w:numId w:val="18"/>
              </w:numPr>
              <w:spacing w:after="200"/>
              <w:ind w:left="1062" w:right="-72" w:hanging="450"/>
              <w:contextualSpacing w:val="0"/>
              <w:rPr>
                <w:b/>
                <w:szCs w:val="24"/>
              </w:rPr>
            </w:pPr>
            <w:r w:rsidRPr="00576AF8">
              <w:rPr>
                <w:b/>
              </w:rPr>
              <w:t xml:space="preserve">Propiedad </w:t>
            </w:r>
            <w:r w:rsidR="005038C2" w:rsidRPr="00576AF8">
              <w:rPr>
                <w:b/>
              </w:rPr>
              <w:t>i</w:t>
            </w:r>
            <w:r w:rsidRPr="00576AF8">
              <w:rPr>
                <w:b/>
              </w:rPr>
              <w:t>ntelectual.</w:t>
            </w:r>
            <w:r w:rsidRPr="00576AF8">
              <w:t xml:space="preserve"> Una lista de</w:t>
            </w:r>
            <w:r w:rsidR="00FB0C07" w:rsidRPr="00576AF8">
              <w:t xml:space="preserve"> </w:t>
            </w:r>
            <w:r w:rsidR="005038C2" w:rsidRPr="00576AF8">
              <w:t>p</w:t>
            </w:r>
            <w:r w:rsidRPr="00576AF8">
              <w:t xml:space="preserve">ropiedad </w:t>
            </w:r>
            <w:r w:rsidR="005038C2" w:rsidRPr="00576AF8">
              <w:t>i</w:t>
            </w:r>
            <w:r w:rsidRPr="00576AF8">
              <w:t xml:space="preserve">ntelectual según se define en la </w:t>
            </w:r>
            <w:r w:rsidR="00714CE3" w:rsidRPr="00576AF8">
              <w:t>C</w:t>
            </w:r>
            <w:r w:rsidRPr="00576AF8">
              <w:t>láusula</w:t>
            </w:r>
            <w:r w:rsidR="00F43857" w:rsidRPr="00576AF8">
              <w:t> </w:t>
            </w:r>
            <w:r w:rsidRPr="00576AF8">
              <w:t>15 de las CGC)</w:t>
            </w:r>
            <w:r w:rsidR="00FB0C07" w:rsidRPr="00576AF8">
              <w:t>:</w:t>
            </w:r>
          </w:p>
          <w:p w14:paraId="23EBFCE4" w14:textId="77777777" w:rsidR="007B2267" w:rsidRPr="00576AF8" w:rsidRDefault="007B2267">
            <w:pPr>
              <w:pStyle w:val="Prrafodelista"/>
              <w:numPr>
                <w:ilvl w:val="0"/>
                <w:numId w:val="33"/>
              </w:numPr>
              <w:suppressAutoHyphens w:val="0"/>
              <w:spacing w:after="200"/>
              <w:ind w:left="1422" w:right="-72"/>
              <w:contextualSpacing w:val="0"/>
              <w:rPr>
                <w:b/>
                <w:szCs w:val="24"/>
              </w:rPr>
            </w:pPr>
            <w:r w:rsidRPr="00576AF8">
              <w:t xml:space="preserve">Todo el </w:t>
            </w:r>
            <w:r w:rsidR="00720CAD" w:rsidRPr="00576AF8">
              <w:t>software</w:t>
            </w:r>
            <w:r w:rsidRPr="00576AF8">
              <w:t xml:space="preserve"> incluido en la Oferta, en la que cada partida se asigne a una de las categorías de </w:t>
            </w:r>
            <w:r w:rsidR="001C1A03" w:rsidRPr="00576AF8">
              <w:t>software</w:t>
            </w:r>
            <w:r w:rsidRPr="00576AF8">
              <w:t xml:space="preserve"> definidas en la </w:t>
            </w:r>
            <w:r w:rsidR="00714CE3" w:rsidRPr="00576AF8">
              <w:t>C</w:t>
            </w:r>
            <w:r w:rsidRPr="00576AF8">
              <w:t>láusula</w:t>
            </w:r>
            <w:r w:rsidR="00F43857" w:rsidRPr="00576AF8">
              <w:t> </w:t>
            </w:r>
            <w:r w:rsidRPr="00576AF8">
              <w:t>1.1</w:t>
            </w:r>
            <w:r w:rsidR="004D6A59" w:rsidRPr="00576AF8">
              <w:t> </w:t>
            </w:r>
            <w:r w:rsidR="00284580" w:rsidRPr="00576AF8">
              <w:t>(</w:t>
            </w:r>
            <w:r w:rsidRPr="00576AF8">
              <w:t>c) de las CGC:</w:t>
            </w:r>
          </w:p>
          <w:p w14:paraId="2F517D0A" w14:textId="77777777" w:rsidR="007B2267" w:rsidRPr="00576AF8" w:rsidRDefault="001C1A03">
            <w:pPr>
              <w:numPr>
                <w:ilvl w:val="1"/>
                <w:numId w:val="33"/>
              </w:numPr>
              <w:suppressAutoHyphens w:val="0"/>
              <w:spacing w:after="200"/>
              <w:ind w:left="2052"/>
              <w:rPr>
                <w:szCs w:val="24"/>
              </w:rPr>
            </w:pPr>
            <w:r w:rsidRPr="00576AF8">
              <w:lastRenderedPageBreak/>
              <w:t>software</w:t>
            </w:r>
            <w:r w:rsidR="007B2267" w:rsidRPr="00576AF8">
              <w:t xml:space="preserve"> del </w:t>
            </w:r>
            <w:r w:rsidR="007D2D82" w:rsidRPr="00576AF8">
              <w:t>S</w:t>
            </w:r>
            <w:r w:rsidR="007B2267" w:rsidRPr="00576AF8">
              <w:t>istema, de propósito general y de aplicación;</w:t>
            </w:r>
          </w:p>
          <w:p w14:paraId="6436A3AD" w14:textId="77777777" w:rsidR="007B2267" w:rsidRPr="00576AF8" w:rsidRDefault="001C1A03">
            <w:pPr>
              <w:numPr>
                <w:ilvl w:val="1"/>
                <w:numId w:val="33"/>
              </w:numPr>
              <w:suppressAutoHyphens w:val="0"/>
              <w:spacing w:after="200"/>
              <w:ind w:left="2052"/>
              <w:rPr>
                <w:szCs w:val="24"/>
              </w:rPr>
            </w:pPr>
            <w:r w:rsidRPr="00576AF8">
              <w:t>software</w:t>
            </w:r>
            <w:r w:rsidR="007B2267" w:rsidRPr="00576AF8">
              <w:t xml:space="preserve"> </w:t>
            </w:r>
            <w:r w:rsidR="00A669E5" w:rsidRPr="00576AF8">
              <w:t xml:space="preserve">estándar </w:t>
            </w:r>
            <w:r w:rsidR="007B2267" w:rsidRPr="00576AF8">
              <w:t>y personalizado.</w:t>
            </w:r>
          </w:p>
          <w:p w14:paraId="1F3202C9" w14:textId="77777777" w:rsidR="007B2267" w:rsidRPr="00576AF8" w:rsidRDefault="007B2267">
            <w:pPr>
              <w:pStyle w:val="Prrafodelista"/>
              <w:numPr>
                <w:ilvl w:val="0"/>
                <w:numId w:val="33"/>
              </w:numPr>
              <w:suppressAutoHyphens w:val="0"/>
              <w:spacing w:after="200"/>
              <w:ind w:left="1422" w:right="-72"/>
              <w:contextualSpacing w:val="0"/>
              <w:rPr>
                <w:b/>
                <w:szCs w:val="24"/>
              </w:rPr>
            </w:pPr>
            <w:r w:rsidRPr="00576AF8">
              <w:t>Todos los materiales personalizados que se definen en la cláusula</w:t>
            </w:r>
            <w:r w:rsidR="00F43857" w:rsidRPr="00576AF8">
              <w:t> </w:t>
            </w:r>
            <w:r w:rsidRPr="00576AF8">
              <w:t>1.1</w:t>
            </w:r>
            <w:r w:rsidR="004D6A59" w:rsidRPr="00576AF8">
              <w:t> </w:t>
            </w:r>
            <w:r w:rsidR="00284580" w:rsidRPr="00576AF8">
              <w:t>(</w:t>
            </w:r>
            <w:r w:rsidRPr="00576AF8">
              <w:t>c) de las CGC incluidos en la Oferta.</w:t>
            </w:r>
          </w:p>
        </w:tc>
      </w:tr>
      <w:tr w:rsidR="005D3A16" w:rsidRPr="00576AF8" w14:paraId="13C6D8F0" w14:textId="77777777" w:rsidTr="00005D3D">
        <w:trPr>
          <w:trHeight w:val="583"/>
        </w:trPr>
        <w:tc>
          <w:tcPr>
            <w:tcW w:w="2535" w:type="dxa"/>
          </w:tcPr>
          <w:p w14:paraId="3D63CCA0" w14:textId="77777777" w:rsidR="005D3A16" w:rsidRPr="00576AF8" w:rsidRDefault="005D3A16" w:rsidP="00CC7032">
            <w:pPr>
              <w:numPr>
                <w:ilvl w:val="12"/>
                <w:numId w:val="0"/>
              </w:numPr>
              <w:spacing w:after="200"/>
              <w:ind w:left="360" w:hanging="360"/>
              <w:jc w:val="left"/>
              <w:rPr>
                <w:szCs w:val="24"/>
              </w:rPr>
            </w:pPr>
          </w:p>
        </w:tc>
        <w:tc>
          <w:tcPr>
            <w:tcW w:w="6836" w:type="dxa"/>
          </w:tcPr>
          <w:p w14:paraId="38ADFDD4" w14:textId="77777777" w:rsidR="00490D16" w:rsidRPr="00576AF8" w:rsidRDefault="00BA7B3D" w:rsidP="00FB0C07">
            <w:pPr>
              <w:suppressAutoHyphens w:val="0"/>
              <w:spacing w:after="200"/>
              <w:ind w:left="1422"/>
              <w:rPr>
                <w:szCs w:val="24"/>
              </w:rPr>
            </w:pPr>
            <w:r w:rsidRPr="00576AF8">
              <w:t xml:space="preserve">Todos los materiales que no sean identificados como materiales personalizados se considerarán materiales </w:t>
            </w:r>
            <w:r w:rsidR="00BF22BB" w:rsidRPr="00576AF8">
              <w:t>estándar</w:t>
            </w:r>
            <w:r w:rsidRPr="00576AF8">
              <w:t xml:space="preserve">, según la definición que aparece en la </w:t>
            </w:r>
            <w:r w:rsidR="00714CE3" w:rsidRPr="00576AF8">
              <w:t>C</w:t>
            </w:r>
            <w:r w:rsidRPr="00576AF8">
              <w:t>láusula</w:t>
            </w:r>
            <w:r w:rsidR="005A74D1" w:rsidRPr="00576AF8">
              <w:t> </w:t>
            </w:r>
            <w:r w:rsidRPr="00576AF8">
              <w:t>1.1</w:t>
            </w:r>
            <w:r w:rsidR="004D6A59" w:rsidRPr="00576AF8">
              <w:t> </w:t>
            </w:r>
            <w:r w:rsidR="00E00F60" w:rsidRPr="00576AF8">
              <w:t>(</w:t>
            </w:r>
            <w:r w:rsidRPr="00576AF8">
              <w:t>c) de las CGC.</w:t>
            </w:r>
          </w:p>
          <w:p w14:paraId="05EF707B" w14:textId="77777777" w:rsidR="00A20ED9" w:rsidRPr="00576AF8" w:rsidRDefault="00BA7B3D" w:rsidP="007B2267">
            <w:pPr>
              <w:suppressAutoHyphens w:val="0"/>
              <w:spacing w:after="200"/>
              <w:ind w:left="1422"/>
              <w:rPr>
                <w:szCs w:val="24"/>
              </w:rPr>
            </w:pPr>
            <w:r w:rsidRPr="00576AF8">
              <w:t xml:space="preserve">Todo cambio de categoría del </w:t>
            </w:r>
            <w:r w:rsidR="001C1A03" w:rsidRPr="00576AF8">
              <w:t>software</w:t>
            </w:r>
            <w:r w:rsidRPr="00576AF8">
              <w:t xml:space="preserve"> y los materiales que sea necesario hacer se realizará durante la ejecución del Contrato, conforme a la </w:t>
            </w:r>
            <w:r w:rsidR="00714CE3" w:rsidRPr="00576AF8">
              <w:t>C</w:t>
            </w:r>
            <w:r w:rsidRPr="00576AF8">
              <w:t>láusula</w:t>
            </w:r>
            <w:r w:rsidR="005A74D1" w:rsidRPr="00576AF8">
              <w:t> </w:t>
            </w:r>
            <w:r w:rsidRPr="00576AF8">
              <w:t>39 de las CGC (C</w:t>
            </w:r>
            <w:r w:rsidR="00D213D5" w:rsidRPr="00576AF8">
              <w:t>ambios al Sistema Informático)</w:t>
            </w:r>
            <w:r w:rsidR="00FB0C07" w:rsidRPr="00576AF8">
              <w:t>; y</w:t>
            </w:r>
          </w:p>
          <w:p w14:paraId="4DBAD694" w14:textId="77777777" w:rsidR="007B2267" w:rsidRPr="00576AF8" w:rsidRDefault="007B2267">
            <w:pPr>
              <w:pStyle w:val="Prrafodelista"/>
              <w:numPr>
                <w:ilvl w:val="0"/>
                <w:numId w:val="18"/>
              </w:numPr>
              <w:spacing w:after="200"/>
              <w:ind w:left="1062" w:right="-72" w:hanging="450"/>
              <w:contextualSpacing w:val="0"/>
              <w:rPr>
                <w:szCs w:val="24"/>
              </w:rPr>
            </w:pPr>
            <w:r w:rsidRPr="00576AF8">
              <w:t xml:space="preserve">Cualquier otro documento exigido </w:t>
            </w:r>
            <w:r w:rsidRPr="00576AF8">
              <w:rPr>
                <w:b/>
              </w:rPr>
              <w:t>en los DDL</w:t>
            </w:r>
            <w:r w:rsidRPr="00576AF8">
              <w:t>.</w:t>
            </w:r>
          </w:p>
        </w:tc>
      </w:tr>
      <w:tr w:rsidR="00BC2075" w:rsidRPr="00576AF8" w14:paraId="791A03F0" w14:textId="77777777" w:rsidTr="00005D3D">
        <w:tc>
          <w:tcPr>
            <w:tcW w:w="2535" w:type="dxa"/>
          </w:tcPr>
          <w:p w14:paraId="4E7D3B9D" w14:textId="77777777" w:rsidR="00BC2075" w:rsidRPr="00576AF8" w:rsidRDefault="00BC2075" w:rsidP="00CC7032">
            <w:pPr>
              <w:numPr>
                <w:ilvl w:val="12"/>
                <w:numId w:val="0"/>
              </w:numPr>
              <w:spacing w:after="200"/>
              <w:ind w:left="360" w:hanging="360"/>
              <w:jc w:val="left"/>
              <w:rPr>
                <w:szCs w:val="24"/>
              </w:rPr>
            </w:pPr>
          </w:p>
        </w:tc>
        <w:tc>
          <w:tcPr>
            <w:tcW w:w="6836" w:type="dxa"/>
          </w:tcPr>
          <w:p w14:paraId="3564DA5D" w14:textId="77777777" w:rsidR="00BC2075" w:rsidRPr="00576AF8" w:rsidRDefault="00BC2075">
            <w:pPr>
              <w:pStyle w:val="Prrafodelista"/>
              <w:numPr>
                <w:ilvl w:val="0"/>
                <w:numId w:val="56"/>
              </w:numPr>
              <w:ind w:left="591" w:hanging="567"/>
            </w:pPr>
            <w:r w:rsidRPr="00576AF8">
              <w:t>La Parte Financiera deberá contener los siguientes documentos:</w:t>
            </w:r>
            <w:r w:rsidR="00714CE3" w:rsidRPr="00576AF8">
              <w:t xml:space="preserve"> </w:t>
            </w:r>
          </w:p>
        </w:tc>
      </w:tr>
      <w:tr w:rsidR="00BC2075" w:rsidRPr="00576AF8" w14:paraId="533DCC2D" w14:textId="77777777" w:rsidTr="00005D3D">
        <w:tc>
          <w:tcPr>
            <w:tcW w:w="2535" w:type="dxa"/>
          </w:tcPr>
          <w:p w14:paraId="76160C70" w14:textId="77777777" w:rsidR="00BC2075" w:rsidRPr="00576AF8" w:rsidRDefault="00BC2075" w:rsidP="00BC2075">
            <w:pPr>
              <w:numPr>
                <w:ilvl w:val="12"/>
                <w:numId w:val="0"/>
              </w:numPr>
              <w:spacing w:after="200"/>
              <w:ind w:left="360" w:hanging="360"/>
              <w:jc w:val="left"/>
              <w:rPr>
                <w:szCs w:val="24"/>
              </w:rPr>
            </w:pPr>
          </w:p>
        </w:tc>
        <w:tc>
          <w:tcPr>
            <w:tcW w:w="6836" w:type="dxa"/>
          </w:tcPr>
          <w:p w14:paraId="46E82770" w14:textId="77777777" w:rsidR="00BC2075" w:rsidRPr="00576AF8" w:rsidRDefault="00BC2075">
            <w:pPr>
              <w:pStyle w:val="P3Header1-Clauses"/>
              <w:numPr>
                <w:ilvl w:val="0"/>
                <w:numId w:val="55"/>
              </w:numPr>
              <w:spacing w:after="180"/>
              <w:ind w:left="888" w:hanging="425"/>
              <w:jc w:val="both"/>
              <w:rPr>
                <w:b w:val="0"/>
              </w:rPr>
            </w:pPr>
            <w:r w:rsidRPr="00576AF8">
              <w:t xml:space="preserve">Carta de Oferta-Parte Financiera, </w:t>
            </w:r>
            <w:r w:rsidRPr="00576AF8">
              <w:rPr>
                <w:b w:val="0"/>
              </w:rPr>
              <w:t>preparada de conformidad con las IAL 12 y 14</w:t>
            </w:r>
            <w:r w:rsidRPr="00576AF8">
              <w:rPr>
                <w:b w:val="0"/>
                <w:szCs w:val="24"/>
              </w:rPr>
              <w:t>;</w:t>
            </w:r>
            <w:r w:rsidRPr="00576AF8">
              <w:rPr>
                <w:b w:val="0"/>
              </w:rPr>
              <w:t xml:space="preserve"> </w:t>
            </w:r>
          </w:p>
        </w:tc>
      </w:tr>
      <w:tr w:rsidR="00BC2075" w:rsidRPr="00576AF8" w14:paraId="3DDB1396" w14:textId="77777777" w:rsidTr="00005D3D">
        <w:tc>
          <w:tcPr>
            <w:tcW w:w="2535" w:type="dxa"/>
          </w:tcPr>
          <w:p w14:paraId="04CEC80C" w14:textId="77777777" w:rsidR="00BC2075" w:rsidRPr="00576AF8" w:rsidRDefault="00BC2075" w:rsidP="00BC2075">
            <w:pPr>
              <w:numPr>
                <w:ilvl w:val="12"/>
                <w:numId w:val="0"/>
              </w:numPr>
              <w:spacing w:after="200"/>
              <w:ind w:left="360" w:hanging="360"/>
              <w:jc w:val="left"/>
              <w:rPr>
                <w:szCs w:val="24"/>
              </w:rPr>
            </w:pPr>
          </w:p>
        </w:tc>
        <w:tc>
          <w:tcPr>
            <w:tcW w:w="6836" w:type="dxa"/>
          </w:tcPr>
          <w:p w14:paraId="0BDD24D7" w14:textId="77777777" w:rsidR="00BC2075" w:rsidRPr="00576AF8" w:rsidRDefault="00BC2075">
            <w:pPr>
              <w:pStyle w:val="P3Header1-Clauses"/>
              <w:numPr>
                <w:ilvl w:val="0"/>
                <w:numId w:val="55"/>
              </w:numPr>
              <w:spacing w:after="180"/>
              <w:ind w:left="888" w:hanging="425"/>
              <w:jc w:val="both"/>
            </w:pPr>
            <w:r w:rsidRPr="00576AF8">
              <w:t xml:space="preserve">Listas de Precios </w:t>
            </w:r>
            <w:r w:rsidRPr="00576AF8">
              <w:rPr>
                <w:b w:val="0"/>
              </w:rPr>
              <w:t>completadas de conformidad con las IAL 12 y 1</w:t>
            </w:r>
            <w:r w:rsidR="00714CE3" w:rsidRPr="00576AF8">
              <w:rPr>
                <w:b w:val="0"/>
              </w:rPr>
              <w:t>4</w:t>
            </w:r>
            <w:r w:rsidRPr="00576AF8">
              <w:rPr>
                <w:b w:val="0"/>
              </w:rPr>
              <w:t>;</w:t>
            </w:r>
          </w:p>
        </w:tc>
      </w:tr>
      <w:tr w:rsidR="00BC2075" w:rsidRPr="00576AF8" w14:paraId="5BD489DD" w14:textId="77777777" w:rsidTr="00005D3D">
        <w:tc>
          <w:tcPr>
            <w:tcW w:w="2535" w:type="dxa"/>
          </w:tcPr>
          <w:p w14:paraId="188B4646" w14:textId="77777777" w:rsidR="00BC2075" w:rsidRPr="00576AF8" w:rsidRDefault="00BC2075" w:rsidP="00BC2075">
            <w:pPr>
              <w:numPr>
                <w:ilvl w:val="12"/>
                <w:numId w:val="0"/>
              </w:numPr>
              <w:spacing w:after="200"/>
              <w:ind w:left="360" w:hanging="360"/>
              <w:jc w:val="left"/>
              <w:rPr>
                <w:szCs w:val="24"/>
              </w:rPr>
            </w:pPr>
          </w:p>
        </w:tc>
        <w:tc>
          <w:tcPr>
            <w:tcW w:w="6836" w:type="dxa"/>
          </w:tcPr>
          <w:p w14:paraId="3213AAAC" w14:textId="77777777" w:rsidR="00BC2075" w:rsidRPr="00576AF8" w:rsidRDefault="00BC2075">
            <w:pPr>
              <w:pStyle w:val="P3Header1-Clauses"/>
              <w:numPr>
                <w:ilvl w:val="0"/>
                <w:numId w:val="55"/>
              </w:numPr>
              <w:spacing w:after="180"/>
              <w:ind w:left="888" w:hanging="425"/>
              <w:jc w:val="both"/>
              <w:rPr>
                <w:b w:val="0"/>
              </w:rPr>
            </w:pPr>
            <w:r w:rsidRPr="00576AF8">
              <w:t xml:space="preserve">Oferta Alternativa, Parte Financiera: </w:t>
            </w:r>
            <w:r w:rsidRPr="00576AF8">
              <w:rPr>
                <w:b w:val="0"/>
              </w:rPr>
              <w:t xml:space="preserve">si se permite de conformidad con lo dispuesto en la IAL 13, la Parte Financiera de cualquier Oferta Alternativa; </w:t>
            </w:r>
          </w:p>
          <w:p w14:paraId="378747A6" w14:textId="77777777" w:rsidR="00BC2075" w:rsidRPr="00576AF8" w:rsidRDefault="00BC2075">
            <w:pPr>
              <w:pStyle w:val="P3Header1-Clauses"/>
              <w:numPr>
                <w:ilvl w:val="0"/>
                <w:numId w:val="55"/>
              </w:numPr>
              <w:spacing w:after="180"/>
              <w:ind w:left="888" w:hanging="425"/>
              <w:jc w:val="both"/>
            </w:pPr>
            <w:r w:rsidRPr="00576AF8">
              <w:rPr>
                <w:b w:val="0"/>
              </w:rPr>
              <w:t>cualquier otro documento exigido</w:t>
            </w:r>
            <w:r w:rsidRPr="00576AF8">
              <w:t xml:space="preserve"> en los DDL</w:t>
            </w:r>
            <w:r w:rsidRPr="00576AF8">
              <w:rPr>
                <w:szCs w:val="24"/>
              </w:rPr>
              <w:t>.</w:t>
            </w:r>
          </w:p>
        </w:tc>
      </w:tr>
      <w:tr w:rsidR="00BC2075" w:rsidRPr="00576AF8" w14:paraId="729F7A18" w14:textId="77777777" w:rsidTr="00005D3D">
        <w:tc>
          <w:tcPr>
            <w:tcW w:w="2535" w:type="dxa"/>
          </w:tcPr>
          <w:p w14:paraId="03B9C5F8" w14:textId="77777777" w:rsidR="00BC2075" w:rsidRPr="00576AF8" w:rsidRDefault="00BC2075" w:rsidP="00BC2075">
            <w:pPr>
              <w:numPr>
                <w:ilvl w:val="12"/>
                <w:numId w:val="0"/>
              </w:numPr>
              <w:spacing w:after="200"/>
              <w:ind w:left="360" w:hanging="360"/>
              <w:jc w:val="left"/>
              <w:rPr>
                <w:szCs w:val="24"/>
              </w:rPr>
            </w:pPr>
          </w:p>
        </w:tc>
        <w:tc>
          <w:tcPr>
            <w:tcW w:w="6836" w:type="dxa"/>
          </w:tcPr>
          <w:p w14:paraId="08EC770A" w14:textId="77777777" w:rsidR="00BC2075" w:rsidRPr="00576AF8" w:rsidRDefault="00BC2075">
            <w:pPr>
              <w:pStyle w:val="Prrafodelista"/>
              <w:numPr>
                <w:ilvl w:val="0"/>
                <w:numId w:val="56"/>
              </w:numPr>
              <w:ind w:left="591" w:hanging="567"/>
              <w:rPr>
                <w:szCs w:val="24"/>
              </w:rPr>
            </w:pPr>
            <w:r w:rsidRPr="00576AF8">
              <w:t xml:space="preserve">Además de los requisitos establecidos en la IAL 11.1, las Ofertas presentadas por una </w:t>
            </w:r>
            <w:r w:rsidR="00C05F8A" w:rsidRPr="00576AF8">
              <w:t>Asociación en Participación, Consorcio o Asociación ("</w:t>
            </w:r>
            <w:r w:rsidRPr="00576AF8">
              <w:t>APCA</w:t>
            </w:r>
            <w:r w:rsidR="00C05F8A" w:rsidRPr="00576AF8">
              <w:t>")</w:t>
            </w:r>
            <w:r w:rsidRPr="00576AF8">
              <w:t xml:space="preserve"> deberán incluir una copia del acuerdo de APCA celebrado por todos los miembros, en el que se indiquen, al menos, las partes del Sistema Informático que ejecutarán los respectivos miembros. De lo contrario, en caso de que la Oferta resulte seleccionada, se deberá presentar junto con la Oferta una carta de intención de celebrar un acuerdo de APCA firmada por todos los miembros y una copia del acuerdo propuesto, en el que se indiquen, al menos, las partes del Sistema Informático que ejecutarán los respectivos miembros. </w:t>
            </w:r>
          </w:p>
        </w:tc>
      </w:tr>
      <w:tr w:rsidR="00BC2075" w:rsidRPr="00576AF8" w14:paraId="421C2268" w14:textId="77777777" w:rsidTr="00005D3D">
        <w:tc>
          <w:tcPr>
            <w:tcW w:w="2535" w:type="dxa"/>
          </w:tcPr>
          <w:p w14:paraId="6B1BE526" w14:textId="77777777" w:rsidR="00BC2075" w:rsidRPr="00576AF8" w:rsidRDefault="00BC2075" w:rsidP="00BC2075">
            <w:pPr>
              <w:numPr>
                <w:ilvl w:val="12"/>
                <w:numId w:val="0"/>
              </w:numPr>
              <w:spacing w:after="200"/>
              <w:ind w:left="360" w:hanging="360"/>
              <w:jc w:val="left"/>
              <w:rPr>
                <w:szCs w:val="24"/>
              </w:rPr>
            </w:pPr>
          </w:p>
        </w:tc>
        <w:tc>
          <w:tcPr>
            <w:tcW w:w="6836" w:type="dxa"/>
          </w:tcPr>
          <w:p w14:paraId="2832DB84" w14:textId="77777777" w:rsidR="00BC2075" w:rsidRPr="00576AF8" w:rsidRDefault="00BC2075">
            <w:pPr>
              <w:pStyle w:val="Prrafodelista"/>
              <w:numPr>
                <w:ilvl w:val="0"/>
                <w:numId w:val="56"/>
              </w:numPr>
              <w:ind w:left="591" w:hanging="567"/>
              <w:rPr>
                <w:szCs w:val="24"/>
              </w:rPr>
            </w:pPr>
            <w:r w:rsidRPr="00576AF8">
              <w:t xml:space="preserve">En la carta de la Oferta, el Licitante deberá brindar información sobre comisiones y gratificaciones, si las hubiere, que se hayan </w:t>
            </w:r>
            <w:r w:rsidRPr="00576AF8">
              <w:lastRenderedPageBreak/>
              <w:t>pagado o se vayan a pagar a los agentes o a cualquier otra parte relacionada con esta Oferta.</w:t>
            </w:r>
          </w:p>
        </w:tc>
      </w:tr>
      <w:tr w:rsidR="00BC2075" w:rsidRPr="00576AF8" w14:paraId="7F384A94" w14:textId="77777777" w:rsidTr="00005D3D">
        <w:tc>
          <w:tcPr>
            <w:tcW w:w="2535" w:type="dxa"/>
          </w:tcPr>
          <w:p w14:paraId="4C60C640" w14:textId="77777777" w:rsidR="00BC2075" w:rsidRPr="00576AF8" w:rsidRDefault="00BC2075" w:rsidP="00314996">
            <w:pPr>
              <w:pStyle w:val="TOC2-2"/>
            </w:pPr>
            <w:bookmarkStart w:id="99" w:name="_Toc434304505"/>
            <w:bookmarkStart w:id="100" w:name="_Toc454907779"/>
            <w:bookmarkStart w:id="101" w:name="_Toc476308779"/>
            <w:bookmarkStart w:id="102" w:name="_Toc479333329"/>
            <w:bookmarkStart w:id="103" w:name="_Toc25486588"/>
            <w:r w:rsidRPr="00576AF8">
              <w:lastRenderedPageBreak/>
              <w:t>12.</w:t>
            </w:r>
            <w:r w:rsidRPr="00576AF8">
              <w:tab/>
              <w:t>Carta</w:t>
            </w:r>
            <w:r w:rsidR="002566AB" w:rsidRPr="00576AF8">
              <w:t>s</w:t>
            </w:r>
            <w:r w:rsidRPr="00576AF8">
              <w:t xml:space="preserve"> de la Oferta y </w:t>
            </w:r>
            <w:bookmarkEnd w:id="99"/>
            <w:bookmarkEnd w:id="100"/>
            <w:bookmarkEnd w:id="101"/>
            <w:bookmarkEnd w:id="102"/>
            <w:r w:rsidRPr="00576AF8">
              <w:t>Formularios</w:t>
            </w:r>
            <w:bookmarkEnd w:id="103"/>
          </w:p>
          <w:p w14:paraId="37A25041" w14:textId="77777777" w:rsidR="00BC2075" w:rsidRPr="00576AF8" w:rsidRDefault="00BC2075" w:rsidP="00314996">
            <w:pPr>
              <w:pStyle w:val="TOC2-2"/>
              <w:suppressAutoHyphens/>
              <w:jc w:val="both"/>
            </w:pPr>
          </w:p>
        </w:tc>
        <w:tc>
          <w:tcPr>
            <w:tcW w:w="6836" w:type="dxa"/>
          </w:tcPr>
          <w:p w14:paraId="68EDA0A2" w14:textId="77777777" w:rsidR="00BC2075" w:rsidRPr="00576AF8" w:rsidRDefault="00BC2075" w:rsidP="00BC2075">
            <w:pPr>
              <w:spacing w:after="200"/>
              <w:ind w:left="547" w:right="-72" w:hanging="547"/>
              <w:rPr>
                <w:szCs w:val="24"/>
              </w:rPr>
            </w:pPr>
            <w:r w:rsidRPr="00576AF8">
              <w:t>12.1 La Carta de Oferta-Parte Técnica, la Carta de Oferta-Parte Financiera y los Programas de Actividades con estipulación de precios o la Lista de Cantidades se prepararán utilizando los modelos pertinentes suministrados en la Sección IV, “</w:t>
            </w:r>
            <w:r w:rsidR="002918CE" w:rsidRPr="00576AF8">
              <w:t xml:space="preserve">Formularios de </w:t>
            </w:r>
            <w:r w:rsidR="007B045D" w:rsidRPr="00576AF8">
              <w:t xml:space="preserve">la </w:t>
            </w:r>
            <w:r w:rsidR="002918CE" w:rsidRPr="00576AF8">
              <w:t>Oferta</w:t>
            </w:r>
            <w:r w:rsidRPr="00576AF8">
              <w:t>”. Los formularios se deben completar sin alterar el texto, y no se admitirá que sean reemplazados por otros, salvo lo dispuesto en la IAL 20.3. Todos los espacios en blanco se completarán con la información requerida.</w:t>
            </w:r>
          </w:p>
        </w:tc>
      </w:tr>
      <w:tr w:rsidR="00BC2075" w:rsidRPr="00576AF8" w14:paraId="1BE5CA97" w14:textId="77777777" w:rsidTr="00005D3D">
        <w:tc>
          <w:tcPr>
            <w:tcW w:w="2535" w:type="dxa"/>
          </w:tcPr>
          <w:p w14:paraId="2D9206E7" w14:textId="77777777" w:rsidR="00BC2075" w:rsidRPr="00576AF8" w:rsidRDefault="00BC2075" w:rsidP="00314996">
            <w:pPr>
              <w:pStyle w:val="TOC2-2"/>
            </w:pPr>
            <w:bookmarkStart w:id="104" w:name="_Toc434304506"/>
            <w:bookmarkStart w:id="105" w:name="_Toc454907780"/>
            <w:bookmarkStart w:id="106" w:name="_Toc476308780"/>
            <w:bookmarkStart w:id="107" w:name="_Toc479333330"/>
            <w:bookmarkStart w:id="108" w:name="_Toc25486589"/>
            <w:r w:rsidRPr="00576AF8">
              <w:t>13.</w:t>
            </w:r>
            <w:r w:rsidRPr="00576AF8">
              <w:tab/>
              <w:t xml:space="preserve">Ofertas </w:t>
            </w:r>
            <w:bookmarkEnd w:id="104"/>
            <w:bookmarkEnd w:id="105"/>
            <w:bookmarkEnd w:id="106"/>
            <w:bookmarkEnd w:id="107"/>
            <w:r w:rsidRPr="00576AF8">
              <w:t>Alternativas</w:t>
            </w:r>
            <w:bookmarkEnd w:id="108"/>
          </w:p>
          <w:p w14:paraId="561F9E90" w14:textId="77777777" w:rsidR="00BC2075" w:rsidRPr="00576AF8" w:rsidRDefault="00BC2075" w:rsidP="00314996">
            <w:pPr>
              <w:pStyle w:val="TOC2-2"/>
              <w:suppressAutoHyphens/>
              <w:jc w:val="both"/>
            </w:pPr>
          </w:p>
        </w:tc>
        <w:tc>
          <w:tcPr>
            <w:tcW w:w="6836" w:type="dxa"/>
          </w:tcPr>
          <w:p w14:paraId="1612E191" w14:textId="77777777" w:rsidR="00BC2075" w:rsidRPr="00576AF8" w:rsidRDefault="00BC2075" w:rsidP="00BC2075">
            <w:pPr>
              <w:spacing w:after="200"/>
              <w:ind w:left="547" w:right="-72" w:hanging="547"/>
              <w:rPr>
                <w:szCs w:val="24"/>
              </w:rPr>
            </w:pPr>
            <w:r w:rsidRPr="00576AF8">
              <w:t>13.1</w:t>
            </w:r>
            <w:r w:rsidRPr="00576AF8">
              <w:tab/>
            </w:r>
            <w:r w:rsidRPr="00576AF8">
              <w:rPr>
                <w:b/>
                <w:bCs/>
              </w:rPr>
              <w:t xml:space="preserve">En los DDL </w:t>
            </w:r>
            <w:r w:rsidRPr="00576AF8">
              <w:t>se indica si se permiten Ofertas alternativas. Si se permiten, en los</w:t>
            </w:r>
            <w:r w:rsidRPr="00576AF8">
              <w:rPr>
                <w:b/>
              </w:rPr>
              <w:t xml:space="preserve"> DDL</w:t>
            </w:r>
            <w:r w:rsidRPr="00576AF8">
              <w:t xml:space="preserve"> también se indicará si se permiten de conformidad con la IAL 13.3 o si se invitan de conformidad con las IAL 13.2 o 13.4.</w:t>
            </w:r>
          </w:p>
          <w:p w14:paraId="6D6436B0" w14:textId="77777777" w:rsidR="00BC2075" w:rsidRPr="00576AF8" w:rsidRDefault="00BC2075" w:rsidP="00BC2075">
            <w:pPr>
              <w:spacing w:after="200"/>
              <w:ind w:left="547" w:right="-72" w:hanging="547"/>
              <w:rPr>
                <w:spacing w:val="-4"/>
                <w:szCs w:val="24"/>
              </w:rPr>
            </w:pPr>
            <w:r w:rsidRPr="00576AF8">
              <w:rPr>
                <w:spacing w:val="-4"/>
              </w:rPr>
              <w:t>13.2</w:t>
            </w:r>
            <w:r w:rsidRPr="00576AF8">
              <w:rPr>
                <w:spacing w:val="-4"/>
              </w:rPr>
              <w:tab/>
              <w:t xml:space="preserve">Cuando se soliciten expresamente cronogramas alternativos, se incluirá </w:t>
            </w:r>
            <w:r w:rsidRPr="00576AF8">
              <w:rPr>
                <w:b/>
                <w:spacing w:val="-4"/>
              </w:rPr>
              <w:t>en los DDL</w:t>
            </w:r>
            <w:r w:rsidRPr="00576AF8">
              <w:rPr>
                <w:spacing w:val="-4"/>
              </w:rPr>
              <w:t xml:space="preserve"> un enunciado en este sentido, y la metodología para la evaluación de los diferentes cronogramas se describirá en la Sección III, “Criterios de Evaluación y Calificación”.</w:t>
            </w:r>
          </w:p>
          <w:p w14:paraId="3892F4ED" w14:textId="77777777" w:rsidR="00BC2075" w:rsidRPr="00576AF8" w:rsidRDefault="00BC2075" w:rsidP="00BC2075">
            <w:pPr>
              <w:spacing w:after="200"/>
              <w:ind w:left="547" w:right="-72" w:hanging="547"/>
              <w:rPr>
                <w:szCs w:val="24"/>
              </w:rPr>
            </w:pPr>
            <w:r w:rsidRPr="00576AF8">
              <w:t>13.3</w:t>
            </w:r>
            <w:r w:rsidRPr="00576AF8">
              <w:tab/>
              <w:t xml:space="preserve">Excepto en los casos previstos en la IAL 13.4, los Licitantes que deseen ofrecer alternativas técnicas a los requisitos del Comprador que se exponen en el </w:t>
            </w:r>
            <w:r w:rsidR="00807C34" w:rsidRPr="00576AF8">
              <w:t>documento de licitación</w:t>
            </w:r>
            <w:r w:rsidRPr="00576AF8">
              <w:t xml:space="preserve"> deberán, además, suministrar: (i) el precio (solamente en el sobre financiero) al que estén dispuestos a ofrecer un Sistema Informático que cumpla con los requisitos del Comprador, y (ii) toda la información necesaria para que el Comprador efectúe una evaluación completa de las soluciones alternativas, con inclusión de planos, cálculos del diseño, especificaciones técnicas, desglose de precios (solamente en el sobre financiero) y metodología de instalación propuesta, así como cualquier otro detalle pertinente. El Comprador solo considerará las soluciones técnicas alternativas, si las hubiere, del Licitante cuya Oferta se ajuste a los requisitos técnicos básicos y haya sido evaluada como la Oferta Más </w:t>
            </w:r>
            <w:r w:rsidR="0077313B" w:rsidRPr="00576AF8">
              <w:t>Ventajosa</w:t>
            </w:r>
            <w:r w:rsidRPr="00576AF8">
              <w:t>.</w:t>
            </w:r>
          </w:p>
          <w:p w14:paraId="78CAECA7" w14:textId="77777777" w:rsidR="00BC2075" w:rsidRPr="00576AF8" w:rsidRDefault="00BC2075" w:rsidP="00BC2075">
            <w:pPr>
              <w:spacing w:after="200"/>
              <w:ind w:left="547" w:right="-72" w:hanging="547"/>
              <w:rPr>
                <w:szCs w:val="24"/>
              </w:rPr>
            </w:pPr>
            <w:r w:rsidRPr="00576AF8">
              <w:t>13.4</w:t>
            </w:r>
            <w:r w:rsidRPr="00576AF8">
              <w:tab/>
              <w:t xml:space="preserve">Cuando </w:t>
            </w:r>
            <w:r w:rsidRPr="00576AF8">
              <w:rPr>
                <w:b/>
              </w:rPr>
              <w:t>en los DDL</w:t>
            </w:r>
            <w:r w:rsidRPr="00576AF8">
              <w:t xml:space="preserve"> se invita a los Licitantes a presentar soluciones técnicas alternativas para partes específicas del sistema, tales partes se describirán en la Sección VI, “Requisitos del Sistema Informático”. Las alternativas técnicas que cumplan con los criterios técnicos y de rendimiento especificados para el Sistema Informático serán consideradas por el Comprador sobre la base de sus propios méritos, de conformidad con la IAL </w:t>
            </w:r>
            <w:r w:rsidR="00714CE3" w:rsidRPr="00576AF8">
              <w:t>31</w:t>
            </w:r>
            <w:r w:rsidRPr="00576AF8">
              <w:t>.</w:t>
            </w:r>
          </w:p>
        </w:tc>
      </w:tr>
      <w:tr w:rsidR="00261E27" w:rsidRPr="00576AF8" w14:paraId="23F65AA0" w14:textId="77777777" w:rsidTr="00005D3D">
        <w:tc>
          <w:tcPr>
            <w:tcW w:w="2535" w:type="dxa"/>
          </w:tcPr>
          <w:p w14:paraId="5999C983" w14:textId="77777777" w:rsidR="00261E27" w:rsidRPr="00576AF8" w:rsidRDefault="00E4025D" w:rsidP="004313F3">
            <w:pPr>
              <w:pStyle w:val="TOC2-2"/>
              <w:suppressAutoHyphens/>
            </w:pPr>
            <w:bookmarkStart w:id="109" w:name="_Toc25486590"/>
            <w:r w:rsidRPr="00576AF8">
              <w:lastRenderedPageBreak/>
              <w:t xml:space="preserve">14. </w:t>
            </w:r>
            <w:r w:rsidR="00261E27" w:rsidRPr="00576AF8">
              <w:t>Precios de la Oferta y Descuentos</w:t>
            </w:r>
            <w:bookmarkEnd w:id="109"/>
          </w:p>
        </w:tc>
        <w:tc>
          <w:tcPr>
            <w:tcW w:w="6836" w:type="dxa"/>
          </w:tcPr>
          <w:p w14:paraId="7BD48B71" w14:textId="77777777" w:rsidR="00261E27" w:rsidRPr="00576AF8" w:rsidRDefault="00261E27">
            <w:pPr>
              <w:pStyle w:val="Prrafodelista"/>
              <w:numPr>
                <w:ilvl w:val="0"/>
                <w:numId w:val="57"/>
              </w:numPr>
              <w:ind w:left="599" w:hanging="567"/>
            </w:pPr>
            <w:r w:rsidRPr="00576AF8">
              <w:t xml:space="preserve">Los precios y los descuentos cotizados por el Licitante en la Carta de Oferta - Parte Financiera deben incluir  </w:t>
            </w:r>
            <w:r w:rsidRPr="00576AF8">
              <w:br/>
              <w:t xml:space="preserve">todos los bienes y servicios indicados en los cuadros de costos de suministro e instalación </w:t>
            </w:r>
            <w:r w:rsidR="0025030E" w:rsidRPr="00576AF8">
              <w:t>según el</w:t>
            </w:r>
            <w:r w:rsidRPr="00576AF8">
              <w:t xml:space="preserve"> inventario del Sistema incluidos en la Sección VI, </w:t>
            </w:r>
            <w:r w:rsidR="00714CE3" w:rsidRPr="00576AF8">
              <w:rPr>
                <w:spacing w:val="-4"/>
              </w:rPr>
              <w:t>"</w:t>
            </w:r>
            <w:r w:rsidR="00714CE3" w:rsidRPr="00576AF8">
              <w:t>Requisitos del Sistema Informático"</w:t>
            </w:r>
            <w:r w:rsidR="0025030E" w:rsidRPr="00576AF8">
              <w:rPr>
                <w:spacing w:val="-4"/>
              </w:rPr>
              <w:t xml:space="preserve">.  Además, todos los </w:t>
            </w:r>
            <w:r w:rsidRPr="00576AF8">
              <w:t xml:space="preserve">demás bienes y servicios propuestos por el Licitante para cumplir los requisitos del Sistema Informático deben cotizarse por separado y resumirse en los cuadros de costos correspondientes que figuran en los </w:t>
            </w:r>
            <w:r w:rsidR="002918CE" w:rsidRPr="00576AF8">
              <w:t xml:space="preserve">Formularios de </w:t>
            </w:r>
            <w:r w:rsidR="007B045D" w:rsidRPr="00576AF8">
              <w:t xml:space="preserve">la </w:t>
            </w:r>
            <w:r w:rsidR="002918CE" w:rsidRPr="00576AF8">
              <w:t>Oferta</w:t>
            </w:r>
            <w:r w:rsidRPr="00576AF8">
              <w:t xml:space="preserve"> de la Sección IV, </w:t>
            </w:r>
            <w:r w:rsidR="00714CE3" w:rsidRPr="00576AF8">
              <w:t>"</w:t>
            </w:r>
            <w:r w:rsidR="002918CE" w:rsidRPr="00576AF8">
              <w:t xml:space="preserve">Formularios de </w:t>
            </w:r>
            <w:r w:rsidR="007B045D" w:rsidRPr="00576AF8">
              <w:t xml:space="preserve">la </w:t>
            </w:r>
            <w:r w:rsidR="002918CE" w:rsidRPr="00576AF8">
              <w:t>Oferta</w:t>
            </w:r>
            <w:r w:rsidR="00714CE3" w:rsidRPr="00576AF8">
              <w:t xml:space="preserve">" </w:t>
            </w:r>
            <w:r w:rsidRPr="00576AF8">
              <w:t>de conformidad con las instrucciones provistas en los cuadros y de la manera que se especifica a continuación.</w:t>
            </w:r>
          </w:p>
        </w:tc>
      </w:tr>
      <w:tr w:rsidR="00261E27" w:rsidRPr="00576AF8" w14:paraId="4D673708" w14:textId="77777777" w:rsidTr="00005D3D">
        <w:tc>
          <w:tcPr>
            <w:tcW w:w="2535" w:type="dxa"/>
          </w:tcPr>
          <w:p w14:paraId="3CFF673E" w14:textId="77777777" w:rsidR="00261E27" w:rsidRPr="00576AF8" w:rsidRDefault="00261E27" w:rsidP="00261E27">
            <w:pPr>
              <w:pStyle w:val="TOC2-2"/>
              <w:suppressAutoHyphens/>
              <w:jc w:val="both"/>
            </w:pPr>
          </w:p>
        </w:tc>
        <w:tc>
          <w:tcPr>
            <w:tcW w:w="6836" w:type="dxa"/>
          </w:tcPr>
          <w:p w14:paraId="2D289B6D" w14:textId="77777777" w:rsidR="00714CE3" w:rsidRPr="00576AF8" w:rsidRDefault="00261E27">
            <w:pPr>
              <w:pStyle w:val="Prrafodelista"/>
              <w:numPr>
                <w:ilvl w:val="0"/>
                <w:numId w:val="57"/>
              </w:numPr>
              <w:ind w:left="599" w:hanging="567"/>
              <w:rPr>
                <w:spacing w:val="-4"/>
                <w:szCs w:val="24"/>
              </w:rPr>
            </w:pPr>
            <w:r w:rsidRPr="00576AF8">
              <w:rPr>
                <w:spacing w:val="-4"/>
              </w:rPr>
              <w:t>Salvo disposición en contrario</w:t>
            </w:r>
            <w:r w:rsidRPr="00576AF8">
              <w:rPr>
                <w:b/>
                <w:spacing w:val="-4"/>
              </w:rPr>
              <w:t xml:space="preserve"> en los DDL</w:t>
            </w:r>
            <w:r w:rsidRPr="00576AF8">
              <w:rPr>
                <w:spacing w:val="-4"/>
              </w:rPr>
              <w:t>, el Licitante también debe cotizar las partidas de gastos recurrentes especificadas en los requisitos técnicos, el cuadro parcial de gastos recurrentes de los cuadros del inventario del Sistema incluidos en la Sección VI</w:t>
            </w:r>
            <w:r w:rsidR="00714CE3" w:rsidRPr="00576AF8">
              <w:rPr>
                <w:spacing w:val="-4"/>
              </w:rPr>
              <w:t>, "</w:t>
            </w:r>
            <w:r w:rsidR="00714CE3" w:rsidRPr="00576AF8">
              <w:t>Requisitos del Sistema Informático"</w:t>
            </w:r>
            <w:r w:rsidR="00714CE3" w:rsidRPr="00576AF8">
              <w:rPr>
                <w:spacing w:val="-4"/>
              </w:rPr>
              <w:t xml:space="preserve"> </w:t>
            </w:r>
            <w:r w:rsidRPr="00576AF8">
              <w:rPr>
                <w:spacing w:val="-4"/>
              </w:rPr>
              <w:t xml:space="preserve">(si los hubiere). Dichas partidas deben cotizarse por separado y resumirse en los cuadros de costos correspondientes que figuran en </w:t>
            </w:r>
            <w:r w:rsidR="002918CE" w:rsidRPr="00576AF8">
              <w:rPr>
                <w:spacing w:val="-4"/>
              </w:rPr>
              <w:t xml:space="preserve">Formularios de </w:t>
            </w:r>
            <w:r w:rsidR="007B045D" w:rsidRPr="00576AF8">
              <w:rPr>
                <w:spacing w:val="-4"/>
              </w:rPr>
              <w:t xml:space="preserve">la </w:t>
            </w:r>
            <w:r w:rsidR="002918CE" w:rsidRPr="00576AF8">
              <w:rPr>
                <w:spacing w:val="-4"/>
              </w:rPr>
              <w:t>Oferta</w:t>
            </w:r>
            <w:r w:rsidRPr="00576AF8">
              <w:rPr>
                <w:spacing w:val="-4"/>
              </w:rPr>
              <w:t xml:space="preserve"> de la Sección IV, </w:t>
            </w:r>
            <w:r w:rsidR="00714CE3" w:rsidRPr="00576AF8">
              <w:t>"</w:t>
            </w:r>
            <w:r w:rsidR="002918CE" w:rsidRPr="00576AF8">
              <w:t xml:space="preserve">Formularios de </w:t>
            </w:r>
            <w:r w:rsidR="007B045D" w:rsidRPr="00576AF8">
              <w:t xml:space="preserve">la </w:t>
            </w:r>
            <w:r w:rsidR="002918CE" w:rsidRPr="00576AF8">
              <w:t>Oferta</w:t>
            </w:r>
            <w:r w:rsidR="00714CE3" w:rsidRPr="00576AF8">
              <w:t xml:space="preserve">" </w:t>
            </w:r>
            <w:r w:rsidRPr="00576AF8">
              <w:rPr>
                <w:spacing w:val="-4"/>
              </w:rPr>
              <w:t>de conformidad con las instrucciones provistas en los cuadros y de la manera que se especifica a continuación:</w:t>
            </w:r>
          </w:p>
          <w:p w14:paraId="09DF7FA4" w14:textId="77777777" w:rsidR="00261E27" w:rsidRPr="00576AF8" w:rsidRDefault="00261E27">
            <w:pPr>
              <w:pStyle w:val="Prrafodelista"/>
              <w:numPr>
                <w:ilvl w:val="0"/>
                <w:numId w:val="27"/>
              </w:numPr>
              <w:spacing w:after="200"/>
              <w:ind w:left="1157" w:right="-72" w:hanging="545"/>
              <w:contextualSpacing w:val="0"/>
              <w:rPr>
                <w:szCs w:val="24"/>
              </w:rPr>
            </w:pPr>
            <w:r w:rsidRPr="00576AF8">
              <w:rPr>
                <w:bCs/>
              </w:rPr>
              <w:t>si así se especifica</w:t>
            </w:r>
            <w:r w:rsidRPr="00576AF8">
              <w:rPr>
                <w:b/>
                <w:bCs/>
              </w:rPr>
              <w:t xml:space="preserve"> </w:t>
            </w:r>
            <w:r w:rsidRPr="00576AF8">
              <w:rPr>
                <w:b/>
              </w:rPr>
              <w:t>en los DDL,</w:t>
            </w:r>
            <w:r w:rsidRPr="00576AF8">
              <w:t xml:space="preserve"> el Licitante también debe ofrecer un contrato ejecutable separadamente para las partidas de gastos recurrentes no incluidas en el Contrato principal;</w:t>
            </w:r>
          </w:p>
          <w:p w14:paraId="5E305E4A" w14:textId="77777777" w:rsidR="00261E27" w:rsidRPr="00576AF8" w:rsidRDefault="00261E27">
            <w:pPr>
              <w:pStyle w:val="Prrafodelista"/>
              <w:numPr>
                <w:ilvl w:val="0"/>
                <w:numId w:val="27"/>
              </w:numPr>
              <w:spacing w:after="200"/>
              <w:ind w:left="1157" w:hanging="545"/>
              <w:contextualSpacing w:val="0"/>
              <w:rPr>
                <w:szCs w:val="24"/>
              </w:rPr>
            </w:pPr>
            <w:r w:rsidRPr="00576AF8">
              <w:t>los precios de los gastos recurrentes incluyen todos los costos de los bienes, por ejemplo, repuestos, renovaciones de licencias de software, mano de obra, etc., necesarios para el funcionamiento continuo y adecuado del Sistema Informático y, si corresponde, la reserva propia del Licitante para los aumentos de precios;</w:t>
            </w:r>
          </w:p>
          <w:p w14:paraId="009E2111" w14:textId="77777777" w:rsidR="00261E27" w:rsidRPr="00576AF8" w:rsidRDefault="00261E27">
            <w:pPr>
              <w:pStyle w:val="Prrafodelista"/>
              <w:numPr>
                <w:ilvl w:val="0"/>
                <w:numId w:val="27"/>
              </w:numPr>
              <w:spacing w:after="200"/>
              <w:ind w:left="1157" w:hanging="545"/>
              <w:contextualSpacing w:val="0"/>
            </w:pPr>
            <w:r w:rsidRPr="00576AF8">
              <w:t xml:space="preserve">los precios de los gastos recurrentes no comprendidos en el alcance de los servicios de garantía en que se incurrirá durante el período de garantía, según se define en la </w:t>
            </w:r>
            <w:r w:rsidR="00714CE3" w:rsidRPr="00576AF8">
              <w:t>C</w:t>
            </w:r>
            <w:r w:rsidRPr="00576AF8">
              <w:t>láusula 29.4 de las CGC, y los precios de los gastos recurrentes en que se incurrirá durante el período de servicios posgarantía, según se define en la cláusula 1.1 (e) (xiii) de las CEC, se cotizarán detalladamente como precios de servicios en el cuadro parcial de gastos recurrentes, y en el resumen de gastos recurrentes en los montos totales.</w:t>
            </w:r>
          </w:p>
        </w:tc>
      </w:tr>
      <w:tr w:rsidR="00261E27" w:rsidRPr="00576AF8" w14:paraId="5C952FDE" w14:textId="77777777" w:rsidTr="00005D3D">
        <w:tc>
          <w:tcPr>
            <w:tcW w:w="2535" w:type="dxa"/>
          </w:tcPr>
          <w:p w14:paraId="0BB70E0B" w14:textId="77777777" w:rsidR="00261E27" w:rsidRPr="00576AF8" w:rsidRDefault="00261E27" w:rsidP="00261E27">
            <w:pPr>
              <w:pStyle w:val="TOC2-2"/>
              <w:suppressAutoHyphens/>
              <w:jc w:val="both"/>
            </w:pPr>
          </w:p>
        </w:tc>
        <w:tc>
          <w:tcPr>
            <w:tcW w:w="6836" w:type="dxa"/>
          </w:tcPr>
          <w:p w14:paraId="08A27CAA" w14:textId="77777777" w:rsidR="00261E27" w:rsidRPr="00576AF8" w:rsidRDefault="00261E27">
            <w:pPr>
              <w:pStyle w:val="Prrafodelista"/>
              <w:numPr>
                <w:ilvl w:val="0"/>
                <w:numId w:val="57"/>
              </w:numPr>
              <w:ind w:left="599" w:hanging="567"/>
            </w:pPr>
            <w:r w:rsidRPr="00576AF8">
              <w:rPr>
                <w:spacing w:val="-4"/>
              </w:rPr>
              <w:t xml:space="preserve">Los precios unitarios se deben cotizar con suficiente detalle para calcular cualquier entrega parcial o pago parcial contemplado en </w:t>
            </w:r>
            <w:r w:rsidRPr="00576AF8">
              <w:rPr>
                <w:spacing w:val="-4"/>
              </w:rPr>
              <w:lastRenderedPageBreak/>
              <w:t>el Contrato, de conformidad con el programa de ejecución incluido en la Sección VI</w:t>
            </w:r>
            <w:r w:rsidR="00714CE3" w:rsidRPr="00576AF8">
              <w:rPr>
                <w:spacing w:val="-4"/>
              </w:rPr>
              <w:t>,</w:t>
            </w:r>
            <w:r w:rsidRPr="00576AF8">
              <w:rPr>
                <w:spacing w:val="-4"/>
              </w:rPr>
              <w:t xml:space="preserve"> </w:t>
            </w:r>
            <w:r w:rsidR="00714CE3" w:rsidRPr="00576AF8">
              <w:rPr>
                <w:spacing w:val="-4"/>
              </w:rPr>
              <w:t>"</w:t>
            </w:r>
            <w:r w:rsidR="00714CE3" w:rsidRPr="00576AF8">
              <w:t xml:space="preserve">Requisitos del Sistema Informático" </w:t>
            </w:r>
            <w:r w:rsidRPr="00576AF8">
              <w:rPr>
                <w:spacing w:val="-4"/>
              </w:rPr>
              <w:t>y</w:t>
            </w:r>
            <w:r w:rsidR="00714CE3" w:rsidRPr="00576AF8">
              <w:rPr>
                <w:spacing w:val="-4"/>
              </w:rPr>
              <w:t xml:space="preserve"> </w:t>
            </w:r>
            <w:r w:rsidRPr="00576AF8">
              <w:rPr>
                <w:spacing w:val="-4"/>
              </w:rPr>
              <w:t xml:space="preserve">con la </w:t>
            </w:r>
            <w:r w:rsidR="00714CE3" w:rsidRPr="00576AF8">
              <w:rPr>
                <w:spacing w:val="-4"/>
              </w:rPr>
              <w:t>C</w:t>
            </w:r>
            <w:r w:rsidRPr="00576AF8">
              <w:rPr>
                <w:spacing w:val="-4"/>
              </w:rPr>
              <w:t xml:space="preserve">láusula 12 de las CGC y </w:t>
            </w:r>
            <w:r w:rsidRPr="00576AF8">
              <w:rPr>
                <w:spacing w:val="-4"/>
              </w:rPr>
              <w:br/>
              <w:t>las CEC, “Condiciones de Pago”. Se podrá exigir que los Licitantes hagan un desglose de cualquier suma compuesta o global de un artículo que aparezca en los cuadros de costos.</w:t>
            </w:r>
          </w:p>
        </w:tc>
      </w:tr>
      <w:tr w:rsidR="00261E27" w:rsidRPr="00576AF8" w14:paraId="19FF106E" w14:textId="77777777" w:rsidTr="00005D3D">
        <w:tc>
          <w:tcPr>
            <w:tcW w:w="2535" w:type="dxa"/>
          </w:tcPr>
          <w:p w14:paraId="625A34A2" w14:textId="77777777" w:rsidR="00261E27" w:rsidRPr="00576AF8" w:rsidRDefault="00261E27" w:rsidP="00261E27">
            <w:pPr>
              <w:pStyle w:val="TOC2-2"/>
              <w:suppressAutoHyphens/>
              <w:jc w:val="both"/>
            </w:pPr>
          </w:p>
        </w:tc>
        <w:tc>
          <w:tcPr>
            <w:tcW w:w="6836" w:type="dxa"/>
          </w:tcPr>
          <w:p w14:paraId="39A214A7" w14:textId="77777777" w:rsidR="00261E27" w:rsidRPr="00576AF8" w:rsidRDefault="00261E27">
            <w:pPr>
              <w:pStyle w:val="Prrafodelista"/>
              <w:numPr>
                <w:ilvl w:val="0"/>
                <w:numId w:val="57"/>
              </w:numPr>
              <w:ind w:left="599" w:hanging="567"/>
            </w:pPr>
            <w:r w:rsidRPr="00576AF8">
              <w:rPr>
                <w:spacing w:val="-4"/>
              </w:rPr>
              <w:t xml:space="preserve">Se supondrá que el precio de los artículos que el Licitante ha dejado en blanco en los cuadros de costos provistos en los </w:t>
            </w:r>
            <w:r w:rsidR="002918CE" w:rsidRPr="00576AF8">
              <w:rPr>
                <w:spacing w:val="-4"/>
              </w:rPr>
              <w:t xml:space="preserve">Formularios de </w:t>
            </w:r>
            <w:r w:rsidR="007B045D" w:rsidRPr="00576AF8">
              <w:rPr>
                <w:spacing w:val="-4"/>
              </w:rPr>
              <w:t xml:space="preserve">la </w:t>
            </w:r>
            <w:r w:rsidR="002918CE" w:rsidRPr="00576AF8">
              <w:rPr>
                <w:spacing w:val="-4"/>
              </w:rPr>
              <w:t>Oferta</w:t>
            </w:r>
            <w:r w:rsidRPr="00576AF8">
              <w:rPr>
                <w:spacing w:val="-4"/>
              </w:rPr>
              <w:t xml:space="preserve"> de la Sección IV</w:t>
            </w:r>
            <w:r w:rsidR="00714CE3" w:rsidRPr="00576AF8">
              <w:rPr>
                <w:spacing w:val="-4"/>
              </w:rPr>
              <w:t>, "</w:t>
            </w:r>
            <w:r w:rsidR="002918CE" w:rsidRPr="00576AF8">
              <w:t xml:space="preserve">Formularios de </w:t>
            </w:r>
            <w:r w:rsidR="007B045D" w:rsidRPr="00576AF8">
              <w:t xml:space="preserve">la </w:t>
            </w:r>
            <w:r w:rsidR="002918CE" w:rsidRPr="00576AF8">
              <w:t>Oferta</w:t>
            </w:r>
            <w:r w:rsidR="00714CE3" w:rsidRPr="00576AF8">
              <w:t>"</w:t>
            </w:r>
            <w:r w:rsidRPr="00576AF8">
              <w:rPr>
                <w:spacing w:val="-4"/>
              </w:rPr>
              <w:t xml:space="preserve"> están incluidos en el precio de otros artículos. Se supondrá que los artículos que se omitan totalmente de los cuadros de costos han sido omitidos de la Oferta y, siempre y cuando la Oferta se ajuste sustancialmente al </w:t>
            </w:r>
            <w:r w:rsidR="00807C34" w:rsidRPr="00576AF8">
              <w:rPr>
                <w:spacing w:val="-4"/>
              </w:rPr>
              <w:t>documento de licitación</w:t>
            </w:r>
            <w:r w:rsidRPr="00576AF8">
              <w:rPr>
                <w:spacing w:val="-4"/>
              </w:rPr>
              <w:t>, durante la evaluación se ajustará el precio de la Oferta de conformidad con la IAL 3</w:t>
            </w:r>
            <w:r w:rsidR="00714CE3" w:rsidRPr="00576AF8">
              <w:rPr>
                <w:spacing w:val="-4"/>
              </w:rPr>
              <w:t>0</w:t>
            </w:r>
            <w:r w:rsidRPr="00576AF8">
              <w:rPr>
                <w:spacing w:val="-4"/>
              </w:rPr>
              <w:t>.3.</w:t>
            </w:r>
          </w:p>
        </w:tc>
      </w:tr>
      <w:tr w:rsidR="00261E27" w:rsidRPr="00576AF8" w14:paraId="385C48BE" w14:textId="77777777" w:rsidTr="00005D3D">
        <w:tc>
          <w:tcPr>
            <w:tcW w:w="2535" w:type="dxa"/>
          </w:tcPr>
          <w:p w14:paraId="6926038E" w14:textId="77777777" w:rsidR="00261E27" w:rsidRPr="00576AF8" w:rsidRDefault="00261E27" w:rsidP="00261E27">
            <w:pPr>
              <w:pStyle w:val="TOC2-2"/>
              <w:suppressAutoHyphens/>
              <w:jc w:val="both"/>
            </w:pPr>
          </w:p>
        </w:tc>
        <w:tc>
          <w:tcPr>
            <w:tcW w:w="6836" w:type="dxa"/>
          </w:tcPr>
          <w:p w14:paraId="7263563E" w14:textId="77777777" w:rsidR="00261E27" w:rsidRPr="00576AF8" w:rsidRDefault="00261E27">
            <w:pPr>
              <w:pStyle w:val="Prrafodelista"/>
              <w:numPr>
                <w:ilvl w:val="0"/>
                <w:numId w:val="57"/>
              </w:numPr>
              <w:ind w:left="599" w:hanging="567"/>
              <w:rPr>
                <w:szCs w:val="24"/>
              </w:rPr>
            </w:pPr>
            <w:r w:rsidRPr="00576AF8">
              <w:t xml:space="preserve">Los precios de los componentes de bienes del Sistema Informático se deberán expresar, definir y regir conforme a las normas establecidas en la edición de Incoterms </w:t>
            </w:r>
            <w:r w:rsidRPr="00576AF8">
              <w:rPr>
                <w:bCs/>
              </w:rPr>
              <w:t>especificada</w:t>
            </w:r>
            <w:r w:rsidRPr="00576AF8">
              <w:rPr>
                <w:b/>
              </w:rPr>
              <w:t xml:space="preserve"> en los DDL</w:t>
            </w:r>
            <w:r w:rsidRPr="00576AF8">
              <w:t>, de la siguiente manera:</w:t>
            </w:r>
          </w:p>
          <w:p w14:paraId="67F08BCC" w14:textId="77777777" w:rsidR="00261E27" w:rsidRPr="00576AF8" w:rsidRDefault="00261E27">
            <w:pPr>
              <w:numPr>
                <w:ilvl w:val="0"/>
                <w:numId w:val="2"/>
              </w:numPr>
              <w:spacing w:after="200"/>
              <w:ind w:left="1094" w:right="-72" w:hanging="547"/>
              <w:rPr>
                <w:szCs w:val="24"/>
              </w:rPr>
            </w:pPr>
            <w:r w:rsidRPr="00576AF8">
              <w:t xml:space="preserve">en el caso de bienes suministrados desde fuera del país </w:t>
            </w:r>
            <w:r w:rsidRPr="00576AF8">
              <w:br/>
              <w:t>del Comprador:</w:t>
            </w:r>
          </w:p>
          <w:p w14:paraId="122FF3F1" w14:textId="77777777" w:rsidR="00261E27" w:rsidRPr="00576AF8" w:rsidRDefault="00261E27" w:rsidP="00261E27">
            <w:pPr>
              <w:tabs>
                <w:tab w:val="left" w:pos="1080"/>
              </w:tabs>
              <w:spacing w:after="200"/>
              <w:ind w:left="1080" w:right="-72"/>
              <w:rPr>
                <w:spacing w:val="-2"/>
                <w:szCs w:val="24"/>
              </w:rPr>
            </w:pPr>
            <w:r w:rsidRPr="00576AF8">
              <w:rPr>
                <w:bCs/>
                <w:spacing w:val="-2"/>
              </w:rPr>
              <w:t>Salvo disposición en contrario</w:t>
            </w:r>
            <w:r w:rsidRPr="00576AF8">
              <w:rPr>
                <w:b/>
                <w:bCs/>
                <w:spacing w:val="-2"/>
              </w:rPr>
              <w:t xml:space="preserve"> e</w:t>
            </w:r>
            <w:r w:rsidRPr="00576AF8">
              <w:rPr>
                <w:b/>
                <w:spacing w:val="-2"/>
              </w:rPr>
              <w:t>n los DDL</w:t>
            </w:r>
            <w:r w:rsidRPr="00576AF8">
              <w:rPr>
                <w:spacing w:val="-2"/>
              </w:rPr>
              <w:t xml:space="preserve">, los precios se cotizarán sobre la base CIP (lugar de destino convenido), excluidos todos los impuestos, timbres, derechos, cargos y aranceles impuestos en el país del Comprador. El lugar de destino convenido y las instrucciones especiales para el contrato de transporte serán los que se especifiquen en la </w:t>
            </w:r>
            <w:r w:rsidR="00714CE3" w:rsidRPr="00576AF8">
              <w:rPr>
                <w:spacing w:val="-2"/>
              </w:rPr>
              <w:t>C</w:t>
            </w:r>
            <w:r w:rsidRPr="00576AF8">
              <w:rPr>
                <w:spacing w:val="-2"/>
              </w:rPr>
              <w:t>láusula 1.1 (e) (iii) de las CEC o las CGC. Al cotizar el precio, el Licitante tendrá la libertad de usar para el transporte empresas transportadoras registradas en cualquier país elegible. De igual modo, el Licitante podrá contratar servicios de seguros de cualquier país de origen elegible.</w:t>
            </w:r>
          </w:p>
          <w:p w14:paraId="54AE2E6E" w14:textId="77777777" w:rsidR="00261E27" w:rsidRPr="00576AF8" w:rsidRDefault="00261E27" w:rsidP="00261E27">
            <w:pPr>
              <w:numPr>
                <w:ilvl w:val="12"/>
                <w:numId w:val="0"/>
              </w:numPr>
              <w:tabs>
                <w:tab w:val="left" w:pos="1080"/>
              </w:tabs>
              <w:spacing w:after="200"/>
              <w:ind w:left="1094" w:right="-72" w:hanging="547"/>
              <w:rPr>
                <w:szCs w:val="24"/>
              </w:rPr>
            </w:pPr>
            <w:r w:rsidRPr="00576AF8">
              <w:t>(b)</w:t>
            </w:r>
            <w:r w:rsidRPr="00576AF8">
              <w:tab/>
              <w:t>bienes suministrados en el país:</w:t>
            </w:r>
          </w:p>
          <w:p w14:paraId="39380F8C" w14:textId="77777777" w:rsidR="00261E27" w:rsidRPr="00576AF8" w:rsidRDefault="00261E27" w:rsidP="00261E27">
            <w:pPr>
              <w:numPr>
                <w:ilvl w:val="12"/>
                <w:numId w:val="0"/>
              </w:numPr>
              <w:spacing w:after="200"/>
              <w:ind w:left="1080" w:right="-72"/>
              <w:rPr>
                <w:szCs w:val="24"/>
              </w:rPr>
            </w:pPr>
            <w:r w:rsidRPr="00576AF8">
              <w:t xml:space="preserve">Los precios unitarios de bienes ofrecidos desde el país del Comprador se cotizarán sobre una base EXW (puesto en fábrica, en taller, en bodega, o en existencia, según sea el caso), con inclusión de todos los derechos de aduana, cargos, aranceles e impuestos de venta y de otro tipo en que se incurra hasta la entrega de los bienes, pero sin incluir el impuesto al valor agregado (IVA), los impuestos de venta u otros impuestos y cargos o aranceles en que se incurra </w:t>
            </w:r>
            <w:r w:rsidRPr="00576AF8">
              <w:lastRenderedPageBreak/>
              <w:t>por los bienes en el momento de la facturación o la transacción de venta, si se adjudica el Contrato.</w:t>
            </w:r>
          </w:p>
          <w:p w14:paraId="36B942AE" w14:textId="77777777" w:rsidR="00261E27" w:rsidRPr="00576AF8" w:rsidRDefault="00261E27" w:rsidP="00261E27">
            <w:pPr>
              <w:spacing w:after="200"/>
              <w:ind w:left="1080" w:right="-72" w:hanging="533"/>
              <w:rPr>
                <w:szCs w:val="24"/>
              </w:rPr>
            </w:pPr>
            <w:r w:rsidRPr="00576AF8">
              <w:t>(c)</w:t>
            </w:r>
            <w:r w:rsidRPr="00576AF8">
              <w:tab/>
              <w:t>el transporte interno.</w:t>
            </w:r>
          </w:p>
          <w:p w14:paraId="7C3FD85C" w14:textId="77777777" w:rsidR="00261E27" w:rsidRPr="00576AF8" w:rsidRDefault="00261E27">
            <w:pPr>
              <w:pStyle w:val="Prrafodelista"/>
              <w:numPr>
                <w:ilvl w:val="0"/>
                <w:numId w:val="57"/>
              </w:numPr>
              <w:ind w:left="599" w:hanging="567"/>
            </w:pPr>
            <w:r w:rsidRPr="00576AF8">
              <w:rPr>
                <w:bCs/>
              </w:rPr>
              <w:t xml:space="preserve">Salvo </w:t>
            </w:r>
            <w:r w:rsidRPr="00576AF8">
              <w:t>disposición</w:t>
            </w:r>
            <w:r w:rsidRPr="00576AF8">
              <w:rPr>
                <w:bCs/>
              </w:rPr>
              <w:t xml:space="preserve"> en contrario</w:t>
            </w:r>
            <w:r w:rsidRPr="00576AF8">
              <w:rPr>
                <w:b/>
                <w:bCs/>
              </w:rPr>
              <w:t xml:space="preserve"> </w:t>
            </w:r>
            <w:r w:rsidRPr="00576AF8">
              <w:rPr>
                <w:b/>
              </w:rPr>
              <w:t>en los DDL</w:t>
            </w:r>
            <w:r w:rsidRPr="00576AF8">
              <w:t>, el transporte interno, el seguro y otros costos locales relacionados con la entrega de los bienes a los sitios del Proyecto designados se cotizarán por separado como una partida de servicios de conformidad con la IAL 1</w:t>
            </w:r>
            <w:r w:rsidR="00714CE3" w:rsidRPr="00576AF8">
              <w:t>4</w:t>
            </w:r>
            <w:r w:rsidRPr="00576AF8">
              <w:t>.5, ya sea que los bienes se suministren localmente o desde fuera del país del Comprador, excepto cuando estos costos ya estén incluidos en el precio de los bienes, como ocurre, por ejemplo, cuando en la IAL 1</w:t>
            </w:r>
            <w:r w:rsidR="00714CE3" w:rsidRPr="00576AF8">
              <w:t>4.</w:t>
            </w:r>
            <w:r w:rsidRPr="00576AF8">
              <w:t>5 (a) se especifica CIP, y los lugares de destino convenidos son los sitios del Proyecto.</w:t>
            </w:r>
          </w:p>
        </w:tc>
      </w:tr>
      <w:tr w:rsidR="00261E27" w:rsidRPr="00576AF8" w14:paraId="4255CEC8" w14:textId="77777777" w:rsidTr="00005D3D">
        <w:tc>
          <w:tcPr>
            <w:tcW w:w="2535" w:type="dxa"/>
          </w:tcPr>
          <w:p w14:paraId="475F7CA9" w14:textId="77777777" w:rsidR="00261E27" w:rsidRPr="00576AF8" w:rsidRDefault="00261E27" w:rsidP="00261E27">
            <w:pPr>
              <w:pStyle w:val="TOC2-2"/>
              <w:suppressAutoHyphens/>
              <w:jc w:val="both"/>
            </w:pPr>
          </w:p>
        </w:tc>
        <w:tc>
          <w:tcPr>
            <w:tcW w:w="6836" w:type="dxa"/>
          </w:tcPr>
          <w:p w14:paraId="353E3EDB" w14:textId="77777777" w:rsidR="00261E27" w:rsidRPr="00576AF8" w:rsidRDefault="00261E27">
            <w:pPr>
              <w:pStyle w:val="Prrafodelista"/>
              <w:numPr>
                <w:ilvl w:val="0"/>
                <w:numId w:val="57"/>
              </w:numPr>
              <w:ind w:left="601" w:hanging="567"/>
              <w:contextualSpacing w:val="0"/>
              <w:rPr>
                <w:szCs w:val="24"/>
              </w:rPr>
            </w:pPr>
            <w:r w:rsidRPr="00576AF8">
              <w:t>El precio de los servicios deberá indicarse por separado para los componentes en moneda nacional y moneda extranjera y, cuando corresponda, desglosarse según los precios unitarios. Los precios deben incluir todos los impuestos, derechos, cargos y aranceles, a excepción del IVA u otros impuestos indirectos, o sellos fiscales, que puedan declararse o aplicarse en el país del Comprador sobre el precio de los servicios facturados al Comprador, si se adjudica el Contrato.</w:t>
            </w:r>
          </w:p>
          <w:p w14:paraId="2FFE1AC5" w14:textId="77777777" w:rsidR="00261E27" w:rsidRPr="00576AF8" w:rsidRDefault="00261E27">
            <w:pPr>
              <w:pStyle w:val="Prrafodelista"/>
              <w:numPr>
                <w:ilvl w:val="0"/>
                <w:numId w:val="57"/>
              </w:numPr>
              <w:ind w:left="601" w:hanging="567"/>
              <w:contextualSpacing w:val="0"/>
            </w:pPr>
            <w:r w:rsidRPr="00576AF8">
              <w:rPr>
                <w:bCs/>
              </w:rPr>
              <w:t>Salvo disposición en contrario</w:t>
            </w:r>
            <w:r w:rsidRPr="00576AF8">
              <w:rPr>
                <w:b/>
                <w:bCs/>
              </w:rPr>
              <w:t xml:space="preserve"> </w:t>
            </w:r>
            <w:r w:rsidRPr="00576AF8">
              <w:rPr>
                <w:b/>
              </w:rPr>
              <w:t>en los DDL,</w:t>
            </w:r>
            <w:r w:rsidRPr="00576AF8">
              <w:t xml:space="preserve"> los precios deben incluir todos los costos relacionados con la prestación de los servicios en que incurra el Proveedor, por ejemplo, traslados, viáticos, apoyo administrativo, comunicaciones, traducción, impresión de materiales, etc. Los costos relacionados con la prestación de los servicios en que incurra el Comprador o su personal, o terceros, deben incluirse en el precio solo en la medida en que tales obligaciones se indiquen explícitamente en estos Documentos de Licitación (por ejemplo, en el caso de que se exija que el Licitante incluya los costos de traslado y viáticos de las personas que reciben capacitación).</w:t>
            </w:r>
          </w:p>
        </w:tc>
      </w:tr>
      <w:tr w:rsidR="00261E27" w:rsidRPr="00576AF8" w14:paraId="32BC9BB0" w14:textId="77777777" w:rsidTr="00005D3D">
        <w:tc>
          <w:tcPr>
            <w:tcW w:w="2535" w:type="dxa"/>
          </w:tcPr>
          <w:p w14:paraId="70EAB8FA" w14:textId="77777777" w:rsidR="00261E27" w:rsidRPr="00576AF8" w:rsidRDefault="00261E27" w:rsidP="00261E27">
            <w:pPr>
              <w:pStyle w:val="TOC2-2"/>
              <w:suppressAutoHyphens/>
              <w:jc w:val="both"/>
            </w:pPr>
          </w:p>
        </w:tc>
        <w:tc>
          <w:tcPr>
            <w:tcW w:w="6836" w:type="dxa"/>
          </w:tcPr>
          <w:p w14:paraId="77C7455B" w14:textId="77777777" w:rsidR="00261E27" w:rsidRPr="00576AF8" w:rsidRDefault="00261E27">
            <w:pPr>
              <w:pStyle w:val="Prrafodelista"/>
              <w:numPr>
                <w:ilvl w:val="0"/>
                <w:numId w:val="57"/>
              </w:numPr>
              <w:ind w:left="599" w:hanging="567"/>
            </w:pPr>
            <w:r w:rsidRPr="00576AF8">
              <w:rPr>
                <w:bCs/>
                <w:spacing w:val="-4"/>
              </w:rPr>
              <w:t>Salvo disposición en contrario</w:t>
            </w:r>
            <w:r w:rsidRPr="00576AF8">
              <w:rPr>
                <w:b/>
                <w:bCs/>
                <w:spacing w:val="-4"/>
              </w:rPr>
              <w:t xml:space="preserve"> </w:t>
            </w:r>
            <w:r w:rsidRPr="00576AF8">
              <w:rPr>
                <w:b/>
                <w:spacing w:val="-4"/>
              </w:rPr>
              <w:t>en los DDL,</w:t>
            </w:r>
            <w:r w:rsidRPr="00576AF8">
              <w:rPr>
                <w:spacing w:val="-4"/>
              </w:rPr>
              <w:t xml:space="preserve"> los precios cotizados por el Licitante se </w:t>
            </w:r>
            <w:r w:rsidRPr="00576AF8">
              <w:t>mantendrán</w:t>
            </w:r>
            <w:r w:rsidRPr="00576AF8">
              <w:rPr>
                <w:spacing w:val="-4"/>
              </w:rPr>
              <w:t xml:space="preserve"> fijos durante la ejecución del Contrato por parte del Licitante y no serán objeto de ningún aumento por ningún concepto. Las Ofertas presentadas que estén sujetas a reajuste de los precios serán rechazadas.</w:t>
            </w:r>
          </w:p>
        </w:tc>
      </w:tr>
      <w:tr w:rsidR="00261E27" w:rsidRPr="00576AF8" w14:paraId="2C69C04B" w14:textId="77777777" w:rsidTr="00005D3D">
        <w:tc>
          <w:tcPr>
            <w:tcW w:w="2535" w:type="dxa"/>
          </w:tcPr>
          <w:p w14:paraId="08AD6A82" w14:textId="77777777" w:rsidR="00261E27" w:rsidRPr="00576AF8" w:rsidRDefault="00E4025D" w:rsidP="00314996">
            <w:pPr>
              <w:pStyle w:val="TOC2-2"/>
            </w:pPr>
            <w:bookmarkStart w:id="110" w:name="_Toc125783002"/>
            <w:bookmarkStart w:id="111" w:name="_Toc434304507"/>
            <w:bookmarkStart w:id="112" w:name="_Toc454907781"/>
            <w:bookmarkStart w:id="113" w:name="_Toc476308781"/>
            <w:bookmarkStart w:id="114" w:name="_Toc479333331"/>
            <w:bookmarkStart w:id="115" w:name="_Toc25486591"/>
            <w:r w:rsidRPr="00576AF8">
              <w:t>15</w:t>
            </w:r>
            <w:r w:rsidR="00261E27" w:rsidRPr="00576AF8">
              <w:t>.</w:t>
            </w:r>
            <w:r w:rsidR="00261E27" w:rsidRPr="00576AF8">
              <w:tab/>
              <w:t>Documentos que Establecen la Elegibilidad del</w:t>
            </w:r>
            <w:bookmarkEnd w:id="110"/>
            <w:r w:rsidR="00261E27" w:rsidRPr="00576AF8">
              <w:t> Sistema Informático</w:t>
            </w:r>
            <w:bookmarkEnd w:id="111"/>
            <w:bookmarkEnd w:id="112"/>
            <w:bookmarkEnd w:id="113"/>
            <w:bookmarkEnd w:id="114"/>
            <w:bookmarkEnd w:id="115"/>
          </w:p>
        </w:tc>
        <w:tc>
          <w:tcPr>
            <w:tcW w:w="6836" w:type="dxa"/>
          </w:tcPr>
          <w:p w14:paraId="7FDBC035" w14:textId="77777777" w:rsidR="00261E27" w:rsidRPr="00576AF8" w:rsidRDefault="00261E27">
            <w:pPr>
              <w:pStyle w:val="Prrafodelista"/>
              <w:numPr>
                <w:ilvl w:val="0"/>
                <w:numId w:val="58"/>
              </w:numPr>
              <w:spacing w:after="200"/>
              <w:ind w:left="599" w:right="-72" w:hanging="567"/>
              <w:rPr>
                <w:szCs w:val="24"/>
              </w:rPr>
            </w:pPr>
            <w:r w:rsidRPr="00576AF8">
              <w:t xml:space="preserve">Para establecer la elegibilidad del Sistema Informático de conformidad con la IAL 5, los Licitantes deberán diligenciar </w:t>
            </w:r>
            <w:r w:rsidRPr="00576AF8">
              <w:br/>
              <w:t xml:space="preserve">las declaraciones de país de origen en los formularios de la </w:t>
            </w:r>
            <w:r w:rsidRPr="00576AF8">
              <w:br/>
              <w:t>lista de precios que se incluyen en la Sección IV, “</w:t>
            </w:r>
            <w:r w:rsidR="002918CE" w:rsidRPr="00576AF8">
              <w:t xml:space="preserve">Formularios de </w:t>
            </w:r>
            <w:r w:rsidR="007B045D" w:rsidRPr="00576AF8">
              <w:t xml:space="preserve">la </w:t>
            </w:r>
            <w:r w:rsidR="002918CE" w:rsidRPr="00576AF8">
              <w:t>Oferta</w:t>
            </w:r>
            <w:r w:rsidRPr="00576AF8">
              <w:t>”.</w:t>
            </w:r>
          </w:p>
        </w:tc>
      </w:tr>
      <w:tr w:rsidR="00261E27" w:rsidRPr="00576AF8" w14:paraId="6DD7257B" w14:textId="77777777" w:rsidTr="00005D3D">
        <w:tc>
          <w:tcPr>
            <w:tcW w:w="2535" w:type="dxa"/>
          </w:tcPr>
          <w:p w14:paraId="7002CDA4" w14:textId="77777777" w:rsidR="00261E27" w:rsidRPr="00576AF8" w:rsidRDefault="00E4025D" w:rsidP="00314996">
            <w:pPr>
              <w:pStyle w:val="TOC2-2"/>
            </w:pPr>
            <w:bookmarkStart w:id="116" w:name="_Toc125783003"/>
            <w:bookmarkStart w:id="117" w:name="_Toc434304508"/>
            <w:bookmarkStart w:id="118" w:name="_Toc454907782"/>
            <w:bookmarkStart w:id="119" w:name="_Toc476308782"/>
            <w:bookmarkStart w:id="120" w:name="_Toc479333332"/>
            <w:bookmarkStart w:id="121" w:name="_Toc25486592"/>
            <w:r w:rsidRPr="00576AF8">
              <w:lastRenderedPageBreak/>
              <w:t>16.</w:t>
            </w:r>
            <w:r w:rsidR="00261E27" w:rsidRPr="00576AF8">
              <w:tab/>
              <w:t>Documentos que Establecen la Elegibilidad y las Calificaciones del Licitante</w:t>
            </w:r>
            <w:bookmarkEnd w:id="116"/>
            <w:bookmarkEnd w:id="117"/>
            <w:bookmarkEnd w:id="118"/>
            <w:bookmarkEnd w:id="119"/>
            <w:bookmarkEnd w:id="120"/>
            <w:bookmarkEnd w:id="121"/>
          </w:p>
        </w:tc>
        <w:tc>
          <w:tcPr>
            <w:tcW w:w="6836" w:type="dxa"/>
          </w:tcPr>
          <w:p w14:paraId="369808F6" w14:textId="77777777" w:rsidR="00261E27" w:rsidRPr="00576AF8" w:rsidRDefault="00261E27">
            <w:pPr>
              <w:pStyle w:val="Prrafodelista"/>
              <w:numPr>
                <w:ilvl w:val="0"/>
                <w:numId w:val="59"/>
              </w:numPr>
              <w:spacing w:after="200"/>
              <w:ind w:left="601" w:right="-74" w:hanging="567"/>
              <w:contextualSpacing w:val="0"/>
              <w:rPr>
                <w:spacing w:val="-2"/>
                <w:szCs w:val="24"/>
              </w:rPr>
            </w:pPr>
            <w:r w:rsidRPr="00576AF8">
              <w:rPr>
                <w:spacing w:val="-2"/>
              </w:rPr>
              <w:t>A fin de establecer su elegibilidad y sus calificaciones para ejecutar el Contrato según la Sección III, “Criterios de Evaluación y Calificación”, el Licitante suministrará la información solicitada en las correspondientes hojas informativas incluidas en la Sección IV, “</w:t>
            </w:r>
            <w:r w:rsidR="002918CE" w:rsidRPr="00576AF8">
              <w:rPr>
                <w:spacing w:val="-2"/>
              </w:rPr>
              <w:t xml:space="preserve">Formularios de </w:t>
            </w:r>
            <w:r w:rsidR="007B045D" w:rsidRPr="00576AF8">
              <w:rPr>
                <w:spacing w:val="-2"/>
              </w:rPr>
              <w:t xml:space="preserve">la </w:t>
            </w:r>
            <w:r w:rsidR="002918CE" w:rsidRPr="00576AF8">
              <w:rPr>
                <w:spacing w:val="-2"/>
              </w:rPr>
              <w:t>Oferta</w:t>
            </w:r>
            <w:r w:rsidRPr="00576AF8">
              <w:rPr>
                <w:spacing w:val="-2"/>
              </w:rPr>
              <w:t>”.</w:t>
            </w:r>
          </w:p>
          <w:p w14:paraId="019C8CEE" w14:textId="77777777" w:rsidR="00261E27" w:rsidRPr="00576AF8" w:rsidRDefault="00261E27">
            <w:pPr>
              <w:pStyle w:val="Prrafodelista"/>
              <w:numPr>
                <w:ilvl w:val="0"/>
                <w:numId w:val="59"/>
              </w:numPr>
              <w:spacing w:after="200"/>
              <w:ind w:left="601" w:right="-74" w:hanging="567"/>
              <w:contextualSpacing w:val="0"/>
              <w:rPr>
                <w:szCs w:val="24"/>
              </w:rPr>
            </w:pPr>
            <w:r w:rsidRPr="00576AF8">
              <w:t xml:space="preserve">En caso de que se haya realizado la precalificación de los posibles Licitantes según se establece en </w:t>
            </w:r>
            <w:r w:rsidR="00FE242D" w:rsidRPr="00576AF8">
              <w:t xml:space="preserve">IAL 4.8 </w:t>
            </w:r>
            <w:r w:rsidR="00FE242D" w:rsidRPr="00576AF8">
              <w:rPr>
                <w:b/>
              </w:rPr>
              <w:t xml:space="preserve">de </w:t>
            </w:r>
            <w:r w:rsidRPr="00576AF8">
              <w:rPr>
                <w:b/>
              </w:rPr>
              <w:t>los DDL</w:t>
            </w:r>
            <w:r w:rsidRPr="00576AF8">
              <w:t xml:space="preserve">, solo las Ofertas de los Licitantes precalificados se considerarán para la adjudicación </w:t>
            </w:r>
            <w:r w:rsidRPr="00576AF8">
              <w:rPr>
                <w:spacing w:val="-2"/>
              </w:rPr>
              <w:t>del</w:t>
            </w:r>
            <w:r w:rsidRPr="00576AF8">
              <w:t xml:space="preserve"> Contrato. Estos Licitantes calificados deberán presentar, junto con sus Ofertas, toda información necesaria para actualizar sus solicitudes de precalificación originales, o bien, confirmar en sus Ofertas que la información presentada originalmente para la precalificación continúa siendo, en esencia, correcta a la fecha de la presentación de la Oferta. </w:t>
            </w:r>
          </w:p>
        </w:tc>
      </w:tr>
      <w:tr w:rsidR="00261E27" w:rsidRPr="00576AF8" w14:paraId="3A713784" w14:textId="77777777" w:rsidTr="00005D3D">
        <w:tc>
          <w:tcPr>
            <w:tcW w:w="2535" w:type="dxa"/>
          </w:tcPr>
          <w:p w14:paraId="71C5C12A" w14:textId="77777777" w:rsidR="00261E27" w:rsidRPr="00576AF8" w:rsidRDefault="00261E27" w:rsidP="00261E27">
            <w:pPr>
              <w:pStyle w:val="TOC2-2"/>
            </w:pPr>
            <w:bookmarkStart w:id="122" w:name="_Toc125783004"/>
            <w:bookmarkStart w:id="123" w:name="_Toc434304509"/>
            <w:bookmarkStart w:id="124" w:name="_Toc454907783"/>
            <w:bookmarkStart w:id="125" w:name="_Toc476308783"/>
            <w:bookmarkStart w:id="126" w:name="_Toc479333333"/>
            <w:bookmarkStart w:id="127" w:name="_Toc25486593"/>
            <w:r w:rsidRPr="00576AF8">
              <w:t>1</w:t>
            </w:r>
            <w:r w:rsidR="00E4025D" w:rsidRPr="00576AF8">
              <w:t>7</w:t>
            </w:r>
            <w:r w:rsidRPr="00576AF8">
              <w:t>.</w:t>
            </w:r>
            <w:r w:rsidRPr="00576AF8">
              <w:tab/>
              <w:t>Documentos que Establecen la Conformidad del</w:t>
            </w:r>
            <w:bookmarkEnd w:id="122"/>
            <w:r w:rsidRPr="00576AF8">
              <w:t> Sistema Informático</w:t>
            </w:r>
            <w:bookmarkEnd w:id="123"/>
            <w:bookmarkEnd w:id="124"/>
            <w:bookmarkEnd w:id="125"/>
            <w:bookmarkEnd w:id="126"/>
            <w:bookmarkEnd w:id="127"/>
          </w:p>
        </w:tc>
        <w:tc>
          <w:tcPr>
            <w:tcW w:w="6836" w:type="dxa"/>
          </w:tcPr>
          <w:p w14:paraId="4A9059C6" w14:textId="77777777" w:rsidR="00261E27" w:rsidRPr="00576AF8" w:rsidRDefault="00261E27">
            <w:pPr>
              <w:pStyle w:val="Prrafodelista"/>
              <w:numPr>
                <w:ilvl w:val="0"/>
                <w:numId w:val="20"/>
              </w:numPr>
              <w:spacing w:after="200"/>
              <w:ind w:left="565" w:hanging="565"/>
              <w:contextualSpacing w:val="0"/>
              <w:rPr>
                <w:szCs w:val="24"/>
              </w:rPr>
            </w:pPr>
            <w:r w:rsidRPr="00576AF8">
              <w:t>De conformidad con lo dispuesto en la IAL 11.1 (</w:t>
            </w:r>
            <w:r w:rsidR="00714CE3" w:rsidRPr="00576AF8">
              <w:t>g</w:t>
            </w:r>
            <w:r w:rsidRPr="00576AF8">
              <w:t xml:space="preserve">), el Licitante suministrará, como parte de su Oferta, documentos que establezcan la conformidad con el </w:t>
            </w:r>
            <w:r w:rsidR="00807C34" w:rsidRPr="00576AF8">
              <w:t>documento de licitación</w:t>
            </w:r>
            <w:r w:rsidRPr="00576AF8">
              <w:t xml:space="preserve"> del Sistema Informático que el Licitante propone diseñar, suministrar e instalar en virtud del Contrato.</w:t>
            </w:r>
          </w:p>
          <w:p w14:paraId="1ED0E1F7" w14:textId="77777777" w:rsidR="00261E27" w:rsidRPr="00576AF8" w:rsidRDefault="00261E27">
            <w:pPr>
              <w:pStyle w:val="Prrafodelista"/>
              <w:numPr>
                <w:ilvl w:val="0"/>
                <w:numId w:val="20"/>
              </w:numPr>
              <w:spacing w:after="200"/>
              <w:ind w:left="565" w:hanging="565"/>
              <w:contextualSpacing w:val="0"/>
              <w:rPr>
                <w:spacing w:val="-4"/>
                <w:szCs w:val="24"/>
              </w:rPr>
            </w:pPr>
            <w:r w:rsidRPr="00576AF8">
              <w:rPr>
                <w:spacing w:val="-4"/>
              </w:rPr>
              <w:t xml:space="preserve">Las pruebas documentales de la conformidad del Sistema Informático con el </w:t>
            </w:r>
            <w:r w:rsidR="00807C34" w:rsidRPr="00576AF8">
              <w:rPr>
                <w:spacing w:val="-4"/>
              </w:rPr>
              <w:t>documento de licitación</w:t>
            </w:r>
            <w:r w:rsidRPr="00576AF8">
              <w:rPr>
                <w:spacing w:val="-4"/>
              </w:rPr>
              <w:t>, incluido lo siguiente:</w:t>
            </w:r>
          </w:p>
          <w:p w14:paraId="4E797CD3" w14:textId="77777777" w:rsidR="00261E27" w:rsidRPr="00576AF8" w:rsidRDefault="00261E27">
            <w:pPr>
              <w:pStyle w:val="Prrafodelista"/>
              <w:numPr>
                <w:ilvl w:val="1"/>
                <w:numId w:val="20"/>
              </w:numPr>
              <w:spacing w:after="200"/>
              <w:ind w:left="1242" w:hanging="650"/>
              <w:contextualSpacing w:val="0"/>
              <w:rPr>
                <w:szCs w:val="24"/>
              </w:rPr>
            </w:pPr>
            <w:r w:rsidRPr="00576AF8">
              <w:t>el plan preliminar del Proyecto, en el que se describen, entre otros aspectos, los métodos que empleará el Licitante para cumplir sus responsabilidades generales de gestión y coordinación en el caso de que se le adjudique el Contrato, así como los recursos humanos y de otro tipo que el Licitante se propone utilizar. En el plan preliminar del Proyecto se deben abordar también los demás temas especificados</w:t>
            </w:r>
            <w:r w:rsidRPr="00576AF8">
              <w:rPr>
                <w:b/>
              </w:rPr>
              <w:t xml:space="preserve"> en los DDL</w:t>
            </w:r>
            <w:r w:rsidRPr="00576AF8">
              <w:t>. Además, en dicho plan se deberá incluir la evaluación hecha por el Licitante de lo que este espera que el Comprador y cualquier otra parte que participe en la implementación del Sistema Informático suministren durante la ejecución del Contrato, así como la manera en que el Licitante propone coordinar las actividades de todas las partes involucradas.</w:t>
            </w:r>
          </w:p>
          <w:p w14:paraId="25B6780E" w14:textId="77777777" w:rsidR="00261E27" w:rsidRPr="00576AF8" w:rsidRDefault="00261E27">
            <w:pPr>
              <w:pStyle w:val="Prrafodelista"/>
              <w:numPr>
                <w:ilvl w:val="1"/>
                <w:numId w:val="20"/>
              </w:numPr>
              <w:spacing w:after="200"/>
              <w:ind w:left="1242" w:hanging="650"/>
              <w:contextualSpacing w:val="0"/>
              <w:rPr>
                <w:szCs w:val="24"/>
              </w:rPr>
            </w:pPr>
            <w:r w:rsidRPr="00576AF8">
              <w:t xml:space="preserve">una confirmación por escrito de que el Licitante aceptará la responsabilidad de la integración y la interoperabilidad correctas de todos los componentes del Sistema Informático, tal como se exige en el </w:t>
            </w:r>
            <w:r w:rsidR="00807C34" w:rsidRPr="00576AF8">
              <w:t>documento de licitación</w:t>
            </w:r>
            <w:r w:rsidRPr="00576AF8">
              <w:t>.</w:t>
            </w:r>
          </w:p>
          <w:p w14:paraId="64287CE9" w14:textId="77777777" w:rsidR="00261E27" w:rsidRPr="00576AF8" w:rsidRDefault="00261E27">
            <w:pPr>
              <w:pStyle w:val="Prrafodelista"/>
              <w:numPr>
                <w:ilvl w:val="1"/>
                <w:numId w:val="20"/>
              </w:numPr>
              <w:spacing w:after="200"/>
              <w:ind w:left="1242" w:hanging="650"/>
              <w:contextualSpacing w:val="0"/>
              <w:rPr>
                <w:szCs w:val="24"/>
              </w:rPr>
            </w:pPr>
            <w:r w:rsidRPr="00576AF8">
              <w:lastRenderedPageBreak/>
              <w:t xml:space="preserve">un comentario pormenorizado, punto por punto, sobre los requisitos técnicos del Comprador, en el que se demuestre que el Sistema Informático ofrecido se ajusta sustancialmente a esos requisitos. Para demostrar la conformidad, se recomienda al Licitante que utilice la lista de comprobación técnica (o modelo de lista de comprobación) incluida en los </w:t>
            </w:r>
            <w:r w:rsidR="002918CE" w:rsidRPr="00576AF8">
              <w:t xml:space="preserve">Formularios de </w:t>
            </w:r>
            <w:r w:rsidR="007B045D" w:rsidRPr="00576AF8">
              <w:t xml:space="preserve">la </w:t>
            </w:r>
            <w:r w:rsidR="002918CE" w:rsidRPr="00576AF8">
              <w:t>Oferta</w:t>
            </w:r>
            <w:r w:rsidRPr="00576AF8">
              <w:t xml:space="preserve"> de la Sección IV</w:t>
            </w:r>
            <w:r w:rsidR="00714CE3" w:rsidRPr="00576AF8">
              <w:t>, "</w:t>
            </w:r>
            <w:r w:rsidR="002918CE" w:rsidRPr="00576AF8">
              <w:t xml:space="preserve">Formularios de </w:t>
            </w:r>
            <w:r w:rsidR="007B045D" w:rsidRPr="00576AF8">
              <w:t xml:space="preserve">la </w:t>
            </w:r>
            <w:r w:rsidR="002918CE" w:rsidRPr="00576AF8">
              <w:t>Oferta</w:t>
            </w:r>
            <w:r w:rsidR="00714CE3" w:rsidRPr="00576AF8">
              <w:t>"</w:t>
            </w:r>
            <w:r w:rsidRPr="00576AF8">
              <w:t xml:space="preserve"> En el comentario se deben incluir referencias cruzadas explícitas a las páginas pertinentes de los materiales de apoyo incluidos en la Oferta. En caso de discrepancia entre el referido comentario y algún catálogo, especificación técnica u otros materiales preimpresos presentados junto con la Oferta, prevalecerá el comentario pormenorizado;</w:t>
            </w:r>
          </w:p>
          <w:p w14:paraId="004CEFF5" w14:textId="77777777" w:rsidR="00261E27" w:rsidRPr="00576AF8" w:rsidRDefault="00261E27">
            <w:pPr>
              <w:pStyle w:val="Prrafodelista"/>
              <w:numPr>
                <w:ilvl w:val="1"/>
                <w:numId w:val="20"/>
              </w:numPr>
              <w:spacing w:after="200"/>
              <w:ind w:left="1242" w:hanging="650"/>
              <w:contextualSpacing w:val="0"/>
              <w:rPr>
                <w:szCs w:val="24"/>
              </w:rPr>
            </w:pPr>
            <w:r w:rsidRPr="00576AF8">
              <w:t>material de respaldo (por ejemplo, publicaciones o notas sobre el producto, o descripciones de tecnologías o enfoques técnicos), según se exija y corresponda;</w:t>
            </w:r>
          </w:p>
          <w:p w14:paraId="229E4067" w14:textId="77777777" w:rsidR="00261E27" w:rsidRPr="00576AF8" w:rsidRDefault="00261E27">
            <w:pPr>
              <w:pStyle w:val="Prrafodelista"/>
              <w:numPr>
                <w:ilvl w:val="1"/>
                <w:numId w:val="20"/>
              </w:numPr>
              <w:spacing w:after="200"/>
              <w:ind w:left="1242" w:hanging="650"/>
              <w:contextualSpacing w:val="0"/>
              <w:rPr>
                <w:szCs w:val="24"/>
              </w:rPr>
            </w:pPr>
            <w:r w:rsidRPr="00576AF8">
              <w:t>cualquier contrato ejecutable separadamente de gastos recurrentes, si la IAL 1</w:t>
            </w:r>
            <w:r w:rsidR="00714CE3" w:rsidRPr="00576AF8">
              <w:t>4</w:t>
            </w:r>
            <w:r w:rsidRPr="00576AF8">
              <w:t>.2</w:t>
            </w:r>
            <w:r w:rsidRPr="00576AF8">
              <w:rPr>
                <w:bCs/>
              </w:rPr>
              <w:t xml:space="preserve"> </w:t>
            </w:r>
            <w:r w:rsidRPr="00576AF8">
              <w:rPr>
                <w:b/>
                <w:bCs/>
              </w:rPr>
              <w:t>de los DDL</w:t>
            </w:r>
            <w:r w:rsidRPr="00576AF8">
              <w:t xml:space="preserve"> requiere que los Licitantes ofrezcan tal contrato.</w:t>
            </w:r>
          </w:p>
          <w:p w14:paraId="2C198451" w14:textId="77777777" w:rsidR="00261E27" w:rsidRPr="00576AF8" w:rsidRDefault="00261E27">
            <w:pPr>
              <w:pStyle w:val="Prrafodelista"/>
              <w:numPr>
                <w:ilvl w:val="0"/>
                <w:numId w:val="20"/>
              </w:numPr>
              <w:spacing w:after="200"/>
              <w:ind w:left="567" w:hanging="567"/>
              <w:contextualSpacing w:val="0"/>
              <w:rPr>
                <w:szCs w:val="24"/>
              </w:rPr>
            </w:pPr>
            <w:r w:rsidRPr="00576AF8">
              <w:t xml:space="preserve">Las referencias a marcas comerciales, números de modelos o normas nacionales o de patentes señaladas por el Comprador en el </w:t>
            </w:r>
            <w:r w:rsidR="00807C34" w:rsidRPr="00576AF8">
              <w:t>documento de licitación</w:t>
            </w:r>
            <w:r w:rsidRPr="00576AF8">
              <w:t xml:space="preserve"> son a título descriptivo y no restrictivo. Salvo </w:t>
            </w:r>
            <w:r w:rsidRPr="00576AF8">
              <w:rPr>
                <w:bCs/>
              </w:rPr>
              <w:t>prohibición explícita</w:t>
            </w:r>
            <w:r w:rsidRPr="00576AF8">
              <w:rPr>
                <w:b/>
                <w:bCs/>
              </w:rPr>
              <w:t xml:space="preserve"> en</w:t>
            </w:r>
            <w:r w:rsidRPr="00576AF8">
              <w:rPr>
                <w:b/>
              </w:rPr>
              <w:t xml:space="preserve"> los DDL</w:t>
            </w:r>
            <w:r w:rsidRPr="00576AF8">
              <w:t xml:space="preserve"> en el caso de rubros o normas específicos, el Licitante puede indicar en su Oferta nombres comerciales o modelos o normas alternativos, siempre y cuando demuestre a satisfacción del Comprador que el uso del o de los sustitutos permitirá que el Sistema Informático funcione a un nivel sustancialmente equivalente o superior al especificado en los requisitos técnicos.</w:t>
            </w:r>
          </w:p>
          <w:p w14:paraId="69F5D191" w14:textId="77777777" w:rsidR="00261E27" w:rsidRPr="00576AF8" w:rsidRDefault="00261E27">
            <w:pPr>
              <w:pStyle w:val="Prrafodelista"/>
              <w:numPr>
                <w:ilvl w:val="0"/>
                <w:numId w:val="20"/>
              </w:numPr>
              <w:spacing w:after="200"/>
              <w:ind w:left="567" w:hanging="567"/>
              <w:contextualSpacing w:val="0"/>
              <w:rPr>
                <w:szCs w:val="24"/>
              </w:rPr>
            </w:pPr>
            <w:r w:rsidRPr="00576AF8">
              <w:t>Con respecto a los artículos principales del Sistema Informático que el Licitante se proponga adquirir o subcontratar a partir de la lista suministrada por el Comprador en la Sección III, “Criterios de Evaluación y Calificación”, el Licitante deberá especificar en cada caso el nombre y la nacionalidad de los subcontratistas propuestos para cada uno de esos artículos, incluidos los fabricantes. Además, deberá incluir en su Oferta información que permita determinar si se cumplen los requisitos dispuestos por el Comprador para los citados artículos. Se considerará que las tarifas y precios cotizados se aplican a cualquier subcontratista que se escoja, y no se permitirá ningún ajuste de tarifas o precios.</w:t>
            </w:r>
          </w:p>
          <w:p w14:paraId="1675A615" w14:textId="77777777" w:rsidR="005F5833" w:rsidRPr="00576AF8" w:rsidRDefault="00261E27">
            <w:pPr>
              <w:pStyle w:val="Prrafodelista"/>
              <w:numPr>
                <w:ilvl w:val="0"/>
                <w:numId w:val="20"/>
              </w:numPr>
              <w:spacing w:after="200"/>
              <w:ind w:left="567" w:hanging="567"/>
              <w:contextualSpacing w:val="0"/>
              <w:rPr>
                <w:szCs w:val="24"/>
              </w:rPr>
            </w:pPr>
            <w:r w:rsidRPr="00576AF8">
              <w:lastRenderedPageBreak/>
              <w:t>Será responsabilidad del Licitante asegurar que todos los subcontratistas propuestos cumplan los requisitos de la IAL 4 y que todos los bienes o servicios que haya de proveer el subcontratista cumplan los requisitos de las IAL 5 y 16.1.</w:t>
            </w:r>
          </w:p>
        </w:tc>
      </w:tr>
      <w:tr w:rsidR="00261E27" w:rsidRPr="00576AF8" w14:paraId="01E9568E" w14:textId="77777777" w:rsidTr="00005D3D">
        <w:trPr>
          <w:cantSplit/>
          <w:trHeight w:val="3162"/>
        </w:trPr>
        <w:tc>
          <w:tcPr>
            <w:tcW w:w="2535" w:type="dxa"/>
          </w:tcPr>
          <w:p w14:paraId="246B8C29" w14:textId="77777777" w:rsidR="00261E27" w:rsidRPr="00576AF8" w:rsidRDefault="00261E27" w:rsidP="00314996">
            <w:pPr>
              <w:pStyle w:val="TOC2-2"/>
            </w:pPr>
            <w:bookmarkStart w:id="128" w:name="_Toc434304511"/>
            <w:bookmarkStart w:id="129" w:name="_Toc454907785"/>
            <w:bookmarkStart w:id="130" w:name="_Toc476308785"/>
            <w:bookmarkStart w:id="131" w:name="_Toc479333335"/>
            <w:bookmarkStart w:id="132" w:name="_Toc25486594"/>
            <w:r w:rsidRPr="00576AF8">
              <w:lastRenderedPageBreak/>
              <w:t>18.</w:t>
            </w:r>
            <w:r w:rsidRPr="00576AF8">
              <w:tab/>
              <w:t xml:space="preserve">Monedas de la Oferta y de </w:t>
            </w:r>
            <w:bookmarkEnd w:id="128"/>
            <w:bookmarkEnd w:id="129"/>
            <w:bookmarkEnd w:id="130"/>
            <w:bookmarkEnd w:id="131"/>
            <w:r w:rsidRPr="00576AF8">
              <w:t>Pago</w:t>
            </w:r>
            <w:bookmarkEnd w:id="132"/>
          </w:p>
        </w:tc>
        <w:tc>
          <w:tcPr>
            <w:tcW w:w="6836" w:type="dxa"/>
          </w:tcPr>
          <w:p w14:paraId="4CECC621" w14:textId="77777777" w:rsidR="00261E27" w:rsidRPr="00576AF8" w:rsidRDefault="00261E27" w:rsidP="00261E27">
            <w:pPr>
              <w:numPr>
                <w:ilvl w:val="12"/>
                <w:numId w:val="0"/>
              </w:numPr>
              <w:spacing w:after="200"/>
              <w:ind w:left="547" w:right="-72" w:hanging="547"/>
              <w:rPr>
                <w:szCs w:val="24"/>
              </w:rPr>
            </w:pPr>
            <w:r w:rsidRPr="00576AF8">
              <w:t>18.1</w:t>
            </w:r>
            <w:r w:rsidRPr="00576AF8">
              <w:tab/>
              <w:t xml:space="preserve">Las monedas de la Oferta y de los pagos deberán ser las mismas. El Licitante deberá cotizar en la moneda del país del Comprador la parte del precio de la Oferta correspondiente a los gastos que se efectúen en la moneda del país del Comprador, salvo disposición en contrario </w:t>
            </w:r>
            <w:r w:rsidRPr="00576AF8">
              <w:rPr>
                <w:b/>
              </w:rPr>
              <w:t>en los DDL</w:t>
            </w:r>
            <w:r w:rsidRPr="00576AF8">
              <w:t>.</w:t>
            </w:r>
          </w:p>
          <w:p w14:paraId="3279B389" w14:textId="77777777" w:rsidR="00261E27" w:rsidRPr="00576AF8" w:rsidRDefault="00261E27" w:rsidP="00261E27">
            <w:pPr>
              <w:numPr>
                <w:ilvl w:val="12"/>
                <w:numId w:val="0"/>
              </w:numPr>
              <w:spacing w:after="200"/>
              <w:ind w:left="547" w:right="-72" w:hanging="547"/>
              <w:rPr>
                <w:szCs w:val="24"/>
              </w:rPr>
            </w:pPr>
            <w:r w:rsidRPr="00576AF8">
              <w:t>18.2</w:t>
            </w:r>
            <w:r w:rsidRPr="00576AF8">
              <w:tab/>
            </w:r>
            <w:r w:rsidRPr="00576AF8">
              <w:rPr>
                <w:spacing w:val="-4"/>
              </w:rPr>
              <w:t>El Licitante podrá expresar el precio de la Oferta en cualquier moneda. Si el Licitante desea recibir el pago en una combinación de montos en diferentes monedas, podrá cotizar su precio en las monedas que correspondan; sin embargo, no podrá incluir más de tres monedas extranjeras además de la del país del Comprador.</w:t>
            </w:r>
          </w:p>
        </w:tc>
      </w:tr>
      <w:tr w:rsidR="00261E27" w:rsidRPr="00576AF8" w14:paraId="2732BCDC" w14:textId="77777777" w:rsidTr="00005D3D">
        <w:trPr>
          <w:cantSplit/>
        </w:trPr>
        <w:tc>
          <w:tcPr>
            <w:tcW w:w="2535" w:type="dxa"/>
          </w:tcPr>
          <w:p w14:paraId="6FAA3982" w14:textId="77777777" w:rsidR="00261E27" w:rsidRPr="00576AF8" w:rsidDel="00D522FE" w:rsidRDefault="00261E27" w:rsidP="00314996">
            <w:pPr>
              <w:pStyle w:val="TOC2-2"/>
            </w:pPr>
            <w:bookmarkStart w:id="133" w:name="_Toc434304512"/>
            <w:bookmarkStart w:id="134" w:name="_Toc454907786"/>
            <w:bookmarkStart w:id="135" w:name="_Toc476308786"/>
            <w:bookmarkStart w:id="136" w:name="_Toc479333336"/>
            <w:bookmarkStart w:id="137" w:name="_Toc25486595"/>
            <w:r w:rsidRPr="00576AF8">
              <w:t>19.</w:t>
            </w:r>
            <w:r w:rsidRPr="00576AF8">
              <w:tab/>
              <w:t>Período de Validez de las Ofertas</w:t>
            </w:r>
            <w:bookmarkEnd w:id="133"/>
            <w:bookmarkEnd w:id="134"/>
            <w:bookmarkEnd w:id="135"/>
            <w:bookmarkEnd w:id="136"/>
            <w:bookmarkEnd w:id="137"/>
          </w:p>
        </w:tc>
        <w:tc>
          <w:tcPr>
            <w:tcW w:w="6836" w:type="dxa"/>
          </w:tcPr>
          <w:p w14:paraId="706D2BB5" w14:textId="77777777" w:rsidR="00261E27" w:rsidRPr="00576AF8" w:rsidRDefault="00261E27">
            <w:pPr>
              <w:pStyle w:val="Prrafodelista"/>
              <w:numPr>
                <w:ilvl w:val="0"/>
                <w:numId w:val="21"/>
              </w:numPr>
              <w:spacing w:after="200"/>
              <w:ind w:left="472" w:hanging="472"/>
              <w:contextualSpacing w:val="0"/>
              <w:rPr>
                <w:szCs w:val="24"/>
              </w:rPr>
            </w:pPr>
            <w:r w:rsidRPr="00576AF8">
              <w:t xml:space="preserve">Las Ofertas se deberán mantener válidas por el período especificado </w:t>
            </w:r>
            <w:r w:rsidRPr="00576AF8">
              <w:rPr>
                <w:b/>
              </w:rPr>
              <w:t>en los DDL</w:t>
            </w:r>
            <w:r w:rsidRPr="00576AF8">
              <w:t xml:space="preserve"> a partir de la fecha límite para </w:t>
            </w:r>
            <w:r w:rsidRPr="00576AF8">
              <w:br/>
              <w:t xml:space="preserve">la presentación de Ofertas establecida por el Comprador </w:t>
            </w:r>
            <w:r w:rsidRPr="00576AF8">
              <w:br/>
              <w:t xml:space="preserve">de conformidad con la IAL 23.1. Una Oferta con un período </w:t>
            </w:r>
            <w:r w:rsidRPr="00576AF8">
              <w:br/>
              <w:t xml:space="preserve">de Validez menor será rechazada por el Comprador </w:t>
            </w:r>
            <w:r w:rsidRPr="00576AF8">
              <w:br/>
              <w:t>por incumplimiento.</w:t>
            </w:r>
          </w:p>
        </w:tc>
      </w:tr>
      <w:tr w:rsidR="00261E27" w:rsidRPr="00576AF8" w14:paraId="3137029A" w14:textId="77777777" w:rsidTr="00CD189A">
        <w:tc>
          <w:tcPr>
            <w:tcW w:w="2535" w:type="dxa"/>
          </w:tcPr>
          <w:p w14:paraId="6084125F" w14:textId="77777777" w:rsidR="00261E27" w:rsidRPr="00576AF8" w:rsidDel="00D522FE" w:rsidRDefault="00261E27" w:rsidP="00261E27">
            <w:pPr>
              <w:pStyle w:val="Head12a"/>
              <w:suppressAutoHyphens/>
              <w:spacing w:after="200"/>
              <w:jc w:val="both"/>
              <w:rPr>
                <w:szCs w:val="24"/>
              </w:rPr>
            </w:pPr>
          </w:p>
        </w:tc>
        <w:tc>
          <w:tcPr>
            <w:tcW w:w="6836" w:type="dxa"/>
          </w:tcPr>
          <w:p w14:paraId="45C1A72B" w14:textId="77777777" w:rsidR="00261E27" w:rsidRPr="00576AF8" w:rsidRDefault="00261E27">
            <w:pPr>
              <w:pStyle w:val="Prrafodelista"/>
              <w:numPr>
                <w:ilvl w:val="0"/>
                <w:numId w:val="21"/>
              </w:numPr>
              <w:spacing w:after="200"/>
              <w:ind w:left="472" w:hanging="472"/>
              <w:contextualSpacing w:val="0"/>
              <w:rPr>
                <w:szCs w:val="24"/>
              </w:rPr>
            </w:pPr>
            <w:r w:rsidRPr="00576AF8">
              <w:t>En circunstancias excepcionales y antes de que expire el período de validez de la Oferta, el Comprador podrá solicitar a los Licitantes que prorroguen el período de validez de sus Ofertas. La solicitud y las respuestas deberán formularse por escrito. Si se ha solicitado una garantía de mantenimiento de la Oferta de conformidad con la IAL 20.1, esta también deberá prorrogarse por un plazo de veintiocho (28) días a partir de la fecha límite del período de validez prorrogado. Un Licitante podrá rehusarse a tal solicitud sin que se le haga efectiva su garantía de mantenimiento de la Oferta. A los Licitantes que acepten la solicitud de prórroga no se les pedirá ni permitirá modificar su Oferta, a excepción de lo dispuesto en la IAL 19.3.</w:t>
            </w:r>
          </w:p>
        </w:tc>
      </w:tr>
      <w:tr w:rsidR="00E4025D" w:rsidRPr="00576AF8" w14:paraId="7E58FCC0" w14:textId="77777777" w:rsidTr="00CD189A">
        <w:tc>
          <w:tcPr>
            <w:tcW w:w="2535" w:type="dxa"/>
          </w:tcPr>
          <w:p w14:paraId="266B8997" w14:textId="77777777" w:rsidR="00E4025D" w:rsidRPr="00576AF8" w:rsidDel="00D522FE" w:rsidRDefault="00E4025D" w:rsidP="00261E27">
            <w:pPr>
              <w:pStyle w:val="Head12a"/>
              <w:suppressAutoHyphens/>
              <w:spacing w:after="200"/>
              <w:jc w:val="both"/>
              <w:rPr>
                <w:szCs w:val="24"/>
              </w:rPr>
            </w:pPr>
          </w:p>
        </w:tc>
        <w:tc>
          <w:tcPr>
            <w:tcW w:w="6836" w:type="dxa"/>
          </w:tcPr>
          <w:p w14:paraId="068A2FD0" w14:textId="77777777" w:rsidR="00E4025D" w:rsidRPr="00576AF8" w:rsidRDefault="00E4025D">
            <w:pPr>
              <w:pStyle w:val="Prrafodelista"/>
              <w:numPr>
                <w:ilvl w:val="0"/>
                <w:numId w:val="21"/>
              </w:numPr>
              <w:spacing w:after="200"/>
              <w:ind w:left="472" w:hanging="472"/>
              <w:contextualSpacing w:val="0"/>
            </w:pPr>
            <w:r w:rsidRPr="00576AF8">
              <w:t>Si la adjudicación se retrasase por un período mayor de cincuenta y seis (56) días a partir del vencimiento del período de validez inicial de la Oferta, el precio del Contrato se determinará de la siguiente forma:</w:t>
            </w:r>
            <w:r w:rsidR="00714CE3" w:rsidRPr="00576AF8">
              <w:t xml:space="preserve"> </w:t>
            </w:r>
          </w:p>
        </w:tc>
      </w:tr>
      <w:tr w:rsidR="00261E27" w:rsidRPr="00576AF8" w14:paraId="28AB1017" w14:textId="77777777" w:rsidTr="00005D3D">
        <w:trPr>
          <w:cantSplit/>
        </w:trPr>
        <w:tc>
          <w:tcPr>
            <w:tcW w:w="2535" w:type="dxa"/>
          </w:tcPr>
          <w:p w14:paraId="36E548D0" w14:textId="77777777" w:rsidR="00261E27" w:rsidRPr="00576AF8" w:rsidDel="00D522FE" w:rsidRDefault="00261E27" w:rsidP="00261E27">
            <w:pPr>
              <w:pStyle w:val="Head12a"/>
              <w:suppressAutoHyphens/>
              <w:spacing w:after="200"/>
              <w:jc w:val="both"/>
              <w:rPr>
                <w:szCs w:val="24"/>
              </w:rPr>
            </w:pPr>
          </w:p>
        </w:tc>
        <w:tc>
          <w:tcPr>
            <w:tcW w:w="6836" w:type="dxa"/>
          </w:tcPr>
          <w:p w14:paraId="15271F2B" w14:textId="77777777" w:rsidR="00261E27" w:rsidRPr="00576AF8" w:rsidRDefault="00261E27">
            <w:pPr>
              <w:pStyle w:val="Prrafodelista"/>
              <w:numPr>
                <w:ilvl w:val="0"/>
                <w:numId w:val="35"/>
              </w:numPr>
              <w:spacing w:after="200"/>
              <w:ind w:left="1060" w:right="-74" w:hanging="567"/>
              <w:contextualSpacing w:val="0"/>
              <w:rPr>
                <w:szCs w:val="24"/>
              </w:rPr>
            </w:pPr>
            <w:r w:rsidRPr="00576AF8">
              <w:t xml:space="preserve">en el caso de los contratos con precio fijo, el precio del Contrato será el precio de la Oferta con un ajuste por el factor o los factores especificados </w:t>
            </w:r>
            <w:r w:rsidRPr="00576AF8">
              <w:rPr>
                <w:b/>
              </w:rPr>
              <w:t>en los DDL</w:t>
            </w:r>
            <w:r w:rsidRPr="00576AF8">
              <w:t>;</w:t>
            </w:r>
          </w:p>
          <w:p w14:paraId="18E372AA" w14:textId="77777777" w:rsidR="00261E27" w:rsidRPr="00576AF8" w:rsidRDefault="00261E27">
            <w:pPr>
              <w:pStyle w:val="Prrafodelista"/>
              <w:numPr>
                <w:ilvl w:val="0"/>
                <w:numId w:val="35"/>
              </w:numPr>
              <w:spacing w:after="200"/>
              <w:ind w:left="1060" w:right="-74" w:hanging="567"/>
              <w:contextualSpacing w:val="0"/>
              <w:rPr>
                <w:szCs w:val="24"/>
              </w:rPr>
            </w:pPr>
            <w:r w:rsidRPr="00576AF8">
              <w:t>en el caso de los contratos con precio ajustable, no se realizarán ajustes;</w:t>
            </w:r>
          </w:p>
          <w:p w14:paraId="68B2A684" w14:textId="77777777" w:rsidR="00261E27" w:rsidRPr="00576AF8" w:rsidRDefault="00261E27">
            <w:pPr>
              <w:pStyle w:val="Prrafodelista"/>
              <w:numPr>
                <w:ilvl w:val="0"/>
                <w:numId w:val="35"/>
              </w:numPr>
              <w:spacing w:after="200"/>
              <w:ind w:left="1060" w:right="-74" w:hanging="567"/>
              <w:contextualSpacing w:val="0"/>
              <w:rPr>
                <w:szCs w:val="24"/>
              </w:rPr>
            </w:pPr>
            <w:r w:rsidRPr="00576AF8">
              <w:t>en todos los casos, la evaluación se basará en el precio de la Oferta sin tener en cuenta la corrección aplicable antes mencionada.</w:t>
            </w:r>
          </w:p>
        </w:tc>
      </w:tr>
      <w:tr w:rsidR="00261E27" w:rsidRPr="00576AF8" w14:paraId="62A689F5" w14:textId="77777777" w:rsidTr="00005D3D">
        <w:trPr>
          <w:cantSplit/>
        </w:trPr>
        <w:tc>
          <w:tcPr>
            <w:tcW w:w="2535" w:type="dxa"/>
          </w:tcPr>
          <w:p w14:paraId="4594F8AE" w14:textId="77777777" w:rsidR="00261E27" w:rsidRPr="00576AF8" w:rsidDel="00D522FE" w:rsidRDefault="00261E27" w:rsidP="00314996">
            <w:pPr>
              <w:pStyle w:val="TOC2-2"/>
            </w:pPr>
            <w:bookmarkStart w:id="138" w:name="_Toc438438842"/>
            <w:bookmarkStart w:id="139" w:name="_Toc438532605"/>
            <w:bookmarkStart w:id="140" w:name="_Toc438733986"/>
            <w:bookmarkStart w:id="141" w:name="_Toc438907025"/>
            <w:bookmarkStart w:id="142" w:name="_Toc438907224"/>
            <w:bookmarkStart w:id="143" w:name="_Toc23236765"/>
            <w:bookmarkStart w:id="144" w:name="_Toc125783008"/>
            <w:bookmarkStart w:id="145" w:name="_Toc434304513"/>
            <w:bookmarkStart w:id="146" w:name="_Toc454907787"/>
            <w:bookmarkStart w:id="147" w:name="_Toc476308787"/>
            <w:bookmarkStart w:id="148" w:name="_Toc479333337"/>
            <w:bookmarkStart w:id="149" w:name="_Toc25486596"/>
            <w:r w:rsidRPr="00576AF8">
              <w:t>20.</w:t>
            </w:r>
            <w:r w:rsidRPr="00576AF8">
              <w:tab/>
              <w:t>Garantía de Mantenimiento de la Oferta</w:t>
            </w:r>
            <w:bookmarkEnd w:id="138"/>
            <w:bookmarkEnd w:id="139"/>
            <w:bookmarkEnd w:id="140"/>
            <w:bookmarkEnd w:id="141"/>
            <w:bookmarkEnd w:id="142"/>
            <w:bookmarkEnd w:id="143"/>
            <w:bookmarkEnd w:id="144"/>
            <w:bookmarkEnd w:id="145"/>
            <w:bookmarkEnd w:id="146"/>
            <w:bookmarkEnd w:id="147"/>
            <w:bookmarkEnd w:id="148"/>
            <w:bookmarkEnd w:id="149"/>
          </w:p>
        </w:tc>
        <w:tc>
          <w:tcPr>
            <w:tcW w:w="6836" w:type="dxa"/>
          </w:tcPr>
          <w:p w14:paraId="7F14F922" w14:textId="77777777" w:rsidR="00261E27" w:rsidRPr="00576AF8" w:rsidRDefault="00261E27">
            <w:pPr>
              <w:pStyle w:val="S1-subpara"/>
              <w:numPr>
                <w:ilvl w:val="1"/>
                <w:numId w:val="3"/>
              </w:numPr>
              <w:ind w:left="472" w:right="-75" w:hanging="472"/>
              <w:rPr>
                <w:szCs w:val="24"/>
              </w:rPr>
            </w:pPr>
            <w:r w:rsidRPr="00576AF8">
              <w:t xml:space="preserve">El Licitante proporcionará, como parte de su Oferta, una Declaración de Mantenimiento de la Oferta o bien una Garantía de Mantenimiento de la Oferta, según lo especificado </w:t>
            </w:r>
            <w:r w:rsidRPr="00576AF8">
              <w:rPr>
                <w:b/>
              </w:rPr>
              <w:t>en los DDL</w:t>
            </w:r>
            <w:r w:rsidRPr="00576AF8">
              <w:t>, en un formulario original y, en el caso de una Garantía de Mantenimiento de la Oferta, por el monto y en la moneda establecidos</w:t>
            </w:r>
            <w:r w:rsidRPr="00576AF8">
              <w:rPr>
                <w:b/>
              </w:rPr>
              <w:t xml:space="preserve"> en los DDL</w:t>
            </w:r>
            <w:r w:rsidRPr="00576AF8">
              <w:t>.</w:t>
            </w:r>
          </w:p>
        </w:tc>
      </w:tr>
      <w:tr w:rsidR="00261E27" w:rsidRPr="00576AF8" w14:paraId="06064F89" w14:textId="77777777" w:rsidTr="00005D3D">
        <w:trPr>
          <w:cantSplit/>
        </w:trPr>
        <w:tc>
          <w:tcPr>
            <w:tcW w:w="2535" w:type="dxa"/>
          </w:tcPr>
          <w:p w14:paraId="2A07588B" w14:textId="77777777" w:rsidR="00261E27" w:rsidRPr="00576AF8" w:rsidDel="00D522FE" w:rsidRDefault="00261E27" w:rsidP="00261E27">
            <w:pPr>
              <w:pStyle w:val="Head12a"/>
              <w:suppressAutoHyphens/>
              <w:spacing w:after="200"/>
              <w:jc w:val="both"/>
              <w:rPr>
                <w:szCs w:val="24"/>
              </w:rPr>
            </w:pPr>
          </w:p>
        </w:tc>
        <w:tc>
          <w:tcPr>
            <w:tcW w:w="6836" w:type="dxa"/>
          </w:tcPr>
          <w:p w14:paraId="76DC8C7B" w14:textId="77777777" w:rsidR="00261E27" w:rsidRPr="00576AF8" w:rsidRDefault="00261E27">
            <w:pPr>
              <w:pStyle w:val="S1-subpara"/>
              <w:numPr>
                <w:ilvl w:val="1"/>
                <w:numId w:val="3"/>
              </w:numPr>
              <w:ind w:left="472" w:right="-75" w:hanging="472"/>
              <w:rPr>
                <w:szCs w:val="24"/>
              </w:rPr>
            </w:pPr>
            <w:r w:rsidRPr="00576AF8">
              <w:t>Para la Declaración de Mantenimiento de la Oferta se utilizará el formulario pertinente incluido en la Sección IV, “</w:t>
            </w:r>
            <w:r w:rsidR="002918CE" w:rsidRPr="00576AF8">
              <w:t xml:space="preserve">Formularios de </w:t>
            </w:r>
            <w:r w:rsidR="007B045D" w:rsidRPr="00576AF8">
              <w:t xml:space="preserve">la </w:t>
            </w:r>
            <w:r w:rsidR="002918CE" w:rsidRPr="00576AF8">
              <w:t>Oferta</w:t>
            </w:r>
            <w:r w:rsidRPr="00576AF8">
              <w:t>”.</w:t>
            </w:r>
          </w:p>
        </w:tc>
      </w:tr>
      <w:tr w:rsidR="00261E27" w:rsidRPr="00576AF8" w14:paraId="76A8E07E" w14:textId="77777777" w:rsidTr="00005D3D">
        <w:trPr>
          <w:cantSplit/>
        </w:trPr>
        <w:tc>
          <w:tcPr>
            <w:tcW w:w="2535" w:type="dxa"/>
          </w:tcPr>
          <w:p w14:paraId="3B25F032" w14:textId="77777777" w:rsidR="00261E27" w:rsidRPr="00576AF8" w:rsidDel="00D522FE" w:rsidRDefault="00261E27" w:rsidP="00261E27">
            <w:pPr>
              <w:pStyle w:val="Head12a"/>
              <w:suppressAutoHyphens/>
              <w:spacing w:after="200"/>
              <w:jc w:val="both"/>
              <w:rPr>
                <w:szCs w:val="24"/>
              </w:rPr>
            </w:pPr>
          </w:p>
        </w:tc>
        <w:tc>
          <w:tcPr>
            <w:tcW w:w="6836" w:type="dxa"/>
          </w:tcPr>
          <w:p w14:paraId="397C7532" w14:textId="77777777" w:rsidR="00261E27" w:rsidRPr="00576AF8" w:rsidRDefault="00261E27">
            <w:pPr>
              <w:pStyle w:val="S1-subpara"/>
              <w:numPr>
                <w:ilvl w:val="1"/>
                <w:numId w:val="3"/>
              </w:numPr>
              <w:ind w:left="472" w:right="-75" w:hanging="472"/>
              <w:rPr>
                <w:szCs w:val="24"/>
              </w:rPr>
            </w:pPr>
            <w:r w:rsidRPr="00576AF8">
              <w:t>Si, según lo especificado en la IAL 20.1, se debe presentar una Garantía de Mantenimiento de la Oferta, esta debe ser una garantía pagadera a primer requerimiento que tendrá cualquiera de las formas siguientes, a opción del Licitante:</w:t>
            </w:r>
          </w:p>
        </w:tc>
      </w:tr>
      <w:tr w:rsidR="00261E27" w:rsidRPr="00576AF8" w14:paraId="42AA54A3" w14:textId="77777777" w:rsidTr="00005D3D">
        <w:trPr>
          <w:cantSplit/>
        </w:trPr>
        <w:tc>
          <w:tcPr>
            <w:tcW w:w="2535" w:type="dxa"/>
          </w:tcPr>
          <w:p w14:paraId="47B9401A" w14:textId="77777777" w:rsidR="00261E27" w:rsidRPr="00576AF8" w:rsidDel="00D522FE" w:rsidRDefault="00261E27" w:rsidP="00261E27">
            <w:pPr>
              <w:pStyle w:val="Head12a"/>
              <w:suppressAutoHyphens/>
              <w:spacing w:after="200"/>
              <w:jc w:val="both"/>
              <w:rPr>
                <w:szCs w:val="24"/>
              </w:rPr>
            </w:pPr>
          </w:p>
        </w:tc>
        <w:tc>
          <w:tcPr>
            <w:tcW w:w="6836" w:type="dxa"/>
          </w:tcPr>
          <w:p w14:paraId="28DD08E0" w14:textId="77777777" w:rsidR="00261E27" w:rsidRPr="00576AF8" w:rsidRDefault="00261E27">
            <w:pPr>
              <w:pStyle w:val="P3Header1-Clauses"/>
              <w:numPr>
                <w:ilvl w:val="2"/>
                <w:numId w:val="3"/>
              </w:numPr>
              <w:spacing w:after="200"/>
              <w:ind w:left="1152" w:hanging="630"/>
              <w:rPr>
                <w:bCs/>
                <w:szCs w:val="24"/>
              </w:rPr>
            </w:pPr>
            <w:r w:rsidRPr="00576AF8">
              <w:rPr>
                <w:b w:val="0"/>
              </w:rPr>
              <w:t xml:space="preserve">una garantía incondicional emitida por una institución </w:t>
            </w:r>
            <w:r w:rsidR="004C1844" w:rsidRPr="00576AF8">
              <w:rPr>
                <w:b w:val="0"/>
              </w:rPr>
              <w:t xml:space="preserve">bancaria o </w:t>
            </w:r>
            <w:r w:rsidRPr="00576AF8">
              <w:rPr>
                <w:b w:val="0"/>
              </w:rPr>
              <w:t>financiera no bancaria (</w:t>
            </w:r>
            <w:r w:rsidR="00393B72" w:rsidRPr="00576AF8">
              <w:rPr>
                <w:b w:val="0"/>
              </w:rPr>
              <w:t xml:space="preserve">tales </w:t>
            </w:r>
            <w:r w:rsidRPr="00576AF8">
              <w:rPr>
                <w:b w:val="0"/>
              </w:rPr>
              <w:t xml:space="preserve">como una compañía de seguros, fianzas o avales); </w:t>
            </w:r>
          </w:p>
        </w:tc>
      </w:tr>
      <w:tr w:rsidR="00261E27" w:rsidRPr="00576AF8" w14:paraId="1D82C788" w14:textId="77777777" w:rsidTr="00005D3D">
        <w:trPr>
          <w:cantSplit/>
        </w:trPr>
        <w:tc>
          <w:tcPr>
            <w:tcW w:w="2535" w:type="dxa"/>
          </w:tcPr>
          <w:p w14:paraId="1B7DD433" w14:textId="77777777" w:rsidR="00261E27" w:rsidRPr="00576AF8" w:rsidDel="00D522FE" w:rsidRDefault="00261E27" w:rsidP="00261E27">
            <w:pPr>
              <w:pStyle w:val="Head12a"/>
              <w:suppressAutoHyphens/>
              <w:spacing w:after="200"/>
              <w:jc w:val="both"/>
              <w:rPr>
                <w:szCs w:val="24"/>
              </w:rPr>
            </w:pPr>
          </w:p>
        </w:tc>
        <w:tc>
          <w:tcPr>
            <w:tcW w:w="6836" w:type="dxa"/>
          </w:tcPr>
          <w:p w14:paraId="454259FB" w14:textId="77777777" w:rsidR="00261E27" w:rsidRPr="00576AF8" w:rsidRDefault="00261E27">
            <w:pPr>
              <w:pStyle w:val="P3Header1-Clauses"/>
              <w:numPr>
                <w:ilvl w:val="2"/>
                <w:numId w:val="3"/>
              </w:numPr>
              <w:spacing w:after="200"/>
              <w:ind w:left="1152" w:hanging="630"/>
              <w:rPr>
                <w:szCs w:val="24"/>
              </w:rPr>
            </w:pPr>
            <w:r w:rsidRPr="00576AF8">
              <w:rPr>
                <w:b w:val="0"/>
              </w:rPr>
              <w:t xml:space="preserve">una carta de crédito irrevocable; </w:t>
            </w:r>
          </w:p>
        </w:tc>
      </w:tr>
      <w:tr w:rsidR="00261E27" w:rsidRPr="00576AF8" w14:paraId="442F1B8D" w14:textId="77777777" w:rsidTr="00005D3D">
        <w:trPr>
          <w:cantSplit/>
        </w:trPr>
        <w:tc>
          <w:tcPr>
            <w:tcW w:w="2535" w:type="dxa"/>
          </w:tcPr>
          <w:p w14:paraId="3D2D5B9D" w14:textId="77777777" w:rsidR="00261E27" w:rsidRPr="00576AF8" w:rsidDel="00D522FE" w:rsidRDefault="00261E27" w:rsidP="00261E27">
            <w:pPr>
              <w:pStyle w:val="Head12a"/>
              <w:suppressAutoHyphens/>
              <w:spacing w:after="200"/>
              <w:jc w:val="both"/>
              <w:rPr>
                <w:szCs w:val="24"/>
              </w:rPr>
            </w:pPr>
          </w:p>
        </w:tc>
        <w:tc>
          <w:tcPr>
            <w:tcW w:w="6836" w:type="dxa"/>
          </w:tcPr>
          <w:p w14:paraId="10205A26" w14:textId="77777777" w:rsidR="00261E27" w:rsidRPr="00576AF8" w:rsidRDefault="00261E27">
            <w:pPr>
              <w:pStyle w:val="P3Header1-Clauses"/>
              <w:numPr>
                <w:ilvl w:val="2"/>
                <w:numId w:val="3"/>
              </w:numPr>
              <w:spacing w:after="200"/>
              <w:ind w:left="1152" w:hanging="630"/>
              <w:rPr>
                <w:b w:val="0"/>
                <w:bCs/>
                <w:szCs w:val="24"/>
              </w:rPr>
            </w:pPr>
            <w:r w:rsidRPr="00576AF8">
              <w:rPr>
                <w:b w:val="0"/>
              </w:rPr>
              <w:t>un cheque de caja o cheque certificado;</w:t>
            </w:r>
          </w:p>
        </w:tc>
      </w:tr>
      <w:tr w:rsidR="00261E27" w:rsidRPr="00576AF8" w14:paraId="419ECB90" w14:textId="77777777" w:rsidTr="00005D3D">
        <w:trPr>
          <w:cantSplit/>
        </w:trPr>
        <w:tc>
          <w:tcPr>
            <w:tcW w:w="2535" w:type="dxa"/>
          </w:tcPr>
          <w:p w14:paraId="5E40CF74" w14:textId="77777777" w:rsidR="00261E27" w:rsidRPr="00576AF8" w:rsidDel="00D522FE" w:rsidRDefault="00261E27" w:rsidP="00261E27">
            <w:pPr>
              <w:pStyle w:val="Head12a"/>
              <w:suppressAutoHyphens/>
              <w:spacing w:after="200"/>
              <w:jc w:val="both"/>
              <w:rPr>
                <w:szCs w:val="24"/>
              </w:rPr>
            </w:pPr>
          </w:p>
        </w:tc>
        <w:tc>
          <w:tcPr>
            <w:tcW w:w="6836" w:type="dxa"/>
          </w:tcPr>
          <w:p w14:paraId="7763902B" w14:textId="77777777" w:rsidR="00261E27" w:rsidRPr="00576AF8" w:rsidRDefault="00261E27">
            <w:pPr>
              <w:pStyle w:val="P3Header1-Clauses"/>
              <w:numPr>
                <w:ilvl w:val="2"/>
                <w:numId w:val="3"/>
              </w:numPr>
              <w:spacing w:after="200"/>
              <w:ind w:left="1152" w:hanging="630"/>
              <w:rPr>
                <w:b w:val="0"/>
                <w:bCs/>
                <w:szCs w:val="24"/>
              </w:rPr>
            </w:pPr>
            <w:r w:rsidRPr="00576AF8">
              <w:rPr>
                <w:b w:val="0"/>
              </w:rPr>
              <w:t>otra garantía especificada</w:t>
            </w:r>
            <w:r w:rsidRPr="00576AF8">
              <w:t xml:space="preserve"> en los DDL,</w:t>
            </w:r>
          </w:p>
        </w:tc>
      </w:tr>
      <w:tr w:rsidR="00261E27" w:rsidRPr="00576AF8" w14:paraId="65A400F8" w14:textId="77777777" w:rsidTr="00307BFE">
        <w:tc>
          <w:tcPr>
            <w:tcW w:w="2535" w:type="dxa"/>
          </w:tcPr>
          <w:p w14:paraId="03F43C97" w14:textId="77777777" w:rsidR="00261E27" w:rsidRPr="00576AF8" w:rsidDel="00D522FE" w:rsidRDefault="00261E27" w:rsidP="00261E27">
            <w:pPr>
              <w:pStyle w:val="Head12a"/>
              <w:suppressAutoHyphens/>
              <w:spacing w:after="200"/>
              <w:jc w:val="both"/>
              <w:rPr>
                <w:szCs w:val="24"/>
              </w:rPr>
            </w:pPr>
          </w:p>
        </w:tc>
        <w:tc>
          <w:tcPr>
            <w:tcW w:w="6836" w:type="dxa"/>
          </w:tcPr>
          <w:p w14:paraId="4BC52833" w14:textId="77777777" w:rsidR="00261E27" w:rsidRPr="00576AF8" w:rsidRDefault="00261E27" w:rsidP="00261E27">
            <w:pPr>
              <w:pStyle w:val="S1-subpara"/>
              <w:ind w:left="612" w:right="-75"/>
              <w:rPr>
                <w:szCs w:val="24"/>
              </w:rPr>
            </w:pPr>
            <w:r w:rsidRPr="00576AF8">
              <w:t>emitida por una institución de prestigio de un país elegible. Si una garantía incondicional es emitida por una institución financiera no bancaria situada fuera del país del Comprador, la institución emisora deberá tener una institución financiera corresponsal ubicada en el país del Comprador que permita hacer efectiva la garantía, salvo que el Comprador conviniera por escrito, antes de la presentación de la Oferta, que no requiere tal institución financiera corresponsal.</w:t>
            </w:r>
          </w:p>
        </w:tc>
      </w:tr>
      <w:tr w:rsidR="00261E27" w:rsidRPr="00576AF8" w14:paraId="315E3CD7" w14:textId="77777777" w:rsidTr="00005D3D">
        <w:trPr>
          <w:cantSplit/>
        </w:trPr>
        <w:tc>
          <w:tcPr>
            <w:tcW w:w="2535" w:type="dxa"/>
          </w:tcPr>
          <w:p w14:paraId="5FC61F21" w14:textId="77777777" w:rsidR="00261E27" w:rsidRPr="00576AF8" w:rsidDel="00D522FE" w:rsidRDefault="00261E27" w:rsidP="00261E27">
            <w:pPr>
              <w:pStyle w:val="Head12a"/>
              <w:suppressAutoHyphens/>
              <w:spacing w:after="200"/>
              <w:jc w:val="both"/>
              <w:rPr>
                <w:szCs w:val="24"/>
              </w:rPr>
            </w:pPr>
          </w:p>
        </w:tc>
        <w:tc>
          <w:tcPr>
            <w:tcW w:w="6836" w:type="dxa"/>
          </w:tcPr>
          <w:p w14:paraId="4EA52A8D" w14:textId="77777777" w:rsidR="00261E27" w:rsidRPr="00576AF8" w:rsidRDefault="00261E27">
            <w:pPr>
              <w:pStyle w:val="S1-subpara"/>
              <w:numPr>
                <w:ilvl w:val="1"/>
                <w:numId w:val="3"/>
              </w:numPr>
              <w:ind w:left="472" w:right="-75" w:hanging="472"/>
              <w:rPr>
                <w:iCs/>
                <w:szCs w:val="24"/>
              </w:rPr>
            </w:pPr>
            <w:r w:rsidRPr="00576AF8">
              <w:t>Si se trata de una garantía bancaria, la Garantía de Mantenimiento de la Oferta se presentará utilizando el formulario de Garantía de Mantenimiento de la Oferta incluido en la Sección IV, “</w:t>
            </w:r>
            <w:r w:rsidR="002918CE" w:rsidRPr="00576AF8">
              <w:t xml:space="preserve">Formularios de </w:t>
            </w:r>
            <w:r w:rsidR="007B045D" w:rsidRPr="00576AF8">
              <w:t xml:space="preserve">la </w:t>
            </w:r>
            <w:r w:rsidR="002918CE" w:rsidRPr="00576AF8">
              <w:t>Oferta</w:t>
            </w:r>
            <w:r w:rsidRPr="00576AF8">
              <w:t>”, o en otro formato sustancialmente similar aprobado por el Comprador con anterioridad a la presentación de la Oferta. En cualquier caso, el formulario debe incluir el nombre completo del Licitante. La garantía de mantenimiento de la Oferta será válida por un período de veintiocho (28) días posterior al período de validez original de la Oferta, o de cualquier período de prórroga, si este se hubiera solicitado de conformidad con la IAL 19.2.</w:t>
            </w:r>
          </w:p>
        </w:tc>
      </w:tr>
      <w:tr w:rsidR="00261E27" w:rsidRPr="00576AF8" w14:paraId="7703FC4D" w14:textId="77777777" w:rsidTr="00005D3D">
        <w:trPr>
          <w:cantSplit/>
        </w:trPr>
        <w:tc>
          <w:tcPr>
            <w:tcW w:w="2535" w:type="dxa"/>
          </w:tcPr>
          <w:p w14:paraId="0750C0E0" w14:textId="77777777" w:rsidR="00261E27" w:rsidRPr="00576AF8" w:rsidDel="00D522FE" w:rsidRDefault="00261E27" w:rsidP="00261E27">
            <w:pPr>
              <w:pStyle w:val="Head12a"/>
              <w:suppressAutoHyphens/>
              <w:spacing w:after="200"/>
              <w:jc w:val="both"/>
              <w:rPr>
                <w:szCs w:val="24"/>
              </w:rPr>
            </w:pPr>
          </w:p>
        </w:tc>
        <w:tc>
          <w:tcPr>
            <w:tcW w:w="6836" w:type="dxa"/>
          </w:tcPr>
          <w:p w14:paraId="400410C4" w14:textId="77777777" w:rsidR="00261E27" w:rsidRPr="00576AF8" w:rsidRDefault="00261E27">
            <w:pPr>
              <w:pStyle w:val="S1-subpara"/>
              <w:numPr>
                <w:ilvl w:val="1"/>
                <w:numId w:val="3"/>
              </w:numPr>
              <w:ind w:left="472" w:right="-75" w:hanging="472"/>
              <w:rPr>
                <w:szCs w:val="24"/>
              </w:rPr>
            </w:pPr>
            <w:r w:rsidRPr="00576AF8">
              <w:t xml:space="preserve">Si en la IAL 20.1 se exige una Garantía de Mantenimiento de la Oferta o una Declaración de Mantenimiento de la Oferta, todas las Ofertas que no estén acompañadas de una Garantía de Mantenimiento de la Oferta o de una Declaración de Mantenimiento de la Oferta que se ajusten sustancialmente </w:t>
            </w:r>
            <w:r w:rsidR="00293E3D" w:rsidRPr="00576AF8">
              <w:t xml:space="preserve">a los requisitos de la garantía </w:t>
            </w:r>
            <w:r w:rsidRPr="00576AF8">
              <w:t xml:space="preserve">serán rechazadas por el Comprador </w:t>
            </w:r>
            <w:r w:rsidRPr="00576AF8">
              <w:br/>
              <w:t>por incumplimiento.</w:t>
            </w:r>
          </w:p>
        </w:tc>
      </w:tr>
      <w:tr w:rsidR="00261E27" w:rsidRPr="00576AF8" w14:paraId="17B5BE6C" w14:textId="77777777" w:rsidTr="00005D3D">
        <w:trPr>
          <w:cantSplit/>
        </w:trPr>
        <w:tc>
          <w:tcPr>
            <w:tcW w:w="2535" w:type="dxa"/>
          </w:tcPr>
          <w:p w14:paraId="6EF312A7" w14:textId="77777777" w:rsidR="00261E27" w:rsidRPr="00576AF8" w:rsidDel="00D522FE" w:rsidRDefault="00261E27" w:rsidP="00261E27">
            <w:pPr>
              <w:pStyle w:val="Head12a"/>
              <w:suppressAutoHyphens/>
              <w:spacing w:after="200"/>
              <w:jc w:val="both"/>
              <w:rPr>
                <w:szCs w:val="24"/>
              </w:rPr>
            </w:pPr>
          </w:p>
        </w:tc>
        <w:tc>
          <w:tcPr>
            <w:tcW w:w="6836" w:type="dxa"/>
          </w:tcPr>
          <w:p w14:paraId="7E1F7418" w14:textId="77777777" w:rsidR="00261E27" w:rsidRPr="00576AF8" w:rsidRDefault="00261E27">
            <w:pPr>
              <w:pStyle w:val="S1-subpara"/>
              <w:numPr>
                <w:ilvl w:val="1"/>
                <w:numId w:val="3"/>
              </w:numPr>
              <w:ind w:left="472" w:right="-75" w:hanging="472"/>
              <w:rPr>
                <w:szCs w:val="24"/>
              </w:rPr>
            </w:pPr>
            <w:r w:rsidRPr="00576AF8">
              <w:t>Si en la IAL 20.1 se exige una Garantía de Mantenimiento de la Oferta, la Garantía de Mantenimiento de la Oferta de los Licitantes no seleccionados será devuelta tan pronto como sea posible, después de que el Licitante seleccionado provea la garantía de cumplimiento de conformidad con la IAL </w:t>
            </w:r>
            <w:r w:rsidR="002D7CBA" w:rsidRPr="00576AF8">
              <w:t>54</w:t>
            </w:r>
            <w:r w:rsidRPr="00576AF8">
              <w:t>.</w:t>
            </w:r>
          </w:p>
        </w:tc>
      </w:tr>
      <w:tr w:rsidR="00261E27" w:rsidRPr="00576AF8" w14:paraId="3F12FA28" w14:textId="77777777" w:rsidTr="00005D3D">
        <w:trPr>
          <w:cantSplit/>
        </w:trPr>
        <w:tc>
          <w:tcPr>
            <w:tcW w:w="2535" w:type="dxa"/>
          </w:tcPr>
          <w:p w14:paraId="3256F8E5" w14:textId="77777777" w:rsidR="00261E27" w:rsidRPr="00576AF8" w:rsidDel="00D522FE" w:rsidRDefault="00261E27" w:rsidP="00261E27">
            <w:pPr>
              <w:pStyle w:val="Head12a"/>
              <w:suppressAutoHyphens/>
              <w:spacing w:after="200"/>
              <w:jc w:val="both"/>
              <w:rPr>
                <w:szCs w:val="24"/>
              </w:rPr>
            </w:pPr>
          </w:p>
        </w:tc>
        <w:tc>
          <w:tcPr>
            <w:tcW w:w="6836" w:type="dxa"/>
          </w:tcPr>
          <w:p w14:paraId="4D9743DB" w14:textId="77777777" w:rsidR="00261E27" w:rsidRPr="00576AF8" w:rsidRDefault="00261E27">
            <w:pPr>
              <w:pStyle w:val="S1-subpara"/>
              <w:numPr>
                <w:ilvl w:val="1"/>
                <w:numId w:val="3"/>
              </w:numPr>
              <w:ind w:left="472" w:right="-75" w:hanging="472"/>
              <w:rPr>
                <w:szCs w:val="24"/>
              </w:rPr>
            </w:pPr>
            <w:r w:rsidRPr="00576AF8">
              <w:t>La Garantía de Mantenimiento de la Oferta del Licitante seleccionado será devuelta tan pronto como sea posible una vez que dicho Licitante haya firmado el Contrato y suministrado la Garantía de Cumplimiento.</w:t>
            </w:r>
          </w:p>
        </w:tc>
      </w:tr>
      <w:tr w:rsidR="00261E27" w:rsidRPr="00576AF8" w14:paraId="2C808C3C" w14:textId="77777777" w:rsidTr="00E8483B">
        <w:tc>
          <w:tcPr>
            <w:tcW w:w="2535" w:type="dxa"/>
          </w:tcPr>
          <w:p w14:paraId="5613A2F4" w14:textId="77777777" w:rsidR="00261E27" w:rsidRPr="00576AF8" w:rsidDel="00D522FE" w:rsidRDefault="00261E27" w:rsidP="00261E27">
            <w:pPr>
              <w:pStyle w:val="Head12a"/>
              <w:suppressAutoHyphens/>
              <w:spacing w:after="200"/>
              <w:jc w:val="both"/>
              <w:rPr>
                <w:szCs w:val="24"/>
              </w:rPr>
            </w:pPr>
          </w:p>
        </w:tc>
        <w:tc>
          <w:tcPr>
            <w:tcW w:w="6836" w:type="dxa"/>
          </w:tcPr>
          <w:p w14:paraId="4A5F3CFD" w14:textId="77777777" w:rsidR="00261E27" w:rsidRPr="00576AF8" w:rsidRDefault="00261E27">
            <w:pPr>
              <w:pStyle w:val="S1-subpara"/>
              <w:numPr>
                <w:ilvl w:val="1"/>
                <w:numId w:val="3"/>
              </w:numPr>
              <w:ind w:left="494" w:right="-75" w:hanging="494"/>
              <w:rPr>
                <w:szCs w:val="24"/>
              </w:rPr>
            </w:pPr>
            <w:r w:rsidRPr="00576AF8">
              <w:t xml:space="preserve">La Garantía de Mantenimiento de la Oferta podrá hacerse efectiva o la Declaración de Mantenimiento de la Oferta </w:t>
            </w:r>
            <w:r w:rsidRPr="00576AF8">
              <w:br/>
              <w:t>podrá ejecutarse:</w:t>
            </w:r>
          </w:p>
          <w:p w14:paraId="42B3814A" w14:textId="77777777" w:rsidR="00261E27" w:rsidRPr="00576AF8" w:rsidRDefault="00261E27">
            <w:pPr>
              <w:pStyle w:val="P3Header1-Clauses"/>
              <w:numPr>
                <w:ilvl w:val="0"/>
                <w:numId w:val="5"/>
              </w:numPr>
              <w:spacing w:after="200"/>
              <w:ind w:left="1061" w:hanging="567"/>
              <w:rPr>
                <w:b w:val="0"/>
                <w:szCs w:val="24"/>
              </w:rPr>
            </w:pPr>
            <w:r w:rsidRPr="00576AF8">
              <w:rPr>
                <w:b w:val="0"/>
              </w:rPr>
              <w:t>si un Licitante</w:t>
            </w:r>
            <w:bookmarkStart w:id="150" w:name="_Toc438267890"/>
            <w:r w:rsidRPr="00576AF8">
              <w:rPr>
                <w:b w:val="0"/>
              </w:rPr>
              <w:t xml:space="preserve"> retira su Oferta durante el período de validez de la Oferta establecido por el Licitante en la carta de la Oferta;</w:t>
            </w:r>
            <w:bookmarkEnd w:id="150"/>
          </w:p>
          <w:p w14:paraId="7B73C361" w14:textId="77777777" w:rsidR="00261E27" w:rsidRPr="00576AF8" w:rsidRDefault="00261E27">
            <w:pPr>
              <w:pStyle w:val="P3Header1-Clauses"/>
              <w:numPr>
                <w:ilvl w:val="0"/>
                <w:numId w:val="5"/>
              </w:numPr>
              <w:spacing w:after="200"/>
              <w:ind w:left="1061" w:hanging="567"/>
              <w:rPr>
                <w:szCs w:val="24"/>
              </w:rPr>
            </w:pPr>
            <w:r w:rsidRPr="00576AF8">
              <w:rPr>
                <w:b w:val="0"/>
              </w:rPr>
              <w:t>si el Licitante seleccionado:</w:t>
            </w:r>
            <w:bookmarkStart w:id="151" w:name="_Toc438267892"/>
            <w:r w:rsidRPr="00576AF8">
              <w:t xml:space="preserve"> </w:t>
            </w:r>
            <w:bookmarkEnd w:id="151"/>
          </w:p>
          <w:p w14:paraId="231B55BA" w14:textId="77777777" w:rsidR="00261E27" w:rsidRPr="00576AF8" w:rsidRDefault="00261E27">
            <w:pPr>
              <w:pStyle w:val="Ttulo4"/>
              <w:keepNext w:val="0"/>
              <w:numPr>
                <w:ilvl w:val="1"/>
                <w:numId w:val="4"/>
              </w:numPr>
              <w:suppressAutoHyphens w:val="0"/>
              <w:spacing w:before="0" w:after="200"/>
              <w:ind w:left="1642" w:hanging="432"/>
              <w:jc w:val="both"/>
              <w:rPr>
                <w:b w:val="0"/>
                <w:spacing w:val="-4"/>
                <w:szCs w:val="24"/>
              </w:rPr>
            </w:pPr>
            <w:r w:rsidRPr="00576AF8">
              <w:rPr>
                <w:b w:val="0"/>
                <w:spacing w:val="-4"/>
              </w:rPr>
              <w:t>no firma el Contrato de conformidad con la IAL </w:t>
            </w:r>
            <w:r w:rsidR="002D7CBA" w:rsidRPr="00576AF8">
              <w:rPr>
                <w:b w:val="0"/>
                <w:spacing w:val="-4"/>
              </w:rPr>
              <w:t>53</w:t>
            </w:r>
            <w:r w:rsidRPr="00576AF8">
              <w:rPr>
                <w:b w:val="0"/>
                <w:spacing w:val="-4"/>
              </w:rPr>
              <w:t>;</w:t>
            </w:r>
          </w:p>
          <w:p w14:paraId="6AB49337" w14:textId="77777777" w:rsidR="00261E27" w:rsidRPr="00576AF8" w:rsidRDefault="00261E27">
            <w:pPr>
              <w:pStyle w:val="Prrafodelista"/>
              <w:numPr>
                <w:ilvl w:val="1"/>
                <w:numId w:val="4"/>
              </w:numPr>
              <w:spacing w:after="200"/>
              <w:ind w:left="1620" w:right="-72" w:hanging="410"/>
              <w:contextualSpacing w:val="0"/>
              <w:rPr>
                <w:szCs w:val="24"/>
              </w:rPr>
            </w:pPr>
            <w:bookmarkStart w:id="152" w:name="_Toc438267893"/>
            <w:r w:rsidRPr="00576AF8">
              <w:t>no suministra la Garantía de Cumplimiento de conformidad con la IAL </w:t>
            </w:r>
            <w:bookmarkEnd w:id="152"/>
            <w:r w:rsidR="002D7CBA" w:rsidRPr="00576AF8">
              <w:t>54</w:t>
            </w:r>
            <w:r w:rsidRPr="00576AF8">
              <w:t>.</w:t>
            </w:r>
          </w:p>
        </w:tc>
      </w:tr>
      <w:tr w:rsidR="00261E27" w:rsidRPr="00576AF8" w14:paraId="4535D9FF" w14:textId="77777777" w:rsidTr="00E8483B">
        <w:trPr>
          <w:cantSplit/>
        </w:trPr>
        <w:tc>
          <w:tcPr>
            <w:tcW w:w="2535" w:type="dxa"/>
          </w:tcPr>
          <w:p w14:paraId="5A9098CF" w14:textId="77777777" w:rsidR="00261E27" w:rsidRPr="00576AF8" w:rsidDel="00D522FE" w:rsidRDefault="00261E27" w:rsidP="00261E27">
            <w:pPr>
              <w:pStyle w:val="Head12a"/>
              <w:suppressAutoHyphens/>
              <w:spacing w:after="200"/>
              <w:jc w:val="both"/>
              <w:rPr>
                <w:szCs w:val="24"/>
              </w:rPr>
            </w:pPr>
          </w:p>
        </w:tc>
        <w:tc>
          <w:tcPr>
            <w:tcW w:w="6836" w:type="dxa"/>
          </w:tcPr>
          <w:p w14:paraId="7843342F" w14:textId="77777777" w:rsidR="00261E27" w:rsidRPr="00576AF8" w:rsidRDefault="00261E27">
            <w:pPr>
              <w:pStyle w:val="S1-subpara"/>
              <w:numPr>
                <w:ilvl w:val="1"/>
                <w:numId w:val="3"/>
              </w:numPr>
              <w:ind w:left="494" w:right="-75" w:hanging="494"/>
              <w:rPr>
                <w:szCs w:val="24"/>
              </w:rPr>
            </w:pPr>
            <w:r w:rsidRPr="00576AF8">
              <w:t xml:space="preserve">La Garantía de Mantenimiento de la Oferta o la Declaración de Mantenimiento de la Oferta de una APCA se emitirán en nombre de la APCA que presenta la Oferta. Si esta última no se ha constituido formalmente como una entidad jurídica al momento de la Licitación, la Garantía de Mantenimiento de la Oferta o la Declaración de Mantenimiento de la Oferta deberán emitirse en nombre de todos los futuros miembros de la APCA tal como figuren en la carta de intención a que hace referencia </w:t>
            </w:r>
            <w:r w:rsidR="004C1844" w:rsidRPr="00576AF8">
              <w:t>la IAL 11.</w:t>
            </w:r>
            <w:r w:rsidR="007966F5" w:rsidRPr="00576AF8">
              <w:t>3</w:t>
            </w:r>
            <w:r w:rsidRPr="00576AF8">
              <w:t>.</w:t>
            </w:r>
          </w:p>
        </w:tc>
      </w:tr>
      <w:tr w:rsidR="00261E27" w:rsidRPr="00576AF8" w14:paraId="244CD04B" w14:textId="77777777" w:rsidTr="00E8483B">
        <w:trPr>
          <w:cantSplit/>
        </w:trPr>
        <w:tc>
          <w:tcPr>
            <w:tcW w:w="2535" w:type="dxa"/>
          </w:tcPr>
          <w:p w14:paraId="3DF8ED45" w14:textId="77777777" w:rsidR="00261E27" w:rsidRPr="00576AF8" w:rsidDel="00D522FE" w:rsidRDefault="00261E27" w:rsidP="00261E27">
            <w:pPr>
              <w:pStyle w:val="Head12a"/>
              <w:suppressAutoHyphens/>
              <w:spacing w:after="200"/>
              <w:jc w:val="both"/>
              <w:rPr>
                <w:szCs w:val="24"/>
              </w:rPr>
            </w:pPr>
          </w:p>
        </w:tc>
        <w:tc>
          <w:tcPr>
            <w:tcW w:w="6836" w:type="dxa"/>
          </w:tcPr>
          <w:p w14:paraId="11B33D8C" w14:textId="77777777" w:rsidR="00261E27" w:rsidRPr="00576AF8" w:rsidRDefault="00261E27">
            <w:pPr>
              <w:pStyle w:val="S1-subpara"/>
              <w:numPr>
                <w:ilvl w:val="1"/>
                <w:numId w:val="3"/>
              </w:numPr>
              <w:ind w:left="636" w:right="-75" w:hanging="636"/>
            </w:pPr>
            <w:r w:rsidRPr="00576AF8">
              <w:t xml:space="preserve">Si </w:t>
            </w:r>
            <w:r w:rsidRPr="00576AF8">
              <w:rPr>
                <w:b/>
              </w:rPr>
              <w:t>en los DDL</w:t>
            </w:r>
            <w:r w:rsidRPr="00576AF8">
              <w:t xml:space="preserve"> no se exige una Garantía de Mantenimiento de la Oferta y</w:t>
            </w:r>
          </w:p>
        </w:tc>
      </w:tr>
      <w:tr w:rsidR="00261E27" w:rsidRPr="00576AF8" w14:paraId="61C52D38" w14:textId="77777777" w:rsidTr="00E8483B">
        <w:trPr>
          <w:cantSplit/>
        </w:trPr>
        <w:tc>
          <w:tcPr>
            <w:tcW w:w="2535" w:type="dxa"/>
          </w:tcPr>
          <w:p w14:paraId="31DF9C12" w14:textId="77777777" w:rsidR="00261E27" w:rsidRPr="00576AF8" w:rsidDel="00D522FE" w:rsidRDefault="00261E27" w:rsidP="00261E27">
            <w:pPr>
              <w:pStyle w:val="Head12a"/>
              <w:suppressAutoHyphens/>
              <w:spacing w:after="200"/>
              <w:jc w:val="both"/>
              <w:rPr>
                <w:szCs w:val="24"/>
              </w:rPr>
            </w:pPr>
          </w:p>
        </w:tc>
        <w:tc>
          <w:tcPr>
            <w:tcW w:w="6836" w:type="dxa"/>
          </w:tcPr>
          <w:p w14:paraId="6A733BAC" w14:textId="77777777" w:rsidR="00261E27" w:rsidRPr="00576AF8" w:rsidRDefault="00261E27" w:rsidP="004313F3">
            <w:pPr>
              <w:pStyle w:val="P3Header1-Clauses"/>
              <w:spacing w:after="200"/>
              <w:ind w:left="1203" w:hanging="567"/>
              <w:jc w:val="both"/>
              <w:rPr>
                <w:b w:val="0"/>
              </w:rPr>
            </w:pPr>
            <w:r w:rsidRPr="00576AF8">
              <w:rPr>
                <w:b w:val="0"/>
              </w:rPr>
              <w:t>(a)</w:t>
            </w:r>
            <w:r w:rsidRPr="00576AF8">
              <w:rPr>
                <w:b w:val="0"/>
              </w:rPr>
              <w:tab/>
              <w:t>si el Licitante retira su Oferta durante el período de validez de la Oferta estipulado por él en la carta de la Oferta, con excepción de lo dispuesto en la IAL 19.2;</w:t>
            </w:r>
            <w:r w:rsidR="004C1844" w:rsidRPr="00576AF8" w:rsidDel="004C1844">
              <w:rPr>
                <w:b w:val="0"/>
                <w:szCs w:val="24"/>
              </w:rPr>
              <w:t xml:space="preserve"> </w:t>
            </w:r>
          </w:p>
        </w:tc>
      </w:tr>
      <w:tr w:rsidR="00261E27" w:rsidRPr="00576AF8" w14:paraId="6BEFE2B0" w14:textId="77777777" w:rsidTr="00E8483B">
        <w:trPr>
          <w:cantSplit/>
        </w:trPr>
        <w:tc>
          <w:tcPr>
            <w:tcW w:w="2535" w:type="dxa"/>
          </w:tcPr>
          <w:p w14:paraId="6464A139" w14:textId="77777777" w:rsidR="00261E27" w:rsidRPr="00576AF8" w:rsidDel="00D522FE" w:rsidRDefault="00261E27" w:rsidP="00261E27">
            <w:pPr>
              <w:pStyle w:val="P3Header1-Clauses"/>
              <w:tabs>
                <w:tab w:val="left" w:pos="1260"/>
              </w:tabs>
              <w:spacing w:after="200"/>
              <w:ind w:left="1260" w:hanging="558"/>
              <w:jc w:val="both"/>
              <w:rPr>
                <w:b w:val="0"/>
                <w:szCs w:val="24"/>
              </w:rPr>
            </w:pPr>
          </w:p>
        </w:tc>
        <w:tc>
          <w:tcPr>
            <w:tcW w:w="6836" w:type="dxa"/>
          </w:tcPr>
          <w:p w14:paraId="0389E66C" w14:textId="77777777" w:rsidR="00261E27" w:rsidRPr="00576AF8" w:rsidRDefault="00261E27" w:rsidP="00261E27">
            <w:pPr>
              <w:pStyle w:val="P3Header1-Clauses"/>
              <w:spacing w:after="200"/>
              <w:ind w:left="1203" w:hanging="567"/>
              <w:jc w:val="both"/>
              <w:rPr>
                <w:spacing w:val="-2"/>
                <w:szCs w:val="24"/>
              </w:rPr>
            </w:pPr>
            <w:r w:rsidRPr="00576AF8" w:rsidDel="005174F3">
              <w:t xml:space="preserve"> </w:t>
            </w:r>
            <w:r w:rsidRPr="00576AF8" w:rsidDel="005174F3">
              <w:rPr>
                <w:b w:val="0"/>
              </w:rPr>
              <w:t xml:space="preserve"> </w:t>
            </w:r>
            <w:r w:rsidRPr="00576AF8">
              <w:rPr>
                <w:b w:val="0"/>
                <w:spacing w:val="-2"/>
              </w:rPr>
              <w:t>(b)</w:t>
            </w:r>
            <w:r w:rsidRPr="00576AF8">
              <w:rPr>
                <w:spacing w:val="-2"/>
              </w:rPr>
              <w:tab/>
            </w:r>
            <w:r w:rsidRPr="00576AF8">
              <w:rPr>
                <w:b w:val="0"/>
                <w:spacing w:val="-2"/>
              </w:rPr>
              <w:t xml:space="preserve">si el Licitante seleccionado no firma el Contrato de conformidad con la IAL </w:t>
            </w:r>
            <w:r w:rsidR="002D7CBA" w:rsidRPr="00576AF8">
              <w:rPr>
                <w:b w:val="0"/>
                <w:spacing w:val="-2"/>
              </w:rPr>
              <w:t>53</w:t>
            </w:r>
            <w:r w:rsidRPr="00576AF8">
              <w:rPr>
                <w:b w:val="0"/>
                <w:spacing w:val="-2"/>
              </w:rPr>
              <w:t xml:space="preserve">, o no proporciona una Garantía de Cumplimiento de conformidad con la IAL </w:t>
            </w:r>
            <w:r w:rsidR="002D7CBA" w:rsidRPr="00576AF8">
              <w:rPr>
                <w:b w:val="0"/>
                <w:spacing w:val="-2"/>
              </w:rPr>
              <w:t>54</w:t>
            </w:r>
            <w:r w:rsidRPr="00576AF8">
              <w:rPr>
                <w:b w:val="0"/>
                <w:spacing w:val="-2"/>
              </w:rPr>
              <w:t>,</w:t>
            </w:r>
          </w:p>
          <w:p w14:paraId="5C596120" w14:textId="77777777" w:rsidR="00261E27" w:rsidRPr="00576AF8" w:rsidRDefault="00261E27" w:rsidP="00261E27">
            <w:pPr>
              <w:pStyle w:val="P3Header1-Clauses"/>
              <w:tabs>
                <w:tab w:val="left" w:pos="1260"/>
              </w:tabs>
              <w:spacing w:after="200"/>
              <w:ind w:left="702"/>
              <w:jc w:val="both"/>
              <w:rPr>
                <w:szCs w:val="24"/>
              </w:rPr>
            </w:pPr>
            <w:r w:rsidRPr="00576AF8">
              <w:rPr>
                <w:b w:val="0"/>
              </w:rPr>
              <w:t xml:space="preserve">el Comprador podrá, si así se dispone </w:t>
            </w:r>
            <w:r w:rsidRPr="00576AF8">
              <w:t>en los DDL</w:t>
            </w:r>
            <w:r w:rsidRPr="00576AF8">
              <w:rPr>
                <w:b w:val="0"/>
              </w:rPr>
              <w:t xml:space="preserve">, declarar al Licitante no elegible para la adjudicación de un Contrato por parte del Comprador durante el período que se establezca </w:t>
            </w:r>
            <w:r w:rsidRPr="00576AF8">
              <w:t>en los DDL</w:t>
            </w:r>
            <w:r w:rsidRPr="00576AF8">
              <w:rPr>
                <w:b w:val="0"/>
              </w:rPr>
              <w:t>.</w:t>
            </w:r>
          </w:p>
        </w:tc>
      </w:tr>
      <w:tr w:rsidR="00261E27" w:rsidRPr="00576AF8" w14:paraId="77D5E2B7" w14:textId="77777777" w:rsidTr="00E8483B">
        <w:trPr>
          <w:cantSplit/>
        </w:trPr>
        <w:tc>
          <w:tcPr>
            <w:tcW w:w="2535" w:type="dxa"/>
          </w:tcPr>
          <w:p w14:paraId="6CD86083" w14:textId="77777777" w:rsidR="00261E27" w:rsidRPr="00576AF8" w:rsidDel="00D522FE" w:rsidRDefault="00261E27" w:rsidP="00314996">
            <w:pPr>
              <w:pStyle w:val="TOC2-2"/>
            </w:pPr>
            <w:bookmarkStart w:id="153" w:name="_Toc434304514"/>
            <w:bookmarkStart w:id="154" w:name="_Toc454907788"/>
            <w:bookmarkStart w:id="155" w:name="_Toc476308788"/>
            <w:bookmarkStart w:id="156" w:name="_Toc479333338"/>
            <w:bookmarkStart w:id="157" w:name="_Toc25486597"/>
            <w:r w:rsidRPr="00576AF8">
              <w:t>21.</w:t>
            </w:r>
            <w:r w:rsidRPr="00576AF8">
              <w:tab/>
              <w:t>Formato y Firma de la Oferta</w:t>
            </w:r>
            <w:bookmarkEnd w:id="153"/>
            <w:bookmarkEnd w:id="154"/>
            <w:bookmarkEnd w:id="155"/>
            <w:bookmarkEnd w:id="156"/>
            <w:bookmarkEnd w:id="157"/>
          </w:p>
        </w:tc>
        <w:tc>
          <w:tcPr>
            <w:tcW w:w="6836" w:type="dxa"/>
          </w:tcPr>
          <w:p w14:paraId="43FB750E" w14:textId="77777777" w:rsidR="00261E27" w:rsidRPr="00576AF8" w:rsidRDefault="00261E27" w:rsidP="00261E27">
            <w:pPr>
              <w:numPr>
                <w:ilvl w:val="12"/>
                <w:numId w:val="0"/>
              </w:numPr>
              <w:spacing w:after="200"/>
              <w:ind w:left="561" w:right="-72" w:hanging="561"/>
              <w:rPr>
                <w:spacing w:val="-2"/>
                <w:szCs w:val="24"/>
              </w:rPr>
            </w:pPr>
            <w:r w:rsidRPr="00576AF8">
              <w:rPr>
                <w:spacing w:val="-2"/>
              </w:rPr>
              <w:t>21.1</w:t>
            </w:r>
            <w:r w:rsidRPr="00576AF8">
              <w:rPr>
                <w:spacing w:val="-2"/>
              </w:rPr>
              <w:tab/>
              <w:t>El Licitante preparará un juego original de los documentos que constituyen la Oferta, según se señala en la IAL 11, identificándolo claramente como “</w:t>
            </w:r>
            <w:r w:rsidRPr="00576AF8">
              <w:rPr>
                <w:smallCaps/>
                <w:spacing w:val="-2"/>
              </w:rPr>
              <w:t>Originales</w:t>
            </w:r>
            <w:r w:rsidRPr="00576AF8">
              <w:rPr>
                <w:spacing w:val="-2"/>
              </w:rPr>
              <w:t>”. Las Ofertas alternativas, si se permiten en virtud de la IAL 13, se identificarán claramente como “</w:t>
            </w:r>
            <w:r w:rsidRPr="00576AF8">
              <w:rPr>
                <w:smallCaps/>
                <w:spacing w:val="-2"/>
              </w:rPr>
              <w:t>Alternativa</w:t>
            </w:r>
            <w:r w:rsidRPr="00576AF8">
              <w:rPr>
                <w:spacing w:val="-2"/>
              </w:rPr>
              <w:t>”. Además, el Licitante presentará el número de copias de la Oferta que se indica</w:t>
            </w:r>
            <w:r w:rsidRPr="00576AF8">
              <w:rPr>
                <w:b/>
                <w:spacing w:val="-2"/>
              </w:rPr>
              <w:t xml:space="preserve"> en los DDL </w:t>
            </w:r>
            <w:r w:rsidRPr="00576AF8">
              <w:rPr>
                <w:spacing w:val="-2"/>
              </w:rPr>
              <w:t>e identificará claramente cada ejemplar como “</w:t>
            </w:r>
            <w:r w:rsidRPr="00576AF8">
              <w:rPr>
                <w:smallCaps/>
                <w:spacing w:val="-2"/>
              </w:rPr>
              <w:t>Copia</w:t>
            </w:r>
            <w:r w:rsidRPr="00576AF8">
              <w:rPr>
                <w:spacing w:val="-2"/>
              </w:rPr>
              <w:t>”. En caso de que se presenten discrepancias entre el texto original y las copias, el primero prevalecerá sobre las segundas.</w:t>
            </w:r>
          </w:p>
          <w:p w14:paraId="20C6707B" w14:textId="77777777" w:rsidR="00261E27" w:rsidRPr="00576AF8" w:rsidRDefault="00261E27">
            <w:pPr>
              <w:pStyle w:val="Prrafodelista"/>
              <w:numPr>
                <w:ilvl w:val="0"/>
                <w:numId w:val="19"/>
              </w:numPr>
              <w:spacing w:after="200"/>
              <w:ind w:left="561" w:hanging="561"/>
              <w:contextualSpacing w:val="0"/>
              <w:rPr>
                <w:szCs w:val="24"/>
              </w:rPr>
            </w:pPr>
            <w:r w:rsidRPr="00576AF8">
              <w:t>Los Licitantes deberán marcar como “CONFIDENCIAL” la información incluida en sus Ofertas que sea de carácter confidencial para sus empresas. Esto puede incluir información de dominio privado, secretos comerciales o información delicada de índole comercial o financiera.</w:t>
            </w:r>
          </w:p>
        </w:tc>
      </w:tr>
      <w:tr w:rsidR="00261E27" w:rsidRPr="00576AF8" w14:paraId="36397B15" w14:textId="77777777" w:rsidTr="00560490">
        <w:tc>
          <w:tcPr>
            <w:tcW w:w="2535" w:type="dxa"/>
          </w:tcPr>
          <w:p w14:paraId="636783FC" w14:textId="77777777" w:rsidR="00261E27" w:rsidRPr="00576AF8" w:rsidDel="00D522FE" w:rsidRDefault="00261E27" w:rsidP="00261E27">
            <w:pPr>
              <w:pStyle w:val="Head12a"/>
              <w:suppressAutoHyphens/>
              <w:spacing w:after="200"/>
              <w:jc w:val="both"/>
              <w:rPr>
                <w:szCs w:val="24"/>
              </w:rPr>
            </w:pPr>
          </w:p>
        </w:tc>
        <w:tc>
          <w:tcPr>
            <w:tcW w:w="6836" w:type="dxa"/>
          </w:tcPr>
          <w:p w14:paraId="153F3DFB" w14:textId="77777777" w:rsidR="00261E27" w:rsidRPr="00576AF8" w:rsidRDefault="00261E27">
            <w:pPr>
              <w:pStyle w:val="Prrafodelista"/>
              <w:numPr>
                <w:ilvl w:val="0"/>
                <w:numId w:val="19"/>
              </w:numPr>
              <w:spacing w:after="200"/>
              <w:ind w:left="565" w:hanging="565"/>
              <w:contextualSpacing w:val="0"/>
              <w:rPr>
                <w:szCs w:val="24"/>
              </w:rPr>
            </w:pPr>
            <w:r w:rsidRPr="00576AF8">
              <w:t>El original y todas las copias de la Oferta deberán ser mecanografiados o escritos con tinta indeleble y deberán estar firmados por la persona debidamente autorizada para firmar en nombre del Licitante. Esta autorización consistirá en una confirmación escrita, según se especifica</w:t>
            </w:r>
            <w:r w:rsidRPr="00576AF8">
              <w:rPr>
                <w:b/>
              </w:rPr>
              <w:t xml:space="preserve"> en los DDL</w:t>
            </w:r>
            <w:r w:rsidRPr="00576AF8">
              <w:t xml:space="preserve">, la cual deberá adjuntarse a la Oferta. El nombre y el cargo de cada una de las personas que firman la autorización debe </w:t>
            </w:r>
            <w:r w:rsidRPr="00576AF8">
              <w:lastRenderedPageBreak/>
              <w:t>mecanografiarse o escribirse en letra de imprenta debajo de cada firma. Todas las páginas de la Oferta donde se hayan incorporado entradas o enmiendas deberán llevar la firma o las iniciales de la persona que firma la Oferta.</w:t>
            </w:r>
          </w:p>
        </w:tc>
      </w:tr>
      <w:tr w:rsidR="00261E27" w:rsidRPr="00576AF8" w14:paraId="64C39CAE" w14:textId="77777777" w:rsidTr="00005D3D">
        <w:trPr>
          <w:cantSplit/>
        </w:trPr>
        <w:tc>
          <w:tcPr>
            <w:tcW w:w="2535" w:type="dxa"/>
          </w:tcPr>
          <w:p w14:paraId="5633B79C" w14:textId="77777777" w:rsidR="00261E27" w:rsidRPr="00576AF8" w:rsidDel="00D522FE" w:rsidRDefault="00261E27" w:rsidP="00261E27">
            <w:pPr>
              <w:pStyle w:val="Head12a"/>
              <w:suppressAutoHyphens/>
              <w:spacing w:after="200"/>
              <w:jc w:val="both"/>
              <w:rPr>
                <w:szCs w:val="24"/>
              </w:rPr>
            </w:pPr>
          </w:p>
        </w:tc>
        <w:tc>
          <w:tcPr>
            <w:tcW w:w="6836" w:type="dxa"/>
          </w:tcPr>
          <w:p w14:paraId="1917B37E" w14:textId="77777777" w:rsidR="00261E27" w:rsidRPr="00576AF8" w:rsidRDefault="00261E27">
            <w:pPr>
              <w:pStyle w:val="Prrafodelista"/>
              <w:numPr>
                <w:ilvl w:val="0"/>
                <w:numId w:val="19"/>
              </w:numPr>
              <w:spacing w:after="200"/>
              <w:ind w:left="565" w:hanging="565"/>
              <w:contextualSpacing w:val="0"/>
              <w:rPr>
                <w:szCs w:val="24"/>
              </w:rPr>
            </w:pPr>
            <w:r w:rsidRPr="00576AF8">
              <w:t>En el caso de que el Licitante sea una APCA, la Oferta deberá estar firmada por un representante autorizado de la APCA en nombre de esta y con el fin de que sea legalmente vinculante para todos los integrantes según lo evidenciado por un poder firmado por sus representantes legalmente autorizados.</w:t>
            </w:r>
          </w:p>
          <w:p w14:paraId="3D4D97C1" w14:textId="77777777" w:rsidR="00261E27" w:rsidRPr="00576AF8" w:rsidRDefault="00261E27">
            <w:pPr>
              <w:pStyle w:val="Prrafodelista"/>
              <w:numPr>
                <w:ilvl w:val="0"/>
                <w:numId w:val="19"/>
              </w:numPr>
              <w:spacing w:after="200"/>
              <w:ind w:left="565" w:hanging="565"/>
              <w:contextualSpacing w:val="0"/>
              <w:rPr>
                <w:szCs w:val="24"/>
              </w:rPr>
            </w:pPr>
            <w:r w:rsidRPr="00576AF8">
              <w:t>Los textos entre líneas, tachaduras o palabras superpuestas serán válidos solo si llevan la firma o las iniciales de la persona que firma la Oferta.</w:t>
            </w:r>
          </w:p>
        </w:tc>
      </w:tr>
    </w:tbl>
    <w:p w14:paraId="3F5EA9AF" w14:textId="77777777" w:rsidR="005D3A16" w:rsidRPr="00576AF8" w:rsidRDefault="004924C5" w:rsidP="00314996">
      <w:pPr>
        <w:pStyle w:val="Toc2-1"/>
      </w:pPr>
      <w:bookmarkStart w:id="158" w:name="_Toc434304515"/>
      <w:bookmarkStart w:id="159" w:name="_Toc454907789"/>
      <w:bookmarkStart w:id="160" w:name="_Toc476308789"/>
      <w:bookmarkStart w:id="161" w:name="_Toc479333339"/>
      <w:bookmarkStart w:id="162" w:name="_Toc25486598"/>
      <w:r w:rsidRPr="00576AF8">
        <w:t>D.</w:t>
      </w:r>
      <w:r w:rsidR="004724AE" w:rsidRPr="00576AF8">
        <w:t xml:space="preserve"> </w:t>
      </w:r>
      <w:r w:rsidRPr="00576AF8">
        <w:t xml:space="preserve">Presentación y </w:t>
      </w:r>
      <w:r w:rsidR="001F46ED" w:rsidRPr="00576AF8">
        <w:t xml:space="preserve">Apertura </w:t>
      </w:r>
      <w:r w:rsidRPr="00576AF8">
        <w:t>de las Ofertas</w:t>
      </w:r>
      <w:bookmarkEnd w:id="158"/>
      <w:bookmarkEnd w:id="159"/>
      <w:bookmarkEnd w:id="160"/>
      <w:bookmarkEnd w:id="161"/>
      <w:bookmarkEnd w:id="162"/>
    </w:p>
    <w:tbl>
      <w:tblPr>
        <w:tblW w:w="9399" w:type="dxa"/>
        <w:tblInd w:w="-34" w:type="dxa"/>
        <w:tblLayout w:type="fixed"/>
        <w:tblLook w:val="0000" w:firstRow="0" w:lastRow="0" w:firstColumn="0" w:lastColumn="0" w:noHBand="0" w:noVBand="0"/>
      </w:tblPr>
      <w:tblGrid>
        <w:gridCol w:w="2554"/>
        <w:gridCol w:w="6831"/>
        <w:gridCol w:w="14"/>
      </w:tblGrid>
      <w:tr w:rsidR="008E2650" w:rsidRPr="00576AF8" w14:paraId="187CEDDF" w14:textId="77777777" w:rsidTr="00314996">
        <w:tc>
          <w:tcPr>
            <w:tcW w:w="2554" w:type="dxa"/>
          </w:tcPr>
          <w:p w14:paraId="2DA07CB0" w14:textId="77777777" w:rsidR="008E2650" w:rsidRPr="00576AF8" w:rsidRDefault="00FE0736" w:rsidP="00314996">
            <w:pPr>
              <w:pStyle w:val="TOC2-2"/>
            </w:pPr>
            <w:bookmarkStart w:id="163" w:name="_Toc438438845"/>
            <w:bookmarkStart w:id="164" w:name="_Toc438532614"/>
            <w:bookmarkStart w:id="165" w:name="_Toc438733989"/>
            <w:bookmarkStart w:id="166" w:name="_Toc438907027"/>
            <w:bookmarkStart w:id="167" w:name="_Toc438907226"/>
            <w:bookmarkStart w:id="168" w:name="_Toc23236768"/>
            <w:bookmarkStart w:id="169" w:name="_Toc125783011"/>
            <w:bookmarkStart w:id="170" w:name="_Toc433185102"/>
            <w:bookmarkStart w:id="171" w:name="_Toc454907790"/>
            <w:bookmarkStart w:id="172" w:name="_Toc476308790"/>
            <w:bookmarkStart w:id="173" w:name="_Toc479333340"/>
            <w:bookmarkStart w:id="174" w:name="_Toc25486599"/>
            <w:r w:rsidRPr="00576AF8">
              <w:t>22.</w:t>
            </w:r>
            <w:r w:rsidR="004724AE" w:rsidRPr="00576AF8">
              <w:tab/>
            </w:r>
            <w:r w:rsidRPr="00576AF8">
              <w:t xml:space="preserve">Presentación, </w:t>
            </w:r>
            <w:r w:rsidR="00840E5B" w:rsidRPr="00576AF8">
              <w:t>Cierre</w:t>
            </w:r>
            <w:r w:rsidRPr="00576AF8">
              <w:t xml:space="preserve"> e </w:t>
            </w:r>
            <w:r w:rsidR="001F46ED" w:rsidRPr="00576AF8">
              <w:t xml:space="preserve">Identificación </w:t>
            </w:r>
            <w:r w:rsidRPr="00576AF8">
              <w:t>de</w:t>
            </w:r>
            <w:r w:rsidR="004724AE" w:rsidRPr="00576AF8">
              <w:t> </w:t>
            </w:r>
            <w:r w:rsidRPr="00576AF8">
              <w:t>las Ofertas</w:t>
            </w:r>
            <w:bookmarkEnd w:id="163"/>
            <w:bookmarkEnd w:id="164"/>
            <w:bookmarkEnd w:id="165"/>
            <w:bookmarkEnd w:id="166"/>
            <w:bookmarkEnd w:id="167"/>
            <w:bookmarkEnd w:id="168"/>
            <w:bookmarkEnd w:id="169"/>
            <w:bookmarkEnd w:id="170"/>
            <w:bookmarkEnd w:id="171"/>
            <w:bookmarkEnd w:id="172"/>
            <w:bookmarkEnd w:id="173"/>
            <w:bookmarkEnd w:id="174"/>
          </w:p>
        </w:tc>
        <w:tc>
          <w:tcPr>
            <w:tcW w:w="6845" w:type="dxa"/>
            <w:gridSpan w:val="2"/>
          </w:tcPr>
          <w:p w14:paraId="00DC24D0" w14:textId="77777777" w:rsidR="008E2650" w:rsidRPr="00576AF8" w:rsidRDefault="00261E27">
            <w:pPr>
              <w:pStyle w:val="Prrafodelista"/>
              <w:numPr>
                <w:ilvl w:val="0"/>
                <w:numId w:val="60"/>
              </w:numPr>
              <w:ind w:left="599" w:hanging="567"/>
              <w:contextualSpacing w:val="0"/>
              <w:rPr>
                <w:szCs w:val="24"/>
              </w:rPr>
            </w:pPr>
            <w:r w:rsidRPr="00576AF8">
              <w:t xml:space="preserve">El Licitante deberá presentar la Oferta en dos sobres </w:t>
            </w:r>
            <w:r w:rsidR="003F4765" w:rsidRPr="00576AF8">
              <w:t xml:space="preserve">cerrados </w:t>
            </w:r>
            <w:r w:rsidRPr="00576AF8">
              <w:t>separados (la Parte Técnica y la Parte Financiera). Estos dos sobres se colocarán en un sobre exterior sellado que tendrá la leyenda “Oferta Original”.</w:t>
            </w:r>
          </w:p>
        </w:tc>
      </w:tr>
      <w:tr w:rsidR="005D3A16" w:rsidRPr="00576AF8" w14:paraId="5D2F2E91" w14:textId="77777777" w:rsidTr="00314996">
        <w:tc>
          <w:tcPr>
            <w:tcW w:w="2554" w:type="dxa"/>
          </w:tcPr>
          <w:p w14:paraId="0BBE413C" w14:textId="77777777" w:rsidR="005D3A16" w:rsidRPr="00576AF8" w:rsidRDefault="005D3A16" w:rsidP="00CC7032">
            <w:pPr>
              <w:spacing w:after="200"/>
              <w:rPr>
                <w:szCs w:val="24"/>
              </w:rPr>
            </w:pPr>
          </w:p>
        </w:tc>
        <w:tc>
          <w:tcPr>
            <w:tcW w:w="6845" w:type="dxa"/>
            <w:gridSpan w:val="2"/>
          </w:tcPr>
          <w:p w14:paraId="1CD942C6" w14:textId="77777777" w:rsidR="00261E27" w:rsidRPr="00576AF8" w:rsidRDefault="00261E27">
            <w:pPr>
              <w:pStyle w:val="Prrafodelista"/>
              <w:numPr>
                <w:ilvl w:val="0"/>
                <w:numId w:val="60"/>
              </w:numPr>
              <w:ind w:left="599" w:hanging="567"/>
              <w:contextualSpacing w:val="0"/>
              <w:rPr>
                <w:b/>
              </w:rPr>
            </w:pPr>
            <w:r w:rsidRPr="00576AF8">
              <w:t xml:space="preserve">Además, el Licitante deberá presentar copias de la Oferta en la cantidad especificada </w:t>
            </w:r>
            <w:r w:rsidR="00C57FD3" w:rsidRPr="00576AF8">
              <w:t xml:space="preserve">en IAL 21.1 </w:t>
            </w:r>
            <w:r w:rsidRPr="00576AF8">
              <w:rPr>
                <w:b/>
              </w:rPr>
              <w:t>en los DDL</w:t>
            </w:r>
            <w:r w:rsidRPr="00576AF8">
              <w:t>. Las copias de la Parte Técnica se colocarán en un sobre sellado separado marcado con la leyenda “Copias: Parte Técnica”. Las copias de la Parte Financiera se colocarán en un sobre sellado separado marcado con la leyenda “Copias: Parte Financiera”. El Licitante colocará ambos sobres en un sobre exterior sellado marcado con la leyenda “Copias de la Oferta”. En caso de discrepancia entre el original y las copias, prevalecerá el original. Si se permiten las Ofertas Alternativas, de acuerdo con la IAL 13, estas se presentarán de la siguiente manera: el original de la Parte Técnica de la Oferta Alternativa se colocará en un sobre sellado marcado con la leyenda “Oferta Alternativa - Parte Técnica” y la Parte Financiera se colocará en un sobre sellado marcado con la leyenda “Oferta Alternativa - Parte Financiera”; estos dos sobres sellados y separados se colocarán en un sobre exterior sellado marcado con la leyenda “Oferta Alternativa - Original”. Las copias de la Oferta Alternativa se colocarán en sobres sellados separados marcados con las leyendas “Oferta Alternativa - Copias de la Parte Técnica” y “Oferta Alternativa - Copias de la Parte Financiera”, que se introducirán en un sobre exterior sellado separado, marcado con la leyenda “Oferta Alternativa - Copias”.</w:t>
            </w:r>
          </w:p>
          <w:p w14:paraId="55E368F4" w14:textId="77777777" w:rsidR="002F4387" w:rsidRPr="00576AF8" w:rsidRDefault="002F4387">
            <w:pPr>
              <w:pStyle w:val="Prrafodelista"/>
              <w:numPr>
                <w:ilvl w:val="0"/>
                <w:numId w:val="60"/>
              </w:numPr>
              <w:ind w:left="599" w:hanging="567"/>
              <w:contextualSpacing w:val="0"/>
              <w:rPr>
                <w:b/>
              </w:rPr>
            </w:pPr>
            <w:r w:rsidRPr="00576AF8">
              <w:t xml:space="preserve">Los sobres marcados "Oferta </w:t>
            </w:r>
            <w:r w:rsidR="00682368" w:rsidRPr="00576AF8">
              <w:t>original” y</w:t>
            </w:r>
            <w:r w:rsidRPr="00576AF8">
              <w:t xml:space="preserve"> "Copias de la Oferta"(y, si corresponde, un tercer sobre marcado "Oferta </w:t>
            </w:r>
            <w:r w:rsidRPr="00576AF8">
              <w:lastRenderedPageBreak/>
              <w:t xml:space="preserve">Alternativa") deben ser colocados en un sobre para la entrega al Comprador. </w:t>
            </w:r>
          </w:p>
          <w:p w14:paraId="103E319F" w14:textId="77777777" w:rsidR="00840E5B" w:rsidRPr="00576AF8" w:rsidRDefault="00C310A8">
            <w:pPr>
              <w:pStyle w:val="Prrafodelista"/>
              <w:numPr>
                <w:ilvl w:val="0"/>
                <w:numId w:val="60"/>
              </w:numPr>
              <w:ind w:left="599" w:hanging="567"/>
              <w:contextualSpacing w:val="0"/>
              <w:rPr>
                <w:b/>
              </w:rPr>
            </w:pPr>
            <w:r w:rsidRPr="00576AF8">
              <w:t>Los sobres interiores y el sobre exterior:</w:t>
            </w:r>
          </w:p>
          <w:p w14:paraId="3D025BCE" w14:textId="77777777" w:rsidR="00C310A8" w:rsidRPr="00576AF8" w:rsidRDefault="00C310A8">
            <w:pPr>
              <w:pStyle w:val="Prrafodelista"/>
              <w:numPr>
                <w:ilvl w:val="0"/>
                <w:numId w:val="61"/>
              </w:numPr>
              <w:spacing w:line="276" w:lineRule="auto"/>
              <w:contextualSpacing w:val="0"/>
              <w:rPr>
                <w:b/>
              </w:rPr>
            </w:pPr>
            <w:r w:rsidRPr="00576AF8">
              <w:t>llevarán el nombre y la dirección del Licitante;</w:t>
            </w:r>
          </w:p>
          <w:p w14:paraId="1E88CCC6" w14:textId="77777777" w:rsidR="00EC77BC" w:rsidRPr="00576AF8" w:rsidRDefault="00C310A8">
            <w:pPr>
              <w:pStyle w:val="Prrafodelista"/>
              <w:numPr>
                <w:ilvl w:val="0"/>
                <w:numId w:val="61"/>
              </w:numPr>
              <w:spacing w:line="276" w:lineRule="auto"/>
              <w:contextualSpacing w:val="0"/>
              <w:rPr>
                <w:b/>
              </w:rPr>
            </w:pPr>
            <w:r w:rsidRPr="00576AF8">
              <w:t xml:space="preserve">estarán dirigidos al Comprador de conformidad con la </w:t>
            </w:r>
            <w:r w:rsidR="00C43FE6" w:rsidRPr="00576AF8">
              <w:t>IAL</w:t>
            </w:r>
            <w:r w:rsidR="00EC77BC" w:rsidRPr="00576AF8">
              <w:t> </w:t>
            </w:r>
            <w:r w:rsidRPr="00576AF8">
              <w:t>23.1;</w:t>
            </w:r>
          </w:p>
          <w:p w14:paraId="012480BB" w14:textId="77777777" w:rsidR="00A44EB2" w:rsidRPr="00576AF8" w:rsidRDefault="00C310A8">
            <w:pPr>
              <w:pStyle w:val="Prrafodelista"/>
              <w:numPr>
                <w:ilvl w:val="0"/>
                <w:numId w:val="61"/>
              </w:numPr>
              <w:spacing w:line="276" w:lineRule="auto"/>
              <w:contextualSpacing w:val="0"/>
              <w:rPr>
                <w:b/>
              </w:rPr>
            </w:pPr>
            <w:r w:rsidRPr="00576AF8">
              <w:t xml:space="preserve">llevarán la identificación específica de este </w:t>
            </w:r>
            <w:r w:rsidR="00EC77BC" w:rsidRPr="00576AF8">
              <w:t>p</w:t>
            </w:r>
            <w:r w:rsidRPr="00576AF8">
              <w:t xml:space="preserve">roceso de Licitación según se indica en la </w:t>
            </w:r>
            <w:r w:rsidR="00C43FE6" w:rsidRPr="00576AF8">
              <w:t>IAL</w:t>
            </w:r>
            <w:r w:rsidR="00EC77BC" w:rsidRPr="00576AF8">
              <w:t> </w:t>
            </w:r>
            <w:r w:rsidRPr="00576AF8">
              <w:t>1.1;</w:t>
            </w:r>
          </w:p>
          <w:p w14:paraId="706B2D45" w14:textId="77777777" w:rsidR="00840E5B" w:rsidRPr="00576AF8" w:rsidRDefault="00C310A8">
            <w:pPr>
              <w:pStyle w:val="Prrafodelista"/>
              <w:numPr>
                <w:ilvl w:val="0"/>
                <w:numId w:val="61"/>
              </w:numPr>
              <w:spacing w:line="276" w:lineRule="auto"/>
              <w:contextualSpacing w:val="0"/>
              <w:rPr>
                <w:b/>
              </w:rPr>
            </w:pPr>
            <w:r w:rsidRPr="00576AF8">
              <w:t>llevarán la advertencia de no abrir antes de la fecha y hora de apertura de las Ofertas.</w:t>
            </w:r>
          </w:p>
          <w:p w14:paraId="5AB497C4" w14:textId="77777777" w:rsidR="001B74CA" w:rsidRPr="00576AF8" w:rsidRDefault="00261E27">
            <w:pPr>
              <w:pStyle w:val="Prrafodelista"/>
              <w:numPr>
                <w:ilvl w:val="0"/>
                <w:numId w:val="60"/>
              </w:numPr>
              <w:ind w:left="599" w:hanging="567"/>
              <w:contextualSpacing w:val="0"/>
              <w:rPr>
                <w:b/>
              </w:rPr>
            </w:pPr>
            <w:r w:rsidRPr="00576AF8">
              <w:t>Los sobres marcados con las leyendas “</w:t>
            </w:r>
            <w:r w:rsidRPr="00576AF8">
              <w:rPr>
                <w:smallCaps/>
              </w:rPr>
              <w:t>Oferta Original</w:t>
            </w:r>
            <w:r w:rsidRPr="00576AF8">
              <w:t>” y “</w:t>
            </w:r>
            <w:r w:rsidRPr="00576AF8">
              <w:rPr>
                <w:smallCaps/>
              </w:rPr>
              <w:t>Copias de la Oferta</w:t>
            </w:r>
            <w:r w:rsidRPr="00576AF8">
              <w:t>” (y, si corresponde, un tercer sobre marcado con la leyenda “</w:t>
            </w:r>
            <w:r w:rsidRPr="00576AF8">
              <w:rPr>
                <w:smallCaps/>
              </w:rPr>
              <w:t>Oferta Alternativa</w:t>
            </w:r>
            <w:r w:rsidRPr="00576AF8">
              <w:t xml:space="preserve">”) se colocarán en un sobre exterior sellado separado que se hará llegar al </w:t>
            </w:r>
            <w:r w:rsidR="0068225C" w:rsidRPr="00576AF8">
              <w:t>Comprador</w:t>
            </w:r>
            <w:r w:rsidRPr="00576AF8">
              <w:t>.</w:t>
            </w:r>
          </w:p>
        </w:tc>
      </w:tr>
      <w:tr w:rsidR="00261E27" w:rsidRPr="00576AF8" w14:paraId="08591FAC" w14:textId="77777777" w:rsidTr="00314996">
        <w:tc>
          <w:tcPr>
            <w:tcW w:w="2554" w:type="dxa"/>
          </w:tcPr>
          <w:p w14:paraId="761A4DE2" w14:textId="77777777" w:rsidR="00261E27" w:rsidRPr="00576AF8" w:rsidRDefault="00261E27" w:rsidP="00CC7032">
            <w:pPr>
              <w:spacing w:after="200"/>
              <w:rPr>
                <w:szCs w:val="24"/>
              </w:rPr>
            </w:pPr>
          </w:p>
        </w:tc>
        <w:tc>
          <w:tcPr>
            <w:tcW w:w="6845" w:type="dxa"/>
            <w:gridSpan w:val="2"/>
          </w:tcPr>
          <w:p w14:paraId="6A2AD5CE" w14:textId="77777777" w:rsidR="00261E27" w:rsidRPr="00576AF8" w:rsidRDefault="00261E27">
            <w:pPr>
              <w:pStyle w:val="Prrafodelista"/>
              <w:numPr>
                <w:ilvl w:val="0"/>
                <w:numId w:val="60"/>
              </w:numPr>
              <w:ind w:left="599" w:hanging="567"/>
              <w:contextualSpacing w:val="0"/>
              <w:rPr>
                <w:b/>
              </w:rPr>
            </w:pPr>
            <w:r w:rsidRPr="00576AF8">
              <w:t xml:space="preserve">Si los sobres no están cerrados e identificados según lo requerido, el </w:t>
            </w:r>
            <w:r w:rsidR="0068225C" w:rsidRPr="00576AF8">
              <w:t>Comprador</w:t>
            </w:r>
            <w:r w:rsidRPr="00576AF8">
              <w:t xml:space="preserve"> no se responsabilizará en caso de que la Oferta se extravíe o sea abierta prematuramente.</w:t>
            </w:r>
          </w:p>
        </w:tc>
      </w:tr>
      <w:tr w:rsidR="005D3A16" w:rsidRPr="00576AF8" w14:paraId="6969F433" w14:textId="77777777" w:rsidTr="00314996">
        <w:trPr>
          <w:cantSplit/>
          <w:trHeight w:val="1788"/>
        </w:trPr>
        <w:tc>
          <w:tcPr>
            <w:tcW w:w="2554" w:type="dxa"/>
          </w:tcPr>
          <w:p w14:paraId="5E20C92C" w14:textId="77777777" w:rsidR="005D3A16" w:rsidRPr="00576AF8" w:rsidRDefault="00A60B55" w:rsidP="00314996">
            <w:pPr>
              <w:pStyle w:val="TOC2-2"/>
            </w:pPr>
            <w:bookmarkStart w:id="175" w:name="_Toc434304517"/>
            <w:bookmarkStart w:id="176" w:name="_Toc454907791"/>
            <w:bookmarkStart w:id="177" w:name="_Toc476308791"/>
            <w:bookmarkStart w:id="178" w:name="_Toc479333341"/>
            <w:bookmarkStart w:id="179" w:name="_Toc25486600"/>
            <w:r w:rsidRPr="00576AF8">
              <w:t>23.</w:t>
            </w:r>
            <w:r w:rsidRPr="00576AF8">
              <w:tab/>
              <w:t xml:space="preserve">Plazo para la </w:t>
            </w:r>
            <w:r w:rsidR="005E641B" w:rsidRPr="00576AF8">
              <w:t xml:space="preserve">Presentación </w:t>
            </w:r>
            <w:r w:rsidRPr="00576AF8">
              <w:t>de</w:t>
            </w:r>
            <w:r w:rsidR="00560490" w:rsidRPr="00576AF8">
              <w:t> </w:t>
            </w:r>
            <w:r w:rsidRPr="00576AF8">
              <w:t>Ofertas</w:t>
            </w:r>
            <w:bookmarkEnd w:id="175"/>
            <w:bookmarkEnd w:id="176"/>
            <w:bookmarkEnd w:id="177"/>
            <w:bookmarkEnd w:id="178"/>
            <w:bookmarkEnd w:id="179"/>
          </w:p>
        </w:tc>
        <w:tc>
          <w:tcPr>
            <w:tcW w:w="6845" w:type="dxa"/>
            <w:gridSpan w:val="2"/>
          </w:tcPr>
          <w:p w14:paraId="2AD285F6" w14:textId="77777777" w:rsidR="001B74CA" w:rsidRPr="00576AF8" w:rsidRDefault="00A60B55" w:rsidP="00CC7032">
            <w:pPr>
              <w:spacing w:after="200"/>
              <w:ind w:left="601" w:hanging="601"/>
              <w:rPr>
                <w:szCs w:val="24"/>
              </w:rPr>
            </w:pPr>
            <w:r w:rsidRPr="00576AF8">
              <w:t>23.1</w:t>
            </w:r>
            <w:r w:rsidRPr="00576AF8">
              <w:tab/>
              <w:t xml:space="preserve">El Comprador debe recibir las Ofertas en la dirección y a más tardar en la fecha y hora que se indican </w:t>
            </w:r>
            <w:r w:rsidRPr="00576AF8">
              <w:rPr>
                <w:b/>
              </w:rPr>
              <w:t>en los DDL</w:t>
            </w:r>
            <w:r w:rsidRPr="00576AF8">
              <w:t>. Cuando así se especifique</w:t>
            </w:r>
            <w:r w:rsidRPr="00576AF8">
              <w:rPr>
                <w:b/>
              </w:rPr>
              <w:t xml:space="preserve"> en los DDL</w:t>
            </w:r>
            <w:r w:rsidRPr="00576AF8">
              <w:t xml:space="preserve">, los Licitantes tendrán la posibilidad de presentar sus Ofertas en forma electrónica. Los Licitantes que opten por esta modalidad deberán ajustarse a los procedimientos de presentación electrónica de Ofertas que se indican </w:t>
            </w:r>
            <w:r w:rsidRPr="00576AF8">
              <w:rPr>
                <w:b/>
              </w:rPr>
              <w:t>en los DDL</w:t>
            </w:r>
            <w:r w:rsidRPr="00576AF8">
              <w:t>.</w:t>
            </w:r>
          </w:p>
        </w:tc>
      </w:tr>
      <w:tr w:rsidR="005D3A16" w:rsidRPr="00576AF8" w14:paraId="0AC02680" w14:textId="77777777" w:rsidTr="00314996">
        <w:tc>
          <w:tcPr>
            <w:tcW w:w="2554" w:type="dxa"/>
          </w:tcPr>
          <w:p w14:paraId="20CA2D75" w14:textId="77777777" w:rsidR="005D3A16" w:rsidRPr="00576AF8" w:rsidRDefault="005D3A16" w:rsidP="00CC7032">
            <w:pPr>
              <w:spacing w:after="200"/>
              <w:rPr>
                <w:szCs w:val="24"/>
              </w:rPr>
            </w:pPr>
          </w:p>
        </w:tc>
        <w:tc>
          <w:tcPr>
            <w:tcW w:w="6845" w:type="dxa"/>
            <w:gridSpan w:val="2"/>
          </w:tcPr>
          <w:p w14:paraId="073EAEAF" w14:textId="77777777" w:rsidR="005D3A16" w:rsidRPr="00576AF8" w:rsidRDefault="00D728EA" w:rsidP="00A83F3E">
            <w:pPr>
              <w:spacing w:after="200"/>
              <w:ind w:left="601" w:hanging="601"/>
              <w:rPr>
                <w:szCs w:val="24"/>
              </w:rPr>
            </w:pPr>
            <w:r w:rsidRPr="00576AF8">
              <w:t>23.2</w:t>
            </w:r>
            <w:r w:rsidRPr="00576AF8">
              <w:tab/>
              <w:t xml:space="preserve">El Comprador podrá, a su criterio, prorrogar el plazo para la presentación de Ofertas mediante una enmienda </w:t>
            </w:r>
            <w:r w:rsidR="00A83F3E" w:rsidRPr="00576AF8">
              <w:t>del</w:t>
            </w:r>
            <w:r w:rsidRPr="00576AF8">
              <w:t xml:space="preserve"> </w:t>
            </w:r>
            <w:r w:rsidR="00807C34" w:rsidRPr="00576AF8">
              <w:t>documento de licitación</w:t>
            </w:r>
            <w:r w:rsidRPr="00576AF8">
              <w:t xml:space="preserve">, de conformidad con la </w:t>
            </w:r>
            <w:r w:rsidR="00C43FE6" w:rsidRPr="00576AF8">
              <w:t>IAL</w:t>
            </w:r>
            <w:r w:rsidRPr="00576AF8">
              <w:t xml:space="preserve"> 8, en cuyo caso, todos los derechos y obligaciones del Comprador y </w:t>
            </w:r>
            <w:r w:rsidR="00EC77BC" w:rsidRPr="00576AF8">
              <w:t xml:space="preserve">de </w:t>
            </w:r>
            <w:r w:rsidRPr="00576AF8">
              <w:t>los Licitantes quedarán sujetos a la nueva fecha prorrogada.</w:t>
            </w:r>
          </w:p>
        </w:tc>
      </w:tr>
      <w:tr w:rsidR="005D3A16" w:rsidRPr="00576AF8" w14:paraId="3EBD7C2F" w14:textId="77777777" w:rsidTr="00314996">
        <w:trPr>
          <w:cantSplit/>
        </w:trPr>
        <w:tc>
          <w:tcPr>
            <w:tcW w:w="2554" w:type="dxa"/>
          </w:tcPr>
          <w:p w14:paraId="0891B573" w14:textId="77777777" w:rsidR="005D3A16" w:rsidRPr="00576AF8" w:rsidRDefault="00A60B55" w:rsidP="00314996">
            <w:pPr>
              <w:pStyle w:val="TOC2-2"/>
            </w:pPr>
            <w:bookmarkStart w:id="180" w:name="_Toc434304518"/>
            <w:bookmarkStart w:id="181" w:name="_Toc454907792"/>
            <w:bookmarkStart w:id="182" w:name="_Toc476308792"/>
            <w:bookmarkStart w:id="183" w:name="_Toc479333342"/>
            <w:bookmarkStart w:id="184" w:name="_Toc25486601"/>
            <w:r w:rsidRPr="00576AF8">
              <w:t>24.</w:t>
            </w:r>
            <w:r w:rsidRPr="00576AF8">
              <w:tab/>
              <w:t xml:space="preserve">Ofertas </w:t>
            </w:r>
            <w:bookmarkEnd w:id="180"/>
            <w:bookmarkEnd w:id="181"/>
            <w:bookmarkEnd w:id="182"/>
            <w:bookmarkEnd w:id="183"/>
            <w:r w:rsidR="005E641B" w:rsidRPr="00576AF8">
              <w:t>Tardías</w:t>
            </w:r>
            <w:bookmarkEnd w:id="184"/>
          </w:p>
        </w:tc>
        <w:tc>
          <w:tcPr>
            <w:tcW w:w="6845" w:type="dxa"/>
            <w:gridSpan w:val="2"/>
          </w:tcPr>
          <w:p w14:paraId="58EAB20D" w14:textId="77777777" w:rsidR="005D3A16" w:rsidRPr="00576AF8" w:rsidRDefault="00A60B55" w:rsidP="005E641B">
            <w:pPr>
              <w:spacing w:after="200"/>
              <w:ind w:left="601" w:hanging="601"/>
              <w:rPr>
                <w:szCs w:val="24"/>
              </w:rPr>
            </w:pPr>
            <w:r w:rsidRPr="00576AF8">
              <w:t>24.1</w:t>
            </w:r>
            <w:r w:rsidRPr="00576AF8">
              <w:tab/>
              <w:t xml:space="preserve">El Comprador no considerará ninguna Oferta que llegue con posterioridad al término del plazo para la presentación de Ofertas, de conformidad con la </w:t>
            </w:r>
            <w:r w:rsidR="00C43FE6" w:rsidRPr="00576AF8">
              <w:t>IAL</w:t>
            </w:r>
            <w:r w:rsidR="00F53A8D" w:rsidRPr="00576AF8">
              <w:t> </w:t>
            </w:r>
            <w:r w:rsidRPr="00576AF8">
              <w:t>23.</w:t>
            </w:r>
            <w:r w:rsidR="00C15E45" w:rsidRPr="00576AF8">
              <w:t xml:space="preserve"> </w:t>
            </w:r>
            <w:r w:rsidRPr="00576AF8">
              <w:t xml:space="preserve">Toda Oferta que reciba el Comprador después </w:t>
            </w:r>
            <w:r w:rsidR="00F53A8D" w:rsidRPr="00576AF8">
              <w:t xml:space="preserve">de finalizado ese plazo </w:t>
            </w:r>
            <w:r w:rsidRPr="00576AF8">
              <w:t>será declarada tardía</w:t>
            </w:r>
            <w:r w:rsidR="005E641B" w:rsidRPr="00576AF8">
              <w:t xml:space="preserve">, </w:t>
            </w:r>
            <w:r w:rsidRPr="00576AF8">
              <w:t>rechazada y devuelta al Licitante remitente sin abrir.</w:t>
            </w:r>
          </w:p>
        </w:tc>
      </w:tr>
      <w:tr w:rsidR="008D228A" w:rsidRPr="00576AF8" w14:paraId="048C8BA0" w14:textId="77777777" w:rsidTr="00314996">
        <w:trPr>
          <w:cantSplit/>
        </w:trPr>
        <w:tc>
          <w:tcPr>
            <w:tcW w:w="2554" w:type="dxa"/>
          </w:tcPr>
          <w:p w14:paraId="0651DA4A" w14:textId="77777777" w:rsidR="008D228A" w:rsidRPr="00576AF8" w:rsidRDefault="008D228A" w:rsidP="00314996">
            <w:pPr>
              <w:pStyle w:val="TOC2-2"/>
            </w:pPr>
            <w:bookmarkStart w:id="185" w:name="_Toc25486602"/>
            <w:r w:rsidRPr="00576AF8">
              <w:lastRenderedPageBreak/>
              <w:t>25.</w:t>
            </w:r>
            <w:r w:rsidRPr="00576AF8">
              <w:tab/>
              <w:t>Retiro, Sustitución y Modificación de</w:t>
            </w:r>
            <w:r w:rsidR="00560490" w:rsidRPr="00576AF8">
              <w:t> </w:t>
            </w:r>
            <w:r w:rsidRPr="00576AF8">
              <w:t>Ofertas</w:t>
            </w:r>
            <w:bookmarkEnd w:id="185"/>
          </w:p>
        </w:tc>
        <w:tc>
          <w:tcPr>
            <w:tcW w:w="6845" w:type="dxa"/>
            <w:gridSpan w:val="2"/>
          </w:tcPr>
          <w:p w14:paraId="0D2FF9BD" w14:textId="77777777" w:rsidR="008D228A" w:rsidRPr="00576AF8" w:rsidRDefault="008D228A">
            <w:pPr>
              <w:pStyle w:val="Prrafodelista"/>
              <w:numPr>
                <w:ilvl w:val="0"/>
                <w:numId w:val="48"/>
              </w:numPr>
              <w:spacing w:after="200"/>
              <w:ind w:left="609" w:hanging="601"/>
            </w:pPr>
            <w:r w:rsidRPr="00576AF8">
              <w:t>Un Licitante podrá retirar, sustituir o modificar su Oferta después de presentada mediante el envío de una comunicación por escrito, la cual deberá estar debidamente firmada por un representante autorizado e incluir una copia de dicha autorización de conformidad con la IAL 21.3 (a excepción de la comunicación de retiro, que no requiere copias). La sustitución o modificación correspondiente de la Oferta deberá acompañar dicha comunicación por escrito. Todas las comunicaciones deberán ser:</w:t>
            </w:r>
          </w:p>
        </w:tc>
      </w:tr>
      <w:tr w:rsidR="008D228A" w:rsidRPr="00576AF8" w14:paraId="248CE7E5" w14:textId="77777777" w:rsidTr="00314996">
        <w:trPr>
          <w:cantSplit/>
        </w:trPr>
        <w:tc>
          <w:tcPr>
            <w:tcW w:w="2554" w:type="dxa"/>
          </w:tcPr>
          <w:p w14:paraId="1ED522F0" w14:textId="77777777" w:rsidR="008D228A" w:rsidRPr="00576AF8" w:rsidRDefault="008D228A" w:rsidP="005E641B">
            <w:pPr>
              <w:pStyle w:val="TOC2-2"/>
              <w:suppressAutoHyphens/>
              <w:jc w:val="both"/>
            </w:pPr>
          </w:p>
        </w:tc>
        <w:tc>
          <w:tcPr>
            <w:tcW w:w="6845" w:type="dxa"/>
            <w:gridSpan w:val="2"/>
          </w:tcPr>
          <w:p w14:paraId="71AA124C" w14:textId="77777777" w:rsidR="008D228A" w:rsidRPr="00576AF8" w:rsidRDefault="008D228A">
            <w:pPr>
              <w:pStyle w:val="P3Header1-Clauses"/>
              <w:numPr>
                <w:ilvl w:val="0"/>
                <w:numId w:val="6"/>
              </w:numPr>
              <w:spacing w:after="200"/>
              <w:ind w:left="1210" w:hanging="576"/>
              <w:jc w:val="both"/>
            </w:pPr>
            <w:r w:rsidRPr="00576AF8">
              <w:rPr>
                <w:b w:val="0"/>
              </w:rPr>
              <w:t xml:space="preserve">preparadas y presentadas de conformidad con las IAL 21 y 22 (a excepción de la comunicación de </w:t>
            </w:r>
            <w:r w:rsidR="00560490" w:rsidRPr="00576AF8">
              <w:rPr>
                <w:b w:val="0"/>
              </w:rPr>
              <w:br/>
            </w:r>
            <w:r w:rsidRPr="00576AF8">
              <w:rPr>
                <w:b w:val="0"/>
              </w:rPr>
              <w:t>retiro, que no requiere copias), y los respectivos sobres deberán identificarse claramente como “RETIRO”, “SUSTITUCIÓN” o “MODIFICACIÓN”; y</w:t>
            </w:r>
          </w:p>
        </w:tc>
      </w:tr>
      <w:tr w:rsidR="008D228A" w:rsidRPr="00576AF8" w14:paraId="649BA0A4" w14:textId="77777777" w:rsidTr="00314996">
        <w:trPr>
          <w:cantSplit/>
        </w:trPr>
        <w:tc>
          <w:tcPr>
            <w:tcW w:w="2554" w:type="dxa"/>
          </w:tcPr>
          <w:p w14:paraId="4CA90073" w14:textId="77777777" w:rsidR="008D228A" w:rsidRPr="00576AF8" w:rsidRDefault="008D228A" w:rsidP="005E641B">
            <w:pPr>
              <w:pStyle w:val="TOC2-2"/>
              <w:suppressAutoHyphens/>
              <w:jc w:val="both"/>
            </w:pPr>
          </w:p>
        </w:tc>
        <w:tc>
          <w:tcPr>
            <w:tcW w:w="6845" w:type="dxa"/>
            <w:gridSpan w:val="2"/>
          </w:tcPr>
          <w:p w14:paraId="0A8327D4" w14:textId="77777777" w:rsidR="008D228A" w:rsidRPr="00576AF8" w:rsidRDefault="008D228A">
            <w:pPr>
              <w:pStyle w:val="P3Header1-Clauses"/>
              <w:numPr>
                <w:ilvl w:val="0"/>
                <w:numId w:val="6"/>
              </w:numPr>
              <w:spacing w:after="200"/>
              <w:ind w:left="1210" w:hanging="576"/>
              <w:jc w:val="both"/>
            </w:pPr>
            <w:r w:rsidRPr="00576AF8">
              <w:rPr>
                <w:b w:val="0"/>
              </w:rPr>
              <w:t>recibidas por el Comprador antes del término del plazo establecido para la presentación de Ofertas, de conformidad con la IAL 23.</w:t>
            </w:r>
          </w:p>
        </w:tc>
      </w:tr>
      <w:tr w:rsidR="005D3A16" w:rsidRPr="00576AF8" w14:paraId="650C828B" w14:textId="77777777" w:rsidTr="00314996">
        <w:tc>
          <w:tcPr>
            <w:tcW w:w="2554" w:type="dxa"/>
          </w:tcPr>
          <w:p w14:paraId="416EAF5C" w14:textId="77777777" w:rsidR="005D3A16" w:rsidRPr="00576AF8" w:rsidRDefault="005D3A16" w:rsidP="00CC7032">
            <w:pPr>
              <w:spacing w:after="200"/>
              <w:rPr>
                <w:szCs w:val="24"/>
              </w:rPr>
            </w:pPr>
          </w:p>
        </w:tc>
        <w:tc>
          <w:tcPr>
            <w:tcW w:w="6845" w:type="dxa"/>
            <w:gridSpan w:val="2"/>
          </w:tcPr>
          <w:p w14:paraId="4E4A38F5" w14:textId="77777777" w:rsidR="001B74CA" w:rsidRPr="00576AF8" w:rsidRDefault="00EE4549" w:rsidP="00EC3093">
            <w:pPr>
              <w:numPr>
                <w:ilvl w:val="12"/>
                <w:numId w:val="0"/>
              </w:numPr>
              <w:spacing w:after="200"/>
              <w:ind w:left="621" w:right="-72" w:hanging="621"/>
              <w:rPr>
                <w:szCs w:val="24"/>
              </w:rPr>
            </w:pPr>
            <w:r w:rsidRPr="00576AF8">
              <w:t>25.2</w:t>
            </w:r>
            <w:r w:rsidRPr="00576AF8">
              <w:tab/>
              <w:t xml:space="preserve">Las Ofertas cuyo retiro fue solicitado de conformidad con la </w:t>
            </w:r>
            <w:r w:rsidR="00C43FE6" w:rsidRPr="00576AF8">
              <w:t>IAL</w:t>
            </w:r>
            <w:r w:rsidR="00A51E1E" w:rsidRPr="00576AF8">
              <w:t> </w:t>
            </w:r>
            <w:r w:rsidRPr="00576AF8">
              <w:t>25.1 se devolverán sin abrir a los Licitantes.</w:t>
            </w:r>
          </w:p>
          <w:p w14:paraId="1077F55C" w14:textId="77777777" w:rsidR="001B74CA" w:rsidRPr="00576AF8" w:rsidRDefault="008467FF" w:rsidP="00EC3093">
            <w:pPr>
              <w:numPr>
                <w:ilvl w:val="12"/>
                <w:numId w:val="0"/>
              </w:numPr>
              <w:spacing w:after="200"/>
              <w:ind w:left="621" w:right="-72" w:hanging="621"/>
              <w:rPr>
                <w:szCs w:val="24"/>
              </w:rPr>
            </w:pPr>
            <w:r w:rsidRPr="00576AF8">
              <w:t>25.3</w:t>
            </w:r>
            <w:r w:rsidRPr="00576AF8">
              <w:tab/>
              <w:t xml:space="preserve">Ninguna Oferta podrá retirarse, sustituirse ni modificarse durante el intervalo comprendido entre la fecha límite del plazo para la presentación de Ofertas y el vencimiento del período de validez de las Ofertas indicado por el Licitante en la </w:t>
            </w:r>
            <w:r w:rsidR="00314214" w:rsidRPr="00576AF8">
              <w:t>c</w:t>
            </w:r>
            <w:r w:rsidRPr="00576AF8">
              <w:t>arta de la Oferta o cualquier prórroga, si la hubiese.</w:t>
            </w:r>
          </w:p>
        </w:tc>
      </w:tr>
      <w:tr w:rsidR="00C70741" w:rsidRPr="00576AF8" w14:paraId="073DD9AF" w14:textId="77777777" w:rsidTr="00314996">
        <w:tblPrEx>
          <w:tblCellMar>
            <w:left w:w="115" w:type="dxa"/>
            <w:right w:w="115" w:type="dxa"/>
          </w:tblCellMar>
        </w:tblPrEx>
        <w:trPr>
          <w:cantSplit/>
        </w:trPr>
        <w:tc>
          <w:tcPr>
            <w:tcW w:w="9399" w:type="dxa"/>
            <w:gridSpan w:val="3"/>
          </w:tcPr>
          <w:p w14:paraId="2BF8EA36" w14:textId="77777777" w:rsidR="00C70741" w:rsidRPr="00576AF8" w:rsidRDefault="00726C4B" w:rsidP="00314996">
            <w:pPr>
              <w:pStyle w:val="Toc2-1"/>
            </w:pPr>
            <w:bookmarkStart w:id="186" w:name="_Toc454982019"/>
            <w:bookmarkStart w:id="187" w:name="_Toc485900017"/>
            <w:bookmarkStart w:id="188" w:name="_Toc25486603"/>
            <w:r w:rsidRPr="00576AF8">
              <w:t xml:space="preserve">E. </w:t>
            </w:r>
            <w:r w:rsidR="00C70741" w:rsidRPr="00576AF8">
              <w:t>Apertura Pública de las Partes Técnicas de las Ofertas</w:t>
            </w:r>
            <w:bookmarkEnd w:id="186"/>
            <w:bookmarkEnd w:id="187"/>
            <w:bookmarkEnd w:id="188"/>
          </w:p>
        </w:tc>
      </w:tr>
      <w:tr w:rsidR="005D3A16" w:rsidRPr="00576AF8" w14:paraId="17799F36" w14:textId="77777777" w:rsidTr="00314996">
        <w:tblPrEx>
          <w:tblCellMar>
            <w:left w:w="115" w:type="dxa"/>
            <w:right w:w="115" w:type="dxa"/>
          </w:tblCellMar>
        </w:tblPrEx>
        <w:trPr>
          <w:cantSplit/>
        </w:trPr>
        <w:tc>
          <w:tcPr>
            <w:tcW w:w="2554" w:type="dxa"/>
          </w:tcPr>
          <w:p w14:paraId="6AD4CDA9" w14:textId="77777777" w:rsidR="005D3A16" w:rsidRPr="00576AF8" w:rsidRDefault="00DF3CF9" w:rsidP="00314996">
            <w:pPr>
              <w:pStyle w:val="TOC2-2"/>
            </w:pPr>
            <w:bookmarkStart w:id="189" w:name="_Toc434304520"/>
            <w:bookmarkStart w:id="190" w:name="_Toc454907794"/>
            <w:bookmarkStart w:id="191" w:name="_Toc476308794"/>
            <w:bookmarkStart w:id="192" w:name="_Toc479333344"/>
            <w:bookmarkStart w:id="193" w:name="_Toc25486604"/>
            <w:r w:rsidRPr="00576AF8">
              <w:t>26.</w:t>
            </w:r>
            <w:r w:rsidRPr="00576AF8">
              <w:tab/>
              <w:t>Apertura de las</w:t>
            </w:r>
            <w:r w:rsidR="00560490" w:rsidRPr="00576AF8">
              <w:t> </w:t>
            </w:r>
            <w:r w:rsidR="00A559B5" w:rsidRPr="00576AF8">
              <w:t xml:space="preserve">Partes Técnicas de las </w:t>
            </w:r>
            <w:r w:rsidRPr="00576AF8">
              <w:t>Ofertas</w:t>
            </w:r>
            <w:bookmarkEnd w:id="189"/>
            <w:bookmarkEnd w:id="190"/>
            <w:bookmarkEnd w:id="191"/>
            <w:bookmarkEnd w:id="192"/>
            <w:bookmarkEnd w:id="193"/>
          </w:p>
        </w:tc>
        <w:tc>
          <w:tcPr>
            <w:tcW w:w="6845" w:type="dxa"/>
            <w:gridSpan w:val="2"/>
          </w:tcPr>
          <w:p w14:paraId="00E2CA5A" w14:textId="77777777" w:rsidR="005D3A16" w:rsidRPr="00576AF8" w:rsidRDefault="00381C5D">
            <w:pPr>
              <w:pStyle w:val="Prrafodelista"/>
              <w:numPr>
                <w:ilvl w:val="0"/>
                <w:numId w:val="23"/>
              </w:numPr>
              <w:spacing w:after="200"/>
              <w:ind w:left="621" w:hanging="621"/>
              <w:contextualSpacing w:val="0"/>
              <w:rPr>
                <w:szCs w:val="24"/>
              </w:rPr>
            </w:pPr>
            <w:r w:rsidRPr="00576AF8">
              <w:t xml:space="preserve">Excepto en los casos previstos en las </w:t>
            </w:r>
            <w:r w:rsidR="00C43FE6" w:rsidRPr="00576AF8">
              <w:t>IAL </w:t>
            </w:r>
            <w:r w:rsidRPr="00576AF8">
              <w:t xml:space="preserve">24 y 25.2, el Comprador llevará a cabo la apertura de las Ofertas públicamente, en presencia de los representantes designados por los Licitantes y de todas aquellas personas que deseen asistir, en la dirección, la fecha y la hora que se especifican </w:t>
            </w:r>
            <w:r w:rsidRPr="00576AF8">
              <w:rPr>
                <w:b/>
              </w:rPr>
              <w:t>en los DDL</w:t>
            </w:r>
            <w:r w:rsidRPr="00576AF8">
              <w:t xml:space="preserve">. Cualquier procedimiento específico para la apertura de Ofertas presentadas electrónicamente, si fueron permitidas de conformidad con la </w:t>
            </w:r>
            <w:r w:rsidR="00C43FE6" w:rsidRPr="00576AF8">
              <w:t>IAL</w:t>
            </w:r>
            <w:r w:rsidR="00A51E1E" w:rsidRPr="00576AF8">
              <w:t> </w:t>
            </w:r>
            <w:r w:rsidRPr="00576AF8">
              <w:t xml:space="preserve">23.1, se realizará según se especifica </w:t>
            </w:r>
            <w:r w:rsidRPr="00576AF8">
              <w:rPr>
                <w:b/>
              </w:rPr>
              <w:t>en los DDL</w:t>
            </w:r>
            <w:r w:rsidRPr="00576AF8">
              <w:t>.</w:t>
            </w:r>
          </w:p>
        </w:tc>
      </w:tr>
      <w:tr w:rsidR="002C6F65" w:rsidRPr="00576AF8" w14:paraId="2B4FE4FB" w14:textId="77777777" w:rsidTr="00714CE3">
        <w:tblPrEx>
          <w:tblCellMar>
            <w:left w:w="115" w:type="dxa"/>
            <w:right w:w="115" w:type="dxa"/>
          </w:tblCellMar>
        </w:tblPrEx>
        <w:trPr>
          <w:trHeight w:val="1051"/>
        </w:trPr>
        <w:tc>
          <w:tcPr>
            <w:tcW w:w="2554" w:type="dxa"/>
          </w:tcPr>
          <w:p w14:paraId="2FDD9D28" w14:textId="77777777" w:rsidR="005D3A16" w:rsidRPr="00576AF8" w:rsidRDefault="005D3A16" w:rsidP="00CC7032">
            <w:pPr>
              <w:spacing w:after="200"/>
              <w:rPr>
                <w:szCs w:val="24"/>
              </w:rPr>
            </w:pPr>
          </w:p>
        </w:tc>
        <w:tc>
          <w:tcPr>
            <w:tcW w:w="6845" w:type="dxa"/>
            <w:gridSpan w:val="2"/>
          </w:tcPr>
          <w:p w14:paraId="63E2D1E5" w14:textId="77777777" w:rsidR="00FE4D81" w:rsidRPr="00576AF8" w:rsidRDefault="00697241">
            <w:pPr>
              <w:pStyle w:val="Prrafodelista"/>
              <w:numPr>
                <w:ilvl w:val="0"/>
                <w:numId w:val="23"/>
              </w:numPr>
              <w:spacing w:after="200"/>
              <w:ind w:left="621" w:hanging="621"/>
              <w:contextualSpacing w:val="0"/>
              <w:rPr>
                <w:szCs w:val="24"/>
              </w:rPr>
            </w:pPr>
            <w:r w:rsidRPr="00576AF8">
              <w:t>Primero se abrirán los sobres identificados con el rótulo “Retiro”, que se leerán en voz alta sin abrir el sobre con la Oferta correspondiente, la cual se devolverá al Licitante.</w:t>
            </w:r>
            <w:r w:rsidR="00C15E45" w:rsidRPr="00576AF8">
              <w:t xml:space="preserve"> </w:t>
            </w:r>
            <w:r w:rsidRPr="00576AF8">
              <w:t xml:space="preserve">No se permitirá el retiro de ninguna Oferta a menos que la respectiva comunicación de retiro contenga una autorización válida para </w:t>
            </w:r>
            <w:r w:rsidRPr="00576AF8">
              <w:lastRenderedPageBreak/>
              <w:t>solicitar el retiro y sea leída en voz alta en el ac</w:t>
            </w:r>
            <w:r w:rsidR="00D77E11" w:rsidRPr="00576AF8">
              <w:t>to de apertura de las Ofertas.</w:t>
            </w:r>
          </w:p>
          <w:p w14:paraId="0F9B35E5" w14:textId="77777777" w:rsidR="00FE4D81" w:rsidRPr="00576AF8" w:rsidRDefault="00697241">
            <w:pPr>
              <w:pStyle w:val="Prrafodelista"/>
              <w:numPr>
                <w:ilvl w:val="0"/>
                <w:numId w:val="23"/>
              </w:numPr>
              <w:spacing w:after="200"/>
              <w:ind w:left="621" w:hanging="621"/>
              <w:contextualSpacing w:val="0"/>
              <w:rPr>
                <w:szCs w:val="24"/>
              </w:rPr>
            </w:pPr>
            <w:r w:rsidRPr="00576AF8">
              <w:t>Seguidamente se abrirán y se leerán en voz alta los sobres identificados con el rótulo “Sustitución”, y se intercambiarán por la Oferta correspondiente que está siendo sustituida; la Oferta sustituida se devolverá sin abrir al Licitante. No se permitirá la sustitución de ninguna Oferta a menos que la respectiva comunicación de sustitución contenga una autorización válida para solicitar la sustitución y sea leída en voz alta en el a</w:t>
            </w:r>
            <w:r w:rsidR="00D77E11" w:rsidRPr="00576AF8">
              <w:t>cto de apertura de las Ofertas.</w:t>
            </w:r>
          </w:p>
          <w:p w14:paraId="506F3901" w14:textId="77777777" w:rsidR="00FE4D81" w:rsidRPr="00576AF8" w:rsidRDefault="00697241">
            <w:pPr>
              <w:pStyle w:val="Prrafodelista"/>
              <w:numPr>
                <w:ilvl w:val="0"/>
                <w:numId w:val="23"/>
              </w:numPr>
              <w:spacing w:after="200"/>
              <w:ind w:left="621" w:hanging="621"/>
              <w:contextualSpacing w:val="0"/>
              <w:rPr>
                <w:szCs w:val="24"/>
              </w:rPr>
            </w:pPr>
            <w:r w:rsidRPr="00576AF8">
              <w:t>Los sobres identificados con el rótulo “Modificación” se abrirán y se leerán en voz alta con la Oferta correspondiente. No se permitirá ninguna modificación de Ofertas a menos que la comunicación de modificación correspondiente contenga una autorización válida para solicitar la modificación y sea leída en voz alta en el acto de apertura de las Ofertas. Solo se considerarán en mayor detalle las Ofertas que se hayan abierto y leído en voz alta en el acto de apertura de las Ofertas.</w:t>
            </w:r>
          </w:p>
          <w:p w14:paraId="55EAB8A6" w14:textId="77777777" w:rsidR="00FE4D81" w:rsidRPr="00576AF8" w:rsidRDefault="00C43E64">
            <w:pPr>
              <w:pStyle w:val="Prrafodelista"/>
              <w:numPr>
                <w:ilvl w:val="0"/>
                <w:numId w:val="23"/>
              </w:numPr>
              <w:spacing w:after="200"/>
              <w:ind w:left="621" w:hanging="621"/>
              <w:contextualSpacing w:val="0"/>
              <w:rPr>
                <w:szCs w:val="24"/>
              </w:rPr>
            </w:pPr>
            <w:r w:rsidRPr="00576AF8">
              <w:t>Todos los demás sobres se abrirán de a uno, y se leerá en voz alta la siguiente información: el nombre del Licitante</w:t>
            </w:r>
            <w:r w:rsidR="0025030E" w:rsidRPr="00576AF8">
              <w:t>, si se trata de</w:t>
            </w:r>
            <w:r w:rsidRPr="00576AF8">
              <w:t xml:space="preserve"> Ofertas alternativas e indicación de cualquier eventual modificación; la existencia o no de </w:t>
            </w:r>
            <w:r w:rsidR="00292433" w:rsidRPr="00576AF8">
              <w:t xml:space="preserve">una </w:t>
            </w:r>
            <w:r w:rsidR="00222A2F" w:rsidRPr="00576AF8">
              <w:t>G</w:t>
            </w:r>
            <w:r w:rsidR="00984DF4" w:rsidRPr="00576AF8">
              <w:t>arantía</w:t>
            </w:r>
            <w:r w:rsidRPr="00576AF8">
              <w:t xml:space="preserve"> de </w:t>
            </w:r>
            <w:r w:rsidR="00222A2F" w:rsidRPr="00576AF8">
              <w:t>M</w:t>
            </w:r>
            <w:r w:rsidRPr="00576AF8">
              <w:t xml:space="preserve">antenimiento de la Oferta o </w:t>
            </w:r>
            <w:r w:rsidR="00314214" w:rsidRPr="00576AF8">
              <w:t xml:space="preserve">de una </w:t>
            </w:r>
            <w:r w:rsidR="00222A2F" w:rsidRPr="00576AF8">
              <w:t>D</w:t>
            </w:r>
            <w:r w:rsidRPr="00576AF8">
              <w:t xml:space="preserve">eclaración de </w:t>
            </w:r>
            <w:r w:rsidR="00222A2F" w:rsidRPr="00576AF8">
              <w:t>M</w:t>
            </w:r>
            <w:r w:rsidRPr="00576AF8">
              <w:t xml:space="preserve">antenimiento de la Oferta, si correspondiera, y todo otro detalle que </w:t>
            </w:r>
            <w:r w:rsidR="00D77E11" w:rsidRPr="00576AF8">
              <w:t>el Comprador juzgue pertinente.</w:t>
            </w:r>
          </w:p>
          <w:p w14:paraId="28BA979D" w14:textId="77777777" w:rsidR="00C0522C" w:rsidRPr="00576AF8" w:rsidRDefault="00DE0484">
            <w:pPr>
              <w:pStyle w:val="Prrafodelista"/>
              <w:keepNext/>
              <w:keepLines/>
              <w:numPr>
                <w:ilvl w:val="0"/>
                <w:numId w:val="23"/>
              </w:numPr>
              <w:spacing w:before="240" w:after="200"/>
              <w:ind w:left="621" w:hanging="621"/>
              <w:contextualSpacing w:val="0"/>
              <w:outlineLvl w:val="4"/>
              <w:rPr>
                <w:szCs w:val="24"/>
              </w:rPr>
            </w:pPr>
            <w:r w:rsidRPr="00576AF8">
              <w:t>La</w:t>
            </w:r>
            <w:r w:rsidR="0025030E" w:rsidRPr="00576AF8">
              <w:t>s</w:t>
            </w:r>
            <w:r w:rsidRPr="00576AF8">
              <w:t xml:space="preserve"> </w:t>
            </w:r>
            <w:r w:rsidR="0025030E" w:rsidRPr="00576AF8">
              <w:t xml:space="preserve">Cartas </w:t>
            </w:r>
            <w:r w:rsidRPr="00576AF8">
              <w:t xml:space="preserve">de Oferta deben </w:t>
            </w:r>
            <w:r w:rsidR="0025030E" w:rsidRPr="00576AF8">
              <w:t xml:space="preserve">ser </w:t>
            </w:r>
            <w:r w:rsidRPr="00576AF8">
              <w:t xml:space="preserve">firmadas con las iniciales de los representantes del Comprador que asistan al acto de apertura de las Ofertas según lo especificado </w:t>
            </w:r>
            <w:r w:rsidRPr="00576AF8">
              <w:rPr>
                <w:b/>
              </w:rPr>
              <w:t>en los DDL</w:t>
            </w:r>
            <w:r w:rsidR="00D77E11" w:rsidRPr="00576AF8">
              <w:t>.</w:t>
            </w:r>
          </w:p>
          <w:p w14:paraId="19573DAD" w14:textId="77777777" w:rsidR="002B1BEA" w:rsidRPr="00576AF8" w:rsidRDefault="00C43E64">
            <w:pPr>
              <w:pStyle w:val="Prrafodelista"/>
              <w:numPr>
                <w:ilvl w:val="0"/>
                <w:numId w:val="23"/>
              </w:numPr>
              <w:spacing w:after="200"/>
              <w:ind w:left="621" w:hanging="621"/>
              <w:contextualSpacing w:val="0"/>
              <w:rPr>
                <w:szCs w:val="24"/>
              </w:rPr>
            </w:pPr>
            <w:r w:rsidRPr="00576AF8">
              <w:t xml:space="preserve">El Comprador no discutirá los méritos de ninguna Oferta ni tampoco rechazará ninguna Oferta (excepto las Ofertas tardías, de conformidad con la </w:t>
            </w:r>
            <w:r w:rsidR="00C43FE6" w:rsidRPr="00576AF8">
              <w:t>IAL</w:t>
            </w:r>
            <w:r w:rsidR="00314214" w:rsidRPr="00576AF8">
              <w:t> </w:t>
            </w:r>
            <w:r w:rsidRPr="00576AF8">
              <w:t>24.1).</w:t>
            </w:r>
          </w:p>
          <w:p w14:paraId="42E5CEF1" w14:textId="77777777" w:rsidR="002B1BEA" w:rsidRPr="00576AF8" w:rsidRDefault="007A699C">
            <w:pPr>
              <w:pStyle w:val="Prrafodelista"/>
              <w:numPr>
                <w:ilvl w:val="0"/>
                <w:numId w:val="23"/>
              </w:numPr>
              <w:spacing w:after="200"/>
              <w:ind w:left="621" w:hanging="621"/>
              <w:contextualSpacing w:val="0"/>
              <w:rPr>
                <w:szCs w:val="24"/>
              </w:rPr>
            </w:pPr>
            <w:r w:rsidRPr="00576AF8">
              <w:t>El Comprador preparará un acta del acto de apertura de las Ofertas que incluirá, como mínimo:</w:t>
            </w:r>
          </w:p>
          <w:p w14:paraId="0540DD21" w14:textId="77777777" w:rsidR="007A699C" w:rsidRPr="00576AF8" w:rsidRDefault="007A699C">
            <w:pPr>
              <w:pStyle w:val="Prrafodelista"/>
              <w:numPr>
                <w:ilvl w:val="0"/>
                <w:numId w:val="24"/>
              </w:numPr>
              <w:spacing w:after="200"/>
              <w:ind w:left="1188" w:hanging="567"/>
              <w:contextualSpacing w:val="0"/>
              <w:rPr>
                <w:szCs w:val="24"/>
              </w:rPr>
            </w:pPr>
            <w:r w:rsidRPr="00576AF8">
              <w:t xml:space="preserve">el nombre del Licitante y si hay retiro, sustitución o modificación; </w:t>
            </w:r>
          </w:p>
          <w:p w14:paraId="246FEBD8" w14:textId="77777777" w:rsidR="007A699C" w:rsidRPr="00576AF8" w:rsidRDefault="007A699C">
            <w:pPr>
              <w:pStyle w:val="Prrafodelista"/>
              <w:numPr>
                <w:ilvl w:val="0"/>
                <w:numId w:val="24"/>
              </w:numPr>
              <w:spacing w:after="200"/>
              <w:ind w:left="1188" w:hanging="567"/>
              <w:contextualSpacing w:val="0"/>
              <w:rPr>
                <w:szCs w:val="24"/>
              </w:rPr>
            </w:pPr>
            <w:r w:rsidRPr="00576AF8">
              <w:t xml:space="preserve">cualquier Oferta alternativa; </w:t>
            </w:r>
          </w:p>
          <w:p w14:paraId="74B7816D" w14:textId="77777777" w:rsidR="002B1BEA" w:rsidRPr="00576AF8" w:rsidRDefault="007A699C">
            <w:pPr>
              <w:pStyle w:val="Prrafodelista"/>
              <w:numPr>
                <w:ilvl w:val="0"/>
                <w:numId w:val="24"/>
              </w:numPr>
              <w:spacing w:after="200"/>
              <w:ind w:left="1188" w:hanging="567"/>
              <w:contextualSpacing w:val="0"/>
              <w:rPr>
                <w:szCs w:val="24"/>
              </w:rPr>
            </w:pPr>
            <w:r w:rsidRPr="00576AF8">
              <w:t xml:space="preserve">la existencia o no de una </w:t>
            </w:r>
            <w:r w:rsidR="001F46ED" w:rsidRPr="00576AF8">
              <w:t xml:space="preserve">Garantía </w:t>
            </w:r>
            <w:r w:rsidRPr="00576AF8">
              <w:t xml:space="preserve">de </w:t>
            </w:r>
            <w:r w:rsidR="001F46ED" w:rsidRPr="00576AF8">
              <w:t>M</w:t>
            </w:r>
            <w:r w:rsidRPr="00576AF8">
              <w:t xml:space="preserve">antenimiento </w:t>
            </w:r>
            <w:r w:rsidR="00EC3093" w:rsidRPr="00576AF8">
              <w:br/>
            </w:r>
            <w:r w:rsidRPr="00576AF8">
              <w:t xml:space="preserve">de la Oferta o </w:t>
            </w:r>
            <w:r w:rsidR="00314214" w:rsidRPr="00576AF8">
              <w:t xml:space="preserve">de </w:t>
            </w:r>
            <w:r w:rsidRPr="00576AF8">
              <w:t xml:space="preserve">una </w:t>
            </w:r>
            <w:r w:rsidR="001F46ED" w:rsidRPr="00576AF8">
              <w:t xml:space="preserve">Declaración </w:t>
            </w:r>
            <w:r w:rsidRPr="00576AF8">
              <w:t xml:space="preserve">de </w:t>
            </w:r>
            <w:r w:rsidR="001F46ED" w:rsidRPr="00576AF8">
              <w:t>M</w:t>
            </w:r>
            <w:r w:rsidRPr="00576AF8">
              <w:t>antenimiento de la Oferta.</w:t>
            </w:r>
          </w:p>
          <w:p w14:paraId="3EED2922" w14:textId="77777777" w:rsidR="001B74CA" w:rsidRPr="00576AF8" w:rsidRDefault="002B1BEA">
            <w:pPr>
              <w:pStyle w:val="Prrafodelista"/>
              <w:numPr>
                <w:ilvl w:val="0"/>
                <w:numId w:val="23"/>
              </w:numPr>
              <w:spacing w:after="200"/>
              <w:ind w:hanging="720"/>
              <w:contextualSpacing w:val="0"/>
              <w:rPr>
                <w:szCs w:val="24"/>
              </w:rPr>
            </w:pPr>
            <w:r w:rsidRPr="00576AF8">
              <w:lastRenderedPageBreak/>
              <w:t>Se solicitará a los representantes de los Licitantes presentes que firmen el acta.</w:t>
            </w:r>
            <w:r w:rsidR="00C15E45" w:rsidRPr="00576AF8">
              <w:t xml:space="preserve"> </w:t>
            </w:r>
            <w:r w:rsidRPr="00576AF8">
              <w:t>La omisión de la firma de un Licitante en el acta no invalidará su contenido ni efecto.</w:t>
            </w:r>
            <w:r w:rsidR="00C15E45" w:rsidRPr="00576AF8">
              <w:t xml:space="preserve"> </w:t>
            </w:r>
            <w:r w:rsidRPr="00576AF8">
              <w:t>Todos los Licitantes recibirán una copia del acta.</w:t>
            </w:r>
          </w:p>
        </w:tc>
      </w:tr>
      <w:tr w:rsidR="004A4B46" w:rsidRPr="00576AF8" w14:paraId="0E8ECB3B" w14:textId="77777777" w:rsidTr="00314996">
        <w:tblPrEx>
          <w:tblCellMar>
            <w:left w:w="115" w:type="dxa"/>
            <w:right w:w="115" w:type="dxa"/>
          </w:tblCellMar>
        </w:tblPrEx>
        <w:trPr>
          <w:cantSplit/>
          <w:trHeight w:val="512"/>
        </w:trPr>
        <w:tc>
          <w:tcPr>
            <w:tcW w:w="9399" w:type="dxa"/>
            <w:gridSpan w:val="3"/>
          </w:tcPr>
          <w:p w14:paraId="33102CAE" w14:textId="77777777" w:rsidR="004A4B46" w:rsidRPr="00576AF8" w:rsidRDefault="00726C4B" w:rsidP="00314996">
            <w:pPr>
              <w:pStyle w:val="Toc2-1"/>
            </w:pPr>
            <w:bookmarkStart w:id="194" w:name="_Toc434304521"/>
            <w:bookmarkStart w:id="195" w:name="_Toc454907795"/>
            <w:bookmarkStart w:id="196" w:name="_Toc476308795"/>
            <w:bookmarkStart w:id="197" w:name="_Toc479333345"/>
            <w:bookmarkStart w:id="198" w:name="_Toc25486605"/>
            <w:r w:rsidRPr="00576AF8">
              <w:lastRenderedPageBreak/>
              <w:t>F</w:t>
            </w:r>
            <w:r w:rsidR="002363E1" w:rsidRPr="00576AF8">
              <w:t>.</w:t>
            </w:r>
            <w:r w:rsidR="004724AE" w:rsidRPr="00576AF8">
              <w:t xml:space="preserve"> </w:t>
            </w:r>
            <w:r w:rsidR="002363E1" w:rsidRPr="00576AF8">
              <w:t xml:space="preserve">Evaluación </w:t>
            </w:r>
            <w:bookmarkEnd w:id="194"/>
            <w:bookmarkEnd w:id="195"/>
            <w:bookmarkEnd w:id="196"/>
            <w:bookmarkEnd w:id="197"/>
            <w:r w:rsidR="00C70741" w:rsidRPr="00576AF8">
              <w:t>de las Ofertas. Disposiciones Generales</w:t>
            </w:r>
            <w:bookmarkEnd w:id="198"/>
          </w:p>
        </w:tc>
      </w:tr>
      <w:tr w:rsidR="00B061A9" w:rsidRPr="00576AF8" w14:paraId="561C4027" w14:textId="77777777" w:rsidTr="00314996">
        <w:tblPrEx>
          <w:tblCellMar>
            <w:left w:w="115" w:type="dxa"/>
            <w:right w:w="115" w:type="dxa"/>
          </w:tblCellMar>
        </w:tblPrEx>
        <w:tc>
          <w:tcPr>
            <w:tcW w:w="2554" w:type="dxa"/>
          </w:tcPr>
          <w:p w14:paraId="17175CDE" w14:textId="77777777" w:rsidR="00B061A9" w:rsidRPr="00576AF8" w:rsidRDefault="00B061A9" w:rsidP="00314996">
            <w:pPr>
              <w:pStyle w:val="TOC2-2"/>
            </w:pPr>
            <w:bookmarkStart w:id="199" w:name="_Toc434304522"/>
            <w:bookmarkStart w:id="200" w:name="_Toc454907796"/>
            <w:bookmarkStart w:id="201" w:name="_Toc476308796"/>
            <w:bookmarkStart w:id="202" w:name="_Toc479333346"/>
            <w:bookmarkStart w:id="203" w:name="_Toc25486606"/>
            <w:r w:rsidRPr="00576AF8">
              <w:t>27.</w:t>
            </w:r>
            <w:r w:rsidR="004724AE" w:rsidRPr="00576AF8">
              <w:tab/>
            </w:r>
            <w:r w:rsidRPr="00576AF8">
              <w:t>Confidencialidad</w:t>
            </w:r>
            <w:bookmarkEnd w:id="199"/>
            <w:bookmarkEnd w:id="200"/>
            <w:bookmarkEnd w:id="201"/>
            <w:bookmarkEnd w:id="202"/>
            <w:bookmarkEnd w:id="203"/>
          </w:p>
        </w:tc>
        <w:tc>
          <w:tcPr>
            <w:tcW w:w="6845" w:type="dxa"/>
            <w:gridSpan w:val="2"/>
          </w:tcPr>
          <w:p w14:paraId="76528098" w14:textId="77777777" w:rsidR="00B061A9" w:rsidRPr="00576AF8" w:rsidRDefault="00B061A9" w:rsidP="00C43FE6">
            <w:pPr>
              <w:spacing w:after="200"/>
              <w:ind w:left="592" w:hanging="592"/>
              <w:rPr>
                <w:szCs w:val="24"/>
              </w:rPr>
            </w:pPr>
            <w:r w:rsidRPr="00576AF8">
              <w:t>27.1</w:t>
            </w:r>
            <w:r w:rsidRPr="00576AF8">
              <w:tab/>
              <w:t xml:space="preserve">La información vinculada con la evaluación de las Ofertas y las recomendaciones sobre la adjudicación del Contrato no se divulgará a los Licitantes ni a ninguna otra persona que no participe oficialmente en el </w:t>
            </w:r>
            <w:r w:rsidR="00314214" w:rsidRPr="00576AF8">
              <w:t>p</w:t>
            </w:r>
            <w:r w:rsidRPr="00576AF8">
              <w:t xml:space="preserve">roceso de Licitación hasta que se emita a todos los Licitantes la </w:t>
            </w:r>
            <w:r w:rsidR="00314214" w:rsidRPr="00576AF8">
              <w:t>n</w:t>
            </w:r>
            <w:r w:rsidRPr="00576AF8">
              <w:t xml:space="preserve">otificación </w:t>
            </w:r>
            <w:r w:rsidR="00C70741" w:rsidRPr="00576AF8">
              <w:t>de adjudicación</w:t>
            </w:r>
            <w:r w:rsidRPr="00576AF8">
              <w:t xml:space="preserve"> </w:t>
            </w:r>
            <w:r w:rsidR="00314214" w:rsidRPr="00576AF8">
              <w:t>a</w:t>
            </w:r>
            <w:r w:rsidRPr="00576AF8">
              <w:t xml:space="preserve">djudicar el Contrato de conformidad con la </w:t>
            </w:r>
            <w:r w:rsidR="00C43FE6" w:rsidRPr="00576AF8">
              <w:t>IAL</w:t>
            </w:r>
            <w:r w:rsidR="00314214" w:rsidRPr="00576AF8">
              <w:t> </w:t>
            </w:r>
            <w:r w:rsidR="00E861B9" w:rsidRPr="00576AF8">
              <w:t>45</w:t>
            </w:r>
            <w:r w:rsidRPr="00576AF8">
              <w:t>.</w:t>
            </w:r>
          </w:p>
        </w:tc>
      </w:tr>
      <w:tr w:rsidR="00B061A9" w:rsidRPr="00576AF8" w14:paraId="272D70D3" w14:textId="77777777" w:rsidTr="00314996">
        <w:tblPrEx>
          <w:tblCellMar>
            <w:left w:w="115" w:type="dxa"/>
            <w:right w:w="115" w:type="dxa"/>
          </w:tblCellMar>
        </w:tblPrEx>
        <w:trPr>
          <w:cantSplit/>
        </w:trPr>
        <w:tc>
          <w:tcPr>
            <w:tcW w:w="2554" w:type="dxa"/>
          </w:tcPr>
          <w:p w14:paraId="14D5F89B" w14:textId="77777777" w:rsidR="00B061A9" w:rsidRPr="00576AF8" w:rsidRDefault="00B061A9" w:rsidP="00CC7032">
            <w:pPr>
              <w:spacing w:after="200"/>
              <w:rPr>
                <w:szCs w:val="24"/>
              </w:rPr>
            </w:pPr>
          </w:p>
        </w:tc>
        <w:tc>
          <w:tcPr>
            <w:tcW w:w="6845" w:type="dxa"/>
            <w:gridSpan w:val="2"/>
          </w:tcPr>
          <w:p w14:paraId="6FAEFD04" w14:textId="77777777" w:rsidR="00B061A9" w:rsidRPr="00576AF8" w:rsidRDefault="00B061A9" w:rsidP="00314214">
            <w:pPr>
              <w:spacing w:after="200"/>
              <w:ind w:left="592" w:hanging="592"/>
              <w:rPr>
                <w:szCs w:val="24"/>
              </w:rPr>
            </w:pPr>
            <w:r w:rsidRPr="00576AF8">
              <w:t>27.2</w:t>
            </w:r>
            <w:r w:rsidRPr="00576AF8">
              <w:tab/>
              <w:t xml:space="preserve">Cualquier intento por parte de un Licitante </w:t>
            </w:r>
            <w:r w:rsidR="00314214" w:rsidRPr="00576AF8">
              <w:t xml:space="preserve">de </w:t>
            </w:r>
            <w:r w:rsidRPr="00576AF8">
              <w:t>influenciar al Comprador en las decisiones relacionadas con la evaluación de las Ofertas o la adjudicación del Contrato podrá resultar en el rechazo de su Oferta.</w:t>
            </w:r>
          </w:p>
        </w:tc>
      </w:tr>
      <w:tr w:rsidR="00B061A9" w:rsidRPr="00576AF8" w14:paraId="15EFE284" w14:textId="77777777" w:rsidTr="00314996">
        <w:tblPrEx>
          <w:tblCellMar>
            <w:left w:w="115" w:type="dxa"/>
            <w:right w:w="115" w:type="dxa"/>
          </w:tblCellMar>
        </w:tblPrEx>
        <w:trPr>
          <w:cantSplit/>
        </w:trPr>
        <w:tc>
          <w:tcPr>
            <w:tcW w:w="2554" w:type="dxa"/>
          </w:tcPr>
          <w:p w14:paraId="154E178F" w14:textId="77777777" w:rsidR="00B061A9" w:rsidRPr="00576AF8" w:rsidRDefault="00B061A9" w:rsidP="00CC7032">
            <w:pPr>
              <w:spacing w:after="200"/>
              <w:rPr>
                <w:szCs w:val="24"/>
              </w:rPr>
            </w:pPr>
          </w:p>
        </w:tc>
        <w:tc>
          <w:tcPr>
            <w:tcW w:w="6845" w:type="dxa"/>
            <w:gridSpan w:val="2"/>
          </w:tcPr>
          <w:p w14:paraId="6FEA98AC" w14:textId="77777777" w:rsidR="00B061A9" w:rsidRPr="00576AF8" w:rsidRDefault="00B061A9" w:rsidP="00C43FE6">
            <w:pPr>
              <w:spacing w:after="200"/>
              <w:ind w:left="592" w:hanging="592"/>
              <w:rPr>
                <w:szCs w:val="24"/>
              </w:rPr>
            </w:pPr>
            <w:r w:rsidRPr="00576AF8">
              <w:t>27.3</w:t>
            </w:r>
            <w:r w:rsidRPr="00576AF8">
              <w:tab/>
              <w:t xml:space="preserve">No obstante lo dispuesto en la </w:t>
            </w:r>
            <w:r w:rsidR="00C43FE6" w:rsidRPr="00576AF8">
              <w:t>IAL</w:t>
            </w:r>
            <w:r w:rsidRPr="00576AF8">
              <w:t xml:space="preserve"> 27.2, si, durante el plazo transcurrido entre el acto de apertura de las Ofertas y la fecha de adjudicación del Contrato, un Licitante desea comunicarse con el Comprador sobre cualquier asunto relacionado con el </w:t>
            </w:r>
            <w:r w:rsidR="00314214" w:rsidRPr="00576AF8">
              <w:t>p</w:t>
            </w:r>
            <w:r w:rsidRPr="00576AF8">
              <w:t>roceso de Licitación, deberá hacerlo por escrito.</w:t>
            </w:r>
          </w:p>
        </w:tc>
      </w:tr>
      <w:tr w:rsidR="005D3A16" w:rsidRPr="00576AF8" w14:paraId="041752B1" w14:textId="77777777" w:rsidTr="00314996">
        <w:tblPrEx>
          <w:tblCellMar>
            <w:left w:w="115" w:type="dxa"/>
            <w:right w:w="115" w:type="dxa"/>
          </w:tblCellMar>
        </w:tblPrEx>
        <w:trPr>
          <w:cantSplit/>
        </w:trPr>
        <w:tc>
          <w:tcPr>
            <w:tcW w:w="2554" w:type="dxa"/>
          </w:tcPr>
          <w:p w14:paraId="2ED1A850" w14:textId="77777777" w:rsidR="005D3A16" w:rsidRPr="00576AF8" w:rsidRDefault="00455886" w:rsidP="00314996">
            <w:pPr>
              <w:pStyle w:val="TOC2-2"/>
            </w:pPr>
            <w:bookmarkStart w:id="204" w:name="_Toc434304523"/>
            <w:bookmarkStart w:id="205" w:name="_Toc454907797"/>
            <w:bookmarkStart w:id="206" w:name="_Toc476308797"/>
            <w:bookmarkStart w:id="207" w:name="_Toc479333347"/>
            <w:bookmarkStart w:id="208" w:name="_Toc25486607"/>
            <w:r w:rsidRPr="00576AF8">
              <w:t>28.</w:t>
            </w:r>
            <w:r w:rsidRPr="00576AF8">
              <w:tab/>
              <w:t>Aclaración de las</w:t>
            </w:r>
            <w:r w:rsidR="00DE5287" w:rsidRPr="00576AF8">
              <w:t> </w:t>
            </w:r>
            <w:r w:rsidRPr="00576AF8">
              <w:t>Ofertas</w:t>
            </w:r>
            <w:bookmarkEnd w:id="204"/>
            <w:bookmarkEnd w:id="205"/>
            <w:bookmarkEnd w:id="206"/>
            <w:bookmarkEnd w:id="207"/>
            <w:bookmarkEnd w:id="208"/>
          </w:p>
        </w:tc>
        <w:tc>
          <w:tcPr>
            <w:tcW w:w="6845" w:type="dxa"/>
            <w:gridSpan w:val="2"/>
          </w:tcPr>
          <w:p w14:paraId="3C32CE0B" w14:textId="77777777" w:rsidR="001B74CA" w:rsidRPr="00576AF8" w:rsidRDefault="005E2C8B">
            <w:pPr>
              <w:spacing w:after="200"/>
              <w:ind w:left="592" w:hanging="592"/>
              <w:rPr>
                <w:spacing w:val="-2"/>
                <w:szCs w:val="24"/>
              </w:rPr>
            </w:pPr>
            <w:r w:rsidRPr="00576AF8">
              <w:rPr>
                <w:spacing w:val="-2"/>
              </w:rPr>
              <w:t>28.1</w:t>
            </w:r>
            <w:r w:rsidRPr="00576AF8">
              <w:rPr>
                <w:spacing w:val="-2"/>
              </w:rPr>
              <w:tab/>
              <w:t>Con el fin de facilitar el examen, la evaluación y la comparación de las Ofertas y la calificación de los Licitantes, el Comprador, a su criterio, podrá solicitar a cualquier Licitante aclaraciones sobre su Oferta.</w:t>
            </w:r>
            <w:r w:rsidR="00C15E45" w:rsidRPr="00576AF8">
              <w:rPr>
                <w:spacing w:val="-2"/>
              </w:rPr>
              <w:t xml:space="preserve"> </w:t>
            </w:r>
            <w:r w:rsidRPr="00576AF8">
              <w:rPr>
                <w:spacing w:val="-2"/>
              </w:rPr>
              <w:t>No se considerarán aclaraciones presentadas por un Licitante cuando estas no respondan a una solicitud del Comprador.</w:t>
            </w:r>
            <w:r w:rsidR="00C15E45" w:rsidRPr="00576AF8">
              <w:rPr>
                <w:spacing w:val="-2"/>
              </w:rPr>
              <w:t xml:space="preserve"> </w:t>
            </w:r>
            <w:r w:rsidRPr="00576AF8">
              <w:rPr>
                <w:spacing w:val="-2"/>
              </w:rPr>
              <w:t>Tanto la solicitud de aclaración del Comprador como la respuesta correspondiente deberán hacerse por escrito.</w:t>
            </w:r>
            <w:r w:rsidR="00C15E45" w:rsidRPr="00576AF8">
              <w:rPr>
                <w:spacing w:val="-2"/>
              </w:rPr>
              <w:t xml:space="preserve"> </w:t>
            </w:r>
            <w:r w:rsidRPr="00576AF8">
              <w:rPr>
                <w:spacing w:val="-2"/>
              </w:rPr>
              <w:t>No se solicitarán, ofrecerán ni permitirán cambios en la esencia de la Oferta.</w:t>
            </w:r>
          </w:p>
        </w:tc>
      </w:tr>
      <w:tr w:rsidR="005E2C8B" w:rsidRPr="00576AF8" w14:paraId="628DF043" w14:textId="77777777" w:rsidTr="00314996">
        <w:tblPrEx>
          <w:tblCellMar>
            <w:left w:w="115" w:type="dxa"/>
            <w:right w:w="115" w:type="dxa"/>
          </w:tblCellMar>
        </w:tblPrEx>
        <w:trPr>
          <w:cantSplit/>
        </w:trPr>
        <w:tc>
          <w:tcPr>
            <w:tcW w:w="2554" w:type="dxa"/>
          </w:tcPr>
          <w:p w14:paraId="0DCC09D9" w14:textId="77777777" w:rsidR="005E2C8B" w:rsidRPr="00576AF8" w:rsidRDefault="005E2C8B" w:rsidP="00CC7032">
            <w:pPr>
              <w:spacing w:after="200"/>
              <w:rPr>
                <w:szCs w:val="24"/>
              </w:rPr>
            </w:pPr>
          </w:p>
        </w:tc>
        <w:tc>
          <w:tcPr>
            <w:tcW w:w="6845" w:type="dxa"/>
            <w:gridSpan w:val="2"/>
          </w:tcPr>
          <w:p w14:paraId="67A2907D" w14:textId="77777777" w:rsidR="005E2C8B" w:rsidRPr="00576AF8" w:rsidRDefault="005E2C8B">
            <w:pPr>
              <w:spacing w:after="200"/>
              <w:ind w:left="592" w:hanging="592"/>
              <w:rPr>
                <w:szCs w:val="24"/>
              </w:rPr>
            </w:pPr>
            <w:r w:rsidRPr="00576AF8">
              <w:t>28.2</w:t>
            </w:r>
            <w:r w:rsidRPr="00576AF8">
              <w:tab/>
            </w:r>
            <w:r w:rsidR="00E40376" w:rsidRPr="00576AF8">
              <w:t xml:space="preserve">El plazo otorgado al Licitante para brindar las aclaraciones solicitadas de conformidad con IAL 28.1 debe ser razonable. </w:t>
            </w:r>
            <w:r w:rsidRPr="00576AF8">
              <w:t xml:space="preserve">Si un Licitante no proporciona aclaraciones de su Oferta en la fecha y hora </w:t>
            </w:r>
            <w:r w:rsidR="00A071B4" w:rsidRPr="00576AF8">
              <w:t xml:space="preserve">establecidas </w:t>
            </w:r>
            <w:r w:rsidRPr="00576AF8">
              <w:t>en la solicitud de aclaración del Comprador, su Oferta podrá ser rechazada.</w:t>
            </w:r>
          </w:p>
        </w:tc>
      </w:tr>
      <w:tr w:rsidR="00DE5287" w:rsidRPr="00576AF8" w14:paraId="769EC3A7" w14:textId="77777777" w:rsidTr="00314996">
        <w:tblPrEx>
          <w:tblCellMar>
            <w:left w:w="115" w:type="dxa"/>
            <w:right w:w="115" w:type="dxa"/>
          </w:tblCellMar>
        </w:tblPrEx>
        <w:trPr>
          <w:cantSplit/>
          <w:trHeight w:val="747"/>
        </w:trPr>
        <w:tc>
          <w:tcPr>
            <w:tcW w:w="2554" w:type="dxa"/>
            <w:vMerge w:val="restart"/>
          </w:tcPr>
          <w:p w14:paraId="7A4726E8" w14:textId="77777777" w:rsidR="00DE5287" w:rsidRPr="00576AF8" w:rsidRDefault="00DE5287" w:rsidP="00314996">
            <w:pPr>
              <w:pStyle w:val="TOC2-2"/>
            </w:pPr>
            <w:bookmarkStart w:id="209" w:name="_Toc25486608"/>
            <w:r w:rsidRPr="00576AF8">
              <w:t>29.</w:t>
            </w:r>
            <w:r w:rsidRPr="00576AF8">
              <w:tab/>
              <w:t>Desviaciones, Reservas y Omisiones</w:t>
            </w:r>
            <w:bookmarkEnd w:id="209"/>
          </w:p>
        </w:tc>
        <w:tc>
          <w:tcPr>
            <w:tcW w:w="6845" w:type="dxa"/>
            <w:gridSpan w:val="2"/>
          </w:tcPr>
          <w:p w14:paraId="16AC9A0E" w14:textId="77777777" w:rsidR="00DE5287" w:rsidRPr="00576AF8" w:rsidRDefault="00DE5287">
            <w:pPr>
              <w:pStyle w:val="Prrafodelista"/>
              <w:numPr>
                <w:ilvl w:val="0"/>
                <w:numId w:val="49"/>
              </w:numPr>
              <w:spacing w:after="200"/>
              <w:ind w:left="621" w:hanging="621"/>
            </w:pPr>
            <w:r w:rsidRPr="00576AF8">
              <w:t>Durante la evaluación de las Ofertas, se aplicarán las siguientes definiciones:</w:t>
            </w:r>
          </w:p>
        </w:tc>
      </w:tr>
      <w:tr w:rsidR="00DE5287" w:rsidRPr="00576AF8" w14:paraId="5D2281F1" w14:textId="77777777" w:rsidTr="00314996">
        <w:tblPrEx>
          <w:tblCellMar>
            <w:left w:w="115" w:type="dxa"/>
            <w:right w:w="115" w:type="dxa"/>
          </w:tblCellMar>
        </w:tblPrEx>
        <w:trPr>
          <w:cantSplit/>
        </w:trPr>
        <w:tc>
          <w:tcPr>
            <w:tcW w:w="2554" w:type="dxa"/>
            <w:vMerge/>
          </w:tcPr>
          <w:p w14:paraId="43C4E331" w14:textId="77777777" w:rsidR="00DE5287" w:rsidRPr="00576AF8" w:rsidRDefault="00DE5287" w:rsidP="00CC7032">
            <w:pPr>
              <w:spacing w:after="200"/>
              <w:rPr>
                <w:szCs w:val="24"/>
              </w:rPr>
            </w:pPr>
          </w:p>
        </w:tc>
        <w:tc>
          <w:tcPr>
            <w:tcW w:w="6845" w:type="dxa"/>
            <w:gridSpan w:val="2"/>
          </w:tcPr>
          <w:p w14:paraId="734C9CA6" w14:textId="77777777" w:rsidR="00DE5287" w:rsidRPr="00576AF8" w:rsidRDefault="00DE5287">
            <w:pPr>
              <w:pStyle w:val="Prrafodelista"/>
              <w:numPr>
                <w:ilvl w:val="0"/>
                <w:numId w:val="50"/>
              </w:numPr>
              <w:spacing w:after="200"/>
              <w:ind w:left="1188" w:hanging="604"/>
              <w:rPr>
                <w:spacing w:val="-4"/>
              </w:rPr>
            </w:pPr>
            <w:r w:rsidRPr="00576AF8">
              <w:rPr>
                <w:spacing w:val="-4"/>
              </w:rPr>
              <w:t>Por “</w:t>
            </w:r>
            <w:r w:rsidRPr="00576AF8">
              <w:rPr>
                <w:i/>
                <w:spacing w:val="-4"/>
              </w:rPr>
              <w:t>desviación</w:t>
            </w:r>
            <w:r w:rsidRPr="00576AF8">
              <w:rPr>
                <w:spacing w:val="-4"/>
              </w:rPr>
              <w:t xml:space="preserve">” se entiende un apartamiento respecto de los requisitos especificados en el </w:t>
            </w:r>
            <w:r w:rsidR="00807C34" w:rsidRPr="00576AF8">
              <w:rPr>
                <w:spacing w:val="-4"/>
              </w:rPr>
              <w:t>documento de licitación</w:t>
            </w:r>
            <w:r w:rsidRPr="00576AF8">
              <w:rPr>
                <w:spacing w:val="-4"/>
              </w:rPr>
              <w:t xml:space="preserve">. </w:t>
            </w:r>
          </w:p>
        </w:tc>
      </w:tr>
      <w:tr w:rsidR="008D228A" w:rsidRPr="00576AF8" w14:paraId="184A3155" w14:textId="77777777" w:rsidTr="00314996">
        <w:tblPrEx>
          <w:tblCellMar>
            <w:left w:w="115" w:type="dxa"/>
            <w:right w:w="115" w:type="dxa"/>
          </w:tblCellMar>
        </w:tblPrEx>
        <w:trPr>
          <w:cantSplit/>
        </w:trPr>
        <w:tc>
          <w:tcPr>
            <w:tcW w:w="2554" w:type="dxa"/>
          </w:tcPr>
          <w:p w14:paraId="0FDFDB49" w14:textId="77777777" w:rsidR="008D228A" w:rsidRPr="00576AF8" w:rsidRDefault="008D228A" w:rsidP="00CC7032">
            <w:pPr>
              <w:spacing w:after="200"/>
              <w:rPr>
                <w:szCs w:val="24"/>
              </w:rPr>
            </w:pPr>
          </w:p>
        </w:tc>
        <w:tc>
          <w:tcPr>
            <w:tcW w:w="6845" w:type="dxa"/>
            <w:gridSpan w:val="2"/>
          </w:tcPr>
          <w:p w14:paraId="19EC461B" w14:textId="77777777" w:rsidR="008D228A" w:rsidRPr="00576AF8" w:rsidRDefault="008D228A">
            <w:pPr>
              <w:pStyle w:val="Prrafodelista"/>
              <w:numPr>
                <w:ilvl w:val="0"/>
                <w:numId w:val="50"/>
              </w:numPr>
              <w:spacing w:after="200"/>
              <w:ind w:left="1188" w:hanging="604"/>
              <w:rPr>
                <w:spacing w:val="-4"/>
              </w:rPr>
            </w:pPr>
            <w:r w:rsidRPr="00576AF8">
              <w:rPr>
                <w:spacing w:val="-4"/>
              </w:rPr>
              <w:t>Por “</w:t>
            </w:r>
            <w:r w:rsidRPr="00576AF8">
              <w:rPr>
                <w:i/>
                <w:spacing w:val="-4"/>
              </w:rPr>
              <w:t>reserva</w:t>
            </w:r>
            <w:r w:rsidRPr="00576AF8">
              <w:rPr>
                <w:spacing w:val="-4"/>
              </w:rPr>
              <w:t xml:space="preserve">” se entiende la imposición de condiciones limitativas o la negativa a aceptar plenamente los requisitos que se especifican en el </w:t>
            </w:r>
            <w:r w:rsidR="00807C34" w:rsidRPr="00576AF8">
              <w:rPr>
                <w:spacing w:val="-4"/>
              </w:rPr>
              <w:t>documento de licitación</w:t>
            </w:r>
            <w:r w:rsidRPr="00576AF8">
              <w:rPr>
                <w:spacing w:val="-4"/>
              </w:rPr>
              <w:t xml:space="preserve">. </w:t>
            </w:r>
          </w:p>
        </w:tc>
      </w:tr>
      <w:tr w:rsidR="005D3A16" w:rsidRPr="00576AF8" w14:paraId="3445110D" w14:textId="77777777" w:rsidTr="00314996">
        <w:tblPrEx>
          <w:tblCellMar>
            <w:left w:w="115" w:type="dxa"/>
            <w:right w:w="115" w:type="dxa"/>
          </w:tblCellMar>
        </w:tblPrEx>
        <w:trPr>
          <w:cantSplit/>
        </w:trPr>
        <w:tc>
          <w:tcPr>
            <w:tcW w:w="2554" w:type="dxa"/>
          </w:tcPr>
          <w:p w14:paraId="71535435" w14:textId="77777777" w:rsidR="005D3A16" w:rsidRPr="00576AF8" w:rsidRDefault="005D3A16" w:rsidP="005E641B">
            <w:pPr>
              <w:pStyle w:val="TOC2-2"/>
              <w:suppressAutoHyphens/>
              <w:jc w:val="both"/>
            </w:pPr>
          </w:p>
        </w:tc>
        <w:tc>
          <w:tcPr>
            <w:tcW w:w="6845" w:type="dxa"/>
            <w:gridSpan w:val="2"/>
          </w:tcPr>
          <w:p w14:paraId="24D2564A" w14:textId="77777777" w:rsidR="00A44EB2" w:rsidRPr="00576AF8" w:rsidRDefault="003C5E14">
            <w:pPr>
              <w:pStyle w:val="Prrafodelista"/>
              <w:numPr>
                <w:ilvl w:val="0"/>
                <w:numId w:val="50"/>
              </w:numPr>
              <w:spacing w:after="200"/>
              <w:ind w:left="1188" w:hanging="604"/>
              <w:rPr>
                <w:spacing w:val="-2"/>
                <w:szCs w:val="24"/>
              </w:rPr>
            </w:pPr>
            <w:r w:rsidRPr="00576AF8">
              <w:rPr>
                <w:spacing w:val="-2"/>
              </w:rPr>
              <w:t>Por “</w:t>
            </w:r>
            <w:r w:rsidR="00A071B4" w:rsidRPr="00576AF8">
              <w:rPr>
                <w:i/>
                <w:spacing w:val="-2"/>
              </w:rPr>
              <w:t>o</w:t>
            </w:r>
            <w:r w:rsidRPr="00576AF8">
              <w:rPr>
                <w:i/>
                <w:spacing w:val="-2"/>
              </w:rPr>
              <w:t>misión</w:t>
            </w:r>
            <w:r w:rsidRPr="00576AF8">
              <w:rPr>
                <w:spacing w:val="-2"/>
              </w:rPr>
              <w:t xml:space="preserve">” se entiende la falta de presentación de parte o de la totalidad de la información o la documentación exigidas en el </w:t>
            </w:r>
            <w:r w:rsidR="00807C34" w:rsidRPr="00576AF8">
              <w:rPr>
                <w:spacing w:val="-2"/>
              </w:rPr>
              <w:t>documento de licitación</w:t>
            </w:r>
            <w:r w:rsidRPr="00576AF8">
              <w:rPr>
                <w:spacing w:val="-2"/>
              </w:rPr>
              <w:t>.</w:t>
            </w:r>
          </w:p>
        </w:tc>
      </w:tr>
      <w:tr w:rsidR="0092346B" w:rsidRPr="00576AF8" w14:paraId="7C769CEA" w14:textId="77777777" w:rsidTr="00314996">
        <w:tblPrEx>
          <w:tblCellMar>
            <w:left w:w="115" w:type="dxa"/>
            <w:right w:w="115" w:type="dxa"/>
          </w:tblCellMar>
        </w:tblPrEx>
        <w:tc>
          <w:tcPr>
            <w:tcW w:w="2554" w:type="dxa"/>
          </w:tcPr>
          <w:p w14:paraId="58ABF417" w14:textId="77777777" w:rsidR="0092346B" w:rsidRPr="00576AF8" w:rsidRDefault="001B74CA">
            <w:pPr>
              <w:pStyle w:val="TOC2-2"/>
              <w:suppressAutoHyphens/>
              <w:jc w:val="both"/>
            </w:pPr>
            <w:bookmarkStart w:id="210" w:name="_Toc23236777"/>
            <w:bookmarkStart w:id="211" w:name="_Toc125783021"/>
            <w:bookmarkStart w:id="212" w:name="_Toc438438854"/>
            <w:bookmarkStart w:id="213" w:name="_Toc438532636"/>
            <w:bookmarkStart w:id="214" w:name="_Toc438733998"/>
            <w:bookmarkStart w:id="215" w:name="_Toc438907035"/>
            <w:bookmarkStart w:id="216" w:name="_Toc438907234"/>
            <w:bookmarkStart w:id="217" w:name="_Toc454907800"/>
            <w:bookmarkStart w:id="218" w:name="_Toc476308800"/>
            <w:bookmarkStart w:id="219" w:name="_Toc479333350"/>
            <w:bookmarkStart w:id="220" w:name="_Toc25486609"/>
            <w:r w:rsidRPr="00576AF8">
              <w:t>3</w:t>
            </w:r>
            <w:r w:rsidR="00314996" w:rsidRPr="00576AF8">
              <w:t>0</w:t>
            </w:r>
            <w:r w:rsidRPr="00576AF8">
              <w:t>.</w:t>
            </w:r>
            <w:r w:rsidR="00DE5287" w:rsidRPr="00576AF8">
              <w:tab/>
            </w:r>
            <w:r w:rsidRPr="00576AF8">
              <w:t xml:space="preserve">Discrepancias </w:t>
            </w:r>
            <w:r w:rsidR="00A01F49" w:rsidRPr="00576AF8">
              <w:t>No</w:t>
            </w:r>
            <w:bookmarkEnd w:id="210"/>
            <w:bookmarkEnd w:id="211"/>
            <w:bookmarkEnd w:id="212"/>
            <w:bookmarkEnd w:id="213"/>
            <w:bookmarkEnd w:id="214"/>
            <w:bookmarkEnd w:id="215"/>
            <w:bookmarkEnd w:id="216"/>
            <w:bookmarkEnd w:id="217"/>
            <w:bookmarkEnd w:id="218"/>
            <w:bookmarkEnd w:id="219"/>
            <w:r w:rsidR="00DE5287" w:rsidRPr="00576AF8">
              <w:t> </w:t>
            </w:r>
            <w:r w:rsidR="005E641B" w:rsidRPr="00576AF8">
              <w:t>Significativas</w:t>
            </w:r>
            <w:bookmarkEnd w:id="220"/>
          </w:p>
        </w:tc>
        <w:tc>
          <w:tcPr>
            <w:tcW w:w="6845" w:type="dxa"/>
            <w:gridSpan w:val="2"/>
          </w:tcPr>
          <w:p w14:paraId="57C0046D" w14:textId="77777777" w:rsidR="0092346B" w:rsidRPr="00576AF8" w:rsidRDefault="003A65FA" w:rsidP="00F95C05">
            <w:pPr>
              <w:spacing w:after="200"/>
              <w:ind w:left="625" w:hanging="625"/>
              <w:rPr>
                <w:szCs w:val="24"/>
              </w:rPr>
            </w:pPr>
            <w:r w:rsidRPr="00576AF8">
              <w:t>3</w:t>
            </w:r>
            <w:r w:rsidR="00314996" w:rsidRPr="00576AF8">
              <w:t>0</w:t>
            </w:r>
            <w:r w:rsidRPr="00576AF8">
              <w:t>.1</w:t>
            </w:r>
            <w:r w:rsidRPr="00576AF8">
              <w:tab/>
              <w:t>Cuando la Oferta se ajuste sustancialmente a</w:t>
            </w:r>
            <w:r w:rsidR="00F95C05" w:rsidRPr="00576AF8">
              <w:t xml:space="preserve"> </w:t>
            </w:r>
            <w:r w:rsidRPr="00576AF8">
              <w:t>l</w:t>
            </w:r>
            <w:r w:rsidR="00F95C05" w:rsidRPr="00576AF8">
              <w:t>os requisitos</w:t>
            </w:r>
            <w:r w:rsidRPr="00576AF8">
              <w:t>, el Comprador podrá dispensar cualquier discrepancia en la Oferta que no constituya una desviación, reserva u omisión significativa.</w:t>
            </w:r>
          </w:p>
        </w:tc>
      </w:tr>
      <w:tr w:rsidR="0092346B" w:rsidRPr="00576AF8" w14:paraId="4A918B18" w14:textId="77777777" w:rsidTr="00314996">
        <w:tblPrEx>
          <w:tblCellMar>
            <w:left w:w="115" w:type="dxa"/>
            <w:right w:w="115" w:type="dxa"/>
          </w:tblCellMar>
        </w:tblPrEx>
        <w:tc>
          <w:tcPr>
            <w:tcW w:w="2554" w:type="dxa"/>
          </w:tcPr>
          <w:p w14:paraId="6D6EBC9C" w14:textId="77777777" w:rsidR="0092346B" w:rsidRPr="00576AF8" w:rsidRDefault="0092346B" w:rsidP="00CC7032">
            <w:pPr>
              <w:spacing w:after="200"/>
              <w:rPr>
                <w:szCs w:val="24"/>
              </w:rPr>
            </w:pPr>
          </w:p>
        </w:tc>
        <w:tc>
          <w:tcPr>
            <w:tcW w:w="6845" w:type="dxa"/>
            <w:gridSpan w:val="2"/>
          </w:tcPr>
          <w:p w14:paraId="4C469366" w14:textId="77777777" w:rsidR="0092346B" w:rsidRPr="00576AF8" w:rsidRDefault="003A65FA" w:rsidP="00F95C05">
            <w:pPr>
              <w:spacing w:after="200"/>
              <w:ind w:left="625" w:hanging="625"/>
              <w:rPr>
                <w:spacing w:val="-2"/>
                <w:szCs w:val="24"/>
              </w:rPr>
            </w:pPr>
            <w:r w:rsidRPr="00576AF8">
              <w:rPr>
                <w:spacing w:val="-2"/>
              </w:rPr>
              <w:t>3</w:t>
            </w:r>
            <w:r w:rsidR="00314996" w:rsidRPr="00576AF8">
              <w:rPr>
                <w:spacing w:val="-2"/>
              </w:rPr>
              <w:t>0</w:t>
            </w:r>
            <w:r w:rsidRPr="00576AF8">
              <w:rPr>
                <w:spacing w:val="-2"/>
              </w:rPr>
              <w:t>.2</w:t>
            </w:r>
            <w:r w:rsidRPr="00576AF8">
              <w:rPr>
                <w:spacing w:val="-2"/>
              </w:rPr>
              <w:tab/>
              <w:t>Siempre y cuando la Oferta se ajuste sustancialmente a</w:t>
            </w:r>
            <w:r w:rsidR="00F95C05" w:rsidRPr="00576AF8">
              <w:rPr>
                <w:spacing w:val="-2"/>
              </w:rPr>
              <w:t xml:space="preserve"> </w:t>
            </w:r>
            <w:r w:rsidRPr="00576AF8">
              <w:rPr>
                <w:spacing w:val="-2"/>
              </w:rPr>
              <w:t>l</w:t>
            </w:r>
            <w:r w:rsidR="00F95C05" w:rsidRPr="00576AF8">
              <w:rPr>
                <w:spacing w:val="-2"/>
              </w:rPr>
              <w:t>os requisitos</w:t>
            </w:r>
            <w:r w:rsidRPr="00576AF8">
              <w:rPr>
                <w:spacing w:val="-2"/>
              </w:rPr>
              <w:t>, el Comprador podrá solicitar al Licitante que presente, dentro de un plazo razonable, la información o documentación necesaria para rectificar discrepancias no significativas identificadas en la Oferta en relación con los requisitos de documentación.</w:t>
            </w:r>
            <w:r w:rsidR="00C15E45" w:rsidRPr="00576AF8">
              <w:rPr>
                <w:spacing w:val="-2"/>
              </w:rPr>
              <w:t xml:space="preserve"> </w:t>
            </w:r>
            <w:r w:rsidRPr="00576AF8">
              <w:rPr>
                <w:spacing w:val="-2"/>
              </w:rPr>
              <w:t xml:space="preserve">La solicitud de información o documentación relativa a tales discrepancias no podrá vincularse en modo alguno con el </w:t>
            </w:r>
            <w:r w:rsidR="00D75692" w:rsidRPr="00576AF8">
              <w:rPr>
                <w:spacing w:val="-2"/>
              </w:rPr>
              <w:t>p</w:t>
            </w:r>
            <w:r w:rsidRPr="00576AF8">
              <w:rPr>
                <w:spacing w:val="-2"/>
              </w:rPr>
              <w:t>recio de la Oferta.</w:t>
            </w:r>
            <w:r w:rsidR="00C15E45" w:rsidRPr="00576AF8">
              <w:rPr>
                <w:spacing w:val="-2"/>
              </w:rPr>
              <w:t xml:space="preserve"> </w:t>
            </w:r>
            <w:r w:rsidRPr="00576AF8">
              <w:rPr>
                <w:spacing w:val="-2"/>
              </w:rPr>
              <w:t>Si el Licitante no cumple con la solicitud, su Oferta podrá ser rechazada.</w:t>
            </w:r>
          </w:p>
        </w:tc>
      </w:tr>
      <w:tr w:rsidR="0092346B" w:rsidRPr="00576AF8" w14:paraId="1743D852" w14:textId="77777777" w:rsidTr="00314996">
        <w:tblPrEx>
          <w:tblCellMar>
            <w:left w:w="115" w:type="dxa"/>
            <w:right w:w="115" w:type="dxa"/>
          </w:tblCellMar>
        </w:tblPrEx>
        <w:tc>
          <w:tcPr>
            <w:tcW w:w="2554" w:type="dxa"/>
          </w:tcPr>
          <w:p w14:paraId="4C91E5CB" w14:textId="77777777" w:rsidR="0092346B" w:rsidRPr="00576AF8" w:rsidRDefault="0092346B" w:rsidP="00CC7032">
            <w:pPr>
              <w:spacing w:after="200"/>
              <w:rPr>
                <w:szCs w:val="24"/>
              </w:rPr>
            </w:pPr>
          </w:p>
        </w:tc>
        <w:tc>
          <w:tcPr>
            <w:tcW w:w="6845" w:type="dxa"/>
            <w:gridSpan w:val="2"/>
          </w:tcPr>
          <w:p w14:paraId="142980EE" w14:textId="77777777" w:rsidR="0092346B" w:rsidRPr="00576AF8" w:rsidRDefault="0092346B" w:rsidP="00F95C05">
            <w:pPr>
              <w:spacing w:after="200"/>
              <w:ind w:left="625" w:hanging="625"/>
              <w:rPr>
                <w:szCs w:val="24"/>
              </w:rPr>
            </w:pPr>
            <w:r w:rsidRPr="00576AF8">
              <w:t>3</w:t>
            </w:r>
            <w:r w:rsidR="00314996" w:rsidRPr="00576AF8">
              <w:t>0</w:t>
            </w:r>
            <w:r w:rsidRPr="00576AF8">
              <w:t xml:space="preserve">.3 </w:t>
            </w:r>
            <w:r w:rsidRPr="00576AF8">
              <w:tab/>
              <w:t>Siempre y cuando una Oferta se ajuste sustancialmente a</w:t>
            </w:r>
            <w:r w:rsidR="00F95C05" w:rsidRPr="00576AF8">
              <w:t xml:space="preserve"> </w:t>
            </w:r>
            <w:r w:rsidRPr="00576AF8">
              <w:t>l</w:t>
            </w:r>
            <w:r w:rsidR="00F95C05" w:rsidRPr="00576AF8">
              <w:t>os requisitos</w:t>
            </w:r>
            <w:r w:rsidRPr="00576AF8">
              <w:t xml:space="preserve">, el Comprador corregirá las discrepancias no significativas cuantificables relativas al </w:t>
            </w:r>
            <w:r w:rsidR="00D75692" w:rsidRPr="00576AF8">
              <w:t>p</w:t>
            </w:r>
            <w:r w:rsidRPr="00576AF8">
              <w:t>recio de la Oferta.</w:t>
            </w:r>
            <w:r w:rsidR="00C15E45" w:rsidRPr="00576AF8">
              <w:t xml:space="preserve"> </w:t>
            </w:r>
            <w:r w:rsidRPr="00576AF8">
              <w:t xml:space="preserve">A estos efectos, el </w:t>
            </w:r>
            <w:r w:rsidR="00D75692" w:rsidRPr="00576AF8">
              <w:t>p</w:t>
            </w:r>
            <w:r w:rsidRPr="00576AF8">
              <w:t xml:space="preserve">recio de la Oferta será ajustado, </w:t>
            </w:r>
            <w:r w:rsidR="00E646AE" w:rsidRPr="00576AF8">
              <w:t xml:space="preserve">solo </w:t>
            </w:r>
            <w:r w:rsidRPr="00576AF8">
              <w:t xml:space="preserve">con propósitos comparativos, para reflejar el precio de un artículo o componente faltante o con discrepancia de la forma que se especifica </w:t>
            </w:r>
            <w:r w:rsidRPr="00576AF8">
              <w:rPr>
                <w:b/>
              </w:rPr>
              <w:t>en los DDL</w:t>
            </w:r>
            <w:r w:rsidRPr="00576AF8">
              <w:t>.</w:t>
            </w:r>
          </w:p>
        </w:tc>
      </w:tr>
      <w:tr w:rsidR="00C70741" w:rsidRPr="00576AF8" w14:paraId="2C66F883" w14:textId="77777777" w:rsidTr="00314996">
        <w:tblPrEx>
          <w:tblCellMar>
            <w:left w:w="115" w:type="dxa"/>
            <w:right w:w="115" w:type="dxa"/>
          </w:tblCellMar>
        </w:tblPrEx>
        <w:tc>
          <w:tcPr>
            <w:tcW w:w="9399" w:type="dxa"/>
            <w:gridSpan w:val="3"/>
          </w:tcPr>
          <w:p w14:paraId="20CE7B90" w14:textId="77777777" w:rsidR="00C70741" w:rsidRPr="00576AF8" w:rsidRDefault="00726C4B" w:rsidP="00314996">
            <w:pPr>
              <w:pStyle w:val="Toc2-1"/>
            </w:pPr>
            <w:bookmarkStart w:id="221" w:name="_Toc485900024"/>
            <w:bookmarkStart w:id="222" w:name="_Toc25486610"/>
            <w:r w:rsidRPr="00576AF8">
              <w:t xml:space="preserve">G. </w:t>
            </w:r>
            <w:r w:rsidR="00C70741" w:rsidRPr="00576AF8">
              <w:t>Evaluación de las Partes Técnicas de las Ofertas</w:t>
            </w:r>
            <w:bookmarkEnd w:id="221"/>
            <w:bookmarkEnd w:id="222"/>
          </w:p>
        </w:tc>
      </w:tr>
      <w:tr w:rsidR="00C70741" w:rsidRPr="00576AF8" w14:paraId="51571235" w14:textId="77777777" w:rsidTr="00314996">
        <w:tblPrEx>
          <w:tblCellMar>
            <w:left w:w="115" w:type="dxa"/>
            <w:right w:w="115" w:type="dxa"/>
          </w:tblCellMar>
        </w:tblPrEx>
        <w:trPr>
          <w:gridAfter w:val="1"/>
          <w:wAfter w:w="14" w:type="dxa"/>
        </w:trPr>
        <w:tc>
          <w:tcPr>
            <w:tcW w:w="2554" w:type="dxa"/>
          </w:tcPr>
          <w:p w14:paraId="05589216" w14:textId="77777777" w:rsidR="00C70741" w:rsidRPr="00576AF8" w:rsidRDefault="00840E5B" w:rsidP="00314996">
            <w:pPr>
              <w:pStyle w:val="TOC2-2"/>
            </w:pPr>
            <w:bookmarkStart w:id="223" w:name="_Toc454982027"/>
            <w:bookmarkStart w:id="224" w:name="_Toc455487623"/>
            <w:bookmarkStart w:id="225" w:name="_Toc485900025"/>
            <w:bookmarkStart w:id="226" w:name="_Toc25486611"/>
            <w:r w:rsidRPr="00576AF8">
              <w:t>3</w:t>
            </w:r>
            <w:r w:rsidR="00314996" w:rsidRPr="00576AF8">
              <w:t>1</w:t>
            </w:r>
            <w:r w:rsidRPr="00576AF8">
              <w:t xml:space="preserve">. </w:t>
            </w:r>
            <w:r w:rsidR="00C70741" w:rsidRPr="00576AF8">
              <w:t xml:space="preserve">Evaluación </w:t>
            </w:r>
            <w:r w:rsidR="00C70741" w:rsidRPr="00576AF8">
              <w:br/>
              <w:t>de las Partes Técnicas</w:t>
            </w:r>
            <w:bookmarkEnd w:id="223"/>
            <w:bookmarkEnd w:id="224"/>
            <w:bookmarkEnd w:id="225"/>
            <w:bookmarkEnd w:id="226"/>
          </w:p>
        </w:tc>
        <w:tc>
          <w:tcPr>
            <w:tcW w:w="6831" w:type="dxa"/>
          </w:tcPr>
          <w:p w14:paraId="31E8F6F6" w14:textId="77777777" w:rsidR="00C70741" w:rsidRPr="00576AF8" w:rsidRDefault="00E4025D">
            <w:pPr>
              <w:pStyle w:val="Prrafodelista"/>
              <w:numPr>
                <w:ilvl w:val="0"/>
                <w:numId w:val="62"/>
              </w:numPr>
              <w:ind w:left="595" w:hanging="567"/>
            </w:pPr>
            <w:r w:rsidRPr="00576AF8">
              <w:t xml:space="preserve">El Comprador utilizará los criterios y las metodologías enumerados en estas IAL y en la Sección III, “Criterios de Evaluación y Calificación”. No se permitirá el uso de ningún otro criterio o metodología. Mediante la aplicación de los criterios y metodologías establecidos, el Comprador determinará cuál es la Oferta Más </w:t>
            </w:r>
            <w:r w:rsidR="0077313B" w:rsidRPr="00576AF8">
              <w:t>Ventajosa</w:t>
            </w:r>
            <w:r w:rsidRPr="00576AF8">
              <w:t>.</w:t>
            </w:r>
          </w:p>
        </w:tc>
      </w:tr>
      <w:tr w:rsidR="00E4025D" w:rsidRPr="00576AF8" w14:paraId="50EE53CE" w14:textId="77777777" w:rsidTr="00314996">
        <w:tblPrEx>
          <w:tblCellMar>
            <w:left w:w="115" w:type="dxa"/>
            <w:right w:w="115" w:type="dxa"/>
          </w:tblCellMar>
        </w:tblPrEx>
        <w:trPr>
          <w:gridAfter w:val="1"/>
          <w:wAfter w:w="14" w:type="dxa"/>
        </w:trPr>
        <w:tc>
          <w:tcPr>
            <w:tcW w:w="2554" w:type="dxa"/>
          </w:tcPr>
          <w:p w14:paraId="1462691A" w14:textId="77777777" w:rsidR="00E4025D" w:rsidRPr="00576AF8" w:rsidRDefault="00E4025D" w:rsidP="00E4025D">
            <w:pPr>
              <w:pStyle w:val="TOC2-2"/>
            </w:pPr>
          </w:p>
        </w:tc>
        <w:tc>
          <w:tcPr>
            <w:tcW w:w="6831" w:type="dxa"/>
          </w:tcPr>
          <w:p w14:paraId="1E66C8DD" w14:textId="77777777" w:rsidR="00E4025D" w:rsidRPr="00576AF8"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Cs w:val="24"/>
              </w:rPr>
            </w:pPr>
            <w:r w:rsidRPr="00576AF8">
              <w:t>Examen Preliminar</w:t>
            </w:r>
          </w:p>
          <w:p w14:paraId="68348586" w14:textId="77777777" w:rsidR="00E4025D" w:rsidRPr="00576AF8" w:rsidRDefault="00E4025D">
            <w:pPr>
              <w:pStyle w:val="Prrafodelista"/>
              <w:numPr>
                <w:ilvl w:val="0"/>
                <w:numId w:val="62"/>
              </w:numPr>
              <w:ind w:left="595" w:hanging="567"/>
              <w:rPr>
                <w:szCs w:val="24"/>
              </w:rPr>
            </w:pPr>
            <w:r w:rsidRPr="00576AF8">
              <w:t>El Comprador examinará las Ofertas para determinar si han sido debidamente firmadas, si se han presentado las garantías exigidas, si contienen errores de cálculo</w:t>
            </w:r>
            <w:r w:rsidR="005C5870" w:rsidRPr="00576AF8">
              <w:t xml:space="preserve"> técnico</w:t>
            </w:r>
            <w:r w:rsidRPr="00576AF8">
              <w:t xml:space="preserve"> y si están sustancialmente completas (por ejemplo, que no faltan partes esenciales de la Oferta o no se proporcione información en porciones excesivamente grandes de los requisitos técnicos). </w:t>
            </w:r>
            <w:r w:rsidRPr="00576AF8">
              <w:lastRenderedPageBreak/>
              <w:t xml:space="preserve">En el caso de que se hubiera realizado un proceso de precalificación para el o los Contratos para los cuales se han publicado este </w:t>
            </w:r>
            <w:r w:rsidR="00807C34" w:rsidRPr="00576AF8">
              <w:t>documento de licitación</w:t>
            </w:r>
            <w:r w:rsidRPr="00576AF8">
              <w:t>, el Comprador se asegurará de que cada Oferta corresponda a un Licitante precalificado y, en el caso de una APCA, de que los miembros y la estructura de la APCA se hayan mantenido sin cambios con respecto a los de la precalificación.</w:t>
            </w:r>
          </w:p>
          <w:p w14:paraId="41F34B35" w14:textId="77777777" w:rsidR="00E4025D" w:rsidRPr="00576AF8"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Cs w:val="24"/>
              </w:rPr>
            </w:pPr>
            <w:r w:rsidRPr="00576AF8">
              <w:t>Evaluación Técnica</w:t>
            </w:r>
          </w:p>
          <w:p w14:paraId="2D990ED1" w14:textId="77777777" w:rsidR="00E4025D" w:rsidRPr="00576AF8" w:rsidRDefault="00E4025D">
            <w:pPr>
              <w:pStyle w:val="Prrafodelista"/>
              <w:numPr>
                <w:ilvl w:val="0"/>
                <w:numId w:val="62"/>
              </w:numPr>
              <w:ind w:left="595" w:hanging="567"/>
              <w:rPr>
                <w:iCs/>
                <w:szCs w:val="24"/>
              </w:rPr>
            </w:pPr>
            <w:r w:rsidRPr="00576AF8">
              <w:t>El Comprador examinará la información provista por los Licitantes de conformidad con las IAL 11 y 1</w:t>
            </w:r>
            <w:r w:rsidR="00A638E9" w:rsidRPr="00576AF8">
              <w:t>7</w:t>
            </w:r>
            <w:r w:rsidRPr="00576AF8">
              <w:t xml:space="preserve">, y en respuesta a otros requisitos estipulados en el </w:t>
            </w:r>
            <w:r w:rsidR="00807C34" w:rsidRPr="00576AF8">
              <w:t>documento de licitación</w:t>
            </w:r>
            <w:r w:rsidRPr="00576AF8">
              <w:t xml:space="preserve">, teniendo en cuenta los siguientes factores: </w:t>
            </w:r>
          </w:p>
          <w:p w14:paraId="63DA243E" w14:textId="77777777" w:rsidR="00E4025D" w:rsidRPr="00576AF8" w:rsidRDefault="00E4025D">
            <w:pPr>
              <w:pStyle w:val="P3Header1-Clauses"/>
              <w:numPr>
                <w:ilvl w:val="0"/>
                <w:numId w:val="37"/>
              </w:numPr>
              <w:spacing w:after="200"/>
              <w:ind w:left="1210" w:hanging="576"/>
              <w:jc w:val="both"/>
            </w:pPr>
            <w:r w:rsidRPr="00576AF8">
              <w:rPr>
                <w:b w:val="0"/>
              </w:rPr>
              <w:t xml:space="preserve">la integridad general de la Oferta y su grado de cumplimiento de los requisitos técnicos, como también las desviaciones respecto de esos requisitos; </w:t>
            </w:r>
          </w:p>
          <w:p w14:paraId="42AD40D4" w14:textId="77777777" w:rsidR="00E4025D" w:rsidRPr="00576AF8" w:rsidRDefault="00E4025D">
            <w:pPr>
              <w:pStyle w:val="P3Header1-Clauses"/>
              <w:numPr>
                <w:ilvl w:val="0"/>
                <w:numId w:val="37"/>
              </w:numPr>
              <w:spacing w:after="200"/>
              <w:ind w:left="1210" w:hanging="576"/>
              <w:jc w:val="both"/>
            </w:pPr>
            <w:r w:rsidRPr="00576AF8">
              <w:rPr>
                <w:b w:val="0"/>
              </w:rPr>
              <w:t>la adecuación del Sistema Informático ofrecido en relación con las condiciones del sitio; y la adecuación de los servicios de ejecución y de otra índole propuestos, según se describen en el plan preliminar del Proyecto incluido en la Oferta;</w:t>
            </w:r>
          </w:p>
          <w:p w14:paraId="0B9CEAD9" w14:textId="77777777" w:rsidR="00E4025D" w:rsidRPr="00576AF8" w:rsidRDefault="00E4025D">
            <w:pPr>
              <w:pStyle w:val="P3Header1-Clauses"/>
              <w:numPr>
                <w:ilvl w:val="0"/>
                <w:numId w:val="37"/>
              </w:numPr>
              <w:spacing w:after="200"/>
              <w:ind w:left="1210" w:hanging="576"/>
              <w:jc w:val="both"/>
            </w:pPr>
            <w:r w:rsidRPr="00576AF8">
              <w:rPr>
                <w:b w:val="0"/>
              </w:rPr>
              <w:t>la conformidad del Sistema Informático con los criterios especificados de rendimiento;</w:t>
            </w:r>
          </w:p>
          <w:p w14:paraId="1DEA348A" w14:textId="77777777" w:rsidR="00E4025D" w:rsidRPr="00576AF8" w:rsidRDefault="00E4025D">
            <w:pPr>
              <w:pStyle w:val="P3Header1-Clauses"/>
              <w:numPr>
                <w:ilvl w:val="0"/>
                <w:numId w:val="37"/>
              </w:numPr>
              <w:spacing w:after="200"/>
              <w:ind w:left="1210" w:hanging="576"/>
              <w:jc w:val="both"/>
            </w:pPr>
            <w:r w:rsidRPr="00576AF8">
              <w:rPr>
                <w:b w:val="0"/>
              </w:rPr>
              <w:t>el cumplimiento del cronograma exigido por el programa de ejecución y de los cronogramas alternativos ofrecidos por los Licitantes, conforme lo acredite un cronograma de hitos provisto en el plan preliminar del Proyecto incluido en la Oferta;</w:t>
            </w:r>
          </w:p>
          <w:p w14:paraId="3CEE6454" w14:textId="77777777" w:rsidR="00E4025D" w:rsidRPr="00576AF8" w:rsidRDefault="00E4025D">
            <w:pPr>
              <w:pStyle w:val="P3Header1-Clauses"/>
              <w:numPr>
                <w:ilvl w:val="0"/>
                <w:numId w:val="37"/>
              </w:numPr>
              <w:spacing w:after="200"/>
              <w:ind w:left="1210" w:hanging="576"/>
              <w:jc w:val="both"/>
            </w:pPr>
            <w:r w:rsidRPr="00576AF8">
              <w:rPr>
                <w:b w:val="0"/>
              </w:rPr>
              <w:t>el tipo, la cantidad y la disponibilidad a largo plazo de los servicios de mantenimiento y bienes fungibles importantes necesarios para la operación del Sistema Informático;</w:t>
            </w:r>
          </w:p>
          <w:p w14:paraId="208BCE53" w14:textId="77777777" w:rsidR="008C1ECF" w:rsidRPr="00576AF8" w:rsidRDefault="008C1ECF">
            <w:pPr>
              <w:pStyle w:val="P3Header1-Clauses"/>
              <w:numPr>
                <w:ilvl w:val="0"/>
                <w:numId w:val="37"/>
              </w:numPr>
              <w:spacing w:after="200"/>
              <w:ind w:left="1210" w:hanging="576"/>
              <w:jc w:val="both"/>
              <w:rPr>
                <w:b w:val="0"/>
              </w:rPr>
            </w:pPr>
            <w:r w:rsidRPr="00576AF8">
              <w:rPr>
                <w:b w:val="0"/>
              </w:rPr>
              <w:t>las calificaciones y la experiencia del representante técnico propuesto por el Licitante;</w:t>
            </w:r>
          </w:p>
          <w:p w14:paraId="2E76F788" w14:textId="77777777" w:rsidR="00E4025D" w:rsidRPr="00576AF8" w:rsidRDefault="00E4025D">
            <w:pPr>
              <w:pStyle w:val="P3Header1-Clauses"/>
              <w:numPr>
                <w:ilvl w:val="0"/>
                <w:numId w:val="37"/>
              </w:numPr>
              <w:spacing w:after="200"/>
              <w:ind w:left="1210" w:hanging="576"/>
              <w:jc w:val="both"/>
            </w:pPr>
            <w:r w:rsidRPr="00576AF8">
              <w:rPr>
                <w:b w:val="0"/>
              </w:rPr>
              <w:t>otros factores técnicos pertinentes que el Comprador considere necesario o prudente tener en cuenta;</w:t>
            </w:r>
          </w:p>
          <w:p w14:paraId="2502EAC9" w14:textId="77777777" w:rsidR="00E4025D" w:rsidRPr="00576AF8" w:rsidRDefault="00E4025D">
            <w:pPr>
              <w:pStyle w:val="P3Header1-Clauses"/>
              <w:numPr>
                <w:ilvl w:val="0"/>
                <w:numId w:val="37"/>
              </w:numPr>
              <w:spacing w:after="200"/>
              <w:ind w:left="1210" w:hanging="576"/>
              <w:jc w:val="both"/>
            </w:pPr>
            <w:r w:rsidRPr="00576AF8">
              <w:rPr>
                <w:b w:val="0"/>
              </w:rPr>
              <w:t xml:space="preserve">toda desviación propuesta en la Oferta de las disposiciones contractuales y técnicas estipuladas en el </w:t>
            </w:r>
            <w:r w:rsidR="00807C34" w:rsidRPr="00576AF8">
              <w:rPr>
                <w:b w:val="0"/>
              </w:rPr>
              <w:t>documento de licitación</w:t>
            </w:r>
            <w:r w:rsidRPr="00576AF8">
              <w:rPr>
                <w:b w:val="0"/>
              </w:rPr>
              <w:t>.</w:t>
            </w:r>
          </w:p>
          <w:p w14:paraId="7BF5D458" w14:textId="77777777" w:rsidR="001D4F66" w:rsidRPr="00576AF8" w:rsidRDefault="00E4025D">
            <w:pPr>
              <w:pStyle w:val="Prrafodelista"/>
              <w:numPr>
                <w:ilvl w:val="0"/>
                <w:numId w:val="62"/>
              </w:numPr>
              <w:ind w:left="595" w:hanging="567"/>
              <w:contextualSpacing w:val="0"/>
              <w:rPr>
                <w:szCs w:val="24"/>
              </w:rPr>
            </w:pPr>
            <w:r w:rsidRPr="00576AF8">
              <w:lastRenderedPageBreak/>
              <w:t xml:space="preserve">Si así se especifica </w:t>
            </w:r>
            <w:r w:rsidRPr="00576AF8">
              <w:rPr>
                <w:b/>
              </w:rPr>
              <w:t>en los DDL</w:t>
            </w:r>
            <w:r w:rsidRPr="00576AF8">
              <w:t xml:space="preserve">, al evaluar las Ofertas que se ajustan al </w:t>
            </w:r>
            <w:r w:rsidR="00807C34" w:rsidRPr="00576AF8">
              <w:t>documento de licitación</w:t>
            </w:r>
            <w:r w:rsidRPr="00576AF8">
              <w:t>, además del costo, el Comprador tendrá en cuenta los aspectos técnicos. Para cada Oferta que cumpla con los requisitos, se calculará un puntaje de Oferta evaluada (B) utilizando la fórmula especificada en la Sección III, “Criterios de Evaluación y Calificación.</w:t>
            </w:r>
          </w:p>
          <w:p w14:paraId="20E01E12" w14:textId="77777777" w:rsidR="00E4025D" w:rsidRPr="00576AF8" w:rsidRDefault="001D4F66">
            <w:pPr>
              <w:pStyle w:val="Prrafodelista"/>
              <w:numPr>
                <w:ilvl w:val="0"/>
                <w:numId w:val="62"/>
              </w:numPr>
              <w:ind w:left="595" w:hanging="567"/>
              <w:contextualSpacing w:val="0"/>
            </w:pPr>
            <w:r w:rsidRPr="00576AF8" w:rsidDel="001D4F66">
              <w:rPr>
                <w:szCs w:val="24"/>
              </w:rPr>
              <w:t xml:space="preserve"> </w:t>
            </w:r>
            <w:r w:rsidR="00E4025D" w:rsidRPr="00576AF8">
              <w:t>Si se han autorizado soluciones técnicas alternativas de conformidad con la IAL 13, y estas han sido ofrecidas por el Licitante, el Comprador realizará una evaluación similar de las alternativas. Se hará caso omiso de las alternativas que se hayan ofrecido sin estar autorizadas.</w:t>
            </w:r>
          </w:p>
        </w:tc>
      </w:tr>
      <w:tr w:rsidR="00E4025D" w:rsidRPr="00576AF8" w14:paraId="44846CC4" w14:textId="77777777" w:rsidTr="00314996">
        <w:tblPrEx>
          <w:tblCellMar>
            <w:left w:w="115" w:type="dxa"/>
            <w:right w:w="115" w:type="dxa"/>
          </w:tblCellMar>
        </w:tblPrEx>
        <w:trPr>
          <w:gridAfter w:val="1"/>
          <w:wAfter w:w="14" w:type="dxa"/>
        </w:trPr>
        <w:tc>
          <w:tcPr>
            <w:tcW w:w="2554" w:type="dxa"/>
          </w:tcPr>
          <w:p w14:paraId="6211F9AC" w14:textId="77777777" w:rsidR="00E4025D" w:rsidRPr="00576AF8" w:rsidRDefault="00E4025D" w:rsidP="00E4025D">
            <w:pPr>
              <w:pStyle w:val="TOC2-2"/>
            </w:pPr>
            <w:bookmarkStart w:id="227" w:name="_Toc434304525"/>
            <w:bookmarkStart w:id="228" w:name="_Toc454907799"/>
            <w:bookmarkStart w:id="229" w:name="_Toc476308799"/>
            <w:bookmarkStart w:id="230" w:name="_Toc479333349"/>
            <w:bookmarkStart w:id="231" w:name="_Toc25486612"/>
            <w:r w:rsidRPr="00576AF8">
              <w:lastRenderedPageBreak/>
              <w:t>3</w:t>
            </w:r>
            <w:r w:rsidR="00314996" w:rsidRPr="00576AF8">
              <w:t>2</w:t>
            </w:r>
            <w:r w:rsidRPr="00576AF8">
              <w:t>.</w:t>
            </w:r>
            <w:bookmarkStart w:id="232" w:name="_Toc424009130"/>
            <w:bookmarkStart w:id="233" w:name="_Toc23236776"/>
            <w:bookmarkStart w:id="234" w:name="_Toc125783020"/>
            <w:r w:rsidRPr="00576AF8">
              <w:tab/>
              <w:t xml:space="preserve">Determinación del Cumplimiento de </w:t>
            </w:r>
            <w:bookmarkEnd w:id="227"/>
            <w:bookmarkEnd w:id="228"/>
            <w:bookmarkEnd w:id="229"/>
            <w:bookmarkEnd w:id="230"/>
            <w:bookmarkEnd w:id="232"/>
            <w:bookmarkEnd w:id="233"/>
            <w:bookmarkEnd w:id="234"/>
            <w:r w:rsidRPr="00576AF8">
              <w:t>los Requisitos</w:t>
            </w:r>
            <w:bookmarkEnd w:id="231"/>
          </w:p>
        </w:tc>
        <w:tc>
          <w:tcPr>
            <w:tcW w:w="6831" w:type="dxa"/>
          </w:tcPr>
          <w:p w14:paraId="66A434A4" w14:textId="77777777" w:rsidR="00E4025D" w:rsidRPr="00576AF8" w:rsidRDefault="00E4025D">
            <w:pPr>
              <w:pStyle w:val="Prrafodelista"/>
              <w:numPr>
                <w:ilvl w:val="0"/>
                <w:numId w:val="63"/>
              </w:numPr>
              <w:spacing w:after="200"/>
              <w:ind w:left="595" w:hanging="567"/>
            </w:pPr>
            <w:r w:rsidRPr="00576AF8">
              <w:t xml:space="preserve">Para determinar si la Oferta se ajusta al </w:t>
            </w:r>
            <w:r w:rsidR="00807C34" w:rsidRPr="00576AF8">
              <w:t>documento de licitación</w:t>
            </w:r>
            <w:r w:rsidRPr="00576AF8">
              <w:t>, el Comprador se basará en el contenido de la propia Oferta, según se define en la IAL 11.</w:t>
            </w:r>
          </w:p>
        </w:tc>
      </w:tr>
      <w:tr w:rsidR="00E4025D" w:rsidRPr="00576AF8" w14:paraId="2BC46D1E" w14:textId="77777777" w:rsidTr="00314996">
        <w:tblPrEx>
          <w:tblCellMar>
            <w:left w:w="115" w:type="dxa"/>
            <w:right w:w="115" w:type="dxa"/>
          </w:tblCellMar>
        </w:tblPrEx>
        <w:trPr>
          <w:gridAfter w:val="1"/>
          <w:wAfter w:w="14" w:type="dxa"/>
        </w:trPr>
        <w:tc>
          <w:tcPr>
            <w:tcW w:w="2554" w:type="dxa"/>
          </w:tcPr>
          <w:p w14:paraId="274D7857" w14:textId="77777777" w:rsidR="00E4025D" w:rsidRPr="00576AF8" w:rsidRDefault="00E4025D" w:rsidP="00E4025D">
            <w:pPr>
              <w:pStyle w:val="TOC2-2"/>
            </w:pPr>
          </w:p>
        </w:tc>
        <w:tc>
          <w:tcPr>
            <w:tcW w:w="6831" w:type="dxa"/>
          </w:tcPr>
          <w:p w14:paraId="620E72FA" w14:textId="77777777" w:rsidR="00E4025D" w:rsidRPr="00576AF8" w:rsidRDefault="00E4025D">
            <w:pPr>
              <w:pStyle w:val="Prrafodelista"/>
              <w:numPr>
                <w:ilvl w:val="0"/>
                <w:numId w:val="63"/>
              </w:numPr>
              <w:spacing w:after="200"/>
              <w:ind w:left="595" w:hanging="567"/>
              <w:rPr>
                <w:szCs w:val="24"/>
              </w:rPr>
            </w:pPr>
            <w:r w:rsidRPr="00576AF8">
              <w:t xml:space="preserve">Una Oferta que se ajusta sustancialmente al </w:t>
            </w:r>
            <w:r w:rsidR="00807C34" w:rsidRPr="00576AF8">
              <w:t>documento de licitación</w:t>
            </w:r>
            <w:r w:rsidRPr="00576AF8">
              <w:t xml:space="preserve"> es aquella que satisface los requisitos establecidos en dicho documento, sin desviaciones, reservas u omisiones significativas. Una desviación, reserva u omisión significativa es aquella que,</w:t>
            </w:r>
          </w:p>
          <w:p w14:paraId="5F5DC4B3" w14:textId="77777777" w:rsidR="00E4025D" w:rsidRPr="00576AF8" w:rsidRDefault="00E4025D" w:rsidP="00E4025D">
            <w:pPr>
              <w:spacing w:after="200"/>
              <w:ind w:left="1165" w:hanging="573"/>
              <w:rPr>
                <w:szCs w:val="24"/>
              </w:rPr>
            </w:pPr>
            <w:r w:rsidRPr="00576AF8">
              <w:t>(a)</w:t>
            </w:r>
            <w:r w:rsidRPr="00576AF8">
              <w:tab/>
              <w:t>en caso de ser aceptada,</w:t>
            </w:r>
          </w:p>
          <w:p w14:paraId="2B4FE5BD" w14:textId="77777777" w:rsidR="00E4025D" w:rsidRPr="00576AF8" w:rsidRDefault="00E4025D" w:rsidP="00E4025D">
            <w:pPr>
              <w:spacing w:after="200"/>
              <w:ind w:left="1795" w:hanging="540"/>
              <w:rPr>
                <w:szCs w:val="24"/>
              </w:rPr>
            </w:pPr>
            <w:r w:rsidRPr="00576AF8">
              <w:t>(i)</w:t>
            </w:r>
            <w:r w:rsidRPr="00576AF8">
              <w:tab/>
              <w:t>afectaría de modo sustancial el alcance, la calidad o el funcionamiento del Sistema Informático especificado en el Contrato;</w:t>
            </w:r>
          </w:p>
          <w:p w14:paraId="332D4DEA" w14:textId="77777777" w:rsidR="00E4025D" w:rsidRPr="00576AF8" w:rsidRDefault="00E4025D" w:rsidP="00E4025D">
            <w:pPr>
              <w:spacing w:after="200"/>
              <w:ind w:left="1795" w:hanging="540"/>
              <w:rPr>
                <w:szCs w:val="24"/>
              </w:rPr>
            </w:pPr>
            <w:r w:rsidRPr="00576AF8">
              <w:t>(ii)</w:t>
            </w:r>
            <w:r w:rsidRPr="00576AF8">
              <w:tab/>
              <w:t xml:space="preserve">limitaría de modo sustancial, contrario al </w:t>
            </w:r>
            <w:r w:rsidR="00807C34" w:rsidRPr="00576AF8">
              <w:t>documento de licitación</w:t>
            </w:r>
            <w:r w:rsidRPr="00576AF8">
              <w:t>, los derechos del Comprador o las obligaciones del Licitante en virtud del Contrato propuesto;</w:t>
            </w:r>
          </w:p>
          <w:p w14:paraId="6C12E412" w14:textId="77777777" w:rsidR="00E4025D" w:rsidRPr="00576AF8" w:rsidRDefault="00E4025D" w:rsidP="004313F3">
            <w:pPr>
              <w:spacing w:after="200"/>
              <w:ind w:left="1350" w:hanging="630"/>
            </w:pPr>
            <w:r w:rsidRPr="00576AF8">
              <w:t>(b)</w:t>
            </w:r>
            <w:r w:rsidRPr="00576AF8">
              <w:tab/>
              <w:t xml:space="preserve">en caso de ser rectificada, afectaría de manera injusta la posición competitiva de otros Licitantes que presenten Ofertas que se ajusten sustancialmente al </w:t>
            </w:r>
            <w:r w:rsidR="00807C34" w:rsidRPr="00576AF8">
              <w:t>documento de licitación</w:t>
            </w:r>
            <w:r w:rsidRPr="00576AF8">
              <w:t>.</w:t>
            </w:r>
          </w:p>
        </w:tc>
      </w:tr>
      <w:tr w:rsidR="00E4025D" w:rsidRPr="00576AF8" w14:paraId="373591DB" w14:textId="77777777" w:rsidTr="00314996">
        <w:tblPrEx>
          <w:tblCellMar>
            <w:left w:w="115" w:type="dxa"/>
            <w:right w:w="115" w:type="dxa"/>
          </w:tblCellMar>
        </w:tblPrEx>
        <w:trPr>
          <w:gridAfter w:val="1"/>
          <w:wAfter w:w="14" w:type="dxa"/>
        </w:trPr>
        <w:tc>
          <w:tcPr>
            <w:tcW w:w="2554" w:type="dxa"/>
          </w:tcPr>
          <w:p w14:paraId="299AE500" w14:textId="77777777" w:rsidR="00E4025D" w:rsidRPr="00576AF8" w:rsidRDefault="00E4025D" w:rsidP="00E4025D">
            <w:pPr>
              <w:pStyle w:val="TOC2-2"/>
            </w:pPr>
          </w:p>
        </w:tc>
        <w:tc>
          <w:tcPr>
            <w:tcW w:w="6831" w:type="dxa"/>
          </w:tcPr>
          <w:p w14:paraId="36500751" w14:textId="77777777" w:rsidR="00E4025D" w:rsidRPr="00576AF8" w:rsidRDefault="00E4025D">
            <w:pPr>
              <w:pStyle w:val="Prrafodelista"/>
              <w:numPr>
                <w:ilvl w:val="0"/>
                <w:numId w:val="63"/>
              </w:numPr>
              <w:spacing w:after="200"/>
              <w:ind w:left="595" w:hanging="567"/>
            </w:pPr>
            <w:r w:rsidRPr="00576AF8">
              <w:rPr>
                <w:spacing w:val="-4"/>
              </w:rPr>
              <w:t xml:space="preserve">El Comprador examinará los aspectos técnicos de la Oferta para confirmar que se hayan cumplido, sin desviaciones, reservas ni omisiones </w:t>
            </w:r>
            <w:r w:rsidRPr="00576AF8">
              <w:t>significativas</w:t>
            </w:r>
            <w:r w:rsidRPr="00576AF8">
              <w:rPr>
                <w:spacing w:val="-4"/>
              </w:rPr>
              <w:t>, todos los requisitos establecidos en la Sección VI, “Requisitos del Sistema Informático”.</w:t>
            </w:r>
          </w:p>
        </w:tc>
      </w:tr>
      <w:tr w:rsidR="00E4025D" w:rsidRPr="00576AF8" w14:paraId="62E21EE1" w14:textId="77777777" w:rsidTr="00314996">
        <w:tblPrEx>
          <w:tblCellMar>
            <w:left w:w="115" w:type="dxa"/>
            <w:right w:w="115" w:type="dxa"/>
          </w:tblCellMar>
        </w:tblPrEx>
        <w:trPr>
          <w:gridAfter w:val="1"/>
          <w:wAfter w:w="14" w:type="dxa"/>
        </w:trPr>
        <w:tc>
          <w:tcPr>
            <w:tcW w:w="2554" w:type="dxa"/>
          </w:tcPr>
          <w:p w14:paraId="1D2959D3" w14:textId="77777777" w:rsidR="00E4025D" w:rsidRPr="00576AF8" w:rsidRDefault="00E4025D" w:rsidP="00E4025D">
            <w:pPr>
              <w:pStyle w:val="TOC2-2"/>
            </w:pPr>
          </w:p>
        </w:tc>
        <w:tc>
          <w:tcPr>
            <w:tcW w:w="6831" w:type="dxa"/>
          </w:tcPr>
          <w:p w14:paraId="5667B045" w14:textId="77777777" w:rsidR="00E4025D" w:rsidRPr="00576AF8" w:rsidRDefault="00E4025D">
            <w:pPr>
              <w:pStyle w:val="Prrafodelista"/>
              <w:numPr>
                <w:ilvl w:val="0"/>
                <w:numId w:val="63"/>
              </w:numPr>
              <w:spacing w:after="200"/>
              <w:ind w:left="595" w:hanging="567"/>
            </w:pPr>
            <w:r w:rsidRPr="00576AF8">
              <w:t xml:space="preserve">Para que puedan ser consideradas para la adjudicación del Contrato, los Licitantes </w:t>
            </w:r>
            <w:r w:rsidRPr="00576AF8">
              <w:rPr>
                <w:spacing w:val="-4"/>
              </w:rPr>
              <w:t>deben</w:t>
            </w:r>
            <w:r w:rsidRPr="00576AF8">
              <w:t xml:space="preserve"> haber presentado Ofertas que:</w:t>
            </w:r>
          </w:p>
        </w:tc>
      </w:tr>
      <w:tr w:rsidR="00E4025D" w:rsidRPr="00576AF8" w14:paraId="1478AAA9" w14:textId="77777777" w:rsidTr="00314996">
        <w:tblPrEx>
          <w:tblCellMar>
            <w:left w:w="115" w:type="dxa"/>
            <w:right w:w="115" w:type="dxa"/>
          </w:tblCellMar>
        </w:tblPrEx>
        <w:trPr>
          <w:gridAfter w:val="1"/>
          <w:wAfter w:w="14" w:type="dxa"/>
        </w:trPr>
        <w:tc>
          <w:tcPr>
            <w:tcW w:w="2554" w:type="dxa"/>
          </w:tcPr>
          <w:p w14:paraId="17C79973" w14:textId="77777777" w:rsidR="00E4025D" w:rsidRPr="00576AF8" w:rsidRDefault="00E4025D" w:rsidP="00E4025D">
            <w:pPr>
              <w:pStyle w:val="TOC2-2"/>
            </w:pPr>
          </w:p>
        </w:tc>
        <w:tc>
          <w:tcPr>
            <w:tcW w:w="6831" w:type="dxa"/>
          </w:tcPr>
          <w:p w14:paraId="5F567FFB" w14:textId="77777777" w:rsidR="00E4025D" w:rsidRPr="00576AF8" w:rsidRDefault="00E4025D" w:rsidP="001A21B4">
            <w:pPr>
              <w:spacing w:after="200"/>
              <w:ind w:left="1350" w:hanging="630"/>
            </w:pPr>
            <w:r w:rsidRPr="00576AF8">
              <w:rPr>
                <w:spacing w:val="-2"/>
              </w:rPr>
              <w:t xml:space="preserve">(a) </w:t>
            </w:r>
            <w:r w:rsidRPr="00576AF8">
              <w:rPr>
                <w:spacing w:val="-2"/>
              </w:rPr>
              <w:tab/>
              <w:t xml:space="preserve">según la evaluación detallada de la Ofertas basada en las mismas normas de determinación de cumplimiento </w:t>
            </w:r>
            <w:r w:rsidRPr="00576AF8">
              <w:rPr>
                <w:spacing w:val="-2"/>
              </w:rPr>
              <w:lastRenderedPageBreak/>
              <w:t>indicadas en las IAL 29 y 3</w:t>
            </w:r>
            <w:r w:rsidR="00A638E9" w:rsidRPr="00576AF8">
              <w:rPr>
                <w:spacing w:val="-2"/>
              </w:rPr>
              <w:t>2</w:t>
            </w:r>
            <w:r w:rsidRPr="00576AF8">
              <w:rPr>
                <w:spacing w:val="-2"/>
              </w:rPr>
              <w:t xml:space="preserve">.3, se haya confirmado que se ajustan comercial y técnicamente al </w:t>
            </w:r>
            <w:r w:rsidR="00807C34" w:rsidRPr="00576AF8">
              <w:rPr>
                <w:spacing w:val="-2"/>
              </w:rPr>
              <w:t>documento de licitación</w:t>
            </w:r>
            <w:r w:rsidRPr="00576AF8">
              <w:rPr>
                <w:spacing w:val="-2"/>
              </w:rPr>
              <w:t>, y que incluyen los equipos informáticos, el software, los equipos conexos, los productos, los materiales y otros componentes de bienes y servicios del Sistema Informático básicamente en las cantidades totales necesarias para todo el Sistema Informático o, si se permite en la IAL 3</w:t>
            </w:r>
            <w:r w:rsidR="00A638E9" w:rsidRPr="00576AF8">
              <w:rPr>
                <w:spacing w:val="-2"/>
              </w:rPr>
              <w:t>6</w:t>
            </w:r>
            <w:r w:rsidRPr="00576AF8">
              <w:rPr>
                <w:spacing w:val="-2"/>
              </w:rPr>
              <w:t>.</w:t>
            </w:r>
            <w:r w:rsidR="00A638E9" w:rsidRPr="00576AF8">
              <w:rPr>
                <w:spacing w:val="-2"/>
              </w:rPr>
              <w:t>3</w:t>
            </w:r>
            <w:r w:rsidRPr="00576AF8">
              <w:rPr>
                <w:spacing w:val="-2"/>
              </w:rPr>
              <w:t xml:space="preserve"> </w:t>
            </w:r>
            <w:r w:rsidRPr="00576AF8">
              <w:rPr>
                <w:b/>
                <w:bCs/>
                <w:spacing w:val="-2"/>
              </w:rPr>
              <w:t>de los DDL</w:t>
            </w:r>
            <w:r w:rsidRPr="00576AF8">
              <w:rPr>
                <w:bCs/>
                <w:spacing w:val="-2"/>
              </w:rPr>
              <w:t>,</w:t>
            </w:r>
            <w:r w:rsidRPr="00576AF8">
              <w:rPr>
                <w:spacing w:val="-2"/>
              </w:rPr>
              <w:t xml:space="preserve"> para el Subsistema individual, lote o porción de la Oferta; y que el Comprador considere que se ajustan comercial y técnicamente al </w:t>
            </w:r>
            <w:r w:rsidR="00807C34" w:rsidRPr="00576AF8">
              <w:rPr>
                <w:spacing w:val="-2"/>
              </w:rPr>
              <w:t>documento de licitación</w:t>
            </w:r>
            <w:r w:rsidRPr="00576AF8">
              <w:rPr>
                <w:spacing w:val="-2"/>
              </w:rPr>
              <w:t xml:space="preserve">; </w:t>
            </w:r>
          </w:p>
        </w:tc>
      </w:tr>
      <w:tr w:rsidR="00E4025D" w:rsidRPr="00576AF8" w14:paraId="0BFC7ACF" w14:textId="77777777" w:rsidTr="00314996">
        <w:tblPrEx>
          <w:tblCellMar>
            <w:left w:w="115" w:type="dxa"/>
            <w:right w:w="115" w:type="dxa"/>
          </w:tblCellMar>
        </w:tblPrEx>
        <w:trPr>
          <w:gridAfter w:val="1"/>
          <w:wAfter w:w="14" w:type="dxa"/>
        </w:trPr>
        <w:tc>
          <w:tcPr>
            <w:tcW w:w="2554" w:type="dxa"/>
          </w:tcPr>
          <w:p w14:paraId="7437CD23" w14:textId="77777777" w:rsidR="00E4025D" w:rsidRPr="00576AF8" w:rsidRDefault="00E4025D" w:rsidP="00E4025D">
            <w:pPr>
              <w:pStyle w:val="TOC2-2"/>
            </w:pPr>
          </w:p>
        </w:tc>
        <w:tc>
          <w:tcPr>
            <w:tcW w:w="6831" w:type="dxa"/>
          </w:tcPr>
          <w:p w14:paraId="1BC5BD51" w14:textId="77777777" w:rsidR="00E4025D" w:rsidRPr="00576AF8" w:rsidRDefault="00E4025D" w:rsidP="001A21B4">
            <w:pPr>
              <w:spacing w:after="200"/>
              <w:ind w:left="1350" w:hanging="630"/>
            </w:pPr>
            <w:r w:rsidRPr="00576AF8">
              <w:t>(b)</w:t>
            </w:r>
            <w:r w:rsidRPr="00576AF8">
              <w:tab/>
              <w:t xml:space="preserve">ofrezcan tecnologías de la información con un rendimiento comprobado que se ajuste a las normas prometidas en la Oferta tras </w:t>
            </w:r>
            <w:r w:rsidRPr="00576AF8">
              <w:rPr>
                <w:spacing w:val="-2"/>
              </w:rPr>
              <w:t>haber</w:t>
            </w:r>
            <w:r w:rsidRPr="00576AF8">
              <w:t xml:space="preserve"> aprobado de modo satisfactorio las pruebas de rendimiento, referencia o funcionalidad que el Comprador pueda exigir, de conformidad con la IAL 3</w:t>
            </w:r>
            <w:r w:rsidR="00A638E9" w:rsidRPr="00576AF8">
              <w:t>3</w:t>
            </w:r>
            <w:r w:rsidRPr="00576AF8">
              <w:t>.3.</w:t>
            </w:r>
          </w:p>
        </w:tc>
      </w:tr>
      <w:tr w:rsidR="00E4025D" w:rsidRPr="00576AF8" w14:paraId="3527E566" w14:textId="77777777" w:rsidTr="00314996">
        <w:tblPrEx>
          <w:tblCellMar>
            <w:left w:w="115" w:type="dxa"/>
            <w:right w:w="115" w:type="dxa"/>
          </w:tblCellMar>
        </w:tblPrEx>
        <w:trPr>
          <w:gridAfter w:val="1"/>
          <w:wAfter w:w="14" w:type="dxa"/>
        </w:trPr>
        <w:tc>
          <w:tcPr>
            <w:tcW w:w="2554" w:type="dxa"/>
          </w:tcPr>
          <w:p w14:paraId="70001B62" w14:textId="77777777" w:rsidR="00E4025D" w:rsidRPr="00576AF8" w:rsidRDefault="00E4025D" w:rsidP="00E4025D">
            <w:pPr>
              <w:pStyle w:val="TOC2-2"/>
            </w:pPr>
            <w:bookmarkStart w:id="235" w:name="_Toc438438861"/>
            <w:bookmarkStart w:id="236" w:name="_Toc438532655"/>
            <w:bookmarkStart w:id="237" w:name="_Toc438734005"/>
            <w:bookmarkStart w:id="238" w:name="_Toc438907042"/>
            <w:bookmarkStart w:id="239" w:name="_Toc438907241"/>
            <w:bookmarkStart w:id="240" w:name="_Toc23236783"/>
            <w:bookmarkStart w:id="241" w:name="_Toc125783027"/>
            <w:bookmarkStart w:id="242" w:name="_Toc454907808"/>
            <w:bookmarkStart w:id="243" w:name="_Toc476308808"/>
            <w:bookmarkStart w:id="244" w:name="_Toc479333358"/>
            <w:bookmarkStart w:id="245" w:name="_Toc25486613"/>
            <w:r w:rsidRPr="00576AF8">
              <w:t>3</w:t>
            </w:r>
            <w:r w:rsidR="00314996" w:rsidRPr="00576AF8">
              <w:t>3</w:t>
            </w:r>
            <w:r w:rsidRPr="00576AF8">
              <w:t>.</w:t>
            </w:r>
            <w:r w:rsidRPr="00576AF8">
              <w:tab/>
              <w:t>Calificación del Licitante</w:t>
            </w:r>
            <w:bookmarkEnd w:id="235"/>
            <w:bookmarkEnd w:id="236"/>
            <w:bookmarkEnd w:id="237"/>
            <w:bookmarkEnd w:id="238"/>
            <w:bookmarkEnd w:id="239"/>
            <w:bookmarkEnd w:id="240"/>
            <w:bookmarkEnd w:id="241"/>
            <w:bookmarkEnd w:id="242"/>
            <w:bookmarkEnd w:id="243"/>
            <w:bookmarkEnd w:id="244"/>
            <w:bookmarkEnd w:id="245"/>
          </w:p>
        </w:tc>
        <w:tc>
          <w:tcPr>
            <w:tcW w:w="6831" w:type="dxa"/>
          </w:tcPr>
          <w:p w14:paraId="4F2763AE" w14:textId="77777777" w:rsidR="00E4025D" w:rsidRPr="00576AF8" w:rsidRDefault="00E4025D">
            <w:pPr>
              <w:pStyle w:val="Prrafodelista"/>
              <w:numPr>
                <w:ilvl w:val="0"/>
                <w:numId w:val="64"/>
              </w:numPr>
              <w:ind w:hanging="692"/>
              <w:rPr>
                <w:b/>
              </w:rPr>
            </w:pPr>
            <w:r w:rsidRPr="00576AF8">
              <w:t xml:space="preserve">El Comprador determinará, a su entera satisfacción, si </w:t>
            </w:r>
            <w:r w:rsidR="005C5870" w:rsidRPr="00576AF8">
              <w:t xml:space="preserve">cada </w:t>
            </w:r>
            <w:r w:rsidRPr="00576AF8">
              <w:t xml:space="preserve">Licitante se ajusta sustancialmente al </w:t>
            </w:r>
            <w:r w:rsidR="00807C34" w:rsidRPr="00576AF8">
              <w:t>documento de licitación</w:t>
            </w:r>
            <w:r w:rsidRPr="00576AF8">
              <w:t xml:space="preserve"> y cumple con los criterios de calificación especificados en la Sección III, “Criterios de Evaluación y Calificación”.</w:t>
            </w:r>
          </w:p>
        </w:tc>
      </w:tr>
      <w:tr w:rsidR="00E4025D" w:rsidRPr="00576AF8" w14:paraId="68300E16" w14:textId="77777777" w:rsidTr="00314996">
        <w:tblPrEx>
          <w:tblCellMar>
            <w:left w:w="115" w:type="dxa"/>
            <w:right w:w="115" w:type="dxa"/>
          </w:tblCellMar>
        </w:tblPrEx>
        <w:trPr>
          <w:gridAfter w:val="1"/>
          <w:wAfter w:w="14" w:type="dxa"/>
        </w:trPr>
        <w:tc>
          <w:tcPr>
            <w:tcW w:w="2554" w:type="dxa"/>
          </w:tcPr>
          <w:p w14:paraId="56985611" w14:textId="77777777" w:rsidR="00E4025D" w:rsidRPr="00576AF8" w:rsidRDefault="00E4025D">
            <w:pPr>
              <w:pStyle w:val="TOC2-2"/>
            </w:pPr>
          </w:p>
        </w:tc>
        <w:tc>
          <w:tcPr>
            <w:tcW w:w="6831" w:type="dxa"/>
          </w:tcPr>
          <w:p w14:paraId="2D2AA61D" w14:textId="77777777" w:rsidR="00955167" w:rsidRPr="00576AF8" w:rsidRDefault="00E4025D">
            <w:pPr>
              <w:pStyle w:val="Prrafodelista"/>
              <w:numPr>
                <w:ilvl w:val="0"/>
                <w:numId w:val="64"/>
              </w:numPr>
              <w:ind w:hanging="692"/>
              <w:contextualSpacing w:val="0"/>
              <w:rPr>
                <w:szCs w:val="24"/>
              </w:rPr>
            </w:pPr>
            <w:r w:rsidRPr="00576AF8">
              <w:t>Dicha determinación se basará en el examen de la evidencia documentada de las calificaciones del Licitante que presente, de conformidad con la IAL 1</w:t>
            </w:r>
            <w:r w:rsidR="00A638E9" w:rsidRPr="00576AF8">
              <w:t>6</w:t>
            </w:r>
            <w:r w:rsidRPr="00576AF8">
              <w:t>.</w:t>
            </w:r>
          </w:p>
          <w:p w14:paraId="58337B81" w14:textId="77777777" w:rsidR="00E4025D" w:rsidRPr="00576AF8" w:rsidRDefault="00E4025D">
            <w:pPr>
              <w:pStyle w:val="Prrafodelista"/>
              <w:numPr>
                <w:ilvl w:val="0"/>
                <w:numId w:val="64"/>
              </w:numPr>
              <w:ind w:hanging="692"/>
              <w:contextualSpacing w:val="0"/>
            </w:pPr>
            <w:r w:rsidRPr="00576AF8">
              <w:t xml:space="preserve">Salvo que se especifique lo contrario </w:t>
            </w:r>
            <w:r w:rsidRPr="00576AF8">
              <w:rPr>
                <w:b/>
              </w:rPr>
              <w:t>en los DDL</w:t>
            </w:r>
            <w:r w:rsidRPr="00576AF8">
              <w:t xml:space="preserve">, el Comprador NO realizará pruebas durante la poscalificación para determinar que el rendimiento o la funcionalidad del Sistema Informático ofrecido se ajustan a lo especificado en los requisitos técnicos. Sin embargo, si así se especifica </w:t>
            </w:r>
            <w:r w:rsidRPr="00576AF8">
              <w:rPr>
                <w:b/>
              </w:rPr>
              <w:t>en los DDL</w:t>
            </w:r>
            <w:r w:rsidRPr="00576AF8">
              <w:t xml:space="preserve">, el Comprador podrá realizar tales pruebas según se detalla </w:t>
            </w:r>
            <w:r w:rsidRPr="00576AF8">
              <w:rPr>
                <w:b/>
              </w:rPr>
              <w:t>en los DLL</w:t>
            </w:r>
            <w:r w:rsidRPr="00576AF8">
              <w:t>.</w:t>
            </w:r>
          </w:p>
          <w:p w14:paraId="4A15DCF4" w14:textId="77777777" w:rsidR="00E4025D" w:rsidRPr="00576AF8" w:rsidRDefault="00E4025D">
            <w:pPr>
              <w:pStyle w:val="Prrafodelista"/>
              <w:numPr>
                <w:ilvl w:val="0"/>
                <w:numId w:val="64"/>
              </w:numPr>
              <w:ind w:hanging="692"/>
              <w:contextualSpacing w:val="0"/>
            </w:pPr>
            <w:r w:rsidRPr="00576AF8">
              <w:t xml:space="preserve">Una determinación afirmativa será requisito previo para la adjudicación del Contrato al Licitante. Una determinación negativa resultará en la descalificación de la Oferta, en cuyo caso el Comprador pasará al siguiente costo evaluado más bajo o a la Oferta mejor </w:t>
            </w:r>
            <w:r w:rsidR="005C5870" w:rsidRPr="00576AF8">
              <w:t>calificada</w:t>
            </w:r>
            <w:r w:rsidRPr="00576AF8">
              <w:t>, según corresponda, para tomar una determinación similar acerca de las calificaciones de dicho Licitante para ejecutar el Contrato satisfactoriamente.</w:t>
            </w:r>
          </w:p>
          <w:p w14:paraId="43CA555B" w14:textId="77777777" w:rsidR="00E4025D" w:rsidRPr="00576AF8" w:rsidRDefault="00E4025D">
            <w:pPr>
              <w:pStyle w:val="Prrafodelista"/>
              <w:numPr>
                <w:ilvl w:val="0"/>
                <w:numId w:val="64"/>
              </w:numPr>
              <w:ind w:hanging="692"/>
              <w:contextualSpacing w:val="0"/>
            </w:pPr>
            <w:r w:rsidRPr="00576AF8">
              <w:t xml:space="preserve">También se evaluará la capacidad de los fabricantes y subcontratistas que el Licitante cuya Oferta haya sido evaluada como la Oferta Más </w:t>
            </w:r>
            <w:r w:rsidR="0077313B" w:rsidRPr="00576AF8">
              <w:t>Ventajosa</w:t>
            </w:r>
            <w:r w:rsidRPr="00576AF8">
              <w:t xml:space="preserve"> proponga utilizar para los principales artículos de suministros o servicios, a fin </w:t>
            </w:r>
            <w:r w:rsidRPr="00576AF8">
              <w:lastRenderedPageBreak/>
              <w:t>de determinar su aceptabilidad de conformidad con la Sección III, “Criterios de Evaluación y Calificación”. La participación de dichos fabricantes y subcontratistas deberá confirmarse mediante el intercambio de una carta de intención entre las partes, según proceda. En caso de determinarse que un fabricante o subcontratista es inaceptable, no se rechazará la Oferta, sino que se solicitará al Licitante que lo reemplace por un fabricante o subcontratista aceptable, sin modificación alguna en el precio de su Oferta. Previamente a la firma del Contrato, deberá completarse el correspondiente Apéndice al Convenio Contractual, en el que se establecerá una relación de los fabricantes o subcontratistas aprobados para cada artículo en cuestión.</w:t>
            </w:r>
          </w:p>
          <w:p w14:paraId="4439604C" w14:textId="77777777" w:rsidR="00DE57B4" w:rsidRPr="00576AF8" w:rsidRDefault="00DE57B4">
            <w:pPr>
              <w:pStyle w:val="Prrafodelista"/>
              <w:numPr>
                <w:ilvl w:val="0"/>
                <w:numId w:val="64"/>
              </w:numPr>
              <w:ind w:hanging="692"/>
              <w:contextualSpacing w:val="0"/>
            </w:pPr>
            <w:r w:rsidRPr="00576AF8">
              <w:t xml:space="preserve">En el caso de que haya ocurrido una precalificación, como indicado en IAL DDL 4.8, </w:t>
            </w:r>
            <w:r w:rsidR="00E83E96" w:rsidRPr="00576AF8">
              <w:t>e</w:t>
            </w:r>
            <w:r w:rsidRPr="00576AF8">
              <w:t xml:space="preserve">l Comprador determinará a su entera satisfacción si el Licitante </w:t>
            </w:r>
            <w:proofErr w:type="gramStart"/>
            <w:r w:rsidRPr="00576AF8">
              <w:t>continua</w:t>
            </w:r>
            <w:proofErr w:type="gramEnd"/>
            <w:r w:rsidRPr="00576AF8">
              <w:t xml:space="preserve"> siendo </w:t>
            </w:r>
            <w:r w:rsidR="00682368" w:rsidRPr="00576AF8">
              <w:t xml:space="preserve">elegible </w:t>
            </w:r>
            <w:r w:rsidRPr="00576AF8">
              <w:t xml:space="preserve">y sigue cumpliendo los criterios de calificación. </w:t>
            </w:r>
          </w:p>
        </w:tc>
      </w:tr>
      <w:tr w:rsidR="00E4025D" w:rsidRPr="00576AF8" w14:paraId="6C8927F0" w14:textId="77777777" w:rsidTr="00314996">
        <w:tblPrEx>
          <w:tblCellMar>
            <w:left w:w="115" w:type="dxa"/>
            <w:right w:w="115" w:type="dxa"/>
          </w:tblCellMar>
        </w:tblPrEx>
        <w:trPr>
          <w:gridAfter w:val="1"/>
          <w:wAfter w:w="14" w:type="dxa"/>
        </w:trPr>
        <w:tc>
          <w:tcPr>
            <w:tcW w:w="2554" w:type="dxa"/>
          </w:tcPr>
          <w:p w14:paraId="169950F7" w14:textId="77777777" w:rsidR="00E4025D" w:rsidRPr="00576AF8" w:rsidRDefault="001A21B4" w:rsidP="00314996">
            <w:pPr>
              <w:pStyle w:val="TOC2-2"/>
            </w:pPr>
            <w:bookmarkStart w:id="246" w:name="_Toc455487626"/>
            <w:bookmarkStart w:id="247" w:name="_Toc485900028"/>
            <w:bookmarkStart w:id="248" w:name="_Toc25486614"/>
            <w:r w:rsidRPr="00576AF8">
              <w:lastRenderedPageBreak/>
              <w:t>3</w:t>
            </w:r>
            <w:r w:rsidR="00314996" w:rsidRPr="00576AF8">
              <w:t>4</w:t>
            </w:r>
            <w:r w:rsidRPr="00576AF8">
              <w:t xml:space="preserve">. </w:t>
            </w:r>
            <w:r w:rsidR="00E4025D" w:rsidRPr="00576AF8">
              <w:t>Subcontratistas</w:t>
            </w:r>
            <w:bookmarkEnd w:id="246"/>
            <w:bookmarkEnd w:id="247"/>
            <w:bookmarkEnd w:id="248"/>
          </w:p>
        </w:tc>
        <w:tc>
          <w:tcPr>
            <w:tcW w:w="6831" w:type="dxa"/>
          </w:tcPr>
          <w:p w14:paraId="12C3C795" w14:textId="77777777" w:rsidR="00A638E9" w:rsidRPr="00576AF8" w:rsidRDefault="00E4025D">
            <w:pPr>
              <w:pStyle w:val="Prrafodelista"/>
              <w:numPr>
                <w:ilvl w:val="0"/>
                <w:numId w:val="65"/>
              </w:numPr>
              <w:ind w:left="737" w:hanging="709"/>
              <w:contextualSpacing w:val="0"/>
            </w:pPr>
            <w:r w:rsidRPr="00576AF8">
              <w:t xml:space="preserve">Salvo que </w:t>
            </w:r>
            <w:r w:rsidRPr="00576AF8">
              <w:rPr>
                <w:b/>
              </w:rPr>
              <w:t>en los DDL</w:t>
            </w:r>
            <w:r w:rsidRPr="00576AF8">
              <w:t xml:space="preserve"> se indique otra cosa, el </w:t>
            </w:r>
            <w:r w:rsidR="00791098" w:rsidRPr="00576AF8">
              <w:t>Comprador</w:t>
            </w:r>
            <w:r w:rsidRPr="00576AF8">
              <w:t xml:space="preserve"> no tiene la intención de ejecutar ningún elemento específico </w:t>
            </w:r>
            <w:r w:rsidR="00A638E9" w:rsidRPr="00576AF8">
              <w:t>del sistema informático</w:t>
            </w:r>
            <w:r w:rsidRPr="00576AF8">
              <w:t xml:space="preserve"> con subcontratistas que él haya seleccionado con antelación.</w:t>
            </w:r>
          </w:p>
          <w:p w14:paraId="7BCC6D47" w14:textId="77777777" w:rsidR="00E4025D" w:rsidRPr="00576AF8" w:rsidRDefault="00E4025D">
            <w:pPr>
              <w:pStyle w:val="Prrafodelista"/>
              <w:numPr>
                <w:ilvl w:val="0"/>
                <w:numId w:val="65"/>
              </w:numPr>
              <w:ind w:left="737" w:hanging="709"/>
              <w:contextualSpacing w:val="0"/>
            </w:pPr>
            <w:r w:rsidRPr="00576AF8">
              <w:t xml:space="preserve">Los Subcontratistas propuestos por los Licitantes </w:t>
            </w:r>
            <w:r w:rsidR="00A638E9" w:rsidRPr="00576AF8">
              <w:t xml:space="preserve">de conformidad con </w:t>
            </w:r>
            <w:r w:rsidR="005C5870" w:rsidRPr="00576AF8">
              <w:t xml:space="preserve">IAL </w:t>
            </w:r>
            <w:r w:rsidR="00A638E9" w:rsidRPr="00576AF8">
              <w:t xml:space="preserve">17.4 </w:t>
            </w:r>
            <w:r w:rsidRPr="00576AF8">
              <w:t xml:space="preserve">deberán estar plenamente calificados para ejecutar las partes </w:t>
            </w:r>
            <w:r w:rsidR="00A638E9" w:rsidRPr="00576AF8">
              <w:t>de los sistemas</w:t>
            </w:r>
            <w:r w:rsidRPr="00576AF8">
              <w:t xml:space="preserve"> que les correspondan. </w:t>
            </w:r>
          </w:p>
        </w:tc>
      </w:tr>
      <w:tr w:rsidR="00E4025D" w:rsidRPr="00576AF8" w14:paraId="519A38A1" w14:textId="77777777" w:rsidTr="00314996">
        <w:tblPrEx>
          <w:tblCellMar>
            <w:left w:w="115" w:type="dxa"/>
            <w:right w:w="115" w:type="dxa"/>
          </w:tblCellMar>
        </w:tblPrEx>
        <w:trPr>
          <w:gridAfter w:val="1"/>
          <w:wAfter w:w="14" w:type="dxa"/>
        </w:trPr>
        <w:tc>
          <w:tcPr>
            <w:tcW w:w="9385" w:type="dxa"/>
            <w:gridSpan w:val="2"/>
          </w:tcPr>
          <w:p w14:paraId="64CE18CC" w14:textId="77777777" w:rsidR="00E4025D" w:rsidRPr="00576AF8" w:rsidRDefault="00726C4B" w:rsidP="00314996">
            <w:pPr>
              <w:pStyle w:val="Toc2-1"/>
            </w:pPr>
            <w:bookmarkStart w:id="249" w:name="_Toc454982030"/>
            <w:bookmarkStart w:id="250" w:name="_Toc485900029"/>
            <w:bookmarkStart w:id="251" w:name="_Toc25486615"/>
            <w:r w:rsidRPr="00576AF8">
              <w:t xml:space="preserve">H. </w:t>
            </w:r>
            <w:r w:rsidR="00E4025D" w:rsidRPr="00576AF8">
              <w:t>Apertura Pública de las Partes Financieras de las Ofertas</w:t>
            </w:r>
            <w:bookmarkEnd w:id="249"/>
            <w:bookmarkEnd w:id="250"/>
            <w:bookmarkEnd w:id="251"/>
          </w:p>
        </w:tc>
      </w:tr>
      <w:tr w:rsidR="00314996" w:rsidRPr="00576AF8" w14:paraId="7C196BAF" w14:textId="77777777" w:rsidTr="00314996">
        <w:tblPrEx>
          <w:tblCellMar>
            <w:left w:w="115" w:type="dxa"/>
            <w:right w:w="115" w:type="dxa"/>
          </w:tblCellMar>
        </w:tblPrEx>
        <w:trPr>
          <w:gridAfter w:val="1"/>
          <w:wAfter w:w="14" w:type="dxa"/>
        </w:trPr>
        <w:tc>
          <w:tcPr>
            <w:tcW w:w="2554" w:type="dxa"/>
          </w:tcPr>
          <w:p w14:paraId="247B4F42" w14:textId="77777777" w:rsidR="00314996" w:rsidRPr="00576AF8" w:rsidRDefault="00314996" w:rsidP="00D55C82">
            <w:pPr>
              <w:pStyle w:val="TOC2-2"/>
            </w:pPr>
            <w:bookmarkStart w:id="252" w:name="_Toc454982031"/>
            <w:bookmarkStart w:id="253" w:name="_Toc455487627"/>
            <w:bookmarkStart w:id="254" w:name="_Toc485900030"/>
            <w:bookmarkStart w:id="255" w:name="_Toc25486616"/>
            <w:r w:rsidRPr="00576AF8">
              <w:t>3</w:t>
            </w:r>
            <w:r w:rsidR="00D55C82" w:rsidRPr="00576AF8">
              <w:t>5</w:t>
            </w:r>
            <w:r w:rsidRPr="00576AF8">
              <w:t xml:space="preserve">. Apertura Pública de </w:t>
            </w:r>
            <w:r w:rsidRPr="00576AF8">
              <w:br/>
              <w:t>las Partes Financieras de las Ofertas</w:t>
            </w:r>
            <w:bookmarkEnd w:id="252"/>
            <w:bookmarkEnd w:id="253"/>
            <w:bookmarkEnd w:id="254"/>
            <w:bookmarkEnd w:id="255"/>
          </w:p>
        </w:tc>
        <w:tc>
          <w:tcPr>
            <w:tcW w:w="6831" w:type="dxa"/>
          </w:tcPr>
          <w:p w14:paraId="299C577E" w14:textId="77777777" w:rsidR="00314996" w:rsidRPr="00576AF8" w:rsidRDefault="00314996">
            <w:pPr>
              <w:pStyle w:val="Prrafodelista"/>
              <w:numPr>
                <w:ilvl w:val="0"/>
                <w:numId w:val="72"/>
              </w:numPr>
              <w:ind w:hanging="692"/>
              <w:contextualSpacing w:val="0"/>
              <w:rPr>
                <w:b/>
              </w:rPr>
            </w:pPr>
            <w:r w:rsidRPr="00576AF8">
              <w:t xml:space="preserve">Después de que se complete la evaluación de las Partes Técnicas de las Ofertas y el Banco emita su no objeción (si corresponde), el </w:t>
            </w:r>
            <w:r w:rsidR="0068225C" w:rsidRPr="00576AF8">
              <w:t>Comprador</w:t>
            </w:r>
            <w:r w:rsidRPr="00576AF8">
              <w:t xml:space="preserve"> notificará por escrito a los Licitantes que no hayan logrado cumplir los criterios de calificación y/o cuyas Ofertas no se hayan ajustado a los requisitos del documento de licitación, y les comunicará </w:t>
            </w:r>
            <w:r w:rsidRPr="00576AF8">
              <w:br/>
              <w:t>lo siguiente:</w:t>
            </w:r>
          </w:p>
          <w:p w14:paraId="6DD53F4F" w14:textId="77777777" w:rsidR="00314996" w:rsidRPr="00576AF8" w:rsidRDefault="00314996">
            <w:pPr>
              <w:pStyle w:val="Prrafodelista"/>
              <w:numPr>
                <w:ilvl w:val="0"/>
                <w:numId w:val="73"/>
              </w:numPr>
              <w:contextualSpacing w:val="0"/>
              <w:rPr>
                <w:b/>
              </w:rPr>
            </w:pPr>
            <w:r w:rsidRPr="00576AF8">
              <w:t>las razones por las cuales la Parte Técnica de su Oferta no cumplió los requisitos del documento de licitación;</w:t>
            </w:r>
          </w:p>
          <w:p w14:paraId="28EA9EEE" w14:textId="77777777" w:rsidR="00314996" w:rsidRPr="00576AF8" w:rsidRDefault="00314996">
            <w:pPr>
              <w:pStyle w:val="Prrafodelista"/>
              <w:numPr>
                <w:ilvl w:val="0"/>
                <w:numId w:val="73"/>
              </w:numPr>
              <w:contextualSpacing w:val="0"/>
              <w:rPr>
                <w:b/>
              </w:rPr>
            </w:pPr>
            <w:r w:rsidRPr="00576AF8">
              <w:t>que el sobre con la leyenda “Segundo sobre: Parte Financiera” se les devolverá sin abrir una vez finalizado el proceso de selección y firmado el Contrato;</w:t>
            </w:r>
          </w:p>
          <w:p w14:paraId="4BDFD339" w14:textId="77777777" w:rsidR="00314996" w:rsidRPr="00576AF8" w:rsidRDefault="00314996">
            <w:pPr>
              <w:pStyle w:val="Prrafodelista"/>
              <w:numPr>
                <w:ilvl w:val="0"/>
                <w:numId w:val="73"/>
              </w:numPr>
              <w:contextualSpacing w:val="0"/>
              <w:rPr>
                <w:b/>
              </w:rPr>
            </w:pPr>
            <w:r w:rsidRPr="00576AF8">
              <w:lastRenderedPageBreak/>
              <w:t xml:space="preserve">que se les informa la fecha, hora y lugar de la apertura pública de los sobres marcados con la leyenda “Segundo sobre: Parte Financiera”. </w:t>
            </w:r>
          </w:p>
          <w:p w14:paraId="64B7057A" w14:textId="77777777" w:rsidR="00314996" w:rsidRPr="00576AF8" w:rsidRDefault="00314996">
            <w:pPr>
              <w:pStyle w:val="Prrafodelista"/>
              <w:numPr>
                <w:ilvl w:val="0"/>
                <w:numId w:val="72"/>
              </w:numPr>
              <w:ind w:hanging="692"/>
              <w:contextualSpacing w:val="0"/>
              <w:rPr>
                <w:b/>
              </w:rPr>
            </w:pPr>
            <w:r w:rsidRPr="00576AF8">
              <w:t xml:space="preserve">Simultáneamente, el </w:t>
            </w:r>
            <w:r w:rsidR="0068225C" w:rsidRPr="00576AF8">
              <w:t>Comprador</w:t>
            </w:r>
            <w:r w:rsidRPr="00576AF8">
              <w:t xml:space="preserve"> deberá notificar por escrito a los Licitantes cuyas Partes Técnicas cumplieron sustancialmente los requisitos del documento de licitación y los criterios de calificación en las evaluaciones, y les comunicará lo siguiente:</w:t>
            </w:r>
          </w:p>
          <w:p w14:paraId="5C59F601" w14:textId="77777777" w:rsidR="00314996" w:rsidRPr="00576AF8" w:rsidRDefault="00314996">
            <w:pPr>
              <w:pStyle w:val="Prrafodelista"/>
              <w:numPr>
                <w:ilvl w:val="0"/>
                <w:numId w:val="75"/>
              </w:numPr>
              <w:contextualSpacing w:val="0"/>
              <w:rPr>
                <w:b/>
              </w:rPr>
            </w:pPr>
            <w:r w:rsidRPr="00576AF8">
              <w:t>que su Oferta ha sido evaluada y ha cumplido sustancialmente los requisitos del documento de licitación y los criterios de calificación;</w:t>
            </w:r>
          </w:p>
          <w:p w14:paraId="023F78A8" w14:textId="77777777" w:rsidR="00314996" w:rsidRPr="00576AF8" w:rsidRDefault="00314996">
            <w:pPr>
              <w:pStyle w:val="Prrafodelista"/>
              <w:numPr>
                <w:ilvl w:val="0"/>
                <w:numId w:val="75"/>
              </w:numPr>
              <w:contextualSpacing w:val="0"/>
              <w:rPr>
                <w:b/>
              </w:rPr>
            </w:pPr>
            <w:r w:rsidRPr="00576AF8">
              <w:t>que sus sobres marcados con la leyenda “Segundo sobre: Parte Financiera” se abrirán durante la apertura pública de las Partes Financieras;</w:t>
            </w:r>
          </w:p>
          <w:p w14:paraId="580474E9" w14:textId="77777777" w:rsidR="00314996" w:rsidRPr="00576AF8" w:rsidRDefault="00314996">
            <w:pPr>
              <w:pStyle w:val="Prrafodelista"/>
              <w:numPr>
                <w:ilvl w:val="0"/>
                <w:numId w:val="75"/>
              </w:numPr>
              <w:contextualSpacing w:val="0"/>
              <w:rPr>
                <w:b/>
              </w:rPr>
            </w:pPr>
            <w:r w:rsidRPr="00576AF8">
              <w:t>que se les informa la fecha, hora y lugar de la apertura pública de los sobres marcados con la leyenda “Segundo sobre:</w:t>
            </w:r>
            <w:r w:rsidR="007B045D" w:rsidRPr="00576AF8">
              <w:t xml:space="preserve"> </w:t>
            </w:r>
            <w:r w:rsidRPr="00576AF8">
              <w:t xml:space="preserve">Parte Financiera”, según se especifica </w:t>
            </w:r>
            <w:r w:rsidRPr="00576AF8">
              <w:rPr>
                <w:b/>
              </w:rPr>
              <w:t>en los DDL</w:t>
            </w:r>
            <w:r w:rsidRPr="00576AF8">
              <w:t>.</w:t>
            </w:r>
          </w:p>
          <w:p w14:paraId="3E05EB1C" w14:textId="77777777" w:rsidR="00314996" w:rsidRPr="00576AF8" w:rsidRDefault="00314996">
            <w:pPr>
              <w:pStyle w:val="Prrafodelista"/>
              <w:numPr>
                <w:ilvl w:val="0"/>
                <w:numId w:val="72"/>
              </w:numPr>
              <w:ind w:hanging="692"/>
              <w:contextualSpacing w:val="0"/>
              <w:rPr>
                <w:b/>
              </w:rPr>
            </w:pPr>
            <w:r w:rsidRPr="00576AF8">
              <w:t>La fecha de la apertura se anunciará con suficiente antelación como para que los Licitantes puedan hacer arreglos para asistir al evento. La Parte Financiera de la Oferta se abrirá públicamente en presencia de los representantes designados por los Licitantes y de toda persona que desee estar presente.</w:t>
            </w:r>
          </w:p>
          <w:p w14:paraId="04196133" w14:textId="77777777" w:rsidR="00314996" w:rsidRPr="00576AF8" w:rsidRDefault="00314996">
            <w:pPr>
              <w:pStyle w:val="Prrafodelista"/>
              <w:numPr>
                <w:ilvl w:val="0"/>
                <w:numId w:val="72"/>
              </w:numPr>
              <w:ind w:hanging="692"/>
              <w:contextualSpacing w:val="0"/>
              <w:rPr>
                <w:b/>
              </w:rPr>
            </w:pPr>
            <w:r w:rsidRPr="00576AF8">
              <w:t xml:space="preserve">En esta apertura pública, el </w:t>
            </w:r>
            <w:r w:rsidR="0068225C" w:rsidRPr="00576AF8">
              <w:t>Comprador</w:t>
            </w:r>
            <w:r w:rsidRPr="00576AF8">
              <w:t xml:space="preserve"> abrirá las Partes Financieras en presencia de los Licitantes o sus representantes designados y de toda persona que desee estar presente. Los Licitantes que cumplan los criterios de calificación y cuyas Ofertas respondan sustancialmente a los requisitos accederán a la segunda apertura pública, en la que se abrirán los sobres marcados con la leyenda “Segundo sobre: Parte Financiera”. Cada uno de estos sobres será inspeccionado para confirmar que continúen sellados y no hayan sido abiertos. Luego, el </w:t>
            </w:r>
            <w:r w:rsidR="0068225C" w:rsidRPr="00576AF8">
              <w:t>Comprador</w:t>
            </w:r>
            <w:r w:rsidRPr="00576AF8">
              <w:t xml:space="preserve"> procederá a abrirlos y leerá en voz alta los nombres de cada Licitante y los precios totales de las Ofertas por lote (contrato), si correspondiera, incluidos los descuentos y la Oferta Alternativa-Parte Financiera, así como cualquier otro detalle que considere apropiado.</w:t>
            </w:r>
          </w:p>
          <w:p w14:paraId="5CB294B4" w14:textId="77777777" w:rsidR="00314996" w:rsidRPr="00576AF8" w:rsidRDefault="00314996">
            <w:pPr>
              <w:pStyle w:val="Prrafodelista"/>
              <w:numPr>
                <w:ilvl w:val="0"/>
                <w:numId w:val="72"/>
              </w:numPr>
              <w:ind w:hanging="692"/>
              <w:contextualSpacing w:val="0"/>
              <w:rPr>
                <w:b/>
              </w:rPr>
            </w:pPr>
            <w:r w:rsidRPr="00576AF8">
              <w:t xml:space="preserve">Únicamente se considerarán en la siguiente etapa de evaluación los sobres de las Partes Financieras de las Ofertas, las Partes Financieras de las Ofertas Alternativas y los descuentos que se hayan abierto y leído en la apertura de </w:t>
            </w:r>
            <w:r w:rsidR="008C1ECF" w:rsidRPr="00576AF8">
              <w:t xml:space="preserve">las Partes Financieras de las </w:t>
            </w:r>
            <w:r w:rsidRPr="00576AF8">
              <w:t>Ofertas. La Carta de Oferta</w:t>
            </w:r>
            <w:r w:rsidRPr="00576AF8">
              <w:noBreakHyphen/>
              <w:t xml:space="preserve">Parte Financiera y los Programas de Actividades con estipulación </w:t>
            </w:r>
            <w:r w:rsidRPr="00576AF8">
              <w:lastRenderedPageBreak/>
              <w:t xml:space="preserve">de precios deberán ser inicialadas por los representantes del </w:t>
            </w:r>
            <w:r w:rsidR="0068225C" w:rsidRPr="00576AF8">
              <w:t>Comprador</w:t>
            </w:r>
            <w:r w:rsidRPr="00576AF8">
              <w:t xml:space="preserve"> presentes en el acto de apertura de Ofertas de acuerdo con lo especificado </w:t>
            </w:r>
            <w:r w:rsidRPr="00576AF8">
              <w:rPr>
                <w:b/>
              </w:rPr>
              <w:t>en los DDL</w:t>
            </w:r>
            <w:r w:rsidRPr="00576AF8">
              <w:t>.</w:t>
            </w:r>
          </w:p>
          <w:p w14:paraId="49FF998D" w14:textId="77777777" w:rsidR="00314996" w:rsidRPr="00576AF8" w:rsidRDefault="00314996">
            <w:pPr>
              <w:pStyle w:val="Prrafodelista"/>
              <w:numPr>
                <w:ilvl w:val="0"/>
                <w:numId w:val="72"/>
              </w:numPr>
              <w:ind w:hanging="692"/>
              <w:contextualSpacing w:val="0"/>
              <w:rPr>
                <w:b/>
              </w:rPr>
            </w:pPr>
            <w:r w:rsidRPr="00576AF8">
              <w:t xml:space="preserve">El </w:t>
            </w:r>
            <w:r w:rsidR="0068225C" w:rsidRPr="00576AF8">
              <w:t>Comprador</w:t>
            </w:r>
            <w:r w:rsidRPr="00576AF8">
              <w:t xml:space="preserve"> no analizará las características de las Ofertas ni rechazará sobres marcados con la leyenda “Segundo sobre: Parte Financiera”.</w:t>
            </w:r>
          </w:p>
          <w:p w14:paraId="6DB2A018" w14:textId="77777777" w:rsidR="00314996" w:rsidRPr="00576AF8" w:rsidRDefault="00314996">
            <w:pPr>
              <w:pStyle w:val="Prrafodelista"/>
              <w:numPr>
                <w:ilvl w:val="0"/>
                <w:numId w:val="72"/>
              </w:numPr>
              <w:ind w:hanging="692"/>
              <w:contextualSpacing w:val="0"/>
              <w:rPr>
                <w:b/>
              </w:rPr>
            </w:pPr>
            <w:r w:rsidRPr="00576AF8">
              <w:t xml:space="preserve">El </w:t>
            </w:r>
            <w:r w:rsidR="0068225C" w:rsidRPr="00576AF8">
              <w:t>Comprador</w:t>
            </w:r>
            <w:r w:rsidRPr="00576AF8">
              <w:t xml:space="preserve"> preparará un registro de la apertura de las Partes Financieras de las Ofertas que deberá incluir, </w:t>
            </w:r>
            <w:r w:rsidRPr="00576AF8">
              <w:br/>
              <w:t>como mínimo:</w:t>
            </w:r>
          </w:p>
          <w:p w14:paraId="78B4ABCE" w14:textId="77777777" w:rsidR="00314996" w:rsidRPr="00576AF8" w:rsidRDefault="00314996">
            <w:pPr>
              <w:pStyle w:val="Prrafodelista"/>
              <w:numPr>
                <w:ilvl w:val="0"/>
                <w:numId w:val="74"/>
              </w:numPr>
              <w:contextualSpacing w:val="0"/>
              <w:rPr>
                <w:b/>
              </w:rPr>
            </w:pPr>
            <w:r w:rsidRPr="00576AF8">
              <w:t>el nombre del Licitante que presentó la Parte Financiera de la Oferta que fue abierta;</w:t>
            </w:r>
          </w:p>
          <w:p w14:paraId="462FFE0A" w14:textId="77777777" w:rsidR="00314996" w:rsidRPr="00576AF8" w:rsidRDefault="00314996">
            <w:pPr>
              <w:pStyle w:val="Prrafodelista"/>
              <w:numPr>
                <w:ilvl w:val="0"/>
                <w:numId w:val="74"/>
              </w:numPr>
              <w:contextualSpacing w:val="0"/>
              <w:rPr>
                <w:b/>
              </w:rPr>
            </w:pPr>
            <w:r w:rsidRPr="00576AF8">
              <w:t>el Precio de la Oferta, por lote (contrato), si corresponde, incluidos los descuentos;</w:t>
            </w:r>
          </w:p>
          <w:p w14:paraId="3A319761" w14:textId="77777777" w:rsidR="00314996" w:rsidRPr="00576AF8" w:rsidRDefault="00314996">
            <w:pPr>
              <w:pStyle w:val="Prrafodelista"/>
              <w:numPr>
                <w:ilvl w:val="0"/>
                <w:numId w:val="74"/>
              </w:numPr>
              <w:contextualSpacing w:val="0"/>
              <w:rPr>
                <w:b/>
              </w:rPr>
            </w:pPr>
            <w:r w:rsidRPr="00576AF8">
              <w:t>si corresponde, las Ofertas Alternativas-Parte Financiera.</w:t>
            </w:r>
          </w:p>
          <w:p w14:paraId="1B894499" w14:textId="77777777" w:rsidR="00314996" w:rsidRPr="00576AF8" w:rsidRDefault="00314996">
            <w:pPr>
              <w:pStyle w:val="Prrafodelista"/>
              <w:numPr>
                <w:ilvl w:val="0"/>
                <w:numId w:val="72"/>
              </w:numPr>
              <w:ind w:hanging="692"/>
              <w:contextualSpacing w:val="0"/>
              <w:rPr>
                <w:b/>
              </w:rPr>
            </w:pPr>
            <w:r w:rsidRPr="00576AF8">
              <w:t>Se solicitará a los Licitantes cuyos sobres marcados con la leyenda “Segundo sobre: Parte Financiera” hayan sido abiertos, o a sus representantes, que firmen el registro. La ausencia de la firma de un Licitante en el registro no invalidará su contenido ni efecto. Se entregará una copia de dicho registro a todos los Licitantes.</w:t>
            </w:r>
            <w:r w:rsidR="006F4776" w:rsidRPr="00576AF8">
              <w:t xml:space="preserve"> Una copia del registro se debe enviar al Banco.</w:t>
            </w:r>
          </w:p>
        </w:tc>
      </w:tr>
      <w:tr w:rsidR="00304AE9" w:rsidRPr="00576AF8" w14:paraId="51C653A1" w14:textId="77777777" w:rsidTr="00510A60">
        <w:tblPrEx>
          <w:tblCellMar>
            <w:left w:w="115" w:type="dxa"/>
            <w:right w:w="115" w:type="dxa"/>
          </w:tblCellMar>
        </w:tblPrEx>
        <w:trPr>
          <w:gridAfter w:val="1"/>
          <w:wAfter w:w="14" w:type="dxa"/>
        </w:trPr>
        <w:tc>
          <w:tcPr>
            <w:tcW w:w="9385" w:type="dxa"/>
            <w:gridSpan w:val="2"/>
          </w:tcPr>
          <w:p w14:paraId="76450B10" w14:textId="77777777" w:rsidR="00304AE9" w:rsidRPr="00576AF8" w:rsidRDefault="00726C4B" w:rsidP="00304AE9">
            <w:pPr>
              <w:pStyle w:val="Toc2-1"/>
            </w:pPr>
            <w:bookmarkStart w:id="256" w:name="_Toc25486617"/>
            <w:r w:rsidRPr="00576AF8">
              <w:lastRenderedPageBreak/>
              <w:t xml:space="preserve">I. </w:t>
            </w:r>
            <w:r w:rsidR="00304AE9" w:rsidRPr="00576AF8">
              <w:t>Evaluación de las Partes Financieras</w:t>
            </w:r>
            <w:bookmarkEnd w:id="256"/>
          </w:p>
        </w:tc>
      </w:tr>
      <w:tr w:rsidR="00304AE9" w:rsidRPr="00576AF8" w14:paraId="7786207A" w14:textId="77777777" w:rsidTr="00314996">
        <w:tblPrEx>
          <w:tblCellMar>
            <w:left w:w="115" w:type="dxa"/>
            <w:right w:w="115" w:type="dxa"/>
          </w:tblCellMar>
        </w:tblPrEx>
        <w:trPr>
          <w:gridAfter w:val="1"/>
          <w:wAfter w:w="14" w:type="dxa"/>
        </w:trPr>
        <w:tc>
          <w:tcPr>
            <w:tcW w:w="2554" w:type="dxa"/>
          </w:tcPr>
          <w:p w14:paraId="40833A34" w14:textId="77777777" w:rsidR="00304AE9" w:rsidRPr="00576AF8" w:rsidRDefault="00304AE9" w:rsidP="00304AE9">
            <w:pPr>
              <w:pStyle w:val="TOC2-2"/>
            </w:pPr>
            <w:bookmarkStart w:id="257" w:name="_Toc455487628"/>
            <w:bookmarkStart w:id="258" w:name="_Toc485900032"/>
            <w:bookmarkStart w:id="259" w:name="_Toc25486618"/>
            <w:r w:rsidRPr="00576AF8">
              <w:t xml:space="preserve">36. </w:t>
            </w:r>
            <w:bookmarkEnd w:id="257"/>
            <w:bookmarkEnd w:id="258"/>
            <w:r w:rsidRPr="00576AF8">
              <w:t>Evaluación de las Partes Financieras</w:t>
            </w:r>
            <w:bookmarkEnd w:id="259"/>
          </w:p>
        </w:tc>
        <w:tc>
          <w:tcPr>
            <w:tcW w:w="6831" w:type="dxa"/>
          </w:tcPr>
          <w:p w14:paraId="055CBA41" w14:textId="77777777" w:rsidR="00304AE9" w:rsidRPr="00576AF8"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Cs w:val="24"/>
              </w:rPr>
            </w:pPr>
            <w:r w:rsidRPr="00576AF8">
              <w:rPr>
                <w:b w:val="0"/>
              </w:rPr>
              <w:t>Al evaluar la Parte Financiera de la Oferta, el Comprador considerará lo siguiente:</w:t>
            </w:r>
          </w:p>
          <w:p w14:paraId="51620F87" w14:textId="77777777" w:rsidR="00304AE9" w:rsidRPr="00576AF8" w:rsidRDefault="00304AE9">
            <w:pPr>
              <w:pStyle w:val="P3Header1-Clauses"/>
              <w:numPr>
                <w:ilvl w:val="0"/>
                <w:numId w:val="36"/>
              </w:numPr>
              <w:spacing w:after="200"/>
              <w:ind w:left="1253" w:hanging="619"/>
              <w:jc w:val="both"/>
              <w:rPr>
                <w:b w:val="0"/>
                <w:szCs w:val="24"/>
              </w:rPr>
            </w:pPr>
            <w:r w:rsidRPr="00576AF8">
              <w:rPr>
                <w:b w:val="0"/>
              </w:rPr>
              <w:t>el precio de la Oferta,</w:t>
            </w:r>
            <w:r w:rsidRPr="00576AF8">
              <w:t xml:space="preserve"> </w:t>
            </w:r>
            <w:r w:rsidRPr="00576AF8">
              <w:rPr>
                <w:b w:val="0"/>
              </w:rPr>
              <w:t>excluidos los montos provisionales y la reserva para imprevistos, de haberla, que se indican en las listas de precios;</w:t>
            </w:r>
          </w:p>
          <w:p w14:paraId="39FA858F" w14:textId="77777777" w:rsidR="00304AE9" w:rsidRPr="00576AF8" w:rsidRDefault="00304AE9">
            <w:pPr>
              <w:pStyle w:val="P3Header1-Clauses"/>
              <w:numPr>
                <w:ilvl w:val="0"/>
                <w:numId w:val="36"/>
              </w:numPr>
              <w:spacing w:after="200"/>
              <w:ind w:left="1210" w:hanging="576"/>
              <w:jc w:val="both"/>
              <w:rPr>
                <w:b w:val="0"/>
                <w:szCs w:val="24"/>
              </w:rPr>
            </w:pPr>
            <w:r w:rsidRPr="00576AF8">
              <w:rPr>
                <w:b w:val="0"/>
              </w:rPr>
              <w:t>el ajuste de precios por corrección de errores aritméticos, de conformidad con la IAL 3</w:t>
            </w:r>
            <w:r w:rsidR="003F5BA2" w:rsidRPr="00576AF8">
              <w:rPr>
                <w:b w:val="0"/>
              </w:rPr>
              <w:t>7</w:t>
            </w:r>
            <w:r w:rsidRPr="00576AF8">
              <w:rPr>
                <w:b w:val="0"/>
              </w:rPr>
              <w:t>.1;</w:t>
            </w:r>
          </w:p>
          <w:p w14:paraId="5AE29EC8" w14:textId="77777777" w:rsidR="00304AE9" w:rsidRPr="00576AF8" w:rsidRDefault="00304AE9">
            <w:pPr>
              <w:pStyle w:val="P3Header1-Clauses"/>
              <w:numPr>
                <w:ilvl w:val="0"/>
                <w:numId w:val="36"/>
              </w:numPr>
              <w:spacing w:after="200"/>
              <w:ind w:left="1210" w:hanging="576"/>
              <w:jc w:val="both"/>
              <w:rPr>
                <w:b w:val="0"/>
                <w:szCs w:val="24"/>
              </w:rPr>
            </w:pPr>
            <w:r w:rsidRPr="00576AF8">
              <w:rPr>
                <w:b w:val="0"/>
              </w:rPr>
              <w:t>el ajuste de precios debido a descuentos ofrecidos de conformidad con la IAL </w:t>
            </w:r>
            <w:r w:rsidR="003F5BA2" w:rsidRPr="00576AF8">
              <w:rPr>
                <w:b w:val="0"/>
              </w:rPr>
              <w:t>26.6</w:t>
            </w:r>
            <w:r w:rsidRPr="00576AF8">
              <w:rPr>
                <w:b w:val="0"/>
              </w:rPr>
              <w:t>;</w:t>
            </w:r>
          </w:p>
          <w:p w14:paraId="42F244B5" w14:textId="77777777" w:rsidR="00304AE9" w:rsidRPr="00576AF8" w:rsidRDefault="00304AE9">
            <w:pPr>
              <w:pStyle w:val="P3Header1-Clauses"/>
              <w:numPr>
                <w:ilvl w:val="0"/>
                <w:numId w:val="36"/>
              </w:numPr>
              <w:spacing w:after="200"/>
              <w:ind w:left="1210" w:hanging="576"/>
              <w:jc w:val="both"/>
              <w:rPr>
                <w:b w:val="0"/>
                <w:szCs w:val="24"/>
              </w:rPr>
            </w:pPr>
            <w:r w:rsidRPr="00576AF8">
              <w:rPr>
                <w:b w:val="0"/>
              </w:rPr>
              <w:t>la conversión del monto resultante de la aplicación de los puntos (a) a (c) anteriores, si corresponde, a una sola moneda de conformidad con la IAL 3</w:t>
            </w:r>
            <w:r w:rsidR="003F5BA2" w:rsidRPr="00576AF8">
              <w:rPr>
                <w:b w:val="0"/>
              </w:rPr>
              <w:t>8</w:t>
            </w:r>
            <w:r w:rsidRPr="00576AF8">
              <w:rPr>
                <w:b w:val="0"/>
              </w:rPr>
              <w:t>;</w:t>
            </w:r>
          </w:p>
          <w:p w14:paraId="6342BCBA" w14:textId="77777777" w:rsidR="00304AE9" w:rsidRPr="00576AF8" w:rsidRDefault="00304AE9">
            <w:pPr>
              <w:pStyle w:val="P3Header1-Clauses"/>
              <w:numPr>
                <w:ilvl w:val="0"/>
                <w:numId w:val="36"/>
              </w:numPr>
              <w:spacing w:after="200"/>
              <w:ind w:left="1210" w:hanging="576"/>
              <w:jc w:val="both"/>
              <w:rPr>
                <w:b w:val="0"/>
                <w:szCs w:val="24"/>
              </w:rPr>
            </w:pPr>
            <w:r w:rsidRPr="00576AF8">
              <w:rPr>
                <w:b w:val="0"/>
              </w:rPr>
              <w:t>el ajuste del precio debido a discrepancias cuantificables no significativas de conformidad con la IAL 3</w:t>
            </w:r>
            <w:r w:rsidR="003F5BA2" w:rsidRPr="00576AF8">
              <w:rPr>
                <w:b w:val="0"/>
              </w:rPr>
              <w:t>0</w:t>
            </w:r>
            <w:r w:rsidRPr="00576AF8">
              <w:rPr>
                <w:b w:val="0"/>
              </w:rPr>
              <w:t>.3;</w:t>
            </w:r>
            <w:r w:rsidR="003F5BA2" w:rsidRPr="00576AF8">
              <w:rPr>
                <w:b w:val="0"/>
              </w:rPr>
              <w:t xml:space="preserve"> </w:t>
            </w:r>
          </w:p>
          <w:p w14:paraId="124F17C5" w14:textId="77777777" w:rsidR="007B045D" w:rsidRPr="00576AF8" w:rsidRDefault="004A6C10">
            <w:pPr>
              <w:pStyle w:val="P3Header1-Clauses"/>
              <w:keepNext/>
              <w:keepLines/>
              <w:numPr>
                <w:ilvl w:val="0"/>
                <w:numId w:val="36"/>
              </w:numPr>
              <w:spacing w:before="240" w:after="200"/>
              <w:ind w:left="1210" w:hanging="576"/>
              <w:jc w:val="both"/>
              <w:outlineLvl w:val="4"/>
              <w:rPr>
                <w:b w:val="0"/>
                <w:szCs w:val="24"/>
              </w:rPr>
            </w:pPr>
            <w:r w:rsidRPr="00576AF8">
              <w:rPr>
                <w:b w:val="0"/>
                <w:szCs w:val="24"/>
              </w:rPr>
              <w:lastRenderedPageBreak/>
              <w:t xml:space="preserve">el cálculo del valor neto actualizado de los gastos concurrentes, si los hubiera, a la tasa de descuento anual especificada </w:t>
            </w:r>
            <w:r w:rsidRPr="00576AF8">
              <w:rPr>
                <w:szCs w:val="24"/>
              </w:rPr>
              <w:t>en los DDL</w:t>
            </w:r>
            <w:r w:rsidRPr="00576AF8">
              <w:rPr>
                <w:b w:val="0"/>
                <w:szCs w:val="24"/>
              </w:rPr>
              <w:t xml:space="preserve">; </w:t>
            </w:r>
          </w:p>
          <w:p w14:paraId="7F4F9F21" w14:textId="77777777" w:rsidR="004A6C10" w:rsidRPr="00576AF8" w:rsidRDefault="007B045D">
            <w:pPr>
              <w:pStyle w:val="P3Header1-Clauses"/>
              <w:keepNext/>
              <w:keepLines/>
              <w:numPr>
                <w:ilvl w:val="0"/>
                <w:numId w:val="36"/>
              </w:numPr>
              <w:spacing w:before="240" w:after="200"/>
              <w:ind w:left="1210" w:hanging="576"/>
              <w:jc w:val="both"/>
              <w:outlineLvl w:val="4"/>
              <w:rPr>
                <w:b w:val="0"/>
                <w:szCs w:val="24"/>
              </w:rPr>
            </w:pPr>
            <w:r w:rsidRPr="00576AF8">
              <w:rPr>
                <w:b w:val="0"/>
                <w:szCs w:val="24"/>
              </w:rPr>
              <w:t>el uso de</w:t>
            </w:r>
            <w:r w:rsidR="001707F5" w:rsidRPr="00576AF8">
              <w:rPr>
                <w:b w:val="0"/>
                <w:szCs w:val="24"/>
              </w:rPr>
              <w:t xml:space="preserve">l método de la </w:t>
            </w:r>
            <w:r w:rsidRPr="00576AF8">
              <w:rPr>
                <w:b w:val="0"/>
                <w:szCs w:val="24"/>
              </w:rPr>
              <w:t xml:space="preserve">Mejor Oferta Final si se especifica en los DDL en referencia a IAL 42.1; </w:t>
            </w:r>
            <w:r w:rsidR="004A6C10" w:rsidRPr="00576AF8">
              <w:rPr>
                <w:b w:val="0"/>
                <w:szCs w:val="24"/>
              </w:rPr>
              <w:t>y</w:t>
            </w:r>
          </w:p>
          <w:p w14:paraId="2C98A887" w14:textId="77777777" w:rsidR="00304AE9" w:rsidRPr="00576AF8" w:rsidRDefault="00304AE9">
            <w:pPr>
              <w:pStyle w:val="P3Header1-Clauses"/>
              <w:numPr>
                <w:ilvl w:val="0"/>
                <w:numId w:val="36"/>
              </w:numPr>
              <w:spacing w:after="200"/>
              <w:ind w:left="1210" w:hanging="576"/>
              <w:jc w:val="both"/>
              <w:rPr>
                <w:b w:val="0"/>
              </w:rPr>
            </w:pPr>
            <w:r w:rsidRPr="00576AF8">
              <w:rPr>
                <w:b w:val="0"/>
              </w:rPr>
              <w:t>los factores de evaluación que se indican en la Sección III, “Criterios de Evaluación y Calificación”.</w:t>
            </w:r>
          </w:p>
        </w:tc>
      </w:tr>
      <w:tr w:rsidR="00304AE9" w:rsidRPr="00576AF8" w14:paraId="76F7258F" w14:textId="77777777" w:rsidTr="00314996">
        <w:tblPrEx>
          <w:tblCellMar>
            <w:left w:w="115" w:type="dxa"/>
            <w:right w:w="115" w:type="dxa"/>
          </w:tblCellMar>
        </w:tblPrEx>
        <w:trPr>
          <w:gridAfter w:val="1"/>
          <w:wAfter w:w="14" w:type="dxa"/>
        </w:trPr>
        <w:tc>
          <w:tcPr>
            <w:tcW w:w="2554" w:type="dxa"/>
          </w:tcPr>
          <w:p w14:paraId="6F98D590" w14:textId="77777777" w:rsidR="00304AE9" w:rsidRPr="00576AF8" w:rsidRDefault="00304AE9" w:rsidP="00304AE9">
            <w:pPr>
              <w:pStyle w:val="TOC2-2"/>
              <w:suppressAutoHyphens/>
              <w:jc w:val="both"/>
            </w:pPr>
          </w:p>
        </w:tc>
        <w:tc>
          <w:tcPr>
            <w:tcW w:w="6831" w:type="dxa"/>
          </w:tcPr>
          <w:p w14:paraId="5545EF38" w14:textId="77777777" w:rsidR="00304AE9" w:rsidRPr="00576AF8"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rPr>
            </w:pPr>
            <w:r w:rsidRPr="00576AF8">
              <w:rPr>
                <w:b w:val="0"/>
              </w:rPr>
              <w:t>Si se ha autorizado un ajuste de precios de conformidad con la IAL 1</w:t>
            </w:r>
            <w:r w:rsidR="003F5BA2" w:rsidRPr="00576AF8">
              <w:rPr>
                <w:b w:val="0"/>
              </w:rPr>
              <w:t>4</w:t>
            </w:r>
            <w:r w:rsidRPr="00576AF8">
              <w:rPr>
                <w:b w:val="0"/>
              </w:rPr>
              <w:t>.9, no se tomará en cuenta en la evaluación de la Oferta el efecto previsto de las disposiciones sobre ajuste de precios que se hayan especificado en las condiciones del Contrato, aplicadas durante el período de ejecución del Contrato.</w:t>
            </w:r>
          </w:p>
        </w:tc>
      </w:tr>
      <w:tr w:rsidR="00304AE9" w:rsidRPr="00576AF8" w14:paraId="0D45406B" w14:textId="77777777" w:rsidTr="00314996">
        <w:tblPrEx>
          <w:tblCellMar>
            <w:left w:w="115" w:type="dxa"/>
            <w:right w:w="115" w:type="dxa"/>
          </w:tblCellMar>
        </w:tblPrEx>
        <w:trPr>
          <w:gridAfter w:val="1"/>
          <w:wAfter w:w="14" w:type="dxa"/>
        </w:trPr>
        <w:tc>
          <w:tcPr>
            <w:tcW w:w="2554" w:type="dxa"/>
          </w:tcPr>
          <w:p w14:paraId="0268E693" w14:textId="77777777" w:rsidR="00304AE9" w:rsidRPr="00576AF8" w:rsidRDefault="00304AE9" w:rsidP="00304AE9">
            <w:pPr>
              <w:pStyle w:val="TOC2-2"/>
              <w:suppressAutoHyphens/>
              <w:jc w:val="both"/>
            </w:pPr>
          </w:p>
        </w:tc>
        <w:tc>
          <w:tcPr>
            <w:tcW w:w="6831" w:type="dxa"/>
          </w:tcPr>
          <w:p w14:paraId="0D624031" w14:textId="77777777" w:rsidR="00304AE9" w:rsidRPr="00576AF8"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rPr>
            </w:pPr>
            <w:r w:rsidRPr="00576AF8">
              <w:rPr>
                <w:b w:val="0"/>
              </w:rPr>
              <w:t xml:space="preserve">El Comprador evaluará y comparará las Ofertas que, según se haya determinado, se ajusten sustancialmente al </w:t>
            </w:r>
            <w:r w:rsidR="00807C34" w:rsidRPr="00576AF8">
              <w:rPr>
                <w:b w:val="0"/>
              </w:rPr>
              <w:t>documento de licitación</w:t>
            </w:r>
            <w:r w:rsidRPr="00576AF8">
              <w:rPr>
                <w:b w:val="0"/>
              </w:rPr>
              <w:t xml:space="preserve"> de conformidad con la IAL 3</w:t>
            </w:r>
            <w:r w:rsidR="003F5BA2" w:rsidRPr="00576AF8">
              <w:rPr>
                <w:b w:val="0"/>
              </w:rPr>
              <w:t>2</w:t>
            </w:r>
            <w:r w:rsidRPr="00576AF8">
              <w:rPr>
                <w:b w:val="0"/>
              </w:rPr>
              <w:t>. La evaluación se realizará partiendo del supuesto que:</w:t>
            </w:r>
          </w:p>
        </w:tc>
      </w:tr>
      <w:tr w:rsidR="00304AE9" w:rsidRPr="00576AF8" w14:paraId="2C032AA9" w14:textId="77777777" w:rsidTr="00314996">
        <w:tblPrEx>
          <w:tblCellMar>
            <w:left w:w="115" w:type="dxa"/>
            <w:right w:w="115" w:type="dxa"/>
          </w:tblCellMar>
        </w:tblPrEx>
        <w:trPr>
          <w:gridAfter w:val="1"/>
          <w:wAfter w:w="14" w:type="dxa"/>
        </w:trPr>
        <w:tc>
          <w:tcPr>
            <w:tcW w:w="2554" w:type="dxa"/>
          </w:tcPr>
          <w:p w14:paraId="34C4FE39" w14:textId="77777777" w:rsidR="00304AE9" w:rsidRPr="00576AF8" w:rsidRDefault="00304AE9" w:rsidP="00304AE9">
            <w:pPr>
              <w:pStyle w:val="TOC2-2"/>
              <w:suppressAutoHyphens/>
              <w:jc w:val="both"/>
            </w:pPr>
          </w:p>
        </w:tc>
        <w:tc>
          <w:tcPr>
            <w:tcW w:w="6831" w:type="dxa"/>
          </w:tcPr>
          <w:p w14:paraId="045990C6" w14:textId="77777777" w:rsidR="00304AE9" w:rsidRPr="00576AF8" w:rsidRDefault="00304AE9" w:rsidP="00304AE9">
            <w:pPr>
              <w:pStyle w:val="Textodebloque"/>
              <w:numPr>
                <w:ilvl w:val="12"/>
                <w:numId w:val="0"/>
              </w:numPr>
              <w:tabs>
                <w:tab w:val="clear" w:pos="387"/>
                <w:tab w:val="clear" w:pos="1107"/>
              </w:tabs>
              <w:spacing w:after="200"/>
              <w:ind w:left="1165" w:hanging="540"/>
              <w:jc w:val="both"/>
              <w:rPr>
                <w:i w:val="0"/>
                <w:szCs w:val="24"/>
              </w:rPr>
            </w:pPr>
            <w:r w:rsidRPr="00576AF8">
              <w:rPr>
                <w:i w:val="0"/>
              </w:rPr>
              <w:t xml:space="preserve">(a) </w:t>
            </w:r>
            <w:r w:rsidRPr="00576AF8">
              <w:tab/>
            </w:r>
            <w:r w:rsidRPr="00576AF8">
              <w:rPr>
                <w:i w:val="0"/>
              </w:rPr>
              <w:t xml:space="preserve">el Contrato se adjudicará a la Oferta Más </w:t>
            </w:r>
            <w:r w:rsidR="0077313B" w:rsidRPr="00576AF8">
              <w:rPr>
                <w:i w:val="0"/>
              </w:rPr>
              <w:t>Ventajosa</w:t>
            </w:r>
            <w:r w:rsidR="003F5BA2" w:rsidRPr="00576AF8">
              <w:rPr>
                <w:i w:val="0"/>
              </w:rPr>
              <w:t xml:space="preserve"> de conformidad con IAL 43</w:t>
            </w:r>
            <w:r w:rsidRPr="00576AF8">
              <w:rPr>
                <w:i w:val="0"/>
              </w:rPr>
              <w:t xml:space="preserve"> para la totalidad del Sistema Informático;</w:t>
            </w:r>
          </w:p>
          <w:p w14:paraId="7B13BB04" w14:textId="77777777" w:rsidR="00304AE9" w:rsidRPr="00576AF8" w:rsidRDefault="00304AE9" w:rsidP="00304AE9">
            <w:pPr>
              <w:pStyle w:val="Textodebloque"/>
              <w:numPr>
                <w:ilvl w:val="12"/>
                <w:numId w:val="0"/>
              </w:numPr>
              <w:tabs>
                <w:tab w:val="clear" w:pos="387"/>
                <w:tab w:val="clear" w:pos="1107"/>
              </w:tabs>
              <w:spacing w:after="200"/>
              <w:ind w:left="1165" w:hanging="540"/>
              <w:jc w:val="both"/>
              <w:rPr>
                <w:i w:val="0"/>
                <w:szCs w:val="24"/>
              </w:rPr>
            </w:pPr>
            <w:r w:rsidRPr="00576AF8">
              <w:rPr>
                <w:i w:val="0"/>
              </w:rPr>
              <w:t xml:space="preserve">(b) </w:t>
            </w:r>
            <w:r w:rsidRPr="00576AF8">
              <w:tab/>
            </w:r>
            <w:r w:rsidRPr="00576AF8">
              <w:rPr>
                <w:i w:val="0"/>
              </w:rPr>
              <w:t xml:space="preserve">si se especifica </w:t>
            </w:r>
            <w:r w:rsidRPr="00576AF8">
              <w:rPr>
                <w:b/>
                <w:i w:val="0"/>
              </w:rPr>
              <w:t>en los DDL</w:t>
            </w:r>
            <w:r w:rsidRPr="00576AF8">
              <w:rPr>
                <w:i w:val="0"/>
              </w:rPr>
              <w:t xml:space="preserve">, los Contratos se adjudicarán a los Licitantes de cada Subsistema individual, lote o porción definido en los requisitos técnicos cuyas Ofertas representen la(s) Ofertas Más </w:t>
            </w:r>
            <w:r w:rsidR="0077313B" w:rsidRPr="00576AF8">
              <w:rPr>
                <w:i w:val="0"/>
              </w:rPr>
              <w:t>Ventajosa</w:t>
            </w:r>
            <w:r w:rsidRPr="00576AF8">
              <w:rPr>
                <w:i w:val="0"/>
              </w:rPr>
              <w:t>(s) para la totalidad del Sistema,</w:t>
            </w:r>
          </w:p>
          <w:p w14:paraId="3EFA8668" w14:textId="77777777" w:rsidR="00304AE9" w:rsidRPr="00576AF8" w:rsidRDefault="00304AE9" w:rsidP="00304AE9">
            <w:pPr>
              <w:pStyle w:val="Header2-SubClauses"/>
              <w:pBdr>
                <w:top w:val="none" w:sz="0" w:space="0" w:color="auto"/>
                <w:left w:val="none" w:sz="0" w:space="0" w:color="auto"/>
                <w:bottom w:val="none" w:sz="0" w:space="0" w:color="auto"/>
                <w:right w:val="none" w:sz="0" w:space="0" w:color="auto"/>
                <w:between w:val="none" w:sz="0" w:space="0" w:color="auto"/>
                <w:bar w:val="none" w:sz="0" w:color="auto"/>
              </w:pBdr>
              <w:ind w:left="595" w:firstLine="0"/>
            </w:pPr>
            <w:r w:rsidRPr="00576AF8">
              <w:rPr>
                <w:b w:val="0"/>
              </w:rPr>
              <w:t xml:space="preserve">en este último caso, en las Ofertas se pueden ofrecer descuentos que dependan de la adjudicación de más de un Subsistema, lote o porción. Tales descuentos se considerarán en la evaluación de las Ofertas según se especifica </w:t>
            </w:r>
            <w:r w:rsidRPr="00576AF8">
              <w:t>en los DDL</w:t>
            </w:r>
            <w:r w:rsidRPr="00576AF8">
              <w:rPr>
                <w:b w:val="0"/>
              </w:rPr>
              <w:t>.</w:t>
            </w:r>
          </w:p>
        </w:tc>
      </w:tr>
      <w:tr w:rsidR="00304AE9" w:rsidRPr="00576AF8" w14:paraId="3FE7B7A6" w14:textId="77777777" w:rsidTr="00314996">
        <w:tblPrEx>
          <w:tblCellMar>
            <w:left w:w="115" w:type="dxa"/>
            <w:right w:w="115" w:type="dxa"/>
          </w:tblCellMar>
        </w:tblPrEx>
        <w:trPr>
          <w:gridAfter w:val="1"/>
          <w:wAfter w:w="14" w:type="dxa"/>
        </w:trPr>
        <w:tc>
          <w:tcPr>
            <w:tcW w:w="2554" w:type="dxa"/>
          </w:tcPr>
          <w:p w14:paraId="108857EF" w14:textId="77777777" w:rsidR="00304AE9" w:rsidRPr="00576AF8" w:rsidRDefault="00304AE9" w:rsidP="00304AE9">
            <w:pPr>
              <w:pStyle w:val="TOC2-2"/>
            </w:pPr>
            <w:bookmarkStart w:id="260" w:name="_Toc23236778"/>
            <w:bookmarkStart w:id="261" w:name="_Toc125783022"/>
            <w:bookmarkStart w:id="262" w:name="_Toc454907801"/>
            <w:bookmarkStart w:id="263" w:name="_Toc476308801"/>
            <w:bookmarkStart w:id="264" w:name="_Toc479333351"/>
            <w:bookmarkStart w:id="265" w:name="_Toc25486619"/>
            <w:r w:rsidRPr="00576AF8">
              <w:t>37.</w:t>
            </w:r>
            <w:r w:rsidRPr="00576AF8">
              <w:tab/>
              <w:t xml:space="preserve">Corrección de Errores </w:t>
            </w:r>
            <w:bookmarkEnd w:id="260"/>
            <w:bookmarkEnd w:id="261"/>
            <w:bookmarkEnd w:id="262"/>
            <w:bookmarkEnd w:id="263"/>
            <w:bookmarkEnd w:id="264"/>
            <w:r w:rsidRPr="00576AF8">
              <w:t>Aritméticos</w:t>
            </w:r>
            <w:bookmarkEnd w:id="265"/>
          </w:p>
        </w:tc>
        <w:tc>
          <w:tcPr>
            <w:tcW w:w="6831" w:type="dxa"/>
          </w:tcPr>
          <w:p w14:paraId="59A22AB0" w14:textId="77777777" w:rsidR="00304AE9" w:rsidRPr="00576AF8" w:rsidRDefault="00304AE9">
            <w:pPr>
              <w:pStyle w:val="Prrafodelista"/>
              <w:numPr>
                <w:ilvl w:val="0"/>
                <w:numId w:val="66"/>
              </w:numPr>
              <w:spacing w:after="200"/>
              <w:ind w:hanging="687"/>
              <w:rPr>
                <w:szCs w:val="24"/>
              </w:rPr>
            </w:pPr>
            <w:r w:rsidRPr="00576AF8">
              <w:t xml:space="preserve">Siempre y cuando la Oferta se ajuste sustancialmente al </w:t>
            </w:r>
            <w:r w:rsidR="00807C34" w:rsidRPr="00576AF8">
              <w:t>documento de licitación</w:t>
            </w:r>
            <w:r w:rsidRPr="00576AF8">
              <w:t>, el Comprador corregirá los errores aritméticos de la siguiente manera:</w:t>
            </w:r>
          </w:p>
          <w:p w14:paraId="3D4C8AFD" w14:textId="77777777" w:rsidR="00304AE9" w:rsidRPr="00576AF8" w:rsidRDefault="00304AE9">
            <w:pPr>
              <w:pStyle w:val="P3Header1-Clauses"/>
              <w:numPr>
                <w:ilvl w:val="0"/>
                <w:numId w:val="38"/>
              </w:numPr>
              <w:spacing w:after="200"/>
              <w:ind w:left="1210" w:hanging="576"/>
              <w:jc w:val="both"/>
            </w:pPr>
            <w:r w:rsidRPr="00576AF8">
              <w:rPr>
                <w:b w:val="0"/>
              </w:rPr>
              <w:t>si se constatan errores al comparar el total de los montos consignados en la columna correspondiente al desglose de precios y el monto que se consigna como precio total, prevalecerán los primeros y se ajustará este último según corresponda;</w:t>
            </w:r>
          </w:p>
          <w:p w14:paraId="3C7CD8B6" w14:textId="77777777" w:rsidR="00304AE9" w:rsidRPr="00576AF8" w:rsidRDefault="00304AE9">
            <w:pPr>
              <w:pStyle w:val="P3Header1-Clauses"/>
              <w:numPr>
                <w:ilvl w:val="0"/>
                <w:numId w:val="38"/>
              </w:numPr>
              <w:spacing w:after="200"/>
              <w:ind w:left="1210" w:hanging="576"/>
              <w:jc w:val="both"/>
            </w:pPr>
            <w:r w:rsidRPr="00576AF8">
              <w:rPr>
                <w:b w:val="0"/>
              </w:rPr>
              <w:t xml:space="preserve">si se constatan errores al comparar el total de los montos de las listas n.° 1 a 5 y el monto anotado en la lista n.° 6 </w:t>
            </w:r>
            <w:r w:rsidRPr="00576AF8">
              <w:rPr>
                <w:b w:val="0"/>
              </w:rPr>
              <w:lastRenderedPageBreak/>
              <w:t>(Resumen global), prevalecerán los primeros y se ajustará este último según corresponda;</w:t>
            </w:r>
          </w:p>
          <w:p w14:paraId="1C929EED" w14:textId="77777777" w:rsidR="00304AE9" w:rsidRPr="00576AF8" w:rsidRDefault="00304AE9">
            <w:pPr>
              <w:pStyle w:val="P3Header1-Clauses"/>
              <w:numPr>
                <w:ilvl w:val="0"/>
                <w:numId w:val="38"/>
              </w:numPr>
              <w:spacing w:after="200"/>
              <w:ind w:left="1210" w:hanging="576"/>
              <w:jc w:val="both"/>
              <w:rPr>
                <w:szCs w:val="24"/>
              </w:rPr>
            </w:pPr>
            <w:r w:rsidRPr="00576AF8">
              <w:rPr>
                <w:b w:val="0"/>
              </w:rPr>
              <w:t>si existe una discrepancia entre palabras y cifras, prevalecerá el monto expresado en palabras, a menos que este último corresponda a un error aritmético, en cuyo caso prevalecerán las cantidades en cifras de conformidad con los apartados (a) y (b) precedentes.</w:t>
            </w:r>
          </w:p>
        </w:tc>
      </w:tr>
      <w:tr w:rsidR="00304AE9" w:rsidRPr="00576AF8" w14:paraId="48B42E09" w14:textId="77777777" w:rsidTr="00314996">
        <w:tblPrEx>
          <w:tblCellMar>
            <w:left w:w="115" w:type="dxa"/>
            <w:right w:w="115" w:type="dxa"/>
          </w:tblCellMar>
        </w:tblPrEx>
        <w:trPr>
          <w:gridAfter w:val="1"/>
          <w:wAfter w:w="14" w:type="dxa"/>
        </w:trPr>
        <w:tc>
          <w:tcPr>
            <w:tcW w:w="2554" w:type="dxa"/>
          </w:tcPr>
          <w:p w14:paraId="377D3512" w14:textId="77777777" w:rsidR="00304AE9" w:rsidRPr="00576AF8" w:rsidRDefault="00304AE9" w:rsidP="00304AE9">
            <w:pPr>
              <w:spacing w:after="200"/>
              <w:rPr>
                <w:szCs w:val="24"/>
              </w:rPr>
            </w:pPr>
          </w:p>
        </w:tc>
        <w:tc>
          <w:tcPr>
            <w:tcW w:w="6831" w:type="dxa"/>
          </w:tcPr>
          <w:p w14:paraId="5969BE3E" w14:textId="77777777" w:rsidR="00304AE9" w:rsidRPr="00576AF8" w:rsidRDefault="00304AE9">
            <w:pPr>
              <w:pStyle w:val="Prrafodelista"/>
              <w:numPr>
                <w:ilvl w:val="0"/>
                <w:numId w:val="66"/>
              </w:numPr>
              <w:spacing w:after="200"/>
              <w:ind w:hanging="687"/>
              <w:rPr>
                <w:szCs w:val="24"/>
              </w:rPr>
            </w:pPr>
            <w:r w:rsidRPr="00576AF8">
              <w:t>Los Licitantes deberán aceptar la corrección de los errores aritméticos. En caso de no aceptar dicha corrección de conformidad con la IAL 3</w:t>
            </w:r>
            <w:r w:rsidR="003F5BA2" w:rsidRPr="00576AF8">
              <w:t>7</w:t>
            </w:r>
            <w:r w:rsidRPr="00576AF8">
              <w:t>.1, la Oferta será rechazada.</w:t>
            </w:r>
          </w:p>
        </w:tc>
      </w:tr>
      <w:tr w:rsidR="00304AE9" w:rsidRPr="00576AF8" w14:paraId="6B0D115A" w14:textId="77777777" w:rsidTr="00314996">
        <w:tblPrEx>
          <w:tblCellMar>
            <w:left w:w="115" w:type="dxa"/>
            <w:right w:w="115" w:type="dxa"/>
          </w:tblCellMar>
        </w:tblPrEx>
        <w:trPr>
          <w:gridAfter w:val="1"/>
          <w:wAfter w:w="14" w:type="dxa"/>
        </w:trPr>
        <w:tc>
          <w:tcPr>
            <w:tcW w:w="2554" w:type="dxa"/>
          </w:tcPr>
          <w:p w14:paraId="4356DD1F" w14:textId="77777777" w:rsidR="00304AE9" w:rsidRPr="00576AF8" w:rsidRDefault="00304AE9" w:rsidP="00304AE9">
            <w:pPr>
              <w:pStyle w:val="TOC2-2"/>
            </w:pPr>
            <w:bookmarkStart w:id="266" w:name="_Toc23236779"/>
            <w:bookmarkStart w:id="267" w:name="_Toc125783023"/>
            <w:bookmarkStart w:id="268" w:name="_Toc454907802"/>
            <w:bookmarkStart w:id="269" w:name="_Toc476308802"/>
            <w:bookmarkStart w:id="270" w:name="_Toc479333352"/>
            <w:bookmarkStart w:id="271" w:name="_Toc25486620"/>
            <w:r w:rsidRPr="00576AF8">
              <w:t>38.</w:t>
            </w:r>
            <w:r w:rsidRPr="00576AF8">
              <w:tab/>
              <w:t xml:space="preserve">Conversión a una Sola </w:t>
            </w:r>
            <w:bookmarkEnd w:id="266"/>
            <w:bookmarkEnd w:id="267"/>
            <w:bookmarkEnd w:id="268"/>
            <w:bookmarkEnd w:id="269"/>
            <w:bookmarkEnd w:id="270"/>
            <w:r w:rsidRPr="00576AF8">
              <w:t>Moneda</w:t>
            </w:r>
            <w:bookmarkEnd w:id="271"/>
            <w:r w:rsidRPr="00576AF8">
              <w:t xml:space="preserve"> </w:t>
            </w:r>
          </w:p>
        </w:tc>
        <w:tc>
          <w:tcPr>
            <w:tcW w:w="6831" w:type="dxa"/>
          </w:tcPr>
          <w:p w14:paraId="766DBD88" w14:textId="77777777" w:rsidR="00304AE9" w:rsidRPr="00576AF8" w:rsidRDefault="00304AE9">
            <w:pPr>
              <w:pStyle w:val="Prrafodelista"/>
              <w:numPr>
                <w:ilvl w:val="0"/>
                <w:numId w:val="67"/>
              </w:numPr>
              <w:spacing w:after="200"/>
              <w:ind w:hanging="692"/>
              <w:rPr>
                <w:szCs w:val="24"/>
              </w:rPr>
            </w:pPr>
            <w:r w:rsidRPr="00576AF8">
              <w:t xml:space="preserve">A los efectos de la evaluación y la comparación, la moneda o las monedas de la Oferta se convertirán a una moneda única conforme se especifica </w:t>
            </w:r>
            <w:r w:rsidRPr="00576AF8">
              <w:rPr>
                <w:b/>
              </w:rPr>
              <w:t>en los DDL</w:t>
            </w:r>
            <w:r w:rsidRPr="00576AF8">
              <w:t>.</w:t>
            </w:r>
          </w:p>
        </w:tc>
      </w:tr>
      <w:tr w:rsidR="00304AE9" w:rsidRPr="00576AF8" w14:paraId="4369CCBB" w14:textId="77777777" w:rsidTr="00314996">
        <w:tblPrEx>
          <w:tblCellMar>
            <w:left w:w="115" w:type="dxa"/>
            <w:right w:w="115" w:type="dxa"/>
          </w:tblCellMar>
        </w:tblPrEx>
        <w:trPr>
          <w:gridAfter w:val="1"/>
          <w:wAfter w:w="14" w:type="dxa"/>
        </w:trPr>
        <w:tc>
          <w:tcPr>
            <w:tcW w:w="2554" w:type="dxa"/>
          </w:tcPr>
          <w:p w14:paraId="6F5F88C7" w14:textId="77777777" w:rsidR="00304AE9" w:rsidRPr="00576AF8" w:rsidRDefault="00304AE9" w:rsidP="00304AE9">
            <w:pPr>
              <w:pStyle w:val="TOC2-2"/>
            </w:pPr>
            <w:bookmarkStart w:id="272" w:name="_Toc438438858"/>
            <w:bookmarkStart w:id="273" w:name="_Toc438532647"/>
            <w:bookmarkStart w:id="274" w:name="_Toc438734002"/>
            <w:bookmarkStart w:id="275" w:name="_Toc438907039"/>
            <w:bookmarkStart w:id="276" w:name="_Toc438907238"/>
            <w:bookmarkStart w:id="277" w:name="_Toc23236780"/>
            <w:bookmarkStart w:id="278" w:name="_Toc125783024"/>
            <w:bookmarkStart w:id="279" w:name="_Toc454907803"/>
            <w:bookmarkStart w:id="280" w:name="_Toc476308803"/>
            <w:bookmarkStart w:id="281" w:name="_Toc479333353"/>
            <w:bookmarkStart w:id="282" w:name="_Toc25486621"/>
            <w:r w:rsidRPr="00576AF8">
              <w:t>39.</w:t>
            </w:r>
            <w:r w:rsidRPr="00576AF8">
              <w:tab/>
              <w:t xml:space="preserve">Margen de </w:t>
            </w:r>
            <w:bookmarkEnd w:id="272"/>
            <w:bookmarkEnd w:id="273"/>
            <w:bookmarkEnd w:id="274"/>
            <w:bookmarkEnd w:id="275"/>
            <w:bookmarkEnd w:id="276"/>
            <w:bookmarkEnd w:id="277"/>
            <w:bookmarkEnd w:id="278"/>
            <w:bookmarkEnd w:id="279"/>
            <w:bookmarkEnd w:id="280"/>
            <w:bookmarkEnd w:id="281"/>
            <w:r w:rsidRPr="00576AF8">
              <w:t>Preferencia</w:t>
            </w:r>
            <w:bookmarkEnd w:id="282"/>
          </w:p>
        </w:tc>
        <w:tc>
          <w:tcPr>
            <w:tcW w:w="6831" w:type="dxa"/>
          </w:tcPr>
          <w:p w14:paraId="3F0F2777" w14:textId="77777777" w:rsidR="00304AE9" w:rsidRPr="00576AF8" w:rsidRDefault="00304AE9" w:rsidP="00304AE9">
            <w:pPr>
              <w:spacing w:after="200"/>
              <w:ind w:left="560" w:hanging="560"/>
              <w:rPr>
                <w:szCs w:val="24"/>
              </w:rPr>
            </w:pPr>
            <w:r w:rsidRPr="00576AF8">
              <w:t>39.1</w:t>
            </w:r>
            <w:r w:rsidRPr="00576AF8">
              <w:tab/>
              <w:t xml:space="preserve">No se aplicará margen de preferencia nacional. </w:t>
            </w:r>
          </w:p>
        </w:tc>
      </w:tr>
      <w:tr w:rsidR="00FE4382" w:rsidRPr="00576AF8" w14:paraId="2362C9DD" w14:textId="77777777" w:rsidTr="00314996">
        <w:tblPrEx>
          <w:tblCellMar>
            <w:left w:w="115" w:type="dxa"/>
            <w:right w:w="115" w:type="dxa"/>
          </w:tblCellMar>
        </w:tblPrEx>
        <w:trPr>
          <w:gridAfter w:val="1"/>
          <w:wAfter w:w="14" w:type="dxa"/>
        </w:trPr>
        <w:tc>
          <w:tcPr>
            <w:tcW w:w="2554" w:type="dxa"/>
          </w:tcPr>
          <w:p w14:paraId="4CE00D3B" w14:textId="77777777" w:rsidR="00FE4382" w:rsidRPr="00576AF8" w:rsidRDefault="00FE4382" w:rsidP="00275E0F">
            <w:pPr>
              <w:pStyle w:val="TOC2-2"/>
              <w:suppressAutoHyphens/>
            </w:pPr>
            <w:bookmarkStart w:id="283" w:name="_Toc25486622"/>
            <w:r w:rsidRPr="00576AF8">
              <w:t>40. Comparación de las Partes Financieras</w:t>
            </w:r>
            <w:bookmarkEnd w:id="283"/>
          </w:p>
        </w:tc>
        <w:tc>
          <w:tcPr>
            <w:tcW w:w="6831" w:type="dxa"/>
          </w:tcPr>
          <w:p w14:paraId="4A686E78" w14:textId="77777777" w:rsidR="00FE4382" w:rsidRPr="00576AF8" w:rsidRDefault="00FE4382">
            <w:pPr>
              <w:pStyle w:val="Prrafodelista"/>
              <w:numPr>
                <w:ilvl w:val="0"/>
                <w:numId w:val="76"/>
              </w:numPr>
              <w:ind w:left="595" w:hanging="567"/>
            </w:pPr>
            <w:r w:rsidRPr="00576AF8">
              <w:t xml:space="preserve">El </w:t>
            </w:r>
            <w:r w:rsidRPr="00576AF8">
              <w:rPr>
                <w:iCs/>
              </w:rPr>
              <w:t>Comprador</w:t>
            </w:r>
            <w:r w:rsidRPr="00576AF8">
              <w:rPr>
                <w:i/>
                <w:iCs/>
              </w:rPr>
              <w:t xml:space="preserve"> </w:t>
            </w:r>
            <w:r w:rsidRPr="00576AF8">
              <w:t xml:space="preserve">comparará los costos evaluados de todas las Ofertas que se ajusten </w:t>
            </w:r>
            <w:r w:rsidR="00965A14" w:rsidRPr="00576AF8">
              <w:t>al</w:t>
            </w:r>
            <w:r w:rsidRPr="00576AF8">
              <w:t xml:space="preserve"> </w:t>
            </w:r>
            <w:r w:rsidR="00965A14" w:rsidRPr="00576AF8">
              <w:t xml:space="preserve">documento </w:t>
            </w:r>
            <w:r w:rsidRPr="00576AF8">
              <w:t xml:space="preserve">de </w:t>
            </w:r>
            <w:r w:rsidR="00965A14" w:rsidRPr="00576AF8">
              <w:t xml:space="preserve">licitación </w:t>
            </w:r>
            <w:r w:rsidRPr="00576AF8">
              <w:t>y cumplan con los requisitos de calificación, para determinar cuál es la Oferta con el costo evaluado más bajo.</w:t>
            </w:r>
          </w:p>
        </w:tc>
      </w:tr>
      <w:tr w:rsidR="00304AE9" w:rsidRPr="00576AF8" w14:paraId="51445882" w14:textId="77777777" w:rsidTr="00314996">
        <w:tblPrEx>
          <w:tblCellMar>
            <w:left w:w="115" w:type="dxa"/>
            <w:right w:w="115" w:type="dxa"/>
          </w:tblCellMar>
        </w:tblPrEx>
        <w:trPr>
          <w:gridAfter w:val="1"/>
          <w:wAfter w:w="14" w:type="dxa"/>
        </w:trPr>
        <w:tc>
          <w:tcPr>
            <w:tcW w:w="2554" w:type="dxa"/>
          </w:tcPr>
          <w:p w14:paraId="1FE6D5B7" w14:textId="77777777" w:rsidR="00304AE9" w:rsidRPr="00576AF8" w:rsidRDefault="00304AE9" w:rsidP="00304AE9">
            <w:pPr>
              <w:pStyle w:val="TOC2-2"/>
            </w:pPr>
            <w:bookmarkStart w:id="284" w:name="_Toc433185118"/>
            <w:bookmarkStart w:id="285" w:name="_Toc454907806"/>
            <w:bookmarkStart w:id="286" w:name="_Toc476308806"/>
            <w:bookmarkStart w:id="287" w:name="_Toc479333356"/>
            <w:bookmarkStart w:id="288" w:name="_Toc25486623"/>
            <w:r w:rsidRPr="00576AF8">
              <w:t>41.</w:t>
            </w:r>
            <w:r w:rsidRPr="00576AF8">
              <w:tab/>
              <w:t xml:space="preserve">Ofertas </w:t>
            </w:r>
            <w:bookmarkEnd w:id="284"/>
            <w:bookmarkEnd w:id="285"/>
            <w:bookmarkEnd w:id="286"/>
            <w:bookmarkEnd w:id="287"/>
            <w:r w:rsidR="0067441F" w:rsidRPr="00576AF8">
              <w:t xml:space="preserve">Anormalmente </w:t>
            </w:r>
            <w:r w:rsidRPr="00576AF8">
              <w:t>Bajas</w:t>
            </w:r>
            <w:bookmarkEnd w:id="288"/>
          </w:p>
        </w:tc>
        <w:tc>
          <w:tcPr>
            <w:tcW w:w="6831" w:type="dxa"/>
          </w:tcPr>
          <w:p w14:paraId="75A18A52" w14:textId="77777777" w:rsidR="00304AE9" w:rsidRPr="00576AF8" w:rsidRDefault="00304AE9">
            <w:pPr>
              <w:pStyle w:val="Prrafodelista"/>
              <w:numPr>
                <w:ilvl w:val="0"/>
                <w:numId w:val="22"/>
              </w:numPr>
              <w:spacing w:after="200"/>
              <w:ind w:left="563" w:hanging="563"/>
              <w:contextualSpacing w:val="0"/>
              <w:rPr>
                <w:szCs w:val="24"/>
              </w:rPr>
            </w:pPr>
            <w:r w:rsidRPr="00576AF8">
              <w:t xml:space="preserve">Una Oferta </w:t>
            </w:r>
            <w:r w:rsidR="0067441F" w:rsidRPr="00576AF8">
              <w:t>Anormalmente</w:t>
            </w:r>
            <w:r w:rsidRPr="00576AF8">
              <w:t xml:space="preserve"> </w:t>
            </w:r>
            <w:r w:rsidR="0067441F" w:rsidRPr="00576AF8">
              <w:t>B</w:t>
            </w:r>
            <w:r w:rsidRPr="00576AF8">
              <w:t>aja es aquella en la que el precio de la Oferta en combinación con otros elementos que forman parte de la Oferta resulta tan bajo que despierta serias dudas en el Comprador sobre la capacidad del Licitante para ejecutar el Contrato al precio cotizado.</w:t>
            </w:r>
          </w:p>
        </w:tc>
      </w:tr>
      <w:tr w:rsidR="00304AE9" w:rsidRPr="00576AF8" w14:paraId="17553F55" w14:textId="77777777" w:rsidTr="00314996">
        <w:tblPrEx>
          <w:tblCellMar>
            <w:left w:w="115" w:type="dxa"/>
            <w:right w:w="115" w:type="dxa"/>
          </w:tblCellMar>
        </w:tblPrEx>
        <w:trPr>
          <w:gridAfter w:val="1"/>
          <w:wAfter w:w="14" w:type="dxa"/>
        </w:trPr>
        <w:tc>
          <w:tcPr>
            <w:tcW w:w="2554" w:type="dxa"/>
          </w:tcPr>
          <w:p w14:paraId="460462A5" w14:textId="77777777" w:rsidR="00304AE9" w:rsidRPr="00576AF8" w:rsidRDefault="00304AE9" w:rsidP="00304AE9">
            <w:pPr>
              <w:spacing w:after="200"/>
              <w:rPr>
                <w:szCs w:val="24"/>
              </w:rPr>
            </w:pPr>
          </w:p>
        </w:tc>
        <w:tc>
          <w:tcPr>
            <w:tcW w:w="6831" w:type="dxa"/>
          </w:tcPr>
          <w:p w14:paraId="3149319A" w14:textId="77777777" w:rsidR="00304AE9" w:rsidRPr="00576AF8" w:rsidRDefault="00304AE9">
            <w:pPr>
              <w:pStyle w:val="Prrafodelista"/>
              <w:numPr>
                <w:ilvl w:val="0"/>
                <w:numId w:val="22"/>
              </w:numPr>
              <w:spacing w:after="200"/>
              <w:ind w:left="563" w:hanging="563"/>
              <w:contextualSpacing w:val="0"/>
              <w:rPr>
                <w:szCs w:val="24"/>
              </w:rPr>
            </w:pPr>
            <w:r w:rsidRPr="00576AF8">
              <w:t xml:space="preserve">En caso de identificarse una posible Oferta </w:t>
            </w:r>
            <w:r w:rsidR="0067441F" w:rsidRPr="00576AF8">
              <w:t>Anormalmente Baja</w:t>
            </w:r>
            <w:r w:rsidRPr="00576AF8">
              <w:t xml:space="preserve">, el Comprador deberá solicitar una aclaración por escrito de parte del Licitante, que incluya análisis detallados del precio de la Oferta presentado en relación con el objeto del Contrato, su alcance, la metodología propuesta, el cronograma, la asignación de riesgos y responsabilidades, y todo otro requisito establecido en el </w:t>
            </w:r>
            <w:r w:rsidR="00807C34" w:rsidRPr="00576AF8">
              <w:t>documento de licitación</w:t>
            </w:r>
            <w:r w:rsidRPr="00576AF8">
              <w:t>.</w:t>
            </w:r>
          </w:p>
          <w:p w14:paraId="6000BCBB" w14:textId="77777777" w:rsidR="00304AE9" w:rsidRPr="00576AF8" w:rsidRDefault="00304AE9">
            <w:pPr>
              <w:pStyle w:val="Prrafodelista"/>
              <w:numPr>
                <w:ilvl w:val="0"/>
                <w:numId w:val="22"/>
              </w:numPr>
              <w:spacing w:after="200"/>
              <w:ind w:left="563" w:hanging="563"/>
              <w:contextualSpacing w:val="0"/>
              <w:rPr>
                <w:szCs w:val="24"/>
              </w:rPr>
            </w:pPr>
            <w:r w:rsidRPr="00576AF8">
              <w:t>Tras la evaluación de los análisis de precios, en caso de que el Comprador determine que el Licitante no ha logrado demostrar su capacidad de cumplir con el Contrato al precio de la Oferta indicado, el Comprador procederá a rechazar la Oferta.</w:t>
            </w:r>
          </w:p>
        </w:tc>
      </w:tr>
      <w:tr w:rsidR="00B77007" w:rsidRPr="00576AF8" w14:paraId="2FB67BC8" w14:textId="77777777" w:rsidTr="00314996">
        <w:tblPrEx>
          <w:tblCellMar>
            <w:left w:w="115" w:type="dxa"/>
            <w:right w:w="115" w:type="dxa"/>
          </w:tblCellMar>
        </w:tblPrEx>
        <w:trPr>
          <w:gridAfter w:val="1"/>
          <w:wAfter w:w="14" w:type="dxa"/>
        </w:trPr>
        <w:tc>
          <w:tcPr>
            <w:tcW w:w="2554" w:type="dxa"/>
          </w:tcPr>
          <w:p w14:paraId="3C6B5AD9" w14:textId="77777777" w:rsidR="00B77007" w:rsidRPr="00576AF8" w:rsidRDefault="00E909B4" w:rsidP="00B77007">
            <w:pPr>
              <w:spacing w:after="200"/>
              <w:rPr>
                <w:szCs w:val="24"/>
              </w:rPr>
            </w:pPr>
            <w:bookmarkStart w:id="289" w:name="_Toc24975697"/>
            <w:r w:rsidRPr="00576AF8">
              <w:rPr>
                <w:b/>
                <w:szCs w:val="24"/>
              </w:rPr>
              <w:t xml:space="preserve">42. </w:t>
            </w:r>
            <w:r w:rsidR="00B77007" w:rsidRPr="00576AF8">
              <w:rPr>
                <w:b/>
                <w:szCs w:val="24"/>
              </w:rPr>
              <w:t>Mejor Oferta Final</w:t>
            </w:r>
            <w:bookmarkEnd w:id="289"/>
          </w:p>
        </w:tc>
        <w:tc>
          <w:tcPr>
            <w:tcW w:w="6831" w:type="dxa"/>
          </w:tcPr>
          <w:p w14:paraId="7D890ECB" w14:textId="77777777" w:rsidR="00B77007" w:rsidRPr="00576AF8"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623"/>
              <w:rPr>
                <w:b w:val="0"/>
                <w:bCs/>
              </w:rPr>
            </w:pPr>
            <w:r w:rsidRPr="00576AF8">
              <w:rPr>
                <w:b w:val="0"/>
                <w:bCs/>
                <w:spacing w:val="-4"/>
              </w:rPr>
              <w:t xml:space="preserve">Si </w:t>
            </w:r>
            <w:r w:rsidRPr="00576AF8">
              <w:rPr>
                <w:spacing w:val="-4"/>
              </w:rPr>
              <w:t xml:space="preserve">en los DDL </w:t>
            </w:r>
            <w:r w:rsidRPr="00576AF8">
              <w:rPr>
                <w:b w:val="0"/>
                <w:bCs/>
                <w:spacing w:val="-4"/>
              </w:rPr>
              <w:t xml:space="preserve">se establece que </w:t>
            </w:r>
            <w:r w:rsidR="00395098" w:rsidRPr="00576AF8">
              <w:rPr>
                <w:b w:val="0"/>
                <w:bCs/>
                <w:spacing w:val="-4"/>
              </w:rPr>
              <w:t>Comprador</w:t>
            </w:r>
            <w:r w:rsidRPr="00576AF8">
              <w:rPr>
                <w:b w:val="0"/>
                <w:bCs/>
                <w:spacing w:val="-4"/>
              </w:rPr>
              <w:t xml:space="preserve"> utilizará el método de Mejor Oferta Final, los </w:t>
            </w:r>
            <w:r w:rsidR="007A705B" w:rsidRPr="00576AF8">
              <w:rPr>
                <w:b w:val="0"/>
                <w:bCs/>
                <w:spacing w:val="-4"/>
              </w:rPr>
              <w:t>Licitante</w:t>
            </w:r>
            <w:r w:rsidRPr="00576AF8">
              <w:rPr>
                <w:b w:val="0"/>
                <w:bCs/>
                <w:spacing w:val="-4"/>
              </w:rPr>
              <w:t xml:space="preserve">s que alcanzaron el puntaje mínimo y presentaron Ofertas sustancialmente ajustadas a los requisitos serán invitados a presentar su Mejor Oferta Final </w:t>
            </w:r>
            <w:r w:rsidRPr="00576AF8">
              <w:rPr>
                <w:b w:val="0"/>
                <w:bCs/>
                <w:spacing w:val="-4"/>
              </w:rPr>
              <w:lastRenderedPageBreak/>
              <w:t xml:space="preserve">reduciendo los precios, aclarando o modificando su </w:t>
            </w:r>
            <w:r w:rsidR="0077313B" w:rsidRPr="00576AF8">
              <w:rPr>
                <w:b w:val="0"/>
                <w:bCs/>
                <w:spacing w:val="-4"/>
              </w:rPr>
              <w:t xml:space="preserve">Oferta </w:t>
            </w:r>
            <w:r w:rsidRPr="00576AF8">
              <w:rPr>
                <w:b w:val="0"/>
                <w:bCs/>
                <w:spacing w:val="-4"/>
              </w:rPr>
              <w:t xml:space="preserve">o suministrando información adicional, como corresponda. </w:t>
            </w:r>
          </w:p>
          <w:p w14:paraId="0E098B65" w14:textId="77777777" w:rsidR="00B77007" w:rsidRPr="00576AF8"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rPr>
            </w:pPr>
            <w:r w:rsidRPr="00576AF8">
              <w:rPr>
                <w:b w:val="0"/>
                <w:bCs/>
              </w:rPr>
              <w:t xml:space="preserve">Los </w:t>
            </w:r>
            <w:r w:rsidR="007A705B" w:rsidRPr="00576AF8">
              <w:rPr>
                <w:b w:val="0"/>
                <w:bCs/>
              </w:rPr>
              <w:t>Licitante</w:t>
            </w:r>
            <w:r w:rsidRPr="00576AF8">
              <w:rPr>
                <w:b w:val="0"/>
                <w:bCs/>
              </w:rPr>
              <w:t xml:space="preserve">s no están </w:t>
            </w:r>
            <w:r w:rsidRPr="00576AF8">
              <w:rPr>
                <w:b w:val="0"/>
                <w:bCs/>
                <w:spacing w:val="-4"/>
              </w:rPr>
              <w:t>obligados</w:t>
            </w:r>
            <w:r w:rsidRPr="00576AF8">
              <w:rPr>
                <w:b w:val="0"/>
                <w:bCs/>
              </w:rPr>
              <w:t xml:space="preserve"> a presentar una Mejor Oferta Final. No habrá ninguna Negociación después de la Mejor Oferta Final. </w:t>
            </w:r>
          </w:p>
          <w:p w14:paraId="1F3548BB" w14:textId="77777777" w:rsidR="00B77007" w:rsidRPr="00576AF8"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rPr>
            </w:pPr>
            <w:r w:rsidRPr="00576AF8">
              <w:rPr>
                <w:b w:val="0"/>
                <w:bCs/>
              </w:rPr>
              <w:t xml:space="preserve">Para observar e informar la aplicación de la Mejor Oferta Final el </w:t>
            </w:r>
            <w:r w:rsidR="00395098" w:rsidRPr="00576AF8">
              <w:rPr>
                <w:b w:val="0"/>
                <w:bCs/>
              </w:rPr>
              <w:t>Comprador</w:t>
            </w:r>
            <w:r w:rsidRPr="00576AF8">
              <w:rPr>
                <w:b w:val="0"/>
                <w:bCs/>
              </w:rPr>
              <w:t xml:space="preserve"> </w:t>
            </w:r>
            <w:r w:rsidRPr="00576AF8">
              <w:rPr>
                <w:b w:val="0"/>
                <w:bCs/>
                <w:spacing w:val="-4"/>
              </w:rPr>
              <w:t>podrá</w:t>
            </w:r>
            <w:r w:rsidRPr="00576AF8">
              <w:rPr>
                <w:b w:val="0"/>
                <w:bCs/>
              </w:rPr>
              <w:t xml:space="preserve"> nombrar a la Autoridad Independiente de Probidad que se indica </w:t>
            </w:r>
            <w:r w:rsidRPr="00576AF8">
              <w:t>en los DDL</w:t>
            </w:r>
            <w:r w:rsidRPr="00576AF8">
              <w:rPr>
                <w:b w:val="0"/>
                <w:bCs/>
              </w:rPr>
              <w:t>.</w:t>
            </w:r>
          </w:p>
          <w:p w14:paraId="5A33F9C2" w14:textId="77777777" w:rsidR="00B77007" w:rsidRPr="00576AF8"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rPr>
            </w:pPr>
            <w:r w:rsidRPr="00576AF8">
              <w:rPr>
                <w:b w:val="0"/>
                <w:bCs/>
                <w:spacing w:val="-4"/>
              </w:rPr>
              <w:t xml:space="preserve">El </w:t>
            </w:r>
            <w:r w:rsidR="00395098" w:rsidRPr="00576AF8">
              <w:rPr>
                <w:b w:val="0"/>
                <w:bCs/>
                <w:spacing w:val="-4"/>
              </w:rPr>
              <w:t>Comprador</w:t>
            </w:r>
            <w:r w:rsidRPr="00576AF8">
              <w:rPr>
                <w:b w:val="0"/>
                <w:bCs/>
                <w:spacing w:val="-4"/>
              </w:rPr>
              <w:t xml:space="preserve"> establecerá un nuevo plazo y </w:t>
            </w:r>
            <w:r w:rsidRPr="00576AF8">
              <w:rPr>
                <w:b w:val="0"/>
                <w:bCs/>
              </w:rPr>
              <w:t>detalles</w:t>
            </w:r>
            <w:r w:rsidRPr="00576AF8">
              <w:rPr>
                <w:b w:val="0"/>
                <w:bCs/>
                <w:spacing w:val="-4"/>
              </w:rPr>
              <w:t xml:space="preserve"> para la presentación de la Mejor Oferta </w:t>
            </w:r>
            <w:r w:rsidRPr="00576AF8">
              <w:rPr>
                <w:b w:val="0"/>
                <w:bCs/>
              </w:rPr>
              <w:t>Final</w:t>
            </w:r>
            <w:r w:rsidRPr="00576AF8">
              <w:rPr>
                <w:b w:val="0"/>
                <w:bCs/>
                <w:spacing w:val="-4"/>
              </w:rPr>
              <w:t xml:space="preserve"> </w:t>
            </w:r>
            <w:r w:rsidRPr="00576AF8">
              <w:rPr>
                <w:spacing w:val="-4"/>
              </w:rPr>
              <w:t>en los DDL</w:t>
            </w:r>
            <w:r w:rsidRPr="00576AF8">
              <w:rPr>
                <w:b w:val="0"/>
                <w:bCs/>
                <w:spacing w:val="-4"/>
              </w:rPr>
              <w:t xml:space="preserve">. Las instrucciones en </w:t>
            </w:r>
            <w:r w:rsidR="00AC15A1" w:rsidRPr="00576AF8">
              <w:rPr>
                <w:b w:val="0"/>
                <w:bCs/>
                <w:spacing w:val="-4"/>
              </w:rPr>
              <w:t xml:space="preserve">IAL </w:t>
            </w:r>
            <w:r w:rsidR="001D4F66" w:rsidRPr="00576AF8">
              <w:rPr>
                <w:b w:val="0"/>
                <w:bCs/>
                <w:spacing w:val="-4"/>
              </w:rPr>
              <w:t>22 y sucesivas</w:t>
            </w:r>
            <w:r w:rsidR="00AC15A1" w:rsidRPr="00576AF8">
              <w:rPr>
                <w:b w:val="0"/>
                <w:bCs/>
                <w:spacing w:val="-4"/>
              </w:rPr>
              <w:t>, como correspondan,</w:t>
            </w:r>
            <w:r w:rsidRPr="00576AF8">
              <w:rPr>
                <w:b w:val="0"/>
                <w:bCs/>
                <w:spacing w:val="-4"/>
              </w:rPr>
              <w:t xml:space="preserve"> aplicarán a la presentación, apertura y aclaraciones de la Mejor Oferta Final. </w:t>
            </w:r>
          </w:p>
          <w:p w14:paraId="170180CA" w14:textId="77777777" w:rsidR="00B77007" w:rsidRPr="00576AF8"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Cs/>
              </w:rPr>
            </w:pPr>
            <w:r w:rsidRPr="00576AF8">
              <w:rPr>
                <w:b w:val="0"/>
                <w:bCs/>
                <w:spacing w:val="-4"/>
              </w:rPr>
              <w:t xml:space="preserve">Una vez recibidas la Mejor Oferta Final el </w:t>
            </w:r>
            <w:r w:rsidR="00395098" w:rsidRPr="00576AF8">
              <w:rPr>
                <w:b w:val="0"/>
                <w:bCs/>
                <w:spacing w:val="-4"/>
              </w:rPr>
              <w:t>Comprador</w:t>
            </w:r>
            <w:r w:rsidRPr="00576AF8">
              <w:rPr>
                <w:b w:val="0"/>
                <w:bCs/>
                <w:spacing w:val="-4"/>
              </w:rPr>
              <w:t xml:space="preserve"> procederá nuevamente con la evaluación y comparación de las Ofertas de conformidad con la</w:t>
            </w:r>
            <w:r w:rsidR="002C746B" w:rsidRPr="00576AF8">
              <w:rPr>
                <w:b w:val="0"/>
                <w:bCs/>
                <w:spacing w:val="-4"/>
              </w:rPr>
              <w:t>s</w:t>
            </w:r>
            <w:r w:rsidRPr="00576AF8">
              <w:rPr>
                <w:b w:val="0"/>
                <w:bCs/>
                <w:spacing w:val="-4"/>
              </w:rPr>
              <w:t xml:space="preserve"> </w:t>
            </w:r>
            <w:r w:rsidR="001C171F" w:rsidRPr="00576AF8">
              <w:rPr>
                <w:b w:val="0"/>
                <w:bCs/>
                <w:spacing w:val="-4"/>
              </w:rPr>
              <w:t xml:space="preserve">IAL 36 </w:t>
            </w:r>
            <w:r w:rsidR="002C746B" w:rsidRPr="00576AF8">
              <w:rPr>
                <w:b w:val="0"/>
                <w:bCs/>
                <w:spacing w:val="-4"/>
              </w:rPr>
              <w:t>a</w:t>
            </w:r>
            <w:r w:rsidR="001C171F" w:rsidRPr="00576AF8">
              <w:rPr>
                <w:b w:val="0"/>
                <w:bCs/>
                <w:spacing w:val="-4"/>
              </w:rPr>
              <w:t xml:space="preserve"> IAL 41 </w:t>
            </w:r>
            <w:r w:rsidRPr="00576AF8">
              <w:rPr>
                <w:b w:val="0"/>
                <w:bCs/>
                <w:spacing w:val="-4"/>
              </w:rPr>
              <w:t xml:space="preserve">y luego procederá con la </w:t>
            </w:r>
            <w:r w:rsidR="001C171F" w:rsidRPr="00576AF8">
              <w:rPr>
                <w:b w:val="0"/>
                <w:bCs/>
                <w:spacing w:val="-4"/>
              </w:rPr>
              <w:t xml:space="preserve">IAL 43 </w:t>
            </w:r>
            <w:r w:rsidRPr="00576AF8">
              <w:rPr>
                <w:b w:val="0"/>
                <w:bCs/>
                <w:spacing w:val="-4"/>
              </w:rPr>
              <w:t>y siguientes.</w:t>
            </w:r>
          </w:p>
        </w:tc>
      </w:tr>
      <w:tr w:rsidR="00E85A07" w:rsidRPr="00576AF8" w14:paraId="4831FF58" w14:textId="77777777" w:rsidTr="00B2247A">
        <w:tblPrEx>
          <w:tblCellMar>
            <w:left w:w="115" w:type="dxa"/>
            <w:right w:w="115" w:type="dxa"/>
          </w:tblCellMar>
        </w:tblPrEx>
        <w:trPr>
          <w:gridAfter w:val="1"/>
          <w:wAfter w:w="14" w:type="dxa"/>
        </w:trPr>
        <w:tc>
          <w:tcPr>
            <w:tcW w:w="9385" w:type="dxa"/>
            <w:gridSpan w:val="2"/>
          </w:tcPr>
          <w:p w14:paraId="06B77C8E" w14:textId="77777777" w:rsidR="00E85A07" w:rsidRPr="00576AF8" w:rsidRDefault="00FA0E65" w:rsidP="004934F4">
            <w:pPr>
              <w:pStyle w:val="Toc2-1"/>
            </w:pPr>
            <w:bookmarkStart w:id="290" w:name="_Toc25486624"/>
            <w:r w:rsidRPr="00576AF8">
              <w:lastRenderedPageBreak/>
              <w:t xml:space="preserve">J. </w:t>
            </w:r>
            <w:r w:rsidR="00E85A07" w:rsidRPr="00576AF8">
              <w:t xml:space="preserve">Evaluación </w:t>
            </w:r>
            <w:r w:rsidR="00C8767A" w:rsidRPr="00576AF8">
              <w:t>C</w:t>
            </w:r>
            <w:r w:rsidR="00E85A07" w:rsidRPr="00576AF8">
              <w:t>ombinada de las Ofertas Técnicas y Financieras</w:t>
            </w:r>
            <w:bookmarkEnd w:id="290"/>
          </w:p>
        </w:tc>
      </w:tr>
      <w:tr w:rsidR="00E775CA" w:rsidRPr="00576AF8" w14:paraId="714CDBC0" w14:textId="77777777" w:rsidTr="00314996">
        <w:tblPrEx>
          <w:tblCellMar>
            <w:left w:w="115" w:type="dxa"/>
            <w:right w:w="115" w:type="dxa"/>
          </w:tblCellMar>
        </w:tblPrEx>
        <w:trPr>
          <w:gridAfter w:val="1"/>
          <w:wAfter w:w="14" w:type="dxa"/>
        </w:trPr>
        <w:tc>
          <w:tcPr>
            <w:tcW w:w="2554" w:type="dxa"/>
          </w:tcPr>
          <w:p w14:paraId="411DAFCE" w14:textId="77777777" w:rsidR="00E775CA" w:rsidRPr="00576AF8" w:rsidRDefault="007F2D16" w:rsidP="004934F4">
            <w:pPr>
              <w:pStyle w:val="TOC2-2"/>
              <w:numPr>
                <w:ilvl w:val="0"/>
                <w:numId w:val="0"/>
              </w:numPr>
              <w:ind w:left="341" w:hanging="341"/>
            </w:pPr>
            <w:bookmarkStart w:id="291" w:name="_Toc24975699"/>
            <w:bookmarkStart w:id="292" w:name="_Toc25486625"/>
            <w:r w:rsidRPr="00576AF8">
              <w:t xml:space="preserve">43. </w:t>
            </w:r>
            <w:r w:rsidR="00E775CA" w:rsidRPr="00576AF8">
              <w:t>Evaluación Combinada Técnica y Financiera, cuando corresponde</w:t>
            </w:r>
            <w:bookmarkEnd w:id="291"/>
            <w:bookmarkEnd w:id="292"/>
          </w:p>
        </w:tc>
        <w:tc>
          <w:tcPr>
            <w:tcW w:w="6831" w:type="dxa"/>
          </w:tcPr>
          <w:p w14:paraId="2AEE4DB3" w14:textId="77777777" w:rsidR="000742D8" w:rsidRPr="00576AF8" w:rsidRDefault="00E775CA">
            <w:pPr>
              <w:pStyle w:val="Prrafodelista"/>
              <w:numPr>
                <w:ilvl w:val="0"/>
                <w:numId w:val="97"/>
              </w:numPr>
              <w:ind w:left="624" w:hanging="624"/>
              <w:contextualSpacing w:val="0"/>
            </w:pPr>
            <w:r w:rsidRPr="00576AF8">
              <w:t>Cuando de conformidad con DDL en referencia a IA</w:t>
            </w:r>
            <w:r w:rsidR="000742D8" w:rsidRPr="00576AF8">
              <w:t>L</w:t>
            </w:r>
            <w:r w:rsidRPr="00576AF8">
              <w:t xml:space="preserve"> 3</w:t>
            </w:r>
            <w:r w:rsidR="000742D8" w:rsidRPr="00576AF8">
              <w:t>1</w:t>
            </w:r>
            <w:r w:rsidRPr="00576AF8">
              <w:t>.</w:t>
            </w:r>
            <w:r w:rsidR="000742D8" w:rsidRPr="00576AF8">
              <w:t>4</w:t>
            </w:r>
            <w:r w:rsidRPr="00576AF8">
              <w:t xml:space="preserve"> se establece que la evaluación técnica se realizará con puntajes y factores de ponderación, la evaluación del </w:t>
            </w:r>
            <w:r w:rsidR="00395098" w:rsidRPr="00576AF8">
              <w:t>Comprador</w:t>
            </w:r>
            <w:r w:rsidRPr="00576AF8">
              <w:t xml:space="preserve"> de las Ofertas tendrá en cuenta factores técnicos, además de los factores de costo de conformidad con la Sección III, </w:t>
            </w:r>
            <w:r w:rsidR="00A03C6D" w:rsidRPr="00576AF8">
              <w:t>"</w:t>
            </w:r>
            <w:r w:rsidRPr="00576AF8">
              <w:t>Criterios de Evaluación de Calificación.</w:t>
            </w:r>
            <w:r w:rsidR="00A03C6D" w:rsidRPr="00576AF8">
              <w:t>"</w:t>
            </w:r>
            <w:r w:rsidRPr="00576AF8">
              <w:t xml:space="preserve"> El peso que se asignará a la factores y costos se especifica </w:t>
            </w:r>
            <w:r w:rsidRPr="00576AF8">
              <w:rPr>
                <w:b/>
                <w:bCs/>
              </w:rPr>
              <w:t>en los DDL</w:t>
            </w:r>
            <w:r w:rsidRPr="00576AF8">
              <w:t xml:space="preserve">. El </w:t>
            </w:r>
            <w:r w:rsidR="00395098" w:rsidRPr="00576AF8">
              <w:t>Comprador</w:t>
            </w:r>
            <w:r w:rsidRPr="00576AF8">
              <w:t xml:space="preserve"> clasificará las propuestas basadas en el puntaje de la propuesta evaluada. </w:t>
            </w:r>
          </w:p>
          <w:p w14:paraId="13279A08" w14:textId="77777777" w:rsidR="00E775CA" w:rsidRPr="00576AF8" w:rsidRDefault="00E775CA">
            <w:pPr>
              <w:pStyle w:val="Prrafodelista"/>
              <w:numPr>
                <w:ilvl w:val="0"/>
                <w:numId w:val="97"/>
              </w:numPr>
              <w:ind w:left="624" w:hanging="624"/>
              <w:contextualSpacing w:val="0"/>
            </w:pPr>
            <w:r w:rsidRPr="00576AF8">
              <w:t>Cuando de conformidad con DDL en referencia a IA</w:t>
            </w:r>
            <w:r w:rsidR="000742D8" w:rsidRPr="00576AF8">
              <w:t>L</w:t>
            </w:r>
            <w:r w:rsidRPr="00576AF8">
              <w:t xml:space="preserve"> 3</w:t>
            </w:r>
            <w:r w:rsidR="000742D8" w:rsidRPr="00576AF8">
              <w:t>1</w:t>
            </w:r>
            <w:r w:rsidRPr="00576AF8">
              <w:t>.</w:t>
            </w:r>
            <w:r w:rsidR="000742D8" w:rsidRPr="00576AF8">
              <w:t>4</w:t>
            </w:r>
            <w:r w:rsidRPr="00576AF8">
              <w:t>, la evaluación técnica con puntaje solamente se emplea para determinar si la Oferta Técnica alcanza el puntaje mínimo aceptable, la evaluación combinada no aplica.</w:t>
            </w:r>
          </w:p>
        </w:tc>
      </w:tr>
      <w:tr w:rsidR="00E775CA" w:rsidRPr="00576AF8" w14:paraId="2186CAD9" w14:textId="77777777" w:rsidTr="00314996">
        <w:tblPrEx>
          <w:tblCellMar>
            <w:left w:w="115" w:type="dxa"/>
            <w:right w:w="115" w:type="dxa"/>
          </w:tblCellMar>
        </w:tblPrEx>
        <w:trPr>
          <w:gridAfter w:val="1"/>
          <w:wAfter w:w="14" w:type="dxa"/>
        </w:trPr>
        <w:tc>
          <w:tcPr>
            <w:tcW w:w="2554" w:type="dxa"/>
          </w:tcPr>
          <w:p w14:paraId="2C975375" w14:textId="77777777" w:rsidR="00E775CA" w:rsidRPr="00576AF8" w:rsidRDefault="00A03C6D" w:rsidP="00866570">
            <w:pPr>
              <w:pStyle w:val="TOC2-2"/>
              <w:numPr>
                <w:ilvl w:val="0"/>
                <w:numId w:val="0"/>
              </w:numPr>
              <w:ind w:left="482" w:hanging="425"/>
            </w:pPr>
            <w:bookmarkStart w:id="293" w:name="_Toc455487635"/>
            <w:bookmarkStart w:id="294" w:name="_Toc24975700"/>
            <w:bookmarkStart w:id="295" w:name="_Toc25486626"/>
            <w:r w:rsidRPr="00576AF8">
              <w:t xml:space="preserve">44. </w:t>
            </w:r>
            <w:r w:rsidR="00E775CA" w:rsidRPr="00576AF8">
              <w:t xml:space="preserve">Oferta Más </w:t>
            </w:r>
            <w:bookmarkEnd w:id="293"/>
            <w:r w:rsidR="00E775CA" w:rsidRPr="00576AF8">
              <w:t>Ventajosa</w:t>
            </w:r>
            <w:bookmarkEnd w:id="294"/>
            <w:bookmarkEnd w:id="295"/>
          </w:p>
        </w:tc>
        <w:tc>
          <w:tcPr>
            <w:tcW w:w="6831" w:type="dxa"/>
          </w:tcPr>
          <w:p w14:paraId="446968F9" w14:textId="77777777" w:rsidR="00E775CA" w:rsidRPr="00576AF8" w:rsidRDefault="000742D8">
            <w:pPr>
              <w:pStyle w:val="Prrafodelista"/>
              <w:numPr>
                <w:ilvl w:val="0"/>
                <w:numId w:val="98"/>
              </w:numPr>
              <w:ind w:left="623" w:hanging="623"/>
              <w:rPr>
                <w:szCs w:val="24"/>
              </w:rPr>
            </w:pPr>
            <w:r w:rsidRPr="00576AF8">
              <w:t>Tras comparar los costos evaluados de las Ofertas,</w:t>
            </w:r>
            <w:r w:rsidR="0077313B" w:rsidRPr="00576AF8">
              <w:t xml:space="preserve"> </w:t>
            </w:r>
            <w:r w:rsidRPr="00576AF8">
              <w:t>el</w:t>
            </w:r>
            <w:r w:rsidR="00E775CA" w:rsidRPr="00576AF8">
              <w:t xml:space="preserve"> Comprador adjudicará el Contrato al Licitante seleccionado. El Licitante seleccionado es aquel cuya Oferta haya sido considerada la Oferta Más Ventajosa. La determinación de la Oferta Más Ventajosa se realizará según una de las dos opciones que se definen </w:t>
            </w:r>
            <w:r w:rsidR="00E775CA" w:rsidRPr="00576AF8">
              <w:rPr>
                <w:b/>
              </w:rPr>
              <w:t>en los DDL</w:t>
            </w:r>
            <w:r w:rsidR="00E775CA" w:rsidRPr="00576AF8">
              <w:t>. Las opciones de metodologías son las siguientes:</w:t>
            </w:r>
          </w:p>
          <w:p w14:paraId="1AECFE83" w14:textId="77777777" w:rsidR="00E775CA" w:rsidRPr="00576AF8" w:rsidRDefault="00E775CA">
            <w:pPr>
              <w:pStyle w:val="Sub-ClauseText"/>
              <w:numPr>
                <w:ilvl w:val="0"/>
                <w:numId w:val="39"/>
              </w:numPr>
              <w:spacing w:before="0" w:after="200"/>
              <w:ind w:left="1331" w:hanging="708"/>
              <w:rPr>
                <w:color w:val="000000" w:themeColor="text1"/>
                <w:spacing w:val="0"/>
                <w:szCs w:val="24"/>
                <w:lang w:eastAsia="en-US" w:bidi="ar-SA"/>
              </w:rPr>
            </w:pPr>
            <w:r w:rsidRPr="00576AF8">
              <w:rPr>
                <w:b/>
                <w:bCs/>
                <w:color w:val="000000" w:themeColor="text1"/>
                <w:spacing w:val="0"/>
                <w:szCs w:val="24"/>
                <w:lang w:eastAsia="en-US" w:bidi="ar-SA"/>
              </w:rPr>
              <w:lastRenderedPageBreak/>
              <w:t>Cuando se utiliza puntaje como criterios de evaluación</w:t>
            </w:r>
            <w:r w:rsidRPr="00576AF8">
              <w:rPr>
                <w:color w:val="000000" w:themeColor="text1"/>
                <w:spacing w:val="0"/>
                <w:szCs w:val="24"/>
                <w:lang w:eastAsia="en-US" w:bidi="ar-SA"/>
              </w:rPr>
              <w:t>: el Licitante que cumple los criterios de calificación y respecto de cuya Oferta se ha determinado que:</w:t>
            </w:r>
          </w:p>
          <w:p w14:paraId="10ECAA34" w14:textId="77777777" w:rsidR="00E775CA" w:rsidRPr="00576AF8" w:rsidRDefault="00E775CA">
            <w:pPr>
              <w:pStyle w:val="Sub-ClauseText"/>
              <w:numPr>
                <w:ilvl w:val="0"/>
                <w:numId w:val="90"/>
              </w:numPr>
              <w:spacing w:before="0" w:after="200"/>
              <w:ind w:left="1757" w:hanging="426"/>
              <w:rPr>
                <w:color w:val="000000" w:themeColor="text1"/>
                <w:spacing w:val="0"/>
                <w:szCs w:val="24"/>
              </w:rPr>
            </w:pPr>
            <w:r w:rsidRPr="00576AF8">
              <w:rPr>
                <w:color w:val="000000" w:themeColor="text1"/>
                <w:spacing w:val="0"/>
              </w:rPr>
              <w:t xml:space="preserve">se ajusta sustancialmente al documento de licitación; </w:t>
            </w:r>
            <w:r w:rsidR="00E85A07" w:rsidRPr="00576AF8">
              <w:rPr>
                <w:color w:val="000000" w:themeColor="text1"/>
                <w:spacing w:val="0"/>
              </w:rPr>
              <w:t>y</w:t>
            </w:r>
          </w:p>
          <w:p w14:paraId="624A52B9" w14:textId="77777777" w:rsidR="00E775CA" w:rsidRPr="00576AF8" w:rsidRDefault="00E775CA">
            <w:pPr>
              <w:pStyle w:val="Sub-ClauseText"/>
              <w:numPr>
                <w:ilvl w:val="0"/>
                <w:numId w:val="90"/>
              </w:numPr>
              <w:spacing w:before="0" w:after="200"/>
              <w:ind w:left="1757" w:hanging="426"/>
              <w:rPr>
                <w:color w:val="000000" w:themeColor="text1"/>
                <w:spacing w:val="0"/>
                <w:szCs w:val="24"/>
              </w:rPr>
            </w:pPr>
            <w:r w:rsidRPr="00576AF8">
              <w:rPr>
                <w:color w:val="000000" w:themeColor="text1"/>
                <w:spacing w:val="0"/>
              </w:rPr>
              <w:t>es la mejor calificada de la evaluación (es decir, la Oferta que obtuvo el máximo puntaje combinado en los aspectos técnicos</w:t>
            </w:r>
            <w:r w:rsidR="002C746B" w:rsidRPr="00576AF8">
              <w:rPr>
                <w:color w:val="000000" w:themeColor="text1"/>
                <w:spacing w:val="0"/>
              </w:rPr>
              <w:t xml:space="preserve"> </w:t>
            </w:r>
            <w:r w:rsidRPr="00576AF8">
              <w:rPr>
                <w:color w:val="000000" w:themeColor="text1"/>
                <w:spacing w:val="0"/>
              </w:rPr>
              <w:t>de calidad y de precio)</w:t>
            </w:r>
            <w:r w:rsidR="002C746B" w:rsidRPr="00576AF8">
              <w:rPr>
                <w:color w:val="000000" w:themeColor="text1"/>
                <w:spacing w:val="0"/>
              </w:rPr>
              <w:t>.</w:t>
            </w:r>
          </w:p>
          <w:p w14:paraId="58546822" w14:textId="77777777" w:rsidR="00E775CA" w:rsidRPr="00576AF8" w:rsidRDefault="00E775CA">
            <w:pPr>
              <w:pStyle w:val="Sub-ClauseText"/>
              <w:numPr>
                <w:ilvl w:val="0"/>
                <w:numId w:val="39"/>
              </w:numPr>
              <w:spacing w:before="0" w:after="200"/>
              <w:ind w:left="1331" w:hanging="708"/>
              <w:rPr>
                <w:color w:val="000000" w:themeColor="text1"/>
                <w:spacing w:val="0"/>
                <w:szCs w:val="24"/>
                <w:lang w:eastAsia="en-US" w:bidi="ar-SA"/>
              </w:rPr>
            </w:pPr>
            <w:r w:rsidRPr="00576AF8">
              <w:rPr>
                <w:b/>
                <w:bCs/>
                <w:color w:val="000000" w:themeColor="text1"/>
                <w:spacing w:val="0"/>
                <w:szCs w:val="24"/>
                <w:lang w:eastAsia="en-US" w:bidi="ar-SA"/>
              </w:rPr>
              <w:t>Cuando no se utiliza puntaje como criterios de evaluación</w:t>
            </w:r>
            <w:r w:rsidRPr="00576AF8">
              <w:rPr>
                <w:color w:val="000000" w:themeColor="text1"/>
                <w:spacing w:val="0"/>
                <w:szCs w:val="24"/>
                <w:lang w:eastAsia="en-US" w:bidi="ar-SA"/>
              </w:rPr>
              <w:t>: el Licitante que cumple con los criterios de calificación y respecto de cuya Oferta se ha determinado que:</w:t>
            </w:r>
          </w:p>
          <w:p w14:paraId="392BD3E4" w14:textId="77777777" w:rsidR="00E775CA" w:rsidRPr="00576AF8" w:rsidRDefault="00E775CA">
            <w:pPr>
              <w:pStyle w:val="Sub-ClauseText"/>
              <w:numPr>
                <w:ilvl w:val="0"/>
                <w:numId w:val="91"/>
              </w:numPr>
              <w:spacing w:before="0" w:after="200"/>
              <w:ind w:left="1757" w:hanging="426"/>
              <w:rPr>
                <w:color w:val="000000" w:themeColor="text1"/>
                <w:spacing w:val="0"/>
                <w:szCs w:val="24"/>
              </w:rPr>
            </w:pPr>
            <w:r w:rsidRPr="00576AF8">
              <w:rPr>
                <w:color w:val="000000" w:themeColor="text1"/>
                <w:spacing w:val="0"/>
              </w:rPr>
              <w:t xml:space="preserve">se ajusta sustancialmente al documento de licitación; </w:t>
            </w:r>
            <w:r w:rsidR="00E85A07" w:rsidRPr="00576AF8">
              <w:rPr>
                <w:color w:val="000000" w:themeColor="text1"/>
                <w:spacing w:val="0"/>
              </w:rPr>
              <w:t>y</w:t>
            </w:r>
          </w:p>
          <w:p w14:paraId="616CAF1D" w14:textId="77777777" w:rsidR="00E775CA" w:rsidRPr="00576AF8" w:rsidRDefault="00E775CA">
            <w:pPr>
              <w:pStyle w:val="Sub-ClauseText"/>
              <w:numPr>
                <w:ilvl w:val="0"/>
                <w:numId w:val="91"/>
              </w:numPr>
              <w:spacing w:before="0" w:after="200"/>
              <w:ind w:left="1757" w:hanging="426"/>
              <w:rPr>
                <w:szCs w:val="24"/>
              </w:rPr>
            </w:pPr>
            <w:r w:rsidRPr="00576AF8">
              <w:rPr>
                <w:color w:val="000000" w:themeColor="text1"/>
              </w:rPr>
              <w:t>tiene el costo evaluado más bajo</w:t>
            </w:r>
            <w:r w:rsidRPr="00576AF8">
              <w:t xml:space="preserve">; </w:t>
            </w:r>
          </w:p>
        </w:tc>
      </w:tr>
      <w:tr w:rsidR="00E775CA" w:rsidRPr="00576AF8" w14:paraId="28622D8A" w14:textId="77777777" w:rsidTr="00314996">
        <w:tblPrEx>
          <w:tblCellMar>
            <w:left w:w="115" w:type="dxa"/>
            <w:right w:w="115" w:type="dxa"/>
          </w:tblCellMar>
        </w:tblPrEx>
        <w:trPr>
          <w:gridAfter w:val="1"/>
          <w:wAfter w:w="14" w:type="dxa"/>
        </w:trPr>
        <w:tc>
          <w:tcPr>
            <w:tcW w:w="2554" w:type="dxa"/>
          </w:tcPr>
          <w:p w14:paraId="4B209C1B" w14:textId="77777777" w:rsidR="00E775CA" w:rsidRPr="00576AF8" w:rsidRDefault="007A79C3" w:rsidP="00E775CA">
            <w:pPr>
              <w:pStyle w:val="TOC2-2"/>
              <w:numPr>
                <w:ilvl w:val="0"/>
                <w:numId w:val="0"/>
              </w:numPr>
              <w:ind w:left="360"/>
            </w:pPr>
            <w:bookmarkStart w:id="296" w:name="_Toc24975701"/>
            <w:bookmarkStart w:id="297" w:name="_Toc25486627"/>
            <w:r w:rsidRPr="00576AF8">
              <w:lastRenderedPageBreak/>
              <w:t xml:space="preserve">45. </w:t>
            </w:r>
            <w:r w:rsidR="00E775CA" w:rsidRPr="00576AF8">
              <w:t>Negociaciones</w:t>
            </w:r>
            <w:bookmarkEnd w:id="296"/>
            <w:bookmarkEnd w:id="297"/>
          </w:p>
        </w:tc>
        <w:tc>
          <w:tcPr>
            <w:tcW w:w="6831" w:type="dxa"/>
          </w:tcPr>
          <w:p w14:paraId="3D119745" w14:textId="77777777" w:rsidR="00E775CA" w:rsidRPr="00576AF8" w:rsidRDefault="00E775CA">
            <w:pPr>
              <w:pStyle w:val="Prrafodelista"/>
              <w:numPr>
                <w:ilvl w:val="0"/>
                <w:numId w:val="99"/>
              </w:numPr>
              <w:ind w:left="624" w:hanging="624"/>
              <w:contextualSpacing w:val="0"/>
            </w:pPr>
            <w:r w:rsidRPr="00576AF8">
              <w:t xml:space="preserve">Si el </w:t>
            </w:r>
            <w:r w:rsidR="00395098" w:rsidRPr="00576AF8">
              <w:t>Comprador</w:t>
            </w:r>
            <w:r w:rsidRPr="00576AF8">
              <w:t xml:space="preserve"> no ha utilizado el método de Mejor Oferta Final en la evaluación de Ofertas y </w:t>
            </w:r>
            <w:r w:rsidRPr="00576AF8">
              <w:rPr>
                <w:b/>
                <w:bCs/>
              </w:rPr>
              <w:t>en los DDL</w:t>
            </w:r>
            <w:r w:rsidRPr="00576AF8">
              <w:t xml:space="preserve"> se establece que </w:t>
            </w:r>
            <w:r w:rsidR="00395098" w:rsidRPr="00576AF8">
              <w:t>Comprador</w:t>
            </w:r>
            <w:r w:rsidRPr="00576AF8">
              <w:t xml:space="preserve"> utilizará Negociaciones con el </w:t>
            </w:r>
            <w:r w:rsidR="007A705B" w:rsidRPr="00576AF8">
              <w:t>Licitante</w:t>
            </w:r>
            <w:r w:rsidRPr="00576AF8">
              <w:t xml:space="preserve"> de la Oferta Más Ventajosa, el </w:t>
            </w:r>
            <w:r w:rsidR="007A705B" w:rsidRPr="00576AF8">
              <w:t>Licitante</w:t>
            </w:r>
            <w:r w:rsidRPr="00576AF8">
              <w:t xml:space="preserve"> seleccionado será invitado a entablar Negociaciones antes de la adjudicación final del Contrato.</w:t>
            </w:r>
          </w:p>
          <w:p w14:paraId="66E4F546" w14:textId="77777777" w:rsidR="00E775CA" w:rsidRPr="00576AF8" w:rsidRDefault="00E775CA">
            <w:pPr>
              <w:pStyle w:val="Prrafodelista"/>
              <w:numPr>
                <w:ilvl w:val="0"/>
                <w:numId w:val="99"/>
              </w:numPr>
              <w:ind w:left="624" w:hanging="624"/>
              <w:contextualSpacing w:val="0"/>
            </w:pPr>
            <w:r w:rsidRPr="00576AF8">
              <w:t xml:space="preserve">Una vez determinado el </w:t>
            </w:r>
            <w:r w:rsidR="007A705B" w:rsidRPr="00576AF8">
              <w:t>Licitante</w:t>
            </w:r>
            <w:r w:rsidRPr="00576AF8">
              <w:t xml:space="preserve"> con la Oferta Más Ventajosa, el </w:t>
            </w:r>
            <w:r w:rsidR="00395098" w:rsidRPr="00576AF8">
              <w:t>Comprador</w:t>
            </w:r>
            <w:r w:rsidRPr="00576AF8">
              <w:t xml:space="preserve"> notificará prontamente al </w:t>
            </w:r>
            <w:r w:rsidR="007A705B" w:rsidRPr="00576AF8">
              <w:t>Licitante</w:t>
            </w:r>
            <w:r w:rsidRPr="00576AF8">
              <w:t xml:space="preserve"> de la Oferta Más Ventajosa el plazo para iniciar Negociaciones. Las Negociaciones podrán incluir términos y condiciones, precios o aspectos sociales, ambientales, innovadores y de ciberseguridad siempre y cuando no modifiquen los requisitos mínimos de la Oferta. </w:t>
            </w:r>
          </w:p>
          <w:p w14:paraId="78A27C02" w14:textId="77777777" w:rsidR="00E775CA" w:rsidRPr="00576AF8" w:rsidRDefault="00E775CA">
            <w:pPr>
              <w:pStyle w:val="Prrafodelista"/>
              <w:numPr>
                <w:ilvl w:val="0"/>
                <w:numId w:val="99"/>
              </w:numPr>
              <w:ind w:left="624" w:hanging="624"/>
              <w:contextualSpacing w:val="0"/>
            </w:pPr>
            <w:r w:rsidRPr="00576AF8">
              <w:t xml:space="preserve">Para observar e informar la aplicación de las Negociaciones, el </w:t>
            </w:r>
            <w:r w:rsidR="00395098" w:rsidRPr="00576AF8">
              <w:t>Comprador</w:t>
            </w:r>
            <w:r w:rsidRPr="00576AF8">
              <w:t xml:space="preserve"> deberá nombrar a la Autoridad Independiente de Probidad que se indica </w:t>
            </w:r>
            <w:r w:rsidRPr="00576AF8">
              <w:rPr>
                <w:b/>
                <w:bCs/>
              </w:rPr>
              <w:t>en los DDL</w:t>
            </w:r>
            <w:r w:rsidRPr="00576AF8">
              <w:t>.</w:t>
            </w:r>
          </w:p>
          <w:p w14:paraId="0C7C430E" w14:textId="77777777" w:rsidR="00E775CA" w:rsidRPr="00576AF8" w:rsidRDefault="00E775CA">
            <w:pPr>
              <w:pStyle w:val="Prrafodelista"/>
              <w:numPr>
                <w:ilvl w:val="0"/>
                <w:numId w:val="99"/>
              </w:numPr>
              <w:ind w:left="624" w:hanging="624"/>
              <w:contextualSpacing w:val="0"/>
            </w:pPr>
            <w:r w:rsidRPr="00576AF8">
              <w:t xml:space="preserve">El </w:t>
            </w:r>
            <w:r w:rsidR="00395098" w:rsidRPr="00576AF8">
              <w:t>Comprador</w:t>
            </w:r>
            <w:r w:rsidRPr="00576AF8">
              <w:t xml:space="preserve"> establecerá un nuevo plazo y detalles para para iniciar Negociaciones y para la presentación de la Oferta negociada </w:t>
            </w:r>
            <w:r w:rsidRPr="00576AF8">
              <w:rPr>
                <w:b/>
                <w:bCs/>
              </w:rPr>
              <w:t>en los DDL</w:t>
            </w:r>
            <w:r w:rsidRPr="00576AF8">
              <w:t>, como corresponda. Las instrucciones en IA</w:t>
            </w:r>
            <w:r w:rsidR="0077313B" w:rsidRPr="00576AF8">
              <w:t>L</w:t>
            </w:r>
            <w:r w:rsidRPr="00576AF8">
              <w:t xml:space="preserve"> 2</w:t>
            </w:r>
            <w:r w:rsidR="0077313B" w:rsidRPr="00576AF8">
              <w:t>2</w:t>
            </w:r>
            <w:r w:rsidRPr="00576AF8">
              <w:t xml:space="preserve"> </w:t>
            </w:r>
            <w:r w:rsidR="0077313B" w:rsidRPr="00576AF8">
              <w:t>y sucesivas aplicarán</w:t>
            </w:r>
            <w:r w:rsidRPr="00576AF8">
              <w:t xml:space="preserve"> como corresponda, a la presentación, apertura y aclaraciones de la Oferta negociada. </w:t>
            </w:r>
          </w:p>
          <w:p w14:paraId="162519F9" w14:textId="77777777" w:rsidR="00E775CA" w:rsidRPr="00576AF8" w:rsidRDefault="00E775CA">
            <w:pPr>
              <w:pStyle w:val="Prrafodelista"/>
              <w:numPr>
                <w:ilvl w:val="0"/>
                <w:numId w:val="99"/>
              </w:numPr>
              <w:ind w:left="624" w:hanging="624"/>
              <w:contextualSpacing w:val="0"/>
            </w:pPr>
            <w:r w:rsidRPr="00576AF8">
              <w:t xml:space="preserve">El </w:t>
            </w:r>
            <w:r w:rsidR="00395098" w:rsidRPr="00576AF8">
              <w:t>Comprador</w:t>
            </w:r>
            <w:r w:rsidRPr="00576AF8">
              <w:t xml:space="preserve"> negociará primero con el </w:t>
            </w:r>
            <w:r w:rsidR="007A705B" w:rsidRPr="00576AF8">
              <w:t>Licitante</w:t>
            </w:r>
            <w:r w:rsidRPr="00576AF8">
              <w:t xml:space="preserve"> que haya presentado la Oferta Más Ventajosa. Si el resultado no es satisfactorio o no se alcanza un acuerdo, el </w:t>
            </w:r>
            <w:r w:rsidR="00395098" w:rsidRPr="00576AF8">
              <w:t>Comprador</w:t>
            </w:r>
            <w:r w:rsidRPr="00576AF8">
              <w:t xml:space="preserve"> </w:t>
            </w:r>
            <w:r w:rsidRPr="00576AF8">
              <w:lastRenderedPageBreak/>
              <w:t xml:space="preserve">notificará al </w:t>
            </w:r>
            <w:r w:rsidR="007A705B" w:rsidRPr="00576AF8">
              <w:t>Licitante</w:t>
            </w:r>
            <w:r w:rsidRPr="00576AF8">
              <w:t xml:space="preserve"> que las Negociaciones concluyeron sin acuerdo </w:t>
            </w:r>
            <w:proofErr w:type="gramStart"/>
            <w:r w:rsidRPr="00576AF8">
              <w:t>y  podrá́</w:t>
            </w:r>
            <w:proofErr w:type="gramEnd"/>
            <w:r w:rsidRPr="00576AF8">
              <w:t xml:space="preserve"> entonces notificar al </w:t>
            </w:r>
            <w:r w:rsidR="007A705B" w:rsidRPr="00576AF8">
              <w:t>Licitante</w:t>
            </w:r>
            <w:r w:rsidRPr="00576AF8">
              <w:t xml:space="preserve"> con la siguiente Oferta Más Ventajosa de la lista, y así sucesivamente hasta lograr un resultado satisfactorio.</w:t>
            </w:r>
          </w:p>
        </w:tc>
      </w:tr>
      <w:tr w:rsidR="00E775CA" w:rsidRPr="00576AF8" w14:paraId="0F899808" w14:textId="77777777" w:rsidTr="00314996">
        <w:tblPrEx>
          <w:tblCellMar>
            <w:left w:w="115" w:type="dxa"/>
            <w:right w:w="115" w:type="dxa"/>
          </w:tblCellMar>
        </w:tblPrEx>
        <w:trPr>
          <w:gridAfter w:val="1"/>
          <w:wAfter w:w="14" w:type="dxa"/>
        </w:trPr>
        <w:tc>
          <w:tcPr>
            <w:tcW w:w="2554" w:type="dxa"/>
          </w:tcPr>
          <w:p w14:paraId="5979D6EE" w14:textId="77777777" w:rsidR="00E775CA" w:rsidRPr="00576AF8" w:rsidRDefault="007A79C3" w:rsidP="004934F4">
            <w:pPr>
              <w:pStyle w:val="TOC2-2"/>
              <w:numPr>
                <w:ilvl w:val="0"/>
                <w:numId w:val="0"/>
              </w:numPr>
              <w:ind w:left="341" w:hanging="284"/>
            </w:pPr>
            <w:bookmarkStart w:id="298" w:name="_Toc455487636"/>
            <w:bookmarkStart w:id="299" w:name="_Toc24975702"/>
            <w:bookmarkStart w:id="300" w:name="_Toc25486628"/>
            <w:r w:rsidRPr="00576AF8">
              <w:lastRenderedPageBreak/>
              <w:t xml:space="preserve">46. </w:t>
            </w:r>
            <w:r w:rsidR="00E775CA" w:rsidRPr="00576AF8">
              <w:t xml:space="preserve">Derecho del </w:t>
            </w:r>
            <w:r w:rsidR="00395098" w:rsidRPr="00576AF8">
              <w:t>Comprador</w:t>
            </w:r>
            <w:r w:rsidR="00E775CA" w:rsidRPr="00576AF8">
              <w:t xml:space="preserve"> a Aceptar Cualquier Oferta y Rechazar Alguna o Todas las Ofertas</w:t>
            </w:r>
            <w:bookmarkEnd w:id="298"/>
            <w:bookmarkEnd w:id="299"/>
            <w:bookmarkEnd w:id="300"/>
          </w:p>
        </w:tc>
        <w:tc>
          <w:tcPr>
            <w:tcW w:w="6831" w:type="dxa"/>
          </w:tcPr>
          <w:p w14:paraId="32375376" w14:textId="77777777" w:rsidR="00E775CA" w:rsidRPr="00576AF8" w:rsidRDefault="00E775CA">
            <w:pPr>
              <w:pStyle w:val="Header2-SubClauses"/>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rPr>
            </w:pPr>
            <w:r w:rsidRPr="00576AF8">
              <w:rPr>
                <w:b w:val="0"/>
                <w:bCs/>
              </w:rPr>
              <w:t xml:space="preserve">El </w:t>
            </w:r>
            <w:r w:rsidR="00395098" w:rsidRPr="00576AF8">
              <w:rPr>
                <w:b w:val="0"/>
                <w:bCs/>
              </w:rPr>
              <w:t>Comprador</w:t>
            </w:r>
            <w:r w:rsidRPr="00576AF8">
              <w:rPr>
                <w:b w:val="0"/>
                <w:bCs/>
              </w:rPr>
              <w:t xml:space="preserve"> se reserva el derecho de aceptar o rechazar cualquier Oferta, de anular </w:t>
            </w:r>
            <w:r w:rsidR="0077313B" w:rsidRPr="00576AF8">
              <w:rPr>
                <w:b w:val="0"/>
                <w:bCs/>
              </w:rPr>
              <w:t>la Solicitud de Ofertas (SDO)</w:t>
            </w:r>
            <w:r w:rsidRPr="00576AF8">
              <w:rPr>
                <w:b w:val="0"/>
                <w:bCs/>
              </w:rPr>
              <w:t xml:space="preserve"> y de rechazar todas las Ofertas en cualquier momento antes de la adjudicación del Contrato, sin que por ello adquiera responsabilidad alguna frente a los </w:t>
            </w:r>
            <w:r w:rsidR="007A705B" w:rsidRPr="00576AF8">
              <w:rPr>
                <w:b w:val="0"/>
                <w:bCs/>
              </w:rPr>
              <w:t>Licitante</w:t>
            </w:r>
            <w:r w:rsidRPr="00576AF8">
              <w:rPr>
                <w:b w:val="0"/>
                <w:bCs/>
              </w:rPr>
              <w:t xml:space="preserve">s. En caso de anularse el proceso, el </w:t>
            </w:r>
            <w:r w:rsidR="00395098" w:rsidRPr="00576AF8">
              <w:rPr>
                <w:b w:val="0"/>
                <w:bCs/>
              </w:rPr>
              <w:t>Comprador</w:t>
            </w:r>
            <w:r w:rsidRPr="00576AF8">
              <w:rPr>
                <w:b w:val="0"/>
                <w:bCs/>
              </w:rPr>
              <w:t xml:space="preserve"> devolverá prontamente a los </w:t>
            </w:r>
            <w:r w:rsidR="007A705B" w:rsidRPr="00576AF8">
              <w:rPr>
                <w:b w:val="0"/>
                <w:bCs/>
              </w:rPr>
              <w:t>Licitante</w:t>
            </w:r>
            <w:r w:rsidRPr="00576AF8">
              <w:rPr>
                <w:b w:val="0"/>
                <w:bCs/>
              </w:rPr>
              <w:t>s todas las Ofertas y, específicamente, las Garantías de Mantenimiento de la Oferta que hubiera recibido.</w:t>
            </w:r>
          </w:p>
        </w:tc>
      </w:tr>
      <w:tr w:rsidR="00E775CA" w:rsidRPr="00576AF8" w14:paraId="711F120F" w14:textId="77777777" w:rsidTr="00314996">
        <w:tblPrEx>
          <w:tblCellMar>
            <w:left w:w="115" w:type="dxa"/>
            <w:right w:w="115" w:type="dxa"/>
          </w:tblCellMar>
        </w:tblPrEx>
        <w:trPr>
          <w:gridAfter w:val="1"/>
          <w:wAfter w:w="14" w:type="dxa"/>
        </w:trPr>
        <w:tc>
          <w:tcPr>
            <w:tcW w:w="2554" w:type="dxa"/>
          </w:tcPr>
          <w:p w14:paraId="2C9A2D4B" w14:textId="77777777" w:rsidR="00E775CA" w:rsidRPr="00576AF8" w:rsidRDefault="00E775CA" w:rsidP="00E775CA">
            <w:pPr>
              <w:pStyle w:val="TOC2-2"/>
            </w:pPr>
            <w:bookmarkStart w:id="301" w:name="_Toc25486629"/>
            <w:r w:rsidRPr="00576AF8">
              <w:t>4</w:t>
            </w:r>
            <w:r w:rsidR="007A79C3" w:rsidRPr="00576AF8">
              <w:t>7</w:t>
            </w:r>
            <w:r w:rsidRPr="00576AF8">
              <w:t>. Plazo Suspensivo</w:t>
            </w:r>
            <w:bookmarkEnd w:id="301"/>
          </w:p>
        </w:tc>
        <w:tc>
          <w:tcPr>
            <w:tcW w:w="6831" w:type="dxa"/>
          </w:tcPr>
          <w:p w14:paraId="31C86D8A" w14:textId="77777777" w:rsidR="00E775CA" w:rsidRPr="00576AF8" w:rsidRDefault="00E775CA">
            <w:pPr>
              <w:pStyle w:val="Prrafodelista"/>
              <w:numPr>
                <w:ilvl w:val="0"/>
                <w:numId w:val="87"/>
              </w:numPr>
              <w:spacing w:after="200"/>
              <w:ind w:left="623" w:hanging="567"/>
            </w:pPr>
            <w:r w:rsidRPr="00576AF8">
              <w:rPr>
                <w:color w:val="000000" w:themeColor="text1"/>
              </w:rPr>
              <w:t xml:space="preserve">El Contrato no se adjudicará antes de la finalización del Plazo Suspensivo. El Plazo Suspensivo será de diez (10) días hábiles salvo que se extienda de conformidad con IAL </w:t>
            </w:r>
            <w:r w:rsidR="0077313B" w:rsidRPr="00576AF8">
              <w:rPr>
                <w:color w:val="000000" w:themeColor="text1"/>
              </w:rPr>
              <w:t>5</w:t>
            </w:r>
            <w:r w:rsidR="00B45F26" w:rsidRPr="00576AF8">
              <w:rPr>
                <w:color w:val="000000" w:themeColor="text1"/>
              </w:rPr>
              <w:t>2</w:t>
            </w:r>
            <w:r w:rsidR="001B76A6" w:rsidRPr="00576AF8">
              <w:rPr>
                <w:color w:val="000000" w:themeColor="text1"/>
              </w:rPr>
              <w:t>.</w:t>
            </w:r>
            <w:r w:rsidRPr="00576AF8">
              <w:rPr>
                <w:color w:val="000000" w:themeColor="text1"/>
              </w:rPr>
              <w:t xml:space="preserve"> El Plazo Suspensivo comenzará </w:t>
            </w:r>
            <w:r w:rsidR="001707F5" w:rsidRPr="00576AF8">
              <w:rPr>
                <w:color w:val="000000" w:themeColor="text1"/>
              </w:rPr>
              <w:t>cuando</w:t>
            </w:r>
            <w:r w:rsidRPr="00576AF8">
              <w:rPr>
                <w:color w:val="000000" w:themeColor="text1"/>
              </w:rPr>
              <w:t xml:space="preserve"> el </w:t>
            </w:r>
            <w:r w:rsidR="00395098" w:rsidRPr="00576AF8">
              <w:rPr>
                <w:color w:val="000000" w:themeColor="text1"/>
              </w:rPr>
              <w:t>Comprador</w:t>
            </w:r>
            <w:r w:rsidRPr="00576AF8">
              <w:rPr>
                <w:color w:val="000000" w:themeColor="text1"/>
              </w:rPr>
              <w:t xml:space="preserve"> haya transmitido a cada </w:t>
            </w:r>
            <w:r w:rsidR="007A705B" w:rsidRPr="00576AF8">
              <w:rPr>
                <w:color w:val="000000" w:themeColor="text1"/>
              </w:rPr>
              <w:t>Licitante</w:t>
            </w:r>
            <w:r w:rsidRPr="00576AF8">
              <w:rPr>
                <w:color w:val="000000" w:themeColor="text1"/>
              </w:rPr>
              <w:t xml:space="preserve"> la Notificación de Intención de Adjudicación del Contrato. Cuando solo se presente una Oferta, o si este contrato es en respuesta a una situación de emergencia reconocida por el Banco, no se aplicará el Plazo Suspensivo.</w:t>
            </w:r>
          </w:p>
        </w:tc>
      </w:tr>
      <w:tr w:rsidR="00E775CA" w:rsidRPr="00576AF8" w14:paraId="00FEE18C" w14:textId="77777777" w:rsidTr="00314996">
        <w:tblPrEx>
          <w:tblCellMar>
            <w:left w:w="115" w:type="dxa"/>
            <w:right w:w="115" w:type="dxa"/>
          </w:tblCellMar>
        </w:tblPrEx>
        <w:trPr>
          <w:gridAfter w:val="1"/>
          <w:wAfter w:w="14" w:type="dxa"/>
        </w:trPr>
        <w:tc>
          <w:tcPr>
            <w:tcW w:w="2554" w:type="dxa"/>
          </w:tcPr>
          <w:p w14:paraId="5004BBDD" w14:textId="77777777" w:rsidR="00E775CA" w:rsidRPr="00576AF8" w:rsidRDefault="007A79C3" w:rsidP="00E775CA">
            <w:pPr>
              <w:pStyle w:val="TOC2-2"/>
            </w:pPr>
            <w:bookmarkStart w:id="302" w:name="_Toc25486630"/>
            <w:r w:rsidRPr="00576AF8">
              <w:t>48</w:t>
            </w:r>
            <w:r w:rsidR="00E775CA" w:rsidRPr="00576AF8">
              <w:t>. Notificación de la Intención de Adjudicar</w:t>
            </w:r>
            <w:bookmarkEnd w:id="302"/>
          </w:p>
        </w:tc>
        <w:tc>
          <w:tcPr>
            <w:tcW w:w="6831" w:type="dxa"/>
          </w:tcPr>
          <w:p w14:paraId="60A7F536" w14:textId="77777777" w:rsidR="00E775CA" w:rsidRPr="00576AF8" w:rsidRDefault="00E775CA">
            <w:pPr>
              <w:pStyle w:val="S1-subpara"/>
              <w:numPr>
                <w:ilvl w:val="0"/>
                <w:numId w:val="88"/>
              </w:numPr>
              <w:ind w:left="623" w:hanging="567"/>
              <w:rPr>
                <w:color w:val="000000" w:themeColor="text1"/>
              </w:rPr>
            </w:pPr>
            <w:r w:rsidRPr="00576AF8">
              <w:rPr>
                <w:color w:val="000000" w:themeColor="text1"/>
              </w:rPr>
              <w:t xml:space="preserve">El </w:t>
            </w:r>
            <w:r w:rsidR="00395098" w:rsidRPr="00576AF8">
              <w:rPr>
                <w:color w:val="000000" w:themeColor="text1"/>
              </w:rPr>
              <w:t>Comprador</w:t>
            </w:r>
            <w:r w:rsidRPr="00576AF8">
              <w:rPr>
                <w:color w:val="000000" w:themeColor="text1"/>
              </w:rPr>
              <w:t xml:space="preserve"> transmitirá a todos los </w:t>
            </w:r>
            <w:r w:rsidR="007A705B" w:rsidRPr="00576AF8">
              <w:rPr>
                <w:color w:val="000000" w:themeColor="text1"/>
              </w:rPr>
              <w:t>Licitante</w:t>
            </w:r>
            <w:r w:rsidRPr="00576AF8">
              <w:rPr>
                <w:color w:val="000000" w:themeColor="text1"/>
              </w:rPr>
              <w:t xml:space="preserve">s la Notificación de Intención de Adjudicar el Contrato al </w:t>
            </w:r>
            <w:r w:rsidR="007A705B" w:rsidRPr="00576AF8">
              <w:rPr>
                <w:color w:val="000000" w:themeColor="text1"/>
              </w:rPr>
              <w:t>Licitante</w:t>
            </w:r>
            <w:r w:rsidRPr="00576AF8">
              <w:rPr>
                <w:color w:val="000000" w:themeColor="text1"/>
              </w:rPr>
              <w:t xml:space="preserve"> seleccionado. La Notificación de Intención de Adjudicar el Contrato deberá contener, como mínimo, la siguiente información:</w:t>
            </w:r>
          </w:p>
          <w:p w14:paraId="2676EFFC" w14:textId="77777777" w:rsidR="00E775CA" w:rsidRPr="00576AF8" w:rsidRDefault="00E775CA">
            <w:pPr>
              <w:pStyle w:val="S1-subpara"/>
              <w:numPr>
                <w:ilvl w:val="0"/>
                <w:numId w:val="85"/>
              </w:numPr>
              <w:rPr>
                <w:color w:val="000000" w:themeColor="text1"/>
              </w:rPr>
            </w:pPr>
            <w:r w:rsidRPr="00576AF8">
              <w:rPr>
                <w:color w:val="000000" w:themeColor="text1"/>
              </w:rPr>
              <w:t xml:space="preserve">el nombre y la dirección del </w:t>
            </w:r>
            <w:r w:rsidR="007A705B" w:rsidRPr="00576AF8">
              <w:rPr>
                <w:color w:val="000000" w:themeColor="text1"/>
              </w:rPr>
              <w:t>Licitante</w:t>
            </w:r>
            <w:r w:rsidRPr="00576AF8">
              <w:rPr>
                <w:color w:val="000000" w:themeColor="text1"/>
              </w:rPr>
              <w:t xml:space="preserve"> que presentó la Oferta seleccionada;</w:t>
            </w:r>
          </w:p>
          <w:p w14:paraId="3BE16872" w14:textId="77777777" w:rsidR="00E775CA" w:rsidRPr="00576AF8" w:rsidRDefault="00E775CA">
            <w:pPr>
              <w:pStyle w:val="S1-subpara"/>
              <w:numPr>
                <w:ilvl w:val="0"/>
                <w:numId w:val="85"/>
              </w:numPr>
              <w:rPr>
                <w:color w:val="000000" w:themeColor="text1"/>
              </w:rPr>
            </w:pPr>
            <w:r w:rsidRPr="00576AF8">
              <w:rPr>
                <w:color w:val="000000" w:themeColor="text1"/>
              </w:rPr>
              <w:t>el precio del Contrato de la Oferta seleccionada;</w:t>
            </w:r>
          </w:p>
          <w:p w14:paraId="5170A558" w14:textId="77777777" w:rsidR="00E775CA" w:rsidRPr="00576AF8" w:rsidRDefault="00E775CA">
            <w:pPr>
              <w:pStyle w:val="S1-subpara"/>
              <w:numPr>
                <w:ilvl w:val="0"/>
                <w:numId w:val="85"/>
              </w:numPr>
              <w:rPr>
                <w:color w:val="000000" w:themeColor="text1"/>
              </w:rPr>
            </w:pPr>
            <w:r w:rsidRPr="00576AF8">
              <w:rPr>
                <w:color w:val="000000" w:themeColor="text1"/>
              </w:rPr>
              <w:t xml:space="preserve">los nombres de todos los </w:t>
            </w:r>
            <w:r w:rsidR="007A705B" w:rsidRPr="00576AF8">
              <w:rPr>
                <w:color w:val="000000" w:themeColor="text1"/>
              </w:rPr>
              <w:t>Licitante</w:t>
            </w:r>
            <w:r w:rsidRPr="00576AF8">
              <w:rPr>
                <w:color w:val="000000" w:themeColor="text1"/>
              </w:rPr>
              <w:t>s que presentaron Ofertas y los precios de sus Ofertas, tal como se leyeron en voz alta en la apertura de las Ofertas;</w:t>
            </w:r>
          </w:p>
          <w:p w14:paraId="69840931" w14:textId="77777777" w:rsidR="00E775CA" w:rsidRPr="00576AF8" w:rsidRDefault="00E775CA">
            <w:pPr>
              <w:pStyle w:val="S1-subpara"/>
              <w:numPr>
                <w:ilvl w:val="0"/>
                <w:numId w:val="85"/>
              </w:numPr>
              <w:rPr>
                <w:color w:val="000000" w:themeColor="text1"/>
              </w:rPr>
            </w:pPr>
            <w:r w:rsidRPr="00576AF8">
              <w:rPr>
                <w:color w:val="000000" w:themeColor="text1"/>
              </w:rPr>
              <w:t xml:space="preserve">una declaración donde se expongan las razones por las cuales no fue seleccionada la Oferta del </w:t>
            </w:r>
            <w:r w:rsidR="007A705B" w:rsidRPr="00576AF8">
              <w:rPr>
                <w:color w:val="000000" w:themeColor="text1"/>
              </w:rPr>
              <w:t>Licitante</w:t>
            </w:r>
            <w:r w:rsidRPr="00576AF8">
              <w:rPr>
                <w:color w:val="000000" w:themeColor="text1"/>
              </w:rPr>
              <w:t xml:space="preserve"> no seleccionado a quien se remite la notificación, a menos que la información sobre el precio incluida en el subpárrafo (c) anterior ya revele la razón;</w:t>
            </w:r>
          </w:p>
          <w:p w14:paraId="0961900B" w14:textId="77777777" w:rsidR="00E775CA" w:rsidRPr="00576AF8" w:rsidRDefault="00E775CA">
            <w:pPr>
              <w:pStyle w:val="S1-subpara"/>
              <w:numPr>
                <w:ilvl w:val="0"/>
                <w:numId w:val="85"/>
              </w:numPr>
              <w:rPr>
                <w:color w:val="000000" w:themeColor="text1"/>
              </w:rPr>
            </w:pPr>
            <w:r w:rsidRPr="00576AF8">
              <w:rPr>
                <w:color w:val="000000" w:themeColor="text1"/>
              </w:rPr>
              <w:t xml:space="preserve">si la evaluación </w:t>
            </w:r>
            <w:r w:rsidR="001707F5" w:rsidRPr="00576AF8">
              <w:rPr>
                <w:color w:val="000000" w:themeColor="text1"/>
              </w:rPr>
              <w:t>utilizó</w:t>
            </w:r>
            <w:r w:rsidRPr="00576AF8">
              <w:rPr>
                <w:color w:val="000000" w:themeColor="text1"/>
              </w:rPr>
              <w:t xml:space="preserve"> el método de la Mejor Oferta Final</w:t>
            </w:r>
            <w:r w:rsidR="00BA4729" w:rsidRPr="00576AF8">
              <w:rPr>
                <w:color w:val="000000" w:themeColor="text1"/>
              </w:rPr>
              <w:t>,</w:t>
            </w:r>
            <w:r w:rsidRPr="00576AF8">
              <w:rPr>
                <w:color w:val="000000" w:themeColor="text1"/>
              </w:rPr>
              <w:t xml:space="preserve"> si correspond</w:t>
            </w:r>
            <w:r w:rsidR="00BA4729" w:rsidRPr="00576AF8">
              <w:rPr>
                <w:color w:val="000000" w:themeColor="text1"/>
              </w:rPr>
              <w:t>e</w:t>
            </w:r>
            <w:r w:rsidRPr="00576AF8">
              <w:rPr>
                <w:color w:val="000000" w:themeColor="text1"/>
              </w:rPr>
              <w:t>;</w:t>
            </w:r>
          </w:p>
          <w:p w14:paraId="7EDFB768" w14:textId="77777777" w:rsidR="00E775CA" w:rsidRPr="00576AF8" w:rsidRDefault="00E775CA">
            <w:pPr>
              <w:pStyle w:val="S1-subpara"/>
              <w:numPr>
                <w:ilvl w:val="0"/>
                <w:numId w:val="85"/>
              </w:numPr>
              <w:rPr>
                <w:color w:val="000000" w:themeColor="text1"/>
              </w:rPr>
            </w:pPr>
            <w:r w:rsidRPr="00576AF8">
              <w:rPr>
                <w:color w:val="000000" w:themeColor="text1"/>
              </w:rPr>
              <w:t>la fecha de vencimiento del Plazo Suspensivo; y</w:t>
            </w:r>
          </w:p>
          <w:p w14:paraId="678C0092" w14:textId="77777777" w:rsidR="00E775CA" w:rsidRPr="00576AF8" w:rsidRDefault="00E775CA">
            <w:pPr>
              <w:pStyle w:val="S1-subpara"/>
              <w:numPr>
                <w:ilvl w:val="0"/>
                <w:numId w:val="85"/>
              </w:numPr>
            </w:pPr>
            <w:r w:rsidRPr="00576AF8">
              <w:rPr>
                <w:color w:val="000000" w:themeColor="text1"/>
              </w:rPr>
              <w:lastRenderedPageBreak/>
              <w:t>instrucciones sobre cómo solicitar explicaciones y/o presentar una queja durante el Plazo Suspensivo</w:t>
            </w:r>
          </w:p>
        </w:tc>
      </w:tr>
    </w:tbl>
    <w:p w14:paraId="4D1F58AD" w14:textId="77777777" w:rsidR="005D3A16" w:rsidRPr="00576AF8" w:rsidRDefault="00FA0E65" w:rsidP="00D55C82">
      <w:pPr>
        <w:pStyle w:val="Toc2-1"/>
      </w:pPr>
      <w:bookmarkStart w:id="303" w:name="_Toc434304526"/>
      <w:bookmarkStart w:id="304" w:name="_Toc454907812"/>
      <w:bookmarkStart w:id="305" w:name="_Toc476308812"/>
      <w:bookmarkStart w:id="306" w:name="_Toc479333362"/>
      <w:bookmarkStart w:id="307" w:name="_Toc25486631"/>
      <w:r w:rsidRPr="00576AF8">
        <w:lastRenderedPageBreak/>
        <w:t>K</w:t>
      </w:r>
      <w:r w:rsidR="004924C5" w:rsidRPr="00576AF8">
        <w:t>. Adjudicación del Contrato</w:t>
      </w:r>
      <w:bookmarkEnd w:id="303"/>
      <w:bookmarkEnd w:id="304"/>
      <w:bookmarkEnd w:id="305"/>
      <w:bookmarkEnd w:id="306"/>
      <w:bookmarkEnd w:id="307"/>
    </w:p>
    <w:tbl>
      <w:tblPr>
        <w:tblW w:w="0" w:type="auto"/>
        <w:tblInd w:w="-42" w:type="dxa"/>
        <w:tblLayout w:type="fixed"/>
        <w:tblCellMar>
          <w:left w:w="115" w:type="dxa"/>
          <w:right w:w="115" w:type="dxa"/>
        </w:tblCellMar>
        <w:tblLook w:val="0000" w:firstRow="0" w:lastRow="0" w:firstColumn="0" w:lastColumn="0" w:noHBand="0" w:noVBand="0"/>
      </w:tblPr>
      <w:tblGrid>
        <w:gridCol w:w="2567"/>
        <w:gridCol w:w="6826"/>
      </w:tblGrid>
      <w:tr w:rsidR="005D3A16" w:rsidRPr="00576AF8" w14:paraId="30054E01" w14:textId="77777777" w:rsidTr="00EE57D2">
        <w:tc>
          <w:tcPr>
            <w:tcW w:w="2567" w:type="dxa"/>
          </w:tcPr>
          <w:p w14:paraId="4699D41E" w14:textId="77777777" w:rsidR="005D3A16" w:rsidRPr="00576AF8" w:rsidRDefault="00E909B4" w:rsidP="00FB1E48">
            <w:pPr>
              <w:pStyle w:val="TOC2-2"/>
            </w:pPr>
            <w:bookmarkStart w:id="308" w:name="_Toc434304527"/>
            <w:bookmarkStart w:id="309" w:name="_Toc454907813"/>
            <w:bookmarkStart w:id="310" w:name="_Toc476308813"/>
            <w:bookmarkStart w:id="311" w:name="_Toc479333363"/>
            <w:bookmarkStart w:id="312" w:name="_Toc25486632"/>
            <w:r w:rsidRPr="00576AF8">
              <w:t>4</w:t>
            </w:r>
            <w:r w:rsidR="007A79C3" w:rsidRPr="00576AF8">
              <w:t>9</w:t>
            </w:r>
            <w:r w:rsidR="00BB182C" w:rsidRPr="00576AF8">
              <w:t>.</w:t>
            </w:r>
            <w:r w:rsidR="00BB182C" w:rsidRPr="00576AF8">
              <w:tab/>
              <w:t>Criterio de Adjudicación</w:t>
            </w:r>
            <w:bookmarkEnd w:id="308"/>
            <w:bookmarkEnd w:id="309"/>
            <w:bookmarkEnd w:id="310"/>
            <w:bookmarkEnd w:id="311"/>
            <w:bookmarkEnd w:id="312"/>
          </w:p>
        </w:tc>
        <w:tc>
          <w:tcPr>
            <w:tcW w:w="6826" w:type="dxa"/>
          </w:tcPr>
          <w:p w14:paraId="166B5E17" w14:textId="77777777" w:rsidR="00FF7ADF" w:rsidRPr="00576AF8" w:rsidRDefault="003F5BA2">
            <w:pPr>
              <w:pStyle w:val="Prrafodelista"/>
              <w:numPr>
                <w:ilvl w:val="0"/>
                <w:numId w:val="89"/>
              </w:numPr>
              <w:ind w:left="623" w:hanging="567"/>
            </w:pPr>
            <w:r w:rsidRPr="00576AF8">
              <w:t>Sujeto</w:t>
            </w:r>
            <w:r w:rsidR="00BB182C" w:rsidRPr="00576AF8">
              <w:t xml:space="preserve"> a lo dispuesto en la </w:t>
            </w:r>
            <w:r w:rsidR="00503647" w:rsidRPr="00576AF8">
              <w:t>IAL</w:t>
            </w:r>
            <w:r w:rsidR="00FD7322" w:rsidRPr="00576AF8">
              <w:t> </w:t>
            </w:r>
            <w:r w:rsidR="00301CC8" w:rsidRPr="00576AF8">
              <w:t>4</w:t>
            </w:r>
            <w:r w:rsidR="0077313B" w:rsidRPr="00576AF8">
              <w:t>6</w:t>
            </w:r>
            <w:r w:rsidR="00BB182C" w:rsidRPr="00576AF8">
              <w:t xml:space="preserve">, el Comprador adjudicará el Contrato al Licitante seleccionado. El Licitante seleccionado es aquel cuya Oferta haya sido considerada la Oferta Más </w:t>
            </w:r>
            <w:r w:rsidR="00B77007" w:rsidRPr="00576AF8">
              <w:t>Ventajosa</w:t>
            </w:r>
            <w:r w:rsidR="00B45F26" w:rsidRPr="00576AF8">
              <w:t>,</w:t>
            </w:r>
            <w:r w:rsidR="00BB182C" w:rsidRPr="00576AF8">
              <w:t xml:space="preserve"> </w:t>
            </w:r>
            <w:r w:rsidR="00E85A07" w:rsidRPr="00576AF8">
              <w:t>de acuerdo con lo establecido en la I</w:t>
            </w:r>
            <w:r w:rsidR="0077313B" w:rsidRPr="00576AF8">
              <w:t>AL</w:t>
            </w:r>
            <w:r w:rsidR="00E85A07" w:rsidRPr="00576AF8">
              <w:t> </w:t>
            </w:r>
            <w:r w:rsidR="0077313B" w:rsidRPr="00576AF8">
              <w:t>44</w:t>
            </w:r>
            <w:r w:rsidR="00E85A07" w:rsidRPr="00576AF8">
              <w:t>, y en el caso de que se establezca en los DDL en referencia la IA</w:t>
            </w:r>
            <w:r w:rsidR="00B45F26" w:rsidRPr="00576AF8">
              <w:t>L</w:t>
            </w:r>
            <w:r w:rsidR="00E85A07" w:rsidRPr="00576AF8">
              <w:t xml:space="preserve"> 4</w:t>
            </w:r>
            <w:r w:rsidR="0077313B" w:rsidRPr="00576AF8">
              <w:t>5</w:t>
            </w:r>
            <w:r w:rsidR="00E85A07" w:rsidRPr="00576AF8">
              <w:t xml:space="preserve">.1 la utilización de Negociaciones, que éstas hayan concluido con un acuerdo. </w:t>
            </w:r>
          </w:p>
        </w:tc>
      </w:tr>
      <w:tr w:rsidR="0001220E" w:rsidRPr="00576AF8" w14:paraId="45BA34A4" w14:textId="77777777" w:rsidTr="00EE57D2">
        <w:trPr>
          <w:cantSplit/>
        </w:trPr>
        <w:tc>
          <w:tcPr>
            <w:tcW w:w="2567" w:type="dxa"/>
          </w:tcPr>
          <w:p w14:paraId="568E584D" w14:textId="77777777" w:rsidR="0001220E" w:rsidRPr="00576AF8" w:rsidDel="007749AF" w:rsidRDefault="007A79C3" w:rsidP="005E641B">
            <w:pPr>
              <w:pStyle w:val="TOC2-2"/>
            </w:pPr>
            <w:bookmarkStart w:id="313" w:name="_Toc454907814"/>
            <w:bookmarkStart w:id="314" w:name="_Toc476308814"/>
            <w:bookmarkStart w:id="315" w:name="_Toc479333364"/>
            <w:bookmarkStart w:id="316" w:name="_Toc25486633"/>
            <w:r w:rsidRPr="00576AF8">
              <w:t>50</w:t>
            </w:r>
            <w:r w:rsidR="00BB182C" w:rsidRPr="00576AF8">
              <w:t>.</w:t>
            </w:r>
            <w:r w:rsidR="007F5F8F" w:rsidRPr="00576AF8">
              <w:tab/>
            </w:r>
            <w:r w:rsidR="00BB182C" w:rsidRPr="00576AF8">
              <w:t xml:space="preserve">Derecho del Comprador de </w:t>
            </w:r>
            <w:r w:rsidR="005E641B" w:rsidRPr="00576AF8">
              <w:t xml:space="preserve">Modificar </w:t>
            </w:r>
            <w:r w:rsidR="00BB182C" w:rsidRPr="00576AF8">
              <w:t xml:space="preserve">las </w:t>
            </w:r>
            <w:r w:rsidR="005E641B" w:rsidRPr="00576AF8">
              <w:t xml:space="preserve">Cantidades </w:t>
            </w:r>
            <w:r w:rsidR="00BB182C" w:rsidRPr="00576AF8">
              <w:t xml:space="preserve">en el </w:t>
            </w:r>
            <w:r w:rsidR="005E641B" w:rsidRPr="00576AF8">
              <w:t xml:space="preserve">Momento </w:t>
            </w:r>
            <w:r w:rsidR="00BB182C" w:rsidRPr="00576AF8">
              <w:t>de la Adjudicación</w:t>
            </w:r>
            <w:bookmarkEnd w:id="313"/>
            <w:bookmarkEnd w:id="314"/>
            <w:bookmarkEnd w:id="315"/>
            <w:bookmarkEnd w:id="316"/>
          </w:p>
        </w:tc>
        <w:tc>
          <w:tcPr>
            <w:tcW w:w="6826" w:type="dxa"/>
          </w:tcPr>
          <w:p w14:paraId="2DDE56F1" w14:textId="77777777" w:rsidR="0001220E" w:rsidRPr="00576AF8" w:rsidDel="007749AF" w:rsidRDefault="00BB182C">
            <w:pPr>
              <w:pStyle w:val="S1-subpara"/>
              <w:numPr>
                <w:ilvl w:val="0"/>
                <w:numId w:val="68"/>
              </w:numPr>
              <w:ind w:hanging="692"/>
              <w:rPr>
                <w:szCs w:val="24"/>
              </w:rPr>
            </w:pPr>
            <w:r w:rsidRPr="00576AF8">
              <w:t xml:space="preserve">Al momento </w:t>
            </w:r>
            <w:r w:rsidR="00FD7322" w:rsidRPr="00576AF8">
              <w:t>de la A</w:t>
            </w:r>
            <w:r w:rsidRPr="00576AF8">
              <w:t>djudi</w:t>
            </w:r>
            <w:r w:rsidR="00FD7322" w:rsidRPr="00576AF8">
              <w:t>cación d</w:t>
            </w:r>
            <w:r w:rsidRPr="00576AF8">
              <w:t xml:space="preserve">el Contrato, el Comprador se reserva el derecho de aumentar o reducir las cantidades de artículos en el porcentaje que se indica </w:t>
            </w:r>
            <w:r w:rsidRPr="00576AF8">
              <w:rPr>
                <w:b/>
              </w:rPr>
              <w:t xml:space="preserve">en los DDL. </w:t>
            </w:r>
          </w:p>
        </w:tc>
      </w:tr>
      <w:tr w:rsidR="0001220E" w:rsidRPr="00576AF8" w14:paraId="3CF74487" w14:textId="77777777" w:rsidTr="00EE57D2">
        <w:trPr>
          <w:cantSplit/>
        </w:trPr>
        <w:tc>
          <w:tcPr>
            <w:tcW w:w="2567" w:type="dxa"/>
          </w:tcPr>
          <w:p w14:paraId="1382504C" w14:textId="77777777" w:rsidR="0001220E" w:rsidRPr="00576AF8" w:rsidRDefault="007A79C3" w:rsidP="00FB1E48">
            <w:pPr>
              <w:pStyle w:val="TOC2-2"/>
            </w:pPr>
            <w:bookmarkStart w:id="317" w:name="_Toc434304528"/>
            <w:bookmarkStart w:id="318" w:name="_Toc454907815"/>
            <w:bookmarkStart w:id="319" w:name="_Toc476308815"/>
            <w:bookmarkStart w:id="320" w:name="_Toc479333365"/>
            <w:bookmarkStart w:id="321" w:name="_Toc25486634"/>
            <w:r w:rsidRPr="00576AF8">
              <w:t>51</w:t>
            </w:r>
            <w:r w:rsidR="0076405A" w:rsidRPr="00576AF8">
              <w:t>.</w:t>
            </w:r>
            <w:r w:rsidR="0076405A" w:rsidRPr="00576AF8">
              <w:tab/>
              <w:t>Notificación de la Adjudicación</w:t>
            </w:r>
            <w:bookmarkEnd w:id="317"/>
            <w:bookmarkEnd w:id="318"/>
            <w:bookmarkEnd w:id="319"/>
            <w:bookmarkEnd w:id="320"/>
            <w:bookmarkEnd w:id="321"/>
          </w:p>
        </w:tc>
        <w:tc>
          <w:tcPr>
            <w:tcW w:w="6826" w:type="dxa"/>
          </w:tcPr>
          <w:p w14:paraId="094F297D" w14:textId="77777777" w:rsidR="0001220E" w:rsidRPr="00576AF8" w:rsidRDefault="0076405A">
            <w:pPr>
              <w:pStyle w:val="S1-subpara"/>
              <w:numPr>
                <w:ilvl w:val="0"/>
                <w:numId w:val="69"/>
              </w:numPr>
              <w:ind w:hanging="692"/>
              <w:rPr>
                <w:color w:val="000000" w:themeColor="text1"/>
                <w:szCs w:val="24"/>
              </w:rPr>
            </w:pPr>
            <w:r w:rsidRPr="00576AF8">
              <w:rPr>
                <w:color w:val="000000" w:themeColor="text1"/>
              </w:rPr>
              <w:t xml:space="preserve">Antes del vencimiento del </w:t>
            </w:r>
            <w:r w:rsidR="00FD7322" w:rsidRPr="00576AF8">
              <w:rPr>
                <w:color w:val="000000" w:themeColor="text1"/>
              </w:rPr>
              <w:t>p</w:t>
            </w:r>
            <w:r w:rsidRPr="00576AF8">
              <w:rPr>
                <w:color w:val="000000" w:themeColor="text1"/>
              </w:rPr>
              <w:t xml:space="preserve">eríodo de validez de las Ofertas, o cualquier prórroga de este, </w:t>
            </w:r>
            <w:r w:rsidR="005174F3" w:rsidRPr="00576AF8">
              <w:t>el Comprador notificará al Licitante seleccionado, por escrito, que su Oferta ha sido aceptada. En la notificación de adjudicación (denominada adelante y en los Formularios del Contrato, la "Carta de Aceptación") se especific</w:t>
            </w:r>
            <w:r w:rsidR="005C5870" w:rsidRPr="00576AF8">
              <w:t>a</w:t>
            </w:r>
            <w:r w:rsidR="005174F3" w:rsidRPr="00576AF8">
              <w:t xml:space="preserve">rá el monto </w:t>
            </w:r>
            <w:r w:rsidRPr="00576AF8">
              <w:rPr>
                <w:color w:val="000000" w:themeColor="text1"/>
              </w:rPr>
              <w:t xml:space="preserve">que el Comprador pagará al Proveedor en contraprestación por la ejecución del Contrato (en adelante y en las </w:t>
            </w:r>
            <w:r w:rsidR="008E556E" w:rsidRPr="00576AF8">
              <w:rPr>
                <w:color w:val="000000" w:themeColor="text1"/>
              </w:rPr>
              <w:t>c</w:t>
            </w:r>
            <w:r w:rsidRPr="00576AF8">
              <w:rPr>
                <w:color w:val="000000" w:themeColor="text1"/>
              </w:rPr>
              <w:t xml:space="preserve">ondiciones del Contrato y los </w:t>
            </w:r>
            <w:r w:rsidR="008E556E" w:rsidRPr="00576AF8">
              <w:rPr>
                <w:color w:val="000000" w:themeColor="text1"/>
              </w:rPr>
              <w:t>f</w:t>
            </w:r>
            <w:r w:rsidRPr="00576AF8">
              <w:rPr>
                <w:color w:val="000000" w:themeColor="text1"/>
              </w:rPr>
              <w:t xml:space="preserve">ormularios del Contrato, “el </w:t>
            </w:r>
            <w:r w:rsidR="005174F3" w:rsidRPr="00576AF8">
              <w:rPr>
                <w:color w:val="000000" w:themeColor="text1"/>
              </w:rPr>
              <w:t>P</w:t>
            </w:r>
            <w:r w:rsidRPr="00576AF8">
              <w:rPr>
                <w:color w:val="000000" w:themeColor="text1"/>
              </w:rPr>
              <w:t xml:space="preserve">recio del Contrato”). </w:t>
            </w:r>
          </w:p>
        </w:tc>
      </w:tr>
      <w:tr w:rsidR="0001220E" w:rsidRPr="00576AF8" w14:paraId="25FC0A31" w14:textId="77777777" w:rsidTr="00EE57D2">
        <w:tc>
          <w:tcPr>
            <w:tcW w:w="2567" w:type="dxa"/>
          </w:tcPr>
          <w:p w14:paraId="750CB7A5" w14:textId="77777777" w:rsidR="0001220E" w:rsidRPr="00576AF8" w:rsidRDefault="0001220E" w:rsidP="00CC7032">
            <w:pPr>
              <w:numPr>
                <w:ilvl w:val="12"/>
                <w:numId w:val="0"/>
              </w:numPr>
              <w:spacing w:after="200"/>
              <w:ind w:left="360" w:hanging="360"/>
              <w:jc w:val="left"/>
              <w:rPr>
                <w:szCs w:val="24"/>
              </w:rPr>
            </w:pPr>
          </w:p>
        </w:tc>
        <w:tc>
          <w:tcPr>
            <w:tcW w:w="6826" w:type="dxa"/>
          </w:tcPr>
          <w:p w14:paraId="03EE3586" w14:textId="77777777" w:rsidR="0076405A" w:rsidRPr="00576AF8" w:rsidRDefault="00DD24F3">
            <w:pPr>
              <w:pStyle w:val="S1-subpara"/>
              <w:keepNext/>
              <w:keepLines/>
              <w:numPr>
                <w:ilvl w:val="0"/>
                <w:numId w:val="69"/>
              </w:numPr>
              <w:spacing w:before="240"/>
              <w:ind w:hanging="692"/>
              <w:outlineLvl w:val="4"/>
              <w:rPr>
                <w:color w:val="000000" w:themeColor="text1"/>
                <w:szCs w:val="24"/>
              </w:rPr>
            </w:pPr>
            <w:r w:rsidRPr="00576AF8">
              <w:t>Al mismo tiempo</w:t>
            </w:r>
            <w:r w:rsidR="0076405A" w:rsidRPr="00576AF8">
              <w:rPr>
                <w:color w:val="000000" w:themeColor="text1"/>
              </w:rPr>
              <w:t xml:space="preserve">, el Comprador publicará la </w:t>
            </w:r>
            <w:r w:rsidR="00936C4C" w:rsidRPr="00576AF8">
              <w:rPr>
                <w:color w:val="000000" w:themeColor="text1"/>
              </w:rPr>
              <w:t>n</w:t>
            </w:r>
            <w:r w:rsidR="0076405A" w:rsidRPr="00576AF8">
              <w:rPr>
                <w:color w:val="000000" w:themeColor="text1"/>
              </w:rPr>
              <w:t xml:space="preserve">otificación de la Adjudicación del Contrato, que contendrá, como mínimo, la siguiente información: </w:t>
            </w:r>
          </w:p>
          <w:p w14:paraId="6487FD77" w14:textId="77777777" w:rsidR="0076405A" w:rsidRPr="00576AF8" w:rsidRDefault="0076405A">
            <w:pPr>
              <w:pStyle w:val="Encabezado"/>
              <w:numPr>
                <w:ilvl w:val="4"/>
                <w:numId w:val="29"/>
              </w:numPr>
              <w:spacing w:after="200"/>
              <w:ind w:left="1265" w:hanging="630"/>
              <w:rPr>
                <w:color w:val="000000" w:themeColor="text1"/>
                <w:szCs w:val="24"/>
              </w:rPr>
            </w:pPr>
            <w:r w:rsidRPr="00576AF8">
              <w:rPr>
                <w:color w:val="000000" w:themeColor="text1"/>
              </w:rPr>
              <w:t>nombre y dirección del Comprador;</w:t>
            </w:r>
          </w:p>
          <w:p w14:paraId="5013A961" w14:textId="77777777" w:rsidR="0076405A" w:rsidRPr="00576AF8" w:rsidRDefault="0076405A">
            <w:pPr>
              <w:pStyle w:val="Encabezado"/>
              <w:numPr>
                <w:ilvl w:val="4"/>
                <w:numId w:val="29"/>
              </w:numPr>
              <w:spacing w:after="200"/>
              <w:ind w:left="1265" w:hanging="630"/>
              <w:rPr>
                <w:color w:val="000000" w:themeColor="text1"/>
                <w:szCs w:val="24"/>
              </w:rPr>
            </w:pPr>
            <w:r w:rsidRPr="00576AF8">
              <w:rPr>
                <w:color w:val="000000" w:themeColor="text1"/>
              </w:rPr>
              <w:t>nombre y número de referencia del Contrato adjudicado y método de selección utilizado;</w:t>
            </w:r>
          </w:p>
          <w:p w14:paraId="1D55BE57" w14:textId="77777777" w:rsidR="0076405A" w:rsidRPr="00576AF8" w:rsidRDefault="0076405A">
            <w:pPr>
              <w:pStyle w:val="Encabezado"/>
              <w:numPr>
                <w:ilvl w:val="4"/>
                <w:numId w:val="29"/>
              </w:numPr>
              <w:spacing w:after="200"/>
              <w:ind w:left="1265" w:hanging="630"/>
              <w:rPr>
                <w:color w:val="000000" w:themeColor="text1"/>
                <w:szCs w:val="24"/>
              </w:rPr>
            </w:pPr>
            <w:r w:rsidRPr="00576AF8">
              <w:rPr>
                <w:color w:val="000000" w:themeColor="text1"/>
              </w:rPr>
              <w:t xml:space="preserve">nombres de todos los Licitantes que presentaron Ofertas, y los </w:t>
            </w:r>
            <w:r w:rsidR="00FD7322" w:rsidRPr="00576AF8">
              <w:rPr>
                <w:color w:val="000000" w:themeColor="text1"/>
              </w:rPr>
              <w:t>p</w:t>
            </w:r>
            <w:r w:rsidRPr="00576AF8">
              <w:rPr>
                <w:color w:val="000000" w:themeColor="text1"/>
              </w:rPr>
              <w:t>recios de las Ofertas como fueron leídos en voz alta en el acto de apertura de las O</w:t>
            </w:r>
            <w:r w:rsidR="007E5537" w:rsidRPr="00576AF8">
              <w:rPr>
                <w:color w:val="000000" w:themeColor="text1"/>
              </w:rPr>
              <w:t>fertas y como fueron evaluados;</w:t>
            </w:r>
          </w:p>
          <w:p w14:paraId="7D73C9BF" w14:textId="77777777" w:rsidR="005C5870" w:rsidRPr="00576AF8" w:rsidRDefault="005C5870">
            <w:pPr>
              <w:pStyle w:val="Encabezado"/>
              <w:keepNext/>
              <w:keepLines/>
              <w:numPr>
                <w:ilvl w:val="4"/>
                <w:numId w:val="29"/>
              </w:numPr>
              <w:spacing w:before="240" w:after="200"/>
              <w:ind w:left="1265" w:hanging="630"/>
              <w:outlineLvl w:val="4"/>
              <w:rPr>
                <w:color w:val="000000" w:themeColor="text1"/>
                <w:szCs w:val="24"/>
              </w:rPr>
            </w:pPr>
            <w:r w:rsidRPr="00576AF8">
              <w:rPr>
                <w:color w:val="000000" w:themeColor="text1"/>
                <w:szCs w:val="24"/>
              </w:rPr>
              <w:lastRenderedPageBreak/>
              <w:t>cuando corresponde, puntaje obtenido de los Licitantes en la combinación de puntajes técnicos y financieros;</w:t>
            </w:r>
          </w:p>
          <w:p w14:paraId="5E0FA2CA" w14:textId="77777777" w:rsidR="0076405A" w:rsidRPr="00576AF8" w:rsidRDefault="0076405A">
            <w:pPr>
              <w:pStyle w:val="Encabezado"/>
              <w:numPr>
                <w:ilvl w:val="4"/>
                <w:numId w:val="29"/>
              </w:numPr>
              <w:spacing w:after="200"/>
              <w:ind w:left="1265" w:hanging="630"/>
              <w:rPr>
                <w:color w:val="000000" w:themeColor="text1"/>
                <w:szCs w:val="24"/>
              </w:rPr>
            </w:pPr>
            <w:r w:rsidRPr="00576AF8">
              <w:rPr>
                <w:color w:val="000000" w:themeColor="text1"/>
              </w:rPr>
              <w:t>nombres de los Licitantes cuyas Ofertas se rechazaron y las razones de dicho rechazo;</w:t>
            </w:r>
          </w:p>
          <w:p w14:paraId="18E509B5" w14:textId="77777777" w:rsidR="00BA4729" w:rsidRPr="00576AF8" w:rsidRDefault="005E641B" w:rsidP="00E8079B">
            <w:pPr>
              <w:numPr>
                <w:ilvl w:val="12"/>
                <w:numId w:val="0"/>
              </w:numPr>
              <w:spacing w:after="200"/>
              <w:ind w:left="1265" w:right="-72" w:hanging="630"/>
              <w:rPr>
                <w:color w:val="000000" w:themeColor="text1"/>
              </w:rPr>
            </w:pPr>
            <w:r w:rsidRPr="00576AF8">
              <w:rPr>
                <w:color w:val="000000" w:themeColor="text1"/>
              </w:rPr>
              <w:t>(</w:t>
            </w:r>
            <w:r w:rsidR="0076405A" w:rsidRPr="00576AF8">
              <w:rPr>
                <w:color w:val="000000" w:themeColor="text1"/>
              </w:rPr>
              <w:t>e)</w:t>
            </w:r>
            <w:r w:rsidR="0076405A" w:rsidRPr="00576AF8">
              <w:tab/>
            </w:r>
            <w:r w:rsidR="0076405A" w:rsidRPr="00576AF8">
              <w:rPr>
                <w:color w:val="000000" w:themeColor="text1"/>
              </w:rPr>
              <w:t xml:space="preserve">nombre del Licitante seleccionado, precio total y final del Contrato, duración del </w:t>
            </w:r>
            <w:r w:rsidR="00FD7322" w:rsidRPr="00576AF8">
              <w:rPr>
                <w:color w:val="000000" w:themeColor="text1"/>
              </w:rPr>
              <w:t>C</w:t>
            </w:r>
            <w:r w:rsidR="0076405A" w:rsidRPr="00576AF8">
              <w:rPr>
                <w:color w:val="000000" w:themeColor="text1"/>
              </w:rPr>
              <w:t>ontrato y resumen de su alcance</w:t>
            </w:r>
            <w:r w:rsidR="005174F3" w:rsidRPr="00576AF8">
              <w:rPr>
                <w:color w:val="000000" w:themeColor="text1"/>
              </w:rPr>
              <w:t xml:space="preserve">; </w:t>
            </w:r>
          </w:p>
          <w:p w14:paraId="25B234EE" w14:textId="77777777" w:rsidR="005174F3" w:rsidRPr="00576AF8" w:rsidRDefault="00BA4729" w:rsidP="00E8079B">
            <w:pPr>
              <w:numPr>
                <w:ilvl w:val="12"/>
                <w:numId w:val="0"/>
              </w:numPr>
              <w:spacing w:after="200"/>
              <w:ind w:left="1265" w:right="-72" w:hanging="630"/>
              <w:rPr>
                <w:color w:val="000000" w:themeColor="text1"/>
              </w:rPr>
            </w:pPr>
            <w:r w:rsidRPr="00576AF8">
              <w:rPr>
                <w:color w:val="000000" w:themeColor="text1"/>
              </w:rPr>
              <w:t>(f)  si la adjudicación final incluyó Negociaciones</w:t>
            </w:r>
            <w:r w:rsidR="00781819" w:rsidRPr="00576AF8">
              <w:rPr>
                <w:color w:val="000000" w:themeColor="text1"/>
              </w:rPr>
              <w:t>, si corresponde</w:t>
            </w:r>
            <w:r w:rsidRPr="00576AF8">
              <w:rPr>
                <w:color w:val="000000" w:themeColor="text1"/>
              </w:rPr>
              <w:t xml:space="preserve">; </w:t>
            </w:r>
            <w:r w:rsidR="005174F3" w:rsidRPr="00576AF8">
              <w:rPr>
                <w:color w:val="000000" w:themeColor="text1"/>
              </w:rPr>
              <w:t>y</w:t>
            </w:r>
          </w:p>
          <w:p w14:paraId="40A54F93" w14:textId="77777777" w:rsidR="0076405A" w:rsidRPr="00576AF8" w:rsidRDefault="00BA4729" w:rsidP="00E8483B">
            <w:pPr>
              <w:pStyle w:val="S1-Header2"/>
              <w:numPr>
                <w:ilvl w:val="0"/>
                <w:numId w:val="0"/>
              </w:numPr>
              <w:ind w:left="1315" w:hanging="737"/>
            </w:pPr>
            <w:r w:rsidRPr="00576AF8">
              <w:rPr>
                <w:b w:val="0"/>
                <w:color w:val="000000" w:themeColor="text1"/>
              </w:rPr>
              <w:t xml:space="preserve"> </w:t>
            </w:r>
            <w:r w:rsidR="005174F3" w:rsidRPr="00576AF8">
              <w:rPr>
                <w:b w:val="0"/>
                <w:color w:val="000000" w:themeColor="text1"/>
              </w:rPr>
              <w:t>(</w:t>
            </w:r>
            <w:r w:rsidRPr="00576AF8">
              <w:rPr>
                <w:b w:val="0"/>
                <w:color w:val="000000" w:themeColor="text1"/>
              </w:rPr>
              <w:t>g</w:t>
            </w:r>
            <w:r w:rsidR="005174F3" w:rsidRPr="00576AF8">
              <w:rPr>
                <w:b w:val="0"/>
                <w:color w:val="000000" w:themeColor="text1"/>
              </w:rPr>
              <w:t>)</w:t>
            </w:r>
            <w:r w:rsidR="005174F3" w:rsidRPr="00576AF8">
              <w:rPr>
                <w:color w:val="000000" w:themeColor="text1"/>
              </w:rPr>
              <w:t xml:space="preserve">       </w:t>
            </w:r>
            <w:r w:rsidR="005174F3" w:rsidRPr="00576AF8">
              <w:rPr>
                <w:b w:val="0"/>
              </w:rPr>
              <w:t>Formulario</w:t>
            </w:r>
            <w:r w:rsidR="005174F3" w:rsidRPr="00576AF8">
              <w:rPr>
                <w:rFonts w:eastAsia="Calibri"/>
                <w:b w:val="0"/>
                <w:color w:val="000000"/>
              </w:rPr>
              <w:t xml:space="preserve"> de Divulgación de la Propiedad Efectiva del Licitante seleccionado, si se especifica </w:t>
            </w:r>
            <w:r w:rsidR="005174F3" w:rsidRPr="00576AF8">
              <w:rPr>
                <w:rFonts w:eastAsia="Calibri"/>
                <w:color w:val="000000"/>
              </w:rPr>
              <w:t>en DDL</w:t>
            </w:r>
            <w:r w:rsidR="005174F3" w:rsidRPr="00576AF8">
              <w:rPr>
                <w:rFonts w:eastAsia="Calibri"/>
                <w:b w:val="0"/>
                <w:color w:val="000000"/>
              </w:rPr>
              <w:t xml:space="preserve"> IAL </w:t>
            </w:r>
            <w:r w:rsidR="0077313B" w:rsidRPr="00576AF8">
              <w:rPr>
                <w:rFonts w:eastAsia="Calibri"/>
                <w:b w:val="0"/>
                <w:color w:val="000000"/>
              </w:rPr>
              <w:t>53</w:t>
            </w:r>
            <w:r w:rsidR="00C17152" w:rsidRPr="00576AF8">
              <w:rPr>
                <w:rFonts w:eastAsia="Calibri"/>
                <w:b w:val="0"/>
                <w:color w:val="000000"/>
              </w:rPr>
              <w:t>.1</w:t>
            </w:r>
          </w:p>
          <w:p w14:paraId="20EA8E53" w14:textId="77777777" w:rsidR="0001220E" w:rsidRPr="00576AF8" w:rsidRDefault="0001220E">
            <w:pPr>
              <w:pStyle w:val="S1-subpara"/>
              <w:numPr>
                <w:ilvl w:val="0"/>
                <w:numId w:val="69"/>
              </w:numPr>
              <w:ind w:hanging="692"/>
              <w:rPr>
                <w:szCs w:val="24"/>
              </w:rPr>
            </w:pPr>
            <w:r w:rsidRPr="00576AF8">
              <w:t xml:space="preserve">La </w:t>
            </w:r>
            <w:r w:rsidR="00936C4C" w:rsidRPr="00576AF8">
              <w:t>n</w:t>
            </w:r>
            <w:r w:rsidRPr="00576AF8">
              <w:t xml:space="preserve">otificación de la Adjudicación del Contrato se publicará en </w:t>
            </w:r>
            <w:r w:rsidR="005E641B" w:rsidRPr="00576AF8">
              <w:t xml:space="preserve">la página </w:t>
            </w:r>
            <w:r w:rsidRPr="00576AF8">
              <w:t xml:space="preserve">web de acceso gratuito del Comprador, si se encontrara disponible, o en al menos un periódico de circulación nacional del </w:t>
            </w:r>
            <w:r w:rsidR="005C14A1" w:rsidRPr="00576AF8">
              <w:t>p</w:t>
            </w:r>
            <w:r w:rsidRPr="00576AF8">
              <w:t xml:space="preserve">aís del Comprador o en el boletín oficial. Asimismo, el Comprador publicará la </w:t>
            </w:r>
            <w:r w:rsidR="00936C4C" w:rsidRPr="00576AF8">
              <w:t>n</w:t>
            </w:r>
            <w:r w:rsidRPr="00576AF8">
              <w:t xml:space="preserve">otificación de la Adjudicación del Contrato en </w:t>
            </w:r>
            <w:r w:rsidR="005E641B" w:rsidRPr="00576AF8">
              <w:t>la página</w:t>
            </w:r>
            <w:r w:rsidRPr="00576AF8">
              <w:t xml:space="preserve"> web de la publicación </w:t>
            </w:r>
            <w:r w:rsidRPr="00576AF8">
              <w:rPr>
                <w:i/>
              </w:rPr>
              <w:t>Development Business</w:t>
            </w:r>
            <w:r w:rsidRPr="00576AF8">
              <w:t xml:space="preserve"> de las Naciones Unidas.</w:t>
            </w:r>
          </w:p>
          <w:p w14:paraId="6162CA69" w14:textId="77777777" w:rsidR="00DE0484" w:rsidRPr="00576AF8" w:rsidRDefault="0001220E">
            <w:pPr>
              <w:pStyle w:val="S1-subpara"/>
              <w:numPr>
                <w:ilvl w:val="0"/>
                <w:numId w:val="69"/>
              </w:numPr>
              <w:ind w:hanging="692"/>
              <w:rPr>
                <w:szCs w:val="24"/>
              </w:rPr>
            </w:pPr>
            <w:r w:rsidRPr="00576AF8">
              <w:t xml:space="preserve">Mientras se prepara y perfecciona el contrato formal, la </w:t>
            </w:r>
            <w:r w:rsidR="00936C4C" w:rsidRPr="00576AF8">
              <w:t>n</w:t>
            </w:r>
            <w:r w:rsidRPr="00576AF8">
              <w:t>otificación de Adjudicación constituirá un Contrato vinculante.</w:t>
            </w:r>
          </w:p>
        </w:tc>
      </w:tr>
      <w:tr w:rsidR="007A79C3" w:rsidRPr="00576AF8" w14:paraId="43FA14CB" w14:textId="77777777" w:rsidTr="00EE57D2">
        <w:tc>
          <w:tcPr>
            <w:tcW w:w="2567" w:type="dxa"/>
          </w:tcPr>
          <w:p w14:paraId="511FD0CB" w14:textId="77777777" w:rsidR="007A79C3" w:rsidRPr="00576AF8" w:rsidRDefault="007A79C3" w:rsidP="00866570">
            <w:pPr>
              <w:pStyle w:val="TOC2-2"/>
            </w:pPr>
            <w:bookmarkStart w:id="322" w:name="_Toc25486635"/>
            <w:r w:rsidRPr="00576AF8">
              <w:lastRenderedPageBreak/>
              <w:t>52. Explicaciones del </w:t>
            </w:r>
            <w:r w:rsidR="00395098" w:rsidRPr="00576AF8">
              <w:t>Comprador</w:t>
            </w:r>
            <w:bookmarkEnd w:id="322"/>
          </w:p>
        </w:tc>
        <w:tc>
          <w:tcPr>
            <w:tcW w:w="6826" w:type="dxa"/>
          </w:tcPr>
          <w:p w14:paraId="4C99D12A" w14:textId="77777777" w:rsidR="007A79C3" w:rsidRPr="00576AF8" w:rsidRDefault="007A79C3">
            <w:pPr>
              <w:pStyle w:val="Sec1-ClausesAfter10pt1"/>
              <w:numPr>
                <w:ilvl w:val="0"/>
                <w:numId w:val="96"/>
              </w:numPr>
              <w:ind w:left="629" w:hanging="629"/>
              <w:jc w:val="both"/>
              <w:rPr>
                <w:lang w:val="es-ES" w:bidi="es-ES"/>
              </w:rPr>
            </w:pPr>
            <w:r w:rsidRPr="00576AF8">
              <w:rPr>
                <w:b w:val="0"/>
                <w:lang w:val="es-ES" w:bidi="es-ES"/>
              </w:rPr>
              <w:t xml:space="preserve">Tras recibir de parte del </w:t>
            </w:r>
            <w:r w:rsidR="00395098" w:rsidRPr="00576AF8">
              <w:rPr>
                <w:b w:val="0"/>
                <w:lang w:val="es-ES" w:bidi="es-ES"/>
              </w:rPr>
              <w:t>Comprador</w:t>
            </w:r>
            <w:r w:rsidRPr="00576AF8">
              <w:rPr>
                <w:b w:val="0"/>
                <w:lang w:val="es-ES" w:bidi="es-ES"/>
              </w:rPr>
              <w:t xml:space="preserve"> la Notificación de Intención de Adjudicar a la que se hace referencia en la IA</w:t>
            </w:r>
            <w:r w:rsidR="0077313B" w:rsidRPr="00576AF8">
              <w:rPr>
                <w:b w:val="0"/>
                <w:lang w:val="es-ES" w:bidi="es-ES"/>
              </w:rPr>
              <w:t>L</w:t>
            </w:r>
            <w:r w:rsidRPr="00576AF8">
              <w:rPr>
                <w:b w:val="0"/>
                <w:lang w:val="es-ES" w:bidi="es-ES"/>
              </w:rPr>
              <w:t> 4</w:t>
            </w:r>
            <w:r w:rsidR="0077313B" w:rsidRPr="00576AF8">
              <w:rPr>
                <w:b w:val="0"/>
                <w:lang w:val="es-ES" w:bidi="es-ES"/>
              </w:rPr>
              <w:t>8</w:t>
            </w:r>
            <w:r w:rsidRPr="00576AF8">
              <w:rPr>
                <w:b w:val="0"/>
                <w:lang w:val="es-ES" w:bidi="es-ES"/>
              </w:rPr>
              <w:t xml:space="preserve">.1, los </w:t>
            </w:r>
            <w:r w:rsidR="007A705B" w:rsidRPr="00576AF8">
              <w:rPr>
                <w:b w:val="0"/>
                <w:lang w:val="es-ES" w:bidi="es-ES"/>
              </w:rPr>
              <w:t>Licitante</w:t>
            </w:r>
            <w:r w:rsidRPr="00576AF8">
              <w:rPr>
                <w:b w:val="0"/>
                <w:lang w:val="es-ES" w:bidi="es-ES"/>
              </w:rPr>
              <w:t xml:space="preserve">s no favorecidos tendrán un plazo de tres (3) días hábiles para presentar una solicitud de explicaciones por escrito dirigida al </w:t>
            </w:r>
            <w:r w:rsidR="00395098" w:rsidRPr="00576AF8">
              <w:rPr>
                <w:b w:val="0"/>
                <w:lang w:val="es-ES" w:bidi="es-ES"/>
              </w:rPr>
              <w:t>Comprador</w:t>
            </w:r>
            <w:r w:rsidRPr="00576AF8">
              <w:rPr>
                <w:b w:val="0"/>
                <w:lang w:val="es-ES" w:bidi="es-ES"/>
              </w:rPr>
              <w:t xml:space="preserve"> sobre las razones por la cuales su Oferta no fue seleccionada. El </w:t>
            </w:r>
            <w:r w:rsidR="00395098" w:rsidRPr="00576AF8">
              <w:rPr>
                <w:b w:val="0"/>
                <w:lang w:val="es-ES" w:bidi="es-ES"/>
              </w:rPr>
              <w:t>Comprador</w:t>
            </w:r>
            <w:r w:rsidRPr="00576AF8">
              <w:rPr>
                <w:b w:val="0"/>
                <w:lang w:val="es-ES" w:bidi="es-ES"/>
              </w:rPr>
              <w:t xml:space="preserve"> deberá brindar las explicaciones correspondientes a todos los </w:t>
            </w:r>
            <w:r w:rsidR="007A705B" w:rsidRPr="00576AF8">
              <w:rPr>
                <w:b w:val="0"/>
                <w:lang w:val="es-ES" w:bidi="es-ES"/>
              </w:rPr>
              <w:t>Licitante</w:t>
            </w:r>
            <w:r w:rsidRPr="00576AF8">
              <w:rPr>
                <w:b w:val="0"/>
                <w:lang w:val="es-ES" w:bidi="es-ES"/>
              </w:rPr>
              <w:t>s cuya solicitud se reciba dentro del plazo establecido.</w:t>
            </w:r>
          </w:p>
        </w:tc>
      </w:tr>
      <w:tr w:rsidR="007A79C3" w:rsidRPr="00576AF8" w14:paraId="15896577" w14:textId="77777777" w:rsidTr="00EE57D2">
        <w:tc>
          <w:tcPr>
            <w:tcW w:w="2567" w:type="dxa"/>
          </w:tcPr>
          <w:p w14:paraId="6BFC9619" w14:textId="77777777" w:rsidR="007A79C3" w:rsidRPr="00576AF8" w:rsidRDefault="007A79C3" w:rsidP="00CC7032">
            <w:pPr>
              <w:numPr>
                <w:ilvl w:val="12"/>
                <w:numId w:val="0"/>
              </w:numPr>
              <w:spacing w:after="200"/>
              <w:ind w:left="360" w:hanging="360"/>
              <w:jc w:val="left"/>
            </w:pPr>
          </w:p>
        </w:tc>
        <w:tc>
          <w:tcPr>
            <w:tcW w:w="6826" w:type="dxa"/>
          </w:tcPr>
          <w:p w14:paraId="54171B91" w14:textId="77777777" w:rsidR="007A79C3" w:rsidRPr="00576AF8" w:rsidRDefault="007A79C3">
            <w:pPr>
              <w:pStyle w:val="Sec1-ClausesAfter10pt1"/>
              <w:numPr>
                <w:ilvl w:val="0"/>
                <w:numId w:val="96"/>
              </w:numPr>
              <w:ind w:left="629" w:hanging="629"/>
              <w:jc w:val="both"/>
              <w:rPr>
                <w:lang w:val="es-ES" w:bidi="es-ES"/>
              </w:rPr>
            </w:pPr>
            <w:r w:rsidRPr="00576AF8">
              <w:rPr>
                <w:b w:val="0"/>
                <w:lang w:val="es-ES" w:bidi="es-ES"/>
              </w:rPr>
              <w:t xml:space="preserve">Cuando se reciba un pedido de explicación dentro de este plazo, el </w:t>
            </w:r>
            <w:r w:rsidR="00395098" w:rsidRPr="00576AF8">
              <w:rPr>
                <w:b w:val="0"/>
                <w:lang w:val="es-ES" w:bidi="es-ES"/>
              </w:rPr>
              <w:t>Comprador</w:t>
            </w:r>
            <w:r w:rsidRPr="00576AF8">
              <w:rPr>
                <w:b w:val="0"/>
                <w:lang w:val="es-ES" w:bidi="es-ES"/>
              </w:rPr>
              <w:t xml:space="preserv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w:t>
            </w:r>
            <w:r w:rsidR="00395098" w:rsidRPr="00576AF8">
              <w:rPr>
                <w:b w:val="0"/>
                <w:lang w:val="es-ES" w:bidi="es-ES"/>
              </w:rPr>
              <w:t>Comprador</w:t>
            </w:r>
            <w:r w:rsidRPr="00576AF8">
              <w:rPr>
                <w:b w:val="0"/>
                <w:lang w:val="es-ES" w:bidi="es-ES"/>
              </w:rPr>
              <w:t xml:space="preserve"> informará sin demora y por el </w:t>
            </w:r>
            <w:r w:rsidRPr="00576AF8">
              <w:rPr>
                <w:b w:val="0"/>
                <w:lang w:val="es-ES" w:bidi="es-ES"/>
              </w:rPr>
              <w:lastRenderedPageBreak/>
              <w:t xml:space="preserve">medio más rápido disponible a todos los </w:t>
            </w:r>
            <w:r w:rsidR="007A705B" w:rsidRPr="00576AF8">
              <w:rPr>
                <w:b w:val="0"/>
                <w:lang w:val="es-ES" w:bidi="es-ES"/>
              </w:rPr>
              <w:t>Licitante</w:t>
            </w:r>
            <w:r w:rsidRPr="00576AF8">
              <w:rPr>
                <w:b w:val="0"/>
                <w:lang w:val="es-ES" w:bidi="es-ES"/>
              </w:rPr>
              <w:t>s acerca de la extensión del Plazo Suspensivo.</w:t>
            </w:r>
          </w:p>
        </w:tc>
      </w:tr>
      <w:tr w:rsidR="001C171F" w:rsidRPr="00576AF8" w14:paraId="23277274" w14:textId="77777777" w:rsidTr="00EE57D2">
        <w:trPr>
          <w:cantSplit/>
          <w:trHeight w:val="400"/>
        </w:trPr>
        <w:tc>
          <w:tcPr>
            <w:tcW w:w="2567" w:type="dxa"/>
          </w:tcPr>
          <w:p w14:paraId="53064D43" w14:textId="77777777" w:rsidR="001C171F" w:rsidRPr="00576AF8" w:rsidDel="002F4AA9" w:rsidRDefault="001C171F" w:rsidP="006F647A">
            <w:pPr>
              <w:pStyle w:val="TOC2-2"/>
            </w:pPr>
          </w:p>
        </w:tc>
        <w:tc>
          <w:tcPr>
            <w:tcW w:w="6826" w:type="dxa"/>
          </w:tcPr>
          <w:p w14:paraId="33CEE4AC" w14:textId="77777777" w:rsidR="001C171F" w:rsidRPr="00576AF8" w:rsidRDefault="001C171F">
            <w:pPr>
              <w:pStyle w:val="S1-subpara"/>
              <w:numPr>
                <w:ilvl w:val="0"/>
                <w:numId w:val="96"/>
              </w:numPr>
              <w:ind w:left="629" w:hanging="629"/>
            </w:pPr>
            <w:r w:rsidRPr="00576AF8">
              <w:t xml:space="preserve">Cuando el </w:t>
            </w:r>
            <w:r w:rsidR="00395098" w:rsidRPr="00576AF8">
              <w:t>Comprador</w:t>
            </w:r>
            <w:r w:rsidRPr="00576AF8">
              <w:t xml:space="preserv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tc>
      </w:tr>
      <w:tr w:rsidR="001C171F" w:rsidRPr="00576AF8" w14:paraId="4AC88427" w14:textId="77777777" w:rsidTr="00EE57D2">
        <w:trPr>
          <w:cantSplit/>
          <w:trHeight w:val="400"/>
        </w:trPr>
        <w:tc>
          <w:tcPr>
            <w:tcW w:w="2567" w:type="dxa"/>
          </w:tcPr>
          <w:p w14:paraId="3B5E890F" w14:textId="77777777" w:rsidR="001C171F" w:rsidRPr="00576AF8" w:rsidRDefault="001C171F" w:rsidP="006F647A">
            <w:pPr>
              <w:pStyle w:val="TOC2-2"/>
            </w:pPr>
          </w:p>
        </w:tc>
        <w:tc>
          <w:tcPr>
            <w:tcW w:w="6826" w:type="dxa"/>
          </w:tcPr>
          <w:p w14:paraId="34BCD1C7" w14:textId="77777777" w:rsidR="001C171F" w:rsidRPr="00576AF8" w:rsidRDefault="00AB33A3">
            <w:pPr>
              <w:pStyle w:val="S1-subpara"/>
              <w:numPr>
                <w:ilvl w:val="0"/>
                <w:numId w:val="96"/>
              </w:numPr>
              <w:ind w:left="629" w:hanging="629"/>
            </w:pPr>
            <w:r w:rsidRPr="00576AF8">
              <w:rPr>
                <w:lang w:val="es-US"/>
              </w:rPr>
              <w:t xml:space="preserve">Las explicaciones a los Licitantes no seleccionados podrán darse </w:t>
            </w:r>
            <w:r w:rsidRPr="00576AF8">
              <w:rPr>
                <w:color w:val="222222"/>
                <w:lang w:val="es-419"/>
              </w:rPr>
              <w:t>por escrito o mediante una reunión de información, o ambas, a opción del Contratante</w:t>
            </w:r>
            <w:r w:rsidRPr="00576AF8">
              <w:rPr>
                <w:lang w:val="es-US"/>
              </w:rPr>
              <w:t>. Los gastos incurridos para asistir a la reunión a recibir las explicaciones correrán por cuenta del Licitante</w:t>
            </w:r>
            <w:r w:rsidR="001C171F" w:rsidRPr="00576AF8">
              <w:t>.</w:t>
            </w:r>
          </w:p>
        </w:tc>
      </w:tr>
      <w:tr w:rsidR="0001220E" w:rsidRPr="00576AF8" w14:paraId="3749107E" w14:textId="77777777" w:rsidTr="00EE57D2">
        <w:trPr>
          <w:cantSplit/>
          <w:trHeight w:val="400"/>
        </w:trPr>
        <w:tc>
          <w:tcPr>
            <w:tcW w:w="2567" w:type="dxa"/>
          </w:tcPr>
          <w:p w14:paraId="0982A33D" w14:textId="77777777" w:rsidR="0001220E" w:rsidRPr="00576AF8" w:rsidRDefault="001C171F" w:rsidP="006F647A">
            <w:pPr>
              <w:pStyle w:val="TOC2-2"/>
            </w:pPr>
            <w:bookmarkStart w:id="323" w:name="_Toc434304529"/>
            <w:bookmarkStart w:id="324" w:name="_Toc476308817"/>
            <w:bookmarkStart w:id="325" w:name="_Toc479333367"/>
            <w:bookmarkStart w:id="326" w:name="_Toc25486636"/>
            <w:r w:rsidRPr="00576AF8">
              <w:t>5</w:t>
            </w:r>
            <w:r w:rsidR="007A79C3" w:rsidRPr="00576AF8">
              <w:t>3</w:t>
            </w:r>
            <w:r w:rsidR="0001220E" w:rsidRPr="00576AF8">
              <w:t>.</w:t>
            </w:r>
            <w:r w:rsidR="0001220E" w:rsidRPr="00576AF8">
              <w:tab/>
              <w:t>Firma del Contrato</w:t>
            </w:r>
            <w:bookmarkEnd w:id="323"/>
            <w:bookmarkEnd w:id="324"/>
            <w:bookmarkEnd w:id="325"/>
            <w:bookmarkEnd w:id="326"/>
          </w:p>
        </w:tc>
        <w:tc>
          <w:tcPr>
            <w:tcW w:w="6826" w:type="dxa"/>
          </w:tcPr>
          <w:p w14:paraId="73BD112E" w14:textId="77777777" w:rsidR="0001220E" w:rsidRPr="00576AF8" w:rsidRDefault="005174F3">
            <w:pPr>
              <w:pStyle w:val="S1-subpara"/>
              <w:numPr>
                <w:ilvl w:val="0"/>
                <w:numId w:val="70"/>
              </w:numPr>
              <w:spacing w:after="120"/>
              <w:ind w:hanging="692"/>
            </w:pPr>
            <w:r w:rsidRPr="00576AF8">
              <w:t xml:space="preserve">El Comprador enviará al Licitante seleccionado la Carta de Aceptación, incluido el </w:t>
            </w:r>
            <w:r w:rsidR="00682589" w:rsidRPr="00576AF8">
              <w:t>Convenio Contractual</w:t>
            </w:r>
            <w:r w:rsidRPr="00576AF8">
              <w:t xml:space="preserve">, y, si se especifica </w:t>
            </w:r>
            <w:r w:rsidRPr="00576AF8">
              <w:rPr>
                <w:b/>
              </w:rPr>
              <w:t>en los DLL</w:t>
            </w:r>
            <w:r w:rsidRPr="00576AF8">
              <w:t>, una solicitud para presentar el Formulario de Divulgación de la Propiedad Efectiva que proporciona información adicional sobre su titularidad real. El Formulario de Divulgación de la Propiedad Efectiva, si así se solicita, deberá enviarse dentro de los ocho (8) días hábiles posteriores a la recepción de esta solicitud.</w:t>
            </w:r>
          </w:p>
        </w:tc>
      </w:tr>
      <w:tr w:rsidR="0001220E" w:rsidRPr="00576AF8" w14:paraId="7DCD7150" w14:textId="77777777" w:rsidTr="00EE57D2">
        <w:tc>
          <w:tcPr>
            <w:tcW w:w="2567" w:type="dxa"/>
          </w:tcPr>
          <w:p w14:paraId="090A7224" w14:textId="77777777" w:rsidR="0001220E" w:rsidRPr="00576AF8" w:rsidRDefault="0001220E" w:rsidP="00CC7032">
            <w:pPr>
              <w:numPr>
                <w:ilvl w:val="12"/>
                <w:numId w:val="0"/>
              </w:numPr>
              <w:spacing w:after="200"/>
              <w:ind w:left="360" w:hanging="360"/>
              <w:jc w:val="left"/>
              <w:rPr>
                <w:szCs w:val="24"/>
              </w:rPr>
            </w:pPr>
          </w:p>
        </w:tc>
        <w:tc>
          <w:tcPr>
            <w:tcW w:w="6826" w:type="dxa"/>
          </w:tcPr>
          <w:p w14:paraId="70C983AD" w14:textId="77777777" w:rsidR="0001220E" w:rsidRPr="00576AF8" w:rsidRDefault="0001220E">
            <w:pPr>
              <w:pStyle w:val="S1-subpara"/>
              <w:numPr>
                <w:ilvl w:val="0"/>
                <w:numId w:val="70"/>
              </w:numPr>
              <w:spacing w:after="120"/>
              <w:ind w:hanging="692"/>
              <w:rPr>
                <w:b/>
                <w:szCs w:val="24"/>
              </w:rPr>
            </w:pPr>
            <w:r w:rsidRPr="00576AF8">
              <w:t>Dentro de los veintiocho</w:t>
            </w:r>
            <w:r w:rsidR="00F47080" w:rsidRPr="00576AF8">
              <w:t xml:space="preserve"> (28</w:t>
            </w:r>
            <w:r w:rsidRPr="00576AF8">
              <w:t>) días siguientes a la recepción del Convenio Contractual, el Licitante seleccionado deberá firmarlo, fecharlo y devolverlo al Comprador.</w:t>
            </w:r>
          </w:p>
        </w:tc>
      </w:tr>
      <w:tr w:rsidR="0001220E" w:rsidRPr="00576AF8" w14:paraId="02D4EEEE" w14:textId="77777777" w:rsidTr="00EE57D2">
        <w:tc>
          <w:tcPr>
            <w:tcW w:w="2567" w:type="dxa"/>
          </w:tcPr>
          <w:p w14:paraId="4D8118CD" w14:textId="77777777" w:rsidR="0001220E" w:rsidRPr="00576AF8" w:rsidRDefault="0001220E" w:rsidP="00CC7032">
            <w:pPr>
              <w:numPr>
                <w:ilvl w:val="12"/>
                <w:numId w:val="0"/>
              </w:numPr>
              <w:spacing w:after="200"/>
              <w:ind w:left="360" w:hanging="360"/>
              <w:jc w:val="left"/>
              <w:rPr>
                <w:szCs w:val="24"/>
              </w:rPr>
            </w:pPr>
          </w:p>
        </w:tc>
        <w:tc>
          <w:tcPr>
            <w:tcW w:w="6826" w:type="dxa"/>
          </w:tcPr>
          <w:p w14:paraId="6CA14B5C" w14:textId="77777777" w:rsidR="0001220E" w:rsidRPr="00576AF8" w:rsidDel="0086784B" w:rsidRDefault="0001220E">
            <w:pPr>
              <w:pStyle w:val="S1-subpara"/>
              <w:numPr>
                <w:ilvl w:val="0"/>
                <w:numId w:val="70"/>
              </w:numPr>
              <w:spacing w:after="120"/>
              <w:ind w:hanging="692"/>
              <w:rPr>
                <w:szCs w:val="24"/>
              </w:rPr>
            </w:pPr>
            <w:r w:rsidRPr="00576AF8">
              <w:t xml:space="preserve">No obstante lo dispuesto en la </w:t>
            </w:r>
            <w:r w:rsidR="00503647" w:rsidRPr="00576AF8">
              <w:t>IAL</w:t>
            </w:r>
            <w:r w:rsidRPr="00576AF8">
              <w:t xml:space="preserve"> </w:t>
            </w:r>
            <w:r w:rsidR="0077313B" w:rsidRPr="00576AF8">
              <w:t>53.</w:t>
            </w:r>
            <w:r w:rsidRPr="00576AF8">
              <w:t xml:space="preserve">2 precedente, en caso de que la firma del Convenio Contractual se vea impedida por restricciones a las exportaciones atribuibles al Comprador, al </w:t>
            </w:r>
            <w:r w:rsidR="005C14A1" w:rsidRPr="00576AF8">
              <w:t>p</w:t>
            </w:r>
            <w:r w:rsidRPr="00576AF8">
              <w:t>aís del Comprador o al uso del Sistema Informático que se ha de suministrar, cuando tales restricciones a las exportaciones se originen en reglamentaciones comerciales de un país que suministra dicho Sistema Informático, el Licitante no estará obligado por su Oferta, siempre y cuando, no obstante, el Licitante sea capaz de demostrar, a satisfacción del Comprador y del Banco, que la firma del Convenio Contractual no ha sido impedida por una falta de diligencia de parte del Licitante en cuanto al cumplimiento de las formalidades, tales como la solicitud de permisos, autorizaciones y licencias necesarios para la exportación del Sistema Informático en virtud de las condiciones del Contrato.</w:t>
            </w:r>
          </w:p>
        </w:tc>
      </w:tr>
      <w:tr w:rsidR="0001220E" w:rsidRPr="00576AF8" w14:paraId="03B4082F" w14:textId="77777777" w:rsidTr="00EE57D2">
        <w:trPr>
          <w:cantSplit/>
        </w:trPr>
        <w:tc>
          <w:tcPr>
            <w:tcW w:w="2567" w:type="dxa"/>
          </w:tcPr>
          <w:p w14:paraId="3DDEC028" w14:textId="77777777" w:rsidR="0001220E" w:rsidRPr="00576AF8" w:rsidRDefault="002F4AA9" w:rsidP="006F647A">
            <w:pPr>
              <w:pStyle w:val="TOC2-2"/>
            </w:pPr>
            <w:bookmarkStart w:id="327" w:name="_Toc434304530"/>
            <w:bookmarkStart w:id="328" w:name="_Toc454907817"/>
            <w:bookmarkStart w:id="329" w:name="_Toc476308818"/>
            <w:bookmarkStart w:id="330" w:name="_Toc479333368"/>
            <w:bookmarkStart w:id="331" w:name="_Toc25486637"/>
            <w:r w:rsidRPr="00576AF8">
              <w:lastRenderedPageBreak/>
              <w:t>5</w:t>
            </w:r>
            <w:r w:rsidR="007A79C3" w:rsidRPr="00576AF8">
              <w:t>4</w:t>
            </w:r>
            <w:r w:rsidR="0001220E" w:rsidRPr="00576AF8">
              <w:t>.</w:t>
            </w:r>
            <w:r w:rsidR="0001220E" w:rsidRPr="00576AF8">
              <w:tab/>
              <w:t xml:space="preserve">Garantía de </w:t>
            </w:r>
            <w:bookmarkEnd w:id="327"/>
            <w:bookmarkEnd w:id="328"/>
            <w:bookmarkEnd w:id="329"/>
            <w:bookmarkEnd w:id="330"/>
            <w:r w:rsidR="005E641B" w:rsidRPr="00576AF8">
              <w:t>Cumplimiento</w:t>
            </w:r>
            <w:bookmarkEnd w:id="331"/>
          </w:p>
        </w:tc>
        <w:tc>
          <w:tcPr>
            <w:tcW w:w="6826" w:type="dxa"/>
          </w:tcPr>
          <w:p w14:paraId="257E9201" w14:textId="77777777" w:rsidR="00A44EB2" w:rsidRPr="00576AF8" w:rsidRDefault="0001220E">
            <w:pPr>
              <w:pStyle w:val="Prrafodelista"/>
              <w:numPr>
                <w:ilvl w:val="0"/>
                <w:numId w:val="92"/>
              </w:numPr>
              <w:spacing w:after="200"/>
              <w:ind w:left="764" w:right="-72" w:hanging="708"/>
              <w:rPr>
                <w:b/>
                <w:szCs w:val="24"/>
              </w:rPr>
            </w:pPr>
            <w:r w:rsidRPr="00576AF8">
              <w:t xml:space="preserve">Dentro de los veintiocho (28) días siguientes a la recepción de la </w:t>
            </w:r>
            <w:r w:rsidR="00314214" w:rsidRPr="00576AF8">
              <w:t>c</w:t>
            </w:r>
            <w:r w:rsidRPr="00576AF8">
              <w:t xml:space="preserve">arta de </w:t>
            </w:r>
            <w:r w:rsidR="00314214" w:rsidRPr="00576AF8">
              <w:t>a</w:t>
            </w:r>
            <w:r w:rsidRPr="00576AF8">
              <w:t xml:space="preserve">ceptación enviada por el Comprador, el Licitante seleccionado deberá presentar la </w:t>
            </w:r>
            <w:r w:rsidR="001A42C7" w:rsidRPr="00576AF8">
              <w:t xml:space="preserve">Garantía </w:t>
            </w:r>
            <w:r w:rsidRPr="00576AF8">
              <w:t xml:space="preserve">de </w:t>
            </w:r>
            <w:r w:rsidR="001A42C7" w:rsidRPr="00576AF8">
              <w:t xml:space="preserve">Cumplimiento </w:t>
            </w:r>
            <w:r w:rsidRPr="00576AF8">
              <w:t xml:space="preserve">de conformidad con </w:t>
            </w:r>
            <w:r w:rsidR="00B62252" w:rsidRPr="00576AF8">
              <w:t>las Condiciones Generales</w:t>
            </w:r>
            <w:r w:rsidRPr="00576AF8">
              <w:t xml:space="preserve"> utilizando para dicho propósito el formulario de </w:t>
            </w:r>
            <w:r w:rsidR="00222A2F" w:rsidRPr="00576AF8">
              <w:t>G</w:t>
            </w:r>
            <w:r w:rsidR="00984DF4" w:rsidRPr="00576AF8">
              <w:t>arantía</w:t>
            </w:r>
            <w:r w:rsidRPr="00576AF8">
              <w:t xml:space="preserve"> de </w:t>
            </w:r>
            <w:r w:rsidR="00222A2F" w:rsidRPr="00576AF8">
              <w:t>C</w:t>
            </w:r>
            <w:r w:rsidRPr="00576AF8">
              <w:t xml:space="preserve">umplimiento incluido en la </w:t>
            </w:r>
            <w:r w:rsidR="00A83F3E" w:rsidRPr="00576AF8">
              <w:t>S</w:t>
            </w:r>
            <w:r w:rsidRPr="00576AF8">
              <w:t xml:space="preserve">ección X, </w:t>
            </w:r>
            <w:r w:rsidR="00C31C7D" w:rsidRPr="00576AF8">
              <w:t>“</w:t>
            </w:r>
            <w:r w:rsidRPr="00576AF8">
              <w:t>Formularios del Contrato</w:t>
            </w:r>
            <w:r w:rsidR="00C31C7D" w:rsidRPr="00576AF8">
              <w:t>”</w:t>
            </w:r>
            <w:r w:rsidRPr="00576AF8">
              <w:t xml:space="preserve"> u otro formulario aceptable para el Comprador.</w:t>
            </w:r>
            <w:r w:rsidR="00C15E45" w:rsidRPr="00576AF8">
              <w:t xml:space="preserve"> </w:t>
            </w:r>
            <w:r w:rsidRPr="00576AF8">
              <w:t xml:space="preserve">Si el Licitante seleccionado suministra una fianza como </w:t>
            </w:r>
            <w:r w:rsidR="001A42C7" w:rsidRPr="00576AF8">
              <w:t xml:space="preserve">Garantía </w:t>
            </w:r>
            <w:r w:rsidRPr="00576AF8">
              <w:t xml:space="preserve">de </w:t>
            </w:r>
            <w:r w:rsidR="001A42C7" w:rsidRPr="00576AF8">
              <w:t>Cumplimiento</w:t>
            </w:r>
            <w:r w:rsidRPr="00576AF8">
              <w:t>, dicha fianza deberá haber sido emitida por una compañía de fianzas o seguros que, a criterio del Licitante seleccionado, sea aceptable para el Comprador.</w:t>
            </w:r>
            <w:r w:rsidR="00C15E45" w:rsidRPr="00576AF8">
              <w:t xml:space="preserve"> </w:t>
            </w:r>
            <w:r w:rsidRPr="00576AF8">
              <w:t xml:space="preserve">Toda institución extranjera que proporcione una </w:t>
            </w:r>
            <w:r w:rsidR="001A42C7" w:rsidRPr="00576AF8">
              <w:t xml:space="preserve">Garantía </w:t>
            </w:r>
            <w:r w:rsidRPr="00576AF8">
              <w:t xml:space="preserve">de </w:t>
            </w:r>
            <w:r w:rsidR="001A42C7" w:rsidRPr="00576AF8">
              <w:t xml:space="preserve">Cumplimiento </w:t>
            </w:r>
            <w:r w:rsidRPr="00576AF8">
              <w:t xml:space="preserve">deberá tener una institución financiera corresponsal en el </w:t>
            </w:r>
            <w:r w:rsidR="005C14A1" w:rsidRPr="00576AF8">
              <w:t>p</w:t>
            </w:r>
            <w:r w:rsidRPr="00576AF8">
              <w:t>aís del Comprador.</w:t>
            </w:r>
          </w:p>
        </w:tc>
      </w:tr>
      <w:tr w:rsidR="0001220E" w:rsidRPr="00576AF8" w14:paraId="10799925" w14:textId="77777777" w:rsidTr="00EE57D2">
        <w:tc>
          <w:tcPr>
            <w:tcW w:w="2567" w:type="dxa"/>
          </w:tcPr>
          <w:p w14:paraId="2CAAA20E" w14:textId="77777777" w:rsidR="0001220E" w:rsidRPr="00576AF8" w:rsidRDefault="0001220E" w:rsidP="00CC7032">
            <w:pPr>
              <w:numPr>
                <w:ilvl w:val="12"/>
                <w:numId w:val="0"/>
              </w:numPr>
              <w:spacing w:after="200"/>
              <w:ind w:left="360" w:hanging="360"/>
              <w:jc w:val="left"/>
              <w:rPr>
                <w:szCs w:val="24"/>
              </w:rPr>
            </w:pPr>
          </w:p>
        </w:tc>
        <w:tc>
          <w:tcPr>
            <w:tcW w:w="6826" w:type="dxa"/>
          </w:tcPr>
          <w:p w14:paraId="2917C8A8" w14:textId="77777777" w:rsidR="00A44EB2" w:rsidRPr="00576AF8" w:rsidRDefault="0001220E">
            <w:pPr>
              <w:pStyle w:val="Prrafodelista"/>
              <w:numPr>
                <w:ilvl w:val="0"/>
                <w:numId w:val="92"/>
              </w:numPr>
              <w:spacing w:after="200"/>
              <w:ind w:left="764" w:right="-72" w:hanging="708"/>
              <w:rPr>
                <w:b/>
                <w:szCs w:val="24"/>
              </w:rPr>
            </w:pPr>
            <w:r w:rsidRPr="00576AF8">
              <w:t xml:space="preserve">El incumplimiento por parte del Licitante seleccionado de sus obligaciones de presentar la </w:t>
            </w:r>
            <w:r w:rsidR="00222A2F" w:rsidRPr="00576AF8">
              <w:t>G</w:t>
            </w:r>
            <w:r w:rsidR="00984DF4" w:rsidRPr="00576AF8">
              <w:t>arantía</w:t>
            </w:r>
            <w:r w:rsidRPr="00576AF8">
              <w:t xml:space="preserve"> de </w:t>
            </w:r>
            <w:r w:rsidR="00222A2F" w:rsidRPr="00576AF8">
              <w:t>C</w:t>
            </w:r>
            <w:r w:rsidRPr="00576AF8">
              <w:t xml:space="preserve">umplimiento antes mencionada o de firmar el Contrato será causa suficiente para anular la adjudicación y hacer efectiva la </w:t>
            </w:r>
            <w:r w:rsidR="001A42C7" w:rsidRPr="00576AF8">
              <w:t xml:space="preserve">Garantía </w:t>
            </w:r>
            <w:r w:rsidRPr="00576AF8">
              <w:t xml:space="preserve">de </w:t>
            </w:r>
            <w:r w:rsidR="001A42C7" w:rsidRPr="00576AF8">
              <w:t xml:space="preserve">Mantenimiento </w:t>
            </w:r>
            <w:r w:rsidRPr="00576AF8">
              <w:t>de la Oferta.</w:t>
            </w:r>
            <w:r w:rsidR="00C15E45" w:rsidRPr="00576AF8">
              <w:t xml:space="preserve"> </w:t>
            </w:r>
            <w:r w:rsidRPr="00576AF8">
              <w:t xml:space="preserve">En tal caso, el Comprador podrá adjudicar el Contrato al Licitante que haya presentado la siguiente Oferta Más </w:t>
            </w:r>
            <w:r w:rsidR="0077313B" w:rsidRPr="00576AF8">
              <w:t>Ventajosa</w:t>
            </w:r>
            <w:r w:rsidRPr="00576AF8">
              <w:t>.</w:t>
            </w:r>
          </w:p>
        </w:tc>
      </w:tr>
      <w:tr w:rsidR="0001220E" w:rsidRPr="00576AF8" w14:paraId="12860328" w14:textId="77777777" w:rsidTr="00EE57D2">
        <w:tc>
          <w:tcPr>
            <w:tcW w:w="2567" w:type="dxa"/>
          </w:tcPr>
          <w:p w14:paraId="23F4D831" w14:textId="77777777" w:rsidR="0001220E" w:rsidRPr="00576AF8" w:rsidRDefault="002F4AA9" w:rsidP="006F647A">
            <w:pPr>
              <w:pStyle w:val="TOC2-2"/>
            </w:pPr>
            <w:bookmarkStart w:id="332" w:name="_Toc412276476"/>
            <w:bookmarkStart w:id="333" w:name="_Toc521499247"/>
            <w:bookmarkStart w:id="334" w:name="_Toc29874964"/>
            <w:bookmarkStart w:id="335" w:name="_Toc454907818"/>
            <w:bookmarkStart w:id="336" w:name="_Toc476308819"/>
            <w:bookmarkStart w:id="337" w:name="_Toc479333369"/>
            <w:bookmarkStart w:id="338" w:name="_Toc25486638"/>
            <w:r w:rsidRPr="00576AF8">
              <w:t>5</w:t>
            </w:r>
            <w:r w:rsidR="00206293" w:rsidRPr="00576AF8">
              <w:t>5</w:t>
            </w:r>
            <w:r w:rsidR="0001220E" w:rsidRPr="00576AF8">
              <w:t>.</w:t>
            </w:r>
            <w:r w:rsidR="0001220E" w:rsidRPr="00576AF8">
              <w:tab/>
              <w:t>Conciliador</w:t>
            </w:r>
            <w:bookmarkEnd w:id="332"/>
            <w:bookmarkEnd w:id="333"/>
            <w:bookmarkEnd w:id="334"/>
            <w:bookmarkEnd w:id="335"/>
            <w:bookmarkEnd w:id="336"/>
            <w:bookmarkEnd w:id="337"/>
            <w:bookmarkEnd w:id="338"/>
          </w:p>
        </w:tc>
        <w:tc>
          <w:tcPr>
            <w:tcW w:w="6826" w:type="dxa"/>
          </w:tcPr>
          <w:p w14:paraId="031688AD" w14:textId="77777777" w:rsidR="00C17152" w:rsidRPr="00576AF8" w:rsidDel="0063095D" w:rsidRDefault="0001220E">
            <w:pPr>
              <w:pStyle w:val="Prrafodelista"/>
              <w:numPr>
                <w:ilvl w:val="0"/>
                <w:numId w:val="93"/>
              </w:numPr>
              <w:spacing w:after="200"/>
              <w:ind w:right="-72" w:hanging="664"/>
              <w:rPr>
                <w:szCs w:val="24"/>
              </w:rPr>
            </w:pPr>
            <w:r w:rsidRPr="00576AF8">
              <w:t xml:space="preserve">Salvo indicación en contrario en </w:t>
            </w:r>
            <w:r w:rsidRPr="00576AF8">
              <w:rPr>
                <w:b/>
              </w:rPr>
              <w:t>los DDL</w:t>
            </w:r>
            <w:r w:rsidRPr="00576AF8">
              <w:t xml:space="preserve">, el Comprador propone que se designe como </w:t>
            </w:r>
            <w:r w:rsidR="00A83F3E" w:rsidRPr="00576AF8">
              <w:t xml:space="preserve">Conciliador </w:t>
            </w:r>
            <w:r w:rsidRPr="00576AF8">
              <w:t xml:space="preserve">a la persona nombrada </w:t>
            </w:r>
            <w:r w:rsidRPr="00576AF8">
              <w:rPr>
                <w:b/>
              </w:rPr>
              <w:t>en los DDL</w:t>
            </w:r>
            <w:r w:rsidRPr="00576AF8">
              <w:t xml:space="preserve"> conforme al Contrato para que actúe como mediador oficioso en cualquier controversia relativa al Contrato, según se describe en la </w:t>
            </w:r>
            <w:r w:rsidR="00EE57D2" w:rsidRPr="00576AF8">
              <w:t>C</w:t>
            </w:r>
            <w:r w:rsidRPr="00576AF8">
              <w:t>láusula 43.1 de las CGC.</w:t>
            </w:r>
            <w:r w:rsidR="00C15E45" w:rsidRPr="00576AF8">
              <w:t xml:space="preserve"> </w:t>
            </w:r>
            <w:r w:rsidRPr="00576AF8">
              <w:t xml:space="preserve">En este caso, se adjunta </w:t>
            </w:r>
            <w:r w:rsidRPr="00576AF8">
              <w:rPr>
                <w:b/>
              </w:rPr>
              <w:t>a los DDL</w:t>
            </w:r>
            <w:r w:rsidRPr="00576AF8">
              <w:t xml:space="preserve"> un currículo de la persona nombrada.</w:t>
            </w:r>
            <w:r w:rsidR="00C15E45" w:rsidRPr="00576AF8">
              <w:t xml:space="preserve"> </w:t>
            </w:r>
            <w:r w:rsidRPr="00576AF8">
              <w:rPr>
                <w:b/>
                <w:bCs/>
              </w:rPr>
              <w:t>En los DDL</w:t>
            </w:r>
            <w:r w:rsidRPr="00576AF8">
              <w:rPr>
                <w:b/>
              </w:rPr>
              <w:t xml:space="preserve"> </w:t>
            </w:r>
            <w:r w:rsidRPr="00576AF8">
              <w:t xml:space="preserve">se especifican los honorarios por hora que se pagarán al </w:t>
            </w:r>
            <w:r w:rsidR="00A83F3E" w:rsidRPr="00576AF8">
              <w:t>Conciliador</w:t>
            </w:r>
            <w:r w:rsidRPr="00576AF8">
              <w:t>.</w:t>
            </w:r>
            <w:r w:rsidR="00C15E45" w:rsidRPr="00576AF8">
              <w:t xml:space="preserve"> </w:t>
            </w:r>
            <w:r w:rsidRPr="00576AF8">
              <w:t xml:space="preserve">Además, </w:t>
            </w:r>
            <w:r w:rsidRPr="00576AF8">
              <w:rPr>
                <w:b/>
              </w:rPr>
              <w:t>en los DDL</w:t>
            </w:r>
            <w:r w:rsidRPr="00576AF8">
              <w:t xml:space="preserve">, se especifican los gastos que se considerarán reembolsables al </w:t>
            </w:r>
            <w:r w:rsidR="00984DF4" w:rsidRPr="00576AF8">
              <w:t>conciliador</w:t>
            </w:r>
            <w:r w:rsidRPr="00576AF8">
              <w:t>.</w:t>
            </w:r>
            <w:r w:rsidR="00C15E45" w:rsidRPr="00576AF8">
              <w:t xml:space="preserve"> </w:t>
            </w:r>
            <w:r w:rsidRPr="00576AF8">
              <w:t xml:space="preserve">Si un Licitante no acepta al </w:t>
            </w:r>
            <w:r w:rsidR="0077313B" w:rsidRPr="00576AF8">
              <w:t xml:space="preserve">Conciliador </w:t>
            </w:r>
            <w:r w:rsidRPr="00576AF8">
              <w:t xml:space="preserve">propuesto por el Comprador, deberá manifestarlo en el </w:t>
            </w:r>
            <w:r w:rsidR="00AC1DF2" w:rsidRPr="00576AF8">
              <w:t>f</w:t>
            </w:r>
            <w:r w:rsidRPr="00576AF8">
              <w:t xml:space="preserve">ormulario de Oferta y proponer otro </w:t>
            </w:r>
            <w:r w:rsidR="00A83F3E" w:rsidRPr="00576AF8">
              <w:t xml:space="preserve">Conciliador </w:t>
            </w:r>
            <w:r w:rsidRPr="00576AF8">
              <w:t>y los correspondientes honorarios por hora, y adjuntar un currículo de la persona propuesta.</w:t>
            </w:r>
            <w:r w:rsidR="00C15E45" w:rsidRPr="00576AF8">
              <w:t xml:space="preserve"> </w:t>
            </w:r>
            <w:r w:rsidRPr="00576AF8">
              <w:t xml:space="preserve">Si el Licitante seleccionado y el </w:t>
            </w:r>
            <w:r w:rsidR="00A83F3E" w:rsidRPr="00576AF8">
              <w:t xml:space="preserve">Conciliador </w:t>
            </w:r>
            <w:r w:rsidRPr="00576AF8">
              <w:t xml:space="preserve">designado </w:t>
            </w:r>
            <w:r w:rsidRPr="00576AF8">
              <w:rPr>
                <w:b/>
              </w:rPr>
              <w:t xml:space="preserve">en los DDL </w:t>
            </w:r>
            <w:r w:rsidRPr="00576AF8">
              <w:t xml:space="preserve">son del mismo país, y este no es el </w:t>
            </w:r>
            <w:r w:rsidR="005C14A1" w:rsidRPr="00576AF8">
              <w:t>p</w:t>
            </w:r>
            <w:r w:rsidRPr="00576AF8">
              <w:t xml:space="preserve">aís del Comprador, el Comprador se reserva el derecho de cancelar el </w:t>
            </w:r>
            <w:r w:rsidR="0094083A" w:rsidRPr="00576AF8">
              <w:t>c</w:t>
            </w:r>
            <w:r w:rsidRPr="00576AF8">
              <w:t xml:space="preserve">onciliador designado </w:t>
            </w:r>
            <w:r w:rsidRPr="00576AF8">
              <w:rPr>
                <w:b/>
              </w:rPr>
              <w:t>en los DDL</w:t>
            </w:r>
            <w:r w:rsidRPr="00576AF8">
              <w:t xml:space="preserve"> y </w:t>
            </w:r>
            <w:r w:rsidR="0094083A" w:rsidRPr="00576AF8">
              <w:t xml:space="preserve">de </w:t>
            </w:r>
            <w:r w:rsidRPr="00576AF8">
              <w:t>proponer uno nuevo.</w:t>
            </w:r>
            <w:r w:rsidR="00C15E45" w:rsidRPr="00576AF8">
              <w:t xml:space="preserve"> </w:t>
            </w:r>
            <w:r w:rsidRPr="00576AF8">
              <w:t>Si</w:t>
            </w:r>
            <w:r w:rsidR="0094083A" w:rsidRPr="00576AF8">
              <w:t>,</w:t>
            </w:r>
            <w:r w:rsidRPr="00576AF8">
              <w:t xml:space="preserve"> para el día en que se firme el Contrato</w:t>
            </w:r>
            <w:r w:rsidR="0094083A" w:rsidRPr="00576AF8">
              <w:t>,</w:t>
            </w:r>
            <w:r w:rsidRPr="00576AF8">
              <w:t xml:space="preserve"> el Comprador y el Licitante seleccionado no han logrado ponerse de acuerdo sobre el nombramiento del </w:t>
            </w:r>
            <w:r w:rsidR="00A83F3E" w:rsidRPr="00576AF8">
              <w:t>Conciliador</w:t>
            </w:r>
            <w:r w:rsidRPr="00576AF8">
              <w:t xml:space="preserve">, este último será nombrado, a solicitud de cualquiera de las partes, por la </w:t>
            </w:r>
            <w:r w:rsidR="00984DF4" w:rsidRPr="00576AF8">
              <w:t>autoridad nominadora</w:t>
            </w:r>
            <w:r w:rsidRPr="00576AF8">
              <w:t xml:space="preserve"> indicada en la cláusula de las CEC correspondiente a la </w:t>
            </w:r>
            <w:r w:rsidR="00C17152" w:rsidRPr="00576AF8">
              <w:t>C</w:t>
            </w:r>
            <w:r w:rsidRPr="00576AF8">
              <w:t xml:space="preserve">láusula 43.1.4 de las CGC, o bien, si no </w:t>
            </w:r>
            <w:r w:rsidRPr="00576AF8">
              <w:lastRenderedPageBreak/>
              <w:t xml:space="preserve">se especifica una </w:t>
            </w:r>
            <w:r w:rsidR="00984DF4" w:rsidRPr="00576AF8">
              <w:t>autoridad nominadora</w:t>
            </w:r>
            <w:r w:rsidRPr="00576AF8">
              <w:t xml:space="preserve"> en dicha cláusula, el Contrato se ejecutará sin un </w:t>
            </w:r>
            <w:r w:rsidR="00A83F3E" w:rsidRPr="00576AF8">
              <w:t>Conciliador</w:t>
            </w:r>
            <w:r w:rsidRPr="00576AF8">
              <w:t>.</w:t>
            </w:r>
            <w:r w:rsidR="00206293" w:rsidRPr="00576AF8" w:rsidDel="00206293">
              <w:t xml:space="preserve"> </w:t>
            </w:r>
          </w:p>
        </w:tc>
      </w:tr>
      <w:tr w:rsidR="002F4AA9" w:rsidRPr="00576AF8" w14:paraId="49961787" w14:textId="77777777" w:rsidTr="00EE57D2">
        <w:tc>
          <w:tcPr>
            <w:tcW w:w="2567" w:type="dxa"/>
          </w:tcPr>
          <w:p w14:paraId="3A33D2C0" w14:textId="77777777" w:rsidR="002F4AA9" w:rsidRPr="00576AF8" w:rsidDel="002F4AA9" w:rsidRDefault="002F4AA9" w:rsidP="006F647A">
            <w:pPr>
              <w:pStyle w:val="TOC2-2"/>
            </w:pPr>
            <w:bookmarkStart w:id="339" w:name="_Toc486937465"/>
            <w:bookmarkStart w:id="340" w:name="_Toc19095291"/>
            <w:bookmarkStart w:id="341" w:name="_Toc21373979"/>
            <w:bookmarkStart w:id="342" w:name="_Toc24975710"/>
            <w:bookmarkStart w:id="343" w:name="_Toc25486639"/>
            <w:r w:rsidRPr="00576AF8">
              <w:lastRenderedPageBreak/>
              <w:t>5</w:t>
            </w:r>
            <w:r w:rsidR="00206293" w:rsidRPr="00576AF8">
              <w:t>6</w:t>
            </w:r>
            <w:r w:rsidRPr="00576AF8">
              <w:t>. Quejas Relacionadas con Adquisiciones</w:t>
            </w:r>
            <w:bookmarkEnd w:id="339"/>
            <w:bookmarkEnd w:id="340"/>
            <w:bookmarkEnd w:id="341"/>
            <w:bookmarkEnd w:id="342"/>
            <w:bookmarkEnd w:id="343"/>
          </w:p>
        </w:tc>
        <w:tc>
          <w:tcPr>
            <w:tcW w:w="6826" w:type="dxa"/>
          </w:tcPr>
          <w:p w14:paraId="7128E996" w14:textId="77777777" w:rsidR="002F4AA9" w:rsidRPr="00576AF8" w:rsidDel="002F4AA9" w:rsidRDefault="002F4AA9">
            <w:pPr>
              <w:pStyle w:val="Prrafodelista"/>
              <w:numPr>
                <w:ilvl w:val="0"/>
                <w:numId w:val="94"/>
              </w:numPr>
              <w:spacing w:after="200"/>
              <w:ind w:left="764" w:right="-72" w:hanging="708"/>
            </w:pPr>
            <w:r w:rsidRPr="00576AF8">
              <w:t>Los procedimientos para presentar una queja relacionada con el proceso de adquisiciones se especifican en</w:t>
            </w:r>
            <w:r w:rsidRPr="00576AF8">
              <w:rPr>
                <w:b/>
              </w:rPr>
              <w:t xml:space="preserve"> los DDL</w:t>
            </w:r>
            <w:r w:rsidRPr="00576AF8">
              <w:t>.</w:t>
            </w:r>
          </w:p>
        </w:tc>
      </w:tr>
    </w:tbl>
    <w:p w14:paraId="1E116F96" w14:textId="77777777" w:rsidR="005D3A16" w:rsidRPr="00576AF8" w:rsidRDefault="005D3A16" w:rsidP="005D3A16">
      <w:pPr>
        <w:pStyle w:val="Ttulo1"/>
        <w:numPr>
          <w:ilvl w:val="12"/>
          <w:numId w:val="0"/>
        </w:numPr>
        <w:jc w:val="both"/>
        <w:rPr>
          <w:rFonts w:ascii="Times New Roman" w:hAnsi="Times New Roman"/>
          <w:sz w:val="22"/>
        </w:rPr>
        <w:sectPr w:rsidR="005D3A16" w:rsidRPr="00576AF8" w:rsidSect="000968D2">
          <w:headerReference w:type="even" r:id="rId17"/>
          <w:headerReference w:type="default" r:id="rId18"/>
          <w:footnotePr>
            <w:numRestart w:val="eachSect"/>
          </w:footnotePr>
          <w:endnotePr>
            <w:numRestart w:val="eachSect"/>
          </w:endnotePr>
          <w:pgSz w:w="12240" w:h="15840" w:code="1"/>
          <w:pgMar w:top="1440" w:right="1440" w:bottom="1440" w:left="1440" w:header="720" w:footer="432" w:gutter="0"/>
          <w:cols w:space="720"/>
          <w:formProt w:val="0"/>
        </w:sectPr>
      </w:pPr>
    </w:p>
    <w:p w14:paraId="1DF2834B" w14:textId="77777777" w:rsidR="005D3A16" w:rsidRPr="00576AF8" w:rsidRDefault="005D3A16" w:rsidP="003B1CB5">
      <w:pPr>
        <w:pStyle w:val="TDC11"/>
      </w:pPr>
      <w:bookmarkStart w:id="344" w:name="_Toc445567355"/>
      <w:bookmarkStart w:id="345" w:name="_Toc454907528"/>
      <w:bookmarkStart w:id="346" w:name="_Toc476307814"/>
      <w:bookmarkStart w:id="347" w:name="_Toc28242427"/>
      <w:r w:rsidRPr="00576AF8">
        <w:lastRenderedPageBreak/>
        <w:t>Sección II</w:t>
      </w:r>
      <w:r w:rsidR="005E641B" w:rsidRPr="00576AF8">
        <w:t xml:space="preserve">. </w:t>
      </w:r>
      <w:r w:rsidRPr="00576AF8">
        <w:t>Datos de la Licitación (DDL)</w:t>
      </w:r>
      <w:bookmarkEnd w:id="344"/>
      <w:bookmarkEnd w:id="345"/>
      <w:bookmarkEnd w:id="346"/>
      <w:bookmarkEnd w:id="347"/>
    </w:p>
    <w:p w14:paraId="7BA397C1" w14:textId="77777777" w:rsidR="00790A4F" w:rsidRPr="00576AF8" w:rsidRDefault="004924C5" w:rsidP="00790A4F">
      <w:r w:rsidRPr="00576AF8">
        <w:t xml:space="preserve">Los siguientes datos específicos del Sistema Informático que se adquirirá complementan, suplementan o modifican las disposiciones </w:t>
      </w:r>
      <w:r w:rsidR="0094083A" w:rsidRPr="00576AF8">
        <w:t xml:space="preserve">establecidas </w:t>
      </w:r>
      <w:r w:rsidRPr="00576AF8">
        <w:t>en las Instrucciones a los Licitantes (IAL). Toda vez que exista un conflicto entre las disposiciones de estos DDL y las disposiciones de las IAL, prevalecerán las disposiciones de estos DDL.</w:t>
      </w:r>
    </w:p>
    <w:p w14:paraId="4E01BA34" w14:textId="77777777" w:rsidR="005D3A16" w:rsidRPr="00576AF8" w:rsidRDefault="005D3A16" w:rsidP="00A01121">
      <w:pPr>
        <w:rPr>
          <w:sz w:val="22"/>
        </w:rPr>
      </w:pPr>
    </w:p>
    <w:tbl>
      <w:tblPr>
        <w:tblW w:w="973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43"/>
        <w:gridCol w:w="7856"/>
        <w:gridCol w:w="15"/>
        <w:gridCol w:w="19"/>
      </w:tblGrid>
      <w:tr w:rsidR="008E40B3" w:rsidRPr="00576AF8" w14:paraId="128594B3" w14:textId="77777777" w:rsidTr="00866570">
        <w:trPr>
          <w:gridAfter w:val="1"/>
          <w:wAfter w:w="19" w:type="dxa"/>
          <w:cantSplit/>
        </w:trPr>
        <w:tc>
          <w:tcPr>
            <w:tcW w:w="1843" w:type="dxa"/>
            <w:tcBorders>
              <w:top w:val="single" w:sz="12" w:space="0" w:color="000000"/>
              <w:bottom w:val="single" w:sz="12" w:space="0" w:color="000000"/>
            </w:tcBorders>
          </w:tcPr>
          <w:p w14:paraId="335136BB" w14:textId="77777777" w:rsidR="008E40B3" w:rsidRPr="00576AF8" w:rsidRDefault="0070000C" w:rsidP="00790A4F">
            <w:pPr>
              <w:tabs>
                <w:tab w:val="right" w:pos="7272"/>
              </w:tabs>
              <w:spacing w:before="120"/>
              <w:jc w:val="left"/>
              <w:rPr>
                <w:b/>
              </w:rPr>
            </w:pPr>
            <w:r w:rsidRPr="00576AF8">
              <w:rPr>
                <w:b/>
              </w:rPr>
              <w:t>Referencia a</w:t>
            </w:r>
            <w:r w:rsidR="002031AC" w:rsidRPr="00576AF8">
              <w:rPr>
                <w:b/>
              </w:rPr>
              <w:t> </w:t>
            </w:r>
            <w:r w:rsidRPr="00576AF8">
              <w:rPr>
                <w:b/>
              </w:rPr>
              <w:t>las IAL</w:t>
            </w:r>
          </w:p>
        </w:tc>
        <w:tc>
          <w:tcPr>
            <w:tcW w:w="7871" w:type="dxa"/>
            <w:gridSpan w:val="2"/>
            <w:tcBorders>
              <w:top w:val="single" w:sz="12" w:space="0" w:color="000000"/>
              <w:bottom w:val="single" w:sz="12" w:space="0" w:color="000000"/>
            </w:tcBorders>
            <w:vAlign w:val="center"/>
          </w:tcPr>
          <w:p w14:paraId="4DAD759B" w14:textId="77777777" w:rsidR="008E40B3" w:rsidRPr="00576AF8" w:rsidRDefault="008E40B3" w:rsidP="006F647A">
            <w:pPr>
              <w:tabs>
                <w:tab w:val="right" w:pos="7272"/>
              </w:tabs>
              <w:spacing w:before="120"/>
              <w:jc w:val="center"/>
            </w:pPr>
            <w:r w:rsidRPr="00576AF8">
              <w:rPr>
                <w:b/>
                <w:sz w:val="28"/>
              </w:rPr>
              <w:t xml:space="preserve">A. Aspectos </w:t>
            </w:r>
            <w:r w:rsidR="006F647A" w:rsidRPr="00576AF8">
              <w:rPr>
                <w:b/>
                <w:sz w:val="28"/>
              </w:rPr>
              <w:t>Generales</w:t>
            </w:r>
          </w:p>
        </w:tc>
      </w:tr>
      <w:tr w:rsidR="00716471" w:rsidRPr="00576AF8" w14:paraId="0526B678"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29A66541" w14:textId="77777777" w:rsidR="00455E20" w:rsidRPr="00576AF8" w:rsidRDefault="00455E20" w:rsidP="00790A4F">
            <w:pPr>
              <w:spacing w:before="120"/>
              <w:rPr>
                <w:b/>
              </w:rPr>
            </w:pPr>
            <w:r w:rsidRPr="00576AF8">
              <w:rPr>
                <w:b/>
              </w:rPr>
              <w:t>IAL 1.1</w:t>
            </w:r>
          </w:p>
        </w:tc>
        <w:tc>
          <w:tcPr>
            <w:tcW w:w="7871" w:type="dxa"/>
            <w:gridSpan w:val="2"/>
            <w:tcBorders>
              <w:top w:val="single" w:sz="12" w:space="0" w:color="000000"/>
              <w:left w:val="single" w:sz="12" w:space="0" w:color="000000"/>
              <w:bottom w:val="single" w:sz="12" w:space="0" w:color="000000"/>
            </w:tcBorders>
          </w:tcPr>
          <w:p w14:paraId="6F873A5D" w14:textId="77777777" w:rsidR="00455E20" w:rsidRPr="00576AF8" w:rsidRDefault="00455E20" w:rsidP="00790A4F">
            <w:pPr>
              <w:tabs>
                <w:tab w:val="right" w:pos="7272"/>
              </w:tabs>
              <w:spacing w:before="120"/>
              <w:rPr>
                <w:u w:val="single"/>
              </w:rPr>
            </w:pPr>
            <w:r w:rsidRPr="00576AF8">
              <w:t xml:space="preserve">El número de referencia de la </w:t>
            </w:r>
            <w:r w:rsidR="0046742A" w:rsidRPr="00576AF8">
              <w:t>licitación</w:t>
            </w:r>
            <w:r w:rsidRPr="00576AF8">
              <w:t xml:space="preserve"> es: </w:t>
            </w:r>
            <w:r w:rsidR="006806CC" w:rsidRPr="00576AF8">
              <w:rPr>
                <w:b/>
                <w:i/>
              </w:rPr>
              <w:t>EC-L1257-P00015</w:t>
            </w:r>
          </w:p>
          <w:p w14:paraId="31D6F420" w14:textId="77777777" w:rsidR="006806CC" w:rsidRPr="00576AF8" w:rsidRDefault="00790A4F" w:rsidP="00790A4F">
            <w:pPr>
              <w:tabs>
                <w:tab w:val="right" w:pos="7272"/>
              </w:tabs>
              <w:spacing w:before="120"/>
              <w:rPr>
                <w:b/>
                <w:i/>
              </w:rPr>
            </w:pPr>
            <w:r w:rsidRPr="00576AF8">
              <w:t>El Comprador es:</w:t>
            </w:r>
            <w:r w:rsidRPr="00576AF8">
              <w:rPr>
                <w:b/>
                <w:i/>
              </w:rPr>
              <w:t xml:space="preserve"> </w:t>
            </w:r>
            <w:r w:rsidR="006806CC" w:rsidRPr="00576AF8">
              <w:rPr>
                <w:b/>
                <w:i/>
              </w:rPr>
              <w:t>Ministerio de Energía y Minas</w:t>
            </w:r>
          </w:p>
          <w:p w14:paraId="1E6050A9" w14:textId="77777777" w:rsidR="006806CC" w:rsidRPr="00576AF8" w:rsidRDefault="00790A4F" w:rsidP="00BC72E3">
            <w:pPr>
              <w:tabs>
                <w:tab w:val="right" w:pos="7272"/>
              </w:tabs>
              <w:spacing w:before="120"/>
              <w:rPr>
                <w:b/>
                <w:i/>
              </w:rPr>
            </w:pPr>
            <w:r w:rsidRPr="00576AF8">
              <w:t xml:space="preserve">El nombre de la </w:t>
            </w:r>
            <w:r w:rsidR="0046742A" w:rsidRPr="00576AF8">
              <w:t>licitación</w:t>
            </w:r>
            <w:r w:rsidRPr="00576AF8">
              <w:t xml:space="preserve"> es:</w:t>
            </w:r>
            <w:r w:rsidRPr="00576AF8">
              <w:rPr>
                <w:b/>
                <w:i/>
              </w:rPr>
              <w:t xml:space="preserve"> </w:t>
            </w:r>
            <w:r w:rsidR="006806CC" w:rsidRPr="00576AF8">
              <w:rPr>
                <w:b/>
                <w:i/>
              </w:rPr>
              <w:t>NUEVO CENTRO DE CONTROL DEL OPERADOR NACIONAL DE ELECTRICIDAD</w:t>
            </w:r>
          </w:p>
          <w:p w14:paraId="42DBCBD0" w14:textId="682CD3D7" w:rsidR="008C1ECF" w:rsidRPr="00144558" w:rsidRDefault="00790A4F" w:rsidP="00BC72E3">
            <w:pPr>
              <w:tabs>
                <w:tab w:val="right" w:pos="7272"/>
              </w:tabs>
              <w:spacing w:before="120"/>
              <w:rPr>
                <w:u w:val="single"/>
              </w:rPr>
            </w:pPr>
            <w:r w:rsidRPr="00576AF8">
              <w:t>El número y la identificación de</w:t>
            </w:r>
            <w:r w:rsidR="00620D74" w:rsidRPr="00576AF8">
              <w:t>l</w:t>
            </w:r>
            <w:r w:rsidRPr="00576AF8">
              <w:t xml:space="preserve"> lote</w:t>
            </w:r>
            <w:r w:rsidR="00620D74" w:rsidRPr="00576AF8">
              <w:t xml:space="preserve"> único</w:t>
            </w:r>
            <w:r w:rsidRPr="00576AF8">
              <w:t xml:space="preserve"> (contrato)</w:t>
            </w:r>
            <w:r w:rsidRPr="00576AF8">
              <w:rPr>
                <w:i/>
              </w:rPr>
              <w:t xml:space="preserve"> </w:t>
            </w:r>
            <w:r w:rsidRPr="00576AF8">
              <w:t xml:space="preserve">que comprende esta </w:t>
            </w:r>
            <w:r w:rsidR="0046742A" w:rsidRPr="00576AF8">
              <w:t>licitación</w:t>
            </w:r>
            <w:r w:rsidR="00BC72E3" w:rsidRPr="00576AF8">
              <w:t xml:space="preserve"> </w:t>
            </w:r>
            <w:r w:rsidR="00620D74" w:rsidRPr="00576AF8">
              <w:t>es</w:t>
            </w:r>
            <w:r w:rsidRPr="00576AF8">
              <w:t xml:space="preserve">: </w:t>
            </w:r>
            <w:r w:rsidR="006806CC" w:rsidRPr="00576AF8">
              <w:rPr>
                <w:b/>
                <w:i/>
              </w:rPr>
              <w:t>Lote 1 (incluye software, hardware y servicios conexos)</w:t>
            </w:r>
            <w:r w:rsidR="00144558">
              <w:rPr>
                <w:b/>
                <w:i/>
              </w:rPr>
              <w:t>.</w:t>
            </w:r>
          </w:p>
        </w:tc>
      </w:tr>
      <w:tr w:rsidR="001707F5" w:rsidRPr="00576AF8" w14:paraId="25368F81" w14:textId="77777777" w:rsidTr="003A5D8D">
        <w:trPr>
          <w:gridAfter w:val="1"/>
          <w:wAfter w:w="19" w:type="dxa"/>
          <w:cantSplit/>
          <w:trHeight w:val="1487"/>
        </w:trPr>
        <w:tc>
          <w:tcPr>
            <w:tcW w:w="1843" w:type="dxa"/>
            <w:tcBorders>
              <w:top w:val="single" w:sz="12" w:space="0" w:color="000000"/>
              <w:left w:val="single" w:sz="12" w:space="0" w:color="000000"/>
              <w:bottom w:val="single" w:sz="12" w:space="0" w:color="000000"/>
              <w:right w:val="single" w:sz="12" w:space="0" w:color="000000"/>
            </w:tcBorders>
          </w:tcPr>
          <w:p w14:paraId="3932CD25" w14:textId="77777777" w:rsidR="001707F5" w:rsidRPr="00576AF8" w:rsidRDefault="001707F5" w:rsidP="00866570">
            <w:pPr>
              <w:keepNext/>
              <w:keepLines/>
              <w:spacing w:before="120"/>
              <w:jc w:val="left"/>
              <w:outlineLvl w:val="4"/>
              <w:rPr>
                <w:b/>
              </w:rPr>
            </w:pPr>
            <w:r w:rsidRPr="00576AF8">
              <w:rPr>
                <w:b/>
              </w:rPr>
              <w:t xml:space="preserve">IAL 1.4 </w:t>
            </w:r>
          </w:p>
          <w:p w14:paraId="6CF4DD14" w14:textId="77777777" w:rsidR="001707F5" w:rsidRPr="00576AF8" w:rsidRDefault="001707F5" w:rsidP="00866570">
            <w:pPr>
              <w:keepNext/>
              <w:keepLines/>
              <w:spacing w:before="120"/>
              <w:jc w:val="left"/>
              <w:outlineLvl w:val="4"/>
              <w:rPr>
                <w:b/>
                <w:szCs w:val="24"/>
              </w:rPr>
            </w:pPr>
            <w:r w:rsidRPr="00576AF8">
              <w:rPr>
                <w:b/>
              </w:rPr>
              <w:t>Sistema electrónico de adquisiciones</w:t>
            </w:r>
          </w:p>
          <w:p w14:paraId="08D243E7" w14:textId="77777777" w:rsidR="001707F5" w:rsidRPr="00576AF8" w:rsidRDefault="001707F5" w:rsidP="001707F5">
            <w:pPr>
              <w:spacing w:before="120"/>
              <w:rPr>
                <w:b/>
              </w:rPr>
            </w:pPr>
          </w:p>
        </w:tc>
        <w:tc>
          <w:tcPr>
            <w:tcW w:w="7871" w:type="dxa"/>
            <w:gridSpan w:val="2"/>
            <w:tcBorders>
              <w:top w:val="single" w:sz="12" w:space="0" w:color="000000"/>
              <w:left w:val="single" w:sz="12" w:space="0" w:color="000000"/>
              <w:bottom w:val="single" w:sz="12" w:space="0" w:color="000000"/>
              <w:right w:val="single" w:sz="12" w:space="0" w:color="000000"/>
            </w:tcBorders>
          </w:tcPr>
          <w:p w14:paraId="05839D4F" w14:textId="77777777" w:rsidR="001707F5" w:rsidRPr="00576AF8" w:rsidDel="006461A4" w:rsidRDefault="001707F5" w:rsidP="001707F5">
            <w:pPr>
              <w:spacing w:before="120"/>
            </w:pPr>
            <w:r w:rsidRPr="00576AF8">
              <w:t xml:space="preserve">El Comprador </w:t>
            </w:r>
            <w:r w:rsidRPr="00576AF8">
              <w:rPr>
                <w:b/>
                <w:i/>
              </w:rPr>
              <w:t>no usará ningún</w:t>
            </w:r>
            <w:r w:rsidRPr="00576AF8">
              <w:rPr>
                <w:i/>
              </w:rPr>
              <w:t xml:space="preserve"> </w:t>
            </w:r>
            <w:r w:rsidRPr="00576AF8">
              <w:t>sistema electrónico de adquisiciones para gestionar esta Solicitud de Ofertas (SDO).</w:t>
            </w:r>
          </w:p>
        </w:tc>
      </w:tr>
      <w:tr w:rsidR="00207DAB" w:rsidRPr="00576AF8" w14:paraId="7EFD5331"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392C1D5B" w14:textId="77777777" w:rsidR="00207DAB" w:rsidRPr="00576AF8" w:rsidRDefault="00207DAB" w:rsidP="00790A4F">
            <w:pPr>
              <w:spacing w:before="120"/>
              <w:rPr>
                <w:b/>
              </w:rPr>
            </w:pPr>
            <w:r w:rsidRPr="00576AF8">
              <w:rPr>
                <w:b/>
              </w:rPr>
              <w:t>IAL 2.1</w:t>
            </w:r>
          </w:p>
        </w:tc>
        <w:tc>
          <w:tcPr>
            <w:tcW w:w="7871" w:type="dxa"/>
            <w:gridSpan w:val="2"/>
            <w:tcBorders>
              <w:top w:val="single" w:sz="12" w:space="0" w:color="000000"/>
              <w:left w:val="single" w:sz="12" w:space="0" w:color="000000"/>
              <w:bottom w:val="single" w:sz="12" w:space="0" w:color="000000"/>
            </w:tcBorders>
          </w:tcPr>
          <w:p w14:paraId="6C6F0F90" w14:textId="77777777" w:rsidR="002A6FEE" w:rsidRPr="00576AF8" w:rsidRDefault="002A6FEE" w:rsidP="002A6FEE">
            <w:pPr>
              <w:tabs>
                <w:tab w:val="right" w:pos="7272"/>
              </w:tabs>
              <w:spacing w:before="120"/>
            </w:pPr>
            <w:r w:rsidRPr="00576AF8">
              <w:t>El Prestatario es: República del Ecuador</w:t>
            </w:r>
          </w:p>
          <w:p w14:paraId="7BB4E98A" w14:textId="77777777" w:rsidR="002A6FEE" w:rsidRPr="00576AF8" w:rsidRDefault="002A6FEE" w:rsidP="002A6FEE">
            <w:pPr>
              <w:tabs>
                <w:tab w:val="right" w:pos="7272"/>
              </w:tabs>
              <w:spacing w:before="120"/>
            </w:pPr>
            <w:r w:rsidRPr="00576AF8">
              <w:t>Monto del Contrato de Préstamo: 78,40 millones de dólares</w:t>
            </w:r>
          </w:p>
          <w:p w14:paraId="6670586E" w14:textId="77777777" w:rsidR="00790A4F" w:rsidRPr="00576AF8" w:rsidRDefault="002A6FEE" w:rsidP="002A6FEE">
            <w:pPr>
              <w:tabs>
                <w:tab w:val="right" w:pos="7272"/>
              </w:tabs>
              <w:spacing w:before="120"/>
              <w:rPr>
                <w:u w:val="single"/>
              </w:rPr>
            </w:pPr>
            <w:r w:rsidRPr="00576AF8">
              <w:t>El nombre del Proyecto es: Programa de Gestión Sostenible de Recursos del Subsuelo e Infraestructura Asociada</w:t>
            </w:r>
          </w:p>
        </w:tc>
      </w:tr>
      <w:tr w:rsidR="008A761F" w:rsidRPr="00576AF8" w14:paraId="5F5B36F1"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576D79D5" w14:textId="77777777" w:rsidR="008A761F" w:rsidRPr="00576AF8" w:rsidRDefault="008A761F" w:rsidP="008A761F">
            <w:pPr>
              <w:pStyle w:val="Headfid1"/>
              <w:rPr>
                <w:iCs/>
              </w:rPr>
            </w:pPr>
            <w:r w:rsidRPr="00576AF8">
              <w:t>IAL 4.3</w:t>
            </w:r>
          </w:p>
        </w:tc>
        <w:tc>
          <w:tcPr>
            <w:tcW w:w="7856" w:type="dxa"/>
            <w:tcBorders>
              <w:top w:val="single" w:sz="12" w:space="0" w:color="000000"/>
              <w:left w:val="single" w:sz="12" w:space="0" w:color="000000"/>
              <w:bottom w:val="single" w:sz="12" w:space="0" w:color="000000"/>
            </w:tcBorders>
          </w:tcPr>
          <w:p w14:paraId="1DE7C41C" w14:textId="77777777" w:rsidR="008A761F" w:rsidRPr="00576AF8" w:rsidRDefault="008A761F" w:rsidP="002A6FEE">
            <w:pPr>
              <w:tabs>
                <w:tab w:val="right" w:pos="7272"/>
              </w:tabs>
              <w:spacing w:before="60" w:after="60"/>
              <w:rPr>
                <w:iCs/>
              </w:rPr>
            </w:pPr>
            <w:r w:rsidRPr="00576AF8">
              <w:rPr>
                <w:rFonts w:eastAsia="Calibri"/>
                <w:szCs w:val="24"/>
                <w:lang w:val="uz-Cyrl-UZ" w:eastAsia="en-US" w:bidi="ar-SA"/>
              </w:rPr>
              <w:t>En el sitio virtual del Banco (</w:t>
            </w:r>
            <w:hyperlink r:id="rId19">
              <w:r w:rsidRPr="00576AF8">
                <w:rPr>
                  <w:rFonts w:eastAsia="Calibri"/>
                  <w:color w:val="0563C1"/>
                  <w:szCs w:val="24"/>
                  <w:u w:val="single"/>
                  <w:lang w:val="uz-Cyrl-UZ" w:eastAsia="en-US" w:bidi="ar-SA"/>
                </w:rPr>
                <w:t>www.iadb.org/integridad</w:t>
              </w:r>
            </w:hyperlink>
            <w:r w:rsidRPr="00576AF8">
              <w:rPr>
                <w:rFonts w:eastAsia="Calibri"/>
                <w:szCs w:val="24"/>
                <w:lang w:val="uz-Cyrl-UZ" w:eastAsia="en-US" w:bidi="ar-SA"/>
              </w:rPr>
              <w:t>) se facilita información sobre las empresas y personas sancionadas.</w:t>
            </w:r>
          </w:p>
        </w:tc>
      </w:tr>
      <w:tr w:rsidR="004D56E0" w:rsidRPr="00576AF8" w14:paraId="545EEB20"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4957B469" w14:textId="77777777" w:rsidR="004D56E0" w:rsidRPr="00576AF8" w:rsidRDefault="004D56E0" w:rsidP="004D56E0">
            <w:pPr>
              <w:pStyle w:val="Headfid1"/>
            </w:pPr>
            <w:r w:rsidRPr="00576AF8">
              <w:t>IAL 4.7</w:t>
            </w:r>
          </w:p>
        </w:tc>
        <w:tc>
          <w:tcPr>
            <w:tcW w:w="7856" w:type="dxa"/>
            <w:tcBorders>
              <w:top w:val="single" w:sz="12" w:space="0" w:color="000000"/>
              <w:left w:val="single" w:sz="12" w:space="0" w:color="000000"/>
              <w:bottom w:val="single" w:sz="12" w:space="0" w:color="000000"/>
            </w:tcBorders>
          </w:tcPr>
          <w:p w14:paraId="44B0F976" w14:textId="77777777" w:rsidR="004D56E0" w:rsidRPr="00576AF8" w:rsidRDefault="004D56E0" w:rsidP="004D56E0">
            <w:pPr>
              <w:tabs>
                <w:tab w:val="right" w:pos="7272"/>
              </w:tabs>
              <w:spacing w:before="60" w:after="60"/>
              <w:rPr>
                <w:iCs/>
              </w:rPr>
            </w:pPr>
            <w:r w:rsidRPr="00576AF8">
              <w:rPr>
                <w:iCs/>
                <w:szCs w:val="24"/>
              </w:rPr>
              <w:t xml:space="preserve">La Licitación está abierta a todos los licitantes elegibles interesados </w:t>
            </w:r>
          </w:p>
        </w:tc>
      </w:tr>
      <w:tr w:rsidR="004D56E0" w:rsidRPr="00576AF8" w14:paraId="348CCC1B" w14:textId="77777777" w:rsidTr="00716471">
        <w:trPr>
          <w:gridAfter w:val="2"/>
          <w:wAfter w:w="34" w:type="dxa"/>
          <w:cantSplit/>
        </w:trPr>
        <w:tc>
          <w:tcPr>
            <w:tcW w:w="9699" w:type="dxa"/>
            <w:gridSpan w:val="2"/>
            <w:tcBorders>
              <w:top w:val="single" w:sz="12" w:space="0" w:color="000000"/>
              <w:bottom w:val="single" w:sz="12" w:space="0" w:color="000000"/>
            </w:tcBorders>
          </w:tcPr>
          <w:p w14:paraId="586EFA7F" w14:textId="77777777" w:rsidR="004D56E0" w:rsidRPr="00576AF8" w:rsidRDefault="004D56E0" w:rsidP="004D56E0">
            <w:pPr>
              <w:pStyle w:val="Encabezadodelista"/>
              <w:tabs>
                <w:tab w:val="clear" w:pos="9000"/>
                <w:tab w:val="clear" w:pos="9360"/>
                <w:tab w:val="right" w:pos="7848"/>
              </w:tabs>
              <w:suppressAutoHyphens w:val="0"/>
              <w:spacing w:before="120" w:after="120"/>
              <w:jc w:val="center"/>
              <w:rPr>
                <w:iCs/>
              </w:rPr>
            </w:pPr>
            <w:r w:rsidRPr="00576AF8">
              <w:rPr>
                <w:b/>
                <w:sz w:val="28"/>
              </w:rPr>
              <w:t>B.</w:t>
            </w:r>
            <w:r w:rsidRPr="00576AF8">
              <w:t xml:space="preserve"> </w:t>
            </w:r>
            <w:r w:rsidRPr="00576AF8">
              <w:rPr>
                <w:b/>
                <w:sz w:val="28"/>
              </w:rPr>
              <w:t>Documento de Licitación</w:t>
            </w:r>
          </w:p>
        </w:tc>
      </w:tr>
      <w:tr w:rsidR="004D56E0" w:rsidRPr="00576AF8" w14:paraId="7DD8FC7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87EE5DA" w14:textId="77777777" w:rsidR="004D56E0" w:rsidRPr="00576AF8" w:rsidRDefault="004D56E0" w:rsidP="004D56E0">
            <w:pPr>
              <w:tabs>
                <w:tab w:val="right" w:pos="7254"/>
              </w:tabs>
              <w:spacing w:before="120"/>
              <w:rPr>
                <w:b/>
              </w:rPr>
            </w:pPr>
            <w:r w:rsidRPr="00576AF8">
              <w:rPr>
                <w:b/>
              </w:rPr>
              <w:t>IAL 7.1</w:t>
            </w:r>
          </w:p>
        </w:tc>
        <w:tc>
          <w:tcPr>
            <w:tcW w:w="7890" w:type="dxa"/>
            <w:gridSpan w:val="3"/>
            <w:tcBorders>
              <w:top w:val="single" w:sz="12" w:space="0" w:color="000000"/>
              <w:left w:val="single" w:sz="12" w:space="0" w:color="000000"/>
              <w:bottom w:val="single" w:sz="12" w:space="0" w:color="000000"/>
            </w:tcBorders>
          </w:tcPr>
          <w:p w14:paraId="57449EF5" w14:textId="77777777" w:rsidR="004D56E0" w:rsidRPr="00576AF8" w:rsidRDefault="004D56E0" w:rsidP="004D56E0">
            <w:pPr>
              <w:tabs>
                <w:tab w:val="right" w:pos="7254"/>
              </w:tabs>
              <w:spacing w:before="120"/>
            </w:pPr>
            <w:r w:rsidRPr="00576AF8">
              <w:t xml:space="preserve">Exclusivamente a los efectos de la </w:t>
            </w:r>
            <w:r w:rsidRPr="00576AF8">
              <w:rPr>
                <w:b/>
                <w:u w:val="single"/>
              </w:rPr>
              <w:t>aclaración de la Oferta</w:t>
            </w:r>
            <w:r w:rsidRPr="00576AF8">
              <w:t>, la dirección del Comprador es:</w:t>
            </w:r>
          </w:p>
          <w:p w14:paraId="7E92F0C5" w14:textId="77777777" w:rsidR="004D56E0" w:rsidRPr="00576AF8" w:rsidRDefault="004D56E0" w:rsidP="004D56E0">
            <w:pPr>
              <w:tabs>
                <w:tab w:val="right" w:pos="7254"/>
              </w:tabs>
              <w:spacing w:before="120"/>
              <w:rPr>
                <w:i/>
              </w:rPr>
            </w:pPr>
            <w:r w:rsidRPr="00576AF8">
              <w:t xml:space="preserve">Atención: </w:t>
            </w:r>
            <w:r w:rsidRPr="00576AF8">
              <w:rPr>
                <w:b/>
                <w:i/>
              </w:rPr>
              <w:t>Comité Técnico de Evaluación</w:t>
            </w:r>
          </w:p>
          <w:p w14:paraId="662BB89D" w14:textId="77777777" w:rsidR="004D56E0" w:rsidRPr="00576AF8" w:rsidRDefault="004D56E0" w:rsidP="004D56E0">
            <w:pPr>
              <w:tabs>
                <w:tab w:val="right" w:pos="7254"/>
              </w:tabs>
              <w:spacing w:before="120"/>
              <w:rPr>
                <w:i/>
              </w:rPr>
            </w:pPr>
            <w:r w:rsidRPr="00576AF8">
              <w:t>Dirección: Av. República de El Salvador N36-64 y Suecia</w:t>
            </w:r>
          </w:p>
          <w:p w14:paraId="36565366" w14:textId="77777777" w:rsidR="004D56E0" w:rsidRPr="00576AF8" w:rsidRDefault="004D56E0" w:rsidP="004D56E0">
            <w:pPr>
              <w:tabs>
                <w:tab w:val="right" w:pos="7254"/>
              </w:tabs>
              <w:spacing w:before="120"/>
              <w:rPr>
                <w:i/>
              </w:rPr>
            </w:pPr>
            <w:r w:rsidRPr="00576AF8">
              <w:lastRenderedPageBreak/>
              <w:t>Piso/Oficina</w:t>
            </w:r>
            <w:r w:rsidRPr="00576AF8">
              <w:rPr>
                <w:i/>
              </w:rPr>
              <w:t>:</w:t>
            </w:r>
            <w:r w:rsidRPr="00576AF8">
              <w:t xml:space="preserve"> </w:t>
            </w:r>
            <w:r w:rsidR="003A5D8D" w:rsidRPr="00576AF8">
              <w:t>8VO</w:t>
            </w:r>
            <w:r w:rsidRPr="00576AF8">
              <w:t xml:space="preserve"> piso </w:t>
            </w:r>
            <w:r w:rsidR="003A5D8D" w:rsidRPr="00576AF8">
              <w:t>/ Dirección de Gestión Técnica y Operativa de la Generación y Transmisión de Energía Eléctrica</w:t>
            </w:r>
          </w:p>
          <w:p w14:paraId="28CA4D44" w14:textId="77777777" w:rsidR="004D56E0" w:rsidRPr="00576AF8" w:rsidRDefault="004D56E0" w:rsidP="004D56E0">
            <w:pPr>
              <w:tabs>
                <w:tab w:val="right" w:pos="7254"/>
              </w:tabs>
              <w:spacing w:before="120"/>
              <w:rPr>
                <w:i/>
              </w:rPr>
            </w:pPr>
            <w:r w:rsidRPr="00576AF8">
              <w:t>Ciudad:</w:t>
            </w:r>
            <w:r w:rsidRPr="00576AF8">
              <w:rPr>
                <w:i/>
              </w:rPr>
              <w:t xml:space="preserve"> </w:t>
            </w:r>
            <w:r w:rsidRPr="00576AF8">
              <w:rPr>
                <w:b/>
                <w:i/>
              </w:rPr>
              <w:t>Quito</w:t>
            </w:r>
          </w:p>
          <w:p w14:paraId="7403020A" w14:textId="77777777" w:rsidR="004D56E0" w:rsidRPr="00576AF8" w:rsidRDefault="004D56E0" w:rsidP="004D56E0">
            <w:pPr>
              <w:tabs>
                <w:tab w:val="right" w:pos="7254"/>
              </w:tabs>
              <w:spacing w:before="120"/>
              <w:rPr>
                <w:i/>
              </w:rPr>
            </w:pPr>
            <w:r w:rsidRPr="00576AF8">
              <w:t>Código postal:</w:t>
            </w:r>
            <w:r w:rsidRPr="00576AF8">
              <w:rPr>
                <w:i/>
              </w:rPr>
              <w:t xml:space="preserve"> </w:t>
            </w:r>
            <w:r w:rsidRPr="00576AF8">
              <w:t>170135</w:t>
            </w:r>
          </w:p>
          <w:p w14:paraId="32723FC1" w14:textId="77777777" w:rsidR="004D56E0" w:rsidRPr="00576AF8" w:rsidRDefault="004D56E0" w:rsidP="004D56E0">
            <w:pPr>
              <w:tabs>
                <w:tab w:val="right" w:pos="7254"/>
              </w:tabs>
              <w:spacing w:before="120"/>
              <w:rPr>
                <w:i/>
              </w:rPr>
            </w:pPr>
            <w:r w:rsidRPr="00576AF8">
              <w:t xml:space="preserve">País: </w:t>
            </w:r>
            <w:r w:rsidRPr="00576AF8">
              <w:rPr>
                <w:b/>
                <w:i/>
              </w:rPr>
              <w:t>Ecuador</w:t>
            </w:r>
          </w:p>
          <w:p w14:paraId="6404AE58" w14:textId="77777777" w:rsidR="004D56E0" w:rsidRPr="00576AF8" w:rsidRDefault="004D56E0" w:rsidP="004D56E0">
            <w:pPr>
              <w:tabs>
                <w:tab w:val="right" w:pos="7254"/>
              </w:tabs>
              <w:spacing w:before="120"/>
              <w:rPr>
                <w:i/>
              </w:rPr>
            </w:pPr>
            <w:r w:rsidRPr="00576AF8">
              <w:t xml:space="preserve">Dirección de correo electrónico: </w:t>
            </w:r>
            <w:r w:rsidR="009341F9" w:rsidRPr="00576AF8">
              <w:t>licitacionems</w:t>
            </w:r>
            <w:r w:rsidRPr="00576AF8">
              <w:t>@energiayminas.gob.ec</w:t>
            </w:r>
          </w:p>
          <w:p w14:paraId="22A16101" w14:textId="77777777" w:rsidR="004D56E0" w:rsidRPr="00576AF8" w:rsidRDefault="004D56E0" w:rsidP="004D56E0">
            <w:pPr>
              <w:tabs>
                <w:tab w:val="right" w:pos="7254"/>
              </w:tabs>
              <w:spacing w:before="120"/>
              <w:jc w:val="left"/>
            </w:pPr>
            <w:r w:rsidRPr="00576AF8">
              <w:t>El Comprador recibirá solicitudes de aclaraciones hasta: 30</w:t>
            </w:r>
            <w:r w:rsidRPr="00576AF8">
              <w:rPr>
                <w:b/>
                <w:i/>
              </w:rPr>
              <w:t xml:space="preserve"> días </w:t>
            </w:r>
            <w:r w:rsidRPr="00576AF8">
              <w:t xml:space="preserve">previos a la fecha límite de presentación de oferta.     </w:t>
            </w:r>
          </w:p>
          <w:p w14:paraId="24132095" w14:textId="77777777" w:rsidR="004D56E0" w:rsidRPr="00576AF8" w:rsidRDefault="004D56E0" w:rsidP="004D56E0">
            <w:pPr>
              <w:keepNext/>
              <w:keepLines/>
              <w:tabs>
                <w:tab w:val="right" w:pos="7254"/>
              </w:tabs>
              <w:spacing w:before="120"/>
              <w:jc w:val="left"/>
              <w:outlineLvl w:val="4"/>
            </w:pPr>
            <w:r w:rsidRPr="00576AF8">
              <w:t xml:space="preserve">El Comprador responderá las solicitudes de aclaraciones hasta: </w:t>
            </w:r>
            <w:r w:rsidRPr="00576AF8">
              <w:rPr>
                <w:b/>
                <w:i/>
              </w:rPr>
              <w:t>20 días</w:t>
            </w:r>
            <w:r w:rsidRPr="00576AF8">
              <w:t xml:space="preserve"> previos a la fecha límite de presentación de oferta.                                                                                                       </w:t>
            </w:r>
          </w:p>
          <w:p w14:paraId="0CD5B6F8" w14:textId="77777777" w:rsidR="004D56E0" w:rsidRPr="00576AF8" w:rsidRDefault="004D56E0" w:rsidP="004D56E0">
            <w:pPr>
              <w:tabs>
                <w:tab w:val="right" w:pos="7254"/>
              </w:tabs>
              <w:spacing w:before="120"/>
              <w:jc w:val="left"/>
            </w:pPr>
            <w:r w:rsidRPr="00576AF8">
              <w:rPr>
                <w:b/>
                <w:i/>
              </w:rPr>
              <w:t xml:space="preserve">Nota: Las solicitudes de aclaración que se remitan vía correo electrónico deberán ser remitidas en hoja membretada, firmada y sellada por el representante legal de la empresa </w:t>
            </w:r>
            <w:r w:rsidR="009341F9" w:rsidRPr="00576AF8">
              <w:rPr>
                <w:b/>
                <w:i/>
              </w:rPr>
              <w:t>o su delegado</w:t>
            </w:r>
            <w:r w:rsidR="006F5D7A" w:rsidRPr="00576AF8">
              <w:rPr>
                <w:b/>
                <w:i/>
              </w:rPr>
              <w:t xml:space="preserve"> (en el caso de APCA suscribirá el representante del APCA)</w:t>
            </w:r>
            <w:r w:rsidR="009341F9" w:rsidRPr="00576AF8">
              <w:rPr>
                <w:b/>
                <w:i/>
              </w:rPr>
              <w:t xml:space="preserve"> </w:t>
            </w:r>
            <w:r w:rsidRPr="00576AF8">
              <w:rPr>
                <w:b/>
                <w:i/>
              </w:rPr>
              <w:t>y preferiblemente en formato pdf.</w:t>
            </w:r>
            <w:r w:rsidR="006F5D7A" w:rsidRPr="00576AF8">
              <w:rPr>
                <w:b/>
                <w:i/>
              </w:rPr>
              <w:t xml:space="preserve"> </w:t>
            </w:r>
          </w:p>
        </w:tc>
      </w:tr>
      <w:tr w:rsidR="004D56E0" w:rsidRPr="00576AF8" w14:paraId="28E3B7A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85A602A" w14:textId="77777777" w:rsidR="004D56E0" w:rsidRPr="00576AF8" w:rsidRDefault="004D56E0" w:rsidP="004D56E0">
            <w:pPr>
              <w:tabs>
                <w:tab w:val="right" w:pos="7254"/>
              </w:tabs>
              <w:spacing w:before="120"/>
              <w:rPr>
                <w:b/>
              </w:rPr>
            </w:pPr>
            <w:r w:rsidRPr="00576AF8">
              <w:rPr>
                <w:b/>
              </w:rPr>
              <w:lastRenderedPageBreak/>
              <w:t xml:space="preserve">IAL 7.1 </w:t>
            </w:r>
          </w:p>
        </w:tc>
        <w:tc>
          <w:tcPr>
            <w:tcW w:w="7890" w:type="dxa"/>
            <w:gridSpan w:val="3"/>
            <w:tcBorders>
              <w:top w:val="single" w:sz="12" w:space="0" w:color="000000"/>
              <w:left w:val="single" w:sz="12" w:space="0" w:color="000000"/>
              <w:bottom w:val="single" w:sz="12" w:space="0" w:color="000000"/>
            </w:tcBorders>
          </w:tcPr>
          <w:p w14:paraId="0E27D359" w14:textId="77777777" w:rsidR="004D56E0" w:rsidRPr="00576AF8" w:rsidRDefault="004D56E0" w:rsidP="004D56E0">
            <w:pPr>
              <w:tabs>
                <w:tab w:val="right" w:pos="7254"/>
              </w:tabs>
              <w:spacing w:before="120"/>
            </w:pPr>
            <w:r w:rsidRPr="00576AF8">
              <w:t xml:space="preserve">Página web: </w:t>
            </w:r>
            <w:r w:rsidRPr="00576AF8">
              <w:rPr>
                <w:b/>
                <w:i/>
              </w:rPr>
              <w:t>https://www.recursosyenergia.gob.ec/viceministerio-de-electricidad-y-energia-renovable/</w:t>
            </w:r>
          </w:p>
        </w:tc>
      </w:tr>
      <w:tr w:rsidR="004D56E0" w:rsidRPr="00576AF8" w14:paraId="74684E3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3085B1A" w14:textId="77777777" w:rsidR="004D56E0" w:rsidRPr="00576AF8" w:rsidRDefault="004D56E0" w:rsidP="004D56E0">
            <w:pPr>
              <w:tabs>
                <w:tab w:val="right" w:pos="7254"/>
              </w:tabs>
              <w:spacing w:before="120"/>
              <w:rPr>
                <w:b/>
              </w:rPr>
            </w:pPr>
            <w:r w:rsidRPr="00576AF8">
              <w:rPr>
                <w:b/>
              </w:rPr>
              <w:t>IAL 7.4</w:t>
            </w:r>
          </w:p>
        </w:tc>
        <w:tc>
          <w:tcPr>
            <w:tcW w:w="7890" w:type="dxa"/>
            <w:gridSpan w:val="3"/>
            <w:tcBorders>
              <w:top w:val="single" w:sz="12" w:space="0" w:color="000000"/>
              <w:left w:val="single" w:sz="12" w:space="0" w:color="000000"/>
              <w:bottom w:val="single" w:sz="12" w:space="0" w:color="000000"/>
            </w:tcBorders>
          </w:tcPr>
          <w:p w14:paraId="35400764" w14:textId="273A5AC7" w:rsidR="004D56E0" w:rsidRPr="00576AF8" w:rsidRDefault="00501D90" w:rsidP="00144558">
            <w:pPr>
              <w:tabs>
                <w:tab w:val="right" w:pos="7254"/>
              </w:tabs>
              <w:spacing w:before="120"/>
            </w:pPr>
            <w:r>
              <w:rPr>
                <w:bCs/>
              </w:rPr>
              <w:t>No se prevé llevar a cabo una reunión previa.</w:t>
            </w:r>
          </w:p>
        </w:tc>
      </w:tr>
      <w:tr w:rsidR="004D56E0" w:rsidRPr="00576AF8" w14:paraId="2603F060"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608D4103" w14:textId="77777777" w:rsidR="004D56E0" w:rsidRPr="00576AF8" w:rsidRDefault="004D56E0" w:rsidP="004D56E0">
            <w:pPr>
              <w:tabs>
                <w:tab w:val="right" w:pos="7254"/>
              </w:tabs>
              <w:spacing w:before="120"/>
              <w:jc w:val="center"/>
            </w:pPr>
            <w:r w:rsidRPr="00576AF8">
              <w:rPr>
                <w:b/>
                <w:sz w:val="28"/>
              </w:rPr>
              <w:t>C. Preparación de las Ofertas</w:t>
            </w:r>
          </w:p>
        </w:tc>
      </w:tr>
      <w:tr w:rsidR="004D56E0" w:rsidRPr="00576AF8" w14:paraId="4EB438C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0295604" w14:textId="77777777" w:rsidR="004D56E0" w:rsidRPr="00576AF8" w:rsidRDefault="004D56E0" w:rsidP="004D56E0">
            <w:pPr>
              <w:tabs>
                <w:tab w:val="right" w:pos="7434"/>
              </w:tabs>
              <w:spacing w:before="120"/>
              <w:rPr>
                <w:b/>
              </w:rPr>
            </w:pPr>
            <w:r w:rsidRPr="00576AF8">
              <w:rPr>
                <w:b/>
              </w:rPr>
              <w:t>IAL 10.1</w:t>
            </w:r>
          </w:p>
        </w:tc>
        <w:tc>
          <w:tcPr>
            <w:tcW w:w="7890" w:type="dxa"/>
            <w:gridSpan w:val="3"/>
            <w:tcBorders>
              <w:top w:val="single" w:sz="12" w:space="0" w:color="000000"/>
              <w:left w:val="single" w:sz="12" w:space="0" w:color="000000"/>
              <w:bottom w:val="single" w:sz="12" w:space="0" w:color="000000"/>
            </w:tcBorders>
          </w:tcPr>
          <w:p w14:paraId="4CD58156" w14:textId="77777777" w:rsidR="004D56E0" w:rsidRPr="00576AF8" w:rsidRDefault="004D56E0" w:rsidP="004D56E0">
            <w:pPr>
              <w:tabs>
                <w:tab w:val="right" w:pos="7254"/>
              </w:tabs>
              <w:spacing w:before="120"/>
              <w:rPr>
                <w:i/>
                <w:iCs/>
              </w:rPr>
            </w:pPr>
            <w:r w:rsidRPr="00576AF8">
              <w:t xml:space="preserve">El idioma de la Oferta es: </w:t>
            </w:r>
            <w:r w:rsidRPr="00576AF8">
              <w:rPr>
                <w:b/>
                <w:i/>
              </w:rPr>
              <w:t>español</w:t>
            </w:r>
          </w:p>
          <w:p w14:paraId="35CFAEB0" w14:textId="77777777" w:rsidR="004D56E0" w:rsidRPr="00576AF8" w:rsidRDefault="004D56E0" w:rsidP="004D56E0">
            <w:pPr>
              <w:tabs>
                <w:tab w:val="right" w:pos="7254"/>
              </w:tabs>
              <w:spacing w:before="120"/>
              <w:rPr>
                <w:u w:val="single"/>
              </w:rPr>
            </w:pPr>
            <w:r w:rsidRPr="00576AF8">
              <w:rPr>
                <w:u w:val="single"/>
              </w:rPr>
              <w:tab/>
            </w:r>
          </w:p>
          <w:p w14:paraId="7B6D741E" w14:textId="77777777" w:rsidR="004D56E0" w:rsidRPr="00576AF8" w:rsidRDefault="004D56E0" w:rsidP="004D56E0">
            <w:pPr>
              <w:suppressAutoHyphens w:val="0"/>
              <w:spacing w:before="120"/>
              <w:rPr>
                <w:iCs/>
                <w:spacing w:val="-4"/>
              </w:rPr>
            </w:pPr>
            <w:r w:rsidRPr="00576AF8">
              <w:t xml:space="preserve">Todo intercambio de correspondencia deberá ser en idioma </w:t>
            </w:r>
            <w:r w:rsidRPr="00576AF8">
              <w:rPr>
                <w:b/>
                <w:bCs/>
                <w:i/>
                <w:iCs/>
              </w:rPr>
              <w:t>español</w:t>
            </w:r>
            <w:r w:rsidRPr="00576AF8">
              <w:t>.</w:t>
            </w:r>
          </w:p>
          <w:p w14:paraId="310CAF77" w14:textId="77777777" w:rsidR="004D56E0" w:rsidRPr="00576AF8" w:rsidRDefault="004D56E0" w:rsidP="004D56E0">
            <w:pPr>
              <w:tabs>
                <w:tab w:val="right" w:pos="7254"/>
              </w:tabs>
              <w:spacing w:before="120"/>
              <w:rPr>
                <w:u w:val="single"/>
              </w:rPr>
            </w:pPr>
            <w:r w:rsidRPr="00576AF8">
              <w:t>El idioma utilizado para la traducción de los documentos justificativos y el material impreso es español</w:t>
            </w:r>
            <w:r w:rsidRPr="00576AF8">
              <w:rPr>
                <w:i/>
                <w:color w:val="000000"/>
              </w:rPr>
              <w:t>.</w:t>
            </w:r>
          </w:p>
        </w:tc>
      </w:tr>
      <w:tr w:rsidR="004D56E0" w:rsidRPr="00576AF8" w14:paraId="0DB98A4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2F30E3F" w14:textId="77777777" w:rsidR="004D56E0" w:rsidRPr="00576AF8" w:rsidRDefault="004D56E0" w:rsidP="004D56E0">
            <w:pPr>
              <w:tabs>
                <w:tab w:val="right" w:pos="7434"/>
              </w:tabs>
              <w:spacing w:before="120"/>
              <w:rPr>
                <w:b/>
              </w:rPr>
            </w:pPr>
            <w:r w:rsidRPr="00576AF8">
              <w:rPr>
                <w:b/>
              </w:rPr>
              <w:t>IAL 11.1 (j)</w:t>
            </w:r>
          </w:p>
        </w:tc>
        <w:tc>
          <w:tcPr>
            <w:tcW w:w="7890" w:type="dxa"/>
            <w:gridSpan w:val="3"/>
            <w:tcBorders>
              <w:top w:val="single" w:sz="12" w:space="0" w:color="000000"/>
              <w:left w:val="single" w:sz="12" w:space="0" w:color="000000"/>
              <w:bottom w:val="single" w:sz="12" w:space="0" w:color="000000"/>
            </w:tcBorders>
          </w:tcPr>
          <w:p w14:paraId="71766C90" w14:textId="77777777" w:rsidR="004D56E0" w:rsidRPr="00576AF8" w:rsidRDefault="004D56E0" w:rsidP="004D56E0">
            <w:pPr>
              <w:tabs>
                <w:tab w:val="right" w:pos="7254"/>
              </w:tabs>
              <w:spacing w:before="120"/>
              <w:rPr>
                <w:color w:val="000000" w:themeColor="text1"/>
                <w:sz w:val="22"/>
                <w:szCs w:val="22"/>
              </w:rPr>
            </w:pPr>
            <w:r w:rsidRPr="00576AF8">
              <w:rPr>
                <w:color w:val="000000" w:themeColor="text1"/>
                <w:sz w:val="22"/>
                <w:szCs w:val="22"/>
              </w:rPr>
              <w:t>El Licitante presentará junto con su Oferta los siguientes documentos adicionales:</w:t>
            </w:r>
          </w:p>
          <w:p w14:paraId="391C6567" w14:textId="77777777" w:rsidR="004D56E0" w:rsidRPr="00576AF8" w:rsidRDefault="004D56E0">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576AF8">
              <w:rPr>
                <w:b/>
                <w:color w:val="000000" w:themeColor="text1"/>
                <w:sz w:val="22"/>
                <w:szCs w:val="22"/>
                <w:u w:val="single"/>
              </w:rPr>
              <w:t xml:space="preserve">Documentación Técnica </w:t>
            </w:r>
          </w:p>
          <w:p w14:paraId="116AE7AE" w14:textId="77777777" w:rsidR="004D56E0" w:rsidRPr="00576AF8" w:rsidRDefault="004D56E0" w:rsidP="004D56E0">
            <w:pPr>
              <w:tabs>
                <w:tab w:val="right" w:pos="7254"/>
              </w:tabs>
              <w:spacing w:before="120"/>
              <w:ind w:left="170"/>
              <w:rPr>
                <w:color w:val="000000"/>
                <w:sz w:val="22"/>
                <w:szCs w:val="22"/>
                <w:lang w:val="es-EC" w:bidi="ar-SA"/>
              </w:rPr>
            </w:pPr>
            <w:r w:rsidRPr="00576AF8">
              <w:rPr>
                <w:b/>
                <w:bCs/>
                <w:color w:val="000000"/>
                <w:sz w:val="22"/>
                <w:szCs w:val="22"/>
                <w:lang w:val="es-EC" w:bidi="ar-SA"/>
              </w:rPr>
              <w:t>a.</w:t>
            </w:r>
            <w:r w:rsidRPr="00576AF8">
              <w:rPr>
                <w:color w:val="000000"/>
                <w:sz w:val="22"/>
                <w:szCs w:val="22"/>
                <w:lang w:val="es-EC" w:bidi="ar-SA"/>
              </w:rPr>
              <w:t xml:space="preserve"> Diagrama de arquitectura </w:t>
            </w:r>
            <w:r w:rsidR="006506AD" w:rsidRPr="00576AF8">
              <w:rPr>
                <w:color w:val="000000"/>
                <w:sz w:val="22"/>
                <w:szCs w:val="22"/>
                <w:lang w:val="es-EC" w:bidi="ar-SA"/>
              </w:rPr>
              <w:t xml:space="preserve">de software </w:t>
            </w:r>
            <w:r w:rsidRPr="00576AF8">
              <w:rPr>
                <w:color w:val="000000"/>
                <w:sz w:val="22"/>
                <w:szCs w:val="22"/>
                <w:lang w:val="es-EC" w:bidi="ar-SA"/>
              </w:rPr>
              <w:t>e infraestructura de la solución propuesta y especificaciones técnicas;</w:t>
            </w:r>
          </w:p>
          <w:p w14:paraId="4D46A7B9" w14:textId="77777777" w:rsidR="004D56E0" w:rsidRPr="00576AF8" w:rsidRDefault="004D56E0" w:rsidP="004D56E0">
            <w:pPr>
              <w:tabs>
                <w:tab w:val="right" w:pos="7254"/>
              </w:tabs>
              <w:spacing w:before="120"/>
              <w:ind w:left="170"/>
              <w:rPr>
                <w:color w:val="000000"/>
                <w:sz w:val="22"/>
                <w:szCs w:val="22"/>
                <w:lang w:val="es-EC" w:bidi="ar-SA"/>
              </w:rPr>
            </w:pPr>
            <w:r w:rsidRPr="00576AF8">
              <w:rPr>
                <w:b/>
                <w:bCs/>
                <w:color w:val="000000"/>
                <w:sz w:val="22"/>
                <w:szCs w:val="22"/>
                <w:lang w:val="es-EC" w:bidi="ar-SA"/>
              </w:rPr>
              <w:t>b.</w:t>
            </w:r>
            <w:r w:rsidRPr="00576AF8">
              <w:rPr>
                <w:color w:val="000000"/>
                <w:sz w:val="22"/>
                <w:szCs w:val="22"/>
                <w:lang w:val="es-EC" w:bidi="ar-SA"/>
              </w:rPr>
              <w:t xml:space="preserve"> Se adjuntarán catálogos de Hardware;</w:t>
            </w:r>
          </w:p>
          <w:p w14:paraId="2A9D2FD0" w14:textId="77777777" w:rsidR="004D56E0" w:rsidRPr="00576AF8" w:rsidRDefault="004D56E0" w:rsidP="004D56E0">
            <w:pPr>
              <w:tabs>
                <w:tab w:val="right" w:pos="7254"/>
              </w:tabs>
              <w:spacing w:before="120"/>
              <w:ind w:left="170"/>
              <w:rPr>
                <w:color w:val="000000"/>
                <w:sz w:val="22"/>
                <w:szCs w:val="22"/>
                <w:lang w:val="es-EC" w:bidi="ar-SA"/>
              </w:rPr>
            </w:pPr>
            <w:r w:rsidRPr="00576AF8">
              <w:rPr>
                <w:b/>
                <w:bCs/>
                <w:color w:val="000000"/>
                <w:sz w:val="22"/>
                <w:szCs w:val="22"/>
                <w:lang w:val="es-EC" w:bidi="ar-SA"/>
              </w:rPr>
              <w:t>c.</w:t>
            </w:r>
            <w:r w:rsidRPr="00576AF8">
              <w:rPr>
                <w:color w:val="000000"/>
                <w:sz w:val="22"/>
                <w:szCs w:val="22"/>
                <w:lang w:val="es-EC" w:bidi="ar-SA"/>
              </w:rPr>
              <w:t xml:space="preserve"> Se adjuntarán manuales de uso y administración de</w:t>
            </w:r>
            <w:r w:rsidR="006506AD" w:rsidRPr="00576AF8">
              <w:rPr>
                <w:color w:val="000000"/>
                <w:sz w:val="22"/>
                <w:szCs w:val="22"/>
                <w:lang w:val="es-EC" w:bidi="ar-SA"/>
              </w:rPr>
              <w:t xml:space="preserve"> todos los componentes del</w:t>
            </w:r>
            <w:r w:rsidRPr="00576AF8">
              <w:rPr>
                <w:color w:val="000000"/>
                <w:sz w:val="22"/>
                <w:szCs w:val="22"/>
                <w:lang w:val="es-EC" w:bidi="ar-SA"/>
              </w:rPr>
              <w:t xml:space="preserve"> Software</w:t>
            </w:r>
            <w:r w:rsidR="006F5D7A" w:rsidRPr="00576AF8">
              <w:rPr>
                <w:color w:val="000000"/>
                <w:sz w:val="22"/>
                <w:szCs w:val="22"/>
                <w:lang w:val="es-EC" w:bidi="ar-SA"/>
              </w:rPr>
              <w:t xml:space="preserve"> del licitante y de terceros</w:t>
            </w:r>
          </w:p>
          <w:p w14:paraId="6B3FFC9A" w14:textId="77777777" w:rsidR="004D56E0" w:rsidRPr="00576AF8" w:rsidRDefault="00F03F1A" w:rsidP="004D56E0">
            <w:pPr>
              <w:tabs>
                <w:tab w:val="right" w:pos="7254"/>
              </w:tabs>
              <w:spacing w:before="120"/>
              <w:rPr>
                <w:color w:val="000000" w:themeColor="text1"/>
                <w:sz w:val="22"/>
                <w:szCs w:val="22"/>
              </w:rPr>
            </w:pPr>
            <w:r w:rsidRPr="00576AF8">
              <w:rPr>
                <w:b/>
                <w:bCs/>
                <w:color w:val="000000"/>
                <w:sz w:val="22"/>
                <w:szCs w:val="22"/>
                <w:lang w:val="es-EC" w:bidi="ar-SA"/>
              </w:rPr>
              <w:t xml:space="preserve">   d</w:t>
            </w:r>
            <w:r w:rsidR="004D56E0" w:rsidRPr="00576AF8">
              <w:rPr>
                <w:b/>
                <w:bCs/>
                <w:color w:val="000000"/>
                <w:sz w:val="22"/>
                <w:szCs w:val="22"/>
                <w:lang w:val="es-EC" w:bidi="ar-SA"/>
              </w:rPr>
              <w:t>.</w:t>
            </w:r>
            <w:r w:rsidR="004D56E0" w:rsidRPr="00576AF8">
              <w:rPr>
                <w:color w:val="000000"/>
                <w:sz w:val="22"/>
                <w:szCs w:val="22"/>
                <w:lang w:val="es-EC" w:bidi="ar-SA"/>
              </w:rPr>
              <w:t xml:space="preserve"> Documento</w:t>
            </w:r>
            <w:r w:rsidR="004D56E0" w:rsidRPr="00576AF8">
              <w:rPr>
                <w:color w:val="000000" w:themeColor="text1"/>
                <w:sz w:val="22"/>
                <w:szCs w:val="22"/>
              </w:rPr>
              <w:t xml:space="preserve"> que acredite la propiedad del Software</w:t>
            </w:r>
            <w:r w:rsidR="006F5D7A" w:rsidRPr="00576AF8">
              <w:rPr>
                <w:color w:val="000000" w:themeColor="text1"/>
                <w:sz w:val="22"/>
                <w:szCs w:val="22"/>
              </w:rPr>
              <w:t xml:space="preserve"> (aplica solo para el software de propiedad del licitante), y que cuente con la autorización de uso de software de terceros</w:t>
            </w:r>
            <w:r w:rsidR="004D56E0" w:rsidRPr="00576AF8">
              <w:rPr>
                <w:color w:val="000000" w:themeColor="text1"/>
                <w:sz w:val="22"/>
                <w:szCs w:val="22"/>
              </w:rPr>
              <w:t>.</w:t>
            </w:r>
          </w:p>
          <w:p w14:paraId="10CA8913" w14:textId="77777777" w:rsidR="006506AD" w:rsidRPr="00576AF8" w:rsidRDefault="006506AD" w:rsidP="004D56E0">
            <w:pPr>
              <w:tabs>
                <w:tab w:val="right" w:pos="7254"/>
              </w:tabs>
              <w:spacing w:before="120"/>
              <w:rPr>
                <w:color w:val="000000" w:themeColor="text1"/>
                <w:sz w:val="22"/>
                <w:szCs w:val="22"/>
              </w:rPr>
            </w:pPr>
            <w:r w:rsidRPr="00576AF8">
              <w:rPr>
                <w:color w:val="000000" w:themeColor="text1"/>
                <w:sz w:val="22"/>
                <w:szCs w:val="22"/>
              </w:rPr>
              <w:t xml:space="preserve">   </w:t>
            </w:r>
            <w:r w:rsidRPr="00576AF8">
              <w:rPr>
                <w:b/>
                <w:bCs/>
                <w:color w:val="000000" w:themeColor="text1"/>
                <w:sz w:val="22"/>
                <w:szCs w:val="22"/>
              </w:rPr>
              <w:t>e.</w:t>
            </w:r>
            <w:r w:rsidRPr="00576AF8">
              <w:rPr>
                <w:color w:val="000000" w:themeColor="text1"/>
                <w:sz w:val="22"/>
                <w:szCs w:val="22"/>
              </w:rPr>
              <w:t xml:space="preserve"> Descripción funcional del software y sus componentes</w:t>
            </w:r>
          </w:p>
          <w:p w14:paraId="0B4E1F93" w14:textId="0F2FD949" w:rsidR="000C01C9" w:rsidRDefault="00802213" w:rsidP="00675215">
            <w:pPr>
              <w:tabs>
                <w:tab w:val="right" w:pos="7254"/>
              </w:tabs>
              <w:spacing w:before="120"/>
              <w:rPr>
                <w:color w:val="0D0D0D" w:themeColor="text1" w:themeTint="F2"/>
                <w:sz w:val="22"/>
                <w:szCs w:val="22"/>
              </w:rPr>
            </w:pPr>
            <w:r>
              <w:rPr>
                <w:b/>
                <w:color w:val="0D0D0D" w:themeColor="text1" w:themeTint="F2"/>
                <w:sz w:val="22"/>
                <w:szCs w:val="22"/>
              </w:rPr>
              <w:lastRenderedPageBreak/>
              <w:t xml:space="preserve">    f</w:t>
            </w:r>
            <w:r w:rsidR="000C01C9" w:rsidRPr="00802213">
              <w:rPr>
                <w:b/>
                <w:color w:val="0D0D0D" w:themeColor="text1" w:themeTint="F2"/>
                <w:sz w:val="22"/>
                <w:szCs w:val="22"/>
              </w:rPr>
              <w:t>.</w:t>
            </w:r>
            <w:r w:rsidR="000C01C9" w:rsidRPr="00802213">
              <w:rPr>
                <w:color w:val="0D0D0D" w:themeColor="text1" w:themeTint="F2"/>
                <w:sz w:val="22"/>
                <w:szCs w:val="22"/>
              </w:rPr>
              <w:t xml:space="preserve"> Carta del Proveedor que certifique que el software del sistema no caduca</w:t>
            </w:r>
            <w:r>
              <w:rPr>
                <w:color w:val="0D0D0D" w:themeColor="text1" w:themeTint="F2"/>
                <w:sz w:val="22"/>
                <w:szCs w:val="22"/>
              </w:rPr>
              <w:t xml:space="preserve"> ni pierde funcionalidades</w:t>
            </w:r>
            <w:r w:rsidR="000C01C9" w:rsidRPr="00802213">
              <w:rPr>
                <w:color w:val="0D0D0D" w:themeColor="text1" w:themeTint="F2"/>
                <w:sz w:val="22"/>
                <w:szCs w:val="22"/>
              </w:rPr>
              <w:t xml:space="preserve"> sin contrato de mantenimiento y soporte vigente.</w:t>
            </w:r>
          </w:p>
          <w:p w14:paraId="3507F7C8" w14:textId="51DC6D60" w:rsidR="0069781B" w:rsidRPr="00576AF8" w:rsidRDefault="00802213" w:rsidP="00675215">
            <w:pPr>
              <w:tabs>
                <w:tab w:val="right" w:pos="7254"/>
              </w:tabs>
              <w:spacing w:before="120"/>
              <w:rPr>
                <w:color w:val="000000" w:themeColor="text1"/>
                <w:sz w:val="22"/>
                <w:szCs w:val="22"/>
              </w:rPr>
            </w:pPr>
            <w:r>
              <w:rPr>
                <w:b/>
                <w:bCs/>
                <w:color w:val="000000" w:themeColor="text1"/>
                <w:sz w:val="22"/>
                <w:szCs w:val="22"/>
              </w:rPr>
              <w:t xml:space="preserve">   </w:t>
            </w:r>
            <w:r w:rsidRPr="00802213">
              <w:rPr>
                <w:b/>
                <w:bCs/>
                <w:color w:val="000000" w:themeColor="text1"/>
                <w:sz w:val="22"/>
                <w:szCs w:val="22"/>
              </w:rPr>
              <w:t>g</w:t>
            </w:r>
            <w:r w:rsidR="0069781B" w:rsidRPr="00802213">
              <w:rPr>
                <w:color w:val="000000" w:themeColor="text1"/>
                <w:sz w:val="22"/>
                <w:szCs w:val="22"/>
              </w:rPr>
              <w:t>. Carta del fabricante del software de terceros que certifique que en ningún escenario el software de terceros del SCADA/EMS deje de funcionar una vez finalizada la Garantía.</w:t>
            </w:r>
          </w:p>
        </w:tc>
      </w:tr>
      <w:tr w:rsidR="004D56E0" w:rsidRPr="00576AF8" w14:paraId="1733BE5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1FA785F" w14:textId="77777777" w:rsidR="004D56E0" w:rsidRPr="00576AF8" w:rsidRDefault="004D56E0" w:rsidP="004D56E0">
            <w:pPr>
              <w:tabs>
                <w:tab w:val="right" w:pos="7434"/>
              </w:tabs>
              <w:spacing w:before="120"/>
              <w:rPr>
                <w:b/>
              </w:rPr>
            </w:pPr>
            <w:r w:rsidRPr="00576AF8">
              <w:rPr>
                <w:b/>
              </w:rPr>
              <w:lastRenderedPageBreak/>
              <w:t>IAL 13.1</w:t>
            </w:r>
          </w:p>
        </w:tc>
        <w:tc>
          <w:tcPr>
            <w:tcW w:w="7890" w:type="dxa"/>
            <w:gridSpan w:val="3"/>
            <w:tcBorders>
              <w:top w:val="single" w:sz="12" w:space="0" w:color="000000"/>
              <w:left w:val="single" w:sz="12" w:space="0" w:color="000000"/>
              <w:bottom w:val="single" w:sz="12" w:space="0" w:color="000000"/>
            </w:tcBorders>
          </w:tcPr>
          <w:p w14:paraId="20E89F4B" w14:textId="77777777" w:rsidR="004D56E0" w:rsidRPr="00576AF8" w:rsidRDefault="00F03F1A" w:rsidP="004D56E0">
            <w:pPr>
              <w:tabs>
                <w:tab w:val="right" w:pos="7254"/>
              </w:tabs>
              <w:spacing w:before="120"/>
            </w:pPr>
            <w:r w:rsidRPr="00576AF8">
              <w:t>N</w:t>
            </w:r>
            <w:r w:rsidR="004D56E0" w:rsidRPr="00576AF8">
              <w:t>o se permiten Ofertas alternativas.</w:t>
            </w:r>
          </w:p>
        </w:tc>
      </w:tr>
      <w:tr w:rsidR="004D56E0" w:rsidRPr="00576AF8" w14:paraId="5067C30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71ABF84" w14:textId="77777777" w:rsidR="004D56E0" w:rsidRPr="00576AF8" w:rsidRDefault="004D56E0" w:rsidP="004D56E0">
            <w:pPr>
              <w:tabs>
                <w:tab w:val="right" w:pos="7434"/>
              </w:tabs>
              <w:spacing w:before="120"/>
              <w:rPr>
                <w:b/>
              </w:rPr>
            </w:pPr>
            <w:r w:rsidRPr="00576AF8">
              <w:rPr>
                <w:b/>
              </w:rPr>
              <w:t>IAL 13.2</w:t>
            </w:r>
          </w:p>
        </w:tc>
        <w:tc>
          <w:tcPr>
            <w:tcW w:w="7890" w:type="dxa"/>
            <w:gridSpan w:val="3"/>
            <w:tcBorders>
              <w:top w:val="single" w:sz="12" w:space="0" w:color="000000"/>
              <w:left w:val="single" w:sz="12" w:space="0" w:color="000000"/>
              <w:bottom w:val="single" w:sz="12" w:space="0" w:color="000000"/>
            </w:tcBorders>
          </w:tcPr>
          <w:p w14:paraId="1831FA9B" w14:textId="77777777" w:rsidR="004D56E0" w:rsidRPr="00576AF8" w:rsidRDefault="004D56E0" w:rsidP="00F03F1A">
            <w:pPr>
              <w:tabs>
                <w:tab w:val="right" w:pos="7254"/>
              </w:tabs>
              <w:spacing w:before="120"/>
            </w:pPr>
            <w:r w:rsidRPr="00576AF8">
              <w:t xml:space="preserve">Cronogramas alternativos </w:t>
            </w:r>
            <w:r w:rsidRPr="00576AF8">
              <w:rPr>
                <w:b/>
                <w:bCs/>
                <w:i/>
                <w:iCs/>
              </w:rPr>
              <w:t>no son</w:t>
            </w:r>
            <w:r w:rsidR="00F03F1A" w:rsidRPr="00576AF8">
              <w:rPr>
                <w:b/>
                <w:bCs/>
                <w:i/>
                <w:iCs/>
              </w:rPr>
              <w:t xml:space="preserve"> </w:t>
            </w:r>
            <w:r w:rsidRPr="00576AF8">
              <w:t>permitidos.</w:t>
            </w:r>
          </w:p>
        </w:tc>
      </w:tr>
      <w:tr w:rsidR="004D56E0" w:rsidRPr="00576AF8" w14:paraId="02857B4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7B0EE22" w14:textId="77777777" w:rsidR="004D56E0" w:rsidRPr="00576AF8" w:rsidRDefault="004D56E0" w:rsidP="004D56E0">
            <w:pPr>
              <w:tabs>
                <w:tab w:val="right" w:pos="7434"/>
              </w:tabs>
              <w:spacing w:before="120"/>
              <w:rPr>
                <w:b/>
              </w:rPr>
            </w:pPr>
            <w:r w:rsidRPr="00576AF8">
              <w:rPr>
                <w:b/>
              </w:rPr>
              <w:t>IAL 13.4</w:t>
            </w:r>
          </w:p>
        </w:tc>
        <w:tc>
          <w:tcPr>
            <w:tcW w:w="7890" w:type="dxa"/>
            <w:gridSpan w:val="3"/>
            <w:tcBorders>
              <w:top w:val="single" w:sz="12" w:space="0" w:color="000000"/>
              <w:left w:val="single" w:sz="12" w:space="0" w:color="000000"/>
              <w:bottom w:val="single" w:sz="12" w:space="0" w:color="000000"/>
            </w:tcBorders>
          </w:tcPr>
          <w:p w14:paraId="19AC4FFE" w14:textId="77777777" w:rsidR="004D56E0" w:rsidRPr="00576AF8" w:rsidRDefault="00F03F1A" w:rsidP="004D56E0">
            <w:pPr>
              <w:tabs>
                <w:tab w:val="right" w:pos="7254"/>
              </w:tabs>
              <w:spacing w:before="120"/>
              <w:rPr>
                <w:spacing w:val="-2"/>
              </w:rPr>
            </w:pPr>
            <w:r w:rsidRPr="00576AF8">
              <w:rPr>
                <w:spacing w:val="-2"/>
              </w:rPr>
              <w:t xml:space="preserve">Se permitirán soluciones técnicas alternativas para las siguientes partes del Sistema Informático: </w:t>
            </w:r>
            <w:r w:rsidRPr="00576AF8">
              <w:rPr>
                <w:b/>
                <w:spacing w:val="-2"/>
              </w:rPr>
              <w:t>No Aplica</w:t>
            </w:r>
            <w:r w:rsidRPr="00576AF8">
              <w:rPr>
                <w:spacing w:val="-2"/>
              </w:rPr>
              <w:t>.</w:t>
            </w:r>
          </w:p>
        </w:tc>
      </w:tr>
      <w:tr w:rsidR="004D56E0" w:rsidRPr="00576AF8" w14:paraId="2B3673E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5D5EDA9" w14:textId="77777777" w:rsidR="004D56E0" w:rsidRPr="00576AF8" w:rsidRDefault="004D56E0" w:rsidP="004D56E0">
            <w:pPr>
              <w:tabs>
                <w:tab w:val="right" w:pos="7434"/>
              </w:tabs>
              <w:spacing w:before="120"/>
              <w:rPr>
                <w:b/>
              </w:rPr>
            </w:pPr>
            <w:r w:rsidRPr="00576AF8">
              <w:rPr>
                <w:b/>
              </w:rPr>
              <w:t>IAL 14.2</w:t>
            </w:r>
          </w:p>
        </w:tc>
        <w:tc>
          <w:tcPr>
            <w:tcW w:w="7890" w:type="dxa"/>
            <w:gridSpan w:val="3"/>
            <w:tcBorders>
              <w:top w:val="single" w:sz="12" w:space="0" w:color="000000"/>
              <w:left w:val="single" w:sz="12" w:space="0" w:color="000000"/>
              <w:bottom w:val="single" w:sz="12" w:space="0" w:color="000000"/>
            </w:tcBorders>
          </w:tcPr>
          <w:p w14:paraId="0B0B5B12" w14:textId="77777777" w:rsidR="004D56E0" w:rsidRPr="00576AF8" w:rsidRDefault="004D56E0" w:rsidP="004D56E0">
            <w:pPr>
              <w:tabs>
                <w:tab w:val="right" w:pos="7254"/>
              </w:tabs>
              <w:spacing w:before="120"/>
            </w:pPr>
            <w:r w:rsidRPr="00576AF8">
              <w:t>El Licitante</w:t>
            </w:r>
            <w:r w:rsidRPr="00576AF8">
              <w:rPr>
                <w:b/>
                <w:i/>
              </w:rPr>
              <w:t xml:space="preserve"> </w:t>
            </w:r>
            <w:r w:rsidR="006506AD" w:rsidRPr="00576AF8">
              <w:rPr>
                <w:b/>
                <w:i/>
              </w:rPr>
              <w:t xml:space="preserve">no </w:t>
            </w:r>
            <w:r w:rsidRPr="00576AF8">
              <w:rPr>
                <w:b/>
                <w:i/>
              </w:rPr>
              <w:t>debe</w:t>
            </w:r>
            <w:r w:rsidRPr="00576AF8">
              <w:t xml:space="preserve"> cotizar partidas de gastos recurrentes.</w:t>
            </w:r>
          </w:p>
          <w:p w14:paraId="4DB17085" w14:textId="77777777" w:rsidR="00901F0A" w:rsidRPr="00576AF8" w:rsidRDefault="00901F0A" w:rsidP="00901F0A">
            <w:pPr>
              <w:tabs>
                <w:tab w:val="right" w:pos="7254"/>
              </w:tabs>
              <w:spacing w:before="120"/>
              <w:rPr>
                <w:spacing w:val="-2"/>
              </w:rPr>
            </w:pPr>
            <w:r w:rsidRPr="00576AF8">
              <w:t>En consideración del alcance, objeto y plazo del contrato de préstamo, la presente licitación pública internacional no considera la disponibilidad de partidas de gastos recurrentes, para los servicios de mantenimiento y soporte del nuevo centro de control.</w:t>
            </w:r>
          </w:p>
        </w:tc>
      </w:tr>
      <w:tr w:rsidR="004D56E0" w:rsidRPr="00576AF8" w14:paraId="6916F8D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3088F93" w14:textId="77777777" w:rsidR="004D56E0" w:rsidRPr="00576AF8" w:rsidRDefault="004D56E0" w:rsidP="004D56E0">
            <w:pPr>
              <w:tabs>
                <w:tab w:val="right" w:pos="7434"/>
              </w:tabs>
              <w:spacing w:before="120"/>
              <w:rPr>
                <w:b/>
              </w:rPr>
            </w:pPr>
            <w:r w:rsidRPr="00576AF8">
              <w:rPr>
                <w:b/>
              </w:rPr>
              <w:t>IAL 14.2 (a)</w:t>
            </w:r>
          </w:p>
        </w:tc>
        <w:tc>
          <w:tcPr>
            <w:tcW w:w="7890" w:type="dxa"/>
            <w:gridSpan w:val="3"/>
            <w:tcBorders>
              <w:top w:val="single" w:sz="12" w:space="0" w:color="000000"/>
              <w:left w:val="single" w:sz="12" w:space="0" w:color="000000"/>
              <w:bottom w:val="single" w:sz="12" w:space="0" w:color="000000"/>
            </w:tcBorders>
          </w:tcPr>
          <w:p w14:paraId="5A78D883" w14:textId="77777777" w:rsidR="004D56E0" w:rsidRPr="00576AF8" w:rsidRDefault="004D56E0" w:rsidP="004D56E0">
            <w:pPr>
              <w:tabs>
                <w:tab w:val="right" w:pos="7254"/>
              </w:tabs>
              <w:spacing w:before="120"/>
              <w:rPr>
                <w:spacing w:val="-2"/>
              </w:rPr>
            </w:pPr>
            <w:r w:rsidRPr="00576AF8">
              <w:t xml:space="preserve">El Licitante </w:t>
            </w:r>
            <w:r w:rsidRPr="00576AF8">
              <w:rPr>
                <w:b/>
                <w:i/>
              </w:rPr>
              <w:t>no debe</w:t>
            </w:r>
            <w:r w:rsidRPr="00576AF8">
              <w:t xml:space="preserve"> presentar Ofertas para contratos de partidas de gastos recurrentes que no se incluyen en el Contrato principal.</w:t>
            </w:r>
          </w:p>
        </w:tc>
      </w:tr>
      <w:tr w:rsidR="004D56E0" w:rsidRPr="00576AF8" w14:paraId="0AEE7B5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1548B53" w14:textId="77777777" w:rsidR="004D56E0" w:rsidRPr="00576AF8" w:rsidRDefault="004D56E0" w:rsidP="004D56E0">
            <w:pPr>
              <w:tabs>
                <w:tab w:val="right" w:pos="7434"/>
              </w:tabs>
              <w:spacing w:before="120"/>
              <w:rPr>
                <w:b/>
              </w:rPr>
            </w:pPr>
            <w:r w:rsidRPr="00576AF8">
              <w:rPr>
                <w:b/>
              </w:rPr>
              <w:t>IAL 14.5</w:t>
            </w:r>
          </w:p>
        </w:tc>
        <w:tc>
          <w:tcPr>
            <w:tcW w:w="7890" w:type="dxa"/>
            <w:gridSpan w:val="3"/>
            <w:tcBorders>
              <w:top w:val="single" w:sz="12" w:space="0" w:color="000000"/>
              <w:left w:val="single" w:sz="12" w:space="0" w:color="000000"/>
              <w:bottom w:val="single" w:sz="12" w:space="0" w:color="000000"/>
            </w:tcBorders>
          </w:tcPr>
          <w:p w14:paraId="1371AC5F" w14:textId="77777777" w:rsidR="004D56E0" w:rsidRPr="00576AF8" w:rsidRDefault="004D56E0" w:rsidP="004D56E0">
            <w:pPr>
              <w:tabs>
                <w:tab w:val="right" w:pos="7254"/>
              </w:tabs>
              <w:spacing w:before="120"/>
            </w:pPr>
            <w:r w:rsidRPr="00576AF8">
              <w:t xml:space="preserve">La edición de Incoterms es </w:t>
            </w:r>
            <w:r w:rsidR="00F03F1A" w:rsidRPr="00576AF8">
              <w:rPr>
                <w:b/>
                <w:i/>
              </w:rPr>
              <w:t>2020</w:t>
            </w:r>
            <w:r w:rsidRPr="00576AF8">
              <w:rPr>
                <w:b/>
                <w:i/>
              </w:rPr>
              <w:t>.</w:t>
            </w:r>
          </w:p>
        </w:tc>
      </w:tr>
      <w:tr w:rsidR="004D56E0" w:rsidRPr="00576AF8" w14:paraId="07F23C5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9FEE011" w14:textId="77777777" w:rsidR="004D56E0" w:rsidRPr="00576AF8" w:rsidRDefault="004D56E0" w:rsidP="004D56E0">
            <w:pPr>
              <w:tabs>
                <w:tab w:val="right" w:pos="7434"/>
              </w:tabs>
              <w:spacing w:before="120"/>
              <w:rPr>
                <w:b/>
              </w:rPr>
            </w:pPr>
            <w:r w:rsidRPr="00576AF8">
              <w:rPr>
                <w:b/>
              </w:rPr>
              <w:t>IAL 14.5 (a)</w:t>
            </w:r>
          </w:p>
        </w:tc>
        <w:tc>
          <w:tcPr>
            <w:tcW w:w="7890" w:type="dxa"/>
            <w:gridSpan w:val="3"/>
            <w:tcBorders>
              <w:top w:val="single" w:sz="12" w:space="0" w:color="000000"/>
              <w:left w:val="single" w:sz="12" w:space="0" w:color="000000"/>
              <w:bottom w:val="single" w:sz="12" w:space="0" w:color="000000"/>
            </w:tcBorders>
          </w:tcPr>
          <w:p w14:paraId="41E6EB1B" w14:textId="77777777" w:rsidR="006506AD" w:rsidRPr="00576AF8" w:rsidRDefault="004D56E0" w:rsidP="004D56E0">
            <w:pPr>
              <w:tabs>
                <w:tab w:val="right" w:pos="7254"/>
              </w:tabs>
              <w:spacing w:before="120"/>
            </w:pPr>
            <w:r w:rsidRPr="00576AF8">
              <w:t>El lugar de destino convenido</w:t>
            </w:r>
            <w:r w:rsidRPr="00576AF8">
              <w:rPr>
                <w:i/>
              </w:rPr>
              <w:t xml:space="preserve"> </w:t>
            </w:r>
            <w:r w:rsidRPr="00576AF8">
              <w:t xml:space="preserve">es: </w:t>
            </w:r>
          </w:p>
          <w:p w14:paraId="52D63942" w14:textId="77777777" w:rsidR="006506AD" w:rsidRPr="00576AF8" w:rsidRDefault="006506AD" w:rsidP="004D56E0">
            <w:pPr>
              <w:tabs>
                <w:tab w:val="right" w:pos="7254"/>
              </w:tabs>
              <w:spacing w:before="120"/>
            </w:pPr>
            <w:r w:rsidRPr="00576AF8">
              <w:t>El Ministerio de Energía y Minas recibirá el sistema en los siguientes destinos:</w:t>
            </w:r>
          </w:p>
          <w:p w14:paraId="7F5F79A1" w14:textId="77777777" w:rsidR="006506AD" w:rsidRPr="00576AF8" w:rsidRDefault="006506AD">
            <w:pPr>
              <w:numPr>
                <w:ilvl w:val="4"/>
                <w:numId w:val="430"/>
              </w:numPr>
              <w:tabs>
                <w:tab w:val="right" w:pos="7254"/>
              </w:tabs>
              <w:spacing w:before="120"/>
              <w:ind w:left="602"/>
            </w:pPr>
            <w:r w:rsidRPr="00576AF8">
              <w:t>Edificio principal del Operador Nacional de Electricidad CENACE (Incluye centro de datos, cuartos de comunicaciones, estaciones de trabajo del OTS, de Ingeniería y de usuarios)</w:t>
            </w:r>
            <w:r w:rsidR="003335FC" w:rsidRPr="00576AF8">
              <w:t>, Av. Atacazo y Panamericana Sur Km 0</w:t>
            </w:r>
          </w:p>
          <w:p w14:paraId="0CCA21D5" w14:textId="77777777" w:rsidR="006506AD" w:rsidRPr="00576AF8" w:rsidRDefault="006506AD">
            <w:pPr>
              <w:numPr>
                <w:ilvl w:val="4"/>
                <w:numId w:val="430"/>
              </w:numPr>
              <w:tabs>
                <w:tab w:val="right" w:pos="7254"/>
              </w:tabs>
              <w:spacing w:before="120"/>
              <w:ind w:left="602"/>
            </w:pPr>
            <w:r w:rsidRPr="00576AF8">
              <w:t>Oficinas de la Gerencia de Operaciones del Operador Nacional de Electricidad CENACE (incluye cuarto de equipos, Sala de control de operaciones, estaciones de operación, de Ingeniería y de usuarios)</w:t>
            </w:r>
            <w:r w:rsidR="003335FC" w:rsidRPr="00576AF8">
              <w:t>, Av. Atacazo y Panamericana Sur Km 0</w:t>
            </w:r>
          </w:p>
          <w:p w14:paraId="4180A419" w14:textId="77777777" w:rsidR="006506AD" w:rsidRPr="00576AF8" w:rsidRDefault="006506AD">
            <w:pPr>
              <w:numPr>
                <w:ilvl w:val="4"/>
                <w:numId w:val="430"/>
              </w:numPr>
              <w:tabs>
                <w:tab w:val="right" w:pos="7254"/>
              </w:tabs>
              <w:spacing w:before="120"/>
              <w:ind w:left="602"/>
            </w:pPr>
            <w:r w:rsidRPr="00576AF8">
              <w:t>CENTRO DE OPERACIONES DE CELEC EP TRANSELECTRIC (COT)</w:t>
            </w:r>
            <w:r w:rsidR="003335FC" w:rsidRPr="00576AF8">
              <w:t>, Av. Giovanni Calles Oe12-202 y Av. Padre Luis Vaccari (Carapungo)</w:t>
            </w:r>
          </w:p>
          <w:p w14:paraId="7F242400" w14:textId="77777777" w:rsidR="006506AD" w:rsidRPr="00576AF8" w:rsidRDefault="006506AD">
            <w:pPr>
              <w:numPr>
                <w:ilvl w:val="4"/>
                <w:numId w:val="430"/>
              </w:numPr>
              <w:tabs>
                <w:tab w:val="right" w:pos="7254"/>
              </w:tabs>
              <w:spacing w:before="120"/>
              <w:ind w:left="602"/>
            </w:pPr>
            <w:r w:rsidRPr="00576AF8">
              <w:t>Subestación Santa Rosa de CELEC EP TRANSELECTRIC</w:t>
            </w:r>
            <w:r w:rsidR="003335FC" w:rsidRPr="00576AF8">
              <w:t>, KM. 00; PANAMERICA SUR, BARRIO SANTA CATALINA, AV. ATACAZO</w:t>
            </w:r>
          </w:p>
          <w:p w14:paraId="28861ACC" w14:textId="77777777" w:rsidR="004D56E0" w:rsidRPr="00576AF8" w:rsidRDefault="006506AD">
            <w:pPr>
              <w:numPr>
                <w:ilvl w:val="4"/>
                <w:numId w:val="430"/>
              </w:numPr>
              <w:tabs>
                <w:tab w:val="right" w:pos="7254"/>
              </w:tabs>
              <w:spacing w:before="120"/>
              <w:ind w:left="602"/>
            </w:pPr>
            <w:r w:rsidRPr="00576AF8">
              <w:t>Subestación Pascuales de CELEC EP TRANSELECTRIC</w:t>
            </w:r>
            <w:r w:rsidR="003335FC" w:rsidRPr="00576AF8">
              <w:t>, KM. 16.5 VÍA A DAULE (Av. Cobre y Calle Acero) (ingresa x INTACO 1ra entrada a mano derecha hasta el fondo)</w:t>
            </w:r>
          </w:p>
          <w:p w14:paraId="3BBED542" w14:textId="77777777" w:rsidR="003335FC" w:rsidRPr="00576AF8" w:rsidRDefault="003335FC">
            <w:pPr>
              <w:numPr>
                <w:ilvl w:val="4"/>
                <w:numId w:val="430"/>
              </w:numPr>
              <w:tabs>
                <w:tab w:val="right" w:pos="7254"/>
              </w:tabs>
              <w:spacing w:before="120"/>
              <w:ind w:left="602"/>
            </w:pPr>
            <w:r w:rsidRPr="00576AF8">
              <w:lastRenderedPageBreak/>
              <w:t>Subestación Quevedo de CELEC EP TRANSELECTRIC, Km. 1 ½ vía al Empalme, Junto al CLUB DE TROPAS (Cercano al Complejo de la Policía)</w:t>
            </w:r>
          </w:p>
          <w:p w14:paraId="230813F4" w14:textId="77777777" w:rsidR="003335FC" w:rsidRPr="00576AF8" w:rsidRDefault="003335FC">
            <w:pPr>
              <w:numPr>
                <w:ilvl w:val="4"/>
                <w:numId w:val="430"/>
              </w:numPr>
              <w:tabs>
                <w:tab w:val="right" w:pos="7254"/>
              </w:tabs>
              <w:spacing w:before="120"/>
              <w:ind w:left="602"/>
            </w:pPr>
            <w:r w:rsidRPr="00576AF8">
              <w:t>Subestación Zhoray de CELEC EP TRANSELECTRIC, KM 41 VIA AZOGUES-ZHORAY / ZHORAY</w:t>
            </w:r>
          </w:p>
        </w:tc>
      </w:tr>
      <w:tr w:rsidR="004D56E0" w:rsidRPr="00576AF8" w14:paraId="17E191E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30211D3" w14:textId="77777777" w:rsidR="004D56E0" w:rsidRPr="00576AF8" w:rsidRDefault="004D56E0" w:rsidP="004D56E0">
            <w:pPr>
              <w:tabs>
                <w:tab w:val="right" w:pos="7434"/>
              </w:tabs>
              <w:spacing w:before="120"/>
              <w:rPr>
                <w:b/>
              </w:rPr>
            </w:pPr>
            <w:r w:rsidRPr="00576AF8">
              <w:rPr>
                <w:b/>
              </w:rPr>
              <w:lastRenderedPageBreak/>
              <w:t>IAL 14.6</w:t>
            </w:r>
          </w:p>
        </w:tc>
        <w:tc>
          <w:tcPr>
            <w:tcW w:w="7890" w:type="dxa"/>
            <w:gridSpan w:val="3"/>
            <w:tcBorders>
              <w:top w:val="single" w:sz="12" w:space="0" w:color="000000"/>
              <w:left w:val="single" w:sz="12" w:space="0" w:color="000000"/>
              <w:bottom w:val="single" w:sz="12" w:space="0" w:color="000000"/>
            </w:tcBorders>
          </w:tcPr>
          <w:p w14:paraId="3172B048" w14:textId="77777777" w:rsidR="004D56E0" w:rsidRPr="00576AF8" w:rsidRDefault="004D56E0" w:rsidP="006506AD">
            <w:pPr>
              <w:spacing w:before="120"/>
            </w:pPr>
            <w:r w:rsidRPr="00576AF8">
              <w:t xml:space="preserve">El lugar de destino final convenido (o sitio del Proyecto) es: </w:t>
            </w:r>
            <w:r w:rsidR="006506AD" w:rsidRPr="00576AF8">
              <w:t>Las mismas descritas en el IAL 14.5 (a)</w:t>
            </w:r>
          </w:p>
        </w:tc>
      </w:tr>
      <w:tr w:rsidR="004D56E0" w:rsidRPr="00576AF8" w14:paraId="1C0891E8"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3A6F2EE" w14:textId="77777777" w:rsidR="004D56E0" w:rsidRPr="00576AF8" w:rsidRDefault="004D56E0" w:rsidP="004D56E0">
            <w:pPr>
              <w:tabs>
                <w:tab w:val="right" w:pos="7434"/>
              </w:tabs>
              <w:spacing w:before="120"/>
              <w:rPr>
                <w:b/>
              </w:rPr>
            </w:pPr>
            <w:r w:rsidRPr="00576AF8">
              <w:rPr>
                <w:b/>
              </w:rPr>
              <w:t>IAL 14.8</w:t>
            </w:r>
          </w:p>
        </w:tc>
        <w:tc>
          <w:tcPr>
            <w:tcW w:w="7890" w:type="dxa"/>
            <w:gridSpan w:val="3"/>
            <w:tcBorders>
              <w:top w:val="single" w:sz="12" w:space="0" w:color="000000"/>
              <w:left w:val="single" w:sz="12" w:space="0" w:color="000000"/>
              <w:bottom w:val="single" w:sz="12" w:space="0" w:color="000000"/>
            </w:tcBorders>
          </w:tcPr>
          <w:p w14:paraId="76C26E26" w14:textId="7AA73D46" w:rsidR="004D56E0" w:rsidRPr="00576AF8" w:rsidRDefault="0069781B" w:rsidP="004D56E0">
            <w:pPr>
              <w:spacing w:before="120"/>
            </w:pPr>
            <w:r>
              <w:t>Adicional a lo indicado en la IAL 14.6, s</w:t>
            </w:r>
            <w:r w:rsidRPr="0069781B">
              <w:t xml:space="preserve">e incluyen dentro del precio del contrato los costos que se generen por la obtención del domicilio </w:t>
            </w:r>
            <w:proofErr w:type="gramStart"/>
            <w:r w:rsidRPr="0069781B">
              <w:t>fiscal  (</w:t>
            </w:r>
            <w:proofErr w:type="gramEnd"/>
            <w:r w:rsidRPr="0069781B">
              <w:t>para proveedores extranjeros) y protocolización del contrato.</w:t>
            </w:r>
          </w:p>
        </w:tc>
      </w:tr>
      <w:tr w:rsidR="004D56E0" w:rsidRPr="00576AF8" w14:paraId="6A4FA7D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FD22C8E" w14:textId="77777777" w:rsidR="004D56E0" w:rsidRPr="00576AF8" w:rsidRDefault="004D56E0" w:rsidP="004D56E0">
            <w:pPr>
              <w:tabs>
                <w:tab w:val="right" w:pos="7434"/>
              </w:tabs>
              <w:spacing w:before="120"/>
              <w:rPr>
                <w:b/>
              </w:rPr>
            </w:pPr>
            <w:r w:rsidRPr="00576AF8">
              <w:rPr>
                <w:b/>
              </w:rPr>
              <w:t>IAL 14.9</w:t>
            </w:r>
          </w:p>
        </w:tc>
        <w:tc>
          <w:tcPr>
            <w:tcW w:w="7890" w:type="dxa"/>
            <w:gridSpan w:val="3"/>
            <w:tcBorders>
              <w:top w:val="single" w:sz="12" w:space="0" w:color="000000"/>
              <w:left w:val="single" w:sz="12" w:space="0" w:color="000000"/>
              <w:bottom w:val="single" w:sz="12" w:space="0" w:color="000000"/>
            </w:tcBorders>
          </w:tcPr>
          <w:p w14:paraId="0D03EAB4" w14:textId="77777777" w:rsidR="004D56E0" w:rsidRPr="00576AF8" w:rsidRDefault="004D56E0" w:rsidP="004D56E0">
            <w:pPr>
              <w:spacing w:before="120"/>
            </w:pPr>
            <w:r w:rsidRPr="00576AF8">
              <w:t xml:space="preserve">Los precios cotizados por el Licitante </w:t>
            </w:r>
            <w:r w:rsidRPr="00576AF8">
              <w:rPr>
                <w:b/>
                <w:i/>
              </w:rPr>
              <w:t>no estarán</w:t>
            </w:r>
            <w:r w:rsidR="00F03F1A" w:rsidRPr="00576AF8">
              <w:rPr>
                <w:b/>
                <w:i/>
              </w:rPr>
              <w:t xml:space="preserve"> </w:t>
            </w:r>
            <w:r w:rsidRPr="00576AF8">
              <w:t>sujetos a ajuste durante la ejecución del Contrato.</w:t>
            </w:r>
          </w:p>
        </w:tc>
      </w:tr>
      <w:tr w:rsidR="004D56E0" w:rsidRPr="00576AF8" w14:paraId="5B82205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CE6187B" w14:textId="77777777" w:rsidR="004D56E0" w:rsidRPr="00576AF8" w:rsidRDefault="004D56E0" w:rsidP="004D56E0">
            <w:pPr>
              <w:tabs>
                <w:tab w:val="right" w:pos="7434"/>
              </w:tabs>
              <w:spacing w:before="120"/>
              <w:rPr>
                <w:b/>
              </w:rPr>
            </w:pPr>
            <w:r w:rsidRPr="00576AF8">
              <w:rPr>
                <w:b/>
              </w:rPr>
              <w:t>IAL 17.2 (a)</w:t>
            </w:r>
          </w:p>
        </w:tc>
        <w:tc>
          <w:tcPr>
            <w:tcW w:w="7890" w:type="dxa"/>
            <w:gridSpan w:val="3"/>
            <w:tcBorders>
              <w:top w:val="single" w:sz="12" w:space="0" w:color="000000"/>
              <w:left w:val="single" w:sz="12" w:space="0" w:color="000000"/>
              <w:bottom w:val="single" w:sz="12" w:space="0" w:color="000000"/>
            </w:tcBorders>
          </w:tcPr>
          <w:p w14:paraId="7245DD74" w14:textId="77777777" w:rsidR="004D56E0" w:rsidRPr="00576AF8" w:rsidRDefault="004D56E0" w:rsidP="004D56E0">
            <w:pPr>
              <w:spacing w:before="120"/>
              <w:ind w:left="15" w:hanging="19"/>
              <w:rPr>
                <w:highlight w:val="yellow"/>
              </w:rPr>
            </w:pPr>
            <w:r w:rsidRPr="00576AF8">
              <w:t>Además de los temas descritos en la IAL 17.2 (a), en el plan preliminar del Proyecto se deben abordar los siguientes temas:</w:t>
            </w:r>
          </w:p>
          <w:p w14:paraId="7D4DA2DF" w14:textId="77777777" w:rsidR="004D56E0" w:rsidRPr="00576AF8" w:rsidRDefault="004D56E0">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organización y gestión del Proyecto, que incluya las autoridades a cargo de la gestión, sus responsabilidades e información de contacto, así como calendarios en los que se especifiquen las tareas, los plazos y los recursos (en formato de diagrama de GANTT);</w:t>
            </w:r>
          </w:p>
          <w:p w14:paraId="266E4F68" w14:textId="77777777" w:rsidR="004D56E0" w:rsidRPr="00576AF8" w:rsidRDefault="004D56E0">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 xml:space="preserve">plan de </w:t>
            </w:r>
            <w:r w:rsidR="002847E6" w:rsidRPr="00576AF8">
              <w:rPr>
                <w:rStyle w:val="preparersnote"/>
                <w:b w:val="0"/>
                <w:bCs/>
                <w:i w:val="0"/>
                <w:iCs w:val="0"/>
              </w:rPr>
              <w:t>trabajo</w:t>
            </w:r>
            <w:r w:rsidR="00A9321D" w:rsidRPr="00576AF8">
              <w:rPr>
                <w:rStyle w:val="preparersnote"/>
                <w:b w:val="0"/>
                <w:bCs/>
                <w:i w:val="0"/>
                <w:iCs w:val="0"/>
              </w:rPr>
              <w:t>, que incluya objetivo y metas, hitos, acance del trabajo, cronograma, recursos técnicos, definiciones técnicas de detalle, entre otros</w:t>
            </w:r>
            <w:r w:rsidRPr="00576AF8">
              <w:rPr>
                <w:rStyle w:val="preparersnote"/>
                <w:b w:val="0"/>
                <w:bCs/>
                <w:i w:val="0"/>
                <w:iCs w:val="0"/>
              </w:rPr>
              <w:t>;</w:t>
            </w:r>
          </w:p>
          <w:p w14:paraId="70E90F23" w14:textId="77777777" w:rsidR="004D56E0" w:rsidRPr="00576AF8" w:rsidRDefault="004D56E0">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 xml:space="preserve">plan de </w:t>
            </w:r>
            <w:r w:rsidR="00412A0D" w:rsidRPr="00576AF8">
              <w:rPr>
                <w:rStyle w:val="preparersnote"/>
                <w:b w:val="0"/>
                <w:bCs/>
                <w:i w:val="0"/>
                <w:iCs w:val="0"/>
              </w:rPr>
              <w:t>transferencia de conocimiento</w:t>
            </w:r>
            <w:r w:rsidR="007637E4" w:rsidRPr="00576AF8">
              <w:rPr>
                <w:rStyle w:val="preparersnote"/>
                <w:b w:val="0"/>
                <w:bCs/>
                <w:i w:val="0"/>
                <w:iCs w:val="0"/>
              </w:rPr>
              <w:t>, conforme lo establecido en la sección 2.4</w:t>
            </w:r>
            <w:r w:rsidRPr="00576AF8">
              <w:rPr>
                <w:rStyle w:val="preparersnote"/>
                <w:b w:val="0"/>
                <w:bCs/>
                <w:i w:val="0"/>
                <w:iCs w:val="0"/>
              </w:rPr>
              <w:t>;</w:t>
            </w:r>
          </w:p>
          <w:p w14:paraId="37F6A10F" w14:textId="77777777" w:rsidR="004D56E0" w:rsidRPr="00576AF8" w:rsidRDefault="004D56E0">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 xml:space="preserve">plan de </w:t>
            </w:r>
            <w:r w:rsidR="00412A0D" w:rsidRPr="00576AF8">
              <w:rPr>
                <w:rStyle w:val="preparersnote"/>
                <w:b w:val="0"/>
                <w:bCs/>
                <w:i w:val="0"/>
                <w:iCs w:val="0"/>
              </w:rPr>
              <w:t xml:space="preserve">inspecciones y </w:t>
            </w:r>
            <w:r w:rsidRPr="00576AF8">
              <w:rPr>
                <w:rStyle w:val="preparersnote"/>
                <w:b w:val="0"/>
                <w:bCs/>
                <w:i w:val="0"/>
                <w:iCs w:val="0"/>
              </w:rPr>
              <w:t>pruebas y aseguramiento de la calidad</w:t>
            </w:r>
            <w:r w:rsidR="007637E4" w:rsidRPr="00576AF8">
              <w:rPr>
                <w:rStyle w:val="preparersnote"/>
                <w:b w:val="0"/>
                <w:bCs/>
                <w:i w:val="0"/>
                <w:iCs w:val="0"/>
              </w:rPr>
              <w:t>, conforme lo establecido en la sección 4.1</w:t>
            </w:r>
            <w:r w:rsidRPr="00576AF8">
              <w:rPr>
                <w:rStyle w:val="preparersnote"/>
                <w:b w:val="0"/>
                <w:bCs/>
                <w:i w:val="0"/>
                <w:iCs w:val="0"/>
              </w:rPr>
              <w:t>;</w:t>
            </w:r>
          </w:p>
          <w:p w14:paraId="0B8D934B" w14:textId="77777777" w:rsidR="00F02DF7" w:rsidRPr="00576AF8" w:rsidRDefault="00412A0D" w:rsidP="00F02DF7">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transición entre el sistema actual y el nuevo sistema (cutover)</w:t>
            </w:r>
            <w:r w:rsidR="00F02DF7" w:rsidRPr="00576AF8">
              <w:rPr>
                <w:rStyle w:val="preparersnote"/>
                <w:b w:val="0"/>
                <w:bCs/>
                <w:i w:val="0"/>
                <w:iCs w:val="0"/>
              </w:rPr>
              <w:t>, que incluya al menos: verificación de prerrequisitos, verificación de condiciones durante la operación simultánea de los sistemas actual y nuevo, condiciones previas al apagado del sistema actual;</w:t>
            </w:r>
          </w:p>
          <w:p w14:paraId="51586BBA" w14:textId="77777777" w:rsidR="002847E6" w:rsidRPr="00576AF8" w:rsidRDefault="002847E6" w:rsidP="001D36EB">
            <w:pPr>
              <w:pStyle w:val="Prrafodelista"/>
              <w:numPr>
                <w:ilvl w:val="0"/>
                <w:numId w:val="40"/>
              </w:numPr>
              <w:spacing w:before="120"/>
              <w:ind w:right="-72"/>
              <w:outlineLvl w:val="6"/>
              <w:rPr>
                <w:rStyle w:val="preparersnote"/>
                <w:b w:val="0"/>
                <w:bCs/>
                <w:i w:val="0"/>
                <w:iCs w:val="0"/>
              </w:rPr>
            </w:pPr>
            <w:r w:rsidRPr="00576AF8">
              <w:rPr>
                <w:rStyle w:val="preparersnote"/>
                <w:b w:val="0"/>
                <w:bCs/>
                <w:i w:val="0"/>
                <w:iCs w:val="0"/>
              </w:rPr>
              <w:t>plan de documentación</w:t>
            </w:r>
            <w:r w:rsidR="00F02DF7" w:rsidRPr="00576AF8">
              <w:rPr>
                <w:rStyle w:val="preparersnote"/>
                <w:b w:val="0"/>
                <w:bCs/>
                <w:i w:val="0"/>
                <w:iCs w:val="0"/>
              </w:rPr>
              <w:t xml:space="preserve">, que incluya al menos </w:t>
            </w:r>
            <w:r w:rsidR="001D36EB" w:rsidRPr="00576AF8">
              <w:rPr>
                <w:rStyle w:val="preparersnote"/>
                <w:b w:val="0"/>
                <w:bCs/>
                <w:i w:val="0"/>
                <w:iCs w:val="0"/>
              </w:rPr>
              <w:t>el detalle para la presentación de todos los documentos descritos en la sección 2.6.</w:t>
            </w:r>
          </w:p>
          <w:p w14:paraId="4829A359" w14:textId="77777777" w:rsidR="00412A0D" w:rsidRPr="00576AF8" w:rsidRDefault="00412A0D" w:rsidP="00412A0D">
            <w:pPr>
              <w:spacing w:before="120"/>
              <w:ind w:right="-72"/>
              <w:outlineLvl w:val="6"/>
              <w:rPr>
                <w:bCs/>
              </w:rPr>
            </w:pPr>
          </w:p>
          <w:p w14:paraId="006C72F0" w14:textId="77777777" w:rsidR="00412A0D" w:rsidRPr="00576AF8" w:rsidRDefault="00412A0D" w:rsidP="00412A0D">
            <w:pPr>
              <w:spacing w:before="120"/>
              <w:ind w:right="-72"/>
              <w:outlineLvl w:val="6"/>
              <w:rPr>
                <w:b/>
                <w:i/>
                <w:iCs/>
              </w:rPr>
            </w:pPr>
            <w:r w:rsidRPr="00576AF8">
              <w:rPr>
                <w:bCs/>
              </w:rPr>
              <w:t>Se deberá utilizar el estándar PMBok de gestión de proyectos o un equivalente para la presentación de los planes.</w:t>
            </w:r>
          </w:p>
        </w:tc>
      </w:tr>
      <w:tr w:rsidR="004D56E0" w:rsidRPr="00576AF8" w14:paraId="44331EC4"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A1FFB42" w14:textId="77777777" w:rsidR="004D56E0" w:rsidRPr="00576AF8" w:rsidRDefault="004D56E0" w:rsidP="004D56E0">
            <w:pPr>
              <w:tabs>
                <w:tab w:val="right" w:pos="7434"/>
              </w:tabs>
              <w:spacing w:before="120"/>
              <w:rPr>
                <w:b/>
              </w:rPr>
            </w:pPr>
            <w:r w:rsidRPr="00576AF8">
              <w:rPr>
                <w:b/>
              </w:rPr>
              <w:t>IAL 17.3</w:t>
            </w:r>
          </w:p>
        </w:tc>
        <w:tc>
          <w:tcPr>
            <w:tcW w:w="7890" w:type="dxa"/>
            <w:gridSpan w:val="3"/>
            <w:tcBorders>
              <w:top w:val="single" w:sz="12" w:space="0" w:color="000000"/>
              <w:left w:val="single" w:sz="12" w:space="0" w:color="000000"/>
              <w:bottom w:val="single" w:sz="12" w:space="0" w:color="000000"/>
            </w:tcBorders>
          </w:tcPr>
          <w:p w14:paraId="27F6DAC2" w14:textId="77777777" w:rsidR="00B932AE" w:rsidRPr="00576AF8" w:rsidRDefault="00C75DA5" w:rsidP="008C0D90">
            <w:pPr>
              <w:spacing w:before="120"/>
            </w:pPr>
            <w:r w:rsidRPr="00576AF8">
              <w:t>No Aplica</w:t>
            </w:r>
          </w:p>
        </w:tc>
      </w:tr>
      <w:tr w:rsidR="004D56E0" w:rsidRPr="00576AF8" w14:paraId="7768FC78"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8301A52" w14:textId="77777777" w:rsidR="004D56E0" w:rsidRPr="00576AF8" w:rsidRDefault="004D56E0" w:rsidP="004D56E0">
            <w:pPr>
              <w:tabs>
                <w:tab w:val="right" w:pos="7434"/>
              </w:tabs>
              <w:spacing w:before="120"/>
              <w:rPr>
                <w:b/>
                <w:i/>
              </w:rPr>
            </w:pPr>
            <w:r w:rsidRPr="00576AF8">
              <w:rPr>
                <w:b/>
              </w:rPr>
              <w:t>IAL 18.1</w:t>
            </w:r>
            <w:r w:rsidRPr="00576AF8">
              <w:rPr>
                <w:b/>
                <w:i/>
              </w:rPr>
              <w:t xml:space="preserve"> </w:t>
            </w:r>
          </w:p>
        </w:tc>
        <w:tc>
          <w:tcPr>
            <w:tcW w:w="7890" w:type="dxa"/>
            <w:gridSpan w:val="3"/>
            <w:tcBorders>
              <w:top w:val="single" w:sz="12" w:space="0" w:color="000000"/>
              <w:left w:val="single" w:sz="12" w:space="0" w:color="000000"/>
              <w:bottom w:val="single" w:sz="12" w:space="0" w:color="000000"/>
            </w:tcBorders>
          </w:tcPr>
          <w:p w14:paraId="686EA2D0" w14:textId="3728742F" w:rsidR="004D56E0" w:rsidRPr="00576AF8" w:rsidRDefault="004D56E0" w:rsidP="004D56E0">
            <w:pPr>
              <w:tabs>
                <w:tab w:val="right" w:pos="7254"/>
              </w:tabs>
              <w:spacing w:before="120"/>
              <w:rPr>
                <w:i/>
              </w:rPr>
            </w:pPr>
            <w:r w:rsidRPr="00576AF8">
              <w:t xml:space="preserve">El Licitante </w:t>
            </w:r>
            <w:r w:rsidRPr="00576AF8">
              <w:rPr>
                <w:b/>
                <w:i/>
              </w:rPr>
              <w:t>está</w:t>
            </w:r>
            <w:r w:rsidRPr="00576AF8">
              <w:t xml:space="preserve"> obligado a cotizar </w:t>
            </w:r>
            <w:r w:rsidR="005432F2">
              <w:t xml:space="preserve">toda la oferta </w:t>
            </w:r>
            <w:r w:rsidRPr="00576AF8">
              <w:t>en la moneda del país del Comprador.</w:t>
            </w:r>
          </w:p>
        </w:tc>
      </w:tr>
      <w:tr w:rsidR="004D56E0" w:rsidRPr="00576AF8" w14:paraId="0F565F08"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1AA91EA" w14:textId="77777777" w:rsidR="004D56E0" w:rsidRPr="00576AF8" w:rsidRDefault="004D56E0" w:rsidP="004D56E0">
            <w:pPr>
              <w:tabs>
                <w:tab w:val="right" w:pos="7434"/>
              </w:tabs>
              <w:spacing w:before="120"/>
              <w:rPr>
                <w:b/>
              </w:rPr>
            </w:pPr>
            <w:r w:rsidRPr="00576AF8">
              <w:rPr>
                <w:b/>
              </w:rPr>
              <w:lastRenderedPageBreak/>
              <w:t>IAL 19.1</w:t>
            </w:r>
          </w:p>
        </w:tc>
        <w:tc>
          <w:tcPr>
            <w:tcW w:w="7890" w:type="dxa"/>
            <w:gridSpan w:val="3"/>
            <w:tcBorders>
              <w:top w:val="single" w:sz="12" w:space="0" w:color="000000"/>
              <w:left w:val="single" w:sz="12" w:space="0" w:color="000000"/>
              <w:bottom w:val="single" w:sz="12" w:space="0" w:color="000000"/>
            </w:tcBorders>
          </w:tcPr>
          <w:p w14:paraId="57AC7D79" w14:textId="77777777" w:rsidR="004D56E0" w:rsidRPr="00576AF8" w:rsidRDefault="004D56E0" w:rsidP="004D56E0">
            <w:pPr>
              <w:tabs>
                <w:tab w:val="right" w:pos="7254"/>
              </w:tabs>
              <w:spacing w:before="120"/>
            </w:pPr>
            <w:r w:rsidRPr="00576AF8">
              <w:t xml:space="preserve">El período de Validez de la Oferta será de </w:t>
            </w:r>
            <w:r w:rsidR="00F03F1A" w:rsidRPr="00576AF8">
              <w:t>180</w:t>
            </w:r>
            <w:r w:rsidRPr="00576AF8">
              <w:rPr>
                <w:b/>
                <w:i/>
              </w:rPr>
              <w:t xml:space="preserve"> </w:t>
            </w:r>
            <w:r w:rsidRPr="00576AF8">
              <w:t>días.</w:t>
            </w:r>
          </w:p>
        </w:tc>
      </w:tr>
      <w:tr w:rsidR="004D56E0" w:rsidRPr="00576AF8" w14:paraId="47CC73F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F8861BC" w14:textId="77777777" w:rsidR="004D56E0" w:rsidRPr="00576AF8" w:rsidRDefault="004D56E0" w:rsidP="004D56E0">
            <w:pPr>
              <w:tabs>
                <w:tab w:val="right" w:pos="7434"/>
              </w:tabs>
              <w:spacing w:before="120"/>
              <w:rPr>
                <w:b/>
              </w:rPr>
            </w:pPr>
            <w:r w:rsidRPr="00576AF8">
              <w:rPr>
                <w:b/>
              </w:rPr>
              <w:t>IAL 19.3 (a)</w:t>
            </w:r>
          </w:p>
        </w:tc>
        <w:tc>
          <w:tcPr>
            <w:tcW w:w="7890" w:type="dxa"/>
            <w:gridSpan w:val="3"/>
            <w:tcBorders>
              <w:top w:val="single" w:sz="12" w:space="0" w:color="000000"/>
              <w:left w:val="single" w:sz="12" w:space="0" w:color="000000"/>
              <w:bottom w:val="single" w:sz="12" w:space="0" w:color="000000"/>
            </w:tcBorders>
          </w:tcPr>
          <w:p w14:paraId="2E1A7377" w14:textId="77777777" w:rsidR="004D56E0" w:rsidRPr="00576AF8" w:rsidRDefault="004D56E0" w:rsidP="00562B15">
            <w:pPr>
              <w:tabs>
                <w:tab w:val="right" w:pos="7254"/>
              </w:tabs>
              <w:spacing w:before="120"/>
              <w:rPr>
                <w:spacing w:val="-4"/>
              </w:rPr>
            </w:pPr>
            <w:r w:rsidRPr="00576AF8">
              <w:t xml:space="preserve">El precio de la Oferta se ajustará usando los siguientes factores: </w:t>
            </w:r>
            <w:r w:rsidR="00562B15" w:rsidRPr="00576AF8">
              <w:rPr>
                <w:b/>
                <w:bCs/>
              </w:rPr>
              <w:t>No Aplica</w:t>
            </w:r>
          </w:p>
        </w:tc>
      </w:tr>
      <w:tr w:rsidR="004D56E0" w:rsidRPr="00576AF8" w14:paraId="63672A4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989E5D6" w14:textId="77777777" w:rsidR="004D56E0" w:rsidRPr="00576AF8" w:rsidRDefault="004D56E0" w:rsidP="004D56E0">
            <w:pPr>
              <w:tabs>
                <w:tab w:val="right" w:pos="7434"/>
              </w:tabs>
              <w:spacing w:before="120"/>
              <w:rPr>
                <w:b/>
              </w:rPr>
            </w:pPr>
            <w:r w:rsidRPr="00576AF8">
              <w:rPr>
                <w:b/>
              </w:rPr>
              <w:t>IAL 20.1</w:t>
            </w:r>
          </w:p>
          <w:p w14:paraId="0A42F612" w14:textId="77777777" w:rsidR="004D56E0" w:rsidRPr="00576AF8" w:rsidRDefault="004D56E0" w:rsidP="004D56E0">
            <w:pPr>
              <w:tabs>
                <w:tab w:val="right" w:pos="7434"/>
              </w:tabs>
              <w:spacing w:before="120"/>
              <w:rPr>
                <w:b/>
              </w:rPr>
            </w:pPr>
          </w:p>
        </w:tc>
        <w:tc>
          <w:tcPr>
            <w:tcW w:w="7890" w:type="dxa"/>
            <w:gridSpan w:val="3"/>
            <w:tcBorders>
              <w:top w:val="single" w:sz="12" w:space="0" w:color="000000"/>
              <w:left w:val="single" w:sz="12" w:space="0" w:color="000000"/>
              <w:bottom w:val="single" w:sz="12" w:space="0" w:color="000000"/>
            </w:tcBorders>
          </w:tcPr>
          <w:p w14:paraId="45E6D446" w14:textId="77777777" w:rsidR="00562B15" w:rsidRPr="00576AF8" w:rsidRDefault="00562B15" w:rsidP="00562B15">
            <w:pPr>
              <w:tabs>
                <w:tab w:val="right" w:pos="7254"/>
              </w:tabs>
              <w:suppressAutoHyphens w:val="0"/>
              <w:spacing w:before="120"/>
              <w:rPr>
                <w:bCs/>
                <w:iCs/>
              </w:rPr>
            </w:pPr>
            <w:r w:rsidRPr="00576AF8">
              <w:rPr>
                <w:bCs/>
                <w:iCs/>
              </w:rPr>
              <w:t xml:space="preserve">No se exige una Garantía de Mantenimiento de la Oferta. </w:t>
            </w:r>
          </w:p>
          <w:p w14:paraId="436A6310" w14:textId="77777777" w:rsidR="004D56E0" w:rsidRPr="00576AF8" w:rsidRDefault="00562B15" w:rsidP="00562B15">
            <w:pPr>
              <w:tabs>
                <w:tab w:val="right" w:pos="7254"/>
              </w:tabs>
              <w:spacing w:before="120"/>
            </w:pPr>
            <w:r w:rsidRPr="00576AF8">
              <w:rPr>
                <w:bCs/>
                <w:iCs/>
              </w:rPr>
              <w:t>Se exige una Declaración de Mantenimiento de la Oferta.</w:t>
            </w:r>
          </w:p>
        </w:tc>
      </w:tr>
      <w:tr w:rsidR="004D56E0" w:rsidRPr="00576AF8" w14:paraId="594A4E2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7CE2BAF" w14:textId="77777777" w:rsidR="004D56E0" w:rsidRPr="00576AF8" w:rsidRDefault="004D56E0" w:rsidP="004D56E0">
            <w:pPr>
              <w:tabs>
                <w:tab w:val="right" w:pos="7434"/>
              </w:tabs>
              <w:spacing w:before="120"/>
              <w:rPr>
                <w:b/>
              </w:rPr>
            </w:pPr>
            <w:r w:rsidRPr="00576AF8">
              <w:rPr>
                <w:b/>
              </w:rPr>
              <w:t>IAL 20.3 (d)</w:t>
            </w:r>
          </w:p>
        </w:tc>
        <w:tc>
          <w:tcPr>
            <w:tcW w:w="7890" w:type="dxa"/>
            <w:gridSpan w:val="3"/>
            <w:tcBorders>
              <w:top w:val="single" w:sz="12" w:space="0" w:color="000000"/>
              <w:left w:val="single" w:sz="12" w:space="0" w:color="000000"/>
              <w:bottom w:val="single" w:sz="12" w:space="0" w:color="000000"/>
            </w:tcBorders>
          </w:tcPr>
          <w:p w14:paraId="0B6E810A" w14:textId="77777777" w:rsidR="004D56E0" w:rsidRPr="00576AF8" w:rsidRDefault="004D56E0" w:rsidP="004D56E0">
            <w:pPr>
              <w:tabs>
                <w:tab w:val="right" w:pos="7254"/>
              </w:tabs>
              <w:spacing w:before="120"/>
            </w:pPr>
            <w:r w:rsidRPr="00576AF8">
              <w:t xml:space="preserve">Otros tipos de garantías aceptables: </w:t>
            </w:r>
          </w:p>
          <w:p w14:paraId="29591368" w14:textId="77777777" w:rsidR="004D56E0" w:rsidRPr="00576AF8" w:rsidRDefault="00562B15" w:rsidP="004D56E0">
            <w:pPr>
              <w:tabs>
                <w:tab w:val="right" w:pos="7254"/>
              </w:tabs>
              <w:spacing w:before="120" w:after="60"/>
              <w:rPr>
                <w:iCs/>
              </w:rPr>
            </w:pPr>
            <w:r w:rsidRPr="00576AF8">
              <w:rPr>
                <w:b/>
                <w:iCs/>
              </w:rPr>
              <w:t>No Aplica</w:t>
            </w:r>
          </w:p>
        </w:tc>
      </w:tr>
      <w:tr w:rsidR="004D56E0" w:rsidRPr="00576AF8" w14:paraId="0CAABDC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2A5120D" w14:textId="77777777" w:rsidR="004D56E0" w:rsidRPr="00576AF8" w:rsidRDefault="004D56E0" w:rsidP="004D56E0">
            <w:pPr>
              <w:tabs>
                <w:tab w:val="right" w:pos="7434"/>
              </w:tabs>
              <w:spacing w:before="120"/>
              <w:rPr>
                <w:b/>
              </w:rPr>
            </w:pPr>
            <w:r w:rsidRPr="00576AF8">
              <w:rPr>
                <w:b/>
              </w:rPr>
              <w:t>IAL 20.10</w:t>
            </w:r>
          </w:p>
        </w:tc>
        <w:tc>
          <w:tcPr>
            <w:tcW w:w="7890" w:type="dxa"/>
            <w:gridSpan w:val="3"/>
            <w:tcBorders>
              <w:top w:val="single" w:sz="12" w:space="0" w:color="000000"/>
              <w:left w:val="single" w:sz="12" w:space="0" w:color="000000"/>
              <w:bottom w:val="single" w:sz="12" w:space="0" w:color="000000"/>
            </w:tcBorders>
          </w:tcPr>
          <w:p w14:paraId="61B23511" w14:textId="1D163147" w:rsidR="004D56E0" w:rsidRPr="00576AF8" w:rsidRDefault="004D56E0" w:rsidP="004D56E0">
            <w:pPr>
              <w:tabs>
                <w:tab w:val="right" w:pos="7254"/>
              </w:tabs>
              <w:spacing w:before="120"/>
            </w:pPr>
            <w:r w:rsidRPr="00576AF8">
              <w:t xml:space="preserve">Si el Licitante ejecuta cualquiera de las acciones mencionadas en las instrucciones (a) o (b) de esta disposición, el Comprador declarará al Licitante no elegible como adjudicatario de Contratos del Comprador por un período de </w:t>
            </w:r>
            <w:r w:rsidR="005432F2">
              <w:t>5</w:t>
            </w:r>
            <w:r w:rsidRPr="00576AF8">
              <w:rPr>
                <w:i/>
                <w:iCs/>
              </w:rPr>
              <w:t xml:space="preserve"> </w:t>
            </w:r>
            <w:r w:rsidRPr="00576AF8">
              <w:t>años.</w:t>
            </w:r>
          </w:p>
        </w:tc>
      </w:tr>
      <w:tr w:rsidR="004D56E0" w:rsidRPr="00576AF8" w14:paraId="2AE8DC5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D3FEED0" w14:textId="77777777" w:rsidR="004D56E0" w:rsidRPr="00576AF8" w:rsidRDefault="004D56E0" w:rsidP="004D56E0">
            <w:pPr>
              <w:tabs>
                <w:tab w:val="right" w:pos="7434"/>
              </w:tabs>
              <w:spacing w:before="120"/>
              <w:rPr>
                <w:b/>
              </w:rPr>
            </w:pPr>
            <w:r w:rsidRPr="00576AF8">
              <w:rPr>
                <w:b/>
              </w:rPr>
              <w:t>IAL 21.1</w:t>
            </w:r>
          </w:p>
        </w:tc>
        <w:tc>
          <w:tcPr>
            <w:tcW w:w="7890" w:type="dxa"/>
            <w:gridSpan w:val="3"/>
            <w:tcBorders>
              <w:top w:val="single" w:sz="12" w:space="0" w:color="000000"/>
              <w:left w:val="single" w:sz="12" w:space="0" w:color="000000"/>
              <w:bottom w:val="single" w:sz="12" w:space="0" w:color="000000"/>
            </w:tcBorders>
          </w:tcPr>
          <w:p w14:paraId="68B961C6" w14:textId="0F7F3C67" w:rsidR="004D56E0" w:rsidRPr="00576AF8" w:rsidRDefault="00562B15" w:rsidP="004D56E0">
            <w:pPr>
              <w:tabs>
                <w:tab w:val="right" w:pos="7254"/>
              </w:tabs>
              <w:spacing w:before="120"/>
            </w:pPr>
            <w:r w:rsidRPr="00576AF8">
              <w:t xml:space="preserve">Además del ejemplar original de la Oferta, el licitante deberá presentar una copia y un respaldo digital </w:t>
            </w:r>
            <w:r w:rsidR="005432F2">
              <w:t xml:space="preserve">no editable </w:t>
            </w:r>
            <w:r w:rsidRPr="00576AF8">
              <w:t>que incluye todos los documentos de la oferta técnica. No se presentará copia de la oferta económica.</w:t>
            </w:r>
          </w:p>
        </w:tc>
      </w:tr>
      <w:tr w:rsidR="004D56E0" w:rsidRPr="00576AF8" w14:paraId="2DE8C698" w14:textId="77777777" w:rsidTr="00866570">
        <w:tblPrEx>
          <w:tblBorders>
            <w:insideH w:val="single" w:sz="8" w:space="0" w:color="000000"/>
          </w:tblBorders>
        </w:tblPrEx>
        <w:trPr>
          <w:trHeight w:val="916"/>
        </w:trPr>
        <w:tc>
          <w:tcPr>
            <w:tcW w:w="1843" w:type="dxa"/>
            <w:tcBorders>
              <w:top w:val="single" w:sz="12" w:space="0" w:color="000000"/>
              <w:bottom w:val="single" w:sz="12" w:space="0" w:color="000000"/>
              <w:right w:val="single" w:sz="12" w:space="0" w:color="000000"/>
            </w:tcBorders>
          </w:tcPr>
          <w:p w14:paraId="42590523" w14:textId="77777777" w:rsidR="004D56E0" w:rsidRPr="00576AF8" w:rsidRDefault="004D56E0" w:rsidP="004D56E0">
            <w:pPr>
              <w:tabs>
                <w:tab w:val="right" w:pos="7434"/>
              </w:tabs>
              <w:spacing w:before="120"/>
              <w:rPr>
                <w:b/>
              </w:rPr>
            </w:pPr>
            <w:r w:rsidRPr="00576AF8">
              <w:rPr>
                <w:b/>
              </w:rPr>
              <w:t>IAL 21.3</w:t>
            </w:r>
          </w:p>
        </w:tc>
        <w:tc>
          <w:tcPr>
            <w:tcW w:w="7890" w:type="dxa"/>
            <w:gridSpan w:val="3"/>
            <w:tcBorders>
              <w:top w:val="single" w:sz="12" w:space="0" w:color="000000"/>
              <w:left w:val="single" w:sz="12" w:space="0" w:color="000000"/>
              <w:bottom w:val="single" w:sz="12" w:space="0" w:color="000000"/>
            </w:tcBorders>
          </w:tcPr>
          <w:p w14:paraId="6C26F743" w14:textId="02ADB5F3" w:rsidR="004D56E0" w:rsidRPr="00576AF8" w:rsidRDefault="004D56E0" w:rsidP="004D56E0">
            <w:pPr>
              <w:tabs>
                <w:tab w:val="right" w:pos="7254"/>
              </w:tabs>
              <w:spacing w:before="120"/>
            </w:pPr>
            <w:r w:rsidRPr="00576AF8">
              <w:t xml:space="preserve">La confirmación escrita de la autorización para firmar en nombre del </w:t>
            </w:r>
            <w:r w:rsidRPr="00576AF8">
              <w:br/>
              <w:t xml:space="preserve">Licitante consistirá en: </w:t>
            </w:r>
            <w:r w:rsidR="00562B15" w:rsidRPr="00576AF8">
              <w:rPr>
                <w:bCs/>
                <w:iCs/>
              </w:rPr>
              <w:t>Poder escrito debidamente legalizados para demostrar que el signatario está autorizado para firmar la Oferta.</w:t>
            </w:r>
          </w:p>
        </w:tc>
      </w:tr>
      <w:tr w:rsidR="004D56E0" w:rsidRPr="00576AF8" w14:paraId="5D00F059"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5617756E" w14:textId="77777777" w:rsidR="004D56E0" w:rsidRPr="00576AF8" w:rsidRDefault="004D56E0" w:rsidP="004D56E0">
            <w:pPr>
              <w:tabs>
                <w:tab w:val="right" w:pos="7254"/>
              </w:tabs>
              <w:spacing w:before="120"/>
              <w:jc w:val="center"/>
            </w:pPr>
            <w:r w:rsidRPr="00576AF8">
              <w:rPr>
                <w:b/>
                <w:sz w:val="28"/>
              </w:rPr>
              <w:t>D.</w:t>
            </w:r>
            <w:r w:rsidRPr="00576AF8">
              <w:t xml:space="preserve"> </w:t>
            </w:r>
            <w:r w:rsidRPr="00576AF8">
              <w:rPr>
                <w:b/>
                <w:sz w:val="28"/>
              </w:rPr>
              <w:t>Presentación y Apertura de las Ofertas</w:t>
            </w:r>
          </w:p>
        </w:tc>
      </w:tr>
      <w:tr w:rsidR="004D56E0" w:rsidRPr="00576AF8" w14:paraId="14D1EC6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8117C0C" w14:textId="77777777" w:rsidR="004D56E0" w:rsidRPr="00576AF8" w:rsidRDefault="004D56E0" w:rsidP="004D56E0">
            <w:pPr>
              <w:tabs>
                <w:tab w:val="right" w:pos="7434"/>
              </w:tabs>
              <w:spacing w:before="120"/>
              <w:rPr>
                <w:b/>
              </w:rPr>
            </w:pPr>
            <w:r w:rsidRPr="00576AF8">
              <w:rPr>
                <w:b/>
              </w:rPr>
              <w:t xml:space="preserve">IAL 23.1 </w:t>
            </w:r>
          </w:p>
        </w:tc>
        <w:tc>
          <w:tcPr>
            <w:tcW w:w="7890" w:type="dxa"/>
            <w:gridSpan w:val="3"/>
            <w:tcBorders>
              <w:top w:val="single" w:sz="12" w:space="0" w:color="000000"/>
              <w:left w:val="single" w:sz="12" w:space="0" w:color="000000"/>
              <w:bottom w:val="single" w:sz="12" w:space="0" w:color="000000"/>
            </w:tcBorders>
          </w:tcPr>
          <w:p w14:paraId="21D0998D" w14:textId="77777777" w:rsidR="004D56E0" w:rsidRPr="00576AF8" w:rsidRDefault="004D56E0" w:rsidP="004D56E0">
            <w:pPr>
              <w:tabs>
                <w:tab w:val="right" w:pos="7254"/>
              </w:tabs>
              <w:spacing w:before="120"/>
            </w:pPr>
            <w:r w:rsidRPr="00576AF8">
              <w:t xml:space="preserve">Para </w:t>
            </w:r>
            <w:r w:rsidRPr="00576AF8">
              <w:rPr>
                <w:b/>
                <w:u w:val="single"/>
              </w:rPr>
              <w:t>la presentación de la Oferta</w:t>
            </w:r>
            <w:r w:rsidRPr="00576AF8">
              <w:t xml:space="preserve"> únicamente, la dirección del Comprador es</w:t>
            </w:r>
            <w:r w:rsidR="00562B15" w:rsidRPr="00576AF8">
              <w:t xml:space="preserve"> </w:t>
            </w:r>
            <w:r w:rsidRPr="00576AF8">
              <w:rPr>
                <w:bCs/>
                <w:iCs/>
              </w:rPr>
              <w:t>la misma consignada en relación con la disposición de la IAL 7.1 para aclaraciones.</w:t>
            </w:r>
          </w:p>
          <w:p w14:paraId="5A9F6ABF" w14:textId="77777777" w:rsidR="004D56E0" w:rsidRPr="00576AF8" w:rsidRDefault="004D56E0" w:rsidP="004D56E0">
            <w:pPr>
              <w:tabs>
                <w:tab w:val="right" w:pos="7254"/>
              </w:tabs>
              <w:spacing w:before="120"/>
            </w:pPr>
            <w:r w:rsidRPr="00576AF8">
              <w:t xml:space="preserve">Atención: </w:t>
            </w:r>
            <w:r w:rsidR="00562B15" w:rsidRPr="00576AF8">
              <w:rPr>
                <w:bCs/>
                <w:iCs/>
              </w:rPr>
              <w:t>Subsecretario de Generación y Transmisión de Energía Eléctrica</w:t>
            </w:r>
            <w:r w:rsidRPr="00576AF8">
              <w:rPr>
                <w:b/>
                <w:i/>
              </w:rPr>
              <w:br/>
            </w:r>
            <w:r w:rsidRPr="00576AF8">
              <w:rPr>
                <w:u w:val="single"/>
              </w:rPr>
              <w:tab/>
            </w:r>
          </w:p>
          <w:p w14:paraId="30CF07E4" w14:textId="77777777" w:rsidR="00562B15" w:rsidRPr="00576AF8" w:rsidRDefault="00562B15" w:rsidP="00562B15">
            <w:pPr>
              <w:tabs>
                <w:tab w:val="right" w:pos="7254"/>
              </w:tabs>
              <w:spacing w:before="120"/>
            </w:pPr>
            <w:r w:rsidRPr="00576AF8">
              <w:t xml:space="preserve">La entrega de la oferta se la realizará en la ventanilla de recepción del Ministerio de Energía y Minas (Planta Baja – Secretaría General). </w:t>
            </w:r>
          </w:p>
          <w:p w14:paraId="116E7BE4" w14:textId="77777777" w:rsidR="00562B15" w:rsidRPr="00501D90" w:rsidRDefault="00562B15" w:rsidP="00562B15">
            <w:pPr>
              <w:tabs>
                <w:tab w:val="right" w:pos="7254"/>
              </w:tabs>
              <w:spacing w:before="120"/>
            </w:pPr>
            <w:r w:rsidRPr="00576AF8">
              <w:t xml:space="preserve">La fecha límite para la presentación (retiros, modificaciones y/o sustituciones) de las </w:t>
            </w:r>
            <w:r w:rsidRPr="00501D90">
              <w:t>Ofertas es:</w:t>
            </w:r>
          </w:p>
          <w:p w14:paraId="569386EF" w14:textId="3305F2D8" w:rsidR="00562B15" w:rsidRPr="00501D90" w:rsidRDefault="00562B15" w:rsidP="00562B15">
            <w:pPr>
              <w:tabs>
                <w:tab w:val="right" w:pos="7254"/>
              </w:tabs>
              <w:spacing w:before="120"/>
            </w:pPr>
            <w:r w:rsidRPr="00501D90">
              <w:t xml:space="preserve">Fecha: </w:t>
            </w:r>
            <w:r w:rsidR="00501D90" w:rsidRPr="00501D90">
              <w:t>24 de febrero</w:t>
            </w:r>
            <w:r w:rsidRPr="00501D90">
              <w:t xml:space="preserve"> de 202</w:t>
            </w:r>
            <w:r w:rsidR="00501D90" w:rsidRPr="00501D90">
              <w:t>5</w:t>
            </w:r>
          </w:p>
          <w:p w14:paraId="74AC65FF" w14:textId="32EE7994" w:rsidR="004D56E0" w:rsidRPr="00576AF8" w:rsidRDefault="00562B15" w:rsidP="00562B15">
            <w:pPr>
              <w:tabs>
                <w:tab w:val="left" w:pos="7012"/>
                <w:tab w:val="right" w:pos="7254"/>
              </w:tabs>
              <w:suppressAutoHyphens w:val="0"/>
              <w:spacing w:before="120"/>
            </w:pPr>
            <w:r w:rsidRPr="00501D90">
              <w:t>Hora: máximo 1</w:t>
            </w:r>
            <w:r w:rsidR="00501D90" w:rsidRPr="00501D90">
              <w:t>4</w:t>
            </w:r>
            <w:r w:rsidRPr="00501D90">
              <w:t>H00 de Ecuador</w:t>
            </w:r>
            <w:r w:rsidR="005432F2" w:rsidRPr="00501D90">
              <w:t xml:space="preserve"> continental</w:t>
            </w:r>
          </w:p>
        </w:tc>
      </w:tr>
      <w:tr w:rsidR="004D56E0" w:rsidRPr="00576AF8" w14:paraId="2ECAD72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4674CE3" w14:textId="77777777" w:rsidR="004D56E0" w:rsidRPr="00576AF8" w:rsidRDefault="004D56E0" w:rsidP="004D56E0">
            <w:pPr>
              <w:tabs>
                <w:tab w:val="right" w:pos="7434"/>
              </w:tabs>
              <w:spacing w:before="120"/>
              <w:rPr>
                <w:b/>
              </w:rPr>
            </w:pPr>
            <w:r w:rsidRPr="00576AF8">
              <w:rPr>
                <w:b/>
              </w:rPr>
              <w:t>IAL 23.1</w:t>
            </w:r>
          </w:p>
        </w:tc>
        <w:tc>
          <w:tcPr>
            <w:tcW w:w="7890" w:type="dxa"/>
            <w:gridSpan w:val="3"/>
            <w:tcBorders>
              <w:top w:val="single" w:sz="12" w:space="0" w:color="000000"/>
              <w:left w:val="single" w:sz="12" w:space="0" w:color="000000"/>
              <w:bottom w:val="single" w:sz="12" w:space="0" w:color="000000"/>
            </w:tcBorders>
          </w:tcPr>
          <w:p w14:paraId="19FD8B04" w14:textId="77777777" w:rsidR="004D56E0" w:rsidRPr="00576AF8" w:rsidRDefault="004D56E0" w:rsidP="004D56E0">
            <w:pPr>
              <w:spacing w:before="120"/>
              <w:rPr>
                <w:b/>
                <w:color w:val="000000" w:themeColor="text1"/>
              </w:rPr>
            </w:pPr>
            <w:r w:rsidRPr="00576AF8">
              <w:t xml:space="preserve">Los Licitantes </w:t>
            </w:r>
            <w:r w:rsidRPr="00576AF8">
              <w:rPr>
                <w:bCs/>
                <w:iCs/>
              </w:rPr>
              <w:t>no tendrán</w:t>
            </w:r>
            <w:r w:rsidRPr="00576AF8">
              <w:rPr>
                <w:b/>
              </w:rPr>
              <w:t xml:space="preserve"> </w:t>
            </w:r>
            <w:r w:rsidRPr="00576AF8">
              <w:t>la opción de presentar sus Ofertas en forma electrónica.</w:t>
            </w:r>
          </w:p>
        </w:tc>
      </w:tr>
      <w:tr w:rsidR="004D56E0" w:rsidRPr="00576AF8" w14:paraId="2C7D3C5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6AD67BC" w14:textId="77777777" w:rsidR="004D56E0" w:rsidRPr="00576AF8" w:rsidRDefault="004D56E0" w:rsidP="004D56E0">
            <w:pPr>
              <w:tabs>
                <w:tab w:val="right" w:pos="7434"/>
              </w:tabs>
              <w:spacing w:before="120"/>
              <w:rPr>
                <w:b/>
              </w:rPr>
            </w:pPr>
            <w:r w:rsidRPr="00576AF8">
              <w:rPr>
                <w:b/>
              </w:rPr>
              <w:t>IAL 26.1</w:t>
            </w:r>
          </w:p>
        </w:tc>
        <w:tc>
          <w:tcPr>
            <w:tcW w:w="7890" w:type="dxa"/>
            <w:gridSpan w:val="3"/>
            <w:tcBorders>
              <w:top w:val="single" w:sz="12" w:space="0" w:color="000000"/>
              <w:left w:val="single" w:sz="12" w:space="0" w:color="000000"/>
              <w:bottom w:val="single" w:sz="12" w:space="0" w:color="000000"/>
            </w:tcBorders>
          </w:tcPr>
          <w:p w14:paraId="35716C57" w14:textId="77777777" w:rsidR="004D56E0" w:rsidRPr="00576AF8" w:rsidRDefault="004D56E0" w:rsidP="004D56E0">
            <w:pPr>
              <w:tabs>
                <w:tab w:val="right" w:pos="7254"/>
              </w:tabs>
              <w:spacing w:before="120"/>
            </w:pPr>
            <w:r w:rsidRPr="00576AF8">
              <w:t>La apertura (y lectura de los retiros, sustituciones o modificaciones a las Ofertas, si hubiera) de las Ofertas se realizará en la fecha y el lugar siguientes:</w:t>
            </w:r>
          </w:p>
          <w:p w14:paraId="5B5625AA" w14:textId="77777777" w:rsidR="00562B15" w:rsidRPr="00576AF8" w:rsidRDefault="00562B15" w:rsidP="00562B15">
            <w:pPr>
              <w:tabs>
                <w:tab w:val="right" w:pos="7254"/>
              </w:tabs>
              <w:spacing w:before="120"/>
            </w:pPr>
            <w:r w:rsidRPr="00576AF8">
              <w:t>Dirección:</w:t>
            </w:r>
            <w:r w:rsidRPr="00576AF8">
              <w:rPr>
                <w:i/>
                <w:iCs/>
              </w:rPr>
              <w:t xml:space="preserve"> </w:t>
            </w:r>
            <w:r w:rsidRPr="00576AF8">
              <w:t>Av. República de El Salvador N36-64 y Suecia</w:t>
            </w:r>
          </w:p>
          <w:p w14:paraId="12EFBF5B" w14:textId="77777777" w:rsidR="00562B15" w:rsidRPr="00576AF8" w:rsidRDefault="00562B15" w:rsidP="00562B15">
            <w:pPr>
              <w:tabs>
                <w:tab w:val="right" w:pos="7254"/>
              </w:tabs>
              <w:spacing w:before="120"/>
            </w:pPr>
            <w:r w:rsidRPr="00576AF8">
              <w:t>Piso/Oficina: Mezanine - Auditorio</w:t>
            </w:r>
          </w:p>
          <w:p w14:paraId="128CBC4F" w14:textId="77777777" w:rsidR="00562B15" w:rsidRPr="00576AF8" w:rsidRDefault="00562B15" w:rsidP="00562B15">
            <w:pPr>
              <w:tabs>
                <w:tab w:val="right" w:pos="7254"/>
              </w:tabs>
              <w:spacing w:before="120"/>
              <w:rPr>
                <w:b/>
                <w:bCs/>
                <w:i/>
                <w:iCs/>
              </w:rPr>
            </w:pPr>
            <w:r w:rsidRPr="00576AF8">
              <w:lastRenderedPageBreak/>
              <w:t xml:space="preserve">Ciudad: </w:t>
            </w:r>
            <w:r w:rsidRPr="00576AF8">
              <w:rPr>
                <w:b/>
                <w:bCs/>
                <w:i/>
                <w:iCs/>
              </w:rPr>
              <w:t>Quito</w:t>
            </w:r>
          </w:p>
          <w:p w14:paraId="3C20E9A8" w14:textId="77777777" w:rsidR="00562B15" w:rsidRPr="00576AF8" w:rsidRDefault="00562B15" w:rsidP="00562B15">
            <w:pPr>
              <w:tabs>
                <w:tab w:val="right" w:pos="7254"/>
              </w:tabs>
              <w:spacing w:before="120"/>
            </w:pPr>
            <w:r w:rsidRPr="00576AF8">
              <w:t>Código postal: 170135</w:t>
            </w:r>
          </w:p>
          <w:p w14:paraId="55B0AC65" w14:textId="77777777" w:rsidR="00562B15" w:rsidRPr="00576AF8" w:rsidRDefault="00562B15" w:rsidP="00562B15">
            <w:pPr>
              <w:tabs>
                <w:tab w:val="right" w:pos="7254"/>
              </w:tabs>
              <w:spacing w:before="120"/>
            </w:pPr>
            <w:r w:rsidRPr="00576AF8">
              <w:t xml:space="preserve">País: </w:t>
            </w:r>
            <w:r w:rsidRPr="00576AF8">
              <w:rPr>
                <w:b/>
                <w:i/>
              </w:rPr>
              <w:t>Ecuador</w:t>
            </w:r>
          </w:p>
          <w:p w14:paraId="74394F49" w14:textId="77777777" w:rsidR="00501D90" w:rsidRPr="00501D90" w:rsidRDefault="00501D90" w:rsidP="00501D90">
            <w:pPr>
              <w:tabs>
                <w:tab w:val="right" w:pos="7254"/>
              </w:tabs>
              <w:spacing w:before="120"/>
            </w:pPr>
            <w:r w:rsidRPr="00501D90">
              <w:t>Fecha: 24 de febrero de 2025</w:t>
            </w:r>
          </w:p>
          <w:p w14:paraId="3CCA0060" w14:textId="0483A281" w:rsidR="004D56E0" w:rsidRPr="00576AF8" w:rsidRDefault="00501D90" w:rsidP="00501D90">
            <w:pPr>
              <w:tabs>
                <w:tab w:val="right" w:pos="7254"/>
              </w:tabs>
              <w:suppressAutoHyphens w:val="0"/>
              <w:spacing w:before="120"/>
              <w:rPr>
                <w:b/>
                <w:i/>
              </w:rPr>
            </w:pPr>
            <w:r w:rsidRPr="00501D90">
              <w:t>Hora: máximo 1</w:t>
            </w:r>
            <w:r>
              <w:t>5</w:t>
            </w:r>
            <w:r w:rsidRPr="00501D90">
              <w:t>H00 de Ecuador continental</w:t>
            </w:r>
            <w:r w:rsidRPr="00576AF8">
              <w:rPr>
                <w:b/>
                <w:i/>
              </w:rPr>
              <w:t xml:space="preserve"> </w:t>
            </w:r>
          </w:p>
        </w:tc>
      </w:tr>
      <w:tr w:rsidR="004D56E0" w:rsidRPr="00576AF8" w14:paraId="1A65D22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B80AACC" w14:textId="77777777" w:rsidR="004D56E0" w:rsidRPr="00576AF8" w:rsidRDefault="004D56E0" w:rsidP="004D56E0">
            <w:pPr>
              <w:tabs>
                <w:tab w:val="right" w:pos="7434"/>
              </w:tabs>
              <w:spacing w:before="120"/>
              <w:rPr>
                <w:b/>
              </w:rPr>
            </w:pPr>
            <w:r w:rsidRPr="00576AF8">
              <w:rPr>
                <w:b/>
              </w:rPr>
              <w:lastRenderedPageBreak/>
              <w:t>IAL 26.1</w:t>
            </w:r>
          </w:p>
        </w:tc>
        <w:tc>
          <w:tcPr>
            <w:tcW w:w="7890" w:type="dxa"/>
            <w:gridSpan w:val="3"/>
            <w:tcBorders>
              <w:top w:val="single" w:sz="12" w:space="0" w:color="000000"/>
              <w:left w:val="single" w:sz="12" w:space="0" w:color="000000"/>
              <w:bottom w:val="single" w:sz="12" w:space="0" w:color="000000"/>
            </w:tcBorders>
          </w:tcPr>
          <w:p w14:paraId="7225421A" w14:textId="77777777" w:rsidR="004D56E0" w:rsidRPr="00576AF8" w:rsidRDefault="007811DB" w:rsidP="004D56E0">
            <w:pPr>
              <w:tabs>
                <w:tab w:val="right" w:pos="7254"/>
              </w:tabs>
              <w:spacing w:before="120"/>
            </w:pPr>
            <w:r w:rsidRPr="00576AF8">
              <w:rPr>
                <w:bCs/>
                <w:iCs/>
                <w:color w:val="000000" w:themeColor="text1"/>
              </w:rPr>
              <w:t>Los procedimientos de apertura de Ofertas por vía electrónica serán los siguientes</w:t>
            </w:r>
            <w:r w:rsidRPr="00576AF8">
              <w:rPr>
                <w:b/>
                <w:i/>
                <w:color w:val="000000" w:themeColor="text1"/>
              </w:rPr>
              <w:t xml:space="preserve">: </w:t>
            </w:r>
            <w:r w:rsidRPr="00576AF8">
              <w:rPr>
                <w:b/>
                <w:iCs/>
                <w:color w:val="000000" w:themeColor="text1"/>
              </w:rPr>
              <w:t>No Aplica</w:t>
            </w:r>
          </w:p>
        </w:tc>
      </w:tr>
      <w:tr w:rsidR="004D56E0" w:rsidRPr="00576AF8" w14:paraId="2B544F3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F3C4C54" w14:textId="77777777" w:rsidR="004D56E0" w:rsidRPr="00576AF8" w:rsidRDefault="004D56E0" w:rsidP="004D56E0">
            <w:pPr>
              <w:tabs>
                <w:tab w:val="right" w:pos="7434"/>
              </w:tabs>
              <w:spacing w:before="120"/>
              <w:rPr>
                <w:b/>
                <w:bCs/>
              </w:rPr>
            </w:pPr>
            <w:r w:rsidRPr="00576AF8">
              <w:rPr>
                <w:b/>
              </w:rPr>
              <w:t>IAL 26.6</w:t>
            </w:r>
          </w:p>
        </w:tc>
        <w:tc>
          <w:tcPr>
            <w:tcW w:w="7890" w:type="dxa"/>
            <w:gridSpan w:val="3"/>
            <w:tcBorders>
              <w:top w:val="single" w:sz="12" w:space="0" w:color="000000"/>
              <w:left w:val="single" w:sz="12" w:space="0" w:color="000000"/>
              <w:bottom w:val="single" w:sz="12" w:space="0" w:color="000000"/>
            </w:tcBorders>
          </w:tcPr>
          <w:p w14:paraId="57491FC3" w14:textId="77777777" w:rsidR="004D56E0" w:rsidRPr="00576AF8" w:rsidRDefault="004D56E0" w:rsidP="004D56E0">
            <w:pPr>
              <w:tabs>
                <w:tab w:val="right" w:pos="7254"/>
              </w:tabs>
              <w:suppressAutoHyphens w:val="0"/>
              <w:spacing w:before="120"/>
              <w:rPr>
                <w:b/>
              </w:rPr>
            </w:pPr>
            <w:r w:rsidRPr="00576AF8">
              <w:t xml:space="preserve">La Carta de la Oferta y las listas de precios deben estar inicialadas por </w:t>
            </w:r>
            <w:r w:rsidR="007811DB" w:rsidRPr="00576AF8">
              <w:t>un</w:t>
            </w:r>
            <w:r w:rsidRPr="00576AF8">
              <w:t xml:space="preserve"> representante del Comprador que asista al acto de apertura de las Ofertas.</w:t>
            </w:r>
          </w:p>
        </w:tc>
      </w:tr>
      <w:tr w:rsidR="004D56E0" w:rsidRPr="00576AF8" w14:paraId="6577B5E4"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5C709101" w14:textId="77777777" w:rsidR="004D56E0" w:rsidRPr="00576AF8" w:rsidRDefault="004D56E0" w:rsidP="004D56E0">
            <w:pPr>
              <w:tabs>
                <w:tab w:val="right" w:pos="7254"/>
              </w:tabs>
              <w:spacing w:before="120"/>
              <w:jc w:val="center"/>
            </w:pPr>
            <w:r w:rsidRPr="00576AF8">
              <w:rPr>
                <w:b/>
                <w:sz w:val="28"/>
              </w:rPr>
              <w:t>F. Evaluación de las Ofertas. Disposiciones Generales</w:t>
            </w:r>
          </w:p>
        </w:tc>
      </w:tr>
      <w:tr w:rsidR="004D56E0" w:rsidRPr="00576AF8" w14:paraId="01449524"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C89E690" w14:textId="77777777" w:rsidR="004D56E0" w:rsidRPr="00576AF8" w:rsidRDefault="004D56E0" w:rsidP="004D56E0">
            <w:pPr>
              <w:tabs>
                <w:tab w:val="right" w:pos="7434"/>
              </w:tabs>
              <w:spacing w:before="120"/>
              <w:rPr>
                <w:b/>
              </w:rPr>
            </w:pPr>
            <w:r w:rsidRPr="00576AF8">
              <w:rPr>
                <w:b/>
              </w:rPr>
              <w:t>IAL 30.3</w:t>
            </w:r>
          </w:p>
        </w:tc>
        <w:tc>
          <w:tcPr>
            <w:tcW w:w="7890" w:type="dxa"/>
            <w:gridSpan w:val="3"/>
            <w:tcBorders>
              <w:top w:val="single" w:sz="12" w:space="0" w:color="000000"/>
              <w:left w:val="single" w:sz="12" w:space="0" w:color="000000"/>
              <w:bottom w:val="single" w:sz="12" w:space="0" w:color="000000"/>
            </w:tcBorders>
          </w:tcPr>
          <w:p w14:paraId="115EEA06" w14:textId="77777777" w:rsidR="004D56E0" w:rsidRPr="00576AF8" w:rsidRDefault="004D56E0" w:rsidP="004D56E0">
            <w:pPr>
              <w:tabs>
                <w:tab w:val="right" w:pos="7254"/>
              </w:tabs>
              <w:suppressAutoHyphens w:val="0"/>
              <w:spacing w:before="120"/>
            </w:pPr>
            <w:r w:rsidRPr="00576AF8">
              <w:rPr>
                <w:color w:val="000000" w:themeColor="text1"/>
              </w:rPr>
              <w:t>El ajuste se basará en el precio</w:t>
            </w:r>
            <w:r w:rsidR="007811DB" w:rsidRPr="00576AF8">
              <w:rPr>
                <w:color w:val="000000" w:themeColor="text1"/>
              </w:rPr>
              <w:t xml:space="preserve"> </w:t>
            </w:r>
            <w:r w:rsidRPr="00576AF8">
              <w:rPr>
                <w:b/>
                <w:iCs/>
                <w:color w:val="000000" w:themeColor="text1"/>
              </w:rPr>
              <w:t>más alto</w:t>
            </w:r>
            <w:r w:rsidRPr="00576AF8">
              <w:rPr>
                <w:color w:val="000000" w:themeColor="text1"/>
              </w:rPr>
              <w:t xml:space="preserve"> del artículo o componente cotizado en otras Ofertas que se ajusten sustancialmente al documento de licitación. Si no es posible determinar el precio del artículo o componente a partir de otras Ofertas que se ajusten sustancialmente al documento de licitación, el Comprador utilizará un cálculo aproximado. </w:t>
            </w:r>
            <w:r w:rsidRPr="00576AF8">
              <w:t>Si los bienes y servicios faltantes son una característica técnica que ha de recibir un puntaje, dicho puntaje será cero.</w:t>
            </w:r>
          </w:p>
        </w:tc>
      </w:tr>
      <w:tr w:rsidR="004D56E0" w:rsidRPr="00576AF8" w14:paraId="6C07CF4B"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3F1A38F4" w14:textId="77777777" w:rsidR="004D56E0" w:rsidRPr="00576AF8" w:rsidRDefault="004D56E0" w:rsidP="004D56E0">
            <w:pPr>
              <w:tabs>
                <w:tab w:val="right" w:pos="7254"/>
              </w:tabs>
              <w:spacing w:before="120"/>
              <w:jc w:val="center"/>
            </w:pPr>
            <w:r w:rsidRPr="00576AF8">
              <w:rPr>
                <w:b/>
                <w:sz w:val="28"/>
              </w:rPr>
              <w:t>G.</w:t>
            </w:r>
            <w:r w:rsidRPr="00576AF8">
              <w:t xml:space="preserve"> </w:t>
            </w:r>
            <w:r w:rsidRPr="00576AF8">
              <w:rPr>
                <w:b/>
                <w:sz w:val="28"/>
              </w:rPr>
              <w:t>Evaluación de las Partes Técnicas de las Ofertas</w:t>
            </w:r>
          </w:p>
        </w:tc>
      </w:tr>
      <w:tr w:rsidR="004D56E0" w:rsidRPr="00576AF8" w14:paraId="2DB9BBB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2A84FB5" w14:textId="77777777" w:rsidR="004D56E0" w:rsidRPr="00576AF8" w:rsidRDefault="004D56E0" w:rsidP="004D56E0">
            <w:pPr>
              <w:tabs>
                <w:tab w:val="right" w:pos="7434"/>
              </w:tabs>
              <w:spacing w:before="120"/>
              <w:rPr>
                <w:b/>
              </w:rPr>
            </w:pPr>
            <w:r w:rsidRPr="00576AF8">
              <w:rPr>
                <w:b/>
              </w:rPr>
              <w:t>IAL 31.4</w:t>
            </w:r>
          </w:p>
        </w:tc>
        <w:tc>
          <w:tcPr>
            <w:tcW w:w="7890" w:type="dxa"/>
            <w:gridSpan w:val="3"/>
            <w:tcBorders>
              <w:top w:val="single" w:sz="12" w:space="0" w:color="000000"/>
              <w:left w:val="single" w:sz="12" w:space="0" w:color="000000"/>
              <w:bottom w:val="single" w:sz="12" w:space="0" w:color="000000"/>
            </w:tcBorders>
          </w:tcPr>
          <w:p w14:paraId="0E06961E" w14:textId="77777777" w:rsidR="004D56E0" w:rsidRPr="00576AF8" w:rsidRDefault="004D56E0" w:rsidP="004D56E0">
            <w:pPr>
              <w:spacing w:before="120"/>
              <w:rPr>
                <w:i/>
                <w:iCs/>
                <w:spacing w:val="-4"/>
              </w:rPr>
            </w:pPr>
            <w:r w:rsidRPr="00576AF8">
              <w:t xml:space="preserve">En la evaluación realizada por el Comprador de las Ofertas que se ajusten al documento de licitación </w:t>
            </w:r>
            <w:r w:rsidRPr="00576AF8">
              <w:rPr>
                <w:b/>
                <w:iCs/>
              </w:rPr>
              <w:t>se</w:t>
            </w:r>
            <w:r w:rsidRPr="00576AF8">
              <w:t xml:space="preserve"> tendrán en cuenta los factores técnicos, además de los relativos a los costos, de conformidad con lo dispuesto en la Sección III, “Criterios de Evaluación y Calificación”.</w:t>
            </w:r>
          </w:p>
        </w:tc>
      </w:tr>
      <w:tr w:rsidR="004D56E0" w:rsidRPr="00576AF8" w14:paraId="4447240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9624805" w14:textId="77777777" w:rsidR="004D56E0" w:rsidRPr="00576AF8" w:rsidRDefault="004D56E0" w:rsidP="004D56E0">
            <w:pPr>
              <w:tabs>
                <w:tab w:val="right" w:pos="7434"/>
              </w:tabs>
              <w:spacing w:before="120"/>
              <w:rPr>
                <w:b/>
              </w:rPr>
            </w:pPr>
            <w:r w:rsidRPr="00576AF8">
              <w:rPr>
                <w:b/>
              </w:rPr>
              <w:t>IAL 31.4</w:t>
            </w:r>
          </w:p>
        </w:tc>
        <w:tc>
          <w:tcPr>
            <w:tcW w:w="7890" w:type="dxa"/>
            <w:gridSpan w:val="3"/>
            <w:tcBorders>
              <w:top w:val="single" w:sz="12" w:space="0" w:color="000000"/>
              <w:left w:val="single" w:sz="12" w:space="0" w:color="000000"/>
              <w:bottom w:val="single" w:sz="12" w:space="0" w:color="000000"/>
            </w:tcBorders>
          </w:tcPr>
          <w:p w14:paraId="5A71D609" w14:textId="77777777" w:rsidR="004D56E0" w:rsidRPr="00576AF8" w:rsidRDefault="004D56E0" w:rsidP="004D56E0">
            <w:pPr>
              <w:spacing w:before="120"/>
              <w:rPr>
                <w:b/>
                <w:i/>
              </w:rPr>
            </w:pPr>
            <w:r w:rsidRPr="00576AF8">
              <w:t xml:space="preserve">La ponderación total “X” de las características técnicas en el puntaje de Oferta evaluada es: </w:t>
            </w:r>
            <w:r w:rsidR="007E49CC" w:rsidRPr="00576AF8">
              <w:rPr>
                <w:b/>
                <w:iCs/>
              </w:rPr>
              <w:t>3</w:t>
            </w:r>
            <w:r w:rsidRPr="00576AF8">
              <w:rPr>
                <w:b/>
                <w:iCs/>
              </w:rPr>
              <w:t>0%.</w:t>
            </w:r>
          </w:p>
          <w:p w14:paraId="5C2CF886" w14:textId="77777777" w:rsidR="004D56E0" w:rsidRPr="00576AF8" w:rsidRDefault="006743C2" w:rsidP="004D56E0">
            <w:pPr>
              <w:spacing w:before="120"/>
              <w:rPr>
                <w:bCs/>
                <w:iCs/>
                <w:spacing w:val="-4"/>
              </w:rPr>
            </w:pPr>
            <w:r w:rsidRPr="00576AF8">
              <w:rPr>
                <w:bCs/>
                <w:iCs/>
              </w:rPr>
              <w:t>Los parámetros de calificación por puntaje constan en la Sección III del documento.</w:t>
            </w:r>
          </w:p>
        </w:tc>
      </w:tr>
      <w:tr w:rsidR="004D56E0" w:rsidRPr="00576AF8" w14:paraId="57BAB42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83E7B08" w14:textId="77777777" w:rsidR="004D56E0" w:rsidRPr="00576AF8" w:rsidRDefault="004D56E0" w:rsidP="004D56E0">
            <w:pPr>
              <w:tabs>
                <w:tab w:val="right" w:pos="7434"/>
              </w:tabs>
              <w:spacing w:before="120"/>
              <w:rPr>
                <w:b/>
              </w:rPr>
            </w:pPr>
            <w:r w:rsidRPr="00576AF8">
              <w:rPr>
                <w:b/>
              </w:rPr>
              <w:t>IAL 33.3</w:t>
            </w:r>
          </w:p>
        </w:tc>
        <w:tc>
          <w:tcPr>
            <w:tcW w:w="7890" w:type="dxa"/>
            <w:gridSpan w:val="3"/>
            <w:tcBorders>
              <w:top w:val="single" w:sz="12" w:space="0" w:color="000000"/>
              <w:left w:val="single" w:sz="12" w:space="0" w:color="000000"/>
              <w:bottom w:val="single" w:sz="12" w:space="0" w:color="000000"/>
            </w:tcBorders>
          </w:tcPr>
          <w:p w14:paraId="1002D539" w14:textId="77777777" w:rsidR="004D56E0" w:rsidRPr="00822242" w:rsidRDefault="00C75DA5" w:rsidP="00F1432D">
            <w:pPr>
              <w:spacing w:before="120"/>
              <w:rPr>
                <w:b/>
                <w:bCs/>
              </w:rPr>
            </w:pPr>
            <w:r w:rsidRPr="00822242">
              <w:rPr>
                <w:b/>
                <w:bCs/>
              </w:rPr>
              <w:t>No Aplica</w:t>
            </w:r>
          </w:p>
        </w:tc>
      </w:tr>
      <w:tr w:rsidR="004D56E0" w:rsidRPr="00576AF8" w14:paraId="5C63C84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9E7B89" w14:textId="77777777" w:rsidR="004D56E0" w:rsidRPr="00576AF8" w:rsidRDefault="004D56E0" w:rsidP="004D56E0">
            <w:pPr>
              <w:tabs>
                <w:tab w:val="right" w:pos="7434"/>
              </w:tabs>
              <w:spacing w:before="120"/>
              <w:rPr>
                <w:b/>
              </w:rPr>
            </w:pPr>
            <w:r w:rsidRPr="00576AF8">
              <w:rPr>
                <w:b/>
              </w:rPr>
              <w:t>IAL 34.1</w:t>
            </w:r>
          </w:p>
        </w:tc>
        <w:tc>
          <w:tcPr>
            <w:tcW w:w="7890" w:type="dxa"/>
            <w:gridSpan w:val="3"/>
            <w:tcBorders>
              <w:top w:val="single" w:sz="12" w:space="0" w:color="000000"/>
              <w:left w:val="single" w:sz="12" w:space="0" w:color="000000"/>
              <w:bottom w:val="single" w:sz="12" w:space="0" w:color="000000"/>
            </w:tcBorders>
          </w:tcPr>
          <w:p w14:paraId="4AF60D29" w14:textId="77777777" w:rsidR="004D56E0" w:rsidRPr="00576AF8" w:rsidRDefault="004D56E0" w:rsidP="004D56E0">
            <w:pPr>
              <w:tabs>
                <w:tab w:val="right" w:pos="7254"/>
              </w:tabs>
              <w:spacing w:before="120"/>
            </w:pPr>
            <w:r w:rsidRPr="00576AF8">
              <w:t xml:space="preserve">El Comprador </w:t>
            </w:r>
            <w:r w:rsidRPr="00576AF8">
              <w:rPr>
                <w:b/>
                <w:bCs/>
              </w:rPr>
              <w:t>no tiene</w:t>
            </w:r>
            <w:r w:rsidRPr="00576AF8">
              <w:t xml:space="preserve"> la intención de ejecutar elementos específicos del sistema informático con subcontratistas que él haya seleccionado con antelación.</w:t>
            </w:r>
          </w:p>
        </w:tc>
      </w:tr>
      <w:tr w:rsidR="004D56E0" w:rsidRPr="00576AF8" w14:paraId="72D30551"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B07BC62" w14:textId="77777777" w:rsidR="004D56E0" w:rsidRPr="00576AF8" w:rsidRDefault="004D56E0" w:rsidP="004D56E0">
            <w:pPr>
              <w:tabs>
                <w:tab w:val="right" w:pos="7254"/>
              </w:tabs>
              <w:spacing w:before="120"/>
              <w:jc w:val="center"/>
              <w:rPr>
                <w:color w:val="000000" w:themeColor="text1"/>
              </w:rPr>
            </w:pPr>
            <w:r w:rsidRPr="00576AF8">
              <w:rPr>
                <w:b/>
                <w:sz w:val="28"/>
              </w:rPr>
              <w:t>H. Apertura Pública de las Partes Financieras de las Ofertas</w:t>
            </w:r>
          </w:p>
        </w:tc>
      </w:tr>
      <w:tr w:rsidR="004D56E0" w:rsidRPr="00576AF8" w14:paraId="314DA60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47FEF3C" w14:textId="77777777" w:rsidR="004D56E0" w:rsidRPr="00576AF8" w:rsidRDefault="004D56E0" w:rsidP="004D56E0">
            <w:pPr>
              <w:tabs>
                <w:tab w:val="right" w:pos="7434"/>
              </w:tabs>
              <w:spacing w:before="120"/>
              <w:rPr>
                <w:b/>
              </w:rPr>
            </w:pPr>
            <w:r w:rsidRPr="00576AF8">
              <w:rPr>
                <w:b/>
              </w:rPr>
              <w:t>IAL 35.2 (c)</w:t>
            </w:r>
          </w:p>
        </w:tc>
        <w:tc>
          <w:tcPr>
            <w:tcW w:w="7890" w:type="dxa"/>
            <w:gridSpan w:val="3"/>
            <w:tcBorders>
              <w:top w:val="single" w:sz="12" w:space="0" w:color="000000"/>
              <w:left w:val="single" w:sz="12" w:space="0" w:color="000000"/>
              <w:bottom w:val="single" w:sz="12" w:space="0" w:color="000000"/>
            </w:tcBorders>
          </w:tcPr>
          <w:p w14:paraId="5B099F8C" w14:textId="77777777" w:rsidR="004D56E0" w:rsidRPr="00576AF8" w:rsidRDefault="004D56E0" w:rsidP="004D56E0">
            <w:pPr>
              <w:widowControl w:val="0"/>
              <w:spacing w:before="120"/>
              <w:ind w:left="72"/>
            </w:pPr>
            <w:r w:rsidRPr="00576AF8">
              <w:t>Luego de finalizada la evaluación de las Partes Técnicas de las Ofertas, el Comprador notificará a todos los Licitantes el lugar, la fecha y la hora de la apertura pública de las Partes Financieras.</w:t>
            </w:r>
          </w:p>
          <w:p w14:paraId="1B3A9408" w14:textId="77777777" w:rsidR="004D56E0" w:rsidRPr="00576AF8" w:rsidRDefault="004D56E0" w:rsidP="004D56E0">
            <w:pPr>
              <w:tabs>
                <w:tab w:val="right" w:pos="7254"/>
              </w:tabs>
              <w:spacing w:before="120"/>
            </w:pPr>
            <w:r w:rsidRPr="00576AF8">
              <w:lastRenderedPageBreak/>
              <w:t xml:space="preserve">Toda parte interesada que desee estar presente en esta apertura pública puede ponerse en contacto </w:t>
            </w:r>
            <w:r w:rsidR="007811DB" w:rsidRPr="00576AF8">
              <w:t xml:space="preserve">al correo electrónico </w:t>
            </w:r>
            <w:r w:rsidR="00412A0D" w:rsidRPr="00576AF8">
              <w:t>licitacionems@energiayminas.gob.ec</w:t>
            </w:r>
            <w:r w:rsidRPr="00576AF8">
              <w:t xml:space="preserve"> y solicitar ser notificada del lugar, la fecha y la hora de la apertura pública de las Partes Financieras. La solicitud debe realizarse antes de la fecha límite de presentación de las Ofertas, que se especifica más arriba.</w:t>
            </w:r>
          </w:p>
        </w:tc>
      </w:tr>
      <w:tr w:rsidR="004D56E0" w:rsidRPr="00576AF8" w14:paraId="4149F3C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AE78AC7" w14:textId="77777777" w:rsidR="004D56E0" w:rsidRPr="00576AF8" w:rsidRDefault="004D56E0" w:rsidP="004D56E0">
            <w:pPr>
              <w:tabs>
                <w:tab w:val="right" w:pos="7434"/>
              </w:tabs>
              <w:spacing w:before="120"/>
              <w:rPr>
                <w:b/>
              </w:rPr>
            </w:pPr>
            <w:r w:rsidRPr="00576AF8">
              <w:rPr>
                <w:b/>
              </w:rPr>
              <w:lastRenderedPageBreak/>
              <w:t>IAL 35.5</w:t>
            </w:r>
          </w:p>
        </w:tc>
        <w:tc>
          <w:tcPr>
            <w:tcW w:w="7890" w:type="dxa"/>
            <w:gridSpan w:val="3"/>
            <w:tcBorders>
              <w:top w:val="single" w:sz="12" w:space="0" w:color="000000"/>
              <w:left w:val="single" w:sz="12" w:space="0" w:color="000000"/>
              <w:bottom w:val="single" w:sz="12" w:space="0" w:color="000000"/>
            </w:tcBorders>
          </w:tcPr>
          <w:p w14:paraId="6FC3B028" w14:textId="77777777" w:rsidR="004D56E0" w:rsidRPr="00576AF8" w:rsidRDefault="004D56E0" w:rsidP="004D56E0">
            <w:pPr>
              <w:widowControl w:val="0"/>
              <w:spacing w:before="120"/>
              <w:ind w:left="72"/>
            </w:pPr>
            <w:r w:rsidRPr="00576AF8">
              <w:t xml:space="preserve">La Carta de Oferta-Parte Financiera y las listas serán inicialadas por </w:t>
            </w:r>
            <w:r w:rsidR="007811DB" w:rsidRPr="00576AF8">
              <w:t xml:space="preserve">un </w:t>
            </w:r>
            <w:r w:rsidRPr="00576AF8">
              <w:t>representante del Comprador que realicen la apertura de Ofertas</w:t>
            </w:r>
            <w:r w:rsidRPr="00576AF8">
              <w:rPr>
                <w:i/>
              </w:rPr>
              <w:t>.</w:t>
            </w:r>
          </w:p>
        </w:tc>
      </w:tr>
      <w:tr w:rsidR="004D56E0" w:rsidRPr="00576AF8" w14:paraId="54D940E6"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4D190B74" w14:textId="77777777" w:rsidR="004D56E0" w:rsidRPr="00576AF8" w:rsidRDefault="004D56E0" w:rsidP="004D56E0">
            <w:pPr>
              <w:tabs>
                <w:tab w:val="right" w:pos="7254"/>
              </w:tabs>
              <w:spacing w:before="120"/>
              <w:jc w:val="center"/>
            </w:pPr>
            <w:r w:rsidRPr="00576AF8">
              <w:rPr>
                <w:b/>
                <w:sz w:val="28"/>
              </w:rPr>
              <w:t>I. Evaluación de las Partes Financieras</w:t>
            </w:r>
          </w:p>
        </w:tc>
      </w:tr>
      <w:tr w:rsidR="004D56E0" w:rsidRPr="00576AF8" w14:paraId="19ED3A8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D9B96A4" w14:textId="77777777" w:rsidR="004D56E0" w:rsidRPr="00576AF8" w:rsidRDefault="004D56E0" w:rsidP="004D56E0">
            <w:pPr>
              <w:tabs>
                <w:tab w:val="right" w:pos="7434"/>
              </w:tabs>
              <w:spacing w:before="120"/>
              <w:rPr>
                <w:b/>
              </w:rPr>
            </w:pPr>
            <w:r w:rsidRPr="00576AF8">
              <w:rPr>
                <w:b/>
              </w:rPr>
              <w:t>IAL 36.3 (b)</w:t>
            </w:r>
          </w:p>
        </w:tc>
        <w:tc>
          <w:tcPr>
            <w:tcW w:w="7890" w:type="dxa"/>
            <w:gridSpan w:val="3"/>
            <w:tcBorders>
              <w:top w:val="single" w:sz="12" w:space="0" w:color="000000"/>
              <w:left w:val="single" w:sz="12" w:space="0" w:color="000000"/>
              <w:bottom w:val="single" w:sz="12" w:space="0" w:color="000000"/>
            </w:tcBorders>
          </w:tcPr>
          <w:p w14:paraId="44EED84F" w14:textId="77777777" w:rsidR="004D56E0" w:rsidRPr="00576AF8" w:rsidRDefault="004D56E0" w:rsidP="007811DB">
            <w:pPr>
              <w:pageBreakBefore/>
              <w:spacing w:before="120"/>
            </w:pPr>
            <w:r w:rsidRPr="00576AF8">
              <w:rPr>
                <w:b/>
                <w:iCs/>
              </w:rPr>
              <w:t>No se aceptarán</w:t>
            </w:r>
            <w:r w:rsidRPr="00576AF8">
              <w:t xml:space="preserve"> ofertas para Subsistemas, lotes o porciones del Sistema Informático global. </w:t>
            </w:r>
          </w:p>
        </w:tc>
      </w:tr>
      <w:tr w:rsidR="004D56E0" w:rsidRPr="00576AF8" w14:paraId="18C406F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CEAE8C4" w14:textId="77777777" w:rsidR="004D56E0" w:rsidRPr="00576AF8" w:rsidRDefault="004D56E0" w:rsidP="004D56E0">
            <w:pPr>
              <w:keepNext/>
              <w:keepLines/>
              <w:tabs>
                <w:tab w:val="right" w:pos="7434"/>
              </w:tabs>
              <w:spacing w:before="120"/>
              <w:outlineLvl w:val="4"/>
              <w:rPr>
                <w:b/>
              </w:rPr>
            </w:pPr>
            <w:r w:rsidRPr="00576AF8">
              <w:rPr>
                <w:b/>
              </w:rPr>
              <w:t>IAL 36.1 (f)</w:t>
            </w:r>
          </w:p>
        </w:tc>
        <w:tc>
          <w:tcPr>
            <w:tcW w:w="7890" w:type="dxa"/>
            <w:gridSpan w:val="3"/>
            <w:tcBorders>
              <w:top w:val="single" w:sz="12" w:space="0" w:color="000000"/>
              <w:left w:val="single" w:sz="12" w:space="0" w:color="000000"/>
              <w:bottom w:val="single" w:sz="12" w:space="0" w:color="000000"/>
            </w:tcBorders>
          </w:tcPr>
          <w:p w14:paraId="1AF088FD" w14:textId="77777777" w:rsidR="004D56E0" w:rsidRPr="00576AF8" w:rsidRDefault="00412A0D" w:rsidP="00822242">
            <w:pPr>
              <w:keepNext/>
              <w:keepLines/>
              <w:tabs>
                <w:tab w:val="right" w:pos="7254"/>
              </w:tabs>
              <w:spacing w:before="120"/>
              <w:outlineLvl w:val="4"/>
              <w:rPr>
                <w:i/>
              </w:rPr>
            </w:pPr>
            <w:r w:rsidRPr="00576AF8">
              <w:rPr>
                <w:b/>
                <w:bCs/>
              </w:rPr>
              <w:t>No Aplica</w:t>
            </w:r>
          </w:p>
        </w:tc>
      </w:tr>
      <w:tr w:rsidR="004D56E0" w:rsidRPr="00576AF8" w14:paraId="488B40AE" w14:textId="77777777" w:rsidTr="00501D90">
        <w:tblPrEx>
          <w:tblBorders>
            <w:insideH w:val="single" w:sz="8" w:space="0" w:color="000000"/>
          </w:tblBorders>
        </w:tblPrEx>
        <w:trPr>
          <w:trHeight w:val="485"/>
        </w:trPr>
        <w:tc>
          <w:tcPr>
            <w:tcW w:w="1843" w:type="dxa"/>
            <w:tcBorders>
              <w:top w:val="single" w:sz="12" w:space="0" w:color="000000"/>
              <w:bottom w:val="single" w:sz="12" w:space="0" w:color="000000"/>
              <w:right w:val="single" w:sz="12" w:space="0" w:color="000000"/>
            </w:tcBorders>
          </w:tcPr>
          <w:p w14:paraId="501242CB" w14:textId="54B15AB2" w:rsidR="004D56E0" w:rsidRPr="00501D90" w:rsidRDefault="004D56E0" w:rsidP="004D56E0">
            <w:pPr>
              <w:tabs>
                <w:tab w:val="right" w:pos="7434"/>
              </w:tabs>
              <w:spacing w:before="120"/>
              <w:rPr>
                <w:b/>
              </w:rPr>
            </w:pPr>
            <w:r w:rsidRPr="00576AF8">
              <w:rPr>
                <w:b/>
              </w:rPr>
              <w:t>IAL 38.1</w:t>
            </w:r>
          </w:p>
        </w:tc>
        <w:tc>
          <w:tcPr>
            <w:tcW w:w="7890" w:type="dxa"/>
            <w:gridSpan w:val="3"/>
            <w:tcBorders>
              <w:top w:val="single" w:sz="12" w:space="0" w:color="000000"/>
              <w:left w:val="single" w:sz="12" w:space="0" w:color="000000"/>
              <w:bottom w:val="single" w:sz="12" w:space="0" w:color="000000"/>
            </w:tcBorders>
          </w:tcPr>
          <w:p w14:paraId="17C3AB31" w14:textId="09F4A0D4" w:rsidR="004D56E0" w:rsidRPr="00576AF8" w:rsidRDefault="005432F2" w:rsidP="0042663A">
            <w:pPr>
              <w:tabs>
                <w:tab w:val="right" w:pos="7579"/>
              </w:tabs>
              <w:spacing w:before="120"/>
            </w:pPr>
            <w:r>
              <w:t>No Aplica</w:t>
            </w:r>
          </w:p>
        </w:tc>
      </w:tr>
      <w:tr w:rsidR="004D56E0" w:rsidRPr="00576AF8" w14:paraId="4385D6EE"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213D30CC" w14:textId="77777777" w:rsidR="004D56E0" w:rsidRPr="00576AF8" w:rsidRDefault="004D56E0" w:rsidP="004D56E0">
            <w:pPr>
              <w:tabs>
                <w:tab w:val="right" w:pos="7254"/>
              </w:tabs>
              <w:spacing w:before="120"/>
              <w:jc w:val="center"/>
              <w:rPr>
                <w:b/>
                <w:sz w:val="28"/>
              </w:rPr>
            </w:pPr>
            <w:r w:rsidRPr="00576AF8">
              <w:rPr>
                <w:b/>
                <w:bCs/>
                <w:sz w:val="28"/>
              </w:rPr>
              <w:t>J. Evaluación Combinada de las Ofertas Técnicas y Financieras</w:t>
            </w:r>
          </w:p>
        </w:tc>
      </w:tr>
      <w:tr w:rsidR="004D56E0" w:rsidRPr="00576AF8" w14:paraId="1FE352DE" w14:textId="77777777" w:rsidTr="00866570">
        <w:tblPrEx>
          <w:tblBorders>
            <w:insideH w:val="single" w:sz="8" w:space="0" w:color="000000"/>
          </w:tblBorders>
        </w:tblPrEx>
        <w:tc>
          <w:tcPr>
            <w:tcW w:w="1843" w:type="dxa"/>
            <w:tcBorders>
              <w:top w:val="single" w:sz="12" w:space="0" w:color="000000"/>
              <w:bottom w:val="single" w:sz="12" w:space="0" w:color="000000"/>
            </w:tcBorders>
          </w:tcPr>
          <w:p w14:paraId="0093339E" w14:textId="77777777" w:rsidR="004D56E0" w:rsidRPr="00576AF8" w:rsidRDefault="004D56E0" w:rsidP="004D56E0">
            <w:pPr>
              <w:spacing w:before="120"/>
              <w:jc w:val="left"/>
              <w:rPr>
                <w:b/>
                <w:bCs/>
              </w:rPr>
            </w:pPr>
            <w:r w:rsidRPr="00576AF8">
              <w:rPr>
                <w:b/>
                <w:bCs/>
              </w:rPr>
              <w:t>IAL 43.1</w:t>
            </w:r>
          </w:p>
          <w:p w14:paraId="2A2FEEFE" w14:textId="77777777" w:rsidR="004D56E0" w:rsidRPr="00576AF8" w:rsidRDefault="004D56E0" w:rsidP="004D56E0">
            <w:pPr>
              <w:tabs>
                <w:tab w:val="right" w:pos="7254"/>
              </w:tabs>
              <w:spacing w:before="120"/>
              <w:jc w:val="left"/>
              <w:rPr>
                <w:b/>
                <w:bCs/>
              </w:rPr>
            </w:pPr>
            <w:r w:rsidRPr="00576AF8">
              <w:rPr>
                <w:b/>
                <w:bCs/>
              </w:rPr>
              <w:t>Pesos del puntaje</w:t>
            </w:r>
          </w:p>
        </w:tc>
        <w:tc>
          <w:tcPr>
            <w:tcW w:w="7890" w:type="dxa"/>
            <w:gridSpan w:val="3"/>
            <w:tcBorders>
              <w:top w:val="single" w:sz="12" w:space="0" w:color="000000"/>
              <w:bottom w:val="single" w:sz="12" w:space="0" w:color="000000"/>
            </w:tcBorders>
          </w:tcPr>
          <w:p w14:paraId="0BF061C4" w14:textId="77777777" w:rsidR="004D56E0" w:rsidRPr="00576AF8" w:rsidRDefault="004D56E0" w:rsidP="004D56E0">
            <w:pPr>
              <w:tabs>
                <w:tab w:val="right" w:pos="7254"/>
              </w:tabs>
              <w:spacing w:before="120"/>
              <w:jc w:val="left"/>
              <w:rPr>
                <w:b/>
                <w:i/>
              </w:rPr>
            </w:pPr>
            <w:r w:rsidRPr="00576AF8">
              <w:t xml:space="preserve">Cuando </w:t>
            </w:r>
            <w:r w:rsidRPr="00576AF8">
              <w:rPr>
                <w:b/>
              </w:rPr>
              <w:t>DDL IAL 31.4</w:t>
            </w:r>
            <w:r w:rsidRPr="00576AF8">
              <w:t xml:space="preserve"> establece que en la evaluación técnica se usará puntaje, el peso del puntaje técnico </w:t>
            </w:r>
            <w:r w:rsidRPr="00576AF8">
              <w:rPr>
                <w:i/>
              </w:rPr>
              <w:t>W</w:t>
            </w:r>
            <w:r w:rsidRPr="00576AF8">
              <w:t xml:space="preserve"> es </w:t>
            </w:r>
            <w:r w:rsidR="00F748EA" w:rsidRPr="00576AF8">
              <w:rPr>
                <w:b/>
                <w:iCs/>
              </w:rPr>
              <w:t>3</w:t>
            </w:r>
            <w:r w:rsidR="0042663A" w:rsidRPr="00576AF8">
              <w:rPr>
                <w:b/>
                <w:iCs/>
              </w:rPr>
              <w:t>0%</w:t>
            </w:r>
            <w:r w:rsidRPr="00576AF8">
              <w:rPr>
                <w:iCs/>
              </w:rPr>
              <w:t xml:space="preserve">; el peso del puntaje financiero X es </w:t>
            </w:r>
            <w:r w:rsidR="00F748EA" w:rsidRPr="00576AF8">
              <w:rPr>
                <w:iCs/>
              </w:rPr>
              <w:t>7</w:t>
            </w:r>
            <w:r w:rsidRPr="00576AF8">
              <w:rPr>
                <w:b/>
                <w:iCs/>
              </w:rPr>
              <w:t>0%</w:t>
            </w:r>
            <w:r w:rsidR="0042663A" w:rsidRPr="00576AF8">
              <w:rPr>
                <w:b/>
                <w:iCs/>
              </w:rPr>
              <w:t>.</w:t>
            </w:r>
          </w:p>
        </w:tc>
      </w:tr>
      <w:tr w:rsidR="004D56E0" w:rsidRPr="00576AF8" w14:paraId="58A426D8"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EEEC262" w14:textId="77777777" w:rsidR="004D56E0" w:rsidRPr="00576AF8" w:rsidRDefault="004D56E0" w:rsidP="004D56E0">
            <w:pPr>
              <w:tabs>
                <w:tab w:val="right" w:pos="7254"/>
              </w:tabs>
              <w:spacing w:before="120"/>
              <w:jc w:val="center"/>
            </w:pPr>
            <w:r w:rsidRPr="00576AF8">
              <w:rPr>
                <w:b/>
                <w:sz w:val="28"/>
              </w:rPr>
              <w:t>K. Adjudicación del Contrato</w:t>
            </w:r>
          </w:p>
        </w:tc>
      </w:tr>
      <w:tr w:rsidR="004D56E0" w:rsidRPr="00576AF8" w14:paraId="3C57F8B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C730AA8" w14:textId="77777777" w:rsidR="004D56E0" w:rsidRPr="00576AF8" w:rsidRDefault="004D56E0" w:rsidP="004D56E0">
            <w:pPr>
              <w:tabs>
                <w:tab w:val="right" w:pos="7434"/>
              </w:tabs>
              <w:spacing w:before="120"/>
              <w:rPr>
                <w:b/>
              </w:rPr>
            </w:pPr>
            <w:r w:rsidRPr="00576AF8">
              <w:rPr>
                <w:b/>
              </w:rPr>
              <w:t>IAL 50.1</w:t>
            </w:r>
          </w:p>
          <w:p w14:paraId="546C8EDF" w14:textId="77777777" w:rsidR="004D56E0" w:rsidRPr="00576AF8" w:rsidRDefault="004D56E0" w:rsidP="004D56E0">
            <w:pPr>
              <w:tabs>
                <w:tab w:val="right" w:pos="7434"/>
              </w:tabs>
              <w:spacing w:before="120"/>
              <w:rPr>
                <w:b/>
              </w:rPr>
            </w:pPr>
            <w:r w:rsidRPr="00576AF8">
              <w:rPr>
                <w:b/>
              </w:rPr>
              <w:t>Variación</w:t>
            </w:r>
          </w:p>
        </w:tc>
        <w:tc>
          <w:tcPr>
            <w:tcW w:w="7890" w:type="dxa"/>
            <w:gridSpan w:val="3"/>
            <w:tcBorders>
              <w:top w:val="single" w:sz="12" w:space="0" w:color="000000"/>
              <w:left w:val="single" w:sz="12" w:space="0" w:color="000000"/>
              <w:bottom w:val="single" w:sz="12" w:space="0" w:color="000000"/>
            </w:tcBorders>
          </w:tcPr>
          <w:p w14:paraId="63B1D18F" w14:textId="77777777" w:rsidR="004D56E0" w:rsidRPr="00576AF8" w:rsidRDefault="004D56E0" w:rsidP="004D56E0">
            <w:pPr>
              <w:tabs>
                <w:tab w:val="right" w:pos="7254"/>
              </w:tabs>
              <w:spacing w:before="120"/>
              <w:rPr>
                <w:b/>
              </w:rPr>
            </w:pPr>
            <w:r w:rsidRPr="00576AF8">
              <w:t xml:space="preserve">El máximo porcentaje en que las cantidades podrán ser aumentadas es: </w:t>
            </w:r>
            <w:r w:rsidR="00412A0D" w:rsidRPr="00576AF8">
              <w:t>2</w:t>
            </w:r>
            <w:r w:rsidR="002C3B1C" w:rsidRPr="00576AF8">
              <w:rPr>
                <w:b/>
                <w:i/>
              </w:rPr>
              <w:t>0%</w:t>
            </w:r>
          </w:p>
          <w:p w14:paraId="37C13EE8" w14:textId="77777777" w:rsidR="004D56E0" w:rsidRPr="00576AF8" w:rsidRDefault="004D56E0" w:rsidP="004D56E0">
            <w:pPr>
              <w:spacing w:before="120"/>
              <w:rPr>
                <w:b/>
                <w:i/>
                <w:iCs/>
              </w:rPr>
            </w:pPr>
            <w:r w:rsidRPr="00576AF8">
              <w:t xml:space="preserve">El máximo porcentaje en que las cantidades podrán ser disminuidas es: </w:t>
            </w:r>
            <w:r w:rsidR="00412A0D" w:rsidRPr="00576AF8">
              <w:t>2</w:t>
            </w:r>
            <w:r w:rsidR="002C3B1C" w:rsidRPr="00576AF8">
              <w:rPr>
                <w:b/>
                <w:i/>
              </w:rPr>
              <w:t>0%</w:t>
            </w:r>
          </w:p>
          <w:p w14:paraId="0B970999" w14:textId="77777777" w:rsidR="004D56E0" w:rsidRPr="00576AF8" w:rsidRDefault="004D56E0" w:rsidP="002C3B1C">
            <w:pPr>
              <w:spacing w:before="120"/>
              <w:rPr>
                <w:b/>
              </w:rPr>
            </w:pPr>
            <w:r w:rsidRPr="00576AF8">
              <w:t>Los artículos para los cuales el Comprador podrá aumentar o disminuir las cantidades son los siguientes:</w:t>
            </w:r>
            <w:r w:rsidR="002C3B1C" w:rsidRPr="00576AF8">
              <w:t xml:space="preserve"> </w:t>
            </w:r>
            <w:r w:rsidR="00412A0D" w:rsidRPr="00576AF8">
              <w:rPr>
                <w:b/>
              </w:rPr>
              <w:t>Equipamiento tecnológico y licenciamiento de software</w:t>
            </w:r>
          </w:p>
        </w:tc>
      </w:tr>
      <w:tr w:rsidR="004D56E0" w:rsidRPr="00576AF8" w14:paraId="6578A4D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5ED5EEC" w14:textId="77777777" w:rsidR="004D56E0" w:rsidRPr="00576AF8" w:rsidRDefault="004D56E0" w:rsidP="004D56E0">
            <w:pPr>
              <w:tabs>
                <w:tab w:val="right" w:pos="7434"/>
              </w:tabs>
              <w:spacing w:before="120"/>
              <w:rPr>
                <w:b/>
                <w:color w:val="000000" w:themeColor="text1"/>
              </w:rPr>
            </w:pPr>
            <w:r w:rsidRPr="00576AF8">
              <w:rPr>
                <w:b/>
                <w:bCs/>
                <w:color w:val="000000" w:themeColor="text1"/>
              </w:rPr>
              <w:t xml:space="preserve">IAL </w:t>
            </w:r>
            <w:r w:rsidRPr="00576AF8">
              <w:rPr>
                <w:b/>
                <w:color w:val="000000" w:themeColor="text1"/>
              </w:rPr>
              <w:t>53.1</w:t>
            </w:r>
          </w:p>
          <w:p w14:paraId="4E5F406D" w14:textId="77777777" w:rsidR="004D56E0" w:rsidRPr="00576AF8" w:rsidRDefault="004D56E0" w:rsidP="004D56E0">
            <w:pPr>
              <w:tabs>
                <w:tab w:val="right" w:pos="7434"/>
              </w:tabs>
              <w:spacing w:before="120"/>
              <w:rPr>
                <w:b/>
              </w:rPr>
            </w:pPr>
            <w:r w:rsidRPr="00576AF8">
              <w:rPr>
                <w:b/>
                <w:color w:val="000000" w:themeColor="text1"/>
              </w:rPr>
              <w:t>Propiedad Efectiva</w:t>
            </w:r>
          </w:p>
        </w:tc>
        <w:tc>
          <w:tcPr>
            <w:tcW w:w="7890" w:type="dxa"/>
            <w:gridSpan w:val="3"/>
            <w:tcBorders>
              <w:top w:val="single" w:sz="12" w:space="0" w:color="000000"/>
              <w:left w:val="single" w:sz="12" w:space="0" w:color="000000"/>
              <w:bottom w:val="single" w:sz="12" w:space="0" w:color="000000"/>
            </w:tcBorders>
          </w:tcPr>
          <w:p w14:paraId="37377462" w14:textId="77777777" w:rsidR="004D56E0" w:rsidRPr="00576AF8" w:rsidRDefault="004D56E0" w:rsidP="004D56E0">
            <w:pPr>
              <w:tabs>
                <w:tab w:val="right" w:pos="7254"/>
              </w:tabs>
              <w:spacing w:before="120"/>
            </w:pPr>
            <w:r w:rsidRPr="00576AF8">
              <w:rPr>
                <w:color w:val="000000" w:themeColor="text1"/>
              </w:rPr>
              <w:t xml:space="preserve">El Licitante seleccionado </w:t>
            </w:r>
            <w:r w:rsidRPr="00576AF8">
              <w:rPr>
                <w:b/>
                <w:iCs/>
                <w:color w:val="000000" w:themeColor="text1"/>
              </w:rPr>
              <w:t>debe</w:t>
            </w:r>
            <w:r w:rsidRPr="00576AF8">
              <w:rPr>
                <w:color w:val="000000" w:themeColor="text1"/>
              </w:rPr>
              <w:t xml:space="preserve"> suministrar el Formulario de Divulgación de la Propiedad Efectiva.</w:t>
            </w:r>
          </w:p>
        </w:tc>
      </w:tr>
      <w:tr w:rsidR="004D56E0" w:rsidRPr="00576AF8" w14:paraId="5373F5D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0580898" w14:textId="77777777" w:rsidR="004D56E0" w:rsidRPr="00576AF8" w:rsidRDefault="004D56E0" w:rsidP="004D56E0">
            <w:pPr>
              <w:tabs>
                <w:tab w:val="right" w:pos="7434"/>
              </w:tabs>
              <w:spacing w:before="120"/>
              <w:rPr>
                <w:b/>
              </w:rPr>
            </w:pPr>
            <w:r w:rsidRPr="00576AF8">
              <w:rPr>
                <w:b/>
              </w:rPr>
              <w:t>IAL 55</w:t>
            </w:r>
          </w:p>
          <w:p w14:paraId="2C4E962C" w14:textId="77777777" w:rsidR="004D56E0" w:rsidRPr="00576AF8" w:rsidRDefault="004D56E0" w:rsidP="004D56E0">
            <w:pPr>
              <w:tabs>
                <w:tab w:val="right" w:pos="7434"/>
              </w:tabs>
              <w:spacing w:before="120"/>
              <w:rPr>
                <w:b/>
              </w:rPr>
            </w:pPr>
            <w:r w:rsidRPr="00576AF8">
              <w:rPr>
                <w:b/>
              </w:rPr>
              <w:t>Conciliador</w:t>
            </w:r>
          </w:p>
        </w:tc>
        <w:tc>
          <w:tcPr>
            <w:tcW w:w="7890" w:type="dxa"/>
            <w:gridSpan w:val="3"/>
            <w:tcBorders>
              <w:top w:val="single" w:sz="12" w:space="0" w:color="000000"/>
              <w:left w:val="single" w:sz="12" w:space="0" w:color="000000"/>
              <w:bottom w:val="single" w:sz="12" w:space="0" w:color="000000"/>
            </w:tcBorders>
          </w:tcPr>
          <w:p w14:paraId="5DE3DF7D" w14:textId="43ABD720" w:rsidR="00144924" w:rsidRPr="00DE57D7" w:rsidRDefault="00C75DA5" w:rsidP="004D56E0">
            <w:pPr>
              <w:spacing w:before="120"/>
            </w:pPr>
            <w:r w:rsidRPr="00DE57D7">
              <w:t xml:space="preserve">El nombre propuesto por el Comprador </w:t>
            </w:r>
            <w:r w:rsidR="00365313" w:rsidRPr="00DE57D7">
              <w:t xml:space="preserve">para actuar como Conciliador </w:t>
            </w:r>
            <w:r w:rsidR="00144924" w:rsidRPr="00DE57D7">
              <w:t xml:space="preserve">es; </w:t>
            </w:r>
            <w:r w:rsidR="00F069A5" w:rsidRPr="00DE57D7">
              <w:t>Ing. Francisco Xavier Páez Albán</w:t>
            </w:r>
            <w:r w:rsidR="00144924" w:rsidRPr="00DE57D7">
              <w:t xml:space="preserve">. Se adjunta </w:t>
            </w:r>
            <w:r w:rsidR="00296B5D" w:rsidRPr="00DE57D7">
              <w:t>el currículo</w:t>
            </w:r>
            <w:r w:rsidR="00144924" w:rsidRPr="00DE57D7">
              <w:t xml:space="preserve"> del profesional.</w:t>
            </w:r>
          </w:p>
          <w:p w14:paraId="1C0E4F25" w14:textId="28B0345A" w:rsidR="00FB1406" w:rsidRPr="00DE57D7" w:rsidRDefault="00144924" w:rsidP="00365313">
            <w:pPr>
              <w:spacing w:before="120"/>
            </w:pPr>
            <w:r w:rsidRPr="00DE57D7">
              <w:t>Los honorarios serán los siguientes:</w:t>
            </w:r>
            <w:r w:rsidR="00671212" w:rsidRPr="00DE57D7">
              <w:t xml:space="preserve"> </w:t>
            </w:r>
            <w:r w:rsidR="00DE57D7" w:rsidRPr="00DE57D7">
              <w:t>70 dólares por hora, sin incluir impuestos</w:t>
            </w:r>
          </w:p>
          <w:p w14:paraId="70A103D9" w14:textId="77777777" w:rsidR="00681945" w:rsidRPr="00DE57D7" w:rsidRDefault="00681945" w:rsidP="00365313">
            <w:pPr>
              <w:spacing w:before="120"/>
            </w:pPr>
          </w:p>
          <w:p w14:paraId="5070495E" w14:textId="3831428D" w:rsidR="00296B5D" w:rsidRPr="00DE57D7" w:rsidRDefault="00681945" w:rsidP="00365313">
            <w:pPr>
              <w:spacing w:before="120"/>
            </w:pPr>
            <w:r w:rsidRPr="00DE57D7">
              <w:t>Se aceptará reembolsar l</w:t>
            </w:r>
            <w:r w:rsidR="00296B5D" w:rsidRPr="00DE57D7">
              <w:t xml:space="preserve">os gastos </w:t>
            </w:r>
            <w:r w:rsidRPr="00DE57D7">
              <w:t>por los siguientes conceptos</w:t>
            </w:r>
            <w:r w:rsidR="00296B5D" w:rsidRPr="00DE57D7">
              <w:t>:</w:t>
            </w:r>
          </w:p>
          <w:p w14:paraId="07699E5E" w14:textId="77777777" w:rsidR="00296B5D" w:rsidRPr="00DE57D7" w:rsidRDefault="00296B5D" w:rsidP="00365313">
            <w:pPr>
              <w:spacing w:before="120"/>
            </w:pPr>
          </w:p>
          <w:p w14:paraId="509491B5" w14:textId="32466DC3" w:rsidR="00681945" w:rsidRPr="00DE57D7" w:rsidRDefault="00681945" w:rsidP="00681945">
            <w:pPr>
              <w:pStyle w:val="Prrafodelista"/>
              <w:numPr>
                <w:ilvl w:val="0"/>
                <w:numId w:val="442"/>
              </w:numPr>
              <w:spacing w:before="120"/>
            </w:pPr>
            <w:r w:rsidRPr="00DE57D7">
              <w:lastRenderedPageBreak/>
              <w:t>Movilización (incluye transporte aéreo y terrestre)</w:t>
            </w:r>
          </w:p>
          <w:p w14:paraId="6B676DDC" w14:textId="0093D3EE" w:rsidR="00681945" w:rsidRPr="00DE57D7" w:rsidRDefault="00681945" w:rsidP="00681945">
            <w:pPr>
              <w:pStyle w:val="Prrafodelista"/>
              <w:numPr>
                <w:ilvl w:val="0"/>
                <w:numId w:val="442"/>
              </w:numPr>
              <w:spacing w:before="120"/>
            </w:pPr>
            <w:r w:rsidRPr="00DE57D7">
              <w:t>Hospedaje</w:t>
            </w:r>
          </w:p>
          <w:p w14:paraId="1ADAB58F" w14:textId="4FDFB4C9" w:rsidR="00296B5D" w:rsidRPr="00351C62" w:rsidRDefault="00681945" w:rsidP="00365313">
            <w:pPr>
              <w:pStyle w:val="Prrafodelista"/>
              <w:numPr>
                <w:ilvl w:val="0"/>
                <w:numId w:val="442"/>
              </w:numPr>
              <w:spacing w:before="120"/>
            </w:pPr>
            <w:r w:rsidRPr="00DE57D7">
              <w:t>Alimentación</w:t>
            </w:r>
          </w:p>
        </w:tc>
      </w:tr>
      <w:tr w:rsidR="004D56E0" w:rsidRPr="00576AF8" w14:paraId="54F65AE6" w14:textId="77777777" w:rsidTr="002D7CBA">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2AABFC7" w14:textId="77777777" w:rsidR="004D56E0" w:rsidRPr="00576AF8" w:rsidRDefault="004D56E0" w:rsidP="004D56E0">
            <w:pPr>
              <w:spacing w:before="120"/>
              <w:jc w:val="left"/>
              <w:rPr>
                <w:b/>
              </w:rPr>
            </w:pPr>
            <w:r w:rsidRPr="00576AF8">
              <w:rPr>
                <w:b/>
              </w:rPr>
              <w:lastRenderedPageBreak/>
              <w:t>IAL 56</w:t>
            </w:r>
          </w:p>
          <w:p w14:paraId="0B8BEF24" w14:textId="77777777" w:rsidR="004D56E0" w:rsidRPr="00576AF8" w:rsidRDefault="004D56E0" w:rsidP="004D56E0">
            <w:pPr>
              <w:tabs>
                <w:tab w:val="right" w:pos="7434"/>
              </w:tabs>
              <w:spacing w:before="120"/>
              <w:jc w:val="left"/>
              <w:rPr>
                <w:b/>
              </w:rPr>
            </w:pPr>
            <w:r w:rsidRPr="00576AF8">
              <w:rPr>
                <w:b/>
              </w:rPr>
              <w:t>Quejas relacionadas con las Adquisiciones</w:t>
            </w:r>
          </w:p>
        </w:tc>
        <w:tc>
          <w:tcPr>
            <w:tcW w:w="7890" w:type="dxa"/>
            <w:gridSpan w:val="3"/>
            <w:tcBorders>
              <w:top w:val="single" w:sz="12" w:space="0" w:color="000000"/>
              <w:left w:val="single" w:sz="12" w:space="0" w:color="000000"/>
              <w:bottom w:val="single" w:sz="12" w:space="0" w:color="000000"/>
            </w:tcBorders>
          </w:tcPr>
          <w:p w14:paraId="1261F440" w14:textId="77777777" w:rsidR="004D56E0" w:rsidRPr="00576AF8" w:rsidRDefault="004D56E0" w:rsidP="004D56E0">
            <w:r w:rsidRPr="00576AF8">
              <w:t xml:space="preserve">Los procedimientos para presentar una queja relacionada con la adquisición se detallan en las Políticas para la Adquisición de Bienes y Obras Financiadas por el Banco Interamericano de Desarrollo GN-2349-15. </w:t>
            </w:r>
          </w:p>
          <w:p w14:paraId="52E3E941" w14:textId="77777777" w:rsidR="004D56E0" w:rsidRPr="00576AF8" w:rsidRDefault="004D56E0" w:rsidP="004D56E0">
            <w:r w:rsidRPr="00576AF8">
              <w:t>Si un Licitante desea presentar una queja relacionada con la contratación, el Licitante deberá presentar su reclamación por escrito (por los medios más rápidos disponibles, como por ejemplo correo electrónico), a:</w:t>
            </w:r>
          </w:p>
          <w:p w14:paraId="0C7850B0" w14:textId="5BDC1EF8" w:rsidR="002C3B1C" w:rsidRPr="00576AF8" w:rsidRDefault="002C3B1C" w:rsidP="002C3B1C">
            <w:pPr>
              <w:ind w:left="720"/>
            </w:pPr>
            <w:r w:rsidRPr="00576AF8">
              <w:t xml:space="preserve">A la atención de: </w:t>
            </w:r>
            <w:r w:rsidR="00124BBC">
              <w:t>Byron Benalcázar</w:t>
            </w:r>
          </w:p>
          <w:p w14:paraId="7EBC1CE4" w14:textId="1F86211C" w:rsidR="002C3B1C" w:rsidRPr="00576AF8" w:rsidRDefault="002C3B1C" w:rsidP="002C3B1C">
            <w:pPr>
              <w:ind w:left="720"/>
            </w:pPr>
            <w:r w:rsidRPr="00576AF8">
              <w:t xml:space="preserve">Título / posición: </w:t>
            </w:r>
            <w:r w:rsidR="00124BBC" w:rsidRPr="00576AF8">
              <w:rPr>
                <w:bCs/>
                <w:iCs/>
              </w:rPr>
              <w:t>Subsecretario de Generación y Transmisión de Energía Eléctrica</w:t>
            </w:r>
          </w:p>
          <w:p w14:paraId="11AD566F" w14:textId="77777777" w:rsidR="002C3B1C" w:rsidRPr="00576AF8" w:rsidRDefault="002C3B1C" w:rsidP="002C3B1C">
            <w:pPr>
              <w:ind w:left="720"/>
            </w:pPr>
            <w:r w:rsidRPr="00576AF8">
              <w:t>Comprador:          Ministerio de Energía y Minas</w:t>
            </w:r>
          </w:p>
          <w:p w14:paraId="41D9A0B0" w14:textId="79EC2880" w:rsidR="004D56E0" w:rsidRPr="00576AF8" w:rsidRDefault="002C3B1C" w:rsidP="002C3B1C">
            <w:r w:rsidRPr="00576AF8">
              <w:t xml:space="preserve">      Dirección de correo electrónico: </w:t>
            </w:r>
            <w:hyperlink r:id="rId20" w:history="1">
              <w:r w:rsidR="0069781B" w:rsidRPr="001279EE">
                <w:rPr>
                  <w:rStyle w:val="Hipervnculo"/>
                </w:rPr>
                <w:t>licitacionems@energiayminas.gob.ec</w:t>
              </w:r>
            </w:hyperlink>
          </w:p>
        </w:tc>
      </w:tr>
    </w:tbl>
    <w:p w14:paraId="0A0A1707" w14:textId="77777777" w:rsidR="001040E4" w:rsidRPr="00576AF8" w:rsidRDefault="001040E4">
      <w:pPr>
        <w:suppressAutoHyphens w:val="0"/>
        <w:spacing w:after="0"/>
        <w:jc w:val="left"/>
      </w:pPr>
    </w:p>
    <w:p w14:paraId="4022297B" w14:textId="77777777" w:rsidR="001040E4" w:rsidRPr="00576AF8" w:rsidRDefault="001040E4">
      <w:pPr>
        <w:suppressAutoHyphens w:val="0"/>
        <w:spacing w:after="0"/>
        <w:jc w:val="left"/>
        <w:rPr>
          <w:i/>
          <w:sz w:val="22"/>
          <w:szCs w:val="22"/>
        </w:rPr>
        <w:sectPr w:rsidR="001040E4" w:rsidRPr="00576AF8" w:rsidSect="000968D2">
          <w:headerReference w:type="even" r:id="rId21"/>
          <w:headerReference w:type="default" r:id="rId22"/>
          <w:headerReference w:type="first" r:id="rId23"/>
          <w:footnotePr>
            <w:numRestart w:val="eachPage"/>
          </w:footnotePr>
          <w:endnotePr>
            <w:numRestart w:val="eachSect"/>
          </w:endnotePr>
          <w:pgSz w:w="12240" w:h="15840" w:code="1"/>
          <w:pgMar w:top="1440" w:right="1440" w:bottom="1440" w:left="1440" w:header="720" w:footer="432" w:gutter="0"/>
          <w:cols w:space="720"/>
          <w:formProt w:val="0"/>
        </w:sectPr>
      </w:pPr>
    </w:p>
    <w:p w14:paraId="799E2786" w14:textId="77777777" w:rsidR="001040E4" w:rsidRPr="00576AF8" w:rsidRDefault="00D82419" w:rsidP="00822242">
      <w:pPr>
        <w:pStyle w:val="TDC11"/>
        <w:rPr>
          <w:b w:val="0"/>
          <w:sz w:val="24"/>
        </w:rPr>
      </w:pPr>
      <w:r w:rsidRPr="00576AF8">
        <w:lastRenderedPageBreak/>
        <w:t>Sección III. Criterios de Evaluación y Calificación</w:t>
      </w:r>
      <w:r w:rsidRPr="00576AF8">
        <w:br/>
      </w:r>
    </w:p>
    <w:p w14:paraId="435F49B3" w14:textId="77777777" w:rsidR="001040E4" w:rsidRPr="00576AF8" w:rsidRDefault="001040E4" w:rsidP="001040E4">
      <w:pPr>
        <w:pStyle w:val="Textoindependiente"/>
      </w:pPr>
      <w:r w:rsidRPr="00576AF8">
        <w:t xml:space="preserve">Esta </w:t>
      </w:r>
      <w:r w:rsidR="00A83F3E" w:rsidRPr="00576AF8">
        <w:t>S</w:t>
      </w:r>
      <w:r w:rsidRPr="00576AF8">
        <w:t xml:space="preserve">ección contiene todos los criterios que el Comprador </w:t>
      </w:r>
      <w:r w:rsidR="00F45409" w:rsidRPr="00576AF8">
        <w:t xml:space="preserve">deberá </w:t>
      </w:r>
      <w:r w:rsidRPr="00576AF8">
        <w:t>aplicar para evaluar las Ofertas y calificar a los Licitantes.</w:t>
      </w:r>
      <w:r w:rsidR="00C15E45" w:rsidRPr="00576AF8">
        <w:t xml:space="preserve"> </w:t>
      </w:r>
      <w:r w:rsidRPr="00576AF8">
        <w:t xml:space="preserve">No se emplearán otros factores, métodos o criterios. El Licitante </w:t>
      </w:r>
      <w:r w:rsidR="00F45409" w:rsidRPr="00576AF8">
        <w:t xml:space="preserve">deberá </w:t>
      </w:r>
      <w:r w:rsidRPr="00576AF8">
        <w:t xml:space="preserve">suministrar toda la información solicitada en los formularios incluidos en la </w:t>
      </w:r>
      <w:r w:rsidR="00A83F3E" w:rsidRPr="00576AF8">
        <w:t xml:space="preserve">Sección </w:t>
      </w:r>
      <w:r w:rsidRPr="00576AF8">
        <w:t xml:space="preserve">IV, </w:t>
      </w:r>
      <w:r w:rsidR="00F45409" w:rsidRPr="00576AF8">
        <w:t>“</w:t>
      </w:r>
      <w:r w:rsidR="002918CE" w:rsidRPr="00576AF8">
        <w:t xml:space="preserve">Formularios de </w:t>
      </w:r>
      <w:r w:rsidR="00BB2041" w:rsidRPr="00576AF8">
        <w:t xml:space="preserve">la </w:t>
      </w:r>
      <w:r w:rsidR="002918CE" w:rsidRPr="00576AF8">
        <w:t>Oferta</w:t>
      </w:r>
      <w:r w:rsidR="00F45409" w:rsidRPr="00576AF8">
        <w:t>”</w:t>
      </w:r>
      <w:r w:rsidRPr="00576AF8">
        <w:t>.</w:t>
      </w:r>
    </w:p>
    <w:p w14:paraId="399B21FB" w14:textId="77777777" w:rsidR="001040E4" w:rsidRPr="00576AF8" w:rsidRDefault="001040E4" w:rsidP="001040E4">
      <w:pPr>
        <w:pStyle w:val="Subttulo"/>
        <w:jc w:val="both"/>
        <w:rPr>
          <w:b w:val="0"/>
          <w:sz w:val="24"/>
        </w:rPr>
      </w:pPr>
    </w:p>
    <w:p w14:paraId="0F737EBE" w14:textId="77777777" w:rsidR="00245441" w:rsidRPr="00576AF8" w:rsidRDefault="00245441" w:rsidP="009F6B78">
      <w:pPr>
        <w:pStyle w:val="HeaderTechnicalandFinancialPartofEvaluationCriteria"/>
        <w:numPr>
          <w:ilvl w:val="0"/>
          <w:numId w:val="0"/>
        </w:numPr>
      </w:pPr>
      <w:r w:rsidRPr="00576AF8">
        <w:t>1.     Evaluación Combinada de las Ofertas</w:t>
      </w:r>
    </w:p>
    <w:p w14:paraId="5CD1E95B" w14:textId="77777777" w:rsidR="00245441" w:rsidRPr="00576AF8" w:rsidRDefault="00245441" w:rsidP="00245441">
      <w:pPr>
        <w:pStyle w:val="Textoindependiente"/>
        <w:rPr>
          <w:color w:val="000000"/>
        </w:rPr>
      </w:pPr>
    </w:p>
    <w:p w14:paraId="7BF239F2" w14:textId="41EFA614" w:rsidR="00245441" w:rsidRPr="00576AF8" w:rsidRDefault="0079382B" w:rsidP="00822242">
      <w:pPr>
        <w:pStyle w:val="Textoindependiente"/>
        <w:spacing w:after="240"/>
        <w:rPr>
          <w:color w:val="000000"/>
        </w:rPr>
      </w:pPr>
      <w:r>
        <w:rPr>
          <w:color w:val="000000"/>
        </w:rPr>
        <w:t>S</w:t>
      </w:r>
      <w:r w:rsidR="00245441" w:rsidRPr="00576AF8">
        <w:rPr>
          <w:color w:val="000000"/>
        </w:rPr>
        <w:t xml:space="preserve">olamente las </w:t>
      </w:r>
      <w:r w:rsidR="00245441" w:rsidRPr="00E7421E">
        <w:rPr>
          <w:color w:val="000000"/>
        </w:rPr>
        <w:t xml:space="preserve">Ofertas que reciban </w:t>
      </w:r>
      <w:r w:rsidR="00B50E4C" w:rsidRPr="00E7421E">
        <w:rPr>
          <w:color w:val="000000"/>
        </w:rPr>
        <w:t>7</w:t>
      </w:r>
      <w:r w:rsidR="00F1432D" w:rsidRPr="00E7421E">
        <w:rPr>
          <w:color w:val="000000"/>
        </w:rPr>
        <w:t xml:space="preserve">,5 </w:t>
      </w:r>
      <w:r w:rsidR="007811A6" w:rsidRPr="00E7421E">
        <w:rPr>
          <w:color w:val="000000"/>
        </w:rPr>
        <w:t>o más del puntaje técnico</w:t>
      </w:r>
      <w:r w:rsidR="00245441" w:rsidRPr="00E7421E">
        <w:rPr>
          <w:color w:val="000000"/>
        </w:rPr>
        <w:t xml:space="preserve"> será</w:t>
      </w:r>
      <w:r w:rsidRPr="00E7421E">
        <w:rPr>
          <w:color w:val="000000"/>
        </w:rPr>
        <w:t>n</w:t>
      </w:r>
      <w:r w:rsidR="00245441" w:rsidRPr="00E7421E">
        <w:rPr>
          <w:color w:val="000000"/>
        </w:rPr>
        <w:t xml:space="preserve"> llevad</w:t>
      </w:r>
      <w:r w:rsidRPr="00E7421E">
        <w:rPr>
          <w:color w:val="000000"/>
        </w:rPr>
        <w:t>as</w:t>
      </w:r>
      <w:r w:rsidR="00245441" w:rsidRPr="00E7421E">
        <w:rPr>
          <w:color w:val="000000"/>
        </w:rPr>
        <w:t xml:space="preserve"> a la comparación combinada técnica y </w:t>
      </w:r>
      <w:r w:rsidRPr="00E7421E">
        <w:rPr>
          <w:color w:val="000000"/>
        </w:rPr>
        <w:t xml:space="preserve">de </w:t>
      </w:r>
      <w:r w:rsidR="00245441" w:rsidRPr="00E7421E">
        <w:rPr>
          <w:color w:val="000000"/>
        </w:rPr>
        <w:t>precio.</w:t>
      </w:r>
      <w:r w:rsidR="00245441" w:rsidRPr="00576AF8">
        <w:rPr>
          <w:color w:val="000000"/>
        </w:rPr>
        <w:t xml:space="preserve"> </w:t>
      </w:r>
    </w:p>
    <w:p w14:paraId="16A5FCB7" w14:textId="77777777" w:rsidR="00245441" w:rsidRDefault="00245441" w:rsidP="00245441">
      <w:pPr>
        <w:pStyle w:val="Piedepgina"/>
      </w:pPr>
      <w:r w:rsidRPr="00576AF8">
        <w:t xml:space="preserve">El Comprador evaluará y comparará las Ofertas respecto de las cuales haya determinado que se ajustan sustancialmente al </w:t>
      </w:r>
      <w:r w:rsidR="00807C34" w:rsidRPr="00576AF8">
        <w:t>documento de licitación</w:t>
      </w:r>
      <w:r w:rsidRPr="00576AF8">
        <w:t>, de conformidad con la IAL 31.</w:t>
      </w:r>
    </w:p>
    <w:p w14:paraId="78DCBF6F" w14:textId="77777777" w:rsidR="00245441" w:rsidRPr="00576AF8" w:rsidRDefault="00245441" w:rsidP="00245441">
      <w:pPr>
        <w:pStyle w:val="Textoindependiente"/>
        <w:rPr>
          <w:color w:val="000000"/>
        </w:rPr>
      </w:pPr>
      <w:r w:rsidRPr="00576AF8">
        <w:rPr>
          <w:color w:val="000000"/>
        </w:rPr>
        <w:t>Se calculará una puntuación de propuesta evaluada (B) para cada Oferta que cumple sustancialmente utilizando la siguiente fórmula, que permite una evaluación completa del costo evaluado y de los méritos técnicos de cada propuesta:</w:t>
      </w:r>
    </w:p>
    <w:p w14:paraId="47A9060D" w14:textId="77777777" w:rsidR="00245441" w:rsidRPr="00576AF8" w:rsidRDefault="00245441" w:rsidP="00245441">
      <w:pPr>
        <w:pStyle w:val="Textoindependiente"/>
        <w:rPr>
          <w:color w:val="000000"/>
        </w:rPr>
      </w:pPr>
    </w:p>
    <w:p w14:paraId="3A59FCF6" w14:textId="77777777" w:rsidR="00245441" w:rsidRPr="00576AF8" w:rsidRDefault="002423F5" w:rsidP="00245441">
      <w:pPr>
        <w:pStyle w:val="Textoindependiente"/>
        <w:rPr>
          <w:color w:val="000000"/>
        </w:rPr>
      </w:pPr>
      <w:r w:rsidRPr="00576AF8">
        <w:rPr>
          <w:noProof/>
          <w:position w:val="-26"/>
        </w:rPr>
        <w:object w:dxaOrig="2580" w:dyaOrig="639" w14:anchorId="5B8EC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29.25pt" o:ole="" fillcolor="window">
            <v:imagedata r:id="rId24" o:title=""/>
          </v:shape>
          <o:OLEObject Type="Embed" ProgID="Equation.3" ShapeID="_x0000_i1025" DrawAspect="Content" ObjectID="_1796550416" r:id="rId25"/>
        </w:object>
      </w:r>
    </w:p>
    <w:p w14:paraId="294A33D9" w14:textId="77777777" w:rsidR="00245441" w:rsidRPr="00576AF8" w:rsidRDefault="00245441" w:rsidP="00245441">
      <w:pPr>
        <w:pStyle w:val="Textoindependiente"/>
        <w:rPr>
          <w:color w:val="000000"/>
        </w:rPr>
      </w:pPr>
      <w:r w:rsidRPr="00576AF8">
        <w:rPr>
          <w:color w:val="000000"/>
        </w:rPr>
        <w:t>donde</w:t>
      </w:r>
    </w:p>
    <w:p w14:paraId="1EB3D471" w14:textId="77777777" w:rsidR="00245441" w:rsidRPr="00576AF8" w:rsidRDefault="00245441" w:rsidP="00245441">
      <w:pPr>
        <w:pStyle w:val="Textoindependiente"/>
        <w:rPr>
          <w:color w:val="000000"/>
        </w:rPr>
      </w:pPr>
    </w:p>
    <w:p w14:paraId="73E9A6E6" w14:textId="77777777" w:rsidR="00245441" w:rsidRPr="00576AF8" w:rsidRDefault="00245441" w:rsidP="00245441">
      <w:pPr>
        <w:pStyle w:val="Textoindependiente"/>
        <w:rPr>
          <w:color w:val="000000"/>
        </w:rPr>
      </w:pPr>
      <w:r w:rsidRPr="00576AF8">
        <w:rPr>
          <w:color w:val="000000"/>
        </w:rPr>
        <w:t xml:space="preserve">C </w:t>
      </w:r>
      <w:r w:rsidR="00822242">
        <w:rPr>
          <w:rStyle w:val="Refdenotaalpie"/>
          <w:color w:val="000000"/>
        </w:rPr>
        <w:footnoteReference w:id="4"/>
      </w:r>
      <w:r w:rsidRPr="00576AF8">
        <w:rPr>
          <w:color w:val="000000"/>
        </w:rPr>
        <w:t>= Costo Evaluado de la Oferta</w:t>
      </w:r>
    </w:p>
    <w:p w14:paraId="65B4BA11" w14:textId="77777777" w:rsidR="00245441" w:rsidRPr="00576AF8" w:rsidRDefault="00245441" w:rsidP="00245441">
      <w:pPr>
        <w:pStyle w:val="Textoindependiente"/>
        <w:rPr>
          <w:color w:val="000000"/>
        </w:rPr>
      </w:pPr>
      <w:r w:rsidRPr="00576AF8">
        <w:rPr>
          <w:color w:val="000000"/>
        </w:rPr>
        <w:t xml:space="preserve">C </w:t>
      </w:r>
      <w:r w:rsidRPr="00576AF8">
        <w:rPr>
          <w:color w:val="000000"/>
          <w:vertAlign w:val="subscript"/>
        </w:rPr>
        <w:t>low</w:t>
      </w:r>
      <w:r w:rsidRPr="00576AF8">
        <w:rPr>
          <w:color w:val="000000"/>
        </w:rPr>
        <w:t xml:space="preserve"> = el más bajo de todos los costos de Oferta evaluados entre las propuestas que cumplen</w:t>
      </w:r>
    </w:p>
    <w:p w14:paraId="61530965" w14:textId="77777777" w:rsidR="00245441" w:rsidRPr="00576AF8" w:rsidRDefault="00245441" w:rsidP="00245441">
      <w:pPr>
        <w:pStyle w:val="Textoindependiente"/>
        <w:rPr>
          <w:color w:val="000000"/>
        </w:rPr>
      </w:pPr>
      <w:r w:rsidRPr="00576AF8">
        <w:rPr>
          <w:color w:val="000000"/>
        </w:rPr>
        <w:t>T = la puntuación técnica total otorgada a la Oferta</w:t>
      </w:r>
    </w:p>
    <w:p w14:paraId="499C651F" w14:textId="77777777" w:rsidR="00245441" w:rsidRPr="00576AF8" w:rsidRDefault="00245441" w:rsidP="00245441">
      <w:pPr>
        <w:pStyle w:val="Textoindependiente"/>
        <w:rPr>
          <w:color w:val="000000"/>
        </w:rPr>
      </w:pPr>
      <w:r w:rsidRPr="00576AF8">
        <w:rPr>
          <w:color w:val="000000"/>
        </w:rPr>
        <w:t xml:space="preserve">T </w:t>
      </w:r>
      <w:r w:rsidRPr="00576AF8">
        <w:rPr>
          <w:color w:val="000000"/>
          <w:vertAlign w:val="subscript"/>
        </w:rPr>
        <w:t>high</w:t>
      </w:r>
      <w:r w:rsidRPr="00576AF8">
        <w:rPr>
          <w:color w:val="000000"/>
        </w:rPr>
        <w:t xml:space="preserve"> = el puntaje técnico alcanzado por la Oferta que obtuvo el mejor puntaje entre todas las Ofertas que cumplen</w:t>
      </w:r>
    </w:p>
    <w:p w14:paraId="0FE032A7" w14:textId="77777777" w:rsidR="00245441" w:rsidRPr="00576AF8" w:rsidRDefault="00245441" w:rsidP="00245441">
      <w:pPr>
        <w:pStyle w:val="Textoindependiente"/>
        <w:rPr>
          <w:color w:val="000000"/>
        </w:rPr>
      </w:pPr>
      <w:r w:rsidRPr="00576AF8">
        <w:rPr>
          <w:color w:val="000000"/>
        </w:rPr>
        <w:t>X = peso del Costo según se especifica en DDL</w:t>
      </w:r>
      <w:r w:rsidR="00183C9D" w:rsidRPr="00576AF8">
        <w:rPr>
          <w:color w:val="000000"/>
        </w:rPr>
        <w:t xml:space="preserve"> en referencia</w:t>
      </w:r>
      <w:r w:rsidRPr="00576AF8">
        <w:rPr>
          <w:color w:val="000000"/>
        </w:rPr>
        <w:t xml:space="preserve"> </w:t>
      </w:r>
      <w:r w:rsidR="00183C9D" w:rsidRPr="00576AF8">
        <w:rPr>
          <w:color w:val="000000"/>
        </w:rPr>
        <w:t xml:space="preserve">a </w:t>
      </w:r>
      <w:r w:rsidR="00AF6DAD" w:rsidRPr="00576AF8">
        <w:rPr>
          <w:color w:val="000000"/>
        </w:rPr>
        <w:t xml:space="preserve">IAL </w:t>
      </w:r>
      <w:r w:rsidR="00183C9D" w:rsidRPr="00576AF8">
        <w:rPr>
          <w:color w:val="000000"/>
        </w:rPr>
        <w:t>43</w:t>
      </w:r>
      <w:r w:rsidRPr="00576AF8">
        <w:rPr>
          <w:color w:val="000000"/>
        </w:rPr>
        <w:t>.1</w:t>
      </w:r>
    </w:p>
    <w:p w14:paraId="2703E2B9" w14:textId="77777777" w:rsidR="00245441" w:rsidRPr="00576AF8" w:rsidRDefault="00245441" w:rsidP="00245441">
      <w:pPr>
        <w:pStyle w:val="Textoindependiente"/>
        <w:rPr>
          <w:color w:val="000000"/>
        </w:rPr>
      </w:pPr>
    </w:p>
    <w:p w14:paraId="5B1D9392" w14:textId="77777777" w:rsidR="00245441" w:rsidRPr="00576AF8" w:rsidRDefault="00245441" w:rsidP="00245441">
      <w:pPr>
        <w:pStyle w:val="Textoindependiente"/>
        <w:rPr>
          <w:color w:val="000000"/>
        </w:rPr>
      </w:pPr>
      <w:r w:rsidRPr="00576AF8">
        <w:rPr>
          <w:color w:val="000000"/>
        </w:rPr>
        <w:t xml:space="preserve">La Propuesta de Precio (Fm) evaluada como la más baja recibe el máximo puntaje financiero (Sf) de 100. </w:t>
      </w:r>
    </w:p>
    <w:p w14:paraId="18B32301" w14:textId="77777777" w:rsidR="00245441" w:rsidRPr="00576AF8" w:rsidRDefault="00245441" w:rsidP="00245441">
      <w:pPr>
        <w:pStyle w:val="Textoindependiente"/>
        <w:rPr>
          <w:color w:val="000000"/>
        </w:rPr>
      </w:pPr>
    </w:p>
    <w:p w14:paraId="2B52A479" w14:textId="77777777" w:rsidR="00245441" w:rsidRPr="00576AF8" w:rsidRDefault="00245441" w:rsidP="00245441">
      <w:pPr>
        <w:pStyle w:val="Textoindependiente"/>
        <w:rPr>
          <w:color w:val="000000"/>
        </w:rPr>
      </w:pPr>
      <w:r w:rsidRPr="00576AF8">
        <w:rPr>
          <w:color w:val="000000"/>
        </w:rPr>
        <w:t>Las ponderaciones asignadas a las propuestas técnicas (T) y de precio (P) son:</w:t>
      </w:r>
    </w:p>
    <w:p w14:paraId="1C7C77E5" w14:textId="77777777" w:rsidR="00245441" w:rsidRPr="00576AF8" w:rsidRDefault="00245441" w:rsidP="00245441">
      <w:pPr>
        <w:pStyle w:val="Textoindependiente"/>
        <w:rPr>
          <w:color w:val="000000"/>
        </w:rPr>
      </w:pPr>
    </w:p>
    <w:p w14:paraId="6E106009" w14:textId="77777777" w:rsidR="00245441" w:rsidRPr="00576AF8" w:rsidRDefault="00245441" w:rsidP="00245441">
      <w:pPr>
        <w:pStyle w:val="Textoindependiente"/>
        <w:rPr>
          <w:b/>
          <w:i/>
          <w:color w:val="000000"/>
        </w:rPr>
      </w:pPr>
      <w:r w:rsidRPr="00576AF8">
        <w:rPr>
          <w:b/>
          <w:color w:val="000000"/>
        </w:rPr>
        <w:t xml:space="preserve">T </w:t>
      </w:r>
      <w:proofErr w:type="gramStart"/>
      <w:r w:rsidRPr="00576AF8">
        <w:rPr>
          <w:b/>
          <w:color w:val="000000"/>
        </w:rPr>
        <w:t xml:space="preserve">= </w:t>
      </w:r>
      <w:r w:rsidRPr="00576AF8">
        <w:rPr>
          <w:b/>
          <w:i/>
          <w:color w:val="000000"/>
        </w:rPr>
        <w:t xml:space="preserve"> </w:t>
      </w:r>
      <w:r w:rsidR="00F748EA" w:rsidRPr="00576AF8">
        <w:rPr>
          <w:b/>
          <w:i/>
          <w:color w:val="000000"/>
        </w:rPr>
        <w:t>3</w:t>
      </w:r>
      <w:r w:rsidR="00334D66" w:rsidRPr="00576AF8">
        <w:rPr>
          <w:b/>
          <w:i/>
          <w:color w:val="000000"/>
        </w:rPr>
        <w:t>0</w:t>
      </w:r>
      <w:proofErr w:type="gramEnd"/>
      <w:r w:rsidR="00334D66" w:rsidRPr="00576AF8">
        <w:rPr>
          <w:b/>
          <w:i/>
          <w:color w:val="000000"/>
        </w:rPr>
        <w:t>%</w:t>
      </w:r>
      <w:r w:rsidRPr="00576AF8">
        <w:rPr>
          <w:b/>
          <w:i/>
          <w:color w:val="000000"/>
        </w:rPr>
        <w:t xml:space="preserve">  y</w:t>
      </w:r>
    </w:p>
    <w:p w14:paraId="05411CEE" w14:textId="77777777" w:rsidR="00245441" w:rsidRPr="00576AF8" w:rsidRDefault="00245441" w:rsidP="00245441">
      <w:pPr>
        <w:pStyle w:val="Textoindependiente"/>
        <w:rPr>
          <w:b/>
          <w:i/>
          <w:color w:val="000000"/>
        </w:rPr>
      </w:pPr>
      <w:r w:rsidRPr="00576AF8">
        <w:rPr>
          <w:b/>
          <w:color w:val="000000"/>
        </w:rPr>
        <w:t>P</w:t>
      </w:r>
      <w:r w:rsidRPr="00576AF8">
        <w:rPr>
          <w:b/>
          <w:i/>
          <w:color w:val="000000"/>
        </w:rPr>
        <w:t xml:space="preserve"> </w:t>
      </w:r>
      <w:proofErr w:type="gramStart"/>
      <w:r w:rsidRPr="00576AF8">
        <w:rPr>
          <w:b/>
          <w:i/>
          <w:color w:val="000000"/>
        </w:rPr>
        <w:t xml:space="preserve">=  </w:t>
      </w:r>
      <w:r w:rsidR="00F748EA" w:rsidRPr="00576AF8">
        <w:rPr>
          <w:b/>
          <w:i/>
          <w:color w:val="000000"/>
        </w:rPr>
        <w:t>7</w:t>
      </w:r>
      <w:r w:rsidR="00334D66" w:rsidRPr="00576AF8">
        <w:rPr>
          <w:b/>
          <w:i/>
          <w:color w:val="000000"/>
        </w:rPr>
        <w:t>0</w:t>
      </w:r>
      <w:proofErr w:type="gramEnd"/>
      <w:r w:rsidR="00334D66" w:rsidRPr="00576AF8">
        <w:rPr>
          <w:b/>
          <w:i/>
          <w:color w:val="000000"/>
        </w:rPr>
        <w:t>%</w:t>
      </w:r>
    </w:p>
    <w:p w14:paraId="2DFF7A0E" w14:textId="77777777" w:rsidR="00245441" w:rsidRPr="00576AF8" w:rsidRDefault="00245441" w:rsidP="00245441">
      <w:pPr>
        <w:pStyle w:val="Textoindependiente"/>
        <w:rPr>
          <w:color w:val="000000"/>
        </w:rPr>
      </w:pPr>
    </w:p>
    <w:p w14:paraId="3CFA2947" w14:textId="77777777" w:rsidR="00245441" w:rsidRPr="00576AF8" w:rsidRDefault="00245441" w:rsidP="00245441">
      <w:pPr>
        <w:pStyle w:val="Textoindependiente"/>
        <w:rPr>
          <w:color w:val="000000"/>
        </w:rPr>
      </w:pPr>
      <w:r w:rsidRPr="00576AF8">
        <w:rPr>
          <w:color w:val="000000"/>
        </w:rPr>
        <w:t>Las propuestas clasificadas de acuerdo con los puntajes combinados técnicos (St) y financieros (Sf) utilizando los pesos (T = el peso dado a la Propuesta Técnica; P = el peso dado a la Propuesta de Precio; T + P = 1) así:  S = St x T% + Sf x P%.</w:t>
      </w:r>
    </w:p>
    <w:p w14:paraId="640E597D" w14:textId="77777777" w:rsidR="00245441" w:rsidRPr="00576AF8" w:rsidRDefault="00245441" w:rsidP="00245441">
      <w:pPr>
        <w:rPr>
          <w:b/>
          <w:sz w:val="28"/>
        </w:rPr>
      </w:pPr>
      <w:r w:rsidRPr="00576AF8">
        <w:lastRenderedPageBreak/>
        <w:t xml:space="preserve">La Oferta con el mejor puntaje de Oferta evaluada (B) y que se ajuste sustancialmente al </w:t>
      </w:r>
      <w:r w:rsidR="00807C34" w:rsidRPr="00576AF8">
        <w:t>documento de licitación</w:t>
      </w:r>
      <w:r w:rsidRPr="00576AF8">
        <w:t xml:space="preserve">, será la Oferta Más </w:t>
      </w:r>
      <w:r w:rsidR="0077313B" w:rsidRPr="00576AF8">
        <w:t>Ventajosa</w:t>
      </w:r>
      <w:r w:rsidRPr="00576AF8">
        <w:t>, siempre que el Licitante haya sido determinado que está calificado para ejecutar el Contrato de conformidad con la IAL 33.</w:t>
      </w:r>
    </w:p>
    <w:tbl>
      <w:tblPr>
        <w:tblW w:w="9927" w:type="dxa"/>
        <w:tblInd w:w="-180" w:type="dxa"/>
        <w:tblLayout w:type="fixed"/>
        <w:tblCellMar>
          <w:left w:w="115" w:type="dxa"/>
          <w:right w:w="115" w:type="dxa"/>
        </w:tblCellMar>
        <w:tblLook w:val="0000" w:firstRow="0" w:lastRow="0" w:firstColumn="0" w:lastColumn="0" w:noHBand="0" w:noVBand="0"/>
      </w:tblPr>
      <w:tblGrid>
        <w:gridCol w:w="9927"/>
      </w:tblGrid>
      <w:tr w:rsidR="003009B0" w:rsidRPr="00576AF8" w14:paraId="345B129B" w14:textId="77777777" w:rsidTr="0040049B">
        <w:tc>
          <w:tcPr>
            <w:tcW w:w="9927" w:type="dxa"/>
          </w:tcPr>
          <w:p w14:paraId="158C024E" w14:textId="77777777" w:rsidR="00ED17BE" w:rsidRPr="00576AF8" w:rsidRDefault="00ED17BE" w:rsidP="00ED17BE">
            <w:pPr>
              <w:spacing w:before="240"/>
              <w:ind w:left="284"/>
              <w:jc w:val="left"/>
              <w:rPr>
                <w:b/>
                <w:bCs/>
                <w:sz w:val="28"/>
                <w:szCs w:val="21"/>
              </w:rPr>
            </w:pPr>
            <w:r w:rsidRPr="00576AF8">
              <w:rPr>
                <w:b/>
                <w:bCs/>
                <w:sz w:val="28"/>
                <w:szCs w:val="21"/>
              </w:rPr>
              <w:t>2.</w:t>
            </w:r>
            <w:r w:rsidRPr="00576AF8">
              <w:rPr>
                <w:b/>
                <w:bCs/>
                <w:sz w:val="28"/>
                <w:szCs w:val="21"/>
              </w:rPr>
              <w:tab/>
              <w:t xml:space="preserve">Evaluación técnica </w:t>
            </w:r>
          </w:p>
          <w:p w14:paraId="37412169" w14:textId="77777777" w:rsidR="003009B0" w:rsidRPr="00576AF8" w:rsidRDefault="006743C2" w:rsidP="0040049B">
            <w:pPr>
              <w:pStyle w:val="Piedepgina"/>
              <w:ind w:left="640" w:right="171"/>
            </w:pPr>
            <w:r w:rsidRPr="00576AF8">
              <w:t>E</w:t>
            </w:r>
            <w:r w:rsidR="003009B0" w:rsidRPr="00576AF8">
              <w:t>l Comprador ha decidido ponderar los factores técnicos importantes (es decir, la ponderación del precio, X, es menor que 1 en la evaluación) que no pueden reducirse a los costos durante la vida útil ni a criterios de aprobación/rechazo</w:t>
            </w:r>
            <w:r w:rsidR="00C92F75" w:rsidRPr="00576AF8">
              <w:t>.</w:t>
            </w:r>
            <w:r w:rsidR="003009B0" w:rsidRPr="00576AF8">
              <w:t xml:space="preserve"> </w:t>
            </w:r>
            <w:r w:rsidR="00C92F75" w:rsidRPr="00576AF8">
              <w:t>E</w:t>
            </w:r>
            <w:r w:rsidR="003009B0" w:rsidRPr="00576AF8">
              <w:t xml:space="preserve">l </w:t>
            </w:r>
            <w:r w:rsidR="009D1D8D" w:rsidRPr="00576AF8">
              <w:t>p</w:t>
            </w:r>
            <w:r w:rsidR="003009B0" w:rsidRPr="00576AF8">
              <w:t xml:space="preserve">untaje </w:t>
            </w:r>
            <w:r w:rsidR="009D1D8D" w:rsidRPr="00576AF8">
              <w:t>t</w:t>
            </w:r>
            <w:r w:rsidR="003009B0" w:rsidRPr="00576AF8">
              <w:t xml:space="preserve">écnico </w:t>
            </w:r>
            <w:r w:rsidR="009D1D8D" w:rsidRPr="00576AF8">
              <w:t>t</w:t>
            </w:r>
            <w:r w:rsidR="003009B0" w:rsidRPr="00576AF8">
              <w:t xml:space="preserve">otal atribuido a cada Oferta en la </w:t>
            </w:r>
            <w:r w:rsidR="009D1D8D" w:rsidRPr="00576AF8">
              <w:t>f</w:t>
            </w:r>
            <w:r w:rsidR="003009B0" w:rsidRPr="00576AF8">
              <w:t xml:space="preserve">órmula de Oferta </w:t>
            </w:r>
            <w:r w:rsidR="009D1D8D" w:rsidRPr="00576AF8">
              <w:t>e</w:t>
            </w:r>
            <w:r w:rsidR="003009B0" w:rsidRPr="00576AF8">
              <w:t>valuada se determinará como la suma ponderada de los puntajes que un comité de evaluación asigne a las características técnicas de la Oferta según el conjunto de criterios que se establece a continuación</w:t>
            </w:r>
            <w:r w:rsidRPr="00576AF8">
              <w:t>:</w:t>
            </w:r>
          </w:p>
          <w:p w14:paraId="58AB8007" w14:textId="77777777" w:rsidR="006743C2" w:rsidRPr="00576AF8" w:rsidRDefault="006743C2" w:rsidP="0040049B">
            <w:pPr>
              <w:pStyle w:val="Piedepgina"/>
              <w:ind w:left="640" w:right="171"/>
            </w:pPr>
          </w:p>
          <w:p w14:paraId="465B5FF0" w14:textId="77777777" w:rsidR="003009B0" w:rsidRPr="00576AF8" w:rsidRDefault="005E641B" w:rsidP="0040049B">
            <w:pPr>
              <w:numPr>
                <w:ilvl w:val="12"/>
                <w:numId w:val="0"/>
              </w:numPr>
              <w:tabs>
                <w:tab w:val="left" w:pos="1080"/>
              </w:tabs>
              <w:spacing w:after="200"/>
              <w:ind w:left="1094" w:right="171" w:hanging="547"/>
            </w:pPr>
            <w:r w:rsidRPr="00576AF8">
              <w:t>(</w:t>
            </w:r>
            <w:r w:rsidR="003009B0" w:rsidRPr="00576AF8">
              <w:t>e)</w:t>
            </w:r>
            <w:r w:rsidR="003009B0" w:rsidRPr="00576AF8">
              <w:tab/>
              <w:t xml:space="preserve">El puntaje de cada característica (i) dentro de una categoría (j) se combinará con los puntajes de las características de la misma categoría como una suma ponderada para formar el </w:t>
            </w:r>
            <w:r w:rsidR="004764CB" w:rsidRPr="00576AF8">
              <w:t>p</w:t>
            </w:r>
            <w:r w:rsidR="003009B0" w:rsidRPr="00576AF8">
              <w:t xml:space="preserve">untaje </w:t>
            </w:r>
            <w:r w:rsidR="004764CB" w:rsidRPr="00576AF8">
              <w:t>t</w:t>
            </w:r>
            <w:r w:rsidR="003009B0" w:rsidRPr="00576AF8">
              <w:t xml:space="preserve">écnico de la </w:t>
            </w:r>
            <w:r w:rsidR="004764CB" w:rsidRPr="00576AF8">
              <w:t>c</w:t>
            </w:r>
            <w:r w:rsidR="003009B0" w:rsidRPr="00576AF8">
              <w:t>ategoría u</w:t>
            </w:r>
            <w:r w:rsidR="00261211" w:rsidRPr="00576AF8">
              <w:t>tilizando la siguiente fórmula:</w:t>
            </w:r>
          </w:p>
          <w:p w14:paraId="3A7C5A65" w14:textId="77777777" w:rsidR="003009B0" w:rsidRPr="00576AF8" w:rsidRDefault="002423F5" w:rsidP="0040049B">
            <w:pPr>
              <w:numPr>
                <w:ilvl w:val="12"/>
                <w:numId w:val="0"/>
              </w:numPr>
              <w:tabs>
                <w:tab w:val="left" w:pos="1080"/>
              </w:tabs>
              <w:ind w:left="1080" w:right="171" w:hanging="540"/>
              <w:jc w:val="center"/>
            </w:pPr>
            <w:r w:rsidRPr="00576AF8">
              <w:rPr>
                <w:noProof/>
                <w:position w:val="-28"/>
                <w:sz w:val="20"/>
              </w:rPr>
              <w:object w:dxaOrig="1520" w:dyaOrig="680" w14:anchorId="0EB70441">
                <v:shape id="_x0000_i1026" type="#_x0000_t75" style="width:77.25pt;height:30pt" o:ole="" fillcolor="window">
                  <v:imagedata r:id="rId26" o:title=""/>
                </v:shape>
                <o:OLEObject Type="Embed" ProgID="Equation.3" ShapeID="_x0000_i1026" DrawAspect="Content" ObjectID="_1796550417" r:id="rId27"/>
              </w:object>
            </w:r>
          </w:p>
          <w:p w14:paraId="4FA4B739" w14:textId="77777777" w:rsidR="003009B0" w:rsidRPr="00576AF8" w:rsidRDefault="003009B0" w:rsidP="0040049B">
            <w:pPr>
              <w:numPr>
                <w:ilvl w:val="12"/>
                <w:numId w:val="0"/>
              </w:numPr>
              <w:tabs>
                <w:tab w:val="left" w:pos="1620"/>
              </w:tabs>
              <w:ind w:left="1620" w:right="171" w:hanging="540"/>
              <w:jc w:val="left"/>
            </w:pPr>
            <w:r w:rsidRPr="00576AF8">
              <w:t>donde:</w:t>
            </w:r>
          </w:p>
          <w:p w14:paraId="7D15DA13" w14:textId="77777777" w:rsidR="003009B0" w:rsidRPr="00576AF8" w:rsidRDefault="003009B0" w:rsidP="0040049B">
            <w:pPr>
              <w:numPr>
                <w:ilvl w:val="12"/>
                <w:numId w:val="0"/>
              </w:numPr>
              <w:tabs>
                <w:tab w:val="left" w:pos="1620"/>
              </w:tabs>
              <w:ind w:left="1620" w:right="171" w:hanging="540"/>
              <w:jc w:val="left"/>
            </w:pPr>
            <w:r w:rsidRPr="00576AF8">
              <w:rPr>
                <w:i/>
              </w:rPr>
              <w:t>t</w:t>
            </w:r>
            <w:r w:rsidRPr="00576AF8">
              <w:rPr>
                <w:i/>
                <w:vertAlign w:val="subscript"/>
              </w:rPr>
              <w:t>ji</w:t>
            </w:r>
            <w:r w:rsidRPr="00576AF8">
              <w:tab/>
              <w:t>= el puntaje técnico de la característica “i” de la categoría “j”</w:t>
            </w:r>
          </w:p>
          <w:p w14:paraId="4A5BF8F9" w14:textId="77777777" w:rsidR="003009B0" w:rsidRPr="00576AF8" w:rsidRDefault="003009B0" w:rsidP="0040049B">
            <w:pPr>
              <w:numPr>
                <w:ilvl w:val="12"/>
                <w:numId w:val="0"/>
              </w:numPr>
              <w:tabs>
                <w:tab w:val="left" w:pos="1620"/>
              </w:tabs>
              <w:ind w:left="1620" w:right="171" w:hanging="540"/>
              <w:jc w:val="left"/>
            </w:pPr>
            <w:r w:rsidRPr="00576AF8">
              <w:rPr>
                <w:i/>
              </w:rPr>
              <w:t>w</w:t>
            </w:r>
            <w:r w:rsidRPr="00576AF8">
              <w:rPr>
                <w:i/>
                <w:vertAlign w:val="subscript"/>
              </w:rPr>
              <w:t>ji</w:t>
            </w:r>
            <w:r w:rsidRPr="00576AF8">
              <w:tab/>
              <w:t>= la ponderación de la característica “i” en la categoría “j”</w:t>
            </w:r>
          </w:p>
          <w:p w14:paraId="456B3BDA" w14:textId="77777777" w:rsidR="003009B0" w:rsidRPr="00576AF8" w:rsidRDefault="003009B0" w:rsidP="0040049B">
            <w:pPr>
              <w:numPr>
                <w:ilvl w:val="12"/>
                <w:numId w:val="0"/>
              </w:numPr>
              <w:tabs>
                <w:tab w:val="left" w:pos="1620"/>
              </w:tabs>
              <w:ind w:left="1620" w:right="171" w:hanging="540"/>
              <w:jc w:val="left"/>
            </w:pPr>
            <w:r w:rsidRPr="00576AF8">
              <w:rPr>
                <w:i/>
              </w:rPr>
              <w:t>k</w:t>
            </w:r>
            <w:r w:rsidRPr="00576AF8">
              <w:tab/>
              <w:t>= el número de características calificadas en la categoría “j”</w:t>
            </w:r>
          </w:p>
          <w:p w14:paraId="3DE3FA67" w14:textId="77777777" w:rsidR="003009B0" w:rsidRPr="00576AF8" w:rsidRDefault="003009B0" w:rsidP="0040049B">
            <w:pPr>
              <w:numPr>
                <w:ilvl w:val="12"/>
                <w:numId w:val="0"/>
              </w:numPr>
              <w:tabs>
                <w:tab w:val="left" w:pos="1620"/>
              </w:tabs>
              <w:ind w:left="1620" w:right="171" w:hanging="540"/>
            </w:pPr>
            <w:r w:rsidRPr="00576AF8">
              <w:t xml:space="preserve">y </w:t>
            </w:r>
            <w:r w:rsidR="002423F5" w:rsidRPr="00576AF8">
              <w:rPr>
                <w:noProof/>
                <w:position w:val="-28"/>
                <w:sz w:val="20"/>
              </w:rPr>
              <w:object w:dxaOrig="1020" w:dyaOrig="680" w14:anchorId="1E2AE671">
                <v:shape id="_x0000_i1027" type="#_x0000_t75" style="width:52.5pt;height:30pt" o:ole="" fillcolor="window">
                  <v:imagedata r:id="rId28" o:title=""/>
                </v:shape>
                <o:OLEObject Type="Embed" ProgID="Equation.3" ShapeID="_x0000_i1027" DrawAspect="Content" ObjectID="_1796550418" r:id="rId29"/>
              </w:object>
            </w:r>
            <w:r w:rsidRPr="00576AF8">
              <w:t xml:space="preserve"> </w:t>
            </w:r>
          </w:p>
          <w:p w14:paraId="6E0A23F2" w14:textId="77777777" w:rsidR="003009B0" w:rsidRPr="00576AF8" w:rsidRDefault="003009B0" w:rsidP="0040049B">
            <w:pPr>
              <w:numPr>
                <w:ilvl w:val="12"/>
                <w:numId w:val="0"/>
              </w:numPr>
              <w:tabs>
                <w:tab w:val="left" w:pos="1080"/>
              </w:tabs>
              <w:spacing w:after="200"/>
              <w:ind w:left="1094" w:right="171" w:hanging="547"/>
            </w:pPr>
            <w:r w:rsidRPr="00576AF8">
              <w:t>f)</w:t>
            </w:r>
            <w:r w:rsidRPr="00576AF8">
              <w:tab/>
              <w:t xml:space="preserve">Los </w:t>
            </w:r>
            <w:r w:rsidR="004764CB" w:rsidRPr="00576AF8">
              <w:t>p</w:t>
            </w:r>
            <w:r w:rsidRPr="00576AF8">
              <w:t xml:space="preserve">untajes </w:t>
            </w:r>
            <w:r w:rsidR="004764CB" w:rsidRPr="00576AF8">
              <w:t>t</w:t>
            </w:r>
            <w:r w:rsidRPr="00576AF8">
              <w:t xml:space="preserve">écnicos de las </w:t>
            </w:r>
            <w:r w:rsidR="004764CB" w:rsidRPr="00576AF8">
              <w:t>c</w:t>
            </w:r>
            <w:r w:rsidRPr="00576AF8">
              <w:t xml:space="preserve">ategorías se combinarán en una suma ponderada para formar el </w:t>
            </w:r>
            <w:r w:rsidR="004764CB" w:rsidRPr="00576AF8">
              <w:t>p</w:t>
            </w:r>
            <w:r w:rsidRPr="00576AF8">
              <w:t>untaje de la Oferta Técnica utilizando la siguiente fórmula:</w:t>
            </w:r>
          </w:p>
          <w:p w14:paraId="1611F5A6" w14:textId="77777777" w:rsidR="003009B0" w:rsidRPr="00576AF8" w:rsidRDefault="002423F5" w:rsidP="0040049B">
            <w:pPr>
              <w:numPr>
                <w:ilvl w:val="12"/>
                <w:numId w:val="0"/>
              </w:numPr>
              <w:tabs>
                <w:tab w:val="left" w:pos="1080"/>
              </w:tabs>
              <w:ind w:left="1080" w:right="171" w:hanging="540"/>
              <w:jc w:val="center"/>
            </w:pPr>
            <w:r w:rsidRPr="00576AF8">
              <w:rPr>
                <w:noProof/>
                <w:position w:val="-30"/>
                <w:sz w:val="20"/>
              </w:rPr>
              <w:object w:dxaOrig="1460" w:dyaOrig="700" w14:anchorId="6ED732B2">
                <v:shape id="_x0000_i1028" type="#_x0000_t75" style="width:73.5pt;height:36.75pt" o:ole="" fillcolor="window">
                  <v:imagedata r:id="rId30" o:title=""/>
                </v:shape>
                <o:OLEObject Type="Embed" ProgID="Equation.3" ShapeID="_x0000_i1028" DrawAspect="Content" ObjectID="_1796550419" r:id="rId31"/>
              </w:object>
            </w:r>
          </w:p>
          <w:p w14:paraId="4A09A929" w14:textId="77777777" w:rsidR="003009B0" w:rsidRPr="00576AF8" w:rsidRDefault="003009B0" w:rsidP="0040049B">
            <w:pPr>
              <w:numPr>
                <w:ilvl w:val="12"/>
                <w:numId w:val="0"/>
              </w:numPr>
              <w:tabs>
                <w:tab w:val="left" w:pos="1620"/>
              </w:tabs>
              <w:ind w:left="1620" w:right="171" w:hanging="540"/>
              <w:jc w:val="left"/>
            </w:pPr>
            <w:r w:rsidRPr="00576AF8">
              <w:t>donde:</w:t>
            </w:r>
          </w:p>
          <w:p w14:paraId="6FAB6B26" w14:textId="77777777" w:rsidR="003009B0" w:rsidRPr="00576AF8" w:rsidRDefault="003009B0" w:rsidP="0040049B">
            <w:pPr>
              <w:numPr>
                <w:ilvl w:val="12"/>
                <w:numId w:val="0"/>
              </w:numPr>
              <w:tabs>
                <w:tab w:val="left" w:pos="1620"/>
              </w:tabs>
              <w:ind w:left="1620" w:right="171" w:hanging="540"/>
              <w:jc w:val="left"/>
            </w:pPr>
            <w:r w:rsidRPr="00576AF8">
              <w:rPr>
                <w:i/>
              </w:rPr>
              <w:t>S</w:t>
            </w:r>
            <w:r w:rsidRPr="00576AF8">
              <w:rPr>
                <w:i/>
                <w:vertAlign w:val="subscript"/>
              </w:rPr>
              <w:t>j</w:t>
            </w:r>
            <w:r w:rsidRPr="00576AF8">
              <w:tab/>
              <w:t xml:space="preserve">= el </w:t>
            </w:r>
            <w:r w:rsidR="004764CB" w:rsidRPr="00576AF8">
              <w:t>p</w:t>
            </w:r>
            <w:r w:rsidRPr="00576AF8">
              <w:t xml:space="preserve">untaje </w:t>
            </w:r>
            <w:r w:rsidR="004764CB" w:rsidRPr="00576AF8">
              <w:t>t</w:t>
            </w:r>
            <w:r w:rsidRPr="00576AF8">
              <w:t xml:space="preserve">écnico de la </w:t>
            </w:r>
            <w:r w:rsidR="004764CB" w:rsidRPr="00576AF8">
              <w:t>c</w:t>
            </w:r>
            <w:r w:rsidRPr="00576AF8">
              <w:t>ategoría “j”</w:t>
            </w:r>
          </w:p>
          <w:p w14:paraId="1E3A882B" w14:textId="77777777" w:rsidR="003009B0" w:rsidRPr="00576AF8" w:rsidRDefault="003009B0" w:rsidP="0040049B">
            <w:pPr>
              <w:numPr>
                <w:ilvl w:val="12"/>
                <w:numId w:val="0"/>
              </w:numPr>
              <w:tabs>
                <w:tab w:val="left" w:pos="1620"/>
              </w:tabs>
              <w:ind w:left="1620" w:right="171" w:hanging="540"/>
              <w:jc w:val="left"/>
            </w:pPr>
            <w:r w:rsidRPr="00576AF8">
              <w:rPr>
                <w:i/>
              </w:rPr>
              <w:t>W</w:t>
            </w:r>
            <w:r w:rsidRPr="00576AF8">
              <w:rPr>
                <w:i/>
                <w:vertAlign w:val="subscript"/>
              </w:rPr>
              <w:t>j</w:t>
            </w:r>
            <w:r w:rsidRPr="00576AF8">
              <w:tab/>
              <w:t>= la ponderación de la categoría “j” especificada en los DDL</w:t>
            </w:r>
          </w:p>
          <w:p w14:paraId="46869ABC" w14:textId="77777777" w:rsidR="003009B0" w:rsidRPr="00576AF8" w:rsidRDefault="003009B0" w:rsidP="0040049B">
            <w:pPr>
              <w:numPr>
                <w:ilvl w:val="12"/>
                <w:numId w:val="0"/>
              </w:numPr>
              <w:tabs>
                <w:tab w:val="left" w:pos="1620"/>
              </w:tabs>
              <w:ind w:left="1620" w:right="171" w:hanging="540"/>
              <w:jc w:val="left"/>
            </w:pPr>
            <w:r w:rsidRPr="00576AF8">
              <w:rPr>
                <w:i/>
              </w:rPr>
              <w:t>n</w:t>
            </w:r>
            <w:r w:rsidRPr="00576AF8">
              <w:tab/>
              <w:t>= el número de categorías</w:t>
            </w:r>
          </w:p>
          <w:p w14:paraId="34EAF238" w14:textId="77777777" w:rsidR="003009B0" w:rsidRPr="00576AF8" w:rsidRDefault="003009B0" w:rsidP="00913E07">
            <w:pPr>
              <w:numPr>
                <w:ilvl w:val="12"/>
                <w:numId w:val="0"/>
              </w:numPr>
              <w:tabs>
                <w:tab w:val="left" w:pos="1080"/>
              </w:tabs>
              <w:spacing w:after="200"/>
              <w:ind w:left="1080" w:right="171" w:hanging="547"/>
              <w:jc w:val="left"/>
            </w:pPr>
            <w:r w:rsidRPr="00576AF8">
              <w:tab/>
              <w:t xml:space="preserve">y </w:t>
            </w:r>
            <w:r w:rsidR="002423F5" w:rsidRPr="00576AF8">
              <w:rPr>
                <w:noProof/>
                <w:position w:val="-30"/>
                <w:sz w:val="20"/>
              </w:rPr>
              <w:object w:dxaOrig="960" w:dyaOrig="700" w14:anchorId="50C0D8F7">
                <v:shape id="_x0000_i1029" type="#_x0000_t75" style="width:48.75pt;height:36.75pt" o:ole="" fillcolor="window">
                  <v:imagedata r:id="rId32" o:title=""/>
                </v:shape>
                <o:OLEObject Type="Embed" ProgID="Equation.3" ShapeID="_x0000_i1029" DrawAspect="Content" ObjectID="_1796550420" r:id="rId33"/>
              </w:object>
            </w:r>
            <w:r w:rsidRPr="00576AF8">
              <w:t xml:space="preserve"> </w:t>
            </w:r>
          </w:p>
        </w:tc>
      </w:tr>
    </w:tbl>
    <w:p w14:paraId="24E589FE" w14:textId="77777777" w:rsidR="00547F8D" w:rsidRPr="00576AF8" w:rsidRDefault="00547F8D" w:rsidP="001040E4">
      <w:pPr>
        <w:jc w:val="left"/>
        <w:rPr>
          <w:b/>
          <w:iCs/>
          <w:sz w:val="28"/>
        </w:rPr>
        <w:sectPr w:rsidR="00547F8D" w:rsidRPr="00576AF8" w:rsidSect="000968D2">
          <w:headerReference w:type="even" r:id="rId34"/>
          <w:headerReference w:type="default" r:id="rId35"/>
          <w:type w:val="oddPage"/>
          <w:pgSz w:w="12240" w:h="15840" w:code="1"/>
          <w:pgMar w:top="1440" w:right="1440" w:bottom="1440" w:left="1440" w:header="720" w:footer="720" w:gutter="0"/>
          <w:cols w:space="720"/>
          <w:titlePg/>
        </w:sectPr>
      </w:pPr>
    </w:p>
    <w:tbl>
      <w:tblPr>
        <w:tblW w:w="4673" w:type="pct"/>
        <w:tblCellMar>
          <w:left w:w="70" w:type="dxa"/>
          <w:right w:w="70" w:type="dxa"/>
        </w:tblCellMar>
        <w:tblLook w:val="04A0" w:firstRow="1" w:lastRow="0" w:firstColumn="1" w:lastColumn="0" w:noHBand="0" w:noVBand="1"/>
      </w:tblPr>
      <w:tblGrid>
        <w:gridCol w:w="375"/>
        <w:gridCol w:w="1436"/>
        <w:gridCol w:w="854"/>
        <w:gridCol w:w="1457"/>
        <w:gridCol w:w="1046"/>
        <w:gridCol w:w="1070"/>
        <w:gridCol w:w="1046"/>
        <w:gridCol w:w="765"/>
        <w:gridCol w:w="1040"/>
        <w:gridCol w:w="1318"/>
        <w:gridCol w:w="1241"/>
        <w:gridCol w:w="1302"/>
      </w:tblGrid>
      <w:tr w:rsidR="00B44C4E" w:rsidRPr="00494669" w14:paraId="38522137" w14:textId="77777777" w:rsidTr="0027420C">
        <w:trPr>
          <w:trHeight w:val="288"/>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BAC45"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lastRenderedPageBreak/>
              <w:t>No.</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C821F"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CARACTERÍSTICAS</w:t>
            </w:r>
          </w:p>
        </w:tc>
        <w:tc>
          <w:tcPr>
            <w:tcW w:w="2107"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8BBCD"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PUNTAJE DE CARACTERÍSTICAS DESEABLES</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296777" w14:textId="77777777" w:rsidR="0027420C" w:rsidRPr="00494669" w:rsidRDefault="0027420C" w:rsidP="009D79BF">
            <w:pPr>
              <w:suppressAutoHyphens w:val="0"/>
              <w:spacing w:after="0"/>
              <w:jc w:val="left"/>
              <w:rPr>
                <w:b/>
                <w:bCs/>
                <w:color w:val="000000"/>
                <w:sz w:val="18"/>
                <w:szCs w:val="18"/>
                <w:lang w:val="es-EC" w:eastAsia="es-EC" w:bidi="ar-SA"/>
              </w:rPr>
            </w:pPr>
            <w:r w:rsidRPr="00494669">
              <w:rPr>
                <w:b/>
                <w:bCs/>
                <w:color w:val="000000"/>
                <w:sz w:val="18"/>
                <w:szCs w:val="18"/>
                <w:lang w:val="es-EC" w:eastAsia="es-EC" w:bidi="ar-SA"/>
              </w:rPr>
              <w:t>PUNTOS</w:t>
            </w:r>
            <w:r w:rsidRPr="00494669">
              <w:rPr>
                <w:b/>
                <w:bCs/>
                <w:color w:val="000000"/>
                <w:sz w:val="18"/>
                <w:szCs w:val="18"/>
                <w:lang w:val="es-EC" w:eastAsia="es-EC" w:bidi="ar-SA"/>
              </w:rPr>
              <w:br/>
              <w:t>(sumatoria =37 a 148)</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72F85A"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PONDERACIÓN (sumatoria =1)</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E7068" w14:textId="355FBAE7" w:rsidR="00155F38" w:rsidRPr="00B44C4E" w:rsidRDefault="0027420C" w:rsidP="009D79BF">
            <w:pPr>
              <w:suppressAutoHyphens w:val="0"/>
              <w:spacing w:after="0"/>
              <w:jc w:val="left"/>
              <w:rPr>
                <w:b/>
                <w:bCs/>
                <w:color w:val="000000"/>
                <w:sz w:val="18"/>
                <w:szCs w:val="18"/>
                <w:highlight w:val="yellow"/>
                <w:lang w:val="es-EC" w:eastAsia="es-EC" w:bidi="ar-SA"/>
              </w:rPr>
            </w:pPr>
            <w:r w:rsidRPr="00B44C4E">
              <w:rPr>
                <w:b/>
                <w:bCs/>
                <w:color w:val="000000"/>
                <w:sz w:val="18"/>
                <w:szCs w:val="18"/>
                <w:lang w:val="es-EC" w:eastAsia="es-EC" w:bidi="ar-SA"/>
              </w:rPr>
              <w:t>PUNTAJE PONDERADO</w:t>
            </w:r>
            <w:r w:rsidRPr="00B44C4E">
              <w:rPr>
                <w:b/>
                <w:bCs/>
                <w:color w:val="000000"/>
                <w:sz w:val="18"/>
                <w:szCs w:val="18"/>
                <w:lang w:val="es-EC" w:eastAsia="es-EC" w:bidi="ar-SA"/>
              </w:rPr>
              <w:br/>
              <w:t>(sumatoria =7,5 a 30)</w:t>
            </w:r>
          </w:p>
        </w:tc>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B2C36"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REFERENCIA DE CUMPLIMIENTO</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BD2C8"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OBSERVACIONES</w:t>
            </w:r>
          </w:p>
        </w:tc>
      </w:tr>
      <w:tr w:rsidR="00B44C4E" w:rsidRPr="00494669" w14:paraId="253A48D8" w14:textId="77777777" w:rsidTr="0027420C">
        <w:trPr>
          <w:trHeight w:val="612"/>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41D11DA9" w14:textId="77777777" w:rsidR="0027420C" w:rsidRPr="00494669" w:rsidRDefault="0027420C" w:rsidP="009D79BF">
            <w:pPr>
              <w:suppressAutoHyphens w:val="0"/>
              <w:spacing w:after="0"/>
              <w:jc w:val="left"/>
              <w:rPr>
                <w:b/>
                <w:bCs/>
                <w:color w:val="000000"/>
                <w:sz w:val="18"/>
                <w:szCs w:val="18"/>
                <w:lang w:val="es-EC" w:eastAsia="es-EC" w:bidi="ar-SA"/>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14:paraId="0E6BBEB4" w14:textId="77777777" w:rsidR="0027420C" w:rsidRPr="00494669" w:rsidRDefault="0027420C" w:rsidP="009D79BF">
            <w:pPr>
              <w:suppressAutoHyphens w:val="0"/>
              <w:spacing w:after="0"/>
              <w:jc w:val="left"/>
              <w:rPr>
                <w:b/>
                <w:bCs/>
                <w:color w:val="000000"/>
                <w:sz w:val="18"/>
                <w:szCs w:val="18"/>
                <w:lang w:val="es-EC" w:eastAsia="es-EC" w:bidi="ar-SA"/>
              </w:rPr>
            </w:pPr>
          </w:p>
        </w:tc>
        <w:tc>
          <w:tcPr>
            <w:tcW w:w="2107" w:type="pct"/>
            <w:gridSpan w:val="5"/>
            <w:vMerge/>
            <w:tcBorders>
              <w:top w:val="single" w:sz="4" w:space="0" w:color="auto"/>
              <w:left w:val="single" w:sz="4" w:space="0" w:color="auto"/>
              <w:bottom w:val="single" w:sz="4" w:space="0" w:color="auto"/>
              <w:right w:val="single" w:sz="4" w:space="0" w:color="auto"/>
            </w:tcBorders>
            <w:vAlign w:val="center"/>
            <w:hideMark/>
          </w:tcPr>
          <w:p w14:paraId="567FBEDB" w14:textId="77777777" w:rsidR="0027420C" w:rsidRPr="00494669" w:rsidRDefault="0027420C" w:rsidP="009D79BF">
            <w:pPr>
              <w:suppressAutoHyphens w:val="0"/>
              <w:spacing w:after="0"/>
              <w:jc w:val="left"/>
              <w:rPr>
                <w:b/>
                <w:bCs/>
                <w:color w:val="000000"/>
                <w:sz w:val="18"/>
                <w:szCs w:val="18"/>
                <w:lang w:val="es-EC" w:eastAsia="es-EC" w:bidi="ar-SA"/>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7DC9ABA0" w14:textId="77777777" w:rsidR="0027420C" w:rsidRPr="00494669" w:rsidRDefault="0027420C" w:rsidP="009D79BF">
            <w:pPr>
              <w:suppressAutoHyphens w:val="0"/>
              <w:spacing w:after="0"/>
              <w:jc w:val="left"/>
              <w:rPr>
                <w:b/>
                <w:bCs/>
                <w:color w:val="000000"/>
                <w:sz w:val="18"/>
                <w:szCs w:val="18"/>
                <w:lang w:val="es-EC" w:eastAsia="es-EC" w:bidi="ar-SA"/>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3CCA11AF" w14:textId="77777777" w:rsidR="0027420C" w:rsidRPr="00494669" w:rsidRDefault="0027420C" w:rsidP="009D79BF">
            <w:pPr>
              <w:suppressAutoHyphens w:val="0"/>
              <w:spacing w:after="0"/>
              <w:jc w:val="left"/>
              <w:rPr>
                <w:b/>
                <w:bCs/>
                <w:color w:val="000000"/>
                <w:sz w:val="16"/>
                <w:szCs w:val="16"/>
                <w:lang w:val="es-EC" w:eastAsia="es-EC" w:bidi="ar-SA"/>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14:paraId="2F154A74" w14:textId="77777777" w:rsidR="0027420C" w:rsidRPr="00494669" w:rsidRDefault="0027420C" w:rsidP="009D79BF">
            <w:pPr>
              <w:suppressAutoHyphens w:val="0"/>
              <w:spacing w:after="0"/>
              <w:jc w:val="left"/>
              <w:rPr>
                <w:b/>
                <w:bCs/>
                <w:color w:val="000000"/>
                <w:sz w:val="18"/>
                <w:szCs w:val="18"/>
                <w:lang w:val="es-EC" w:eastAsia="es-EC" w:bidi="ar-SA"/>
              </w:rPr>
            </w:pPr>
          </w:p>
        </w:tc>
        <w:tc>
          <w:tcPr>
            <w:tcW w:w="477" w:type="pct"/>
            <w:vMerge/>
            <w:tcBorders>
              <w:top w:val="single" w:sz="4" w:space="0" w:color="auto"/>
              <w:left w:val="single" w:sz="4" w:space="0" w:color="auto"/>
              <w:bottom w:val="single" w:sz="4" w:space="0" w:color="auto"/>
              <w:right w:val="single" w:sz="4" w:space="0" w:color="auto"/>
            </w:tcBorders>
            <w:vAlign w:val="center"/>
            <w:hideMark/>
          </w:tcPr>
          <w:p w14:paraId="5ED622D9" w14:textId="77777777" w:rsidR="0027420C" w:rsidRPr="00494669" w:rsidRDefault="0027420C" w:rsidP="009D79BF">
            <w:pPr>
              <w:suppressAutoHyphens w:val="0"/>
              <w:spacing w:after="0"/>
              <w:jc w:val="left"/>
              <w:rPr>
                <w:b/>
                <w:bCs/>
                <w:color w:val="000000"/>
                <w:sz w:val="18"/>
                <w:szCs w:val="18"/>
                <w:lang w:val="es-EC" w:eastAsia="es-EC" w:bidi="ar-SA"/>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5803CF73" w14:textId="77777777" w:rsidR="0027420C" w:rsidRPr="00494669" w:rsidRDefault="0027420C" w:rsidP="009D79BF">
            <w:pPr>
              <w:suppressAutoHyphens w:val="0"/>
              <w:spacing w:after="0"/>
              <w:jc w:val="left"/>
              <w:rPr>
                <w:b/>
                <w:bCs/>
                <w:color w:val="000000"/>
                <w:sz w:val="18"/>
                <w:szCs w:val="18"/>
                <w:lang w:val="es-EC" w:eastAsia="es-EC" w:bidi="ar-SA"/>
              </w:rPr>
            </w:pPr>
          </w:p>
        </w:tc>
      </w:tr>
      <w:tr w:rsidR="00E7421E" w:rsidRPr="00494669" w14:paraId="0B75944B" w14:textId="77777777" w:rsidTr="00B44C4E">
        <w:trPr>
          <w:trHeight w:val="684"/>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480946AF" w14:textId="77777777" w:rsidR="0027420C" w:rsidRPr="00494669" w:rsidRDefault="0027420C" w:rsidP="009D79BF">
            <w:pPr>
              <w:suppressAutoHyphens w:val="0"/>
              <w:spacing w:after="0"/>
              <w:jc w:val="left"/>
              <w:rPr>
                <w:b/>
                <w:bCs/>
                <w:color w:val="000000"/>
                <w:sz w:val="18"/>
                <w:szCs w:val="18"/>
                <w:lang w:val="es-EC" w:eastAsia="es-EC" w:bidi="ar-SA"/>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14:paraId="26E9749A" w14:textId="77777777" w:rsidR="0027420C" w:rsidRPr="00494669" w:rsidRDefault="0027420C" w:rsidP="009D79BF">
            <w:pPr>
              <w:suppressAutoHyphens w:val="0"/>
              <w:spacing w:after="0"/>
              <w:jc w:val="left"/>
              <w:rPr>
                <w:b/>
                <w:bCs/>
                <w:color w:val="000000"/>
                <w:sz w:val="18"/>
                <w:szCs w:val="18"/>
                <w:lang w:val="es-EC" w:eastAsia="es-EC" w:bidi="ar-SA"/>
              </w:rPr>
            </w:pPr>
          </w:p>
        </w:tc>
        <w:tc>
          <w:tcPr>
            <w:tcW w:w="330" w:type="pct"/>
            <w:tcBorders>
              <w:top w:val="nil"/>
              <w:left w:val="nil"/>
              <w:bottom w:val="single" w:sz="4" w:space="0" w:color="auto"/>
              <w:right w:val="single" w:sz="4" w:space="0" w:color="auto"/>
            </w:tcBorders>
            <w:shd w:val="clear" w:color="auto" w:fill="auto"/>
            <w:vAlign w:val="center"/>
            <w:hideMark/>
          </w:tcPr>
          <w:p w14:paraId="652B074B"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NO está presente</w:t>
            </w:r>
          </w:p>
        </w:tc>
        <w:tc>
          <w:tcPr>
            <w:tcW w:w="559" w:type="pct"/>
            <w:tcBorders>
              <w:top w:val="nil"/>
              <w:left w:val="nil"/>
              <w:bottom w:val="single" w:sz="4" w:space="0" w:color="auto"/>
              <w:right w:val="single" w:sz="4" w:space="0" w:color="auto"/>
            </w:tcBorders>
            <w:shd w:val="clear" w:color="auto" w:fill="auto"/>
            <w:vAlign w:val="center"/>
            <w:hideMark/>
          </w:tcPr>
          <w:p w14:paraId="3EC3AFCC"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Cumple los requisitos</w:t>
            </w:r>
          </w:p>
        </w:tc>
        <w:tc>
          <w:tcPr>
            <w:tcW w:w="403" w:type="pct"/>
            <w:tcBorders>
              <w:top w:val="nil"/>
              <w:left w:val="nil"/>
              <w:bottom w:val="single" w:sz="4" w:space="0" w:color="auto"/>
              <w:right w:val="single" w:sz="4" w:space="0" w:color="auto"/>
            </w:tcBorders>
            <w:shd w:val="clear" w:color="auto" w:fill="auto"/>
            <w:vAlign w:val="center"/>
            <w:hideMark/>
          </w:tcPr>
          <w:p w14:paraId="743BFFFF"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Excede marginalmente los requisitos</w:t>
            </w:r>
          </w:p>
        </w:tc>
        <w:tc>
          <w:tcPr>
            <w:tcW w:w="412" w:type="pct"/>
            <w:tcBorders>
              <w:top w:val="nil"/>
              <w:left w:val="nil"/>
              <w:bottom w:val="single" w:sz="4" w:space="0" w:color="auto"/>
              <w:right w:val="single" w:sz="4" w:space="0" w:color="auto"/>
            </w:tcBorders>
            <w:shd w:val="clear" w:color="auto" w:fill="auto"/>
            <w:vAlign w:val="center"/>
            <w:hideMark/>
          </w:tcPr>
          <w:p w14:paraId="3CD8C024"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Excede moderadamente los requisitos</w:t>
            </w:r>
          </w:p>
        </w:tc>
        <w:tc>
          <w:tcPr>
            <w:tcW w:w="403" w:type="pct"/>
            <w:tcBorders>
              <w:top w:val="nil"/>
              <w:left w:val="nil"/>
              <w:bottom w:val="single" w:sz="4" w:space="0" w:color="auto"/>
              <w:right w:val="single" w:sz="4" w:space="0" w:color="auto"/>
            </w:tcBorders>
            <w:shd w:val="clear" w:color="auto" w:fill="auto"/>
            <w:vAlign w:val="center"/>
            <w:hideMark/>
          </w:tcPr>
          <w:p w14:paraId="624FEB22"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Excede en gran medida los requisitos</w:t>
            </w:r>
          </w:p>
        </w:tc>
        <w:tc>
          <w:tcPr>
            <w:tcW w:w="430" w:type="pct"/>
            <w:tcBorders>
              <w:top w:val="nil"/>
              <w:left w:val="nil"/>
              <w:bottom w:val="single" w:sz="4" w:space="0" w:color="auto"/>
              <w:right w:val="single" w:sz="4" w:space="0" w:color="auto"/>
            </w:tcBorders>
            <w:shd w:val="clear" w:color="auto" w:fill="auto"/>
            <w:vAlign w:val="center"/>
          </w:tcPr>
          <w:p w14:paraId="2EFC7130" w14:textId="70458B5E" w:rsidR="0027420C" w:rsidRPr="00494669" w:rsidRDefault="0027420C" w:rsidP="009D79BF">
            <w:pPr>
              <w:suppressAutoHyphens w:val="0"/>
              <w:spacing w:after="0"/>
              <w:jc w:val="left"/>
              <w:rPr>
                <w:b/>
                <w:bCs/>
                <w:color w:val="000000"/>
                <w:sz w:val="18"/>
                <w:szCs w:val="18"/>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258EFF41" w14:textId="7CB614B6" w:rsidR="0027420C" w:rsidRPr="00494669" w:rsidRDefault="0027420C" w:rsidP="009D79BF">
            <w:pPr>
              <w:suppressAutoHyphens w:val="0"/>
              <w:spacing w:after="0"/>
              <w:jc w:val="left"/>
              <w:rPr>
                <w:b/>
                <w:bCs/>
                <w:color w:val="000000"/>
                <w:sz w:val="16"/>
                <w:szCs w:val="16"/>
                <w:lang w:val="es-EC" w:eastAsia="es-EC" w:bidi="ar-SA"/>
              </w:rPr>
            </w:pPr>
          </w:p>
        </w:tc>
        <w:tc>
          <w:tcPr>
            <w:tcW w:w="387" w:type="pct"/>
            <w:tcBorders>
              <w:top w:val="nil"/>
              <w:left w:val="nil"/>
              <w:bottom w:val="single" w:sz="4" w:space="0" w:color="auto"/>
              <w:right w:val="single" w:sz="4" w:space="0" w:color="auto"/>
            </w:tcBorders>
            <w:shd w:val="clear" w:color="auto" w:fill="auto"/>
            <w:vAlign w:val="center"/>
            <w:hideMark/>
          </w:tcPr>
          <w:p w14:paraId="79E318A8" w14:textId="420A24DA" w:rsidR="0027420C" w:rsidRPr="00494669" w:rsidRDefault="00B44C4E" w:rsidP="009D79BF">
            <w:pPr>
              <w:suppressAutoHyphens w:val="0"/>
              <w:spacing w:after="0"/>
              <w:jc w:val="left"/>
              <w:rPr>
                <w:b/>
                <w:bCs/>
                <w:color w:val="000000"/>
                <w:sz w:val="18"/>
                <w:szCs w:val="18"/>
                <w:lang w:val="es-EC" w:eastAsia="es-EC" w:bidi="ar-SA"/>
              </w:rPr>
            </w:pPr>
            <w:r>
              <w:rPr>
                <w:b/>
                <w:bCs/>
                <w:color w:val="000000"/>
                <w:sz w:val="18"/>
                <w:szCs w:val="18"/>
                <w:lang w:val="es-EC" w:eastAsia="es-EC" w:bidi="ar-SA"/>
              </w:rPr>
              <w:t xml:space="preserve">PUNTAJE PONDERADO (de cada característica </w:t>
            </w:r>
            <w:proofErr w:type="gramStart"/>
            <w:r>
              <w:rPr>
                <w:b/>
                <w:bCs/>
                <w:color w:val="000000"/>
                <w:sz w:val="18"/>
                <w:szCs w:val="18"/>
                <w:lang w:val="es-EC" w:eastAsia="es-EC" w:bidi="ar-SA"/>
              </w:rPr>
              <w:t>evaluada)=</w:t>
            </w:r>
            <w:proofErr w:type="gramEnd"/>
            <w:r>
              <w:rPr>
                <w:b/>
                <w:bCs/>
                <w:color w:val="000000"/>
                <w:sz w:val="18"/>
                <w:szCs w:val="18"/>
                <w:lang w:val="es-EC" w:eastAsia="es-EC" w:bidi="ar-SA"/>
              </w:rPr>
              <w:t>PUNTOS X PONDERACIÓN X 30 / 4</w:t>
            </w:r>
          </w:p>
        </w:tc>
        <w:tc>
          <w:tcPr>
            <w:tcW w:w="477" w:type="pct"/>
            <w:tcBorders>
              <w:top w:val="nil"/>
              <w:left w:val="nil"/>
              <w:bottom w:val="single" w:sz="4" w:space="0" w:color="auto"/>
              <w:right w:val="single" w:sz="4" w:space="0" w:color="auto"/>
            </w:tcBorders>
            <w:shd w:val="clear" w:color="auto" w:fill="auto"/>
            <w:vAlign w:val="center"/>
            <w:hideMark/>
          </w:tcPr>
          <w:p w14:paraId="1835E024" w14:textId="77777777" w:rsidR="0027420C" w:rsidRPr="00494669" w:rsidRDefault="0027420C" w:rsidP="009D79BF">
            <w:pPr>
              <w:suppressAutoHyphens w:val="0"/>
              <w:spacing w:after="0"/>
              <w:jc w:val="left"/>
              <w:rPr>
                <w:b/>
                <w:bCs/>
                <w:color w:val="000000"/>
                <w:sz w:val="18"/>
                <w:szCs w:val="18"/>
                <w:lang w:val="es-EC" w:eastAsia="es-EC" w:bidi="ar-SA"/>
              </w:rPr>
            </w:pPr>
            <w:r w:rsidRPr="00494669">
              <w:rPr>
                <w:b/>
                <w:bCs/>
                <w:color w:val="000000"/>
                <w:sz w:val="18"/>
                <w:szCs w:val="18"/>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hideMark/>
          </w:tcPr>
          <w:p w14:paraId="65E48956" w14:textId="77777777" w:rsidR="0027420C" w:rsidRPr="00494669" w:rsidRDefault="0027420C" w:rsidP="009D79BF">
            <w:pPr>
              <w:suppressAutoHyphens w:val="0"/>
              <w:spacing w:after="0"/>
              <w:jc w:val="left"/>
              <w:rPr>
                <w:b/>
                <w:bCs/>
                <w:color w:val="000000"/>
                <w:sz w:val="18"/>
                <w:szCs w:val="18"/>
                <w:lang w:val="es-EC" w:eastAsia="es-EC" w:bidi="ar-SA"/>
              </w:rPr>
            </w:pPr>
            <w:r w:rsidRPr="00494669">
              <w:rPr>
                <w:b/>
                <w:bCs/>
                <w:color w:val="000000"/>
                <w:sz w:val="18"/>
                <w:szCs w:val="18"/>
                <w:lang w:val="es-EC" w:eastAsia="es-EC" w:bidi="ar-SA"/>
              </w:rPr>
              <w:t> </w:t>
            </w:r>
          </w:p>
        </w:tc>
      </w:tr>
      <w:tr w:rsidR="00E7421E" w:rsidRPr="00494669" w14:paraId="55559ABB" w14:textId="77777777" w:rsidTr="0027420C">
        <w:trPr>
          <w:trHeight w:val="276"/>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38C6B1E0" w14:textId="77777777" w:rsidR="0027420C" w:rsidRPr="00494669" w:rsidRDefault="0027420C" w:rsidP="009D79BF">
            <w:pPr>
              <w:suppressAutoHyphens w:val="0"/>
              <w:spacing w:after="0"/>
              <w:jc w:val="left"/>
              <w:rPr>
                <w:b/>
                <w:bCs/>
                <w:color w:val="000000"/>
                <w:sz w:val="18"/>
                <w:szCs w:val="18"/>
                <w:lang w:val="es-EC" w:eastAsia="es-EC" w:bidi="ar-SA"/>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14:paraId="39A2B3CB" w14:textId="77777777" w:rsidR="0027420C" w:rsidRPr="00494669" w:rsidRDefault="0027420C" w:rsidP="009D79BF">
            <w:pPr>
              <w:suppressAutoHyphens w:val="0"/>
              <w:spacing w:after="0"/>
              <w:jc w:val="left"/>
              <w:rPr>
                <w:b/>
                <w:bCs/>
                <w:color w:val="000000"/>
                <w:sz w:val="18"/>
                <w:szCs w:val="18"/>
                <w:lang w:val="es-EC" w:eastAsia="es-EC" w:bidi="ar-SA"/>
              </w:rPr>
            </w:pPr>
          </w:p>
        </w:tc>
        <w:tc>
          <w:tcPr>
            <w:tcW w:w="330" w:type="pct"/>
            <w:tcBorders>
              <w:top w:val="nil"/>
              <w:left w:val="nil"/>
              <w:bottom w:val="single" w:sz="4" w:space="0" w:color="auto"/>
              <w:right w:val="single" w:sz="4" w:space="0" w:color="auto"/>
            </w:tcBorders>
            <w:shd w:val="clear" w:color="auto" w:fill="auto"/>
            <w:vAlign w:val="center"/>
            <w:hideMark/>
          </w:tcPr>
          <w:p w14:paraId="31D84F49"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0</w:t>
            </w:r>
          </w:p>
        </w:tc>
        <w:tc>
          <w:tcPr>
            <w:tcW w:w="559" w:type="pct"/>
            <w:tcBorders>
              <w:top w:val="nil"/>
              <w:left w:val="nil"/>
              <w:bottom w:val="single" w:sz="4" w:space="0" w:color="auto"/>
              <w:right w:val="single" w:sz="4" w:space="0" w:color="auto"/>
            </w:tcBorders>
            <w:shd w:val="clear" w:color="auto" w:fill="auto"/>
            <w:vAlign w:val="center"/>
            <w:hideMark/>
          </w:tcPr>
          <w:p w14:paraId="52666382"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1</w:t>
            </w:r>
          </w:p>
        </w:tc>
        <w:tc>
          <w:tcPr>
            <w:tcW w:w="403" w:type="pct"/>
            <w:tcBorders>
              <w:top w:val="nil"/>
              <w:left w:val="nil"/>
              <w:bottom w:val="single" w:sz="4" w:space="0" w:color="auto"/>
              <w:right w:val="single" w:sz="4" w:space="0" w:color="auto"/>
            </w:tcBorders>
            <w:shd w:val="clear" w:color="auto" w:fill="auto"/>
            <w:vAlign w:val="center"/>
            <w:hideMark/>
          </w:tcPr>
          <w:p w14:paraId="3D0450B6"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2</w:t>
            </w:r>
          </w:p>
        </w:tc>
        <w:tc>
          <w:tcPr>
            <w:tcW w:w="412" w:type="pct"/>
            <w:tcBorders>
              <w:top w:val="nil"/>
              <w:left w:val="nil"/>
              <w:bottom w:val="single" w:sz="4" w:space="0" w:color="auto"/>
              <w:right w:val="single" w:sz="4" w:space="0" w:color="auto"/>
            </w:tcBorders>
            <w:shd w:val="clear" w:color="auto" w:fill="auto"/>
            <w:vAlign w:val="center"/>
            <w:hideMark/>
          </w:tcPr>
          <w:p w14:paraId="699931D4"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3</w:t>
            </w:r>
          </w:p>
        </w:tc>
        <w:tc>
          <w:tcPr>
            <w:tcW w:w="403" w:type="pct"/>
            <w:tcBorders>
              <w:top w:val="nil"/>
              <w:left w:val="nil"/>
              <w:bottom w:val="single" w:sz="4" w:space="0" w:color="auto"/>
              <w:right w:val="single" w:sz="4" w:space="0" w:color="auto"/>
            </w:tcBorders>
            <w:shd w:val="clear" w:color="auto" w:fill="auto"/>
            <w:vAlign w:val="center"/>
            <w:hideMark/>
          </w:tcPr>
          <w:p w14:paraId="35197872" w14:textId="77777777" w:rsidR="0027420C" w:rsidRPr="00494669" w:rsidRDefault="0027420C" w:rsidP="009D79BF">
            <w:pPr>
              <w:suppressAutoHyphens w:val="0"/>
              <w:spacing w:after="0"/>
              <w:jc w:val="center"/>
              <w:rPr>
                <w:b/>
                <w:bCs/>
                <w:color w:val="000000"/>
                <w:sz w:val="18"/>
                <w:szCs w:val="18"/>
                <w:lang w:val="es-EC" w:eastAsia="es-EC" w:bidi="ar-SA"/>
              </w:rPr>
            </w:pPr>
            <w:r w:rsidRPr="00494669">
              <w:rPr>
                <w:b/>
                <w:bCs/>
                <w:color w:val="000000"/>
                <w:sz w:val="18"/>
                <w:szCs w:val="18"/>
                <w:lang w:val="es-EC" w:eastAsia="es-EC" w:bidi="ar-SA"/>
              </w:rPr>
              <w:t>4</w:t>
            </w:r>
          </w:p>
        </w:tc>
        <w:tc>
          <w:tcPr>
            <w:tcW w:w="430" w:type="pct"/>
            <w:tcBorders>
              <w:top w:val="nil"/>
              <w:left w:val="nil"/>
              <w:bottom w:val="single" w:sz="4" w:space="0" w:color="auto"/>
              <w:right w:val="single" w:sz="4" w:space="0" w:color="auto"/>
            </w:tcBorders>
            <w:shd w:val="clear" w:color="auto" w:fill="auto"/>
            <w:noWrap/>
            <w:vAlign w:val="bottom"/>
            <w:hideMark/>
          </w:tcPr>
          <w:p w14:paraId="2D2E6C81" w14:textId="77777777" w:rsidR="0027420C" w:rsidRPr="00494669" w:rsidRDefault="0027420C" w:rsidP="009D79BF">
            <w:pPr>
              <w:suppressAutoHyphens w:val="0"/>
              <w:spacing w:after="0"/>
              <w:jc w:val="left"/>
              <w:rPr>
                <w:rFonts w:ascii="Arial" w:hAnsi="Arial" w:cs="Arial"/>
                <w:b/>
                <w:bCs/>
                <w:color w:val="000000"/>
                <w:sz w:val="22"/>
                <w:szCs w:val="22"/>
                <w:lang w:val="es-EC" w:eastAsia="es-EC" w:bidi="ar-SA"/>
              </w:rPr>
            </w:pPr>
            <w:r w:rsidRPr="00494669">
              <w:rPr>
                <w:rFonts w:ascii="Arial" w:hAnsi="Arial" w:cs="Arial"/>
                <w:b/>
                <w:bCs/>
                <w:color w:val="000000"/>
                <w:sz w:val="22"/>
                <w:szCs w:val="22"/>
                <w:lang w:val="es-EC" w:eastAsia="es-EC" w:bidi="ar-SA"/>
              </w:rPr>
              <w:t> </w:t>
            </w:r>
          </w:p>
        </w:tc>
        <w:tc>
          <w:tcPr>
            <w:tcW w:w="400" w:type="pct"/>
            <w:tcBorders>
              <w:top w:val="nil"/>
              <w:left w:val="nil"/>
              <w:bottom w:val="single" w:sz="4" w:space="0" w:color="auto"/>
              <w:right w:val="single" w:sz="4" w:space="0" w:color="auto"/>
            </w:tcBorders>
            <w:shd w:val="clear" w:color="auto" w:fill="auto"/>
            <w:vAlign w:val="center"/>
            <w:hideMark/>
          </w:tcPr>
          <w:p w14:paraId="69056874"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c>
          <w:tcPr>
            <w:tcW w:w="387" w:type="pct"/>
            <w:tcBorders>
              <w:top w:val="nil"/>
              <w:left w:val="nil"/>
              <w:bottom w:val="single" w:sz="4" w:space="0" w:color="auto"/>
              <w:right w:val="single" w:sz="4" w:space="0" w:color="auto"/>
            </w:tcBorders>
            <w:shd w:val="clear" w:color="auto" w:fill="auto"/>
            <w:noWrap/>
            <w:vAlign w:val="bottom"/>
            <w:hideMark/>
          </w:tcPr>
          <w:p w14:paraId="0F8510F2" w14:textId="77777777" w:rsidR="0027420C" w:rsidRPr="00494669" w:rsidRDefault="0027420C" w:rsidP="009D79BF">
            <w:pPr>
              <w:suppressAutoHyphens w:val="0"/>
              <w:spacing w:after="0"/>
              <w:jc w:val="left"/>
              <w:rPr>
                <w:rFonts w:ascii="Arial" w:hAnsi="Arial" w:cs="Arial"/>
                <w:b/>
                <w:bCs/>
                <w:color w:val="000000"/>
                <w:sz w:val="22"/>
                <w:szCs w:val="22"/>
                <w:lang w:val="es-EC" w:eastAsia="es-EC" w:bidi="ar-SA"/>
              </w:rPr>
            </w:pPr>
            <w:r w:rsidRPr="00494669">
              <w:rPr>
                <w:rFonts w:ascii="Arial" w:hAnsi="Arial" w:cs="Arial"/>
                <w:b/>
                <w:bCs/>
                <w:color w:val="000000"/>
                <w:sz w:val="22"/>
                <w:szCs w:val="22"/>
                <w:lang w:val="es-EC" w:eastAsia="es-EC" w:bidi="ar-SA"/>
              </w:rPr>
              <w:t> </w:t>
            </w:r>
          </w:p>
        </w:tc>
        <w:tc>
          <w:tcPr>
            <w:tcW w:w="477" w:type="pct"/>
            <w:tcBorders>
              <w:top w:val="nil"/>
              <w:left w:val="nil"/>
              <w:bottom w:val="single" w:sz="4" w:space="0" w:color="auto"/>
              <w:right w:val="single" w:sz="4" w:space="0" w:color="auto"/>
            </w:tcBorders>
            <w:shd w:val="clear" w:color="auto" w:fill="auto"/>
            <w:noWrap/>
            <w:vAlign w:val="bottom"/>
            <w:hideMark/>
          </w:tcPr>
          <w:p w14:paraId="7EE7CF7B"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1E0F8B09"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B44C4E" w:rsidRPr="00494669" w14:paraId="05BB571D" w14:textId="77777777" w:rsidTr="0027420C">
        <w:trPr>
          <w:trHeight w:val="27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01DD631" w14:textId="77777777" w:rsidR="0027420C" w:rsidRPr="00494669" w:rsidRDefault="0027420C" w:rsidP="009D79BF">
            <w:pPr>
              <w:suppressAutoHyphens w:val="0"/>
              <w:spacing w:after="0"/>
              <w:rPr>
                <w:b/>
                <w:bCs/>
                <w:color w:val="000000"/>
                <w:sz w:val="16"/>
                <w:szCs w:val="16"/>
                <w:lang w:val="es-EC" w:eastAsia="es-EC" w:bidi="ar-SA"/>
              </w:rPr>
            </w:pPr>
            <w:r w:rsidRPr="00494669">
              <w:rPr>
                <w:b/>
                <w:bCs/>
                <w:color w:val="000000"/>
                <w:sz w:val="16"/>
                <w:szCs w:val="16"/>
                <w:lang w:val="es-EC" w:eastAsia="es-EC" w:bidi="ar-SA"/>
              </w:rPr>
              <w:t>1</w:t>
            </w:r>
          </w:p>
        </w:tc>
        <w:tc>
          <w:tcPr>
            <w:tcW w:w="2658" w:type="pct"/>
            <w:gridSpan w:val="6"/>
            <w:tcBorders>
              <w:top w:val="single" w:sz="4" w:space="0" w:color="auto"/>
              <w:left w:val="nil"/>
              <w:bottom w:val="single" w:sz="4" w:space="0" w:color="auto"/>
              <w:right w:val="single" w:sz="4" w:space="0" w:color="auto"/>
            </w:tcBorders>
            <w:shd w:val="clear" w:color="auto" w:fill="auto"/>
            <w:vAlign w:val="center"/>
            <w:hideMark/>
          </w:tcPr>
          <w:p w14:paraId="23AF02F9" w14:textId="77777777" w:rsidR="0027420C" w:rsidRPr="00494669" w:rsidRDefault="0027420C" w:rsidP="009D79BF">
            <w:pPr>
              <w:suppressAutoHyphens w:val="0"/>
              <w:spacing w:after="0"/>
              <w:rPr>
                <w:b/>
                <w:bCs/>
                <w:color w:val="000000"/>
                <w:sz w:val="16"/>
                <w:szCs w:val="16"/>
                <w:lang w:val="es-EC" w:eastAsia="es-EC" w:bidi="ar-SA"/>
              </w:rPr>
            </w:pPr>
            <w:r w:rsidRPr="00494669">
              <w:rPr>
                <w:b/>
                <w:bCs/>
                <w:color w:val="000000"/>
                <w:sz w:val="16"/>
                <w:szCs w:val="16"/>
                <w:lang w:val="es-EC" w:eastAsia="es-EC" w:bidi="ar-SA"/>
              </w:rPr>
              <w:t>Requerimientos Funcionalidad SCADA</w:t>
            </w:r>
          </w:p>
        </w:tc>
        <w:tc>
          <w:tcPr>
            <w:tcW w:w="430" w:type="pct"/>
            <w:tcBorders>
              <w:top w:val="nil"/>
              <w:left w:val="nil"/>
              <w:bottom w:val="single" w:sz="4" w:space="0" w:color="auto"/>
              <w:right w:val="single" w:sz="4" w:space="0" w:color="auto"/>
            </w:tcBorders>
            <w:shd w:val="clear" w:color="auto" w:fill="auto"/>
            <w:vAlign w:val="center"/>
            <w:hideMark/>
          </w:tcPr>
          <w:p w14:paraId="0C11D6E3"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400" w:type="pct"/>
            <w:tcBorders>
              <w:top w:val="nil"/>
              <w:left w:val="nil"/>
              <w:bottom w:val="single" w:sz="4" w:space="0" w:color="auto"/>
              <w:right w:val="single" w:sz="4" w:space="0" w:color="auto"/>
            </w:tcBorders>
            <w:shd w:val="clear" w:color="auto" w:fill="auto"/>
            <w:vAlign w:val="center"/>
            <w:hideMark/>
          </w:tcPr>
          <w:p w14:paraId="236D806F"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 </w:t>
            </w:r>
          </w:p>
        </w:tc>
        <w:tc>
          <w:tcPr>
            <w:tcW w:w="387" w:type="pct"/>
            <w:tcBorders>
              <w:top w:val="nil"/>
              <w:left w:val="nil"/>
              <w:bottom w:val="single" w:sz="4" w:space="0" w:color="auto"/>
              <w:right w:val="single" w:sz="4" w:space="0" w:color="auto"/>
            </w:tcBorders>
            <w:shd w:val="clear" w:color="auto" w:fill="auto"/>
            <w:vAlign w:val="center"/>
            <w:hideMark/>
          </w:tcPr>
          <w:p w14:paraId="3AE4DE1E"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477" w:type="pct"/>
            <w:tcBorders>
              <w:top w:val="nil"/>
              <w:left w:val="nil"/>
              <w:bottom w:val="single" w:sz="4" w:space="0" w:color="auto"/>
              <w:right w:val="single" w:sz="4" w:space="0" w:color="auto"/>
            </w:tcBorders>
            <w:shd w:val="clear" w:color="auto" w:fill="auto"/>
            <w:vAlign w:val="center"/>
            <w:hideMark/>
          </w:tcPr>
          <w:p w14:paraId="7929FCC9"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hideMark/>
          </w:tcPr>
          <w:p w14:paraId="5AD3ADB1"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26311298" w14:textId="77777777" w:rsidTr="0027420C">
        <w:trPr>
          <w:trHeight w:val="183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F09B80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1.1.</w:t>
            </w:r>
          </w:p>
        </w:tc>
        <w:tc>
          <w:tcPr>
            <w:tcW w:w="552" w:type="pct"/>
            <w:tcBorders>
              <w:top w:val="nil"/>
              <w:left w:val="nil"/>
              <w:bottom w:val="single" w:sz="4" w:space="0" w:color="auto"/>
              <w:right w:val="single" w:sz="4" w:space="0" w:color="auto"/>
            </w:tcBorders>
            <w:shd w:val="clear" w:color="auto" w:fill="auto"/>
            <w:vAlign w:val="center"/>
            <w:hideMark/>
          </w:tcPr>
          <w:p w14:paraId="32E57268"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Dimensionamiento de Base de datos    de Ingeniería SCADA</w:t>
            </w:r>
          </w:p>
        </w:tc>
        <w:tc>
          <w:tcPr>
            <w:tcW w:w="330" w:type="pct"/>
            <w:tcBorders>
              <w:top w:val="nil"/>
              <w:left w:val="nil"/>
              <w:bottom w:val="single" w:sz="4" w:space="0" w:color="auto"/>
              <w:right w:val="single" w:sz="4" w:space="0" w:color="auto"/>
            </w:tcBorders>
            <w:shd w:val="clear" w:color="auto" w:fill="auto"/>
            <w:vAlign w:val="center"/>
            <w:hideMark/>
          </w:tcPr>
          <w:p w14:paraId="2762CA7D"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 </w:t>
            </w:r>
          </w:p>
        </w:tc>
        <w:tc>
          <w:tcPr>
            <w:tcW w:w="559" w:type="pct"/>
            <w:tcBorders>
              <w:top w:val="nil"/>
              <w:left w:val="nil"/>
              <w:bottom w:val="single" w:sz="4" w:space="0" w:color="auto"/>
              <w:right w:val="single" w:sz="4" w:space="0" w:color="auto"/>
            </w:tcBorders>
            <w:shd w:val="clear" w:color="auto" w:fill="auto"/>
            <w:vAlign w:val="center"/>
            <w:hideMark/>
          </w:tcPr>
          <w:p w14:paraId="13FED48F" w14:textId="2A4948D1" w:rsidR="0027420C" w:rsidRPr="00494669" w:rsidRDefault="0027420C" w:rsidP="00CC2FB9">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1</w:t>
            </w:r>
            <w:r>
              <w:rPr>
                <w:color w:val="000000"/>
                <w:sz w:val="16"/>
                <w:szCs w:val="16"/>
                <w:lang w:val="es-EC" w:eastAsia="es-EC" w:bidi="ar-SA"/>
              </w:rPr>
              <w:t>2</w:t>
            </w:r>
            <w:r w:rsidRPr="00494669">
              <w:rPr>
                <w:color w:val="000000"/>
                <w:sz w:val="16"/>
                <w:szCs w:val="16"/>
                <w:lang w:val="es-EC" w:eastAsia="es-EC" w:bidi="ar-SA"/>
              </w:rPr>
              <w:t>:  Dimensionamiento SCADA</w:t>
            </w:r>
          </w:p>
        </w:tc>
        <w:tc>
          <w:tcPr>
            <w:tcW w:w="403" w:type="pct"/>
            <w:tcBorders>
              <w:top w:val="nil"/>
              <w:left w:val="nil"/>
              <w:bottom w:val="single" w:sz="4" w:space="0" w:color="auto"/>
              <w:right w:val="single" w:sz="4" w:space="0" w:color="auto"/>
            </w:tcBorders>
            <w:shd w:val="clear" w:color="auto" w:fill="auto"/>
            <w:vAlign w:val="center"/>
            <w:hideMark/>
          </w:tcPr>
          <w:p w14:paraId="322D3FCD" w14:textId="587B42C1" w:rsidR="0027420C" w:rsidRPr="00494669" w:rsidRDefault="0027420C" w:rsidP="00CC2FB9">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1</w:t>
            </w:r>
            <w:r>
              <w:rPr>
                <w:color w:val="000000"/>
                <w:sz w:val="16"/>
                <w:szCs w:val="16"/>
                <w:lang w:val="es-EC" w:eastAsia="es-EC" w:bidi="ar-SA"/>
              </w:rPr>
              <w:t>2</w:t>
            </w:r>
            <w:r w:rsidRPr="00494669">
              <w:rPr>
                <w:color w:val="000000"/>
                <w:sz w:val="16"/>
                <w:szCs w:val="16"/>
                <w:lang w:val="es-EC" w:eastAsia="es-EC" w:bidi="ar-SA"/>
              </w:rPr>
              <w:t xml:space="preserve">: Dimensionamiento SCADA más un 10% del total de los valores del campo RTU (No. RTU más No. Líneas de comunicación) </w:t>
            </w:r>
          </w:p>
        </w:tc>
        <w:tc>
          <w:tcPr>
            <w:tcW w:w="412" w:type="pct"/>
            <w:tcBorders>
              <w:top w:val="nil"/>
              <w:left w:val="nil"/>
              <w:bottom w:val="single" w:sz="4" w:space="0" w:color="auto"/>
              <w:right w:val="single" w:sz="4" w:space="0" w:color="auto"/>
            </w:tcBorders>
            <w:shd w:val="clear" w:color="auto" w:fill="auto"/>
            <w:vAlign w:val="center"/>
            <w:hideMark/>
          </w:tcPr>
          <w:p w14:paraId="0CF56AC0" w14:textId="0BBCD53C" w:rsidR="0027420C" w:rsidRPr="00494669" w:rsidRDefault="0027420C" w:rsidP="00CC2FB9">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1</w:t>
            </w:r>
            <w:r>
              <w:rPr>
                <w:color w:val="000000"/>
                <w:sz w:val="16"/>
                <w:szCs w:val="16"/>
                <w:lang w:val="es-EC" w:eastAsia="es-EC" w:bidi="ar-SA"/>
              </w:rPr>
              <w:t>2</w:t>
            </w:r>
            <w:r w:rsidRPr="00494669">
              <w:rPr>
                <w:color w:val="000000"/>
                <w:sz w:val="16"/>
                <w:szCs w:val="16"/>
                <w:lang w:val="es-EC" w:eastAsia="es-EC" w:bidi="ar-SA"/>
              </w:rPr>
              <w:t>: Dimensionamiento SCADA más un 20% del total de los valores del campo RTU (No. RTU más No. Líneas de comunicación)</w:t>
            </w:r>
          </w:p>
        </w:tc>
        <w:tc>
          <w:tcPr>
            <w:tcW w:w="403" w:type="pct"/>
            <w:tcBorders>
              <w:top w:val="nil"/>
              <w:left w:val="nil"/>
              <w:bottom w:val="single" w:sz="4" w:space="0" w:color="auto"/>
              <w:right w:val="single" w:sz="4" w:space="0" w:color="auto"/>
            </w:tcBorders>
            <w:shd w:val="clear" w:color="auto" w:fill="auto"/>
            <w:vAlign w:val="center"/>
            <w:hideMark/>
          </w:tcPr>
          <w:p w14:paraId="3E0D01F8" w14:textId="664D2095" w:rsidR="0027420C" w:rsidRPr="00494669" w:rsidRDefault="0027420C" w:rsidP="00CC2FB9">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1</w:t>
            </w:r>
            <w:r>
              <w:rPr>
                <w:color w:val="000000"/>
                <w:sz w:val="16"/>
                <w:szCs w:val="16"/>
                <w:lang w:val="es-EC" w:eastAsia="es-EC" w:bidi="ar-SA"/>
              </w:rPr>
              <w:t>2</w:t>
            </w:r>
            <w:r w:rsidRPr="00494669">
              <w:rPr>
                <w:color w:val="000000"/>
                <w:sz w:val="16"/>
                <w:szCs w:val="16"/>
                <w:lang w:val="es-EC" w:eastAsia="es-EC" w:bidi="ar-SA"/>
              </w:rPr>
              <w:t>: Dimensionamiento SCADA más un 30% o superior del total de los valores del campo RTU (No. RTU más No. Líneas de comunicación)</w:t>
            </w:r>
          </w:p>
        </w:tc>
        <w:tc>
          <w:tcPr>
            <w:tcW w:w="430" w:type="pct"/>
            <w:tcBorders>
              <w:top w:val="nil"/>
              <w:left w:val="nil"/>
              <w:bottom w:val="single" w:sz="4" w:space="0" w:color="auto"/>
              <w:right w:val="single" w:sz="4" w:space="0" w:color="auto"/>
            </w:tcBorders>
            <w:shd w:val="clear" w:color="auto" w:fill="auto"/>
            <w:vAlign w:val="center"/>
          </w:tcPr>
          <w:p w14:paraId="1411661B" w14:textId="718595D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A86D992"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255A5FC" w14:textId="27904EDD"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4ACD7669"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47446705"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5A400B50" w14:textId="77777777" w:rsidTr="0027420C">
        <w:trPr>
          <w:trHeight w:val="1224"/>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3A31AA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1.2.</w:t>
            </w:r>
          </w:p>
        </w:tc>
        <w:tc>
          <w:tcPr>
            <w:tcW w:w="552" w:type="pct"/>
            <w:tcBorders>
              <w:top w:val="nil"/>
              <w:left w:val="nil"/>
              <w:bottom w:val="single" w:sz="4" w:space="0" w:color="auto"/>
              <w:right w:val="single" w:sz="4" w:space="0" w:color="auto"/>
            </w:tcBorders>
            <w:shd w:val="clear" w:color="auto" w:fill="auto"/>
            <w:vAlign w:val="center"/>
            <w:hideMark/>
          </w:tcPr>
          <w:p w14:paraId="63422C7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Sección 2.1.1.1.2.6 Protocolos de Comunicaciones</w:t>
            </w:r>
          </w:p>
        </w:tc>
        <w:tc>
          <w:tcPr>
            <w:tcW w:w="330" w:type="pct"/>
            <w:tcBorders>
              <w:top w:val="nil"/>
              <w:left w:val="nil"/>
              <w:bottom w:val="single" w:sz="4" w:space="0" w:color="auto"/>
              <w:right w:val="single" w:sz="4" w:space="0" w:color="auto"/>
            </w:tcBorders>
            <w:shd w:val="clear" w:color="auto" w:fill="auto"/>
            <w:vAlign w:val="center"/>
            <w:hideMark/>
          </w:tcPr>
          <w:p w14:paraId="7CAFD898"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01152E7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Provee los protocolos minimos: DNP3.0 serial y TCP/IP, IEC-870-5-101, IEC-870-5-104, RP570 y IEEEC37.118</w:t>
            </w:r>
          </w:p>
        </w:tc>
        <w:tc>
          <w:tcPr>
            <w:tcW w:w="403" w:type="pct"/>
            <w:tcBorders>
              <w:top w:val="nil"/>
              <w:left w:val="nil"/>
              <w:bottom w:val="single" w:sz="4" w:space="0" w:color="auto"/>
              <w:right w:val="single" w:sz="4" w:space="0" w:color="auto"/>
            </w:tcBorders>
            <w:shd w:val="clear" w:color="auto" w:fill="auto"/>
            <w:vAlign w:val="center"/>
            <w:hideMark/>
          </w:tcPr>
          <w:p w14:paraId="24A5413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Provee los protocolos minimos, más IEC61850</w:t>
            </w:r>
          </w:p>
        </w:tc>
        <w:tc>
          <w:tcPr>
            <w:tcW w:w="412" w:type="pct"/>
            <w:tcBorders>
              <w:top w:val="nil"/>
              <w:left w:val="nil"/>
              <w:bottom w:val="single" w:sz="4" w:space="0" w:color="auto"/>
              <w:right w:val="single" w:sz="4" w:space="0" w:color="auto"/>
            </w:tcBorders>
            <w:shd w:val="clear" w:color="auto" w:fill="auto"/>
            <w:vAlign w:val="center"/>
            <w:hideMark/>
          </w:tcPr>
          <w:p w14:paraId="72C37940"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Provee los protocolos minimos, más IEC61850 y 1 simulador de IEC61850</w:t>
            </w:r>
          </w:p>
        </w:tc>
        <w:tc>
          <w:tcPr>
            <w:tcW w:w="403" w:type="pct"/>
            <w:tcBorders>
              <w:top w:val="nil"/>
              <w:left w:val="nil"/>
              <w:bottom w:val="single" w:sz="4" w:space="0" w:color="auto"/>
              <w:right w:val="single" w:sz="4" w:space="0" w:color="auto"/>
            </w:tcBorders>
            <w:shd w:val="clear" w:color="auto" w:fill="auto"/>
            <w:vAlign w:val="center"/>
            <w:hideMark/>
          </w:tcPr>
          <w:p w14:paraId="500F804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Provee los protocolos minimos, más IEC61850 y 1 simulador de IEC61850 con transferencia de conocimiento de este protocolo.</w:t>
            </w:r>
          </w:p>
        </w:tc>
        <w:tc>
          <w:tcPr>
            <w:tcW w:w="430" w:type="pct"/>
            <w:tcBorders>
              <w:top w:val="nil"/>
              <w:left w:val="nil"/>
              <w:bottom w:val="single" w:sz="4" w:space="0" w:color="auto"/>
              <w:right w:val="single" w:sz="4" w:space="0" w:color="auto"/>
            </w:tcBorders>
            <w:shd w:val="clear" w:color="auto" w:fill="auto"/>
            <w:vAlign w:val="center"/>
          </w:tcPr>
          <w:p w14:paraId="7DB8F4F0" w14:textId="2CD37058"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B999087"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0D4A4FE8" w14:textId="662E4DAC"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76E827FB"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4352CAEF"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22D5C4FB" w14:textId="77777777" w:rsidTr="0027420C">
        <w:trPr>
          <w:trHeight w:val="285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5FEE9C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1.3.</w:t>
            </w:r>
          </w:p>
        </w:tc>
        <w:tc>
          <w:tcPr>
            <w:tcW w:w="552" w:type="pct"/>
            <w:tcBorders>
              <w:top w:val="nil"/>
              <w:left w:val="nil"/>
              <w:bottom w:val="single" w:sz="4" w:space="0" w:color="auto"/>
              <w:right w:val="single" w:sz="4" w:space="0" w:color="auto"/>
            </w:tcBorders>
            <w:shd w:val="clear" w:color="auto" w:fill="auto"/>
            <w:vAlign w:val="center"/>
            <w:hideMark/>
          </w:tcPr>
          <w:p w14:paraId="7F5A8E5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Sección 2.1.1.1.3.2 Comunicación con Sistemas Externos</w:t>
            </w:r>
          </w:p>
        </w:tc>
        <w:tc>
          <w:tcPr>
            <w:tcW w:w="330" w:type="pct"/>
            <w:tcBorders>
              <w:top w:val="nil"/>
              <w:left w:val="nil"/>
              <w:bottom w:val="single" w:sz="4" w:space="0" w:color="auto"/>
              <w:right w:val="single" w:sz="4" w:space="0" w:color="auto"/>
            </w:tcBorders>
            <w:shd w:val="clear" w:color="auto" w:fill="auto"/>
            <w:vAlign w:val="center"/>
            <w:hideMark/>
          </w:tcPr>
          <w:p w14:paraId="5012A74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76A7E6F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8:  Métodos de Intercambio entre sistemas externos y el SCADA/EMS</w:t>
            </w:r>
          </w:p>
        </w:tc>
        <w:tc>
          <w:tcPr>
            <w:tcW w:w="403" w:type="pct"/>
            <w:tcBorders>
              <w:top w:val="nil"/>
              <w:left w:val="nil"/>
              <w:bottom w:val="single" w:sz="4" w:space="0" w:color="auto"/>
              <w:right w:val="single" w:sz="4" w:space="0" w:color="auto"/>
            </w:tcBorders>
            <w:shd w:val="clear" w:color="auto" w:fill="auto"/>
            <w:vAlign w:val="center"/>
            <w:hideMark/>
          </w:tcPr>
          <w:p w14:paraId="225591D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8:  Métodos de Intercambio entre sistemas externos y el SCADA/EMS e incluye ODBC</w:t>
            </w:r>
          </w:p>
        </w:tc>
        <w:tc>
          <w:tcPr>
            <w:tcW w:w="412" w:type="pct"/>
            <w:tcBorders>
              <w:top w:val="nil"/>
              <w:left w:val="nil"/>
              <w:bottom w:val="single" w:sz="4" w:space="0" w:color="auto"/>
              <w:right w:val="single" w:sz="4" w:space="0" w:color="auto"/>
            </w:tcBorders>
            <w:shd w:val="clear" w:color="auto" w:fill="auto"/>
            <w:vAlign w:val="center"/>
            <w:hideMark/>
          </w:tcPr>
          <w:p w14:paraId="47C7B5F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Cumplimiento de la Tabla 7:  Métodos de Intercambio entre sistemas externos y el SCADA/EMS e incluye ODBC y suscripción por 3 años con un sitio de servicios meteorológicos, a partir de la aceptación operativa </w:t>
            </w:r>
          </w:p>
        </w:tc>
        <w:tc>
          <w:tcPr>
            <w:tcW w:w="403" w:type="pct"/>
            <w:tcBorders>
              <w:top w:val="nil"/>
              <w:left w:val="nil"/>
              <w:bottom w:val="single" w:sz="4" w:space="0" w:color="auto"/>
              <w:right w:val="single" w:sz="4" w:space="0" w:color="auto"/>
            </w:tcBorders>
            <w:shd w:val="clear" w:color="auto" w:fill="auto"/>
            <w:vAlign w:val="center"/>
            <w:hideMark/>
          </w:tcPr>
          <w:p w14:paraId="539DE4E2"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Cumplimiento de la Tabla 8:  Métodos de Intercambio entre sistemas externos y el SCADA/EMS e incluye ODBC y suscripción por 5 años o superior con un sitio de servicios meteorológicos, a partir de la aceptación operativa</w:t>
            </w:r>
          </w:p>
        </w:tc>
        <w:tc>
          <w:tcPr>
            <w:tcW w:w="430" w:type="pct"/>
            <w:tcBorders>
              <w:top w:val="nil"/>
              <w:left w:val="nil"/>
              <w:bottom w:val="single" w:sz="4" w:space="0" w:color="auto"/>
              <w:right w:val="single" w:sz="4" w:space="0" w:color="auto"/>
            </w:tcBorders>
            <w:shd w:val="clear" w:color="auto" w:fill="auto"/>
            <w:vAlign w:val="center"/>
          </w:tcPr>
          <w:p w14:paraId="6B62857F" w14:textId="46899BD6"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DA83958"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79ACC77F" w14:textId="1966B413"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746E4DDE"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46AE2BDE"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7021C4FF" w14:textId="77777777" w:rsidTr="0027420C">
        <w:trPr>
          <w:trHeight w:val="265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DF2A925" w14:textId="6878436D"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1.4</w:t>
            </w:r>
          </w:p>
        </w:tc>
        <w:tc>
          <w:tcPr>
            <w:tcW w:w="552" w:type="pct"/>
            <w:tcBorders>
              <w:top w:val="nil"/>
              <w:left w:val="nil"/>
              <w:bottom w:val="single" w:sz="4" w:space="0" w:color="auto"/>
              <w:right w:val="single" w:sz="4" w:space="0" w:color="auto"/>
            </w:tcBorders>
            <w:shd w:val="clear" w:color="auto" w:fill="auto"/>
            <w:vAlign w:val="center"/>
            <w:hideMark/>
          </w:tcPr>
          <w:p w14:paraId="614FFA15"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2.1.1.1.1.6</w:t>
            </w:r>
            <w:r>
              <w:rPr>
                <w:color w:val="000000"/>
                <w:sz w:val="16"/>
                <w:szCs w:val="16"/>
                <w:lang w:val="es-EC" w:eastAsia="es-EC" w:bidi="ar-SA"/>
              </w:rPr>
              <w:t xml:space="preserve"> </w:t>
            </w:r>
            <w:r w:rsidRPr="00494669">
              <w:rPr>
                <w:color w:val="000000"/>
                <w:sz w:val="16"/>
                <w:szCs w:val="16"/>
                <w:lang w:val="es-EC" w:eastAsia="es-EC" w:bidi="ar-SA"/>
              </w:rPr>
              <w:t>Procesamiento de Alarmas y Eventos</w:t>
            </w:r>
          </w:p>
        </w:tc>
        <w:tc>
          <w:tcPr>
            <w:tcW w:w="330" w:type="pct"/>
            <w:tcBorders>
              <w:top w:val="nil"/>
              <w:left w:val="nil"/>
              <w:bottom w:val="single" w:sz="4" w:space="0" w:color="auto"/>
              <w:right w:val="single" w:sz="4" w:space="0" w:color="auto"/>
            </w:tcBorders>
            <w:shd w:val="clear" w:color="auto" w:fill="auto"/>
            <w:vAlign w:val="center"/>
            <w:hideMark/>
          </w:tcPr>
          <w:p w14:paraId="5439EB6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4D084D8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a.    Tan pronto como se registra el evento, el sistema debe activar el procedimiento mediante el cual se notifica la condición de alarma al operador (alarma audible, visualización automática en la pantalla de la consola principal de la ventana de alarma). En esta ventana, se notificará la alarma con un mensaje claro en el que se activarán algunos elementos gráficos para llamar la atención del operador. El sistema debe admitir al menos cuatro alarmas sonoras.</w:t>
            </w:r>
          </w:p>
        </w:tc>
        <w:tc>
          <w:tcPr>
            <w:tcW w:w="403" w:type="pct"/>
            <w:tcBorders>
              <w:top w:val="nil"/>
              <w:left w:val="nil"/>
              <w:bottom w:val="single" w:sz="4" w:space="0" w:color="auto"/>
              <w:right w:val="single" w:sz="4" w:space="0" w:color="auto"/>
            </w:tcBorders>
            <w:shd w:val="clear" w:color="auto" w:fill="auto"/>
            <w:vAlign w:val="center"/>
            <w:hideMark/>
          </w:tcPr>
          <w:p w14:paraId="5292BA4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Dispone de 4 a 5 alarmas</w:t>
            </w:r>
          </w:p>
        </w:tc>
        <w:tc>
          <w:tcPr>
            <w:tcW w:w="412" w:type="pct"/>
            <w:tcBorders>
              <w:top w:val="nil"/>
              <w:left w:val="nil"/>
              <w:bottom w:val="single" w:sz="4" w:space="0" w:color="auto"/>
              <w:right w:val="single" w:sz="4" w:space="0" w:color="auto"/>
            </w:tcBorders>
            <w:shd w:val="clear" w:color="auto" w:fill="auto"/>
            <w:vAlign w:val="center"/>
            <w:hideMark/>
          </w:tcPr>
          <w:p w14:paraId="62007919"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Dispone de 6 a 7 alarmas</w:t>
            </w:r>
          </w:p>
        </w:tc>
        <w:tc>
          <w:tcPr>
            <w:tcW w:w="403" w:type="pct"/>
            <w:tcBorders>
              <w:top w:val="nil"/>
              <w:left w:val="nil"/>
              <w:bottom w:val="single" w:sz="4" w:space="0" w:color="auto"/>
              <w:right w:val="single" w:sz="4" w:space="0" w:color="auto"/>
            </w:tcBorders>
            <w:shd w:val="clear" w:color="auto" w:fill="auto"/>
            <w:vAlign w:val="center"/>
            <w:hideMark/>
          </w:tcPr>
          <w:p w14:paraId="4732AF5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Dispone 8 o </w:t>
            </w:r>
            <w:proofErr w:type="gramStart"/>
            <w:r w:rsidRPr="00494669">
              <w:rPr>
                <w:color w:val="000000"/>
                <w:sz w:val="16"/>
                <w:szCs w:val="16"/>
                <w:lang w:val="es-EC" w:eastAsia="es-EC" w:bidi="ar-SA"/>
              </w:rPr>
              <w:t>más  alarmas</w:t>
            </w:r>
            <w:proofErr w:type="gramEnd"/>
          </w:p>
        </w:tc>
        <w:tc>
          <w:tcPr>
            <w:tcW w:w="430" w:type="pct"/>
            <w:tcBorders>
              <w:top w:val="nil"/>
              <w:left w:val="nil"/>
              <w:bottom w:val="single" w:sz="4" w:space="0" w:color="auto"/>
              <w:right w:val="single" w:sz="4" w:space="0" w:color="auto"/>
            </w:tcBorders>
            <w:shd w:val="clear" w:color="auto" w:fill="auto"/>
            <w:vAlign w:val="center"/>
          </w:tcPr>
          <w:p w14:paraId="7E7D6EB9" w14:textId="282C3F9A"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2D0DB268"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01821BB9" w14:textId="141708A8"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776E36CF"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5A39A2A7"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B44C4E" w:rsidRPr="00494669" w14:paraId="02D82324" w14:textId="77777777" w:rsidTr="0027420C">
        <w:trPr>
          <w:trHeight w:val="27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A8F4CCB" w14:textId="77777777" w:rsidR="0027420C" w:rsidRPr="00494669" w:rsidRDefault="0027420C" w:rsidP="009D79BF">
            <w:pPr>
              <w:suppressAutoHyphens w:val="0"/>
              <w:spacing w:after="0"/>
              <w:rPr>
                <w:b/>
                <w:bCs/>
                <w:color w:val="000000"/>
                <w:sz w:val="16"/>
                <w:szCs w:val="16"/>
                <w:lang w:val="es-EC" w:eastAsia="es-EC" w:bidi="ar-SA"/>
              </w:rPr>
            </w:pPr>
            <w:r w:rsidRPr="00494669">
              <w:rPr>
                <w:b/>
                <w:bCs/>
                <w:color w:val="000000"/>
                <w:sz w:val="16"/>
                <w:szCs w:val="16"/>
                <w:lang w:val="es-EC" w:eastAsia="es-EC" w:bidi="ar-SA"/>
              </w:rPr>
              <w:t>2</w:t>
            </w:r>
          </w:p>
        </w:tc>
        <w:tc>
          <w:tcPr>
            <w:tcW w:w="2658" w:type="pct"/>
            <w:gridSpan w:val="6"/>
            <w:tcBorders>
              <w:top w:val="single" w:sz="4" w:space="0" w:color="auto"/>
              <w:left w:val="nil"/>
              <w:bottom w:val="single" w:sz="4" w:space="0" w:color="auto"/>
              <w:right w:val="single" w:sz="4" w:space="0" w:color="auto"/>
            </w:tcBorders>
            <w:shd w:val="clear" w:color="auto" w:fill="auto"/>
            <w:vAlign w:val="center"/>
            <w:hideMark/>
          </w:tcPr>
          <w:p w14:paraId="4681DFC9"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Requerimientos No Funcionales del Nuevo Centro de Control del Comprador</w:t>
            </w:r>
          </w:p>
        </w:tc>
        <w:tc>
          <w:tcPr>
            <w:tcW w:w="430" w:type="pct"/>
            <w:tcBorders>
              <w:top w:val="nil"/>
              <w:left w:val="nil"/>
              <w:bottom w:val="single" w:sz="4" w:space="0" w:color="auto"/>
              <w:right w:val="single" w:sz="4" w:space="0" w:color="auto"/>
            </w:tcBorders>
            <w:shd w:val="clear" w:color="auto" w:fill="auto"/>
            <w:vAlign w:val="center"/>
          </w:tcPr>
          <w:p w14:paraId="7F730C44" w14:textId="4490CF23"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BAA7C45" w14:textId="77777777" w:rsidR="0027420C" w:rsidRPr="009879D2" w:rsidRDefault="0027420C" w:rsidP="009D79BF">
            <w:pPr>
              <w:suppressAutoHyphens w:val="0"/>
              <w:spacing w:after="0"/>
              <w:jc w:val="left"/>
              <w:rPr>
                <w:color w:val="000000"/>
                <w:sz w:val="16"/>
                <w:szCs w:val="16"/>
                <w:lang w:val="es-EC" w:eastAsia="es-EC" w:bidi="ar-SA"/>
              </w:rPr>
            </w:pPr>
          </w:p>
        </w:tc>
        <w:tc>
          <w:tcPr>
            <w:tcW w:w="387" w:type="pct"/>
            <w:tcBorders>
              <w:top w:val="nil"/>
              <w:left w:val="nil"/>
              <w:bottom w:val="single" w:sz="4" w:space="0" w:color="auto"/>
              <w:right w:val="single" w:sz="4" w:space="0" w:color="auto"/>
            </w:tcBorders>
            <w:shd w:val="clear" w:color="auto" w:fill="auto"/>
            <w:vAlign w:val="center"/>
          </w:tcPr>
          <w:p w14:paraId="566E4EBD" w14:textId="77777777"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60CF833F" w14:textId="77777777" w:rsidR="0027420C" w:rsidRPr="00494669" w:rsidRDefault="0027420C" w:rsidP="009D79BF">
            <w:pPr>
              <w:suppressAutoHyphens w:val="0"/>
              <w:spacing w:after="0"/>
              <w:jc w:val="left"/>
              <w:rPr>
                <w:b/>
                <w:bCs/>
                <w:color w:val="000000"/>
                <w:sz w:val="16"/>
                <w:szCs w:val="16"/>
                <w:lang w:val="es-EC" w:eastAsia="es-EC" w:bidi="ar-SA"/>
              </w:rPr>
            </w:pPr>
          </w:p>
        </w:tc>
        <w:tc>
          <w:tcPr>
            <w:tcW w:w="500" w:type="pct"/>
            <w:tcBorders>
              <w:top w:val="nil"/>
              <w:left w:val="nil"/>
              <w:bottom w:val="single" w:sz="4" w:space="0" w:color="auto"/>
              <w:right w:val="single" w:sz="4" w:space="0" w:color="auto"/>
            </w:tcBorders>
            <w:shd w:val="clear" w:color="auto" w:fill="auto"/>
            <w:vAlign w:val="center"/>
          </w:tcPr>
          <w:p w14:paraId="13EAF8E2" w14:textId="77777777" w:rsidR="0027420C" w:rsidRPr="00494669" w:rsidRDefault="0027420C" w:rsidP="009D79BF">
            <w:pPr>
              <w:suppressAutoHyphens w:val="0"/>
              <w:spacing w:after="0"/>
              <w:jc w:val="left"/>
              <w:rPr>
                <w:b/>
                <w:bCs/>
                <w:color w:val="000000"/>
                <w:sz w:val="16"/>
                <w:szCs w:val="16"/>
                <w:lang w:val="es-EC" w:eastAsia="es-EC" w:bidi="ar-SA"/>
              </w:rPr>
            </w:pPr>
          </w:p>
        </w:tc>
      </w:tr>
      <w:tr w:rsidR="00E7421E" w:rsidRPr="00494669" w14:paraId="5F3442D8" w14:textId="77777777" w:rsidTr="0027420C">
        <w:trPr>
          <w:trHeight w:val="204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38C8D0E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2.1</w:t>
            </w:r>
          </w:p>
        </w:tc>
        <w:tc>
          <w:tcPr>
            <w:tcW w:w="552" w:type="pct"/>
            <w:tcBorders>
              <w:top w:val="nil"/>
              <w:left w:val="nil"/>
              <w:bottom w:val="single" w:sz="4" w:space="0" w:color="auto"/>
              <w:right w:val="single" w:sz="4" w:space="0" w:color="auto"/>
            </w:tcBorders>
            <w:shd w:val="clear" w:color="auto" w:fill="auto"/>
            <w:vAlign w:val="center"/>
            <w:hideMark/>
          </w:tcPr>
          <w:p w14:paraId="0B0309F0"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Licenciamiento </w:t>
            </w:r>
            <w:proofErr w:type="gramStart"/>
            <w:r w:rsidRPr="00494669">
              <w:rPr>
                <w:color w:val="000000"/>
                <w:sz w:val="16"/>
                <w:szCs w:val="16"/>
                <w:lang w:val="es-EC" w:eastAsia="es-EC" w:bidi="ar-SA"/>
              </w:rPr>
              <w:t>de  Software</w:t>
            </w:r>
            <w:proofErr w:type="gramEnd"/>
            <w:r w:rsidRPr="00494669">
              <w:rPr>
                <w:color w:val="000000"/>
                <w:sz w:val="16"/>
                <w:szCs w:val="16"/>
                <w:lang w:val="es-EC" w:eastAsia="es-EC" w:bidi="ar-SA"/>
              </w:rPr>
              <w:t xml:space="preserve"> de Terceros</w:t>
            </w:r>
          </w:p>
        </w:tc>
        <w:tc>
          <w:tcPr>
            <w:tcW w:w="330" w:type="pct"/>
            <w:tcBorders>
              <w:top w:val="nil"/>
              <w:left w:val="nil"/>
              <w:bottom w:val="single" w:sz="4" w:space="0" w:color="auto"/>
              <w:right w:val="single" w:sz="4" w:space="0" w:color="auto"/>
            </w:tcBorders>
            <w:shd w:val="clear" w:color="auto" w:fill="auto"/>
            <w:vAlign w:val="center"/>
            <w:hideMark/>
          </w:tcPr>
          <w:p w14:paraId="0EA0E26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con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4D1A5552"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con los requerimientos mínimos de liecenciamiento establecidos en la Sección 3.4 software de terceros </w:t>
            </w:r>
          </w:p>
        </w:tc>
        <w:tc>
          <w:tcPr>
            <w:tcW w:w="403" w:type="pct"/>
            <w:tcBorders>
              <w:top w:val="nil"/>
              <w:left w:val="nil"/>
              <w:bottom w:val="single" w:sz="4" w:space="0" w:color="auto"/>
              <w:right w:val="single" w:sz="4" w:space="0" w:color="auto"/>
            </w:tcBorders>
            <w:shd w:val="clear" w:color="auto" w:fill="auto"/>
            <w:vAlign w:val="center"/>
            <w:hideMark/>
          </w:tcPr>
          <w:p w14:paraId="064804B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con los requerimientos mínimos, incluyendo licenciamiento perpetuo para el software de: bases de datos, ofimática, ciberseguridad y monitoreo.</w:t>
            </w:r>
          </w:p>
        </w:tc>
        <w:tc>
          <w:tcPr>
            <w:tcW w:w="412" w:type="pct"/>
            <w:tcBorders>
              <w:top w:val="nil"/>
              <w:left w:val="nil"/>
              <w:bottom w:val="single" w:sz="4" w:space="0" w:color="auto"/>
              <w:right w:val="single" w:sz="4" w:space="0" w:color="auto"/>
            </w:tcBorders>
            <w:shd w:val="clear" w:color="auto" w:fill="auto"/>
            <w:vAlign w:val="center"/>
            <w:hideMark/>
          </w:tcPr>
          <w:p w14:paraId="13E94609"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con los requerimientos mínimos, incluyendo licenciamiento perpetuo para el software de: bases de datos, ofimática, red, ciberseguridad y monitoreo.</w:t>
            </w:r>
          </w:p>
        </w:tc>
        <w:tc>
          <w:tcPr>
            <w:tcW w:w="403" w:type="pct"/>
            <w:tcBorders>
              <w:top w:val="nil"/>
              <w:left w:val="nil"/>
              <w:bottom w:val="single" w:sz="4" w:space="0" w:color="auto"/>
              <w:right w:val="single" w:sz="4" w:space="0" w:color="auto"/>
            </w:tcBorders>
            <w:shd w:val="clear" w:color="auto" w:fill="auto"/>
            <w:vAlign w:val="center"/>
            <w:hideMark/>
          </w:tcPr>
          <w:p w14:paraId="7730762C"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con los requerimientos mínimos, incluyendo licenciamiento perpetuo para el software de: sistemas operativos, bases de datos, utilitarios, ofimática, red, ciberseguridad y monitoreo.</w:t>
            </w:r>
          </w:p>
        </w:tc>
        <w:tc>
          <w:tcPr>
            <w:tcW w:w="430" w:type="pct"/>
            <w:tcBorders>
              <w:top w:val="nil"/>
              <w:left w:val="nil"/>
              <w:bottom w:val="single" w:sz="4" w:space="0" w:color="auto"/>
              <w:right w:val="single" w:sz="4" w:space="0" w:color="auto"/>
            </w:tcBorders>
            <w:shd w:val="clear" w:color="auto" w:fill="auto"/>
            <w:vAlign w:val="center"/>
          </w:tcPr>
          <w:p w14:paraId="19326AF3" w14:textId="0267438A"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E3DB495"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60459CD5" w14:textId="52B3E102"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699E7603"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7F223ABC"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7536E2B6" w14:textId="77777777" w:rsidTr="0027420C">
        <w:trPr>
          <w:trHeight w:val="204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2F53EB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2.2</w:t>
            </w:r>
          </w:p>
        </w:tc>
        <w:tc>
          <w:tcPr>
            <w:tcW w:w="552" w:type="pct"/>
            <w:tcBorders>
              <w:top w:val="nil"/>
              <w:left w:val="nil"/>
              <w:bottom w:val="single" w:sz="4" w:space="0" w:color="auto"/>
              <w:right w:val="single" w:sz="4" w:space="0" w:color="auto"/>
            </w:tcBorders>
            <w:shd w:val="clear" w:color="auto" w:fill="auto"/>
            <w:vAlign w:val="center"/>
            <w:hideMark/>
          </w:tcPr>
          <w:p w14:paraId="4574FCE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Sistema Operativo de servidores Frontales de Comunicaciones y Gateways</w:t>
            </w:r>
          </w:p>
        </w:tc>
        <w:tc>
          <w:tcPr>
            <w:tcW w:w="330" w:type="pct"/>
            <w:tcBorders>
              <w:top w:val="nil"/>
              <w:left w:val="nil"/>
              <w:bottom w:val="single" w:sz="4" w:space="0" w:color="auto"/>
              <w:right w:val="single" w:sz="4" w:space="0" w:color="auto"/>
            </w:tcBorders>
            <w:shd w:val="clear" w:color="auto" w:fill="auto"/>
            <w:vAlign w:val="center"/>
            <w:hideMark/>
          </w:tcPr>
          <w:p w14:paraId="341709C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con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72DDF0CD"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con los requerimientos mínimos establecidos en la Sección 3.1.1.8 Servidores</w:t>
            </w:r>
          </w:p>
        </w:tc>
        <w:tc>
          <w:tcPr>
            <w:tcW w:w="403" w:type="pct"/>
            <w:tcBorders>
              <w:top w:val="nil"/>
              <w:left w:val="nil"/>
              <w:bottom w:val="single" w:sz="4" w:space="0" w:color="auto"/>
              <w:right w:val="single" w:sz="4" w:space="0" w:color="auto"/>
            </w:tcBorders>
            <w:shd w:val="clear" w:color="auto" w:fill="auto"/>
            <w:vAlign w:val="center"/>
            <w:hideMark/>
          </w:tcPr>
          <w:p w14:paraId="476BD172"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con los requerimientos mínimos establecidos en la Sección 3.1.1.8 Servidores, con sistema operativo GNU/Linux para los Gateways de Comunicaciones</w:t>
            </w:r>
          </w:p>
        </w:tc>
        <w:tc>
          <w:tcPr>
            <w:tcW w:w="412" w:type="pct"/>
            <w:tcBorders>
              <w:top w:val="nil"/>
              <w:left w:val="nil"/>
              <w:bottom w:val="single" w:sz="4" w:space="0" w:color="auto"/>
              <w:right w:val="single" w:sz="4" w:space="0" w:color="auto"/>
            </w:tcBorders>
            <w:shd w:val="clear" w:color="auto" w:fill="auto"/>
            <w:vAlign w:val="center"/>
            <w:hideMark/>
          </w:tcPr>
          <w:p w14:paraId="0E4EEEB0"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con los requerimientos mínimos establecidos en la Sección 3.1.1.8 Servidores, con sistema operativo GNU/Linux para los Frontales de Comunicaciones </w:t>
            </w:r>
          </w:p>
        </w:tc>
        <w:tc>
          <w:tcPr>
            <w:tcW w:w="403" w:type="pct"/>
            <w:tcBorders>
              <w:top w:val="nil"/>
              <w:left w:val="nil"/>
              <w:bottom w:val="single" w:sz="4" w:space="0" w:color="auto"/>
              <w:right w:val="single" w:sz="4" w:space="0" w:color="auto"/>
            </w:tcBorders>
            <w:shd w:val="clear" w:color="auto" w:fill="auto"/>
            <w:vAlign w:val="center"/>
            <w:hideMark/>
          </w:tcPr>
          <w:p w14:paraId="05279B7A"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con los requerimientos mínimos establecidos en la Sección 3.1.1.8 Servidores, con sistema operativo GNU/Linux para los Frontales y Gateways de Comunicaciones </w:t>
            </w:r>
          </w:p>
        </w:tc>
        <w:tc>
          <w:tcPr>
            <w:tcW w:w="430" w:type="pct"/>
            <w:tcBorders>
              <w:top w:val="nil"/>
              <w:left w:val="nil"/>
              <w:bottom w:val="single" w:sz="4" w:space="0" w:color="auto"/>
              <w:right w:val="single" w:sz="4" w:space="0" w:color="auto"/>
            </w:tcBorders>
            <w:shd w:val="clear" w:color="auto" w:fill="auto"/>
            <w:vAlign w:val="center"/>
          </w:tcPr>
          <w:p w14:paraId="5B843A03" w14:textId="4E96C618"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AB262BF"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8833B8A" w14:textId="59CBEA9C"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4D8FE43D"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2433E076"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3C633960" w14:textId="77777777" w:rsidTr="0027420C">
        <w:trPr>
          <w:trHeight w:val="285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5A443C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2.3</w:t>
            </w:r>
          </w:p>
        </w:tc>
        <w:tc>
          <w:tcPr>
            <w:tcW w:w="552" w:type="pct"/>
            <w:tcBorders>
              <w:top w:val="nil"/>
              <w:left w:val="nil"/>
              <w:bottom w:val="single" w:sz="4" w:space="0" w:color="auto"/>
              <w:right w:val="single" w:sz="4" w:space="0" w:color="auto"/>
            </w:tcBorders>
            <w:shd w:val="clear" w:color="auto" w:fill="auto"/>
            <w:vAlign w:val="center"/>
            <w:hideMark/>
          </w:tcPr>
          <w:p w14:paraId="19C8CCE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Sección 3.1.1.8 Servidores</w:t>
            </w:r>
          </w:p>
        </w:tc>
        <w:tc>
          <w:tcPr>
            <w:tcW w:w="330" w:type="pct"/>
            <w:tcBorders>
              <w:top w:val="nil"/>
              <w:left w:val="nil"/>
              <w:bottom w:val="single" w:sz="4" w:space="0" w:color="auto"/>
              <w:right w:val="single" w:sz="4" w:space="0" w:color="auto"/>
            </w:tcBorders>
            <w:shd w:val="clear" w:color="auto" w:fill="auto"/>
            <w:vAlign w:val="center"/>
            <w:hideMark/>
          </w:tcPr>
          <w:p w14:paraId="4768DEA8"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con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1D32A3BB"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con los requerimientos mínimos establecidos en la Sección 3.1.1.8 Servidores </w:t>
            </w:r>
          </w:p>
        </w:tc>
        <w:tc>
          <w:tcPr>
            <w:tcW w:w="403" w:type="pct"/>
            <w:tcBorders>
              <w:top w:val="nil"/>
              <w:left w:val="nil"/>
              <w:bottom w:val="single" w:sz="4" w:space="0" w:color="auto"/>
              <w:right w:val="single" w:sz="4" w:space="0" w:color="auto"/>
            </w:tcBorders>
            <w:shd w:val="clear" w:color="auto" w:fill="auto"/>
            <w:vAlign w:val="center"/>
            <w:hideMark/>
          </w:tcPr>
          <w:p w14:paraId="3AC0087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requerimientos mínimos. Con Memorias RAM DDR5 de 64 GB, procesadores INTEL XEON Gold de última generación y discos NVMe para </w:t>
            </w:r>
            <w:proofErr w:type="gramStart"/>
            <w:r w:rsidRPr="00494669">
              <w:rPr>
                <w:color w:val="000000"/>
                <w:sz w:val="16"/>
                <w:szCs w:val="16"/>
                <w:lang w:val="es-EC" w:eastAsia="es-EC" w:bidi="ar-SA"/>
              </w:rPr>
              <w:t>el todos los servidores</w:t>
            </w:r>
            <w:proofErr w:type="gramEnd"/>
            <w:r w:rsidRPr="00494669">
              <w:rPr>
                <w:color w:val="000000"/>
                <w:sz w:val="16"/>
                <w:szCs w:val="16"/>
                <w:lang w:val="es-EC" w:eastAsia="es-EC" w:bidi="ar-SA"/>
              </w:rPr>
              <w:t xml:space="preserve"> del ambiente de producción</w:t>
            </w:r>
          </w:p>
        </w:tc>
        <w:tc>
          <w:tcPr>
            <w:tcW w:w="412" w:type="pct"/>
            <w:tcBorders>
              <w:top w:val="nil"/>
              <w:left w:val="nil"/>
              <w:bottom w:val="single" w:sz="4" w:space="0" w:color="auto"/>
              <w:right w:val="single" w:sz="4" w:space="0" w:color="auto"/>
            </w:tcBorders>
            <w:shd w:val="clear" w:color="auto" w:fill="auto"/>
            <w:vAlign w:val="center"/>
            <w:hideMark/>
          </w:tcPr>
          <w:p w14:paraId="7411744D"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requerimientos mínimos. Con Memorias RAM DDR5 de 64 GB, procesadores INTEL XEON Gold de última generación y discos NVMe para </w:t>
            </w:r>
            <w:proofErr w:type="gramStart"/>
            <w:r w:rsidRPr="00494669">
              <w:rPr>
                <w:color w:val="000000"/>
                <w:sz w:val="16"/>
                <w:szCs w:val="16"/>
                <w:lang w:val="es-EC" w:eastAsia="es-EC" w:bidi="ar-SA"/>
              </w:rPr>
              <w:t>el todos los servidores</w:t>
            </w:r>
            <w:proofErr w:type="gramEnd"/>
            <w:r w:rsidRPr="00494669">
              <w:rPr>
                <w:color w:val="000000"/>
                <w:sz w:val="16"/>
                <w:szCs w:val="16"/>
                <w:lang w:val="es-EC" w:eastAsia="es-EC" w:bidi="ar-SA"/>
              </w:rPr>
              <w:t xml:space="preserve"> del ambiente de producción y QAS</w:t>
            </w:r>
          </w:p>
        </w:tc>
        <w:tc>
          <w:tcPr>
            <w:tcW w:w="403" w:type="pct"/>
            <w:tcBorders>
              <w:top w:val="nil"/>
              <w:left w:val="nil"/>
              <w:bottom w:val="single" w:sz="4" w:space="0" w:color="auto"/>
              <w:right w:val="single" w:sz="4" w:space="0" w:color="auto"/>
            </w:tcBorders>
            <w:shd w:val="clear" w:color="auto" w:fill="auto"/>
            <w:vAlign w:val="center"/>
            <w:hideMark/>
          </w:tcPr>
          <w:p w14:paraId="5CA79B3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requerimientos mínimos. Con Memorias RAM DDR5 de 64 GB, procesadores INTEL XEON Platinum de última generación y discos NVMe para </w:t>
            </w:r>
            <w:proofErr w:type="gramStart"/>
            <w:r w:rsidRPr="00494669">
              <w:rPr>
                <w:color w:val="000000"/>
                <w:sz w:val="16"/>
                <w:szCs w:val="16"/>
                <w:lang w:val="es-EC" w:eastAsia="es-EC" w:bidi="ar-SA"/>
              </w:rPr>
              <w:t>el todos los servidores</w:t>
            </w:r>
            <w:proofErr w:type="gramEnd"/>
            <w:r w:rsidRPr="00494669">
              <w:rPr>
                <w:color w:val="000000"/>
                <w:sz w:val="16"/>
                <w:szCs w:val="16"/>
                <w:lang w:val="es-EC" w:eastAsia="es-EC" w:bidi="ar-SA"/>
              </w:rPr>
              <w:t xml:space="preserve"> </w:t>
            </w:r>
          </w:p>
        </w:tc>
        <w:tc>
          <w:tcPr>
            <w:tcW w:w="430" w:type="pct"/>
            <w:tcBorders>
              <w:top w:val="nil"/>
              <w:left w:val="nil"/>
              <w:bottom w:val="single" w:sz="4" w:space="0" w:color="auto"/>
              <w:right w:val="single" w:sz="4" w:space="0" w:color="auto"/>
            </w:tcBorders>
            <w:shd w:val="clear" w:color="auto" w:fill="auto"/>
            <w:vAlign w:val="center"/>
          </w:tcPr>
          <w:p w14:paraId="24FA86E4" w14:textId="093A7312"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A15A09C"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6ABF5AF5" w14:textId="7EF43730"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4A11647C"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1848D013"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E7421E" w:rsidRPr="00494669" w14:paraId="3E7B5A51" w14:textId="77777777" w:rsidTr="0027420C">
        <w:trPr>
          <w:trHeight w:val="1428"/>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59CF4DC"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2.4</w:t>
            </w:r>
          </w:p>
        </w:tc>
        <w:tc>
          <w:tcPr>
            <w:tcW w:w="552" w:type="pct"/>
            <w:tcBorders>
              <w:top w:val="nil"/>
              <w:left w:val="nil"/>
              <w:bottom w:val="single" w:sz="4" w:space="0" w:color="auto"/>
              <w:right w:val="single" w:sz="4" w:space="0" w:color="auto"/>
            </w:tcBorders>
            <w:shd w:val="clear" w:color="auto" w:fill="auto"/>
            <w:vAlign w:val="center"/>
            <w:hideMark/>
          </w:tcPr>
          <w:p w14:paraId="316A85B9"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Sección 3.1.1.10 Consolas</w:t>
            </w:r>
          </w:p>
        </w:tc>
        <w:tc>
          <w:tcPr>
            <w:tcW w:w="330" w:type="pct"/>
            <w:tcBorders>
              <w:top w:val="nil"/>
              <w:left w:val="nil"/>
              <w:bottom w:val="single" w:sz="4" w:space="0" w:color="auto"/>
              <w:right w:val="single" w:sz="4" w:space="0" w:color="auto"/>
            </w:tcBorders>
            <w:shd w:val="clear" w:color="auto" w:fill="auto"/>
            <w:vAlign w:val="center"/>
            <w:hideMark/>
          </w:tcPr>
          <w:p w14:paraId="5E98CFF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276F14B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requerimientos mínimos establecidos en la Sección 3.1.1.10 Consolas</w:t>
            </w:r>
          </w:p>
        </w:tc>
        <w:tc>
          <w:tcPr>
            <w:tcW w:w="403" w:type="pct"/>
            <w:tcBorders>
              <w:top w:val="nil"/>
              <w:left w:val="nil"/>
              <w:bottom w:val="single" w:sz="4" w:space="0" w:color="auto"/>
              <w:right w:val="single" w:sz="4" w:space="0" w:color="auto"/>
            </w:tcBorders>
            <w:shd w:val="clear" w:color="auto" w:fill="auto"/>
            <w:vAlign w:val="center"/>
            <w:hideMark/>
          </w:tcPr>
          <w:p w14:paraId="6B799B98"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requerimientos mínimos más la Capacidad Memoria RAM DDR5 de </w:t>
            </w:r>
          </w:p>
        </w:tc>
        <w:tc>
          <w:tcPr>
            <w:tcW w:w="412" w:type="pct"/>
            <w:tcBorders>
              <w:top w:val="nil"/>
              <w:left w:val="nil"/>
              <w:bottom w:val="single" w:sz="4" w:space="0" w:color="auto"/>
              <w:right w:val="single" w:sz="4" w:space="0" w:color="auto"/>
            </w:tcBorders>
            <w:shd w:val="clear" w:color="auto" w:fill="auto"/>
            <w:vAlign w:val="center"/>
            <w:hideMark/>
          </w:tcPr>
          <w:p w14:paraId="3353197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requerimientos mínimos más la Capacidad Memoria RAM DDR5 y discos NVMe</w:t>
            </w:r>
          </w:p>
        </w:tc>
        <w:tc>
          <w:tcPr>
            <w:tcW w:w="403" w:type="pct"/>
            <w:tcBorders>
              <w:top w:val="nil"/>
              <w:left w:val="nil"/>
              <w:bottom w:val="single" w:sz="4" w:space="0" w:color="auto"/>
              <w:right w:val="single" w:sz="4" w:space="0" w:color="auto"/>
            </w:tcBorders>
            <w:shd w:val="clear" w:color="auto" w:fill="auto"/>
            <w:vAlign w:val="center"/>
            <w:hideMark/>
          </w:tcPr>
          <w:p w14:paraId="1605D99B"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requerimientos mínimos más la Capacidad Memoria RAM DDR5, discos NVMe y procesadores XEON de ultima generación</w:t>
            </w:r>
          </w:p>
        </w:tc>
        <w:tc>
          <w:tcPr>
            <w:tcW w:w="430" w:type="pct"/>
            <w:tcBorders>
              <w:top w:val="nil"/>
              <w:left w:val="nil"/>
              <w:bottom w:val="single" w:sz="4" w:space="0" w:color="auto"/>
              <w:right w:val="single" w:sz="4" w:space="0" w:color="auto"/>
            </w:tcBorders>
            <w:shd w:val="clear" w:color="auto" w:fill="auto"/>
            <w:vAlign w:val="center"/>
          </w:tcPr>
          <w:p w14:paraId="7979D92F" w14:textId="225D36A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528DE406"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8718F13" w14:textId="79F62871"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278A9E07"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0BDD2905"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B44C4E" w:rsidRPr="00494669" w14:paraId="50760972" w14:textId="77777777" w:rsidTr="0027420C">
        <w:trPr>
          <w:trHeight w:val="27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D44A36E" w14:textId="77777777" w:rsidR="0027420C" w:rsidRPr="00494669" w:rsidRDefault="0027420C" w:rsidP="009D79BF">
            <w:pPr>
              <w:suppressAutoHyphens w:val="0"/>
              <w:spacing w:after="0"/>
              <w:rPr>
                <w:b/>
                <w:bCs/>
                <w:color w:val="000000"/>
                <w:sz w:val="16"/>
                <w:szCs w:val="16"/>
                <w:lang w:val="es-EC" w:eastAsia="es-EC" w:bidi="ar-SA"/>
              </w:rPr>
            </w:pPr>
            <w:r w:rsidRPr="00494669">
              <w:rPr>
                <w:b/>
                <w:bCs/>
                <w:color w:val="000000"/>
                <w:sz w:val="16"/>
                <w:szCs w:val="16"/>
                <w:lang w:val="es-EC" w:eastAsia="es-EC" w:bidi="ar-SA"/>
              </w:rPr>
              <w:t>3</w:t>
            </w:r>
          </w:p>
        </w:tc>
        <w:tc>
          <w:tcPr>
            <w:tcW w:w="2658" w:type="pct"/>
            <w:gridSpan w:val="6"/>
            <w:tcBorders>
              <w:top w:val="single" w:sz="4" w:space="0" w:color="auto"/>
              <w:left w:val="nil"/>
              <w:bottom w:val="single" w:sz="4" w:space="0" w:color="auto"/>
              <w:right w:val="single" w:sz="4" w:space="0" w:color="auto"/>
            </w:tcBorders>
            <w:shd w:val="clear" w:color="auto" w:fill="auto"/>
            <w:vAlign w:val="center"/>
            <w:hideMark/>
          </w:tcPr>
          <w:p w14:paraId="6D3E69CE"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Servicios</w:t>
            </w:r>
            <w:r w:rsidRPr="00494669">
              <w:rPr>
                <w:color w:val="000000"/>
                <w:sz w:val="16"/>
                <w:szCs w:val="16"/>
                <w:lang w:val="es-EC" w:eastAsia="es-EC" w:bidi="ar-SA"/>
              </w:rPr>
              <w:t>  </w:t>
            </w:r>
          </w:p>
        </w:tc>
        <w:tc>
          <w:tcPr>
            <w:tcW w:w="430" w:type="pct"/>
            <w:tcBorders>
              <w:top w:val="nil"/>
              <w:left w:val="nil"/>
              <w:bottom w:val="single" w:sz="4" w:space="0" w:color="auto"/>
              <w:right w:val="single" w:sz="4" w:space="0" w:color="auto"/>
            </w:tcBorders>
            <w:shd w:val="clear" w:color="auto" w:fill="auto"/>
            <w:vAlign w:val="center"/>
          </w:tcPr>
          <w:p w14:paraId="0E6E028B" w14:textId="6D079371"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2D6447F8" w14:textId="77777777" w:rsidR="0027420C" w:rsidRPr="009879D2" w:rsidRDefault="0027420C" w:rsidP="009D79BF">
            <w:pPr>
              <w:suppressAutoHyphens w:val="0"/>
              <w:spacing w:after="0"/>
              <w:jc w:val="left"/>
              <w:rPr>
                <w:color w:val="000000"/>
                <w:sz w:val="16"/>
                <w:szCs w:val="16"/>
                <w:lang w:val="es-EC" w:eastAsia="es-EC" w:bidi="ar-SA"/>
              </w:rPr>
            </w:pPr>
          </w:p>
        </w:tc>
        <w:tc>
          <w:tcPr>
            <w:tcW w:w="387" w:type="pct"/>
            <w:tcBorders>
              <w:top w:val="nil"/>
              <w:left w:val="nil"/>
              <w:bottom w:val="single" w:sz="4" w:space="0" w:color="auto"/>
              <w:right w:val="single" w:sz="4" w:space="0" w:color="auto"/>
            </w:tcBorders>
            <w:shd w:val="clear" w:color="auto" w:fill="auto"/>
            <w:vAlign w:val="center"/>
          </w:tcPr>
          <w:p w14:paraId="7B29B4C8" w14:textId="77777777"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0A0945A2" w14:textId="77777777" w:rsidR="0027420C" w:rsidRPr="00494669" w:rsidRDefault="0027420C" w:rsidP="009D79BF">
            <w:pPr>
              <w:suppressAutoHyphens w:val="0"/>
              <w:spacing w:after="0"/>
              <w:jc w:val="left"/>
              <w:rPr>
                <w:b/>
                <w:bCs/>
                <w:color w:val="000000"/>
                <w:sz w:val="16"/>
                <w:szCs w:val="16"/>
                <w:lang w:val="es-EC" w:eastAsia="es-EC" w:bidi="ar-SA"/>
              </w:rPr>
            </w:pPr>
          </w:p>
        </w:tc>
        <w:tc>
          <w:tcPr>
            <w:tcW w:w="500" w:type="pct"/>
            <w:tcBorders>
              <w:top w:val="nil"/>
              <w:left w:val="nil"/>
              <w:bottom w:val="single" w:sz="4" w:space="0" w:color="auto"/>
              <w:right w:val="single" w:sz="4" w:space="0" w:color="auto"/>
            </w:tcBorders>
            <w:shd w:val="clear" w:color="auto" w:fill="auto"/>
            <w:vAlign w:val="center"/>
          </w:tcPr>
          <w:p w14:paraId="20C11DC3" w14:textId="77777777" w:rsidR="0027420C" w:rsidRPr="00494669" w:rsidRDefault="0027420C" w:rsidP="009D79BF">
            <w:pPr>
              <w:suppressAutoHyphens w:val="0"/>
              <w:spacing w:after="0"/>
              <w:jc w:val="left"/>
              <w:rPr>
                <w:b/>
                <w:bCs/>
                <w:color w:val="000000"/>
                <w:sz w:val="16"/>
                <w:szCs w:val="16"/>
                <w:lang w:val="es-EC" w:eastAsia="es-EC" w:bidi="ar-SA"/>
              </w:rPr>
            </w:pPr>
          </w:p>
        </w:tc>
      </w:tr>
      <w:tr w:rsidR="00E7421E" w:rsidRPr="00494669" w14:paraId="0E505B84" w14:textId="77777777" w:rsidTr="0027420C">
        <w:trPr>
          <w:trHeight w:val="10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B55326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3.1</w:t>
            </w:r>
          </w:p>
        </w:tc>
        <w:tc>
          <w:tcPr>
            <w:tcW w:w="552" w:type="pct"/>
            <w:tcBorders>
              <w:top w:val="nil"/>
              <w:left w:val="nil"/>
              <w:bottom w:val="single" w:sz="4" w:space="0" w:color="auto"/>
              <w:right w:val="single" w:sz="4" w:space="0" w:color="auto"/>
            </w:tcBorders>
            <w:shd w:val="clear" w:color="auto" w:fill="auto"/>
            <w:vAlign w:val="center"/>
            <w:hideMark/>
          </w:tcPr>
          <w:p w14:paraId="6E7A968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Corte y Transferencia (Cutover) </w:t>
            </w:r>
          </w:p>
        </w:tc>
        <w:tc>
          <w:tcPr>
            <w:tcW w:w="330" w:type="pct"/>
            <w:tcBorders>
              <w:top w:val="nil"/>
              <w:left w:val="nil"/>
              <w:bottom w:val="single" w:sz="4" w:space="0" w:color="auto"/>
              <w:right w:val="single" w:sz="4" w:space="0" w:color="auto"/>
            </w:tcBorders>
            <w:shd w:val="clear" w:color="auto" w:fill="auto"/>
            <w:vAlign w:val="center"/>
            <w:hideMark/>
          </w:tcPr>
          <w:p w14:paraId="6FED39A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7AC933CC"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Al menos 2 especialista dos (2) semanas en sitio </w:t>
            </w:r>
          </w:p>
        </w:tc>
        <w:tc>
          <w:tcPr>
            <w:tcW w:w="403" w:type="pct"/>
            <w:tcBorders>
              <w:top w:val="nil"/>
              <w:left w:val="nil"/>
              <w:bottom w:val="single" w:sz="4" w:space="0" w:color="auto"/>
              <w:right w:val="single" w:sz="4" w:space="0" w:color="auto"/>
            </w:tcBorders>
            <w:shd w:val="clear" w:color="auto" w:fill="auto"/>
            <w:vAlign w:val="center"/>
            <w:hideMark/>
          </w:tcPr>
          <w:p w14:paraId="13D5169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requerimientos mínimos más 3 especialistas dos (2) semanas en sitio </w:t>
            </w:r>
          </w:p>
        </w:tc>
        <w:tc>
          <w:tcPr>
            <w:tcW w:w="412" w:type="pct"/>
            <w:tcBorders>
              <w:top w:val="nil"/>
              <w:left w:val="nil"/>
              <w:bottom w:val="single" w:sz="4" w:space="0" w:color="auto"/>
              <w:right w:val="single" w:sz="4" w:space="0" w:color="auto"/>
            </w:tcBorders>
            <w:shd w:val="clear" w:color="auto" w:fill="auto"/>
            <w:vAlign w:val="center"/>
            <w:hideMark/>
          </w:tcPr>
          <w:p w14:paraId="70D1687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requerimientos mínimos más 4 especialistas dos (2) semanas en sitio </w:t>
            </w:r>
          </w:p>
        </w:tc>
        <w:tc>
          <w:tcPr>
            <w:tcW w:w="403" w:type="pct"/>
            <w:tcBorders>
              <w:top w:val="nil"/>
              <w:left w:val="nil"/>
              <w:bottom w:val="single" w:sz="4" w:space="0" w:color="auto"/>
              <w:right w:val="single" w:sz="4" w:space="0" w:color="auto"/>
            </w:tcBorders>
            <w:shd w:val="clear" w:color="auto" w:fill="auto"/>
            <w:vAlign w:val="center"/>
            <w:hideMark/>
          </w:tcPr>
          <w:p w14:paraId="2CA1787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requerimientos mínimos más 5 especialistas o superior dos (2) semanas en sitio </w:t>
            </w:r>
          </w:p>
        </w:tc>
        <w:tc>
          <w:tcPr>
            <w:tcW w:w="430" w:type="pct"/>
            <w:tcBorders>
              <w:top w:val="nil"/>
              <w:left w:val="nil"/>
              <w:bottom w:val="single" w:sz="4" w:space="0" w:color="auto"/>
              <w:right w:val="single" w:sz="4" w:space="0" w:color="auto"/>
            </w:tcBorders>
            <w:shd w:val="clear" w:color="auto" w:fill="auto"/>
            <w:vAlign w:val="center"/>
          </w:tcPr>
          <w:p w14:paraId="49985CE7" w14:textId="56B034E9"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530EFAB"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71676695" w14:textId="737A6890"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26D75EE3"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vAlign w:val="center"/>
          </w:tcPr>
          <w:p w14:paraId="2F5FEE93"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r>
      <w:tr w:rsidR="00B44C4E" w:rsidRPr="00494669" w14:paraId="08F1DE69" w14:textId="77777777" w:rsidTr="0027420C">
        <w:trPr>
          <w:trHeight w:val="27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3BD38FD3" w14:textId="77777777" w:rsidR="0027420C" w:rsidRPr="00494669" w:rsidRDefault="0027420C" w:rsidP="009D79BF">
            <w:pPr>
              <w:suppressAutoHyphens w:val="0"/>
              <w:spacing w:after="0"/>
              <w:rPr>
                <w:b/>
                <w:bCs/>
                <w:color w:val="000000"/>
                <w:sz w:val="16"/>
                <w:szCs w:val="16"/>
                <w:lang w:val="es-EC" w:eastAsia="es-EC" w:bidi="ar-SA"/>
              </w:rPr>
            </w:pPr>
            <w:r w:rsidRPr="00494669">
              <w:rPr>
                <w:b/>
                <w:bCs/>
                <w:color w:val="000000"/>
                <w:sz w:val="16"/>
                <w:szCs w:val="16"/>
                <w:lang w:val="es-EC" w:eastAsia="es-EC" w:bidi="ar-SA"/>
              </w:rPr>
              <w:t>4</w:t>
            </w:r>
          </w:p>
        </w:tc>
        <w:tc>
          <w:tcPr>
            <w:tcW w:w="2658" w:type="pct"/>
            <w:gridSpan w:val="6"/>
            <w:tcBorders>
              <w:top w:val="single" w:sz="4" w:space="0" w:color="auto"/>
              <w:left w:val="nil"/>
              <w:bottom w:val="single" w:sz="4" w:space="0" w:color="auto"/>
              <w:right w:val="single" w:sz="4" w:space="0" w:color="auto"/>
            </w:tcBorders>
            <w:shd w:val="clear" w:color="auto" w:fill="auto"/>
            <w:vAlign w:val="center"/>
            <w:hideMark/>
          </w:tcPr>
          <w:p w14:paraId="3E416652"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Requerimientos Funcionales del Nuevo Centro de Control</w:t>
            </w:r>
            <w:r w:rsidRPr="00494669">
              <w:rPr>
                <w:color w:val="000000"/>
                <w:sz w:val="16"/>
                <w:szCs w:val="16"/>
                <w:lang w:val="es-EC" w:eastAsia="es-EC" w:bidi="ar-SA"/>
              </w:rPr>
              <w:t>     </w:t>
            </w:r>
          </w:p>
        </w:tc>
        <w:tc>
          <w:tcPr>
            <w:tcW w:w="430" w:type="pct"/>
            <w:tcBorders>
              <w:top w:val="nil"/>
              <w:left w:val="nil"/>
              <w:bottom w:val="single" w:sz="4" w:space="0" w:color="auto"/>
              <w:right w:val="single" w:sz="4" w:space="0" w:color="auto"/>
            </w:tcBorders>
            <w:shd w:val="clear" w:color="auto" w:fill="auto"/>
            <w:vAlign w:val="center"/>
          </w:tcPr>
          <w:p w14:paraId="6DFF3B5E" w14:textId="40EAA6FC"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3956E58" w14:textId="77777777" w:rsidR="0027420C" w:rsidRPr="009879D2" w:rsidRDefault="0027420C" w:rsidP="009D79BF">
            <w:pPr>
              <w:suppressAutoHyphens w:val="0"/>
              <w:spacing w:after="0"/>
              <w:jc w:val="left"/>
              <w:rPr>
                <w:color w:val="000000"/>
                <w:sz w:val="16"/>
                <w:szCs w:val="16"/>
                <w:lang w:val="es-EC" w:eastAsia="es-EC" w:bidi="ar-SA"/>
              </w:rPr>
            </w:pPr>
          </w:p>
        </w:tc>
        <w:tc>
          <w:tcPr>
            <w:tcW w:w="387" w:type="pct"/>
            <w:tcBorders>
              <w:top w:val="nil"/>
              <w:left w:val="nil"/>
              <w:bottom w:val="single" w:sz="4" w:space="0" w:color="auto"/>
              <w:right w:val="single" w:sz="4" w:space="0" w:color="auto"/>
            </w:tcBorders>
            <w:shd w:val="clear" w:color="auto" w:fill="auto"/>
            <w:vAlign w:val="center"/>
          </w:tcPr>
          <w:p w14:paraId="46B72712" w14:textId="77777777"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7B62B62D" w14:textId="77777777" w:rsidR="0027420C" w:rsidRPr="00494669" w:rsidRDefault="0027420C" w:rsidP="009D79BF">
            <w:pPr>
              <w:suppressAutoHyphens w:val="0"/>
              <w:spacing w:after="0"/>
              <w:jc w:val="left"/>
              <w:rPr>
                <w:b/>
                <w:bCs/>
                <w:color w:val="000000"/>
                <w:sz w:val="16"/>
                <w:szCs w:val="16"/>
                <w:lang w:val="es-EC" w:eastAsia="es-EC" w:bidi="ar-SA"/>
              </w:rPr>
            </w:pPr>
          </w:p>
        </w:tc>
        <w:tc>
          <w:tcPr>
            <w:tcW w:w="500" w:type="pct"/>
            <w:tcBorders>
              <w:top w:val="nil"/>
              <w:left w:val="nil"/>
              <w:bottom w:val="single" w:sz="4" w:space="0" w:color="auto"/>
              <w:right w:val="single" w:sz="4" w:space="0" w:color="auto"/>
            </w:tcBorders>
            <w:shd w:val="clear" w:color="auto" w:fill="auto"/>
            <w:vAlign w:val="center"/>
          </w:tcPr>
          <w:p w14:paraId="14F3D7FB" w14:textId="77777777" w:rsidR="0027420C" w:rsidRPr="00494669" w:rsidRDefault="0027420C" w:rsidP="009D79BF">
            <w:pPr>
              <w:suppressAutoHyphens w:val="0"/>
              <w:spacing w:after="0"/>
              <w:jc w:val="left"/>
              <w:rPr>
                <w:b/>
                <w:bCs/>
                <w:color w:val="000000"/>
                <w:sz w:val="16"/>
                <w:szCs w:val="16"/>
                <w:lang w:val="es-EC" w:eastAsia="es-EC" w:bidi="ar-SA"/>
              </w:rPr>
            </w:pPr>
          </w:p>
        </w:tc>
      </w:tr>
      <w:tr w:rsidR="00E7421E" w:rsidRPr="00494669" w14:paraId="2C927A64" w14:textId="77777777" w:rsidTr="0027420C">
        <w:trPr>
          <w:trHeight w:val="629"/>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1EE13F9" w14:textId="68BFA3E2"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4.1</w:t>
            </w:r>
          </w:p>
        </w:tc>
        <w:tc>
          <w:tcPr>
            <w:tcW w:w="552" w:type="pct"/>
            <w:tcBorders>
              <w:top w:val="nil"/>
              <w:left w:val="nil"/>
              <w:bottom w:val="single" w:sz="4" w:space="0" w:color="auto"/>
              <w:right w:val="single" w:sz="4" w:space="0" w:color="auto"/>
            </w:tcBorders>
            <w:shd w:val="clear" w:color="auto" w:fill="auto"/>
            <w:vAlign w:val="center"/>
            <w:hideMark/>
          </w:tcPr>
          <w:p w14:paraId="65810947"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3.4.4.2</w:t>
            </w:r>
            <w:r>
              <w:rPr>
                <w:color w:val="000000"/>
                <w:sz w:val="16"/>
                <w:szCs w:val="16"/>
                <w:lang w:val="es-EC" w:eastAsia="es-EC" w:bidi="ar-SA"/>
              </w:rPr>
              <w:t xml:space="preserve"> </w:t>
            </w:r>
            <w:r w:rsidRPr="00494669">
              <w:rPr>
                <w:color w:val="000000"/>
                <w:sz w:val="16"/>
                <w:szCs w:val="16"/>
                <w:lang w:val="es-EC" w:eastAsia="es-EC" w:bidi="ar-SA"/>
              </w:rPr>
              <w:t>Requerimientos generales de la base de datos fuente</w:t>
            </w:r>
          </w:p>
        </w:tc>
        <w:tc>
          <w:tcPr>
            <w:tcW w:w="330" w:type="pct"/>
            <w:tcBorders>
              <w:top w:val="nil"/>
              <w:left w:val="nil"/>
              <w:bottom w:val="single" w:sz="4" w:space="0" w:color="auto"/>
              <w:right w:val="single" w:sz="4" w:space="0" w:color="auto"/>
            </w:tcBorders>
            <w:shd w:val="clear" w:color="auto" w:fill="auto"/>
            <w:vAlign w:val="center"/>
            <w:hideMark/>
          </w:tcPr>
          <w:p w14:paraId="224DD01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1E35FB3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La SDB será utilizada por los usuarios del CENACE para definir el modelo y actualizar el sistema eléctrico y será la única fuente de </w:t>
            </w:r>
            <w:r w:rsidRPr="00494669">
              <w:rPr>
                <w:color w:val="000000"/>
                <w:sz w:val="16"/>
                <w:szCs w:val="16"/>
                <w:lang w:val="es-EC" w:eastAsia="es-EC" w:bidi="ar-SA"/>
              </w:rPr>
              <w:lastRenderedPageBreak/>
              <w:t xml:space="preserve">datos que se utilizará para generar, poblar y actualizar toda la base de datos en tiempo real que comprende la red eléctrica, la red de comunicaciones, datos a intercambiar con el campo, despliegues, entre otros.  Estas actividades se realizarán independientemente de donde residan los datos, esto es, servidores, estaciones de trabajo, frontales de comunicaciones, etc. Este sistema de creación, población y actualización del modelo de datos del sistema debe realizarse con un motor de base de datos relacional.  Este motor, además de gestionar las entradas de datos de forma controlada, debe garantizar la integridad, consistencia y almacenamiento de datos, incluyendo todas las acciones necesarias de "guardar" y "recuperar". Para evitar discrepancias, el sistema debe proporcionar de la manera más absoluta, un único punto de referencia para cada objeto (elementos de red, </w:t>
            </w:r>
            <w:r w:rsidRPr="00494669">
              <w:rPr>
                <w:color w:val="000000"/>
                <w:sz w:val="16"/>
                <w:szCs w:val="16"/>
                <w:lang w:val="es-EC" w:eastAsia="es-EC" w:bidi="ar-SA"/>
              </w:rPr>
              <w:lastRenderedPageBreak/>
              <w:t xml:space="preserve">datos a adquirir, visualización, etc.).  Este enfoque contribuye a la representación estática, tanto del sistema a controlar como del propio sistema de control. </w:t>
            </w:r>
          </w:p>
        </w:tc>
        <w:tc>
          <w:tcPr>
            <w:tcW w:w="403" w:type="pct"/>
            <w:tcBorders>
              <w:top w:val="nil"/>
              <w:left w:val="nil"/>
              <w:bottom w:val="single" w:sz="4" w:space="0" w:color="auto"/>
              <w:right w:val="single" w:sz="4" w:space="0" w:color="auto"/>
            </w:tcBorders>
            <w:shd w:val="clear" w:color="auto" w:fill="auto"/>
            <w:vAlign w:val="center"/>
            <w:hideMark/>
          </w:tcPr>
          <w:p w14:paraId="17F46C6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 xml:space="preserve">El SCADA/EMS soportará dentro de su modelo eléctrico la inclusión de centrales </w:t>
            </w:r>
            <w:r w:rsidRPr="00494669">
              <w:rPr>
                <w:color w:val="000000"/>
                <w:sz w:val="16"/>
                <w:szCs w:val="16"/>
                <w:lang w:val="es-EC" w:eastAsia="es-EC" w:bidi="ar-SA"/>
              </w:rPr>
              <w:lastRenderedPageBreak/>
              <w:t>virtuales de generación eléctrica Virtual Power Plant VPP, que tendrán su identificación propia y agruparán la generación de fuentes renovables no convencionales, la potencia de los sistemas de almacenamiento de energía BESS y las cargas asociadas</w:t>
            </w:r>
          </w:p>
        </w:tc>
        <w:tc>
          <w:tcPr>
            <w:tcW w:w="412" w:type="pct"/>
            <w:tcBorders>
              <w:top w:val="nil"/>
              <w:left w:val="nil"/>
              <w:bottom w:val="single" w:sz="4" w:space="0" w:color="auto"/>
              <w:right w:val="single" w:sz="4" w:space="0" w:color="auto"/>
            </w:tcBorders>
            <w:shd w:val="clear" w:color="auto" w:fill="auto"/>
            <w:vAlign w:val="center"/>
            <w:hideMark/>
          </w:tcPr>
          <w:p w14:paraId="16EEFD4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 xml:space="preserve">El SCADA/EMS soportará dentro de su modelo eléctrico la inclusión de centrales </w:t>
            </w:r>
            <w:r w:rsidRPr="00494669">
              <w:rPr>
                <w:color w:val="000000"/>
                <w:sz w:val="16"/>
                <w:szCs w:val="16"/>
                <w:lang w:val="es-EC" w:eastAsia="es-EC" w:bidi="ar-SA"/>
              </w:rPr>
              <w:lastRenderedPageBreak/>
              <w:t xml:space="preserve">virtuales de generación eléctrica Virtual Power Plant VPP que tendrán su identificación propia y agruparán la generación de fuentes renovables no convencionales, la potencia de los sistemas de almacenamiento de energía BESS y las cargas asociadas. Adicionalmente, las VPP tendrán la capacidad para monitorear en tiempo real la producción y consumo de energía de todas las fuentes conectadas a la VPP, incluyendo plantas fotovoltaicas, granjas eólicas, almacenamiento de baterías y las cargas del sistema utilizando la infraestructura SCADA/EMS que permita integrarse a </w:t>
            </w:r>
            <w:r w:rsidRPr="00494669">
              <w:rPr>
                <w:color w:val="000000"/>
                <w:sz w:val="16"/>
                <w:szCs w:val="16"/>
                <w:lang w:val="es-EC" w:eastAsia="es-EC" w:bidi="ar-SA"/>
              </w:rPr>
              <w:lastRenderedPageBreak/>
              <w:t>toda la funcionalidad de este sistema</w:t>
            </w:r>
          </w:p>
        </w:tc>
        <w:tc>
          <w:tcPr>
            <w:tcW w:w="403" w:type="pct"/>
            <w:tcBorders>
              <w:top w:val="nil"/>
              <w:left w:val="nil"/>
              <w:bottom w:val="single" w:sz="4" w:space="0" w:color="auto"/>
              <w:right w:val="single" w:sz="4" w:space="0" w:color="auto"/>
            </w:tcBorders>
            <w:shd w:val="clear" w:color="auto" w:fill="auto"/>
            <w:vAlign w:val="center"/>
            <w:hideMark/>
          </w:tcPr>
          <w:p w14:paraId="6976D15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 xml:space="preserve">El SCADA/EMS soportará dentro de su modelo eléctrico la inclusión de centrales </w:t>
            </w:r>
            <w:r w:rsidRPr="00494669">
              <w:rPr>
                <w:color w:val="000000"/>
                <w:sz w:val="16"/>
                <w:szCs w:val="16"/>
                <w:lang w:val="es-EC" w:eastAsia="es-EC" w:bidi="ar-SA"/>
              </w:rPr>
              <w:lastRenderedPageBreak/>
              <w:t xml:space="preserve">virtuales de generación eléctrica Virtual Power Plant VPP que tendrán su identificación propia y agruparán la generación de fuentes renovables no convencionales, la potencia de los sistemas de almacenamiento de energía BESS y las cargas asociadas. Las VPP tendrán la capacidad para monitorear en tiempo real la producción y consumo de energía de todas las fuentes conectadas a la VPP, incluyendo plantas fotovoltaicas, granjas eólicas, almacenamiento de baterías y las cargas del sistema utilizando la infraestructura SCADA/EMS que permita </w:t>
            </w:r>
            <w:r w:rsidRPr="00494669">
              <w:rPr>
                <w:color w:val="000000"/>
                <w:sz w:val="16"/>
                <w:szCs w:val="16"/>
                <w:lang w:val="es-EC" w:eastAsia="es-EC" w:bidi="ar-SA"/>
              </w:rPr>
              <w:lastRenderedPageBreak/>
              <w:t>integrarse a toda la funcionalidad de este sistema. Adicionalmente, tendrá la capacidad de integrarse al sistema de pronóstico de demanda del SCADA/EMS</w:t>
            </w:r>
          </w:p>
        </w:tc>
        <w:tc>
          <w:tcPr>
            <w:tcW w:w="430" w:type="pct"/>
            <w:tcBorders>
              <w:top w:val="nil"/>
              <w:left w:val="nil"/>
              <w:bottom w:val="single" w:sz="4" w:space="0" w:color="auto"/>
              <w:right w:val="single" w:sz="4" w:space="0" w:color="auto"/>
            </w:tcBorders>
            <w:shd w:val="clear" w:color="auto" w:fill="auto"/>
            <w:vAlign w:val="center"/>
          </w:tcPr>
          <w:p w14:paraId="0E4B2825" w14:textId="0514F14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44FC5DE"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3366B8DB" w14:textId="3A0A63B5"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06CE6FEC"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38A8535A"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2638A6F9" w14:textId="77777777" w:rsidTr="0027420C">
        <w:trPr>
          <w:trHeight w:val="10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0A6E07E0"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4,2</w:t>
            </w:r>
          </w:p>
        </w:tc>
        <w:tc>
          <w:tcPr>
            <w:tcW w:w="552" w:type="pct"/>
            <w:tcBorders>
              <w:top w:val="nil"/>
              <w:left w:val="nil"/>
              <w:bottom w:val="single" w:sz="4" w:space="0" w:color="auto"/>
              <w:right w:val="single" w:sz="4" w:space="0" w:color="auto"/>
            </w:tcBorders>
            <w:shd w:val="clear" w:color="auto" w:fill="auto"/>
            <w:vAlign w:val="center"/>
            <w:hideMark/>
          </w:tcPr>
          <w:p w14:paraId="3A30E308"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2.1.1.1.1.6</w:t>
            </w:r>
            <w:r>
              <w:rPr>
                <w:color w:val="000000"/>
                <w:sz w:val="16"/>
                <w:szCs w:val="16"/>
                <w:lang w:val="es-EC" w:eastAsia="es-EC" w:bidi="ar-SA"/>
              </w:rPr>
              <w:t xml:space="preserve"> </w:t>
            </w:r>
            <w:r w:rsidRPr="00494669">
              <w:rPr>
                <w:color w:val="000000"/>
                <w:sz w:val="16"/>
                <w:szCs w:val="16"/>
                <w:lang w:val="es-EC" w:eastAsia="es-EC" w:bidi="ar-SA"/>
              </w:rPr>
              <w:t xml:space="preserve">Procesamiento de Alarmas y </w:t>
            </w:r>
            <w:proofErr w:type="gramStart"/>
            <w:r w:rsidRPr="00494669">
              <w:rPr>
                <w:color w:val="000000"/>
                <w:sz w:val="16"/>
                <w:szCs w:val="16"/>
                <w:lang w:val="es-EC" w:eastAsia="es-EC" w:bidi="ar-SA"/>
              </w:rPr>
              <w:t>Eventos</w:t>
            </w:r>
            <w:r>
              <w:rPr>
                <w:color w:val="000000"/>
                <w:sz w:val="16"/>
                <w:szCs w:val="16"/>
                <w:lang w:val="es-EC" w:eastAsia="es-EC" w:bidi="ar-SA"/>
              </w:rPr>
              <w:t xml:space="preserve">  </w:t>
            </w:r>
            <w:r w:rsidRPr="00494669">
              <w:rPr>
                <w:color w:val="000000"/>
                <w:sz w:val="16"/>
                <w:szCs w:val="16"/>
                <w:lang w:val="es-EC" w:eastAsia="es-EC" w:bidi="ar-SA"/>
              </w:rPr>
              <w:t>La</w:t>
            </w:r>
            <w:proofErr w:type="gramEnd"/>
            <w:r w:rsidRPr="00494669">
              <w:rPr>
                <w:color w:val="000000"/>
                <w:sz w:val="16"/>
                <w:szCs w:val="16"/>
                <w:lang w:val="es-EC" w:eastAsia="es-EC" w:bidi="ar-SA"/>
              </w:rPr>
              <w:t xml:space="preserve"> lista de alarmas tendrá un tamaño que permita alojar un mínimo de 5000 alarmas.</w:t>
            </w:r>
          </w:p>
        </w:tc>
        <w:tc>
          <w:tcPr>
            <w:tcW w:w="330" w:type="pct"/>
            <w:tcBorders>
              <w:top w:val="nil"/>
              <w:left w:val="nil"/>
              <w:bottom w:val="single" w:sz="4" w:space="0" w:color="auto"/>
              <w:right w:val="single" w:sz="4" w:space="0" w:color="auto"/>
            </w:tcBorders>
            <w:shd w:val="clear" w:color="auto" w:fill="auto"/>
            <w:vAlign w:val="center"/>
            <w:hideMark/>
          </w:tcPr>
          <w:p w14:paraId="00828EC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2BAB950D" w14:textId="1AFEF589"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requisitos establecidos en item 2.1.1.1.1.6</w:t>
            </w:r>
            <w:r>
              <w:rPr>
                <w:color w:val="000000"/>
                <w:sz w:val="16"/>
                <w:szCs w:val="16"/>
                <w:lang w:val="es-EC" w:eastAsia="es-EC" w:bidi="ar-SA"/>
              </w:rPr>
              <w:t xml:space="preserve"> </w:t>
            </w:r>
            <w:r w:rsidRPr="00494669">
              <w:rPr>
                <w:color w:val="000000"/>
                <w:sz w:val="16"/>
                <w:szCs w:val="16"/>
                <w:lang w:val="es-EC" w:eastAsia="es-EC" w:bidi="ar-SA"/>
              </w:rPr>
              <w:t>Procesamiento de Alarmas y Eventos</w:t>
            </w:r>
          </w:p>
        </w:tc>
        <w:tc>
          <w:tcPr>
            <w:tcW w:w="403" w:type="pct"/>
            <w:tcBorders>
              <w:top w:val="nil"/>
              <w:left w:val="nil"/>
              <w:bottom w:val="single" w:sz="4" w:space="0" w:color="auto"/>
              <w:right w:val="single" w:sz="4" w:space="0" w:color="auto"/>
            </w:tcBorders>
            <w:shd w:val="clear" w:color="auto" w:fill="auto"/>
            <w:vAlign w:val="center"/>
            <w:hideMark/>
          </w:tcPr>
          <w:p w14:paraId="7081CEC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La lista de alarmas tendrá un tamaño que permita alojar un mínimo de 6000 alarmas.</w:t>
            </w:r>
          </w:p>
        </w:tc>
        <w:tc>
          <w:tcPr>
            <w:tcW w:w="412" w:type="pct"/>
            <w:tcBorders>
              <w:top w:val="nil"/>
              <w:left w:val="nil"/>
              <w:bottom w:val="single" w:sz="4" w:space="0" w:color="auto"/>
              <w:right w:val="single" w:sz="4" w:space="0" w:color="auto"/>
            </w:tcBorders>
            <w:shd w:val="clear" w:color="auto" w:fill="auto"/>
            <w:vAlign w:val="center"/>
            <w:hideMark/>
          </w:tcPr>
          <w:p w14:paraId="3EE61FA4"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La lista de alarmas tendrá un tamaño que permita alojar un mínimo de 7000 alarmas.</w:t>
            </w:r>
          </w:p>
        </w:tc>
        <w:tc>
          <w:tcPr>
            <w:tcW w:w="403" w:type="pct"/>
            <w:tcBorders>
              <w:top w:val="nil"/>
              <w:left w:val="nil"/>
              <w:bottom w:val="single" w:sz="4" w:space="0" w:color="auto"/>
              <w:right w:val="single" w:sz="4" w:space="0" w:color="auto"/>
            </w:tcBorders>
            <w:shd w:val="clear" w:color="auto" w:fill="auto"/>
            <w:vAlign w:val="center"/>
            <w:hideMark/>
          </w:tcPr>
          <w:p w14:paraId="1D589E2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La lista de alarmas tendrá un tamaño que permita alojar un mínimo de 8000 alarmas.</w:t>
            </w:r>
          </w:p>
        </w:tc>
        <w:tc>
          <w:tcPr>
            <w:tcW w:w="430" w:type="pct"/>
            <w:tcBorders>
              <w:top w:val="nil"/>
              <w:left w:val="nil"/>
              <w:bottom w:val="single" w:sz="4" w:space="0" w:color="auto"/>
              <w:right w:val="single" w:sz="4" w:space="0" w:color="auto"/>
            </w:tcBorders>
            <w:shd w:val="clear" w:color="auto" w:fill="auto"/>
            <w:vAlign w:val="center"/>
          </w:tcPr>
          <w:p w14:paraId="6BB76A19" w14:textId="0F7A1C6C"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66E2290"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0,034</w:t>
            </w:r>
          </w:p>
        </w:tc>
        <w:tc>
          <w:tcPr>
            <w:tcW w:w="387" w:type="pct"/>
            <w:tcBorders>
              <w:top w:val="nil"/>
              <w:left w:val="nil"/>
              <w:bottom w:val="single" w:sz="4" w:space="0" w:color="auto"/>
              <w:right w:val="single" w:sz="4" w:space="0" w:color="auto"/>
            </w:tcBorders>
            <w:shd w:val="clear" w:color="auto" w:fill="auto"/>
            <w:vAlign w:val="center"/>
          </w:tcPr>
          <w:p w14:paraId="7A30D449" w14:textId="3B9FF949"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3E4CFCF7"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2A9160BB"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28123D5D"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66A6B68"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4,3</w:t>
            </w:r>
          </w:p>
        </w:tc>
        <w:tc>
          <w:tcPr>
            <w:tcW w:w="552" w:type="pct"/>
            <w:tcBorders>
              <w:top w:val="nil"/>
              <w:left w:val="nil"/>
              <w:bottom w:val="single" w:sz="4" w:space="0" w:color="auto"/>
              <w:right w:val="single" w:sz="4" w:space="0" w:color="auto"/>
            </w:tcBorders>
            <w:shd w:val="clear" w:color="auto" w:fill="auto"/>
            <w:vAlign w:val="center"/>
            <w:hideMark/>
          </w:tcPr>
          <w:p w14:paraId="1BA76387"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2.1.1.1.4.9 </w:t>
            </w:r>
            <w:r w:rsidRPr="00494669">
              <w:rPr>
                <w:color w:val="000000"/>
                <w:sz w:val="16"/>
                <w:szCs w:val="16"/>
                <w:lang w:val="es-EC" w:eastAsia="es-EC" w:bidi="ar-SA"/>
              </w:rPr>
              <w:t>Flujo de Potencia Óptimo (Optimal Power Flow OPF)</w:t>
            </w:r>
          </w:p>
        </w:tc>
        <w:tc>
          <w:tcPr>
            <w:tcW w:w="330" w:type="pct"/>
            <w:tcBorders>
              <w:top w:val="nil"/>
              <w:left w:val="nil"/>
              <w:bottom w:val="single" w:sz="4" w:space="0" w:color="auto"/>
              <w:right w:val="single" w:sz="4" w:space="0" w:color="auto"/>
            </w:tcBorders>
            <w:shd w:val="clear" w:color="auto" w:fill="auto"/>
            <w:vAlign w:val="center"/>
            <w:hideMark/>
          </w:tcPr>
          <w:p w14:paraId="7FA1F759"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039B1236" w14:textId="421E59D8"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requisitos establecidos en item </w:t>
            </w:r>
            <w:r>
              <w:rPr>
                <w:color w:val="000000"/>
                <w:sz w:val="16"/>
                <w:szCs w:val="16"/>
                <w:lang w:val="es-EC" w:eastAsia="es-EC" w:bidi="ar-SA"/>
              </w:rPr>
              <w:t xml:space="preserve">2.1.1.1.4.9 </w:t>
            </w:r>
            <w:r w:rsidRPr="00494669">
              <w:rPr>
                <w:color w:val="000000"/>
                <w:sz w:val="16"/>
                <w:szCs w:val="16"/>
                <w:lang w:val="es-EC" w:eastAsia="es-EC" w:bidi="ar-SA"/>
              </w:rPr>
              <w:t>Flujo de Potencia Óptimo (Optimal Power Flow OPF)</w:t>
            </w:r>
          </w:p>
        </w:tc>
        <w:tc>
          <w:tcPr>
            <w:tcW w:w="403" w:type="pct"/>
            <w:tcBorders>
              <w:top w:val="nil"/>
              <w:left w:val="nil"/>
              <w:bottom w:val="single" w:sz="4" w:space="0" w:color="auto"/>
              <w:right w:val="single" w:sz="4" w:space="0" w:color="auto"/>
            </w:tcBorders>
            <w:shd w:val="clear" w:color="auto" w:fill="auto"/>
            <w:vAlign w:val="center"/>
            <w:hideMark/>
          </w:tcPr>
          <w:p w14:paraId="6F16654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1 objetivo de optimización adicional </w:t>
            </w:r>
          </w:p>
        </w:tc>
        <w:tc>
          <w:tcPr>
            <w:tcW w:w="412" w:type="pct"/>
            <w:tcBorders>
              <w:top w:val="nil"/>
              <w:left w:val="nil"/>
              <w:bottom w:val="single" w:sz="4" w:space="0" w:color="auto"/>
              <w:right w:val="single" w:sz="4" w:space="0" w:color="auto"/>
            </w:tcBorders>
            <w:shd w:val="clear" w:color="auto" w:fill="auto"/>
            <w:vAlign w:val="center"/>
            <w:hideMark/>
          </w:tcPr>
          <w:p w14:paraId="49382F7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2 objetivos de optimización adicionales</w:t>
            </w:r>
          </w:p>
        </w:tc>
        <w:tc>
          <w:tcPr>
            <w:tcW w:w="403" w:type="pct"/>
            <w:tcBorders>
              <w:top w:val="nil"/>
              <w:left w:val="nil"/>
              <w:bottom w:val="single" w:sz="4" w:space="0" w:color="auto"/>
              <w:right w:val="single" w:sz="4" w:space="0" w:color="auto"/>
            </w:tcBorders>
            <w:shd w:val="clear" w:color="auto" w:fill="auto"/>
            <w:vAlign w:val="center"/>
            <w:hideMark/>
          </w:tcPr>
          <w:p w14:paraId="0B816D4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3 </w:t>
            </w:r>
            <w:proofErr w:type="gramStart"/>
            <w:r w:rsidRPr="00494669">
              <w:rPr>
                <w:color w:val="000000"/>
                <w:sz w:val="16"/>
                <w:szCs w:val="16"/>
                <w:lang w:val="es-EC" w:eastAsia="es-EC" w:bidi="ar-SA"/>
              </w:rPr>
              <w:t>o  más</w:t>
            </w:r>
            <w:proofErr w:type="gramEnd"/>
            <w:r w:rsidRPr="00494669">
              <w:rPr>
                <w:color w:val="000000"/>
                <w:sz w:val="16"/>
                <w:szCs w:val="16"/>
                <w:lang w:val="es-EC" w:eastAsia="es-EC" w:bidi="ar-SA"/>
              </w:rPr>
              <w:t xml:space="preserve"> objetivos de optimización adicionales</w:t>
            </w:r>
          </w:p>
        </w:tc>
        <w:tc>
          <w:tcPr>
            <w:tcW w:w="430" w:type="pct"/>
            <w:tcBorders>
              <w:top w:val="nil"/>
              <w:left w:val="nil"/>
              <w:bottom w:val="single" w:sz="4" w:space="0" w:color="auto"/>
              <w:right w:val="single" w:sz="4" w:space="0" w:color="auto"/>
            </w:tcBorders>
            <w:shd w:val="clear" w:color="auto" w:fill="auto"/>
            <w:vAlign w:val="center"/>
          </w:tcPr>
          <w:p w14:paraId="7F49109B" w14:textId="5AA121F7"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10EFAC7"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6B7707F" w14:textId="032B39E5"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6663878F"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13546779"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6DE73FF1"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EC8D94C"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4,4</w:t>
            </w:r>
          </w:p>
        </w:tc>
        <w:tc>
          <w:tcPr>
            <w:tcW w:w="552" w:type="pct"/>
            <w:tcBorders>
              <w:top w:val="nil"/>
              <w:left w:val="nil"/>
              <w:bottom w:val="single" w:sz="4" w:space="0" w:color="auto"/>
              <w:right w:val="single" w:sz="4" w:space="0" w:color="auto"/>
            </w:tcBorders>
            <w:shd w:val="clear" w:color="auto" w:fill="auto"/>
            <w:vAlign w:val="center"/>
            <w:hideMark/>
          </w:tcPr>
          <w:p w14:paraId="5A452182"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2.1.1.1.5.1 Control Automático de Generación </w:t>
            </w:r>
            <w:r w:rsidRPr="00494669">
              <w:rPr>
                <w:color w:val="000000"/>
                <w:sz w:val="16"/>
                <w:szCs w:val="16"/>
                <w:lang w:val="es-EC" w:eastAsia="es-EC" w:bidi="ar-SA"/>
              </w:rPr>
              <w:t>Indices de Desempeño de AGC</w:t>
            </w:r>
          </w:p>
        </w:tc>
        <w:tc>
          <w:tcPr>
            <w:tcW w:w="330" w:type="pct"/>
            <w:tcBorders>
              <w:top w:val="nil"/>
              <w:left w:val="nil"/>
              <w:bottom w:val="single" w:sz="4" w:space="0" w:color="auto"/>
              <w:right w:val="single" w:sz="4" w:space="0" w:color="auto"/>
            </w:tcBorders>
            <w:shd w:val="clear" w:color="auto" w:fill="auto"/>
            <w:vAlign w:val="center"/>
            <w:hideMark/>
          </w:tcPr>
          <w:p w14:paraId="29235D7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4CC51431" w14:textId="21697B7A"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requisitos establecidos en item </w:t>
            </w:r>
            <w:r>
              <w:rPr>
                <w:color w:val="000000"/>
                <w:sz w:val="16"/>
                <w:szCs w:val="16"/>
                <w:lang w:val="es-EC" w:eastAsia="es-EC" w:bidi="ar-SA"/>
              </w:rPr>
              <w:t xml:space="preserve">2.1.1.1.5.1 </w:t>
            </w:r>
            <w:r w:rsidRPr="00494669">
              <w:rPr>
                <w:color w:val="000000"/>
                <w:sz w:val="16"/>
                <w:szCs w:val="16"/>
                <w:lang w:val="es-EC" w:eastAsia="es-EC" w:bidi="ar-SA"/>
              </w:rPr>
              <w:t xml:space="preserve">  Control Automático de Generación AGC</w:t>
            </w:r>
          </w:p>
        </w:tc>
        <w:tc>
          <w:tcPr>
            <w:tcW w:w="403" w:type="pct"/>
            <w:tcBorders>
              <w:top w:val="nil"/>
              <w:left w:val="nil"/>
              <w:bottom w:val="single" w:sz="4" w:space="0" w:color="auto"/>
              <w:right w:val="single" w:sz="4" w:space="0" w:color="auto"/>
            </w:tcBorders>
            <w:shd w:val="clear" w:color="auto" w:fill="auto"/>
            <w:vAlign w:val="center"/>
            <w:hideMark/>
          </w:tcPr>
          <w:p w14:paraId="3FA4689A"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1 Indice adicional </w:t>
            </w:r>
          </w:p>
        </w:tc>
        <w:tc>
          <w:tcPr>
            <w:tcW w:w="412" w:type="pct"/>
            <w:tcBorders>
              <w:top w:val="nil"/>
              <w:left w:val="nil"/>
              <w:bottom w:val="single" w:sz="4" w:space="0" w:color="auto"/>
              <w:right w:val="single" w:sz="4" w:space="0" w:color="auto"/>
            </w:tcBorders>
            <w:shd w:val="clear" w:color="auto" w:fill="auto"/>
            <w:vAlign w:val="center"/>
            <w:hideMark/>
          </w:tcPr>
          <w:p w14:paraId="214DBCC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2 Indices adicionales</w:t>
            </w:r>
          </w:p>
        </w:tc>
        <w:tc>
          <w:tcPr>
            <w:tcW w:w="403" w:type="pct"/>
            <w:tcBorders>
              <w:top w:val="nil"/>
              <w:left w:val="nil"/>
              <w:bottom w:val="single" w:sz="4" w:space="0" w:color="auto"/>
              <w:right w:val="single" w:sz="4" w:space="0" w:color="auto"/>
            </w:tcBorders>
            <w:shd w:val="clear" w:color="auto" w:fill="auto"/>
            <w:vAlign w:val="center"/>
            <w:hideMark/>
          </w:tcPr>
          <w:p w14:paraId="3E4F05AA"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3 o más Indices adicionales</w:t>
            </w:r>
          </w:p>
        </w:tc>
        <w:tc>
          <w:tcPr>
            <w:tcW w:w="430" w:type="pct"/>
            <w:tcBorders>
              <w:top w:val="nil"/>
              <w:left w:val="nil"/>
              <w:bottom w:val="single" w:sz="4" w:space="0" w:color="auto"/>
              <w:right w:val="single" w:sz="4" w:space="0" w:color="auto"/>
            </w:tcBorders>
            <w:shd w:val="clear" w:color="auto" w:fill="auto"/>
            <w:vAlign w:val="center"/>
          </w:tcPr>
          <w:p w14:paraId="78992485" w14:textId="72A0EC8D"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261AF363"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0,036</w:t>
            </w:r>
          </w:p>
        </w:tc>
        <w:tc>
          <w:tcPr>
            <w:tcW w:w="387" w:type="pct"/>
            <w:tcBorders>
              <w:top w:val="nil"/>
              <w:left w:val="nil"/>
              <w:bottom w:val="single" w:sz="4" w:space="0" w:color="auto"/>
              <w:right w:val="single" w:sz="4" w:space="0" w:color="auto"/>
            </w:tcBorders>
            <w:shd w:val="clear" w:color="auto" w:fill="auto"/>
            <w:vAlign w:val="center"/>
          </w:tcPr>
          <w:p w14:paraId="72F7D42F" w14:textId="2C58A789"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28940A42"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525A5121"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6AE50AE1"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B8D026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4,5</w:t>
            </w:r>
          </w:p>
        </w:tc>
        <w:tc>
          <w:tcPr>
            <w:tcW w:w="552" w:type="pct"/>
            <w:tcBorders>
              <w:top w:val="nil"/>
              <w:left w:val="nil"/>
              <w:bottom w:val="single" w:sz="4" w:space="0" w:color="auto"/>
              <w:right w:val="single" w:sz="4" w:space="0" w:color="auto"/>
            </w:tcBorders>
            <w:shd w:val="clear" w:color="auto" w:fill="auto"/>
            <w:vAlign w:val="center"/>
            <w:hideMark/>
          </w:tcPr>
          <w:p w14:paraId="4BA1FB04"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2.1.1.1.5.1 Control Automático de Generación </w:t>
            </w:r>
            <w:r w:rsidRPr="00494669">
              <w:rPr>
                <w:color w:val="000000"/>
                <w:sz w:val="16"/>
                <w:szCs w:val="16"/>
                <w:lang w:val="es-EC" w:eastAsia="es-EC" w:bidi="ar-SA"/>
              </w:rPr>
              <w:t xml:space="preserve">Desempeño de unidades </w:t>
            </w:r>
          </w:p>
        </w:tc>
        <w:tc>
          <w:tcPr>
            <w:tcW w:w="330" w:type="pct"/>
            <w:tcBorders>
              <w:top w:val="nil"/>
              <w:left w:val="nil"/>
              <w:bottom w:val="single" w:sz="4" w:space="0" w:color="auto"/>
              <w:right w:val="single" w:sz="4" w:space="0" w:color="auto"/>
            </w:tcBorders>
            <w:shd w:val="clear" w:color="auto" w:fill="auto"/>
            <w:vAlign w:val="center"/>
            <w:hideMark/>
          </w:tcPr>
          <w:p w14:paraId="20279AE0"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2A6D55B9" w14:textId="66B2C026"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requisitos establecidos en item </w:t>
            </w:r>
            <w:r>
              <w:rPr>
                <w:color w:val="000000"/>
                <w:sz w:val="16"/>
                <w:szCs w:val="16"/>
                <w:lang w:val="es-EC" w:eastAsia="es-EC" w:bidi="ar-SA"/>
              </w:rPr>
              <w:t xml:space="preserve">2.1.1.1.5.1 </w:t>
            </w:r>
            <w:r w:rsidRPr="00494669">
              <w:rPr>
                <w:color w:val="000000"/>
                <w:sz w:val="16"/>
                <w:szCs w:val="16"/>
                <w:lang w:val="es-EC" w:eastAsia="es-EC" w:bidi="ar-SA"/>
              </w:rPr>
              <w:t>Control Automático de Generación AGC</w:t>
            </w:r>
          </w:p>
        </w:tc>
        <w:tc>
          <w:tcPr>
            <w:tcW w:w="403" w:type="pct"/>
            <w:tcBorders>
              <w:top w:val="nil"/>
              <w:left w:val="nil"/>
              <w:bottom w:val="single" w:sz="4" w:space="0" w:color="auto"/>
              <w:right w:val="single" w:sz="4" w:space="0" w:color="auto"/>
            </w:tcBorders>
            <w:shd w:val="clear" w:color="auto" w:fill="auto"/>
            <w:vAlign w:val="center"/>
            <w:hideMark/>
          </w:tcPr>
          <w:p w14:paraId="3F7E659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2 controles adicionales a los indicados</w:t>
            </w:r>
          </w:p>
        </w:tc>
        <w:tc>
          <w:tcPr>
            <w:tcW w:w="412" w:type="pct"/>
            <w:tcBorders>
              <w:top w:val="nil"/>
              <w:left w:val="nil"/>
              <w:bottom w:val="single" w:sz="4" w:space="0" w:color="auto"/>
              <w:right w:val="single" w:sz="4" w:space="0" w:color="auto"/>
            </w:tcBorders>
            <w:shd w:val="clear" w:color="auto" w:fill="auto"/>
            <w:vAlign w:val="center"/>
            <w:hideMark/>
          </w:tcPr>
          <w:p w14:paraId="6F0BFAFD"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3 controles adicionales a los indicados</w:t>
            </w:r>
          </w:p>
        </w:tc>
        <w:tc>
          <w:tcPr>
            <w:tcW w:w="403" w:type="pct"/>
            <w:tcBorders>
              <w:top w:val="nil"/>
              <w:left w:val="nil"/>
              <w:bottom w:val="single" w:sz="4" w:space="0" w:color="auto"/>
              <w:right w:val="single" w:sz="4" w:space="0" w:color="auto"/>
            </w:tcBorders>
            <w:shd w:val="clear" w:color="auto" w:fill="auto"/>
            <w:vAlign w:val="center"/>
            <w:hideMark/>
          </w:tcPr>
          <w:p w14:paraId="39A8B16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 o más controles adicionales a los indicados</w:t>
            </w:r>
          </w:p>
        </w:tc>
        <w:tc>
          <w:tcPr>
            <w:tcW w:w="430" w:type="pct"/>
            <w:tcBorders>
              <w:top w:val="nil"/>
              <w:left w:val="nil"/>
              <w:bottom w:val="single" w:sz="4" w:space="0" w:color="auto"/>
              <w:right w:val="single" w:sz="4" w:space="0" w:color="auto"/>
            </w:tcBorders>
            <w:shd w:val="clear" w:color="auto" w:fill="auto"/>
            <w:vAlign w:val="center"/>
          </w:tcPr>
          <w:p w14:paraId="17AA68B4" w14:textId="229FC5AD"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F7F8246"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0,036</w:t>
            </w:r>
          </w:p>
        </w:tc>
        <w:tc>
          <w:tcPr>
            <w:tcW w:w="387" w:type="pct"/>
            <w:tcBorders>
              <w:top w:val="nil"/>
              <w:left w:val="nil"/>
              <w:bottom w:val="single" w:sz="4" w:space="0" w:color="auto"/>
              <w:right w:val="single" w:sz="4" w:space="0" w:color="auto"/>
            </w:tcBorders>
            <w:shd w:val="clear" w:color="auto" w:fill="auto"/>
            <w:vAlign w:val="center"/>
          </w:tcPr>
          <w:p w14:paraId="59B5C32B" w14:textId="60200617"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2D0D3FAF"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7050E819"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39D6F60E"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FDF470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4,6</w:t>
            </w:r>
          </w:p>
        </w:tc>
        <w:tc>
          <w:tcPr>
            <w:tcW w:w="552" w:type="pct"/>
            <w:tcBorders>
              <w:top w:val="nil"/>
              <w:left w:val="nil"/>
              <w:bottom w:val="single" w:sz="4" w:space="0" w:color="auto"/>
              <w:right w:val="single" w:sz="4" w:space="0" w:color="auto"/>
            </w:tcBorders>
            <w:shd w:val="clear" w:color="auto" w:fill="auto"/>
            <w:vAlign w:val="center"/>
            <w:hideMark/>
          </w:tcPr>
          <w:p w14:paraId="63B5E4E3"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2.1.1.1.5.1 Control Automático de Generación </w:t>
            </w:r>
            <w:r w:rsidRPr="00494669">
              <w:rPr>
                <w:color w:val="000000"/>
                <w:sz w:val="16"/>
                <w:szCs w:val="16"/>
                <w:lang w:val="es-EC" w:eastAsia="es-EC" w:bidi="ar-SA"/>
              </w:rPr>
              <w:t>Número de islas</w:t>
            </w:r>
          </w:p>
        </w:tc>
        <w:tc>
          <w:tcPr>
            <w:tcW w:w="330" w:type="pct"/>
            <w:tcBorders>
              <w:top w:val="nil"/>
              <w:left w:val="nil"/>
              <w:bottom w:val="single" w:sz="4" w:space="0" w:color="auto"/>
              <w:right w:val="single" w:sz="4" w:space="0" w:color="auto"/>
            </w:tcBorders>
            <w:shd w:val="clear" w:color="auto" w:fill="auto"/>
            <w:vAlign w:val="center"/>
            <w:hideMark/>
          </w:tcPr>
          <w:p w14:paraId="541ABB98"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209B9BF9" w14:textId="728260EC"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requisitos establecidos en item </w:t>
            </w:r>
            <w:r>
              <w:rPr>
                <w:color w:val="000000"/>
                <w:sz w:val="16"/>
                <w:szCs w:val="16"/>
                <w:lang w:val="es-EC" w:eastAsia="es-EC" w:bidi="ar-SA"/>
              </w:rPr>
              <w:t xml:space="preserve">2.1.1.1.5.1 </w:t>
            </w:r>
            <w:r w:rsidRPr="00494669">
              <w:rPr>
                <w:color w:val="000000"/>
                <w:sz w:val="16"/>
                <w:szCs w:val="16"/>
                <w:lang w:val="es-EC" w:eastAsia="es-EC" w:bidi="ar-SA"/>
              </w:rPr>
              <w:t>Control Automático de Generación AGC</w:t>
            </w:r>
          </w:p>
        </w:tc>
        <w:tc>
          <w:tcPr>
            <w:tcW w:w="403" w:type="pct"/>
            <w:tcBorders>
              <w:top w:val="nil"/>
              <w:left w:val="nil"/>
              <w:bottom w:val="single" w:sz="4" w:space="0" w:color="auto"/>
              <w:right w:val="single" w:sz="4" w:space="0" w:color="auto"/>
            </w:tcBorders>
            <w:shd w:val="clear" w:color="auto" w:fill="auto"/>
            <w:vAlign w:val="center"/>
            <w:hideMark/>
          </w:tcPr>
          <w:p w14:paraId="0CBB6C90"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Entre 10 y 12 islas</w:t>
            </w:r>
          </w:p>
        </w:tc>
        <w:tc>
          <w:tcPr>
            <w:tcW w:w="412" w:type="pct"/>
            <w:tcBorders>
              <w:top w:val="nil"/>
              <w:left w:val="nil"/>
              <w:bottom w:val="single" w:sz="4" w:space="0" w:color="auto"/>
              <w:right w:val="single" w:sz="4" w:space="0" w:color="auto"/>
            </w:tcBorders>
            <w:shd w:val="clear" w:color="auto" w:fill="auto"/>
            <w:vAlign w:val="center"/>
            <w:hideMark/>
          </w:tcPr>
          <w:p w14:paraId="0D408045"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Entre 13 y 15 islas</w:t>
            </w:r>
          </w:p>
        </w:tc>
        <w:tc>
          <w:tcPr>
            <w:tcW w:w="403" w:type="pct"/>
            <w:tcBorders>
              <w:top w:val="nil"/>
              <w:left w:val="nil"/>
              <w:bottom w:val="single" w:sz="4" w:space="0" w:color="auto"/>
              <w:right w:val="single" w:sz="4" w:space="0" w:color="auto"/>
            </w:tcBorders>
            <w:shd w:val="clear" w:color="auto" w:fill="auto"/>
            <w:vAlign w:val="center"/>
            <w:hideMark/>
          </w:tcPr>
          <w:p w14:paraId="7E859421"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16 o más islas</w:t>
            </w:r>
          </w:p>
        </w:tc>
        <w:tc>
          <w:tcPr>
            <w:tcW w:w="430" w:type="pct"/>
            <w:tcBorders>
              <w:top w:val="nil"/>
              <w:left w:val="nil"/>
              <w:bottom w:val="single" w:sz="4" w:space="0" w:color="auto"/>
              <w:right w:val="single" w:sz="4" w:space="0" w:color="auto"/>
            </w:tcBorders>
            <w:shd w:val="clear" w:color="auto" w:fill="auto"/>
            <w:vAlign w:val="center"/>
          </w:tcPr>
          <w:p w14:paraId="6590B79D" w14:textId="666F396A"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BE0E529"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7DC46202" w14:textId="47969099"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71F0DA57"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3FF51FEF"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210E6B58" w14:textId="77777777" w:rsidTr="0027420C">
        <w:trPr>
          <w:trHeight w:val="816"/>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06AA55F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lastRenderedPageBreak/>
              <w:t>4,7</w:t>
            </w:r>
          </w:p>
        </w:tc>
        <w:tc>
          <w:tcPr>
            <w:tcW w:w="552" w:type="pct"/>
            <w:tcBorders>
              <w:top w:val="nil"/>
              <w:left w:val="nil"/>
              <w:bottom w:val="single" w:sz="4" w:space="0" w:color="auto"/>
              <w:right w:val="single" w:sz="4" w:space="0" w:color="auto"/>
            </w:tcBorders>
            <w:shd w:val="clear" w:color="auto" w:fill="auto"/>
            <w:vAlign w:val="center"/>
            <w:hideMark/>
          </w:tcPr>
          <w:p w14:paraId="4FAFFD1B" w14:textId="77777777" w:rsidR="0027420C" w:rsidRPr="00494669" w:rsidRDefault="0027420C" w:rsidP="009D79BF">
            <w:pPr>
              <w:suppressAutoHyphens w:val="0"/>
              <w:spacing w:after="0"/>
              <w:rPr>
                <w:color w:val="000000"/>
                <w:sz w:val="16"/>
                <w:szCs w:val="16"/>
                <w:lang w:val="es-EC" w:eastAsia="es-EC" w:bidi="ar-SA"/>
              </w:rPr>
            </w:pPr>
            <w:r>
              <w:rPr>
                <w:color w:val="000000"/>
                <w:sz w:val="16"/>
                <w:szCs w:val="16"/>
                <w:lang w:val="es-EC" w:eastAsia="es-EC" w:bidi="ar-SA"/>
              </w:rPr>
              <w:t xml:space="preserve">Sección 2.1.1.1.7 Simulador de Entrenamiento </w:t>
            </w:r>
            <w:r w:rsidRPr="00494669">
              <w:rPr>
                <w:color w:val="000000"/>
                <w:sz w:val="16"/>
                <w:szCs w:val="16"/>
                <w:lang w:val="es-EC" w:eastAsia="es-EC" w:bidi="ar-SA"/>
              </w:rPr>
              <w:t>Relés disponibles</w:t>
            </w:r>
          </w:p>
        </w:tc>
        <w:tc>
          <w:tcPr>
            <w:tcW w:w="330" w:type="pct"/>
            <w:tcBorders>
              <w:top w:val="nil"/>
              <w:left w:val="nil"/>
              <w:bottom w:val="single" w:sz="4" w:space="0" w:color="auto"/>
              <w:right w:val="single" w:sz="4" w:space="0" w:color="auto"/>
            </w:tcBorders>
            <w:shd w:val="clear" w:color="auto" w:fill="auto"/>
            <w:vAlign w:val="center"/>
            <w:hideMark/>
          </w:tcPr>
          <w:p w14:paraId="2D8DC6A2"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3309F5D1" w14:textId="0ECD25E3"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requisitos establecidos en item </w:t>
            </w:r>
            <w:r>
              <w:rPr>
                <w:color w:val="000000"/>
                <w:sz w:val="16"/>
                <w:szCs w:val="16"/>
                <w:lang w:val="es-EC" w:eastAsia="es-EC" w:bidi="ar-SA"/>
              </w:rPr>
              <w:t xml:space="preserve">2.1.1.1.7 </w:t>
            </w:r>
            <w:r w:rsidRPr="00494669">
              <w:rPr>
                <w:color w:val="000000"/>
                <w:sz w:val="16"/>
                <w:szCs w:val="16"/>
                <w:lang w:val="es-EC" w:eastAsia="es-EC" w:bidi="ar-SA"/>
              </w:rPr>
              <w:t>SIMULADOR DE ENTRENAMIENTO DE OPERADORES (OTS)</w:t>
            </w:r>
          </w:p>
        </w:tc>
        <w:tc>
          <w:tcPr>
            <w:tcW w:w="403" w:type="pct"/>
            <w:tcBorders>
              <w:top w:val="nil"/>
              <w:left w:val="nil"/>
              <w:bottom w:val="single" w:sz="4" w:space="0" w:color="auto"/>
              <w:right w:val="single" w:sz="4" w:space="0" w:color="auto"/>
            </w:tcBorders>
            <w:shd w:val="clear" w:color="auto" w:fill="auto"/>
            <w:vAlign w:val="center"/>
            <w:hideMark/>
          </w:tcPr>
          <w:p w14:paraId="202818E9"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entre 2 y </w:t>
            </w:r>
            <w:proofErr w:type="gramStart"/>
            <w:r w:rsidRPr="00494669">
              <w:rPr>
                <w:color w:val="000000"/>
                <w:sz w:val="16"/>
                <w:szCs w:val="16"/>
                <w:lang w:val="es-EC" w:eastAsia="es-EC" w:bidi="ar-SA"/>
              </w:rPr>
              <w:t>4  relés</w:t>
            </w:r>
            <w:proofErr w:type="gramEnd"/>
            <w:r w:rsidRPr="00494669">
              <w:rPr>
                <w:color w:val="000000"/>
                <w:sz w:val="16"/>
                <w:szCs w:val="16"/>
                <w:lang w:val="es-EC" w:eastAsia="es-EC" w:bidi="ar-SA"/>
              </w:rPr>
              <w:t xml:space="preserve"> adicionales</w:t>
            </w:r>
          </w:p>
        </w:tc>
        <w:tc>
          <w:tcPr>
            <w:tcW w:w="412" w:type="pct"/>
            <w:tcBorders>
              <w:top w:val="nil"/>
              <w:left w:val="nil"/>
              <w:bottom w:val="single" w:sz="4" w:space="0" w:color="auto"/>
              <w:right w:val="single" w:sz="4" w:space="0" w:color="auto"/>
            </w:tcBorders>
            <w:shd w:val="clear" w:color="auto" w:fill="auto"/>
            <w:vAlign w:val="center"/>
            <w:hideMark/>
          </w:tcPr>
          <w:p w14:paraId="3D506F26"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Entre 5 y 6 relés adicionales </w:t>
            </w:r>
          </w:p>
        </w:tc>
        <w:tc>
          <w:tcPr>
            <w:tcW w:w="403" w:type="pct"/>
            <w:tcBorders>
              <w:top w:val="nil"/>
              <w:left w:val="nil"/>
              <w:bottom w:val="single" w:sz="4" w:space="0" w:color="auto"/>
              <w:right w:val="single" w:sz="4" w:space="0" w:color="auto"/>
            </w:tcBorders>
            <w:shd w:val="clear" w:color="auto" w:fill="auto"/>
            <w:vAlign w:val="center"/>
            <w:hideMark/>
          </w:tcPr>
          <w:p w14:paraId="51C4C9BD"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7 o más relés adicionales</w:t>
            </w:r>
          </w:p>
        </w:tc>
        <w:tc>
          <w:tcPr>
            <w:tcW w:w="430" w:type="pct"/>
            <w:tcBorders>
              <w:top w:val="nil"/>
              <w:left w:val="nil"/>
              <w:bottom w:val="single" w:sz="4" w:space="0" w:color="auto"/>
              <w:right w:val="single" w:sz="4" w:space="0" w:color="auto"/>
            </w:tcBorders>
            <w:shd w:val="clear" w:color="auto" w:fill="auto"/>
            <w:vAlign w:val="center"/>
          </w:tcPr>
          <w:p w14:paraId="057C35B3" w14:textId="53FA80DB"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0924C5EF"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62CA1440" w14:textId="76361B2A"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7D77BE74"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75D254DC"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7ACD4BC8"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138C65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4,8</w:t>
            </w:r>
          </w:p>
        </w:tc>
        <w:tc>
          <w:tcPr>
            <w:tcW w:w="552" w:type="pct"/>
            <w:tcBorders>
              <w:top w:val="nil"/>
              <w:left w:val="nil"/>
              <w:bottom w:val="single" w:sz="4" w:space="0" w:color="auto"/>
              <w:right w:val="single" w:sz="4" w:space="0" w:color="auto"/>
            </w:tcBorders>
            <w:shd w:val="clear" w:color="auto" w:fill="auto"/>
            <w:vAlign w:val="center"/>
            <w:hideMark/>
          </w:tcPr>
          <w:p w14:paraId="3A1DDA5D"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3.4.4.4 Base de datos Histórica </w:t>
            </w:r>
            <w:r w:rsidRPr="00494669">
              <w:rPr>
                <w:color w:val="000000"/>
                <w:sz w:val="16"/>
                <w:szCs w:val="16"/>
                <w:lang w:val="es-EC" w:eastAsia="es-EC" w:bidi="ar-SA"/>
              </w:rPr>
              <w:t>Tiempos de retención online histórico EMS</w:t>
            </w:r>
          </w:p>
        </w:tc>
        <w:tc>
          <w:tcPr>
            <w:tcW w:w="330" w:type="pct"/>
            <w:tcBorders>
              <w:top w:val="nil"/>
              <w:left w:val="nil"/>
              <w:bottom w:val="single" w:sz="4" w:space="0" w:color="auto"/>
              <w:right w:val="single" w:sz="4" w:space="0" w:color="auto"/>
            </w:tcBorders>
            <w:shd w:val="clear" w:color="auto" w:fill="auto"/>
            <w:vAlign w:val="center"/>
            <w:hideMark/>
          </w:tcPr>
          <w:p w14:paraId="264EE4B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3BA8625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 xml:space="preserve">Cumple los requisitos establecidos en item </w:t>
            </w:r>
            <w:proofErr w:type="gramStart"/>
            <w:r w:rsidRPr="00494669">
              <w:rPr>
                <w:color w:val="000000"/>
                <w:sz w:val="16"/>
                <w:szCs w:val="16"/>
                <w:lang w:val="es-EC" w:eastAsia="es-EC" w:bidi="ar-SA"/>
              </w:rPr>
              <w:t>3.4.4.4  Base</w:t>
            </w:r>
            <w:proofErr w:type="gramEnd"/>
            <w:r w:rsidRPr="00494669">
              <w:rPr>
                <w:color w:val="000000"/>
                <w:sz w:val="16"/>
                <w:szCs w:val="16"/>
                <w:lang w:val="es-EC" w:eastAsia="es-EC" w:bidi="ar-SA"/>
              </w:rPr>
              <w:t xml:space="preserve"> de datos Histórica (HDB)</w:t>
            </w:r>
          </w:p>
        </w:tc>
        <w:tc>
          <w:tcPr>
            <w:tcW w:w="403" w:type="pct"/>
            <w:tcBorders>
              <w:top w:val="nil"/>
              <w:left w:val="nil"/>
              <w:bottom w:val="single" w:sz="4" w:space="0" w:color="auto"/>
              <w:right w:val="single" w:sz="4" w:space="0" w:color="auto"/>
            </w:tcBorders>
            <w:shd w:val="clear" w:color="auto" w:fill="auto"/>
            <w:vAlign w:val="center"/>
            <w:hideMark/>
          </w:tcPr>
          <w:p w14:paraId="45D2AAF5"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de 6 a 12 meses adicionales</w:t>
            </w:r>
          </w:p>
        </w:tc>
        <w:tc>
          <w:tcPr>
            <w:tcW w:w="412" w:type="pct"/>
            <w:tcBorders>
              <w:top w:val="nil"/>
              <w:left w:val="nil"/>
              <w:bottom w:val="single" w:sz="4" w:space="0" w:color="auto"/>
              <w:right w:val="single" w:sz="4" w:space="0" w:color="auto"/>
            </w:tcBorders>
            <w:shd w:val="clear" w:color="auto" w:fill="auto"/>
            <w:vAlign w:val="center"/>
            <w:hideMark/>
          </w:tcPr>
          <w:p w14:paraId="3DF547AE"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de 13 a 18 meses adicionales</w:t>
            </w:r>
          </w:p>
        </w:tc>
        <w:tc>
          <w:tcPr>
            <w:tcW w:w="403" w:type="pct"/>
            <w:tcBorders>
              <w:top w:val="nil"/>
              <w:left w:val="nil"/>
              <w:bottom w:val="single" w:sz="4" w:space="0" w:color="auto"/>
              <w:right w:val="single" w:sz="4" w:space="0" w:color="auto"/>
            </w:tcBorders>
            <w:shd w:val="clear" w:color="auto" w:fill="auto"/>
            <w:vAlign w:val="center"/>
            <w:hideMark/>
          </w:tcPr>
          <w:p w14:paraId="05CBAD6A"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 xml:space="preserve">19 o </w:t>
            </w:r>
            <w:proofErr w:type="gramStart"/>
            <w:r w:rsidRPr="00494669">
              <w:rPr>
                <w:color w:val="000000"/>
                <w:sz w:val="16"/>
                <w:szCs w:val="16"/>
                <w:lang w:val="es-EC" w:eastAsia="es-EC" w:bidi="ar-SA"/>
              </w:rPr>
              <w:t>más  meses</w:t>
            </w:r>
            <w:proofErr w:type="gramEnd"/>
            <w:r w:rsidRPr="00494669">
              <w:rPr>
                <w:color w:val="000000"/>
                <w:sz w:val="16"/>
                <w:szCs w:val="16"/>
                <w:lang w:val="es-EC" w:eastAsia="es-EC" w:bidi="ar-SA"/>
              </w:rPr>
              <w:t xml:space="preserve"> adicionales</w:t>
            </w:r>
          </w:p>
        </w:tc>
        <w:tc>
          <w:tcPr>
            <w:tcW w:w="430" w:type="pct"/>
            <w:tcBorders>
              <w:top w:val="nil"/>
              <w:left w:val="nil"/>
              <w:bottom w:val="single" w:sz="4" w:space="0" w:color="auto"/>
              <w:right w:val="single" w:sz="4" w:space="0" w:color="auto"/>
            </w:tcBorders>
            <w:shd w:val="clear" w:color="auto" w:fill="auto"/>
            <w:vAlign w:val="center"/>
          </w:tcPr>
          <w:p w14:paraId="71C86EC2" w14:textId="4C2E3A3C"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14DEB9C"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15547F24" w14:textId="14BD1571"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659E35C8"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01823238"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6467B2FB"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30E135C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4,9</w:t>
            </w:r>
          </w:p>
        </w:tc>
        <w:tc>
          <w:tcPr>
            <w:tcW w:w="552" w:type="pct"/>
            <w:tcBorders>
              <w:top w:val="nil"/>
              <w:left w:val="nil"/>
              <w:bottom w:val="single" w:sz="4" w:space="0" w:color="auto"/>
              <w:right w:val="single" w:sz="4" w:space="0" w:color="auto"/>
            </w:tcBorders>
            <w:shd w:val="clear" w:color="auto" w:fill="auto"/>
            <w:vAlign w:val="center"/>
            <w:hideMark/>
          </w:tcPr>
          <w:p w14:paraId="4AD853D4"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2.1.1.1.8.2 Sistema de Desarrollo de Producción </w:t>
            </w:r>
            <w:r w:rsidRPr="00494669">
              <w:rPr>
                <w:color w:val="000000"/>
                <w:sz w:val="16"/>
                <w:szCs w:val="16"/>
                <w:lang w:val="es-EC" w:eastAsia="es-EC" w:bidi="ar-SA"/>
              </w:rPr>
              <w:t>Tiempos de retención online histórico PDS</w:t>
            </w:r>
          </w:p>
        </w:tc>
        <w:tc>
          <w:tcPr>
            <w:tcW w:w="330" w:type="pct"/>
            <w:tcBorders>
              <w:top w:val="nil"/>
              <w:left w:val="nil"/>
              <w:bottom w:val="single" w:sz="4" w:space="0" w:color="auto"/>
              <w:right w:val="single" w:sz="4" w:space="0" w:color="auto"/>
            </w:tcBorders>
            <w:shd w:val="clear" w:color="auto" w:fill="auto"/>
            <w:vAlign w:val="center"/>
            <w:hideMark/>
          </w:tcPr>
          <w:p w14:paraId="6814CB9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00D48A47"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requisitos establecidos en item 2.1.1.8</w:t>
            </w:r>
            <w:r>
              <w:rPr>
                <w:color w:val="000000"/>
                <w:sz w:val="16"/>
                <w:szCs w:val="16"/>
                <w:lang w:val="es-EC" w:eastAsia="es-EC" w:bidi="ar-SA"/>
              </w:rPr>
              <w:t>.2</w:t>
            </w:r>
            <w:r w:rsidRPr="00494669">
              <w:rPr>
                <w:color w:val="000000"/>
                <w:sz w:val="16"/>
                <w:szCs w:val="16"/>
                <w:lang w:val="es-EC" w:eastAsia="es-EC" w:bidi="ar-SA"/>
              </w:rPr>
              <w:t xml:space="preserve"> Sistema de Desarrollo de Programación PDS</w:t>
            </w:r>
          </w:p>
        </w:tc>
        <w:tc>
          <w:tcPr>
            <w:tcW w:w="403" w:type="pct"/>
            <w:tcBorders>
              <w:top w:val="nil"/>
              <w:left w:val="nil"/>
              <w:bottom w:val="single" w:sz="4" w:space="0" w:color="auto"/>
              <w:right w:val="single" w:sz="4" w:space="0" w:color="auto"/>
            </w:tcBorders>
            <w:shd w:val="clear" w:color="auto" w:fill="auto"/>
            <w:vAlign w:val="center"/>
            <w:hideMark/>
          </w:tcPr>
          <w:p w14:paraId="74C96E67"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1 mes adicional</w:t>
            </w:r>
          </w:p>
        </w:tc>
        <w:tc>
          <w:tcPr>
            <w:tcW w:w="412" w:type="pct"/>
            <w:tcBorders>
              <w:top w:val="nil"/>
              <w:left w:val="nil"/>
              <w:bottom w:val="single" w:sz="4" w:space="0" w:color="auto"/>
              <w:right w:val="single" w:sz="4" w:space="0" w:color="auto"/>
            </w:tcBorders>
            <w:shd w:val="clear" w:color="auto" w:fill="auto"/>
            <w:vAlign w:val="center"/>
            <w:hideMark/>
          </w:tcPr>
          <w:p w14:paraId="6E9D507D"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2 meses adicionales</w:t>
            </w:r>
          </w:p>
        </w:tc>
        <w:tc>
          <w:tcPr>
            <w:tcW w:w="403" w:type="pct"/>
            <w:tcBorders>
              <w:top w:val="nil"/>
              <w:left w:val="nil"/>
              <w:bottom w:val="single" w:sz="4" w:space="0" w:color="auto"/>
              <w:right w:val="single" w:sz="4" w:space="0" w:color="auto"/>
            </w:tcBorders>
            <w:shd w:val="clear" w:color="auto" w:fill="auto"/>
            <w:vAlign w:val="center"/>
            <w:hideMark/>
          </w:tcPr>
          <w:p w14:paraId="2425C685"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3 o más meses adicionales</w:t>
            </w:r>
          </w:p>
        </w:tc>
        <w:tc>
          <w:tcPr>
            <w:tcW w:w="430" w:type="pct"/>
            <w:tcBorders>
              <w:top w:val="nil"/>
              <w:left w:val="nil"/>
              <w:bottom w:val="single" w:sz="4" w:space="0" w:color="auto"/>
              <w:right w:val="single" w:sz="4" w:space="0" w:color="auto"/>
            </w:tcBorders>
            <w:shd w:val="clear" w:color="auto" w:fill="auto"/>
            <w:vAlign w:val="center"/>
          </w:tcPr>
          <w:p w14:paraId="583DA093" w14:textId="247CE01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4F461373"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4E64F9C5" w14:textId="34EC5B34"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12CECFFD"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230DD316"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72FC6020"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94A25AA"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4,1</w:t>
            </w:r>
          </w:p>
        </w:tc>
        <w:tc>
          <w:tcPr>
            <w:tcW w:w="552" w:type="pct"/>
            <w:tcBorders>
              <w:top w:val="nil"/>
              <w:left w:val="nil"/>
              <w:bottom w:val="single" w:sz="4" w:space="0" w:color="auto"/>
              <w:right w:val="single" w:sz="4" w:space="0" w:color="auto"/>
            </w:tcBorders>
            <w:shd w:val="clear" w:color="auto" w:fill="auto"/>
            <w:vAlign w:val="center"/>
            <w:hideMark/>
          </w:tcPr>
          <w:p w14:paraId="2C93ECD6"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w:t>
            </w:r>
            <w:proofErr w:type="gramStart"/>
            <w:r>
              <w:rPr>
                <w:color w:val="000000"/>
                <w:sz w:val="16"/>
                <w:szCs w:val="16"/>
                <w:lang w:val="es-EC" w:eastAsia="es-EC" w:bidi="ar-SA"/>
              </w:rPr>
              <w:t xml:space="preserve">1.3.1.2.3.1  </w:t>
            </w:r>
            <w:r w:rsidRPr="00494669">
              <w:rPr>
                <w:color w:val="000000"/>
                <w:sz w:val="16"/>
                <w:szCs w:val="16"/>
                <w:lang w:val="es-EC" w:eastAsia="es-EC" w:bidi="ar-SA"/>
              </w:rPr>
              <w:t>Zona</w:t>
            </w:r>
            <w:proofErr w:type="gramEnd"/>
            <w:r w:rsidRPr="00494669">
              <w:rPr>
                <w:color w:val="000000"/>
                <w:sz w:val="16"/>
                <w:szCs w:val="16"/>
                <w:lang w:val="es-EC" w:eastAsia="es-EC" w:bidi="ar-SA"/>
              </w:rPr>
              <w:t xml:space="preserve"> de Aseguramiento de Calidad (QAS)Tiempos de retención online histórico QAS</w:t>
            </w:r>
          </w:p>
        </w:tc>
        <w:tc>
          <w:tcPr>
            <w:tcW w:w="330" w:type="pct"/>
            <w:tcBorders>
              <w:top w:val="nil"/>
              <w:left w:val="nil"/>
              <w:bottom w:val="single" w:sz="4" w:space="0" w:color="auto"/>
              <w:right w:val="single" w:sz="4" w:space="0" w:color="auto"/>
            </w:tcBorders>
            <w:shd w:val="clear" w:color="auto" w:fill="auto"/>
            <w:vAlign w:val="center"/>
            <w:hideMark/>
          </w:tcPr>
          <w:p w14:paraId="41F18DC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6AD9FD49"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requisitos establecidos en item 1.3</w:t>
            </w:r>
            <w:r>
              <w:rPr>
                <w:color w:val="000000"/>
                <w:sz w:val="16"/>
                <w:szCs w:val="16"/>
                <w:lang w:val="es-EC" w:eastAsia="es-EC" w:bidi="ar-SA"/>
              </w:rPr>
              <w:t>.1.2.3.1</w:t>
            </w:r>
            <w:r w:rsidRPr="00494669">
              <w:rPr>
                <w:color w:val="000000"/>
                <w:sz w:val="16"/>
                <w:szCs w:val="16"/>
                <w:lang w:val="es-EC" w:eastAsia="es-EC" w:bidi="ar-SA"/>
              </w:rPr>
              <w:t xml:space="preserve"> Zona de Aseguramiento de Calidad (QAS)</w:t>
            </w:r>
          </w:p>
        </w:tc>
        <w:tc>
          <w:tcPr>
            <w:tcW w:w="403" w:type="pct"/>
            <w:tcBorders>
              <w:top w:val="nil"/>
              <w:left w:val="nil"/>
              <w:bottom w:val="single" w:sz="4" w:space="0" w:color="auto"/>
              <w:right w:val="single" w:sz="4" w:space="0" w:color="auto"/>
            </w:tcBorders>
            <w:shd w:val="clear" w:color="auto" w:fill="auto"/>
            <w:vAlign w:val="center"/>
            <w:hideMark/>
          </w:tcPr>
          <w:p w14:paraId="47D6D779"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1 mes adicional</w:t>
            </w:r>
          </w:p>
        </w:tc>
        <w:tc>
          <w:tcPr>
            <w:tcW w:w="412" w:type="pct"/>
            <w:tcBorders>
              <w:top w:val="nil"/>
              <w:left w:val="nil"/>
              <w:bottom w:val="single" w:sz="4" w:space="0" w:color="auto"/>
              <w:right w:val="single" w:sz="4" w:space="0" w:color="auto"/>
            </w:tcBorders>
            <w:shd w:val="clear" w:color="auto" w:fill="auto"/>
            <w:vAlign w:val="center"/>
            <w:hideMark/>
          </w:tcPr>
          <w:p w14:paraId="181523D6"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2 meses adicionales</w:t>
            </w:r>
          </w:p>
        </w:tc>
        <w:tc>
          <w:tcPr>
            <w:tcW w:w="403" w:type="pct"/>
            <w:tcBorders>
              <w:top w:val="nil"/>
              <w:left w:val="nil"/>
              <w:bottom w:val="single" w:sz="4" w:space="0" w:color="auto"/>
              <w:right w:val="single" w:sz="4" w:space="0" w:color="auto"/>
            </w:tcBorders>
            <w:shd w:val="clear" w:color="auto" w:fill="auto"/>
            <w:vAlign w:val="center"/>
            <w:hideMark/>
          </w:tcPr>
          <w:p w14:paraId="7E0C8B46"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3 o más meses adicionales</w:t>
            </w:r>
          </w:p>
        </w:tc>
        <w:tc>
          <w:tcPr>
            <w:tcW w:w="430" w:type="pct"/>
            <w:tcBorders>
              <w:top w:val="nil"/>
              <w:left w:val="nil"/>
              <w:bottom w:val="single" w:sz="4" w:space="0" w:color="auto"/>
              <w:right w:val="single" w:sz="4" w:space="0" w:color="auto"/>
            </w:tcBorders>
            <w:shd w:val="clear" w:color="auto" w:fill="auto"/>
            <w:vAlign w:val="center"/>
          </w:tcPr>
          <w:p w14:paraId="42480805" w14:textId="65AED44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606890F0"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68D4153" w14:textId="6A73BAD8"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140FC37A"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3BCAED3F"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54ED4530" w14:textId="77777777" w:rsidTr="0027420C">
        <w:trPr>
          <w:trHeight w:val="612"/>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700AE73"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4,11</w:t>
            </w:r>
          </w:p>
        </w:tc>
        <w:tc>
          <w:tcPr>
            <w:tcW w:w="552" w:type="pct"/>
            <w:tcBorders>
              <w:top w:val="nil"/>
              <w:left w:val="nil"/>
              <w:bottom w:val="single" w:sz="4" w:space="0" w:color="auto"/>
              <w:right w:val="single" w:sz="4" w:space="0" w:color="auto"/>
            </w:tcBorders>
            <w:shd w:val="clear" w:color="auto" w:fill="auto"/>
            <w:vAlign w:val="center"/>
            <w:hideMark/>
          </w:tcPr>
          <w:p w14:paraId="5031514F"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w:t>
            </w:r>
            <w:proofErr w:type="gramStart"/>
            <w:r>
              <w:rPr>
                <w:color w:val="000000"/>
                <w:sz w:val="16"/>
                <w:szCs w:val="16"/>
                <w:lang w:val="es-EC" w:eastAsia="es-EC" w:bidi="ar-SA"/>
              </w:rPr>
              <w:t xml:space="preserve">1.3.1.2.3.2  </w:t>
            </w:r>
            <w:r w:rsidRPr="00494669">
              <w:rPr>
                <w:color w:val="000000"/>
                <w:sz w:val="16"/>
                <w:szCs w:val="16"/>
                <w:lang w:val="es-EC" w:eastAsia="es-EC" w:bidi="ar-SA"/>
              </w:rPr>
              <w:t>Zona</w:t>
            </w:r>
            <w:proofErr w:type="gramEnd"/>
            <w:r w:rsidRPr="00494669">
              <w:rPr>
                <w:color w:val="000000"/>
                <w:sz w:val="16"/>
                <w:szCs w:val="16"/>
                <w:lang w:val="es-EC" w:eastAsia="es-EC" w:bidi="ar-SA"/>
              </w:rPr>
              <w:t xml:space="preserve"> de </w:t>
            </w:r>
            <w:r>
              <w:rPr>
                <w:color w:val="000000"/>
                <w:sz w:val="16"/>
                <w:szCs w:val="16"/>
                <w:lang w:val="es-EC" w:eastAsia="es-EC" w:bidi="ar-SA"/>
              </w:rPr>
              <w:t>Entrenamiento</w:t>
            </w:r>
            <w:r w:rsidRPr="00494669">
              <w:rPr>
                <w:color w:val="000000"/>
                <w:sz w:val="16"/>
                <w:szCs w:val="16"/>
                <w:lang w:val="es-EC" w:eastAsia="es-EC" w:bidi="ar-SA"/>
              </w:rPr>
              <w:t xml:space="preserve"> Tiempos de retención online histórico OTS</w:t>
            </w:r>
          </w:p>
        </w:tc>
        <w:tc>
          <w:tcPr>
            <w:tcW w:w="330" w:type="pct"/>
            <w:tcBorders>
              <w:top w:val="nil"/>
              <w:left w:val="nil"/>
              <w:bottom w:val="single" w:sz="4" w:space="0" w:color="auto"/>
              <w:right w:val="single" w:sz="4" w:space="0" w:color="auto"/>
            </w:tcBorders>
            <w:shd w:val="clear" w:color="auto" w:fill="auto"/>
            <w:vAlign w:val="center"/>
            <w:hideMark/>
          </w:tcPr>
          <w:p w14:paraId="0F09343F"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No cumple los requerimientos mínimos</w:t>
            </w:r>
          </w:p>
        </w:tc>
        <w:tc>
          <w:tcPr>
            <w:tcW w:w="559" w:type="pct"/>
            <w:tcBorders>
              <w:top w:val="nil"/>
              <w:left w:val="nil"/>
              <w:bottom w:val="single" w:sz="4" w:space="0" w:color="auto"/>
              <w:right w:val="single" w:sz="4" w:space="0" w:color="auto"/>
            </w:tcBorders>
            <w:shd w:val="clear" w:color="auto" w:fill="auto"/>
            <w:vAlign w:val="center"/>
            <w:hideMark/>
          </w:tcPr>
          <w:p w14:paraId="6F26019E" w14:textId="77777777" w:rsidR="0027420C" w:rsidRPr="00494669" w:rsidRDefault="0027420C" w:rsidP="009D79BF">
            <w:pPr>
              <w:suppressAutoHyphens w:val="0"/>
              <w:spacing w:after="0"/>
              <w:rPr>
                <w:color w:val="000000"/>
                <w:sz w:val="16"/>
                <w:szCs w:val="16"/>
                <w:lang w:val="es-EC" w:eastAsia="es-EC" w:bidi="ar-SA"/>
              </w:rPr>
            </w:pPr>
            <w:r w:rsidRPr="00494669">
              <w:rPr>
                <w:color w:val="000000"/>
                <w:sz w:val="16"/>
                <w:szCs w:val="16"/>
                <w:lang w:val="es-EC" w:eastAsia="es-EC" w:bidi="ar-SA"/>
              </w:rPr>
              <w:t>Cumple los requisitos establecidos en item 1.3</w:t>
            </w:r>
            <w:r>
              <w:rPr>
                <w:color w:val="000000"/>
                <w:sz w:val="16"/>
                <w:szCs w:val="16"/>
                <w:lang w:val="es-EC" w:eastAsia="es-EC" w:bidi="ar-SA"/>
              </w:rPr>
              <w:t>.1.2.3.2</w:t>
            </w:r>
            <w:r w:rsidRPr="00494669">
              <w:rPr>
                <w:color w:val="000000"/>
                <w:sz w:val="16"/>
                <w:szCs w:val="16"/>
                <w:lang w:val="es-EC" w:eastAsia="es-EC" w:bidi="ar-SA"/>
              </w:rPr>
              <w:t xml:space="preserve"> Zona de Entrenamiento (OTS)</w:t>
            </w:r>
          </w:p>
        </w:tc>
        <w:tc>
          <w:tcPr>
            <w:tcW w:w="403" w:type="pct"/>
            <w:tcBorders>
              <w:top w:val="nil"/>
              <w:left w:val="nil"/>
              <w:bottom w:val="single" w:sz="4" w:space="0" w:color="auto"/>
              <w:right w:val="single" w:sz="4" w:space="0" w:color="auto"/>
            </w:tcBorders>
            <w:shd w:val="clear" w:color="auto" w:fill="auto"/>
            <w:vAlign w:val="center"/>
            <w:hideMark/>
          </w:tcPr>
          <w:p w14:paraId="2018F519"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1 mes adicional</w:t>
            </w:r>
          </w:p>
        </w:tc>
        <w:tc>
          <w:tcPr>
            <w:tcW w:w="412" w:type="pct"/>
            <w:tcBorders>
              <w:top w:val="nil"/>
              <w:left w:val="nil"/>
              <w:bottom w:val="single" w:sz="4" w:space="0" w:color="auto"/>
              <w:right w:val="single" w:sz="4" w:space="0" w:color="auto"/>
            </w:tcBorders>
            <w:shd w:val="clear" w:color="auto" w:fill="auto"/>
            <w:vAlign w:val="center"/>
            <w:hideMark/>
          </w:tcPr>
          <w:p w14:paraId="787F8CBB"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2 meses adicionales</w:t>
            </w:r>
          </w:p>
        </w:tc>
        <w:tc>
          <w:tcPr>
            <w:tcW w:w="403" w:type="pct"/>
            <w:tcBorders>
              <w:top w:val="nil"/>
              <w:left w:val="nil"/>
              <w:bottom w:val="single" w:sz="4" w:space="0" w:color="auto"/>
              <w:right w:val="single" w:sz="4" w:space="0" w:color="auto"/>
            </w:tcBorders>
            <w:shd w:val="clear" w:color="auto" w:fill="auto"/>
            <w:vAlign w:val="center"/>
            <w:hideMark/>
          </w:tcPr>
          <w:p w14:paraId="5046DB2B"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3 o más meses adicionales</w:t>
            </w:r>
          </w:p>
        </w:tc>
        <w:tc>
          <w:tcPr>
            <w:tcW w:w="430" w:type="pct"/>
            <w:tcBorders>
              <w:top w:val="nil"/>
              <w:left w:val="nil"/>
              <w:bottom w:val="single" w:sz="4" w:space="0" w:color="auto"/>
              <w:right w:val="single" w:sz="4" w:space="0" w:color="auto"/>
            </w:tcBorders>
            <w:shd w:val="clear" w:color="auto" w:fill="auto"/>
            <w:vAlign w:val="center"/>
          </w:tcPr>
          <w:p w14:paraId="4952D690" w14:textId="7F13CCBD"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09FE3945" w14:textId="77777777" w:rsidR="0027420C" w:rsidRPr="009879D2" w:rsidRDefault="0027420C" w:rsidP="009D79BF">
            <w:pPr>
              <w:suppressAutoHyphens w:val="0"/>
              <w:spacing w:after="0"/>
              <w:jc w:val="left"/>
              <w:rPr>
                <w:color w:val="000000"/>
                <w:sz w:val="16"/>
                <w:szCs w:val="16"/>
                <w:lang w:val="es-EC" w:eastAsia="es-EC" w:bidi="ar-SA"/>
              </w:rPr>
            </w:pPr>
            <w:r w:rsidRPr="009879D2">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78E7AF34" w14:textId="74D3F251"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vAlign w:val="center"/>
          </w:tcPr>
          <w:p w14:paraId="6B39655C" w14:textId="77777777" w:rsidR="0027420C" w:rsidRPr="00494669" w:rsidRDefault="0027420C" w:rsidP="009D79BF">
            <w:pPr>
              <w:suppressAutoHyphens w:val="0"/>
              <w:spacing w:after="0"/>
              <w:jc w:val="left"/>
              <w:rPr>
                <w:b/>
                <w:bCs/>
                <w:color w:val="000000"/>
                <w:sz w:val="16"/>
                <w:szCs w:val="16"/>
                <w:lang w:val="es-EC" w:eastAsia="es-EC" w:bidi="ar-SA"/>
              </w:rPr>
            </w:pPr>
            <w:r w:rsidRPr="00494669">
              <w:rPr>
                <w:b/>
                <w:bCs/>
                <w:color w:val="000000"/>
                <w:sz w:val="16"/>
                <w:szCs w:val="16"/>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center"/>
          </w:tcPr>
          <w:p w14:paraId="13F263D9"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 </w:t>
            </w:r>
          </w:p>
        </w:tc>
      </w:tr>
      <w:tr w:rsidR="00E7421E" w:rsidRPr="00494669" w14:paraId="4B2E9341" w14:textId="77777777" w:rsidTr="0027420C">
        <w:trPr>
          <w:trHeight w:val="336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D84159C" w14:textId="6F333B85" w:rsidR="0027420C" w:rsidRPr="00494669" w:rsidRDefault="0027420C" w:rsidP="009D79BF">
            <w:pPr>
              <w:suppressAutoHyphens w:val="0"/>
              <w:spacing w:after="0"/>
              <w:rPr>
                <w:color w:val="000000"/>
                <w:sz w:val="18"/>
                <w:szCs w:val="18"/>
                <w:lang w:val="es-EC" w:eastAsia="es-EC" w:bidi="ar-SA"/>
              </w:rPr>
            </w:pPr>
            <w:r>
              <w:rPr>
                <w:color w:val="000000"/>
                <w:sz w:val="18"/>
                <w:szCs w:val="18"/>
                <w:lang w:val="es-EC" w:eastAsia="es-EC" w:bidi="ar-SA"/>
              </w:rPr>
              <w:lastRenderedPageBreak/>
              <w:t>4.12</w:t>
            </w:r>
          </w:p>
        </w:tc>
        <w:tc>
          <w:tcPr>
            <w:tcW w:w="552" w:type="pct"/>
            <w:tcBorders>
              <w:top w:val="nil"/>
              <w:left w:val="nil"/>
              <w:bottom w:val="single" w:sz="4" w:space="0" w:color="auto"/>
              <w:right w:val="single" w:sz="4" w:space="0" w:color="auto"/>
            </w:tcBorders>
            <w:shd w:val="clear" w:color="auto" w:fill="auto"/>
            <w:vAlign w:val="center"/>
            <w:hideMark/>
          </w:tcPr>
          <w:p w14:paraId="3F3DCCFA" w14:textId="77777777" w:rsidR="0027420C" w:rsidRPr="00494669" w:rsidRDefault="0027420C" w:rsidP="009D79BF">
            <w:pPr>
              <w:suppressAutoHyphens w:val="0"/>
              <w:spacing w:after="0"/>
              <w:jc w:val="left"/>
              <w:rPr>
                <w:sz w:val="18"/>
                <w:szCs w:val="18"/>
                <w:lang w:val="es-EC" w:eastAsia="es-EC" w:bidi="ar-SA"/>
              </w:rPr>
            </w:pPr>
            <w:r>
              <w:rPr>
                <w:sz w:val="18"/>
                <w:szCs w:val="18"/>
                <w:lang w:val="es-EC" w:eastAsia="es-EC" w:bidi="ar-SA"/>
              </w:rPr>
              <w:t xml:space="preserve">Sección </w:t>
            </w:r>
            <w:r w:rsidRPr="00494669">
              <w:rPr>
                <w:color w:val="000000"/>
                <w:sz w:val="18"/>
                <w:szCs w:val="18"/>
                <w:lang w:val="es-EC" w:eastAsia="es-EC" w:bidi="ar-SA"/>
              </w:rPr>
              <w:t>2.1.1.1.4.2</w:t>
            </w:r>
            <w:r>
              <w:rPr>
                <w:color w:val="000000"/>
                <w:sz w:val="18"/>
                <w:szCs w:val="18"/>
                <w:lang w:val="es-EC" w:eastAsia="es-EC" w:bidi="ar-SA"/>
              </w:rPr>
              <w:t xml:space="preserve"> </w:t>
            </w:r>
            <w:r w:rsidRPr="00494669">
              <w:rPr>
                <w:sz w:val="18"/>
                <w:szCs w:val="18"/>
                <w:lang w:val="es-EC" w:eastAsia="es-EC" w:bidi="ar-SA"/>
              </w:rPr>
              <w:t>Gestor de Límites</w:t>
            </w:r>
            <w:r w:rsidRPr="00494669">
              <w:rPr>
                <w:sz w:val="18"/>
                <w:szCs w:val="18"/>
                <w:lang w:val="es-EC" w:eastAsia="es-EC" w:bidi="ar-SA"/>
              </w:rPr>
              <w:br/>
            </w:r>
            <w:r w:rsidRPr="00494669">
              <w:rPr>
                <w:sz w:val="18"/>
                <w:szCs w:val="18"/>
                <w:lang w:val="es-EC" w:eastAsia="es-EC" w:bidi="ar-SA"/>
              </w:rPr>
              <w:br/>
              <w:t xml:space="preserve"> </w:t>
            </w:r>
          </w:p>
        </w:tc>
        <w:tc>
          <w:tcPr>
            <w:tcW w:w="330" w:type="pct"/>
            <w:tcBorders>
              <w:top w:val="nil"/>
              <w:left w:val="nil"/>
              <w:bottom w:val="single" w:sz="4" w:space="0" w:color="auto"/>
              <w:right w:val="single" w:sz="4" w:space="0" w:color="auto"/>
            </w:tcBorders>
            <w:shd w:val="clear" w:color="auto" w:fill="auto"/>
            <w:vAlign w:val="center"/>
            <w:hideMark/>
          </w:tcPr>
          <w:p w14:paraId="40ED5B5A"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6CD65EF0"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k. La aplicación de Gestión de Límites permitirá al Operador de manera sencilla, elegir y configurar automáticamente el tipo de conjunto de límites a utilizar, caso por caso. Estos conjuntos de límites podrán cambiar en función de múltiples criterios, es decir, por temporada y por hora del día y por varias combinaciones que sean factibles que permitan al operador adaptar el conjunto de límites a la realidad cambiante de la operación del sistema eléctrico.</w:t>
            </w:r>
          </w:p>
        </w:tc>
        <w:tc>
          <w:tcPr>
            <w:tcW w:w="403" w:type="pct"/>
            <w:tcBorders>
              <w:top w:val="nil"/>
              <w:left w:val="nil"/>
              <w:bottom w:val="single" w:sz="4" w:space="0" w:color="auto"/>
              <w:right w:val="single" w:sz="4" w:space="0" w:color="auto"/>
            </w:tcBorders>
            <w:shd w:val="clear" w:color="auto" w:fill="auto"/>
            <w:vAlign w:val="center"/>
            <w:hideMark/>
          </w:tcPr>
          <w:p w14:paraId="770515D2"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incluye un criterio adicional de cálculo de límite</w:t>
            </w:r>
          </w:p>
        </w:tc>
        <w:tc>
          <w:tcPr>
            <w:tcW w:w="412" w:type="pct"/>
            <w:tcBorders>
              <w:top w:val="nil"/>
              <w:left w:val="nil"/>
              <w:bottom w:val="single" w:sz="4" w:space="0" w:color="auto"/>
              <w:right w:val="single" w:sz="4" w:space="0" w:color="auto"/>
            </w:tcBorders>
            <w:shd w:val="clear" w:color="auto" w:fill="auto"/>
            <w:vAlign w:val="center"/>
            <w:hideMark/>
          </w:tcPr>
          <w:p w14:paraId="19230437"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incluye 2 criterios adicionales de cálculo de límite</w:t>
            </w:r>
          </w:p>
        </w:tc>
        <w:tc>
          <w:tcPr>
            <w:tcW w:w="403" w:type="pct"/>
            <w:tcBorders>
              <w:top w:val="nil"/>
              <w:left w:val="nil"/>
              <w:bottom w:val="single" w:sz="4" w:space="0" w:color="auto"/>
              <w:right w:val="single" w:sz="4" w:space="0" w:color="auto"/>
            </w:tcBorders>
            <w:shd w:val="clear" w:color="auto" w:fill="auto"/>
            <w:vAlign w:val="center"/>
            <w:hideMark/>
          </w:tcPr>
          <w:p w14:paraId="6F656D3F"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incluye 3 o más criterios adicionales de cálculo de límite</w:t>
            </w:r>
          </w:p>
        </w:tc>
        <w:tc>
          <w:tcPr>
            <w:tcW w:w="430" w:type="pct"/>
            <w:tcBorders>
              <w:top w:val="nil"/>
              <w:left w:val="nil"/>
              <w:bottom w:val="single" w:sz="4" w:space="0" w:color="auto"/>
              <w:right w:val="single" w:sz="4" w:space="0" w:color="auto"/>
            </w:tcBorders>
            <w:shd w:val="clear" w:color="auto" w:fill="auto"/>
            <w:vAlign w:val="center"/>
          </w:tcPr>
          <w:p w14:paraId="211CFDBA" w14:textId="35A25A09"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03E9B83" w14:textId="77777777" w:rsidR="0027420C" w:rsidRPr="009879D2" w:rsidRDefault="0027420C" w:rsidP="009D79BF">
            <w:pPr>
              <w:suppressAutoHyphens w:val="0"/>
              <w:spacing w:after="0"/>
              <w:jc w:val="left"/>
              <w:rPr>
                <w:rFonts w:ascii="Arial" w:hAnsi="Arial" w:cs="Arial"/>
                <w:color w:val="000000"/>
                <w:sz w:val="16"/>
                <w:szCs w:val="16"/>
                <w:lang w:val="es-EC" w:eastAsia="es-EC" w:bidi="ar-SA"/>
              </w:rPr>
            </w:pPr>
            <w:r w:rsidRPr="009879D2">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CE0F3B7" w14:textId="02040551"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tcPr>
          <w:p w14:paraId="4CF28886"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tcPr>
          <w:p w14:paraId="0F6C5CBE"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49192FC7" w14:textId="77777777" w:rsidTr="0027420C">
        <w:trPr>
          <w:trHeight w:val="624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4D40139" w14:textId="1B7F5727"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lastRenderedPageBreak/>
              <w:t>4.13</w:t>
            </w:r>
          </w:p>
        </w:tc>
        <w:tc>
          <w:tcPr>
            <w:tcW w:w="552" w:type="pct"/>
            <w:tcBorders>
              <w:top w:val="nil"/>
              <w:left w:val="nil"/>
              <w:bottom w:val="single" w:sz="4" w:space="0" w:color="auto"/>
              <w:right w:val="single" w:sz="4" w:space="0" w:color="auto"/>
            </w:tcBorders>
            <w:shd w:val="clear" w:color="auto" w:fill="auto"/>
            <w:vAlign w:val="center"/>
            <w:hideMark/>
          </w:tcPr>
          <w:p w14:paraId="643FD507"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2.1.1.1.4.5</w:t>
            </w:r>
            <w:r>
              <w:rPr>
                <w:color w:val="000000"/>
                <w:sz w:val="16"/>
                <w:szCs w:val="16"/>
                <w:lang w:val="es-EC" w:eastAsia="es-EC" w:bidi="ar-SA"/>
              </w:rPr>
              <w:t xml:space="preserve"> </w:t>
            </w:r>
            <w:r w:rsidRPr="00494669">
              <w:rPr>
                <w:color w:val="000000"/>
                <w:sz w:val="16"/>
                <w:szCs w:val="16"/>
                <w:lang w:val="es-EC" w:eastAsia="es-EC" w:bidi="ar-SA"/>
              </w:rPr>
              <w:t>Detector de Topología Errónea (Bad Topology Detection)</w:t>
            </w:r>
            <w:r w:rsidRPr="00494669">
              <w:rPr>
                <w:color w:val="000000"/>
                <w:sz w:val="16"/>
                <w:szCs w:val="16"/>
                <w:lang w:val="es-EC" w:eastAsia="es-EC" w:bidi="ar-SA"/>
              </w:rPr>
              <w:br/>
            </w:r>
          </w:p>
        </w:tc>
        <w:tc>
          <w:tcPr>
            <w:tcW w:w="330" w:type="pct"/>
            <w:tcBorders>
              <w:top w:val="nil"/>
              <w:left w:val="nil"/>
              <w:bottom w:val="single" w:sz="4" w:space="0" w:color="auto"/>
              <w:right w:val="single" w:sz="4" w:space="0" w:color="auto"/>
            </w:tcBorders>
            <w:shd w:val="clear" w:color="auto" w:fill="auto"/>
            <w:vAlign w:val="center"/>
            <w:hideMark/>
          </w:tcPr>
          <w:p w14:paraId="7FDC47E7"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40BF6B5E"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j.        La aplicación BTD dispondrá de despliegues dedicados en donde se listen los equipos que no cumplen con alguna de las pruebas antes descritas. Al menos los siguientes despliegues tabulares estarán disponibles para presentar:</w:t>
            </w:r>
            <w:r w:rsidRPr="00494669">
              <w:rPr>
                <w:sz w:val="18"/>
                <w:szCs w:val="18"/>
                <w:lang w:val="es-EC" w:eastAsia="es-EC" w:bidi="ar-SA"/>
              </w:rPr>
              <w:br/>
              <w:t>• Seccionadores abiertos a ser cerrados</w:t>
            </w:r>
            <w:r w:rsidRPr="00494669">
              <w:rPr>
                <w:sz w:val="18"/>
                <w:szCs w:val="18"/>
                <w:lang w:val="es-EC" w:eastAsia="es-EC" w:bidi="ar-SA"/>
              </w:rPr>
              <w:br/>
              <w:t>• Interruptores y Seccionadores inconsistentes</w:t>
            </w:r>
            <w:r w:rsidRPr="00494669">
              <w:rPr>
                <w:sz w:val="18"/>
                <w:szCs w:val="18"/>
                <w:lang w:val="es-EC" w:eastAsia="es-EC" w:bidi="ar-SA"/>
              </w:rPr>
              <w:br/>
              <w:t>• Interruptores y Seccionadores a corregir el estado</w:t>
            </w:r>
            <w:r w:rsidRPr="00494669">
              <w:rPr>
                <w:sz w:val="18"/>
                <w:szCs w:val="18"/>
                <w:lang w:val="es-EC" w:eastAsia="es-EC" w:bidi="ar-SA"/>
              </w:rPr>
              <w:br/>
              <w:t>• Equipos con Pérdidas Anormales</w:t>
            </w:r>
            <w:r w:rsidRPr="00494669">
              <w:rPr>
                <w:sz w:val="18"/>
                <w:szCs w:val="18"/>
                <w:lang w:val="es-EC" w:eastAsia="es-EC" w:bidi="ar-SA"/>
              </w:rPr>
              <w:br/>
              <w:t>• Potencia Activa y Reactiva neta en barras distinta de cero</w:t>
            </w:r>
            <w:r w:rsidRPr="00494669">
              <w:rPr>
                <w:sz w:val="18"/>
                <w:szCs w:val="18"/>
                <w:lang w:val="es-EC" w:eastAsia="es-EC" w:bidi="ar-SA"/>
              </w:rPr>
              <w:br/>
              <w:t xml:space="preserve">• Potencia Activa y Reactiva neta en subestaciones distinta de cero  </w:t>
            </w:r>
            <w:r w:rsidRPr="00494669">
              <w:rPr>
                <w:sz w:val="18"/>
                <w:szCs w:val="18"/>
                <w:lang w:val="es-EC" w:eastAsia="es-EC" w:bidi="ar-SA"/>
              </w:rPr>
              <w:br/>
              <w:t>• Relación de MW/MVAR inconsistente</w:t>
            </w:r>
            <w:r w:rsidRPr="00494669">
              <w:rPr>
                <w:sz w:val="18"/>
                <w:szCs w:val="18"/>
                <w:lang w:val="es-EC" w:eastAsia="es-EC" w:bidi="ar-SA"/>
              </w:rPr>
              <w:br/>
              <w:t>• Ramas en servicio con un extremo abierto</w:t>
            </w:r>
            <w:r w:rsidRPr="00494669">
              <w:rPr>
                <w:sz w:val="18"/>
                <w:szCs w:val="18"/>
                <w:lang w:val="es-EC" w:eastAsia="es-EC" w:bidi="ar-SA"/>
              </w:rPr>
              <w:br/>
              <w:t xml:space="preserve">• Equipo en </w:t>
            </w:r>
            <w:r w:rsidRPr="00494669">
              <w:rPr>
                <w:sz w:val="18"/>
                <w:szCs w:val="18"/>
                <w:lang w:val="es-EC" w:eastAsia="es-EC" w:bidi="ar-SA"/>
              </w:rPr>
              <w:lastRenderedPageBreak/>
              <w:t>servicio con medición cercana a cero</w:t>
            </w:r>
            <w:r w:rsidRPr="00494669">
              <w:rPr>
                <w:sz w:val="18"/>
                <w:szCs w:val="18"/>
                <w:lang w:val="es-EC" w:eastAsia="es-EC" w:bidi="ar-SA"/>
              </w:rPr>
              <w:br/>
              <w:t>• Equipo fuera de servicio con flujo de potencia distinto de cero</w:t>
            </w:r>
          </w:p>
        </w:tc>
        <w:tc>
          <w:tcPr>
            <w:tcW w:w="403" w:type="pct"/>
            <w:tcBorders>
              <w:top w:val="nil"/>
              <w:left w:val="nil"/>
              <w:bottom w:val="single" w:sz="4" w:space="0" w:color="auto"/>
              <w:right w:val="single" w:sz="4" w:space="0" w:color="auto"/>
            </w:tcBorders>
            <w:shd w:val="clear" w:color="auto" w:fill="auto"/>
            <w:vAlign w:val="center"/>
            <w:hideMark/>
          </w:tcPr>
          <w:p w14:paraId="0A86D822"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Si en el despliegue unifilar se incluye una señal distintiva que permita reonocer que el equipo está con pérdidas anormales</w:t>
            </w:r>
          </w:p>
        </w:tc>
        <w:tc>
          <w:tcPr>
            <w:tcW w:w="412" w:type="pct"/>
            <w:tcBorders>
              <w:top w:val="nil"/>
              <w:left w:val="nil"/>
              <w:bottom w:val="single" w:sz="4" w:space="0" w:color="auto"/>
              <w:right w:val="single" w:sz="4" w:space="0" w:color="auto"/>
            </w:tcBorders>
            <w:shd w:val="clear" w:color="auto" w:fill="auto"/>
            <w:vAlign w:val="center"/>
            <w:hideMark/>
          </w:tcPr>
          <w:p w14:paraId="721E41CD"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en el despliegue unifilar se incluye una señal distintiva que permita reonocer que el equipo está con pérdidas anormales y estados de seccionadores e interruptores inconsistentes determinados por BTD</w:t>
            </w:r>
          </w:p>
        </w:tc>
        <w:tc>
          <w:tcPr>
            <w:tcW w:w="403" w:type="pct"/>
            <w:tcBorders>
              <w:top w:val="nil"/>
              <w:left w:val="nil"/>
              <w:bottom w:val="single" w:sz="4" w:space="0" w:color="auto"/>
              <w:right w:val="single" w:sz="4" w:space="0" w:color="auto"/>
            </w:tcBorders>
            <w:shd w:val="clear" w:color="auto" w:fill="auto"/>
            <w:vAlign w:val="center"/>
            <w:hideMark/>
          </w:tcPr>
          <w:p w14:paraId="0DCF512F"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en el despliegue unifilar se incluye una señal distintiva que permita reonocer que el equipo está con pérdidas anormales, estados de seccionadores e interruptores inconsistentes determinados por BTD y barras que tengan medición neta distinta de cero MW o MVAR</w:t>
            </w:r>
          </w:p>
        </w:tc>
        <w:tc>
          <w:tcPr>
            <w:tcW w:w="430" w:type="pct"/>
            <w:tcBorders>
              <w:top w:val="nil"/>
              <w:left w:val="nil"/>
              <w:bottom w:val="single" w:sz="4" w:space="0" w:color="auto"/>
              <w:right w:val="single" w:sz="4" w:space="0" w:color="auto"/>
            </w:tcBorders>
            <w:shd w:val="clear" w:color="auto" w:fill="auto"/>
            <w:vAlign w:val="center"/>
          </w:tcPr>
          <w:p w14:paraId="656A275A" w14:textId="3064C9FC"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4749923" w14:textId="77777777" w:rsidR="0027420C" w:rsidRPr="009879D2" w:rsidRDefault="0027420C" w:rsidP="009D79BF">
            <w:pPr>
              <w:suppressAutoHyphens w:val="0"/>
              <w:spacing w:after="0"/>
              <w:jc w:val="left"/>
              <w:rPr>
                <w:rFonts w:ascii="Arial" w:hAnsi="Arial" w:cs="Arial"/>
                <w:color w:val="000000"/>
                <w:sz w:val="16"/>
                <w:szCs w:val="16"/>
                <w:lang w:val="es-EC" w:eastAsia="es-EC" w:bidi="ar-SA"/>
              </w:rPr>
            </w:pPr>
            <w:r w:rsidRPr="009879D2">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7823ADB3" w14:textId="6F4C9983" w:rsidR="0027420C" w:rsidRPr="009879D2"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0BCBB201"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20787B26"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20BDB42B" w14:textId="77777777" w:rsidTr="0027420C">
        <w:trPr>
          <w:trHeight w:val="432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64AD05D" w14:textId="7F3F3421"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lastRenderedPageBreak/>
              <w:t>4.14</w:t>
            </w:r>
          </w:p>
        </w:tc>
        <w:tc>
          <w:tcPr>
            <w:tcW w:w="552" w:type="pct"/>
            <w:tcBorders>
              <w:top w:val="nil"/>
              <w:left w:val="nil"/>
              <w:bottom w:val="single" w:sz="4" w:space="0" w:color="auto"/>
              <w:right w:val="single" w:sz="4" w:space="0" w:color="auto"/>
            </w:tcBorders>
            <w:shd w:val="clear" w:color="auto" w:fill="auto"/>
            <w:vAlign w:val="center"/>
            <w:hideMark/>
          </w:tcPr>
          <w:p w14:paraId="5F286F47"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2.1.1.1.4.6.1</w:t>
            </w:r>
            <w:r>
              <w:rPr>
                <w:color w:val="000000"/>
                <w:sz w:val="16"/>
                <w:szCs w:val="16"/>
                <w:lang w:val="es-EC" w:eastAsia="es-EC" w:bidi="ar-SA"/>
              </w:rPr>
              <w:t xml:space="preserve"> </w:t>
            </w:r>
            <w:r w:rsidRPr="00494669">
              <w:rPr>
                <w:color w:val="000000"/>
                <w:sz w:val="16"/>
                <w:szCs w:val="16"/>
                <w:lang w:val="es-EC" w:eastAsia="es-EC" w:bidi="ar-SA"/>
              </w:rPr>
              <w:t xml:space="preserve">Estimador de Estado </w:t>
            </w:r>
            <w:r w:rsidRPr="00494669">
              <w:rPr>
                <w:color w:val="000000"/>
                <w:sz w:val="16"/>
                <w:szCs w:val="16"/>
                <w:lang w:val="es-EC" w:eastAsia="es-EC" w:bidi="ar-SA"/>
              </w:rPr>
              <w:br/>
              <w:t>Requerimientos Mínimos</w:t>
            </w:r>
          </w:p>
        </w:tc>
        <w:tc>
          <w:tcPr>
            <w:tcW w:w="330" w:type="pct"/>
            <w:tcBorders>
              <w:top w:val="nil"/>
              <w:left w:val="nil"/>
              <w:bottom w:val="single" w:sz="4" w:space="0" w:color="auto"/>
              <w:right w:val="single" w:sz="4" w:space="0" w:color="auto"/>
            </w:tcBorders>
            <w:shd w:val="clear" w:color="auto" w:fill="auto"/>
            <w:vAlign w:val="center"/>
            <w:hideMark/>
          </w:tcPr>
          <w:p w14:paraId="2D41DB6C"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528B95E6"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e.       Si el Proveedor dispone de más de un algoritmo para resolver la Estimación de Estado a partir de mediciones de SCADA, como, por ejemplo, el método ortogonal de Rotaciones de Givens, éste no deberá ser considerado como un opcional y se suministrará completamente integrado, sintonizado y configurado para su uso. Una descripción detallada del método de solución de este método ortogonal, así como los artículos técnicos de referencia (papers) utilizados para implementar el algoritmo de Rotaciones de Givens deberán incluirse en la oferta técnica.</w:t>
            </w:r>
          </w:p>
        </w:tc>
        <w:tc>
          <w:tcPr>
            <w:tcW w:w="403" w:type="pct"/>
            <w:tcBorders>
              <w:top w:val="nil"/>
              <w:left w:val="nil"/>
              <w:bottom w:val="single" w:sz="4" w:space="0" w:color="auto"/>
              <w:right w:val="single" w:sz="4" w:space="0" w:color="auto"/>
            </w:tcBorders>
            <w:shd w:val="clear" w:color="auto" w:fill="auto"/>
            <w:vAlign w:val="center"/>
            <w:hideMark/>
          </w:tcPr>
          <w:p w14:paraId="5002865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el Proveedor además del Algoritmo de Solución Estándar para el Estimador de Estado entrega un algoritmo adicional de solución</w:t>
            </w:r>
          </w:p>
        </w:tc>
        <w:tc>
          <w:tcPr>
            <w:tcW w:w="412" w:type="pct"/>
            <w:tcBorders>
              <w:top w:val="nil"/>
              <w:left w:val="nil"/>
              <w:bottom w:val="single" w:sz="4" w:space="0" w:color="auto"/>
              <w:right w:val="single" w:sz="4" w:space="0" w:color="auto"/>
            </w:tcBorders>
            <w:shd w:val="clear" w:color="auto" w:fill="auto"/>
            <w:vAlign w:val="center"/>
            <w:hideMark/>
          </w:tcPr>
          <w:p w14:paraId="0BE7FBF7"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 xml:space="preserve">Si el Proveedor además del Algoritmo de Solución Estándar para el Estimador de Estado entrega dos </w:t>
            </w:r>
            <w:proofErr w:type="gramStart"/>
            <w:r w:rsidRPr="00494669">
              <w:rPr>
                <w:sz w:val="18"/>
                <w:szCs w:val="18"/>
                <w:lang w:val="es-EC" w:eastAsia="es-EC" w:bidi="ar-SA"/>
              </w:rPr>
              <w:t>algoritmos adicional</w:t>
            </w:r>
            <w:proofErr w:type="gramEnd"/>
            <w:r w:rsidRPr="00494669">
              <w:rPr>
                <w:sz w:val="18"/>
                <w:szCs w:val="18"/>
                <w:lang w:val="es-EC" w:eastAsia="es-EC" w:bidi="ar-SA"/>
              </w:rPr>
              <w:t xml:space="preserve"> de solución</w:t>
            </w:r>
          </w:p>
        </w:tc>
        <w:tc>
          <w:tcPr>
            <w:tcW w:w="403" w:type="pct"/>
            <w:tcBorders>
              <w:top w:val="nil"/>
              <w:left w:val="nil"/>
              <w:bottom w:val="single" w:sz="4" w:space="0" w:color="auto"/>
              <w:right w:val="single" w:sz="4" w:space="0" w:color="auto"/>
            </w:tcBorders>
            <w:shd w:val="clear" w:color="auto" w:fill="auto"/>
            <w:vAlign w:val="center"/>
            <w:hideMark/>
          </w:tcPr>
          <w:p w14:paraId="5DB9F617"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 xml:space="preserve">Si el Proveedor además del Algoritmo de Solución Estándar para el Estimador de Estado entrega tres </w:t>
            </w:r>
            <w:proofErr w:type="gramStart"/>
            <w:r w:rsidRPr="00494669">
              <w:rPr>
                <w:sz w:val="18"/>
                <w:szCs w:val="18"/>
                <w:lang w:val="es-EC" w:eastAsia="es-EC" w:bidi="ar-SA"/>
              </w:rPr>
              <w:t>algoritmos adicional</w:t>
            </w:r>
            <w:proofErr w:type="gramEnd"/>
            <w:r w:rsidRPr="00494669">
              <w:rPr>
                <w:sz w:val="18"/>
                <w:szCs w:val="18"/>
                <w:lang w:val="es-EC" w:eastAsia="es-EC" w:bidi="ar-SA"/>
              </w:rPr>
              <w:t xml:space="preserve"> de solución</w:t>
            </w:r>
          </w:p>
        </w:tc>
        <w:tc>
          <w:tcPr>
            <w:tcW w:w="430" w:type="pct"/>
            <w:tcBorders>
              <w:top w:val="nil"/>
              <w:left w:val="nil"/>
              <w:bottom w:val="single" w:sz="4" w:space="0" w:color="auto"/>
              <w:right w:val="single" w:sz="4" w:space="0" w:color="auto"/>
            </w:tcBorders>
            <w:shd w:val="clear" w:color="auto" w:fill="auto"/>
            <w:vAlign w:val="center"/>
          </w:tcPr>
          <w:p w14:paraId="4222B582" w14:textId="25A5A3A9"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489A1E4F"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5B898D9F" w14:textId="68AA336C"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470AED32"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093A683D"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39B1471B" w14:textId="77777777" w:rsidTr="0027420C">
        <w:trPr>
          <w:trHeight w:val="264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8B59E74" w14:textId="36BFC256"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lastRenderedPageBreak/>
              <w:t>4.15</w:t>
            </w:r>
          </w:p>
        </w:tc>
        <w:tc>
          <w:tcPr>
            <w:tcW w:w="552" w:type="pct"/>
            <w:tcBorders>
              <w:top w:val="nil"/>
              <w:left w:val="nil"/>
              <w:bottom w:val="single" w:sz="4" w:space="0" w:color="auto"/>
              <w:right w:val="single" w:sz="4" w:space="0" w:color="auto"/>
            </w:tcBorders>
            <w:shd w:val="clear" w:color="auto" w:fill="auto"/>
            <w:vAlign w:val="center"/>
            <w:hideMark/>
          </w:tcPr>
          <w:p w14:paraId="5A8C90E5"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2.1.1.1.4.6.1</w:t>
            </w:r>
            <w:r>
              <w:rPr>
                <w:color w:val="000000"/>
                <w:sz w:val="16"/>
                <w:szCs w:val="16"/>
                <w:lang w:val="es-EC" w:eastAsia="es-EC" w:bidi="ar-SA"/>
              </w:rPr>
              <w:t xml:space="preserve"> </w:t>
            </w:r>
            <w:r w:rsidRPr="00494669">
              <w:rPr>
                <w:color w:val="000000"/>
                <w:sz w:val="16"/>
                <w:szCs w:val="16"/>
                <w:lang w:val="es-EC" w:eastAsia="es-EC" w:bidi="ar-SA"/>
              </w:rPr>
              <w:t>Estimador de Estado</w:t>
            </w:r>
            <w:r w:rsidRPr="00494669">
              <w:rPr>
                <w:color w:val="000000"/>
                <w:sz w:val="16"/>
                <w:szCs w:val="16"/>
                <w:lang w:val="es-EC" w:eastAsia="es-EC" w:bidi="ar-SA"/>
              </w:rPr>
              <w:br/>
            </w:r>
            <w:r w:rsidRPr="00494669">
              <w:rPr>
                <w:color w:val="000000"/>
                <w:sz w:val="16"/>
                <w:szCs w:val="16"/>
                <w:lang w:val="es-EC" w:eastAsia="es-EC" w:bidi="ar-SA"/>
              </w:rPr>
              <w:br/>
              <w:t>Requerimientos Mínimos</w:t>
            </w:r>
          </w:p>
        </w:tc>
        <w:tc>
          <w:tcPr>
            <w:tcW w:w="330" w:type="pct"/>
            <w:tcBorders>
              <w:top w:val="nil"/>
              <w:left w:val="nil"/>
              <w:bottom w:val="single" w:sz="4" w:space="0" w:color="auto"/>
              <w:right w:val="single" w:sz="4" w:space="0" w:color="auto"/>
            </w:tcBorders>
            <w:shd w:val="clear" w:color="auto" w:fill="auto"/>
            <w:vAlign w:val="center"/>
            <w:hideMark/>
          </w:tcPr>
          <w:p w14:paraId="5D9F8957"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4C64BAE0"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i.        Como resultado de la ejecución del estimador de estado, se obtendrán las variables de estado y todos los valores estimados asociadas a los equipos de la red.  Estos valores procesados por el estimador de estado serán utilizados como entrada de información en el resto de las aplicaciones de seguridad operativa solicitadas en esta especificación.</w:t>
            </w:r>
          </w:p>
        </w:tc>
        <w:tc>
          <w:tcPr>
            <w:tcW w:w="403" w:type="pct"/>
            <w:tcBorders>
              <w:top w:val="nil"/>
              <w:left w:val="nil"/>
              <w:bottom w:val="single" w:sz="4" w:space="0" w:color="auto"/>
              <w:right w:val="single" w:sz="4" w:space="0" w:color="auto"/>
            </w:tcBorders>
            <w:shd w:val="clear" w:color="auto" w:fill="auto"/>
            <w:vAlign w:val="center"/>
            <w:hideMark/>
          </w:tcPr>
          <w:p w14:paraId="4F620F45"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incluyen como variables de estado los cambiadores de Tap y LTC</w:t>
            </w:r>
          </w:p>
        </w:tc>
        <w:tc>
          <w:tcPr>
            <w:tcW w:w="412" w:type="pct"/>
            <w:tcBorders>
              <w:top w:val="nil"/>
              <w:left w:val="nil"/>
              <w:bottom w:val="single" w:sz="4" w:space="0" w:color="auto"/>
              <w:right w:val="single" w:sz="4" w:space="0" w:color="auto"/>
            </w:tcBorders>
            <w:shd w:val="clear" w:color="auto" w:fill="auto"/>
            <w:vAlign w:val="center"/>
            <w:hideMark/>
          </w:tcPr>
          <w:p w14:paraId="7FF0B97B"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incluyen como variables de estado los cambiadores de Tap y LTC y estados abiertos y cerrados de interruptores</w:t>
            </w:r>
          </w:p>
        </w:tc>
        <w:tc>
          <w:tcPr>
            <w:tcW w:w="403" w:type="pct"/>
            <w:tcBorders>
              <w:top w:val="nil"/>
              <w:left w:val="nil"/>
              <w:bottom w:val="single" w:sz="4" w:space="0" w:color="auto"/>
              <w:right w:val="single" w:sz="4" w:space="0" w:color="auto"/>
            </w:tcBorders>
            <w:shd w:val="clear" w:color="auto" w:fill="auto"/>
            <w:vAlign w:val="center"/>
            <w:hideMark/>
          </w:tcPr>
          <w:p w14:paraId="5108A7B5"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incluyen como variables de estado los cambiadores de Tap y LTC y estados abiertos y cerrados de interruptores y seccionadores</w:t>
            </w:r>
          </w:p>
        </w:tc>
        <w:tc>
          <w:tcPr>
            <w:tcW w:w="430" w:type="pct"/>
            <w:tcBorders>
              <w:top w:val="nil"/>
              <w:left w:val="nil"/>
              <w:bottom w:val="single" w:sz="4" w:space="0" w:color="auto"/>
              <w:right w:val="single" w:sz="4" w:space="0" w:color="auto"/>
            </w:tcBorders>
            <w:shd w:val="clear" w:color="auto" w:fill="auto"/>
            <w:vAlign w:val="center"/>
          </w:tcPr>
          <w:p w14:paraId="5416A6B1" w14:textId="5E845F70"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0405A946"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683B9527" w14:textId="64839850"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50D5F83F"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3BA16520"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46CA6D4E" w14:textId="77777777" w:rsidTr="0027420C">
        <w:trPr>
          <w:trHeight w:val="3181"/>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61019F6A" w14:textId="758F29E4"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4.16</w:t>
            </w:r>
          </w:p>
        </w:tc>
        <w:tc>
          <w:tcPr>
            <w:tcW w:w="552" w:type="pct"/>
            <w:tcBorders>
              <w:top w:val="nil"/>
              <w:left w:val="nil"/>
              <w:bottom w:val="single" w:sz="4" w:space="0" w:color="auto"/>
              <w:right w:val="single" w:sz="4" w:space="0" w:color="auto"/>
            </w:tcBorders>
            <w:shd w:val="clear" w:color="auto" w:fill="auto"/>
            <w:vAlign w:val="center"/>
            <w:hideMark/>
          </w:tcPr>
          <w:p w14:paraId="164D7FB9"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2.1.1.1.4.6.2</w:t>
            </w:r>
            <w:r>
              <w:rPr>
                <w:color w:val="000000"/>
                <w:sz w:val="16"/>
                <w:szCs w:val="16"/>
                <w:lang w:val="es-EC" w:eastAsia="es-EC" w:bidi="ar-SA"/>
              </w:rPr>
              <w:t xml:space="preserve"> </w:t>
            </w:r>
            <w:r w:rsidRPr="00494669">
              <w:rPr>
                <w:color w:val="000000"/>
                <w:sz w:val="16"/>
                <w:szCs w:val="16"/>
                <w:lang w:val="es-EC" w:eastAsia="es-EC" w:bidi="ar-SA"/>
              </w:rPr>
              <w:t>Estimador de Estado</w:t>
            </w:r>
            <w:r w:rsidRPr="00494669">
              <w:rPr>
                <w:color w:val="000000"/>
                <w:sz w:val="16"/>
                <w:szCs w:val="16"/>
                <w:lang w:val="es-EC" w:eastAsia="es-EC" w:bidi="ar-SA"/>
              </w:rPr>
              <w:br/>
            </w:r>
            <w:r w:rsidRPr="00494669">
              <w:rPr>
                <w:color w:val="000000"/>
                <w:sz w:val="16"/>
                <w:szCs w:val="16"/>
                <w:lang w:val="es-EC" w:eastAsia="es-EC" w:bidi="ar-SA"/>
              </w:rPr>
              <w:br/>
              <w:t>Funcionalidades</w:t>
            </w:r>
          </w:p>
        </w:tc>
        <w:tc>
          <w:tcPr>
            <w:tcW w:w="330" w:type="pct"/>
            <w:tcBorders>
              <w:top w:val="nil"/>
              <w:left w:val="nil"/>
              <w:bottom w:val="single" w:sz="4" w:space="0" w:color="auto"/>
              <w:right w:val="single" w:sz="4" w:space="0" w:color="auto"/>
            </w:tcBorders>
            <w:shd w:val="clear" w:color="auto" w:fill="auto"/>
            <w:vAlign w:val="center"/>
            <w:hideMark/>
          </w:tcPr>
          <w:p w14:paraId="3629AA5C"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77795034"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d.       Detectar, identificar y eliminar mediciones erróneas, basándose en pruebas estadísticas tales como: Residuos Normalizados y Chi-Cuadrado. El proceso de detección deberá discriminar entre errores gruesos y errores de sesgo en las mediciones. El Proveedor explicará de manera detallada </w:t>
            </w:r>
            <w:r w:rsidRPr="00494669">
              <w:rPr>
                <w:sz w:val="18"/>
                <w:szCs w:val="18"/>
                <w:lang w:val="es-EC" w:eastAsia="es-EC" w:bidi="ar-SA"/>
              </w:rPr>
              <w:lastRenderedPageBreak/>
              <w:t>el algoritmo implementado para la detección, identificación y eliminación de las mediciones erróneas, así como los artículos técnicos de referencia (papers) utilizados para implementar este algoritmo deberán incluirse en la oferta técnica</w:t>
            </w:r>
          </w:p>
        </w:tc>
        <w:tc>
          <w:tcPr>
            <w:tcW w:w="403" w:type="pct"/>
            <w:tcBorders>
              <w:top w:val="nil"/>
              <w:left w:val="nil"/>
              <w:bottom w:val="single" w:sz="4" w:space="0" w:color="auto"/>
              <w:right w:val="single" w:sz="4" w:space="0" w:color="auto"/>
            </w:tcBorders>
            <w:shd w:val="clear" w:color="auto" w:fill="auto"/>
            <w:vAlign w:val="center"/>
            <w:hideMark/>
          </w:tcPr>
          <w:p w14:paraId="0406D15B"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Detectar mediciones erróneas y estados de interruptores</w:t>
            </w:r>
          </w:p>
        </w:tc>
        <w:tc>
          <w:tcPr>
            <w:tcW w:w="412" w:type="pct"/>
            <w:tcBorders>
              <w:top w:val="nil"/>
              <w:left w:val="nil"/>
              <w:bottom w:val="single" w:sz="4" w:space="0" w:color="auto"/>
              <w:right w:val="single" w:sz="4" w:space="0" w:color="auto"/>
            </w:tcBorders>
            <w:shd w:val="clear" w:color="auto" w:fill="auto"/>
            <w:vAlign w:val="center"/>
            <w:hideMark/>
          </w:tcPr>
          <w:p w14:paraId="149A4A48"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Detectar mediciones erróneas y estados de interruptores y seccionadores</w:t>
            </w:r>
          </w:p>
        </w:tc>
        <w:tc>
          <w:tcPr>
            <w:tcW w:w="403" w:type="pct"/>
            <w:tcBorders>
              <w:top w:val="nil"/>
              <w:left w:val="nil"/>
              <w:bottom w:val="single" w:sz="4" w:space="0" w:color="auto"/>
              <w:right w:val="single" w:sz="4" w:space="0" w:color="auto"/>
            </w:tcBorders>
            <w:shd w:val="clear" w:color="auto" w:fill="auto"/>
            <w:vAlign w:val="center"/>
            <w:hideMark/>
          </w:tcPr>
          <w:p w14:paraId="7E2064CC"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Detectar mediciones erróneas y estados de interruptores y seccionadores dentro de un mismo proceso de estimación de estado</w:t>
            </w:r>
          </w:p>
        </w:tc>
        <w:tc>
          <w:tcPr>
            <w:tcW w:w="430" w:type="pct"/>
            <w:tcBorders>
              <w:top w:val="nil"/>
              <w:left w:val="nil"/>
              <w:bottom w:val="single" w:sz="4" w:space="0" w:color="auto"/>
              <w:right w:val="single" w:sz="4" w:space="0" w:color="auto"/>
            </w:tcBorders>
            <w:shd w:val="clear" w:color="auto" w:fill="auto"/>
            <w:vAlign w:val="center"/>
          </w:tcPr>
          <w:p w14:paraId="3BC7F29A" w14:textId="174E2BC0"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00B2C79B"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65A027A0" w14:textId="27772C5A"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4C1D064F"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1087DA32"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7CBE3A5B" w14:textId="77777777" w:rsidTr="0027420C">
        <w:trPr>
          <w:trHeight w:val="24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D02B91" w14:textId="10470911"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4.17</w:t>
            </w:r>
          </w:p>
        </w:tc>
        <w:tc>
          <w:tcPr>
            <w:tcW w:w="552" w:type="pct"/>
            <w:tcBorders>
              <w:top w:val="nil"/>
              <w:left w:val="nil"/>
              <w:bottom w:val="single" w:sz="4" w:space="0" w:color="auto"/>
              <w:right w:val="single" w:sz="4" w:space="0" w:color="auto"/>
            </w:tcBorders>
            <w:shd w:val="clear" w:color="auto" w:fill="auto"/>
            <w:vAlign w:val="center"/>
            <w:hideMark/>
          </w:tcPr>
          <w:p w14:paraId="73243888"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2.1.1.1.4.6.4</w:t>
            </w:r>
            <w:r>
              <w:rPr>
                <w:color w:val="000000"/>
                <w:sz w:val="16"/>
                <w:szCs w:val="16"/>
                <w:lang w:val="es-EC" w:eastAsia="es-EC" w:bidi="ar-SA"/>
              </w:rPr>
              <w:t xml:space="preserve"> </w:t>
            </w:r>
            <w:r w:rsidRPr="00494669">
              <w:rPr>
                <w:color w:val="000000"/>
                <w:sz w:val="16"/>
                <w:szCs w:val="16"/>
                <w:lang w:val="es-EC" w:eastAsia="es-EC" w:bidi="ar-SA"/>
              </w:rPr>
              <w:t>Estimador de Estado en Tiempo Real</w:t>
            </w:r>
          </w:p>
        </w:tc>
        <w:tc>
          <w:tcPr>
            <w:tcW w:w="330" w:type="pct"/>
            <w:tcBorders>
              <w:top w:val="nil"/>
              <w:left w:val="nil"/>
              <w:bottom w:val="single" w:sz="4" w:space="0" w:color="auto"/>
              <w:right w:val="single" w:sz="4" w:space="0" w:color="auto"/>
            </w:tcBorders>
            <w:shd w:val="clear" w:color="auto" w:fill="auto"/>
            <w:vAlign w:val="center"/>
            <w:hideMark/>
          </w:tcPr>
          <w:p w14:paraId="4F99B7F6"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57332A43"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o.       Incorporar la aplicación para la estimación de parámetros de líneas (R, X, Susceptancia de la línea) a partir de los resultados estadísticos acumulados del estimador de estado. </w:t>
            </w:r>
          </w:p>
        </w:tc>
        <w:tc>
          <w:tcPr>
            <w:tcW w:w="403" w:type="pct"/>
            <w:tcBorders>
              <w:top w:val="nil"/>
              <w:left w:val="nil"/>
              <w:bottom w:val="single" w:sz="4" w:space="0" w:color="auto"/>
              <w:right w:val="single" w:sz="4" w:space="0" w:color="auto"/>
            </w:tcBorders>
            <w:shd w:val="clear" w:color="auto" w:fill="auto"/>
            <w:vAlign w:val="center"/>
            <w:hideMark/>
          </w:tcPr>
          <w:p w14:paraId="60E93AA2"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el Proveedor además presenta un algortimo de Estimación Paramétrica para estimar los parámaetros de todas las líneas de transmisión</w:t>
            </w:r>
          </w:p>
        </w:tc>
        <w:tc>
          <w:tcPr>
            <w:tcW w:w="412" w:type="pct"/>
            <w:tcBorders>
              <w:top w:val="nil"/>
              <w:left w:val="nil"/>
              <w:bottom w:val="single" w:sz="4" w:space="0" w:color="auto"/>
              <w:right w:val="single" w:sz="4" w:space="0" w:color="auto"/>
            </w:tcBorders>
            <w:shd w:val="clear" w:color="auto" w:fill="auto"/>
            <w:vAlign w:val="center"/>
            <w:hideMark/>
          </w:tcPr>
          <w:p w14:paraId="6E7B411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el Proveedor además presenta un algortimo de Estimación Paramétrica para estimar los parámaetros de todas las líneas de transmisión y transformadores</w:t>
            </w:r>
          </w:p>
        </w:tc>
        <w:tc>
          <w:tcPr>
            <w:tcW w:w="403" w:type="pct"/>
            <w:tcBorders>
              <w:top w:val="nil"/>
              <w:left w:val="nil"/>
              <w:bottom w:val="single" w:sz="4" w:space="0" w:color="auto"/>
              <w:right w:val="single" w:sz="4" w:space="0" w:color="auto"/>
            </w:tcBorders>
            <w:shd w:val="clear" w:color="auto" w:fill="auto"/>
            <w:vAlign w:val="center"/>
            <w:hideMark/>
          </w:tcPr>
          <w:p w14:paraId="097C6925"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el Proveedor además presenta un algortimo de Estimación Paramétrica para estimar los parámaetros de todas las líneas de transmisión y transformadores y posiciones de Tap y LTC</w:t>
            </w:r>
          </w:p>
        </w:tc>
        <w:tc>
          <w:tcPr>
            <w:tcW w:w="430" w:type="pct"/>
            <w:tcBorders>
              <w:top w:val="nil"/>
              <w:left w:val="nil"/>
              <w:bottom w:val="single" w:sz="4" w:space="0" w:color="auto"/>
              <w:right w:val="single" w:sz="4" w:space="0" w:color="auto"/>
            </w:tcBorders>
            <w:shd w:val="clear" w:color="auto" w:fill="auto"/>
            <w:vAlign w:val="center"/>
          </w:tcPr>
          <w:p w14:paraId="04DA7202" w14:textId="2CF112FB"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4B5467BB"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0,036</w:t>
            </w:r>
          </w:p>
        </w:tc>
        <w:tc>
          <w:tcPr>
            <w:tcW w:w="387" w:type="pct"/>
            <w:tcBorders>
              <w:top w:val="nil"/>
              <w:left w:val="nil"/>
              <w:bottom w:val="single" w:sz="4" w:space="0" w:color="auto"/>
              <w:right w:val="single" w:sz="4" w:space="0" w:color="auto"/>
            </w:tcBorders>
            <w:shd w:val="clear" w:color="auto" w:fill="auto"/>
            <w:vAlign w:val="center"/>
          </w:tcPr>
          <w:p w14:paraId="001C42D6" w14:textId="21ED32C4"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573CAD4F"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4DD197ED"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21869B02" w14:textId="77777777" w:rsidTr="0027420C">
        <w:trPr>
          <w:trHeight w:val="192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8D1BE67" w14:textId="103380C2"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lastRenderedPageBreak/>
              <w:t>4.18</w:t>
            </w:r>
          </w:p>
        </w:tc>
        <w:tc>
          <w:tcPr>
            <w:tcW w:w="552" w:type="pct"/>
            <w:tcBorders>
              <w:top w:val="nil"/>
              <w:left w:val="nil"/>
              <w:bottom w:val="single" w:sz="4" w:space="0" w:color="auto"/>
              <w:right w:val="single" w:sz="4" w:space="0" w:color="auto"/>
            </w:tcBorders>
            <w:shd w:val="clear" w:color="auto" w:fill="auto"/>
            <w:vAlign w:val="center"/>
            <w:hideMark/>
          </w:tcPr>
          <w:p w14:paraId="11824D50"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2.1.1.1.4.6.4</w:t>
            </w:r>
            <w:r>
              <w:rPr>
                <w:color w:val="000000"/>
                <w:sz w:val="16"/>
                <w:szCs w:val="16"/>
                <w:lang w:val="es-EC" w:eastAsia="es-EC" w:bidi="ar-SA"/>
              </w:rPr>
              <w:t xml:space="preserve"> </w:t>
            </w:r>
            <w:r w:rsidRPr="00494669">
              <w:rPr>
                <w:color w:val="000000"/>
                <w:sz w:val="16"/>
                <w:szCs w:val="16"/>
                <w:lang w:val="es-EC" w:eastAsia="es-EC" w:bidi="ar-SA"/>
              </w:rPr>
              <w:t>Estimador de Estado en Tiempo Real</w:t>
            </w:r>
          </w:p>
        </w:tc>
        <w:tc>
          <w:tcPr>
            <w:tcW w:w="330" w:type="pct"/>
            <w:tcBorders>
              <w:top w:val="nil"/>
              <w:left w:val="nil"/>
              <w:bottom w:val="single" w:sz="4" w:space="0" w:color="auto"/>
              <w:right w:val="single" w:sz="4" w:space="0" w:color="auto"/>
            </w:tcBorders>
            <w:shd w:val="clear" w:color="auto" w:fill="auto"/>
            <w:vAlign w:val="center"/>
            <w:hideMark/>
          </w:tcPr>
          <w:p w14:paraId="4EDCAC03"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02BFC08A"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s.        Valores estimados que violen los límites operativos en condiciones normales de estado estacionario en la evaluación en tiempo real, generarán un evento.</w:t>
            </w:r>
          </w:p>
        </w:tc>
        <w:tc>
          <w:tcPr>
            <w:tcW w:w="403" w:type="pct"/>
            <w:tcBorders>
              <w:top w:val="nil"/>
              <w:left w:val="nil"/>
              <w:bottom w:val="single" w:sz="4" w:space="0" w:color="auto"/>
              <w:right w:val="single" w:sz="4" w:space="0" w:color="auto"/>
            </w:tcBorders>
            <w:shd w:val="clear" w:color="auto" w:fill="auto"/>
            <w:vAlign w:val="center"/>
            <w:hideMark/>
          </w:tcPr>
          <w:p w14:paraId="114A329F"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permite configurar prioridades para las alarmas generadas por el estimador de estado</w:t>
            </w:r>
          </w:p>
        </w:tc>
        <w:tc>
          <w:tcPr>
            <w:tcW w:w="412" w:type="pct"/>
            <w:tcBorders>
              <w:top w:val="nil"/>
              <w:left w:val="nil"/>
              <w:bottom w:val="single" w:sz="4" w:space="0" w:color="auto"/>
              <w:right w:val="single" w:sz="4" w:space="0" w:color="auto"/>
            </w:tcBorders>
            <w:shd w:val="clear" w:color="auto" w:fill="auto"/>
            <w:vAlign w:val="center"/>
            <w:hideMark/>
          </w:tcPr>
          <w:p w14:paraId="6684B1FD"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permite configurar prioridades para las alarmas generadas por el estimador de estado y causa de activación</w:t>
            </w:r>
          </w:p>
        </w:tc>
        <w:tc>
          <w:tcPr>
            <w:tcW w:w="403" w:type="pct"/>
            <w:tcBorders>
              <w:top w:val="nil"/>
              <w:left w:val="nil"/>
              <w:bottom w:val="single" w:sz="4" w:space="0" w:color="auto"/>
              <w:right w:val="single" w:sz="4" w:space="0" w:color="auto"/>
            </w:tcBorders>
            <w:shd w:val="clear" w:color="auto" w:fill="auto"/>
            <w:vAlign w:val="center"/>
            <w:hideMark/>
          </w:tcPr>
          <w:p w14:paraId="0BAD188C"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permite configurar las alarmas generadas por el estimador de estado de la misma manera como se gestionan las Alarmas SCADA</w:t>
            </w:r>
          </w:p>
        </w:tc>
        <w:tc>
          <w:tcPr>
            <w:tcW w:w="430" w:type="pct"/>
            <w:tcBorders>
              <w:top w:val="nil"/>
              <w:left w:val="nil"/>
              <w:bottom w:val="single" w:sz="4" w:space="0" w:color="auto"/>
              <w:right w:val="single" w:sz="4" w:space="0" w:color="auto"/>
            </w:tcBorders>
            <w:shd w:val="clear" w:color="auto" w:fill="auto"/>
            <w:vAlign w:val="center"/>
          </w:tcPr>
          <w:p w14:paraId="0A9359FA" w14:textId="377203CC"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51EF7841"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6AE52470" w14:textId="23C15A47"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73B3B9D2"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50ECA519"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48BA16BE" w14:textId="77777777" w:rsidTr="0027420C">
        <w:trPr>
          <w:trHeight w:val="312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3F556EC" w14:textId="22DF5311"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4.19</w:t>
            </w:r>
          </w:p>
        </w:tc>
        <w:tc>
          <w:tcPr>
            <w:tcW w:w="552" w:type="pct"/>
            <w:tcBorders>
              <w:top w:val="nil"/>
              <w:left w:val="nil"/>
              <w:bottom w:val="single" w:sz="4" w:space="0" w:color="auto"/>
              <w:right w:val="single" w:sz="4" w:space="0" w:color="auto"/>
            </w:tcBorders>
            <w:shd w:val="clear" w:color="auto" w:fill="auto"/>
            <w:vAlign w:val="center"/>
            <w:hideMark/>
          </w:tcPr>
          <w:p w14:paraId="3614623E"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2.1.1.1.4.6.4</w:t>
            </w:r>
            <w:r>
              <w:rPr>
                <w:color w:val="000000"/>
                <w:sz w:val="16"/>
                <w:szCs w:val="16"/>
                <w:lang w:val="es-EC" w:eastAsia="es-EC" w:bidi="ar-SA"/>
              </w:rPr>
              <w:t xml:space="preserve"> </w:t>
            </w:r>
            <w:r w:rsidRPr="00494669">
              <w:rPr>
                <w:color w:val="000000"/>
                <w:sz w:val="16"/>
                <w:szCs w:val="16"/>
                <w:lang w:val="es-EC" w:eastAsia="es-EC" w:bidi="ar-SA"/>
              </w:rPr>
              <w:t>Estimador de Estado en Tiempo Real</w:t>
            </w:r>
          </w:p>
        </w:tc>
        <w:tc>
          <w:tcPr>
            <w:tcW w:w="330" w:type="pct"/>
            <w:tcBorders>
              <w:top w:val="nil"/>
              <w:left w:val="nil"/>
              <w:bottom w:val="single" w:sz="4" w:space="0" w:color="auto"/>
              <w:right w:val="single" w:sz="4" w:space="0" w:color="auto"/>
            </w:tcBorders>
            <w:shd w:val="clear" w:color="auto" w:fill="auto"/>
            <w:vAlign w:val="center"/>
            <w:hideMark/>
          </w:tcPr>
          <w:p w14:paraId="4709BB71"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5B68AC80"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w.     Los resultados del estimador de estado podrán exportarse en la última versión del formato PSSE, formato compatible con PowerFactory y en el formato IEEE.  En cuanto al formato PSSE, a elección del ingeniero de soporte, será posible configurar el estimador de estado para que realice la salida de resultados en formatos de versiones anteriores, considerándose compatibilidad hacia atrás al menos hasta la versión 34.</w:t>
            </w:r>
          </w:p>
        </w:tc>
        <w:tc>
          <w:tcPr>
            <w:tcW w:w="403" w:type="pct"/>
            <w:tcBorders>
              <w:top w:val="nil"/>
              <w:left w:val="nil"/>
              <w:bottom w:val="single" w:sz="4" w:space="0" w:color="auto"/>
              <w:right w:val="single" w:sz="4" w:space="0" w:color="auto"/>
            </w:tcBorders>
            <w:shd w:val="clear" w:color="auto" w:fill="auto"/>
            <w:vAlign w:val="center"/>
            <w:hideMark/>
          </w:tcPr>
          <w:p w14:paraId="59AE8B28"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expotar la Matriz Jacobiana del Estimador de Estado mediante consultas a la base de datos</w:t>
            </w:r>
          </w:p>
        </w:tc>
        <w:tc>
          <w:tcPr>
            <w:tcW w:w="412" w:type="pct"/>
            <w:tcBorders>
              <w:top w:val="nil"/>
              <w:left w:val="nil"/>
              <w:bottom w:val="single" w:sz="4" w:space="0" w:color="auto"/>
              <w:right w:val="single" w:sz="4" w:space="0" w:color="auto"/>
            </w:tcBorders>
            <w:shd w:val="clear" w:color="auto" w:fill="auto"/>
            <w:vAlign w:val="center"/>
            <w:hideMark/>
          </w:tcPr>
          <w:p w14:paraId="181D638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expotar la Matriz Jacobiana del Estimador de Estado mediante un formato definido por el Proveedor</w:t>
            </w:r>
          </w:p>
        </w:tc>
        <w:tc>
          <w:tcPr>
            <w:tcW w:w="403" w:type="pct"/>
            <w:tcBorders>
              <w:top w:val="nil"/>
              <w:left w:val="nil"/>
              <w:bottom w:val="single" w:sz="4" w:space="0" w:color="auto"/>
              <w:right w:val="single" w:sz="4" w:space="0" w:color="auto"/>
            </w:tcBorders>
            <w:shd w:val="clear" w:color="auto" w:fill="auto"/>
            <w:vAlign w:val="center"/>
            <w:hideMark/>
          </w:tcPr>
          <w:p w14:paraId="3A7F543C"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expotar la Matriz Jacobiana del Estimador de Estado mediante un formato personalizable definido por el Comprador</w:t>
            </w:r>
          </w:p>
        </w:tc>
        <w:tc>
          <w:tcPr>
            <w:tcW w:w="430" w:type="pct"/>
            <w:tcBorders>
              <w:top w:val="nil"/>
              <w:left w:val="nil"/>
              <w:bottom w:val="single" w:sz="4" w:space="0" w:color="auto"/>
              <w:right w:val="single" w:sz="4" w:space="0" w:color="auto"/>
            </w:tcBorders>
            <w:shd w:val="clear" w:color="auto" w:fill="auto"/>
            <w:vAlign w:val="center"/>
          </w:tcPr>
          <w:p w14:paraId="41CF4BC0" w14:textId="2C087011"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4899E94E"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53982608" w14:textId="4BB11DCC"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0EF7F2CD"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592A598B"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0FDC01E9" w14:textId="77777777" w:rsidTr="0027420C">
        <w:trPr>
          <w:trHeight w:val="288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6074A6C" w14:textId="6C827CAE"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lastRenderedPageBreak/>
              <w:t>4.20</w:t>
            </w:r>
          </w:p>
        </w:tc>
        <w:tc>
          <w:tcPr>
            <w:tcW w:w="552" w:type="pct"/>
            <w:tcBorders>
              <w:top w:val="nil"/>
              <w:left w:val="nil"/>
              <w:bottom w:val="single" w:sz="4" w:space="0" w:color="auto"/>
              <w:right w:val="single" w:sz="4" w:space="0" w:color="auto"/>
            </w:tcBorders>
            <w:shd w:val="clear" w:color="auto" w:fill="auto"/>
            <w:vAlign w:val="center"/>
            <w:hideMark/>
          </w:tcPr>
          <w:p w14:paraId="00BECB15"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2.1.1.1.4.6.5</w:t>
            </w:r>
            <w:r>
              <w:rPr>
                <w:color w:val="000000"/>
                <w:sz w:val="16"/>
                <w:szCs w:val="16"/>
                <w:lang w:val="es-EC" w:eastAsia="es-EC" w:bidi="ar-SA"/>
              </w:rPr>
              <w:t xml:space="preserve"> </w:t>
            </w:r>
            <w:r w:rsidRPr="00494669">
              <w:rPr>
                <w:color w:val="000000"/>
                <w:sz w:val="16"/>
                <w:szCs w:val="16"/>
                <w:lang w:val="es-EC" w:eastAsia="es-EC" w:bidi="ar-SA"/>
              </w:rPr>
              <w:t>Estimador de Estado en Modo Estudio</w:t>
            </w:r>
          </w:p>
        </w:tc>
        <w:tc>
          <w:tcPr>
            <w:tcW w:w="330" w:type="pct"/>
            <w:tcBorders>
              <w:top w:val="nil"/>
              <w:left w:val="nil"/>
              <w:bottom w:val="single" w:sz="4" w:space="0" w:color="auto"/>
              <w:right w:val="single" w:sz="4" w:space="0" w:color="auto"/>
            </w:tcBorders>
            <w:shd w:val="clear" w:color="auto" w:fill="auto"/>
            <w:vAlign w:val="center"/>
            <w:hideMark/>
          </w:tcPr>
          <w:p w14:paraId="3281A0CC"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3202867B"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d.       Capacidad para configurar la prioridad global del status de la información, si existen discrepancias por problemas de calidad de datos entre: </w:t>
            </w:r>
            <w:r w:rsidRPr="00494669">
              <w:rPr>
                <w:sz w:val="18"/>
                <w:szCs w:val="18"/>
                <w:lang w:val="es-EC" w:eastAsia="es-EC" w:bidi="ar-SA"/>
              </w:rPr>
              <w:br/>
              <w:t xml:space="preserve">·         Ingresos Manuales </w:t>
            </w:r>
            <w:r w:rsidRPr="00494669">
              <w:rPr>
                <w:sz w:val="18"/>
                <w:szCs w:val="18"/>
                <w:lang w:val="es-EC" w:eastAsia="es-EC" w:bidi="ar-SA"/>
              </w:rPr>
              <w:br/>
              <w:t xml:space="preserve">·         Valores telemedidos </w:t>
            </w:r>
            <w:r w:rsidRPr="00494669">
              <w:rPr>
                <w:sz w:val="18"/>
                <w:szCs w:val="18"/>
                <w:lang w:val="es-EC" w:eastAsia="es-EC" w:bidi="ar-SA"/>
              </w:rPr>
              <w:br/>
              <w:t>·         Valores estimados</w:t>
            </w:r>
          </w:p>
        </w:tc>
        <w:tc>
          <w:tcPr>
            <w:tcW w:w="403" w:type="pct"/>
            <w:tcBorders>
              <w:top w:val="nil"/>
              <w:left w:val="nil"/>
              <w:bottom w:val="single" w:sz="4" w:space="0" w:color="auto"/>
              <w:right w:val="single" w:sz="4" w:space="0" w:color="auto"/>
            </w:tcBorders>
            <w:shd w:val="clear" w:color="auto" w:fill="auto"/>
            <w:vAlign w:val="center"/>
            <w:hideMark/>
          </w:tcPr>
          <w:p w14:paraId="25EDEFE5"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cambiar parámetros de modelación (R, X, S) de la línea y que sean tomados en cuenta por el Estimador de Estado</w:t>
            </w:r>
          </w:p>
        </w:tc>
        <w:tc>
          <w:tcPr>
            <w:tcW w:w="412" w:type="pct"/>
            <w:tcBorders>
              <w:top w:val="nil"/>
              <w:left w:val="nil"/>
              <w:bottom w:val="single" w:sz="4" w:space="0" w:color="auto"/>
              <w:right w:val="single" w:sz="4" w:space="0" w:color="auto"/>
            </w:tcBorders>
            <w:shd w:val="clear" w:color="auto" w:fill="auto"/>
            <w:vAlign w:val="center"/>
            <w:hideMark/>
          </w:tcPr>
          <w:p w14:paraId="3418DFCC"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cambiar parámetros de modelación (R, X, S) de la línea y X de transformadores para que sean tomados en cuenta por el Estimador de Estado</w:t>
            </w:r>
          </w:p>
        </w:tc>
        <w:tc>
          <w:tcPr>
            <w:tcW w:w="403" w:type="pct"/>
            <w:tcBorders>
              <w:top w:val="nil"/>
              <w:left w:val="nil"/>
              <w:bottom w:val="single" w:sz="4" w:space="0" w:color="auto"/>
              <w:right w:val="single" w:sz="4" w:space="0" w:color="auto"/>
            </w:tcBorders>
            <w:shd w:val="clear" w:color="auto" w:fill="auto"/>
            <w:vAlign w:val="center"/>
            <w:hideMark/>
          </w:tcPr>
          <w:p w14:paraId="394E6EC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cambiar parámetros de modelación (R, X, S) de la línea, X de transformadores e Incremento de X para Taps y LTCs para que sean tomados en cuenta por el Estimador de Estado</w:t>
            </w:r>
          </w:p>
        </w:tc>
        <w:tc>
          <w:tcPr>
            <w:tcW w:w="430" w:type="pct"/>
            <w:tcBorders>
              <w:top w:val="nil"/>
              <w:left w:val="nil"/>
              <w:bottom w:val="single" w:sz="4" w:space="0" w:color="auto"/>
              <w:right w:val="single" w:sz="4" w:space="0" w:color="auto"/>
            </w:tcBorders>
            <w:shd w:val="clear" w:color="auto" w:fill="auto"/>
            <w:vAlign w:val="center"/>
          </w:tcPr>
          <w:p w14:paraId="10FC0247" w14:textId="5AC0168A"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2EF007E7"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496C05E7" w14:textId="64D10A4D"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502B58B7"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29F7509B"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2D338E30" w14:textId="77777777" w:rsidTr="0027420C">
        <w:trPr>
          <w:trHeight w:val="1338"/>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641F295" w14:textId="64F60051"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4.21</w:t>
            </w:r>
          </w:p>
        </w:tc>
        <w:tc>
          <w:tcPr>
            <w:tcW w:w="552" w:type="pct"/>
            <w:tcBorders>
              <w:top w:val="nil"/>
              <w:left w:val="nil"/>
              <w:bottom w:val="single" w:sz="4" w:space="0" w:color="auto"/>
              <w:right w:val="single" w:sz="4" w:space="0" w:color="auto"/>
            </w:tcBorders>
            <w:shd w:val="clear" w:color="auto" w:fill="auto"/>
            <w:vAlign w:val="center"/>
            <w:hideMark/>
          </w:tcPr>
          <w:p w14:paraId="2B03F4AE"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2.1.1.1.4.7.1</w:t>
            </w:r>
            <w:r>
              <w:rPr>
                <w:color w:val="000000"/>
                <w:sz w:val="16"/>
                <w:szCs w:val="16"/>
                <w:lang w:val="es-EC" w:eastAsia="es-EC" w:bidi="ar-SA"/>
              </w:rPr>
              <w:t xml:space="preserve"> </w:t>
            </w:r>
            <w:r w:rsidRPr="00494669">
              <w:rPr>
                <w:color w:val="000000"/>
                <w:sz w:val="16"/>
                <w:szCs w:val="16"/>
                <w:lang w:val="es-EC" w:eastAsia="es-EC" w:bidi="ar-SA"/>
              </w:rPr>
              <w:t>Análisis de Contingencias</w:t>
            </w:r>
            <w:r w:rsidRPr="00494669">
              <w:rPr>
                <w:color w:val="000000"/>
                <w:sz w:val="16"/>
                <w:szCs w:val="16"/>
                <w:lang w:val="es-EC" w:eastAsia="es-EC" w:bidi="ar-SA"/>
              </w:rPr>
              <w:br/>
              <w:t>Funcionalidades y Características</w:t>
            </w:r>
          </w:p>
        </w:tc>
        <w:tc>
          <w:tcPr>
            <w:tcW w:w="330" w:type="pct"/>
            <w:tcBorders>
              <w:top w:val="nil"/>
              <w:left w:val="nil"/>
              <w:bottom w:val="single" w:sz="4" w:space="0" w:color="auto"/>
              <w:right w:val="single" w:sz="4" w:space="0" w:color="auto"/>
            </w:tcBorders>
            <w:shd w:val="clear" w:color="auto" w:fill="auto"/>
            <w:vAlign w:val="center"/>
            <w:hideMark/>
          </w:tcPr>
          <w:p w14:paraId="51CE73AD"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7838A416"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v.     Para el modelado de Esquemas de Protección Local, EPL, EAC y SPS se deberá disponer de un lenguaje de programación intuitivo, sencillo y robusto, especialmente diseñado para programar todos los esquemas de detección de condiciones de operación que ameritan acciones remediales y la actuación de los controles correspondientes. Una señal de indicación desde </w:t>
            </w:r>
            <w:r w:rsidRPr="00494669">
              <w:rPr>
                <w:sz w:val="18"/>
                <w:szCs w:val="18"/>
                <w:lang w:val="es-EC" w:eastAsia="es-EC" w:bidi="ar-SA"/>
              </w:rPr>
              <w:lastRenderedPageBreak/>
              <w:t>el SCADA para la activación/desactivación del EAC o SPS deberá ser soportada.</w:t>
            </w:r>
          </w:p>
        </w:tc>
        <w:tc>
          <w:tcPr>
            <w:tcW w:w="403" w:type="pct"/>
            <w:tcBorders>
              <w:top w:val="nil"/>
              <w:left w:val="nil"/>
              <w:bottom w:val="single" w:sz="4" w:space="0" w:color="auto"/>
              <w:right w:val="single" w:sz="4" w:space="0" w:color="auto"/>
            </w:tcBorders>
            <w:shd w:val="clear" w:color="auto" w:fill="auto"/>
            <w:vAlign w:val="center"/>
            <w:hideMark/>
          </w:tcPr>
          <w:p w14:paraId="2FFBE3F1"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Será posible disponer de un sistema de programación básico que permita simular sistemas de protección complejos</w:t>
            </w:r>
          </w:p>
        </w:tc>
        <w:tc>
          <w:tcPr>
            <w:tcW w:w="412" w:type="pct"/>
            <w:tcBorders>
              <w:top w:val="nil"/>
              <w:left w:val="nil"/>
              <w:bottom w:val="single" w:sz="4" w:space="0" w:color="auto"/>
              <w:right w:val="single" w:sz="4" w:space="0" w:color="auto"/>
            </w:tcBorders>
            <w:shd w:val="clear" w:color="auto" w:fill="auto"/>
            <w:vAlign w:val="center"/>
            <w:hideMark/>
          </w:tcPr>
          <w:p w14:paraId="6D646971"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disponer de un sistema de programación avanzado que incluya lógicas de programación al menos (lazos y condicionales) que permita simular sistemas de protección complejos</w:t>
            </w:r>
          </w:p>
        </w:tc>
        <w:tc>
          <w:tcPr>
            <w:tcW w:w="403" w:type="pct"/>
            <w:tcBorders>
              <w:top w:val="nil"/>
              <w:left w:val="nil"/>
              <w:bottom w:val="single" w:sz="4" w:space="0" w:color="auto"/>
              <w:right w:val="single" w:sz="4" w:space="0" w:color="auto"/>
            </w:tcBorders>
            <w:shd w:val="clear" w:color="auto" w:fill="auto"/>
            <w:vAlign w:val="center"/>
            <w:hideMark/>
          </w:tcPr>
          <w:p w14:paraId="402E0C89"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disponer del lenguaje de programación Python o equivalente para simular sistemas de protección complejos</w:t>
            </w:r>
          </w:p>
        </w:tc>
        <w:tc>
          <w:tcPr>
            <w:tcW w:w="430" w:type="pct"/>
            <w:tcBorders>
              <w:top w:val="nil"/>
              <w:left w:val="nil"/>
              <w:bottom w:val="single" w:sz="4" w:space="0" w:color="auto"/>
              <w:right w:val="single" w:sz="4" w:space="0" w:color="auto"/>
            </w:tcBorders>
            <w:shd w:val="clear" w:color="auto" w:fill="auto"/>
            <w:vAlign w:val="center"/>
          </w:tcPr>
          <w:p w14:paraId="41A3C09B" w14:textId="162D8839"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4220D62C"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0,036</w:t>
            </w:r>
          </w:p>
        </w:tc>
        <w:tc>
          <w:tcPr>
            <w:tcW w:w="387" w:type="pct"/>
            <w:tcBorders>
              <w:top w:val="nil"/>
              <w:left w:val="nil"/>
              <w:bottom w:val="single" w:sz="4" w:space="0" w:color="auto"/>
              <w:right w:val="single" w:sz="4" w:space="0" w:color="auto"/>
            </w:tcBorders>
            <w:shd w:val="clear" w:color="auto" w:fill="auto"/>
            <w:vAlign w:val="center"/>
          </w:tcPr>
          <w:p w14:paraId="00C523FD" w14:textId="42851B17"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260257C2"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42ED85D1"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42A3B4A4" w14:textId="77777777" w:rsidTr="0027420C">
        <w:trPr>
          <w:trHeight w:val="233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DE28EC5" w14:textId="4C770CD9"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4.22</w:t>
            </w:r>
          </w:p>
        </w:tc>
        <w:tc>
          <w:tcPr>
            <w:tcW w:w="552" w:type="pct"/>
            <w:tcBorders>
              <w:top w:val="nil"/>
              <w:left w:val="nil"/>
              <w:bottom w:val="single" w:sz="4" w:space="0" w:color="auto"/>
              <w:right w:val="single" w:sz="4" w:space="0" w:color="auto"/>
            </w:tcBorders>
            <w:shd w:val="clear" w:color="auto" w:fill="auto"/>
            <w:vAlign w:val="center"/>
            <w:hideMark/>
          </w:tcPr>
          <w:p w14:paraId="678BF268" w14:textId="77777777" w:rsidR="0027420C" w:rsidRPr="00494669" w:rsidRDefault="0027420C" w:rsidP="009D79BF">
            <w:pPr>
              <w:suppressAutoHyphens w:val="0"/>
              <w:spacing w:after="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2.1.1.1.4.8</w:t>
            </w:r>
            <w:r>
              <w:rPr>
                <w:color w:val="000000"/>
                <w:sz w:val="16"/>
                <w:szCs w:val="16"/>
                <w:lang w:val="es-EC" w:eastAsia="es-EC" w:bidi="ar-SA"/>
              </w:rPr>
              <w:t xml:space="preserve"> </w:t>
            </w:r>
            <w:r w:rsidRPr="00494669">
              <w:rPr>
                <w:color w:val="000000"/>
                <w:sz w:val="16"/>
                <w:szCs w:val="16"/>
                <w:lang w:val="es-EC" w:eastAsia="es-EC" w:bidi="ar-SA"/>
              </w:rPr>
              <w:t>Flujo de Potencia del Operador (Dispatcher Power Flow DPF)</w:t>
            </w:r>
          </w:p>
        </w:tc>
        <w:tc>
          <w:tcPr>
            <w:tcW w:w="330" w:type="pct"/>
            <w:tcBorders>
              <w:top w:val="nil"/>
              <w:left w:val="nil"/>
              <w:bottom w:val="single" w:sz="4" w:space="0" w:color="auto"/>
              <w:right w:val="single" w:sz="4" w:space="0" w:color="auto"/>
            </w:tcBorders>
            <w:shd w:val="clear" w:color="auto" w:fill="auto"/>
            <w:vAlign w:val="center"/>
            <w:hideMark/>
          </w:tcPr>
          <w:p w14:paraId="7EDF6D9F"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5C7D77E7"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g.    Los resultados del flujo de potencia se mostrarán para el Operador sobre los diagramas unifilares y/o en diagramas tabulares e incluirán al menos:</w:t>
            </w:r>
            <w:r w:rsidRPr="00494669">
              <w:rPr>
                <w:sz w:val="18"/>
                <w:szCs w:val="18"/>
                <w:lang w:val="es-EC" w:eastAsia="es-EC" w:bidi="ar-SA"/>
              </w:rPr>
              <w:br/>
            </w:r>
            <w:r w:rsidRPr="00494669">
              <w:rPr>
                <w:sz w:val="18"/>
                <w:szCs w:val="18"/>
                <w:lang w:val="es-EC" w:eastAsia="es-EC" w:bidi="ar-SA"/>
              </w:rPr>
              <w:br/>
              <w:t>• Voltaje en barras (magnitud y ángulo) y extremos de líneas abiertas</w:t>
            </w:r>
            <w:r w:rsidRPr="00494669">
              <w:rPr>
                <w:sz w:val="18"/>
                <w:szCs w:val="18"/>
                <w:lang w:val="es-EC" w:eastAsia="es-EC" w:bidi="ar-SA"/>
              </w:rPr>
              <w:br/>
              <w:t>• Potencia activa y reactiva en líneas de transmisión</w:t>
            </w:r>
            <w:r w:rsidRPr="00494669">
              <w:rPr>
                <w:sz w:val="18"/>
                <w:szCs w:val="18"/>
                <w:lang w:val="es-EC" w:eastAsia="es-EC" w:bidi="ar-SA"/>
              </w:rPr>
              <w:br/>
              <w:t>• Potencia activa y reactiva en unidades de generación y cargas</w:t>
            </w:r>
            <w:r w:rsidRPr="00494669">
              <w:rPr>
                <w:sz w:val="18"/>
                <w:szCs w:val="18"/>
                <w:lang w:val="es-EC" w:eastAsia="es-EC" w:bidi="ar-SA"/>
              </w:rPr>
              <w:br/>
              <w:t>• Posición de Tap y LTC de transformadores</w:t>
            </w:r>
            <w:r w:rsidRPr="00494669">
              <w:rPr>
                <w:sz w:val="18"/>
                <w:szCs w:val="18"/>
                <w:lang w:val="es-EC" w:eastAsia="es-EC" w:bidi="ar-SA"/>
              </w:rPr>
              <w:br/>
              <w:t>• Potencia reactiva en compensadores, SVC, FACTs</w:t>
            </w:r>
            <w:r w:rsidRPr="00494669">
              <w:rPr>
                <w:sz w:val="18"/>
                <w:szCs w:val="18"/>
                <w:lang w:val="es-EC" w:eastAsia="es-EC" w:bidi="ar-SA"/>
              </w:rPr>
              <w:br/>
              <w:t>• También se incluirá un reporte resumen que incluya al menos:</w:t>
            </w:r>
            <w:r w:rsidRPr="00494669">
              <w:rPr>
                <w:sz w:val="18"/>
                <w:szCs w:val="18"/>
                <w:lang w:val="es-EC" w:eastAsia="es-EC" w:bidi="ar-SA"/>
              </w:rPr>
              <w:br/>
              <w:t>• Generación Total</w:t>
            </w:r>
            <w:r w:rsidRPr="00494669">
              <w:rPr>
                <w:sz w:val="18"/>
                <w:szCs w:val="18"/>
                <w:lang w:val="es-EC" w:eastAsia="es-EC" w:bidi="ar-SA"/>
              </w:rPr>
              <w:br/>
            </w:r>
            <w:r w:rsidRPr="00494669">
              <w:rPr>
                <w:sz w:val="18"/>
                <w:szCs w:val="18"/>
                <w:lang w:val="es-EC" w:eastAsia="es-EC" w:bidi="ar-SA"/>
              </w:rPr>
              <w:lastRenderedPageBreak/>
              <w:t>• Demanda Total</w:t>
            </w:r>
            <w:r w:rsidRPr="00494669">
              <w:rPr>
                <w:sz w:val="18"/>
                <w:szCs w:val="18"/>
                <w:lang w:val="es-EC" w:eastAsia="es-EC" w:bidi="ar-SA"/>
              </w:rPr>
              <w:br/>
              <w:t>• Pérdidas</w:t>
            </w:r>
            <w:r w:rsidRPr="00494669">
              <w:rPr>
                <w:sz w:val="18"/>
                <w:szCs w:val="18"/>
                <w:lang w:val="es-EC" w:eastAsia="es-EC" w:bidi="ar-SA"/>
              </w:rPr>
              <w:br/>
              <w:t xml:space="preserve">• Totalizadores por áreas internas y externas, islas </w:t>
            </w:r>
            <w:r w:rsidRPr="00494669">
              <w:rPr>
                <w:sz w:val="18"/>
                <w:szCs w:val="18"/>
                <w:lang w:val="es-EC" w:eastAsia="es-EC" w:bidi="ar-SA"/>
              </w:rPr>
              <w:br/>
              <w:t>• Resumen de la convergencia del flujo de potencia iteración por iteración</w:t>
            </w:r>
          </w:p>
        </w:tc>
        <w:tc>
          <w:tcPr>
            <w:tcW w:w="403" w:type="pct"/>
            <w:tcBorders>
              <w:top w:val="nil"/>
              <w:left w:val="nil"/>
              <w:bottom w:val="single" w:sz="4" w:space="0" w:color="auto"/>
              <w:right w:val="single" w:sz="4" w:space="0" w:color="auto"/>
            </w:tcBorders>
            <w:shd w:val="clear" w:color="auto" w:fill="auto"/>
            <w:vAlign w:val="center"/>
            <w:hideMark/>
          </w:tcPr>
          <w:p w14:paraId="546DBE98"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Será posible expotar la Matriz Jacobiana del Flujo de Potencia mediante consultas a la base de datos</w:t>
            </w:r>
          </w:p>
        </w:tc>
        <w:tc>
          <w:tcPr>
            <w:tcW w:w="412" w:type="pct"/>
            <w:tcBorders>
              <w:top w:val="nil"/>
              <w:left w:val="nil"/>
              <w:bottom w:val="single" w:sz="4" w:space="0" w:color="auto"/>
              <w:right w:val="single" w:sz="4" w:space="0" w:color="auto"/>
            </w:tcBorders>
            <w:shd w:val="clear" w:color="auto" w:fill="auto"/>
            <w:vAlign w:val="center"/>
            <w:hideMark/>
          </w:tcPr>
          <w:p w14:paraId="1135B9B8"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expotar la Matriz Jacobiana del Flujo de Potencia mediante un formato definido por el Proveedor</w:t>
            </w:r>
          </w:p>
        </w:tc>
        <w:tc>
          <w:tcPr>
            <w:tcW w:w="403" w:type="pct"/>
            <w:tcBorders>
              <w:top w:val="nil"/>
              <w:left w:val="nil"/>
              <w:bottom w:val="single" w:sz="4" w:space="0" w:color="auto"/>
              <w:right w:val="single" w:sz="4" w:space="0" w:color="auto"/>
            </w:tcBorders>
            <w:shd w:val="clear" w:color="auto" w:fill="auto"/>
            <w:vAlign w:val="center"/>
            <w:hideMark/>
          </w:tcPr>
          <w:p w14:paraId="55227BEB"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Será posible expotar la Matriz Jacobiana del Flujo de Potencia mediante un formato personalizable definido por el Comprador</w:t>
            </w:r>
          </w:p>
        </w:tc>
        <w:tc>
          <w:tcPr>
            <w:tcW w:w="430" w:type="pct"/>
            <w:tcBorders>
              <w:top w:val="nil"/>
              <w:left w:val="nil"/>
              <w:bottom w:val="single" w:sz="4" w:space="0" w:color="auto"/>
              <w:right w:val="single" w:sz="4" w:space="0" w:color="auto"/>
            </w:tcBorders>
            <w:shd w:val="clear" w:color="auto" w:fill="auto"/>
            <w:vAlign w:val="center"/>
          </w:tcPr>
          <w:p w14:paraId="26F8C96E" w14:textId="6BCFAF3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31543962"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072A35D4" w14:textId="076D2982"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795FB598"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67C66F2B"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3913B70E" w14:textId="77777777" w:rsidTr="0027420C">
        <w:trPr>
          <w:trHeight w:val="144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D55C043" w14:textId="0E34D07B"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4.23</w:t>
            </w:r>
          </w:p>
        </w:tc>
        <w:tc>
          <w:tcPr>
            <w:tcW w:w="552" w:type="pct"/>
            <w:tcBorders>
              <w:top w:val="nil"/>
              <w:left w:val="nil"/>
              <w:bottom w:val="single" w:sz="4" w:space="0" w:color="auto"/>
              <w:right w:val="single" w:sz="4" w:space="0" w:color="auto"/>
            </w:tcBorders>
            <w:shd w:val="clear" w:color="auto" w:fill="auto"/>
            <w:vAlign w:val="center"/>
            <w:hideMark/>
          </w:tcPr>
          <w:p w14:paraId="7DBD8528"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2.1.1.1.4.8</w:t>
            </w:r>
            <w:r>
              <w:rPr>
                <w:color w:val="000000"/>
                <w:sz w:val="16"/>
                <w:szCs w:val="16"/>
                <w:lang w:val="es-EC" w:eastAsia="es-EC" w:bidi="ar-SA"/>
              </w:rPr>
              <w:t xml:space="preserve"> </w:t>
            </w:r>
            <w:r w:rsidRPr="00494669">
              <w:rPr>
                <w:color w:val="000000"/>
                <w:sz w:val="16"/>
                <w:szCs w:val="16"/>
                <w:lang w:val="es-EC" w:eastAsia="es-EC" w:bidi="ar-SA"/>
              </w:rPr>
              <w:t>Flujo de Potencia del Operador (Dispatcher Power Flow DPF)</w:t>
            </w:r>
          </w:p>
        </w:tc>
        <w:tc>
          <w:tcPr>
            <w:tcW w:w="330" w:type="pct"/>
            <w:tcBorders>
              <w:top w:val="nil"/>
              <w:left w:val="nil"/>
              <w:bottom w:val="single" w:sz="4" w:space="0" w:color="auto"/>
              <w:right w:val="single" w:sz="4" w:space="0" w:color="auto"/>
            </w:tcBorders>
            <w:shd w:val="clear" w:color="auto" w:fill="auto"/>
            <w:vAlign w:val="center"/>
            <w:hideMark/>
          </w:tcPr>
          <w:p w14:paraId="6AAA3FEC"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20632C42"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h.    El DPF se podrá ejecutar en cualquiera de las 5 áreas de estudio especificadas, sin que estos análisis fuera de línea afecten los resultados del estimador de estado en tiempo real.</w:t>
            </w:r>
          </w:p>
        </w:tc>
        <w:tc>
          <w:tcPr>
            <w:tcW w:w="403" w:type="pct"/>
            <w:tcBorders>
              <w:top w:val="nil"/>
              <w:left w:val="nil"/>
              <w:bottom w:val="single" w:sz="4" w:space="0" w:color="auto"/>
              <w:right w:val="single" w:sz="4" w:space="0" w:color="auto"/>
            </w:tcBorders>
            <w:shd w:val="clear" w:color="auto" w:fill="auto"/>
            <w:vAlign w:val="center"/>
            <w:hideMark/>
          </w:tcPr>
          <w:p w14:paraId="17A5AC8E"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dispone de 6 Áreas de Estudio</w:t>
            </w:r>
          </w:p>
        </w:tc>
        <w:tc>
          <w:tcPr>
            <w:tcW w:w="412" w:type="pct"/>
            <w:tcBorders>
              <w:top w:val="nil"/>
              <w:left w:val="nil"/>
              <w:bottom w:val="single" w:sz="4" w:space="0" w:color="auto"/>
              <w:right w:val="single" w:sz="4" w:space="0" w:color="auto"/>
            </w:tcBorders>
            <w:shd w:val="clear" w:color="auto" w:fill="auto"/>
            <w:vAlign w:val="center"/>
            <w:hideMark/>
          </w:tcPr>
          <w:p w14:paraId="49D98F7D"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dispone de 7 u 8 Áreas de Estudio</w:t>
            </w:r>
          </w:p>
        </w:tc>
        <w:tc>
          <w:tcPr>
            <w:tcW w:w="403" w:type="pct"/>
            <w:tcBorders>
              <w:top w:val="nil"/>
              <w:left w:val="nil"/>
              <w:bottom w:val="single" w:sz="4" w:space="0" w:color="auto"/>
              <w:right w:val="single" w:sz="4" w:space="0" w:color="auto"/>
            </w:tcBorders>
            <w:shd w:val="clear" w:color="auto" w:fill="auto"/>
            <w:vAlign w:val="center"/>
            <w:hideMark/>
          </w:tcPr>
          <w:p w14:paraId="3A62885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se dispone de más de 9 Áreas de Estudio</w:t>
            </w:r>
          </w:p>
        </w:tc>
        <w:tc>
          <w:tcPr>
            <w:tcW w:w="430" w:type="pct"/>
            <w:tcBorders>
              <w:top w:val="nil"/>
              <w:left w:val="nil"/>
              <w:bottom w:val="single" w:sz="4" w:space="0" w:color="auto"/>
              <w:right w:val="single" w:sz="4" w:space="0" w:color="auto"/>
            </w:tcBorders>
            <w:shd w:val="clear" w:color="auto" w:fill="auto"/>
            <w:vAlign w:val="center"/>
          </w:tcPr>
          <w:p w14:paraId="7114B0CA" w14:textId="1982FB1A"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41CF3104" w14:textId="77777777" w:rsidR="0027420C" w:rsidRPr="00494669" w:rsidRDefault="0027420C" w:rsidP="009D79BF">
            <w:pPr>
              <w:suppressAutoHyphens w:val="0"/>
              <w:spacing w:after="0"/>
              <w:jc w:val="left"/>
              <w:rPr>
                <w:color w:val="000000"/>
                <w:sz w:val="16"/>
                <w:szCs w:val="16"/>
                <w:lang w:val="es-EC" w:eastAsia="es-EC" w:bidi="ar-SA"/>
              </w:rPr>
            </w:pPr>
            <w:r w:rsidRPr="00494669">
              <w:rPr>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44983534" w14:textId="01DE2624"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1E3DE210"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47162EF1"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5E76586F" w14:textId="77777777" w:rsidTr="0027420C">
        <w:trPr>
          <w:trHeight w:val="264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4627651" w14:textId="1B2EA486" w:rsidR="0027420C" w:rsidRPr="00494669" w:rsidRDefault="0027420C" w:rsidP="009D79BF">
            <w:pPr>
              <w:suppressAutoHyphens w:val="0"/>
              <w:spacing w:after="0"/>
              <w:jc w:val="center"/>
              <w:rPr>
                <w:color w:val="000000"/>
                <w:sz w:val="16"/>
                <w:szCs w:val="16"/>
                <w:lang w:val="es-EC" w:eastAsia="es-EC" w:bidi="ar-SA"/>
              </w:rPr>
            </w:pPr>
            <w:r>
              <w:rPr>
                <w:color w:val="000000"/>
                <w:sz w:val="16"/>
                <w:szCs w:val="16"/>
                <w:lang w:val="es-EC" w:eastAsia="es-EC" w:bidi="ar-SA"/>
              </w:rPr>
              <w:t>4.24</w:t>
            </w:r>
          </w:p>
        </w:tc>
        <w:tc>
          <w:tcPr>
            <w:tcW w:w="552" w:type="pct"/>
            <w:tcBorders>
              <w:top w:val="nil"/>
              <w:left w:val="nil"/>
              <w:bottom w:val="single" w:sz="4" w:space="0" w:color="auto"/>
              <w:right w:val="single" w:sz="4" w:space="0" w:color="auto"/>
            </w:tcBorders>
            <w:shd w:val="clear" w:color="auto" w:fill="auto"/>
            <w:vAlign w:val="center"/>
            <w:hideMark/>
          </w:tcPr>
          <w:p w14:paraId="1061E04A" w14:textId="77777777" w:rsidR="0027420C" w:rsidRPr="00494669" w:rsidRDefault="0027420C" w:rsidP="009D79BF">
            <w:pPr>
              <w:suppressAutoHyphens w:val="0"/>
              <w:spacing w:after="240"/>
              <w:jc w:val="left"/>
              <w:rPr>
                <w:color w:val="000000"/>
                <w:sz w:val="16"/>
                <w:szCs w:val="16"/>
                <w:lang w:val="es-EC" w:eastAsia="es-EC" w:bidi="ar-SA"/>
              </w:rPr>
            </w:pPr>
            <w:r>
              <w:rPr>
                <w:color w:val="000000"/>
                <w:sz w:val="16"/>
                <w:szCs w:val="16"/>
                <w:lang w:val="es-EC" w:eastAsia="es-EC" w:bidi="ar-SA"/>
              </w:rPr>
              <w:t xml:space="preserve">Sección </w:t>
            </w:r>
            <w:r w:rsidRPr="00494669">
              <w:rPr>
                <w:color w:val="000000"/>
                <w:sz w:val="16"/>
                <w:szCs w:val="16"/>
                <w:lang w:val="es-EC" w:eastAsia="es-EC" w:bidi="ar-SA"/>
              </w:rPr>
              <w:t>2.1.1.1.4.9</w:t>
            </w:r>
            <w:r>
              <w:rPr>
                <w:color w:val="000000"/>
                <w:sz w:val="16"/>
                <w:szCs w:val="16"/>
                <w:lang w:val="es-EC" w:eastAsia="es-EC" w:bidi="ar-SA"/>
              </w:rPr>
              <w:t xml:space="preserve"> </w:t>
            </w:r>
            <w:r w:rsidRPr="00494669">
              <w:rPr>
                <w:color w:val="000000"/>
                <w:sz w:val="16"/>
                <w:szCs w:val="16"/>
                <w:lang w:val="es-EC" w:eastAsia="es-EC" w:bidi="ar-SA"/>
              </w:rPr>
              <w:t>Flujo de Potencia Óptimo (Optimal Power Flow OPF)</w:t>
            </w:r>
          </w:p>
        </w:tc>
        <w:tc>
          <w:tcPr>
            <w:tcW w:w="330" w:type="pct"/>
            <w:tcBorders>
              <w:top w:val="nil"/>
              <w:left w:val="nil"/>
              <w:bottom w:val="single" w:sz="4" w:space="0" w:color="auto"/>
              <w:right w:val="single" w:sz="4" w:space="0" w:color="auto"/>
            </w:tcBorders>
            <w:shd w:val="clear" w:color="auto" w:fill="auto"/>
            <w:vAlign w:val="center"/>
            <w:hideMark/>
          </w:tcPr>
          <w:p w14:paraId="15E628B7"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39B49FF1"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k.     Las técnicas a utilizar para alcanzar los objetivos de optimización podrán incluir diversas opciones, no limitándose a las mencionadas a continuación.  Los métodos a utilizarse podrán ser el método del Gradiente, método de Newton, técnicas de optimización lineales, no lineales, programación entera y </w:t>
            </w:r>
            <w:r w:rsidRPr="00494669">
              <w:rPr>
                <w:sz w:val="18"/>
                <w:szCs w:val="18"/>
                <w:lang w:val="es-EC" w:eastAsia="es-EC" w:bidi="ar-SA"/>
              </w:rPr>
              <w:lastRenderedPageBreak/>
              <w:t>combinación de los anteriores.</w:t>
            </w:r>
          </w:p>
        </w:tc>
        <w:tc>
          <w:tcPr>
            <w:tcW w:w="403" w:type="pct"/>
            <w:tcBorders>
              <w:top w:val="nil"/>
              <w:left w:val="nil"/>
              <w:bottom w:val="single" w:sz="4" w:space="0" w:color="auto"/>
              <w:right w:val="single" w:sz="4" w:space="0" w:color="auto"/>
            </w:tcBorders>
            <w:shd w:val="clear" w:color="auto" w:fill="auto"/>
            <w:vAlign w:val="center"/>
            <w:hideMark/>
          </w:tcPr>
          <w:p w14:paraId="6168A18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Si presenta al menos dos Algortimos de Solución</w:t>
            </w:r>
          </w:p>
        </w:tc>
        <w:tc>
          <w:tcPr>
            <w:tcW w:w="412" w:type="pct"/>
            <w:tcBorders>
              <w:top w:val="nil"/>
              <w:left w:val="nil"/>
              <w:bottom w:val="single" w:sz="4" w:space="0" w:color="auto"/>
              <w:right w:val="single" w:sz="4" w:space="0" w:color="auto"/>
            </w:tcBorders>
            <w:shd w:val="clear" w:color="auto" w:fill="auto"/>
            <w:vAlign w:val="center"/>
            <w:hideMark/>
          </w:tcPr>
          <w:p w14:paraId="06090AF1"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presenta tres Algortimos de Solución</w:t>
            </w:r>
          </w:p>
        </w:tc>
        <w:tc>
          <w:tcPr>
            <w:tcW w:w="403" w:type="pct"/>
            <w:tcBorders>
              <w:top w:val="nil"/>
              <w:left w:val="nil"/>
              <w:bottom w:val="single" w:sz="4" w:space="0" w:color="auto"/>
              <w:right w:val="single" w:sz="4" w:space="0" w:color="auto"/>
            </w:tcBorders>
            <w:shd w:val="clear" w:color="auto" w:fill="auto"/>
            <w:vAlign w:val="center"/>
            <w:hideMark/>
          </w:tcPr>
          <w:p w14:paraId="23F565B1"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Si presenta al menos cuatro Algortimos de Solución</w:t>
            </w:r>
          </w:p>
        </w:tc>
        <w:tc>
          <w:tcPr>
            <w:tcW w:w="430" w:type="pct"/>
            <w:tcBorders>
              <w:top w:val="nil"/>
              <w:left w:val="nil"/>
              <w:bottom w:val="single" w:sz="4" w:space="0" w:color="auto"/>
              <w:right w:val="single" w:sz="4" w:space="0" w:color="auto"/>
            </w:tcBorders>
            <w:shd w:val="clear" w:color="auto" w:fill="auto"/>
            <w:vAlign w:val="center"/>
          </w:tcPr>
          <w:p w14:paraId="184AFC3D" w14:textId="50E7C79F"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0FBB67D6"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38B2EA6" w14:textId="4269D240"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2D8948BC"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06B81124"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62B3534F" w14:textId="77777777" w:rsidTr="0027420C">
        <w:trPr>
          <w:trHeight w:val="19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7D2B89AA" w14:textId="676A781A" w:rsidR="0027420C" w:rsidRPr="00494669" w:rsidRDefault="0027420C" w:rsidP="009D79BF">
            <w:pPr>
              <w:suppressAutoHyphens w:val="0"/>
              <w:spacing w:after="0"/>
              <w:rPr>
                <w:color w:val="000000"/>
                <w:sz w:val="18"/>
                <w:szCs w:val="18"/>
                <w:lang w:val="es-EC" w:eastAsia="es-EC" w:bidi="ar-SA"/>
              </w:rPr>
            </w:pPr>
            <w:r>
              <w:rPr>
                <w:color w:val="000000"/>
                <w:sz w:val="18"/>
                <w:szCs w:val="18"/>
                <w:lang w:val="es-EC" w:eastAsia="es-EC" w:bidi="ar-SA"/>
              </w:rPr>
              <w:t>4.25</w:t>
            </w:r>
          </w:p>
        </w:tc>
        <w:tc>
          <w:tcPr>
            <w:tcW w:w="552" w:type="pct"/>
            <w:tcBorders>
              <w:top w:val="nil"/>
              <w:left w:val="nil"/>
              <w:bottom w:val="single" w:sz="4" w:space="0" w:color="auto"/>
              <w:right w:val="single" w:sz="4" w:space="0" w:color="auto"/>
            </w:tcBorders>
            <w:shd w:val="clear" w:color="auto" w:fill="auto"/>
            <w:vAlign w:val="center"/>
            <w:hideMark/>
          </w:tcPr>
          <w:p w14:paraId="0A4D3BD1" w14:textId="77777777" w:rsidR="0027420C" w:rsidRPr="00494669" w:rsidRDefault="0027420C" w:rsidP="009D79BF">
            <w:pPr>
              <w:suppressAutoHyphens w:val="0"/>
              <w:spacing w:after="0"/>
              <w:jc w:val="left"/>
              <w:rPr>
                <w:sz w:val="18"/>
                <w:szCs w:val="18"/>
                <w:lang w:val="es-EC" w:eastAsia="es-EC" w:bidi="ar-SA"/>
              </w:rPr>
            </w:pPr>
            <w:r>
              <w:rPr>
                <w:sz w:val="18"/>
                <w:szCs w:val="18"/>
                <w:lang w:val="es-EC" w:eastAsia="es-EC" w:bidi="ar-SA"/>
              </w:rPr>
              <w:t xml:space="preserve">Sección </w:t>
            </w:r>
            <w:r w:rsidRPr="00494669">
              <w:rPr>
                <w:color w:val="000000"/>
                <w:sz w:val="18"/>
                <w:szCs w:val="18"/>
                <w:lang w:val="es-EC" w:eastAsia="es-EC" w:bidi="ar-SA"/>
              </w:rPr>
              <w:t>2.1.1.1.1.8</w:t>
            </w:r>
            <w:r>
              <w:rPr>
                <w:color w:val="000000"/>
                <w:sz w:val="18"/>
                <w:szCs w:val="18"/>
                <w:lang w:val="es-EC" w:eastAsia="es-EC" w:bidi="ar-SA"/>
              </w:rPr>
              <w:t xml:space="preserve"> </w:t>
            </w:r>
            <w:r w:rsidRPr="00494669">
              <w:rPr>
                <w:sz w:val="18"/>
                <w:szCs w:val="18"/>
                <w:lang w:val="es-EC" w:eastAsia="es-EC" w:bidi="ar-SA"/>
              </w:rPr>
              <w:t>Procesamiento Avanzado de Alarmas</w:t>
            </w:r>
          </w:p>
        </w:tc>
        <w:tc>
          <w:tcPr>
            <w:tcW w:w="330" w:type="pct"/>
            <w:tcBorders>
              <w:top w:val="nil"/>
              <w:left w:val="nil"/>
              <w:bottom w:val="single" w:sz="4" w:space="0" w:color="auto"/>
              <w:right w:val="single" w:sz="4" w:space="0" w:color="auto"/>
            </w:tcBorders>
            <w:shd w:val="clear" w:color="auto" w:fill="auto"/>
            <w:vAlign w:val="center"/>
            <w:hideMark/>
          </w:tcPr>
          <w:p w14:paraId="4FFC7A8C"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23F61A7D"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c. Priorización de mensajes de alarma de acuerdo con las causas que la generan. (Al menos debe ser posible configurar 20 causas asociadas a alarmas de medición e indicaciones). Al menos 40 prioridades deben ser apoyadas por SCADA/EMS.</w:t>
            </w:r>
          </w:p>
        </w:tc>
        <w:tc>
          <w:tcPr>
            <w:tcW w:w="403" w:type="pct"/>
            <w:tcBorders>
              <w:top w:val="nil"/>
              <w:left w:val="nil"/>
              <w:bottom w:val="single" w:sz="4" w:space="0" w:color="auto"/>
              <w:right w:val="single" w:sz="4" w:space="0" w:color="auto"/>
            </w:tcBorders>
            <w:shd w:val="clear" w:color="auto" w:fill="auto"/>
            <w:vAlign w:val="center"/>
            <w:hideMark/>
          </w:tcPr>
          <w:p w14:paraId="3362E7C8"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 xml:space="preserve">hasta 23 causas </w:t>
            </w:r>
          </w:p>
        </w:tc>
        <w:tc>
          <w:tcPr>
            <w:tcW w:w="412" w:type="pct"/>
            <w:tcBorders>
              <w:top w:val="nil"/>
              <w:left w:val="nil"/>
              <w:bottom w:val="single" w:sz="4" w:space="0" w:color="auto"/>
              <w:right w:val="single" w:sz="4" w:space="0" w:color="auto"/>
            </w:tcBorders>
            <w:shd w:val="clear" w:color="auto" w:fill="auto"/>
            <w:vAlign w:val="center"/>
            <w:hideMark/>
          </w:tcPr>
          <w:p w14:paraId="7462AA3C"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 xml:space="preserve">hasta 25 causas, </w:t>
            </w:r>
          </w:p>
        </w:tc>
        <w:tc>
          <w:tcPr>
            <w:tcW w:w="403" w:type="pct"/>
            <w:tcBorders>
              <w:top w:val="nil"/>
              <w:left w:val="nil"/>
              <w:bottom w:val="single" w:sz="4" w:space="0" w:color="auto"/>
              <w:right w:val="single" w:sz="4" w:space="0" w:color="auto"/>
            </w:tcBorders>
            <w:shd w:val="clear" w:color="auto" w:fill="auto"/>
            <w:vAlign w:val="center"/>
            <w:hideMark/>
          </w:tcPr>
          <w:p w14:paraId="0829C40D"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más de 25 causas</w:t>
            </w:r>
          </w:p>
        </w:tc>
        <w:tc>
          <w:tcPr>
            <w:tcW w:w="430" w:type="pct"/>
            <w:tcBorders>
              <w:top w:val="nil"/>
              <w:left w:val="nil"/>
              <w:bottom w:val="single" w:sz="4" w:space="0" w:color="auto"/>
              <w:right w:val="single" w:sz="4" w:space="0" w:color="auto"/>
            </w:tcBorders>
            <w:shd w:val="clear" w:color="auto" w:fill="auto"/>
            <w:vAlign w:val="center"/>
          </w:tcPr>
          <w:p w14:paraId="4552CAC3" w14:textId="66E1FAEC"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143982D8"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0,036</w:t>
            </w:r>
          </w:p>
        </w:tc>
        <w:tc>
          <w:tcPr>
            <w:tcW w:w="387" w:type="pct"/>
            <w:tcBorders>
              <w:top w:val="nil"/>
              <w:left w:val="nil"/>
              <w:bottom w:val="single" w:sz="4" w:space="0" w:color="auto"/>
              <w:right w:val="single" w:sz="4" w:space="0" w:color="auto"/>
            </w:tcBorders>
            <w:shd w:val="clear" w:color="auto" w:fill="auto"/>
            <w:vAlign w:val="center"/>
          </w:tcPr>
          <w:p w14:paraId="7D5D5070" w14:textId="70B3AA4E"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7FE3CCD3"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6135A978"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29882483" w14:textId="77777777" w:rsidTr="0027420C">
        <w:trPr>
          <w:trHeight w:val="264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48FDB10" w14:textId="7A8E6BF6" w:rsidR="0027420C" w:rsidRPr="00494669" w:rsidRDefault="0027420C" w:rsidP="009D79BF">
            <w:pPr>
              <w:suppressAutoHyphens w:val="0"/>
              <w:spacing w:after="0"/>
              <w:rPr>
                <w:color w:val="000000"/>
                <w:sz w:val="18"/>
                <w:szCs w:val="18"/>
                <w:lang w:val="es-EC" w:eastAsia="es-EC" w:bidi="ar-SA"/>
              </w:rPr>
            </w:pPr>
            <w:r>
              <w:rPr>
                <w:color w:val="000000"/>
                <w:sz w:val="18"/>
                <w:szCs w:val="18"/>
                <w:lang w:val="es-EC" w:eastAsia="es-EC" w:bidi="ar-SA"/>
              </w:rPr>
              <w:t>4.26</w:t>
            </w:r>
          </w:p>
        </w:tc>
        <w:tc>
          <w:tcPr>
            <w:tcW w:w="552" w:type="pct"/>
            <w:tcBorders>
              <w:top w:val="nil"/>
              <w:left w:val="nil"/>
              <w:bottom w:val="single" w:sz="4" w:space="0" w:color="auto"/>
              <w:right w:val="single" w:sz="4" w:space="0" w:color="auto"/>
            </w:tcBorders>
            <w:shd w:val="clear" w:color="auto" w:fill="auto"/>
            <w:vAlign w:val="center"/>
            <w:hideMark/>
          </w:tcPr>
          <w:p w14:paraId="6DD3B4B9" w14:textId="77777777" w:rsidR="0027420C" w:rsidRPr="00494669" w:rsidRDefault="0027420C" w:rsidP="009D79BF">
            <w:pPr>
              <w:suppressAutoHyphens w:val="0"/>
              <w:spacing w:after="0"/>
              <w:jc w:val="left"/>
              <w:rPr>
                <w:sz w:val="18"/>
                <w:szCs w:val="18"/>
                <w:lang w:val="es-EC" w:eastAsia="es-EC" w:bidi="ar-SA"/>
              </w:rPr>
            </w:pPr>
            <w:r>
              <w:rPr>
                <w:color w:val="000000"/>
                <w:sz w:val="18"/>
                <w:szCs w:val="18"/>
                <w:lang w:val="es-EC" w:eastAsia="es-EC" w:bidi="ar-SA"/>
              </w:rPr>
              <w:t xml:space="preserve">Sección </w:t>
            </w:r>
            <w:r w:rsidRPr="00494669">
              <w:rPr>
                <w:color w:val="000000"/>
                <w:sz w:val="18"/>
                <w:szCs w:val="18"/>
                <w:lang w:val="es-EC" w:eastAsia="es-EC" w:bidi="ar-SA"/>
              </w:rPr>
              <w:t>2.1.1.1.1.8</w:t>
            </w:r>
            <w:r>
              <w:rPr>
                <w:color w:val="000000"/>
                <w:sz w:val="18"/>
                <w:szCs w:val="18"/>
                <w:lang w:val="es-EC" w:eastAsia="es-EC" w:bidi="ar-SA"/>
              </w:rPr>
              <w:t xml:space="preserve"> </w:t>
            </w:r>
            <w:r w:rsidRPr="00494669">
              <w:rPr>
                <w:sz w:val="18"/>
                <w:szCs w:val="18"/>
                <w:lang w:val="es-EC" w:eastAsia="es-EC" w:bidi="ar-SA"/>
              </w:rPr>
              <w:t>Procesamiento Avanzado de Alarmas</w:t>
            </w:r>
          </w:p>
        </w:tc>
        <w:tc>
          <w:tcPr>
            <w:tcW w:w="330" w:type="pct"/>
            <w:tcBorders>
              <w:top w:val="nil"/>
              <w:left w:val="nil"/>
              <w:bottom w:val="single" w:sz="4" w:space="0" w:color="auto"/>
              <w:right w:val="single" w:sz="4" w:space="0" w:color="auto"/>
            </w:tcBorders>
            <w:shd w:val="clear" w:color="auto" w:fill="auto"/>
            <w:vAlign w:val="center"/>
            <w:hideMark/>
          </w:tcPr>
          <w:p w14:paraId="6DC91B16"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5720FAD3"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a.      Es deseable que el sistema cuente con mecanismos de aprendizaje de máquinas ML (Machine Learning) para reconocer patrones repetitivos de alarmas desencadenantes minimizando de forma dinámica el </w:t>
            </w:r>
            <w:r w:rsidRPr="00494669">
              <w:rPr>
                <w:sz w:val="18"/>
                <w:szCs w:val="18"/>
                <w:lang w:val="es-EC" w:eastAsia="es-EC" w:bidi="ar-SA"/>
              </w:rPr>
              <w:lastRenderedPageBreak/>
              <w:t>número de las alarmas derivadas o secundarias durante períodos de avalancha. Además de prever comportamientos anómalos en el sistema eléctrico. </w:t>
            </w:r>
          </w:p>
        </w:tc>
        <w:tc>
          <w:tcPr>
            <w:tcW w:w="403" w:type="pct"/>
            <w:tcBorders>
              <w:top w:val="nil"/>
              <w:left w:val="nil"/>
              <w:bottom w:val="single" w:sz="4" w:space="0" w:color="auto"/>
              <w:right w:val="single" w:sz="4" w:space="0" w:color="auto"/>
            </w:tcBorders>
            <w:shd w:val="clear" w:color="auto" w:fill="auto"/>
            <w:vAlign w:val="center"/>
            <w:hideMark/>
          </w:tcPr>
          <w:p w14:paraId="274356C8"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1 mecanismo de Machine Learning</w:t>
            </w:r>
          </w:p>
        </w:tc>
        <w:tc>
          <w:tcPr>
            <w:tcW w:w="412" w:type="pct"/>
            <w:tcBorders>
              <w:top w:val="nil"/>
              <w:left w:val="nil"/>
              <w:bottom w:val="single" w:sz="4" w:space="0" w:color="auto"/>
              <w:right w:val="single" w:sz="4" w:space="0" w:color="auto"/>
            </w:tcBorders>
            <w:shd w:val="clear" w:color="auto" w:fill="auto"/>
            <w:vAlign w:val="center"/>
            <w:hideMark/>
          </w:tcPr>
          <w:p w14:paraId="5D65003C"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2 mecanismos de Machine Learning</w:t>
            </w:r>
          </w:p>
        </w:tc>
        <w:tc>
          <w:tcPr>
            <w:tcW w:w="403" w:type="pct"/>
            <w:tcBorders>
              <w:top w:val="nil"/>
              <w:left w:val="nil"/>
              <w:bottom w:val="single" w:sz="4" w:space="0" w:color="auto"/>
              <w:right w:val="single" w:sz="4" w:space="0" w:color="auto"/>
            </w:tcBorders>
            <w:shd w:val="clear" w:color="auto" w:fill="auto"/>
            <w:vAlign w:val="center"/>
            <w:hideMark/>
          </w:tcPr>
          <w:p w14:paraId="06C6E5E0"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3 mecanismos de Machine Learning</w:t>
            </w:r>
          </w:p>
        </w:tc>
        <w:tc>
          <w:tcPr>
            <w:tcW w:w="430" w:type="pct"/>
            <w:tcBorders>
              <w:top w:val="nil"/>
              <w:left w:val="nil"/>
              <w:bottom w:val="single" w:sz="4" w:space="0" w:color="auto"/>
              <w:right w:val="single" w:sz="4" w:space="0" w:color="auto"/>
            </w:tcBorders>
            <w:shd w:val="clear" w:color="auto" w:fill="auto"/>
            <w:vAlign w:val="center"/>
          </w:tcPr>
          <w:p w14:paraId="176D8151" w14:textId="0664199D"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5F06CA14"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2835050" w14:textId="37996700"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22ACC7E2"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597CF321"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745B7CFC" w14:textId="77777777" w:rsidTr="0027420C">
        <w:trPr>
          <w:trHeight w:val="216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6ED822A" w14:textId="44D0B97F" w:rsidR="0027420C" w:rsidRPr="00494669" w:rsidRDefault="0027420C" w:rsidP="009D79BF">
            <w:pPr>
              <w:suppressAutoHyphens w:val="0"/>
              <w:spacing w:after="0"/>
              <w:rPr>
                <w:color w:val="000000"/>
                <w:sz w:val="18"/>
                <w:szCs w:val="18"/>
                <w:lang w:val="es-EC" w:eastAsia="es-EC" w:bidi="ar-SA"/>
              </w:rPr>
            </w:pPr>
            <w:r>
              <w:rPr>
                <w:color w:val="000000"/>
                <w:sz w:val="18"/>
                <w:szCs w:val="18"/>
                <w:lang w:val="es-EC" w:eastAsia="es-EC" w:bidi="ar-SA"/>
              </w:rPr>
              <w:t>4.27</w:t>
            </w:r>
          </w:p>
        </w:tc>
        <w:tc>
          <w:tcPr>
            <w:tcW w:w="552" w:type="pct"/>
            <w:tcBorders>
              <w:top w:val="nil"/>
              <w:left w:val="nil"/>
              <w:bottom w:val="single" w:sz="4" w:space="0" w:color="auto"/>
              <w:right w:val="single" w:sz="4" w:space="0" w:color="auto"/>
            </w:tcBorders>
            <w:shd w:val="clear" w:color="auto" w:fill="auto"/>
            <w:vAlign w:val="center"/>
            <w:hideMark/>
          </w:tcPr>
          <w:p w14:paraId="40A77786" w14:textId="77777777" w:rsidR="0027420C" w:rsidRPr="00494669" w:rsidRDefault="0027420C" w:rsidP="009D79BF">
            <w:pPr>
              <w:suppressAutoHyphens w:val="0"/>
              <w:spacing w:after="0"/>
              <w:jc w:val="left"/>
              <w:rPr>
                <w:sz w:val="18"/>
                <w:szCs w:val="18"/>
                <w:lang w:val="es-EC" w:eastAsia="es-EC" w:bidi="ar-SA"/>
              </w:rPr>
            </w:pPr>
            <w:r>
              <w:rPr>
                <w:color w:val="000000"/>
                <w:sz w:val="18"/>
                <w:szCs w:val="18"/>
                <w:lang w:val="es-EC" w:eastAsia="es-EC" w:bidi="ar-SA"/>
              </w:rPr>
              <w:t xml:space="preserve">Sección </w:t>
            </w:r>
            <w:r w:rsidRPr="00494669">
              <w:rPr>
                <w:color w:val="000000"/>
                <w:sz w:val="18"/>
                <w:szCs w:val="18"/>
                <w:lang w:val="es-EC" w:eastAsia="es-EC" w:bidi="ar-SA"/>
              </w:rPr>
              <w:t>2.1.1.1.1.9.2</w:t>
            </w:r>
            <w:r>
              <w:rPr>
                <w:color w:val="000000"/>
                <w:sz w:val="18"/>
                <w:szCs w:val="18"/>
                <w:lang w:val="es-EC" w:eastAsia="es-EC" w:bidi="ar-SA"/>
              </w:rPr>
              <w:t xml:space="preserve"> </w:t>
            </w:r>
            <w:r w:rsidRPr="00494669">
              <w:rPr>
                <w:sz w:val="18"/>
                <w:szCs w:val="18"/>
                <w:lang w:val="es-EC" w:eastAsia="es-EC" w:bidi="ar-SA"/>
              </w:rPr>
              <w:t>Lista de Eventos</w:t>
            </w:r>
          </w:p>
        </w:tc>
        <w:tc>
          <w:tcPr>
            <w:tcW w:w="330" w:type="pct"/>
            <w:tcBorders>
              <w:top w:val="nil"/>
              <w:left w:val="nil"/>
              <w:bottom w:val="single" w:sz="4" w:space="0" w:color="auto"/>
              <w:right w:val="single" w:sz="4" w:space="0" w:color="auto"/>
            </w:tcBorders>
            <w:shd w:val="clear" w:color="auto" w:fill="auto"/>
            <w:vAlign w:val="center"/>
            <w:hideMark/>
          </w:tcPr>
          <w:p w14:paraId="73A12997"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single" w:sz="4" w:space="0" w:color="auto"/>
              <w:right w:val="single" w:sz="4" w:space="0" w:color="auto"/>
            </w:tcBorders>
            <w:shd w:val="clear" w:color="auto" w:fill="auto"/>
            <w:vAlign w:val="center"/>
            <w:hideMark/>
          </w:tcPr>
          <w:p w14:paraId="08C584DD"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a.      El tamaño de la lista de eventos será circular y el tamaño dará cabida a al menos 50.000 eventos en la base de datos en tiempo real. Para la retención de eventos en la base de datos histórica, consulte la sección D, numeral 3.4.4.4 Base de datos histórica (HDB).</w:t>
            </w:r>
          </w:p>
        </w:tc>
        <w:tc>
          <w:tcPr>
            <w:tcW w:w="403" w:type="pct"/>
            <w:tcBorders>
              <w:top w:val="nil"/>
              <w:left w:val="nil"/>
              <w:bottom w:val="single" w:sz="4" w:space="0" w:color="auto"/>
              <w:right w:val="single" w:sz="4" w:space="0" w:color="auto"/>
            </w:tcBorders>
            <w:shd w:val="clear" w:color="auto" w:fill="auto"/>
            <w:vAlign w:val="center"/>
            <w:hideMark/>
          </w:tcPr>
          <w:p w14:paraId="1C86C145"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hasta 55000 eventos</w:t>
            </w:r>
          </w:p>
        </w:tc>
        <w:tc>
          <w:tcPr>
            <w:tcW w:w="412" w:type="pct"/>
            <w:tcBorders>
              <w:top w:val="nil"/>
              <w:left w:val="nil"/>
              <w:bottom w:val="single" w:sz="4" w:space="0" w:color="auto"/>
              <w:right w:val="single" w:sz="4" w:space="0" w:color="auto"/>
            </w:tcBorders>
            <w:shd w:val="clear" w:color="auto" w:fill="auto"/>
            <w:vAlign w:val="center"/>
            <w:hideMark/>
          </w:tcPr>
          <w:p w14:paraId="78B12345"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hasta 60000 eventos</w:t>
            </w:r>
          </w:p>
        </w:tc>
        <w:tc>
          <w:tcPr>
            <w:tcW w:w="403" w:type="pct"/>
            <w:tcBorders>
              <w:top w:val="nil"/>
              <w:left w:val="nil"/>
              <w:bottom w:val="single" w:sz="4" w:space="0" w:color="auto"/>
              <w:right w:val="single" w:sz="4" w:space="0" w:color="auto"/>
            </w:tcBorders>
            <w:shd w:val="clear" w:color="auto" w:fill="auto"/>
            <w:vAlign w:val="center"/>
            <w:hideMark/>
          </w:tcPr>
          <w:p w14:paraId="3EA2F88A"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más de 60000 eventos</w:t>
            </w:r>
          </w:p>
        </w:tc>
        <w:tc>
          <w:tcPr>
            <w:tcW w:w="430" w:type="pct"/>
            <w:tcBorders>
              <w:top w:val="nil"/>
              <w:left w:val="nil"/>
              <w:bottom w:val="single" w:sz="4" w:space="0" w:color="auto"/>
              <w:right w:val="single" w:sz="4" w:space="0" w:color="auto"/>
            </w:tcBorders>
            <w:shd w:val="clear" w:color="auto" w:fill="auto"/>
            <w:vAlign w:val="center"/>
          </w:tcPr>
          <w:p w14:paraId="0D25A452" w14:textId="49374266"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single" w:sz="4" w:space="0" w:color="auto"/>
              <w:right w:val="single" w:sz="4" w:space="0" w:color="auto"/>
            </w:tcBorders>
            <w:shd w:val="clear" w:color="auto" w:fill="auto"/>
            <w:vAlign w:val="center"/>
          </w:tcPr>
          <w:p w14:paraId="781D9DA0"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0,025</w:t>
            </w:r>
          </w:p>
        </w:tc>
        <w:tc>
          <w:tcPr>
            <w:tcW w:w="387" w:type="pct"/>
            <w:tcBorders>
              <w:top w:val="nil"/>
              <w:left w:val="nil"/>
              <w:bottom w:val="single" w:sz="4" w:space="0" w:color="auto"/>
              <w:right w:val="single" w:sz="4" w:space="0" w:color="auto"/>
            </w:tcBorders>
            <w:shd w:val="clear" w:color="auto" w:fill="auto"/>
            <w:vAlign w:val="center"/>
          </w:tcPr>
          <w:p w14:paraId="2334FA0A" w14:textId="13113DCD"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single" w:sz="4" w:space="0" w:color="auto"/>
              <w:right w:val="single" w:sz="4" w:space="0" w:color="auto"/>
            </w:tcBorders>
            <w:shd w:val="clear" w:color="auto" w:fill="auto"/>
            <w:noWrap/>
            <w:vAlign w:val="bottom"/>
            <w:hideMark/>
          </w:tcPr>
          <w:p w14:paraId="42690F4D"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single" w:sz="4" w:space="0" w:color="auto"/>
              <w:right w:val="single" w:sz="4" w:space="0" w:color="auto"/>
            </w:tcBorders>
            <w:shd w:val="clear" w:color="auto" w:fill="auto"/>
            <w:noWrap/>
            <w:vAlign w:val="bottom"/>
            <w:hideMark/>
          </w:tcPr>
          <w:p w14:paraId="537CC341"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7249F215" w14:textId="77777777" w:rsidTr="0027420C">
        <w:trPr>
          <w:trHeight w:val="1338"/>
        </w:trPr>
        <w:tc>
          <w:tcPr>
            <w:tcW w:w="147" w:type="pct"/>
            <w:tcBorders>
              <w:top w:val="nil"/>
              <w:left w:val="single" w:sz="4" w:space="0" w:color="auto"/>
              <w:bottom w:val="nil"/>
              <w:right w:val="single" w:sz="4" w:space="0" w:color="auto"/>
            </w:tcBorders>
            <w:shd w:val="clear" w:color="auto" w:fill="auto"/>
            <w:vAlign w:val="center"/>
            <w:hideMark/>
          </w:tcPr>
          <w:p w14:paraId="74D6D0B8" w14:textId="1669242A" w:rsidR="0027420C" w:rsidRPr="00494669" w:rsidRDefault="0027420C" w:rsidP="009D79BF">
            <w:pPr>
              <w:suppressAutoHyphens w:val="0"/>
              <w:spacing w:after="0"/>
              <w:rPr>
                <w:color w:val="000000"/>
                <w:sz w:val="18"/>
                <w:szCs w:val="18"/>
                <w:lang w:val="es-EC" w:eastAsia="es-EC" w:bidi="ar-SA"/>
              </w:rPr>
            </w:pPr>
            <w:r>
              <w:rPr>
                <w:color w:val="000000"/>
                <w:sz w:val="18"/>
                <w:szCs w:val="18"/>
                <w:lang w:val="es-EC" w:eastAsia="es-EC" w:bidi="ar-SA"/>
              </w:rPr>
              <w:t>4.28</w:t>
            </w:r>
            <w:r w:rsidRPr="00494669">
              <w:rPr>
                <w:color w:val="000000"/>
                <w:sz w:val="18"/>
                <w:szCs w:val="18"/>
                <w:lang w:val="es-EC" w:eastAsia="es-EC" w:bidi="ar-SA"/>
              </w:rPr>
              <w:t xml:space="preserve"> </w:t>
            </w:r>
          </w:p>
        </w:tc>
        <w:tc>
          <w:tcPr>
            <w:tcW w:w="552" w:type="pct"/>
            <w:tcBorders>
              <w:top w:val="nil"/>
              <w:left w:val="nil"/>
              <w:bottom w:val="nil"/>
              <w:right w:val="single" w:sz="4" w:space="0" w:color="auto"/>
            </w:tcBorders>
            <w:shd w:val="clear" w:color="auto" w:fill="auto"/>
            <w:vAlign w:val="center"/>
            <w:hideMark/>
          </w:tcPr>
          <w:p w14:paraId="701228BD" w14:textId="77777777" w:rsidR="0027420C" w:rsidRPr="00494669" w:rsidRDefault="0027420C" w:rsidP="009D79BF">
            <w:pPr>
              <w:suppressAutoHyphens w:val="0"/>
              <w:spacing w:after="0"/>
              <w:jc w:val="left"/>
              <w:rPr>
                <w:sz w:val="18"/>
                <w:szCs w:val="18"/>
                <w:lang w:val="es-EC" w:eastAsia="es-EC" w:bidi="ar-SA"/>
              </w:rPr>
            </w:pPr>
            <w:r>
              <w:rPr>
                <w:sz w:val="18"/>
                <w:szCs w:val="18"/>
                <w:lang w:val="es-EC" w:eastAsia="es-EC" w:bidi="ar-SA"/>
              </w:rPr>
              <w:t xml:space="preserve">Sección </w:t>
            </w:r>
            <w:r w:rsidRPr="00494669">
              <w:rPr>
                <w:color w:val="000000"/>
                <w:sz w:val="18"/>
                <w:szCs w:val="18"/>
                <w:lang w:val="es-EC" w:eastAsia="es-EC" w:bidi="ar-SA"/>
              </w:rPr>
              <w:t xml:space="preserve">2.1.1.1.1.10.2 </w:t>
            </w:r>
            <w:r w:rsidRPr="00494669">
              <w:rPr>
                <w:sz w:val="18"/>
                <w:szCs w:val="18"/>
                <w:lang w:val="es-EC" w:eastAsia="es-EC" w:bidi="ar-SA"/>
              </w:rPr>
              <w:t>Control de Acceso</w:t>
            </w:r>
          </w:p>
        </w:tc>
        <w:tc>
          <w:tcPr>
            <w:tcW w:w="330" w:type="pct"/>
            <w:tcBorders>
              <w:top w:val="nil"/>
              <w:left w:val="nil"/>
              <w:bottom w:val="nil"/>
              <w:right w:val="single" w:sz="4" w:space="0" w:color="auto"/>
            </w:tcBorders>
            <w:shd w:val="clear" w:color="auto" w:fill="auto"/>
            <w:vAlign w:val="center"/>
            <w:hideMark/>
          </w:tcPr>
          <w:p w14:paraId="03B1CB48" w14:textId="77777777" w:rsidR="0027420C" w:rsidRPr="00494669" w:rsidRDefault="0027420C" w:rsidP="009D79BF">
            <w:pPr>
              <w:suppressAutoHyphens w:val="0"/>
              <w:spacing w:after="0"/>
              <w:jc w:val="left"/>
              <w:rPr>
                <w:b/>
                <w:bCs/>
                <w:sz w:val="18"/>
                <w:szCs w:val="18"/>
                <w:lang w:val="es-EC" w:eastAsia="es-EC" w:bidi="ar-SA"/>
              </w:rPr>
            </w:pPr>
            <w:r w:rsidRPr="00494669">
              <w:rPr>
                <w:b/>
                <w:bCs/>
                <w:sz w:val="18"/>
                <w:szCs w:val="18"/>
                <w:lang w:val="es-EC" w:eastAsia="es-EC" w:bidi="ar-SA"/>
              </w:rPr>
              <w:t> </w:t>
            </w:r>
          </w:p>
        </w:tc>
        <w:tc>
          <w:tcPr>
            <w:tcW w:w="559" w:type="pct"/>
            <w:tcBorders>
              <w:top w:val="nil"/>
              <w:left w:val="nil"/>
              <w:bottom w:val="nil"/>
              <w:right w:val="single" w:sz="4" w:space="0" w:color="auto"/>
            </w:tcBorders>
            <w:shd w:val="clear" w:color="auto" w:fill="auto"/>
            <w:vAlign w:val="center"/>
            <w:hideMark/>
          </w:tcPr>
          <w:p w14:paraId="56D03CEE" w14:textId="77777777" w:rsidR="0027420C" w:rsidRPr="00494669" w:rsidRDefault="0027420C" w:rsidP="009D79BF">
            <w:pPr>
              <w:suppressAutoHyphens w:val="0"/>
              <w:spacing w:after="0"/>
              <w:rPr>
                <w:sz w:val="18"/>
                <w:szCs w:val="18"/>
                <w:lang w:val="es-EC" w:eastAsia="es-EC" w:bidi="ar-SA"/>
              </w:rPr>
            </w:pPr>
            <w:r w:rsidRPr="00494669">
              <w:rPr>
                <w:sz w:val="18"/>
                <w:szCs w:val="18"/>
                <w:lang w:val="es-EC" w:eastAsia="es-EC" w:bidi="ar-SA"/>
              </w:rPr>
              <w:t xml:space="preserve">A cada área de autorización se asignará el control de los elementos de la red, las intervenciones en las alarmas, las listas de presentación del estado de los mismos elementos de la red y las imágenes de parte o toda la red. La </w:t>
            </w:r>
            <w:r w:rsidRPr="00494669">
              <w:rPr>
                <w:sz w:val="18"/>
                <w:szCs w:val="18"/>
                <w:lang w:val="es-EC" w:eastAsia="es-EC" w:bidi="ar-SA"/>
              </w:rPr>
              <w:lastRenderedPageBreak/>
              <w:t>funcionalidad de una consola se determinará por la autorización asignada, definiendo los parámetros apropiados. El sistema será capaz de soportar un mínimo de 10 niveles diferentes de usuarios utilizando roles (es decir, superusuario, supervisor, operador de transmisión, operador de generación, y cualquier otro creado libremente)</w:t>
            </w:r>
          </w:p>
        </w:tc>
        <w:tc>
          <w:tcPr>
            <w:tcW w:w="403" w:type="pct"/>
            <w:tcBorders>
              <w:top w:val="nil"/>
              <w:left w:val="nil"/>
              <w:bottom w:val="nil"/>
              <w:right w:val="single" w:sz="4" w:space="0" w:color="auto"/>
            </w:tcBorders>
            <w:shd w:val="clear" w:color="auto" w:fill="auto"/>
            <w:vAlign w:val="center"/>
            <w:hideMark/>
          </w:tcPr>
          <w:p w14:paraId="0DBE6402"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lastRenderedPageBreak/>
              <w:t>hasta 11 niveles diferentes</w:t>
            </w:r>
          </w:p>
        </w:tc>
        <w:tc>
          <w:tcPr>
            <w:tcW w:w="412" w:type="pct"/>
            <w:tcBorders>
              <w:top w:val="nil"/>
              <w:left w:val="nil"/>
              <w:bottom w:val="nil"/>
              <w:right w:val="single" w:sz="4" w:space="0" w:color="auto"/>
            </w:tcBorders>
            <w:shd w:val="clear" w:color="auto" w:fill="auto"/>
            <w:vAlign w:val="center"/>
            <w:hideMark/>
          </w:tcPr>
          <w:p w14:paraId="5C0F69A1"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hasta 12 niveles diferentes</w:t>
            </w:r>
          </w:p>
        </w:tc>
        <w:tc>
          <w:tcPr>
            <w:tcW w:w="403" w:type="pct"/>
            <w:tcBorders>
              <w:top w:val="nil"/>
              <w:left w:val="nil"/>
              <w:bottom w:val="nil"/>
              <w:right w:val="single" w:sz="4" w:space="0" w:color="auto"/>
            </w:tcBorders>
            <w:shd w:val="clear" w:color="auto" w:fill="auto"/>
            <w:vAlign w:val="center"/>
            <w:hideMark/>
          </w:tcPr>
          <w:p w14:paraId="56543B93" w14:textId="77777777" w:rsidR="0027420C" w:rsidRPr="00494669" w:rsidRDefault="0027420C" w:rsidP="009D79BF">
            <w:pPr>
              <w:suppressAutoHyphens w:val="0"/>
              <w:spacing w:after="0"/>
              <w:jc w:val="left"/>
              <w:rPr>
                <w:sz w:val="18"/>
                <w:szCs w:val="18"/>
                <w:lang w:val="es-EC" w:eastAsia="es-EC" w:bidi="ar-SA"/>
              </w:rPr>
            </w:pPr>
            <w:r w:rsidRPr="00494669">
              <w:rPr>
                <w:sz w:val="18"/>
                <w:szCs w:val="18"/>
                <w:lang w:val="es-EC" w:eastAsia="es-EC" w:bidi="ar-SA"/>
              </w:rPr>
              <w:t>más de 13 niveles</w:t>
            </w:r>
          </w:p>
        </w:tc>
        <w:tc>
          <w:tcPr>
            <w:tcW w:w="430" w:type="pct"/>
            <w:tcBorders>
              <w:top w:val="nil"/>
              <w:left w:val="nil"/>
              <w:bottom w:val="nil"/>
              <w:right w:val="single" w:sz="4" w:space="0" w:color="auto"/>
            </w:tcBorders>
            <w:shd w:val="clear" w:color="auto" w:fill="auto"/>
            <w:vAlign w:val="center"/>
          </w:tcPr>
          <w:p w14:paraId="787E5A6E" w14:textId="67FB1CE4"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nil"/>
              <w:left w:val="nil"/>
              <w:bottom w:val="nil"/>
              <w:right w:val="single" w:sz="4" w:space="0" w:color="auto"/>
            </w:tcBorders>
            <w:shd w:val="clear" w:color="auto" w:fill="auto"/>
            <w:vAlign w:val="center"/>
          </w:tcPr>
          <w:p w14:paraId="22601A9C"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r w:rsidRPr="00494669">
              <w:rPr>
                <w:rFonts w:ascii="Arial" w:hAnsi="Arial" w:cs="Arial"/>
                <w:color w:val="000000"/>
                <w:sz w:val="16"/>
                <w:szCs w:val="16"/>
                <w:lang w:val="es-EC" w:eastAsia="es-EC" w:bidi="ar-SA"/>
              </w:rPr>
              <w:t>0,036</w:t>
            </w:r>
          </w:p>
        </w:tc>
        <w:tc>
          <w:tcPr>
            <w:tcW w:w="387" w:type="pct"/>
            <w:tcBorders>
              <w:top w:val="nil"/>
              <w:left w:val="nil"/>
              <w:bottom w:val="nil"/>
              <w:right w:val="single" w:sz="4" w:space="0" w:color="auto"/>
            </w:tcBorders>
            <w:shd w:val="clear" w:color="auto" w:fill="auto"/>
            <w:vAlign w:val="center"/>
          </w:tcPr>
          <w:p w14:paraId="5BE994D5" w14:textId="177C89F0"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nil"/>
              <w:left w:val="nil"/>
              <w:bottom w:val="nil"/>
              <w:right w:val="single" w:sz="4" w:space="0" w:color="auto"/>
            </w:tcBorders>
            <w:shd w:val="clear" w:color="auto" w:fill="auto"/>
            <w:noWrap/>
            <w:vAlign w:val="bottom"/>
            <w:hideMark/>
          </w:tcPr>
          <w:p w14:paraId="2AFF9821"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c>
          <w:tcPr>
            <w:tcW w:w="500" w:type="pct"/>
            <w:tcBorders>
              <w:top w:val="nil"/>
              <w:left w:val="nil"/>
              <w:bottom w:val="nil"/>
              <w:right w:val="single" w:sz="4" w:space="0" w:color="auto"/>
            </w:tcBorders>
            <w:shd w:val="clear" w:color="auto" w:fill="auto"/>
            <w:noWrap/>
            <w:vAlign w:val="bottom"/>
            <w:hideMark/>
          </w:tcPr>
          <w:p w14:paraId="2A7C0148"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r w:rsidRPr="00494669">
              <w:rPr>
                <w:rFonts w:ascii="Arial" w:hAnsi="Arial" w:cs="Arial"/>
                <w:color w:val="000000"/>
                <w:sz w:val="22"/>
                <w:szCs w:val="22"/>
                <w:lang w:val="es-EC" w:eastAsia="es-EC" w:bidi="ar-SA"/>
              </w:rPr>
              <w:t> </w:t>
            </w:r>
          </w:p>
        </w:tc>
      </w:tr>
      <w:tr w:rsidR="00E7421E" w:rsidRPr="00494669" w14:paraId="6CB4393A" w14:textId="77777777" w:rsidTr="0027420C">
        <w:trPr>
          <w:trHeight w:val="1338"/>
        </w:trPr>
        <w:tc>
          <w:tcPr>
            <w:tcW w:w="280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A45673" w14:textId="2B5D909E" w:rsidR="0027420C" w:rsidRPr="00602598" w:rsidRDefault="0027420C" w:rsidP="00602598">
            <w:pPr>
              <w:suppressAutoHyphens w:val="0"/>
              <w:spacing w:after="0"/>
              <w:jc w:val="center"/>
              <w:rPr>
                <w:b/>
                <w:bCs/>
                <w:sz w:val="18"/>
                <w:szCs w:val="18"/>
                <w:lang w:val="es-EC" w:eastAsia="es-EC" w:bidi="ar-SA"/>
              </w:rPr>
            </w:pPr>
            <w:r w:rsidRPr="00602598">
              <w:rPr>
                <w:b/>
                <w:bCs/>
                <w:sz w:val="18"/>
                <w:szCs w:val="18"/>
                <w:lang w:val="es-EC" w:eastAsia="es-EC" w:bidi="ar-SA"/>
              </w:rPr>
              <w:t>TOTAL</w:t>
            </w:r>
          </w:p>
        </w:tc>
        <w:tc>
          <w:tcPr>
            <w:tcW w:w="430" w:type="pct"/>
            <w:tcBorders>
              <w:top w:val="single" w:sz="4" w:space="0" w:color="auto"/>
              <w:left w:val="nil"/>
              <w:bottom w:val="single" w:sz="4" w:space="0" w:color="auto"/>
              <w:right w:val="single" w:sz="4" w:space="0" w:color="auto"/>
            </w:tcBorders>
            <w:shd w:val="clear" w:color="auto" w:fill="auto"/>
            <w:vAlign w:val="center"/>
          </w:tcPr>
          <w:p w14:paraId="5995511B" w14:textId="77777777" w:rsidR="0027420C" w:rsidRPr="00494669" w:rsidRDefault="0027420C" w:rsidP="009D79BF">
            <w:pPr>
              <w:suppressAutoHyphens w:val="0"/>
              <w:spacing w:after="0"/>
              <w:jc w:val="left"/>
              <w:rPr>
                <w:b/>
                <w:bCs/>
                <w:color w:val="000000"/>
                <w:sz w:val="16"/>
                <w:szCs w:val="16"/>
                <w:lang w:val="es-EC" w:eastAsia="es-EC" w:bidi="ar-SA"/>
              </w:rPr>
            </w:pPr>
          </w:p>
        </w:tc>
        <w:tc>
          <w:tcPr>
            <w:tcW w:w="400" w:type="pct"/>
            <w:tcBorders>
              <w:top w:val="single" w:sz="4" w:space="0" w:color="auto"/>
              <w:left w:val="nil"/>
              <w:bottom w:val="single" w:sz="4" w:space="0" w:color="auto"/>
              <w:right w:val="single" w:sz="4" w:space="0" w:color="auto"/>
            </w:tcBorders>
            <w:shd w:val="clear" w:color="auto" w:fill="000000" w:themeFill="text1"/>
            <w:vAlign w:val="center"/>
          </w:tcPr>
          <w:p w14:paraId="50555A5D" w14:textId="77777777" w:rsidR="0027420C" w:rsidRPr="00494669" w:rsidRDefault="0027420C" w:rsidP="009D79BF">
            <w:pPr>
              <w:suppressAutoHyphens w:val="0"/>
              <w:spacing w:after="0"/>
              <w:jc w:val="left"/>
              <w:rPr>
                <w:rFonts w:ascii="Arial" w:hAnsi="Arial" w:cs="Arial"/>
                <w:color w:val="000000"/>
                <w:sz w:val="16"/>
                <w:szCs w:val="16"/>
                <w:lang w:val="es-EC" w:eastAsia="es-EC" w:bidi="ar-SA"/>
              </w:rPr>
            </w:pPr>
          </w:p>
        </w:tc>
        <w:tc>
          <w:tcPr>
            <w:tcW w:w="387" w:type="pct"/>
            <w:tcBorders>
              <w:top w:val="single" w:sz="4" w:space="0" w:color="auto"/>
              <w:left w:val="nil"/>
              <w:bottom w:val="single" w:sz="4" w:space="0" w:color="auto"/>
              <w:right w:val="single" w:sz="4" w:space="0" w:color="auto"/>
            </w:tcBorders>
            <w:shd w:val="clear" w:color="auto" w:fill="auto"/>
            <w:vAlign w:val="center"/>
          </w:tcPr>
          <w:p w14:paraId="75788EA7" w14:textId="77777777" w:rsidR="0027420C" w:rsidRPr="00494669" w:rsidRDefault="0027420C" w:rsidP="009D79BF">
            <w:pPr>
              <w:suppressAutoHyphens w:val="0"/>
              <w:spacing w:after="0"/>
              <w:jc w:val="left"/>
              <w:rPr>
                <w:b/>
                <w:bCs/>
                <w:color w:val="000000"/>
                <w:sz w:val="18"/>
                <w:szCs w:val="18"/>
                <w:lang w:val="es-EC" w:eastAsia="es-EC" w:bidi="ar-SA"/>
              </w:rPr>
            </w:pPr>
          </w:p>
        </w:tc>
        <w:tc>
          <w:tcPr>
            <w:tcW w:w="477" w:type="pct"/>
            <w:tcBorders>
              <w:top w:val="single" w:sz="4" w:space="0" w:color="auto"/>
              <w:left w:val="nil"/>
              <w:bottom w:val="single" w:sz="4" w:space="0" w:color="auto"/>
              <w:right w:val="single" w:sz="4" w:space="0" w:color="auto"/>
            </w:tcBorders>
            <w:shd w:val="clear" w:color="auto" w:fill="000000" w:themeFill="text1"/>
            <w:noWrap/>
            <w:vAlign w:val="bottom"/>
          </w:tcPr>
          <w:p w14:paraId="2D0599F3"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p>
        </w:tc>
        <w:tc>
          <w:tcPr>
            <w:tcW w:w="500" w:type="pct"/>
            <w:tcBorders>
              <w:top w:val="single" w:sz="4" w:space="0" w:color="auto"/>
              <w:left w:val="nil"/>
              <w:bottom w:val="single" w:sz="4" w:space="0" w:color="auto"/>
              <w:right w:val="single" w:sz="4" w:space="0" w:color="auto"/>
            </w:tcBorders>
            <w:shd w:val="clear" w:color="auto" w:fill="000000" w:themeFill="text1"/>
            <w:noWrap/>
            <w:vAlign w:val="bottom"/>
          </w:tcPr>
          <w:p w14:paraId="4AEFCDBA" w14:textId="77777777" w:rsidR="0027420C" w:rsidRPr="00494669" w:rsidRDefault="0027420C" w:rsidP="009D79BF">
            <w:pPr>
              <w:suppressAutoHyphens w:val="0"/>
              <w:spacing w:after="0"/>
              <w:jc w:val="left"/>
              <w:rPr>
                <w:rFonts w:ascii="Arial" w:hAnsi="Arial" w:cs="Arial"/>
                <w:color w:val="000000"/>
                <w:sz w:val="22"/>
                <w:szCs w:val="22"/>
                <w:lang w:val="es-EC" w:eastAsia="es-EC" w:bidi="ar-SA"/>
              </w:rPr>
            </w:pPr>
          </w:p>
        </w:tc>
      </w:tr>
    </w:tbl>
    <w:p w14:paraId="19D9020C" w14:textId="77777777" w:rsidR="00547F8D" w:rsidRDefault="00547F8D" w:rsidP="001040E4">
      <w:pPr>
        <w:jc w:val="left"/>
        <w:rPr>
          <w:b/>
          <w:iCs/>
          <w:sz w:val="28"/>
        </w:rPr>
      </w:pPr>
    </w:p>
    <w:p w14:paraId="353047EC" w14:textId="77777777" w:rsidR="00834372" w:rsidRDefault="00834372" w:rsidP="00671212">
      <w:pPr>
        <w:rPr>
          <w:iCs/>
          <w:szCs w:val="24"/>
        </w:rPr>
      </w:pPr>
      <w:r>
        <w:rPr>
          <w:iCs/>
          <w:szCs w:val="24"/>
        </w:rPr>
        <w:t>Notas:</w:t>
      </w:r>
    </w:p>
    <w:p w14:paraId="1844001A" w14:textId="77777777" w:rsidR="00494669" w:rsidRPr="00671212" w:rsidRDefault="00494669" w:rsidP="00671212">
      <w:pPr>
        <w:rPr>
          <w:iCs/>
          <w:szCs w:val="24"/>
        </w:rPr>
      </w:pPr>
      <w:r w:rsidRPr="00671212">
        <w:rPr>
          <w:iCs/>
          <w:szCs w:val="24"/>
        </w:rPr>
        <w:t xml:space="preserve">La columna “REFERENCIA DE CUMPLIMIENTO” debe contener obligatoriamente la información acerca de la ubicación </w:t>
      </w:r>
      <w:proofErr w:type="gramStart"/>
      <w:r w:rsidRPr="00671212">
        <w:rPr>
          <w:iCs/>
          <w:szCs w:val="24"/>
        </w:rPr>
        <w:t>en  la</w:t>
      </w:r>
      <w:proofErr w:type="gramEnd"/>
      <w:r w:rsidRPr="00671212">
        <w:rPr>
          <w:iCs/>
          <w:szCs w:val="24"/>
        </w:rPr>
        <w:t xml:space="preserve"> documentación presentada en la oferta (sección / página / numeral), tales como manuales, fichas técnicas, folletos y otras  referencias, en donde se puede verificar el cumplimiento del requerimiento específico.</w:t>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p>
    <w:p w14:paraId="03C4B759" w14:textId="77777777" w:rsidR="00834372" w:rsidRPr="00834372" w:rsidRDefault="00494669" w:rsidP="00671212">
      <w:pPr>
        <w:rPr>
          <w:iCs/>
          <w:szCs w:val="24"/>
        </w:rPr>
      </w:pPr>
      <w:r w:rsidRPr="00671212">
        <w:rPr>
          <w:iCs/>
          <w:szCs w:val="24"/>
        </w:rPr>
        <w:t>La columna “OBSERVACIÓN” debe contener obligatoriamente la opción de cumplimiento y las explicaciones que se requieran.</w:t>
      </w:r>
    </w:p>
    <w:p w14:paraId="5607CA88" w14:textId="05172116" w:rsidR="002342B1" w:rsidRPr="00576AF8" w:rsidRDefault="00494669" w:rsidP="00E7421E">
      <w:pPr>
        <w:rPr>
          <w:b/>
          <w:iCs/>
          <w:sz w:val="28"/>
        </w:rPr>
      </w:pPr>
      <w:r w:rsidRPr="00671212">
        <w:rPr>
          <w:iCs/>
          <w:szCs w:val="24"/>
        </w:rPr>
        <w:t xml:space="preserve">El </w:t>
      </w:r>
      <w:r>
        <w:rPr>
          <w:iCs/>
          <w:szCs w:val="24"/>
        </w:rPr>
        <w:t>Licitante</w:t>
      </w:r>
      <w:r w:rsidRPr="00671212">
        <w:rPr>
          <w:iCs/>
          <w:szCs w:val="24"/>
        </w:rPr>
        <w:t xml:space="preserve"> deberá incluir todos los requerimientos de hardware y software necesarios para el cumplimiento de estos ítems deseables.</w:t>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r w:rsidRPr="00671212">
        <w:rPr>
          <w:iCs/>
          <w:szCs w:val="24"/>
        </w:rPr>
        <w:tab/>
      </w:r>
    </w:p>
    <w:p w14:paraId="03F1AB30" w14:textId="77777777" w:rsidR="002342B1" w:rsidRPr="00576AF8" w:rsidRDefault="002342B1" w:rsidP="001040E4">
      <w:pPr>
        <w:jc w:val="left"/>
        <w:rPr>
          <w:b/>
          <w:iCs/>
          <w:sz w:val="28"/>
        </w:rPr>
        <w:sectPr w:rsidR="002342B1" w:rsidRPr="00576AF8" w:rsidSect="000968D2">
          <w:pgSz w:w="15840" w:h="12240" w:orient="landscape" w:code="1"/>
          <w:pgMar w:top="1440" w:right="1440" w:bottom="1440" w:left="1440" w:header="720" w:footer="720" w:gutter="0"/>
          <w:cols w:space="720"/>
          <w:titlePg/>
          <w:docGrid w:linePitch="326"/>
        </w:sectPr>
      </w:pPr>
    </w:p>
    <w:p w14:paraId="6940F380" w14:textId="77777777" w:rsidR="001040E4" w:rsidRPr="00576AF8" w:rsidRDefault="00ED17BE" w:rsidP="004313F3">
      <w:pPr>
        <w:spacing w:before="240"/>
        <w:ind w:left="284"/>
        <w:jc w:val="left"/>
        <w:rPr>
          <w:b/>
          <w:bCs/>
          <w:sz w:val="28"/>
          <w:szCs w:val="21"/>
        </w:rPr>
      </w:pPr>
      <w:r w:rsidRPr="00576AF8">
        <w:rPr>
          <w:b/>
          <w:bCs/>
          <w:sz w:val="28"/>
          <w:szCs w:val="21"/>
        </w:rPr>
        <w:lastRenderedPageBreak/>
        <w:t>3.</w:t>
      </w:r>
      <w:r w:rsidRPr="00576AF8">
        <w:rPr>
          <w:b/>
          <w:bCs/>
          <w:sz w:val="28"/>
          <w:szCs w:val="21"/>
        </w:rPr>
        <w:tab/>
      </w:r>
      <w:r w:rsidR="001040E4" w:rsidRPr="00576AF8">
        <w:rPr>
          <w:b/>
          <w:bCs/>
          <w:sz w:val="28"/>
          <w:szCs w:val="21"/>
        </w:rPr>
        <w:t xml:space="preserve">Evaluación </w:t>
      </w:r>
      <w:r w:rsidR="00373175" w:rsidRPr="00576AF8">
        <w:rPr>
          <w:b/>
          <w:bCs/>
          <w:sz w:val="28"/>
          <w:szCs w:val="21"/>
        </w:rPr>
        <w:t>e</w:t>
      </w:r>
      <w:r w:rsidR="001040E4" w:rsidRPr="00576AF8">
        <w:rPr>
          <w:b/>
          <w:bCs/>
          <w:sz w:val="28"/>
          <w:szCs w:val="21"/>
        </w:rPr>
        <w:t>conómica</w:t>
      </w:r>
    </w:p>
    <w:p w14:paraId="7BCA7600" w14:textId="77777777" w:rsidR="001040E4" w:rsidRPr="00576AF8" w:rsidRDefault="001040E4" w:rsidP="001040E4">
      <w:pPr>
        <w:spacing w:after="200"/>
        <w:ind w:left="1440" w:hanging="720"/>
        <w:jc w:val="left"/>
        <w:rPr>
          <w:bCs/>
          <w:iCs/>
        </w:rPr>
      </w:pPr>
      <w:r w:rsidRPr="00576AF8">
        <w:t>Se aplicarán los siguientes factores y métodos:</w:t>
      </w:r>
    </w:p>
    <w:p w14:paraId="211DCB8C" w14:textId="77777777" w:rsidR="001040E4" w:rsidRPr="00576AF8" w:rsidRDefault="005E641B" w:rsidP="001040E4">
      <w:pPr>
        <w:spacing w:after="200"/>
        <w:ind w:left="1080" w:right="-72"/>
      </w:pPr>
      <w:r w:rsidRPr="00576AF8">
        <w:rPr>
          <w:b/>
        </w:rPr>
        <w:t>(</w:t>
      </w:r>
      <w:r w:rsidR="001040E4" w:rsidRPr="00576AF8">
        <w:rPr>
          <w:b/>
        </w:rPr>
        <w:t>a)</w:t>
      </w:r>
      <w:r w:rsidR="001040E4" w:rsidRPr="00576AF8">
        <w:tab/>
      </w:r>
      <w:r w:rsidR="00B26E1B" w:rsidRPr="00576AF8">
        <w:rPr>
          <w:b/>
        </w:rPr>
        <w:t>Cronograma</w:t>
      </w:r>
      <w:r w:rsidR="00261211" w:rsidRPr="005A0F3A">
        <w:rPr>
          <w:b/>
          <w:bCs/>
        </w:rPr>
        <w:t>:</w:t>
      </w:r>
      <w:r w:rsidR="00A1741F" w:rsidRPr="005A0F3A">
        <w:rPr>
          <w:b/>
          <w:bCs/>
        </w:rPr>
        <w:t xml:space="preserve"> (NO APLICA)</w:t>
      </w:r>
    </w:p>
    <w:p w14:paraId="0F1682EB" w14:textId="77777777" w:rsidR="001040E4" w:rsidRPr="00576AF8" w:rsidRDefault="005E641B" w:rsidP="001040E4">
      <w:pPr>
        <w:spacing w:after="200"/>
        <w:ind w:left="1080" w:right="-72"/>
        <w:rPr>
          <w:b/>
        </w:rPr>
      </w:pPr>
      <w:r w:rsidRPr="00576AF8">
        <w:rPr>
          <w:b/>
        </w:rPr>
        <w:t>(</w:t>
      </w:r>
      <w:r w:rsidR="001040E4" w:rsidRPr="00576AF8">
        <w:rPr>
          <w:b/>
        </w:rPr>
        <w:t>b)</w:t>
      </w:r>
      <w:r w:rsidR="001040E4" w:rsidRPr="00576AF8">
        <w:tab/>
      </w:r>
      <w:r w:rsidR="00261211" w:rsidRPr="00576AF8">
        <w:rPr>
          <w:b/>
        </w:rPr>
        <w:t xml:space="preserve">Gastos </w:t>
      </w:r>
      <w:r w:rsidR="00AF5510" w:rsidRPr="00576AF8">
        <w:rPr>
          <w:b/>
        </w:rPr>
        <w:t>recurrentes</w:t>
      </w:r>
      <w:r w:rsidR="007B234D" w:rsidRPr="00576AF8">
        <w:rPr>
          <w:b/>
        </w:rPr>
        <w:t xml:space="preserve"> (NO APLICA)</w:t>
      </w:r>
    </w:p>
    <w:p w14:paraId="6DA928AA" w14:textId="77777777" w:rsidR="00CF325C" w:rsidRPr="00576AF8" w:rsidRDefault="00C258D2" w:rsidP="00CF325C">
      <w:pPr>
        <w:spacing w:after="200"/>
        <w:ind w:left="1620" w:right="-72" w:hanging="540"/>
      </w:pPr>
      <w:r w:rsidRPr="00576AF8">
        <w:rPr>
          <w:b/>
        </w:rPr>
        <w:t>(</w:t>
      </w:r>
      <w:r w:rsidR="00CF325C" w:rsidRPr="00576AF8">
        <w:rPr>
          <w:b/>
        </w:rPr>
        <w:t>c)</w:t>
      </w:r>
      <w:r w:rsidR="00CF325C" w:rsidRPr="00576AF8">
        <w:tab/>
      </w:r>
      <w:r w:rsidR="00CF325C" w:rsidRPr="00576AF8">
        <w:rPr>
          <w:b/>
        </w:rPr>
        <w:t>Criterios específicos adicionales</w:t>
      </w:r>
    </w:p>
    <w:p w14:paraId="4EABEE11" w14:textId="77777777" w:rsidR="00681945" w:rsidRDefault="00681945" w:rsidP="002C6A07">
      <w:pPr>
        <w:spacing w:after="200"/>
        <w:ind w:left="1080" w:right="-72"/>
      </w:pPr>
    </w:p>
    <w:p w14:paraId="74E2755A" w14:textId="43C0989F" w:rsidR="00681945" w:rsidRDefault="002C6A07" w:rsidP="002C6A07">
      <w:pPr>
        <w:spacing w:after="200"/>
        <w:ind w:left="1080" w:right="-72"/>
      </w:pPr>
      <w:r w:rsidRPr="002C6A07">
        <w:t xml:space="preserve">Únicamente para fines de evaluación, las ofertas económicas recibirán descuentos que se relacionan con el puntaje obtenido en la evaluación de las ofertas técnicas (T), de la siguiente manera: </w:t>
      </w:r>
    </w:p>
    <w:p w14:paraId="0EECDC3C" w14:textId="77777777" w:rsidR="00681945" w:rsidRDefault="00681945" w:rsidP="002C6A07">
      <w:pPr>
        <w:spacing w:after="200"/>
        <w:ind w:left="1080" w:right="-72"/>
      </w:pPr>
    </w:p>
    <w:tbl>
      <w:tblPr>
        <w:tblStyle w:val="Tablaconcuadrcula"/>
        <w:tblW w:w="5000" w:type="pct"/>
        <w:tblLook w:val="04A0" w:firstRow="1" w:lastRow="0" w:firstColumn="1" w:lastColumn="0" w:noHBand="0" w:noVBand="1"/>
      </w:tblPr>
      <w:tblGrid>
        <w:gridCol w:w="3541"/>
        <w:gridCol w:w="1447"/>
        <w:gridCol w:w="2182"/>
        <w:gridCol w:w="2180"/>
      </w:tblGrid>
      <w:tr w:rsidR="00681945" w:rsidRPr="0069781B" w14:paraId="65E926F1" w14:textId="5A6A56DF" w:rsidTr="00681945">
        <w:tc>
          <w:tcPr>
            <w:tcW w:w="1893" w:type="pct"/>
          </w:tcPr>
          <w:p w14:paraId="54792EF4" w14:textId="1C713595" w:rsidR="00681945" w:rsidRPr="0069781B" w:rsidRDefault="00681945" w:rsidP="002C6A07">
            <w:pPr>
              <w:spacing w:after="200"/>
              <w:ind w:right="-72"/>
              <w:rPr>
                <w:b/>
                <w:bCs/>
              </w:rPr>
            </w:pPr>
            <w:r w:rsidRPr="0069781B">
              <w:rPr>
                <w:b/>
                <w:bCs/>
              </w:rPr>
              <w:t>Puntaje Oferta Técnica</w:t>
            </w:r>
          </w:p>
        </w:tc>
        <w:tc>
          <w:tcPr>
            <w:tcW w:w="774" w:type="pct"/>
          </w:tcPr>
          <w:p w14:paraId="480B1949" w14:textId="052C46D8" w:rsidR="00681945" w:rsidRPr="0069781B" w:rsidRDefault="00B42735" w:rsidP="00681945">
            <w:pPr>
              <w:spacing w:after="200"/>
              <w:ind w:right="-72"/>
              <w:jc w:val="center"/>
            </w:pPr>
            <w:r w:rsidRPr="0069781B">
              <w:t>Mayor a 29</w:t>
            </w:r>
          </w:p>
        </w:tc>
        <w:tc>
          <w:tcPr>
            <w:tcW w:w="1167" w:type="pct"/>
          </w:tcPr>
          <w:p w14:paraId="6CD5ECC5" w14:textId="67D8FD4D" w:rsidR="00681945" w:rsidRPr="0069781B" w:rsidRDefault="00B42735" w:rsidP="00681945">
            <w:pPr>
              <w:spacing w:after="200"/>
              <w:ind w:right="-72"/>
              <w:jc w:val="center"/>
            </w:pPr>
            <w:r w:rsidRPr="0069781B">
              <w:t>Mayor a 27 hasta 29</w:t>
            </w:r>
          </w:p>
        </w:tc>
        <w:tc>
          <w:tcPr>
            <w:tcW w:w="1167" w:type="pct"/>
          </w:tcPr>
          <w:p w14:paraId="3C939549" w14:textId="482E52C6" w:rsidR="00681945" w:rsidRPr="0069781B" w:rsidRDefault="00B42735" w:rsidP="00681945">
            <w:pPr>
              <w:spacing w:after="200"/>
              <w:ind w:right="-72"/>
              <w:jc w:val="center"/>
            </w:pPr>
            <w:r w:rsidRPr="0069781B">
              <w:t>Mayor a 25 hasta 27</w:t>
            </w:r>
          </w:p>
        </w:tc>
      </w:tr>
      <w:tr w:rsidR="00681945" w14:paraId="7EB865A1" w14:textId="04D2D70F" w:rsidTr="00681945">
        <w:tc>
          <w:tcPr>
            <w:tcW w:w="1893" w:type="pct"/>
          </w:tcPr>
          <w:p w14:paraId="3C87E29D" w14:textId="75944A70" w:rsidR="00681945" w:rsidRPr="0069781B" w:rsidRDefault="00681945" w:rsidP="002C6A07">
            <w:pPr>
              <w:spacing w:after="200"/>
              <w:ind w:right="-72"/>
              <w:rPr>
                <w:b/>
                <w:bCs/>
              </w:rPr>
            </w:pPr>
            <w:r w:rsidRPr="0069781B">
              <w:rPr>
                <w:b/>
                <w:bCs/>
              </w:rPr>
              <w:t>Descuento en la oferta económica</w:t>
            </w:r>
          </w:p>
        </w:tc>
        <w:tc>
          <w:tcPr>
            <w:tcW w:w="774" w:type="pct"/>
          </w:tcPr>
          <w:p w14:paraId="440D6C90" w14:textId="04BED561" w:rsidR="00681945" w:rsidRPr="0069781B" w:rsidRDefault="0069781B" w:rsidP="00681945">
            <w:pPr>
              <w:spacing w:after="200"/>
              <w:ind w:right="-72"/>
              <w:jc w:val="center"/>
            </w:pPr>
            <w:r w:rsidRPr="0069781B">
              <w:t>2</w:t>
            </w:r>
            <w:r w:rsidR="00681945" w:rsidRPr="0069781B">
              <w:t>%</w:t>
            </w:r>
          </w:p>
        </w:tc>
        <w:tc>
          <w:tcPr>
            <w:tcW w:w="1167" w:type="pct"/>
          </w:tcPr>
          <w:p w14:paraId="520AADBF" w14:textId="414D3B6D" w:rsidR="00681945" w:rsidRPr="0069781B" w:rsidRDefault="0069781B" w:rsidP="00681945">
            <w:pPr>
              <w:spacing w:after="200"/>
              <w:ind w:right="-72"/>
              <w:jc w:val="center"/>
            </w:pPr>
            <w:r w:rsidRPr="0069781B">
              <w:t>1</w:t>
            </w:r>
            <w:r w:rsidR="00681945" w:rsidRPr="0069781B">
              <w:t>,5%</w:t>
            </w:r>
          </w:p>
        </w:tc>
        <w:tc>
          <w:tcPr>
            <w:tcW w:w="1167" w:type="pct"/>
          </w:tcPr>
          <w:p w14:paraId="2790FD25" w14:textId="36400A1D" w:rsidR="00681945" w:rsidRDefault="0069781B" w:rsidP="00681945">
            <w:pPr>
              <w:spacing w:after="200"/>
              <w:ind w:right="-72"/>
              <w:jc w:val="center"/>
            </w:pPr>
            <w:r w:rsidRPr="0069781B">
              <w:t>1</w:t>
            </w:r>
            <w:r w:rsidR="00681945" w:rsidRPr="0069781B">
              <w:t>%</w:t>
            </w:r>
          </w:p>
        </w:tc>
      </w:tr>
    </w:tbl>
    <w:p w14:paraId="52AF7194" w14:textId="77777777" w:rsidR="00681945" w:rsidRDefault="00681945" w:rsidP="002C6A07">
      <w:pPr>
        <w:spacing w:after="200"/>
        <w:ind w:left="1080" w:right="-72"/>
      </w:pPr>
    </w:p>
    <w:p w14:paraId="0D396EE5" w14:textId="77777777" w:rsidR="00671212" w:rsidRPr="002C6A07" w:rsidRDefault="00671212" w:rsidP="002C6A07">
      <w:pPr>
        <w:spacing w:after="200"/>
        <w:ind w:left="1080" w:right="-72"/>
      </w:pPr>
    </w:p>
    <w:p w14:paraId="0EBF8E34" w14:textId="2E981FAF" w:rsidR="00F117C1" w:rsidRPr="00576AF8" w:rsidRDefault="00F117C1" w:rsidP="00866570">
      <w:pPr>
        <w:spacing w:before="240"/>
        <w:ind w:left="284"/>
        <w:jc w:val="left"/>
        <w:rPr>
          <w:b/>
          <w:bCs/>
          <w:sz w:val="28"/>
          <w:szCs w:val="21"/>
        </w:rPr>
      </w:pPr>
      <w:r w:rsidRPr="00576AF8">
        <w:rPr>
          <w:b/>
          <w:bCs/>
          <w:sz w:val="28"/>
          <w:szCs w:val="21"/>
        </w:rPr>
        <w:t>4. Mejor Oferta Final</w:t>
      </w:r>
    </w:p>
    <w:p w14:paraId="65BF2440" w14:textId="77777777" w:rsidR="00F117C1" w:rsidRPr="00576AF8" w:rsidRDefault="008D23AE" w:rsidP="008D23AE">
      <w:pPr>
        <w:ind w:firstLine="284"/>
      </w:pPr>
      <w:r w:rsidRPr="00576AF8">
        <w:t>No Aplica</w:t>
      </w:r>
    </w:p>
    <w:p w14:paraId="70DE9067" w14:textId="77777777" w:rsidR="00A82162" w:rsidRPr="00576AF8" w:rsidRDefault="00F117C1" w:rsidP="00C258D2">
      <w:pPr>
        <w:spacing w:before="240"/>
        <w:ind w:left="284"/>
        <w:jc w:val="left"/>
        <w:rPr>
          <w:b/>
          <w:bCs/>
          <w:sz w:val="28"/>
          <w:szCs w:val="21"/>
        </w:rPr>
      </w:pPr>
      <w:r w:rsidRPr="00576AF8">
        <w:rPr>
          <w:b/>
          <w:bCs/>
          <w:sz w:val="28"/>
          <w:szCs w:val="21"/>
        </w:rPr>
        <w:t>5</w:t>
      </w:r>
      <w:r w:rsidR="00C258D2" w:rsidRPr="00576AF8">
        <w:rPr>
          <w:b/>
          <w:bCs/>
          <w:sz w:val="28"/>
          <w:szCs w:val="21"/>
        </w:rPr>
        <w:t>.</w:t>
      </w:r>
      <w:r w:rsidR="00C258D2" w:rsidRPr="00576AF8">
        <w:rPr>
          <w:b/>
          <w:bCs/>
          <w:sz w:val="28"/>
          <w:szCs w:val="21"/>
        </w:rPr>
        <w:tab/>
      </w:r>
      <w:r w:rsidR="00A82162" w:rsidRPr="00576AF8">
        <w:rPr>
          <w:b/>
          <w:bCs/>
          <w:sz w:val="28"/>
          <w:szCs w:val="21"/>
        </w:rPr>
        <w:t xml:space="preserve">Alternativas técnicas </w:t>
      </w:r>
    </w:p>
    <w:p w14:paraId="2556A180" w14:textId="77777777" w:rsidR="001040E4" w:rsidRDefault="008D23AE" w:rsidP="00866570">
      <w:pPr>
        <w:pStyle w:val="Outline4"/>
        <w:ind w:left="284"/>
      </w:pPr>
      <w:r w:rsidRPr="00576AF8">
        <w:t>No Aplica</w:t>
      </w:r>
    </w:p>
    <w:p w14:paraId="1A7AFB8A" w14:textId="77777777" w:rsidR="0079382B" w:rsidRPr="0079382B" w:rsidRDefault="0079382B" w:rsidP="0079382B">
      <w:pPr>
        <w:spacing w:before="240"/>
        <w:ind w:left="284"/>
        <w:jc w:val="left"/>
        <w:rPr>
          <w:b/>
          <w:bCs/>
          <w:sz w:val="28"/>
          <w:szCs w:val="21"/>
        </w:rPr>
        <w:sectPr w:rsidR="0079382B" w:rsidRPr="0079382B" w:rsidSect="000968D2">
          <w:pgSz w:w="12240" w:h="15840" w:code="1"/>
          <w:pgMar w:top="1440" w:right="1440" w:bottom="1440" w:left="1440" w:header="720" w:footer="720" w:gutter="0"/>
          <w:cols w:space="720"/>
          <w:titlePg/>
          <w:docGrid w:linePitch="326"/>
        </w:sectPr>
      </w:pPr>
      <w:r w:rsidRPr="0079382B">
        <w:rPr>
          <w:b/>
          <w:bCs/>
          <w:sz w:val="28"/>
          <w:szCs w:val="21"/>
        </w:rPr>
        <w:t>6.</w:t>
      </w:r>
      <w:r w:rsidRPr="0079382B">
        <w:rPr>
          <w:b/>
          <w:bCs/>
          <w:sz w:val="28"/>
          <w:szCs w:val="21"/>
        </w:rPr>
        <w:tab/>
        <w:t>Calificación</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512"/>
        <w:gridCol w:w="1559"/>
        <w:gridCol w:w="1559"/>
        <w:gridCol w:w="1418"/>
        <w:gridCol w:w="1984"/>
      </w:tblGrid>
      <w:tr w:rsidR="004758D0" w:rsidRPr="00576AF8" w14:paraId="1681E656" w14:textId="77777777" w:rsidTr="007A5089">
        <w:trPr>
          <w:cantSplit/>
          <w:tblHeader/>
        </w:trPr>
        <w:tc>
          <w:tcPr>
            <w:tcW w:w="2178" w:type="dxa"/>
          </w:tcPr>
          <w:p w14:paraId="7B10AA15" w14:textId="77777777" w:rsidR="004758D0" w:rsidRPr="00576AF8" w:rsidRDefault="004758D0" w:rsidP="004758D0">
            <w:pPr>
              <w:spacing w:before="120"/>
              <w:jc w:val="center"/>
              <w:rPr>
                <w:b/>
                <w:sz w:val="22"/>
                <w:szCs w:val="22"/>
              </w:rPr>
            </w:pPr>
            <w:r w:rsidRPr="00576AF8">
              <w:rPr>
                <w:b/>
                <w:sz w:val="22"/>
                <w:szCs w:val="22"/>
              </w:rPr>
              <w:lastRenderedPageBreak/>
              <w:t>Factor</w:t>
            </w:r>
          </w:p>
        </w:tc>
        <w:tc>
          <w:tcPr>
            <w:tcW w:w="10858" w:type="dxa"/>
            <w:gridSpan w:val="6"/>
          </w:tcPr>
          <w:p w14:paraId="4959D65F" w14:textId="77777777" w:rsidR="004758D0" w:rsidRPr="00576AF8" w:rsidRDefault="00F117C1" w:rsidP="004758D0">
            <w:pPr>
              <w:pStyle w:val="Ttulo1"/>
              <w:keepNext/>
              <w:keepLines/>
              <w:rPr>
                <w:rFonts w:ascii="Times New Roman" w:hAnsi="Times New Roman"/>
              </w:rPr>
            </w:pPr>
            <w:bookmarkStart w:id="348" w:name="_Toc496006430"/>
            <w:bookmarkStart w:id="349" w:name="_Toc496006831"/>
            <w:bookmarkStart w:id="350" w:name="_Toc496113482"/>
            <w:bookmarkStart w:id="351" w:name="_Toc496359153"/>
            <w:bookmarkStart w:id="352" w:name="_Toc496968116"/>
            <w:bookmarkStart w:id="353" w:name="_Toc498339860"/>
            <w:bookmarkStart w:id="354" w:name="_Toc498848207"/>
            <w:bookmarkStart w:id="355" w:name="_Toc499021785"/>
            <w:bookmarkStart w:id="356" w:name="_Toc499023468"/>
            <w:bookmarkStart w:id="357" w:name="_Toc501529950"/>
            <w:bookmarkStart w:id="358" w:name="_Toc503874228"/>
            <w:bookmarkStart w:id="359" w:name="_Toc23215164"/>
            <w:bookmarkStart w:id="360" w:name="_Toc445567356"/>
            <w:r w:rsidRPr="00576AF8">
              <w:rPr>
                <w:rFonts w:ascii="Times New Roman" w:hAnsi="Times New Roman"/>
              </w:rPr>
              <w:t>6</w:t>
            </w:r>
            <w:r w:rsidR="004758D0" w:rsidRPr="00576AF8">
              <w:rPr>
                <w:rFonts w:ascii="Times New Roman" w:hAnsi="Times New Roman"/>
              </w:rPr>
              <w:t>.1 Elegibilidad</w:t>
            </w:r>
            <w:bookmarkEnd w:id="348"/>
            <w:bookmarkEnd w:id="349"/>
            <w:bookmarkEnd w:id="350"/>
            <w:bookmarkEnd w:id="351"/>
            <w:bookmarkEnd w:id="352"/>
            <w:bookmarkEnd w:id="353"/>
            <w:bookmarkEnd w:id="354"/>
            <w:bookmarkEnd w:id="355"/>
            <w:bookmarkEnd w:id="356"/>
            <w:bookmarkEnd w:id="357"/>
            <w:bookmarkEnd w:id="358"/>
            <w:bookmarkEnd w:id="359"/>
            <w:bookmarkEnd w:id="360"/>
          </w:p>
        </w:tc>
      </w:tr>
      <w:tr w:rsidR="004758D0" w:rsidRPr="00576AF8" w14:paraId="1BCCCABC" w14:textId="77777777" w:rsidTr="007A5089">
        <w:trPr>
          <w:cantSplit/>
          <w:tblHeader/>
        </w:trPr>
        <w:tc>
          <w:tcPr>
            <w:tcW w:w="2178" w:type="dxa"/>
            <w:vMerge w:val="restart"/>
            <w:vAlign w:val="center"/>
          </w:tcPr>
          <w:p w14:paraId="106E3355" w14:textId="77777777" w:rsidR="004758D0" w:rsidRPr="00576AF8" w:rsidRDefault="004758D0" w:rsidP="004758D0">
            <w:pPr>
              <w:pStyle w:val="titulo"/>
              <w:spacing w:before="120" w:after="120"/>
              <w:rPr>
                <w:rFonts w:ascii="Times New Roman" w:hAnsi="Times New Roman"/>
                <w:b w:val="0"/>
                <w:sz w:val="22"/>
                <w:szCs w:val="22"/>
              </w:rPr>
            </w:pPr>
            <w:r w:rsidRPr="00576AF8">
              <w:rPr>
                <w:rFonts w:ascii="Times New Roman" w:hAnsi="Times New Roman"/>
                <w:sz w:val="22"/>
              </w:rPr>
              <w:t>Ítem</w:t>
            </w:r>
          </w:p>
        </w:tc>
        <w:tc>
          <w:tcPr>
            <w:tcW w:w="8874" w:type="dxa"/>
            <w:gridSpan w:val="5"/>
          </w:tcPr>
          <w:p w14:paraId="6EB3FF4B" w14:textId="77777777" w:rsidR="004758D0" w:rsidRPr="00576AF8" w:rsidRDefault="004758D0" w:rsidP="007C46B5">
            <w:pPr>
              <w:pStyle w:val="titulo"/>
              <w:spacing w:before="80" w:after="0"/>
              <w:rPr>
                <w:rFonts w:ascii="Times New Roman" w:hAnsi="Times New Roman"/>
                <w:bCs/>
                <w:sz w:val="22"/>
              </w:rPr>
            </w:pPr>
            <w:r w:rsidRPr="00576AF8">
              <w:rPr>
                <w:rFonts w:ascii="Times New Roman" w:hAnsi="Times New Roman"/>
                <w:bCs/>
                <w:sz w:val="22"/>
              </w:rPr>
              <w:t>Criterios</w:t>
            </w:r>
          </w:p>
        </w:tc>
        <w:tc>
          <w:tcPr>
            <w:tcW w:w="1984" w:type="dxa"/>
            <w:vMerge w:val="restart"/>
            <w:vAlign w:val="center"/>
          </w:tcPr>
          <w:p w14:paraId="0A55E207" w14:textId="77777777" w:rsidR="004758D0" w:rsidRPr="00576AF8" w:rsidRDefault="004758D0" w:rsidP="004758D0">
            <w:pPr>
              <w:pStyle w:val="titulo"/>
              <w:spacing w:before="120" w:after="0"/>
              <w:rPr>
                <w:rFonts w:ascii="Times New Roman" w:hAnsi="Times New Roman"/>
                <w:sz w:val="22"/>
                <w:szCs w:val="22"/>
              </w:rPr>
            </w:pPr>
            <w:r w:rsidRPr="00576AF8">
              <w:rPr>
                <w:rFonts w:ascii="Times New Roman" w:hAnsi="Times New Roman"/>
                <w:sz w:val="22"/>
              </w:rPr>
              <w:t>Documentación exigida</w:t>
            </w:r>
          </w:p>
        </w:tc>
      </w:tr>
      <w:tr w:rsidR="004758D0" w:rsidRPr="00576AF8" w14:paraId="4D0626B8" w14:textId="77777777" w:rsidTr="007A5089">
        <w:trPr>
          <w:cantSplit/>
          <w:tblHeader/>
        </w:trPr>
        <w:tc>
          <w:tcPr>
            <w:tcW w:w="2178" w:type="dxa"/>
            <w:vMerge/>
          </w:tcPr>
          <w:p w14:paraId="1A8A5DE0" w14:textId="77777777" w:rsidR="004758D0" w:rsidRPr="00576AF8" w:rsidRDefault="004758D0" w:rsidP="004758D0">
            <w:pPr>
              <w:ind w:left="360" w:hanging="360"/>
              <w:jc w:val="center"/>
              <w:rPr>
                <w:b/>
                <w:sz w:val="22"/>
                <w:szCs w:val="22"/>
              </w:rPr>
            </w:pPr>
          </w:p>
        </w:tc>
        <w:tc>
          <w:tcPr>
            <w:tcW w:w="2826" w:type="dxa"/>
            <w:vMerge w:val="restart"/>
            <w:tcBorders>
              <w:bottom w:val="nil"/>
            </w:tcBorders>
            <w:vAlign w:val="center"/>
          </w:tcPr>
          <w:p w14:paraId="49400A1B" w14:textId="77777777" w:rsidR="004758D0" w:rsidRPr="00576AF8" w:rsidRDefault="004758D0" w:rsidP="004758D0">
            <w:pPr>
              <w:pStyle w:val="titulo"/>
              <w:spacing w:before="120" w:after="120"/>
              <w:rPr>
                <w:rFonts w:ascii="Times New Roman" w:hAnsi="Times New Roman"/>
                <w:b w:val="0"/>
                <w:sz w:val="22"/>
                <w:szCs w:val="22"/>
              </w:rPr>
            </w:pPr>
            <w:r w:rsidRPr="00576AF8">
              <w:rPr>
                <w:rFonts w:ascii="Times New Roman" w:hAnsi="Times New Roman"/>
                <w:sz w:val="22"/>
              </w:rPr>
              <w:t>Requisito</w:t>
            </w:r>
          </w:p>
        </w:tc>
        <w:tc>
          <w:tcPr>
            <w:tcW w:w="6048" w:type="dxa"/>
            <w:gridSpan w:val="4"/>
          </w:tcPr>
          <w:p w14:paraId="38D07C56" w14:textId="77777777" w:rsidR="004758D0" w:rsidRPr="00576AF8" w:rsidRDefault="004758D0" w:rsidP="004758D0">
            <w:pPr>
              <w:pStyle w:val="titulo"/>
              <w:spacing w:before="80" w:after="0"/>
              <w:rPr>
                <w:rFonts w:ascii="Times New Roman" w:hAnsi="Times New Roman"/>
                <w:sz w:val="22"/>
                <w:szCs w:val="22"/>
              </w:rPr>
            </w:pPr>
            <w:r w:rsidRPr="00576AF8">
              <w:rPr>
                <w:rFonts w:ascii="Times New Roman" w:hAnsi="Times New Roman"/>
                <w:sz w:val="22"/>
              </w:rPr>
              <w:t>Licitante</w:t>
            </w:r>
          </w:p>
        </w:tc>
        <w:tc>
          <w:tcPr>
            <w:tcW w:w="1984" w:type="dxa"/>
            <w:vMerge/>
            <w:tcBorders>
              <w:bottom w:val="nil"/>
            </w:tcBorders>
          </w:tcPr>
          <w:p w14:paraId="313EB082" w14:textId="77777777" w:rsidR="004758D0" w:rsidRPr="00576AF8" w:rsidRDefault="004758D0" w:rsidP="004758D0">
            <w:pPr>
              <w:pStyle w:val="titulo"/>
              <w:spacing w:before="80"/>
              <w:rPr>
                <w:rFonts w:ascii="Times New Roman" w:hAnsi="Times New Roman"/>
                <w:b w:val="0"/>
                <w:sz w:val="20"/>
              </w:rPr>
            </w:pPr>
          </w:p>
        </w:tc>
      </w:tr>
      <w:tr w:rsidR="004758D0" w:rsidRPr="00576AF8" w14:paraId="659DE073" w14:textId="77777777" w:rsidTr="007A5089">
        <w:trPr>
          <w:cantSplit/>
          <w:tblHeader/>
        </w:trPr>
        <w:tc>
          <w:tcPr>
            <w:tcW w:w="2178" w:type="dxa"/>
            <w:vMerge/>
          </w:tcPr>
          <w:p w14:paraId="0008433B" w14:textId="77777777" w:rsidR="004758D0" w:rsidRPr="00576AF8" w:rsidRDefault="004758D0" w:rsidP="004758D0">
            <w:pPr>
              <w:ind w:left="360" w:hanging="360"/>
              <w:jc w:val="center"/>
              <w:rPr>
                <w:b/>
                <w:sz w:val="22"/>
                <w:szCs w:val="22"/>
              </w:rPr>
            </w:pPr>
          </w:p>
        </w:tc>
        <w:tc>
          <w:tcPr>
            <w:tcW w:w="2826" w:type="dxa"/>
            <w:vMerge/>
            <w:tcBorders>
              <w:top w:val="nil"/>
              <w:bottom w:val="nil"/>
            </w:tcBorders>
          </w:tcPr>
          <w:p w14:paraId="5807CE80" w14:textId="77777777" w:rsidR="004758D0" w:rsidRPr="00576AF8" w:rsidRDefault="004758D0" w:rsidP="004758D0">
            <w:pPr>
              <w:ind w:left="360" w:hanging="360"/>
              <w:jc w:val="center"/>
              <w:rPr>
                <w:b/>
                <w:sz w:val="22"/>
                <w:szCs w:val="22"/>
              </w:rPr>
            </w:pPr>
          </w:p>
        </w:tc>
        <w:tc>
          <w:tcPr>
            <w:tcW w:w="1512" w:type="dxa"/>
            <w:vMerge w:val="restart"/>
          </w:tcPr>
          <w:p w14:paraId="3E89FAD0" w14:textId="77777777" w:rsidR="004758D0" w:rsidRPr="00576AF8" w:rsidRDefault="004758D0" w:rsidP="004758D0">
            <w:pPr>
              <w:spacing w:before="80"/>
              <w:jc w:val="center"/>
              <w:rPr>
                <w:b/>
                <w:sz w:val="22"/>
                <w:szCs w:val="22"/>
              </w:rPr>
            </w:pPr>
            <w:r w:rsidRPr="00576AF8">
              <w:rPr>
                <w:b/>
                <w:sz w:val="22"/>
              </w:rPr>
              <w:t>Entidad única</w:t>
            </w:r>
          </w:p>
        </w:tc>
        <w:tc>
          <w:tcPr>
            <w:tcW w:w="4536" w:type="dxa"/>
            <w:gridSpan w:val="3"/>
          </w:tcPr>
          <w:p w14:paraId="4E67DDC5" w14:textId="77777777" w:rsidR="004758D0" w:rsidRPr="00576AF8" w:rsidRDefault="004758D0" w:rsidP="004758D0">
            <w:pPr>
              <w:pStyle w:val="titulo"/>
              <w:spacing w:before="80" w:after="0"/>
              <w:rPr>
                <w:rFonts w:ascii="Times New Roman" w:hAnsi="Times New Roman"/>
                <w:sz w:val="22"/>
                <w:szCs w:val="22"/>
              </w:rPr>
            </w:pPr>
            <w:r w:rsidRPr="00576AF8">
              <w:rPr>
                <w:rFonts w:ascii="Times New Roman" w:hAnsi="Times New Roman"/>
                <w:sz w:val="22"/>
              </w:rPr>
              <w:t>APCA (existente o prevista)</w:t>
            </w:r>
          </w:p>
        </w:tc>
        <w:tc>
          <w:tcPr>
            <w:tcW w:w="1984" w:type="dxa"/>
            <w:vMerge/>
            <w:tcBorders>
              <w:bottom w:val="nil"/>
            </w:tcBorders>
          </w:tcPr>
          <w:p w14:paraId="01B3B11A" w14:textId="77777777" w:rsidR="004758D0" w:rsidRPr="00576AF8" w:rsidRDefault="004758D0" w:rsidP="004758D0">
            <w:pPr>
              <w:pStyle w:val="titulo"/>
              <w:spacing w:before="80" w:after="0"/>
              <w:rPr>
                <w:rFonts w:ascii="Times New Roman" w:hAnsi="Times New Roman"/>
                <w:sz w:val="20"/>
              </w:rPr>
            </w:pPr>
          </w:p>
        </w:tc>
      </w:tr>
      <w:tr w:rsidR="004758D0" w:rsidRPr="00576AF8" w14:paraId="032EA8EF" w14:textId="77777777" w:rsidTr="007A5089">
        <w:trPr>
          <w:cantSplit/>
          <w:tblHeader/>
        </w:trPr>
        <w:tc>
          <w:tcPr>
            <w:tcW w:w="2178" w:type="dxa"/>
            <w:vMerge/>
          </w:tcPr>
          <w:p w14:paraId="74B889D9" w14:textId="77777777" w:rsidR="004758D0" w:rsidRPr="00576AF8" w:rsidRDefault="004758D0" w:rsidP="004758D0">
            <w:pPr>
              <w:ind w:left="360" w:hanging="360"/>
              <w:rPr>
                <w:b/>
                <w:sz w:val="22"/>
                <w:szCs w:val="22"/>
              </w:rPr>
            </w:pPr>
          </w:p>
        </w:tc>
        <w:tc>
          <w:tcPr>
            <w:tcW w:w="2826" w:type="dxa"/>
            <w:vMerge/>
            <w:tcBorders>
              <w:top w:val="nil"/>
            </w:tcBorders>
          </w:tcPr>
          <w:p w14:paraId="668D3427" w14:textId="77777777" w:rsidR="004758D0" w:rsidRPr="00576AF8" w:rsidRDefault="004758D0" w:rsidP="004758D0">
            <w:pPr>
              <w:ind w:left="360" w:hanging="360"/>
              <w:rPr>
                <w:b/>
                <w:sz w:val="22"/>
                <w:szCs w:val="22"/>
              </w:rPr>
            </w:pPr>
          </w:p>
        </w:tc>
        <w:tc>
          <w:tcPr>
            <w:tcW w:w="1512" w:type="dxa"/>
            <w:vMerge/>
          </w:tcPr>
          <w:p w14:paraId="5216B2C7" w14:textId="77777777" w:rsidR="004758D0" w:rsidRPr="00576AF8" w:rsidRDefault="004758D0" w:rsidP="004758D0">
            <w:pPr>
              <w:rPr>
                <w:b/>
                <w:sz w:val="22"/>
                <w:szCs w:val="22"/>
              </w:rPr>
            </w:pPr>
          </w:p>
        </w:tc>
        <w:tc>
          <w:tcPr>
            <w:tcW w:w="1559" w:type="dxa"/>
            <w:tcBorders>
              <w:top w:val="nil"/>
            </w:tcBorders>
          </w:tcPr>
          <w:p w14:paraId="4BD56ABD" w14:textId="77777777" w:rsidR="004758D0" w:rsidRPr="00576AF8" w:rsidRDefault="004758D0" w:rsidP="007A5089">
            <w:pPr>
              <w:ind w:left="-152" w:right="-50"/>
              <w:jc w:val="center"/>
              <w:rPr>
                <w:b/>
                <w:spacing w:val="-2"/>
                <w:sz w:val="22"/>
                <w:szCs w:val="22"/>
              </w:rPr>
            </w:pPr>
            <w:r w:rsidRPr="00576AF8">
              <w:rPr>
                <w:b/>
                <w:spacing w:val="-2"/>
                <w:sz w:val="20"/>
              </w:rPr>
              <w:t>Todos los miembros conjuntamente</w:t>
            </w:r>
          </w:p>
        </w:tc>
        <w:tc>
          <w:tcPr>
            <w:tcW w:w="1559" w:type="dxa"/>
            <w:tcBorders>
              <w:top w:val="nil"/>
            </w:tcBorders>
          </w:tcPr>
          <w:p w14:paraId="556CA475" w14:textId="77777777" w:rsidR="004758D0" w:rsidRPr="00576AF8" w:rsidRDefault="004758D0" w:rsidP="004758D0">
            <w:pPr>
              <w:pStyle w:val="titulo"/>
              <w:spacing w:after="0"/>
              <w:rPr>
                <w:rFonts w:ascii="Times New Roman" w:hAnsi="Times New Roman"/>
                <w:sz w:val="22"/>
                <w:szCs w:val="22"/>
              </w:rPr>
            </w:pPr>
            <w:r w:rsidRPr="00576AF8">
              <w:rPr>
                <w:rFonts w:ascii="Times New Roman" w:hAnsi="Times New Roman"/>
                <w:sz w:val="22"/>
              </w:rPr>
              <w:t>Cada miembro</w:t>
            </w:r>
          </w:p>
        </w:tc>
        <w:tc>
          <w:tcPr>
            <w:tcW w:w="1418" w:type="dxa"/>
            <w:tcBorders>
              <w:top w:val="nil"/>
            </w:tcBorders>
          </w:tcPr>
          <w:p w14:paraId="43EE0780" w14:textId="77777777" w:rsidR="004758D0" w:rsidRPr="00576AF8" w:rsidRDefault="004758D0" w:rsidP="004758D0">
            <w:pPr>
              <w:jc w:val="center"/>
              <w:rPr>
                <w:b/>
                <w:sz w:val="22"/>
                <w:szCs w:val="22"/>
              </w:rPr>
            </w:pPr>
            <w:r w:rsidRPr="00576AF8">
              <w:rPr>
                <w:b/>
                <w:sz w:val="22"/>
              </w:rPr>
              <w:t xml:space="preserve">Al menos </w:t>
            </w:r>
            <w:r w:rsidR="007A5089" w:rsidRPr="00576AF8">
              <w:rPr>
                <w:b/>
                <w:sz w:val="22"/>
              </w:rPr>
              <w:br/>
            </w:r>
            <w:r w:rsidRPr="00576AF8">
              <w:rPr>
                <w:b/>
                <w:sz w:val="22"/>
              </w:rPr>
              <w:t>un miembro</w:t>
            </w:r>
          </w:p>
        </w:tc>
        <w:tc>
          <w:tcPr>
            <w:tcW w:w="1984" w:type="dxa"/>
            <w:vMerge/>
            <w:tcBorders>
              <w:top w:val="nil"/>
            </w:tcBorders>
          </w:tcPr>
          <w:p w14:paraId="1DA2A207" w14:textId="77777777" w:rsidR="004758D0" w:rsidRPr="00576AF8" w:rsidRDefault="004758D0" w:rsidP="004758D0">
            <w:pPr>
              <w:rPr>
                <w:b/>
                <w:sz w:val="20"/>
              </w:rPr>
            </w:pPr>
          </w:p>
        </w:tc>
      </w:tr>
      <w:tr w:rsidR="004758D0" w:rsidRPr="00576AF8" w14:paraId="37257D5B" w14:textId="77777777" w:rsidTr="007A5089">
        <w:trPr>
          <w:cantSplit/>
        </w:trPr>
        <w:tc>
          <w:tcPr>
            <w:tcW w:w="2178" w:type="dxa"/>
          </w:tcPr>
          <w:p w14:paraId="301389C1" w14:textId="77777777" w:rsidR="004758D0" w:rsidRPr="00576AF8" w:rsidRDefault="00F117C1" w:rsidP="00746BDA">
            <w:pPr>
              <w:keepNext/>
              <w:keepLines/>
              <w:tabs>
                <w:tab w:val="left" w:pos="589"/>
              </w:tabs>
              <w:spacing w:before="60"/>
              <w:jc w:val="left"/>
              <w:outlineLvl w:val="4"/>
              <w:rPr>
                <w:sz w:val="20"/>
              </w:rPr>
            </w:pPr>
            <w:bookmarkStart w:id="361" w:name="_Toc496968117"/>
            <w:bookmarkStart w:id="362" w:name="_Toc445567357"/>
            <w:r w:rsidRPr="00576AF8">
              <w:rPr>
                <w:sz w:val="20"/>
              </w:rPr>
              <w:t>6</w:t>
            </w:r>
            <w:r w:rsidR="004758D0" w:rsidRPr="00576AF8">
              <w:rPr>
                <w:sz w:val="20"/>
              </w:rPr>
              <w:t>.1.1</w:t>
            </w:r>
            <w:r w:rsidR="007A5089" w:rsidRPr="00576AF8">
              <w:rPr>
                <w:sz w:val="20"/>
              </w:rPr>
              <w:tab/>
            </w:r>
            <w:r w:rsidR="004758D0" w:rsidRPr="00576AF8">
              <w:rPr>
                <w:sz w:val="20"/>
              </w:rPr>
              <w:t>Nacionalidad</w:t>
            </w:r>
            <w:bookmarkEnd w:id="361"/>
            <w:bookmarkEnd w:id="362"/>
            <w:r w:rsidR="004758D0" w:rsidRPr="00576AF8">
              <w:rPr>
                <w:sz w:val="20"/>
              </w:rPr>
              <w:t xml:space="preserve"> </w:t>
            </w:r>
          </w:p>
        </w:tc>
        <w:tc>
          <w:tcPr>
            <w:tcW w:w="2826" w:type="dxa"/>
          </w:tcPr>
          <w:p w14:paraId="78987C0A" w14:textId="77777777" w:rsidR="004758D0" w:rsidRPr="00576AF8" w:rsidRDefault="004758D0" w:rsidP="004758D0">
            <w:pPr>
              <w:pStyle w:val="Sangradetextonormal"/>
              <w:spacing w:before="60" w:after="60"/>
              <w:ind w:left="0"/>
              <w:jc w:val="left"/>
              <w:rPr>
                <w:sz w:val="20"/>
              </w:rPr>
            </w:pPr>
            <w:r w:rsidRPr="00576AF8">
              <w:rPr>
                <w:sz w:val="20"/>
              </w:rPr>
              <w:t>Nacionalidad según la IAL 4.</w:t>
            </w:r>
            <w:r w:rsidR="00B96A84" w:rsidRPr="00576AF8">
              <w:rPr>
                <w:sz w:val="20"/>
              </w:rPr>
              <w:t>1</w:t>
            </w:r>
            <w:r w:rsidRPr="00576AF8">
              <w:rPr>
                <w:sz w:val="20"/>
              </w:rPr>
              <w:t xml:space="preserve">. </w:t>
            </w:r>
          </w:p>
        </w:tc>
        <w:tc>
          <w:tcPr>
            <w:tcW w:w="1512" w:type="dxa"/>
          </w:tcPr>
          <w:p w14:paraId="0CDB950E" w14:textId="77777777" w:rsidR="004758D0" w:rsidRPr="00576AF8" w:rsidRDefault="004758D0" w:rsidP="004758D0">
            <w:pPr>
              <w:spacing w:before="60" w:after="60"/>
              <w:jc w:val="left"/>
              <w:rPr>
                <w:sz w:val="20"/>
              </w:rPr>
            </w:pPr>
            <w:r w:rsidRPr="00576AF8">
              <w:rPr>
                <w:sz w:val="20"/>
              </w:rPr>
              <w:t>Debe cumplir con el requisito.</w:t>
            </w:r>
          </w:p>
        </w:tc>
        <w:tc>
          <w:tcPr>
            <w:tcW w:w="1559" w:type="dxa"/>
          </w:tcPr>
          <w:p w14:paraId="5EF1F2A8" w14:textId="77777777" w:rsidR="004758D0" w:rsidRPr="00576AF8" w:rsidRDefault="004758D0" w:rsidP="004758D0">
            <w:pPr>
              <w:spacing w:before="60" w:after="60"/>
              <w:jc w:val="left"/>
              <w:rPr>
                <w:sz w:val="20"/>
              </w:rPr>
            </w:pPr>
            <w:r w:rsidRPr="00576AF8">
              <w:rPr>
                <w:sz w:val="20"/>
              </w:rPr>
              <w:t>Debe cumplir con el requisito.</w:t>
            </w:r>
          </w:p>
        </w:tc>
        <w:tc>
          <w:tcPr>
            <w:tcW w:w="1559" w:type="dxa"/>
          </w:tcPr>
          <w:p w14:paraId="02F6F632" w14:textId="77777777" w:rsidR="004758D0" w:rsidRPr="00576AF8" w:rsidRDefault="004758D0" w:rsidP="004758D0">
            <w:pPr>
              <w:spacing w:before="60" w:after="60"/>
              <w:jc w:val="left"/>
              <w:rPr>
                <w:sz w:val="20"/>
              </w:rPr>
            </w:pPr>
            <w:r w:rsidRPr="00576AF8">
              <w:rPr>
                <w:sz w:val="20"/>
              </w:rPr>
              <w:t>Debe cumplir con el requisito.</w:t>
            </w:r>
          </w:p>
        </w:tc>
        <w:tc>
          <w:tcPr>
            <w:tcW w:w="1418" w:type="dxa"/>
          </w:tcPr>
          <w:p w14:paraId="574F8380" w14:textId="77777777" w:rsidR="004758D0" w:rsidRPr="00576AF8" w:rsidRDefault="004758D0" w:rsidP="004758D0">
            <w:pPr>
              <w:spacing w:before="60" w:after="60"/>
              <w:jc w:val="center"/>
              <w:rPr>
                <w:sz w:val="20"/>
              </w:rPr>
            </w:pPr>
            <w:r w:rsidRPr="00576AF8">
              <w:rPr>
                <w:sz w:val="20"/>
              </w:rPr>
              <w:t>N/C</w:t>
            </w:r>
          </w:p>
        </w:tc>
        <w:tc>
          <w:tcPr>
            <w:tcW w:w="1984" w:type="dxa"/>
          </w:tcPr>
          <w:p w14:paraId="2074AD35" w14:textId="77777777" w:rsidR="004758D0" w:rsidRPr="00576AF8" w:rsidRDefault="004758D0">
            <w:pPr>
              <w:spacing w:before="60" w:after="60"/>
              <w:jc w:val="center"/>
              <w:rPr>
                <w:sz w:val="20"/>
              </w:rPr>
            </w:pPr>
            <w:r w:rsidRPr="00576AF8">
              <w:rPr>
                <w:sz w:val="20"/>
              </w:rPr>
              <w:t xml:space="preserve">Formularios </w:t>
            </w:r>
            <w:r w:rsidR="007A5089" w:rsidRPr="00576AF8">
              <w:rPr>
                <w:sz w:val="20"/>
              </w:rPr>
              <w:br/>
            </w:r>
            <w:r w:rsidRPr="00576AF8">
              <w:rPr>
                <w:sz w:val="20"/>
              </w:rPr>
              <w:t xml:space="preserve">ELI </w:t>
            </w:r>
            <w:r w:rsidR="00C55426" w:rsidRPr="00576AF8">
              <w:rPr>
                <w:sz w:val="20"/>
              </w:rPr>
              <w:t>5</w:t>
            </w:r>
            <w:r w:rsidRPr="00576AF8">
              <w:rPr>
                <w:sz w:val="20"/>
              </w:rPr>
              <w:t xml:space="preserve">.1.1 y </w:t>
            </w:r>
            <w:r w:rsidR="00C55426" w:rsidRPr="00576AF8">
              <w:rPr>
                <w:sz w:val="20"/>
              </w:rPr>
              <w:t>5</w:t>
            </w:r>
            <w:r w:rsidRPr="00576AF8">
              <w:rPr>
                <w:sz w:val="20"/>
              </w:rPr>
              <w:t xml:space="preserve">.1.2, </w:t>
            </w:r>
            <w:r w:rsidR="007A5089" w:rsidRPr="00576AF8">
              <w:rPr>
                <w:sz w:val="20"/>
              </w:rPr>
              <w:br/>
            </w:r>
            <w:r w:rsidRPr="00576AF8">
              <w:rPr>
                <w:sz w:val="20"/>
              </w:rPr>
              <w:t>con archivos adjuntos</w:t>
            </w:r>
          </w:p>
        </w:tc>
      </w:tr>
      <w:tr w:rsidR="004758D0" w:rsidRPr="00576AF8" w14:paraId="1FE7221E" w14:textId="77777777" w:rsidTr="007A5089">
        <w:trPr>
          <w:cantSplit/>
        </w:trPr>
        <w:tc>
          <w:tcPr>
            <w:tcW w:w="2178" w:type="dxa"/>
          </w:tcPr>
          <w:p w14:paraId="3446E141" w14:textId="77777777" w:rsidR="004758D0" w:rsidRPr="00576AF8" w:rsidRDefault="00F117C1" w:rsidP="00746BDA">
            <w:pPr>
              <w:keepNext/>
              <w:keepLines/>
              <w:tabs>
                <w:tab w:val="left" w:pos="589"/>
              </w:tabs>
              <w:spacing w:before="60"/>
              <w:jc w:val="left"/>
              <w:outlineLvl w:val="4"/>
              <w:rPr>
                <w:sz w:val="20"/>
              </w:rPr>
            </w:pPr>
            <w:bookmarkStart w:id="363" w:name="_Toc445567358"/>
            <w:r w:rsidRPr="00576AF8">
              <w:rPr>
                <w:sz w:val="20"/>
              </w:rPr>
              <w:t>6</w:t>
            </w:r>
            <w:r w:rsidR="004758D0" w:rsidRPr="00576AF8">
              <w:rPr>
                <w:sz w:val="20"/>
              </w:rPr>
              <w:t>.1.2</w:t>
            </w:r>
            <w:r w:rsidR="007A5089" w:rsidRPr="00576AF8">
              <w:rPr>
                <w:sz w:val="20"/>
              </w:rPr>
              <w:tab/>
            </w:r>
            <w:r w:rsidR="004758D0" w:rsidRPr="00576AF8">
              <w:rPr>
                <w:sz w:val="20"/>
              </w:rPr>
              <w:t>Conflicto de intereses</w:t>
            </w:r>
            <w:bookmarkEnd w:id="363"/>
          </w:p>
        </w:tc>
        <w:tc>
          <w:tcPr>
            <w:tcW w:w="2826" w:type="dxa"/>
          </w:tcPr>
          <w:p w14:paraId="1E3C423F" w14:textId="77777777" w:rsidR="004758D0" w:rsidRPr="00576AF8" w:rsidRDefault="004758D0" w:rsidP="004758D0">
            <w:pPr>
              <w:pStyle w:val="Sangradetextonormal"/>
              <w:spacing w:before="60" w:after="60"/>
              <w:ind w:left="0"/>
              <w:jc w:val="left"/>
              <w:rPr>
                <w:sz w:val="20"/>
              </w:rPr>
            </w:pPr>
            <w:r w:rsidRPr="00576AF8">
              <w:rPr>
                <w:sz w:val="20"/>
              </w:rPr>
              <w:t xml:space="preserve">Ausencia de conflictos de intereses de conformidad con </w:t>
            </w:r>
            <w:r w:rsidR="007A5089" w:rsidRPr="00576AF8">
              <w:rPr>
                <w:sz w:val="20"/>
              </w:rPr>
              <w:br/>
            </w:r>
            <w:r w:rsidRPr="00576AF8">
              <w:rPr>
                <w:sz w:val="20"/>
              </w:rPr>
              <w:t>la IAL 4.2.</w:t>
            </w:r>
          </w:p>
        </w:tc>
        <w:tc>
          <w:tcPr>
            <w:tcW w:w="1512" w:type="dxa"/>
          </w:tcPr>
          <w:p w14:paraId="08C6373E" w14:textId="77777777" w:rsidR="004758D0" w:rsidRPr="00576AF8" w:rsidRDefault="004758D0" w:rsidP="004758D0">
            <w:pPr>
              <w:spacing w:before="60" w:after="60"/>
              <w:jc w:val="left"/>
              <w:rPr>
                <w:sz w:val="20"/>
              </w:rPr>
            </w:pPr>
            <w:r w:rsidRPr="00576AF8">
              <w:rPr>
                <w:sz w:val="20"/>
              </w:rPr>
              <w:t>Debe cumplir con el requisito.</w:t>
            </w:r>
          </w:p>
        </w:tc>
        <w:tc>
          <w:tcPr>
            <w:tcW w:w="1559" w:type="dxa"/>
          </w:tcPr>
          <w:p w14:paraId="3741FC86" w14:textId="77777777" w:rsidR="004758D0" w:rsidRPr="00576AF8" w:rsidRDefault="004758D0" w:rsidP="004758D0">
            <w:pPr>
              <w:spacing w:before="60" w:after="60"/>
              <w:jc w:val="left"/>
              <w:rPr>
                <w:sz w:val="20"/>
              </w:rPr>
            </w:pPr>
            <w:r w:rsidRPr="00576AF8">
              <w:rPr>
                <w:sz w:val="20"/>
              </w:rPr>
              <w:t>Debe cumplir con el requisito.</w:t>
            </w:r>
          </w:p>
        </w:tc>
        <w:tc>
          <w:tcPr>
            <w:tcW w:w="1559" w:type="dxa"/>
          </w:tcPr>
          <w:p w14:paraId="79816097" w14:textId="77777777" w:rsidR="004758D0" w:rsidRPr="00576AF8" w:rsidRDefault="004758D0" w:rsidP="004758D0">
            <w:pPr>
              <w:spacing w:before="60" w:after="60"/>
              <w:jc w:val="left"/>
              <w:rPr>
                <w:sz w:val="20"/>
              </w:rPr>
            </w:pPr>
            <w:r w:rsidRPr="00576AF8">
              <w:rPr>
                <w:sz w:val="20"/>
              </w:rPr>
              <w:t>Debe cumplir con el requisito.</w:t>
            </w:r>
          </w:p>
        </w:tc>
        <w:tc>
          <w:tcPr>
            <w:tcW w:w="1418" w:type="dxa"/>
          </w:tcPr>
          <w:p w14:paraId="73637EBB" w14:textId="77777777" w:rsidR="004758D0" w:rsidRPr="00576AF8" w:rsidRDefault="004758D0" w:rsidP="004758D0">
            <w:pPr>
              <w:spacing w:before="60" w:after="60"/>
              <w:jc w:val="center"/>
              <w:rPr>
                <w:sz w:val="20"/>
              </w:rPr>
            </w:pPr>
            <w:r w:rsidRPr="00576AF8">
              <w:rPr>
                <w:sz w:val="20"/>
              </w:rPr>
              <w:t>N/C</w:t>
            </w:r>
          </w:p>
        </w:tc>
        <w:tc>
          <w:tcPr>
            <w:tcW w:w="1984" w:type="dxa"/>
          </w:tcPr>
          <w:p w14:paraId="4B01D221" w14:textId="77777777" w:rsidR="004758D0" w:rsidRPr="00576AF8" w:rsidRDefault="004758D0" w:rsidP="004758D0">
            <w:pPr>
              <w:spacing w:before="60" w:after="60"/>
              <w:jc w:val="center"/>
              <w:rPr>
                <w:sz w:val="20"/>
              </w:rPr>
            </w:pPr>
            <w:r w:rsidRPr="00576AF8">
              <w:rPr>
                <w:sz w:val="20"/>
              </w:rPr>
              <w:t>Carta de la Oferta</w:t>
            </w:r>
          </w:p>
        </w:tc>
      </w:tr>
      <w:tr w:rsidR="008A761F" w:rsidRPr="00576AF8" w14:paraId="194F83CB" w14:textId="77777777" w:rsidTr="007A5089">
        <w:trPr>
          <w:cantSplit/>
        </w:trPr>
        <w:tc>
          <w:tcPr>
            <w:tcW w:w="2178" w:type="dxa"/>
          </w:tcPr>
          <w:p w14:paraId="0114A27B" w14:textId="77777777" w:rsidR="008A761F" w:rsidRPr="00576AF8" w:rsidRDefault="00F117C1" w:rsidP="008A761F">
            <w:pPr>
              <w:keepNext/>
              <w:keepLines/>
              <w:tabs>
                <w:tab w:val="left" w:pos="589"/>
              </w:tabs>
              <w:spacing w:before="60"/>
              <w:jc w:val="left"/>
              <w:outlineLvl w:val="4"/>
              <w:rPr>
                <w:sz w:val="20"/>
              </w:rPr>
            </w:pPr>
            <w:bookmarkStart w:id="364" w:name="_Toc445567359"/>
            <w:r w:rsidRPr="00576AF8">
              <w:rPr>
                <w:sz w:val="20"/>
              </w:rPr>
              <w:t>6</w:t>
            </w:r>
            <w:r w:rsidR="008A761F" w:rsidRPr="00576AF8">
              <w:rPr>
                <w:sz w:val="20"/>
              </w:rPr>
              <w:t>.1.3</w:t>
            </w:r>
            <w:r w:rsidR="008A761F" w:rsidRPr="00576AF8">
              <w:rPr>
                <w:sz w:val="20"/>
              </w:rPr>
              <w:tab/>
              <w:t>Inelegibilidad establecida por el Banco</w:t>
            </w:r>
            <w:bookmarkEnd w:id="364"/>
          </w:p>
        </w:tc>
        <w:tc>
          <w:tcPr>
            <w:tcW w:w="2826" w:type="dxa"/>
          </w:tcPr>
          <w:p w14:paraId="0FAA0A66" w14:textId="77777777" w:rsidR="008A761F" w:rsidRPr="00576AF8" w:rsidRDefault="008A761F" w:rsidP="008A761F">
            <w:pPr>
              <w:pStyle w:val="Sangradetextonormal"/>
              <w:spacing w:before="60" w:after="60"/>
              <w:ind w:left="0"/>
              <w:jc w:val="left"/>
              <w:rPr>
                <w:sz w:val="20"/>
              </w:rPr>
            </w:pPr>
            <w:bookmarkStart w:id="365" w:name="_Toc325722816"/>
            <w:r w:rsidRPr="00576AF8">
              <w:rPr>
                <w:sz w:val="22"/>
                <w:szCs w:val="22"/>
              </w:rPr>
              <w:t>No estar en la lista de partes sancionadas por el Banco, de conformidad con IAL 4.</w:t>
            </w:r>
            <w:bookmarkEnd w:id="365"/>
            <w:r w:rsidRPr="00576AF8">
              <w:rPr>
                <w:sz w:val="22"/>
                <w:szCs w:val="22"/>
              </w:rPr>
              <w:t xml:space="preserve">3 </w:t>
            </w:r>
          </w:p>
        </w:tc>
        <w:tc>
          <w:tcPr>
            <w:tcW w:w="1512" w:type="dxa"/>
          </w:tcPr>
          <w:p w14:paraId="095DAA00" w14:textId="77777777" w:rsidR="008A761F" w:rsidRPr="00576AF8" w:rsidRDefault="008A761F" w:rsidP="008A761F">
            <w:pPr>
              <w:spacing w:before="60" w:after="60"/>
              <w:jc w:val="left"/>
              <w:rPr>
                <w:sz w:val="20"/>
              </w:rPr>
            </w:pPr>
            <w:r w:rsidRPr="00576AF8">
              <w:rPr>
                <w:sz w:val="20"/>
              </w:rPr>
              <w:t>Debe cumplir con el requisito.</w:t>
            </w:r>
          </w:p>
        </w:tc>
        <w:tc>
          <w:tcPr>
            <w:tcW w:w="1559" w:type="dxa"/>
          </w:tcPr>
          <w:p w14:paraId="694F70CA" w14:textId="77777777" w:rsidR="008A761F" w:rsidRPr="00576AF8" w:rsidRDefault="008A761F" w:rsidP="008A761F">
            <w:pPr>
              <w:spacing w:before="60" w:after="60"/>
              <w:jc w:val="left"/>
              <w:rPr>
                <w:sz w:val="20"/>
              </w:rPr>
            </w:pPr>
            <w:r w:rsidRPr="00576AF8">
              <w:rPr>
                <w:sz w:val="20"/>
              </w:rPr>
              <w:t>Debe cumplir con el requisito.</w:t>
            </w:r>
          </w:p>
        </w:tc>
        <w:tc>
          <w:tcPr>
            <w:tcW w:w="1559" w:type="dxa"/>
          </w:tcPr>
          <w:p w14:paraId="27A6F314" w14:textId="77777777" w:rsidR="008A761F" w:rsidRPr="00576AF8" w:rsidRDefault="008A761F" w:rsidP="008A761F">
            <w:pPr>
              <w:spacing w:before="60" w:after="60"/>
              <w:jc w:val="left"/>
              <w:rPr>
                <w:sz w:val="20"/>
              </w:rPr>
            </w:pPr>
            <w:r w:rsidRPr="00576AF8">
              <w:rPr>
                <w:sz w:val="20"/>
              </w:rPr>
              <w:t xml:space="preserve">Debe cumplir con el requisito. </w:t>
            </w:r>
          </w:p>
        </w:tc>
        <w:tc>
          <w:tcPr>
            <w:tcW w:w="1418" w:type="dxa"/>
          </w:tcPr>
          <w:p w14:paraId="4AC80175" w14:textId="77777777" w:rsidR="008A761F" w:rsidRPr="00576AF8" w:rsidRDefault="008A761F" w:rsidP="008A761F">
            <w:pPr>
              <w:spacing w:before="60" w:after="60"/>
              <w:jc w:val="center"/>
              <w:rPr>
                <w:sz w:val="20"/>
              </w:rPr>
            </w:pPr>
            <w:r w:rsidRPr="00576AF8">
              <w:rPr>
                <w:sz w:val="20"/>
              </w:rPr>
              <w:t>N/C</w:t>
            </w:r>
          </w:p>
        </w:tc>
        <w:tc>
          <w:tcPr>
            <w:tcW w:w="1984" w:type="dxa"/>
          </w:tcPr>
          <w:p w14:paraId="75ECD25F" w14:textId="77777777" w:rsidR="008A761F" w:rsidRPr="00576AF8" w:rsidRDefault="008A761F" w:rsidP="008A761F">
            <w:pPr>
              <w:spacing w:before="60" w:after="60"/>
              <w:jc w:val="center"/>
              <w:rPr>
                <w:sz w:val="20"/>
              </w:rPr>
            </w:pPr>
            <w:r w:rsidRPr="00576AF8">
              <w:rPr>
                <w:sz w:val="20"/>
              </w:rPr>
              <w:t>Carta de la Oferta</w:t>
            </w:r>
          </w:p>
        </w:tc>
      </w:tr>
      <w:tr w:rsidR="008A761F" w:rsidRPr="00576AF8" w14:paraId="3B30E366" w14:textId="77777777" w:rsidTr="007A5089">
        <w:trPr>
          <w:cantSplit/>
        </w:trPr>
        <w:tc>
          <w:tcPr>
            <w:tcW w:w="2178" w:type="dxa"/>
          </w:tcPr>
          <w:p w14:paraId="1A7FD133" w14:textId="77777777" w:rsidR="008A761F" w:rsidRPr="00576AF8" w:rsidRDefault="00F117C1" w:rsidP="008A761F">
            <w:pPr>
              <w:keepNext/>
              <w:keepLines/>
              <w:tabs>
                <w:tab w:val="left" w:pos="589"/>
              </w:tabs>
              <w:spacing w:before="60"/>
              <w:jc w:val="left"/>
              <w:outlineLvl w:val="4"/>
              <w:rPr>
                <w:sz w:val="20"/>
              </w:rPr>
            </w:pPr>
            <w:bookmarkStart w:id="366" w:name="_Toc445567360"/>
            <w:r w:rsidRPr="00576AF8">
              <w:rPr>
                <w:sz w:val="20"/>
              </w:rPr>
              <w:t>6</w:t>
            </w:r>
            <w:r w:rsidR="008A761F" w:rsidRPr="00576AF8">
              <w:rPr>
                <w:sz w:val="20"/>
              </w:rPr>
              <w:t>.1.4</w:t>
            </w:r>
            <w:r w:rsidR="008A761F" w:rsidRPr="00576AF8">
              <w:rPr>
                <w:sz w:val="20"/>
              </w:rPr>
              <w:tab/>
              <w:t>Entidad de propiedad estatal</w:t>
            </w:r>
            <w:bookmarkEnd w:id="366"/>
            <w:r w:rsidR="008A761F" w:rsidRPr="00576AF8">
              <w:rPr>
                <w:sz w:val="20"/>
              </w:rPr>
              <w:t xml:space="preserve"> del país del Prestatario</w:t>
            </w:r>
          </w:p>
        </w:tc>
        <w:tc>
          <w:tcPr>
            <w:tcW w:w="2826" w:type="dxa"/>
          </w:tcPr>
          <w:p w14:paraId="34894BD3" w14:textId="77777777" w:rsidR="008A761F" w:rsidRPr="00576AF8" w:rsidRDefault="008A761F" w:rsidP="008A761F">
            <w:pPr>
              <w:pStyle w:val="Sangradetextonormal"/>
              <w:spacing w:before="60" w:after="60"/>
              <w:ind w:left="0"/>
              <w:jc w:val="left"/>
              <w:rPr>
                <w:sz w:val="20"/>
              </w:rPr>
            </w:pPr>
            <w:r w:rsidRPr="00576AF8">
              <w:rPr>
                <w:sz w:val="20"/>
              </w:rPr>
              <w:t>Cumplimiento de las condiciones de la IAL 4.4.</w:t>
            </w:r>
          </w:p>
        </w:tc>
        <w:tc>
          <w:tcPr>
            <w:tcW w:w="1512" w:type="dxa"/>
            <w:vAlign w:val="center"/>
          </w:tcPr>
          <w:p w14:paraId="122E9D45" w14:textId="77777777" w:rsidR="008A761F" w:rsidRPr="00576AF8" w:rsidRDefault="008A761F" w:rsidP="008A761F">
            <w:pPr>
              <w:spacing w:before="60" w:after="60"/>
              <w:jc w:val="left"/>
              <w:rPr>
                <w:sz w:val="20"/>
              </w:rPr>
            </w:pPr>
            <w:r w:rsidRPr="00576AF8">
              <w:rPr>
                <w:sz w:val="20"/>
              </w:rPr>
              <w:t>Debe cumplir con el requisito.</w:t>
            </w:r>
          </w:p>
        </w:tc>
        <w:tc>
          <w:tcPr>
            <w:tcW w:w="1559" w:type="dxa"/>
            <w:vAlign w:val="center"/>
          </w:tcPr>
          <w:p w14:paraId="21541BB6" w14:textId="77777777" w:rsidR="008A761F" w:rsidRPr="00576AF8" w:rsidRDefault="008A761F" w:rsidP="008A761F">
            <w:pPr>
              <w:spacing w:before="60" w:after="60"/>
              <w:jc w:val="left"/>
              <w:rPr>
                <w:sz w:val="20"/>
              </w:rPr>
            </w:pPr>
            <w:r w:rsidRPr="00576AF8">
              <w:rPr>
                <w:sz w:val="20"/>
              </w:rPr>
              <w:t>Debe cumplir con el requisito.</w:t>
            </w:r>
          </w:p>
        </w:tc>
        <w:tc>
          <w:tcPr>
            <w:tcW w:w="1559" w:type="dxa"/>
            <w:vAlign w:val="center"/>
          </w:tcPr>
          <w:p w14:paraId="32B7DF13" w14:textId="77777777" w:rsidR="008A761F" w:rsidRPr="00576AF8" w:rsidRDefault="008A761F" w:rsidP="008A761F">
            <w:pPr>
              <w:spacing w:before="60" w:after="60"/>
              <w:jc w:val="left"/>
              <w:rPr>
                <w:sz w:val="20"/>
              </w:rPr>
            </w:pPr>
            <w:r w:rsidRPr="00576AF8">
              <w:rPr>
                <w:sz w:val="20"/>
              </w:rPr>
              <w:t>Debe cumplir con el requisito.</w:t>
            </w:r>
          </w:p>
        </w:tc>
        <w:tc>
          <w:tcPr>
            <w:tcW w:w="1418" w:type="dxa"/>
            <w:vAlign w:val="center"/>
          </w:tcPr>
          <w:p w14:paraId="52F59A18" w14:textId="77777777" w:rsidR="008A761F" w:rsidRPr="00576AF8" w:rsidRDefault="008A761F" w:rsidP="008A761F">
            <w:pPr>
              <w:spacing w:before="60" w:after="60"/>
              <w:jc w:val="center"/>
              <w:rPr>
                <w:sz w:val="20"/>
              </w:rPr>
            </w:pPr>
            <w:r w:rsidRPr="00576AF8">
              <w:rPr>
                <w:sz w:val="20"/>
              </w:rPr>
              <w:t>N/C</w:t>
            </w:r>
          </w:p>
        </w:tc>
        <w:tc>
          <w:tcPr>
            <w:tcW w:w="1984" w:type="dxa"/>
          </w:tcPr>
          <w:p w14:paraId="33255B6B" w14:textId="77777777" w:rsidR="008A761F" w:rsidRPr="00576AF8" w:rsidRDefault="008A761F" w:rsidP="008A761F">
            <w:pPr>
              <w:spacing w:before="60" w:after="60"/>
              <w:jc w:val="center"/>
              <w:rPr>
                <w:sz w:val="20"/>
              </w:rPr>
            </w:pPr>
            <w:r w:rsidRPr="00576AF8">
              <w:rPr>
                <w:sz w:val="20"/>
              </w:rPr>
              <w:t xml:space="preserve">Formularios </w:t>
            </w:r>
            <w:r w:rsidRPr="00576AF8">
              <w:rPr>
                <w:sz w:val="20"/>
              </w:rPr>
              <w:br/>
              <w:t xml:space="preserve">ELI 5.1.1 y 5.1.2, </w:t>
            </w:r>
            <w:r w:rsidRPr="00576AF8">
              <w:rPr>
                <w:sz w:val="20"/>
              </w:rPr>
              <w:br/>
              <w:t>con archivos adjuntos</w:t>
            </w:r>
          </w:p>
        </w:tc>
      </w:tr>
      <w:tr w:rsidR="008A761F" w:rsidRPr="00576AF8" w14:paraId="58BAE493" w14:textId="77777777" w:rsidTr="007A5089">
        <w:trPr>
          <w:cantSplit/>
        </w:trPr>
        <w:tc>
          <w:tcPr>
            <w:tcW w:w="2178" w:type="dxa"/>
          </w:tcPr>
          <w:p w14:paraId="5D909D7D" w14:textId="77777777" w:rsidR="008A761F" w:rsidRPr="00576AF8" w:rsidRDefault="00F117C1" w:rsidP="008A761F">
            <w:pPr>
              <w:keepNext/>
              <w:keepLines/>
              <w:tabs>
                <w:tab w:val="left" w:pos="589"/>
              </w:tabs>
              <w:spacing w:before="240"/>
              <w:jc w:val="left"/>
              <w:outlineLvl w:val="4"/>
              <w:rPr>
                <w:sz w:val="20"/>
              </w:rPr>
            </w:pPr>
            <w:bookmarkStart w:id="367" w:name="_Toc445567361"/>
            <w:r w:rsidRPr="00576AF8">
              <w:rPr>
                <w:sz w:val="20"/>
              </w:rPr>
              <w:t>6</w:t>
            </w:r>
            <w:r w:rsidR="008A761F" w:rsidRPr="00576AF8">
              <w:rPr>
                <w:sz w:val="20"/>
              </w:rPr>
              <w:t>.1.5</w:t>
            </w:r>
            <w:r w:rsidR="008A761F" w:rsidRPr="00576AF8">
              <w:rPr>
                <w:sz w:val="20"/>
              </w:rPr>
              <w:tab/>
              <w:t xml:space="preserve">Resolución de las Naciones Unidas </w:t>
            </w:r>
            <w:r w:rsidR="008A761F" w:rsidRPr="00576AF8">
              <w:rPr>
                <w:sz w:val="20"/>
              </w:rPr>
              <w:br/>
              <w:t>o ley del país del Prestatario</w:t>
            </w:r>
            <w:bookmarkEnd w:id="367"/>
            <w:r w:rsidR="008A761F" w:rsidRPr="00576AF8">
              <w:rPr>
                <w:sz w:val="20"/>
              </w:rPr>
              <w:t xml:space="preserve"> </w:t>
            </w:r>
          </w:p>
        </w:tc>
        <w:tc>
          <w:tcPr>
            <w:tcW w:w="2826" w:type="dxa"/>
          </w:tcPr>
          <w:p w14:paraId="0FF6B1A9" w14:textId="77777777" w:rsidR="008A761F" w:rsidRPr="00576AF8" w:rsidRDefault="008A761F" w:rsidP="008A761F">
            <w:pPr>
              <w:pStyle w:val="Sangradetextonormal"/>
              <w:spacing w:before="60" w:after="60"/>
              <w:ind w:left="0"/>
              <w:jc w:val="left"/>
              <w:rPr>
                <w:sz w:val="20"/>
              </w:rPr>
            </w:pPr>
            <w:r w:rsidRPr="00576AF8">
              <w:rPr>
                <w:sz w:val="20"/>
              </w:rPr>
              <w:t xml:space="preserve">No haber sido excluido como resultado de </w:t>
            </w:r>
            <w:r w:rsidR="003E704C" w:rsidRPr="00576AF8">
              <w:rPr>
                <w:sz w:val="20"/>
              </w:rPr>
              <w:t xml:space="preserve">(i) </w:t>
            </w:r>
            <w:r w:rsidRPr="00576AF8">
              <w:rPr>
                <w:sz w:val="20"/>
              </w:rPr>
              <w:t xml:space="preserve">la prohibición, establecida en las leyes o las regulaciones oficiales del país del Prestatario, de mantener relaciones comerciales con el país del Licitante, o </w:t>
            </w:r>
            <w:r w:rsidR="003E704C" w:rsidRPr="00576AF8">
              <w:rPr>
                <w:sz w:val="20"/>
              </w:rPr>
              <w:t xml:space="preserve">(ii) </w:t>
            </w:r>
            <w:r w:rsidRPr="00576AF8">
              <w:rPr>
                <w:sz w:val="20"/>
              </w:rPr>
              <w:t>en cumplimiento de una resolución del Consejo de Seguridad de las Naciones Unidas, en ambos casos de conformidad con la IAL 4.1 (a) y (b).</w:t>
            </w:r>
          </w:p>
        </w:tc>
        <w:tc>
          <w:tcPr>
            <w:tcW w:w="1512" w:type="dxa"/>
            <w:vAlign w:val="center"/>
          </w:tcPr>
          <w:p w14:paraId="060A4D6E" w14:textId="77777777" w:rsidR="008A761F" w:rsidRPr="00576AF8" w:rsidRDefault="008A761F" w:rsidP="008A761F">
            <w:pPr>
              <w:spacing w:before="60" w:after="60"/>
              <w:jc w:val="left"/>
              <w:rPr>
                <w:sz w:val="20"/>
              </w:rPr>
            </w:pPr>
            <w:r w:rsidRPr="00576AF8">
              <w:rPr>
                <w:sz w:val="20"/>
              </w:rPr>
              <w:t>Debe cumplir con el requisito.</w:t>
            </w:r>
          </w:p>
        </w:tc>
        <w:tc>
          <w:tcPr>
            <w:tcW w:w="1559" w:type="dxa"/>
            <w:vAlign w:val="center"/>
          </w:tcPr>
          <w:p w14:paraId="54492ECE" w14:textId="77777777" w:rsidR="008A761F" w:rsidRPr="00576AF8" w:rsidRDefault="008A761F" w:rsidP="008A761F">
            <w:pPr>
              <w:spacing w:before="60" w:after="60"/>
              <w:jc w:val="left"/>
              <w:rPr>
                <w:sz w:val="20"/>
              </w:rPr>
            </w:pPr>
            <w:r w:rsidRPr="00576AF8">
              <w:rPr>
                <w:sz w:val="20"/>
              </w:rPr>
              <w:t>Debe cumplir con el requisito.</w:t>
            </w:r>
          </w:p>
        </w:tc>
        <w:tc>
          <w:tcPr>
            <w:tcW w:w="1559" w:type="dxa"/>
            <w:vAlign w:val="center"/>
          </w:tcPr>
          <w:p w14:paraId="1695775F" w14:textId="77777777" w:rsidR="008A761F" w:rsidRPr="00576AF8" w:rsidRDefault="008A761F" w:rsidP="008A761F">
            <w:pPr>
              <w:spacing w:before="60" w:after="60"/>
              <w:jc w:val="left"/>
              <w:rPr>
                <w:sz w:val="20"/>
              </w:rPr>
            </w:pPr>
            <w:r w:rsidRPr="00576AF8">
              <w:rPr>
                <w:sz w:val="20"/>
              </w:rPr>
              <w:t>Debe cumplir con el requisito.</w:t>
            </w:r>
          </w:p>
        </w:tc>
        <w:tc>
          <w:tcPr>
            <w:tcW w:w="1418" w:type="dxa"/>
            <w:vAlign w:val="center"/>
          </w:tcPr>
          <w:p w14:paraId="7F112584" w14:textId="77777777" w:rsidR="008A761F" w:rsidRPr="00576AF8" w:rsidRDefault="008A761F" w:rsidP="008A761F">
            <w:pPr>
              <w:spacing w:before="60" w:after="60"/>
              <w:jc w:val="center"/>
              <w:rPr>
                <w:sz w:val="20"/>
              </w:rPr>
            </w:pPr>
            <w:r w:rsidRPr="00576AF8">
              <w:rPr>
                <w:sz w:val="20"/>
              </w:rPr>
              <w:t>N/C</w:t>
            </w:r>
          </w:p>
        </w:tc>
        <w:tc>
          <w:tcPr>
            <w:tcW w:w="1984" w:type="dxa"/>
          </w:tcPr>
          <w:p w14:paraId="4FD92706" w14:textId="77777777" w:rsidR="008A761F" w:rsidRPr="00576AF8" w:rsidRDefault="008A761F" w:rsidP="008A761F">
            <w:pPr>
              <w:spacing w:before="60" w:after="60"/>
              <w:jc w:val="center"/>
              <w:rPr>
                <w:sz w:val="20"/>
              </w:rPr>
            </w:pPr>
            <w:r w:rsidRPr="00576AF8">
              <w:rPr>
                <w:sz w:val="20"/>
              </w:rPr>
              <w:t>Carta de la Oferta</w:t>
            </w:r>
          </w:p>
        </w:tc>
      </w:tr>
    </w:tbl>
    <w:p w14:paraId="14DFBB9D" w14:textId="77777777" w:rsidR="001040E4" w:rsidRPr="00576AF8" w:rsidRDefault="001040E4" w:rsidP="001040E4">
      <w:bookmarkStart w:id="368" w:name="_Toc496968123"/>
    </w:p>
    <w:p w14:paraId="662D3233" w14:textId="77777777" w:rsidR="001040E4" w:rsidRPr="00576AF8" w:rsidRDefault="001040E4" w:rsidP="001040E4"/>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82"/>
        <w:gridCol w:w="1528"/>
        <w:gridCol w:w="1540"/>
        <w:gridCol w:w="1568"/>
        <w:gridCol w:w="1400"/>
        <w:gridCol w:w="2001"/>
      </w:tblGrid>
      <w:tr w:rsidR="001040E4" w:rsidRPr="00576AF8" w14:paraId="770ABAC0" w14:textId="77777777" w:rsidTr="00CA6BD6">
        <w:trPr>
          <w:tblHeader/>
        </w:trPr>
        <w:tc>
          <w:tcPr>
            <w:tcW w:w="2122" w:type="dxa"/>
          </w:tcPr>
          <w:bookmarkEnd w:id="368"/>
          <w:p w14:paraId="6EEBC942" w14:textId="77777777" w:rsidR="001040E4" w:rsidRPr="00576AF8" w:rsidRDefault="00CA6BD6" w:rsidP="00A36803">
            <w:pPr>
              <w:spacing w:before="120"/>
              <w:jc w:val="center"/>
              <w:rPr>
                <w:b/>
                <w:sz w:val="22"/>
                <w:szCs w:val="22"/>
              </w:rPr>
            </w:pPr>
            <w:r w:rsidRPr="00576AF8">
              <w:rPr>
                <w:b/>
                <w:sz w:val="22"/>
                <w:szCs w:val="22"/>
              </w:rPr>
              <w:t>Factor</w:t>
            </w:r>
          </w:p>
        </w:tc>
        <w:tc>
          <w:tcPr>
            <w:tcW w:w="10919" w:type="dxa"/>
            <w:gridSpan w:val="6"/>
          </w:tcPr>
          <w:p w14:paraId="6694D70B" w14:textId="77777777" w:rsidR="001040E4" w:rsidRPr="00576AF8" w:rsidRDefault="0071308B" w:rsidP="001040E4">
            <w:pPr>
              <w:pStyle w:val="Ttulo1"/>
              <w:keepNext/>
              <w:keepLines/>
              <w:rPr>
                <w:rFonts w:ascii="Times New Roman" w:hAnsi="Times New Roman"/>
              </w:rPr>
            </w:pPr>
            <w:bookmarkStart w:id="369" w:name="_Toc498339861"/>
            <w:bookmarkStart w:id="370" w:name="_Toc498848208"/>
            <w:bookmarkStart w:id="371" w:name="_Toc499021786"/>
            <w:bookmarkStart w:id="372" w:name="_Toc499023469"/>
            <w:bookmarkStart w:id="373" w:name="_Toc501529951"/>
            <w:bookmarkStart w:id="374" w:name="_Toc503874229"/>
            <w:bookmarkStart w:id="375" w:name="_Toc23215165"/>
            <w:bookmarkStart w:id="376" w:name="_Toc445567362"/>
            <w:r w:rsidRPr="00576AF8">
              <w:rPr>
                <w:rFonts w:ascii="Times New Roman" w:hAnsi="Times New Roman"/>
              </w:rPr>
              <w:t>6</w:t>
            </w:r>
            <w:r w:rsidR="001040E4" w:rsidRPr="00576AF8">
              <w:rPr>
                <w:rFonts w:ascii="Times New Roman" w:hAnsi="Times New Roman"/>
              </w:rPr>
              <w:t>.2 Historial de incumplimiento de contratos</w:t>
            </w:r>
            <w:bookmarkEnd w:id="369"/>
            <w:bookmarkEnd w:id="370"/>
            <w:bookmarkEnd w:id="371"/>
            <w:bookmarkEnd w:id="372"/>
            <w:bookmarkEnd w:id="373"/>
            <w:bookmarkEnd w:id="374"/>
            <w:bookmarkEnd w:id="375"/>
            <w:bookmarkEnd w:id="376"/>
          </w:p>
        </w:tc>
      </w:tr>
      <w:tr w:rsidR="001040E4" w:rsidRPr="00576AF8" w14:paraId="57C83528" w14:textId="77777777" w:rsidTr="00CA6BD6">
        <w:trPr>
          <w:tblHeader/>
        </w:trPr>
        <w:tc>
          <w:tcPr>
            <w:tcW w:w="2122" w:type="dxa"/>
            <w:vMerge w:val="restart"/>
            <w:vAlign w:val="center"/>
          </w:tcPr>
          <w:p w14:paraId="71AB5E52" w14:textId="77777777" w:rsidR="001040E4" w:rsidRPr="00576AF8" w:rsidRDefault="00222A2F" w:rsidP="001040E4">
            <w:pPr>
              <w:pStyle w:val="titulo"/>
              <w:rPr>
                <w:rFonts w:ascii="Times New Roman" w:hAnsi="Times New Roman"/>
                <w:b w:val="0"/>
                <w:sz w:val="22"/>
                <w:szCs w:val="22"/>
              </w:rPr>
            </w:pPr>
            <w:r w:rsidRPr="00576AF8">
              <w:rPr>
                <w:rFonts w:ascii="Times New Roman" w:hAnsi="Times New Roman"/>
                <w:sz w:val="22"/>
              </w:rPr>
              <w:t>Ítem</w:t>
            </w:r>
          </w:p>
        </w:tc>
        <w:tc>
          <w:tcPr>
            <w:tcW w:w="8918" w:type="dxa"/>
            <w:gridSpan w:val="5"/>
          </w:tcPr>
          <w:p w14:paraId="564E5252" w14:textId="77777777" w:rsidR="001040E4" w:rsidRPr="00576AF8" w:rsidRDefault="001040E4" w:rsidP="001040E4">
            <w:pPr>
              <w:pStyle w:val="titulo"/>
              <w:spacing w:before="80" w:after="80"/>
              <w:rPr>
                <w:rFonts w:ascii="Times New Roman" w:hAnsi="Times New Roman"/>
                <w:sz w:val="22"/>
              </w:rPr>
            </w:pPr>
            <w:r w:rsidRPr="00576AF8">
              <w:rPr>
                <w:rFonts w:ascii="Times New Roman" w:hAnsi="Times New Roman"/>
                <w:sz w:val="22"/>
              </w:rPr>
              <w:t>Criterios</w:t>
            </w:r>
          </w:p>
          <w:p w14:paraId="15B8E83C" w14:textId="77777777" w:rsidR="00AF5510" w:rsidRPr="00576AF8" w:rsidRDefault="00AF5510" w:rsidP="001040E4">
            <w:pPr>
              <w:pStyle w:val="titulo"/>
              <w:spacing w:before="80" w:after="80"/>
              <w:rPr>
                <w:rFonts w:ascii="Times New Roman" w:hAnsi="Times New Roman"/>
                <w:sz w:val="22"/>
                <w:szCs w:val="22"/>
              </w:rPr>
            </w:pPr>
          </w:p>
        </w:tc>
        <w:tc>
          <w:tcPr>
            <w:tcW w:w="2001" w:type="dxa"/>
            <w:vMerge w:val="restart"/>
            <w:vAlign w:val="center"/>
          </w:tcPr>
          <w:p w14:paraId="71B21478" w14:textId="77777777" w:rsidR="001040E4" w:rsidRPr="00576AF8" w:rsidRDefault="001040E4" w:rsidP="001040E4">
            <w:pPr>
              <w:spacing w:before="80" w:after="80"/>
              <w:ind w:left="36" w:hanging="36"/>
              <w:jc w:val="center"/>
              <w:rPr>
                <w:b/>
                <w:sz w:val="22"/>
                <w:szCs w:val="22"/>
              </w:rPr>
            </w:pPr>
            <w:r w:rsidRPr="00576AF8">
              <w:rPr>
                <w:b/>
                <w:sz w:val="22"/>
              </w:rPr>
              <w:t>Documentación exigida</w:t>
            </w:r>
          </w:p>
        </w:tc>
      </w:tr>
      <w:tr w:rsidR="001040E4" w:rsidRPr="00576AF8" w14:paraId="3728A686" w14:textId="77777777" w:rsidTr="00CA6BD6">
        <w:trPr>
          <w:tblHeader/>
        </w:trPr>
        <w:tc>
          <w:tcPr>
            <w:tcW w:w="2122" w:type="dxa"/>
            <w:vMerge/>
          </w:tcPr>
          <w:p w14:paraId="36AC1939" w14:textId="77777777" w:rsidR="001040E4" w:rsidRPr="00576AF8" w:rsidRDefault="001040E4" w:rsidP="001040E4">
            <w:pPr>
              <w:jc w:val="center"/>
              <w:rPr>
                <w:b/>
                <w:sz w:val="22"/>
                <w:szCs w:val="22"/>
              </w:rPr>
            </w:pPr>
          </w:p>
        </w:tc>
        <w:tc>
          <w:tcPr>
            <w:tcW w:w="2882" w:type="dxa"/>
            <w:vMerge w:val="restart"/>
            <w:vAlign w:val="center"/>
          </w:tcPr>
          <w:p w14:paraId="03506372" w14:textId="77777777" w:rsidR="001040E4" w:rsidRPr="00576AF8" w:rsidRDefault="001040E4" w:rsidP="001040E4">
            <w:pPr>
              <w:pStyle w:val="titulo"/>
              <w:spacing w:after="0"/>
              <w:rPr>
                <w:rFonts w:ascii="Times New Roman" w:hAnsi="Times New Roman"/>
                <w:sz w:val="22"/>
                <w:szCs w:val="22"/>
              </w:rPr>
            </w:pPr>
            <w:r w:rsidRPr="00576AF8">
              <w:rPr>
                <w:rFonts w:ascii="Times New Roman" w:hAnsi="Times New Roman"/>
                <w:sz w:val="22"/>
              </w:rPr>
              <w:t>Requisito</w:t>
            </w:r>
          </w:p>
        </w:tc>
        <w:tc>
          <w:tcPr>
            <w:tcW w:w="6036" w:type="dxa"/>
            <w:gridSpan w:val="4"/>
          </w:tcPr>
          <w:p w14:paraId="3E03C7AF" w14:textId="77777777" w:rsidR="001040E4" w:rsidRPr="00576AF8" w:rsidRDefault="001040E4" w:rsidP="001040E4">
            <w:pPr>
              <w:pStyle w:val="titulo"/>
              <w:spacing w:before="80" w:after="80"/>
              <w:rPr>
                <w:rFonts w:ascii="Times New Roman" w:hAnsi="Times New Roman"/>
                <w:sz w:val="22"/>
                <w:szCs w:val="22"/>
              </w:rPr>
            </w:pPr>
            <w:r w:rsidRPr="00576AF8">
              <w:rPr>
                <w:rFonts w:ascii="Times New Roman" w:hAnsi="Times New Roman"/>
                <w:sz w:val="22"/>
              </w:rPr>
              <w:t>Licitante</w:t>
            </w:r>
          </w:p>
        </w:tc>
        <w:tc>
          <w:tcPr>
            <w:tcW w:w="2001" w:type="dxa"/>
            <w:vMerge/>
          </w:tcPr>
          <w:p w14:paraId="3210520E" w14:textId="77777777" w:rsidR="001040E4" w:rsidRPr="00576AF8" w:rsidRDefault="001040E4" w:rsidP="001040E4">
            <w:pPr>
              <w:spacing w:before="40"/>
              <w:ind w:left="36" w:hanging="36"/>
              <w:jc w:val="center"/>
              <w:rPr>
                <w:b/>
                <w:sz w:val="22"/>
                <w:szCs w:val="22"/>
              </w:rPr>
            </w:pPr>
          </w:p>
        </w:tc>
      </w:tr>
      <w:tr w:rsidR="001040E4" w:rsidRPr="00576AF8" w14:paraId="6DA51580" w14:textId="77777777" w:rsidTr="00CA6BD6">
        <w:trPr>
          <w:tblHeader/>
        </w:trPr>
        <w:tc>
          <w:tcPr>
            <w:tcW w:w="2122" w:type="dxa"/>
            <w:vMerge/>
          </w:tcPr>
          <w:p w14:paraId="2D892870" w14:textId="77777777" w:rsidR="001040E4" w:rsidRPr="00576AF8" w:rsidRDefault="001040E4" w:rsidP="001040E4">
            <w:pPr>
              <w:rPr>
                <w:b/>
                <w:sz w:val="22"/>
                <w:szCs w:val="22"/>
              </w:rPr>
            </w:pPr>
          </w:p>
        </w:tc>
        <w:tc>
          <w:tcPr>
            <w:tcW w:w="2882" w:type="dxa"/>
            <w:vMerge/>
          </w:tcPr>
          <w:p w14:paraId="01E12EA7" w14:textId="77777777" w:rsidR="001040E4" w:rsidRPr="00576AF8" w:rsidRDefault="001040E4" w:rsidP="001040E4">
            <w:pPr>
              <w:rPr>
                <w:b/>
                <w:sz w:val="22"/>
                <w:szCs w:val="22"/>
              </w:rPr>
            </w:pPr>
          </w:p>
        </w:tc>
        <w:tc>
          <w:tcPr>
            <w:tcW w:w="1528" w:type="dxa"/>
            <w:vMerge w:val="restart"/>
            <w:vAlign w:val="center"/>
          </w:tcPr>
          <w:p w14:paraId="36C7679A" w14:textId="77777777" w:rsidR="001040E4" w:rsidRPr="00576AF8" w:rsidRDefault="001040E4" w:rsidP="001040E4">
            <w:pPr>
              <w:spacing w:before="40"/>
              <w:jc w:val="center"/>
              <w:rPr>
                <w:b/>
                <w:sz w:val="22"/>
                <w:szCs w:val="22"/>
              </w:rPr>
            </w:pPr>
            <w:r w:rsidRPr="00576AF8">
              <w:rPr>
                <w:b/>
                <w:sz w:val="22"/>
              </w:rPr>
              <w:t>Entidad única</w:t>
            </w:r>
          </w:p>
        </w:tc>
        <w:tc>
          <w:tcPr>
            <w:tcW w:w="4508" w:type="dxa"/>
            <w:gridSpan w:val="3"/>
          </w:tcPr>
          <w:p w14:paraId="1ADE5BDD" w14:textId="77777777" w:rsidR="001040E4" w:rsidRPr="00576AF8" w:rsidRDefault="005E641B" w:rsidP="0036710E">
            <w:pPr>
              <w:pStyle w:val="titulo"/>
              <w:spacing w:before="40" w:after="0"/>
              <w:rPr>
                <w:rFonts w:ascii="Times New Roman" w:hAnsi="Times New Roman"/>
                <w:sz w:val="22"/>
                <w:szCs w:val="22"/>
              </w:rPr>
            </w:pPr>
            <w:r w:rsidRPr="00576AF8">
              <w:rPr>
                <w:rFonts w:ascii="Times New Roman" w:hAnsi="Times New Roman"/>
                <w:sz w:val="22"/>
              </w:rPr>
              <w:t xml:space="preserve">APCA </w:t>
            </w:r>
            <w:r w:rsidR="00517E5D" w:rsidRPr="00576AF8">
              <w:rPr>
                <w:rFonts w:ascii="Times New Roman" w:hAnsi="Times New Roman"/>
                <w:sz w:val="22"/>
              </w:rPr>
              <w:t>(existente o prevista)</w:t>
            </w:r>
          </w:p>
        </w:tc>
        <w:tc>
          <w:tcPr>
            <w:tcW w:w="2001" w:type="dxa"/>
            <w:vMerge/>
          </w:tcPr>
          <w:p w14:paraId="5F76DA64" w14:textId="77777777" w:rsidR="001040E4" w:rsidRPr="00576AF8" w:rsidRDefault="001040E4" w:rsidP="001040E4">
            <w:pPr>
              <w:spacing w:before="40"/>
              <w:ind w:left="36" w:hanging="36"/>
              <w:jc w:val="center"/>
              <w:rPr>
                <w:b/>
                <w:sz w:val="22"/>
                <w:szCs w:val="22"/>
              </w:rPr>
            </w:pPr>
          </w:p>
        </w:tc>
      </w:tr>
      <w:tr w:rsidR="001040E4" w:rsidRPr="00576AF8" w14:paraId="6D42DACA" w14:textId="77777777" w:rsidTr="00CA6BD6">
        <w:trPr>
          <w:trHeight w:val="600"/>
          <w:tblHeader/>
        </w:trPr>
        <w:tc>
          <w:tcPr>
            <w:tcW w:w="2122" w:type="dxa"/>
            <w:vMerge/>
          </w:tcPr>
          <w:p w14:paraId="7136D445" w14:textId="77777777" w:rsidR="001040E4" w:rsidRPr="00576AF8" w:rsidRDefault="001040E4" w:rsidP="001040E4">
            <w:pPr>
              <w:rPr>
                <w:b/>
                <w:sz w:val="22"/>
                <w:szCs w:val="22"/>
              </w:rPr>
            </w:pPr>
          </w:p>
        </w:tc>
        <w:tc>
          <w:tcPr>
            <w:tcW w:w="2882" w:type="dxa"/>
            <w:vMerge/>
          </w:tcPr>
          <w:p w14:paraId="5F7A562C" w14:textId="77777777" w:rsidR="001040E4" w:rsidRPr="00576AF8" w:rsidRDefault="001040E4" w:rsidP="001040E4">
            <w:pPr>
              <w:rPr>
                <w:b/>
                <w:sz w:val="22"/>
                <w:szCs w:val="22"/>
              </w:rPr>
            </w:pPr>
          </w:p>
        </w:tc>
        <w:tc>
          <w:tcPr>
            <w:tcW w:w="1528" w:type="dxa"/>
            <w:vMerge/>
          </w:tcPr>
          <w:p w14:paraId="7348C09B" w14:textId="77777777" w:rsidR="001040E4" w:rsidRPr="00576AF8" w:rsidRDefault="001040E4" w:rsidP="001040E4">
            <w:pPr>
              <w:spacing w:before="40"/>
              <w:ind w:left="36" w:hanging="36"/>
              <w:jc w:val="center"/>
              <w:rPr>
                <w:b/>
                <w:sz w:val="22"/>
                <w:szCs w:val="22"/>
              </w:rPr>
            </w:pPr>
          </w:p>
        </w:tc>
        <w:tc>
          <w:tcPr>
            <w:tcW w:w="1540" w:type="dxa"/>
          </w:tcPr>
          <w:p w14:paraId="4911E65B" w14:textId="77777777" w:rsidR="001040E4" w:rsidRPr="00576AF8" w:rsidRDefault="001040E4" w:rsidP="00F25EDD">
            <w:pPr>
              <w:spacing w:before="40"/>
              <w:ind w:left="-129" w:right="-109"/>
              <w:jc w:val="center"/>
              <w:rPr>
                <w:b/>
                <w:spacing w:val="-4"/>
                <w:sz w:val="22"/>
                <w:szCs w:val="22"/>
              </w:rPr>
            </w:pPr>
            <w:r w:rsidRPr="00576AF8">
              <w:rPr>
                <w:b/>
                <w:spacing w:val="-4"/>
                <w:sz w:val="20"/>
              </w:rPr>
              <w:t>Todos los miembros conjuntamente</w:t>
            </w:r>
          </w:p>
        </w:tc>
        <w:tc>
          <w:tcPr>
            <w:tcW w:w="1568" w:type="dxa"/>
          </w:tcPr>
          <w:p w14:paraId="4EBF0833" w14:textId="77777777" w:rsidR="001040E4" w:rsidRPr="00576AF8" w:rsidRDefault="001040E4" w:rsidP="00834DEB">
            <w:pPr>
              <w:spacing w:before="40"/>
              <w:jc w:val="center"/>
              <w:rPr>
                <w:b/>
                <w:sz w:val="22"/>
                <w:szCs w:val="22"/>
              </w:rPr>
            </w:pPr>
            <w:r w:rsidRPr="00576AF8">
              <w:rPr>
                <w:b/>
                <w:sz w:val="22"/>
              </w:rPr>
              <w:t>Cada miembro</w:t>
            </w:r>
          </w:p>
        </w:tc>
        <w:tc>
          <w:tcPr>
            <w:tcW w:w="1400" w:type="dxa"/>
          </w:tcPr>
          <w:p w14:paraId="11AA6FE3" w14:textId="77777777" w:rsidR="001040E4" w:rsidRPr="00576AF8" w:rsidRDefault="001040E4" w:rsidP="00834DEB">
            <w:pPr>
              <w:spacing w:before="40"/>
              <w:jc w:val="center"/>
              <w:rPr>
                <w:b/>
                <w:sz w:val="22"/>
                <w:szCs w:val="22"/>
              </w:rPr>
            </w:pPr>
            <w:r w:rsidRPr="00576AF8">
              <w:rPr>
                <w:b/>
                <w:sz w:val="22"/>
              </w:rPr>
              <w:t>Al menos un miembro</w:t>
            </w:r>
          </w:p>
        </w:tc>
        <w:tc>
          <w:tcPr>
            <w:tcW w:w="2001" w:type="dxa"/>
            <w:vMerge/>
          </w:tcPr>
          <w:p w14:paraId="52930565" w14:textId="77777777" w:rsidR="001040E4" w:rsidRPr="00576AF8" w:rsidRDefault="001040E4" w:rsidP="001040E4">
            <w:pPr>
              <w:ind w:left="36" w:hanging="36"/>
              <w:jc w:val="center"/>
              <w:rPr>
                <w:b/>
                <w:sz w:val="22"/>
                <w:szCs w:val="22"/>
              </w:rPr>
            </w:pPr>
          </w:p>
        </w:tc>
      </w:tr>
      <w:tr w:rsidR="001040E4" w:rsidRPr="00576AF8" w14:paraId="42106953" w14:textId="77777777" w:rsidTr="00CA6BD6">
        <w:trPr>
          <w:cantSplit/>
          <w:trHeight w:val="600"/>
        </w:trPr>
        <w:tc>
          <w:tcPr>
            <w:tcW w:w="2122" w:type="dxa"/>
          </w:tcPr>
          <w:p w14:paraId="38D07530" w14:textId="77777777" w:rsidR="001040E4" w:rsidRPr="00576AF8" w:rsidRDefault="00F117C1" w:rsidP="004313F3">
            <w:pPr>
              <w:pStyle w:val="Ttulo2"/>
              <w:pBdr>
                <w:bottom w:val="none" w:sz="0" w:space="0" w:color="auto"/>
              </w:pBdr>
              <w:suppressAutoHyphens w:val="0"/>
              <w:spacing w:before="60" w:after="60"/>
              <w:jc w:val="left"/>
              <w:rPr>
                <w:rFonts w:ascii="Times New Roman" w:hAnsi="Times New Roman"/>
                <w:sz w:val="20"/>
              </w:rPr>
            </w:pPr>
            <w:bookmarkStart w:id="377" w:name="_Toc496968124"/>
            <w:bookmarkStart w:id="378" w:name="_Toc445567363"/>
            <w:r w:rsidRPr="00576AF8">
              <w:rPr>
                <w:rFonts w:ascii="Times New Roman" w:hAnsi="Times New Roman"/>
                <w:b w:val="0"/>
                <w:sz w:val="20"/>
              </w:rPr>
              <w:t>6</w:t>
            </w:r>
            <w:r w:rsidR="00A0389B" w:rsidRPr="00576AF8">
              <w:rPr>
                <w:rFonts w:ascii="Times New Roman" w:hAnsi="Times New Roman"/>
                <w:b w:val="0"/>
                <w:sz w:val="20"/>
              </w:rPr>
              <w:t xml:space="preserve">.2.1 </w:t>
            </w:r>
            <w:r w:rsidR="001040E4" w:rsidRPr="00576AF8">
              <w:rPr>
                <w:rFonts w:ascii="Times New Roman" w:hAnsi="Times New Roman"/>
                <w:b w:val="0"/>
                <w:sz w:val="20"/>
              </w:rPr>
              <w:t xml:space="preserve">Antecedentes </w:t>
            </w:r>
            <w:r w:rsidR="004B0CD6" w:rsidRPr="00576AF8">
              <w:rPr>
                <w:rFonts w:ascii="Times New Roman" w:hAnsi="Times New Roman"/>
                <w:b w:val="0"/>
                <w:sz w:val="20"/>
              </w:rPr>
              <w:br/>
            </w:r>
            <w:r w:rsidR="001040E4" w:rsidRPr="00576AF8">
              <w:rPr>
                <w:rFonts w:ascii="Times New Roman" w:hAnsi="Times New Roman"/>
                <w:b w:val="0"/>
                <w:sz w:val="20"/>
              </w:rPr>
              <w:t xml:space="preserve">de incumplimiento </w:t>
            </w:r>
            <w:r w:rsidR="00CA6BD6" w:rsidRPr="00576AF8">
              <w:rPr>
                <w:rFonts w:ascii="Times New Roman" w:hAnsi="Times New Roman"/>
                <w:b w:val="0"/>
                <w:sz w:val="20"/>
              </w:rPr>
              <w:br/>
            </w:r>
            <w:r w:rsidR="001040E4" w:rsidRPr="00576AF8">
              <w:rPr>
                <w:rFonts w:ascii="Times New Roman" w:hAnsi="Times New Roman"/>
                <w:b w:val="0"/>
                <w:sz w:val="20"/>
              </w:rPr>
              <w:t>de contratos</w:t>
            </w:r>
            <w:bookmarkEnd w:id="377"/>
            <w:bookmarkEnd w:id="378"/>
          </w:p>
        </w:tc>
        <w:tc>
          <w:tcPr>
            <w:tcW w:w="2882" w:type="dxa"/>
          </w:tcPr>
          <w:p w14:paraId="302C8B61" w14:textId="77777777" w:rsidR="001040E4" w:rsidRPr="00576AF8" w:rsidRDefault="00F772EC" w:rsidP="00CA6BD6">
            <w:pPr>
              <w:pStyle w:val="Sangradetextonormal"/>
              <w:spacing w:before="60" w:after="60"/>
              <w:ind w:left="0"/>
              <w:jc w:val="left"/>
              <w:rPr>
                <w:sz w:val="20"/>
              </w:rPr>
            </w:pPr>
            <w:r w:rsidRPr="00576AF8">
              <w:rPr>
                <w:sz w:val="20"/>
              </w:rPr>
              <w:t>No haber incurrido en incumplimiento de algún contrato</w:t>
            </w:r>
            <w:bookmarkStart w:id="379" w:name="_Ref302392673"/>
            <w:r w:rsidRPr="00576AF8">
              <w:rPr>
                <w:rStyle w:val="Refdenotaalpie"/>
              </w:rPr>
              <w:footnoteReference w:id="5"/>
            </w:r>
            <w:bookmarkEnd w:id="379"/>
            <w:r w:rsidRPr="00576AF8">
              <w:rPr>
                <w:sz w:val="20"/>
              </w:rPr>
              <w:t xml:space="preserve"> atribuible al Licitante desde el 1 de enero de </w:t>
            </w:r>
            <w:r w:rsidR="00033207" w:rsidRPr="00576AF8">
              <w:rPr>
                <w:i/>
                <w:sz w:val="20"/>
              </w:rPr>
              <w:t>2019</w:t>
            </w:r>
            <w:r w:rsidRPr="00576AF8">
              <w:rPr>
                <w:sz w:val="20"/>
              </w:rPr>
              <w:t>.</w:t>
            </w:r>
            <w:r w:rsidR="00517E5D" w:rsidRPr="00576AF8">
              <w:rPr>
                <w:sz w:val="20"/>
              </w:rPr>
              <w:t xml:space="preserve"> </w:t>
            </w:r>
          </w:p>
        </w:tc>
        <w:tc>
          <w:tcPr>
            <w:tcW w:w="1528" w:type="dxa"/>
            <w:vAlign w:val="center"/>
          </w:tcPr>
          <w:p w14:paraId="37EBD304" w14:textId="77777777" w:rsidR="001040E4" w:rsidRPr="00576AF8" w:rsidRDefault="001040E4">
            <w:pPr>
              <w:spacing w:before="60" w:after="60"/>
              <w:jc w:val="left"/>
              <w:rPr>
                <w:sz w:val="20"/>
              </w:rPr>
            </w:pPr>
            <w:r w:rsidRPr="00576AF8">
              <w:rPr>
                <w:sz w:val="20"/>
              </w:rPr>
              <w:t xml:space="preserve">Debe cumplir con el requisito por sí mismo o como miembro de una </w:t>
            </w:r>
            <w:r w:rsidR="000107E9" w:rsidRPr="00576AF8">
              <w:rPr>
                <w:sz w:val="20"/>
              </w:rPr>
              <w:t>APCA</w:t>
            </w:r>
            <w:r w:rsidRPr="00576AF8">
              <w:rPr>
                <w:sz w:val="20"/>
              </w:rPr>
              <w:t xml:space="preserve"> anterior o actual.</w:t>
            </w:r>
          </w:p>
        </w:tc>
        <w:tc>
          <w:tcPr>
            <w:tcW w:w="1540" w:type="dxa"/>
            <w:vAlign w:val="center"/>
          </w:tcPr>
          <w:p w14:paraId="6D0B24EE" w14:textId="77777777" w:rsidR="001040E4" w:rsidRPr="00576AF8" w:rsidRDefault="001040E4" w:rsidP="001040E4">
            <w:pPr>
              <w:spacing w:before="60" w:after="60"/>
              <w:jc w:val="center"/>
              <w:rPr>
                <w:sz w:val="20"/>
              </w:rPr>
            </w:pPr>
            <w:r w:rsidRPr="00576AF8">
              <w:rPr>
                <w:sz w:val="20"/>
              </w:rPr>
              <w:t>N/C</w:t>
            </w:r>
          </w:p>
        </w:tc>
        <w:tc>
          <w:tcPr>
            <w:tcW w:w="1568" w:type="dxa"/>
            <w:vAlign w:val="center"/>
          </w:tcPr>
          <w:p w14:paraId="5F94AE8D" w14:textId="77777777" w:rsidR="001040E4" w:rsidRPr="00576AF8" w:rsidRDefault="001040E4" w:rsidP="0012620E">
            <w:pPr>
              <w:spacing w:before="60" w:after="60"/>
              <w:jc w:val="left"/>
              <w:rPr>
                <w:sz w:val="20"/>
              </w:rPr>
            </w:pPr>
            <w:r w:rsidRPr="00576AF8">
              <w:rPr>
                <w:sz w:val="20"/>
              </w:rPr>
              <w:t>Debe cumplir con el requisito</w:t>
            </w:r>
            <w:r w:rsidRPr="00576AF8">
              <w:rPr>
                <w:rStyle w:val="Refdenotaalpie"/>
              </w:rPr>
              <w:footnoteReference w:id="6"/>
            </w:r>
            <w:r w:rsidRPr="00576AF8">
              <w:rPr>
                <w:sz w:val="20"/>
              </w:rPr>
              <w:t xml:space="preserve">. </w:t>
            </w:r>
          </w:p>
        </w:tc>
        <w:tc>
          <w:tcPr>
            <w:tcW w:w="1400" w:type="dxa"/>
            <w:vAlign w:val="center"/>
          </w:tcPr>
          <w:p w14:paraId="65F94D3C" w14:textId="77777777" w:rsidR="001040E4" w:rsidRPr="00576AF8" w:rsidRDefault="001040E4" w:rsidP="001040E4">
            <w:pPr>
              <w:spacing w:before="60" w:after="60"/>
              <w:jc w:val="center"/>
              <w:rPr>
                <w:sz w:val="20"/>
              </w:rPr>
            </w:pPr>
            <w:r w:rsidRPr="00576AF8">
              <w:rPr>
                <w:sz w:val="20"/>
              </w:rPr>
              <w:t>N/C</w:t>
            </w:r>
          </w:p>
        </w:tc>
        <w:tc>
          <w:tcPr>
            <w:tcW w:w="2001" w:type="dxa"/>
            <w:vAlign w:val="center"/>
          </w:tcPr>
          <w:p w14:paraId="2814D3DC" w14:textId="77777777" w:rsidR="001040E4" w:rsidRPr="00576AF8" w:rsidRDefault="001040E4" w:rsidP="00307C9E">
            <w:pPr>
              <w:spacing w:before="60" w:after="60"/>
              <w:jc w:val="left"/>
              <w:rPr>
                <w:sz w:val="20"/>
              </w:rPr>
            </w:pPr>
            <w:r w:rsidRPr="00576AF8">
              <w:rPr>
                <w:sz w:val="20"/>
              </w:rPr>
              <w:t>Formulario CON - 2</w:t>
            </w:r>
          </w:p>
        </w:tc>
      </w:tr>
      <w:tr w:rsidR="00CA6BD6" w:rsidRPr="00576AF8" w14:paraId="5E583494" w14:textId="77777777" w:rsidTr="00CA6BD6">
        <w:trPr>
          <w:cantSplit/>
          <w:trHeight w:val="600"/>
        </w:trPr>
        <w:tc>
          <w:tcPr>
            <w:tcW w:w="2122" w:type="dxa"/>
          </w:tcPr>
          <w:p w14:paraId="0AA57D28" w14:textId="77777777" w:rsidR="00CA6BD6" w:rsidRPr="00576AF8" w:rsidRDefault="00F117C1" w:rsidP="004313F3">
            <w:pPr>
              <w:pStyle w:val="Ttulo2"/>
              <w:pBdr>
                <w:bottom w:val="none" w:sz="0" w:space="0" w:color="auto"/>
              </w:pBdr>
              <w:suppressAutoHyphens w:val="0"/>
              <w:spacing w:before="60" w:after="60"/>
              <w:jc w:val="left"/>
              <w:rPr>
                <w:rFonts w:ascii="Times New Roman" w:hAnsi="Times New Roman"/>
                <w:b w:val="0"/>
                <w:sz w:val="20"/>
              </w:rPr>
            </w:pPr>
            <w:r w:rsidRPr="00576AF8">
              <w:rPr>
                <w:rFonts w:ascii="Times New Roman" w:hAnsi="Times New Roman"/>
                <w:b w:val="0"/>
                <w:sz w:val="20"/>
              </w:rPr>
              <w:lastRenderedPageBreak/>
              <w:t>6</w:t>
            </w:r>
            <w:r w:rsidR="00A0389B" w:rsidRPr="00576AF8">
              <w:rPr>
                <w:rFonts w:ascii="Times New Roman" w:hAnsi="Times New Roman"/>
                <w:b w:val="0"/>
                <w:sz w:val="20"/>
              </w:rPr>
              <w:t>.2.2 Suspensión</w:t>
            </w:r>
          </w:p>
        </w:tc>
        <w:tc>
          <w:tcPr>
            <w:tcW w:w="2882" w:type="dxa"/>
          </w:tcPr>
          <w:p w14:paraId="09BF1F82" w14:textId="77777777" w:rsidR="00CA6BD6" w:rsidRPr="00576AF8" w:rsidRDefault="00CA6BD6" w:rsidP="00CA6BD6">
            <w:pPr>
              <w:pStyle w:val="Sangradetextonormal"/>
              <w:spacing w:before="60" w:after="60"/>
              <w:ind w:left="0"/>
              <w:jc w:val="left"/>
              <w:rPr>
                <w:sz w:val="20"/>
              </w:rPr>
            </w:pPr>
            <w:r w:rsidRPr="00576AF8">
              <w:rPr>
                <w:color w:val="000000" w:themeColor="text1"/>
                <w:sz w:val="20"/>
              </w:rPr>
              <w:t>Suspensión basada en la ejecución de la declaración de mantenimiento de la Oferta por parte del Comprador o retiro de la Oferta dentro del período de validez de la Oferta</w:t>
            </w:r>
          </w:p>
        </w:tc>
        <w:tc>
          <w:tcPr>
            <w:tcW w:w="1528" w:type="dxa"/>
            <w:vAlign w:val="center"/>
          </w:tcPr>
          <w:p w14:paraId="042865A5" w14:textId="77777777" w:rsidR="00CA6BD6" w:rsidRPr="00576AF8" w:rsidRDefault="00CA6BD6" w:rsidP="00CA6BD6">
            <w:pPr>
              <w:spacing w:before="60" w:after="60"/>
              <w:jc w:val="left"/>
              <w:rPr>
                <w:sz w:val="20"/>
              </w:rPr>
            </w:pPr>
            <w:r w:rsidRPr="00576AF8">
              <w:rPr>
                <w:color w:val="000000" w:themeColor="text1"/>
                <w:sz w:val="20"/>
              </w:rPr>
              <w:t>Debe cumplir con el requisito.</w:t>
            </w:r>
          </w:p>
        </w:tc>
        <w:tc>
          <w:tcPr>
            <w:tcW w:w="1540" w:type="dxa"/>
            <w:vAlign w:val="center"/>
          </w:tcPr>
          <w:p w14:paraId="1CD00CE3" w14:textId="77777777" w:rsidR="00CA6BD6" w:rsidRPr="00576AF8" w:rsidRDefault="00CA6BD6" w:rsidP="00746BDA">
            <w:pPr>
              <w:spacing w:before="60" w:after="60"/>
              <w:jc w:val="center"/>
              <w:rPr>
                <w:sz w:val="20"/>
              </w:rPr>
            </w:pPr>
            <w:r w:rsidRPr="00576AF8">
              <w:rPr>
                <w:sz w:val="20"/>
              </w:rPr>
              <w:t>N/C</w:t>
            </w:r>
          </w:p>
        </w:tc>
        <w:tc>
          <w:tcPr>
            <w:tcW w:w="1568" w:type="dxa"/>
            <w:vAlign w:val="center"/>
          </w:tcPr>
          <w:p w14:paraId="748B1ECD" w14:textId="77777777" w:rsidR="00CA6BD6" w:rsidRPr="00576AF8" w:rsidRDefault="00CA6BD6" w:rsidP="00CA6BD6">
            <w:pPr>
              <w:spacing w:before="60" w:after="60"/>
              <w:jc w:val="left"/>
              <w:rPr>
                <w:sz w:val="20"/>
              </w:rPr>
            </w:pPr>
            <w:r w:rsidRPr="00576AF8">
              <w:rPr>
                <w:color w:val="000000" w:themeColor="text1"/>
                <w:sz w:val="20"/>
              </w:rPr>
              <w:t>Debe cumplir con el requisito.</w:t>
            </w:r>
          </w:p>
        </w:tc>
        <w:tc>
          <w:tcPr>
            <w:tcW w:w="1400" w:type="dxa"/>
            <w:vAlign w:val="center"/>
          </w:tcPr>
          <w:p w14:paraId="1829A379" w14:textId="77777777" w:rsidR="00CA6BD6" w:rsidRPr="00576AF8" w:rsidRDefault="00CA6BD6" w:rsidP="00CA6BD6">
            <w:pPr>
              <w:spacing w:before="60" w:after="60"/>
              <w:jc w:val="center"/>
              <w:rPr>
                <w:sz w:val="20"/>
              </w:rPr>
            </w:pPr>
            <w:r w:rsidRPr="00576AF8">
              <w:rPr>
                <w:sz w:val="20"/>
              </w:rPr>
              <w:t>N/C</w:t>
            </w:r>
          </w:p>
        </w:tc>
        <w:tc>
          <w:tcPr>
            <w:tcW w:w="2001" w:type="dxa"/>
            <w:vAlign w:val="center"/>
          </w:tcPr>
          <w:p w14:paraId="10711C52" w14:textId="77777777" w:rsidR="00CA6BD6" w:rsidRPr="00576AF8" w:rsidRDefault="00CA6BD6" w:rsidP="00CA6BD6">
            <w:pPr>
              <w:spacing w:before="60" w:after="60"/>
              <w:jc w:val="left"/>
              <w:rPr>
                <w:sz w:val="20"/>
              </w:rPr>
            </w:pPr>
            <w:r w:rsidRPr="00576AF8">
              <w:rPr>
                <w:sz w:val="20"/>
              </w:rPr>
              <w:t>Carta de la Oferta</w:t>
            </w:r>
          </w:p>
        </w:tc>
      </w:tr>
      <w:tr w:rsidR="00485E93" w:rsidRPr="00576AF8" w14:paraId="19BDA3AA" w14:textId="77777777" w:rsidTr="00CA6BD6">
        <w:trPr>
          <w:cantSplit/>
          <w:trHeight w:val="600"/>
        </w:trPr>
        <w:tc>
          <w:tcPr>
            <w:tcW w:w="2122" w:type="dxa"/>
          </w:tcPr>
          <w:p w14:paraId="78E5F3D8" w14:textId="77777777" w:rsidR="00485E93" w:rsidRPr="00576AF8" w:rsidRDefault="00F117C1" w:rsidP="004313F3">
            <w:pPr>
              <w:pStyle w:val="Ttulo2"/>
              <w:pBdr>
                <w:bottom w:val="none" w:sz="0" w:space="0" w:color="auto"/>
              </w:pBdr>
              <w:suppressAutoHyphens w:val="0"/>
              <w:spacing w:before="60" w:after="60"/>
              <w:jc w:val="left"/>
              <w:rPr>
                <w:rFonts w:ascii="Times New Roman" w:hAnsi="Times New Roman"/>
                <w:sz w:val="20"/>
              </w:rPr>
            </w:pPr>
            <w:bookmarkStart w:id="380" w:name="_Toc496968125"/>
            <w:bookmarkStart w:id="381" w:name="_Toc445567364"/>
            <w:r w:rsidRPr="00576AF8">
              <w:rPr>
                <w:rFonts w:ascii="Times New Roman" w:hAnsi="Times New Roman"/>
                <w:b w:val="0"/>
                <w:sz w:val="20"/>
              </w:rPr>
              <w:t xml:space="preserve">6.2.3 </w:t>
            </w:r>
            <w:r w:rsidR="00485E93" w:rsidRPr="00576AF8">
              <w:rPr>
                <w:rFonts w:ascii="Times New Roman" w:hAnsi="Times New Roman"/>
                <w:b w:val="0"/>
                <w:sz w:val="20"/>
              </w:rPr>
              <w:t>Litigios pendientes</w:t>
            </w:r>
            <w:bookmarkEnd w:id="380"/>
            <w:bookmarkEnd w:id="381"/>
          </w:p>
        </w:tc>
        <w:tc>
          <w:tcPr>
            <w:tcW w:w="2882" w:type="dxa"/>
          </w:tcPr>
          <w:p w14:paraId="28C89CC2" w14:textId="77777777" w:rsidR="00485E93" w:rsidRPr="00576AF8" w:rsidRDefault="00F772EC">
            <w:pPr>
              <w:pStyle w:val="Sangradetextonormal"/>
              <w:spacing w:before="60" w:after="60"/>
              <w:ind w:left="0"/>
              <w:jc w:val="left"/>
              <w:rPr>
                <w:sz w:val="20"/>
              </w:rPr>
            </w:pPr>
            <w:r w:rsidRPr="00576AF8">
              <w:rPr>
                <w:sz w:val="20"/>
              </w:rPr>
              <w:t xml:space="preserve">La posición financiera y las perspectivas de rentabilidad a largo plazo del Licitante son satisfactorias según los criterios establecidos en </w:t>
            </w:r>
            <w:r w:rsidR="00A0389B" w:rsidRPr="00576AF8">
              <w:rPr>
                <w:sz w:val="20"/>
              </w:rPr>
              <w:t>el ítem 5</w:t>
            </w:r>
            <w:r w:rsidRPr="00576AF8">
              <w:rPr>
                <w:sz w:val="20"/>
              </w:rPr>
              <w:t>.3.1 que figura más abajo y suponiendo que todos los litigios pendientes se resolverán en contra del Licitante.</w:t>
            </w:r>
          </w:p>
        </w:tc>
        <w:tc>
          <w:tcPr>
            <w:tcW w:w="1528" w:type="dxa"/>
            <w:vAlign w:val="center"/>
          </w:tcPr>
          <w:p w14:paraId="3332788C" w14:textId="77777777" w:rsidR="00485E93" w:rsidRPr="00576AF8" w:rsidRDefault="00485E93">
            <w:pPr>
              <w:spacing w:before="60" w:after="60"/>
              <w:jc w:val="left"/>
              <w:rPr>
                <w:sz w:val="20"/>
              </w:rPr>
            </w:pPr>
            <w:r w:rsidRPr="00576AF8">
              <w:rPr>
                <w:sz w:val="20"/>
              </w:rPr>
              <w:t xml:space="preserve">Debe cumplir con el requisito por sí mismo o como miembro de una </w:t>
            </w:r>
            <w:r w:rsidR="000107E9" w:rsidRPr="00576AF8">
              <w:rPr>
                <w:sz w:val="20"/>
              </w:rPr>
              <w:t>APCA</w:t>
            </w:r>
            <w:r w:rsidRPr="00576AF8">
              <w:rPr>
                <w:sz w:val="20"/>
              </w:rPr>
              <w:t xml:space="preserve"> anterior o actual.</w:t>
            </w:r>
          </w:p>
        </w:tc>
        <w:tc>
          <w:tcPr>
            <w:tcW w:w="1540" w:type="dxa"/>
            <w:vAlign w:val="center"/>
          </w:tcPr>
          <w:p w14:paraId="324763EF" w14:textId="77777777" w:rsidR="00485E93" w:rsidRPr="00576AF8" w:rsidRDefault="00485E93" w:rsidP="001040E4">
            <w:pPr>
              <w:spacing w:before="60" w:after="60"/>
              <w:jc w:val="center"/>
              <w:rPr>
                <w:sz w:val="20"/>
              </w:rPr>
            </w:pPr>
            <w:r w:rsidRPr="00576AF8">
              <w:rPr>
                <w:sz w:val="20"/>
              </w:rPr>
              <w:t>N/C</w:t>
            </w:r>
          </w:p>
        </w:tc>
        <w:tc>
          <w:tcPr>
            <w:tcW w:w="1568" w:type="dxa"/>
            <w:vAlign w:val="center"/>
          </w:tcPr>
          <w:p w14:paraId="77D18FD4" w14:textId="77777777" w:rsidR="00485E93" w:rsidRPr="00576AF8" w:rsidRDefault="00485E93" w:rsidP="0012620E">
            <w:pPr>
              <w:spacing w:before="60" w:after="60"/>
              <w:jc w:val="left"/>
              <w:rPr>
                <w:sz w:val="20"/>
              </w:rPr>
            </w:pPr>
            <w:r w:rsidRPr="00576AF8">
              <w:rPr>
                <w:sz w:val="20"/>
              </w:rPr>
              <w:t xml:space="preserve">Debe cumplir con el requisito. </w:t>
            </w:r>
          </w:p>
        </w:tc>
        <w:tc>
          <w:tcPr>
            <w:tcW w:w="1400" w:type="dxa"/>
            <w:vAlign w:val="center"/>
          </w:tcPr>
          <w:p w14:paraId="3D87A736" w14:textId="77777777" w:rsidR="00485E93" w:rsidRPr="00576AF8" w:rsidRDefault="00485E93" w:rsidP="001040E4">
            <w:pPr>
              <w:spacing w:before="60" w:after="60"/>
              <w:jc w:val="center"/>
              <w:rPr>
                <w:sz w:val="20"/>
              </w:rPr>
            </w:pPr>
            <w:r w:rsidRPr="00576AF8">
              <w:rPr>
                <w:sz w:val="20"/>
              </w:rPr>
              <w:t>N/C</w:t>
            </w:r>
          </w:p>
        </w:tc>
        <w:tc>
          <w:tcPr>
            <w:tcW w:w="2001" w:type="dxa"/>
            <w:vAlign w:val="center"/>
          </w:tcPr>
          <w:p w14:paraId="18268B60" w14:textId="77777777" w:rsidR="00485E93" w:rsidRPr="00576AF8" w:rsidRDefault="00485E93" w:rsidP="00307C9E">
            <w:pPr>
              <w:spacing w:before="60" w:after="60"/>
              <w:jc w:val="left"/>
              <w:rPr>
                <w:sz w:val="20"/>
              </w:rPr>
            </w:pPr>
            <w:r w:rsidRPr="00576AF8">
              <w:rPr>
                <w:sz w:val="20"/>
              </w:rPr>
              <w:t>Formulario CON – 2</w:t>
            </w:r>
          </w:p>
        </w:tc>
      </w:tr>
    </w:tbl>
    <w:p w14:paraId="1B3C76AB" w14:textId="77777777" w:rsidR="001040E4" w:rsidRPr="00576AF8" w:rsidRDefault="001040E4" w:rsidP="001040E4"/>
    <w:p w14:paraId="79A143A7" w14:textId="77777777" w:rsidR="001040E4" w:rsidRPr="00576AF8" w:rsidRDefault="001040E4" w:rsidP="001040E4">
      <w:pPr>
        <w:jc w:val="left"/>
      </w:pPr>
      <w:bookmarkStart w:id="382" w:name="_Toc496006432"/>
      <w:bookmarkStart w:id="383" w:name="_Toc496006833"/>
      <w:bookmarkStart w:id="384" w:name="_Toc496113484"/>
      <w:bookmarkStart w:id="385" w:name="_Toc496359155"/>
      <w:bookmarkStart w:id="386" w:name="_Toc496968129"/>
    </w:p>
    <w:p w14:paraId="3AAD4D16" w14:textId="77777777" w:rsidR="00A44EB2" w:rsidRPr="00576AF8" w:rsidRDefault="000F37B1" w:rsidP="00506FFF">
      <w:pPr>
        <w:suppressAutoHyphens w:val="0"/>
        <w:spacing w:after="0"/>
        <w:jc w:val="left"/>
      </w:pPr>
      <w:r w:rsidRPr="00576AF8">
        <w:br w:type="page"/>
      </w:r>
    </w:p>
    <w:tbl>
      <w:tblPr>
        <w:tblW w:w="130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2898"/>
        <w:gridCol w:w="1525"/>
        <w:gridCol w:w="1554"/>
        <w:gridCol w:w="1582"/>
        <w:gridCol w:w="1344"/>
        <w:gridCol w:w="2043"/>
      </w:tblGrid>
      <w:tr w:rsidR="00F25EDD" w:rsidRPr="00576AF8" w14:paraId="4B33856D" w14:textId="77777777" w:rsidTr="00F25EDD">
        <w:trPr>
          <w:tblHeader/>
        </w:trPr>
        <w:tc>
          <w:tcPr>
            <w:tcW w:w="2091" w:type="dxa"/>
          </w:tcPr>
          <w:bookmarkEnd w:id="382"/>
          <w:bookmarkEnd w:id="383"/>
          <w:bookmarkEnd w:id="384"/>
          <w:bookmarkEnd w:id="385"/>
          <w:bookmarkEnd w:id="386"/>
          <w:p w14:paraId="257322BB" w14:textId="77777777" w:rsidR="00F25EDD" w:rsidRPr="00576AF8" w:rsidRDefault="00F25EDD" w:rsidP="00F25EDD">
            <w:pPr>
              <w:spacing w:before="120"/>
              <w:jc w:val="center"/>
              <w:rPr>
                <w:b/>
                <w:sz w:val="22"/>
                <w:szCs w:val="22"/>
              </w:rPr>
            </w:pPr>
            <w:r w:rsidRPr="00576AF8">
              <w:rPr>
                <w:b/>
                <w:sz w:val="22"/>
                <w:szCs w:val="22"/>
              </w:rPr>
              <w:lastRenderedPageBreak/>
              <w:t>Factor</w:t>
            </w:r>
          </w:p>
        </w:tc>
        <w:tc>
          <w:tcPr>
            <w:tcW w:w="10946" w:type="dxa"/>
            <w:gridSpan w:val="6"/>
          </w:tcPr>
          <w:p w14:paraId="4D081C53" w14:textId="77777777" w:rsidR="00F25EDD" w:rsidRPr="00576AF8" w:rsidRDefault="0071308B" w:rsidP="00F25EDD">
            <w:pPr>
              <w:pStyle w:val="Ttulo1"/>
              <w:keepNext/>
              <w:keepLines/>
              <w:rPr>
                <w:rFonts w:ascii="Times New Roman" w:hAnsi="Times New Roman"/>
              </w:rPr>
            </w:pPr>
            <w:bookmarkStart w:id="387" w:name="_Toc498339862"/>
            <w:bookmarkStart w:id="388" w:name="_Toc498848209"/>
            <w:bookmarkStart w:id="389" w:name="_Toc499021787"/>
            <w:bookmarkStart w:id="390" w:name="_Toc499023470"/>
            <w:bookmarkStart w:id="391" w:name="_Toc501529952"/>
            <w:bookmarkStart w:id="392" w:name="_Toc503874230"/>
            <w:bookmarkStart w:id="393" w:name="_Toc23215166"/>
            <w:bookmarkStart w:id="394" w:name="_Toc445567365"/>
            <w:r w:rsidRPr="00576AF8">
              <w:rPr>
                <w:rFonts w:ascii="Times New Roman" w:hAnsi="Times New Roman"/>
              </w:rPr>
              <w:t>6</w:t>
            </w:r>
            <w:r w:rsidR="00F25EDD" w:rsidRPr="00576AF8">
              <w:rPr>
                <w:rFonts w:ascii="Times New Roman" w:hAnsi="Times New Roman"/>
              </w:rPr>
              <w:t>.3 Situación financiera</w:t>
            </w:r>
            <w:bookmarkEnd w:id="387"/>
            <w:bookmarkEnd w:id="388"/>
            <w:bookmarkEnd w:id="389"/>
            <w:bookmarkEnd w:id="390"/>
            <w:bookmarkEnd w:id="391"/>
            <w:bookmarkEnd w:id="392"/>
            <w:bookmarkEnd w:id="393"/>
            <w:bookmarkEnd w:id="394"/>
          </w:p>
        </w:tc>
      </w:tr>
      <w:tr w:rsidR="00F25EDD" w:rsidRPr="00576AF8" w14:paraId="1DFE2315" w14:textId="77777777" w:rsidTr="00F25EDD">
        <w:trPr>
          <w:tblHeader/>
        </w:trPr>
        <w:tc>
          <w:tcPr>
            <w:tcW w:w="2091" w:type="dxa"/>
            <w:vMerge w:val="restart"/>
            <w:vAlign w:val="center"/>
          </w:tcPr>
          <w:p w14:paraId="1292884F" w14:textId="77777777" w:rsidR="00F25EDD" w:rsidRPr="00576AF8" w:rsidRDefault="00F25EDD" w:rsidP="00F25EDD">
            <w:pPr>
              <w:spacing w:before="80" w:after="80"/>
              <w:jc w:val="center"/>
              <w:rPr>
                <w:b/>
                <w:sz w:val="22"/>
                <w:szCs w:val="22"/>
              </w:rPr>
            </w:pPr>
            <w:r w:rsidRPr="00576AF8">
              <w:rPr>
                <w:b/>
                <w:sz w:val="22"/>
              </w:rPr>
              <w:t>Ítem</w:t>
            </w:r>
          </w:p>
        </w:tc>
        <w:tc>
          <w:tcPr>
            <w:tcW w:w="8903" w:type="dxa"/>
            <w:gridSpan w:val="5"/>
          </w:tcPr>
          <w:p w14:paraId="1A83ECC8" w14:textId="77777777" w:rsidR="00F25EDD" w:rsidRPr="00576AF8" w:rsidRDefault="00F25EDD" w:rsidP="00F25EDD">
            <w:pPr>
              <w:pStyle w:val="titulo"/>
              <w:spacing w:before="80" w:after="80"/>
              <w:rPr>
                <w:rFonts w:ascii="Times New Roman" w:hAnsi="Times New Roman"/>
                <w:sz w:val="22"/>
                <w:szCs w:val="22"/>
              </w:rPr>
            </w:pPr>
            <w:r w:rsidRPr="00576AF8">
              <w:rPr>
                <w:rFonts w:ascii="Times New Roman" w:hAnsi="Times New Roman"/>
                <w:sz w:val="22"/>
              </w:rPr>
              <w:t>Criterios</w:t>
            </w:r>
          </w:p>
        </w:tc>
        <w:tc>
          <w:tcPr>
            <w:tcW w:w="2043" w:type="dxa"/>
            <w:vMerge w:val="restart"/>
            <w:vAlign w:val="center"/>
          </w:tcPr>
          <w:p w14:paraId="521F8355" w14:textId="77777777" w:rsidR="00F25EDD" w:rsidRPr="00576AF8" w:rsidRDefault="00F25EDD" w:rsidP="00F25EDD">
            <w:pPr>
              <w:pStyle w:val="titulo"/>
              <w:spacing w:before="80" w:after="80"/>
              <w:rPr>
                <w:rFonts w:ascii="Times New Roman" w:hAnsi="Times New Roman"/>
                <w:sz w:val="22"/>
                <w:szCs w:val="22"/>
              </w:rPr>
            </w:pPr>
            <w:r w:rsidRPr="00576AF8">
              <w:rPr>
                <w:rFonts w:ascii="Times New Roman" w:hAnsi="Times New Roman"/>
                <w:sz w:val="22"/>
              </w:rPr>
              <w:t>Documentación exigida</w:t>
            </w:r>
          </w:p>
        </w:tc>
      </w:tr>
      <w:tr w:rsidR="00F25EDD" w:rsidRPr="00576AF8" w14:paraId="6D964BB5" w14:textId="77777777" w:rsidTr="00F25EDD">
        <w:trPr>
          <w:tblHeader/>
        </w:trPr>
        <w:tc>
          <w:tcPr>
            <w:tcW w:w="2091" w:type="dxa"/>
            <w:vMerge/>
          </w:tcPr>
          <w:p w14:paraId="39948FE1" w14:textId="77777777" w:rsidR="00F25EDD" w:rsidRPr="00576AF8" w:rsidRDefault="00F25EDD" w:rsidP="00F25EDD">
            <w:pPr>
              <w:spacing w:before="80" w:after="80"/>
              <w:jc w:val="center"/>
              <w:rPr>
                <w:b/>
                <w:sz w:val="22"/>
                <w:szCs w:val="22"/>
              </w:rPr>
            </w:pPr>
          </w:p>
        </w:tc>
        <w:tc>
          <w:tcPr>
            <w:tcW w:w="2898" w:type="dxa"/>
            <w:vMerge w:val="restart"/>
            <w:vAlign w:val="center"/>
          </w:tcPr>
          <w:p w14:paraId="13608DDF" w14:textId="77777777" w:rsidR="00F25EDD" w:rsidRPr="00576AF8" w:rsidRDefault="00F25EDD" w:rsidP="00F25EDD">
            <w:pPr>
              <w:pStyle w:val="titulo"/>
              <w:spacing w:before="80" w:after="80"/>
              <w:rPr>
                <w:rFonts w:ascii="Times New Roman" w:hAnsi="Times New Roman"/>
                <w:sz w:val="22"/>
                <w:szCs w:val="22"/>
              </w:rPr>
            </w:pPr>
            <w:r w:rsidRPr="00576AF8">
              <w:rPr>
                <w:rFonts w:ascii="Times New Roman" w:hAnsi="Times New Roman"/>
                <w:sz w:val="22"/>
              </w:rPr>
              <w:t>Requisito</w:t>
            </w:r>
          </w:p>
        </w:tc>
        <w:tc>
          <w:tcPr>
            <w:tcW w:w="6005" w:type="dxa"/>
            <w:gridSpan w:val="4"/>
            <w:tcBorders>
              <w:bottom w:val="single" w:sz="4" w:space="0" w:color="auto"/>
            </w:tcBorders>
          </w:tcPr>
          <w:p w14:paraId="7A2F6366" w14:textId="77777777" w:rsidR="00F25EDD" w:rsidRPr="00576AF8" w:rsidRDefault="00F25EDD" w:rsidP="00F25EDD">
            <w:pPr>
              <w:pStyle w:val="titulo"/>
              <w:spacing w:before="80" w:after="80"/>
              <w:rPr>
                <w:rFonts w:ascii="Times New Roman" w:hAnsi="Times New Roman"/>
                <w:sz w:val="22"/>
                <w:szCs w:val="22"/>
              </w:rPr>
            </w:pPr>
            <w:r w:rsidRPr="00576AF8">
              <w:rPr>
                <w:rFonts w:ascii="Times New Roman" w:hAnsi="Times New Roman"/>
                <w:sz w:val="22"/>
              </w:rPr>
              <w:t>Licitante</w:t>
            </w:r>
          </w:p>
        </w:tc>
        <w:tc>
          <w:tcPr>
            <w:tcW w:w="2043" w:type="dxa"/>
            <w:vMerge/>
          </w:tcPr>
          <w:p w14:paraId="07053386" w14:textId="77777777" w:rsidR="00F25EDD" w:rsidRPr="00576AF8" w:rsidRDefault="00F25EDD" w:rsidP="00F25EDD">
            <w:pPr>
              <w:pStyle w:val="titulo"/>
              <w:spacing w:before="40"/>
              <w:rPr>
                <w:rFonts w:ascii="Times New Roman" w:hAnsi="Times New Roman"/>
                <w:b w:val="0"/>
                <w:sz w:val="22"/>
                <w:szCs w:val="22"/>
              </w:rPr>
            </w:pPr>
          </w:p>
        </w:tc>
      </w:tr>
      <w:tr w:rsidR="00F25EDD" w:rsidRPr="00576AF8" w14:paraId="61E19BEA" w14:textId="77777777" w:rsidTr="00F25EDD">
        <w:trPr>
          <w:tblHeader/>
        </w:trPr>
        <w:tc>
          <w:tcPr>
            <w:tcW w:w="2091" w:type="dxa"/>
            <w:vMerge/>
          </w:tcPr>
          <w:p w14:paraId="39E34927" w14:textId="77777777" w:rsidR="00F25EDD" w:rsidRPr="00576AF8" w:rsidRDefault="00F25EDD" w:rsidP="00F25EDD">
            <w:pPr>
              <w:spacing w:before="80" w:after="80"/>
              <w:ind w:hanging="360"/>
              <w:jc w:val="center"/>
              <w:rPr>
                <w:b/>
                <w:sz w:val="22"/>
                <w:szCs w:val="22"/>
              </w:rPr>
            </w:pPr>
          </w:p>
        </w:tc>
        <w:tc>
          <w:tcPr>
            <w:tcW w:w="2898" w:type="dxa"/>
            <w:vMerge/>
          </w:tcPr>
          <w:p w14:paraId="5F7A344F" w14:textId="77777777" w:rsidR="00F25EDD" w:rsidRPr="00576AF8" w:rsidRDefault="00F25EDD" w:rsidP="00F25EDD">
            <w:pPr>
              <w:spacing w:before="80" w:after="80"/>
              <w:jc w:val="center"/>
              <w:rPr>
                <w:b/>
                <w:sz w:val="22"/>
                <w:szCs w:val="22"/>
              </w:rPr>
            </w:pPr>
          </w:p>
        </w:tc>
        <w:tc>
          <w:tcPr>
            <w:tcW w:w="1525" w:type="dxa"/>
            <w:vMerge w:val="restart"/>
            <w:tcBorders>
              <w:bottom w:val="nil"/>
            </w:tcBorders>
            <w:vAlign w:val="center"/>
          </w:tcPr>
          <w:p w14:paraId="6E359E0D" w14:textId="77777777" w:rsidR="00F25EDD" w:rsidRPr="00576AF8" w:rsidRDefault="00F25EDD" w:rsidP="00F25EDD">
            <w:pPr>
              <w:spacing w:before="40"/>
              <w:jc w:val="center"/>
              <w:rPr>
                <w:b/>
                <w:sz w:val="22"/>
                <w:szCs w:val="22"/>
              </w:rPr>
            </w:pPr>
            <w:r w:rsidRPr="00576AF8">
              <w:rPr>
                <w:b/>
                <w:sz w:val="22"/>
              </w:rPr>
              <w:t>Entidad única</w:t>
            </w:r>
          </w:p>
        </w:tc>
        <w:tc>
          <w:tcPr>
            <w:tcW w:w="4480" w:type="dxa"/>
            <w:gridSpan w:val="3"/>
          </w:tcPr>
          <w:p w14:paraId="19FD5362" w14:textId="77777777" w:rsidR="00F25EDD" w:rsidRPr="00576AF8" w:rsidRDefault="00F25EDD" w:rsidP="00F25EDD">
            <w:pPr>
              <w:pStyle w:val="titulo"/>
              <w:spacing w:before="40" w:after="0"/>
              <w:rPr>
                <w:rFonts w:ascii="Times New Roman" w:hAnsi="Times New Roman"/>
                <w:sz w:val="22"/>
                <w:szCs w:val="22"/>
              </w:rPr>
            </w:pPr>
            <w:r w:rsidRPr="00576AF8">
              <w:rPr>
                <w:rFonts w:ascii="Times New Roman" w:hAnsi="Times New Roman"/>
                <w:sz w:val="22"/>
              </w:rPr>
              <w:t>APCA (existente o prevista)</w:t>
            </w:r>
          </w:p>
        </w:tc>
        <w:tc>
          <w:tcPr>
            <w:tcW w:w="2043" w:type="dxa"/>
            <w:vMerge/>
          </w:tcPr>
          <w:p w14:paraId="2674976B" w14:textId="77777777" w:rsidR="00F25EDD" w:rsidRPr="00576AF8" w:rsidRDefault="00F25EDD" w:rsidP="00F25EDD">
            <w:pPr>
              <w:pStyle w:val="titulo"/>
              <w:spacing w:before="40" w:after="0"/>
              <w:rPr>
                <w:rFonts w:ascii="Times New Roman" w:hAnsi="Times New Roman"/>
                <w:sz w:val="22"/>
                <w:szCs w:val="22"/>
              </w:rPr>
            </w:pPr>
          </w:p>
        </w:tc>
      </w:tr>
      <w:tr w:rsidR="00F25EDD" w:rsidRPr="00576AF8" w14:paraId="07B1CD11" w14:textId="77777777" w:rsidTr="00F25EDD">
        <w:trPr>
          <w:trHeight w:val="575"/>
          <w:tblHeader/>
        </w:trPr>
        <w:tc>
          <w:tcPr>
            <w:tcW w:w="2091" w:type="dxa"/>
            <w:vMerge/>
            <w:tcBorders>
              <w:bottom w:val="single" w:sz="4" w:space="0" w:color="auto"/>
            </w:tcBorders>
          </w:tcPr>
          <w:p w14:paraId="27275B1E" w14:textId="77777777" w:rsidR="00F25EDD" w:rsidRPr="00576AF8" w:rsidRDefault="00F25EDD" w:rsidP="00F25EDD">
            <w:pPr>
              <w:ind w:left="360" w:hanging="360"/>
              <w:rPr>
                <w:b/>
                <w:sz w:val="22"/>
                <w:szCs w:val="22"/>
              </w:rPr>
            </w:pPr>
          </w:p>
        </w:tc>
        <w:tc>
          <w:tcPr>
            <w:tcW w:w="2898" w:type="dxa"/>
            <w:vMerge/>
            <w:tcBorders>
              <w:bottom w:val="single" w:sz="4" w:space="0" w:color="auto"/>
            </w:tcBorders>
          </w:tcPr>
          <w:p w14:paraId="2BDF5216" w14:textId="77777777" w:rsidR="00F25EDD" w:rsidRPr="00576AF8" w:rsidRDefault="00F25EDD" w:rsidP="00F25EDD">
            <w:pPr>
              <w:ind w:left="360" w:hanging="360"/>
              <w:rPr>
                <w:b/>
                <w:sz w:val="22"/>
                <w:szCs w:val="22"/>
              </w:rPr>
            </w:pPr>
          </w:p>
        </w:tc>
        <w:tc>
          <w:tcPr>
            <w:tcW w:w="1525" w:type="dxa"/>
            <w:vMerge/>
            <w:tcBorders>
              <w:bottom w:val="single" w:sz="4" w:space="0" w:color="auto"/>
            </w:tcBorders>
          </w:tcPr>
          <w:p w14:paraId="315CD4B5" w14:textId="77777777" w:rsidR="00F25EDD" w:rsidRPr="00576AF8" w:rsidRDefault="00F25EDD" w:rsidP="00F25EDD">
            <w:pPr>
              <w:keepNext/>
              <w:spacing w:before="40"/>
              <w:rPr>
                <w:b/>
                <w:sz w:val="22"/>
                <w:szCs w:val="22"/>
              </w:rPr>
            </w:pPr>
          </w:p>
        </w:tc>
        <w:tc>
          <w:tcPr>
            <w:tcW w:w="1554" w:type="dxa"/>
            <w:tcBorders>
              <w:bottom w:val="single" w:sz="4" w:space="0" w:color="auto"/>
            </w:tcBorders>
            <w:vAlign w:val="center"/>
          </w:tcPr>
          <w:p w14:paraId="5158FEDE" w14:textId="77777777" w:rsidR="00F25EDD" w:rsidRPr="00576AF8" w:rsidRDefault="00F25EDD" w:rsidP="00746BDA">
            <w:pPr>
              <w:spacing w:before="40"/>
              <w:ind w:left="-129" w:right="-92"/>
              <w:jc w:val="center"/>
              <w:rPr>
                <w:b/>
                <w:spacing w:val="-4"/>
                <w:sz w:val="22"/>
                <w:szCs w:val="22"/>
              </w:rPr>
            </w:pPr>
            <w:r w:rsidRPr="00576AF8">
              <w:rPr>
                <w:b/>
                <w:spacing w:val="-4"/>
                <w:sz w:val="20"/>
              </w:rPr>
              <w:t>Todos los miembros conjuntamente</w:t>
            </w:r>
          </w:p>
        </w:tc>
        <w:tc>
          <w:tcPr>
            <w:tcW w:w="1582" w:type="dxa"/>
            <w:tcBorders>
              <w:bottom w:val="single" w:sz="4" w:space="0" w:color="auto"/>
            </w:tcBorders>
            <w:vAlign w:val="center"/>
          </w:tcPr>
          <w:p w14:paraId="5E365FB1" w14:textId="77777777" w:rsidR="00F25EDD" w:rsidRPr="00576AF8" w:rsidRDefault="00F25EDD" w:rsidP="00F25EDD">
            <w:pPr>
              <w:spacing w:before="40"/>
              <w:jc w:val="center"/>
              <w:rPr>
                <w:b/>
                <w:sz w:val="22"/>
                <w:szCs w:val="22"/>
              </w:rPr>
            </w:pPr>
            <w:r w:rsidRPr="00576AF8">
              <w:rPr>
                <w:b/>
                <w:sz w:val="22"/>
              </w:rPr>
              <w:t>Cada miembro</w:t>
            </w:r>
          </w:p>
        </w:tc>
        <w:tc>
          <w:tcPr>
            <w:tcW w:w="1344" w:type="dxa"/>
            <w:tcBorders>
              <w:bottom w:val="single" w:sz="4" w:space="0" w:color="auto"/>
            </w:tcBorders>
            <w:vAlign w:val="center"/>
          </w:tcPr>
          <w:p w14:paraId="6701E95B" w14:textId="77777777" w:rsidR="00F25EDD" w:rsidRPr="00576AF8" w:rsidRDefault="00F25EDD" w:rsidP="00F25EDD">
            <w:pPr>
              <w:spacing w:before="40"/>
              <w:jc w:val="center"/>
              <w:rPr>
                <w:b/>
                <w:sz w:val="22"/>
                <w:szCs w:val="22"/>
              </w:rPr>
            </w:pPr>
            <w:r w:rsidRPr="00576AF8">
              <w:rPr>
                <w:b/>
                <w:sz w:val="22"/>
              </w:rPr>
              <w:t>Al menos un miembro</w:t>
            </w:r>
          </w:p>
        </w:tc>
        <w:tc>
          <w:tcPr>
            <w:tcW w:w="2043" w:type="dxa"/>
            <w:vMerge/>
            <w:tcBorders>
              <w:bottom w:val="single" w:sz="4" w:space="0" w:color="auto"/>
            </w:tcBorders>
          </w:tcPr>
          <w:p w14:paraId="4F624304" w14:textId="77777777" w:rsidR="00F25EDD" w:rsidRPr="00576AF8" w:rsidRDefault="00F25EDD" w:rsidP="00F25EDD">
            <w:pPr>
              <w:spacing w:before="40"/>
              <w:rPr>
                <w:b/>
                <w:sz w:val="22"/>
                <w:szCs w:val="22"/>
              </w:rPr>
            </w:pPr>
          </w:p>
        </w:tc>
      </w:tr>
      <w:tr w:rsidR="00F25EDD" w:rsidRPr="00576AF8" w14:paraId="3CAB53A2" w14:textId="77777777" w:rsidTr="00F25EDD">
        <w:trPr>
          <w:trHeight w:val="2689"/>
        </w:trPr>
        <w:tc>
          <w:tcPr>
            <w:tcW w:w="2091" w:type="dxa"/>
            <w:tcBorders>
              <w:bottom w:val="single" w:sz="4" w:space="0" w:color="auto"/>
            </w:tcBorders>
          </w:tcPr>
          <w:p w14:paraId="4B14CC22" w14:textId="77777777" w:rsidR="00F25EDD" w:rsidRPr="00576AF8" w:rsidRDefault="00F117C1" w:rsidP="004B0CD6">
            <w:pPr>
              <w:keepNext/>
              <w:keepLines/>
              <w:tabs>
                <w:tab w:val="left" w:pos="572"/>
              </w:tabs>
              <w:spacing w:before="60"/>
              <w:jc w:val="left"/>
              <w:outlineLvl w:val="4"/>
              <w:rPr>
                <w:sz w:val="20"/>
              </w:rPr>
            </w:pPr>
            <w:bookmarkStart w:id="395" w:name="_Toc496968131"/>
            <w:bookmarkStart w:id="396" w:name="_Toc445567366"/>
            <w:r w:rsidRPr="00576AF8">
              <w:rPr>
                <w:sz w:val="20"/>
              </w:rPr>
              <w:t>6</w:t>
            </w:r>
            <w:r w:rsidR="004B0CD6" w:rsidRPr="00576AF8">
              <w:rPr>
                <w:sz w:val="20"/>
              </w:rPr>
              <w:t>.3.1</w:t>
            </w:r>
            <w:r w:rsidR="004B0CD6" w:rsidRPr="00576AF8">
              <w:rPr>
                <w:sz w:val="20"/>
              </w:rPr>
              <w:tab/>
            </w:r>
            <w:r w:rsidR="00F25EDD" w:rsidRPr="00576AF8">
              <w:rPr>
                <w:sz w:val="20"/>
              </w:rPr>
              <w:t>Historial de desempeño financiero</w:t>
            </w:r>
            <w:bookmarkEnd w:id="395"/>
            <w:bookmarkEnd w:id="396"/>
          </w:p>
        </w:tc>
        <w:tc>
          <w:tcPr>
            <w:tcW w:w="2898" w:type="dxa"/>
            <w:tcBorders>
              <w:bottom w:val="single" w:sz="4" w:space="0" w:color="auto"/>
            </w:tcBorders>
          </w:tcPr>
          <w:p w14:paraId="77E80EB6" w14:textId="77777777" w:rsidR="00F25EDD" w:rsidRPr="00576AF8" w:rsidRDefault="00F25EDD" w:rsidP="00F25EDD">
            <w:pPr>
              <w:pStyle w:val="Sangradetextonormal"/>
              <w:spacing w:before="60" w:after="120"/>
              <w:ind w:left="0"/>
              <w:jc w:val="left"/>
              <w:rPr>
                <w:sz w:val="20"/>
              </w:rPr>
            </w:pPr>
            <w:r w:rsidRPr="00576AF8">
              <w:rPr>
                <w:sz w:val="20"/>
              </w:rPr>
              <w:t>Presentación de</w:t>
            </w:r>
            <w:r w:rsidR="0066536A" w:rsidRPr="00576AF8">
              <w:rPr>
                <w:sz w:val="20"/>
              </w:rPr>
              <w:t xml:space="preserve"> </w:t>
            </w:r>
            <w:r w:rsidRPr="00576AF8">
              <w:rPr>
                <w:sz w:val="20"/>
              </w:rPr>
              <w:t>l</w:t>
            </w:r>
            <w:r w:rsidR="0066536A" w:rsidRPr="00576AF8">
              <w:rPr>
                <w:sz w:val="20"/>
              </w:rPr>
              <w:t>os</w:t>
            </w:r>
            <w:r w:rsidRPr="00576AF8">
              <w:rPr>
                <w:sz w:val="20"/>
              </w:rPr>
              <w:t xml:space="preserve"> balance</w:t>
            </w:r>
            <w:r w:rsidR="0066536A" w:rsidRPr="00576AF8">
              <w:rPr>
                <w:sz w:val="20"/>
              </w:rPr>
              <w:t>s</w:t>
            </w:r>
            <w:r w:rsidRPr="00576AF8">
              <w:rPr>
                <w:sz w:val="20"/>
              </w:rPr>
              <w:t xml:space="preserve"> general</w:t>
            </w:r>
            <w:r w:rsidR="0066536A" w:rsidRPr="00576AF8">
              <w:rPr>
                <w:sz w:val="20"/>
              </w:rPr>
              <w:t>es</w:t>
            </w:r>
            <w:r w:rsidRPr="00576AF8">
              <w:rPr>
                <w:sz w:val="20"/>
              </w:rPr>
              <w:t xml:space="preserve"> auditado</w:t>
            </w:r>
            <w:r w:rsidR="0066536A" w:rsidRPr="00576AF8">
              <w:rPr>
                <w:sz w:val="20"/>
              </w:rPr>
              <w:t>s</w:t>
            </w:r>
            <w:r w:rsidRPr="00576AF8">
              <w:rPr>
                <w:sz w:val="20"/>
              </w:rPr>
              <w:t xml:space="preserve">, o bien, si este no fuera obligatorio en virtud de las leyes del país del Licitante, otros estados financieros aceptables para el Comprador, correspondientes a los últimos </w:t>
            </w:r>
            <w:r w:rsidR="00E83CB2" w:rsidRPr="00576AF8">
              <w:rPr>
                <w:sz w:val="20"/>
              </w:rPr>
              <w:t>5</w:t>
            </w:r>
            <w:r w:rsidRPr="00576AF8">
              <w:rPr>
                <w:sz w:val="20"/>
              </w:rPr>
              <w:t xml:space="preserve"> años, a fin de demostrar la solvencia financiera actual del Licitante y sus perspectivas de rentabilidad a largo plazo.</w:t>
            </w:r>
          </w:p>
        </w:tc>
        <w:tc>
          <w:tcPr>
            <w:tcW w:w="1525" w:type="dxa"/>
            <w:tcBorders>
              <w:bottom w:val="single" w:sz="4" w:space="0" w:color="auto"/>
            </w:tcBorders>
            <w:vAlign w:val="center"/>
          </w:tcPr>
          <w:p w14:paraId="1C895E92" w14:textId="77777777" w:rsidR="00F25EDD" w:rsidRPr="00576AF8" w:rsidRDefault="00F25EDD" w:rsidP="00746BDA">
            <w:pPr>
              <w:spacing w:before="60" w:after="60"/>
              <w:jc w:val="left"/>
              <w:rPr>
                <w:sz w:val="20"/>
              </w:rPr>
            </w:pPr>
            <w:r w:rsidRPr="00576AF8">
              <w:rPr>
                <w:sz w:val="20"/>
              </w:rPr>
              <w:t>Debe cumplir con el requisito.</w:t>
            </w:r>
          </w:p>
        </w:tc>
        <w:tc>
          <w:tcPr>
            <w:tcW w:w="1554" w:type="dxa"/>
            <w:tcBorders>
              <w:bottom w:val="single" w:sz="4" w:space="0" w:color="auto"/>
            </w:tcBorders>
            <w:vAlign w:val="center"/>
          </w:tcPr>
          <w:p w14:paraId="5CFDC3A8" w14:textId="77777777" w:rsidR="00F25EDD" w:rsidRPr="00576AF8" w:rsidRDefault="00F25EDD" w:rsidP="00F25EDD">
            <w:pPr>
              <w:spacing w:before="60" w:after="60"/>
              <w:jc w:val="center"/>
              <w:rPr>
                <w:sz w:val="20"/>
              </w:rPr>
            </w:pPr>
            <w:r w:rsidRPr="00576AF8">
              <w:rPr>
                <w:sz w:val="20"/>
              </w:rPr>
              <w:t>N/C</w:t>
            </w:r>
          </w:p>
        </w:tc>
        <w:tc>
          <w:tcPr>
            <w:tcW w:w="1582" w:type="dxa"/>
            <w:tcBorders>
              <w:bottom w:val="single" w:sz="4" w:space="0" w:color="auto"/>
            </w:tcBorders>
            <w:vAlign w:val="center"/>
          </w:tcPr>
          <w:p w14:paraId="0E47DBDA" w14:textId="77777777" w:rsidR="00F25EDD" w:rsidRPr="00576AF8" w:rsidRDefault="00F25EDD" w:rsidP="00746BDA">
            <w:pPr>
              <w:spacing w:before="60" w:after="60"/>
              <w:jc w:val="left"/>
              <w:rPr>
                <w:sz w:val="20"/>
              </w:rPr>
            </w:pPr>
            <w:r w:rsidRPr="00576AF8">
              <w:rPr>
                <w:sz w:val="20"/>
              </w:rPr>
              <w:t>Debe cumplir con el requisito.</w:t>
            </w:r>
          </w:p>
        </w:tc>
        <w:tc>
          <w:tcPr>
            <w:tcW w:w="1344" w:type="dxa"/>
            <w:tcBorders>
              <w:bottom w:val="single" w:sz="4" w:space="0" w:color="auto"/>
            </w:tcBorders>
            <w:vAlign w:val="center"/>
          </w:tcPr>
          <w:p w14:paraId="75C9E92C" w14:textId="77777777" w:rsidR="00F25EDD" w:rsidRPr="00576AF8" w:rsidRDefault="00F25EDD" w:rsidP="00F25EDD">
            <w:pPr>
              <w:spacing w:before="60" w:after="60"/>
              <w:jc w:val="center"/>
              <w:rPr>
                <w:sz w:val="20"/>
              </w:rPr>
            </w:pPr>
            <w:r w:rsidRPr="00576AF8">
              <w:rPr>
                <w:sz w:val="20"/>
              </w:rPr>
              <w:t>N/C</w:t>
            </w:r>
          </w:p>
        </w:tc>
        <w:tc>
          <w:tcPr>
            <w:tcW w:w="2043" w:type="dxa"/>
            <w:tcBorders>
              <w:bottom w:val="single" w:sz="4" w:space="0" w:color="auto"/>
            </w:tcBorders>
            <w:vAlign w:val="center"/>
          </w:tcPr>
          <w:p w14:paraId="5E0338EA" w14:textId="77777777" w:rsidR="00F25EDD" w:rsidRPr="00576AF8" w:rsidRDefault="00F25EDD">
            <w:pPr>
              <w:pStyle w:val="Outline"/>
              <w:spacing w:before="60" w:after="60"/>
              <w:jc w:val="center"/>
              <w:rPr>
                <w:kern w:val="0"/>
                <w:sz w:val="20"/>
              </w:rPr>
            </w:pPr>
            <w:r w:rsidRPr="00576AF8">
              <w:rPr>
                <w:kern w:val="0"/>
                <w:sz w:val="20"/>
              </w:rPr>
              <w:t xml:space="preserve">Formulario </w:t>
            </w:r>
            <w:r w:rsidR="00AF7C26" w:rsidRPr="00576AF8">
              <w:rPr>
                <w:kern w:val="0"/>
                <w:sz w:val="20"/>
              </w:rPr>
              <w:br/>
            </w:r>
            <w:r w:rsidRPr="00576AF8">
              <w:rPr>
                <w:kern w:val="0"/>
                <w:sz w:val="20"/>
              </w:rPr>
              <w:t xml:space="preserve">FIN – </w:t>
            </w:r>
            <w:r w:rsidR="00C55426" w:rsidRPr="00576AF8">
              <w:rPr>
                <w:kern w:val="0"/>
                <w:sz w:val="20"/>
              </w:rPr>
              <w:t>5</w:t>
            </w:r>
            <w:r w:rsidRPr="00576AF8">
              <w:rPr>
                <w:kern w:val="0"/>
                <w:sz w:val="20"/>
              </w:rPr>
              <w:t>.3.1 con archivos adjuntos</w:t>
            </w:r>
          </w:p>
        </w:tc>
      </w:tr>
      <w:tr w:rsidR="00F25EDD" w:rsidRPr="00576AF8" w14:paraId="2703519C" w14:textId="77777777" w:rsidTr="00F25EDD">
        <w:trPr>
          <w:trHeight w:val="826"/>
        </w:trPr>
        <w:tc>
          <w:tcPr>
            <w:tcW w:w="2091" w:type="dxa"/>
            <w:tcBorders>
              <w:bottom w:val="single" w:sz="6" w:space="0" w:color="000000"/>
            </w:tcBorders>
          </w:tcPr>
          <w:p w14:paraId="13B4338A" w14:textId="77777777" w:rsidR="00F25EDD" w:rsidRPr="00576AF8" w:rsidRDefault="00F117C1" w:rsidP="004B0CD6">
            <w:pPr>
              <w:keepNext/>
              <w:keepLines/>
              <w:tabs>
                <w:tab w:val="left" w:pos="572"/>
              </w:tabs>
              <w:spacing w:before="60"/>
              <w:jc w:val="left"/>
              <w:outlineLvl w:val="4"/>
              <w:rPr>
                <w:sz w:val="20"/>
              </w:rPr>
            </w:pPr>
            <w:bookmarkStart w:id="397" w:name="_Toc445567370"/>
            <w:r w:rsidRPr="00576AF8">
              <w:rPr>
                <w:sz w:val="20"/>
              </w:rPr>
              <w:t>6</w:t>
            </w:r>
            <w:r w:rsidR="00F25EDD" w:rsidRPr="00576AF8">
              <w:rPr>
                <w:sz w:val="20"/>
              </w:rPr>
              <w:t>.3.2</w:t>
            </w:r>
            <w:r w:rsidR="00F25EDD" w:rsidRPr="00576AF8">
              <w:rPr>
                <w:sz w:val="20"/>
              </w:rPr>
              <w:tab/>
              <w:t>Facturación media anual</w:t>
            </w:r>
            <w:bookmarkEnd w:id="397"/>
          </w:p>
          <w:p w14:paraId="0329E5C4" w14:textId="77777777" w:rsidR="00F25EDD" w:rsidRPr="00576AF8" w:rsidRDefault="00F25EDD" w:rsidP="004B0CD6">
            <w:pPr>
              <w:tabs>
                <w:tab w:val="left" w:pos="572"/>
              </w:tabs>
              <w:spacing w:before="60"/>
              <w:jc w:val="left"/>
              <w:rPr>
                <w:sz w:val="20"/>
              </w:rPr>
            </w:pPr>
          </w:p>
        </w:tc>
        <w:tc>
          <w:tcPr>
            <w:tcW w:w="2898" w:type="dxa"/>
            <w:tcBorders>
              <w:bottom w:val="single" w:sz="6" w:space="0" w:color="000000"/>
            </w:tcBorders>
          </w:tcPr>
          <w:p w14:paraId="79603F41" w14:textId="77777777" w:rsidR="00F25EDD" w:rsidRPr="00576AF8" w:rsidRDefault="00F25EDD" w:rsidP="00746BDA">
            <w:pPr>
              <w:spacing w:before="60"/>
              <w:jc w:val="left"/>
              <w:rPr>
                <w:sz w:val="20"/>
              </w:rPr>
            </w:pPr>
            <w:r w:rsidRPr="00576AF8">
              <w:rPr>
                <w:sz w:val="20"/>
              </w:rPr>
              <w:t xml:space="preserve">Promedio mínimo de facturación anual de </w:t>
            </w:r>
            <w:r w:rsidR="00EF61A7" w:rsidRPr="00576AF8">
              <w:rPr>
                <w:sz w:val="20"/>
              </w:rPr>
              <w:t xml:space="preserve">USD </w:t>
            </w:r>
            <w:r w:rsidR="0066536A" w:rsidRPr="00576AF8">
              <w:rPr>
                <w:sz w:val="20"/>
              </w:rPr>
              <w:t>8</w:t>
            </w:r>
            <w:r w:rsidR="00EF61A7" w:rsidRPr="00576AF8">
              <w:rPr>
                <w:sz w:val="20"/>
              </w:rPr>
              <w:t>.000.000</w:t>
            </w:r>
            <w:r w:rsidRPr="00576AF8">
              <w:rPr>
                <w:sz w:val="20"/>
              </w:rPr>
              <w:t xml:space="preserve"> calculada como el total de pagos certificados recibidos por contratos en curso o terminados en los últimos </w:t>
            </w:r>
            <w:r w:rsidR="00EF61A7" w:rsidRPr="00576AF8">
              <w:rPr>
                <w:sz w:val="20"/>
              </w:rPr>
              <w:t>5</w:t>
            </w:r>
            <w:r w:rsidRPr="00576AF8">
              <w:rPr>
                <w:sz w:val="20"/>
              </w:rPr>
              <w:t xml:space="preserve"> años</w:t>
            </w:r>
            <w:r w:rsidR="00EF61A7" w:rsidRPr="00576AF8">
              <w:rPr>
                <w:sz w:val="20"/>
              </w:rPr>
              <w:t>, contados hasta la fecha de presentación de la oferta</w:t>
            </w:r>
            <w:r w:rsidR="0066536A" w:rsidRPr="00576AF8">
              <w:rPr>
                <w:sz w:val="20"/>
              </w:rPr>
              <w:t>, relacionados a la venta de bienes o servicios tecnológicos o informáticos</w:t>
            </w:r>
            <w:r w:rsidR="00EF61A7" w:rsidRPr="00576AF8">
              <w:rPr>
                <w:sz w:val="20"/>
              </w:rPr>
              <w:t>.</w:t>
            </w:r>
          </w:p>
        </w:tc>
        <w:tc>
          <w:tcPr>
            <w:tcW w:w="1525" w:type="dxa"/>
            <w:tcBorders>
              <w:top w:val="nil"/>
              <w:bottom w:val="single" w:sz="6" w:space="0" w:color="000000"/>
            </w:tcBorders>
            <w:vAlign w:val="center"/>
          </w:tcPr>
          <w:p w14:paraId="7C67A383" w14:textId="77777777" w:rsidR="00F25EDD" w:rsidRPr="00576AF8" w:rsidRDefault="00F25EDD" w:rsidP="00746BDA">
            <w:pPr>
              <w:spacing w:before="60" w:after="60"/>
              <w:jc w:val="left"/>
              <w:rPr>
                <w:sz w:val="20"/>
              </w:rPr>
            </w:pPr>
            <w:r w:rsidRPr="00576AF8">
              <w:rPr>
                <w:sz w:val="20"/>
              </w:rPr>
              <w:t>Debe cumplir con el requisito.</w:t>
            </w:r>
          </w:p>
        </w:tc>
        <w:tc>
          <w:tcPr>
            <w:tcW w:w="1554" w:type="dxa"/>
            <w:tcBorders>
              <w:top w:val="nil"/>
              <w:bottom w:val="single" w:sz="6" w:space="0" w:color="000000"/>
            </w:tcBorders>
            <w:vAlign w:val="center"/>
          </w:tcPr>
          <w:p w14:paraId="2EF8D5F2" w14:textId="77777777" w:rsidR="00F25EDD" w:rsidRPr="00576AF8" w:rsidRDefault="00F25EDD" w:rsidP="00746BDA">
            <w:pPr>
              <w:spacing w:before="60" w:after="60"/>
              <w:jc w:val="left"/>
              <w:rPr>
                <w:sz w:val="20"/>
              </w:rPr>
            </w:pPr>
            <w:r w:rsidRPr="00576AF8">
              <w:rPr>
                <w:sz w:val="20"/>
              </w:rPr>
              <w:t>Debe cumplir con el requisito.</w:t>
            </w:r>
          </w:p>
        </w:tc>
        <w:tc>
          <w:tcPr>
            <w:tcW w:w="1582" w:type="dxa"/>
            <w:tcBorders>
              <w:top w:val="nil"/>
              <w:bottom w:val="single" w:sz="6" w:space="0" w:color="000000"/>
            </w:tcBorders>
            <w:vAlign w:val="center"/>
          </w:tcPr>
          <w:p w14:paraId="1B347A69" w14:textId="77777777" w:rsidR="00F25EDD" w:rsidRPr="00576AF8" w:rsidRDefault="00F25EDD" w:rsidP="00AF7C26">
            <w:pPr>
              <w:pStyle w:val="Style11"/>
              <w:tabs>
                <w:tab w:val="left" w:leader="dot" w:pos="8424"/>
              </w:tabs>
              <w:spacing w:line="240" w:lineRule="auto"/>
              <w:jc w:val="center"/>
              <w:rPr>
                <w:sz w:val="20"/>
                <w:szCs w:val="20"/>
              </w:rPr>
            </w:pPr>
            <w:r w:rsidRPr="00576AF8">
              <w:rPr>
                <w:sz w:val="20"/>
                <w:szCs w:val="20"/>
              </w:rPr>
              <w:t>N/C</w:t>
            </w:r>
          </w:p>
        </w:tc>
        <w:tc>
          <w:tcPr>
            <w:tcW w:w="1344" w:type="dxa"/>
            <w:tcBorders>
              <w:top w:val="nil"/>
              <w:bottom w:val="single" w:sz="6" w:space="0" w:color="000000"/>
            </w:tcBorders>
            <w:vAlign w:val="center"/>
          </w:tcPr>
          <w:p w14:paraId="4748CB49" w14:textId="77777777" w:rsidR="00F25EDD" w:rsidRPr="00576AF8" w:rsidRDefault="00F25EDD" w:rsidP="00AF7C26">
            <w:pPr>
              <w:pStyle w:val="Style11"/>
              <w:tabs>
                <w:tab w:val="left" w:leader="dot" w:pos="8424"/>
              </w:tabs>
              <w:spacing w:line="240" w:lineRule="auto"/>
              <w:jc w:val="center"/>
              <w:rPr>
                <w:sz w:val="20"/>
                <w:szCs w:val="20"/>
              </w:rPr>
            </w:pPr>
            <w:r w:rsidRPr="00576AF8">
              <w:rPr>
                <w:sz w:val="20"/>
                <w:szCs w:val="20"/>
              </w:rPr>
              <w:t>N/C</w:t>
            </w:r>
          </w:p>
        </w:tc>
        <w:tc>
          <w:tcPr>
            <w:tcW w:w="2043" w:type="dxa"/>
            <w:tcBorders>
              <w:bottom w:val="single" w:sz="6" w:space="0" w:color="000000"/>
            </w:tcBorders>
            <w:vAlign w:val="center"/>
          </w:tcPr>
          <w:p w14:paraId="4EAB91C0" w14:textId="77777777" w:rsidR="00F25EDD" w:rsidRPr="00576AF8" w:rsidRDefault="00F25EDD">
            <w:pPr>
              <w:spacing w:before="60" w:after="60"/>
              <w:jc w:val="center"/>
              <w:rPr>
                <w:sz w:val="20"/>
              </w:rPr>
            </w:pPr>
            <w:r w:rsidRPr="00576AF8">
              <w:rPr>
                <w:sz w:val="20"/>
              </w:rPr>
              <w:t>Formulario FIN -</w:t>
            </w:r>
            <w:r w:rsidR="00C55426" w:rsidRPr="00576AF8">
              <w:rPr>
                <w:sz w:val="20"/>
              </w:rPr>
              <w:t xml:space="preserve"> 5</w:t>
            </w:r>
            <w:r w:rsidRPr="00576AF8">
              <w:rPr>
                <w:sz w:val="20"/>
              </w:rPr>
              <w:t>.3.2</w:t>
            </w:r>
          </w:p>
        </w:tc>
      </w:tr>
      <w:tr w:rsidR="00F25EDD" w:rsidRPr="00576AF8" w14:paraId="1A0FBF13" w14:textId="77777777" w:rsidTr="00F25EDD">
        <w:trPr>
          <w:trHeight w:val="3281"/>
        </w:trPr>
        <w:tc>
          <w:tcPr>
            <w:tcW w:w="2091" w:type="dxa"/>
          </w:tcPr>
          <w:p w14:paraId="455EA5DD" w14:textId="77777777" w:rsidR="00F25EDD" w:rsidRPr="00576AF8" w:rsidRDefault="00F117C1" w:rsidP="004B0CD6">
            <w:pPr>
              <w:keepNext/>
              <w:keepLines/>
              <w:tabs>
                <w:tab w:val="left" w:pos="572"/>
              </w:tabs>
              <w:spacing w:before="60"/>
              <w:jc w:val="left"/>
              <w:outlineLvl w:val="4"/>
              <w:rPr>
                <w:sz w:val="20"/>
              </w:rPr>
            </w:pPr>
            <w:bookmarkStart w:id="398" w:name="_Toc445567371"/>
            <w:r w:rsidRPr="00576AF8">
              <w:rPr>
                <w:sz w:val="20"/>
              </w:rPr>
              <w:lastRenderedPageBreak/>
              <w:t>6</w:t>
            </w:r>
            <w:r w:rsidR="00F25EDD" w:rsidRPr="00576AF8">
              <w:rPr>
                <w:sz w:val="20"/>
              </w:rPr>
              <w:t>.3.3</w:t>
            </w:r>
            <w:r w:rsidR="004B0CD6" w:rsidRPr="00576AF8">
              <w:rPr>
                <w:sz w:val="20"/>
              </w:rPr>
              <w:tab/>
            </w:r>
            <w:r w:rsidR="00F25EDD" w:rsidRPr="00576AF8">
              <w:rPr>
                <w:sz w:val="20"/>
              </w:rPr>
              <w:t>Recursos financieros</w:t>
            </w:r>
            <w:bookmarkEnd w:id="398"/>
          </w:p>
        </w:tc>
        <w:tc>
          <w:tcPr>
            <w:tcW w:w="2898" w:type="dxa"/>
          </w:tcPr>
          <w:p w14:paraId="5B0DE11B" w14:textId="77777777" w:rsidR="00F25EDD" w:rsidRPr="00576AF8" w:rsidRDefault="00F25EDD" w:rsidP="00746BDA">
            <w:pPr>
              <w:spacing w:before="60" w:after="60"/>
              <w:jc w:val="left"/>
              <w:rPr>
                <w:iCs/>
                <w:sz w:val="20"/>
              </w:rPr>
            </w:pPr>
            <w:r w:rsidRPr="00576AF8">
              <w:rPr>
                <w:sz w:val="20"/>
              </w:rPr>
              <w:t>El Licitante deberá demostrar que tiene a su disposición recursos financieros tales como activos líquidos</w:t>
            </w:r>
            <w:r w:rsidR="00F1432D" w:rsidRPr="00576AF8">
              <w:rPr>
                <w:sz w:val="20"/>
              </w:rPr>
              <w:t xml:space="preserve"> y </w:t>
            </w:r>
            <w:r w:rsidRPr="00576AF8">
              <w:rPr>
                <w:sz w:val="20"/>
              </w:rPr>
              <w:t xml:space="preserve">líneas de crédito </w:t>
            </w:r>
            <w:r w:rsidR="00EF61A7" w:rsidRPr="00576AF8">
              <w:rPr>
                <w:sz w:val="20"/>
              </w:rPr>
              <w:t xml:space="preserve">aceptables para el Comprador </w:t>
            </w:r>
            <w:r w:rsidRPr="00576AF8">
              <w:rPr>
                <w:sz w:val="20"/>
              </w:rPr>
              <w:t>distintos de pagos por anticipos contractuales o cuenta con acceso a esos recursos, con los cuales cubrir el siguiente requisito de flujo de efectivo:</w:t>
            </w:r>
          </w:p>
          <w:p w14:paraId="3E81B023" w14:textId="4717EC41" w:rsidR="00F25EDD" w:rsidRPr="00576AF8" w:rsidRDefault="005432F2" w:rsidP="00746BDA">
            <w:pPr>
              <w:pStyle w:val="Piedepgina"/>
              <w:spacing w:before="60" w:after="60"/>
              <w:rPr>
                <w:sz w:val="20"/>
              </w:rPr>
            </w:pPr>
            <w:r>
              <w:rPr>
                <w:sz w:val="20"/>
              </w:rPr>
              <w:t>3.000.000 Dólares de los Estados Unidos de América</w:t>
            </w:r>
          </w:p>
          <w:p w14:paraId="104EF4B3" w14:textId="32089E11" w:rsidR="00A3738D" w:rsidRPr="00576AF8" w:rsidRDefault="00A3738D" w:rsidP="00746BDA">
            <w:pPr>
              <w:pStyle w:val="Piedepgina"/>
              <w:spacing w:before="60" w:after="60"/>
              <w:rPr>
                <w:iCs/>
                <w:sz w:val="20"/>
              </w:rPr>
            </w:pPr>
            <w:r w:rsidRPr="00576AF8">
              <w:rPr>
                <w:sz w:val="20"/>
              </w:rPr>
              <w:t xml:space="preserve">NOTA: En caso de que el licitante solicite renunciar al anticipo dentro de su oferta, el monto de acceso a recursos financieros a demostrar </w:t>
            </w:r>
            <w:r w:rsidR="00F27819">
              <w:rPr>
                <w:sz w:val="20"/>
              </w:rPr>
              <w:t>será de</w:t>
            </w:r>
            <w:r w:rsidRPr="00576AF8">
              <w:rPr>
                <w:sz w:val="20"/>
              </w:rPr>
              <w:t xml:space="preserve"> </w:t>
            </w:r>
            <w:r w:rsidR="00F27819">
              <w:rPr>
                <w:sz w:val="20"/>
              </w:rPr>
              <w:t>5.500.000 Dólares de los Estados Unidos de América</w:t>
            </w:r>
            <w:r w:rsidRPr="00576AF8">
              <w:rPr>
                <w:sz w:val="20"/>
              </w:rPr>
              <w:t>.</w:t>
            </w:r>
          </w:p>
        </w:tc>
        <w:tc>
          <w:tcPr>
            <w:tcW w:w="1525" w:type="dxa"/>
            <w:tcBorders>
              <w:bottom w:val="single" w:sz="4" w:space="0" w:color="auto"/>
            </w:tcBorders>
            <w:vAlign w:val="center"/>
          </w:tcPr>
          <w:p w14:paraId="400E4388" w14:textId="77777777" w:rsidR="00F25EDD" w:rsidRPr="00576AF8" w:rsidRDefault="00F25EDD" w:rsidP="00746BDA">
            <w:pPr>
              <w:spacing w:before="60" w:after="60"/>
              <w:jc w:val="left"/>
              <w:rPr>
                <w:sz w:val="20"/>
              </w:rPr>
            </w:pPr>
            <w:r w:rsidRPr="00576AF8">
              <w:rPr>
                <w:sz w:val="20"/>
              </w:rPr>
              <w:t>Debe cumplir con el requisito.</w:t>
            </w:r>
          </w:p>
        </w:tc>
        <w:tc>
          <w:tcPr>
            <w:tcW w:w="1554" w:type="dxa"/>
            <w:tcBorders>
              <w:bottom w:val="single" w:sz="4" w:space="0" w:color="auto"/>
            </w:tcBorders>
            <w:vAlign w:val="center"/>
          </w:tcPr>
          <w:p w14:paraId="7E417D56" w14:textId="77777777" w:rsidR="00F25EDD" w:rsidRPr="00576AF8" w:rsidRDefault="00F25EDD" w:rsidP="00746BDA">
            <w:pPr>
              <w:spacing w:before="60" w:after="60"/>
              <w:jc w:val="left"/>
              <w:rPr>
                <w:sz w:val="20"/>
              </w:rPr>
            </w:pPr>
            <w:r w:rsidRPr="00576AF8">
              <w:rPr>
                <w:sz w:val="20"/>
              </w:rPr>
              <w:t>Debe cumplir con el requisito.</w:t>
            </w:r>
          </w:p>
        </w:tc>
        <w:tc>
          <w:tcPr>
            <w:tcW w:w="1582" w:type="dxa"/>
            <w:tcBorders>
              <w:bottom w:val="single" w:sz="4" w:space="0" w:color="auto"/>
            </w:tcBorders>
            <w:vAlign w:val="center"/>
          </w:tcPr>
          <w:p w14:paraId="317250A4" w14:textId="77777777" w:rsidR="00F25EDD" w:rsidRPr="00576AF8" w:rsidRDefault="00F25EDD" w:rsidP="00746BDA">
            <w:pPr>
              <w:pStyle w:val="Style11"/>
              <w:tabs>
                <w:tab w:val="left" w:leader="dot" w:pos="8424"/>
              </w:tabs>
              <w:spacing w:line="240" w:lineRule="auto"/>
              <w:jc w:val="center"/>
              <w:rPr>
                <w:sz w:val="20"/>
                <w:szCs w:val="20"/>
              </w:rPr>
            </w:pPr>
            <w:r w:rsidRPr="00576AF8">
              <w:rPr>
                <w:sz w:val="20"/>
                <w:szCs w:val="20"/>
              </w:rPr>
              <w:t>N/C</w:t>
            </w:r>
          </w:p>
        </w:tc>
        <w:tc>
          <w:tcPr>
            <w:tcW w:w="1344" w:type="dxa"/>
            <w:tcBorders>
              <w:bottom w:val="single" w:sz="4" w:space="0" w:color="auto"/>
            </w:tcBorders>
            <w:vAlign w:val="center"/>
          </w:tcPr>
          <w:p w14:paraId="098C7BEC" w14:textId="77777777" w:rsidR="00F25EDD" w:rsidRPr="00576AF8" w:rsidRDefault="00F25EDD" w:rsidP="00746BDA">
            <w:pPr>
              <w:pStyle w:val="Style11"/>
              <w:tabs>
                <w:tab w:val="left" w:leader="dot" w:pos="8424"/>
              </w:tabs>
              <w:spacing w:line="240" w:lineRule="auto"/>
              <w:jc w:val="center"/>
              <w:rPr>
                <w:sz w:val="20"/>
                <w:szCs w:val="20"/>
              </w:rPr>
            </w:pPr>
            <w:r w:rsidRPr="00576AF8">
              <w:rPr>
                <w:sz w:val="20"/>
                <w:szCs w:val="20"/>
              </w:rPr>
              <w:t>N/C</w:t>
            </w:r>
          </w:p>
        </w:tc>
        <w:tc>
          <w:tcPr>
            <w:tcW w:w="2043" w:type="dxa"/>
            <w:tcBorders>
              <w:bottom w:val="single" w:sz="4" w:space="0" w:color="auto"/>
            </w:tcBorders>
            <w:vAlign w:val="center"/>
          </w:tcPr>
          <w:p w14:paraId="6D7AC621" w14:textId="77777777" w:rsidR="00F25EDD" w:rsidRPr="00576AF8" w:rsidRDefault="00F25EDD">
            <w:pPr>
              <w:spacing w:before="60" w:after="60"/>
              <w:jc w:val="center"/>
              <w:rPr>
                <w:sz w:val="20"/>
              </w:rPr>
            </w:pPr>
            <w:r w:rsidRPr="00576AF8">
              <w:rPr>
                <w:sz w:val="20"/>
              </w:rPr>
              <w:t>Formulario FIN –</w:t>
            </w:r>
            <w:r w:rsidR="00C55426" w:rsidRPr="00576AF8">
              <w:rPr>
                <w:sz w:val="20"/>
              </w:rPr>
              <w:t xml:space="preserve"> 5</w:t>
            </w:r>
            <w:r w:rsidRPr="00576AF8">
              <w:rPr>
                <w:sz w:val="20"/>
              </w:rPr>
              <w:t>.3.3</w:t>
            </w:r>
          </w:p>
        </w:tc>
      </w:tr>
    </w:tbl>
    <w:p w14:paraId="692202B5" w14:textId="77777777" w:rsidR="00A0389B" w:rsidRPr="00576AF8" w:rsidRDefault="00A0389B" w:rsidP="001040E4">
      <w:bookmarkStart w:id="399" w:name="_Toc496006433"/>
      <w:bookmarkStart w:id="400" w:name="_Toc496006834"/>
      <w:bookmarkStart w:id="401" w:name="_Toc496113485"/>
      <w:bookmarkStart w:id="402" w:name="_Toc496359156"/>
      <w:bookmarkStart w:id="403" w:name="_Toc496968137"/>
    </w:p>
    <w:p w14:paraId="58CECC8B" w14:textId="77777777" w:rsidR="001040E4" w:rsidRPr="00576AF8" w:rsidRDefault="00A0389B" w:rsidP="00866570">
      <w:pPr>
        <w:suppressAutoHyphens w:val="0"/>
        <w:spacing w:after="0"/>
        <w:jc w:val="left"/>
      </w:pPr>
      <w:r w:rsidRPr="00576AF8">
        <w:br w:type="page"/>
      </w:r>
    </w:p>
    <w:tbl>
      <w:tblPr>
        <w:tblW w:w="1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536"/>
        <w:gridCol w:w="1134"/>
        <w:gridCol w:w="1134"/>
        <w:gridCol w:w="1168"/>
        <w:gridCol w:w="1372"/>
        <w:gridCol w:w="2015"/>
      </w:tblGrid>
      <w:tr w:rsidR="004B0CD6" w:rsidRPr="00576AF8" w14:paraId="7F11D116" w14:textId="77777777" w:rsidTr="00AB06F9">
        <w:trPr>
          <w:cantSplit/>
          <w:trHeight w:val="671"/>
          <w:tblHeader/>
        </w:trPr>
        <w:tc>
          <w:tcPr>
            <w:tcW w:w="1696" w:type="dxa"/>
          </w:tcPr>
          <w:bookmarkEnd w:id="399"/>
          <w:bookmarkEnd w:id="400"/>
          <w:bookmarkEnd w:id="401"/>
          <w:bookmarkEnd w:id="402"/>
          <w:bookmarkEnd w:id="403"/>
          <w:p w14:paraId="1089D4D4" w14:textId="77777777" w:rsidR="004B0CD6" w:rsidRPr="00576AF8" w:rsidRDefault="004B0CD6" w:rsidP="004B0CD6">
            <w:pPr>
              <w:spacing w:before="120"/>
              <w:jc w:val="center"/>
              <w:rPr>
                <w:b/>
                <w:sz w:val="16"/>
                <w:szCs w:val="16"/>
              </w:rPr>
            </w:pPr>
            <w:r w:rsidRPr="00576AF8">
              <w:rPr>
                <w:b/>
                <w:sz w:val="16"/>
                <w:szCs w:val="16"/>
              </w:rPr>
              <w:lastRenderedPageBreak/>
              <w:t>Factor</w:t>
            </w:r>
          </w:p>
        </w:tc>
        <w:tc>
          <w:tcPr>
            <w:tcW w:w="11359" w:type="dxa"/>
            <w:gridSpan w:val="6"/>
          </w:tcPr>
          <w:p w14:paraId="12B684D0" w14:textId="77777777" w:rsidR="004B0CD6" w:rsidRPr="00576AF8" w:rsidRDefault="0071308B" w:rsidP="004B0CD6">
            <w:pPr>
              <w:pStyle w:val="Ttulo1"/>
              <w:keepNext/>
              <w:keepLines/>
              <w:rPr>
                <w:rFonts w:ascii="Times New Roman" w:hAnsi="Times New Roman"/>
                <w:sz w:val="16"/>
                <w:szCs w:val="16"/>
              </w:rPr>
            </w:pPr>
            <w:bookmarkStart w:id="404" w:name="_Toc498339863"/>
            <w:bookmarkStart w:id="405" w:name="_Toc498848210"/>
            <w:bookmarkStart w:id="406" w:name="_Toc499021788"/>
            <w:bookmarkStart w:id="407" w:name="_Toc499023471"/>
            <w:bookmarkStart w:id="408" w:name="_Toc501529953"/>
            <w:bookmarkStart w:id="409" w:name="_Toc503874231"/>
            <w:bookmarkStart w:id="410" w:name="_Toc23215167"/>
            <w:bookmarkStart w:id="411" w:name="_Toc445567372"/>
            <w:r w:rsidRPr="00576AF8">
              <w:rPr>
                <w:rFonts w:ascii="Times New Roman" w:hAnsi="Times New Roman"/>
                <w:sz w:val="22"/>
                <w:szCs w:val="22"/>
              </w:rPr>
              <w:t>6</w:t>
            </w:r>
            <w:r w:rsidR="004B0CD6" w:rsidRPr="00576AF8">
              <w:rPr>
                <w:rFonts w:ascii="Times New Roman" w:hAnsi="Times New Roman"/>
                <w:sz w:val="22"/>
                <w:szCs w:val="22"/>
              </w:rPr>
              <w:t>.4 Experiencia</w:t>
            </w:r>
            <w:bookmarkEnd w:id="404"/>
            <w:bookmarkEnd w:id="405"/>
            <w:bookmarkEnd w:id="406"/>
            <w:bookmarkEnd w:id="407"/>
            <w:bookmarkEnd w:id="408"/>
            <w:bookmarkEnd w:id="409"/>
            <w:bookmarkEnd w:id="410"/>
            <w:bookmarkEnd w:id="411"/>
          </w:p>
        </w:tc>
      </w:tr>
      <w:tr w:rsidR="004B0CD6" w:rsidRPr="00576AF8" w14:paraId="33B4C045" w14:textId="77777777" w:rsidTr="00AB06F9">
        <w:trPr>
          <w:cantSplit/>
          <w:trHeight w:val="400"/>
          <w:tblHeader/>
        </w:trPr>
        <w:tc>
          <w:tcPr>
            <w:tcW w:w="1696" w:type="dxa"/>
            <w:vMerge w:val="restart"/>
            <w:vAlign w:val="center"/>
          </w:tcPr>
          <w:p w14:paraId="698F3BAA" w14:textId="77777777" w:rsidR="004B0CD6" w:rsidRPr="00576AF8" w:rsidRDefault="004B0CD6" w:rsidP="004B0CD6">
            <w:pPr>
              <w:spacing w:before="120"/>
              <w:ind w:left="360" w:hanging="360"/>
              <w:jc w:val="center"/>
              <w:rPr>
                <w:b/>
                <w:sz w:val="16"/>
                <w:szCs w:val="16"/>
              </w:rPr>
            </w:pPr>
            <w:r w:rsidRPr="00576AF8">
              <w:rPr>
                <w:b/>
                <w:sz w:val="16"/>
                <w:szCs w:val="16"/>
              </w:rPr>
              <w:t>Ítem</w:t>
            </w:r>
          </w:p>
        </w:tc>
        <w:tc>
          <w:tcPr>
            <w:tcW w:w="9344" w:type="dxa"/>
            <w:gridSpan w:val="5"/>
          </w:tcPr>
          <w:p w14:paraId="36F0E092" w14:textId="77777777" w:rsidR="004B0CD6" w:rsidRPr="00576AF8" w:rsidRDefault="004B0CD6" w:rsidP="004B0CD6">
            <w:pPr>
              <w:pStyle w:val="titulo"/>
              <w:spacing w:before="80" w:after="80"/>
              <w:rPr>
                <w:rFonts w:ascii="Times New Roman" w:hAnsi="Times New Roman"/>
                <w:sz w:val="16"/>
                <w:szCs w:val="16"/>
              </w:rPr>
            </w:pPr>
            <w:r w:rsidRPr="00576AF8">
              <w:rPr>
                <w:rFonts w:ascii="Times New Roman" w:hAnsi="Times New Roman"/>
                <w:b w:val="0"/>
                <w:sz w:val="16"/>
                <w:szCs w:val="16"/>
              </w:rPr>
              <w:t>Criterios</w:t>
            </w:r>
          </w:p>
        </w:tc>
        <w:tc>
          <w:tcPr>
            <w:tcW w:w="2015" w:type="dxa"/>
            <w:vMerge w:val="restart"/>
            <w:vAlign w:val="center"/>
          </w:tcPr>
          <w:p w14:paraId="51E40586" w14:textId="77777777" w:rsidR="004B0CD6" w:rsidRPr="00576AF8" w:rsidRDefault="004B0CD6" w:rsidP="004B0CD6">
            <w:pPr>
              <w:pStyle w:val="titulo"/>
              <w:spacing w:before="120" w:after="0"/>
              <w:rPr>
                <w:rFonts w:ascii="Times New Roman" w:hAnsi="Times New Roman"/>
                <w:sz w:val="16"/>
                <w:szCs w:val="16"/>
              </w:rPr>
            </w:pPr>
            <w:r w:rsidRPr="00576AF8">
              <w:rPr>
                <w:rFonts w:ascii="Times New Roman" w:hAnsi="Times New Roman"/>
                <w:sz w:val="16"/>
                <w:szCs w:val="16"/>
              </w:rPr>
              <w:t>Documentación exigida</w:t>
            </w:r>
          </w:p>
        </w:tc>
      </w:tr>
      <w:tr w:rsidR="004B0CD6" w:rsidRPr="00576AF8" w14:paraId="3DBB8C33" w14:textId="77777777" w:rsidTr="00AB06F9">
        <w:trPr>
          <w:cantSplit/>
          <w:trHeight w:val="400"/>
          <w:tblHeader/>
        </w:trPr>
        <w:tc>
          <w:tcPr>
            <w:tcW w:w="1696" w:type="dxa"/>
            <w:vMerge/>
          </w:tcPr>
          <w:p w14:paraId="3840E1B2" w14:textId="77777777" w:rsidR="004B0CD6" w:rsidRPr="00576AF8" w:rsidRDefault="004B0CD6" w:rsidP="004B0CD6">
            <w:pPr>
              <w:ind w:left="360" w:hanging="360"/>
              <w:jc w:val="center"/>
              <w:rPr>
                <w:b/>
                <w:sz w:val="16"/>
                <w:szCs w:val="16"/>
              </w:rPr>
            </w:pPr>
          </w:p>
        </w:tc>
        <w:tc>
          <w:tcPr>
            <w:tcW w:w="4536" w:type="dxa"/>
            <w:vMerge w:val="restart"/>
            <w:vAlign w:val="center"/>
          </w:tcPr>
          <w:p w14:paraId="2C1F4035" w14:textId="77777777" w:rsidR="004B0CD6" w:rsidRPr="00576AF8" w:rsidRDefault="004B0CD6" w:rsidP="004B0CD6">
            <w:pPr>
              <w:ind w:left="360" w:hanging="360"/>
              <w:jc w:val="center"/>
              <w:rPr>
                <w:b/>
                <w:sz w:val="16"/>
                <w:szCs w:val="16"/>
              </w:rPr>
            </w:pPr>
            <w:r w:rsidRPr="00576AF8">
              <w:rPr>
                <w:b/>
                <w:sz w:val="16"/>
                <w:szCs w:val="16"/>
              </w:rPr>
              <w:t>Requisito</w:t>
            </w:r>
          </w:p>
        </w:tc>
        <w:tc>
          <w:tcPr>
            <w:tcW w:w="4808" w:type="dxa"/>
            <w:gridSpan w:val="4"/>
          </w:tcPr>
          <w:p w14:paraId="45EF033A" w14:textId="77777777" w:rsidR="004B0CD6" w:rsidRPr="00576AF8" w:rsidRDefault="004B0CD6" w:rsidP="004B0CD6">
            <w:pPr>
              <w:pStyle w:val="titulo"/>
              <w:spacing w:before="80" w:after="80"/>
              <w:rPr>
                <w:rFonts w:ascii="Times New Roman" w:hAnsi="Times New Roman"/>
                <w:sz w:val="16"/>
                <w:szCs w:val="16"/>
              </w:rPr>
            </w:pPr>
            <w:r w:rsidRPr="00576AF8">
              <w:rPr>
                <w:rFonts w:ascii="Times New Roman" w:hAnsi="Times New Roman"/>
                <w:sz w:val="16"/>
                <w:szCs w:val="16"/>
              </w:rPr>
              <w:t>Licitante</w:t>
            </w:r>
          </w:p>
        </w:tc>
        <w:tc>
          <w:tcPr>
            <w:tcW w:w="2015" w:type="dxa"/>
            <w:vMerge/>
          </w:tcPr>
          <w:p w14:paraId="7D5B96F7" w14:textId="77777777" w:rsidR="004B0CD6" w:rsidRPr="00576AF8" w:rsidRDefault="004B0CD6" w:rsidP="004B0CD6">
            <w:pPr>
              <w:spacing w:before="40"/>
              <w:jc w:val="center"/>
              <w:rPr>
                <w:b/>
                <w:sz w:val="16"/>
                <w:szCs w:val="16"/>
              </w:rPr>
            </w:pPr>
          </w:p>
        </w:tc>
      </w:tr>
      <w:tr w:rsidR="004B0CD6" w:rsidRPr="00576AF8" w14:paraId="5FFABDBF" w14:textId="77777777" w:rsidTr="00AB06F9">
        <w:trPr>
          <w:cantSplit/>
          <w:tblHeader/>
        </w:trPr>
        <w:tc>
          <w:tcPr>
            <w:tcW w:w="1696" w:type="dxa"/>
            <w:vMerge/>
          </w:tcPr>
          <w:p w14:paraId="5EFE4DC7" w14:textId="77777777" w:rsidR="004B0CD6" w:rsidRPr="00576AF8" w:rsidRDefault="004B0CD6" w:rsidP="004B0CD6">
            <w:pPr>
              <w:ind w:left="360" w:hanging="360"/>
              <w:jc w:val="center"/>
              <w:rPr>
                <w:b/>
                <w:sz w:val="16"/>
                <w:szCs w:val="16"/>
              </w:rPr>
            </w:pPr>
          </w:p>
        </w:tc>
        <w:tc>
          <w:tcPr>
            <w:tcW w:w="4536" w:type="dxa"/>
            <w:vMerge/>
          </w:tcPr>
          <w:p w14:paraId="5CFAAF8C" w14:textId="77777777" w:rsidR="004B0CD6" w:rsidRPr="00576AF8" w:rsidRDefault="004B0CD6" w:rsidP="004B0CD6">
            <w:pPr>
              <w:ind w:left="360" w:hanging="360"/>
              <w:jc w:val="center"/>
              <w:rPr>
                <w:b/>
                <w:sz w:val="16"/>
                <w:szCs w:val="16"/>
              </w:rPr>
            </w:pPr>
          </w:p>
        </w:tc>
        <w:tc>
          <w:tcPr>
            <w:tcW w:w="1134" w:type="dxa"/>
            <w:vMerge w:val="restart"/>
            <w:vAlign w:val="center"/>
          </w:tcPr>
          <w:p w14:paraId="182D690D" w14:textId="77777777" w:rsidR="004B0CD6" w:rsidRPr="00576AF8" w:rsidRDefault="004B0CD6" w:rsidP="004B0CD6">
            <w:pPr>
              <w:pStyle w:val="titulo"/>
              <w:spacing w:before="40" w:after="0"/>
              <w:rPr>
                <w:rFonts w:ascii="Times New Roman" w:hAnsi="Times New Roman"/>
                <w:sz w:val="16"/>
                <w:szCs w:val="16"/>
              </w:rPr>
            </w:pPr>
            <w:r w:rsidRPr="00576AF8">
              <w:rPr>
                <w:rFonts w:ascii="Times New Roman" w:hAnsi="Times New Roman"/>
                <w:sz w:val="16"/>
                <w:szCs w:val="16"/>
              </w:rPr>
              <w:t>Entidad única</w:t>
            </w:r>
          </w:p>
        </w:tc>
        <w:tc>
          <w:tcPr>
            <w:tcW w:w="3674" w:type="dxa"/>
            <w:gridSpan w:val="3"/>
          </w:tcPr>
          <w:p w14:paraId="2123CD60" w14:textId="77777777" w:rsidR="004B0CD6" w:rsidRPr="00576AF8" w:rsidRDefault="004B0CD6" w:rsidP="004B0CD6">
            <w:pPr>
              <w:spacing w:before="40"/>
              <w:jc w:val="center"/>
              <w:rPr>
                <w:b/>
                <w:sz w:val="16"/>
                <w:szCs w:val="16"/>
              </w:rPr>
            </w:pPr>
            <w:r w:rsidRPr="00576AF8">
              <w:rPr>
                <w:b/>
                <w:sz w:val="16"/>
                <w:szCs w:val="16"/>
              </w:rPr>
              <w:t>APCA (existente o prevista)</w:t>
            </w:r>
          </w:p>
        </w:tc>
        <w:tc>
          <w:tcPr>
            <w:tcW w:w="2015" w:type="dxa"/>
            <w:vMerge/>
          </w:tcPr>
          <w:p w14:paraId="758A9172" w14:textId="77777777" w:rsidR="004B0CD6" w:rsidRPr="00576AF8" w:rsidRDefault="004B0CD6" w:rsidP="004B0CD6">
            <w:pPr>
              <w:spacing w:before="40"/>
              <w:jc w:val="center"/>
              <w:rPr>
                <w:b/>
                <w:sz w:val="16"/>
                <w:szCs w:val="16"/>
              </w:rPr>
            </w:pPr>
          </w:p>
        </w:tc>
      </w:tr>
      <w:tr w:rsidR="004B0CD6" w:rsidRPr="00576AF8" w14:paraId="10713A86" w14:textId="77777777" w:rsidTr="00AB06F9">
        <w:trPr>
          <w:cantSplit/>
          <w:tblHeader/>
        </w:trPr>
        <w:tc>
          <w:tcPr>
            <w:tcW w:w="1696" w:type="dxa"/>
            <w:vMerge/>
          </w:tcPr>
          <w:p w14:paraId="314E21A1" w14:textId="77777777" w:rsidR="004B0CD6" w:rsidRPr="00576AF8" w:rsidRDefault="004B0CD6" w:rsidP="004B0CD6">
            <w:pPr>
              <w:ind w:left="360" w:hanging="360"/>
              <w:rPr>
                <w:b/>
                <w:sz w:val="16"/>
                <w:szCs w:val="16"/>
              </w:rPr>
            </w:pPr>
          </w:p>
        </w:tc>
        <w:tc>
          <w:tcPr>
            <w:tcW w:w="4536" w:type="dxa"/>
            <w:vMerge/>
          </w:tcPr>
          <w:p w14:paraId="1D6CDDC7" w14:textId="77777777" w:rsidR="004B0CD6" w:rsidRPr="00576AF8" w:rsidRDefault="004B0CD6" w:rsidP="004B0CD6">
            <w:pPr>
              <w:ind w:left="360" w:hanging="360"/>
              <w:rPr>
                <w:b/>
                <w:sz w:val="16"/>
                <w:szCs w:val="16"/>
              </w:rPr>
            </w:pPr>
          </w:p>
        </w:tc>
        <w:tc>
          <w:tcPr>
            <w:tcW w:w="1134" w:type="dxa"/>
            <w:vMerge/>
          </w:tcPr>
          <w:p w14:paraId="7484EF49" w14:textId="77777777" w:rsidR="004B0CD6" w:rsidRPr="00576AF8" w:rsidRDefault="004B0CD6" w:rsidP="004B0CD6">
            <w:pPr>
              <w:spacing w:before="40"/>
              <w:jc w:val="center"/>
              <w:rPr>
                <w:b/>
                <w:sz w:val="16"/>
                <w:szCs w:val="16"/>
              </w:rPr>
            </w:pPr>
          </w:p>
        </w:tc>
        <w:tc>
          <w:tcPr>
            <w:tcW w:w="1134" w:type="dxa"/>
          </w:tcPr>
          <w:p w14:paraId="2ADCB51D" w14:textId="77777777" w:rsidR="004B0CD6" w:rsidRPr="00576AF8" w:rsidRDefault="004B0CD6" w:rsidP="00A85749">
            <w:pPr>
              <w:spacing w:before="40"/>
              <w:ind w:left="-11"/>
              <w:jc w:val="center"/>
              <w:rPr>
                <w:b/>
                <w:spacing w:val="-4"/>
                <w:sz w:val="16"/>
                <w:szCs w:val="16"/>
              </w:rPr>
            </w:pPr>
            <w:r w:rsidRPr="00576AF8">
              <w:rPr>
                <w:b/>
                <w:spacing w:val="-4"/>
                <w:sz w:val="16"/>
                <w:szCs w:val="16"/>
              </w:rPr>
              <w:t>Todos los miembros conjuntamente</w:t>
            </w:r>
          </w:p>
        </w:tc>
        <w:tc>
          <w:tcPr>
            <w:tcW w:w="1168" w:type="dxa"/>
          </w:tcPr>
          <w:p w14:paraId="701CDB18" w14:textId="77777777" w:rsidR="004B0CD6" w:rsidRPr="00576AF8" w:rsidRDefault="004B0CD6" w:rsidP="004B0CD6">
            <w:pPr>
              <w:spacing w:before="40"/>
              <w:jc w:val="center"/>
              <w:rPr>
                <w:b/>
                <w:sz w:val="16"/>
                <w:szCs w:val="16"/>
              </w:rPr>
            </w:pPr>
            <w:r w:rsidRPr="00576AF8">
              <w:rPr>
                <w:b/>
                <w:sz w:val="16"/>
                <w:szCs w:val="16"/>
              </w:rPr>
              <w:t>Cada miembro</w:t>
            </w:r>
          </w:p>
        </w:tc>
        <w:tc>
          <w:tcPr>
            <w:tcW w:w="1372" w:type="dxa"/>
          </w:tcPr>
          <w:p w14:paraId="1E0E2573" w14:textId="77777777" w:rsidR="004B0CD6" w:rsidRPr="00576AF8" w:rsidRDefault="004B0CD6" w:rsidP="004B0CD6">
            <w:pPr>
              <w:spacing w:before="40"/>
              <w:jc w:val="center"/>
              <w:rPr>
                <w:b/>
                <w:sz w:val="16"/>
                <w:szCs w:val="16"/>
              </w:rPr>
            </w:pPr>
            <w:r w:rsidRPr="00576AF8">
              <w:rPr>
                <w:b/>
                <w:sz w:val="16"/>
                <w:szCs w:val="16"/>
              </w:rPr>
              <w:t>Al menos un miembro</w:t>
            </w:r>
          </w:p>
        </w:tc>
        <w:tc>
          <w:tcPr>
            <w:tcW w:w="2015" w:type="dxa"/>
            <w:vMerge/>
          </w:tcPr>
          <w:p w14:paraId="1FBF7ED3" w14:textId="77777777" w:rsidR="004B0CD6" w:rsidRPr="00576AF8" w:rsidRDefault="004B0CD6" w:rsidP="004B0CD6">
            <w:pPr>
              <w:spacing w:before="40"/>
              <w:jc w:val="center"/>
              <w:rPr>
                <w:b/>
                <w:sz w:val="16"/>
                <w:szCs w:val="16"/>
              </w:rPr>
            </w:pPr>
          </w:p>
        </w:tc>
      </w:tr>
      <w:tr w:rsidR="004B0CD6" w:rsidRPr="00576AF8" w14:paraId="428FCE62" w14:textId="77777777" w:rsidTr="00AB06F9">
        <w:trPr>
          <w:trHeight w:val="600"/>
        </w:trPr>
        <w:tc>
          <w:tcPr>
            <w:tcW w:w="1696" w:type="dxa"/>
          </w:tcPr>
          <w:p w14:paraId="62DEE04C" w14:textId="77777777" w:rsidR="004B0CD6" w:rsidRPr="00576AF8" w:rsidRDefault="00F117C1" w:rsidP="004B0CD6">
            <w:pPr>
              <w:keepNext/>
              <w:keepLines/>
              <w:tabs>
                <w:tab w:val="left" w:pos="538"/>
              </w:tabs>
              <w:spacing w:before="60"/>
              <w:jc w:val="left"/>
              <w:outlineLvl w:val="4"/>
              <w:rPr>
                <w:sz w:val="16"/>
                <w:szCs w:val="16"/>
              </w:rPr>
            </w:pPr>
            <w:bookmarkStart w:id="412" w:name="_Toc445567373"/>
            <w:bookmarkStart w:id="413" w:name="_Toc496968138"/>
            <w:r w:rsidRPr="00576AF8">
              <w:rPr>
                <w:sz w:val="16"/>
                <w:szCs w:val="16"/>
              </w:rPr>
              <w:t>6</w:t>
            </w:r>
            <w:r w:rsidR="004B0CD6" w:rsidRPr="00576AF8">
              <w:rPr>
                <w:sz w:val="16"/>
                <w:szCs w:val="16"/>
              </w:rPr>
              <w:t>.4.1</w:t>
            </w:r>
            <w:r w:rsidR="004B0CD6" w:rsidRPr="00576AF8">
              <w:rPr>
                <w:sz w:val="16"/>
                <w:szCs w:val="16"/>
              </w:rPr>
              <w:tab/>
              <w:t>Experiencia General</w:t>
            </w:r>
            <w:bookmarkEnd w:id="412"/>
            <w:r w:rsidR="004B0CD6" w:rsidRPr="00576AF8">
              <w:rPr>
                <w:sz w:val="16"/>
                <w:szCs w:val="16"/>
              </w:rPr>
              <w:t xml:space="preserve"> </w:t>
            </w:r>
            <w:bookmarkEnd w:id="413"/>
          </w:p>
        </w:tc>
        <w:tc>
          <w:tcPr>
            <w:tcW w:w="4536" w:type="dxa"/>
          </w:tcPr>
          <w:p w14:paraId="1B4FB79A" w14:textId="77777777" w:rsidR="004B0CD6" w:rsidRPr="00576AF8" w:rsidRDefault="004B0CD6" w:rsidP="004B0CD6">
            <w:pPr>
              <w:pStyle w:val="Outline"/>
              <w:spacing w:before="60" w:after="60"/>
              <w:rPr>
                <w:kern w:val="0"/>
                <w:sz w:val="16"/>
                <w:szCs w:val="16"/>
              </w:rPr>
            </w:pPr>
            <w:r w:rsidRPr="00576AF8">
              <w:rPr>
                <w:kern w:val="0"/>
                <w:sz w:val="16"/>
                <w:szCs w:val="16"/>
              </w:rPr>
              <w:t xml:space="preserve">Experiencia en </w:t>
            </w:r>
            <w:r w:rsidR="00927CE8" w:rsidRPr="00576AF8">
              <w:rPr>
                <w:kern w:val="0"/>
                <w:sz w:val="16"/>
                <w:szCs w:val="16"/>
              </w:rPr>
              <w:t xml:space="preserve">al </w:t>
            </w:r>
            <w:r w:rsidR="00927CE8" w:rsidRPr="00576AF8">
              <w:rPr>
                <w:kern w:val="0"/>
                <w:sz w:val="16"/>
              </w:rPr>
              <w:t xml:space="preserve">menos </w:t>
            </w:r>
            <w:r w:rsidR="00A3738D" w:rsidRPr="00576AF8">
              <w:rPr>
                <w:kern w:val="0"/>
                <w:sz w:val="16"/>
              </w:rPr>
              <w:t>5</w:t>
            </w:r>
            <w:r w:rsidR="00927CE8" w:rsidRPr="00576AF8">
              <w:rPr>
                <w:kern w:val="0"/>
                <w:sz w:val="16"/>
              </w:rPr>
              <w:t xml:space="preserve"> </w:t>
            </w:r>
            <w:r w:rsidRPr="00576AF8">
              <w:rPr>
                <w:kern w:val="0"/>
                <w:sz w:val="16"/>
              </w:rPr>
              <w:t>contratos</w:t>
            </w:r>
            <w:r w:rsidRPr="00576AF8">
              <w:rPr>
                <w:kern w:val="0"/>
                <w:sz w:val="16"/>
                <w:szCs w:val="16"/>
              </w:rPr>
              <w:t xml:space="preserve"> de </w:t>
            </w:r>
            <w:r w:rsidR="00927CE8" w:rsidRPr="00576AF8">
              <w:rPr>
                <w:kern w:val="0"/>
                <w:sz w:val="16"/>
                <w:szCs w:val="16"/>
              </w:rPr>
              <w:t xml:space="preserve">implementación de </w:t>
            </w:r>
            <w:r w:rsidRPr="00576AF8">
              <w:rPr>
                <w:kern w:val="0"/>
                <w:sz w:val="16"/>
                <w:szCs w:val="16"/>
              </w:rPr>
              <w:t xml:space="preserve">Sistemas </w:t>
            </w:r>
            <w:r w:rsidR="00E241E6" w:rsidRPr="00576AF8">
              <w:rPr>
                <w:kern w:val="0"/>
                <w:sz w:val="16"/>
                <w:szCs w:val="16"/>
              </w:rPr>
              <w:t xml:space="preserve">de Tecnología Operativa </w:t>
            </w:r>
            <w:r w:rsidRPr="00576AF8">
              <w:rPr>
                <w:kern w:val="0"/>
                <w:sz w:val="16"/>
                <w:szCs w:val="16"/>
              </w:rPr>
              <w:t xml:space="preserve">como proveedor principal, contratista administrador, miembro de una APCA o subcontratista por lo menos en </w:t>
            </w:r>
            <w:r w:rsidRPr="00576AF8">
              <w:rPr>
                <w:kern w:val="0"/>
                <w:sz w:val="16"/>
              </w:rPr>
              <w:t xml:space="preserve">los últimos </w:t>
            </w:r>
            <w:r w:rsidR="00A3738D" w:rsidRPr="00576AF8">
              <w:rPr>
                <w:kern w:val="0"/>
                <w:sz w:val="16"/>
              </w:rPr>
              <w:t>10</w:t>
            </w:r>
            <w:r w:rsidR="00927CE8" w:rsidRPr="00576AF8">
              <w:rPr>
                <w:kern w:val="0"/>
                <w:sz w:val="16"/>
              </w:rPr>
              <w:t xml:space="preserve"> </w:t>
            </w:r>
            <w:r w:rsidRPr="00576AF8">
              <w:rPr>
                <w:kern w:val="0"/>
                <w:sz w:val="16"/>
              </w:rPr>
              <w:t>años</w:t>
            </w:r>
            <w:r w:rsidRPr="00576AF8">
              <w:rPr>
                <w:kern w:val="0"/>
                <w:sz w:val="16"/>
                <w:szCs w:val="16"/>
              </w:rPr>
              <w:t xml:space="preserve"> anteriores a la fecha límite de presentación de </w:t>
            </w:r>
            <w:r w:rsidR="00927CE8" w:rsidRPr="00576AF8">
              <w:rPr>
                <w:kern w:val="0"/>
                <w:sz w:val="16"/>
                <w:szCs w:val="16"/>
              </w:rPr>
              <w:t>ofertas</w:t>
            </w:r>
            <w:r w:rsidRPr="00576AF8">
              <w:rPr>
                <w:kern w:val="0"/>
                <w:sz w:val="16"/>
                <w:szCs w:val="16"/>
              </w:rPr>
              <w:t xml:space="preserve">. </w:t>
            </w:r>
          </w:p>
        </w:tc>
        <w:tc>
          <w:tcPr>
            <w:tcW w:w="1134" w:type="dxa"/>
            <w:tcBorders>
              <w:bottom w:val="single" w:sz="4" w:space="0" w:color="auto"/>
            </w:tcBorders>
            <w:vAlign w:val="center"/>
          </w:tcPr>
          <w:p w14:paraId="5C434950" w14:textId="77777777" w:rsidR="004B0CD6" w:rsidRPr="00576AF8" w:rsidRDefault="004B0CD6" w:rsidP="004B0CD6">
            <w:pPr>
              <w:spacing w:before="60" w:after="60"/>
              <w:jc w:val="left"/>
              <w:rPr>
                <w:sz w:val="16"/>
                <w:szCs w:val="16"/>
              </w:rPr>
            </w:pPr>
            <w:r w:rsidRPr="00576AF8">
              <w:rPr>
                <w:sz w:val="16"/>
                <w:szCs w:val="16"/>
              </w:rPr>
              <w:t>Debe cumplir con el requisito.</w:t>
            </w:r>
          </w:p>
        </w:tc>
        <w:tc>
          <w:tcPr>
            <w:tcW w:w="1134" w:type="dxa"/>
            <w:tcBorders>
              <w:bottom w:val="single" w:sz="4" w:space="0" w:color="auto"/>
            </w:tcBorders>
            <w:vAlign w:val="center"/>
          </w:tcPr>
          <w:p w14:paraId="1C606F03" w14:textId="77777777" w:rsidR="004B0CD6" w:rsidRPr="00576AF8" w:rsidRDefault="004B0CD6" w:rsidP="004B0CD6">
            <w:pPr>
              <w:spacing w:before="60" w:after="60"/>
              <w:jc w:val="center"/>
              <w:rPr>
                <w:sz w:val="16"/>
                <w:szCs w:val="16"/>
              </w:rPr>
            </w:pPr>
            <w:r w:rsidRPr="00576AF8">
              <w:rPr>
                <w:sz w:val="16"/>
                <w:szCs w:val="16"/>
              </w:rPr>
              <w:t>N/C</w:t>
            </w:r>
          </w:p>
        </w:tc>
        <w:tc>
          <w:tcPr>
            <w:tcW w:w="1168" w:type="dxa"/>
            <w:tcBorders>
              <w:bottom w:val="single" w:sz="4" w:space="0" w:color="auto"/>
            </w:tcBorders>
            <w:vAlign w:val="center"/>
          </w:tcPr>
          <w:p w14:paraId="3A8F7D9D" w14:textId="77777777" w:rsidR="004B0CD6" w:rsidRPr="00576AF8" w:rsidRDefault="00FF3CF8" w:rsidP="004B0CD6">
            <w:pPr>
              <w:spacing w:before="60" w:after="60"/>
              <w:jc w:val="left"/>
              <w:rPr>
                <w:sz w:val="16"/>
                <w:szCs w:val="16"/>
              </w:rPr>
            </w:pPr>
            <w:r w:rsidRPr="00576AF8">
              <w:rPr>
                <w:sz w:val="16"/>
                <w:szCs w:val="16"/>
              </w:rPr>
              <w:t>N/C</w:t>
            </w:r>
          </w:p>
        </w:tc>
        <w:tc>
          <w:tcPr>
            <w:tcW w:w="1372" w:type="dxa"/>
            <w:tcBorders>
              <w:bottom w:val="single" w:sz="4" w:space="0" w:color="auto"/>
            </w:tcBorders>
            <w:vAlign w:val="center"/>
          </w:tcPr>
          <w:p w14:paraId="2DD2BA5E" w14:textId="77777777" w:rsidR="004B0CD6" w:rsidRPr="00576AF8" w:rsidRDefault="00FF3CF8" w:rsidP="004B0CD6">
            <w:pPr>
              <w:spacing w:before="60" w:after="60"/>
              <w:jc w:val="center"/>
              <w:rPr>
                <w:sz w:val="16"/>
                <w:szCs w:val="16"/>
              </w:rPr>
            </w:pPr>
            <w:r w:rsidRPr="00576AF8">
              <w:rPr>
                <w:sz w:val="16"/>
                <w:szCs w:val="16"/>
              </w:rPr>
              <w:t>Debe cumplir con el requisito.</w:t>
            </w:r>
          </w:p>
        </w:tc>
        <w:tc>
          <w:tcPr>
            <w:tcW w:w="2015" w:type="dxa"/>
            <w:vAlign w:val="center"/>
          </w:tcPr>
          <w:p w14:paraId="084462D2" w14:textId="77777777" w:rsidR="004B0CD6" w:rsidRPr="00576AF8" w:rsidRDefault="004B0CD6">
            <w:pPr>
              <w:spacing w:before="60" w:after="60"/>
              <w:jc w:val="center"/>
              <w:rPr>
                <w:sz w:val="16"/>
                <w:szCs w:val="16"/>
              </w:rPr>
            </w:pPr>
            <w:r w:rsidRPr="00576AF8">
              <w:rPr>
                <w:sz w:val="16"/>
                <w:szCs w:val="16"/>
              </w:rPr>
              <w:t>Formulario EXP-</w:t>
            </w:r>
            <w:r w:rsidR="00C55426" w:rsidRPr="00576AF8">
              <w:rPr>
                <w:sz w:val="16"/>
                <w:szCs w:val="16"/>
              </w:rPr>
              <w:t>5</w:t>
            </w:r>
            <w:r w:rsidRPr="00576AF8">
              <w:rPr>
                <w:sz w:val="16"/>
                <w:szCs w:val="16"/>
              </w:rPr>
              <w:t>.4.1</w:t>
            </w:r>
          </w:p>
        </w:tc>
      </w:tr>
      <w:tr w:rsidR="004B0CD6" w:rsidRPr="00576AF8" w14:paraId="1DE7200E" w14:textId="77777777" w:rsidTr="00AB06F9">
        <w:trPr>
          <w:trHeight w:val="826"/>
        </w:trPr>
        <w:tc>
          <w:tcPr>
            <w:tcW w:w="1696" w:type="dxa"/>
            <w:tcBorders>
              <w:bottom w:val="single" w:sz="6" w:space="0" w:color="000000"/>
            </w:tcBorders>
          </w:tcPr>
          <w:p w14:paraId="21ED5301" w14:textId="77777777" w:rsidR="004B0CD6" w:rsidRPr="00576AF8" w:rsidRDefault="00F117C1" w:rsidP="004B0CD6">
            <w:pPr>
              <w:keepNext/>
              <w:keepLines/>
              <w:tabs>
                <w:tab w:val="left" w:pos="538"/>
              </w:tabs>
              <w:spacing w:before="60"/>
              <w:jc w:val="left"/>
              <w:outlineLvl w:val="4"/>
              <w:rPr>
                <w:sz w:val="16"/>
                <w:szCs w:val="16"/>
              </w:rPr>
            </w:pPr>
            <w:r w:rsidRPr="00576AF8">
              <w:rPr>
                <w:sz w:val="16"/>
                <w:szCs w:val="16"/>
              </w:rPr>
              <w:t>6</w:t>
            </w:r>
            <w:r w:rsidR="004B0CD6" w:rsidRPr="00576AF8">
              <w:rPr>
                <w:sz w:val="16"/>
                <w:szCs w:val="16"/>
              </w:rPr>
              <w:t>.4.2</w:t>
            </w:r>
            <w:r w:rsidR="004B0CD6" w:rsidRPr="00576AF8">
              <w:rPr>
                <w:sz w:val="16"/>
                <w:szCs w:val="16"/>
              </w:rPr>
              <w:tab/>
              <w:t>Experiencia Específica</w:t>
            </w:r>
          </w:p>
        </w:tc>
        <w:tc>
          <w:tcPr>
            <w:tcW w:w="4536" w:type="dxa"/>
            <w:tcBorders>
              <w:bottom w:val="single" w:sz="6" w:space="0" w:color="000000"/>
            </w:tcBorders>
          </w:tcPr>
          <w:p w14:paraId="28961931" w14:textId="33E97877" w:rsidR="00000FFD" w:rsidRDefault="004B0CD6">
            <w:pPr>
              <w:pStyle w:val="Style11"/>
              <w:tabs>
                <w:tab w:val="left" w:leader="dot" w:pos="8424"/>
              </w:tabs>
              <w:spacing w:before="60" w:line="240" w:lineRule="auto"/>
              <w:rPr>
                <w:sz w:val="16"/>
                <w:szCs w:val="16"/>
              </w:rPr>
            </w:pPr>
            <w:r w:rsidRPr="00576AF8">
              <w:rPr>
                <w:sz w:val="16"/>
                <w:szCs w:val="16"/>
              </w:rPr>
              <w:t>Participación como proveedor principal, contratista, miembro de una APCA</w:t>
            </w:r>
            <w:r w:rsidRPr="00576AF8">
              <w:rPr>
                <w:rStyle w:val="Refdenotaalpie"/>
                <w:sz w:val="16"/>
                <w:szCs w:val="16"/>
              </w:rPr>
              <w:footnoteReference w:id="7"/>
            </w:r>
            <w:r w:rsidRPr="00576AF8">
              <w:rPr>
                <w:sz w:val="16"/>
                <w:szCs w:val="16"/>
              </w:rPr>
              <w:t xml:space="preserve">, subcontratista, en </w:t>
            </w:r>
            <w:r w:rsidR="00D02970">
              <w:rPr>
                <w:sz w:val="16"/>
                <w:szCs w:val="16"/>
              </w:rPr>
              <w:t>al menos</w:t>
            </w:r>
            <w:r w:rsidR="004745B8" w:rsidRPr="00576AF8">
              <w:rPr>
                <w:sz w:val="16"/>
                <w:szCs w:val="16"/>
              </w:rPr>
              <w:t xml:space="preserve"> </w:t>
            </w:r>
            <w:r w:rsidR="00E241E6" w:rsidRPr="00576AF8">
              <w:rPr>
                <w:sz w:val="16"/>
              </w:rPr>
              <w:t>5</w:t>
            </w:r>
            <w:r w:rsidRPr="00576AF8">
              <w:rPr>
                <w:sz w:val="16"/>
              </w:rPr>
              <w:t xml:space="preserve"> contratos</w:t>
            </w:r>
            <w:r w:rsidRPr="00576AF8">
              <w:rPr>
                <w:sz w:val="16"/>
                <w:szCs w:val="16"/>
              </w:rPr>
              <w:t xml:space="preserve"> dentro de los últimos </w:t>
            </w:r>
            <w:r w:rsidR="00E241E6" w:rsidRPr="00576AF8">
              <w:rPr>
                <w:sz w:val="16"/>
                <w:szCs w:val="16"/>
              </w:rPr>
              <w:t>10</w:t>
            </w:r>
            <w:r w:rsidRPr="00576AF8">
              <w:rPr>
                <w:sz w:val="16"/>
                <w:szCs w:val="16"/>
              </w:rPr>
              <w:t xml:space="preserve"> años, con un valor </w:t>
            </w:r>
            <w:r w:rsidR="004745B8" w:rsidRPr="00576AF8">
              <w:rPr>
                <w:sz w:val="16"/>
                <w:szCs w:val="16"/>
              </w:rPr>
              <w:t xml:space="preserve">acumulado </w:t>
            </w:r>
            <w:r w:rsidRPr="00576AF8">
              <w:rPr>
                <w:sz w:val="16"/>
                <w:szCs w:val="16"/>
              </w:rPr>
              <w:t xml:space="preserve">de al </w:t>
            </w:r>
            <w:r w:rsidRPr="00576AF8">
              <w:rPr>
                <w:sz w:val="16"/>
              </w:rPr>
              <w:t xml:space="preserve">menos </w:t>
            </w:r>
            <w:r w:rsidR="00927CE8" w:rsidRPr="00576AF8">
              <w:rPr>
                <w:sz w:val="16"/>
              </w:rPr>
              <w:t xml:space="preserve">USD </w:t>
            </w:r>
            <w:r w:rsidR="004745B8" w:rsidRPr="00576AF8">
              <w:rPr>
                <w:sz w:val="16"/>
              </w:rPr>
              <w:t>9</w:t>
            </w:r>
            <w:r w:rsidR="00927CE8" w:rsidRPr="00576AF8">
              <w:rPr>
                <w:sz w:val="16"/>
              </w:rPr>
              <w:t>.000.000</w:t>
            </w:r>
            <w:r w:rsidRPr="00576AF8">
              <w:rPr>
                <w:sz w:val="16"/>
                <w:szCs w:val="16"/>
              </w:rPr>
              <w:t xml:space="preserve">, que se hayan completado correctamente </w:t>
            </w:r>
            <w:r w:rsidR="00E241E6" w:rsidRPr="00576AF8">
              <w:rPr>
                <w:sz w:val="16"/>
                <w:szCs w:val="16"/>
              </w:rPr>
              <w:t>relacionados a SCADA / EMS</w:t>
            </w:r>
            <w:r w:rsidR="001C30CB">
              <w:rPr>
                <w:sz w:val="16"/>
                <w:szCs w:val="16"/>
              </w:rPr>
              <w:t>.</w:t>
            </w:r>
            <w:r w:rsidR="00D02970">
              <w:rPr>
                <w:sz w:val="16"/>
                <w:szCs w:val="16"/>
              </w:rPr>
              <w:t xml:space="preserve"> No se aceptará como parte de la experiencia específica: sistemas SCADA para control de plantas de generación, para empresas de distribución de electricidad, de agua y/o de gas, ni para aplicaciones industriales. </w:t>
            </w:r>
            <w:r w:rsidR="00612C89">
              <w:rPr>
                <w:sz w:val="16"/>
                <w:szCs w:val="16"/>
              </w:rPr>
              <w:t>Se aceptarán actualizaciones de sistemas existentes, siempre que éstas se hayan realizado de forma completa, incluyendo el reemplazo total de los equipos.</w:t>
            </w:r>
          </w:p>
          <w:p w14:paraId="086AA89F" w14:textId="13BD1790" w:rsidR="008935B1" w:rsidRDefault="008935B1">
            <w:pPr>
              <w:pStyle w:val="Style11"/>
              <w:tabs>
                <w:tab w:val="left" w:leader="dot" w:pos="8424"/>
              </w:tabs>
              <w:spacing w:before="60" w:line="240" w:lineRule="auto"/>
              <w:rPr>
                <w:sz w:val="16"/>
                <w:szCs w:val="16"/>
              </w:rPr>
            </w:pPr>
            <w:r>
              <w:rPr>
                <w:sz w:val="16"/>
                <w:szCs w:val="16"/>
              </w:rPr>
              <w:t>Adicionalmente, el licitante deberá presentar certificados de</w:t>
            </w:r>
            <w:r w:rsidRPr="008935B1">
              <w:rPr>
                <w:sz w:val="16"/>
                <w:szCs w:val="16"/>
              </w:rPr>
              <w:t xml:space="preserve"> 2 clientes </w:t>
            </w:r>
            <w:r>
              <w:rPr>
                <w:sz w:val="16"/>
                <w:szCs w:val="16"/>
              </w:rPr>
              <w:t>de</w:t>
            </w:r>
            <w:r w:rsidRPr="008935B1">
              <w:rPr>
                <w:sz w:val="16"/>
                <w:szCs w:val="16"/>
              </w:rPr>
              <w:t xml:space="preserve"> proyectos con alcances similares o superiores al actual, </w:t>
            </w:r>
            <w:r>
              <w:rPr>
                <w:sz w:val="16"/>
                <w:szCs w:val="16"/>
              </w:rPr>
              <w:t>en donde se pueda verificar que la versión del SCADA / EMS ofertada, haya sido implementada y se encuentre en operación.</w:t>
            </w:r>
            <w:r w:rsidR="00304FDB">
              <w:rPr>
                <w:sz w:val="16"/>
                <w:szCs w:val="16"/>
              </w:rPr>
              <w:t xml:space="preserve"> </w:t>
            </w:r>
          </w:p>
          <w:p w14:paraId="583DB286" w14:textId="1CB66163" w:rsidR="00304FDB" w:rsidRPr="00576AF8" w:rsidRDefault="00304FDB">
            <w:pPr>
              <w:pStyle w:val="Style11"/>
              <w:tabs>
                <w:tab w:val="left" w:leader="dot" w:pos="8424"/>
              </w:tabs>
              <w:spacing w:before="60" w:line="240" w:lineRule="auto"/>
              <w:rPr>
                <w:sz w:val="16"/>
                <w:szCs w:val="16"/>
              </w:rPr>
            </w:pPr>
            <w:r>
              <w:rPr>
                <w:sz w:val="16"/>
                <w:szCs w:val="16"/>
              </w:rPr>
              <w:t>El lici</w:t>
            </w:r>
            <w:r w:rsidR="00AB06F9">
              <w:rPr>
                <w:sz w:val="16"/>
                <w:szCs w:val="16"/>
              </w:rPr>
              <w:t>t</w:t>
            </w:r>
            <w:r>
              <w:rPr>
                <w:sz w:val="16"/>
                <w:szCs w:val="16"/>
              </w:rPr>
              <w:t>ante deberá entregar el roadmap</w:t>
            </w:r>
            <w:r w:rsidR="00602598">
              <w:rPr>
                <w:sz w:val="16"/>
                <w:szCs w:val="16"/>
              </w:rPr>
              <w:t xml:space="preserve"> de evolución y mejoras</w:t>
            </w:r>
            <w:r>
              <w:rPr>
                <w:sz w:val="16"/>
                <w:szCs w:val="16"/>
              </w:rPr>
              <w:t xml:space="preserve"> </w:t>
            </w:r>
            <w:r w:rsidR="00602598">
              <w:rPr>
                <w:sz w:val="16"/>
                <w:szCs w:val="16"/>
              </w:rPr>
              <w:t xml:space="preserve">del SCADA EMS </w:t>
            </w:r>
            <w:r>
              <w:rPr>
                <w:sz w:val="16"/>
                <w:szCs w:val="16"/>
              </w:rPr>
              <w:t>para al menos los próximos 5 años.</w:t>
            </w:r>
          </w:p>
          <w:p w14:paraId="21513FC0" w14:textId="4ED1E4FF" w:rsidR="0066536A" w:rsidRPr="00576AF8" w:rsidRDefault="0066536A">
            <w:pPr>
              <w:pStyle w:val="Style11"/>
              <w:tabs>
                <w:tab w:val="left" w:leader="dot" w:pos="8424"/>
              </w:tabs>
              <w:spacing w:before="60" w:line="240" w:lineRule="auto"/>
              <w:rPr>
                <w:sz w:val="16"/>
                <w:szCs w:val="16"/>
              </w:rPr>
            </w:pPr>
            <w:r w:rsidRPr="00576AF8">
              <w:rPr>
                <w:sz w:val="16"/>
                <w:szCs w:val="16"/>
              </w:rPr>
              <w:t>Los trabajos presentados para acreditar la experiencia específica serán considerados también para acreditar la experiencia general</w:t>
            </w:r>
            <w:r w:rsidR="008935B1">
              <w:rPr>
                <w:sz w:val="16"/>
                <w:szCs w:val="16"/>
              </w:rPr>
              <w:t>.</w:t>
            </w:r>
          </w:p>
        </w:tc>
        <w:tc>
          <w:tcPr>
            <w:tcW w:w="1134" w:type="dxa"/>
            <w:tcBorders>
              <w:top w:val="nil"/>
              <w:bottom w:val="single" w:sz="6" w:space="0" w:color="000000"/>
            </w:tcBorders>
            <w:vAlign w:val="center"/>
          </w:tcPr>
          <w:p w14:paraId="45075F26" w14:textId="77777777" w:rsidR="004B0CD6" w:rsidRPr="00576AF8" w:rsidRDefault="004B0CD6" w:rsidP="004B0CD6">
            <w:pPr>
              <w:spacing w:before="60" w:after="60"/>
              <w:jc w:val="left"/>
              <w:rPr>
                <w:sz w:val="16"/>
                <w:szCs w:val="16"/>
              </w:rPr>
            </w:pPr>
            <w:r w:rsidRPr="00576AF8">
              <w:rPr>
                <w:sz w:val="16"/>
                <w:szCs w:val="16"/>
              </w:rPr>
              <w:t>Debe cumplir con el requisito.</w:t>
            </w:r>
          </w:p>
        </w:tc>
        <w:tc>
          <w:tcPr>
            <w:tcW w:w="1134" w:type="dxa"/>
            <w:tcBorders>
              <w:top w:val="nil"/>
              <w:bottom w:val="single" w:sz="6" w:space="0" w:color="000000"/>
            </w:tcBorders>
            <w:vAlign w:val="center"/>
          </w:tcPr>
          <w:p w14:paraId="46DA09B3" w14:textId="77777777" w:rsidR="004B0CD6" w:rsidRPr="00576AF8" w:rsidRDefault="004B0CD6" w:rsidP="004B0CD6">
            <w:pPr>
              <w:spacing w:before="60" w:after="60"/>
              <w:jc w:val="left"/>
              <w:rPr>
                <w:spacing w:val="-4"/>
                <w:sz w:val="16"/>
                <w:szCs w:val="16"/>
              </w:rPr>
            </w:pPr>
            <w:r w:rsidRPr="00576AF8">
              <w:rPr>
                <w:spacing w:val="-4"/>
                <w:sz w:val="16"/>
                <w:szCs w:val="16"/>
              </w:rPr>
              <w:t>Debe cumplir con los requisitos correspondientes a todas las características.</w:t>
            </w:r>
          </w:p>
        </w:tc>
        <w:tc>
          <w:tcPr>
            <w:tcW w:w="1168" w:type="dxa"/>
            <w:tcBorders>
              <w:top w:val="nil"/>
              <w:bottom w:val="single" w:sz="6" w:space="0" w:color="000000"/>
            </w:tcBorders>
            <w:vAlign w:val="center"/>
          </w:tcPr>
          <w:p w14:paraId="35B2EA26" w14:textId="77777777" w:rsidR="004B0CD6" w:rsidRPr="00576AF8" w:rsidRDefault="004B0CD6" w:rsidP="004B0CD6">
            <w:pPr>
              <w:spacing w:before="60" w:after="60"/>
              <w:jc w:val="center"/>
              <w:rPr>
                <w:sz w:val="16"/>
                <w:szCs w:val="16"/>
              </w:rPr>
            </w:pPr>
            <w:r w:rsidRPr="00576AF8">
              <w:rPr>
                <w:sz w:val="16"/>
                <w:szCs w:val="16"/>
              </w:rPr>
              <w:t>N/C</w:t>
            </w:r>
          </w:p>
        </w:tc>
        <w:tc>
          <w:tcPr>
            <w:tcW w:w="1372" w:type="dxa"/>
            <w:tcBorders>
              <w:top w:val="nil"/>
              <w:bottom w:val="single" w:sz="6" w:space="0" w:color="000000"/>
            </w:tcBorders>
            <w:vAlign w:val="center"/>
          </w:tcPr>
          <w:p w14:paraId="2BCD90A4" w14:textId="77777777" w:rsidR="004B0CD6" w:rsidRPr="00576AF8" w:rsidRDefault="004B0CD6" w:rsidP="004B0CD6">
            <w:pPr>
              <w:spacing w:before="60" w:after="60"/>
              <w:jc w:val="left"/>
              <w:rPr>
                <w:spacing w:val="-4"/>
                <w:sz w:val="16"/>
                <w:szCs w:val="16"/>
              </w:rPr>
            </w:pPr>
            <w:r w:rsidRPr="00576AF8">
              <w:rPr>
                <w:spacing w:val="-4"/>
                <w:sz w:val="16"/>
                <w:szCs w:val="16"/>
              </w:rPr>
              <w:t xml:space="preserve">Debe cumplir con los requisitos correspondientes a una característica. </w:t>
            </w:r>
          </w:p>
        </w:tc>
        <w:tc>
          <w:tcPr>
            <w:tcW w:w="2015" w:type="dxa"/>
            <w:tcBorders>
              <w:bottom w:val="single" w:sz="6" w:space="0" w:color="000000"/>
            </w:tcBorders>
            <w:vAlign w:val="center"/>
          </w:tcPr>
          <w:p w14:paraId="0832BF72" w14:textId="77777777" w:rsidR="004B0CD6" w:rsidRPr="00576AF8" w:rsidRDefault="004B0CD6">
            <w:pPr>
              <w:spacing w:before="60" w:after="60"/>
              <w:jc w:val="center"/>
              <w:rPr>
                <w:sz w:val="16"/>
                <w:szCs w:val="16"/>
              </w:rPr>
            </w:pPr>
            <w:r w:rsidRPr="00576AF8">
              <w:rPr>
                <w:sz w:val="16"/>
                <w:szCs w:val="16"/>
              </w:rPr>
              <w:t xml:space="preserve">Formulario EXP </w:t>
            </w:r>
            <w:r w:rsidR="00C55426" w:rsidRPr="00576AF8">
              <w:rPr>
                <w:sz w:val="16"/>
                <w:szCs w:val="16"/>
              </w:rPr>
              <w:t>5</w:t>
            </w:r>
            <w:r w:rsidRPr="00576AF8">
              <w:rPr>
                <w:sz w:val="16"/>
                <w:szCs w:val="16"/>
              </w:rPr>
              <w:t>.4.2</w:t>
            </w:r>
          </w:p>
        </w:tc>
      </w:tr>
    </w:tbl>
    <w:p w14:paraId="46C56FEF" w14:textId="77777777" w:rsidR="001040E4" w:rsidRPr="00576AF8" w:rsidRDefault="001040E4" w:rsidP="001040E4">
      <w:pPr>
        <w:pStyle w:val="Piedepgina"/>
        <w:ind w:left="1440" w:hanging="720"/>
        <w:rPr>
          <w:b/>
        </w:rPr>
      </w:pPr>
    </w:p>
    <w:p w14:paraId="1F63FC2B" w14:textId="77777777" w:rsidR="001040E4" w:rsidRPr="00576AF8" w:rsidRDefault="001040E4" w:rsidP="001040E4">
      <w:pPr>
        <w:pStyle w:val="Piedepgina"/>
        <w:ind w:left="1440" w:hanging="720"/>
        <w:rPr>
          <w:b/>
        </w:rPr>
        <w:sectPr w:rsidR="001040E4" w:rsidRPr="00576AF8" w:rsidSect="000968D2">
          <w:headerReference w:type="even" r:id="rId36"/>
          <w:headerReference w:type="default" r:id="rId37"/>
          <w:headerReference w:type="first" r:id="rId38"/>
          <w:footnotePr>
            <w:numRestart w:val="eachSect"/>
          </w:footnotePr>
          <w:pgSz w:w="15840" w:h="12240" w:orient="landscape" w:code="1"/>
          <w:pgMar w:top="1440" w:right="1440" w:bottom="1440" w:left="1440" w:header="720" w:footer="720" w:gutter="0"/>
          <w:cols w:space="720"/>
          <w:titlePg/>
        </w:sectPr>
      </w:pPr>
    </w:p>
    <w:p w14:paraId="59CDB704" w14:textId="77777777" w:rsidR="001040E4" w:rsidRPr="00576AF8" w:rsidRDefault="00F117C1" w:rsidP="00267347">
      <w:pPr>
        <w:pStyle w:val="Piedepgina"/>
        <w:spacing w:after="360"/>
        <w:ind w:left="720" w:hanging="720"/>
        <w:rPr>
          <w:iCs/>
          <w:sz w:val="28"/>
        </w:rPr>
      </w:pPr>
      <w:r w:rsidRPr="00576AF8">
        <w:rPr>
          <w:b/>
        </w:rPr>
        <w:lastRenderedPageBreak/>
        <w:t>6</w:t>
      </w:r>
      <w:r w:rsidR="001040E4" w:rsidRPr="00576AF8">
        <w:rPr>
          <w:b/>
        </w:rPr>
        <w:t>.5</w:t>
      </w:r>
      <w:r w:rsidR="001040E4" w:rsidRPr="00576AF8">
        <w:tab/>
      </w:r>
      <w:r w:rsidR="001040E4" w:rsidRPr="00576AF8">
        <w:rPr>
          <w:b/>
        </w:rPr>
        <w:t>Personal</w:t>
      </w:r>
    </w:p>
    <w:p w14:paraId="43F2F38A" w14:textId="77777777" w:rsidR="001040E4" w:rsidRPr="00576AF8" w:rsidRDefault="001040E4" w:rsidP="00267347">
      <w:pPr>
        <w:tabs>
          <w:tab w:val="right" w:pos="7254"/>
        </w:tabs>
        <w:spacing w:before="120" w:after="480"/>
        <w:ind w:left="720"/>
        <w:jc w:val="left"/>
      </w:pPr>
      <w:r w:rsidRPr="00576AF8">
        <w:t>El Licitante deberá demostrar que contará con el personal necesario para desempeñar los cargos clave según los siguientes requisitos:</w:t>
      </w:r>
    </w:p>
    <w:p w14:paraId="5A75BBDD" w14:textId="77777777" w:rsidR="0056177F" w:rsidRPr="00576AF8" w:rsidRDefault="0056177F" w:rsidP="008C0D90">
      <w:pPr>
        <w:tabs>
          <w:tab w:val="right" w:pos="7254"/>
        </w:tabs>
        <w:spacing w:before="120" w:after="480"/>
        <w:ind w:left="720"/>
        <w:jc w:val="center"/>
        <w:rPr>
          <w:b/>
        </w:rPr>
      </w:pPr>
      <w:bookmarkStart w:id="414" w:name="OLE_LINK13"/>
      <w:r w:rsidRPr="00576AF8">
        <w:rPr>
          <w:b/>
        </w:rPr>
        <w:t>Tabla de Personal del Licitante</w:t>
      </w:r>
    </w:p>
    <w:tbl>
      <w:tblPr>
        <w:tblW w:w="5000" w:type="pct"/>
        <w:tblLook w:val="06A0" w:firstRow="1" w:lastRow="0" w:firstColumn="1" w:lastColumn="0" w:noHBand="1" w:noVBand="1"/>
      </w:tblPr>
      <w:tblGrid>
        <w:gridCol w:w="843"/>
        <w:gridCol w:w="2347"/>
        <w:gridCol w:w="2315"/>
        <w:gridCol w:w="2579"/>
        <w:gridCol w:w="1266"/>
      </w:tblGrid>
      <w:tr w:rsidR="0069781B" w:rsidRPr="00576AF8" w14:paraId="19C8C7A9" w14:textId="77777777" w:rsidTr="0069781B">
        <w:trPr>
          <w:trHeight w:val="585"/>
        </w:trPr>
        <w:tc>
          <w:tcPr>
            <w:tcW w:w="451" w:type="pct"/>
            <w:tcBorders>
              <w:top w:val="single" w:sz="4" w:space="0" w:color="B8CCE3"/>
              <w:left w:val="single" w:sz="4" w:space="0" w:color="B8CCE3"/>
              <w:bottom w:val="single" w:sz="12" w:space="0" w:color="94B3D6"/>
              <w:right w:val="single" w:sz="4" w:space="0" w:color="B8CCE3"/>
            </w:tcBorders>
            <w:shd w:val="clear" w:color="auto" w:fill="DBE4F0"/>
          </w:tcPr>
          <w:p w14:paraId="71B4F91B" w14:textId="77777777" w:rsidR="0069781B" w:rsidRPr="00576AF8" w:rsidRDefault="0069781B" w:rsidP="00836FAD">
            <w:pPr>
              <w:spacing w:before="145" w:after="0"/>
              <w:ind w:left="87" w:right="79"/>
              <w:jc w:val="center"/>
              <w:rPr>
                <w:sz w:val="20"/>
              </w:rPr>
            </w:pPr>
            <w:r w:rsidRPr="00576AF8">
              <w:rPr>
                <w:rFonts w:eastAsia="Calibri"/>
                <w:b/>
                <w:bCs/>
                <w:color w:val="000000"/>
                <w:sz w:val="20"/>
              </w:rPr>
              <w:t>No.</w:t>
            </w:r>
          </w:p>
        </w:tc>
        <w:tc>
          <w:tcPr>
            <w:tcW w:w="1255" w:type="pct"/>
            <w:tcBorders>
              <w:top w:val="single" w:sz="4" w:space="0" w:color="B8CCE3"/>
              <w:left w:val="single" w:sz="4" w:space="0" w:color="B8CCE3"/>
              <w:bottom w:val="single" w:sz="12" w:space="0" w:color="94B3D6"/>
              <w:right w:val="single" w:sz="4" w:space="0" w:color="B8CCE3"/>
            </w:tcBorders>
            <w:shd w:val="clear" w:color="auto" w:fill="DBE4F0"/>
          </w:tcPr>
          <w:p w14:paraId="46C56942" w14:textId="77777777" w:rsidR="0069781B" w:rsidRPr="00576AF8" w:rsidRDefault="0069781B" w:rsidP="00836FAD">
            <w:pPr>
              <w:spacing w:before="145" w:after="0"/>
              <w:ind w:right="1168"/>
              <w:jc w:val="center"/>
              <w:rPr>
                <w:sz w:val="20"/>
              </w:rPr>
            </w:pPr>
            <w:r w:rsidRPr="00576AF8">
              <w:rPr>
                <w:rFonts w:eastAsia="Calibri"/>
                <w:b/>
                <w:color w:val="000000"/>
                <w:sz w:val="20"/>
              </w:rPr>
              <w:t>Función</w:t>
            </w:r>
          </w:p>
        </w:tc>
        <w:tc>
          <w:tcPr>
            <w:tcW w:w="1238" w:type="pct"/>
            <w:tcBorders>
              <w:top w:val="single" w:sz="4" w:space="0" w:color="B8CCE3"/>
              <w:left w:val="single" w:sz="4" w:space="0" w:color="B8CCE3"/>
              <w:bottom w:val="single" w:sz="12" w:space="0" w:color="94B3D6"/>
              <w:right w:val="single" w:sz="4" w:space="0" w:color="B8CCE3"/>
            </w:tcBorders>
            <w:shd w:val="clear" w:color="auto" w:fill="DBE4F0"/>
          </w:tcPr>
          <w:p w14:paraId="1E63EAE9" w14:textId="77777777" w:rsidR="0069781B" w:rsidRPr="00576AF8" w:rsidRDefault="0069781B" w:rsidP="00836FAD">
            <w:pPr>
              <w:spacing w:before="145" w:after="0"/>
              <w:ind w:left="148" w:right="-20"/>
              <w:rPr>
                <w:sz w:val="20"/>
              </w:rPr>
            </w:pPr>
            <w:r w:rsidRPr="00576AF8">
              <w:rPr>
                <w:rFonts w:eastAsia="Calibri"/>
                <w:b/>
                <w:bCs/>
                <w:color w:val="000000"/>
                <w:sz w:val="20"/>
              </w:rPr>
              <w:t>Nivel de Estudio</w:t>
            </w:r>
          </w:p>
        </w:tc>
        <w:tc>
          <w:tcPr>
            <w:tcW w:w="1379" w:type="pct"/>
            <w:tcBorders>
              <w:top w:val="single" w:sz="4" w:space="0" w:color="B8CCE3"/>
              <w:left w:val="single" w:sz="4" w:space="0" w:color="B8CCE3"/>
              <w:bottom w:val="single" w:sz="12" w:space="0" w:color="94B3D6"/>
              <w:right w:val="single" w:sz="4" w:space="0" w:color="B8CCE3"/>
            </w:tcBorders>
            <w:shd w:val="clear" w:color="auto" w:fill="DBE4F0"/>
          </w:tcPr>
          <w:p w14:paraId="7A37AFA1" w14:textId="77777777" w:rsidR="0069781B" w:rsidRPr="00576AF8" w:rsidRDefault="0069781B" w:rsidP="00836FAD">
            <w:pPr>
              <w:spacing w:before="145" w:after="0"/>
              <w:ind w:left="383" w:right="-20"/>
              <w:rPr>
                <w:sz w:val="20"/>
              </w:rPr>
            </w:pPr>
            <w:r w:rsidRPr="00576AF8">
              <w:rPr>
                <w:rFonts w:eastAsia="Calibri"/>
                <w:b/>
                <w:bCs/>
                <w:color w:val="000000"/>
                <w:sz w:val="20"/>
              </w:rPr>
              <w:t>Especialidad</w:t>
            </w:r>
          </w:p>
        </w:tc>
        <w:tc>
          <w:tcPr>
            <w:tcW w:w="677" w:type="pct"/>
            <w:tcBorders>
              <w:top w:val="single" w:sz="4" w:space="0" w:color="B8CCE3"/>
              <w:left w:val="single" w:sz="4" w:space="0" w:color="B8CCE3"/>
              <w:bottom w:val="single" w:sz="12" w:space="0" w:color="94B3D6"/>
              <w:right w:val="single" w:sz="4" w:space="0" w:color="B8CCE3"/>
            </w:tcBorders>
            <w:shd w:val="clear" w:color="auto" w:fill="DBE4F0"/>
          </w:tcPr>
          <w:p w14:paraId="45599C2A" w14:textId="133774D3" w:rsidR="0069781B" w:rsidRPr="00576AF8" w:rsidRDefault="0069781B" w:rsidP="00836FAD">
            <w:pPr>
              <w:spacing w:after="0"/>
              <w:ind w:left="108" w:right="-20"/>
              <w:rPr>
                <w:sz w:val="20"/>
              </w:rPr>
            </w:pPr>
            <w:r w:rsidRPr="00576AF8">
              <w:rPr>
                <w:rFonts w:eastAsia="Calibri"/>
                <w:b/>
                <w:bCs/>
                <w:color w:val="000000"/>
                <w:sz w:val="20"/>
              </w:rPr>
              <w:t>Cantidad</w:t>
            </w:r>
          </w:p>
        </w:tc>
      </w:tr>
      <w:tr w:rsidR="0069781B" w:rsidRPr="00576AF8" w14:paraId="621D3AB3" w14:textId="77777777" w:rsidTr="0069781B">
        <w:trPr>
          <w:trHeight w:val="1755"/>
        </w:trPr>
        <w:tc>
          <w:tcPr>
            <w:tcW w:w="451" w:type="pct"/>
            <w:tcBorders>
              <w:top w:val="single" w:sz="12" w:space="0" w:color="94B3D6"/>
              <w:left w:val="single" w:sz="4" w:space="0" w:color="B8CCE3"/>
              <w:bottom w:val="single" w:sz="4" w:space="0" w:color="B8CCE3"/>
              <w:right w:val="single" w:sz="4" w:space="0" w:color="B8CCE3"/>
            </w:tcBorders>
          </w:tcPr>
          <w:p w14:paraId="46A04E0D" w14:textId="77777777" w:rsidR="0069781B" w:rsidRPr="00576AF8" w:rsidRDefault="0069781B" w:rsidP="00836FAD">
            <w:pPr>
              <w:spacing w:after="0"/>
              <w:ind w:left="440" w:right="-20"/>
              <w:rPr>
                <w:sz w:val="20"/>
              </w:rPr>
            </w:pPr>
          </w:p>
          <w:p w14:paraId="0EDF1048" w14:textId="77777777" w:rsidR="0069781B" w:rsidRPr="00576AF8" w:rsidRDefault="0069781B" w:rsidP="00836FAD">
            <w:pPr>
              <w:spacing w:after="0"/>
              <w:ind w:left="440" w:right="-20"/>
              <w:rPr>
                <w:sz w:val="20"/>
              </w:rPr>
            </w:pPr>
          </w:p>
          <w:p w14:paraId="1E805F8B" w14:textId="77777777" w:rsidR="0069781B" w:rsidRPr="00576AF8" w:rsidRDefault="0069781B" w:rsidP="00836FAD">
            <w:pPr>
              <w:spacing w:before="182" w:after="0"/>
              <w:ind w:left="8" w:right="-20"/>
              <w:jc w:val="center"/>
              <w:rPr>
                <w:sz w:val="20"/>
              </w:rPr>
            </w:pPr>
            <w:r w:rsidRPr="00576AF8">
              <w:rPr>
                <w:rFonts w:eastAsia="Calibri"/>
                <w:b/>
                <w:bCs/>
                <w:color w:val="000000"/>
                <w:sz w:val="20"/>
              </w:rPr>
              <w:t>1</w:t>
            </w:r>
          </w:p>
        </w:tc>
        <w:tc>
          <w:tcPr>
            <w:tcW w:w="1255" w:type="pct"/>
            <w:tcBorders>
              <w:top w:val="single" w:sz="12" w:space="0" w:color="94B3D6"/>
              <w:left w:val="single" w:sz="4" w:space="0" w:color="B8CCE3"/>
              <w:bottom w:val="single" w:sz="4" w:space="0" w:color="B8CCE3"/>
              <w:right w:val="single" w:sz="4" w:space="0" w:color="B8CCE3"/>
            </w:tcBorders>
          </w:tcPr>
          <w:p w14:paraId="3DDE129D" w14:textId="77777777" w:rsidR="0069781B" w:rsidRPr="00576AF8" w:rsidRDefault="0069781B" w:rsidP="00836FAD">
            <w:pPr>
              <w:spacing w:after="0"/>
              <w:ind w:left="440" w:right="-20"/>
              <w:rPr>
                <w:sz w:val="20"/>
              </w:rPr>
            </w:pPr>
          </w:p>
          <w:p w14:paraId="0B7CF6F1" w14:textId="77777777" w:rsidR="0069781B" w:rsidRPr="00576AF8" w:rsidRDefault="0069781B" w:rsidP="00836FAD">
            <w:pPr>
              <w:spacing w:after="0"/>
              <w:ind w:left="440" w:right="-20"/>
              <w:rPr>
                <w:sz w:val="20"/>
              </w:rPr>
            </w:pPr>
          </w:p>
          <w:p w14:paraId="541A3039" w14:textId="77777777" w:rsidR="0069781B" w:rsidRPr="00576AF8" w:rsidRDefault="0069781B" w:rsidP="00836FAD">
            <w:pPr>
              <w:spacing w:before="182" w:after="0"/>
              <w:ind w:left="107" w:right="-20"/>
              <w:rPr>
                <w:sz w:val="20"/>
              </w:rPr>
            </w:pPr>
            <w:r w:rsidRPr="00576AF8">
              <w:rPr>
                <w:rFonts w:eastAsia="Calibri"/>
                <w:color w:val="000000"/>
                <w:sz w:val="20"/>
              </w:rPr>
              <w:t>Coordinador de Proyecto, líder, director o equivalente</w:t>
            </w:r>
          </w:p>
        </w:tc>
        <w:tc>
          <w:tcPr>
            <w:tcW w:w="1238" w:type="pct"/>
            <w:tcBorders>
              <w:top w:val="single" w:sz="12" w:space="0" w:color="94B3D6"/>
              <w:left w:val="single" w:sz="4" w:space="0" w:color="B8CCE3"/>
              <w:bottom w:val="single" w:sz="4" w:space="0" w:color="B8CCE3"/>
              <w:right w:val="single" w:sz="4" w:space="0" w:color="B8CCE3"/>
            </w:tcBorders>
          </w:tcPr>
          <w:p w14:paraId="0BB8EF26" w14:textId="77777777" w:rsidR="0069781B" w:rsidRPr="00576AF8" w:rsidRDefault="0069781B" w:rsidP="00836FAD">
            <w:pPr>
              <w:spacing w:after="0"/>
              <w:ind w:left="440" w:right="-20"/>
              <w:rPr>
                <w:sz w:val="20"/>
              </w:rPr>
            </w:pPr>
          </w:p>
          <w:p w14:paraId="50BB429F" w14:textId="77777777" w:rsidR="0069781B" w:rsidRPr="00576AF8" w:rsidRDefault="0069781B" w:rsidP="00836FAD">
            <w:pPr>
              <w:spacing w:after="0"/>
              <w:ind w:left="440" w:right="-20"/>
              <w:rPr>
                <w:sz w:val="20"/>
              </w:rPr>
            </w:pPr>
          </w:p>
          <w:p w14:paraId="3AF7A1FB" w14:textId="77777777" w:rsidR="0069781B" w:rsidRPr="00576AF8" w:rsidRDefault="0069781B" w:rsidP="00836FAD">
            <w:pPr>
              <w:spacing w:after="0"/>
              <w:ind w:left="107" w:right="164"/>
              <w:rPr>
                <w:sz w:val="20"/>
              </w:rPr>
            </w:pPr>
            <w:bookmarkStart w:id="415" w:name="_Hlk163134271"/>
            <w:r w:rsidRPr="00576AF8">
              <w:rPr>
                <w:rFonts w:eastAsia="Calibri"/>
                <w:color w:val="000000"/>
                <w:sz w:val="20"/>
              </w:rPr>
              <w:t>Título (Título universitario de grado)</w:t>
            </w:r>
            <w:bookmarkEnd w:id="415"/>
          </w:p>
        </w:tc>
        <w:tc>
          <w:tcPr>
            <w:tcW w:w="1379" w:type="pct"/>
            <w:tcBorders>
              <w:top w:val="single" w:sz="12" w:space="0" w:color="94B3D6"/>
              <w:left w:val="single" w:sz="4" w:space="0" w:color="B8CCE3"/>
              <w:bottom w:val="single" w:sz="4" w:space="0" w:color="B8CCE3"/>
              <w:right w:val="single" w:sz="4" w:space="0" w:color="B8CCE3"/>
            </w:tcBorders>
          </w:tcPr>
          <w:p w14:paraId="490DFA51" w14:textId="77777777" w:rsidR="0069781B" w:rsidRPr="00576AF8" w:rsidRDefault="0069781B" w:rsidP="00E7421E">
            <w:pPr>
              <w:spacing w:after="0"/>
              <w:ind w:left="107" w:right="42"/>
              <w:rPr>
                <w:sz w:val="20"/>
              </w:rPr>
            </w:pPr>
            <w:r w:rsidRPr="00576AF8">
              <w:rPr>
                <w:rFonts w:eastAsia="Calibri"/>
                <w:color w:val="000000"/>
                <w:sz w:val="20"/>
              </w:rPr>
              <w:t>electricidad, mecatrónica, industrial, electrónica,</w:t>
            </w:r>
          </w:p>
          <w:p w14:paraId="3848D0FD" w14:textId="7E22901A" w:rsidR="0069781B" w:rsidRPr="00576AF8" w:rsidRDefault="0069781B" w:rsidP="00E7421E">
            <w:pPr>
              <w:spacing w:after="0"/>
              <w:ind w:left="107" w:right="42"/>
              <w:rPr>
                <w:sz w:val="20"/>
              </w:rPr>
            </w:pPr>
            <w:r w:rsidRPr="00576AF8">
              <w:rPr>
                <w:rFonts w:eastAsia="Calibri"/>
                <w:color w:val="000000"/>
                <w:sz w:val="20"/>
              </w:rPr>
              <w:t>energía, redes, comunicaciones o informática.</w:t>
            </w:r>
            <w:r>
              <w:rPr>
                <w:rFonts w:eastAsia="Calibri"/>
                <w:color w:val="000000"/>
                <w:sz w:val="20"/>
              </w:rPr>
              <w:t xml:space="preserve"> Adicional, acreditar </w:t>
            </w:r>
            <w:r w:rsidRPr="0069781B">
              <w:rPr>
                <w:rFonts w:eastAsia="Calibri"/>
                <w:color w:val="000000"/>
                <w:sz w:val="20"/>
              </w:rPr>
              <w:t>certificación en gestión de proyectos o equivalentes</w:t>
            </w:r>
          </w:p>
        </w:tc>
        <w:tc>
          <w:tcPr>
            <w:tcW w:w="677" w:type="pct"/>
            <w:tcBorders>
              <w:top w:val="single" w:sz="12" w:space="0" w:color="94B3D6"/>
              <w:left w:val="single" w:sz="4" w:space="0" w:color="B8CCE3"/>
              <w:bottom w:val="single" w:sz="4" w:space="0" w:color="B8CCE3"/>
              <w:right w:val="single" w:sz="4" w:space="0" w:color="B8CCE3"/>
            </w:tcBorders>
          </w:tcPr>
          <w:p w14:paraId="5C865266" w14:textId="245A0112" w:rsidR="0069781B" w:rsidRPr="00576AF8" w:rsidRDefault="0069781B" w:rsidP="00836FAD">
            <w:pPr>
              <w:spacing w:after="0"/>
              <w:ind w:left="440" w:right="-20"/>
              <w:rPr>
                <w:sz w:val="20"/>
              </w:rPr>
            </w:pPr>
          </w:p>
          <w:p w14:paraId="281400C0" w14:textId="77777777" w:rsidR="0069781B" w:rsidRPr="00576AF8" w:rsidRDefault="0069781B" w:rsidP="00836FAD">
            <w:pPr>
              <w:spacing w:after="0"/>
              <w:ind w:left="440" w:right="-20"/>
              <w:rPr>
                <w:sz w:val="20"/>
              </w:rPr>
            </w:pPr>
          </w:p>
          <w:p w14:paraId="226D9C98" w14:textId="77777777" w:rsidR="0069781B" w:rsidRPr="00576AF8" w:rsidRDefault="0069781B" w:rsidP="00836FAD">
            <w:pPr>
              <w:spacing w:before="182" w:after="0"/>
              <w:ind w:left="-20" w:right="482"/>
              <w:jc w:val="right"/>
              <w:rPr>
                <w:sz w:val="20"/>
              </w:rPr>
            </w:pPr>
            <w:r w:rsidRPr="00576AF8">
              <w:rPr>
                <w:rFonts w:eastAsia="Calibri"/>
                <w:color w:val="000000"/>
                <w:sz w:val="20"/>
              </w:rPr>
              <w:t>1</w:t>
            </w:r>
          </w:p>
        </w:tc>
      </w:tr>
      <w:tr w:rsidR="0069781B" w:rsidRPr="00576AF8" w14:paraId="6090F47C" w14:textId="77777777" w:rsidTr="0069781B">
        <w:trPr>
          <w:trHeight w:val="885"/>
        </w:trPr>
        <w:tc>
          <w:tcPr>
            <w:tcW w:w="451" w:type="pct"/>
            <w:tcBorders>
              <w:top w:val="single" w:sz="4" w:space="0" w:color="B8CCE3"/>
              <w:left w:val="single" w:sz="4" w:space="0" w:color="B8CCE3"/>
              <w:bottom w:val="single" w:sz="4" w:space="0" w:color="B8CCE3"/>
              <w:right w:val="single" w:sz="4" w:space="0" w:color="B8CCE3"/>
            </w:tcBorders>
          </w:tcPr>
          <w:p w14:paraId="1661C9CF" w14:textId="77777777" w:rsidR="0069781B" w:rsidRPr="00576AF8" w:rsidRDefault="0069781B" w:rsidP="00836FAD">
            <w:pPr>
              <w:spacing w:after="0"/>
              <w:ind w:left="440" w:right="-20"/>
              <w:rPr>
                <w:sz w:val="20"/>
              </w:rPr>
            </w:pPr>
          </w:p>
          <w:p w14:paraId="4087C970" w14:textId="77777777" w:rsidR="0069781B" w:rsidRPr="00576AF8" w:rsidRDefault="0069781B" w:rsidP="00836FAD">
            <w:pPr>
              <w:spacing w:after="0"/>
              <w:ind w:left="8" w:right="-20"/>
              <w:jc w:val="center"/>
              <w:rPr>
                <w:sz w:val="20"/>
              </w:rPr>
            </w:pPr>
            <w:r w:rsidRPr="00576AF8">
              <w:rPr>
                <w:rFonts w:eastAsia="Calibri"/>
                <w:b/>
                <w:bCs/>
                <w:color w:val="000000"/>
                <w:sz w:val="20"/>
              </w:rPr>
              <w:t>2</w:t>
            </w:r>
          </w:p>
        </w:tc>
        <w:tc>
          <w:tcPr>
            <w:tcW w:w="1255" w:type="pct"/>
            <w:tcBorders>
              <w:top w:val="single" w:sz="4" w:space="0" w:color="B8CCE3"/>
              <w:left w:val="single" w:sz="4" w:space="0" w:color="B8CCE3"/>
              <w:bottom w:val="single" w:sz="4" w:space="0" w:color="B8CCE3"/>
              <w:right w:val="single" w:sz="4" w:space="0" w:color="B8CCE3"/>
            </w:tcBorders>
          </w:tcPr>
          <w:p w14:paraId="3447B337" w14:textId="77777777" w:rsidR="0069781B" w:rsidRPr="00576AF8" w:rsidRDefault="0069781B" w:rsidP="00836FAD">
            <w:pPr>
              <w:spacing w:after="0"/>
              <w:ind w:left="440" w:right="-20"/>
              <w:rPr>
                <w:sz w:val="20"/>
              </w:rPr>
            </w:pPr>
          </w:p>
          <w:p w14:paraId="3DB3238A" w14:textId="77777777" w:rsidR="0069781B" w:rsidRPr="00576AF8" w:rsidRDefault="0069781B" w:rsidP="00836FAD">
            <w:pPr>
              <w:spacing w:after="0"/>
              <w:ind w:left="107" w:right="-20"/>
              <w:rPr>
                <w:sz w:val="20"/>
              </w:rPr>
            </w:pPr>
            <w:r w:rsidRPr="00576AF8">
              <w:rPr>
                <w:rFonts w:eastAsia="Calibri"/>
                <w:color w:val="000000"/>
                <w:sz w:val="20"/>
              </w:rPr>
              <w:t>Especialista SCADA</w:t>
            </w:r>
          </w:p>
        </w:tc>
        <w:tc>
          <w:tcPr>
            <w:tcW w:w="1238" w:type="pct"/>
            <w:tcBorders>
              <w:top w:val="single" w:sz="4" w:space="0" w:color="B8CCE3"/>
              <w:left w:val="single" w:sz="4" w:space="0" w:color="B8CCE3"/>
              <w:bottom w:val="single" w:sz="4" w:space="0" w:color="B8CCE3"/>
              <w:right w:val="single" w:sz="4" w:space="0" w:color="B8CCE3"/>
            </w:tcBorders>
          </w:tcPr>
          <w:p w14:paraId="1C6747D1" w14:textId="77777777" w:rsidR="0069781B" w:rsidRPr="00576AF8" w:rsidRDefault="0069781B" w:rsidP="00836FAD">
            <w:pPr>
              <w:spacing w:before="145"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413AD8DE" w14:textId="77777777" w:rsidR="0069781B" w:rsidRPr="00576AF8" w:rsidRDefault="0069781B" w:rsidP="00E7421E">
            <w:pPr>
              <w:spacing w:after="0"/>
              <w:ind w:left="107" w:right="42"/>
              <w:rPr>
                <w:sz w:val="20"/>
              </w:rPr>
            </w:pPr>
            <w:r w:rsidRPr="00576AF8">
              <w:rPr>
                <w:rFonts w:eastAsia="Calibri"/>
                <w:color w:val="000000"/>
                <w:sz w:val="20"/>
              </w:rPr>
              <w:t>informática, electricidad, redes, comunicaciones ó</w:t>
            </w:r>
          </w:p>
          <w:p w14:paraId="099EA27B" w14:textId="77777777" w:rsidR="0069781B" w:rsidRPr="00576AF8" w:rsidRDefault="0069781B" w:rsidP="00E7421E">
            <w:pPr>
              <w:spacing w:after="0"/>
              <w:ind w:left="107" w:right="42"/>
              <w:rPr>
                <w:sz w:val="20"/>
              </w:rPr>
            </w:pPr>
            <w:r w:rsidRPr="00576AF8">
              <w:rPr>
                <w:rFonts w:eastAsia="Calibri"/>
                <w:color w:val="000000"/>
                <w:sz w:val="20"/>
              </w:rPr>
              <w:t>electrónica.</w:t>
            </w:r>
          </w:p>
        </w:tc>
        <w:tc>
          <w:tcPr>
            <w:tcW w:w="677" w:type="pct"/>
            <w:tcBorders>
              <w:top w:val="single" w:sz="4" w:space="0" w:color="B8CCE3"/>
              <w:left w:val="single" w:sz="4" w:space="0" w:color="B8CCE3"/>
              <w:bottom w:val="single" w:sz="4" w:space="0" w:color="B8CCE3"/>
              <w:right w:val="single" w:sz="4" w:space="0" w:color="B8CCE3"/>
            </w:tcBorders>
          </w:tcPr>
          <w:p w14:paraId="25CBF664" w14:textId="7A784557" w:rsidR="0069781B" w:rsidRPr="00576AF8" w:rsidRDefault="0069781B" w:rsidP="00836FAD">
            <w:pPr>
              <w:spacing w:after="0"/>
              <w:ind w:left="440" w:right="-20"/>
              <w:rPr>
                <w:sz w:val="20"/>
              </w:rPr>
            </w:pPr>
          </w:p>
          <w:p w14:paraId="1CB82C87" w14:textId="77777777" w:rsidR="0069781B" w:rsidRPr="00576AF8" w:rsidRDefault="0069781B" w:rsidP="00836FAD">
            <w:pPr>
              <w:spacing w:after="0"/>
              <w:ind w:left="-20" w:right="482"/>
              <w:jc w:val="right"/>
              <w:rPr>
                <w:sz w:val="20"/>
              </w:rPr>
            </w:pPr>
            <w:r w:rsidRPr="00576AF8">
              <w:rPr>
                <w:rFonts w:eastAsia="Calibri"/>
                <w:color w:val="000000"/>
                <w:sz w:val="20"/>
              </w:rPr>
              <w:t>1</w:t>
            </w:r>
          </w:p>
        </w:tc>
      </w:tr>
      <w:tr w:rsidR="0069781B" w:rsidRPr="00576AF8" w14:paraId="2D6C29DF" w14:textId="77777777" w:rsidTr="0069781B">
        <w:trPr>
          <w:trHeight w:val="885"/>
        </w:trPr>
        <w:tc>
          <w:tcPr>
            <w:tcW w:w="451" w:type="pct"/>
            <w:tcBorders>
              <w:top w:val="single" w:sz="4" w:space="0" w:color="B8CCE3"/>
              <w:left w:val="single" w:sz="4" w:space="0" w:color="B8CCE3"/>
              <w:bottom w:val="single" w:sz="4" w:space="0" w:color="B8CCE3"/>
              <w:right w:val="single" w:sz="4" w:space="0" w:color="B8CCE3"/>
            </w:tcBorders>
          </w:tcPr>
          <w:p w14:paraId="340010CA" w14:textId="77777777" w:rsidR="0069781B" w:rsidRPr="00576AF8" w:rsidRDefault="0069781B" w:rsidP="00836FAD">
            <w:pPr>
              <w:spacing w:after="0"/>
              <w:ind w:left="440" w:right="-20"/>
              <w:rPr>
                <w:sz w:val="20"/>
              </w:rPr>
            </w:pPr>
          </w:p>
          <w:p w14:paraId="0190E3C3" w14:textId="77777777" w:rsidR="0069781B" w:rsidRPr="00576AF8" w:rsidRDefault="0069781B" w:rsidP="00836FAD">
            <w:pPr>
              <w:spacing w:after="0"/>
              <w:ind w:left="8" w:right="-20"/>
              <w:jc w:val="center"/>
              <w:rPr>
                <w:sz w:val="20"/>
              </w:rPr>
            </w:pPr>
            <w:r w:rsidRPr="00576AF8">
              <w:rPr>
                <w:rFonts w:eastAsia="Calibri"/>
                <w:b/>
                <w:bCs/>
                <w:color w:val="000000"/>
                <w:sz w:val="20"/>
              </w:rPr>
              <w:t>3</w:t>
            </w:r>
          </w:p>
        </w:tc>
        <w:tc>
          <w:tcPr>
            <w:tcW w:w="1255" w:type="pct"/>
            <w:tcBorders>
              <w:top w:val="single" w:sz="4" w:space="0" w:color="B8CCE3"/>
              <w:left w:val="single" w:sz="4" w:space="0" w:color="B8CCE3"/>
              <w:bottom w:val="single" w:sz="4" w:space="0" w:color="B8CCE3"/>
              <w:right w:val="single" w:sz="4" w:space="0" w:color="B8CCE3"/>
            </w:tcBorders>
          </w:tcPr>
          <w:p w14:paraId="2E7E632B" w14:textId="77777777" w:rsidR="0069781B" w:rsidRPr="00576AF8" w:rsidRDefault="0069781B" w:rsidP="00836FAD">
            <w:pPr>
              <w:spacing w:before="145" w:after="0"/>
              <w:ind w:left="107" w:right="350"/>
              <w:rPr>
                <w:sz w:val="20"/>
              </w:rPr>
            </w:pPr>
            <w:r w:rsidRPr="00576AF8">
              <w:rPr>
                <w:rFonts w:eastAsia="Calibri"/>
                <w:color w:val="000000"/>
                <w:sz w:val="20"/>
              </w:rPr>
              <w:t>Especialista de Aplicaciones EMS</w:t>
            </w:r>
          </w:p>
        </w:tc>
        <w:tc>
          <w:tcPr>
            <w:tcW w:w="1238" w:type="pct"/>
            <w:tcBorders>
              <w:top w:val="single" w:sz="4" w:space="0" w:color="B8CCE3"/>
              <w:left w:val="single" w:sz="4" w:space="0" w:color="B8CCE3"/>
              <w:bottom w:val="single" w:sz="4" w:space="0" w:color="B8CCE3"/>
              <w:right w:val="single" w:sz="4" w:space="0" w:color="B8CCE3"/>
            </w:tcBorders>
          </w:tcPr>
          <w:p w14:paraId="41AF2C5C" w14:textId="77777777" w:rsidR="0069781B" w:rsidRPr="00576AF8" w:rsidRDefault="0069781B" w:rsidP="00836FAD">
            <w:pPr>
              <w:spacing w:before="145"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78458C30" w14:textId="77777777" w:rsidR="0069781B" w:rsidRPr="00576AF8" w:rsidRDefault="0069781B" w:rsidP="00E7421E">
            <w:pPr>
              <w:spacing w:after="0"/>
              <w:ind w:left="107" w:right="42"/>
              <w:rPr>
                <w:sz w:val="20"/>
              </w:rPr>
            </w:pPr>
            <w:r w:rsidRPr="00576AF8">
              <w:rPr>
                <w:rFonts w:eastAsia="Calibri"/>
                <w:color w:val="000000"/>
                <w:sz w:val="20"/>
              </w:rPr>
              <w:t>sistemas eléctricos de</w:t>
            </w:r>
          </w:p>
          <w:p w14:paraId="1F200FF7" w14:textId="77777777" w:rsidR="0069781B" w:rsidRPr="00576AF8" w:rsidRDefault="0069781B" w:rsidP="00E7421E">
            <w:pPr>
              <w:spacing w:before="1" w:after="0"/>
              <w:ind w:left="107" w:right="42"/>
              <w:rPr>
                <w:sz w:val="20"/>
              </w:rPr>
            </w:pPr>
            <w:r w:rsidRPr="00576AF8">
              <w:rPr>
                <w:rFonts w:eastAsia="Calibri"/>
                <w:color w:val="000000"/>
                <w:sz w:val="20"/>
              </w:rPr>
              <w:t>potencia</w:t>
            </w:r>
          </w:p>
        </w:tc>
        <w:tc>
          <w:tcPr>
            <w:tcW w:w="677" w:type="pct"/>
            <w:tcBorders>
              <w:top w:val="single" w:sz="4" w:space="0" w:color="B8CCE3"/>
              <w:left w:val="single" w:sz="4" w:space="0" w:color="B8CCE3"/>
              <w:bottom w:val="single" w:sz="4" w:space="0" w:color="B8CCE3"/>
              <w:right w:val="single" w:sz="4" w:space="0" w:color="B8CCE3"/>
            </w:tcBorders>
          </w:tcPr>
          <w:p w14:paraId="2C113A64" w14:textId="3C766A0E" w:rsidR="0069781B" w:rsidRPr="00576AF8" w:rsidRDefault="0069781B" w:rsidP="00836FAD">
            <w:pPr>
              <w:spacing w:after="0"/>
              <w:ind w:left="440" w:right="-20"/>
              <w:rPr>
                <w:sz w:val="20"/>
              </w:rPr>
            </w:pPr>
          </w:p>
          <w:p w14:paraId="2BF9E8FE" w14:textId="77777777" w:rsidR="0069781B" w:rsidRPr="00576AF8" w:rsidRDefault="0069781B" w:rsidP="00836FAD">
            <w:pPr>
              <w:spacing w:after="0"/>
              <w:ind w:left="-20" w:right="482"/>
              <w:jc w:val="right"/>
              <w:rPr>
                <w:sz w:val="20"/>
              </w:rPr>
            </w:pPr>
            <w:r w:rsidRPr="00576AF8">
              <w:rPr>
                <w:rFonts w:eastAsia="Calibri"/>
                <w:color w:val="000000"/>
                <w:sz w:val="20"/>
              </w:rPr>
              <w:t>1</w:t>
            </w:r>
          </w:p>
        </w:tc>
      </w:tr>
      <w:tr w:rsidR="0069781B" w:rsidRPr="00576AF8" w14:paraId="7DFAD5EC" w14:textId="77777777" w:rsidTr="0069781B">
        <w:trPr>
          <w:trHeight w:val="885"/>
        </w:trPr>
        <w:tc>
          <w:tcPr>
            <w:tcW w:w="451" w:type="pct"/>
            <w:tcBorders>
              <w:top w:val="single" w:sz="4" w:space="0" w:color="B8CCE3"/>
              <w:left w:val="single" w:sz="4" w:space="0" w:color="B8CCE3"/>
              <w:bottom w:val="single" w:sz="4" w:space="0" w:color="B8CCE3"/>
              <w:right w:val="single" w:sz="4" w:space="0" w:color="B8CCE3"/>
            </w:tcBorders>
          </w:tcPr>
          <w:p w14:paraId="298F226F" w14:textId="77777777" w:rsidR="0069781B" w:rsidRPr="00576AF8" w:rsidRDefault="0069781B" w:rsidP="00836FAD">
            <w:pPr>
              <w:spacing w:after="0"/>
              <w:ind w:left="440" w:right="-20"/>
              <w:rPr>
                <w:sz w:val="20"/>
              </w:rPr>
            </w:pPr>
          </w:p>
          <w:p w14:paraId="7328CEAB" w14:textId="77777777" w:rsidR="0069781B" w:rsidRPr="00576AF8" w:rsidRDefault="0069781B" w:rsidP="00836FAD">
            <w:pPr>
              <w:spacing w:after="0"/>
              <w:ind w:left="8" w:right="-20"/>
              <w:jc w:val="center"/>
              <w:rPr>
                <w:sz w:val="20"/>
              </w:rPr>
            </w:pPr>
            <w:r w:rsidRPr="00576AF8">
              <w:rPr>
                <w:rFonts w:eastAsia="Calibri"/>
                <w:b/>
                <w:bCs/>
                <w:color w:val="000000"/>
                <w:sz w:val="20"/>
              </w:rPr>
              <w:t>4</w:t>
            </w:r>
          </w:p>
        </w:tc>
        <w:tc>
          <w:tcPr>
            <w:tcW w:w="1255" w:type="pct"/>
            <w:tcBorders>
              <w:top w:val="single" w:sz="4" w:space="0" w:color="B8CCE3"/>
              <w:left w:val="single" w:sz="4" w:space="0" w:color="B8CCE3"/>
              <w:bottom w:val="single" w:sz="4" w:space="0" w:color="B8CCE3"/>
              <w:right w:val="single" w:sz="4" w:space="0" w:color="B8CCE3"/>
            </w:tcBorders>
          </w:tcPr>
          <w:p w14:paraId="7F8D67DC" w14:textId="77777777" w:rsidR="0069781B" w:rsidRPr="00576AF8" w:rsidRDefault="0069781B" w:rsidP="00836FAD">
            <w:pPr>
              <w:spacing w:before="146" w:after="0"/>
              <w:ind w:left="107" w:right="350"/>
              <w:rPr>
                <w:sz w:val="20"/>
              </w:rPr>
            </w:pPr>
            <w:r w:rsidRPr="00576AF8">
              <w:rPr>
                <w:rFonts w:eastAsia="Calibri"/>
                <w:color w:val="000000"/>
                <w:sz w:val="20"/>
              </w:rPr>
              <w:t>Especialista de Aplicaciones GMS</w:t>
            </w:r>
          </w:p>
        </w:tc>
        <w:tc>
          <w:tcPr>
            <w:tcW w:w="1238" w:type="pct"/>
            <w:tcBorders>
              <w:top w:val="single" w:sz="4" w:space="0" w:color="B8CCE3"/>
              <w:left w:val="single" w:sz="4" w:space="0" w:color="B8CCE3"/>
              <w:bottom w:val="single" w:sz="4" w:space="0" w:color="B8CCE3"/>
              <w:right w:val="single" w:sz="4" w:space="0" w:color="B8CCE3"/>
            </w:tcBorders>
          </w:tcPr>
          <w:p w14:paraId="6ED658EE" w14:textId="77777777" w:rsidR="0069781B" w:rsidRPr="00576AF8" w:rsidRDefault="0069781B" w:rsidP="00836FAD">
            <w:pPr>
              <w:spacing w:before="146"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301EA5F6" w14:textId="77777777" w:rsidR="0069781B" w:rsidRPr="00576AF8" w:rsidRDefault="0069781B" w:rsidP="00E7421E">
            <w:pPr>
              <w:spacing w:after="0"/>
              <w:ind w:left="107" w:right="42"/>
              <w:rPr>
                <w:sz w:val="20"/>
              </w:rPr>
            </w:pPr>
            <w:r w:rsidRPr="00576AF8">
              <w:rPr>
                <w:rFonts w:eastAsia="Calibri"/>
                <w:color w:val="000000"/>
                <w:sz w:val="20"/>
              </w:rPr>
              <w:t>sistemas eléctricos de</w:t>
            </w:r>
          </w:p>
          <w:p w14:paraId="22D19FD1" w14:textId="77777777" w:rsidR="0069781B" w:rsidRPr="00576AF8" w:rsidRDefault="0069781B" w:rsidP="00E7421E">
            <w:pPr>
              <w:spacing w:after="0"/>
              <w:ind w:left="107" w:right="42"/>
              <w:rPr>
                <w:sz w:val="20"/>
              </w:rPr>
            </w:pPr>
            <w:r w:rsidRPr="00576AF8">
              <w:rPr>
                <w:rFonts w:eastAsia="Calibri"/>
                <w:color w:val="000000"/>
                <w:sz w:val="20"/>
              </w:rPr>
              <w:t>potencia</w:t>
            </w:r>
          </w:p>
        </w:tc>
        <w:tc>
          <w:tcPr>
            <w:tcW w:w="677" w:type="pct"/>
            <w:tcBorders>
              <w:top w:val="single" w:sz="4" w:space="0" w:color="B8CCE3"/>
              <w:left w:val="single" w:sz="4" w:space="0" w:color="B8CCE3"/>
              <w:bottom w:val="single" w:sz="4" w:space="0" w:color="B8CCE3"/>
              <w:right w:val="single" w:sz="4" w:space="0" w:color="B8CCE3"/>
            </w:tcBorders>
          </w:tcPr>
          <w:p w14:paraId="5EECD969" w14:textId="20E28F80" w:rsidR="0069781B" w:rsidRPr="00576AF8" w:rsidRDefault="0069781B" w:rsidP="00836FAD">
            <w:pPr>
              <w:spacing w:after="0"/>
              <w:ind w:left="440" w:right="-20"/>
              <w:rPr>
                <w:sz w:val="20"/>
              </w:rPr>
            </w:pPr>
          </w:p>
          <w:p w14:paraId="3F5D6BBC" w14:textId="77777777" w:rsidR="0069781B" w:rsidRPr="00576AF8" w:rsidRDefault="0069781B" w:rsidP="00836FAD">
            <w:pPr>
              <w:spacing w:after="0"/>
              <w:ind w:left="-20" w:right="482"/>
              <w:jc w:val="right"/>
              <w:rPr>
                <w:sz w:val="20"/>
              </w:rPr>
            </w:pPr>
            <w:r w:rsidRPr="00576AF8">
              <w:rPr>
                <w:rFonts w:eastAsia="Calibri"/>
                <w:color w:val="000000"/>
                <w:sz w:val="20"/>
              </w:rPr>
              <w:t>1</w:t>
            </w:r>
          </w:p>
        </w:tc>
      </w:tr>
      <w:tr w:rsidR="0069781B" w:rsidRPr="00576AF8" w14:paraId="708DC2D8" w14:textId="77777777" w:rsidTr="0069781B">
        <w:trPr>
          <w:trHeight w:val="1470"/>
        </w:trPr>
        <w:tc>
          <w:tcPr>
            <w:tcW w:w="451" w:type="pct"/>
            <w:tcBorders>
              <w:top w:val="single" w:sz="4" w:space="0" w:color="B8CCE3"/>
              <w:left w:val="single" w:sz="4" w:space="0" w:color="B8CCE3"/>
              <w:bottom w:val="single" w:sz="4" w:space="0" w:color="B8CCE3"/>
              <w:right w:val="single" w:sz="4" w:space="0" w:color="B8CCE3"/>
            </w:tcBorders>
          </w:tcPr>
          <w:p w14:paraId="1AEDBBA4" w14:textId="77777777" w:rsidR="0069781B" w:rsidRPr="00576AF8" w:rsidRDefault="0069781B" w:rsidP="00836FAD">
            <w:pPr>
              <w:spacing w:after="0"/>
              <w:ind w:left="440" w:right="-20"/>
              <w:rPr>
                <w:sz w:val="20"/>
              </w:rPr>
            </w:pPr>
          </w:p>
          <w:p w14:paraId="2D4454A0" w14:textId="77777777" w:rsidR="0069781B" w:rsidRPr="00576AF8" w:rsidRDefault="0069781B" w:rsidP="00836FAD">
            <w:pPr>
              <w:spacing w:after="0"/>
              <w:ind w:left="440" w:right="-20"/>
              <w:rPr>
                <w:sz w:val="20"/>
              </w:rPr>
            </w:pPr>
          </w:p>
          <w:p w14:paraId="316F53FE" w14:textId="77777777" w:rsidR="0069781B" w:rsidRPr="00576AF8" w:rsidRDefault="0069781B" w:rsidP="00836FAD">
            <w:pPr>
              <w:spacing w:before="1" w:after="0"/>
              <w:ind w:left="8" w:right="-20"/>
              <w:jc w:val="center"/>
              <w:rPr>
                <w:sz w:val="20"/>
              </w:rPr>
            </w:pPr>
            <w:r w:rsidRPr="00576AF8">
              <w:rPr>
                <w:rFonts w:eastAsia="Calibri"/>
                <w:b/>
                <w:bCs/>
                <w:color w:val="000000"/>
                <w:sz w:val="20"/>
              </w:rPr>
              <w:t>5</w:t>
            </w:r>
          </w:p>
        </w:tc>
        <w:tc>
          <w:tcPr>
            <w:tcW w:w="1255" w:type="pct"/>
            <w:tcBorders>
              <w:top w:val="single" w:sz="4" w:space="0" w:color="B8CCE3"/>
              <w:left w:val="single" w:sz="4" w:space="0" w:color="B8CCE3"/>
              <w:bottom w:val="single" w:sz="4" w:space="0" w:color="B8CCE3"/>
              <w:right w:val="single" w:sz="4" w:space="0" w:color="B8CCE3"/>
            </w:tcBorders>
          </w:tcPr>
          <w:p w14:paraId="16F61742" w14:textId="77777777" w:rsidR="0069781B" w:rsidRPr="00576AF8" w:rsidRDefault="0069781B" w:rsidP="00836FAD">
            <w:pPr>
              <w:spacing w:after="0"/>
              <w:ind w:right="-20"/>
              <w:rPr>
                <w:sz w:val="20"/>
              </w:rPr>
            </w:pPr>
            <w:r w:rsidRPr="00576AF8">
              <w:rPr>
                <w:rFonts w:eastAsia="Calibri"/>
                <w:sz w:val="20"/>
              </w:rPr>
              <w:t>Especialista de Comunicaciones</w:t>
            </w:r>
          </w:p>
        </w:tc>
        <w:tc>
          <w:tcPr>
            <w:tcW w:w="1238" w:type="pct"/>
            <w:tcBorders>
              <w:top w:val="single" w:sz="4" w:space="0" w:color="B8CCE3"/>
              <w:left w:val="single" w:sz="4" w:space="0" w:color="B8CCE3"/>
              <w:bottom w:val="single" w:sz="4" w:space="0" w:color="B8CCE3"/>
              <w:right w:val="single" w:sz="4" w:space="0" w:color="B8CCE3"/>
            </w:tcBorders>
          </w:tcPr>
          <w:p w14:paraId="79E70C99" w14:textId="77777777" w:rsidR="0069781B" w:rsidRPr="00576AF8" w:rsidRDefault="0069781B" w:rsidP="00836FAD">
            <w:pPr>
              <w:spacing w:before="162"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2FDB50AE" w14:textId="77777777" w:rsidR="0069781B" w:rsidRPr="00576AF8" w:rsidRDefault="0069781B" w:rsidP="00E7421E">
            <w:pPr>
              <w:spacing w:after="0"/>
              <w:ind w:left="107" w:right="42"/>
              <w:rPr>
                <w:rFonts w:eastAsia="Calibri"/>
                <w:color w:val="000000"/>
                <w:sz w:val="20"/>
              </w:rPr>
            </w:pPr>
            <w:r w:rsidRPr="00576AF8">
              <w:rPr>
                <w:rFonts w:eastAsia="Calibri"/>
                <w:color w:val="000000"/>
                <w:sz w:val="20"/>
              </w:rPr>
              <w:t>informática, electricidad, redes, comunicaciones ó</w:t>
            </w:r>
          </w:p>
          <w:p w14:paraId="0BB2E9DF" w14:textId="77777777" w:rsidR="0069781B" w:rsidRPr="00576AF8" w:rsidRDefault="0069781B" w:rsidP="00E7421E">
            <w:pPr>
              <w:spacing w:after="0"/>
              <w:ind w:left="107" w:right="42"/>
              <w:rPr>
                <w:sz w:val="20"/>
              </w:rPr>
            </w:pPr>
            <w:r w:rsidRPr="00576AF8">
              <w:rPr>
                <w:rFonts w:eastAsia="Calibri"/>
                <w:color w:val="000000"/>
                <w:sz w:val="20"/>
              </w:rPr>
              <w:t>electrónica.</w:t>
            </w:r>
          </w:p>
        </w:tc>
        <w:tc>
          <w:tcPr>
            <w:tcW w:w="677" w:type="pct"/>
            <w:tcBorders>
              <w:top w:val="single" w:sz="4" w:space="0" w:color="B8CCE3"/>
              <w:left w:val="single" w:sz="4" w:space="0" w:color="B8CCE3"/>
              <w:bottom w:val="single" w:sz="4" w:space="0" w:color="B8CCE3"/>
              <w:right w:val="single" w:sz="4" w:space="0" w:color="B8CCE3"/>
            </w:tcBorders>
          </w:tcPr>
          <w:p w14:paraId="69C2CE80" w14:textId="77D60A29" w:rsidR="0069781B" w:rsidRPr="00576AF8" w:rsidRDefault="0069781B" w:rsidP="00836FAD">
            <w:pPr>
              <w:spacing w:after="0"/>
              <w:ind w:left="440" w:right="-20"/>
              <w:rPr>
                <w:sz w:val="20"/>
              </w:rPr>
            </w:pPr>
          </w:p>
          <w:p w14:paraId="7178F112" w14:textId="77777777" w:rsidR="0069781B" w:rsidRPr="00576AF8" w:rsidRDefault="0069781B" w:rsidP="00836FAD">
            <w:pPr>
              <w:spacing w:after="0"/>
              <w:ind w:left="440" w:right="-20"/>
              <w:rPr>
                <w:sz w:val="20"/>
              </w:rPr>
            </w:pPr>
          </w:p>
          <w:p w14:paraId="47C520F2" w14:textId="77777777" w:rsidR="0069781B" w:rsidRPr="00576AF8" w:rsidRDefault="0069781B" w:rsidP="00836FAD">
            <w:pPr>
              <w:spacing w:before="1" w:after="0"/>
              <w:ind w:left="-20" w:right="482"/>
              <w:jc w:val="right"/>
              <w:rPr>
                <w:sz w:val="20"/>
              </w:rPr>
            </w:pPr>
            <w:r w:rsidRPr="00576AF8">
              <w:rPr>
                <w:rFonts w:eastAsia="Calibri"/>
                <w:color w:val="000000"/>
                <w:sz w:val="20"/>
              </w:rPr>
              <w:t>1</w:t>
            </w:r>
          </w:p>
        </w:tc>
      </w:tr>
      <w:tr w:rsidR="0069781B" w:rsidRPr="00576AF8" w14:paraId="1E2F53BB" w14:textId="77777777" w:rsidTr="0069781B">
        <w:trPr>
          <w:trHeight w:val="1755"/>
        </w:trPr>
        <w:tc>
          <w:tcPr>
            <w:tcW w:w="451" w:type="pct"/>
            <w:tcBorders>
              <w:top w:val="single" w:sz="4" w:space="0" w:color="B8CCE3"/>
              <w:left w:val="single" w:sz="4" w:space="0" w:color="B8CCE3"/>
              <w:bottom w:val="single" w:sz="4" w:space="0" w:color="B8CCE3"/>
              <w:right w:val="single" w:sz="4" w:space="0" w:color="B8CCE3"/>
            </w:tcBorders>
          </w:tcPr>
          <w:p w14:paraId="0978DDFF" w14:textId="77777777" w:rsidR="0069781B" w:rsidRPr="00576AF8" w:rsidRDefault="0069781B" w:rsidP="00836FAD">
            <w:pPr>
              <w:spacing w:after="0"/>
              <w:ind w:left="440" w:right="-20"/>
              <w:rPr>
                <w:sz w:val="20"/>
              </w:rPr>
            </w:pPr>
          </w:p>
          <w:p w14:paraId="7CE9271F" w14:textId="77777777" w:rsidR="0069781B" w:rsidRPr="00576AF8" w:rsidRDefault="0069781B" w:rsidP="00836FAD">
            <w:pPr>
              <w:spacing w:after="0"/>
              <w:ind w:left="440" w:right="-20"/>
              <w:rPr>
                <w:sz w:val="20"/>
              </w:rPr>
            </w:pPr>
          </w:p>
          <w:p w14:paraId="178EC5E7" w14:textId="77777777" w:rsidR="0069781B" w:rsidRPr="00576AF8" w:rsidRDefault="0069781B" w:rsidP="00836FAD">
            <w:pPr>
              <w:spacing w:before="180" w:after="0"/>
              <w:ind w:left="8" w:right="-20"/>
              <w:jc w:val="center"/>
              <w:rPr>
                <w:sz w:val="20"/>
              </w:rPr>
            </w:pPr>
            <w:r w:rsidRPr="00576AF8">
              <w:rPr>
                <w:rFonts w:eastAsia="Calibri"/>
                <w:b/>
                <w:bCs/>
                <w:color w:val="000000"/>
                <w:sz w:val="20"/>
              </w:rPr>
              <w:t>6</w:t>
            </w:r>
          </w:p>
        </w:tc>
        <w:tc>
          <w:tcPr>
            <w:tcW w:w="1255" w:type="pct"/>
            <w:tcBorders>
              <w:top w:val="single" w:sz="4" w:space="0" w:color="B8CCE3"/>
              <w:left w:val="single" w:sz="4" w:space="0" w:color="B8CCE3"/>
              <w:bottom w:val="single" w:sz="4" w:space="0" w:color="B8CCE3"/>
              <w:right w:val="single" w:sz="4" w:space="0" w:color="B8CCE3"/>
            </w:tcBorders>
          </w:tcPr>
          <w:p w14:paraId="5B4AE949" w14:textId="77777777" w:rsidR="0069781B" w:rsidRPr="00576AF8" w:rsidRDefault="0069781B" w:rsidP="00836FAD">
            <w:pPr>
              <w:spacing w:after="0"/>
              <w:ind w:left="440" w:right="-20"/>
              <w:rPr>
                <w:sz w:val="20"/>
              </w:rPr>
            </w:pPr>
          </w:p>
          <w:p w14:paraId="63E48277" w14:textId="77777777" w:rsidR="0069781B" w:rsidRPr="00576AF8" w:rsidRDefault="0069781B" w:rsidP="00836FAD">
            <w:pPr>
              <w:spacing w:after="0"/>
              <w:ind w:left="440" w:right="-20"/>
              <w:rPr>
                <w:sz w:val="20"/>
              </w:rPr>
            </w:pPr>
          </w:p>
          <w:p w14:paraId="506DED1D" w14:textId="77777777" w:rsidR="0069781B" w:rsidRPr="00576AF8" w:rsidRDefault="0069781B" w:rsidP="00836FAD">
            <w:pPr>
              <w:spacing w:before="180" w:after="0"/>
              <w:ind w:left="107" w:right="-20"/>
              <w:rPr>
                <w:sz w:val="20"/>
              </w:rPr>
            </w:pPr>
            <w:r w:rsidRPr="00576AF8">
              <w:rPr>
                <w:rFonts w:eastAsia="Calibri"/>
                <w:color w:val="000000"/>
                <w:sz w:val="20"/>
              </w:rPr>
              <w:t>Especialista en Ciberseguridad</w:t>
            </w:r>
          </w:p>
        </w:tc>
        <w:tc>
          <w:tcPr>
            <w:tcW w:w="1238" w:type="pct"/>
            <w:tcBorders>
              <w:top w:val="single" w:sz="4" w:space="0" w:color="B8CCE3"/>
              <w:left w:val="single" w:sz="4" w:space="0" w:color="B8CCE3"/>
              <w:bottom w:val="single" w:sz="4" w:space="0" w:color="B8CCE3"/>
              <w:right w:val="single" w:sz="4" w:space="0" w:color="B8CCE3"/>
            </w:tcBorders>
          </w:tcPr>
          <w:p w14:paraId="242E623B" w14:textId="77777777" w:rsidR="0069781B" w:rsidRPr="00576AF8" w:rsidRDefault="0069781B" w:rsidP="00836FAD">
            <w:pPr>
              <w:spacing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227B2C1B" w14:textId="77777777" w:rsidR="0069781B" w:rsidRPr="00576AF8" w:rsidRDefault="0069781B" w:rsidP="00E7421E">
            <w:pPr>
              <w:spacing w:after="0"/>
              <w:ind w:left="107" w:right="42"/>
              <w:rPr>
                <w:rFonts w:eastAsia="Calibri"/>
                <w:color w:val="000000"/>
                <w:sz w:val="20"/>
              </w:rPr>
            </w:pPr>
            <w:r w:rsidRPr="00576AF8">
              <w:rPr>
                <w:rFonts w:eastAsia="Calibri"/>
                <w:color w:val="000000"/>
                <w:sz w:val="20"/>
              </w:rPr>
              <w:t>informática, sistemas, electricidad, redes, comunicaciones ó</w:t>
            </w:r>
          </w:p>
          <w:p w14:paraId="6A57C3E6" w14:textId="77777777" w:rsidR="0069781B" w:rsidRPr="00576AF8" w:rsidRDefault="0069781B" w:rsidP="00E7421E">
            <w:pPr>
              <w:spacing w:after="0"/>
              <w:ind w:left="107" w:right="42"/>
              <w:rPr>
                <w:sz w:val="20"/>
              </w:rPr>
            </w:pPr>
            <w:r w:rsidRPr="00576AF8">
              <w:rPr>
                <w:rFonts w:eastAsia="Calibri"/>
                <w:color w:val="000000"/>
                <w:sz w:val="20"/>
              </w:rPr>
              <w:t>electrónica.</w:t>
            </w:r>
          </w:p>
        </w:tc>
        <w:tc>
          <w:tcPr>
            <w:tcW w:w="677" w:type="pct"/>
            <w:tcBorders>
              <w:top w:val="single" w:sz="4" w:space="0" w:color="B8CCE3"/>
              <w:left w:val="single" w:sz="4" w:space="0" w:color="B8CCE3"/>
              <w:bottom w:val="single" w:sz="4" w:space="0" w:color="B8CCE3"/>
              <w:right w:val="single" w:sz="4" w:space="0" w:color="B8CCE3"/>
            </w:tcBorders>
          </w:tcPr>
          <w:p w14:paraId="44034252" w14:textId="5B435835" w:rsidR="0069781B" w:rsidRPr="00576AF8" w:rsidRDefault="0069781B" w:rsidP="00836FAD">
            <w:pPr>
              <w:spacing w:after="0"/>
              <w:ind w:left="440" w:right="-20"/>
              <w:rPr>
                <w:sz w:val="20"/>
              </w:rPr>
            </w:pPr>
          </w:p>
          <w:p w14:paraId="4C140F9E" w14:textId="77777777" w:rsidR="0069781B" w:rsidRPr="00576AF8" w:rsidRDefault="0069781B" w:rsidP="00836FAD">
            <w:pPr>
              <w:spacing w:after="0"/>
              <w:ind w:left="440" w:right="-20"/>
              <w:rPr>
                <w:sz w:val="20"/>
              </w:rPr>
            </w:pPr>
          </w:p>
          <w:p w14:paraId="38A7F358" w14:textId="77777777" w:rsidR="0069781B" w:rsidRPr="00576AF8" w:rsidRDefault="0069781B" w:rsidP="00836FAD">
            <w:pPr>
              <w:spacing w:before="180" w:after="0"/>
              <w:ind w:left="-20" w:right="482"/>
              <w:jc w:val="right"/>
              <w:rPr>
                <w:sz w:val="20"/>
              </w:rPr>
            </w:pPr>
            <w:r w:rsidRPr="00576AF8">
              <w:rPr>
                <w:rFonts w:eastAsia="Calibri"/>
                <w:color w:val="000000"/>
                <w:sz w:val="20"/>
              </w:rPr>
              <w:t>1</w:t>
            </w:r>
          </w:p>
        </w:tc>
      </w:tr>
      <w:tr w:rsidR="0069781B" w:rsidRPr="00576AF8" w14:paraId="4391496F" w14:textId="77777777" w:rsidTr="0069781B">
        <w:trPr>
          <w:trHeight w:val="1470"/>
        </w:trPr>
        <w:tc>
          <w:tcPr>
            <w:tcW w:w="451" w:type="pct"/>
            <w:tcBorders>
              <w:top w:val="single" w:sz="4" w:space="0" w:color="B8CCE3"/>
              <w:left w:val="single" w:sz="4" w:space="0" w:color="B8CCE3"/>
              <w:bottom w:val="single" w:sz="4" w:space="0" w:color="B8CCE3"/>
              <w:right w:val="single" w:sz="4" w:space="0" w:color="B8CCE3"/>
            </w:tcBorders>
          </w:tcPr>
          <w:p w14:paraId="18AC01D4" w14:textId="77777777" w:rsidR="0069781B" w:rsidRPr="00576AF8" w:rsidRDefault="0069781B" w:rsidP="00836FAD">
            <w:pPr>
              <w:spacing w:after="0"/>
              <w:ind w:left="440" w:right="-20"/>
              <w:rPr>
                <w:sz w:val="20"/>
              </w:rPr>
            </w:pPr>
          </w:p>
          <w:p w14:paraId="19CEF424" w14:textId="77777777" w:rsidR="0069781B" w:rsidRPr="00576AF8" w:rsidRDefault="0069781B" w:rsidP="00836FAD">
            <w:pPr>
              <w:spacing w:after="0"/>
              <w:ind w:left="440" w:right="-20"/>
              <w:rPr>
                <w:sz w:val="20"/>
              </w:rPr>
            </w:pPr>
          </w:p>
          <w:p w14:paraId="3378BF8D" w14:textId="77777777" w:rsidR="0069781B" w:rsidRPr="00576AF8" w:rsidRDefault="0069781B" w:rsidP="00836FAD">
            <w:pPr>
              <w:spacing w:after="0"/>
              <w:ind w:left="8" w:right="-20"/>
              <w:jc w:val="center"/>
              <w:rPr>
                <w:sz w:val="20"/>
              </w:rPr>
            </w:pPr>
            <w:r w:rsidRPr="00576AF8">
              <w:rPr>
                <w:rFonts w:eastAsia="Calibri"/>
                <w:b/>
                <w:bCs/>
                <w:color w:val="000000"/>
                <w:sz w:val="20"/>
              </w:rPr>
              <w:t>7</w:t>
            </w:r>
          </w:p>
        </w:tc>
        <w:tc>
          <w:tcPr>
            <w:tcW w:w="1255" w:type="pct"/>
            <w:tcBorders>
              <w:top w:val="single" w:sz="4" w:space="0" w:color="B8CCE3"/>
              <w:left w:val="single" w:sz="4" w:space="0" w:color="B8CCE3"/>
              <w:bottom w:val="single" w:sz="4" w:space="0" w:color="B8CCE3"/>
              <w:right w:val="single" w:sz="4" w:space="0" w:color="B8CCE3"/>
            </w:tcBorders>
          </w:tcPr>
          <w:p w14:paraId="3A596016" w14:textId="77777777" w:rsidR="0069781B" w:rsidRPr="00576AF8" w:rsidRDefault="0069781B" w:rsidP="00836FAD">
            <w:pPr>
              <w:spacing w:after="0"/>
              <w:ind w:left="440" w:right="-20"/>
              <w:rPr>
                <w:sz w:val="20"/>
              </w:rPr>
            </w:pPr>
          </w:p>
          <w:p w14:paraId="11C7F9FF" w14:textId="77777777" w:rsidR="0069781B" w:rsidRPr="00576AF8" w:rsidRDefault="0069781B" w:rsidP="00836FAD">
            <w:pPr>
              <w:spacing w:before="161" w:after="0"/>
              <w:ind w:left="107" w:right="258"/>
              <w:rPr>
                <w:sz w:val="20"/>
              </w:rPr>
            </w:pPr>
            <w:r w:rsidRPr="00576AF8">
              <w:rPr>
                <w:rFonts w:eastAsia="Calibri"/>
                <w:color w:val="000000"/>
                <w:sz w:val="20"/>
              </w:rPr>
              <w:t>Especialista en Desarrollo de Software</w:t>
            </w:r>
          </w:p>
        </w:tc>
        <w:tc>
          <w:tcPr>
            <w:tcW w:w="1238" w:type="pct"/>
            <w:tcBorders>
              <w:top w:val="single" w:sz="4" w:space="0" w:color="B8CCE3"/>
              <w:left w:val="single" w:sz="4" w:space="0" w:color="B8CCE3"/>
              <w:bottom w:val="single" w:sz="4" w:space="0" w:color="B8CCE3"/>
              <w:right w:val="single" w:sz="4" w:space="0" w:color="B8CCE3"/>
            </w:tcBorders>
          </w:tcPr>
          <w:p w14:paraId="3FCE627C" w14:textId="77777777" w:rsidR="0069781B" w:rsidRPr="00576AF8" w:rsidRDefault="0069781B" w:rsidP="00836FAD">
            <w:pPr>
              <w:spacing w:before="161"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6BA50763" w14:textId="77777777" w:rsidR="0069781B" w:rsidRPr="00576AF8" w:rsidRDefault="0069781B" w:rsidP="00E7421E">
            <w:pPr>
              <w:spacing w:after="0"/>
              <w:ind w:left="107" w:right="42"/>
              <w:rPr>
                <w:rFonts w:eastAsia="Calibri"/>
                <w:color w:val="000000"/>
                <w:sz w:val="20"/>
              </w:rPr>
            </w:pPr>
            <w:r w:rsidRPr="00576AF8">
              <w:rPr>
                <w:rFonts w:eastAsia="Calibri"/>
                <w:color w:val="000000"/>
                <w:sz w:val="20"/>
              </w:rPr>
              <w:t>informática, sistemas, electricidad, redes, comunicaciones ó</w:t>
            </w:r>
          </w:p>
          <w:p w14:paraId="351940B9" w14:textId="77777777" w:rsidR="0069781B" w:rsidRPr="00576AF8" w:rsidRDefault="0069781B" w:rsidP="00E7421E">
            <w:pPr>
              <w:spacing w:after="0"/>
              <w:ind w:left="107" w:right="42"/>
              <w:rPr>
                <w:sz w:val="20"/>
              </w:rPr>
            </w:pPr>
            <w:r w:rsidRPr="00576AF8">
              <w:rPr>
                <w:rFonts w:eastAsia="Calibri"/>
                <w:color w:val="000000"/>
                <w:sz w:val="20"/>
              </w:rPr>
              <w:t>electrónica.</w:t>
            </w:r>
          </w:p>
        </w:tc>
        <w:tc>
          <w:tcPr>
            <w:tcW w:w="677" w:type="pct"/>
            <w:tcBorders>
              <w:top w:val="single" w:sz="4" w:space="0" w:color="B8CCE3"/>
              <w:left w:val="single" w:sz="4" w:space="0" w:color="B8CCE3"/>
              <w:bottom w:val="single" w:sz="4" w:space="0" w:color="B8CCE3"/>
              <w:right w:val="single" w:sz="4" w:space="0" w:color="B8CCE3"/>
            </w:tcBorders>
          </w:tcPr>
          <w:p w14:paraId="24D4D871" w14:textId="1086D6A9" w:rsidR="0069781B" w:rsidRPr="00576AF8" w:rsidRDefault="0069781B" w:rsidP="00836FAD">
            <w:pPr>
              <w:spacing w:after="0"/>
              <w:ind w:left="440" w:right="-20"/>
              <w:rPr>
                <w:sz w:val="20"/>
              </w:rPr>
            </w:pPr>
          </w:p>
          <w:p w14:paraId="14803BB9" w14:textId="77777777" w:rsidR="0069781B" w:rsidRPr="00576AF8" w:rsidRDefault="0069781B" w:rsidP="00836FAD">
            <w:pPr>
              <w:spacing w:after="0"/>
              <w:ind w:left="440" w:right="-20"/>
              <w:rPr>
                <w:sz w:val="20"/>
              </w:rPr>
            </w:pPr>
          </w:p>
          <w:p w14:paraId="167FE56D" w14:textId="77777777" w:rsidR="0069781B" w:rsidRPr="00576AF8" w:rsidRDefault="0069781B" w:rsidP="00836FAD">
            <w:pPr>
              <w:spacing w:after="0"/>
              <w:ind w:left="-20" w:right="482"/>
              <w:jc w:val="right"/>
              <w:rPr>
                <w:sz w:val="20"/>
              </w:rPr>
            </w:pPr>
            <w:r w:rsidRPr="00576AF8">
              <w:rPr>
                <w:rFonts w:eastAsia="Calibri"/>
                <w:color w:val="000000"/>
                <w:sz w:val="20"/>
              </w:rPr>
              <w:t>1</w:t>
            </w:r>
          </w:p>
        </w:tc>
      </w:tr>
      <w:tr w:rsidR="0069781B" w:rsidRPr="00576AF8" w14:paraId="1A6C0B6B" w14:textId="77777777" w:rsidTr="0069781B">
        <w:trPr>
          <w:trHeight w:val="1170"/>
        </w:trPr>
        <w:tc>
          <w:tcPr>
            <w:tcW w:w="451" w:type="pct"/>
            <w:tcBorders>
              <w:top w:val="single" w:sz="4" w:space="0" w:color="B8CCE3"/>
              <w:left w:val="single" w:sz="4" w:space="0" w:color="B8CCE3"/>
              <w:bottom w:val="single" w:sz="4" w:space="0" w:color="B8CCE3"/>
              <w:right w:val="single" w:sz="4" w:space="0" w:color="B8CCE3"/>
            </w:tcBorders>
          </w:tcPr>
          <w:p w14:paraId="37BB0210" w14:textId="77777777" w:rsidR="0069781B" w:rsidRPr="00576AF8" w:rsidRDefault="0069781B" w:rsidP="00836FAD">
            <w:pPr>
              <w:spacing w:after="0"/>
              <w:ind w:left="440" w:right="-20"/>
              <w:rPr>
                <w:sz w:val="20"/>
              </w:rPr>
            </w:pPr>
          </w:p>
          <w:p w14:paraId="1C4AF861" w14:textId="77777777" w:rsidR="0069781B" w:rsidRPr="00576AF8" w:rsidRDefault="0069781B" w:rsidP="00836FAD">
            <w:pPr>
              <w:spacing w:before="163" w:after="0"/>
              <w:ind w:left="8" w:right="-20"/>
              <w:jc w:val="center"/>
              <w:rPr>
                <w:sz w:val="20"/>
              </w:rPr>
            </w:pPr>
            <w:r w:rsidRPr="00576AF8">
              <w:rPr>
                <w:rFonts w:eastAsia="Calibri"/>
                <w:b/>
                <w:bCs/>
                <w:color w:val="000000"/>
                <w:sz w:val="20"/>
              </w:rPr>
              <w:t>8</w:t>
            </w:r>
          </w:p>
        </w:tc>
        <w:tc>
          <w:tcPr>
            <w:tcW w:w="1255" w:type="pct"/>
            <w:tcBorders>
              <w:top w:val="single" w:sz="4" w:space="0" w:color="B8CCE3"/>
              <w:left w:val="single" w:sz="4" w:space="0" w:color="B8CCE3"/>
              <w:bottom w:val="single" w:sz="4" w:space="0" w:color="B8CCE3"/>
              <w:right w:val="single" w:sz="4" w:space="0" w:color="B8CCE3"/>
            </w:tcBorders>
          </w:tcPr>
          <w:p w14:paraId="03276F8B" w14:textId="77777777" w:rsidR="0069781B" w:rsidRPr="00576AF8" w:rsidRDefault="0069781B" w:rsidP="00836FAD">
            <w:pPr>
              <w:spacing w:after="0"/>
              <w:ind w:left="440" w:right="-20"/>
              <w:rPr>
                <w:sz w:val="20"/>
              </w:rPr>
            </w:pPr>
          </w:p>
          <w:p w14:paraId="1AEED3DB" w14:textId="77777777" w:rsidR="0069781B" w:rsidRPr="00576AF8" w:rsidRDefault="0069781B" w:rsidP="00836FAD">
            <w:pPr>
              <w:spacing w:after="0"/>
              <w:ind w:left="107" w:right="102"/>
              <w:rPr>
                <w:sz w:val="20"/>
              </w:rPr>
            </w:pPr>
            <w:r w:rsidRPr="00576AF8">
              <w:rPr>
                <w:rFonts w:eastAsia="Calibri"/>
                <w:color w:val="000000"/>
                <w:sz w:val="20"/>
              </w:rPr>
              <w:t>Especialista en Integración del Sistema</w:t>
            </w:r>
          </w:p>
        </w:tc>
        <w:tc>
          <w:tcPr>
            <w:tcW w:w="1238" w:type="pct"/>
            <w:tcBorders>
              <w:top w:val="single" w:sz="4" w:space="0" w:color="B8CCE3"/>
              <w:left w:val="single" w:sz="4" w:space="0" w:color="B8CCE3"/>
              <w:bottom w:val="single" w:sz="4" w:space="0" w:color="B8CCE3"/>
              <w:right w:val="single" w:sz="4" w:space="0" w:color="B8CCE3"/>
            </w:tcBorders>
          </w:tcPr>
          <w:p w14:paraId="5742406B" w14:textId="77777777" w:rsidR="0069781B" w:rsidRPr="00576AF8" w:rsidRDefault="0069781B" w:rsidP="00836FAD">
            <w:pPr>
              <w:spacing w:after="0"/>
              <w:ind w:left="107" w:right="164"/>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23AE1AC5" w14:textId="77777777" w:rsidR="0069781B" w:rsidRPr="00576AF8" w:rsidRDefault="0069781B" w:rsidP="00E7421E">
            <w:pPr>
              <w:spacing w:after="0"/>
              <w:ind w:left="107" w:right="42"/>
              <w:rPr>
                <w:rFonts w:eastAsia="Calibri"/>
                <w:color w:val="000000"/>
                <w:sz w:val="20"/>
              </w:rPr>
            </w:pPr>
            <w:r w:rsidRPr="00576AF8">
              <w:rPr>
                <w:rFonts w:eastAsia="Calibri"/>
                <w:color w:val="000000"/>
                <w:sz w:val="20"/>
              </w:rPr>
              <w:t>informática, sistemas, electricidad, redes, comunicaciones ó</w:t>
            </w:r>
          </w:p>
          <w:p w14:paraId="6945BF7F" w14:textId="77777777" w:rsidR="0069781B" w:rsidRPr="00576AF8" w:rsidRDefault="0069781B" w:rsidP="00E7421E">
            <w:pPr>
              <w:spacing w:after="0"/>
              <w:ind w:left="107" w:right="42"/>
              <w:rPr>
                <w:sz w:val="20"/>
              </w:rPr>
            </w:pPr>
            <w:r w:rsidRPr="00576AF8">
              <w:rPr>
                <w:rFonts w:eastAsia="Calibri"/>
                <w:color w:val="000000"/>
                <w:sz w:val="20"/>
              </w:rPr>
              <w:t>electrónica.</w:t>
            </w:r>
          </w:p>
          <w:p w14:paraId="33D0535D" w14:textId="77777777" w:rsidR="0069781B" w:rsidRPr="00576AF8" w:rsidRDefault="0069781B" w:rsidP="00E7421E">
            <w:pPr>
              <w:spacing w:after="0"/>
              <w:ind w:left="107" w:right="42"/>
              <w:rPr>
                <w:rFonts w:eastAsia="Calibri"/>
                <w:color w:val="000000"/>
                <w:sz w:val="20"/>
              </w:rPr>
            </w:pPr>
          </w:p>
        </w:tc>
        <w:tc>
          <w:tcPr>
            <w:tcW w:w="677" w:type="pct"/>
            <w:tcBorders>
              <w:top w:val="single" w:sz="4" w:space="0" w:color="B8CCE3"/>
              <w:left w:val="single" w:sz="4" w:space="0" w:color="B8CCE3"/>
              <w:bottom w:val="single" w:sz="4" w:space="0" w:color="B8CCE3"/>
              <w:right w:val="single" w:sz="4" w:space="0" w:color="B8CCE3"/>
            </w:tcBorders>
          </w:tcPr>
          <w:p w14:paraId="5A1AE3A9" w14:textId="4D28CBE6" w:rsidR="0069781B" w:rsidRPr="00576AF8" w:rsidRDefault="0069781B" w:rsidP="00836FAD">
            <w:pPr>
              <w:spacing w:after="0"/>
              <w:ind w:left="440" w:right="-20"/>
              <w:rPr>
                <w:sz w:val="20"/>
              </w:rPr>
            </w:pPr>
          </w:p>
          <w:p w14:paraId="549CB22B" w14:textId="77777777" w:rsidR="0069781B" w:rsidRPr="00576AF8" w:rsidRDefault="0069781B" w:rsidP="00836FAD">
            <w:pPr>
              <w:spacing w:before="163" w:after="0"/>
              <w:ind w:left="-20" w:right="482"/>
              <w:jc w:val="right"/>
              <w:rPr>
                <w:sz w:val="20"/>
              </w:rPr>
            </w:pPr>
            <w:r w:rsidRPr="00576AF8">
              <w:rPr>
                <w:rFonts w:eastAsia="Calibri"/>
                <w:color w:val="000000"/>
                <w:sz w:val="20"/>
              </w:rPr>
              <w:t>1</w:t>
            </w:r>
          </w:p>
        </w:tc>
      </w:tr>
      <w:tr w:rsidR="0069781B" w:rsidRPr="00576AF8" w14:paraId="6C1C897E" w14:textId="77777777" w:rsidTr="0069781B">
        <w:trPr>
          <w:trHeight w:val="1170"/>
        </w:trPr>
        <w:tc>
          <w:tcPr>
            <w:tcW w:w="451" w:type="pct"/>
            <w:tcBorders>
              <w:top w:val="single" w:sz="4" w:space="0" w:color="B8CCE3"/>
              <w:left w:val="single" w:sz="4" w:space="0" w:color="B8CCE3"/>
              <w:bottom w:val="single" w:sz="4" w:space="0" w:color="B8CCE3"/>
              <w:right w:val="single" w:sz="4" w:space="0" w:color="B8CCE3"/>
            </w:tcBorders>
          </w:tcPr>
          <w:p w14:paraId="3DFEBBA6" w14:textId="77777777" w:rsidR="0069781B" w:rsidRPr="00576AF8" w:rsidRDefault="0069781B" w:rsidP="00836FAD">
            <w:pPr>
              <w:spacing w:before="165" w:after="0"/>
              <w:ind w:left="8" w:right="-20"/>
              <w:jc w:val="center"/>
              <w:rPr>
                <w:rFonts w:eastAsia="Calibri"/>
                <w:b/>
                <w:color w:val="000000"/>
                <w:sz w:val="20"/>
              </w:rPr>
            </w:pPr>
            <w:r w:rsidRPr="00576AF8">
              <w:rPr>
                <w:rFonts w:eastAsia="Calibri"/>
                <w:b/>
                <w:bCs/>
                <w:color w:val="000000"/>
                <w:sz w:val="20"/>
              </w:rPr>
              <w:t>9</w:t>
            </w:r>
          </w:p>
        </w:tc>
        <w:tc>
          <w:tcPr>
            <w:tcW w:w="1255" w:type="pct"/>
            <w:tcBorders>
              <w:top w:val="single" w:sz="4" w:space="0" w:color="B8CCE3"/>
              <w:left w:val="single" w:sz="4" w:space="0" w:color="B8CCE3"/>
              <w:bottom w:val="single" w:sz="4" w:space="0" w:color="B8CCE3"/>
              <w:right w:val="single" w:sz="4" w:space="0" w:color="B8CCE3"/>
            </w:tcBorders>
          </w:tcPr>
          <w:p w14:paraId="7071967C" w14:textId="77777777" w:rsidR="0069781B" w:rsidRPr="00576AF8" w:rsidRDefault="0069781B" w:rsidP="00836FAD">
            <w:pPr>
              <w:spacing w:after="0"/>
              <w:ind w:left="440" w:right="-20"/>
              <w:rPr>
                <w:sz w:val="20"/>
              </w:rPr>
            </w:pPr>
          </w:p>
          <w:p w14:paraId="50A70251" w14:textId="77777777" w:rsidR="0069781B" w:rsidRPr="00576AF8" w:rsidRDefault="0069781B" w:rsidP="00836FAD">
            <w:pPr>
              <w:spacing w:after="0"/>
              <w:ind w:right="-20"/>
              <w:jc w:val="left"/>
              <w:rPr>
                <w:sz w:val="20"/>
              </w:rPr>
            </w:pPr>
            <w:r w:rsidRPr="00576AF8">
              <w:rPr>
                <w:rFonts w:eastAsia="Calibri"/>
                <w:color w:val="000000"/>
                <w:sz w:val="20"/>
              </w:rPr>
              <w:t>Especialista en Hardware</w:t>
            </w:r>
          </w:p>
        </w:tc>
        <w:tc>
          <w:tcPr>
            <w:tcW w:w="1238" w:type="pct"/>
            <w:tcBorders>
              <w:top w:val="single" w:sz="4" w:space="0" w:color="B8CCE3"/>
              <w:left w:val="single" w:sz="4" w:space="0" w:color="B8CCE3"/>
              <w:bottom w:val="single" w:sz="4" w:space="0" w:color="B8CCE3"/>
              <w:right w:val="single" w:sz="4" w:space="0" w:color="B8CCE3"/>
            </w:tcBorders>
          </w:tcPr>
          <w:p w14:paraId="3210AD3A" w14:textId="77777777" w:rsidR="0069781B" w:rsidRPr="00576AF8" w:rsidRDefault="0069781B" w:rsidP="00836FAD">
            <w:pPr>
              <w:spacing w:after="0"/>
              <w:ind w:left="440" w:right="-20"/>
              <w:rPr>
                <w:sz w:val="20"/>
              </w:rPr>
            </w:pPr>
            <w:r w:rsidRPr="00576AF8">
              <w:rPr>
                <w:rFonts w:eastAsia="Calibri"/>
                <w:color w:val="000000"/>
                <w:sz w:val="20"/>
              </w:rPr>
              <w:t>Título (Título universitario de grado)</w:t>
            </w:r>
          </w:p>
        </w:tc>
        <w:tc>
          <w:tcPr>
            <w:tcW w:w="1379" w:type="pct"/>
            <w:tcBorders>
              <w:top w:val="single" w:sz="4" w:space="0" w:color="B8CCE3"/>
              <w:left w:val="single" w:sz="4" w:space="0" w:color="B8CCE3"/>
              <w:bottom w:val="single" w:sz="4" w:space="0" w:color="B8CCE3"/>
              <w:right w:val="single" w:sz="4" w:space="0" w:color="B8CCE3"/>
            </w:tcBorders>
          </w:tcPr>
          <w:p w14:paraId="44D24EB4" w14:textId="77777777" w:rsidR="0069781B" w:rsidRPr="00576AF8" w:rsidRDefault="0069781B" w:rsidP="00E7421E">
            <w:pPr>
              <w:spacing w:after="0"/>
              <w:ind w:left="107" w:right="42"/>
              <w:rPr>
                <w:rFonts w:eastAsia="Calibri"/>
                <w:color w:val="000000"/>
                <w:sz w:val="20"/>
              </w:rPr>
            </w:pPr>
            <w:r w:rsidRPr="00576AF8">
              <w:rPr>
                <w:rFonts w:eastAsia="Calibri"/>
                <w:color w:val="000000"/>
                <w:sz w:val="20"/>
              </w:rPr>
              <w:t>informática, sistemas, electricidad, redes, comunicaciones ó</w:t>
            </w:r>
          </w:p>
          <w:p w14:paraId="532237EA" w14:textId="77777777" w:rsidR="0069781B" w:rsidRPr="00576AF8" w:rsidRDefault="0069781B" w:rsidP="00E7421E">
            <w:pPr>
              <w:spacing w:after="0"/>
              <w:ind w:left="107" w:right="42"/>
              <w:rPr>
                <w:rFonts w:eastAsia="Calibri"/>
                <w:color w:val="000000"/>
                <w:sz w:val="20"/>
              </w:rPr>
            </w:pPr>
            <w:r w:rsidRPr="00576AF8">
              <w:rPr>
                <w:rFonts w:eastAsia="Calibri"/>
                <w:color w:val="000000"/>
                <w:sz w:val="20"/>
              </w:rPr>
              <w:t>electrónica.</w:t>
            </w:r>
          </w:p>
        </w:tc>
        <w:tc>
          <w:tcPr>
            <w:tcW w:w="677" w:type="pct"/>
            <w:tcBorders>
              <w:top w:val="single" w:sz="4" w:space="0" w:color="B8CCE3"/>
              <w:left w:val="single" w:sz="4" w:space="0" w:color="B8CCE3"/>
              <w:bottom w:val="single" w:sz="4" w:space="0" w:color="B8CCE3"/>
              <w:right w:val="single" w:sz="4" w:space="0" w:color="B8CCE3"/>
            </w:tcBorders>
          </w:tcPr>
          <w:p w14:paraId="62C7F4C1" w14:textId="294CE376" w:rsidR="0069781B" w:rsidRPr="00576AF8" w:rsidRDefault="0069781B" w:rsidP="00836FAD">
            <w:pPr>
              <w:spacing w:after="0"/>
              <w:ind w:left="440" w:right="-20"/>
              <w:rPr>
                <w:sz w:val="20"/>
              </w:rPr>
            </w:pPr>
          </w:p>
          <w:p w14:paraId="2C058DC5" w14:textId="77777777" w:rsidR="0069781B" w:rsidRPr="00576AF8" w:rsidRDefault="0069781B" w:rsidP="00836FAD">
            <w:pPr>
              <w:keepNext/>
              <w:spacing w:after="0"/>
              <w:ind w:left="440" w:right="-20"/>
              <w:rPr>
                <w:sz w:val="20"/>
              </w:rPr>
            </w:pPr>
            <w:r w:rsidRPr="00576AF8">
              <w:rPr>
                <w:rFonts w:eastAsia="Calibri"/>
                <w:color w:val="000000"/>
                <w:sz w:val="20"/>
              </w:rPr>
              <w:t>1</w:t>
            </w:r>
          </w:p>
        </w:tc>
      </w:tr>
      <w:bookmarkEnd w:id="414"/>
    </w:tbl>
    <w:p w14:paraId="1DD39931" w14:textId="77777777" w:rsidR="00836FAD" w:rsidRPr="00576AF8" w:rsidRDefault="00836FAD" w:rsidP="00836FAD">
      <w:pPr>
        <w:spacing w:before="52" w:after="0"/>
        <w:ind w:left="708" w:right="139"/>
        <w:rPr>
          <w:rFonts w:eastAsia="Calibri"/>
          <w:color w:val="000000"/>
          <w:szCs w:val="24"/>
        </w:rPr>
      </w:pPr>
    </w:p>
    <w:p w14:paraId="59A8AE5D" w14:textId="3F435B3D" w:rsidR="00836FAD" w:rsidRPr="00576AF8" w:rsidRDefault="00836FAD" w:rsidP="00836FAD">
      <w:pPr>
        <w:spacing w:before="52" w:after="0"/>
        <w:ind w:left="708" w:right="139"/>
        <w:rPr>
          <w:szCs w:val="24"/>
        </w:rPr>
      </w:pPr>
      <w:r w:rsidRPr="00576AF8">
        <w:rPr>
          <w:rFonts w:eastAsia="Calibri"/>
          <w:color w:val="000000"/>
          <w:szCs w:val="24"/>
        </w:rPr>
        <w:t xml:space="preserve">El personal del </w:t>
      </w:r>
      <w:r w:rsidRPr="00576AF8">
        <w:rPr>
          <w:szCs w:val="24"/>
        </w:rPr>
        <w:t xml:space="preserve">equipo técnico </w:t>
      </w:r>
      <w:r w:rsidRPr="00576AF8">
        <w:rPr>
          <w:rFonts w:eastAsia="Calibri"/>
          <w:color w:val="000000"/>
          <w:szCs w:val="24"/>
        </w:rPr>
        <w:t xml:space="preserve">propuesto por el </w:t>
      </w:r>
      <w:r w:rsidR="00F302F4" w:rsidRPr="00576AF8">
        <w:rPr>
          <w:rFonts w:eastAsia="Calibri"/>
          <w:color w:val="000000"/>
          <w:szCs w:val="24"/>
        </w:rPr>
        <w:t xml:space="preserve">Licitante </w:t>
      </w:r>
      <w:r w:rsidRPr="00576AF8">
        <w:rPr>
          <w:rFonts w:eastAsia="Calibri"/>
          <w:color w:val="000000"/>
          <w:szCs w:val="24"/>
        </w:rPr>
        <w:t xml:space="preserve">para esta contratación, </w:t>
      </w:r>
      <w:r w:rsidR="00695B85" w:rsidRPr="00576AF8">
        <w:rPr>
          <w:rFonts w:eastAsia="Calibri"/>
          <w:color w:val="000000"/>
          <w:szCs w:val="24"/>
        </w:rPr>
        <w:t xml:space="preserve">puede </w:t>
      </w:r>
      <w:r w:rsidR="0069781B">
        <w:rPr>
          <w:rFonts w:eastAsia="Calibri"/>
          <w:color w:val="000000"/>
          <w:szCs w:val="24"/>
        </w:rPr>
        <w:t>tener o no relación de dependencia</w:t>
      </w:r>
      <w:r w:rsidR="00695B85" w:rsidRPr="00576AF8">
        <w:rPr>
          <w:rFonts w:eastAsia="Calibri"/>
          <w:color w:val="000000"/>
          <w:szCs w:val="24"/>
        </w:rPr>
        <w:t xml:space="preserve">. Los proyectos a ser presentados </w:t>
      </w:r>
      <w:r w:rsidR="0069781B">
        <w:rPr>
          <w:rFonts w:eastAsia="Calibri"/>
          <w:color w:val="000000"/>
          <w:szCs w:val="24"/>
        </w:rPr>
        <w:t xml:space="preserve">para acreditar la experiencia </w:t>
      </w:r>
      <w:r w:rsidR="00695B85" w:rsidRPr="00576AF8">
        <w:rPr>
          <w:rFonts w:eastAsia="Calibri"/>
          <w:color w:val="000000"/>
          <w:szCs w:val="24"/>
        </w:rPr>
        <w:t xml:space="preserve">deben haber sido </w:t>
      </w:r>
      <w:proofErr w:type="gramStart"/>
      <w:r w:rsidR="00695B85" w:rsidRPr="00576AF8">
        <w:rPr>
          <w:rFonts w:eastAsia="Calibri"/>
          <w:color w:val="000000"/>
          <w:szCs w:val="24"/>
        </w:rPr>
        <w:t xml:space="preserve">ejecutados </w:t>
      </w:r>
      <w:r w:rsidRPr="00576AF8">
        <w:rPr>
          <w:rFonts w:eastAsia="Calibri"/>
          <w:color w:val="000000"/>
          <w:szCs w:val="24"/>
        </w:rPr>
        <w:t xml:space="preserve"> </w:t>
      </w:r>
      <w:r w:rsidR="00695B85" w:rsidRPr="00576AF8">
        <w:rPr>
          <w:rFonts w:eastAsia="Calibri"/>
          <w:color w:val="000000"/>
          <w:szCs w:val="24"/>
        </w:rPr>
        <w:t>durante</w:t>
      </w:r>
      <w:proofErr w:type="gramEnd"/>
      <w:r w:rsidRPr="00576AF8">
        <w:rPr>
          <w:rFonts w:eastAsia="Calibri"/>
          <w:color w:val="000000"/>
          <w:szCs w:val="24"/>
        </w:rPr>
        <w:t xml:space="preserve"> los últimos 10 años para ser aceptada como experiencia válida.</w:t>
      </w:r>
    </w:p>
    <w:p w14:paraId="3735FD27" w14:textId="77777777" w:rsidR="00836FAD" w:rsidRPr="00576AF8" w:rsidRDefault="00836FAD" w:rsidP="00836FAD">
      <w:pPr>
        <w:ind w:left="1440" w:right="41" w:hanging="720"/>
        <w:rPr>
          <w:szCs w:val="24"/>
        </w:rPr>
      </w:pPr>
    </w:p>
    <w:p w14:paraId="2D3D9311" w14:textId="77777777" w:rsidR="00836FAD" w:rsidRPr="00576AF8" w:rsidRDefault="00836FAD" w:rsidP="00836FAD">
      <w:pPr>
        <w:ind w:left="2160" w:right="41" w:hanging="720"/>
        <w:rPr>
          <w:b/>
          <w:color w:val="000000"/>
          <w:szCs w:val="24"/>
        </w:rPr>
      </w:pPr>
      <w:r w:rsidRPr="00576AF8">
        <w:rPr>
          <w:color w:val="000000"/>
          <w:szCs w:val="24"/>
          <w:lang w:val="es-EC" w:eastAsia="es-EC" w:bidi="ar-SA"/>
        </w:rPr>
        <w:tab/>
      </w:r>
      <w:r w:rsidR="0038177F" w:rsidRPr="00576AF8">
        <w:rPr>
          <w:b/>
          <w:color w:val="000000"/>
          <w:szCs w:val="24"/>
          <w:u w:val="single"/>
          <w:lang w:val="es-EC" w:eastAsia="es-EC" w:bidi="ar-SA"/>
        </w:rPr>
        <w:t>Coordinador de Proyecto, líder, director o equivalente</w:t>
      </w:r>
      <w:r w:rsidRPr="00576AF8">
        <w:rPr>
          <w:b/>
          <w:color w:val="000000"/>
          <w:szCs w:val="24"/>
          <w:u w:val="single"/>
          <w:lang w:val="es-EC" w:eastAsia="es-EC" w:bidi="ar-SA"/>
        </w:rPr>
        <w:t>:</w:t>
      </w:r>
      <w:r w:rsidRPr="00576AF8">
        <w:rPr>
          <w:color w:val="000000"/>
          <w:szCs w:val="24"/>
          <w:lang w:val="es-EC" w:eastAsia="es-EC" w:bidi="ar-SA"/>
        </w:rPr>
        <w:t xml:space="preserve"> El gerente del proyecto será un profesional que tenga experiencia en dirección técnica de proyectos de automatización y control de sistemas eléctricos de potencia, deberá acreditar lo siguiente:</w:t>
      </w:r>
      <w:r w:rsidR="0038177F" w:rsidRPr="00576AF8">
        <w:rPr>
          <w:color w:val="000000"/>
          <w:szCs w:val="24"/>
          <w:lang w:val="es-EC" w:eastAsia="es-EC" w:bidi="ar-SA"/>
        </w:rPr>
        <w:t xml:space="preserve"> </w:t>
      </w:r>
    </w:p>
    <w:p w14:paraId="2E3FBB1C" w14:textId="77777777" w:rsidR="00836FAD" w:rsidRPr="00576AF8" w:rsidRDefault="00836FAD">
      <w:pPr>
        <w:numPr>
          <w:ilvl w:val="0"/>
          <w:numId w:val="110"/>
        </w:numPr>
        <w:pBdr>
          <w:top w:val="nil"/>
          <w:left w:val="nil"/>
          <w:bottom w:val="nil"/>
          <w:right w:val="nil"/>
          <w:between w:val="nil"/>
        </w:pBdr>
        <w:suppressAutoHyphens w:val="0"/>
        <w:spacing w:before="119" w:after="0"/>
        <w:ind w:left="2059" w:right="135" w:hanging="425"/>
        <w:textAlignment w:val="baseline"/>
        <w:rPr>
          <w:color w:val="000000"/>
          <w:szCs w:val="24"/>
          <w:lang w:val="es-EC"/>
        </w:rPr>
      </w:pPr>
      <w:r w:rsidRPr="00576AF8">
        <w:rPr>
          <w:color w:val="000000"/>
          <w:szCs w:val="24"/>
          <w:lang w:val="es-EC"/>
        </w:rPr>
        <w:t xml:space="preserve">Copia del título profesional </w:t>
      </w:r>
      <w:r w:rsidR="00317D34" w:rsidRPr="00576AF8">
        <w:rPr>
          <w:color w:val="000000"/>
          <w:szCs w:val="24"/>
          <w:lang w:val="es-EC"/>
        </w:rPr>
        <w:t>de acuerdo a la columna “Especialidad” de la Tabla de Personal del Licitante.</w:t>
      </w:r>
    </w:p>
    <w:p w14:paraId="5DF9E308" w14:textId="7BCF60B6" w:rsidR="00836FAD" w:rsidRPr="00576AF8" w:rsidRDefault="00836FAD" w:rsidP="008C0D90">
      <w:pPr>
        <w:numPr>
          <w:ilvl w:val="0"/>
          <w:numId w:val="110"/>
        </w:numPr>
        <w:pBdr>
          <w:top w:val="nil"/>
          <w:left w:val="nil"/>
          <w:bottom w:val="nil"/>
          <w:right w:val="nil"/>
          <w:between w:val="nil"/>
        </w:pBdr>
        <w:suppressAutoHyphens w:val="0"/>
        <w:spacing w:before="119" w:after="0"/>
        <w:ind w:left="2059" w:right="135" w:hanging="425"/>
        <w:textAlignment w:val="baseline"/>
        <w:rPr>
          <w:color w:val="000000"/>
          <w:szCs w:val="24"/>
          <w:lang w:val="es-EC" w:eastAsia="es-EC" w:bidi="ar-SA"/>
        </w:rPr>
      </w:pPr>
      <w:r w:rsidRPr="00576AF8">
        <w:rPr>
          <w:color w:val="000000"/>
          <w:szCs w:val="24"/>
          <w:lang w:val="es-EC"/>
        </w:rPr>
        <w:t xml:space="preserve">Acreditar haber participado en los últimos 5 años, en al menos </w:t>
      </w:r>
      <w:r w:rsidR="00FB317F" w:rsidRPr="00576AF8">
        <w:rPr>
          <w:color w:val="000000"/>
          <w:szCs w:val="24"/>
          <w:lang w:val="es-EC"/>
        </w:rPr>
        <w:t xml:space="preserve">dos </w:t>
      </w:r>
      <w:r w:rsidRPr="00576AF8">
        <w:rPr>
          <w:color w:val="000000"/>
          <w:szCs w:val="24"/>
          <w:lang w:val="es-EC"/>
        </w:rPr>
        <w:t>(</w:t>
      </w:r>
      <w:r w:rsidR="00FB317F" w:rsidRPr="00576AF8">
        <w:rPr>
          <w:color w:val="000000"/>
          <w:szCs w:val="24"/>
          <w:lang w:val="es-EC"/>
        </w:rPr>
        <w:t>2</w:t>
      </w:r>
      <w:r w:rsidRPr="00576AF8">
        <w:rPr>
          <w:color w:val="000000"/>
          <w:szCs w:val="24"/>
          <w:lang w:val="es-EC"/>
        </w:rPr>
        <w:t>) proyecto</w:t>
      </w:r>
      <w:r w:rsidR="00FB317F" w:rsidRPr="00576AF8">
        <w:rPr>
          <w:color w:val="000000"/>
          <w:szCs w:val="24"/>
          <w:lang w:val="es-EC"/>
        </w:rPr>
        <w:t>s</w:t>
      </w:r>
      <w:r w:rsidRPr="00576AF8">
        <w:rPr>
          <w:color w:val="000000"/>
          <w:szCs w:val="24"/>
          <w:lang w:val="es-EC"/>
        </w:rPr>
        <w:t xml:space="preserve"> en que haya intervenido</w:t>
      </w:r>
      <w:r w:rsidRPr="00576AF8">
        <w:rPr>
          <w:color w:val="000000"/>
          <w:szCs w:val="24"/>
          <w:lang w:val="es-EC" w:eastAsia="es-EC" w:bidi="ar-SA"/>
        </w:rPr>
        <w:t xml:space="preserve"> como responsable a cargo de la ejecución de un proyecto de automatización o EMS/SCADA de sistemas eléctricos con una capacidad de potencia igual o mayor a 500 MW.</w:t>
      </w:r>
    </w:p>
    <w:p w14:paraId="56879D25" w14:textId="3DFAAD10" w:rsidR="00836FAD" w:rsidRPr="00576AF8" w:rsidRDefault="00836FAD" w:rsidP="00836FAD">
      <w:pPr>
        <w:pBdr>
          <w:top w:val="nil"/>
          <w:left w:val="nil"/>
          <w:bottom w:val="nil"/>
          <w:right w:val="nil"/>
          <w:between w:val="nil"/>
        </w:pBdr>
        <w:suppressAutoHyphens w:val="0"/>
        <w:spacing w:before="119" w:after="0"/>
        <w:ind w:left="2059" w:right="135"/>
        <w:textAlignment w:val="baseline"/>
        <w:rPr>
          <w:color w:val="000000"/>
          <w:szCs w:val="24"/>
          <w:lang w:val="es-EC" w:eastAsia="es-EC" w:bidi="ar-SA"/>
        </w:rPr>
      </w:pPr>
      <w:r w:rsidRPr="00576AF8">
        <w:rPr>
          <w:color w:val="000000"/>
          <w:szCs w:val="24"/>
          <w:lang w:val="es-EC" w:eastAsia="es-EC" w:bidi="ar-SA"/>
        </w:rPr>
        <w:t>Esta acreditación será dada mediante un certificado o constancia emitido por el cliente o por la empresa para la que haya laborado este profesional.</w:t>
      </w:r>
    </w:p>
    <w:p w14:paraId="2BA47C38" w14:textId="77777777" w:rsidR="00836FAD" w:rsidRPr="00576AF8" w:rsidRDefault="00836FAD" w:rsidP="00836FAD">
      <w:pPr>
        <w:ind w:left="2160" w:right="41" w:hanging="720"/>
        <w:rPr>
          <w:color w:val="4472C4"/>
          <w:spacing w:val="-4"/>
          <w:szCs w:val="24"/>
        </w:rPr>
      </w:pPr>
    </w:p>
    <w:p w14:paraId="603E39C6" w14:textId="77777777" w:rsidR="00836FAD" w:rsidRPr="00576AF8" w:rsidRDefault="00836FAD" w:rsidP="00836FAD">
      <w:pPr>
        <w:ind w:left="2160" w:right="41" w:hanging="720"/>
        <w:rPr>
          <w:color w:val="000000"/>
          <w:szCs w:val="24"/>
        </w:rPr>
      </w:pPr>
      <w:r w:rsidRPr="00576AF8">
        <w:rPr>
          <w:spacing w:val="-4"/>
          <w:szCs w:val="24"/>
        </w:rPr>
        <w:tab/>
      </w:r>
      <w:r w:rsidRPr="00576AF8">
        <w:rPr>
          <w:b/>
          <w:color w:val="000000"/>
          <w:szCs w:val="24"/>
          <w:u w:val="single"/>
          <w:lang w:val="es-EC" w:eastAsia="es-EC" w:bidi="ar-SA"/>
        </w:rPr>
        <w:t>Especialista de SCADA:</w:t>
      </w:r>
      <w:r w:rsidRPr="00576AF8">
        <w:rPr>
          <w:color w:val="4472C4"/>
          <w:szCs w:val="24"/>
        </w:rPr>
        <w:t xml:space="preserve"> </w:t>
      </w:r>
      <w:r w:rsidR="00CD0D7B" w:rsidRPr="00576AF8">
        <w:rPr>
          <w:color w:val="000000"/>
          <w:szCs w:val="24"/>
        </w:rPr>
        <w:t>Este e</w:t>
      </w:r>
      <w:r w:rsidRPr="00576AF8">
        <w:rPr>
          <w:color w:val="000000"/>
          <w:szCs w:val="24"/>
        </w:rPr>
        <w:t>specialista deberá acreditar lo siguiente:</w:t>
      </w:r>
    </w:p>
    <w:p w14:paraId="4E3B3B11" w14:textId="77777777" w:rsidR="00836FAD" w:rsidRPr="00576AF8" w:rsidRDefault="00836FAD" w:rsidP="008C0D90">
      <w:pPr>
        <w:numPr>
          <w:ilvl w:val="0"/>
          <w:numId w:val="110"/>
        </w:numPr>
        <w:pBdr>
          <w:top w:val="nil"/>
          <w:left w:val="nil"/>
          <w:bottom w:val="nil"/>
          <w:right w:val="nil"/>
          <w:between w:val="nil"/>
        </w:pBdr>
        <w:suppressAutoHyphens w:val="0"/>
        <w:ind w:left="1841" w:hanging="425"/>
        <w:rPr>
          <w:color w:val="000000"/>
          <w:szCs w:val="24"/>
          <w:lang w:val="es-EC"/>
        </w:rPr>
      </w:pPr>
      <w:r w:rsidRPr="00576AF8">
        <w:rPr>
          <w:color w:val="000000"/>
          <w:szCs w:val="24"/>
          <w:lang w:val="es-EC"/>
        </w:rPr>
        <w:t xml:space="preserve">Copia del título profesional </w:t>
      </w:r>
      <w:r w:rsidR="00317D34" w:rsidRPr="00576AF8">
        <w:rPr>
          <w:color w:val="000000"/>
          <w:szCs w:val="24"/>
          <w:lang w:val="es-EC"/>
        </w:rPr>
        <w:t>de acuerdo a la columna “Especialidad” de la Tabla de Personal del Licitante</w:t>
      </w:r>
      <w:r w:rsidRPr="00576AF8">
        <w:rPr>
          <w:color w:val="000000"/>
          <w:szCs w:val="24"/>
          <w:lang w:val="es-EC"/>
        </w:rPr>
        <w:t>.</w:t>
      </w:r>
    </w:p>
    <w:p w14:paraId="38801640" w14:textId="77777777" w:rsidR="005432F2" w:rsidRDefault="00836FAD" w:rsidP="002E696D">
      <w:pPr>
        <w:numPr>
          <w:ilvl w:val="0"/>
          <w:numId w:val="110"/>
        </w:numPr>
        <w:pBdr>
          <w:top w:val="nil"/>
          <w:left w:val="nil"/>
          <w:bottom w:val="nil"/>
          <w:right w:val="nil"/>
          <w:between w:val="nil"/>
        </w:pBdr>
        <w:suppressAutoHyphens w:val="0"/>
        <w:ind w:left="1843" w:hanging="425"/>
        <w:rPr>
          <w:color w:val="000000"/>
          <w:szCs w:val="24"/>
          <w:lang w:val="es-EC"/>
        </w:rPr>
      </w:pPr>
      <w:r w:rsidRPr="005432F2">
        <w:rPr>
          <w:color w:val="000000"/>
          <w:szCs w:val="24"/>
          <w:lang w:val="es-EC"/>
        </w:rPr>
        <w:t xml:space="preserve">Haber participado en los últimos </w:t>
      </w:r>
      <w:r w:rsidR="005D4327" w:rsidRPr="005432F2">
        <w:rPr>
          <w:color w:val="000000"/>
          <w:szCs w:val="24"/>
          <w:lang w:val="es-EC"/>
        </w:rPr>
        <w:t>5</w:t>
      </w:r>
      <w:r w:rsidRPr="005432F2">
        <w:rPr>
          <w:color w:val="000000"/>
          <w:szCs w:val="24"/>
          <w:lang w:val="es-EC"/>
        </w:rPr>
        <w:t xml:space="preserve"> años, en al menos </w:t>
      </w:r>
      <w:r w:rsidR="00E56866" w:rsidRPr="005432F2">
        <w:rPr>
          <w:color w:val="000000"/>
          <w:szCs w:val="24"/>
          <w:lang w:val="es-EC"/>
        </w:rPr>
        <w:t xml:space="preserve">1 </w:t>
      </w:r>
      <w:r w:rsidRPr="005432F2">
        <w:rPr>
          <w:color w:val="000000"/>
          <w:szCs w:val="24"/>
          <w:lang w:val="es-EC"/>
        </w:rPr>
        <w:t xml:space="preserve">proyecto en que haya intervenido como especialista </w:t>
      </w:r>
      <w:r w:rsidR="00CD0D7B" w:rsidRPr="005432F2">
        <w:rPr>
          <w:color w:val="000000"/>
          <w:szCs w:val="24"/>
        </w:rPr>
        <w:t>en la configuración y puesta en servicio de sistemas SCADA y bases de datos en tiempo real</w:t>
      </w:r>
      <w:r w:rsidRPr="005432F2">
        <w:rPr>
          <w:color w:val="000000"/>
          <w:szCs w:val="24"/>
          <w:lang w:val="es-EC"/>
        </w:rPr>
        <w:t>.</w:t>
      </w:r>
      <w:r w:rsidR="001D0525" w:rsidRPr="005432F2">
        <w:rPr>
          <w:color w:val="000000"/>
          <w:szCs w:val="24"/>
          <w:lang w:val="es-EC"/>
        </w:rPr>
        <w:t xml:space="preserve"> </w:t>
      </w:r>
    </w:p>
    <w:p w14:paraId="67CDCA1C" w14:textId="5933EFB7" w:rsidR="00836FAD" w:rsidRPr="005432F2" w:rsidRDefault="00836FAD" w:rsidP="002E696D">
      <w:pPr>
        <w:numPr>
          <w:ilvl w:val="0"/>
          <w:numId w:val="110"/>
        </w:numPr>
        <w:pBdr>
          <w:top w:val="nil"/>
          <w:left w:val="nil"/>
          <w:bottom w:val="nil"/>
          <w:right w:val="nil"/>
          <w:between w:val="nil"/>
        </w:pBdr>
        <w:suppressAutoHyphens w:val="0"/>
        <w:ind w:left="1843" w:hanging="425"/>
        <w:rPr>
          <w:color w:val="000000"/>
          <w:szCs w:val="24"/>
          <w:lang w:val="es-EC"/>
        </w:rPr>
      </w:pPr>
      <w:r w:rsidRPr="005432F2">
        <w:rPr>
          <w:color w:val="000000"/>
          <w:szCs w:val="24"/>
          <w:lang w:val="es-EC"/>
        </w:rPr>
        <w:t xml:space="preserve">Esta acreditación será dada mediante un certificado o constancia emitida por el cliente o por la empresa para la que haya laborado este profesional. </w:t>
      </w:r>
      <w:r w:rsidRPr="005432F2">
        <w:rPr>
          <w:szCs w:val="24"/>
          <w:lang w:val="es-EC"/>
        </w:rPr>
        <w:t>Deberá presentarse al menos un especialista,</w:t>
      </w:r>
      <w:r w:rsidRPr="005432F2">
        <w:rPr>
          <w:color w:val="000000"/>
          <w:szCs w:val="24"/>
          <w:lang w:val="es-EC"/>
        </w:rPr>
        <w:t xml:space="preserve"> quien podrá compartir rol con el especialista de Comunicaciones</w:t>
      </w:r>
      <w:r w:rsidRPr="005432F2">
        <w:rPr>
          <w:szCs w:val="24"/>
          <w:lang w:val="es-EC"/>
        </w:rPr>
        <w:t>.</w:t>
      </w:r>
      <w:r w:rsidR="001D0525" w:rsidRPr="005432F2">
        <w:rPr>
          <w:szCs w:val="24"/>
          <w:lang w:val="es-EC"/>
        </w:rPr>
        <w:t xml:space="preserve"> </w:t>
      </w:r>
    </w:p>
    <w:p w14:paraId="5CCF8A42" w14:textId="77777777" w:rsidR="00836FAD" w:rsidRPr="00576AF8" w:rsidRDefault="00836FAD" w:rsidP="00836FAD">
      <w:pPr>
        <w:ind w:left="2160" w:right="41" w:hanging="720"/>
        <w:rPr>
          <w:spacing w:val="-4"/>
          <w:szCs w:val="24"/>
        </w:rPr>
      </w:pPr>
      <w:r w:rsidRPr="00576AF8">
        <w:rPr>
          <w:spacing w:val="-4"/>
          <w:szCs w:val="24"/>
        </w:rPr>
        <w:tab/>
      </w:r>
      <w:bookmarkStart w:id="416" w:name="_Toc148710657"/>
      <w:bookmarkStart w:id="417" w:name="_Toc151022209"/>
    </w:p>
    <w:p w14:paraId="20F7EA02" w14:textId="77777777" w:rsidR="00836FAD" w:rsidRPr="00576AF8" w:rsidRDefault="00836FAD" w:rsidP="00836FAD">
      <w:pPr>
        <w:ind w:left="2160" w:right="41"/>
        <w:rPr>
          <w:color w:val="000000"/>
          <w:szCs w:val="24"/>
          <w:lang w:val="es-EC"/>
        </w:rPr>
      </w:pPr>
      <w:r w:rsidRPr="00576AF8">
        <w:rPr>
          <w:b/>
          <w:color w:val="000000"/>
          <w:szCs w:val="24"/>
          <w:u w:val="single"/>
          <w:lang w:val="es-EC" w:eastAsia="es-EC" w:bidi="ar-SA"/>
        </w:rPr>
        <w:t>Especialista de Aplicaciones EMS</w:t>
      </w:r>
      <w:bookmarkEnd w:id="416"/>
      <w:bookmarkEnd w:id="417"/>
      <w:r w:rsidRPr="00576AF8">
        <w:rPr>
          <w:b/>
          <w:color w:val="000000"/>
          <w:szCs w:val="24"/>
          <w:u w:val="single"/>
          <w:lang w:val="es-EC" w:eastAsia="es-EC" w:bidi="ar-SA"/>
        </w:rPr>
        <w:t>:</w:t>
      </w:r>
      <w:r w:rsidRPr="00576AF8">
        <w:rPr>
          <w:color w:val="4472C4"/>
          <w:spacing w:val="-4"/>
          <w:szCs w:val="24"/>
        </w:rPr>
        <w:t xml:space="preserve"> </w:t>
      </w:r>
      <w:r w:rsidRPr="00576AF8">
        <w:rPr>
          <w:color w:val="000000"/>
          <w:szCs w:val="24"/>
          <w:lang w:val="es-EC"/>
        </w:rPr>
        <w:t xml:space="preserve">El Especialista de Aplicaciones </w:t>
      </w:r>
      <w:r w:rsidRPr="00576AF8">
        <w:rPr>
          <w:color w:val="000000"/>
          <w:szCs w:val="24"/>
        </w:rPr>
        <w:t>deberá acreditar lo siguiente:</w:t>
      </w:r>
    </w:p>
    <w:p w14:paraId="61D91502" w14:textId="77777777" w:rsidR="00836FAD" w:rsidRPr="00576AF8" w:rsidRDefault="00836FAD" w:rsidP="008C0D90">
      <w:pPr>
        <w:numPr>
          <w:ilvl w:val="0"/>
          <w:numId w:val="110"/>
        </w:numPr>
        <w:pBdr>
          <w:top w:val="nil"/>
          <w:left w:val="nil"/>
          <w:bottom w:val="nil"/>
          <w:right w:val="nil"/>
          <w:between w:val="nil"/>
        </w:pBdr>
        <w:suppressAutoHyphens w:val="0"/>
        <w:ind w:left="1558" w:hanging="425"/>
        <w:rPr>
          <w:color w:val="000000"/>
          <w:szCs w:val="24"/>
          <w:lang w:val="es-EC"/>
        </w:rPr>
      </w:pPr>
      <w:r w:rsidRPr="00576AF8">
        <w:rPr>
          <w:color w:val="000000"/>
          <w:szCs w:val="24"/>
          <w:lang w:val="es-EC"/>
        </w:rPr>
        <w:lastRenderedPageBreak/>
        <w:t xml:space="preserve">Copia del título profesional </w:t>
      </w:r>
      <w:r w:rsidR="00317D34" w:rsidRPr="00576AF8">
        <w:rPr>
          <w:color w:val="000000"/>
          <w:szCs w:val="24"/>
          <w:lang w:val="es-EC"/>
        </w:rPr>
        <w:t>de acuerdo a la columna “Especialidad” de la Tabla de Personal del Licitante</w:t>
      </w:r>
      <w:r w:rsidRPr="00576AF8">
        <w:rPr>
          <w:color w:val="000000"/>
          <w:szCs w:val="24"/>
          <w:lang w:val="es-EC"/>
        </w:rPr>
        <w:t>.</w:t>
      </w:r>
    </w:p>
    <w:p w14:paraId="6007D61A" w14:textId="1A0102BE" w:rsidR="00836FAD" w:rsidRPr="00576AF8" w:rsidRDefault="00836FAD">
      <w:pPr>
        <w:numPr>
          <w:ilvl w:val="0"/>
          <w:numId w:val="110"/>
        </w:numPr>
        <w:pBdr>
          <w:top w:val="nil"/>
          <w:left w:val="nil"/>
          <w:bottom w:val="nil"/>
          <w:right w:val="nil"/>
          <w:between w:val="nil"/>
        </w:pBdr>
        <w:suppressAutoHyphens w:val="0"/>
        <w:ind w:left="1558" w:hanging="425"/>
        <w:rPr>
          <w:color w:val="000000"/>
          <w:szCs w:val="24"/>
          <w:lang w:val="es-EC"/>
        </w:rPr>
      </w:pPr>
      <w:r w:rsidRPr="00576AF8">
        <w:rPr>
          <w:color w:val="000000"/>
          <w:szCs w:val="24"/>
          <w:lang w:val="es-EC"/>
        </w:rPr>
        <w:t xml:space="preserve">Haber participado en los últimos </w:t>
      </w:r>
      <w:r w:rsidR="005D4327" w:rsidRPr="00576AF8">
        <w:rPr>
          <w:color w:val="000000"/>
          <w:szCs w:val="24"/>
          <w:lang w:val="es-EC"/>
        </w:rPr>
        <w:t>5</w:t>
      </w:r>
      <w:r w:rsidRPr="00576AF8">
        <w:rPr>
          <w:color w:val="000000"/>
          <w:szCs w:val="24"/>
          <w:lang w:val="es-EC"/>
        </w:rPr>
        <w:t xml:space="preserve"> años, en al menos 2 proyectos en que haya intervenido como especialista </w:t>
      </w:r>
      <w:r w:rsidR="005D4327" w:rsidRPr="00576AF8">
        <w:rPr>
          <w:color w:val="000000"/>
          <w:szCs w:val="24"/>
          <w:lang w:val="es-EC"/>
        </w:rPr>
        <w:t>en la configuración y puesta en marcha de aplicaciones EMS como: estimador de estado, flujo de potencia, análisis de contingencias, flujo de potencia óptimo, experiencia en la configuración de los modelos eléctricos, creación de casos base de flujo de potencia, puesta en marcha y sintonización de las aplicaciones mencionadas</w:t>
      </w:r>
      <w:r w:rsidRPr="00576AF8">
        <w:rPr>
          <w:color w:val="000000"/>
          <w:szCs w:val="24"/>
          <w:lang w:val="es-EC"/>
        </w:rPr>
        <w:t>.</w:t>
      </w:r>
    </w:p>
    <w:p w14:paraId="27AD7E43" w14:textId="77777777" w:rsidR="00836FAD" w:rsidRPr="00576AF8" w:rsidRDefault="00836FAD" w:rsidP="00836FAD">
      <w:pPr>
        <w:ind w:left="1560" w:right="41"/>
        <w:rPr>
          <w:color w:val="000000"/>
          <w:szCs w:val="24"/>
          <w:lang w:val="es-EC"/>
        </w:rPr>
      </w:pPr>
      <w:r w:rsidRPr="00576AF8">
        <w:rPr>
          <w:color w:val="000000"/>
          <w:szCs w:val="24"/>
          <w:lang w:val="es-EC"/>
        </w:rPr>
        <w:t>Esta acreditación será dada mediante un certificado o constancia emitida por el cliente o por la empresa para la que haya laborado este profesional. Deberá presentarse al menos un especialista dedicado para este rol quien no podrá ejecutar otros roles.</w:t>
      </w:r>
    </w:p>
    <w:p w14:paraId="45D18983" w14:textId="77777777" w:rsidR="00836FAD" w:rsidRPr="00576AF8" w:rsidRDefault="00836FAD" w:rsidP="00836FAD">
      <w:pPr>
        <w:ind w:left="1560" w:right="41"/>
        <w:rPr>
          <w:i/>
          <w:color w:val="4472C4"/>
          <w:spacing w:val="-4"/>
          <w:szCs w:val="24"/>
        </w:rPr>
      </w:pPr>
    </w:p>
    <w:p w14:paraId="129530C6" w14:textId="77777777" w:rsidR="00836FAD" w:rsidRPr="00576AF8" w:rsidRDefault="00836FAD" w:rsidP="00836FAD">
      <w:pPr>
        <w:ind w:left="2160" w:right="41" w:hanging="720"/>
        <w:rPr>
          <w:color w:val="000000"/>
          <w:szCs w:val="24"/>
        </w:rPr>
      </w:pPr>
      <w:r w:rsidRPr="00576AF8">
        <w:rPr>
          <w:spacing w:val="-4"/>
          <w:szCs w:val="24"/>
        </w:rPr>
        <w:tab/>
      </w:r>
      <w:bookmarkStart w:id="418" w:name="_Toc148710658"/>
      <w:bookmarkStart w:id="419" w:name="_Toc151022210"/>
      <w:r w:rsidRPr="00576AF8">
        <w:rPr>
          <w:b/>
          <w:szCs w:val="24"/>
          <w:u w:val="single"/>
          <w:lang w:val="es-EC"/>
        </w:rPr>
        <w:t>Especialista de Aplicaciones GMS</w:t>
      </w:r>
      <w:bookmarkEnd w:id="418"/>
      <w:bookmarkEnd w:id="419"/>
      <w:r w:rsidRPr="00576AF8">
        <w:rPr>
          <w:b/>
          <w:szCs w:val="24"/>
          <w:u w:val="single"/>
          <w:lang w:val="es-EC"/>
        </w:rPr>
        <w:t>:</w:t>
      </w:r>
      <w:r w:rsidRPr="00576AF8">
        <w:rPr>
          <w:b/>
          <w:color w:val="4472C4"/>
          <w:spacing w:val="-4"/>
          <w:szCs w:val="24"/>
          <w:u w:val="single"/>
        </w:rPr>
        <w:t xml:space="preserve"> </w:t>
      </w:r>
      <w:r w:rsidRPr="00576AF8">
        <w:rPr>
          <w:color w:val="000000"/>
          <w:szCs w:val="24"/>
          <w:lang w:val="es-EC"/>
        </w:rPr>
        <w:t xml:space="preserve">El Especialista de Aplicaciones </w:t>
      </w:r>
      <w:r w:rsidRPr="00576AF8">
        <w:rPr>
          <w:color w:val="000000"/>
          <w:szCs w:val="24"/>
        </w:rPr>
        <w:t>deberá acreditar lo siguiente:</w:t>
      </w:r>
    </w:p>
    <w:p w14:paraId="007CC8AB" w14:textId="77777777" w:rsidR="00836FAD" w:rsidRPr="00576AF8" w:rsidRDefault="00836FAD" w:rsidP="008C0D90">
      <w:pPr>
        <w:numPr>
          <w:ilvl w:val="0"/>
          <w:numId w:val="110"/>
        </w:numPr>
        <w:pBdr>
          <w:top w:val="nil"/>
          <w:left w:val="nil"/>
          <w:bottom w:val="nil"/>
          <w:right w:val="nil"/>
          <w:between w:val="nil"/>
        </w:pBdr>
        <w:suppressAutoHyphens w:val="0"/>
        <w:ind w:left="1841" w:hanging="425"/>
        <w:rPr>
          <w:color w:val="000000"/>
          <w:szCs w:val="24"/>
          <w:lang w:val="es-EC"/>
        </w:rPr>
      </w:pPr>
      <w:r w:rsidRPr="00576AF8">
        <w:rPr>
          <w:color w:val="000000"/>
          <w:szCs w:val="24"/>
          <w:lang w:val="es-EC"/>
        </w:rPr>
        <w:t xml:space="preserve">Copia del título profesional </w:t>
      </w:r>
      <w:r w:rsidR="00317D34" w:rsidRPr="00576AF8">
        <w:rPr>
          <w:color w:val="000000"/>
          <w:szCs w:val="24"/>
          <w:lang w:val="es-EC"/>
        </w:rPr>
        <w:t>de acuerdo a la columna “Especialidad” de la Tabla de Personal del Licitante</w:t>
      </w:r>
      <w:r w:rsidRPr="00576AF8">
        <w:rPr>
          <w:color w:val="000000"/>
          <w:szCs w:val="24"/>
          <w:lang w:val="es-EC"/>
        </w:rPr>
        <w:t>.</w:t>
      </w:r>
    </w:p>
    <w:p w14:paraId="5FF12843" w14:textId="77777777" w:rsidR="005432F2" w:rsidRDefault="00836FAD" w:rsidP="002E696D">
      <w:pPr>
        <w:numPr>
          <w:ilvl w:val="0"/>
          <w:numId w:val="110"/>
        </w:numPr>
        <w:pBdr>
          <w:top w:val="nil"/>
          <w:left w:val="nil"/>
          <w:bottom w:val="nil"/>
          <w:right w:val="nil"/>
          <w:between w:val="nil"/>
        </w:pBdr>
        <w:suppressAutoHyphens w:val="0"/>
        <w:ind w:left="1843" w:right="41" w:hanging="425"/>
        <w:rPr>
          <w:color w:val="000000"/>
          <w:szCs w:val="24"/>
          <w:lang w:val="es-EC"/>
        </w:rPr>
      </w:pPr>
      <w:r w:rsidRPr="005432F2">
        <w:rPr>
          <w:color w:val="000000"/>
          <w:szCs w:val="24"/>
          <w:lang w:val="es-EC"/>
        </w:rPr>
        <w:t xml:space="preserve">Haber participado en los últimos </w:t>
      </w:r>
      <w:r w:rsidR="005D4327" w:rsidRPr="005432F2">
        <w:rPr>
          <w:color w:val="000000"/>
          <w:szCs w:val="24"/>
          <w:lang w:val="es-EC"/>
        </w:rPr>
        <w:t>5</w:t>
      </w:r>
      <w:r w:rsidRPr="005432F2">
        <w:rPr>
          <w:color w:val="000000"/>
          <w:szCs w:val="24"/>
          <w:lang w:val="es-EC"/>
        </w:rPr>
        <w:t xml:space="preserve"> años, en al menos 2 proyectos en que haya intervenido como especialista </w:t>
      </w:r>
      <w:r w:rsidR="005D4327" w:rsidRPr="005432F2">
        <w:rPr>
          <w:color w:val="000000"/>
          <w:szCs w:val="24"/>
          <w:lang w:val="es-EC"/>
        </w:rPr>
        <w:t>en la configuración y puesta en marcha de aplicaciones GMS como: Control Automático de Generación, Planificación de Producción, Despacho Económico. Deberá contar además con experiencia en la configuración de los modelos, puesta en marcha y sintonización</w:t>
      </w:r>
      <w:r w:rsidRPr="005432F2">
        <w:rPr>
          <w:color w:val="000000"/>
          <w:szCs w:val="24"/>
          <w:lang w:val="es-EC"/>
        </w:rPr>
        <w:t xml:space="preserve">. </w:t>
      </w:r>
    </w:p>
    <w:p w14:paraId="5EC9F35F" w14:textId="716C39C5" w:rsidR="00836FAD" w:rsidRPr="005432F2" w:rsidRDefault="00836FAD" w:rsidP="005432F2">
      <w:pPr>
        <w:pBdr>
          <w:top w:val="nil"/>
          <w:left w:val="nil"/>
          <w:bottom w:val="nil"/>
          <w:right w:val="nil"/>
          <w:between w:val="nil"/>
        </w:pBdr>
        <w:suppressAutoHyphens w:val="0"/>
        <w:ind w:left="1843" w:right="41"/>
        <w:rPr>
          <w:color w:val="000000"/>
          <w:szCs w:val="24"/>
          <w:lang w:val="es-EC"/>
        </w:rPr>
      </w:pPr>
      <w:r w:rsidRPr="005432F2">
        <w:rPr>
          <w:color w:val="000000"/>
          <w:szCs w:val="24"/>
          <w:lang w:val="es-EC"/>
        </w:rPr>
        <w:t>Esta acreditación será dada mediante un certificado o constancia emitida por el cliente o por la empresa para la que haya laborado este profesional. Deberá presentarse al menos un especialista dedicado para este rol quien no podrá ejecutar otros roles.</w:t>
      </w:r>
    </w:p>
    <w:p w14:paraId="048A61DA" w14:textId="77777777" w:rsidR="00836FAD" w:rsidRPr="00576AF8" w:rsidRDefault="00836FAD" w:rsidP="00836FAD">
      <w:pPr>
        <w:ind w:left="1416" w:right="41"/>
        <w:rPr>
          <w:i/>
          <w:color w:val="4472C4"/>
          <w:spacing w:val="-4"/>
          <w:szCs w:val="24"/>
        </w:rPr>
      </w:pPr>
    </w:p>
    <w:p w14:paraId="4BD88F9B" w14:textId="77777777" w:rsidR="00836FAD" w:rsidRPr="00576AF8" w:rsidRDefault="00836FAD" w:rsidP="00836FAD">
      <w:pPr>
        <w:ind w:left="2160" w:right="41" w:hanging="720"/>
        <w:rPr>
          <w:color w:val="000000"/>
          <w:szCs w:val="24"/>
        </w:rPr>
      </w:pPr>
      <w:r w:rsidRPr="00576AF8">
        <w:rPr>
          <w:spacing w:val="-4"/>
          <w:szCs w:val="24"/>
        </w:rPr>
        <w:tab/>
      </w:r>
      <w:bookmarkStart w:id="420" w:name="_Toc148710659"/>
      <w:bookmarkStart w:id="421" w:name="_Toc151022211"/>
      <w:r w:rsidRPr="00576AF8">
        <w:rPr>
          <w:b/>
          <w:szCs w:val="24"/>
          <w:u w:val="single"/>
          <w:lang w:val="es-EC"/>
        </w:rPr>
        <w:t>Especialista de Comunicaciones</w:t>
      </w:r>
      <w:bookmarkEnd w:id="420"/>
      <w:bookmarkEnd w:id="421"/>
      <w:r w:rsidRPr="00576AF8">
        <w:rPr>
          <w:b/>
          <w:szCs w:val="24"/>
          <w:u w:val="single"/>
          <w:lang w:val="es-EC"/>
        </w:rPr>
        <w:t>:</w:t>
      </w:r>
      <w:r w:rsidRPr="00576AF8">
        <w:rPr>
          <w:color w:val="000000"/>
          <w:szCs w:val="24"/>
          <w:lang w:val="es-EC"/>
        </w:rPr>
        <w:t xml:space="preserve"> El Especialista de </w:t>
      </w:r>
      <w:proofErr w:type="gramStart"/>
      <w:r w:rsidRPr="00576AF8">
        <w:rPr>
          <w:szCs w:val="24"/>
          <w:lang w:val="es-EC"/>
        </w:rPr>
        <w:t>Comunicaciones</w:t>
      </w:r>
      <w:r w:rsidRPr="00576AF8">
        <w:rPr>
          <w:b/>
          <w:szCs w:val="24"/>
          <w:lang w:val="es-EC"/>
        </w:rPr>
        <w:t xml:space="preserve"> </w:t>
      </w:r>
      <w:r w:rsidRPr="00576AF8">
        <w:rPr>
          <w:color w:val="000000"/>
          <w:szCs w:val="24"/>
          <w:lang w:val="es-EC"/>
        </w:rPr>
        <w:t xml:space="preserve"> </w:t>
      </w:r>
      <w:r w:rsidRPr="00576AF8">
        <w:rPr>
          <w:color w:val="000000"/>
          <w:szCs w:val="24"/>
        </w:rPr>
        <w:t>deberá</w:t>
      </w:r>
      <w:proofErr w:type="gramEnd"/>
      <w:r w:rsidRPr="00576AF8">
        <w:rPr>
          <w:color w:val="000000"/>
          <w:szCs w:val="24"/>
        </w:rPr>
        <w:t xml:space="preserve"> acreditar lo siguiente:</w:t>
      </w:r>
    </w:p>
    <w:p w14:paraId="4E0A1BFA" w14:textId="77777777" w:rsidR="00836FAD" w:rsidRPr="00576AF8" w:rsidRDefault="00836FAD" w:rsidP="008C0D90">
      <w:pPr>
        <w:numPr>
          <w:ilvl w:val="0"/>
          <w:numId w:val="110"/>
        </w:numPr>
        <w:pBdr>
          <w:top w:val="nil"/>
          <w:left w:val="nil"/>
          <w:bottom w:val="nil"/>
          <w:right w:val="nil"/>
          <w:between w:val="nil"/>
        </w:pBdr>
        <w:suppressAutoHyphens w:val="0"/>
        <w:ind w:left="1841" w:hanging="425"/>
        <w:rPr>
          <w:color w:val="000000"/>
          <w:szCs w:val="24"/>
          <w:lang w:val="es-EC"/>
        </w:rPr>
      </w:pPr>
      <w:r w:rsidRPr="00576AF8">
        <w:rPr>
          <w:color w:val="000000"/>
          <w:szCs w:val="24"/>
          <w:lang w:val="es-EC"/>
        </w:rPr>
        <w:t xml:space="preserve">Copia del título profesional </w:t>
      </w:r>
      <w:r w:rsidR="00317D34" w:rsidRPr="00576AF8">
        <w:rPr>
          <w:color w:val="000000"/>
          <w:szCs w:val="24"/>
          <w:lang w:val="es-EC"/>
        </w:rPr>
        <w:t>de acuerdo a la columna “Especialidad” de la Tabla de Personal del Licitante</w:t>
      </w:r>
      <w:r w:rsidRPr="00576AF8">
        <w:rPr>
          <w:color w:val="000000"/>
          <w:szCs w:val="24"/>
          <w:lang w:val="es-EC"/>
        </w:rPr>
        <w:t>.</w:t>
      </w:r>
    </w:p>
    <w:p w14:paraId="74E02A85" w14:textId="77777777" w:rsidR="00836FAD" w:rsidRPr="00576AF8" w:rsidRDefault="00836FAD">
      <w:pPr>
        <w:numPr>
          <w:ilvl w:val="0"/>
          <w:numId w:val="110"/>
        </w:numPr>
        <w:pBdr>
          <w:top w:val="nil"/>
          <w:left w:val="nil"/>
          <w:bottom w:val="nil"/>
          <w:right w:val="nil"/>
          <w:between w:val="nil"/>
        </w:pBdr>
        <w:suppressAutoHyphens w:val="0"/>
        <w:ind w:left="1841" w:hanging="425"/>
        <w:rPr>
          <w:color w:val="000000"/>
          <w:szCs w:val="24"/>
          <w:lang w:val="es-EC"/>
        </w:rPr>
      </w:pPr>
      <w:r w:rsidRPr="00576AF8">
        <w:rPr>
          <w:color w:val="000000"/>
          <w:szCs w:val="24"/>
          <w:lang w:val="es-EC"/>
        </w:rPr>
        <w:t xml:space="preserve">Haber participado en los últimos </w:t>
      </w:r>
      <w:r w:rsidR="00F776E4" w:rsidRPr="00576AF8">
        <w:rPr>
          <w:color w:val="000000"/>
          <w:szCs w:val="24"/>
          <w:lang w:val="es-EC"/>
        </w:rPr>
        <w:t>5</w:t>
      </w:r>
      <w:r w:rsidRPr="00576AF8">
        <w:rPr>
          <w:color w:val="000000"/>
          <w:szCs w:val="24"/>
          <w:lang w:val="es-EC"/>
        </w:rPr>
        <w:t xml:space="preserve"> años, en al menos </w:t>
      </w:r>
      <w:r w:rsidR="00E56866" w:rsidRPr="00576AF8">
        <w:rPr>
          <w:color w:val="000000"/>
          <w:szCs w:val="24"/>
          <w:lang w:val="es-EC"/>
        </w:rPr>
        <w:t xml:space="preserve">1 </w:t>
      </w:r>
      <w:r w:rsidRPr="00576AF8">
        <w:rPr>
          <w:color w:val="000000"/>
          <w:szCs w:val="24"/>
          <w:lang w:val="es-EC"/>
        </w:rPr>
        <w:t>proyecto en que haya intervenido como especialista en la configuración de comunicaciones con los protocolos de comunica</w:t>
      </w:r>
      <w:r w:rsidRPr="00576AF8">
        <w:rPr>
          <w:szCs w:val="24"/>
          <w:lang w:val="es-EC"/>
        </w:rPr>
        <w:t xml:space="preserve">ciones </w:t>
      </w:r>
      <w:r w:rsidRPr="00576AF8">
        <w:rPr>
          <w:color w:val="000000"/>
          <w:szCs w:val="24"/>
          <w:lang w:val="es-EC"/>
        </w:rPr>
        <w:t xml:space="preserve">SCADA antes mencionados. </w:t>
      </w:r>
      <w:r w:rsidR="00F776E4" w:rsidRPr="00576AF8">
        <w:rPr>
          <w:color w:val="000000"/>
          <w:szCs w:val="24"/>
          <w:lang w:val="es-EC"/>
        </w:rPr>
        <w:t>Se solicita presentar un máximo de 5 proyectos de los que la institución seleccionará los 2 más relevantes.</w:t>
      </w:r>
    </w:p>
    <w:p w14:paraId="56CC3550" w14:textId="77777777" w:rsidR="00836FAD" w:rsidRPr="00576AF8" w:rsidRDefault="00836FAD" w:rsidP="00836FAD">
      <w:pPr>
        <w:ind w:left="1843" w:right="41"/>
        <w:rPr>
          <w:color w:val="000000"/>
          <w:szCs w:val="24"/>
          <w:lang w:val="es-EC"/>
        </w:rPr>
      </w:pPr>
      <w:r w:rsidRPr="00576AF8">
        <w:rPr>
          <w:color w:val="000000"/>
          <w:szCs w:val="24"/>
          <w:lang w:val="es-EC"/>
        </w:rPr>
        <w:t>Esta acreditación será dada mediante un certificado o constancia emitida por el cliente o por la empresa para la que haya laborado este profesional. Deberá presentarse al menos un especialista dedicado para este rol, quien podrá compartir rol con el especialista SCADA.</w:t>
      </w:r>
    </w:p>
    <w:p w14:paraId="732627C9" w14:textId="77777777" w:rsidR="00836FAD" w:rsidRPr="00576AF8" w:rsidRDefault="00836FAD" w:rsidP="00836FAD">
      <w:pPr>
        <w:ind w:left="1843" w:right="41"/>
        <w:rPr>
          <w:color w:val="4472C4"/>
          <w:spacing w:val="-4"/>
          <w:szCs w:val="24"/>
        </w:rPr>
      </w:pPr>
    </w:p>
    <w:p w14:paraId="19D12F2D" w14:textId="77777777" w:rsidR="00836FAD" w:rsidRPr="00576AF8" w:rsidRDefault="00836FAD" w:rsidP="00836FAD">
      <w:pPr>
        <w:ind w:left="2160" w:right="41" w:hanging="720"/>
        <w:rPr>
          <w:color w:val="000000"/>
          <w:szCs w:val="24"/>
          <w:lang w:val="es-EC"/>
        </w:rPr>
      </w:pPr>
      <w:r w:rsidRPr="00576AF8">
        <w:rPr>
          <w:szCs w:val="24"/>
        </w:rPr>
        <w:lastRenderedPageBreak/>
        <w:tab/>
      </w:r>
      <w:bookmarkStart w:id="422" w:name="_Toc148710660"/>
      <w:bookmarkStart w:id="423" w:name="_Toc151022212"/>
      <w:r w:rsidRPr="00576AF8">
        <w:rPr>
          <w:b/>
          <w:szCs w:val="24"/>
          <w:u w:val="single"/>
          <w:lang w:val="es-EC"/>
        </w:rPr>
        <w:t>Especialista en Ciberseguridad</w:t>
      </w:r>
      <w:bookmarkEnd w:id="422"/>
      <w:bookmarkEnd w:id="423"/>
      <w:r w:rsidRPr="00576AF8">
        <w:rPr>
          <w:b/>
          <w:szCs w:val="24"/>
          <w:u w:val="single"/>
          <w:lang w:val="es-EC"/>
        </w:rPr>
        <w:t>:</w:t>
      </w:r>
      <w:r w:rsidRPr="00576AF8">
        <w:rPr>
          <w:szCs w:val="24"/>
          <w:lang w:val="es-EC"/>
        </w:rPr>
        <w:t xml:space="preserve"> </w:t>
      </w:r>
      <w:r w:rsidRPr="00576AF8">
        <w:rPr>
          <w:color w:val="000000"/>
          <w:szCs w:val="24"/>
          <w:lang w:val="es-EC"/>
        </w:rPr>
        <w:t xml:space="preserve">El Especialista de Ciberseguridad </w:t>
      </w:r>
      <w:r w:rsidRPr="00576AF8">
        <w:rPr>
          <w:color w:val="000000"/>
          <w:szCs w:val="24"/>
        </w:rPr>
        <w:t>deberá acreditar lo siguiente:</w:t>
      </w:r>
    </w:p>
    <w:p w14:paraId="090B8D38" w14:textId="77777777" w:rsidR="00836FAD" w:rsidRPr="00576AF8" w:rsidRDefault="00836FAD" w:rsidP="008C0D90">
      <w:pPr>
        <w:numPr>
          <w:ilvl w:val="0"/>
          <w:numId w:val="110"/>
        </w:numPr>
        <w:pBdr>
          <w:top w:val="nil"/>
          <w:left w:val="nil"/>
          <w:bottom w:val="nil"/>
          <w:right w:val="nil"/>
          <w:between w:val="nil"/>
        </w:pBdr>
        <w:suppressAutoHyphens w:val="0"/>
        <w:ind w:left="1558" w:hanging="425"/>
        <w:rPr>
          <w:color w:val="000000"/>
          <w:szCs w:val="24"/>
          <w:lang w:val="es-EC"/>
        </w:rPr>
      </w:pPr>
      <w:r w:rsidRPr="00576AF8">
        <w:rPr>
          <w:color w:val="000000"/>
          <w:szCs w:val="24"/>
          <w:lang w:val="es-EC"/>
        </w:rPr>
        <w:t xml:space="preserve">Copia </w:t>
      </w:r>
      <w:r w:rsidRPr="00576AF8">
        <w:rPr>
          <w:szCs w:val="24"/>
          <w:lang w:val="es-EC"/>
        </w:rPr>
        <w:t>del</w:t>
      </w:r>
      <w:r w:rsidRPr="00576AF8">
        <w:rPr>
          <w:color w:val="000000"/>
          <w:szCs w:val="24"/>
          <w:lang w:val="es-EC"/>
        </w:rPr>
        <w:t xml:space="preserve"> título profesional </w:t>
      </w:r>
      <w:r w:rsidR="00317D34" w:rsidRPr="00576AF8">
        <w:rPr>
          <w:color w:val="000000"/>
          <w:szCs w:val="24"/>
          <w:lang w:val="es-EC"/>
        </w:rPr>
        <w:t>de acuerdo a la columna “Especialidad” de la Tabla de Personal del Licitante</w:t>
      </w:r>
      <w:r w:rsidRPr="00576AF8">
        <w:rPr>
          <w:color w:val="000000"/>
          <w:szCs w:val="24"/>
          <w:lang w:val="es-EC"/>
        </w:rPr>
        <w:t>.</w:t>
      </w:r>
    </w:p>
    <w:p w14:paraId="1B3555D8" w14:textId="77777777" w:rsidR="00836FAD" w:rsidRPr="00576AF8" w:rsidRDefault="00836FAD">
      <w:pPr>
        <w:numPr>
          <w:ilvl w:val="0"/>
          <w:numId w:val="110"/>
        </w:numPr>
        <w:pBdr>
          <w:top w:val="nil"/>
          <w:left w:val="nil"/>
          <w:bottom w:val="nil"/>
          <w:right w:val="nil"/>
          <w:between w:val="nil"/>
        </w:pBdr>
        <w:suppressAutoHyphens w:val="0"/>
        <w:ind w:left="1558" w:hanging="425"/>
        <w:rPr>
          <w:color w:val="000000"/>
          <w:szCs w:val="24"/>
          <w:lang w:val="es-EC"/>
        </w:rPr>
      </w:pPr>
      <w:r w:rsidRPr="00576AF8">
        <w:rPr>
          <w:szCs w:val="24"/>
          <w:lang w:val="es-EC"/>
        </w:rPr>
        <w:t xml:space="preserve">Mínimo de 5 años de experiencia en </w:t>
      </w:r>
      <w:r w:rsidR="005D4327" w:rsidRPr="00576AF8">
        <w:rPr>
          <w:szCs w:val="24"/>
          <w:lang w:val="es-EC"/>
        </w:rPr>
        <w:t>en la configuración y puesta en marcha de equipos y aplicaciones de ciberseguridad SIEM</w:t>
      </w:r>
      <w:r w:rsidRPr="00576AF8">
        <w:rPr>
          <w:color w:val="000000"/>
          <w:szCs w:val="24"/>
          <w:lang w:val="es-EC"/>
        </w:rPr>
        <w:t>.</w:t>
      </w:r>
    </w:p>
    <w:p w14:paraId="682AF14B" w14:textId="77777777" w:rsidR="00836FAD" w:rsidRPr="00576AF8" w:rsidRDefault="00836FAD">
      <w:pPr>
        <w:numPr>
          <w:ilvl w:val="0"/>
          <w:numId w:val="110"/>
        </w:numPr>
        <w:pBdr>
          <w:top w:val="nil"/>
          <w:left w:val="nil"/>
          <w:bottom w:val="nil"/>
          <w:right w:val="nil"/>
          <w:between w:val="nil"/>
        </w:pBdr>
        <w:suppressAutoHyphens w:val="0"/>
        <w:ind w:left="1558" w:hanging="425"/>
        <w:rPr>
          <w:color w:val="000000"/>
          <w:szCs w:val="24"/>
          <w:lang w:val="es-EC"/>
        </w:rPr>
      </w:pPr>
      <w:r w:rsidRPr="00576AF8">
        <w:rPr>
          <w:color w:val="000000"/>
          <w:szCs w:val="24"/>
          <w:lang w:val="es-EC"/>
        </w:rPr>
        <w:t xml:space="preserve">Haber participado en los últimos </w:t>
      </w:r>
      <w:r w:rsidR="005D4327" w:rsidRPr="00576AF8">
        <w:rPr>
          <w:color w:val="000000"/>
          <w:szCs w:val="24"/>
          <w:lang w:val="es-EC"/>
        </w:rPr>
        <w:t>5</w:t>
      </w:r>
      <w:r w:rsidRPr="00576AF8">
        <w:rPr>
          <w:color w:val="000000"/>
          <w:szCs w:val="24"/>
          <w:lang w:val="es-EC"/>
        </w:rPr>
        <w:t xml:space="preserve"> años, en al menos un (1) proyecto en que haya intervenido como especialista de ciberseguridad.</w:t>
      </w:r>
      <w:r w:rsidR="00F776E4" w:rsidRPr="00576AF8">
        <w:rPr>
          <w:color w:val="000000"/>
          <w:szCs w:val="24"/>
          <w:lang w:val="es-EC"/>
        </w:rPr>
        <w:t xml:space="preserve"> Se solicita presentar un máximo de 5 proyectos de los que la institución seleccionará el mas relevante.</w:t>
      </w:r>
    </w:p>
    <w:p w14:paraId="5277C26E" w14:textId="77777777" w:rsidR="00836FAD" w:rsidRPr="00576AF8" w:rsidRDefault="00836FAD" w:rsidP="00836FAD">
      <w:pPr>
        <w:pBdr>
          <w:top w:val="nil"/>
          <w:left w:val="nil"/>
          <w:bottom w:val="nil"/>
          <w:right w:val="nil"/>
          <w:between w:val="nil"/>
        </w:pBdr>
        <w:suppressAutoHyphens w:val="0"/>
        <w:ind w:left="1560"/>
        <w:rPr>
          <w:color w:val="000000"/>
          <w:szCs w:val="24"/>
          <w:lang w:val="es-EC"/>
        </w:rPr>
      </w:pPr>
      <w:r w:rsidRPr="00576AF8">
        <w:rPr>
          <w:color w:val="000000"/>
          <w:szCs w:val="24"/>
          <w:lang w:val="es-EC"/>
        </w:rPr>
        <w:t>Esta acreditación será dada mediante un certificado o constancia emitida por el cliente o por la empresa para la que haya laborado este profesional. Deberá presentarse al menos un especialista para este rol quien podrá compartir el rol de Especialista de Hardware.</w:t>
      </w:r>
    </w:p>
    <w:p w14:paraId="576ADD49" w14:textId="77777777" w:rsidR="00836FAD" w:rsidRPr="00576AF8" w:rsidRDefault="00836FAD" w:rsidP="00836FAD">
      <w:pPr>
        <w:pBdr>
          <w:top w:val="nil"/>
          <w:left w:val="nil"/>
          <w:bottom w:val="nil"/>
          <w:right w:val="nil"/>
          <w:between w:val="nil"/>
        </w:pBdr>
        <w:suppressAutoHyphens w:val="0"/>
        <w:ind w:left="1560"/>
        <w:rPr>
          <w:color w:val="000000"/>
          <w:szCs w:val="24"/>
          <w:lang w:val="es-EC"/>
        </w:rPr>
      </w:pPr>
    </w:p>
    <w:p w14:paraId="39B825DE" w14:textId="77777777" w:rsidR="00836FAD" w:rsidRPr="00576AF8" w:rsidRDefault="00836FAD" w:rsidP="00836FAD">
      <w:pPr>
        <w:ind w:left="2160" w:right="41" w:hanging="720"/>
        <w:rPr>
          <w:szCs w:val="24"/>
          <w:lang w:val="es-EC"/>
        </w:rPr>
      </w:pPr>
      <w:r w:rsidRPr="00576AF8">
        <w:rPr>
          <w:color w:val="4472C4"/>
          <w:szCs w:val="24"/>
        </w:rPr>
        <w:tab/>
      </w:r>
      <w:bookmarkStart w:id="424" w:name="_Toc148710661"/>
      <w:bookmarkStart w:id="425" w:name="_Toc151022213"/>
      <w:r w:rsidRPr="00576AF8">
        <w:rPr>
          <w:b/>
          <w:szCs w:val="24"/>
          <w:u w:val="single"/>
          <w:lang w:val="es-EC"/>
        </w:rPr>
        <w:t>Especialista de Desarrollo de Software</w:t>
      </w:r>
      <w:bookmarkEnd w:id="424"/>
      <w:bookmarkEnd w:id="425"/>
      <w:r w:rsidRPr="00576AF8">
        <w:rPr>
          <w:b/>
          <w:szCs w:val="24"/>
          <w:u w:val="single"/>
          <w:lang w:val="es-EC"/>
        </w:rPr>
        <w:t>:</w:t>
      </w:r>
      <w:r w:rsidRPr="00576AF8">
        <w:rPr>
          <w:szCs w:val="24"/>
          <w:lang w:val="es-EC"/>
        </w:rPr>
        <w:t xml:space="preserve"> El Especialista de Desarrollo de Software, </w:t>
      </w:r>
      <w:r w:rsidRPr="00576AF8">
        <w:rPr>
          <w:color w:val="000000"/>
          <w:szCs w:val="24"/>
        </w:rPr>
        <w:t>deberá acreditar lo siguiente:</w:t>
      </w:r>
    </w:p>
    <w:p w14:paraId="68918226" w14:textId="77777777" w:rsidR="00836FAD" w:rsidRPr="00576AF8" w:rsidRDefault="00836FAD" w:rsidP="008C0D90">
      <w:pPr>
        <w:numPr>
          <w:ilvl w:val="0"/>
          <w:numId w:val="110"/>
        </w:numPr>
        <w:suppressAutoHyphens w:val="0"/>
        <w:ind w:left="1841" w:hanging="425"/>
        <w:rPr>
          <w:szCs w:val="24"/>
          <w:lang w:val="es-EC"/>
        </w:rPr>
      </w:pPr>
      <w:r w:rsidRPr="00576AF8">
        <w:rPr>
          <w:szCs w:val="24"/>
          <w:lang w:val="es-EC"/>
        </w:rPr>
        <w:t xml:space="preserve">Copia del título profesional </w:t>
      </w:r>
      <w:r w:rsidR="00317D34" w:rsidRPr="00576AF8">
        <w:rPr>
          <w:szCs w:val="24"/>
          <w:lang w:val="es-EC"/>
        </w:rPr>
        <w:t>de acuerdo a la columna “Especialidad” de la Tabla de Personal del Licitante</w:t>
      </w:r>
      <w:r w:rsidRPr="00576AF8">
        <w:rPr>
          <w:szCs w:val="24"/>
          <w:lang w:val="es-EC"/>
        </w:rPr>
        <w:t>.</w:t>
      </w:r>
    </w:p>
    <w:p w14:paraId="313AD71A" w14:textId="77777777" w:rsidR="00836FAD" w:rsidRPr="00576AF8" w:rsidRDefault="00836FAD">
      <w:pPr>
        <w:numPr>
          <w:ilvl w:val="0"/>
          <w:numId w:val="110"/>
        </w:numPr>
        <w:suppressAutoHyphens w:val="0"/>
        <w:ind w:left="1841" w:hanging="425"/>
        <w:rPr>
          <w:szCs w:val="24"/>
          <w:lang w:val="es-EC"/>
        </w:rPr>
      </w:pPr>
      <w:r w:rsidRPr="00576AF8">
        <w:rPr>
          <w:szCs w:val="24"/>
          <w:lang w:val="es-EC"/>
        </w:rPr>
        <w:t xml:space="preserve">Mínimo de </w:t>
      </w:r>
      <w:r w:rsidR="005643DE" w:rsidRPr="00576AF8">
        <w:rPr>
          <w:szCs w:val="24"/>
          <w:lang w:val="es-EC"/>
        </w:rPr>
        <w:t>5</w:t>
      </w:r>
      <w:r w:rsidRPr="00576AF8">
        <w:rPr>
          <w:szCs w:val="24"/>
          <w:lang w:val="es-EC"/>
        </w:rPr>
        <w:t xml:space="preserve"> años de experiencia en el desarrollo de programas informáticos</w:t>
      </w:r>
      <w:r w:rsidR="005643DE" w:rsidRPr="00576AF8">
        <w:rPr>
          <w:szCs w:val="24"/>
          <w:lang w:val="es-EC"/>
        </w:rPr>
        <w:t xml:space="preserve"> e interfaces entre sistemas OT/IT</w:t>
      </w:r>
      <w:r w:rsidRPr="00576AF8">
        <w:rPr>
          <w:szCs w:val="24"/>
          <w:lang w:val="es-EC"/>
        </w:rPr>
        <w:t xml:space="preserve"> aplicados a sistemas en tiempo real.</w:t>
      </w:r>
    </w:p>
    <w:p w14:paraId="395ADE7B" w14:textId="77777777" w:rsidR="00836FAD" w:rsidRPr="00576AF8" w:rsidRDefault="00836FAD">
      <w:pPr>
        <w:numPr>
          <w:ilvl w:val="0"/>
          <w:numId w:val="110"/>
        </w:numPr>
        <w:suppressAutoHyphens w:val="0"/>
        <w:ind w:left="1841" w:hanging="425"/>
        <w:rPr>
          <w:szCs w:val="24"/>
        </w:rPr>
      </w:pPr>
      <w:r w:rsidRPr="00576AF8">
        <w:rPr>
          <w:szCs w:val="24"/>
          <w:lang w:val="es-EC"/>
        </w:rPr>
        <w:t xml:space="preserve">Haber participado en los últimos </w:t>
      </w:r>
      <w:r w:rsidR="004F57F4" w:rsidRPr="00576AF8">
        <w:rPr>
          <w:szCs w:val="24"/>
          <w:lang w:val="es-EC"/>
        </w:rPr>
        <w:t>5</w:t>
      </w:r>
      <w:r w:rsidRPr="00576AF8">
        <w:rPr>
          <w:szCs w:val="24"/>
          <w:lang w:val="es-EC"/>
        </w:rPr>
        <w:t xml:space="preserve"> años, en al menos un (1) proyecto </w:t>
      </w:r>
      <w:r w:rsidR="001D0525" w:rsidRPr="00576AF8">
        <w:rPr>
          <w:szCs w:val="24"/>
          <w:lang w:val="es-EC"/>
        </w:rPr>
        <w:t xml:space="preserve">completado </w:t>
      </w:r>
      <w:r w:rsidRPr="00576AF8">
        <w:rPr>
          <w:szCs w:val="24"/>
          <w:lang w:val="es-EC"/>
        </w:rPr>
        <w:t>en que haya intervenido como desarrollador de software</w:t>
      </w:r>
      <w:r w:rsidR="004F57F4" w:rsidRPr="00576AF8">
        <w:rPr>
          <w:szCs w:val="24"/>
          <w:lang w:val="es-EC"/>
        </w:rPr>
        <w:t xml:space="preserve"> en sistemas SCADA/EMS</w:t>
      </w:r>
      <w:r w:rsidRPr="00576AF8">
        <w:rPr>
          <w:szCs w:val="24"/>
          <w:lang w:val="es-EC"/>
        </w:rPr>
        <w:t>.</w:t>
      </w:r>
      <w:r w:rsidR="00F776E4" w:rsidRPr="00576AF8">
        <w:rPr>
          <w:szCs w:val="24"/>
          <w:lang w:val="es-EC"/>
        </w:rPr>
        <w:t xml:space="preserve"> Se solicita presentar un máximo de 5 proyectos de los que la institución seleccionará el mas relevante.</w:t>
      </w:r>
    </w:p>
    <w:p w14:paraId="6E15ECF2" w14:textId="77777777" w:rsidR="00836FAD" w:rsidRPr="00576AF8" w:rsidRDefault="00836FAD" w:rsidP="00836FAD">
      <w:pPr>
        <w:suppressAutoHyphens w:val="0"/>
        <w:ind w:left="1841"/>
        <w:rPr>
          <w:szCs w:val="24"/>
        </w:rPr>
      </w:pPr>
      <w:r w:rsidRPr="00576AF8">
        <w:rPr>
          <w:szCs w:val="24"/>
        </w:rPr>
        <w:t>Esta acreditación será dada mediante un certificado o constancia emitida por el cliente o por la empresa para la que haya laborado este profesional.</w:t>
      </w:r>
    </w:p>
    <w:p w14:paraId="5A2FFF11" w14:textId="77777777" w:rsidR="0043323C" w:rsidRPr="00576AF8" w:rsidRDefault="0043323C" w:rsidP="00836FAD">
      <w:pPr>
        <w:suppressAutoHyphens w:val="0"/>
        <w:ind w:left="1841"/>
        <w:rPr>
          <w:szCs w:val="24"/>
        </w:rPr>
      </w:pPr>
    </w:p>
    <w:p w14:paraId="7E591274" w14:textId="77777777" w:rsidR="00836FAD" w:rsidRPr="00576AF8" w:rsidRDefault="00836FAD" w:rsidP="00836FAD">
      <w:pPr>
        <w:ind w:left="2160" w:right="41" w:hanging="720"/>
        <w:rPr>
          <w:color w:val="4472C4"/>
          <w:spacing w:val="-4"/>
          <w:szCs w:val="24"/>
        </w:rPr>
      </w:pPr>
      <w:r w:rsidRPr="00576AF8">
        <w:rPr>
          <w:spacing w:val="-4"/>
          <w:szCs w:val="24"/>
        </w:rPr>
        <w:tab/>
      </w:r>
      <w:bookmarkStart w:id="426" w:name="_Toc148710662"/>
      <w:bookmarkStart w:id="427" w:name="_Toc151022214"/>
      <w:r w:rsidRPr="00576AF8">
        <w:rPr>
          <w:b/>
          <w:szCs w:val="24"/>
          <w:u w:val="single"/>
          <w:lang w:val="es-EC"/>
        </w:rPr>
        <w:t>Especialista en Integración del Sistema</w:t>
      </w:r>
      <w:bookmarkEnd w:id="426"/>
      <w:bookmarkEnd w:id="427"/>
      <w:r w:rsidRPr="00576AF8">
        <w:rPr>
          <w:b/>
          <w:szCs w:val="24"/>
          <w:u w:val="single"/>
          <w:lang w:val="es-EC"/>
        </w:rPr>
        <w:t>:</w:t>
      </w:r>
      <w:r w:rsidRPr="00576AF8">
        <w:rPr>
          <w:szCs w:val="24"/>
          <w:lang w:val="es-EC"/>
        </w:rPr>
        <w:t xml:space="preserve"> El Especialista de Integración del Sistema </w:t>
      </w:r>
      <w:r w:rsidRPr="00576AF8">
        <w:rPr>
          <w:color w:val="000000"/>
          <w:szCs w:val="24"/>
        </w:rPr>
        <w:t>deberá acreditar lo siguiente:</w:t>
      </w:r>
    </w:p>
    <w:p w14:paraId="3A25DFD5" w14:textId="77777777" w:rsidR="00836FAD" w:rsidRPr="00576AF8" w:rsidRDefault="00836FAD" w:rsidP="008C0D90">
      <w:pPr>
        <w:numPr>
          <w:ilvl w:val="0"/>
          <w:numId w:val="110"/>
        </w:numPr>
        <w:suppressAutoHyphens w:val="0"/>
        <w:ind w:left="1841" w:hanging="425"/>
        <w:rPr>
          <w:szCs w:val="24"/>
          <w:lang w:val="es-EC"/>
        </w:rPr>
      </w:pPr>
      <w:r w:rsidRPr="00576AF8">
        <w:rPr>
          <w:szCs w:val="24"/>
          <w:lang w:val="es-EC"/>
        </w:rPr>
        <w:t xml:space="preserve">Copia del título profesional </w:t>
      </w:r>
      <w:r w:rsidR="00317D34" w:rsidRPr="00576AF8">
        <w:rPr>
          <w:szCs w:val="24"/>
          <w:lang w:val="es-EC"/>
        </w:rPr>
        <w:t>de acuerdo a la columna “Especialidad” de la Tabla de Personal del Licitante</w:t>
      </w:r>
      <w:r w:rsidRPr="00576AF8">
        <w:rPr>
          <w:szCs w:val="24"/>
          <w:lang w:val="es-EC"/>
        </w:rPr>
        <w:t>.</w:t>
      </w:r>
    </w:p>
    <w:p w14:paraId="5A08B33D" w14:textId="77777777" w:rsidR="00836FAD" w:rsidRPr="00576AF8" w:rsidRDefault="00836FAD">
      <w:pPr>
        <w:numPr>
          <w:ilvl w:val="0"/>
          <w:numId w:val="110"/>
        </w:numPr>
        <w:suppressAutoHyphens w:val="0"/>
        <w:ind w:left="1841" w:hanging="425"/>
        <w:rPr>
          <w:szCs w:val="24"/>
          <w:lang w:val="es-EC"/>
        </w:rPr>
      </w:pPr>
      <w:r w:rsidRPr="00576AF8">
        <w:rPr>
          <w:szCs w:val="24"/>
          <w:lang w:val="es-EC"/>
        </w:rPr>
        <w:t xml:space="preserve">Mínimo de 5 años de experiencia en </w:t>
      </w:r>
      <w:r w:rsidR="005D4327" w:rsidRPr="00576AF8">
        <w:rPr>
          <w:szCs w:val="24"/>
          <w:lang w:val="es-EC"/>
        </w:rPr>
        <w:t>la configuración, integración y puesta en marcha de equipos y las aplicaciones de EMS/SCADA</w:t>
      </w:r>
      <w:r w:rsidRPr="00576AF8">
        <w:rPr>
          <w:szCs w:val="24"/>
          <w:lang w:val="es-EC"/>
        </w:rPr>
        <w:t>.</w:t>
      </w:r>
    </w:p>
    <w:p w14:paraId="1AD1023B" w14:textId="77777777" w:rsidR="00836FAD" w:rsidRPr="00576AF8" w:rsidRDefault="00836FAD">
      <w:pPr>
        <w:numPr>
          <w:ilvl w:val="0"/>
          <w:numId w:val="110"/>
        </w:numPr>
        <w:suppressAutoHyphens w:val="0"/>
        <w:ind w:left="1841" w:hanging="425"/>
        <w:rPr>
          <w:szCs w:val="24"/>
          <w:lang w:val="es-EC"/>
        </w:rPr>
      </w:pPr>
      <w:r w:rsidRPr="00576AF8">
        <w:rPr>
          <w:szCs w:val="24"/>
          <w:lang w:val="es-EC"/>
        </w:rPr>
        <w:t xml:space="preserve">Haber participado en los últimos </w:t>
      </w:r>
      <w:r w:rsidR="005D4327" w:rsidRPr="00576AF8">
        <w:rPr>
          <w:szCs w:val="24"/>
          <w:lang w:val="es-EC"/>
        </w:rPr>
        <w:t>5</w:t>
      </w:r>
      <w:r w:rsidRPr="00576AF8">
        <w:rPr>
          <w:szCs w:val="24"/>
          <w:lang w:val="es-EC"/>
        </w:rPr>
        <w:t xml:space="preserve"> años, en al menos un (1) proyecto </w:t>
      </w:r>
      <w:r w:rsidR="005D4327" w:rsidRPr="00576AF8">
        <w:rPr>
          <w:szCs w:val="24"/>
          <w:lang w:val="es-EC"/>
        </w:rPr>
        <w:t xml:space="preserve">completado </w:t>
      </w:r>
      <w:r w:rsidRPr="00576AF8">
        <w:rPr>
          <w:szCs w:val="24"/>
          <w:lang w:val="es-EC"/>
        </w:rPr>
        <w:t xml:space="preserve">en que haya intervenido como integrador del sistema. </w:t>
      </w:r>
      <w:r w:rsidR="00F776E4" w:rsidRPr="00576AF8">
        <w:rPr>
          <w:szCs w:val="24"/>
          <w:lang w:val="es-EC"/>
        </w:rPr>
        <w:t>Se solicita presentar un máximo de 5 proyectos de los que la institución seleccionará el mas relevante.</w:t>
      </w:r>
    </w:p>
    <w:p w14:paraId="5F4F4775" w14:textId="77777777" w:rsidR="00836FAD" w:rsidRPr="00576AF8" w:rsidRDefault="00836FAD" w:rsidP="0043323C">
      <w:pPr>
        <w:ind w:left="1843" w:right="41"/>
        <w:rPr>
          <w:szCs w:val="24"/>
          <w:lang w:val="es-EC"/>
        </w:rPr>
      </w:pPr>
      <w:r w:rsidRPr="00576AF8">
        <w:rPr>
          <w:szCs w:val="24"/>
          <w:lang w:val="es-EC"/>
        </w:rPr>
        <w:t xml:space="preserve">Esta acreditación será dada mediante un certificado o constancia emitida por el cliente o por la empresa para la que haya laborado este profesional. Deberá </w:t>
      </w:r>
      <w:r w:rsidRPr="00576AF8">
        <w:rPr>
          <w:szCs w:val="24"/>
          <w:lang w:val="es-EC"/>
        </w:rPr>
        <w:lastRenderedPageBreak/>
        <w:t>presentarse al menos un especialista dedicado para este rol quien no podrá ejecutar otros roles.</w:t>
      </w:r>
    </w:p>
    <w:p w14:paraId="7F752BEA" w14:textId="77777777" w:rsidR="0043323C" w:rsidRPr="00576AF8" w:rsidRDefault="0043323C" w:rsidP="0043323C">
      <w:pPr>
        <w:ind w:left="1843" w:right="41"/>
        <w:rPr>
          <w:color w:val="4472C4"/>
          <w:spacing w:val="-4"/>
          <w:szCs w:val="24"/>
        </w:rPr>
      </w:pPr>
    </w:p>
    <w:p w14:paraId="4D22BD19" w14:textId="77777777" w:rsidR="00836FAD" w:rsidRPr="00576AF8" w:rsidRDefault="00836FAD" w:rsidP="00836FAD">
      <w:pPr>
        <w:ind w:left="2160" w:right="41" w:hanging="720"/>
        <w:rPr>
          <w:szCs w:val="24"/>
          <w:lang w:val="es-EC"/>
        </w:rPr>
      </w:pPr>
      <w:r w:rsidRPr="00576AF8">
        <w:rPr>
          <w:spacing w:val="-4"/>
          <w:szCs w:val="24"/>
        </w:rPr>
        <w:tab/>
      </w:r>
      <w:bookmarkStart w:id="428" w:name="_Toc148710663"/>
      <w:bookmarkStart w:id="429" w:name="_Toc151022215"/>
      <w:r w:rsidRPr="00576AF8">
        <w:rPr>
          <w:b/>
          <w:szCs w:val="24"/>
          <w:u w:val="single"/>
          <w:lang w:val="es-EC"/>
        </w:rPr>
        <w:t>Especialista de Hardware</w:t>
      </w:r>
      <w:bookmarkEnd w:id="428"/>
      <w:bookmarkEnd w:id="429"/>
      <w:r w:rsidRPr="00576AF8">
        <w:rPr>
          <w:b/>
          <w:szCs w:val="24"/>
          <w:u w:val="single"/>
          <w:lang w:val="es-EC"/>
        </w:rPr>
        <w:t>:</w:t>
      </w:r>
      <w:r w:rsidRPr="00576AF8">
        <w:rPr>
          <w:szCs w:val="24"/>
          <w:lang w:val="es-EC"/>
        </w:rPr>
        <w:t xml:space="preserve"> El Especialista de Integración de Hardware </w:t>
      </w:r>
      <w:r w:rsidRPr="00576AF8">
        <w:rPr>
          <w:color w:val="000000"/>
          <w:szCs w:val="24"/>
        </w:rPr>
        <w:t>deberá acreditar lo siguiente:</w:t>
      </w:r>
    </w:p>
    <w:p w14:paraId="48BD431F" w14:textId="77777777" w:rsidR="00836FAD" w:rsidRPr="00576AF8" w:rsidRDefault="00836FAD" w:rsidP="008C0D90">
      <w:pPr>
        <w:numPr>
          <w:ilvl w:val="0"/>
          <w:numId w:val="110"/>
        </w:numPr>
        <w:suppressAutoHyphens w:val="0"/>
        <w:ind w:left="1841" w:hanging="425"/>
        <w:rPr>
          <w:szCs w:val="24"/>
          <w:lang w:val="es-EC"/>
        </w:rPr>
      </w:pPr>
      <w:r w:rsidRPr="00576AF8">
        <w:rPr>
          <w:szCs w:val="24"/>
          <w:lang w:val="es-EC"/>
        </w:rPr>
        <w:t xml:space="preserve">Copia del título profesional </w:t>
      </w:r>
      <w:r w:rsidR="00317D34" w:rsidRPr="00576AF8">
        <w:rPr>
          <w:szCs w:val="24"/>
          <w:lang w:val="es-EC"/>
        </w:rPr>
        <w:t>de acuerdo a la columna “Especialidad” de la Tabla de Personal del Licitante</w:t>
      </w:r>
      <w:r w:rsidRPr="00576AF8">
        <w:rPr>
          <w:szCs w:val="24"/>
          <w:lang w:val="es-EC"/>
        </w:rPr>
        <w:t>.</w:t>
      </w:r>
    </w:p>
    <w:p w14:paraId="1FC4CA57" w14:textId="77777777" w:rsidR="00836FAD" w:rsidRPr="00576AF8" w:rsidRDefault="00836FAD">
      <w:pPr>
        <w:numPr>
          <w:ilvl w:val="0"/>
          <w:numId w:val="110"/>
        </w:numPr>
        <w:suppressAutoHyphens w:val="0"/>
        <w:ind w:left="1841" w:hanging="425"/>
        <w:rPr>
          <w:szCs w:val="24"/>
          <w:lang w:val="es-EC"/>
        </w:rPr>
      </w:pPr>
      <w:r w:rsidRPr="00576AF8">
        <w:rPr>
          <w:szCs w:val="24"/>
          <w:lang w:val="es-EC"/>
        </w:rPr>
        <w:t xml:space="preserve">Mínimo de 5 años de experiencia </w:t>
      </w:r>
      <w:r w:rsidR="005D4327" w:rsidRPr="00576AF8">
        <w:rPr>
          <w:szCs w:val="24"/>
          <w:lang w:val="es-EC"/>
        </w:rPr>
        <w:t>en el montaje, conexionado, configuración y puesta en marcha de servidores, sistemas de almacenamiento, plataformas de virtualización y equipos de redes (switches y firewalls)</w:t>
      </w:r>
      <w:r w:rsidRPr="00576AF8">
        <w:rPr>
          <w:szCs w:val="24"/>
          <w:lang w:val="es-EC"/>
        </w:rPr>
        <w:t>.</w:t>
      </w:r>
    </w:p>
    <w:p w14:paraId="5B93296C" w14:textId="77777777" w:rsidR="00836FAD" w:rsidRPr="00576AF8" w:rsidRDefault="00836FAD">
      <w:pPr>
        <w:numPr>
          <w:ilvl w:val="0"/>
          <w:numId w:val="110"/>
        </w:numPr>
        <w:suppressAutoHyphens w:val="0"/>
        <w:ind w:left="1841" w:hanging="425"/>
        <w:rPr>
          <w:szCs w:val="24"/>
          <w:lang w:val="es-EC"/>
        </w:rPr>
      </w:pPr>
      <w:r w:rsidRPr="00576AF8">
        <w:rPr>
          <w:szCs w:val="24"/>
          <w:lang w:val="es-EC"/>
        </w:rPr>
        <w:t xml:space="preserve">Haber participado en los últimos </w:t>
      </w:r>
      <w:r w:rsidR="005D4327" w:rsidRPr="00576AF8">
        <w:rPr>
          <w:szCs w:val="24"/>
          <w:lang w:val="es-EC"/>
        </w:rPr>
        <w:t>5</w:t>
      </w:r>
      <w:r w:rsidRPr="00576AF8">
        <w:rPr>
          <w:szCs w:val="24"/>
          <w:lang w:val="es-EC"/>
        </w:rPr>
        <w:t xml:space="preserve"> años, en al menos un (1) proyecto exitoso en que haya intervenido como integrador de hardware. </w:t>
      </w:r>
      <w:r w:rsidR="00F776E4" w:rsidRPr="00576AF8">
        <w:rPr>
          <w:szCs w:val="24"/>
          <w:lang w:val="es-EC"/>
        </w:rPr>
        <w:t>Se solicita presentar un máximo de 5 proyectos de los que la institución seleccionará el más relevante.</w:t>
      </w:r>
    </w:p>
    <w:p w14:paraId="37A8E874" w14:textId="77777777" w:rsidR="00836FAD" w:rsidRPr="00576AF8" w:rsidRDefault="00836FAD" w:rsidP="0043323C">
      <w:pPr>
        <w:pBdr>
          <w:top w:val="nil"/>
          <w:left w:val="nil"/>
          <w:bottom w:val="nil"/>
          <w:right w:val="nil"/>
          <w:between w:val="nil"/>
        </w:pBdr>
        <w:suppressAutoHyphens w:val="0"/>
        <w:ind w:left="1843"/>
        <w:rPr>
          <w:szCs w:val="24"/>
          <w:lang w:val="es-EC"/>
        </w:rPr>
      </w:pPr>
      <w:r w:rsidRPr="00576AF8">
        <w:rPr>
          <w:szCs w:val="24"/>
          <w:lang w:val="es-EC"/>
        </w:rPr>
        <w:t xml:space="preserve">Esta acreditación será dada mediante un certificado o constancia emitida por el cliente o por la empresa para la que haya laborado este profesional. Deberá presentarse al menos un especialista para este rol quien podrá compartir </w:t>
      </w:r>
      <w:r w:rsidRPr="00576AF8">
        <w:rPr>
          <w:color w:val="000000"/>
          <w:szCs w:val="24"/>
          <w:lang w:val="es-EC"/>
        </w:rPr>
        <w:t xml:space="preserve">el rol de </w:t>
      </w:r>
      <w:r w:rsidRPr="00576AF8">
        <w:rPr>
          <w:szCs w:val="24"/>
          <w:lang w:val="es-EC"/>
        </w:rPr>
        <w:t>Especialista de Ciberseguridad</w:t>
      </w:r>
    </w:p>
    <w:p w14:paraId="65EA8A46" w14:textId="77777777" w:rsidR="0043323C" w:rsidRPr="00576AF8" w:rsidRDefault="0043323C" w:rsidP="0043323C">
      <w:pPr>
        <w:pBdr>
          <w:top w:val="nil"/>
          <w:left w:val="nil"/>
          <w:bottom w:val="nil"/>
          <w:right w:val="nil"/>
          <w:between w:val="nil"/>
        </w:pBdr>
        <w:suppressAutoHyphens w:val="0"/>
        <w:ind w:left="1843"/>
        <w:rPr>
          <w:szCs w:val="24"/>
          <w:lang w:val="es-EC"/>
        </w:rPr>
      </w:pPr>
    </w:p>
    <w:p w14:paraId="71C77AFD" w14:textId="77777777" w:rsidR="00927CE8" w:rsidRPr="00576AF8" w:rsidRDefault="00927CE8" w:rsidP="00927CE8">
      <w:pPr>
        <w:spacing w:after="200"/>
        <w:ind w:left="720" w:right="-72" w:hanging="720"/>
        <w:rPr>
          <w:iCs/>
        </w:rPr>
      </w:pPr>
      <w:r w:rsidRPr="00576AF8">
        <w:rPr>
          <w:b/>
          <w:iCs/>
        </w:rPr>
        <w:t>NOTAS:</w:t>
      </w:r>
      <w:r w:rsidRPr="00576AF8">
        <w:rPr>
          <w:iCs/>
        </w:rPr>
        <w:t xml:space="preserve"> </w:t>
      </w:r>
    </w:p>
    <w:p w14:paraId="0CC63AC4" w14:textId="77777777" w:rsidR="00927CE8" w:rsidRDefault="00927CE8" w:rsidP="00927CE8">
      <w:pPr>
        <w:spacing w:after="200"/>
        <w:ind w:left="720" w:right="-72"/>
        <w:rPr>
          <w:iCs/>
        </w:rPr>
      </w:pPr>
      <w:r w:rsidRPr="00576AF8">
        <w:rPr>
          <w:iCs/>
        </w:rPr>
        <w:t xml:space="preserve">Adicional al personal técnico mínimo solicitado, el proveedor deberá contar con todo el personal necesario para cumplir con el contrato con la calidad y tiempo requerido por la Contratante. </w:t>
      </w:r>
    </w:p>
    <w:p w14:paraId="3DD346C0" w14:textId="243D4A41" w:rsidR="00602598" w:rsidRPr="00576AF8" w:rsidRDefault="004A798A" w:rsidP="00927CE8">
      <w:pPr>
        <w:spacing w:after="200"/>
        <w:ind w:left="720" w:right="-72"/>
        <w:rPr>
          <w:iCs/>
        </w:rPr>
      </w:pPr>
      <w:r>
        <w:rPr>
          <w:iCs/>
        </w:rPr>
        <w:t xml:space="preserve">Previo a la firma del contrato, el adjudicatario deberá </w:t>
      </w:r>
      <w:r w:rsidR="00E7421E">
        <w:rPr>
          <w:iCs/>
        </w:rPr>
        <w:t>presentar</w:t>
      </w:r>
      <w:r>
        <w:rPr>
          <w:iCs/>
        </w:rPr>
        <w:t xml:space="preserve"> las confirmaciones de la disponibilidad del personal, suscritas por cada profesional.</w:t>
      </w:r>
    </w:p>
    <w:p w14:paraId="2BC9389D" w14:textId="77777777" w:rsidR="001040E4" w:rsidRPr="00576AF8" w:rsidRDefault="00F117C1" w:rsidP="001040E4">
      <w:pPr>
        <w:spacing w:after="200"/>
        <w:ind w:left="720" w:right="-72" w:hanging="720"/>
      </w:pPr>
      <w:r w:rsidRPr="00576AF8">
        <w:rPr>
          <w:b/>
        </w:rPr>
        <w:t>6.</w:t>
      </w:r>
      <w:r w:rsidR="001040E4" w:rsidRPr="00576AF8">
        <w:rPr>
          <w:b/>
        </w:rPr>
        <w:t>6</w:t>
      </w:r>
      <w:r w:rsidR="001040E4" w:rsidRPr="00576AF8">
        <w:t xml:space="preserve"> </w:t>
      </w:r>
      <w:r w:rsidR="001040E4" w:rsidRPr="00576AF8">
        <w:tab/>
      </w:r>
      <w:r w:rsidR="001040E4" w:rsidRPr="00576AF8">
        <w:rPr>
          <w:b/>
        </w:rPr>
        <w:t xml:space="preserve">Subcontratistas, </w:t>
      </w:r>
      <w:r w:rsidR="00402CB2" w:rsidRPr="00576AF8">
        <w:rPr>
          <w:b/>
        </w:rPr>
        <w:t>v</w:t>
      </w:r>
      <w:r w:rsidR="001040E4" w:rsidRPr="00576AF8">
        <w:rPr>
          <w:b/>
        </w:rPr>
        <w:t xml:space="preserve">endedores y </w:t>
      </w:r>
      <w:r w:rsidR="00402CB2" w:rsidRPr="00576AF8">
        <w:rPr>
          <w:b/>
        </w:rPr>
        <w:t>f</w:t>
      </w:r>
      <w:r w:rsidR="001040E4" w:rsidRPr="00576AF8">
        <w:rPr>
          <w:b/>
        </w:rPr>
        <w:t>abricantes</w:t>
      </w:r>
      <w:r w:rsidR="00F776E4" w:rsidRPr="00576AF8">
        <w:rPr>
          <w:b/>
        </w:rPr>
        <w:t xml:space="preserve"> (No Aplica)</w:t>
      </w:r>
    </w:p>
    <w:p w14:paraId="618D967B" w14:textId="77777777" w:rsidR="001040E4" w:rsidRPr="00576AF8" w:rsidRDefault="001040E4" w:rsidP="001040E4">
      <w:pPr>
        <w:ind w:left="720" w:right="-72"/>
        <w:rPr>
          <w:spacing w:val="-4"/>
        </w:rPr>
      </w:pPr>
      <w:r w:rsidRPr="00576AF8">
        <w:rPr>
          <w:spacing w:val="-4"/>
        </w:rPr>
        <w:t xml:space="preserve">Los </w:t>
      </w:r>
      <w:r w:rsidR="00402CB2" w:rsidRPr="00576AF8">
        <w:rPr>
          <w:spacing w:val="-4"/>
        </w:rPr>
        <w:t>s</w:t>
      </w:r>
      <w:r w:rsidRPr="00576AF8">
        <w:rPr>
          <w:spacing w:val="-4"/>
        </w:rPr>
        <w:t xml:space="preserve">ubcontratistas, vendedores o fabricantes de los siguientes artículos importantes de suministro o servicios deberán cumplir los criterios mínimos que se </w:t>
      </w:r>
      <w:r w:rsidR="00402CB2" w:rsidRPr="00576AF8">
        <w:rPr>
          <w:spacing w:val="-4"/>
        </w:rPr>
        <w:t xml:space="preserve">establecen </w:t>
      </w:r>
      <w:r w:rsidRPr="00576AF8">
        <w:rPr>
          <w:spacing w:val="-4"/>
        </w:rPr>
        <w:t>a continuación:</w:t>
      </w:r>
    </w:p>
    <w:p w14:paraId="0FD2D669" w14:textId="77777777" w:rsidR="001040E4" w:rsidRPr="00576AF8" w:rsidRDefault="001040E4" w:rsidP="001040E4">
      <w:pPr>
        <w:ind w:right="-72"/>
      </w:pPr>
    </w:p>
    <w:tbl>
      <w:tblPr>
        <w:tblW w:w="0" w:type="auto"/>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0"/>
        <w:gridCol w:w="3664"/>
        <w:gridCol w:w="3678"/>
      </w:tblGrid>
      <w:tr w:rsidR="001040E4" w:rsidRPr="00576AF8" w14:paraId="7A3AA652" w14:textId="77777777" w:rsidTr="001040E4">
        <w:tc>
          <w:tcPr>
            <w:tcW w:w="540" w:type="dxa"/>
            <w:tcBorders>
              <w:top w:val="single" w:sz="12" w:space="0" w:color="auto"/>
              <w:left w:val="single" w:sz="12" w:space="0" w:color="auto"/>
              <w:bottom w:val="single" w:sz="12" w:space="0" w:color="auto"/>
              <w:right w:val="single" w:sz="12" w:space="0" w:color="auto"/>
            </w:tcBorders>
            <w:vAlign w:val="center"/>
          </w:tcPr>
          <w:p w14:paraId="267838F0" w14:textId="77777777" w:rsidR="001040E4" w:rsidRPr="00576AF8" w:rsidRDefault="001040E4" w:rsidP="001040E4">
            <w:pPr>
              <w:ind w:right="-72"/>
              <w:jc w:val="center"/>
              <w:rPr>
                <w:b/>
              </w:rPr>
            </w:pPr>
            <w:r w:rsidRPr="00576AF8">
              <w:rPr>
                <w:b/>
              </w:rPr>
              <w:t>Artículo n.°</w:t>
            </w:r>
          </w:p>
        </w:tc>
        <w:tc>
          <w:tcPr>
            <w:tcW w:w="3877" w:type="dxa"/>
            <w:tcBorders>
              <w:top w:val="single" w:sz="12" w:space="0" w:color="auto"/>
              <w:left w:val="single" w:sz="12" w:space="0" w:color="auto"/>
              <w:bottom w:val="single" w:sz="12" w:space="0" w:color="auto"/>
              <w:right w:val="single" w:sz="12" w:space="0" w:color="auto"/>
            </w:tcBorders>
            <w:vAlign w:val="center"/>
          </w:tcPr>
          <w:p w14:paraId="6D2D0AE7" w14:textId="77777777" w:rsidR="001040E4" w:rsidRPr="00576AF8" w:rsidRDefault="001040E4" w:rsidP="00D828C8">
            <w:pPr>
              <w:ind w:left="1146" w:right="-72" w:hanging="720"/>
              <w:rPr>
                <w:b/>
              </w:rPr>
            </w:pPr>
            <w:r w:rsidRPr="00576AF8">
              <w:rPr>
                <w:b/>
              </w:rPr>
              <w:t>Descripción del artículo</w:t>
            </w:r>
          </w:p>
        </w:tc>
        <w:tc>
          <w:tcPr>
            <w:tcW w:w="3881" w:type="dxa"/>
            <w:tcBorders>
              <w:top w:val="single" w:sz="12" w:space="0" w:color="auto"/>
              <w:left w:val="single" w:sz="12" w:space="0" w:color="auto"/>
              <w:bottom w:val="single" w:sz="12" w:space="0" w:color="auto"/>
              <w:right w:val="single" w:sz="12" w:space="0" w:color="auto"/>
            </w:tcBorders>
            <w:vAlign w:val="center"/>
          </w:tcPr>
          <w:p w14:paraId="74083733" w14:textId="77777777" w:rsidR="001040E4" w:rsidRPr="00576AF8" w:rsidRDefault="001040E4" w:rsidP="00D828C8">
            <w:pPr>
              <w:ind w:left="1146" w:right="-72" w:hanging="720"/>
              <w:rPr>
                <w:b/>
              </w:rPr>
            </w:pPr>
            <w:r w:rsidRPr="00576AF8">
              <w:rPr>
                <w:b/>
              </w:rPr>
              <w:t>Criterios mínimos exigidos</w:t>
            </w:r>
          </w:p>
        </w:tc>
      </w:tr>
      <w:tr w:rsidR="001040E4" w:rsidRPr="00576AF8" w14:paraId="1631B5EF" w14:textId="77777777" w:rsidTr="001040E4">
        <w:tc>
          <w:tcPr>
            <w:tcW w:w="540" w:type="dxa"/>
            <w:tcBorders>
              <w:top w:val="single" w:sz="12" w:space="0" w:color="auto"/>
            </w:tcBorders>
          </w:tcPr>
          <w:p w14:paraId="370B8F4D" w14:textId="77777777" w:rsidR="001040E4" w:rsidRPr="00576AF8" w:rsidRDefault="001040E4" w:rsidP="001040E4">
            <w:pPr>
              <w:ind w:right="-72"/>
              <w:jc w:val="center"/>
            </w:pPr>
            <w:r w:rsidRPr="00576AF8">
              <w:t>1</w:t>
            </w:r>
          </w:p>
        </w:tc>
        <w:tc>
          <w:tcPr>
            <w:tcW w:w="3877" w:type="dxa"/>
            <w:tcBorders>
              <w:top w:val="single" w:sz="12" w:space="0" w:color="auto"/>
            </w:tcBorders>
          </w:tcPr>
          <w:p w14:paraId="51854C05" w14:textId="77777777" w:rsidR="001040E4" w:rsidRPr="00576AF8" w:rsidRDefault="001040E4" w:rsidP="001040E4">
            <w:pPr>
              <w:ind w:left="1440" w:right="-72" w:hanging="720"/>
            </w:pPr>
          </w:p>
        </w:tc>
        <w:tc>
          <w:tcPr>
            <w:tcW w:w="3881" w:type="dxa"/>
            <w:tcBorders>
              <w:top w:val="single" w:sz="12" w:space="0" w:color="auto"/>
            </w:tcBorders>
          </w:tcPr>
          <w:p w14:paraId="01C24DDD" w14:textId="77777777" w:rsidR="001040E4" w:rsidRPr="00576AF8" w:rsidRDefault="001040E4" w:rsidP="001040E4">
            <w:pPr>
              <w:ind w:left="1440" w:right="-72" w:hanging="720"/>
            </w:pPr>
          </w:p>
        </w:tc>
      </w:tr>
      <w:tr w:rsidR="001040E4" w:rsidRPr="00576AF8" w14:paraId="553668C0" w14:textId="77777777" w:rsidTr="001040E4">
        <w:tc>
          <w:tcPr>
            <w:tcW w:w="540" w:type="dxa"/>
          </w:tcPr>
          <w:p w14:paraId="0C1D5078" w14:textId="77777777" w:rsidR="001040E4" w:rsidRPr="00576AF8" w:rsidRDefault="001040E4" w:rsidP="001040E4">
            <w:pPr>
              <w:ind w:right="-72"/>
              <w:jc w:val="center"/>
            </w:pPr>
            <w:r w:rsidRPr="00576AF8">
              <w:t>2</w:t>
            </w:r>
          </w:p>
        </w:tc>
        <w:tc>
          <w:tcPr>
            <w:tcW w:w="3877" w:type="dxa"/>
          </w:tcPr>
          <w:p w14:paraId="5BA4D060" w14:textId="77777777" w:rsidR="001040E4" w:rsidRPr="00576AF8" w:rsidRDefault="001040E4" w:rsidP="001040E4">
            <w:pPr>
              <w:ind w:left="1440" w:right="-72" w:hanging="720"/>
            </w:pPr>
          </w:p>
        </w:tc>
        <w:tc>
          <w:tcPr>
            <w:tcW w:w="3881" w:type="dxa"/>
          </w:tcPr>
          <w:p w14:paraId="5CDAE956" w14:textId="77777777" w:rsidR="001040E4" w:rsidRPr="00576AF8" w:rsidRDefault="001040E4" w:rsidP="001040E4">
            <w:pPr>
              <w:ind w:left="1440" w:right="-72" w:hanging="720"/>
            </w:pPr>
          </w:p>
        </w:tc>
      </w:tr>
      <w:tr w:rsidR="001040E4" w:rsidRPr="00576AF8" w14:paraId="263BB4AF" w14:textId="77777777" w:rsidTr="001040E4">
        <w:tc>
          <w:tcPr>
            <w:tcW w:w="540" w:type="dxa"/>
          </w:tcPr>
          <w:p w14:paraId="235D65CB" w14:textId="77777777" w:rsidR="001040E4" w:rsidRPr="00576AF8" w:rsidRDefault="001040E4" w:rsidP="001040E4">
            <w:pPr>
              <w:ind w:right="-72"/>
              <w:jc w:val="center"/>
            </w:pPr>
            <w:r w:rsidRPr="00576AF8">
              <w:t>3</w:t>
            </w:r>
          </w:p>
        </w:tc>
        <w:tc>
          <w:tcPr>
            <w:tcW w:w="3877" w:type="dxa"/>
          </w:tcPr>
          <w:p w14:paraId="5116E0A1" w14:textId="77777777" w:rsidR="001040E4" w:rsidRPr="00576AF8" w:rsidRDefault="001040E4" w:rsidP="001040E4">
            <w:pPr>
              <w:ind w:left="1440" w:right="-72" w:hanging="720"/>
            </w:pPr>
          </w:p>
        </w:tc>
        <w:tc>
          <w:tcPr>
            <w:tcW w:w="3881" w:type="dxa"/>
          </w:tcPr>
          <w:p w14:paraId="75B4700E" w14:textId="77777777" w:rsidR="001040E4" w:rsidRPr="00576AF8" w:rsidRDefault="001040E4" w:rsidP="001040E4">
            <w:pPr>
              <w:ind w:left="1440" w:right="-72" w:hanging="720"/>
            </w:pPr>
          </w:p>
        </w:tc>
      </w:tr>
      <w:tr w:rsidR="001040E4" w:rsidRPr="00576AF8" w14:paraId="04990FA4" w14:textId="77777777" w:rsidTr="001040E4">
        <w:tc>
          <w:tcPr>
            <w:tcW w:w="540" w:type="dxa"/>
          </w:tcPr>
          <w:p w14:paraId="5B8F711E" w14:textId="77777777" w:rsidR="001040E4" w:rsidRPr="00576AF8" w:rsidRDefault="001040E4" w:rsidP="001040E4">
            <w:pPr>
              <w:ind w:right="-72"/>
              <w:jc w:val="center"/>
            </w:pPr>
            <w:r w:rsidRPr="00576AF8">
              <w:t>…</w:t>
            </w:r>
          </w:p>
        </w:tc>
        <w:tc>
          <w:tcPr>
            <w:tcW w:w="3877" w:type="dxa"/>
          </w:tcPr>
          <w:p w14:paraId="28F37A0B" w14:textId="77777777" w:rsidR="001040E4" w:rsidRPr="00576AF8" w:rsidRDefault="001040E4" w:rsidP="001040E4">
            <w:pPr>
              <w:ind w:left="1440" w:right="-72" w:hanging="720"/>
            </w:pPr>
          </w:p>
        </w:tc>
        <w:tc>
          <w:tcPr>
            <w:tcW w:w="3881" w:type="dxa"/>
          </w:tcPr>
          <w:p w14:paraId="1F9DD249" w14:textId="77777777" w:rsidR="001040E4" w:rsidRPr="00576AF8" w:rsidRDefault="001040E4" w:rsidP="001040E4">
            <w:pPr>
              <w:ind w:left="1440" w:right="-72" w:hanging="720"/>
            </w:pPr>
          </w:p>
        </w:tc>
      </w:tr>
    </w:tbl>
    <w:p w14:paraId="7EF9C73D" w14:textId="77777777" w:rsidR="001040E4" w:rsidRPr="00576AF8" w:rsidRDefault="001040E4" w:rsidP="001040E4">
      <w:pPr>
        <w:ind w:right="-72"/>
      </w:pPr>
    </w:p>
    <w:p w14:paraId="4F5D65FF" w14:textId="77777777" w:rsidR="001040E4" w:rsidRPr="00576AF8" w:rsidRDefault="001040E4" w:rsidP="001040E4">
      <w:pPr>
        <w:ind w:left="720" w:right="-72"/>
      </w:pPr>
      <w:r w:rsidRPr="00576AF8">
        <w:t>El incumplimiento de este requisito será causa de rechazo del subcontratista o vendedor.</w:t>
      </w:r>
    </w:p>
    <w:p w14:paraId="4D1EC4C6" w14:textId="77777777" w:rsidR="001040E4" w:rsidRPr="00576AF8" w:rsidRDefault="001040E4" w:rsidP="001040E4">
      <w:pPr>
        <w:tabs>
          <w:tab w:val="left" w:pos="-1440"/>
          <w:tab w:val="left" w:pos="-720"/>
          <w:tab w:val="left" w:pos="0"/>
        </w:tabs>
        <w:ind w:left="720"/>
      </w:pPr>
      <w:r w:rsidRPr="00576AF8">
        <w:lastRenderedPageBreak/>
        <w:t xml:space="preserve">En el caso de un Licitante que en virtud del Contrato ofrezca proveer e instalar artículos importantes de suministro que no haya fabricado ni producido, el Licitante deberá presentar, mediante el formulario incluido en la </w:t>
      </w:r>
      <w:r w:rsidR="00A83F3E" w:rsidRPr="00576AF8">
        <w:t>S</w:t>
      </w:r>
      <w:r w:rsidRPr="00576AF8">
        <w:t xml:space="preserve">ección IV, la autorización del fabricante, en la que se demuestre que el Licitante ha sido debidamente autorizado por el fabricante o productor del </w:t>
      </w:r>
      <w:r w:rsidR="00C4597A" w:rsidRPr="00576AF8">
        <w:t>S</w:t>
      </w:r>
      <w:r w:rsidRPr="00576AF8">
        <w:t xml:space="preserve">ubsistema o componente en cuestión para suministrar o instalar ese artículo en el </w:t>
      </w:r>
      <w:r w:rsidR="005C14A1" w:rsidRPr="00576AF8">
        <w:t>p</w:t>
      </w:r>
      <w:r w:rsidRPr="00576AF8">
        <w:t xml:space="preserve">aís del Comprador. Es responsabilidad del Licitante asegurar que el fabricante o productor cumpla los requisitos de las </w:t>
      </w:r>
      <w:r w:rsidR="00503647" w:rsidRPr="00576AF8">
        <w:t>IAL</w:t>
      </w:r>
      <w:r w:rsidRPr="00576AF8">
        <w:t xml:space="preserve"> 4 y 5 y reúna los criterios mínimos enumerados anteriormente para ese artículo. </w:t>
      </w:r>
    </w:p>
    <w:p w14:paraId="306FB14E" w14:textId="77777777" w:rsidR="003D5389" w:rsidRPr="00576AF8" w:rsidRDefault="003D5389" w:rsidP="00A01121">
      <w:pPr>
        <w:tabs>
          <w:tab w:val="left" w:pos="-1440"/>
          <w:tab w:val="left" w:pos="-720"/>
          <w:tab w:val="left" w:pos="0"/>
        </w:tabs>
        <w:sectPr w:rsidR="003D5389" w:rsidRPr="00576AF8" w:rsidSect="000968D2">
          <w:headerReference w:type="even" r:id="rId39"/>
          <w:headerReference w:type="default" r:id="rId40"/>
          <w:headerReference w:type="first" r:id="rId41"/>
          <w:pgSz w:w="12240" w:h="15840" w:code="1"/>
          <w:pgMar w:top="1440" w:right="1440" w:bottom="1440" w:left="1440" w:header="720" w:footer="720" w:gutter="0"/>
          <w:cols w:space="720"/>
          <w:titlePg/>
        </w:sectPr>
      </w:pPr>
    </w:p>
    <w:tbl>
      <w:tblPr>
        <w:tblW w:w="9356" w:type="dxa"/>
        <w:tblLayout w:type="fixed"/>
        <w:tblLook w:val="0000" w:firstRow="0" w:lastRow="0" w:firstColumn="0" w:lastColumn="0" w:noHBand="0" w:noVBand="0"/>
      </w:tblPr>
      <w:tblGrid>
        <w:gridCol w:w="9356"/>
      </w:tblGrid>
      <w:tr w:rsidR="00580092" w:rsidRPr="00576AF8" w14:paraId="1F9A1BE8" w14:textId="77777777" w:rsidTr="00967350">
        <w:trPr>
          <w:trHeight w:val="1100"/>
        </w:trPr>
        <w:tc>
          <w:tcPr>
            <w:tcW w:w="9356" w:type="dxa"/>
            <w:vAlign w:val="center"/>
          </w:tcPr>
          <w:p w14:paraId="47F1BADA" w14:textId="77777777" w:rsidR="00580092" w:rsidRPr="00576AF8" w:rsidRDefault="00580092" w:rsidP="003B1CB5">
            <w:pPr>
              <w:pStyle w:val="TDC11"/>
            </w:pPr>
            <w:bookmarkStart w:id="430" w:name="_Toc438266927"/>
            <w:bookmarkStart w:id="431" w:name="_Toc438267901"/>
            <w:bookmarkStart w:id="432" w:name="_Toc438366667"/>
            <w:bookmarkStart w:id="433" w:name="_Toc41971244"/>
            <w:bookmarkStart w:id="434" w:name="_Toc125954067"/>
            <w:bookmarkStart w:id="435" w:name="_Toc197840923"/>
            <w:bookmarkStart w:id="436" w:name="_Toc454907531"/>
            <w:bookmarkStart w:id="437" w:name="_Toc476307817"/>
            <w:bookmarkStart w:id="438" w:name="_Toc28242430"/>
            <w:bookmarkStart w:id="439" w:name="_Toc218673933"/>
            <w:bookmarkStart w:id="440" w:name="_Toc218673996"/>
            <w:bookmarkStart w:id="441" w:name="_Toc521498750"/>
            <w:bookmarkStart w:id="442" w:name="_Toc215902374"/>
            <w:bookmarkStart w:id="443" w:name="_Toc218573809"/>
            <w:bookmarkEnd w:id="2"/>
            <w:bookmarkEnd w:id="3"/>
            <w:bookmarkEnd w:id="4"/>
            <w:bookmarkEnd w:id="5"/>
            <w:bookmarkEnd w:id="6"/>
            <w:r w:rsidRPr="00576AF8">
              <w:lastRenderedPageBreak/>
              <w:t>Sección IV</w:t>
            </w:r>
            <w:r w:rsidR="005E641B" w:rsidRPr="00576AF8">
              <w:t xml:space="preserve">. </w:t>
            </w:r>
            <w:bookmarkEnd w:id="430"/>
            <w:bookmarkEnd w:id="431"/>
            <w:bookmarkEnd w:id="432"/>
            <w:bookmarkEnd w:id="433"/>
            <w:bookmarkEnd w:id="434"/>
            <w:bookmarkEnd w:id="435"/>
            <w:bookmarkEnd w:id="436"/>
            <w:bookmarkEnd w:id="437"/>
            <w:r w:rsidR="002918CE" w:rsidRPr="00576AF8">
              <w:t xml:space="preserve">Formularios de </w:t>
            </w:r>
            <w:r w:rsidR="004132F9" w:rsidRPr="00576AF8">
              <w:t xml:space="preserve">la </w:t>
            </w:r>
            <w:r w:rsidR="002918CE" w:rsidRPr="00576AF8">
              <w:t>Oferta</w:t>
            </w:r>
            <w:bookmarkEnd w:id="438"/>
          </w:p>
        </w:tc>
      </w:tr>
    </w:tbl>
    <w:p w14:paraId="762D5D88" w14:textId="77777777" w:rsidR="00A44EB2" w:rsidRPr="00576AF8" w:rsidRDefault="00A44EB2" w:rsidP="00506FFF">
      <w:pPr>
        <w:rPr>
          <w:b/>
          <w:sz w:val="32"/>
          <w:u w:val="single"/>
        </w:rPr>
      </w:pPr>
    </w:p>
    <w:p w14:paraId="456A2AD5" w14:textId="77777777" w:rsidR="00A861ED" w:rsidRPr="00576AF8" w:rsidRDefault="00EA721E" w:rsidP="00967350">
      <w:pPr>
        <w:spacing w:after="240"/>
        <w:jc w:val="center"/>
        <w:rPr>
          <w:b/>
          <w:sz w:val="36"/>
          <w:szCs w:val="21"/>
        </w:rPr>
      </w:pPr>
      <w:r w:rsidRPr="00576AF8">
        <w:rPr>
          <w:b/>
          <w:sz w:val="36"/>
          <w:szCs w:val="21"/>
        </w:rPr>
        <w:t>Índice</w:t>
      </w:r>
      <w:r w:rsidR="00026C5C" w:rsidRPr="00576AF8">
        <w:rPr>
          <w:b/>
          <w:sz w:val="36"/>
          <w:szCs w:val="21"/>
        </w:rPr>
        <w:t xml:space="preserve"> de </w:t>
      </w:r>
      <w:r w:rsidR="00C85FC3" w:rsidRPr="00576AF8">
        <w:rPr>
          <w:b/>
          <w:sz w:val="36"/>
          <w:szCs w:val="21"/>
        </w:rPr>
        <w:t>F</w:t>
      </w:r>
      <w:r w:rsidR="00026C5C" w:rsidRPr="00576AF8">
        <w:rPr>
          <w:b/>
          <w:sz w:val="36"/>
          <w:szCs w:val="21"/>
        </w:rPr>
        <w:t>ormularios</w:t>
      </w:r>
    </w:p>
    <w:p w14:paraId="14FA141C" w14:textId="52CBFB94" w:rsidR="00C85FC3" w:rsidRPr="00576AF8" w:rsidRDefault="00C85FC3">
      <w:pPr>
        <w:pStyle w:val="TDC1"/>
        <w:rPr>
          <w:rFonts w:ascii="Times New Roman" w:eastAsiaTheme="minorEastAsia" w:hAnsi="Times New Roman"/>
          <w:noProof/>
          <w:szCs w:val="24"/>
          <w:lang w:eastAsia="en-US" w:bidi="ar-SA"/>
        </w:rPr>
      </w:pPr>
      <w:r w:rsidRPr="00576AF8">
        <w:rPr>
          <w:rFonts w:ascii="Times New Roman" w:hAnsi="Times New Roman"/>
          <w:sz w:val="36"/>
          <w:szCs w:val="21"/>
        </w:rPr>
        <w:fldChar w:fldCharType="begin"/>
      </w:r>
      <w:r w:rsidRPr="00576AF8">
        <w:rPr>
          <w:rFonts w:ascii="Times New Roman" w:hAnsi="Times New Roman"/>
          <w:sz w:val="36"/>
          <w:szCs w:val="21"/>
        </w:rPr>
        <w:instrText xml:space="preserve"> TOC \h \z \t "TOC 3-1,1" </w:instrText>
      </w:r>
      <w:r w:rsidRPr="00576AF8">
        <w:rPr>
          <w:rFonts w:ascii="Times New Roman" w:hAnsi="Times New Roman"/>
          <w:sz w:val="36"/>
          <w:szCs w:val="21"/>
        </w:rPr>
        <w:fldChar w:fldCharType="separate"/>
      </w:r>
      <w:hyperlink w:anchor="_Toc527966229" w:history="1">
        <w:r w:rsidRPr="00576AF8">
          <w:rPr>
            <w:rStyle w:val="Hipervnculo"/>
            <w:rFonts w:ascii="Times New Roman" w:hAnsi="Times New Roman"/>
            <w:noProof/>
          </w:rPr>
          <w:t>Carta de la Oferta - Parte Técnica</w:t>
        </w:r>
        <w:r w:rsidRPr="00576AF8">
          <w:rPr>
            <w:rFonts w:ascii="Times New Roman" w:hAnsi="Times New Roman"/>
            <w:noProof/>
            <w:webHidden/>
          </w:rPr>
          <w:tab/>
        </w:r>
        <w:r w:rsidRPr="00576AF8">
          <w:rPr>
            <w:rFonts w:ascii="Times New Roman" w:hAnsi="Times New Roman"/>
            <w:noProof/>
            <w:webHidden/>
          </w:rPr>
          <w:fldChar w:fldCharType="begin"/>
        </w:r>
        <w:r w:rsidRPr="00576AF8">
          <w:rPr>
            <w:rFonts w:ascii="Times New Roman" w:hAnsi="Times New Roman"/>
            <w:noProof/>
            <w:webHidden/>
          </w:rPr>
          <w:instrText xml:space="preserve"> PAGEREF _Toc527966229 \h </w:instrText>
        </w:r>
        <w:r w:rsidRPr="00576AF8">
          <w:rPr>
            <w:rFonts w:ascii="Times New Roman" w:hAnsi="Times New Roman"/>
            <w:noProof/>
            <w:webHidden/>
          </w:rPr>
        </w:r>
        <w:r w:rsidRPr="00576AF8">
          <w:rPr>
            <w:rFonts w:ascii="Times New Roman" w:hAnsi="Times New Roman"/>
            <w:noProof/>
            <w:webHidden/>
          </w:rPr>
          <w:fldChar w:fldCharType="separate"/>
        </w:r>
        <w:r w:rsidR="00E7421E">
          <w:rPr>
            <w:rFonts w:ascii="Times New Roman" w:hAnsi="Times New Roman"/>
            <w:noProof/>
            <w:webHidden/>
          </w:rPr>
          <w:t>97</w:t>
        </w:r>
        <w:r w:rsidRPr="00576AF8">
          <w:rPr>
            <w:rFonts w:ascii="Times New Roman" w:hAnsi="Times New Roman"/>
            <w:noProof/>
            <w:webHidden/>
          </w:rPr>
          <w:fldChar w:fldCharType="end"/>
        </w:r>
      </w:hyperlink>
    </w:p>
    <w:p w14:paraId="58E22AC5" w14:textId="77A207BC" w:rsidR="00C85FC3" w:rsidRPr="00576AF8" w:rsidRDefault="006334E7">
      <w:pPr>
        <w:pStyle w:val="TDC1"/>
        <w:rPr>
          <w:rFonts w:ascii="Times New Roman" w:eastAsiaTheme="minorEastAsia" w:hAnsi="Times New Roman"/>
          <w:noProof/>
          <w:szCs w:val="24"/>
          <w:lang w:eastAsia="en-US" w:bidi="ar-SA"/>
        </w:rPr>
      </w:pPr>
      <w:hyperlink w:anchor="_Toc527966230" w:history="1">
        <w:r w:rsidR="00C85FC3" w:rsidRPr="00576AF8">
          <w:rPr>
            <w:rStyle w:val="Hipervnculo"/>
            <w:rFonts w:ascii="Times New Roman" w:hAnsi="Times New Roman"/>
            <w:noProof/>
          </w:rPr>
          <w:t>Historial de Incumplimiento de Contratos y Litigios Pendientes</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_Toc527966230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104</w:t>
        </w:r>
        <w:r w:rsidR="00C85FC3" w:rsidRPr="00576AF8">
          <w:rPr>
            <w:rFonts w:ascii="Times New Roman" w:hAnsi="Times New Roman"/>
            <w:noProof/>
            <w:webHidden/>
          </w:rPr>
          <w:fldChar w:fldCharType="end"/>
        </w:r>
      </w:hyperlink>
    </w:p>
    <w:p w14:paraId="778FB509" w14:textId="1CB00FD9" w:rsidR="00C85FC3" w:rsidRPr="00576AF8" w:rsidRDefault="006334E7">
      <w:pPr>
        <w:pStyle w:val="TDC1"/>
        <w:rPr>
          <w:rFonts w:ascii="Times New Roman" w:eastAsiaTheme="minorEastAsia" w:hAnsi="Times New Roman"/>
          <w:noProof/>
          <w:szCs w:val="24"/>
          <w:lang w:eastAsia="en-US" w:bidi="ar-SA"/>
        </w:rPr>
      </w:pPr>
      <w:hyperlink w:anchor="_Toc527966231" w:history="1">
        <w:r w:rsidR="00C85FC3" w:rsidRPr="00576AF8">
          <w:rPr>
            <w:rStyle w:val="Hipervnculo"/>
            <w:rFonts w:ascii="Times New Roman" w:hAnsi="Times New Roman"/>
            <w:noProof/>
          </w:rPr>
          <w:t>Experiencia General</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_Toc527966231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106</w:t>
        </w:r>
        <w:r w:rsidR="00C85FC3" w:rsidRPr="00576AF8">
          <w:rPr>
            <w:rFonts w:ascii="Times New Roman" w:hAnsi="Times New Roman"/>
            <w:noProof/>
            <w:webHidden/>
          </w:rPr>
          <w:fldChar w:fldCharType="end"/>
        </w:r>
      </w:hyperlink>
    </w:p>
    <w:p w14:paraId="5F210291" w14:textId="575F4291" w:rsidR="00C85FC3" w:rsidRPr="00576AF8" w:rsidRDefault="006334E7">
      <w:pPr>
        <w:pStyle w:val="TDC1"/>
        <w:rPr>
          <w:rFonts w:ascii="Times New Roman" w:eastAsiaTheme="minorEastAsia" w:hAnsi="Times New Roman"/>
          <w:noProof/>
          <w:szCs w:val="24"/>
          <w:lang w:eastAsia="en-US" w:bidi="ar-SA"/>
        </w:rPr>
      </w:pPr>
      <w:hyperlink w:anchor="_Toc527966232" w:history="1">
        <w:r w:rsidR="00C85FC3" w:rsidRPr="00576AF8">
          <w:rPr>
            <w:rStyle w:val="Hipervnculo"/>
            <w:rFonts w:ascii="Times New Roman" w:hAnsi="Times New Roman"/>
            <w:noProof/>
          </w:rPr>
          <w:t>Situación Financiera</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_Toc527966232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111</w:t>
        </w:r>
        <w:r w:rsidR="00C85FC3" w:rsidRPr="00576AF8">
          <w:rPr>
            <w:rFonts w:ascii="Times New Roman" w:hAnsi="Times New Roman"/>
            <w:noProof/>
            <w:webHidden/>
          </w:rPr>
          <w:fldChar w:fldCharType="end"/>
        </w:r>
      </w:hyperlink>
    </w:p>
    <w:p w14:paraId="106C6EE3" w14:textId="0214A1D8" w:rsidR="00C85FC3" w:rsidRPr="00576AF8" w:rsidRDefault="006334E7">
      <w:pPr>
        <w:pStyle w:val="TDC1"/>
        <w:rPr>
          <w:rFonts w:ascii="Times New Roman" w:eastAsiaTheme="minorEastAsia" w:hAnsi="Times New Roman"/>
          <w:noProof/>
          <w:szCs w:val="24"/>
          <w:lang w:eastAsia="en-US" w:bidi="ar-SA"/>
        </w:rPr>
      </w:pPr>
      <w:hyperlink w:anchor="_Toc527966233" w:history="1">
        <w:r w:rsidR="00C85FC3" w:rsidRPr="00576AF8">
          <w:rPr>
            <w:rStyle w:val="Hipervnculo"/>
            <w:rFonts w:ascii="Times New Roman" w:hAnsi="Times New Roman"/>
            <w:noProof/>
          </w:rPr>
          <w:t>Formulario de Garantía de Mantenimiento de la Oferta Fianza</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_Toc527966233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131</w:t>
        </w:r>
        <w:r w:rsidR="00C85FC3" w:rsidRPr="00576AF8">
          <w:rPr>
            <w:rFonts w:ascii="Times New Roman" w:hAnsi="Times New Roman"/>
            <w:noProof/>
            <w:webHidden/>
          </w:rPr>
          <w:fldChar w:fldCharType="end"/>
        </w:r>
      </w:hyperlink>
    </w:p>
    <w:p w14:paraId="2AE6B7C2" w14:textId="26926CD5" w:rsidR="00C85FC3" w:rsidRPr="00576AF8" w:rsidRDefault="006334E7">
      <w:pPr>
        <w:pStyle w:val="TDC1"/>
        <w:rPr>
          <w:rFonts w:ascii="Times New Roman" w:eastAsiaTheme="minorEastAsia" w:hAnsi="Times New Roman"/>
          <w:noProof/>
          <w:szCs w:val="24"/>
          <w:lang w:eastAsia="en-US" w:bidi="ar-SA"/>
        </w:rPr>
      </w:pPr>
      <w:hyperlink w:anchor="_Toc527966234" w:history="1">
        <w:r w:rsidR="00C85FC3" w:rsidRPr="00576AF8">
          <w:rPr>
            <w:rStyle w:val="Hipervnculo"/>
            <w:rFonts w:ascii="Times New Roman" w:hAnsi="Times New Roman"/>
            <w:noProof/>
          </w:rPr>
          <w:t>Formulario de Declaración de Mantenimiento de la Oferta</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_Toc527966234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133</w:t>
        </w:r>
        <w:r w:rsidR="00C85FC3" w:rsidRPr="00576AF8">
          <w:rPr>
            <w:rFonts w:ascii="Times New Roman" w:hAnsi="Times New Roman"/>
            <w:noProof/>
            <w:webHidden/>
          </w:rPr>
          <w:fldChar w:fldCharType="end"/>
        </w:r>
      </w:hyperlink>
    </w:p>
    <w:p w14:paraId="70245747" w14:textId="7E2CAECB" w:rsidR="00C85FC3" w:rsidRPr="00576AF8" w:rsidRDefault="006334E7">
      <w:pPr>
        <w:pStyle w:val="TDC1"/>
        <w:rPr>
          <w:rFonts w:ascii="Times New Roman" w:eastAsiaTheme="minorEastAsia" w:hAnsi="Times New Roman"/>
          <w:noProof/>
          <w:szCs w:val="24"/>
          <w:lang w:eastAsia="en-US" w:bidi="ar-SA"/>
        </w:rPr>
      </w:pPr>
      <w:hyperlink w:anchor="_Toc527966235" w:history="1">
        <w:r w:rsidR="00C85FC3" w:rsidRPr="00576AF8">
          <w:rPr>
            <w:rStyle w:val="Hipervnculo"/>
            <w:rFonts w:ascii="Times New Roman" w:hAnsi="Times New Roman"/>
            <w:noProof/>
          </w:rPr>
          <w:t>Carta de la Oferta - Parte Financiera</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_Toc527966235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135</w:t>
        </w:r>
        <w:r w:rsidR="00C85FC3" w:rsidRPr="00576AF8">
          <w:rPr>
            <w:rFonts w:ascii="Times New Roman" w:hAnsi="Times New Roman"/>
            <w:noProof/>
            <w:webHidden/>
          </w:rPr>
          <w:fldChar w:fldCharType="end"/>
        </w:r>
      </w:hyperlink>
    </w:p>
    <w:p w14:paraId="3D353BC6" w14:textId="5FFA073E" w:rsidR="00C85FC3" w:rsidRPr="00576AF8" w:rsidRDefault="006334E7">
      <w:pPr>
        <w:pStyle w:val="TDC1"/>
        <w:rPr>
          <w:rFonts w:ascii="Times New Roman" w:eastAsiaTheme="minorEastAsia" w:hAnsi="Times New Roman"/>
          <w:noProof/>
          <w:szCs w:val="24"/>
          <w:lang w:eastAsia="en-US" w:bidi="ar-SA"/>
        </w:rPr>
      </w:pPr>
      <w:hyperlink w:anchor="_Toc527966236" w:history="1">
        <w:r w:rsidR="00C85FC3" w:rsidRPr="00576AF8">
          <w:rPr>
            <w:rStyle w:val="Hipervnculo"/>
            <w:rFonts w:ascii="Times New Roman" w:hAnsi="Times New Roman"/>
            <w:noProof/>
          </w:rPr>
          <w:t>Formularios de listas de precios</w:t>
        </w:r>
        <w:r w:rsidR="00C85FC3" w:rsidRPr="00576AF8">
          <w:rPr>
            <w:rFonts w:ascii="Times New Roman" w:hAnsi="Times New Roman"/>
            <w:noProof/>
            <w:webHidden/>
          </w:rPr>
          <w:tab/>
        </w:r>
        <w:r w:rsidR="00C85FC3" w:rsidRPr="00576AF8">
          <w:rPr>
            <w:rFonts w:ascii="Times New Roman" w:hAnsi="Times New Roman"/>
            <w:noProof/>
            <w:webHidden/>
          </w:rPr>
          <w:fldChar w:fldCharType="begin"/>
        </w:r>
        <w:r w:rsidR="00C85FC3" w:rsidRPr="00576AF8">
          <w:rPr>
            <w:rFonts w:ascii="Times New Roman" w:hAnsi="Times New Roman"/>
            <w:noProof/>
            <w:webHidden/>
          </w:rPr>
          <w:instrText xml:space="preserve"> PAGEREF _Toc527966236 \h </w:instrText>
        </w:r>
        <w:r w:rsidR="00C85FC3" w:rsidRPr="00576AF8">
          <w:rPr>
            <w:rFonts w:ascii="Times New Roman" w:hAnsi="Times New Roman"/>
            <w:noProof/>
            <w:webHidden/>
          </w:rPr>
        </w:r>
        <w:r w:rsidR="00C85FC3" w:rsidRPr="00576AF8">
          <w:rPr>
            <w:rFonts w:ascii="Times New Roman" w:hAnsi="Times New Roman"/>
            <w:noProof/>
            <w:webHidden/>
          </w:rPr>
          <w:fldChar w:fldCharType="separate"/>
        </w:r>
        <w:r w:rsidR="00E7421E">
          <w:rPr>
            <w:rFonts w:ascii="Times New Roman" w:hAnsi="Times New Roman"/>
            <w:noProof/>
            <w:webHidden/>
          </w:rPr>
          <w:t>137</w:t>
        </w:r>
        <w:r w:rsidR="00C85FC3" w:rsidRPr="00576AF8">
          <w:rPr>
            <w:rFonts w:ascii="Times New Roman" w:hAnsi="Times New Roman"/>
            <w:noProof/>
            <w:webHidden/>
          </w:rPr>
          <w:fldChar w:fldCharType="end"/>
        </w:r>
      </w:hyperlink>
    </w:p>
    <w:p w14:paraId="3E42F3DF" w14:textId="77777777" w:rsidR="00C85FC3" w:rsidRPr="00576AF8" w:rsidRDefault="00C85FC3" w:rsidP="00967350">
      <w:pPr>
        <w:spacing w:after="240"/>
        <w:jc w:val="center"/>
        <w:rPr>
          <w:b/>
          <w:sz w:val="36"/>
          <w:szCs w:val="21"/>
        </w:rPr>
      </w:pPr>
      <w:r w:rsidRPr="00576AF8">
        <w:rPr>
          <w:b/>
          <w:sz w:val="36"/>
          <w:szCs w:val="21"/>
        </w:rPr>
        <w:fldChar w:fldCharType="end"/>
      </w:r>
    </w:p>
    <w:p w14:paraId="29927CCB" w14:textId="77777777" w:rsidR="00A82162" w:rsidRPr="00576AF8" w:rsidRDefault="00580092" w:rsidP="002D3400">
      <w:pPr>
        <w:pStyle w:val="TOC3-1"/>
      </w:pPr>
      <w:r w:rsidRPr="00576AF8">
        <w:br w:type="page"/>
      </w:r>
      <w:bookmarkStart w:id="444" w:name="_Toc454958443"/>
      <w:bookmarkStart w:id="445" w:name="_Toc476309226"/>
      <w:bookmarkStart w:id="446" w:name="_Toc527966229"/>
      <w:r w:rsidRPr="00576AF8">
        <w:lastRenderedPageBreak/>
        <w:t>Carta de la Oferta</w:t>
      </w:r>
      <w:bookmarkEnd w:id="444"/>
      <w:bookmarkEnd w:id="445"/>
      <w:r w:rsidR="00145DD8" w:rsidRPr="00576AF8">
        <w:t xml:space="preserve"> - Parte Técnica</w:t>
      </w:r>
      <w:bookmarkEnd w:id="446"/>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A82162" w:rsidRPr="00576AF8" w14:paraId="2B341882" w14:textId="77777777" w:rsidTr="00A01121">
        <w:tc>
          <w:tcPr>
            <w:tcW w:w="9445" w:type="dxa"/>
          </w:tcPr>
          <w:p w14:paraId="73CA35DC" w14:textId="77777777" w:rsidR="00A82162" w:rsidRPr="00576AF8" w:rsidRDefault="00A82162" w:rsidP="00967350">
            <w:pPr>
              <w:spacing w:before="120"/>
              <w:ind w:right="132"/>
              <w:rPr>
                <w:i/>
              </w:rPr>
            </w:pPr>
            <w:r w:rsidRPr="00576AF8">
              <w:rPr>
                <w:i/>
              </w:rPr>
              <w:t>INSTRUCCIONES A LOS LICITANTES: ELIMINE ESTE RECUADRO UNA VEZ COMPLETADO EL DOCUMENTO.</w:t>
            </w:r>
          </w:p>
          <w:p w14:paraId="2F812904" w14:textId="77777777" w:rsidR="00A82162" w:rsidRPr="00576AF8" w:rsidRDefault="00A82162" w:rsidP="00967350">
            <w:pPr>
              <w:ind w:right="132"/>
              <w:rPr>
                <w:i/>
              </w:rPr>
            </w:pPr>
            <w:r w:rsidRPr="00576AF8">
              <w:rPr>
                <w:i/>
              </w:rPr>
              <w:t xml:space="preserve">El Licitante deberá preparar esta </w:t>
            </w:r>
            <w:r w:rsidR="00314214" w:rsidRPr="00576AF8">
              <w:rPr>
                <w:i/>
              </w:rPr>
              <w:t>c</w:t>
            </w:r>
            <w:r w:rsidRPr="00576AF8">
              <w:rPr>
                <w:i/>
              </w:rPr>
              <w:t>arta de la Oferta en papel con membrete que indique claramente el nombre completo del Licitante y su dirección comercial.</w:t>
            </w:r>
          </w:p>
          <w:p w14:paraId="090F4E1B" w14:textId="77777777" w:rsidR="00A82162" w:rsidRPr="00576AF8" w:rsidRDefault="00A82162" w:rsidP="00967350">
            <w:pPr>
              <w:ind w:right="132"/>
              <w:rPr>
                <w:i/>
              </w:rPr>
            </w:pPr>
            <w:r w:rsidRPr="00576AF8">
              <w:rPr>
                <w:i/>
                <w:u w:val="single"/>
              </w:rPr>
              <w:t>Nota</w:t>
            </w:r>
            <w:r w:rsidRPr="00576AF8">
              <w:rPr>
                <w:i/>
              </w:rPr>
              <w:t xml:space="preserve">: Todo el texto en bastardilla se incluye para ayudar a los Licitantes a preparar </w:t>
            </w:r>
            <w:r w:rsidR="00967350" w:rsidRPr="00576AF8">
              <w:rPr>
                <w:i/>
              </w:rPr>
              <w:br/>
            </w:r>
            <w:r w:rsidRPr="00576AF8">
              <w:rPr>
                <w:i/>
              </w:rPr>
              <w:t>este formulario.</w:t>
            </w:r>
          </w:p>
        </w:tc>
      </w:tr>
    </w:tbl>
    <w:p w14:paraId="089CFDA2" w14:textId="77777777" w:rsidR="00A82162" w:rsidRPr="00576AF8" w:rsidRDefault="00A82162" w:rsidP="00A82162">
      <w:pPr>
        <w:jc w:val="left"/>
      </w:pPr>
      <w:bookmarkStart w:id="447" w:name="_Hlt139095454"/>
      <w:bookmarkEnd w:id="447"/>
    </w:p>
    <w:p w14:paraId="09BAF17E" w14:textId="77777777" w:rsidR="00A82162" w:rsidRPr="00576AF8" w:rsidRDefault="00A82162" w:rsidP="00A82162">
      <w:pPr>
        <w:tabs>
          <w:tab w:val="right" w:pos="9000"/>
        </w:tabs>
        <w:jc w:val="left"/>
      </w:pPr>
      <w:r w:rsidRPr="00576AF8">
        <w:rPr>
          <w:b/>
        </w:rPr>
        <w:t>Fecha de presentación de esta Oferta:</w:t>
      </w:r>
      <w:r w:rsidRPr="00576AF8">
        <w:t xml:space="preserve"> </w:t>
      </w:r>
      <w:r w:rsidRPr="00576AF8">
        <w:rPr>
          <w:i/>
        </w:rPr>
        <w:t xml:space="preserve">[indique la fecha (día, mes y año) de la presentación </w:t>
      </w:r>
      <w:r w:rsidR="00967350" w:rsidRPr="00576AF8">
        <w:rPr>
          <w:i/>
        </w:rPr>
        <w:br/>
      </w:r>
      <w:r w:rsidRPr="00576AF8">
        <w:rPr>
          <w:i/>
        </w:rPr>
        <w:t>de la Oferta]</w:t>
      </w:r>
    </w:p>
    <w:p w14:paraId="63CF26BE" w14:textId="77777777" w:rsidR="00A82162" w:rsidRPr="00576AF8" w:rsidRDefault="00BB2041" w:rsidP="00A82162">
      <w:pPr>
        <w:tabs>
          <w:tab w:val="right" w:pos="9000"/>
        </w:tabs>
        <w:jc w:val="left"/>
      </w:pPr>
      <w:r w:rsidRPr="00576AF8">
        <w:rPr>
          <w:b/>
        </w:rPr>
        <w:t xml:space="preserve">SDO </w:t>
      </w:r>
      <w:r w:rsidR="00A82162" w:rsidRPr="00576AF8">
        <w:rPr>
          <w:b/>
        </w:rPr>
        <w:t>n.º:</w:t>
      </w:r>
      <w:r w:rsidR="00A82162" w:rsidRPr="00576AF8">
        <w:t xml:space="preserve"> </w:t>
      </w:r>
      <w:r w:rsidR="0043323C" w:rsidRPr="00576AF8">
        <w:t>EC-L1257-P00015</w:t>
      </w:r>
    </w:p>
    <w:p w14:paraId="1D0E3B2A" w14:textId="77777777" w:rsidR="00A82162" w:rsidRPr="00576AF8" w:rsidRDefault="00A82162" w:rsidP="00A82162">
      <w:pPr>
        <w:jc w:val="left"/>
      </w:pPr>
      <w:r w:rsidRPr="00576AF8">
        <w:rPr>
          <w:b/>
        </w:rPr>
        <w:t>Alternativa n.º</w:t>
      </w:r>
      <w:r w:rsidRPr="00576AF8">
        <w:t>:</w:t>
      </w:r>
      <w:r w:rsidRPr="00576AF8">
        <w:rPr>
          <w:i/>
        </w:rPr>
        <w:t xml:space="preserve"> [indique el n.° de identificación si se trata de una Oferta para una alternativa]</w:t>
      </w:r>
    </w:p>
    <w:p w14:paraId="46008290" w14:textId="77777777" w:rsidR="00A82162" w:rsidRPr="00576AF8" w:rsidRDefault="00A82162" w:rsidP="00A82162">
      <w:pPr>
        <w:jc w:val="left"/>
      </w:pPr>
    </w:p>
    <w:p w14:paraId="1C9DB305" w14:textId="77777777" w:rsidR="00A82162" w:rsidRPr="00576AF8" w:rsidRDefault="00A82162" w:rsidP="00A82162">
      <w:pPr>
        <w:rPr>
          <w:b/>
          <w:i/>
          <w:iCs/>
        </w:rPr>
      </w:pPr>
      <w:r w:rsidRPr="00576AF8">
        <w:t xml:space="preserve">Para: </w:t>
      </w:r>
      <w:r w:rsidR="0043323C" w:rsidRPr="00576AF8">
        <w:t>Ministerio de Energía y Minas</w:t>
      </w:r>
    </w:p>
    <w:p w14:paraId="68E97F16" w14:textId="77777777" w:rsidR="00A82162" w:rsidRPr="00576AF8" w:rsidRDefault="00A82162">
      <w:pPr>
        <w:numPr>
          <w:ilvl w:val="0"/>
          <w:numId w:val="12"/>
        </w:numPr>
        <w:suppressAutoHyphens w:val="0"/>
        <w:spacing w:after="200"/>
        <w:ind w:right="-14"/>
      </w:pPr>
      <w:r w:rsidRPr="00576AF8">
        <w:rPr>
          <w:b/>
        </w:rPr>
        <w:t>Sin reservas:</w:t>
      </w:r>
      <w:r w:rsidRPr="00576AF8">
        <w:t xml:space="preserve"> Hemos examinado el </w:t>
      </w:r>
      <w:r w:rsidR="00807C34" w:rsidRPr="00576AF8">
        <w:t>documento de licitación</w:t>
      </w:r>
      <w:r w:rsidRPr="00576AF8">
        <w:t xml:space="preserve">, incluidas las enmiendas publicadas según la </w:t>
      </w:r>
      <w:r w:rsidR="00503647" w:rsidRPr="00576AF8">
        <w:t>IAL</w:t>
      </w:r>
      <w:r w:rsidRPr="00576AF8">
        <w:t> 8, y no tenemos reservas al respecto</w:t>
      </w:r>
      <w:r w:rsidR="00B30201" w:rsidRPr="00576AF8">
        <w:t>;</w:t>
      </w:r>
    </w:p>
    <w:p w14:paraId="60BD58A4" w14:textId="77777777" w:rsidR="00A82162" w:rsidRPr="00576AF8" w:rsidRDefault="00A82162">
      <w:pPr>
        <w:numPr>
          <w:ilvl w:val="0"/>
          <w:numId w:val="12"/>
        </w:numPr>
        <w:suppressAutoHyphens w:val="0"/>
        <w:spacing w:after="200"/>
        <w:ind w:right="-14"/>
      </w:pPr>
      <w:r w:rsidRPr="00576AF8">
        <w:rPr>
          <w:b/>
        </w:rPr>
        <w:t>Elegibilidad</w:t>
      </w:r>
      <w:r w:rsidRPr="00576AF8">
        <w:t xml:space="preserve">: Cumplimos los requisitos de elegibilidad y no tenemos ningún conflicto de intereses de conformidad con la </w:t>
      </w:r>
      <w:r w:rsidR="00503647" w:rsidRPr="00576AF8">
        <w:t>IAL</w:t>
      </w:r>
      <w:r w:rsidRPr="00576AF8">
        <w:t xml:space="preserve"> 4</w:t>
      </w:r>
      <w:r w:rsidR="001A499A" w:rsidRPr="00576AF8">
        <w:t xml:space="preserve"> y en caso de detectar que cualquiera de los nombrados nos encontramos en cualquier conflicto de interés, notificaremos esta circunstancia por escrito al </w:t>
      </w:r>
      <w:r w:rsidR="00395098" w:rsidRPr="00576AF8">
        <w:t>Comprador</w:t>
      </w:r>
      <w:r w:rsidR="001A499A" w:rsidRPr="00576AF8">
        <w:t>, ya sea durante el proceso de selección, las negociaciones o la ejecución del Contrato</w:t>
      </w:r>
      <w:r w:rsidR="00B30201" w:rsidRPr="00576AF8">
        <w:t>;</w:t>
      </w:r>
    </w:p>
    <w:p w14:paraId="5AFE69C3" w14:textId="77777777" w:rsidR="00A82162" w:rsidRPr="00576AF8" w:rsidRDefault="00A82162">
      <w:pPr>
        <w:numPr>
          <w:ilvl w:val="0"/>
          <w:numId w:val="12"/>
        </w:numPr>
        <w:suppressAutoHyphens w:val="0"/>
        <w:spacing w:after="200"/>
        <w:ind w:right="-14"/>
      </w:pPr>
      <w:r w:rsidRPr="00576AF8">
        <w:rPr>
          <w:b/>
        </w:rPr>
        <w:t xml:space="preserve">Declaración de </w:t>
      </w:r>
      <w:r w:rsidR="00145DD8" w:rsidRPr="00576AF8">
        <w:rPr>
          <w:b/>
        </w:rPr>
        <w:t>M</w:t>
      </w:r>
      <w:r w:rsidRPr="00576AF8">
        <w:rPr>
          <w:b/>
        </w:rPr>
        <w:t>antenimiento de la Oferta:</w:t>
      </w:r>
      <w:r w:rsidRPr="00576AF8">
        <w:t xml:space="preserve"> No hemos sido suspendidos ni declarados inelegibles por el Comprador </w:t>
      </w:r>
      <w:r w:rsidR="00A861ED" w:rsidRPr="00576AF8">
        <w:t>sobre la base de</w:t>
      </w:r>
      <w:r w:rsidRPr="00576AF8">
        <w:t xml:space="preserve"> la ejecución de una </w:t>
      </w:r>
      <w:r w:rsidR="00A861ED" w:rsidRPr="00576AF8">
        <w:t>d</w:t>
      </w:r>
      <w:r w:rsidRPr="00576AF8">
        <w:t xml:space="preserve">eclaración de </w:t>
      </w:r>
      <w:r w:rsidR="00A861ED" w:rsidRPr="00576AF8">
        <w:t>m</w:t>
      </w:r>
      <w:r w:rsidRPr="00576AF8">
        <w:t xml:space="preserve">antenimiento de la Oferta en el </w:t>
      </w:r>
      <w:r w:rsidR="005C14A1" w:rsidRPr="00576AF8">
        <w:t>p</w:t>
      </w:r>
      <w:r w:rsidRPr="00576AF8">
        <w:t xml:space="preserve">aís del Comprador de conformidad con la </w:t>
      </w:r>
      <w:r w:rsidR="00503647" w:rsidRPr="00576AF8">
        <w:t>IAL</w:t>
      </w:r>
      <w:r w:rsidRPr="00576AF8">
        <w:t> 4.</w:t>
      </w:r>
      <w:r w:rsidR="00145DD8" w:rsidRPr="00576AF8">
        <w:t>6</w:t>
      </w:r>
      <w:r w:rsidR="00B30201" w:rsidRPr="00576AF8">
        <w:t>;</w:t>
      </w:r>
    </w:p>
    <w:p w14:paraId="6D2C440A" w14:textId="77777777" w:rsidR="00A82162" w:rsidRPr="00576AF8" w:rsidRDefault="00A82162">
      <w:pPr>
        <w:numPr>
          <w:ilvl w:val="0"/>
          <w:numId w:val="12"/>
        </w:numPr>
        <w:suppressAutoHyphens w:val="0"/>
        <w:spacing w:after="200"/>
        <w:ind w:right="-14"/>
      </w:pPr>
      <w:r w:rsidRPr="00576AF8">
        <w:rPr>
          <w:b/>
        </w:rPr>
        <w:t>Conformidad:</w:t>
      </w:r>
      <w:r w:rsidRPr="00576AF8">
        <w:t xml:space="preserve"> Ofrecemos brindar servicios de diseño, suministro e instalación con arreglo al </w:t>
      </w:r>
      <w:r w:rsidR="00807C34" w:rsidRPr="00576AF8">
        <w:t>documento de licitación</w:t>
      </w:r>
      <w:r w:rsidRPr="00576AF8">
        <w:t xml:space="preserve"> de lo siguiente: </w:t>
      </w:r>
      <w:r w:rsidRPr="00576AF8">
        <w:rPr>
          <w:i/>
          <w:iCs/>
        </w:rPr>
        <w:t>[incluya una descripción breve de los servicios de diseño, suministro e instalación del Sistema Informático</w:t>
      </w:r>
      <w:r w:rsidR="00077377" w:rsidRPr="00576AF8">
        <w:rPr>
          <w:i/>
          <w:iCs/>
        </w:rPr>
        <w:t>]</w:t>
      </w:r>
      <w:r w:rsidR="00B30201" w:rsidRPr="00576AF8">
        <w:rPr>
          <w:i/>
          <w:iCs/>
        </w:rPr>
        <w:t>;</w:t>
      </w:r>
    </w:p>
    <w:p w14:paraId="563B2A8B" w14:textId="0438128B" w:rsidR="00A82162" w:rsidRDefault="00A82162">
      <w:pPr>
        <w:numPr>
          <w:ilvl w:val="0"/>
          <w:numId w:val="12"/>
        </w:numPr>
        <w:suppressAutoHyphens w:val="0"/>
        <w:spacing w:after="200"/>
        <w:ind w:right="-14"/>
      </w:pPr>
      <w:r w:rsidRPr="00576AF8">
        <w:rPr>
          <w:b/>
        </w:rPr>
        <w:t xml:space="preserve">Período de </w:t>
      </w:r>
      <w:r w:rsidR="000D0730" w:rsidRPr="00576AF8">
        <w:rPr>
          <w:b/>
        </w:rPr>
        <w:t>v</w:t>
      </w:r>
      <w:r w:rsidRPr="00576AF8">
        <w:rPr>
          <w:b/>
        </w:rPr>
        <w:t>alidez de la Oferta:</w:t>
      </w:r>
      <w:r w:rsidRPr="00576AF8">
        <w:t xml:space="preserve"> Nuestra Oferta será válida por el período establecido en la </w:t>
      </w:r>
      <w:r w:rsidR="00503647" w:rsidRPr="00576AF8">
        <w:t>IAL</w:t>
      </w:r>
      <w:r w:rsidRPr="00576AF8">
        <w:t xml:space="preserve"> 19.1 de los DDL (con las enmiendas que correspondan, si las hubiera), a partir del día fijado como fecha límite para la presentación de Ofertas que se especifica en la </w:t>
      </w:r>
      <w:r w:rsidR="00884AB4" w:rsidRPr="00576AF8">
        <w:t>IAL</w:t>
      </w:r>
      <w:r w:rsidRPr="00576AF8">
        <w:t> 23.1 de los DDL (con las enmiendas que correspondan, si las hubiera), y seguirá siendo de carácter vinculante para nosotros y podrá ser aceptada en cualquier momento antes de la finalización de ese período</w:t>
      </w:r>
      <w:r w:rsidR="00B30201" w:rsidRPr="00576AF8">
        <w:t>;</w:t>
      </w:r>
    </w:p>
    <w:p w14:paraId="6F040B31" w14:textId="77777777" w:rsidR="00462D53" w:rsidRPr="00462D53" w:rsidRDefault="00462D53" w:rsidP="00462D53">
      <w:pPr>
        <w:pStyle w:val="Prrafodelista"/>
        <w:pBdr>
          <w:top w:val="nil"/>
          <w:left w:val="nil"/>
          <w:bottom w:val="nil"/>
          <w:right w:val="nil"/>
          <w:between w:val="nil"/>
        </w:pBdr>
        <w:spacing w:after="0"/>
        <w:ind w:left="1080"/>
        <w:rPr>
          <w:color w:val="000000"/>
        </w:rPr>
      </w:pPr>
      <w:r w:rsidRPr="00462D53">
        <w:rPr>
          <w:i/>
          <w:color w:val="548DD4" w:themeColor="text2" w:themeTint="99"/>
        </w:rPr>
        <w:lastRenderedPageBreak/>
        <w:t>(El oferente deberá escoger la opción que corresponda).</w:t>
      </w:r>
      <w:r w:rsidRPr="00462D53">
        <w:rPr>
          <w:color w:val="548DD4" w:themeColor="text2" w:themeTint="99"/>
        </w:rPr>
        <w:t xml:space="preserve"> </w:t>
      </w:r>
      <w:r w:rsidRPr="00462D53">
        <w:rPr>
          <w:color w:val="000000"/>
        </w:rPr>
        <w:t>El porcentaje requerido del anticipo es de xx%</w:t>
      </w:r>
      <w:r>
        <w:rPr>
          <w:rStyle w:val="Refdenotaalpie"/>
          <w:color w:val="000000"/>
        </w:rPr>
        <w:footnoteReference w:id="8"/>
      </w:r>
      <w:r w:rsidRPr="00462D53">
        <w:rPr>
          <w:color w:val="000000"/>
        </w:rPr>
        <w:t xml:space="preserve"> / No se requerirá anticipo. </w:t>
      </w:r>
    </w:p>
    <w:p w14:paraId="762C2347" w14:textId="77777777" w:rsidR="00462D53" w:rsidRPr="00576AF8" w:rsidRDefault="00462D53" w:rsidP="00462D53">
      <w:pPr>
        <w:suppressAutoHyphens w:val="0"/>
        <w:spacing w:after="200"/>
        <w:ind w:left="1080" w:right="-14"/>
      </w:pPr>
    </w:p>
    <w:p w14:paraId="36DBFA87" w14:textId="77777777" w:rsidR="00A82162" w:rsidRPr="00576AF8" w:rsidRDefault="0094083A">
      <w:pPr>
        <w:numPr>
          <w:ilvl w:val="0"/>
          <w:numId w:val="12"/>
        </w:numPr>
        <w:suppressAutoHyphens w:val="0"/>
        <w:spacing w:after="200"/>
        <w:ind w:right="-14"/>
      </w:pPr>
      <w:r w:rsidRPr="00576AF8">
        <w:rPr>
          <w:b/>
        </w:rPr>
        <w:t>G</w:t>
      </w:r>
      <w:r w:rsidR="00984DF4" w:rsidRPr="00576AF8">
        <w:rPr>
          <w:b/>
        </w:rPr>
        <w:t>arantía</w:t>
      </w:r>
      <w:r w:rsidR="00A82162" w:rsidRPr="00576AF8">
        <w:rPr>
          <w:b/>
        </w:rPr>
        <w:t xml:space="preserve"> de </w:t>
      </w:r>
      <w:r w:rsidRPr="00576AF8">
        <w:rPr>
          <w:b/>
        </w:rPr>
        <w:t>c</w:t>
      </w:r>
      <w:r w:rsidR="00A82162" w:rsidRPr="00576AF8">
        <w:rPr>
          <w:b/>
        </w:rPr>
        <w:t xml:space="preserve">umplimiento: </w:t>
      </w:r>
      <w:r w:rsidR="00A82162" w:rsidRPr="00576AF8">
        <w:t xml:space="preserve">Si nuestra Oferta es aceptada, nos comprometemos a obtener una </w:t>
      </w:r>
      <w:r w:rsidR="00984DF4" w:rsidRPr="00576AF8">
        <w:t>garantía</w:t>
      </w:r>
      <w:r w:rsidR="00A82162" w:rsidRPr="00576AF8">
        <w:t xml:space="preserve"> de </w:t>
      </w:r>
      <w:r w:rsidR="000D0730" w:rsidRPr="00576AF8">
        <w:t>c</w:t>
      </w:r>
      <w:r w:rsidR="00A82162" w:rsidRPr="00576AF8">
        <w:t xml:space="preserve">umplimiento de conformidad con </w:t>
      </w:r>
      <w:r w:rsidR="00B30201" w:rsidRPr="00576AF8">
        <w:t xml:space="preserve">IAL </w:t>
      </w:r>
      <w:r w:rsidR="00BE0C62" w:rsidRPr="00576AF8">
        <w:t>54</w:t>
      </w:r>
      <w:r w:rsidR="00B30201" w:rsidRPr="00576AF8">
        <w:t>;</w:t>
      </w:r>
    </w:p>
    <w:p w14:paraId="3026D354" w14:textId="77777777" w:rsidR="00A82162" w:rsidRPr="00576AF8" w:rsidRDefault="00A82162">
      <w:pPr>
        <w:numPr>
          <w:ilvl w:val="0"/>
          <w:numId w:val="12"/>
        </w:numPr>
        <w:suppressAutoHyphens w:val="0"/>
        <w:spacing w:after="200"/>
        <w:ind w:right="-14"/>
      </w:pPr>
      <w:r w:rsidRPr="00576AF8">
        <w:rPr>
          <w:b/>
        </w:rPr>
        <w:t>Una Oferta por Licitante:</w:t>
      </w:r>
      <w:r w:rsidRPr="00576AF8">
        <w:t xml:space="preserve"> No estamos presentando ninguna otra Oferta en carácter de Licitante individual, no estamos participando en ninguna otra Oferta en carácter de miembros de una </w:t>
      </w:r>
      <w:r w:rsidR="000107E9" w:rsidRPr="00576AF8">
        <w:t>APCA</w:t>
      </w:r>
      <w:r w:rsidRPr="00576AF8">
        <w:t xml:space="preserve"> y cumplimos los requisitos establecidos en la </w:t>
      </w:r>
      <w:r w:rsidR="00884AB4" w:rsidRPr="00576AF8">
        <w:t>IAL</w:t>
      </w:r>
      <w:r w:rsidRPr="00576AF8">
        <w:t> 4.</w:t>
      </w:r>
      <w:r w:rsidR="00145DD8" w:rsidRPr="00576AF8">
        <w:t>2</w:t>
      </w:r>
      <w:r w:rsidRPr="00576AF8">
        <w:t xml:space="preserve">, salvo cualquier Oferta alternativa presentada de conformidad con la </w:t>
      </w:r>
      <w:r w:rsidR="00884AB4" w:rsidRPr="00576AF8">
        <w:t>IAL</w:t>
      </w:r>
      <w:r w:rsidRPr="00576AF8">
        <w:t> 13</w:t>
      </w:r>
      <w:r w:rsidR="00B30201" w:rsidRPr="00576AF8">
        <w:t>;</w:t>
      </w:r>
    </w:p>
    <w:p w14:paraId="5C85FF87" w14:textId="77777777" w:rsidR="001A499A" w:rsidRPr="00576AF8" w:rsidRDefault="00A82162">
      <w:pPr>
        <w:numPr>
          <w:ilvl w:val="0"/>
          <w:numId w:val="12"/>
        </w:numPr>
        <w:suppressAutoHyphens w:val="0"/>
        <w:spacing w:after="200"/>
        <w:ind w:right="-14"/>
        <w:rPr>
          <w:spacing w:val="-2"/>
        </w:rPr>
      </w:pPr>
      <w:r w:rsidRPr="00576AF8">
        <w:rPr>
          <w:b/>
        </w:rPr>
        <w:t>Suspensión e inhabilitación</w:t>
      </w:r>
      <w:r w:rsidRPr="00576AF8">
        <w:t xml:space="preserve">: </w:t>
      </w:r>
      <w:r w:rsidR="001A499A" w:rsidRPr="00576AF8">
        <w:rPr>
          <w:spacing w:val="-2"/>
        </w:rPr>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1BA8B8DC" w14:textId="77777777" w:rsidR="001A499A" w:rsidRPr="00576AF8" w:rsidRDefault="001A499A" w:rsidP="00BD5036">
      <w:pPr>
        <w:tabs>
          <w:tab w:val="right" w:pos="9000"/>
        </w:tabs>
        <w:spacing w:before="240" w:after="240"/>
        <w:ind w:left="1080"/>
        <w:rPr>
          <w:spacing w:val="-2"/>
        </w:rPr>
      </w:pPr>
      <w:r w:rsidRPr="00576AF8">
        <w:rPr>
          <w:spacing w:val="-2"/>
        </w:rPr>
        <w:t xml:space="preserve">Asimismo, no somos inelegibles de acuerdo con las leyes o regulaciones oficiales del País del </w:t>
      </w:r>
      <w:r w:rsidR="00395098" w:rsidRPr="00576AF8">
        <w:rPr>
          <w:spacing w:val="-2"/>
        </w:rPr>
        <w:t>Comprador</w:t>
      </w:r>
      <w:r w:rsidRPr="00576AF8">
        <w:rPr>
          <w:spacing w:val="-2"/>
        </w:rPr>
        <w:t xml:space="preserve"> o de conformidad con una decisión del Consejo de Seguridad de las Naciones Unidas.</w:t>
      </w:r>
    </w:p>
    <w:p w14:paraId="32C88918" w14:textId="77777777" w:rsidR="00A82162" w:rsidRPr="00576AF8" w:rsidRDefault="00A82162">
      <w:pPr>
        <w:numPr>
          <w:ilvl w:val="0"/>
          <w:numId w:val="12"/>
        </w:numPr>
        <w:suppressAutoHyphens w:val="0"/>
        <w:spacing w:after="200"/>
        <w:ind w:right="-14"/>
        <w:rPr>
          <w:i/>
          <w:iCs/>
        </w:rPr>
      </w:pPr>
      <w:r w:rsidRPr="00576AF8">
        <w:rPr>
          <w:b/>
        </w:rPr>
        <w:t>Empresa o institución de propiedad estatal:</w:t>
      </w:r>
      <w:r w:rsidRPr="00576AF8">
        <w:t xml:space="preserve"> </w:t>
      </w:r>
      <w:r w:rsidRPr="00576AF8">
        <w:rPr>
          <w:i/>
          <w:iCs/>
        </w:rPr>
        <w:t xml:space="preserve">[seleccione la opción correspondiente y elimine la otra] [No somos una institución o empresa de propiedad estatal] / [Somos una institución o empresa de propiedad </w:t>
      </w:r>
      <w:proofErr w:type="gramStart"/>
      <w:r w:rsidRPr="00576AF8">
        <w:rPr>
          <w:i/>
          <w:iCs/>
        </w:rPr>
        <w:t>estatal</w:t>
      </w:r>
      <w:proofErr w:type="gramEnd"/>
      <w:r w:rsidRPr="00576AF8">
        <w:rPr>
          <w:i/>
          <w:iCs/>
        </w:rPr>
        <w:t xml:space="preserve"> pero reunimos los requisitos establecidos en la </w:t>
      </w:r>
      <w:r w:rsidR="00884AB4" w:rsidRPr="00576AF8">
        <w:rPr>
          <w:i/>
          <w:iCs/>
        </w:rPr>
        <w:t>IAL</w:t>
      </w:r>
      <w:r w:rsidRPr="00576AF8">
        <w:rPr>
          <w:i/>
          <w:iCs/>
        </w:rPr>
        <w:t> 4.</w:t>
      </w:r>
      <w:r w:rsidR="00145DD8" w:rsidRPr="00576AF8">
        <w:rPr>
          <w:i/>
          <w:iCs/>
        </w:rPr>
        <w:t>4</w:t>
      </w:r>
      <w:r w:rsidRPr="00576AF8">
        <w:rPr>
          <w:i/>
          <w:iCs/>
        </w:rPr>
        <w:t>]</w:t>
      </w:r>
      <w:r w:rsidR="00B30201" w:rsidRPr="00576AF8">
        <w:rPr>
          <w:iCs/>
        </w:rPr>
        <w:t>;</w:t>
      </w:r>
    </w:p>
    <w:p w14:paraId="524027E6" w14:textId="77777777" w:rsidR="00A82162" w:rsidRPr="00576AF8" w:rsidRDefault="00A82162">
      <w:pPr>
        <w:numPr>
          <w:ilvl w:val="0"/>
          <w:numId w:val="12"/>
        </w:numPr>
        <w:suppressAutoHyphens w:val="0"/>
        <w:spacing w:after="200"/>
        <w:ind w:right="-14"/>
      </w:pPr>
      <w:r w:rsidRPr="00576AF8">
        <w:rPr>
          <w:b/>
        </w:rPr>
        <w:t xml:space="preserve">Contrato </w:t>
      </w:r>
      <w:r w:rsidR="005E641B" w:rsidRPr="00576AF8">
        <w:rPr>
          <w:b/>
        </w:rPr>
        <w:t>Vinculante</w:t>
      </w:r>
      <w:r w:rsidRPr="00576AF8">
        <w:rPr>
          <w:b/>
        </w:rPr>
        <w:t xml:space="preserve">: </w:t>
      </w:r>
      <w:r w:rsidRPr="00576AF8">
        <w:t xml:space="preserve">Entendemos que esta Oferta, junto con su aceptación por escrito incluida en su </w:t>
      </w:r>
      <w:r w:rsidR="00314214" w:rsidRPr="00576AF8">
        <w:t>c</w:t>
      </w:r>
      <w:r w:rsidRPr="00576AF8">
        <w:t xml:space="preserve">arta de </w:t>
      </w:r>
      <w:r w:rsidR="00314214" w:rsidRPr="00576AF8">
        <w:t>a</w:t>
      </w:r>
      <w:r w:rsidRPr="00576AF8">
        <w:t xml:space="preserve">ceptación, constituirá un contrato vinculante entre nosotros, hasta que el Contrato formal haya sido preparado y perfeccionado por </w:t>
      </w:r>
      <w:r w:rsidR="00622960" w:rsidRPr="00576AF8">
        <w:br/>
      </w:r>
      <w:r w:rsidRPr="00576AF8">
        <w:t>las partes</w:t>
      </w:r>
      <w:r w:rsidR="00B30201" w:rsidRPr="00576AF8">
        <w:t xml:space="preserve">; </w:t>
      </w:r>
    </w:p>
    <w:p w14:paraId="024775A7" w14:textId="77777777" w:rsidR="00A82162" w:rsidRPr="00576AF8" w:rsidRDefault="00A82162">
      <w:pPr>
        <w:numPr>
          <w:ilvl w:val="0"/>
          <w:numId w:val="12"/>
        </w:numPr>
        <w:suppressAutoHyphens w:val="0"/>
        <w:spacing w:after="200"/>
        <w:ind w:right="-14"/>
      </w:pPr>
      <w:r w:rsidRPr="00576AF8">
        <w:rPr>
          <w:b/>
        </w:rPr>
        <w:t xml:space="preserve">Obligación de </w:t>
      </w:r>
      <w:r w:rsidR="005E641B" w:rsidRPr="00576AF8">
        <w:rPr>
          <w:b/>
        </w:rPr>
        <w:t>Aceptar</w:t>
      </w:r>
      <w:r w:rsidRPr="00576AF8">
        <w:rPr>
          <w:b/>
        </w:rPr>
        <w:t>:</w:t>
      </w:r>
      <w:r w:rsidRPr="00576AF8">
        <w:t xml:space="preserve"> Entendemos que </w:t>
      </w:r>
      <w:r w:rsidR="001A499A" w:rsidRPr="00576AF8">
        <w:t xml:space="preserve">el Comprador </w:t>
      </w:r>
      <w:r w:rsidRPr="00576AF8">
        <w:t xml:space="preserve">no están obligados a aceptar la Oferta evaluada más baja, la Oferta Más </w:t>
      </w:r>
      <w:r w:rsidR="0077313B" w:rsidRPr="00576AF8">
        <w:t>Ventajosa</w:t>
      </w:r>
      <w:r w:rsidRPr="00576AF8">
        <w:t xml:space="preserve"> ni ninguna otra Oferta que pudieran recibir</w:t>
      </w:r>
      <w:r w:rsidR="00B30201" w:rsidRPr="00576AF8">
        <w:t>; y</w:t>
      </w:r>
    </w:p>
    <w:p w14:paraId="0A794C02" w14:textId="77777777" w:rsidR="00A82162" w:rsidRPr="00576AF8" w:rsidRDefault="00644875">
      <w:pPr>
        <w:numPr>
          <w:ilvl w:val="0"/>
          <w:numId w:val="12"/>
        </w:numPr>
        <w:suppressAutoHyphens w:val="0"/>
        <w:spacing w:after="200"/>
        <w:ind w:right="-14"/>
      </w:pPr>
      <w:r w:rsidRPr="00576AF8">
        <w:rPr>
          <w:b/>
        </w:rPr>
        <w:t>Prácticas Prohibidas</w:t>
      </w:r>
      <w:r w:rsidR="00A82162" w:rsidRPr="00576AF8">
        <w:t xml:space="preserve">: Certificamos por la presente que hemos adoptado medidas tendientes a garantizar que ninguna persona que actúe por nosotros o en nuestro nombre participe en acto alguno que entrañe </w:t>
      </w:r>
      <w:r w:rsidR="00C85FC3" w:rsidRPr="00576AF8">
        <w:t>Prácticas Prohibidas</w:t>
      </w:r>
      <w:r w:rsidR="00B30201" w:rsidRPr="00576AF8">
        <w:t xml:space="preserve"> señaladas en IAL 3.</w:t>
      </w:r>
    </w:p>
    <w:p w14:paraId="6A658F04" w14:textId="77777777" w:rsidR="00144B60" w:rsidRPr="00576AF8" w:rsidRDefault="00144B60" w:rsidP="00144B60">
      <w:pPr>
        <w:numPr>
          <w:ilvl w:val="0"/>
          <w:numId w:val="12"/>
        </w:numPr>
        <w:suppressAutoHyphens w:val="0"/>
        <w:spacing w:after="200"/>
        <w:ind w:right="-14"/>
      </w:pPr>
      <w:r w:rsidRPr="00576AF8">
        <w:t>Aceptamos la designación de [indicar el nombre propuesto en los Datos de la Licitación</w:t>
      </w:r>
      <w:r w:rsidR="00171285" w:rsidRPr="00576AF8">
        <w:t xml:space="preserve"> IAL56</w:t>
      </w:r>
      <w:r w:rsidRPr="00576AF8">
        <w:t>] como Conciliador Técnico.</w:t>
      </w:r>
    </w:p>
    <w:p w14:paraId="552C7651" w14:textId="77777777" w:rsidR="00144B60" w:rsidRPr="00576AF8" w:rsidRDefault="00144B60" w:rsidP="008C0D90">
      <w:pPr>
        <w:suppressAutoHyphens w:val="0"/>
        <w:spacing w:after="200"/>
        <w:ind w:left="1080" w:right="-14"/>
      </w:pPr>
    </w:p>
    <w:p w14:paraId="25C3E53B" w14:textId="77777777" w:rsidR="00144B60" w:rsidRPr="00576AF8" w:rsidRDefault="00144B60" w:rsidP="008C0D90">
      <w:pPr>
        <w:suppressAutoHyphens w:val="0"/>
        <w:spacing w:after="200"/>
        <w:ind w:left="1080" w:right="-14"/>
        <w:rPr>
          <w:b/>
          <w:bCs/>
        </w:rPr>
      </w:pPr>
      <w:r w:rsidRPr="00576AF8">
        <w:rPr>
          <w:b/>
          <w:bCs/>
        </w:rPr>
        <w:t>[o bien]</w:t>
      </w:r>
    </w:p>
    <w:p w14:paraId="673DE02C" w14:textId="77777777" w:rsidR="00144B60" w:rsidRPr="00576AF8" w:rsidRDefault="00144B60" w:rsidP="008C0D90">
      <w:pPr>
        <w:suppressAutoHyphens w:val="0"/>
        <w:spacing w:after="200"/>
        <w:ind w:left="1080" w:right="-14"/>
      </w:pPr>
    </w:p>
    <w:p w14:paraId="4BCDECB9" w14:textId="77777777" w:rsidR="00144B60" w:rsidRPr="00576AF8" w:rsidRDefault="00144B60" w:rsidP="008C0D90">
      <w:pPr>
        <w:suppressAutoHyphens w:val="0"/>
        <w:spacing w:after="200"/>
        <w:ind w:left="1080" w:right="-14"/>
      </w:pPr>
      <w:r w:rsidRPr="00576AF8">
        <w:t>No aceptamos la designación de [</w:t>
      </w:r>
      <w:r w:rsidRPr="00576AF8">
        <w:rPr>
          <w:i/>
          <w:iCs/>
        </w:rPr>
        <w:t xml:space="preserve">indicar el nombre propuesto en los </w:t>
      </w:r>
      <w:r w:rsidR="002C0614" w:rsidRPr="00576AF8">
        <w:rPr>
          <w:i/>
          <w:iCs/>
        </w:rPr>
        <w:t>IAL 56</w:t>
      </w:r>
      <w:r w:rsidRPr="00576AF8">
        <w:t>] como Conciliador Técnico, y en su lugar proponemos que se nombre como Conciliador Técnico a [</w:t>
      </w:r>
      <w:r w:rsidRPr="00576AF8">
        <w:rPr>
          <w:i/>
          <w:iCs/>
        </w:rPr>
        <w:t>indique el nombre</w:t>
      </w:r>
      <w:r w:rsidRPr="00576AF8">
        <w:t>], cuyos honorarios y datos personales se adjuntan a este formulario.</w:t>
      </w:r>
    </w:p>
    <w:p w14:paraId="35FF4EE6" w14:textId="77777777" w:rsidR="009B4ECA" w:rsidRPr="00576AF8" w:rsidRDefault="009B4ECA" w:rsidP="00462D53">
      <w:pPr>
        <w:suppressAutoHyphens w:val="0"/>
        <w:spacing w:after="200"/>
        <w:ind w:left="1080" w:right="-14"/>
      </w:pPr>
    </w:p>
    <w:p w14:paraId="1E82914B" w14:textId="77777777" w:rsidR="00A82162" w:rsidRPr="00576AF8" w:rsidRDefault="00A82162" w:rsidP="00A82162">
      <w:pPr>
        <w:jc w:val="left"/>
      </w:pPr>
    </w:p>
    <w:p w14:paraId="120CA584" w14:textId="77777777" w:rsidR="00A82162" w:rsidRPr="00576AF8" w:rsidRDefault="00A82162" w:rsidP="00A82162">
      <w:pPr>
        <w:jc w:val="left"/>
        <w:rPr>
          <w:i/>
        </w:rPr>
      </w:pPr>
      <w:r w:rsidRPr="00576AF8">
        <w:rPr>
          <w:b/>
        </w:rPr>
        <w:t>Nombre del Licitante</w:t>
      </w:r>
      <w:r w:rsidRPr="00576AF8">
        <w:t>: *</w:t>
      </w:r>
      <w:r w:rsidRPr="00576AF8">
        <w:rPr>
          <w:i/>
        </w:rPr>
        <w:t>[indique el nombre completo de la persona que firma la Oferta]</w:t>
      </w:r>
    </w:p>
    <w:p w14:paraId="0A36866F" w14:textId="77777777" w:rsidR="00A82162" w:rsidRPr="00576AF8" w:rsidRDefault="00A82162" w:rsidP="00A82162">
      <w:pPr>
        <w:jc w:val="left"/>
      </w:pPr>
    </w:p>
    <w:p w14:paraId="68CFFCC1" w14:textId="77777777" w:rsidR="00A82162" w:rsidRPr="00576AF8" w:rsidRDefault="00A82162" w:rsidP="00A82162">
      <w:pPr>
        <w:jc w:val="left"/>
        <w:rPr>
          <w:spacing w:val="-4"/>
        </w:rPr>
      </w:pPr>
      <w:r w:rsidRPr="00576AF8">
        <w:rPr>
          <w:b/>
          <w:spacing w:val="-4"/>
        </w:rPr>
        <w:t>Nombre de la persona debidamente autorizada para firmar la Oferta en nombre del Licitante</w:t>
      </w:r>
      <w:r w:rsidRPr="00576AF8">
        <w:rPr>
          <w:spacing w:val="-4"/>
        </w:rPr>
        <w:t>: **</w:t>
      </w:r>
      <w:r w:rsidRPr="00576AF8">
        <w:rPr>
          <w:i/>
          <w:spacing w:val="-4"/>
        </w:rPr>
        <w:t>[indique el nombre completo de la persona debidamente autorizada para firmar la Oferta]</w:t>
      </w:r>
    </w:p>
    <w:p w14:paraId="0E206D4E" w14:textId="77777777" w:rsidR="00A82162" w:rsidRPr="00576AF8" w:rsidRDefault="00A82162" w:rsidP="00A82162">
      <w:pPr>
        <w:jc w:val="left"/>
      </w:pPr>
    </w:p>
    <w:p w14:paraId="0D0E001D" w14:textId="77777777" w:rsidR="00A82162" w:rsidRPr="00576AF8" w:rsidRDefault="00A82162" w:rsidP="00A82162">
      <w:pPr>
        <w:jc w:val="left"/>
      </w:pPr>
      <w:r w:rsidRPr="00576AF8">
        <w:rPr>
          <w:b/>
        </w:rPr>
        <w:t>Cargo de la persona que firma la Oferta</w:t>
      </w:r>
      <w:r w:rsidRPr="00576AF8">
        <w:t xml:space="preserve">: </w:t>
      </w:r>
      <w:r w:rsidRPr="00576AF8">
        <w:rPr>
          <w:i/>
        </w:rPr>
        <w:t>[indique el cargo completo de la persona que firma la Oferta]</w:t>
      </w:r>
    </w:p>
    <w:p w14:paraId="6D27038B" w14:textId="77777777" w:rsidR="00A82162" w:rsidRPr="00576AF8" w:rsidRDefault="00A82162" w:rsidP="00A82162">
      <w:pPr>
        <w:jc w:val="left"/>
      </w:pPr>
    </w:p>
    <w:p w14:paraId="0CBFCF61" w14:textId="77777777" w:rsidR="00A82162" w:rsidRPr="00576AF8" w:rsidRDefault="00A82162" w:rsidP="00A82162">
      <w:pPr>
        <w:jc w:val="left"/>
        <w:rPr>
          <w:spacing w:val="-4"/>
        </w:rPr>
      </w:pPr>
      <w:r w:rsidRPr="00576AF8">
        <w:rPr>
          <w:b/>
          <w:spacing w:val="-4"/>
        </w:rPr>
        <w:t>Firma de la persona indicada arriba</w:t>
      </w:r>
      <w:r w:rsidRPr="00576AF8">
        <w:rPr>
          <w:spacing w:val="-4"/>
        </w:rPr>
        <w:t xml:space="preserve">: </w:t>
      </w:r>
      <w:r w:rsidRPr="00576AF8">
        <w:rPr>
          <w:i/>
          <w:spacing w:val="-4"/>
        </w:rPr>
        <w:t>[firma de la persona cuyo nombre y cargo se indican arriba]</w:t>
      </w:r>
    </w:p>
    <w:p w14:paraId="358374A9" w14:textId="77777777" w:rsidR="00A82162" w:rsidRPr="00576AF8" w:rsidRDefault="00A82162" w:rsidP="00A82162">
      <w:pPr>
        <w:jc w:val="left"/>
      </w:pPr>
    </w:p>
    <w:p w14:paraId="0F1F489F" w14:textId="77777777" w:rsidR="00622960" w:rsidRPr="00576AF8" w:rsidRDefault="00A82162" w:rsidP="00506FFF">
      <w:pPr>
        <w:jc w:val="left"/>
        <w:rPr>
          <w:i/>
        </w:rPr>
      </w:pPr>
      <w:r w:rsidRPr="00576AF8">
        <w:rPr>
          <w:b/>
        </w:rPr>
        <w:t>Firmada a los</w:t>
      </w:r>
      <w:r w:rsidRPr="00576AF8">
        <w:t xml:space="preserve"> </w:t>
      </w:r>
      <w:r w:rsidRPr="00576AF8">
        <w:rPr>
          <w:i/>
        </w:rPr>
        <w:t>[indique el día de la firma]</w:t>
      </w:r>
      <w:r w:rsidRPr="00576AF8">
        <w:t xml:space="preserve"> </w:t>
      </w:r>
      <w:r w:rsidRPr="00576AF8">
        <w:rPr>
          <w:b/>
        </w:rPr>
        <w:t>días del mes de</w:t>
      </w:r>
      <w:r w:rsidRPr="00576AF8">
        <w:t xml:space="preserve"> </w:t>
      </w:r>
      <w:r w:rsidRPr="00576AF8">
        <w:rPr>
          <w:i/>
        </w:rPr>
        <w:t>[indique el mes]</w:t>
      </w:r>
      <w:r w:rsidRPr="00576AF8">
        <w:t xml:space="preserve"> de </w:t>
      </w:r>
      <w:r w:rsidRPr="00576AF8">
        <w:rPr>
          <w:i/>
        </w:rPr>
        <w:t>[indique el año]</w:t>
      </w:r>
      <w:bookmarkStart w:id="448" w:name="_Toc482500892"/>
    </w:p>
    <w:bookmarkEnd w:id="448"/>
    <w:p w14:paraId="3E31AB57" w14:textId="77777777" w:rsidR="00275E0F" w:rsidRPr="00576AF8" w:rsidRDefault="00275E0F">
      <w:pPr>
        <w:suppressAutoHyphens w:val="0"/>
        <w:spacing w:after="0"/>
        <w:jc w:val="left"/>
        <w:rPr>
          <w:b/>
          <w:sz w:val="36"/>
        </w:rPr>
      </w:pPr>
      <w:r w:rsidRPr="00576AF8">
        <w:rPr>
          <w:b/>
          <w:sz w:val="36"/>
        </w:rPr>
        <w:br w:type="page"/>
      </w:r>
    </w:p>
    <w:p w14:paraId="12870F8F" w14:textId="77777777" w:rsidR="00FA7174" w:rsidRPr="00576AF8" w:rsidRDefault="00FA7174" w:rsidP="00A01121">
      <w:pPr>
        <w:suppressAutoHyphens w:val="0"/>
        <w:spacing w:after="0"/>
        <w:jc w:val="center"/>
        <w:rPr>
          <w:b/>
          <w:sz w:val="36"/>
          <w:szCs w:val="36"/>
        </w:rPr>
      </w:pPr>
      <w:r w:rsidRPr="00576AF8">
        <w:rPr>
          <w:b/>
          <w:sz w:val="36"/>
        </w:rPr>
        <w:lastRenderedPageBreak/>
        <w:t xml:space="preserve">Formulario ELI </w:t>
      </w:r>
      <w:r w:rsidR="00A0389B" w:rsidRPr="00576AF8">
        <w:rPr>
          <w:b/>
          <w:sz w:val="36"/>
        </w:rPr>
        <w:t>5</w:t>
      </w:r>
      <w:r w:rsidRPr="00576AF8">
        <w:rPr>
          <w:b/>
          <w:sz w:val="36"/>
        </w:rPr>
        <w:t>.1.1</w:t>
      </w:r>
    </w:p>
    <w:p w14:paraId="626CAA74" w14:textId="77777777" w:rsidR="00C10A6A" w:rsidRPr="00576AF8" w:rsidRDefault="00C10A6A" w:rsidP="00A01121">
      <w:pPr>
        <w:suppressAutoHyphens w:val="0"/>
        <w:spacing w:after="0"/>
        <w:jc w:val="center"/>
        <w:rPr>
          <w:b/>
          <w:sz w:val="36"/>
        </w:rPr>
      </w:pPr>
      <w:r w:rsidRPr="00576AF8">
        <w:rPr>
          <w:b/>
          <w:sz w:val="36"/>
        </w:rPr>
        <w:t xml:space="preserve">Formulario de </w:t>
      </w:r>
      <w:r w:rsidR="001F46ED" w:rsidRPr="00576AF8">
        <w:rPr>
          <w:b/>
          <w:sz w:val="36"/>
        </w:rPr>
        <w:t xml:space="preserve">Información </w:t>
      </w:r>
      <w:r w:rsidRPr="00576AF8">
        <w:rPr>
          <w:b/>
          <w:sz w:val="36"/>
        </w:rPr>
        <w:t>sobre el Licitante</w:t>
      </w:r>
    </w:p>
    <w:p w14:paraId="7DD4053F" w14:textId="77777777" w:rsidR="00C10A6A" w:rsidRPr="00576AF8" w:rsidRDefault="00C10A6A" w:rsidP="00865206">
      <w:pPr>
        <w:suppressAutoHyphens w:val="0"/>
        <w:spacing w:after="200"/>
        <w:rPr>
          <w:i/>
          <w:iCs/>
        </w:rPr>
      </w:pPr>
      <w:r w:rsidRPr="00576AF8">
        <w:rPr>
          <w:i/>
        </w:rPr>
        <w:t>[El Licitante deberá completar este formulario según las instrucciones siguientes. No se aceptará ninguna alteración a este formulario ni se aceptarán substitutos]</w:t>
      </w:r>
      <w:r w:rsidR="00B24605" w:rsidRPr="00576AF8">
        <w:rPr>
          <w:i/>
        </w:rPr>
        <w:t>.</w:t>
      </w:r>
    </w:p>
    <w:p w14:paraId="49DA2B50" w14:textId="77777777" w:rsidR="00C10A6A" w:rsidRPr="00576AF8" w:rsidRDefault="00C10A6A" w:rsidP="00B31AD5">
      <w:pPr>
        <w:suppressAutoHyphens w:val="0"/>
        <w:spacing w:after="0"/>
        <w:ind w:left="720" w:hanging="720"/>
        <w:jc w:val="right"/>
      </w:pPr>
      <w:r w:rsidRPr="00576AF8">
        <w:t xml:space="preserve">Fecha: </w:t>
      </w:r>
      <w:r w:rsidRPr="00576AF8">
        <w:rPr>
          <w:i/>
        </w:rPr>
        <w:t>[indique la fecha (día, mes y año) de la presentación de la Oferta]</w:t>
      </w:r>
      <w:r w:rsidRPr="00576AF8">
        <w:t xml:space="preserve"> </w:t>
      </w:r>
    </w:p>
    <w:p w14:paraId="51BC656B" w14:textId="77777777" w:rsidR="00C10A6A" w:rsidRPr="00576AF8" w:rsidRDefault="00BB2041" w:rsidP="00B31AD5">
      <w:pPr>
        <w:tabs>
          <w:tab w:val="right" w:pos="9360"/>
        </w:tabs>
        <w:suppressAutoHyphens w:val="0"/>
        <w:spacing w:after="0"/>
        <w:ind w:left="720" w:hanging="720"/>
        <w:jc w:val="right"/>
        <w:rPr>
          <w:i/>
        </w:rPr>
      </w:pPr>
      <w:r w:rsidRPr="00576AF8">
        <w:t xml:space="preserve">SDO </w:t>
      </w:r>
      <w:r w:rsidR="00C10A6A" w:rsidRPr="00576AF8">
        <w:t xml:space="preserve">n.º: </w:t>
      </w:r>
      <w:r w:rsidR="0043323C" w:rsidRPr="00576AF8">
        <w:rPr>
          <w:i/>
        </w:rPr>
        <w:t>EC-L1257-P00015</w:t>
      </w:r>
    </w:p>
    <w:p w14:paraId="438B8D0B" w14:textId="77777777" w:rsidR="00C10A6A" w:rsidRPr="00576AF8" w:rsidRDefault="00C10A6A" w:rsidP="00B31AD5">
      <w:pPr>
        <w:tabs>
          <w:tab w:val="right" w:pos="9360"/>
        </w:tabs>
        <w:suppressAutoHyphens w:val="0"/>
        <w:spacing w:after="200"/>
        <w:ind w:left="720" w:hanging="720"/>
        <w:jc w:val="right"/>
      </w:pPr>
      <w:r w:rsidRPr="00576AF8">
        <w:t xml:space="preserve">Alternativa n.º: </w:t>
      </w:r>
      <w:r w:rsidRPr="00576AF8">
        <w:rPr>
          <w:i/>
        </w:rPr>
        <w:t>[indique el n.° de identificación si se trata de una Oferta para una alternativa]</w:t>
      </w:r>
    </w:p>
    <w:p w14:paraId="5BAEAA4C" w14:textId="77777777" w:rsidR="00C10A6A" w:rsidRPr="00576AF8" w:rsidRDefault="00C10A6A" w:rsidP="00B31AD5">
      <w:pPr>
        <w:suppressAutoHyphens w:val="0"/>
        <w:spacing w:after="200"/>
        <w:ind w:left="720" w:hanging="720"/>
        <w:jc w:val="right"/>
      </w:pPr>
      <w:r w:rsidRPr="00576AF8">
        <w:t>Página ________ de ______ páginas</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5"/>
      </w:tblGrid>
      <w:tr w:rsidR="00C10A6A" w:rsidRPr="00576AF8" w14:paraId="54C76C1C" w14:textId="77777777" w:rsidTr="00865206">
        <w:trPr>
          <w:cantSplit/>
          <w:trHeight w:val="440"/>
        </w:trPr>
        <w:tc>
          <w:tcPr>
            <w:tcW w:w="9475" w:type="dxa"/>
            <w:tcBorders>
              <w:bottom w:val="nil"/>
            </w:tcBorders>
          </w:tcPr>
          <w:p w14:paraId="56C81481" w14:textId="77777777" w:rsidR="00C10A6A" w:rsidRPr="00576AF8" w:rsidRDefault="00C10A6A" w:rsidP="00865206">
            <w:pPr>
              <w:spacing w:after="160"/>
              <w:ind w:left="291" w:hanging="291"/>
              <w:jc w:val="left"/>
            </w:pPr>
            <w:r w:rsidRPr="00576AF8">
              <w:t>1.</w:t>
            </w:r>
            <w:r w:rsidR="005E018E" w:rsidRPr="00576AF8">
              <w:tab/>
            </w:r>
            <w:r w:rsidRPr="00576AF8">
              <w:t xml:space="preserve">Nombre del Licitante </w:t>
            </w:r>
            <w:r w:rsidRPr="00576AF8">
              <w:rPr>
                <w:i/>
              </w:rPr>
              <w:t>[indique el nombre jurídico del Licitante]</w:t>
            </w:r>
          </w:p>
        </w:tc>
      </w:tr>
      <w:tr w:rsidR="00C10A6A" w:rsidRPr="00576AF8" w14:paraId="563419D3" w14:textId="77777777" w:rsidTr="00865206">
        <w:trPr>
          <w:cantSplit/>
        </w:trPr>
        <w:tc>
          <w:tcPr>
            <w:tcW w:w="9475" w:type="dxa"/>
            <w:tcBorders>
              <w:left w:val="single" w:sz="4" w:space="0" w:color="auto"/>
            </w:tcBorders>
          </w:tcPr>
          <w:p w14:paraId="018B4073" w14:textId="77777777" w:rsidR="00C10A6A" w:rsidRPr="00576AF8" w:rsidRDefault="00C10A6A" w:rsidP="00865206">
            <w:pPr>
              <w:spacing w:after="160"/>
              <w:ind w:left="291" w:hanging="291"/>
              <w:jc w:val="left"/>
              <w:rPr>
                <w:spacing w:val="-2"/>
              </w:rPr>
            </w:pPr>
            <w:r w:rsidRPr="00576AF8">
              <w:t>2.</w:t>
            </w:r>
            <w:r w:rsidR="005E018E" w:rsidRPr="00576AF8">
              <w:tab/>
            </w:r>
            <w:r w:rsidRPr="00576AF8">
              <w:t xml:space="preserve">Si se trata de una </w:t>
            </w:r>
            <w:r w:rsidR="000107E9" w:rsidRPr="00576AF8">
              <w:t>APCA</w:t>
            </w:r>
            <w:r w:rsidRPr="00576AF8">
              <w:t xml:space="preserve">, nombre jurídico de cada miembro: </w:t>
            </w:r>
            <w:r w:rsidRPr="00576AF8">
              <w:rPr>
                <w:i/>
                <w:spacing w:val="-2"/>
              </w:rPr>
              <w:t xml:space="preserve">[indique el nombre jurídico de cada miembro de la </w:t>
            </w:r>
            <w:r w:rsidR="000107E9" w:rsidRPr="00576AF8">
              <w:rPr>
                <w:i/>
                <w:spacing w:val="-2"/>
              </w:rPr>
              <w:t>APCA</w:t>
            </w:r>
            <w:r w:rsidRPr="00576AF8">
              <w:rPr>
                <w:i/>
                <w:spacing w:val="-2"/>
              </w:rPr>
              <w:t>]</w:t>
            </w:r>
          </w:p>
        </w:tc>
      </w:tr>
      <w:tr w:rsidR="00C10A6A" w:rsidRPr="00576AF8" w14:paraId="5F8562A4" w14:textId="77777777" w:rsidTr="00865206">
        <w:trPr>
          <w:cantSplit/>
          <w:trHeight w:val="674"/>
        </w:trPr>
        <w:tc>
          <w:tcPr>
            <w:tcW w:w="9475" w:type="dxa"/>
            <w:tcBorders>
              <w:left w:val="single" w:sz="4" w:space="0" w:color="auto"/>
            </w:tcBorders>
          </w:tcPr>
          <w:p w14:paraId="27CF8746" w14:textId="77777777" w:rsidR="00C10A6A" w:rsidRPr="00576AF8" w:rsidRDefault="00C10A6A" w:rsidP="00865206">
            <w:pPr>
              <w:spacing w:after="160"/>
              <w:ind w:left="291" w:hanging="291"/>
              <w:jc w:val="left"/>
              <w:rPr>
                <w:b/>
              </w:rPr>
            </w:pPr>
            <w:r w:rsidRPr="00576AF8">
              <w:t>3.</w:t>
            </w:r>
            <w:r w:rsidR="005E018E" w:rsidRPr="00576AF8">
              <w:tab/>
            </w:r>
            <w:r w:rsidRPr="00576AF8">
              <w:t xml:space="preserve">País donde </w:t>
            </w:r>
            <w:r w:rsidR="00B24605" w:rsidRPr="00576AF8">
              <w:t xml:space="preserve">el Licitante </w:t>
            </w:r>
            <w:r w:rsidRPr="00576AF8">
              <w:t xml:space="preserve">está registrado en la actualidad o donde pretende registrarse: </w:t>
            </w:r>
            <w:r w:rsidRPr="00576AF8">
              <w:rPr>
                <w:i/>
                <w:spacing w:val="-2"/>
              </w:rPr>
              <w:t>[indique el país de registro del Licitante en la actualidad o país donde pretende registrarse]</w:t>
            </w:r>
          </w:p>
        </w:tc>
      </w:tr>
      <w:tr w:rsidR="00C10A6A" w:rsidRPr="00576AF8" w14:paraId="20F6B781" w14:textId="77777777" w:rsidTr="00865206">
        <w:trPr>
          <w:cantSplit/>
          <w:trHeight w:val="404"/>
        </w:trPr>
        <w:tc>
          <w:tcPr>
            <w:tcW w:w="9475" w:type="dxa"/>
            <w:tcBorders>
              <w:left w:val="single" w:sz="4" w:space="0" w:color="auto"/>
            </w:tcBorders>
          </w:tcPr>
          <w:p w14:paraId="1B262218" w14:textId="77777777" w:rsidR="00C10A6A" w:rsidRPr="00576AF8" w:rsidRDefault="00C10A6A" w:rsidP="00865206">
            <w:pPr>
              <w:spacing w:after="160"/>
              <w:ind w:left="291" w:hanging="291"/>
              <w:jc w:val="left"/>
              <w:rPr>
                <w:b/>
                <w:spacing w:val="-2"/>
              </w:rPr>
            </w:pPr>
            <w:r w:rsidRPr="00576AF8">
              <w:t>4.</w:t>
            </w:r>
            <w:r w:rsidR="005E018E" w:rsidRPr="00576AF8">
              <w:tab/>
            </w:r>
            <w:r w:rsidRPr="00576AF8">
              <w:t xml:space="preserve">Año de registro del Licitante: </w:t>
            </w:r>
            <w:r w:rsidRPr="00576AF8">
              <w:rPr>
                <w:i/>
                <w:spacing w:val="-2"/>
              </w:rPr>
              <w:t>[indique el año de registro del Licitante]</w:t>
            </w:r>
          </w:p>
        </w:tc>
      </w:tr>
      <w:tr w:rsidR="00C10A6A" w:rsidRPr="00576AF8" w14:paraId="4B0780E0" w14:textId="77777777" w:rsidTr="00865206">
        <w:trPr>
          <w:cantSplit/>
        </w:trPr>
        <w:tc>
          <w:tcPr>
            <w:tcW w:w="9475" w:type="dxa"/>
            <w:tcBorders>
              <w:left w:val="single" w:sz="4" w:space="0" w:color="auto"/>
            </w:tcBorders>
          </w:tcPr>
          <w:p w14:paraId="33EA9FF6" w14:textId="77777777" w:rsidR="00C10A6A" w:rsidRPr="00576AF8" w:rsidRDefault="00C10A6A" w:rsidP="00865206">
            <w:pPr>
              <w:spacing w:after="160"/>
              <w:ind w:left="291" w:hanging="291"/>
              <w:jc w:val="left"/>
              <w:rPr>
                <w:spacing w:val="-2"/>
              </w:rPr>
            </w:pPr>
            <w:r w:rsidRPr="00576AF8">
              <w:t>5.</w:t>
            </w:r>
            <w:r w:rsidR="005E018E" w:rsidRPr="00576AF8">
              <w:tab/>
            </w:r>
            <w:r w:rsidRPr="00576AF8">
              <w:t xml:space="preserve">Dirección del Licitante en el país donde está registrado: </w:t>
            </w:r>
            <w:r w:rsidRPr="00576AF8">
              <w:rPr>
                <w:i/>
                <w:spacing w:val="-2"/>
              </w:rPr>
              <w:t>[indique la dirección jurídica del Licitante en el país donde está registrado]</w:t>
            </w:r>
          </w:p>
        </w:tc>
      </w:tr>
      <w:tr w:rsidR="00C10A6A" w:rsidRPr="00576AF8" w14:paraId="1D318369" w14:textId="77777777" w:rsidTr="00865206">
        <w:trPr>
          <w:cantSplit/>
        </w:trPr>
        <w:tc>
          <w:tcPr>
            <w:tcW w:w="9475" w:type="dxa"/>
          </w:tcPr>
          <w:p w14:paraId="79E7E96A" w14:textId="77777777" w:rsidR="00C10A6A" w:rsidRPr="00576AF8" w:rsidRDefault="00C10A6A" w:rsidP="00865206">
            <w:pPr>
              <w:ind w:left="291" w:hanging="291"/>
              <w:jc w:val="left"/>
              <w:rPr>
                <w:spacing w:val="-2"/>
              </w:rPr>
            </w:pPr>
            <w:r w:rsidRPr="00576AF8">
              <w:t>6.</w:t>
            </w:r>
            <w:r w:rsidR="005E018E" w:rsidRPr="00576AF8">
              <w:tab/>
            </w:r>
            <w:r w:rsidRPr="00576AF8">
              <w:t xml:space="preserve">Información del </w:t>
            </w:r>
            <w:r w:rsidR="00B24605" w:rsidRPr="00576AF8">
              <w:t>r</w:t>
            </w:r>
            <w:r w:rsidRPr="00576AF8">
              <w:t xml:space="preserve">epresentante </w:t>
            </w:r>
            <w:r w:rsidR="00B24605" w:rsidRPr="00576AF8">
              <w:t>a</w:t>
            </w:r>
            <w:r w:rsidRPr="00576AF8">
              <w:t>utorizado del Licitante:</w:t>
            </w:r>
          </w:p>
          <w:p w14:paraId="50F271C1" w14:textId="77777777" w:rsidR="00C10A6A" w:rsidRPr="00576AF8" w:rsidRDefault="00C10A6A" w:rsidP="00865206">
            <w:pPr>
              <w:spacing w:after="80"/>
              <w:ind w:left="291"/>
              <w:jc w:val="left"/>
              <w:rPr>
                <w:b/>
                <w:spacing w:val="-2"/>
              </w:rPr>
            </w:pPr>
            <w:r w:rsidRPr="00576AF8">
              <w:t xml:space="preserve">Nombre: </w:t>
            </w:r>
            <w:r w:rsidRPr="00576AF8">
              <w:rPr>
                <w:i/>
                <w:spacing w:val="-2"/>
              </w:rPr>
              <w:t xml:space="preserve">[indique el nombre del </w:t>
            </w:r>
            <w:r w:rsidR="00B24605" w:rsidRPr="00576AF8">
              <w:rPr>
                <w:i/>
                <w:spacing w:val="-2"/>
              </w:rPr>
              <w:t>r</w:t>
            </w:r>
            <w:r w:rsidRPr="00576AF8">
              <w:rPr>
                <w:i/>
                <w:spacing w:val="-2"/>
              </w:rPr>
              <w:t xml:space="preserve">epresentante </w:t>
            </w:r>
            <w:r w:rsidR="00B24605" w:rsidRPr="00576AF8">
              <w:rPr>
                <w:i/>
                <w:spacing w:val="-2"/>
              </w:rPr>
              <w:t>a</w:t>
            </w:r>
            <w:r w:rsidRPr="00576AF8">
              <w:rPr>
                <w:i/>
                <w:spacing w:val="-2"/>
              </w:rPr>
              <w:t>utorizado]</w:t>
            </w:r>
          </w:p>
          <w:p w14:paraId="0002E8D6" w14:textId="77777777" w:rsidR="00C10A6A" w:rsidRPr="00576AF8" w:rsidRDefault="00C10A6A" w:rsidP="00865206">
            <w:pPr>
              <w:spacing w:after="80"/>
              <w:ind w:left="291"/>
              <w:jc w:val="left"/>
              <w:rPr>
                <w:b/>
                <w:spacing w:val="-2"/>
              </w:rPr>
            </w:pPr>
            <w:r w:rsidRPr="00576AF8">
              <w:t xml:space="preserve">Dirección: </w:t>
            </w:r>
            <w:r w:rsidRPr="00576AF8">
              <w:rPr>
                <w:i/>
                <w:spacing w:val="-2"/>
              </w:rPr>
              <w:t xml:space="preserve">[indique la dirección del </w:t>
            </w:r>
            <w:r w:rsidR="00B24605" w:rsidRPr="00576AF8">
              <w:rPr>
                <w:i/>
                <w:spacing w:val="-2"/>
              </w:rPr>
              <w:t>r</w:t>
            </w:r>
            <w:r w:rsidRPr="00576AF8">
              <w:rPr>
                <w:i/>
                <w:spacing w:val="-2"/>
              </w:rPr>
              <w:t xml:space="preserve">epresentante </w:t>
            </w:r>
            <w:r w:rsidR="00B24605" w:rsidRPr="00576AF8">
              <w:rPr>
                <w:i/>
                <w:spacing w:val="-2"/>
              </w:rPr>
              <w:t>a</w:t>
            </w:r>
            <w:r w:rsidRPr="00576AF8">
              <w:rPr>
                <w:i/>
                <w:spacing w:val="-2"/>
              </w:rPr>
              <w:t>utorizado]</w:t>
            </w:r>
          </w:p>
          <w:p w14:paraId="0AAB068E" w14:textId="77777777" w:rsidR="00C10A6A" w:rsidRPr="00576AF8" w:rsidRDefault="00C10A6A" w:rsidP="00865206">
            <w:pPr>
              <w:spacing w:after="80"/>
              <w:ind w:left="291"/>
              <w:jc w:val="left"/>
              <w:rPr>
                <w:b/>
                <w:spacing w:val="-2"/>
              </w:rPr>
            </w:pPr>
            <w:r w:rsidRPr="00576AF8">
              <w:t xml:space="preserve">Números de teléfono: </w:t>
            </w:r>
            <w:r w:rsidRPr="00576AF8">
              <w:rPr>
                <w:i/>
                <w:spacing w:val="-2"/>
              </w:rPr>
              <w:t xml:space="preserve">[indique </w:t>
            </w:r>
            <w:r w:rsidR="00F32294" w:rsidRPr="00576AF8">
              <w:rPr>
                <w:i/>
                <w:spacing w:val="-2"/>
              </w:rPr>
              <w:t xml:space="preserve">el </w:t>
            </w:r>
            <w:r w:rsidRPr="00576AF8">
              <w:rPr>
                <w:i/>
                <w:spacing w:val="-2"/>
              </w:rPr>
              <w:t>número de teléfono</w:t>
            </w:r>
            <w:r w:rsidR="00F32294" w:rsidRPr="00576AF8">
              <w:rPr>
                <w:i/>
                <w:spacing w:val="-2"/>
              </w:rPr>
              <w:t xml:space="preserve"> </w:t>
            </w:r>
            <w:r w:rsidRPr="00576AF8">
              <w:rPr>
                <w:i/>
                <w:spacing w:val="-2"/>
              </w:rPr>
              <w:t xml:space="preserve">del </w:t>
            </w:r>
            <w:r w:rsidR="00B24605" w:rsidRPr="00576AF8">
              <w:rPr>
                <w:i/>
                <w:spacing w:val="-2"/>
              </w:rPr>
              <w:t>r</w:t>
            </w:r>
            <w:r w:rsidRPr="00576AF8">
              <w:rPr>
                <w:i/>
                <w:spacing w:val="-2"/>
              </w:rPr>
              <w:t xml:space="preserve">epresentante </w:t>
            </w:r>
            <w:r w:rsidR="00B24605" w:rsidRPr="00576AF8">
              <w:rPr>
                <w:i/>
                <w:spacing w:val="-2"/>
              </w:rPr>
              <w:t>a</w:t>
            </w:r>
            <w:r w:rsidRPr="00576AF8">
              <w:rPr>
                <w:i/>
                <w:spacing w:val="-2"/>
              </w:rPr>
              <w:t>utorizado]</w:t>
            </w:r>
          </w:p>
          <w:p w14:paraId="5E271A87" w14:textId="77777777" w:rsidR="00C10A6A" w:rsidRPr="00576AF8" w:rsidRDefault="00C10A6A" w:rsidP="00865206">
            <w:pPr>
              <w:spacing w:after="160"/>
              <w:ind w:left="291"/>
              <w:jc w:val="left"/>
              <w:rPr>
                <w:spacing w:val="-2"/>
              </w:rPr>
            </w:pPr>
            <w:r w:rsidRPr="00576AF8">
              <w:t xml:space="preserve">Dirección de correo electrónico: </w:t>
            </w:r>
            <w:r w:rsidRPr="00576AF8">
              <w:rPr>
                <w:i/>
                <w:spacing w:val="-2"/>
              </w:rPr>
              <w:t xml:space="preserve">[indique la dirección de correo electrónico del </w:t>
            </w:r>
            <w:r w:rsidR="00865206" w:rsidRPr="00576AF8">
              <w:rPr>
                <w:i/>
                <w:spacing w:val="-2"/>
              </w:rPr>
              <w:br/>
            </w:r>
            <w:r w:rsidR="00B24605" w:rsidRPr="00576AF8">
              <w:rPr>
                <w:i/>
                <w:spacing w:val="-2"/>
              </w:rPr>
              <w:t>r</w:t>
            </w:r>
            <w:r w:rsidRPr="00576AF8">
              <w:rPr>
                <w:i/>
                <w:spacing w:val="-2"/>
              </w:rPr>
              <w:t xml:space="preserve">epresentante </w:t>
            </w:r>
            <w:r w:rsidR="00B24605" w:rsidRPr="00576AF8">
              <w:rPr>
                <w:i/>
                <w:spacing w:val="-2"/>
              </w:rPr>
              <w:t>a</w:t>
            </w:r>
            <w:r w:rsidRPr="00576AF8">
              <w:rPr>
                <w:i/>
                <w:spacing w:val="-2"/>
              </w:rPr>
              <w:t>utorizado]</w:t>
            </w:r>
          </w:p>
        </w:tc>
      </w:tr>
      <w:tr w:rsidR="00C10A6A" w:rsidRPr="00576AF8" w14:paraId="2C9C99E8" w14:textId="77777777" w:rsidTr="00865206">
        <w:tc>
          <w:tcPr>
            <w:tcW w:w="9475" w:type="dxa"/>
          </w:tcPr>
          <w:p w14:paraId="0F8B0FC4" w14:textId="77777777" w:rsidR="00C10A6A" w:rsidRPr="00576AF8" w:rsidRDefault="00C10A6A" w:rsidP="00865206">
            <w:pPr>
              <w:suppressAutoHyphens w:val="0"/>
              <w:spacing w:before="40"/>
              <w:ind w:left="291" w:hanging="284"/>
              <w:jc w:val="left"/>
              <w:rPr>
                <w:spacing w:val="-2"/>
              </w:rPr>
            </w:pPr>
            <w:r w:rsidRPr="00576AF8">
              <w:t xml:space="preserve">7. </w:t>
            </w:r>
            <w:r w:rsidRPr="00576AF8">
              <w:tab/>
              <w:t>Se adjuntan copias de los documentos originales de</w:t>
            </w:r>
            <w:r w:rsidRPr="00576AF8">
              <w:rPr>
                <w:i/>
              </w:rPr>
              <w:t xml:space="preserve"> [marque las casillas de los documentos originales adjuntos]</w:t>
            </w:r>
          </w:p>
          <w:p w14:paraId="64E883A7" w14:textId="77777777" w:rsidR="00C10A6A" w:rsidRPr="00576AF8" w:rsidRDefault="00C10A6A" w:rsidP="00865206">
            <w:pPr>
              <w:suppressAutoHyphens w:val="0"/>
              <w:spacing w:before="40"/>
              <w:ind w:left="432" w:hanging="425"/>
              <w:jc w:val="left"/>
              <w:rPr>
                <w:spacing w:val="-4"/>
              </w:rPr>
            </w:pPr>
            <w:r w:rsidRPr="00576AF8">
              <w:rPr>
                <w:rFonts w:eastAsia="MS Mincho"/>
                <w:spacing w:val="-4"/>
              </w:rPr>
              <w:sym w:font="Wingdings" w:char="F0A8"/>
            </w:r>
            <w:r w:rsidRPr="00576AF8">
              <w:rPr>
                <w:spacing w:val="-4"/>
              </w:rPr>
              <w:tab/>
              <w:t xml:space="preserve">Escritura de constitución (o los documentos equivalentes de constitución o asociación) o los documentos de inscripción de la entidad jurídica mencionada </w:t>
            </w:r>
            <w:proofErr w:type="gramStart"/>
            <w:r w:rsidRPr="00576AF8">
              <w:rPr>
                <w:spacing w:val="-4"/>
              </w:rPr>
              <w:t>arriba</w:t>
            </w:r>
            <w:r w:rsidR="0068225C" w:rsidRPr="00576AF8">
              <w:rPr>
                <w:spacing w:val="-4"/>
              </w:rPr>
              <w:t>.</w:t>
            </w:r>
            <w:r w:rsidRPr="00576AF8">
              <w:rPr>
                <w:spacing w:val="-4"/>
              </w:rPr>
              <w:t>.</w:t>
            </w:r>
            <w:proofErr w:type="gramEnd"/>
          </w:p>
          <w:p w14:paraId="470F9960" w14:textId="77777777" w:rsidR="00C10A6A" w:rsidRPr="00576AF8" w:rsidRDefault="00C10A6A" w:rsidP="00865206">
            <w:pPr>
              <w:suppressAutoHyphens w:val="0"/>
              <w:spacing w:before="40"/>
              <w:ind w:left="432" w:hanging="425"/>
              <w:jc w:val="left"/>
              <w:rPr>
                <w:spacing w:val="-2"/>
              </w:rPr>
            </w:pPr>
            <w:r w:rsidRPr="00576AF8">
              <w:rPr>
                <w:rFonts w:eastAsia="MS Mincho"/>
                <w:spacing w:val="-2"/>
              </w:rPr>
              <w:sym w:font="Wingdings" w:char="F0A8"/>
            </w:r>
            <w:r w:rsidRPr="00576AF8">
              <w:tab/>
              <w:t xml:space="preserve">En el caso de una </w:t>
            </w:r>
            <w:r w:rsidR="000107E9" w:rsidRPr="00576AF8">
              <w:t>APCA</w:t>
            </w:r>
            <w:r w:rsidRPr="00576AF8">
              <w:t xml:space="preserve">, carta de intención de constituir una </w:t>
            </w:r>
            <w:r w:rsidR="000107E9" w:rsidRPr="00576AF8">
              <w:t>APCA</w:t>
            </w:r>
            <w:r w:rsidRPr="00576AF8">
              <w:t xml:space="preserve"> o convenio de </w:t>
            </w:r>
            <w:r w:rsidR="000107E9" w:rsidRPr="00576AF8">
              <w:t>APCA</w:t>
            </w:r>
            <w:r w:rsidRPr="00576AF8">
              <w:t xml:space="preserve">, de conformidad con la </w:t>
            </w:r>
            <w:r w:rsidR="00884AB4" w:rsidRPr="00576AF8">
              <w:t>IAL</w:t>
            </w:r>
            <w:r w:rsidRPr="00576AF8">
              <w:t xml:space="preserve"> </w:t>
            </w:r>
            <w:r w:rsidR="0068225C" w:rsidRPr="00576AF8">
              <w:t>11.3</w:t>
            </w:r>
            <w:r w:rsidRPr="00576AF8">
              <w:t>.</w:t>
            </w:r>
          </w:p>
          <w:p w14:paraId="3C7BCD72" w14:textId="77777777" w:rsidR="00C10A6A" w:rsidRPr="00576AF8" w:rsidRDefault="00C10A6A" w:rsidP="00865206">
            <w:pPr>
              <w:suppressAutoHyphens w:val="0"/>
              <w:spacing w:before="40" w:after="60"/>
              <w:ind w:left="432" w:hanging="425"/>
              <w:jc w:val="left"/>
              <w:rPr>
                <w:spacing w:val="-2"/>
              </w:rPr>
            </w:pPr>
            <w:r w:rsidRPr="00576AF8">
              <w:rPr>
                <w:rFonts w:eastAsia="MS Mincho"/>
                <w:spacing w:val="-2"/>
              </w:rPr>
              <w:sym w:font="Wingdings" w:char="F0A8"/>
            </w:r>
            <w:r w:rsidRPr="00576AF8">
              <w:tab/>
              <w:t xml:space="preserve">En el caso de una empresa o institución de propiedad estatal, de conformidad con la </w:t>
            </w:r>
            <w:r w:rsidR="00884AB4" w:rsidRPr="00576AF8">
              <w:t>IAL </w:t>
            </w:r>
            <w:r w:rsidRPr="00576AF8">
              <w:t>4.</w:t>
            </w:r>
            <w:r w:rsidR="0068225C" w:rsidRPr="00576AF8">
              <w:t>4</w:t>
            </w:r>
            <w:r w:rsidR="00B30201" w:rsidRPr="00576AF8">
              <w:t xml:space="preserve"> y la Carta de Oferta</w:t>
            </w:r>
            <w:r w:rsidRPr="00576AF8">
              <w:t>, documentación que acredite:</w:t>
            </w:r>
          </w:p>
          <w:p w14:paraId="74855285" w14:textId="77777777" w:rsidR="00C10A6A" w:rsidRPr="00576AF8" w:rsidRDefault="00C10A6A">
            <w:pPr>
              <w:widowControl w:val="0"/>
              <w:numPr>
                <w:ilvl w:val="0"/>
                <w:numId w:val="13"/>
              </w:numPr>
              <w:suppressAutoHyphens w:val="0"/>
              <w:autoSpaceDE w:val="0"/>
              <w:autoSpaceDN w:val="0"/>
              <w:spacing w:before="40" w:after="180"/>
              <w:contextualSpacing/>
              <w:jc w:val="left"/>
              <w:rPr>
                <w:spacing w:val="-8"/>
              </w:rPr>
            </w:pPr>
            <w:r w:rsidRPr="00576AF8">
              <w:t>que tiene autonomía jurídica y financiera;</w:t>
            </w:r>
          </w:p>
          <w:p w14:paraId="39BBBCCA" w14:textId="77777777" w:rsidR="00C10A6A" w:rsidRPr="00576AF8" w:rsidRDefault="00C10A6A">
            <w:pPr>
              <w:widowControl w:val="0"/>
              <w:numPr>
                <w:ilvl w:val="0"/>
                <w:numId w:val="13"/>
              </w:numPr>
              <w:suppressAutoHyphens w:val="0"/>
              <w:autoSpaceDE w:val="0"/>
              <w:autoSpaceDN w:val="0"/>
              <w:spacing w:before="40" w:after="180"/>
              <w:contextualSpacing/>
              <w:jc w:val="left"/>
              <w:rPr>
                <w:spacing w:val="-8"/>
              </w:rPr>
            </w:pPr>
            <w:r w:rsidRPr="00576AF8">
              <w:t>que realiza operaciones con arreglo a la legislación comercial;</w:t>
            </w:r>
          </w:p>
          <w:p w14:paraId="7246709D" w14:textId="77777777" w:rsidR="00C10A6A" w:rsidRPr="00576AF8" w:rsidRDefault="00C10A6A">
            <w:pPr>
              <w:widowControl w:val="0"/>
              <w:numPr>
                <w:ilvl w:val="0"/>
                <w:numId w:val="13"/>
              </w:numPr>
              <w:suppressAutoHyphens w:val="0"/>
              <w:autoSpaceDE w:val="0"/>
              <w:autoSpaceDN w:val="0"/>
              <w:spacing w:before="40"/>
              <w:contextualSpacing/>
              <w:jc w:val="left"/>
              <w:rPr>
                <w:spacing w:val="-8"/>
              </w:rPr>
            </w:pPr>
            <w:r w:rsidRPr="00576AF8">
              <w:t>que el Licitante no está sometido a la supervisión del Comprador.</w:t>
            </w:r>
          </w:p>
          <w:p w14:paraId="135B3212" w14:textId="77777777" w:rsidR="00C10A6A" w:rsidRPr="00576AF8" w:rsidRDefault="005174F3" w:rsidP="005174F3">
            <w:pPr>
              <w:suppressAutoHyphens w:val="0"/>
              <w:ind w:left="432" w:hanging="425"/>
              <w:jc w:val="left"/>
            </w:pPr>
            <w:r w:rsidRPr="00576AF8">
              <w:t xml:space="preserve">8.   Incluimos el organigrama, una lista de la Junta Directiva o consejo de administración y la propiedad efectiva.  </w:t>
            </w:r>
            <w:r w:rsidRPr="00576AF8">
              <w:rPr>
                <w:i/>
              </w:rPr>
              <w:t xml:space="preserve">[Si se especifica en los DDL </w:t>
            </w:r>
            <w:r w:rsidR="00F32294" w:rsidRPr="00576AF8">
              <w:rPr>
                <w:i/>
              </w:rPr>
              <w:t xml:space="preserve">en referencia a </w:t>
            </w:r>
            <w:r w:rsidRPr="00576AF8">
              <w:rPr>
                <w:i/>
              </w:rPr>
              <w:t>IAL 4</w:t>
            </w:r>
            <w:r w:rsidR="0068225C" w:rsidRPr="00576AF8">
              <w:rPr>
                <w:i/>
              </w:rPr>
              <w:t>6</w:t>
            </w:r>
            <w:r w:rsidRPr="00576AF8">
              <w:rPr>
                <w:i/>
              </w:rPr>
              <w:t xml:space="preserve">.1 el Licitante </w:t>
            </w:r>
            <w:r w:rsidRPr="00576AF8">
              <w:rPr>
                <w:i/>
              </w:rPr>
              <w:lastRenderedPageBreak/>
              <w:t>seleccionado deberá proporcionar información adicional sobre la titularidad real, utilizando el Formulario de Divulgación de la Propiedad Efectiva].</w:t>
            </w:r>
          </w:p>
        </w:tc>
      </w:tr>
    </w:tbl>
    <w:p w14:paraId="0EC92A0F" w14:textId="77777777" w:rsidR="00FA7174" w:rsidRPr="00576AF8" w:rsidRDefault="00FA7174" w:rsidP="00A01121">
      <w:pPr>
        <w:suppressAutoHyphens w:val="0"/>
        <w:spacing w:after="0"/>
        <w:jc w:val="center"/>
        <w:rPr>
          <w:b/>
          <w:sz w:val="36"/>
        </w:rPr>
      </w:pPr>
      <w:r w:rsidRPr="00576AF8">
        <w:lastRenderedPageBreak/>
        <w:br w:type="page"/>
      </w:r>
      <w:r w:rsidRPr="00576AF8">
        <w:rPr>
          <w:b/>
          <w:sz w:val="36"/>
        </w:rPr>
        <w:lastRenderedPageBreak/>
        <w:t xml:space="preserve">Formulario ELI </w:t>
      </w:r>
      <w:r w:rsidR="00A0389B" w:rsidRPr="00576AF8">
        <w:rPr>
          <w:b/>
          <w:sz w:val="36"/>
        </w:rPr>
        <w:t>5</w:t>
      </w:r>
      <w:r w:rsidRPr="00576AF8">
        <w:rPr>
          <w:b/>
          <w:sz w:val="36"/>
        </w:rPr>
        <w:t>.1.2</w:t>
      </w:r>
    </w:p>
    <w:p w14:paraId="565F2D95" w14:textId="77777777" w:rsidR="00C10A6A" w:rsidRPr="00576AF8" w:rsidRDefault="00C10A6A" w:rsidP="00A01121">
      <w:pPr>
        <w:suppressAutoHyphens w:val="0"/>
        <w:jc w:val="center"/>
        <w:rPr>
          <w:b/>
          <w:sz w:val="36"/>
        </w:rPr>
      </w:pPr>
      <w:r w:rsidRPr="00576AF8">
        <w:rPr>
          <w:b/>
          <w:sz w:val="36"/>
        </w:rPr>
        <w:t xml:space="preserve">Formulario de </w:t>
      </w:r>
      <w:r w:rsidR="001F46ED" w:rsidRPr="00576AF8">
        <w:rPr>
          <w:b/>
          <w:sz w:val="36"/>
        </w:rPr>
        <w:t xml:space="preserve">Información </w:t>
      </w:r>
      <w:r w:rsidRPr="00576AF8">
        <w:rPr>
          <w:b/>
          <w:sz w:val="36"/>
        </w:rPr>
        <w:t xml:space="preserve">sobre los </w:t>
      </w:r>
      <w:r w:rsidR="001F46ED" w:rsidRPr="00576AF8">
        <w:rPr>
          <w:b/>
          <w:sz w:val="36"/>
        </w:rPr>
        <w:t xml:space="preserve">Miembros </w:t>
      </w:r>
      <w:r w:rsidR="00CB5F64" w:rsidRPr="00576AF8">
        <w:rPr>
          <w:b/>
          <w:sz w:val="36"/>
        </w:rPr>
        <w:br/>
      </w:r>
      <w:r w:rsidRPr="00576AF8">
        <w:rPr>
          <w:b/>
          <w:sz w:val="36"/>
        </w:rPr>
        <w:t xml:space="preserve">de la </w:t>
      </w:r>
      <w:r w:rsidR="000107E9" w:rsidRPr="00576AF8">
        <w:rPr>
          <w:b/>
          <w:sz w:val="36"/>
        </w:rPr>
        <w:t>APCA</w:t>
      </w:r>
      <w:r w:rsidRPr="00576AF8">
        <w:rPr>
          <w:b/>
          <w:sz w:val="36"/>
        </w:rPr>
        <w:t xml:space="preserve"> del Licitante</w:t>
      </w:r>
    </w:p>
    <w:p w14:paraId="1C648672" w14:textId="77777777" w:rsidR="00C10A6A" w:rsidRPr="00576AF8" w:rsidRDefault="00C10A6A" w:rsidP="00865206">
      <w:pPr>
        <w:suppressAutoHyphens w:val="0"/>
        <w:ind w:right="-138"/>
        <w:jc w:val="center"/>
        <w:rPr>
          <w:spacing w:val="-4"/>
          <w:sz w:val="36"/>
        </w:rPr>
      </w:pPr>
      <w:r w:rsidRPr="00576AF8">
        <w:rPr>
          <w:i/>
          <w:spacing w:val="-4"/>
        </w:rPr>
        <w:t xml:space="preserve">[El Licitante deberá completar este formulario según las instrucciones siguientes. El siguiente cuadro deberá completarse con la información del Licitante y de cada uno de los miembros de la </w:t>
      </w:r>
      <w:r w:rsidR="000107E9" w:rsidRPr="00576AF8">
        <w:rPr>
          <w:i/>
          <w:spacing w:val="-4"/>
        </w:rPr>
        <w:t>APCA</w:t>
      </w:r>
      <w:r w:rsidRPr="00576AF8">
        <w:rPr>
          <w:i/>
          <w:spacing w:val="-4"/>
        </w:rPr>
        <w:t>].</w:t>
      </w:r>
    </w:p>
    <w:p w14:paraId="57868AAB" w14:textId="77777777" w:rsidR="00C10A6A" w:rsidRPr="00576AF8" w:rsidRDefault="00C10A6A" w:rsidP="00C10A6A">
      <w:pPr>
        <w:suppressAutoHyphens w:val="0"/>
        <w:spacing w:after="0"/>
        <w:ind w:left="720" w:hanging="720"/>
        <w:jc w:val="right"/>
      </w:pPr>
      <w:r w:rsidRPr="00576AF8">
        <w:t xml:space="preserve">Fecha: </w:t>
      </w:r>
      <w:r w:rsidRPr="00576AF8">
        <w:rPr>
          <w:i/>
        </w:rPr>
        <w:t>[indique la fecha (día, mes y año) de la presentación de la Oferta]</w:t>
      </w:r>
      <w:r w:rsidRPr="00576AF8">
        <w:t xml:space="preserve"> </w:t>
      </w:r>
    </w:p>
    <w:p w14:paraId="5F82B85B" w14:textId="77777777" w:rsidR="0043323C" w:rsidRPr="00576AF8" w:rsidRDefault="0043323C" w:rsidP="0043323C">
      <w:pPr>
        <w:tabs>
          <w:tab w:val="right" w:pos="9360"/>
        </w:tabs>
        <w:suppressAutoHyphens w:val="0"/>
        <w:spacing w:after="0"/>
        <w:ind w:left="720" w:hanging="720"/>
        <w:jc w:val="right"/>
        <w:rPr>
          <w:i/>
        </w:rPr>
      </w:pPr>
      <w:r w:rsidRPr="00576AF8">
        <w:t>SDO</w:t>
      </w:r>
      <w:r w:rsidR="00BB2041" w:rsidRPr="00576AF8">
        <w:t xml:space="preserve"> </w:t>
      </w:r>
      <w:r w:rsidR="00C10A6A" w:rsidRPr="00576AF8">
        <w:t xml:space="preserve">n.º: </w:t>
      </w:r>
      <w:r w:rsidRPr="00576AF8">
        <w:rPr>
          <w:i/>
        </w:rPr>
        <w:t>EC-L1257-P00015</w:t>
      </w:r>
    </w:p>
    <w:p w14:paraId="34E76D07" w14:textId="77777777" w:rsidR="00C10A6A" w:rsidRPr="00576AF8" w:rsidRDefault="00C10A6A" w:rsidP="0043323C">
      <w:pPr>
        <w:tabs>
          <w:tab w:val="right" w:pos="9360"/>
        </w:tabs>
        <w:suppressAutoHyphens w:val="0"/>
        <w:spacing w:after="0"/>
        <w:ind w:left="720" w:hanging="720"/>
        <w:jc w:val="right"/>
      </w:pPr>
      <w:r w:rsidRPr="00576AF8">
        <w:t xml:space="preserve">Alternativa n.º: </w:t>
      </w:r>
      <w:r w:rsidRPr="00576AF8">
        <w:rPr>
          <w:i/>
        </w:rPr>
        <w:t>[indique el n.° de identificación si se trata de una Oferta para una alternativa]</w:t>
      </w:r>
    </w:p>
    <w:p w14:paraId="2D4E6396" w14:textId="77777777" w:rsidR="00C10A6A" w:rsidRPr="00576AF8" w:rsidRDefault="00C10A6A" w:rsidP="00865206">
      <w:pPr>
        <w:suppressAutoHyphens w:val="0"/>
        <w:spacing w:after="240"/>
        <w:ind w:left="720" w:hanging="720"/>
        <w:jc w:val="right"/>
      </w:pPr>
      <w:r w:rsidRPr="00576AF8">
        <w:t>Página ________ de ______ páginas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C10A6A" w:rsidRPr="00576AF8" w14:paraId="00947563" w14:textId="77777777" w:rsidTr="00865206">
        <w:trPr>
          <w:cantSplit/>
          <w:trHeight w:val="440"/>
        </w:trPr>
        <w:tc>
          <w:tcPr>
            <w:tcW w:w="9243" w:type="dxa"/>
            <w:tcBorders>
              <w:bottom w:val="nil"/>
            </w:tcBorders>
          </w:tcPr>
          <w:p w14:paraId="334F3441" w14:textId="77777777" w:rsidR="00C10A6A" w:rsidRPr="00576AF8" w:rsidRDefault="00C10A6A" w:rsidP="00865206">
            <w:pPr>
              <w:suppressAutoHyphens w:val="0"/>
              <w:spacing w:before="40" w:after="160"/>
              <w:ind w:left="360" w:hanging="360"/>
            </w:pPr>
            <w:r w:rsidRPr="00576AF8">
              <w:t>1.</w:t>
            </w:r>
            <w:r w:rsidRPr="00576AF8">
              <w:tab/>
              <w:t xml:space="preserve">Nombre del Licitante: </w:t>
            </w:r>
            <w:r w:rsidRPr="00576AF8">
              <w:rPr>
                <w:i/>
              </w:rPr>
              <w:t>[indique el nombre jurídico del Licitante]</w:t>
            </w:r>
          </w:p>
        </w:tc>
      </w:tr>
      <w:tr w:rsidR="00C10A6A" w:rsidRPr="00576AF8" w14:paraId="64D29DCF" w14:textId="77777777" w:rsidTr="00865206">
        <w:trPr>
          <w:cantSplit/>
          <w:trHeight w:val="674"/>
        </w:trPr>
        <w:tc>
          <w:tcPr>
            <w:tcW w:w="9243" w:type="dxa"/>
            <w:tcBorders>
              <w:left w:val="single" w:sz="4" w:space="0" w:color="auto"/>
            </w:tcBorders>
          </w:tcPr>
          <w:p w14:paraId="5A680D49" w14:textId="77777777" w:rsidR="00C10A6A" w:rsidRPr="00576AF8" w:rsidRDefault="00C10A6A" w:rsidP="00865206">
            <w:pPr>
              <w:suppressAutoHyphens w:val="0"/>
              <w:spacing w:before="40" w:after="160"/>
              <w:ind w:left="360" w:hanging="360"/>
              <w:rPr>
                <w:b/>
              </w:rPr>
            </w:pPr>
            <w:r w:rsidRPr="00576AF8">
              <w:t>2.</w:t>
            </w:r>
            <w:r w:rsidRPr="00576AF8">
              <w:tab/>
              <w:t xml:space="preserve">Nombre del miembro de la </w:t>
            </w:r>
            <w:r w:rsidR="000107E9" w:rsidRPr="00576AF8">
              <w:t>APCA</w:t>
            </w:r>
            <w:r w:rsidRPr="00576AF8">
              <w:t xml:space="preserve"> del Licitante: </w:t>
            </w:r>
            <w:r w:rsidRPr="00576AF8">
              <w:rPr>
                <w:i/>
              </w:rPr>
              <w:t xml:space="preserve">[indique el nombre jurídico del miembro de la </w:t>
            </w:r>
            <w:r w:rsidR="000107E9" w:rsidRPr="00576AF8">
              <w:rPr>
                <w:i/>
              </w:rPr>
              <w:t>APCA</w:t>
            </w:r>
            <w:r w:rsidRPr="00576AF8">
              <w:rPr>
                <w:i/>
              </w:rPr>
              <w:t>]</w:t>
            </w:r>
          </w:p>
        </w:tc>
      </w:tr>
      <w:tr w:rsidR="00C10A6A" w:rsidRPr="00576AF8" w14:paraId="488C6BBA" w14:textId="77777777" w:rsidTr="00865206">
        <w:trPr>
          <w:cantSplit/>
          <w:trHeight w:val="674"/>
        </w:trPr>
        <w:tc>
          <w:tcPr>
            <w:tcW w:w="9243" w:type="dxa"/>
            <w:tcBorders>
              <w:left w:val="single" w:sz="4" w:space="0" w:color="auto"/>
            </w:tcBorders>
          </w:tcPr>
          <w:p w14:paraId="7EFCEFE7" w14:textId="77777777" w:rsidR="00C10A6A" w:rsidRPr="00576AF8" w:rsidRDefault="00C10A6A" w:rsidP="00865206">
            <w:pPr>
              <w:suppressAutoHyphens w:val="0"/>
              <w:spacing w:before="40" w:after="160"/>
              <w:ind w:left="360" w:hanging="360"/>
              <w:rPr>
                <w:b/>
              </w:rPr>
            </w:pPr>
            <w:r w:rsidRPr="00576AF8">
              <w:t>3.</w:t>
            </w:r>
            <w:r w:rsidRPr="00576AF8">
              <w:tab/>
              <w:t xml:space="preserve">País de registro del miembro de la </w:t>
            </w:r>
            <w:r w:rsidR="000107E9" w:rsidRPr="00576AF8">
              <w:t>APCA</w:t>
            </w:r>
            <w:r w:rsidRPr="00576AF8">
              <w:t xml:space="preserve"> del Licitante: </w:t>
            </w:r>
            <w:r w:rsidRPr="00576AF8">
              <w:rPr>
                <w:i/>
              </w:rPr>
              <w:t xml:space="preserve">[indique el país de registro del miembro de la </w:t>
            </w:r>
            <w:r w:rsidR="000107E9" w:rsidRPr="00576AF8">
              <w:rPr>
                <w:i/>
              </w:rPr>
              <w:t>APCA</w:t>
            </w:r>
            <w:r w:rsidRPr="00576AF8">
              <w:rPr>
                <w:i/>
              </w:rPr>
              <w:t>]</w:t>
            </w:r>
          </w:p>
        </w:tc>
      </w:tr>
      <w:tr w:rsidR="00C10A6A" w:rsidRPr="00576AF8" w14:paraId="78F358F4" w14:textId="77777777" w:rsidTr="00865206">
        <w:trPr>
          <w:cantSplit/>
        </w:trPr>
        <w:tc>
          <w:tcPr>
            <w:tcW w:w="9243" w:type="dxa"/>
            <w:tcBorders>
              <w:left w:val="single" w:sz="4" w:space="0" w:color="auto"/>
            </w:tcBorders>
          </w:tcPr>
          <w:p w14:paraId="4E0D8D52" w14:textId="77777777" w:rsidR="00C10A6A" w:rsidRPr="00576AF8" w:rsidRDefault="00C10A6A" w:rsidP="00865206">
            <w:pPr>
              <w:suppressAutoHyphens w:val="0"/>
              <w:spacing w:before="40" w:after="160"/>
              <w:ind w:left="360" w:hanging="360"/>
            </w:pPr>
            <w:r w:rsidRPr="00576AF8">
              <w:t>4.</w:t>
            </w:r>
            <w:r w:rsidRPr="00576AF8">
              <w:tab/>
              <w:t xml:space="preserve">Año de registro del miembro de la </w:t>
            </w:r>
            <w:r w:rsidR="000107E9" w:rsidRPr="00576AF8">
              <w:t>APCA</w:t>
            </w:r>
            <w:r w:rsidRPr="00576AF8">
              <w:t xml:space="preserve"> del Licitante: </w:t>
            </w:r>
            <w:r w:rsidRPr="00576AF8">
              <w:rPr>
                <w:i/>
              </w:rPr>
              <w:t xml:space="preserve">[indique el año de registro del miembro de la </w:t>
            </w:r>
            <w:r w:rsidR="000107E9" w:rsidRPr="00576AF8">
              <w:rPr>
                <w:i/>
              </w:rPr>
              <w:t>APCA</w:t>
            </w:r>
            <w:r w:rsidRPr="00576AF8">
              <w:rPr>
                <w:i/>
              </w:rPr>
              <w:t>]</w:t>
            </w:r>
          </w:p>
        </w:tc>
      </w:tr>
      <w:tr w:rsidR="00C10A6A" w:rsidRPr="00576AF8" w14:paraId="1DEFDFB8" w14:textId="77777777" w:rsidTr="00865206">
        <w:trPr>
          <w:cantSplit/>
        </w:trPr>
        <w:tc>
          <w:tcPr>
            <w:tcW w:w="9243" w:type="dxa"/>
            <w:tcBorders>
              <w:left w:val="single" w:sz="4" w:space="0" w:color="auto"/>
            </w:tcBorders>
          </w:tcPr>
          <w:p w14:paraId="2AA88480" w14:textId="77777777" w:rsidR="00C10A6A" w:rsidRPr="00576AF8" w:rsidRDefault="00C10A6A" w:rsidP="00865206">
            <w:pPr>
              <w:suppressAutoHyphens w:val="0"/>
              <w:spacing w:before="40" w:after="160"/>
              <w:ind w:left="360" w:hanging="360"/>
            </w:pPr>
            <w:r w:rsidRPr="00576AF8">
              <w:t>5.</w:t>
            </w:r>
            <w:r w:rsidRPr="00576AF8">
              <w:tab/>
              <w:t xml:space="preserve">Dirección legal en el país de registro del miembro de la </w:t>
            </w:r>
            <w:r w:rsidR="000107E9" w:rsidRPr="00576AF8">
              <w:t>APCA</w:t>
            </w:r>
            <w:r w:rsidRPr="00576AF8">
              <w:t xml:space="preserve"> del Licitante: </w:t>
            </w:r>
            <w:r w:rsidRPr="00576AF8">
              <w:rPr>
                <w:i/>
              </w:rPr>
              <w:t xml:space="preserve">[indique la dirección legal en el país de registro del miembro de la </w:t>
            </w:r>
            <w:r w:rsidR="000107E9" w:rsidRPr="00576AF8">
              <w:rPr>
                <w:i/>
              </w:rPr>
              <w:t>APCA</w:t>
            </w:r>
            <w:r w:rsidRPr="00576AF8">
              <w:rPr>
                <w:i/>
              </w:rPr>
              <w:t>]</w:t>
            </w:r>
          </w:p>
        </w:tc>
      </w:tr>
      <w:tr w:rsidR="00C10A6A" w:rsidRPr="00576AF8" w14:paraId="36127585" w14:textId="77777777" w:rsidTr="00865206">
        <w:trPr>
          <w:cantSplit/>
        </w:trPr>
        <w:tc>
          <w:tcPr>
            <w:tcW w:w="9243" w:type="dxa"/>
          </w:tcPr>
          <w:p w14:paraId="166658AF" w14:textId="77777777" w:rsidR="00C10A6A" w:rsidRPr="00576AF8" w:rsidRDefault="00C10A6A" w:rsidP="00865206">
            <w:pPr>
              <w:suppressAutoHyphens w:val="0"/>
              <w:spacing w:before="40"/>
              <w:ind w:left="360" w:hanging="360"/>
            </w:pPr>
            <w:r w:rsidRPr="00576AF8">
              <w:t>6.</w:t>
            </w:r>
            <w:r w:rsidRPr="00576AF8">
              <w:tab/>
              <w:t xml:space="preserve">Información sobre el representante autorizado del miembro de la </w:t>
            </w:r>
            <w:r w:rsidR="000107E9" w:rsidRPr="00576AF8">
              <w:t>APCA</w:t>
            </w:r>
            <w:r w:rsidRPr="00576AF8">
              <w:t xml:space="preserve"> del Licitante:</w:t>
            </w:r>
          </w:p>
          <w:p w14:paraId="6F64E5F2" w14:textId="77777777" w:rsidR="00C10A6A" w:rsidRPr="00576AF8" w:rsidRDefault="00C10A6A" w:rsidP="00865206">
            <w:pPr>
              <w:suppressAutoHyphens w:val="0"/>
              <w:spacing w:before="40" w:after="100"/>
              <w:ind w:left="342"/>
              <w:rPr>
                <w:b/>
              </w:rPr>
            </w:pPr>
            <w:r w:rsidRPr="00576AF8">
              <w:t xml:space="preserve">Nombre: </w:t>
            </w:r>
            <w:r w:rsidRPr="00576AF8">
              <w:rPr>
                <w:i/>
              </w:rPr>
              <w:t xml:space="preserve">[indique el nombre del representante autorizado del miembro de la </w:t>
            </w:r>
            <w:r w:rsidR="000107E9" w:rsidRPr="00576AF8">
              <w:rPr>
                <w:i/>
              </w:rPr>
              <w:t>APCA</w:t>
            </w:r>
            <w:r w:rsidRPr="00576AF8">
              <w:rPr>
                <w:i/>
              </w:rPr>
              <w:t>]</w:t>
            </w:r>
          </w:p>
          <w:p w14:paraId="0CD673D9" w14:textId="77777777" w:rsidR="00C10A6A" w:rsidRPr="00576AF8" w:rsidRDefault="00C10A6A" w:rsidP="00865206">
            <w:pPr>
              <w:suppressAutoHyphens w:val="0"/>
              <w:spacing w:before="40" w:after="100"/>
              <w:ind w:left="342"/>
              <w:rPr>
                <w:b/>
              </w:rPr>
            </w:pPr>
            <w:r w:rsidRPr="00576AF8">
              <w:t xml:space="preserve">Dirección: </w:t>
            </w:r>
            <w:r w:rsidRPr="00576AF8">
              <w:rPr>
                <w:i/>
              </w:rPr>
              <w:t xml:space="preserve">[indique la dirección del representante autorizado del miembro de la </w:t>
            </w:r>
            <w:r w:rsidR="000107E9" w:rsidRPr="00576AF8">
              <w:rPr>
                <w:i/>
              </w:rPr>
              <w:t>APCA</w:t>
            </w:r>
            <w:r w:rsidRPr="00576AF8">
              <w:rPr>
                <w:i/>
              </w:rPr>
              <w:t>]</w:t>
            </w:r>
          </w:p>
          <w:p w14:paraId="1A26F3EC" w14:textId="77777777" w:rsidR="00C10A6A" w:rsidRPr="00576AF8" w:rsidRDefault="00C10A6A" w:rsidP="00865206">
            <w:pPr>
              <w:suppressAutoHyphens w:val="0"/>
              <w:spacing w:before="40" w:after="100"/>
              <w:ind w:left="342"/>
              <w:rPr>
                <w:i/>
              </w:rPr>
            </w:pPr>
            <w:r w:rsidRPr="00576AF8">
              <w:t xml:space="preserve">Número de teléfono: </w:t>
            </w:r>
            <w:r w:rsidRPr="00576AF8">
              <w:rPr>
                <w:i/>
              </w:rPr>
              <w:t xml:space="preserve">[indique </w:t>
            </w:r>
            <w:r w:rsidR="00F32294" w:rsidRPr="00576AF8">
              <w:rPr>
                <w:i/>
              </w:rPr>
              <w:t xml:space="preserve">el </w:t>
            </w:r>
            <w:r w:rsidRPr="00576AF8">
              <w:rPr>
                <w:i/>
              </w:rPr>
              <w:t xml:space="preserve">número de teléfono del representante autorizado del miembro de la </w:t>
            </w:r>
            <w:r w:rsidR="000107E9" w:rsidRPr="00576AF8">
              <w:rPr>
                <w:i/>
              </w:rPr>
              <w:t>APCA</w:t>
            </w:r>
            <w:r w:rsidRPr="00576AF8">
              <w:rPr>
                <w:i/>
              </w:rPr>
              <w:t>]</w:t>
            </w:r>
          </w:p>
          <w:p w14:paraId="63685F07" w14:textId="77777777" w:rsidR="00C10A6A" w:rsidRPr="00576AF8" w:rsidRDefault="00C10A6A" w:rsidP="00865206">
            <w:pPr>
              <w:suppressAutoHyphens w:val="0"/>
              <w:spacing w:before="40" w:after="160"/>
              <w:ind w:left="342"/>
            </w:pPr>
            <w:r w:rsidRPr="00576AF8">
              <w:t xml:space="preserve">Dirección de correo electrónico: </w:t>
            </w:r>
            <w:r w:rsidRPr="00576AF8">
              <w:rPr>
                <w:i/>
              </w:rPr>
              <w:t xml:space="preserve">[indique la dirección de correo electrónico del representante autorizado del miembro de la </w:t>
            </w:r>
            <w:r w:rsidR="000107E9" w:rsidRPr="00576AF8">
              <w:rPr>
                <w:i/>
              </w:rPr>
              <w:t>APCA</w:t>
            </w:r>
            <w:r w:rsidRPr="00576AF8">
              <w:rPr>
                <w:i/>
              </w:rPr>
              <w:t>]</w:t>
            </w:r>
          </w:p>
        </w:tc>
      </w:tr>
      <w:tr w:rsidR="00C10A6A" w:rsidRPr="00576AF8" w14:paraId="33643D77" w14:textId="77777777" w:rsidTr="00865206">
        <w:tc>
          <w:tcPr>
            <w:tcW w:w="9243" w:type="dxa"/>
          </w:tcPr>
          <w:p w14:paraId="7D335152" w14:textId="77777777" w:rsidR="00C10A6A" w:rsidRPr="00576AF8" w:rsidRDefault="00C10A6A" w:rsidP="00865206">
            <w:pPr>
              <w:suppressAutoHyphens w:val="0"/>
              <w:spacing w:before="40" w:after="100"/>
              <w:ind w:left="342" w:hanging="342"/>
              <w:jc w:val="left"/>
              <w:rPr>
                <w:spacing w:val="-2"/>
                <w:szCs w:val="24"/>
              </w:rPr>
            </w:pPr>
            <w:r w:rsidRPr="00576AF8">
              <w:rPr>
                <w:szCs w:val="24"/>
              </w:rPr>
              <w:t>7.</w:t>
            </w:r>
            <w:r w:rsidRPr="00576AF8">
              <w:rPr>
                <w:szCs w:val="24"/>
              </w:rPr>
              <w:tab/>
            </w:r>
            <w:r w:rsidRPr="00576AF8">
              <w:rPr>
                <w:spacing w:val="-2"/>
                <w:szCs w:val="24"/>
              </w:rPr>
              <w:t xml:space="preserve">Se adjuntan copias de los documentos originales de </w:t>
            </w:r>
            <w:r w:rsidRPr="00576AF8">
              <w:rPr>
                <w:i/>
                <w:szCs w:val="24"/>
              </w:rPr>
              <w:t>[marque las casillas de los documentos originales adjuntos]</w:t>
            </w:r>
          </w:p>
          <w:p w14:paraId="34C3A71C" w14:textId="77777777" w:rsidR="00C10A6A" w:rsidRPr="00576AF8" w:rsidRDefault="00C10A6A" w:rsidP="00865206">
            <w:pPr>
              <w:suppressAutoHyphens w:val="0"/>
              <w:spacing w:before="40" w:after="100"/>
              <w:ind w:left="342" w:hanging="342"/>
              <w:jc w:val="left"/>
              <w:rPr>
                <w:spacing w:val="-8"/>
                <w:szCs w:val="24"/>
              </w:rPr>
            </w:pPr>
            <w:r w:rsidRPr="00576AF8">
              <w:rPr>
                <w:rFonts w:eastAsia="MS Mincho"/>
                <w:spacing w:val="-2"/>
                <w:szCs w:val="24"/>
              </w:rPr>
              <w:sym w:font="Wingdings" w:char="F0A8"/>
            </w:r>
            <w:r w:rsidRPr="00576AF8">
              <w:rPr>
                <w:szCs w:val="24"/>
              </w:rPr>
              <w:tab/>
            </w:r>
            <w:r w:rsidRPr="00576AF8">
              <w:rPr>
                <w:spacing w:val="-2"/>
                <w:szCs w:val="24"/>
              </w:rPr>
              <w:t>Escritura de constitución (o los documentos equivalentes de constitución o asociación) o los documentos de inscripción de la entidad jurídica mencionada arriba.</w:t>
            </w:r>
          </w:p>
          <w:p w14:paraId="50EE9B70" w14:textId="77777777" w:rsidR="00C10A6A" w:rsidRPr="00576AF8" w:rsidRDefault="00C10A6A" w:rsidP="00865206">
            <w:pPr>
              <w:suppressAutoHyphens w:val="0"/>
              <w:spacing w:before="40" w:after="100"/>
              <w:ind w:left="342" w:hanging="342"/>
              <w:jc w:val="left"/>
              <w:rPr>
                <w:spacing w:val="-2"/>
                <w:szCs w:val="24"/>
              </w:rPr>
            </w:pPr>
            <w:r w:rsidRPr="00576AF8">
              <w:rPr>
                <w:rFonts w:eastAsia="MS Mincho"/>
                <w:spacing w:val="-2"/>
                <w:szCs w:val="24"/>
              </w:rPr>
              <w:sym w:font="Wingdings" w:char="F0A8"/>
            </w:r>
            <w:r w:rsidRPr="00576AF8">
              <w:rPr>
                <w:spacing w:val="-2"/>
                <w:szCs w:val="24"/>
              </w:rPr>
              <w:t xml:space="preserve"> </w:t>
            </w:r>
            <w:r w:rsidRPr="00576AF8">
              <w:rPr>
                <w:szCs w:val="24"/>
              </w:rPr>
              <w:tab/>
            </w:r>
            <w:r w:rsidRPr="00576AF8">
              <w:rPr>
                <w:spacing w:val="-2"/>
                <w:szCs w:val="24"/>
              </w:rPr>
              <w:t>En el caso de una empresa o institución estatal, documentos que acrediten que goza de a</w:t>
            </w:r>
            <w:r w:rsidR="005E018E" w:rsidRPr="00576AF8">
              <w:rPr>
                <w:spacing w:val="-2"/>
                <w:szCs w:val="24"/>
              </w:rPr>
              <w:t>utonomía jurídica y financiera</w:t>
            </w:r>
            <w:r w:rsidR="00865206" w:rsidRPr="00576AF8">
              <w:rPr>
                <w:spacing w:val="-2"/>
                <w:szCs w:val="24"/>
              </w:rPr>
              <w:t xml:space="preserve"> </w:t>
            </w:r>
            <w:r w:rsidRPr="00576AF8">
              <w:rPr>
                <w:spacing w:val="-2"/>
                <w:szCs w:val="24"/>
              </w:rPr>
              <w:t>que funciona con arreglo a la legislación comercial y que no se halla bajo la supervisión del Comprador</w:t>
            </w:r>
            <w:r w:rsidR="00865206" w:rsidRPr="00576AF8">
              <w:rPr>
                <w:spacing w:val="-2"/>
                <w:szCs w:val="24"/>
              </w:rPr>
              <w:t>, de conformidad con la IAL </w:t>
            </w:r>
            <w:r w:rsidR="00B30201" w:rsidRPr="00576AF8">
              <w:rPr>
                <w:spacing w:val="-2"/>
                <w:szCs w:val="24"/>
              </w:rPr>
              <w:t>4.4</w:t>
            </w:r>
            <w:r w:rsidR="00865206" w:rsidRPr="00576AF8">
              <w:rPr>
                <w:spacing w:val="-2"/>
                <w:szCs w:val="24"/>
              </w:rPr>
              <w:t>.</w:t>
            </w:r>
          </w:p>
          <w:p w14:paraId="6CCDEF5A" w14:textId="77777777" w:rsidR="00C10A6A" w:rsidRPr="00576AF8" w:rsidRDefault="005174F3" w:rsidP="005174F3">
            <w:pPr>
              <w:suppressAutoHyphens w:val="0"/>
              <w:spacing w:before="40"/>
              <w:ind w:left="319" w:hanging="229"/>
              <w:jc w:val="left"/>
              <w:rPr>
                <w:spacing w:val="-2"/>
                <w:szCs w:val="24"/>
              </w:rPr>
            </w:pPr>
            <w:r w:rsidRPr="00576AF8">
              <w:t xml:space="preserve">8. Incluimos el organigrama, una lista de la Junta Directiva o consejo de administración y la propiedad efectiva.  </w:t>
            </w:r>
            <w:r w:rsidRPr="00576AF8">
              <w:rPr>
                <w:i/>
              </w:rPr>
              <w:t xml:space="preserve">[Si se especifica en los DDL </w:t>
            </w:r>
            <w:r w:rsidR="00F32294" w:rsidRPr="00576AF8">
              <w:rPr>
                <w:i/>
              </w:rPr>
              <w:t xml:space="preserve">en referencia a </w:t>
            </w:r>
            <w:r w:rsidRPr="00576AF8">
              <w:rPr>
                <w:i/>
              </w:rPr>
              <w:t>IAL 4</w:t>
            </w:r>
            <w:r w:rsidR="0068225C" w:rsidRPr="00576AF8">
              <w:rPr>
                <w:i/>
              </w:rPr>
              <w:t>6</w:t>
            </w:r>
            <w:r w:rsidRPr="00576AF8">
              <w:rPr>
                <w:i/>
              </w:rPr>
              <w:t xml:space="preserve">.1, el Licitante seleccionado deberá proporcionar información adicional sobre la titularidad real de </w:t>
            </w:r>
            <w:r w:rsidRPr="00576AF8">
              <w:rPr>
                <w:i/>
              </w:rPr>
              <w:lastRenderedPageBreak/>
              <w:t>cada miembro de la APCA, utilizando el Formulario de Divulgación de la Propiedad Efectiva].</w:t>
            </w:r>
          </w:p>
        </w:tc>
      </w:tr>
    </w:tbl>
    <w:p w14:paraId="2796DC1E" w14:textId="77777777" w:rsidR="00FA7174" w:rsidRPr="00576AF8" w:rsidRDefault="00FA7174" w:rsidP="00A01121">
      <w:pPr>
        <w:suppressAutoHyphens w:val="0"/>
        <w:spacing w:after="0"/>
        <w:jc w:val="center"/>
      </w:pPr>
      <w:r w:rsidRPr="00576AF8">
        <w:lastRenderedPageBreak/>
        <w:br w:type="page"/>
      </w:r>
      <w:r w:rsidRPr="00576AF8">
        <w:rPr>
          <w:b/>
          <w:sz w:val="36"/>
        </w:rPr>
        <w:lastRenderedPageBreak/>
        <w:t>Formulario CON – 2</w:t>
      </w:r>
    </w:p>
    <w:p w14:paraId="6187353A" w14:textId="77777777" w:rsidR="00752C5A" w:rsidRPr="00576AF8" w:rsidRDefault="00FA7174" w:rsidP="00752C5A">
      <w:pPr>
        <w:pStyle w:val="TOC3-1"/>
        <w:spacing w:before="0"/>
        <w:ind w:left="1418" w:right="1422"/>
      </w:pPr>
      <w:bookmarkStart w:id="449" w:name="_Toc454958444"/>
      <w:bookmarkStart w:id="450" w:name="_Toc476309227"/>
      <w:bookmarkStart w:id="451" w:name="_Toc527966230"/>
      <w:r w:rsidRPr="00576AF8">
        <w:t xml:space="preserve">Historial de </w:t>
      </w:r>
      <w:r w:rsidR="001F46ED" w:rsidRPr="00576AF8">
        <w:t xml:space="preserve">Incumplimiento </w:t>
      </w:r>
      <w:r w:rsidRPr="00576AF8">
        <w:t xml:space="preserve">de </w:t>
      </w:r>
      <w:proofErr w:type="gramStart"/>
      <w:r w:rsidR="001F46ED" w:rsidRPr="00576AF8">
        <w:t>Contratos</w:t>
      </w:r>
      <w:r w:rsidR="00752C5A" w:rsidRPr="00576AF8">
        <w:t xml:space="preserve">, </w:t>
      </w:r>
      <w:r w:rsidR="001F46ED" w:rsidRPr="00576AF8">
        <w:t xml:space="preserve"> </w:t>
      </w:r>
      <w:r w:rsidRPr="00576AF8">
        <w:t>y</w:t>
      </w:r>
      <w:proofErr w:type="gramEnd"/>
      <w:r w:rsidRPr="00576AF8">
        <w:t xml:space="preserve"> </w:t>
      </w:r>
      <w:r w:rsidR="001F46ED" w:rsidRPr="00576AF8">
        <w:t xml:space="preserve">Litigios </w:t>
      </w:r>
      <w:bookmarkEnd w:id="449"/>
      <w:bookmarkEnd w:id="450"/>
      <w:r w:rsidR="001F46ED" w:rsidRPr="00576AF8">
        <w:t>Pendientes</w:t>
      </w:r>
      <w:bookmarkEnd w:id="451"/>
      <w:r w:rsidR="00752C5A" w:rsidRPr="00576AF8">
        <w:t xml:space="preserve"> de Resolución </w:t>
      </w:r>
    </w:p>
    <w:p w14:paraId="1B11D31B" w14:textId="77777777" w:rsidR="00FA7174" w:rsidRPr="00576AF8" w:rsidRDefault="00FA7174" w:rsidP="00FA7174">
      <w:pPr>
        <w:jc w:val="left"/>
        <w:rPr>
          <w:spacing w:val="-4"/>
        </w:rPr>
      </w:pPr>
      <w:r w:rsidRPr="00576AF8">
        <w:rPr>
          <w:spacing w:val="-4"/>
        </w:rPr>
        <w:t>En caso de que se haya realizado un proceso de precalificación, este formulario solo deberá utilizarse cuando la información suministrada al momento de la precalificación deba ser actualizada.</w:t>
      </w:r>
    </w:p>
    <w:p w14:paraId="15DC6EE7" w14:textId="77777777" w:rsidR="00FA7174" w:rsidRPr="00576AF8" w:rsidRDefault="00FA7174" w:rsidP="00FA7174">
      <w:pPr>
        <w:tabs>
          <w:tab w:val="right" w:pos="9000"/>
          <w:tab w:val="right" w:pos="9630"/>
        </w:tabs>
      </w:pPr>
    </w:p>
    <w:p w14:paraId="44976152" w14:textId="77777777" w:rsidR="00FA7174" w:rsidRPr="00576AF8" w:rsidRDefault="00FA7174" w:rsidP="009C4D34">
      <w:pPr>
        <w:tabs>
          <w:tab w:val="left" w:pos="6096"/>
          <w:tab w:val="right" w:pos="9630"/>
        </w:tabs>
      </w:pPr>
      <w:r w:rsidRPr="00576AF8">
        <w:t>Nombre jurídico del Licitante:</w:t>
      </w:r>
      <w:r w:rsidR="00C15E45" w:rsidRPr="00576AF8">
        <w:t xml:space="preserve"> </w:t>
      </w:r>
      <w:r w:rsidRPr="00576AF8">
        <w:t>_______________________</w:t>
      </w:r>
      <w:r w:rsidR="00C15E45" w:rsidRPr="00576AF8">
        <w:t xml:space="preserve"> </w:t>
      </w:r>
      <w:r w:rsidR="009C4D34" w:rsidRPr="00576AF8">
        <w:tab/>
      </w:r>
      <w:r w:rsidRPr="00576AF8">
        <w:t>Fecha:</w:t>
      </w:r>
      <w:r w:rsidR="00C15E45" w:rsidRPr="00576AF8">
        <w:t xml:space="preserve"> </w:t>
      </w:r>
      <w:r w:rsidRPr="00576AF8">
        <w:t>_____________________</w:t>
      </w:r>
    </w:p>
    <w:p w14:paraId="7E7D529D" w14:textId="77777777" w:rsidR="00FA7174" w:rsidRPr="00576AF8" w:rsidRDefault="00FA7174" w:rsidP="009C4D34">
      <w:pPr>
        <w:tabs>
          <w:tab w:val="left" w:pos="6804"/>
          <w:tab w:val="right" w:pos="9630"/>
        </w:tabs>
      </w:pPr>
      <w:r w:rsidRPr="00576AF8">
        <w:t xml:space="preserve">Nombre jurídico del miembro de la </w:t>
      </w:r>
      <w:r w:rsidR="000107E9" w:rsidRPr="00576AF8">
        <w:t>APCA</w:t>
      </w:r>
      <w:r w:rsidRPr="00576AF8">
        <w:t>:</w:t>
      </w:r>
      <w:r w:rsidR="00C15E45" w:rsidRPr="00576AF8">
        <w:t xml:space="preserve"> </w:t>
      </w:r>
      <w:r w:rsidR="00D81502" w:rsidRPr="00576AF8">
        <w:t>___</w:t>
      </w:r>
      <w:r w:rsidR="009C4D34" w:rsidRPr="00576AF8">
        <w:t>____________</w:t>
      </w:r>
      <w:r w:rsidRPr="00576AF8">
        <w:t>__</w:t>
      </w:r>
      <w:r w:rsidR="009C4D34" w:rsidRPr="00576AF8">
        <w:tab/>
        <w:t>_____________________</w:t>
      </w:r>
      <w:r w:rsidR="00C15E45" w:rsidRPr="00576AF8">
        <w:t xml:space="preserve"> </w:t>
      </w:r>
    </w:p>
    <w:p w14:paraId="28D74A59" w14:textId="77777777" w:rsidR="00FA7174" w:rsidRPr="00576AF8" w:rsidRDefault="00BB2041" w:rsidP="00FA7174">
      <w:pPr>
        <w:tabs>
          <w:tab w:val="right" w:pos="9000"/>
        </w:tabs>
        <w:jc w:val="right"/>
      </w:pPr>
      <w:r w:rsidRPr="00576AF8">
        <w:t xml:space="preserve">SDO </w:t>
      </w:r>
      <w:r w:rsidR="00FA7174" w:rsidRPr="00576AF8">
        <w:t>n.º:</w:t>
      </w:r>
      <w:r w:rsidR="00C15E45" w:rsidRPr="00576AF8">
        <w:t xml:space="preserve"> </w:t>
      </w:r>
      <w:r w:rsidR="0043323C" w:rsidRPr="00576AF8">
        <w:t>EC-L1257-P00015</w:t>
      </w:r>
    </w:p>
    <w:p w14:paraId="664BEECE" w14:textId="77777777" w:rsidR="00FA7174" w:rsidRPr="00576AF8" w:rsidRDefault="00FA7174" w:rsidP="00FA7174">
      <w:pPr>
        <w:tabs>
          <w:tab w:val="right" w:pos="9000"/>
        </w:tabs>
        <w:jc w:val="right"/>
      </w:pPr>
      <w:r w:rsidRPr="00576AF8">
        <w:t>Página</w:t>
      </w:r>
      <w:r w:rsidR="00C15E45" w:rsidRPr="00576AF8">
        <w:t xml:space="preserve"> </w:t>
      </w:r>
      <w:r w:rsidRPr="00576AF8">
        <w:t>___</w:t>
      </w:r>
      <w:r w:rsidR="009C4D34" w:rsidRPr="00576AF8">
        <w:t>__</w:t>
      </w:r>
      <w:r w:rsidRPr="00576AF8">
        <w:t>_ de __</w:t>
      </w:r>
      <w:r w:rsidR="009C4D34" w:rsidRPr="00576AF8">
        <w:t>__</w:t>
      </w:r>
      <w:r w:rsidRPr="00576AF8">
        <w:t xml:space="preserve">__ páginas </w:t>
      </w:r>
    </w:p>
    <w:p w14:paraId="0A1530B4" w14:textId="77777777" w:rsidR="00FA7174" w:rsidRPr="00576AF8" w:rsidRDefault="00FA7174" w:rsidP="00FA7174">
      <w:pPr>
        <w:rPr>
          <w:spacing w:val="-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1701"/>
        <w:gridCol w:w="479"/>
        <w:gridCol w:w="4320"/>
        <w:gridCol w:w="1170"/>
        <w:gridCol w:w="990"/>
      </w:tblGrid>
      <w:tr w:rsidR="00FA7174" w:rsidRPr="00576AF8" w14:paraId="396C16C1" w14:textId="77777777" w:rsidTr="00BD5036">
        <w:trPr>
          <w:cantSplit/>
          <w:trHeight w:val="440"/>
        </w:trPr>
        <w:tc>
          <w:tcPr>
            <w:tcW w:w="9630" w:type="dxa"/>
            <w:gridSpan w:val="6"/>
          </w:tcPr>
          <w:p w14:paraId="69FA1107" w14:textId="77777777" w:rsidR="00FA7174" w:rsidRPr="00576AF8" w:rsidRDefault="00FA7174" w:rsidP="005E641B">
            <w:pPr>
              <w:pStyle w:val="titulo"/>
              <w:suppressAutoHyphens/>
              <w:spacing w:before="120" w:after="120"/>
              <w:rPr>
                <w:rFonts w:ascii="Times New Roman" w:hAnsi="Times New Roman"/>
                <w:b w:val="0"/>
                <w:spacing w:val="-2"/>
              </w:rPr>
            </w:pPr>
            <w:r w:rsidRPr="00576AF8">
              <w:rPr>
                <w:rFonts w:ascii="Times New Roman" w:hAnsi="Times New Roman"/>
                <w:b w:val="0"/>
                <w:spacing w:val="-2"/>
              </w:rPr>
              <w:t xml:space="preserve">Incumplimientos de contrato según la </w:t>
            </w:r>
            <w:r w:rsidR="005E641B" w:rsidRPr="00576AF8">
              <w:rPr>
                <w:rFonts w:ascii="Times New Roman" w:hAnsi="Times New Roman"/>
                <w:b w:val="0"/>
                <w:spacing w:val="-2"/>
              </w:rPr>
              <w:t xml:space="preserve">Sección </w:t>
            </w:r>
            <w:r w:rsidRPr="00576AF8">
              <w:rPr>
                <w:rFonts w:ascii="Times New Roman" w:hAnsi="Times New Roman"/>
                <w:b w:val="0"/>
                <w:spacing w:val="-2"/>
              </w:rPr>
              <w:t xml:space="preserve">III, </w:t>
            </w:r>
            <w:r w:rsidR="00E30147" w:rsidRPr="00576AF8">
              <w:rPr>
                <w:rFonts w:ascii="Times New Roman" w:hAnsi="Times New Roman"/>
                <w:b w:val="0"/>
                <w:spacing w:val="-2"/>
              </w:rPr>
              <w:t>“</w:t>
            </w:r>
            <w:r w:rsidRPr="00576AF8">
              <w:rPr>
                <w:rFonts w:ascii="Times New Roman" w:hAnsi="Times New Roman"/>
                <w:b w:val="0"/>
                <w:spacing w:val="-2"/>
              </w:rPr>
              <w:t xml:space="preserve">Criterios de </w:t>
            </w:r>
            <w:r w:rsidR="005E641B" w:rsidRPr="00576AF8">
              <w:rPr>
                <w:rFonts w:ascii="Times New Roman" w:hAnsi="Times New Roman"/>
                <w:b w:val="0"/>
                <w:spacing w:val="-2"/>
              </w:rPr>
              <w:t xml:space="preserve">Evaluación </w:t>
            </w:r>
            <w:r w:rsidRPr="00576AF8">
              <w:rPr>
                <w:rFonts w:ascii="Times New Roman" w:hAnsi="Times New Roman"/>
                <w:b w:val="0"/>
                <w:spacing w:val="-2"/>
              </w:rPr>
              <w:t xml:space="preserve">y </w:t>
            </w:r>
            <w:r w:rsidR="005E641B" w:rsidRPr="00576AF8">
              <w:rPr>
                <w:rFonts w:ascii="Times New Roman" w:hAnsi="Times New Roman"/>
                <w:b w:val="0"/>
                <w:spacing w:val="-2"/>
              </w:rPr>
              <w:t>Calificación</w:t>
            </w:r>
            <w:r w:rsidR="00E30147" w:rsidRPr="00576AF8">
              <w:rPr>
                <w:rFonts w:ascii="Times New Roman" w:hAnsi="Times New Roman"/>
                <w:b w:val="0"/>
                <w:spacing w:val="-2"/>
              </w:rPr>
              <w:t>”</w:t>
            </w:r>
          </w:p>
        </w:tc>
      </w:tr>
      <w:tr w:rsidR="00FA7174" w:rsidRPr="00576AF8" w14:paraId="787DBBE5" w14:textId="77777777" w:rsidTr="00BD5036">
        <w:trPr>
          <w:cantSplit/>
          <w:trHeight w:val="440"/>
        </w:trPr>
        <w:tc>
          <w:tcPr>
            <w:tcW w:w="9630" w:type="dxa"/>
            <w:gridSpan w:val="6"/>
          </w:tcPr>
          <w:p w14:paraId="02B1C275" w14:textId="77777777" w:rsidR="00FA7174" w:rsidRPr="00576AF8" w:rsidRDefault="00FA7174">
            <w:pPr>
              <w:jc w:val="left"/>
              <w:rPr>
                <w:spacing w:val="-2"/>
              </w:rPr>
            </w:pPr>
            <w:r w:rsidRPr="00576AF8">
              <w:t xml:space="preserve">Ningún incumplimiento de contrato ocurrió durante el período </w:t>
            </w:r>
            <w:r w:rsidR="00E30147" w:rsidRPr="00576AF8">
              <w:t>establecido</w:t>
            </w:r>
            <w:r w:rsidRPr="00576AF8">
              <w:t xml:space="preserve">, de conformidad con el </w:t>
            </w:r>
            <w:r w:rsidR="00222A2F" w:rsidRPr="00576AF8">
              <w:t>ítem</w:t>
            </w:r>
            <w:r w:rsidRPr="00576AF8">
              <w:t xml:space="preserve"> </w:t>
            </w:r>
            <w:r w:rsidR="00C55426" w:rsidRPr="00576AF8">
              <w:t>5</w:t>
            </w:r>
            <w:r w:rsidRPr="00576AF8">
              <w:t xml:space="preserve">.2.1 de la </w:t>
            </w:r>
            <w:r w:rsidR="005E641B" w:rsidRPr="00576AF8">
              <w:t xml:space="preserve">Sección </w:t>
            </w:r>
            <w:r w:rsidRPr="00576AF8">
              <w:t xml:space="preserve">III, </w:t>
            </w:r>
            <w:r w:rsidR="00E30147" w:rsidRPr="00576AF8">
              <w:t>“</w:t>
            </w:r>
            <w:r w:rsidRPr="00576AF8">
              <w:t xml:space="preserve">Criterios de </w:t>
            </w:r>
            <w:r w:rsidR="005E641B" w:rsidRPr="00576AF8">
              <w:t xml:space="preserve">Evaluación </w:t>
            </w:r>
            <w:r w:rsidR="00116337" w:rsidRPr="00576AF8">
              <w:t xml:space="preserve">y </w:t>
            </w:r>
            <w:r w:rsidR="005E641B" w:rsidRPr="00576AF8">
              <w:t>Calificación</w:t>
            </w:r>
            <w:r w:rsidR="00E30147" w:rsidRPr="00576AF8">
              <w:t>”</w:t>
            </w:r>
            <w:r w:rsidRPr="00576AF8">
              <w:t>.</w:t>
            </w:r>
          </w:p>
        </w:tc>
      </w:tr>
      <w:tr w:rsidR="00FA7174" w:rsidRPr="00576AF8" w14:paraId="731455F9" w14:textId="77777777" w:rsidTr="00BD5036">
        <w:trPr>
          <w:cantSplit/>
          <w:trHeight w:val="440"/>
        </w:trPr>
        <w:tc>
          <w:tcPr>
            <w:tcW w:w="970" w:type="dxa"/>
          </w:tcPr>
          <w:p w14:paraId="0A9E45A5" w14:textId="77777777" w:rsidR="00FA7174" w:rsidRPr="00576AF8" w:rsidRDefault="00FA7174" w:rsidP="00FA7174">
            <w:pPr>
              <w:jc w:val="center"/>
              <w:rPr>
                <w:spacing w:val="-2"/>
              </w:rPr>
            </w:pPr>
          </w:p>
        </w:tc>
        <w:tc>
          <w:tcPr>
            <w:tcW w:w="2180" w:type="dxa"/>
            <w:gridSpan w:val="2"/>
          </w:tcPr>
          <w:p w14:paraId="74E2824F" w14:textId="77777777" w:rsidR="00FA7174" w:rsidRPr="00576AF8" w:rsidRDefault="00FA7174" w:rsidP="00FA7174">
            <w:pPr>
              <w:jc w:val="center"/>
              <w:rPr>
                <w:spacing w:val="-2"/>
              </w:rPr>
            </w:pPr>
          </w:p>
        </w:tc>
        <w:tc>
          <w:tcPr>
            <w:tcW w:w="5490" w:type="dxa"/>
            <w:gridSpan w:val="2"/>
          </w:tcPr>
          <w:p w14:paraId="30AE19D2" w14:textId="77777777" w:rsidR="00FA7174" w:rsidRPr="00576AF8" w:rsidRDefault="00FA7174" w:rsidP="00FA7174">
            <w:pPr>
              <w:jc w:val="center"/>
              <w:rPr>
                <w:spacing w:val="-2"/>
              </w:rPr>
            </w:pPr>
          </w:p>
        </w:tc>
        <w:tc>
          <w:tcPr>
            <w:tcW w:w="990" w:type="dxa"/>
          </w:tcPr>
          <w:p w14:paraId="2221505A" w14:textId="77777777" w:rsidR="00FA7174" w:rsidRPr="00576AF8" w:rsidRDefault="00FA7174" w:rsidP="00FA7174">
            <w:pPr>
              <w:jc w:val="center"/>
              <w:rPr>
                <w:spacing w:val="-2"/>
                <w:sz w:val="20"/>
              </w:rPr>
            </w:pPr>
          </w:p>
        </w:tc>
      </w:tr>
      <w:tr w:rsidR="00FA7174" w:rsidRPr="00576AF8" w14:paraId="4DF4759B" w14:textId="77777777" w:rsidTr="00BD5036">
        <w:trPr>
          <w:cantSplit/>
        </w:trPr>
        <w:tc>
          <w:tcPr>
            <w:tcW w:w="970" w:type="dxa"/>
          </w:tcPr>
          <w:p w14:paraId="6E332405" w14:textId="77777777" w:rsidR="00FA7174" w:rsidRPr="00576AF8" w:rsidRDefault="00FA7174" w:rsidP="00FA7174">
            <w:pPr>
              <w:jc w:val="center"/>
              <w:rPr>
                <w:spacing w:val="-2"/>
              </w:rPr>
            </w:pPr>
          </w:p>
        </w:tc>
        <w:tc>
          <w:tcPr>
            <w:tcW w:w="2180" w:type="dxa"/>
            <w:gridSpan w:val="2"/>
          </w:tcPr>
          <w:p w14:paraId="3AF9C9AE" w14:textId="77777777" w:rsidR="00FA7174" w:rsidRPr="00576AF8" w:rsidRDefault="00FA7174" w:rsidP="00FA7174">
            <w:pPr>
              <w:jc w:val="left"/>
              <w:rPr>
                <w:spacing w:val="-2"/>
              </w:rPr>
            </w:pPr>
          </w:p>
        </w:tc>
        <w:tc>
          <w:tcPr>
            <w:tcW w:w="5490" w:type="dxa"/>
            <w:gridSpan w:val="2"/>
          </w:tcPr>
          <w:p w14:paraId="1BBAE76A" w14:textId="77777777" w:rsidR="00FA7174" w:rsidRPr="00576AF8" w:rsidRDefault="00FA7174" w:rsidP="00FA7174">
            <w:pPr>
              <w:jc w:val="left"/>
              <w:rPr>
                <w:spacing w:val="-2"/>
              </w:rPr>
            </w:pPr>
          </w:p>
        </w:tc>
        <w:tc>
          <w:tcPr>
            <w:tcW w:w="990" w:type="dxa"/>
          </w:tcPr>
          <w:p w14:paraId="6C4C80C2" w14:textId="77777777" w:rsidR="00FA7174" w:rsidRPr="00576AF8" w:rsidRDefault="00FA7174" w:rsidP="00FA7174">
            <w:pPr>
              <w:jc w:val="left"/>
              <w:rPr>
                <w:spacing w:val="-2"/>
              </w:rPr>
            </w:pPr>
          </w:p>
        </w:tc>
      </w:tr>
      <w:tr w:rsidR="00FA7174" w:rsidRPr="00576AF8" w14:paraId="4E428FC9" w14:textId="77777777" w:rsidTr="00BD5036">
        <w:trPr>
          <w:cantSplit/>
        </w:trPr>
        <w:tc>
          <w:tcPr>
            <w:tcW w:w="9630" w:type="dxa"/>
            <w:gridSpan w:val="6"/>
          </w:tcPr>
          <w:p w14:paraId="3650A123" w14:textId="77777777" w:rsidR="00FA7174" w:rsidRPr="00576AF8" w:rsidRDefault="00FA7174" w:rsidP="005E641B">
            <w:pPr>
              <w:pStyle w:val="titulo"/>
              <w:suppressAutoHyphens/>
              <w:spacing w:before="120" w:after="120"/>
              <w:rPr>
                <w:rFonts w:ascii="Times New Roman" w:hAnsi="Times New Roman"/>
                <w:b w:val="0"/>
                <w:spacing w:val="-2"/>
              </w:rPr>
            </w:pPr>
            <w:r w:rsidRPr="00576AF8">
              <w:rPr>
                <w:rFonts w:ascii="Times New Roman" w:hAnsi="Times New Roman"/>
                <w:b w:val="0"/>
                <w:spacing w:val="-2"/>
              </w:rPr>
              <w:t xml:space="preserve">Litigios pendientes, de conformidad con la </w:t>
            </w:r>
            <w:r w:rsidR="005E641B" w:rsidRPr="00576AF8">
              <w:rPr>
                <w:rFonts w:ascii="Times New Roman" w:hAnsi="Times New Roman"/>
                <w:b w:val="0"/>
                <w:spacing w:val="-2"/>
              </w:rPr>
              <w:t xml:space="preserve">Sección </w:t>
            </w:r>
            <w:r w:rsidRPr="00576AF8">
              <w:rPr>
                <w:rFonts w:ascii="Times New Roman" w:hAnsi="Times New Roman"/>
                <w:b w:val="0"/>
                <w:spacing w:val="-2"/>
              </w:rPr>
              <w:t xml:space="preserve">III, </w:t>
            </w:r>
            <w:r w:rsidR="00E30147" w:rsidRPr="00576AF8">
              <w:rPr>
                <w:rFonts w:ascii="Times New Roman" w:hAnsi="Times New Roman"/>
                <w:b w:val="0"/>
                <w:spacing w:val="-2"/>
              </w:rPr>
              <w:t>“</w:t>
            </w:r>
            <w:r w:rsidRPr="00576AF8">
              <w:rPr>
                <w:rFonts w:ascii="Times New Roman" w:hAnsi="Times New Roman"/>
                <w:b w:val="0"/>
                <w:spacing w:val="-2"/>
              </w:rPr>
              <w:t xml:space="preserve">Criterios de </w:t>
            </w:r>
            <w:r w:rsidR="005E641B" w:rsidRPr="00576AF8">
              <w:rPr>
                <w:rFonts w:ascii="Times New Roman" w:hAnsi="Times New Roman"/>
                <w:b w:val="0"/>
                <w:spacing w:val="-2"/>
              </w:rPr>
              <w:t xml:space="preserve">Evaluación </w:t>
            </w:r>
            <w:r w:rsidRPr="00576AF8">
              <w:rPr>
                <w:rFonts w:ascii="Times New Roman" w:hAnsi="Times New Roman"/>
                <w:b w:val="0"/>
                <w:spacing w:val="-2"/>
              </w:rPr>
              <w:t xml:space="preserve">y </w:t>
            </w:r>
            <w:r w:rsidR="005E641B" w:rsidRPr="00576AF8">
              <w:rPr>
                <w:rFonts w:ascii="Times New Roman" w:hAnsi="Times New Roman"/>
                <w:b w:val="0"/>
                <w:spacing w:val="-2"/>
              </w:rPr>
              <w:t>Calificación</w:t>
            </w:r>
          </w:p>
        </w:tc>
      </w:tr>
      <w:tr w:rsidR="00FA7174" w:rsidRPr="00576AF8" w14:paraId="5066F7C3" w14:textId="77777777" w:rsidTr="00BD5036">
        <w:trPr>
          <w:cantSplit/>
        </w:trPr>
        <w:tc>
          <w:tcPr>
            <w:tcW w:w="9630" w:type="dxa"/>
            <w:gridSpan w:val="6"/>
          </w:tcPr>
          <w:p w14:paraId="6A92E437" w14:textId="77777777" w:rsidR="00FA7174" w:rsidRPr="00576AF8" w:rsidRDefault="00FA7174" w:rsidP="00FA7174">
            <w:pPr>
              <w:jc w:val="left"/>
              <w:rPr>
                <w:spacing w:val="-2"/>
              </w:rPr>
            </w:pPr>
            <w:r w:rsidRPr="00576AF8">
              <w:t xml:space="preserve">No hay litigios pendientes de conformidad con el </w:t>
            </w:r>
            <w:r w:rsidR="00222A2F" w:rsidRPr="00576AF8">
              <w:t>ítem</w:t>
            </w:r>
            <w:r w:rsidRPr="00576AF8">
              <w:t xml:space="preserve"> </w:t>
            </w:r>
            <w:r w:rsidR="00C55426" w:rsidRPr="00576AF8">
              <w:t>5</w:t>
            </w:r>
            <w:r w:rsidRPr="00576AF8">
              <w:t xml:space="preserve">.2.3 de la </w:t>
            </w:r>
            <w:r w:rsidR="005E641B" w:rsidRPr="00576AF8">
              <w:t>S</w:t>
            </w:r>
            <w:r w:rsidRPr="00576AF8">
              <w:t xml:space="preserve">ección III, </w:t>
            </w:r>
            <w:r w:rsidR="00E30147" w:rsidRPr="00576AF8">
              <w:t>“</w:t>
            </w:r>
            <w:r w:rsidRPr="00576AF8">
              <w:t xml:space="preserve">Criterios de </w:t>
            </w:r>
            <w:r w:rsidR="005E641B" w:rsidRPr="00576AF8">
              <w:t xml:space="preserve">Evaluación </w:t>
            </w:r>
            <w:r w:rsidR="00116337" w:rsidRPr="00576AF8">
              <w:t xml:space="preserve">y </w:t>
            </w:r>
            <w:r w:rsidR="005E641B" w:rsidRPr="00576AF8">
              <w:t>Calificación</w:t>
            </w:r>
            <w:r w:rsidR="00E30147" w:rsidRPr="00576AF8">
              <w:t>”</w:t>
            </w:r>
            <w:r w:rsidRPr="00576AF8">
              <w:t>.</w:t>
            </w:r>
          </w:p>
          <w:p w14:paraId="2049F5CA" w14:textId="77777777" w:rsidR="00FA7174" w:rsidRPr="00576AF8" w:rsidRDefault="00FA7174">
            <w:pPr>
              <w:ind w:left="360" w:hanging="360"/>
              <w:jc w:val="left"/>
              <w:rPr>
                <w:spacing w:val="-2"/>
              </w:rPr>
            </w:pPr>
            <w:r w:rsidRPr="00576AF8">
              <w:t xml:space="preserve">Existe algún litigio pendiente de conformidad con el </w:t>
            </w:r>
            <w:r w:rsidR="00222A2F" w:rsidRPr="00576AF8">
              <w:t>ítem</w:t>
            </w:r>
            <w:r w:rsidRPr="00576AF8">
              <w:t xml:space="preserve"> </w:t>
            </w:r>
            <w:r w:rsidR="00C55426" w:rsidRPr="00576AF8">
              <w:t>5</w:t>
            </w:r>
            <w:r w:rsidRPr="00576AF8">
              <w:t xml:space="preserve">.2.3 de la </w:t>
            </w:r>
            <w:r w:rsidR="005E641B" w:rsidRPr="00576AF8">
              <w:t xml:space="preserve">Sección </w:t>
            </w:r>
            <w:r w:rsidRPr="00576AF8">
              <w:t xml:space="preserve">III, </w:t>
            </w:r>
            <w:r w:rsidR="00E30147" w:rsidRPr="00576AF8">
              <w:t>“</w:t>
            </w:r>
            <w:r w:rsidRPr="00576AF8">
              <w:t xml:space="preserve">Criterios de </w:t>
            </w:r>
            <w:r w:rsidR="005E641B" w:rsidRPr="00576AF8">
              <w:t xml:space="preserve">Evaluación </w:t>
            </w:r>
            <w:r w:rsidR="00116337" w:rsidRPr="00576AF8">
              <w:t xml:space="preserve">y </w:t>
            </w:r>
            <w:r w:rsidR="005E641B" w:rsidRPr="00576AF8">
              <w:t>Calificación</w:t>
            </w:r>
            <w:r w:rsidR="00E30147" w:rsidRPr="00576AF8">
              <w:t>”</w:t>
            </w:r>
            <w:r w:rsidRPr="00576AF8">
              <w:t>, como se indica a continuación.</w:t>
            </w:r>
          </w:p>
        </w:tc>
      </w:tr>
      <w:tr w:rsidR="00FA7174" w:rsidRPr="00576AF8" w14:paraId="2DC6A69B" w14:textId="77777777" w:rsidTr="00BD5036">
        <w:trPr>
          <w:cantSplit/>
        </w:trPr>
        <w:tc>
          <w:tcPr>
            <w:tcW w:w="970" w:type="dxa"/>
          </w:tcPr>
          <w:p w14:paraId="193BC238" w14:textId="77777777" w:rsidR="00FA7174" w:rsidRPr="00576AF8" w:rsidRDefault="00FA7174" w:rsidP="00FA7174">
            <w:pPr>
              <w:jc w:val="center"/>
              <w:rPr>
                <w:spacing w:val="-2"/>
              </w:rPr>
            </w:pPr>
            <w:r w:rsidRPr="00576AF8">
              <w:t>Año</w:t>
            </w:r>
          </w:p>
        </w:tc>
        <w:tc>
          <w:tcPr>
            <w:tcW w:w="1701" w:type="dxa"/>
          </w:tcPr>
          <w:p w14:paraId="249691AC" w14:textId="77777777" w:rsidR="00FA7174" w:rsidRPr="00576AF8" w:rsidRDefault="00FA7174" w:rsidP="00FA7174">
            <w:pPr>
              <w:jc w:val="center"/>
              <w:rPr>
                <w:spacing w:val="-2"/>
              </w:rPr>
            </w:pPr>
            <w:r w:rsidRPr="00576AF8">
              <w:t>Resultado como porcentaje del total del activo</w:t>
            </w:r>
          </w:p>
        </w:tc>
        <w:tc>
          <w:tcPr>
            <w:tcW w:w="4799" w:type="dxa"/>
            <w:gridSpan w:val="2"/>
          </w:tcPr>
          <w:p w14:paraId="3F5F3738" w14:textId="77777777" w:rsidR="00FA7174" w:rsidRPr="00576AF8" w:rsidRDefault="00FA7174" w:rsidP="00FA7174">
            <w:pPr>
              <w:jc w:val="center"/>
              <w:rPr>
                <w:spacing w:val="-2"/>
              </w:rPr>
            </w:pPr>
          </w:p>
          <w:p w14:paraId="42D640FA" w14:textId="77777777" w:rsidR="00FA7174" w:rsidRPr="00576AF8" w:rsidRDefault="00FA7174" w:rsidP="00FA7174">
            <w:pPr>
              <w:jc w:val="center"/>
              <w:rPr>
                <w:spacing w:val="-2"/>
              </w:rPr>
            </w:pPr>
            <w:r w:rsidRPr="00576AF8">
              <w:t xml:space="preserve">Identificación del Contrato </w:t>
            </w:r>
          </w:p>
          <w:p w14:paraId="3087844C" w14:textId="77777777" w:rsidR="00FA7174" w:rsidRPr="00576AF8" w:rsidRDefault="00FA7174" w:rsidP="00FA7174">
            <w:pPr>
              <w:jc w:val="center"/>
              <w:rPr>
                <w:spacing w:val="-2"/>
              </w:rPr>
            </w:pPr>
          </w:p>
        </w:tc>
        <w:tc>
          <w:tcPr>
            <w:tcW w:w="2160" w:type="dxa"/>
            <w:gridSpan w:val="2"/>
          </w:tcPr>
          <w:p w14:paraId="59EB2A67" w14:textId="77777777" w:rsidR="00FA7174" w:rsidRPr="00576AF8" w:rsidRDefault="00FA7174" w:rsidP="00FA7174">
            <w:pPr>
              <w:jc w:val="center"/>
              <w:rPr>
                <w:spacing w:val="-2"/>
                <w:szCs w:val="21"/>
              </w:rPr>
            </w:pPr>
            <w:r w:rsidRPr="00576AF8">
              <w:rPr>
                <w:spacing w:val="-2"/>
                <w:szCs w:val="21"/>
              </w:rPr>
              <w:t xml:space="preserve">Monto total </w:t>
            </w:r>
            <w:r w:rsidR="009C4D34" w:rsidRPr="00576AF8">
              <w:rPr>
                <w:spacing w:val="-2"/>
                <w:szCs w:val="21"/>
              </w:rPr>
              <w:br/>
            </w:r>
            <w:r w:rsidRPr="00576AF8">
              <w:rPr>
                <w:spacing w:val="-2"/>
                <w:szCs w:val="21"/>
              </w:rPr>
              <w:t xml:space="preserve">del Contrato </w:t>
            </w:r>
            <w:r w:rsidR="009C4D34" w:rsidRPr="00576AF8">
              <w:rPr>
                <w:spacing w:val="-2"/>
                <w:szCs w:val="21"/>
              </w:rPr>
              <w:br/>
            </w:r>
            <w:r w:rsidRPr="00576AF8">
              <w:rPr>
                <w:spacing w:val="-2"/>
                <w:szCs w:val="21"/>
              </w:rPr>
              <w:t>(valor actual, equivalente en USD)</w:t>
            </w:r>
          </w:p>
        </w:tc>
      </w:tr>
      <w:tr w:rsidR="00FA7174" w:rsidRPr="00576AF8" w14:paraId="6A2A6ECD" w14:textId="77777777" w:rsidTr="00BD5036">
        <w:trPr>
          <w:cantSplit/>
        </w:trPr>
        <w:tc>
          <w:tcPr>
            <w:tcW w:w="970" w:type="dxa"/>
          </w:tcPr>
          <w:p w14:paraId="38F26572" w14:textId="77777777" w:rsidR="00FA7174" w:rsidRPr="00576AF8" w:rsidRDefault="00FA7174" w:rsidP="00FA7174">
            <w:pPr>
              <w:jc w:val="center"/>
              <w:rPr>
                <w:spacing w:val="-2"/>
              </w:rPr>
            </w:pPr>
          </w:p>
          <w:p w14:paraId="462A97C9" w14:textId="77777777" w:rsidR="00FA7174" w:rsidRPr="00576AF8" w:rsidRDefault="00FA7174" w:rsidP="00FA7174">
            <w:pPr>
              <w:jc w:val="center"/>
              <w:rPr>
                <w:spacing w:val="-2"/>
              </w:rPr>
            </w:pPr>
            <w:r w:rsidRPr="00576AF8">
              <w:t>______</w:t>
            </w:r>
          </w:p>
        </w:tc>
        <w:tc>
          <w:tcPr>
            <w:tcW w:w="1701" w:type="dxa"/>
          </w:tcPr>
          <w:p w14:paraId="6B0DDDE6" w14:textId="77777777" w:rsidR="00FA7174" w:rsidRPr="00576AF8" w:rsidRDefault="00FA7174" w:rsidP="00FA7174">
            <w:pPr>
              <w:jc w:val="center"/>
              <w:rPr>
                <w:spacing w:val="-2"/>
              </w:rPr>
            </w:pPr>
          </w:p>
          <w:p w14:paraId="0E069F44" w14:textId="77777777" w:rsidR="00FA7174" w:rsidRPr="00576AF8" w:rsidRDefault="00FA7174" w:rsidP="00FA7174">
            <w:pPr>
              <w:jc w:val="center"/>
              <w:rPr>
                <w:spacing w:val="-2"/>
              </w:rPr>
            </w:pPr>
            <w:r w:rsidRPr="00576AF8">
              <w:t>______</w:t>
            </w:r>
          </w:p>
        </w:tc>
        <w:tc>
          <w:tcPr>
            <w:tcW w:w="4799" w:type="dxa"/>
            <w:gridSpan w:val="2"/>
          </w:tcPr>
          <w:p w14:paraId="2F18BDF5" w14:textId="77777777" w:rsidR="00FA7174" w:rsidRPr="00576AF8" w:rsidRDefault="00FA7174" w:rsidP="00FA7174">
            <w:pPr>
              <w:jc w:val="left"/>
              <w:rPr>
                <w:spacing w:val="-2"/>
              </w:rPr>
            </w:pPr>
            <w:r w:rsidRPr="00576AF8">
              <w:t>Identificación del Contrato:</w:t>
            </w:r>
          </w:p>
          <w:p w14:paraId="633C3A11" w14:textId="77777777" w:rsidR="00FA7174" w:rsidRPr="00576AF8" w:rsidRDefault="00FA7174" w:rsidP="00FA7174">
            <w:pPr>
              <w:jc w:val="left"/>
              <w:rPr>
                <w:spacing w:val="-2"/>
              </w:rPr>
            </w:pPr>
            <w:r w:rsidRPr="00576AF8">
              <w:t>Nombre del Comprador:</w:t>
            </w:r>
          </w:p>
          <w:p w14:paraId="188C84C1" w14:textId="77777777" w:rsidR="00FA7174" w:rsidRPr="00576AF8" w:rsidRDefault="00FA7174" w:rsidP="00FA7174">
            <w:pPr>
              <w:jc w:val="left"/>
              <w:rPr>
                <w:spacing w:val="-2"/>
              </w:rPr>
            </w:pPr>
            <w:r w:rsidRPr="00576AF8">
              <w:t>Dirección del Comprador:</w:t>
            </w:r>
          </w:p>
          <w:p w14:paraId="61CDAD23" w14:textId="77777777" w:rsidR="00FA7174" w:rsidRPr="00576AF8" w:rsidRDefault="00FA7174" w:rsidP="00FA7174">
            <w:pPr>
              <w:jc w:val="left"/>
              <w:rPr>
                <w:spacing w:val="-2"/>
              </w:rPr>
            </w:pPr>
            <w:r w:rsidRPr="00576AF8">
              <w:t>Objeto de la disputa:</w:t>
            </w:r>
          </w:p>
        </w:tc>
        <w:tc>
          <w:tcPr>
            <w:tcW w:w="2160" w:type="dxa"/>
            <w:gridSpan w:val="2"/>
          </w:tcPr>
          <w:p w14:paraId="2A780D6E" w14:textId="77777777" w:rsidR="00FA7174" w:rsidRPr="00576AF8" w:rsidRDefault="00FA7174" w:rsidP="00FA7174">
            <w:pPr>
              <w:jc w:val="left"/>
              <w:rPr>
                <w:spacing w:val="-2"/>
              </w:rPr>
            </w:pPr>
          </w:p>
          <w:p w14:paraId="5AA7F626" w14:textId="77777777" w:rsidR="00FA7174" w:rsidRPr="00576AF8" w:rsidRDefault="00FA7174" w:rsidP="00FA7174">
            <w:pPr>
              <w:jc w:val="left"/>
              <w:rPr>
                <w:spacing w:val="-2"/>
              </w:rPr>
            </w:pPr>
            <w:r w:rsidRPr="00576AF8">
              <w:t>___________</w:t>
            </w:r>
          </w:p>
          <w:p w14:paraId="789AEAB1" w14:textId="77777777" w:rsidR="00FA7174" w:rsidRPr="00576AF8" w:rsidRDefault="00FA7174" w:rsidP="00FA7174">
            <w:pPr>
              <w:jc w:val="left"/>
              <w:rPr>
                <w:spacing w:val="-2"/>
              </w:rPr>
            </w:pPr>
          </w:p>
        </w:tc>
      </w:tr>
      <w:tr w:rsidR="00FA7174" w:rsidRPr="00576AF8" w14:paraId="16E596B4" w14:textId="77777777" w:rsidTr="00BD5036">
        <w:trPr>
          <w:cantSplit/>
        </w:trPr>
        <w:tc>
          <w:tcPr>
            <w:tcW w:w="970" w:type="dxa"/>
          </w:tcPr>
          <w:p w14:paraId="78E99AE4" w14:textId="77777777" w:rsidR="00FA7174" w:rsidRPr="00576AF8" w:rsidRDefault="00FA7174" w:rsidP="00FA7174">
            <w:pPr>
              <w:jc w:val="center"/>
              <w:rPr>
                <w:spacing w:val="-2"/>
              </w:rPr>
            </w:pPr>
          </w:p>
          <w:p w14:paraId="34E816AA" w14:textId="77777777" w:rsidR="00FA7174" w:rsidRPr="00576AF8" w:rsidRDefault="00FA7174" w:rsidP="00FA7174">
            <w:pPr>
              <w:jc w:val="center"/>
              <w:rPr>
                <w:spacing w:val="-2"/>
              </w:rPr>
            </w:pPr>
            <w:r w:rsidRPr="00576AF8">
              <w:t>______</w:t>
            </w:r>
          </w:p>
        </w:tc>
        <w:tc>
          <w:tcPr>
            <w:tcW w:w="1701" w:type="dxa"/>
          </w:tcPr>
          <w:p w14:paraId="46BA38B8" w14:textId="77777777" w:rsidR="00FA7174" w:rsidRPr="00576AF8" w:rsidRDefault="00FA7174" w:rsidP="00FA7174">
            <w:pPr>
              <w:jc w:val="center"/>
              <w:rPr>
                <w:spacing w:val="-2"/>
              </w:rPr>
            </w:pPr>
          </w:p>
          <w:p w14:paraId="711ED730" w14:textId="77777777" w:rsidR="00FA7174" w:rsidRPr="00576AF8" w:rsidRDefault="00FA7174" w:rsidP="00FA7174">
            <w:pPr>
              <w:jc w:val="center"/>
              <w:rPr>
                <w:spacing w:val="-2"/>
              </w:rPr>
            </w:pPr>
            <w:r w:rsidRPr="00576AF8">
              <w:t>______</w:t>
            </w:r>
          </w:p>
        </w:tc>
        <w:tc>
          <w:tcPr>
            <w:tcW w:w="4799" w:type="dxa"/>
            <w:gridSpan w:val="2"/>
          </w:tcPr>
          <w:p w14:paraId="47323F4D" w14:textId="77777777" w:rsidR="00FA7174" w:rsidRPr="00576AF8" w:rsidRDefault="00FA7174" w:rsidP="00FA7174">
            <w:pPr>
              <w:jc w:val="left"/>
              <w:rPr>
                <w:spacing w:val="-2"/>
              </w:rPr>
            </w:pPr>
            <w:r w:rsidRPr="00576AF8">
              <w:t>Identificación del Contrato:</w:t>
            </w:r>
          </w:p>
          <w:p w14:paraId="6DB35858" w14:textId="77777777" w:rsidR="00FA7174" w:rsidRPr="00576AF8" w:rsidRDefault="00FA7174" w:rsidP="00FA7174">
            <w:pPr>
              <w:jc w:val="left"/>
              <w:rPr>
                <w:spacing w:val="-2"/>
              </w:rPr>
            </w:pPr>
            <w:r w:rsidRPr="00576AF8">
              <w:t>Nombre del Comprador:</w:t>
            </w:r>
          </w:p>
          <w:p w14:paraId="14510CFA" w14:textId="77777777" w:rsidR="00FA7174" w:rsidRPr="00576AF8" w:rsidRDefault="00FA7174" w:rsidP="00FA7174">
            <w:pPr>
              <w:jc w:val="left"/>
              <w:rPr>
                <w:spacing w:val="-2"/>
              </w:rPr>
            </w:pPr>
            <w:r w:rsidRPr="00576AF8">
              <w:t>Dirección del Comprador:</w:t>
            </w:r>
          </w:p>
          <w:p w14:paraId="046B809B" w14:textId="77777777" w:rsidR="00FA7174" w:rsidRPr="00576AF8" w:rsidRDefault="00FA7174" w:rsidP="00FA7174">
            <w:pPr>
              <w:jc w:val="left"/>
              <w:rPr>
                <w:spacing w:val="-2"/>
              </w:rPr>
            </w:pPr>
            <w:r w:rsidRPr="00576AF8">
              <w:t>Objeto de la disputa:</w:t>
            </w:r>
          </w:p>
        </w:tc>
        <w:tc>
          <w:tcPr>
            <w:tcW w:w="2160" w:type="dxa"/>
            <w:gridSpan w:val="2"/>
          </w:tcPr>
          <w:p w14:paraId="2B316D1D" w14:textId="77777777" w:rsidR="00FA7174" w:rsidRPr="00576AF8" w:rsidRDefault="00FA7174" w:rsidP="00FA7174">
            <w:pPr>
              <w:jc w:val="left"/>
              <w:rPr>
                <w:spacing w:val="-2"/>
              </w:rPr>
            </w:pPr>
          </w:p>
          <w:p w14:paraId="2233AADC" w14:textId="77777777" w:rsidR="00FA7174" w:rsidRPr="00576AF8" w:rsidRDefault="00FA7174" w:rsidP="00FA7174">
            <w:pPr>
              <w:jc w:val="left"/>
              <w:rPr>
                <w:spacing w:val="-2"/>
              </w:rPr>
            </w:pPr>
            <w:r w:rsidRPr="00576AF8">
              <w:t>___________</w:t>
            </w:r>
          </w:p>
          <w:p w14:paraId="332E6BAD" w14:textId="77777777" w:rsidR="00FA7174" w:rsidRPr="00576AF8" w:rsidRDefault="00FA7174" w:rsidP="00FA7174">
            <w:pPr>
              <w:jc w:val="left"/>
              <w:rPr>
                <w:spacing w:val="-2"/>
              </w:rPr>
            </w:pPr>
          </w:p>
        </w:tc>
      </w:tr>
    </w:tbl>
    <w:p w14:paraId="00D33C7B" w14:textId="77777777" w:rsidR="00752C5A" w:rsidRPr="00576AF8" w:rsidRDefault="00752C5A" w:rsidP="00752C5A">
      <w:pPr>
        <w:spacing w:before="240" w:after="240" w:line="468" w:lineRule="atLeast"/>
        <w:rPr>
          <w:b/>
          <w:bCs/>
          <w:color w:val="000000" w:themeColor="text1"/>
          <w:spacing w:val="8"/>
        </w:rPr>
      </w:pPr>
    </w:p>
    <w:p w14:paraId="42C3D9EE" w14:textId="77777777" w:rsidR="00752C5A" w:rsidRPr="00576AF8" w:rsidRDefault="00752C5A" w:rsidP="00275E0F">
      <w:pPr>
        <w:suppressAutoHyphens w:val="0"/>
        <w:spacing w:after="0"/>
        <w:jc w:val="center"/>
        <w:rPr>
          <w:b/>
          <w:sz w:val="36"/>
        </w:rPr>
      </w:pPr>
    </w:p>
    <w:p w14:paraId="6E8C4F7C" w14:textId="77777777" w:rsidR="00752C5A" w:rsidRPr="00576AF8" w:rsidRDefault="00752C5A">
      <w:pPr>
        <w:suppressAutoHyphens w:val="0"/>
        <w:spacing w:after="0"/>
        <w:jc w:val="left"/>
        <w:rPr>
          <w:b/>
          <w:sz w:val="36"/>
        </w:rPr>
      </w:pPr>
      <w:r w:rsidRPr="00576AF8">
        <w:rPr>
          <w:b/>
          <w:sz w:val="36"/>
        </w:rPr>
        <w:br w:type="page"/>
      </w:r>
    </w:p>
    <w:p w14:paraId="17D22D0E" w14:textId="77777777" w:rsidR="00C10A6A" w:rsidRPr="00576AF8" w:rsidRDefault="00C10A6A" w:rsidP="00275E0F">
      <w:pPr>
        <w:suppressAutoHyphens w:val="0"/>
        <w:spacing w:after="0"/>
        <w:jc w:val="center"/>
        <w:rPr>
          <w:b/>
          <w:sz w:val="36"/>
        </w:rPr>
      </w:pPr>
      <w:r w:rsidRPr="00576AF8">
        <w:rPr>
          <w:b/>
          <w:sz w:val="36"/>
        </w:rPr>
        <w:lastRenderedPageBreak/>
        <w:t xml:space="preserve">Formulario EXP </w:t>
      </w:r>
      <w:r w:rsidR="00A0389B" w:rsidRPr="00576AF8">
        <w:rPr>
          <w:b/>
          <w:sz w:val="36"/>
        </w:rPr>
        <w:t>5</w:t>
      </w:r>
      <w:r w:rsidRPr="00576AF8">
        <w:rPr>
          <w:b/>
          <w:sz w:val="36"/>
        </w:rPr>
        <w:t>.4.1</w:t>
      </w:r>
    </w:p>
    <w:p w14:paraId="75171FDD" w14:textId="77777777" w:rsidR="00C10A6A" w:rsidRPr="00576AF8" w:rsidRDefault="00C10A6A" w:rsidP="002D3400">
      <w:pPr>
        <w:pStyle w:val="TOC3-1"/>
      </w:pPr>
      <w:bookmarkStart w:id="452" w:name="_Toc454958445"/>
      <w:bookmarkStart w:id="453" w:name="_Toc476309228"/>
      <w:bookmarkStart w:id="454" w:name="_Toc527966231"/>
      <w:r w:rsidRPr="00576AF8">
        <w:t xml:space="preserve">Experiencia </w:t>
      </w:r>
      <w:bookmarkEnd w:id="452"/>
      <w:bookmarkEnd w:id="453"/>
      <w:r w:rsidR="005E641B" w:rsidRPr="00576AF8">
        <w:t>General</w:t>
      </w:r>
      <w:bookmarkEnd w:id="454"/>
    </w:p>
    <w:p w14:paraId="132E60D1" w14:textId="77777777" w:rsidR="00C10A6A" w:rsidRPr="00576AF8" w:rsidRDefault="00C10A6A" w:rsidP="009C4D34">
      <w:pPr>
        <w:tabs>
          <w:tab w:val="left" w:pos="5954"/>
          <w:tab w:val="right" w:pos="9630"/>
        </w:tabs>
        <w:ind w:right="162"/>
      </w:pPr>
      <w:r w:rsidRPr="00576AF8">
        <w:t>Nombre jurídico del Licitante:</w:t>
      </w:r>
      <w:r w:rsidR="00C15E45" w:rsidRPr="00576AF8">
        <w:t xml:space="preserve"> </w:t>
      </w:r>
      <w:r w:rsidR="009C4D34" w:rsidRPr="00576AF8">
        <w:t>________________</w:t>
      </w:r>
      <w:r w:rsidRPr="00576AF8">
        <w:t xml:space="preserve">_______ </w:t>
      </w:r>
      <w:r w:rsidRPr="00576AF8">
        <w:tab/>
        <w:t>Fecha:</w:t>
      </w:r>
      <w:r w:rsidR="00C15E45" w:rsidRPr="00576AF8">
        <w:t xml:space="preserve"> </w:t>
      </w:r>
      <w:r w:rsidRPr="00576AF8">
        <w:t>_____________________</w:t>
      </w:r>
    </w:p>
    <w:p w14:paraId="7544EB65" w14:textId="77777777" w:rsidR="00C10A6A" w:rsidRPr="00576AF8" w:rsidRDefault="00C10A6A" w:rsidP="009C4D34">
      <w:pPr>
        <w:tabs>
          <w:tab w:val="left" w:pos="5954"/>
        </w:tabs>
        <w:jc w:val="left"/>
      </w:pPr>
      <w:r w:rsidRPr="00576AF8">
        <w:t xml:space="preserve">Nombre jurídico del miembro de la </w:t>
      </w:r>
      <w:r w:rsidR="000107E9" w:rsidRPr="00576AF8">
        <w:t>APCA</w:t>
      </w:r>
      <w:r w:rsidRPr="00576AF8">
        <w:t>:</w:t>
      </w:r>
      <w:r w:rsidR="00C15E45" w:rsidRPr="00576AF8">
        <w:t xml:space="preserve"> </w:t>
      </w:r>
      <w:r w:rsidR="009C4D34" w:rsidRPr="00576AF8">
        <w:t>_______</w:t>
      </w:r>
      <w:r w:rsidRPr="00576AF8">
        <w:t>______</w:t>
      </w:r>
      <w:r w:rsidRPr="00576AF8">
        <w:tab/>
      </w:r>
      <w:r w:rsidR="00BB2041" w:rsidRPr="00576AF8">
        <w:t xml:space="preserve">SDO </w:t>
      </w:r>
      <w:r w:rsidRPr="00576AF8">
        <w:t>n.º:</w:t>
      </w:r>
      <w:r w:rsidR="00C15E45" w:rsidRPr="00576AF8">
        <w:t xml:space="preserve"> </w:t>
      </w:r>
      <w:r w:rsidR="0043323C" w:rsidRPr="00576AF8">
        <w:t>EC-L1257-P00015</w:t>
      </w:r>
    </w:p>
    <w:p w14:paraId="700767BE" w14:textId="77777777" w:rsidR="00C10A6A" w:rsidRPr="00576AF8" w:rsidRDefault="00C15E45" w:rsidP="009C4D34">
      <w:pPr>
        <w:tabs>
          <w:tab w:val="right" w:pos="9630"/>
        </w:tabs>
      </w:pPr>
      <w:r w:rsidRPr="00576AF8">
        <w:t xml:space="preserve"> </w:t>
      </w:r>
      <w:r w:rsidR="00C10A6A" w:rsidRPr="00576AF8">
        <w:tab/>
        <w:t>Página</w:t>
      </w:r>
      <w:r w:rsidRPr="00576AF8">
        <w:t xml:space="preserve"> </w:t>
      </w:r>
      <w:r w:rsidR="00C10A6A" w:rsidRPr="00576AF8">
        <w:t>____ de ____ páginas</w:t>
      </w:r>
    </w:p>
    <w:p w14:paraId="6723CD25" w14:textId="77777777" w:rsidR="00C10A6A" w:rsidRPr="00576AF8" w:rsidRDefault="00C10A6A" w:rsidP="00C10A6A">
      <w:pPr>
        <w:pStyle w:val="Outline"/>
        <w:suppressAutoHyphens/>
        <w:spacing w:before="0"/>
        <w:rPr>
          <w:spacing w:val="-2"/>
          <w:kern w:val="0"/>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87"/>
        <w:gridCol w:w="851"/>
        <w:gridCol w:w="4772"/>
        <w:gridCol w:w="1465"/>
      </w:tblGrid>
      <w:tr w:rsidR="00C10A6A" w:rsidRPr="00576AF8" w14:paraId="6DA92FD5" w14:textId="77777777" w:rsidTr="009C4D34">
        <w:trPr>
          <w:cantSplit/>
          <w:trHeight w:val="440"/>
          <w:tblHeader/>
        </w:trPr>
        <w:tc>
          <w:tcPr>
            <w:tcW w:w="1080" w:type="dxa"/>
            <w:vAlign w:val="center"/>
          </w:tcPr>
          <w:p w14:paraId="6381FEA6" w14:textId="77777777" w:rsidR="00C10A6A" w:rsidRPr="00576AF8" w:rsidRDefault="00C10A6A" w:rsidP="009C4D34">
            <w:pPr>
              <w:spacing w:before="240" w:after="240"/>
              <w:jc w:val="center"/>
              <w:rPr>
                <w:b/>
                <w:spacing w:val="-2"/>
              </w:rPr>
            </w:pPr>
            <w:r w:rsidRPr="00576AF8">
              <w:rPr>
                <w:b/>
                <w:spacing w:val="-2"/>
              </w:rPr>
              <w:t>Mes/</w:t>
            </w:r>
            <w:r w:rsidR="009C4D34" w:rsidRPr="00576AF8">
              <w:rPr>
                <w:b/>
                <w:spacing w:val="-2"/>
              </w:rPr>
              <w:br/>
            </w:r>
            <w:r w:rsidRPr="00576AF8">
              <w:rPr>
                <w:b/>
                <w:spacing w:val="-2"/>
              </w:rPr>
              <w:t>año de inicio</w:t>
            </w:r>
          </w:p>
        </w:tc>
        <w:tc>
          <w:tcPr>
            <w:tcW w:w="1487" w:type="dxa"/>
            <w:vAlign w:val="center"/>
          </w:tcPr>
          <w:p w14:paraId="0D1309F6" w14:textId="77777777" w:rsidR="00C10A6A" w:rsidRPr="00576AF8" w:rsidRDefault="00C10A6A" w:rsidP="00F829E8">
            <w:pPr>
              <w:spacing w:before="240" w:after="240"/>
              <w:ind w:left="-41"/>
              <w:jc w:val="center"/>
              <w:rPr>
                <w:b/>
                <w:spacing w:val="-2"/>
              </w:rPr>
            </w:pPr>
            <w:r w:rsidRPr="00576AF8">
              <w:rPr>
                <w:b/>
                <w:spacing w:val="-2"/>
              </w:rPr>
              <w:t>Mes/</w:t>
            </w:r>
            <w:r w:rsidR="009C4D34" w:rsidRPr="00576AF8">
              <w:rPr>
                <w:b/>
                <w:spacing w:val="-2"/>
              </w:rPr>
              <w:br/>
            </w:r>
            <w:r w:rsidRPr="00576AF8">
              <w:rPr>
                <w:b/>
                <w:spacing w:val="-2"/>
              </w:rPr>
              <w:t>año de finalización</w:t>
            </w:r>
          </w:p>
        </w:tc>
        <w:tc>
          <w:tcPr>
            <w:tcW w:w="851" w:type="dxa"/>
            <w:vAlign w:val="center"/>
          </w:tcPr>
          <w:p w14:paraId="2E71EC2C" w14:textId="77777777" w:rsidR="00C10A6A" w:rsidRPr="00576AF8" w:rsidRDefault="00C10A6A" w:rsidP="009C4D34">
            <w:pPr>
              <w:spacing w:before="240" w:after="240"/>
              <w:jc w:val="center"/>
              <w:rPr>
                <w:b/>
                <w:spacing w:val="-2"/>
              </w:rPr>
            </w:pPr>
          </w:p>
          <w:p w14:paraId="637E2A9A" w14:textId="77777777" w:rsidR="00C10A6A" w:rsidRPr="00576AF8" w:rsidRDefault="00C10A6A" w:rsidP="009C4D34">
            <w:pPr>
              <w:spacing w:before="240" w:after="240"/>
              <w:jc w:val="center"/>
              <w:rPr>
                <w:b/>
                <w:spacing w:val="-2"/>
              </w:rPr>
            </w:pPr>
            <w:r w:rsidRPr="00576AF8">
              <w:rPr>
                <w:b/>
                <w:spacing w:val="-2"/>
              </w:rPr>
              <w:t xml:space="preserve">Años* </w:t>
            </w:r>
          </w:p>
        </w:tc>
        <w:tc>
          <w:tcPr>
            <w:tcW w:w="4772" w:type="dxa"/>
            <w:vAlign w:val="center"/>
          </w:tcPr>
          <w:p w14:paraId="7A352EE2" w14:textId="428CF19E" w:rsidR="00C10A6A" w:rsidRPr="00576AF8" w:rsidRDefault="00C10A6A" w:rsidP="009C4D34">
            <w:pPr>
              <w:spacing w:before="240" w:after="240"/>
              <w:jc w:val="center"/>
              <w:rPr>
                <w:b/>
                <w:spacing w:val="-2"/>
              </w:rPr>
            </w:pPr>
            <w:r w:rsidRPr="00576AF8">
              <w:rPr>
                <w:b/>
                <w:spacing w:val="-2"/>
              </w:rPr>
              <w:t xml:space="preserve">Identificación del Contrato </w:t>
            </w:r>
            <w:r w:rsidR="0069781B">
              <w:rPr>
                <w:rStyle w:val="Refdenotaalpie"/>
                <w:b/>
              </w:rPr>
              <w:footnoteReference w:id="9"/>
            </w:r>
          </w:p>
          <w:p w14:paraId="6554853E" w14:textId="77777777" w:rsidR="00C10A6A" w:rsidRPr="00576AF8" w:rsidRDefault="00C10A6A" w:rsidP="009C4D34">
            <w:pPr>
              <w:spacing w:before="240" w:after="240"/>
              <w:jc w:val="center"/>
              <w:rPr>
                <w:b/>
                <w:spacing w:val="-2"/>
              </w:rPr>
            </w:pPr>
          </w:p>
        </w:tc>
        <w:tc>
          <w:tcPr>
            <w:tcW w:w="1465" w:type="dxa"/>
            <w:vAlign w:val="center"/>
          </w:tcPr>
          <w:p w14:paraId="76888026" w14:textId="77777777" w:rsidR="00C10A6A" w:rsidRPr="00576AF8" w:rsidRDefault="00C10A6A" w:rsidP="009C4D34">
            <w:pPr>
              <w:spacing w:before="240" w:after="240"/>
              <w:jc w:val="center"/>
              <w:rPr>
                <w:b/>
                <w:spacing w:val="-2"/>
              </w:rPr>
            </w:pPr>
            <w:r w:rsidRPr="00576AF8">
              <w:rPr>
                <w:b/>
                <w:spacing w:val="-2"/>
              </w:rPr>
              <w:t>Función del Licitante</w:t>
            </w:r>
          </w:p>
        </w:tc>
      </w:tr>
      <w:tr w:rsidR="00C10A6A" w:rsidRPr="00576AF8" w14:paraId="2E96E324" w14:textId="77777777" w:rsidTr="009C4D34">
        <w:trPr>
          <w:cantSplit/>
        </w:trPr>
        <w:tc>
          <w:tcPr>
            <w:tcW w:w="1080" w:type="dxa"/>
          </w:tcPr>
          <w:p w14:paraId="0E9CEC4D" w14:textId="77777777" w:rsidR="00C10A6A" w:rsidRPr="00576AF8" w:rsidRDefault="00C10A6A" w:rsidP="00803EC1">
            <w:pPr>
              <w:jc w:val="left"/>
              <w:rPr>
                <w:spacing w:val="-2"/>
                <w:sz w:val="22"/>
              </w:rPr>
            </w:pPr>
          </w:p>
          <w:p w14:paraId="35220B6F" w14:textId="77777777" w:rsidR="00C10A6A" w:rsidRPr="00576AF8" w:rsidRDefault="00C10A6A" w:rsidP="00803EC1">
            <w:pPr>
              <w:jc w:val="left"/>
              <w:rPr>
                <w:spacing w:val="-2"/>
                <w:sz w:val="22"/>
              </w:rPr>
            </w:pPr>
            <w:r w:rsidRPr="00576AF8">
              <w:rPr>
                <w:spacing w:val="-2"/>
                <w:sz w:val="22"/>
              </w:rPr>
              <w:t>______</w:t>
            </w:r>
          </w:p>
        </w:tc>
        <w:tc>
          <w:tcPr>
            <w:tcW w:w="1487" w:type="dxa"/>
          </w:tcPr>
          <w:p w14:paraId="761D6368" w14:textId="77777777" w:rsidR="00C10A6A" w:rsidRPr="00576AF8" w:rsidRDefault="00C10A6A" w:rsidP="00803EC1">
            <w:pPr>
              <w:jc w:val="left"/>
              <w:rPr>
                <w:spacing w:val="-2"/>
                <w:sz w:val="22"/>
              </w:rPr>
            </w:pPr>
          </w:p>
          <w:p w14:paraId="607B94ED" w14:textId="77777777" w:rsidR="00C10A6A" w:rsidRPr="00576AF8" w:rsidRDefault="00C10A6A" w:rsidP="00803EC1">
            <w:pPr>
              <w:jc w:val="left"/>
              <w:rPr>
                <w:spacing w:val="-2"/>
                <w:sz w:val="22"/>
              </w:rPr>
            </w:pPr>
            <w:r w:rsidRPr="00576AF8">
              <w:rPr>
                <w:spacing w:val="-2"/>
                <w:sz w:val="22"/>
              </w:rPr>
              <w:t>______</w:t>
            </w:r>
          </w:p>
        </w:tc>
        <w:tc>
          <w:tcPr>
            <w:tcW w:w="851" w:type="dxa"/>
          </w:tcPr>
          <w:p w14:paraId="000D2397" w14:textId="77777777" w:rsidR="00C10A6A" w:rsidRPr="00576AF8" w:rsidRDefault="00C10A6A" w:rsidP="00803EC1">
            <w:pPr>
              <w:jc w:val="left"/>
              <w:rPr>
                <w:spacing w:val="-2"/>
                <w:sz w:val="22"/>
              </w:rPr>
            </w:pPr>
          </w:p>
        </w:tc>
        <w:tc>
          <w:tcPr>
            <w:tcW w:w="4772" w:type="dxa"/>
          </w:tcPr>
          <w:p w14:paraId="131B0304" w14:textId="77777777" w:rsidR="00C10A6A" w:rsidRPr="00576AF8" w:rsidRDefault="00C10A6A" w:rsidP="00803EC1">
            <w:pPr>
              <w:jc w:val="left"/>
              <w:rPr>
                <w:spacing w:val="-2"/>
                <w:sz w:val="22"/>
              </w:rPr>
            </w:pPr>
            <w:r w:rsidRPr="00576AF8">
              <w:rPr>
                <w:spacing w:val="-2"/>
                <w:sz w:val="22"/>
              </w:rPr>
              <w:t>Nombre del Contrato:</w:t>
            </w:r>
          </w:p>
          <w:p w14:paraId="0E4F7BE9" w14:textId="77777777" w:rsidR="00C10A6A" w:rsidRPr="00576AF8" w:rsidRDefault="00C10A6A" w:rsidP="00803EC1">
            <w:pPr>
              <w:jc w:val="left"/>
              <w:rPr>
                <w:spacing w:val="-2"/>
                <w:sz w:val="22"/>
              </w:rPr>
            </w:pPr>
            <w:r w:rsidRPr="00576AF8">
              <w:rPr>
                <w:spacing w:val="-2"/>
                <w:sz w:val="22"/>
              </w:rPr>
              <w:t>Descripción breve del Sistema Informático proporcionado por el Licitante:</w:t>
            </w:r>
          </w:p>
          <w:p w14:paraId="1A515768" w14:textId="77777777" w:rsidR="00C10A6A" w:rsidRPr="00576AF8" w:rsidRDefault="00C10A6A" w:rsidP="00803EC1">
            <w:pPr>
              <w:jc w:val="left"/>
              <w:rPr>
                <w:spacing w:val="-2"/>
                <w:sz w:val="22"/>
              </w:rPr>
            </w:pPr>
            <w:r w:rsidRPr="00576AF8">
              <w:rPr>
                <w:spacing w:val="-2"/>
                <w:sz w:val="22"/>
              </w:rPr>
              <w:t>Nombre del Comprador:</w:t>
            </w:r>
          </w:p>
          <w:p w14:paraId="3D92F62F" w14:textId="77777777" w:rsidR="00C10A6A" w:rsidRPr="00576AF8" w:rsidRDefault="00C10A6A" w:rsidP="00803EC1">
            <w:pPr>
              <w:jc w:val="left"/>
              <w:rPr>
                <w:spacing w:val="-2"/>
                <w:sz w:val="22"/>
              </w:rPr>
            </w:pPr>
            <w:r w:rsidRPr="00576AF8">
              <w:rPr>
                <w:spacing w:val="-2"/>
                <w:sz w:val="22"/>
              </w:rPr>
              <w:t>Dirección:</w:t>
            </w:r>
          </w:p>
        </w:tc>
        <w:tc>
          <w:tcPr>
            <w:tcW w:w="1465" w:type="dxa"/>
          </w:tcPr>
          <w:p w14:paraId="49FB42B5" w14:textId="77777777" w:rsidR="00C10A6A" w:rsidRPr="00576AF8" w:rsidRDefault="00C10A6A" w:rsidP="00F829E8">
            <w:pPr>
              <w:ind w:left="78"/>
              <w:jc w:val="left"/>
              <w:rPr>
                <w:spacing w:val="-2"/>
                <w:sz w:val="22"/>
              </w:rPr>
            </w:pPr>
          </w:p>
          <w:p w14:paraId="473AF504" w14:textId="77777777" w:rsidR="00C10A6A" w:rsidRPr="00576AF8" w:rsidRDefault="00C10A6A" w:rsidP="00F829E8">
            <w:pPr>
              <w:ind w:left="78"/>
              <w:jc w:val="left"/>
              <w:rPr>
                <w:spacing w:val="-2"/>
                <w:sz w:val="22"/>
              </w:rPr>
            </w:pPr>
            <w:r w:rsidRPr="00576AF8">
              <w:rPr>
                <w:spacing w:val="-2"/>
                <w:sz w:val="22"/>
              </w:rPr>
              <w:t>_________</w:t>
            </w:r>
          </w:p>
          <w:p w14:paraId="3BD67D6F" w14:textId="77777777" w:rsidR="00C10A6A" w:rsidRPr="00576AF8" w:rsidRDefault="00C10A6A" w:rsidP="00F829E8">
            <w:pPr>
              <w:ind w:left="78"/>
              <w:jc w:val="left"/>
              <w:rPr>
                <w:spacing w:val="-2"/>
                <w:sz w:val="22"/>
              </w:rPr>
            </w:pPr>
          </w:p>
        </w:tc>
      </w:tr>
      <w:tr w:rsidR="00C10A6A" w:rsidRPr="00576AF8" w14:paraId="38313470" w14:textId="77777777" w:rsidTr="009C4D34">
        <w:trPr>
          <w:cantSplit/>
        </w:trPr>
        <w:tc>
          <w:tcPr>
            <w:tcW w:w="1080" w:type="dxa"/>
          </w:tcPr>
          <w:p w14:paraId="6D94B16B" w14:textId="77777777" w:rsidR="00C10A6A" w:rsidRPr="00576AF8" w:rsidRDefault="00C10A6A" w:rsidP="00803EC1">
            <w:pPr>
              <w:jc w:val="left"/>
              <w:rPr>
                <w:spacing w:val="-2"/>
                <w:sz w:val="22"/>
              </w:rPr>
            </w:pPr>
          </w:p>
          <w:p w14:paraId="7C6751CD" w14:textId="77777777" w:rsidR="00C10A6A" w:rsidRPr="00576AF8" w:rsidRDefault="00C10A6A" w:rsidP="00803EC1">
            <w:pPr>
              <w:jc w:val="left"/>
              <w:rPr>
                <w:spacing w:val="-2"/>
                <w:sz w:val="22"/>
              </w:rPr>
            </w:pPr>
            <w:r w:rsidRPr="00576AF8">
              <w:rPr>
                <w:spacing w:val="-2"/>
                <w:sz w:val="22"/>
              </w:rPr>
              <w:t>______</w:t>
            </w:r>
          </w:p>
        </w:tc>
        <w:tc>
          <w:tcPr>
            <w:tcW w:w="1487" w:type="dxa"/>
          </w:tcPr>
          <w:p w14:paraId="22BA1019" w14:textId="77777777" w:rsidR="00C10A6A" w:rsidRPr="00576AF8" w:rsidRDefault="00C10A6A" w:rsidP="00803EC1">
            <w:pPr>
              <w:jc w:val="left"/>
              <w:rPr>
                <w:spacing w:val="-2"/>
                <w:sz w:val="22"/>
              </w:rPr>
            </w:pPr>
          </w:p>
          <w:p w14:paraId="570854D7" w14:textId="77777777" w:rsidR="00C10A6A" w:rsidRPr="00576AF8" w:rsidRDefault="00C10A6A" w:rsidP="00803EC1">
            <w:pPr>
              <w:jc w:val="left"/>
              <w:rPr>
                <w:spacing w:val="-2"/>
                <w:sz w:val="22"/>
              </w:rPr>
            </w:pPr>
            <w:r w:rsidRPr="00576AF8">
              <w:rPr>
                <w:spacing w:val="-2"/>
                <w:sz w:val="22"/>
              </w:rPr>
              <w:t>______</w:t>
            </w:r>
          </w:p>
        </w:tc>
        <w:tc>
          <w:tcPr>
            <w:tcW w:w="851" w:type="dxa"/>
          </w:tcPr>
          <w:p w14:paraId="75AB9A10" w14:textId="77777777" w:rsidR="00C10A6A" w:rsidRPr="00576AF8" w:rsidRDefault="00C10A6A" w:rsidP="00803EC1">
            <w:pPr>
              <w:jc w:val="left"/>
              <w:rPr>
                <w:spacing w:val="-2"/>
                <w:sz w:val="22"/>
              </w:rPr>
            </w:pPr>
          </w:p>
        </w:tc>
        <w:tc>
          <w:tcPr>
            <w:tcW w:w="4772" w:type="dxa"/>
          </w:tcPr>
          <w:p w14:paraId="53424F79" w14:textId="77777777" w:rsidR="00C10A6A" w:rsidRPr="00576AF8" w:rsidRDefault="00C10A6A" w:rsidP="00803EC1">
            <w:pPr>
              <w:jc w:val="left"/>
              <w:rPr>
                <w:spacing w:val="-2"/>
                <w:sz w:val="22"/>
              </w:rPr>
            </w:pPr>
            <w:r w:rsidRPr="00576AF8">
              <w:rPr>
                <w:spacing w:val="-2"/>
                <w:sz w:val="22"/>
              </w:rPr>
              <w:t>Nombre del Contrato:</w:t>
            </w:r>
          </w:p>
          <w:p w14:paraId="31EFB1F2" w14:textId="77777777" w:rsidR="00C10A6A" w:rsidRPr="00576AF8" w:rsidRDefault="00C10A6A" w:rsidP="00803EC1">
            <w:pPr>
              <w:jc w:val="left"/>
              <w:rPr>
                <w:spacing w:val="-2"/>
                <w:sz w:val="22"/>
              </w:rPr>
            </w:pPr>
            <w:r w:rsidRPr="00576AF8">
              <w:rPr>
                <w:spacing w:val="-2"/>
                <w:sz w:val="22"/>
              </w:rPr>
              <w:t>Descripción breve del Sistema Informático proporcionado por el Licitante:</w:t>
            </w:r>
          </w:p>
          <w:p w14:paraId="538A5459" w14:textId="77777777" w:rsidR="00C10A6A" w:rsidRPr="00576AF8" w:rsidRDefault="00C10A6A" w:rsidP="00803EC1">
            <w:pPr>
              <w:jc w:val="left"/>
              <w:rPr>
                <w:spacing w:val="-2"/>
                <w:sz w:val="22"/>
              </w:rPr>
            </w:pPr>
            <w:r w:rsidRPr="00576AF8">
              <w:rPr>
                <w:spacing w:val="-2"/>
                <w:sz w:val="22"/>
              </w:rPr>
              <w:t>Nombre del Comprador:</w:t>
            </w:r>
          </w:p>
          <w:p w14:paraId="7CD2C673" w14:textId="77777777" w:rsidR="00C10A6A" w:rsidRPr="00576AF8" w:rsidRDefault="00C10A6A" w:rsidP="00803EC1">
            <w:pPr>
              <w:jc w:val="left"/>
              <w:rPr>
                <w:spacing w:val="-2"/>
                <w:sz w:val="22"/>
              </w:rPr>
            </w:pPr>
            <w:r w:rsidRPr="00576AF8">
              <w:rPr>
                <w:spacing w:val="-2"/>
                <w:sz w:val="22"/>
              </w:rPr>
              <w:t>Dirección:</w:t>
            </w:r>
          </w:p>
        </w:tc>
        <w:tc>
          <w:tcPr>
            <w:tcW w:w="1465" w:type="dxa"/>
          </w:tcPr>
          <w:p w14:paraId="3D142E1A" w14:textId="77777777" w:rsidR="00C10A6A" w:rsidRPr="00576AF8" w:rsidRDefault="00C10A6A" w:rsidP="00F829E8">
            <w:pPr>
              <w:ind w:left="78"/>
              <w:jc w:val="left"/>
              <w:rPr>
                <w:spacing w:val="-2"/>
                <w:sz w:val="22"/>
              </w:rPr>
            </w:pPr>
          </w:p>
          <w:p w14:paraId="4A396CE4" w14:textId="77777777" w:rsidR="00C10A6A" w:rsidRPr="00576AF8" w:rsidRDefault="00C10A6A" w:rsidP="00F829E8">
            <w:pPr>
              <w:ind w:left="78"/>
              <w:jc w:val="left"/>
              <w:rPr>
                <w:spacing w:val="-2"/>
                <w:sz w:val="22"/>
              </w:rPr>
            </w:pPr>
            <w:r w:rsidRPr="00576AF8">
              <w:rPr>
                <w:spacing w:val="-2"/>
                <w:sz w:val="22"/>
              </w:rPr>
              <w:t>_________</w:t>
            </w:r>
          </w:p>
          <w:p w14:paraId="181351AE" w14:textId="77777777" w:rsidR="00C10A6A" w:rsidRPr="00576AF8" w:rsidRDefault="00C10A6A" w:rsidP="00F829E8">
            <w:pPr>
              <w:ind w:left="78"/>
              <w:jc w:val="left"/>
              <w:rPr>
                <w:spacing w:val="-2"/>
                <w:sz w:val="22"/>
              </w:rPr>
            </w:pPr>
          </w:p>
        </w:tc>
      </w:tr>
      <w:tr w:rsidR="00C10A6A" w:rsidRPr="00576AF8" w14:paraId="15A9C739" w14:textId="77777777" w:rsidTr="009C4D34">
        <w:trPr>
          <w:cantSplit/>
        </w:trPr>
        <w:tc>
          <w:tcPr>
            <w:tcW w:w="1080" w:type="dxa"/>
          </w:tcPr>
          <w:p w14:paraId="52B57751" w14:textId="77777777" w:rsidR="00C10A6A" w:rsidRPr="00576AF8" w:rsidRDefault="00C10A6A" w:rsidP="00803EC1">
            <w:pPr>
              <w:jc w:val="left"/>
              <w:rPr>
                <w:spacing w:val="-2"/>
                <w:sz w:val="22"/>
              </w:rPr>
            </w:pPr>
          </w:p>
          <w:p w14:paraId="16AF34F9" w14:textId="77777777" w:rsidR="00C10A6A" w:rsidRPr="00576AF8" w:rsidRDefault="00C10A6A" w:rsidP="00803EC1">
            <w:pPr>
              <w:jc w:val="left"/>
              <w:rPr>
                <w:spacing w:val="-2"/>
                <w:sz w:val="22"/>
              </w:rPr>
            </w:pPr>
            <w:r w:rsidRPr="00576AF8">
              <w:rPr>
                <w:spacing w:val="-2"/>
                <w:sz w:val="22"/>
              </w:rPr>
              <w:t>______</w:t>
            </w:r>
          </w:p>
        </w:tc>
        <w:tc>
          <w:tcPr>
            <w:tcW w:w="1487" w:type="dxa"/>
          </w:tcPr>
          <w:p w14:paraId="5A8FE010" w14:textId="77777777" w:rsidR="00C10A6A" w:rsidRPr="00576AF8" w:rsidRDefault="00C10A6A" w:rsidP="00803EC1">
            <w:pPr>
              <w:jc w:val="left"/>
              <w:rPr>
                <w:spacing w:val="-2"/>
                <w:sz w:val="22"/>
              </w:rPr>
            </w:pPr>
          </w:p>
          <w:p w14:paraId="5C93BB13" w14:textId="77777777" w:rsidR="00C10A6A" w:rsidRPr="00576AF8" w:rsidRDefault="00C10A6A" w:rsidP="00803EC1">
            <w:pPr>
              <w:jc w:val="left"/>
              <w:rPr>
                <w:spacing w:val="-2"/>
                <w:sz w:val="22"/>
              </w:rPr>
            </w:pPr>
            <w:r w:rsidRPr="00576AF8">
              <w:rPr>
                <w:spacing w:val="-2"/>
                <w:sz w:val="22"/>
              </w:rPr>
              <w:t>______</w:t>
            </w:r>
          </w:p>
        </w:tc>
        <w:tc>
          <w:tcPr>
            <w:tcW w:w="851" w:type="dxa"/>
          </w:tcPr>
          <w:p w14:paraId="2A7CAC02" w14:textId="77777777" w:rsidR="00C10A6A" w:rsidRPr="00576AF8" w:rsidRDefault="00C10A6A" w:rsidP="00803EC1">
            <w:pPr>
              <w:jc w:val="left"/>
              <w:rPr>
                <w:spacing w:val="-2"/>
                <w:sz w:val="22"/>
              </w:rPr>
            </w:pPr>
          </w:p>
        </w:tc>
        <w:tc>
          <w:tcPr>
            <w:tcW w:w="4772" w:type="dxa"/>
          </w:tcPr>
          <w:p w14:paraId="0BDF95FB" w14:textId="77777777" w:rsidR="00C10A6A" w:rsidRPr="00576AF8" w:rsidRDefault="00C10A6A" w:rsidP="00803EC1">
            <w:pPr>
              <w:jc w:val="left"/>
              <w:rPr>
                <w:spacing w:val="-2"/>
                <w:sz w:val="22"/>
              </w:rPr>
            </w:pPr>
            <w:r w:rsidRPr="00576AF8">
              <w:rPr>
                <w:spacing w:val="-2"/>
                <w:sz w:val="22"/>
              </w:rPr>
              <w:t>Nombre del Contrato:</w:t>
            </w:r>
          </w:p>
          <w:p w14:paraId="1B897C14" w14:textId="77777777" w:rsidR="00C10A6A" w:rsidRPr="00576AF8" w:rsidRDefault="00C10A6A" w:rsidP="00803EC1">
            <w:pPr>
              <w:jc w:val="left"/>
              <w:rPr>
                <w:spacing w:val="-2"/>
                <w:sz w:val="22"/>
              </w:rPr>
            </w:pPr>
            <w:r w:rsidRPr="00576AF8">
              <w:rPr>
                <w:spacing w:val="-2"/>
                <w:sz w:val="22"/>
              </w:rPr>
              <w:t>Descripción breve del Sistema Informático proporcionado por el Licitante:</w:t>
            </w:r>
          </w:p>
          <w:p w14:paraId="0469C018" w14:textId="77777777" w:rsidR="00C10A6A" w:rsidRPr="00576AF8" w:rsidRDefault="00C10A6A" w:rsidP="00803EC1">
            <w:pPr>
              <w:jc w:val="left"/>
              <w:rPr>
                <w:spacing w:val="-2"/>
                <w:sz w:val="22"/>
              </w:rPr>
            </w:pPr>
            <w:r w:rsidRPr="00576AF8">
              <w:rPr>
                <w:spacing w:val="-2"/>
                <w:sz w:val="22"/>
              </w:rPr>
              <w:t>Nombre del Comprador:</w:t>
            </w:r>
          </w:p>
          <w:p w14:paraId="67FB0E5E" w14:textId="77777777" w:rsidR="00C10A6A" w:rsidRPr="00576AF8" w:rsidRDefault="00C10A6A" w:rsidP="00803EC1">
            <w:pPr>
              <w:jc w:val="left"/>
              <w:rPr>
                <w:spacing w:val="-2"/>
                <w:sz w:val="22"/>
              </w:rPr>
            </w:pPr>
            <w:r w:rsidRPr="00576AF8">
              <w:rPr>
                <w:spacing w:val="-2"/>
                <w:sz w:val="22"/>
              </w:rPr>
              <w:t>Dirección:</w:t>
            </w:r>
          </w:p>
        </w:tc>
        <w:tc>
          <w:tcPr>
            <w:tcW w:w="1465" w:type="dxa"/>
          </w:tcPr>
          <w:p w14:paraId="25630816" w14:textId="77777777" w:rsidR="00C10A6A" w:rsidRPr="00576AF8" w:rsidRDefault="00C10A6A" w:rsidP="00F829E8">
            <w:pPr>
              <w:ind w:left="78"/>
              <w:jc w:val="left"/>
              <w:rPr>
                <w:spacing w:val="-2"/>
                <w:sz w:val="22"/>
              </w:rPr>
            </w:pPr>
          </w:p>
          <w:p w14:paraId="633A08F6" w14:textId="77777777" w:rsidR="00C10A6A" w:rsidRPr="00576AF8" w:rsidRDefault="00C10A6A" w:rsidP="00F829E8">
            <w:pPr>
              <w:ind w:left="78"/>
              <w:jc w:val="left"/>
              <w:rPr>
                <w:spacing w:val="-2"/>
                <w:sz w:val="22"/>
              </w:rPr>
            </w:pPr>
            <w:r w:rsidRPr="00576AF8">
              <w:rPr>
                <w:spacing w:val="-2"/>
                <w:sz w:val="22"/>
              </w:rPr>
              <w:t>_________</w:t>
            </w:r>
          </w:p>
          <w:p w14:paraId="44769E75" w14:textId="77777777" w:rsidR="00C10A6A" w:rsidRPr="00576AF8" w:rsidRDefault="00C10A6A" w:rsidP="00F829E8">
            <w:pPr>
              <w:ind w:left="78"/>
              <w:jc w:val="left"/>
              <w:rPr>
                <w:spacing w:val="-2"/>
                <w:sz w:val="22"/>
              </w:rPr>
            </w:pPr>
          </w:p>
        </w:tc>
      </w:tr>
      <w:tr w:rsidR="00C10A6A" w:rsidRPr="00576AF8" w14:paraId="5F150F6D" w14:textId="77777777" w:rsidTr="009C4D34">
        <w:trPr>
          <w:cantSplit/>
        </w:trPr>
        <w:tc>
          <w:tcPr>
            <w:tcW w:w="1080" w:type="dxa"/>
          </w:tcPr>
          <w:p w14:paraId="2D4C8B95" w14:textId="77777777" w:rsidR="00C10A6A" w:rsidRPr="00576AF8" w:rsidRDefault="00C10A6A" w:rsidP="00803EC1">
            <w:pPr>
              <w:jc w:val="left"/>
              <w:rPr>
                <w:spacing w:val="-2"/>
                <w:sz w:val="22"/>
              </w:rPr>
            </w:pPr>
          </w:p>
          <w:p w14:paraId="6C939D9B" w14:textId="77777777" w:rsidR="00C10A6A" w:rsidRPr="00576AF8" w:rsidRDefault="00C10A6A" w:rsidP="00803EC1">
            <w:pPr>
              <w:jc w:val="left"/>
              <w:rPr>
                <w:spacing w:val="-2"/>
                <w:sz w:val="22"/>
              </w:rPr>
            </w:pPr>
            <w:r w:rsidRPr="00576AF8">
              <w:rPr>
                <w:spacing w:val="-2"/>
                <w:sz w:val="22"/>
              </w:rPr>
              <w:t>______</w:t>
            </w:r>
          </w:p>
        </w:tc>
        <w:tc>
          <w:tcPr>
            <w:tcW w:w="1487" w:type="dxa"/>
          </w:tcPr>
          <w:p w14:paraId="76123246" w14:textId="77777777" w:rsidR="00C10A6A" w:rsidRPr="00576AF8" w:rsidRDefault="00C10A6A" w:rsidP="00803EC1">
            <w:pPr>
              <w:jc w:val="left"/>
              <w:rPr>
                <w:spacing w:val="-2"/>
                <w:sz w:val="22"/>
              </w:rPr>
            </w:pPr>
          </w:p>
          <w:p w14:paraId="331FA815" w14:textId="77777777" w:rsidR="00C10A6A" w:rsidRPr="00576AF8" w:rsidRDefault="00C10A6A" w:rsidP="00803EC1">
            <w:pPr>
              <w:jc w:val="left"/>
              <w:rPr>
                <w:spacing w:val="-2"/>
                <w:sz w:val="22"/>
              </w:rPr>
            </w:pPr>
            <w:r w:rsidRPr="00576AF8">
              <w:rPr>
                <w:spacing w:val="-2"/>
                <w:sz w:val="22"/>
              </w:rPr>
              <w:t>______</w:t>
            </w:r>
          </w:p>
        </w:tc>
        <w:tc>
          <w:tcPr>
            <w:tcW w:w="851" w:type="dxa"/>
          </w:tcPr>
          <w:p w14:paraId="608002D2" w14:textId="77777777" w:rsidR="00C10A6A" w:rsidRPr="00576AF8" w:rsidRDefault="00C10A6A" w:rsidP="00803EC1">
            <w:pPr>
              <w:jc w:val="left"/>
              <w:rPr>
                <w:spacing w:val="-2"/>
                <w:sz w:val="22"/>
              </w:rPr>
            </w:pPr>
          </w:p>
        </w:tc>
        <w:tc>
          <w:tcPr>
            <w:tcW w:w="4772" w:type="dxa"/>
          </w:tcPr>
          <w:p w14:paraId="29F92049" w14:textId="77777777" w:rsidR="00C10A6A" w:rsidRPr="00576AF8" w:rsidRDefault="00C10A6A" w:rsidP="00803EC1">
            <w:pPr>
              <w:jc w:val="left"/>
              <w:rPr>
                <w:spacing w:val="-2"/>
                <w:sz w:val="22"/>
              </w:rPr>
            </w:pPr>
            <w:r w:rsidRPr="00576AF8">
              <w:rPr>
                <w:spacing w:val="-2"/>
                <w:sz w:val="22"/>
              </w:rPr>
              <w:t>Nombre del Contrato:</w:t>
            </w:r>
          </w:p>
          <w:p w14:paraId="55585CDF" w14:textId="77777777" w:rsidR="00C10A6A" w:rsidRPr="00576AF8" w:rsidRDefault="00C10A6A" w:rsidP="00803EC1">
            <w:pPr>
              <w:jc w:val="left"/>
              <w:rPr>
                <w:spacing w:val="-2"/>
                <w:sz w:val="22"/>
              </w:rPr>
            </w:pPr>
            <w:r w:rsidRPr="00576AF8">
              <w:rPr>
                <w:spacing w:val="-2"/>
                <w:sz w:val="22"/>
              </w:rPr>
              <w:t>Descripción breve del Sistema Informático proporcionado por el Licitante:</w:t>
            </w:r>
          </w:p>
          <w:p w14:paraId="39EFB460" w14:textId="77777777" w:rsidR="00C10A6A" w:rsidRPr="00576AF8" w:rsidRDefault="00C10A6A" w:rsidP="00803EC1">
            <w:pPr>
              <w:jc w:val="left"/>
              <w:rPr>
                <w:spacing w:val="-2"/>
                <w:sz w:val="22"/>
              </w:rPr>
            </w:pPr>
            <w:r w:rsidRPr="00576AF8">
              <w:rPr>
                <w:spacing w:val="-2"/>
                <w:sz w:val="22"/>
              </w:rPr>
              <w:t>Nombre del Comprador:</w:t>
            </w:r>
          </w:p>
          <w:p w14:paraId="3BE786CA" w14:textId="77777777" w:rsidR="00C10A6A" w:rsidRPr="00576AF8" w:rsidRDefault="00C10A6A" w:rsidP="00803EC1">
            <w:pPr>
              <w:jc w:val="left"/>
              <w:rPr>
                <w:spacing w:val="-2"/>
                <w:sz w:val="22"/>
              </w:rPr>
            </w:pPr>
            <w:r w:rsidRPr="00576AF8">
              <w:rPr>
                <w:spacing w:val="-2"/>
                <w:sz w:val="22"/>
              </w:rPr>
              <w:t>Dirección:</w:t>
            </w:r>
          </w:p>
        </w:tc>
        <w:tc>
          <w:tcPr>
            <w:tcW w:w="1465" w:type="dxa"/>
          </w:tcPr>
          <w:p w14:paraId="3C2ACAE6" w14:textId="77777777" w:rsidR="00C10A6A" w:rsidRPr="00576AF8" w:rsidRDefault="00C10A6A" w:rsidP="00F829E8">
            <w:pPr>
              <w:ind w:left="78"/>
              <w:jc w:val="left"/>
              <w:rPr>
                <w:spacing w:val="-2"/>
                <w:sz w:val="22"/>
              </w:rPr>
            </w:pPr>
          </w:p>
          <w:p w14:paraId="50B6B963" w14:textId="77777777" w:rsidR="00C10A6A" w:rsidRPr="00576AF8" w:rsidRDefault="00C10A6A" w:rsidP="00F829E8">
            <w:pPr>
              <w:ind w:left="78"/>
              <w:jc w:val="left"/>
              <w:rPr>
                <w:spacing w:val="-2"/>
                <w:sz w:val="22"/>
              </w:rPr>
            </w:pPr>
            <w:r w:rsidRPr="00576AF8">
              <w:rPr>
                <w:spacing w:val="-2"/>
                <w:sz w:val="22"/>
              </w:rPr>
              <w:t>_________</w:t>
            </w:r>
          </w:p>
          <w:p w14:paraId="0CF2F105" w14:textId="77777777" w:rsidR="00C10A6A" w:rsidRPr="00576AF8" w:rsidRDefault="00C10A6A" w:rsidP="00F829E8">
            <w:pPr>
              <w:ind w:left="78"/>
              <w:jc w:val="left"/>
              <w:rPr>
                <w:spacing w:val="-2"/>
                <w:sz w:val="22"/>
              </w:rPr>
            </w:pPr>
          </w:p>
        </w:tc>
      </w:tr>
      <w:tr w:rsidR="00C10A6A" w:rsidRPr="00576AF8" w14:paraId="4373AF86" w14:textId="77777777" w:rsidTr="009C4D34">
        <w:trPr>
          <w:cantSplit/>
        </w:trPr>
        <w:tc>
          <w:tcPr>
            <w:tcW w:w="1080" w:type="dxa"/>
          </w:tcPr>
          <w:p w14:paraId="45FDB4CB" w14:textId="77777777" w:rsidR="00C10A6A" w:rsidRPr="00576AF8" w:rsidRDefault="00C10A6A" w:rsidP="00803EC1">
            <w:pPr>
              <w:jc w:val="left"/>
              <w:rPr>
                <w:spacing w:val="-2"/>
                <w:sz w:val="22"/>
              </w:rPr>
            </w:pPr>
          </w:p>
          <w:p w14:paraId="310DB4AD" w14:textId="77777777" w:rsidR="00C10A6A" w:rsidRPr="00576AF8" w:rsidRDefault="00C10A6A" w:rsidP="00803EC1">
            <w:pPr>
              <w:jc w:val="left"/>
              <w:rPr>
                <w:spacing w:val="-2"/>
                <w:sz w:val="22"/>
              </w:rPr>
            </w:pPr>
            <w:r w:rsidRPr="00576AF8">
              <w:rPr>
                <w:spacing w:val="-2"/>
                <w:sz w:val="22"/>
              </w:rPr>
              <w:t>______</w:t>
            </w:r>
          </w:p>
        </w:tc>
        <w:tc>
          <w:tcPr>
            <w:tcW w:w="1487" w:type="dxa"/>
          </w:tcPr>
          <w:p w14:paraId="75D91E05" w14:textId="77777777" w:rsidR="00C10A6A" w:rsidRPr="00576AF8" w:rsidRDefault="00C10A6A" w:rsidP="00803EC1">
            <w:pPr>
              <w:jc w:val="left"/>
              <w:rPr>
                <w:spacing w:val="-2"/>
                <w:sz w:val="22"/>
              </w:rPr>
            </w:pPr>
          </w:p>
          <w:p w14:paraId="2561A978" w14:textId="77777777" w:rsidR="00C10A6A" w:rsidRPr="00576AF8" w:rsidRDefault="00C10A6A" w:rsidP="00803EC1">
            <w:pPr>
              <w:jc w:val="left"/>
              <w:rPr>
                <w:spacing w:val="-2"/>
                <w:sz w:val="22"/>
              </w:rPr>
            </w:pPr>
            <w:r w:rsidRPr="00576AF8">
              <w:rPr>
                <w:spacing w:val="-2"/>
                <w:sz w:val="22"/>
              </w:rPr>
              <w:t>______</w:t>
            </w:r>
          </w:p>
        </w:tc>
        <w:tc>
          <w:tcPr>
            <w:tcW w:w="851" w:type="dxa"/>
          </w:tcPr>
          <w:p w14:paraId="2EAF199E" w14:textId="77777777" w:rsidR="00C10A6A" w:rsidRPr="00576AF8" w:rsidRDefault="00C10A6A" w:rsidP="00803EC1">
            <w:pPr>
              <w:jc w:val="left"/>
              <w:rPr>
                <w:spacing w:val="-2"/>
                <w:sz w:val="22"/>
              </w:rPr>
            </w:pPr>
          </w:p>
        </w:tc>
        <w:tc>
          <w:tcPr>
            <w:tcW w:w="4772" w:type="dxa"/>
          </w:tcPr>
          <w:p w14:paraId="0E767EA5" w14:textId="77777777" w:rsidR="00C10A6A" w:rsidRPr="00576AF8" w:rsidRDefault="00C10A6A" w:rsidP="00803EC1">
            <w:pPr>
              <w:jc w:val="left"/>
              <w:rPr>
                <w:spacing w:val="-2"/>
                <w:sz w:val="22"/>
              </w:rPr>
            </w:pPr>
            <w:r w:rsidRPr="00576AF8">
              <w:rPr>
                <w:spacing w:val="-2"/>
                <w:sz w:val="22"/>
              </w:rPr>
              <w:t>Nombre del Contrato:</w:t>
            </w:r>
          </w:p>
          <w:p w14:paraId="72E534EA" w14:textId="77777777" w:rsidR="00C10A6A" w:rsidRPr="00576AF8" w:rsidRDefault="00C10A6A" w:rsidP="00803EC1">
            <w:pPr>
              <w:jc w:val="left"/>
              <w:rPr>
                <w:spacing w:val="-2"/>
                <w:sz w:val="22"/>
              </w:rPr>
            </w:pPr>
            <w:r w:rsidRPr="00576AF8">
              <w:rPr>
                <w:spacing w:val="-2"/>
                <w:sz w:val="22"/>
              </w:rPr>
              <w:t>Descripción breve del Sistema Informático proporcionado por el Licitante:</w:t>
            </w:r>
          </w:p>
          <w:p w14:paraId="5E2BDEF4" w14:textId="77777777" w:rsidR="00C10A6A" w:rsidRPr="00576AF8" w:rsidRDefault="00C10A6A" w:rsidP="00803EC1">
            <w:pPr>
              <w:jc w:val="left"/>
              <w:rPr>
                <w:spacing w:val="-2"/>
                <w:sz w:val="22"/>
              </w:rPr>
            </w:pPr>
            <w:r w:rsidRPr="00576AF8">
              <w:rPr>
                <w:spacing w:val="-2"/>
                <w:sz w:val="22"/>
              </w:rPr>
              <w:t>Nombre del Comprador:</w:t>
            </w:r>
          </w:p>
          <w:p w14:paraId="541530D9" w14:textId="77777777" w:rsidR="00C10A6A" w:rsidRPr="00576AF8" w:rsidRDefault="00C10A6A" w:rsidP="00803EC1">
            <w:pPr>
              <w:jc w:val="left"/>
              <w:rPr>
                <w:spacing w:val="-2"/>
                <w:sz w:val="22"/>
              </w:rPr>
            </w:pPr>
            <w:r w:rsidRPr="00576AF8">
              <w:rPr>
                <w:spacing w:val="-2"/>
                <w:sz w:val="22"/>
              </w:rPr>
              <w:t>Dirección:</w:t>
            </w:r>
          </w:p>
        </w:tc>
        <w:tc>
          <w:tcPr>
            <w:tcW w:w="1465" w:type="dxa"/>
          </w:tcPr>
          <w:p w14:paraId="4BFFD87C" w14:textId="77777777" w:rsidR="00C10A6A" w:rsidRPr="00576AF8" w:rsidRDefault="00C10A6A" w:rsidP="00803EC1">
            <w:pPr>
              <w:jc w:val="left"/>
              <w:rPr>
                <w:spacing w:val="-2"/>
                <w:sz w:val="22"/>
              </w:rPr>
            </w:pPr>
          </w:p>
          <w:p w14:paraId="3120FD37" w14:textId="77777777" w:rsidR="00C10A6A" w:rsidRPr="00576AF8" w:rsidRDefault="00C10A6A" w:rsidP="00803EC1">
            <w:pPr>
              <w:jc w:val="left"/>
              <w:rPr>
                <w:spacing w:val="-2"/>
                <w:sz w:val="22"/>
              </w:rPr>
            </w:pPr>
            <w:r w:rsidRPr="00576AF8">
              <w:rPr>
                <w:spacing w:val="-2"/>
                <w:sz w:val="22"/>
              </w:rPr>
              <w:t>_________</w:t>
            </w:r>
          </w:p>
          <w:p w14:paraId="599EFD99" w14:textId="77777777" w:rsidR="00C10A6A" w:rsidRPr="00576AF8" w:rsidRDefault="00C10A6A" w:rsidP="00803EC1">
            <w:pPr>
              <w:jc w:val="left"/>
              <w:rPr>
                <w:spacing w:val="-2"/>
                <w:sz w:val="22"/>
              </w:rPr>
            </w:pPr>
          </w:p>
        </w:tc>
      </w:tr>
      <w:tr w:rsidR="00C10A6A" w:rsidRPr="00576AF8" w14:paraId="5F03FF32" w14:textId="77777777" w:rsidTr="009C4D34">
        <w:trPr>
          <w:cantSplit/>
        </w:trPr>
        <w:tc>
          <w:tcPr>
            <w:tcW w:w="1080" w:type="dxa"/>
          </w:tcPr>
          <w:p w14:paraId="48217275" w14:textId="77777777" w:rsidR="00C10A6A" w:rsidRPr="00576AF8" w:rsidRDefault="00C10A6A" w:rsidP="00803EC1">
            <w:pPr>
              <w:jc w:val="left"/>
              <w:rPr>
                <w:spacing w:val="-2"/>
                <w:sz w:val="22"/>
              </w:rPr>
            </w:pPr>
          </w:p>
          <w:p w14:paraId="4630D6FC" w14:textId="77777777" w:rsidR="00C10A6A" w:rsidRPr="00576AF8" w:rsidRDefault="00C10A6A" w:rsidP="00803EC1">
            <w:pPr>
              <w:jc w:val="left"/>
              <w:rPr>
                <w:spacing w:val="-2"/>
                <w:sz w:val="22"/>
              </w:rPr>
            </w:pPr>
            <w:r w:rsidRPr="00576AF8">
              <w:rPr>
                <w:spacing w:val="-2"/>
                <w:sz w:val="22"/>
              </w:rPr>
              <w:t>______</w:t>
            </w:r>
          </w:p>
        </w:tc>
        <w:tc>
          <w:tcPr>
            <w:tcW w:w="1487" w:type="dxa"/>
          </w:tcPr>
          <w:p w14:paraId="5AB44B46" w14:textId="77777777" w:rsidR="00C10A6A" w:rsidRPr="00576AF8" w:rsidRDefault="00C10A6A" w:rsidP="00803EC1">
            <w:pPr>
              <w:jc w:val="left"/>
              <w:rPr>
                <w:spacing w:val="-2"/>
                <w:sz w:val="22"/>
              </w:rPr>
            </w:pPr>
          </w:p>
          <w:p w14:paraId="51B8B271" w14:textId="77777777" w:rsidR="00C10A6A" w:rsidRPr="00576AF8" w:rsidRDefault="00C10A6A" w:rsidP="00803EC1">
            <w:pPr>
              <w:jc w:val="left"/>
              <w:rPr>
                <w:spacing w:val="-2"/>
                <w:sz w:val="22"/>
              </w:rPr>
            </w:pPr>
            <w:r w:rsidRPr="00576AF8">
              <w:rPr>
                <w:spacing w:val="-2"/>
                <w:sz w:val="22"/>
              </w:rPr>
              <w:t>______</w:t>
            </w:r>
          </w:p>
        </w:tc>
        <w:tc>
          <w:tcPr>
            <w:tcW w:w="851" w:type="dxa"/>
          </w:tcPr>
          <w:p w14:paraId="35A2761D" w14:textId="77777777" w:rsidR="00C10A6A" w:rsidRPr="00576AF8" w:rsidRDefault="00C10A6A" w:rsidP="00803EC1">
            <w:pPr>
              <w:jc w:val="left"/>
              <w:rPr>
                <w:spacing w:val="-2"/>
                <w:sz w:val="22"/>
              </w:rPr>
            </w:pPr>
          </w:p>
        </w:tc>
        <w:tc>
          <w:tcPr>
            <w:tcW w:w="4772" w:type="dxa"/>
          </w:tcPr>
          <w:p w14:paraId="349A00F1" w14:textId="77777777" w:rsidR="00C10A6A" w:rsidRPr="00576AF8" w:rsidRDefault="00C10A6A" w:rsidP="00803EC1">
            <w:pPr>
              <w:jc w:val="left"/>
              <w:rPr>
                <w:spacing w:val="-2"/>
                <w:sz w:val="22"/>
              </w:rPr>
            </w:pPr>
            <w:r w:rsidRPr="00576AF8">
              <w:rPr>
                <w:spacing w:val="-2"/>
                <w:sz w:val="22"/>
              </w:rPr>
              <w:t>Nombre del Contrato:</w:t>
            </w:r>
          </w:p>
          <w:p w14:paraId="1322DF31" w14:textId="77777777" w:rsidR="00C10A6A" w:rsidRPr="00576AF8" w:rsidRDefault="00C10A6A" w:rsidP="00803EC1">
            <w:pPr>
              <w:jc w:val="left"/>
              <w:rPr>
                <w:spacing w:val="-2"/>
                <w:sz w:val="22"/>
              </w:rPr>
            </w:pPr>
            <w:r w:rsidRPr="00576AF8">
              <w:rPr>
                <w:spacing w:val="-2"/>
                <w:sz w:val="22"/>
              </w:rPr>
              <w:t>Descripción breve del Sistema Informático proporcionado por el Licitante:</w:t>
            </w:r>
          </w:p>
          <w:p w14:paraId="3BD912C6" w14:textId="77777777" w:rsidR="00C10A6A" w:rsidRPr="00576AF8" w:rsidRDefault="00C10A6A" w:rsidP="00803EC1">
            <w:pPr>
              <w:jc w:val="left"/>
              <w:rPr>
                <w:spacing w:val="-2"/>
                <w:sz w:val="22"/>
              </w:rPr>
            </w:pPr>
            <w:r w:rsidRPr="00576AF8">
              <w:rPr>
                <w:spacing w:val="-2"/>
                <w:sz w:val="22"/>
              </w:rPr>
              <w:t>Nombre del Comprador:</w:t>
            </w:r>
          </w:p>
          <w:p w14:paraId="11B203B5" w14:textId="77777777" w:rsidR="00C10A6A" w:rsidRPr="00576AF8" w:rsidRDefault="00C10A6A" w:rsidP="00803EC1">
            <w:pPr>
              <w:jc w:val="left"/>
              <w:rPr>
                <w:spacing w:val="-2"/>
                <w:sz w:val="22"/>
              </w:rPr>
            </w:pPr>
            <w:r w:rsidRPr="00576AF8">
              <w:rPr>
                <w:spacing w:val="-2"/>
                <w:sz w:val="22"/>
              </w:rPr>
              <w:t>Dirección:</w:t>
            </w:r>
          </w:p>
        </w:tc>
        <w:tc>
          <w:tcPr>
            <w:tcW w:w="1465" w:type="dxa"/>
          </w:tcPr>
          <w:p w14:paraId="7544FF0F" w14:textId="77777777" w:rsidR="00C10A6A" w:rsidRPr="00576AF8" w:rsidRDefault="00C10A6A" w:rsidP="00803EC1">
            <w:pPr>
              <w:jc w:val="left"/>
              <w:rPr>
                <w:spacing w:val="-2"/>
                <w:sz w:val="22"/>
              </w:rPr>
            </w:pPr>
          </w:p>
          <w:p w14:paraId="72F9C726" w14:textId="77777777" w:rsidR="00C10A6A" w:rsidRPr="00576AF8" w:rsidRDefault="00C10A6A" w:rsidP="00803EC1">
            <w:pPr>
              <w:jc w:val="left"/>
              <w:rPr>
                <w:spacing w:val="-2"/>
                <w:sz w:val="22"/>
              </w:rPr>
            </w:pPr>
            <w:r w:rsidRPr="00576AF8">
              <w:rPr>
                <w:spacing w:val="-2"/>
                <w:sz w:val="22"/>
              </w:rPr>
              <w:t>_________</w:t>
            </w:r>
          </w:p>
          <w:p w14:paraId="735A01CD" w14:textId="77777777" w:rsidR="00C10A6A" w:rsidRPr="00576AF8" w:rsidRDefault="00C10A6A" w:rsidP="00803EC1">
            <w:pPr>
              <w:jc w:val="left"/>
              <w:rPr>
                <w:spacing w:val="-2"/>
                <w:sz w:val="22"/>
              </w:rPr>
            </w:pPr>
          </w:p>
        </w:tc>
      </w:tr>
    </w:tbl>
    <w:p w14:paraId="37620665" w14:textId="77777777" w:rsidR="00C10A6A" w:rsidRPr="00576AF8" w:rsidRDefault="00C10A6A" w:rsidP="00C10A6A">
      <w:pPr>
        <w:pStyle w:val="Outline"/>
        <w:suppressAutoHyphens/>
        <w:spacing w:before="0"/>
        <w:rPr>
          <w:iCs/>
        </w:rPr>
      </w:pPr>
      <w:r w:rsidRPr="00576AF8">
        <w:t>*Enumere el año calendario de los años con contratos con, al menos, nueve (9) meses de actividad por año, comenzando por el primer año.</w:t>
      </w:r>
      <w:r w:rsidRPr="00576AF8">
        <w:br w:type="page"/>
      </w:r>
    </w:p>
    <w:p w14:paraId="469C1361" w14:textId="77777777" w:rsidR="00C10A6A" w:rsidRPr="00576AF8" w:rsidRDefault="00C10A6A" w:rsidP="00275E0F">
      <w:pPr>
        <w:suppressAutoHyphens w:val="0"/>
        <w:spacing w:after="0"/>
        <w:jc w:val="center"/>
        <w:rPr>
          <w:b/>
          <w:sz w:val="36"/>
        </w:rPr>
      </w:pPr>
      <w:r w:rsidRPr="00576AF8">
        <w:rPr>
          <w:b/>
          <w:sz w:val="36"/>
        </w:rPr>
        <w:lastRenderedPageBreak/>
        <w:t xml:space="preserve">Formulario EXP – </w:t>
      </w:r>
      <w:r w:rsidR="00A0389B" w:rsidRPr="00576AF8">
        <w:rPr>
          <w:b/>
          <w:sz w:val="36"/>
        </w:rPr>
        <w:t>5</w:t>
      </w:r>
      <w:r w:rsidRPr="00576AF8">
        <w:rPr>
          <w:b/>
          <w:sz w:val="36"/>
        </w:rPr>
        <w:t>.4.2</w:t>
      </w:r>
    </w:p>
    <w:p w14:paraId="6CA03D0A" w14:textId="77777777" w:rsidR="00C10A6A" w:rsidRPr="00576AF8" w:rsidRDefault="00C10A6A" w:rsidP="00967350">
      <w:pPr>
        <w:pStyle w:val="TOC3-2"/>
      </w:pPr>
      <w:bookmarkStart w:id="455" w:name="_Toc454958446"/>
      <w:bookmarkStart w:id="456" w:name="_Toc476309229"/>
      <w:bookmarkStart w:id="457" w:name="_Toc484694722"/>
      <w:r w:rsidRPr="00576AF8">
        <w:t xml:space="preserve">Experiencia </w:t>
      </w:r>
      <w:bookmarkEnd w:id="455"/>
      <w:bookmarkEnd w:id="456"/>
      <w:bookmarkEnd w:id="457"/>
      <w:r w:rsidR="005E641B" w:rsidRPr="00576AF8">
        <w:t>Específica</w:t>
      </w:r>
    </w:p>
    <w:p w14:paraId="5A528970" w14:textId="77777777" w:rsidR="00C10A6A" w:rsidRPr="00576AF8" w:rsidRDefault="00C10A6A" w:rsidP="00F829E8">
      <w:pPr>
        <w:tabs>
          <w:tab w:val="left" w:pos="5683"/>
        </w:tabs>
      </w:pPr>
      <w:r w:rsidRPr="00576AF8">
        <w:t>Nombre jurídico del Licitante:</w:t>
      </w:r>
      <w:r w:rsidR="00C15E45" w:rsidRPr="00576AF8">
        <w:t xml:space="preserve"> </w:t>
      </w:r>
      <w:r w:rsidR="00F829E8" w:rsidRPr="00576AF8">
        <w:t>_______________</w:t>
      </w:r>
      <w:r w:rsidRPr="00576AF8">
        <w:t xml:space="preserve">______ </w:t>
      </w:r>
      <w:r w:rsidRPr="00576AF8">
        <w:tab/>
        <w:t>Fecha:</w:t>
      </w:r>
      <w:r w:rsidR="00C15E45" w:rsidRPr="00576AF8">
        <w:t xml:space="preserve"> </w:t>
      </w:r>
      <w:r w:rsidRPr="00576AF8">
        <w:t>______</w:t>
      </w:r>
      <w:r w:rsidR="00F829E8" w:rsidRPr="00576AF8">
        <w:t>___</w:t>
      </w:r>
      <w:r w:rsidRPr="00576AF8">
        <w:t>_______________</w:t>
      </w:r>
    </w:p>
    <w:p w14:paraId="2B6F819A" w14:textId="77777777" w:rsidR="00C10A6A" w:rsidRPr="00576AF8" w:rsidRDefault="00C10A6A" w:rsidP="00F829E8">
      <w:pPr>
        <w:tabs>
          <w:tab w:val="left" w:pos="5670"/>
        </w:tabs>
      </w:pPr>
      <w:r w:rsidRPr="00576AF8">
        <w:t xml:space="preserve">Nombre jurídico del miembro de la </w:t>
      </w:r>
      <w:r w:rsidR="000107E9" w:rsidRPr="00576AF8">
        <w:t>APCA</w:t>
      </w:r>
      <w:r w:rsidRPr="00576AF8">
        <w:t>: ___</w:t>
      </w:r>
      <w:r w:rsidR="00F829E8" w:rsidRPr="00576AF8">
        <w:t>__</w:t>
      </w:r>
      <w:r w:rsidRPr="00576AF8">
        <w:t>______</w:t>
      </w:r>
      <w:r w:rsidR="00F829E8" w:rsidRPr="00576AF8">
        <w:tab/>
      </w:r>
      <w:r w:rsidR="00BB2041" w:rsidRPr="00576AF8">
        <w:t>SDO </w:t>
      </w:r>
      <w:r w:rsidRPr="00576AF8">
        <w:t>n.º:</w:t>
      </w:r>
      <w:r w:rsidR="00C15E45" w:rsidRPr="00576AF8">
        <w:t xml:space="preserve"> </w:t>
      </w:r>
      <w:r w:rsidR="0043323C" w:rsidRPr="00576AF8">
        <w:t>EC-L1257-P00015</w:t>
      </w:r>
    </w:p>
    <w:p w14:paraId="6FCBCAB5" w14:textId="77777777" w:rsidR="00C10A6A" w:rsidRPr="00576AF8" w:rsidRDefault="00C10A6A" w:rsidP="00F829E8">
      <w:pPr>
        <w:pStyle w:val="Outline"/>
        <w:tabs>
          <w:tab w:val="left" w:pos="6453"/>
        </w:tabs>
        <w:suppressAutoHyphens/>
        <w:spacing w:before="120"/>
      </w:pPr>
      <w:r w:rsidRPr="00576AF8">
        <w:t xml:space="preserve"> </w:t>
      </w:r>
      <w:r w:rsidRPr="00576AF8">
        <w:tab/>
        <w:t>Página</w:t>
      </w:r>
      <w:r w:rsidR="00C15E45" w:rsidRPr="00576AF8">
        <w:t xml:space="preserve"> </w:t>
      </w:r>
      <w:r w:rsidRPr="00576AF8">
        <w:t>____ de ____ páginas</w:t>
      </w:r>
    </w:p>
    <w:p w14:paraId="782C72D1" w14:textId="77777777" w:rsidR="00C10A6A" w:rsidRPr="00576AF8" w:rsidRDefault="00C10A6A" w:rsidP="00C10A6A">
      <w:pPr>
        <w:pStyle w:val="Outline"/>
        <w:suppressAutoHyphens/>
        <w:spacing w:before="120"/>
        <w:rPr>
          <w:spacing w:val="-2"/>
          <w:kern w:val="0"/>
        </w:rPr>
      </w:pPr>
    </w:p>
    <w:tbl>
      <w:tblPr>
        <w:tblW w:w="9276" w:type="dxa"/>
        <w:tblInd w:w="72" w:type="dxa"/>
        <w:tblLayout w:type="fixed"/>
        <w:tblCellMar>
          <w:left w:w="72" w:type="dxa"/>
          <w:right w:w="72" w:type="dxa"/>
        </w:tblCellMar>
        <w:tblLook w:val="0000" w:firstRow="0" w:lastRow="0" w:firstColumn="0" w:lastColumn="0" w:noHBand="0" w:noVBand="0"/>
      </w:tblPr>
      <w:tblGrid>
        <w:gridCol w:w="4386"/>
        <w:gridCol w:w="1374"/>
        <w:gridCol w:w="1800"/>
        <w:gridCol w:w="1716"/>
      </w:tblGrid>
      <w:tr w:rsidR="00C10A6A" w:rsidRPr="00576AF8" w14:paraId="61942E30" w14:textId="77777777" w:rsidTr="00EB0953">
        <w:trPr>
          <w:cantSplit/>
          <w:tblHeader/>
        </w:trPr>
        <w:tc>
          <w:tcPr>
            <w:tcW w:w="4386" w:type="dxa"/>
            <w:tcBorders>
              <w:top w:val="single" w:sz="6" w:space="0" w:color="auto"/>
              <w:left w:val="single" w:sz="6" w:space="0" w:color="auto"/>
              <w:bottom w:val="single" w:sz="6" w:space="0" w:color="auto"/>
              <w:right w:val="single" w:sz="6" w:space="0" w:color="auto"/>
            </w:tcBorders>
          </w:tcPr>
          <w:p w14:paraId="5C3DBFE0" w14:textId="77777777" w:rsidR="00C10A6A" w:rsidRPr="00576AF8" w:rsidRDefault="00C10A6A" w:rsidP="00803EC1">
            <w:pPr>
              <w:spacing w:before="60" w:after="60"/>
              <w:jc w:val="left"/>
              <w:rPr>
                <w:b/>
                <w:spacing w:val="-2"/>
                <w:szCs w:val="24"/>
              </w:rPr>
            </w:pPr>
            <w:r w:rsidRPr="00576AF8">
              <w:rPr>
                <w:b/>
                <w:spacing w:val="-2"/>
              </w:rPr>
              <w:t>Número de Contrato similar:</w:t>
            </w:r>
            <w:r w:rsidR="00C15E45" w:rsidRPr="00576AF8">
              <w:rPr>
                <w:b/>
                <w:spacing w:val="-2"/>
              </w:rPr>
              <w:t xml:space="preserve"> </w:t>
            </w:r>
            <w:r w:rsidRPr="00576AF8">
              <w:rPr>
                <w:b/>
                <w:spacing w:val="-2"/>
              </w:rPr>
              <w:t xml:space="preserve">___ </w:t>
            </w:r>
            <w:r w:rsidR="00EB0953" w:rsidRPr="00576AF8">
              <w:rPr>
                <w:b/>
                <w:spacing w:val="-2"/>
              </w:rPr>
              <w:br/>
            </w:r>
            <w:r w:rsidRPr="00576AF8">
              <w:rPr>
                <w:b/>
                <w:spacing w:val="-2"/>
              </w:rPr>
              <w:t>de ___ exigidos.</w:t>
            </w:r>
          </w:p>
        </w:tc>
        <w:tc>
          <w:tcPr>
            <w:tcW w:w="4890" w:type="dxa"/>
            <w:gridSpan w:val="3"/>
            <w:tcBorders>
              <w:top w:val="single" w:sz="6" w:space="0" w:color="auto"/>
              <w:left w:val="single" w:sz="6" w:space="0" w:color="auto"/>
              <w:bottom w:val="single" w:sz="6" w:space="0" w:color="auto"/>
              <w:right w:val="single" w:sz="6" w:space="0" w:color="auto"/>
            </w:tcBorders>
          </w:tcPr>
          <w:p w14:paraId="47F6C945" w14:textId="77777777" w:rsidR="00C10A6A" w:rsidRPr="00576AF8" w:rsidRDefault="00C10A6A" w:rsidP="00803EC1">
            <w:pPr>
              <w:spacing w:before="60" w:after="60"/>
              <w:jc w:val="center"/>
              <w:rPr>
                <w:b/>
                <w:spacing w:val="-2"/>
                <w:szCs w:val="24"/>
              </w:rPr>
            </w:pPr>
            <w:r w:rsidRPr="00576AF8">
              <w:rPr>
                <w:b/>
                <w:spacing w:val="-2"/>
              </w:rPr>
              <w:t>Información</w:t>
            </w:r>
          </w:p>
        </w:tc>
      </w:tr>
      <w:tr w:rsidR="00C10A6A" w:rsidRPr="00576AF8" w14:paraId="02B34440"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0CBCC447" w14:textId="65E29FD8" w:rsidR="00C10A6A" w:rsidRPr="00576AF8" w:rsidRDefault="00C10A6A" w:rsidP="00803EC1">
            <w:pPr>
              <w:pStyle w:val="Textoindependiente"/>
              <w:spacing w:before="60" w:after="60"/>
            </w:pPr>
            <w:r w:rsidRPr="00576AF8">
              <w:t>Identificación del Contrato</w:t>
            </w:r>
            <w:r w:rsidR="0069781B">
              <w:rPr>
                <w:rStyle w:val="Refdenotaalpie"/>
              </w:rPr>
              <w:footnoteReference w:id="10"/>
            </w:r>
          </w:p>
        </w:tc>
        <w:tc>
          <w:tcPr>
            <w:tcW w:w="4890" w:type="dxa"/>
            <w:gridSpan w:val="3"/>
            <w:tcBorders>
              <w:top w:val="single" w:sz="6" w:space="0" w:color="auto"/>
              <w:left w:val="single" w:sz="6" w:space="0" w:color="auto"/>
              <w:bottom w:val="single" w:sz="6" w:space="0" w:color="auto"/>
              <w:right w:val="single" w:sz="6" w:space="0" w:color="auto"/>
            </w:tcBorders>
          </w:tcPr>
          <w:p w14:paraId="40C28D4B" w14:textId="77777777" w:rsidR="00C10A6A" w:rsidRPr="00576AF8" w:rsidRDefault="00C10A6A" w:rsidP="00803EC1">
            <w:pPr>
              <w:pStyle w:val="Textoindependiente"/>
              <w:spacing w:before="60" w:after="60"/>
            </w:pPr>
            <w:r w:rsidRPr="00576AF8">
              <w:t>_______________________________________</w:t>
            </w:r>
          </w:p>
        </w:tc>
      </w:tr>
      <w:tr w:rsidR="00C10A6A" w:rsidRPr="00576AF8" w14:paraId="2077D28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324E0219" w14:textId="77777777" w:rsidR="00C10A6A" w:rsidRPr="00576AF8" w:rsidRDefault="00C10A6A" w:rsidP="00803EC1">
            <w:pPr>
              <w:pStyle w:val="Textoindependiente"/>
              <w:spacing w:before="60" w:after="60"/>
            </w:pPr>
            <w:r w:rsidRPr="00576AF8">
              <w:t xml:space="preserve">Fecha de adjudicación </w:t>
            </w:r>
          </w:p>
          <w:p w14:paraId="75B3516C" w14:textId="77777777" w:rsidR="00C10A6A" w:rsidRPr="00576AF8" w:rsidRDefault="00C10A6A" w:rsidP="00803EC1">
            <w:pPr>
              <w:pStyle w:val="Textoindependiente"/>
              <w:spacing w:before="60" w:after="60"/>
            </w:pPr>
            <w:r w:rsidRPr="00576AF8">
              <w:t>Fecha de finalización</w:t>
            </w:r>
          </w:p>
        </w:tc>
        <w:tc>
          <w:tcPr>
            <w:tcW w:w="4890" w:type="dxa"/>
            <w:gridSpan w:val="3"/>
            <w:tcBorders>
              <w:top w:val="single" w:sz="6" w:space="0" w:color="auto"/>
              <w:left w:val="nil"/>
              <w:bottom w:val="single" w:sz="6" w:space="0" w:color="auto"/>
              <w:right w:val="single" w:sz="6" w:space="0" w:color="auto"/>
            </w:tcBorders>
          </w:tcPr>
          <w:p w14:paraId="7B4792FE" w14:textId="77777777" w:rsidR="00C10A6A" w:rsidRPr="00576AF8" w:rsidRDefault="00C10A6A" w:rsidP="00803EC1">
            <w:pPr>
              <w:pStyle w:val="Textoindependiente"/>
              <w:spacing w:before="60" w:after="60"/>
            </w:pPr>
            <w:r w:rsidRPr="00576AF8">
              <w:t>_______________________________________</w:t>
            </w:r>
          </w:p>
          <w:p w14:paraId="03DF16BC" w14:textId="77777777" w:rsidR="00C10A6A" w:rsidRPr="00576AF8" w:rsidRDefault="00C10A6A" w:rsidP="00803EC1">
            <w:pPr>
              <w:pStyle w:val="Textoindependiente"/>
              <w:spacing w:before="60" w:after="60"/>
            </w:pPr>
            <w:r w:rsidRPr="00576AF8">
              <w:t>_______________________________________</w:t>
            </w:r>
          </w:p>
        </w:tc>
      </w:tr>
      <w:tr w:rsidR="00C10A6A" w:rsidRPr="00576AF8" w14:paraId="4142420D"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2FD49A00" w14:textId="77777777" w:rsidR="00C10A6A" w:rsidRPr="00576AF8" w:rsidRDefault="00C10A6A" w:rsidP="00803EC1">
            <w:pPr>
              <w:pStyle w:val="Textoindependiente"/>
              <w:spacing w:before="60" w:after="60"/>
            </w:pPr>
          </w:p>
        </w:tc>
        <w:tc>
          <w:tcPr>
            <w:tcW w:w="4890" w:type="dxa"/>
            <w:gridSpan w:val="3"/>
            <w:tcBorders>
              <w:top w:val="single" w:sz="6" w:space="0" w:color="auto"/>
              <w:left w:val="nil"/>
              <w:bottom w:val="single" w:sz="6" w:space="0" w:color="auto"/>
              <w:right w:val="single" w:sz="4" w:space="0" w:color="auto"/>
            </w:tcBorders>
          </w:tcPr>
          <w:p w14:paraId="0A24CFBD" w14:textId="77777777" w:rsidR="00C10A6A" w:rsidRPr="00576AF8" w:rsidRDefault="00C10A6A" w:rsidP="00803EC1">
            <w:pPr>
              <w:pStyle w:val="Textoindependiente"/>
              <w:spacing w:before="60" w:after="60"/>
            </w:pPr>
          </w:p>
        </w:tc>
      </w:tr>
      <w:tr w:rsidR="00C10A6A" w:rsidRPr="00576AF8" w14:paraId="238B5F0C"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25ECD600" w14:textId="77777777" w:rsidR="00C10A6A" w:rsidRPr="00576AF8" w:rsidRDefault="00C10A6A" w:rsidP="00803EC1">
            <w:pPr>
              <w:spacing w:before="60" w:after="60"/>
              <w:rPr>
                <w:spacing w:val="-2"/>
              </w:rPr>
            </w:pPr>
            <w:r w:rsidRPr="00576AF8">
              <w:t>Función en el Contrato</w:t>
            </w:r>
          </w:p>
        </w:tc>
        <w:tc>
          <w:tcPr>
            <w:tcW w:w="1374" w:type="dxa"/>
            <w:tcBorders>
              <w:top w:val="single" w:sz="6" w:space="0" w:color="auto"/>
              <w:left w:val="nil"/>
              <w:bottom w:val="single" w:sz="6" w:space="0" w:color="auto"/>
              <w:right w:val="single" w:sz="6" w:space="0" w:color="auto"/>
            </w:tcBorders>
          </w:tcPr>
          <w:p w14:paraId="09DA7959" w14:textId="77777777" w:rsidR="00C10A6A" w:rsidRPr="00576AF8" w:rsidRDefault="00C10A6A" w:rsidP="00803EC1">
            <w:pPr>
              <w:spacing w:before="60" w:after="60"/>
              <w:jc w:val="center"/>
              <w:rPr>
                <w:sz w:val="36"/>
              </w:rPr>
            </w:pPr>
            <w:r w:rsidRPr="00576AF8">
              <w:rPr>
                <w:sz w:val="36"/>
              </w:rPr>
              <w:sym w:font="Symbol" w:char="F07F"/>
            </w:r>
            <w:r w:rsidRPr="00576AF8">
              <w:rPr>
                <w:sz w:val="36"/>
              </w:rPr>
              <w:t xml:space="preserve"> </w:t>
            </w:r>
            <w:r w:rsidRPr="00576AF8">
              <w:rPr>
                <w:sz w:val="36"/>
              </w:rPr>
              <w:br/>
            </w:r>
            <w:r w:rsidRPr="00576AF8">
              <w:t xml:space="preserve">Proveedor principal </w:t>
            </w:r>
          </w:p>
        </w:tc>
        <w:tc>
          <w:tcPr>
            <w:tcW w:w="1800" w:type="dxa"/>
            <w:tcBorders>
              <w:top w:val="single" w:sz="6" w:space="0" w:color="auto"/>
              <w:left w:val="nil"/>
              <w:bottom w:val="single" w:sz="6" w:space="0" w:color="auto"/>
              <w:right w:val="single" w:sz="6" w:space="0" w:color="auto"/>
            </w:tcBorders>
          </w:tcPr>
          <w:p w14:paraId="1D6DF96A" w14:textId="77777777" w:rsidR="00C10A6A" w:rsidRPr="00576AF8" w:rsidRDefault="00C10A6A" w:rsidP="00803EC1">
            <w:pPr>
              <w:spacing w:before="60" w:after="60"/>
              <w:jc w:val="center"/>
              <w:rPr>
                <w:spacing w:val="-2"/>
                <w:sz w:val="36"/>
              </w:rPr>
            </w:pPr>
            <w:r w:rsidRPr="00576AF8">
              <w:rPr>
                <w:sz w:val="36"/>
              </w:rPr>
              <w:sym w:font="Symbol" w:char="F07F"/>
            </w:r>
            <w:r w:rsidRPr="00576AF8">
              <w:rPr>
                <w:sz w:val="36"/>
              </w:rPr>
              <w:t xml:space="preserve"> </w:t>
            </w:r>
            <w:r w:rsidRPr="00576AF8">
              <w:rPr>
                <w:sz w:val="36"/>
              </w:rPr>
              <w:br/>
            </w:r>
            <w:r w:rsidRPr="00576AF8">
              <w:t>Contratista administrador</w:t>
            </w:r>
          </w:p>
        </w:tc>
        <w:tc>
          <w:tcPr>
            <w:tcW w:w="1716" w:type="dxa"/>
            <w:tcBorders>
              <w:top w:val="single" w:sz="6" w:space="0" w:color="auto"/>
              <w:left w:val="single" w:sz="6" w:space="0" w:color="auto"/>
              <w:bottom w:val="single" w:sz="6" w:space="0" w:color="auto"/>
              <w:right w:val="single" w:sz="6" w:space="0" w:color="auto"/>
            </w:tcBorders>
          </w:tcPr>
          <w:p w14:paraId="1F06262F" w14:textId="77777777" w:rsidR="00C10A6A" w:rsidRPr="00576AF8" w:rsidRDefault="00C10A6A" w:rsidP="00803EC1">
            <w:pPr>
              <w:spacing w:before="60" w:after="60"/>
              <w:jc w:val="center"/>
            </w:pPr>
            <w:r w:rsidRPr="00576AF8">
              <w:rPr>
                <w:sz w:val="36"/>
              </w:rPr>
              <w:sym w:font="Symbol" w:char="F07F"/>
            </w:r>
            <w:r w:rsidRPr="00576AF8">
              <w:rPr>
                <w:sz w:val="36"/>
              </w:rPr>
              <w:t xml:space="preserve"> </w:t>
            </w:r>
            <w:r w:rsidRPr="00576AF8">
              <w:t>Subcontratista</w:t>
            </w:r>
          </w:p>
          <w:p w14:paraId="49F3A846" w14:textId="77777777" w:rsidR="00C10A6A" w:rsidRPr="00576AF8" w:rsidRDefault="00C10A6A" w:rsidP="00803EC1">
            <w:pPr>
              <w:spacing w:before="60" w:after="60"/>
              <w:jc w:val="center"/>
              <w:rPr>
                <w:spacing w:val="-2"/>
                <w:sz w:val="36"/>
              </w:rPr>
            </w:pPr>
          </w:p>
        </w:tc>
      </w:tr>
      <w:tr w:rsidR="00C10A6A" w:rsidRPr="00576AF8" w14:paraId="27AF52ED"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34CA0C21" w14:textId="77777777" w:rsidR="00C10A6A" w:rsidRPr="00576AF8" w:rsidRDefault="00C10A6A" w:rsidP="00803EC1">
            <w:pPr>
              <w:pStyle w:val="Textoindependiente"/>
              <w:spacing w:before="60" w:after="60"/>
            </w:pPr>
            <w:r w:rsidRPr="00576AF8">
              <w:t>Monto total del Contrato</w:t>
            </w:r>
          </w:p>
        </w:tc>
        <w:tc>
          <w:tcPr>
            <w:tcW w:w="3174" w:type="dxa"/>
            <w:gridSpan w:val="2"/>
            <w:tcBorders>
              <w:top w:val="single" w:sz="6" w:space="0" w:color="auto"/>
              <w:left w:val="nil"/>
              <w:bottom w:val="single" w:sz="6" w:space="0" w:color="auto"/>
              <w:right w:val="single" w:sz="6" w:space="0" w:color="auto"/>
            </w:tcBorders>
          </w:tcPr>
          <w:p w14:paraId="46400D61" w14:textId="77777777" w:rsidR="00C10A6A" w:rsidRPr="00576AF8" w:rsidRDefault="00C10A6A" w:rsidP="00803EC1">
            <w:pPr>
              <w:pStyle w:val="Textoindependiente"/>
              <w:spacing w:before="60" w:after="60"/>
            </w:pPr>
            <w:r w:rsidRPr="00576AF8">
              <w:t>____________________________</w:t>
            </w:r>
          </w:p>
        </w:tc>
        <w:tc>
          <w:tcPr>
            <w:tcW w:w="1716" w:type="dxa"/>
            <w:tcBorders>
              <w:top w:val="single" w:sz="6" w:space="0" w:color="auto"/>
              <w:left w:val="single" w:sz="6" w:space="0" w:color="auto"/>
              <w:bottom w:val="single" w:sz="6" w:space="0" w:color="auto"/>
              <w:right w:val="single" w:sz="6" w:space="0" w:color="auto"/>
            </w:tcBorders>
          </w:tcPr>
          <w:p w14:paraId="224E0F57" w14:textId="77777777" w:rsidR="00C10A6A" w:rsidRPr="00576AF8" w:rsidRDefault="00C10A6A" w:rsidP="00803EC1">
            <w:pPr>
              <w:pStyle w:val="Textoindependiente"/>
              <w:spacing w:before="60" w:after="60"/>
            </w:pPr>
            <w:r w:rsidRPr="00576AF8">
              <w:t>USD__________</w:t>
            </w:r>
          </w:p>
        </w:tc>
      </w:tr>
      <w:tr w:rsidR="00C10A6A" w:rsidRPr="00576AF8" w14:paraId="3D74F8FE"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0C0D0B2B" w14:textId="77777777" w:rsidR="00C10A6A" w:rsidRPr="00576AF8" w:rsidRDefault="00C10A6A" w:rsidP="004A5935">
            <w:pPr>
              <w:pStyle w:val="Textoindependiente"/>
              <w:spacing w:before="60" w:after="60"/>
            </w:pPr>
            <w:r w:rsidRPr="00576AF8">
              <w:t xml:space="preserve">Si es un miembro en una </w:t>
            </w:r>
            <w:r w:rsidR="000107E9" w:rsidRPr="00576AF8">
              <w:t>APCA</w:t>
            </w:r>
            <w:r w:rsidRPr="00576AF8">
              <w:t xml:space="preserve"> o subcontratista, especifique la participación </w:t>
            </w:r>
            <w:r w:rsidR="004A5935" w:rsidRPr="00576AF8">
              <w:t xml:space="preserve">en </w:t>
            </w:r>
            <w:r w:rsidRPr="00576AF8">
              <w:t>el monto total del Contrato.</w:t>
            </w:r>
          </w:p>
        </w:tc>
        <w:tc>
          <w:tcPr>
            <w:tcW w:w="1374" w:type="dxa"/>
            <w:tcBorders>
              <w:top w:val="single" w:sz="6" w:space="0" w:color="auto"/>
              <w:left w:val="nil"/>
              <w:bottom w:val="single" w:sz="6" w:space="0" w:color="auto"/>
              <w:right w:val="single" w:sz="6" w:space="0" w:color="auto"/>
            </w:tcBorders>
          </w:tcPr>
          <w:p w14:paraId="6B722585" w14:textId="77777777" w:rsidR="00C10A6A" w:rsidRPr="00576AF8" w:rsidRDefault="00C10A6A" w:rsidP="00803EC1">
            <w:pPr>
              <w:pStyle w:val="Textoindependiente"/>
              <w:spacing w:before="60" w:after="60"/>
            </w:pPr>
          </w:p>
          <w:p w14:paraId="1516424D" w14:textId="77777777" w:rsidR="00C10A6A" w:rsidRPr="00576AF8" w:rsidRDefault="00EB0953" w:rsidP="00803EC1">
            <w:pPr>
              <w:pStyle w:val="Textoindependiente"/>
              <w:spacing w:before="60" w:after="60"/>
            </w:pPr>
            <w:r w:rsidRPr="00576AF8">
              <w:t>______</w:t>
            </w:r>
            <w:r w:rsidR="00C10A6A" w:rsidRPr="00576AF8">
              <w:t>__%</w:t>
            </w:r>
          </w:p>
        </w:tc>
        <w:tc>
          <w:tcPr>
            <w:tcW w:w="1800" w:type="dxa"/>
            <w:tcBorders>
              <w:top w:val="single" w:sz="6" w:space="0" w:color="auto"/>
              <w:left w:val="single" w:sz="6" w:space="0" w:color="auto"/>
              <w:bottom w:val="single" w:sz="6" w:space="0" w:color="auto"/>
              <w:right w:val="single" w:sz="6" w:space="0" w:color="auto"/>
            </w:tcBorders>
          </w:tcPr>
          <w:p w14:paraId="11FA3581" w14:textId="77777777" w:rsidR="00C10A6A" w:rsidRPr="00576AF8" w:rsidRDefault="00C10A6A" w:rsidP="00803EC1">
            <w:pPr>
              <w:pStyle w:val="Textoindependiente"/>
              <w:spacing w:before="60" w:after="60"/>
            </w:pPr>
          </w:p>
          <w:p w14:paraId="46E34BD0" w14:textId="77777777" w:rsidR="00C10A6A" w:rsidRPr="00576AF8" w:rsidRDefault="00C10A6A" w:rsidP="00803EC1">
            <w:pPr>
              <w:pStyle w:val="Textoindependiente"/>
              <w:spacing w:before="60" w:after="60"/>
            </w:pPr>
            <w:r w:rsidRPr="00576AF8">
              <w:t>_____________</w:t>
            </w:r>
          </w:p>
        </w:tc>
        <w:tc>
          <w:tcPr>
            <w:tcW w:w="1716" w:type="dxa"/>
            <w:tcBorders>
              <w:top w:val="single" w:sz="6" w:space="0" w:color="auto"/>
              <w:left w:val="single" w:sz="6" w:space="0" w:color="auto"/>
              <w:bottom w:val="single" w:sz="6" w:space="0" w:color="auto"/>
              <w:right w:val="single" w:sz="6" w:space="0" w:color="auto"/>
            </w:tcBorders>
          </w:tcPr>
          <w:p w14:paraId="18E03C03" w14:textId="77777777" w:rsidR="00C10A6A" w:rsidRPr="00576AF8" w:rsidRDefault="00C10A6A" w:rsidP="00803EC1">
            <w:pPr>
              <w:pStyle w:val="Textoindependiente"/>
              <w:spacing w:before="60" w:after="60"/>
            </w:pPr>
          </w:p>
          <w:p w14:paraId="6D6B0392" w14:textId="77777777" w:rsidR="00C10A6A" w:rsidRPr="00576AF8" w:rsidRDefault="00C10A6A" w:rsidP="00803EC1">
            <w:pPr>
              <w:pStyle w:val="Textoindependiente"/>
              <w:spacing w:before="60" w:after="60"/>
            </w:pPr>
            <w:r w:rsidRPr="00576AF8">
              <w:t>USD_______</w:t>
            </w:r>
          </w:p>
        </w:tc>
      </w:tr>
      <w:tr w:rsidR="00C10A6A" w:rsidRPr="00576AF8" w14:paraId="7DC210BA"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B80F2FA" w14:textId="77777777" w:rsidR="00C10A6A" w:rsidRPr="00576AF8" w:rsidRDefault="00C10A6A" w:rsidP="00803EC1">
            <w:pPr>
              <w:pStyle w:val="Textoindependiente"/>
              <w:spacing w:before="60" w:after="60"/>
            </w:pPr>
            <w:r w:rsidRPr="00576AF8">
              <w:t>Nombre del Comprador:</w:t>
            </w:r>
          </w:p>
        </w:tc>
        <w:tc>
          <w:tcPr>
            <w:tcW w:w="4890" w:type="dxa"/>
            <w:gridSpan w:val="3"/>
            <w:tcBorders>
              <w:top w:val="single" w:sz="6" w:space="0" w:color="auto"/>
              <w:left w:val="nil"/>
              <w:bottom w:val="single" w:sz="6" w:space="0" w:color="auto"/>
              <w:right w:val="single" w:sz="6" w:space="0" w:color="auto"/>
            </w:tcBorders>
          </w:tcPr>
          <w:p w14:paraId="2CF63E55" w14:textId="77777777" w:rsidR="00C10A6A" w:rsidRPr="00576AF8" w:rsidRDefault="00C10A6A" w:rsidP="00803EC1">
            <w:pPr>
              <w:pStyle w:val="Textoindependiente"/>
              <w:spacing w:before="60" w:after="60"/>
            </w:pPr>
            <w:r w:rsidRPr="00576AF8">
              <w:t>_______________________________________</w:t>
            </w:r>
          </w:p>
        </w:tc>
      </w:tr>
      <w:tr w:rsidR="00C10A6A" w:rsidRPr="00576AF8" w14:paraId="5267AE1D"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1908A536" w14:textId="77777777" w:rsidR="00C10A6A" w:rsidRPr="00576AF8" w:rsidRDefault="00C10A6A" w:rsidP="00803EC1">
            <w:pPr>
              <w:pStyle w:val="Textoindependiente"/>
              <w:spacing w:before="60" w:after="60"/>
            </w:pPr>
            <w:r w:rsidRPr="00576AF8">
              <w:t>Dirección:</w:t>
            </w:r>
          </w:p>
          <w:p w14:paraId="7BB6C2FC" w14:textId="77777777" w:rsidR="00C10A6A" w:rsidRPr="00576AF8" w:rsidRDefault="00C10A6A" w:rsidP="00803EC1">
            <w:pPr>
              <w:pStyle w:val="Textoindependiente"/>
              <w:spacing w:before="60" w:after="60"/>
            </w:pPr>
          </w:p>
          <w:p w14:paraId="2D632A7E" w14:textId="77777777" w:rsidR="00C10A6A" w:rsidRPr="00576AF8" w:rsidRDefault="00C10A6A" w:rsidP="00803EC1">
            <w:pPr>
              <w:pStyle w:val="Textoindependiente"/>
              <w:spacing w:before="60" w:after="60"/>
            </w:pPr>
            <w:r w:rsidRPr="00576AF8">
              <w:t>Número de teléfono:</w:t>
            </w:r>
          </w:p>
          <w:p w14:paraId="506201CF" w14:textId="77777777" w:rsidR="00C10A6A" w:rsidRPr="00576AF8" w:rsidRDefault="00C10A6A" w:rsidP="00803EC1">
            <w:pPr>
              <w:pStyle w:val="Textoindependiente"/>
              <w:spacing w:before="60" w:after="60"/>
            </w:pPr>
            <w:r w:rsidRPr="00576AF8">
              <w:t>Correo electrónico:</w:t>
            </w:r>
          </w:p>
        </w:tc>
        <w:tc>
          <w:tcPr>
            <w:tcW w:w="4890" w:type="dxa"/>
            <w:gridSpan w:val="3"/>
            <w:tcBorders>
              <w:top w:val="single" w:sz="6" w:space="0" w:color="auto"/>
              <w:left w:val="nil"/>
              <w:bottom w:val="single" w:sz="6" w:space="0" w:color="auto"/>
              <w:right w:val="single" w:sz="6" w:space="0" w:color="auto"/>
            </w:tcBorders>
          </w:tcPr>
          <w:p w14:paraId="5AEC3A77" w14:textId="77777777" w:rsidR="00C10A6A" w:rsidRPr="00576AF8" w:rsidRDefault="00C10A6A" w:rsidP="00803EC1">
            <w:pPr>
              <w:pStyle w:val="Textoindependiente"/>
              <w:spacing w:before="60" w:after="60"/>
            </w:pPr>
            <w:r w:rsidRPr="00576AF8">
              <w:t>_______________________________________</w:t>
            </w:r>
          </w:p>
          <w:p w14:paraId="338BC006" w14:textId="77777777" w:rsidR="00C10A6A" w:rsidRPr="00576AF8" w:rsidRDefault="00C10A6A" w:rsidP="00803EC1">
            <w:pPr>
              <w:pStyle w:val="Textoindependiente"/>
              <w:spacing w:before="60" w:after="60"/>
            </w:pPr>
            <w:r w:rsidRPr="00576AF8">
              <w:t>_______________________________________</w:t>
            </w:r>
          </w:p>
          <w:p w14:paraId="13526306" w14:textId="77777777" w:rsidR="00C10A6A" w:rsidRPr="00576AF8" w:rsidRDefault="00C10A6A" w:rsidP="00803EC1">
            <w:pPr>
              <w:pStyle w:val="Textoindependiente"/>
              <w:spacing w:before="60" w:after="60"/>
            </w:pPr>
            <w:r w:rsidRPr="00576AF8">
              <w:t>_______________________________________</w:t>
            </w:r>
          </w:p>
          <w:p w14:paraId="5AADA389" w14:textId="77777777" w:rsidR="00C10A6A" w:rsidRPr="00576AF8" w:rsidRDefault="00C10A6A" w:rsidP="00803EC1">
            <w:pPr>
              <w:pStyle w:val="Textoindependiente"/>
              <w:spacing w:before="60" w:after="60"/>
            </w:pPr>
            <w:r w:rsidRPr="00576AF8">
              <w:t>_______________________________________</w:t>
            </w:r>
          </w:p>
        </w:tc>
      </w:tr>
    </w:tbl>
    <w:p w14:paraId="6E8F653A" w14:textId="77777777" w:rsidR="00C10A6A" w:rsidRPr="00576AF8" w:rsidRDefault="00C10A6A" w:rsidP="00C10A6A">
      <w:pPr>
        <w:pStyle w:val="Subtitle2"/>
      </w:pPr>
    </w:p>
    <w:p w14:paraId="0E2B41FB" w14:textId="77777777" w:rsidR="00C10A6A" w:rsidRPr="00576AF8" w:rsidRDefault="00C10A6A" w:rsidP="00C10A6A">
      <w:pPr>
        <w:jc w:val="center"/>
        <w:rPr>
          <w:b/>
        </w:rPr>
      </w:pPr>
      <w:r w:rsidRPr="00576AF8">
        <w:br w:type="page"/>
      </w:r>
      <w:r w:rsidRPr="00576AF8">
        <w:rPr>
          <w:b/>
        </w:rPr>
        <w:lastRenderedPageBreak/>
        <w:t xml:space="preserve">Formulario EXP – </w:t>
      </w:r>
      <w:r w:rsidR="00A0389B" w:rsidRPr="00576AF8">
        <w:rPr>
          <w:b/>
        </w:rPr>
        <w:t>5</w:t>
      </w:r>
      <w:r w:rsidRPr="00576AF8">
        <w:rPr>
          <w:b/>
        </w:rPr>
        <w:t>.4.2 (cont.)</w:t>
      </w:r>
    </w:p>
    <w:p w14:paraId="2C8F00D8" w14:textId="77777777" w:rsidR="00C10A6A" w:rsidRPr="00576AF8" w:rsidRDefault="00C10A6A" w:rsidP="00C10A6A">
      <w:pPr>
        <w:spacing w:before="120" w:after="240"/>
        <w:jc w:val="center"/>
        <w:rPr>
          <w:b/>
          <w:bCs/>
          <w:sz w:val="32"/>
          <w:szCs w:val="32"/>
        </w:rPr>
      </w:pPr>
      <w:r w:rsidRPr="00576AF8">
        <w:rPr>
          <w:b/>
          <w:sz w:val="32"/>
        </w:rPr>
        <w:t xml:space="preserve">Experiencia </w:t>
      </w:r>
      <w:r w:rsidR="005E641B" w:rsidRPr="00576AF8">
        <w:rPr>
          <w:b/>
          <w:sz w:val="32"/>
        </w:rPr>
        <w:t xml:space="preserve">Específica </w:t>
      </w:r>
      <w:r w:rsidRPr="00576AF8">
        <w:rPr>
          <w:b/>
          <w:sz w:val="32"/>
        </w:rPr>
        <w:t>(cont.)</w:t>
      </w:r>
    </w:p>
    <w:p w14:paraId="05201CF6" w14:textId="77777777" w:rsidR="00A44EB2" w:rsidRPr="00576AF8" w:rsidRDefault="00C10A6A" w:rsidP="00506FFF">
      <w:r w:rsidRPr="00576AF8">
        <w:t>Nombre jurídico del Licitante:</w:t>
      </w:r>
      <w:r w:rsidR="00C15E45" w:rsidRPr="00576AF8">
        <w:t xml:space="preserve"> </w:t>
      </w:r>
      <w:r w:rsidRPr="00576AF8">
        <w:t>_______________</w:t>
      </w:r>
      <w:r w:rsidR="00EB0953" w:rsidRPr="00576AF8">
        <w:t>______</w:t>
      </w:r>
      <w:r w:rsidRPr="00576AF8">
        <w:t xml:space="preserve">______ </w:t>
      </w:r>
      <w:r w:rsidRPr="00576AF8">
        <w:tab/>
        <w:t>Página ____</w:t>
      </w:r>
      <w:r w:rsidR="004A5935" w:rsidRPr="00576AF8">
        <w:t xml:space="preserve"> </w:t>
      </w:r>
      <w:r w:rsidRPr="00576AF8">
        <w:t>de ____ páginas</w:t>
      </w:r>
    </w:p>
    <w:p w14:paraId="3C03CF93" w14:textId="77777777" w:rsidR="00C10A6A" w:rsidRPr="00576AF8" w:rsidRDefault="00C10A6A" w:rsidP="00C10A6A">
      <w:pPr>
        <w:tabs>
          <w:tab w:val="right" w:pos="9630"/>
        </w:tabs>
        <w:ind w:right="162"/>
      </w:pPr>
      <w:r w:rsidRPr="00576AF8">
        <w:t xml:space="preserve">Nombre jurídico del miembro de la </w:t>
      </w:r>
      <w:r w:rsidR="000107E9" w:rsidRPr="00576AF8">
        <w:t>APCA</w:t>
      </w:r>
      <w:r w:rsidRPr="00576AF8">
        <w:t>:</w:t>
      </w:r>
      <w:r w:rsidR="00C15E45" w:rsidRPr="00576AF8">
        <w:t xml:space="preserve"> </w:t>
      </w:r>
      <w:r w:rsidRPr="00576AF8">
        <w:t>___________________________</w:t>
      </w:r>
    </w:p>
    <w:p w14:paraId="793F1BCE" w14:textId="77777777" w:rsidR="00C10A6A" w:rsidRPr="00576AF8" w:rsidRDefault="00C10A6A" w:rsidP="00C10A6A">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315"/>
        <w:gridCol w:w="4775"/>
      </w:tblGrid>
      <w:tr w:rsidR="00C10A6A" w:rsidRPr="00576AF8" w14:paraId="60719529" w14:textId="77777777" w:rsidTr="00EB0953">
        <w:trPr>
          <w:cantSplit/>
          <w:tblHeader/>
        </w:trPr>
        <w:tc>
          <w:tcPr>
            <w:tcW w:w="4315" w:type="dxa"/>
            <w:tcBorders>
              <w:top w:val="single" w:sz="6" w:space="0" w:color="auto"/>
              <w:left w:val="single" w:sz="6" w:space="0" w:color="auto"/>
              <w:bottom w:val="single" w:sz="4" w:space="0" w:color="auto"/>
              <w:right w:val="single" w:sz="4" w:space="0" w:color="auto"/>
            </w:tcBorders>
          </w:tcPr>
          <w:p w14:paraId="051AB323" w14:textId="77777777" w:rsidR="00C10A6A" w:rsidRPr="00576AF8" w:rsidRDefault="00C10A6A" w:rsidP="00803EC1">
            <w:pPr>
              <w:spacing w:before="120"/>
              <w:jc w:val="left"/>
              <w:rPr>
                <w:b/>
                <w:spacing w:val="-2"/>
                <w:szCs w:val="24"/>
              </w:rPr>
            </w:pPr>
            <w:r w:rsidRPr="00576AF8">
              <w:rPr>
                <w:b/>
                <w:spacing w:val="-2"/>
              </w:rPr>
              <w:t>Número de contrato similar __</w:t>
            </w:r>
            <w:r w:rsidR="00EB0953" w:rsidRPr="00576AF8">
              <w:rPr>
                <w:b/>
                <w:spacing w:val="-2"/>
              </w:rPr>
              <w:t xml:space="preserve"> </w:t>
            </w:r>
            <w:r w:rsidRPr="00576AF8">
              <w:rPr>
                <w:b/>
                <w:i/>
                <w:iCs/>
                <w:spacing w:val="-2"/>
              </w:rPr>
              <w:t>[indique el número específico]</w:t>
            </w:r>
            <w:r w:rsidRPr="00576AF8">
              <w:rPr>
                <w:b/>
                <w:spacing w:val="-2"/>
              </w:rPr>
              <w:t xml:space="preserve"> de </w:t>
            </w:r>
            <w:r w:rsidRPr="00576AF8">
              <w:rPr>
                <w:b/>
                <w:i/>
                <w:iCs/>
                <w:spacing w:val="-2"/>
              </w:rPr>
              <w:t xml:space="preserve">[número total </w:t>
            </w:r>
            <w:r w:rsidR="00EB0953" w:rsidRPr="00576AF8">
              <w:rPr>
                <w:b/>
                <w:i/>
                <w:iCs/>
                <w:spacing w:val="-2"/>
              </w:rPr>
              <w:br/>
            </w:r>
            <w:r w:rsidRPr="00576AF8">
              <w:rPr>
                <w:b/>
                <w:i/>
                <w:iCs/>
                <w:spacing w:val="-2"/>
              </w:rPr>
              <w:t>de contratos]</w:t>
            </w:r>
            <w:r w:rsidRPr="00576AF8">
              <w:rPr>
                <w:b/>
                <w:spacing w:val="-2"/>
              </w:rPr>
              <w:t xml:space="preserve"> ___ exigidos</w:t>
            </w:r>
          </w:p>
        </w:tc>
        <w:tc>
          <w:tcPr>
            <w:tcW w:w="4775" w:type="dxa"/>
            <w:tcBorders>
              <w:top w:val="single" w:sz="6" w:space="0" w:color="auto"/>
              <w:left w:val="single" w:sz="4" w:space="0" w:color="auto"/>
              <w:bottom w:val="single" w:sz="4" w:space="0" w:color="auto"/>
              <w:right w:val="single" w:sz="6" w:space="0" w:color="auto"/>
            </w:tcBorders>
          </w:tcPr>
          <w:p w14:paraId="6C56FE95" w14:textId="77777777" w:rsidR="00C10A6A" w:rsidRPr="00576AF8" w:rsidRDefault="00C10A6A" w:rsidP="00803EC1">
            <w:pPr>
              <w:spacing w:before="240"/>
              <w:ind w:left="288"/>
              <w:jc w:val="center"/>
              <w:rPr>
                <w:b/>
                <w:spacing w:val="-2"/>
                <w:szCs w:val="24"/>
              </w:rPr>
            </w:pPr>
            <w:r w:rsidRPr="00576AF8">
              <w:rPr>
                <w:b/>
                <w:spacing w:val="-2"/>
              </w:rPr>
              <w:t>Información</w:t>
            </w:r>
          </w:p>
        </w:tc>
      </w:tr>
      <w:tr w:rsidR="00C10A6A" w:rsidRPr="00576AF8" w14:paraId="2201DD0E" w14:textId="77777777" w:rsidTr="00EB0953">
        <w:trPr>
          <w:cantSplit/>
          <w:trHeight w:val="699"/>
        </w:trPr>
        <w:tc>
          <w:tcPr>
            <w:tcW w:w="4315" w:type="dxa"/>
            <w:tcBorders>
              <w:top w:val="single" w:sz="4" w:space="0" w:color="auto"/>
              <w:left w:val="single" w:sz="6" w:space="0" w:color="auto"/>
              <w:bottom w:val="single" w:sz="4" w:space="0" w:color="auto"/>
            </w:tcBorders>
          </w:tcPr>
          <w:p w14:paraId="007429A1" w14:textId="77777777" w:rsidR="00C10A6A" w:rsidRPr="00576AF8" w:rsidRDefault="00C10A6A">
            <w:pPr>
              <w:keepNext/>
              <w:spacing w:before="40"/>
              <w:rPr>
                <w:spacing w:val="-2"/>
              </w:rPr>
            </w:pPr>
            <w:r w:rsidRPr="00576AF8">
              <w:t xml:space="preserve">Descripción de la similitud de conformidad con el </w:t>
            </w:r>
            <w:r w:rsidR="00222A2F" w:rsidRPr="00576AF8">
              <w:t>ítem</w:t>
            </w:r>
            <w:r w:rsidRPr="00576AF8">
              <w:t xml:space="preserve"> 2.4.2 de la </w:t>
            </w:r>
            <w:r w:rsidR="00A83F3E" w:rsidRPr="00576AF8">
              <w:t>S</w:t>
            </w:r>
            <w:r w:rsidRPr="00576AF8">
              <w:t>ección III:</w:t>
            </w:r>
          </w:p>
        </w:tc>
        <w:tc>
          <w:tcPr>
            <w:tcW w:w="4775" w:type="dxa"/>
            <w:tcBorders>
              <w:top w:val="single" w:sz="4" w:space="0" w:color="auto"/>
              <w:left w:val="single" w:sz="4" w:space="0" w:color="auto"/>
              <w:bottom w:val="single" w:sz="4" w:space="0" w:color="auto"/>
              <w:right w:val="single" w:sz="6" w:space="0" w:color="auto"/>
            </w:tcBorders>
          </w:tcPr>
          <w:p w14:paraId="036DAFE7" w14:textId="77777777" w:rsidR="00C10A6A" w:rsidRPr="00576AF8" w:rsidRDefault="00C10A6A" w:rsidP="00803EC1">
            <w:pPr>
              <w:rPr>
                <w:spacing w:val="-2"/>
              </w:rPr>
            </w:pPr>
          </w:p>
        </w:tc>
      </w:tr>
      <w:tr w:rsidR="00C10A6A" w:rsidRPr="00576AF8" w14:paraId="4B01735D" w14:textId="77777777" w:rsidTr="00EB0953">
        <w:trPr>
          <w:cantSplit/>
          <w:trHeight w:val="699"/>
        </w:trPr>
        <w:tc>
          <w:tcPr>
            <w:tcW w:w="4315" w:type="dxa"/>
            <w:tcBorders>
              <w:top w:val="single" w:sz="4" w:space="0" w:color="auto"/>
              <w:left w:val="single" w:sz="6" w:space="0" w:color="auto"/>
              <w:bottom w:val="single" w:sz="4" w:space="0" w:color="auto"/>
            </w:tcBorders>
          </w:tcPr>
          <w:p w14:paraId="3C8A2089" w14:textId="77777777" w:rsidR="00C10A6A" w:rsidRPr="00576AF8" w:rsidRDefault="00C10A6A" w:rsidP="00803EC1">
            <w:pPr>
              <w:pStyle w:val="Lista"/>
              <w:tabs>
                <w:tab w:val="left" w:pos="864"/>
                <w:tab w:val="num" w:pos="936"/>
              </w:tabs>
              <w:ind w:left="936" w:hanging="360"/>
            </w:pPr>
            <w:r w:rsidRPr="00576AF8">
              <w:t>Monto</w:t>
            </w:r>
          </w:p>
        </w:tc>
        <w:tc>
          <w:tcPr>
            <w:tcW w:w="4775" w:type="dxa"/>
            <w:tcBorders>
              <w:top w:val="single" w:sz="4" w:space="0" w:color="auto"/>
              <w:left w:val="single" w:sz="4" w:space="0" w:color="auto"/>
              <w:bottom w:val="single" w:sz="4" w:space="0" w:color="auto"/>
              <w:right w:val="single" w:sz="6" w:space="0" w:color="auto"/>
            </w:tcBorders>
          </w:tcPr>
          <w:p w14:paraId="1A0EF609" w14:textId="77777777" w:rsidR="00C10A6A" w:rsidRPr="00576AF8" w:rsidRDefault="00C10A6A" w:rsidP="00803EC1">
            <w:pPr>
              <w:spacing w:before="120"/>
              <w:rPr>
                <w:spacing w:val="-2"/>
              </w:rPr>
            </w:pPr>
            <w:r w:rsidRPr="00576AF8">
              <w:t>_________________________________</w:t>
            </w:r>
          </w:p>
        </w:tc>
      </w:tr>
      <w:tr w:rsidR="00C10A6A" w:rsidRPr="00576AF8" w14:paraId="534E90A6" w14:textId="77777777" w:rsidTr="00EB0953">
        <w:trPr>
          <w:cantSplit/>
          <w:trHeight w:val="699"/>
        </w:trPr>
        <w:tc>
          <w:tcPr>
            <w:tcW w:w="4315" w:type="dxa"/>
            <w:tcBorders>
              <w:top w:val="single" w:sz="4" w:space="0" w:color="auto"/>
              <w:left w:val="single" w:sz="6" w:space="0" w:color="auto"/>
              <w:bottom w:val="single" w:sz="4" w:space="0" w:color="auto"/>
            </w:tcBorders>
          </w:tcPr>
          <w:p w14:paraId="11B38430" w14:textId="77777777" w:rsidR="00C10A6A" w:rsidRPr="00576AF8" w:rsidRDefault="00C10A6A" w:rsidP="00803EC1">
            <w:pPr>
              <w:pStyle w:val="Lista"/>
              <w:tabs>
                <w:tab w:val="left" w:pos="864"/>
                <w:tab w:val="num" w:pos="936"/>
              </w:tabs>
              <w:ind w:left="936" w:hanging="360"/>
              <w:rPr>
                <w:spacing w:val="-2"/>
              </w:rPr>
            </w:pPr>
            <w:r w:rsidRPr="00576AF8">
              <w:t>Tamaño físico</w:t>
            </w:r>
          </w:p>
        </w:tc>
        <w:tc>
          <w:tcPr>
            <w:tcW w:w="4775" w:type="dxa"/>
            <w:tcBorders>
              <w:top w:val="single" w:sz="4" w:space="0" w:color="auto"/>
              <w:left w:val="single" w:sz="4" w:space="0" w:color="auto"/>
              <w:bottom w:val="single" w:sz="4" w:space="0" w:color="auto"/>
              <w:right w:val="single" w:sz="6" w:space="0" w:color="auto"/>
            </w:tcBorders>
          </w:tcPr>
          <w:p w14:paraId="2EE2F144" w14:textId="77777777" w:rsidR="00C10A6A" w:rsidRPr="00576AF8" w:rsidRDefault="00C10A6A" w:rsidP="00803EC1">
            <w:pPr>
              <w:spacing w:before="120"/>
              <w:rPr>
                <w:spacing w:val="-2"/>
              </w:rPr>
            </w:pPr>
            <w:r w:rsidRPr="00576AF8">
              <w:t>_________________________________</w:t>
            </w:r>
          </w:p>
        </w:tc>
      </w:tr>
      <w:tr w:rsidR="00C10A6A" w:rsidRPr="00576AF8" w14:paraId="193EF6AA" w14:textId="77777777" w:rsidTr="00EB0953">
        <w:trPr>
          <w:cantSplit/>
          <w:trHeight w:val="699"/>
        </w:trPr>
        <w:tc>
          <w:tcPr>
            <w:tcW w:w="4315" w:type="dxa"/>
            <w:tcBorders>
              <w:top w:val="single" w:sz="4" w:space="0" w:color="auto"/>
              <w:left w:val="single" w:sz="6" w:space="0" w:color="auto"/>
              <w:bottom w:val="single" w:sz="4" w:space="0" w:color="auto"/>
            </w:tcBorders>
          </w:tcPr>
          <w:p w14:paraId="08100D12" w14:textId="77777777" w:rsidR="00C10A6A" w:rsidRPr="00576AF8" w:rsidRDefault="00C10A6A" w:rsidP="00803EC1">
            <w:pPr>
              <w:pStyle w:val="Lista"/>
              <w:tabs>
                <w:tab w:val="left" w:pos="864"/>
                <w:tab w:val="num" w:pos="936"/>
              </w:tabs>
              <w:ind w:left="936" w:hanging="360"/>
              <w:rPr>
                <w:spacing w:val="-2"/>
              </w:rPr>
            </w:pPr>
            <w:r w:rsidRPr="00576AF8">
              <w:t>Complejidad</w:t>
            </w:r>
          </w:p>
        </w:tc>
        <w:tc>
          <w:tcPr>
            <w:tcW w:w="4775" w:type="dxa"/>
            <w:tcBorders>
              <w:top w:val="single" w:sz="4" w:space="0" w:color="auto"/>
              <w:left w:val="single" w:sz="4" w:space="0" w:color="auto"/>
              <w:bottom w:val="single" w:sz="4" w:space="0" w:color="auto"/>
              <w:right w:val="single" w:sz="6" w:space="0" w:color="auto"/>
            </w:tcBorders>
          </w:tcPr>
          <w:p w14:paraId="6AD21A11" w14:textId="77777777" w:rsidR="00C10A6A" w:rsidRPr="00576AF8" w:rsidRDefault="00C10A6A" w:rsidP="00803EC1">
            <w:pPr>
              <w:spacing w:before="120"/>
              <w:rPr>
                <w:spacing w:val="-2"/>
              </w:rPr>
            </w:pPr>
            <w:r w:rsidRPr="00576AF8">
              <w:t>_________________________________</w:t>
            </w:r>
          </w:p>
        </w:tc>
      </w:tr>
      <w:tr w:rsidR="00C10A6A" w:rsidRPr="00576AF8" w14:paraId="6D62B69B" w14:textId="77777777" w:rsidTr="00EB0953">
        <w:trPr>
          <w:cantSplit/>
          <w:trHeight w:val="699"/>
        </w:trPr>
        <w:tc>
          <w:tcPr>
            <w:tcW w:w="4315" w:type="dxa"/>
            <w:tcBorders>
              <w:top w:val="single" w:sz="4" w:space="0" w:color="auto"/>
              <w:left w:val="single" w:sz="6" w:space="0" w:color="auto"/>
              <w:bottom w:val="single" w:sz="4" w:space="0" w:color="auto"/>
            </w:tcBorders>
          </w:tcPr>
          <w:p w14:paraId="1F898E3C" w14:textId="77777777" w:rsidR="00C10A6A" w:rsidRPr="00576AF8" w:rsidRDefault="00C10A6A" w:rsidP="00803EC1">
            <w:pPr>
              <w:pStyle w:val="Lista"/>
              <w:tabs>
                <w:tab w:val="left" w:pos="864"/>
                <w:tab w:val="num" w:pos="936"/>
              </w:tabs>
              <w:ind w:left="936" w:hanging="360"/>
              <w:rPr>
                <w:spacing w:val="-2"/>
              </w:rPr>
            </w:pPr>
            <w:r w:rsidRPr="00576AF8">
              <w:t>Métodos/Tecnología</w:t>
            </w:r>
          </w:p>
        </w:tc>
        <w:tc>
          <w:tcPr>
            <w:tcW w:w="4775" w:type="dxa"/>
            <w:tcBorders>
              <w:top w:val="single" w:sz="4" w:space="0" w:color="auto"/>
              <w:left w:val="single" w:sz="4" w:space="0" w:color="auto"/>
              <w:bottom w:val="single" w:sz="4" w:space="0" w:color="auto"/>
              <w:right w:val="single" w:sz="6" w:space="0" w:color="auto"/>
            </w:tcBorders>
          </w:tcPr>
          <w:p w14:paraId="7B22494B" w14:textId="77777777" w:rsidR="00C10A6A" w:rsidRPr="00576AF8" w:rsidRDefault="00C10A6A" w:rsidP="00803EC1">
            <w:pPr>
              <w:spacing w:before="120"/>
              <w:rPr>
                <w:spacing w:val="-2"/>
              </w:rPr>
            </w:pPr>
            <w:r w:rsidRPr="00576AF8">
              <w:t>_________________________________</w:t>
            </w:r>
          </w:p>
        </w:tc>
      </w:tr>
      <w:tr w:rsidR="00C10A6A" w:rsidRPr="00576AF8" w14:paraId="5462013F" w14:textId="77777777" w:rsidTr="00EB0953">
        <w:trPr>
          <w:cantSplit/>
          <w:trHeight w:val="699"/>
        </w:trPr>
        <w:tc>
          <w:tcPr>
            <w:tcW w:w="4315" w:type="dxa"/>
            <w:tcBorders>
              <w:top w:val="single" w:sz="4" w:space="0" w:color="auto"/>
              <w:left w:val="single" w:sz="6" w:space="0" w:color="auto"/>
              <w:bottom w:val="single" w:sz="4" w:space="0" w:color="auto"/>
            </w:tcBorders>
          </w:tcPr>
          <w:p w14:paraId="7F045BF4" w14:textId="77777777" w:rsidR="00C10A6A" w:rsidRPr="00576AF8" w:rsidRDefault="005E2F53" w:rsidP="00803EC1">
            <w:pPr>
              <w:pStyle w:val="Lista"/>
              <w:tabs>
                <w:tab w:val="left" w:pos="864"/>
                <w:tab w:val="num" w:pos="936"/>
              </w:tabs>
              <w:ind w:left="936" w:hanging="360"/>
              <w:rPr>
                <w:spacing w:val="-2"/>
              </w:rPr>
            </w:pPr>
            <w:r w:rsidRPr="00576AF8">
              <w:t>Actividades principales</w:t>
            </w:r>
          </w:p>
          <w:p w14:paraId="6548A563" w14:textId="77777777" w:rsidR="00C10A6A" w:rsidRPr="00576AF8" w:rsidRDefault="00C10A6A" w:rsidP="00803EC1"/>
        </w:tc>
        <w:tc>
          <w:tcPr>
            <w:tcW w:w="4775" w:type="dxa"/>
            <w:tcBorders>
              <w:top w:val="single" w:sz="4" w:space="0" w:color="auto"/>
              <w:left w:val="single" w:sz="4" w:space="0" w:color="auto"/>
              <w:bottom w:val="single" w:sz="4" w:space="0" w:color="auto"/>
              <w:right w:val="single" w:sz="6" w:space="0" w:color="auto"/>
            </w:tcBorders>
          </w:tcPr>
          <w:p w14:paraId="2EFDA9A6" w14:textId="77777777" w:rsidR="00C10A6A" w:rsidRPr="00576AF8" w:rsidRDefault="00C10A6A" w:rsidP="00803EC1">
            <w:pPr>
              <w:spacing w:before="120"/>
              <w:rPr>
                <w:spacing w:val="-2"/>
              </w:rPr>
            </w:pPr>
            <w:r w:rsidRPr="00576AF8">
              <w:t>_________________________________</w:t>
            </w:r>
          </w:p>
        </w:tc>
      </w:tr>
    </w:tbl>
    <w:p w14:paraId="4ED6B3B7" w14:textId="77777777" w:rsidR="00C10A6A" w:rsidRPr="00576AF8" w:rsidRDefault="00C10A6A" w:rsidP="00C10A6A"/>
    <w:p w14:paraId="1DB9478D" w14:textId="77777777" w:rsidR="00C10A6A" w:rsidRPr="00576AF8" w:rsidRDefault="00C10A6A" w:rsidP="00A01121">
      <w:pPr>
        <w:jc w:val="center"/>
        <w:rPr>
          <w:b/>
          <w:iCs/>
          <w:sz w:val="32"/>
        </w:rPr>
      </w:pPr>
      <w:r w:rsidRPr="00576AF8">
        <w:br w:type="page"/>
      </w:r>
    </w:p>
    <w:p w14:paraId="67FABE6B" w14:textId="77777777" w:rsidR="00DA7687" w:rsidRPr="00576AF8" w:rsidRDefault="00F772EC" w:rsidP="00275E0F">
      <w:pPr>
        <w:suppressAutoHyphens w:val="0"/>
        <w:spacing w:after="0"/>
        <w:jc w:val="center"/>
        <w:rPr>
          <w:b/>
          <w:sz w:val="36"/>
        </w:rPr>
      </w:pPr>
      <w:bookmarkStart w:id="458" w:name="_Toc125873866"/>
      <w:bookmarkStart w:id="459" w:name="_Toc490650437"/>
      <w:bookmarkStart w:id="460" w:name="_Toc490653378"/>
      <w:bookmarkStart w:id="461" w:name="_Toc521497256"/>
      <w:bookmarkStart w:id="462" w:name="_Toc218673973"/>
      <w:bookmarkStart w:id="463" w:name="_Toc277345604"/>
      <w:r w:rsidRPr="00576AF8">
        <w:rPr>
          <w:b/>
          <w:sz w:val="36"/>
        </w:rPr>
        <w:lastRenderedPageBreak/>
        <w:t>Formulario CCC</w:t>
      </w:r>
      <w:bookmarkEnd w:id="458"/>
    </w:p>
    <w:p w14:paraId="1967F2AE" w14:textId="77777777" w:rsidR="00C10A6A" w:rsidRPr="00576AF8" w:rsidRDefault="00C10A6A" w:rsidP="00EB0953">
      <w:pPr>
        <w:pStyle w:val="Head32"/>
        <w:ind w:left="851" w:right="855" w:firstLine="0"/>
      </w:pPr>
      <w:r w:rsidRPr="00576AF8">
        <w:t xml:space="preserve">Hoja de </w:t>
      </w:r>
      <w:r w:rsidR="00035E73" w:rsidRPr="00576AF8">
        <w:t>r</w:t>
      </w:r>
      <w:r w:rsidRPr="00576AF8">
        <w:t>esumen:</w:t>
      </w:r>
      <w:r w:rsidR="00C15E45" w:rsidRPr="00576AF8">
        <w:t xml:space="preserve"> </w:t>
      </w:r>
      <w:r w:rsidRPr="00576AF8">
        <w:t xml:space="preserve">Compromisos </w:t>
      </w:r>
      <w:r w:rsidR="005E641B" w:rsidRPr="00576AF8">
        <w:t xml:space="preserve">Contractuales </w:t>
      </w:r>
      <w:r w:rsidRPr="00576AF8">
        <w:t xml:space="preserve">en </w:t>
      </w:r>
      <w:r w:rsidR="005E641B" w:rsidRPr="00576AF8">
        <w:t>Vigencia</w:t>
      </w:r>
      <w:r w:rsidRPr="00576AF8">
        <w:t>/</w:t>
      </w:r>
      <w:r w:rsidR="00EB0953" w:rsidRPr="00576AF8">
        <w:t xml:space="preserve"> </w:t>
      </w:r>
      <w:r w:rsidR="00B468F3" w:rsidRPr="00576AF8">
        <w:t>Trabajos</w:t>
      </w:r>
      <w:r w:rsidRPr="00576AF8">
        <w:t xml:space="preserve"> en </w:t>
      </w:r>
      <w:bookmarkEnd w:id="459"/>
      <w:bookmarkEnd w:id="460"/>
      <w:bookmarkEnd w:id="461"/>
      <w:bookmarkEnd w:id="462"/>
      <w:bookmarkEnd w:id="463"/>
      <w:r w:rsidR="005E641B" w:rsidRPr="00576AF8">
        <w:t>Ejecución</w:t>
      </w:r>
    </w:p>
    <w:p w14:paraId="43D5AE97" w14:textId="77777777" w:rsidR="00C10A6A" w:rsidRPr="00576AF8" w:rsidRDefault="00C10A6A" w:rsidP="00C10A6A">
      <w:pPr>
        <w:ind w:right="-360"/>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C10A6A" w:rsidRPr="00576AF8" w14:paraId="0FAAA220" w14:textId="77777777" w:rsidTr="00EB0953">
        <w:trPr>
          <w:cantSplit/>
        </w:trPr>
        <w:tc>
          <w:tcPr>
            <w:tcW w:w="9348" w:type="dxa"/>
          </w:tcPr>
          <w:p w14:paraId="7797A53A" w14:textId="77777777" w:rsidR="00C10A6A" w:rsidRPr="00576AF8" w:rsidRDefault="00C10A6A" w:rsidP="00EB0953">
            <w:pPr>
              <w:ind w:right="-360"/>
              <w:jc w:val="left"/>
            </w:pPr>
            <w:r w:rsidRPr="00576AF8">
              <w:t xml:space="preserve">Nombre del Licitante o miembro de una </w:t>
            </w:r>
            <w:r w:rsidR="000107E9" w:rsidRPr="00576AF8">
              <w:t>APCA</w:t>
            </w:r>
          </w:p>
        </w:tc>
      </w:tr>
    </w:tbl>
    <w:p w14:paraId="201A6970" w14:textId="77777777" w:rsidR="00C10A6A" w:rsidRPr="00576AF8" w:rsidRDefault="00C10A6A" w:rsidP="00C10A6A">
      <w:pPr>
        <w:ind w:right="-360"/>
      </w:pPr>
    </w:p>
    <w:p w14:paraId="304BAFED" w14:textId="77777777" w:rsidR="00C10A6A" w:rsidRPr="00576AF8" w:rsidRDefault="00C10A6A" w:rsidP="00B314AF">
      <w:pPr>
        <w:spacing w:after="240"/>
        <w:ind w:right="-360"/>
      </w:pPr>
      <w:r w:rsidRPr="00576AF8">
        <w:t xml:space="preserve">Los Licitantes y cada uno de los miembros de una </w:t>
      </w:r>
      <w:r w:rsidR="000107E9" w:rsidRPr="00576AF8">
        <w:t>APCA</w:t>
      </w:r>
      <w:r w:rsidRPr="00576AF8">
        <w:t xml:space="preserve"> deberán proporcionar información sobre sus compromisos vigentes respecto de todos los contratos que les hayan sido adjudicados o para los cuales se haya recibido una carta de intención o de aceptación, o que estén por finalizar, pero para los cuales aún no se haya emitido un </w:t>
      </w:r>
      <w:r w:rsidR="002B4BE9" w:rsidRPr="00576AF8">
        <w:t>c</w:t>
      </w:r>
      <w:r w:rsidRPr="00576AF8">
        <w:t xml:space="preserve">ertificado de </w:t>
      </w:r>
      <w:r w:rsidR="002B4BE9" w:rsidRPr="00576AF8">
        <w:t>t</w:t>
      </w:r>
      <w:r w:rsidRPr="00576AF8">
        <w:t>erminación final sin salvedades.</w:t>
      </w: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69"/>
        <w:gridCol w:w="1870"/>
        <w:gridCol w:w="1869"/>
        <w:gridCol w:w="1870"/>
        <w:gridCol w:w="1870"/>
      </w:tblGrid>
      <w:tr w:rsidR="00C10A6A" w:rsidRPr="00576AF8" w14:paraId="3FF1C3C7" w14:textId="77777777" w:rsidTr="00B314AF">
        <w:trPr>
          <w:cantSplit/>
        </w:trPr>
        <w:tc>
          <w:tcPr>
            <w:tcW w:w="1869" w:type="dxa"/>
          </w:tcPr>
          <w:p w14:paraId="62A8E073" w14:textId="77777777" w:rsidR="00A44EB2" w:rsidRPr="00576AF8" w:rsidRDefault="00C10A6A" w:rsidP="00B314AF">
            <w:pPr>
              <w:ind w:right="-18"/>
              <w:jc w:val="left"/>
              <w:rPr>
                <w:szCs w:val="24"/>
              </w:rPr>
            </w:pPr>
            <w:r w:rsidRPr="00576AF8">
              <w:rPr>
                <w:szCs w:val="24"/>
              </w:rPr>
              <w:t>Nombre del Contrato</w:t>
            </w:r>
          </w:p>
        </w:tc>
        <w:tc>
          <w:tcPr>
            <w:tcW w:w="1870" w:type="dxa"/>
          </w:tcPr>
          <w:p w14:paraId="03B79551" w14:textId="77777777" w:rsidR="00A44EB2" w:rsidRPr="00576AF8" w:rsidRDefault="00C10A6A" w:rsidP="00B314AF">
            <w:pPr>
              <w:jc w:val="left"/>
              <w:rPr>
                <w:szCs w:val="24"/>
              </w:rPr>
            </w:pPr>
            <w:r w:rsidRPr="00576AF8">
              <w:rPr>
                <w:szCs w:val="24"/>
              </w:rPr>
              <w:t>Dirección, teléfono del Comprador</w:t>
            </w:r>
          </w:p>
        </w:tc>
        <w:tc>
          <w:tcPr>
            <w:tcW w:w="1869" w:type="dxa"/>
          </w:tcPr>
          <w:p w14:paraId="34E7E95E" w14:textId="77777777" w:rsidR="00C10A6A" w:rsidRPr="00576AF8" w:rsidRDefault="00C10A6A" w:rsidP="00B314AF">
            <w:pPr>
              <w:jc w:val="left"/>
              <w:rPr>
                <w:szCs w:val="24"/>
              </w:rPr>
            </w:pPr>
            <w:r w:rsidRPr="00576AF8">
              <w:rPr>
                <w:szCs w:val="24"/>
              </w:rPr>
              <w:t>Valor del Sistema Informático pendiente (equivalente actual en USD)</w:t>
            </w:r>
          </w:p>
        </w:tc>
        <w:tc>
          <w:tcPr>
            <w:tcW w:w="1870" w:type="dxa"/>
          </w:tcPr>
          <w:p w14:paraId="3FF083AE" w14:textId="77777777" w:rsidR="00A44EB2" w:rsidRPr="00576AF8" w:rsidRDefault="00C10A6A" w:rsidP="00B314AF">
            <w:pPr>
              <w:ind w:right="-43"/>
              <w:jc w:val="left"/>
              <w:rPr>
                <w:szCs w:val="24"/>
              </w:rPr>
            </w:pPr>
            <w:r w:rsidRPr="00576AF8">
              <w:rPr>
                <w:szCs w:val="24"/>
              </w:rPr>
              <w:t>Fecha prevista de terminación</w:t>
            </w:r>
          </w:p>
        </w:tc>
        <w:tc>
          <w:tcPr>
            <w:tcW w:w="1870" w:type="dxa"/>
          </w:tcPr>
          <w:p w14:paraId="08F87D76" w14:textId="77777777" w:rsidR="00A44EB2" w:rsidRPr="00576AF8" w:rsidRDefault="00C10A6A" w:rsidP="00B314AF">
            <w:pPr>
              <w:ind w:right="-86"/>
              <w:jc w:val="left"/>
              <w:rPr>
                <w:szCs w:val="24"/>
              </w:rPr>
            </w:pPr>
            <w:r w:rsidRPr="00576AF8">
              <w:rPr>
                <w:szCs w:val="24"/>
              </w:rPr>
              <w:t>Promedio de facturación mensual en el último semestre (USD/mes)</w:t>
            </w:r>
          </w:p>
        </w:tc>
      </w:tr>
      <w:tr w:rsidR="00C10A6A" w:rsidRPr="00576AF8" w14:paraId="0375FE22" w14:textId="77777777" w:rsidTr="00B314AF">
        <w:trPr>
          <w:cantSplit/>
        </w:trPr>
        <w:tc>
          <w:tcPr>
            <w:tcW w:w="1869" w:type="dxa"/>
          </w:tcPr>
          <w:p w14:paraId="38F06DB4" w14:textId="77777777" w:rsidR="00C10A6A" w:rsidRPr="00576AF8" w:rsidRDefault="00C10A6A" w:rsidP="00803EC1">
            <w:pPr>
              <w:ind w:right="-360"/>
              <w:rPr>
                <w:szCs w:val="24"/>
              </w:rPr>
            </w:pPr>
            <w:r w:rsidRPr="00576AF8">
              <w:rPr>
                <w:szCs w:val="24"/>
              </w:rPr>
              <w:t>1.</w:t>
            </w:r>
          </w:p>
        </w:tc>
        <w:tc>
          <w:tcPr>
            <w:tcW w:w="1870" w:type="dxa"/>
          </w:tcPr>
          <w:p w14:paraId="7AAD6602" w14:textId="77777777" w:rsidR="00C10A6A" w:rsidRPr="00576AF8" w:rsidRDefault="00C10A6A" w:rsidP="00803EC1">
            <w:pPr>
              <w:ind w:right="-360"/>
              <w:rPr>
                <w:szCs w:val="24"/>
              </w:rPr>
            </w:pPr>
          </w:p>
        </w:tc>
        <w:tc>
          <w:tcPr>
            <w:tcW w:w="1869" w:type="dxa"/>
          </w:tcPr>
          <w:p w14:paraId="692F4FD6" w14:textId="77777777" w:rsidR="00C10A6A" w:rsidRPr="00576AF8" w:rsidRDefault="00C10A6A" w:rsidP="00803EC1">
            <w:pPr>
              <w:ind w:right="-360"/>
              <w:rPr>
                <w:szCs w:val="24"/>
              </w:rPr>
            </w:pPr>
          </w:p>
        </w:tc>
        <w:tc>
          <w:tcPr>
            <w:tcW w:w="1870" w:type="dxa"/>
          </w:tcPr>
          <w:p w14:paraId="5716C159" w14:textId="77777777" w:rsidR="00C10A6A" w:rsidRPr="00576AF8" w:rsidRDefault="00C10A6A" w:rsidP="00803EC1">
            <w:pPr>
              <w:ind w:right="-360"/>
              <w:rPr>
                <w:szCs w:val="24"/>
              </w:rPr>
            </w:pPr>
          </w:p>
        </w:tc>
        <w:tc>
          <w:tcPr>
            <w:tcW w:w="1870" w:type="dxa"/>
          </w:tcPr>
          <w:p w14:paraId="1F044FCC" w14:textId="77777777" w:rsidR="00C10A6A" w:rsidRPr="00576AF8" w:rsidRDefault="00C10A6A" w:rsidP="00803EC1">
            <w:pPr>
              <w:ind w:right="-360"/>
              <w:rPr>
                <w:szCs w:val="24"/>
              </w:rPr>
            </w:pPr>
          </w:p>
        </w:tc>
      </w:tr>
      <w:tr w:rsidR="00C10A6A" w:rsidRPr="00576AF8" w14:paraId="7ACF6DF9" w14:textId="77777777" w:rsidTr="00B314AF">
        <w:trPr>
          <w:cantSplit/>
        </w:trPr>
        <w:tc>
          <w:tcPr>
            <w:tcW w:w="1869" w:type="dxa"/>
          </w:tcPr>
          <w:p w14:paraId="60A31A98" w14:textId="77777777" w:rsidR="00C10A6A" w:rsidRPr="00576AF8" w:rsidRDefault="00C10A6A" w:rsidP="00803EC1">
            <w:pPr>
              <w:ind w:right="-360"/>
              <w:rPr>
                <w:szCs w:val="24"/>
              </w:rPr>
            </w:pPr>
            <w:r w:rsidRPr="00576AF8">
              <w:rPr>
                <w:szCs w:val="24"/>
              </w:rPr>
              <w:t>2.</w:t>
            </w:r>
          </w:p>
        </w:tc>
        <w:tc>
          <w:tcPr>
            <w:tcW w:w="1870" w:type="dxa"/>
          </w:tcPr>
          <w:p w14:paraId="6C40148E" w14:textId="77777777" w:rsidR="00C10A6A" w:rsidRPr="00576AF8" w:rsidRDefault="00C10A6A" w:rsidP="00803EC1">
            <w:pPr>
              <w:ind w:right="-360"/>
              <w:rPr>
                <w:szCs w:val="24"/>
              </w:rPr>
            </w:pPr>
          </w:p>
        </w:tc>
        <w:tc>
          <w:tcPr>
            <w:tcW w:w="1869" w:type="dxa"/>
          </w:tcPr>
          <w:p w14:paraId="71617588" w14:textId="77777777" w:rsidR="00C10A6A" w:rsidRPr="00576AF8" w:rsidRDefault="00C10A6A" w:rsidP="00803EC1">
            <w:pPr>
              <w:ind w:right="-360"/>
              <w:rPr>
                <w:szCs w:val="24"/>
              </w:rPr>
            </w:pPr>
          </w:p>
        </w:tc>
        <w:tc>
          <w:tcPr>
            <w:tcW w:w="1870" w:type="dxa"/>
          </w:tcPr>
          <w:p w14:paraId="42E6DC9D" w14:textId="77777777" w:rsidR="00C10A6A" w:rsidRPr="00576AF8" w:rsidRDefault="00C10A6A" w:rsidP="00803EC1">
            <w:pPr>
              <w:ind w:right="-360"/>
              <w:rPr>
                <w:szCs w:val="24"/>
              </w:rPr>
            </w:pPr>
          </w:p>
        </w:tc>
        <w:tc>
          <w:tcPr>
            <w:tcW w:w="1870" w:type="dxa"/>
          </w:tcPr>
          <w:p w14:paraId="2DAA56C4" w14:textId="77777777" w:rsidR="00C10A6A" w:rsidRPr="00576AF8" w:rsidRDefault="00C10A6A" w:rsidP="00803EC1">
            <w:pPr>
              <w:ind w:right="-360"/>
              <w:rPr>
                <w:szCs w:val="24"/>
              </w:rPr>
            </w:pPr>
          </w:p>
        </w:tc>
      </w:tr>
      <w:tr w:rsidR="00C10A6A" w:rsidRPr="00576AF8" w14:paraId="6FC8996E" w14:textId="77777777" w:rsidTr="00B314AF">
        <w:trPr>
          <w:cantSplit/>
        </w:trPr>
        <w:tc>
          <w:tcPr>
            <w:tcW w:w="1869" w:type="dxa"/>
          </w:tcPr>
          <w:p w14:paraId="02BAE252" w14:textId="77777777" w:rsidR="00C10A6A" w:rsidRPr="00576AF8" w:rsidRDefault="00C10A6A" w:rsidP="00803EC1">
            <w:pPr>
              <w:ind w:right="-360"/>
              <w:rPr>
                <w:szCs w:val="24"/>
              </w:rPr>
            </w:pPr>
            <w:r w:rsidRPr="00576AF8">
              <w:rPr>
                <w:szCs w:val="24"/>
              </w:rPr>
              <w:t>3.</w:t>
            </w:r>
          </w:p>
        </w:tc>
        <w:tc>
          <w:tcPr>
            <w:tcW w:w="1870" w:type="dxa"/>
          </w:tcPr>
          <w:p w14:paraId="568916D0" w14:textId="77777777" w:rsidR="00C10A6A" w:rsidRPr="00576AF8" w:rsidRDefault="00C10A6A" w:rsidP="00803EC1">
            <w:pPr>
              <w:ind w:right="-360"/>
              <w:rPr>
                <w:szCs w:val="24"/>
              </w:rPr>
            </w:pPr>
          </w:p>
        </w:tc>
        <w:tc>
          <w:tcPr>
            <w:tcW w:w="1869" w:type="dxa"/>
          </w:tcPr>
          <w:p w14:paraId="643D1E27" w14:textId="77777777" w:rsidR="00C10A6A" w:rsidRPr="00576AF8" w:rsidRDefault="00C10A6A" w:rsidP="00803EC1">
            <w:pPr>
              <w:ind w:right="-360"/>
              <w:rPr>
                <w:szCs w:val="24"/>
              </w:rPr>
            </w:pPr>
          </w:p>
        </w:tc>
        <w:tc>
          <w:tcPr>
            <w:tcW w:w="1870" w:type="dxa"/>
          </w:tcPr>
          <w:p w14:paraId="17BAA0ED" w14:textId="77777777" w:rsidR="00C10A6A" w:rsidRPr="00576AF8" w:rsidRDefault="00C10A6A" w:rsidP="00803EC1">
            <w:pPr>
              <w:ind w:right="-360"/>
              <w:rPr>
                <w:szCs w:val="24"/>
              </w:rPr>
            </w:pPr>
          </w:p>
        </w:tc>
        <w:tc>
          <w:tcPr>
            <w:tcW w:w="1870" w:type="dxa"/>
          </w:tcPr>
          <w:p w14:paraId="6DBC6702" w14:textId="77777777" w:rsidR="00C10A6A" w:rsidRPr="00576AF8" w:rsidRDefault="00C10A6A" w:rsidP="00803EC1">
            <w:pPr>
              <w:ind w:right="-360"/>
              <w:rPr>
                <w:szCs w:val="24"/>
              </w:rPr>
            </w:pPr>
          </w:p>
        </w:tc>
      </w:tr>
      <w:tr w:rsidR="00C10A6A" w:rsidRPr="00576AF8" w14:paraId="3E740732" w14:textId="77777777" w:rsidTr="00B314AF">
        <w:trPr>
          <w:cantSplit/>
        </w:trPr>
        <w:tc>
          <w:tcPr>
            <w:tcW w:w="1869" w:type="dxa"/>
          </w:tcPr>
          <w:p w14:paraId="7DB30BC4" w14:textId="77777777" w:rsidR="00C10A6A" w:rsidRPr="00576AF8" w:rsidRDefault="00C10A6A" w:rsidP="00803EC1">
            <w:pPr>
              <w:ind w:right="-360"/>
              <w:rPr>
                <w:szCs w:val="24"/>
              </w:rPr>
            </w:pPr>
            <w:r w:rsidRPr="00576AF8">
              <w:rPr>
                <w:szCs w:val="24"/>
              </w:rPr>
              <w:t>4.</w:t>
            </w:r>
          </w:p>
        </w:tc>
        <w:tc>
          <w:tcPr>
            <w:tcW w:w="1870" w:type="dxa"/>
          </w:tcPr>
          <w:p w14:paraId="58D75351" w14:textId="77777777" w:rsidR="00C10A6A" w:rsidRPr="00576AF8" w:rsidRDefault="00C10A6A" w:rsidP="00803EC1">
            <w:pPr>
              <w:ind w:right="-360"/>
              <w:rPr>
                <w:szCs w:val="24"/>
              </w:rPr>
            </w:pPr>
          </w:p>
        </w:tc>
        <w:tc>
          <w:tcPr>
            <w:tcW w:w="1869" w:type="dxa"/>
          </w:tcPr>
          <w:p w14:paraId="57A420AB" w14:textId="77777777" w:rsidR="00C10A6A" w:rsidRPr="00576AF8" w:rsidRDefault="00C10A6A" w:rsidP="00803EC1">
            <w:pPr>
              <w:ind w:right="-360"/>
              <w:rPr>
                <w:szCs w:val="24"/>
              </w:rPr>
            </w:pPr>
          </w:p>
        </w:tc>
        <w:tc>
          <w:tcPr>
            <w:tcW w:w="1870" w:type="dxa"/>
          </w:tcPr>
          <w:p w14:paraId="4E861C95" w14:textId="77777777" w:rsidR="00C10A6A" w:rsidRPr="00576AF8" w:rsidRDefault="00C10A6A" w:rsidP="00803EC1">
            <w:pPr>
              <w:ind w:right="-360"/>
              <w:rPr>
                <w:szCs w:val="24"/>
              </w:rPr>
            </w:pPr>
          </w:p>
        </w:tc>
        <w:tc>
          <w:tcPr>
            <w:tcW w:w="1870" w:type="dxa"/>
          </w:tcPr>
          <w:p w14:paraId="0A035F84" w14:textId="77777777" w:rsidR="00C10A6A" w:rsidRPr="00576AF8" w:rsidRDefault="00C10A6A" w:rsidP="00803EC1">
            <w:pPr>
              <w:ind w:right="-360"/>
              <w:rPr>
                <w:szCs w:val="24"/>
              </w:rPr>
            </w:pPr>
          </w:p>
        </w:tc>
      </w:tr>
      <w:tr w:rsidR="00C10A6A" w:rsidRPr="00576AF8" w14:paraId="1B821310" w14:textId="77777777" w:rsidTr="00B314AF">
        <w:trPr>
          <w:cantSplit/>
        </w:trPr>
        <w:tc>
          <w:tcPr>
            <w:tcW w:w="1869" w:type="dxa"/>
          </w:tcPr>
          <w:p w14:paraId="0444E481" w14:textId="77777777" w:rsidR="00C10A6A" w:rsidRPr="00576AF8" w:rsidRDefault="00C10A6A" w:rsidP="00803EC1">
            <w:pPr>
              <w:ind w:right="-360"/>
              <w:rPr>
                <w:szCs w:val="24"/>
              </w:rPr>
            </w:pPr>
            <w:r w:rsidRPr="00576AF8">
              <w:rPr>
                <w:szCs w:val="24"/>
              </w:rPr>
              <w:t>5.</w:t>
            </w:r>
          </w:p>
        </w:tc>
        <w:tc>
          <w:tcPr>
            <w:tcW w:w="1870" w:type="dxa"/>
          </w:tcPr>
          <w:p w14:paraId="61FEEC72" w14:textId="77777777" w:rsidR="00C10A6A" w:rsidRPr="00576AF8" w:rsidRDefault="00C10A6A" w:rsidP="00803EC1">
            <w:pPr>
              <w:ind w:right="-360"/>
              <w:rPr>
                <w:szCs w:val="24"/>
              </w:rPr>
            </w:pPr>
          </w:p>
        </w:tc>
        <w:tc>
          <w:tcPr>
            <w:tcW w:w="1869" w:type="dxa"/>
          </w:tcPr>
          <w:p w14:paraId="0BC1CB7A" w14:textId="77777777" w:rsidR="00C10A6A" w:rsidRPr="00576AF8" w:rsidRDefault="00C10A6A" w:rsidP="00803EC1">
            <w:pPr>
              <w:ind w:right="-360"/>
              <w:rPr>
                <w:szCs w:val="24"/>
              </w:rPr>
            </w:pPr>
          </w:p>
        </w:tc>
        <w:tc>
          <w:tcPr>
            <w:tcW w:w="1870" w:type="dxa"/>
          </w:tcPr>
          <w:p w14:paraId="24A7B6AD" w14:textId="77777777" w:rsidR="00C10A6A" w:rsidRPr="00576AF8" w:rsidRDefault="00C10A6A" w:rsidP="00803EC1">
            <w:pPr>
              <w:ind w:right="-360"/>
              <w:rPr>
                <w:szCs w:val="24"/>
              </w:rPr>
            </w:pPr>
          </w:p>
        </w:tc>
        <w:tc>
          <w:tcPr>
            <w:tcW w:w="1870" w:type="dxa"/>
          </w:tcPr>
          <w:p w14:paraId="5117DCE5" w14:textId="77777777" w:rsidR="00C10A6A" w:rsidRPr="00576AF8" w:rsidRDefault="00C10A6A" w:rsidP="00803EC1">
            <w:pPr>
              <w:ind w:right="-360"/>
              <w:rPr>
                <w:szCs w:val="24"/>
              </w:rPr>
            </w:pPr>
          </w:p>
        </w:tc>
      </w:tr>
      <w:tr w:rsidR="00C10A6A" w:rsidRPr="00576AF8" w14:paraId="586069BB" w14:textId="77777777" w:rsidTr="00B314AF">
        <w:trPr>
          <w:cantSplit/>
        </w:trPr>
        <w:tc>
          <w:tcPr>
            <w:tcW w:w="1869" w:type="dxa"/>
          </w:tcPr>
          <w:p w14:paraId="6822066E" w14:textId="77777777" w:rsidR="00C10A6A" w:rsidRPr="00576AF8" w:rsidRDefault="00C10A6A" w:rsidP="00803EC1">
            <w:pPr>
              <w:ind w:right="-360"/>
              <w:rPr>
                <w:szCs w:val="24"/>
              </w:rPr>
            </w:pPr>
            <w:r w:rsidRPr="00576AF8">
              <w:rPr>
                <w:szCs w:val="24"/>
              </w:rPr>
              <w:t>etc.</w:t>
            </w:r>
          </w:p>
        </w:tc>
        <w:tc>
          <w:tcPr>
            <w:tcW w:w="1870" w:type="dxa"/>
          </w:tcPr>
          <w:p w14:paraId="7C5D9DF2" w14:textId="77777777" w:rsidR="00C10A6A" w:rsidRPr="00576AF8" w:rsidRDefault="00C10A6A" w:rsidP="00803EC1">
            <w:pPr>
              <w:ind w:right="-360"/>
              <w:rPr>
                <w:szCs w:val="24"/>
              </w:rPr>
            </w:pPr>
          </w:p>
        </w:tc>
        <w:tc>
          <w:tcPr>
            <w:tcW w:w="1869" w:type="dxa"/>
          </w:tcPr>
          <w:p w14:paraId="2E815403" w14:textId="77777777" w:rsidR="00C10A6A" w:rsidRPr="00576AF8" w:rsidRDefault="00C10A6A" w:rsidP="00803EC1">
            <w:pPr>
              <w:ind w:right="-360"/>
              <w:rPr>
                <w:szCs w:val="24"/>
              </w:rPr>
            </w:pPr>
          </w:p>
        </w:tc>
        <w:tc>
          <w:tcPr>
            <w:tcW w:w="1870" w:type="dxa"/>
          </w:tcPr>
          <w:p w14:paraId="3280BDC0" w14:textId="77777777" w:rsidR="00C10A6A" w:rsidRPr="00576AF8" w:rsidRDefault="00C10A6A" w:rsidP="00803EC1">
            <w:pPr>
              <w:ind w:right="-360"/>
              <w:rPr>
                <w:szCs w:val="24"/>
              </w:rPr>
            </w:pPr>
          </w:p>
        </w:tc>
        <w:tc>
          <w:tcPr>
            <w:tcW w:w="1870" w:type="dxa"/>
          </w:tcPr>
          <w:p w14:paraId="0FFC2D3E" w14:textId="77777777" w:rsidR="00C10A6A" w:rsidRPr="00576AF8" w:rsidRDefault="00C10A6A" w:rsidP="00803EC1">
            <w:pPr>
              <w:ind w:right="-360"/>
              <w:rPr>
                <w:szCs w:val="24"/>
              </w:rPr>
            </w:pPr>
          </w:p>
        </w:tc>
      </w:tr>
    </w:tbl>
    <w:p w14:paraId="05C50C58" w14:textId="77777777" w:rsidR="00C10A6A" w:rsidRPr="00576AF8" w:rsidRDefault="00C10A6A" w:rsidP="00C10A6A">
      <w:pPr>
        <w:ind w:right="-360"/>
        <w:rPr>
          <w:sz w:val="22"/>
        </w:rPr>
      </w:pPr>
    </w:p>
    <w:p w14:paraId="73774489" w14:textId="77777777" w:rsidR="00C10A6A" w:rsidRPr="00576AF8" w:rsidRDefault="00C10A6A" w:rsidP="00C10A6A">
      <w:pPr>
        <w:ind w:right="-360"/>
        <w:rPr>
          <w:sz w:val="22"/>
        </w:rPr>
      </w:pPr>
    </w:p>
    <w:p w14:paraId="418D414B" w14:textId="77777777" w:rsidR="00BA4F46" w:rsidRPr="00576AF8" w:rsidRDefault="00C10A6A" w:rsidP="00275E0F">
      <w:pPr>
        <w:suppressAutoHyphens w:val="0"/>
        <w:spacing w:after="0"/>
        <w:jc w:val="center"/>
        <w:rPr>
          <w:b/>
          <w:szCs w:val="24"/>
        </w:rPr>
      </w:pPr>
      <w:r w:rsidRPr="00576AF8">
        <w:br w:type="page"/>
      </w:r>
      <w:r w:rsidRPr="00576AF8">
        <w:rPr>
          <w:b/>
          <w:sz w:val="36"/>
        </w:rPr>
        <w:lastRenderedPageBreak/>
        <w:t xml:space="preserve">Formulario FIN – </w:t>
      </w:r>
      <w:r w:rsidR="00A0389B" w:rsidRPr="00576AF8">
        <w:rPr>
          <w:b/>
          <w:sz w:val="36"/>
        </w:rPr>
        <w:t>5</w:t>
      </w:r>
      <w:r w:rsidRPr="00576AF8">
        <w:rPr>
          <w:b/>
          <w:sz w:val="36"/>
        </w:rPr>
        <w:t>.3.1</w:t>
      </w:r>
    </w:p>
    <w:p w14:paraId="630EA818" w14:textId="77777777" w:rsidR="00BA4F46" w:rsidRPr="00576AF8" w:rsidRDefault="00BA4F46" w:rsidP="002D3400">
      <w:pPr>
        <w:pStyle w:val="TOC3-1"/>
      </w:pPr>
      <w:bookmarkStart w:id="464" w:name="_Toc454958447"/>
      <w:bookmarkStart w:id="465" w:name="_Toc476309230"/>
      <w:bookmarkStart w:id="466" w:name="_Toc527966232"/>
      <w:r w:rsidRPr="00576AF8">
        <w:t xml:space="preserve">Situación </w:t>
      </w:r>
      <w:bookmarkEnd w:id="464"/>
      <w:bookmarkEnd w:id="465"/>
      <w:r w:rsidR="001F46ED" w:rsidRPr="00576AF8">
        <w:t>Financiera</w:t>
      </w:r>
      <w:bookmarkEnd w:id="466"/>
    </w:p>
    <w:p w14:paraId="4453965B" w14:textId="77777777" w:rsidR="00BA4F46" w:rsidRPr="00576AF8" w:rsidRDefault="00BA4F46" w:rsidP="002D3400">
      <w:pPr>
        <w:pStyle w:val="TOC3-2"/>
      </w:pPr>
      <w:bookmarkStart w:id="467" w:name="_Toc454958448"/>
      <w:bookmarkStart w:id="468" w:name="_Toc476309231"/>
      <w:r w:rsidRPr="00576AF8">
        <w:t xml:space="preserve">Historial de </w:t>
      </w:r>
      <w:r w:rsidR="005E641B" w:rsidRPr="00576AF8">
        <w:t xml:space="preserve">Desempeño </w:t>
      </w:r>
      <w:bookmarkEnd w:id="467"/>
      <w:bookmarkEnd w:id="468"/>
      <w:r w:rsidR="005E641B" w:rsidRPr="00576AF8">
        <w:t>Financiero</w:t>
      </w:r>
    </w:p>
    <w:p w14:paraId="55BC01A4" w14:textId="77777777" w:rsidR="00BA4F46" w:rsidRPr="00576AF8" w:rsidRDefault="00BA4F46" w:rsidP="00B314AF">
      <w:pPr>
        <w:tabs>
          <w:tab w:val="left" w:pos="5954"/>
          <w:tab w:val="left" w:pos="9072"/>
        </w:tabs>
        <w:spacing w:before="120"/>
      </w:pPr>
      <w:r w:rsidRPr="00576AF8">
        <w:t>Nombre jurídico del Licitante: _______________________</w:t>
      </w:r>
      <w:r w:rsidR="00913E07" w:rsidRPr="00576AF8">
        <w:t xml:space="preserve"> </w:t>
      </w:r>
      <w:r w:rsidRPr="00576AF8">
        <w:tab/>
        <w:t>Fecha:</w:t>
      </w:r>
      <w:r w:rsidR="00C15E45" w:rsidRPr="00576AF8">
        <w:t xml:space="preserve"> </w:t>
      </w:r>
      <w:r w:rsidRPr="00576AF8">
        <w:t>______</w:t>
      </w:r>
      <w:r w:rsidR="00B314AF" w:rsidRPr="00576AF8">
        <w:t>___________</w:t>
      </w:r>
      <w:r w:rsidRPr="00576AF8">
        <w:t>_____</w:t>
      </w:r>
    </w:p>
    <w:p w14:paraId="2897CF97" w14:textId="77777777" w:rsidR="00BA4F46" w:rsidRPr="00576AF8" w:rsidRDefault="00BA4F46" w:rsidP="00B314AF">
      <w:pPr>
        <w:tabs>
          <w:tab w:val="left" w:pos="5954"/>
          <w:tab w:val="left" w:pos="9072"/>
        </w:tabs>
        <w:spacing w:before="120"/>
      </w:pPr>
      <w:r w:rsidRPr="00576AF8">
        <w:t xml:space="preserve">Nombre jurídico del miembro de la </w:t>
      </w:r>
      <w:r w:rsidR="000107E9" w:rsidRPr="00576AF8">
        <w:t>APCA</w:t>
      </w:r>
      <w:r w:rsidR="00B314AF" w:rsidRPr="00576AF8">
        <w:t>: __________</w:t>
      </w:r>
      <w:r w:rsidRPr="00576AF8">
        <w:t>___</w:t>
      </w:r>
      <w:r w:rsidRPr="00576AF8">
        <w:rPr>
          <w:i/>
        </w:rPr>
        <w:t xml:space="preserve"> </w:t>
      </w:r>
      <w:r w:rsidRPr="00576AF8">
        <w:tab/>
      </w:r>
      <w:r w:rsidR="00BB2041" w:rsidRPr="00576AF8">
        <w:t>SDO </w:t>
      </w:r>
      <w:r w:rsidRPr="00576AF8">
        <w:t>n.º:</w:t>
      </w:r>
      <w:r w:rsidR="00C15E45" w:rsidRPr="00576AF8">
        <w:t xml:space="preserve"> </w:t>
      </w:r>
      <w:r w:rsidR="0043323C" w:rsidRPr="00576AF8">
        <w:t>EC-L1257-P00015</w:t>
      </w:r>
    </w:p>
    <w:p w14:paraId="6303939E" w14:textId="77777777" w:rsidR="00BA4F46" w:rsidRPr="00576AF8" w:rsidRDefault="00BA4F46" w:rsidP="00B314AF">
      <w:pPr>
        <w:tabs>
          <w:tab w:val="right" w:pos="9000"/>
        </w:tabs>
        <w:spacing w:before="120" w:after="240"/>
        <w:jc w:val="right"/>
      </w:pPr>
      <w:r w:rsidRPr="00576AF8">
        <w:t>Página</w:t>
      </w:r>
      <w:r w:rsidR="00C15E45" w:rsidRPr="00576AF8">
        <w:t xml:space="preserve"> </w:t>
      </w:r>
      <w:r w:rsidRPr="00576AF8">
        <w:t>____ de ____ páginas</w:t>
      </w:r>
    </w:p>
    <w:p w14:paraId="1B430458" w14:textId="77777777" w:rsidR="00BA4F46" w:rsidRPr="00576AF8" w:rsidRDefault="00BA4F46" w:rsidP="00B314AF">
      <w:pPr>
        <w:spacing w:after="240"/>
      </w:pPr>
      <w:r w:rsidRPr="00576AF8">
        <w:t xml:space="preserve">Este formulario debe ser completado por el Licitante y, si se trata de una </w:t>
      </w:r>
      <w:r w:rsidR="000107E9" w:rsidRPr="00576AF8">
        <w:t>APCA</w:t>
      </w:r>
      <w:r w:rsidRPr="00576AF8">
        <w:t>, por cada miembro.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993"/>
        <w:gridCol w:w="992"/>
        <w:gridCol w:w="1134"/>
        <w:gridCol w:w="1134"/>
        <w:gridCol w:w="1134"/>
        <w:gridCol w:w="1276"/>
      </w:tblGrid>
      <w:tr w:rsidR="00BA4F46" w:rsidRPr="00576AF8" w14:paraId="114B875B" w14:textId="77777777" w:rsidTr="00BB24CF">
        <w:trPr>
          <w:cantSplit/>
          <w:trHeight w:val="200"/>
        </w:trPr>
        <w:tc>
          <w:tcPr>
            <w:tcW w:w="1838" w:type="dxa"/>
          </w:tcPr>
          <w:p w14:paraId="750A65AE" w14:textId="77777777" w:rsidR="00BA4F46" w:rsidRPr="00576AF8" w:rsidRDefault="00BA4F46" w:rsidP="00711EE1">
            <w:pPr>
              <w:pStyle w:val="Outline"/>
              <w:suppressAutoHyphens/>
              <w:spacing w:before="20" w:after="20"/>
              <w:jc w:val="center"/>
              <w:rPr>
                <w:b/>
                <w:spacing w:val="-2"/>
                <w:kern w:val="0"/>
                <w:sz w:val="20"/>
              </w:rPr>
            </w:pPr>
            <w:r w:rsidRPr="00576AF8">
              <w:rPr>
                <w:b/>
                <w:spacing w:val="-2"/>
                <w:kern w:val="0"/>
                <w:sz w:val="20"/>
              </w:rPr>
              <w:t xml:space="preserve">Información financiera en </w:t>
            </w:r>
            <w:r w:rsidR="00B314AF" w:rsidRPr="00576AF8">
              <w:rPr>
                <w:b/>
                <w:spacing w:val="-2"/>
                <w:kern w:val="0"/>
                <w:sz w:val="20"/>
              </w:rPr>
              <w:br/>
            </w:r>
            <w:r w:rsidRPr="00576AF8">
              <w:rPr>
                <w:b/>
                <w:spacing w:val="-2"/>
                <w:kern w:val="0"/>
                <w:sz w:val="20"/>
              </w:rPr>
              <w:t xml:space="preserve">el equivalente </w:t>
            </w:r>
            <w:r w:rsidR="00BB24CF" w:rsidRPr="00576AF8">
              <w:rPr>
                <w:b/>
                <w:spacing w:val="-2"/>
                <w:kern w:val="0"/>
                <w:sz w:val="20"/>
              </w:rPr>
              <w:br/>
            </w:r>
            <w:r w:rsidRPr="00576AF8">
              <w:rPr>
                <w:b/>
                <w:spacing w:val="-2"/>
                <w:kern w:val="0"/>
                <w:sz w:val="20"/>
              </w:rPr>
              <w:t>en USD</w:t>
            </w:r>
          </w:p>
        </w:tc>
        <w:tc>
          <w:tcPr>
            <w:tcW w:w="7655" w:type="dxa"/>
            <w:gridSpan w:val="7"/>
          </w:tcPr>
          <w:p w14:paraId="2AEBA984" w14:textId="77777777" w:rsidR="00BA4F46" w:rsidRPr="00576AF8" w:rsidRDefault="00BA4F46" w:rsidP="00711EE1">
            <w:pPr>
              <w:spacing w:before="20" w:after="20"/>
              <w:jc w:val="center"/>
              <w:rPr>
                <w:b/>
                <w:spacing w:val="-2"/>
                <w:sz w:val="20"/>
              </w:rPr>
            </w:pPr>
            <w:r w:rsidRPr="00576AF8">
              <w:rPr>
                <w:b/>
                <w:spacing w:val="-2"/>
                <w:sz w:val="20"/>
              </w:rPr>
              <w:t>Información histórica de los ______ (__) años anteriores</w:t>
            </w:r>
          </w:p>
          <w:p w14:paraId="2DD2F69C" w14:textId="77777777" w:rsidR="00BA4F46" w:rsidRPr="00576AF8" w:rsidRDefault="00BA4F46" w:rsidP="00711EE1">
            <w:pPr>
              <w:pStyle w:val="titulo"/>
              <w:suppressAutoHyphens/>
              <w:spacing w:before="20" w:after="20"/>
              <w:rPr>
                <w:rFonts w:ascii="Times New Roman" w:hAnsi="Times New Roman"/>
                <w:strike/>
                <w:spacing w:val="-2"/>
                <w:sz w:val="20"/>
              </w:rPr>
            </w:pPr>
            <w:r w:rsidRPr="00576AF8">
              <w:rPr>
                <w:rFonts w:ascii="Times New Roman" w:hAnsi="Times New Roman"/>
                <w:spacing w:val="-2"/>
                <w:sz w:val="20"/>
              </w:rPr>
              <w:t xml:space="preserve"> (equivalente en miles de USD)</w:t>
            </w:r>
          </w:p>
        </w:tc>
      </w:tr>
      <w:tr w:rsidR="00BA4F46" w:rsidRPr="00576AF8" w14:paraId="523EEEAD" w14:textId="77777777" w:rsidTr="00BB24CF">
        <w:trPr>
          <w:cantSplit/>
        </w:trPr>
        <w:tc>
          <w:tcPr>
            <w:tcW w:w="1838" w:type="dxa"/>
          </w:tcPr>
          <w:p w14:paraId="199468E1" w14:textId="77777777" w:rsidR="00BA4F46" w:rsidRPr="00576AF8" w:rsidRDefault="00BA4F46" w:rsidP="00711EE1">
            <w:pPr>
              <w:pStyle w:val="Subtitle2"/>
              <w:spacing w:before="20" w:after="20"/>
              <w:rPr>
                <w:sz w:val="20"/>
              </w:rPr>
            </w:pPr>
          </w:p>
        </w:tc>
        <w:tc>
          <w:tcPr>
            <w:tcW w:w="992" w:type="dxa"/>
          </w:tcPr>
          <w:p w14:paraId="6D8849C4" w14:textId="77777777" w:rsidR="00BA4F46" w:rsidRPr="00576AF8" w:rsidRDefault="00BA4F46" w:rsidP="00711EE1">
            <w:pPr>
              <w:pStyle w:val="Subtitle2"/>
              <w:spacing w:before="20" w:after="20"/>
              <w:rPr>
                <w:sz w:val="20"/>
              </w:rPr>
            </w:pPr>
            <w:r w:rsidRPr="00576AF8">
              <w:rPr>
                <w:sz w:val="20"/>
              </w:rPr>
              <w:t>Año 1</w:t>
            </w:r>
          </w:p>
        </w:tc>
        <w:tc>
          <w:tcPr>
            <w:tcW w:w="993" w:type="dxa"/>
          </w:tcPr>
          <w:p w14:paraId="2082CFBA" w14:textId="77777777" w:rsidR="00BA4F46" w:rsidRPr="00576AF8" w:rsidRDefault="00BA4F46" w:rsidP="00711EE1">
            <w:pPr>
              <w:pStyle w:val="Subtitle2"/>
              <w:spacing w:before="20" w:after="20"/>
              <w:rPr>
                <w:sz w:val="20"/>
              </w:rPr>
            </w:pPr>
            <w:r w:rsidRPr="00576AF8">
              <w:rPr>
                <w:sz w:val="20"/>
              </w:rPr>
              <w:t>Año 2</w:t>
            </w:r>
          </w:p>
        </w:tc>
        <w:tc>
          <w:tcPr>
            <w:tcW w:w="992" w:type="dxa"/>
          </w:tcPr>
          <w:p w14:paraId="5567DF39" w14:textId="77777777" w:rsidR="00BA4F46" w:rsidRPr="00576AF8" w:rsidRDefault="00BA4F46" w:rsidP="00711EE1">
            <w:pPr>
              <w:pStyle w:val="Subtitle2"/>
              <w:spacing w:before="20" w:after="20"/>
              <w:rPr>
                <w:sz w:val="20"/>
              </w:rPr>
            </w:pPr>
            <w:r w:rsidRPr="00576AF8">
              <w:rPr>
                <w:sz w:val="20"/>
              </w:rPr>
              <w:t>Año 3</w:t>
            </w:r>
          </w:p>
        </w:tc>
        <w:tc>
          <w:tcPr>
            <w:tcW w:w="1134" w:type="dxa"/>
          </w:tcPr>
          <w:p w14:paraId="0CEB6095" w14:textId="77777777" w:rsidR="00BA4F46" w:rsidRPr="00576AF8" w:rsidRDefault="00BA4F46" w:rsidP="00711EE1">
            <w:pPr>
              <w:pStyle w:val="Subtitle2"/>
              <w:spacing w:before="20" w:after="20"/>
              <w:rPr>
                <w:sz w:val="20"/>
              </w:rPr>
            </w:pPr>
            <w:r w:rsidRPr="00576AF8">
              <w:rPr>
                <w:sz w:val="20"/>
              </w:rPr>
              <w:t>Año...</w:t>
            </w:r>
          </w:p>
        </w:tc>
        <w:tc>
          <w:tcPr>
            <w:tcW w:w="1134" w:type="dxa"/>
          </w:tcPr>
          <w:p w14:paraId="3CE4E38F" w14:textId="77777777" w:rsidR="00BA4F46" w:rsidRPr="00576AF8" w:rsidRDefault="00BA4F46" w:rsidP="00711EE1">
            <w:pPr>
              <w:pStyle w:val="Subtitle2"/>
              <w:spacing w:before="20" w:after="20"/>
              <w:rPr>
                <w:sz w:val="20"/>
              </w:rPr>
            </w:pPr>
            <w:r w:rsidRPr="00576AF8">
              <w:rPr>
                <w:sz w:val="20"/>
              </w:rPr>
              <w:t>Año n</w:t>
            </w:r>
          </w:p>
        </w:tc>
        <w:tc>
          <w:tcPr>
            <w:tcW w:w="1134" w:type="dxa"/>
          </w:tcPr>
          <w:p w14:paraId="33FABDF7" w14:textId="77777777" w:rsidR="00BA4F46" w:rsidRPr="00576AF8" w:rsidRDefault="00BA4F46" w:rsidP="00711EE1">
            <w:pPr>
              <w:pStyle w:val="Subtitle2"/>
              <w:spacing w:before="20" w:after="20"/>
              <w:rPr>
                <w:sz w:val="20"/>
              </w:rPr>
            </w:pPr>
            <w:r w:rsidRPr="00576AF8">
              <w:rPr>
                <w:sz w:val="20"/>
              </w:rPr>
              <w:t>Promedio</w:t>
            </w:r>
          </w:p>
        </w:tc>
        <w:tc>
          <w:tcPr>
            <w:tcW w:w="1276" w:type="dxa"/>
          </w:tcPr>
          <w:p w14:paraId="35567E7A" w14:textId="77777777" w:rsidR="00BA4F46" w:rsidRPr="00576AF8" w:rsidRDefault="00BA4F46" w:rsidP="00711EE1">
            <w:pPr>
              <w:pStyle w:val="Subtitle2"/>
              <w:spacing w:before="20" w:after="20"/>
              <w:rPr>
                <w:strike/>
                <w:sz w:val="20"/>
              </w:rPr>
            </w:pPr>
            <w:r w:rsidRPr="00576AF8">
              <w:rPr>
                <w:sz w:val="20"/>
              </w:rPr>
              <w:t>Promedio Coeficiente</w:t>
            </w:r>
          </w:p>
        </w:tc>
      </w:tr>
      <w:tr w:rsidR="00BA4F46" w:rsidRPr="00576AF8" w14:paraId="5824168D" w14:textId="77777777" w:rsidTr="00BB24CF">
        <w:trPr>
          <w:cantSplit/>
        </w:trPr>
        <w:tc>
          <w:tcPr>
            <w:tcW w:w="9493" w:type="dxa"/>
            <w:gridSpan w:val="8"/>
          </w:tcPr>
          <w:p w14:paraId="53575350" w14:textId="77777777" w:rsidR="00BA4F46" w:rsidRPr="00576AF8" w:rsidRDefault="00BA4F46" w:rsidP="00711EE1">
            <w:pPr>
              <w:pStyle w:val="Subtitle2"/>
              <w:spacing w:before="20" w:after="20"/>
              <w:rPr>
                <w:sz w:val="20"/>
              </w:rPr>
            </w:pPr>
            <w:r w:rsidRPr="00576AF8">
              <w:rPr>
                <w:sz w:val="20"/>
              </w:rPr>
              <w:t>Información del balance general</w:t>
            </w:r>
          </w:p>
        </w:tc>
      </w:tr>
      <w:tr w:rsidR="00BA4F46" w:rsidRPr="00576AF8" w14:paraId="6A8F0F63" w14:textId="77777777" w:rsidTr="00BB24CF">
        <w:trPr>
          <w:cantSplit/>
          <w:trHeight w:val="494"/>
        </w:trPr>
        <w:tc>
          <w:tcPr>
            <w:tcW w:w="1838" w:type="dxa"/>
          </w:tcPr>
          <w:p w14:paraId="7B820E0A" w14:textId="77777777" w:rsidR="00BA4F46" w:rsidRPr="00576AF8" w:rsidRDefault="00BA4F46" w:rsidP="00711EE1">
            <w:pPr>
              <w:pStyle w:val="Subtitle2"/>
              <w:spacing w:before="20" w:after="20"/>
              <w:rPr>
                <w:sz w:val="20"/>
              </w:rPr>
            </w:pPr>
            <w:r w:rsidRPr="00576AF8">
              <w:rPr>
                <w:sz w:val="20"/>
              </w:rPr>
              <w:t>Activo total</w:t>
            </w:r>
          </w:p>
        </w:tc>
        <w:tc>
          <w:tcPr>
            <w:tcW w:w="992" w:type="dxa"/>
          </w:tcPr>
          <w:p w14:paraId="47618846" w14:textId="77777777" w:rsidR="00BA4F46" w:rsidRPr="00576AF8" w:rsidRDefault="00BA4F46" w:rsidP="00711EE1">
            <w:pPr>
              <w:pStyle w:val="Subtitle2"/>
              <w:spacing w:before="20" w:after="20"/>
              <w:rPr>
                <w:sz w:val="20"/>
              </w:rPr>
            </w:pPr>
          </w:p>
        </w:tc>
        <w:tc>
          <w:tcPr>
            <w:tcW w:w="993" w:type="dxa"/>
          </w:tcPr>
          <w:p w14:paraId="03B5BBFA" w14:textId="77777777" w:rsidR="00BA4F46" w:rsidRPr="00576AF8" w:rsidRDefault="00BA4F46" w:rsidP="00711EE1">
            <w:pPr>
              <w:pStyle w:val="Subtitle2"/>
              <w:spacing w:before="20" w:after="20"/>
              <w:rPr>
                <w:sz w:val="20"/>
              </w:rPr>
            </w:pPr>
          </w:p>
        </w:tc>
        <w:tc>
          <w:tcPr>
            <w:tcW w:w="992" w:type="dxa"/>
          </w:tcPr>
          <w:p w14:paraId="6DF9116D" w14:textId="77777777" w:rsidR="00BA4F46" w:rsidRPr="00576AF8" w:rsidRDefault="00BA4F46" w:rsidP="00711EE1">
            <w:pPr>
              <w:pStyle w:val="Subtitle2"/>
              <w:spacing w:before="20" w:after="20"/>
              <w:rPr>
                <w:sz w:val="20"/>
              </w:rPr>
            </w:pPr>
          </w:p>
        </w:tc>
        <w:tc>
          <w:tcPr>
            <w:tcW w:w="1134" w:type="dxa"/>
          </w:tcPr>
          <w:p w14:paraId="071E77DD" w14:textId="77777777" w:rsidR="00BA4F46" w:rsidRPr="00576AF8" w:rsidRDefault="00BA4F46" w:rsidP="00711EE1">
            <w:pPr>
              <w:pStyle w:val="Subtitle2"/>
              <w:spacing w:before="20" w:after="20"/>
              <w:rPr>
                <w:sz w:val="20"/>
              </w:rPr>
            </w:pPr>
          </w:p>
        </w:tc>
        <w:tc>
          <w:tcPr>
            <w:tcW w:w="1134" w:type="dxa"/>
          </w:tcPr>
          <w:p w14:paraId="36E9171A" w14:textId="77777777" w:rsidR="00BA4F46" w:rsidRPr="00576AF8" w:rsidRDefault="00BA4F46" w:rsidP="00711EE1">
            <w:pPr>
              <w:pStyle w:val="Subtitle2"/>
              <w:spacing w:before="20" w:after="20"/>
              <w:rPr>
                <w:sz w:val="20"/>
              </w:rPr>
            </w:pPr>
          </w:p>
        </w:tc>
        <w:tc>
          <w:tcPr>
            <w:tcW w:w="1134" w:type="dxa"/>
          </w:tcPr>
          <w:p w14:paraId="272814AB" w14:textId="77777777" w:rsidR="00BA4F46" w:rsidRPr="00576AF8" w:rsidRDefault="00BA4F46" w:rsidP="00711EE1">
            <w:pPr>
              <w:pStyle w:val="Subtitle2"/>
              <w:spacing w:before="20" w:after="20"/>
              <w:rPr>
                <w:sz w:val="20"/>
              </w:rPr>
            </w:pPr>
          </w:p>
        </w:tc>
        <w:tc>
          <w:tcPr>
            <w:tcW w:w="1276" w:type="dxa"/>
            <w:vMerge w:val="restart"/>
          </w:tcPr>
          <w:p w14:paraId="47AD9DE4" w14:textId="77777777" w:rsidR="00BA4F46" w:rsidRPr="00576AF8" w:rsidRDefault="00BA4F46" w:rsidP="00711EE1">
            <w:pPr>
              <w:pStyle w:val="Subtitle2"/>
              <w:spacing w:before="20" w:after="20"/>
              <w:rPr>
                <w:sz w:val="20"/>
              </w:rPr>
            </w:pPr>
          </w:p>
        </w:tc>
      </w:tr>
      <w:tr w:rsidR="00BA4F46" w:rsidRPr="00576AF8" w14:paraId="486DE81B" w14:textId="77777777" w:rsidTr="00BB24CF">
        <w:trPr>
          <w:cantSplit/>
          <w:trHeight w:val="530"/>
        </w:trPr>
        <w:tc>
          <w:tcPr>
            <w:tcW w:w="1838" w:type="dxa"/>
          </w:tcPr>
          <w:p w14:paraId="0D4E47D2" w14:textId="77777777" w:rsidR="00BA4F46" w:rsidRPr="00576AF8" w:rsidRDefault="00BA4F46" w:rsidP="00711EE1">
            <w:pPr>
              <w:pStyle w:val="Subtitle2"/>
              <w:spacing w:before="20" w:after="20"/>
              <w:rPr>
                <w:sz w:val="20"/>
              </w:rPr>
            </w:pPr>
            <w:r w:rsidRPr="00576AF8">
              <w:rPr>
                <w:sz w:val="20"/>
              </w:rPr>
              <w:t>Pasivo total</w:t>
            </w:r>
          </w:p>
        </w:tc>
        <w:tc>
          <w:tcPr>
            <w:tcW w:w="992" w:type="dxa"/>
          </w:tcPr>
          <w:p w14:paraId="0F260AA0" w14:textId="77777777" w:rsidR="00BA4F46" w:rsidRPr="00576AF8" w:rsidRDefault="00BA4F46" w:rsidP="00711EE1">
            <w:pPr>
              <w:pStyle w:val="Subtitle2"/>
              <w:spacing w:before="20" w:after="20"/>
              <w:rPr>
                <w:sz w:val="20"/>
              </w:rPr>
            </w:pPr>
          </w:p>
        </w:tc>
        <w:tc>
          <w:tcPr>
            <w:tcW w:w="993" w:type="dxa"/>
          </w:tcPr>
          <w:p w14:paraId="41724C9B" w14:textId="77777777" w:rsidR="00BA4F46" w:rsidRPr="00576AF8" w:rsidRDefault="00BA4F46" w:rsidP="00711EE1">
            <w:pPr>
              <w:pStyle w:val="Subtitle2"/>
              <w:spacing w:before="20" w:after="20"/>
              <w:rPr>
                <w:sz w:val="20"/>
              </w:rPr>
            </w:pPr>
          </w:p>
        </w:tc>
        <w:tc>
          <w:tcPr>
            <w:tcW w:w="992" w:type="dxa"/>
          </w:tcPr>
          <w:p w14:paraId="58F19DCA" w14:textId="77777777" w:rsidR="00BA4F46" w:rsidRPr="00576AF8" w:rsidRDefault="00BA4F46" w:rsidP="00711EE1">
            <w:pPr>
              <w:pStyle w:val="Subtitle2"/>
              <w:spacing w:before="20" w:after="20"/>
              <w:rPr>
                <w:sz w:val="20"/>
              </w:rPr>
            </w:pPr>
          </w:p>
        </w:tc>
        <w:tc>
          <w:tcPr>
            <w:tcW w:w="1134" w:type="dxa"/>
          </w:tcPr>
          <w:p w14:paraId="483F3329" w14:textId="77777777" w:rsidR="00BA4F46" w:rsidRPr="00576AF8" w:rsidRDefault="00BA4F46" w:rsidP="00711EE1">
            <w:pPr>
              <w:pStyle w:val="Subtitle2"/>
              <w:spacing w:before="20" w:after="20"/>
              <w:rPr>
                <w:sz w:val="20"/>
              </w:rPr>
            </w:pPr>
          </w:p>
        </w:tc>
        <w:tc>
          <w:tcPr>
            <w:tcW w:w="1134" w:type="dxa"/>
          </w:tcPr>
          <w:p w14:paraId="3B9A917F" w14:textId="77777777" w:rsidR="00BA4F46" w:rsidRPr="00576AF8" w:rsidRDefault="00BA4F46" w:rsidP="00711EE1">
            <w:pPr>
              <w:pStyle w:val="Subtitle2"/>
              <w:spacing w:before="20" w:after="20"/>
              <w:rPr>
                <w:sz w:val="20"/>
              </w:rPr>
            </w:pPr>
          </w:p>
        </w:tc>
        <w:tc>
          <w:tcPr>
            <w:tcW w:w="1134" w:type="dxa"/>
          </w:tcPr>
          <w:p w14:paraId="33CC9AAA" w14:textId="77777777" w:rsidR="00BA4F46" w:rsidRPr="00576AF8" w:rsidRDefault="00BA4F46" w:rsidP="00711EE1">
            <w:pPr>
              <w:pStyle w:val="Subtitle2"/>
              <w:spacing w:before="20" w:after="20"/>
              <w:rPr>
                <w:sz w:val="20"/>
              </w:rPr>
            </w:pPr>
          </w:p>
        </w:tc>
        <w:tc>
          <w:tcPr>
            <w:tcW w:w="1276" w:type="dxa"/>
            <w:vMerge/>
          </w:tcPr>
          <w:p w14:paraId="4B564A51" w14:textId="77777777" w:rsidR="00BA4F46" w:rsidRPr="00576AF8" w:rsidRDefault="00BA4F46" w:rsidP="00711EE1">
            <w:pPr>
              <w:pStyle w:val="Subtitle2"/>
              <w:spacing w:before="20" w:after="20"/>
              <w:rPr>
                <w:sz w:val="20"/>
              </w:rPr>
            </w:pPr>
          </w:p>
        </w:tc>
      </w:tr>
      <w:tr w:rsidR="00BA4F46" w:rsidRPr="00576AF8" w14:paraId="6CDA42BC" w14:textId="77777777" w:rsidTr="00BB24CF">
        <w:trPr>
          <w:cantSplit/>
          <w:trHeight w:val="539"/>
        </w:trPr>
        <w:tc>
          <w:tcPr>
            <w:tcW w:w="1838" w:type="dxa"/>
          </w:tcPr>
          <w:p w14:paraId="3B6E361D" w14:textId="77777777" w:rsidR="00BA4F46" w:rsidRPr="00576AF8" w:rsidRDefault="00BA4F46" w:rsidP="00711EE1">
            <w:pPr>
              <w:pStyle w:val="Subtitle2"/>
              <w:spacing w:before="20" w:after="20"/>
              <w:rPr>
                <w:sz w:val="20"/>
              </w:rPr>
            </w:pPr>
            <w:r w:rsidRPr="00576AF8">
              <w:rPr>
                <w:sz w:val="20"/>
              </w:rPr>
              <w:t>Patrimonio neto</w:t>
            </w:r>
          </w:p>
        </w:tc>
        <w:tc>
          <w:tcPr>
            <w:tcW w:w="992" w:type="dxa"/>
          </w:tcPr>
          <w:p w14:paraId="0E1EDC5E" w14:textId="77777777" w:rsidR="00BA4F46" w:rsidRPr="00576AF8" w:rsidRDefault="00BA4F46" w:rsidP="00711EE1">
            <w:pPr>
              <w:pStyle w:val="Subtitle2"/>
              <w:spacing w:before="20" w:after="20"/>
              <w:rPr>
                <w:sz w:val="20"/>
              </w:rPr>
            </w:pPr>
          </w:p>
        </w:tc>
        <w:tc>
          <w:tcPr>
            <w:tcW w:w="993" w:type="dxa"/>
          </w:tcPr>
          <w:p w14:paraId="50F8AFDB" w14:textId="77777777" w:rsidR="00BA4F46" w:rsidRPr="00576AF8" w:rsidRDefault="00BA4F46" w:rsidP="00711EE1">
            <w:pPr>
              <w:pStyle w:val="Subtitle2"/>
              <w:spacing w:before="20" w:after="20"/>
              <w:rPr>
                <w:sz w:val="20"/>
              </w:rPr>
            </w:pPr>
          </w:p>
        </w:tc>
        <w:tc>
          <w:tcPr>
            <w:tcW w:w="992" w:type="dxa"/>
          </w:tcPr>
          <w:p w14:paraId="6F7F36C1" w14:textId="77777777" w:rsidR="00BA4F46" w:rsidRPr="00576AF8" w:rsidRDefault="00BA4F46" w:rsidP="00711EE1">
            <w:pPr>
              <w:pStyle w:val="Subtitle2"/>
              <w:spacing w:before="20" w:after="20"/>
              <w:rPr>
                <w:sz w:val="20"/>
              </w:rPr>
            </w:pPr>
          </w:p>
        </w:tc>
        <w:tc>
          <w:tcPr>
            <w:tcW w:w="1134" w:type="dxa"/>
          </w:tcPr>
          <w:p w14:paraId="7E646DEA" w14:textId="77777777" w:rsidR="00BA4F46" w:rsidRPr="00576AF8" w:rsidRDefault="00BA4F46" w:rsidP="00711EE1">
            <w:pPr>
              <w:pStyle w:val="Subtitle2"/>
              <w:spacing w:before="20" w:after="20"/>
              <w:rPr>
                <w:sz w:val="20"/>
              </w:rPr>
            </w:pPr>
          </w:p>
        </w:tc>
        <w:tc>
          <w:tcPr>
            <w:tcW w:w="1134" w:type="dxa"/>
          </w:tcPr>
          <w:p w14:paraId="6DD9A81C" w14:textId="77777777" w:rsidR="00BA4F46" w:rsidRPr="00576AF8" w:rsidRDefault="00BA4F46" w:rsidP="00711EE1">
            <w:pPr>
              <w:pStyle w:val="Subtitle2"/>
              <w:spacing w:before="20" w:after="20"/>
              <w:rPr>
                <w:sz w:val="20"/>
              </w:rPr>
            </w:pPr>
          </w:p>
        </w:tc>
        <w:tc>
          <w:tcPr>
            <w:tcW w:w="1134" w:type="dxa"/>
          </w:tcPr>
          <w:p w14:paraId="52132EFC" w14:textId="77777777" w:rsidR="00BA4F46" w:rsidRPr="00576AF8" w:rsidRDefault="00BA4F46" w:rsidP="00711EE1">
            <w:pPr>
              <w:pStyle w:val="Subtitle2"/>
              <w:spacing w:before="20" w:after="20"/>
              <w:rPr>
                <w:sz w:val="20"/>
              </w:rPr>
            </w:pPr>
          </w:p>
        </w:tc>
        <w:tc>
          <w:tcPr>
            <w:tcW w:w="1276" w:type="dxa"/>
          </w:tcPr>
          <w:p w14:paraId="44FE5A48" w14:textId="77777777" w:rsidR="00BA4F46" w:rsidRPr="00576AF8" w:rsidRDefault="00BA4F46" w:rsidP="00711EE1">
            <w:pPr>
              <w:pStyle w:val="Subtitle2"/>
              <w:spacing w:before="20" w:after="20"/>
              <w:rPr>
                <w:sz w:val="20"/>
              </w:rPr>
            </w:pPr>
          </w:p>
        </w:tc>
      </w:tr>
      <w:tr w:rsidR="00BA4F46" w:rsidRPr="00576AF8" w14:paraId="3D1F5D31" w14:textId="77777777" w:rsidTr="00BB24CF">
        <w:trPr>
          <w:cantSplit/>
          <w:trHeight w:val="521"/>
        </w:trPr>
        <w:tc>
          <w:tcPr>
            <w:tcW w:w="1838" w:type="dxa"/>
          </w:tcPr>
          <w:p w14:paraId="0C3F2A8C" w14:textId="77777777" w:rsidR="00BA4F46" w:rsidRPr="00576AF8" w:rsidRDefault="00BA4F46" w:rsidP="00711EE1">
            <w:pPr>
              <w:pStyle w:val="Subtitle2"/>
              <w:spacing w:before="20" w:after="20"/>
              <w:rPr>
                <w:sz w:val="20"/>
              </w:rPr>
            </w:pPr>
            <w:r w:rsidRPr="00576AF8">
              <w:rPr>
                <w:sz w:val="20"/>
              </w:rPr>
              <w:t>Activo corriente</w:t>
            </w:r>
          </w:p>
        </w:tc>
        <w:tc>
          <w:tcPr>
            <w:tcW w:w="992" w:type="dxa"/>
          </w:tcPr>
          <w:p w14:paraId="6E500743" w14:textId="77777777" w:rsidR="00BA4F46" w:rsidRPr="00576AF8" w:rsidRDefault="00BA4F46" w:rsidP="00711EE1">
            <w:pPr>
              <w:pStyle w:val="Subtitle2"/>
              <w:spacing w:before="20" w:after="20"/>
              <w:rPr>
                <w:sz w:val="20"/>
              </w:rPr>
            </w:pPr>
          </w:p>
        </w:tc>
        <w:tc>
          <w:tcPr>
            <w:tcW w:w="993" w:type="dxa"/>
          </w:tcPr>
          <w:p w14:paraId="0F337D58" w14:textId="77777777" w:rsidR="00BA4F46" w:rsidRPr="00576AF8" w:rsidRDefault="00BA4F46" w:rsidP="00711EE1">
            <w:pPr>
              <w:pStyle w:val="Subtitle2"/>
              <w:spacing w:before="20" w:after="20"/>
              <w:rPr>
                <w:sz w:val="20"/>
              </w:rPr>
            </w:pPr>
          </w:p>
        </w:tc>
        <w:tc>
          <w:tcPr>
            <w:tcW w:w="992" w:type="dxa"/>
          </w:tcPr>
          <w:p w14:paraId="455C50F1" w14:textId="77777777" w:rsidR="00BA4F46" w:rsidRPr="00576AF8" w:rsidRDefault="00BA4F46" w:rsidP="00711EE1">
            <w:pPr>
              <w:pStyle w:val="Subtitle2"/>
              <w:spacing w:before="20" w:after="20"/>
              <w:rPr>
                <w:sz w:val="20"/>
              </w:rPr>
            </w:pPr>
          </w:p>
        </w:tc>
        <w:tc>
          <w:tcPr>
            <w:tcW w:w="1134" w:type="dxa"/>
          </w:tcPr>
          <w:p w14:paraId="0199FB55" w14:textId="77777777" w:rsidR="00BA4F46" w:rsidRPr="00576AF8" w:rsidRDefault="00BA4F46" w:rsidP="00711EE1">
            <w:pPr>
              <w:pStyle w:val="Subtitle2"/>
              <w:spacing w:before="20" w:after="20"/>
              <w:rPr>
                <w:sz w:val="20"/>
              </w:rPr>
            </w:pPr>
          </w:p>
        </w:tc>
        <w:tc>
          <w:tcPr>
            <w:tcW w:w="1134" w:type="dxa"/>
          </w:tcPr>
          <w:p w14:paraId="0B4B8DD3" w14:textId="77777777" w:rsidR="00BA4F46" w:rsidRPr="00576AF8" w:rsidRDefault="00BA4F46" w:rsidP="00711EE1">
            <w:pPr>
              <w:pStyle w:val="Subtitle2"/>
              <w:spacing w:before="20" w:after="20"/>
              <w:rPr>
                <w:sz w:val="20"/>
              </w:rPr>
            </w:pPr>
          </w:p>
        </w:tc>
        <w:tc>
          <w:tcPr>
            <w:tcW w:w="1134" w:type="dxa"/>
          </w:tcPr>
          <w:p w14:paraId="6C8C95FE" w14:textId="77777777" w:rsidR="00BA4F46" w:rsidRPr="00576AF8" w:rsidRDefault="00BA4F46" w:rsidP="00711EE1">
            <w:pPr>
              <w:pStyle w:val="Subtitle2"/>
              <w:spacing w:before="20" w:after="20"/>
              <w:rPr>
                <w:sz w:val="20"/>
              </w:rPr>
            </w:pPr>
          </w:p>
        </w:tc>
        <w:tc>
          <w:tcPr>
            <w:tcW w:w="1276" w:type="dxa"/>
            <w:vMerge w:val="restart"/>
          </w:tcPr>
          <w:p w14:paraId="68631B68" w14:textId="77777777" w:rsidR="00BA4F46" w:rsidRPr="00576AF8" w:rsidRDefault="00BA4F46" w:rsidP="00711EE1">
            <w:pPr>
              <w:pStyle w:val="Subtitle2"/>
              <w:spacing w:before="20" w:after="20"/>
              <w:rPr>
                <w:sz w:val="20"/>
              </w:rPr>
            </w:pPr>
          </w:p>
        </w:tc>
      </w:tr>
      <w:tr w:rsidR="00BA4F46" w:rsidRPr="00576AF8" w14:paraId="0C6C356B" w14:textId="77777777" w:rsidTr="00BB24CF">
        <w:trPr>
          <w:cantSplit/>
          <w:trHeight w:val="449"/>
        </w:trPr>
        <w:tc>
          <w:tcPr>
            <w:tcW w:w="1838" w:type="dxa"/>
          </w:tcPr>
          <w:p w14:paraId="7746F6AA" w14:textId="77777777" w:rsidR="00BA4F46" w:rsidRPr="00576AF8" w:rsidRDefault="00BA4F46" w:rsidP="00711EE1">
            <w:pPr>
              <w:pStyle w:val="Subtitle2"/>
              <w:spacing w:before="20" w:after="20"/>
              <w:rPr>
                <w:sz w:val="20"/>
              </w:rPr>
            </w:pPr>
            <w:r w:rsidRPr="00576AF8">
              <w:rPr>
                <w:sz w:val="20"/>
              </w:rPr>
              <w:t>Pasivo corriente</w:t>
            </w:r>
          </w:p>
        </w:tc>
        <w:tc>
          <w:tcPr>
            <w:tcW w:w="992" w:type="dxa"/>
          </w:tcPr>
          <w:p w14:paraId="7871DE1A" w14:textId="77777777" w:rsidR="00BA4F46" w:rsidRPr="00576AF8" w:rsidRDefault="00BA4F46" w:rsidP="00711EE1">
            <w:pPr>
              <w:pStyle w:val="Subtitle2"/>
              <w:spacing w:before="20" w:after="20"/>
              <w:rPr>
                <w:sz w:val="20"/>
              </w:rPr>
            </w:pPr>
          </w:p>
        </w:tc>
        <w:tc>
          <w:tcPr>
            <w:tcW w:w="993" w:type="dxa"/>
          </w:tcPr>
          <w:p w14:paraId="43627F82" w14:textId="77777777" w:rsidR="00BA4F46" w:rsidRPr="00576AF8" w:rsidRDefault="00BA4F46" w:rsidP="00711EE1">
            <w:pPr>
              <w:pStyle w:val="Subtitle2"/>
              <w:spacing w:before="20" w:after="20"/>
              <w:rPr>
                <w:sz w:val="20"/>
              </w:rPr>
            </w:pPr>
          </w:p>
        </w:tc>
        <w:tc>
          <w:tcPr>
            <w:tcW w:w="992" w:type="dxa"/>
          </w:tcPr>
          <w:p w14:paraId="34C28601" w14:textId="77777777" w:rsidR="00BA4F46" w:rsidRPr="00576AF8" w:rsidRDefault="00BA4F46" w:rsidP="00711EE1">
            <w:pPr>
              <w:pStyle w:val="Subtitle2"/>
              <w:spacing w:before="20" w:after="20"/>
              <w:rPr>
                <w:sz w:val="20"/>
              </w:rPr>
            </w:pPr>
          </w:p>
        </w:tc>
        <w:tc>
          <w:tcPr>
            <w:tcW w:w="1134" w:type="dxa"/>
          </w:tcPr>
          <w:p w14:paraId="259B9DCC" w14:textId="77777777" w:rsidR="00BA4F46" w:rsidRPr="00576AF8" w:rsidRDefault="00BA4F46" w:rsidP="00711EE1">
            <w:pPr>
              <w:pStyle w:val="Subtitle2"/>
              <w:spacing w:before="20" w:after="20"/>
              <w:rPr>
                <w:sz w:val="20"/>
              </w:rPr>
            </w:pPr>
          </w:p>
        </w:tc>
        <w:tc>
          <w:tcPr>
            <w:tcW w:w="1134" w:type="dxa"/>
          </w:tcPr>
          <w:p w14:paraId="5E014EE2" w14:textId="77777777" w:rsidR="00BA4F46" w:rsidRPr="00576AF8" w:rsidRDefault="00BA4F46" w:rsidP="00711EE1">
            <w:pPr>
              <w:pStyle w:val="Subtitle2"/>
              <w:spacing w:before="20" w:after="20"/>
              <w:rPr>
                <w:sz w:val="20"/>
              </w:rPr>
            </w:pPr>
          </w:p>
        </w:tc>
        <w:tc>
          <w:tcPr>
            <w:tcW w:w="1134" w:type="dxa"/>
          </w:tcPr>
          <w:p w14:paraId="733C21A5" w14:textId="77777777" w:rsidR="00BA4F46" w:rsidRPr="00576AF8" w:rsidRDefault="00BA4F46" w:rsidP="00711EE1">
            <w:pPr>
              <w:pStyle w:val="Subtitle2"/>
              <w:spacing w:before="20" w:after="20"/>
              <w:rPr>
                <w:sz w:val="20"/>
              </w:rPr>
            </w:pPr>
          </w:p>
        </w:tc>
        <w:tc>
          <w:tcPr>
            <w:tcW w:w="1276" w:type="dxa"/>
            <w:vMerge/>
          </w:tcPr>
          <w:p w14:paraId="64E3A635" w14:textId="77777777" w:rsidR="00BA4F46" w:rsidRPr="00576AF8" w:rsidRDefault="00BA4F46" w:rsidP="00711EE1">
            <w:pPr>
              <w:pStyle w:val="Subtitle2"/>
              <w:spacing w:before="20" w:after="20"/>
              <w:rPr>
                <w:sz w:val="20"/>
              </w:rPr>
            </w:pPr>
          </w:p>
        </w:tc>
      </w:tr>
      <w:tr w:rsidR="00BA4F46" w:rsidRPr="00576AF8" w14:paraId="6A1B5363" w14:textId="77777777" w:rsidTr="00BB24CF">
        <w:trPr>
          <w:cantSplit/>
        </w:trPr>
        <w:tc>
          <w:tcPr>
            <w:tcW w:w="9493" w:type="dxa"/>
            <w:gridSpan w:val="8"/>
          </w:tcPr>
          <w:p w14:paraId="2E4A0E82" w14:textId="77777777" w:rsidR="00BA4F46" w:rsidRPr="00576AF8" w:rsidRDefault="00BA4F46" w:rsidP="00711EE1">
            <w:pPr>
              <w:pStyle w:val="Subtitle2"/>
              <w:spacing w:before="20" w:after="20"/>
              <w:rPr>
                <w:sz w:val="20"/>
              </w:rPr>
            </w:pPr>
            <w:r w:rsidRPr="00576AF8">
              <w:rPr>
                <w:sz w:val="20"/>
              </w:rPr>
              <w:t>Información del estado de ingresos</w:t>
            </w:r>
          </w:p>
        </w:tc>
      </w:tr>
      <w:tr w:rsidR="00BA4F46" w:rsidRPr="00576AF8" w14:paraId="1F84B7A4" w14:textId="77777777" w:rsidTr="00BB24CF">
        <w:trPr>
          <w:cantSplit/>
          <w:trHeight w:val="548"/>
        </w:trPr>
        <w:tc>
          <w:tcPr>
            <w:tcW w:w="1838" w:type="dxa"/>
          </w:tcPr>
          <w:p w14:paraId="355AE5B7" w14:textId="77777777" w:rsidR="00BA4F46" w:rsidRPr="00576AF8" w:rsidRDefault="00BA4F46" w:rsidP="00711EE1">
            <w:pPr>
              <w:pStyle w:val="Subtitle2"/>
              <w:spacing w:before="20" w:after="20"/>
              <w:rPr>
                <w:sz w:val="20"/>
              </w:rPr>
            </w:pPr>
            <w:proofErr w:type="gramStart"/>
            <w:r w:rsidRPr="00576AF8">
              <w:rPr>
                <w:sz w:val="20"/>
              </w:rPr>
              <w:t>Total</w:t>
            </w:r>
            <w:proofErr w:type="gramEnd"/>
            <w:r w:rsidRPr="00576AF8">
              <w:rPr>
                <w:sz w:val="20"/>
              </w:rPr>
              <w:t xml:space="preserve"> de ingresos</w:t>
            </w:r>
          </w:p>
        </w:tc>
        <w:tc>
          <w:tcPr>
            <w:tcW w:w="992" w:type="dxa"/>
          </w:tcPr>
          <w:p w14:paraId="7B2B74C5" w14:textId="77777777" w:rsidR="00BA4F46" w:rsidRPr="00576AF8" w:rsidRDefault="00BA4F46" w:rsidP="00711EE1">
            <w:pPr>
              <w:pStyle w:val="Subtitle2"/>
              <w:spacing w:before="20" w:after="20"/>
              <w:rPr>
                <w:sz w:val="20"/>
              </w:rPr>
            </w:pPr>
          </w:p>
        </w:tc>
        <w:tc>
          <w:tcPr>
            <w:tcW w:w="993" w:type="dxa"/>
          </w:tcPr>
          <w:p w14:paraId="4D2B9ADC" w14:textId="77777777" w:rsidR="00BA4F46" w:rsidRPr="00576AF8" w:rsidRDefault="00BA4F46" w:rsidP="00711EE1">
            <w:pPr>
              <w:pStyle w:val="Subtitle2"/>
              <w:spacing w:before="20" w:after="20"/>
              <w:rPr>
                <w:sz w:val="20"/>
              </w:rPr>
            </w:pPr>
          </w:p>
        </w:tc>
        <w:tc>
          <w:tcPr>
            <w:tcW w:w="992" w:type="dxa"/>
          </w:tcPr>
          <w:p w14:paraId="1CE0B5FA" w14:textId="77777777" w:rsidR="00BA4F46" w:rsidRPr="00576AF8" w:rsidRDefault="00BA4F46" w:rsidP="00711EE1">
            <w:pPr>
              <w:pStyle w:val="Subtitle2"/>
              <w:spacing w:before="20" w:after="20"/>
              <w:rPr>
                <w:sz w:val="20"/>
              </w:rPr>
            </w:pPr>
          </w:p>
        </w:tc>
        <w:tc>
          <w:tcPr>
            <w:tcW w:w="1134" w:type="dxa"/>
          </w:tcPr>
          <w:p w14:paraId="73B1F94E" w14:textId="77777777" w:rsidR="00BA4F46" w:rsidRPr="00576AF8" w:rsidRDefault="00BA4F46" w:rsidP="00711EE1">
            <w:pPr>
              <w:pStyle w:val="Subtitle2"/>
              <w:spacing w:before="20" w:after="20"/>
              <w:rPr>
                <w:sz w:val="20"/>
              </w:rPr>
            </w:pPr>
          </w:p>
        </w:tc>
        <w:tc>
          <w:tcPr>
            <w:tcW w:w="1134" w:type="dxa"/>
          </w:tcPr>
          <w:p w14:paraId="0DB61C1A" w14:textId="77777777" w:rsidR="00BA4F46" w:rsidRPr="00576AF8" w:rsidRDefault="00BA4F46" w:rsidP="00711EE1">
            <w:pPr>
              <w:pStyle w:val="Subtitle2"/>
              <w:spacing w:before="20" w:after="20"/>
              <w:rPr>
                <w:sz w:val="20"/>
              </w:rPr>
            </w:pPr>
          </w:p>
        </w:tc>
        <w:tc>
          <w:tcPr>
            <w:tcW w:w="1134" w:type="dxa"/>
          </w:tcPr>
          <w:p w14:paraId="1E60C12D" w14:textId="77777777" w:rsidR="00BA4F46" w:rsidRPr="00576AF8" w:rsidRDefault="00BA4F46" w:rsidP="00711EE1">
            <w:pPr>
              <w:pStyle w:val="Subtitle2"/>
              <w:spacing w:before="20" w:after="20"/>
              <w:rPr>
                <w:sz w:val="20"/>
              </w:rPr>
            </w:pPr>
          </w:p>
        </w:tc>
        <w:tc>
          <w:tcPr>
            <w:tcW w:w="1276" w:type="dxa"/>
            <w:vMerge w:val="restart"/>
          </w:tcPr>
          <w:p w14:paraId="00DFA9E0" w14:textId="77777777" w:rsidR="00BA4F46" w:rsidRPr="00576AF8" w:rsidRDefault="00BA4F46" w:rsidP="00711EE1">
            <w:pPr>
              <w:pStyle w:val="Subtitle2"/>
              <w:spacing w:before="20" w:after="20"/>
              <w:rPr>
                <w:sz w:val="20"/>
              </w:rPr>
            </w:pPr>
          </w:p>
        </w:tc>
      </w:tr>
      <w:tr w:rsidR="00BA4F46" w:rsidRPr="00576AF8" w14:paraId="56083B5F" w14:textId="77777777" w:rsidTr="00BB24CF">
        <w:trPr>
          <w:cantSplit/>
          <w:trHeight w:val="440"/>
        </w:trPr>
        <w:tc>
          <w:tcPr>
            <w:tcW w:w="1838" w:type="dxa"/>
          </w:tcPr>
          <w:p w14:paraId="4185CA13" w14:textId="77777777" w:rsidR="00BA4F46" w:rsidRPr="00576AF8" w:rsidRDefault="00BA4F46" w:rsidP="00711EE1">
            <w:pPr>
              <w:pStyle w:val="Subtitle2"/>
              <w:spacing w:before="20" w:after="20"/>
              <w:rPr>
                <w:sz w:val="20"/>
              </w:rPr>
            </w:pPr>
            <w:r w:rsidRPr="00576AF8">
              <w:rPr>
                <w:sz w:val="20"/>
              </w:rPr>
              <w:t xml:space="preserve">Utilidades antes </w:t>
            </w:r>
            <w:r w:rsidR="00BB24CF" w:rsidRPr="00576AF8">
              <w:rPr>
                <w:sz w:val="20"/>
              </w:rPr>
              <w:br/>
            </w:r>
            <w:r w:rsidRPr="00576AF8">
              <w:rPr>
                <w:sz w:val="20"/>
              </w:rPr>
              <w:t>de impuestos</w:t>
            </w:r>
          </w:p>
        </w:tc>
        <w:tc>
          <w:tcPr>
            <w:tcW w:w="992" w:type="dxa"/>
          </w:tcPr>
          <w:p w14:paraId="44A6026C" w14:textId="77777777" w:rsidR="00BA4F46" w:rsidRPr="00576AF8" w:rsidRDefault="00BA4F46" w:rsidP="00711EE1">
            <w:pPr>
              <w:pStyle w:val="Subtitle2"/>
              <w:spacing w:before="20" w:after="20"/>
              <w:rPr>
                <w:sz w:val="20"/>
              </w:rPr>
            </w:pPr>
          </w:p>
        </w:tc>
        <w:tc>
          <w:tcPr>
            <w:tcW w:w="993" w:type="dxa"/>
          </w:tcPr>
          <w:p w14:paraId="2FB7BE5B" w14:textId="77777777" w:rsidR="00BA4F46" w:rsidRPr="00576AF8" w:rsidRDefault="00BA4F46" w:rsidP="00711EE1">
            <w:pPr>
              <w:pStyle w:val="Subtitle2"/>
              <w:spacing w:before="20" w:after="20"/>
              <w:rPr>
                <w:sz w:val="20"/>
              </w:rPr>
            </w:pPr>
          </w:p>
        </w:tc>
        <w:tc>
          <w:tcPr>
            <w:tcW w:w="992" w:type="dxa"/>
          </w:tcPr>
          <w:p w14:paraId="370E69B9" w14:textId="77777777" w:rsidR="00BA4F46" w:rsidRPr="00576AF8" w:rsidRDefault="00BA4F46" w:rsidP="00711EE1">
            <w:pPr>
              <w:pStyle w:val="Subtitle2"/>
              <w:spacing w:before="20" w:after="20"/>
              <w:rPr>
                <w:sz w:val="20"/>
              </w:rPr>
            </w:pPr>
          </w:p>
        </w:tc>
        <w:tc>
          <w:tcPr>
            <w:tcW w:w="1134" w:type="dxa"/>
          </w:tcPr>
          <w:p w14:paraId="3EFAAEAE" w14:textId="77777777" w:rsidR="00BA4F46" w:rsidRPr="00576AF8" w:rsidRDefault="00BA4F46" w:rsidP="00711EE1">
            <w:pPr>
              <w:pStyle w:val="Subtitle2"/>
              <w:spacing w:before="20" w:after="20"/>
              <w:rPr>
                <w:sz w:val="20"/>
              </w:rPr>
            </w:pPr>
          </w:p>
        </w:tc>
        <w:tc>
          <w:tcPr>
            <w:tcW w:w="1134" w:type="dxa"/>
          </w:tcPr>
          <w:p w14:paraId="320C2633" w14:textId="77777777" w:rsidR="00BA4F46" w:rsidRPr="00576AF8" w:rsidRDefault="00BA4F46" w:rsidP="00711EE1">
            <w:pPr>
              <w:pStyle w:val="Subtitle2"/>
              <w:spacing w:before="20" w:after="20"/>
              <w:rPr>
                <w:sz w:val="20"/>
              </w:rPr>
            </w:pPr>
          </w:p>
        </w:tc>
        <w:tc>
          <w:tcPr>
            <w:tcW w:w="1134" w:type="dxa"/>
          </w:tcPr>
          <w:p w14:paraId="172235F7" w14:textId="77777777" w:rsidR="00BA4F46" w:rsidRPr="00576AF8" w:rsidRDefault="00BA4F46" w:rsidP="00711EE1">
            <w:pPr>
              <w:pStyle w:val="Subtitle2"/>
              <w:spacing w:before="20" w:after="20"/>
              <w:rPr>
                <w:sz w:val="20"/>
              </w:rPr>
            </w:pPr>
          </w:p>
        </w:tc>
        <w:tc>
          <w:tcPr>
            <w:tcW w:w="1276" w:type="dxa"/>
            <w:vMerge/>
          </w:tcPr>
          <w:p w14:paraId="167D0A7E" w14:textId="77777777" w:rsidR="00BA4F46" w:rsidRPr="00576AF8" w:rsidRDefault="00BA4F46" w:rsidP="00711EE1">
            <w:pPr>
              <w:pStyle w:val="Subtitle2"/>
              <w:spacing w:before="20" w:after="20"/>
              <w:rPr>
                <w:sz w:val="20"/>
              </w:rPr>
            </w:pPr>
          </w:p>
        </w:tc>
      </w:tr>
      <w:tr w:rsidR="00BA4F46" w:rsidRPr="00576AF8" w14:paraId="1CF2EE1D" w14:textId="77777777" w:rsidTr="00BB24CF">
        <w:trPr>
          <w:cantSplit/>
        </w:trPr>
        <w:tc>
          <w:tcPr>
            <w:tcW w:w="9493" w:type="dxa"/>
            <w:gridSpan w:val="8"/>
          </w:tcPr>
          <w:p w14:paraId="14DA7CD0" w14:textId="77777777" w:rsidR="00BA4F46" w:rsidRPr="00576AF8" w:rsidRDefault="00BA4F46" w:rsidP="00803EC1">
            <w:pPr>
              <w:pStyle w:val="Subtitle2"/>
              <w:rPr>
                <w:sz w:val="20"/>
              </w:rPr>
            </w:pPr>
          </w:p>
        </w:tc>
      </w:tr>
    </w:tbl>
    <w:p w14:paraId="2EA58B01" w14:textId="77777777" w:rsidR="00BA4F46" w:rsidRPr="00576AF8" w:rsidRDefault="00BA4F46" w:rsidP="00B314AF">
      <w:pPr>
        <w:spacing w:before="240"/>
      </w:pPr>
      <w:r w:rsidRPr="00576AF8">
        <w:t>Se adjunta</w:t>
      </w:r>
      <w:r w:rsidR="002B4BE9" w:rsidRPr="00576AF8">
        <w:t>n</w:t>
      </w:r>
      <w:r w:rsidRPr="00576AF8">
        <w:t xml:space="preserve"> copias de los estados financieros (balances generales, incluidas todas las notas relacionadas, y estados de resultados) correspondientes a los años indicados anteriormente, en cumplimiento de las siguientes condiciones:</w:t>
      </w:r>
    </w:p>
    <w:p w14:paraId="1FD26F3F" w14:textId="77777777" w:rsidR="00BA4F46" w:rsidRPr="00576AF8" w:rsidRDefault="00BA4F46">
      <w:pPr>
        <w:pStyle w:val="Prrafodelista"/>
        <w:numPr>
          <w:ilvl w:val="0"/>
          <w:numId w:val="42"/>
        </w:numPr>
      </w:pPr>
      <w:r w:rsidRPr="00576AF8">
        <w:t xml:space="preserve">Deben reflejar la situación financiera del Licitante o miembro de una </w:t>
      </w:r>
      <w:r w:rsidR="000107E9" w:rsidRPr="00576AF8">
        <w:t>APCA</w:t>
      </w:r>
      <w:r w:rsidRPr="00576AF8">
        <w:t>, y no de empresas matrices o asociadas.</w:t>
      </w:r>
    </w:p>
    <w:p w14:paraId="67027B1B" w14:textId="77777777" w:rsidR="00BA4F46" w:rsidRPr="00576AF8" w:rsidRDefault="00BA4F46">
      <w:pPr>
        <w:pStyle w:val="Prrafodelista"/>
        <w:numPr>
          <w:ilvl w:val="0"/>
          <w:numId w:val="42"/>
        </w:numPr>
      </w:pPr>
      <w:r w:rsidRPr="00576AF8">
        <w:t>Los estados financieros históricos deben ser auditados por un contador certificado.</w:t>
      </w:r>
    </w:p>
    <w:p w14:paraId="6539B5FD" w14:textId="77777777" w:rsidR="00BA4F46" w:rsidRPr="00576AF8" w:rsidRDefault="00BA4F46">
      <w:pPr>
        <w:pStyle w:val="Prrafodelista"/>
        <w:numPr>
          <w:ilvl w:val="0"/>
          <w:numId w:val="42"/>
        </w:numPr>
      </w:pPr>
      <w:r w:rsidRPr="00576AF8">
        <w:t>Los estados financieros históricos deben estar completos, incluidas todas las notas de los estados financieros.</w:t>
      </w:r>
    </w:p>
    <w:p w14:paraId="72079C6C" w14:textId="77777777" w:rsidR="00BA4F46" w:rsidRPr="00576AF8" w:rsidRDefault="00BA4F46">
      <w:pPr>
        <w:pStyle w:val="Prrafodelista"/>
        <w:numPr>
          <w:ilvl w:val="0"/>
          <w:numId w:val="42"/>
        </w:numPr>
      </w:pPr>
      <w:r w:rsidRPr="00576AF8">
        <w:t>Los estados financieros históricos deben corresponder a períodos contables ya completados y auditados (no se exigirán ni aceptarán e</w:t>
      </w:r>
      <w:r w:rsidR="00A62A3F" w:rsidRPr="00576AF8">
        <w:t>stados de períodos parciales).</w:t>
      </w:r>
    </w:p>
    <w:p w14:paraId="2908E28E" w14:textId="77777777" w:rsidR="00BA4F46" w:rsidRPr="00576AF8" w:rsidRDefault="00BA4F46" w:rsidP="00275E0F">
      <w:pPr>
        <w:suppressAutoHyphens w:val="0"/>
        <w:spacing w:after="0"/>
        <w:jc w:val="center"/>
        <w:rPr>
          <w:b/>
        </w:rPr>
      </w:pPr>
      <w:r w:rsidRPr="00576AF8">
        <w:br w:type="page"/>
      </w:r>
      <w:r w:rsidRPr="00576AF8">
        <w:rPr>
          <w:b/>
          <w:sz w:val="36"/>
        </w:rPr>
        <w:lastRenderedPageBreak/>
        <w:t xml:space="preserve">Formulario FIN – </w:t>
      </w:r>
      <w:r w:rsidR="00A0389B" w:rsidRPr="00576AF8">
        <w:rPr>
          <w:b/>
          <w:sz w:val="36"/>
        </w:rPr>
        <w:t>5</w:t>
      </w:r>
      <w:r w:rsidRPr="00576AF8">
        <w:rPr>
          <w:b/>
          <w:sz w:val="36"/>
        </w:rPr>
        <w:t>.3.2</w:t>
      </w:r>
    </w:p>
    <w:p w14:paraId="54E83D39" w14:textId="77777777" w:rsidR="00BA4F46" w:rsidRPr="00576AF8" w:rsidRDefault="00BA4F46" w:rsidP="002D3400">
      <w:pPr>
        <w:pStyle w:val="TOC3-2"/>
      </w:pPr>
      <w:bookmarkStart w:id="469" w:name="_Toc454958449"/>
      <w:bookmarkStart w:id="470" w:name="_Toc476309232"/>
      <w:r w:rsidRPr="00576AF8">
        <w:t xml:space="preserve">Facturación </w:t>
      </w:r>
      <w:r w:rsidR="005E641B" w:rsidRPr="00576AF8">
        <w:t xml:space="preserve">Media </w:t>
      </w:r>
      <w:bookmarkEnd w:id="469"/>
      <w:bookmarkEnd w:id="470"/>
      <w:r w:rsidR="005E641B" w:rsidRPr="00576AF8">
        <w:t>Anual</w:t>
      </w:r>
    </w:p>
    <w:p w14:paraId="6C81932A" w14:textId="77777777" w:rsidR="00BA4F46" w:rsidRPr="00576AF8" w:rsidRDefault="00BA4F46" w:rsidP="00BA4F46">
      <w:pPr>
        <w:tabs>
          <w:tab w:val="right" w:pos="9000"/>
          <w:tab w:val="right" w:pos="9630"/>
        </w:tabs>
      </w:pPr>
    </w:p>
    <w:p w14:paraId="41F79BD5" w14:textId="77777777" w:rsidR="00BA4F46" w:rsidRPr="00576AF8" w:rsidRDefault="00BA4F46" w:rsidP="00BB24CF">
      <w:pPr>
        <w:tabs>
          <w:tab w:val="left" w:pos="5812"/>
          <w:tab w:val="right" w:pos="9356"/>
        </w:tabs>
      </w:pPr>
      <w:r w:rsidRPr="00576AF8">
        <w:t>Nombre jurídico del Licitante:</w:t>
      </w:r>
      <w:r w:rsidR="00C15E45" w:rsidRPr="00576AF8">
        <w:t xml:space="preserve"> </w:t>
      </w:r>
      <w:r w:rsidR="00BB24CF" w:rsidRPr="00576AF8">
        <w:t>________________</w:t>
      </w:r>
      <w:r w:rsidRPr="00576AF8">
        <w:t>______</w:t>
      </w:r>
      <w:r w:rsidR="00BB24CF" w:rsidRPr="00576AF8">
        <w:tab/>
      </w:r>
      <w:r w:rsidRPr="00576AF8">
        <w:t>Fecha:</w:t>
      </w:r>
      <w:r w:rsidR="00C15E45" w:rsidRPr="00576AF8">
        <w:t xml:space="preserve"> </w:t>
      </w:r>
      <w:r w:rsidRPr="00576AF8">
        <w:t>___________</w:t>
      </w:r>
      <w:r w:rsidR="00BB24CF" w:rsidRPr="00576AF8">
        <w:t>__</w:t>
      </w:r>
      <w:r w:rsidRPr="00576AF8">
        <w:t>__________</w:t>
      </w:r>
    </w:p>
    <w:p w14:paraId="532211AB" w14:textId="77777777" w:rsidR="00BA4F46" w:rsidRPr="00576AF8" w:rsidRDefault="00BA4F46" w:rsidP="00BB24CF">
      <w:pPr>
        <w:tabs>
          <w:tab w:val="left" w:pos="5812"/>
          <w:tab w:val="right" w:pos="9356"/>
        </w:tabs>
      </w:pPr>
      <w:r w:rsidRPr="00576AF8">
        <w:t xml:space="preserve">Nombre jurídico del miembro de la </w:t>
      </w:r>
      <w:r w:rsidR="000107E9" w:rsidRPr="00576AF8">
        <w:t>APCA</w:t>
      </w:r>
      <w:r w:rsidR="00BB24CF" w:rsidRPr="00576AF8">
        <w:t>: ______</w:t>
      </w:r>
      <w:r w:rsidRPr="00576AF8">
        <w:t>______</w:t>
      </w:r>
      <w:r w:rsidR="00D310A5" w:rsidRPr="00576AF8">
        <w:t xml:space="preserve"> </w:t>
      </w:r>
      <w:r w:rsidRPr="00576AF8">
        <w:tab/>
      </w:r>
      <w:r w:rsidR="00BB2041" w:rsidRPr="00576AF8">
        <w:t xml:space="preserve">SDO </w:t>
      </w:r>
      <w:r w:rsidRPr="00576AF8">
        <w:t>n.º:</w:t>
      </w:r>
      <w:r w:rsidR="00C15E45" w:rsidRPr="00576AF8">
        <w:t xml:space="preserve"> </w:t>
      </w:r>
      <w:r w:rsidR="0043323C" w:rsidRPr="00576AF8">
        <w:t>EC-L1257-P00015</w:t>
      </w:r>
    </w:p>
    <w:p w14:paraId="5D0CBE69" w14:textId="77777777" w:rsidR="00BA4F46" w:rsidRPr="00576AF8" w:rsidRDefault="00BA4F46" w:rsidP="00BB24CF">
      <w:pPr>
        <w:tabs>
          <w:tab w:val="right" w:pos="9630"/>
        </w:tabs>
      </w:pPr>
      <w:r w:rsidRPr="00576AF8">
        <w:tab/>
        <w:t>Página</w:t>
      </w:r>
      <w:r w:rsidR="00C15E45" w:rsidRPr="00576AF8">
        <w:t xml:space="preserve"> </w:t>
      </w:r>
      <w:r w:rsidRPr="00576AF8">
        <w:t>____ de ____ páginas</w:t>
      </w:r>
    </w:p>
    <w:p w14:paraId="4CF1B48F" w14:textId="77777777" w:rsidR="00BA4F46" w:rsidRPr="00576AF8" w:rsidRDefault="00BA4F46" w:rsidP="00BA4F46">
      <w:pPr>
        <w:rPr>
          <w:spacing w:val="-2"/>
        </w:rPr>
      </w:pPr>
    </w:p>
    <w:tbl>
      <w:tblPr>
        <w:tblW w:w="9270" w:type="dxa"/>
        <w:jc w:val="center"/>
        <w:tblLayout w:type="fixed"/>
        <w:tblCellMar>
          <w:left w:w="72" w:type="dxa"/>
          <w:right w:w="72" w:type="dxa"/>
        </w:tblCellMar>
        <w:tblLook w:val="0000" w:firstRow="0" w:lastRow="0" w:firstColumn="0" w:lastColumn="0" w:noHBand="0" w:noVBand="0"/>
      </w:tblPr>
      <w:tblGrid>
        <w:gridCol w:w="1693"/>
        <w:gridCol w:w="4967"/>
        <w:gridCol w:w="2610"/>
      </w:tblGrid>
      <w:tr w:rsidR="00BA4F46" w:rsidRPr="00576AF8" w14:paraId="36ECBDDF" w14:textId="77777777" w:rsidTr="00803EC1">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6FA8B9CC" w14:textId="77777777" w:rsidR="00BA4F46" w:rsidRPr="00576AF8" w:rsidRDefault="00BA4F46" w:rsidP="00803EC1">
            <w:pPr>
              <w:pStyle w:val="Textoindependiente"/>
              <w:jc w:val="center"/>
              <w:rPr>
                <w:b/>
              </w:rPr>
            </w:pPr>
            <w:r w:rsidRPr="00576AF8">
              <w:rPr>
                <w:b/>
              </w:rPr>
              <w:t>Facturación anual (solo las actividades pertinentes)</w:t>
            </w:r>
          </w:p>
        </w:tc>
      </w:tr>
      <w:tr w:rsidR="00BA4F46" w:rsidRPr="00576AF8" w14:paraId="0DF686B9" w14:textId="77777777" w:rsidTr="00BB24CF">
        <w:trPr>
          <w:cantSplit/>
          <w:jc w:val="center"/>
        </w:trPr>
        <w:tc>
          <w:tcPr>
            <w:tcW w:w="1693" w:type="dxa"/>
            <w:tcBorders>
              <w:top w:val="single" w:sz="6" w:space="0" w:color="auto"/>
              <w:left w:val="single" w:sz="6" w:space="0" w:color="auto"/>
            </w:tcBorders>
          </w:tcPr>
          <w:p w14:paraId="333CEA1B" w14:textId="77777777" w:rsidR="00BA4F46" w:rsidRPr="00576AF8" w:rsidRDefault="00BA4F46" w:rsidP="00803EC1">
            <w:pPr>
              <w:pStyle w:val="Textoindependiente"/>
              <w:jc w:val="center"/>
            </w:pPr>
            <w:r w:rsidRPr="00576AF8">
              <w:t>Año</w:t>
            </w:r>
          </w:p>
        </w:tc>
        <w:tc>
          <w:tcPr>
            <w:tcW w:w="4967" w:type="dxa"/>
            <w:tcBorders>
              <w:top w:val="single" w:sz="6" w:space="0" w:color="auto"/>
              <w:left w:val="single" w:sz="6" w:space="0" w:color="auto"/>
            </w:tcBorders>
          </w:tcPr>
          <w:p w14:paraId="42EDDC55" w14:textId="77777777" w:rsidR="00BA4F46" w:rsidRPr="00576AF8" w:rsidRDefault="00BA4F46" w:rsidP="00803EC1">
            <w:pPr>
              <w:pStyle w:val="Textoindependiente"/>
              <w:jc w:val="center"/>
            </w:pPr>
            <w:r w:rsidRPr="00576AF8">
              <w:t>Monto y moneda</w:t>
            </w:r>
          </w:p>
        </w:tc>
        <w:tc>
          <w:tcPr>
            <w:tcW w:w="2610" w:type="dxa"/>
            <w:tcBorders>
              <w:top w:val="single" w:sz="6" w:space="0" w:color="auto"/>
              <w:left w:val="single" w:sz="6" w:space="0" w:color="auto"/>
              <w:right w:val="single" w:sz="6" w:space="0" w:color="auto"/>
            </w:tcBorders>
          </w:tcPr>
          <w:p w14:paraId="3A2A9081" w14:textId="77777777" w:rsidR="00BA4F46" w:rsidRPr="00576AF8" w:rsidRDefault="00BA4F46" w:rsidP="00803EC1">
            <w:pPr>
              <w:pStyle w:val="Textoindependiente"/>
              <w:jc w:val="center"/>
            </w:pPr>
            <w:r w:rsidRPr="00576AF8">
              <w:t>Equivalente en USD</w:t>
            </w:r>
          </w:p>
        </w:tc>
      </w:tr>
      <w:tr w:rsidR="00BA4F46" w:rsidRPr="00576AF8" w14:paraId="09463036" w14:textId="77777777" w:rsidTr="00BB24CF">
        <w:trPr>
          <w:cantSplit/>
          <w:jc w:val="center"/>
        </w:trPr>
        <w:tc>
          <w:tcPr>
            <w:tcW w:w="1693" w:type="dxa"/>
            <w:tcBorders>
              <w:top w:val="single" w:sz="6" w:space="0" w:color="auto"/>
              <w:left w:val="single" w:sz="6" w:space="0" w:color="auto"/>
            </w:tcBorders>
          </w:tcPr>
          <w:p w14:paraId="459B2339" w14:textId="77777777" w:rsidR="00BA4F46" w:rsidRPr="00576AF8" w:rsidRDefault="00BA4F46" w:rsidP="00803EC1">
            <w:pPr>
              <w:pStyle w:val="Textoindependiente"/>
            </w:pPr>
          </w:p>
        </w:tc>
        <w:tc>
          <w:tcPr>
            <w:tcW w:w="4967" w:type="dxa"/>
            <w:tcBorders>
              <w:top w:val="single" w:sz="6" w:space="0" w:color="auto"/>
              <w:left w:val="single" w:sz="6" w:space="0" w:color="auto"/>
            </w:tcBorders>
          </w:tcPr>
          <w:p w14:paraId="6BA32E80" w14:textId="77777777" w:rsidR="00BA4F46" w:rsidRPr="00576AF8" w:rsidRDefault="00BB24CF" w:rsidP="00803EC1">
            <w:pPr>
              <w:pStyle w:val="Textoindependiente"/>
              <w:spacing w:before="60" w:after="60"/>
            </w:pPr>
            <w:r w:rsidRPr="00576AF8">
              <w:t>_______</w:t>
            </w:r>
            <w:r w:rsidR="00BA4F46" w:rsidRPr="00576AF8">
              <w:t>_________________________________</w:t>
            </w:r>
          </w:p>
        </w:tc>
        <w:tc>
          <w:tcPr>
            <w:tcW w:w="2610" w:type="dxa"/>
            <w:tcBorders>
              <w:top w:val="single" w:sz="6" w:space="0" w:color="auto"/>
              <w:left w:val="single" w:sz="6" w:space="0" w:color="auto"/>
              <w:right w:val="single" w:sz="6" w:space="0" w:color="auto"/>
            </w:tcBorders>
          </w:tcPr>
          <w:p w14:paraId="6E3BDACF" w14:textId="77777777" w:rsidR="00BA4F46" w:rsidRPr="00576AF8" w:rsidRDefault="00BA4F46" w:rsidP="00803EC1">
            <w:pPr>
              <w:pStyle w:val="Textoindependiente"/>
              <w:spacing w:before="60" w:after="60"/>
            </w:pPr>
            <w:r w:rsidRPr="00576AF8">
              <w:t>____________________</w:t>
            </w:r>
          </w:p>
        </w:tc>
      </w:tr>
      <w:tr w:rsidR="00BA4F46" w:rsidRPr="00576AF8" w14:paraId="424D87A4" w14:textId="77777777" w:rsidTr="00BB24CF">
        <w:trPr>
          <w:cantSplit/>
          <w:jc w:val="center"/>
        </w:trPr>
        <w:tc>
          <w:tcPr>
            <w:tcW w:w="1693" w:type="dxa"/>
            <w:tcBorders>
              <w:top w:val="single" w:sz="6" w:space="0" w:color="auto"/>
              <w:left w:val="single" w:sz="6" w:space="0" w:color="auto"/>
            </w:tcBorders>
          </w:tcPr>
          <w:p w14:paraId="64B44894" w14:textId="77777777" w:rsidR="00BA4F46" w:rsidRPr="00576AF8" w:rsidRDefault="00BA4F46" w:rsidP="00803EC1">
            <w:pPr>
              <w:pStyle w:val="Textoindependiente"/>
            </w:pPr>
          </w:p>
        </w:tc>
        <w:tc>
          <w:tcPr>
            <w:tcW w:w="4967" w:type="dxa"/>
            <w:tcBorders>
              <w:top w:val="single" w:sz="6" w:space="0" w:color="auto"/>
              <w:left w:val="single" w:sz="6" w:space="0" w:color="auto"/>
            </w:tcBorders>
          </w:tcPr>
          <w:p w14:paraId="7351421C" w14:textId="77777777" w:rsidR="00BA4F46" w:rsidRPr="00576AF8" w:rsidRDefault="00BA4F46" w:rsidP="00803EC1">
            <w:pPr>
              <w:pStyle w:val="Textoindependiente"/>
              <w:spacing w:before="60" w:after="60"/>
            </w:pPr>
            <w:r w:rsidRPr="00576AF8">
              <w:t>_________</w:t>
            </w:r>
            <w:r w:rsidR="00BB24CF" w:rsidRPr="00576AF8">
              <w:t>_______________________________</w:t>
            </w:r>
          </w:p>
        </w:tc>
        <w:tc>
          <w:tcPr>
            <w:tcW w:w="2610" w:type="dxa"/>
            <w:tcBorders>
              <w:top w:val="single" w:sz="6" w:space="0" w:color="auto"/>
              <w:left w:val="single" w:sz="6" w:space="0" w:color="auto"/>
              <w:right w:val="single" w:sz="6" w:space="0" w:color="auto"/>
            </w:tcBorders>
          </w:tcPr>
          <w:p w14:paraId="0F621F0A" w14:textId="77777777" w:rsidR="00BA4F46" w:rsidRPr="00576AF8" w:rsidRDefault="00BA4F46" w:rsidP="00803EC1">
            <w:pPr>
              <w:pStyle w:val="Textoindependiente"/>
              <w:spacing w:before="60" w:after="60"/>
            </w:pPr>
            <w:r w:rsidRPr="00576AF8">
              <w:t>____________________</w:t>
            </w:r>
          </w:p>
        </w:tc>
      </w:tr>
      <w:tr w:rsidR="00BA4F46" w:rsidRPr="00576AF8" w14:paraId="6C9BDBE6" w14:textId="77777777" w:rsidTr="00BB24CF">
        <w:trPr>
          <w:cantSplit/>
          <w:jc w:val="center"/>
        </w:trPr>
        <w:tc>
          <w:tcPr>
            <w:tcW w:w="1693" w:type="dxa"/>
            <w:tcBorders>
              <w:top w:val="single" w:sz="6" w:space="0" w:color="auto"/>
              <w:left w:val="single" w:sz="6" w:space="0" w:color="auto"/>
            </w:tcBorders>
          </w:tcPr>
          <w:p w14:paraId="33598395" w14:textId="77777777" w:rsidR="00BA4F46" w:rsidRPr="00576AF8" w:rsidRDefault="00BA4F46" w:rsidP="00803EC1">
            <w:pPr>
              <w:pStyle w:val="Textoindependiente"/>
            </w:pPr>
          </w:p>
        </w:tc>
        <w:tc>
          <w:tcPr>
            <w:tcW w:w="4967" w:type="dxa"/>
            <w:tcBorders>
              <w:top w:val="single" w:sz="6" w:space="0" w:color="auto"/>
              <w:left w:val="single" w:sz="6" w:space="0" w:color="auto"/>
            </w:tcBorders>
          </w:tcPr>
          <w:p w14:paraId="0C19BF47" w14:textId="77777777" w:rsidR="00BA4F46" w:rsidRPr="00576AF8" w:rsidRDefault="00BB24CF" w:rsidP="00803EC1">
            <w:pPr>
              <w:pStyle w:val="Textoindependiente"/>
              <w:spacing w:before="60" w:after="60"/>
            </w:pPr>
            <w:r w:rsidRPr="00576AF8">
              <w:t>___</w:t>
            </w:r>
            <w:r w:rsidR="00BA4F46" w:rsidRPr="00576AF8">
              <w:t>_____________________________________</w:t>
            </w:r>
          </w:p>
        </w:tc>
        <w:tc>
          <w:tcPr>
            <w:tcW w:w="2610" w:type="dxa"/>
            <w:tcBorders>
              <w:top w:val="single" w:sz="6" w:space="0" w:color="auto"/>
              <w:left w:val="single" w:sz="6" w:space="0" w:color="auto"/>
              <w:right w:val="single" w:sz="6" w:space="0" w:color="auto"/>
            </w:tcBorders>
          </w:tcPr>
          <w:p w14:paraId="52CBB998" w14:textId="77777777" w:rsidR="00BA4F46" w:rsidRPr="00576AF8" w:rsidRDefault="00BA4F46" w:rsidP="00803EC1">
            <w:pPr>
              <w:pStyle w:val="Textoindependiente"/>
              <w:spacing w:before="60" w:after="60"/>
            </w:pPr>
            <w:r w:rsidRPr="00576AF8">
              <w:t>____________________</w:t>
            </w:r>
          </w:p>
        </w:tc>
      </w:tr>
      <w:tr w:rsidR="00BA4F46" w:rsidRPr="00576AF8" w14:paraId="350FB8BA" w14:textId="77777777" w:rsidTr="00BB24CF">
        <w:trPr>
          <w:cantSplit/>
          <w:jc w:val="center"/>
        </w:trPr>
        <w:tc>
          <w:tcPr>
            <w:tcW w:w="1693" w:type="dxa"/>
            <w:tcBorders>
              <w:top w:val="single" w:sz="6" w:space="0" w:color="auto"/>
              <w:left w:val="single" w:sz="6" w:space="0" w:color="auto"/>
            </w:tcBorders>
          </w:tcPr>
          <w:p w14:paraId="32500509" w14:textId="77777777" w:rsidR="00BA4F46" w:rsidRPr="00576AF8" w:rsidRDefault="00BA4F46" w:rsidP="00803EC1">
            <w:pPr>
              <w:pStyle w:val="Textoindependiente"/>
            </w:pPr>
          </w:p>
        </w:tc>
        <w:tc>
          <w:tcPr>
            <w:tcW w:w="4967" w:type="dxa"/>
            <w:tcBorders>
              <w:top w:val="single" w:sz="6" w:space="0" w:color="auto"/>
              <w:left w:val="single" w:sz="6" w:space="0" w:color="auto"/>
            </w:tcBorders>
          </w:tcPr>
          <w:p w14:paraId="42DDF520" w14:textId="77777777" w:rsidR="00BA4F46" w:rsidRPr="00576AF8" w:rsidRDefault="00BB24CF" w:rsidP="00803EC1">
            <w:pPr>
              <w:pStyle w:val="Textoindependiente"/>
              <w:spacing w:before="60" w:after="60"/>
            </w:pPr>
            <w:r w:rsidRPr="00576AF8">
              <w:t>___</w:t>
            </w:r>
            <w:r w:rsidR="00BA4F46" w:rsidRPr="00576AF8">
              <w:t>_____________________________________</w:t>
            </w:r>
          </w:p>
        </w:tc>
        <w:tc>
          <w:tcPr>
            <w:tcW w:w="2610" w:type="dxa"/>
            <w:tcBorders>
              <w:top w:val="single" w:sz="6" w:space="0" w:color="auto"/>
              <w:left w:val="single" w:sz="6" w:space="0" w:color="auto"/>
              <w:right w:val="single" w:sz="6" w:space="0" w:color="auto"/>
            </w:tcBorders>
          </w:tcPr>
          <w:p w14:paraId="581191B5" w14:textId="77777777" w:rsidR="00BA4F46" w:rsidRPr="00576AF8" w:rsidRDefault="00BA4F46" w:rsidP="00803EC1">
            <w:pPr>
              <w:pStyle w:val="Textoindependiente"/>
              <w:spacing w:before="60" w:after="60"/>
            </w:pPr>
            <w:r w:rsidRPr="00576AF8">
              <w:t>____________________</w:t>
            </w:r>
          </w:p>
        </w:tc>
      </w:tr>
      <w:tr w:rsidR="00BA4F46" w:rsidRPr="00576AF8" w14:paraId="612E1016" w14:textId="77777777" w:rsidTr="00BB24CF">
        <w:trPr>
          <w:cantSplit/>
          <w:jc w:val="center"/>
        </w:trPr>
        <w:tc>
          <w:tcPr>
            <w:tcW w:w="1693" w:type="dxa"/>
            <w:tcBorders>
              <w:top w:val="single" w:sz="6" w:space="0" w:color="auto"/>
              <w:left w:val="single" w:sz="6" w:space="0" w:color="auto"/>
            </w:tcBorders>
          </w:tcPr>
          <w:p w14:paraId="372E8798" w14:textId="77777777" w:rsidR="00BA4F46" w:rsidRPr="00576AF8" w:rsidRDefault="00BA4F46" w:rsidP="00803EC1">
            <w:pPr>
              <w:pStyle w:val="Textoindependiente"/>
            </w:pPr>
          </w:p>
        </w:tc>
        <w:tc>
          <w:tcPr>
            <w:tcW w:w="4967" w:type="dxa"/>
            <w:tcBorders>
              <w:top w:val="single" w:sz="6" w:space="0" w:color="auto"/>
              <w:left w:val="single" w:sz="6" w:space="0" w:color="auto"/>
            </w:tcBorders>
          </w:tcPr>
          <w:p w14:paraId="0F14ABC3" w14:textId="77777777" w:rsidR="00BA4F46" w:rsidRPr="00576AF8" w:rsidRDefault="00BB24CF" w:rsidP="00803EC1">
            <w:pPr>
              <w:pStyle w:val="Textoindependiente"/>
              <w:spacing w:before="60" w:after="60"/>
            </w:pPr>
            <w:r w:rsidRPr="00576AF8">
              <w:t>___</w:t>
            </w:r>
            <w:r w:rsidR="00BA4F46" w:rsidRPr="00576AF8">
              <w:t>_____________________________________</w:t>
            </w:r>
          </w:p>
        </w:tc>
        <w:tc>
          <w:tcPr>
            <w:tcW w:w="2610" w:type="dxa"/>
            <w:tcBorders>
              <w:top w:val="single" w:sz="6" w:space="0" w:color="auto"/>
              <w:left w:val="single" w:sz="6" w:space="0" w:color="auto"/>
              <w:right w:val="single" w:sz="6" w:space="0" w:color="auto"/>
            </w:tcBorders>
          </w:tcPr>
          <w:p w14:paraId="270E0DA4" w14:textId="77777777" w:rsidR="00BA4F46" w:rsidRPr="00576AF8" w:rsidRDefault="00BA4F46" w:rsidP="00803EC1">
            <w:pPr>
              <w:pStyle w:val="Textoindependiente"/>
              <w:spacing w:before="60" w:after="60"/>
            </w:pPr>
            <w:r w:rsidRPr="00576AF8">
              <w:t>____________________</w:t>
            </w:r>
          </w:p>
        </w:tc>
      </w:tr>
      <w:tr w:rsidR="00BA4F46" w:rsidRPr="00576AF8" w14:paraId="5C1C0517" w14:textId="77777777" w:rsidTr="00BB24CF">
        <w:trPr>
          <w:cantSplit/>
          <w:jc w:val="center"/>
        </w:trPr>
        <w:tc>
          <w:tcPr>
            <w:tcW w:w="1693" w:type="dxa"/>
            <w:tcBorders>
              <w:top w:val="single" w:sz="6" w:space="0" w:color="auto"/>
              <w:left w:val="single" w:sz="6" w:space="0" w:color="auto"/>
              <w:bottom w:val="single" w:sz="6" w:space="0" w:color="auto"/>
            </w:tcBorders>
          </w:tcPr>
          <w:p w14:paraId="3F2C0F15" w14:textId="77777777" w:rsidR="00BA4F46" w:rsidRPr="00576AF8" w:rsidRDefault="00BA4F46" w:rsidP="00803EC1">
            <w:pPr>
              <w:pStyle w:val="Textoindependiente"/>
              <w:spacing w:before="40" w:after="40"/>
              <w:jc w:val="left"/>
            </w:pPr>
            <w:r w:rsidRPr="00576AF8">
              <w:t xml:space="preserve">*Facturación media anual </w:t>
            </w:r>
          </w:p>
        </w:tc>
        <w:tc>
          <w:tcPr>
            <w:tcW w:w="4967" w:type="dxa"/>
            <w:tcBorders>
              <w:top w:val="single" w:sz="6" w:space="0" w:color="auto"/>
              <w:left w:val="single" w:sz="6" w:space="0" w:color="auto"/>
              <w:bottom w:val="single" w:sz="6" w:space="0" w:color="auto"/>
            </w:tcBorders>
          </w:tcPr>
          <w:p w14:paraId="184B7278" w14:textId="77777777" w:rsidR="00BA4F46" w:rsidRPr="00576AF8" w:rsidRDefault="00BB24CF" w:rsidP="00803EC1">
            <w:pPr>
              <w:pStyle w:val="Textoindependiente"/>
              <w:spacing w:before="60" w:after="60"/>
            </w:pPr>
            <w:r w:rsidRPr="00576AF8">
              <w:t>___</w:t>
            </w:r>
            <w:r w:rsidR="00BA4F46" w:rsidRPr="00576AF8">
              <w:t>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21733745" w14:textId="77777777" w:rsidR="00BA4F46" w:rsidRPr="00576AF8" w:rsidRDefault="00BA4F46" w:rsidP="00803EC1">
            <w:pPr>
              <w:pStyle w:val="Textoindependiente"/>
              <w:spacing w:before="60" w:after="60"/>
            </w:pPr>
            <w:r w:rsidRPr="00576AF8">
              <w:t>____________________</w:t>
            </w:r>
          </w:p>
        </w:tc>
      </w:tr>
    </w:tbl>
    <w:p w14:paraId="39FC37F2" w14:textId="77777777" w:rsidR="00BA4F46" w:rsidRPr="00576AF8" w:rsidRDefault="00BA4F46" w:rsidP="00BA4F46">
      <w:r w:rsidRPr="00576AF8">
        <w:t xml:space="preserve">*Promedio de facturación anual calculada como el total de pagos certificados recibidos por trabajos en curso o terminados, dividido por la cantidad de años que se especifica en la </w:t>
      </w:r>
      <w:r w:rsidR="005E641B" w:rsidRPr="00576AF8">
        <w:t>Sección</w:t>
      </w:r>
      <w:r w:rsidR="00BB24CF" w:rsidRPr="00576AF8">
        <w:t> </w:t>
      </w:r>
      <w:r w:rsidRPr="00576AF8">
        <w:t xml:space="preserve">III, </w:t>
      </w:r>
      <w:r w:rsidR="002B4BE9" w:rsidRPr="00576AF8">
        <w:t>“</w:t>
      </w:r>
      <w:r w:rsidRPr="00576AF8">
        <w:t xml:space="preserve">Criterios de </w:t>
      </w:r>
      <w:r w:rsidR="005E641B" w:rsidRPr="00576AF8">
        <w:t xml:space="preserve">Evaluación </w:t>
      </w:r>
      <w:r w:rsidRPr="00576AF8">
        <w:t xml:space="preserve">y </w:t>
      </w:r>
      <w:r w:rsidR="005E641B" w:rsidRPr="00576AF8">
        <w:t>Calificación</w:t>
      </w:r>
      <w:r w:rsidR="002B4BE9" w:rsidRPr="00576AF8">
        <w:t>”</w:t>
      </w:r>
      <w:r w:rsidRPr="00576AF8">
        <w:t xml:space="preserve">, </w:t>
      </w:r>
      <w:r w:rsidR="005E641B" w:rsidRPr="00576AF8">
        <w:t xml:space="preserve">ítem </w:t>
      </w:r>
      <w:r w:rsidR="00C55426" w:rsidRPr="00576AF8">
        <w:t>5</w:t>
      </w:r>
      <w:r w:rsidRPr="00576AF8">
        <w:t>.3.2.</w:t>
      </w:r>
    </w:p>
    <w:p w14:paraId="1BFB0AAB" w14:textId="77777777" w:rsidR="00BA4F46" w:rsidRPr="00576AF8" w:rsidRDefault="00BA4F46" w:rsidP="00BA4F46">
      <w:pPr>
        <w:pStyle w:val="Subttulo"/>
        <w:jc w:val="left"/>
        <w:rPr>
          <w:b w:val="0"/>
          <w:sz w:val="24"/>
        </w:rPr>
      </w:pPr>
    </w:p>
    <w:p w14:paraId="08D50E1A" w14:textId="77777777" w:rsidR="00BA4F46" w:rsidRPr="00576AF8" w:rsidRDefault="00BA4F46" w:rsidP="00275E0F">
      <w:pPr>
        <w:suppressAutoHyphens w:val="0"/>
        <w:spacing w:after="0"/>
        <w:jc w:val="center"/>
        <w:rPr>
          <w:b/>
        </w:rPr>
      </w:pPr>
      <w:r w:rsidRPr="00576AF8">
        <w:br w:type="page"/>
      </w:r>
      <w:r w:rsidRPr="00576AF8">
        <w:rPr>
          <w:b/>
          <w:sz w:val="36"/>
        </w:rPr>
        <w:lastRenderedPageBreak/>
        <w:t xml:space="preserve">Formulario FIN </w:t>
      </w:r>
      <w:r w:rsidR="00A0389B" w:rsidRPr="00576AF8">
        <w:rPr>
          <w:b/>
          <w:sz w:val="36"/>
        </w:rPr>
        <w:t>5</w:t>
      </w:r>
      <w:r w:rsidRPr="00576AF8">
        <w:rPr>
          <w:b/>
          <w:sz w:val="36"/>
        </w:rPr>
        <w:t>.3.3</w:t>
      </w:r>
    </w:p>
    <w:p w14:paraId="708AB5F6" w14:textId="77777777" w:rsidR="00BA4F46" w:rsidRPr="00576AF8" w:rsidRDefault="00BA4F46" w:rsidP="002D3400">
      <w:pPr>
        <w:pStyle w:val="TOC3-2"/>
        <w:rPr>
          <w:rStyle w:val="Table"/>
          <w:rFonts w:ascii="Times New Roman" w:hAnsi="Times New Roman"/>
          <w:spacing w:val="-2"/>
          <w:sz w:val="22"/>
        </w:rPr>
      </w:pPr>
      <w:bookmarkStart w:id="471" w:name="_Toc454958450"/>
      <w:bookmarkStart w:id="472" w:name="_Toc476309233"/>
      <w:r w:rsidRPr="00576AF8">
        <w:t xml:space="preserve">Recursos </w:t>
      </w:r>
      <w:bookmarkEnd w:id="471"/>
      <w:bookmarkEnd w:id="472"/>
      <w:r w:rsidR="005E641B" w:rsidRPr="00576AF8">
        <w:t>Financieros</w:t>
      </w:r>
      <w:r w:rsidR="005E641B" w:rsidRPr="00576AF8">
        <w:rPr>
          <w:rStyle w:val="Table"/>
          <w:rFonts w:ascii="Times New Roman" w:hAnsi="Times New Roman"/>
          <w:spacing w:val="-2"/>
          <w:sz w:val="22"/>
        </w:rPr>
        <w:t xml:space="preserve"> </w:t>
      </w:r>
    </w:p>
    <w:p w14:paraId="14739941" w14:textId="77777777" w:rsidR="00BA4F46" w:rsidRPr="00576AF8" w:rsidRDefault="00BA4F46" w:rsidP="00BA4F46">
      <w:pPr>
        <w:pStyle w:val="Head2"/>
        <w:widowControl/>
        <w:jc w:val="left"/>
        <w:rPr>
          <w:rStyle w:val="Table"/>
          <w:rFonts w:ascii="Times New Roman" w:hAnsi="Times New Roman"/>
          <w:spacing w:val="-2"/>
          <w:sz w:val="22"/>
        </w:rPr>
      </w:pPr>
    </w:p>
    <w:p w14:paraId="31CB01E5" w14:textId="77777777" w:rsidR="00BA4F46" w:rsidRPr="00576AF8" w:rsidRDefault="00BA4F46" w:rsidP="00BA4F46">
      <w:pPr>
        <w:spacing w:after="180"/>
        <w:rPr>
          <w:rStyle w:val="Table"/>
          <w:rFonts w:ascii="Times New Roman" w:hAnsi="Times New Roman"/>
          <w:spacing w:val="-2"/>
          <w:sz w:val="24"/>
        </w:rPr>
      </w:pPr>
      <w:r w:rsidRPr="00576AF8">
        <w:rPr>
          <w:rStyle w:val="Table"/>
          <w:rFonts w:ascii="Times New Roman" w:hAnsi="Times New Roman"/>
          <w:spacing w:val="-2"/>
          <w:sz w:val="24"/>
        </w:rPr>
        <w:t xml:space="preserve">Indique las fuentes de financiamiento propuestas, tales como activos líquidos, activos reales libres de gravámenes, líneas de crédito y otros medios financieros, deducidos los compromisos vigentes, para hacer frente al flujo total de fondos </w:t>
      </w:r>
      <w:r w:rsidR="002B4BE9" w:rsidRPr="00576AF8">
        <w:rPr>
          <w:rStyle w:val="Table"/>
          <w:rFonts w:ascii="Times New Roman" w:hAnsi="Times New Roman"/>
          <w:spacing w:val="-2"/>
          <w:sz w:val="24"/>
        </w:rPr>
        <w:t xml:space="preserve">para </w:t>
      </w:r>
      <w:r w:rsidR="005E641B" w:rsidRPr="00576AF8">
        <w:rPr>
          <w:rStyle w:val="Table"/>
          <w:rFonts w:ascii="Times New Roman" w:hAnsi="Times New Roman"/>
          <w:spacing w:val="-2"/>
          <w:sz w:val="24"/>
        </w:rPr>
        <w:t>instalaciones del</w:t>
      </w:r>
      <w:r w:rsidRPr="00576AF8">
        <w:rPr>
          <w:rStyle w:val="Table"/>
          <w:rFonts w:ascii="Times New Roman" w:hAnsi="Times New Roman"/>
          <w:spacing w:val="-2"/>
          <w:sz w:val="24"/>
        </w:rPr>
        <w:t xml:space="preserve"> o los contratos en cuestión, según lo dispuesto en la </w:t>
      </w:r>
      <w:r w:rsidR="005E641B" w:rsidRPr="00576AF8">
        <w:rPr>
          <w:rStyle w:val="Table"/>
          <w:rFonts w:ascii="Times New Roman" w:hAnsi="Times New Roman"/>
          <w:spacing w:val="-2"/>
          <w:sz w:val="24"/>
        </w:rPr>
        <w:t>Sección </w:t>
      </w:r>
      <w:r w:rsidRPr="00576AF8">
        <w:rPr>
          <w:rStyle w:val="Table"/>
          <w:rFonts w:ascii="Times New Roman" w:hAnsi="Times New Roman"/>
          <w:spacing w:val="-2"/>
          <w:sz w:val="24"/>
        </w:rPr>
        <w:t xml:space="preserve">III, </w:t>
      </w:r>
      <w:r w:rsidR="002B4BE9" w:rsidRPr="00576AF8">
        <w:rPr>
          <w:rStyle w:val="Table"/>
          <w:rFonts w:ascii="Times New Roman" w:hAnsi="Times New Roman"/>
          <w:spacing w:val="-2"/>
          <w:sz w:val="24"/>
        </w:rPr>
        <w:t>“</w:t>
      </w:r>
      <w:r w:rsidRPr="00576AF8">
        <w:rPr>
          <w:rStyle w:val="Table"/>
          <w:rFonts w:ascii="Times New Roman" w:hAnsi="Times New Roman"/>
          <w:spacing w:val="-2"/>
          <w:sz w:val="24"/>
        </w:rPr>
        <w:t xml:space="preserve">Criterios de </w:t>
      </w:r>
      <w:r w:rsidR="005E641B" w:rsidRPr="00576AF8">
        <w:rPr>
          <w:rStyle w:val="Table"/>
          <w:rFonts w:ascii="Times New Roman" w:hAnsi="Times New Roman"/>
          <w:spacing w:val="-2"/>
          <w:sz w:val="24"/>
        </w:rPr>
        <w:t xml:space="preserve">Evaluación </w:t>
      </w:r>
      <w:r w:rsidRPr="00576AF8">
        <w:rPr>
          <w:rStyle w:val="Table"/>
          <w:rFonts w:ascii="Times New Roman" w:hAnsi="Times New Roman"/>
          <w:spacing w:val="-2"/>
          <w:sz w:val="24"/>
        </w:rPr>
        <w:t xml:space="preserve">y </w:t>
      </w:r>
      <w:r w:rsidR="005E641B" w:rsidRPr="00576AF8">
        <w:rPr>
          <w:rStyle w:val="Table"/>
          <w:rFonts w:ascii="Times New Roman" w:hAnsi="Times New Roman"/>
          <w:spacing w:val="-2"/>
          <w:sz w:val="24"/>
        </w:rPr>
        <w:t>Calificación</w:t>
      </w:r>
      <w:r w:rsidR="002B4BE9" w:rsidRPr="00576AF8">
        <w:rPr>
          <w:rStyle w:val="Table"/>
          <w:rFonts w:ascii="Times New Roman" w:hAnsi="Times New Roman"/>
          <w:spacing w:val="-2"/>
          <w:sz w:val="24"/>
        </w:rPr>
        <w:t>”</w:t>
      </w:r>
      <w:r w:rsidRPr="00576AF8">
        <w:rPr>
          <w:rStyle w:val="Table"/>
          <w:rFonts w:ascii="Times New Roman" w:hAnsi="Times New Roman"/>
          <w:spacing w:val="-2"/>
          <w:sz w:val="24"/>
        </w:rPr>
        <w:t>.</w:t>
      </w:r>
    </w:p>
    <w:tbl>
      <w:tblPr>
        <w:tblW w:w="9348" w:type="dxa"/>
        <w:tblLayout w:type="fixed"/>
        <w:tblCellMar>
          <w:left w:w="72" w:type="dxa"/>
          <w:right w:w="72" w:type="dxa"/>
        </w:tblCellMar>
        <w:tblLook w:val="0000" w:firstRow="0" w:lastRow="0" w:firstColumn="0" w:lastColumn="0" w:noHBand="0" w:noVBand="0"/>
      </w:tblPr>
      <w:tblGrid>
        <w:gridCol w:w="6300"/>
        <w:gridCol w:w="3048"/>
      </w:tblGrid>
      <w:tr w:rsidR="00BA4F46" w:rsidRPr="00576AF8" w14:paraId="4C29C6B2" w14:textId="77777777" w:rsidTr="00BB24CF">
        <w:trPr>
          <w:cantSplit/>
        </w:trPr>
        <w:tc>
          <w:tcPr>
            <w:tcW w:w="6300" w:type="dxa"/>
            <w:tcBorders>
              <w:top w:val="single" w:sz="6" w:space="0" w:color="auto"/>
              <w:left w:val="single" w:sz="6" w:space="0" w:color="auto"/>
            </w:tcBorders>
          </w:tcPr>
          <w:p w14:paraId="54147945" w14:textId="77777777" w:rsidR="00BA4F46" w:rsidRPr="00576AF8" w:rsidRDefault="00BA4F46" w:rsidP="00803EC1">
            <w:pPr>
              <w:spacing w:after="71"/>
              <w:jc w:val="center"/>
              <w:rPr>
                <w:rStyle w:val="Table"/>
                <w:rFonts w:ascii="Times New Roman" w:hAnsi="Times New Roman"/>
                <w:b/>
                <w:spacing w:val="-2"/>
              </w:rPr>
            </w:pPr>
            <w:r w:rsidRPr="00576AF8">
              <w:rPr>
                <w:rStyle w:val="Table"/>
                <w:rFonts w:ascii="Times New Roman" w:hAnsi="Times New Roman"/>
                <w:b/>
                <w:spacing w:val="-2"/>
              </w:rPr>
              <w:t>Fuente del financiamiento</w:t>
            </w:r>
          </w:p>
        </w:tc>
        <w:tc>
          <w:tcPr>
            <w:tcW w:w="3048" w:type="dxa"/>
            <w:tcBorders>
              <w:top w:val="single" w:sz="6" w:space="0" w:color="auto"/>
              <w:left w:val="single" w:sz="6" w:space="0" w:color="auto"/>
              <w:right w:val="single" w:sz="6" w:space="0" w:color="auto"/>
            </w:tcBorders>
          </w:tcPr>
          <w:p w14:paraId="307D260E" w14:textId="77777777" w:rsidR="00BA4F46" w:rsidRPr="00576AF8" w:rsidRDefault="00BA4F46" w:rsidP="00803EC1">
            <w:pPr>
              <w:spacing w:after="71"/>
              <w:jc w:val="center"/>
              <w:rPr>
                <w:rStyle w:val="Table"/>
                <w:rFonts w:ascii="Times New Roman" w:hAnsi="Times New Roman"/>
                <w:b/>
                <w:spacing w:val="-2"/>
              </w:rPr>
            </w:pPr>
            <w:r w:rsidRPr="00576AF8">
              <w:rPr>
                <w:rStyle w:val="Table"/>
                <w:rFonts w:ascii="Times New Roman" w:hAnsi="Times New Roman"/>
                <w:b/>
                <w:spacing w:val="-2"/>
              </w:rPr>
              <w:t>Monto (equivalente en USD)</w:t>
            </w:r>
          </w:p>
        </w:tc>
      </w:tr>
      <w:tr w:rsidR="00BA4F46" w:rsidRPr="00576AF8" w14:paraId="6590B257" w14:textId="77777777" w:rsidTr="00BB24CF">
        <w:trPr>
          <w:cantSplit/>
        </w:trPr>
        <w:tc>
          <w:tcPr>
            <w:tcW w:w="6300" w:type="dxa"/>
            <w:tcBorders>
              <w:top w:val="single" w:sz="6" w:space="0" w:color="auto"/>
              <w:left w:val="single" w:sz="6" w:space="0" w:color="auto"/>
            </w:tcBorders>
          </w:tcPr>
          <w:p w14:paraId="79B86BCF" w14:textId="77777777" w:rsidR="00BA4F46" w:rsidRPr="00576AF8" w:rsidRDefault="00BA4F46" w:rsidP="00803EC1">
            <w:pPr>
              <w:rPr>
                <w:rStyle w:val="Table"/>
                <w:rFonts w:ascii="Times New Roman" w:hAnsi="Times New Roman"/>
                <w:spacing w:val="-2"/>
                <w:sz w:val="22"/>
              </w:rPr>
            </w:pPr>
            <w:r w:rsidRPr="00576AF8">
              <w:rPr>
                <w:rStyle w:val="Table"/>
                <w:rFonts w:ascii="Times New Roman" w:hAnsi="Times New Roman"/>
                <w:spacing w:val="-2"/>
                <w:sz w:val="22"/>
              </w:rPr>
              <w:t>1.</w:t>
            </w:r>
          </w:p>
          <w:p w14:paraId="330CD98A" w14:textId="77777777" w:rsidR="00BA4F46" w:rsidRPr="00576AF8" w:rsidRDefault="00BA4F46" w:rsidP="00803EC1">
            <w:pPr>
              <w:spacing w:after="71"/>
              <w:rPr>
                <w:rStyle w:val="Table"/>
                <w:rFonts w:ascii="Times New Roman" w:hAnsi="Times New Roman"/>
                <w:spacing w:val="-2"/>
                <w:sz w:val="22"/>
              </w:rPr>
            </w:pPr>
          </w:p>
        </w:tc>
        <w:tc>
          <w:tcPr>
            <w:tcW w:w="3048" w:type="dxa"/>
            <w:tcBorders>
              <w:top w:val="single" w:sz="6" w:space="0" w:color="auto"/>
              <w:left w:val="single" w:sz="6" w:space="0" w:color="auto"/>
              <w:right w:val="single" w:sz="6" w:space="0" w:color="auto"/>
            </w:tcBorders>
          </w:tcPr>
          <w:p w14:paraId="0F0247FF" w14:textId="77777777" w:rsidR="00BA4F46" w:rsidRPr="00576AF8" w:rsidRDefault="00BA4F46" w:rsidP="00803EC1">
            <w:pPr>
              <w:spacing w:after="71"/>
              <w:rPr>
                <w:rStyle w:val="Table"/>
                <w:rFonts w:ascii="Times New Roman" w:hAnsi="Times New Roman"/>
                <w:spacing w:val="-2"/>
                <w:sz w:val="22"/>
              </w:rPr>
            </w:pPr>
          </w:p>
        </w:tc>
      </w:tr>
      <w:tr w:rsidR="00BA4F46" w:rsidRPr="00576AF8" w14:paraId="3937B5B9" w14:textId="77777777" w:rsidTr="00BB24CF">
        <w:trPr>
          <w:cantSplit/>
        </w:trPr>
        <w:tc>
          <w:tcPr>
            <w:tcW w:w="6300" w:type="dxa"/>
            <w:tcBorders>
              <w:top w:val="single" w:sz="6" w:space="0" w:color="auto"/>
              <w:left w:val="single" w:sz="6" w:space="0" w:color="auto"/>
            </w:tcBorders>
          </w:tcPr>
          <w:p w14:paraId="7B168FFD" w14:textId="77777777" w:rsidR="00BA4F46" w:rsidRPr="00576AF8" w:rsidRDefault="00BA4F46" w:rsidP="00803EC1">
            <w:pPr>
              <w:rPr>
                <w:rStyle w:val="Table"/>
                <w:rFonts w:ascii="Times New Roman" w:hAnsi="Times New Roman"/>
                <w:spacing w:val="-2"/>
                <w:sz w:val="22"/>
              </w:rPr>
            </w:pPr>
            <w:r w:rsidRPr="00576AF8">
              <w:rPr>
                <w:rStyle w:val="Table"/>
                <w:rFonts w:ascii="Times New Roman" w:hAnsi="Times New Roman"/>
                <w:spacing w:val="-2"/>
                <w:sz w:val="22"/>
              </w:rPr>
              <w:t>2.</w:t>
            </w:r>
          </w:p>
          <w:p w14:paraId="2B9EDBB1" w14:textId="77777777" w:rsidR="00BA4F46" w:rsidRPr="00576AF8" w:rsidRDefault="00BA4F46" w:rsidP="00803EC1">
            <w:pPr>
              <w:spacing w:after="71"/>
              <w:rPr>
                <w:rStyle w:val="Table"/>
                <w:rFonts w:ascii="Times New Roman" w:hAnsi="Times New Roman"/>
                <w:spacing w:val="-2"/>
                <w:sz w:val="22"/>
              </w:rPr>
            </w:pPr>
          </w:p>
        </w:tc>
        <w:tc>
          <w:tcPr>
            <w:tcW w:w="3048" w:type="dxa"/>
            <w:tcBorders>
              <w:top w:val="single" w:sz="6" w:space="0" w:color="auto"/>
              <w:left w:val="single" w:sz="6" w:space="0" w:color="auto"/>
              <w:right w:val="single" w:sz="6" w:space="0" w:color="auto"/>
            </w:tcBorders>
          </w:tcPr>
          <w:p w14:paraId="085ED5AB" w14:textId="77777777" w:rsidR="00BA4F46" w:rsidRPr="00576AF8" w:rsidRDefault="00BA4F46" w:rsidP="00803EC1">
            <w:pPr>
              <w:spacing w:after="71"/>
              <w:rPr>
                <w:rStyle w:val="Table"/>
                <w:rFonts w:ascii="Times New Roman" w:hAnsi="Times New Roman"/>
                <w:spacing w:val="-2"/>
                <w:sz w:val="22"/>
              </w:rPr>
            </w:pPr>
          </w:p>
        </w:tc>
      </w:tr>
      <w:tr w:rsidR="00BA4F46" w:rsidRPr="00576AF8" w14:paraId="5B84ED24" w14:textId="77777777" w:rsidTr="00BB24CF">
        <w:trPr>
          <w:cantSplit/>
        </w:trPr>
        <w:tc>
          <w:tcPr>
            <w:tcW w:w="6300" w:type="dxa"/>
            <w:tcBorders>
              <w:top w:val="single" w:sz="6" w:space="0" w:color="auto"/>
              <w:left w:val="single" w:sz="6" w:space="0" w:color="auto"/>
            </w:tcBorders>
          </w:tcPr>
          <w:p w14:paraId="29434151" w14:textId="77777777" w:rsidR="00BA4F46" w:rsidRPr="00576AF8" w:rsidRDefault="00BA4F46" w:rsidP="00803EC1">
            <w:pPr>
              <w:rPr>
                <w:rStyle w:val="Table"/>
                <w:rFonts w:ascii="Times New Roman" w:hAnsi="Times New Roman"/>
                <w:spacing w:val="-2"/>
                <w:sz w:val="22"/>
              </w:rPr>
            </w:pPr>
            <w:r w:rsidRPr="00576AF8">
              <w:rPr>
                <w:rStyle w:val="Table"/>
                <w:rFonts w:ascii="Times New Roman" w:hAnsi="Times New Roman"/>
                <w:spacing w:val="-2"/>
                <w:sz w:val="22"/>
              </w:rPr>
              <w:t>3.</w:t>
            </w:r>
          </w:p>
          <w:p w14:paraId="142D825E" w14:textId="77777777" w:rsidR="00BA4F46" w:rsidRPr="00576AF8" w:rsidRDefault="00BA4F46" w:rsidP="00803EC1">
            <w:pPr>
              <w:spacing w:after="71"/>
              <w:rPr>
                <w:rStyle w:val="Table"/>
                <w:rFonts w:ascii="Times New Roman" w:hAnsi="Times New Roman"/>
                <w:spacing w:val="-2"/>
                <w:sz w:val="22"/>
              </w:rPr>
            </w:pPr>
          </w:p>
        </w:tc>
        <w:tc>
          <w:tcPr>
            <w:tcW w:w="3048" w:type="dxa"/>
            <w:tcBorders>
              <w:top w:val="single" w:sz="6" w:space="0" w:color="auto"/>
              <w:left w:val="single" w:sz="6" w:space="0" w:color="auto"/>
              <w:right w:val="single" w:sz="6" w:space="0" w:color="auto"/>
            </w:tcBorders>
          </w:tcPr>
          <w:p w14:paraId="30EEFDA2" w14:textId="77777777" w:rsidR="00BA4F46" w:rsidRPr="00576AF8" w:rsidRDefault="00BA4F46" w:rsidP="00803EC1">
            <w:pPr>
              <w:spacing w:after="71"/>
              <w:rPr>
                <w:rStyle w:val="Table"/>
                <w:rFonts w:ascii="Times New Roman" w:hAnsi="Times New Roman"/>
                <w:spacing w:val="-2"/>
                <w:sz w:val="22"/>
              </w:rPr>
            </w:pPr>
          </w:p>
        </w:tc>
      </w:tr>
      <w:tr w:rsidR="00BA4F46" w:rsidRPr="00576AF8" w14:paraId="2816E7B1" w14:textId="77777777" w:rsidTr="00BB24CF">
        <w:trPr>
          <w:cantSplit/>
        </w:trPr>
        <w:tc>
          <w:tcPr>
            <w:tcW w:w="6300" w:type="dxa"/>
            <w:tcBorders>
              <w:top w:val="single" w:sz="6" w:space="0" w:color="auto"/>
              <w:left w:val="single" w:sz="6" w:space="0" w:color="auto"/>
              <w:bottom w:val="single" w:sz="6" w:space="0" w:color="auto"/>
            </w:tcBorders>
          </w:tcPr>
          <w:p w14:paraId="158A6E40" w14:textId="77777777" w:rsidR="00BA4F46" w:rsidRPr="00576AF8" w:rsidRDefault="00BA4F46" w:rsidP="00803EC1">
            <w:pPr>
              <w:rPr>
                <w:rStyle w:val="Table"/>
                <w:rFonts w:ascii="Times New Roman" w:hAnsi="Times New Roman"/>
                <w:spacing w:val="-2"/>
                <w:sz w:val="22"/>
              </w:rPr>
            </w:pPr>
            <w:r w:rsidRPr="00576AF8">
              <w:rPr>
                <w:rStyle w:val="Table"/>
                <w:rFonts w:ascii="Times New Roman" w:hAnsi="Times New Roman"/>
                <w:spacing w:val="-2"/>
                <w:sz w:val="22"/>
              </w:rPr>
              <w:t>4.</w:t>
            </w:r>
          </w:p>
          <w:p w14:paraId="7AB43D80" w14:textId="77777777" w:rsidR="00BA4F46" w:rsidRPr="00576AF8" w:rsidRDefault="00BA4F46" w:rsidP="00803EC1">
            <w:pPr>
              <w:spacing w:after="71"/>
              <w:rPr>
                <w:rStyle w:val="Table"/>
                <w:rFonts w:ascii="Times New Roman" w:hAnsi="Times New Roman"/>
                <w:spacing w:val="-2"/>
                <w:sz w:val="22"/>
              </w:rPr>
            </w:pPr>
          </w:p>
        </w:tc>
        <w:tc>
          <w:tcPr>
            <w:tcW w:w="3048" w:type="dxa"/>
            <w:tcBorders>
              <w:top w:val="single" w:sz="6" w:space="0" w:color="auto"/>
              <w:left w:val="single" w:sz="6" w:space="0" w:color="auto"/>
              <w:bottom w:val="single" w:sz="6" w:space="0" w:color="auto"/>
              <w:right w:val="single" w:sz="6" w:space="0" w:color="auto"/>
            </w:tcBorders>
          </w:tcPr>
          <w:p w14:paraId="6FA856CD" w14:textId="77777777" w:rsidR="00BA4F46" w:rsidRPr="00576AF8" w:rsidRDefault="00BA4F46" w:rsidP="00803EC1">
            <w:pPr>
              <w:spacing w:after="71"/>
              <w:rPr>
                <w:rStyle w:val="Table"/>
                <w:rFonts w:ascii="Times New Roman" w:hAnsi="Times New Roman"/>
                <w:spacing w:val="-2"/>
                <w:sz w:val="22"/>
              </w:rPr>
            </w:pPr>
          </w:p>
        </w:tc>
      </w:tr>
    </w:tbl>
    <w:p w14:paraId="11C33676" w14:textId="77777777" w:rsidR="00C10A6A" w:rsidRPr="00576AF8" w:rsidRDefault="00C10A6A">
      <w:pPr>
        <w:suppressAutoHyphens w:val="0"/>
        <w:spacing w:after="0"/>
        <w:jc w:val="left"/>
        <w:rPr>
          <w:iCs/>
        </w:rPr>
      </w:pPr>
    </w:p>
    <w:p w14:paraId="090D1973" w14:textId="77777777" w:rsidR="00C10A6A" w:rsidRPr="00576AF8" w:rsidRDefault="00C10A6A">
      <w:pPr>
        <w:suppressAutoHyphens w:val="0"/>
        <w:spacing w:after="0"/>
        <w:jc w:val="left"/>
        <w:rPr>
          <w:b/>
          <w:iCs/>
          <w:sz w:val="32"/>
        </w:rPr>
      </w:pPr>
      <w:r w:rsidRPr="00576AF8">
        <w:br w:type="page"/>
      </w:r>
    </w:p>
    <w:p w14:paraId="5695F651" w14:textId="77777777" w:rsidR="00BA4F46" w:rsidRPr="00576AF8" w:rsidRDefault="00BA4F46" w:rsidP="00275E0F">
      <w:pPr>
        <w:suppressAutoHyphens w:val="0"/>
        <w:spacing w:after="0"/>
        <w:jc w:val="center"/>
        <w:rPr>
          <w:b/>
          <w:sz w:val="36"/>
        </w:rPr>
      </w:pPr>
      <w:bookmarkStart w:id="473" w:name="_Toc490650439"/>
      <w:bookmarkStart w:id="474" w:name="_Toc490653380"/>
      <w:bookmarkStart w:id="475" w:name="_Toc521497258"/>
      <w:bookmarkStart w:id="476" w:name="_Toc218673975"/>
      <w:bookmarkStart w:id="477" w:name="_Toc277345606"/>
      <w:r w:rsidRPr="00576AF8">
        <w:rPr>
          <w:b/>
          <w:sz w:val="36"/>
        </w:rPr>
        <w:lastRenderedPageBreak/>
        <w:t xml:space="preserve">Capacidades del </w:t>
      </w:r>
      <w:bookmarkEnd w:id="473"/>
      <w:bookmarkEnd w:id="474"/>
      <w:bookmarkEnd w:id="475"/>
      <w:bookmarkEnd w:id="476"/>
      <w:bookmarkEnd w:id="477"/>
      <w:r w:rsidR="001F46ED" w:rsidRPr="00576AF8">
        <w:rPr>
          <w:b/>
          <w:sz w:val="36"/>
        </w:rPr>
        <w:t>Personal</w:t>
      </w:r>
    </w:p>
    <w:p w14:paraId="52175B57" w14:textId="77777777" w:rsidR="00BB24CF" w:rsidRPr="00576AF8" w:rsidRDefault="00BB24CF" w:rsidP="00BB24CF">
      <w:pPr>
        <w:pStyle w:val="Head32"/>
        <w:ind w:right="-360"/>
      </w:pPr>
    </w:p>
    <w:tbl>
      <w:tblPr>
        <w:tblW w:w="0" w:type="auto"/>
        <w:tblLayout w:type="fixed"/>
        <w:tblLook w:val="0000" w:firstRow="0" w:lastRow="0" w:firstColumn="0" w:lastColumn="0" w:noHBand="0" w:noVBand="0"/>
      </w:tblPr>
      <w:tblGrid>
        <w:gridCol w:w="9198"/>
      </w:tblGrid>
      <w:tr w:rsidR="002A4150" w:rsidRPr="00576AF8" w14:paraId="628ED327" w14:textId="77777777" w:rsidTr="002A4150">
        <w:trPr>
          <w:trHeight w:val="900"/>
        </w:trPr>
        <w:tc>
          <w:tcPr>
            <w:tcW w:w="9198" w:type="dxa"/>
            <w:vAlign w:val="center"/>
          </w:tcPr>
          <w:p w14:paraId="6517F13E" w14:textId="77777777" w:rsidR="002A4150" w:rsidRPr="00576AF8" w:rsidRDefault="002A4150" w:rsidP="00275E0F">
            <w:pPr>
              <w:pStyle w:val="Head32"/>
              <w:spacing w:after="360"/>
              <w:ind w:right="-360"/>
            </w:pPr>
            <w:bookmarkStart w:id="478" w:name="_Toc248041792"/>
            <w:bookmarkStart w:id="479" w:name="_Toc248041882"/>
            <w:bookmarkStart w:id="480" w:name="_Toc450040734"/>
            <w:bookmarkStart w:id="481" w:name="_Toc460416598"/>
            <w:r w:rsidRPr="00576AF8">
              <w:t>Personal</w:t>
            </w:r>
            <w:bookmarkEnd w:id="478"/>
            <w:bookmarkEnd w:id="479"/>
            <w:bookmarkEnd w:id="480"/>
            <w:bookmarkEnd w:id="481"/>
            <w:r w:rsidRPr="00576AF8">
              <w:t xml:space="preserve"> Clave</w:t>
            </w:r>
          </w:p>
        </w:tc>
      </w:tr>
    </w:tbl>
    <w:p w14:paraId="1C477422" w14:textId="77777777" w:rsidR="002A4150" w:rsidRPr="00576AF8" w:rsidRDefault="002A4150" w:rsidP="002A4150">
      <w:pPr>
        <w:spacing w:after="180"/>
        <w:rPr>
          <w:rStyle w:val="Table"/>
          <w:rFonts w:ascii="Times New Roman" w:hAnsi="Times New Roman"/>
          <w:spacing w:val="-2"/>
          <w:sz w:val="24"/>
        </w:rPr>
      </w:pPr>
      <w:r w:rsidRPr="00576AF8">
        <w:rPr>
          <w:rStyle w:val="Table"/>
          <w:rFonts w:ascii="Times New Roman" w:hAnsi="Times New Roman"/>
          <w:spacing w:val="-2"/>
          <w:sz w:val="24"/>
        </w:rPr>
        <w:t>Los Licitantes deberán suministrar los nombres y otros detalles de las personas clave debidamente calificadas para cumplir con el Contrato. La información sobre su experiencia se deberá consignar utilizando el Formulario de los que aparecen más abajo para cada candidato.</w:t>
      </w:r>
    </w:p>
    <w:p w14:paraId="7C3F0494" w14:textId="77777777" w:rsidR="002A4150" w:rsidRPr="00576AF8" w:rsidRDefault="002A4150" w:rsidP="002A4150">
      <w:pPr>
        <w:ind w:left="86"/>
        <w:rPr>
          <w:b/>
          <w:noProof/>
        </w:rPr>
      </w:pPr>
      <w:r w:rsidRPr="00576AF8">
        <w:rPr>
          <w:b/>
          <w:noProof/>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2A4150" w:rsidRPr="00576AF8" w14:paraId="1C1732C8" w14:textId="77777777" w:rsidTr="002A4150">
        <w:trPr>
          <w:cantSplit/>
        </w:trPr>
        <w:tc>
          <w:tcPr>
            <w:tcW w:w="720" w:type="dxa"/>
            <w:tcBorders>
              <w:top w:val="single" w:sz="6" w:space="0" w:color="auto"/>
              <w:left w:val="single" w:sz="6" w:space="0" w:color="auto"/>
              <w:bottom w:val="nil"/>
              <w:right w:val="nil"/>
            </w:tcBorders>
            <w:hideMark/>
          </w:tcPr>
          <w:p w14:paraId="189FA5DE" w14:textId="77777777" w:rsidR="002A4150" w:rsidRPr="00576AF8" w:rsidRDefault="002A4150" w:rsidP="002A4150">
            <w:pPr>
              <w:spacing w:before="120"/>
              <w:rPr>
                <w:b/>
                <w:bCs/>
                <w:spacing w:val="-2"/>
                <w:sz w:val="20"/>
              </w:rPr>
            </w:pPr>
            <w:r w:rsidRPr="00576AF8">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3FAAF21E" w14:textId="77777777" w:rsidR="002A4150" w:rsidRPr="00576AF8" w:rsidRDefault="002A4150" w:rsidP="002A4150">
            <w:pPr>
              <w:spacing w:before="120"/>
              <w:rPr>
                <w:b/>
                <w:bCs/>
                <w:spacing w:val="-2"/>
                <w:sz w:val="20"/>
              </w:rPr>
            </w:pPr>
            <w:r w:rsidRPr="00576AF8">
              <w:rPr>
                <w:b/>
                <w:bCs/>
                <w:spacing w:val="-2"/>
                <w:sz w:val="20"/>
              </w:rPr>
              <w:t xml:space="preserve">Título de la posición: </w:t>
            </w:r>
          </w:p>
        </w:tc>
      </w:tr>
      <w:tr w:rsidR="002A4150" w:rsidRPr="00576AF8" w14:paraId="2E0D761B" w14:textId="77777777" w:rsidTr="002A4150">
        <w:trPr>
          <w:cantSplit/>
        </w:trPr>
        <w:tc>
          <w:tcPr>
            <w:tcW w:w="720" w:type="dxa"/>
            <w:tcBorders>
              <w:top w:val="nil"/>
              <w:left w:val="single" w:sz="6" w:space="0" w:color="auto"/>
              <w:bottom w:val="nil"/>
              <w:right w:val="nil"/>
            </w:tcBorders>
          </w:tcPr>
          <w:p w14:paraId="4103D9E1" w14:textId="77777777" w:rsidR="002A4150" w:rsidRPr="00576AF8" w:rsidRDefault="002A4150" w:rsidP="002A4150">
            <w:pPr>
              <w:spacing w:before="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BCA618F" w14:textId="77777777" w:rsidR="002A4150" w:rsidRPr="00576AF8" w:rsidRDefault="002A4150" w:rsidP="002A4150">
            <w:pPr>
              <w:spacing w:before="120"/>
              <w:rPr>
                <w:b/>
                <w:bCs/>
                <w:spacing w:val="-2"/>
                <w:sz w:val="20"/>
              </w:rPr>
            </w:pPr>
            <w:r w:rsidRPr="00576AF8">
              <w:rPr>
                <w:b/>
                <w:bCs/>
                <w:spacing w:val="-2"/>
                <w:sz w:val="20"/>
              </w:rPr>
              <w:t>Nombre del candidato:</w:t>
            </w:r>
          </w:p>
        </w:tc>
      </w:tr>
      <w:tr w:rsidR="002A4150" w:rsidRPr="00576AF8" w14:paraId="04E6194B" w14:textId="77777777" w:rsidTr="002A4150">
        <w:trPr>
          <w:cantSplit/>
        </w:trPr>
        <w:tc>
          <w:tcPr>
            <w:tcW w:w="720" w:type="dxa"/>
            <w:tcBorders>
              <w:top w:val="nil"/>
              <w:left w:val="single" w:sz="6" w:space="0" w:color="auto"/>
              <w:bottom w:val="nil"/>
              <w:right w:val="nil"/>
            </w:tcBorders>
          </w:tcPr>
          <w:p w14:paraId="5578A467"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1047DEE9" w14:textId="77777777" w:rsidR="002A4150" w:rsidRPr="00576AF8" w:rsidRDefault="002A4150" w:rsidP="002A4150">
            <w:pPr>
              <w:rPr>
                <w:b/>
                <w:sz w:val="20"/>
              </w:rPr>
            </w:pPr>
            <w:r w:rsidRPr="00576AF8">
              <w:rPr>
                <w:b/>
                <w:sz w:val="20"/>
              </w:rPr>
              <w:t>Duración del nombramiento:</w:t>
            </w:r>
          </w:p>
        </w:tc>
        <w:tc>
          <w:tcPr>
            <w:tcW w:w="6470" w:type="dxa"/>
            <w:tcBorders>
              <w:top w:val="single" w:sz="6" w:space="0" w:color="auto"/>
              <w:left w:val="single" w:sz="6" w:space="0" w:color="auto"/>
              <w:bottom w:val="nil"/>
              <w:right w:val="single" w:sz="6" w:space="0" w:color="auto"/>
            </w:tcBorders>
          </w:tcPr>
          <w:p w14:paraId="303F3BCE" w14:textId="77777777" w:rsidR="002A4150" w:rsidRPr="00576AF8" w:rsidRDefault="002A4150" w:rsidP="002A4150">
            <w:pPr>
              <w:rPr>
                <w:i/>
                <w:sz w:val="20"/>
              </w:rPr>
            </w:pPr>
            <w:r w:rsidRPr="00576AF8">
              <w:rPr>
                <w:i/>
                <w:sz w:val="20"/>
              </w:rPr>
              <w:t>[insertar la duración (fechas de inicio y terminación) para la cual esta posición será retenida]</w:t>
            </w:r>
          </w:p>
        </w:tc>
      </w:tr>
      <w:tr w:rsidR="002A4150" w:rsidRPr="00576AF8" w14:paraId="45AFC717" w14:textId="77777777" w:rsidTr="002A4150">
        <w:trPr>
          <w:cantSplit/>
          <w:trHeight w:val="498"/>
        </w:trPr>
        <w:tc>
          <w:tcPr>
            <w:tcW w:w="720" w:type="dxa"/>
            <w:tcBorders>
              <w:top w:val="nil"/>
              <w:left w:val="single" w:sz="6" w:space="0" w:color="auto"/>
              <w:bottom w:val="nil"/>
              <w:right w:val="nil"/>
            </w:tcBorders>
          </w:tcPr>
          <w:p w14:paraId="0A65025B"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601801B2" w14:textId="77777777" w:rsidR="002A4150" w:rsidRPr="00576AF8" w:rsidRDefault="002A4150" w:rsidP="002A4150">
            <w:pPr>
              <w:rPr>
                <w:b/>
                <w:sz w:val="20"/>
              </w:rPr>
            </w:pPr>
            <w:r w:rsidRPr="00576AF8">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1406030D" w14:textId="77777777" w:rsidR="002A4150" w:rsidRPr="00576AF8" w:rsidRDefault="002A4150" w:rsidP="002A4150">
            <w:pPr>
              <w:rPr>
                <w:i/>
                <w:sz w:val="20"/>
              </w:rPr>
            </w:pPr>
            <w:r w:rsidRPr="00576AF8">
              <w:rPr>
                <w:i/>
                <w:sz w:val="20"/>
              </w:rPr>
              <w:t>[insertar el número de días/semanas/meses planeadas para esta posición]</w:t>
            </w:r>
          </w:p>
        </w:tc>
      </w:tr>
      <w:tr w:rsidR="002A4150" w:rsidRPr="00576AF8" w14:paraId="2CBC570B" w14:textId="77777777" w:rsidTr="002A4150">
        <w:trPr>
          <w:cantSplit/>
        </w:trPr>
        <w:tc>
          <w:tcPr>
            <w:tcW w:w="720" w:type="dxa"/>
            <w:tcBorders>
              <w:top w:val="nil"/>
              <w:left w:val="single" w:sz="6" w:space="0" w:color="auto"/>
              <w:bottom w:val="nil"/>
              <w:right w:val="nil"/>
            </w:tcBorders>
          </w:tcPr>
          <w:p w14:paraId="03758E22"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FDA5A7C" w14:textId="77777777" w:rsidR="002A4150" w:rsidRPr="00576AF8" w:rsidRDefault="002A4150" w:rsidP="002A4150">
            <w:pPr>
              <w:rPr>
                <w:b/>
                <w:sz w:val="20"/>
              </w:rPr>
            </w:pPr>
            <w:r w:rsidRPr="00576AF8">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06CE205D" w14:textId="77777777" w:rsidR="002A4150" w:rsidRPr="00576AF8" w:rsidRDefault="002A4150" w:rsidP="002A4150">
            <w:pPr>
              <w:rPr>
                <w:i/>
                <w:sz w:val="20"/>
              </w:rPr>
            </w:pPr>
            <w:r w:rsidRPr="00576AF8">
              <w:rPr>
                <w:i/>
                <w:sz w:val="20"/>
              </w:rPr>
              <w:t>[insertar el calendario esperado para esta posición (por ejemplo, adjuntar el gráfico Gantt de primer nivel)]</w:t>
            </w:r>
          </w:p>
        </w:tc>
      </w:tr>
      <w:tr w:rsidR="00A83F6C" w:rsidRPr="00576AF8" w14:paraId="0CD546D1" w14:textId="77777777" w:rsidTr="002A4150">
        <w:trPr>
          <w:cantSplit/>
        </w:trPr>
        <w:tc>
          <w:tcPr>
            <w:tcW w:w="720" w:type="dxa"/>
            <w:tcBorders>
              <w:top w:val="nil"/>
              <w:left w:val="single" w:sz="6" w:space="0" w:color="auto"/>
              <w:bottom w:val="nil"/>
              <w:right w:val="nil"/>
            </w:tcBorders>
          </w:tcPr>
          <w:p w14:paraId="506410DE"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29E8069E" w14:textId="77777777" w:rsidR="00A83F6C" w:rsidRPr="00576AF8" w:rsidRDefault="00A83F6C" w:rsidP="004313F3">
            <w:pPr>
              <w:jc w:val="left"/>
              <w:rPr>
                <w:b/>
                <w:sz w:val="20"/>
              </w:rPr>
            </w:pPr>
            <w:r w:rsidRPr="00576AF8">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5529970" w14:textId="77777777" w:rsidR="00A83F6C" w:rsidRPr="00576AF8" w:rsidRDefault="00A83F6C" w:rsidP="002A4150">
            <w:pPr>
              <w:rPr>
                <w:i/>
                <w:sz w:val="20"/>
              </w:rPr>
            </w:pPr>
            <w:r w:rsidRPr="00576AF8">
              <w:rPr>
                <w:b/>
                <w:i/>
                <w:sz w:val="20"/>
              </w:rPr>
              <w:t>[indique país]</w:t>
            </w:r>
          </w:p>
        </w:tc>
      </w:tr>
      <w:tr w:rsidR="00A83F6C" w:rsidRPr="00576AF8" w14:paraId="084C7410" w14:textId="77777777" w:rsidTr="002A4150">
        <w:trPr>
          <w:cantSplit/>
        </w:trPr>
        <w:tc>
          <w:tcPr>
            <w:tcW w:w="720" w:type="dxa"/>
            <w:tcBorders>
              <w:top w:val="nil"/>
              <w:left w:val="single" w:sz="6" w:space="0" w:color="auto"/>
              <w:bottom w:val="nil"/>
              <w:right w:val="nil"/>
            </w:tcBorders>
          </w:tcPr>
          <w:p w14:paraId="6D0A6D54"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4113291" w14:textId="77777777" w:rsidR="00A83F6C" w:rsidRPr="00576AF8" w:rsidRDefault="00A83F6C" w:rsidP="00A83F6C">
            <w:pPr>
              <w:jc w:val="left"/>
              <w:rPr>
                <w:b/>
                <w:sz w:val="20"/>
              </w:rPr>
            </w:pPr>
            <w:r w:rsidRPr="00576AF8">
              <w:rPr>
                <w:b/>
                <w:sz w:val="20"/>
              </w:rPr>
              <w:t>Formación profesional</w:t>
            </w:r>
          </w:p>
        </w:tc>
        <w:tc>
          <w:tcPr>
            <w:tcW w:w="6470" w:type="dxa"/>
            <w:tcBorders>
              <w:top w:val="single" w:sz="6" w:space="0" w:color="auto"/>
              <w:left w:val="single" w:sz="6" w:space="0" w:color="auto"/>
              <w:bottom w:val="nil"/>
              <w:right w:val="single" w:sz="6" w:space="0" w:color="auto"/>
            </w:tcBorders>
          </w:tcPr>
          <w:p w14:paraId="62CDB2AD" w14:textId="77777777" w:rsidR="00A83F6C" w:rsidRPr="00576AF8" w:rsidRDefault="00A83F6C">
            <w:pPr>
              <w:rPr>
                <w:b/>
                <w:i/>
                <w:sz w:val="20"/>
              </w:rPr>
            </w:pPr>
            <w:r w:rsidRPr="00576AF8">
              <w:rPr>
                <w:b/>
                <w:i/>
                <w:sz w:val="20"/>
              </w:rPr>
              <w:t>[Insertar lista de educación universitaria u otra clase de educación especializada, con los nombres de las instituciones educativas, fechas de asistencia, grado(s)/diploma(s) obtenido(s)]</w:t>
            </w:r>
          </w:p>
        </w:tc>
      </w:tr>
      <w:tr w:rsidR="002A4150" w:rsidRPr="00576AF8" w14:paraId="6D2F084F" w14:textId="77777777" w:rsidTr="002A4150">
        <w:trPr>
          <w:cantSplit/>
        </w:trPr>
        <w:tc>
          <w:tcPr>
            <w:tcW w:w="720" w:type="dxa"/>
            <w:tcBorders>
              <w:top w:val="single" w:sz="6" w:space="0" w:color="auto"/>
              <w:left w:val="single" w:sz="6" w:space="0" w:color="auto"/>
              <w:bottom w:val="nil"/>
              <w:right w:val="nil"/>
            </w:tcBorders>
            <w:hideMark/>
          </w:tcPr>
          <w:p w14:paraId="780D3BC9" w14:textId="77777777" w:rsidR="002A4150" w:rsidRPr="00576AF8" w:rsidRDefault="002A4150" w:rsidP="002A4150">
            <w:pPr>
              <w:spacing w:before="120"/>
              <w:rPr>
                <w:b/>
                <w:bCs/>
                <w:spacing w:val="-2"/>
                <w:sz w:val="20"/>
              </w:rPr>
            </w:pPr>
            <w:r w:rsidRPr="00576AF8">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2EBB9424" w14:textId="77777777" w:rsidR="002A4150" w:rsidRPr="00576AF8" w:rsidRDefault="002A4150" w:rsidP="00832D24">
            <w:pPr>
              <w:spacing w:before="120"/>
              <w:rPr>
                <w:b/>
                <w:bCs/>
                <w:spacing w:val="-2"/>
                <w:sz w:val="20"/>
              </w:rPr>
            </w:pPr>
            <w:r w:rsidRPr="00576AF8">
              <w:rPr>
                <w:b/>
                <w:bCs/>
                <w:spacing w:val="-2"/>
                <w:sz w:val="20"/>
              </w:rPr>
              <w:t xml:space="preserve">Título de la posición: </w:t>
            </w:r>
          </w:p>
        </w:tc>
      </w:tr>
      <w:tr w:rsidR="002A4150" w:rsidRPr="00576AF8" w14:paraId="0B8D3089" w14:textId="77777777" w:rsidTr="002A4150">
        <w:trPr>
          <w:cantSplit/>
        </w:trPr>
        <w:tc>
          <w:tcPr>
            <w:tcW w:w="720" w:type="dxa"/>
            <w:tcBorders>
              <w:top w:val="nil"/>
              <w:left w:val="single" w:sz="6" w:space="0" w:color="auto"/>
              <w:bottom w:val="nil"/>
              <w:right w:val="nil"/>
            </w:tcBorders>
          </w:tcPr>
          <w:p w14:paraId="405EB9BB" w14:textId="77777777" w:rsidR="002A4150" w:rsidRPr="00576AF8" w:rsidRDefault="002A4150" w:rsidP="002A4150">
            <w:pPr>
              <w:spacing w:before="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0D081EAB" w14:textId="77777777" w:rsidR="002A4150" w:rsidRPr="00576AF8" w:rsidRDefault="002A4150" w:rsidP="002A4150">
            <w:pPr>
              <w:spacing w:before="120"/>
              <w:rPr>
                <w:b/>
                <w:bCs/>
                <w:spacing w:val="-2"/>
                <w:sz w:val="20"/>
              </w:rPr>
            </w:pPr>
            <w:r w:rsidRPr="00576AF8">
              <w:rPr>
                <w:b/>
                <w:bCs/>
                <w:spacing w:val="-2"/>
                <w:sz w:val="20"/>
              </w:rPr>
              <w:t>Nombre del candidato:</w:t>
            </w:r>
          </w:p>
        </w:tc>
      </w:tr>
      <w:tr w:rsidR="002A4150" w:rsidRPr="00576AF8" w14:paraId="166717F7" w14:textId="77777777" w:rsidTr="002A4150">
        <w:trPr>
          <w:cantSplit/>
          <w:trHeight w:val="498"/>
        </w:trPr>
        <w:tc>
          <w:tcPr>
            <w:tcW w:w="720" w:type="dxa"/>
            <w:tcBorders>
              <w:top w:val="nil"/>
              <w:left w:val="single" w:sz="6" w:space="0" w:color="auto"/>
              <w:bottom w:val="nil"/>
              <w:right w:val="nil"/>
            </w:tcBorders>
          </w:tcPr>
          <w:p w14:paraId="428BA3E7"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021BAE3D" w14:textId="77777777" w:rsidR="002A4150" w:rsidRPr="00576AF8" w:rsidRDefault="002A4150" w:rsidP="002A4150">
            <w:pPr>
              <w:rPr>
                <w:b/>
                <w:sz w:val="20"/>
              </w:rPr>
            </w:pPr>
            <w:r w:rsidRPr="00576AF8">
              <w:rPr>
                <w:b/>
                <w:sz w:val="20"/>
              </w:rPr>
              <w:t>Duración del nombramiento:</w:t>
            </w:r>
          </w:p>
        </w:tc>
        <w:tc>
          <w:tcPr>
            <w:tcW w:w="6470" w:type="dxa"/>
            <w:tcBorders>
              <w:top w:val="single" w:sz="6" w:space="0" w:color="auto"/>
              <w:left w:val="single" w:sz="6" w:space="0" w:color="auto"/>
              <w:bottom w:val="nil"/>
              <w:right w:val="single" w:sz="6" w:space="0" w:color="auto"/>
            </w:tcBorders>
          </w:tcPr>
          <w:p w14:paraId="7AF7FB0D" w14:textId="77777777" w:rsidR="002A4150" w:rsidRPr="00576AF8" w:rsidRDefault="002A4150" w:rsidP="002A4150">
            <w:pPr>
              <w:rPr>
                <w:sz w:val="20"/>
              </w:rPr>
            </w:pPr>
            <w:r w:rsidRPr="00576AF8">
              <w:rPr>
                <w:i/>
                <w:sz w:val="20"/>
              </w:rPr>
              <w:t>[insertar la duración (fechas de inicio y terminación) para la cual esta posición será retenida]</w:t>
            </w:r>
          </w:p>
        </w:tc>
      </w:tr>
      <w:tr w:rsidR="002A4150" w:rsidRPr="00576AF8" w14:paraId="5B8DF68F" w14:textId="77777777" w:rsidTr="002A4150">
        <w:trPr>
          <w:cantSplit/>
        </w:trPr>
        <w:tc>
          <w:tcPr>
            <w:tcW w:w="720" w:type="dxa"/>
            <w:tcBorders>
              <w:top w:val="nil"/>
              <w:left w:val="single" w:sz="6" w:space="0" w:color="auto"/>
              <w:bottom w:val="nil"/>
              <w:right w:val="nil"/>
            </w:tcBorders>
          </w:tcPr>
          <w:p w14:paraId="0C0F1B0D"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3A8D7DAA" w14:textId="77777777" w:rsidR="002A4150" w:rsidRPr="00576AF8" w:rsidRDefault="002A4150" w:rsidP="002A4150">
            <w:pPr>
              <w:rPr>
                <w:b/>
                <w:sz w:val="20"/>
              </w:rPr>
            </w:pPr>
            <w:r w:rsidRPr="00576AF8">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611AC895" w14:textId="77777777" w:rsidR="002A4150" w:rsidRPr="00576AF8" w:rsidRDefault="002A4150" w:rsidP="002A4150">
            <w:pPr>
              <w:rPr>
                <w:sz w:val="20"/>
              </w:rPr>
            </w:pPr>
            <w:r w:rsidRPr="00576AF8">
              <w:rPr>
                <w:i/>
                <w:sz w:val="20"/>
              </w:rPr>
              <w:t>[insertar el número de días/semanas/meses planeadas para esta posición]</w:t>
            </w:r>
          </w:p>
        </w:tc>
      </w:tr>
      <w:tr w:rsidR="002A4150" w:rsidRPr="00576AF8" w14:paraId="2E84BBAE" w14:textId="77777777" w:rsidTr="002A4150">
        <w:trPr>
          <w:cantSplit/>
        </w:trPr>
        <w:tc>
          <w:tcPr>
            <w:tcW w:w="720" w:type="dxa"/>
            <w:tcBorders>
              <w:top w:val="nil"/>
              <w:left w:val="single" w:sz="6" w:space="0" w:color="auto"/>
              <w:bottom w:val="nil"/>
              <w:right w:val="nil"/>
            </w:tcBorders>
          </w:tcPr>
          <w:p w14:paraId="7038C482"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CD79308" w14:textId="77777777" w:rsidR="002A4150" w:rsidRPr="00576AF8" w:rsidRDefault="002A4150" w:rsidP="002A4150">
            <w:pPr>
              <w:rPr>
                <w:b/>
                <w:sz w:val="20"/>
              </w:rPr>
            </w:pPr>
            <w:r w:rsidRPr="00576AF8">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053071A7" w14:textId="77777777" w:rsidR="002A4150" w:rsidRPr="00576AF8" w:rsidRDefault="002A4150" w:rsidP="002A4150">
            <w:pPr>
              <w:rPr>
                <w:sz w:val="20"/>
              </w:rPr>
            </w:pPr>
            <w:r w:rsidRPr="00576AF8">
              <w:rPr>
                <w:i/>
                <w:sz w:val="20"/>
              </w:rPr>
              <w:t>[insertar el calendario esperado para esta posición (por ejemplo, adjuntar el gráfico Gantt de primer nivel)]</w:t>
            </w:r>
          </w:p>
        </w:tc>
      </w:tr>
      <w:tr w:rsidR="00A83F6C" w:rsidRPr="00576AF8" w14:paraId="7FDA0F72" w14:textId="77777777" w:rsidTr="002A4150">
        <w:trPr>
          <w:cantSplit/>
        </w:trPr>
        <w:tc>
          <w:tcPr>
            <w:tcW w:w="720" w:type="dxa"/>
            <w:tcBorders>
              <w:top w:val="nil"/>
              <w:left w:val="single" w:sz="6" w:space="0" w:color="auto"/>
              <w:bottom w:val="nil"/>
              <w:right w:val="nil"/>
            </w:tcBorders>
          </w:tcPr>
          <w:p w14:paraId="3520DBE7"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8A0F0A7" w14:textId="77777777" w:rsidR="00A83F6C" w:rsidRPr="00576AF8" w:rsidRDefault="00A83F6C" w:rsidP="002A4150">
            <w:pPr>
              <w:rPr>
                <w:b/>
                <w:sz w:val="20"/>
              </w:rPr>
            </w:pPr>
            <w:r w:rsidRPr="00576AF8">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613D184C" w14:textId="77777777" w:rsidR="00A83F6C" w:rsidRPr="00576AF8" w:rsidRDefault="00A83F6C" w:rsidP="002A4150">
            <w:pPr>
              <w:rPr>
                <w:i/>
                <w:sz w:val="20"/>
              </w:rPr>
            </w:pPr>
            <w:r w:rsidRPr="00576AF8">
              <w:rPr>
                <w:b/>
                <w:i/>
                <w:sz w:val="20"/>
              </w:rPr>
              <w:t>[indique país]</w:t>
            </w:r>
          </w:p>
        </w:tc>
      </w:tr>
      <w:tr w:rsidR="00A83F6C" w:rsidRPr="00576AF8" w14:paraId="4D342D76" w14:textId="77777777" w:rsidTr="004313F3">
        <w:trPr>
          <w:cantSplit/>
        </w:trPr>
        <w:tc>
          <w:tcPr>
            <w:tcW w:w="720" w:type="dxa"/>
            <w:tcBorders>
              <w:top w:val="nil"/>
              <w:left w:val="single" w:sz="6" w:space="0" w:color="auto"/>
              <w:bottom w:val="single" w:sz="4" w:space="0" w:color="auto"/>
              <w:right w:val="nil"/>
            </w:tcBorders>
          </w:tcPr>
          <w:p w14:paraId="6B8F8192"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7B6AB34C" w14:textId="77777777" w:rsidR="00A83F6C" w:rsidRPr="00576AF8" w:rsidRDefault="00A83F6C" w:rsidP="002A4150">
            <w:pPr>
              <w:rPr>
                <w:b/>
                <w:sz w:val="20"/>
              </w:rPr>
            </w:pPr>
            <w:r w:rsidRPr="00576AF8">
              <w:rPr>
                <w:b/>
                <w:sz w:val="20"/>
              </w:rPr>
              <w:t>Formación profesional</w:t>
            </w:r>
          </w:p>
        </w:tc>
        <w:tc>
          <w:tcPr>
            <w:tcW w:w="6470" w:type="dxa"/>
            <w:tcBorders>
              <w:top w:val="single" w:sz="6" w:space="0" w:color="auto"/>
              <w:left w:val="single" w:sz="6" w:space="0" w:color="auto"/>
              <w:bottom w:val="single" w:sz="4" w:space="0" w:color="auto"/>
              <w:right w:val="single" w:sz="6" w:space="0" w:color="auto"/>
            </w:tcBorders>
          </w:tcPr>
          <w:p w14:paraId="476D7527" w14:textId="77777777" w:rsidR="00A83F6C" w:rsidRPr="00576AF8" w:rsidRDefault="00A83F6C" w:rsidP="002A4150">
            <w:pPr>
              <w:rPr>
                <w:i/>
                <w:sz w:val="20"/>
              </w:rPr>
            </w:pPr>
            <w:r w:rsidRPr="00576AF8">
              <w:rPr>
                <w:b/>
                <w:i/>
                <w:sz w:val="20"/>
              </w:rPr>
              <w:t>[Insertar lista de educación universitaria u otra clase de educación especializada, con los nombres de las instituciones educativas, fechas de asistencia, grado(s)/diploma(s) obtenido(s)]</w:t>
            </w:r>
          </w:p>
        </w:tc>
      </w:tr>
      <w:tr w:rsidR="002A4150" w:rsidRPr="00576AF8" w14:paraId="4EA29BA2" w14:textId="77777777" w:rsidTr="004313F3">
        <w:trPr>
          <w:cantSplit/>
        </w:trPr>
        <w:tc>
          <w:tcPr>
            <w:tcW w:w="720" w:type="dxa"/>
            <w:tcBorders>
              <w:top w:val="single" w:sz="4" w:space="0" w:color="auto"/>
              <w:left w:val="single" w:sz="6" w:space="0" w:color="auto"/>
              <w:bottom w:val="nil"/>
              <w:right w:val="nil"/>
            </w:tcBorders>
            <w:hideMark/>
          </w:tcPr>
          <w:p w14:paraId="65C0EEF7" w14:textId="77777777" w:rsidR="002A4150" w:rsidRPr="00576AF8" w:rsidRDefault="002A4150" w:rsidP="002A4150">
            <w:pPr>
              <w:spacing w:before="120"/>
              <w:rPr>
                <w:b/>
                <w:bCs/>
                <w:spacing w:val="-2"/>
                <w:sz w:val="20"/>
              </w:rPr>
            </w:pPr>
            <w:r w:rsidRPr="00576AF8">
              <w:rPr>
                <w:b/>
                <w:bCs/>
                <w:spacing w:val="-2"/>
                <w:sz w:val="20"/>
              </w:rPr>
              <w:t>3.</w:t>
            </w:r>
          </w:p>
        </w:tc>
        <w:tc>
          <w:tcPr>
            <w:tcW w:w="8370" w:type="dxa"/>
            <w:gridSpan w:val="2"/>
            <w:tcBorders>
              <w:top w:val="single" w:sz="4" w:space="0" w:color="auto"/>
              <w:left w:val="single" w:sz="6" w:space="0" w:color="auto"/>
              <w:bottom w:val="nil"/>
              <w:right w:val="single" w:sz="6" w:space="0" w:color="auto"/>
            </w:tcBorders>
            <w:hideMark/>
          </w:tcPr>
          <w:p w14:paraId="359C7789" w14:textId="77777777" w:rsidR="002A4150" w:rsidRPr="00576AF8" w:rsidRDefault="002A4150" w:rsidP="00832D24">
            <w:pPr>
              <w:spacing w:before="120"/>
              <w:rPr>
                <w:b/>
                <w:bCs/>
                <w:spacing w:val="-2"/>
                <w:sz w:val="20"/>
              </w:rPr>
            </w:pPr>
            <w:r w:rsidRPr="00576AF8">
              <w:rPr>
                <w:b/>
                <w:bCs/>
                <w:spacing w:val="-2"/>
                <w:sz w:val="20"/>
              </w:rPr>
              <w:t xml:space="preserve">Título de la posición: </w:t>
            </w:r>
          </w:p>
        </w:tc>
      </w:tr>
      <w:tr w:rsidR="002A4150" w:rsidRPr="00576AF8" w14:paraId="23681803" w14:textId="77777777" w:rsidTr="002A4150">
        <w:trPr>
          <w:cantSplit/>
        </w:trPr>
        <w:tc>
          <w:tcPr>
            <w:tcW w:w="720" w:type="dxa"/>
            <w:tcBorders>
              <w:top w:val="nil"/>
              <w:left w:val="single" w:sz="6" w:space="0" w:color="auto"/>
              <w:bottom w:val="nil"/>
              <w:right w:val="nil"/>
            </w:tcBorders>
          </w:tcPr>
          <w:p w14:paraId="4F398006" w14:textId="77777777" w:rsidR="002A4150" w:rsidRPr="00576AF8" w:rsidRDefault="002A4150" w:rsidP="002A4150">
            <w:pPr>
              <w:spacing w:before="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BF14EC7" w14:textId="77777777" w:rsidR="002A4150" w:rsidRPr="00576AF8" w:rsidRDefault="002A4150" w:rsidP="002A4150">
            <w:pPr>
              <w:spacing w:before="120"/>
              <w:rPr>
                <w:b/>
                <w:bCs/>
                <w:spacing w:val="-2"/>
                <w:sz w:val="20"/>
              </w:rPr>
            </w:pPr>
            <w:r w:rsidRPr="00576AF8">
              <w:rPr>
                <w:b/>
                <w:bCs/>
                <w:spacing w:val="-2"/>
                <w:sz w:val="20"/>
              </w:rPr>
              <w:t>Nombre del candidato:</w:t>
            </w:r>
          </w:p>
        </w:tc>
      </w:tr>
      <w:tr w:rsidR="002A4150" w:rsidRPr="00576AF8" w14:paraId="79217238" w14:textId="77777777" w:rsidTr="002A4150">
        <w:trPr>
          <w:cantSplit/>
        </w:trPr>
        <w:tc>
          <w:tcPr>
            <w:tcW w:w="720" w:type="dxa"/>
            <w:tcBorders>
              <w:top w:val="nil"/>
              <w:left w:val="single" w:sz="6" w:space="0" w:color="auto"/>
              <w:bottom w:val="nil"/>
              <w:right w:val="nil"/>
            </w:tcBorders>
          </w:tcPr>
          <w:p w14:paraId="6B6DFE55"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75C2FB83" w14:textId="77777777" w:rsidR="002A4150" w:rsidRPr="00576AF8" w:rsidRDefault="002A4150" w:rsidP="002A4150">
            <w:pPr>
              <w:rPr>
                <w:b/>
                <w:sz w:val="20"/>
              </w:rPr>
            </w:pPr>
            <w:r w:rsidRPr="00576AF8">
              <w:rPr>
                <w:b/>
                <w:sz w:val="20"/>
              </w:rPr>
              <w:t>Duración del nombramiento:</w:t>
            </w:r>
          </w:p>
        </w:tc>
        <w:tc>
          <w:tcPr>
            <w:tcW w:w="6470" w:type="dxa"/>
            <w:tcBorders>
              <w:top w:val="single" w:sz="6" w:space="0" w:color="auto"/>
              <w:left w:val="single" w:sz="6" w:space="0" w:color="auto"/>
              <w:bottom w:val="nil"/>
              <w:right w:val="single" w:sz="6" w:space="0" w:color="auto"/>
            </w:tcBorders>
          </w:tcPr>
          <w:p w14:paraId="5437BB83" w14:textId="77777777" w:rsidR="002A4150" w:rsidRPr="00576AF8" w:rsidRDefault="002A4150" w:rsidP="002A4150">
            <w:pPr>
              <w:rPr>
                <w:sz w:val="20"/>
              </w:rPr>
            </w:pPr>
            <w:r w:rsidRPr="00576AF8">
              <w:rPr>
                <w:i/>
                <w:sz w:val="20"/>
              </w:rPr>
              <w:t>[insertar la duración (fechas de inicio y terminación) para la cual esta posición será retenida]</w:t>
            </w:r>
          </w:p>
        </w:tc>
      </w:tr>
      <w:tr w:rsidR="002A4150" w:rsidRPr="00576AF8" w14:paraId="5912C6CF" w14:textId="77777777" w:rsidTr="002A4150">
        <w:trPr>
          <w:cantSplit/>
        </w:trPr>
        <w:tc>
          <w:tcPr>
            <w:tcW w:w="720" w:type="dxa"/>
            <w:tcBorders>
              <w:top w:val="nil"/>
              <w:left w:val="single" w:sz="6" w:space="0" w:color="auto"/>
              <w:bottom w:val="single" w:sz="4" w:space="0" w:color="auto"/>
              <w:right w:val="nil"/>
            </w:tcBorders>
          </w:tcPr>
          <w:p w14:paraId="1327C230"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77515804" w14:textId="77777777" w:rsidR="002A4150" w:rsidRPr="00576AF8" w:rsidRDefault="002A4150" w:rsidP="002A4150">
            <w:pPr>
              <w:rPr>
                <w:b/>
                <w:sz w:val="20"/>
              </w:rPr>
            </w:pPr>
            <w:r w:rsidRPr="00576AF8">
              <w:rPr>
                <w:b/>
                <w:sz w:val="20"/>
              </w:rPr>
              <w:t>Tiempo destinado a esta posición:</w:t>
            </w:r>
          </w:p>
        </w:tc>
        <w:tc>
          <w:tcPr>
            <w:tcW w:w="6470" w:type="dxa"/>
            <w:tcBorders>
              <w:top w:val="single" w:sz="6" w:space="0" w:color="auto"/>
              <w:left w:val="single" w:sz="6" w:space="0" w:color="auto"/>
              <w:bottom w:val="single" w:sz="4" w:space="0" w:color="auto"/>
              <w:right w:val="single" w:sz="6" w:space="0" w:color="auto"/>
            </w:tcBorders>
          </w:tcPr>
          <w:p w14:paraId="06AA9495" w14:textId="77777777" w:rsidR="002A4150" w:rsidRPr="00576AF8" w:rsidRDefault="002A4150" w:rsidP="002A4150">
            <w:pPr>
              <w:rPr>
                <w:sz w:val="20"/>
              </w:rPr>
            </w:pPr>
            <w:r w:rsidRPr="00576AF8">
              <w:rPr>
                <w:i/>
                <w:sz w:val="20"/>
              </w:rPr>
              <w:t>[insertar el número de días/semanas/meses planeadas para esta posición]</w:t>
            </w:r>
          </w:p>
        </w:tc>
      </w:tr>
      <w:tr w:rsidR="002A4150" w:rsidRPr="00576AF8" w14:paraId="09420DA1" w14:textId="77777777" w:rsidTr="002A4150">
        <w:trPr>
          <w:cantSplit/>
          <w:trHeight w:val="723"/>
        </w:trPr>
        <w:tc>
          <w:tcPr>
            <w:tcW w:w="720" w:type="dxa"/>
            <w:tcBorders>
              <w:top w:val="single" w:sz="4" w:space="0" w:color="auto"/>
              <w:left w:val="single" w:sz="6" w:space="0" w:color="auto"/>
              <w:bottom w:val="nil"/>
              <w:right w:val="nil"/>
            </w:tcBorders>
          </w:tcPr>
          <w:p w14:paraId="4061D342" w14:textId="77777777" w:rsidR="002A4150" w:rsidRPr="00576AF8" w:rsidRDefault="002A4150" w:rsidP="002A4150">
            <w:pPr>
              <w:spacing w:before="120"/>
              <w:rPr>
                <w:b/>
                <w:bCs/>
                <w:spacing w:val="-2"/>
                <w:sz w:val="20"/>
              </w:rPr>
            </w:pPr>
          </w:p>
        </w:tc>
        <w:tc>
          <w:tcPr>
            <w:tcW w:w="1900" w:type="dxa"/>
            <w:tcBorders>
              <w:top w:val="single" w:sz="4" w:space="0" w:color="auto"/>
              <w:left w:val="single" w:sz="6" w:space="0" w:color="auto"/>
              <w:bottom w:val="nil"/>
              <w:right w:val="single" w:sz="6" w:space="0" w:color="auto"/>
            </w:tcBorders>
          </w:tcPr>
          <w:p w14:paraId="03F25F93" w14:textId="77777777" w:rsidR="002A4150" w:rsidRPr="00576AF8" w:rsidRDefault="002A4150" w:rsidP="002A4150">
            <w:pPr>
              <w:rPr>
                <w:b/>
                <w:sz w:val="20"/>
              </w:rPr>
            </w:pPr>
            <w:r w:rsidRPr="00576AF8">
              <w:rPr>
                <w:b/>
                <w:sz w:val="20"/>
              </w:rPr>
              <w:t xml:space="preserve">Calendario planeado para esta posición: </w:t>
            </w:r>
          </w:p>
        </w:tc>
        <w:tc>
          <w:tcPr>
            <w:tcW w:w="6470" w:type="dxa"/>
            <w:tcBorders>
              <w:top w:val="single" w:sz="4" w:space="0" w:color="auto"/>
              <w:left w:val="single" w:sz="6" w:space="0" w:color="auto"/>
              <w:bottom w:val="nil"/>
              <w:right w:val="single" w:sz="6" w:space="0" w:color="auto"/>
            </w:tcBorders>
          </w:tcPr>
          <w:p w14:paraId="044940A8" w14:textId="77777777" w:rsidR="002A4150" w:rsidRPr="00576AF8" w:rsidRDefault="002A4150" w:rsidP="002A4150">
            <w:pPr>
              <w:rPr>
                <w:sz w:val="20"/>
              </w:rPr>
            </w:pPr>
            <w:r w:rsidRPr="00576AF8">
              <w:rPr>
                <w:i/>
                <w:sz w:val="20"/>
              </w:rPr>
              <w:t>[insertar el calendario esperado para esta posición (por ejemplo, adjuntar el gráfico Gantt de primer nivel)]</w:t>
            </w:r>
          </w:p>
        </w:tc>
      </w:tr>
      <w:tr w:rsidR="00A83F6C" w:rsidRPr="00576AF8" w14:paraId="455125D8" w14:textId="77777777" w:rsidTr="002A4150">
        <w:trPr>
          <w:cantSplit/>
          <w:trHeight w:val="723"/>
        </w:trPr>
        <w:tc>
          <w:tcPr>
            <w:tcW w:w="720" w:type="dxa"/>
            <w:tcBorders>
              <w:top w:val="single" w:sz="4" w:space="0" w:color="auto"/>
              <w:left w:val="single" w:sz="6" w:space="0" w:color="auto"/>
              <w:bottom w:val="nil"/>
              <w:right w:val="nil"/>
            </w:tcBorders>
          </w:tcPr>
          <w:p w14:paraId="46118D7D" w14:textId="77777777" w:rsidR="00A83F6C" w:rsidRPr="00576AF8" w:rsidRDefault="00A83F6C" w:rsidP="002A4150">
            <w:pPr>
              <w:spacing w:before="120"/>
              <w:rPr>
                <w:b/>
                <w:bCs/>
                <w:spacing w:val="-2"/>
                <w:sz w:val="20"/>
              </w:rPr>
            </w:pPr>
          </w:p>
        </w:tc>
        <w:tc>
          <w:tcPr>
            <w:tcW w:w="1900" w:type="dxa"/>
            <w:tcBorders>
              <w:top w:val="single" w:sz="4" w:space="0" w:color="auto"/>
              <w:left w:val="single" w:sz="6" w:space="0" w:color="auto"/>
              <w:bottom w:val="nil"/>
              <w:right w:val="single" w:sz="6" w:space="0" w:color="auto"/>
            </w:tcBorders>
          </w:tcPr>
          <w:p w14:paraId="2A6DD080" w14:textId="77777777" w:rsidR="00A83F6C" w:rsidRPr="00576AF8" w:rsidRDefault="00A83F6C" w:rsidP="002A4150">
            <w:pPr>
              <w:rPr>
                <w:b/>
                <w:sz w:val="20"/>
              </w:rPr>
            </w:pPr>
            <w:r w:rsidRPr="00576AF8">
              <w:rPr>
                <w:b/>
                <w:sz w:val="20"/>
              </w:rPr>
              <w:t xml:space="preserve">País de Ciudadanía o Residencia:  </w:t>
            </w:r>
          </w:p>
        </w:tc>
        <w:tc>
          <w:tcPr>
            <w:tcW w:w="6470" w:type="dxa"/>
            <w:tcBorders>
              <w:top w:val="single" w:sz="4" w:space="0" w:color="auto"/>
              <w:left w:val="single" w:sz="6" w:space="0" w:color="auto"/>
              <w:bottom w:val="nil"/>
              <w:right w:val="single" w:sz="6" w:space="0" w:color="auto"/>
            </w:tcBorders>
          </w:tcPr>
          <w:p w14:paraId="51E47B0B" w14:textId="77777777" w:rsidR="00A83F6C" w:rsidRPr="00576AF8" w:rsidRDefault="00A83F6C" w:rsidP="002A4150">
            <w:pPr>
              <w:rPr>
                <w:i/>
                <w:sz w:val="20"/>
              </w:rPr>
            </w:pPr>
            <w:r w:rsidRPr="00576AF8">
              <w:rPr>
                <w:b/>
                <w:i/>
                <w:sz w:val="20"/>
              </w:rPr>
              <w:t>[indique país]</w:t>
            </w:r>
          </w:p>
        </w:tc>
      </w:tr>
      <w:tr w:rsidR="00A83F6C" w:rsidRPr="00576AF8" w14:paraId="1BCEB122" w14:textId="77777777" w:rsidTr="002A4150">
        <w:trPr>
          <w:cantSplit/>
          <w:trHeight w:val="723"/>
        </w:trPr>
        <w:tc>
          <w:tcPr>
            <w:tcW w:w="720" w:type="dxa"/>
            <w:tcBorders>
              <w:top w:val="single" w:sz="4" w:space="0" w:color="auto"/>
              <w:left w:val="single" w:sz="6" w:space="0" w:color="auto"/>
              <w:bottom w:val="nil"/>
              <w:right w:val="nil"/>
            </w:tcBorders>
          </w:tcPr>
          <w:p w14:paraId="5525A8EF" w14:textId="77777777" w:rsidR="00A83F6C" w:rsidRPr="00576AF8" w:rsidRDefault="00A83F6C" w:rsidP="002A4150">
            <w:pPr>
              <w:spacing w:before="120"/>
              <w:rPr>
                <w:b/>
                <w:bCs/>
                <w:spacing w:val="-2"/>
                <w:sz w:val="20"/>
              </w:rPr>
            </w:pPr>
          </w:p>
        </w:tc>
        <w:tc>
          <w:tcPr>
            <w:tcW w:w="1900" w:type="dxa"/>
            <w:tcBorders>
              <w:top w:val="single" w:sz="4" w:space="0" w:color="auto"/>
              <w:left w:val="single" w:sz="6" w:space="0" w:color="auto"/>
              <w:bottom w:val="nil"/>
              <w:right w:val="single" w:sz="6" w:space="0" w:color="auto"/>
            </w:tcBorders>
          </w:tcPr>
          <w:p w14:paraId="20CEAE05" w14:textId="77777777" w:rsidR="00A83F6C" w:rsidRPr="00576AF8" w:rsidRDefault="00A83F6C" w:rsidP="002A4150">
            <w:pPr>
              <w:rPr>
                <w:b/>
                <w:sz w:val="20"/>
              </w:rPr>
            </w:pPr>
            <w:r w:rsidRPr="00576AF8">
              <w:rPr>
                <w:b/>
                <w:sz w:val="20"/>
              </w:rPr>
              <w:t>Formación profesional</w:t>
            </w:r>
          </w:p>
        </w:tc>
        <w:tc>
          <w:tcPr>
            <w:tcW w:w="6470" w:type="dxa"/>
            <w:tcBorders>
              <w:top w:val="single" w:sz="4" w:space="0" w:color="auto"/>
              <w:left w:val="single" w:sz="6" w:space="0" w:color="auto"/>
              <w:bottom w:val="nil"/>
              <w:right w:val="single" w:sz="6" w:space="0" w:color="auto"/>
            </w:tcBorders>
          </w:tcPr>
          <w:p w14:paraId="33F6BD73" w14:textId="77777777" w:rsidR="00A83F6C" w:rsidRPr="00576AF8" w:rsidRDefault="00A83F6C" w:rsidP="002A4150">
            <w:pPr>
              <w:rPr>
                <w:i/>
                <w:sz w:val="20"/>
              </w:rPr>
            </w:pPr>
            <w:r w:rsidRPr="00576AF8">
              <w:rPr>
                <w:b/>
                <w:i/>
                <w:sz w:val="20"/>
              </w:rPr>
              <w:t>[Insertar lista de educación universitaria u otra clase de educación especializada, con los nombres de las instituciones educativas, fechas de asistencia, grado(s)/diploma(s) obtenido(s)]</w:t>
            </w:r>
          </w:p>
        </w:tc>
      </w:tr>
      <w:tr w:rsidR="002A4150" w:rsidRPr="00576AF8" w14:paraId="18B40031" w14:textId="77777777" w:rsidTr="002A4150">
        <w:trPr>
          <w:cantSplit/>
          <w:trHeight w:val="501"/>
        </w:trPr>
        <w:tc>
          <w:tcPr>
            <w:tcW w:w="720" w:type="dxa"/>
            <w:tcBorders>
              <w:top w:val="single" w:sz="6" w:space="0" w:color="auto"/>
              <w:left w:val="single" w:sz="6" w:space="0" w:color="auto"/>
              <w:right w:val="nil"/>
            </w:tcBorders>
            <w:hideMark/>
          </w:tcPr>
          <w:p w14:paraId="636E1C59" w14:textId="77777777" w:rsidR="002A4150" w:rsidRPr="00576AF8" w:rsidRDefault="002A4150" w:rsidP="002A4150">
            <w:pPr>
              <w:spacing w:before="120"/>
              <w:rPr>
                <w:b/>
                <w:bCs/>
                <w:spacing w:val="-2"/>
                <w:sz w:val="20"/>
              </w:rPr>
            </w:pPr>
            <w:r w:rsidRPr="00576AF8">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1242689D" w14:textId="77777777" w:rsidR="002A4150" w:rsidRPr="00576AF8" w:rsidRDefault="002A4150" w:rsidP="00832D24">
            <w:pPr>
              <w:spacing w:before="120"/>
              <w:rPr>
                <w:b/>
                <w:bCs/>
                <w:spacing w:val="-2"/>
                <w:sz w:val="20"/>
              </w:rPr>
            </w:pPr>
            <w:r w:rsidRPr="00576AF8">
              <w:rPr>
                <w:b/>
                <w:bCs/>
                <w:spacing w:val="-2"/>
                <w:sz w:val="20"/>
              </w:rPr>
              <w:t xml:space="preserve">Título de la posición: </w:t>
            </w:r>
          </w:p>
        </w:tc>
      </w:tr>
      <w:tr w:rsidR="002A4150" w:rsidRPr="00576AF8" w14:paraId="4362E9E0" w14:textId="77777777" w:rsidTr="002A4150">
        <w:trPr>
          <w:cantSplit/>
        </w:trPr>
        <w:tc>
          <w:tcPr>
            <w:tcW w:w="720" w:type="dxa"/>
            <w:tcBorders>
              <w:top w:val="nil"/>
              <w:left w:val="single" w:sz="6" w:space="0" w:color="auto"/>
              <w:bottom w:val="single" w:sz="4" w:space="0" w:color="auto"/>
              <w:right w:val="nil"/>
            </w:tcBorders>
          </w:tcPr>
          <w:p w14:paraId="4C781145" w14:textId="77777777" w:rsidR="002A4150" w:rsidRPr="00576AF8" w:rsidRDefault="002A4150" w:rsidP="002A4150">
            <w:pPr>
              <w:spacing w:before="120"/>
              <w:rPr>
                <w:b/>
                <w:bCs/>
                <w:spacing w:val="-2"/>
                <w:sz w:val="20"/>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353B6A1F" w14:textId="77777777" w:rsidR="002A4150" w:rsidRPr="00576AF8" w:rsidRDefault="002A4150" w:rsidP="002A4150">
            <w:pPr>
              <w:spacing w:before="120"/>
              <w:rPr>
                <w:b/>
                <w:bCs/>
                <w:spacing w:val="-2"/>
                <w:sz w:val="20"/>
              </w:rPr>
            </w:pPr>
            <w:r w:rsidRPr="00576AF8">
              <w:rPr>
                <w:b/>
                <w:bCs/>
                <w:spacing w:val="-2"/>
                <w:sz w:val="20"/>
              </w:rPr>
              <w:t xml:space="preserve">Nombre del candidato:  </w:t>
            </w:r>
          </w:p>
        </w:tc>
      </w:tr>
      <w:tr w:rsidR="002A4150" w:rsidRPr="00576AF8" w14:paraId="1314DE8A" w14:textId="77777777" w:rsidTr="002A4150">
        <w:trPr>
          <w:cantSplit/>
        </w:trPr>
        <w:tc>
          <w:tcPr>
            <w:tcW w:w="720" w:type="dxa"/>
            <w:tcBorders>
              <w:top w:val="single" w:sz="4" w:space="0" w:color="auto"/>
              <w:left w:val="single" w:sz="6" w:space="0" w:color="auto"/>
              <w:bottom w:val="single" w:sz="4" w:space="0" w:color="auto"/>
              <w:right w:val="nil"/>
            </w:tcBorders>
          </w:tcPr>
          <w:p w14:paraId="44B2FC35"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2182622F" w14:textId="77777777" w:rsidR="002A4150" w:rsidRPr="00576AF8" w:rsidRDefault="002A4150" w:rsidP="002A4150">
            <w:pPr>
              <w:rPr>
                <w:b/>
                <w:sz w:val="20"/>
              </w:rPr>
            </w:pPr>
            <w:r w:rsidRPr="00576AF8">
              <w:rPr>
                <w:b/>
                <w:sz w:val="20"/>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21FD7241" w14:textId="77777777" w:rsidR="002A4150" w:rsidRPr="00576AF8" w:rsidRDefault="002A4150" w:rsidP="002A4150">
            <w:pPr>
              <w:rPr>
                <w:sz w:val="20"/>
              </w:rPr>
            </w:pPr>
            <w:r w:rsidRPr="00576AF8">
              <w:rPr>
                <w:i/>
                <w:sz w:val="20"/>
              </w:rPr>
              <w:t>[insertar la duración (fechas de inicio y terminación) para la cual esta posición será retenida]</w:t>
            </w:r>
          </w:p>
        </w:tc>
      </w:tr>
      <w:tr w:rsidR="002A4150" w:rsidRPr="00576AF8" w14:paraId="5FC82099" w14:textId="77777777" w:rsidTr="002A4150">
        <w:trPr>
          <w:cantSplit/>
        </w:trPr>
        <w:tc>
          <w:tcPr>
            <w:tcW w:w="720" w:type="dxa"/>
            <w:tcBorders>
              <w:top w:val="single" w:sz="4" w:space="0" w:color="auto"/>
              <w:left w:val="single" w:sz="6" w:space="0" w:color="auto"/>
              <w:bottom w:val="nil"/>
              <w:right w:val="nil"/>
            </w:tcBorders>
          </w:tcPr>
          <w:p w14:paraId="22AA0D15" w14:textId="77777777" w:rsidR="002A4150" w:rsidRPr="00576AF8" w:rsidRDefault="002A4150" w:rsidP="002A4150">
            <w:pPr>
              <w:spacing w:before="120"/>
              <w:rPr>
                <w:b/>
                <w:bCs/>
                <w:spacing w:val="-2"/>
                <w:sz w:val="20"/>
              </w:rPr>
            </w:pPr>
          </w:p>
        </w:tc>
        <w:tc>
          <w:tcPr>
            <w:tcW w:w="1900" w:type="dxa"/>
            <w:tcBorders>
              <w:top w:val="single" w:sz="4" w:space="0" w:color="auto"/>
              <w:left w:val="single" w:sz="6" w:space="0" w:color="auto"/>
              <w:bottom w:val="nil"/>
              <w:right w:val="single" w:sz="6" w:space="0" w:color="auto"/>
            </w:tcBorders>
          </w:tcPr>
          <w:p w14:paraId="70C493E6" w14:textId="77777777" w:rsidR="002A4150" w:rsidRPr="00576AF8" w:rsidRDefault="002A4150" w:rsidP="002A4150">
            <w:pPr>
              <w:rPr>
                <w:b/>
                <w:sz w:val="20"/>
              </w:rPr>
            </w:pPr>
            <w:r w:rsidRPr="00576AF8">
              <w:rPr>
                <w:b/>
                <w:sz w:val="20"/>
              </w:rPr>
              <w:t>Tiempo destinado a esta posición:</w:t>
            </w:r>
          </w:p>
        </w:tc>
        <w:tc>
          <w:tcPr>
            <w:tcW w:w="6470" w:type="dxa"/>
            <w:tcBorders>
              <w:top w:val="single" w:sz="4" w:space="0" w:color="auto"/>
              <w:left w:val="single" w:sz="6" w:space="0" w:color="auto"/>
              <w:bottom w:val="nil"/>
              <w:right w:val="single" w:sz="6" w:space="0" w:color="auto"/>
            </w:tcBorders>
          </w:tcPr>
          <w:p w14:paraId="406AE460" w14:textId="77777777" w:rsidR="002A4150" w:rsidRPr="00576AF8" w:rsidRDefault="002A4150" w:rsidP="002A4150">
            <w:pPr>
              <w:rPr>
                <w:sz w:val="20"/>
              </w:rPr>
            </w:pPr>
            <w:r w:rsidRPr="00576AF8">
              <w:rPr>
                <w:i/>
                <w:sz w:val="20"/>
              </w:rPr>
              <w:t>[insertar el número de días/semanas/meses planeadas para esta posición]</w:t>
            </w:r>
          </w:p>
        </w:tc>
      </w:tr>
      <w:tr w:rsidR="002A4150" w:rsidRPr="00576AF8" w14:paraId="68F5EF53" w14:textId="77777777" w:rsidTr="002A4150">
        <w:trPr>
          <w:cantSplit/>
        </w:trPr>
        <w:tc>
          <w:tcPr>
            <w:tcW w:w="720" w:type="dxa"/>
            <w:tcBorders>
              <w:top w:val="nil"/>
              <w:left w:val="single" w:sz="6" w:space="0" w:color="auto"/>
              <w:bottom w:val="nil"/>
              <w:right w:val="nil"/>
            </w:tcBorders>
          </w:tcPr>
          <w:p w14:paraId="1B9772BD"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1C197861" w14:textId="77777777" w:rsidR="002A4150" w:rsidRPr="00576AF8" w:rsidRDefault="002A4150" w:rsidP="002A4150">
            <w:pPr>
              <w:rPr>
                <w:b/>
                <w:sz w:val="20"/>
              </w:rPr>
            </w:pPr>
            <w:r w:rsidRPr="00576AF8">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182BF22A" w14:textId="77777777" w:rsidR="002A4150" w:rsidRPr="00576AF8" w:rsidRDefault="002A4150" w:rsidP="002A4150">
            <w:pPr>
              <w:rPr>
                <w:sz w:val="20"/>
              </w:rPr>
            </w:pPr>
            <w:r w:rsidRPr="00576AF8">
              <w:rPr>
                <w:i/>
                <w:sz w:val="20"/>
              </w:rPr>
              <w:t>[insertar el calendario esperado para esta posición (por ejemplo, adjuntar el gráfico Gantt de primer nivel)]</w:t>
            </w:r>
          </w:p>
        </w:tc>
      </w:tr>
      <w:tr w:rsidR="00A83F6C" w:rsidRPr="00576AF8" w14:paraId="1E84FCA8" w14:textId="77777777" w:rsidTr="002A4150">
        <w:trPr>
          <w:cantSplit/>
        </w:trPr>
        <w:tc>
          <w:tcPr>
            <w:tcW w:w="720" w:type="dxa"/>
            <w:tcBorders>
              <w:top w:val="nil"/>
              <w:left w:val="single" w:sz="6" w:space="0" w:color="auto"/>
              <w:bottom w:val="nil"/>
              <w:right w:val="nil"/>
            </w:tcBorders>
          </w:tcPr>
          <w:p w14:paraId="3DEB3A97"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04337ADE" w14:textId="77777777" w:rsidR="00A83F6C" w:rsidRPr="00576AF8" w:rsidRDefault="00A83F6C" w:rsidP="002A4150">
            <w:pPr>
              <w:rPr>
                <w:b/>
                <w:sz w:val="20"/>
              </w:rPr>
            </w:pPr>
            <w:r w:rsidRPr="00576AF8">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5FD391E" w14:textId="77777777" w:rsidR="00A83F6C" w:rsidRPr="00576AF8" w:rsidRDefault="00A83F6C" w:rsidP="002A4150">
            <w:pPr>
              <w:rPr>
                <w:i/>
                <w:sz w:val="20"/>
              </w:rPr>
            </w:pPr>
            <w:r w:rsidRPr="00576AF8">
              <w:rPr>
                <w:b/>
                <w:i/>
                <w:sz w:val="20"/>
              </w:rPr>
              <w:t>[indique país]</w:t>
            </w:r>
          </w:p>
        </w:tc>
      </w:tr>
      <w:tr w:rsidR="00A83F6C" w:rsidRPr="00576AF8" w14:paraId="7A5EA0BC" w14:textId="77777777" w:rsidTr="002A4150">
        <w:trPr>
          <w:cantSplit/>
        </w:trPr>
        <w:tc>
          <w:tcPr>
            <w:tcW w:w="720" w:type="dxa"/>
            <w:tcBorders>
              <w:top w:val="nil"/>
              <w:left w:val="single" w:sz="6" w:space="0" w:color="auto"/>
              <w:bottom w:val="nil"/>
              <w:right w:val="nil"/>
            </w:tcBorders>
          </w:tcPr>
          <w:p w14:paraId="6EDD7AD1"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1BD9033" w14:textId="77777777" w:rsidR="00A83F6C" w:rsidRPr="00576AF8" w:rsidRDefault="00A83F6C" w:rsidP="002A4150">
            <w:pPr>
              <w:rPr>
                <w:b/>
                <w:sz w:val="20"/>
              </w:rPr>
            </w:pPr>
            <w:r w:rsidRPr="00576AF8">
              <w:rPr>
                <w:b/>
                <w:sz w:val="20"/>
              </w:rPr>
              <w:t>Formación profesional</w:t>
            </w:r>
          </w:p>
        </w:tc>
        <w:tc>
          <w:tcPr>
            <w:tcW w:w="6470" w:type="dxa"/>
            <w:tcBorders>
              <w:top w:val="single" w:sz="6" w:space="0" w:color="auto"/>
              <w:left w:val="single" w:sz="6" w:space="0" w:color="auto"/>
              <w:bottom w:val="nil"/>
              <w:right w:val="single" w:sz="6" w:space="0" w:color="auto"/>
            </w:tcBorders>
          </w:tcPr>
          <w:p w14:paraId="2051BA23" w14:textId="77777777" w:rsidR="00A83F6C" w:rsidRPr="00576AF8" w:rsidRDefault="00A83F6C" w:rsidP="002A4150">
            <w:pPr>
              <w:rPr>
                <w:i/>
                <w:sz w:val="20"/>
              </w:rPr>
            </w:pPr>
            <w:r w:rsidRPr="00576AF8">
              <w:rPr>
                <w:b/>
                <w:i/>
                <w:sz w:val="20"/>
              </w:rPr>
              <w:t>[Insertar lista de educación universitaria u otra clase de educación especializada, con los nombres de las instituciones educativas, fechas de asistencia, grado(s)/diploma(s) obtenido(s)]</w:t>
            </w:r>
          </w:p>
        </w:tc>
      </w:tr>
      <w:tr w:rsidR="002A4150" w:rsidRPr="00576AF8" w14:paraId="3A4555AF" w14:textId="77777777" w:rsidTr="002A4150">
        <w:trPr>
          <w:cantSplit/>
        </w:trPr>
        <w:tc>
          <w:tcPr>
            <w:tcW w:w="720" w:type="dxa"/>
            <w:tcBorders>
              <w:top w:val="single" w:sz="6" w:space="0" w:color="auto"/>
              <w:left w:val="single" w:sz="6" w:space="0" w:color="auto"/>
              <w:bottom w:val="nil"/>
              <w:right w:val="nil"/>
            </w:tcBorders>
            <w:hideMark/>
          </w:tcPr>
          <w:p w14:paraId="1B494C34" w14:textId="77777777" w:rsidR="002A4150" w:rsidRPr="00576AF8" w:rsidRDefault="002A4150" w:rsidP="002A4150">
            <w:pPr>
              <w:spacing w:before="120"/>
              <w:rPr>
                <w:b/>
                <w:bCs/>
                <w:spacing w:val="-2"/>
                <w:sz w:val="20"/>
              </w:rPr>
            </w:pPr>
            <w:r w:rsidRPr="00576AF8">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65FD1CC3" w14:textId="77777777" w:rsidR="002A4150" w:rsidRPr="00576AF8" w:rsidRDefault="002A4150" w:rsidP="00832D24">
            <w:pPr>
              <w:spacing w:before="120"/>
              <w:rPr>
                <w:b/>
                <w:bCs/>
                <w:spacing w:val="-2"/>
                <w:sz w:val="20"/>
              </w:rPr>
            </w:pPr>
            <w:r w:rsidRPr="00576AF8">
              <w:rPr>
                <w:b/>
                <w:bCs/>
                <w:spacing w:val="-2"/>
                <w:sz w:val="20"/>
              </w:rPr>
              <w:t xml:space="preserve">Título de la posición: </w:t>
            </w:r>
          </w:p>
        </w:tc>
      </w:tr>
      <w:tr w:rsidR="002A4150" w:rsidRPr="00576AF8" w14:paraId="586D933F" w14:textId="77777777" w:rsidTr="002A4150">
        <w:trPr>
          <w:cantSplit/>
        </w:trPr>
        <w:tc>
          <w:tcPr>
            <w:tcW w:w="720" w:type="dxa"/>
            <w:tcBorders>
              <w:top w:val="nil"/>
              <w:left w:val="single" w:sz="6" w:space="0" w:color="auto"/>
              <w:bottom w:val="nil"/>
              <w:right w:val="nil"/>
            </w:tcBorders>
          </w:tcPr>
          <w:p w14:paraId="10F4E32F" w14:textId="77777777" w:rsidR="002A4150" w:rsidRPr="00576AF8" w:rsidRDefault="002A4150" w:rsidP="002A4150">
            <w:pPr>
              <w:spacing w:before="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DBC35ED" w14:textId="77777777" w:rsidR="002A4150" w:rsidRPr="00576AF8" w:rsidRDefault="002A4150" w:rsidP="002A4150">
            <w:pPr>
              <w:spacing w:before="120"/>
              <w:rPr>
                <w:b/>
                <w:bCs/>
                <w:spacing w:val="-2"/>
                <w:sz w:val="20"/>
              </w:rPr>
            </w:pPr>
            <w:r w:rsidRPr="00576AF8">
              <w:rPr>
                <w:b/>
                <w:bCs/>
                <w:spacing w:val="-2"/>
                <w:sz w:val="20"/>
              </w:rPr>
              <w:t>Nombre del candidato:</w:t>
            </w:r>
          </w:p>
        </w:tc>
      </w:tr>
      <w:tr w:rsidR="002A4150" w:rsidRPr="00576AF8" w14:paraId="38C542F2" w14:textId="77777777" w:rsidTr="002A4150">
        <w:trPr>
          <w:cantSplit/>
        </w:trPr>
        <w:tc>
          <w:tcPr>
            <w:tcW w:w="720" w:type="dxa"/>
            <w:tcBorders>
              <w:top w:val="nil"/>
              <w:left w:val="single" w:sz="6" w:space="0" w:color="auto"/>
              <w:bottom w:val="nil"/>
              <w:right w:val="nil"/>
            </w:tcBorders>
          </w:tcPr>
          <w:p w14:paraId="7EB6C308"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465005E" w14:textId="77777777" w:rsidR="002A4150" w:rsidRPr="00576AF8" w:rsidRDefault="002A4150" w:rsidP="002A4150">
            <w:pPr>
              <w:rPr>
                <w:b/>
                <w:sz w:val="20"/>
              </w:rPr>
            </w:pPr>
            <w:r w:rsidRPr="00576AF8">
              <w:rPr>
                <w:b/>
                <w:sz w:val="20"/>
              </w:rPr>
              <w:t>Duración del nombramiento:</w:t>
            </w:r>
          </w:p>
        </w:tc>
        <w:tc>
          <w:tcPr>
            <w:tcW w:w="6470" w:type="dxa"/>
            <w:tcBorders>
              <w:top w:val="single" w:sz="6" w:space="0" w:color="auto"/>
              <w:left w:val="single" w:sz="6" w:space="0" w:color="auto"/>
              <w:bottom w:val="nil"/>
              <w:right w:val="single" w:sz="6" w:space="0" w:color="auto"/>
            </w:tcBorders>
          </w:tcPr>
          <w:p w14:paraId="71CBF6BA" w14:textId="77777777" w:rsidR="002A4150" w:rsidRPr="00576AF8" w:rsidRDefault="002A4150" w:rsidP="002A4150">
            <w:pPr>
              <w:rPr>
                <w:sz w:val="20"/>
              </w:rPr>
            </w:pPr>
            <w:r w:rsidRPr="00576AF8">
              <w:rPr>
                <w:i/>
                <w:sz w:val="20"/>
              </w:rPr>
              <w:t>[insertar la duración (fechas de inicio y terminación) para la cual esta posición será retenida]</w:t>
            </w:r>
          </w:p>
        </w:tc>
      </w:tr>
      <w:tr w:rsidR="002A4150" w:rsidRPr="00576AF8" w14:paraId="4A508ACF" w14:textId="77777777" w:rsidTr="002A4150">
        <w:trPr>
          <w:cantSplit/>
        </w:trPr>
        <w:tc>
          <w:tcPr>
            <w:tcW w:w="720" w:type="dxa"/>
            <w:tcBorders>
              <w:top w:val="nil"/>
              <w:left w:val="single" w:sz="6" w:space="0" w:color="auto"/>
              <w:bottom w:val="nil"/>
              <w:right w:val="nil"/>
            </w:tcBorders>
          </w:tcPr>
          <w:p w14:paraId="02A5FDAF"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3501C5CB" w14:textId="77777777" w:rsidR="002A4150" w:rsidRPr="00576AF8" w:rsidRDefault="002A4150" w:rsidP="002A4150">
            <w:pPr>
              <w:rPr>
                <w:b/>
                <w:sz w:val="20"/>
              </w:rPr>
            </w:pPr>
            <w:r w:rsidRPr="00576AF8">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200DBE76" w14:textId="77777777" w:rsidR="002A4150" w:rsidRPr="00576AF8" w:rsidRDefault="002A4150" w:rsidP="002A4150">
            <w:pPr>
              <w:rPr>
                <w:sz w:val="20"/>
              </w:rPr>
            </w:pPr>
            <w:r w:rsidRPr="00576AF8">
              <w:rPr>
                <w:i/>
                <w:sz w:val="20"/>
              </w:rPr>
              <w:t>[insertar el número de días/semanas/meses planeadas para esta posición]</w:t>
            </w:r>
          </w:p>
        </w:tc>
      </w:tr>
      <w:tr w:rsidR="002A4150" w:rsidRPr="00576AF8" w14:paraId="05F7E449" w14:textId="77777777" w:rsidTr="004313F3">
        <w:trPr>
          <w:cantSplit/>
        </w:trPr>
        <w:tc>
          <w:tcPr>
            <w:tcW w:w="720" w:type="dxa"/>
            <w:tcBorders>
              <w:top w:val="nil"/>
              <w:left w:val="single" w:sz="6" w:space="0" w:color="auto"/>
              <w:bottom w:val="nil"/>
              <w:right w:val="nil"/>
            </w:tcBorders>
          </w:tcPr>
          <w:p w14:paraId="0EEA0E27" w14:textId="77777777" w:rsidR="002A4150" w:rsidRPr="00576AF8" w:rsidRDefault="002A4150" w:rsidP="002A4150">
            <w:pPr>
              <w:spacing w:before="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442DB7AC" w14:textId="77777777" w:rsidR="002A4150" w:rsidRPr="00576AF8" w:rsidRDefault="002A4150" w:rsidP="002A4150">
            <w:pPr>
              <w:rPr>
                <w:b/>
                <w:sz w:val="20"/>
              </w:rPr>
            </w:pPr>
            <w:r w:rsidRPr="00576AF8">
              <w:rPr>
                <w:b/>
                <w:sz w:val="20"/>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28EC2298" w14:textId="77777777" w:rsidR="002A4150" w:rsidRPr="00576AF8" w:rsidRDefault="002A4150" w:rsidP="002A4150">
            <w:pPr>
              <w:rPr>
                <w:sz w:val="20"/>
              </w:rPr>
            </w:pPr>
            <w:r w:rsidRPr="00576AF8">
              <w:rPr>
                <w:i/>
                <w:sz w:val="20"/>
              </w:rPr>
              <w:t>[insertar el calendario esperado para esta posición (por ejemplo, adjuntar el gráfico Gantt de primer nivel)]</w:t>
            </w:r>
          </w:p>
        </w:tc>
      </w:tr>
      <w:tr w:rsidR="00A83F6C" w:rsidRPr="00576AF8" w14:paraId="382B8EC5" w14:textId="77777777" w:rsidTr="00275E0F">
        <w:trPr>
          <w:cantSplit/>
        </w:trPr>
        <w:tc>
          <w:tcPr>
            <w:tcW w:w="720" w:type="dxa"/>
            <w:tcBorders>
              <w:top w:val="nil"/>
              <w:left w:val="single" w:sz="6" w:space="0" w:color="auto"/>
              <w:bottom w:val="single" w:sz="4" w:space="0" w:color="auto"/>
              <w:right w:val="nil"/>
            </w:tcBorders>
          </w:tcPr>
          <w:p w14:paraId="11FD6770" w14:textId="77777777" w:rsidR="00A83F6C" w:rsidRPr="00576AF8" w:rsidRDefault="00A83F6C" w:rsidP="002A4150">
            <w:pPr>
              <w:spacing w:before="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175FFE4" w14:textId="77777777" w:rsidR="00A83F6C" w:rsidRPr="00576AF8" w:rsidRDefault="00A83F6C" w:rsidP="002A4150">
            <w:pPr>
              <w:rPr>
                <w:b/>
                <w:sz w:val="20"/>
              </w:rPr>
            </w:pPr>
            <w:r w:rsidRPr="00576AF8">
              <w:rPr>
                <w:b/>
                <w:sz w:val="20"/>
              </w:rPr>
              <w:t xml:space="preserve">País de Ciudadanía o Residencia:  </w:t>
            </w:r>
          </w:p>
        </w:tc>
        <w:tc>
          <w:tcPr>
            <w:tcW w:w="6470" w:type="dxa"/>
            <w:tcBorders>
              <w:top w:val="single" w:sz="6" w:space="0" w:color="auto"/>
              <w:left w:val="single" w:sz="6" w:space="0" w:color="auto"/>
              <w:bottom w:val="single" w:sz="4" w:space="0" w:color="auto"/>
              <w:right w:val="single" w:sz="6" w:space="0" w:color="auto"/>
            </w:tcBorders>
          </w:tcPr>
          <w:p w14:paraId="66E69D40" w14:textId="77777777" w:rsidR="00A83F6C" w:rsidRPr="00576AF8" w:rsidRDefault="00A83F6C" w:rsidP="002A4150">
            <w:pPr>
              <w:rPr>
                <w:i/>
                <w:sz w:val="20"/>
              </w:rPr>
            </w:pPr>
            <w:r w:rsidRPr="00576AF8">
              <w:rPr>
                <w:b/>
                <w:i/>
                <w:sz w:val="20"/>
              </w:rPr>
              <w:t>[indique país]</w:t>
            </w:r>
          </w:p>
        </w:tc>
      </w:tr>
      <w:tr w:rsidR="00A83F6C" w:rsidRPr="00576AF8" w14:paraId="15BD4E44" w14:textId="77777777" w:rsidTr="00275E0F">
        <w:trPr>
          <w:cantSplit/>
        </w:trPr>
        <w:tc>
          <w:tcPr>
            <w:tcW w:w="720" w:type="dxa"/>
            <w:tcBorders>
              <w:top w:val="single" w:sz="4" w:space="0" w:color="auto"/>
              <w:left w:val="single" w:sz="6" w:space="0" w:color="auto"/>
              <w:bottom w:val="single" w:sz="6" w:space="0" w:color="auto"/>
              <w:right w:val="nil"/>
            </w:tcBorders>
          </w:tcPr>
          <w:p w14:paraId="7A10F255" w14:textId="77777777" w:rsidR="00A83F6C" w:rsidRPr="00576AF8" w:rsidRDefault="00A83F6C" w:rsidP="002A4150">
            <w:pPr>
              <w:spacing w:before="120"/>
              <w:rPr>
                <w:b/>
                <w:bCs/>
                <w:spacing w:val="-2"/>
                <w:sz w:val="20"/>
              </w:rPr>
            </w:pPr>
          </w:p>
        </w:tc>
        <w:tc>
          <w:tcPr>
            <w:tcW w:w="1900" w:type="dxa"/>
            <w:tcBorders>
              <w:top w:val="single" w:sz="4" w:space="0" w:color="auto"/>
              <w:left w:val="single" w:sz="6" w:space="0" w:color="auto"/>
              <w:bottom w:val="single" w:sz="6" w:space="0" w:color="auto"/>
              <w:right w:val="single" w:sz="6" w:space="0" w:color="auto"/>
            </w:tcBorders>
          </w:tcPr>
          <w:p w14:paraId="772D8DC1" w14:textId="77777777" w:rsidR="00A83F6C" w:rsidRPr="00576AF8" w:rsidRDefault="00A83F6C" w:rsidP="002A4150">
            <w:pPr>
              <w:rPr>
                <w:b/>
                <w:sz w:val="20"/>
              </w:rPr>
            </w:pPr>
            <w:r w:rsidRPr="00576AF8">
              <w:rPr>
                <w:b/>
                <w:sz w:val="20"/>
              </w:rPr>
              <w:t>Formación profesional</w:t>
            </w:r>
          </w:p>
        </w:tc>
        <w:tc>
          <w:tcPr>
            <w:tcW w:w="6470" w:type="dxa"/>
            <w:tcBorders>
              <w:top w:val="single" w:sz="4" w:space="0" w:color="auto"/>
              <w:left w:val="single" w:sz="6" w:space="0" w:color="auto"/>
              <w:bottom w:val="single" w:sz="6" w:space="0" w:color="auto"/>
              <w:right w:val="single" w:sz="6" w:space="0" w:color="auto"/>
            </w:tcBorders>
          </w:tcPr>
          <w:p w14:paraId="29A40E17" w14:textId="77777777" w:rsidR="00A83F6C" w:rsidRPr="00576AF8" w:rsidRDefault="00A83F6C" w:rsidP="002A4150">
            <w:pPr>
              <w:rPr>
                <w:i/>
                <w:sz w:val="20"/>
              </w:rPr>
            </w:pPr>
            <w:r w:rsidRPr="00576AF8">
              <w:rPr>
                <w:b/>
                <w:i/>
                <w:sz w:val="20"/>
              </w:rPr>
              <w:t>[Insertar lista de educación universitaria u otra clase de educación especializada, con los nombres de las instituciones educativas, fechas de asistencia, grado(s)/diploma(s) obtenido(s)]</w:t>
            </w:r>
          </w:p>
        </w:tc>
      </w:tr>
    </w:tbl>
    <w:p w14:paraId="1A704C3D" w14:textId="77777777" w:rsidR="002A4150" w:rsidRPr="00576AF8" w:rsidRDefault="002A4150" w:rsidP="002A4150">
      <w:pPr>
        <w:rPr>
          <w:rStyle w:val="Table"/>
          <w:rFonts w:ascii="Times New Roman" w:hAnsi="Times New Roman"/>
          <w:iCs/>
          <w:spacing w:val="-2"/>
        </w:rPr>
      </w:pPr>
    </w:p>
    <w:p w14:paraId="61298937" w14:textId="77777777" w:rsidR="00832D24" w:rsidRPr="00576AF8" w:rsidRDefault="00832D24">
      <w:pPr>
        <w:suppressAutoHyphens w:val="0"/>
        <w:spacing w:after="0"/>
        <w:jc w:val="left"/>
        <w:rPr>
          <w:b/>
          <w:sz w:val="28"/>
        </w:rPr>
      </w:pPr>
      <w:bookmarkStart w:id="482" w:name="_Toc490650440"/>
      <w:bookmarkStart w:id="483" w:name="_Toc490653381"/>
      <w:bookmarkStart w:id="484" w:name="_Toc521497259"/>
      <w:bookmarkStart w:id="485" w:name="_Toc218673976"/>
      <w:bookmarkStart w:id="486" w:name="_Toc277345607"/>
      <w:r w:rsidRPr="00576AF8">
        <w:br w:type="page"/>
      </w:r>
    </w:p>
    <w:p w14:paraId="1181E0A5" w14:textId="77777777" w:rsidR="00BA4F46" w:rsidRPr="00576AF8" w:rsidRDefault="00C10A6A" w:rsidP="00BB24CF">
      <w:pPr>
        <w:pStyle w:val="Head32"/>
        <w:spacing w:after="360"/>
        <w:ind w:right="-360"/>
      </w:pPr>
      <w:r w:rsidRPr="00576AF8">
        <w:lastRenderedPageBreak/>
        <w:t xml:space="preserve">Resumen del </w:t>
      </w:r>
      <w:bookmarkEnd w:id="482"/>
      <w:bookmarkEnd w:id="483"/>
      <w:bookmarkEnd w:id="484"/>
      <w:bookmarkEnd w:id="485"/>
      <w:bookmarkEnd w:id="486"/>
      <w:r w:rsidR="001F46ED" w:rsidRPr="00576AF8">
        <w:t>Candidato</w:t>
      </w:r>
    </w:p>
    <w:p w14:paraId="3E93CF5E" w14:textId="77777777" w:rsidR="00BA4F46" w:rsidRPr="00576AF8" w:rsidRDefault="00BA4F46" w:rsidP="00BA4F46">
      <w:pPr>
        <w:ind w:right="-360"/>
      </w:pPr>
    </w:p>
    <w:tbl>
      <w:tblPr>
        <w:tblW w:w="0" w:type="auto"/>
        <w:tblLayout w:type="fixed"/>
        <w:tblCellMar>
          <w:left w:w="72" w:type="dxa"/>
          <w:right w:w="72" w:type="dxa"/>
        </w:tblCellMar>
        <w:tblLook w:val="0000" w:firstRow="0" w:lastRow="0" w:firstColumn="0" w:lastColumn="0" w:noHBand="0" w:noVBand="0"/>
      </w:tblPr>
      <w:tblGrid>
        <w:gridCol w:w="9206"/>
      </w:tblGrid>
      <w:tr w:rsidR="00BA4F46" w:rsidRPr="00576AF8" w14:paraId="2384960B" w14:textId="77777777" w:rsidTr="00BB24CF">
        <w:trPr>
          <w:cantSplit/>
        </w:trPr>
        <w:tc>
          <w:tcPr>
            <w:tcW w:w="9206" w:type="dxa"/>
            <w:tcBorders>
              <w:top w:val="single" w:sz="6" w:space="0" w:color="auto"/>
              <w:left w:val="single" w:sz="6" w:space="0" w:color="auto"/>
              <w:bottom w:val="single" w:sz="6" w:space="0" w:color="auto"/>
              <w:right w:val="single" w:sz="6" w:space="0" w:color="auto"/>
            </w:tcBorders>
          </w:tcPr>
          <w:p w14:paraId="4787102E" w14:textId="77777777" w:rsidR="00BA4F46" w:rsidRPr="00576AF8" w:rsidRDefault="00BA4F46" w:rsidP="000B55EF">
            <w:pPr>
              <w:ind w:right="-360"/>
              <w:rPr>
                <w:sz w:val="22"/>
              </w:rPr>
            </w:pPr>
            <w:r w:rsidRPr="00576AF8">
              <w:t xml:space="preserve">Nombre del Licitante o miembro de una </w:t>
            </w:r>
            <w:r w:rsidR="000107E9" w:rsidRPr="00576AF8">
              <w:t>APCA</w:t>
            </w:r>
          </w:p>
        </w:tc>
      </w:tr>
    </w:tbl>
    <w:p w14:paraId="307CFBF7" w14:textId="77777777" w:rsidR="00BA4F46" w:rsidRPr="00576AF8" w:rsidRDefault="00BA4F46" w:rsidP="00BA4F46">
      <w:pPr>
        <w:ind w:right="-360"/>
        <w:rPr>
          <w:sz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440"/>
        <w:gridCol w:w="3655"/>
        <w:gridCol w:w="4253"/>
      </w:tblGrid>
      <w:tr w:rsidR="00BA4F46" w:rsidRPr="00576AF8" w14:paraId="56F67355" w14:textId="77777777" w:rsidTr="00940059">
        <w:trPr>
          <w:cantSplit/>
        </w:trPr>
        <w:tc>
          <w:tcPr>
            <w:tcW w:w="5095" w:type="dxa"/>
            <w:gridSpan w:val="2"/>
          </w:tcPr>
          <w:p w14:paraId="45DAEFA6" w14:textId="77777777" w:rsidR="00BA4F46" w:rsidRPr="00576AF8" w:rsidRDefault="00BA4F46" w:rsidP="00803EC1">
            <w:pPr>
              <w:ind w:right="-360"/>
              <w:rPr>
                <w:sz w:val="22"/>
              </w:rPr>
            </w:pPr>
            <w:r w:rsidRPr="00576AF8">
              <w:rPr>
                <w:sz w:val="22"/>
              </w:rPr>
              <w:t>Cargo</w:t>
            </w:r>
          </w:p>
          <w:p w14:paraId="7B2880A1" w14:textId="77777777" w:rsidR="00BA4F46" w:rsidRPr="00576AF8" w:rsidRDefault="00BA4F46" w:rsidP="00803EC1">
            <w:pPr>
              <w:ind w:right="-360"/>
              <w:rPr>
                <w:sz w:val="22"/>
              </w:rPr>
            </w:pPr>
          </w:p>
        </w:tc>
        <w:tc>
          <w:tcPr>
            <w:tcW w:w="4253" w:type="dxa"/>
          </w:tcPr>
          <w:p w14:paraId="5BDB8BB6" w14:textId="77777777" w:rsidR="00A44EB2" w:rsidRPr="00576AF8" w:rsidRDefault="00BA4F46" w:rsidP="00506FFF">
            <w:pPr>
              <w:ind w:right="4"/>
              <w:rPr>
                <w:sz w:val="22"/>
              </w:rPr>
            </w:pPr>
            <w:r w:rsidRPr="00576AF8">
              <w:rPr>
                <w:sz w:val="22"/>
              </w:rPr>
              <w:t>Candidato</w:t>
            </w:r>
          </w:p>
          <w:p w14:paraId="108B9C43" w14:textId="77777777" w:rsidR="00A44EB2" w:rsidRPr="00576AF8" w:rsidRDefault="00BA4F46" w:rsidP="00BB24CF">
            <w:pPr>
              <w:tabs>
                <w:tab w:val="left" w:pos="480"/>
                <w:tab w:val="left" w:pos="2039"/>
                <w:tab w:val="left" w:pos="2464"/>
              </w:tabs>
              <w:ind w:right="4"/>
              <w:rPr>
                <w:sz w:val="22"/>
              </w:rPr>
            </w:pPr>
            <w:r w:rsidRPr="00576AF8">
              <w:rPr>
                <w:sz w:val="32"/>
              </w:rPr>
              <w:sym w:font="Symbol" w:char="F082"/>
            </w:r>
            <w:r w:rsidRPr="00576AF8">
              <w:tab/>
            </w:r>
            <w:r w:rsidRPr="00576AF8">
              <w:rPr>
                <w:sz w:val="22"/>
              </w:rPr>
              <w:t>Principal</w:t>
            </w:r>
            <w:r w:rsidRPr="00576AF8">
              <w:tab/>
            </w:r>
            <w:r w:rsidRPr="00576AF8">
              <w:rPr>
                <w:sz w:val="32"/>
              </w:rPr>
              <w:sym w:font="Symbol" w:char="F082"/>
            </w:r>
            <w:r w:rsidRPr="00576AF8">
              <w:tab/>
            </w:r>
            <w:r w:rsidRPr="00576AF8">
              <w:rPr>
                <w:sz w:val="22"/>
              </w:rPr>
              <w:t>Alternativo</w:t>
            </w:r>
          </w:p>
        </w:tc>
      </w:tr>
      <w:tr w:rsidR="00BA4F46" w:rsidRPr="00576AF8" w14:paraId="487EA130" w14:textId="77777777" w:rsidTr="00940059">
        <w:trPr>
          <w:cantSplit/>
        </w:trPr>
        <w:tc>
          <w:tcPr>
            <w:tcW w:w="1440" w:type="dxa"/>
          </w:tcPr>
          <w:p w14:paraId="47B3582C" w14:textId="77777777" w:rsidR="00BA4F46" w:rsidRPr="00576AF8" w:rsidRDefault="00BA4F46" w:rsidP="00803EC1">
            <w:pPr>
              <w:ind w:right="-360"/>
              <w:rPr>
                <w:sz w:val="22"/>
              </w:rPr>
            </w:pPr>
            <w:r w:rsidRPr="00576AF8">
              <w:rPr>
                <w:sz w:val="22"/>
              </w:rPr>
              <w:t>Información del candidato</w:t>
            </w:r>
          </w:p>
        </w:tc>
        <w:tc>
          <w:tcPr>
            <w:tcW w:w="3655" w:type="dxa"/>
          </w:tcPr>
          <w:p w14:paraId="464A7716" w14:textId="77777777" w:rsidR="00BA4F46" w:rsidRPr="00576AF8" w:rsidRDefault="00BA4F46" w:rsidP="00803EC1">
            <w:pPr>
              <w:ind w:right="-360"/>
              <w:rPr>
                <w:sz w:val="22"/>
              </w:rPr>
            </w:pPr>
            <w:r w:rsidRPr="00576AF8">
              <w:rPr>
                <w:sz w:val="22"/>
              </w:rPr>
              <w:t>Nombre del candidato</w:t>
            </w:r>
          </w:p>
        </w:tc>
        <w:tc>
          <w:tcPr>
            <w:tcW w:w="4253" w:type="dxa"/>
          </w:tcPr>
          <w:p w14:paraId="31C75E6F" w14:textId="77777777" w:rsidR="00BA4F46" w:rsidRPr="00576AF8" w:rsidRDefault="00BA4F46" w:rsidP="00803EC1">
            <w:pPr>
              <w:ind w:right="-360"/>
              <w:rPr>
                <w:sz w:val="22"/>
              </w:rPr>
            </w:pPr>
            <w:r w:rsidRPr="00576AF8">
              <w:rPr>
                <w:sz w:val="22"/>
              </w:rPr>
              <w:t>Fecha de nacimiento</w:t>
            </w:r>
          </w:p>
        </w:tc>
      </w:tr>
      <w:tr w:rsidR="00BA4F46" w:rsidRPr="00576AF8" w14:paraId="251523C9" w14:textId="77777777" w:rsidTr="00BB24CF">
        <w:trPr>
          <w:cantSplit/>
        </w:trPr>
        <w:tc>
          <w:tcPr>
            <w:tcW w:w="1440" w:type="dxa"/>
          </w:tcPr>
          <w:p w14:paraId="3CFA989D" w14:textId="77777777" w:rsidR="00BA4F46" w:rsidRPr="00576AF8" w:rsidRDefault="00BA4F46" w:rsidP="00803EC1">
            <w:pPr>
              <w:ind w:right="-360"/>
              <w:rPr>
                <w:sz w:val="22"/>
              </w:rPr>
            </w:pPr>
          </w:p>
        </w:tc>
        <w:tc>
          <w:tcPr>
            <w:tcW w:w="7908" w:type="dxa"/>
            <w:gridSpan w:val="2"/>
          </w:tcPr>
          <w:p w14:paraId="74BD8145" w14:textId="77777777" w:rsidR="00BA4F46" w:rsidRPr="00576AF8" w:rsidRDefault="00BA4F46" w:rsidP="00803EC1">
            <w:pPr>
              <w:ind w:right="-360"/>
              <w:rPr>
                <w:sz w:val="22"/>
              </w:rPr>
            </w:pPr>
            <w:r w:rsidRPr="00576AF8">
              <w:rPr>
                <w:sz w:val="22"/>
              </w:rPr>
              <w:t>Calificaciones profesionales</w:t>
            </w:r>
          </w:p>
        </w:tc>
      </w:tr>
      <w:tr w:rsidR="00BA4F46" w:rsidRPr="00576AF8" w14:paraId="09FDA63C" w14:textId="77777777" w:rsidTr="00BB24CF">
        <w:trPr>
          <w:cantSplit/>
        </w:trPr>
        <w:tc>
          <w:tcPr>
            <w:tcW w:w="1440" w:type="dxa"/>
          </w:tcPr>
          <w:p w14:paraId="370AA944" w14:textId="77777777" w:rsidR="00BA4F46" w:rsidRPr="00576AF8" w:rsidRDefault="00BA4F46" w:rsidP="00803EC1">
            <w:pPr>
              <w:ind w:right="-360"/>
              <w:rPr>
                <w:sz w:val="22"/>
              </w:rPr>
            </w:pPr>
          </w:p>
        </w:tc>
        <w:tc>
          <w:tcPr>
            <w:tcW w:w="7908" w:type="dxa"/>
            <w:gridSpan w:val="2"/>
          </w:tcPr>
          <w:p w14:paraId="2F0C67FA" w14:textId="77777777" w:rsidR="00BA4F46" w:rsidRPr="00576AF8" w:rsidRDefault="00BA4F46" w:rsidP="00803EC1">
            <w:pPr>
              <w:ind w:right="-360"/>
              <w:rPr>
                <w:sz w:val="22"/>
              </w:rPr>
            </w:pPr>
          </w:p>
        </w:tc>
      </w:tr>
      <w:tr w:rsidR="00BA4F46" w:rsidRPr="00576AF8" w14:paraId="2BC753E9" w14:textId="77777777" w:rsidTr="00BB24CF">
        <w:trPr>
          <w:cantSplit/>
        </w:trPr>
        <w:tc>
          <w:tcPr>
            <w:tcW w:w="1440" w:type="dxa"/>
          </w:tcPr>
          <w:p w14:paraId="62DEF90D" w14:textId="77777777" w:rsidR="00BA4F46" w:rsidRPr="00576AF8" w:rsidRDefault="00BA4F46" w:rsidP="00803EC1">
            <w:pPr>
              <w:ind w:right="-360"/>
              <w:rPr>
                <w:sz w:val="22"/>
              </w:rPr>
            </w:pPr>
            <w:r w:rsidRPr="00576AF8">
              <w:rPr>
                <w:sz w:val="22"/>
              </w:rPr>
              <w:t>Empleo actual</w:t>
            </w:r>
          </w:p>
        </w:tc>
        <w:tc>
          <w:tcPr>
            <w:tcW w:w="7908" w:type="dxa"/>
            <w:gridSpan w:val="2"/>
          </w:tcPr>
          <w:p w14:paraId="1F055CD7" w14:textId="77777777" w:rsidR="00BA4F46" w:rsidRPr="00576AF8" w:rsidRDefault="00BA4F46" w:rsidP="00627D5B">
            <w:pPr>
              <w:ind w:right="-360"/>
              <w:rPr>
                <w:sz w:val="22"/>
              </w:rPr>
            </w:pPr>
            <w:r w:rsidRPr="00576AF8">
              <w:rPr>
                <w:sz w:val="22"/>
              </w:rPr>
              <w:t xml:space="preserve">Nombre del </w:t>
            </w:r>
            <w:r w:rsidR="00627D5B" w:rsidRPr="00576AF8">
              <w:rPr>
                <w:sz w:val="22"/>
              </w:rPr>
              <w:t>e</w:t>
            </w:r>
            <w:r w:rsidRPr="00576AF8">
              <w:rPr>
                <w:sz w:val="22"/>
              </w:rPr>
              <w:t>mpleador</w:t>
            </w:r>
          </w:p>
        </w:tc>
      </w:tr>
      <w:tr w:rsidR="00BA4F46" w:rsidRPr="00576AF8" w14:paraId="77B1FF92" w14:textId="77777777" w:rsidTr="00BB24CF">
        <w:trPr>
          <w:cantSplit/>
        </w:trPr>
        <w:tc>
          <w:tcPr>
            <w:tcW w:w="1440" w:type="dxa"/>
          </w:tcPr>
          <w:p w14:paraId="18EAE724" w14:textId="77777777" w:rsidR="00BA4F46" w:rsidRPr="00576AF8" w:rsidRDefault="00BA4F46" w:rsidP="00803EC1">
            <w:pPr>
              <w:ind w:right="-360"/>
              <w:rPr>
                <w:sz w:val="22"/>
              </w:rPr>
            </w:pPr>
          </w:p>
        </w:tc>
        <w:tc>
          <w:tcPr>
            <w:tcW w:w="7908" w:type="dxa"/>
            <w:gridSpan w:val="2"/>
          </w:tcPr>
          <w:p w14:paraId="06B20D39" w14:textId="77777777" w:rsidR="00BA4F46" w:rsidRPr="00576AF8" w:rsidRDefault="00BA4F46" w:rsidP="00627D5B">
            <w:pPr>
              <w:ind w:right="-360"/>
              <w:rPr>
                <w:sz w:val="22"/>
              </w:rPr>
            </w:pPr>
            <w:r w:rsidRPr="00576AF8">
              <w:rPr>
                <w:sz w:val="22"/>
              </w:rPr>
              <w:t xml:space="preserve">Dirección del </w:t>
            </w:r>
            <w:r w:rsidR="00627D5B" w:rsidRPr="00576AF8">
              <w:rPr>
                <w:sz w:val="22"/>
              </w:rPr>
              <w:t>e</w:t>
            </w:r>
            <w:r w:rsidRPr="00576AF8">
              <w:rPr>
                <w:sz w:val="22"/>
              </w:rPr>
              <w:t>mpleador</w:t>
            </w:r>
          </w:p>
        </w:tc>
      </w:tr>
      <w:tr w:rsidR="00BA4F46" w:rsidRPr="00576AF8" w14:paraId="16E99DF9" w14:textId="77777777" w:rsidTr="00BB24CF">
        <w:trPr>
          <w:cantSplit/>
        </w:trPr>
        <w:tc>
          <w:tcPr>
            <w:tcW w:w="1440" w:type="dxa"/>
          </w:tcPr>
          <w:p w14:paraId="02A68944" w14:textId="77777777" w:rsidR="00BA4F46" w:rsidRPr="00576AF8" w:rsidRDefault="00BA4F46" w:rsidP="00803EC1">
            <w:pPr>
              <w:ind w:right="-360"/>
              <w:rPr>
                <w:sz w:val="22"/>
              </w:rPr>
            </w:pPr>
          </w:p>
        </w:tc>
        <w:tc>
          <w:tcPr>
            <w:tcW w:w="7908" w:type="dxa"/>
            <w:gridSpan w:val="2"/>
          </w:tcPr>
          <w:p w14:paraId="49ECA7AE" w14:textId="77777777" w:rsidR="00BA4F46" w:rsidRPr="00576AF8" w:rsidRDefault="00BA4F46" w:rsidP="00803EC1">
            <w:pPr>
              <w:ind w:right="-360"/>
              <w:rPr>
                <w:sz w:val="22"/>
              </w:rPr>
            </w:pPr>
          </w:p>
        </w:tc>
      </w:tr>
      <w:tr w:rsidR="00BA4F46" w:rsidRPr="00576AF8" w14:paraId="117D50B7" w14:textId="77777777" w:rsidTr="00940059">
        <w:trPr>
          <w:cantSplit/>
        </w:trPr>
        <w:tc>
          <w:tcPr>
            <w:tcW w:w="1440" w:type="dxa"/>
          </w:tcPr>
          <w:p w14:paraId="1B5E292F" w14:textId="77777777" w:rsidR="00BA4F46" w:rsidRPr="00576AF8" w:rsidRDefault="00BA4F46" w:rsidP="00803EC1">
            <w:pPr>
              <w:ind w:right="-360"/>
              <w:rPr>
                <w:sz w:val="22"/>
              </w:rPr>
            </w:pPr>
          </w:p>
        </w:tc>
        <w:tc>
          <w:tcPr>
            <w:tcW w:w="3655" w:type="dxa"/>
          </w:tcPr>
          <w:p w14:paraId="065EADBE" w14:textId="77777777" w:rsidR="00BA4F46" w:rsidRPr="00576AF8" w:rsidRDefault="00BA4F46" w:rsidP="00803EC1">
            <w:pPr>
              <w:ind w:right="-360"/>
              <w:rPr>
                <w:sz w:val="22"/>
              </w:rPr>
            </w:pPr>
            <w:r w:rsidRPr="00576AF8">
              <w:rPr>
                <w:sz w:val="22"/>
              </w:rPr>
              <w:t>Teléfono</w:t>
            </w:r>
          </w:p>
        </w:tc>
        <w:tc>
          <w:tcPr>
            <w:tcW w:w="4253" w:type="dxa"/>
          </w:tcPr>
          <w:p w14:paraId="793C184E" w14:textId="77777777" w:rsidR="00BA4F46" w:rsidRPr="00576AF8" w:rsidRDefault="00BA4F46" w:rsidP="00803EC1">
            <w:pPr>
              <w:ind w:right="-360"/>
              <w:rPr>
                <w:sz w:val="22"/>
              </w:rPr>
            </w:pPr>
            <w:r w:rsidRPr="00576AF8">
              <w:rPr>
                <w:sz w:val="22"/>
              </w:rPr>
              <w:t>Persona de contacto (gerente/jefe de personal)</w:t>
            </w:r>
          </w:p>
        </w:tc>
      </w:tr>
      <w:tr w:rsidR="00BA4F46" w:rsidRPr="00576AF8" w14:paraId="6A86F639" w14:textId="77777777" w:rsidTr="00940059">
        <w:trPr>
          <w:cantSplit/>
        </w:trPr>
        <w:tc>
          <w:tcPr>
            <w:tcW w:w="1440" w:type="dxa"/>
          </w:tcPr>
          <w:p w14:paraId="0F8E3102" w14:textId="77777777" w:rsidR="00BA4F46" w:rsidRPr="00576AF8" w:rsidRDefault="00BA4F46" w:rsidP="00803EC1">
            <w:pPr>
              <w:ind w:right="-360"/>
              <w:rPr>
                <w:sz w:val="22"/>
              </w:rPr>
            </w:pPr>
          </w:p>
        </w:tc>
        <w:tc>
          <w:tcPr>
            <w:tcW w:w="3655" w:type="dxa"/>
          </w:tcPr>
          <w:p w14:paraId="5CFAD9DD" w14:textId="77777777" w:rsidR="00BA4F46" w:rsidRPr="00576AF8" w:rsidRDefault="00BA4F46" w:rsidP="00803EC1">
            <w:pPr>
              <w:ind w:right="-360"/>
              <w:rPr>
                <w:sz w:val="22"/>
              </w:rPr>
            </w:pPr>
            <w:r w:rsidRPr="00576AF8">
              <w:rPr>
                <w:sz w:val="22"/>
              </w:rPr>
              <w:t>Nombre del cargo del candidato</w:t>
            </w:r>
          </w:p>
        </w:tc>
        <w:tc>
          <w:tcPr>
            <w:tcW w:w="4253" w:type="dxa"/>
          </w:tcPr>
          <w:p w14:paraId="1E84DFB5" w14:textId="77777777" w:rsidR="00BA4F46" w:rsidRPr="00576AF8" w:rsidRDefault="00BA4F46" w:rsidP="00803EC1">
            <w:pPr>
              <w:ind w:right="-360"/>
              <w:rPr>
                <w:sz w:val="22"/>
              </w:rPr>
            </w:pPr>
            <w:r w:rsidRPr="00576AF8">
              <w:rPr>
                <w:sz w:val="22"/>
              </w:rPr>
              <w:t>Años con el empleador actual</w:t>
            </w:r>
          </w:p>
        </w:tc>
      </w:tr>
    </w:tbl>
    <w:p w14:paraId="56A0CFE2" w14:textId="77777777" w:rsidR="00BA4F46" w:rsidRPr="00576AF8" w:rsidRDefault="00BA4F46" w:rsidP="00BA4F46">
      <w:pPr>
        <w:ind w:right="-360"/>
        <w:rPr>
          <w:sz w:val="22"/>
        </w:rPr>
      </w:pPr>
    </w:p>
    <w:p w14:paraId="7253EF82" w14:textId="77777777" w:rsidR="00BA4F46" w:rsidRPr="00576AF8" w:rsidRDefault="00BA4F46" w:rsidP="00940059">
      <w:pPr>
        <w:spacing w:after="240"/>
        <w:ind w:right="4"/>
      </w:pPr>
      <w:r w:rsidRPr="00576AF8">
        <w:t xml:space="preserve">Resuma la experiencia profesional durante los últimos 20 años, en orden cronológico inverso. </w:t>
      </w:r>
      <w:r w:rsidR="00940059" w:rsidRPr="00576AF8">
        <w:br/>
      </w:r>
      <w:r w:rsidRPr="00576AF8">
        <w:t>Indique en particular la experiencia técnica y gerencial que sea pertinente para este proyecto.</w:t>
      </w:r>
    </w:p>
    <w:tbl>
      <w:tblPr>
        <w:tblW w:w="9348" w:type="dxa"/>
        <w:tblLayout w:type="fixed"/>
        <w:tblCellMar>
          <w:left w:w="72" w:type="dxa"/>
          <w:right w:w="72" w:type="dxa"/>
        </w:tblCellMar>
        <w:tblLook w:val="0000" w:firstRow="0" w:lastRow="0" w:firstColumn="0" w:lastColumn="0" w:noHBand="0" w:noVBand="0"/>
      </w:tblPr>
      <w:tblGrid>
        <w:gridCol w:w="1080"/>
        <w:gridCol w:w="1080"/>
        <w:gridCol w:w="7188"/>
      </w:tblGrid>
      <w:tr w:rsidR="00BA4F46" w:rsidRPr="00576AF8" w14:paraId="2B97CFDA" w14:textId="77777777" w:rsidTr="00940059">
        <w:trPr>
          <w:cantSplit/>
        </w:trPr>
        <w:tc>
          <w:tcPr>
            <w:tcW w:w="1080" w:type="dxa"/>
            <w:tcBorders>
              <w:top w:val="single" w:sz="6" w:space="0" w:color="auto"/>
              <w:left w:val="single" w:sz="6" w:space="0" w:color="auto"/>
            </w:tcBorders>
          </w:tcPr>
          <w:p w14:paraId="19184956" w14:textId="77777777" w:rsidR="00BA4F46" w:rsidRPr="00576AF8" w:rsidRDefault="00BA4F46" w:rsidP="00803EC1">
            <w:pPr>
              <w:pStyle w:val="Piedepgina"/>
              <w:ind w:right="-360"/>
              <w:rPr>
                <w:sz w:val="22"/>
              </w:rPr>
            </w:pPr>
            <w:r w:rsidRPr="00576AF8">
              <w:rPr>
                <w:sz w:val="22"/>
              </w:rPr>
              <w:t>Desde</w:t>
            </w:r>
          </w:p>
        </w:tc>
        <w:tc>
          <w:tcPr>
            <w:tcW w:w="1080" w:type="dxa"/>
            <w:tcBorders>
              <w:top w:val="single" w:sz="6" w:space="0" w:color="auto"/>
              <w:left w:val="single" w:sz="6" w:space="0" w:color="auto"/>
            </w:tcBorders>
          </w:tcPr>
          <w:p w14:paraId="53C22C80" w14:textId="77777777" w:rsidR="00BA4F46" w:rsidRPr="00576AF8" w:rsidRDefault="00BA4F46" w:rsidP="00803EC1">
            <w:pPr>
              <w:pStyle w:val="Piedepgina"/>
              <w:ind w:right="-360"/>
              <w:rPr>
                <w:sz w:val="22"/>
              </w:rPr>
            </w:pPr>
            <w:r w:rsidRPr="00576AF8">
              <w:rPr>
                <w:sz w:val="22"/>
              </w:rPr>
              <w:t>Hasta</w:t>
            </w:r>
          </w:p>
        </w:tc>
        <w:tc>
          <w:tcPr>
            <w:tcW w:w="7188" w:type="dxa"/>
            <w:tcBorders>
              <w:top w:val="single" w:sz="6" w:space="0" w:color="auto"/>
              <w:left w:val="single" w:sz="6" w:space="0" w:color="auto"/>
              <w:right w:val="single" w:sz="6" w:space="0" w:color="auto"/>
            </w:tcBorders>
          </w:tcPr>
          <w:p w14:paraId="5B32168C" w14:textId="77777777" w:rsidR="00BA4F46" w:rsidRPr="00576AF8" w:rsidRDefault="00BA4F46" w:rsidP="00627D5B">
            <w:pPr>
              <w:pStyle w:val="Piedepgina"/>
              <w:ind w:right="-360"/>
              <w:rPr>
                <w:sz w:val="22"/>
              </w:rPr>
            </w:pPr>
            <w:r w:rsidRPr="00576AF8">
              <w:rPr>
                <w:sz w:val="22"/>
              </w:rPr>
              <w:t xml:space="preserve">Compañía, </w:t>
            </w:r>
            <w:r w:rsidR="00627D5B" w:rsidRPr="00576AF8">
              <w:rPr>
                <w:sz w:val="22"/>
              </w:rPr>
              <w:t>p</w:t>
            </w:r>
            <w:r w:rsidRPr="00576AF8">
              <w:rPr>
                <w:sz w:val="22"/>
              </w:rPr>
              <w:t xml:space="preserve">royecto, </w:t>
            </w:r>
            <w:r w:rsidR="00627D5B" w:rsidRPr="00576AF8">
              <w:rPr>
                <w:sz w:val="22"/>
              </w:rPr>
              <w:t>c</w:t>
            </w:r>
            <w:r w:rsidRPr="00576AF8">
              <w:rPr>
                <w:sz w:val="22"/>
              </w:rPr>
              <w:t xml:space="preserve">argo, </w:t>
            </w:r>
            <w:r w:rsidR="00627D5B" w:rsidRPr="00576AF8">
              <w:rPr>
                <w:sz w:val="22"/>
              </w:rPr>
              <w:t>e</w:t>
            </w:r>
            <w:r w:rsidRPr="00576AF8">
              <w:rPr>
                <w:sz w:val="22"/>
              </w:rPr>
              <w:t xml:space="preserve">xperiencia </w:t>
            </w:r>
            <w:r w:rsidR="00627D5B" w:rsidRPr="00576AF8">
              <w:rPr>
                <w:sz w:val="22"/>
              </w:rPr>
              <w:t>t</w:t>
            </w:r>
            <w:r w:rsidRPr="00576AF8">
              <w:rPr>
                <w:sz w:val="22"/>
              </w:rPr>
              <w:t xml:space="preserve">écnica y </w:t>
            </w:r>
            <w:r w:rsidR="00627D5B" w:rsidRPr="00576AF8">
              <w:rPr>
                <w:sz w:val="22"/>
              </w:rPr>
              <w:t>g</w:t>
            </w:r>
            <w:r w:rsidRPr="00576AF8">
              <w:rPr>
                <w:sz w:val="22"/>
              </w:rPr>
              <w:t xml:space="preserve">erencial </w:t>
            </w:r>
            <w:r w:rsidR="00627D5B" w:rsidRPr="00576AF8">
              <w:rPr>
                <w:sz w:val="22"/>
              </w:rPr>
              <w:t>p</w:t>
            </w:r>
            <w:r w:rsidRPr="00576AF8">
              <w:rPr>
                <w:sz w:val="22"/>
              </w:rPr>
              <w:t>ertinente</w:t>
            </w:r>
          </w:p>
        </w:tc>
      </w:tr>
      <w:tr w:rsidR="00BA4F46" w:rsidRPr="00576AF8" w14:paraId="49103FC2" w14:textId="77777777" w:rsidTr="00940059">
        <w:trPr>
          <w:cantSplit/>
        </w:trPr>
        <w:tc>
          <w:tcPr>
            <w:tcW w:w="1080" w:type="dxa"/>
            <w:tcBorders>
              <w:top w:val="single" w:sz="6" w:space="0" w:color="auto"/>
              <w:left w:val="single" w:sz="6" w:space="0" w:color="auto"/>
            </w:tcBorders>
          </w:tcPr>
          <w:p w14:paraId="7A0DB39C" w14:textId="77777777" w:rsidR="00BA4F46" w:rsidRPr="00576AF8" w:rsidRDefault="00BA4F46" w:rsidP="00803EC1">
            <w:pPr>
              <w:ind w:right="-360"/>
              <w:rPr>
                <w:sz w:val="22"/>
              </w:rPr>
            </w:pPr>
          </w:p>
        </w:tc>
        <w:tc>
          <w:tcPr>
            <w:tcW w:w="1080" w:type="dxa"/>
            <w:tcBorders>
              <w:top w:val="single" w:sz="6" w:space="0" w:color="auto"/>
              <w:left w:val="single" w:sz="6" w:space="0" w:color="auto"/>
            </w:tcBorders>
          </w:tcPr>
          <w:p w14:paraId="7AB06A91" w14:textId="77777777" w:rsidR="00BA4F46" w:rsidRPr="00576AF8" w:rsidRDefault="00BA4F46" w:rsidP="00803EC1">
            <w:pPr>
              <w:ind w:right="-360"/>
              <w:rPr>
                <w:sz w:val="22"/>
              </w:rPr>
            </w:pPr>
          </w:p>
        </w:tc>
        <w:tc>
          <w:tcPr>
            <w:tcW w:w="7188" w:type="dxa"/>
            <w:tcBorders>
              <w:top w:val="single" w:sz="6" w:space="0" w:color="auto"/>
              <w:left w:val="single" w:sz="6" w:space="0" w:color="auto"/>
              <w:right w:val="single" w:sz="6" w:space="0" w:color="auto"/>
            </w:tcBorders>
          </w:tcPr>
          <w:p w14:paraId="5CF54977" w14:textId="77777777" w:rsidR="00BA4F46" w:rsidRPr="00576AF8" w:rsidRDefault="00BA4F46" w:rsidP="00803EC1">
            <w:pPr>
              <w:ind w:right="-360"/>
            </w:pPr>
          </w:p>
        </w:tc>
      </w:tr>
      <w:tr w:rsidR="00BA4F46" w:rsidRPr="00576AF8" w14:paraId="10C54CF6" w14:textId="77777777" w:rsidTr="00940059">
        <w:trPr>
          <w:cantSplit/>
        </w:trPr>
        <w:tc>
          <w:tcPr>
            <w:tcW w:w="1080" w:type="dxa"/>
            <w:tcBorders>
              <w:top w:val="dotted" w:sz="4" w:space="0" w:color="auto"/>
              <w:left w:val="single" w:sz="6" w:space="0" w:color="auto"/>
            </w:tcBorders>
          </w:tcPr>
          <w:p w14:paraId="0F6AD40A" w14:textId="77777777" w:rsidR="00BA4F46" w:rsidRPr="00576AF8" w:rsidRDefault="00BA4F46" w:rsidP="00803EC1">
            <w:pPr>
              <w:ind w:right="-360"/>
              <w:rPr>
                <w:sz w:val="22"/>
              </w:rPr>
            </w:pPr>
          </w:p>
        </w:tc>
        <w:tc>
          <w:tcPr>
            <w:tcW w:w="1080" w:type="dxa"/>
            <w:tcBorders>
              <w:top w:val="dotted" w:sz="4" w:space="0" w:color="auto"/>
              <w:left w:val="single" w:sz="6" w:space="0" w:color="auto"/>
            </w:tcBorders>
          </w:tcPr>
          <w:p w14:paraId="10553FF4" w14:textId="77777777" w:rsidR="00BA4F46" w:rsidRPr="00576AF8" w:rsidRDefault="00BA4F46" w:rsidP="00803EC1">
            <w:pPr>
              <w:ind w:right="-360"/>
              <w:rPr>
                <w:sz w:val="22"/>
              </w:rPr>
            </w:pPr>
          </w:p>
        </w:tc>
        <w:tc>
          <w:tcPr>
            <w:tcW w:w="7188" w:type="dxa"/>
            <w:tcBorders>
              <w:top w:val="dotted" w:sz="4" w:space="0" w:color="auto"/>
              <w:left w:val="single" w:sz="6" w:space="0" w:color="auto"/>
              <w:right w:val="single" w:sz="6" w:space="0" w:color="auto"/>
            </w:tcBorders>
          </w:tcPr>
          <w:p w14:paraId="31832F96" w14:textId="77777777" w:rsidR="00BA4F46" w:rsidRPr="00576AF8" w:rsidRDefault="00BA4F46" w:rsidP="00803EC1">
            <w:pPr>
              <w:ind w:right="-360"/>
              <w:rPr>
                <w:sz w:val="22"/>
              </w:rPr>
            </w:pPr>
          </w:p>
        </w:tc>
      </w:tr>
      <w:tr w:rsidR="00BA4F46" w:rsidRPr="00576AF8" w14:paraId="2E0B9C14" w14:textId="77777777" w:rsidTr="00940059">
        <w:trPr>
          <w:cantSplit/>
        </w:trPr>
        <w:tc>
          <w:tcPr>
            <w:tcW w:w="1080" w:type="dxa"/>
            <w:tcBorders>
              <w:top w:val="dotted" w:sz="4" w:space="0" w:color="auto"/>
              <w:left w:val="single" w:sz="6" w:space="0" w:color="auto"/>
              <w:bottom w:val="dotted" w:sz="4" w:space="0" w:color="auto"/>
            </w:tcBorders>
          </w:tcPr>
          <w:p w14:paraId="7C262712" w14:textId="77777777" w:rsidR="00BA4F46" w:rsidRPr="00576AF8" w:rsidRDefault="00BA4F46" w:rsidP="00803EC1">
            <w:pPr>
              <w:ind w:right="-360"/>
              <w:rPr>
                <w:sz w:val="22"/>
              </w:rPr>
            </w:pPr>
          </w:p>
        </w:tc>
        <w:tc>
          <w:tcPr>
            <w:tcW w:w="1080" w:type="dxa"/>
            <w:tcBorders>
              <w:top w:val="dotted" w:sz="4" w:space="0" w:color="auto"/>
              <w:left w:val="single" w:sz="6" w:space="0" w:color="auto"/>
              <w:bottom w:val="dotted" w:sz="4" w:space="0" w:color="auto"/>
            </w:tcBorders>
          </w:tcPr>
          <w:p w14:paraId="5EB5D619" w14:textId="77777777" w:rsidR="00BA4F46" w:rsidRPr="00576AF8" w:rsidRDefault="00BA4F46" w:rsidP="00803EC1">
            <w:pPr>
              <w:ind w:right="-360"/>
              <w:rPr>
                <w:sz w:val="22"/>
              </w:rPr>
            </w:pPr>
          </w:p>
        </w:tc>
        <w:tc>
          <w:tcPr>
            <w:tcW w:w="7188" w:type="dxa"/>
            <w:tcBorders>
              <w:top w:val="dotted" w:sz="4" w:space="0" w:color="auto"/>
              <w:left w:val="single" w:sz="6" w:space="0" w:color="auto"/>
              <w:bottom w:val="dotted" w:sz="4" w:space="0" w:color="auto"/>
              <w:right w:val="single" w:sz="6" w:space="0" w:color="auto"/>
            </w:tcBorders>
          </w:tcPr>
          <w:p w14:paraId="00E360F7" w14:textId="77777777" w:rsidR="00BA4F46" w:rsidRPr="00576AF8" w:rsidRDefault="00BA4F46" w:rsidP="00803EC1">
            <w:pPr>
              <w:ind w:right="-360"/>
              <w:rPr>
                <w:sz w:val="22"/>
              </w:rPr>
            </w:pPr>
          </w:p>
        </w:tc>
      </w:tr>
      <w:tr w:rsidR="00BA4F46" w:rsidRPr="00576AF8" w14:paraId="28D04135" w14:textId="77777777" w:rsidTr="00940059">
        <w:trPr>
          <w:cantSplit/>
        </w:trPr>
        <w:tc>
          <w:tcPr>
            <w:tcW w:w="1080" w:type="dxa"/>
            <w:tcBorders>
              <w:left w:val="single" w:sz="6" w:space="0" w:color="auto"/>
            </w:tcBorders>
          </w:tcPr>
          <w:p w14:paraId="0E6F7586" w14:textId="77777777" w:rsidR="00BA4F46" w:rsidRPr="00576AF8" w:rsidRDefault="00BA4F46" w:rsidP="00803EC1">
            <w:pPr>
              <w:ind w:right="-360"/>
              <w:rPr>
                <w:sz w:val="22"/>
              </w:rPr>
            </w:pPr>
          </w:p>
        </w:tc>
        <w:tc>
          <w:tcPr>
            <w:tcW w:w="1080" w:type="dxa"/>
            <w:tcBorders>
              <w:left w:val="single" w:sz="6" w:space="0" w:color="auto"/>
            </w:tcBorders>
          </w:tcPr>
          <w:p w14:paraId="64FC54E1" w14:textId="77777777" w:rsidR="00BA4F46" w:rsidRPr="00576AF8" w:rsidRDefault="00BA4F46" w:rsidP="00803EC1">
            <w:pPr>
              <w:ind w:right="-360"/>
              <w:rPr>
                <w:sz w:val="22"/>
              </w:rPr>
            </w:pPr>
          </w:p>
        </w:tc>
        <w:tc>
          <w:tcPr>
            <w:tcW w:w="7188" w:type="dxa"/>
            <w:tcBorders>
              <w:left w:val="single" w:sz="6" w:space="0" w:color="auto"/>
              <w:right w:val="single" w:sz="6" w:space="0" w:color="auto"/>
            </w:tcBorders>
          </w:tcPr>
          <w:p w14:paraId="3F5130F7" w14:textId="77777777" w:rsidR="00BA4F46" w:rsidRPr="00576AF8" w:rsidRDefault="00BA4F46" w:rsidP="00803EC1">
            <w:pPr>
              <w:ind w:right="-360"/>
              <w:rPr>
                <w:sz w:val="22"/>
              </w:rPr>
            </w:pPr>
          </w:p>
        </w:tc>
      </w:tr>
      <w:tr w:rsidR="00BA4F46" w:rsidRPr="00576AF8" w14:paraId="272E9103" w14:textId="77777777" w:rsidTr="00940059">
        <w:trPr>
          <w:cantSplit/>
        </w:trPr>
        <w:tc>
          <w:tcPr>
            <w:tcW w:w="1080" w:type="dxa"/>
            <w:tcBorders>
              <w:top w:val="dotted" w:sz="4" w:space="0" w:color="auto"/>
              <w:left w:val="single" w:sz="6" w:space="0" w:color="auto"/>
              <w:bottom w:val="dotted" w:sz="4" w:space="0" w:color="auto"/>
            </w:tcBorders>
          </w:tcPr>
          <w:p w14:paraId="5862610C" w14:textId="77777777" w:rsidR="00BA4F46" w:rsidRPr="00576AF8" w:rsidRDefault="00BA4F46" w:rsidP="00803EC1">
            <w:pPr>
              <w:ind w:right="-360"/>
              <w:rPr>
                <w:sz w:val="22"/>
              </w:rPr>
            </w:pPr>
          </w:p>
        </w:tc>
        <w:tc>
          <w:tcPr>
            <w:tcW w:w="1080" w:type="dxa"/>
            <w:tcBorders>
              <w:top w:val="dotted" w:sz="4" w:space="0" w:color="auto"/>
              <w:left w:val="single" w:sz="6" w:space="0" w:color="auto"/>
              <w:bottom w:val="dotted" w:sz="4" w:space="0" w:color="auto"/>
            </w:tcBorders>
          </w:tcPr>
          <w:p w14:paraId="5131FE8C" w14:textId="77777777" w:rsidR="00BA4F46" w:rsidRPr="00576AF8" w:rsidRDefault="00BA4F46" w:rsidP="00803EC1">
            <w:pPr>
              <w:ind w:right="-360"/>
              <w:rPr>
                <w:sz w:val="22"/>
              </w:rPr>
            </w:pPr>
          </w:p>
        </w:tc>
        <w:tc>
          <w:tcPr>
            <w:tcW w:w="7188" w:type="dxa"/>
            <w:tcBorders>
              <w:top w:val="dotted" w:sz="4" w:space="0" w:color="auto"/>
              <w:left w:val="single" w:sz="6" w:space="0" w:color="auto"/>
              <w:bottom w:val="dotted" w:sz="4" w:space="0" w:color="auto"/>
              <w:right w:val="single" w:sz="6" w:space="0" w:color="auto"/>
            </w:tcBorders>
          </w:tcPr>
          <w:p w14:paraId="05FF1E00" w14:textId="77777777" w:rsidR="00BA4F46" w:rsidRPr="00576AF8" w:rsidRDefault="00BA4F46" w:rsidP="00803EC1">
            <w:pPr>
              <w:ind w:right="-360"/>
            </w:pPr>
          </w:p>
        </w:tc>
      </w:tr>
      <w:tr w:rsidR="00BA4F46" w:rsidRPr="00576AF8" w14:paraId="4C60A09A" w14:textId="77777777" w:rsidTr="00940059">
        <w:trPr>
          <w:cantSplit/>
        </w:trPr>
        <w:tc>
          <w:tcPr>
            <w:tcW w:w="1080" w:type="dxa"/>
            <w:tcBorders>
              <w:left w:val="single" w:sz="6" w:space="0" w:color="auto"/>
              <w:bottom w:val="single" w:sz="6" w:space="0" w:color="auto"/>
            </w:tcBorders>
          </w:tcPr>
          <w:p w14:paraId="407DDD9B" w14:textId="77777777" w:rsidR="00BA4F46" w:rsidRPr="00576AF8" w:rsidRDefault="00BA4F46" w:rsidP="00803EC1">
            <w:pPr>
              <w:ind w:right="-360"/>
              <w:rPr>
                <w:sz w:val="22"/>
              </w:rPr>
            </w:pPr>
          </w:p>
        </w:tc>
        <w:tc>
          <w:tcPr>
            <w:tcW w:w="1080" w:type="dxa"/>
            <w:tcBorders>
              <w:left w:val="single" w:sz="6" w:space="0" w:color="auto"/>
              <w:bottom w:val="single" w:sz="6" w:space="0" w:color="auto"/>
            </w:tcBorders>
          </w:tcPr>
          <w:p w14:paraId="37AB6205" w14:textId="77777777" w:rsidR="00BA4F46" w:rsidRPr="00576AF8" w:rsidRDefault="00BA4F46" w:rsidP="00803EC1">
            <w:pPr>
              <w:ind w:right="-360"/>
              <w:rPr>
                <w:sz w:val="22"/>
              </w:rPr>
            </w:pPr>
          </w:p>
        </w:tc>
        <w:tc>
          <w:tcPr>
            <w:tcW w:w="7188" w:type="dxa"/>
            <w:tcBorders>
              <w:left w:val="single" w:sz="6" w:space="0" w:color="auto"/>
              <w:bottom w:val="single" w:sz="6" w:space="0" w:color="auto"/>
              <w:right w:val="single" w:sz="6" w:space="0" w:color="auto"/>
            </w:tcBorders>
          </w:tcPr>
          <w:p w14:paraId="44DC2412" w14:textId="77777777" w:rsidR="00BA4F46" w:rsidRPr="00576AF8" w:rsidRDefault="00BA4F46" w:rsidP="00803EC1">
            <w:pPr>
              <w:ind w:right="-360"/>
              <w:rPr>
                <w:sz w:val="22"/>
              </w:rPr>
            </w:pPr>
          </w:p>
        </w:tc>
      </w:tr>
    </w:tbl>
    <w:p w14:paraId="31FE1A86" w14:textId="77777777" w:rsidR="00BA4F46" w:rsidRPr="00576AF8" w:rsidRDefault="00BA4F46" w:rsidP="00BA4F46">
      <w:pPr>
        <w:ind w:right="-360"/>
        <w:rPr>
          <w:sz w:val="22"/>
        </w:rPr>
      </w:pPr>
    </w:p>
    <w:p w14:paraId="7C4C53B4" w14:textId="77777777" w:rsidR="00BA4F46" w:rsidRPr="00576AF8" w:rsidRDefault="00BA4F46">
      <w:pPr>
        <w:suppressAutoHyphens w:val="0"/>
        <w:spacing w:after="0"/>
        <w:jc w:val="left"/>
        <w:rPr>
          <w:b/>
          <w:iCs/>
          <w:sz w:val="32"/>
        </w:rPr>
      </w:pPr>
    </w:p>
    <w:p w14:paraId="1734161B" w14:textId="77777777" w:rsidR="00BA4F46" w:rsidRPr="00576AF8" w:rsidRDefault="00BA4F46">
      <w:pPr>
        <w:suppressAutoHyphens w:val="0"/>
        <w:spacing w:after="0"/>
        <w:jc w:val="left"/>
        <w:rPr>
          <w:b/>
          <w:iCs/>
          <w:sz w:val="32"/>
        </w:rPr>
      </w:pPr>
      <w:r w:rsidRPr="00576AF8">
        <w:br w:type="page"/>
      </w:r>
    </w:p>
    <w:p w14:paraId="4440CB12" w14:textId="77777777" w:rsidR="00BA4F46" w:rsidRPr="00576AF8" w:rsidRDefault="00BA4F46" w:rsidP="00275E0F">
      <w:pPr>
        <w:suppressAutoHyphens w:val="0"/>
        <w:spacing w:after="0"/>
        <w:jc w:val="center"/>
        <w:rPr>
          <w:b/>
          <w:sz w:val="36"/>
        </w:rPr>
      </w:pPr>
      <w:bookmarkStart w:id="487" w:name="_Toc218673977"/>
      <w:bookmarkStart w:id="488" w:name="_Toc277345608"/>
      <w:r w:rsidRPr="00576AF8">
        <w:rPr>
          <w:b/>
          <w:sz w:val="36"/>
        </w:rPr>
        <w:lastRenderedPageBreak/>
        <w:t xml:space="preserve">Capacidades </w:t>
      </w:r>
      <w:bookmarkEnd w:id="487"/>
      <w:bookmarkEnd w:id="488"/>
      <w:r w:rsidR="001F46ED" w:rsidRPr="00576AF8">
        <w:rPr>
          <w:b/>
          <w:sz w:val="36"/>
        </w:rPr>
        <w:t>Técnicas</w:t>
      </w:r>
    </w:p>
    <w:p w14:paraId="04BB5366" w14:textId="77777777" w:rsidR="00BA4F46" w:rsidRPr="00576AF8" w:rsidRDefault="00BA4F46" w:rsidP="00BA4F46">
      <w:pPr>
        <w:ind w:right="-360"/>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BA4F46" w:rsidRPr="00576AF8" w14:paraId="0D569B57" w14:textId="77777777" w:rsidTr="00940059">
        <w:trPr>
          <w:cantSplit/>
        </w:trPr>
        <w:tc>
          <w:tcPr>
            <w:tcW w:w="9348" w:type="dxa"/>
          </w:tcPr>
          <w:p w14:paraId="217B2C13" w14:textId="77777777" w:rsidR="00BA4F46" w:rsidRPr="00576AF8" w:rsidRDefault="00BA4F46" w:rsidP="00940059">
            <w:pPr>
              <w:ind w:right="-360"/>
              <w:jc w:val="left"/>
            </w:pPr>
            <w:r w:rsidRPr="00576AF8">
              <w:t xml:space="preserve">Nombre del Licitante o miembro de una </w:t>
            </w:r>
            <w:r w:rsidR="000107E9" w:rsidRPr="00576AF8">
              <w:t>APCA</w:t>
            </w:r>
          </w:p>
        </w:tc>
      </w:tr>
    </w:tbl>
    <w:p w14:paraId="4E920231" w14:textId="77777777" w:rsidR="00BA4F46" w:rsidRPr="00576AF8" w:rsidRDefault="00BA4F46" w:rsidP="00BA4F46">
      <w:pPr>
        <w:ind w:right="-360"/>
      </w:pPr>
    </w:p>
    <w:p w14:paraId="526AE45F" w14:textId="77777777" w:rsidR="00BA4F46" w:rsidRPr="00576AF8" w:rsidRDefault="00BA4F46" w:rsidP="00940059">
      <w:pPr>
        <w:ind w:right="4"/>
        <w:rPr>
          <w:spacing w:val="-2"/>
        </w:rPr>
      </w:pPr>
      <w:r w:rsidRPr="00576AF8">
        <w:rPr>
          <w:spacing w:val="-2"/>
        </w:rPr>
        <w:t xml:space="preserve">El Licitante brindará la información pertinente para demostrar </w:t>
      </w:r>
      <w:r w:rsidR="00D224BE" w:rsidRPr="00576AF8">
        <w:rPr>
          <w:spacing w:val="-2"/>
        </w:rPr>
        <w:t xml:space="preserve">con claridad </w:t>
      </w:r>
      <w:r w:rsidRPr="00576AF8">
        <w:rPr>
          <w:spacing w:val="-2"/>
        </w:rPr>
        <w:t>que tiene la capacidad técnica necesaria para cumplir con los requisitos del Sistema Informático.</w:t>
      </w:r>
      <w:r w:rsidR="00C15E45" w:rsidRPr="00576AF8">
        <w:rPr>
          <w:spacing w:val="-2"/>
        </w:rPr>
        <w:t xml:space="preserve"> </w:t>
      </w:r>
      <w:r w:rsidRPr="00576AF8">
        <w:rPr>
          <w:spacing w:val="-2"/>
        </w:rPr>
        <w:t xml:space="preserve">En este formulario, el Licitante deberá resumir las certificaciones importantes, las metodologías de propiedad exclusiva y las tecnologías especializadas que </w:t>
      </w:r>
      <w:r w:rsidR="00D224BE" w:rsidRPr="00576AF8">
        <w:rPr>
          <w:spacing w:val="-2"/>
        </w:rPr>
        <w:t xml:space="preserve">se </w:t>
      </w:r>
      <w:r w:rsidRPr="00576AF8">
        <w:rPr>
          <w:spacing w:val="-2"/>
        </w:rPr>
        <w:t xml:space="preserve">propone utilizar en la ejecución del Contrato o </w:t>
      </w:r>
      <w:r w:rsidR="00D224BE" w:rsidRPr="00576AF8">
        <w:rPr>
          <w:spacing w:val="-2"/>
        </w:rPr>
        <w:t xml:space="preserve">de </w:t>
      </w:r>
      <w:r w:rsidRPr="00576AF8">
        <w:rPr>
          <w:spacing w:val="-2"/>
        </w:rPr>
        <w:t>los Contratos.</w:t>
      </w:r>
    </w:p>
    <w:p w14:paraId="69C7F0CB" w14:textId="77777777" w:rsidR="00141FCB" w:rsidRPr="00576AF8" w:rsidRDefault="00141FCB">
      <w:pPr>
        <w:suppressAutoHyphens w:val="0"/>
        <w:spacing w:after="0"/>
        <w:jc w:val="left"/>
      </w:pPr>
      <w:r w:rsidRPr="00576AF8">
        <w:br w:type="page"/>
      </w:r>
    </w:p>
    <w:p w14:paraId="366D853F" w14:textId="77777777" w:rsidR="00BA4F46" w:rsidRPr="00576AF8" w:rsidRDefault="00BA4F46" w:rsidP="00275E0F">
      <w:pPr>
        <w:suppressAutoHyphens w:val="0"/>
        <w:spacing w:after="0"/>
        <w:jc w:val="center"/>
        <w:rPr>
          <w:b/>
          <w:sz w:val="36"/>
        </w:rPr>
      </w:pPr>
      <w:bookmarkStart w:id="489" w:name="_Toc521497247"/>
      <w:bookmarkStart w:id="490" w:name="_Toc218673979"/>
      <w:bookmarkStart w:id="491" w:name="_Toc277345610"/>
      <w:r w:rsidRPr="00576AF8">
        <w:rPr>
          <w:b/>
          <w:sz w:val="36"/>
        </w:rPr>
        <w:lastRenderedPageBreak/>
        <w:t xml:space="preserve">Autorización del </w:t>
      </w:r>
      <w:bookmarkEnd w:id="489"/>
      <w:bookmarkEnd w:id="490"/>
      <w:bookmarkEnd w:id="491"/>
      <w:r w:rsidR="001F46ED" w:rsidRPr="00576AF8">
        <w:rPr>
          <w:b/>
          <w:sz w:val="36"/>
        </w:rPr>
        <w:t>Fabricante</w:t>
      </w:r>
    </w:p>
    <w:p w14:paraId="229D9223" w14:textId="77777777" w:rsidR="00BA4F46" w:rsidRPr="00576AF8" w:rsidRDefault="00BA4F46" w:rsidP="00BA4F46">
      <w:pPr>
        <w:pStyle w:val="Piedepgina"/>
        <w:tabs>
          <w:tab w:val="right" w:pos="9000"/>
        </w:tabs>
        <w:ind w:right="-360"/>
        <w:jc w:val="center"/>
        <w:rPr>
          <w:sz w:val="22"/>
        </w:rPr>
      </w:pPr>
    </w:p>
    <w:p w14:paraId="11FC10CD" w14:textId="77777777" w:rsidR="00BA4F46" w:rsidRPr="00576AF8" w:rsidRDefault="00BA4F46" w:rsidP="004825E0">
      <w:pPr>
        <w:ind w:left="720" w:right="4" w:hanging="720"/>
        <w:rPr>
          <w:sz w:val="22"/>
        </w:rPr>
      </w:pPr>
      <w:r w:rsidRPr="00576AF8">
        <w:rPr>
          <w:b/>
          <w:sz w:val="22"/>
        </w:rPr>
        <w:t>Nota</w:t>
      </w:r>
      <w:r w:rsidRPr="00576AF8">
        <w:rPr>
          <w:sz w:val="22"/>
        </w:rPr>
        <w:t>:</w:t>
      </w:r>
      <w:r w:rsidR="00C15E45" w:rsidRPr="00576AF8">
        <w:rPr>
          <w:sz w:val="22"/>
        </w:rPr>
        <w:t xml:space="preserve"> </w:t>
      </w:r>
      <w:r w:rsidR="004D1673" w:rsidRPr="00576AF8">
        <w:rPr>
          <w:sz w:val="22"/>
        </w:rPr>
        <w:tab/>
      </w:r>
      <w:r w:rsidRPr="00576AF8">
        <w:rPr>
          <w:sz w:val="22"/>
        </w:rPr>
        <w:t xml:space="preserve">Esta autorización deberá estar escrita en papel con membrete del </w:t>
      </w:r>
      <w:r w:rsidR="007674EA" w:rsidRPr="00576AF8">
        <w:rPr>
          <w:sz w:val="22"/>
        </w:rPr>
        <w:t>f</w:t>
      </w:r>
      <w:r w:rsidRPr="00576AF8">
        <w:rPr>
          <w:sz w:val="22"/>
        </w:rPr>
        <w:t xml:space="preserve">abricante y deberá estar </w:t>
      </w:r>
      <w:r w:rsidR="004825E0" w:rsidRPr="00576AF8">
        <w:rPr>
          <w:sz w:val="22"/>
        </w:rPr>
        <w:br/>
      </w:r>
      <w:r w:rsidRPr="00576AF8">
        <w:rPr>
          <w:sz w:val="22"/>
        </w:rPr>
        <w:t xml:space="preserve">firmada por la persona debidamente autorizada para firmar documentos que sean vinculantes </w:t>
      </w:r>
      <w:r w:rsidR="004825E0" w:rsidRPr="00576AF8">
        <w:rPr>
          <w:sz w:val="22"/>
        </w:rPr>
        <w:br/>
      </w:r>
      <w:r w:rsidRPr="00576AF8">
        <w:rPr>
          <w:sz w:val="22"/>
        </w:rPr>
        <w:t>para el Fabricante.</w:t>
      </w:r>
    </w:p>
    <w:p w14:paraId="0E1D31E9" w14:textId="77777777" w:rsidR="00BA4F46" w:rsidRPr="00576AF8" w:rsidRDefault="00BA4F46" w:rsidP="004825E0">
      <w:pPr>
        <w:pStyle w:val="Piedepgina"/>
        <w:tabs>
          <w:tab w:val="right" w:pos="9000"/>
        </w:tabs>
        <w:ind w:right="4"/>
        <w:jc w:val="center"/>
        <w:rPr>
          <w:sz w:val="22"/>
        </w:rPr>
      </w:pPr>
    </w:p>
    <w:p w14:paraId="11107C48" w14:textId="77777777" w:rsidR="00BA4F46" w:rsidRPr="00576AF8" w:rsidRDefault="00AB6D4A" w:rsidP="0043323C">
      <w:pPr>
        <w:spacing w:after="0"/>
        <w:ind w:right="4"/>
      </w:pPr>
      <w:r w:rsidRPr="00576AF8">
        <w:t xml:space="preserve">Título y número </w:t>
      </w:r>
      <w:r w:rsidR="00BB2041" w:rsidRPr="00576AF8">
        <w:t>de la Solicitud de Ofertas (SDO)</w:t>
      </w:r>
      <w:r w:rsidR="00BA4F46" w:rsidRPr="00576AF8">
        <w:t>:</w:t>
      </w:r>
      <w:r w:rsidR="0043323C" w:rsidRPr="00576AF8">
        <w:t xml:space="preserve"> NUEVO CENTRO DE CONTROL DEL OPERADOR NACIONAL DE ELECTRICIDAD - </w:t>
      </w:r>
      <w:r w:rsidR="0043323C" w:rsidRPr="00576AF8">
        <w:rPr>
          <w:i/>
        </w:rPr>
        <w:t>EC-L1257-P00015</w:t>
      </w:r>
      <w:r w:rsidR="00BA4F46" w:rsidRPr="00576AF8">
        <w:tab/>
      </w:r>
    </w:p>
    <w:p w14:paraId="407C9851" w14:textId="77777777" w:rsidR="0043323C" w:rsidRPr="00576AF8" w:rsidRDefault="0043323C" w:rsidP="0043323C">
      <w:pPr>
        <w:spacing w:after="0"/>
        <w:ind w:right="4"/>
      </w:pPr>
    </w:p>
    <w:p w14:paraId="06EC442E" w14:textId="77777777" w:rsidR="00BA4F46" w:rsidRPr="00576AF8" w:rsidRDefault="00BA4F46" w:rsidP="004825E0">
      <w:pPr>
        <w:ind w:right="4"/>
      </w:pPr>
      <w:r w:rsidRPr="00576AF8">
        <w:t xml:space="preserve">Para: </w:t>
      </w:r>
      <w:r w:rsidRPr="00576AF8">
        <w:rPr>
          <w:i/>
        </w:rPr>
        <w:t>[El Comprador debe indicar:</w:t>
      </w:r>
      <w:r w:rsidR="00C15E45" w:rsidRPr="00576AF8">
        <w:rPr>
          <w:i/>
        </w:rPr>
        <w:t xml:space="preserve"> </w:t>
      </w:r>
      <w:r w:rsidRPr="00576AF8">
        <w:rPr>
          <w:b/>
          <w:i/>
        </w:rPr>
        <w:t xml:space="preserve">funcionario del Comprador que recibe la </w:t>
      </w:r>
      <w:r w:rsidR="007674EA" w:rsidRPr="00576AF8">
        <w:rPr>
          <w:b/>
          <w:i/>
        </w:rPr>
        <w:t>a</w:t>
      </w:r>
      <w:r w:rsidRPr="00576AF8">
        <w:rPr>
          <w:b/>
          <w:i/>
        </w:rPr>
        <w:t xml:space="preserve">utorización </w:t>
      </w:r>
      <w:r w:rsidR="004825E0" w:rsidRPr="00576AF8">
        <w:rPr>
          <w:b/>
          <w:i/>
        </w:rPr>
        <w:br/>
      </w:r>
      <w:r w:rsidRPr="00576AF8">
        <w:rPr>
          <w:b/>
          <w:i/>
        </w:rPr>
        <w:t xml:space="preserve">del </w:t>
      </w:r>
      <w:r w:rsidR="007674EA" w:rsidRPr="00576AF8">
        <w:rPr>
          <w:b/>
          <w:i/>
        </w:rPr>
        <w:t>f</w:t>
      </w:r>
      <w:r w:rsidRPr="00576AF8">
        <w:rPr>
          <w:b/>
          <w:i/>
        </w:rPr>
        <w:t>abricante</w:t>
      </w:r>
      <w:r w:rsidRPr="00576AF8">
        <w:rPr>
          <w:i/>
        </w:rPr>
        <w:t>]</w:t>
      </w:r>
    </w:p>
    <w:p w14:paraId="310049A4" w14:textId="77777777" w:rsidR="00BA4F46" w:rsidRPr="00576AF8" w:rsidRDefault="00BA4F46" w:rsidP="004825E0">
      <w:pPr>
        <w:spacing w:after="0"/>
        <w:ind w:right="4"/>
      </w:pPr>
    </w:p>
    <w:p w14:paraId="7315E381" w14:textId="77777777" w:rsidR="00BA4F46" w:rsidRPr="00576AF8" w:rsidRDefault="00BA4F46" w:rsidP="004825E0">
      <w:pPr>
        <w:spacing w:after="0"/>
        <w:ind w:right="4"/>
      </w:pPr>
    </w:p>
    <w:p w14:paraId="29C5BE48" w14:textId="77777777" w:rsidR="00BA4F46" w:rsidRPr="00576AF8" w:rsidRDefault="00BA4F46" w:rsidP="004825E0">
      <w:pPr>
        <w:tabs>
          <w:tab w:val="right" w:pos="8820"/>
        </w:tabs>
        <w:spacing w:after="0"/>
        <w:ind w:right="4"/>
      </w:pPr>
      <w:r w:rsidRPr="00576AF8">
        <w:t xml:space="preserve">POR CUANTO </w:t>
      </w:r>
      <w:r w:rsidRPr="00576AF8">
        <w:rPr>
          <w:i/>
        </w:rPr>
        <w:t xml:space="preserve">[indique: </w:t>
      </w:r>
      <w:r w:rsidRPr="00576AF8">
        <w:rPr>
          <w:b/>
          <w:i/>
        </w:rPr>
        <w:t xml:space="preserve">nombre del </w:t>
      </w:r>
      <w:r w:rsidR="007674EA" w:rsidRPr="00576AF8">
        <w:rPr>
          <w:b/>
          <w:i/>
        </w:rPr>
        <w:t>f</w:t>
      </w:r>
      <w:r w:rsidRPr="00576AF8">
        <w:rPr>
          <w:b/>
          <w:i/>
        </w:rPr>
        <w:t>abricante</w:t>
      </w:r>
      <w:r w:rsidRPr="00576AF8">
        <w:rPr>
          <w:i/>
        </w:rPr>
        <w:t>],</w:t>
      </w:r>
      <w:r w:rsidRPr="00576AF8">
        <w:t xml:space="preserve"> fabricantes oficiales de </w:t>
      </w:r>
      <w:r w:rsidRPr="00576AF8">
        <w:rPr>
          <w:i/>
        </w:rPr>
        <w:t xml:space="preserve">[indique: </w:t>
      </w:r>
      <w:r w:rsidRPr="00576AF8">
        <w:rPr>
          <w:b/>
          <w:i/>
        </w:rPr>
        <w:t xml:space="preserve">artículos de suministro provistos por el </w:t>
      </w:r>
      <w:r w:rsidR="007674EA" w:rsidRPr="00576AF8">
        <w:rPr>
          <w:b/>
          <w:i/>
        </w:rPr>
        <w:t>f</w:t>
      </w:r>
      <w:r w:rsidRPr="00576AF8">
        <w:rPr>
          <w:b/>
          <w:i/>
        </w:rPr>
        <w:t>abricante</w:t>
      </w:r>
      <w:r w:rsidRPr="00576AF8">
        <w:rPr>
          <w:i/>
        </w:rPr>
        <w:t>]</w:t>
      </w:r>
      <w:r w:rsidRPr="00576AF8">
        <w:t xml:space="preserve">, con instalaciones de producción en </w:t>
      </w:r>
      <w:r w:rsidRPr="00576AF8">
        <w:rPr>
          <w:i/>
        </w:rPr>
        <w:t xml:space="preserve">[indique: </w:t>
      </w:r>
      <w:r w:rsidRPr="00576AF8">
        <w:rPr>
          <w:b/>
          <w:i/>
        </w:rPr>
        <w:t xml:space="preserve">dirección del </w:t>
      </w:r>
      <w:r w:rsidR="007674EA" w:rsidRPr="00576AF8">
        <w:rPr>
          <w:b/>
          <w:i/>
        </w:rPr>
        <w:t>f</w:t>
      </w:r>
      <w:r w:rsidRPr="00576AF8">
        <w:rPr>
          <w:b/>
          <w:i/>
        </w:rPr>
        <w:t>abricante</w:t>
      </w:r>
      <w:r w:rsidRPr="00576AF8">
        <w:rPr>
          <w:i/>
        </w:rPr>
        <w:t>],</w:t>
      </w:r>
      <w:r w:rsidRPr="00576AF8">
        <w:t xml:space="preserve"> por la presente, autorizamos a </w:t>
      </w:r>
      <w:r w:rsidRPr="00576AF8">
        <w:rPr>
          <w:i/>
        </w:rPr>
        <w:t xml:space="preserve">[indique: </w:t>
      </w:r>
      <w:r w:rsidRPr="00576AF8">
        <w:rPr>
          <w:b/>
          <w:i/>
        </w:rPr>
        <w:t xml:space="preserve">nombre del Licitante o de la </w:t>
      </w:r>
      <w:r w:rsidR="000107E9" w:rsidRPr="00576AF8">
        <w:rPr>
          <w:b/>
          <w:i/>
        </w:rPr>
        <w:t>APCA</w:t>
      </w:r>
      <w:r w:rsidRPr="00576AF8">
        <w:rPr>
          <w:i/>
        </w:rPr>
        <w:t>]</w:t>
      </w:r>
      <w:r w:rsidRPr="00576AF8">
        <w:t xml:space="preserve">, ubicado en </w:t>
      </w:r>
      <w:r w:rsidRPr="00576AF8">
        <w:rPr>
          <w:i/>
        </w:rPr>
        <w:t xml:space="preserve">[indique: </w:t>
      </w:r>
      <w:r w:rsidRPr="00576AF8">
        <w:rPr>
          <w:b/>
          <w:i/>
        </w:rPr>
        <w:t xml:space="preserve">dirección del Licitante o de la </w:t>
      </w:r>
      <w:r w:rsidR="000107E9" w:rsidRPr="00576AF8">
        <w:rPr>
          <w:b/>
          <w:i/>
        </w:rPr>
        <w:t>APCA</w:t>
      </w:r>
      <w:r w:rsidRPr="00576AF8">
        <w:rPr>
          <w:i/>
        </w:rPr>
        <w:t>]</w:t>
      </w:r>
      <w:r w:rsidRPr="00576AF8">
        <w:t xml:space="preserve"> (en adelante, el “Licitante”) a presentar una Oferta y, posteriormente, negociar y firmar con ustedes un Contrato para la reventa de los siguientes Pro</w:t>
      </w:r>
      <w:r w:rsidR="00D55161" w:rsidRPr="00576AF8">
        <w:t>ductos fabricados por nosotros:</w:t>
      </w:r>
      <w:r w:rsidRPr="00576AF8">
        <w:tab/>
      </w:r>
      <w:r w:rsidRPr="00576AF8">
        <w:tab/>
      </w:r>
    </w:p>
    <w:p w14:paraId="222191B8" w14:textId="77777777" w:rsidR="00BA4F46" w:rsidRPr="00576AF8" w:rsidRDefault="00BA4F46" w:rsidP="004825E0">
      <w:pPr>
        <w:tabs>
          <w:tab w:val="right" w:pos="8820"/>
        </w:tabs>
        <w:spacing w:after="0"/>
        <w:ind w:right="4"/>
      </w:pPr>
    </w:p>
    <w:p w14:paraId="7CE01735" w14:textId="77777777" w:rsidR="00BA4F46" w:rsidRPr="00576AF8" w:rsidRDefault="00BA4F46" w:rsidP="004825E0">
      <w:pPr>
        <w:tabs>
          <w:tab w:val="right" w:pos="8820"/>
        </w:tabs>
        <w:spacing w:after="0"/>
        <w:ind w:right="4"/>
      </w:pPr>
      <w:r w:rsidRPr="00576AF8">
        <w:t>Por la presente, confirmamos que, en caso de que la licitación dé como resultado un Contrato entre usted y el Licitante, los productos mencionados anteriormente se entregarán con n</w:t>
      </w:r>
      <w:r w:rsidR="00D55161" w:rsidRPr="00576AF8">
        <w:t>uestra garantía estándar total.</w:t>
      </w:r>
    </w:p>
    <w:p w14:paraId="3BE74484" w14:textId="77777777" w:rsidR="00BA4F46" w:rsidRPr="00576AF8" w:rsidRDefault="00BA4F46" w:rsidP="004825E0">
      <w:pPr>
        <w:tabs>
          <w:tab w:val="right" w:pos="8820"/>
        </w:tabs>
        <w:spacing w:after="0"/>
        <w:ind w:right="4"/>
      </w:pPr>
    </w:p>
    <w:p w14:paraId="323C43F6" w14:textId="77777777" w:rsidR="00BA4F46" w:rsidRPr="00576AF8" w:rsidRDefault="00BA4F46" w:rsidP="004825E0">
      <w:pPr>
        <w:keepNext/>
        <w:keepLines/>
        <w:tabs>
          <w:tab w:val="left" w:pos="4820"/>
          <w:tab w:val="right" w:pos="9000"/>
        </w:tabs>
        <w:spacing w:after="0"/>
        <w:ind w:right="4"/>
        <w:jc w:val="left"/>
      </w:pPr>
      <w:r w:rsidRPr="00576AF8">
        <w:t xml:space="preserve">Nombre </w:t>
      </w:r>
      <w:r w:rsidRPr="00576AF8">
        <w:rPr>
          <w:i/>
        </w:rPr>
        <w:t xml:space="preserve">[indique: </w:t>
      </w:r>
      <w:r w:rsidRPr="00576AF8">
        <w:rPr>
          <w:b/>
          <w:i/>
        </w:rPr>
        <w:t>nombre del funcionario</w:t>
      </w:r>
      <w:r w:rsidRPr="00576AF8">
        <w:rPr>
          <w:i/>
        </w:rPr>
        <w:t>]</w:t>
      </w:r>
      <w:r w:rsidR="00D55161" w:rsidRPr="00576AF8">
        <w:tab/>
      </w:r>
      <w:r w:rsidRPr="00576AF8">
        <w:t xml:space="preserve">en calidad de </w:t>
      </w:r>
      <w:r w:rsidRPr="00576AF8">
        <w:rPr>
          <w:i/>
        </w:rPr>
        <w:t xml:space="preserve">[indique: </w:t>
      </w:r>
      <w:r w:rsidRPr="00576AF8">
        <w:rPr>
          <w:b/>
          <w:i/>
        </w:rPr>
        <w:t>cargo del funcionario</w:t>
      </w:r>
      <w:r w:rsidRPr="00576AF8">
        <w:rPr>
          <w:i/>
        </w:rPr>
        <w:t>]</w:t>
      </w:r>
      <w:r w:rsidR="004825E0" w:rsidRPr="00576AF8">
        <w:t xml:space="preserve"> </w:t>
      </w:r>
    </w:p>
    <w:p w14:paraId="4D07FD32" w14:textId="77777777" w:rsidR="00BA4F46" w:rsidRPr="00576AF8" w:rsidRDefault="00BA4F46" w:rsidP="004825E0">
      <w:pPr>
        <w:keepNext/>
        <w:keepLines/>
        <w:tabs>
          <w:tab w:val="right" w:pos="4140"/>
          <w:tab w:val="left" w:pos="4500"/>
          <w:tab w:val="right" w:pos="9000"/>
        </w:tabs>
        <w:spacing w:after="0"/>
        <w:ind w:right="4"/>
        <w:jc w:val="left"/>
      </w:pPr>
    </w:p>
    <w:p w14:paraId="46895648" w14:textId="77777777" w:rsidR="00BA4F46" w:rsidRPr="00576AF8" w:rsidRDefault="00BA4F46" w:rsidP="004825E0">
      <w:pPr>
        <w:keepNext/>
        <w:keepLines/>
        <w:tabs>
          <w:tab w:val="right" w:pos="4140"/>
          <w:tab w:val="left" w:pos="4500"/>
          <w:tab w:val="right" w:pos="9000"/>
        </w:tabs>
        <w:spacing w:after="0"/>
        <w:ind w:right="4"/>
        <w:jc w:val="left"/>
      </w:pPr>
      <w:r w:rsidRPr="00576AF8">
        <w:t>Firmada</w:t>
      </w:r>
      <w:r w:rsidR="00C15E45" w:rsidRPr="00576AF8">
        <w:t xml:space="preserve"> </w:t>
      </w:r>
      <w:r w:rsidRPr="00576AF8">
        <w:t>______________________________</w:t>
      </w:r>
      <w:r w:rsidRPr="00576AF8">
        <w:tab/>
      </w:r>
    </w:p>
    <w:p w14:paraId="1DBFF04F" w14:textId="77777777" w:rsidR="00BA4F46" w:rsidRPr="00576AF8" w:rsidRDefault="00BA4F46" w:rsidP="004825E0">
      <w:pPr>
        <w:keepNext/>
        <w:keepLines/>
        <w:tabs>
          <w:tab w:val="right" w:pos="4140"/>
          <w:tab w:val="left" w:pos="4500"/>
          <w:tab w:val="right" w:pos="9000"/>
        </w:tabs>
        <w:spacing w:after="0"/>
        <w:ind w:right="4"/>
        <w:jc w:val="left"/>
      </w:pPr>
    </w:p>
    <w:p w14:paraId="6772CC9B" w14:textId="77777777" w:rsidR="00BA4F46" w:rsidRPr="00576AF8" w:rsidRDefault="00BA4F46" w:rsidP="004825E0">
      <w:pPr>
        <w:keepNext/>
        <w:keepLines/>
        <w:tabs>
          <w:tab w:val="right" w:pos="4140"/>
          <w:tab w:val="left" w:pos="4500"/>
          <w:tab w:val="right" w:pos="9000"/>
        </w:tabs>
        <w:spacing w:after="0"/>
        <w:ind w:right="4"/>
        <w:jc w:val="left"/>
      </w:pPr>
      <w:r w:rsidRPr="00576AF8">
        <w:t xml:space="preserve">Debidamente autorizado para firmar esta autorización por y en nombre de: </w:t>
      </w:r>
      <w:r w:rsidRPr="00576AF8">
        <w:rPr>
          <w:i/>
        </w:rPr>
        <w:t xml:space="preserve">[indique: </w:t>
      </w:r>
      <w:r w:rsidRPr="00576AF8">
        <w:rPr>
          <w:b/>
          <w:i/>
        </w:rPr>
        <w:t xml:space="preserve">nombre </w:t>
      </w:r>
      <w:r w:rsidR="004825E0" w:rsidRPr="00576AF8">
        <w:rPr>
          <w:b/>
          <w:i/>
        </w:rPr>
        <w:br/>
      </w:r>
      <w:r w:rsidRPr="00576AF8">
        <w:rPr>
          <w:b/>
          <w:i/>
        </w:rPr>
        <w:t xml:space="preserve">del </w:t>
      </w:r>
      <w:r w:rsidR="007674EA" w:rsidRPr="00576AF8">
        <w:rPr>
          <w:b/>
          <w:i/>
        </w:rPr>
        <w:t>f</w:t>
      </w:r>
      <w:r w:rsidRPr="00576AF8">
        <w:rPr>
          <w:b/>
          <w:i/>
        </w:rPr>
        <w:t>abricante</w:t>
      </w:r>
      <w:r w:rsidRPr="00576AF8">
        <w:rPr>
          <w:i/>
        </w:rPr>
        <w:t>]</w:t>
      </w:r>
      <w:r w:rsidRPr="00576AF8">
        <w:t xml:space="preserve"> </w:t>
      </w:r>
      <w:r w:rsidRPr="00576AF8">
        <w:tab/>
      </w:r>
    </w:p>
    <w:p w14:paraId="3A204235" w14:textId="77777777" w:rsidR="00BA4F46" w:rsidRPr="00576AF8" w:rsidRDefault="00BA4F46" w:rsidP="004825E0">
      <w:pPr>
        <w:keepNext/>
        <w:keepLines/>
        <w:tabs>
          <w:tab w:val="right" w:pos="4140"/>
          <w:tab w:val="left" w:pos="4500"/>
          <w:tab w:val="right" w:pos="9000"/>
        </w:tabs>
        <w:spacing w:after="0"/>
        <w:ind w:right="4"/>
        <w:jc w:val="left"/>
      </w:pPr>
      <w:r w:rsidRPr="00576AF8">
        <w:t xml:space="preserve"> </w:t>
      </w:r>
      <w:r w:rsidRPr="00576AF8">
        <w:tab/>
      </w:r>
      <w:r w:rsidRPr="00576AF8">
        <w:tab/>
      </w:r>
      <w:r w:rsidRPr="00576AF8">
        <w:tab/>
      </w:r>
    </w:p>
    <w:p w14:paraId="0298B450" w14:textId="77777777" w:rsidR="00BA4F46" w:rsidRPr="00576AF8" w:rsidRDefault="00BA4F46" w:rsidP="004825E0">
      <w:pPr>
        <w:tabs>
          <w:tab w:val="left" w:pos="2160"/>
          <w:tab w:val="left" w:pos="5400"/>
        </w:tabs>
        <w:ind w:right="4"/>
      </w:pPr>
      <w:r w:rsidRPr="00576AF8">
        <w:t xml:space="preserve">Fechado el </w:t>
      </w:r>
      <w:r w:rsidRPr="00576AF8">
        <w:rPr>
          <w:i/>
        </w:rPr>
        <w:t xml:space="preserve">[indique: </w:t>
      </w:r>
      <w:r w:rsidRPr="00576AF8">
        <w:rPr>
          <w:b/>
          <w:i/>
        </w:rPr>
        <w:t>número</w:t>
      </w:r>
      <w:r w:rsidRPr="00576AF8">
        <w:rPr>
          <w:i/>
        </w:rPr>
        <w:t>]</w:t>
      </w:r>
      <w:r w:rsidRPr="00576AF8">
        <w:t xml:space="preserve"> día de </w:t>
      </w:r>
      <w:r w:rsidRPr="00576AF8">
        <w:rPr>
          <w:i/>
        </w:rPr>
        <w:t xml:space="preserve">[indique: </w:t>
      </w:r>
      <w:r w:rsidRPr="00576AF8">
        <w:rPr>
          <w:b/>
          <w:i/>
        </w:rPr>
        <w:t>mes</w:t>
      </w:r>
      <w:r w:rsidRPr="00576AF8">
        <w:rPr>
          <w:i/>
        </w:rPr>
        <w:t>]</w:t>
      </w:r>
      <w:r w:rsidRPr="00576AF8">
        <w:t xml:space="preserve"> de </w:t>
      </w:r>
      <w:r w:rsidRPr="00576AF8">
        <w:rPr>
          <w:i/>
        </w:rPr>
        <w:t xml:space="preserve">[indique: </w:t>
      </w:r>
      <w:r w:rsidRPr="00576AF8">
        <w:rPr>
          <w:b/>
          <w:i/>
        </w:rPr>
        <w:t>año</w:t>
      </w:r>
      <w:r w:rsidRPr="00576AF8">
        <w:rPr>
          <w:i/>
        </w:rPr>
        <w:t>]</w:t>
      </w:r>
      <w:r w:rsidRPr="00576AF8">
        <w:t>.</w:t>
      </w:r>
    </w:p>
    <w:p w14:paraId="374A185C" w14:textId="77777777" w:rsidR="00BA4F46" w:rsidRPr="00576AF8" w:rsidRDefault="00BA4F46" w:rsidP="004825E0">
      <w:pPr>
        <w:pStyle w:val="BankNormal"/>
        <w:spacing w:after="200"/>
        <w:ind w:right="4"/>
        <w:rPr>
          <w:rFonts w:ascii="Times New Roman" w:hAnsi="Times New Roman"/>
          <w:i/>
          <w:sz w:val="24"/>
        </w:rPr>
      </w:pPr>
      <w:r w:rsidRPr="00576AF8">
        <w:rPr>
          <w:rFonts w:ascii="Times New Roman" w:hAnsi="Times New Roman"/>
          <w:i/>
          <w:sz w:val="24"/>
        </w:rPr>
        <w:t>[</w:t>
      </w:r>
      <w:r w:rsidR="000B3AE5" w:rsidRPr="00576AF8">
        <w:rPr>
          <w:rFonts w:ascii="Times New Roman" w:hAnsi="Times New Roman"/>
          <w:i/>
          <w:sz w:val="24"/>
        </w:rPr>
        <w:t>A</w:t>
      </w:r>
      <w:r w:rsidRPr="00576AF8">
        <w:rPr>
          <w:rFonts w:ascii="Times New Roman" w:hAnsi="Times New Roman"/>
          <w:i/>
          <w:sz w:val="24"/>
        </w:rPr>
        <w:t>gregue el sello de la empresa, si corresponde]</w:t>
      </w:r>
      <w:r w:rsidR="000B3AE5" w:rsidRPr="00576AF8">
        <w:rPr>
          <w:rFonts w:ascii="Times New Roman" w:hAnsi="Times New Roman"/>
          <w:i/>
          <w:sz w:val="24"/>
        </w:rPr>
        <w:t>.</w:t>
      </w:r>
    </w:p>
    <w:p w14:paraId="30955D36" w14:textId="77777777" w:rsidR="002778DA" w:rsidRPr="00576AF8" w:rsidRDefault="002778DA" w:rsidP="004825E0">
      <w:pPr>
        <w:suppressAutoHyphens w:val="0"/>
        <w:spacing w:after="0"/>
        <w:ind w:right="4"/>
        <w:jc w:val="left"/>
        <w:rPr>
          <w:iCs/>
          <w:sz w:val="32"/>
        </w:rPr>
      </w:pPr>
      <w:r w:rsidRPr="00576AF8">
        <w:br w:type="page"/>
      </w:r>
    </w:p>
    <w:p w14:paraId="6D25BEA6" w14:textId="77777777" w:rsidR="00BA4F46" w:rsidRPr="00576AF8" w:rsidRDefault="00BA4F46" w:rsidP="00275E0F">
      <w:pPr>
        <w:suppressAutoHyphens w:val="0"/>
        <w:spacing w:after="0"/>
        <w:jc w:val="center"/>
        <w:rPr>
          <w:b/>
          <w:sz w:val="36"/>
        </w:rPr>
      </w:pPr>
      <w:bookmarkStart w:id="492" w:name="_Toc218673980"/>
      <w:bookmarkStart w:id="493" w:name="_Toc277345611"/>
      <w:r w:rsidRPr="00576AF8">
        <w:rPr>
          <w:b/>
          <w:sz w:val="36"/>
        </w:rPr>
        <w:lastRenderedPageBreak/>
        <w:t xml:space="preserve">Convenio con el </w:t>
      </w:r>
      <w:bookmarkEnd w:id="492"/>
      <w:bookmarkEnd w:id="493"/>
      <w:r w:rsidR="005E641B" w:rsidRPr="00576AF8">
        <w:rPr>
          <w:b/>
          <w:sz w:val="36"/>
        </w:rPr>
        <w:t>Subcontratista</w:t>
      </w:r>
    </w:p>
    <w:p w14:paraId="5C0FE4EF" w14:textId="77777777" w:rsidR="00BA4F46" w:rsidRPr="00576AF8" w:rsidRDefault="00BA4F46" w:rsidP="004825E0">
      <w:pPr>
        <w:ind w:left="720" w:right="4" w:hanging="720"/>
        <w:rPr>
          <w:sz w:val="22"/>
        </w:rPr>
      </w:pPr>
      <w:r w:rsidRPr="00576AF8">
        <w:rPr>
          <w:b/>
          <w:sz w:val="22"/>
        </w:rPr>
        <w:t>Nota</w:t>
      </w:r>
      <w:r w:rsidRPr="00576AF8">
        <w:rPr>
          <w:sz w:val="22"/>
        </w:rPr>
        <w:t xml:space="preserve">: </w:t>
      </w:r>
      <w:r w:rsidRPr="00576AF8">
        <w:tab/>
      </w:r>
      <w:r w:rsidRPr="00576AF8">
        <w:rPr>
          <w:sz w:val="22"/>
        </w:rPr>
        <w:t xml:space="preserve">Este convenio deberá estar escrito en papel con membrete del </w:t>
      </w:r>
      <w:r w:rsidR="007674EA" w:rsidRPr="00576AF8">
        <w:rPr>
          <w:sz w:val="22"/>
        </w:rPr>
        <w:t>s</w:t>
      </w:r>
      <w:r w:rsidRPr="00576AF8">
        <w:rPr>
          <w:sz w:val="22"/>
        </w:rPr>
        <w:t xml:space="preserve">ubcontratista y deberá estar </w:t>
      </w:r>
      <w:r w:rsidR="004825E0" w:rsidRPr="00576AF8">
        <w:rPr>
          <w:sz w:val="22"/>
        </w:rPr>
        <w:br/>
      </w:r>
      <w:r w:rsidRPr="00576AF8">
        <w:rPr>
          <w:sz w:val="22"/>
        </w:rPr>
        <w:t xml:space="preserve">firmado por la persona debidamente autorizada para firmar documentos que sean vinculantes </w:t>
      </w:r>
      <w:r w:rsidR="004825E0" w:rsidRPr="00576AF8">
        <w:rPr>
          <w:sz w:val="22"/>
        </w:rPr>
        <w:br/>
      </w:r>
      <w:r w:rsidRPr="00576AF8">
        <w:rPr>
          <w:sz w:val="22"/>
        </w:rPr>
        <w:t xml:space="preserve">para el </w:t>
      </w:r>
      <w:r w:rsidR="007674EA" w:rsidRPr="00576AF8">
        <w:rPr>
          <w:sz w:val="22"/>
        </w:rPr>
        <w:t>s</w:t>
      </w:r>
      <w:r w:rsidRPr="00576AF8">
        <w:rPr>
          <w:sz w:val="22"/>
        </w:rPr>
        <w:t>ubcontratista.</w:t>
      </w:r>
    </w:p>
    <w:p w14:paraId="68CE7DC3" w14:textId="77777777" w:rsidR="00BA4F46" w:rsidRPr="00576AF8" w:rsidRDefault="00BA4F46" w:rsidP="004825E0">
      <w:pPr>
        <w:pStyle w:val="Piedepgina"/>
        <w:tabs>
          <w:tab w:val="right" w:pos="9000"/>
        </w:tabs>
        <w:ind w:right="4"/>
        <w:jc w:val="center"/>
        <w:rPr>
          <w:sz w:val="22"/>
        </w:rPr>
      </w:pPr>
    </w:p>
    <w:p w14:paraId="54BB92FB" w14:textId="77777777" w:rsidR="00BA4F46" w:rsidRPr="00576AF8" w:rsidRDefault="00BA4F46" w:rsidP="004825E0">
      <w:pPr>
        <w:tabs>
          <w:tab w:val="right" w:pos="9000"/>
        </w:tabs>
        <w:spacing w:after="0"/>
        <w:ind w:right="4"/>
      </w:pPr>
      <w:r w:rsidRPr="00576AF8">
        <w:t xml:space="preserve">Título y número de </w:t>
      </w:r>
      <w:r w:rsidR="00BB2041" w:rsidRPr="00576AF8">
        <w:t>Solicitud de Ofertas (SDO)</w:t>
      </w:r>
      <w:r w:rsidRPr="00576AF8">
        <w:t xml:space="preserve">: </w:t>
      </w:r>
      <w:r w:rsidR="0043323C" w:rsidRPr="00576AF8">
        <w:rPr>
          <w:i/>
        </w:rPr>
        <w:t>NUEVO CENTRO DE CONTROL DEL OPERADOR NACIONAL DE ELECTRICIDAD - EC-L1257-P00015</w:t>
      </w:r>
      <w:r w:rsidR="0043323C" w:rsidRPr="00576AF8">
        <w:rPr>
          <w:i/>
        </w:rPr>
        <w:tab/>
      </w:r>
    </w:p>
    <w:p w14:paraId="3B028BAA" w14:textId="77777777" w:rsidR="00BA4F46" w:rsidRPr="00576AF8" w:rsidRDefault="00BA4F46" w:rsidP="004825E0">
      <w:pPr>
        <w:tabs>
          <w:tab w:val="right" w:pos="9000"/>
        </w:tabs>
        <w:spacing w:after="0"/>
        <w:ind w:right="4"/>
      </w:pPr>
      <w:r w:rsidRPr="00576AF8">
        <w:tab/>
      </w:r>
    </w:p>
    <w:p w14:paraId="6BB4C27C" w14:textId="77777777" w:rsidR="00BA4F46" w:rsidRPr="00576AF8" w:rsidRDefault="00BA4F46" w:rsidP="004825E0">
      <w:pPr>
        <w:spacing w:after="0"/>
        <w:ind w:right="4"/>
      </w:pPr>
      <w:r w:rsidRPr="00576AF8">
        <w:t xml:space="preserve">Para: </w:t>
      </w:r>
      <w:r w:rsidRPr="00576AF8">
        <w:rPr>
          <w:i/>
        </w:rPr>
        <w:t xml:space="preserve">[El Comprador debe indicar: </w:t>
      </w:r>
      <w:r w:rsidRPr="00576AF8">
        <w:rPr>
          <w:b/>
          <w:i/>
        </w:rPr>
        <w:t xml:space="preserve">funcionario del Comprador que recibe el </w:t>
      </w:r>
      <w:r w:rsidR="007674EA" w:rsidRPr="00576AF8">
        <w:rPr>
          <w:b/>
          <w:i/>
        </w:rPr>
        <w:t xml:space="preserve">convenio con </w:t>
      </w:r>
      <w:r w:rsidR="004825E0" w:rsidRPr="00576AF8">
        <w:rPr>
          <w:b/>
          <w:i/>
        </w:rPr>
        <w:br/>
      </w:r>
      <w:r w:rsidRPr="00576AF8">
        <w:rPr>
          <w:b/>
          <w:i/>
        </w:rPr>
        <w:t xml:space="preserve">el </w:t>
      </w:r>
      <w:r w:rsidR="007674EA" w:rsidRPr="00576AF8">
        <w:rPr>
          <w:b/>
          <w:i/>
        </w:rPr>
        <w:t>s</w:t>
      </w:r>
      <w:r w:rsidRPr="00576AF8">
        <w:rPr>
          <w:b/>
          <w:i/>
        </w:rPr>
        <w:t>ubcontratista]</w:t>
      </w:r>
    </w:p>
    <w:p w14:paraId="10960510" w14:textId="77777777" w:rsidR="00BA4F46" w:rsidRPr="00576AF8" w:rsidRDefault="00BA4F46" w:rsidP="004825E0">
      <w:pPr>
        <w:tabs>
          <w:tab w:val="left" w:pos="3720"/>
        </w:tabs>
        <w:spacing w:after="0"/>
        <w:ind w:right="4"/>
      </w:pPr>
      <w:r w:rsidRPr="00576AF8">
        <w:tab/>
      </w:r>
    </w:p>
    <w:p w14:paraId="664CED95" w14:textId="77777777" w:rsidR="00BA4F46" w:rsidRPr="00576AF8" w:rsidRDefault="00BA4F46" w:rsidP="004825E0">
      <w:pPr>
        <w:tabs>
          <w:tab w:val="right" w:pos="8820"/>
        </w:tabs>
        <w:spacing w:after="0"/>
        <w:ind w:right="4"/>
      </w:pPr>
      <w:r w:rsidRPr="00576AF8">
        <w:t xml:space="preserve">POR CUANTO </w:t>
      </w:r>
      <w:r w:rsidRPr="00576AF8">
        <w:rPr>
          <w:i/>
        </w:rPr>
        <w:t xml:space="preserve">[indique: </w:t>
      </w:r>
      <w:r w:rsidRPr="00576AF8">
        <w:rPr>
          <w:b/>
          <w:i/>
        </w:rPr>
        <w:t xml:space="preserve">nombre del </w:t>
      </w:r>
      <w:r w:rsidR="007674EA" w:rsidRPr="00576AF8">
        <w:rPr>
          <w:b/>
          <w:i/>
        </w:rPr>
        <w:t>s</w:t>
      </w:r>
      <w:r w:rsidRPr="00576AF8">
        <w:rPr>
          <w:b/>
          <w:i/>
        </w:rPr>
        <w:t>ubcontratista</w:t>
      </w:r>
      <w:r w:rsidRPr="00576AF8">
        <w:rPr>
          <w:i/>
        </w:rPr>
        <w:t>],</w:t>
      </w:r>
      <w:r w:rsidRPr="00576AF8">
        <w:t xml:space="preserve"> con sede en </w:t>
      </w:r>
      <w:r w:rsidRPr="00576AF8">
        <w:rPr>
          <w:i/>
        </w:rPr>
        <w:t xml:space="preserve">[indique: </w:t>
      </w:r>
      <w:r w:rsidRPr="00576AF8">
        <w:rPr>
          <w:b/>
          <w:i/>
        </w:rPr>
        <w:t xml:space="preserve">dirección del </w:t>
      </w:r>
      <w:r w:rsidR="007674EA" w:rsidRPr="00576AF8">
        <w:rPr>
          <w:b/>
          <w:i/>
        </w:rPr>
        <w:t>s</w:t>
      </w:r>
      <w:r w:rsidRPr="00576AF8">
        <w:rPr>
          <w:b/>
          <w:i/>
        </w:rPr>
        <w:t>ubcontratista</w:t>
      </w:r>
      <w:r w:rsidRPr="00576AF8">
        <w:rPr>
          <w:i/>
        </w:rPr>
        <w:t>],</w:t>
      </w:r>
      <w:r w:rsidRPr="00576AF8">
        <w:t xml:space="preserve"> ha sido notificado por </w:t>
      </w:r>
      <w:r w:rsidRPr="00576AF8">
        <w:rPr>
          <w:i/>
        </w:rPr>
        <w:t xml:space="preserve">[indique: </w:t>
      </w:r>
      <w:r w:rsidRPr="00576AF8">
        <w:rPr>
          <w:b/>
          <w:i/>
        </w:rPr>
        <w:t xml:space="preserve">nombre del Licitante o de la </w:t>
      </w:r>
      <w:r w:rsidR="000107E9" w:rsidRPr="00576AF8">
        <w:rPr>
          <w:b/>
          <w:i/>
        </w:rPr>
        <w:t>APCA</w:t>
      </w:r>
      <w:r w:rsidRPr="00576AF8">
        <w:rPr>
          <w:i/>
        </w:rPr>
        <w:t>]</w:t>
      </w:r>
      <w:r w:rsidRPr="00576AF8">
        <w:t xml:space="preserve">, ubicado en </w:t>
      </w:r>
      <w:r w:rsidRPr="00576AF8">
        <w:rPr>
          <w:i/>
        </w:rPr>
        <w:t xml:space="preserve">[indique: </w:t>
      </w:r>
      <w:r w:rsidRPr="00576AF8">
        <w:rPr>
          <w:b/>
          <w:i/>
        </w:rPr>
        <w:t xml:space="preserve">dirección del Licitante o de la </w:t>
      </w:r>
      <w:r w:rsidR="000107E9" w:rsidRPr="00576AF8">
        <w:rPr>
          <w:b/>
          <w:i/>
        </w:rPr>
        <w:t>APCA</w:t>
      </w:r>
      <w:r w:rsidRPr="00576AF8">
        <w:rPr>
          <w:i/>
        </w:rPr>
        <w:t>]</w:t>
      </w:r>
      <w:r w:rsidRPr="00576AF8">
        <w:t xml:space="preserve"> (en adelante, el “Licitante”) de que presentará una Oferta en la que </w:t>
      </w:r>
      <w:r w:rsidRPr="00576AF8">
        <w:rPr>
          <w:i/>
        </w:rPr>
        <w:t xml:space="preserve">[indique: </w:t>
      </w:r>
      <w:r w:rsidRPr="00576AF8">
        <w:rPr>
          <w:b/>
          <w:i/>
        </w:rPr>
        <w:t>nombre del subcontratista</w:t>
      </w:r>
      <w:r w:rsidRPr="00576AF8">
        <w:rPr>
          <w:i/>
        </w:rPr>
        <w:t>]</w:t>
      </w:r>
      <w:r w:rsidRPr="00576AF8">
        <w:t xml:space="preserve"> proporcionará </w:t>
      </w:r>
      <w:r w:rsidRPr="00576AF8">
        <w:rPr>
          <w:i/>
        </w:rPr>
        <w:t xml:space="preserve">[indique: </w:t>
      </w:r>
      <w:r w:rsidRPr="00576AF8">
        <w:rPr>
          <w:b/>
          <w:i/>
        </w:rPr>
        <w:t xml:space="preserve">artículos de suministro o servicios proporcionados por el </w:t>
      </w:r>
      <w:r w:rsidR="008F02D2" w:rsidRPr="00576AF8">
        <w:rPr>
          <w:b/>
          <w:i/>
        </w:rPr>
        <w:t>s</w:t>
      </w:r>
      <w:r w:rsidRPr="00576AF8">
        <w:rPr>
          <w:b/>
          <w:i/>
        </w:rPr>
        <w:t>ubcontratista</w:t>
      </w:r>
      <w:r w:rsidRPr="00576AF8">
        <w:rPr>
          <w:i/>
        </w:rPr>
        <w:t>].</w:t>
      </w:r>
      <w:r w:rsidR="00686D83" w:rsidRPr="00576AF8">
        <w:rPr>
          <w:i/>
        </w:rPr>
        <w:t xml:space="preserve"> </w:t>
      </w:r>
      <w:r w:rsidRPr="00576AF8">
        <w:t>Por la presente, nos comprometemos a proporcionar los artículos mencionados anteriormente, en el caso de que se adjud</w:t>
      </w:r>
      <w:r w:rsidR="00686D83" w:rsidRPr="00576AF8">
        <w:t>ique el Contrato al Licitante.</w:t>
      </w:r>
    </w:p>
    <w:p w14:paraId="304364DE" w14:textId="77777777" w:rsidR="00BA4F46" w:rsidRPr="00576AF8" w:rsidRDefault="00BA4F46" w:rsidP="004825E0">
      <w:pPr>
        <w:tabs>
          <w:tab w:val="right" w:pos="8820"/>
        </w:tabs>
        <w:spacing w:after="0"/>
        <w:ind w:right="4"/>
      </w:pPr>
      <w:r w:rsidRPr="00576AF8">
        <w:t xml:space="preserve"> </w:t>
      </w:r>
    </w:p>
    <w:p w14:paraId="2481562B" w14:textId="77777777" w:rsidR="00BA4F46" w:rsidRPr="00576AF8" w:rsidRDefault="00BA4F46" w:rsidP="004825E0">
      <w:pPr>
        <w:tabs>
          <w:tab w:val="right" w:pos="8820"/>
        </w:tabs>
        <w:spacing w:after="0"/>
        <w:ind w:right="4"/>
      </w:pPr>
    </w:p>
    <w:p w14:paraId="10D367F8" w14:textId="77777777" w:rsidR="00BA4F46" w:rsidRPr="00576AF8" w:rsidRDefault="00BA4F46" w:rsidP="007A0271">
      <w:pPr>
        <w:keepNext/>
        <w:keepLines/>
        <w:tabs>
          <w:tab w:val="right" w:pos="3780"/>
          <w:tab w:val="left" w:pos="4820"/>
          <w:tab w:val="right" w:pos="9000"/>
        </w:tabs>
        <w:spacing w:after="0"/>
        <w:ind w:right="4"/>
        <w:jc w:val="left"/>
      </w:pPr>
      <w:r w:rsidRPr="00576AF8">
        <w:t xml:space="preserve">Nombre </w:t>
      </w:r>
      <w:r w:rsidRPr="00576AF8">
        <w:rPr>
          <w:i/>
        </w:rPr>
        <w:t xml:space="preserve">[indique: </w:t>
      </w:r>
      <w:r w:rsidRPr="00576AF8">
        <w:rPr>
          <w:b/>
          <w:i/>
        </w:rPr>
        <w:t>nombre del funcionario</w:t>
      </w:r>
      <w:r w:rsidRPr="00576AF8">
        <w:rPr>
          <w:i/>
        </w:rPr>
        <w:t>]</w:t>
      </w:r>
      <w:r w:rsidRPr="00576AF8">
        <w:t xml:space="preserve"> </w:t>
      </w:r>
      <w:r w:rsidRPr="00576AF8">
        <w:tab/>
        <w:t xml:space="preserve">en calidad de </w:t>
      </w:r>
      <w:r w:rsidRPr="00576AF8">
        <w:rPr>
          <w:i/>
        </w:rPr>
        <w:t xml:space="preserve">[indique: </w:t>
      </w:r>
      <w:r w:rsidRPr="00576AF8">
        <w:rPr>
          <w:b/>
          <w:i/>
        </w:rPr>
        <w:t>cargo del funcionario]</w:t>
      </w:r>
      <w:r w:rsidR="007A0271" w:rsidRPr="00576AF8">
        <w:t xml:space="preserve"> </w:t>
      </w:r>
    </w:p>
    <w:p w14:paraId="19485F5A" w14:textId="77777777" w:rsidR="00BA4F46" w:rsidRPr="00576AF8" w:rsidRDefault="00BA4F46" w:rsidP="004825E0">
      <w:pPr>
        <w:keepNext/>
        <w:keepLines/>
        <w:tabs>
          <w:tab w:val="right" w:pos="4140"/>
          <w:tab w:val="left" w:pos="4500"/>
          <w:tab w:val="right" w:pos="9000"/>
        </w:tabs>
        <w:spacing w:after="0"/>
        <w:ind w:right="4"/>
        <w:jc w:val="left"/>
      </w:pPr>
    </w:p>
    <w:p w14:paraId="087EB366" w14:textId="77777777" w:rsidR="00BA4F46" w:rsidRPr="00576AF8" w:rsidRDefault="00BA4F46" w:rsidP="004825E0">
      <w:pPr>
        <w:keepNext/>
        <w:keepLines/>
        <w:tabs>
          <w:tab w:val="right" w:pos="4140"/>
          <w:tab w:val="left" w:pos="4500"/>
          <w:tab w:val="right" w:pos="9000"/>
        </w:tabs>
        <w:spacing w:after="0"/>
        <w:ind w:right="4"/>
        <w:jc w:val="left"/>
      </w:pPr>
      <w:r w:rsidRPr="00576AF8">
        <w:t>Firmad</w:t>
      </w:r>
      <w:r w:rsidR="008F02D2" w:rsidRPr="00576AF8">
        <w:t>o</w:t>
      </w:r>
      <w:r w:rsidR="00C15E45" w:rsidRPr="00576AF8">
        <w:t xml:space="preserve"> </w:t>
      </w:r>
      <w:r w:rsidRPr="00576AF8">
        <w:t>______________________________</w:t>
      </w:r>
      <w:r w:rsidRPr="00576AF8">
        <w:tab/>
      </w:r>
    </w:p>
    <w:p w14:paraId="7FB51044" w14:textId="77777777" w:rsidR="00BA4F46" w:rsidRPr="00576AF8" w:rsidRDefault="00BA4F46" w:rsidP="004825E0">
      <w:pPr>
        <w:keepNext/>
        <w:keepLines/>
        <w:tabs>
          <w:tab w:val="right" w:pos="4140"/>
          <w:tab w:val="left" w:pos="4500"/>
          <w:tab w:val="right" w:pos="9000"/>
        </w:tabs>
        <w:spacing w:after="0"/>
        <w:ind w:right="4"/>
        <w:jc w:val="left"/>
      </w:pPr>
    </w:p>
    <w:p w14:paraId="603DF417" w14:textId="77777777" w:rsidR="00BA4F46" w:rsidRPr="00576AF8" w:rsidRDefault="00BA4F46" w:rsidP="004825E0">
      <w:pPr>
        <w:keepNext/>
        <w:keepLines/>
        <w:tabs>
          <w:tab w:val="right" w:pos="4140"/>
          <w:tab w:val="left" w:pos="4500"/>
          <w:tab w:val="right" w:pos="9000"/>
        </w:tabs>
        <w:spacing w:after="0"/>
        <w:ind w:right="4"/>
        <w:jc w:val="left"/>
      </w:pPr>
      <w:r w:rsidRPr="00576AF8">
        <w:t xml:space="preserve">Debidamente autorizado para firmar esta autorización por y en nombre de: </w:t>
      </w:r>
      <w:r w:rsidRPr="00576AF8">
        <w:rPr>
          <w:i/>
        </w:rPr>
        <w:t xml:space="preserve">[indique: </w:t>
      </w:r>
      <w:r w:rsidRPr="00576AF8">
        <w:rPr>
          <w:b/>
          <w:i/>
        </w:rPr>
        <w:t xml:space="preserve">nombre </w:t>
      </w:r>
      <w:r w:rsidR="007A0271" w:rsidRPr="00576AF8">
        <w:rPr>
          <w:b/>
          <w:i/>
        </w:rPr>
        <w:br/>
      </w:r>
      <w:r w:rsidRPr="00576AF8">
        <w:rPr>
          <w:b/>
          <w:i/>
        </w:rPr>
        <w:t xml:space="preserve">del </w:t>
      </w:r>
      <w:r w:rsidR="008F02D2" w:rsidRPr="00576AF8">
        <w:rPr>
          <w:b/>
          <w:i/>
        </w:rPr>
        <w:t>s</w:t>
      </w:r>
      <w:r w:rsidRPr="00576AF8">
        <w:rPr>
          <w:b/>
          <w:i/>
        </w:rPr>
        <w:t>ubcontratista</w:t>
      </w:r>
      <w:r w:rsidRPr="00576AF8">
        <w:rPr>
          <w:i/>
        </w:rPr>
        <w:t>]</w:t>
      </w:r>
      <w:r w:rsidRPr="00576AF8">
        <w:t xml:space="preserve"> </w:t>
      </w:r>
      <w:r w:rsidRPr="00576AF8">
        <w:tab/>
      </w:r>
    </w:p>
    <w:p w14:paraId="43CA0C11" w14:textId="77777777" w:rsidR="00BA4F46" w:rsidRPr="00576AF8" w:rsidRDefault="00BA4F46" w:rsidP="004825E0">
      <w:pPr>
        <w:keepNext/>
        <w:keepLines/>
        <w:tabs>
          <w:tab w:val="right" w:pos="4140"/>
          <w:tab w:val="left" w:pos="4500"/>
          <w:tab w:val="right" w:pos="9000"/>
        </w:tabs>
        <w:spacing w:after="0"/>
        <w:ind w:right="4"/>
        <w:jc w:val="left"/>
      </w:pPr>
      <w:r w:rsidRPr="00576AF8">
        <w:t xml:space="preserve"> </w:t>
      </w:r>
      <w:r w:rsidRPr="00576AF8">
        <w:tab/>
      </w:r>
      <w:r w:rsidRPr="00576AF8">
        <w:tab/>
      </w:r>
      <w:r w:rsidRPr="00576AF8">
        <w:tab/>
      </w:r>
    </w:p>
    <w:p w14:paraId="393DCFBA" w14:textId="77777777" w:rsidR="00BA4F46" w:rsidRPr="00576AF8" w:rsidRDefault="00BA4F46" w:rsidP="004825E0">
      <w:pPr>
        <w:tabs>
          <w:tab w:val="left" w:pos="2160"/>
          <w:tab w:val="left" w:pos="5400"/>
        </w:tabs>
        <w:ind w:right="4"/>
      </w:pPr>
      <w:r w:rsidRPr="00576AF8">
        <w:t xml:space="preserve">Fechado el </w:t>
      </w:r>
      <w:r w:rsidRPr="00576AF8">
        <w:rPr>
          <w:i/>
        </w:rPr>
        <w:t xml:space="preserve">[indique: </w:t>
      </w:r>
      <w:r w:rsidRPr="00576AF8">
        <w:rPr>
          <w:b/>
          <w:i/>
        </w:rPr>
        <w:t>número</w:t>
      </w:r>
      <w:r w:rsidRPr="00576AF8">
        <w:rPr>
          <w:i/>
        </w:rPr>
        <w:t>]</w:t>
      </w:r>
      <w:r w:rsidRPr="00576AF8">
        <w:t xml:space="preserve"> día de </w:t>
      </w:r>
      <w:r w:rsidRPr="00576AF8">
        <w:rPr>
          <w:i/>
        </w:rPr>
        <w:t xml:space="preserve">[indique: </w:t>
      </w:r>
      <w:r w:rsidRPr="00576AF8">
        <w:rPr>
          <w:b/>
          <w:i/>
        </w:rPr>
        <w:t>mes</w:t>
      </w:r>
      <w:r w:rsidRPr="00576AF8">
        <w:rPr>
          <w:i/>
        </w:rPr>
        <w:t>]</w:t>
      </w:r>
      <w:r w:rsidRPr="00576AF8">
        <w:t xml:space="preserve"> de </w:t>
      </w:r>
      <w:r w:rsidRPr="00576AF8">
        <w:rPr>
          <w:i/>
        </w:rPr>
        <w:t xml:space="preserve">[indique: </w:t>
      </w:r>
      <w:r w:rsidRPr="00576AF8">
        <w:rPr>
          <w:b/>
          <w:i/>
        </w:rPr>
        <w:t>año</w:t>
      </w:r>
      <w:r w:rsidRPr="00576AF8">
        <w:rPr>
          <w:i/>
        </w:rPr>
        <w:t>]</w:t>
      </w:r>
      <w:r w:rsidRPr="00576AF8">
        <w:t>.</w:t>
      </w:r>
    </w:p>
    <w:p w14:paraId="1356ED76" w14:textId="77777777" w:rsidR="00BA4F46" w:rsidRPr="00576AF8" w:rsidRDefault="00BA4F46" w:rsidP="004825E0">
      <w:pPr>
        <w:suppressAutoHyphens w:val="0"/>
        <w:spacing w:after="0"/>
        <w:ind w:right="4"/>
        <w:jc w:val="left"/>
        <w:rPr>
          <w:b/>
          <w:iCs/>
          <w:sz w:val="32"/>
        </w:rPr>
      </w:pPr>
      <w:r w:rsidRPr="00576AF8">
        <w:rPr>
          <w:i/>
        </w:rPr>
        <w:t>[</w:t>
      </w:r>
      <w:r w:rsidR="008F02D2" w:rsidRPr="00576AF8">
        <w:rPr>
          <w:i/>
        </w:rPr>
        <w:t>A</w:t>
      </w:r>
      <w:r w:rsidRPr="00576AF8">
        <w:rPr>
          <w:i/>
        </w:rPr>
        <w:t>gregue el sello de la empresa, si corresponde]</w:t>
      </w:r>
      <w:r w:rsidR="008F02D2" w:rsidRPr="00576AF8">
        <w:rPr>
          <w:i/>
        </w:rPr>
        <w:t>.</w:t>
      </w:r>
    </w:p>
    <w:p w14:paraId="08E08802" w14:textId="77777777" w:rsidR="00C10A6A" w:rsidRPr="00576AF8" w:rsidRDefault="00C10A6A" w:rsidP="004825E0">
      <w:pPr>
        <w:suppressAutoHyphens w:val="0"/>
        <w:spacing w:after="0"/>
        <w:ind w:right="4"/>
        <w:jc w:val="left"/>
        <w:rPr>
          <w:b/>
          <w:iCs/>
          <w:sz w:val="32"/>
        </w:rPr>
      </w:pPr>
    </w:p>
    <w:p w14:paraId="28CE7AC9" w14:textId="77777777" w:rsidR="00580092" w:rsidRPr="00576AF8" w:rsidRDefault="00C10A6A" w:rsidP="004825E0">
      <w:pPr>
        <w:tabs>
          <w:tab w:val="left" w:pos="5238"/>
          <w:tab w:val="left" w:pos="5474"/>
          <w:tab w:val="left" w:pos="9468"/>
        </w:tabs>
        <w:ind w:right="4"/>
        <w:jc w:val="center"/>
      </w:pPr>
      <w:r w:rsidRPr="00576AF8">
        <w:rPr>
          <w:b/>
          <w:sz w:val="28"/>
        </w:rPr>
        <w:t xml:space="preserve"> </w:t>
      </w:r>
      <w:r w:rsidRPr="00576AF8">
        <w:br w:type="page"/>
      </w:r>
    </w:p>
    <w:p w14:paraId="1449447E" w14:textId="77777777" w:rsidR="00BA4F46" w:rsidRPr="00576AF8" w:rsidRDefault="00BA4F46" w:rsidP="00275E0F">
      <w:pPr>
        <w:suppressAutoHyphens w:val="0"/>
        <w:spacing w:after="0"/>
        <w:jc w:val="center"/>
        <w:rPr>
          <w:b/>
          <w:sz w:val="36"/>
        </w:rPr>
      </w:pPr>
      <w:bookmarkStart w:id="494" w:name="_Toc218673985"/>
      <w:bookmarkStart w:id="495" w:name="_Toc277345614"/>
      <w:bookmarkStart w:id="496" w:name="_Toc125873862"/>
      <w:r w:rsidRPr="00576AF8">
        <w:rPr>
          <w:b/>
          <w:sz w:val="36"/>
        </w:rPr>
        <w:lastRenderedPageBreak/>
        <w:t xml:space="preserve">Lista de </w:t>
      </w:r>
      <w:r w:rsidR="005E641B" w:rsidRPr="00576AF8">
        <w:rPr>
          <w:b/>
          <w:sz w:val="36"/>
        </w:rPr>
        <w:t xml:space="preserve">Subcontratistas </w:t>
      </w:r>
      <w:bookmarkEnd w:id="494"/>
      <w:bookmarkEnd w:id="495"/>
      <w:r w:rsidR="005E641B" w:rsidRPr="00576AF8">
        <w:rPr>
          <w:b/>
          <w:sz w:val="36"/>
        </w:rPr>
        <w:t>Propuestos</w:t>
      </w:r>
    </w:p>
    <w:p w14:paraId="59D55696" w14:textId="77777777" w:rsidR="00BA4F46" w:rsidRPr="00576AF8" w:rsidRDefault="00BA4F46" w:rsidP="00BA4F46">
      <w:pPr>
        <w:ind w:right="-36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BA4F46" w:rsidRPr="00576AF8" w14:paraId="0A364A9B" w14:textId="77777777" w:rsidTr="00803EC1">
        <w:trPr>
          <w:jc w:val="center"/>
        </w:trPr>
        <w:tc>
          <w:tcPr>
            <w:tcW w:w="360" w:type="dxa"/>
          </w:tcPr>
          <w:p w14:paraId="686796E6" w14:textId="77777777" w:rsidR="00BA4F46" w:rsidRPr="00576AF8" w:rsidRDefault="00BA4F46" w:rsidP="00803EC1">
            <w:pPr>
              <w:spacing w:before="120"/>
              <w:ind w:right="-360"/>
              <w:jc w:val="center"/>
              <w:rPr>
                <w:sz w:val="22"/>
              </w:rPr>
            </w:pPr>
          </w:p>
        </w:tc>
        <w:tc>
          <w:tcPr>
            <w:tcW w:w="2538" w:type="dxa"/>
          </w:tcPr>
          <w:p w14:paraId="6914F0A9" w14:textId="77777777" w:rsidR="00A44EB2" w:rsidRPr="00576AF8" w:rsidRDefault="00BA4F46" w:rsidP="00506FFF">
            <w:pPr>
              <w:spacing w:before="120"/>
              <w:ind w:left="-123" w:right="-106"/>
              <w:jc w:val="center"/>
              <w:rPr>
                <w:szCs w:val="24"/>
              </w:rPr>
            </w:pPr>
            <w:r w:rsidRPr="00576AF8">
              <w:rPr>
                <w:szCs w:val="24"/>
              </w:rPr>
              <w:t>Artículo</w:t>
            </w:r>
          </w:p>
        </w:tc>
        <w:tc>
          <w:tcPr>
            <w:tcW w:w="2880" w:type="dxa"/>
          </w:tcPr>
          <w:p w14:paraId="63616DF1" w14:textId="77777777" w:rsidR="00A44EB2" w:rsidRPr="00576AF8" w:rsidRDefault="00BA4F46" w:rsidP="00506FFF">
            <w:pPr>
              <w:spacing w:before="120"/>
              <w:ind w:right="-61"/>
              <w:jc w:val="center"/>
              <w:rPr>
                <w:szCs w:val="24"/>
              </w:rPr>
            </w:pPr>
            <w:r w:rsidRPr="00576AF8">
              <w:rPr>
                <w:szCs w:val="24"/>
              </w:rPr>
              <w:t xml:space="preserve">Subcontratista </w:t>
            </w:r>
            <w:r w:rsidR="00E55BDB" w:rsidRPr="00576AF8">
              <w:rPr>
                <w:szCs w:val="24"/>
              </w:rPr>
              <w:t>p</w:t>
            </w:r>
            <w:r w:rsidRPr="00576AF8">
              <w:rPr>
                <w:szCs w:val="24"/>
              </w:rPr>
              <w:t>ropuesto</w:t>
            </w:r>
          </w:p>
        </w:tc>
        <w:tc>
          <w:tcPr>
            <w:tcW w:w="2700" w:type="dxa"/>
          </w:tcPr>
          <w:p w14:paraId="2BC39BA1" w14:textId="77777777" w:rsidR="00A44EB2" w:rsidRPr="00576AF8" w:rsidRDefault="00BA4F46" w:rsidP="00506FFF">
            <w:pPr>
              <w:spacing w:before="120"/>
              <w:ind w:right="-54"/>
              <w:jc w:val="center"/>
              <w:rPr>
                <w:szCs w:val="24"/>
              </w:rPr>
            </w:pPr>
            <w:r w:rsidRPr="00576AF8">
              <w:rPr>
                <w:szCs w:val="24"/>
              </w:rPr>
              <w:t xml:space="preserve">Lugar de </w:t>
            </w:r>
            <w:r w:rsidR="00E55BDB" w:rsidRPr="00576AF8">
              <w:rPr>
                <w:szCs w:val="24"/>
              </w:rPr>
              <w:t>r</w:t>
            </w:r>
            <w:r w:rsidRPr="00576AF8">
              <w:rPr>
                <w:szCs w:val="24"/>
              </w:rPr>
              <w:t xml:space="preserve">egistro </w:t>
            </w:r>
            <w:r w:rsidR="00DD5AC4" w:rsidRPr="00576AF8">
              <w:rPr>
                <w:szCs w:val="24"/>
              </w:rPr>
              <w:br/>
            </w:r>
            <w:r w:rsidRPr="00576AF8">
              <w:rPr>
                <w:szCs w:val="24"/>
              </w:rPr>
              <w:t xml:space="preserve">y </w:t>
            </w:r>
            <w:r w:rsidR="00E55BDB" w:rsidRPr="00576AF8">
              <w:rPr>
                <w:szCs w:val="24"/>
              </w:rPr>
              <w:t>c</w:t>
            </w:r>
            <w:r w:rsidRPr="00576AF8">
              <w:rPr>
                <w:szCs w:val="24"/>
              </w:rPr>
              <w:t>alificaciones</w:t>
            </w:r>
          </w:p>
        </w:tc>
      </w:tr>
      <w:tr w:rsidR="00BA4F46" w:rsidRPr="00576AF8" w14:paraId="2959F92E" w14:textId="77777777" w:rsidTr="00803EC1">
        <w:trPr>
          <w:jc w:val="center"/>
        </w:trPr>
        <w:tc>
          <w:tcPr>
            <w:tcW w:w="360" w:type="dxa"/>
          </w:tcPr>
          <w:p w14:paraId="5FD8CAFD" w14:textId="77777777" w:rsidR="00BA4F46" w:rsidRPr="00576AF8" w:rsidRDefault="00BA4F46" w:rsidP="00803EC1">
            <w:pPr>
              <w:spacing w:before="120"/>
              <w:ind w:right="-360"/>
              <w:rPr>
                <w:sz w:val="22"/>
              </w:rPr>
            </w:pPr>
          </w:p>
        </w:tc>
        <w:tc>
          <w:tcPr>
            <w:tcW w:w="2538" w:type="dxa"/>
          </w:tcPr>
          <w:p w14:paraId="1AF02BF9" w14:textId="77777777" w:rsidR="00BA4F46" w:rsidRPr="00576AF8" w:rsidRDefault="00BA4F46" w:rsidP="00803EC1">
            <w:pPr>
              <w:spacing w:before="120"/>
              <w:ind w:right="-360"/>
              <w:rPr>
                <w:sz w:val="22"/>
              </w:rPr>
            </w:pPr>
          </w:p>
        </w:tc>
        <w:tc>
          <w:tcPr>
            <w:tcW w:w="2880" w:type="dxa"/>
          </w:tcPr>
          <w:p w14:paraId="0AD39DB1" w14:textId="77777777" w:rsidR="00BA4F46" w:rsidRPr="00576AF8" w:rsidRDefault="00BA4F46" w:rsidP="00803EC1">
            <w:pPr>
              <w:spacing w:before="120"/>
              <w:ind w:right="-360"/>
              <w:rPr>
                <w:sz w:val="22"/>
              </w:rPr>
            </w:pPr>
          </w:p>
        </w:tc>
        <w:tc>
          <w:tcPr>
            <w:tcW w:w="2700" w:type="dxa"/>
          </w:tcPr>
          <w:p w14:paraId="7355458C" w14:textId="77777777" w:rsidR="00BA4F46" w:rsidRPr="00576AF8" w:rsidRDefault="00BA4F46" w:rsidP="00803EC1">
            <w:pPr>
              <w:spacing w:before="120"/>
              <w:ind w:right="-360"/>
              <w:rPr>
                <w:sz w:val="22"/>
              </w:rPr>
            </w:pPr>
          </w:p>
        </w:tc>
      </w:tr>
      <w:tr w:rsidR="00BA4F46" w:rsidRPr="00576AF8" w14:paraId="27F8AE8C" w14:textId="77777777" w:rsidTr="00803EC1">
        <w:trPr>
          <w:jc w:val="center"/>
        </w:trPr>
        <w:tc>
          <w:tcPr>
            <w:tcW w:w="360" w:type="dxa"/>
          </w:tcPr>
          <w:p w14:paraId="7BB93425" w14:textId="77777777" w:rsidR="00BA4F46" w:rsidRPr="00576AF8" w:rsidRDefault="00BA4F46" w:rsidP="00803EC1">
            <w:pPr>
              <w:spacing w:before="120"/>
              <w:ind w:right="-360"/>
              <w:rPr>
                <w:sz w:val="22"/>
              </w:rPr>
            </w:pPr>
          </w:p>
        </w:tc>
        <w:tc>
          <w:tcPr>
            <w:tcW w:w="2538" w:type="dxa"/>
          </w:tcPr>
          <w:p w14:paraId="0B1278DD" w14:textId="77777777" w:rsidR="00BA4F46" w:rsidRPr="00576AF8" w:rsidRDefault="00BA4F46" w:rsidP="00803EC1">
            <w:pPr>
              <w:spacing w:before="120"/>
              <w:ind w:right="-360"/>
              <w:rPr>
                <w:sz w:val="22"/>
              </w:rPr>
            </w:pPr>
          </w:p>
        </w:tc>
        <w:tc>
          <w:tcPr>
            <w:tcW w:w="2880" w:type="dxa"/>
          </w:tcPr>
          <w:p w14:paraId="5EB36EDB" w14:textId="77777777" w:rsidR="00BA4F46" w:rsidRPr="00576AF8" w:rsidRDefault="00BA4F46" w:rsidP="00803EC1">
            <w:pPr>
              <w:spacing w:before="120"/>
              <w:ind w:right="-360"/>
              <w:rPr>
                <w:sz w:val="22"/>
              </w:rPr>
            </w:pPr>
          </w:p>
        </w:tc>
        <w:tc>
          <w:tcPr>
            <w:tcW w:w="2700" w:type="dxa"/>
          </w:tcPr>
          <w:p w14:paraId="24B0A6B8" w14:textId="77777777" w:rsidR="00BA4F46" w:rsidRPr="00576AF8" w:rsidRDefault="00BA4F46" w:rsidP="00803EC1">
            <w:pPr>
              <w:spacing w:before="120"/>
              <w:ind w:right="-360"/>
              <w:rPr>
                <w:sz w:val="22"/>
              </w:rPr>
            </w:pPr>
          </w:p>
        </w:tc>
      </w:tr>
      <w:tr w:rsidR="00BA4F46" w:rsidRPr="00576AF8" w14:paraId="08F4F640" w14:textId="77777777" w:rsidTr="00803EC1">
        <w:trPr>
          <w:jc w:val="center"/>
        </w:trPr>
        <w:tc>
          <w:tcPr>
            <w:tcW w:w="360" w:type="dxa"/>
          </w:tcPr>
          <w:p w14:paraId="0A4CF233" w14:textId="77777777" w:rsidR="00BA4F46" w:rsidRPr="00576AF8" w:rsidRDefault="00BA4F46" w:rsidP="00803EC1">
            <w:pPr>
              <w:spacing w:before="120"/>
              <w:ind w:right="-360"/>
              <w:rPr>
                <w:sz w:val="22"/>
              </w:rPr>
            </w:pPr>
          </w:p>
        </w:tc>
        <w:tc>
          <w:tcPr>
            <w:tcW w:w="2538" w:type="dxa"/>
          </w:tcPr>
          <w:p w14:paraId="44F450FD" w14:textId="77777777" w:rsidR="00BA4F46" w:rsidRPr="00576AF8" w:rsidRDefault="00BA4F46" w:rsidP="00803EC1">
            <w:pPr>
              <w:spacing w:before="120"/>
              <w:ind w:right="-360"/>
              <w:rPr>
                <w:sz w:val="22"/>
              </w:rPr>
            </w:pPr>
          </w:p>
        </w:tc>
        <w:tc>
          <w:tcPr>
            <w:tcW w:w="2880" w:type="dxa"/>
          </w:tcPr>
          <w:p w14:paraId="6BD3D82B" w14:textId="77777777" w:rsidR="00BA4F46" w:rsidRPr="00576AF8" w:rsidRDefault="00BA4F46" w:rsidP="00803EC1">
            <w:pPr>
              <w:spacing w:before="120"/>
              <w:ind w:right="-360"/>
              <w:rPr>
                <w:sz w:val="22"/>
              </w:rPr>
            </w:pPr>
          </w:p>
        </w:tc>
        <w:tc>
          <w:tcPr>
            <w:tcW w:w="2700" w:type="dxa"/>
          </w:tcPr>
          <w:p w14:paraId="3918D6CB" w14:textId="77777777" w:rsidR="00BA4F46" w:rsidRPr="00576AF8" w:rsidRDefault="00BA4F46" w:rsidP="00803EC1">
            <w:pPr>
              <w:spacing w:before="120"/>
              <w:ind w:right="-360"/>
              <w:rPr>
                <w:sz w:val="22"/>
              </w:rPr>
            </w:pPr>
          </w:p>
        </w:tc>
      </w:tr>
      <w:tr w:rsidR="00BA4F46" w:rsidRPr="00576AF8" w14:paraId="45ABE986" w14:textId="77777777" w:rsidTr="00803EC1">
        <w:trPr>
          <w:jc w:val="center"/>
        </w:trPr>
        <w:tc>
          <w:tcPr>
            <w:tcW w:w="360" w:type="dxa"/>
          </w:tcPr>
          <w:p w14:paraId="3897BA2F" w14:textId="77777777" w:rsidR="00BA4F46" w:rsidRPr="00576AF8" w:rsidRDefault="00BA4F46" w:rsidP="00803EC1">
            <w:pPr>
              <w:spacing w:before="120"/>
              <w:ind w:right="-360"/>
              <w:rPr>
                <w:sz w:val="22"/>
              </w:rPr>
            </w:pPr>
          </w:p>
        </w:tc>
        <w:tc>
          <w:tcPr>
            <w:tcW w:w="2538" w:type="dxa"/>
          </w:tcPr>
          <w:p w14:paraId="2FCE7B1C" w14:textId="77777777" w:rsidR="00BA4F46" w:rsidRPr="00576AF8" w:rsidRDefault="00BA4F46" w:rsidP="00803EC1">
            <w:pPr>
              <w:spacing w:before="120"/>
              <w:ind w:right="-360"/>
              <w:rPr>
                <w:sz w:val="22"/>
              </w:rPr>
            </w:pPr>
          </w:p>
        </w:tc>
        <w:tc>
          <w:tcPr>
            <w:tcW w:w="2880" w:type="dxa"/>
          </w:tcPr>
          <w:p w14:paraId="1F55B971" w14:textId="77777777" w:rsidR="00BA4F46" w:rsidRPr="00576AF8" w:rsidRDefault="00BA4F46" w:rsidP="00803EC1">
            <w:pPr>
              <w:spacing w:before="120"/>
              <w:ind w:right="-360"/>
              <w:rPr>
                <w:sz w:val="22"/>
              </w:rPr>
            </w:pPr>
          </w:p>
        </w:tc>
        <w:tc>
          <w:tcPr>
            <w:tcW w:w="2700" w:type="dxa"/>
          </w:tcPr>
          <w:p w14:paraId="36B7D67A" w14:textId="77777777" w:rsidR="00BA4F46" w:rsidRPr="00576AF8" w:rsidRDefault="00BA4F46" w:rsidP="00803EC1">
            <w:pPr>
              <w:spacing w:before="120"/>
              <w:ind w:right="-360"/>
              <w:rPr>
                <w:sz w:val="22"/>
              </w:rPr>
            </w:pPr>
          </w:p>
        </w:tc>
      </w:tr>
      <w:tr w:rsidR="00BA4F46" w:rsidRPr="00576AF8" w14:paraId="1172160D" w14:textId="77777777" w:rsidTr="00803EC1">
        <w:trPr>
          <w:jc w:val="center"/>
        </w:trPr>
        <w:tc>
          <w:tcPr>
            <w:tcW w:w="360" w:type="dxa"/>
          </w:tcPr>
          <w:p w14:paraId="6F2AA666" w14:textId="77777777" w:rsidR="00BA4F46" w:rsidRPr="00576AF8" w:rsidRDefault="00BA4F46" w:rsidP="00803EC1">
            <w:pPr>
              <w:spacing w:before="120"/>
              <w:ind w:right="-360"/>
              <w:rPr>
                <w:sz w:val="22"/>
              </w:rPr>
            </w:pPr>
          </w:p>
        </w:tc>
        <w:tc>
          <w:tcPr>
            <w:tcW w:w="2538" w:type="dxa"/>
          </w:tcPr>
          <w:p w14:paraId="523E8666" w14:textId="77777777" w:rsidR="00BA4F46" w:rsidRPr="00576AF8" w:rsidRDefault="00BA4F46" w:rsidP="00803EC1">
            <w:pPr>
              <w:spacing w:before="120"/>
              <w:ind w:right="-360"/>
              <w:rPr>
                <w:sz w:val="22"/>
              </w:rPr>
            </w:pPr>
          </w:p>
        </w:tc>
        <w:tc>
          <w:tcPr>
            <w:tcW w:w="2880" w:type="dxa"/>
          </w:tcPr>
          <w:p w14:paraId="43B6CDE6" w14:textId="77777777" w:rsidR="00BA4F46" w:rsidRPr="00576AF8" w:rsidRDefault="00BA4F46" w:rsidP="00803EC1">
            <w:pPr>
              <w:spacing w:before="120"/>
              <w:ind w:right="-360"/>
              <w:rPr>
                <w:sz w:val="22"/>
              </w:rPr>
            </w:pPr>
          </w:p>
        </w:tc>
        <w:tc>
          <w:tcPr>
            <w:tcW w:w="2700" w:type="dxa"/>
          </w:tcPr>
          <w:p w14:paraId="5705B809" w14:textId="77777777" w:rsidR="00BA4F46" w:rsidRPr="00576AF8" w:rsidRDefault="00BA4F46" w:rsidP="00803EC1">
            <w:pPr>
              <w:spacing w:before="120"/>
              <w:ind w:right="-360"/>
              <w:rPr>
                <w:sz w:val="22"/>
              </w:rPr>
            </w:pPr>
          </w:p>
        </w:tc>
      </w:tr>
      <w:tr w:rsidR="00BA4F46" w:rsidRPr="00576AF8" w14:paraId="3778B602" w14:textId="77777777" w:rsidTr="00803EC1">
        <w:trPr>
          <w:jc w:val="center"/>
        </w:trPr>
        <w:tc>
          <w:tcPr>
            <w:tcW w:w="360" w:type="dxa"/>
          </w:tcPr>
          <w:p w14:paraId="60C4AFF6" w14:textId="77777777" w:rsidR="00BA4F46" w:rsidRPr="00576AF8" w:rsidRDefault="00BA4F46" w:rsidP="00803EC1">
            <w:pPr>
              <w:spacing w:before="120"/>
              <w:ind w:right="-360"/>
              <w:rPr>
                <w:sz w:val="22"/>
              </w:rPr>
            </w:pPr>
          </w:p>
        </w:tc>
        <w:tc>
          <w:tcPr>
            <w:tcW w:w="2538" w:type="dxa"/>
          </w:tcPr>
          <w:p w14:paraId="749F55E4" w14:textId="77777777" w:rsidR="00BA4F46" w:rsidRPr="00576AF8" w:rsidRDefault="00BA4F46" w:rsidP="00803EC1">
            <w:pPr>
              <w:spacing w:before="120"/>
              <w:ind w:right="-360"/>
              <w:rPr>
                <w:sz w:val="22"/>
              </w:rPr>
            </w:pPr>
          </w:p>
        </w:tc>
        <w:tc>
          <w:tcPr>
            <w:tcW w:w="2880" w:type="dxa"/>
          </w:tcPr>
          <w:p w14:paraId="1FAF10C1" w14:textId="77777777" w:rsidR="00BA4F46" w:rsidRPr="00576AF8" w:rsidRDefault="00BA4F46" w:rsidP="00803EC1">
            <w:pPr>
              <w:spacing w:before="120"/>
              <w:ind w:right="-360"/>
              <w:rPr>
                <w:sz w:val="22"/>
              </w:rPr>
            </w:pPr>
          </w:p>
        </w:tc>
        <w:tc>
          <w:tcPr>
            <w:tcW w:w="2700" w:type="dxa"/>
          </w:tcPr>
          <w:p w14:paraId="1A227895" w14:textId="77777777" w:rsidR="00BA4F46" w:rsidRPr="00576AF8" w:rsidRDefault="00BA4F46" w:rsidP="00803EC1">
            <w:pPr>
              <w:spacing w:before="120"/>
              <w:ind w:right="-360"/>
              <w:rPr>
                <w:sz w:val="22"/>
              </w:rPr>
            </w:pPr>
          </w:p>
        </w:tc>
      </w:tr>
      <w:tr w:rsidR="00BA4F46" w:rsidRPr="00576AF8" w14:paraId="3307B087" w14:textId="77777777" w:rsidTr="00803EC1">
        <w:trPr>
          <w:jc w:val="center"/>
        </w:trPr>
        <w:tc>
          <w:tcPr>
            <w:tcW w:w="360" w:type="dxa"/>
          </w:tcPr>
          <w:p w14:paraId="2CEB4850" w14:textId="77777777" w:rsidR="00BA4F46" w:rsidRPr="00576AF8" w:rsidRDefault="00BA4F46" w:rsidP="00803EC1">
            <w:pPr>
              <w:spacing w:before="120"/>
              <w:ind w:right="-360"/>
              <w:rPr>
                <w:sz w:val="22"/>
              </w:rPr>
            </w:pPr>
          </w:p>
        </w:tc>
        <w:tc>
          <w:tcPr>
            <w:tcW w:w="2538" w:type="dxa"/>
          </w:tcPr>
          <w:p w14:paraId="5941F9E1" w14:textId="77777777" w:rsidR="00BA4F46" w:rsidRPr="00576AF8" w:rsidRDefault="00BA4F46" w:rsidP="00803EC1">
            <w:pPr>
              <w:spacing w:before="120"/>
              <w:ind w:right="-360"/>
              <w:rPr>
                <w:sz w:val="22"/>
              </w:rPr>
            </w:pPr>
          </w:p>
        </w:tc>
        <w:tc>
          <w:tcPr>
            <w:tcW w:w="2880" w:type="dxa"/>
          </w:tcPr>
          <w:p w14:paraId="531C1E41" w14:textId="77777777" w:rsidR="00BA4F46" w:rsidRPr="00576AF8" w:rsidRDefault="00BA4F46" w:rsidP="00803EC1">
            <w:pPr>
              <w:spacing w:before="120"/>
              <w:ind w:right="-360"/>
              <w:rPr>
                <w:sz w:val="22"/>
              </w:rPr>
            </w:pPr>
          </w:p>
        </w:tc>
        <w:tc>
          <w:tcPr>
            <w:tcW w:w="2700" w:type="dxa"/>
          </w:tcPr>
          <w:p w14:paraId="78C18491" w14:textId="77777777" w:rsidR="00BA4F46" w:rsidRPr="00576AF8" w:rsidRDefault="00BA4F46" w:rsidP="00803EC1">
            <w:pPr>
              <w:spacing w:before="120"/>
              <w:ind w:right="-360"/>
              <w:rPr>
                <w:sz w:val="22"/>
              </w:rPr>
            </w:pPr>
          </w:p>
        </w:tc>
      </w:tr>
      <w:tr w:rsidR="00BA4F46" w:rsidRPr="00576AF8" w14:paraId="7D418E7C" w14:textId="77777777" w:rsidTr="00803EC1">
        <w:trPr>
          <w:jc w:val="center"/>
        </w:trPr>
        <w:tc>
          <w:tcPr>
            <w:tcW w:w="360" w:type="dxa"/>
          </w:tcPr>
          <w:p w14:paraId="490BFCA4" w14:textId="77777777" w:rsidR="00BA4F46" w:rsidRPr="00576AF8" w:rsidRDefault="00BA4F46" w:rsidP="00803EC1">
            <w:pPr>
              <w:spacing w:before="120"/>
              <w:ind w:right="-360"/>
              <w:rPr>
                <w:sz w:val="22"/>
              </w:rPr>
            </w:pPr>
          </w:p>
        </w:tc>
        <w:tc>
          <w:tcPr>
            <w:tcW w:w="2538" w:type="dxa"/>
          </w:tcPr>
          <w:p w14:paraId="6BE7F1FF" w14:textId="77777777" w:rsidR="00BA4F46" w:rsidRPr="00576AF8" w:rsidRDefault="00BA4F46" w:rsidP="00803EC1">
            <w:pPr>
              <w:spacing w:before="120"/>
              <w:ind w:right="-360"/>
              <w:rPr>
                <w:sz w:val="22"/>
              </w:rPr>
            </w:pPr>
          </w:p>
        </w:tc>
        <w:tc>
          <w:tcPr>
            <w:tcW w:w="2880" w:type="dxa"/>
          </w:tcPr>
          <w:p w14:paraId="3C3BBC59" w14:textId="77777777" w:rsidR="00BA4F46" w:rsidRPr="00576AF8" w:rsidRDefault="00BA4F46" w:rsidP="00803EC1">
            <w:pPr>
              <w:spacing w:before="120"/>
              <w:ind w:right="-360"/>
              <w:rPr>
                <w:sz w:val="22"/>
              </w:rPr>
            </w:pPr>
          </w:p>
        </w:tc>
        <w:tc>
          <w:tcPr>
            <w:tcW w:w="2700" w:type="dxa"/>
          </w:tcPr>
          <w:p w14:paraId="5AB56DC9" w14:textId="77777777" w:rsidR="00BA4F46" w:rsidRPr="00576AF8" w:rsidRDefault="00BA4F46" w:rsidP="00803EC1">
            <w:pPr>
              <w:spacing w:before="120"/>
              <w:ind w:right="-360"/>
              <w:rPr>
                <w:sz w:val="22"/>
              </w:rPr>
            </w:pPr>
          </w:p>
        </w:tc>
      </w:tr>
      <w:tr w:rsidR="00BA4F46" w:rsidRPr="00576AF8" w14:paraId="43081B2A" w14:textId="77777777" w:rsidTr="00803EC1">
        <w:trPr>
          <w:jc w:val="center"/>
        </w:trPr>
        <w:tc>
          <w:tcPr>
            <w:tcW w:w="360" w:type="dxa"/>
          </w:tcPr>
          <w:p w14:paraId="57041C6A" w14:textId="77777777" w:rsidR="00BA4F46" w:rsidRPr="00576AF8" w:rsidRDefault="00BA4F46" w:rsidP="00803EC1">
            <w:pPr>
              <w:spacing w:before="120"/>
              <w:ind w:right="-360"/>
              <w:rPr>
                <w:sz w:val="22"/>
              </w:rPr>
            </w:pPr>
          </w:p>
        </w:tc>
        <w:tc>
          <w:tcPr>
            <w:tcW w:w="2538" w:type="dxa"/>
          </w:tcPr>
          <w:p w14:paraId="53C2E19A" w14:textId="77777777" w:rsidR="00BA4F46" w:rsidRPr="00576AF8" w:rsidRDefault="00BA4F46" w:rsidP="00803EC1">
            <w:pPr>
              <w:spacing w:before="120"/>
              <w:ind w:right="-360"/>
              <w:rPr>
                <w:sz w:val="22"/>
              </w:rPr>
            </w:pPr>
          </w:p>
        </w:tc>
        <w:tc>
          <w:tcPr>
            <w:tcW w:w="2880" w:type="dxa"/>
          </w:tcPr>
          <w:p w14:paraId="7655BBA4" w14:textId="77777777" w:rsidR="00BA4F46" w:rsidRPr="00576AF8" w:rsidRDefault="00BA4F46" w:rsidP="00803EC1">
            <w:pPr>
              <w:spacing w:before="120"/>
              <w:ind w:right="-360"/>
              <w:rPr>
                <w:sz w:val="22"/>
              </w:rPr>
            </w:pPr>
          </w:p>
        </w:tc>
        <w:tc>
          <w:tcPr>
            <w:tcW w:w="2700" w:type="dxa"/>
          </w:tcPr>
          <w:p w14:paraId="520C7598" w14:textId="77777777" w:rsidR="00BA4F46" w:rsidRPr="00576AF8" w:rsidRDefault="00BA4F46" w:rsidP="00803EC1">
            <w:pPr>
              <w:spacing w:before="120"/>
              <w:ind w:right="-360"/>
              <w:rPr>
                <w:sz w:val="22"/>
              </w:rPr>
            </w:pPr>
          </w:p>
        </w:tc>
      </w:tr>
    </w:tbl>
    <w:p w14:paraId="2906F705" w14:textId="77777777" w:rsidR="00BA4F46" w:rsidRPr="00576AF8" w:rsidRDefault="00BA4F46" w:rsidP="00BA4F46">
      <w:pPr>
        <w:ind w:right="-360"/>
        <w:rPr>
          <w:sz w:val="22"/>
        </w:rPr>
      </w:pPr>
    </w:p>
    <w:p w14:paraId="0B3F4FB7" w14:textId="77777777" w:rsidR="00BA4F46" w:rsidRPr="00576AF8" w:rsidRDefault="00BA4F46" w:rsidP="00275E0F">
      <w:pPr>
        <w:suppressAutoHyphens w:val="0"/>
        <w:spacing w:after="0"/>
        <w:jc w:val="center"/>
      </w:pPr>
      <w:r w:rsidRPr="00576AF8">
        <w:br w:type="page"/>
      </w:r>
      <w:bookmarkStart w:id="497" w:name="_Toc218673986"/>
      <w:bookmarkStart w:id="498" w:name="_Toc277345615"/>
      <w:bookmarkEnd w:id="496"/>
      <w:r w:rsidRPr="00576AF8">
        <w:rPr>
          <w:b/>
          <w:sz w:val="36"/>
        </w:rPr>
        <w:lastRenderedPageBreak/>
        <w:t xml:space="preserve">Formularios de </w:t>
      </w:r>
      <w:r w:rsidR="007D2D82" w:rsidRPr="00576AF8">
        <w:rPr>
          <w:b/>
          <w:sz w:val="36"/>
        </w:rPr>
        <w:t>p</w:t>
      </w:r>
      <w:r w:rsidRPr="00576AF8">
        <w:rPr>
          <w:b/>
          <w:sz w:val="36"/>
        </w:rPr>
        <w:t xml:space="preserve">ropiedad </w:t>
      </w:r>
      <w:r w:rsidR="007D2D82" w:rsidRPr="00576AF8">
        <w:rPr>
          <w:b/>
          <w:sz w:val="36"/>
        </w:rPr>
        <w:t>i</w:t>
      </w:r>
      <w:r w:rsidRPr="00576AF8">
        <w:rPr>
          <w:b/>
          <w:sz w:val="36"/>
        </w:rPr>
        <w:t>ntelectual</w:t>
      </w:r>
      <w:bookmarkEnd w:id="497"/>
      <w:bookmarkEnd w:id="498"/>
    </w:p>
    <w:p w14:paraId="16E1CB3E" w14:textId="77777777" w:rsidR="00BA4F46" w:rsidRPr="00576AF8" w:rsidRDefault="00BA4F46" w:rsidP="00DD5AC4">
      <w:pPr>
        <w:ind w:right="4"/>
      </w:pPr>
    </w:p>
    <w:p w14:paraId="6F3EBFFE" w14:textId="77777777" w:rsidR="00BA4F46" w:rsidRPr="00576AF8" w:rsidRDefault="00BA4F46" w:rsidP="00DD5AC4">
      <w:pPr>
        <w:ind w:right="4"/>
      </w:pPr>
    </w:p>
    <w:p w14:paraId="5558757F" w14:textId="77777777" w:rsidR="00BA4F46" w:rsidRPr="00576AF8" w:rsidRDefault="00BA4F46" w:rsidP="008C0D90">
      <w:pPr>
        <w:pStyle w:val="Textoindependiente"/>
      </w:pPr>
      <w:bookmarkStart w:id="499" w:name="_Toc218673988"/>
      <w:bookmarkStart w:id="500" w:name="_Toc218674014"/>
      <w:r w:rsidRPr="00576AF8">
        <w:rPr>
          <w:b/>
        </w:rPr>
        <w:t xml:space="preserve">Notas para los Licitantes sobre la elaboración de los </w:t>
      </w:r>
      <w:r w:rsidR="007D2D82" w:rsidRPr="00576AF8">
        <w:rPr>
          <w:b/>
        </w:rPr>
        <w:t>f</w:t>
      </w:r>
      <w:r w:rsidRPr="00576AF8">
        <w:rPr>
          <w:b/>
        </w:rPr>
        <w:t xml:space="preserve">ormularios </w:t>
      </w:r>
      <w:r w:rsidR="00DD5AC4" w:rsidRPr="00576AF8">
        <w:rPr>
          <w:b/>
        </w:rPr>
        <w:br/>
      </w:r>
      <w:r w:rsidRPr="00576AF8">
        <w:rPr>
          <w:b/>
        </w:rPr>
        <w:t xml:space="preserve">de </w:t>
      </w:r>
      <w:r w:rsidR="007D2D82" w:rsidRPr="00576AF8">
        <w:rPr>
          <w:b/>
        </w:rPr>
        <w:t>p</w:t>
      </w:r>
      <w:r w:rsidRPr="00576AF8">
        <w:rPr>
          <w:b/>
        </w:rPr>
        <w:t xml:space="preserve">ropiedad </w:t>
      </w:r>
      <w:r w:rsidR="007D2D82" w:rsidRPr="00576AF8">
        <w:rPr>
          <w:b/>
        </w:rPr>
        <w:t>i</w:t>
      </w:r>
      <w:r w:rsidRPr="00576AF8">
        <w:rPr>
          <w:b/>
        </w:rPr>
        <w:t>ntelectual</w:t>
      </w:r>
      <w:bookmarkEnd w:id="499"/>
      <w:bookmarkEnd w:id="500"/>
      <w:r w:rsidRPr="00576AF8">
        <w:rPr>
          <w:b/>
        </w:rPr>
        <w:t xml:space="preserve"> </w:t>
      </w:r>
    </w:p>
    <w:p w14:paraId="3DA07DA7" w14:textId="77777777" w:rsidR="00D82419" w:rsidRPr="00576AF8" w:rsidRDefault="00D82419" w:rsidP="008C0D90">
      <w:pPr>
        <w:pStyle w:val="Textoindependiente"/>
      </w:pPr>
    </w:p>
    <w:p w14:paraId="51013474" w14:textId="77777777" w:rsidR="00BA4F46" w:rsidRPr="00576AF8" w:rsidRDefault="006C38A8" w:rsidP="00DD5AC4">
      <w:pPr>
        <w:ind w:right="4"/>
      </w:pPr>
      <w:r w:rsidRPr="00576AF8">
        <w:tab/>
        <w:t xml:space="preserve">De conformidad con la </w:t>
      </w:r>
      <w:r w:rsidR="00884AB4" w:rsidRPr="00576AF8">
        <w:t>IAL</w:t>
      </w:r>
      <w:r w:rsidRPr="00576AF8">
        <w:t xml:space="preserve"> 11.1 </w:t>
      </w:r>
      <w:r w:rsidR="005E641B" w:rsidRPr="00576AF8">
        <w:t>(</w:t>
      </w:r>
      <w:r w:rsidRPr="00576AF8">
        <w:t xml:space="preserve">j), los Licitantes deben presentar, como parte de sus Ofertas, listas de todo el </w:t>
      </w:r>
      <w:r w:rsidR="00F772EC" w:rsidRPr="00576AF8">
        <w:t>software</w:t>
      </w:r>
      <w:r w:rsidRPr="00576AF8">
        <w:t xml:space="preserve"> </w:t>
      </w:r>
      <w:r w:rsidR="007D2D82" w:rsidRPr="00576AF8">
        <w:t xml:space="preserve">incluido en </w:t>
      </w:r>
      <w:r w:rsidRPr="00576AF8">
        <w:t xml:space="preserve">la Oferta, clasificado dentro de una de las siguientes categorías: </w:t>
      </w:r>
      <w:r w:rsidR="00DD5AC4" w:rsidRPr="00576AF8">
        <w:t>(</w:t>
      </w:r>
      <w:r w:rsidRPr="00576AF8">
        <w:t xml:space="preserve">A) </w:t>
      </w:r>
      <w:r w:rsidR="00F772EC" w:rsidRPr="00576AF8">
        <w:t>software</w:t>
      </w:r>
      <w:r w:rsidRPr="00576AF8">
        <w:t xml:space="preserve"> del </w:t>
      </w:r>
      <w:r w:rsidR="007D2D82" w:rsidRPr="00576AF8">
        <w:t>S</w:t>
      </w:r>
      <w:r w:rsidRPr="00576AF8">
        <w:t xml:space="preserve">istema, de propósito general o de aplicación, o </w:t>
      </w:r>
      <w:r w:rsidR="00DD5AC4" w:rsidRPr="00576AF8">
        <w:t>(</w:t>
      </w:r>
      <w:r w:rsidRPr="00576AF8">
        <w:t xml:space="preserve">B) </w:t>
      </w:r>
      <w:r w:rsidR="00F772EC" w:rsidRPr="00576AF8">
        <w:t>software</w:t>
      </w:r>
      <w:r w:rsidRPr="00576AF8">
        <w:t xml:space="preserve"> </w:t>
      </w:r>
      <w:r w:rsidR="00A669E5" w:rsidRPr="00576AF8">
        <w:t xml:space="preserve">estándar </w:t>
      </w:r>
      <w:r w:rsidR="006F4943" w:rsidRPr="00576AF8">
        <w:t xml:space="preserve">o personalizado. </w:t>
      </w:r>
      <w:r w:rsidRPr="00576AF8">
        <w:t xml:space="preserve">Los Licitantes también deben presentar una lista de todos los </w:t>
      </w:r>
      <w:r w:rsidR="007D2D82" w:rsidRPr="00576AF8">
        <w:t>m</w:t>
      </w:r>
      <w:r w:rsidR="00984DF4" w:rsidRPr="00576AF8">
        <w:t>ateriales personalizados</w:t>
      </w:r>
      <w:r w:rsidRPr="00576AF8">
        <w:t>.</w:t>
      </w:r>
      <w:r w:rsidR="00C15E45" w:rsidRPr="00576AF8">
        <w:t xml:space="preserve"> </w:t>
      </w:r>
      <w:r w:rsidRPr="00576AF8">
        <w:t xml:space="preserve">Estas categorizaciones son necesarias para respaldar la </w:t>
      </w:r>
      <w:r w:rsidR="005038C2" w:rsidRPr="00576AF8">
        <w:t>p</w:t>
      </w:r>
      <w:r w:rsidRPr="00576AF8">
        <w:t xml:space="preserve">ropiedad </w:t>
      </w:r>
      <w:r w:rsidR="005038C2" w:rsidRPr="00576AF8">
        <w:t>i</w:t>
      </w:r>
      <w:r w:rsidRPr="00576AF8">
        <w:t>ntelectual en las CGC y las CEC.</w:t>
      </w:r>
    </w:p>
    <w:p w14:paraId="3646163D" w14:textId="77777777" w:rsidR="00BA4F46" w:rsidRPr="00576AF8" w:rsidRDefault="00BA4F46" w:rsidP="00BA4F46">
      <w:pPr>
        <w:ind w:right="-360"/>
      </w:pPr>
    </w:p>
    <w:p w14:paraId="39D002AB" w14:textId="77777777" w:rsidR="00BA4F46" w:rsidRPr="00576AF8" w:rsidRDefault="00BA4F46" w:rsidP="00BA4F46">
      <w:pPr>
        <w:ind w:right="-360"/>
      </w:pPr>
    </w:p>
    <w:p w14:paraId="7C033229" w14:textId="77777777" w:rsidR="00BA4F46" w:rsidRPr="00576AF8" w:rsidRDefault="00BA4F46">
      <w:pPr>
        <w:suppressAutoHyphens w:val="0"/>
        <w:spacing w:after="0"/>
        <w:jc w:val="left"/>
        <w:rPr>
          <w:b/>
          <w:i/>
          <w:sz w:val="32"/>
        </w:rPr>
      </w:pPr>
      <w:r w:rsidRPr="00576AF8">
        <w:br w:type="page"/>
      </w:r>
    </w:p>
    <w:p w14:paraId="21A83925" w14:textId="77777777" w:rsidR="00BA4F46" w:rsidRPr="00576AF8" w:rsidRDefault="00BA4F46" w:rsidP="00BA4F46">
      <w:pPr>
        <w:pStyle w:val="Head32"/>
        <w:ind w:right="-360"/>
      </w:pPr>
      <w:bookmarkStart w:id="501" w:name="_Toc218673989"/>
      <w:bookmarkStart w:id="502" w:name="_Toc277345616"/>
      <w:r w:rsidRPr="00576AF8">
        <w:lastRenderedPageBreak/>
        <w:t xml:space="preserve">Lista de </w:t>
      </w:r>
      <w:bookmarkEnd w:id="501"/>
      <w:bookmarkEnd w:id="502"/>
      <w:r w:rsidR="005E641B" w:rsidRPr="00576AF8">
        <w:t xml:space="preserve">Software </w:t>
      </w:r>
    </w:p>
    <w:p w14:paraId="4DA509CC" w14:textId="77777777" w:rsidR="00BA4F46" w:rsidRPr="00576AF8" w:rsidRDefault="00BA4F46" w:rsidP="00BA4F46">
      <w:pPr>
        <w:ind w:right="-360"/>
        <w:rPr>
          <w:sz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119"/>
        <w:gridCol w:w="1417"/>
        <w:gridCol w:w="1559"/>
        <w:gridCol w:w="1418"/>
        <w:gridCol w:w="1276"/>
        <w:gridCol w:w="1559"/>
      </w:tblGrid>
      <w:tr w:rsidR="00BA4F46" w:rsidRPr="00576AF8" w14:paraId="6C78A64C" w14:textId="77777777" w:rsidTr="00DD5AC4">
        <w:trPr>
          <w:tblHeader/>
        </w:trPr>
        <w:tc>
          <w:tcPr>
            <w:tcW w:w="2119" w:type="dxa"/>
          </w:tcPr>
          <w:p w14:paraId="4F75AA47" w14:textId="77777777" w:rsidR="00BA4F46" w:rsidRPr="00576AF8" w:rsidRDefault="00BA4F46" w:rsidP="00803EC1">
            <w:pPr>
              <w:spacing w:before="120"/>
              <w:ind w:right="-360"/>
              <w:rPr>
                <w:szCs w:val="24"/>
              </w:rPr>
            </w:pPr>
          </w:p>
        </w:tc>
        <w:tc>
          <w:tcPr>
            <w:tcW w:w="4394" w:type="dxa"/>
            <w:gridSpan w:val="3"/>
          </w:tcPr>
          <w:p w14:paraId="70125775" w14:textId="77777777" w:rsidR="00A44EB2" w:rsidRPr="00576AF8" w:rsidRDefault="00BA4F46" w:rsidP="00506FFF">
            <w:pPr>
              <w:spacing w:before="120"/>
              <w:ind w:right="-72"/>
              <w:jc w:val="center"/>
              <w:rPr>
                <w:szCs w:val="24"/>
              </w:rPr>
            </w:pPr>
            <w:r w:rsidRPr="00576AF8">
              <w:rPr>
                <w:szCs w:val="24"/>
              </w:rPr>
              <w:t>(</w:t>
            </w:r>
            <w:r w:rsidR="00B01BA3" w:rsidRPr="00576AF8">
              <w:rPr>
                <w:szCs w:val="24"/>
              </w:rPr>
              <w:t>S</w:t>
            </w:r>
            <w:r w:rsidRPr="00576AF8">
              <w:rPr>
                <w:szCs w:val="24"/>
              </w:rPr>
              <w:t>eleccione una opción por artículo)</w:t>
            </w:r>
          </w:p>
        </w:tc>
        <w:tc>
          <w:tcPr>
            <w:tcW w:w="2835" w:type="dxa"/>
            <w:gridSpan w:val="2"/>
          </w:tcPr>
          <w:p w14:paraId="0AB21267" w14:textId="77777777" w:rsidR="00A44EB2" w:rsidRPr="00576AF8" w:rsidRDefault="00BA4F46" w:rsidP="00506FFF">
            <w:pPr>
              <w:spacing w:before="120"/>
              <w:ind w:right="-51"/>
              <w:jc w:val="center"/>
              <w:rPr>
                <w:szCs w:val="24"/>
              </w:rPr>
            </w:pPr>
            <w:r w:rsidRPr="00576AF8">
              <w:rPr>
                <w:szCs w:val="24"/>
              </w:rPr>
              <w:t>(</w:t>
            </w:r>
            <w:r w:rsidR="00B01BA3" w:rsidRPr="00576AF8">
              <w:rPr>
                <w:szCs w:val="24"/>
              </w:rPr>
              <w:t>S</w:t>
            </w:r>
            <w:r w:rsidRPr="00576AF8">
              <w:rPr>
                <w:szCs w:val="24"/>
              </w:rPr>
              <w:t xml:space="preserve">eleccione una opción </w:t>
            </w:r>
            <w:r w:rsidR="00DD5AC4" w:rsidRPr="00576AF8">
              <w:rPr>
                <w:szCs w:val="24"/>
              </w:rPr>
              <w:br/>
            </w:r>
            <w:r w:rsidRPr="00576AF8">
              <w:rPr>
                <w:szCs w:val="24"/>
              </w:rPr>
              <w:t>por artículo)</w:t>
            </w:r>
          </w:p>
        </w:tc>
      </w:tr>
      <w:tr w:rsidR="00DD5AC4" w:rsidRPr="00576AF8" w14:paraId="66BAF323" w14:textId="77777777" w:rsidTr="00DD5AC4">
        <w:trPr>
          <w:tblHeader/>
        </w:trPr>
        <w:tc>
          <w:tcPr>
            <w:tcW w:w="2119" w:type="dxa"/>
            <w:vAlign w:val="bottom"/>
          </w:tcPr>
          <w:p w14:paraId="6B90AA3E" w14:textId="77777777" w:rsidR="00BA4F46" w:rsidRPr="00576AF8" w:rsidRDefault="00BA4F46" w:rsidP="00DD5AC4">
            <w:pPr>
              <w:spacing w:before="120"/>
              <w:ind w:right="-33"/>
              <w:jc w:val="center"/>
              <w:rPr>
                <w:szCs w:val="24"/>
              </w:rPr>
            </w:pPr>
            <w:r w:rsidRPr="00576AF8">
              <w:rPr>
                <w:szCs w:val="24"/>
              </w:rPr>
              <w:t xml:space="preserve">Artículo </w:t>
            </w:r>
            <w:r w:rsidR="00DD5AC4" w:rsidRPr="00576AF8">
              <w:rPr>
                <w:szCs w:val="24"/>
              </w:rPr>
              <w:br/>
            </w:r>
            <w:r w:rsidRPr="00576AF8">
              <w:rPr>
                <w:szCs w:val="24"/>
              </w:rPr>
              <w:t xml:space="preserve">de </w:t>
            </w:r>
            <w:r w:rsidR="00F772EC" w:rsidRPr="00576AF8">
              <w:rPr>
                <w:szCs w:val="24"/>
              </w:rPr>
              <w:t>software</w:t>
            </w:r>
          </w:p>
        </w:tc>
        <w:tc>
          <w:tcPr>
            <w:tcW w:w="1417" w:type="dxa"/>
            <w:vAlign w:val="bottom"/>
          </w:tcPr>
          <w:p w14:paraId="27DFF773" w14:textId="77777777" w:rsidR="00A44EB2" w:rsidRPr="00576AF8" w:rsidRDefault="00F772EC" w:rsidP="00DD5AC4">
            <w:pPr>
              <w:spacing w:before="120"/>
              <w:jc w:val="center"/>
              <w:rPr>
                <w:szCs w:val="24"/>
              </w:rPr>
            </w:pPr>
            <w:r w:rsidRPr="00576AF8">
              <w:rPr>
                <w:szCs w:val="24"/>
              </w:rPr>
              <w:t>Software</w:t>
            </w:r>
            <w:r w:rsidR="00BA4F46" w:rsidRPr="00576AF8">
              <w:rPr>
                <w:szCs w:val="24"/>
              </w:rPr>
              <w:t xml:space="preserve"> del </w:t>
            </w:r>
            <w:r w:rsidR="007D2D82" w:rsidRPr="00576AF8">
              <w:rPr>
                <w:szCs w:val="24"/>
              </w:rPr>
              <w:t>S</w:t>
            </w:r>
            <w:r w:rsidR="00BA4F46" w:rsidRPr="00576AF8">
              <w:rPr>
                <w:szCs w:val="24"/>
              </w:rPr>
              <w:t>istema</w:t>
            </w:r>
          </w:p>
        </w:tc>
        <w:tc>
          <w:tcPr>
            <w:tcW w:w="1559" w:type="dxa"/>
            <w:vAlign w:val="bottom"/>
          </w:tcPr>
          <w:p w14:paraId="5624B20B" w14:textId="77777777" w:rsidR="00A44EB2" w:rsidRPr="00576AF8" w:rsidRDefault="00F772EC" w:rsidP="00DD5AC4">
            <w:pPr>
              <w:spacing w:before="120"/>
              <w:jc w:val="center"/>
              <w:rPr>
                <w:szCs w:val="24"/>
              </w:rPr>
            </w:pPr>
            <w:r w:rsidRPr="00576AF8">
              <w:rPr>
                <w:szCs w:val="24"/>
              </w:rPr>
              <w:t>Software</w:t>
            </w:r>
            <w:r w:rsidR="00BA4F46" w:rsidRPr="00576AF8">
              <w:rPr>
                <w:szCs w:val="24"/>
              </w:rPr>
              <w:t xml:space="preserve"> de</w:t>
            </w:r>
            <w:r w:rsidR="00D310A5" w:rsidRPr="00576AF8">
              <w:rPr>
                <w:szCs w:val="24"/>
              </w:rPr>
              <w:t xml:space="preserve"> </w:t>
            </w:r>
            <w:r w:rsidR="00BA4F46" w:rsidRPr="00576AF8">
              <w:rPr>
                <w:szCs w:val="24"/>
              </w:rPr>
              <w:t>propósito general</w:t>
            </w:r>
          </w:p>
        </w:tc>
        <w:tc>
          <w:tcPr>
            <w:tcW w:w="1418" w:type="dxa"/>
            <w:vAlign w:val="bottom"/>
          </w:tcPr>
          <w:p w14:paraId="58CF43D6" w14:textId="77777777" w:rsidR="00A44EB2" w:rsidRPr="00576AF8" w:rsidRDefault="00F772EC" w:rsidP="00DD5AC4">
            <w:pPr>
              <w:spacing w:before="120"/>
              <w:jc w:val="center"/>
              <w:rPr>
                <w:szCs w:val="24"/>
              </w:rPr>
            </w:pPr>
            <w:r w:rsidRPr="00576AF8">
              <w:rPr>
                <w:szCs w:val="24"/>
              </w:rPr>
              <w:t>Software</w:t>
            </w:r>
            <w:r w:rsidR="00D310A5" w:rsidRPr="00576AF8">
              <w:rPr>
                <w:szCs w:val="24"/>
              </w:rPr>
              <w:t xml:space="preserve"> </w:t>
            </w:r>
            <w:r w:rsidRPr="00576AF8">
              <w:rPr>
                <w:szCs w:val="24"/>
              </w:rPr>
              <w:t>de</w:t>
            </w:r>
            <w:r w:rsidR="00D310A5" w:rsidRPr="00576AF8">
              <w:rPr>
                <w:szCs w:val="24"/>
              </w:rPr>
              <w:t xml:space="preserve"> </w:t>
            </w:r>
            <w:r w:rsidR="00BA4F46" w:rsidRPr="00576AF8">
              <w:rPr>
                <w:szCs w:val="24"/>
              </w:rPr>
              <w:t>aplicación</w:t>
            </w:r>
          </w:p>
        </w:tc>
        <w:tc>
          <w:tcPr>
            <w:tcW w:w="1276" w:type="dxa"/>
            <w:vAlign w:val="bottom"/>
          </w:tcPr>
          <w:p w14:paraId="226A3B8A" w14:textId="77777777" w:rsidR="00A44EB2" w:rsidRPr="00576AF8" w:rsidRDefault="00F772EC" w:rsidP="00DD5AC4">
            <w:pPr>
              <w:spacing w:before="120"/>
              <w:jc w:val="center"/>
              <w:rPr>
                <w:szCs w:val="24"/>
              </w:rPr>
            </w:pPr>
            <w:r w:rsidRPr="00576AF8">
              <w:rPr>
                <w:szCs w:val="24"/>
              </w:rPr>
              <w:t>Software</w:t>
            </w:r>
            <w:r w:rsidR="00BA4F46" w:rsidRPr="00576AF8">
              <w:rPr>
                <w:szCs w:val="24"/>
              </w:rPr>
              <w:t xml:space="preserve"> est</w:t>
            </w:r>
            <w:r w:rsidR="00A669E5" w:rsidRPr="00576AF8">
              <w:rPr>
                <w:szCs w:val="24"/>
              </w:rPr>
              <w:t>á</w:t>
            </w:r>
            <w:r w:rsidR="00BA4F46" w:rsidRPr="00576AF8">
              <w:rPr>
                <w:szCs w:val="24"/>
              </w:rPr>
              <w:t>ndar</w:t>
            </w:r>
          </w:p>
        </w:tc>
        <w:tc>
          <w:tcPr>
            <w:tcW w:w="1559" w:type="dxa"/>
            <w:vAlign w:val="bottom"/>
          </w:tcPr>
          <w:p w14:paraId="607AEBF5" w14:textId="77777777" w:rsidR="00A44EB2" w:rsidRPr="00576AF8" w:rsidRDefault="00F772EC" w:rsidP="00DD5AC4">
            <w:pPr>
              <w:spacing w:before="120"/>
              <w:ind w:left="-77" w:right="-51"/>
              <w:jc w:val="center"/>
              <w:rPr>
                <w:szCs w:val="24"/>
              </w:rPr>
            </w:pPr>
            <w:r w:rsidRPr="00576AF8">
              <w:rPr>
                <w:szCs w:val="24"/>
              </w:rPr>
              <w:t>Software</w:t>
            </w:r>
            <w:r w:rsidR="00BA4F46" w:rsidRPr="00576AF8">
              <w:rPr>
                <w:szCs w:val="24"/>
              </w:rPr>
              <w:t xml:space="preserve"> personalizado</w:t>
            </w:r>
          </w:p>
        </w:tc>
      </w:tr>
      <w:tr w:rsidR="00DD5AC4" w:rsidRPr="00576AF8" w14:paraId="61FB4865" w14:textId="77777777" w:rsidTr="00DD5AC4">
        <w:trPr>
          <w:tblHeader/>
        </w:trPr>
        <w:tc>
          <w:tcPr>
            <w:tcW w:w="2119" w:type="dxa"/>
          </w:tcPr>
          <w:p w14:paraId="2D0E7D74" w14:textId="77777777" w:rsidR="00BA4F46" w:rsidRPr="00576AF8" w:rsidRDefault="00BA4F46" w:rsidP="00803EC1">
            <w:pPr>
              <w:spacing w:before="120"/>
              <w:ind w:right="-360"/>
              <w:rPr>
                <w:sz w:val="22"/>
              </w:rPr>
            </w:pPr>
          </w:p>
        </w:tc>
        <w:tc>
          <w:tcPr>
            <w:tcW w:w="1417" w:type="dxa"/>
          </w:tcPr>
          <w:p w14:paraId="1FEF88A9" w14:textId="77777777" w:rsidR="00BA4F46" w:rsidRPr="00576AF8" w:rsidRDefault="00BA4F46" w:rsidP="00803EC1">
            <w:pPr>
              <w:spacing w:before="120"/>
              <w:ind w:right="-360"/>
              <w:rPr>
                <w:sz w:val="22"/>
              </w:rPr>
            </w:pPr>
          </w:p>
        </w:tc>
        <w:tc>
          <w:tcPr>
            <w:tcW w:w="1559" w:type="dxa"/>
          </w:tcPr>
          <w:p w14:paraId="435A73BE" w14:textId="77777777" w:rsidR="00BA4F46" w:rsidRPr="00576AF8" w:rsidRDefault="00BA4F46" w:rsidP="00803EC1">
            <w:pPr>
              <w:spacing w:before="120"/>
              <w:ind w:right="-360"/>
              <w:rPr>
                <w:sz w:val="22"/>
              </w:rPr>
            </w:pPr>
          </w:p>
        </w:tc>
        <w:tc>
          <w:tcPr>
            <w:tcW w:w="1418" w:type="dxa"/>
          </w:tcPr>
          <w:p w14:paraId="00170A48" w14:textId="77777777" w:rsidR="00BA4F46" w:rsidRPr="00576AF8" w:rsidRDefault="00BA4F46" w:rsidP="00803EC1">
            <w:pPr>
              <w:spacing w:before="120"/>
              <w:ind w:right="-360"/>
              <w:rPr>
                <w:sz w:val="22"/>
              </w:rPr>
            </w:pPr>
          </w:p>
        </w:tc>
        <w:tc>
          <w:tcPr>
            <w:tcW w:w="1276" w:type="dxa"/>
          </w:tcPr>
          <w:p w14:paraId="0EF21FDC" w14:textId="77777777" w:rsidR="00BA4F46" w:rsidRPr="00576AF8" w:rsidRDefault="00BA4F46" w:rsidP="00803EC1">
            <w:pPr>
              <w:spacing w:before="120"/>
              <w:ind w:right="-360"/>
              <w:rPr>
                <w:sz w:val="22"/>
              </w:rPr>
            </w:pPr>
          </w:p>
        </w:tc>
        <w:tc>
          <w:tcPr>
            <w:tcW w:w="1559" w:type="dxa"/>
          </w:tcPr>
          <w:p w14:paraId="79BCFB22" w14:textId="77777777" w:rsidR="00BA4F46" w:rsidRPr="00576AF8" w:rsidRDefault="00BA4F46" w:rsidP="00803EC1">
            <w:pPr>
              <w:spacing w:before="120"/>
              <w:ind w:right="-360"/>
              <w:rPr>
                <w:sz w:val="22"/>
              </w:rPr>
            </w:pPr>
          </w:p>
        </w:tc>
      </w:tr>
      <w:tr w:rsidR="00DD5AC4" w:rsidRPr="00576AF8" w14:paraId="54A2CC75" w14:textId="77777777" w:rsidTr="00DD5AC4">
        <w:tc>
          <w:tcPr>
            <w:tcW w:w="2119" w:type="dxa"/>
          </w:tcPr>
          <w:p w14:paraId="00153ADD" w14:textId="77777777" w:rsidR="00BA4F46" w:rsidRPr="00576AF8" w:rsidRDefault="00BA4F46" w:rsidP="00803EC1">
            <w:pPr>
              <w:spacing w:before="120"/>
              <w:ind w:right="-360"/>
              <w:rPr>
                <w:sz w:val="22"/>
              </w:rPr>
            </w:pPr>
          </w:p>
        </w:tc>
        <w:tc>
          <w:tcPr>
            <w:tcW w:w="1417" w:type="dxa"/>
          </w:tcPr>
          <w:p w14:paraId="497FE08A" w14:textId="77777777" w:rsidR="00BA4F46" w:rsidRPr="00576AF8" w:rsidRDefault="00BA4F46" w:rsidP="00803EC1">
            <w:pPr>
              <w:spacing w:before="120"/>
              <w:ind w:right="-360"/>
              <w:rPr>
                <w:sz w:val="22"/>
              </w:rPr>
            </w:pPr>
          </w:p>
        </w:tc>
        <w:tc>
          <w:tcPr>
            <w:tcW w:w="1559" w:type="dxa"/>
          </w:tcPr>
          <w:p w14:paraId="49D5E713" w14:textId="77777777" w:rsidR="00BA4F46" w:rsidRPr="00576AF8" w:rsidRDefault="00BA4F46" w:rsidP="00803EC1">
            <w:pPr>
              <w:spacing w:before="120"/>
              <w:ind w:right="-360"/>
              <w:rPr>
                <w:sz w:val="22"/>
              </w:rPr>
            </w:pPr>
          </w:p>
        </w:tc>
        <w:tc>
          <w:tcPr>
            <w:tcW w:w="1418" w:type="dxa"/>
          </w:tcPr>
          <w:p w14:paraId="2E0E9C52" w14:textId="77777777" w:rsidR="00BA4F46" w:rsidRPr="00576AF8" w:rsidRDefault="00BA4F46" w:rsidP="00803EC1">
            <w:pPr>
              <w:spacing w:before="120"/>
              <w:ind w:right="-360"/>
              <w:rPr>
                <w:sz w:val="22"/>
              </w:rPr>
            </w:pPr>
          </w:p>
        </w:tc>
        <w:tc>
          <w:tcPr>
            <w:tcW w:w="1276" w:type="dxa"/>
          </w:tcPr>
          <w:p w14:paraId="018FB628" w14:textId="77777777" w:rsidR="00BA4F46" w:rsidRPr="00576AF8" w:rsidRDefault="00BA4F46" w:rsidP="00803EC1">
            <w:pPr>
              <w:spacing w:before="120"/>
              <w:ind w:right="-360"/>
              <w:rPr>
                <w:sz w:val="22"/>
              </w:rPr>
            </w:pPr>
          </w:p>
        </w:tc>
        <w:tc>
          <w:tcPr>
            <w:tcW w:w="1559" w:type="dxa"/>
          </w:tcPr>
          <w:p w14:paraId="014BD123" w14:textId="77777777" w:rsidR="00BA4F46" w:rsidRPr="00576AF8" w:rsidRDefault="00BA4F46" w:rsidP="00803EC1">
            <w:pPr>
              <w:spacing w:before="120"/>
              <w:ind w:right="-360"/>
              <w:rPr>
                <w:sz w:val="22"/>
              </w:rPr>
            </w:pPr>
          </w:p>
        </w:tc>
      </w:tr>
      <w:tr w:rsidR="00DD5AC4" w:rsidRPr="00576AF8" w14:paraId="50DFD989" w14:textId="77777777" w:rsidTr="00DD5AC4">
        <w:tc>
          <w:tcPr>
            <w:tcW w:w="2119" w:type="dxa"/>
          </w:tcPr>
          <w:p w14:paraId="048A984F" w14:textId="77777777" w:rsidR="00BA4F46" w:rsidRPr="00576AF8" w:rsidRDefault="00BA4F46" w:rsidP="00803EC1">
            <w:pPr>
              <w:spacing w:before="120"/>
              <w:ind w:right="-360"/>
              <w:rPr>
                <w:sz w:val="22"/>
              </w:rPr>
            </w:pPr>
          </w:p>
        </w:tc>
        <w:tc>
          <w:tcPr>
            <w:tcW w:w="1417" w:type="dxa"/>
          </w:tcPr>
          <w:p w14:paraId="5401B3DD" w14:textId="77777777" w:rsidR="00BA4F46" w:rsidRPr="00576AF8" w:rsidRDefault="00BA4F46" w:rsidP="00803EC1">
            <w:pPr>
              <w:spacing w:before="120"/>
              <w:ind w:right="-360"/>
              <w:rPr>
                <w:sz w:val="22"/>
              </w:rPr>
            </w:pPr>
          </w:p>
        </w:tc>
        <w:tc>
          <w:tcPr>
            <w:tcW w:w="1559" w:type="dxa"/>
          </w:tcPr>
          <w:p w14:paraId="605E02B8" w14:textId="77777777" w:rsidR="00BA4F46" w:rsidRPr="00576AF8" w:rsidRDefault="00BA4F46" w:rsidP="00803EC1">
            <w:pPr>
              <w:spacing w:before="120"/>
              <w:ind w:right="-360"/>
            </w:pPr>
          </w:p>
        </w:tc>
        <w:tc>
          <w:tcPr>
            <w:tcW w:w="1418" w:type="dxa"/>
          </w:tcPr>
          <w:p w14:paraId="119B3A18" w14:textId="77777777" w:rsidR="00BA4F46" w:rsidRPr="00576AF8" w:rsidRDefault="00BA4F46" w:rsidP="00803EC1">
            <w:pPr>
              <w:spacing w:before="120"/>
              <w:ind w:right="-360"/>
              <w:rPr>
                <w:sz w:val="22"/>
              </w:rPr>
            </w:pPr>
          </w:p>
        </w:tc>
        <w:tc>
          <w:tcPr>
            <w:tcW w:w="1276" w:type="dxa"/>
          </w:tcPr>
          <w:p w14:paraId="0B1057C1" w14:textId="77777777" w:rsidR="00BA4F46" w:rsidRPr="00576AF8" w:rsidRDefault="00BA4F46" w:rsidP="00803EC1">
            <w:pPr>
              <w:spacing w:before="120"/>
              <w:ind w:right="-360"/>
              <w:rPr>
                <w:sz w:val="22"/>
              </w:rPr>
            </w:pPr>
          </w:p>
        </w:tc>
        <w:tc>
          <w:tcPr>
            <w:tcW w:w="1559" w:type="dxa"/>
          </w:tcPr>
          <w:p w14:paraId="0D0340F6" w14:textId="77777777" w:rsidR="00BA4F46" w:rsidRPr="00576AF8" w:rsidRDefault="00BA4F46" w:rsidP="00803EC1">
            <w:pPr>
              <w:spacing w:before="120"/>
              <w:ind w:right="-360"/>
              <w:rPr>
                <w:sz w:val="22"/>
              </w:rPr>
            </w:pPr>
          </w:p>
        </w:tc>
      </w:tr>
      <w:tr w:rsidR="00DD5AC4" w:rsidRPr="00576AF8" w14:paraId="14DF11F3" w14:textId="77777777" w:rsidTr="00DD5AC4">
        <w:tc>
          <w:tcPr>
            <w:tcW w:w="2119" w:type="dxa"/>
          </w:tcPr>
          <w:p w14:paraId="36A93124" w14:textId="77777777" w:rsidR="00BA4F46" w:rsidRPr="00576AF8" w:rsidRDefault="00BA4F46" w:rsidP="00803EC1">
            <w:pPr>
              <w:spacing w:before="120"/>
              <w:ind w:right="-360"/>
              <w:rPr>
                <w:sz w:val="22"/>
              </w:rPr>
            </w:pPr>
          </w:p>
        </w:tc>
        <w:tc>
          <w:tcPr>
            <w:tcW w:w="1417" w:type="dxa"/>
          </w:tcPr>
          <w:p w14:paraId="13CEF9CA" w14:textId="77777777" w:rsidR="00BA4F46" w:rsidRPr="00576AF8" w:rsidRDefault="00BA4F46" w:rsidP="00803EC1">
            <w:pPr>
              <w:spacing w:before="120"/>
              <w:ind w:right="-360"/>
              <w:rPr>
                <w:sz w:val="22"/>
              </w:rPr>
            </w:pPr>
          </w:p>
        </w:tc>
        <w:tc>
          <w:tcPr>
            <w:tcW w:w="1559" w:type="dxa"/>
          </w:tcPr>
          <w:p w14:paraId="06516758" w14:textId="77777777" w:rsidR="00BA4F46" w:rsidRPr="00576AF8" w:rsidRDefault="00BA4F46" w:rsidP="00803EC1">
            <w:pPr>
              <w:spacing w:before="120"/>
              <w:ind w:right="-360"/>
              <w:rPr>
                <w:sz w:val="22"/>
              </w:rPr>
            </w:pPr>
          </w:p>
        </w:tc>
        <w:tc>
          <w:tcPr>
            <w:tcW w:w="1418" w:type="dxa"/>
          </w:tcPr>
          <w:p w14:paraId="7BF64DD7" w14:textId="77777777" w:rsidR="00BA4F46" w:rsidRPr="00576AF8" w:rsidRDefault="00BA4F46" w:rsidP="00803EC1">
            <w:pPr>
              <w:spacing w:before="120"/>
              <w:ind w:right="-360"/>
              <w:rPr>
                <w:sz w:val="22"/>
              </w:rPr>
            </w:pPr>
          </w:p>
        </w:tc>
        <w:tc>
          <w:tcPr>
            <w:tcW w:w="1276" w:type="dxa"/>
          </w:tcPr>
          <w:p w14:paraId="33153E1F" w14:textId="77777777" w:rsidR="00BA4F46" w:rsidRPr="00576AF8" w:rsidRDefault="00BA4F46" w:rsidP="00803EC1">
            <w:pPr>
              <w:spacing w:before="120"/>
              <w:ind w:right="-360"/>
              <w:rPr>
                <w:sz w:val="22"/>
              </w:rPr>
            </w:pPr>
          </w:p>
        </w:tc>
        <w:tc>
          <w:tcPr>
            <w:tcW w:w="1559" w:type="dxa"/>
          </w:tcPr>
          <w:p w14:paraId="50FCFF68" w14:textId="77777777" w:rsidR="00BA4F46" w:rsidRPr="00576AF8" w:rsidRDefault="00BA4F46" w:rsidP="00803EC1">
            <w:pPr>
              <w:spacing w:before="120"/>
              <w:ind w:right="-360"/>
              <w:rPr>
                <w:sz w:val="22"/>
              </w:rPr>
            </w:pPr>
          </w:p>
        </w:tc>
      </w:tr>
      <w:tr w:rsidR="00DD5AC4" w:rsidRPr="00576AF8" w14:paraId="09EEB125" w14:textId="77777777" w:rsidTr="00DD5AC4">
        <w:tc>
          <w:tcPr>
            <w:tcW w:w="2119" w:type="dxa"/>
          </w:tcPr>
          <w:p w14:paraId="4CC05099" w14:textId="77777777" w:rsidR="00BA4F46" w:rsidRPr="00576AF8" w:rsidRDefault="00BA4F46" w:rsidP="00803EC1">
            <w:pPr>
              <w:spacing w:before="120"/>
              <w:ind w:right="-360"/>
              <w:rPr>
                <w:sz w:val="22"/>
              </w:rPr>
            </w:pPr>
          </w:p>
        </w:tc>
        <w:tc>
          <w:tcPr>
            <w:tcW w:w="1417" w:type="dxa"/>
          </w:tcPr>
          <w:p w14:paraId="08E0D5B4" w14:textId="77777777" w:rsidR="00BA4F46" w:rsidRPr="00576AF8" w:rsidRDefault="00BA4F46" w:rsidP="00803EC1">
            <w:pPr>
              <w:spacing w:before="120"/>
              <w:ind w:right="-360"/>
              <w:rPr>
                <w:sz w:val="22"/>
              </w:rPr>
            </w:pPr>
          </w:p>
        </w:tc>
        <w:tc>
          <w:tcPr>
            <w:tcW w:w="1559" w:type="dxa"/>
          </w:tcPr>
          <w:p w14:paraId="3472FEE2" w14:textId="77777777" w:rsidR="00BA4F46" w:rsidRPr="00576AF8" w:rsidRDefault="00BA4F46" w:rsidP="00803EC1">
            <w:pPr>
              <w:spacing w:before="120"/>
              <w:ind w:right="-360"/>
              <w:rPr>
                <w:sz w:val="22"/>
              </w:rPr>
            </w:pPr>
          </w:p>
        </w:tc>
        <w:tc>
          <w:tcPr>
            <w:tcW w:w="1418" w:type="dxa"/>
          </w:tcPr>
          <w:p w14:paraId="3AA8E930" w14:textId="77777777" w:rsidR="00BA4F46" w:rsidRPr="00576AF8" w:rsidRDefault="00BA4F46" w:rsidP="00803EC1">
            <w:pPr>
              <w:spacing w:before="120"/>
              <w:ind w:right="-360"/>
              <w:rPr>
                <w:sz w:val="22"/>
              </w:rPr>
            </w:pPr>
          </w:p>
        </w:tc>
        <w:tc>
          <w:tcPr>
            <w:tcW w:w="1276" w:type="dxa"/>
          </w:tcPr>
          <w:p w14:paraId="7D069C0B" w14:textId="77777777" w:rsidR="00BA4F46" w:rsidRPr="00576AF8" w:rsidRDefault="00BA4F46" w:rsidP="00803EC1">
            <w:pPr>
              <w:spacing w:before="120"/>
              <w:ind w:right="-360"/>
              <w:rPr>
                <w:sz w:val="22"/>
              </w:rPr>
            </w:pPr>
          </w:p>
        </w:tc>
        <w:tc>
          <w:tcPr>
            <w:tcW w:w="1559" w:type="dxa"/>
          </w:tcPr>
          <w:p w14:paraId="019D4863" w14:textId="77777777" w:rsidR="00BA4F46" w:rsidRPr="00576AF8" w:rsidRDefault="00BA4F46" w:rsidP="00803EC1">
            <w:pPr>
              <w:spacing w:before="120"/>
              <w:ind w:right="-360"/>
              <w:rPr>
                <w:sz w:val="22"/>
              </w:rPr>
            </w:pPr>
          </w:p>
        </w:tc>
      </w:tr>
      <w:tr w:rsidR="00DD5AC4" w:rsidRPr="00576AF8" w14:paraId="23A55552" w14:textId="77777777" w:rsidTr="00DD5AC4">
        <w:tc>
          <w:tcPr>
            <w:tcW w:w="2119" w:type="dxa"/>
          </w:tcPr>
          <w:p w14:paraId="250E8E3E" w14:textId="77777777" w:rsidR="00BA4F46" w:rsidRPr="00576AF8" w:rsidRDefault="00BA4F46" w:rsidP="00803EC1">
            <w:pPr>
              <w:spacing w:before="120"/>
              <w:ind w:right="-360"/>
              <w:rPr>
                <w:sz w:val="22"/>
              </w:rPr>
            </w:pPr>
          </w:p>
        </w:tc>
        <w:tc>
          <w:tcPr>
            <w:tcW w:w="1417" w:type="dxa"/>
          </w:tcPr>
          <w:p w14:paraId="3A73AF89" w14:textId="77777777" w:rsidR="00BA4F46" w:rsidRPr="00576AF8" w:rsidRDefault="00BA4F46" w:rsidP="00803EC1">
            <w:pPr>
              <w:spacing w:before="120"/>
              <w:ind w:right="-360"/>
              <w:rPr>
                <w:sz w:val="22"/>
              </w:rPr>
            </w:pPr>
          </w:p>
        </w:tc>
        <w:tc>
          <w:tcPr>
            <w:tcW w:w="1559" w:type="dxa"/>
          </w:tcPr>
          <w:p w14:paraId="0321F626" w14:textId="77777777" w:rsidR="00BA4F46" w:rsidRPr="00576AF8" w:rsidRDefault="00BA4F46" w:rsidP="00803EC1">
            <w:pPr>
              <w:spacing w:before="120"/>
              <w:ind w:right="-360"/>
              <w:rPr>
                <w:sz w:val="22"/>
              </w:rPr>
            </w:pPr>
          </w:p>
        </w:tc>
        <w:tc>
          <w:tcPr>
            <w:tcW w:w="1418" w:type="dxa"/>
          </w:tcPr>
          <w:p w14:paraId="48ECC3A8" w14:textId="77777777" w:rsidR="00BA4F46" w:rsidRPr="00576AF8" w:rsidRDefault="00BA4F46" w:rsidP="00803EC1">
            <w:pPr>
              <w:spacing w:before="120"/>
              <w:ind w:right="-360"/>
              <w:rPr>
                <w:sz w:val="22"/>
              </w:rPr>
            </w:pPr>
          </w:p>
        </w:tc>
        <w:tc>
          <w:tcPr>
            <w:tcW w:w="1276" w:type="dxa"/>
          </w:tcPr>
          <w:p w14:paraId="3E1AD22F" w14:textId="77777777" w:rsidR="00BA4F46" w:rsidRPr="00576AF8" w:rsidRDefault="00BA4F46" w:rsidP="00803EC1">
            <w:pPr>
              <w:spacing w:before="120"/>
              <w:ind w:right="-360"/>
              <w:rPr>
                <w:sz w:val="22"/>
              </w:rPr>
            </w:pPr>
          </w:p>
        </w:tc>
        <w:tc>
          <w:tcPr>
            <w:tcW w:w="1559" w:type="dxa"/>
          </w:tcPr>
          <w:p w14:paraId="25FE30DD" w14:textId="77777777" w:rsidR="00BA4F46" w:rsidRPr="00576AF8" w:rsidRDefault="00BA4F46" w:rsidP="00803EC1">
            <w:pPr>
              <w:spacing w:before="120"/>
              <w:ind w:right="-360"/>
              <w:rPr>
                <w:sz w:val="22"/>
              </w:rPr>
            </w:pPr>
          </w:p>
        </w:tc>
      </w:tr>
      <w:tr w:rsidR="00DD5AC4" w:rsidRPr="00576AF8" w14:paraId="69450C54" w14:textId="77777777" w:rsidTr="00DD5AC4">
        <w:tc>
          <w:tcPr>
            <w:tcW w:w="2119" w:type="dxa"/>
          </w:tcPr>
          <w:p w14:paraId="18C6E5C3" w14:textId="77777777" w:rsidR="00BA4F46" w:rsidRPr="00576AF8" w:rsidRDefault="00BA4F46" w:rsidP="00803EC1">
            <w:pPr>
              <w:spacing w:before="120"/>
              <w:ind w:right="-360"/>
              <w:rPr>
                <w:sz w:val="22"/>
              </w:rPr>
            </w:pPr>
          </w:p>
        </w:tc>
        <w:tc>
          <w:tcPr>
            <w:tcW w:w="1417" w:type="dxa"/>
          </w:tcPr>
          <w:p w14:paraId="21691B72" w14:textId="77777777" w:rsidR="00BA4F46" w:rsidRPr="00576AF8" w:rsidRDefault="00BA4F46" w:rsidP="00803EC1">
            <w:pPr>
              <w:spacing w:before="120"/>
              <w:ind w:right="-360"/>
              <w:rPr>
                <w:sz w:val="22"/>
              </w:rPr>
            </w:pPr>
          </w:p>
        </w:tc>
        <w:tc>
          <w:tcPr>
            <w:tcW w:w="1559" w:type="dxa"/>
          </w:tcPr>
          <w:p w14:paraId="584EA154" w14:textId="77777777" w:rsidR="00BA4F46" w:rsidRPr="00576AF8" w:rsidRDefault="00BA4F46" w:rsidP="00803EC1">
            <w:pPr>
              <w:spacing w:before="120"/>
              <w:ind w:right="-360"/>
              <w:rPr>
                <w:sz w:val="22"/>
              </w:rPr>
            </w:pPr>
          </w:p>
        </w:tc>
        <w:tc>
          <w:tcPr>
            <w:tcW w:w="1418" w:type="dxa"/>
          </w:tcPr>
          <w:p w14:paraId="5B900734" w14:textId="77777777" w:rsidR="00BA4F46" w:rsidRPr="00576AF8" w:rsidRDefault="00BA4F46" w:rsidP="00803EC1">
            <w:pPr>
              <w:spacing w:before="120"/>
              <w:ind w:right="-360"/>
              <w:rPr>
                <w:sz w:val="22"/>
              </w:rPr>
            </w:pPr>
          </w:p>
        </w:tc>
        <w:tc>
          <w:tcPr>
            <w:tcW w:w="1276" w:type="dxa"/>
          </w:tcPr>
          <w:p w14:paraId="3F71411D" w14:textId="77777777" w:rsidR="00BA4F46" w:rsidRPr="00576AF8" w:rsidRDefault="00BA4F46" w:rsidP="00803EC1">
            <w:pPr>
              <w:spacing w:before="120"/>
              <w:ind w:right="-360"/>
              <w:rPr>
                <w:sz w:val="22"/>
              </w:rPr>
            </w:pPr>
          </w:p>
        </w:tc>
        <w:tc>
          <w:tcPr>
            <w:tcW w:w="1559" w:type="dxa"/>
          </w:tcPr>
          <w:p w14:paraId="76DBCC99" w14:textId="77777777" w:rsidR="00BA4F46" w:rsidRPr="00576AF8" w:rsidRDefault="00BA4F46" w:rsidP="00803EC1">
            <w:pPr>
              <w:spacing w:before="120"/>
              <w:ind w:right="-360"/>
              <w:rPr>
                <w:sz w:val="22"/>
              </w:rPr>
            </w:pPr>
          </w:p>
        </w:tc>
      </w:tr>
      <w:tr w:rsidR="00DD5AC4" w:rsidRPr="00576AF8" w14:paraId="5348B96F" w14:textId="77777777" w:rsidTr="00DD5AC4">
        <w:tc>
          <w:tcPr>
            <w:tcW w:w="2119" w:type="dxa"/>
          </w:tcPr>
          <w:p w14:paraId="18F6F15F" w14:textId="77777777" w:rsidR="00BA4F46" w:rsidRPr="00576AF8" w:rsidRDefault="00BA4F46" w:rsidP="00803EC1">
            <w:pPr>
              <w:spacing w:before="120"/>
              <w:ind w:right="-360"/>
              <w:rPr>
                <w:sz w:val="22"/>
              </w:rPr>
            </w:pPr>
          </w:p>
        </w:tc>
        <w:tc>
          <w:tcPr>
            <w:tcW w:w="1417" w:type="dxa"/>
          </w:tcPr>
          <w:p w14:paraId="549690D8" w14:textId="77777777" w:rsidR="00BA4F46" w:rsidRPr="00576AF8" w:rsidRDefault="00BA4F46" w:rsidP="00803EC1">
            <w:pPr>
              <w:spacing w:before="120"/>
              <w:ind w:right="-360"/>
              <w:rPr>
                <w:sz w:val="22"/>
              </w:rPr>
            </w:pPr>
          </w:p>
        </w:tc>
        <w:tc>
          <w:tcPr>
            <w:tcW w:w="1559" w:type="dxa"/>
          </w:tcPr>
          <w:p w14:paraId="2F3F8550" w14:textId="77777777" w:rsidR="00BA4F46" w:rsidRPr="00576AF8" w:rsidRDefault="00BA4F46" w:rsidP="00803EC1">
            <w:pPr>
              <w:spacing w:before="120"/>
              <w:ind w:right="-360"/>
              <w:rPr>
                <w:sz w:val="22"/>
              </w:rPr>
            </w:pPr>
          </w:p>
        </w:tc>
        <w:tc>
          <w:tcPr>
            <w:tcW w:w="1418" w:type="dxa"/>
          </w:tcPr>
          <w:p w14:paraId="32EA158C" w14:textId="77777777" w:rsidR="00BA4F46" w:rsidRPr="00576AF8" w:rsidRDefault="00BA4F46" w:rsidP="00803EC1">
            <w:pPr>
              <w:spacing w:before="120"/>
              <w:ind w:right="-360"/>
              <w:rPr>
                <w:sz w:val="22"/>
              </w:rPr>
            </w:pPr>
          </w:p>
        </w:tc>
        <w:tc>
          <w:tcPr>
            <w:tcW w:w="1276" w:type="dxa"/>
          </w:tcPr>
          <w:p w14:paraId="59495A46" w14:textId="77777777" w:rsidR="00BA4F46" w:rsidRPr="00576AF8" w:rsidRDefault="00BA4F46" w:rsidP="00803EC1">
            <w:pPr>
              <w:spacing w:before="120"/>
              <w:ind w:right="-360"/>
              <w:rPr>
                <w:sz w:val="22"/>
              </w:rPr>
            </w:pPr>
          </w:p>
        </w:tc>
        <w:tc>
          <w:tcPr>
            <w:tcW w:w="1559" w:type="dxa"/>
          </w:tcPr>
          <w:p w14:paraId="6E191508" w14:textId="77777777" w:rsidR="00BA4F46" w:rsidRPr="00576AF8" w:rsidRDefault="00BA4F46" w:rsidP="00803EC1">
            <w:pPr>
              <w:spacing w:before="120"/>
              <w:ind w:right="-360"/>
              <w:rPr>
                <w:sz w:val="22"/>
              </w:rPr>
            </w:pPr>
          </w:p>
        </w:tc>
      </w:tr>
    </w:tbl>
    <w:p w14:paraId="27FEB5F6" w14:textId="77777777" w:rsidR="00BA4F46" w:rsidRPr="00576AF8" w:rsidRDefault="00BA4F46" w:rsidP="00BA4F46">
      <w:pPr>
        <w:ind w:right="-360"/>
        <w:jc w:val="center"/>
        <w:rPr>
          <w:sz w:val="22"/>
        </w:rPr>
      </w:pPr>
    </w:p>
    <w:p w14:paraId="719761A6" w14:textId="77777777" w:rsidR="00BA4F46" w:rsidRPr="00576AF8" w:rsidRDefault="00BA4F46">
      <w:pPr>
        <w:suppressAutoHyphens w:val="0"/>
        <w:spacing w:after="0"/>
        <w:jc w:val="left"/>
        <w:rPr>
          <w:b/>
          <w:i/>
          <w:sz w:val="32"/>
        </w:rPr>
      </w:pPr>
      <w:r w:rsidRPr="00576AF8">
        <w:br w:type="page"/>
      </w:r>
    </w:p>
    <w:p w14:paraId="578A21DA" w14:textId="77777777" w:rsidR="00BA4F46" w:rsidRPr="00576AF8" w:rsidRDefault="00BA4F46" w:rsidP="00BA4F46">
      <w:pPr>
        <w:pStyle w:val="Head32"/>
        <w:ind w:right="-360"/>
      </w:pPr>
      <w:bookmarkStart w:id="503" w:name="_Toc521497250"/>
      <w:bookmarkStart w:id="504" w:name="_Toc218673990"/>
      <w:bookmarkStart w:id="505" w:name="_Toc277345617"/>
      <w:r w:rsidRPr="00576AF8">
        <w:lastRenderedPageBreak/>
        <w:t xml:space="preserve">Lista de </w:t>
      </w:r>
      <w:r w:rsidR="005E641B" w:rsidRPr="00576AF8">
        <w:t xml:space="preserve">Materiales </w:t>
      </w:r>
      <w:bookmarkEnd w:id="503"/>
      <w:bookmarkEnd w:id="504"/>
      <w:bookmarkEnd w:id="505"/>
      <w:r w:rsidR="005E641B" w:rsidRPr="00576AF8">
        <w:t>Personalizados</w:t>
      </w:r>
    </w:p>
    <w:p w14:paraId="69418E78" w14:textId="77777777" w:rsidR="00BA4F46" w:rsidRPr="00576AF8" w:rsidRDefault="00BA4F46" w:rsidP="00BA4F46">
      <w:pPr>
        <w:ind w:right="-360"/>
        <w:rPr>
          <w:sz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348"/>
      </w:tblGrid>
      <w:tr w:rsidR="00BA4F46" w:rsidRPr="00576AF8" w14:paraId="0AA3F4CB" w14:textId="77777777" w:rsidTr="00DD5AC4">
        <w:tc>
          <w:tcPr>
            <w:tcW w:w="9348" w:type="dxa"/>
          </w:tcPr>
          <w:p w14:paraId="13038F7A" w14:textId="77777777" w:rsidR="00BA4F46" w:rsidRPr="00576AF8" w:rsidRDefault="00984DF4" w:rsidP="00803EC1">
            <w:pPr>
              <w:spacing w:before="120"/>
              <w:ind w:right="-360"/>
              <w:jc w:val="center"/>
            </w:pPr>
            <w:r w:rsidRPr="00576AF8">
              <w:t>Materiales p</w:t>
            </w:r>
            <w:r w:rsidR="00BA4F46" w:rsidRPr="00576AF8">
              <w:t>ersonalizados</w:t>
            </w:r>
          </w:p>
        </w:tc>
      </w:tr>
      <w:tr w:rsidR="00BA4F46" w:rsidRPr="00576AF8" w14:paraId="540CBE4C" w14:textId="77777777" w:rsidTr="00DD5AC4">
        <w:tc>
          <w:tcPr>
            <w:tcW w:w="9348" w:type="dxa"/>
          </w:tcPr>
          <w:p w14:paraId="4EF2CF6F" w14:textId="77777777" w:rsidR="00BA4F46" w:rsidRPr="00576AF8" w:rsidRDefault="00BA4F46" w:rsidP="00803EC1">
            <w:pPr>
              <w:spacing w:before="120"/>
              <w:ind w:right="-360"/>
              <w:rPr>
                <w:sz w:val="22"/>
              </w:rPr>
            </w:pPr>
          </w:p>
        </w:tc>
      </w:tr>
      <w:tr w:rsidR="00BA4F46" w:rsidRPr="00576AF8" w14:paraId="3701A4C4" w14:textId="77777777" w:rsidTr="00DD5AC4">
        <w:tc>
          <w:tcPr>
            <w:tcW w:w="9348" w:type="dxa"/>
          </w:tcPr>
          <w:p w14:paraId="07ED55CF" w14:textId="77777777" w:rsidR="00BA4F46" w:rsidRPr="00576AF8" w:rsidRDefault="00BA4F46" w:rsidP="00803EC1">
            <w:pPr>
              <w:spacing w:before="120"/>
              <w:ind w:right="-360"/>
              <w:rPr>
                <w:sz w:val="22"/>
              </w:rPr>
            </w:pPr>
          </w:p>
        </w:tc>
      </w:tr>
      <w:tr w:rsidR="00BA4F46" w:rsidRPr="00576AF8" w14:paraId="7E532685" w14:textId="77777777" w:rsidTr="00DD5AC4">
        <w:tc>
          <w:tcPr>
            <w:tcW w:w="9348" w:type="dxa"/>
          </w:tcPr>
          <w:p w14:paraId="551AC061" w14:textId="77777777" w:rsidR="00BA4F46" w:rsidRPr="00576AF8" w:rsidRDefault="00BA4F46" w:rsidP="00803EC1">
            <w:pPr>
              <w:spacing w:before="120"/>
              <w:ind w:right="-360"/>
              <w:rPr>
                <w:sz w:val="22"/>
              </w:rPr>
            </w:pPr>
          </w:p>
        </w:tc>
      </w:tr>
      <w:tr w:rsidR="00BA4F46" w:rsidRPr="00576AF8" w14:paraId="4693E28C" w14:textId="77777777" w:rsidTr="00DD5AC4">
        <w:tc>
          <w:tcPr>
            <w:tcW w:w="9348" w:type="dxa"/>
          </w:tcPr>
          <w:p w14:paraId="56F9C1FD" w14:textId="77777777" w:rsidR="00BA4F46" w:rsidRPr="00576AF8" w:rsidRDefault="00BA4F46" w:rsidP="00803EC1">
            <w:pPr>
              <w:spacing w:before="120"/>
              <w:ind w:right="-360"/>
              <w:rPr>
                <w:sz w:val="22"/>
              </w:rPr>
            </w:pPr>
          </w:p>
        </w:tc>
      </w:tr>
      <w:tr w:rsidR="00BA4F46" w:rsidRPr="00576AF8" w14:paraId="32B7B100" w14:textId="77777777" w:rsidTr="00DD5AC4">
        <w:tc>
          <w:tcPr>
            <w:tcW w:w="9348" w:type="dxa"/>
          </w:tcPr>
          <w:p w14:paraId="3266F452" w14:textId="77777777" w:rsidR="00BA4F46" w:rsidRPr="00576AF8" w:rsidRDefault="00BA4F46" w:rsidP="00803EC1">
            <w:pPr>
              <w:spacing w:before="120"/>
              <w:ind w:right="-360"/>
              <w:rPr>
                <w:sz w:val="22"/>
              </w:rPr>
            </w:pPr>
          </w:p>
        </w:tc>
      </w:tr>
      <w:tr w:rsidR="00BA4F46" w:rsidRPr="00576AF8" w14:paraId="55903C4D" w14:textId="77777777" w:rsidTr="00DD5AC4">
        <w:tc>
          <w:tcPr>
            <w:tcW w:w="9348" w:type="dxa"/>
          </w:tcPr>
          <w:p w14:paraId="4C0E2437" w14:textId="77777777" w:rsidR="00BA4F46" w:rsidRPr="00576AF8" w:rsidRDefault="00BA4F46" w:rsidP="00803EC1">
            <w:pPr>
              <w:spacing w:before="120"/>
              <w:ind w:right="-360"/>
              <w:rPr>
                <w:sz w:val="22"/>
              </w:rPr>
            </w:pPr>
          </w:p>
        </w:tc>
      </w:tr>
      <w:tr w:rsidR="00BA4F46" w:rsidRPr="00576AF8" w14:paraId="0491FEB5" w14:textId="77777777" w:rsidTr="00DD5AC4">
        <w:tc>
          <w:tcPr>
            <w:tcW w:w="9348" w:type="dxa"/>
          </w:tcPr>
          <w:p w14:paraId="19664C83" w14:textId="77777777" w:rsidR="00BA4F46" w:rsidRPr="00576AF8" w:rsidRDefault="00BA4F46" w:rsidP="00803EC1">
            <w:pPr>
              <w:spacing w:before="120"/>
              <w:ind w:right="-360"/>
              <w:rPr>
                <w:sz w:val="22"/>
              </w:rPr>
            </w:pPr>
          </w:p>
        </w:tc>
      </w:tr>
      <w:tr w:rsidR="00BA4F46" w:rsidRPr="00576AF8" w14:paraId="4222A853" w14:textId="77777777" w:rsidTr="00DD5AC4">
        <w:tc>
          <w:tcPr>
            <w:tcW w:w="9348" w:type="dxa"/>
          </w:tcPr>
          <w:p w14:paraId="6FE5134F" w14:textId="77777777" w:rsidR="00BA4F46" w:rsidRPr="00576AF8" w:rsidRDefault="00BA4F46" w:rsidP="00803EC1">
            <w:pPr>
              <w:spacing w:before="120"/>
              <w:ind w:right="-360"/>
              <w:rPr>
                <w:sz w:val="22"/>
              </w:rPr>
            </w:pPr>
          </w:p>
        </w:tc>
      </w:tr>
      <w:tr w:rsidR="00BA4F46" w:rsidRPr="00576AF8" w14:paraId="0C73F19C" w14:textId="77777777" w:rsidTr="00DD5AC4">
        <w:tc>
          <w:tcPr>
            <w:tcW w:w="9348" w:type="dxa"/>
          </w:tcPr>
          <w:p w14:paraId="46A03DE9" w14:textId="77777777" w:rsidR="00BA4F46" w:rsidRPr="00576AF8" w:rsidRDefault="00BA4F46" w:rsidP="00803EC1">
            <w:pPr>
              <w:spacing w:before="120"/>
              <w:ind w:right="-360"/>
              <w:rPr>
                <w:sz w:val="22"/>
              </w:rPr>
            </w:pPr>
          </w:p>
        </w:tc>
      </w:tr>
      <w:tr w:rsidR="00BA4F46" w:rsidRPr="00576AF8" w14:paraId="7FD34F37" w14:textId="77777777" w:rsidTr="00DD5AC4">
        <w:tc>
          <w:tcPr>
            <w:tcW w:w="9348" w:type="dxa"/>
          </w:tcPr>
          <w:p w14:paraId="5708989B" w14:textId="77777777" w:rsidR="00BA4F46" w:rsidRPr="00576AF8" w:rsidRDefault="00BA4F46" w:rsidP="00803EC1">
            <w:pPr>
              <w:spacing w:before="120"/>
              <w:ind w:right="-360"/>
              <w:rPr>
                <w:sz w:val="22"/>
              </w:rPr>
            </w:pPr>
          </w:p>
        </w:tc>
      </w:tr>
      <w:tr w:rsidR="00BA4F46" w:rsidRPr="00576AF8" w14:paraId="69945A4D" w14:textId="77777777" w:rsidTr="00DD5AC4">
        <w:tc>
          <w:tcPr>
            <w:tcW w:w="9348" w:type="dxa"/>
          </w:tcPr>
          <w:p w14:paraId="6892FA2C" w14:textId="77777777" w:rsidR="00BA4F46" w:rsidRPr="00576AF8" w:rsidRDefault="00BA4F46" w:rsidP="00803EC1">
            <w:pPr>
              <w:spacing w:before="120"/>
              <w:ind w:right="-360"/>
              <w:rPr>
                <w:sz w:val="22"/>
              </w:rPr>
            </w:pPr>
          </w:p>
        </w:tc>
      </w:tr>
      <w:tr w:rsidR="00BA4F46" w:rsidRPr="00576AF8" w14:paraId="2541ABBE" w14:textId="77777777" w:rsidTr="00DD5AC4">
        <w:tc>
          <w:tcPr>
            <w:tcW w:w="9348" w:type="dxa"/>
          </w:tcPr>
          <w:p w14:paraId="7B592086" w14:textId="77777777" w:rsidR="00BA4F46" w:rsidRPr="00576AF8" w:rsidRDefault="00BA4F46" w:rsidP="00803EC1">
            <w:pPr>
              <w:spacing w:before="120"/>
              <w:ind w:right="-360"/>
              <w:rPr>
                <w:sz w:val="22"/>
              </w:rPr>
            </w:pPr>
          </w:p>
        </w:tc>
      </w:tr>
      <w:tr w:rsidR="00BA4F46" w:rsidRPr="00576AF8" w14:paraId="6A08D587" w14:textId="77777777" w:rsidTr="00DD5AC4">
        <w:tc>
          <w:tcPr>
            <w:tcW w:w="9348" w:type="dxa"/>
          </w:tcPr>
          <w:p w14:paraId="636663A0" w14:textId="77777777" w:rsidR="00BA4F46" w:rsidRPr="00576AF8" w:rsidRDefault="00BA4F46" w:rsidP="00803EC1">
            <w:pPr>
              <w:spacing w:before="120"/>
              <w:ind w:right="-360"/>
              <w:rPr>
                <w:sz w:val="22"/>
              </w:rPr>
            </w:pPr>
          </w:p>
        </w:tc>
      </w:tr>
    </w:tbl>
    <w:p w14:paraId="6FF4852A" w14:textId="77777777" w:rsidR="00BA4F46" w:rsidRPr="00576AF8" w:rsidRDefault="00BA4F46" w:rsidP="00BA4F46">
      <w:pPr>
        <w:ind w:right="-360"/>
      </w:pPr>
    </w:p>
    <w:p w14:paraId="12A59665" w14:textId="77777777" w:rsidR="002778DA" w:rsidRPr="00576AF8" w:rsidRDefault="002778DA" w:rsidP="00275E0F">
      <w:pPr>
        <w:suppressAutoHyphens w:val="0"/>
        <w:spacing w:after="0"/>
        <w:jc w:val="center"/>
      </w:pPr>
      <w:r w:rsidRPr="00576AF8">
        <w:br w:type="page"/>
      </w:r>
      <w:bookmarkStart w:id="506" w:name="_Toc218673991"/>
      <w:bookmarkStart w:id="507" w:name="_Toc277345618"/>
      <w:r w:rsidRPr="00576AF8">
        <w:rPr>
          <w:b/>
          <w:sz w:val="36"/>
        </w:rPr>
        <w:lastRenderedPageBreak/>
        <w:t xml:space="preserve">Conformidad de los </w:t>
      </w:r>
      <w:r w:rsidR="007D2D82" w:rsidRPr="00576AF8">
        <w:rPr>
          <w:b/>
          <w:sz w:val="36"/>
        </w:rPr>
        <w:t>m</w:t>
      </w:r>
      <w:r w:rsidRPr="00576AF8">
        <w:rPr>
          <w:b/>
          <w:sz w:val="36"/>
        </w:rPr>
        <w:t>ateriales del Sistema Informático</w:t>
      </w:r>
      <w:bookmarkEnd w:id="506"/>
      <w:bookmarkEnd w:id="507"/>
      <w:r w:rsidRPr="00576AF8">
        <w:t xml:space="preserve"> </w:t>
      </w:r>
    </w:p>
    <w:p w14:paraId="75875729" w14:textId="77777777" w:rsidR="002778DA" w:rsidRPr="00576AF8" w:rsidRDefault="002778DA" w:rsidP="002778DA">
      <w:pPr>
        <w:pStyle w:val="explanatorynotes"/>
        <w:rPr>
          <w:rFonts w:ascii="Times New Roman" w:hAnsi="Times New Roman"/>
        </w:rPr>
      </w:pPr>
    </w:p>
    <w:p w14:paraId="6427C21E" w14:textId="77777777" w:rsidR="002778DA" w:rsidRPr="00576AF8" w:rsidRDefault="002778DA" w:rsidP="002778DA">
      <w:pPr>
        <w:ind w:right="-360"/>
        <w:sectPr w:rsidR="002778DA" w:rsidRPr="00576AF8" w:rsidSect="000968D2">
          <w:headerReference w:type="default" r:id="rId42"/>
          <w:pgSz w:w="12240" w:h="15840" w:code="1"/>
          <w:pgMar w:top="1440" w:right="1440" w:bottom="1440" w:left="1440" w:header="720" w:footer="720" w:gutter="0"/>
          <w:cols w:space="720"/>
          <w:docGrid w:linePitch="360"/>
        </w:sectPr>
      </w:pPr>
    </w:p>
    <w:p w14:paraId="644EED69" w14:textId="77777777" w:rsidR="002778DA" w:rsidRPr="00576AF8" w:rsidRDefault="002778DA" w:rsidP="00010E6E">
      <w:pPr>
        <w:pStyle w:val="Head32"/>
        <w:ind w:right="4"/>
      </w:pPr>
      <w:bookmarkStart w:id="508" w:name="_Toc218673994"/>
      <w:bookmarkStart w:id="509" w:name="_Toc277345619"/>
      <w:r w:rsidRPr="00576AF8">
        <w:lastRenderedPageBreak/>
        <w:t>Formato de la Oferta Técnica</w:t>
      </w:r>
      <w:bookmarkEnd w:id="508"/>
      <w:bookmarkEnd w:id="509"/>
    </w:p>
    <w:p w14:paraId="42F6C04B" w14:textId="77777777" w:rsidR="002778DA" w:rsidRPr="00576AF8" w:rsidRDefault="002778DA" w:rsidP="00010E6E">
      <w:pPr>
        <w:ind w:right="4"/>
      </w:pPr>
    </w:p>
    <w:p w14:paraId="0F3BCD59" w14:textId="77777777" w:rsidR="002778DA" w:rsidRPr="00576AF8" w:rsidRDefault="002778DA" w:rsidP="00010E6E">
      <w:pPr>
        <w:ind w:right="4"/>
      </w:pPr>
      <w:r w:rsidRPr="00576AF8">
        <w:tab/>
        <w:t xml:space="preserve">De conformidad con la </w:t>
      </w:r>
      <w:r w:rsidR="00884AB4" w:rsidRPr="00576AF8">
        <w:t xml:space="preserve">IAL </w:t>
      </w:r>
      <w:r w:rsidR="00F776E4" w:rsidRPr="00576AF8">
        <w:t>17</w:t>
      </w:r>
      <w:r w:rsidRPr="00576AF8">
        <w:t xml:space="preserve">, las pruebas documentales de la conformidad del Sistema Informático con </w:t>
      </w:r>
      <w:r w:rsidR="00A83F3E" w:rsidRPr="00576AF8">
        <w:t xml:space="preserve">el </w:t>
      </w:r>
      <w:r w:rsidR="00807C34" w:rsidRPr="00576AF8">
        <w:t>documento de licitación</w:t>
      </w:r>
      <w:r w:rsidRPr="00576AF8">
        <w:t xml:space="preserve"> incluirán, sin carácter restrictivo, lo siguiente:</w:t>
      </w:r>
    </w:p>
    <w:p w14:paraId="0441897B" w14:textId="77777777" w:rsidR="002778DA" w:rsidRPr="00576AF8" w:rsidRDefault="002778DA" w:rsidP="00010E6E">
      <w:pPr>
        <w:ind w:left="720" w:right="4" w:hanging="720"/>
      </w:pPr>
    </w:p>
    <w:p w14:paraId="6143E55C" w14:textId="77777777" w:rsidR="002778DA" w:rsidRPr="00576AF8" w:rsidRDefault="005E641B" w:rsidP="00010E6E">
      <w:pPr>
        <w:ind w:left="720" w:right="4" w:hanging="720"/>
      </w:pPr>
      <w:r w:rsidRPr="00576AF8">
        <w:t>(</w:t>
      </w:r>
      <w:r w:rsidR="002778DA" w:rsidRPr="00576AF8">
        <w:t>a)</w:t>
      </w:r>
      <w:r w:rsidR="002778DA" w:rsidRPr="00576AF8">
        <w:tab/>
        <w:t xml:space="preserve">El plan preliminar del Proyecto del Licitante, incluidos, sin carácter restrictivo, los temas indicados en la </w:t>
      </w:r>
      <w:r w:rsidR="00884AB4" w:rsidRPr="00576AF8">
        <w:t>IAL</w:t>
      </w:r>
      <w:r w:rsidR="002778DA" w:rsidRPr="00576AF8">
        <w:t xml:space="preserve"> 1</w:t>
      </w:r>
      <w:r w:rsidR="00F776E4" w:rsidRPr="00576AF8">
        <w:t>7</w:t>
      </w:r>
      <w:r w:rsidR="002778DA" w:rsidRPr="00576AF8">
        <w:t xml:space="preserve">.2 de los DDL. Asimismo, en dicho </w:t>
      </w:r>
      <w:r w:rsidR="007D2D82" w:rsidRPr="00576AF8">
        <w:t>p</w:t>
      </w:r>
      <w:r w:rsidR="002778DA" w:rsidRPr="00576AF8">
        <w:t xml:space="preserve">lan también deberá constar la evaluación, efectuada por el Licitante, de las principales responsabilidades del Comprador y de </w:t>
      </w:r>
      <w:r w:rsidR="007D2D82" w:rsidRPr="00576AF8">
        <w:t xml:space="preserve">cualquier otro </w:t>
      </w:r>
      <w:r w:rsidR="002778DA" w:rsidRPr="00576AF8">
        <w:t>tercero que intervenga en el suministro y la instalación del Sistema, así como los medios que propone el Licitante para coordinar las actividades de cada una de las partes en cuestión, a fin de evitar demoras o in</w:t>
      </w:r>
      <w:r w:rsidR="006F4943" w:rsidRPr="00576AF8">
        <w:t>terferencias.</w:t>
      </w:r>
    </w:p>
    <w:p w14:paraId="04C2E4AD" w14:textId="77777777" w:rsidR="002778DA" w:rsidRPr="00576AF8" w:rsidRDefault="005E641B" w:rsidP="00010E6E">
      <w:pPr>
        <w:ind w:left="720" w:right="4" w:hanging="720"/>
      </w:pPr>
      <w:r w:rsidRPr="00576AF8">
        <w:t>(</w:t>
      </w:r>
      <w:r w:rsidR="002778DA" w:rsidRPr="00576AF8">
        <w:t>b)</w:t>
      </w:r>
      <w:r w:rsidR="002778DA" w:rsidRPr="00576AF8">
        <w:tab/>
        <w:t xml:space="preserve">Una confirmación por escrito del Licitante en la cual indique que, si se le adjudica el Contrato, aceptará la responsabilidad de la integración y la interoperabilidad de todas las </w:t>
      </w:r>
      <w:r w:rsidR="00693509" w:rsidRPr="00576AF8">
        <w:t>t</w:t>
      </w:r>
      <w:r w:rsidR="002778DA" w:rsidRPr="00576AF8">
        <w:t xml:space="preserve">ecnologías </w:t>
      </w:r>
      <w:r w:rsidR="0025326B" w:rsidRPr="00576AF8">
        <w:t xml:space="preserve">de la información </w:t>
      </w:r>
      <w:r w:rsidR="002778DA" w:rsidRPr="00576AF8">
        <w:t xml:space="preserve">propuestas comprendidas en el Sistema, como se especifica con más detalle en los </w:t>
      </w:r>
      <w:r w:rsidR="00984DF4" w:rsidRPr="00576AF8">
        <w:t>requisitos técnicos</w:t>
      </w:r>
      <w:r w:rsidR="002778DA" w:rsidRPr="00576AF8">
        <w:t>.</w:t>
      </w:r>
    </w:p>
    <w:p w14:paraId="43CB63B0" w14:textId="77777777" w:rsidR="002778DA" w:rsidRPr="00576AF8" w:rsidRDefault="005E641B" w:rsidP="00010E6E">
      <w:pPr>
        <w:ind w:left="720" w:right="4" w:hanging="720"/>
      </w:pPr>
      <w:r w:rsidRPr="00576AF8">
        <w:t>(</w:t>
      </w:r>
      <w:r w:rsidR="002778DA" w:rsidRPr="00576AF8">
        <w:t>c)</w:t>
      </w:r>
      <w:r w:rsidR="002778DA" w:rsidRPr="00576AF8">
        <w:tab/>
        <w:t xml:space="preserve">Un comentario detallado, artículo por artículo, sobre los </w:t>
      </w:r>
      <w:r w:rsidR="00984DF4" w:rsidRPr="00576AF8">
        <w:t>requisitos técnicos</w:t>
      </w:r>
      <w:r w:rsidR="002778DA" w:rsidRPr="00576AF8">
        <w:t xml:space="preserve">, para demostrar que el diseño global del Sistema y </w:t>
      </w:r>
      <w:r w:rsidR="00693509" w:rsidRPr="00576AF8">
        <w:t xml:space="preserve">de </w:t>
      </w:r>
      <w:r w:rsidR="002778DA" w:rsidRPr="00576AF8">
        <w:t xml:space="preserve">las </w:t>
      </w:r>
      <w:r w:rsidR="00693509" w:rsidRPr="00576AF8">
        <w:t>t</w:t>
      </w:r>
      <w:r w:rsidR="002778DA" w:rsidRPr="00576AF8">
        <w:t xml:space="preserve">ecnologías </w:t>
      </w:r>
      <w:r w:rsidR="0025326B" w:rsidRPr="00576AF8">
        <w:t>de la información</w:t>
      </w:r>
      <w:r w:rsidR="002778DA" w:rsidRPr="00576AF8">
        <w:t xml:space="preserve">, </w:t>
      </w:r>
      <w:r w:rsidR="00693509" w:rsidRPr="00576AF8">
        <w:t xml:space="preserve">y de </w:t>
      </w:r>
      <w:r w:rsidR="002778DA" w:rsidRPr="00576AF8">
        <w:t xml:space="preserve">los </w:t>
      </w:r>
      <w:r w:rsidR="00C85A18" w:rsidRPr="00576AF8">
        <w:t>b</w:t>
      </w:r>
      <w:r w:rsidR="002778DA" w:rsidRPr="00576AF8">
        <w:t xml:space="preserve">ienes y los </w:t>
      </w:r>
      <w:r w:rsidR="00C85A18" w:rsidRPr="00576AF8">
        <w:t>s</w:t>
      </w:r>
      <w:r w:rsidR="002778DA" w:rsidRPr="00576AF8">
        <w:t>ervicios ofrecidos se ajusta sustancialmente a lo exigido</w:t>
      </w:r>
      <w:r w:rsidR="006F4943" w:rsidRPr="00576AF8">
        <w:t xml:space="preserve"> en tales </w:t>
      </w:r>
      <w:r w:rsidR="00984DF4" w:rsidRPr="00576AF8">
        <w:t>requisitos técnicos</w:t>
      </w:r>
      <w:r w:rsidR="006F4943" w:rsidRPr="00576AF8">
        <w:t>.</w:t>
      </w:r>
    </w:p>
    <w:p w14:paraId="6CBC4288" w14:textId="071D211C" w:rsidR="002778DA" w:rsidRDefault="002778DA" w:rsidP="00010E6E">
      <w:pPr>
        <w:ind w:left="720" w:right="4" w:hanging="720"/>
      </w:pPr>
      <w:r w:rsidRPr="00576AF8">
        <w:tab/>
        <w:t xml:space="preserve">Para demostrar que su Oferta se ajusta </w:t>
      </w:r>
      <w:r w:rsidR="00A83F3E" w:rsidRPr="00576AF8">
        <w:t xml:space="preserve">al </w:t>
      </w:r>
      <w:r w:rsidR="00807C34" w:rsidRPr="00576AF8">
        <w:t>documento de licitación</w:t>
      </w:r>
      <w:r w:rsidRPr="00576AF8">
        <w:t xml:space="preserve">, el Licitante deberá utilizar la </w:t>
      </w:r>
      <w:r w:rsidR="00E55BDB" w:rsidRPr="00576AF8">
        <w:t>l</w:t>
      </w:r>
      <w:r w:rsidRPr="00576AF8">
        <w:t xml:space="preserve">ista de </w:t>
      </w:r>
      <w:r w:rsidR="00E55BDB" w:rsidRPr="00576AF8">
        <w:t>c</w:t>
      </w:r>
      <w:r w:rsidRPr="00576AF8">
        <w:t xml:space="preserve">omprobación </w:t>
      </w:r>
      <w:r w:rsidR="00E55BDB" w:rsidRPr="00576AF8">
        <w:t>t</w:t>
      </w:r>
      <w:r w:rsidRPr="00576AF8">
        <w:t>écnica (</w:t>
      </w:r>
      <w:r w:rsidR="00E55BDB" w:rsidRPr="00576AF8">
        <w:t>f</w:t>
      </w:r>
      <w:r w:rsidRPr="00576AF8">
        <w:t>ormato).</w:t>
      </w:r>
      <w:r w:rsidR="00C15E45" w:rsidRPr="00576AF8">
        <w:t xml:space="preserve"> </w:t>
      </w:r>
      <w:r w:rsidRPr="00576AF8">
        <w:t xml:space="preserve">De lo contrario, el riesgo de que la Oferta Técnica del Licitante sea rechazada por no ajustarse </w:t>
      </w:r>
      <w:r w:rsidR="00A83F3E" w:rsidRPr="00576AF8">
        <w:t xml:space="preserve">al </w:t>
      </w:r>
      <w:r w:rsidR="00807C34" w:rsidRPr="00576AF8">
        <w:t>documento de licitación</w:t>
      </w:r>
      <w:r w:rsidRPr="00576AF8">
        <w:t xml:space="preserve"> desde el punto de vista técnico será mucho mayor.</w:t>
      </w:r>
      <w:r w:rsidR="00C15E45" w:rsidRPr="00576AF8">
        <w:t xml:space="preserve"> </w:t>
      </w:r>
      <w:r w:rsidRPr="00576AF8">
        <w:t xml:space="preserve">La </w:t>
      </w:r>
      <w:r w:rsidR="00E55BDB" w:rsidRPr="00576AF8">
        <w:t>l</w:t>
      </w:r>
      <w:r w:rsidRPr="00576AF8">
        <w:t xml:space="preserve">ista de </w:t>
      </w:r>
      <w:r w:rsidR="00E55BDB" w:rsidRPr="00576AF8">
        <w:t>c</w:t>
      </w:r>
      <w:r w:rsidRPr="00576AF8">
        <w:t xml:space="preserve">omprobación </w:t>
      </w:r>
      <w:r w:rsidR="00E55BDB" w:rsidRPr="00576AF8">
        <w:t>t</w:t>
      </w:r>
      <w:r w:rsidRPr="00576AF8">
        <w:t>écnica deberá incluir, entre otras cosas, referencias explícitas a las páginas pertinentes de los materiales de apoyo de la Oferta Técnica del Licitante.</w:t>
      </w:r>
    </w:p>
    <w:p w14:paraId="7FF09F84" w14:textId="77777777" w:rsidR="00AD1DB8" w:rsidRPr="00576AF8" w:rsidRDefault="00AD1DB8" w:rsidP="00010E6E">
      <w:pPr>
        <w:ind w:left="720" w:right="4" w:hanging="720"/>
      </w:pPr>
    </w:p>
    <w:p w14:paraId="0D515551" w14:textId="77777777" w:rsidR="002778DA" w:rsidRPr="00576AF8" w:rsidRDefault="00F772EC" w:rsidP="00010E6E">
      <w:pPr>
        <w:ind w:left="720" w:right="4" w:hanging="720"/>
      </w:pPr>
      <w:r w:rsidRPr="00576AF8">
        <w:rPr>
          <w:b/>
        </w:rPr>
        <w:t>Nota</w:t>
      </w:r>
      <w:r w:rsidR="002778DA" w:rsidRPr="00576AF8">
        <w:t>:</w:t>
      </w:r>
      <w:r w:rsidR="002778DA" w:rsidRPr="00576AF8">
        <w:tab/>
        <w:t xml:space="preserve">Los </w:t>
      </w:r>
      <w:r w:rsidR="00984DF4" w:rsidRPr="00576AF8">
        <w:t>requisitos técnicos</w:t>
      </w:r>
      <w:r w:rsidR="002778DA" w:rsidRPr="00576AF8">
        <w:t xml:space="preserve"> se expresan como requisitos del </w:t>
      </w:r>
      <w:r w:rsidR="002778DA" w:rsidRPr="00576AF8">
        <w:rPr>
          <w:i/>
        </w:rPr>
        <w:t>Proveedor</w:t>
      </w:r>
      <w:r w:rsidR="002778DA" w:rsidRPr="00576AF8">
        <w:t xml:space="preserve"> </w:t>
      </w:r>
      <w:r w:rsidR="00693509" w:rsidRPr="00576AF8">
        <w:t>o</w:t>
      </w:r>
      <w:r w:rsidR="002778DA" w:rsidRPr="00576AF8">
        <w:t xml:space="preserve"> del </w:t>
      </w:r>
      <w:r w:rsidR="002778DA" w:rsidRPr="00576AF8">
        <w:rPr>
          <w:i/>
        </w:rPr>
        <w:t>Sistema</w:t>
      </w:r>
      <w:r w:rsidR="002778DA" w:rsidRPr="00576AF8">
        <w:t>. En la respuesta del Licitante se deberán proporcionar pruebas explícitas para que el equipo de evaluación pueda evaluar la credibilidad de la respuesta.</w:t>
      </w:r>
      <w:r w:rsidR="00C15E45" w:rsidRPr="00576AF8">
        <w:t xml:space="preserve"> </w:t>
      </w:r>
      <w:r w:rsidR="002778DA" w:rsidRPr="00576AF8">
        <w:t>Es poco probable que una respuesta que indique “sí” o “lo haremos” transmita la credibilidad de la respuesta.</w:t>
      </w:r>
      <w:r w:rsidR="00C15E45" w:rsidRPr="00576AF8">
        <w:t xml:space="preserve"> </w:t>
      </w:r>
      <w:r w:rsidR="002778DA" w:rsidRPr="00576AF8">
        <w:t xml:space="preserve">El Licitante deberá indicar </w:t>
      </w:r>
      <w:r w:rsidR="002778DA" w:rsidRPr="00576AF8">
        <w:rPr>
          <w:i/>
        </w:rPr>
        <w:t>que</w:t>
      </w:r>
      <w:r w:rsidR="002778DA" w:rsidRPr="00576AF8">
        <w:t xml:space="preserve"> cumplirá con los requisitos si se le adjudica el contrato, y en la medida en que resulte práctico, </w:t>
      </w:r>
      <w:r w:rsidR="002778DA" w:rsidRPr="00576AF8">
        <w:rPr>
          <w:i/>
        </w:rPr>
        <w:t>la manera</w:t>
      </w:r>
      <w:r w:rsidR="002778DA" w:rsidRPr="00576AF8">
        <w:t xml:space="preserve"> en que lo hará.</w:t>
      </w:r>
      <w:r w:rsidR="00C15E45" w:rsidRPr="00576AF8">
        <w:t xml:space="preserve"> </w:t>
      </w:r>
      <w:r w:rsidR="002778DA" w:rsidRPr="00576AF8">
        <w:t xml:space="preserve">Cuando los requisitos técnicos estén relacionados con características de productos existentes (por ejemplo, equipos o </w:t>
      </w:r>
      <w:r w:rsidRPr="00576AF8">
        <w:t>software</w:t>
      </w:r>
      <w:r w:rsidR="002778DA" w:rsidRPr="00576AF8">
        <w:t xml:space="preserve">), se deben describir las características y hacer referencia a las notas </w:t>
      </w:r>
      <w:r w:rsidR="008E5E1C" w:rsidRPr="00576AF8">
        <w:t xml:space="preserve">o publicaciones </w:t>
      </w:r>
      <w:r w:rsidR="002778DA" w:rsidRPr="00576AF8">
        <w:t>de los productos pertinentes.</w:t>
      </w:r>
      <w:r w:rsidR="00C15E45" w:rsidRPr="00576AF8">
        <w:t xml:space="preserve"> </w:t>
      </w:r>
      <w:r w:rsidR="002778DA" w:rsidRPr="00576AF8">
        <w:t>Cuando los requisitos técnicos estén relacionados con servicios profesionales (por ejemplo, análisis, configuración, integración, capacitación, etc.), se deberá describir la forma en que se prestarán tales servicios, no solo el compromiso de cumplir con el requisito [cortar y pegar].</w:t>
      </w:r>
      <w:r w:rsidR="00C15E45" w:rsidRPr="00576AF8">
        <w:t xml:space="preserve"> </w:t>
      </w:r>
      <w:r w:rsidR="002778DA" w:rsidRPr="00576AF8">
        <w:t>Cuando en un requisito técnico se exige que el Proveedor presente certificaciones (por ejemplo, ISO 9001), se deberán incluir copias de tales certificaciones en la Oferta Técni</w:t>
      </w:r>
      <w:r w:rsidR="006F4943" w:rsidRPr="00576AF8">
        <w:t>ca.</w:t>
      </w:r>
    </w:p>
    <w:p w14:paraId="0442CC49" w14:textId="77777777" w:rsidR="002778DA" w:rsidRPr="00576AF8" w:rsidRDefault="002778DA" w:rsidP="00010E6E">
      <w:pPr>
        <w:ind w:left="720" w:right="4" w:hanging="720"/>
        <w:rPr>
          <w:spacing w:val="-2"/>
        </w:rPr>
      </w:pPr>
      <w:r w:rsidRPr="00576AF8">
        <w:rPr>
          <w:b/>
          <w:spacing w:val="-2"/>
        </w:rPr>
        <w:t>Nota</w:t>
      </w:r>
      <w:r w:rsidRPr="00576AF8">
        <w:rPr>
          <w:spacing w:val="-2"/>
        </w:rPr>
        <w:t>:</w:t>
      </w:r>
      <w:r w:rsidRPr="00576AF8">
        <w:rPr>
          <w:spacing w:val="-2"/>
        </w:rPr>
        <w:tab/>
        <w:t xml:space="preserve">Las </w:t>
      </w:r>
      <w:r w:rsidR="003D4E88" w:rsidRPr="00576AF8">
        <w:rPr>
          <w:spacing w:val="-2"/>
        </w:rPr>
        <w:t>a</w:t>
      </w:r>
      <w:r w:rsidRPr="00576AF8">
        <w:rPr>
          <w:spacing w:val="-2"/>
        </w:rPr>
        <w:t xml:space="preserve">utorizaciones del </w:t>
      </w:r>
      <w:r w:rsidR="003D4E88" w:rsidRPr="00576AF8">
        <w:rPr>
          <w:spacing w:val="-2"/>
        </w:rPr>
        <w:t>f</w:t>
      </w:r>
      <w:r w:rsidRPr="00576AF8">
        <w:rPr>
          <w:spacing w:val="-2"/>
        </w:rPr>
        <w:t xml:space="preserve">abricante (y los </w:t>
      </w:r>
      <w:r w:rsidR="003D4E88" w:rsidRPr="00576AF8">
        <w:rPr>
          <w:spacing w:val="-2"/>
        </w:rPr>
        <w:t>c</w:t>
      </w:r>
      <w:r w:rsidRPr="00576AF8">
        <w:rPr>
          <w:spacing w:val="-2"/>
        </w:rPr>
        <w:t xml:space="preserve">onvenios con </w:t>
      </w:r>
      <w:r w:rsidR="003D4E88" w:rsidRPr="00576AF8">
        <w:rPr>
          <w:spacing w:val="-2"/>
        </w:rPr>
        <w:t>s</w:t>
      </w:r>
      <w:r w:rsidRPr="00576AF8">
        <w:rPr>
          <w:spacing w:val="-2"/>
        </w:rPr>
        <w:t xml:space="preserve">ubcontratistas, si los hubiera) deberán incluirse en el </w:t>
      </w:r>
      <w:r w:rsidR="003D4E88" w:rsidRPr="00576AF8">
        <w:rPr>
          <w:spacing w:val="-2"/>
        </w:rPr>
        <w:t>a</w:t>
      </w:r>
      <w:r w:rsidRPr="00576AF8">
        <w:rPr>
          <w:spacing w:val="-2"/>
        </w:rPr>
        <w:t xml:space="preserve">péndice 2 (Calificaciones del Licitante), de conformidad con la </w:t>
      </w:r>
      <w:r w:rsidR="00884AB4" w:rsidRPr="00576AF8">
        <w:rPr>
          <w:spacing w:val="-2"/>
        </w:rPr>
        <w:t>IAL </w:t>
      </w:r>
      <w:r w:rsidRPr="00576AF8">
        <w:rPr>
          <w:spacing w:val="-2"/>
        </w:rPr>
        <w:t>15.</w:t>
      </w:r>
    </w:p>
    <w:p w14:paraId="11A3C76B" w14:textId="77777777" w:rsidR="002778DA" w:rsidRPr="00576AF8" w:rsidRDefault="002778DA" w:rsidP="00010E6E">
      <w:pPr>
        <w:ind w:left="720" w:right="4" w:hanging="720"/>
      </w:pPr>
      <w:r w:rsidRPr="00576AF8">
        <w:rPr>
          <w:b/>
        </w:rPr>
        <w:lastRenderedPageBreak/>
        <w:t>Nota</w:t>
      </w:r>
      <w:r w:rsidRPr="00576AF8">
        <w:t>:</w:t>
      </w:r>
      <w:r w:rsidRPr="00576AF8">
        <w:tab/>
        <w:t xml:space="preserve">En la práctica, no se podrá adjudicar un Contrato a un Licitante cuya Oferta Técnica se desvíe (significativamente) de los </w:t>
      </w:r>
      <w:r w:rsidR="00984DF4" w:rsidRPr="00576AF8">
        <w:t>requisitos técnicos</w:t>
      </w:r>
      <w:r w:rsidRPr="00576AF8">
        <w:t xml:space="preserve">, </w:t>
      </w:r>
      <w:r w:rsidRPr="00576AF8">
        <w:rPr>
          <w:i/>
        </w:rPr>
        <w:t xml:space="preserve">con respecto a cualquier </w:t>
      </w:r>
      <w:r w:rsidR="008E5E1C" w:rsidRPr="00576AF8">
        <w:rPr>
          <w:i/>
        </w:rPr>
        <w:t>r</w:t>
      </w:r>
      <w:r w:rsidRPr="00576AF8">
        <w:rPr>
          <w:i/>
        </w:rPr>
        <w:t xml:space="preserve">equisito </w:t>
      </w:r>
      <w:r w:rsidR="008E5E1C" w:rsidRPr="00576AF8">
        <w:rPr>
          <w:i/>
        </w:rPr>
        <w:t>t</w:t>
      </w:r>
      <w:r w:rsidRPr="00576AF8">
        <w:rPr>
          <w:i/>
        </w:rPr>
        <w:t>écnico</w:t>
      </w:r>
      <w:r w:rsidRPr="00576AF8">
        <w:t>.</w:t>
      </w:r>
      <w:r w:rsidR="00C15E45" w:rsidRPr="00576AF8">
        <w:t xml:space="preserve"> </w:t>
      </w:r>
      <w:r w:rsidRPr="00576AF8">
        <w:t>Tales desviaciones incluyen omisiones (por ejemplo, falta de respuesta) y respuestas que no cumplen o superan el requisito.</w:t>
      </w:r>
      <w:r w:rsidR="00C15E45" w:rsidRPr="00576AF8">
        <w:t xml:space="preserve"> </w:t>
      </w:r>
      <w:r w:rsidRPr="00576AF8">
        <w:t xml:space="preserve">Se debe tener especial cuidado al preparar y presentar las respuestas a </w:t>
      </w:r>
      <w:r w:rsidR="00E05481" w:rsidRPr="00576AF8">
        <w:t xml:space="preserve">todos los </w:t>
      </w:r>
      <w:r w:rsidR="00984DF4" w:rsidRPr="00576AF8">
        <w:t>requisitos técnicos</w:t>
      </w:r>
      <w:r w:rsidR="00E05481" w:rsidRPr="00576AF8">
        <w:t>.</w:t>
      </w:r>
    </w:p>
    <w:p w14:paraId="5325FE81" w14:textId="77777777" w:rsidR="002778DA" w:rsidRPr="00576AF8" w:rsidRDefault="005E641B" w:rsidP="00010E6E">
      <w:pPr>
        <w:ind w:left="720" w:right="4" w:hanging="720"/>
      </w:pPr>
      <w:r w:rsidRPr="00576AF8">
        <w:t>(</w:t>
      </w:r>
      <w:r w:rsidR="002778DA" w:rsidRPr="00576AF8">
        <w:t>d)</w:t>
      </w:r>
      <w:r w:rsidR="002778DA" w:rsidRPr="00576AF8">
        <w:tab/>
        <w:t xml:space="preserve">Materiales de apoyo para respaldar el comentario detallado, artículo por artículo, sobre los </w:t>
      </w:r>
      <w:r w:rsidR="00984DF4" w:rsidRPr="00576AF8">
        <w:t>requisitos técnicos</w:t>
      </w:r>
      <w:r w:rsidR="002778DA" w:rsidRPr="00576AF8">
        <w:t xml:space="preserve"> (por ejemplo, notas o publicaciones de los productos, </w:t>
      </w:r>
      <w:r w:rsidR="002F594D" w:rsidRPr="00576AF8">
        <w:t xml:space="preserve">documentos informativos, </w:t>
      </w:r>
      <w:r w:rsidR="002778DA" w:rsidRPr="00576AF8">
        <w:t>descripciones de los enfoques técnicos que se han de emplear, etc.).</w:t>
      </w:r>
      <w:r w:rsidR="00C15E45" w:rsidRPr="00576AF8">
        <w:t xml:space="preserve"> </w:t>
      </w:r>
      <w:r w:rsidR="002778DA" w:rsidRPr="00576AF8">
        <w:t>A fin de que la evaluación de Ofertas y la adjudicación de Contratos se realicen de forma oportuna, se recomienda a los Licitantes que no recarguen los materiales de apoyo con documentos que no estén directamente relacionados con l</w:t>
      </w:r>
      <w:r w:rsidR="00E05481" w:rsidRPr="00576AF8">
        <w:t>os requisitos del Comprador.</w:t>
      </w:r>
    </w:p>
    <w:p w14:paraId="73A18243" w14:textId="77777777" w:rsidR="002778DA" w:rsidRPr="00576AF8" w:rsidRDefault="005E641B" w:rsidP="00010E6E">
      <w:pPr>
        <w:ind w:left="720" w:right="4" w:hanging="720"/>
      </w:pPr>
      <w:r w:rsidRPr="00576AF8">
        <w:t>(</w:t>
      </w:r>
      <w:r w:rsidR="002778DA" w:rsidRPr="00576AF8">
        <w:t>e)</w:t>
      </w:r>
      <w:r w:rsidR="002778DA" w:rsidRPr="00576AF8">
        <w:tab/>
        <w:t xml:space="preserve">Todo contrato separado y exigible </w:t>
      </w:r>
      <w:r w:rsidR="002F594D" w:rsidRPr="00576AF8">
        <w:t>por p</w:t>
      </w:r>
      <w:r w:rsidR="002778DA" w:rsidRPr="00576AF8">
        <w:t xml:space="preserve">artidas de </w:t>
      </w:r>
      <w:r w:rsidR="002F594D" w:rsidRPr="00576AF8">
        <w:t>g</w:t>
      </w:r>
      <w:r w:rsidR="002778DA" w:rsidRPr="00576AF8">
        <w:t xml:space="preserve">astos </w:t>
      </w:r>
      <w:r w:rsidR="00AF5510" w:rsidRPr="00576AF8">
        <w:t>recurrentes</w:t>
      </w:r>
      <w:r w:rsidR="002778DA" w:rsidRPr="00576AF8">
        <w:t xml:space="preserve"> para el que los Licitantes deban presentar Ofertas de conformidad con la </w:t>
      </w:r>
      <w:r w:rsidR="00884AB4" w:rsidRPr="00576AF8">
        <w:t>IAL</w:t>
      </w:r>
      <w:r w:rsidR="002778DA" w:rsidRPr="00576AF8">
        <w:t xml:space="preserve"> 17.2 de los DDL.</w:t>
      </w:r>
    </w:p>
    <w:p w14:paraId="160F37A8" w14:textId="77777777" w:rsidR="002778DA" w:rsidRPr="00576AF8" w:rsidRDefault="002778DA" w:rsidP="00010E6E">
      <w:pPr>
        <w:ind w:left="720" w:right="4" w:hanging="720"/>
      </w:pPr>
    </w:p>
    <w:p w14:paraId="60D6F07C" w14:textId="77777777" w:rsidR="002778DA" w:rsidRPr="00576AF8" w:rsidRDefault="002778DA" w:rsidP="00010E6E">
      <w:pPr>
        <w:ind w:left="720" w:right="4" w:hanging="720"/>
      </w:pPr>
      <w:r w:rsidRPr="00576AF8">
        <w:rPr>
          <w:b/>
        </w:rPr>
        <w:t>Nota</w:t>
      </w:r>
      <w:r w:rsidRPr="00576AF8">
        <w:t>:</w:t>
      </w:r>
      <w:r w:rsidRPr="00576AF8">
        <w:tab/>
        <w:t xml:space="preserve">Para facilitar la evaluación de Ofertas y la adjudicación de Contratos, se recomienda a los Licitantes que presenten copias electrónicas de su Oferta Técnica, preferentemente en un formato del cual el equipo de evaluación pueda extraer texto, a fin de simplificar el proceso de aclaración de las Ofertas y la preparación del </w:t>
      </w:r>
      <w:r w:rsidR="002F594D" w:rsidRPr="00576AF8">
        <w:t>i</w:t>
      </w:r>
      <w:r w:rsidRPr="00576AF8">
        <w:t xml:space="preserve">nforme de </w:t>
      </w:r>
      <w:r w:rsidR="002F594D" w:rsidRPr="00576AF8">
        <w:t>e</w:t>
      </w:r>
      <w:r w:rsidRPr="00576AF8">
        <w:t>valuación de la Oferta.</w:t>
      </w:r>
    </w:p>
    <w:p w14:paraId="30D4B7B0" w14:textId="77777777" w:rsidR="002778DA" w:rsidRPr="00576AF8" w:rsidRDefault="002778DA" w:rsidP="00010E6E">
      <w:pPr>
        <w:ind w:left="720" w:right="4" w:hanging="720"/>
      </w:pPr>
    </w:p>
    <w:p w14:paraId="6B97B154" w14:textId="77777777" w:rsidR="002778DA" w:rsidRPr="00576AF8" w:rsidRDefault="002778DA" w:rsidP="00010E6E">
      <w:pPr>
        <w:suppressAutoHyphens w:val="0"/>
        <w:spacing w:after="0"/>
        <w:ind w:right="4"/>
        <w:jc w:val="left"/>
      </w:pPr>
      <w:r w:rsidRPr="00576AF8">
        <w:br w:type="page"/>
      </w:r>
    </w:p>
    <w:p w14:paraId="357ACDEA" w14:textId="77777777" w:rsidR="002778DA" w:rsidRPr="00576AF8" w:rsidRDefault="002778DA" w:rsidP="00EC446C">
      <w:pPr>
        <w:ind w:right="4"/>
      </w:pPr>
    </w:p>
    <w:p w14:paraId="433A6126" w14:textId="77777777" w:rsidR="002778DA" w:rsidRPr="00576AF8" w:rsidRDefault="002778DA" w:rsidP="00EC446C">
      <w:pPr>
        <w:pStyle w:val="Head32"/>
        <w:ind w:right="4"/>
      </w:pPr>
      <w:bookmarkStart w:id="510" w:name="_Toc521498282"/>
      <w:bookmarkStart w:id="511" w:name="_Toc207771490"/>
      <w:bookmarkStart w:id="512" w:name="_Toc218673995"/>
      <w:bookmarkStart w:id="513" w:name="_Toc277345620"/>
      <w:r w:rsidRPr="00576AF8">
        <w:tab/>
        <w:t xml:space="preserve">Lista de </w:t>
      </w:r>
      <w:r w:rsidR="005E641B" w:rsidRPr="00576AF8">
        <w:t>Comprobación T</w:t>
      </w:r>
      <w:r w:rsidRPr="00576AF8">
        <w:t>écnica</w:t>
      </w:r>
      <w:bookmarkEnd w:id="510"/>
      <w:bookmarkEnd w:id="511"/>
      <w:bookmarkEnd w:id="512"/>
      <w:r w:rsidRPr="00576AF8">
        <w:t xml:space="preserve"> (</w:t>
      </w:r>
      <w:r w:rsidR="00E55BDB" w:rsidRPr="00576AF8">
        <w:t>f</w:t>
      </w:r>
      <w:r w:rsidRPr="00576AF8">
        <w:t>ormato)</w:t>
      </w:r>
      <w:bookmarkEnd w:id="513"/>
    </w:p>
    <w:p w14:paraId="4E530234" w14:textId="77777777" w:rsidR="00A94442" w:rsidRDefault="00A94442" w:rsidP="00EC446C">
      <w:pPr>
        <w:ind w:right="4"/>
        <w:rPr>
          <w:sz w:val="22"/>
        </w:rPr>
      </w:pPr>
    </w:p>
    <w:p w14:paraId="53618A92" w14:textId="4A984319" w:rsidR="002778DA" w:rsidRPr="00A94442" w:rsidRDefault="00A94442" w:rsidP="00EC446C">
      <w:pPr>
        <w:ind w:right="4"/>
        <w:rPr>
          <w:i/>
          <w:iCs/>
          <w:color w:val="548DD4" w:themeColor="text2" w:themeTint="99"/>
          <w:sz w:val="22"/>
        </w:rPr>
      </w:pPr>
      <w:r w:rsidRPr="00A94442">
        <w:rPr>
          <w:i/>
          <w:iCs/>
          <w:color w:val="548DD4" w:themeColor="text2" w:themeTint="99"/>
          <w:sz w:val="22"/>
        </w:rPr>
        <w:t>(El formato que se deberá utilizar es el que consta en el Anexo Lista de Comrpobación Técnica)</w:t>
      </w:r>
    </w:p>
    <w:p w14:paraId="600DD635" w14:textId="77777777" w:rsidR="002778DA" w:rsidRPr="00576AF8" w:rsidRDefault="002778DA" w:rsidP="00EC446C">
      <w:pPr>
        <w:suppressAutoHyphens w:val="0"/>
        <w:spacing w:after="0"/>
        <w:ind w:right="4"/>
        <w:jc w:val="left"/>
        <w:rPr>
          <w:b/>
          <w:i/>
          <w:sz w:val="32"/>
        </w:rPr>
      </w:pPr>
    </w:p>
    <w:p w14:paraId="0DDFA0EC" w14:textId="77777777" w:rsidR="002778DA" w:rsidRPr="00576AF8" w:rsidRDefault="002778DA" w:rsidP="00EC446C">
      <w:pPr>
        <w:suppressAutoHyphens w:val="0"/>
        <w:spacing w:after="0"/>
        <w:ind w:right="4"/>
        <w:jc w:val="left"/>
        <w:rPr>
          <w:b/>
          <w:i/>
          <w:sz w:val="32"/>
        </w:rPr>
      </w:pPr>
      <w:r w:rsidRPr="00576AF8">
        <w:br w:type="page"/>
      </w:r>
    </w:p>
    <w:p w14:paraId="572D4644" w14:textId="77777777" w:rsidR="00580092" w:rsidRPr="00576AF8" w:rsidRDefault="00F772EC" w:rsidP="00EC446C">
      <w:pPr>
        <w:jc w:val="center"/>
        <w:rPr>
          <w:b/>
          <w:sz w:val="36"/>
        </w:rPr>
      </w:pPr>
      <w:r w:rsidRPr="00576AF8">
        <w:rPr>
          <w:b/>
          <w:sz w:val="36"/>
        </w:rPr>
        <w:lastRenderedPageBreak/>
        <w:t xml:space="preserve">Formulario de </w:t>
      </w:r>
      <w:r w:rsidR="005E641B" w:rsidRPr="00576AF8">
        <w:rPr>
          <w:b/>
          <w:sz w:val="36"/>
        </w:rPr>
        <w:t>G</w:t>
      </w:r>
      <w:r w:rsidRPr="00576AF8">
        <w:rPr>
          <w:b/>
          <w:sz w:val="36"/>
        </w:rPr>
        <w:t xml:space="preserve">arantía de </w:t>
      </w:r>
      <w:r w:rsidR="005E641B" w:rsidRPr="00576AF8">
        <w:rPr>
          <w:b/>
          <w:sz w:val="36"/>
        </w:rPr>
        <w:t>M</w:t>
      </w:r>
      <w:r w:rsidRPr="00576AF8">
        <w:rPr>
          <w:b/>
          <w:sz w:val="36"/>
        </w:rPr>
        <w:t xml:space="preserve">antenimiento de la Oferta </w:t>
      </w:r>
      <w:r w:rsidR="00EC446C" w:rsidRPr="00576AF8">
        <w:rPr>
          <w:b/>
          <w:sz w:val="36"/>
        </w:rPr>
        <w:t xml:space="preserve">- </w:t>
      </w:r>
      <w:r w:rsidRPr="00576AF8">
        <w:rPr>
          <w:b/>
          <w:sz w:val="36"/>
        </w:rPr>
        <w:t xml:space="preserve">Garantía </w:t>
      </w:r>
      <w:r w:rsidR="005E641B" w:rsidRPr="00576AF8">
        <w:rPr>
          <w:b/>
          <w:sz w:val="36"/>
        </w:rPr>
        <w:t>Bancaria</w:t>
      </w:r>
      <w:r w:rsidR="0043323C" w:rsidRPr="00576AF8">
        <w:rPr>
          <w:b/>
          <w:sz w:val="36"/>
        </w:rPr>
        <w:t xml:space="preserve"> (NO APLICA)</w:t>
      </w:r>
    </w:p>
    <w:p w14:paraId="7EED71F2" w14:textId="77777777" w:rsidR="00D230E8" w:rsidRPr="00576AF8" w:rsidRDefault="00D230E8" w:rsidP="00D230E8">
      <w:pPr>
        <w:suppressAutoHyphens w:val="0"/>
        <w:spacing w:after="0"/>
        <w:jc w:val="left"/>
        <w:rPr>
          <w:i/>
          <w:iCs/>
        </w:rPr>
      </w:pPr>
      <w:r w:rsidRPr="00576AF8">
        <w:rPr>
          <w:i/>
        </w:rPr>
        <w:t xml:space="preserve">[El banco completará este </w:t>
      </w:r>
      <w:r w:rsidR="0086075C" w:rsidRPr="00576AF8">
        <w:rPr>
          <w:i/>
        </w:rPr>
        <w:t>f</w:t>
      </w:r>
      <w:r w:rsidRPr="00576AF8">
        <w:rPr>
          <w:i/>
        </w:rPr>
        <w:t xml:space="preserve">ormulario de </w:t>
      </w:r>
      <w:r w:rsidR="00984DF4" w:rsidRPr="00576AF8">
        <w:rPr>
          <w:i/>
        </w:rPr>
        <w:t>garantía</w:t>
      </w:r>
      <w:r w:rsidRPr="00576AF8">
        <w:rPr>
          <w:i/>
        </w:rPr>
        <w:t xml:space="preserve"> </w:t>
      </w:r>
      <w:r w:rsidR="0086075C" w:rsidRPr="00576AF8">
        <w:rPr>
          <w:i/>
        </w:rPr>
        <w:t>b</w:t>
      </w:r>
      <w:r w:rsidRPr="00576AF8">
        <w:rPr>
          <w:i/>
        </w:rPr>
        <w:t>ancaria según las instrucciones indicadas].</w:t>
      </w:r>
    </w:p>
    <w:p w14:paraId="7639498C" w14:textId="77777777" w:rsidR="00D230E8" w:rsidRPr="00576AF8" w:rsidRDefault="003732C2" w:rsidP="00EC446C">
      <w:pPr>
        <w:suppressAutoHyphens w:val="0"/>
        <w:spacing w:before="100" w:beforeAutospacing="1" w:after="100" w:afterAutospacing="1"/>
        <w:rPr>
          <w:rFonts w:eastAsia="Arial Unicode MS"/>
          <w:i/>
          <w:iCs/>
          <w:szCs w:val="24"/>
        </w:rPr>
      </w:pPr>
      <w:r w:rsidRPr="00576AF8">
        <w:rPr>
          <w:i/>
        </w:rPr>
        <w:t xml:space="preserve">[Membrete del </w:t>
      </w:r>
      <w:r w:rsidR="0086075C" w:rsidRPr="00576AF8">
        <w:rPr>
          <w:i/>
        </w:rPr>
        <w:t>G</w:t>
      </w:r>
      <w:r w:rsidRPr="00576AF8">
        <w:rPr>
          <w:i/>
        </w:rPr>
        <w:t>arante o código de identificación SWIFT]</w:t>
      </w:r>
    </w:p>
    <w:p w14:paraId="0EC76AC9" w14:textId="77777777" w:rsidR="00580092" w:rsidRPr="00576AF8" w:rsidRDefault="00580092" w:rsidP="00EC446C">
      <w:r w:rsidRPr="00576AF8">
        <w:t>__________________________</w:t>
      </w:r>
      <w:r w:rsidR="00C15E45" w:rsidRPr="00576AF8">
        <w:t xml:space="preserve"> </w:t>
      </w:r>
    </w:p>
    <w:p w14:paraId="13585C4A" w14:textId="77777777" w:rsidR="00580092" w:rsidRPr="00576AF8" w:rsidRDefault="00E05481"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b/>
        </w:rPr>
        <w:t xml:space="preserve">Beneficiario: </w:t>
      </w:r>
      <w:r w:rsidR="00580092" w:rsidRPr="00576AF8">
        <w:rPr>
          <w:rFonts w:ascii="Times New Roman" w:hAnsi="Times New Roman" w:cs="Times New Roman"/>
          <w:i/>
        </w:rPr>
        <w:t>[</w:t>
      </w:r>
      <w:r w:rsidR="0086075C" w:rsidRPr="00576AF8">
        <w:rPr>
          <w:rFonts w:ascii="Times New Roman" w:hAnsi="Times New Roman" w:cs="Times New Roman"/>
          <w:i/>
        </w:rPr>
        <w:t>e</w:t>
      </w:r>
      <w:r w:rsidR="00580092" w:rsidRPr="00576AF8">
        <w:rPr>
          <w:rFonts w:ascii="Times New Roman" w:hAnsi="Times New Roman" w:cs="Times New Roman"/>
          <w:i/>
        </w:rPr>
        <w:t>l Comprador debe indicar su nombre y dirección]</w:t>
      </w:r>
      <w:r w:rsidR="00580092" w:rsidRPr="00576AF8">
        <w:rPr>
          <w:rFonts w:ascii="Times New Roman" w:hAnsi="Times New Roman" w:cs="Times New Roman"/>
        </w:rPr>
        <w:t xml:space="preserve"> _________________________ </w:t>
      </w:r>
    </w:p>
    <w:p w14:paraId="3FD9505C" w14:textId="77777777" w:rsidR="00AB5C5A" w:rsidRPr="00576AF8" w:rsidRDefault="00BB2041" w:rsidP="00EC446C">
      <w:pPr>
        <w:suppressAutoHyphens w:val="0"/>
        <w:spacing w:before="100" w:beforeAutospacing="1" w:after="100" w:afterAutospacing="1"/>
        <w:rPr>
          <w:rFonts w:eastAsia="Arial Unicode MS"/>
          <w:i/>
          <w:iCs/>
          <w:szCs w:val="24"/>
        </w:rPr>
      </w:pPr>
      <w:r w:rsidRPr="00576AF8">
        <w:rPr>
          <w:b/>
        </w:rPr>
        <w:t xml:space="preserve">SDO </w:t>
      </w:r>
      <w:r w:rsidR="00E56FB6" w:rsidRPr="00576AF8">
        <w:rPr>
          <w:b/>
        </w:rPr>
        <w:t>n.º:</w:t>
      </w:r>
      <w:r w:rsidR="00C15E45" w:rsidRPr="00576AF8">
        <w:rPr>
          <w:b/>
        </w:rPr>
        <w:t xml:space="preserve"> </w:t>
      </w:r>
      <w:r w:rsidR="00E56FB6" w:rsidRPr="00576AF8">
        <w:rPr>
          <w:i/>
        </w:rPr>
        <w:t>[</w:t>
      </w:r>
      <w:r w:rsidR="0086075C" w:rsidRPr="00576AF8">
        <w:rPr>
          <w:i/>
        </w:rPr>
        <w:t>e</w:t>
      </w:r>
      <w:r w:rsidR="00E56FB6" w:rsidRPr="00576AF8">
        <w:rPr>
          <w:i/>
        </w:rPr>
        <w:t>l Comprador debe indicar el número de referencia de</w:t>
      </w:r>
      <w:r w:rsidR="00EF72A3" w:rsidRPr="00576AF8">
        <w:rPr>
          <w:i/>
        </w:rPr>
        <w:t xml:space="preserve"> la </w:t>
      </w:r>
      <w:r w:rsidRPr="00576AF8">
        <w:rPr>
          <w:i/>
        </w:rPr>
        <w:t>Solicitud de Ofertas (SDO)</w:t>
      </w:r>
      <w:r w:rsidR="00E56FB6" w:rsidRPr="00576AF8">
        <w:rPr>
          <w:i/>
        </w:rPr>
        <w:t>]</w:t>
      </w:r>
    </w:p>
    <w:p w14:paraId="0EECAC39" w14:textId="77777777" w:rsidR="00AB5C5A" w:rsidRPr="00576AF8" w:rsidRDefault="00AB5C5A" w:rsidP="00EC446C">
      <w:pPr>
        <w:suppressAutoHyphens w:val="0"/>
        <w:spacing w:before="100" w:beforeAutospacing="1" w:after="100" w:afterAutospacing="1"/>
        <w:rPr>
          <w:rFonts w:eastAsia="Arial Unicode MS"/>
          <w:i/>
          <w:iCs/>
          <w:szCs w:val="24"/>
        </w:rPr>
      </w:pPr>
      <w:r w:rsidRPr="00576AF8">
        <w:rPr>
          <w:b/>
        </w:rPr>
        <w:t>Alternativa n.º:</w:t>
      </w:r>
      <w:r w:rsidRPr="00576AF8">
        <w:rPr>
          <w:i/>
        </w:rPr>
        <w:t xml:space="preserve"> [</w:t>
      </w:r>
      <w:r w:rsidR="0086075C" w:rsidRPr="00576AF8">
        <w:rPr>
          <w:i/>
        </w:rPr>
        <w:t>i</w:t>
      </w:r>
      <w:r w:rsidRPr="00576AF8">
        <w:rPr>
          <w:i/>
        </w:rPr>
        <w:t>ndique el n.° de identificación si se trata de una Oferta para una alternativa]</w:t>
      </w:r>
    </w:p>
    <w:p w14:paraId="2897AF2C" w14:textId="77777777" w:rsidR="00580092" w:rsidRPr="00576AF8" w:rsidRDefault="00580092"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b/>
        </w:rPr>
        <w:t>Fecha:</w:t>
      </w:r>
      <w:r w:rsidR="00C15E45" w:rsidRPr="00576AF8">
        <w:rPr>
          <w:rFonts w:ascii="Times New Roman" w:hAnsi="Times New Roman" w:cs="Times New Roman"/>
        </w:rPr>
        <w:t xml:space="preserve"> </w:t>
      </w:r>
      <w:r w:rsidRPr="00576AF8">
        <w:rPr>
          <w:rFonts w:ascii="Times New Roman" w:hAnsi="Times New Roman" w:cs="Times New Roman"/>
        </w:rPr>
        <w:t>____</w:t>
      </w:r>
      <w:proofErr w:type="gramStart"/>
      <w:r w:rsidRPr="00576AF8">
        <w:rPr>
          <w:rFonts w:ascii="Times New Roman" w:hAnsi="Times New Roman" w:cs="Times New Roman"/>
        </w:rPr>
        <w:t>_</w:t>
      </w:r>
      <w:r w:rsidRPr="00576AF8">
        <w:rPr>
          <w:rFonts w:ascii="Times New Roman" w:hAnsi="Times New Roman" w:cs="Times New Roman"/>
          <w:i/>
        </w:rPr>
        <w:t>[</w:t>
      </w:r>
      <w:proofErr w:type="gramEnd"/>
      <w:r w:rsidRPr="00576AF8">
        <w:rPr>
          <w:rFonts w:ascii="Times New Roman" w:hAnsi="Times New Roman" w:cs="Times New Roman"/>
          <w:i/>
        </w:rPr>
        <w:t>indique la fecha de emisión]</w:t>
      </w:r>
      <w:r w:rsidRPr="00576AF8">
        <w:rPr>
          <w:rFonts w:ascii="Times New Roman" w:hAnsi="Times New Roman" w:cs="Times New Roman"/>
        </w:rPr>
        <w:t xml:space="preserve"> ____________________ </w:t>
      </w:r>
    </w:p>
    <w:p w14:paraId="5E27E1C1" w14:textId="77777777" w:rsidR="00580092" w:rsidRPr="00576AF8" w:rsidRDefault="00580092"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b/>
        </w:rPr>
        <w:t>GARANTÍA DE LA OFERTA n.º:</w:t>
      </w:r>
      <w:r w:rsidRPr="00576AF8">
        <w:rPr>
          <w:rFonts w:ascii="Times New Roman" w:hAnsi="Times New Roman" w:cs="Times New Roman"/>
        </w:rPr>
        <w:t xml:space="preserve"> </w:t>
      </w:r>
      <w:r w:rsidRPr="00576AF8">
        <w:rPr>
          <w:rFonts w:ascii="Times New Roman" w:hAnsi="Times New Roman" w:cs="Times New Roman"/>
          <w:i/>
        </w:rPr>
        <w:t>[indique el número de referencia de la garantía]</w:t>
      </w:r>
      <w:r w:rsidR="00EC446C" w:rsidRPr="00576AF8">
        <w:rPr>
          <w:rFonts w:ascii="Times New Roman" w:hAnsi="Times New Roman" w:cs="Times New Roman"/>
        </w:rPr>
        <w:t>___</w:t>
      </w:r>
      <w:r w:rsidRPr="00576AF8">
        <w:rPr>
          <w:rFonts w:ascii="Times New Roman" w:hAnsi="Times New Roman" w:cs="Times New Roman"/>
        </w:rPr>
        <w:t xml:space="preserve">_______ </w:t>
      </w:r>
    </w:p>
    <w:p w14:paraId="3B0CA0D9" w14:textId="77777777" w:rsidR="00580092" w:rsidRPr="00576AF8" w:rsidRDefault="00580092"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rPr>
        <w:t xml:space="preserve">Se nos ha informado que ______ </w:t>
      </w:r>
      <w:r w:rsidRPr="00576AF8">
        <w:rPr>
          <w:rFonts w:ascii="Times New Roman" w:hAnsi="Times New Roman" w:cs="Times New Roman"/>
          <w:i/>
          <w:iCs/>
        </w:rPr>
        <w:t xml:space="preserve">[indique el nombre del Licitante; si se trata de una </w:t>
      </w:r>
      <w:r w:rsidR="000107E9" w:rsidRPr="00576AF8">
        <w:rPr>
          <w:rFonts w:ascii="Times New Roman" w:hAnsi="Times New Roman" w:cs="Times New Roman"/>
          <w:i/>
          <w:iCs/>
        </w:rPr>
        <w:t>APCA</w:t>
      </w:r>
      <w:r w:rsidR="001D12C1" w:rsidRPr="00576AF8">
        <w:rPr>
          <w:rFonts w:ascii="Times New Roman" w:hAnsi="Times New Roman" w:cs="Times New Roman"/>
          <w:i/>
          <w:iCs/>
        </w:rPr>
        <w:t xml:space="preserve"> (legalmente constituida o por constituir)</w:t>
      </w:r>
      <w:r w:rsidRPr="00576AF8">
        <w:rPr>
          <w:rFonts w:ascii="Times New Roman" w:hAnsi="Times New Roman" w:cs="Times New Roman"/>
          <w:i/>
          <w:iCs/>
        </w:rPr>
        <w:t xml:space="preserve">, será el nombre de </w:t>
      </w:r>
      <w:r w:rsidR="001D12C1" w:rsidRPr="00576AF8">
        <w:rPr>
          <w:rFonts w:ascii="Times New Roman" w:hAnsi="Times New Roman" w:cs="Times New Roman"/>
          <w:i/>
          <w:iCs/>
        </w:rPr>
        <w:t xml:space="preserve">esta </w:t>
      </w:r>
      <w:r w:rsidRPr="00576AF8">
        <w:rPr>
          <w:rFonts w:ascii="Times New Roman" w:hAnsi="Times New Roman" w:cs="Times New Roman"/>
          <w:i/>
          <w:iCs/>
        </w:rPr>
        <w:t xml:space="preserve">o los nombres de todos sus miembros] </w:t>
      </w:r>
      <w:r w:rsidR="00EC446C" w:rsidRPr="00576AF8">
        <w:rPr>
          <w:rFonts w:ascii="Times New Roman" w:hAnsi="Times New Roman" w:cs="Times New Roman"/>
          <w:i/>
          <w:iCs/>
        </w:rPr>
        <w:t xml:space="preserve">______________________ </w:t>
      </w:r>
      <w:r w:rsidRPr="00576AF8">
        <w:rPr>
          <w:rFonts w:ascii="Times New Roman" w:hAnsi="Times New Roman" w:cs="Times New Roman"/>
        </w:rPr>
        <w:t>(en adelante, el “Postulante”)</w:t>
      </w:r>
      <w:r w:rsidR="00984DF4" w:rsidRPr="00576AF8">
        <w:rPr>
          <w:rFonts w:ascii="Times New Roman" w:hAnsi="Times New Roman" w:cs="Times New Roman"/>
        </w:rPr>
        <w:t xml:space="preserve"> ha presentado o presentará al b</w:t>
      </w:r>
      <w:r w:rsidRPr="00576AF8">
        <w:rPr>
          <w:rFonts w:ascii="Times New Roman" w:hAnsi="Times New Roman" w:cs="Times New Roman"/>
        </w:rPr>
        <w:t xml:space="preserve">eneficiario su oferta </w:t>
      </w:r>
      <w:r w:rsidR="00EC446C" w:rsidRPr="00576AF8">
        <w:rPr>
          <w:rFonts w:ascii="Times New Roman" w:hAnsi="Times New Roman" w:cs="Times New Roman"/>
        </w:rPr>
        <w:t xml:space="preserve">________ </w:t>
      </w:r>
      <w:r w:rsidRPr="00576AF8">
        <w:rPr>
          <w:rFonts w:ascii="Times New Roman" w:hAnsi="Times New Roman" w:cs="Times New Roman"/>
        </w:rPr>
        <w:t>(en adelante, la “Oferta”) para</w:t>
      </w:r>
      <w:r w:rsidR="00EC446C" w:rsidRPr="00576AF8">
        <w:rPr>
          <w:rFonts w:ascii="Times New Roman" w:hAnsi="Times New Roman" w:cs="Times New Roman"/>
        </w:rPr>
        <w:t xml:space="preserve"> la celebración de __________</w:t>
      </w:r>
      <w:r w:rsidRPr="00576AF8">
        <w:rPr>
          <w:rFonts w:ascii="Times New Roman" w:hAnsi="Times New Roman" w:cs="Times New Roman"/>
        </w:rPr>
        <w:t xml:space="preserve">___ en virtud de la </w:t>
      </w:r>
      <w:r w:rsidR="00BB2041" w:rsidRPr="00576AF8">
        <w:rPr>
          <w:rFonts w:ascii="Times New Roman" w:hAnsi="Times New Roman" w:cs="Times New Roman"/>
        </w:rPr>
        <w:t>Solicitud de Ofertas (SDO) </w:t>
      </w:r>
      <w:r w:rsidR="00E05481" w:rsidRPr="00576AF8">
        <w:rPr>
          <w:rFonts w:ascii="Times New Roman" w:hAnsi="Times New Roman" w:cs="Times New Roman"/>
        </w:rPr>
        <w:t>n.º ____________ (la “</w:t>
      </w:r>
      <w:r w:rsidR="0046742A" w:rsidRPr="00576AF8">
        <w:rPr>
          <w:rFonts w:ascii="Times New Roman" w:hAnsi="Times New Roman" w:cs="Times New Roman"/>
        </w:rPr>
        <w:t>licitación</w:t>
      </w:r>
      <w:r w:rsidR="00E05481" w:rsidRPr="00576AF8">
        <w:rPr>
          <w:rFonts w:ascii="Times New Roman" w:hAnsi="Times New Roman" w:cs="Times New Roman"/>
        </w:rPr>
        <w:t>”).</w:t>
      </w:r>
    </w:p>
    <w:p w14:paraId="6E8388B5" w14:textId="77777777" w:rsidR="00580092" w:rsidRPr="00576AF8" w:rsidRDefault="00580092"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rPr>
        <w:t xml:space="preserve">Asimismo, entendemos </w:t>
      </w:r>
      <w:r w:rsidR="00984DF4" w:rsidRPr="00576AF8">
        <w:rPr>
          <w:rFonts w:ascii="Times New Roman" w:hAnsi="Times New Roman" w:cs="Times New Roman"/>
        </w:rPr>
        <w:t>que, según las condiciones del beneficiario, una g</w:t>
      </w:r>
      <w:r w:rsidRPr="00576AF8">
        <w:rPr>
          <w:rFonts w:ascii="Times New Roman" w:hAnsi="Times New Roman" w:cs="Times New Roman"/>
        </w:rPr>
        <w:t xml:space="preserve">arantía de </w:t>
      </w:r>
      <w:r w:rsidR="0086075C" w:rsidRPr="00576AF8">
        <w:rPr>
          <w:rFonts w:ascii="Times New Roman" w:hAnsi="Times New Roman" w:cs="Times New Roman"/>
        </w:rPr>
        <w:t>m</w:t>
      </w:r>
      <w:r w:rsidRPr="00576AF8">
        <w:rPr>
          <w:rFonts w:ascii="Times New Roman" w:hAnsi="Times New Roman" w:cs="Times New Roman"/>
        </w:rPr>
        <w:t>antenimiento de la Oferta deberá respaldar la Oferta.</w:t>
      </w:r>
    </w:p>
    <w:p w14:paraId="47208CD4" w14:textId="77777777" w:rsidR="00580092" w:rsidRPr="00576AF8" w:rsidRDefault="00580092"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rPr>
        <w:t>A solicitud del Postu</w:t>
      </w:r>
      <w:r w:rsidR="00984DF4" w:rsidRPr="00576AF8">
        <w:rPr>
          <w:rFonts w:ascii="Times New Roman" w:hAnsi="Times New Roman" w:cs="Times New Roman"/>
        </w:rPr>
        <w:t xml:space="preserve">lante, nosotros, en calidad de </w:t>
      </w:r>
      <w:r w:rsidR="0086075C" w:rsidRPr="00576AF8">
        <w:rPr>
          <w:rFonts w:ascii="Times New Roman" w:hAnsi="Times New Roman" w:cs="Times New Roman"/>
        </w:rPr>
        <w:t>G</w:t>
      </w:r>
      <w:r w:rsidRPr="00576AF8">
        <w:rPr>
          <w:rFonts w:ascii="Times New Roman" w:hAnsi="Times New Roman" w:cs="Times New Roman"/>
        </w:rPr>
        <w:t>arante</w:t>
      </w:r>
      <w:r w:rsidR="001D12C1" w:rsidRPr="00576AF8">
        <w:rPr>
          <w:rFonts w:ascii="Times New Roman" w:hAnsi="Times New Roman" w:cs="Times New Roman"/>
        </w:rPr>
        <w:t>s y</w:t>
      </w:r>
      <w:r w:rsidRPr="00576AF8">
        <w:rPr>
          <w:rFonts w:ascii="Times New Roman" w:hAnsi="Times New Roman" w:cs="Times New Roman"/>
        </w:rPr>
        <w:t xml:space="preserve"> </w:t>
      </w:r>
      <w:r w:rsidR="001D12C1" w:rsidRPr="00576AF8">
        <w:rPr>
          <w:rFonts w:ascii="Times New Roman" w:hAnsi="Times New Roman" w:cs="Times New Roman"/>
        </w:rPr>
        <w:t xml:space="preserve">por medio de la presente </w:t>
      </w:r>
      <w:r w:rsidR="005D1B6B" w:rsidRPr="00576AF8">
        <w:rPr>
          <w:rFonts w:ascii="Times New Roman" w:hAnsi="Times New Roman" w:cs="Times New Roman"/>
        </w:rPr>
        <w:t>g</w:t>
      </w:r>
      <w:r w:rsidR="001D12C1" w:rsidRPr="00576AF8">
        <w:rPr>
          <w:rFonts w:ascii="Times New Roman" w:hAnsi="Times New Roman" w:cs="Times New Roman"/>
        </w:rPr>
        <w:t>arantía</w:t>
      </w:r>
      <w:r w:rsidR="00DF0466" w:rsidRPr="00576AF8">
        <w:rPr>
          <w:rFonts w:ascii="Times New Roman" w:hAnsi="Times New Roman" w:cs="Times New Roman"/>
        </w:rPr>
        <w:t>,</w:t>
      </w:r>
      <w:r w:rsidR="001D12C1" w:rsidRPr="00576AF8">
        <w:rPr>
          <w:rFonts w:ascii="Times New Roman" w:hAnsi="Times New Roman" w:cs="Times New Roman"/>
        </w:rPr>
        <w:t xml:space="preserve"> </w:t>
      </w:r>
      <w:r w:rsidRPr="00576AF8">
        <w:rPr>
          <w:rFonts w:ascii="Times New Roman" w:hAnsi="Times New Roman" w:cs="Times New Roman"/>
        </w:rPr>
        <w:t xml:space="preserve">nos obligamos irrevocablemente a pagar al </w:t>
      </w:r>
      <w:r w:rsidR="00984DF4" w:rsidRPr="00576AF8">
        <w:rPr>
          <w:rFonts w:ascii="Times New Roman" w:hAnsi="Times New Roman" w:cs="Times New Roman"/>
        </w:rPr>
        <w:t>beneficiario</w:t>
      </w:r>
      <w:r w:rsidRPr="00576AF8">
        <w:rPr>
          <w:rFonts w:ascii="Times New Roman" w:hAnsi="Times New Roman" w:cs="Times New Roman"/>
        </w:rPr>
        <w:t xml:space="preserve"> cualquier suma que no exceda un monto total de ___________</w:t>
      </w:r>
      <w:r w:rsidRPr="00576AF8">
        <w:rPr>
          <w:rFonts w:ascii="Times New Roman" w:hAnsi="Times New Roman" w:cs="Times New Roman"/>
          <w:i/>
        </w:rPr>
        <w:t xml:space="preserve"> </w:t>
      </w:r>
      <w:r w:rsidRPr="00576AF8">
        <w:rPr>
          <w:rFonts w:ascii="Times New Roman" w:hAnsi="Times New Roman" w:cs="Times New Roman"/>
        </w:rPr>
        <w:t>(____________)</w:t>
      </w:r>
      <w:r w:rsidRPr="00576AF8">
        <w:rPr>
          <w:rFonts w:ascii="Times New Roman" w:hAnsi="Times New Roman" w:cs="Times New Roman"/>
          <w:i/>
        </w:rPr>
        <w:t xml:space="preserve"> </w:t>
      </w:r>
      <w:r w:rsidRPr="00576AF8">
        <w:rPr>
          <w:rFonts w:ascii="Times New Roman" w:hAnsi="Times New Roman" w:cs="Times New Roman"/>
        </w:rPr>
        <w:t xml:space="preserve">al recibir del </w:t>
      </w:r>
      <w:r w:rsidR="00984DF4" w:rsidRPr="00576AF8">
        <w:rPr>
          <w:rFonts w:ascii="Times New Roman" w:hAnsi="Times New Roman" w:cs="Times New Roman"/>
        </w:rPr>
        <w:t>beneficiario</w:t>
      </w:r>
      <w:r w:rsidRPr="00576AF8">
        <w:rPr>
          <w:rFonts w:ascii="Times New Roman" w:hAnsi="Times New Roman" w:cs="Times New Roman"/>
        </w:rPr>
        <w:t xml:space="preserve">, respaldada por una comunicación escrita, una solicitud donde declare, ya sea en la propia solicitud o en un documento </w:t>
      </w:r>
      <w:r w:rsidR="00EB6598" w:rsidRPr="00576AF8">
        <w:rPr>
          <w:rFonts w:ascii="Times New Roman" w:hAnsi="Times New Roman" w:cs="Times New Roman"/>
        </w:rPr>
        <w:t xml:space="preserve">aparte </w:t>
      </w:r>
      <w:r w:rsidRPr="00576AF8">
        <w:rPr>
          <w:rFonts w:ascii="Times New Roman" w:hAnsi="Times New Roman" w:cs="Times New Roman"/>
        </w:rPr>
        <w:t>firmado que la acompañe, que el Postulante:</w:t>
      </w:r>
    </w:p>
    <w:p w14:paraId="46C76B45" w14:textId="77777777" w:rsidR="00580092" w:rsidRPr="00576AF8" w:rsidRDefault="005E641B" w:rsidP="00EC446C">
      <w:pPr>
        <w:pStyle w:val="NormalWeb"/>
        <w:tabs>
          <w:tab w:val="left" w:pos="1260"/>
        </w:tabs>
        <w:spacing w:before="0" w:beforeAutospacing="0" w:after="200" w:afterAutospacing="0"/>
        <w:ind w:left="1260" w:right="720" w:hanging="540"/>
        <w:rPr>
          <w:rFonts w:ascii="Times New Roman" w:hAnsi="Times New Roman" w:cs="Times New Roman"/>
        </w:rPr>
      </w:pPr>
      <w:r w:rsidRPr="00576AF8">
        <w:rPr>
          <w:rFonts w:ascii="Times New Roman" w:hAnsi="Times New Roman" w:cs="Times New Roman"/>
        </w:rPr>
        <w:t>(</w:t>
      </w:r>
      <w:r w:rsidR="00580092" w:rsidRPr="00576AF8">
        <w:rPr>
          <w:rFonts w:ascii="Times New Roman" w:hAnsi="Times New Roman" w:cs="Times New Roman"/>
        </w:rPr>
        <w:t xml:space="preserve">a) </w:t>
      </w:r>
      <w:r w:rsidR="00580092" w:rsidRPr="00576AF8">
        <w:rPr>
          <w:rFonts w:ascii="Times New Roman" w:hAnsi="Times New Roman" w:cs="Times New Roman"/>
        </w:rPr>
        <w:tab/>
        <w:t xml:space="preserve">ha retirado su Oferta durante el período de validez de la Oferta </w:t>
      </w:r>
      <w:r w:rsidR="0086075C" w:rsidRPr="00576AF8">
        <w:rPr>
          <w:rFonts w:ascii="Times New Roman" w:hAnsi="Times New Roman" w:cs="Times New Roman"/>
        </w:rPr>
        <w:t xml:space="preserve">establecido </w:t>
      </w:r>
      <w:r w:rsidR="00580092" w:rsidRPr="00576AF8">
        <w:rPr>
          <w:rFonts w:ascii="Times New Roman" w:hAnsi="Times New Roman" w:cs="Times New Roman"/>
        </w:rPr>
        <w:t xml:space="preserve">en la </w:t>
      </w:r>
      <w:r w:rsidR="00314214" w:rsidRPr="00576AF8">
        <w:rPr>
          <w:rFonts w:ascii="Times New Roman" w:hAnsi="Times New Roman" w:cs="Times New Roman"/>
        </w:rPr>
        <w:t>c</w:t>
      </w:r>
      <w:r w:rsidR="00580092" w:rsidRPr="00576AF8">
        <w:rPr>
          <w:rFonts w:ascii="Times New Roman" w:hAnsi="Times New Roman" w:cs="Times New Roman"/>
        </w:rPr>
        <w:t xml:space="preserve">arta de la Oferta del Postulante (“el </w:t>
      </w:r>
      <w:r w:rsidR="0086075C" w:rsidRPr="00576AF8">
        <w:rPr>
          <w:rFonts w:ascii="Times New Roman" w:hAnsi="Times New Roman" w:cs="Times New Roman"/>
        </w:rPr>
        <w:t>p</w:t>
      </w:r>
      <w:r w:rsidR="00580092" w:rsidRPr="00576AF8">
        <w:rPr>
          <w:rFonts w:ascii="Times New Roman" w:hAnsi="Times New Roman" w:cs="Times New Roman"/>
        </w:rPr>
        <w:t xml:space="preserve">eríodo de </w:t>
      </w:r>
      <w:r w:rsidR="0086075C" w:rsidRPr="00576AF8">
        <w:rPr>
          <w:rFonts w:ascii="Times New Roman" w:hAnsi="Times New Roman" w:cs="Times New Roman"/>
        </w:rPr>
        <w:t>v</w:t>
      </w:r>
      <w:r w:rsidR="00580092" w:rsidRPr="00576AF8">
        <w:rPr>
          <w:rFonts w:ascii="Times New Roman" w:hAnsi="Times New Roman" w:cs="Times New Roman"/>
        </w:rPr>
        <w:t xml:space="preserve">alidez de la Oferta”), o cualquier prórroga del plazo </w:t>
      </w:r>
      <w:r w:rsidR="005C4D16" w:rsidRPr="00576AF8">
        <w:rPr>
          <w:rFonts w:ascii="Times New Roman" w:hAnsi="Times New Roman" w:cs="Times New Roman"/>
        </w:rPr>
        <w:t xml:space="preserve">dispuesta </w:t>
      </w:r>
      <w:r w:rsidR="00580092" w:rsidRPr="00576AF8">
        <w:rPr>
          <w:rFonts w:ascii="Times New Roman" w:hAnsi="Times New Roman" w:cs="Times New Roman"/>
        </w:rPr>
        <w:t>por el Postulante;</w:t>
      </w:r>
    </w:p>
    <w:p w14:paraId="6B6B1021" w14:textId="77777777" w:rsidR="00580092" w:rsidRPr="00576AF8" w:rsidRDefault="005E641B" w:rsidP="00EC446C">
      <w:pPr>
        <w:pStyle w:val="NormalWeb"/>
        <w:tabs>
          <w:tab w:val="left" w:pos="1260"/>
        </w:tabs>
        <w:spacing w:before="0" w:beforeAutospacing="0" w:after="200" w:afterAutospacing="0"/>
        <w:ind w:left="1260" w:right="720" w:hanging="540"/>
        <w:rPr>
          <w:rFonts w:ascii="Times New Roman" w:hAnsi="Times New Roman" w:cs="Times New Roman"/>
        </w:rPr>
      </w:pPr>
      <w:r w:rsidRPr="00576AF8">
        <w:rPr>
          <w:rFonts w:ascii="Times New Roman" w:hAnsi="Times New Roman" w:cs="Times New Roman"/>
        </w:rPr>
        <w:t>(</w:t>
      </w:r>
      <w:r w:rsidR="00580092" w:rsidRPr="00576AF8">
        <w:rPr>
          <w:rFonts w:ascii="Times New Roman" w:hAnsi="Times New Roman" w:cs="Times New Roman"/>
        </w:rPr>
        <w:t xml:space="preserve">b) </w:t>
      </w:r>
      <w:r w:rsidR="00580092" w:rsidRPr="00576AF8">
        <w:rPr>
          <w:rFonts w:ascii="Times New Roman" w:hAnsi="Times New Roman" w:cs="Times New Roman"/>
        </w:rPr>
        <w:tab/>
        <w:t xml:space="preserve">habiéndole notificado el </w:t>
      </w:r>
      <w:r w:rsidR="00984DF4" w:rsidRPr="00576AF8">
        <w:rPr>
          <w:rFonts w:ascii="Times New Roman" w:hAnsi="Times New Roman" w:cs="Times New Roman"/>
        </w:rPr>
        <w:t>beneficiario</w:t>
      </w:r>
      <w:r w:rsidR="00580092" w:rsidRPr="00576AF8">
        <w:rPr>
          <w:rFonts w:ascii="Times New Roman" w:hAnsi="Times New Roman" w:cs="Times New Roman"/>
        </w:rPr>
        <w:t xml:space="preserve"> de la aceptación de su Oferta dentro del período de validez de la Oferta o cualquier prórroga de este período que el Postulante hubiera establecido: </w:t>
      </w:r>
      <w:r w:rsidR="00284580" w:rsidRPr="00576AF8">
        <w:rPr>
          <w:rFonts w:ascii="Times New Roman" w:hAnsi="Times New Roman" w:cs="Times New Roman"/>
        </w:rPr>
        <w:t>(</w:t>
      </w:r>
      <w:r w:rsidR="00580092" w:rsidRPr="00576AF8">
        <w:rPr>
          <w:rFonts w:ascii="Times New Roman" w:hAnsi="Times New Roman" w:cs="Times New Roman"/>
        </w:rPr>
        <w:t xml:space="preserve">i) no firma el Convenio Contractual, si corresponde, o </w:t>
      </w:r>
      <w:r w:rsidR="00284580" w:rsidRPr="00576AF8">
        <w:rPr>
          <w:rFonts w:ascii="Times New Roman" w:hAnsi="Times New Roman" w:cs="Times New Roman"/>
        </w:rPr>
        <w:t>(</w:t>
      </w:r>
      <w:r w:rsidR="00580092" w:rsidRPr="00576AF8">
        <w:rPr>
          <w:rFonts w:ascii="Times New Roman" w:hAnsi="Times New Roman" w:cs="Times New Roman"/>
        </w:rPr>
        <w:t xml:space="preserve">ii) no suministra la </w:t>
      </w:r>
      <w:r w:rsidR="00984DF4" w:rsidRPr="00576AF8">
        <w:rPr>
          <w:rFonts w:ascii="Times New Roman" w:hAnsi="Times New Roman" w:cs="Times New Roman"/>
        </w:rPr>
        <w:t>garantía</w:t>
      </w:r>
      <w:r w:rsidR="00580092" w:rsidRPr="00576AF8">
        <w:rPr>
          <w:rFonts w:ascii="Times New Roman" w:hAnsi="Times New Roman" w:cs="Times New Roman"/>
        </w:rPr>
        <w:t xml:space="preserve"> de </w:t>
      </w:r>
      <w:r w:rsidR="0010666E" w:rsidRPr="00576AF8">
        <w:rPr>
          <w:rFonts w:ascii="Times New Roman" w:hAnsi="Times New Roman" w:cs="Times New Roman"/>
        </w:rPr>
        <w:t>c</w:t>
      </w:r>
      <w:r w:rsidR="00580092" w:rsidRPr="00576AF8">
        <w:rPr>
          <w:rFonts w:ascii="Times New Roman" w:hAnsi="Times New Roman" w:cs="Times New Roman"/>
        </w:rPr>
        <w:t xml:space="preserve">umplimiento, de conformidad con las Instrucciones a los Licitantes (“IAL”) del </w:t>
      </w:r>
      <w:r w:rsidR="00807C34" w:rsidRPr="00576AF8">
        <w:rPr>
          <w:rFonts w:ascii="Times New Roman" w:hAnsi="Times New Roman" w:cs="Times New Roman"/>
        </w:rPr>
        <w:t>documento de licitación</w:t>
      </w:r>
      <w:r w:rsidR="00580092" w:rsidRPr="00576AF8">
        <w:rPr>
          <w:rFonts w:ascii="Times New Roman" w:hAnsi="Times New Roman" w:cs="Times New Roman"/>
        </w:rPr>
        <w:t xml:space="preserve"> del </w:t>
      </w:r>
      <w:r w:rsidR="00984DF4" w:rsidRPr="00576AF8">
        <w:rPr>
          <w:rFonts w:ascii="Times New Roman" w:hAnsi="Times New Roman" w:cs="Times New Roman"/>
        </w:rPr>
        <w:t>beneficiario</w:t>
      </w:r>
      <w:r w:rsidR="00580092" w:rsidRPr="00576AF8">
        <w:rPr>
          <w:rFonts w:ascii="Times New Roman" w:hAnsi="Times New Roman" w:cs="Times New Roman"/>
        </w:rPr>
        <w:t>.</w:t>
      </w:r>
    </w:p>
    <w:p w14:paraId="0556A892" w14:textId="77777777" w:rsidR="00580092" w:rsidRPr="00576AF8" w:rsidRDefault="00580092" w:rsidP="00EC446C">
      <w:pPr>
        <w:pStyle w:val="NormalWeb"/>
        <w:spacing w:before="0" w:beforeAutospacing="0" w:after="200" w:afterAutospacing="0"/>
        <w:rPr>
          <w:rFonts w:ascii="Times New Roman" w:hAnsi="Times New Roman" w:cs="Times New Roman"/>
          <w:color w:val="000000"/>
        </w:rPr>
      </w:pPr>
      <w:r w:rsidRPr="00576AF8">
        <w:rPr>
          <w:rFonts w:ascii="Times New Roman" w:hAnsi="Times New Roman" w:cs="Times New Roman"/>
          <w:color w:val="000000"/>
        </w:rPr>
        <w:t xml:space="preserve">Esta </w:t>
      </w:r>
      <w:r w:rsidR="00984DF4" w:rsidRPr="00576AF8">
        <w:rPr>
          <w:rFonts w:ascii="Times New Roman" w:hAnsi="Times New Roman" w:cs="Times New Roman"/>
          <w:color w:val="000000"/>
        </w:rPr>
        <w:t>garantía</w:t>
      </w:r>
      <w:r w:rsidRPr="00576AF8">
        <w:rPr>
          <w:rFonts w:ascii="Times New Roman" w:hAnsi="Times New Roman" w:cs="Times New Roman"/>
          <w:color w:val="000000"/>
        </w:rPr>
        <w:t xml:space="preserve"> expirará:</w:t>
      </w:r>
      <w:r w:rsidR="00C15E45" w:rsidRPr="00576AF8">
        <w:rPr>
          <w:rFonts w:ascii="Times New Roman" w:hAnsi="Times New Roman" w:cs="Times New Roman"/>
          <w:color w:val="000000"/>
        </w:rPr>
        <w:t xml:space="preserve"> </w:t>
      </w:r>
      <w:r w:rsidR="00EC446C" w:rsidRPr="00576AF8">
        <w:rPr>
          <w:rFonts w:ascii="Times New Roman" w:hAnsi="Times New Roman" w:cs="Times New Roman"/>
          <w:color w:val="000000"/>
        </w:rPr>
        <w:t>(</w:t>
      </w:r>
      <w:r w:rsidRPr="00576AF8">
        <w:rPr>
          <w:rFonts w:ascii="Times New Roman" w:hAnsi="Times New Roman" w:cs="Times New Roman"/>
          <w:color w:val="000000"/>
        </w:rPr>
        <w:t xml:space="preserve">a) si el Postulante es el Licitante seleccionado, cuando recibamos copias del Convenio Contractual firmado por el Postulante y la </w:t>
      </w:r>
      <w:r w:rsidR="00984DF4" w:rsidRPr="00576AF8">
        <w:rPr>
          <w:rFonts w:ascii="Times New Roman" w:hAnsi="Times New Roman" w:cs="Times New Roman"/>
          <w:color w:val="000000"/>
        </w:rPr>
        <w:t>garantía</w:t>
      </w:r>
      <w:r w:rsidRPr="00576AF8">
        <w:rPr>
          <w:rFonts w:ascii="Times New Roman" w:hAnsi="Times New Roman" w:cs="Times New Roman"/>
          <w:color w:val="000000"/>
        </w:rPr>
        <w:t xml:space="preserve"> de </w:t>
      </w:r>
      <w:r w:rsidR="0010666E" w:rsidRPr="00576AF8">
        <w:rPr>
          <w:rFonts w:ascii="Times New Roman" w:hAnsi="Times New Roman" w:cs="Times New Roman"/>
          <w:color w:val="000000"/>
        </w:rPr>
        <w:t>c</w:t>
      </w:r>
      <w:r w:rsidRPr="00576AF8">
        <w:rPr>
          <w:rFonts w:ascii="Times New Roman" w:hAnsi="Times New Roman" w:cs="Times New Roman"/>
          <w:color w:val="000000"/>
        </w:rPr>
        <w:t>umplimiento emitida a favor</w:t>
      </w:r>
      <w:r w:rsidRPr="00576AF8">
        <w:rPr>
          <w:rFonts w:ascii="Times New Roman" w:hAnsi="Times New Roman" w:cs="Times New Roman"/>
        </w:rPr>
        <w:t xml:space="preserve"> del </w:t>
      </w:r>
      <w:r w:rsidR="00984DF4" w:rsidRPr="00576AF8">
        <w:rPr>
          <w:rFonts w:ascii="Times New Roman" w:hAnsi="Times New Roman" w:cs="Times New Roman"/>
        </w:rPr>
        <w:t>beneficiario</w:t>
      </w:r>
      <w:r w:rsidRPr="00576AF8">
        <w:rPr>
          <w:rFonts w:ascii="Times New Roman" w:hAnsi="Times New Roman" w:cs="Times New Roman"/>
        </w:rPr>
        <w:t xml:space="preserve"> en relación con dicho Convenio Contractual</w:t>
      </w:r>
      <w:r w:rsidRPr="00576AF8">
        <w:rPr>
          <w:rFonts w:ascii="Times New Roman" w:hAnsi="Times New Roman" w:cs="Times New Roman"/>
          <w:color w:val="000000"/>
        </w:rPr>
        <w:t xml:space="preserve">, o </w:t>
      </w:r>
      <w:r w:rsidR="00EC446C" w:rsidRPr="00576AF8">
        <w:rPr>
          <w:rFonts w:ascii="Times New Roman" w:hAnsi="Times New Roman" w:cs="Times New Roman"/>
          <w:color w:val="000000"/>
        </w:rPr>
        <w:t>(</w:t>
      </w:r>
      <w:r w:rsidRPr="00576AF8">
        <w:rPr>
          <w:rFonts w:ascii="Times New Roman" w:hAnsi="Times New Roman" w:cs="Times New Roman"/>
          <w:color w:val="000000"/>
        </w:rPr>
        <w:t xml:space="preserve">b) si el Postulante no es el Licitante </w:t>
      </w:r>
      <w:r w:rsidRPr="00576AF8">
        <w:rPr>
          <w:rFonts w:ascii="Times New Roman" w:hAnsi="Times New Roman" w:cs="Times New Roman"/>
          <w:color w:val="000000"/>
        </w:rPr>
        <w:lastRenderedPageBreak/>
        <w:t xml:space="preserve">seleccionado, cuando ocurra el primero de los siguientes hechos: </w:t>
      </w:r>
      <w:r w:rsidR="00EC446C" w:rsidRPr="00576AF8">
        <w:rPr>
          <w:rFonts w:ascii="Times New Roman" w:hAnsi="Times New Roman" w:cs="Times New Roman"/>
          <w:color w:val="000000"/>
        </w:rPr>
        <w:t>(</w:t>
      </w:r>
      <w:r w:rsidRPr="00576AF8">
        <w:rPr>
          <w:rFonts w:ascii="Times New Roman" w:hAnsi="Times New Roman" w:cs="Times New Roman"/>
          <w:color w:val="000000"/>
        </w:rPr>
        <w:t xml:space="preserve">i) cuando hayamos recibido una copia de la notificación del </w:t>
      </w:r>
      <w:r w:rsidR="00984DF4" w:rsidRPr="00576AF8">
        <w:rPr>
          <w:rFonts w:ascii="Times New Roman" w:hAnsi="Times New Roman" w:cs="Times New Roman"/>
          <w:color w:val="000000"/>
        </w:rPr>
        <w:t>beneficiario</w:t>
      </w:r>
      <w:r w:rsidRPr="00576AF8">
        <w:rPr>
          <w:rFonts w:ascii="Times New Roman" w:hAnsi="Times New Roman" w:cs="Times New Roman"/>
          <w:color w:val="000000"/>
        </w:rPr>
        <w:t xml:space="preserve"> al Postulante relativa a los resultados del </w:t>
      </w:r>
      <w:r w:rsidR="00314214" w:rsidRPr="00576AF8">
        <w:rPr>
          <w:rFonts w:ascii="Times New Roman" w:hAnsi="Times New Roman" w:cs="Times New Roman"/>
          <w:color w:val="000000"/>
        </w:rPr>
        <w:t>p</w:t>
      </w:r>
      <w:r w:rsidRPr="00576AF8">
        <w:rPr>
          <w:rFonts w:ascii="Times New Roman" w:hAnsi="Times New Roman" w:cs="Times New Roman"/>
          <w:color w:val="000000"/>
        </w:rPr>
        <w:t xml:space="preserve">roceso de Licitación, o </w:t>
      </w:r>
      <w:r w:rsidR="00EC446C" w:rsidRPr="00576AF8">
        <w:rPr>
          <w:rFonts w:ascii="Times New Roman" w:hAnsi="Times New Roman" w:cs="Times New Roman"/>
          <w:color w:val="000000"/>
        </w:rPr>
        <w:t>(</w:t>
      </w:r>
      <w:r w:rsidRPr="00576AF8">
        <w:rPr>
          <w:rFonts w:ascii="Times New Roman" w:hAnsi="Times New Roman" w:cs="Times New Roman"/>
          <w:color w:val="000000"/>
        </w:rPr>
        <w:t xml:space="preserve">ii) cuando hayan transcurrido veintiocho días </w:t>
      </w:r>
      <w:r w:rsidR="00427F5D" w:rsidRPr="00576AF8">
        <w:rPr>
          <w:rFonts w:ascii="Times New Roman" w:hAnsi="Times New Roman" w:cs="Times New Roman"/>
          <w:color w:val="000000"/>
        </w:rPr>
        <w:t xml:space="preserve">desde </w:t>
      </w:r>
      <w:r w:rsidRPr="00576AF8">
        <w:rPr>
          <w:rFonts w:ascii="Times New Roman" w:hAnsi="Times New Roman" w:cs="Times New Roman"/>
          <w:color w:val="000000"/>
        </w:rPr>
        <w:t xml:space="preserve">la expiración del </w:t>
      </w:r>
      <w:r w:rsidR="0010666E" w:rsidRPr="00576AF8">
        <w:rPr>
          <w:rFonts w:ascii="Times New Roman" w:hAnsi="Times New Roman" w:cs="Times New Roman"/>
          <w:color w:val="000000"/>
        </w:rPr>
        <w:t>p</w:t>
      </w:r>
      <w:r w:rsidRPr="00576AF8">
        <w:rPr>
          <w:rFonts w:ascii="Times New Roman" w:hAnsi="Times New Roman" w:cs="Times New Roman"/>
          <w:color w:val="000000"/>
        </w:rPr>
        <w:t xml:space="preserve">eríodo de </w:t>
      </w:r>
      <w:r w:rsidR="0010666E" w:rsidRPr="00576AF8">
        <w:rPr>
          <w:rFonts w:ascii="Times New Roman" w:hAnsi="Times New Roman" w:cs="Times New Roman"/>
          <w:color w:val="000000"/>
        </w:rPr>
        <w:t>v</w:t>
      </w:r>
      <w:r w:rsidRPr="00576AF8">
        <w:rPr>
          <w:rFonts w:ascii="Times New Roman" w:hAnsi="Times New Roman" w:cs="Times New Roman"/>
          <w:color w:val="000000"/>
        </w:rPr>
        <w:t>alidez de la Oferta del Licitante.</w:t>
      </w:r>
    </w:p>
    <w:p w14:paraId="688D8FC6" w14:textId="77777777" w:rsidR="00580092" w:rsidRPr="00576AF8" w:rsidRDefault="005D1B6B"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rPr>
        <w:t>En consecuencia</w:t>
      </w:r>
      <w:r w:rsidR="00580092" w:rsidRPr="00576AF8">
        <w:rPr>
          <w:rFonts w:ascii="Times New Roman" w:hAnsi="Times New Roman" w:cs="Times New Roman"/>
        </w:rPr>
        <w:t xml:space="preserve">, cualquier </w:t>
      </w:r>
      <w:r w:rsidRPr="00576AF8">
        <w:rPr>
          <w:rFonts w:ascii="Times New Roman" w:hAnsi="Times New Roman" w:cs="Times New Roman"/>
        </w:rPr>
        <w:t xml:space="preserve">reclamación </w:t>
      </w:r>
      <w:r w:rsidR="00580092" w:rsidRPr="00576AF8">
        <w:rPr>
          <w:rFonts w:ascii="Times New Roman" w:hAnsi="Times New Roman" w:cs="Times New Roman"/>
        </w:rPr>
        <w:t xml:space="preserve">de pago en virtud de esta </w:t>
      </w:r>
      <w:r w:rsidR="00984DF4" w:rsidRPr="00576AF8">
        <w:rPr>
          <w:rFonts w:ascii="Times New Roman" w:hAnsi="Times New Roman" w:cs="Times New Roman"/>
        </w:rPr>
        <w:t>garantía</w:t>
      </w:r>
      <w:r w:rsidR="00580092" w:rsidRPr="00576AF8">
        <w:rPr>
          <w:rFonts w:ascii="Times New Roman" w:hAnsi="Times New Roman" w:cs="Times New Roman"/>
        </w:rPr>
        <w:t xml:space="preserve"> deberá recibirse en </w:t>
      </w:r>
      <w:r w:rsidR="00EB6598" w:rsidRPr="00576AF8">
        <w:rPr>
          <w:rFonts w:ascii="Times New Roman" w:hAnsi="Times New Roman" w:cs="Times New Roman"/>
        </w:rPr>
        <w:t xml:space="preserve">nuestras oficinas </w:t>
      </w:r>
      <w:r w:rsidRPr="00576AF8">
        <w:rPr>
          <w:rFonts w:ascii="Times New Roman" w:hAnsi="Times New Roman" w:cs="Times New Roman"/>
        </w:rPr>
        <w:t>a más tardar en la fecha señalada</w:t>
      </w:r>
      <w:r w:rsidR="00580092" w:rsidRPr="00576AF8">
        <w:rPr>
          <w:rFonts w:ascii="Times New Roman" w:hAnsi="Times New Roman" w:cs="Times New Roman"/>
        </w:rPr>
        <w:t>.</w:t>
      </w:r>
    </w:p>
    <w:p w14:paraId="19D19B9D" w14:textId="77777777" w:rsidR="00580092" w:rsidRPr="00576AF8" w:rsidRDefault="00580092" w:rsidP="00EC446C">
      <w:pPr>
        <w:pStyle w:val="NormalWeb"/>
        <w:spacing w:before="0" w:beforeAutospacing="0" w:after="200" w:afterAutospacing="0"/>
        <w:rPr>
          <w:rFonts w:ascii="Times New Roman" w:hAnsi="Times New Roman" w:cs="Times New Roman"/>
        </w:rPr>
      </w:pPr>
      <w:r w:rsidRPr="00576AF8">
        <w:rPr>
          <w:rFonts w:ascii="Times New Roman" w:hAnsi="Times New Roman" w:cs="Times New Roman"/>
        </w:rPr>
        <w:t xml:space="preserve">Esta garantía está sujeta a las Reglas </w:t>
      </w:r>
      <w:r w:rsidR="00A07C8B" w:rsidRPr="00576AF8">
        <w:rPr>
          <w:rFonts w:ascii="Times New Roman" w:hAnsi="Times New Roman" w:cs="Times New Roman"/>
        </w:rPr>
        <w:t>u</w:t>
      </w:r>
      <w:r w:rsidRPr="00576AF8">
        <w:rPr>
          <w:rFonts w:ascii="Times New Roman" w:hAnsi="Times New Roman" w:cs="Times New Roman"/>
        </w:rPr>
        <w:t xml:space="preserve">niformes </w:t>
      </w:r>
      <w:r w:rsidR="005D1B6B" w:rsidRPr="00576AF8">
        <w:rPr>
          <w:rFonts w:ascii="Times New Roman" w:hAnsi="Times New Roman" w:cs="Times New Roman"/>
        </w:rPr>
        <w:t xml:space="preserve">de la CCI </w:t>
      </w:r>
      <w:r w:rsidRPr="00576AF8">
        <w:rPr>
          <w:rFonts w:ascii="Times New Roman" w:hAnsi="Times New Roman" w:cs="Times New Roman"/>
        </w:rPr>
        <w:t xml:space="preserve">sobre </w:t>
      </w:r>
      <w:r w:rsidR="00984DF4" w:rsidRPr="00576AF8">
        <w:rPr>
          <w:rFonts w:ascii="Times New Roman" w:hAnsi="Times New Roman" w:cs="Times New Roman"/>
        </w:rPr>
        <w:t>garantía</w:t>
      </w:r>
      <w:r w:rsidRPr="00576AF8">
        <w:rPr>
          <w:rFonts w:ascii="Times New Roman" w:hAnsi="Times New Roman" w:cs="Times New Roman"/>
        </w:rPr>
        <w:t xml:space="preserve">s a </w:t>
      </w:r>
      <w:r w:rsidR="00A07C8B" w:rsidRPr="00576AF8">
        <w:rPr>
          <w:rFonts w:ascii="Times New Roman" w:hAnsi="Times New Roman" w:cs="Times New Roman"/>
        </w:rPr>
        <w:t>p</w:t>
      </w:r>
      <w:r w:rsidRPr="00576AF8">
        <w:rPr>
          <w:rFonts w:ascii="Times New Roman" w:hAnsi="Times New Roman" w:cs="Times New Roman"/>
        </w:rPr>
        <w:t xml:space="preserve">rimer </w:t>
      </w:r>
      <w:r w:rsidR="00A07C8B" w:rsidRPr="00576AF8">
        <w:rPr>
          <w:rFonts w:ascii="Times New Roman" w:hAnsi="Times New Roman" w:cs="Times New Roman"/>
        </w:rPr>
        <w:t>r</w:t>
      </w:r>
      <w:r w:rsidRPr="00576AF8">
        <w:rPr>
          <w:rFonts w:ascii="Times New Roman" w:hAnsi="Times New Roman" w:cs="Times New Roman"/>
        </w:rPr>
        <w:t>equerimiento (</w:t>
      </w:r>
      <w:r w:rsidR="00F772EC" w:rsidRPr="00576AF8">
        <w:rPr>
          <w:rFonts w:ascii="Times New Roman" w:hAnsi="Times New Roman" w:cs="Times New Roman"/>
          <w:i/>
        </w:rPr>
        <w:t>Uniform Rules for Demand Guarantees</w:t>
      </w:r>
      <w:r w:rsidR="005D1B6B" w:rsidRPr="00576AF8">
        <w:rPr>
          <w:rFonts w:ascii="Times New Roman" w:hAnsi="Times New Roman" w:cs="Times New Roman"/>
          <w:i/>
        </w:rPr>
        <w:t xml:space="preserve">, </w:t>
      </w:r>
      <w:r w:rsidR="00F772EC" w:rsidRPr="00576AF8">
        <w:rPr>
          <w:rFonts w:ascii="Times New Roman" w:hAnsi="Times New Roman" w:cs="Times New Roman"/>
        </w:rPr>
        <w:t>URDG</w:t>
      </w:r>
      <w:r w:rsidRPr="00576AF8">
        <w:rPr>
          <w:rFonts w:ascii="Times New Roman" w:hAnsi="Times New Roman" w:cs="Times New Roman"/>
        </w:rPr>
        <w:t>), revisión de 2010, publicación de la Cámara de Comercio Internacional n.º</w:t>
      </w:r>
      <w:r w:rsidR="0010666E" w:rsidRPr="00576AF8">
        <w:rPr>
          <w:rFonts w:ascii="Times New Roman" w:hAnsi="Times New Roman" w:cs="Times New Roman"/>
        </w:rPr>
        <w:t> </w:t>
      </w:r>
      <w:r w:rsidRPr="00576AF8">
        <w:rPr>
          <w:rFonts w:ascii="Times New Roman" w:hAnsi="Times New Roman" w:cs="Times New Roman"/>
        </w:rPr>
        <w:t>758.</w:t>
      </w:r>
    </w:p>
    <w:p w14:paraId="194B931B" w14:textId="77777777" w:rsidR="00580092" w:rsidRPr="00576AF8" w:rsidRDefault="00580092" w:rsidP="00EC446C">
      <w:pPr>
        <w:pStyle w:val="NormalWeb"/>
        <w:spacing w:before="0" w:beforeAutospacing="0" w:after="200" w:afterAutospacing="0"/>
        <w:rPr>
          <w:rFonts w:ascii="Times New Roman" w:hAnsi="Times New Roman" w:cs="Times New Roman"/>
        </w:rPr>
      </w:pPr>
    </w:p>
    <w:p w14:paraId="035727B6" w14:textId="77777777" w:rsidR="00580092" w:rsidRPr="00576AF8" w:rsidRDefault="00580092" w:rsidP="00EC446C">
      <w:pPr>
        <w:pStyle w:val="NormalWeb"/>
        <w:spacing w:before="0" w:after="0"/>
        <w:rPr>
          <w:rFonts w:ascii="Times New Roman" w:hAnsi="Times New Roman" w:cs="Times New Roman"/>
          <w:b/>
        </w:rPr>
      </w:pPr>
      <w:r w:rsidRPr="00576AF8">
        <w:rPr>
          <w:rFonts w:ascii="Times New Roman" w:hAnsi="Times New Roman" w:cs="Times New Roman"/>
          <w:b/>
        </w:rPr>
        <w:t>_____________________________</w:t>
      </w:r>
    </w:p>
    <w:p w14:paraId="419B2DBC" w14:textId="77777777" w:rsidR="00580092" w:rsidRPr="00576AF8" w:rsidRDefault="00580092" w:rsidP="00580092">
      <w:pPr>
        <w:pStyle w:val="NormalWeb"/>
        <w:spacing w:before="0" w:after="0"/>
        <w:rPr>
          <w:rFonts w:ascii="Times New Roman" w:hAnsi="Times New Roman" w:cs="Times New Roman"/>
          <w:i/>
        </w:rPr>
      </w:pPr>
      <w:r w:rsidRPr="00576AF8">
        <w:rPr>
          <w:rFonts w:ascii="Times New Roman" w:hAnsi="Times New Roman" w:cs="Times New Roman"/>
          <w:i/>
        </w:rPr>
        <w:t>[firmas]</w:t>
      </w:r>
    </w:p>
    <w:p w14:paraId="79365D1C" w14:textId="77777777" w:rsidR="00735381" w:rsidRPr="00576AF8" w:rsidRDefault="00735381" w:rsidP="00580092">
      <w:pPr>
        <w:pStyle w:val="NormalWeb"/>
        <w:spacing w:before="0" w:after="0"/>
        <w:rPr>
          <w:rFonts w:ascii="Times New Roman" w:hAnsi="Times New Roman" w:cs="Times New Roman"/>
          <w:i/>
        </w:rPr>
        <w:sectPr w:rsidR="00735381" w:rsidRPr="00576AF8" w:rsidSect="000968D2">
          <w:headerReference w:type="first" r:id="rId43"/>
          <w:footnotePr>
            <w:numRestart w:val="eachSect"/>
          </w:footnotePr>
          <w:pgSz w:w="12240" w:h="15840" w:code="1"/>
          <w:pgMar w:top="1440" w:right="1440" w:bottom="1440" w:left="1440" w:header="720" w:footer="720" w:gutter="0"/>
          <w:cols w:space="720"/>
          <w:titlePg/>
        </w:sectPr>
      </w:pPr>
    </w:p>
    <w:p w14:paraId="359EF6E1" w14:textId="77777777" w:rsidR="00580092" w:rsidRPr="00576AF8" w:rsidRDefault="00580092" w:rsidP="00A16D7E">
      <w:pPr>
        <w:pStyle w:val="TOC3-1"/>
        <w:ind w:left="1276" w:right="1280"/>
      </w:pPr>
      <w:bookmarkStart w:id="514" w:name="_Toc125871320"/>
      <w:bookmarkStart w:id="515" w:name="_Toc482500894"/>
      <w:bookmarkStart w:id="516" w:name="_Toc87082191"/>
      <w:bookmarkStart w:id="517" w:name="_Toc103155217"/>
      <w:bookmarkStart w:id="518" w:name="_Toc454958451"/>
      <w:bookmarkStart w:id="519" w:name="_Toc476309234"/>
      <w:bookmarkStart w:id="520" w:name="_Toc527966233"/>
      <w:r w:rsidRPr="00576AF8">
        <w:lastRenderedPageBreak/>
        <w:t xml:space="preserve">Formulario de </w:t>
      </w:r>
      <w:r w:rsidR="005E641B" w:rsidRPr="00576AF8">
        <w:t xml:space="preserve">Garantía </w:t>
      </w:r>
      <w:r w:rsidRPr="00576AF8">
        <w:t xml:space="preserve">de </w:t>
      </w:r>
      <w:r w:rsidR="005E641B" w:rsidRPr="00576AF8">
        <w:t xml:space="preserve">Mantenimiento </w:t>
      </w:r>
      <w:r w:rsidRPr="00576AF8">
        <w:t>de la Oferta</w:t>
      </w:r>
      <w:bookmarkEnd w:id="514"/>
      <w:r w:rsidRPr="00576AF8">
        <w:t xml:space="preserve"> Fianza</w:t>
      </w:r>
      <w:bookmarkEnd w:id="515"/>
      <w:bookmarkEnd w:id="516"/>
      <w:bookmarkEnd w:id="517"/>
      <w:bookmarkEnd w:id="518"/>
      <w:bookmarkEnd w:id="519"/>
      <w:bookmarkEnd w:id="520"/>
      <w:r w:rsidR="0043323C" w:rsidRPr="00576AF8">
        <w:t xml:space="preserve"> (NO APLICA)</w:t>
      </w:r>
    </w:p>
    <w:p w14:paraId="2E71EB62" w14:textId="77777777" w:rsidR="00580092" w:rsidRPr="00576AF8" w:rsidRDefault="00580092" w:rsidP="00580092">
      <w:pPr>
        <w:spacing w:after="200"/>
      </w:pPr>
      <w:r w:rsidRPr="00576AF8">
        <w:t>FIANZA n.º ______________________</w:t>
      </w:r>
    </w:p>
    <w:p w14:paraId="635FD9AE" w14:textId="77777777" w:rsidR="00580092" w:rsidRPr="00576AF8" w:rsidRDefault="00580092" w:rsidP="00580092">
      <w:pPr>
        <w:spacing w:after="160"/>
      </w:pPr>
      <w:r w:rsidRPr="00576AF8">
        <w:t xml:space="preserve">POR ESTA FIANZA </w:t>
      </w:r>
      <w:r w:rsidRPr="00576AF8">
        <w:rPr>
          <w:i/>
        </w:rPr>
        <w:t>________</w:t>
      </w:r>
      <w:r w:rsidR="00A16D7E" w:rsidRPr="00576AF8">
        <w:rPr>
          <w:i/>
        </w:rPr>
        <w:t>____0</w:t>
      </w:r>
      <w:r w:rsidRPr="00576AF8">
        <w:rPr>
          <w:i/>
        </w:rPr>
        <w:t>_____</w:t>
      </w:r>
      <w:r w:rsidRPr="00576AF8">
        <w:t xml:space="preserve"> en calidad de Obligado Principal (en adelante, “el Obligado Principal”), y </w:t>
      </w:r>
      <w:r w:rsidRPr="00576AF8">
        <w:rPr>
          <w:i/>
        </w:rPr>
        <w:t>___________________,</w:t>
      </w:r>
      <w:r w:rsidRPr="00576AF8">
        <w:t xml:space="preserve"> </w:t>
      </w:r>
      <w:r w:rsidRPr="00576AF8">
        <w:rPr>
          <w:b/>
        </w:rPr>
        <w:t xml:space="preserve">autorizado para conducir negocios en </w:t>
      </w:r>
      <w:r w:rsidRPr="00576AF8">
        <w:rPr>
          <w:i/>
        </w:rPr>
        <w:t>________________,</w:t>
      </w:r>
      <w:r w:rsidR="00984DF4" w:rsidRPr="00576AF8">
        <w:t xml:space="preserve"> y quien obra como garante (en adelante, “el </w:t>
      </w:r>
      <w:r w:rsidR="005C4D16" w:rsidRPr="00576AF8">
        <w:t>G</w:t>
      </w:r>
      <w:r w:rsidRPr="00576AF8">
        <w:t xml:space="preserve">arante”), por este instrumento se obligan y firmemente se comprometen con </w:t>
      </w:r>
      <w:r w:rsidRPr="00576AF8">
        <w:rPr>
          <w:i/>
        </w:rPr>
        <w:t>_________________</w:t>
      </w:r>
      <w:r w:rsidRPr="00576AF8">
        <w:t xml:space="preserve">, como Demandante (en adelante, “el </w:t>
      </w:r>
      <w:r w:rsidR="005C4D16" w:rsidRPr="00576AF8">
        <w:t>Comprador</w:t>
      </w:r>
      <w:r w:rsidRPr="00576AF8">
        <w:t xml:space="preserve">”) por el monto de </w:t>
      </w:r>
      <w:r w:rsidRPr="00576AF8">
        <w:rPr>
          <w:i/>
        </w:rPr>
        <w:t>____________</w:t>
      </w:r>
      <w:r w:rsidRPr="00576AF8">
        <w:rPr>
          <w:rStyle w:val="Refdenotaalpie"/>
        </w:rPr>
        <w:footnoteReference w:id="11"/>
      </w:r>
      <w:r w:rsidRPr="00576AF8">
        <w:t xml:space="preserve"> (</w:t>
      </w:r>
      <w:r w:rsidRPr="00576AF8">
        <w:rPr>
          <w:i/>
        </w:rPr>
        <w:t>__________</w:t>
      </w:r>
      <w:r w:rsidRPr="00576AF8">
        <w:t>), por cuyo pago, que deberá efectuarse correcta y efectivamente, nosotr</w:t>
      </w:r>
      <w:r w:rsidR="00984DF4" w:rsidRPr="00576AF8">
        <w:t xml:space="preserve">os, el Obligado Principal y el </w:t>
      </w:r>
      <w:r w:rsidR="005C4D16" w:rsidRPr="00576AF8">
        <w:t>G</w:t>
      </w:r>
      <w:r w:rsidRPr="00576AF8">
        <w:t>arante antes mencionados, nos obligamos, así como a nuestros sucesores y cesionarios, firme, conjunta y solidariamente por la presente.</w:t>
      </w:r>
    </w:p>
    <w:p w14:paraId="6F2EC232" w14:textId="77777777" w:rsidR="00580092" w:rsidRPr="00576AF8" w:rsidRDefault="00580092" w:rsidP="00580092">
      <w:pPr>
        <w:spacing w:after="160"/>
      </w:pPr>
      <w:r w:rsidRPr="00576AF8">
        <w:t xml:space="preserve">POR CUANTO el Obligado Principal ha presentado o presentará al Comprador una Oferta por escrito fechada a los ___ días del mes de ______ de 20__, para el suministro de </w:t>
      </w:r>
      <w:r w:rsidRPr="00576AF8">
        <w:rPr>
          <w:i/>
        </w:rPr>
        <w:t>__</w:t>
      </w:r>
      <w:proofErr w:type="gramStart"/>
      <w:r w:rsidRPr="00576AF8">
        <w:rPr>
          <w:i/>
        </w:rPr>
        <w:t>_[</w:t>
      </w:r>
      <w:proofErr w:type="gramEnd"/>
      <w:r w:rsidRPr="00576AF8">
        <w:rPr>
          <w:i/>
        </w:rPr>
        <w:t>nombre del Contrato]</w:t>
      </w:r>
      <w:r w:rsidRPr="00576AF8">
        <w:t xml:space="preserve"> </w:t>
      </w:r>
      <w:r w:rsidRPr="00576AF8">
        <w:rPr>
          <w:i/>
        </w:rPr>
        <w:t xml:space="preserve">__________ </w:t>
      </w:r>
      <w:r w:rsidRPr="00576AF8">
        <w:t>(en adelante, la “Oferta”).</w:t>
      </w:r>
    </w:p>
    <w:p w14:paraId="6FDCFE22" w14:textId="77777777" w:rsidR="00580092" w:rsidRPr="00576AF8" w:rsidRDefault="00580092" w:rsidP="00580092">
      <w:pPr>
        <w:spacing w:after="160"/>
      </w:pPr>
      <w:r w:rsidRPr="00576AF8">
        <w:t>POR LO TANTO, LA CONDICIÓN DE ESTA OBLIGACIÓN es tal que si el Obligado Principal:</w:t>
      </w:r>
    </w:p>
    <w:p w14:paraId="0C0E55DE" w14:textId="77777777" w:rsidR="00580092" w:rsidRPr="00576AF8" w:rsidRDefault="00A90067">
      <w:pPr>
        <w:numPr>
          <w:ilvl w:val="0"/>
          <w:numId w:val="8"/>
        </w:numPr>
        <w:tabs>
          <w:tab w:val="clear" w:pos="720"/>
          <w:tab w:val="num" w:pos="1260"/>
        </w:tabs>
        <w:spacing w:after="160"/>
        <w:ind w:left="1260" w:hanging="540"/>
      </w:pPr>
      <w:r w:rsidRPr="00576AF8">
        <w:t xml:space="preserve">ha retirado su Oferta durante el período de validez de la Oferta </w:t>
      </w:r>
      <w:r w:rsidR="005C4D16" w:rsidRPr="00576AF8">
        <w:t xml:space="preserve">establecido </w:t>
      </w:r>
      <w:r w:rsidRPr="00576AF8">
        <w:t>en la Carta de la Oferta del Obligado Principal (el “</w:t>
      </w:r>
      <w:r w:rsidR="00314214" w:rsidRPr="00576AF8">
        <w:t>p</w:t>
      </w:r>
      <w:r w:rsidRPr="00576AF8">
        <w:t xml:space="preserve">eríodo de </w:t>
      </w:r>
      <w:r w:rsidR="00314214" w:rsidRPr="00576AF8">
        <w:t>v</w:t>
      </w:r>
      <w:r w:rsidRPr="00576AF8">
        <w:t xml:space="preserve">alidez de la Oferta”), o cualquier prórroga del plazo </w:t>
      </w:r>
      <w:r w:rsidR="005C4D16" w:rsidRPr="00576AF8">
        <w:t xml:space="preserve">dispuesta </w:t>
      </w:r>
      <w:r w:rsidRPr="00576AF8">
        <w:t>por el Obligado Principal;</w:t>
      </w:r>
    </w:p>
    <w:p w14:paraId="1D00CE56" w14:textId="77777777" w:rsidR="00580092" w:rsidRPr="00576AF8" w:rsidRDefault="00580092">
      <w:pPr>
        <w:numPr>
          <w:ilvl w:val="0"/>
          <w:numId w:val="8"/>
        </w:numPr>
        <w:tabs>
          <w:tab w:val="num" w:pos="1260"/>
        </w:tabs>
        <w:spacing w:after="160"/>
        <w:ind w:left="1260" w:hanging="540"/>
      </w:pPr>
      <w:r w:rsidRPr="00576AF8">
        <w:t xml:space="preserve">habiendo sido notificado por el Comprador de la aceptación de su Oferta durante el </w:t>
      </w:r>
      <w:r w:rsidR="00C66433" w:rsidRPr="00576AF8">
        <w:t>p</w:t>
      </w:r>
      <w:r w:rsidRPr="00576AF8">
        <w:t xml:space="preserve">eríodo de </w:t>
      </w:r>
      <w:r w:rsidR="00C66433" w:rsidRPr="00576AF8">
        <w:t>v</w:t>
      </w:r>
      <w:r w:rsidRPr="00576AF8">
        <w:t xml:space="preserve">alidez de la Oferta o cualquier prórroga del plazo establecida por el Postulante, </w:t>
      </w:r>
      <w:r w:rsidR="00A16D7E" w:rsidRPr="00576AF8">
        <w:t>(</w:t>
      </w:r>
      <w:r w:rsidRPr="00576AF8">
        <w:t xml:space="preserve">i) no ha firmado el Convenio Contractual, o </w:t>
      </w:r>
      <w:r w:rsidR="00A16D7E" w:rsidRPr="00576AF8">
        <w:t>(</w:t>
      </w:r>
      <w:r w:rsidRPr="00576AF8">
        <w:t xml:space="preserve">ii) no ha presentado la </w:t>
      </w:r>
      <w:r w:rsidR="00984DF4" w:rsidRPr="00576AF8">
        <w:t>garantía</w:t>
      </w:r>
      <w:r w:rsidRPr="00576AF8">
        <w:t xml:space="preserve"> de </w:t>
      </w:r>
      <w:r w:rsidR="00C66433" w:rsidRPr="00576AF8">
        <w:t>c</w:t>
      </w:r>
      <w:r w:rsidRPr="00576AF8">
        <w:t xml:space="preserve">umplimiento de conformidad con las Instrucciones a los Licitantes (“IAL”) del </w:t>
      </w:r>
      <w:r w:rsidR="00807C34" w:rsidRPr="00576AF8">
        <w:t>documento de licitación</w:t>
      </w:r>
      <w:r w:rsidR="00E05481" w:rsidRPr="00576AF8">
        <w:t xml:space="preserve"> del Comprador,</w:t>
      </w:r>
    </w:p>
    <w:p w14:paraId="42F884EB" w14:textId="77777777" w:rsidR="00580092" w:rsidRPr="00576AF8" w:rsidRDefault="00984DF4" w:rsidP="00580092">
      <w:pPr>
        <w:spacing w:after="160"/>
      </w:pPr>
      <w:r w:rsidRPr="00576AF8">
        <w:t xml:space="preserve">el </w:t>
      </w:r>
      <w:r w:rsidR="00C66433" w:rsidRPr="00576AF8">
        <w:t>G</w:t>
      </w:r>
      <w:r w:rsidR="00580092" w:rsidRPr="00576AF8">
        <w:t xml:space="preserve">arante procederá </w:t>
      </w:r>
      <w:r w:rsidR="00C66433" w:rsidRPr="00576AF8">
        <w:t xml:space="preserve">de inmediato </w:t>
      </w:r>
      <w:r w:rsidR="00580092" w:rsidRPr="00576AF8">
        <w:t xml:space="preserve">a pagar al Comprador la suma </w:t>
      </w:r>
      <w:r w:rsidR="00C66433" w:rsidRPr="00576AF8">
        <w:t xml:space="preserve">máxima antes </w:t>
      </w:r>
      <w:r w:rsidR="00580092" w:rsidRPr="00576AF8">
        <w:t xml:space="preserve">indicada </w:t>
      </w:r>
      <w:r w:rsidR="00A16D7E" w:rsidRPr="00576AF8">
        <w:br/>
      </w:r>
      <w:r w:rsidR="00CE4CD7" w:rsidRPr="00576AF8">
        <w:t>cuando reciba</w:t>
      </w:r>
      <w:r w:rsidR="00580092" w:rsidRPr="00576AF8">
        <w:t xml:space="preserve"> la primera solicitud por escrito del Comprador, sin que el Comprador tenga que </w:t>
      </w:r>
      <w:r w:rsidR="00CE4CD7" w:rsidRPr="00576AF8">
        <w:t>justificar</w:t>
      </w:r>
      <w:r w:rsidR="00580092" w:rsidRPr="00576AF8">
        <w:t xml:space="preserve"> su solicitud, siempre y cuando el Comprador establezca en ella que esta es motivada por el acontecimiento de cualquiera de los eventos descritos anteriormente, y especif</w:t>
      </w:r>
      <w:r w:rsidR="00E05481" w:rsidRPr="00576AF8">
        <w:t>ique cuáles eventos ocurrieron.</w:t>
      </w:r>
    </w:p>
    <w:p w14:paraId="531016BE" w14:textId="77777777" w:rsidR="00580092" w:rsidRPr="00576AF8" w:rsidRDefault="00580092" w:rsidP="00580092">
      <w:pPr>
        <w:spacing w:after="160"/>
      </w:pPr>
      <w:r w:rsidRPr="00576AF8">
        <w:t xml:space="preserve">El </w:t>
      </w:r>
      <w:r w:rsidR="00C66433" w:rsidRPr="00576AF8">
        <w:t>G</w:t>
      </w:r>
      <w:r w:rsidRPr="00576AF8">
        <w:t xml:space="preserve">arante, acepta, por la presente, que su obligación permanecerá vigente y </w:t>
      </w:r>
      <w:r w:rsidR="004F4CFD" w:rsidRPr="00576AF8">
        <w:t>tendrá pleno efecto hasta el 28</w:t>
      </w:r>
      <w:r w:rsidRPr="00576AF8">
        <w:t xml:space="preserve">° día, inclusive, a partir de la fecha de expiración del </w:t>
      </w:r>
      <w:r w:rsidR="00C66433" w:rsidRPr="00576AF8">
        <w:t>p</w:t>
      </w:r>
      <w:r w:rsidRPr="00576AF8">
        <w:t xml:space="preserve">eríodo de </w:t>
      </w:r>
      <w:r w:rsidR="00C66433" w:rsidRPr="00576AF8">
        <w:t>v</w:t>
      </w:r>
      <w:r w:rsidRPr="00576AF8">
        <w:t xml:space="preserve">alidez de la Oferta que se establece en la </w:t>
      </w:r>
      <w:r w:rsidR="00314214" w:rsidRPr="00576AF8">
        <w:t>c</w:t>
      </w:r>
      <w:r w:rsidRPr="00576AF8">
        <w:t xml:space="preserve">arta de Oferta del Obligado Principal o cualquier prórroga del plazo </w:t>
      </w:r>
      <w:r w:rsidR="00C66433" w:rsidRPr="00576AF8">
        <w:t xml:space="preserve">dispuesto </w:t>
      </w:r>
      <w:r w:rsidRPr="00576AF8">
        <w:t>por el Obligado Principal.</w:t>
      </w:r>
    </w:p>
    <w:p w14:paraId="2B455C07" w14:textId="77777777" w:rsidR="00580092" w:rsidRPr="00576AF8" w:rsidRDefault="00580092" w:rsidP="00580092">
      <w:pPr>
        <w:spacing w:after="160"/>
      </w:pPr>
      <w:r w:rsidRPr="00576AF8">
        <w:t>EN PRUEBA DE CONFORMID</w:t>
      </w:r>
      <w:r w:rsidR="00984DF4" w:rsidRPr="00576AF8">
        <w:t xml:space="preserve">AD, el Obligado Principal y el </w:t>
      </w:r>
      <w:r w:rsidR="0008205C" w:rsidRPr="00576AF8">
        <w:t>G</w:t>
      </w:r>
      <w:r w:rsidRPr="00576AF8">
        <w:t>arante han dispuesto que se ejecuten estos documentos con sus respectivos nombres en el día de la fecha, ____ de _____________ de 20__.</w:t>
      </w:r>
    </w:p>
    <w:p w14:paraId="1EE84CB1" w14:textId="77777777" w:rsidR="00580092" w:rsidRPr="00576AF8" w:rsidRDefault="00580092" w:rsidP="004F4CFD">
      <w:pPr>
        <w:tabs>
          <w:tab w:val="left" w:pos="4536"/>
          <w:tab w:val="left" w:pos="5488"/>
          <w:tab w:val="left" w:pos="8931"/>
        </w:tabs>
        <w:spacing w:after="160"/>
      </w:pPr>
      <w:r w:rsidRPr="00576AF8">
        <w:lastRenderedPageBreak/>
        <w:t>Obligado Principal: _</w:t>
      </w:r>
      <w:r w:rsidR="00984DF4" w:rsidRPr="00576AF8">
        <w:t>__________________</w:t>
      </w:r>
      <w:r w:rsidR="00984DF4" w:rsidRPr="00576AF8">
        <w:tab/>
      </w:r>
      <w:r w:rsidR="00D310A5" w:rsidRPr="00576AF8">
        <w:t xml:space="preserve"> </w:t>
      </w:r>
      <w:r w:rsidR="0008205C" w:rsidRPr="00576AF8">
        <w:t>G</w:t>
      </w:r>
      <w:r w:rsidR="00E05481" w:rsidRPr="00576AF8">
        <w:t>arante:</w:t>
      </w:r>
      <w:r w:rsidR="004F4CFD" w:rsidRPr="00576AF8">
        <w:tab/>
      </w:r>
      <w:r w:rsidRPr="00576AF8">
        <w:t>____________________________</w:t>
      </w:r>
      <w:r w:rsidRPr="00576AF8">
        <w:br/>
      </w:r>
      <w:r w:rsidRPr="00576AF8">
        <w:tab/>
      </w:r>
      <w:r w:rsidR="00D310A5" w:rsidRPr="00576AF8">
        <w:t xml:space="preserve"> </w:t>
      </w:r>
      <w:r w:rsidRPr="00576AF8">
        <w:t>Sello oficial de la empresa (cuando corresponda)</w:t>
      </w:r>
    </w:p>
    <w:p w14:paraId="50D2D51A" w14:textId="77777777" w:rsidR="00580092" w:rsidRPr="00576AF8" w:rsidRDefault="00580092" w:rsidP="004F4CFD">
      <w:pPr>
        <w:tabs>
          <w:tab w:val="left" w:pos="4620"/>
        </w:tabs>
        <w:spacing w:after="200"/>
      </w:pPr>
      <w:r w:rsidRPr="00576AF8">
        <w:t>_______________________________</w:t>
      </w:r>
      <w:r w:rsidRPr="00576AF8">
        <w:tab/>
        <w:t>____________________________________</w:t>
      </w:r>
      <w:r w:rsidRPr="00576AF8">
        <w:br/>
      </w:r>
      <w:r w:rsidRPr="00576AF8">
        <w:rPr>
          <w:i/>
        </w:rPr>
        <w:t>[Firma]</w:t>
      </w:r>
      <w:r w:rsidRPr="00576AF8">
        <w:tab/>
      </w:r>
      <w:r w:rsidRPr="00576AF8">
        <w:rPr>
          <w:i/>
        </w:rPr>
        <w:t>[Firma]</w:t>
      </w:r>
    </w:p>
    <w:p w14:paraId="43462621" w14:textId="77777777" w:rsidR="00580092" w:rsidRPr="00576AF8" w:rsidRDefault="00580092" w:rsidP="004F4CFD">
      <w:pPr>
        <w:tabs>
          <w:tab w:val="left" w:pos="4620"/>
        </w:tabs>
        <w:spacing w:after="200"/>
        <w:rPr>
          <w:i/>
        </w:rPr>
      </w:pPr>
      <w:r w:rsidRPr="00576AF8">
        <w:rPr>
          <w:i/>
        </w:rPr>
        <w:t>[Nombre y cargo en letra de imprenta]</w:t>
      </w:r>
      <w:r w:rsidRPr="00576AF8">
        <w:tab/>
      </w:r>
      <w:r w:rsidRPr="00576AF8">
        <w:rPr>
          <w:i/>
        </w:rPr>
        <w:t>[Nombre y cargo en letra de imprenta]</w:t>
      </w:r>
    </w:p>
    <w:p w14:paraId="7531981A" w14:textId="77777777" w:rsidR="00580092" w:rsidRPr="00576AF8" w:rsidRDefault="00580092" w:rsidP="002D3400">
      <w:pPr>
        <w:pStyle w:val="TOC3-1"/>
      </w:pPr>
      <w:r w:rsidRPr="00576AF8">
        <w:br w:type="page"/>
      </w:r>
      <w:bookmarkStart w:id="521" w:name="_Toc125871321"/>
      <w:bookmarkStart w:id="522" w:name="_Toc454958452"/>
      <w:bookmarkStart w:id="523" w:name="_Toc476309235"/>
      <w:bookmarkStart w:id="524" w:name="_Toc527966234"/>
      <w:r w:rsidRPr="00576AF8">
        <w:lastRenderedPageBreak/>
        <w:t xml:space="preserve">Formulario de </w:t>
      </w:r>
      <w:r w:rsidR="005E641B" w:rsidRPr="00576AF8">
        <w:t xml:space="preserve">Declaración </w:t>
      </w:r>
      <w:r w:rsidRPr="00576AF8">
        <w:t xml:space="preserve">de </w:t>
      </w:r>
      <w:r w:rsidR="005E641B" w:rsidRPr="00576AF8">
        <w:t xml:space="preserve">Mantenimiento </w:t>
      </w:r>
      <w:r w:rsidRPr="00576AF8">
        <w:t>de la Oferta</w:t>
      </w:r>
      <w:bookmarkEnd w:id="521"/>
      <w:bookmarkEnd w:id="522"/>
      <w:bookmarkEnd w:id="523"/>
      <w:bookmarkEnd w:id="524"/>
    </w:p>
    <w:p w14:paraId="0AA50EAA" w14:textId="77777777" w:rsidR="00AD4FFD" w:rsidRPr="00576AF8" w:rsidRDefault="00AD4FFD" w:rsidP="00AD4FFD">
      <w:pPr>
        <w:suppressAutoHyphens w:val="0"/>
        <w:spacing w:after="0"/>
        <w:jc w:val="left"/>
        <w:rPr>
          <w:i/>
          <w:iCs/>
        </w:rPr>
      </w:pPr>
      <w:r w:rsidRPr="00576AF8">
        <w:rPr>
          <w:i/>
        </w:rPr>
        <w:t>[El Licitante deberá completar este formulario según las instrucciones indicadas].</w:t>
      </w:r>
    </w:p>
    <w:p w14:paraId="793054EA" w14:textId="77777777" w:rsidR="00580092" w:rsidRPr="00576AF8" w:rsidRDefault="00580092" w:rsidP="00580092">
      <w:pPr>
        <w:tabs>
          <w:tab w:val="left" w:pos="4968"/>
          <w:tab w:val="left" w:pos="9558"/>
        </w:tabs>
      </w:pPr>
    </w:p>
    <w:p w14:paraId="4E3687F3" w14:textId="77777777" w:rsidR="00AD4FFD" w:rsidRPr="00576AF8" w:rsidRDefault="00AD4FFD" w:rsidP="00AD4FFD">
      <w:pPr>
        <w:tabs>
          <w:tab w:val="right" w:pos="9360"/>
        </w:tabs>
        <w:suppressAutoHyphens w:val="0"/>
        <w:spacing w:after="0"/>
        <w:ind w:left="720" w:hanging="720"/>
        <w:jc w:val="right"/>
      </w:pPr>
      <w:r w:rsidRPr="00576AF8">
        <w:t xml:space="preserve">Fecha: </w:t>
      </w:r>
      <w:r w:rsidRPr="00576AF8">
        <w:rPr>
          <w:i/>
        </w:rPr>
        <w:t>[indique la fecha (día, mes y año)]</w:t>
      </w:r>
    </w:p>
    <w:p w14:paraId="1D0A4155" w14:textId="77777777" w:rsidR="00AD4FFD" w:rsidRPr="00576AF8" w:rsidRDefault="00BB2041" w:rsidP="00AD4FFD">
      <w:pPr>
        <w:tabs>
          <w:tab w:val="right" w:pos="9360"/>
        </w:tabs>
        <w:suppressAutoHyphens w:val="0"/>
        <w:spacing w:after="0"/>
        <w:ind w:left="720" w:hanging="720"/>
        <w:jc w:val="right"/>
        <w:rPr>
          <w:i/>
        </w:rPr>
      </w:pPr>
      <w:r w:rsidRPr="00576AF8">
        <w:t xml:space="preserve">SDO </w:t>
      </w:r>
      <w:r w:rsidR="00AD4FFD" w:rsidRPr="00576AF8">
        <w:t xml:space="preserve">n.º: </w:t>
      </w:r>
      <w:r w:rsidR="0043323C" w:rsidRPr="00576AF8">
        <w:rPr>
          <w:iCs/>
        </w:rPr>
        <w:t>EC-L1257-P00015</w:t>
      </w:r>
    </w:p>
    <w:p w14:paraId="2D791B5E" w14:textId="77777777" w:rsidR="00AD4FFD" w:rsidRPr="00576AF8" w:rsidRDefault="00AD4FFD" w:rsidP="00AD4FFD">
      <w:pPr>
        <w:tabs>
          <w:tab w:val="right" w:pos="9360"/>
        </w:tabs>
        <w:suppressAutoHyphens w:val="0"/>
        <w:spacing w:after="0"/>
        <w:ind w:left="720" w:hanging="720"/>
        <w:jc w:val="right"/>
      </w:pPr>
      <w:r w:rsidRPr="00576AF8">
        <w:t xml:space="preserve">Alternativa n.°: </w:t>
      </w:r>
      <w:r w:rsidRPr="00576AF8">
        <w:rPr>
          <w:i/>
        </w:rPr>
        <w:t>[indique el n.° de identificación si se trata de una Oferta para una alternativa]</w:t>
      </w:r>
    </w:p>
    <w:p w14:paraId="1A1BB58D" w14:textId="77777777" w:rsidR="00AD4FFD" w:rsidRPr="00576AF8" w:rsidRDefault="00AD4FFD" w:rsidP="00AD4FFD">
      <w:pPr>
        <w:tabs>
          <w:tab w:val="right" w:pos="9360"/>
        </w:tabs>
        <w:suppressAutoHyphens w:val="0"/>
        <w:spacing w:after="0"/>
        <w:ind w:left="720" w:hanging="720"/>
        <w:jc w:val="right"/>
        <w:rPr>
          <w:sz w:val="28"/>
        </w:rPr>
      </w:pPr>
    </w:p>
    <w:p w14:paraId="341091E1" w14:textId="77777777" w:rsidR="00AD4FFD" w:rsidRPr="00576AF8" w:rsidRDefault="00AD4FFD" w:rsidP="00AD4FFD">
      <w:pPr>
        <w:suppressAutoHyphens w:val="0"/>
        <w:spacing w:after="0"/>
        <w:jc w:val="left"/>
      </w:pPr>
    </w:p>
    <w:p w14:paraId="7AB92C4B" w14:textId="77777777" w:rsidR="00AD4FFD" w:rsidRPr="00576AF8" w:rsidRDefault="00AD4FFD" w:rsidP="00AD4FFD">
      <w:pPr>
        <w:suppressAutoHyphens w:val="0"/>
        <w:spacing w:after="200"/>
        <w:jc w:val="left"/>
        <w:rPr>
          <w:b/>
        </w:rPr>
      </w:pPr>
      <w:r w:rsidRPr="00576AF8">
        <w:t xml:space="preserve">Para: </w:t>
      </w:r>
      <w:r w:rsidR="0043323C" w:rsidRPr="00576AF8">
        <w:rPr>
          <w:iCs/>
        </w:rPr>
        <w:t>Ministerio de Energía y Minas</w:t>
      </w:r>
    </w:p>
    <w:p w14:paraId="2CE524FF" w14:textId="77777777" w:rsidR="00580092" w:rsidRPr="00576AF8" w:rsidRDefault="00580092" w:rsidP="00580092">
      <w:pPr>
        <w:spacing w:after="200"/>
      </w:pPr>
      <w:r w:rsidRPr="00576AF8">
        <w:t xml:space="preserve">Nosotros, </w:t>
      </w:r>
      <w:r w:rsidR="00E05481" w:rsidRPr="00576AF8">
        <w:t>los suscritos, declaramos que:</w:t>
      </w:r>
    </w:p>
    <w:p w14:paraId="6DC905E7" w14:textId="77777777" w:rsidR="00580092" w:rsidRPr="00576AF8" w:rsidRDefault="00580092" w:rsidP="00580092">
      <w:pPr>
        <w:pStyle w:val="NormalWeb"/>
        <w:spacing w:before="0" w:beforeAutospacing="0" w:after="200" w:afterAutospacing="0"/>
        <w:rPr>
          <w:rFonts w:ascii="Times New Roman" w:hAnsi="Times New Roman" w:cs="Times New Roman"/>
          <w:szCs w:val="20"/>
        </w:rPr>
      </w:pPr>
      <w:r w:rsidRPr="00576AF8">
        <w:rPr>
          <w:rFonts w:ascii="Times New Roman" w:hAnsi="Times New Roman" w:cs="Times New Roman"/>
        </w:rPr>
        <w:t xml:space="preserve">Entendemos que, según sus condiciones, las Ofertas deberán estar respaldadas por una </w:t>
      </w:r>
      <w:r w:rsidR="00427F5D" w:rsidRPr="00576AF8">
        <w:rPr>
          <w:rFonts w:ascii="Times New Roman" w:hAnsi="Times New Roman" w:cs="Times New Roman"/>
        </w:rPr>
        <w:t>d</w:t>
      </w:r>
      <w:r w:rsidRPr="00576AF8">
        <w:rPr>
          <w:rFonts w:ascii="Times New Roman" w:hAnsi="Times New Roman" w:cs="Times New Roman"/>
        </w:rPr>
        <w:t xml:space="preserve">eclaración de </w:t>
      </w:r>
      <w:r w:rsidR="00427F5D" w:rsidRPr="00576AF8">
        <w:rPr>
          <w:rFonts w:ascii="Times New Roman" w:hAnsi="Times New Roman" w:cs="Times New Roman"/>
        </w:rPr>
        <w:t>m</w:t>
      </w:r>
      <w:r w:rsidRPr="00576AF8">
        <w:rPr>
          <w:rFonts w:ascii="Times New Roman" w:hAnsi="Times New Roman" w:cs="Times New Roman"/>
        </w:rPr>
        <w:t>antenimiento de la Oferta.</w:t>
      </w:r>
    </w:p>
    <w:p w14:paraId="53F462C2" w14:textId="77777777" w:rsidR="00580092" w:rsidRPr="00576AF8" w:rsidRDefault="00580092" w:rsidP="00580092">
      <w:pPr>
        <w:pStyle w:val="NormalWeb"/>
        <w:spacing w:before="0" w:beforeAutospacing="0" w:after="200" w:afterAutospacing="0"/>
        <w:rPr>
          <w:rFonts w:ascii="Times New Roman" w:hAnsi="Times New Roman" w:cs="Times New Roman"/>
          <w:szCs w:val="20"/>
        </w:rPr>
      </w:pPr>
      <w:r w:rsidRPr="00576AF8">
        <w:rPr>
          <w:rFonts w:ascii="Times New Roman" w:hAnsi="Times New Roman" w:cs="Times New Roman"/>
        </w:rPr>
        <w:t xml:space="preserve">Aceptamos que automáticamente seremos declarados no elegibles para participar en la licitación de cualquier contrato con el Comprador por un período de </w:t>
      </w:r>
      <w:r w:rsidR="00240C8A" w:rsidRPr="00576AF8">
        <w:rPr>
          <w:rFonts w:ascii="Times New Roman" w:hAnsi="Times New Roman" w:cs="Times New Roman"/>
        </w:rPr>
        <w:t>_</w:t>
      </w:r>
      <w:r w:rsidRPr="00576AF8">
        <w:rPr>
          <w:rFonts w:ascii="Times New Roman" w:hAnsi="Times New Roman" w:cs="Times New Roman"/>
          <w:i/>
        </w:rPr>
        <w:t>_</w:t>
      </w:r>
      <w:r w:rsidR="00240C8A" w:rsidRPr="00576AF8">
        <w:rPr>
          <w:rFonts w:ascii="Times New Roman" w:hAnsi="Times New Roman" w:cs="Times New Roman"/>
          <w:i/>
        </w:rPr>
        <w:t xml:space="preserve"> </w:t>
      </w:r>
      <w:r w:rsidRPr="00576AF8">
        <w:rPr>
          <w:rFonts w:ascii="Times New Roman" w:hAnsi="Times New Roman" w:cs="Times New Roman"/>
          <w:i/>
        </w:rPr>
        <w:t>[número de meses o años]</w:t>
      </w:r>
      <w:r w:rsidRPr="00576AF8">
        <w:rPr>
          <w:rFonts w:ascii="Times New Roman" w:hAnsi="Times New Roman" w:cs="Times New Roman"/>
        </w:rPr>
        <w:t xml:space="preserve"> </w:t>
      </w:r>
      <w:r w:rsidRPr="00576AF8">
        <w:rPr>
          <w:rFonts w:ascii="Times New Roman" w:hAnsi="Times New Roman" w:cs="Times New Roman"/>
          <w:i/>
        </w:rPr>
        <w:t xml:space="preserve">_______________, </w:t>
      </w:r>
      <w:r w:rsidRPr="00576AF8">
        <w:rPr>
          <w:rFonts w:ascii="Times New Roman" w:hAnsi="Times New Roman" w:cs="Times New Roman"/>
        </w:rPr>
        <w:t xml:space="preserve">a partir del </w:t>
      </w:r>
      <w:r w:rsidRPr="00576AF8">
        <w:rPr>
          <w:rFonts w:ascii="Times New Roman" w:hAnsi="Times New Roman" w:cs="Times New Roman"/>
          <w:i/>
        </w:rPr>
        <w:t>__ [fecha]__________,</w:t>
      </w:r>
      <w:r w:rsidRPr="00576AF8">
        <w:rPr>
          <w:rFonts w:ascii="Times New Roman" w:hAnsi="Times New Roman" w:cs="Times New Roman"/>
        </w:rPr>
        <w:t xml:space="preserve"> si incumplimos las obligaciones contraídas en virtud de las condiciones de la Oferta:</w:t>
      </w:r>
    </w:p>
    <w:p w14:paraId="617D7F6C" w14:textId="77777777" w:rsidR="00580092" w:rsidRPr="00576AF8" w:rsidRDefault="00580092">
      <w:pPr>
        <w:pStyle w:val="NormalWeb"/>
        <w:numPr>
          <w:ilvl w:val="0"/>
          <w:numId w:val="43"/>
        </w:numPr>
        <w:spacing w:before="0" w:beforeAutospacing="0" w:after="200" w:afterAutospacing="0"/>
        <w:ind w:left="567" w:hanging="553"/>
        <w:rPr>
          <w:rFonts w:ascii="Times New Roman" w:hAnsi="Times New Roman" w:cs="Times New Roman"/>
          <w:szCs w:val="20"/>
        </w:rPr>
      </w:pPr>
      <w:r w:rsidRPr="00576AF8">
        <w:rPr>
          <w:rFonts w:ascii="Times New Roman" w:hAnsi="Times New Roman" w:cs="Times New Roman"/>
        </w:rPr>
        <w:t xml:space="preserve">por haber retirado nuestra Oferta durante su período de validez especificado en la </w:t>
      </w:r>
      <w:r w:rsidR="00314214" w:rsidRPr="00576AF8">
        <w:rPr>
          <w:rFonts w:ascii="Times New Roman" w:hAnsi="Times New Roman" w:cs="Times New Roman"/>
        </w:rPr>
        <w:t>c</w:t>
      </w:r>
      <w:r w:rsidRPr="00576AF8">
        <w:rPr>
          <w:rFonts w:ascii="Times New Roman" w:hAnsi="Times New Roman" w:cs="Times New Roman"/>
        </w:rPr>
        <w:t xml:space="preserve">arta de </w:t>
      </w:r>
      <w:r w:rsidR="00240C8A" w:rsidRPr="00576AF8">
        <w:rPr>
          <w:rFonts w:ascii="Times New Roman" w:hAnsi="Times New Roman" w:cs="Times New Roman"/>
        </w:rPr>
        <w:br/>
      </w:r>
      <w:r w:rsidRPr="00576AF8">
        <w:rPr>
          <w:rFonts w:ascii="Times New Roman" w:hAnsi="Times New Roman" w:cs="Times New Roman"/>
        </w:rPr>
        <w:t>la Oferta;</w:t>
      </w:r>
    </w:p>
    <w:p w14:paraId="268E2EFF" w14:textId="77777777" w:rsidR="00580092" w:rsidRPr="00576AF8" w:rsidRDefault="00580092">
      <w:pPr>
        <w:pStyle w:val="NormalWeb"/>
        <w:numPr>
          <w:ilvl w:val="0"/>
          <w:numId w:val="43"/>
        </w:numPr>
        <w:spacing w:before="0" w:beforeAutospacing="0" w:after="200" w:afterAutospacing="0"/>
        <w:ind w:left="567" w:hanging="553"/>
        <w:rPr>
          <w:rFonts w:ascii="Times New Roman" w:hAnsi="Times New Roman" w:cs="Times New Roman"/>
          <w:szCs w:val="20"/>
        </w:rPr>
      </w:pPr>
      <w:r w:rsidRPr="00576AF8">
        <w:rPr>
          <w:rFonts w:ascii="Times New Roman" w:hAnsi="Times New Roman" w:cs="Times New Roman"/>
        </w:rPr>
        <w:t xml:space="preserve">porque, después de haber sido notificados por el Comprador de la aceptación de nuestra Oferta, durante su período de validez </w:t>
      </w:r>
      <w:r w:rsidR="005E641B" w:rsidRPr="00576AF8">
        <w:rPr>
          <w:rFonts w:ascii="Times New Roman" w:hAnsi="Times New Roman" w:cs="Times New Roman"/>
        </w:rPr>
        <w:t>(</w:t>
      </w:r>
      <w:r w:rsidRPr="00576AF8">
        <w:rPr>
          <w:rFonts w:ascii="Times New Roman" w:hAnsi="Times New Roman" w:cs="Times New Roman"/>
        </w:rPr>
        <w:t xml:space="preserve">i) no firmamos o nos rehusamos a firmar el Contrato, si así se nos solicita, o </w:t>
      </w:r>
      <w:r w:rsidR="005E641B" w:rsidRPr="00576AF8">
        <w:rPr>
          <w:rFonts w:ascii="Times New Roman" w:hAnsi="Times New Roman" w:cs="Times New Roman"/>
        </w:rPr>
        <w:t>(</w:t>
      </w:r>
      <w:r w:rsidRPr="00576AF8">
        <w:rPr>
          <w:rFonts w:ascii="Times New Roman" w:hAnsi="Times New Roman" w:cs="Times New Roman"/>
        </w:rPr>
        <w:t xml:space="preserve">ii) no suministramos o nos rehusamos a suministrar la </w:t>
      </w:r>
      <w:r w:rsidR="00984DF4" w:rsidRPr="00576AF8">
        <w:rPr>
          <w:rFonts w:ascii="Times New Roman" w:hAnsi="Times New Roman" w:cs="Times New Roman"/>
        </w:rPr>
        <w:t>garantía</w:t>
      </w:r>
      <w:r w:rsidRPr="00576AF8">
        <w:rPr>
          <w:rFonts w:ascii="Times New Roman" w:hAnsi="Times New Roman" w:cs="Times New Roman"/>
        </w:rPr>
        <w:t xml:space="preserve"> de </w:t>
      </w:r>
      <w:r w:rsidR="00427F5D" w:rsidRPr="00576AF8">
        <w:rPr>
          <w:rFonts w:ascii="Times New Roman" w:hAnsi="Times New Roman" w:cs="Times New Roman"/>
        </w:rPr>
        <w:t>c</w:t>
      </w:r>
      <w:r w:rsidRPr="00576AF8">
        <w:rPr>
          <w:rFonts w:ascii="Times New Roman" w:hAnsi="Times New Roman" w:cs="Times New Roman"/>
        </w:rPr>
        <w:t xml:space="preserve">umplimiento, según lo dispuesto en las Instrucciones </w:t>
      </w:r>
      <w:r w:rsidR="00C013ED" w:rsidRPr="00576AF8">
        <w:rPr>
          <w:rFonts w:ascii="Times New Roman" w:hAnsi="Times New Roman" w:cs="Times New Roman"/>
        </w:rPr>
        <w:t xml:space="preserve">a </w:t>
      </w:r>
      <w:r w:rsidRPr="00576AF8">
        <w:rPr>
          <w:rFonts w:ascii="Times New Roman" w:hAnsi="Times New Roman" w:cs="Times New Roman"/>
        </w:rPr>
        <w:t>los Licitantes.</w:t>
      </w:r>
    </w:p>
    <w:p w14:paraId="37ADC188" w14:textId="77777777" w:rsidR="00580092" w:rsidRPr="00576AF8" w:rsidRDefault="00580092" w:rsidP="00580092">
      <w:pPr>
        <w:pStyle w:val="NormalWeb"/>
        <w:spacing w:before="0" w:beforeAutospacing="0" w:after="200" w:afterAutospacing="0"/>
        <w:rPr>
          <w:rFonts w:ascii="Times New Roman" w:hAnsi="Times New Roman" w:cs="Times New Roman"/>
          <w:szCs w:val="20"/>
        </w:rPr>
      </w:pPr>
      <w:r w:rsidRPr="00576AF8">
        <w:rPr>
          <w:rFonts w:ascii="Times New Roman" w:hAnsi="Times New Roman" w:cs="Times New Roman"/>
        </w:rPr>
        <w:t xml:space="preserve">Entendemos que esta </w:t>
      </w:r>
      <w:r w:rsidR="00427F5D" w:rsidRPr="00576AF8">
        <w:rPr>
          <w:rFonts w:ascii="Times New Roman" w:hAnsi="Times New Roman" w:cs="Times New Roman"/>
        </w:rPr>
        <w:t>d</w:t>
      </w:r>
      <w:r w:rsidRPr="00576AF8">
        <w:rPr>
          <w:rFonts w:ascii="Times New Roman" w:hAnsi="Times New Roman" w:cs="Times New Roman"/>
        </w:rPr>
        <w:t xml:space="preserve">eclaración de </w:t>
      </w:r>
      <w:r w:rsidR="00427F5D" w:rsidRPr="00576AF8">
        <w:rPr>
          <w:rFonts w:ascii="Times New Roman" w:hAnsi="Times New Roman" w:cs="Times New Roman"/>
        </w:rPr>
        <w:t>m</w:t>
      </w:r>
      <w:r w:rsidRPr="00576AF8">
        <w:rPr>
          <w:rFonts w:ascii="Times New Roman" w:hAnsi="Times New Roman" w:cs="Times New Roman"/>
        </w:rPr>
        <w:t xml:space="preserve">antenimiento de la Oferta expirará si no resultamos seleccionados, cuando ocurra el primero de los siguientes hechos: </w:t>
      </w:r>
      <w:r w:rsidR="00240C8A" w:rsidRPr="00576AF8">
        <w:rPr>
          <w:rFonts w:ascii="Times New Roman" w:hAnsi="Times New Roman" w:cs="Times New Roman"/>
        </w:rPr>
        <w:t>(</w:t>
      </w:r>
      <w:r w:rsidRPr="00576AF8">
        <w:rPr>
          <w:rFonts w:ascii="Times New Roman" w:hAnsi="Times New Roman" w:cs="Times New Roman"/>
        </w:rPr>
        <w:t xml:space="preserve">i) cuando recibamos la notificación que usted nos envíe con el nombre del Licitante seleccionado, o </w:t>
      </w:r>
      <w:r w:rsidR="00240C8A" w:rsidRPr="00576AF8">
        <w:rPr>
          <w:rFonts w:ascii="Times New Roman" w:hAnsi="Times New Roman" w:cs="Times New Roman"/>
        </w:rPr>
        <w:t>(</w:t>
      </w:r>
      <w:r w:rsidRPr="00576AF8">
        <w:rPr>
          <w:rFonts w:ascii="Times New Roman" w:hAnsi="Times New Roman" w:cs="Times New Roman"/>
        </w:rPr>
        <w:t xml:space="preserve">ii) cuando hayan transcurrido veintiocho días </w:t>
      </w:r>
      <w:r w:rsidR="00427F5D" w:rsidRPr="00576AF8">
        <w:rPr>
          <w:rFonts w:ascii="Times New Roman" w:hAnsi="Times New Roman" w:cs="Times New Roman"/>
        </w:rPr>
        <w:t xml:space="preserve">desde </w:t>
      </w:r>
      <w:r w:rsidRPr="00576AF8">
        <w:rPr>
          <w:rFonts w:ascii="Times New Roman" w:hAnsi="Times New Roman" w:cs="Times New Roman"/>
        </w:rPr>
        <w:t>de la expiración de nuestra Oferta.</w:t>
      </w:r>
    </w:p>
    <w:p w14:paraId="1FE65088" w14:textId="77777777" w:rsidR="00324BEF" w:rsidRPr="00576AF8" w:rsidRDefault="00324BEF" w:rsidP="00324BEF">
      <w:pPr>
        <w:tabs>
          <w:tab w:val="left" w:pos="6120"/>
        </w:tabs>
        <w:suppressAutoHyphens w:val="0"/>
        <w:spacing w:after="200"/>
        <w:jc w:val="left"/>
        <w:rPr>
          <w:iCs/>
        </w:rPr>
      </w:pPr>
      <w:r w:rsidRPr="00576AF8">
        <w:t>Nombre del Licitante</w:t>
      </w:r>
      <w:r w:rsidRPr="00576AF8">
        <w:rPr>
          <w:b/>
        </w:rPr>
        <w:t>*</w:t>
      </w:r>
      <w:r w:rsidRPr="00576AF8">
        <w:rPr>
          <w:iCs/>
          <w:u w:val="single"/>
        </w:rPr>
        <w:tab/>
      </w:r>
    </w:p>
    <w:p w14:paraId="61AC27E1" w14:textId="77777777" w:rsidR="00324BEF" w:rsidRPr="00576AF8" w:rsidRDefault="00324BEF" w:rsidP="00240C8A">
      <w:pPr>
        <w:tabs>
          <w:tab w:val="right" w:pos="9000"/>
        </w:tabs>
        <w:suppressAutoHyphens w:val="0"/>
        <w:spacing w:after="200"/>
        <w:jc w:val="left"/>
        <w:rPr>
          <w:iCs/>
          <w:u w:val="single"/>
        </w:rPr>
      </w:pPr>
      <w:r w:rsidRPr="00576AF8">
        <w:t xml:space="preserve">Nombre de la persona debidamente autorizada </w:t>
      </w:r>
      <w:r w:rsidR="00240C8A" w:rsidRPr="00576AF8">
        <w:br/>
      </w:r>
      <w:r w:rsidRPr="00576AF8">
        <w:t>para firmar la Oferta en nombre del Licitante</w:t>
      </w:r>
      <w:r w:rsidRPr="00576AF8">
        <w:rPr>
          <w:b/>
        </w:rPr>
        <w:t>**</w:t>
      </w:r>
      <w:r w:rsidRPr="00576AF8">
        <w:rPr>
          <w:u w:val="single"/>
        </w:rPr>
        <w:tab/>
      </w:r>
    </w:p>
    <w:p w14:paraId="2482BE9A" w14:textId="77777777" w:rsidR="00324BEF" w:rsidRPr="00576AF8" w:rsidRDefault="00324BEF" w:rsidP="00324BEF">
      <w:pPr>
        <w:tabs>
          <w:tab w:val="right" w:pos="9000"/>
        </w:tabs>
        <w:suppressAutoHyphens w:val="0"/>
        <w:spacing w:after="200"/>
        <w:jc w:val="left"/>
        <w:rPr>
          <w:iCs/>
        </w:rPr>
      </w:pPr>
      <w:r w:rsidRPr="00576AF8">
        <w:t>Cargo de la persona que firma la Oferta</w:t>
      </w:r>
      <w:r w:rsidRPr="00576AF8">
        <w:rPr>
          <w:u w:val="single"/>
        </w:rPr>
        <w:tab/>
      </w:r>
    </w:p>
    <w:p w14:paraId="46D6E7F2" w14:textId="77777777" w:rsidR="00324BEF" w:rsidRPr="00576AF8" w:rsidRDefault="00324BEF" w:rsidP="00324BEF">
      <w:pPr>
        <w:tabs>
          <w:tab w:val="right" w:pos="9000"/>
        </w:tabs>
        <w:suppressAutoHyphens w:val="0"/>
        <w:spacing w:after="200"/>
        <w:jc w:val="left"/>
        <w:rPr>
          <w:iCs/>
        </w:rPr>
      </w:pPr>
      <w:r w:rsidRPr="00576AF8">
        <w:t>Firma de la persona indica</w:t>
      </w:r>
      <w:r w:rsidR="00240C8A" w:rsidRPr="00576AF8">
        <w:t>da arriba</w:t>
      </w:r>
      <w:r w:rsidR="00240C8A" w:rsidRPr="00576AF8">
        <w:rPr>
          <w:u w:val="single"/>
        </w:rPr>
        <w:tab/>
      </w:r>
    </w:p>
    <w:p w14:paraId="3D8D0C20" w14:textId="77777777" w:rsidR="00324BEF" w:rsidRPr="00576AF8" w:rsidRDefault="00324BEF" w:rsidP="00324BEF">
      <w:pPr>
        <w:tabs>
          <w:tab w:val="left" w:pos="6120"/>
        </w:tabs>
        <w:suppressAutoHyphens w:val="0"/>
        <w:spacing w:after="200"/>
        <w:jc w:val="left"/>
        <w:rPr>
          <w:iCs/>
        </w:rPr>
      </w:pPr>
    </w:p>
    <w:p w14:paraId="6716FFF7" w14:textId="77777777" w:rsidR="00324BEF" w:rsidRPr="00576AF8" w:rsidRDefault="00324BEF" w:rsidP="00324BEF">
      <w:pPr>
        <w:tabs>
          <w:tab w:val="left" w:pos="6120"/>
        </w:tabs>
        <w:suppressAutoHyphens w:val="0"/>
        <w:spacing w:after="200"/>
        <w:jc w:val="left"/>
      </w:pPr>
      <w:r w:rsidRPr="00576AF8">
        <w:t>Fecha de la firma ________________________________ de ___________________ de _____</w:t>
      </w:r>
    </w:p>
    <w:p w14:paraId="7866867C" w14:textId="77777777" w:rsidR="00145DD8" w:rsidRPr="00576AF8" w:rsidRDefault="00145DD8" w:rsidP="00324BEF">
      <w:pPr>
        <w:tabs>
          <w:tab w:val="left" w:pos="6120"/>
        </w:tabs>
        <w:suppressAutoHyphens w:val="0"/>
        <w:spacing w:after="200"/>
        <w:jc w:val="left"/>
        <w:rPr>
          <w:iCs/>
        </w:rPr>
      </w:pPr>
    </w:p>
    <w:p w14:paraId="1042487F" w14:textId="77777777" w:rsidR="00324BEF" w:rsidRPr="00576AF8" w:rsidRDefault="00324BEF" w:rsidP="00240C8A">
      <w:pPr>
        <w:pageBreakBefore/>
        <w:tabs>
          <w:tab w:val="left" w:pos="6120"/>
        </w:tabs>
        <w:suppressAutoHyphens w:val="0"/>
        <w:spacing w:after="200"/>
        <w:jc w:val="left"/>
        <w:rPr>
          <w:iCs/>
          <w:spacing w:val="-3"/>
          <w:sz w:val="20"/>
        </w:rPr>
      </w:pPr>
      <w:r w:rsidRPr="00576AF8">
        <w:rPr>
          <w:b/>
          <w:spacing w:val="-3"/>
          <w:sz w:val="20"/>
        </w:rPr>
        <w:lastRenderedPageBreak/>
        <w:t>*</w:t>
      </w:r>
      <w:r w:rsidRPr="00576AF8">
        <w:rPr>
          <w:spacing w:val="-3"/>
          <w:sz w:val="20"/>
        </w:rPr>
        <w:t xml:space="preserve">: En caso de que la Oferta sea presentada por una </w:t>
      </w:r>
      <w:r w:rsidR="000107E9" w:rsidRPr="00576AF8">
        <w:rPr>
          <w:spacing w:val="-3"/>
          <w:sz w:val="20"/>
        </w:rPr>
        <w:t>APCA</w:t>
      </w:r>
      <w:r w:rsidRPr="00576AF8">
        <w:rPr>
          <w:spacing w:val="-3"/>
          <w:sz w:val="20"/>
        </w:rPr>
        <w:t xml:space="preserve">, especifique el nombre de la </w:t>
      </w:r>
      <w:r w:rsidR="000107E9" w:rsidRPr="00576AF8">
        <w:rPr>
          <w:spacing w:val="-3"/>
          <w:sz w:val="20"/>
        </w:rPr>
        <w:t>APCA</w:t>
      </w:r>
      <w:r w:rsidR="00E05481" w:rsidRPr="00576AF8">
        <w:rPr>
          <w:spacing w:val="-3"/>
          <w:sz w:val="20"/>
        </w:rPr>
        <w:t xml:space="preserve"> que actúa como Licitante.</w:t>
      </w:r>
    </w:p>
    <w:p w14:paraId="59E3F6F1" w14:textId="77777777" w:rsidR="00324BEF" w:rsidRPr="00576AF8" w:rsidRDefault="00324BEF" w:rsidP="00324BEF">
      <w:pPr>
        <w:tabs>
          <w:tab w:val="right" w:pos="9000"/>
        </w:tabs>
        <w:spacing w:after="0"/>
        <w:jc w:val="left"/>
        <w:rPr>
          <w:bCs/>
          <w:iCs/>
          <w:sz w:val="20"/>
        </w:rPr>
      </w:pPr>
      <w:r w:rsidRPr="00576AF8">
        <w:rPr>
          <w:sz w:val="20"/>
        </w:rPr>
        <w:t>**: La persona que firma la Oferta adjuntará a esta el poder que le haya otorgado el Licitante.</w:t>
      </w:r>
    </w:p>
    <w:p w14:paraId="19856E58" w14:textId="77777777" w:rsidR="00324BEF" w:rsidRPr="00576AF8" w:rsidRDefault="00324BEF" w:rsidP="00324BEF">
      <w:pPr>
        <w:tabs>
          <w:tab w:val="right" w:pos="9000"/>
        </w:tabs>
        <w:spacing w:after="0"/>
        <w:jc w:val="left"/>
        <w:rPr>
          <w:bCs/>
          <w:iCs/>
          <w:sz w:val="20"/>
        </w:rPr>
      </w:pPr>
    </w:p>
    <w:p w14:paraId="2EE6E3F0" w14:textId="77777777" w:rsidR="00324BEF" w:rsidRPr="00576AF8" w:rsidRDefault="00324BEF" w:rsidP="00324BEF">
      <w:pPr>
        <w:tabs>
          <w:tab w:val="right" w:pos="9000"/>
        </w:tabs>
        <w:spacing w:after="0"/>
        <w:jc w:val="left"/>
        <w:rPr>
          <w:i/>
          <w:sz w:val="20"/>
        </w:rPr>
      </w:pPr>
      <w:r w:rsidRPr="00576AF8">
        <w:rPr>
          <w:i/>
          <w:sz w:val="20"/>
        </w:rPr>
        <w:t xml:space="preserve">[Nota: En el caso de una </w:t>
      </w:r>
      <w:r w:rsidR="000107E9" w:rsidRPr="00576AF8">
        <w:rPr>
          <w:i/>
          <w:sz w:val="20"/>
        </w:rPr>
        <w:t>APCA</w:t>
      </w:r>
      <w:r w:rsidRPr="00576AF8">
        <w:rPr>
          <w:i/>
          <w:sz w:val="20"/>
        </w:rPr>
        <w:t xml:space="preserve">, la </w:t>
      </w:r>
      <w:r w:rsidR="000B55EF" w:rsidRPr="00576AF8">
        <w:rPr>
          <w:i/>
          <w:sz w:val="20"/>
        </w:rPr>
        <w:t>d</w:t>
      </w:r>
      <w:r w:rsidRPr="00576AF8">
        <w:rPr>
          <w:i/>
          <w:sz w:val="20"/>
        </w:rPr>
        <w:t xml:space="preserve">eclaración de </w:t>
      </w:r>
      <w:r w:rsidR="000B55EF" w:rsidRPr="00576AF8">
        <w:rPr>
          <w:i/>
          <w:sz w:val="20"/>
        </w:rPr>
        <w:t>m</w:t>
      </w:r>
      <w:r w:rsidRPr="00576AF8">
        <w:rPr>
          <w:i/>
          <w:sz w:val="20"/>
        </w:rPr>
        <w:t xml:space="preserve">antenimiento de la Oferta debe estar en nombre de todos los miembros de la </w:t>
      </w:r>
      <w:r w:rsidR="000107E9" w:rsidRPr="00576AF8">
        <w:rPr>
          <w:i/>
          <w:sz w:val="20"/>
        </w:rPr>
        <w:t>APCA</w:t>
      </w:r>
      <w:r w:rsidRPr="00576AF8">
        <w:rPr>
          <w:i/>
          <w:sz w:val="20"/>
        </w:rPr>
        <w:t xml:space="preserve"> que presenta la Oferta].</w:t>
      </w:r>
    </w:p>
    <w:p w14:paraId="6AC329FA" w14:textId="77777777" w:rsidR="00145DD8" w:rsidRPr="00576AF8" w:rsidRDefault="00145DD8" w:rsidP="00324BEF">
      <w:pPr>
        <w:tabs>
          <w:tab w:val="right" w:pos="9000"/>
        </w:tabs>
        <w:spacing w:after="0"/>
        <w:jc w:val="left"/>
        <w:rPr>
          <w:i/>
          <w:iCs/>
          <w:spacing w:val="-2"/>
          <w:sz w:val="20"/>
        </w:rPr>
      </w:pPr>
    </w:p>
    <w:p w14:paraId="5C2E5A13" w14:textId="77777777" w:rsidR="00145DD8" w:rsidRPr="00576AF8" w:rsidRDefault="00145DD8">
      <w:pPr>
        <w:suppressAutoHyphens w:val="0"/>
        <w:spacing w:after="0"/>
        <w:jc w:val="left"/>
        <w:rPr>
          <w:i/>
          <w:iCs/>
          <w:spacing w:val="-2"/>
          <w:sz w:val="20"/>
        </w:rPr>
      </w:pPr>
      <w:r w:rsidRPr="00576AF8">
        <w:rPr>
          <w:i/>
          <w:iCs/>
          <w:spacing w:val="-2"/>
          <w:sz w:val="20"/>
        </w:rPr>
        <w:br w:type="page"/>
      </w:r>
    </w:p>
    <w:p w14:paraId="79426736" w14:textId="77777777" w:rsidR="00145DD8" w:rsidRPr="00576AF8" w:rsidRDefault="00145DD8" w:rsidP="00C85FC3">
      <w:pPr>
        <w:pStyle w:val="TOC3-1"/>
      </w:pPr>
      <w:bookmarkStart w:id="525" w:name="_Toc527966235"/>
      <w:r w:rsidRPr="00576AF8">
        <w:lastRenderedPageBreak/>
        <w:t>Carta de la Oferta - Parte Financiera</w:t>
      </w:r>
      <w:bookmarkEnd w:id="525"/>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145DD8" w:rsidRPr="00576AF8" w14:paraId="716DB117" w14:textId="77777777" w:rsidTr="00510A60">
        <w:tc>
          <w:tcPr>
            <w:tcW w:w="9445" w:type="dxa"/>
          </w:tcPr>
          <w:p w14:paraId="037E7A6E" w14:textId="77777777" w:rsidR="00145DD8" w:rsidRPr="00576AF8" w:rsidRDefault="00145DD8" w:rsidP="00510A60">
            <w:pPr>
              <w:spacing w:before="120"/>
              <w:ind w:right="132"/>
              <w:rPr>
                <w:i/>
              </w:rPr>
            </w:pPr>
            <w:r w:rsidRPr="00576AF8">
              <w:rPr>
                <w:i/>
              </w:rPr>
              <w:t>INSTRUCCIONES A LOS LICITANTES: ELIMINE ESTE RECUADRO UNA VEZ COMPLETADO EL DOCUMENTO.</w:t>
            </w:r>
          </w:p>
          <w:p w14:paraId="262B9286" w14:textId="77777777" w:rsidR="00145DD8" w:rsidRPr="00576AF8" w:rsidRDefault="00145DD8" w:rsidP="00510A60">
            <w:pPr>
              <w:ind w:right="132"/>
              <w:rPr>
                <w:i/>
              </w:rPr>
            </w:pPr>
            <w:r w:rsidRPr="00576AF8">
              <w:rPr>
                <w:i/>
              </w:rPr>
              <w:t>El Licitante deberá preparar esta carta de la Oferta en papel con membrete que indique claramente el nombre completo del Licitante y su dirección comercial.</w:t>
            </w:r>
          </w:p>
          <w:p w14:paraId="70A0D9DF" w14:textId="77777777" w:rsidR="001A499A" w:rsidRPr="00576AF8" w:rsidRDefault="001A499A" w:rsidP="00BD5036">
            <w:pPr>
              <w:spacing w:before="240" w:after="240"/>
              <w:rPr>
                <w:i/>
              </w:rPr>
            </w:pPr>
            <w:r w:rsidRPr="00576AF8">
              <w:rPr>
                <w:i/>
              </w:rPr>
              <w:t xml:space="preserve">En relación con la declaración sobre comisiones, gratificaciones u honorarios, los servicios pueden </w:t>
            </w:r>
            <w:proofErr w:type="gramStart"/>
            <w:r w:rsidRPr="00576AF8">
              <w:rPr>
                <w:i/>
              </w:rPr>
              <w:t>ser</w:t>
            </w:r>
            <w:proofErr w:type="gramEnd"/>
            <w:r w:rsidRPr="00576AF8">
              <w:rPr>
                <w:i/>
              </w:rPr>
              <w:t xml:space="preserve"> por ejemplo, pagos a, o través de, individuos o entidades que están autorizados a actuar en nombre del Licitante para avanzar los intereses del Licitante en lo relacionado con este proceso de licitación o ejecución</w:t>
            </w:r>
            <w:r w:rsidR="00B35AB5" w:rsidRPr="00576AF8">
              <w:rPr>
                <w:i/>
              </w:rPr>
              <w:t xml:space="preserve"> del contrato</w:t>
            </w:r>
            <w:r w:rsidRPr="00576AF8">
              <w:rPr>
                <w:i/>
              </w:rPr>
              <w:t>.</w:t>
            </w:r>
          </w:p>
          <w:p w14:paraId="65D32CE1" w14:textId="77777777" w:rsidR="00145DD8" w:rsidRPr="00576AF8" w:rsidRDefault="00145DD8" w:rsidP="00510A60">
            <w:pPr>
              <w:ind w:right="132"/>
              <w:rPr>
                <w:i/>
              </w:rPr>
            </w:pPr>
            <w:r w:rsidRPr="00576AF8">
              <w:rPr>
                <w:i/>
                <w:u w:val="single"/>
              </w:rPr>
              <w:t>Nota</w:t>
            </w:r>
            <w:r w:rsidRPr="00576AF8">
              <w:rPr>
                <w:i/>
              </w:rPr>
              <w:t xml:space="preserve">: Todo el texto en bastardilla se incluye para ayudar a los Licitantes a preparar </w:t>
            </w:r>
            <w:r w:rsidRPr="00576AF8">
              <w:rPr>
                <w:i/>
              </w:rPr>
              <w:br/>
              <w:t>este formulario.</w:t>
            </w:r>
          </w:p>
        </w:tc>
      </w:tr>
    </w:tbl>
    <w:p w14:paraId="182FBB24" w14:textId="77777777" w:rsidR="00145DD8" w:rsidRPr="00576AF8" w:rsidRDefault="00145DD8" w:rsidP="00145DD8">
      <w:pPr>
        <w:jc w:val="left"/>
      </w:pPr>
    </w:p>
    <w:p w14:paraId="7A2B0A40" w14:textId="77777777" w:rsidR="00145DD8" w:rsidRPr="00576AF8" w:rsidRDefault="00145DD8" w:rsidP="00145DD8">
      <w:pPr>
        <w:tabs>
          <w:tab w:val="right" w:pos="9000"/>
        </w:tabs>
        <w:jc w:val="left"/>
      </w:pPr>
      <w:r w:rsidRPr="00576AF8">
        <w:rPr>
          <w:b/>
        </w:rPr>
        <w:t>Fecha de presentación de esta Oferta:</w:t>
      </w:r>
      <w:r w:rsidRPr="00576AF8">
        <w:t xml:space="preserve"> </w:t>
      </w:r>
      <w:r w:rsidRPr="00576AF8">
        <w:rPr>
          <w:i/>
        </w:rPr>
        <w:t xml:space="preserve">[indique la fecha (día, mes y año) de la presentación </w:t>
      </w:r>
      <w:r w:rsidRPr="00576AF8">
        <w:rPr>
          <w:i/>
        </w:rPr>
        <w:br/>
        <w:t>de la Oferta]</w:t>
      </w:r>
    </w:p>
    <w:p w14:paraId="60351F9A" w14:textId="77777777" w:rsidR="00145DD8" w:rsidRPr="00576AF8" w:rsidRDefault="00BB2041" w:rsidP="00145DD8">
      <w:pPr>
        <w:tabs>
          <w:tab w:val="right" w:pos="9000"/>
        </w:tabs>
        <w:jc w:val="left"/>
      </w:pPr>
      <w:r w:rsidRPr="00576AF8">
        <w:rPr>
          <w:b/>
        </w:rPr>
        <w:t>Solicitud de Ofertas (</w:t>
      </w:r>
      <w:proofErr w:type="gramStart"/>
      <w:r w:rsidRPr="00576AF8">
        <w:rPr>
          <w:b/>
        </w:rPr>
        <w:t xml:space="preserve">SDO)  </w:t>
      </w:r>
      <w:r w:rsidR="00145DD8" w:rsidRPr="00576AF8">
        <w:rPr>
          <w:b/>
        </w:rPr>
        <w:t>n.º</w:t>
      </w:r>
      <w:proofErr w:type="gramEnd"/>
      <w:r w:rsidR="00145DD8" w:rsidRPr="00576AF8">
        <w:rPr>
          <w:b/>
        </w:rPr>
        <w:t>:</w:t>
      </w:r>
      <w:r w:rsidR="00145DD8" w:rsidRPr="00576AF8">
        <w:t xml:space="preserve"> </w:t>
      </w:r>
      <w:r w:rsidR="0043323C" w:rsidRPr="00576AF8">
        <w:t>EC-L1257-P00015</w:t>
      </w:r>
    </w:p>
    <w:p w14:paraId="710A3594" w14:textId="77777777" w:rsidR="00145DD8" w:rsidRPr="00576AF8" w:rsidRDefault="00145DD8" w:rsidP="00145DD8">
      <w:pPr>
        <w:jc w:val="left"/>
      </w:pPr>
      <w:r w:rsidRPr="00576AF8">
        <w:rPr>
          <w:b/>
        </w:rPr>
        <w:t>Alternativa n.º</w:t>
      </w:r>
      <w:r w:rsidRPr="00576AF8">
        <w:t>:</w:t>
      </w:r>
      <w:r w:rsidRPr="00576AF8">
        <w:rPr>
          <w:i/>
        </w:rPr>
        <w:t xml:space="preserve"> [indique el n.° de identificación si se trata de una Oferta para una alternativa]</w:t>
      </w:r>
    </w:p>
    <w:p w14:paraId="2FB6586A" w14:textId="77777777" w:rsidR="00145DD8" w:rsidRPr="00576AF8" w:rsidRDefault="00145DD8" w:rsidP="00145DD8">
      <w:pPr>
        <w:jc w:val="left"/>
      </w:pPr>
    </w:p>
    <w:p w14:paraId="016AB8D9" w14:textId="77777777" w:rsidR="00145DD8" w:rsidRPr="00576AF8" w:rsidRDefault="00145DD8" w:rsidP="00145DD8">
      <w:pPr>
        <w:rPr>
          <w:b/>
          <w:i/>
          <w:iCs/>
        </w:rPr>
      </w:pPr>
      <w:r w:rsidRPr="00576AF8">
        <w:t xml:space="preserve">Para: </w:t>
      </w:r>
      <w:r w:rsidR="0043323C" w:rsidRPr="00576AF8">
        <w:rPr>
          <w:b/>
          <w:i/>
          <w:iCs/>
        </w:rPr>
        <w:t>Ministerio de Energía y Minas</w:t>
      </w:r>
    </w:p>
    <w:p w14:paraId="7642043E" w14:textId="77777777" w:rsidR="00822242" w:rsidRPr="00822242" w:rsidRDefault="00145DD8" w:rsidP="00822242">
      <w:pPr>
        <w:numPr>
          <w:ilvl w:val="0"/>
          <w:numId w:val="79"/>
        </w:numPr>
        <w:suppressAutoHyphens w:val="0"/>
        <w:spacing w:after="200"/>
        <w:ind w:left="720" w:right="-14"/>
        <w:rPr>
          <w:u w:val="single"/>
        </w:rPr>
      </w:pPr>
      <w:r w:rsidRPr="00822242">
        <w:rPr>
          <w:b/>
        </w:rPr>
        <w:t xml:space="preserve">Precio de la Oferta: </w:t>
      </w:r>
      <w:r w:rsidRPr="00576AF8">
        <w:t xml:space="preserve">El precio total de nuestra Oferta, </w:t>
      </w:r>
      <w:r w:rsidRPr="0069781B">
        <w:t>excluid</w:t>
      </w:r>
      <w:r w:rsidR="0079382B" w:rsidRPr="0069781B">
        <w:t>as sumas provisionales</w:t>
      </w:r>
      <w:r w:rsidR="0079382B">
        <w:t xml:space="preserve"> y </w:t>
      </w:r>
      <w:r w:rsidRPr="00576AF8">
        <w:t xml:space="preserve">cualquier descuento ofrecido es: </w:t>
      </w:r>
      <w:r w:rsidR="00822242" w:rsidRPr="00822242">
        <w:rPr>
          <w:i/>
        </w:rPr>
        <w:t>[indique el precio total de la Oferta en letras y números, indicando los diversos montos y las correspondientes monedas]</w:t>
      </w:r>
    </w:p>
    <w:p w14:paraId="5DA9AD31" w14:textId="77777777" w:rsidR="00145DD8" w:rsidRPr="00576AF8" w:rsidRDefault="00145DD8" w:rsidP="00822242">
      <w:pPr>
        <w:numPr>
          <w:ilvl w:val="0"/>
          <w:numId w:val="79"/>
        </w:numPr>
        <w:suppressAutoHyphens w:val="0"/>
        <w:spacing w:after="200"/>
        <w:ind w:left="720" w:right="-14"/>
      </w:pPr>
      <w:r w:rsidRPr="00576AF8">
        <w:rPr>
          <w:b/>
        </w:rPr>
        <w:t>Período de validez de la Oferta:</w:t>
      </w:r>
      <w:r w:rsidRPr="00576AF8">
        <w:t xml:space="preserve"> Nuestra Oferta será válida por el período establecido en la IAL 19.1 de los DDL (con las enmiendas que correspondan, si las hubiera), a partir del día fijado como fecha límite para la presentación de Ofertas que se especifica en la IAL 23.1 de los DDL (con las enmiendas que correspondan, si las hubiera), y seguirá siendo de carácter vinculante para nosotros y podrá ser aceptada en cualquier momento antes de la finalización de ese período.</w:t>
      </w:r>
    </w:p>
    <w:p w14:paraId="5166211E" w14:textId="77777777" w:rsidR="00145DD8" w:rsidRPr="00576AF8" w:rsidRDefault="00145DD8" w:rsidP="00822242">
      <w:pPr>
        <w:numPr>
          <w:ilvl w:val="0"/>
          <w:numId w:val="79"/>
        </w:numPr>
        <w:suppressAutoHyphens w:val="0"/>
        <w:spacing w:after="200"/>
        <w:ind w:left="720" w:right="-14"/>
        <w:rPr>
          <w:i/>
        </w:rPr>
      </w:pPr>
      <w:r w:rsidRPr="00576AF8">
        <w:rPr>
          <w:b/>
        </w:rPr>
        <w:t>Comisiones, gratificaciones y honorarios</w:t>
      </w:r>
      <w:r w:rsidRPr="00576AF8">
        <w:t xml:space="preserve">: Hemos pagado o pagaremos las siguientes comisiones, gratificaciones u honorarios en relación con el proceso de Licitación o la ejecución del Contrato: </w:t>
      </w:r>
      <w:r w:rsidRPr="00576AF8">
        <w:rPr>
          <w:i/>
        </w:rPr>
        <w:t>[indique el nombre completo de cada Receptor, su dirección completa, el motivo por el cual se pagó cada comisión o gratificación, y el monto y la moneda de cada una de ellas]</w:t>
      </w:r>
    </w:p>
    <w:p w14:paraId="56116074" w14:textId="77777777" w:rsidR="00145DD8" w:rsidRPr="00576AF8" w:rsidRDefault="00145DD8" w:rsidP="00145DD8">
      <w:pPr>
        <w:ind w:left="540"/>
        <w:rPr>
          <w:i/>
        </w:rPr>
      </w:pPr>
      <w:r w:rsidRPr="00576AF8">
        <w:rPr>
          <w:i/>
        </w:rPr>
        <w:t>[Si no se pagaron ni se pagarán, indique “Ninguna”]</w:t>
      </w:r>
    </w:p>
    <w:p w14:paraId="73AE12D6" w14:textId="77777777" w:rsidR="00C85FC3" w:rsidRPr="00576AF8" w:rsidRDefault="00C85FC3" w:rsidP="00C85FC3">
      <w:pPr>
        <w:numPr>
          <w:ilvl w:val="12"/>
          <w:numId w:val="0"/>
        </w:numPr>
        <w:tabs>
          <w:tab w:val="num" w:pos="540"/>
        </w:tabs>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2093"/>
        <w:gridCol w:w="2093"/>
      </w:tblGrid>
      <w:tr w:rsidR="00C85FC3" w:rsidRPr="00576AF8" w14:paraId="7F3F978C"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hideMark/>
          </w:tcPr>
          <w:p w14:paraId="78158DA1" w14:textId="77777777" w:rsidR="00C85FC3" w:rsidRPr="00576AF8" w:rsidRDefault="00C85FC3" w:rsidP="00510A60">
            <w:pPr>
              <w:tabs>
                <w:tab w:val="left" w:pos="2070"/>
              </w:tabs>
              <w:jc w:val="center"/>
            </w:pPr>
            <w:r w:rsidRPr="00576AF8">
              <w:lastRenderedPageBreak/>
              <w:t>Nombre del receptor</w:t>
            </w:r>
          </w:p>
        </w:tc>
        <w:tc>
          <w:tcPr>
            <w:tcW w:w="1886" w:type="dxa"/>
            <w:tcBorders>
              <w:top w:val="single" w:sz="4" w:space="0" w:color="auto"/>
              <w:left w:val="single" w:sz="4" w:space="0" w:color="auto"/>
              <w:bottom w:val="single" w:sz="4" w:space="0" w:color="auto"/>
              <w:right w:val="single" w:sz="4" w:space="0" w:color="auto"/>
            </w:tcBorders>
            <w:hideMark/>
          </w:tcPr>
          <w:p w14:paraId="6DE75D49" w14:textId="77777777" w:rsidR="00C85FC3" w:rsidRPr="00576AF8" w:rsidRDefault="00C85FC3" w:rsidP="00510A60">
            <w:pPr>
              <w:tabs>
                <w:tab w:val="left" w:pos="2070"/>
              </w:tabs>
              <w:jc w:val="center"/>
            </w:pPr>
            <w:r w:rsidRPr="00576AF8">
              <w:t>Dirección</w:t>
            </w:r>
          </w:p>
        </w:tc>
        <w:tc>
          <w:tcPr>
            <w:tcW w:w="1886" w:type="dxa"/>
            <w:tcBorders>
              <w:top w:val="single" w:sz="4" w:space="0" w:color="auto"/>
              <w:left w:val="single" w:sz="4" w:space="0" w:color="auto"/>
              <w:bottom w:val="single" w:sz="4" w:space="0" w:color="auto"/>
              <w:right w:val="single" w:sz="4" w:space="0" w:color="auto"/>
            </w:tcBorders>
            <w:hideMark/>
          </w:tcPr>
          <w:p w14:paraId="5FF2A6D7" w14:textId="77777777" w:rsidR="00C85FC3" w:rsidRPr="00576AF8" w:rsidRDefault="001A499A" w:rsidP="00510A60">
            <w:pPr>
              <w:tabs>
                <w:tab w:val="left" w:pos="2070"/>
              </w:tabs>
              <w:jc w:val="center"/>
            </w:pPr>
            <w:r w:rsidRPr="00576AF8">
              <w:t>Propósito de la comisión o gratificación</w:t>
            </w:r>
          </w:p>
        </w:tc>
        <w:tc>
          <w:tcPr>
            <w:tcW w:w="1886" w:type="dxa"/>
            <w:tcBorders>
              <w:top w:val="single" w:sz="4" w:space="0" w:color="auto"/>
              <w:left w:val="single" w:sz="4" w:space="0" w:color="auto"/>
              <w:bottom w:val="single" w:sz="4" w:space="0" w:color="auto"/>
              <w:right w:val="single" w:sz="4" w:space="0" w:color="auto"/>
            </w:tcBorders>
            <w:hideMark/>
          </w:tcPr>
          <w:p w14:paraId="7AF7608A" w14:textId="77777777" w:rsidR="00C85FC3" w:rsidRPr="00576AF8" w:rsidRDefault="00C85FC3" w:rsidP="00510A60">
            <w:pPr>
              <w:tabs>
                <w:tab w:val="left" w:pos="2070"/>
              </w:tabs>
              <w:ind w:right="-72"/>
              <w:jc w:val="center"/>
            </w:pPr>
            <w:r w:rsidRPr="00576AF8">
              <w:t>Monto</w:t>
            </w:r>
          </w:p>
        </w:tc>
      </w:tr>
      <w:tr w:rsidR="00C85FC3" w:rsidRPr="00576AF8" w14:paraId="45DE070E"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45A5DB28" w14:textId="77777777" w:rsidR="00C85FC3" w:rsidRPr="00576AF8"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06D56CC5" w14:textId="77777777" w:rsidR="00C85FC3" w:rsidRPr="00576AF8"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44BA6FDF" w14:textId="77777777" w:rsidR="00C85FC3" w:rsidRPr="00576AF8"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3F62A197" w14:textId="77777777" w:rsidR="00C85FC3" w:rsidRPr="00576AF8" w:rsidRDefault="00C85FC3" w:rsidP="00510A60">
            <w:pPr>
              <w:tabs>
                <w:tab w:val="left" w:pos="2070"/>
              </w:tabs>
              <w:spacing w:before="120"/>
              <w:ind w:left="990" w:right="-72"/>
              <w:jc w:val="center"/>
            </w:pPr>
          </w:p>
        </w:tc>
      </w:tr>
      <w:tr w:rsidR="00C85FC3" w:rsidRPr="00576AF8" w14:paraId="712D646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71C17ED2" w14:textId="77777777" w:rsidR="00C85FC3" w:rsidRPr="00576AF8"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272B3D38" w14:textId="77777777" w:rsidR="00C85FC3" w:rsidRPr="00576AF8" w:rsidRDefault="00C85FC3" w:rsidP="00510A60">
            <w:pPr>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40D85BCB" w14:textId="77777777" w:rsidR="00C85FC3" w:rsidRPr="00576AF8" w:rsidRDefault="00C85FC3" w:rsidP="00510A60">
            <w:pPr>
              <w:pStyle w:val="Sub-ClauseText"/>
              <w:tabs>
                <w:tab w:val="left" w:pos="2070"/>
              </w:tabs>
              <w:suppressAutoHyphens/>
              <w:spacing w:before="0" w:after="0"/>
              <w:ind w:left="990"/>
              <w:jc w:val="center"/>
              <w:rPr>
                <w:spacing w:val="0"/>
                <w:szCs w:val="24"/>
              </w:rPr>
            </w:pPr>
          </w:p>
        </w:tc>
        <w:tc>
          <w:tcPr>
            <w:tcW w:w="1886" w:type="dxa"/>
            <w:tcBorders>
              <w:top w:val="single" w:sz="4" w:space="0" w:color="auto"/>
              <w:left w:val="single" w:sz="4" w:space="0" w:color="auto"/>
              <w:bottom w:val="single" w:sz="4" w:space="0" w:color="auto"/>
              <w:right w:val="single" w:sz="4" w:space="0" w:color="auto"/>
            </w:tcBorders>
          </w:tcPr>
          <w:p w14:paraId="47465B67" w14:textId="77777777" w:rsidR="00C85FC3" w:rsidRPr="00576AF8" w:rsidRDefault="00C85FC3" w:rsidP="00510A60">
            <w:pPr>
              <w:tabs>
                <w:tab w:val="left" w:pos="2070"/>
              </w:tabs>
              <w:spacing w:before="120"/>
              <w:ind w:left="990" w:right="-72"/>
              <w:jc w:val="center"/>
            </w:pPr>
          </w:p>
        </w:tc>
      </w:tr>
      <w:tr w:rsidR="00C85FC3" w:rsidRPr="00576AF8" w14:paraId="6EFFE2D6"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757158B2" w14:textId="77777777" w:rsidR="00C85FC3" w:rsidRPr="00576AF8"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186494FC" w14:textId="77777777" w:rsidR="00C85FC3" w:rsidRPr="00576AF8" w:rsidRDefault="00C85FC3" w:rsidP="00510A60">
            <w:pPr>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65B445CF" w14:textId="77777777" w:rsidR="00C85FC3" w:rsidRPr="00576AF8" w:rsidRDefault="00C85FC3" w:rsidP="00510A60">
            <w:pPr>
              <w:pStyle w:val="Sub-ClauseText"/>
              <w:tabs>
                <w:tab w:val="left" w:pos="2070"/>
              </w:tabs>
              <w:suppressAutoHyphens/>
              <w:spacing w:before="0" w:after="0"/>
              <w:ind w:left="990"/>
              <w:jc w:val="center"/>
              <w:rPr>
                <w:spacing w:val="0"/>
                <w:szCs w:val="24"/>
              </w:rPr>
            </w:pPr>
          </w:p>
        </w:tc>
        <w:tc>
          <w:tcPr>
            <w:tcW w:w="1886" w:type="dxa"/>
            <w:tcBorders>
              <w:top w:val="single" w:sz="4" w:space="0" w:color="auto"/>
              <w:left w:val="single" w:sz="4" w:space="0" w:color="auto"/>
              <w:bottom w:val="single" w:sz="4" w:space="0" w:color="auto"/>
              <w:right w:val="single" w:sz="4" w:space="0" w:color="auto"/>
            </w:tcBorders>
          </w:tcPr>
          <w:p w14:paraId="4FE7143A" w14:textId="77777777" w:rsidR="00C85FC3" w:rsidRPr="00576AF8" w:rsidRDefault="00C85FC3" w:rsidP="00510A60">
            <w:pPr>
              <w:tabs>
                <w:tab w:val="left" w:pos="2070"/>
              </w:tabs>
              <w:spacing w:before="120"/>
              <w:ind w:left="990" w:right="-72"/>
              <w:jc w:val="center"/>
            </w:pPr>
          </w:p>
        </w:tc>
      </w:tr>
      <w:tr w:rsidR="00C85FC3" w:rsidRPr="00576AF8" w14:paraId="01C123D4"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69AE2FEA" w14:textId="77777777" w:rsidR="00C85FC3" w:rsidRPr="00576AF8"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5A710DBB" w14:textId="77777777" w:rsidR="00C85FC3" w:rsidRPr="00576AF8" w:rsidRDefault="00C85FC3" w:rsidP="00510A60">
            <w:pPr>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3E28A416" w14:textId="77777777" w:rsidR="00C85FC3" w:rsidRPr="00576AF8" w:rsidRDefault="00C85FC3" w:rsidP="00510A60">
            <w:pPr>
              <w:pStyle w:val="Sub-ClauseText"/>
              <w:tabs>
                <w:tab w:val="left" w:pos="2070"/>
              </w:tabs>
              <w:suppressAutoHyphens/>
              <w:spacing w:before="0" w:after="0"/>
              <w:ind w:left="990"/>
              <w:jc w:val="center"/>
              <w:rPr>
                <w:spacing w:val="0"/>
                <w:szCs w:val="24"/>
              </w:rPr>
            </w:pPr>
          </w:p>
        </w:tc>
        <w:tc>
          <w:tcPr>
            <w:tcW w:w="1886" w:type="dxa"/>
            <w:tcBorders>
              <w:top w:val="single" w:sz="4" w:space="0" w:color="auto"/>
              <w:left w:val="single" w:sz="4" w:space="0" w:color="auto"/>
              <w:bottom w:val="single" w:sz="4" w:space="0" w:color="auto"/>
              <w:right w:val="single" w:sz="4" w:space="0" w:color="auto"/>
            </w:tcBorders>
          </w:tcPr>
          <w:p w14:paraId="382BC213" w14:textId="77777777" w:rsidR="00C85FC3" w:rsidRPr="00576AF8" w:rsidRDefault="00C85FC3" w:rsidP="00510A60">
            <w:pPr>
              <w:tabs>
                <w:tab w:val="left" w:pos="2070"/>
              </w:tabs>
              <w:spacing w:before="120"/>
              <w:ind w:left="990" w:right="-72"/>
              <w:jc w:val="center"/>
            </w:pPr>
          </w:p>
        </w:tc>
      </w:tr>
    </w:tbl>
    <w:p w14:paraId="69883615" w14:textId="77777777" w:rsidR="00145DD8" w:rsidRPr="00576AF8" w:rsidRDefault="00145DD8" w:rsidP="00145DD8">
      <w:pPr>
        <w:jc w:val="left"/>
        <w:rPr>
          <w:b/>
        </w:rPr>
      </w:pPr>
    </w:p>
    <w:p w14:paraId="298FBB12" w14:textId="77777777" w:rsidR="00BE0C62" w:rsidRPr="00576AF8" w:rsidRDefault="00BE0C62">
      <w:pPr>
        <w:numPr>
          <w:ilvl w:val="0"/>
          <w:numId w:val="79"/>
        </w:numPr>
        <w:suppressAutoHyphens w:val="0"/>
        <w:spacing w:after="200"/>
        <w:ind w:right="-14"/>
        <w:rPr>
          <w:bCs/>
        </w:rPr>
      </w:pPr>
      <w:r w:rsidRPr="00576AF8">
        <w:rPr>
          <w:b/>
        </w:rPr>
        <w:t>Mejor Oferta Final o Negociaciones</w:t>
      </w:r>
      <w:r w:rsidRPr="00576AF8">
        <w:rPr>
          <w:bCs/>
        </w:rPr>
        <w:t xml:space="preserve">: Entendemos que el </w:t>
      </w:r>
      <w:r w:rsidR="002B63BD" w:rsidRPr="00576AF8">
        <w:rPr>
          <w:bCs/>
        </w:rPr>
        <w:t>Comprador</w:t>
      </w:r>
      <w:r w:rsidRPr="00576AF8">
        <w:rPr>
          <w:bCs/>
        </w:rPr>
        <w:t xml:space="preserve"> utilizará el método de Mejor Oferta Final en la evaluación de Ofertas si lo especifica en la IAL 42.1, o Negociaciones para la adjudicación final si lo especifica la I</w:t>
      </w:r>
      <w:r w:rsidR="00781A70" w:rsidRPr="00576AF8">
        <w:rPr>
          <w:bCs/>
        </w:rPr>
        <w:t>AL</w:t>
      </w:r>
      <w:r w:rsidRPr="00576AF8">
        <w:rPr>
          <w:bCs/>
        </w:rPr>
        <w:t xml:space="preserve"> 45.1 y que habrá una Autoridad Independiente </w:t>
      </w:r>
      <w:r w:rsidR="00BB2041" w:rsidRPr="00576AF8">
        <w:rPr>
          <w:bCs/>
        </w:rPr>
        <w:t xml:space="preserve">de </w:t>
      </w:r>
      <w:r w:rsidRPr="00576AF8">
        <w:rPr>
          <w:bCs/>
        </w:rPr>
        <w:t xml:space="preserve">Probidad contratada por el </w:t>
      </w:r>
      <w:r w:rsidR="002B63BD" w:rsidRPr="00576AF8">
        <w:rPr>
          <w:bCs/>
        </w:rPr>
        <w:t>Comprador</w:t>
      </w:r>
      <w:r w:rsidRPr="00576AF8">
        <w:rPr>
          <w:bCs/>
        </w:rPr>
        <w:t xml:space="preserve"> para observar e informar sobre este proceso.</w:t>
      </w:r>
    </w:p>
    <w:p w14:paraId="0A085A30" w14:textId="77777777" w:rsidR="00BE0C62" w:rsidRPr="00576AF8" w:rsidRDefault="00BE0C62">
      <w:pPr>
        <w:numPr>
          <w:ilvl w:val="0"/>
          <w:numId w:val="79"/>
        </w:numPr>
        <w:suppressAutoHyphens w:val="0"/>
        <w:spacing w:after="200"/>
        <w:ind w:right="-14"/>
        <w:rPr>
          <w:bCs/>
        </w:rPr>
      </w:pPr>
      <w:r w:rsidRPr="00576AF8">
        <w:rPr>
          <w:b/>
        </w:rPr>
        <w:t>Formulario de Propiedad Efectiva</w:t>
      </w:r>
      <w:r w:rsidRPr="00576AF8">
        <w:rPr>
          <w:bCs/>
        </w:rPr>
        <w:t xml:space="preserve">: 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7D78A333" w14:textId="77777777" w:rsidR="00BE0C62" w:rsidRPr="00576AF8" w:rsidRDefault="00BE0C62" w:rsidP="00145DD8">
      <w:pPr>
        <w:jc w:val="left"/>
        <w:rPr>
          <w:b/>
        </w:rPr>
      </w:pPr>
    </w:p>
    <w:p w14:paraId="1819CB79" w14:textId="77777777" w:rsidR="00BE0C62" w:rsidRPr="00576AF8" w:rsidRDefault="00BE0C62" w:rsidP="00145DD8">
      <w:pPr>
        <w:jc w:val="left"/>
        <w:rPr>
          <w:b/>
        </w:rPr>
      </w:pPr>
    </w:p>
    <w:p w14:paraId="309FA2D2" w14:textId="77777777" w:rsidR="00145DD8" w:rsidRPr="00576AF8" w:rsidRDefault="00145DD8" w:rsidP="00145DD8">
      <w:pPr>
        <w:jc w:val="left"/>
        <w:rPr>
          <w:i/>
        </w:rPr>
      </w:pPr>
      <w:r w:rsidRPr="00576AF8">
        <w:rPr>
          <w:b/>
        </w:rPr>
        <w:t>Nombre del Licitante</w:t>
      </w:r>
      <w:r w:rsidRPr="00576AF8">
        <w:t>: *</w:t>
      </w:r>
      <w:r w:rsidRPr="00576AF8">
        <w:rPr>
          <w:i/>
        </w:rPr>
        <w:t>[indique el nombre completo de la persona que firma la Oferta]</w:t>
      </w:r>
    </w:p>
    <w:p w14:paraId="77361F2A" w14:textId="77777777" w:rsidR="00145DD8" w:rsidRPr="00576AF8" w:rsidRDefault="00145DD8" w:rsidP="00145DD8">
      <w:pPr>
        <w:jc w:val="left"/>
      </w:pPr>
    </w:p>
    <w:p w14:paraId="72567608" w14:textId="77777777" w:rsidR="00145DD8" w:rsidRPr="00576AF8" w:rsidRDefault="00145DD8" w:rsidP="00145DD8">
      <w:pPr>
        <w:jc w:val="left"/>
        <w:rPr>
          <w:spacing w:val="-4"/>
        </w:rPr>
      </w:pPr>
      <w:r w:rsidRPr="00576AF8">
        <w:rPr>
          <w:b/>
          <w:spacing w:val="-4"/>
        </w:rPr>
        <w:t>Nombre de la persona debidamente autorizada para firmar la Oferta en nombre del Licitante</w:t>
      </w:r>
      <w:r w:rsidRPr="00576AF8">
        <w:rPr>
          <w:spacing w:val="-4"/>
        </w:rPr>
        <w:t>: **</w:t>
      </w:r>
      <w:r w:rsidRPr="00576AF8">
        <w:rPr>
          <w:i/>
          <w:spacing w:val="-4"/>
        </w:rPr>
        <w:t>[indique el nombre completo de la persona debidamente autorizada para firmar la Oferta]</w:t>
      </w:r>
    </w:p>
    <w:p w14:paraId="79FB00C5" w14:textId="77777777" w:rsidR="00145DD8" w:rsidRPr="00576AF8" w:rsidRDefault="00145DD8" w:rsidP="00145DD8">
      <w:pPr>
        <w:jc w:val="left"/>
      </w:pPr>
    </w:p>
    <w:p w14:paraId="2D598D1D" w14:textId="77777777" w:rsidR="00145DD8" w:rsidRPr="00576AF8" w:rsidRDefault="00145DD8" w:rsidP="00145DD8">
      <w:pPr>
        <w:jc w:val="left"/>
      </w:pPr>
      <w:r w:rsidRPr="00576AF8">
        <w:rPr>
          <w:b/>
        </w:rPr>
        <w:t>Cargo de la persona que firma la Oferta</w:t>
      </w:r>
      <w:r w:rsidRPr="00576AF8">
        <w:t xml:space="preserve">: </w:t>
      </w:r>
      <w:r w:rsidRPr="00576AF8">
        <w:rPr>
          <w:i/>
        </w:rPr>
        <w:t>[indique el cargo completo de la persona que firma la Oferta]</w:t>
      </w:r>
    </w:p>
    <w:p w14:paraId="5F875BA3" w14:textId="77777777" w:rsidR="00145DD8" w:rsidRPr="00576AF8" w:rsidRDefault="00145DD8" w:rsidP="00145DD8">
      <w:pPr>
        <w:jc w:val="left"/>
      </w:pPr>
    </w:p>
    <w:p w14:paraId="66D36EB4" w14:textId="77777777" w:rsidR="00145DD8" w:rsidRPr="00576AF8" w:rsidRDefault="00145DD8" w:rsidP="00145DD8">
      <w:pPr>
        <w:jc w:val="left"/>
        <w:rPr>
          <w:spacing w:val="-4"/>
        </w:rPr>
      </w:pPr>
      <w:r w:rsidRPr="00576AF8">
        <w:rPr>
          <w:b/>
          <w:spacing w:val="-4"/>
        </w:rPr>
        <w:t>Firma de la persona indicada arriba</w:t>
      </w:r>
      <w:r w:rsidRPr="00576AF8">
        <w:rPr>
          <w:spacing w:val="-4"/>
        </w:rPr>
        <w:t xml:space="preserve">: </w:t>
      </w:r>
      <w:r w:rsidRPr="00576AF8">
        <w:rPr>
          <w:i/>
          <w:spacing w:val="-4"/>
        </w:rPr>
        <w:t>[firma de la persona cuyo nombre y cargo se indican arriba]</w:t>
      </w:r>
    </w:p>
    <w:p w14:paraId="584ADE35" w14:textId="77777777" w:rsidR="00145DD8" w:rsidRPr="00576AF8" w:rsidRDefault="00145DD8" w:rsidP="00145DD8">
      <w:pPr>
        <w:jc w:val="left"/>
      </w:pPr>
    </w:p>
    <w:p w14:paraId="4B3B89E5" w14:textId="77777777" w:rsidR="00145DD8" w:rsidRPr="00576AF8" w:rsidRDefault="00145DD8" w:rsidP="00145DD8">
      <w:pPr>
        <w:jc w:val="left"/>
        <w:rPr>
          <w:i/>
        </w:rPr>
      </w:pPr>
      <w:r w:rsidRPr="00576AF8">
        <w:rPr>
          <w:b/>
        </w:rPr>
        <w:t>Firmada a los</w:t>
      </w:r>
      <w:r w:rsidRPr="00576AF8">
        <w:t xml:space="preserve"> </w:t>
      </w:r>
      <w:r w:rsidRPr="00576AF8">
        <w:rPr>
          <w:i/>
        </w:rPr>
        <w:t>[indique el día de la firma]</w:t>
      </w:r>
      <w:r w:rsidRPr="00576AF8">
        <w:t xml:space="preserve"> </w:t>
      </w:r>
      <w:r w:rsidRPr="00576AF8">
        <w:rPr>
          <w:b/>
        </w:rPr>
        <w:t>días del mes de</w:t>
      </w:r>
      <w:r w:rsidRPr="00576AF8">
        <w:t xml:space="preserve"> </w:t>
      </w:r>
      <w:r w:rsidRPr="00576AF8">
        <w:rPr>
          <w:i/>
        </w:rPr>
        <w:t>[indique el mes]</w:t>
      </w:r>
      <w:r w:rsidRPr="00576AF8">
        <w:t xml:space="preserve"> de </w:t>
      </w:r>
      <w:r w:rsidRPr="00576AF8">
        <w:rPr>
          <w:i/>
        </w:rPr>
        <w:t>[indique el año]</w:t>
      </w:r>
    </w:p>
    <w:p w14:paraId="4625EC95" w14:textId="77777777" w:rsidR="00145DD8" w:rsidRPr="00576AF8" w:rsidRDefault="00145DD8" w:rsidP="00145DD8">
      <w:pPr>
        <w:jc w:val="left"/>
        <w:rPr>
          <w:b/>
          <w:sz w:val="36"/>
        </w:rPr>
      </w:pPr>
      <w:r w:rsidRPr="00576AF8">
        <w:br w:type="page"/>
      </w:r>
    </w:p>
    <w:p w14:paraId="37F1FA87" w14:textId="77777777" w:rsidR="00C85FC3" w:rsidRPr="00576AF8" w:rsidRDefault="00C85FC3" w:rsidP="00C85FC3">
      <w:pPr>
        <w:pStyle w:val="TOC3-1"/>
      </w:pPr>
      <w:bookmarkStart w:id="526" w:name="_Toc218673954"/>
      <w:bookmarkStart w:id="527" w:name="_Toc277345591"/>
      <w:bookmarkStart w:id="528" w:name="_Toc438266926"/>
      <w:bookmarkStart w:id="529" w:name="_Toc438267900"/>
      <w:bookmarkStart w:id="530" w:name="_Toc438366668"/>
      <w:r w:rsidRPr="00576AF8">
        <w:rPr>
          <w:b w:val="0"/>
        </w:rPr>
        <w:lastRenderedPageBreak/>
        <w:tab/>
      </w:r>
      <w:bookmarkStart w:id="531" w:name="_Toc527966236"/>
      <w:r w:rsidRPr="00576AF8">
        <w:t>Formularios de listas de precios</w:t>
      </w:r>
      <w:bookmarkEnd w:id="526"/>
      <w:bookmarkEnd w:id="527"/>
      <w:bookmarkEnd w:id="531"/>
    </w:p>
    <w:p w14:paraId="5924E42F" w14:textId="77777777" w:rsidR="00C85FC3" w:rsidRPr="00576AF8" w:rsidRDefault="00C85FC3" w:rsidP="00C85FC3">
      <w:pPr>
        <w:pStyle w:val="explanatorynotes"/>
        <w:rPr>
          <w:rFonts w:ascii="Times New Roman" w:hAnsi="Times New Roman"/>
        </w:rPr>
      </w:pPr>
    </w:p>
    <w:p w14:paraId="7752C26D" w14:textId="77777777" w:rsidR="00C85FC3" w:rsidRPr="00576AF8" w:rsidRDefault="00C85FC3" w:rsidP="008C0D90">
      <w:pPr>
        <w:pStyle w:val="Textoindependiente"/>
        <w:rPr>
          <w:b/>
          <w:szCs w:val="28"/>
          <w:u w:val="single"/>
        </w:rPr>
      </w:pPr>
      <w:bookmarkStart w:id="532" w:name="_Toc218673956"/>
      <w:bookmarkStart w:id="533" w:name="_Toc218674006"/>
      <w:bookmarkStart w:id="534" w:name="_Toc521497239"/>
      <w:bookmarkStart w:id="535" w:name="_Hlt529125776"/>
      <w:r w:rsidRPr="00576AF8">
        <w:rPr>
          <w:b/>
          <w:sz w:val="28"/>
          <w:szCs w:val="28"/>
          <w:u w:val="single"/>
        </w:rPr>
        <w:t>Notas para los Licitantes sobre la elaboración de las listas de precios</w:t>
      </w:r>
      <w:bookmarkEnd w:id="532"/>
      <w:bookmarkEnd w:id="533"/>
    </w:p>
    <w:p w14:paraId="3CF9CA41" w14:textId="77777777" w:rsidR="00D82419" w:rsidRPr="00576AF8" w:rsidRDefault="00D82419" w:rsidP="008C0D90">
      <w:pPr>
        <w:pStyle w:val="Textoindependiente"/>
      </w:pPr>
    </w:p>
    <w:bookmarkEnd w:id="534"/>
    <w:bookmarkEnd w:id="535"/>
    <w:p w14:paraId="55D106CA" w14:textId="77777777" w:rsidR="00C85FC3" w:rsidRPr="00576AF8" w:rsidRDefault="00C85FC3" w:rsidP="00C85FC3">
      <w:pPr>
        <w:rPr>
          <w:b/>
        </w:rPr>
      </w:pPr>
      <w:r w:rsidRPr="00576AF8">
        <w:rPr>
          <w:b/>
        </w:rPr>
        <w:t>Aspectos generales</w:t>
      </w:r>
    </w:p>
    <w:p w14:paraId="4EFE51CB" w14:textId="77777777" w:rsidR="00C85FC3" w:rsidRPr="00576AF8" w:rsidRDefault="00C85FC3" w:rsidP="00C85FC3">
      <w:pPr>
        <w:ind w:left="540" w:hanging="540"/>
      </w:pPr>
      <w:r w:rsidRPr="00576AF8">
        <w:t>1.</w:t>
      </w:r>
      <w:r w:rsidRPr="00576AF8">
        <w:tab/>
        <w:t>Las listas de precios están divididas de la siguiente manera:</w:t>
      </w:r>
    </w:p>
    <w:p w14:paraId="0D94AD7E" w14:textId="77777777" w:rsidR="00C85FC3" w:rsidRPr="00576AF8" w:rsidRDefault="00C85FC3" w:rsidP="00C85FC3">
      <w:pPr>
        <w:ind w:left="1260" w:hanging="720"/>
      </w:pPr>
      <w:r w:rsidRPr="00576AF8">
        <w:t>3.1</w:t>
      </w:r>
      <w:r w:rsidRPr="00576AF8">
        <w:tab/>
        <w:t>Resumen global de los costos</w:t>
      </w:r>
    </w:p>
    <w:p w14:paraId="1BD07EF6" w14:textId="77777777" w:rsidR="00C85FC3" w:rsidRPr="00576AF8" w:rsidRDefault="00C85FC3" w:rsidP="00C85FC3">
      <w:pPr>
        <w:ind w:left="1260" w:hanging="720"/>
      </w:pPr>
      <w:r w:rsidRPr="00576AF8">
        <w:t>3.2</w:t>
      </w:r>
      <w:r w:rsidRPr="00576AF8">
        <w:tab/>
        <w:t>Resumen de los costos de suministro e instalación</w:t>
      </w:r>
    </w:p>
    <w:p w14:paraId="28A36215" w14:textId="77777777" w:rsidR="00C85FC3" w:rsidRPr="00576AF8" w:rsidRDefault="00C85FC3" w:rsidP="00C85FC3">
      <w:pPr>
        <w:ind w:left="1260" w:hanging="720"/>
      </w:pPr>
      <w:r w:rsidRPr="00576AF8">
        <w:t>3.3</w:t>
      </w:r>
      <w:r w:rsidRPr="00576AF8">
        <w:tab/>
        <w:t xml:space="preserve">Resumen de gastos recurrentes </w:t>
      </w:r>
    </w:p>
    <w:p w14:paraId="1EF69ABE" w14:textId="77777777" w:rsidR="00C85FC3" w:rsidRPr="00576AF8" w:rsidRDefault="00C85FC3" w:rsidP="00C85FC3">
      <w:pPr>
        <w:ind w:left="1260" w:hanging="720"/>
      </w:pPr>
      <w:r w:rsidRPr="00576AF8">
        <w:t>3.4</w:t>
      </w:r>
      <w:r w:rsidRPr="00576AF8">
        <w:tab/>
        <w:t>Cuadros parciales de costos de suministro e instalación</w:t>
      </w:r>
    </w:p>
    <w:p w14:paraId="759B4010" w14:textId="77777777" w:rsidR="00C85FC3" w:rsidRPr="00576AF8" w:rsidRDefault="00C85FC3" w:rsidP="00C85FC3">
      <w:pPr>
        <w:ind w:left="1260" w:hanging="720"/>
      </w:pPr>
      <w:r w:rsidRPr="00576AF8">
        <w:t>3.5</w:t>
      </w:r>
      <w:r w:rsidRPr="00576AF8">
        <w:tab/>
        <w:t xml:space="preserve">Cuadros parciales de gastos recurrentes </w:t>
      </w:r>
    </w:p>
    <w:p w14:paraId="5FF5AC3B" w14:textId="77777777" w:rsidR="00C85FC3" w:rsidRDefault="00C85FC3" w:rsidP="00C85FC3">
      <w:pPr>
        <w:ind w:left="1260" w:hanging="720"/>
      </w:pPr>
      <w:r w:rsidRPr="00576AF8">
        <w:t>3.6</w:t>
      </w:r>
      <w:r w:rsidRPr="00576AF8">
        <w:tab/>
        <w:t>Cuadro de códigos de los países de origen</w:t>
      </w:r>
    </w:p>
    <w:p w14:paraId="6EDD4E8A" w14:textId="77777777" w:rsidR="002C6A07" w:rsidRPr="00576AF8" w:rsidRDefault="002C6A07" w:rsidP="00C85FC3">
      <w:pPr>
        <w:ind w:left="1260" w:hanging="720"/>
      </w:pPr>
      <w:r>
        <w:t>3.7</w:t>
      </w:r>
      <w:r>
        <w:tab/>
        <w:t>Sumas Provisionales Especificadas</w:t>
      </w:r>
    </w:p>
    <w:p w14:paraId="3B1AEEAE" w14:textId="13F61841" w:rsidR="00C85FC3" w:rsidRPr="00576AF8" w:rsidRDefault="00C85FC3" w:rsidP="00C85FC3">
      <w:pPr>
        <w:rPr>
          <w:i/>
        </w:rPr>
      </w:pPr>
      <w:r w:rsidRPr="00576AF8">
        <w:tab/>
      </w:r>
    </w:p>
    <w:p w14:paraId="13436E71" w14:textId="77777777" w:rsidR="00C85FC3" w:rsidRPr="00576AF8" w:rsidRDefault="00C85FC3" w:rsidP="00C85FC3">
      <w:pPr>
        <w:ind w:left="540" w:hanging="540"/>
      </w:pPr>
      <w:r w:rsidRPr="00576AF8">
        <w:t>2.</w:t>
      </w:r>
      <w:r w:rsidRPr="00576AF8">
        <w:tab/>
        <w:t xml:space="preserve">En las listas generalmente no se hará una descripción completa de las tecnologías de la información que se deban suministrar e instalar y para las cuales sea preciso obtener la aceptación operativa, ni de los servicios que se hayan de proveer en cada elemento. Sin embargo, se considera que, antes de llenar los formularios con las tarifas y los precios, los Licitantes habrán leído los requisitos técnicos y otras secciones del </w:t>
      </w:r>
      <w:r w:rsidR="00807C34" w:rsidRPr="00576AF8">
        <w:t>documento de licitación</w:t>
      </w:r>
      <w:r w:rsidRPr="00576AF8">
        <w:t>, a fin de enterarse de todos los detalles de cada artículo que se solicita. Se entenderá que las tarifas y los precios cotizados cubren todas las necesidades definidas en dichos requisitos técnicos, y comprenden los gastos generales y las utilidades.</w:t>
      </w:r>
    </w:p>
    <w:p w14:paraId="1CF0A7BD" w14:textId="77777777" w:rsidR="00C85FC3" w:rsidRPr="00576AF8" w:rsidRDefault="00C85FC3" w:rsidP="00C85FC3">
      <w:pPr>
        <w:ind w:left="540" w:hanging="540"/>
      </w:pPr>
      <w:r w:rsidRPr="00576AF8">
        <w:t>3.</w:t>
      </w:r>
      <w:r w:rsidRPr="00576AF8">
        <w:tab/>
        <w:t xml:space="preserve">Si el Licitante no tiene una idea clara de los detalles completos de algún artículo que se solicita o tiene dudas al respecto deberá, de conformidad con las IAL incluidas en el </w:t>
      </w:r>
      <w:r w:rsidR="00807C34" w:rsidRPr="00576AF8">
        <w:t>documento de licitación</w:t>
      </w:r>
      <w:r w:rsidRPr="00576AF8">
        <w:t>, solicitar una aclaración antes de presentar su Oferta.</w:t>
      </w:r>
    </w:p>
    <w:p w14:paraId="575FCA76" w14:textId="77777777" w:rsidR="00C85FC3" w:rsidRPr="00576AF8" w:rsidRDefault="00C85FC3" w:rsidP="00C85FC3">
      <w:pPr>
        <w:rPr>
          <w:b/>
        </w:rPr>
      </w:pPr>
      <w:r w:rsidRPr="00576AF8">
        <w:rPr>
          <w:b/>
        </w:rPr>
        <w:t>Precios</w:t>
      </w:r>
    </w:p>
    <w:p w14:paraId="10E6F1AE" w14:textId="77777777" w:rsidR="00C85FC3" w:rsidRPr="00576AF8" w:rsidRDefault="00C85FC3" w:rsidP="00C85FC3">
      <w:pPr>
        <w:keepNext/>
        <w:keepLines/>
        <w:ind w:left="540" w:hanging="540"/>
      </w:pPr>
      <w:r w:rsidRPr="00576AF8">
        <w:t>4.</w:t>
      </w:r>
      <w:r w:rsidRPr="00576AF8">
        <w:tab/>
        <w:t xml:space="preserve">Los precios deberán llenarse con tinta indeleble, y toda alteración que se necesite debido a algún error, etc. deberá llevar las iniciales del Licitante. Como se especifica en los DDL, </w:t>
      </w:r>
      <w:r w:rsidRPr="00576AF8">
        <w:br/>
        <w:t>los precios serán fijos y firmes durante el período del Contrato.</w:t>
      </w:r>
    </w:p>
    <w:p w14:paraId="06D24767" w14:textId="77777777" w:rsidR="00C85FC3" w:rsidRPr="00576AF8" w:rsidRDefault="00C85FC3" w:rsidP="00C85FC3">
      <w:pPr>
        <w:ind w:left="540" w:hanging="540"/>
      </w:pPr>
      <w:r w:rsidRPr="00576AF8">
        <w:t>5.</w:t>
      </w:r>
      <w:r w:rsidRPr="00576AF8">
        <w:tab/>
        <w:t xml:space="preserve">Los precios de la Oferta se cotizarán en la forma indicada en las IAL 18.1 y 18.2, y en las monedas en ellas especificadas. Los precios indicados deberán corresponder a artículos del nivel de calidad y rendimiento definidos en los requisitos técnicos o en cualquier otra sección del </w:t>
      </w:r>
      <w:r w:rsidR="00807C34" w:rsidRPr="00576AF8">
        <w:t>documento de licitación</w:t>
      </w:r>
    </w:p>
    <w:p w14:paraId="4C09EDD2" w14:textId="77777777" w:rsidR="00C85FC3" w:rsidRPr="00576AF8" w:rsidRDefault="00C85FC3" w:rsidP="00C85FC3">
      <w:pPr>
        <w:ind w:left="540" w:hanging="450"/>
      </w:pPr>
      <w:r w:rsidRPr="00576AF8">
        <w:t>6.</w:t>
      </w:r>
      <w:r w:rsidRPr="00576AF8">
        <w:tab/>
        <w:t xml:space="preserve">El Licitante debe efectuar sus cálculos con sumo cuidado, ya que no podrá corregir los errores una vez vencido el plazo para la presentación de las Ofertas. En consecuencia, un simple error al especificar un precio unitario puede modificar considerablemente el precio total de la Oferta de un Licitante; además, la Oferta puede dejar de ser competitiva o el Licitante </w:t>
      </w:r>
      <w:r w:rsidRPr="00576AF8">
        <w:lastRenderedPageBreak/>
        <w:t xml:space="preserve">puede quedar expuesto a sufrir pérdidas. El Comprador corregirá cualquier error aritmético de conformidad con las disposiciones de la IAL </w:t>
      </w:r>
      <w:r w:rsidR="00B30201" w:rsidRPr="00576AF8">
        <w:t>37</w:t>
      </w:r>
      <w:r w:rsidRPr="00576AF8">
        <w:t>.</w:t>
      </w:r>
    </w:p>
    <w:p w14:paraId="33F55BFE" w14:textId="77777777" w:rsidR="00C85FC3" w:rsidRPr="00576AF8" w:rsidRDefault="00C85FC3" w:rsidP="00C85FC3">
      <w:pPr>
        <w:ind w:left="540" w:hanging="540"/>
      </w:pPr>
      <w:r w:rsidRPr="00576AF8">
        <w:t>7.</w:t>
      </w:r>
      <w:r w:rsidRPr="00576AF8">
        <w:tab/>
        <w:t>Los pagos se efectuarán al Proveedor en la moneda o las monedas indicadas para cada artículo. Según lo establecido en la IAL 18.2, no se admiten más de tres monedas extranjeras.</w:t>
      </w:r>
    </w:p>
    <w:p w14:paraId="66D6FCC8" w14:textId="77777777" w:rsidR="00C85FC3" w:rsidRPr="00576AF8" w:rsidRDefault="00C85FC3" w:rsidP="00C85FC3">
      <w:pPr>
        <w:ind w:left="540" w:hanging="540"/>
        <w:rPr>
          <w:sz w:val="22"/>
        </w:rPr>
      </w:pPr>
    </w:p>
    <w:p w14:paraId="60AC78DE" w14:textId="77777777" w:rsidR="00C85FC3" w:rsidRPr="00576AF8" w:rsidRDefault="00C85FC3" w:rsidP="00C85FC3">
      <w:pPr>
        <w:ind w:left="540" w:hanging="540"/>
        <w:rPr>
          <w:sz w:val="22"/>
        </w:rPr>
        <w:sectPr w:rsidR="00C85FC3" w:rsidRPr="00576AF8" w:rsidSect="000968D2">
          <w:headerReference w:type="even" r:id="rId44"/>
          <w:headerReference w:type="default" r:id="rId45"/>
          <w:footnotePr>
            <w:numRestart w:val="eachPage"/>
          </w:footnotePr>
          <w:endnotePr>
            <w:numRestart w:val="eachSect"/>
          </w:endnotePr>
          <w:pgSz w:w="12240" w:h="15840" w:code="1"/>
          <w:pgMar w:top="1440" w:right="1440" w:bottom="1440" w:left="1440" w:header="720" w:footer="431" w:gutter="0"/>
          <w:cols w:space="720"/>
          <w:formProt w:val="0"/>
        </w:sectPr>
      </w:pPr>
    </w:p>
    <w:p w14:paraId="53A5D249" w14:textId="77777777" w:rsidR="00C85FC3" w:rsidRPr="00576AF8" w:rsidRDefault="00C85FC3" w:rsidP="00C85FC3">
      <w:pPr>
        <w:pStyle w:val="Head32"/>
        <w:ind w:right="60"/>
      </w:pPr>
      <w:bookmarkStart w:id="536" w:name="_Toc521497240"/>
      <w:bookmarkStart w:id="537" w:name="_Toc218673957"/>
      <w:bookmarkStart w:id="538" w:name="_Toc277345592"/>
      <w:r w:rsidRPr="00576AF8">
        <w:lastRenderedPageBreak/>
        <w:t>3.1</w:t>
      </w:r>
      <w:r w:rsidRPr="00576AF8">
        <w:tab/>
      </w:r>
      <w:bookmarkStart w:id="539" w:name="_Hlt529125882"/>
      <w:bookmarkEnd w:id="539"/>
      <w:r w:rsidRPr="00576AF8">
        <w:tab/>
        <w:t xml:space="preserve">Resumen Global de los </w:t>
      </w:r>
      <w:bookmarkEnd w:id="536"/>
      <w:bookmarkEnd w:id="537"/>
      <w:bookmarkEnd w:id="538"/>
      <w:r w:rsidRPr="00576AF8">
        <w:t>Costos</w:t>
      </w:r>
    </w:p>
    <w:p w14:paraId="1B811B1B" w14:textId="77777777" w:rsidR="00C85FC3" w:rsidRPr="00576AF8" w:rsidRDefault="00C85FC3" w:rsidP="00C85FC3">
      <w:pPr>
        <w:ind w:right="1440"/>
      </w:pPr>
    </w:p>
    <w:tbl>
      <w:tblPr>
        <w:tblW w:w="0" w:type="auto"/>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727"/>
        <w:gridCol w:w="1853"/>
        <w:gridCol w:w="1890"/>
        <w:gridCol w:w="1890"/>
        <w:gridCol w:w="1980"/>
      </w:tblGrid>
      <w:tr w:rsidR="00C85FC3" w:rsidRPr="00576AF8" w14:paraId="33311254" w14:textId="77777777" w:rsidTr="00510A60">
        <w:trPr>
          <w:cantSplit/>
          <w:tblHeader/>
        </w:trPr>
        <w:tc>
          <w:tcPr>
            <w:tcW w:w="1170" w:type="dxa"/>
          </w:tcPr>
          <w:p w14:paraId="42F99374" w14:textId="77777777" w:rsidR="00C85FC3" w:rsidRPr="00576AF8" w:rsidRDefault="00C85FC3" w:rsidP="00510A60">
            <w:pPr>
              <w:rPr>
                <w:sz w:val="22"/>
                <w:szCs w:val="22"/>
              </w:rPr>
            </w:pPr>
          </w:p>
        </w:tc>
        <w:tc>
          <w:tcPr>
            <w:tcW w:w="3727" w:type="dxa"/>
          </w:tcPr>
          <w:p w14:paraId="7B9AAF44" w14:textId="77777777" w:rsidR="00C85FC3" w:rsidRPr="00576AF8" w:rsidRDefault="00C85FC3" w:rsidP="00510A60">
            <w:pPr>
              <w:rPr>
                <w:sz w:val="22"/>
                <w:szCs w:val="22"/>
              </w:rPr>
            </w:pPr>
          </w:p>
        </w:tc>
        <w:tc>
          <w:tcPr>
            <w:tcW w:w="1853" w:type="dxa"/>
          </w:tcPr>
          <w:p w14:paraId="7842B3A5" w14:textId="77777777" w:rsidR="00C85FC3" w:rsidRPr="00576AF8" w:rsidRDefault="00C85FC3" w:rsidP="00510A60">
            <w:pPr>
              <w:rPr>
                <w:b/>
                <w:i/>
                <w:sz w:val="22"/>
                <w:szCs w:val="22"/>
              </w:rPr>
            </w:pPr>
            <w:r w:rsidRPr="00576AF8">
              <w:rPr>
                <w:b/>
                <w:i/>
                <w:sz w:val="22"/>
              </w:rPr>
              <w:t>[</w:t>
            </w:r>
            <w:r w:rsidRPr="00576AF8">
              <w:rPr>
                <w:i/>
                <w:sz w:val="22"/>
              </w:rPr>
              <w:t>Indique</w:t>
            </w:r>
            <w:r w:rsidRPr="00576AF8">
              <w:rPr>
                <w:b/>
                <w:i/>
                <w:sz w:val="22"/>
              </w:rPr>
              <w:t>: moneda nacional]</w:t>
            </w:r>
            <w:r w:rsidRPr="00576AF8">
              <w:rPr>
                <w:b/>
                <w:i/>
                <w:sz w:val="22"/>
                <w:szCs w:val="22"/>
              </w:rPr>
              <w:br/>
            </w:r>
            <w:r w:rsidRPr="00576AF8">
              <w:rPr>
                <w:b/>
                <w:i/>
                <w:sz w:val="22"/>
              </w:rPr>
              <w:t>Precio</w:t>
            </w:r>
          </w:p>
        </w:tc>
        <w:tc>
          <w:tcPr>
            <w:tcW w:w="1890" w:type="dxa"/>
          </w:tcPr>
          <w:p w14:paraId="31F2A92B" w14:textId="77777777" w:rsidR="00C85FC3" w:rsidRPr="00576AF8" w:rsidRDefault="00C85FC3" w:rsidP="00510A60">
            <w:pPr>
              <w:rPr>
                <w:b/>
                <w:i/>
                <w:sz w:val="22"/>
                <w:szCs w:val="22"/>
              </w:rPr>
            </w:pPr>
            <w:r w:rsidRPr="00576AF8">
              <w:rPr>
                <w:b/>
                <w:i/>
                <w:sz w:val="22"/>
              </w:rPr>
              <w:t>[</w:t>
            </w:r>
            <w:r w:rsidRPr="00576AF8">
              <w:rPr>
                <w:i/>
                <w:sz w:val="22"/>
              </w:rPr>
              <w:t>Indique</w:t>
            </w:r>
            <w:r w:rsidRPr="00576AF8">
              <w:rPr>
                <w:b/>
                <w:i/>
                <w:sz w:val="22"/>
              </w:rPr>
              <w:t>: moneda extranjera A]</w:t>
            </w:r>
            <w:r w:rsidRPr="00576AF8">
              <w:rPr>
                <w:b/>
                <w:i/>
                <w:sz w:val="22"/>
                <w:szCs w:val="22"/>
              </w:rPr>
              <w:br/>
            </w:r>
            <w:r w:rsidRPr="00576AF8">
              <w:rPr>
                <w:b/>
                <w:i/>
                <w:sz w:val="22"/>
              </w:rPr>
              <w:t>Precio</w:t>
            </w:r>
          </w:p>
        </w:tc>
        <w:tc>
          <w:tcPr>
            <w:tcW w:w="1890" w:type="dxa"/>
          </w:tcPr>
          <w:p w14:paraId="4550A393" w14:textId="77777777" w:rsidR="00C85FC3" w:rsidRPr="00576AF8" w:rsidRDefault="00C85FC3" w:rsidP="00510A60">
            <w:pPr>
              <w:rPr>
                <w:b/>
                <w:i/>
                <w:sz w:val="22"/>
                <w:szCs w:val="22"/>
              </w:rPr>
            </w:pPr>
            <w:r w:rsidRPr="00576AF8">
              <w:rPr>
                <w:b/>
                <w:i/>
                <w:sz w:val="22"/>
              </w:rPr>
              <w:t>[</w:t>
            </w:r>
            <w:r w:rsidRPr="00576AF8">
              <w:rPr>
                <w:i/>
                <w:sz w:val="22"/>
              </w:rPr>
              <w:t>Indique</w:t>
            </w:r>
            <w:r w:rsidRPr="00576AF8">
              <w:rPr>
                <w:b/>
                <w:i/>
                <w:sz w:val="22"/>
              </w:rPr>
              <w:t>: moneda extranjera B]</w:t>
            </w:r>
            <w:r w:rsidRPr="00576AF8">
              <w:rPr>
                <w:b/>
                <w:i/>
                <w:sz w:val="22"/>
                <w:szCs w:val="22"/>
              </w:rPr>
              <w:br/>
            </w:r>
            <w:r w:rsidRPr="00576AF8">
              <w:rPr>
                <w:b/>
                <w:i/>
                <w:sz w:val="22"/>
              </w:rPr>
              <w:t>Precio</w:t>
            </w:r>
          </w:p>
        </w:tc>
        <w:tc>
          <w:tcPr>
            <w:tcW w:w="1980" w:type="dxa"/>
          </w:tcPr>
          <w:p w14:paraId="41A006C9" w14:textId="77777777" w:rsidR="00C85FC3" w:rsidRPr="00576AF8" w:rsidRDefault="00C85FC3" w:rsidP="00510A60">
            <w:pPr>
              <w:rPr>
                <w:b/>
                <w:i/>
                <w:sz w:val="22"/>
                <w:szCs w:val="22"/>
              </w:rPr>
            </w:pPr>
            <w:r w:rsidRPr="00576AF8">
              <w:rPr>
                <w:b/>
                <w:i/>
                <w:sz w:val="22"/>
              </w:rPr>
              <w:t>[</w:t>
            </w:r>
            <w:r w:rsidRPr="00576AF8">
              <w:rPr>
                <w:i/>
                <w:sz w:val="22"/>
              </w:rPr>
              <w:t>Indique</w:t>
            </w:r>
            <w:r w:rsidRPr="00576AF8">
              <w:rPr>
                <w:b/>
                <w:i/>
                <w:sz w:val="22"/>
              </w:rPr>
              <w:t>: moneda extranjera C]</w:t>
            </w:r>
            <w:r w:rsidRPr="00576AF8">
              <w:rPr>
                <w:b/>
                <w:i/>
                <w:sz w:val="22"/>
                <w:szCs w:val="22"/>
              </w:rPr>
              <w:br/>
            </w:r>
            <w:r w:rsidRPr="00576AF8">
              <w:rPr>
                <w:b/>
                <w:i/>
                <w:sz w:val="22"/>
              </w:rPr>
              <w:t>Precio</w:t>
            </w:r>
          </w:p>
        </w:tc>
      </w:tr>
      <w:tr w:rsidR="00C85FC3" w:rsidRPr="00576AF8" w14:paraId="11D003E5" w14:textId="77777777" w:rsidTr="00510A60">
        <w:trPr>
          <w:cantSplit/>
          <w:trHeight w:hRule="exact" w:val="240"/>
          <w:tblHeader/>
        </w:trPr>
        <w:tc>
          <w:tcPr>
            <w:tcW w:w="1170" w:type="dxa"/>
          </w:tcPr>
          <w:p w14:paraId="7C98FB07" w14:textId="77777777" w:rsidR="00C85FC3" w:rsidRPr="00576AF8" w:rsidRDefault="00C85FC3" w:rsidP="00510A60">
            <w:pPr>
              <w:spacing w:before="100" w:after="100"/>
              <w:jc w:val="center"/>
              <w:rPr>
                <w:sz w:val="22"/>
              </w:rPr>
            </w:pPr>
          </w:p>
        </w:tc>
        <w:tc>
          <w:tcPr>
            <w:tcW w:w="3727" w:type="dxa"/>
          </w:tcPr>
          <w:p w14:paraId="13E32592" w14:textId="77777777" w:rsidR="00C85FC3" w:rsidRPr="00576AF8" w:rsidRDefault="00C85FC3" w:rsidP="00510A60">
            <w:pPr>
              <w:spacing w:before="100" w:after="100"/>
              <w:rPr>
                <w:sz w:val="22"/>
              </w:rPr>
            </w:pPr>
          </w:p>
        </w:tc>
        <w:tc>
          <w:tcPr>
            <w:tcW w:w="1853" w:type="dxa"/>
          </w:tcPr>
          <w:p w14:paraId="0C25066B" w14:textId="77777777" w:rsidR="00C85FC3" w:rsidRPr="00576AF8" w:rsidRDefault="00C85FC3" w:rsidP="00510A60">
            <w:pPr>
              <w:spacing w:before="100" w:after="100"/>
              <w:jc w:val="center"/>
              <w:rPr>
                <w:sz w:val="22"/>
              </w:rPr>
            </w:pPr>
          </w:p>
        </w:tc>
        <w:tc>
          <w:tcPr>
            <w:tcW w:w="1890" w:type="dxa"/>
          </w:tcPr>
          <w:p w14:paraId="0373E914" w14:textId="77777777" w:rsidR="00C85FC3" w:rsidRPr="00576AF8" w:rsidRDefault="00C85FC3" w:rsidP="00510A60">
            <w:pPr>
              <w:spacing w:before="100" w:after="100"/>
              <w:jc w:val="center"/>
              <w:rPr>
                <w:sz w:val="22"/>
              </w:rPr>
            </w:pPr>
          </w:p>
        </w:tc>
        <w:tc>
          <w:tcPr>
            <w:tcW w:w="1890" w:type="dxa"/>
          </w:tcPr>
          <w:p w14:paraId="10C14C35" w14:textId="77777777" w:rsidR="00C85FC3" w:rsidRPr="00576AF8" w:rsidRDefault="00C85FC3" w:rsidP="00510A60">
            <w:pPr>
              <w:spacing w:before="100" w:after="100"/>
              <w:jc w:val="center"/>
              <w:rPr>
                <w:sz w:val="22"/>
              </w:rPr>
            </w:pPr>
          </w:p>
        </w:tc>
        <w:tc>
          <w:tcPr>
            <w:tcW w:w="1980" w:type="dxa"/>
          </w:tcPr>
          <w:p w14:paraId="6295399C" w14:textId="77777777" w:rsidR="00C85FC3" w:rsidRPr="00576AF8" w:rsidRDefault="00C85FC3" w:rsidP="00510A60">
            <w:pPr>
              <w:spacing w:before="100" w:after="100"/>
              <w:jc w:val="center"/>
              <w:rPr>
                <w:sz w:val="22"/>
              </w:rPr>
            </w:pPr>
          </w:p>
        </w:tc>
      </w:tr>
      <w:tr w:rsidR="00C85FC3" w:rsidRPr="00576AF8" w14:paraId="7EB0D2C0" w14:textId="77777777" w:rsidTr="00510A60">
        <w:trPr>
          <w:cantSplit/>
        </w:trPr>
        <w:tc>
          <w:tcPr>
            <w:tcW w:w="1170" w:type="dxa"/>
          </w:tcPr>
          <w:p w14:paraId="74322315" w14:textId="77777777" w:rsidR="00C85FC3" w:rsidRPr="00576AF8" w:rsidRDefault="00C85FC3" w:rsidP="00510A60">
            <w:pPr>
              <w:spacing w:before="100" w:after="100"/>
              <w:jc w:val="center"/>
              <w:rPr>
                <w:sz w:val="22"/>
              </w:rPr>
            </w:pPr>
            <w:r w:rsidRPr="00576AF8">
              <w:rPr>
                <w:sz w:val="22"/>
              </w:rPr>
              <w:t>1.</w:t>
            </w:r>
          </w:p>
        </w:tc>
        <w:tc>
          <w:tcPr>
            <w:tcW w:w="3727" w:type="dxa"/>
          </w:tcPr>
          <w:p w14:paraId="4278D3FD" w14:textId="77777777" w:rsidR="00C85FC3" w:rsidRPr="00576AF8" w:rsidRDefault="00C85FC3" w:rsidP="00510A60">
            <w:pPr>
              <w:spacing w:before="100" w:after="100"/>
              <w:rPr>
                <w:sz w:val="22"/>
              </w:rPr>
            </w:pPr>
            <w:r w:rsidRPr="00576AF8">
              <w:rPr>
                <w:sz w:val="22"/>
              </w:rPr>
              <w:t>Costos de suministro e instalación (tomados del resumen de los costos de suministro e instalación)</w:t>
            </w:r>
          </w:p>
        </w:tc>
        <w:tc>
          <w:tcPr>
            <w:tcW w:w="1853" w:type="dxa"/>
          </w:tcPr>
          <w:p w14:paraId="30697863" w14:textId="77777777" w:rsidR="00C85FC3" w:rsidRPr="00576AF8" w:rsidRDefault="00C85FC3" w:rsidP="00510A60">
            <w:pPr>
              <w:spacing w:before="100" w:after="100"/>
              <w:jc w:val="center"/>
              <w:rPr>
                <w:sz w:val="22"/>
              </w:rPr>
            </w:pPr>
          </w:p>
        </w:tc>
        <w:tc>
          <w:tcPr>
            <w:tcW w:w="1890" w:type="dxa"/>
          </w:tcPr>
          <w:p w14:paraId="593C41E2" w14:textId="77777777" w:rsidR="00C85FC3" w:rsidRPr="00576AF8" w:rsidRDefault="00C85FC3" w:rsidP="00510A60">
            <w:pPr>
              <w:spacing w:before="100" w:after="100"/>
              <w:jc w:val="center"/>
              <w:rPr>
                <w:sz w:val="22"/>
              </w:rPr>
            </w:pPr>
          </w:p>
        </w:tc>
        <w:tc>
          <w:tcPr>
            <w:tcW w:w="1890" w:type="dxa"/>
          </w:tcPr>
          <w:p w14:paraId="77B865B9" w14:textId="77777777" w:rsidR="00C85FC3" w:rsidRPr="00576AF8" w:rsidRDefault="00C85FC3" w:rsidP="00510A60">
            <w:pPr>
              <w:spacing w:before="100" w:after="100"/>
              <w:jc w:val="center"/>
              <w:rPr>
                <w:sz w:val="22"/>
              </w:rPr>
            </w:pPr>
          </w:p>
        </w:tc>
        <w:tc>
          <w:tcPr>
            <w:tcW w:w="1980" w:type="dxa"/>
          </w:tcPr>
          <w:p w14:paraId="78235640" w14:textId="77777777" w:rsidR="00C85FC3" w:rsidRPr="00576AF8" w:rsidRDefault="00C85FC3" w:rsidP="00510A60">
            <w:pPr>
              <w:spacing w:before="100" w:after="100"/>
              <w:jc w:val="center"/>
              <w:rPr>
                <w:sz w:val="22"/>
              </w:rPr>
            </w:pPr>
          </w:p>
        </w:tc>
      </w:tr>
      <w:tr w:rsidR="00C85FC3" w:rsidRPr="00576AF8" w14:paraId="53973B63" w14:textId="77777777" w:rsidTr="00510A60">
        <w:trPr>
          <w:cantSplit/>
        </w:trPr>
        <w:tc>
          <w:tcPr>
            <w:tcW w:w="1170" w:type="dxa"/>
          </w:tcPr>
          <w:p w14:paraId="6092198B" w14:textId="77777777" w:rsidR="00C85FC3" w:rsidRPr="00576AF8" w:rsidRDefault="00C85FC3" w:rsidP="00510A60">
            <w:pPr>
              <w:spacing w:before="100" w:after="100"/>
              <w:jc w:val="center"/>
              <w:rPr>
                <w:sz w:val="22"/>
              </w:rPr>
            </w:pPr>
          </w:p>
        </w:tc>
        <w:tc>
          <w:tcPr>
            <w:tcW w:w="3727" w:type="dxa"/>
          </w:tcPr>
          <w:p w14:paraId="5FEAC4D5" w14:textId="77777777" w:rsidR="00C85FC3" w:rsidRPr="00576AF8" w:rsidRDefault="00C85FC3" w:rsidP="00510A60">
            <w:pPr>
              <w:tabs>
                <w:tab w:val="left" w:pos="342"/>
              </w:tabs>
              <w:spacing w:before="100" w:after="100"/>
              <w:ind w:left="342" w:hanging="342"/>
              <w:rPr>
                <w:sz w:val="22"/>
              </w:rPr>
            </w:pPr>
          </w:p>
        </w:tc>
        <w:tc>
          <w:tcPr>
            <w:tcW w:w="1853" w:type="dxa"/>
          </w:tcPr>
          <w:p w14:paraId="4C8E0954" w14:textId="77777777" w:rsidR="00C85FC3" w:rsidRPr="00576AF8" w:rsidRDefault="00C85FC3" w:rsidP="00510A60">
            <w:pPr>
              <w:spacing w:before="100" w:after="100"/>
              <w:jc w:val="center"/>
              <w:rPr>
                <w:sz w:val="22"/>
              </w:rPr>
            </w:pPr>
          </w:p>
        </w:tc>
        <w:tc>
          <w:tcPr>
            <w:tcW w:w="1890" w:type="dxa"/>
          </w:tcPr>
          <w:p w14:paraId="0008AF37" w14:textId="77777777" w:rsidR="00C85FC3" w:rsidRPr="00576AF8" w:rsidRDefault="00C85FC3" w:rsidP="00510A60">
            <w:pPr>
              <w:spacing w:before="100" w:after="100"/>
              <w:jc w:val="center"/>
              <w:rPr>
                <w:sz w:val="22"/>
              </w:rPr>
            </w:pPr>
          </w:p>
        </w:tc>
        <w:tc>
          <w:tcPr>
            <w:tcW w:w="1890" w:type="dxa"/>
          </w:tcPr>
          <w:p w14:paraId="68368055" w14:textId="77777777" w:rsidR="00C85FC3" w:rsidRPr="00576AF8" w:rsidRDefault="00C85FC3" w:rsidP="00510A60">
            <w:pPr>
              <w:spacing w:before="100" w:after="100"/>
              <w:jc w:val="center"/>
              <w:rPr>
                <w:sz w:val="22"/>
              </w:rPr>
            </w:pPr>
          </w:p>
        </w:tc>
        <w:tc>
          <w:tcPr>
            <w:tcW w:w="1980" w:type="dxa"/>
          </w:tcPr>
          <w:p w14:paraId="0DE6354B" w14:textId="77777777" w:rsidR="00C85FC3" w:rsidRPr="00576AF8" w:rsidRDefault="00C85FC3" w:rsidP="00510A60">
            <w:pPr>
              <w:spacing w:before="100" w:after="100"/>
              <w:jc w:val="center"/>
              <w:rPr>
                <w:sz w:val="22"/>
              </w:rPr>
            </w:pPr>
          </w:p>
        </w:tc>
      </w:tr>
      <w:tr w:rsidR="00C85FC3" w:rsidRPr="00576AF8" w14:paraId="3B5A0A45" w14:textId="77777777" w:rsidTr="00510A60">
        <w:trPr>
          <w:cantSplit/>
        </w:trPr>
        <w:tc>
          <w:tcPr>
            <w:tcW w:w="1170" w:type="dxa"/>
          </w:tcPr>
          <w:p w14:paraId="6BCE2732" w14:textId="77777777" w:rsidR="00C85FC3" w:rsidRPr="00576AF8" w:rsidRDefault="00C85FC3" w:rsidP="00510A60">
            <w:pPr>
              <w:spacing w:before="100" w:after="100"/>
              <w:jc w:val="center"/>
              <w:rPr>
                <w:sz w:val="22"/>
              </w:rPr>
            </w:pPr>
            <w:r w:rsidRPr="00576AF8">
              <w:rPr>
                <w:sz w:val="22"/>
              </w:rPr>
              <w:t>2.</w:t>
            </w:r>
          </w:p>
        </w:tc>
        <w:tc>
          <w:tcPr>
            <w:tcW w:w="3727" w:type="dxa"/>
          </w:tcPr>
          <w:p w14:paraId="5EC28806" w14:textId="77777777" w:rsidR="00C85FC3" w:rsidRPr="00576AF8" w:rsidRDefault="00C85FC3" w:rsidP="00510A60">
            <w:pPr>
              <w:spacing w:before="100" w:after="100"/>
              <w:rPr>
                <w:sz w:val="22"/>
              </w:rPr>
            </w:pPr>
            <w:r w:rsidRPr="00576AF8">
              <w:rPr>
                <w:sz w:val="22"/>
              </w:rPr>
              <w:t>Gastos recurrentes (tomados del resumen de gastos recurrentes)</w:t>
            </w:r>
          </w:p>
        </w:tc>
        <w:tc>
          <w:tcPr>
            <w:tcW w:w="1853" w:type="dxa"/>
          </w:tcPr>
          <w:p w14:paraId="67E92685" w14:textId="77777777" w:rsidR="00C85FC3" w:rsidRPr="00576AF8" w:rsidRDefault="00C85FC3" w:rsidP="00510A60">
            <w:pPr>
              <w:spacing w:before="100" w:after="100"/>
              <w:jc w:val="center"/>
              <w:rPr>
                <w:sz w:val="22"/>
              </w:rPr>
            </w:pPr>
          </w:p>
        </w:tc>
        <w:tc>
          <w:tcPr>
            <w:tcW w:w="1890" w:type="dxa"/>
          </w:tcPr>
          <w:p w14:paraId="76779C12" w14:textId="77777777" w:rsidR="00C85FC3" w:rsidRPr="00576AF8" w:rsidRDefault="00C85FC3" w:rsidP="00510A60">
            <w:pPr>
              <w:spacing w:before="100" w:after="100"/>
              <w:jc w:val="center"/>
              <w:rPr>
                <w:sz w:val="22"/>
              </w:rPr>
            </w:pPr>
          </w:p>
        </w:tc>
        <w:tc>
          <w:tcPr>
            <w:tcW w:w="1890" w:type="dxa"/>
          </w:tcPr>
          <w:p w14:paraId="65AB63FC" w14:textId="77777777" w:rsidR="00C85FC3" w:rsidRPr="00576AF8" w:rsidRDefault="00C85FC3" w:rsidP="00510A60">
            <w:pPr>
              <w:spacing w:before="100" w:after="100"/>
              <w:jc w:val="center"/>
              <w:rPr>
                <w:sz w:val="22"/>
              </w:rPr>
            </w:pPr>
          </w:p>
        </w:tc>
        <w:tc>
          <w:tcPr>
            <w:tcW w:w="1980" w:type="dxa"/>
          </w:tcPr>
          <w:p w14:paraId="7B27A7B7" w14:textId="77777777" w:rsidR="00C85FC3" w:rsidRPr="00576AF8" w:rsidRDefault="00C85FC3" w:rsidP="00510A60">
            <w:pPr>
              <w:spacing w:before="100" w:after="100"/>
              <w:jc w:val="center"/>
              <w:rPr>
                <w:sz w:val="22"/>
              </w:rPr>
            </w:pPr>
          </w:p>
        </w:tc>
      </w:tr>
      <w:tr w:rsidR="00C85FC3" w:rsidRPr="00576AF8" w14:paraId="6B7986BA" w14:textId="77777777" w:rsidTr="00510A60">
        <w:trPr>
          <w:cantSplit/>
        </w:trPr>
        <w:tc>
          <w:tcPr>
            <w:tcW w:w="1170" w:type="dxa"/>
          </w:tcPr>
          <w:p w14:paraId="0848DD66" w14:textId="77777777" w:rsidR="00C85FC3" w:rsidRPr="00576AF8" w:rsidRDefault="00C85FC3" w:rsidP="00510A60">
            <w:pPr>
              <w:spacing w:before="100" w:after="100"/>
              <w:jc w:val="center"/>
              <w:rPr>
                <w:strike/>
                <w:sz w:val="22"/>
              </w:rPr>
            </w:pPr>
          </w:p>
        </w:tc>
        <w:tc>
          <w:tcPr>
            <w:tcW w:w="3727" w:type="dxa"/>
          </w:tcPr>
          <w:p w14:paraId="6E624DD8" w14:textId="77777777" w:rsidR="00C85FC3" w:rsidRPr="00576AF8" w:rsidRDefault="00C85FC3" w:rsidP="00510A60">
            <w:pPr>
              <w:spacing w:before="100" w:after="100"/>
              <w:rPr>
                <w:strike/>
                <w:sz w:val="22"/>
              </w:rPr>
            </w:pPr>
          </w:p>
        </w:tc>
        <w:tc>
          <w:tcPr>
            <w:tcW w:w="1853" w:type="dxa"/>
          </w:tcPr>
          <w:p w14:paraId="4C5155B9" w14:textId="77777777" w:rsidR="00C85FC3" w:rsidRPr="00576AF8" w:rsidRDefault="00C85FC3" w:rsidP="00510A60">
            <w:pPr>
              <w:spacing w:before="100" w:after="100"/>
              <w:jc w:val="center"/>
              <w:rPr>
                <w:strike/>
                <w:sz w:val="22"/>
              </w:rPr>
            </w:pPr>
          </w:p>
        </w:tc>
        <w:tc>
          <w:tcPr>
            <w:tcW w:w="1890" w:type="dxa"/>
          </w:tcPr>
          <w:p w14:paraId="67527697" w14:textId="77777777" w:rsidR="00C85FC3" w:rsidRPr="00576AF8" w:rsidRDefault="00C85FC3" w:rsidP="00510A60">
            <w:pPr>
              <w:spacing w:before="100" w:after="100"/>
              <w:jc w:val="center"/>
              <w:rPr>
                <w:strike/>
                <w:sz w:val="22"/>
              </w:rPr>
            </w:pPr>
          </w:p>
        </w:tc>
        <w:tc>
          <w:tcPr>
            <w:tcW w:w="1890" w:type="dxa"/>
          </w:tcPr>
          <w:p w14:paraId="619C7DA2" w14:textId="77777777" w:rsidR="00C85FC3" w:rsidRPr="00576AF8" w:rsidRDefault="00C85FC3" w:rsidP="00510A60">
            <w:pPr>
              <w:spacing w:before="100" w:after="100"/>
              <w:jc w:val="center"/>
              <w:rPr>
                <w:strike/>
                <w:sz w:val="22"/>
              </w:rPr>
            </w:pPr>
          </w:p>
        </w:tc>
        <w:tc>
          <w:tcPr>
            <w:tcW w:w="1980" w:type="dxa"/>
          </w:tcPr>
          <w:p w14:paraId="4B8C9694" w14:textId="77777777" w:rsidR="00C85FC3" w:rsidRPr="00576AF8" w:rsidRDefault="00C85FC3" w:rsidP="00510A60">
            <w:pPr>
              <w:spacing w:before="100" w:after="100"/>
              <w:jc w:val="center"/>
              <w:rPr>
                <w:strike/>
                <w:sz w:val="22"/>
              </w:rPr>
            </w:pPr>
          </w:p>
        </w:tc>
      </w:tr>
      <w:tr w:rsidR="00C85FC3" w:rsidRPr="00576AF8" w14:paraId="683AC6C3" w14:textId="77777777" w:rsidTr="00510A60">
        <w:trPr>
          <w:cantSplit/>
          <w:trHeight w:hRule="exact" w:val="120"/>
        </w:trPr>
        <w:tc>
          <w:tcPr>
            <w:tcW w:w="1170" w:type="dxa"/>
          </w:tcPr>
          <w:p w14:paraId="30327B0B" w14:textId="77777777" w:rsidR="00C85FC3" w:rsidRPr="00576AF8" w:rsidRDefault="00C85FC3" w:rsidP="00510A60">
            <w:pPr>
              <w:spacing w:before="100" w:after="100"/>
              <w:jc w:val="center"/>
              <w:rPr>
                <w:sz w:val="22"/>
              </w:rPr>
            </w:pPr>
          </w:p>
        </w:tc>
        <w:tc>
          <w:tcPr>
            <w:tcW w:w="3727" w:type="dxa"/>
          </w:tcPr>
          <w:p w14:paraId="1BA71703" w14:textId="77777777" w:rsidR="00C85FC3" w:rsidRPr="00576AF8" w:rsidRDefault="00C85FC3" w:rsidP="00510A60">
            <w:pPr>
              <w:spacing w:before="100" w:after="100"/>
              <w:rPr>
                <w:sz w:val="22"/>
              </w:rPr>
            </w:pPr>
          </w:p>
        </w:tc>
        <w:tc>
          <w:tcPr>
            <w:tcW w:w="1853" w:type="dxa"/>
          </w:tcPr>
          <w:p w14:paraId="742A8289" w14:textId="77777777" w:rsidR="00C85FC3" w:rsidRPr="00576AF8" w:rsidRDefault="00C85FC3" w:rsidP="00510A60">
            <w:pPr>
              <w:spacing w:before="100" w:after="100"/>
              <w:jc w:val="center"/>
              <w:rPr>
                <w:sz w:val="22"/>
              </w:rPr>
            </w:pPr>
          </w:p>
        </w:tc>
        <w:tc>
          <w:tcPr>
            <w:tcW w:w="1890" w:type="dxa"/>
          </w:tcPr>
          <w:p w14:paraId="1DDEC7AB" w14:textId="77777777" w:rsidR="00C85FC3" w:rsidRPr="00576AF8" w:rsidRDefault="00C85FC3" w:rsidP="00510A60">
            <w:pPr>
              <w:spacing w:before="100" w:after="100"/>
              <w:jc w:val="center"/>
              <w:rPr>
                <w:sz w:val="22"/>
              </w:rPr>
            </w:pPr>
          </w:p>
        </w:tc>
        <w:tc>
          <w:tcPr>
            <w:tcW w:w="1890" w:type="dxa"/>
          </w:tcPr>
          <w:p w14:paraId="069EB561" w14:textId="77777777" w:rsidR="00C85FC3" w:rsidRPr="00576AF8" w:rsidRDefault="00C85FC3" w:rsidP="00510A60">
            <w:pPr>
              <w:spacing w:before="100" w:after="100"/>
              <w:jc w:val="center"/>
              <w:rPr>
                <w:sz w:val="22"/>
              </w:rPr>
            </w:pPr>
          </w:p>
        </w:tc>
        <w:tc>
          <w:tcPr>
            <w:tcW w:w="1980" w:type="dxa"/>
          </w:tcPr>
          <w:p w14:paraId="11A0FDF1" w14:textId="77777777" w:rsidR="00C85FC3" w:rsidRPr="00576AF8" w:rsidRDefault="00C85FC3" w:rsidP="00510A60">
            <w:pPr>
              <w:spacing w:before="100" w:after="100"/>
              <w:jc w:val="center"/>
              <w:rPr>
                <w:sz w:val="22"/>
              </w:rPr>
            </w:pPr>
          </w:p>
        </w:tc>
      </w:tr>
      <w:tr w:rsidR="00C85FC3" w:rsidRPr="00576AF8" w14:paraId="01126DE9" w14:textId="77777777" w:rsidTr="00510A60">
        <w:trPr>
          <w:cantSplit/>
          <w:trHeight w:hRule="exact" w:val="120"/>
        </w:trPr>
        <w:tc>
          <w:tcPr>
            <w:tcW w:w="1170" w:type="dxa"/>
          </w:tcPr>
          <w:p w14:paraId="31E81A3B" w14:textId="77777777" w:rsidR="00C85FC3" w:rsidRPr="00576AF8" w:rsidRDefault="00C85FC3" w:rsidP="00510A60">
            <w:pPr>
              <w:spacing w:before="100" w:after="100"/>
              <w:jc w:val="center"/>
              <w:rPr>
                <w:sz w:val="22"/>
              </w:rPr>
            </w:pPr>
          </w:p>
        </w:tc>
        <w:tc>
          <w:tcPr>
            <w:tcW w:w="3727" w:type="dxa"/>
          </w:tcPr>
          <w:p w14:paraId="304318C9" w14:textId="77777777" w:rsidR="00C85FC3" w:rsidRPr="00576AF8" w:rsidRDefault="00C85FC3" w:rsidP="00510A60">
            <w:pPr>
              <w:spacing w:before="100" w:after="100"/>
              <w:rPr>
                <w:sz w:val="22"/>
              </w:rPr>
            </w:pPr>
          </w:p>
        </w:tc>
        <w:tc>
          <w:tcPr>
            <w:tcW w:w="1853" w:type="dxa"/>
          </w:tcPr>
          <w:p w14:paraId="191A9836" w14:textId="77777777" w:rsidR="00C85FC3" w:rsidRPr="00576AF8" w:rsidRDefault="00C85FC3" w:rsidP="00510A60">
            <w:pPr>
              <w:spacing w:before="100" w:after="100"/>
              <w:jc w:val="center"/>
              <w:rPr>
                <w:sz w:val="22"/>
              </w:rPr>
            </w:pPr>
          </w:p>
        </w:tc>
        <w:tc>
          <w:tcPr>
            <w:tcW w:w="1890" w:type="dxa"/>
          </w:tcPr>
          <w:p w14:paraId="2C4E0425" w14:textId="77777777" w:rsidR="00C85FC3" w:rsidRPr="00576AF8" w:rsidRDefault="00C85FC3" w:rsidP="00510A60">
            <w:pPr>
              <w:spacing w:before="100" w:after="100"/>
              <w:jc w:val="center"/>
              <w:rPr>
                <w:sz w:val="22"/>
              </w:rPr>
            </w:pPr>
          </w:p>
        </w:tc>
        <w:tc>
          <w:tcPr>
            <w:tcW w:w="1890" w:type="dxa"/>
          </w:tcPr>
          <w:p w14:paraId="4801BF94" w14:textId="77777777" w:rsidR="00C85FC3" w:rsidRPr="00576AF8" w:rsidRDefault="00C85FC3" w:rsidP="00510A60">
            <w:pPr>
              <w:spacing w:before="100" w:after="100"/>
              <w:jc w:val="center"/>
              <w:rPr>
                <w:sz w:val="22"/>
              </w:rPr>
            </w:pPr>
          </w:p>
        </w:tc>
        <w:tc>
          <w:tcPr>
            <w:tcW w:w="1980" w:type="dxa"/>
          </w:tcPr>
          <w:p w14:paraId="061F7D31" w14:textId="77777777" w:rsidR="00C85FC3" w:rsidRPr="00576AF8" w:rsidRDefault="00C85FC3" w:rsidP="00510A60">
            <w:pPr>
              <w:spacing w:before="100" w:after="100"/>
              <w:jc w:val="center"/>
              <w:rPr>
                <w:sz w:val="22"/>
              </w:rPr>
            </w:pPr>
          </w:p>
        </w:tc>
      </w:tr>
      <w:tr w:rsidR="00C85FC3" w:rsidRPr="00576AF8" w14:paraId="2EC1ED39" w14:textId="77777777" w:rsidTr="00510A60">
        <w:trPr>
          <w:cantSplit/>
        </w:trPr>
        <w:tc>
          <w:tcPr>
            <w:tcW w:w="1170" w:type="dxa"/>
          </w:tcPr>
          <w:p w14:paraId="3B0F4475" w14:textId="77777777" w:rsidR="00C85FC3" w:rsidRPr="00576AF8" w:rsidRDefault="00C85FC3" w:rsidP="00510A60">
            <w:pPr>
              <w:spacing w:before="100" w:after="100"/>
              <w:jc w:val="center"/>
              <w:rPr>
                <w:sz w:val="22"/>
              </w:rPr>
            </w:pPr>
            <w:r w:rsidRPr="00576AF8">
              <w:rPr>
                <w:sz w:val="22"/>
              </w:rPr>
              <w:t>4.</w:t>
            </w:r>
          </w:p>
        </w:tc>
        <w:tc>
          <w:tcPr>
            <w:tcW w:w="3727" w:type="dxa"/>
          </w:tcPr>
          <w:p w14:paraId="53C21AEA" w14:textId="77777777" w:rsidR="00C85FC3" w:rsidRPr="00576AF8" w:rsidRDefault="00C85FC3" w:rsidP="00510A60">
            <w:pPr>
              <w:spacing w:before="100" w:after="100"/>
              <w:jc w:val="right"/>
              <w:rPr>
                <w:sz w:val="22"/>
              </w:rPr>
            </w:pPr>
            <w:r w:rsidRPr="00576AF8">
              <w:rPr>
                <w:sz w:val="22"/>
              </w:rPr>
              <w:t>Total (traslade al formulario de presentación de la Oferta)</w:t>
            </w:r>
          </w:p>
        </w:tc>
        <w:tc>
          <w:tcPr>
            <w:tcW w:w="1853" w:type="dxa"/>
          </w:tcPr>
          <w:p w14:paraId="588F6337" w14:textId="77777777" w:rsidR="00C85FC3" w:rsidRPr="00576AF8" w:rsidRDefault="00C85FC3" w:rsidP="00510A60">
            <w:pPr>
              <w:spacing w:before="100" w:after="100"/>
              <w:jc w:val="center"/>
              <w:rPr>
                <w:sz w:val="22"/>
              </w:rPr>
            </w:pPr>
          </w:p>
        </w:tc>
        <w:tc>
          <w:tcPr>
            <w:tcW w:w="1890" w:type="dxa"/>
          </w:tcPr>
          <w:p w14:paraId="0FDE1784" w14:textId="77777777" w:rsidR="00C85FC3" w:rsidRPr="00576AF8" w:rsidRDefault="00C85FC3" w:rsidP="00510A60">
            <w:pPr>
              <w:spacing w:before="100" w:after="100"/>
              <w:jc w:val="center"/>
              <w:rPr>
                <w:sz w:val="22"/>
              </w:rPr>
            </w:pPr>
          </w:p>
        </w:tc>
        <w:tc>
          <w:tcPr>
            <w:tcW w:w="1890" w:type="dxa"/>
          </w:tcPr>
          <w:p w14:paraId="5638D0F5" w14:textId="77777777" w:rsidR="00C85FC3" w:rsidRPr="00576AF8" w:rsidRDefault="00C85FC3" w:rsidP="00510A60">
            <w:pPr>
              <w:spacing w:before="100" w:after="100"/>
              <w:jc w:val="center"/>
              <w:rPr>
                <w:sz w:val="22"/>
              </w:rPr>
            </w:pPr>
          </w:p>
        </w:tc>
        <w:tc>
          <w:tcPr>
            <w:tcW w:w="1980" w:type="dxa"/>
          </w:tcPr>
          <w:p w14:paraId="5CB53512" w14:textId="77777777" w:rsidR="00C85FC3" w:rsidRPr="00576AF8" w:rsidRDefault="00C85FC3" w:rsidP="00510A60">
            <w:pPr>
              <w:spacing w:before="100" w:after="100"/>
              <w:jc w:val="center"/>
              <w:rPr>
                <w:sz w:val="22"/>
              </w:rPr>
            </w:pPr>
          </w:p>
        </w:tc>
      </w:tr>
    </w:tbl>
    <w:p w14:paraId="60B67CF2" w14:textId="77777777" w:rsidR="00C85FC3" w:rsidRPr="00576AF8" w:rsidRDefault="00C85FC3" w:rsidP="00C85FC3"/>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C85FC3" w:rsidRPr="00576AF8" w14:paraId="644D670A" w14:textId="77777777" w:rsidTr="00510A60">
        <w:trPr>
          <w:cantSplit/>
          <w:trHeight w:hRule="exact" w:val="240"/>
          <w:jc w:val="center"/>
        </w:trPr>
        <w:tc>
          <w:tcPr>
            <w:tcW w:w="4320" w:type="dxa"/>
          </w:tcPr>
          <w:p w14:paraId="53E43691" w14:textId="77777777" w:rsidR="00C85FC3" w:rsidRPr="00576AF8" w:rsidRDefault="00C85FC3" w:rsidP="00510A60">
            <w:pPr>
              <w:spacing w:before="100" w:after="100"/>
              <w:rPr>
                <w:sz w:val="22"/>
              </w:rPr>
            </w:pPr>
          </w:p>
        </w:tc>
        <w:tc>
          <w:tcPr>
            <w:tcW w:w="360" w:type="dxa"/>
          </w:tcPr>
          <w:p w14:paraId="750E2CAB" w14:textId="77777777" w:rsidR="00C85FC3" w:rsidRPr="00576AF8" w:rsidRDefault="00C85FC3" w:rsidP="00510A60">
            <w:pPr>
              <w:spacing w:before="100" w:after="100"/>
              <w:jc w:val="center"/>
              <w:rPr>
                <w:sz w:val="22"/>
              </w:rPr>
            </w:pPr>
          </w:p>
        </w:tc>
        <w:tc>
          <w:tcPr>
            <w:tcW w:w="5148" w:type="dxa"/>
          </w:tcPr>
          <w:p w14:paraId="3BD48DB7" w14:textId="77777777" w:rsidR="00C85FC3" w:rsidRPr="00576AF8" w:rsidRDefault="00C85FC3" w:rsidP="00510A60">
            <w:pPr>
              <w:spacing w:before="100" w:after="100"/>
              <w:jc w:val="center"/>
              <w:rPr>
                <w:sz w:val="22"/>
              </w:rPr>
            </w:pPr>
          </w:p>
        </w:tc>
      </w:tr>
      <w:tr w:rsidR="00C85FC3" w:rsidRPr="00576AF8" w14:paraId="1182AB17" w14:textId="77777777" w:rsidTr="00510A60">
        <w:trPr>
          <w:cantSplit/>
          <w:jc w:val="center"/>
        </w:trPr>
        <w:tc>
          <w:tcPr>
            <w:tcW w:w="4320" w:type="dxa"/>
          </w:tcPr>
          <w:p w14:paraId="0876E85E" w14:textId="77777777" w:rsidR="00C85FC3" w:rsidRPr="00576AF8" w:rsidRDefault="00C85FC3" w:rsidP="00510A60">
            <w:pPr>
              <w:spacing w:before="100" w:after="100"/>
              <w:jc w:val="right"/>
              <w:rPr>
                <w:sz w:val="22"/>
              </w:rPr>
            </w:pPr>
            <w:r w:rsidRPr="00576AF8">
              <w:rPr>
                <w:sz w:val="22"/>
              </w:rPr>
              <w:t>Nombre del Licitante:</w:t>
            </w:r>
          </w:p>
        </w:tc>
        <w:tc>
          <w:tcPr>
            <w:tcW w:w="360" w:type="dxa"/>
          </w:tcPr>
          <w:p w14:paraId="54BD09AE" w14:textId="77777777" w:rsidR="00C85FC3" w:rsidRPr="00576AF8" w:rsidRDefault="00C85FC3" w:rsidP="00510A60">
            <w:pPr>
              <w:spacing w:before="100" w:after="100"/>
              <w:jc w:val="center"/>
              <w:rPr>
                <w:sz w:val="22"/>
              </w:rPr>
            </w:pPr>
          </w:p>
        </w:tc>
        <w:tc>
          <w:tcPr>
            <w:tcW w:w="5148" w:type="dxa"/>
          </w:tcPr>
          <w:p w14:paraId="73294681" w14:textId="77777777" w:rsidR="00C85FC3" w:rsidRPr="00576AF8" w:rsidRDefault="00C85FC3" w:rsidP="00510A60">
            <w:pPr>
              <w:spacing w:before="100" w:after="100"/>
              <w:jc w:val="center"/>
              <w:rPr>
                <w:sz w:val="22"/>
              </w:rPr>
            </w:pPr>
          </w:p>
        </w:tc>
      </w:tr>
      <w:tr w:rsidR="00C85FC3" w:rsidRPr="00576AF8" w14:paraId="457080B3" w14:textId="77777777" w:rsidTr="00510A60">
        <w:trPr>
          <w:cantSplit/>
          <w:trHeight w:hRule="exact" w:val="240"/>
          <w:jc w:val="center"/>
        </w:trPr>
        <w:tc>
          <w:tcPr>
            <w:tcW w:w="4320" w:type="dxa"/>
          </w:tcPr>
          <w:p w14:paraId="5CEA5E4E" w14:textId="77777777" w:rsidR="00C85FC3" w:rsidRPr="00576AF8" w:rsidRDefault="00C85FC3" w:rsidP="00510A60">
            <w:pPr>
              <w:spacing w:before="100" w:after="100"/>
              <w:jc w:val="right"/>
              <w:rPr>
                <w:sz w:val="22"/>
              </w:rPr>
            </w:pPr>
          </w:p>
        </w:tc>
        <w:tc>
          <w:tcPr>
            <w:tcW w:w="360" w:type="dxa"/>
          </w:tcPr>
          <w:p w14:paraId="2630C515" w14:textId="77777777" w:rsidR="00C85FC3" w:rsidRPr="00576AF8" w:rsidRDefault="00C85FC3" w:rsidP="00510A60">
            <w:pPr>
              <w:spacing w:before="100" w:after="100"/>
              <w:jc w:val="center"/>
              <w:rPr>
                <w:sz w:val="22"/>
              </w:rPr>
            </w:pPr>
          </w:p>
        </w:tc>
        <w:tc>
          <w:tcPr>
            <w:tcW w:w="5148" w:type="dxa"/>
          </w:tcPr>
          <w:p w14:paraId="38057BF0" w14:textId="77777777" w:rsidR="00C85FC3" w:rsidRPr="00576AF8" w:rsidRDefault="00C85FC3" w:rsidP="00510A60">
            <w:pPr>
              <w:spacing w:before="100" w:after="100"/>
              <w:jc w:val="center"/>
              <w:rPr>
                <w:sz w:val="22"/>
              </w:rPr>
            </w:pPr>
          </w:p>
        </w:tc>
      </w:tr>
      <w:tr w:rsidR="00C85FC3" w:rsidRPr="00576AF8" w14:paraId="7CB737CE" w14:textId="77777777" w:rsidTr="00510A60">
        <w:trPr>
          <w:cantSplit/>
          <w:jc w:val="center"/>
        </w:trPr>
        <w:tc>
          <w:tcPr>
            <w:tcW w:w="4320" w:type="dxa"/>
          </w:tcPr>
          <w:p w14:paraId="08063D0E" w14:textId="77777777" w:rsidR="00C85FC3" w:rsidRPr="00576AF8" w:rsidRDefault="00C85FC3" w:rsidP="00510A60">
            <w:pPr>
              <w:spacing w:before="100" w:after="100"/>
              <w:jc w:val="right"/>
              <w:rPr>
                <w:sz w:val="22"/>
              </w:rPr>
            </w:pPr>
            <w:r w:rsidRPr="00576AF8">
              <w:rPr>
                <w:sz w:val="22"/>
              </w:rPr>
              <w:t>Firma autorizada del Licitante:</w:t>
            </w:r>
          </w:p>
        </w:tc>
        <w:tc>
          <w:tcPr>
            <w:tcW w:w="360" w:type="dxa"/>
          </w:tcPr>
          <w:p w14:paraId="7260F662" w14:textId="77777777" w:rsidR="00C85FC3" w:rsidRPr="00576AF8" w:rsidRDefault="00C85FC3" w:rsidP="00510A60">
            <w:pPr>
              <w:spacing w:before="100" w:after="100"/>
              <w:jc w:val="center"/>
              <w:rPr>
                <w:sz w:val="22"/>
              </w:rPr>
            </w:pPr>
          </w:p>
        </w:tc>
        <w:tc>
          <w:tcPr>
            <w:tcW w:w="5148" w:type="dxa"/>
          </w:tcPr>
          <w:p w14:paraId="0CD90591" w14:textId="77777777" w:rsidR="00C85FC3" w:rsidRPr="00576AF8" w:rsidRDefault="00C85FC3" w:rsidP="00510A60">
            <w:pPr>
              <w:spacing w:before="100" w:after="100"/>
              <w:jc w:val="center"/>
              <w:rPr>
                <w:sz w:val="22"/>
              </w:rPr>
            </w:pPr>
          </w:p>
        </w:tc>
      </w:tr>
    </w:tbl>
    <w:p w14:paraId="1BE4D984" w14:textId="77777777" w:rsidR="00C85FC3" w:rsidRPr="00576AF8" w:rsidRDefault="00C85FC3" w:rsidP="00C85FC3">
      <w:pPr>
        <w:pStyle w:val="Head32"/>
        <w:ind w:right="60"/>
      </w:pPr>
      <w:r w:rsidRPr="00576AF8">
        <w:br w:type="page"/>
      </w:r>
      <w:bookmarkStart w:id="540" w:name="_Toc521497241"/>
      <w:bookmarkStart w:id="541" w:name="_Toc218673958"/>
      <w:bookmarkStart w:id="542" w:name="_Toc277345593"/>
      <w:r w:rsidRPr="00576AF8">
        <w:lastRenderedPageBreak/>
        <w:t>3.2</w:t>
      </w:r>
      <w:r w:rsidRPr="00576AF8">
        <w:tab/>
      </w:r>
      <w:bookmarkStart w:id="543" w:name="_Hlt529125890"/>
      <w:bookmarkEnd w:id="543"/>
      <w:r w:rsidRPr="00576AF8">
        <w:tab/>
        <w:t xml:space="preserve">Resumen de los Costos de Suministro e </w:t>
      </w:r>
      <w:bookmarkEnd w:id="540"/>
      <w:bookmarkEnd w:id="541"/>
      <w:bookmarkEnd w:id="542"/>
      <w:r w:rsidRPr="00576AF8">
        <w:t>Instalación</w:t>
      </w:r>
    </w:p>
    <w:p w14:paraId="35796436" w14:textId="77777777" w:rsidR="00C85FC3" w:rsidRPr="00576AF8" w:rsidRDefault="00C85FC3" w:rsidP="00C85FC3">
      <w:pPr>
        <w:pStyle w:val="explanatorynotes"/>
        <w:ind w:right="60"/>
        <w:jc w:val="center"/>
        <w:rPr>
          <w:rFonts w:ascii="Times New Roman" w:hAnsi="Times New Roman"/>
        </w:rPr>
      </w:pPr>
      <w:r w:rsidRPr="00576AF8">
        <w:rPr>
          <w:rFonts w:ascii="Times New Roman" w:hAnsi="Times New Roman"/>
        </w:rPr>
        <w:t>Los costos DEBERÁN reflejar los precios y las tarifas cotizados de conformidad con las IAL 17 y 18.</w:t>
      </w:r>
    </w:p>
    <w:tbl>
      <w:tblPr>
        <w:tblW w:w="12870" w:type="dxa"/>
        <w:tblInd w:w="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107"/>
        <w:gridCol w:w="1701"/>
        <w:gridCol w:w="1701"/>
        <w:gridCol w:w="1418"/>
        <w:gridCol w:w="1417"/>
        <w:gridCol w:w="1418"/>
        <w:gridCol w:w="1388"/>
      </w:tblGrid>
      <w:tr w:rsidR="00C85FC3" w:rsidRPr="00576AF8" w14:paraId="37F53225" w14:textId="77777777" w:rsidTr="00510A60">
        <w:trPr>
          <w:cantSplit/>
          <w:tblHeader/>
        </w:trPr>
        <w:tc>
          <w:tcPr>
            <w:tcW w:w="720" w:type="dxa"/>
          </w:tcPr>
          <w:p w14:paraId="0D063B7F" w14:textId="77777777" w:rsidR="00C85FC3" w:rsidRPr="00576AF8" w:rsidRDefault="00C85FC3" w:rsidP="00510A60">
            <w:pPr>
              <w:spacing w:before="100" w:after="0"/>
              <w:jc w:val="center"/>
              <w:rPr>
                <w:b/>
                <w:sz w:val="22"/>
              </w:rPr>
            </w:pPr>
          </w:p>
        </w:tc>
        <w:tc>
          <w:tcPr>
            <w:tcW w:w="3107" w:type="dxa"/>
          </w:tcPr>
          <w:p w14:paraId="43251C60" w14:textId="77777777" w:rsidR="00C85FC3" w:rsidRPr="00576AF8" w:rsidRDefault="00C85FC3" w:rsidP="00510A60">
            <w:pPr>
              <w:spacing w:before="100" w:after="0"/>
              <w:jc w:val="left"/>
              <w:rPr>
                <w:b/>
                <w:sz w:val="22"/>
              </w:rPr>
            </w:pPr>
          </w:p>
        </w:tc>
        <w:tc>
          <w:tcPr>
            <w:tcW w:w="1701" w:type="dxa"/>
          </w:tcPr>
          <w:p w14:paraId="01BE7348" w14:textId="77777777" w:rsidR="00C85FC3" w:rsidRPr="00576AF8" w:rsidRDefault="00C85FC3" w:rsidP="00510A60">
            <w:pPr>
              <w:spacing w:before="100" w:after="0"/>
              <w:jc w:val="center"/>
              <w:rPr>
                <w:b/>
                <w:sz w:val="22"/>
              </w:rPr>
            </w:pPr>
          </w:p>
        </w:tc>
        <w:tc>
          <w:tcPr>
            <w:tcW w:w="7342" w:type="dxa"/>
            <w:gridSpan w:val="5"/>
          </w:tcPr>
          <w:p w14:paraId="025953EC" w14:textId="77777777" w:rsidR="00C85FC3" w:rsidRPr="00576AF8" w:rsidRDefault="00C85FC3" w:rsidP="00510A60">
            <w:pPr>
              <w:spacing w:before="100" w:after="0"/>
              <w:jc w:val="center"/>
              <w:rPr>
                <w:b/>
                <w:sz w:val="22"/>
              </w:rPr>
            </w:pPr>
            <w:r w:rsidRPr="00576AF8">
              <w:rPr>
                <w:b/>
                <w:sz w:val="22"/>
              </w:rPr>
              <w:t>Costos de suministro e instalación</w:t>
            </w:r>
          </w:p>
        </w:tc>
      </w:tr>
      <w:tr w:rsidR="00C85FC3" w:rsidRPr="00576AF8" w14:paraId="17CC48BA" w14:textId="77777777" w:rsidTr="00510A60">
        <w:trPr>
          <w:cantSplit/>
          <w:tblHeader/>
        </w:trPr>
        <w:tc>
          <w:tcPr>
            <w:tcW w:w="720" w:type="dxa"/>
          </w:tcPr>
          <w:p w14:paraId="549182C3" w14:textId="77777777" w:rsidR="00C85FC3" w:rsidRPr="00576AF8" w:rsidRDefault="00C85FC3" w:rsidP="00510A60">
            <w:pPr>
              <w:spacing w:before="100" w:after="100"/>
              <w:jc w:val="center"/>
              <w:rPr>
                <w:b/>
                <w:sz w:val="22"/>
              </w:rPr>
            </w:pPr>
          </w:p>
        </w:tc>
        <w:tc>
          <w:tcPr>
            <w:tcW w:w="3107" w:type="dxa"/>
          </w:tcPr>
          <w:p w14:paraId="6D52566B" w14:textId="77777777" w:rsidR="00C85FC3" w:rsidRPr="00576AF8" w:rsidRDefault="00C85FC3" w:rsidP="00510A60">
            <w:pPr>
              <w:spacing w:before="100" w:after="100"/>
              <w:jc w:val="left"/>
              <w:rPr>
                <w:b/>
                <w:sz w:val="22"/>
              </w:rPr>
            </w:pPr>
          </w:p>
        </w:tc>
        <w:tc>
          <w:tcPr>
            <w:tcW w:w="1701" w:type="dxa"/>
          </w:tcPr>
          <w:p w14:paraId="0ACA3013" w14:textId="77777777" w:rsidR="00C85FC3" w:rsidRPr="00576AF8" w:rsidRDefault="00C85FC3" w:rsidP="00510A60">
            <w:pPr>
              <w:spacing w:before="100" w:after="100"/>
              <w:jc w:val="center"/>
              <w:rPr>
                <w:b/>
                <w:sz w:val="22"/>
              </w:rPr>
            </w:pPr>
            <w:r w:rsidRPr="00576AF8">
              <w:rPr>
                <w:b/>
                <w:sz w:val="22"/>
              </w:rPr>
              <w:br/>
            </w:r>
          </w:p>
        </w:tc>
        <w:tc>
          <w:tcPr>
            <w:tcW w:w="1701" w:type="dxa"/>
          </w:tcPr>
          <w:p w14:paraId="09A2FD48" w14:textId="77777777" w:rsidR="00C85FC3" w:rsidRPr="00576AF8" w:rsidRDefault="00C85FC3" w:rsidP="00510A60">
            <w:pPr>
              <w:spacing w:before="100" w:after="100"/>
              <w:jc w:val="center"/>
              <w:rPr>
                <w:b/>
                <w:sz w:val="22"/>
              </w:rPr>
            </w:pPr>
            <w:r w:rsidRPr="00576AF8">
              <w:rPr>
                <w:b/>
                <w:sz w:val="22"/>
              </w:rPr>
              <w:t>Artículos suministrados desde el país del Comprador</w:t>
            </w:r>
          </w:p>
        </w:tc>
        <w:tc>
          <w:tcPr>
            <w:tcW w:w="5641" w:type="dxa"/>
            <w:gridSpan w:val="4"/>
          </w:tcPr>
          <w:p w14:paraId="4CDB655C" w14:textId="77777777" w:rsidR="00C85FC3" w:rsidRPr="00576AF8" w:rsidRDefault="00C85FC3" w:rsidP="00510A60">
            <w:pPr>
              <w:spacing w:before="100" w:after="100"/>
              <w:jc w:val="center"/>
              <w:rPr>
                <w:b/>
                <w:sz w:val="22"/>
              </w:rPr>
            </w:pPr>
            <w:r w:rsidRPr="00576AF8">
              <w:rPr>
                <w:b/>
                <w:sz w:val="22"/>
              </w:rPr>
              <w:t xml:space="preserve">Artículos suministrados desde un país </w:t>
            </w:r>
            <w:r w:rsidRPr="00576AF8">
              <w:rPr>
                <w:b/>
                <w:sz w:val="22"/>
              </w:rPr>
              <w:br/>
              <w:t>que no sea el del Comprador</w:t>
            </w:r>
          </w:p>
        </w:tc>
      </w:tr>
      <w:tr w:rsidR="00C85FC3" w:rsidRPr="00576AF8" w14:paraId="48D3402D" w14:textId="77777777" w:rsidTr="00510A60">
        <w:trPr>
          <w:cantSplit/>
          <w:tblHeader/>
        </w:trPr>
        <w:tc>
          <w:tcPr>
            <w:tcW w:w="720" w:type="dxa"/>
          </w:tcPr>
          <w:p w14:paraId="130EB3EE" w14:textId="77777777" w:rsidR="00C85FC3" w:rsidRPr="00576AF8" w:rsidRDefault="00C85FC3" w:rsidP="00510A60">
            <w:pPr>
              <w:spacing w:before="100" w:after="100"/>
              <w:ind w:left="-113" w:right="-101"/>
              <w:jc w:val="center"/>
              <w:rPr>
                <w:b/>
                <w:spacing w:val="-4"/>
                <w:sz w:val="22"/>
              </w:rPr>
            </w:pPr>
            <w:r w:rsidRPr="00576AF8">
              <w:rPr>
                <w:b/>
                <w:spacing w:val="-4"/>
                <w:sz w:val="22"/>
              </w:rPr>
              <w:t>Rubro n.°</w:t>
            </w:r>
          </w:p>
        </w:tc>
        <w:tc>
          <w:tcPr>
            <w:tcW w:w="3107" w:type="dxa"/>
          </w:tcPr>
          <w:p w14:paraId="36197951" w14:textId="0F120615" w:rsidR="00C85FC3" w:rsidRPr="00576AF8" w:rsidRDefault="00C85FC3" w:rsidP="00510A60">
            <w:pPr>
              <w:spacing w:before="100" w:after="100"/>
              <w:jc w:val="center"/>
              <w:rPr>
                <w:b/>
                <w:sz w:val="22"/>
              </w:rPr>
            </w:pPr>
            <w:r w:rsidRPr="00576AF8">
              <w:rPr>
                <w:b/>
                <w:sz w:val="22"/>
              </w:rPr>
              <w:br/>
            </w:r>
            <w:r w:rsidRPr="00576AF8">
              <w:rPr>
                <w:b/>
                <w:sz w:val="22"/>
              </w:rPr>
              <w:br/>
              <w:t>Subsistema/Artículo</w:t>
            </w:r>
            <w:r w:rsidR="007F2AB5">
              <w:rPr>
                <w:b/>
                <w:sz w:val="22"/>
              </w:rPr>
              <w:t xml:space="preserve"> (tomado del cuadro del programa de ejecución)</w:t>
            </w:r>
          </w:p>
        </w:tc>
        <w:tc>
          <w:tcPr>
            <w:tcW w:w="1701" w:type="dxa"/>
          </w:tcPr>
          <w:p w14:paraId="0A4FF9B0" w14:textId="77777777" w:rsidR="00C85FC3" w:rsidRPr="00576AF8" w:rsidRDefault="00C85FC3" w:rsidP="00510A60">
            <w:pPr>
              <w:spacing w:before="100" w:after="100"/>
              <w:jc w:val="center"/>
              <w:rPr>
                <w:b/>
                <w:sz w:val="22"/>
              </w:rPr>
            </w:pPr>
            <w:r w:rsidRPr="00576AF8">
              <w:rPr>
                <w:b/>
                <w:sz w:val="22"/>
              </w:rPr>
              <w:t>Cuadro parcial de costos de suministro e instalación n.º</w:t>
            </w:r>
          </w:p>
        </w:tc>
        <w:tc>
          <w:tcPr>
            <w:tcW w:w="1701" w:type="dxa"/>
          </w:tcPr>
          <w:p w14:paraId="392A7F93" w14:textId="77777777" w:rsidR="00C85FC3" w:rsidRPr="00576AF8" w:rsidRDefault="00C85FC3" w:rsidP="00510A60">
            <w:pPr>
              <w:spacing w:before="100" w:after="100"/>
              <w:jc w:val="center"/>
              <w:rPr>
                <w:b/>
                <w:sz w:val="22"/>
              </w:rPr>
            </w:pPr>
            <w:r w:rsidRPr="00576AF8">
              <w:rPr>
                <w:b/>
                <w:i/>
                <w:sz w:val="22"/>
              </w:rPr>
              <w:t>[</w:t>
            </w:r>
            <w:r w:rsidRPr="00576AF8">
              <w:rPr>
                <w:i/>
                <w:sz w:val="22"/>
              </w:rPr>
              <w:t>Indique</w:t>
            </w:r>
            <w:r w:rsidRPr="00576AF8">
              <w:rPr>
                <w:b/>
                <w:i/>
                <w:sz w:val="22"/>
              </w:rPr>
              <w:t>: moneda nacional]</w:t>
            </w:r>
            <w:r w:rsidRPr="00576AF8">
              <w:rPr>
                <w:b/>
                <w:sz w:val="22"/>
              </w:rPr>
              <w:br/>
            </w:r>
            <w:r w:rsidRPr="00576AF8">
              <w:rPr>
                <w:sz w:val="22"/>
              </w:rPr>
              <w:t>Precio</w:t>
            </w:r>
          </w:p>
        </w:tc>
        <w:tc>
          <w:tcPr>
            <w:tcW w:w="1418" w:type="dxa"/>
          </w:tcPr>
          <w:p w14:paraId="2E6CEB71" w14:textId="77777777" w:rsidR="00C85FC3" w:rsidRPr="00576AF8" w:rsidRDefault="00C85FC3" w:rsidP="00510A60">
            <w:pPr>
              <w:spacing w:before="100" w:after="100"/>
              <w:ind w:left="-111" w:right="-114"/>
              <w:jc w:val="center"/>
              <w:rPr>
                <w:b/>
                <w:sz w:val="22"/>
              </w:rPr>
            </w:pPr>
            <w:r w:rsidRPr="00576AF8">
              <w:rPr>
                <w:b/>
                <w:i/>
                <w:sz w:val="22"/>
              </w:rPr>
              <w:t>[</w:t>
            </w:r>
            <w:r w:rsidRPr="00576AF8">
              <w:rPr>
                <w:i/>
                <w:sz w:val="22"/>
              </w:rPr>
              <w:t>Indique</w:t>
            </w:r>
            <w:r w:rsidRPr="00576AF8">
              <w:rPr>
                <w:b/>
                <w:i/>
                <w:sz w:val="22"/>
              </w:rPr>
              <w:t>: moneda nacional]</w:t>
            </w:r>
            <w:r w:rsidRPr="00576AF8">
              <w:rPr>
                <w:b/>
                <w:sz w:val="22"/>
              </w:rPr>
              <w:br/>
            </w:r>
            <w:r w:rsidRPr="00576AF8">
              <w:rPr>
                <w:sz w:val="22"/>
              </w:rPr>
              <w:t>Precio</w:t>
            </w:r>
          </w:p>
        </w:tc>
        <w:tc>
          <w:tcPr>
            <w:tcW w:w="1417" w:type="dxa"/>
          </w:tcPr>
          <w:p w14:paraId="23911B01" w14:textId="77777777" w:rsidR="00C85FC3" w:rsidRPr="00576AF8" w:rsidRDefault="00C85FC3" w:rsidP="00510A60">
            <w:pPr>
              <w:spacing w:before="100" w:after="100"/>
              <w:ind w:left="-111" w:right="-114"/>
              <w:jc w:val="center"/>
              <w:rPr>
                <w:b/>
                <w:sz w:val="22"/>
              </w:rPr>
            </w:pPr>
            <w:r w:rsidRPr="00576AF8">
              <w:rPr>
                <w:b/>
                <w:i/>
                <w:sz w:val="22"/>
              </w:rPr>
              <w:t>[</w:t>
            </w:r>
            <w:r w:rsidRPr="00576AF8">
              <w:rPr>
                <w:i/>
                <w:sz w:val="22"/>
              </w:rPr>
              <w:t>Indique</w:t>
            </w:r>
            <w:r w:rsidRPr="00576AF8">
              <w:rPr>
                <w:b/>
                <w:i/>
                <w:sz w:val="22"/>
              </w:rPr>
              <w:t>: moneda extranjera A]</w:t>
            </w:r>
            <w:r w:rsidRPr="00576AF8">
              <w:rPr>
                <w:b/>
                <w:sz w:val="22"/>
              </w:rPr>
              <w:t xml:space="preserve"> </w:t>
            </w:r>
            <w:r w:rsidRPr="00576AF8">
              <w:rPr>
                <w:sz w:val="22"/>
              </w:rPr>
              <w:t>Precio</w:t>
            </w:r>
          </w:p>
        </w:tc>
        <w:tc>
          <w:tcPr>
            <w:tcW w:w="1418" w:type="dxa"/>
          </w:tcPr>
          <w:p w14:paraId="10C5BDBF" w14:textId="77777777" w:rsidR="00C85FC3" w:rsidRPr="00576AF8" w:rsidRDefault="00C85FC3" w:rsidP="00510A60">
            <w:pPr>
              <w:spacing w:before="100" w:after="100"/>
              <w:ind w:left="-111" w:right="-114"/>
              <w:jc w:val="center"/>
              <w:rPr>
                <w:b/>
                <w:sz w:val="22"/>
              </w:rPr>
            </w:pPr>
            <w:r w:rsidRPr="00576AF8">
              <w:rPr>
                <w:b/>
                <w:i/>
                <w:sz w:val="22"/>
              </w:rPr>
              <w:t>[</w:t>
            </w:r>
            <w:r w:rsidRPr="00576AF8">
              <w:rPr>
                <w:i/>
                <w:sz w:val="22"/>
              </w:rPr>
              <w:t>Indique</w:t>
            </w:r>
            <w:r w:rsidRPr="00576AF8">
              <w:rPr>
                <w:b/>
                <w:i/>
                <w:sz w:val="22"/>
              </w:rPr>
              <w:t>: moneda extranjera B]</w:t>
            </w:r>
            <w:r w:rsidRPr="00576AF8">
              <w:rPr>
                <w:b/>
                <w:sz w:val="22"/>
              </w:rPr>
              <w:t xml:space="preserve"> </w:t>
            </w:r>
            <w:r w:rsidRPr="00576AF8">
              <w:rPr>
                <w:sz w:val="22"/>
              </w:rPr>
              <w:t>Precio</w:t>
            </w:r>
          </w:p>
        </w:tc>
        <w:tc>
          <w:tcPr>
            <w:tcW w:w="1388" w:type="dxa"/>
          </w:tcPr>
          <w:p w14:paraId="0D0D0DB3" w14:textId="77777777" w:rsidR="00C85FC3" w:rsidRPr="00576AF8" w:rsidRDefault="00C85FC3" w:rsidP="00510A60">
            <w:pPr>
              <w:spacing w:before="100" w:after="100"/>
              <w:ind w:left="-111" w:right="-114"/>
              <w:jc w:val="center"/>
              <w:rPr>
                <w:b/>
                <w:sz w:val="22"/>
              </w:rPr>
            </w:pPr>
            <w:r w:rsidRPr="00576AF8">
              <w:rPr>
                <w:b/>
                <w:i/>
                <w:sz w:val="22"/>
              </w:rPr>
              <w:t>[</w:t>
            </w:r>
            <w:r w:rsidRPr="00576AF8">
              <w:rPr>
                <w:i/>
                <w:sz w:val="22"/>
              </w:rPr>
              <w:t>Indique</w:t>
            </w:r>
            <w:r w:rsidRPr="00576AF8">
              <w:rPr>
                <w:b/>
                <w:i/>
                <w:sz w:val="22"/>
              </w:rPr>
              <w:t>: moneda extranjera C]</w:t>
            </w:r>
            <w:r w:rsidRPr="00576AF8">
              <w:rPr>
                <w:b/>
                <w:sz w:val="22"/>
              </w:rPr>
              <w:t xml:space="preserve"> </w:t>
            </w:r>
            <w:r w:rsidRPr="00576AF8">
              <w:rPr>
                <w:sz w:val="22"/>
              </w:rPr>
              <w:t>Precio</w:t>
            </w:r>
          </w:p>
        </w:tc>
      </w:tr>
      <w:tr w:rsidR="00C85FC3" w:rsidRPr="00576AF8" w14:paraId="78279F40" w14:textId="77777777" w:rsidTr="00510A60">
        <w:trPr>
          <w:cantSplit/>
          <w:trHeight w:hRule="exact" w:val="240"/>
        </w:trPr>
        <w:tc>
          <w:tcPr>
            <w:tcW w:w="720" w:type="dxa"/>
          </w:tcPr>
          <w:p w14:paraId="6B51E85E" w14:textId="77777777" w:rsidR="00C85FC3" w:rsidRPr="00576AF8" w:rsidRDefault="00C85FC3" w:rsidP="00510A60">
            <w:pPr>
              <w:spacing w:before="100" w:after="100"/>
              <w:jc w:val="center"/>
              <w:rPr>
                <w:sz w:val="22"/>
              </w:rPr>
            </w:pPr>
          </w:p>
        </w:tc>
        <w:tc>
          <w:tcPr>
            <w:tcW w:w="3107" w:type="dxa"/>
          </w:tcPr>
          <w:p w14:paraId="404C5F2D" w14:textId="77777777" w:rsidR="00C85FC3" w:rsidRPr="00576AF8" w:rsidRDefault="00C85FC3" w:rsidP="00510A60">
            <w:pPr>
              <w:spacing w:before="100" w:after="100"/>
              <w:jc w:val="left"/>
              <w:rPr>
                <w:sz w:val="22"/>
              </w:rPr>
            </w:pPr>
          </w:p>
        </w:tc>
        <w:tc>
          <w:tcPr>
            <w:tcW w:w="1701" w:type="dxa"/>
          </w:tcPr>
          <w:p w14:paraId="4CEC1318" w14:textId="77777777" w:rsidR="00C85FC3" w:rsidRPr="00576AF8" w:rsidRDefault="00C85FC3" w:rsidP="00510A60">
            <w:pPr>
              <w:spacing w:before="100" w:after="100"/>
              <w:jc w:val="center"/>
              <w:rPr>
                <w:sz w:val="22"/>
              </w:rPr>
            </w:pPr>
          </w:p>
        </w:tc>
        <w:tc>
          <w:tcPr>
            <w:tcW w:w="1701" w:type="dxa"/>
          </w:tcPr>
          <w:p w14:paraId="17A56014" w14:textId="77777777" w:rsidR="00C85FC3" w:rsidRPr="00576AF8" w:rsidRDefault="00C85FC3" w:rsidP="00510A60">
            <w:pPr>
              <w:spacing w:before="100" w:after="100"/>
              <w:jc w:val="center"/>
              <w:rPr>
                <w:sz w:val="22"/>
              </w:rPr>
            </w:pPr>
          </w:p>
        </w:tc>
        <w:tc>
          <w:tcPr>
            <w:tcW w:w="1418" w:type="dxa"/>
          </w:tcPr>
          <w:p w14:paraId="3E63A95F" w14:textId="77777777" w:rsidR="00C85FC3" w:rsidRPr="00576AF8" w:rsidRDefault="00C85FC3" w:rsidP="00510A60">
            <w:pPr>
              <w:spacing w:before="100" w:after="100"/>
              <w:jc w:val="center"/>
              <w:rPr>
                <w:sz w:val="22"/>
              </w:rPr>
            </w:pPr>
          </w:p>
        </w:tc>
        <w:tc>
          <w:tcPr>
            <w:tcW w:w="1417" w:type="dxa"/>
          </w:tcPr>
          <w:p w14:paraId="10656DA4" w14:textId="77777777" w:rsidR="00C85FC3" w:rsidRPr="00576AF8" w:rsidRDefault="00C85FC3" w:rsidP="00510A60">
            <w:pPr>
              <w:spacing w:before="100" w:after="100"/>
              <w:jc w:val="center"/>
              <w:rPr>
                <w:sz w:val="22"/>
              </w:rPr>
            </w:pPr>
          </w:p>
        </w:tc>
        <w:tc>
          <w:tcPr>
            <w:tcW w:w="1418" w:type="dxa"/>
          </w:tcPr>
          <w:p w14:paraId="1E2BF509" w14:textId="77777777" w:rsidR="00C85FC3" w:rsidRPr="00576AF8" w:rsidRDefault="00C85FC3" w:rsidP="00510A60">
            <w:pPr>
              <w:spacing w:before="100" w:after="100"/>
              <w:jc w:val="center"/>
              <w:rPr>
                <w:sz w:val="22"/>
              </w:rPr>
            </w:pPr>
          </w:p>
        </w:tc>
        <w:tc>
          <w:tcPr>
            <w:tcW w:w="1388" w:type="dxa"/>
          </w:tcPr>
          <w:p w14:paraId="1764268D" w14:textId="77777777" w:rsidR="00C85FC3" w:rsidRPr="00576AF8" w:rsidRDefault="00C85FC3" w:rsidP="00510A60">
            <w:pPr>
              <w:spacing w:before="100" w:after="100"/>
              <w:jc w:val="center"/>
              <w:rPr>
                <w:sz w:val="22"/>
              </w:rPr>
            </w:pPr>
          </w:p>
        </w:tc>
      </w:tr>
      <w:tr w:rsidR="00C85FC3" w:rsidRPr="00576AF8" w14:paraId="73A32DB2" w14:textId="77777777" w:rsidTr="00510A60">
        <w:trPr>
          <w:cantSplit/>
        </w:trPr>
        <w:tc>
          <w:tcPr>
            <w:tcW w:w="720" w:type="dxa"/>
          </w:tcPr>
          <w:p w14:paraId="231544A6" w14:textId="77777777" w:rsidR="00C85FC3" w:rsidRPr="00576AF8" w:rsidRDefault="00C85FC3" w:rsidP="00510A60">
            <w:pPr>
              <w:spacing w:before="100" w:after="100"/>
              <w:jc w:val="center"/>
              <w:rPr>
                <w:sz w:val="22"/>
              </w:rPr>
            </w:pPr>
            <w:r w:rsidRPr="00576AF8">
              <w:rPr>
                <w:sz w:val="22"/>
              </w:rPr>
              <w:t>0</w:t>
            </w:r>
          </w:p>
        </w:tc>
        <w:tc>
          <w:tcPr>
            <w:tcW w:w="3107" w:type="dxa"/>
          </w:tcPr>
          <w:p w14:paraId="01F76B73" w14:textId="5B4070DC" w:rsidR="00C85FC3" w:rsidRPr="00576AF8" w:rsidRDefault="00C85FC3" w:rsidP="00510A60">
            <w:pPr>
              <w:spacing w:before="100" w:after="100"/>
              <w:jc w:val="left"/>
              <w:rPr>
                <w:sz w:val="22"/>
              </w:rPr>
            </w:pPr>
            <w:r w:rsidRPr="00576AF8">
              <w:rPr>
                <w:sz w:val="22"/>
              </w:rPr>
              <w:t>Plan</w:t>
            </w:r>
            <w:r w:rsidR="007F2AB5">
              <w:rPr>
                <w:sz w:val="22"/>
              </w:rPr>
              <w:t xml:space="preserve">ificación </w:t>
            </w:r>
            <w:proofErr w:type="gramStart"/>
            <w:r w:rsidR="007F2AB5">
              <w:rPr>
                <w:sz w:val="22"/>
              </w:rPr>
              <w:t xml:space="preserve">del </w:t>
            </w:r>
            <w:r w:rsidRPr="00576AF8">
              <w:rPr>
                <w:sz w:val="22"/>
              </w:rPr>
              <w:t xml:space="preserve"> del</w:t>
            </w:r>
            <w:proofErr w:type="gramEnd"/>
            <w:r w:rsidRPr="00576AF8">
              <w:rPr>
                <w:sz w:val="22"/>
              </w:rPr>
              <w:t xml:space="preserve"> Proyecto</w:t>
            </w:r>
          </w:p>
        </w:tc>
        <w:tc>
          <w:tcPr>
            <w:tcW w:w="1701" w:type="dxa"/>
          </w:tcPr>
          <w:p w14:paraId="0BE1D7C6" w14:textId="77777777" w:rsidR="00C85FC3" w:rsidRPr="00576AF8" w:rsidRDefault="00C85FC3" w:rsidP="00510A60">
            <w:pPr>
              <w:spacing w:before="100" w:after="100"/>
              <w:jc w:val="center"/>
              <w:rPr>
                <w:sz w:val="22"/>
              </w:rPr>
            </w:pPr>
            <w:r w:rsidRPr="00576AF8">
              <w:rPr>
                <w:sz w:val="22"/>
              </w:rPr>
              <w:t>- -</w:t>
            </w:r>
          </w:p>
        </w:tc>
        <w:tc>
          <w:tcPr>
            <w:tcW w:w="1701" w:type="dxa"/>
          </w:tcPr>
          <w:p w14:paraId="721F74DC" w14:textId="77777777" w:rsidR="00C85FC3" w:rsidRPr="00576AF8" w:rsidRDefault="00C85FC3" w:rsidP="00510A60">
            <w:pPr>
              <w:spacing w:before="100" w:after="100"/>
              <w:jc w:val="center"/>
              <w:rPr>
                <w:sz w:val="22"/>
              </w:rPr>
            </w:pPr>
            <w:r w:rsidRPr="00576AF8">
              <w:rPr>
                <w:sz w:val="22"/>
              </w:rPr>
              <w:t>- -</w:t>
            </w:r>
          </w:p>
        </w:tc>
        <w:tc>
          <w:tcPr>
            <w:tcW w:w="1418" w:type="dxa"/>
          </w:tcPr>
          <w:p w14:paraId="3BD31A04" w14:textId="77777777" w:rsidR="00C85FC3" w:rsidRPr="00576AF8" w:rsidRDefault="00C85FC3" w:rsidP="00510A60">
            <w:pPr>
              <w:spacing w:before="100" w:after="100"/>
              <w:jc w:val="center"/>
              <w:rPr>
                <w:sz w:val="22"/>
              </w:rPr>
            </w:pPr>
            <w:r w:rsidRPr="00576AF8">
              <w:rPr>
                <w:sz w:val="22"/>
              </w:rPr>
              <w:t>- -</w:t>
            </w:r>
          </w:p>
        </w:tc>
        <w:tc>
          <w:tcPr>
            <w:tcW w:w="1417" w:type="dxa"/>
          </w:tcPr>
          <w:p w14:paraId="2C99F0FC" w14:textId="77777777" w:rsidR="00C85FC3" w:rsidRPr="00576AF8" w:rsidRDefault="00C85FC3" w:rsidP="00510A60">
            <w:pPr>
              <w:spacing w:before="100" w:after="100"/>
              <w:jc w:val="center"/>
              <w:rPr>
                <w:sz w:val="22"/>
              </w:rPr>
            </w:pPr>
            <w:r w:rsidRPr="00576AF8">
              <w:rPr>
                <w:sz w:val="22"/>
              </w:rPr>
              <w:t>- -</w:t>
            </w:r>
          </w:p>
        </w:tc>
        <w:tc>
          <w:tcPr>
            <w:tcW w:w="1418" w:type="dxa"/>
          </w:tcPr>
          <w:p w14:paraId="28BEABBF" w14:textId="77777777" w:rsidR="00C85FC3" w:rsidRPr="00576AF8" w:rsidRDefault="00C85FC3" w:rsidP="00510A60">
            <w:pPr>
              <w:spacing w:before="100" w:after="100"/>
              <w:jc w:val="center"/>
              <w:rPr>
                <w:sz w:val="22"/>
              </w:rPr>
            </w:pPr>
            <w:r w:rsidRPr="00576AF8">
              <w:rPr>
                <w:sz w:val="22"/>
              </w:rPr>
              <w:t>- -</w:t>
            </w:r>
          </w:p>
        </w:tc>
        <w:tc>
          <w:tcPr>
            <w:tcW w:w="1388" w:type="dxa"/>
          </w:tcPr>
          <w:p w14:paraId="35CF7AB4" w14:textId="77777777" w:rsidR="00C85FC3" w:rsidRPr="00576AF8" w:rsidRDefault="00C85FC3" w:rsidP="00510A60">
            <w:pPr>
              <w:spacing w:before="100" w:after="100"/>
              <w:jc w:val="center"/>
              <w:rPr>
                <w:sz w:val="22"/>
              </w:rPr>
            </w:pPr>
            <w:r w:rsidRPr="00576AF8">
              <w:rPr>
                <w:sz w:val="22"/>
              </w:rPr>
              <w:t>- -</w:t>
            </w:r>
          </w:p>
        </w:tc>
      </w:tr>
      <w:tr w:rsidR="00C85FC3" w:rsidRPr="00576AF8" w14:paraId="5161507F" w14:textId="77777777" w:rsidTr="00510A60">
        <w:trPr>
          <w:cantSplit/>
        </w:trPr>
        <w:tc>
          <w:tcPr>
            <w:tcW w:w="720" w:type="dxa"/>
          </w:tcPr>
          <w:p w14:paraId="561CEB7E" w14:textId="77777777" w:rsidR="00C85FC3" w:rsidRPr="00576AF8" w:rsidRDefault="00C85FC3" w:rsidP="00510A60">
            <w:pPr>
              <w:spacing w:before="100" w:after="100"/>
              <w:jc w:val="center"/>
              <w:rPr>
                <w:sz w:val="22"/>
              </w:rPr>
            </w:pPr>
            <w:r w:rsidRPr="00576AF8">
              <w:rPr>
                <w:sz w:val="22"/>
              </w:rPr>
              <w:t>1</w:t>
            </w:r>
          </w:p>
        </w:tc>
        <w:tc>
          <w:tcPr>
            <w:tcW w:w="3107" w:type="dxa"/>
          </w:tcPr>
          <w:p w14:paraId="2E8314EB" w14:textId="77777777" w:rsidR="00C85FC3" w:rsidRPr="00576AF8" w:rsidRDefault="00C85FC3" w:rsidP="00510A60">
            <w:pPr>
              <w:spacing w:before="100" w:after="100"/>
              <w:jc w:val="left"/>
              <w:rPr>
                <w:sz w:val="22"/>
              </w:rPr>
            </w:pPr>
            <w:r w:rsidRPr="00576AF8">
              <w:rPr>
                <w:sz w:val="22"/>
              </w:rPr>
              <w:t>Subsistema 1</w:t>
            </w:r>
          </w:p>
        </w:tc>
        <w:tc>
          <w:tcPr>
            <w:tcW w:w="1701" w:type="dxa"/>
          </w:tcPr>
          <w:p w14:paraId="75C65488" w14:textId="77777777" w:rsidR="00C85FC3" w:rsidRPr="00576AF8" w:rsidRDefault="00C85FC3" w:rsidP="00510A60">
            <w:pPr>
              <w:spacing w:before="100" w:after="100"/>
              <w:jc w:val="center"/>
              <w:rPr>
                <w:sz w:val="22"/>
              </w:rPr>
            </w:pPr>
            <w:r w:rsidRPr="00576AF8">
              <w:rPr>
                <w:sz w:val="22"/>
              </w:rPr>
              <w:t>1</w:t>
            </w:r>
          </w:p>
        </w:tc>
        <w:tc>
          <w:tcPr>
            <w:tcW w:w="1701" w:type="dxa"/>
          </w:tcPr>
          <w:p w14:paraId="54A5EB74" w14:textId="77777777" w:rsidR="00C85FC3" w:rsidRPr="00576AF8" w:rsidRDefault="00C85FC3" w:rsidP="00510A60">
            <w:pPr>
              <w:spacing w:before="100" w:after="100"/>
              <w:jc w:val="center"/>
              <w:rPr>
                <w:sz w:val="22"/>
              </w:rPr>
            </w:pPr>
          </w:p>
        </w:tc>
        <w:tc>
          <w:tcPr>
            <w:tcW w:w="1418" w:type="dxa"/>
          </w:tcPr>
          <w:p w14:paraId="7C469954" w14:textId="77777777" w:rsidR="00C85FC3" w:rsidRPr="00576AF8" w:rsidRDefault="00C85FC3" w:rsidP="00510A60">
            <w:pPr>
              <w:spacing w:before="100" w:after="100"/>
              <w:jc w:val="center"/>
              <w:rPr>
                <w:sz w:val="22"/>
              </w:rPr>
            </w:pPr>
          </w:p>
        </w:tc>
        <w:tc>
          <w:tcPr>
            <w:tcW w:w="1417" w:type="dxa"/>
          </w:tcPr>
          <w:p w14:paraId="3B7523B4" w14:textId="77777777" w:rsidR="00C85FC3" w:rsidRPr="00576AF8" w:rsidRDefault="00C85FC3" w:rsidP="00510A60">
            <w:pPr>
              <w:spacing w:before="100" w:after="100"/>
              <w:jc w:val="center"/>
              <w:rPr>
                <w:sz w:val="22"/>
              </w:rPr>
            </w:pPr>
          </w:p>
        </w:tc>
        <w:tc>
          <w:tcPr>
            <w:tcW w:w="1418" w:type="dxa"/>
          </w:tcPr>
          <w:p w14:paraId="17E7715B" w14:textId="77777777" w:rsidR="00C85FC3" w:rsidRPr="00576AF8" w:rsidRDefault="00C85FC3" w:rsidP="00510A60">
            <w:pPr>
              <w:spacing w:before="100" w:after="100"/>
              <w:jc w:val="center"/>
              <w:rPr>
                <w:sz w:val="22"/>
              </w:rPr>
            </w:pPr>
          </w:p>
        </w:tc>
        <w:tc>
          <w:tcPr>
            <w:tcW w:w="1388" w:type="dxa"/>
          </w:tcPr>
          <w:p w14:paraId="24F4760B" w14:textId="77777777" w:rsidR="00C85FC3" w:rsidRPr="00576AF8" w:rsidRDefault="00C85FC3" w:rsidP="00510A60">
            <w:pPr>
              <w:spacing w:before="100" w:after="100"/>
              <w:jc w:val="center"/>
              <w:rPr>
                <w:sz w:val="22"/>
              </w:rPr>
            </w:pPr>
          </w:p>
        </w:tc>
      </w:tr>
      <w:tr w:rsidR="00C85FC3" w:rsidRPr="00576AF8" w14:paraId="6E5376A6" w14:textId="77777777" w:rsidTr="00510A60">
        <w:trPr>
          <w:cantSplit/>
        </w:trPr>
        <w:tc>
          <w:tcPr>
            <w:tcW w:w="7229" w:type="dxa"/>
            <w:gridSpan w:val="4"/>
          </w:tcPr>
          <w:p w14:paraId="1D5A0370" w14:textId="77777777" w:rsidR="00C85FC3" w:rsidRPr="00576AF8" w:rsidRDefault="00C85FC3" w:rsidP="00510A60">
            <w:pPr>
              <w:spacing w:before="100" w:after="100"/>
              <w:jc w:val="center"/>
              <w:rPr>
                <w:sz w:val="22"/>
              </w:rPr>
            </w:pPr>
            <w:r w:rsidRPr="00576AF8">
              <w:rPr>
                <w:sz w:val="22"/>
              </w:rPr>
              <w:t>SUBTOTALES</w:t>
            </w:r>
          </w:p>
        </w:tc>
        <w:tc>
          <w:tcPr>
            <w:tcW w:w="1418" w:type="dxa"/>
          </w:tcPr>
          <w:p w14:paraId="2142975D" w14:textId="77777777" w:rsidR="00C85FC3" w:rsidRPr="00576AF8" w:rsidRDefault="00C85FC3" w:rsidP="00510A60">
            <w:pPr>
              <w:spacing w:before="100" w:after="100"/>
              <w:jc w:val="center"/>
              <w:rPr>
                <w:sz w:val="22"/>
              </w:rPr>
            </w:pPr>
          </w:p>
        </w:tc>
        <w:tc>
          <w:tcPr>
            <w:tcW w:w="1417" w:type="dxa"/>
          </w:tcPr>
          <w:p w14:paraId="12B57CB1" w14:textId="77777777" w:rsidR="00C85FC3" w:rsidRPr="00576AF8" w:rsidRDefault="00C85FC3" w:rsidP="00510A60">
            <w:pPr>
              <w:spacing w:before="100" w:after="100"/>
              <w:jc w:val="center"/>
              <w:rPr>
                <w:sz w:val="22"/>
              </w:rPr>
            </w:pPr>
          </w:p>
        </w:tc>
        <w:tc>
          <w:tcPr>
            <w:tcW w:w="1418" w:type="dxa"/>
          </w:tcPr>
          <w:p w14:paraId="577D44BA" w14:textId="77777777" w:rsidR="00C85FC3" w:rsidRPr="00576AF8" w:rsidRDefault="00C85FC3" w:rsidP="00510A60">
            <w:pPr>
              <w:spacing w:before="100" w:after="100"/>
              <w:jc w:val="center"/>
              <w:rPr>
                <w:sz w:val="22"/>
              </w:rPr>
            </w:pPr>
          </w:p>
        </w:tc>
        <w:tc>
          <w:tcPr>
            <w:tcW w:w="1388" w:type="dxa"/>
          </w:tcPr>
          <w:p w14:paraId="7BC276C6" w14:textId="77777777" w:rsidR="00C85FC3" w:rsidRPr="00576AF8" w:rsidRDefault="00C85FC3" w:rsidP="00510A60">
            <w:pPr>
              <w:spacing w:before="100" w:after="100"/>
              <w:jc w:val="center"/>
              <w:rPr>
                <w:sz w:val="22"/>
              </w:rPr>
            </w:pPr>
          </w:p>
        </w:tc>
      </w:tr>
      <w:tr w:rsidR="00C85FC3" w:rsidRPr="00576AF8" w14:paraId="7BD517AE" w14:textId="77777777" w:rsidTr="00510A60">
        <w:trPr>
          <w:cantSplit/>
        </w:trPr>
        <w:tc>
          <w:tcPr>
            <w:tcW w:w="7229" w:type="dxa"/>
            <w:gridSpan w:val="4"/>
          </w:tcPr>
          <w:p w14:paraId="12FBADBA" w14:textId="77777777" w:rsidR="00C85FC3" w:rsidRPr="00576AF8" w:rsidRDefault="00C85FC3" w:rsidP="00510A60">
            <w:pPr>
              <w:widowControl w:val="0"/>
              <w:spacing w:before="100" w:after="100"/>
              <w:jc w:val="center"/>
              <w:rPr>
                <w:sz w:val="22"/>
              </w:rPr>
            </w:pPr>
            <w:r w:rsidRPr="00576AF8">
              <w:rPr>
                <w:sz w:val="22"/>
              </w:rPr>
              <w:t>TOTAL (traslade al resumen global)</w:t>
            </w:r>
          </w:p>
        </w:tc>
        <w:tc>
          <w:tcPr>
            <w:tcW w:w="1418" w:type="dxa"/>
          </w:tcPr>
          <w:p w14:paraId="5C446FF1" w14:textId="77777777" w:rsidR="00C85FC3" w:rsidRPr="00576AF8" w:rsidRDefault="00C85FC3" w:rsidP="00510A60">
            <w:pPr>
              <w:widowControl w:val="0"/>
              <w:spacing w:before="100" w:after="100"/>
              <w:jc w:val="center"/>
              <w:rPr>
                <w:sz w:val="22"/>
              </w:rPr>
            </w:pPr>
          </w:p>
        </w:tc>
        <w:tc>
          <w:tcPr>
            <w:tcW w:w="1417" w:type="dxa"/>
          </w:tcPr>
          <w:p w14:paraId="4887534E" w14:textId="77777777" w:rsidR="00C85FC3" w:rsidRPr="00576AF8" w:rsidRDefault="00C85FC3" w:rsidP="00510A60">
            <w:pPr>
              <w:widowControl w:val="0"/>
              <w:spacing w:before="100" w:after="100"/>
              <w:jc w:val="center"/>
              <w:rPr>
                <w:sz w:val="22"/>
              </w:rPr>
            </w:pPr>
          </w:p>
        </w:tc>
        <w:tc>
          <w:tcPr>
            <w:tcW w:w="1418" w:type="dxa"/>
          </w:tcPr>
          <w:p w14:paraId="0A93C09D" w14:textId="77777777" w:rsidR="00C85FC3" w:rsidRPr="00576AF8" w:rsidRDefault="00C85FC3" w:rsidP="00510A60">
            <w:pPr>
              <w:widowControl w:val="0"/>
              <w:spacing w:before="100" w:after="100"/>
              <w:jc w:val="center"/>
              <w:rPr>
                <w:sz w:val="22"/>
              </w:rPr>
            </w:pPr>
          </w:p>
        </w:tc>
        <w:tc>
          <w:tcPr>
            <w:tcW w:w="1388" w:type="dxa"/>
          </w:tcPr>
          <w:p w14:paraId="61510260" w14:textId="77777777" w:rsidR="00C85FC3" w:rsidRPr="00576AF8" w:rsidRDefault="00C85FC3" w:rsidP="00510A60">
            <w:pPr>
              <w:widowControl w:val="0"/>
              <w:spacing w:before="100" w:after="100"/>
              <w:rPr>
                <w:sz w:val="22"/>
              </w:rPr>
            </w:pPr>
          </w:p>
        </w:tc>
      </w:tr>
    </w:tbl>
    <w:p w14:paraId="38FA6340" w14:textId="77777777" w:rsidR="00C85FC3" w:rsidRPr="00576AF8" w:rsidRDefault="00C85FC3" w:rsidP="00C85FC3">
      <w:pPr>
        <w:pStyle w:val="Textonotaalfinal"/>
        <w:widowControl w:val="0"/>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spacing w:before="0" w:after="0"/>
        <w:ind w:right="1440"/>
        <w:rPr>
          <w:sz w:val="22"/>
        </w:rPr>
      </w:pPr>
    </w:p>
    <w:p w14:paraId="78BE5D99" w14:textId="77777777" w:rsidR="00C85FC3" w:rsidRPr="00576AF8" w:rsidRDefault="00C85FC3" w:rsidP="00C85FC3">
      <w:pPr>
        <w:ind w:left="1260" w:right="1440" w:hanging="1260"/>
        <w:rPr>
          <w:sz w:val="22"/>
        </w:rPr>
      </w:pPr>
      <w:r w:rsidRPr="00576AF8">
        <w:rPr>
          <w:b/>
          <w:sz w:val="22"/>
        </w:rPr>
        <w:t>Nota:</w:t>
      </w:r>
      <w:r w:rsidRPr="00576AF8">
        <w:tab/>
      </w:r>
      <w:r w:rsidRPr="00576AF8">
        <w:rPr>
          <w:sz w:val="22"/>
        </w:rPr>
        <w:t>“- -” indica “no se aplica”. Las comillas (“) indican la repetición de lo consignado arriba. Consulte en el cuadro parcial de costos de suministro e instalación los componentes específicos que constituyen cada Subsistema o rubro que figura en este resumen.</w:t>
      </w:r>
    </w:p>
    <w:p w14:paraId="3A199E22" w14:textId="77777777" w:rsidR="00C85FC3" w:rsidRPr="00576AF8" w:rsidRDefault="00C85FC3" w:rsidP="00C85FC3">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ind w:right="144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C85FC3" w:rsidRPr="00576AF8" w14:paraId="7F613FCC" w14:textId="77777777" w:rsidTr="00510A60">
        <w:trPr>
          <w:cantSplit/>
          <w:trHeight w:hRule="exact" w:val="240"/>
          <w:jc w:val="center"/>
        </w:trPr>
        <w:tc>
          <w:tcPr>
            <w:tcW w:w="4320" w:type="dxa"/>
          </w:tcPr>
          <w:p w14:paraId="03D45965" w14:textId="77777777" w:rsidR="00C85FC3" w:rsidRPr="00576AF8" w:rsidRDefault="00C85FC3" w:rsidP="00510A60">
            <w:pPr>
              <w:spacing w:before="100" w:after="100"/>
              <w:rPr>
                <w:sz w:val="22"/>
              </w:rPr>
            </w:pPr>
          </w:p>
        </w:tc>
        <w:tc>
          <w:tcPr>
            <w:tcW w:w="360" w:type="dxa"/>
          </w:tcPr>
          <w:p w14:paraId="04761F68" w14:textId="77777777" w:rsidR="00C85FC3" w:rsidRPr="00576AF8" w:rsidRDefault="00C85FC3" w:rsidP="00510A60">
            <w:pPr>
              <w:spacing w:before="100" w:after="100"/>
              <w:jc w:val="center"/>
              <w:rPr>
                <w:sz w:val="22"/>
              </w:rPr>
            </w:pPr>
          </w:p>
        </w:tc>
        <w:tc>
          <w:tcPr>
            <w:tcW w:w="5148" w:type="dxa"/>
          </w:tcPr>
          <w:p w14:paraId="429F9699" w14:textId="77777777" w:rsidR="00C85FC3" w:rsidRPr="00576AF8" w:rsidRDefault="00C85FC3" w:rsidP="00510A60">
            <w:pPr>
              <w:spacing w:before="100" w:after="100"/>
              <w:jc w:val="center"/>
              <w:rPr>
                <w:sz w:val="22"/>
              </w:rPr>
            </w:pPr>
          </w:p>
        </w:tc>
      </w:tr>
      <w:tr w:rsidR="00C85FC3" w:rsidRPr="00576AF8" w14:paraId="4253C116" w14:textId="77777777" w:rsidTr="00510A60">
        <w:trPr>
          <w:cantSplit/>
          <w:jc w:val="center"/>
        </w:trPr>
        <w:tc>
          <w:tcPr>
            <w:tcW w:w="4320" w:type="dxa"/>
          </w:tcPr>
          <w:p w14:paraId="50D97B9B" w14:textId="77777777" w:rsidR="00C85FC3" w:rsidRPr="00576AF8" w:rsidRDefault="00C85FC3" w:rsidP="00510A60">
            <w:pPr>
              <w:spacing w:before="100" w:after="100"/>
              <w:jc w:val="right"/>
              <w:rPr>
                <w:sz w:val="22"/>
              </w:rPr>
            </w:pPr>
            <w:r w:rsidRPr="00576AF8">
              <w:rPr>
                <w:sz w:val="22"/>
              </w:rPr>
              <w:t>Nombre del Licitante:</w:t>
            </w:r>
          </w:p>
        </w:tc>
        <w:tc>
          <w:tcPr>
            <w:tcW w:w="360" w:type="dxa"/>
          </w:tcPr>
          <w:p w14:paraId="4267C4F2" w14:textId="77777777" w:rsidR="00C85FC3" w:rsidRPr="00576AF8" w:rsidRDefault="00C85FC3" w:rsidP="00510A60">
            <w:pPr>
              <w:spacing w:before="100" w:after="100"/>
              <w:jc w:val="center"/>
              <w:rPr>
                <w:sz w:val="22"/>
              </w:rPr>
            </w:pPr>
          </w:p>
        </w:tc>
        <w:tc>
          <w:tcPr>
            <w:tcW w:w="5148" w:type="dxa"/>
          </w:tcPr>
          <w:p w14:paraId="21FB5760" w14:textId="77777777" w:rsidR="00C85FC3" w:rsidRPr="00576AF8" w:rsidRDefault="00C85FC3" w:rsidP="00510A60">
            <w:pPr>
              <w:spacing w:before="100" w:after="100"/>
              <w:jc w:val="center"/>
              <w:rPr>
                <w:sz w:val="22"/>
              </w:rPr>
            </w:pPr>
          </w:p>
        </w:tc>
      </w:tr>
      <w:tr w:rsidR="00C85FC3" w:rsidRPr="00576AF8" w14:paraId="2B33FAAA" w14:textId="77777777" w:rsidTr="00510A60">
        <w:trPr>
          <w:cantSplit/>
          <w:trHeight w:hRule="exact" w:val="240"/>
          <w:jc w:val="center"/>
        </w:trPr>
        <w:tc>
          <w:tcPr>
            <w:tcW w:w="4320" w:type="dxa"/>
          </w:tcPr>
          <w:p w14:paraId="22234036" w14:textId="77777777" w:rsidR="00C85FC3" w:rsidRPr="00576AF8" w:rsidRDefault="00C85FC3" w:rsidP="00510A60">
            <w:pPr>
              <w:spacing w:before="100" w:after="100"/>
              <w:jc w:val="right"/>
              <w:rPr>
                <w:sz w:val="22"/>
              </w:rPr>
            </w:pPr>
          </w:p>
        </w:tc>
        <w:tc>
          <w:tcPr>
            <w:tcW w:w="360" w:type="dxa"/>
          </w:tcPr>
          <w:p w14:paraId="3D631B94" w14:textId="77777777" w:rsidR="00C85FC3" w:rsidRPr="00576AF8" w:rsidRDefault="00C85FC3" w:rsidP="00510A60">
            <w:pPr>
              <w:spacing w:before="100" w:after="100"/>
              <w:jc w:val="center"/>
              <w:rPr>
                <w:sz w:val="22"/>
              </w:rPr>
            </w:pPr>
          </w:p>
        </w:tc>
        <w:tc>
          <w:tcPr>
            <w:tcW w:w="5148" w:type="dxa"/>
          </w:tcPr>
          <w:p w14:paraId="1E25CCF1" w14:textId="77777777" w:rsidR="00C85FC3" w:rsidRPr="00576AF8" w:rsidRDefault="00C85FC3" w:rsidP="00510A60">
            <w:pPr>
              <w:spacing w:before="100" w:after="100"/>
              <w:jc w:val="center"/>
              <w:rPr>
                <w:sz w:val="22"/>
              </w:rPr>
            </w:pPr>
          </w:p>
        </w:tc>
      </w:tr>
      <w:tr w:rsidR="00C85FC3" w:rsidRPr="00576AF8" w14:paraId="4CCFBFB8" w14:textId="77777777" w:rsidTr="00510A60">
        <w:trPr>
          <w:cantSplit/>
          <w:jc w:val="center"/>
        </w:trPr>
        <w:tc>
          <w:tcPr>
            <w:tcW w:w="4320" w:type="dxa"/>
          </w:tcPr>
          <w:p w14:paraId="04241FAE" w14:textId="77777777" w:rsidR="00C85FC3" w:rsidRPr="00576AF8" w:rsidRDefault="00C85FC3" w:rsidP="00510A60">
            <w:pPr>
              <w:spacing w:before="100" w:after="100"/>
              <w:jc w:val="right"/>
              <w:rPr>
                <w:sz w:val="22"/>
              </w:rPr>
            </w:pPr>
            <w:r w:rsidRPr="00576AF8">
              <w:rPr>
                <w:sz w:val="22"/>
              </w:rPr>
              <w:t>Firma autorizada del Licitante:</w:t>
            </w:r>
          </w:p>
        </w:tc>
        <w:tc>
          <w:tcPr>
            <w:tcW w:w="360" w:type="dxa"/>
          </w:tcPr>
          <w:p w14:paraId="78E01A78" w14:textId="77777777" w:rsidR="00C85FC3" w:rsidRPr="00576AF8" w:rsidRDefault="00C85FC3" w:rsidP="00510A60">
            <w:pPr>
              <w:spacing w:before="100" w:after="100"/>
              <w:jc w:val="center"/>
              <w:rPr>
                <w:sz w:val="22"/>
              </w:rPr>
            </w:pPr>
          </w:p>
        </w:tc>
        <w:tc>
          <w:tcPr>
            <w:tcW w:w="5148" w:type="dxa"/>
          </w:tcPr>
          <w:p w14:paraId="486459A4" w14:textId="77777777" w:rsidR="00C85FC3" w:rsidRPr="00576AF8" w:rsidRDefault="00C85FC3" w:rsidP="00510A60">
            <w:pPr>
              <w:spacing w:before="100" w:after="100"/>
              <w:jc w:val="center"/>
              <w:rPr>
                <w:sz w:val="22"/>
              </w:rPr>
            </w:pPr>
          </w:p>
        </w:tc>
      </w:tr>
      <w:tr w:rsidR="00C85FC3" w:rsidRPr="00576AF8" w14:paraId="096CCBC6" w14:textId="77777777" w:rsidTr="00510A60">
        <w:trPr>
          <w:cantSplit/>
          <w:trHeight w:hRule="exact" w:val="240"/>
          <w:jc w:val="center"/>
        </w:trPr>
        <w:tc>
          <w:tcPr>
            <w:tcW w:w="4320" w:type="dxa"/>
          </w:tcPr>
          <w:p w14:paraId="58FAD933" w14:textId="77777777" w:rsidR="00C85FC3" w:rsidRPr="00576AF8" w:rsidRDefault="00C85FC3" w:rsidP="00510A60">
            <w:pPr>
              <w:spacing w:before="100" w:after="100"/>
              <w:rPr>
                <w:sz w:val="22"/>
              </w:rPr>
            </w:pPr>
          </w:p>
        </w:tc>
        <w:tc>
          <w:tcPr>
            <w:tcW w:w="360" w:type="dxa"/>
          </w:tcPr>
          <w:p w14:paraId="2A6B4DD3" w14:textId="77777777" w:rsidR="00C85FC3" w:rsidRPr="00576AF8" w:rsidRDefault="00C85FC3" w:rsidP="00510A60">
            <w:pPr>
              <w:spacing w:before="100" w:after="100"/>
              <w:jc w:val="center"/>
              <w:rPr>
                <w:sz w:val="22"/>
              </w:rPr>
            </w:pPr>
          </w:p>
        </w:tc>
        <w:tc>
          <w:tcPr>
            <w:tcW w:w="5148" w:type="dxa"/>
          </w:tcPr>
          <w:p w14:paraId="71955863" w14:textId="77777777" w:rsidR="00C85FC3" w:rsidRPr="00576AF8" w:rsidRDefault="00C85FC3" w:rsidP="00510A60">
            <w:pPr>
              <w:spacing w:before="100" w:after="100"/>
              <w:jc w:val="center"/>
              <w:rPr>
                <w:sz w:val="22"/>
              </w:rPr>
            </w:pPr>
          </w:p>
        </w:tc>
      </w:tr>
    </w:tbl>
    <w:p w14:paraId="2DD21D82" w14:textId="77777777" w:rsidR="00C85FC3" w:rsidRPr="00576AF8" w:rsidRDefault="00C85FC3" w:rsidP="00C85FC3">
      <w:pPr>
        <w:pStyle w:val="Head32"/>
        <w:ind w:right="60"/>
      </w:pPr>
      <w:r w:rsidRPr="00576AF8">
        <w:br w:type="page"/>
      </w:r>
      <w:bookmarkStart w:id="544" w:name="_Toc521497242"/>
      <w:bookmarkStart w:id="545" w:name="_Toc218673959"/>
      <w:bookmarkStart w:id="546" w:name="_Toc277345594"/>
      <w:r w:rsidRPr="00576AF8">
        <w:lastRenderedPageBreak/>
        <w:t>3.3</w:t>
      </w:r>
      <w:bookmarkStart w:id="547" w:name="_Hlt529125901"/>
      <w:bookmarkEnd w:id="547"/>
      <w:r w:rsidRPr="00576AF8">
        <w:tab/>
      </w:r>
      <w:r w:rsidRPr="00576AF8">
        <w:tab/>
        <w:t xml:space="preserve">Resumen de Gastos </w:t>
      </w:r>
      <w:bookmarkEnd w:id="544"/>
      <w:bookmarkEnd w:id="545"/>
      <w:bookmarkEnd w:id="546"/>
      <w:r w:rsidRPr="00576AF8">
        <w:t xml:space="preserve">Recurrentes </w:t>
      </w:r>
      <w:r w:rsidR="00F776E4" w:rsidRPr="00576AF8">
        <w:t>(No Aplica)</w:t>
      </w:r>
    </w:p>
    <w:p w14:paraId="70C2CF01" w14:textId="77777777" w:rsidR="00C85FC3" w:rsidRPr="00576AF8" w:rsidRDefault="00C85FC3" w:rsidP="00C85FC3">
      <w:pPr>
        <w:ind w:right="1440"/>
        <w:rPr>
          <w:i/>
        </w:rPr>
      </w:pPr>
    </w:p>
    <w:p w14:paraId="7C8C3DD7" w14:textId="77777777" w:rsidR="00C85FC3" w:rsidRPr="00576AF8" w:rsidRDefault="00C85FC3" w:rsidP="00C85FC3">
      <w:pPr>
        <w:ind w:right="60"/>
        <w:jc w:val="center"/>
      </w:pPr>
      <w:r w:rsidRPr="00576AF8">
        <w:t xml:space="preserve">Los gastos DEBERÁN reflejar los precios y las tarifas cotizados de conformidad con las </w:t>
      </w:r>
      <w:r w:rsidR="00B30201" w:rsidRPr="00576AF8">
        <w:t xml:space="preserve">IAL 14.2, </w:t>
      </w:r>
      <w:r w:rsidRPr="00576AF8">
        <w:t>IAL 17 y 18.</w:t>
      </w: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70"/>
        <w:gridCol w:w="2810"/>
        <w:gridCol w:w="1748"/>
        <w:gridCol w:w="1418"/>
        <w:gridCol w:w="1559"/>
        <w:gridCol w:w="1559"/>
        <w:gridCol w:w="1559"/>
      </w:tblGrid>
      <w:tr w:rsidR="00C85FC3" w:rsidRPr="00576AF8" w14:paraId="702ABC7E" w14:textId="77777777" w:rsidTr="00510A60">
        <w:trPr>
          <w:cantSplit/>
          <w:tblHeader/>
        </w:trPr>
        <w:tc>
          <w:tcPr>
            <w:tcW w:w="970" w:type="dxa"/>
          </w:tcPr>
          <w:p w14:paraId="2B2D5146" w14:textId="77777777" w:rsidR="00C85FC3" w:rsidRPr="00576AF8" w:rsidRDefault="00C85FC3" w:rsidP="00510A60">
            <w:pPr>
              <w:spacing w:before="100" w:after="100"/>
              <w:jc w:val="center"/>
              <w:rPr>
                <w:b/>
                <w:sz w:val="22"/>
                <w:szCs w:val="22"/>
              </w:rPr>
            </w:pPr>
            <w:r w:rsidRPr="00576AF8">
              <w:rPr>
                <w:b/>
                <w:sz w:val="22"/>
                <w:szCs w:val="22"/>
              </w:rPr>
              <w:br/>
            </w:r>
            <w:r w:rsidRPr="00576AF8">
              <w:rPr>
                <w:b/>
                <w:sz w:val="22"/>
                <w:szCs w:val="22"/>
              </w:rPr>
              <w:br/>
            </w:r>
            <w:r w:rsidRPr="00576AF8">
              <w:rPr>
                <w:b/>
                <w:sz w:val="22"/>
              </w:rPr>
              <w:t>Rubro n.°</w:t>
            </w:r>
          </w:p>
        </w:tc>
        <w:tc>
          <w:tcPr>
            <w:tcW w:w="2810" w:type="dxa"/>
          </w:tcPr>
          <w:p w14:paraId="0493C120" w14:textId="77777777" w:rsidR="00C85FC3" w:rsidRPr="00576AF8" w:rsidRDefault="00C85FC3" w:rsidP="00510A60">
            <w:pPr>
              <w:spacing w:before="100" w:after="100"/>
              <w:jc w:val="center"/>
              <w:rPr>
                <w:b/>
                <w:sz w:val="22"/>
                <w:szCs w:val="22"/>
              </w:rPr>
            </w:pPr>
            <w:r w:rsidRPr="00576AF8">
              <w:rPr>
                <w:b/>
                <w:sz w:val="22"/>
                <w:szCs w:val="22"/>
              </w:rPr>
              <w:br/>
            </w:r>
            <w:r w:rsidRPr="00576AF8">
              <w:rPr>
                <w:b/>
                <w:sz w:val="22"/>
                <w:szCs w:val="22"/>
              </w:rPr>
              <w:br/>
            </w:r>
            <w:r w:rsidRPr="00576AF8">
              <w:rPr>
                <w:b/>
                <w:sz w:val="22"/>
                <w:szCs w:val="22"/>
              </w:rPr>
              <w:br/>
            </w:r>
            <w:r w:rsidRPr="00576AF8">
              <w:rPr>
                <w:b/>
                <w:sz w:val="22"/>
              </w:rPr>
              <w:t>Subsistema/Artículo</w:t>
            </w:r>
          </w:p>
        </w:tc>
        <w:tc>
          <w:tcPr>
            <w:tcW w:w="1748" w:type="dxa"/>
          </w:tcPr>
          <w:p w14:paraId="3364A22C" w14:textId="77777777" w:rsidR="00C85FC3" w:rsidRPr="00576AF8" w:rsidRDefault="00C85FC3" w:rsidP="00510A60">
            <w:pPr>
              <w:spacing w:before="100" w:after="100"/>
              <w:jc w:val="center"/>
              <w:rPr>
                <w:b/>
                <w:sz w:val="22"/>
                <w:szCs w:val="22"/>
              </w:rPr>
            </w:pPr>
            <w:r w:rsidRPr="00576AF8">
              <w:rPr>
                <w:b/>
                <w:sz w:val="22"/>
                <w:szCs w:val="22"/>
              </w:rPr>
              <w:br/>
            </w:r>
            <w:r w:rsidRPr="00576AF8">
              <w:rPr>
                <w:b/>
                <w:sz w:val="22"/>
              </w:rPr>
              <w:t>Cuadro parcial de gastos recurrentes n.º</w:t>
            </w:r>
          </w:p>
        </w:tc>
        <w:tc>
          <w:tcPr>
            <w:tcW w:w="1418" w:type="dxa"/>
          </w:tcPr>
          <w:p w14:paraId="36AE38A5" w14:textId="77777777" w:rsidR="00C85FC3" w:rsidRPr="00576AF8" w:rsidRDefault="00C85FC3" w:rsidP="00510A60">
            <w:pPr>
              <w:spacing w:before="100" w:after="100"/>
              <w:jc w:val="center"/>
              <w:rPr>
                <w:b/>
                <w:i/>
                <w:sz w:val="22"/>
                <w:szCs w:val="22"/>
              </w:rPr>
            </w:pPr>
            <w:r w:rsidRPr="00576AF8">
              <w:rPr>
                <w:b/>
                <w:i/>
                <w:sz w:val="22"/>
              </w:rPr>
              <w:t>[</w:t>
            </w:r>
            <w:r w:rsidRPr="00576AF8">
              <w:rPr>
                <w:i/>
                <w:sz w:val="22"/>
              </w:rPr>
              <w:t>Indique</w:t>
            </w:r>
            <w:r w:rsidRPr="00576AF8">
              <w:rPr>
                <w:b/>
                <w:i/>
                <w:sz w:val="22"/>
              </w:rPr>
              <w:t>: moneda</w:t>
            </w:r>
            <w:r w:rsidRPr="00576AF8">
              <w:rPr>
                <w:b/>
                <w:i/>
                <w:sz w:val="22"/>
                <w:szCs w:val="22"/>
              </w:rPr>
              <w:br/>
            </w:r>
            <w:r w:rsidRPr="00576AF8">
              <w:rPr>
                <w:b/>
                <w:i/>
                <w:sz w:val="22"/>
              </w:rPr>
              <w:t>nacional]</w:t>
            </w:r>
            <w:r w:rsidRPr="00576AF8">
              <w:rPr>
                <w:b/>
                <w:i/>
                <w:sz w:val="22"/>
                <w:szCs w:val="22"/>
              </w:rPr>
              <w:br/>
            </w:r>
            <w:r w:rsidRPr="00576AF8">
              <w:rPr>
                <w:b/>
                <w:i/>
                <w:sz w:val="22"/>
              </w:rPr>
              <w:t>Precio</w:t>
            </w:r>
          </w:p>
        </w:tc>
        <w:tc>
          <w:tcPr>
            <w:tcW w:w="1559" w:type="dxa"/>
          </w:tcPr>
          <w:p w14:paraId="54BFD06E" w14:textId="77777777" w:rsidR="00C85FC3" w:rsidRPr="00576AF8" w:rsidRDefault="00C85FC3" w:rsidP="00510A60">
            <w:pPr>
              <w:spacing w:before="100" w:after="100"/>
              <w:jc w:val="center"/>
              <w:rPr>
                <w:b/>
                <w:i/>
                <w:sz w:val="22"/>
                <w:szCs w:val="22"/>
              </w:rPr>
            </w:pPr>
            <w:r w:rsidRPr="00576AF8">
              <w:rPr>
                <w:b/>
                <w:i/>
                <w:sz w:val="22"/>
              </w:rPr>
              <w:t>[</w:t>
            </w:r>
            <w:r w:rsidRPr="00576AF8">
              <w:rPr>
                <w:i/>
                <w:sz w:val="22"/>
              </w:rPr>
              <w:t>Indique</w:t>
            </w:r>
            <w:r w:rsidRPr="00576AF8">
              <w:rPr>
                <w:b/>
                <w:i/>
                <w:sz w:val="22"/>
              </w:rPr>
              <w:t>: moneda extranjera A]</w:t>
            </w:r>
            <w:r w:rsidRPr="00576AF8">
              <w:rPr>
                <w:b/>
                <w:i/>
                <w:sz w:val="22"/>
                <w:szCs w:val="22"/>
              </w:rPr>
              <w:br/>
            </w:r>
            <w:r w:rsidRPr="00576AF8">
              <w:rPr>
                <w:b/>
                <w:i/>
                <w:sz w:val="22"/>
              </w:rPr>
              <w:t>Precio</w:t>
            </w:r>
          </w:p>
        </w:tc>
        <w:tc>
          <w:tcPr>
            <w:tcW w:w="1559" w:type="dxa"/>
          </w:tcPr>
          <w:p w14:paraId="5DABF888" w14:textId="77777777" w:rsidR="00C85FC3" w:rsidRPr="00576AF8" w:rsidRDefault="00C85FC3" w:rsidP="00510A60">
            <w:pPr>
              <w:spacing w:before="100" w:after="100"/>
              <w:jc w:val="center"/>
              <w:rPr>
                <w:b/>
                <w:i/>
                <w:sz w:val="22"/>
                <w:szCs w:val="22"/>
              </w:rPr>
            </w:pPr>
            <w:r w:rsidRPr="00576AF8">
              <w:rPr>
                <w:b/>
                <w:i/>
                <w:sz w:val="22"/>
              </w:rPr>
              <w:t>[</w:t>
            </w:r>
            <w:r w:rsidRPr="00576AF8">
              <w:rPr>
                <w:i/>
                <w:sz w:val="22"/>
              </w:rPr>
              <w:t>Indique</w:t>
            </w:r>
            <w:r w:rsidRPr="00576AF8">
              <w:rPr>
                <w:b/>
                <w:i/>
                <w:sz w:val="22"/>
              </w:rPr>
              <w:t>: moneda extranjera B]</w:t>
            </w:r>
            <w:r w:rsidRPr="00576AF8">
              <w:rPr>
                <w:b/>
                <w:i/>
                <w:sz w:val="22"/>
                <w:szCs w:val="22"/>
              </w:rPr>
              <w:br/>
            </w:r>
            <w:r w:rsidRPr="00576AF8">
              <w:rPr>
                <w:b/>
                <w:i/>
                <w:sz w:val="22"/>
              </w:rPr>
              <w:t>Precio</w:t>
            </w:r>
          </w:p>
        </w:tc>
        <w:tc>
          <w:tcPr>
            <w:tcW w:w="1559" w:type="dxa"/>
          </w:tcPr>
          <w:p w14:paraId="296A5AD1" w14:textId="77777777" w:rsidR="00C85FC3" w:rsidRPr="00576AF8" w:rsidRDefault="00C85FC3" w:rsidP="00510A60">
            <w:pPr>
              <w:spacing w:before="100" w:after="100"/>
              <w:jc w:val="center"/>
              <w:rPr>
                <w:b/>
                <w:i/>
                <w:sz w:val="22"/>
                <w:szCs w:val="22"/>
              </w:rPr>
            </w:pPr>
            <w:r w:rsidRPr="00576AF8">
              <w:rPr>
                <w:b/>
                <w:i/>
                <w:sz w:val="22"/>
              </w:rPr>
              <w:t>[</w:t>
            </w:r>
            <w:r w:rsidRPr="00576AF8">
              <w:rPr>
                <w:i/>
                <w:sz w:val="22"/>
              </w:rPr>
              <w:t>Indique</w:t>
            </w:r>
            <w:r w:rsidRPr="00576AF8">
              <w:rPr>
                <w:b/>
                <w:i/>
                <w:sz w:val="22"/>
              </w:rPr>
              <w:t>: moneda extranjera C]</w:t>
            </w:r>
            <w:r w:rsidRPr="00576AF8">
              <w:rPr>
                <w:b/>
                <w:i/>
                <w:sz w:val="22"/>
                <w:szCs w:val="22"/>
              </w:rPr>
              <w:br/>
            </w:r>
            <w:r w:rsidRPr="00576AF8">
              <w:rPr>
                <w:b/>
                <w:i/>
                <w:sz w:val="22"/>
              </w:rPr>
              <w:t>Precio</w:t>
            </w:r>
          </w:p>
        </w:tc>
      </w:tr>
      <w:tr w:rsidR="00C85FC3" w:rsidRPr="00576AF8" w14:paraId="2E4C8EEA" w14:textId="77777777" w:rsidTr="00510A60">
        <w:trPr>
          <w:cantSplit/>
        </w:trPr>
        <w:tc>
          <w:tcPr>
            <w:tcW w:w="970" w:type="dxa"/>
          </w:tcPr>
          <w:p w14:paraId="328E334C" w14:textId="77777777" w:rsidR="00C85FC3" w:rsidRPr="00576AF8" w:rsidRDefault="00C85FC3" w:rsidP="00510A60">
            <w:pPr>
              <w:spacing w:before="100" w:after="100"/>
              <w:jc w:val="center"/>
              <w:rPr>
                <w:sz w:val="22"/>
              </w:rPr>
            </w:pPr>
          </w:p>
        </w:tc>
        <w:tc>
          <w:tcPr>
            <w:tcW w:w="2810" w:type="dxa"/>
          </w:tcPr>
          <w:p w14:paraId="1452B876" w14:textId="77777777" w:rsidR="00C85FC3" w:rsidRPr="00576AF8" w:rsidRDefault="00C85FC3" w:rsidP="00510A60">
            <w:pPr>
              <w:spacing w:before="100" w:after="100"/>
              <w:rPr>
                <w:sz w:val="22"/>
              </w:rPr>
            </w:pPr>
          </w:p>
        </w:tc>
        <w:tc>
          <w:tcPr>
            <w:tcW w:w="1748" w:type="dxa"/>
          </w:tcPr>
          <w:p w14:paraId="447B5624" w14:textId="77777777" w:rsidR="00C85FC3" w:rsidRPr="00576AF8" w:rsidRDefault="00C85FC3" w:rsidP="00510A60">
            <w:pPr>
              <w:spacing w:before="100" w:after="100"/>
              <w:jc w:val="center"/>
              <w:rPr>
                <w:sz w:val="22"/>
              </w:rPr>
            </w:pPr>
          </w:p>
        </w:tc>
        <w:tc>
          <w:tcPr>
            <w:tcW w:w="1418" w:type="dxa"/>
          </w:tcPr>
          <w:p w14:paraId="4AA483A9" w14:textId="77777777" w:rsidR="00C85FC3" w:rsidRPr="00576AF8" w:rsidRDefault="00C85FC3" w:rsidP="00510A60">
            <w:pPr>
              <w:spacing w:before="100" w:after="100"/>
              <w:jc w:val="center"/>
              <w:rPr>
                <w:sz w:val="22"/>
              </w:rPr>
            </w:pPr>
          </w:p>
        </w:tc>
        <w:tc>
          <w:tcPr>
            <w:tcW w:w="1559" w:type="dxa"/>
          </w:tcPr>
          <w:p w14:paraId="245BC968" w14:textId="77777777" w:rsidR="00C85FC3" w:rsidRPr="00576AF8" w:rsidRDefault="00C85FC3" w:rsidP="00510A60">
            <w:pPr>
              <w:spacing w:before="100" w:after="100"/>
              <w:jc w:val="center"/>
              <w:rPr>
                <w:sz w:val="22"/>
              </w:rPr>
            </w:pPr>
          </w:p>
        </w:tc>
        <w:tc>
          <w:tcPr>
            <w:tcW w:w="1559" w:type="dxa"/>
          </w:tcPr>
          <w:p w14:paraId="704A5A8B" w14:textId="77777777" w:rsidR="00C85FC3" w:rsidRPr="00576AF8" w:rsidRDefault="00C85FC3" w:rsidP="00510A60">
            <w:pPr>
              <w:spacing w:before="100" w:after="100"/>
              <w:jc w:val="center"/>
              <w:rPr>
                <w:sz w:val="22"/>
              </w:rPr>
            </w:pPr>
          </w:p>
        </w:tc>
        <w:tc>
          <w:tcPr>
            <w:tcW w:w="1559" w:type="dxa"/>
          </w:tcPr>
          <w:p w14:paraId="6F807670" w14:textId="77777777" w:rsidR="00C85FC3" w:rsidRPr="00576AF8" w:rsidRDefault="00C85FC3" w:rsidP="00510A60">
            <w:pPr>
              <w:spacing w:before="100" w:after="100"/>
              <w:jc w:val="center"/>
              <w:rPr>
                <w:sz w:val="22"/>
              </w:rPr>
            </w:pPr>
          </w:p>
        </w:tc>
      </w:tr>
      <w:tr w:rsidR="00C85FC3" w:rsidRPr="00576AF8" w14:paraId="3144876F" w14:textId="77777777" w:rsidTr="00510A60">
        <w:trPr>
          <w:cantSplit/>
        </w:trPr>
        <w:tc>
          <w:tcPr>
            <w:tcW w:w="970" w:type="dxa"/>
          </w:tcPr>
          <w:p w14:paraId="4A1373F5" w14:textId="77777777" w:rsidR="00C85FC3" w:rsidRPr="00576AF8" w:rsidRDefault="00C85FC3" w:rsidP="00510A60">
            <w:pPr>
              <w:spacing w:before="100" w:after="100"/>
              <w:jc w:val="center"/>
              <w:rPr>
                <w:sz w:val="22"/>
              </w:rPr>
            </w:pPr>
            <w:r w:rsidRPr="00576AF8">
              <w:rPr>
                <w:sz w:val="22"/>
              </w:rPr>
              <w:t>y</w:t>
            </w:r>
          </w:p>
        </w:tc>
        <w:tc>
          <w:tcPr>
            <w:tcW w:w="2810" w:type="dxa"/>
          </w:tcPr>
          <w:p w14:paraId="67546CBF" w14:textId="77777777" w:rsidR="00C85FC3" w:rsidRPr="00576AF8" w:rsidRDefault="00C85FC3" w:rsidP="00510A60">
            <w:pPr>
              <w:spacing w:before="100" w:after="100"/>
              <w:rPr>
                <w:sz w:val="22"/>
              </w:rPr>
            </w:pPr>
            <w:r w:rsidRPr="00576AF8">
              <w:rPr>
                <w:sz w:val="22"/>
              </w:rPr>
              <w:t>Partidas de gastos recurrentes</w:t>
            </w:r>
          </w:p>
        </w:tc>
        <w:tc>
          <w:tcPr>
            <w:tcW w:w="1748" w:type="dxa"/>
          </w:tcPr>
          <w:p w14:paraId="2CDCC70F" w14:textId="77777777" w:rsidR="00C85FC3" w:rsidRPr="00576AF8" w:rsidRDefault="00C85FC3" w:rsidP="00510A60">
            <w:pPr>
              <w:spacing w:before="100" w:after="100"/>
              <w:jc w:val="center"/>
              <w:rPr>
                <w:sz w:val="22"/>
              </w:rPr>
            </w:pPr>
          </w:p>
        </w:tc>
        <w:tc>
          <w:tcPr>
            <w:tcW w:w="1418" w:type="dxa"/>
          </w:tcPr>
          <w:p w14:paraId="2CCD64F7" w14:textId="77777777" w:rsidR="00C85FC3" w:rsidRPr="00576AF8" w:rsidRDefault="00C85FC3" w:rsidP="00510A60">
            <w:pPr>
              <w:spacing w:before="100" w:after="100"/>
              <w:jc w:val="center"/>
              <w:rPr>
                <w:sz w:val="22"/>
              </w:rPr>
            </w:pPr>
          </w:p>
        </w:tc>
        <w:tc>
          <w:tcPr>
            <w:tcW w:w="1559" w:type="dxa"/>
          </w:tcPr>
          <w:p w14:paraId="5EA71B64" w14:textId="77777777" w:rsidR="00C85FC3" w:rsidRPr="00576AF8" w:rsidRDefault="00C85FC3" w:rsidP="00510A60">
            <w:pPr>
              <w:spacing w:before="100" w:after="100"/>
              <w:jc w:val="center"/>
              <w:rPr>
                <w:sz w:val="22"/>
              </w:rPr>
            </w:pPr>
          </w:p>
        </w:tc>
        <w:tc>
          <w:tcPr>
            <w:tcW w:w="1559" w:type="dxa"/>
          </w:tcPr>
          <w:p w14:paraId="4BD2A5FE" w14:textId="77777777" w:rsidR="00C85FC3" w:rsidRPr="00576AF8" w:rsidRDefault="00C85FC3" w:rsidP="00510A60">
            <w:pPr>
              <w:spacing w:before="100" w:after="100"/>
              <w:jc w:val="center"/>
              <w:rPr>
                <w:sz w:val="22"/>
              </w:rPr>
            </w:pPr>
          </w:p>
        </w:tc>
        <w:tc>
          <w:tcPr>
            <w:tcW w:w="1559" w:type="dxa"/>
          </w:tcPr>
          <w:p w14:paraId="6B36D2DE" w14:textId="77777777" w:rsidR="00C85FC3" w:rsidRPr="00576AF8" w:rsidRDefault="00C85FC3" w:rsidP="00510A60">
            <w:pPr>
              <w:spacing w:before="100" w:after="100"/>
              <w:jc w:val="center"/>
              <w:rPr>
                <w:sz w:val="22"/>
              </w:rPr>
            </w:pPr>
          </w:p>
        </w:tc>
      </w:tr>
      <w:tr w:rsidR="00C85FC3" w:rsidRPr="00576AF8" w14:paraId="668DAD8A" w14:textId="77777777" w:rsidTr="00510A60">
        <w:trPr>
          <w:cantSplit/>
        </w:trPr>
        <w:tc>
          <w:tcPr>
            <w:tcW w:w="970" w:type="dxa"/>
          </w:tcPr>
          <w:p w14:paraId="2D0C7FAC" w14:textId="77777777" w:rsidR="00C85FC3" w:rsidRPr="00576AF8" w:rsidRDefault="00C85FC3" w:rsidP="00510A60">
            <w:pPr>
              <w:spacing w:before="100" w:after="100"/>
              <w:jc w:val="center"/>
              <w:rPr>
                <w:sz w:val="22"/>
              </w:rPr>
            </w:pPr>
            <w:r w:rsidRPr="00576AF8">
              <w:rPr>
                <w:sz w:val="22"/>
              </w:rPr>
              <w:t>y.1</w:t>
            </w:r>
          </w:p>
        </w:tc>
        <w:tc>
          <w:tcPr>
            <w:tcW w:w="2810" w:type="dxa"/>
          </w:tcPr>
          <w:p w14:paraId="538AB4DD" w14:textId="77777777" w:rsidR="00C85FC3" w:rsidRPr="00576AF8" w:rsidRDefault="00C85FC3" w:rsidP="00510A60">
            <w:pPr>
              <w:spacing w:before="100" w:after="100"/>
              <w:ind w:left="342"/>
              <w:rPr>
                <w:sz w:val="22"/>
              </w:rPr>
            </w:pPr>
            <w:r w:rsidRPr="00576AF8">
              <w:rPr>
                <w:sz w:val="22"/>
              </w:rPr>
              <w:t>____</w:t>
            </w:r>
          </w:p>
        </w:tc>
        <w:tc>
          <w:tcPr>
            <w:tcW w:w="1748" w:type="dxa"/>
          </w:tcPr>
          <w:p w14:paraId="0B4951CA" w14:textId="77777777" w:rsidR="00C85FC3" w:rsidRPr="00576AF8" w:rsidRDefault="00C85FC3" w:rsidP="00510A60">
            <w:pPr>
              <w:spacing w:before="100" w:after="100"/>
              <w:jc w:val="center"/>
              <w:rPr>
                <w:sz w:val="22"/>
              </w:rPr>
            </w:pPr>
            <w:r w:rsidRPr="00576AF8">
              <w:rPr>
                <w:sz w:val="22"/>
              </w:rPr>
              <w:t>y.1</w:t>
            </w:r>
          </w:p>
        </w:tc>
        <w:tc>
          <w:tcPr>
            <w:tcW w:w="1418" w:type="dxa"/>
          </w:tcPr>
          <w:p w14:paraId="16D35B26" w14:textId="77777777" w:rsidR="00C85FC3" w:rsidRPr="00576AF8" w:rsidRDefault="00C85FC3" w:rsidP="00510A60">
            <w:pPr>
              <w:spacing w:before="100" w:after="100"/>
              <w:jc w:val="center"/>
              <w:rPr>
                <w:sz w:val="22"/>
              </w:rPr>
            </w:pPr>
          </w:p>
        </w:tc>
        <w:tc>
          <w:tcPr>
            <w:tcW w:w="1559" w:type="dxa"/>
          </w:tcPr>
          <w:p w14:paraId="455C6D16" w14:textId="77777777" w:rsidR="00C85FC3" w:rsidRPr="00576AF8" w:rsidRDefault="00C85FC3" w:rsidP="00510A60">
            <w:pPr>
              <w:spacing w:before="100" w:after="100"/>
              <w:jc w:val="center"/>
              <w:rPr>
                <w:sz w:val="22"/>
              </w:rPr>
            </w:pPr>
          </w:p>
        </w:tc>
        <w:tc>
          <w:tcPr>
            <w:tcW w:w="1559" w:type="dxa"/>
          </w:tcPr>
          <w:p w14:paraId="05D1CC3F" w14:textId="77777777" w:rsidR="00C85FC3" w:rsidRPr="00576AF8" w:rsidRDefault="00C85FC3" w:rsidP="00510A60">
            <w:pPr>
              <w:spacing w:before="100" w:after="100"/>
              <w:jc w:val="center"/>
              <w:rPr>
                <w:sz w:val="22"/>
              </w:rPr>
            </w:pPr>
          </w:p>
        </w:tc>
        <w:tc>
          <w:tcPr>
            <w:tcW w:w="1559" w:type="dxa"/>
          </w:tcPr>
          <w:p w14:paraId="5C954BE6" w14:textId="77777777" w:rsidR="00C85FC3" w:rsidRPr="00576AF8" w:rsidRDefault="00C85FC3" w:rsidP="00510A60">
            <w:pPr>
              <w:spacing w:before="100" w:after="100"/>
              <w:jc w:val="center"/>
              <w:rPr>
                <w:sz w:val="22"/>
              </w:rPr>
            </w:pPr>
          </w:p>
        </w:tc>
      </w:tr>
      <w:tr w:rsidR="00C85FC3" w:rsidRPr="00576AF8" w14:paraId="522DFB4C" w14:textId="77777777" w:rsidTr="00510A60">
        <w:trPr>
          <w:cantSplit/>
          <w:trHeight w:hRule="exact" w:val="325"/>
        </w:trPr>
        <w:tc>
          <w:tcPr>
            <w:tcW w:w="970" w:type="dxa"/>
          </w:tcPr>
          <w:p w14:paraId="6447720E" w14:textId="77777777" w:rsidR="00C85FC3" w:rsidRPr="00576AF8" w:rsidRDefault="00C85FC3" w:rsidP="00510A60">
            <w:pPr>
              <w:spacing w:before="100" w:after="100"/>
              <w:jc w:val="center"/>
              <w:rPr>
                <w:sz w:val="22"/>
              </w:rPr>
            </w:pPr>
          </w:p>
        </w:tc>
        <w:tc>
          <w:tcPr>
            <w:tcW w:w="2810" w:type="dxa"/>
          </w:tcPr>
          <w:p w14:paraId="23EF64A5" w14:textId="77777777" w:rsidR="00C85FC3" w:rsidRPr="00576AF8" w:rsidRDefault="00C85FC3" w:rsidP="00510A60">
            <w:pPr>
              <w:spacing w:before="100" w:after="100"/>
              <w:rPr>
                <w:sz w:val="22"/>
              </w:rPr>
            </w:pPr>
          </w:p>
        </w:tc>
        <w:tc>
          <w:tcPr>
            <w:tcW w:w="1748" w:type="dxa"/>
          </w:tcPr>
          <w:p w14:paraId="31F4D473" w14:textId="77777777" w:rsidR="00C85FC3" w:rsidRPr="00576AF8" w:rsidRDefault="00C85FC3" w:rsidP="00510A60">
            <w:pPr>
              <w:spacing w:before="100" w:after="100"/>
              <w:jc w:val="center"/>
              <w:rPr>
                <w:sz w:val="22"/>
              </w:rPr>
            </w:pPr>
          </w:p>
        </w:tc>
        <w:tc>
          <w:tcPr>
            <w:tcW w:w="1418" w:type="dxa"/>
          </w:tcPr>
          <w:p w14:paraId="188716B2" w14:textId="77777777" w:rsidR="00C85FC3" w:rsidRPr="00576AF8" w:rsidRDefault="00C85FC3" w:rsidP="00510A60">
            <w:pPr>
              <w:spacing w:before="100" w:after="100"/>
              <w:jc w:val="center"/>
              <w:rPr>
                <w:sz w:val="22"/>
              </w:rPr>
            </w:pPr>
          </w:p>
        </w:tc>
        <w:tc>
          <w:tcPr>
            <w:tcW w:w="1559" w:type="dxa"/>
          </w:tcPr>
          <w:p w14:paraId="117E791E" w14:textId="77777777" w:rsidR="00C85FC3" w:rsidRPr="00576AF8" w:rsidRDefault="00C85FC3" w:rsidP="00510A60">
            <w:pPr>
              <w:spacing w:before="100" w:after="100"/>
              <w:jc w:val="center"/>
              <w:rPr>
                <w:sz w:val="22"/>
              </w:rPr>
            </w:pPr>
          </w:p>
        </w:tc>
        <w:tc>
          <w:tcPr>
            <w:tcW w:w="1559" w:type="dxa"/>
          </w:tcPr>
          <w:p w14:paraId="3BF92E31" w14:textId="77777777" w:rsidR="00C85FC3" w:rsidRPr="00576AF8" w:rsidRDefault="00C85FC3" w:rsidP="00510A60">
            <w:pPr>
              <w:spacing w:before="100" w:after="100"/>
              <w:jc w:val="center"/>
              <w:rPr>
                <w:sz w:val="22"/>
              </w:rPr>
            </w:pPr>
          </w:p>
        </w:tc>
        <w:tc>
          <w:tcPr>
            <w:tcW w:w="1559" w:type="dxa"/>
          </w:tcPr>
          <w:p w14:paraId="616DF3C7" w14:textId="77777777" w:rsidR="00C85FC3" w:rsidRPr="00576AF8" w:rsidRDefault="00C85FC3" w:rsidP="00510A60">
            <w:pPr>
              <w:spacing w:before="100" w:after="100"/>
              <w:jc w:val="center"/>
              <w:rPr>
                <w:sz w:val="22"/>
              </w:rPr>
            </w:pPr>
          </w:p>
        </w:tc>
      </w:tr>
      <w:tr w:rsidR="00C85FC3" w:rsidRPr="00576AF8" w14:paraId="3E693DD0" w14:textId="77777777" w:rsidTr="00510A60">
        <w:trPr>
          <w:cantSplit/>
        </w:trPr>
        <w:tc>
          <w:tcPr>
            <w:tcW w:w="970" w:type="dxa"/>
          </w:tcPr>
          <w:p w14:paraId="490E82ED" w14:textId="77777777" w:rsidR="00C85FC3" w:rsidRPr="00576AF8" w:rsidRDefault="00C85FC3" w:rsidP="00510A60">
            <w:pPr>
              <w:spacing w:before="100" w:after="100"/>
              <w:jc w:val="center"/>
              <w:rPr>
                <w:sz w:val="22"/>
              </w:rPr>
            </w:pPr>
          </w:p>
        </w:tc>
        <w:tc>
          <w:tcPr>
            <w:tcW w:w="4558" w:type="dxa"/>
            <w:gridSpan w:val="2"/>
          </w:tcPr>
          <w:p w14:paraId="4CC1A2A7" w14:textId="77777777" w:rsidR="00C85FC3" w:rsidRPr="00576AF8" w:rsidRDefault="00C85FC3" w:rsidP="00510A60">
            <w:pPr>
              <w:spacing w:before="100" w:after="100"/>
              <w:jc w:val="center"/>
              <w:rPr>
                <w:sz w:val="22"/>
              </w:rPr>
            </w:pPr>
            <w:r w:rsidRPr="00576AF8">
              <w:rPr>
                <w:sz w:val="22"/>
              </w:rPr>
              <w:t>Subtotales (traslade al resumen global)</w:t>
            </w:r>
          </w:p>
        </w:tc>
        <w:tc>
          <w:tcPr>
            <w:tcW w:w="1418" w:type="dxa"/>
          </w:tcPr>
          <w:p w14:paraId="3B89B15E" w14:textId="77777777" w:rsidR="00C85FC3" w:rsidRPr="00576AF8" w:rsidRDefault="00C85FC3" w:rsidP="00510A60">
            <w:pPr>
              <w:spacing w:before="100" w:after="100"/>
              <w:jc w:val="center"/>
              <w:rPr>
                <w:sz w:val="22"/>
              </w:rPr>
            </w:pPr>
          </w:p>
        </w:tc>
        <w:tc>
          <w:tcPr>
            <w:tcW w:w="1559" w:type="dxa"/>
          </w:tcPr>
          <w:p w14:paraId="2C662EAD" w14:textId="77777777" w:rsidR="00C85FC3" w:rsidRPr="00576AF8" w:rsidRDefault="00C85FC3" w:rsidP="00510A60">
            <w:pPr>
              <w:spacing w:before="100" w:after="100"/>
              <w:jc w:val="center"/>
              <w:rPr>
                <w:sz w:val="22"/>
              </w:rPr>
            </w:pPr>
          </w:p>
        </w:tc>
        <w:tc>
          <w:tcPr>
            <w:tcW w:w="1559" w:type="dxa"/>
          </w:tcPr>
          <w:p w14:paraId="67198048" w14:textId="77777777" w:rsidR="00C85FC3" w:rsidRPr="00576AF8" w:rsidRDefault="00C85FC3" w:rsidP="00510A60">
            <w:pPr>
              <w:spacing w:before="100" w:after="100"/>
              <w:jc w:val="center"/>
              <w:rPr>
                <w:sz w:val="22"/>
              </w:rPr>
            </w:pPr>
          </w:p>
        </w:tc>
        <w:tc>
          <w:tcPr>
            <w:tcW w:w="1559" w:type="dxa"/>
          </w:tcPr>
          <w:p w14:paraId="585B3767" w14:textId="77777777" w:rsidR="00C85FC3" w:rsidRPr="00576AF8" w:rsidRDefault="00C85FC3" w:rsidP="00510A60">
            <w:pPr>
              <w:spacing w:before="100" w:after="100"/>
              <w:jc w:val="center"/>
              <w:rPr>
                <w:sz w:val="22"/>
              </w:rPr>
            </w:pPr>
          </w:p>
        </w:tc>
      </w:tr>
    </w:tbl>
    <w:p w14:paraId="667534C5" w14:textId="77777777" w:rsidR="00C85FC3" w:rsidRPr="00576AF8" w:rsidRDefault="00C85FC3" w:rsidP="00C85FC3">
      <w:pPr>
        <w:ind w:left="1260" w:right="1440" w:hanging="1260"/>
        <w:rPr>
          <w:b/>
          <w:sz w:val="22"/>
        </w:rPr>
      </w:pPr>
    </w:p>
    <w:p w14:paraId="39764C19" w14:textId="77777777" w:rsidR="00C85FC3" w:rsidRPr="00576AF8" w:rsidRDefault="00C85FC3" w:rsidP="00C85FC3">
      <w:pPr>
        <w:ind w:left="851" w:right="1440" w:hanging="851"/>
        <w:rPr>
          <w:sz w:val="22"/>
        </w:rPr>
      </w:pPr>
      <w:r w:rsidRPr="00576AF8">
        <w:rPr>
          <w:b/>
          <w:sz w:val="22"/>
        </w:rPr>
        <w:t>Nota:</w:t>
      </w:r>
      <w:r w:rsidRPr="00576AF8">
        <w:tab/>
      </w:r>
      <w:r w:rsidRPr="00576AF8">
        <w:rPr>
          <w:sz w:val="22"/>
        </w:rPr>
        <w:t>Consulte en los cuadros parciales de gastos recurrentes pertinentes los componentes específicos que constituyen cada Subsistema o rubro que figura en este resumen.</w:t>
      </w:r>
    </w:p>
    <w:p w14:paraId="0A522F74" w14:textId="77777777" w:rsidR="00C85FC3" w:rsidRPr="00576AF8" w:rsidRDefault="00C85FC3" w:rsidP="00C85FC3">
      <w:pPr>
        <w:ind w:left="1260" w:right="1440" w:hanging="1260"/>
        <w:rPr>
          <w:sz w:val="22"/>
        </w:rPr>
      </w:pP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C85FC3" w:rsidRPr="00576AF8" w14:paraId="705F0D6E" w14:textId="77777777" w:rsidTr="00510A60">
        <w:trPr>
          <w:cantSplit/>
          <w:trHeight w:hRule="exact" w:val="240"/>
        </w:trPr>
        <w:tc>
          <w:tcPr>
            <w:tcW w:w="4320" w:type="dxa"/>
          </w:tcPr>
          <w:p w14:paraId="0DF33CDA" w14:textId="77777777" w:rsidR="00C85FC3" w:rsidRPr="00576AF8" w:rsidRDefault="00C85FC3" w:rsidP="00510A60">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after="100"/>
              <w:rPr>
                <w:sz w:val="22"/>
              </w:rPr>
            </w:pPr>
          </w:p>
        </w:tc>
        <w:tc>
          <w:tcPr>
            <w:tcW w:w="360" w:type="dxa"/>
          </w:tcPr>
          <w:p w14:paraId="47722427" w14:textId="77777777" w:rsidR="00C85FC3" w:rsidRPr="00576AF8" w:rsidRDefault="00C85FC3" w:rsidP="00510A60">
            <w:pPr>
              <w:spacing w:before="100" w:after="100"/>
              <w:jc w:val="center"/>
              <w:rPr>
                <w:sz w:val="22"/>
              </w:rPr>
            </w:pPr>
          </w:p>
        </w:tc>
        <w:tc>
          <w:tcPr>
            <w:tcW w:w="5238" w:type="dxa"/>
          </w:tcPr>
          <w:p w14:paraId="00E1C569" w14:textId="77777777" w:rsidR="00C85FC3" w:rsidRPr="00576AF8" w:rsidRDefault="00C85FC3" w:rsidP="00510A60">
            <w:pPr>
              <w:spacing w:before="100" w:after="100"/>
              <w:jc w:val="center"/>
              <w:rPr>
                <w:sz w:val="22"/>
              </w:rPr>
            </w:pPr>
          </w:p>
        </w:tc>
      </w:tr>
      <w:tr w:rsidR="00C85FC3" w:rsidRPr="00576AF8" w14:paraId="1495C2CF" w14:textId="77777777" w:rsidTr="00510A60">
        <w:trPr>
          <w:cantSplit/>
        </w:trPr>
        <w:tc>
          <w:tcPr>
            <w:tcW w:w="4320" w:type="dxa"/>
          </w:tcPr>
          <w:p w14:paraId="09932F53" w14:textId="77777777" w:rsidR="00C85FC3" w:rsidRPr="00576AF8" w:rsidRDefault="00C85FC3" w:rsidP="00510A60">
            <w:pPr>
              <w:spacing w:before="100" w:after="100"/>
              <w:jc w:val="right"/>
              <w:rPr>
                <w:sz w:val="22"/>
              </w:rPr>
            </w:pPr>
            <w:r w:rsidRPr="00576AF8">
              <w:rPr>
                <w:sz w:val="22"/>
              </w:rPr>
              <w:t>Nombre del Licitante:</w:t>
            </w:r>
          </w:p>
        </w:tc>
        <w:tc>
          <w:tcPr>
            <w:tcW w:w="360" w:type="dxa"/>
          </w:tcPr>
          <w:p w14:paraId="6E8B33A1" w14:textId="77777777" w:rsidR="00C85FC3" w:rsidRPr="00576AF8" w:rsidRDefault="00C85FC3" w:rsidP="00510A60">
            <w:pPr>
              <w:spacing w:before="100" w:after="100"/>
              <w:jc w:val="center"/>
              <w:rPr>
                <w:sz w:val="22"/>
              </w:rPr>
            </w:pPr>
          </w:p>
        </w:tc>
        <w:tc>
          <w:tcPr>
            <w:tcW w:w="5238" w:type="dxa"/>
          </w:tcPr>
          <w:p w14:paraId="6D489555" w14:textId="77777777" w:rsidR="00C85FC3" w:rsidRPr="00576AF8" w:rsidRDefault="00C85FC3" w:rsidP="00510A60">
            <w:pPr>
              <w:spacing w:before="100" w:after="100"/>
              <w:jc w:val="center"/>
              <w:rPr>
                <w:sz w:val="22"/>
              </w:rPr>
            </w:pPr>
          </w:p>
        </w:tc>
      </w:tr>
      <w:tr w:rsidR="00C85FC3" w:rsidRPr="00576AF8" w14:paraId="16C326CF" w14:textId="77777777" w:rsidTr="00510A60">
        <w:trPr>
          <w:cantSplit/>
          <w:trHeight w:hRule="exact" w:val="240"/>
        </w:trPr>
        <w:tc>
          <w:tcPr>
            <w:tcW w:w="4320" w:type="dxa"/>
          </w:tcPr>
          <w:p w14:paraId="505F4C73" w14:textId="77777777" w:rsidR="00C85FC3" w:rsidRPr="00576AF8" w:rsidRDefault="00C85FC3" w:rsidP="00510A60">
            <w:pPr>
              <w:spacing w:before="100" w:after="100"/>
              <w:jc w:val="right"/>
              <w:rPr>
                <w:sz w:val="22"/>
              </w:rPr>
            </w:pPr>
          </w:p>
        </w:tc>
        <w:tc>
          <w:tcPr>
            <w:tcW w:w="360" w:type="dxa"/>
          </w:tcPr>
          <w:p w14:paraId="7304BC07" w14:textId="77777777" w:rsidR="00C85FC3" w:rsidRPr="00576AF8" w:rsidRDefault="00C85FC3" w:rsidP="00510A60">
            <w:pPr>
              <w:spacing w:before="100" w:after="100"/>
              <w:jc w:val="center"/>
              <w:rPr>
                <w:sz w:val="22"/>
              </w:rPr>
            </w:pPr>
          </w:p>
        </w:tc>
        <w:tc>
          <w:tcPr>
            <w:tcW w:w="5238" w:type="dxa"/>
          </w:tcPr>
          <w:p w14:paraId="17AE5A19" w14:textId="77777777" w:rsidR="00C85FC3" w:rsidRPr="00576AF8" w:rsidRDefault="00C85FC3" w:rsidP="00510A60">
            <w:pPr>
              <w:spacing w:before="100" w:after="100"/>
              <w:jc w:val="center"/>
              <w:rPr>
                <w:sz w:val="22"/>
              </w:rPr>
            </w:pPr>
          </w:p>
        </w:tc>
      </w:tr>
      <w:tr w:rsidR="00C85FC3" w:rsidRPr="00576AF8" w14:paraId="4193ED84" w14:textId="77777777" w:rsidTr="00510A60">
        <w:trPr>
          <w:cantSplit/>
        </w:trPr>
        <w:tc>
          <w:tcPr>
            <w:tcW w:w="4320" w:type="dxa"/>
          </w:tcPr>
          <w:p w14:paraId="57B48FBD" w14:textId="77777777" w:rsidR="00C85FC3" w:rsidRPr="00576AF8" w:rsidRDefault="00C85FC3" w:rsidP="00510A60">
            <w:pPr>
              <w:spacing w:before="100" w:after="100"/>
              <w:jc w:val="right"/>
              <w:rPr>
                <w:sz w:val="22"/>
              </w:rPr>
            </w:pPr>
            <w:r w:rsidRPr="00576AF8">
              <w:rPr>
                <w:sz w:val="22"/>
              </w:rPr>
              <w:t>Firma autorizada del Licitante:</w:t>
            </w:r>
          </w:p>
        </w:tc>
        <w:tc>
          <w:tcPr>
            <w:tcW w:w="360" w:type="dxa"/>
          </w:tcPr>
          <w:p w14:paraId="44FB3CDF" w14:textId="77777777" w:rsidR="00C85FC3" w:rsidRPr="00576AF8" w:rsidRDefault="00C85FC3" w:rsidP="00510A60">
            <w:pPr>
              <w:spacing w:before="100" w:after="100"/>
              <w:jc w:val="center"/>
              <w:rPr>
                <w:sz w:val="22"/>
              </w:rPr>
            </w:pPr>
          </w:p>
        </w:tc>
        <w:tc>
          <w:tcPr>
            <w:tcW w:w="5238" w:type="dxa"/>
          </w:tcPr>
          <w:p w14:paraId="755B1079" w14:textId="77777777" w:rsidR="00C85FC3" w:rsidRPr="00576AF8" w:rsidRDefault="00C85FC3" w:rsidP="00510A60">
            <w:pPr>
              <w:spacing w:before="100" w:after="100"/>
              <w:jc w:val="center"/>
              <w:rPr>
                <w:sz w:val="22"/>
              </w:rPr>
            </w:pPr>
          </w:p>
        </w:tc>
      </w:tr>
    </w:tbl>
    <w:p w14:paraId="630BA8A8" w14:textId="77777777" w:rsidR="00C85FC3" w:rsidRPr="00576AF8" w:rsidRDefault="00C85FC3" w:rsidP="00C85FC3">
      <w:pPr>
        <w:suppressAutoHyphens w:val="0"/>
        <w:spacing w:after="0"/>
        <w:jc w:val="left"/>
        <w:rPr>
          <w:b/>
          <w:sz w:val="22"/>
        </w:rPr>
      </w:pPr>
      <w:r w:rsidRPr="00576AF8">
        <w:br w:type="page"/>
      </w:r>
    </w:p>
    <w:p w14:paraId="51522EB7" w14:textId="77777777" w:rsidR="00C85FC3" w:rsidRPr="00576AF8" w:rsidRDefault="00C85FC3" w:rsidP="00C85FC3">
      <w:pPr>
        <w:pStyle w:val="Head32"/>
        <w:ind w:right="60"/>
        <w:rPr>
          <w:i/>
        </w:rPr>
      </w:pPr>
      <w:bookmarkStart w:id="548" w:name="_Toc521497243"/>
      <w:bookmarkStart w:id="549" w:name="_Toc218673960"/>
      <w:bookmarkStart w:id="550" w:name="_Toc277345595"/>
      <w:r w:rsidRPr="00576AF8">
        <w:lastRenderedPageBreak/>
        <w:t>3.4</w:t>
      </w:r>
      <w:r w:rsidRPr="00576AF8">
        <w:tab/>
      </w:r>
      <w:bookmarkStart w:id="551" w:name="_Hlt529125910"/>
      <w:bookmarkEnd w:id="551"/>
      <w:r w:rsidRPr="00576AF8">
        <w:t xml:space="preserve"> </w:t>
      </w:r>
      <w:r w:rsidRPr="00576AF8">
        <w:tab/>
        <w:t>Cuadro Parcial de Costos de Suministro e Instalación</w:t>
      </w:r>
      <w:bookmarkEnd w:id="548"/>
      <w:r w:rsidRPr="00576AF8">
        <w:rPr>
          <w:i/>
        </w:rPr>
        <w:t xml:space="preserve"> [indique: número de </w:t>
      </w:r>
      <w:bookmarkEnd w:id="549"/>
      <w:bookmarkEnd w:id="550"/>
      <w:r w:rsidRPr="00576AF8">
        <w:rPr>
          <w:i/>
        </w:rPr>
        <w:t>identificación]</w:t>
      </w:r>
    </w:p>
    <w:p w14:paraId="58D6FBB8" w14:textId="77777777" w:rsidR="00C85FC3" w:rsidRPr="00576AF8" w:rsidRDefault="00C85FC3" w:rsidP="00C85FC3">
      <w:pPr>
        <w:ind w:right="60"/>
        <w:jc w:val="center"/>
        <w:rPr>
          <w:sz w:val="22"/>
        </w:rPr>
      </w:pPr>
      <w:r w:rsidRPr="00576AF8">
        <w:t xml:space="preserve">Número de rubro: </w:t>
      </w:r>
      <w:r w:rsidRPr="00576AF8">
        <w:rPr>
          <w:i/>
        </w:rPr>
        <w:t xml:space="preserve">[especifique: </w:t>
      </w:r>
      <w:r w:rsidRPr="00576AF8">
        <w:rPr>
          <w:b/>
          <w:i/>
        </w:rPr>
        <w:t>número de rubro pertinente del resumen de los costos de suministro e instalación</w:t>
      </w:r>
      <w:r w:rsidRPr="00576AF8">
        <w:rPr>
          <w:i/>
        </w:rPr>
        <w:t xml:space="preserve"> </w:t>
      </w:r>
      <w:r w:rsidRPr="00576AF8">
        <w:rPr>
          <w:i/>
        </w:rPr>
        <w:br/>
        <w:t>(por ejemplo, 1.1)]</w:t>
      </w:r>
    </w:p>
    <w:p w14:paraId="4A83A87F" w14:textId="77777777" w:rsidR="00C85FC3" w:rsidRPr="00576AF8" w:rsidRDefault="00C85FC3" w:rsidP="00C85FC3">
      <w:pPr>
        <w:ind w:right="60"/>
        <w:jc w:val="center"/>
      </w:pPr>
    </w:p>
    <w:p w14:paraId="37E3E422" w14:textId="77777777" w:rsidR="00C85FC3" w:rsidRPr="00576AF8" w:rsidRDefault="00C85FC3" w:rsidP="00C85FC3">
      <w:pPr>
        <w:spacing w:after="180"/>
        <w:ind w:right="60"/>
        <w:jc w:val="center"/>
      </w:pPr>
      <w:r w:rsidRPr="00576AF8">
        <w:t>Los precios, tarifas y subtotales DEBERÁN estar cotizados de conformidad con las IAL 1</w:t>
      </w:r>
      <w:r w:rsidR="0068225C" w:rsidRPr="00576AF8">
        <w:t>4</w:t>
      </w:r>
      <w:r w:rsidRPr="00576AF8">
        <w:t xml:space="preserve"> y 18.</w:t>
      </w:r>
    </w:p>
    <w:tbl>
      <w:tblPr>
        <w:tblW w:w="13364" w:type="dxa"/>
        <w:tblInd w:w="-3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810"/>
        <w:gridCol w:w="1214"/>
        <w:gridCol w:w="851"/>
        <w:gridCol w:w="567"/>
        <w:gridCol w:w="1134"/>
        <w:gridCol w:w="885"/>
        <w:gridCol w:w="958"/>
        <w:gridCol w:w="931"/>
        <w:gridCol w:w="966"/>
        <w:gridCol w:w="1162"/>
        <w:gridCol w:w="910"/>
        <w:gridCol w:w="966"/>
        <w:gridCol w:w="1018"/>
        <w:gridCol w:w="992"/>
      </w:tblGrid>
      <w:tr w:rsidR="00C85FC3" w:rsidRPr="00576AF8" w14:paraId="6D0FD4FC" w14:textId="77777777" w:rsidTr="00510A60">
        <w:trPr>
          <w:cantSplit/>
          <w:tblHeader/>
        </w:trPr>
        <w:tc>
          <w:tcPr>
            <w:tcW w:w="810" w:type="dxa"/>
            <w:tcBorders>
              <w:top w:val="single" w:sz="6" w:space="0" w:color="808080"/>
            </w:tcBorders>
          </w:tcPr>
          <w:p w14:paraId="3CB3B795" w14:textId="77777777" w:rsidR="00C85FC3" w:rsidRPr="00576AF8" w:rsidRDefault="00C85FC3" w:rsidP="00510A60">
            <w:pPr>
              <w:spacing w:before="100" w:after="100"/>
              <w:jc w:val="center"/>
              <w:outlineLvl w:val="0"/>
              <w:rPr>
                <w:b/>
                <w:sz w:val="20"/>
              </w:rPr>
            </w:pPr>
          </w:p>
        </w:tc>
        <w:tc>
          <w:tcPr>
            <w:tcW w:w="1214" w:type="dxa"/>
            <w:tcBorders>
              <w:top w:val="single" w:sz="6" w:space="0" w:color="808080"/>
            </w:tcBorders>
          </w:tcPr>
          <w:p w14:paraId="559690B1" w14:textId="77777777" w:rsidR="00C85FC3" w:rsidRPr="00576AF8" w:rsidRDefault="00C85FC3" w:rsidP="00510A60">
            <w:pPr>
              <w:spacing w:before="100" w:after="100"/>
              <w:jc w:val="left"/>
              <w:outlineLvl w:val="0"/>
              <w:rPr>
                <w:b/>
                <w:sz w:val="20"/>
              </w:rPr>
            </w:pPr>
          </w:p>
        </w:tc>
        <w:tc>
          <w:tcPr>
            <w:tcW w:w="851" w:type="dxa"/>
            <w:tcBorders>
              <w:top w:val="single" w:sz="6" w:space="0" w:color="808080"/>
            </w:tcBorders>
          </w:tcPr>
          <w:p w14:paraId="0C39ADAC" w14:textId="77777777" w:rsidR="00C85FC3" w:rsidRPr="00576AF8" w:rsidRDefault="00C85FC3" w:rsidP="00510A60">
            <w:pPr>
              <w:spacing w:before="100" w:after="100"/>
              <w:jc w:val="center"/>
              <w:outlineLvl w:val="0"/>
              <w:rPr>
                <w:b/>
                <w:sz w:val="20"/>
              </w:rPr>
            </w:pPr>
          </w:p>
        </w:tc>
        <w:tc>
          <w:tcPr>
            <w:tcW w:w="567" w:type="dxa"/>
            <w:tcBorders>
              <w:top w:val="single" w:sz="6" w:space="0" w:color="808080"/>
            </w:tcBorders>
          </w:tcPr>
          <w:p w14:paraId="1BC84B05" w14:textId="77777777" w:rsidR="00C85FC3" w:rsidRPr="00576AF8" w:rsidRDefault="00C85FC3" w:rsidP="00510A60">
            <w:pPr>
              <w:spacing w:before="100" w:after="100"/>
              <w:jc w:val="center"/>
              <w:outlineLvl w:val="0"/>
              <w:rPr>
                <w:b/>
                <w:sz w:val="20"/>
              </w:rPr>
            </w:pPr>
          </w:p>
        </w:tc>
        <w:tc>
          <w:tcPr>
            <w:tcW w:w="4874" w:type="dxa"/>
            <w:gridSpan w:val="5"/>
            <w:tcBorders>
              <w:top w:val="single" w:sz="6" w:space="0" w:color="808080"/>
            </w:tcBorders>
          </w:tcPr>
          <w:p w14:paraId="6DF2C6BF" w14:textId="77777777" w:rsidR="00C85FC3" w:rsidRPr="00576AF8" w:rsidRDefault="00C85FC3" w:rsidP="00510A60">
            <w:pPr>
              <w:spacing w:before="100" w:after="100"/>
              <w:jc w:val="center"/>
              <w:rPr>
                <w:b/>
                <w:sz w:val="20"/>
              </w:rPr>
            </w:pPr>
            <w:r w:rsidRPr="00576AF8">
              <w:rPr>
                <w:b/>
                <w:sz w:val="20"/>
              </w:rPr>
              <w:t>Precios/Tarifas unitarios</w:t>
            </w:r>
          </w:p>
        </w:tc>
        <w:tc>
          <w:tcPr>
            <w:tcW w:w="5048" w:type="dxa"/>
            <w:gridSpan w:val="5"/>
          </w:tcPr>
          <w:p w14:paraId="15BF759D" w14:textId="77777777" w:rsidR="00C85FC3" w:rsidRPr="00576AF8" w:rsidRDefault="00C85FC3" w:rsidP="00510A60">
            <w:pPr>
              <w:spacing w:before="100" w:after="100"/>
              <w:jc w:val="center"/>
              <w:rPr>
                <w:b/>
                <w:sz w:val="20"/>
              </w:rPr>
            </w:pPr>
            <w:r w:rsidRPr="00576AF8">
              <w:rPr>
                <w:b/>
                <w:sz w:val="20"/>
              </w:rPr>
              <w:t xml:space="preserve">Precios totales </w:t>
            </w:r>
          </w:p>
        </w:tc>
      </w:tr>
      <w:tr w:rsidR="00C85FC3" w:rsidRPr="00576AF8" w14:paraId="68DB1CF0" w14:textId="77777777" w:rsidTr="00510A60">
        <w:trPr>
          <w:cantSplit/>
          <w:tblHeader/>
        </w:trPr>
        <w:tc>
          <w:tcPr>
            <w:tcW w:w="810" w:type="dxa"/>
            <w:tcBorders>
              <w:top w:val="single" w:sz="4" w:space="0" w:color="auto"/>
            </w:tcBorders>
          </w:tcPr>
          <w:p w14:paraId="136AB64B" w14:textId="77777777" w:rsidR="00C85FC3" w:rsidRPr="00576AF8" w:rsidRDefault="00C85FC3" w:rsidP="00510A60">
            <w:pPr>
              <w:spacing w:before="100" w:after="100"/>
              <w:jc w:val="center"/>
              <w:outlineLvl w:val="0"/>
              <w:rPr>
                <w:b/>
                <w:sz w:val="20"/>
              </w:rPr>
            </w:pPr>
          </w:p>
        </w:tc>
        <w:tc>
          <w:tcPr>
            <w:tcW w:w="1214" w:type="dxa"/>
            <w:tcBorders>
              <w:top w:val="single" w:sz="4" w:space="0" w:color="auto"/>
            </w:tcBorders>
          </w:tcPr>
          <w:p w14:paraId="7FE020B3" w14:textId="77777777" w:rsidR="00C85FC3" w:rsidRPr="00576AF8" w:rsidRDefault="00C85FC3" w:rsidP="00510A60">
            <w:pPr>
              <w:spacing w:before="100" w:after="100"/>
              <w:jc w:val="left"/>
              <w:outlineLvl w:val="0"/>
              <w:rPr>
                <w:b/>
                <w:sz w:val="20"/>
              </w:rPr>
            </w:pPr>
          </w:p>
        </w:tc>
        <w:tc>
          <w:tcPr>
            <w:tcW w:w="851" w:type="dxa"/>
            <w:tcBorders>
              <w:top w:val="single" w:sz="4" w:space="0" w:color="auto"/>
            </w:tcBorders>
          </w:tcPr>
          <w:p w14:paraId="545381D7" w14:textId="77777777" w:rsidR="00C85FC3" w:rsidRPr="00576AF8" w:rsidRDefault="00C85FC3" w:rsidP="00510A60">
            <w:pPr>
              <w:spacing w:before="100" w:after="100"/>
              <w:jc w:val="center"/>
              <w:outlineLvl w:val="0"/>
              <w:rPr>
                <w:b/>
                <w:sz w:val="20"/>
              </w:rPr>
            </w:pPr>
          </w:p>
        </w:tc>
        <w:tc>
          <w:tcPr>
            <w:tcW w:w="567" w:type="dxa"/>
            <w:tcBorders>
              <w:top w:val="single" w:sz="4" w:space="0" w:color="auto"/>
            </w:tcBorders>
          </w:tcPr>
          <w:p w14:paraId="22A8F70A" w14:textId="77777777" w:rsidR="00C85FC3" w:rsidRPr="00576AF8" w:rsidRDefault="00C85FC3" w:rsidP="00510A60">
            <w:pPr>
              <w:spacing w:before="100" w:after="100"/>
              <w:jc w:val="center"/>
              <w:outlineLvl w:val="0"/>
              <w:rPr>
                <w:b/>
                <w:sz w:val="20"/>
              </w:rPr>
            </w:pPr>
          </w:p>
        </w:tc>
        <w:tc>
          <w:tcPr>
            <w:tcW w:w="1134" w:type="dxa"/>
          </w:tcPr>
          <w:p w14:paraId="4719FD9E" w14:textId="77777777" w:rsidR="00C85FC3" w:rsidRPr="00576AF8" w:rsidRDefault="00C85FC3" w:rsidP="00510A60">
            <w:pPr>
              <w:spacing w:before="100" w:after="100"/>
              <w:jc w:val="center"/>
              <w:rPr>
                <w:b/>
                <w:sz w:val="20"/>
              </w:rPr>
            </w:pPr>
            <w:r w:rsidRPr="00576AF8">
              <w:rPr>
                <w:b/>
                <w:sz w:val="20"/>
              </w:rPr>
              <w:t xml:space="preserve">Artículos suminis-trados desde el país del Comprador </w:t>
            </w:r>
          </w:p>
        </w:tc>
        <w:tc>
          <w:tcPr>
            <w:tcW w:w="3740" w:type="dxa"/>
            <w:gridSpan w:val="4"/>
          </w:tcPr>
          <w:p w14:paraId="4B237F13" w14:textId="77777777" w:rsidR="00C85FC3" w:rsidRPr="00576AF8" w:rsidRDefault="00C85FC3" w:rsidP="00510A60">
            <w:pPr>
              <w:spacing w:before="100" w:after="100"/>
              <w:jc w:val="center"/>
              <w:rPr>
                <w:b/>
                <w:sz w:val="20"/>
              </w:rPr>
            </w:pPr>
            <w:r w:rsidRPr="00576AF8">
              <w:rPr>
                <w:b/>
                <w:sz w:val="20"/>
              </w:rPr>
              <w:t>Artículos suministrados desde un país que no sea el del Comprador</w:t>
            </w:r>
          </w:p>
        </w:tc>
        <w:tc>
          <w:tcPr>
            <w:tcW w:w="1162" w:type="dxa"/>
          </w:tcPr>
          <w:p w14:paraId="2BCECC3A" w14:textId="77777777" w:rsidR="00C85FC3" w:rsidRPr="00576AF8" w:rsidRDefault="00C85FC3" w:rsidP="00510A60">
            <w:pPr>
              <w:spacing w:before="100" w:after="100"/>
              <w:jc w:val="center"/>
              <w:rPr>
                <w:b/>
                <w:sz w:val="20"/>
              </w:rPr>
            </w:pPr>
            <w:r w:rsidRPr="00576AF8">
              <w:rPr>
                <w:b/>
                <w:sz w:val="20"/>
              </w:rPr>
              <w:t>Artículos suminis-trados desde el país del Comprador</w:t>
            </w:r>
          </w:p>
        </w:tc>
        <w:tc>
          <w:tcPr>
            <w:tcW w:w="3886" w:type="dxa"/>
            <w:gridSpan w:val="4"/>
          </w:tcPr>
          <w:p w14:paraId="377D9C1F" w14:textId="77777777" w:rsidR="00C85FC3" w:rsidRPr="00576AF8" w:rsidRDefault="00C85FC3" w:rsidP="00510A60">
            <w:pPr>
              <w:spacing w:before="100" w:after="100"/>
              <w:jc w:val="center"/>
              <w:rPr>
                <w:b/>
                <w:sz w:val="20"/>
              </w:rPr>
            </w:pPr>
            <w:r w:rsidRPr="00576AF8">
              <w:rPr>
                <w:b/>
                <w:sz w:val="20"/>
              </w:rPr>
              <w:t>Artículos suministrados desde un país que no sea el del Comprador</w:t>
            </w:r>
          </w:p>
        </w:tc>
      </w:tr>
      <w:tr w:rsidR="00C85FC3" w:rsidRPr="00576AF8" w14:paraId="17800E1B" w14:textId="77777777" w:rsidTr="00510A60">
        <w:trPr>
          <w:cantSplit/>
          <w:tblHeader/>
        </w:trPr>
        <w:tc>
          <w:tcPr>
            <w:tcW w:w="810" w:type="dxa"/>
          </w:tcPr>
          <w:p w14:paraId="38F20E8F" w14:textId="77777777" w:rsidR="00C85FC3" w:rsidRPr="00576AF8" w:rsidRDefault="00C85FC3" w:rsidP="00510A60">
            <w:pPr>
              <w:spacing w:after="0"/>
              <w:jc w:val="center"/>
              <w:rPr>
                <w:b/>
                <w:sz w:val="20"/>
              </w:rPr>
            </w:pPr>
            <w:r w:rsidRPr="00576AF8">
              <w:rPr>
                <w:b/>
                <w:sz w:val="20"/>
              </w:rPr>
              <w:t>Compo</w:t>
            </w:r>
            <w:r w:rsidRPr="00576AF8">
              <w:rPr>
                <w:sz w:val="20"/>
              </w:rPr>
              <w:softHyphen/>
            </w:r>
            <w:r w:rsidRPr="00576AF8">
              <w:rPr>
                <w:b/>
                <w:sz w:val="20"/>
              </w:rPr>
              <w:t>nente n.º</w:t>
            </w:r>
          </w:p>
        </w:tc>
        <w:tc>
          <w:tcPr>
            <w:tcW w:w="1214" w:type="dxa"/>
          </w:tcPr>
          <w:p w14:paraId="392568F4" w14:textId="77777777" w:rsidR="00C85FC3" w:rsidRPr="00576AF8" w:rsidRDefault="00C85FC3" w:rsidP="00510A60">
            <w:pPr>
              <w:spacing w:after="0"/>
              <w:ind w:left="-65"/>
              <w:jc w:val="center"/>
              <w:rPr>
                <w:b/>
                <w:sz w:val="20"/>
              </w:rPr>
            </w:pPr>
            <w:r w:rsidRPr="00576AF8">
              <w:rPr>
                <w:b/>
                <w:sz w:val="20"/>
              </w:rPr>
              <w:t>Descripción del componente</w:t>
            </w:r>
          </w:p>
        </w:tc>
        <w:tc>
          <w:tcPr>
            <w:tcW w:w="851" w:type="dxa"/>
          </w:tcPr>
          <w:p w14:paraId="6B382CC8" w14:textId="77777777" w:rsidR="00C85FC3" w:rsidRPr="00576AF8" w:rsidRDefault="00C85FC3" w:rsidP="00510A60">
            <w:pPr>
              <w:spacing w:after="0"/>
              <w:ind w:left="-29"/>
              <w:jc w:val="center"/>
              <w:rPr>
                <w:b/>
                <w:sz w:val="20"/>
              </w:rPr>
            </w:pPr>
            <w:r w:rsidRPr="00576AF8">
              <w:rPr>
                <w:b/>
                <w:sz w:val="20"/>
              </w:rPr>
              <w:t>Código del país de origen</w:t>
            </w:r>
          </w:p>
        </w:tc>
        <w:tc>
          <w:tcPr>
            <w:tcW w:w="567" w:type="dxa"/>
          </w:tcPr>
          <w:p w14:paraId="651AF42F" w14:textId="77777777" w:rsidR="00C85FC3" w:rsidRPr="00576AF8" w:rsidRDefault="00C85FC3" w:rsidP="00510A60">
            <w:pPr>
              <w:spacing w:after="0"/>
              <w:jc w:val="center"/>
              <w:rPr>
                <w:b/>
                <w:spacing w:val="-14"/>
                <w:sz w:val="20"/>
              </w:rPr>
            </w:pPr>
            <w:r w:rsidRPr="00576AF8">
              <w:rPr>
                <w:b/>
                <w:spacing w:val="-14"/>
                <w:sz w:val="20"/>
              </w:rPr>
              <w:t>Canti-dad</w:t>
            </w:r>
          </w:p>
        </w:tc>
        <w:tc>
          <w:tcPr>
            <w:tcW w:w="1134" w:type="dxa"/>
          </w:tcPr>
          <w:p w14:paraId="56168EE8" w14:textId="77777777" w:rsidR="00C85FC3" w:rsidRPr="00576AF8" w:rsidRDefault="00C85FC3" w:rsidP="00510A60">
            <w:pPr>
              <w:spacing w:before="120" w:after="0"/>
              <w:ind w:left="108"/>
              <w:jc w:val="center"/>
              <w:rPr>
                <w:b/>
                <w:i/>
                <w:sz w:val="20"/>
              </w:rPr>
            </w:pPr>
            <w:r w:rsidRPr="00576AF8">
              <w:rPr>
                <w:b/>
                <w:i/>
                <w:sz w:val="20"/>
              </w:rPr>
              <w:t>[</w:t>
            </w:r>
            <w:r w:rsidRPr="00576AF8">
              <w:rPr>
                <w:i/>
                <w:sz w:val="20"/>
              </w:rPr>
              <w:t>Indique:</w:t>
            </w:r>
            <w:r w:rsidRPr="00576AF8">
              <w:rPr>
                <w:b/>
                <w:i/>
                <w:sz w:val="20"/>
              </w:rPr>
              <w:t xml:space="preserve"> moneda nacional]</w:t>
            </w:r>
          </w:p>
        </w:tc>
        <w:tc>
          <w:tcPr>
            <w:tcW w:w="885" w:type="dxa"/>
          </w:tcPr>
          <w:p w14:paraId="3A754056" w14:textId="77777777" w:rsidR="00C85FC3" w:rsidRPr="00576AF8" w:rsidRDefault="00C85FC3" w:rsidP="00510A60">
            <w:pPr>
              <w:spacing w:before="120" w:after="0"/>
              <w:jc w:val="center"/>
              <w:rPr>
                <w:b/>
                <w:i/>
                <w:sz w:val="20"/>
              </w:rPr>
            </w:pPr>
            <w:r w:rsidRPr="00576AF8">
              <w:rPr>
                <w:b/>
                <w:i/>
                <w:sz w:val="20"/>
              </w:rPr>
              <w:t>[Indique: moneda nacional]</w:t>
            </w:r>
          </w:p>
        </w:tc>
        <w:tc>
          <w:tcPr>
            <w:tcW w:w="958" w:type="dxa"/>
          </w:tcPr>
          <w:p w14:paraId="3F31E5DB" w14:textId="77777777" w:rsidR="00C85FC3" w:rsidRPr="00576AF8" w:rsidRDefault="00C85FC3" w:rsidP="00510A60">
            <w:pPr>
              <w:spacing w:before="120" w:after="0"/>
              <w:jc w:val="center"/>
              <w:rPr>
                <w:b/>
                <w:i/>
                <w:sz w:val="20"/>
              </w:rPr>
            </w:pPr>
            <w:r w:rsidRPr="00576AF8">
              <w:rPr>
                <w:b/>
                <w:i/>
                <w:sz w:val="20"/>
              </w:rPr>
              <w:t>[Indique: moneda extranjera A]</w:t>
            </w:r>
          </w:p>
        </w:tc>
        <w:tc>
          <w:tcPr>
            <w:tcW w:w="931" w:type="dxa"/>
          </w:tcPr>
          <w:p w14:paraId="784BC863" w14:textId="77777777" w:rsidR="00C85FC3" w:rsidRPr="00576AF8" w:rsidRDefault="00C85FC3" w:rsidP="00510A60">
            <w:pPr>
              <w:spacing w:before="120" w:after="0"/>
              <w:jc w:val="center"/>
              <w:rPr>
                <w:b/>
                <w:i/>
                <w:sz w:val="20"/>
              </w:rPr>
            </w:pPr>
            <w:r w:rsidRPr="00576AF8">
              <w:rPr>
                <w:b/>
                <w:i/>
                <w:sz w:val="20"/>
              </w:rPr>
              <w:t>[Indique: moneda extranjera B]</w:t>
            </w:r>
          </w:p>
        </w:tc>
        <w:tc>
          <w:tcPr>
            <w:tcW w:w="966" w:type="dxa"/>
          </w:tcPr>
          <w:p w14:paraId="0E538943" w14:textId="77777777" w:rsidR="00C85FC3" w:rsidRPr="00576AF8" w:rsidRDefault="00C85FC3" w:rsidP="00510A60">
            <w:pPr>
              <w:spacing w:before="120" w:after="0"/>
              <w:jc w:val="center"/>
              <w:rPr>
                <w:b/>
                <w:i/>
                <w:sz w:val="20"/>
              </w:rPr>
            </w:pPr>
            <w:r w:rsidRPr="00576AF8">
              <w:rPr>
                <w:b/>
                <w:i/>
                <w:sz w:val="20"/>
              </w:rPr>
              <w:t>[Indique: moneda extranjera C]</w:t>
            </w:r>
          </w:p>
        </w:tc>
        <w:tc>
          <w:tcPr>
            <w:tcW w:w="1162" w:type="dxa"/>
          </w:tcPr>
          <w:p w14:paraId="35C5763B" w14:textId="77777777" w:rsidR="00C85FC3" w:rsidRPr="00576AF8" w:rsidRDefault="00C85FC3" w:rsidP="00510A60">
            <w:pPr>
              <w:spacing w:before="120" w:after="0"/>
              <w:jc w:val="center"/>
              <w:rPr>
                <w:b/>
                <w:i/>
                <w:sz w:val="20"/>
              </w:rPr>
            </w:pPr>
            <w:r w:rsidRPr="00576AF8">
              <w:rPr>
                <w:b/>
                <w:i/>
                <w:sz w:val="20"/>
              </w:rPr>
              <w:t>[Indique: moneda nacional]</w:t>
            </w:r>
          </w:p>
        </w:tc>
        <w:tc>
          <w:tcPr>
            <w:tcW w:w="910" w:type="dxa"/>
          </w:tcPr>
          <w:p w14:paraId="73557352" w14:textId="77777777" w:rsidR="00C85FC3" w:rsidRPr="00576AF8" w:rsidRDefault="00C85FC3" w:rsidP="00510A60">
            <w:pPr>
              <w:spacing w:before="120" w:after="0"/>
              <w:jc w:val="center"/>
              <w:rPr>
                <w:b/>
                <w:i/>
                <w:sz w:val="20"/>
              </w:rPr>
            </w:pPr>
            <w:r w:rsidRPr="00576AF8">
              <w:rPr>
                <w:b/>
                <w:i/>
                <w:sz w:val="20"/>
              </w:rPr>
              <w:t>[Indique: moneda nacional]</w:t>
            </w:r>
          </w:p>
        </w:tc>
        <w:tc>
          <w:tcPr>
            <w:tcW w:w="966" w:type="dxa"/>
          </w:tcPr>
          <w:p w14:paraId="30361257" w14:textId="77777777" w:rsidR="00C85FC3" w:rsidRPr="00576AF8" w:rsidRDefault="00C85FC3" w:rsidP="00510A60">
            <w:pPr>
              <w:spacing w:before="120" w:after="0"/>
              <w:jc w:val="center"/>
              <w:rPr>
                <w:b/>
                <w:i/>
                <w:sz w:val="20"/>
              </w:rPr>
            </w:pPr>
            <w:r w:rsidRPr="00576AF8">
              <w:rPr>
                <w:b/>
                <w:i/>
                <w:sz w:val="20"/>
              </w:rPr>
              <w:t>[Indique: moneda extranjera A]</w:t>
            </w:r>
          </w:p>
        </w:tc>
        <w:tc>
          <w:tcPr>
            <w:tcW w:w="1018" w:type="dxa"/>
          </w:tcPr>
          <w:p w14:paraId="256A6FB2" w14:textId="77777777" w:rsidR="00C85FC3" w:rsidRPr="00576AF8" w:rsidRDefault="00C85FC3" w:rsidP="00510A60">
            <w:pPr>
              <w:spacing w:before="120" w:after="0"/>
              <w:ind w:left="-8"/>
              <w:jc w:val="center"/>
              <w:rPr>
                <w:b/>
                <w:i/>
                <w:sz w:val="20"/>
              </w:rPr>
            </w:pPr>
            <w:r w:rsidRPr="00576AF8">
              <w:rPr>
                <w:b/>
                <w:i/>
                <w:sz w:val="20"/>
              </w:rPr>
              <w:t>[Indique: moneda extranjera B]</w:t>
            </w:r>
          </w:p>
        </w:tc>
        <w:tc>
          <w:tcPr>
            <w:tcW w:w="992" w:type="dxa"/>
          </w:tcPr>
          <w:p w14:paraId="7F4BBC34" w14:textId="77777777" w:rsidR="00C85FC3" w:rsidRPr="00576AF8" w:rsidRDefault="00C85FC3" w:rsidP="00510A60">
            <w:pPr>
              <w:spacing w:before="120" w:after="0"/>
              <w:ind w:left="-8"/>
              <w:jc w:val="center"/>
              <w:rPr>
                <w:b/>
                <w:i/>
                <w:sz w:val="20"/>
              </w:rPr>
            </w:pPr>
            <w:r w:rsidRPr="00576AF8">
              <w:rPr>
                <w:b/>
                <w:i/>
                <w:sz w:val="20"/>
              </w:rPr>
              <w:t>[Indique: moneda extranjera C]</w:t>
            </w:r>
          </w:p>
        </w:tc>
      </w:tr>
      <w:tr w:rsidR="00C85FC3" w:rsidRPr="00576AF8" w14:paraId="28B17F1A" w14:textId="77777777" w:rsidTr="00510A60">
        <w:trPr>
          <w:cantSplit/>
          <w:trHeight w:hRule="exact" w:val="171"/>
          <w:tblHeader/>
        </w:trPr>
        <w:tc>
          <w:tcPr>
            <w:tcW w:w="810" w:type="dxa"/>
          </w:tcPr>
          <w:p w14:paraId="26A9D4FD" w14:textId="77777777" w:rsidR="00C85FC3" w:rsidRPr="00576AF8" w:rsidRDefault="00C85FC3" w:rsidP="00510A60">
            <w:pPr>
              <w:spacing w:before="100" w:after="100"/>
              <w:jc w:val="center"/>
              <w:rPr>
                <w:sz w:val="20"/>
              </w:rPr>
            </w:pPr>
          </w:p>
        </w:tc>
        <w:tc>
          <w:tcPr>
            <w:tcW w:w="1214" w:type="dxa"/>
          </w:tcPr>
          <w:p w14:paraId="5C5CA3B5" w14:textId="77777777" w:rsidR="00C85FC3" w:rsidRPr="00576AF8" w:rsidRDefault="00C85FC3" w:rsidP="00510A60">
            <w:pPr>
              <w:spacing w:before="100" w:after="100"/>
              <w:jc w:val="left"/>
              <w:rPr>
                <w:sz w:val="20"/>
              </w:rPr>
            </w:pPr>
          </w:p>
        </w:tc>
        <w:tc>
          <w:tcPr>
            <w:tcW w:w="851" w:type="dxa"/>
          </w:tcPr>
          <w:p w14:paraId="690140A0" w14:textId="77777777" w:rsidR="00C85FC3" w:rsidRPr="00576AF8" w:rsidRDefault="00C85FC3" w:rsidP="00510A60">
            <w:pPr>
              <w:spacing w:before="100" w:after="100"/>
              <w:jc w:val="center"/>
              <w:rPr>
                <w:sz w:val="20"/>
              </w:rPr>
            </w:pPr>
          </w:p>
        </w:tc>
        <w:tc>
          <w:tcPr>
            <w:tcW w:w="567" w:type="dxa"/>
          </w:tcPr>
          <w:p w14:paraId="70192D36" w14:textId="77777777" w:rsidR="00C85FC3" w:rsidRPr="00576AF8" w:rsidRDefault="00C85FC3" w:rsidP="00510A60">
            <w:pPr>
              <w:spacing w:before="100" w:after="100"/>
              <w:jc w:val="center"/>
              <w:rPr>
                <w:sz w:val="20"/>
              </w:rPr>
            </w:pPr>
          </w:p>
        </w:tc>
        <w:tc>
          <w:tcPr>
            <w:tcW w:w="1134" w:type="dxa"/>
          </w:tcPr>
          <w:p w14:paraId="10E870D3" w14:textId="77777777" w:rsidR="00C85FC3" w:rsidRPr="00576AF8" w:rsidRDefault="00C85FC3" w:rsidP="00510A60">
            <w:pPr>
              <w:spacing w:before="100" w:after="100"/>
              <w:jc w:val="center"/>
              <w:rPr>
                <w:sz w:val="20"/>
              </w:rPr>
            </w:pPr>
          </w:p>
        </w:tc>
        <w:tc>
          <w:tcPr>
            <w:tcW w:w="885" w:type="dxa"/>
          </w:tcPr>
          <w:p w14:paraId="403CFA09" w14:textId="77777777" w:rsidR="00C85FC3" w:rsidRPr="00576AF8" w:rsidRDefault="00C85FC3" w:rsidP="00510A60">
            <w:pPr>
              <w:spacing w:before="100" w:after="100"/>
              <w:jc w:val="center"/>
              <w:rPr>
                <w:sz w:val="20"/>
              </w:rPr>
            </w:pPr>
          </w:p>
        </w:tc>
        <w:tc>
          <w:tcPr>
            <w:tcW w:w="958" w:type="dxa"/>
          </w:tcPr>
          <w:p w14:paraId="7E510BA0" w14:textId="77777777" w:rsidR="00C85FC3" w:rsidRPr="00576AF8" w:rsidRDefault="00C85FC3" w:rsidP="00510A60">
            <w:pPr>
              <w:spacing w:before="100" w:after="100"/>
              <w:jc w:val="center"/>
              <w:rPr>
                <w:sz w:val="20"/>
              </w:rPr>
            </w:pPr>
          </w:p>
        </w:tc>
        <w:tc>
          <w:tcPr>
            <w:tcW w:w="931" w:type="dxa"/>
          </w:tcPr>
          <w:p w14:paraId="0637E999" w14:textId="77777777" w:rsidR="00C85FC3" w:rsidRPr="00576AF8" w:rsidRDefault="00C85FC3" w:rsidP="00510A60">
            <w:pPr>
              <w:spacing w:before="100" w:after="100"/>
              <w:jc w:val="center"/>
              <w:rPr>
                <w:sz w:val="20"/>
              </w:rPr>
            </w:pPr>
          </w:p>
        </w:tc>
        <w:tc>
          <w:tcPr>
            <w:tcW w:w="966" w:type="dxa"/>
          </w:tcPr>
          <w:p w14:paraId="2A09386C" w14:textId="77777777" w:rsidR="00C85FC3" w:rsidRPr="00576AF8" w:rsidRDefault="00C85FC3" w:rsidP="00510A60">
            <w:pPr>
              <w:spacing w:before="100" w:after="100"/>
              <w:jc w:val="center"/>
              <w:rPr>
                <w:sz w:val="20"/>
              </w:rPr>
            </w:pPr>
          </w:p>
        </w:tc>
        <w:tc>
          <w:tcPr>
            <w:tcW w:w="1162" w:type="dxa"/>
          </w:tcPr>
          <w:p w14:paraId="3EC656A9" w14:textId="77777777" w:rsidR="00C85FC3" w:rsidRPr="00576AF8" w:rsidRDefault="00C85FC3" w:rsidP="00510A60">
            <w:pPr>
              <w:spacing w:before="100" w:after="100"/>
              <w:jc w:val="center"/>
              <w:rPr>
                <w:sz w:val="20"/>
              </w:rPr>
            </w:pPr>
          </w:p>
        </w:tc>
        <w:tc>
          <w:tcPr>
            <w:tcW w:w="910" w:type="dxa"/>
          </w:tcPr>
          <w:p w14:paraId="59F7598D" w14:textId="77777777" w:rsidR="00C85FC3" w:rsidRPr="00576AF8" w:rsidRDefault="00C85FC3" w:rsidP="00510A60">
            <w:pPr>
              <w:spacing w:before="100" w:after="100"/>
              <w:jc w:val="center"/>
              <w:rPr>
                <w:sz w:val="20"/>
              </w:rPr>
            </w:pPr>
          </w:p>
        </w:tc>
        <w:tc>
          <w:tcPr>
            <w:tcW w:w="966" w:type="dxa"/>
          </w:tcPr>
          <w:p w14:paraId="01334CFE" w14:textId="77777777" w:rsidR="00C85FC3" w:rsidRPr="00576AF8" w:rsidRDefault="00C85FC3" w:rsidP="00510A60">
            <w:pPr>
              <w:spacing w:before="100" w:after="100"/>
              <w:jc w:val="center"/>
              <w:rPr>
                <w:sz w:val="20"/>
              </w:rPr>
            </w:pPr>
          </w:p>
        </w:tc>
        <w:tc>
          <w:tcPr>
            <w:tcW w:w="1018" w:type="dxa"/>
          </w:tcPr>
          <w:p w14:paraId="281D6CCA" w14:textId="77777777" w:rsidR="00C85FC3" w:rsidRPr="00576AF8" w:rsidRDefault="00C85FC3" w:rsidP="00510A60">
            <w:pPr>
              <w:spacing w:before="100" w:after="100"/>
              <w:jc w:val="center"/>
              <w:rPr>
                <w:sz w:val="20"/>
              </w:rPr>
            </w:pPr>
          </w:p>
        </w:tc>
        <w:tc>
          <w:tcPr>
            <w:tcW w:w="992" w:type="dxa"/>
          </w:tcPr>
          <w:p w14:paraId="0BE343EC" w14:textId="77777777" w:rsidR="00C85FC3" w:rsidRPr="00576AF8" w:rsidRDefault="00C85FC3" w:rsidP="00510A60">
            <w:pPr>
              <w:spacing w:before="100" w:after="100"/>
              <w:jc w:val="center"/>
              <w:rPr>
                <w:sz w:val="20"/>
              </w:rPr>
            </w:pPr>
          </w:p>
        </w:tc>
      </w:tr>
      <w:tr w:rsidR="00C85FC3" w:rsidRPr="00576AF8" w14:paraId="7814EB5C" w14:textId="77777777" w:rsidTr="00510A60">
        <w:trPr>
          <w:cantSplit/>
        </w:trPr>
        <w:tc>
          <w:tcPr>
            <w:tcW w:w="810" w:type="dxa"/>
          </w:tcPr>
          <w:p w14:paraId="3C65D9C8" w14:textId="77777777" w:rsidR="00C85FC3" w:rsidRPr="00576AF8" w:rsidRDefault="00C85FC3" w:rsidP="00510A60">
            <w:pPr>
              <w:spacing w:before="100" w:after="100"/>
              <w:jc w:val="left"/>
              <w:rPr>
                <w:sz w:val="20"/>
              </w:rPr>
            </w:pPr>
            <w:r w:rsidRPr="00576AF8">
              <w:rPr>
                <w:sz w:val="20"/>
              </w:rPr>
              <w:t>X.1</w:t>
            </w:r>
          </w:p>
        </w:tc>
        <w:tc>
          <w:tcPr>
            <w:tcW w:w="1214" w:type="dxa"/>
          </w:tcPr>
          <w:p w14:paraId="2A609ADF" w14:textId="77777777" w:rsidR="00C85FC3" w:rsidRPr="00576AF8" w:rsidRDefault="00C85FC3" w:rsidP="00510A60">
            <w:pPr>
              <w:spacing w:before="100" w:after="100"/>
              <w:ind w:left="36"/>
              <w:jc w:val="left"/>
              <w:rPr>
                <w:sz w:val="20"/>
              </w:rPr>
            </w:pPr>
            <w:r w:rsidRPr="00576AF8">
              <w:rPr>
                <w:sz w:val="20"/>
              </w:rPr>
              <w:t>____</w:t>
            </w:r>
          </w:p>
        </w:tc>
        <w:tc>
          <w:tcPr>
            <w:tcW w:w="851" w:type="dxa"/>
          </w:tcPr>
          <w:p w14:paraId="57222AA3" w14:textId="77777777" w:rsidR="00C85FC3" w:rsidRPr="00576AF8" w:rsidRDefault="00C85FC3" w:rsidP="00510A60">
            <w:pPr>
              <w:spacing w:before="100" w:after="100"/>
              <w:ind w:left="36"/>
              <w:jc w:val="center"/>
              <w:rPr>
                <w:sz w:val="20"/>
              </w:rPr>
            </w:pPr>
            <w:r w:rsidRPr="00576AF8">
              <w:rPr>
                <w:sz w:val="20"/>
              </w:rPr>
              <w:t>- -</w:t>
            </w:r>
          </w:p>
        </w:tc>
        <w:tc>
          <w:tcPr>
            <w:tcW w:w="567" w:type="dxa"/>
          </w:tcPr>
          <w:p w14:paraId="54CA8FF2" w14:textId="77777777" w:rsidR="00C85FC3" w:rsidRPr="00576AF8" w:rsidRDefault="00C85FC3" w:rsidP="00510A60">
            <w:pPr>
              <w:spacing w:before="100" w:after="100"/>
              <w:ind w:left="36"/>
              <w:jc w:val="center"/>
              <w:rPr>
                <w:sz w:val="20"/>
              </w:rPr>
            </w:pPr>
            <w:r w:rsidRPr="00576AF8">
              <w:rPr>
                <w:sz w:val="20"/>
              </w:rPr>
              <w:t>- -</w:t>
            </w:r>
          </w:p>
        </w:tc>
        <w:tc>
          <w:tcPr>
            <w:tcW w:w="1134" w:type="dxa"/>
          </w:tcPr>
          <w:p w14:paraId="7A0123DB" w14:textId="77777777" w:rsidR="00C85FC3" w:rsidRPr="00576AF8" w:rsidRDefault="00C85FC3" w:rsidP="00510A60">
            <w:pPr>
              <w:spacing w:before="100" w:after="100"/>
              <w:ind w:left="36"/>
              <w:jc w:val="center"/>
              <w:rPr>
                <w:sz w:val="20"/>
              </w:rPr>
            </w:pPr>
            <w:r w:rsidRPr="00576AF8">
              <w:rPr>
                <w:sz w:val="20"/>
              </w:rPr>
              <w:t>- -</w:t>
            </w:r>
          </w:p>
        </w:tc>
        <w:tc>
          <w:tcPr>
            <w:tcW w:w="885" w:type="dxa"/>
          </w:tcPr>
          <w:p w14:paraId="18C98CCF" w14:textId="77777777" w:rsidR="00C85FC3" w:rsidRPr="00576AF8" w:rsidRDefault="00C85FC3" w:rsidP="00510A60">
            <w:pPr>
              <w:spacing w:before="100" w:after="100"/>
              <w:ind w:left="36"/>
              <w:jc w:val="center"/>
              <w:rPr>
                <w:sz w:val="20"/>
              </w:rPr>
            </w:pPr>
            <w:r w:rsidRPr="00576AF8">
              <w:rPr>
                <w:sz w:val="20"/>
              </w:rPr>
              <w:t>- -</w:t>
            </w:r>
          </w:p>
        </w:tc>
        <w:tc>
          <w:tcPr>
            <w:tcW w:w="958" w:type="dxa"/>
          </w:tcPr>
          <w:p w14:paraId="072BAB9B" w14:textId="77777777" w:rsidR="00C85FC3" w:rsidRPr="00576AF8" w:rsidRDefault="00C85FC3" w:rsidP="00510A60">
            <w:pPr>
              <w:spacing w:before="100" w:after="100"/>
              <w:ind w:left="36"/>
              <w:jc w:val="center"/>
              <w:rPr>
                <w:sz w:val="20"/>
              </w:rPr>
            </w:pPr>
            <w:r w:rsidRPr="00576AF8">
              <w:rPr>
                <w:sz w:val="20"/>
              </w:rPr>
              <w:t>- -</w:t>
            </w:r>
          </w:p>
        </w:tc>
        <w:tc>
          <w:tcPr>
            <w:tcW w:w="931" w:type="dxa"/>
          </w:tcPr>
          <w:p w14:paraId="31631AF2" w14:textId="77777777" w:rsidR="00C85FC3" w:rsidRPr="00576AF8" w:rsidRDefault="00C85FC3" w:rsidP="00510A60">
            <w:pPr>
              <w:spacing w:before="100" w:after="100"/>
              <w:ind w:left="36"/>
              <w:jc w:val="center"/>
              <w:rPr>
                <w:sz w:val="20"/>
              </w:rPr>
            </w:pPr>
            <w:r w:rsidRPr="00576AF8">
              <w:rPr>
                <w:sz w:val="20"/>
              </w:rPr>
              <w:t>- -</w:t>
            </w:r>
          </w:p>
        </w:tc>
        <w:tc>
          <w:tcPr>
            <w:tcW w:w="966" w:type="dxa"/>
          </w:tcPr>
          <w:p w14:paraId="420D9440" w14:textId="77777777" w:rsidR="00C85FC3" w:rsidRPr="00576AF8" w:rsidRDefault="00C85FC3" w:rsidP="00510A60">
            <w:pPr>
              <w:spacing w:before="100" w:after="100"/>
              <w:ind w:left="36"/>
              <w:jc w:val="center"/>
              <w:rPr>
                <w:sz w:val="20"/>
              </w:rPr>
            </w:pPr>
            <w:r w:rsidRPr="00576AF8">
              <w:rPr>
                <w:sz w:val="20"/>
              </w:rPr>
              <w:t>- -</w:t>
            </w:r>
          </w:p>
        </w:tc>
        <w:tc>
          <w:tcPr>
            <w:tcW w:w="1162" w:type="dxa"/>
          </w:tcPr>
          <w:p w14:paraId="1DFD2907" w14:textId="77777777" w:rsidR="00C85FC3" w:rsidRPr="00576AF8" w:rsidRDefault="00C85FC3" w:rsidP="00510A60">
            <w:pPr>
              <w:spacing w:before="100" w:after="100"/>
              <w:ind w:left="36"/>
              <w:jc w:val="center"/>
              <w:outlineLvl w:val="0"/>
              <w:rPr>
                <w:sz w:val="20"/>
              </w:rPr>
            </w:pPr>
          </w:p>
        </w:tc>
        <w:tc>
          <w:tcPr>
            <w:tcW w:w="910" w:type="dxa"/>
          </w:tcPr>
          <w:p w14:paraId="141BB9DA" w14:textId="77777777" w:rsidR="00C85FC3" w:rsidRPr="00576AF8" w:rsidRDefault="00C85FC3" w:rsidP="00510A60">
            <w:pPr>
              <w:spacing w:before="100" w:after="100"/>
              <w:jc w:val="center"/>
              <w:outlineLvl w:val="0"/>
              <w:rPr>
                <w:sz w:val="20"/>
              </w:rPr>
            </w:pPr>
          </w:p>
        </w:tc>
        <w:tc>
          <w:tcPr>
            <w:tcW w:w="966" w:type="dxa"/>
          </w:tcPr>
          <w:p w14:paraId="06B59E8A" w14:textId="77777777" w:rsidR="00C85FC3" w:rsidRPr="00576AF8" w:rsidRDefault="00C85FC3" w:rsidP="00510A60">
            <w:pPr>
              <w:spacing w:before="100" w:after="100"/>
              <w:jc w:val="center"/>
              <w:outlineLvl w:val="0"/>
              <w:rPr>
                <w:sz w:val="20"/>
              </w:rPr>
            </w:pPr>
          </w:p>
        </w:tc>
        <w:tc>
          <w:tcPr>
            <w:tcW w:w="1018" w:type="dxa"/>
          </w:tcPr>
          <w:p w14:paraId="008FCC68" w14:textId="77777777" w:rsidR="00C85FC3" w:rsidRPr="00576AF8" w:rsidRDefault="00C85FC3" w:rsidP="00510A60">
            <w:pPr>
              <w:spacing w:before="100" w:after="100"/>
              <w:jc w:val="center"/>
              <w:outlineLvl w:val="0"/>
              <w:rPr>
                <w:sz w:val="20"/>
              </w:rPr>
            </w:pPr>
          </w:p>
        </w:tc>
        <w:tc>
          <w:tcPr>
            <w:tcW w:w="992" w:type="dxa"/>
          </w:tcPr>
          <w:p w14:paraId="27A17512" w14:textId="77777777" w:rsidR="00C85FC3" w:rsidRPr="00576AF8" w:rsidRDefault="00C85FC3" w:rsidP="00510A60">
            <w:pPr>
              <w:spacing w:before="100" w:after="100"/>
              <w:jc w:val="center"/>
              <w:outlineLvl w:val="0"/>
              <w:rPr>
                <w:sz w:val="20"/>
              </w:rPr>
            </w:pPr>
          </w:p>
        </w:tc>
      </w:tr>
      <w:tr w:rsidR="00C85FC3" w:rsidRPr="00576AF8" w14:paraId="7CE5A6DE" w14:textId="77777777" w:rsidTr="00510A60">
        <w:trPr>
          <w:cantSplit/>
        </w:trPr>
        <w:tc>
          <w:tcPr>
            <w:tcW w:w="810" w:type="dxa"/>
          </w:tcPr>
          <w:p w14:paraId="55961A20" w14:textId="77777777" w:rsidR="00C85FC3" w:rsidRPr="00576AF8" w:rsidRDefault="00C85FC3" w:rsidP="00510A60">
            <w:pPr>
              <w:spacing w:before="100" w:after="100"/>
              <w:jc w:val="left"/>
              <w:rPr>
                <w:sz w:val="20"/>
              </w:rPr>
            </w:pPr>
          </w:p>
        </w:tc>
        <w:tc>
          <w:tcPr>
            <w:tcW w:w="1214" w:type="dxa"/>
          </w:tcPr>
          <w:p w14:paraId="7A751CDB" w14:textId="77777777" w:rsidR="00C85FC3" w:rsidRPr="00576AF8" w:rsidRDefault="00C85FC3" w:rsidP="00510A60">
            <w:pPr>
              <w:spacing w:before="100" w:after="100"/>
              <w:ind w:left="36"/>
              <w:jc w:val="left"/>
              <w:rPr>
                <w:sz w:val="20"/>
              </w:rPr>
            </w:pPr>
          </w:p>
        </w:tc>
        <w:tc>
          <w:tcPr>
            <w:tcW w:w="851" w:type="dxa"/>
          </w:tcPr>
          <w:p w14:paraId="79E0F896" w14:textId="77777777" w:rsidR="00C85FC3" w:rsidRPr="00576AF8" w:rsidRDefault="00C85FC3" w:rsidP="00510A60">
            <w:pPr>
              <w:spacing w:before="100" w:after="100"/>
              <w:ind w:left="36"/>
              <w:jc w:val="center"/>
              <w:rPr>
                <w:sz w:val="20"/>
              </w:rPr>
            </w:pPr>
          </w:p>
        </w:tc>
        <w:tc>
          <w:tcPr>
            <w:tcW w:w="567" w:type="dxa"/>
          </w:tcPr>
          <w:p w14:paraId="46AD9C96" w14:textId="77777777" w:rsidR="00C85FC3" w:rsidRPr="00576AF8" w:rsidRDefault="00C85FC3" w:rsidP="00510A60">
            <w:pPr>
              <w:spacing w:before="100" w:after="100"/>
              <w:ind w:left="36"/>
              <w:jc w:val="center"/>
              <w:rPr>
                <w:sz w:val="20"/>
              </w:rPr>
            </w:pPr>
          </w:p>
        </w:tc>
        <w:tc>
          <w:tcPr>
            <w:tcW w:w="1134" w:type="dxa"/>
          </w:tcPr>
          <w:p w14:paraId="0D5CF758" w14:textId="77777777" w:rsidR="00C85FC3" w:rsidRPr="00576AF8" w:rsidRDefault="00C85FC3" w:rsidP="00510A60">
            <w:pPr>
              <w:spacing w:before="100" w:after="100"/>
              <w:ind w:left="36"/>
              <w:jc w:val="center"/>
              <w:rPr>
                <w:sz w:val="20"/>
              </w:rPr>
            </w:pPr>
          </w:p>
        </w:tc>
        <w:tc>
          <w:tcPr>
            <w:tcW w:w="885" w:type="dxa"/>
          </w:tcPr>
          <w:p w14:paraId="42899E12" w14:textId="77777777" w:rsidR="00C85FC3" w:rsidRPr="00576AF8" w:rsidRDefault="00C85FC3" w:rsidP="00510A60">
            <w:pPr>
              <w:spacing w:before="100" w:after="100"/>
              <w:ind w:left="36"/>
              <w:jc w:val="center"/>
              <w:rPr>
                <w:sz w:val="20"/>
              </w:rPr>
            </w:pPr>
          </w:p>
        </w:tc>
        <w:tc>
          <w:tcPr>
            <w:tcW w:w="958" w:type="dxa"/>
          </w:tcPr>
          <w:p w14:paraId="3481EDBC" w14:textId="77777777" w:rsidR="00C85FC3" w:rsidRPr="00576AF8" w:rsidRDefault="00C85FC3" w:rsidP="00510A60">
            <w:pPr>
              <w:spacing w:before="100" w:after="100"/>
              <w:ind w:left="36"/>
              <w:jc w:val="center"/>
              <w:rPr>
                <w:sz w:val="20"/>
              </w:rPr>
            </w:pPr>
          </w:p>
        </w:tc>
        <w:tc>
          <w:tcPr>
            <w:tcW w:w="931" w:type="dxa"/>
          </w:tcPr>
          <w:p w14:paraId="778A0CED" w14:textId="77777777" w:rsidR="00C85FC3" w:rsidRPr="00576AF8" w:rsidRDefault="00C85FC3" w:rsidP="00510A60">
            <w:pPr>
              <w:spacing w:before="100" w:after="100"/>
              <w:ind w:left="36"/>
              <w:jc w:val="center"/>
              <w:rPr>
                <w:sz w:val="20"/>
              </w:rPr>
            </w:pPr>
          </w:p>
        </w:tc>
        <w:tc>
          <w:tcPr>
            <w:tcW w:w="966" w:type="dxa"/>
          </w:tcPr>
          <w:p w14:paraId="061ED2D1" w14:textId="77777777" w:rsidR="00C85FC3" w:rsidRPr="00576AF8" w:rsidRDefault="00C85FC3" w:rsidP="00510A60">
            <w:pPr>
              <w:spacing w:before="100" w:after="100"/>
              <w:ind w:left="36"/>
              <w:jc w:val="center"/>
              <w:rPr>
                <w:sz w:val="20"/>
              </w:rPr>
            </w:pPr>
          </w:p>
        </w:tc>
        <w:tc>
          <w:tcPr>
            <w:tcW w:w="1162" w:type="dxa"/>
          </w:tcPr>
          <w:p w14:paraId="678A52FF" w14:textId="77777777" w:rsidR="00C85FC3" w:rsidRPr="00576AF8" w:rsidRDefault="00C85FC3" w:rsidP="00510A60">
            <w:pPr>
              <w:spacing w:before="100" w:after="100"/>
              <w:ind w:left="36"/>
              <w:jc w:val="center"/>
              <w:rPr>
                <w:sz w:val="20"/>
              </w:rPr>
            </w:pPr>
          </w:p>
        </w:tc>
        <w:tc>
          <w:tcPr>
            <w:tcW w:w="910" w:type="dxa"/>
          </w:tcPr>
          <w:p w14:paraId="409EEDE2" w14:textId="77777777" w:rsidR="00C85FC3" w:rsidRPr="00576AF8" w:rsidRDefault="00C85FC3" w:rsidP="00510A60">
            <w:pPr>
              <w:spacing w:before="100" w:after="100"/>
              <w:jc w:val="center"/>
              <w:rPr>
                <w:sz w:val="20"/>
              </w:rPr>
            </w:pPr>
          </w:p>
        </w:tc>
        <w:tc>
          <w:tcPr>
            <w:tcW w:w="966" w:type="dxa"/>
          </w:tcPr>
          <w:p w14:paraId="2C18CA80" w14:textId="77777777" w:rsidR="00C85FC3" w:rsidRPr="00576AF8" w:rsidRDefault="00C85FC3" w:rsidP="00510A60">
            <w:pPr>
              <w:spacing w:before="100" w:after="100"/>
              <w:jc w:val="center"/>
              <w:rPr>
                <w:sz w:val="20"/>
              </w:rPr>
            </w:pPr>
          </w:p>
        </w:tc>
        <w:tc>
          <w:tcPr>
            <w:tcW w:w="1018" w:type="dxa"/>
          </w:tcPr>
          <w:p w14:paraId="4E1D4A58" w14:textId="77777777" w:rsidR="00C85FC3" w:rsidRPr="00576AF8" w:rsidRDefault="00C85FC3" w:rsidP="00510A60">
            <w:pPr>
              <w:spacing w:before="100" w:after="100"/>
              <w:jc w:val="center"/>
              <w:rPr>
                <w:sz w:val="20"/>
              </w:rPr>
            </w:pPr>
          </w:p>
        </w:tc>
        <w:tc>
          <w:tcPr>
            <w:tcW w:w="992" w:type="dxa"/>
          </w:tcPr>
          <w:p w14:paraId="54B9F480" w14:textId="77777777" w:rsidR="00C85FC3" w:rsidRPr="00576AF8" w:rsidRDefault="00C85FC3" w:rsidP="00510A60">
            <w:pPr>
              <w:spacing w:before="100" w:after="100"/>
              <w:jc w:val="center"/>
              <w:rPr>
                <w:sz w:val="20"/>
              </w:rPr>
            </w:pPr>
          </w:p>
        </w:tc>
      </w:tr>
      <w:tr w:rsidR="00C85FC3" w:rsidRPr="00576AF8" w14:paraId="74641D0F" w14:textId="77777777" w:rsidTr="00510A60">
        <w:trPr>
          <w:cantSplit/>
        </w:trPr>
        <w:tc>
          <w:tcPr>
            <w:tcW w:w="8316" w:type="dxa"/>
            <w:gridSpan w:val="9"/>
          </w:tcPr>
          <w:p w14:paraId="113F80B9" w14:textId="77777777" w:rsidR="00C85FC3" w:rsidRPr="00576AF8" w:rsidRDefault="00C85FC3" w:rsidP="00510A60">
            <w:pPr>
              <w:spacing w:before="100" w:after="100"/>
              <w:jc w:val="left"/>
              <w:rPr>
                <w:sz w:val="20"/>
              </w:rPr>
            </w:pPr>
            <w:r w:rsidRPr="00576AF8">
              <w:rPr>
                <w:sz w:val="20"/>
              </w:rPr>
              <w:t xml:space="preserve">Subtotales (traslade a </w:t>
            </w:r>
            <w:r w:rsidRPr="00576AF8">
              <w:rPr>
                <w:i/>
                <w:sz w:val="20"/>
              </w:rPr>
              <w:t xml:space="preserve">[indique: </w:t>
            </w:r>
            <w:r w:rsidRPr="00576AF8">
              <w:rPr>
                <w:b/>
                <w:i/>
                <w:sz w:val="20"/>
              </w:rPr>
              <w:t>rubro</w:t>
            </w:r>
            <w:r w:rsidRPr="00576AF8">
              <w:rPr>
                <w:i/>
                <w:sz w:val="20"/>
              </w:rPr>
              <w:t>]</w:t>
            </w:r>
            <w:r w:rsidRPr="00576AF8">
              <w:rPr>
                <w:sz w:val="20"/>
              </w:rPr>
              <w:t xml:space="preserve"> del resumen de los costos de suministro e instalación)</w:t>
            </w:r>
          </w:p>
        </w:tc>
        <w:tc>
          <w:tcPr>
            <w:tcW w:w="1162" w:type="dxa"/>
          </w:tcPr>
          <w:p w14:paraId="4C39E63D" w14:textId="77777777" w:rsidR="00C85FC3" w:rsidRPr="00576AF8" w:rsidRDefault="00C85FC3" w:rsidP="00510A60">
            <w:pPr>
              <w:spacing w:before="100" w:after="100"/>
              <w:jc w:val="center"/>
              <w:rPr>
                <w:sz w:val="20"/>
              </w:rPr>
            </w:pPr>
          </w:p>
        </w:tc>
        <w:tc>
          <w:tcPr>
            <w:tcW w:w="910" w:type="dxa"/>
          </w:tcPr>
          <w:p w14:paraId="6442925E" w14:textId="77777777" w:rsidR="00C85FC3" w:rsidRPr="00576AF8" w:rsidRDefault="00C85FC3" w:rsidP="00510A60">
            <w:pPr>
              <w:spacing w:before="100" w:after="100"/>
              <w:jc w:val="center"/>
              <w:rPr>
                <w:sz w:val="20"/>
              </w:rPr>
            </w:pPr>
          </w:p>
        </w:tc>
        <w:tc>
          <w:tcPr>
            <w:tcW w:w="966" w:type="dxa"/>
          </w:tcPr>
          <w:p w14:paraId="68F602AD" w14:textId="77777777" w:rsidR="00C85FC3" w:rsidRPr="00576AF8" w:rsidRDefault="00C85FC3" w:rsidP="00510A60">
            <w:pPr>
              <w:spacing w:before="100" w:after="100"/>
              <w:jc w:val="center"/>
              <w:rPr>
                <w:sz w:val="20"/>
              </w:rPr>
            </w:pPr>
          </w:p>
        </w:tc>
        <w:tc>
          <w:tcPr>
            <w:tcW w:w="1018" w:type="dxa"/>
          </w:tcPr>
          <w:p w14:paraId="40D1A195" w14:textId="77777777" w:rsidR="00C85FC3" w:rsidRPr="00576AF8" w:rsidRDefault="00C85FC3" w:rsidP="00510A60">
            <w:pPr>
              <w:spacing w:before="100" w:after="100"/>
              <w:jc w:val="center"/>
              <w:rPr>
                <w:sz w:val="20"/>
              </w:rPr>
            </w:pPr>
          </w:p>
        </w:tc>
        <w:tc>
          <w:tcPr>
            <w:tcW w:w="992" w:type="dxa"/>
          </w:tcPr>
          <w:p w14:paraId="453098D6" w14:textId="77777777" w:rsidR="00C85FC3" w:rsidRPr="00576AF8" w:rsidRDefault="00C85FC3" w:rsidP="00510A60">
            <w:pPr>
              <w:spacing w:before="100" w:after="100"/>
              <w:jc w:val="center"/>
              <w:rPr>
                <w:sz w:val="20"/>
              </w:rPr>
            </w:pPr>
          </w:p>
        </w:tc>
      </w:tr>
    </w:tbl>
    <w:p w14:paraId="3FBBC80D" w14:textId="77777777" w:rsidR="00C85FC3" w:rsidRPr="00576AF8" w:rsidRDefault="00C85FC3" w:rsidP="00C85FC3">
      <w:pPr>
        <w:pStyle w:val="explanatorynotes"/>
        <w:spacing w:after="0"/>
        <w:rPr>
          <w:rFonts w:ascii="Times New Roman" w:hAnsi="Times New Roman"/>
        </w:rPr>
      </w:pPr>
    </w:p>
    <w:p w14:paraId="21F68174" w14:textId="77777777" w:rsidR="00C85FC3" w:rsidRPr="00576AF8" w:rsidRDefault="00C85FC3" w:rsidP="00C85FC3">
      <w:pPr>
        <w:ind w:right="1440"/>
        <w:rPr>
          <w:sz w:val="22"/>
        </w:rPr>
      </w:pPr>
      <w:r w:rsidRPr="00576AF8">
        <w:rPr>
          <w:b/>
          <w:sz w:val="22"/>
        </w:rPr>
        <w:t>Nota:</w:t>
      </w:r>
      <w:r w:rsidRPr="00576AF8">
        <w:tab/>
      </w:r>
      <w:r w:rsidRPr="00576AF8">
        <w:rPr>
          <w:sz w:val="22"/>
        </w:rPr>
        <w:t xml:space="preserve">“- -” indica que “no se aplica”.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C85FC3" w:rsidRPr="00576AF8" w14:paraId="51801BBA" w14:textId="77777777" w:rsidTr="00510A60">
        <w:trPr>
          <w:cantSplit/>
          <w:trHeight w:hRule="exact" w:val="240"/>
          <w:jc w:val="center"/>
        </w:trPr>
        <w:tc>
          <w:tcPr>
            <w:tcW w:w="4320" w:type="dxa"/>
          </w:tcPr>
          <w:p w14:paraId="08D0F3BE" w14:textId="77777777" w:rsidR="00C85FC3" w:rsidRPr="00576AF8" w:rsidRDefault="00C85FC3" w:rsidP="00510A60">
            <w:pPr>
              <w:spacing w:before="100" w:after="100"/>
              <w:rPr>
                <w:sz w:val="22"/>
              </w:rPr>
            </w:pPr>
          </w:p>
        </w:tc>
        <w:tc>
          <w:tcPr>
            <w:tcW w:w="360" w:type="dxa"/>
          </w:tcPr>
          <w:p w14:paraId="53238721" w14:textId="77777777" w:rsidR="00C85FC3" w:rsidRPr="00576AF8" w:rsidRDefault="00C85FC3" w:rsidP="00510A60">
            <w:pPr>
              <w:spacing w:before="100" w:after="100"/>
              <w:jc w:val="center"/>
              <w:rPr>
                <w:sz w:val="22"/>
              </w:rPr>
            </w:pPr>
          </w:p>
        </w:tc>
        <w:tc>
          <w:tcPr>
            <w:tcW w:w="4698" w:type="dxa"/>
          </w:tcPr>
          <w:p w14:paraId="1503E54B" w14:textId="77777777" w:rsidR="00C85FC3" w:rsidRPr="00576AF8" w:rsidRDefault="00C85FC3" w:rsidP="00510A60">
            <w:pPr>
              <w:spacing w:before="100" w:after="100"/>
              <w:jc w:val="center"/>
              <w:rPr>
                <w:sz w:val="22"/>
              </w:rPr>
            </w:pPr>
          </w:p>
        </w:tc>
      </w:tr>
      <w:tr w:rsidR="00C85FC3" w:rsidRPr="00576AF8" w14:paraId="10DDF837" w14:textId="77777777" w:rsidTr="00510A60">
        <w:trPr>
          <w:cantSplit/>
          <w:jc w:val="center"/>
        </w:trPr>
        <w:tc>
          <w:tcPr>
            <w:tcW w:w="4320" w:type="dxa"/>
          </w:tcPr>
          <w:p w14:paraId="3AB4923A" w14:textId="77777777" w:rsidR="00C85FC3" w:rsidRPr="00576AF8" w:rsidRDefault="00C85FC3" w:rsidP="00510A60">
            <w:pPr>
              <w:spacing w:before="100" w:after="100"/>
              <w:jc w:val="right"/>
              <w:rPr>
                <w:sz w:val="22"/>
              </w:rPr>
            </w:pPr>
            <w:r w:rsidRPr="00576AF8">
              <w:rPr>
                <w:sz w:val="22"/>
              </w:rPr>
              <w:t>Nombre del Licitante:</w:t>
            </w:r>
          </w:p>
        </w:tc>
        <w:tc>
          <w:tcPr>
            <w:tcW w:w="360" w:type="dxa"/>
          </w:tcPr>
          <w:p w14:paraId="3C5A84E0" w14:textId="77777777" w:rsidR="00C85FC3" w:rsidRPr="00576AF8" w:rsidRDefault="00C85FC3" w:rsidP="00510A60">
            <w:pPr>
              <w:spacing w:before="100" w:after="100"/>
              <w:jc w:val="center"/>
              <w:rPr>
                <w:sz w:val="22"/>
              </w:rPr>
            </w:pPr>
          </w:p>
        </w:tc>
        <w:tc>
          <w:tcPr>
            <w:tcW w:w="4698" w:type="dxa"/>
          </w:tcPr>
          <w:p w14:paraId="77A85BFD" w14:textId="77777777" w:rsidR="00C85FC3" w:rsidRPr="00576AF8" w:rsidRDefault="00C85FC3" w:rsidP="00510A60">
            <w:pPr>
              <w:spacing w:before="100" w:after="100"/>
              <w:jc w:val="center"/>
              <w:rPr>
                <w:sz w:val="22"/>
              </w:rPr>
            </w:pPr>
          </w:p>
        </w:tc>
      </w:tr>
      <w:tr w:rsidR="00C85FC3" w:rsidRPr="00576AF8" w14:paraId="52A99226" w14:textId="77777777" w:rsidTr="00510A60">
        <w:trPr>
          <w:cantSplit/>
          <w:trHeight w:hRule="exact" w:val="240"/>
          <w:jc w:val="center"/>
        </w:trPr>
        <w:tc>
          <w:tcPr>
            <w:tcW w:w="4320" w:type="dxa"/>
          </w:tcPr>
          <w:p w14:paraId="2E8820D6" w14:textId="77777777" w:rsidR="00C85FC3" w:rsidRPr="00576AF8" w:rsidRDefault="00C85FC3" w:rsidP="00510A60">
            <w:pPr>
              <w:spacing w:before="100" w:after="100"/>
              <w:jc w:val="right"/>
              <w:rPr>
                <w:sz w:val="22"/>
              </w:rPr>
            </w:pPr>
          </w:p>
        </w:tc>
        <w:tc>
          <w:tcPr>
            <w:tcW w:w="360" w:type="dxa"/>
          </w:tcPr>
          <w:p w14:paraId="376076D4" w14:textId="77777777" w:rsidR="00C85FC3" w:rsidRPr="00576AF8" w:rsidRDefault="00C85FC3" w:rsidP="00510A60">
            <w:pPr>
              <w:spacing w:before="100" w:after="100"/>
              <w:jc w:val="center"/>
              <w:rPr>
                <w:sz w:val="22"/>
              </w:rPr>
            </w:pPr>
          </w:p>
        </w:tc>
        <w:tc>
          <w:tcPr>
            <w:tcW w:w="4698" w:type="dxa"/>
          </w:tcPr>
          <w:p w14:paraId="0ABB68A1" w14:textId="77777777" w:rsidR="00C85FC3" w:rsidRPr="00576AF8" w:rsidRDefault="00C85FC3" w:rsidP="00510A60">
            <w:pPr>
              <w:spacing w:before="100" w:after="100"/>
              <w:jc w:val="center"/>
              <w:rPr>
                <w:sz w:val="22"/>
              </w:rPr>
            </w:pPr>
          </w:p>
        </w:tc>
      </w:tr>
      <w:tr w:rsidR="00C85FC3" w:rsidRPr="00576AF8" w14:paraId="189ECF04" w14:textId="77777777" w:rsidTr="00510A60">
        <w:trPr>
          <w:cantSplit/>
          <w:jc w:val="center"/>
        </w:trPr>
        <w:tc>
          <w:tcPr>
            <w:tcW w:w="4320" w:type="dxa"/>
          </w:tcPr>
          <w:p w14:paraId="4E589558" w14:textId="77777777" w:rsidR="00C85FC3" w:rsidRPr="00576AF8" w:rsidRDefault="00C85FC3" w:rsidP="00510A60">
            <w:pPr>
              <w:spacing w:before="100" w:after="100"/>
              <w:jc w:val="right"/>
              <w:rPr>
                <w:sz w:val="22"/>
              </w:rPr>
            </w:pPr>
            <w:r w:rsidRPr="00576AF8">
              <w:rPr>
                <w:sz w:val="22"/>
              </w:rPr>
              <w:t>Firma autorizada del Licitante:</w:t>
            </w:r>
          </w:p>
        </w:tc>
        <w:tc>
          <w:tcPr>
            <w:tcW w:w="360" w:type="dxa"/>
          </w:tcPr>
          <w:p w14:paraId="37662D22" w14:textId="77777777" w:rsidR="00C85FC3" w:rsidRPr="00576AF8" w:rsidRDefault="00C85FC3" w:rsidP="00510A60">
            <w:pPr>
              <w:spacing w:before="100" w:after="100"/>
              <w:jc w:val="center"/>
              <w:rPr>
                <w:sz w:val="22"/>
              </w:rPr>
            </w:pPr>
          </w:p>
        </w:tc>
        <w:tc>
          <w:tcPr>
            <w:tcW w:w="4698" w:type="dxa"/>
          </w:tcPr>
          <w:p w14:paraId="65DE34DC" w14:textId="77777777" w:rsidR="00C85FC3" w:rsidRPr="00576AF8" w:rsidRDefault="00C85FC3" w:rsidP="00510A60">
            <w:pPr>
              <w:spacing w:before="100" w:after="100"/>
              <w:jc w:val="center"/>
              <w:rPr>
                <w:sz w:val="22"/>
              </w:rPr>
            </w:pPr>
          </w:p>
        </w:tc>
      </w:tr>
    </w:tbl>
    <w:p w14:paraId="1F787FEE" w14:textId="77777777" w:rsidR="00C85FC3" w:rsidRPr="00576AF8" w:rsidRDefault="00C85FC3" w:rsidP="00C85FC3">
      <w:pPr>
        <w:pStyle w:val="Head32"/>
        <w:ind w:right="60"/>
        <w:rPr>
          <w:i/>
        </w:rPr>
      </w:pPr>
      <w:r w:rsidRPr="00576AF8">
        <w:br w:type="page"/>
      </w:r>
      <w:bookmarkStart w:id="552" w:name="_Toc521497244"/>
      <w:bookmarkStart w:id="553" w:name="_Toc218673961"/>
      <w:bookmarkStart w:id="554" w:name="_Toc277345596"/>
      <w:r w:rsidRPr="00576AF8">
        <w:lastRenderedPageBreak/>
        <w:t>3.5</w:t>
      </w:r>
      <w:r w:rsidRPr="00576AF8">
        <w:tab/>
      </w:r>
      <w:bookmarkStart w:id="555" w:name="_Hlt529125919"/>
      <w:bookmarkEnd w:id="555"/>
      <w:r w:rsidRPr="00576AF8">
        <w:t xml:space="preserve"> Cuadro Parcial de Gastos Recurrentes [</w:t>
      </w:r>
      <w:r w:rsidRPr="00576AF8">
        <w:rPr>
          <w:i/>
        </w:rPr>
        <w:t xml:space="preserve">indique: número de </w:t>
      </w:r>
      <w:bookmarkEnd w:id="552"/>
      <w:bookmarkEnd w:id="553"/>
      <w:r w:rsidRPr="00576AF8">
        <w:rPr>
          <w:i/>
        </w:rPr>
        <w:t>identificación]. Período de garantía</w:t>
      </w:r>
      <w:bookmarkEnd w:id="554"/>
      <w:r w:rsidR="00F776E4" w:rsidRPr="00576AF8">
        <w:rPr>
          <w:i/>
        </w:rPr>
        <w:t xml:space="preserve"> (No Aplica)</w:t>
      </w:r>
    </w:p>
    <w:p w14:paraId="6CD09F21" w14:textId="77777777" w:rsidR="00C85FC3" w:rsidRPr="00576AF8" w:rsidRDefault="00C85FC3" w:rsidP="00C85FC3">
      <w:pPr>
        <w:rPr>
          <w:b/>
        </w:rPr>
      </w:pPr>
      <w:r w:rsidRPr="00576AF8">
        <w:t xml:space="preserve">Número de lote: </w:t>
      </w:r>
      <w:r w:rsidRPr="00576AF8">
        <w:rPr>
          <w:rStyle w:val="preparersnote"/>
          <w:b w:val="0"/>
        </w:rPr>
        <w:t>[si se trata de la adquisición de varios lotes, indique:</w:t>
      </w:r>
      <w:r w:rsidRPr="00576AF8">
        <w:rPr>
          <w:rStyle w:val="preparersnote"/>
        </w:rPr>
        <w:t xml:space="preserve"> número de lote, </w:t>
      </w:r>
      <w:r w:rsidRPr="00576AF8">
        <w:rPr>
          <w:rStyle w:val="preparersnote"/>
          <w:b w:val="0"/>
        </w:rPr>
        <w:t>en caso contrario, consigne</w:t>
      </w:r>
      <w:r w:rsidRPr="00576AF8">
        <w:rPr>
          <w:rStyle w:val="preparersnote"/>
        </w:rPr>
        <w:t xml:space="preserve"> “adquisición en un solo lote”]</w:t>
      </w:r>
    </w:p>
    <w:p w14:paraId="1A75B4BE" w14:textId="77777777" w:rsidR="00C85FC3" w:rsidRPr="00576AF8" w:rsidRDefault="00C85FC3" w:rsidP="00C85FC3">
      <w:pPr>
        <w:ind w:right="1440"/>
      </w:pPr>
      <w:r w:rsidRPr="00576AF8">
        <w:t>Número de rubro</w:t>
      </w:r>
      <w:r w:rsidRPr="00576AF8">
        <w:rPr>
          <w:b/>
        </w:rPr>
        <w:t xml:space="preserve">: </w:t>
      </w:r>
      <w:r w:rsidRPr="00576AF8">
        <w:rPr>
          <w:i/>
        </w:rPr>
        <w:t xml:space="preserve">[especifique: </w:t>
      </w:r>
      <w:r w:rsidRPr="00576AF8">
        <w:rPr>
          <w:b/>
          <w:i/>
        </w:rPr>
        <w:t>número de rubro pertinente del resumen de gastos recurrentes</w:t>
      </w:r>
      <w:r w:rsidRPr="00576AF8">
        <w:rPr>
          <w:i/>
        </w:rPr>
        <w:t xml:space="preserve"> </w:t>
      </w:r>
      <w:r w:rsidRPr="00576AF8">
        <w:rPr>
          <w:b/>
          <w:i/>
        </w:rPr>
        <w:t xml:space="preserve">– </w:t>
      </w:r>
      <w:r w:rsidRPr="00576AF8">
        <w:rPr>
          <w:i/>
        </w:rPr>
        <w:t>(por ejemplo, y.1)]</w:t>
      </w:r>
    </w:p>
    <w:p w14:paraId="30A3AB53" w14:textId="77777777" w:rsidR="00C85FC3" w:rsidRPr="00576AF8" w:rsidRDefault="00C85FC3" w:rsidP="00C85FC3">
      <w:pPr>
        <w:ind w:right="1440"/>
        <w:rPr>
          <w:i/>
        </w:rPr>
      </w:pPr>
      <w:r w:rsidRPr="00576AF8">
        <w:t xml:space="preserve">Moneda: </w:t>
      </w:r>
      <w:r w:rsidRPr="00576AF8">
        <w:rPr>
          <w:i/>
        </w:rPr>
        <w:t xml:space="preserve">[especifique: </w:t>
      </w:r>
      <w:r w:rsidRPr="00576AF8">
        <w:rPr>
          <w:b/>
          <w:i/>
        </w:rPr>
        <w:t>la moneda de los gastos recurrentes en la cual se expresan los gastos en este cuadro parcial</w:t>
      </w:r>
      <w:r w:rsidRPr="00576AF8">
        <w:rPr>
          <w:i/>
        </w:rPr>
        <w:t>]</w:t>
      </w:r>
    </w:p>
    <w:p w14:paraId="11F061E0" w14:textId="77777777" w:rsidR="00C85FC3" w:rsidRPr="00576AF8" w:rsidRDefault="00C85FC3" w:rsidP="00C85FC3">
      <w:pPr>
        <w:spacing w:after="360"/>
      </w:pPr>
      <w:r w:rsidRPr="00576AF8">
        <w:rPr>
          <w:rStyle w:val="preparersnote"/>
          <w:b w:val="0"/>
        </w:rPr>
        <w:t>[Según sea necesario para el funcionamiento del Sistema, especifique:</w:t>
      </w:r>
      <w:r w:rsidRPr="00576AF8">
        <w:rPr>
          <w:rStyle w:val="preparersnote"/>
        </w:rPr>
        <w:t xml:space="preserve"> los componentes y cantidades detallados en el cuadro parcial que figura a continuación para el rubro antes mencionado y modifique, según sea necesario, los componentes y las anotaciones consignados a modo de ejemplo en el cuadro. </w:t>
      </w:r>
      <w:r w:rsidRPr="00576AF8">
        <w:rPr>
          <w:rStyle w:val="preparersnote"/>
          <w:b w:val="0"/>
        </w:rPr>
        <w:t>Repita el cuadro parcial cuantas veces sea necesario para cubrir todos y cada uno de los rubros del resumen de gastos recurrentes que requieran mayor información].</w:t>
      </w:r>
    </w:p>
    <w:p w14:paraId="4DE7963B" w14:textId="77777777" w:rsidR="00C85FC3" w:rsidRPr="00576AF8" w:rsidRDefault="00C85FC3" w:rsidP="00C85FC3">
      <w:pPr>
        <w:spacing w:after="360"/>
        <w:ind w:right="60"/>
        <w:jc w:val="center"/>
      </w:pPr>
      <w:r w:rsidRPr="00576AF8">
        <w:t xml:space="preserve">Los gastos DEBERÁN reflejar los precios y las tarifas cotizados de conformidad con las </w:t>
      </w:r>
      <w:r w:rsidR="00B30201" w:rsidRPr="00576AF8">
        <w:t xml:space="preserve">IAL 14.2, </w:t>
      </w:r>
      <w:r w:rsidRPr="00576AF8">
        <w:t>IAL 17 y 18.</w:t>
      </w:r>
      <w:bookmarkStart w:id="556" w:name="_Hlt529126519"/>
      <w:bookmarkEnd w:id="55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26"/>
        <w:gridCol w:w="2942"/>
        <w:gridCol w:w="1095"/>
        <w:gridCol w:w="1095"/>
        <w:gridCol w:w="1140"/>
        <w:gridCol w:w="1050"/>
        <w:gridCol w:w="1095"/>
        <w:gridCol w:w="1095"/>
        <w:gridCol w:w="2250"/>
      </w:tblGrid>
      <w:tr w:rsidR="00C85FC3" w:rsidRPr="00576AF8" w14:paraId="02B8DC0C" w14:textId="77777777" w:rsidTr="00510A60">
        <w:trPr>
          <w:cantSplit/>
          <w:tblHeader/>
        </w:trPr>
        <w:tc>
          <w:tcPr>
            <w:tcW w:w="1126" w:type="dxa"/>
          </w:tcPr>
          <w:p w14:paraId="487B36B1" w14:textId="77777777" w:rsidR="00C85FC3" w:rsidRPr="00576AF8" w:rsidRDefault="00C85FC3" w:rsidP="00510A60">
            <w:pPr>
              <w:spacing w:before="100" w:after="100"/>
              <w:jc w:val="center"/>
            </w:pPr>
          </w:p>
        </w:tc>
        <w:tc>
          <w:tcPr>
            <w:tcW w:w="2942" w:type="dxa"/>
          </w:tcPr>
          <w:p w14:paraId="39EDF54D" w14:textId="77777777" w:rsidR="00C85FC3" w:rsidRPr="00576AF8" w:rsidRDefault="00C85FC3" w:rsidP="00510A60">
            <w:pPr>
              <w:spacing w:before="100" w:after="100"/>
              <w:jc w:val="left"/>
            </w:pPr>
          </w:p>
        </w:tc>
        <w:tc>
          <w:tcPr>
            <w:tcW w:w="8820" w:type="dxa"/>
            <w:gridSpan w:val="7"/>
          </w:tcPr>
          <w:p w14:paraId="78E84C02" w14:textId="77777777" w:rsidR="00C85FC3" w:rsidRPr="00576AF8" w:rsidRDefault="00C85FC3" w:rsidP="00510A60">
            <w:pPr>
              <w:spacing w:before="100" w:after="100"/>
              <w:jc w:val="center"/>
            </w:pPr>
            <w:r w:rsidRPr="00576AF8">
              <w:t xml:space="preserve">Gastos máximos globales (gastos en </w:t>
            </w:r>
            <w:r w:rsidRPr="00576AF8">
              <w:rPr>
                <w:i/>
              </w:rPr>
              <w:t xml:space="preserve">[indique: </w:t>
            </w:r>
            <w:r w:rsidRPr="00576AF8">
              <w:rPr>
                <w:b/>
                <w:i/>
              </w:rPr>
              <w:t>moneda</w:t>
            </w:r>
            <w:r w:rsidRPr="00576AF8">
              <w:rPr>
                <w:i/>
              </w:rPr>
              <w:t>]</w:t>
            </w:r>
            <w:r w:rsidRPr="00576AF8">
              <w:t>)</w:t>
            </w:r>
          </w:p>
        </w:tc>
      </w:tr>
      <w:tr w:rsidR="00C85FC3" w:rsidRPr="00576AF8" w14:paraId="5BCFAFCB" w14:textId="77777777" w:rsidTr="00510A60">
        <w:trPr>
          <w:cantSplit/>
          <w:tblHeader/>
        </w:trPr>
        <w:tc>
          <w:tcPr>
            <w:tcW w:w="1126" w:type="dxa"/>
          </w:tcPr>
          <w:p w14:paraId="08DE5A75" w14:textId="77777777" w:rsidR="00C85FC3" w:rsidRPr="00576AF8" w:rsidRDefault="00C85FC3" w:rsidP="00510A60">
            <w:pPr>
              <w:spacing w:before="100" w:after="100"/>
            </w:pPr>
            <w:r w:rsidRPr="00576AF8">
              <w:t>Compo-nente n.º</w:t>
            </w:r>
          </w:p>
        </w:tc>
        <w:tc>
          <w:tcPr>
            <w:tcW w:w="2942" w:type="dxa"/>
          </w:tcPr>
          <w:p w14:paraId="5540E06B" w14:textId="77777777" w:rsidR="00C85FC3" w:rsidRPr="00576AF8" w:rsidRDefault="00C85FC3" w:rsidP="00510A60">
            <w:pPr>
              <w:spacing w:before="100" w:after="100"/>
              <w:jc w:val="center"/>
            </w:pPr>
            <w:r w:rsidRPr="00576AF8">
              <w:br/>
              <w:t>Componente</w:t>
            </w:r>
          </w:p>
        </w:tc>
        <w:tc>
          <w:tcPr>
            <w:tcW w:w="1095" w:type="dxa"/>
          </w:tcPr>
          <w:p w14:paraId="34EE5642" w14:textId="77777777" w:rsidR="00C85FC3" w:rsidRPr="00576AF8" w:rsidRDefault="00C85FC3" w:rsidP="00510A60">
            <w:pPr>
              <w:spacing w:before="100" w:after="100"/>
              <w:jc w:val="center"/>
            </w:pPr>
            <w:r w:rsidRPr="00576AF8">
              <w:br/>
              <w:t>A1</w:t>
            </w:r>
          </w:p>
        </w:tc>
        <w:tc>
          <w:tcPr>
            <w:tcW w:w="1095" w:type="dxa"/>
          </w:tcPr>
          <w:p w14:paraId="366FF406" w14:textId="77777777" w:rsidR="00C85FC3" w:rsidRPr="00576AF8" w:rsidRDefault="00C85FC3" w:rsidP="00510A60">
            <w:pPr>
              <w:spacing w:before="100" w:after="100"/>
              <w:jc w:val="center"/>
            </w:pPr>
            <w:r w:rsidRPr="00576AF8">
              <w:br/>
              <w:t>A2</w:t>
            </w:r>
          </w:p>
        </w:tc>
        <w:tc>
          <w:tcPr>
            <w:tcW w:w="1140" w:type="dxa"/>
          </w:tcPr>
          <w:p w14:paraId="7FF1600B" w14:textId="77777777" w:rsidR="00C85FC3" w:rsidRPr="00576AF8" w:rsidRDefault="00C85FC3" w:rsidP="00510A60">
            <w:pPr>
              <w:spacing w:before="100" w:after="100"/>
              <w:jc w:val="center"/>
            </w:pPr>
            <w:r w:rsidRPr="00576AF8">
              <w:br/>
              <w:t>A3</w:t>
            </w:r>
          </w:p>
        </w:tc>
        <w:tc>
          <w:tcPr>
            <w:tcW w:w="1050" w:type="dxa"/>
          </w:tcPr>
          <w:p w14:paraId="69FE8C57" w14:textId="77777777" w:rsidR="00C85FC3" w:rsidRPr="00576AF8" w:rsidRDefault="00C85FC3" w:rsidP="00510A60">
            <w:pPr>
              <w:spacing w:before="100" w:after="100"/>
              <w:jc w:val="center"/>
            </w:pPr>
            <w:r w:rsidRPr="00576AF8">
              <w:br/>
              <w:t>A4</w:t>
            </w:r>
          </w:p>
        </w:tc>
        <w:tc>
          <w:tcPr>
            <w:tcW w:w="1095" w:type="dxa"/>
          </w:tcPr>
          <w:p w14:paraId="655AD9AB" w14:textId="77777777" w:rsidR="00C85FC3" w:rsidRPr="00576AF8" w:rsidRDefault="00C85FC3" w:rsidP="00510A60">
            <w:pPr>
              <w:spacing w:before="100" w:after="100"/>
              <w:jc w:val="center"/>
            </w:pPr>
            <w:r w:rsidRPr="00576AF8">
              <w:br/>
              <w:t>...</w:t>
            </w:r>
          </w:p>
        </w:tc>
        <w:tc>
          <w:tcPr>
            <w:tcW w:w="1095" w:type="dxa"/>
          </w:tcPr>
          <w:p w14:paraId="695D5CD2" w14:textId="77777777" w:rsidR="00C85FC3" w:rsidRPr="00576AF8" w:rsidRDefault="00C85FC3" w:rsidP="00510A60">
            <w:pPr>
              <w:spacing w:before="100" w:after="100"/>
              <w:jc w:val="center"/>
            </w:pPr>
            <w:r w:rsidRPr="00576AF8">
              <w:br/>
              <w:t>An</w:t>
            </w:r>
          </w:p>
        </w:tc>
        <w:tc>
          <w:tcPr>
            <w:tcW w:w="2250" w:type="dxa"/>
          </w:tcPr>
          <w:p w14:paraId="3DBECD1D" w14:textId="77777777" w:rsidR="00C85FC3" w:rsidRPr="00576AF8" w:rsidRDefault="00C85FC3" w:rsidP="00510A60">
            <w:pPr>
              <w:spacing w:before="100" w:after="100"/>
              <w:jc w:val="center"/>
            </w:pPr>
            <w:r w:rsidRPr="00576AF8">
              <w:t xml:space="preserve">Subtotal en </w:t>
            </w:r>
            <w:r w:rsidRPr="00576AF8">
              <w:rPr>
                <w:i/>
              </w:rPr>
              <w:t xml:space="preserve">[indique: </w:t>
            </w:r>
            <w:r w:rsidRPr="00576AF8">
              <w:rPr>
                <w:b/>
                <w:i/>
              </w:rPr>
              <w:t>moneda</w:t>
            </w:r>
            <w:r w:rsidRPr="00576AF8">
              <w:rPr>
                <w:i/>
              </w:rPr>
              <w:t>]</w:t>
            </w:r>
          </w:p>
        </w:tc>
      </w:tr>
      <w:tr w:rsidR="00C85FC3" w:rsidRPr="00576AF8" w14:paraId="0E523894" w14:textId="77777777" w:rsidTr="00510A60">
        <w:trPr>
          <w:cantSplit/>
        </w:trPr>
        <w:tc>
          <w:tcPr>
            <w:tcW w:w="1126" w:type="dxa"/>
          </w:tcPr>
          <w:p w14:paraId="4997EBEB" w14:textId="77777777" w:rsidR="00C85FC3" w:rsidRPr="00576AF8" w:rsidRDefault="00C85FC3" w:rsidP="00510A60">
            <w:pPr>
              <w:spacing w:before="100" w:after="100"/>
              <w:jc w:val="center"/>
              <w:rPr>
                <w:sz w:val="22"/>
              </w:rPr>
            </w:pPr>
            <w:r w:rsidRPr="00576AF8">
              <w:rPr>
                <w:sz w:val="22"/>
              </w:rPr>
              <w:t>1.</w:t>
            </w:r>
          </w:p>
        </w:tc>
        <w:tc>
          <w:tcPr>
            <w:tcW w:w="2942" w:type="dxa"/>
          </w:tcPr>
          <w:p w14:paraId="644262CC" w14:textId="77777777" w:rsidR="00C85FC3" w:rsidRPr="00576AF8" w:rsidRDefault="00C85FC3" w:rsidP="00510A60">
            <w:pPr>
              <w:spacing w:before="100" w:after="100"/>
              <w:jc w:val="left"/>
              <w:rPr>
                <w:sz w:val="22"/>
              </w:rPr>
            </w:pPr>
            <w:r w:rsidRPr="00576AF8">
              <w:rPr>
                <w:sz w:val="22"/>
              </w:rPr>
              <w:t xml:space="preserve">Mantenimiento de equipos </w:t>
            </w:r>
          </w:p>
        </w:tc>
        <w:tc>
          <w:tcPr>
            <w:tcW w:w="1095" w:type="dxa"/>
          </w:tcPr>
          <w:p w14:paraId="61D51070" w14:textId="77777777" w:rsidR="00C85FC3" w:rsidRPr="00576AF8" w:rsidRDefault="00C85FC3" w:rsidP="00510A60">
            <w:pPr>
              <w:spacing w:before="100" w:after="100"/>
              <w:jc w:val="center"/>
              <w:rPr>
                <w:sz w:val="22"/>
              </w:rPr>
            </w:pPr>
            <w:r w:rsidRPr="00576AF8">
              <w:rPr>
                <w:sz w:val="22"/>
              </w:rPr>
              <w:t>Incl. en la garantía</w:t>
            </w:r>
          </w:p>
        </w:tc>
        <w:tc>
          <w:tcPr>
            <w:tcW w:w="1095" w:type="dxa"/>
          </w:tcPr>
          <w:p w14:paraId="45E47AD8" w14:textId="77777777" w:rsidR="00C85FC3" w:rsidRPr="00576AF8" w:rsidRDefault="00C85FC3" w:rsidP="00510A60">
            <w:pPr>
              <w:spacing w:before="100" w:after="100"/>
              <w:jc w:val="center"/>
              <w:rPr>
                <w:sz w:val="22"/>
              </w:rPr>
            </w:pPr>
            <w:r w:rsidRPr="00576AF8">
              <w:rPr>
                <w:sz w:val="22"/>
              </w:rPr>
              <w:t>Incl. en la garantía</w:t>
            </w:r>
          </w:p>
        </w:tc>
        <w:tc>
          <w:tcPr>
            <w:tcW w:w="1140" w:type="dxa"/>
          </w:tcPr>
          <w:p w14:paraId="6949885C" w14:textId="77777777" w:rsidR="00C85FC3" w:rsidRPr="00576AF8" w:rsidRDefault="00C85FC3" w:rsidP="00510A60">
            <w:pPr>
              <w:spacing w:before="100" w:after="100"/>
              <w:jc w:val="center"/>
              <w:rPr>
                <w:sz w:val="22"/>
              </w:rPr>
            </w:pPr>
            <w:r w:rsidRPr="00576AF8">
              <w:rPr>
                <w:sz w:val="22"/>
              </w:rPr>
              <w:t>Incl. en la garantía</w:t>
            </w:r>
          </w:p>
        </w:tc>
        <w:tc>
          <w:tcPr>
            <w:tcW w:w="1050" w:type="dxa"/>
          </w:tcPr>
          <w:p w14:paraId="45010DBC" w14:textId="77777777" w:rsidR="00C85FC3" w:rsidRPr="00576AF8" w:rsidRDefault="00C85FC3" w:rsidP="00510A60">
            <w:pPr>
              <w:spacing w:before="100" w:after="100"/>
              <w:jc w:val="center"/>
              <w:rPr>
                <w:sz w:val="22"/>
              </w:rPr>
            </w:pPr>
          </w:p>
        </w:tc>
        <w:tc>
          <w:tcPr>
            <w:tcW w:w="1095" w:type="dxa"/>
          </w:tcPr>
          <w:p w14:paraId="5478B6BE" w14:textId="77777777" w:rsidR="00C85FC3" w:rsidRPr="00576AF8" w:rsidRDefault="00C85FC3" w:rsidP="00510A60">
            <w:pPr>
              <w:spacing w:before="100" w:after="100"/>
              <w:jc w:val="center"/>
              <w:rPr>
                <w:sz w:val="22"/>
              </w:rPr>
            </w:pPr>
          </w:p>
        </w:tc>
        <w:tc>
          <w:tcPr>
            <w:tcW w:w="1095" w:type="dxa"/>
          </w:tcPr>
          <w:p w14:paraId="360781DF" w14:textId="77777777" w:rsidR="00C85FC3" w:rsidRPr="00576AF8" w:rsidRDefault="00C85FC3" w:rsidP="00510A60">
            <w:pPr>
              <w:spacing w:before="100" w:after="100"/>
              <w:jc w:val="center"/>
              <w:rPr>
                <w:sz w:val="22"/>
              </w:rPr>
            </w:pPr>
          </w:p>
        </w:tc>
        <w:tc>
          <w:tcPr>
            <w:tcW w:w="2250" w:type="dxa"/>
          </w:tcPr>
          <w:p w14:paraId="590E2299" w14:textId="77777777" w:rsidR="00C85FC3" w:rsidRPr="00576AF8" w:rsidRDefault="00C85FC3" w:rsidP="00510A60">
            <w:pPr>
              <w:spacing w:before="100" w:after="100"/>
              <w:jc w:val="center"/>
              <w:rPr>
                <w:sz w:val="22"/>
              </w:rPr>
            </w:pPr>
          </w:p>
        </w:tc>
      </w:tr>
      <w:tr w:rsidR="00C85FC3" w:rsidRPr="00576AF8" w14:paraId="2C55B2A7" w14:textId="77777777" w:rsidTr="00510A60">
        <w:trPr>
          <w:cantSplit/>
        </w:trPr>
        <w:tc>
          <w:tcPr>
            <w:tcW w:w="1126" w:type="dxa"/>
          </w:tcPr>
          <w:p w14:paraId="035135F3" w14:textId="77777777" w:rsidR="00C85FC3" w:rsidRPr="00576AF8" w:rsidRDefault="00C85FC3" w:rsidP="00510A60">
            <w:pPr>
              <w:spacing w:before="100" w:after="100"/>
              <w:jc w:val="center"/>
              <w:rPr>
                <w:sz w:val="22"/>
              </w:rPr>
            </w:pPr>
            <w:r w:rsidRPr="00576AF8">
              <w:rPr>
                <w:sz w:val="22"/>
              </w:rPr>
              <w:t>2.</w:t>
            </w:r>
          </w:p>
        </w:tc>
        <w:tc>
          <w:tcPr>
            <w:tcW w:w="2942" w:type="dxa"/>
          </w:tcPr>
          <w:p w14:paraId="5D8F56E2" w14:textId="77777777" w:rsidR="00C85FC3" w:rsidRPr="00576AF8" w:rsidRDefault="00C85FC3" w:rsidP="00510A60">
            <w:pPr>
              <w:spacing w:before="100" w:after="100"/>
              <w:jc w:val="left"/>
              <w:rPr>
                <w:sz w:val="22"/>
              </w:rPr>
            </w:pPr>
            <w:r w:rsidRPr="00576AF8">
              <w:rPr>
                <w:sz w:val="22"/>
              </w:rPr>
              <w:t xml:space="preserve">Licencias y actualizaciones de software </w:t>
            </w:r>
          </w:p>
        </w:tc>
        <w:tc>
          <w:tcPr>
            <w:tcW w:w="1095" w:type="dxa"/>
          </w:tcPr>
          <w:p w14:paraId="5F05115D" w14:textId="77777777" w:rsidR="00C85FC3" w:rsidRPr="00576AF8" w:rsidRDefault="00C85FC3" w:rsidP="00510A60">
            <w:pPr>
              <w:spacing w:before="100" w:after="100"/>
              <w:jc w:val="center"/>
              <w:rPr>
                <w:sz w:val="22"/>
              </w:rPr>
            </w:pPr>
            <w:r w:rsidRPr="00576AF8">
              <w:rPr>
                <w:sz w:val="22"/>
              </w:rPr>
              <w:t>Incl. en la garantía</w:t>
            </w:r>
          </w:p>
        </w:tc>
        <w:tc>
          <w:tcPr>
            <w:tcW w:w="1095" w:type="dxa"/>
          </w:tcPr>
          <w:p w14:paraId="607817E4" w14:textId="77777777" w:rsidR="00C85FC3" w:rsidRPr="00576AF8" w:rsidRDefault="00C85FC3" w:rsidP="00510A60">
            <w:pPr>
              <w:spacing w:before="100" w:after="100"/>
              <w:jc w:val="center"/>
              <w:rPr>
                <w:sz w:val="22"/>
              </w:rPr>
            </w:pPr>
          </w:p>
        </w:tc>
        <w:tc>
          <w:tcPr>
            <w:tcW w:w="1140" w:type="dxa"/>
          </w:tcPr>
          <w:p w14:paraId="7A39705F" w14:textId="77777777" w:rsidR="00C85FC3" w:rsidRPr="00576AF8" w:rsidRDefault="00C85FC3" w:rsidP="00510A60">
            <w:pPr>
              <w:spacing w:before="100" w:after="100"/>
              <w:jc w:val="center"/>
              <w:rPr>
                <w:sz w:val="22"/>
              </w:rPr>
            </w:pPr>
          </w:p>
        </w:tc>
        <w:tc>
          <w:tcPr>
            <w:tcW w:w="1050" w:type="dxa"/>
          </w:tcPr>
          <w:p w14:paraId="0898F7F5" w14:textId="77777777" w:rsidR="00C85FC3" w:rsidRPr="00576AF8" w:rsidRDefault="00C85FC3" w:rsidP="00510A60">
            <w:pPr>
              <w:spacing w:before="100" w:after="100"/>
              <w:jc w:val="center"/>
              <w:rPr>
                <w:sz w:val="22"/>
              </w:rPr>
            </w:pPr>
          </w:p>
        </w:tc>
        <w:tc>
          <w:tcPr>
            <w:tcW w:w="1095" w:type="dxa"/>
          </w:tcPr>
          <w:p w14:paraId="6F6D26D3" w14:textId="77777777" w:rsidR="00C85FC3" w:rsidRPr="00576AF8" w:rsidRDefault="00C85FC3" w:rsidP="00510A60">
            <w:pPr>
              <w:spacing w:before="100" w:after="100"/>
              <w:jc w:val="center"/>
              <w:rPr>
                <w:sz w:val="22"/>
              </w:rPr>
            </w:pPr>
          </w:p>
        </w:tc>
        <w:tc>
          <w:tcPr>
            <w:tcW w:w="1095" w:type="dxa"/>
          </w:tcPr>
          <w:p w14:paraId="49776F07" w14:textId="77777777" w:rsidR="00C85FC3" w:rsidRPr="00576AF8" w:rsidRDefault="00C85FC3" w:rsidP="00510A60">
            <w:pPr>
              <w:spacing w:before="100" w:after="100"/>
              <w:jc w:val="center"/>
              <w:rPr>
                <w:sz w:val="22"/>
              </w:rPr>
            </w:pPr>
          </w:p>
        </w:tc>
        <w:tc>
          <w:tcPr>
            <w:tcW w:w="2250" w:type="dxa"/>
          </w:tcPr>
          <w:p w14:paraId="05EB3B7C" w14:textId="77777777" w:rsidR="00C85FC3" w:rsidRPr="00576AF8" w:rsidRDefault="00C85FC3" w:rsidP="00510A60">
            <w:pPr>
              <w:spacing w:before="100" w:after="100"/>
              <w:jc w:val="center"/>
              <w:rPr>
                <w:sz w:val="22"/>
              </w:rPr>
            </w:pPr>
          </w:p>
        </w:tc>
      </w:tr>
      <w:tr w:rsidR="00C85FC3" w:rsidRPr="00576AF8" w14:paraId="319AE98E" w14:textId="77777777" w:rsidTr="00510A60">
        <w:trPr>
          <w:cantSplit/>
        </w:trPr>
        <w:tc>
          <w:tcPr>
            <w:tcW w:w="1126" w:type="dxa"/>
          </w:tcPr>
          <w:p w14:paraId="6EB389C1" w14:textId="77777777" w:rsidR="00C85FC3" w:rsidRPr="00576AF8" w:rsidRDefault="00C85FC3" w:rsidP="00510A60">
            <w:pPr>
              <w:spacing w:before="100" w:after="100"/>
              <w:jc w:val="center"/>
              <w:rPr>
                <w:sz w:val="22"/>
              </w:rPr>
            </w:pPr>
            <w:r w:rsidRPr="00576AF8">
              <w:rPr>
                <w:sz w:val="22"/>
              </w:rPr>
              <w:t>2.1</w:t>
            </w:r>
          </w:p>
        </w:tc>
        <w:tc>
          <w:tcPr>
            <w:tcW w:w="2942" w:type="dxa"/>
          </w:tcPr>
          <w:p w14:paraId="78B8B030" w14:textId="77777777" w:rsidR="00C85FC3" w:rsidRPr="00576AF8" w:rsidRDefault="00C85FC3" w:rsidP="00510A60">
            <w:pPr>
              <w:spacing w:before="100" w:after="100"/>
              <w:ind w:left="302"/>
              <w:jc w:val="left"/>
              <w:rPr>
                <w:sz w:val="22"/>
              </w:rPr>
            </w:pPr>
            <w:r w:rsidRPr="00576AF8">
              <w:rPr>
                <w:sz w:val="22"/>
              </w:rPr>
              <w:t xml:space="preserve">Software del Sistema y </w:t>
            </w:r>
            <w:r w:rsidRPr="00576AF8">
              <w:rPr>
                <w:sz w:val="22"/>
              </w:rPr>
              <w:br/>
              <w:t>de propósito general</w:t>
            </w:r>
          </w:p>
        </w:tc>
        <w:tc>
          <w:tcPr>
            <w:tcW w:w="1095" w:type="dxa"/>
          </w:tcPr>
          <w:p w14:paraId="604C2409" w14:textId="77777777" w:rsidR="00C85FC3" w:rsidRPr="00576AF8" w:rsidRDefault="00C85FC3" w:rsidP="00510A60">
            <w:pPr>
              <w:spacing w:before="100" w:after="100"/>
              <w:jc w:val="center"/>
              <w:rPr>
                <w:sz w:val="22"/>
              </w:rPr>
            </w:pPr>
            <w:r w:rsidRPr="00576AF8">
              <w:rPr>
                <w:sz w:val="22"/>
              </w:rPr>
              <w:t>Incl. en la garantía</w:t>
            </w:r>
          </w:p>
        </w:tc>
        <w:tc>
          <w:tcPr>
            <w:tcW w:w="1095" w:type="dxa"/>
          </w:tcPr>
          <w:p w14:paraId="640F5E2F" w14:textId="77777777" w:rsidR="00C85FC3" w:rsidRPr="00576AF8" w:rsidRDefault="00C85FC3" w:rsidP="00510A60">
            <w:pPr>
              <w:spacing w:before="100" w:after="100"/>
              <w:jc w:val="center"/>
              <w:rPr>
                <w:sz w:val="22"/>
              </w:rPr>
            </w:pPr>
          </w:p>
        </w:tc>
        <w:tc>
          <w:tcPr>
            <w:tcW w:w="1140" w:type="dxa"/>
          </w:tcPr>
          <w:p w14:paraId="3C9D2703" w14:textId="77777777" w:rsidR="00C85FC3" w:rsidRPr="00576AF8" w:rsidRDefault="00C85FC3" w:rsidP="00510A60">
            <w:pPr>
              <w:spacing w:before="100" w:after="100"/>
              <w:jc w:val="center"/>
              <w:rPr>
                <w:sz w:val="22"/>
              </w:rPr>
            </w:pPr>
          </w:p>
        </w:tc>
        <w:tc>
          <w:tcPr>
            <w:tcW w:w="1050" w:type="dxa"/>
          </w:tcPr>
          <w:p w14:paraId="73EE742E" w14:textId="77777777" w:rsidR="00C85FC3" w:rsidRPr="00576AF8" w:rsidRDefault="00C85FC3" w:rsidP="00510A60">
            <w:pPr>
              <w:spacing w:before="100" w:after="100"/>
              <w:jc w:val="center"/>
              <w:rPr>
                <w:sz w:val="22"/>
              </w:rPr>
            </w:pPr>
          </w:p>
        </w:tc>
        <w:tc>
          <w:tcPr>
            <w:tcW w:w="1095" w:type="dxa"/>
          </w:tcPr>
          <w:p w14:paraId="1DEBFD9A" w14:textId="77777777" w:rsidR="00C85FC3" w:rsidRPr="00576AF8" w:rsidRDefault="00C85FC3" w:rsidP="00510A60">
            <w:pPr>
              <w:spacing w:before="100" w:after="100"/>
              <w:jc w:val="center"/>
              <w:rPr>
                <w:sz w:val="22"/>
              </w:rPr>
            </w:pPr>
          </w:p>
        </w:tc>
        <w:tc>
          <w:tcPr>
            <w:tcW w:w="1095" w:type="dxa"/>
          </w:tcPr>
          <w:p w14:paraId="016CBE36" w14:textId="77777777" w:rsidR="00C85FC3" w:rsidRPr="00576AF8" w:rsidRDefault="00C85FC3" w:rsidP="00510A60">
            <w:pPr>
              <w:spacing w:before="100" w:after="100"/>
              <w:jc w:val="center"/>
              <w:rPr>
                <w:sz w:val="22"/>
              </w:rPr>
            </w:pPr>
          </w:p>
        </w:tc>
        <w:tc>
          <w:tcPr>
            <w:tcW w:w="2250" w:type="dxa"/>
          </w:tcPr>
          <w:p w14:paraId="43C9D91C" w14:textId="77777777" w:rsidR="00C85FC3" w:rsidRPr="00576AF8" w:rsidRDefault="00C85FC3" w:rsidP="00510A60">
            <w:pPr>
              <w:spacing w:before="100" w:after="100"/>
              <w:jc w:val="center"/>
              <w:rPr>
                <w:sz w:val="22"/>
              </w:rPr>
            </w:pPr>
          </w:p>
        </w:tc>
      </w:tr>
      <w:tr w:rsidR="00C85FC3" w:rsidRPr="00576AF8" w14:paraId="5AC24581" w14:textId="77777777" w:rsidTr="00510A60">
        <w:trPr>
          <w:cantSplit/>
        </w:trPr>
        <w:tc>
          <w:tcPr>
            <w:tcW w:w="1126" w:type="dxa"/>
          </w:tcPr>
          <w:p w14:paraId="1EFEBE7C" w14:textId="77777777" w:rsidR="00C85FC3" w:rsidRPr="00576AF8" w:rsidRDefault="00C85FC3" w:rsidP="00510A60">
            <w:pPr>
              <w:spacing w:before="100" w:after="100"/>
              <w:jc w:val="center"/>
              <w:rPr>
                <w:sz w:val="22"/>
              </w:rPr>
            </w:pPr>
            <w:r w:rsidRPr="00576AF8">
              <w:rPr>
                <w:sz w:val="22"/>
              </w:rPr>
              <w:t>2.2</w:t>
            </w:r>
          </w:p>
        </w:tc>
        <w:tc>
          <w:tcPr>
            <w:tcW w:w="2942" w:type="dxa"/>
          </w:tcPr>
          <w:p w14:paraId="2DDE62FB" w14:textId="77777777" w:rsidR="00C85FC3" w:rsidRPr="00576AF8" w:rsidRDefault="00C85FC3" w:rsidP="00510A60">
            <w:pPr>
              <w:spacing w:before="100" w:after="100"/>
              <w:ind w:left="302"/>
              <w:jc w:val="left"/>
              <w:rPr>
                <w:sz w:val="22"/>
              </w:rPr>
            </w:pPr>
            <w:r w:rsidRPr="00576AF8">
              <w:rPr>
                <w:sz w:val="22"/>
              </w:rPr>
              <w:t>Software de aplicación, estándar y personalizado</w:t>
            </w:r>
          </w:p>
        </w:tc>
        <w:tc>
          <w:tcPr>
            <w:tcW w:w="1095" w:type="dxa"/>
          </w:tcPr>
          <w:p w14:paraId="4787F90C" w14:textId="77777777" w:rsidR="00C85FC3" w:rsidRPr="00576AF8" w:rsidRDefault="00C85FC3" w:rsidP="00510A60">
            <w:pPr>
              <w:spacing w:before="100" w:after="100"/>
              <w:jc w:val="center"/>
              <w:rPr>
                <w:sz w:val="22"/>
              </w:rPr>
            </w:pPr>
            <w:r w:rsidRPr="00576AF8">
              <w:rPr>
                <w:sz w:val="22"/>
              </w:rPr>
              <w:t>Incl. en la garantía</w:t>
            </w:r>
          </w:p>
        </w:tc>
        <w:tc>
          <w:tcPr>
            <w:tcW w:w="1095" w:type="dxa"/>
          </w:tcPr>
          <w:p w14:paraId="466A0E3C" w14:textId="77777777" w:rsidR="00C85FC3" w:rsidRPr="00576AF8" w:rsidRDefault="00C85FC3" w:rsidP="00510A60">
            <w:pPr>
              <w:spacing w:before="100" w:after="100"/>
              <w:jc w:val="center"/>
              <w:rPr>
                <w:sz w:val="22"/>
              </w:rPr>
            </w:pPr>
          </w:p>
        </w:tc>
        <w:tc>
          <w:tcPr>
            <w:tcW w:w="1140" w:type="dxa"/>
          </w:tcPr>
          <w:p w14:paraId="6DB0FB92" w14:textId="77777777" w:rsidR="00C85FC3" w:rsidRPr="00576AF8" w:rsidRDefault="00C85FC3" w:rsidP="00510A60">
            <w:pPr>
              <w:spacing w:before="100" w:after="100"/>
              <w:jc w:val="center"/>
              <w:rPr>
                <w:sz w:val="22"/>
              </w:rPr>
            </w:pPr>
          </w:p>
        </w:tc>
        <w:tc>
          <w:tcPr>
            <w:tcW w:w="1050" w:type="dxa"/>
          </w:tcPr>
          <w:p w14:paraId="39AFFFD5" w14:textId="77777777" w:rsidR="00C85FC3" w:rsidRPr="00576AF8" w:rsidRDefault="00C85FC3" w:rsidP="00510A60">
            <w:pPr>
              <w:spacing w:before="100" w:after="100"/>
              <w:jc w:val="center"/>
              <w:rPr>
                <w:sz w:val="22"/>
              </w:rPr>
            </w:pPr>
          </w:p>
        </w:tc>
        <w:tc>
          <w:tcPr>
            <w:tcW w:w="1095" w:type="dxa"/>
          </w:tcPr>
          <w:p w14:paraId="2FF66885" w14:textId="77777777" w:rsidR="00C85FC3" w:rsidRPr="00576AF8" w:rsidRDefault="00C85FC3" w:rsidP="00510A60">
            <w:pPr>
              <w:spacing w:before="100" w:after="100"/>
              <w:jc w:val="center"/>
              <w:rPr>
                <w:sz w:val="22"/>
              </w:rPr>
            </w:pPr>
          </w:p>
        </w:tc>
        <w:tc>
          <w:tcPr>
            <w:tcW w:w="1095" w:type="dxa"/>
          </w:tcPr>
          <w:p w14:paraId="1B147D80" w14:textId="77777777" w:rsidR="00C85FC3" w:rsidRPr="00576AF8" w:rsidRDefault="00C85FC3" w:rsidP="00510A60">
            <w:pPr>
              <w:spacing w:before="100" w:after="100"/>
              <w:jc w:val="center"/>
              <w:rPr>
                <w:sz w:val="22"/>
              </w:rPr>
            </w:pPr>
          </w:p>
        </w:tc>
        <w:tc>
          <w:tcPr>
            <w:tcW w:w="2250" w:type="dxa"/>
          </w:tcPr>
          <w:p w14:paraId="7C1F6067" w14:textId="77777777" w:rsidR="00C85FC3" w:rsidRPr="00576AF8" w:rsidRDefault="00C85FC3" w:rsidP="00510A60">
            <w:pPr>
              <w:spacing w:before="100" w:after="100"/>
              <w:jc w:val="center"/>
              <w:rPr>
                <w:sz w:val="22"/>
              </w:rPr>
            </w:pPr>
          </w:p>
        </w:tc>
      </w:tr>
      <w:tr w:rsidR="00C85FC3" w:rsidRPr="00576AF8" w14:paraId="4B3DF039" w14:textId="77777777" w:rsidTr="00510A60">
        <w:trPr>
          <w:cantSplit/>
        </w:trPr>
        <w:tc>
          <w:tcPr>
            <w:tcW w:w="1126" w:type="dxa"/>
          </w:tcPr>
          <w:p w14:paraId="69F149E4" w14:textId="77777777" w:rsidR="00C85FC3" w:rsidRPr="00576AF8" w:rsidRDefault="00C85FC3" w:rsidP="00510A60">
            <w:pPr>
              <w:spacing w:before="100" w:after="100"/>
              <w:jc w:val="center"/>
              <w:rPr>
                <w:sz w:val="22"/>
              </w:rPr>
            </w:pPr>
            <w:r w:rsidRPr="00576AF8">
              <w:rPr>
                <w:sz w:val="22"/>
              </w:rPr>
              <w:t>3.</w:t>
            </w:r>
          </w:p>
        </w:tc>
        <w:tc>
          <w:tcPr>
            <w:tcW w:w="2942" w:type="dxa"/>
          </w:tcPr>
          <w:p w14:paraId="68AC9C79" w14:textId="77777777" w:rsidR="00C85FC3" w:rsidRPr="00576AF8" w:rsidRDefault="00C85FC3" w:rsidP="00510A60">
            <w:pPr>
              <w:spacing w:before="100" w:after="100"/>
              <w:jc w:val="left"/>
              <w:rPr>
                <w:sz w:val="22"/>
              </w:rPr>
            </w:pPr>
            <w:r w:rsidRPr="00576AF8">
              <w:rPr>
                <w:sz w:val="22"/>
              </w:rPr>
              <w:t>Servicios técnicos</w:t>
            </w:r>
          </w:p>
        </w:tc>
        <w:tc>
          <w:tcPr>
            <w:tcW w:w="1095" w:type="dxa"/>
          </w:tcPr>
          <w:p w14:paraId="40FBB655" w14:textId="77777777" w:rsidR="00C85FC3" w:rsidRPr="00576AF8" w:rsidRDefault="00C85FC3" w:rsidP="00510A60">
            <w:pPr>
              <w:spacing w:before="100" w:after="100"/>
              <w:jc w:val="center"/>
              <w:rPr>
                <w:sz w:val="22"/>
              </w:rPr>
            </w:pPr>
          </w:p>
        </w:tc>
        <w:tc>
          <w:tcPr>
            <w:tcW w:w="1095" w:type="dxa"/>
          </w:tcPr>
          <w:p w14:paraId="138EB5B2" w14:textId="77777777" w:rsidR="00C85FC3" w:rsidRPr="00576AF8" w:rsidRDefault="00C85FC3" w:rsidP="00510A60">
            <w:pPr>
              <w:spacing w:before="100" w:after="100"/>
              <w:jc w:val="center"/>
              <w:rPr>
                <w:sz w:val="22"/>
              </w:rPr>
            </w:pPr>
          </w:p>
        </w:tc>
        <w:tc>
          <w:tcPr>
            <w:tcW w:w="1140" w:type="dxa"/>
          </w:tcPr>
          <w:p w14:paraId="64DD26D5" w14:textId="77777777" w:rsidR="00C85FC3" w:rsidRPr="00576AF8" w:rsidRDefault="00C85FC3" w:rsidP="00510A60">
            <w:pPr>
              <w:spacing w:before="100" w:after="100"/>
              <w:jc w:val="center"/>
              <w:rPr>
                <w:sz w:val="22"/>
              </w:rPr>
            </w:pPr>
          </w:p>
        </w:tc>
        <w:tc>
          <w:tcPr>
            <w:tcW w:w="1050" w:type="dxa"/>
          </w:tcPr>
          <w:p w14:paraId="1327A9ED" w14:textId="77777777" w:rsidR="00C85FC3" w:rsidRPr="00576AF8" w:rsidRDefault="00C85FC3" w:rsidP="00510A60">
            <w:pPr>
              <w:spacing w:before="100" w:after="100"/>
              <w:jc w:val="center"/>
              <w:rPr>
                <w:sz w:val="22"/>
              </w:rPr>
            </w:pPr>
          </w:p>
        </w:tc>
        <w:tc>
          <w:tcPr>
            <w:tcW w:w="1095" w:type="dxa"/>
          </w:tcPr>
          <w:p w14:paraId="73AE95D4" w14:textId="77777777" w:rsidR="00C85FC3" w:rsidRPr="00576AF8" w:rsidRDefault="00C85FC3" w:rsidP="00510A60">
            <w:pPr>
              <w:spacing w:before="100" w:after="100"/>
              <w:jc w:val="center"/>
              <w:rPr>
                <w:sz w:val="22"/>
              </w:rPr>
            </w:pPr>
          </w:p>
        </w:tc>
        <w:tc>
          <w:tcPr>
            <w:tcW w:w="1095" w:type="dxa"/>
          </w:tcPr>
          <w:p w14:paraId="0BB6D0B8" w14:textId="77777777" w:rsidR="00C85FC3" w:rsidRPr="00576AF8" w:rsidRDefault="00C85FC3" w:rsidP="00510A60">
            <w:pPr>
              <w:spacing w:before="100" w:after="100"/>
              <w:jc w:val="center"/>
              <w:rPr>
                <w:sz w:val="22"/>
              </w:rPr>
            </w:pPr>
          </w:p>
        </w:tc>
        <w:tc>
          <w:tcPr>
            <w:tcW w:w="2250" w:type="dxa"/>
          </w:tcPr>
          <w:p w14:paraId="7F71C921" w14:textId="77777777" w:rsidR="00C85FC3" w:rsidRPr="00576AF8" w:rsidRDefault="00C85FC3" w:rsidP="00510A60">
            <w:pPr>
              <w:spacing w:before="100" w:after="100"/>
              <w:jc w:val="center"/>
              <w:rPr>
                <w:sz w:val="22"/>
              </w:rPr>
            </w:pPr>
          </w:p>
        </w:tc>
      </w:tr>
      <w:tr w:rsidR="00C85FC3" w:rsidRPr="00576AF8" w14:paraId="5BEE3478" w14:textId="77777777" w:rsidTr="00510A60">
        <w:trPr>
          <w:cantSplit/>
        </w:trPr>
        <w:tc>
          <w:tcPr>
            <w:tcW w:w="1126" w:type="dxa"/>
          </w:tcPr>
          <w:p w14:paraId="223590A7" w14:textId="77777777" w:rsidR="00C85FC3" w:rsidRPr="00576AF8" w:rsidRDefault="00C85FC3" w:rsidP="00510A60">
            <w:pPr>
              <w:spacing w:before="100" w:after="100"/>
              <w:jc w:val="center"/>
              <w:rPr>
                <w:sz w:val="22"/>
              </w:rPr>
            </w:pPr>
            <w:r w:rsidRPr="00576AF8">
              <w:rPr>
                <w:sz w:val="22"/>
              </w:rPr>
              <w:lastRenderedPageBreak/>
              <w:t>3.1</w:t>
            </w:r>
          </w:p>
        </w:tc>
        <w:tc>
          <w:tcPr>
            <w:tcW w:w="2942" w:type="dxa"/>
          </w:tcPr>
          <w:p w14:paraId="7BFB1741" w14:textId="77777777" w:rsidR="00C85FC3" w:rsidRPr="00576AF8" w:rsidRDefault="00C85FC3" w:rsidP="00510A60">
            <w:pPr>
              <w:spacing w:before="100" w:after="100"/>
              <w:ind w:left="302"/>
              <w:jc w:val="left"/>
              <w:rPr>
                <w:sz w:val="22"/>
              </w:rPr>
            </w:pPr>
            <w:r w:rsidRPr="00576AF8">
              <w:rPr>
                <w:sz w:val="22"/>
              </w:rPr>
              <w:t xml:space="preserve">Analista superior </w:t>
            </w:r>
            <w:r w:rsidRPr="00576AF8">
              <w:rPr>
                <w:sz w:val="22"/>
              </w:rPr>
              <w:br/>
              <w:t>de sistemas</w:t>
            </w:r>
          </w:p>
        </w:tc>
        <w:tc>
          <w:tcPr>
            <w:tcW w:w="1095" w:type="dxa"/>
          </w:tcPr>
          <w:p w14:paraId="6AB8087B" w14:textId="77777777" w:rsidR="00C85FC3" w:rsidRPr="00576AF8" w:rsidRDefault="00C85FC3" w:rsidP="00510A60">
            <w:pPr>
              <w:spacing w:before="100" w:after="100"/>
              <w:jc w:val="center"/>
              <w:rPr>
                <w:sz w:val="22"/>
              </w:rPr>
            </w:pPr>
          </w:p>
        </w:tc>
        <w:tc>
          <w:tcPr>
            <w:tcW w:w="1095" w:type="dxa"/>
          </w:tcPr>
          <w:p w14:paraId="312A37DE" w14:textId="77777777" w:rsidR="00C85FC3" w:rsidRPr="00576AF8" w:rsidRDefault="00C85FC3" w:rsidP="00510A60">
            <w:pPr>
              <w:spacing w:before="100" w:after="100"/>
              <w:jc w:val="center"/>
              <w:rPr>
                <w:sz w:val="22"/>
              </w:rPr>
            </w:pPr>
          </w:p>
        </w:tc>
        <w:tc>
          <w:tcPr>
            <w:tcW w:w="1140" w:type="dxa"/>
          </w:tcPr>
          <w:p w14:paraId="3BAE09AE" w14:textId="77777777" w:rsidR="00C85FC3" w:rsidRPr="00576AF8" w:rsidRDefault="00C85FC3" w:rsidP="00510A60">
            <w:pPr>
              <w:spacing w:before="100" w:after="100"/>
              <w:jc w:val="center"/>
              <w:rPr>
                <w:sz w:val="22"/>
              </w:rPr>
            </w:pPr>
          </w:p>
        </w:tc>
        <w:tc>
          <w:tcPr>
            <w:tcW w:w="1050" w:type="dxa"/>
          </w:tcPr>
          <w:p w14:paraId="1EB61D5F" w14:textId="77777777" w:rsidR="00C85FC3" w:rsidRPr="00576AF8" w:rsidRDefault="00C85FC3" w:rsidP="00510A60">
            <w:pPr>
              <w:spacing w:before="100" w:after="100"/>
              <w:jc w:val="center"/>
              <w:rPr>
                <w:sz w:val="22"/>
              </w:rPr>
            </w:pPr>
          </w:p>
        </w:tc>
        <w:tc>
          <w:tcPr>
            <w:tcW w:w="1095" w:type="dxa"/>
          </w:tcPr>
          <w:p w14:paraId="4B919217" w14:textId="77777777" w:rsidR="00C85FC3" w:rsidRPr="00576AF8" w:rsidRDefault="00C85FC3" w:rsidP="00510A60">
            <w:pPr>
              <w:spacing w:before="100" w:after="100"/>
              <w:jc w:val="center"/>
              <w:rPr>
                <w:sz w:val="22"/>
              </w:rPr>
            </w:pPr>
          </w:p>
        </w:tc>
        <w:tc>
          <w:tcPr>
            <w:tcW w:w="1095" w:type="dxa"/>
          </w:tcPr>
          <w:p w14:paraId="2A9E4842" w14:textId="77777777" w:rsidR="00C85FC3" w:rsidRPr="00576AF8" w:rsidRDefault="00C85FC3" w:rsidP="00510A60">
            <w:pPr>
              <w:spacing w:before="100" w:after="100"/>
              <w:jc w:val="center"/>
              <w:rPr>
                <w:sz w:val="22"/>
              </w:rPr>
            </w:pPr>
          </w:p>
        </w:tc>
        <w:tc>
          <w:tcPr>
            <w:tcW w:w="2250" w:type="dxa"/>
          </w:tcPr>
          <w:p w14:paraId="1546E5E5" w14:textId="77777777" w:rsidR="00C85FC3" w:rsidRPr="00576AF8" w:rsidRDefault="00C85FC3" w:rsidP="00510A60">
            <w:pPr>
              <w:spacing w:before="100" w:after="100"/>
              <w:jc w:val="center"/>
              <w:rPr>
                <w:sz w:val="22"/>
              </w:rPr>
            </w:pPr>
          </w:p>
        </w:tc>
      </w:tr>
      <w:tr w:rsidR="00C85FC3" w:rsidRPr="00576AF8" w14:paraId="559DEEBF" w14:textId="77777777" w:rsidTr="00510A60">
        <w:trPr>
          <w:cantSplit/>
        </w:trPr>
        <w:tc>
          <w:tcPr>
            <w:tcW w:w="1126" w:type="dxa"/>
          </w:tcPr>
          <w:p w14:paraId="5C5FB4DC" w14:textId="77777777" w:rsidR="00C85FC3" w:rsidRPr="00576AF8" w:rsidRDefault="00C85FC3" w:rsidP="00510A60">
            <w:pPr>
              <w:spacing w:before="100" w:after="100"/>
              <w:jc w:val="center"/>
              <w:rPr>
                <w:sz w:val="22"/>
              </w:rPr>
            </w:pPr>
            <w:r w:rsidRPr="00576AF8">
              <w:rPr>
                <w:sz w:val="22"/>
              </w:rPr>
              <w:t>3.2</w:t>
            </w:r>
          </w:p>
        </w:tc>
        <w:tc>
          <w:tcPr>
            <w:tcW w:w="2942" w:type="dxa"/>
          </w:tcPr>
          <w:p w14:paraId="5EAA50E2" w14:textId="77777777" w:rsidR="00C85FC3" w:rsidRPr="00576AF8" w:rsidRDefault="00C85FC3" w:rsidP="00510A60">
            <w:pPr>
              <w:spacing w:before="100" w:after="100"/>
              <w:ind w:left="302"/>
              <w:jc w:val="left"/>
              <w:rPr>
                <w:sz w:val="22"/>
              </w:rPr>
            </w:pPr>
            <w:r w:rsidRPr="00576AF8">
              <w:rPr>
                <w:sz w:val="22"/>
              </w:rPr>
              <w:t>Programador superior</w:t>
            </w:r>
          </w:p>
        </w:tc>
        <w:tc>
          <w:tcPr>
            <w:tcW w:w="1095" w:type="dxa"/>
          </w:tcPr>
          <w:p w14:paraId="46EDDCB2" w14:textId="77777777" w:rsidR="00C85FC3" w:rsidRPr="00576AF8" w:rsidRDefault="00C85FC3" w:rsidP="00510A60">
            <w:pPr>
              <w:spacing w:before="100" w:after="100"/>
              <w:jc w:val="center"/>
              <w:rPr>
                <w:sz w:val="22"/>
              </w:rPr>
            </w:pPr>
          </w:p>
        </w:tc>
        <w:tc>
          <w:tcPr>
            <w:tcW w:w="1095" w:type="dxa"/>
          </w:tcPr>
          <w:p w14:paraId="2E387667" w14:textId="77777777" w:rsidR="00C85FC3" w:rsidRPr="00576AF8" w:rsidRDefault="00C85FC3" w:rsidP="00510A60">
            <w:pPr>
              <w:spacing w:before="100" w:after="100"/>
              <w:jc w:val="center"/>
              <w:rPr>
                <w:sz w:val="22"/>
              </w:rPr>
            </w:pPr>
          </w:p>
        </w:tc>
        <w:tc>
          <w:tcPr>
            <w:tcW w:w="1140" w:type="dxa"/>
          </w:tcPr>
          <w:p w14:paraId="472309CF" w14:textId="77777777" w:rsidR="00C85FC3" w:rsidRPr="00576AF8" w:rsidRDefault="00C85FC3" w:rsidP="00510A60">
            <w:pPr>
              <w:spacing w:before="100" w:after="100"/>
              <w:jc w:val="center"/>
              <w:rPr>
                <w:sz w:val="22"/>
              </w:rPr>
            </w:pPr>
          </w:p>
        </w:tc>
        <w:tc>
          <w:tcPr>
            <w:tcW w:w="1050" w:type="dxa"/>
          </w:tcPr>
          <w:p w14:paraId="263C337A" w14:textId="77777777" w:rsidR="00C85FC3" w:rsidRPr="00576AF8" w:rsidRDefault="00C85FC3" w:rsidP="00510A60">
            <w:pPr>
              <w:spacing w:before="100" w:after="100"/>
              <w:jc w:val="center"/>
              <w:rPr>
                <w:sz w:val="22"/>
              </w:rPr>
            </w:pPr>
          </w:p>
        </w:tc>
        <w:tc>
          <w:tcPr>
            <w:tcW w:w="1095" w:type="dxa"/>
          </w:tcPr>
          <w:p w14:paraId="6E8F8AA9" w14:textId="77777777" w:rsidR="00C85FC3" w:rsidRPr="00576AF8" w:rsidRDefault="00C85FC3" w:rsidP="00510A60">
            <w:pPr>
              <w:spacing w:before="100" w:after="100"/>
              <w:jc w:val="center"/>
              <w:rPr>
                <w:sz w:val="22"/>
              </w:rPr>
            </w:pPr>
          </w:p>
        </w:tc>
        <w:tc>
          <w:tcPr>
            <w:tcW w:w="1095" w:type="dxa"/>
          </w:tcPr>
          <w:p w14:paraId="13C77034" w14:textId="77777777" w:rsidR="00C85FC3" w:rsidRPr="00576AF8" w:rsidRDefault="00C85FC3" w:rsidP="00510A60">
            <w:pPr>
              <w:spacing w:before="100" w:after="100"/>
              <w:jc w:val="center"/>
              <w:rPr>
                <w:sz w:val="22"/>
              </w:rPr>
            </w:pPr>
          </w:p>
        </w:tc>
        <w:tc>
          <w:tcPr>
            <w:tcW w:w="2250" w:type="dxa"/>
          </w:tcPr>
          <w:p w14:paraId="652849A3" w14:textId="77777777" w:rsidR="00C85FC3" w:rsidRPr="00576AF8" w:rsidRDefault="00C85FC3" w:rsidP="00510A60">
            <w:pPr>
              <w:spacing w:before="100" w:after="100"/>
              <w:jc w:val="center"/>
              <w:rPr>
                <w:sz w:val="22"/>
              </w:rPr>
            </w:pPr>
          </w:p>
        </w:tc>
      </w:tr>
      <w:tr w:rsidR="00C85FC3" w:rsidRPr="00576AF8" w14:paraId="533B406C" w14:textId="77777777" w:rsidTr="00510A60">
        <w:trPr>
          <w:cantSplit/>
        </w:trPr>
        <w:tc>
          <w:tcPr>
            <w:tcW w:w="1126" w:type="dxa"/>
          </w:tcPr>
          <w:p w14:paraId="26DCEAE2" w14:textId="77777777" w:rsidR="00C85FC3" w:rsidRPr="00576AF8" w:rsidRDefault="00C85FC3" w:rsidP="00510A60">
            <w:pPr>
              <w:spacing w:before="100" w:after="100"/>
              <w:jc w:val="center"/>
              <w:rPr>
                <w:sz w:val="22"/>
              </w:rPr>
            </w:pPr>
            <w:r w:rsidRPr="00576AF8">
              <w:rPr>
                <w:sz w:val="22"/>
              </w:rPr>
              <w:t>3.3</w:t>
            </w:r>
          </w:p>
        </w:tc>
        <w:tc>
          <w:tcPr>
            <w:tcW w:w="2942" w:type="dxa"/>
          </w:tcPr>
          <w:p w14:paraId="042B9D3F" w14:textId="77777777" w:rsidR="00C85FC3" w:rsidRPr="00576AF8" w:rsidRDefault="00C85FC3" w:rsidP="00510A60">
            <w:pPr>
              <w:spacing w:before="100" w:after="100"/>
              <w:ind w:left="302"/>
              <w:jc w:val="left"/>
              <w:rPr>
                <w:sz w:val="22"/>
              </w:rPr>
            </w:pPr>
            <w:r w:rsidRPr="00576AF8">
              <w:rPr>
                <w:sz w:val="22"/>
              </w:rPr>
              <w:t xml:space="preserve">Especialista superior </w:t>
            </w:r>
            <w:r w:rsidRPr="00576AF8">
              <w:rPr>
                <w:sz w:val="22"/>
              </w:rPr>
              <w:br/>
              <w:t>en redes... etc.</w:t>
            </w:r>
          </w:p>
        </w:tc>
        <w:tc>
          <w:tcPr>
            <w:tcW w:w="1095" w:type="dxa"/>
          </w:tcPr>
          <w:p w14:paraId="183C35C2" w14:textId="77777777" w:rsidR="00C85FC3" w:rsidRPr="00576AF8" w:rsidRDefault="00C85FC3" w:rsidP="00510A60">
            <w:pPr>
              <w:spacing w:before="100" w:after="100"/>
              <w:jc w:val="center"/>
              <w:rPr>
                <w:sz w:val="22"/>
              </w:rPr>
            </w:pPr>
          </w:p>
        </w:tc>
        <w:tc>
          <w:tcPr>
            <w:tcW w:w="1095" w:type="dxa"/>
          </w:tcPr>
          <w:p w14:paraId="58E70BF9" w14:textId="77777777" w:rsidR="00C85FC3" w:rsidRPr="00576AF8" w:rsidRDefault="00C85FC3" w:rsidP="00510A60">
            <w:pPr>
              <w:spacing w:before="100" w:after="100"/>
              <w:jc w:val="center"/>
              <w:rPr>
                <w:sz w:val="22"/>
              </w:rPr>
            </w:pPr>
          </w:p>
        </w:tc>
        <w:tc>
          <w:tcPr>
            <w:tcW w:w="1140" w:type="dxa"/>
          </w:tcPr>
          <w:p w14:paraId="32C327A6" w14:textId="77777777" w:rsidR="00C85FC3" w:rsidRPr="00576AF8" w:rsidRDefault="00C85FC3" w:rsidP="00510A60">
            <w:pPr>
              <w:spacing w:before="100" w:after="100"/>
              <w:jc w:val="center"/>
              <w:rPr>
                <w:sz w:val="22"/>
              </w:rPr>
            </w:pPr>
          </w:p>
        </w:tc>
        <w:tc>
          <w:tcPr>
            <w:tcW w:w="1050" w:type="dxa"/>
          </w:tcPr>
          <w:p w14:paraId="03D4DD21" w14:textId="77777777" w:rsidR="00C85FC3" w:rsidRPr="00576AF8" w:rsidRDefault="00C85FC3" w:rsidP="00510A60">
            <w:pPr>
              <w:spacing w:before="100" w:after="100"/>
              <w:jc w:val="center"/>
              <w:rPr>
                <w:sz w:val="22"/>
              </w:rPr>
            </w:pPr>
          </w:p>
        </w:tc>
        <w:tc>
          <w:tcPr>
            <w:tcW w:w="1095" w:type="dxa"/>
          </w:tcPr>
          <w:p w14:paraId="1833FBF4" w14:textId="77777777" w:rsidR="00C85FC3" w:rsidRPr="00576AF8" w:rsidRDefault="00C85FC3" w:rsidP="00510A60">
            <w:pPr>
              <w:spacing w:before="100" w:after="100"/>
              <w:jc w:val="center"/>
              <w:rPr>
                <w:sz w:val="22"/>
              </w:rPr>
            </w:pPr>
          </w:p>
        </w:tc>
        <w:tc>
          <w:tcPr>
            <w:tcW w:w="1095" w:type="dxa"/>
          </w:tcPr>
          <w:p w14:paraId="1D5585A0" w14:textId="77777777" w:rsidR="00C85FC3" w:rsidRPr="00576AF8" w:rsidRDefault="00C85FC3" w:rsidP="00510A60">
            <w:pPr>
              <w:spacing w:before="100" w:after="100"/>
              <w:jc w:val="center"/>
              <w:rPr>
                <w:sz w:val="22"/>
              </w:rPr>
            </w:pPr>
          </w:p>
        </w:tc>
        <w:tc>
          <w:tcPr>
            <w:tcW w:w="2250" w:type="dxa"/>
          </w:tcPr>
          <w:p w14:paraId="74F417A0" w14:textId="77777777" w:rsidR="00C85FC3" w:rsidRPr="00576AF8" w:rsidRDefault="00C85FC3" w:rsidP="00510A60">
            <w:pPr>
              <w:spacing w:before="100" w:after="100"/>
              <w:jc w:val="center"/>
              <w:rPr>
                <w:sz w:val="22"/>
              </w:rPr>
            </w:pPr>
          </w:p>
        </w:tc>
      </w:tr>
      <w:tr w:rsidR="00C85FC3" w:rsidRPr="00576AF8" w14:paraId="5582DCF2" w14:textId="77777777" w:rsidTr="00510A60">
        <w:trPr>
          <w:cantSplit/>
        </w:trPr>
        <w:tc>
          <w:tcPr>
            <w:tcW w:w="1126" w:type="dxa"/>
          </w:tcPr>
          <w:p w14:paraId="23234D45" w14:textId="77777777" w:rsidR="00C85FC3" w:rsidRPr="00576AF8" w:rsidRDefault="00C85FC3" w:rsidP="00510A60">
            <w:pPr>
              <w:spacing w:before="100" w:after="100"/>
              <w:jc w:val="center"/>
              <w:rPr>
                <w:sz w:val="22"/>
              </w:rPr>
            </w:pPr>
            <w:r w:rsidRPr="00576AF8">
              <w:rPr>
                <w:sz w:val="22"/>
              </w:rPr>
              <w:t>4.</w:t>
            </w:r>
          </w:p>
        </w:tc>
        <w:tc>
          <w:tcPr>
            <w:tcW w:w="2942" w:type="dxa"/>
          </w:tcPr>
          <w:p w14:paraId="1C582856" w14:textId="77777777" w:rsidR="00C85FC3" w:rsidRPr="00576AF8" w:rsidRDefault="00C85FC3" w:rsidP="00510A60">
            <w:pPr>
              <w:pStyle w:val="tabletxt"/>
              <w:spacing w:before="100" w:after="100"/>
            </w:pPr>
            <w:r w:rsidRPr="00576AF8">
              <w:t xml:space="preserve">Costos de telecomunicaciones </w:t>
            </w:r>
            <w:r w:rsidRPr="00576AF8">
              <w:rPr>
                <w:i/>
                <w:iCs/>
              </w:rPr>
              <w:t>[por detallar]</w:t>
            </w:r>
          </w:p>
        </w:tc>
        <w:tc>
          <w:tcPr>
            <w:tcW w:w="1095" w:type="dxa"/>
          </w:tcPr>
          <w:p w14:paraId="7D101DAA" w14:textId="77777777" w:rsidR="00C85FC3" w:rsidRPr="00576AF8" w:rsidRDefault="00C85FC3" w:rsidP="00510A60">
            <w:pPr>
              <w:spacing w:before="100" w:after="100"/>
              <w:jc w:val="center"/>
              <w:rPr>
                <w:sz w:val="22"/>
              </w:rPr>
            </w:pPr>
          </w:p>
        </w:tc>
        <w:tc>
          <w:tcPr>
            <w:tcW w:w="1095" w:type="dxa"/>
          </w:tcPr>
          <w:p w14:paraId="6E4F0C53" w14:textId="77777777" w:rsidR="00C85FC3" w:rsidRPr="00576AF8" w:rsidRDefault="00C85FC3" w:rsidP="00510A60">
            <w:pPr>
              <w:spacing w:before="100" w:after="100"/>
              <w:jc w:val="center"/>
              <w:rPr>
                <w:sz w:val="22"/>
              </w:rPr>
            </w:pPr>
          </w:p>
        </w:tc>
        <w:tc>
          <w:tcPr>
            <w:tcW w:w="1140" w:type="dxa"/>
          </w:tcPr>
          <w:p w14:paraId="6998B8DF" w14:textId="77777777" w:rsidR="00C85FC3" w:rsidRPr="00576AF8" w:rsidRDefault="00C85FC3" w:rsidP="00510A60">
            <w:pPr>
              <w:spacing w:before="100" w:after="100"/>
              <w:jc w:val="center"/>
              <w:rPr>
                <w:sz w:val="22"/>
              </w:rPr>
            </w:pPr>
          </w:p>
        </w:tc>
        <w:tc>
          <w:tcPr>
            <w:tcW w:w="1050" w:type="dxa"/>
          </w:tcPr>
          <w:p w14:paraId="22F9326F" w14:textId="77777777" w:rsidR="00C85FC3" w:rsidRPr="00576AF8" w:rsidRDefault="00C85FC3" w:rsidP="00510A60">
            <w:pPr>
              <w:spacing w:before="100" w:after="100"/>
              <w:jc w:val="center"/>
              <w:rPr>
                <w:sz w:val="22"/>
              </w:rPr>
            </w:pPr>
          </w:p>
        </w:tc>
        <w:tc>
          <w:tcPr>
            <w:tcW w:w="1095" w:type="dxa"/>
          </w:tcPr>
          <w:p w14:paraId="4D10839F" w14:textId="77777777" w:rsidR="00C85FC3" w:rsidRPr="00576AF8" w:rsidRDefault="00C85FC3" w:rsidP="00510A60">
            <w:pPr>
              <w:spacing w:before="100" w:after="100"/>
              <w:jc w:val="center"/>
              <w:rPr>
                <w:sz w:val="22"/>
              </w:rPr>
            </w:pPr>
          </w:p>
        </w:tc>
        <w:tc>
          <w:tcPr>
            <w:tcW w:w="1095" w:type="dxa"/>
          </w:tcPr>
          <w:p w14:paraId="0D96468D" w14:textId="77777777" w:rsidR="00C85FC3" w:rsidRPr="00576AF8" w:rsidRDefault="00C85FC3" w:rsidP="00510A60">
            <w:pPr>
              <w:spacing w:before="100" w:after="100"/>
              <w:jc w:val="center"/>
              <w:rPr>
                <w:sz w:val="22"/>
              </w:rPr>
            </w:pPr>
          </w:p>
        </w:tc>
        <w:tc>
          <w:tcPr>
            <w:tcW w:w="2250" w:type="dxa"/>
          </w:tcPr>
          <w:p w14:paraId="591D5641" w14:textId="77777777" w:rsidR="00C85FC3" w:rsidRPr="00576AF8" w:rsidRDefault="00C85FC3" w:rsidP="00510A60">
            <w:pPr>
              <w:spacing w:before="100" w:after="100"/>
              <w:jc w:val="center"/>
              <w:rPr>
                <w:sz w:val="22"/>
              </w:rPr>
            </w:pPr>
          </w:p>
        </w:tc>
      </w:tr>
      <w:tr w:rsidR="00C85FC3" w:rsidRPr="00576AF8" w14:paraId="2966B6F9" w14:textId="77777777" w:rsidTr="00510A60">
        <w:trPr>
          <w:cantSplit/>
        </w:trPr>
        <w:tc>
          <w:tcPr>
            <w:tcW w:w="1126" w:type="dxa"/>
          </w:tcPr>
          <w:p w14:paraId="186307E2" w14:textId="77777777" w:rsidR="00C85FC3" w:rsidRPr="00576AF8" w:rsidRDefault="00C85FC3" w:rsidP="00510A60">
            <w:pPr>
              <w:spacing w:before="100" w:after="100"/>
              <w:jc w:val="center"/>
              <w:rPr>
                <w:sz w:val="22"/>
              </w:rPr>
            </w:pPr>
            <w:r w:rsidRPr="00576AF8">
              <w:rPr>
                <w:sz w:val="22"/>
              </w:rPr>
              <w:t>5.</w:t>
            </w:r>
          </w:p>
        </w:tc>
        <w:tc>
          <w:tcPr>
            <w:tcW w:w="2942" w:type="dxa"/>
          </w:tcPr>
          <w:p w14:paraId="2A322605" w14:textId="77777777" w:rsidR="00C85FC3" w:rsidRPr="00576AF8" w:rsidRDefault="00C85FC3" w:rsidP="00510A60">
            <w:pPr>
              <w:pStyle w:val="tabletxt"/>
              <w:spacing w:before="100" w:after="100"/>
              <w:ind w:right="-136"/>
              <w:rPr>
                <w:i/>
                <w:iCs/>
                <w:spacing w:val="-2"/>
              </w:rPr>
            </w:pPr>
            <w:r w:rsidRPr="00576AF8">
              <w:rPr>
                <w:i/>
                <w:iCs/>
                <w:spacing w:val="-2"/>
              </w:rPr>
              <w:t>[Identifique otros gastos recurrentes según corresponda].</w:t>
            </w:r>
          </w:p>
        </w:tc>
        <w:tc>
          <w:tcPr>
            <w:tcW w:w="1095" w:type="dxa"/>
          </w:tcPr>
          <w:p w14:paraId="60E95B24" w14:textId="77777777" w:rsidR="00C85FC3" w:rsidRPr="00576AF8" w:rsidRDefault="00C85FC3" w:rsidP="00510A60">
            <w:pPr>
              <w:spacing w:before="100" w:after="100"/>
              <w:jc w:val="center"/>
              <w:rPr>
                <w:sz w:val="22"/>
              </w:rPr>
            </w:pPr>
          </w:p>
        </w:tc>
        <w:tc>
          <w:tcPr>
            <w:tcW w:w="1095" w:type="dxa"/>
          </w:tcPr>
          <w:p w14:paraId="735A5F4C" w14:textId="77777777" w:rsidR="00C85FC3" w:rsidRPr="00576AF8" w:rsidRDefault="00C85FC3" w:rsidP="00510A60">
            <w:pPr>
              <w:spacing w:before="100" w:after="100"/>
              <w:jc w:val="center"/>
              <w:rPr>
                <w:sz w:val="22"/>
              </w:rPr>
            </w:pPr>
          </w:p>
        </w:tc>
        <w:tc>
          <w:tcPr>
            <w:tcW w:w="1140" w:type="dxa"/>
          </w:tcPr>
          <w:p w14:paraId="6D06E409" w14:textId="77777777" w:rsidR="00C85FC3" w:rsidRPr="00576AF8" w:rsidRDefault="00C85FC3" w:rsidP="00510A60">
            <w:pPr>
              <w:spacing w:before="100" w:after="100"/>
              <w:jc w:val="center"/>
              <w:rPr>
                <w:sz w:val="22"/>
              </w:rPr>
            </w:pPr>
          </w:p>
        </w:tc>
        <w:tc>
          <w:tcPr>
            <w:tcW w:w="1050" w:type="dxa"/>
          </w:tcPr>
          <w:p w14:paraId="3C67302B" w14:textId="77777777" w:rsidR="00C85FC3" w:rsidRPr="00576AF8" w:rsidRDefault="00C85FC3" w:rsidP="00510A60">
            <w:pPr>
              <w:spacing w:before="100" w:after="100"/>
              <w:jc w:val="center"/>
              <w:rPr>
                <w:sz w:val="22"/>
              </w:rPr>
            </w:pPr>
          </w:p>
        </w:tc>
        <w:tc>
          <w:tcPr>
            <w:tcW w:w="1095" w:type="dxa"/>
          </w:tcPr>
          <w:p w14:paraId="5DAFC80C" w14:textId="77777777" w:rsidR="00C85FC3" w:rsidRPr="00576AF8" w:rsidRDefault="00C85FC3" w:rsidP="00510A60">
            <w:pPr>
              <w:spacing w:before="100" w:after="100"/>
              <w:jc w:val="center"/>
              <w:rPr>
                <w:sz w:val="22"/>
              </w:rPr>
            </w:pPr>
          </w:p>
        </w:tc>
        <w:tc>
          <w:tcPr>
            <w:tcW w:w="1095" w:type="dxa"/>
          </w:tcPr>
          <w:p w14:paraId="3B9A59D0" w14:textId="77777777" w:rsidR="00C85FC3" w:rsidRPr="00576AF8" w:rsidRDefault="00C85FC3" w:rsidP="00510A60">
            <w:pPr>
              <w:spacing w:before="100" w:after="100"/>
              <w:jc w:val="center"/>
              <w:rPr>
                <w:sz w:val="22"/>
              </w:rPr>
            </w:pPr>
          </w:p>
        </w:tc>
        <w:tc>
          <w:tcPr>
            <w:tcW w:w="2250" w:type="dxa"/>
          </w:tcPr>
          <w:p w14:paraId="2B745828" w14:textId="77777777" w:rsidR="00C85FC3" w:rsidRPr="00576AF8" w:rsidRDefault="00C85FC3" w:rsidP="00510A60">
            <w:pPr>
              <w:spacing w:before="100" w:after="100"/>
              <w:jc w:val="center"/>
              <w:rPr>
                <w:sz w:val="22"/>
              </w:rPr>
            </w:pPr>
          </w:p>
        </w:tc>
      </w:tr>
      <w:tr w:rsidR="00C85FC3" w:rsidRPr="00576AF8" w14:paraId="280211B9" w14:textId="77777777" w:rsidTr="00510A60">
        <w:trPr>
          <w:cantSplit/>
        </w:trPr>
        <w:tc>
          <w:tcPr>
            <w:tcW w:w="1126" w:type="dxa"/>
          </w:tcPr>
          <w:p w14:paraId="64862A06" w14:textId="77777777" w:rsidR="00C85FC3" w:rsidRPr="00576AF8" w:rsidRDefault="00C85FC3" w:rsidP="00510A60">
            <w:pPr>
              <w:spacing w:before="100" w:after="100"/>
              <w:jc w:val="center"/>
              <w:rPr>
                <w:sz w:val="22"/>
              </w:rPr>
            </w:pPr>
          </w:p>
        </w:tc>
        <w:tc>
          <w:tcPr>
            <w:tcW w:w="2942" w:type="dxa"/>
          </w:tcPr>
          <w:p w14:paraId="0A071188" w14:textId="77777777" w:rsidR="00C85FC3" w:rsidRPr="00576AF8" w:rsidRDefault="00C85FC3" w:rsidP="00510A60">
            <w:pPr>
              <w:spacing w:before="100" w:after="100"/>
              <w:jc w:val="left"/>
              <w:rPr>
                <w:sz w:val="22"/>
              </w:rPr>
            </w:pPr>
            <w:r w:rsidRPr="00576AF8">
              <w:rPr>
                <w:sz w:val="22"/>
              </w:rPr>
              <w:t>Subtotales anuales:</w:t>
            </w:r>
          </w:p>
        </w:tc>
        <w:tc>
          <w:tcPr>
            <w:tcW w:w="1095" w:type="dxa"/>
          </w:tcPr>
          <w:p w14:paraId="4C3850B8" w14:textId="77777777" w:rsidR="00C85FC3" w:rsidRPr="00576AF8" w:rsidRDefault="00C85FC3" w:rsidP="00510A60">
            <w:pPr>
              <w:spacing w:before="100" w:after="100"/>
              <w:jc w:val="center"/>
              <w:rPr>
                <w:sz w:val="22"/>
              </w:rPr>
            </w:pPr>
          </w:p>
        </w:tc>
        <w:tc>
          <w:tcPr>
            <w:tcW w:w="1095" w:type="dxa"/>
          </w:tcPr>
          <w:p w14:paraId="277D732B" w14:textId="77777777" w:rsidR="00C85FC3" w:rsidRPr="00576AF8" w:rsidRDefault="00C85FC3" w:rsidP="00510A60">
            <w:pPr>
              <w:spacing w:before="100" w:after="100"/>
              <w:jc w:val="center"/>
              <w:rPr>
                <w:sz w:val="22"/>
              </w:rPr>
            </w:pPr>
          </w:p>
        </w:tc>
        <w:tc>
          <w:tcPr>
            <w:tcW w:w="1140" w:type="dxa"/>
          </w:tcPr>
          <w:p w14:paraId="12B807AC" w14:textId="77777777" w:rsidR="00C85FC3" w:rsidRPr="00576AF8" w:rsidRDefault="00C85FC3" w:rsidP="00510A60">
            <w:pPr>
              <w:spacing w:before="100" w:after="100"/>
              <w:jc w:val="center"/>
              <w:rPr>
                <w:sz w:val="22"/>
              </w:rPr>
            </w:pPr>
          </w:p>
        </w:tc>
        <w:tc>
          <w:tcPr>
            <w:tcW w:w="1050" w:type="dxa"/>
          </w:tcPr>
          <w:p w14:paraId="390B1D2A" w14:textId="77777777" w:rsidR="00C85FC3" w:rsidRPr="00576AF8" w:rsidRDefault="00C85FC3" w:rsidP="00510A60">
            <w:pPr>
              <w:spacing w:before="100" w:after="100"/>
              <w:jc w:val="center"/>
              <w:rPr>
                <w:sz w:val="22"/>
              </w:rPr>
            </w:pPr>
          </w:p>
        </w:tc>
        <w:tc>
          <w:tcPr>
            <w:tcW w:w="1095" w:type="dxa"/>
          </w:tcPr>
          <w:p w14:paraId="7A6A9943" w14:textId="77777777" w:rsidR="00C85FC3" w:rsidRPr="00576AF8" w:rsidRDefault="00C85FC3" w:rsidP="00510A60">
            <w:pPr>
              <w:spacing w:before="100" w:after="100"/>
              <w:jc w:val="center"/>
              <w:rPr>
                <w:sz w:val="22"/>
              </w:rPr>
            </w:pPr>
          </w:p>
        </w:tc>
        <w:tc>
          <w:tcPr>
            <w:tcW w:w="1095" w:type="dxa"/>
          </w:tcPr>
          <w:p w14:paraId="6686AAB4" w14:textId="77777777" w:rsidR="00C85FC3" w:rsidRPr="00576AF8" w:rsidRDefault="00C85FC3" w:rsidP="00510A60">
            <w:pPr>
              <w:spacing w:before="100" w:after="100"/>
              <w:jc w:val="center"/>
              <w:rPr>
                <w:sz w:val="22"/>
              </w:rPr>
            </w:pPr>
          </w:p>
        </w:tc>
        <w:tc>
          <w:tcPr>
            <w:tcW w:w="2250" w:type="dxa"/>
          </w:tcPr>
          <w:p w14:paraId="574FB5E6" w14:textId="77777777" w:rsidR="00C85FC3" w:rsidRPr="00576AF8" w:rsidRDefault="00C85FC3" w:rsidP="00510A60">
            <w:pPr>
              <w:spacing w:before="100" w:after="100"/>
              <w:jc w:val="center"/>
              <w:rPr>
                <w:sz w:val="22"/>
              </w:rPr>
            </w:pPr>
            <w:r w:rsidRPr="00576AF8">
              <w:rPr>
                <w:sz w:val="22"/>
              </w:rPr>
              <w:t>- -</w:t>
            </w:r>
          </w:p>
        </w:tc>
      </w:tr>
      <w:tr w:rsidR="00C85FC3" w:rsidRPr="00576AF8" w14:paraId="0426ADC0" w14:textId="77777777" w:rsidTr="00510A60">
        <w:trPr>
          <w:cantSplit/>
        </w:trPr>
        <w:tc>
          <w:tcPr>
            <w:tcW w:w="10638" w:type="dxa"/>
            <w:gridSpan w:val="8"/>
          </w:tcPr>
          <w:p w14:paraId="726E9F86" w14:textId="77777777" w:rsidR="00C85FC3" w:rsidRPr="00576AF8" w:rsidRDefault="00C85FC3" w:rsidP="00510A60">
            <w:pPr>
              <w:spacing w:before="100" w:after="100"/>
              <w:jc w:val="right"/>
              <w:rPr>
                <w:sz w:val="22"/>
              </w:rPr>
            </w:pPr>
            <w:r w:rsidRPr="00576AF8">
              <w:rPr>
                <w:sz w:val="22"/>
              </w:rPr>
              <w:t xml:space="preserve">Subtotal acumulativo (traslade a la anotación en </w:t>
            </w:r>
            <w:r w:rsidRPr="00576AF8">
              <w:rPr>
                <w:i/>
                <w:sz w:val="22"/>
              </w:rPr>
              <w:t xml:space="preserve">[indique: </w:t>
            </w:r>
            <w:r w:rsidRPr="00576AF8">
              <w:rPr>
                <w:b/>
                <w:i/>
                <w:sz w:val="22"/>
              </w:rPr>
              <w:t>moneda</w:t>
            </w:r>
            <w:r w:rsidRPr="00576AF8">
              <w:rPr>
                <w:sz w:val="22"/>
              </w:rPr>
              <w:t xml:space="preserve">] correspondiente a </w:t>
            </w:r>
            <w:r w:rsidRPr="00576AF8">
              <w:rPr>
                <w:sz w:val="22"/>
              </w:rPr>
              <w:br/>
            </w:r>
            <w:r w:rsidRPr="00576AF8">
              <w:rPr>
                <w:i/>
                <w:sz w:val="22"/>
              </w:rPr>
              <w:t xml:space="preserve">[indique: </w:t>
            </w:r>
            <w:r w:rsidRPr="00576AF8">
              <w:rPr>
                <w:b/>
                <w:i/>
                <w:sz w:val="22"/>
              </w:rPr>
              <w:t>rubro</w:t>
            </w:r>
            <w:r w:rsidRPr="00576AF8">
              <w:rPr>
                <w:i/>
                <w:sz w:val="22"/>
              </w:rPr>
              <w:t>]</w:t>
            </w:r>
            <w:r w:rsidRPr="00576AF8">
              <w:rPr>
                <w:sz w:val="22"/>
              </w:rPr>
              <w:t xml:space="preserve"> del resumen de gastos recurrentes)</w:t>
            </w:r>
          </w:p>
        </w:tc>
        <w:tc>
          <w:tcPr>
            <w:tcW w:w="2250" w:type="dxa"/>
          </w:tcPr>
          <w:p w14:paraId="18EAD629" w14:textId="77777777" w:rsidR="00C85FC3" w:rsidRPr="00576AF8" w:rsidRDefault="00C85FC3" w:rsidP="00510A60">
            <w:pPr>
              <w:spacing w:before="100" w:after="100"/>
              <w:jc w:val="center"/>
              <w:rPr>
                <w:sz w:val="22"/>
              </w:rPr>
            </w:pPr>
          </w:p>
        </w:tc>
      </w:tr>
    </w:tbl>
    <w:p w14:paraId="5AE463D5" w14:textId="77777777" w:rsidR="00C85FC3" w:rsidRPr="00576AF8" w:rsidRDefault="00C85FC3" w:rsidP="00C85FC3">
      <w:pPr>
        <w:jc w:val="center"/>
      </w:pPr>
    </w:p>
    <w:p w14:paraId="06D6CE5B" w14:textId="77777777" w:rsidR="00C85FC3" w:rsidRPr="00576AF8" w:rsidRDefault="00C85FC3" w:rsidP="00C85FC3">
      <w:pPr>
        <w:spacing w:before="80" w:after="80"/>
        <w:ind w:left="1267" w:right="1440" w:hanging="1267"/>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C85FC3" w:rsidRPr="00576AF8" w14:paraId="426CF796" w14:textId="77777777" w:rsidTr="00510A60">
        <w:trPr>
          <w:cantSplit/>
          <w:jc w:val="center"/>
        </w:trPr>
        <w:tc>
          <w:tcPr>
            <w:tcW w:w="4320" w:type="dxa"/>
          </w:tcPr>
          <w:p w14:paraId="79B722B7" w14:textId="77777777" w:rsidR="00C85FC3" w:rsidRPr="00576AF8" w:rsidRDefault="00C85FC3" w:rsidP="00510A60">
            <w:pPr>
              <w:spacing w:before="100" w:after="100"/>
              <w:jc w:val="right"/>
              <w:rPr>
                <w:sz w:val="22"/>
              </w:rPr>
            </w:pPr>
            <w:r w:rsidRPr="00576AF8">
              <w:rPr>
                <w:sz w:val="22"/>
              </w:rPr>
              <w:t>Nombre del Licitante:</w:t>
            </w:r>
          </w:p>
        </w:tc>
        <w:tc>
          <w:tcPr>
            <w:tcW w:w="360" w:type="dxa"/>
          </w:tcPr>
          <w:p w14:paraId="01BBC663" w14:textId="77777777" w:rsidR="00C85FC3" w:rsidRPr="00576AF8" w:rsidRDefault="00C85FC3" w:rsidP="00510A60">
            <w:pPr>
              <w:spacing w:before="100" w:after="100"/>
              <w:jc w:val="center"/>
              <w:rPr>
                <w:sz w:val="22"/>
              </w:rPr>
            </w:pPr>
          </w:p>
        </w:tc>
        <w:tc>
          <w:tcPr>
            <w:tcW w:w="4248" w:type="dxa"/>
          </w:tcPr>
          <w:p w14:paraId="1BB679D7" w14:textId="77777777" w:rsidR="00C85FC3" w:rsidRPr="00576AF8" w:rsidRDefault="00C85FC3" w:rsidP="00510A60">
            <w:pPr>
              <w:spacing w:before="100" w:after="100"/>
              <w:jc w:val="center"/>
              <w:rPr>
                <w:sz w:val="22"/>
              </w:rPr>
            </w:pPr>
          </w:p>
        </w:tc>
      </w:tr>
      <w:tr w:rsidR="00C85FC3" w:rsidRPr="00576AF8" w14:paraId="661A0FDF" w14:textId="77777777" w:rsidTr="00510A60">
        <w:trPr>
          <w:cantSplit/>
          <w:trHeight w:hRule="exact" w:val="240"/>
          <w:jc w:val="center"/>
        </w:trPr>
        <w:tc>
          <w:tcPr>
            <w:tcW w:w="4320" w:type="dxa"/>
          </w:tcPr>
          <w:p w14:paraId="69631519" w14:textId="77777777" w:rsidR="00C85FC3" w:rsidRPr="00576AF8" w:rsidRDefault="00C85FC3" w:rsidP="00510A60">
            <w:pPr>
              <w:spacing w:before="100" w:after="100"/>
              <w:jc w:val="right"/>
              <w:rPr>
                <w:sz w:val="22"/>
              </w:rPr>
            </w:pPr>
          </w:p>
        </w:tc>
        <w:tc>
          <w:tcPr>
            <w:tcW w:w="360" w:type="dxa"/>
          </w:tcPr>
          <w:p w14:paraId="192D5798" w14:textId="77777777" w:rsidR="00C85FC3" w:rsidRPr="00576AF8" w:rsidRDefault="00C85FC3" w:rsidP="00510A60">
            <w:pPr>
              <w:spacing w:before="100" w:after="100"/>
              <w:jc w:val="center"/>
              <w:rPr>
                <w:sz w:val="22"/>
              </w:rPr>
            </w:pPr>
          </w:p>
        </w:tc>
        <w:tc>
          <w:tcPr>
            <w:tcW w:w="4248" w:type="dxa"/>
          </w:tcPr>
          <w:p w14:paraId="7B863131" w14:textId="77777777" w:rsidR="00C85FC3" w:rsidRPr="00576AF8" w:rsidRDefault="00C85FC3" w:rsidP="00510A60">
            <w:pPr>
              <w:spacing w:before="100" w:after="100"/>
              <w:jc w:val="center"/>
              <w:rPr>
                <w:sz w:val="22"/>
              </w:rPr>
            </w:pPr>
          </w:p>
        </w:tc>
      </w:tr>
      <w:tr w:rsidR="00C85FC3" w:rsidRPr="00576AF8" w14:paraId="6F4EFDBC" w14:textId="77777777" w:rsidTr="00510A60">
        <w:trPr>
          <w:cantSplit/>
          <w:jc w:val="center"/>
        </w:trPr>
        <w:tc>
          <w:tcPr>
            <w:tcW w:w="4320" w:type="dxa"/>
          </w:tcPr>
          <w:p w14:paraId="10DFCD95" w14:textId="77777777" w:rsidR="00C85FC3" w:rsidRPr="00576AF8" w:rsidRDefault="00C85FC3" w:rsidP="00510A60">
            <w:pPr>
              <w:spacing w:before="100" w:after="100"/>
              <w:jc w:val="right"/>
              <w:rPr>
                <w:sz w:val="22"/>
              </w:rPr>
            </w:pPr>
            <w:r w:rsidRPr="00576AF8">
              <w:rPr>
                <w:sz w:val="22"/>
              </w:rPr>
              <w:t>Firma autorizada del Licitante:</w:t>
            </w:r>
          </w:p>
        </w:tc>
        <w:tc>
          <w:tcPr>
            <w:tcW w:w="360" w:type="dxa"/>
          </w:tcPr>
          <w:p w14:paraId="74DE925C" w14:textId="77777777" w:rsidR="00C85FC3" w:rsidRPr="00576AF8" w:rsidRDefault="00C85FC3" w:rsidP="00510A60">
            <w:pPr>
              <w:spacing w:before="100" w:after="100"/>
              <w:jc w:val="center"/>
              <w:rPr>
                <w:sz w:val="22"/>
              </w:rPr>
            </w:pPr>
          </w:p>
        </w:tc>
        <w:tc>
          <w:tcPr>
            <w:tcW w:w="4248" w:type="dxa"/>
          </w:tcPr>
          <w:p w14:paraId="19A1CD55" w14:textId="77777777" w:rsidR="00C85FC3" w:rsidRPr="00576AF8" w:rsidRDefault="00C85FC3" w:rsidP="00510A60">
            <w:pPr>
              <w:spacing w:before="100" w:after="100"/>
              <w:jc w:val="center"/>
              <w:rPr>
                <w:sz w:val="22"/>
              </w:rPr>
            </w:pPr>
          </w:p>
        </w:tc>
      </w:tr>
      <w:tr w:rsidR="00C85FC3" w:rsidRPr="00576AF8" w14:paraId="07F61725" w14:textId="77777777" w:rsidTr="00510A60">
        <w:trPr>
          <w:cantSplit/>
          <w:trHeight w:hRule="exact" w:val="240"/>
          <w:jc w:val="center"/>
        </w:trPr>
        <w:tc>
          <w:tcPr>
            <w:tcW w:w="4320" w:type="dxa"/>
          </w:tcPr>
          <w:p w14:paraId="4468F68E" w14:textId="77777777" w:rsidR="00C85FC3" w:rsidRPr="00576AF8" w:rsidRDefault="00C85FC3" w:rsidP="00510A60">
            <w:pPr>
              <w:spacing w:before="100" w:after="100"/>
              <w:rPr>
                <w:sz w:val="22"/>
              </w:rPr>
            </w:pPr>
          </w:p>
        </w:tc>
        <w:tc>
          <w:tcPr>
            <w:tcW w:w="360" w:type="dxa"/>
          </w:tcPr>
          <w:p w14:paraId="09C776BD" w14:textId="77777777" w:rsidR="00C85FC3" w:rsidRPr="00576AF8" w:rsidRDefault="00C85FC3" w:rsidP="00510A60">
            <w:pPr>
              <w:spacing w:before="100" w:after="100"/>
              <w:jc w:val="center"/>
              <w:rPr>
                <w:sz w:val="22"/>
              </w:rPr>
            </w:pPr>
          </w:p>
        </w:tc>
        <w:tc>
          <w:tcPr>
            <w:tcW w:w="4248" w:type="dxa"/>
          </w:tcPr>
          <w:p w14:paraId="4422D945" w14:textId="77777777" w:rsidR="00C85FC3" w:rsidRPr="00576AF8" w:rsidRDefault="00C85FC3" w:rsidP="00510A60">
            <w:pPr>
              <w:spacing w:before="100" w:after="100"/>
              <w:jc w:val="center"/>
              <w:rPr>
                <w:sz w:val="22"/>
              </w:rPr>
            </w:pPr>
          </w:p>
        </w:tc>
      </w:tr>
    </w:tbl>
    <w:p w14:paraId="06E28936" w14:textId="77777777" w:rsidR="00C85FC3" w:rsidRPr="00576AF8" w:rsidRDefault="00C85FC3" w:rsidP="00C85FC3">
      <w:pPr>
        <w:pStyle w:val="Head32"/>
        <w:ind w:right="60"/>
      </w:pPr>
      <w:bookmarkStart w:id="557" w:name="_Toc521497245"/>
      <w:bookmarkStart w:id="558" w:name="_Toc218673962"/>
      <w:r w:rsidRPr="00576AF8">
        <w:br w:type="page"/>
      </w:r>
      <w:bookmarkStart w:id="559" w:name="_Toc277345597"/>
    </w:p>
    <w:p w14:paraId="3BB69AE2" w14:textId="77777777" w:rsidR="00C85FC3" w:rsidRPr="00576AF8" w:rsidRDefault="00C85FC3" w:rsidP="00C85FC3">
      <w:pPr>
        <w:pStyle w:val="Head32"/>
        <w:ind w:right="60"/>
      </w:pPr>
      <w:r w:rsidRPr="00576AF8">
        <w:lastRenderedPageBreak/>
        <w:t>3.6</w:t>
      </w:r>
      <w:r w:rsidRPr="00576AF8">
        <w:tab/>
        <w:t xml:space="preserve"> Cuadro de Códigos de los Países de </w:t>
      </w:r>
      <w:bookmarkEnd w:id="557"/>
      <w:bookmarkEnd w:id="558"/>
      <w:bookmarkEnd w:id="559"/>
      <w:r w:rsidRPr="00576AF8">
        <w:t>Origen</w:t>
      </w:r>
    </w:p>
    <w:p w14:paraId="6760A7C4" w14:textId="77777777" w:rsidR="00C85FC3" w:rsidRPr="00576AF8" w:rsidRDefault="00C85FC3" w:rsidP="00C85FC3">
      <w:pPr>
        <w:ind w:right="1440"/>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C85FC3" w:rsidRPr="00576AF8" w14:paraId="3B153995" w14:textId="77777777" w:rsidTr="00510A60">
        <w:trPr>
          <w:cantSplit/>
          <w:tblHeader/>
        </w:trPr>
        <w:tc>
          <w:tcPr>
            <w:tcW w:w="2880" w:type="dxa"/>
          </w:tcPr>
          <w:p w14:paraId="0210F7FA" w14:textId="77777777" w:rsidR="00C85FC3" w:rsidRPr="00576AF8" w:rsidRDefault="00C85FC3" w:rsidP="00510A60">
            <w:pPr>
              <w:spacing w:before="100" w:after="100"/>
              <w:jc w:val="center"/>
              <w:rPr>
                <w:sz w:val="22"/>
              </w:rPr>
            </w:pPr>
            <w:r w:rsidRPr="00576AF8">
              <w:rPr>
                <w:sz w:val="22"/>
              </w:rPr>
              <w:t>País de origen</w:t>
            </w:r>
          </w:p>
        </w:tc>
        <w:tc>
          <w:tcPr>
            <w:tcW w:w="1440" w:type="dxa"/>
          </w:tcPr>
          <w:p w14:paraId="6005E944" w14:textId="77777777" w:rsidR="00C85FC3" w:rsidRPr="00576AF8" w:rsidRDefault="00C85FC3" w:rsidP="00510A60">
            <w:pPr>
              <w:spacing w:before="100" w:after="100"/>
              <w:jc w:val="center"/>
              <w:rPr>
                <w:sz w:val="22"/>
              </w:rPr>
            </w:pPr>
            <w:r w:rsidRPr="00576AF8">
              <w:rPr>
                <w:sz w:val="22"/>
              </w:rPr>
              <w:t xml:space="preserve">Código </w:t>
            </w:r>
            <w:r w:rsidRPr="00576AF8">
              <w:rPr>
                <w:sz w:val="22"/>
              </w:rPr>
              <w:br/>
              <w:t>del país</w:t>
            </w:r>
          </w:p>
        </w:tc>
        <w:tc>
          <w:tcPr>
            <w:tcW w:w="360" w:type="dxa"/>
          </w:tcPr>
          <w:p w14:paraId="5DD2BF6E" w14:textId="77777777" w:rsidR="00C85FC3" w:rsidRPr="00576AF8" w:rsidRDefault="00C85FC3" w:rsidP="00510A60">
            <w:pPr>
              <w:spacing w:before="100" w:after="100"/>
              <w:jc w:val="center"/>
              <w:rPr>
                <w:sz w:val="22"/>
              </w:rPr>
            </w:pPr>
          </w:p>
        </w:tc>
        <w:tc>
          <w:tcPr>
            <w:tcW w:w="2628" w:type="dxa"/>
          </w:tcPr>
          <w:p w14:paraId="7906B4C0" w14:textId="77777777" w:rsidR="00C85FC3" w:rsidRPr="00576AF8" w:rsidRDefault="00C85FC3" w:rsidP="00510A60">
            <w:pPr>
              <w:spacing w:before="100" w:after="100"/>
              <w:jc w:val="center"/>
              <w:rPr>
                <w:sz w:val="22"/>
              </w:rPr>
            </w:pPr>
            <w:r w:rsidRPr="00576AF8">
              <w:rPr>
                <w:sz w:val="22"/>
              </w:rPr>
              <w:t>País de origen</w:t>
            </w:r>
          </w:p>
        </w:tc>
        <w:tc>
          <w:tcPr>
            <w:tcW w:w="1530" w:type="dxa"/>
          </w:tcPr>
          <w:p w14:paraId="11512922" w14:textId="77777777" w:rsidR="00C85FC3" w:rsidRPr="00576AF8" w:rsidRDefault="00C85FC3" w:rsidP="00510A60">
            <w:pPr>
              <w:spacing w:before="100" w:after="100"/>
              <w:jc w:val="center"/>
              <w:rPr>
                <w:sz w:val="22"/>
              </w:rPr>
            </w:pPr>
            <w:r w:rsidRPr="00576AF8">
              <w:rPr>
                <w:sz w:val="22"/>
              </w:rPr>
              <w:t xml:space="preserve">Código </w:t>
            </w:r>
            <w:r w:rsidRPr="00576AF8">
              <w:rPr>
                <w:sz w:val="22"/>
              </w:rPr>
              <w:br/>
              <w:t>del país</w:t>
            </w:r>
          </w:p>
        </w:tc>
        <w:tc>
          <w:tcPr>
            <w:tcW w:w="360" w:type="dxa"/>
          </w:tcPr>
          <w:p w14:paraId="71A3A8BB" w14:textId="77777777" w:rsidR="00C85FC3" w:rsidRPr="00576AF8" w:rsidRDefault="00C85FC3" w:rsidP="00510A60">
            <w:pPr>
              <w:spacing w:before="100" w:after="100"/>
              <w:jc w:val="center"/>
              <w:rPr>
                <w:sz w:val="22"/>
              </w:rPr>
            </w:pPr>
          </w:p>
        </w:tc>
        <w:tc>
          <w:tcPr>
            <w:tcW w:w="2250" w:type="dxa"/>
          </w:tcPr>
          <w:p w14:paraId="2E8D14A8" w14:textId="77777777" w:rsidR="00C85FC3" w:rsidRPr="00576AF8" w:rsidRDefault="00C85FC3" w:rsidP="00510A60">
            <w:pPr>
              <w:spacing w:before="100" w:after="100"/>
              <w:jc w:val="center"/>
              <w:rPr>
                <w:sz w:val="22"/>
              </w:rPr>
            </w:pPr>
            <w:r w:rsidRPr="00576AF8">
              <w:rPr>
                <w:sz w:val="22"/>
              </w:rPr>
              <w:t>País de origen</w:t>
            </w:r>
          </w:p>
        </w:tc>
        <w:tc>
          <w:tcPr>
            <w:tcW w:w="1440" w:type="dxa"/>
          </w:tcPr>
          <w:p w14:paraId="755E3B48" w14:textId="77777777" w:rsidR="00C85FC3" w:rsidRPr="00576AF8" w:rsidRDefault="00C85FC3" w:rsidP="00510A60">
            <w:pPr>
              <w:spacing w:before="100" w:after="100"/>
              <w:jc w:val="center"/>
              <w:rPr>
                <w:sz w:val="22"/>
              </w:rPr>
            </w:pPr>
            <w:r w:rsidRPr="00576AF8">
              <w:rPr>
                <w:sz w:val="22"/>
              </w:rPr>
              <w:t xml:space="preserve">Código </w:t>
            </w:r>
            <w:r w:rsidRPr="00576AF8">
              <w:rPr>
                <w:sz w:val="22"/>
              </w:rPr>
              <w:br/>
              <w:t>del país</w:t>
            </w:r>
          </w:p>
        </w:tc>
      </w:tr>
      <w:tr w:rsidR="00C85FC3" w:rsidRPr="00576AF8" w14:paraId="391777D3" w14:textId="77777777" w:rsidTr="00510A60">
        <w:trPr>
          <w:cantSplit/>
          <w:trHeight w:hRule="exact" w:val="240"/>
          <w:tblHeader/>
        </w:trPr>
        <w:tc>
          <w:tcPr>
            <w:tcW w:w="2880" w:type="dxa"/>
          </w:tcPr>
          <w:p w14:paraId="384EEFDB" w14:textId="77777777" w:rsidR="00C85FC3" w:rsidRPr="00576AF8" w:rsidRDefault="00C85FC3" w:rsidP="00510A60">
            <w:pPr>
              <w:spacing w:before="100" w:after="100"/>
              <w:jc w:val="center"/>
              <w:rPr>
                <w:sz w:val="22"/>
              </w:rPr>
            </w:pPr>
          </w:p>
        </w:tc>
        <w:tc>
          <w:tcPr>
            <w:tcW w:w="1440" w:type="dxa"/>
          </w:tcPr>
          <w:p w14:paraId="47547F85" w14:textId="77777777" w:rsidR="00C85FC3" w:rsidRPr="00576AF8" w:rsidRDefault="00C85FC3" w:rsidP="00510A60">
            <w:pPr>
              <w:spacing w:before="100" w:after="100"/>
              <w:jc w:val="center"/>
              <w:rPr>
                <w:sz w:val="22"/>
              </w:rPr>
            </w:pPr>
          </w:p>
        </w:tc>
        <w:tc>
          <w:tcPr>
            <w:tcW w:w="360" w:type="dxa"/>
          </w:tcPr>
          <w:p w14:paraId="0FACFECA" w14:textId="77777777" w:rsidR="00C85FC3" w:rsidRPr="00576AF8" w:rsidRDefault="00C85FC3" w:rsidP="00510A60">
            <w:pPr>
              <w:spacing w:before="100" w:after="100"/>
              <w:jc w:val="center"/>
              <w:rPr>
                <w:sz w:val="22"/>
              </w:rPr>
            </w:pPr>
          </w:p>
        </w:tc>
        <w:tc>
          <w:tcPr>
            <w:tcW w:w="2628" w:type="dxa"/>
          </w:tcPr>
          <w:p w14:paraId="7AB74D51" w14:textId="77777777" w:rsidR="00C85FC3" w:rsidRPr="00576AF8" w:rsidRDefault="00C85FC3" w:rsidP="00510A60">
            <w:pPr>
              <w:spacing w:before="100" w:after="100"/>
              <w:jc w:val="center"/>
              <w:rPr>
                <w:sz w:val="22"/>
              </w:rPr>
            </w:pPr>
          </w:p>
        </w:tc>
        <w:tc>
          <w:tcPr>
            <w:tcW w:w="1530" w:type="dxa"/>
          </w:tcPr>
          <w:p w14:paraId="651E16A2" w14:textId="77777777" w:rsidR="00C85FC3" w:rsidRPr="00576AF8" w:rsidRDefault="00C85FC3" w:rsidP="00510A60">
            <w:pPr>
              <w:spacing w:before="100" w:after="100"/>
              <w:jc w:val="center"/>
              <w:rPr>
                <w:sz w:val="22"/>
              </w:rPr>
            </w:pPr>
          </w:p>
        </w:tc>
        <w:tc>
          <w:tcPr>
            <w:tcW w:w="360" w:type="dxa"/>
          </w:tcPr>
          <w:p w14:paraId="4E572895" w14:textId="77777777" w:rsidR="00C85FC3" w:rsidRPr="00576AF8" w:rsidRDefault="00C85FC3" w:rsidP="00510A60">
            <w:pPr>
              <w:spacing w:before="100" w:after="100"/>
              <w:jc w:val="center"/>
              <w:rPr>
                <w:sz w:val="22"/>
              </w:rPr>
            </w:pPr>
          </w:p>
        </w:tc>
        <w:tc>
          <w:tcPr>
            <w:tcW w:w="2250" w:type="dxa"/>
          </w:tcPr>
          <w:p w14:paraId="00BCACE8" w14:textId="77777777" w:rsidR="00C85FC3" w:rsidRPr="00576AF8" w:rsidRDefault="00C85FC3" w:rsidP="00510A60">
            <w:pPr>
              <w:spacing w:before="100" w:after="100"/>
              <w:jc w:val="center"/>
              <w:rPr>
                <w:sz w:val="22"/>
              </w:rPr>
            </w:pPr>
          </w:p>
        </w:tc>
        <w:tc>
          <w:tcPr>
            <w:tcW w:w="1440" w:type="dxa"/>
          </w:tcPr>
          <w:p w14:paraId="6141EC6A" w14:textId="77777777" w:rsidR="00C85FC3" w:rsidRPr="00576AF8" w:rsidRDefault="00C85FC3" w:rsidP="00510A60">
            <w:pPr>
              <w:spacing w:before="100" w:after="100"/>
              <w:jc w:val="center"/>
              <w:rPr>
                <w:sz w:val="22"/>
              </w:rPr>
            </w:pPr>
          </w:p>
        </w:tc>
      </w:tr>
      <w:tr w:rsidR="00C85FC3" w:rsidRPr="00576AF8" w14:paraId="4500F628" w14:textId="77777777" w:rsidTr="00510A60">
        <w:trPr>
          <w:cantSplit/>
        </w:trPr>
        <w:tc>
          <w:tcPr>
            <w:tcW w:w="2880" w:type="dxa"/>
          </w:tcPr>
          <w:p w14:paraId="545CAC5F" w14:textId="77777777" w:rsidR="00C85FC3" w:rsidRPr="00576AF8" w:rsidRDefault="00C85FC3" w:rsidP="00510A60">
            <w:pPr>
              <w:spacing w:before="100" w:after="100"/>
              <w:jc w:val="center"/>
              <w:rPr>
                <w:sz w:val="22"/>
              </w:rPr>
            </w:pPr>
          </w:p>
        </w:tc>
        <w:tc>
          <w:tcPr>
            <w:tcW w:w="1440" w:type="dxa"/>
          </w:tcPr>
          <w:p w14:paraId="024DA6BC" w14:textId="77777777" w:rsidR="00C85FC3" w:rsidRPr="00576AF8" w:rsidRDefault="00C85FC3" w:rsidP="00510A60">
            <w:pPr>
              <w:spacing w:before="100" w:after="100"/>
              <w:jc w:val="center"/>
              <w:rPr>
                <w:sz w:val="22"/>
              </w:rPr>
            </w:pPr>
          </w:p>
        </w:tc>
        <w:tc>
          <w:tcPr>
            <w:tcW w:w="360" w:type="dxa"/>
          </w:tcPr>
          <w:p w14:paraId="78023530" w14:textId="77777777" w:rsidR="00C85FC3" w:rsidRPr="00576AF8" w:rsidRDefault="00C85FC3" w:rsidP="00510A60">
            <w:pPr>
              <w:spacing w:before="100" w:after="100"/>
              <w:jc w:val="center"/>
              <w:rPr>
                <w:sz w:val="22"/>
              </w:rPr>
            </w:pPr>
          </w:p>
        </w:tc>
        <w:tc>
          <w:tcPr>
            <w:tcW w:w="2628" w:type="dxa"/>
          </w:tcPr>
          <w:p w14:paraId="07BF69CE" w14:textId="77777777" w:rsidR="00C85FC3" w:rsidRPr="00576AF8" w:rsidRDefault="00C85FC3" w:rsidP="00510A60">
            <w:pPr>
              <w:spacing w:before="100" w:after="100"/>
              <w:jc w:val="center"/>
              <w:rPr>
                <w:sz w:val="22"/>
              </w:rPr>
            </w:pPr>
          </w:p>
        </w:tc>
        <w:tc>
          <w:tcPr>
            <w:tcW w:w="1530" w:type="dxa"/>
          </w:tcPr>
          <w:p w14:paraId="554AB583" w14:textId="77777777" w:rsidR="00C85FC3" w:rsidRPr="00576AF8" w:rsidRDefault="00C85FC3" w:rsidP="00510A60">
            <w:pPr>
              <w:spacing w:before="100" w:after="100"/>
              <w:jc w:val="center"/>
              <w:rPr>
                <w:sz w:val="22"/>
              </w:rPr>
            </w:pPr>
          </w:p>
        </w:tc>
        <w:tc>
          <w:tcPr>
            <w:tcW w:w="360" w:type="dxa"/>
          </w:tcPr>
          <w:p w14:paraId="2E224CD7" w14:textId="77777777" w:rsidR="00C85FC3" w:rsidRPr="00576AF8" w:rsidRDefault="00C85FC3" w:rsidP="00510A60">
            <w:pPr>
              <w:spacing w:before="100" w:after="100"/>
              <w:jc w:val="center"/>
              <w:rPr>
                <w:sz w:val="22"/>
              </w:rPr>
            </w:pPr>
          </w:p>
        </w:tc>
        <w:tc>
          <w:tcPr>
            <w:tcW w:w="2250" w:type="dxa"/>
          </w:tcPr>
          <w:p w14:paraId="74EA9D4F" w14:textId="77777777" w:rsidR="00C85FC3" w:rsidRPr="00576AF8" w:rsidRDefault="00C85FC3" w:rsidP="00510A60">
            <w:pPr>
              <w:spacing w:before="100" w:after="100"/>
              <w:jc w:val="center"/>
              <w:rPr>
                <w:sz w:val="22"/>
              </w:rPr>
            </w:pPr>
          </w:p>
        </w:tc>
        <w:tc>
          <w:tcPr>
            <w:tcW w:w="1440" w:type="dxa"/>
          </w:tcPr>
          <w:p w14:paraId="67A1CB4B" w14:textId="77777777" w:rsidR="00C85FC3" w:rsidRPr="00576AF8" w:rsidRDefault="00C85FC3" w:rsidP="00510A60">
            <w:pPr>
              <w:spacing w:before="100" w:after="100"/>
              <w:jc w:val="center"/>
              <w:rPr>
                <w:sz w:val="22"/>
              </w:rPr>
            </w:pPr>
          </w:p>
        </w:tc>
      </w:tr>
      <w:tr w:rsidR="00C85FC3" w:rsidRPr="00576AF8" w14:paraId="7DB7B00F" w14:textId="77777777" w:rsidTr="00510A60">
        <w:trPr>
          <w:cantSplit/>
        </w:trPr>
        <w:tc>
          <w:tcPr>
            <w:tcW w:w="2880" w:type="dxa"/>
          </w:tcPr>
          <w:p w14:paraId="50F02450" w14:textId="77777777" w:rsidR="00C85FC3" w:rsidRPr="00576AF8" w:rsidRDefault="00C85FC3" w:rsidP="00510A60">
            <w:pPr>
              <w:spacing w:before="100" w:after="100"/>
              <w:jc w:val="center"/>
              <w:rPr>
                <w:sz w:val="22"/>
              </w:rPr>
            </w:pPr>
          </w:p>
        </w:tc>
        <w:tc>
          <w:tcPr>
            <w:tcW w:w="1440" w:type="dxa"/>
          </w:tcPr>
          <w:p w14:paraId="27ADEB5A" w14:textId="77777777" w:rsidR="00C85FC3" w:rsidRPr="00576AF8" w:rsidRDefault="00C85FC3" w:rsidP="00510A60">
            <w:pPr>
              <w:spacing w:before="100" w:after="100"/>
              <w:jc w:val="center"/>
              <w:rPr>
                <w:sz w:val="22"/>
              </w:rPr>
            </w:pPr>
          </w:p>
        </w:tc>
        <w:tc>
          <w:tcPr>
            <w:tcW w:w="360" w:type="dxa"/>
          </w:tcPr>
          <w:p w14:paraId="562AB0D0" w14:textId="77777777" w:rsidR="00C85FC3" w:rsidRPr="00576AF8" w:rsidRDefault="00C85FC3" w:rsidP="00510A60">
            <w:pPr>
              <w:spacing w:before="100" w:after="100"/>
              <w:jc w:val="center"/>
              <w:rPr>
                <w:sz w:val="22"/>
              </w:rPr>
            </w:pPr>
          </w:p>
        </w:tc>
        <w:tc>
          <w:tcPr>
            <w:tcW w:w="2628" w:type="dxa"/>
          </w:tcPr>
          <w:p w14:paraId="3ECE0297" w14:textId="77777777" w:rsidR="00C85FC3" w:rsidRPr="00576AF8" w:rsidRDefault="00C85FC3" w:rsidP="00510A60">
            <w:pPr>
              <w:spacing w:before="100" w:after="100"/>
              <w:jc w:val="center"/>
              <w:rPr>
                <w:sz w:val="22"/>
              </w:rPr>
            </w:pPr>
          </w:p>
        </w:tc>
        <w:tc>
          <w:tcPr>
            <w:tcW w:w="1530" w:type="dxa"/>
          </w:tcPr>
          <w:p w14:paraId="00462B55" w14:textId="77777777" w:rsidR="00C85FC3" w:rsidRPr="00576AF8" w:rsidRDefault="00C85FC3" w:rsidP="00510A60">
            <w:pPr>
              <w:spacing w:before="100" w:after="100"/>
              <w:jc w:val="center"/>
              <w:rPr>
                <w:sz w:val="22"/>
              </w:rPr>
            </w:pPr>
          </w:p>
        </w:tc>
        <w:tc>
          <w:tcPr>
            <w:tcW w:w="360" w:type="dxa"/>
          </w:tcPr>
          <w:p w14:paraId="1EF91281" w14:textId="77777777" w:rsidR="00C85FC3" w:rsidRPr="00576AF8" w:rsidRDefault="00C85FC3" w:rsidP="00510A60">
            <w:pPr>
              <w:spacing w:before="100" w:after="100"/>
              <w:jc w:val="center"/>
              <w:rPr>
                <w:sz w:val="22"/>
              </w:rPr>
            </w:pPr>
          </w:p>
        </w:tc>
        <w:tc>
          <w:tcPr>
            <w:tcW w:w="2250" w:type="dxa"/>
          </w:tcPr>
          <w:p w14:paraId="5447A24D" w14:textId="77777777" w:rsidR="00C85FC3" w:rsidRPr="00576AF8" w:rsidRDefault="00C85FC3" w:rsidP="00510A60">
            <w:pPr>
              <w:spacing w:before="100" w:after="100"/>
              <w:jc w:val="center"/>
              <w:rPr>
                <w:sz w:val="22"/>
              </w:rPr>
            </w:pPr>
          </w:p>
        </w:tc>
        <w:tc>
          <w:tcPr>
            <w:tcW w:w="1440" w:type="dxa"/>
          </w:tcPr>
          <w:p w14:paraId="5B2A381E" w14:textId="77777777" w:rsidR="00C85FC3" w:rsidRPr="00576AF8" w:rsidRDefault="00C85FC3" w:rsidP="00510A60">
            <w:pPr>
              <w:spacing w:before="100" w:after="100"/>
              <w:jc w:val="center"/>
              <w:rPr>
                <w:sz w:val="22"/>
              </w:rPr>
            </w:pPr>
          </w:p>
        </w:tc>
      </w:tr>
      <w:tr w:rsidR="00C85FC3" w:rsidRPr="00576AF8" w14:paraId="64F4559A" w14:textId="77777777" w:rsidTr="00510A60">
        <w:trPr>
          <w:cantSplit/>
        </w:trPr>
        <w:tc>
          <w:tcPr>
            <w:tcW w:w="2880" w:type="dxa"/>
          </w:tcPr>
          <w:p w14:paraId="0AEA3580" w14:textId="77777777" w:rsidR="00C85FC3" w:rsidRPr="00576AF8" w:rsidRDefault="00C85FC3" w:rsidP="00510A60">
            <w:pPr>
              <w:spacing w:before="100" w:after="100"/>
              <w:jc w:val="center"/>
              <w:rPr>
                <w:sz w:val="22"/>
              </w:rPr>
            </w:pPr>
          </w:p>
        </w:tc>
        <w:tc>
          <w:tcPr>
            <w:tcW w:w="1440" w:type="dxa"/>
          </w:tcPr>
          <w:p w14:paraId="56132154" w14:textId="77777777" w:rsidR="00C85FC3" w:rsidRPr="00576AF8" w:rsidRDefault="00C85FC3" w:rsidP="00510A60">
            <w:pPr>
              <w:spacing w:before="100" w:after="100"/>
              <w:jc w:val="center"/>
              <w:rPr>
                <w:sz w:val="22"/>
              </w:rPr>
            </w:pPr>
          </w:p>
        </w:tc>
        <w:tc>
          <w:tcPr>
            <w:tcW w:w="360" w:type="dxa"/>
          </w:tcPr>
          <w:p w14:paraId="36F26557" w14:textId="77777777" w:rsidR="00C85FC3" w:rsidRPr="00576AF8" w:rsidRDefault="00C85FC3" w:rsidP="00510A60">
            <w:pPr>
              <w:spacing w:before="100" w:after="100"/>
              <w:jc w:val="center"/>
              <w:rPr>
                <w:sz w:val="22"/>
              </w:rPr>
            </w:pPr>
          </w:p>
        </w:tc>
        <w:tc>
          <w:tcPr>
            <w:tcW w:w="2628" w:type="dxa"/>
          </w:tcPr>
          <w:p w14:paraId="0C267B92" w14:textId="77777777" w:rsidR="00C85FC3" w:rsidRPr="00576AF8" w:rsidRDefault="00C85FC3" w:rsidP="00510A60">
            <w:pPr>
              <w:spacing w:before="100" w:after="100"/>
              <w:jc w:val="center"/>
              <w:rPr>
                <w:sz w:val="22"/>
              </w:rPr>
            </w:pPr>
          </w:p>
        </w:tc>
        <w:tc>
          <w:tcPr>
            <w:tcW w:w="1530" w:type="dxa"/>
          </w:tcPr>
          <w:p w14:paraId="3B5F5606" w14:textId="77777777" w:rsidR="00C85FC3" w:rsidRPr="00576AF8" w:rsidRDefault="00C85FC3" w:rsidP="00510A60">
            <w:pPr>
              <w:spacing w:before="100" w:after="100"/>
              <w:jc w:val="center"/>
              <w:rPr>
                <w:sz w:val="22"/>
              </w:rPr>
            </w:pPr>
          </w:p>
        </w:tc>
        <w:tc>
          <w:tcPr>
            <w:tcW w:w="360" w:type="dxa"/>
          </w:tcPr>
          <w:p w14:paraId="5373F0AE" w14:textId="77777777" w:rsidR="00C85FC3" w:rsidRPr="00576AF8" w:rsidRDefault="00C85FC3" w:rsidP="00510A60">
            <w:pPr>
              <w:spacing w:before="100" w:after="100"/>
              <w:jc w:val="center"/>
              <w:rPr>
                <w:sz w:val="22"/>
              </w:rPr>
            </w:pPr>
          </w:p>
        </w:tc>
        <w:tc>
          <w:tcPr>
            <w:tcW w:w="2250" w:type="dxa"/>
          </w:tcPr>
          <w:p w14:paraId="21E52E83" w14:textId="77777777" w:rsidR="00C85FC3" w:rsidRPr="00576AF8" w:rsidRDefault="00C85FC3" w:rsidP="00510A60">
            <w:pPr>
              <w:spacing w:before="100" w:after="100"/>
              <w:jc w:val="center"/>
              <w:rPr>
                <w:sz w:val="22"/>
              </w:rPr>
            </w:pPr>
          </w:p>
        </w:tc>
        <w:tc>
          <w:tcPr>
            <w:tcW w:w="1440" w:type="dxa"/>
          </w:tcPr>
          <w:p w14:paraId="70360F42" w14:textId="77777777" w:rsidR="00C85FC3" w:rsidRPr="00576AF8" w:rsidRDefault="00C85FC3" w:rsidP="00510A60">
            <w:pPr>
              <w:spacing w:before="100" w:after="100"/>
              <w:jc w:val="center"/>
              <w:rPr>
                <w:sz w:val="22"/>
              </w:rPr>
            </w:pPr>
          </w:p>
        </w:tc>
      </w:tr>
      <w:tr w:rsidR="00C85FC3" w:rsidRPr="00576AF8" w14:paraId="2C5F1B9F" w14:textId="77777777" w:rsidTr="00510A60">
        <w:trPr>
          <w:cantSplit/>
        </w:trPr>
        <w:tc>
          <w:tcPr>
            <w:tcW w:w="2880" w:type="dxa"/>
          </w:tcPr>
          <w:p w14:paraId="0C84F440" w14:textId="77777777" w:rsidR="00C85FC3" w:rsidRPr="00576AF8" w:rsidRDefault="00C85FC3" w:rsidP="00510A60">
            <w:pPr>
              <w:spacing w:before="100" w:after="100"/>
              <w:jc w:val="center"/>
              <w:rPr>
                <w:sz w:val="22"/>
              </w:rPr>
            </w:pPr>
          </w:p>
        </w:tc>
        <w:tc>
          <w:tcPr>
            <w:tcW w:w="1440" w:type="dxa"/>
          </w:tcPr>
          <w:p w14:paraId="639B0607" w14:textId="77777777" w:rsidR="00C85FC3" w:rsidRPr="00576AF8" w:rsidRDefault="00C85FC3" w:rsidP="00510A60">
            <w:pPr>
              <w:spacing w:before="100" w:after="100"/>
              <w:jc w:val="center"/>
              <w:rPr>
                <w:sz w:val="22"/>
              </w:rPr>
            </w:pPr>
          </w:p>
        </w:tc>
        <w:tc>
          <w:tcPr>
            <w:tcW w:w="360" w:type="dxa"/>
          </w:tcPr>
          <w:p w14:paraId="4D431F05" w14:textId="77777777" w:rsidR="00C85FC3" w:rsidRPr="00576AF8" w:rsidRDefault="00C85FC3" w:rsidP="00510A60">
            <w:pPr>
              <w:spacing w:before="100" w:after="100"/>
              <w:jc w:val="center"/>
              <w:rPr>
                <w:sz w:val="22"/>
              </w:rPr>
            </w:pPr>
          </w:p>
        </w:tc>
        <w:tc>
          <w:tcPr>
            <w:tcW w:w="2628" w:type="dxa"/>
          </w:tcPr>
          <w:p w14:paraId="2309F2E9" w14:textId="77777777" w:rsidR="00C85FC3" w:rsidRPr="00576AF8" w:rsidRDefault="00C85FC3" w:rsidP="00510A60">
            <w:pPr>
              <w:spacing w:before="100" w:after="100"/>
              <w:jc w:val="center"/>
              <w:rPr>
                <w:sz w:val="22"/>
              </w:rPr>
            </w:pPr>
          </w:p>
        </w:tc>
        <w:tc>
          <w:tcPr>
            <w:tcW w:w="1530" w:type="dxa"/>
          </w:tcPr>
          <w:p w14:paraId="4FB8A44B" w14:textId="77777777" w:rsidR="00C85FC3" w:rsidRPr="00576AF8" w:rsidRDefault="00C85FC3" w:rsidP="00510A60">
            <w:pPr>
              <w:spacing w:before="100" w:after="100"/>
              <w:jc w:val="center"/>
              <w:rPr>
                <w:sz w:val="22"/>
              </w:rPr>
            </w:pPr>
          </w:p>
        </w:tc>
        <w:tc>
          <w:tcPr>
            <w:tcW w:w="360" w:type="dxa"/>
          </w:tcPr>
          <w:p w14:paraId="7983AE4E" w14:textId="77777777" w:rsidR="00C85FC3" w:rsidRPr="00576AF8" w:rsidRDefault="00C85FC3" w:rsidP="00510A60">
            <w:pPr>
              <w:spacing w:before="100" w:after="100"/>
              <w:jc w:val="center"/>
              <w:rPr>
                <w:sz w:val="22"/>
              </w:rPr>
            </w:pPr>
          </w:p>
        </w:tc>
        <w:tc>
          <w:tcPr>
            <w:tcW w:w="2250" w:type="dxa"/>
          </w:tcPr>
          <w:p w14:paraId="4BC2D71A" w14:textId="77777777" w:rsidR="00C85FC3" w:rsidRPr="00576AF8" w:rsidRDefault="00C85FC3" w:rsidP="00510A60">
            <w:pPr>
              <w:spacing w:before="100" w:after="100"/>
              <w:jc w:val="center"/>
              <w:rPr>
                <w:sz w:val="22"/>
              </w:rPr>
            </w:pPr>
          </w:p>
        </w:tc>
        <w:tc>
          <w:tcPr>
            <w:tcW w:w="1440" w:type="dxa"/>
          </w:tcPr>
          <w:p w14:paraId="0CC2E886" w14:textId="77777777" w:rsidR="00C85FC3" w:rsidRPr="00576AF8" w:rsidRDefault="00C85FC3" w:rsidP="00510A60">
            <w:pPr>
              <w:spacing w:before="100" w:after="100"/>
              <w:jc w:val="center"/>
              <w:rPr>
                <w:sz w:val="22"/>
              </w:rPr>
            </w:pPr>
          </w:p>
        </w:tc>
      </w:tr>
      <w:tr w:rsidR="00C85FC3" w:rsidRPr="00576AF8" w14:paraId="70362CF1" w14:textId="77777777" w:rsidTr="00510A60">
        <w:trPr>
          <w:cantSplit/>
        </w:trPr>
        <w:tc>
          <w:tcPr>
            <w:tcW w:w="2880" w:type="dxa"/>
          </w:tcPr>
          <w:p w14:paraId="57B36C6A" w14:textId="77777777" w:rsidR="00C85FC3" w:rsidRPr="00576AF8" w:rsidRDefault="00C85FC3" w:rsidP="00510A60">
            <w:pPr>
              <w:spacing w:before="100" w:after="100"/>
              <w:jc w:val="center"/>
              <w:rPr>
                <w:sz w:val="22"/>
              </w:rPr>
            </w:pPr>
          </w:p>
        </w:tc>
        <w:tc>
          <w:tcPr>
            <w:tcW w:w="1440" w:type="dxa"/>
          </w:tcPr>
          <w:p w14:paraId="19530D8E" w14:textId="77777777" w:rsidR="00C85FC3" w:rsidRPr="00576AF8" w:rsidRDefault="00C85FC3" w:rsidP="00510A60">
            <w:pPr>
              <w:spacing w:before="100" w:after="100"/>
              <w:jc w:val="center"/>
              <w:rPr>
                <w:sz w:val="22"/>
              </w:rPr>
            </w:pPr>
          </w:p>
        </w:tc>
        <w:tc>
          <w:tcPr>
            <w:tcW w:w="360" w:type="dxa"/>
          </w:tcPr>
          <w:p w14:paraId="223BBB68" w14:textId="77777777" w:rsidR="00C85FC3" w:rsidRPr="00576AF8" w:rsidRDefault="00C85FC3" w:rsidP="00510A60">
            <w:pPr>
              <w:spacing w:before="100" w:after="100"/>
              <w:jc w:val="center"/>
              <w:rPr>
                <w:sz w:val="22"/>
              </w:rPr>
            </w:pPr>
          </w:p>
        </w:tc>
        <w:tc>
          <w:tcPr>
            <w:tcW w:w="2628" w:type="dxa"/>
          </w:tcPr>
          <w:p w14:paraId="68914ECF" w14:textId="77777777" w:rsidR="00C85FC3" w:rsidRPr="00576AF8" w:rsidRDefault="00C85FC3" w:rsidP="00510A60">
            <w:pPr>
              <w:spacing w:before="100" w:after="100"/>
              <w:jc w:val="center"/>
              <w:rPr>
                <w:sz w:val="22"/>
              </w:rPr>
            </w:pPr>
          </w:p>
        </w:tc>
        <w:tc>
          <w:tcPr>
            <w:tcW w:w="1530" w:type="dxa"/>
          </w:tcPr>
          <w:p w14:paraId="298946B9" w14:textId="77777777" w:rsidR="00C85FC3" w:rsidRPr="00576AF8" w:rsidRDefault="00C85FC3" w:rsidP="00510A60">
            <w:pPr>
              <w:spacing w:before="100" w:after="100"/>
              <w:jc w:val="center"/>
              <w:rPr>
                <w:sz w:val="22"/>
              </w:rPr>
            </w:pPr>
          </w:p>
        </w:tc>
        <w:tc>
          <w:tcPr>
            <w:tcW w:w="360" w:type="dxa"/>
          </w:tcPr>
          <w:p w14:paraId="126AF3C9" w14:textId="77777777" w:rsidR="00C85FC3" w:rsidRPr="00576AF8" w:rsidRDefault="00C85FC3" w:rsidP="00510A60">
            <w:pPr>
              <w:spacing w:before="100" w:after="100"/>
              <w:jc w:val="center"/>
              <w:rPr>
                <w:sz w:val="22"/>
              </w:rPr>
            </w:pPr>
          </w:p>
        </w:tc>
        <w:tc>
          <w:tcPr>
            <w:tcW w:w="2250" w:type="dxa"/>
          </w:tcPr>
          <w:p w14:paraId="2C1731EC" w14:textId="77777777" w:rsidR="00C85FC3" w:rsidRPr="00576AF8" w:rsidRDefault="00C85FC3" w:rsidP="00510A60">
            <w:pPr>
              <w:spacing w:before="100" w:after="100"/>
              <w:jc w:val="center"/>
              <w:rPr>
                <w:sz w:val="22"/>
              </w:rPr>
            </w:pPr>
          </w:p>
        </w:tc>
        <w:tc>
          <w:tcPr>
            <w:tcW w:w="1440" w:type="dxa"/>
          </w:tcPr>
          <w:p w14:paraId="10E304A7" w14:textId="77777777" w:rsidR="00C85FC3" w:rsidRPr="00576AF8" w:rsidRDefault="00C85FC3" w:rsidP="00510A60">
            <w:pPr>
              <w:spacing w:before="100" w:after="100"/>
              <w:jc w:val="center"/>
              <w:rPr>
                <w:sz w:val="22"/>
              </w:rPr>
            </w:pPr>
          </w:p>
        </w:tc>
      </w:tr>
      <w:tr w:rsidR="00C85FC3" w:rsidRPr="00576AF8" w14:paraId="57561E38" w14:textId="77777777" w:rsidTr="00510A60">
        <w:trPr>
          <w:cantSplit/>
        </w:trPr>
        <w:tc>
          <w:tcPr>
            <w:tcW w:w="2880" w:type="dxa"/>
          </w:tcPr>
          <w:p w14:paraId="6967152E" w14:textId="77777777" w:rsidR="00C85FC3" w:rsidRPr="00576AF8" w:rsidRDefault="00C85FC3" w:rsidP="00510A60">
            <w:pPr>
              <w:spacing w:before="100" w:after="100"/>
              <w:jc w:val="center"/>
              <w:rPr>
                <w:sz w:val="22"/>
              </w:rPr>
            </w:pPr>
          </w:p>
        </w:tc>
        <w:tc>
          <w:tcPr>
            <w:tcW w:w="1440" w:type="dxa"/>
          </w:tcPr>
          <w:p w14:paraId="32A47AD3" w14:textId="77777777" w:rsidR="00C85FC3" w:rsidRPr="00576AF8" w:rsidRDefault="00C85FC3" w:rsidP="00510A60">
            <w:pPr>
              <w:spacing w:before="100" w:after="100"/>
              <w:jc w:val="center"/>
              <w:rPr>
                <w:sz w:val="22"/>
              </w:rPr>
            </w:pPr>
          </w:p>
        </w:tc>
        <w:tc>
          <w:tcPr>
            <w:tcW w:w="360" w:type="dxa"/>
          </w:tcPr>
          <w:p w14:paraId="6B08C6D1" w14:textId="77777777" w:rsidR="00C85FC3" w:rsidRPr="00576AF8" w:rsidRDefault="00C85FC3" w:rsidP="00510A60">
            <w:pPr>
              <w:spacing w:before="100" w:after="100"/>
              <w:jc w:val="center"/>
              <w:rPr>
                <w:sz w:val="22"/>
              </w:rPr>
            </w:pPr>
          </w:p>
        </w:tc>
        <w:tc>
          <w:tcPr>
            <w:tcW w:w="2628" w:type="dxa"/>
          </w:tcPr>
          <w:p w14:paraId="4AC03BC8" w14:textId="77777777" w:rsidR="00C85FC3" w:rsidRPr="00576AF8" w:rsidRDefault="00C85FC3" w:rsidP="00510A60">
            <w:pPr>
              <w:spacing w:before="100" w:after="100"/>
              <w:jc w:val="center"/>
              <w:rPr>
                <w:sz w:val="22"/>
              </w:rPr>
            </w:pPr>
          </w:p>
        </w:tc>
        <w:tc>
          <w:tcPr>
            <w:tcW w:w="1530" w:type="dxa"/>
          </w:tcPr>
          <w:p w14:paraId="4BC24B3C" w14:textId="77777777" w:rsidR="00C85FC3" w:rsidRPr="00576AF8" w:rsidRDefault="00C85FC3" w:rsidP="00510A60">
            <w:pPr>
              <w:spacing w:before="100" w:after="100"/>
              <w:jc w:val="center"/>
              <w:rPr>
                <w:sz w:val="22"/>
              </w:rPr>
            </w:pPr>
          </w:p>
        </w:tc>
        <w:tc>
          <w:tcPr>
            <w:tcW w:w="360" w:type="dxa"/>
          </w:tcPr>
          <w:p w14:paraId="77CD25FE" w14:textId="77777777" w:rsidR="00C85FC3" w:rsidRPr="00576AF8" w:rsidRDefault="00C85FC3" w:rsidP="00510A60">
            <w:pPr>
              <w:spacing w:before="100" w:after="100"/>
              <w:jc w:val="center"/>
              <w:rPr>
                <w:sz w:val="22"/>
              </w:rPr>
            </w:pPr>
          </w:p>
        </w:tc>
        <w:tc>
          <w:tcPr>
            <w:tcW w:w="2250" w:type="dxa"/>
          </w:tcPr>
          <w:p w14:paraId="14378261" w14:textId="77777777" w:rsidR="00C85FC3" w:rsidRPr="00576AF8" w:rsidRDefault="00C85FC3" w:rsidP="00510A60">
            <w:pPr>
              <w:spacing w:before="100" w:after="100"/>
              <w:jc w:val="center"/>
              <w:rPr>
                <w:sz w:val="22"/>
              </w:rPr>
            </w:pPr>
          </w:p>
        </w:tc>
        <w:tc>
          <w:tcPr>
            <w:tcW w:w="1440" w:type="dxa"/>
          </w:tcPr>
          <w:p w14:paraId="30917584" w14:textId="77777777" w:rsidR="00C85FC3" w:rsidRPr="00576AF8" w:rsidRDefault="00C85FC3" w:rsidP="00510A60">
            <w:pPr>
              <w:spacing w:before="100" w:after="100"/>
              <w:jc w:val="center"/>
              <w:rPr>
                <w:sz w:val="22"/>
              </w:rPr>
            </w:pPr>
          </w:p>
        </w:tc>
      </w:tr>
      <w:tr w:rsidR="00C85FC3" w:rsidRPr="00576AF8" w14:paraId="366F20CC" w14:textId="77777777" w:rsidTr="00510A60">
        <w:trPr>
          <w:cantSplit/>
        </w:trPr>
        <w:tc>
          <w:tcPr>
            <w:tcW w:w="2880" w:type="dxa"/>
          </w:tcPr>
          <w:p w14:paraId="1DD23F4F" w14:textId="77777777" w:rsidR="00C85FC3" w:rsidRPr="00576AF8" w:rsidRDefault="00C85FC3" w:rsidP="00510A60">
            <w:pPr>
              <w:spacing w:before="100" w:after="100"/>
              <w:jc w:val="center"/>
              <w:rPr>
                <w:sz w:val="22"/>
              </w:rPr>
            </w:pPr>
          </w:p>
        </w:tc>
        <w:tc>
          <w:tcPr>
            <w:tcW w:w="1440" w:type="dxa"/>
          </w:tcPr>
          <w:p w14:paraId="25D381EF" w14:textId="77777777" w:rsidR="00C85FC3" w:rsidRPr="00576AF8" w:rsidRDefault="00C85FC3" w:rsidP="00510A60">
            <w:pPr>
              <w:spacing w:before="100" w:after="100"/>
              <w:jc w:val="center"/>
              <w:rPr>
                <w:sz w:val="22"/>
              </w:rPr>
            </w:pPr>
          </w:p>
        </w:tc>
        <w:tc>
          <w:tcPr>
            <w:tcW w:w="360" w:type="dxa"/>
          </w:tcPr>
          <w:p w14:paraId="3E2C6532" w14:textId="77777777" w:rsidR="00C85FC3" w:rsidRPr="00576AF8" w:rsidRDefault="00C85FC3" w:rsidP="00510A60">
            <w:pPr>
              <w:spacing w:before="100" w:after="100"/>
              <w:jc w:val="center"/>
              <w:rPr>
                <w:sz w:val="22"/>
              </w:rPr>
            </w:pPr>
          </w:p>
        </w:tc>
        <w:tc>
          <w:tcPr>
            <w:tcW w:w="2628" w:type="dxa"/>
          </w:tcPr>
          <w:p w14:paraId="483311EB" w14:textId="77777777" w:rsidR="00C85FC3" w:rsidRPr="00576AF8" w:rsidRDefault="00C85FC3" w:rsidP="00510A60">
            <w:pPr>
              <w:spacing w:before="100" w:after="100"/>
              <w:jc w:val="center"/>
              <w:rPr>
                <w:sz w:val="22"/>
              </w:rPr>
            </w:pPr>
          </w:p>
        </w:tc>
        <w:tc>
          <w:tcPr>
            <w:tcW w:w="1530" w:type="dxa"/>
          </w:tcPr>
          <w:p w14:paraId="6A434DA5" w14:textId="77777777" w:rsidR="00C85FC3" w:rsidRPr="00576AF8" w:rsidRDefault="00C85FC3" w:rsidP="00510A60">
            <w:pPr>
              <w:spacing w:before="100" w:after="100"/>
              <w:jc w:val="center"/>
              <w:rPr>
                <w:sz w:val="22"/>
              </w:rPr>
            </w:pPr>
          </w:p>
        </w:tc>
        <w:tc>
          <w:tcPr>
            <w:tcW w:w="360" w:type="dxa"/>
          </w:tcPr>
          <w:p w14:paraId="330694A6" w14:textId="77777777" w:rsidR="00C85FC3" w:rsidRPr="00576AF8" w:rsidRDefault="00C85FC3" w:rsidP="00510A60">
            <w:pPr>
              <w:spacing w:before="100" w:after="100"/>
              <w:jc w:val="center"/>
              <w:rPr>
                <w:sz w:val="22"/>
              </w:rPr>
            </w:pPr>
          </w:p>
        </w:tc>
        <w:tc>
          <w:tcPr>
            <w:tcW w:w="2250" w:type="dxa"/>
          </w:tcPr>
          <w:p w14:paraId="1E8178C0" w14:textId="77777777" w:rsidR="00C85FC3" w:rsidRPr="00576AF8" w:rsidRDefault="00C85FC3" w:rsidP="00510A60">
            <w:pPr>
              <w:spacing w:before="100" w:after="100"/>
              <w:jc w:val="center"/>
              <w:rPr>
                <w:sz w:val="22"/>
              </w:rPr>
            </w:pPr>
          </w:p>
        </w:tc>
        <w:tc>
          <w:tcPr>
            <w:tcW w:w="1440" w:type="dxa"/>
          </w:tcPr>
          <w:p w14:paraId="68022C6C" w14:textId="77777777" w:rsidR="00C85FC3" w:rsidRPr="00576AF8" w:rsidRDefault="00C85FC3" w:rsidP="00510A60">
            <w:pPr>
              <w:spacing w:before="100" w:after="100"/>
              <w:jc w:val="center"/>
              <w:rPr>
                <w:sz w:val="22"/>
              </w:rPr>
            </w:pPr>
          </w:p>
        </w:tc>
      </w:tr>
      <w:tr w:rsidR="00C85FC3" w:rsidRPr="00576AF8" w14:paraId="48B67639" w14:textId="77777777" w:rsidTr="00510A60">
        <w:trPr>
          <w:cantSplit/>
        </w:trPr>
        <w:tc>
          <w:tcPr>
            <w:tcW w:w="2880" w:type="dxa"/>
          </w:tcPr>
          <w:p w14:paraId="604A0BB9" w14:textId="77777777" w:rsidR="00C85FC3" w:rsidRPr="00576AF8" w:rsidRDefault="00C85FC3" w:rsidP="00510A60">
            <w:pPr>
              <w:spacing w:before="100" w:after="100"/>
              <w:jc w:val="center"/>
              <w:rPr>
                <w:sz w:val="22"/>
              </w:rPr>
            </w:pPr>
          </w:p>
        </w:tc>
        <w:tc>
          <w:tcPr>
            <w:tcW w:w="1440" w:type="dxa"/>
          </w:tcPr>
          <w:p w14:paraId="13B09B57" w14:textId="77777777" w:rsidR="00C85FC3" w:rsidRPr="00576AF8" w:rsidRDefault="00C85FC3" w:rsidP="00510A60">
            <w:pPr>
              <w:spacing w:before="100" w:after="100"/>
              <w:jc w:val="center"/>
              <w:rPr>
                <w:sz w:val="22"/>
              </w:rPr>
            </w:pPr>
          </w:p>
        </w:tc>
        <w:tc>
          <w:tcPr>
            <w:tcW w:w="360" w:type="dxa"/>
          </w:tcPr>
          <w:p w14:paraId="794417FE" w14:textId="77777777" w:rsidR="00C85FC3" w:rsidRPr="00576AF8" w:rsidRDefault="00C85FC3" w:rsidP="00510A60">
            <w:pPr>
              <w:spacing w:before="100" w:after="100"/>
              <w:jc w:val="center"/>
              <w:rPr>
                <w:sz w:val="22"/>
              </w:rPr>
            </w:pPr>
          </w:p>
        </w:tc>
        <w:tc>
          <w:tcPr>
            <w:tcW w:w="2628" w:type="dxa"/>
          </w:tcPr>
          <w:p w14:paraId="44595EBD" w14:textId="77777777" w:rsidR="00C85FC3" w:rsidRPr="00576AF8" w:rsidRDefault="00C85FC3" w:rsidP="00510A60">
            <w:pPr>
              <w:spacing w:before="100" w:after="100"/>
              <w:jc w:val="center"/>
              <w:rPr>
                <w:sz w:val="22"/>
              </w:rPr>
            </w:pPr>
          </w:p>
        </w:tc>
        <w:tc>
          <w:tcPr>
            <w:tcW w:w="1530" w:type="dxa"/>
          </w:tcPr>
          <w:p w14:paraId="33944F0E" w14:textId="77777777" w:rsidR="00C85FC3" w:rsidRPr="00576AF8" w:rsidRDefault="00C85FC3" w:rsidP="00510A60">
            <w:pPr>
              <w:spacing w:before="100" w:after="100"/>
              <w:jc w:val="center"/>
              <w:rPr>
                <w:sz w:val="22"/>
              </w:rPr>
            </w:pPr>
          </w:p>
        </w:tc>
        <w:tc>
          <w:tcPr>
            <w:tcW w:w="360" w:type="dxa"/>
          </w:tcPr>
          <w:p w14:paraId="5BA9901F" w14:textId="77777777" w:rsidR="00C85FC3" w:rsidRPr="00576AF8" w:rsidRDefault="00C85FC3" w:rsidP="00510A60">
            <w:pPr>
              <w:spacing w:before="100" w:after="100"/>
              <w:jc w:val="center"/>
              <w:rPr>
                <w:sz w:val="22"/>
              </w:rPr>
            </w:pPr>
          </w:p>
        </w:tc>
        <w:tc>
          <w:tcPr>
            <w:tcW w:w="2250" w:type="dxa"/>
          </w:tcPr>
          <w:p w14:paraId="130ACC68" w14:textId="77777777" w:rsidR="00C85FC3" w:rsidRPr="00576AF8" w:rsidRDefault="00C85FC3" w:rsidP="00510A60">
            <w:pPr>
              <w:spacing w:before="100" w:after="100"/>
              <w:jc w:val="center"/>
              <w:rPr>
                <w:sz w:val="22"/>
              </w:rPr>
            </w:pPr>
          </w:p>
        </w:tc>
        <w:tc>
          <w:tcPr>
            <w:tcW w:w="1440" w:type="dxa"/>
          </w:tcPr>
          <w:p w14:paraId="20506EC6" w14:textId="77777777" w:rsidR="00C85FC3" w:rsidRPr="00576AF8" w:rsidRDefault="00C85FC3" w:rsidP="00510A60">
            <w:pPr>
              <w:spacing w:before="100" w:after="100"/>
              <w:jc w:val="center"/>
              <w:rPr>
                <w:sz w:val="22"/>
              </w:rPr>
            </w:pPr>
          </w:p>
        </w:tc>
      </w:tr>
      <w:tr w:rsidR="00C85FC3" w:rsidRPr="00576AF8" w14:paraId="3E302680" w14:textId="77777777" w:rsidTr="00510A60">
        <w:trPr>
          <w:cantSplit/>
        </w:trPr>
        <w:tc>
          <w:tcPr>
            <w:tcW w:w="2880" w:type="dxa"/>
          </w:tcPr>
          <w:p w14:paraId="1AE24FD0" w14:textId="77777777" w:rsidR="00C85FC3" w:rsidRPr="00576AF8" w:rsidRDefault="00C85FC3" w:rsidP="00510A60">
            <w:pPr>
              <w:spacing w:before="100" w:after="100"/>
              <w:jc w:val="center"/>
              <w:rPr>
                <w:sz w:val="22"/>
              </w:rPr>
            </w:pPr>
          </w:p>
        </w:tc>
        <w:tc>
          <w:tcPr>
            <w:tcW w:w="1440" w:type="dxa"/>
          </w:tcPr>
          <w:p w14:paraId="771C8FA3" w14:textId="77777777" w:rsidR="00C85FC3" w:rsidRPr="00576AF8" w:rsidRDefault="00C85FC3" w:rsidP="00510A60">
            <w:pPr>
              <w:spacing w:before="100" w:after="100"/>
              <w:jc w:val="center"/>
              <w:rPr>
                <w:sz w:val="22"/>
              </w:rPr>
            </w:pPr>
          </w:p>
        </w:tc>
        <w:tc>
          <w:tcPr>
            <w:tcW w:w="360" w:type="dxa"/>
          </w:tcPr>
          <w:p w14:paraId="1DBF5F72" w14:textId="77777777" w:rsidR="00C85FC3" w:rsidRPr="00576AF8" w:rsidRDefault="00C85FC3" w:rsidP="00510A60">
            <w:pPr>
              <w:spacing w:before="100" w:after="100"/>
              <w:jc w:val="center"/>
              <w:rPr>
                <w:sz w:val="22"/>
              </w:rPr>
            </w:pPr>
          </w:p>
        </w:tc>
        <w:tc>
          <w:tcPr>
            <w:tcW w:w="2628" w:type="dxa"/>
          </w:tcPr>
          <w:p w14:paraId="51BD5C60" w14:textId="77777777" w:rsidR="00C85FC3" w:rsidRPr="00576AF8" w:rsidRDefault="00C85FC3" w:rsidP="00510A60">
            <w:pPr>
              <w:spacing w:before="100" w:after="100"/>
              <w:jc w:val="center"/>
              <w:rPr>
                <w:sz w:val="22"/>
              </w:rPr>
            </w:pPr>
          </w:p>
        </w:tc>
        <w:tc>
          <w:tcPr>
            <w:tcW w:w="1530" w:type="dxa"/>
          </w:tcPr>
          <w:p w14:paraId="688D9F0C" w14:textId="77777777" w:rsidR="00C85FC3" w:rsidRPr="00576AF8" w:rsidRDefault="00C85FC3" w:rsidP="00510A60">
            <w:pPr>
              <w:spacing w:before="100" w:after="100"/>
              <w:jc w:val="center"/>
              <w:rPr>
                <w:sz w:val="22"/>
              </w:rPr>
            </w:pPr>
          </w:p>
        </w:tc>
        <w:tc>
          <w:tcPr>
            <w:tcW w:w="360" w:type="dxa"/>
          </w:tcPr>
          <w:p w14:paraId="1C1B76D6" w14:textId="77777777" w:rsidR="00C85FC3" w:rsidRPr="00576AF8" w:rsidRDefault="00C85FC3" w:rsidP="00510A60">
            <w:pPr>
              <w:spacing w:before="100" w:after="100"/>
              <w:jc w:val="center"/>
              <w:rPr>
                <w:sz w:val="22"/>
              </w:rPr>
            </w:pPr>
          </w:p>
        </w:tc>
        <w:tc>
          <w:tcPr>
            <w:tcW w:w="2250" w:type="dxa"/>
          </w:tcPr>
          <w:p w14:paraId="64AAC3A9" w14:textId="77777777" w:rsidR="00C85FC3" w:rsidRPr="00576AF8" w:rsidRDefault="00C85FC3" w:rsidP="00510A60">
            <w:pPr>
              <w:spacing w:before="100" w:after="100"/>
              <w:jc w:val="center"/>
              <w:rPr>
                <w:sz w:val="22"/>
              </w:rPr>
            </w:pPr>
          </w:p>
        </w:tc>
        <w:tc>
          <w:tcPr>
            <w:tcW w:w="1440" w:type="dxa"/>
          </w:tcPr>
          <w:p w14:paraId="06211505" w14:textId="77777777" w:rsidR="00C85FC3" w:rsidRPr="00576AF8" w:rsidRDefault="00C85FC3" w:rsidP="00510A60">
            <w:pPr>
              <w:spacing w:before="100" w:after="100"/>
              <w:jc w:val="center"/>
              <w:rPr>
                <w:sz w:val="22"/>
              </w:rPr>
            </w:pPr>
          </w:p>
        </w:tc>
      </w:tr>
      <w:tr w:rsidR="00C85FC3" w:rsidRPr="00576AF8" w14:paraId="3AC7F719" w14:textId="77777777" w:rsidTr="00510A60">
        <w:trPr>
          <w:cantSplit/>
        </w:trPr>
        <w:tc>
          <w:tcPr>
            <w:tcW w:w="2880" w:type="dxa"/>
          </w:tcPr>
          <w:p w14:paraId="5841D37E" w14:textId="77777777" w:rsidR="00C85FC3" w:rsidRPr="00576AF8" w:rsidRDefault="00C85FC3" w:rsidP="00510A60">
            <w:pPr>
              <w:spacing w:before="100" w:after="100"/>
              <w:jc w:val="center"/>
              <w:rPr>
                <w:sz w:val="22"/>
              </w:rPr>
            </w:pPr>
          </w:p>
        </w:tc>
        <w:tc>
          <w:tcPr>
            <w:tcW w:w="1440" w:type="dxa"/>
          </w:tcPr>
          <w:p w14:paraId="705B5E30" w14:textId="77777777" w:rsidR="00C85FC3" w:rsidRPr="00576AF8" w:rsidRDefault="00C85FC3" w:rsidP="00510A60">
            <w:pPr>
              <w:spacing w:before="100" w:after="100"/>
              <w:jc w:val="center"/>
              <w:rPr>
                <w:sz w:val="22"/>
              </w:rPr>
            </w:pPr>
          </w:p>
        </w:tc>
        <w:tc>
          <w:tcPr>
            <w:tcW w:w="360" w:type="dxa"/>
          </w:tcPr>
          <w:p w14:paraId="7C395A55" w14:textId="77777777" w:rsidR="00C85FC3" w:rsidRPr="00576AF8" w:rsidRDefault="00C85FC3" w:rsidP="00510A60">
            <w:pPr>
              <w:spacing w:before="100" w:after="100"/>
              <w:jc w:val="center"/>
              <w:rPr>
                <w:sz w:val="22"/>
              </w:rPr>
            </w:pPr>
          </w:p>
        </w:tc>
        <w:tc>
          <w:tcPr>
            <w:tcW w:w="2628" w:type="dxa"/>
          </w:tcPr>
          <w:p w14:paraId="3F4B7BAB" w14:textId="77777777" w:rsidR="00C85FC3" w:rsidRPr="00576AF8" w:rsidRDefault="00C85FC3" w:rsidP="00510A60">
            <w:pPr>
              <w:spacing w:before="100" w:after="100"/>
              <w:jc w:val="center"/>
              <w:rPr>
                <w:sz w:val="22"/>
              </w:rPr>
            </w:pPr>
          </w:p>
        </w:tc>
        <w:tc>
          <w:tcPr>
            <w:tcW w:w="1530" w:type="dxa"/>
          </w:tcPr>
          <w:p w14:paraId="4DD434A6" w14:textId="77777777" w:rsidR="00C85FC3" w:rsidRPr="00576AF8" w:rsidRDefault="00C85FC3" w:rsidP="00510A60">
            <w:pPr>
              <w:spacing w:before="100" w:after="100"/>
              <w:jc w:val="center"/>
              <w:rPr>
                <w:sz w:val="22"/>
              </w:rPr>
            </w:pPr>
          </w:p>
        </w:tc>
        <w:tc>
          <w:tcPr>
            <w:tcW w:w="360" w:type="dxa"/>
          </w:tcPr>
          <w:p w14:paraId="60F4A2DD" w14:textId="77777777" w:rsidR="00C85FC3" w:rsidRPr="00576AF8" w:rsidRDefault="00C85FC3" w:rsidP="00510A60">
            <w:pPr>
              <w:spacing w:before="100" w:after="100"/>
              <w:jc w:val="center"/>
              <w:rPr>
                <w:sz w:val="22"/>
              </w:rPr>
            </w:pPr>
          </w:p>
        </w:tc>
        <w:tc>
          <w:tcPr>
            <w:tcW w:w="2250" w:type="dxa"/>
          </w:tcPr>
          <w:p w14:paraId="2418DAF8" w14:textId="77777777" w:rsidR="00C85FC3" w:rsidRPr="00576AF8" w:rsidRDefault="00C85FC3" w:rsidP="00510A60">
            <w:pPr>
              <w:spacing w:before="100" w:after="100"/>
              <w:jc w:val="center"/>
              <w:rPr>
                <w:sz w:val="22"/>
              </w:rPr>
            </w:pPr>
          </w:p>
        </w:tc>
        <w:tc>
          <w:tcPr>
            <w:tcW w:w="1440" w:type="dxa"/>
          </w:tcPr>
          <w:p w14:paraId="68951809" w14:textId="77777777" w:rsidR="00C85FC3" w:rsidRPr="00576AF8" w:rsidRDefault="00C85FC3" w:rsidP="00510A60">
            <w:pPr>
              <w:spacing w:before="100" w:after="100"/>
              <w:jc w:val="center"/>
              <w:rPr>
                <w:sz w:val="22"/>
              </w:rPr>
            </w:pPr>
          </w:p>
        </w:tc>
      </w:tr>
      <w:tr w:rsidR="00C85FC3" w:rsidRPr="00576AF8" w14:paraId="29E88D6A" w14:textId="77777777" w:rsidTr="00510A60">
        <w:trPr>
          <w:cantSplit/>
        </w:trPr>
        <w:tc>
          <w:tcPr>
            <w:tcW w:w="2880" w:type="dxa"/>
          </w:tcPr>
          <w:p w14:paraId="245F4E27" w14:textId="77777777" w:rsidR="00C85FC3" w:rsidRPr="00576AF8" w:rsidRDefault="00C85FC3" w:rsidP="00510A60">
            <w:pPr>
              <w:spacing w:before="100" w:after="100"/>
              <w:jc w:val="center"/>
              <w:rPr>
                <w:sz w:val="22"/>
              </w:rPr>
            </w:pPr>
          </w:p>
        </w:tc>
        <w:tc>
          <w:tcPr>
            <w:tcW w:w="1440" w:type="dxa"/>
          </w:tcPr>
          <w:p w14:paraId="7746005C" w14:textId="77777777" w:rsidR="00C85FC3" w:rsidRPr="00576AF8" w:rsidRDefault="00C85FC3" w:rsidP="00510A60">
            <w:pPr>
              <w:spacing w:before="100" w:after="100"/>
              <w:jc w:val="center"/>
              <w:rPr>
                <w:sz w:val="22"/>
              </w:rPr>
            </w:pPr>
          </w:p>
        </w:tc>
        <w:tc>
          <w:tcPr>
            <w:tcW w:w="360" w:type="dxa"/>
          </w:tcPr>
          <w:p w14:paraId="5388D397" w14:textId="77777777" w:rsidR="00C85FC3" w:rsidRPr="00576AF8" w:rsidRDefault="00C85FC3" w:rsidP="00510A60">
            <w:pPr>
              <w:spacing w:before="100" w:after="100"/>
              <w:jc w:val="center"/>
              <w:rPr>
                <w:sz w:val="22"/>
              </w:rPr>
            </w:pPr>
          </w:p>
        </w:tc>
        <w:tc>
          <w:tcPr>
            <w:tcW w:w="2628" w:type="dxa"/>
          </w:tcPr>
          <w:p w14:paraId="432A1F99" w14:textId="77777777" w:rsidR="00C85FC3" w:rsidRPr="00576AF8" w:rsidRDefault="00C85FC3" w:rsidP="00510A60">
            <w:pPr>
              <w:spacing w:before="100" w:after="100"/>
              <w:jc w:val="center"/>
              <w:rPr>
                <w:sz w:val="22"/>
              </w:rPr>
            </w:pPr>
          </w:p>
        </w:tc>
        <w:tc>
          <w:tcPr>
            <w:tcW w:w="1530" w:type="dxa"/>
          </w:tcPr>
          <w:p w14:paraId="420AFEF5" w14:textId="77777777" w:rsidR="00C85FC3" w:rsidRPr="00576AF8" w:rsidRDefault="00C85FC3" w:rsidP="00510A60">
            <w:pPr>
              <w:spacing w:before="100" w:after="100"/>
              <w:jc w:val="center"/>
              <w:rPr>
                <w:sz w:val="22"/>
              </w:rPr>
            </w:pPr>
          </w:p>
        </w:tc>
        <w:tc>
          <w:tcPr>
            <w:tcW w:w="360" w:type="dxa"/>
          </w:tcPr>
          <w:p w14:paraId="3AE3D6B2" w14:textId="77777777" w:rsidR="00C85FC3" w:rsidRPr="00576AF8" w:rsidRDefault="00C85FC3" w:rsidP="00510A60">
            <w:pPr>
              <w:spacing w:before="100" w:after="100"/>
              <w:jc w:val="center"/>
              <w:rPr>
                <w:sz w:val="22"/>
              </w:rPr>
            </w:pPr>
          </w:p>
        </w:tc>
        <w:tc>
          <w:tcPr>
            <w:tcW w:w="2250" w:type="dxa"/>
          </w:tcPr>
          <w:p w14:paraId="51B02E66" w14:textId="77777777" w:rsidR="00C85FC3" w:rsidRPr="00576AF8" w:rsidRDefault="00C85FC3" w:rsidP="00510A60">
            <w:pPr>
              <w:spacing w:before="100" w:after="100"/>
              <w:jc w:val="center"/>
              <w:rPr>
                <w:sz w:val="22"/>
              </w:rPr>
            </w:pPr>
          </w:p>
        </w:tc>
        <w:tc>
          <w:tcPr>
            <w:tcW w:w="1440" w:type="dxa"/>
          </w:tcPr>
          <w:p w14:paraId="6EF0E0AF" w14:textId="77777777" w:rsidR="00C85FC3" w:rsidRPr="00576AF8" w:rsidRDefault="00C85FC3" w:rsidP="00510A60">
            <w:pPr>
              <w:spacing w:before="100" w:after="100"/>
              <w:jc w:val="center"/>
              <w:rPr>
                <w:sz w:val="22"/>
              </w:rPr>
            </w:pPr>
          </w:p>
        </w:tc>
      </w:tr>
      <w:tr w:rsidR="00C85FC3" w:rsidRPr="00576AF8" w14:paraId="0D5C3A6E" w14:textId="77777777" w:rsidTr="00510A60">
        <w:trPr>
          <w:cantSplit/>
        </w:trPr>
        <w:tc>
          <w:tcPr>
            <w:tcW w:w="2880" w:type="dxa"/>
          </w:tcPr>
          <w:p w14:paraId="5985EE74" w14:textId="77777777" w:rsidR="00C85FC3" w:rsidRPr="00576AF8" w:rsidRDefault="00C85FC3" w:rsidP="00510A60">
            <w:pPr>
              <w:spacing w:before="100" w:after="100"/>
              <w:jc w:val="center"/>
              <w:rPr>
                <w:sz w:val="22"/>
              </w:rPr>
            </w:pPr>
          </w:p>
        </w:tc>
        <w:tc>
          <w:tcPr>
            <w:tcW w:w="1440" w:type="dxa"/>
          </w:tcPr>
          <w:p w14:paraId="0219B4E8" w14:textId="77777777" w:rsidR="00C85FC3" w:rsidRPr="00576AF8" w:rsidRDefault="00C85FC3" w:rsidP="00510A60">
            <w:pPr>
              <w:spacing w:before="100" w:after="100"/>
              <w:jc w:val="center"/>
              <w:rPr>
                <w:sz w:val="22"/>
              </w:rPr>
            </w:pPr>
          </w:p>
        </w:tc>
        <w:tc>
          <w:tcPr>
            <w:tcW w:w="360" w:type="dxa"/>
          </w:tcPr>
          <w:p w14:paraId="2F3DD6D0" w14:textId="77777777" w:rsidR="00C85FC3" w:rsidRPr="00576AF8" w:rsidRDefault="00C85FC3" w:rsidP="00510A60">
            <w:pPr>
              <w:spacing w:before="100" w:after="100"/>
              <w:jc w:val="center"/>
              <w:rPr>
                <w:sz w:val="22"/>
              </w:rPr>
            </w:pPr>
          </w:p>
        </w:tc>
        <w:tc>
          <w:tcPr>
            <w:tcW w:w="2628" w:type="dxa"/>
          </w:tcPr>
          <w:p w14:paraId="7266BBAF" w14:textId="77777777" w:rsidR="00C85FC3" w:rsidRPr="00576AF8" w:rsidRDefault="00C85FC3" w:rsidP="00510A60">
            <w:pPr>
              <w:spacing w:before="100" w:after="100"/>
              <w:jc w:val="center"/>
              <w:rPr>
                <w:sz w:val="22"/>
              </w:rPr>
            </w:pPr>
          </w:p>
        </w:tc>
        <w:tc>
          <w:tcPr>
            <w:tcW w:w="1530" w:type="dxa"/>
          </w:tcPr>
          <w:p w14:paraId="6A3B1C69" w14:textId="77777777" w:rsidR="00C85FC3" w:rsidRPr="00576AF8" w:rsidRDefault="00C85FC3" w:rsidP="00510A60">
            <w:pPr>
              <w:spacing w:before="100" w:after="100"/>
              <w:jc w:val="center"/>
              <w:rPr>
                <w:sz w:val="22"/>
              </w:rPr>
            </w:pPr>
          </w:p>
        </w:tc>
        <w:tc>
          <w:tcPr>
            <w:tcW w:w="360" w:type="dxa"/>
          </w:tcPr>
          <w:p w14:paraId="78BDE173" w14:textId="77777777" w:rsidR="00C85FC3" w:rsidRPr="00576AF8" w:rsidRDefault="00C85FC3" w:rsidP="00510A60">
            <w:pPr>
              <w:spacing w:before="100" w:after="100"/>
              <w:jc w:val="center"/>
              <w:rPr>
                <w:sz w:val="22"/>
              </w:rPr>
            </w:pPr>
          </w:p>
        </w:tc>
        <w:tc>
          <w:tcPr>
            <w:tcW w:w="2250" w:type="dxa"/>
          </w:tcPr>
          <w:p w14:paraId="277EFBE7" w14:textId="77777777" w:rsidR="00C85FC3" w:rsidRPr="00576AF8" w:rsidRDefault="00C85FC3" w:rsidP="00510A60">
            <w:pPr>
              <w:spacing w:before="100" w:after="100"/>
              <w:jc w:val="center"/>
              <w:rPr>
                <w:sz w:val="22"/>
              </w:rPr>
            </w:pPr>
          </w:p>
        </w:tc>
        <w:tc>
          <w:tcPr>
            <w:tcW w:w="1440" w:type="dxa"/>
          </w:tcPr>
          <w:p w14:paraId="4D92A1F6" w14:textId="77777777" w:rsidR="00C85FC3" w:rsidRPr="00576AF8" w:rsidRDefault="00C85FC3" w:rsidP="00510A60">
            <w:pPr>
              <w:spacing w:before="100" w:after="100"/>
              <w:jc w:val="center"/>
              <w:rPr>
                <w:sz w:val="22"/>
              </w:rPr>
            </w:pPr>
          </w:p>
        </w:tc>
      </w:tr>
    </w:tbl>
    <w:p w14:paraId="263A3C32" w14:textId="77777777" w:rsidR="00C85FC3" w:rsidRPr="00576AF8" w:rsidRDefault="00C85FC3" w:rsidP="00C85FC3">
      <w:pPr>
        <w:rPr>
          <w:sz w:val="22"/>
        </w:rPr>
      </w:pPr>
    </w:p>
    <w:p w14:paraId="2324006A" w14:textId="77777777" w:rsidR="00C85FC3" w:rsidRPr="00576AF8" w:rsidRDefault="00C85FC3" w:rsidP="00C85FC3">
      <w:pPr>
        <w:rPr>
          <w:sz w:val="22"/>
        </w:rPr>
      </w:pPr>
    </w:p>
    <w:p w14:paraId="3730A977" w14:textId="77777777" w:rsidR="00C85FC3" w:rsidRDefault="00C85FC3" w:rsidP="00C85FC3">
      <w:pPr>
        <w:suppressAutoHyphens w:val="0"/>
        <w:spacing w:after="0"/>
        <w:jc w:val="left"/>
      </w:pPr>
      <w:r w:rsidRPr="00576AF8">
        <w:br w:type="page"/>
      </w:r>
    </w:p>
    <w:p w14:paraId="60E21498" w14:textId="77777777" w:rsidR="002C6A07" w:rsidRDefault="002C6A07" w:rsidP="00C85FC3">
      <w:pPr>
        <w:suppressAutoHyphens w:val="0"/>
        <w:spacing w:after="0"/>
        <w:jc w:val="left"/>
      </w:pPr>
    </w:p>
    <w:p w14:paraId="5C3CE74E" w14:textId="77777777" w:rsidR="002C6A07" w:rsidRDefault="002C6A07" w:rsidP="002C6A07">
      <w:pPr>
        <w:pStyle w:val="Head32"/>
        <w:ind w:right="60"/>
      </w:pPr>
      <w:r w:rsidRPr="00576AF8">
        <w:t>3.</w:t>
      </w:r>
      <w:r>
        <w:t>7 Sumas Provisionales Especificadas</w:t>
      </w:r>
    </w:p>
    <w:p w14:paraId="27827E3E" w14:textId="77777777" w:rsidR="002C6A07" w:rsidRDefault="002C6A07" w:rsidP="002C6A07">
      <w:pPr>
        <w:pStyle w:val="Head32"/>
        <w:ind w:right="60"/>
      </w:pPr>
    </w:p>
    <w:p w14:paraId="5431E15F" w14:textId="77777777" w:rsidR="002C6A07" w:rsidRDefault="002C6A07" w:rsidP="002C6A07">
      <w:pPr>
        <w:pStyle w:val="Head32"/>
        <w:ind w:right="60"/>
      </w:pPr>
    </w:p>
    <w:tbl>
      <w:tblPr>
        <w:tblW w:w="5000" w:type="pct"/>
        <w:jc w:val="center"/>
        <w:tblLook w:val="0000" w:firstRow="0" w:lastRow="0" w:firstColumn="0" w:lastColumn="0" w:noHBand="0" w:noVBand="0"/>
      </w:tblPr>
      <w:tblGrid>
        <w:gridCol w:w="1580"/>
        <w:gridCol w:w="2627"/>
        <w:gridCol w:w="1831"/>
        <w:gridCol w:w="1371"/>
        <w:gridCol w:w="2214"/>
        <w:gridCol w:w="1541"/>
        <w:gridCol w:w="1766"/>
      </w:tblGrid>
      <w:tr w:rsidR="002C6A07" w:rsidRPr="00D079A3" w14:paraId="091B1B59" w14:textId="77777777" w:rsidTr="008B1325">
        <w:trPr>
          <w:jc w:val="center"/>
        </w:trPr>
        <w:tc>
          <w:tcPr>
            <w:tcW w:w="611" w:type="pct"/>
            <w:tcBorders>
              <w:top w:val="double" w:sz="4" w:space="0" w:color="auto"/>
              <w:left w:val="double" w:sz="4" w:space="0" w:color="auto"/>
              <w:bottom w:val="dotted" w:sz="4" w:space="0" w:color="auto"/>
            </w:tcBorders>
          </w:tcPr>
          <w:p w14:paraId="189FD2FB" w14:textId="77777777" w:rsidR="002C6A07" w:rsidRPr="00D079A3" w:rsidRDefault="002C6A07" w:rsidP="00545EE9">
            <w:pPr>
              <w:spacing w:before="60" w:after="60"/>
              <w:jc w:val="center"/>
              <w:rPr>
                <w:i/>
                <w:noProof/>
                <w:color w:val="000000"/>
              </w:rPr>
            </w:pPr>
            <w:r w:rsidRPr="00D079A3">
              <w:rPr>
                <w:i/>
                <w:noProof/>
                <w:color w:val="000000"/>
              </w:rPr>
              <w:t>Item no.</w:t>
            </w:r>
          </w:p>
        </w:tc>
        <w:tc>
          <w:tcPr>
            <w:tcW w:w="3110" w:type="pct"/>
            <w:gridSpan w:val="4"/>
            <w:tcBorders>
              <w:top w:val="double" w:sz="4" w:space="0" w:color="auto"/>
              <w:left w:val="single" w:sz="4" w:space="0" w:color="auto"/>
              <w:bottom w:val="dotted" w:sz="4" w:space="0" w:color="auto"/>
            </w:tcBorders>
          </w:tcPr>
          <w:p w14:paraId="466D9604" w14:textId="77777777" w:rsidR="002C6A07" w:rsidRPr="00D079A3" w:rsidRDefault="002C6A07" w:rsidP="00545EE9">
            <w:pPr>
              <w:spacing w:before="60" w:after="60"/>
              <w:jc w:val="center"/>
              <w:rPr>
                <w:i/>
                <w:noProof/>
                <w:color w:val="000000"/>
              </w:rPr>
            </w:pPr>
            <w:r w:rsidRPr="00D079A3">
              <w:rPr>
                <w:i/>
                <w:noProof/>
                <w:color w:val="000000"/>
              </w:rPr>
              <w:t>Descripción</w:t>
            </w:r>
          </w:p>
        </w:tc>
        <w:tc>
          <w:tcPr>
            <w:tcW w:w="1279" w:type="pct"/>
            <w:gridSpan w:val="2"/>
            <w:tcBorders>
              <w:top w:val="double" w:sz="4" w:space="0" w:color="auto"/>
              <w:left w:val="single" w:sz="4" w:space="0" w:color="auto"/>
              <w:bottom w:val="dotted" w:sz="4" w:space="0" w:color="auto"/>
              <w:right w:val="double" w:sz="4" w:space="0" w:color="auto"/>
            </w:tcBorders>
          </w:tcPr>
          <w:p w14:paraId="7520DF15" w14:textId="77777777" w:rsidR="002C6A07" w:rsidRPr="00324210" w:rsidRDefault="002C6A07" w:rsidP="00545EE9">
            <w:pPr>
              <w:spacing w:before="60" w:after="60"/>
              <w:jc w:val="center"/>
              <w:rPr>
                <w:i/>
                <w:noProof/>
                <w:color w:val="000000"/>
              </w:rPr>
            </w:pPr>
            <w:r w:rsidRPr="00324210">
              <w:rPr>
                <w:i/>
                <w:noProof/>
                <w:color w:val="000000"/>
              </w:rPr>
              <w:t>Monto</w:t>
            </w:r>
          </w:p>
        </w:tc>
      </w:tr>
      <w:tr w:rsidR="002C6A07" w:rsidRPr="00D079A3" w14:paraId="5448F91E" w14:textId="77777777" w:rsidTr="008B1325">
        <w:trPr>
          <w:jc w:val="center"/>
        </w:trPr>
        <w:tc>
          <w:tcPr>
            <w:tcW w:w="611" w:type="pct"/>
            <w:tcBorders>
              <w:top w:val="dotted" w:sz="4" w:space="0" w:color="auto"/>
              <w:left w:val="double" w:sz="4" w:space="0" w:color="auto"/>
              <w:bottom w:val="dotted" w:sz="4" w:space="0" w:color="auto"/>
              <w:right w:val="dotted" w:sz="4" w:space="0" w:color="auto"/>
            </w:tcBorders>
          </w:tcPr>
          <w:p w14:paraId="6FF4DC67" w14:textId="77777777" w:rsidR="002C6A07" w:rsidRPr="00D079A3" w:rsidRDefault="002C6A07" w:rsidP="00545EE9">
            <w:pPr>
              <w:spacing w:before="60" w:after="60"/>
              <w:jc w:val="center"/>
              <w:rPr>
                <w:noProof/>
                <w:color w:val="000000"/>
              </w:rPr>
            </w:pPr>
            <w:r w:rsidRPr="00D079A3">
              <w:rPr>
                <w:noProof/>
                <w:color w:val="000000"/>
              </w:rPr>
              <w:t>1</w:t>
            </w:r>
          </w:p>
        </w:tc>
        <w:tc>
          <w:tcPr>
            <w:tcW w:w="3110" w:type="pct"/>
            <w:gridSpan w:val="4"/>
            <w:tcBorders>
              <w:top w:val="dotted" w:sz="4" w:space="0" w:color="auto"/>
              <w:left w:val="dotted" w:sz="4" w:space="0" w:color="auto"/>
              <w:bottom w:val="dotted" w:sz="4" w:space="0" w:color="auto"/>
              <w:right w:val="dotted" w:sz="4" w:space="0" w:color="auto"/>
            </w:tcBorders>
          </w:tcPr>
          <w:p w14:paraId="1FB848AA" w14:textId="5A2C72B1" w:rsidR="002C6A07" w:rsidRPr="00D079A3" w:rsidRDefault="002C6A07" w:rsidP="00545EE9">
            <w:pPr>
              <w:spacing w:before="60" w:after="60"/>
              <w:rPr>
                <w:noProof/>
                <w:color w:val="000000"/>
              </w:rPr>
            </w:pPr>
            <w:r w:rsidRPr="00D079A3">
              <w:rPr>
                <w:noProof/>
                <w:color w:val="000000"/>
              </w:rPr>
              <w:t xml:space="preserve">Suma Provisional de </w:t>
            </w:r>
            <w:r w:rsidR="00671212">
              <w:rPr>
                <w:noProof/>
                <w:color w:val="000000"/>
              </w:rPr>
              <w:t xml:space="preserve">los </w:t>
            </w:r>
            <w:r w:rsidRPr="00D079A3">
              <w:rPr>
                <w:noProof/>
                <w:color w:val="000000"/>
              </w:rPr>
              <w:t>honorarios del Conciliador</w:t>
            </w:r>
          </w:p>
        </w:tc>
        <w:tc>
          <w:tcPr>
            <w:tcW w:w="1279" w:type="pct"/>
            <w:gridSpan w:val="2"/>
            <w:tcBorders>
              <w:top w:val="dotted" w:sz="4" w:space="0" w:color="auto"/>
              <w:left w:val="dotted" w:sz="4" w:space="0" w:color="auto"/>
              <w:bottom w:val="dotted" w:sz="4" w:space="0" w:color="auto"/>
              <w:right w:val="double" w:sz="4" w:space="0" w:color="auto"/>
            </w:tcBorders>
          </w:tcPr>
          <w:p w14:paraId="7BC8754D" w14:textId="341DEA69" w:rsidR="002C6A07" w:rsidRPr="00324210" w:rsidRDefault="008B1325" w:rsidP="00545EE9">
            <w:pPr>
              <w:tabs>
                <w:tab w:val="decimal" w:pos="1050"/>
              </w:tabs>
              <w:spacing w:before="60" w:after="60"/>
              <w:rPr>
                <w:noProof/>
                <w:color w:val="000000"/>
              </w:rPr>
            </w:pPr>
            <w:r w:rsidRPr="00324210">
              <w:rPr>
                <w:noProof/>
                <w:color w:val="000000"/>
              </w:rPr>
              <w:t>11.200 más IVA</w:t>
            </w:r>
          </w:p>
        </w:tc>
      </w:tr>
      <w:tr w:rsidR="002C6A07" w:rsidRPr="00D079A3" w14:paraId="73C30BF3" w14:textId="77777777" w:rsidTr="008B1325">
        <w:trPr>
          <w:jc w:val="center"/>
        </w:trPr>
        <w:tc>
          <w:tcPr>
            <w:tcW w:w="611" w:type="pct"/>
            <w:tcBorders>
              <w:top w:val="dotted" w:sz="4" w:space="0" w:color="auto"/>
              <w:left w:val="double" w:sz="4" w:space="0" w:color="auto"/>
              <w:bottom w:val="dotted" w:sz="4" w:space="0" w:color="auto"/>
              <w:right w:val="dotted" w:sz="4" w:space="0" w:color="auto"/>
            </w:tcBorders>
          </w:tcPr>
          <w:p w14:paraId="0E89CE57" w14:textId="77777777" w:rsidR="002C6A07" w:rsidRPr="00D079A3" w:rsidRDefault="002C6A07" w:rsidP="00545EE9">
            <w:pPr>
              <w:spacing w:before="60" w:after="60"/>
              <w:jc w:val="center"/>
              <w:rPr>
                <w:noProof/>
                <w:color w:val="000000"/>
              </w:rPr>
            </w:pPr>
          </w:p>
        </w:tc>
        <w:tc>
          <w:tcPr>
            <w:tcW w:w="3110" w:type="pct"/>
            <w:gridSpan w:val="4"/>
            <w:tcBorders>
              <w:top w:val="dotted" w:sz="4" w:space="0" w:color="auto"/>
              <w:left w:val="dotted" w:sz="4" w:space="0" w:color="auto"/>
              <w:bottom w:val="dotted" w:sz="4" w:space="0" w:color="auto"/>
              <w:right w:val="dotted" w:sz="4" w:space="0" w:color="auto"/>
            </w:tcBorders>
          </w:tcPr>
          <w:p w14:paraId="57BD9C4C" w14:textId="77777777" w:rsidR="002C6A07" w:rsidRPr="00D079A3" w:rsidRDefault="002C6A07" w:rsidP="00545EE9">
            <w:pPr>
              <w:spacing w:before="60" w:after="60"/>
              <w:jc w:val="right"/>
              <w:rPr>
                <w:noProof/>
                <w:color w:val="000000"/>
              </w:rPr>
            </w:pPr>
            <w:r w:rsidRPr="00D079A3">
              <w:rPr>
                <w:noProof/>
                <w:color w:val="000000"/>
              </w:rPr>
              <w:t>Total para Sumas Provisionales Especificadas</w:t>
            </w:r>
          </w:p>
          <w:p w14:paraId="2021EE65" w14:textId="77777777" w:rsidR="002C6A07" w:rsidRPr="00D079A3" w:rsidRDefault="002C6A07" w:rsidP="00545EE9">
            <w:pPr>
              <w:tabs>
                <w:tab w:val="left" w:pos="5794"/>
              </w:tabs>
              <w:spacing w:before="60" w:after="60"/>
              <w:jc w:val="right"/>
              <w:rPr>
                <w:noProof/>
                <w:color w:val="000000"/>
              </w:rPr>
            </w:pPr>
          </w:p>
        </w:tc>
        <w:tc>
          <w:tcPr>
            <w:tcW w:w="1279" w:type="pct"/>
            <w:gridSpan w:val="2"/>
            <w:tcBorders>
              <w:top w:val="dotted" w:sz="4" w:space="0" w:color="auto"/>
              <w:left w:val="dotted" w:sz="4" w:space="0" w:color="auto"/>
              <w:bottom w:val="dotted" w:sz="4" w:space="0" w:color="auto"/>
              <w:right w:val="double" w:sz="4" w:space="0" w:color="auto"/>
            </w:tcBorders>
          </w:tcPr>
          <w:p w14:paraId="50C369EA" w14:textId="0BAFB4D3" w:rsidR="002C6A07" w:rsidRPr="00324210" w:rsidRDefault="002C6A07" w:rsidP="00545EE9">
            <w:pPr>
              <w:tabs>
                <w:tab w:val="left" w:pos="987"/>
              </w:tabs>
              <w:spacing w:before="60" w:after="60"/>
              <w:rPr>
                <w:noProof/>
                <w:color w:val="000000"/>
              </w:rPr>
            </w:pPr>
            <w:r w:rsidRPr="00324210">
              <w:rPr>
                <w:noProof/>
                <w:color w:val="000000"/>
                <w:u w:val="single"/>
              </w:rPr>
              <w:br/>
            </w:r>
            <w:r w:rsidR="008B1325" w:rsidRPr="00324210">
              <w:rPr>
                <w:noProof/>
                <w:color w:val="000000"/>
              </w:rPr>
              <w:t>11.200 más IVA</w:t>
            </w:r>
          </w:p>
        </w:tc>
      </w:tr>
      <w:tr w:rsidR="002C6A07" w:rsidRPr="00D079A3" w14:paraId="0DBE880A" w14:textId="77777777" w:rsidTr="00681945">
        <w:tblPrEx>
          <w:tblBorders>
            <w:top w:val="single" w:sz="6" w:space="0" w:color="auto"/>
            <w:left w:val="single" w:sz="6" w:space="0" w:color="auto"/>
            <w:bottom w:val="single" w:sz="6" w:space="0" w:color="auto"/>
            <w:right w:val="single" w:sz="6" w:space="0" w:color="auto"/>
          </w:tblBorders>
        </w:tblPrEx>
        <w:trPr>
          <w:trHeight w:val="710"/>
          <w:jc w:val="center"/>
        </w:trPr>
        <w:tc>
          <w:tcPr>
            <w:tcW w:w="1627" w:type="pct"/>
            <w:gridSpan w:val="2"/>
            <w:tcBorders>
              <w:top w:val="dotted" w:sz="4" w:space="0" w:color="auto"/>
              <w:left w:val="double" w:sz="4" w:space="0" w:color="auto"/>
              <w:bottom w:val="nil"/>
              <w:right w:val="dotted" w:sz="4" w:space="0" w:color="auto"/>
            </w:tcBorders>
            <w:tcMar>
              <w:left w:w="28" w:type="dxa"/>
              <w:right w:w="28" w:type="dxa"/>
            </w:tcMar>
            <w:vAlign w:val="center"/>
          </w:tcPr>
          <w:p w14:paraId="1CAE503B" w14:textId="77777777" w:rsidR="002C6A07" w:rsidRPr="00D079A3" w:rsidRDefault="002C6A07" w:rsidP="00545EE9">
            <w:r w:rsidRPr="00D079A3">
              <w:t>Repetir el monto en letras</w:t>
            </w:r>
          </w:p>
        </w:tc>
        <w:tc>
          <w:tcPr>
            <w:tcW w:w="3373" w:type="pct"/>
            <w:gridSpan w:val="5"/>
            <w:tcBorders>
              <w:top w:val="dotted" w:sz="4" w:space="0" w:color="auto"/>
              <w:left w:val="dotted" w:sz="4" w:space="0" w:color="auto"/>
              <w:bottom w:val="nil"/>
              <w:right w:val="double" w:sz="4" w:space="0" w:color="auto"/>
            </w:tcBorders>
            <w:vAlign w:val="center"/>
          </w:tcPr>
          <w:p w14:paraId="6648B116" w14:textId="379C66FB" w:rsidR="002C6A07" w:rsidRPr="00D079A3" w:rsidRDefault="008B1325" w:rsidP="00545EE9">
            <w:r>
              <w:t>Once mil doscientos dólares de los Estados Unidos de América, más IVA</w:t>
            </w:r>
          </w:p>
        </w:tc>
      </w:tr>
      <w:tr w:rsidR="002C6A07" w:rsidRPr="00D079A3" w14:paraId="70149489" w14:textId="77777777" w:rsidTr="002C6A07">
        <w:tblPrEx>
          <w:tblBorders>
            <w:top w:val="single" w:sz="6" w:space="0" w:color="auto"/>
            <w:left w:val="single" w:sz="6" w:space="0" w:color="auto"/>
            <w:bottom w:val="single" w:sz="6" w:space="0" w:color="auto"/>
            <w:right w:val="single" w:sz="6" w:space="0" w:color="auto"/>
          </w:tblBorders>
        </w:tblPrEx>
        <w:trPr>
          <w:trHeight w:val="199"/>
          <w:jc w:val="center"/>
        </w:trPr>
        <w:tc>
          <w:tcPr>
            <w:tcW w:w="2335" w:type="pct"/>
            <w:gridSpan w:val="3"/>
            <w:tcBorders>
              <w:top w:val="dotted" w:sz="4" w:space="0" w:color="auto"/>
              <w:left w:val="double" w:sz="4" w:space="0" w:color="auto"/>
              <w:bottom w:val="nil"/>
              <w:right w:val="dotted" w:sz="4" w:space="0" w:color="auto"/>
            </w:tcBorders>
            <w:tcMar>
              <w:left w:w="28" w:type="dxa"/>
              <w:right w:w="28" w:type="dxa"/>
            </w:tcMar>
          </w:tcPr>
          <w:p w14:paraId="6175A273" w14:textId="77777777" w:rsidR="002C6A07" w:rsidRPr="00D079A3" w:rsidRDefault="002C6A07" w:rsidP="00545EE9"/>
        </w:tc>
        <w:tc>
          <w:tcPr>
            <w:tcW w:w="530" w:type="pct"/>
            <w:tcBorders>
              <w:top w:val="dotted" w:sz="4" w:space="0" w:color="auto"/>
              <w:left w:val="dotted" w:sz="4" w:space="0" w:color="auto"/>
              <w:bottom w:val="nil"/>
              <w:right w:val="nil"/>
            </w:tcBorders>
            <w:tcMar>
              <w:left w:w="28" w:type="dxa"/>
              <w:right w:w="28" w:type="dxa"/>
            </w:tcMar>
          </w:tcPr>
          <w:p w14:paraId="78E6062B" w14:textId="77777777" w:rsidR="002C6A07" w:rsidRPr="00D079A3" w:rsidRDefault="002C6A07" w:rsidP="00545EE9"/>
          <w:p w14:paraId="2B878B25" w14:textId="77777777" w:rsidR="002C6A07" w:rsidRPr="00D079A3" w:rsidRDefault="002C6A07" w:rsidP="00545EE9"/>
          <w:p w14:paraId="09F1D719" w14:textId="77777777" w:rsidR="002C6A07" w:rsidRPr="00D079A3" w:rsidRDefault="002C6A07" w:rsidP="00545EE9"/>
        </w:tc>
        <w:tc>
          <w:tcPr>
            <w:tcW w:w="856" w:type="pct"/>
            <w:tcBorders>
              <w:top w:val="dotted" w:sz="4" w:space="0" w:color="auto"/>
              <w:left w:val="nil"/>
              <w:bottom w:val="nil"/>
              <w:right w:val="nil"/>
            </w:tcBorders>
            <w:tcMar>
              <w:left w:w="28" w:type="dxa"/>
              <w:right w:w="28" w:type="dxa"/>
            </w:tcMar>
          </w:tcPr>
          <w:p w14:paraId="1DD58698" w14:textId="77777777" w:rsidR="002C6A07" w:rsidRPr="00D079A3" w:rsidRDefault="002C6A07" w:rsidP="00545EE9"/>
        </w:tc>
        <w:tc>
          <w:tcPr>
            <w:tcW w:w="596" w:type="pct"/>
            <w:tcBorders>
              <w:top w:val="dotted" w:sz="4" w:space="0" w:color="auto"/>
              <w:left w:val="nil"/>
              <w:bottom w:val="nil"/>
              <w:right w:val="nil"/>
            </w:tcBorders>
            <w:tcMar>
              <w:left w:w="28" w:type="dxa"/>
              <w:right w:w="28" w:type="dxa"/>
            </w:tcMar>
          </w:tcPr>
          <w:p w14:paraId="239924A7" w14:textId="77777777" w:rsidR="002C6A07" w:rsidRPr="00D079A3" w:rsidRDefault="002C6A07" w:rsidP="00545EE9"/>
        </w:tc>
        <w:tc>
          <w:tcPr>
            <w:tcW w:w="683" w:type="pct"/>
            <w:tcBorders>
              <w:top w:val="dotted" w:sz="4" w:space="0" w:color="auto"/>
              <w:left w:val="nil"/>
              <w:bottom w:val="nil"/>
              <w:right w:val="double" w:sz="4" w:space="0" w:color="auto"/>
            </w:tcBorders>
            <w:tcMar>
              <w:left w:w="28" w:type="dxa"/>
              <w:right w:w="28" w:type="dxa"/>
            </w:tcMar>
          </w:tcPr>
          <w:p w14:paraId="451FCD52" w14:textId="77777777" w:rsidR="002C6A07" w:rsidRPr="00D079A3" w:rsidRDefault="002C6A07" w:rsidP="00545EE9"/>
        </w:tc>
      </w:tr>
      <w:tr w:rsidR="002C6A07" w:rsidRPr="00D079A3" w14:paraId="797EED11" w14:textId="77777777" w:rsidTr="008B1325">
        <w:tblPrEx>
          <w:tblBorders>
            <w:top w:val="single" w:sz="6" w:space="0" w:color="auto"/>
            <w:left w:val="single" w:sz="6" w:space="0" w:color="auto"/>
            <w:bottom w:val="single" w:sz="6" w:space="0" w:color="auto"/>
            <w:right w:val="single" w:sz="6" w:space="0" w:color="auto"/>
          </w:tblBorders>
        </w:tblPrEx>
        <w:trPr>
          <w:trHeight w:val="293"/>
          <w:jc w:val="center"/>
        </w:trPr>
        <w:tc>
          <w:tcPr>
            <w:tcW w:w="2335" w:type="pct"/>
            <w:gridSpan w:val="3"/>
            <w:tcBorders>
              <w:top w:val="nil"/>
              <w:left w:val="double" w:sz="4" w:space="0" w:color="auto"/>
              <w:bottom w:val="nil"/>
              <w:right w:val="dotted" w:sz="4" w:space="0" w:color="auto"/>
            </w:tcBorders>
            <w:tcMar>
              <w:left w:w="28" w:type="dxa"/>
              <w:right w:w="28" w:type="dxa"/>
            </w:tcMar>
          </w:tcPr>
          <w:p w14:paraId="60932C20" w14:textId="77777777" w:rsidR="002C6A07" w:rsidRPr="00D079A3" w:rsidRDefault="002C6A07" w:rsidP="00545EE9"/>
        </w:tc>
        <w:tc>
          <w:tcPr>
            <w:tcW w:w="1386" w:type="pct"/>
            <w:gridSpan w:val="2"/>
            <w:tcBorders>
              <w:top w:val="nil"/>
              <w:left w:val="dotted" w:sz="4" w:space="0" w:color="auto"/>
              <w:bottom w:val="nil"/>
              <w:right w:val="nil"/>
            </w:tcBorders>
            <w:tcMar>
              <w:left w:w="28" w:type="dxa"/>
              <w:right w:w="28" w:type="dxa"/>
            </w:tcMar>
          </w:tcPr>
          <w:p w14:paraId="0910B83F" w14:textId="77777777" w:rsidR="002C6A07" w:rsidRPr="00D079A3" w:rsidRDefault="002C6A07" w:rsidP="00545EE9">
            <w:pPr>
              <w:jc w:val="right"/>
            </w:pPr>
            <w:r w:rsidRPr="00D079A3">
              <w:t>Nombre del Oferente</w:t>
            </w:r>
          </w:p>
        </w:tc>
        <w:tc>
          <w:tcPr>
            <w:tcW w:w="1279" w:type="pct"/>
            <w:gridSpan w:val="2"/>
            <w:tcBorders>
              <w:top w:val="nil"/>
              <w:left w:val="nil"/>
              <w:bottom w:val="nil"/>
              <w:right w:val="double" w:sz="4" w:space="0" w:color="auto"/>
            </w:tcBorders>
            <w:tcMar>
              <w:left w:w="28" w:type="dxa"/>
              <w:right w:w="28" w:type="dxa"/>
            </w:tcMar>
          </w:tcPr>
          <w:p w14:paraId="6178FC96" w14:textId="77777777" w:rsidR="002C6A07" w:rsidRPr="00D079A3" w:rsidRDefault="002C6A07" w:rsidP="00545EE9">
            <w:pPr>
              <w:tabs>
                <w:tab w:val="left" w:pos="2297"/>
              </w:tabs>
            </w:pPr>
            <w:r w:rsidRPr="00D079A3">
              <w:rPr>
                <w:u w:val="single"/>
              </w:rPr>
              <w:tab/>
            </w:r>
          </w:p>
        </w:tc>
      </w:tr>
      <w:tr w:rsidR="002C6A07" w:rsidRPr="00D079A3" w14:paraId="187BA44F" w14:textId="77777777" w:rsidTr="002C6A07">
        <w:tblPrEx>
          <w:tblBorders>
            <w:top w:val="single" w:sz="6" w:space="0" w:color="auto"/>
            <w:left w:val="single" w:sz="6" w:space="0" w:color="auto"/>
            <w:bottom w:val="single" w:sz="6" w:space="0" w:color="auto"/>
            <w:right w:val="single" w:sz="6" w:space="0" w:color="auto"/>
          </w:tblBorders>
        </w:tblPrEx>
        <w:trPr>
          <w:jc w:val="center"/>
        </w:trPr>
        <w:tc>
          <w:tcPr>
            <w:tcW w:w="2335" w:type="pct"/>
            <w:gridSpan w:val="3"/>
            <w:tcBorders>
              <w:top w:val="nil"/>
              <w:left w:val="double" w:sz="4" w:space="0" w:color="auto"/>
              <w:bottom w:val="nil"/>
              <w:right w:val="dotted" w:sz="4" w:space="0" w:color="auto"/>
            </w:tcBorders>
            <w:tcMar>
              <w:left w:w="28" w:type="dxa"/>
              <w:right w:w="28" w:type="dxa"/>
            </w:tcMar>
          </w:tcPr>
          <w:p w14:paraId="15599891" w14:textId="77777777" w:rsidR="002C6A07" w:rsidRPr="00D079A3" w:rsidRDefault="002C6A07" w:rsidP="00545EE9"/>
        </w:tc>
        <w:tc>
          <w:tcPr>
            <w:tcW w:w="530" w:type="pct"/>
            <w:tcBorders>
              <w:top w:val="nil"/>
              <w:left w:val="dotted" w:sz="4" w:space="0" w:color="auto"/>
              <w:bottom w:val="nil"/>
              <w:right w:val="nil"/>
            </w:tcBorders>
            <w:tcMar>
              <w:left w:w="28" w:type="dxa"/>
              <w:right w:w="28" w:type="dxa"/>
            </w:tcMar>
          </w:tcPr>
          <w:p w14:paraId="293EC207" w14:textId="77777777" w:rsidR="002C6A07" w:rsidRPr="00D079A3" w:rsidRDefault="002C6A07" w:rsidP="00545EE9"/>
          <w:p w14:paraId="67A647BA" w14:textId="77777777" w:rsidR="002C6A07" w:rsidRPr="00D079A3" w:rsidRDefault="002C6A07" w:rsidP="00545EE9"/>
        </w:tc>
        <w:tc>
          <w:tcPr>
            <w:tcW w:w="856" w:type="pct"/>
            <w:tcBorders>
              <w:top w:val="nil"/>
              <w:left w:val="nil"/>
              <w:bottom w:val="nil"/>
              <w:right w:val="nil"/>
            </w:tcBorders>
            <w:tcMar>
              <w:left w:w="28" w:type="dxa"/>
              <w:right w:w="28" w:type="dxa"/>
            </w:tcMar>
          </w:tcPr>
          <w:p w14:paraId="711AABD2" w14:textId="77777777" w:rsidR="002C6A07" w:rsidRPr="00D079A3" w:rsidRDefault="002C6A07" w:rsidP="00545EE9"/>
        </w:tc>
        <w:tc>
          <w:tcPr>
            <w:tcW w:w="596" w:type="pct"/>
            <w:tcBorders>
              <w:top w:val="nil"/>
              <w:left w:val="nil"/>
              <w:bottom w:val="nil"/>
              <w:right w:val="nil"/>
            </w:tcBorders>
            <w:tcMar>
              <w:left w:w="28" w:type="dxa"/>
              <w:right w:w="28" w:type="dxa"/>
            </w:tcMar>
          </w:tcPr>
          <w:p w14:paraId="273E7DCB" w14:textId="77777777" w:rsidR="002C6A07" w:rsidRPr="00D079A3" w:rsidRDefault="002C6A07" w:rsidP="00545EE9"/>
        </w:tc>
        <w:tc>
          <w:tcPr>
            <w:tcW w:w="683" w:type="pct"/>
            <w:tcBorders>
              <w:top w:val="nil"/>
              <w:left w:val="nil"/>
              <w:bottom w:val="nil"/>
              <w:right w:val="double" w:sz="4" w:space="0" w:color="auto"/>
            </w:tcBorders>
            <w:tcMar>
              <w:left w:w="28" w:type="dxa"/>
              <w:right w:w="28" w:type="dxa"/>
            </w:tcMar>
          </w:tcPr>
          <w:p w14:paraId="236C9ACE" w14:textId="77777777" w:rsidR="002C6A07" w:rsidRPr="00D079A3" w:rsidRDefault="002C6A07" w:rsidP="00545EE9"/>
        </w:tc>
      </w:tr>
      <w:tr w:rsidR="002C6A07" w:rsidRPr="00D079A3" w14:paraId="22D6DFE7" w14:textId="77777777" w:rsidTr="002C6A07">
        <w:tblPrEx>
          <w:tblBorders>
            <w:top w:val="single" w:sz="6" w:space="0" w:color="auto"/>
            <w:left w:val="single" w:sz="6" w:space="0" w:color="auto"/>
            <w:bottom w:val="single" w:sz="6" w:space="0" w:color="auto"/>
            <w:right w:val="single" w:sz="6" w:space="0" w:color="auto"/>
          </w:tblBorders>
        </w:tblPrEx>
        <w:trPr>
          <w:jc w:val="center"/>
        </w:trPr>
        <w:tc>
          <w:tcPr>
            <w:tcW w:w="2335" w:type="pct"/>
            <w:gridSpan w:val="3"/>
            <w:tcBorders>
              <w:top w:val="nil"/>
              <w:left w:val="double" w:sz="4" w:space="0" w:color="auto"/>
              <w:bottom w:val="nil"/>
              <w:right w:val="dotted" w:sz="4" w:space="0" w:color="auto"/>
            </w:tcBorders>
            <w:tcMar>
              <w:left w:w="28" w:type="dxa"/>
              <w:right w:w="28" w:type="dxa"/>
            </w:tcMar>
          </w:tcPr>
          <w:p w14:paraId="5A5B2B83" w14:textId="77777777" w:rsidR="002C6A07" w:rsidRPr="00D079A3" w:rsidRDefault="002C6A07" w:rsidP="00545EE9"/>
        </w:tc>
        <w:tc>
          <w:tcPr>
            <w:tcW w:w="530" w:type="pct"/>
            <w:tcBorders>
              <w:top w:val="nil"/>
              <w:left w:val="dotted" w:sz="4" w:space="0" w:color="auto"/>
              <w:bottom w:val="nil"/>
              <w:right w:val="nil"/>
            </w:tcBorders>
            <w:tcMar>
              <w:left w:w="28" w:type="dxa"/>
              <w:right w:w="28" w:type="dxa"/>
            </w:tcMar>
          </w:tcPr>
          <w:p w14:paraId="76A11EFF" w14:textId="77777777" w:rsidR="002C6A07" w:rsidRPr="00D079A3" w:rsidRDefault="002C6A07" w:rsidP="00545EE9"/>
        </w:tc>
        <w:tc>
          <w:tcPr>
            <w:tcW w:w="856" w:type="pct"/>
            <w:tcBorders>
              <w:top w:val="nil"/>
              <w:left w:val="nil"/>
              <w:bottom w:val="nil"/>
              <w:right w:val="nil"/>
            </w:tcBorders>
            <w:tcMar>
              <w:left w:w="28" w:type="dxa"/>
              <w:right w:w="28" w:type="dxa"/>
            </w:tcMar>
          </w:tcPr>
          <w:p w14:paraId="1E2F17BF" w14:textId="77777777" w:rsidR="002C6A07" w:rsidRPr="00D079A3" w:rsidRDefault="002C6A07" w:rsidP="00545EE9"/>
        </w:tc>
        <w:tc>
          <w:tcPr>
            <w:tcW w:w="596" w:type="pct"/>
            <w:tcBorders>
              <w:top w:val="nil"/>
              <w:left w:val="nil"/>
              <w:bottom w:val="nil"/>
              <w:right w:val="nil"/>
            </w:tcBorders>
            <w:tcMar>
              <w:left w:w="28" w:type="dxa"/>
              <w:right w:w="28" w:type="dxa"/>
            </w:tcMar>
          </w:tcPr>
          <w:p w14:paraId="0FAEBEA6" w14:textId="77777777" w:rsidR="002C6A07" w:rsidRPr="00D079A3" w:rsidRDefault="002C6A07" w:rsidP="00545EE9"/>
        </w:tc>
        <w:tc>
          <w:tcPr>
            <w:tcW w:w="683" w:type="pct"/>
            <w:tcBorders>
              <w:top w:val="nil"/>
              <w:left w:val="nil"/>
              <w:bottom w:val="nil"/>
              <w:right w:val="double" w:sz="4" w:space="0" w:color="auto"/>
            </w:tcBorders>
            <w:tcMar>
              <w:left w:w="28" w:type="dxa"/>
              <w:right w:w="28" w:type="dxa"/>
            </w:tcMar>
          </w:tcPr>
          <w:p w14:paraId="3DD4ABFD" w14:textId="77777777" w:rsidR="002C6A07" w:rsidRPr="00D079A3" w:rsidRDefault="002C6A07" w:rsidP="00545EE9"/>
        </w:tc>
      </w:tr>
      <w:tr w:rsidR="002C6A07" w:rsidRPr="00891EB5" w14:paraId="431EB56D" w14:textId="77777777" w:rsidTr="008B1325">
        <w:tblPrEx>
          <w:tblBorders>
            <w:top w:val="single" w:sz="6" w:space="0" w:color="auto"/>
            <w:left w:val="single" w:sz="6" w:space="0" w:color="auto"/>
            <w:bottom w:val="single" w:sz="6" w:space="0" w:color="auto"/>
            <w:right w:val="single" w:sz="6" w:space="0" w:color="auto"/>
          </w:tblBorders>
        </w:tblPrEx>
        <w:trPr>
          <w:trHeight w:val="307"/>
          <w:jc w:val="center"/>
        </w:trPr>
        <w:tc>
          <w:tcPr>
            <w:tcW w:w="2335" w:type="pct"/>
            <w:gridSpan w:val="3"/>
            <w:tcBorders>
              <w:top w:val="nil"/>
              <w:left w:val="double" w:sz="4" w:space="0" w:color="auto"/>
              <w:bottom w:val="nil"/>
              <w:right w:val="dotted" w:sz="4" w:space="0" w:color="auto"/>
            </w:tcBorders>
            <w:tcMar>
              <w:left w:w="28" w:type="dxa"/>
              <w:right w:w="28" w:type="dxa"/>
            </w:tcMar>
          </w:tcPr>
          <w:p w14:paraId="28587657" w14:textId="77777777" w:rsidR="002C6A07" w:rsidRPr="00D079A3" w:rsidRDefault="002C6A07" w:rsidP="00545EE9"/>
        </w:tc>
        <w:tc>
          <w:tcPr>
            <w:tcW w:w="1386" w:type="pct"/>
            <w:gridSpan w:val="2"/>
            <w:tcBorders>
              <w:top w:val="nil"/>
              <w:left w:val="dotted" w:sz="4" w:space="0" w:color="auto"/>
              <w:bottom w:val="nil"/>
              <w:right w:val="nil"/>
            </w:tcBorders>
            <w:tcMar>
              <w:left w:w="28" w:type="dxa"/>
              <w:right w:w="28" w:type="dxa"/>
            </w:tcMar>
          </w:tcPr>
          <w:p w14:paraId="64C09DC7" w14:textId="77777777" w:rsidR="002C6A07" w:rsidRPr="00891EB5" w:rsidRDefault="002C6A07" w:rsidP="00545EE9">
            <w:pPr>
              <w:jc w:val="right"/>
            </w:pPr>
            <w:r w:rsidRPr="00D079A3">
              <w:t>Firma del Oferente</w:t>
            </w:r>
          </w:p>
        </w:tc>
        <w:tc>
          <w:tcPr>
            <w:tcW w:w="1279" w:type="pct"/>
            <w:gridSpan w:val="2"/>
            <w:tcBorders>
              <w:top w:val="nil"/>
              <w:left w:val="nil"/>
              <w:bottom w:val="nil"/>
              <w:right w:val="double" w:sz="4" w:space="0" w:color="auto"/>
            </w:tcBorders>
            <w:tcMar>
              <w:left w:w="28" w:type="dxa"/>
              <w:right w:w="28" w:type="dxa"/>
            </w:tcMar>
          </w:tcPr>
          <w:p w14:paraId="4C71C1A5" w14:textId="77777777" w:rsidR="002C6A07" w:rsidRPr="00891EB5" w:rsidRDefault="002C6A07" w:rsidP="00545EE9">
            <w:pPr>
              <w:tabs>
                <w:tab w:val="left" w:pos="2297"/>
              </w:tabs>
            </w:pPr>
            <w:r w:rsidRPr="00891EB5">
              <w:rPr>
                <w:u w:val="single"/>
              </w:rPr>
              <w:tab/>
            </w:r>
          </w:p>
        </w:tc>
      </w:tr>
      <w:tr w:rsidR="002C6A07" w:rsidRPr="00891EB5" w14:paraId="306360DB" w14:textId="77777777" w:rsidTr="002C6A07">
        <w:tblPrEx>
          <w:tblBorders>
            <w:top w:val="single" w:sz="6" w:space="0" w:color="auto"/>
            <w:left w:val="single" w:sz="6" w:space="0" w:color="auto"/>
            <w:bottom w:val="single" w:sz="6" w:space="0" w:color="auto"/>
            <w:right w:val="single" w:sz="6" w:space="0" w:color="auto"/>
          </w:tblBorders>
        </w:tblPrEx>
        <w:trPr>
          <w:jc w:val="center"/>
        </w:trPr>
        <w:tc>
          <w:tcPr>
            <w:tcW w:w="2335" w:type="pct"/>
            <w:gridSpan w:val="3"/>
            <w:tcBorders>
              <w:top w:val="nil"/>
              <w:left w:val="double" w:sz="4" w:space="0" w:color="auto"/>
              <w:bottom w:val="double" w:sz="4" w:space="0" w:color="auto"/>
              <w:right w:val="dotted" w:sz="4" w:space="0" w:color="auto"/>
            </w:tcBorders>
            <w:tcMar>
              <w:left w:w="28" w:type="dxa"/>
              <w:right w:w="28" w:type="dxa"/>
            </w:tcMar>
          </w:tcPr>
          <w:p w14:paraId="0C22F250" w14:textId="77777777" w:rsidR="002C6A07" w:rsidRPr="00891EB5" w:rsidRDefault="002C6A07" w:rsidP="00545EE9"/>
        </w:tc>
        <w:tc>
          <w:tcPr>
            <w:tcW w:w="530" w:type="pct"/>
            <w:tcBorders>
              <w:top w:val="nil"/>
              <w:left w:val="dotted" w:sz="4" w:space="0" w:color="auto"/>
              <w:bottom w:val="double" w:sz="4" w:space="0" w:color="auto"/>
              <w:right w:val="nil"/>
            </w:tcBorders>
            <w:tcMar>
              <w:left w:w="28" w:type="dxa"/>
              <w:right w:w="28" w:type="dxa"/>
            </w:tcMar>
          </w:tcPr>
          <w:p w14:paraId="33B6A721" w14:textId="77777777" w:rsidR="002C6A07" w:rsidRPr="00891EB5" w:rsidRDefault="002C6A07" w:rsidP="00545EE9"/>
        </w:tc>
        <w:tc>
          <w:tcPr>
            <w:tcW w:w="856" w:type="pct"/>
            <w:tcBorders>
              <w:top w:val="nil"/>
              <w:left w:val="nil"/>
              <w:bottom w:val="double" w:sz="4" w:space="0" w:color="auto"/>
              <w:right w:val="nil"/>
            </w:tcBorders>
            <w:tcMar>
              <w:left w:w="28" w:type="dxa"/>
              <w:right w:w="28" w:type="dxa"/>
            </w:tcMar>
          </w:tcPr>
          <w:p w14:paraId="01365C15" w14:textId="77777777" w:rsidR="002C6A07" w:rsidRPr="00891EB5" w:rsidRDefault="002C6A07" w:rsidP="00545EE9"/>
        </w:tc>
        <w:tc>
          <w:tcPr>
            <w:tcW w:w="596" w:type="pct"/>
            <w:tcBorders>
              <w:top w:val="nil"/>
              <w:left w:val="nil"/>
              <w:bottom w:val="double" w:sz="4" w:space="0" w:color="auto"/>
              <w:right w:val="nil"/>
            </w:tcBorders>
            <w:tcMar>
              <w:left w:w="28" w:type="dxa"/>
              <w:right w:w="28" w:type="dxa"/>
            </w:tcMar>
          </w:tcPr>
          <w:p w14:paraId="1D7742DC" w14:textId="77777777" w:rsidR="002C6A07" w:rsidRPr="00891EB5" w:rsidRDefault="002C6A07" w:rsidP="00545EE9"/>
        </w:tc>
        <w:tc>
          <w:tcPr>
            <w:tcW w:w="683" w:type="pct"/>
            <w:tcBorders>
              <w:top w:val="nil"/>
              <w:left w:val="nil"/>
              <w:bottom w:val="double" w:sz="4" w:space="0" w:color="auto"/>
              <w:right w:val="double" w:sz="4" w:space="0" w:color="auto"/>
            </w:tcBorders>
            <w:tcMar>
              <w:left w:w="28" w:type="dxa"/>
              <w:right w:w="28" w:type="dxa"/>
            </w:tcMar>
          </w:tcPr>
          <w:p w14:paraId="034CB25E" w14:textId="77777777" w:rsidR="002C6A07" w:rsidRPr="00891EB5" w:rsidRDefault="002C6A07" w:rsidP="00545EE9"/>
        </w:tc>
      </w:tr>
    </w:tbl>
    <w:p w14:paraId="6F878331" w14:textId="77777777" w:rsidR="002C6A07" w:rsidRPr="00576AF8" w:rsidRDefault="002C6A07" w:rsidP="002C6A07">
      <w:pPr>
        <w:pStyle w:val="Head32"/>
        <w:ind w:right="60"/>
      </w:pPr>
    </w:p>
    <w:p w14:paraId="3CC0EEE4" w14:textId="77777777" w:rsidR="002C6A07" w:rsidRPr="00576AF8" w:rsidRDefault="002C6A07" w:rsidP="00C85FC3">
      <w:pPr>
        <w:suppressAutoHyphens w:val="0"/>
        <w:spacing w:after="0"/>
        <w:jc w:val="left"/>
        <w:rPr>
          <w:sz w:val="20"/>
        </w:rPr>
        <w:sectPr w:rsidR="002C6A07" w:rsidRPr="00576AF8" w:rsidSect="000968D2">
          <w:headerReference w:type="even" r:id="rId46"/>
          <w:headerReference w:type="first" r:id="rId47"/>
          <w:footnotePr>
            <w:numRestart w:val="eachSect"/>
          </w:footnotePr>
          <w:pgSz w:w="15840" w:h="12240" w:orient="landscape" w:code="1"/>
          <w:pgMar w:top="1440" w:right="1440" w:bottom="1440" w:left="1440" w:header="720" w:footer="720" w:gutter="0"/>
          <w:cols w:space="720"/>
          <w:titlePg/>
          <w:docGrid w:linePitch="326"/>
        </w:sectPr>
      </w:pPr>
    </w:p>
    <w:p w14:paraId="50997B44" w14:textId="77777777" w:rsidR="00580092" w:rsidRPr="00576AF8" w:rsidRDefault="00580092" w:rsidP="003B1CB5">
      <w:pPr>
        <w:pStyle w:val="TDC11"/>
      </w:pPr>
      <w:bookmarkStart w:id="560" w:name="_Toc41971245"/>
      <w:bookmarkStart w:id="561" w:name="_Toc125954069"/>
      <w:bookmarkStart w:id="562" w:name="_Toc197840924"/>
      <w:bookmarkStart w:id="563" w:name="_Toc454907532"/>
      <w:bookmarkStart w:id="564" w:name="_Toc476307818"/>
      <w:bookmarkStart w:id="565" w:name="_Toc28242431"/>
      <w:r w:rsidRPr="00576AF8">
        <w:lastRenderedPageBreak/>
        <w:t>Sección V</w:t>
      </w:r>
      <w:r w:rsidR="005E641B" w:rsidRPr="00576AF8">
        <w:t xml:space="preserve">. </w:t>
      </w:r>
      <w:r w:rsidRPr="00576AF8">
        <w:t xml:space="preserve">Países </w:t>
      </w:r>
      <w:bookmarkEnd w:id="528"/>
      <w:bookmarkEnd w:id="529"/>
      <w:bookmarkEnd w:id="530"/>
      <w:bookmarkEnd w:id="560"/>
      <w:bookmarkEnd w:id="561"/>
      <w:bookmarkEnd w:id="562"/>
      <w:bookmarkEnd w:id="563"/>
      <w:bookmarkEnd w:id="564"/>
      <w:r w:rsidR="004132F9" w:rsidRPr="00576AF8">
        <w:t>Elegibles</w:t>
      </w:r>
      <w:bookmarkEnd w:id="565"/>
    </w:p>
    <w:p w14:paraId="2B1AC2C3" w14:textId="77777777" w:rsidR="00580092" w:rsidRPr="00576AF8" w:rsidRDefault="00580092" w:rsidP="00580092">
      <w:pPr>
        <w:jc w:val="center"/>
        <w:rPr>
          <w:b/>
        </w:rPr>
      </w:pPr>
    </w:p>
    <w:p w14:paraId="3CAE6B43" w14:textId="77777777" w:rsidR="00EC4B6A" w:rsidRPr="00576AF8" w:rsidRDefault="00EC4B6A" w:rsidP="00EC4B6A">
      <w:pPr>
        <w:suppressAutoHyphens w:val="0"/>
        <w:spacing w:after="0"/>
        <w:jc w:val="center"/>
        <w:rPr>
          <w:b/>
          <w:sz w:val="22"/>
          <w:szCs w:val="18"/>
        </w:rPr>
      </w:pPr>
      <w:r w:rsidRPr="00576AF8">
        <w:rPr>
          <w:b/>
          <w:szCs w:val="18"/>
        </w:rPr>
        <w:t xml:space="preserve">Elegibilidad para la </w:t>
      </w:r>
      <w:r w:rsidR="00860608" w:rsidRPr="00576AF8">
        <w:rPr>
          <w:b/>
          <w:szCs w:val="18"/>
        </w:rPr>
        <w:t>p</w:t>
      </w:r>
      <w:r w:rsidRPr="00576AF8">
        <w:rPr>
          <w:b/>
          <w:szCs w:val="18"/>
        </w:rPr>
        <w:t>rovisión del Sistema Informático</w:t>
      </w:r>
    </w:p>
    <w:p w14:paraId="0A55BA91" w14:textId="77777777" w:rsidR="00EC4B6A" w:rsidRPr="00576AF8" w:rsidRDefault="00EC4B6A" w:rsidP="00EC4B6A">
      <w:pPr>
        <w:suppressAutoHyphens w:val="0"/>
        <w:spacing w:after="0"/>
        <w:jc w:val="center"/>
      </w:pPr>
    </w:p>
    <w:p w14:paraId="15E2FC42" w14:textId="77777777" w:rsidR="00EC4B6A" w:rsidRPr="00576AF8" w:rsidRDefault="00EC4B6A" w:rsidP="00EC4B6A">
      <w:pPr>
        <w:suppressAutoHyphens w:val="0"/>
        <w:spacing w:after="0"/>
        <w:jc w:val="center"/>
      </w:pPr>
    </w:p>
    <w:p w14:paraId="3FF43091" w14:textId="77777777" w:rsidR="00304688" w:rsidRPr="00576AF8" w:rsidRDefault="00304688" w:rsidP="00304688">
      <w:pPr>
        <w:spacing w:before="120"/>
        <w:rPr>
          <w:i/>
          <w:iCs/>
          <w:snapToGrid w:val="0"/>
        </w:rPr>
      </w:pPr>
      <w:r w:rsidRPr="00576AF8">
        <w:rPr>
          <w:b/>
          <w:bCs/>
          <w:i/>
          <w:iCs/>
          <w:snapToGrid w:val="0"/>
        </w:rPr>
        <w:t>1) Países Miembros cuando el financiamiento provenga del Banco Interamericano de Desarrollo</w:t>
      </w:r>
      <w:r w:rsidRPr="00576AF8">
        <w:rPr>
          <w:i/>
          <w:iCs/>
          <w:snapToGrid w:val="0"/>
        </w:rPr>
        <w:t>.</w:t>
      </w:r>
    </w:p>
    <w:p w14:paraId="15F7F42F" w14:textId="77777777" w:rsidR="00304688" w:rsidRPr="00576AF8" w:rsidRDefault="00304688" w:rsidP="00304688">
      <w:pPr>
        <w:spacing w:before="120"/>
        <w:rPr>
          <w:iCs/>
          <w:snapToGrid w:val="0"/>
          <w:color w:val="000000"/>
          <w:szCs w:val="24"/>
        </w:rPr>
      </w:pPr>
      <w:r w:rsidRPr="00576AF8">
        <w:rPr>
          <w:iCs/>
          <w:snapToGrid w:val="0"/>
          <w:color w:val="000000"/>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45F69D1" w14:textId="77777777" w:rsidR="00304688" w:rsidRPr="00576AF8" w:rsidRDefault="00304688" w:rsidP="00304688">
      <w:pPr>
        <w:jc w:val="left"/>
        <w:rPr>
          <w:b/>
          <w:i/>
          <w:szCs w:val="24"/>
        </w:rPr>
      </w:pPr>
      <w:r w:rsidRPr="00576AF8">
        <w:rPr>
          <w:b/>
          <w:i/>
          <w:szCs w:val="24"/>
        </w:rPr>
        <w:t>Territorios elegibles</w:t>
      </w:r>
    </w:p>
    <w:p w14:paraId="3B6B605A" w14:textId="77777777" w:rsidR="00304688" w:rsidRPr="00576AF8" w:rsidRDefault="00304688">
      <w:pPr>
        <w:numPr>
          <w:ilvl w:val="0"/>
          <w:numId w:val="82"/>
        </w:numPr>
        <w:suppressAutoHyphens w:val="0"/>
        <w:spacing w:after="0"/>
        <w:jc w:val="left"/>
        <w:rPr>
          <w:szCs w:val="24"/>
        </w:rPr>
      </w:pPr>
      <w:r w:rsidRPr="00576AF8">
        <w:rPr>
          <w:szCs w:val="24"/>
        </w:rPr>
        <w:t xml:space="preserve">Guadalupe, Guyana Francesa, Martinica, Reunión – por ser Departamentos de Francia. </w:t>
      </w:r>
    </w:p>
    <w:p w14:paraId="215C25FA" w14:textId="77777777" w:rsidR="00304688" w:rsidRPr="00576AF8" w:rsidRDefault="00304688">
      <w:pPr>
        <w:numPr>
          <w:ilvl w:val="0"/>
          <w:numId w:val="82"/>
        </w:numPr>
        <w:suppressAutoHyphens w:val="0"/>
        <w:spacing w:after="0"/>
        <w:jc w:val="left"/>
        <w:rPr>
          <w:szCs w:val="24"/>
        </w:rPr>
      </w:pPr>
      <w:r w:rsidRPr="00576AF8">
        <w:rPr>
          <w:szCs w:val="24"/>
        </w:rPr>
        <w:t>Islas Vírgenes Estadounidenses, Puerto Rico, Guam – por ser Territorios de los Estados Unidos de América.</w:t>
      </w:r>
    </w:p>
    <w:p w14:paraId="6729B405" w14:textId="77777777" w:rsidR="00304688" w:rsidRPr="00576AF8" w:rsidRDefault="00304688">
      <w:pPr>
        <w:numPr>
          <w:ilvl w:val="0"/>
          <w:numId w:val="82"/>
        </w:numPr>
        <w:suppressAutoHyphens w:val="0"/>
        <w:spacing w:after="0"/>
        <w:jc w:val="left"/>
        <w:rPr>
          <w:szCs w:val="24"/>
        </w:rPr>
      </w:pPr>
      <w:r w:rsidRPr="00576AF8">
        <w:rPr>
          <w:szCs w:val="24"/>
        </w:rPr>
        <w:t>Aruba – por ser País Constituyente del Reino de los Países Bajos; y Bonaire, Curazao, Sint Maarten, Sint Eustatius – por ser Departamentos de Reino de los Países Bajos.</w:t>
      </w:r>
    </w:p>
    <w:p w14:paraId="45EC199B" w14:textId="77777777" w:rsidR="00304688" w:rsidRPr="00576AF8" w:rsidRDefault="00304688">
      <w:pPr>
        <w:numPr>
          <w:ilvl w:val="0"/>
          <w:numId w:val="82"/>
        </w:numPr>
        <w:suppressAutoHyphens w:val="0"/>
        <w:spacing w:after="0"/>
        <w:jc w:val="left"/>
        <w:rPr>
          <w:szCs w:val="24"/>
        </w:rPr>
      </w:pPr>
      <w:r w:rsidRPr="00576AF8">
        <w:rPr>
          <w:szCs w:val="24"/>
        </w:rPr>
        <w:t>Hong Kong – por ser Región Especial Administrativa de la República Popular de China.</w:t>
      </w:r>
    </w:p>
    <w:p w14:paraId="0D9F1778" w14:textId="77777777" w:rsidR="00304688" w:rsidRPr="00576AF8" w:rsidRDefault="00304688" w:rsidP="00304688">
      <w:pPr>
        <w:jc w:val="left"/>
        <w:rPr>
          <w:iCs/>
          <w:color w:val="000000"/>
          <w:szCs w:val="24"/>
        </w:rPr>
      </w:pPr>
    </w:p>
    <w:p w14:paraId="2B540700" w14:textId="77777777" w:rsidR="00304688" w:rsidRPr="00576AF8" w:rsidRDefault="00304688" w:rsidP="00304688"/>
    <w:p w14:paraId="519D4B83" w14:textId="77777777" w:rsidR="00304688" w:rsidRPr="00576AF8" w:rsidRDefault="00304688" w:rsidP="00304688">
      <w:pPr>
        <w:pStyle w:val="Outline"/>
        <w:spacing w:before="0"/>
        <w:rPr>
          <w:b/>
          <w:bCs/>
          <w:kern w:val="0"/>
          <w:szCs w:val="24"/>
        </w:rPr>
      </w:pPr>
      <w:r w:rsidRPr="00576AF8">
        <w:rPr>
          <w:b/>
          <w:bCs/>
          <w:kern w:val="0"/>
          <w:szCs w:val="24"/>
        </w:rPr>
        <w:t>2) Criterios para determinar Nacionalidad y el país de origen de los bienes y servicios</w:t>
      </w:r>
    </w:p>
    <w:p w14:paraId="1A66C97E" w14:textId="77777777" w:rsidR="00304688" w:rsidRPr="00576AF8" w:rsidRDefault="00304688" w:rsidP="00304688"/>
    <w:p w14:paraId="744CA5A3" w14:textId="77777777" w:rsidR="00304688" w:rsidRPr="00576AF8" w:rsidRDefault="00304688" w:rsidP="00304688">
      <w:r w:rsidRPr="00576AF8">
        <w:t>Para efectuar la determinación sobre: a) la nacionalidad de las firmas e individuos elegibles para participar en contratos financiados por el Banco y b) el país de origen de los bienes y servicios, se utilizarán los siguientes criterios:</w:t>
      </w:r>
    </w:p>
    <w:p w14:paraId="3B7B4744" w14:textId="77777777" w:rsidR="00304688" w:rsidRPr="00576AF8" w:rsidRDefault="00304688" w:rsidP="00304688"/>
    <w:p w14:paraId="0369C8A9" w14:textId="77777777" w:rsidR="00304688" w:rsidRPr="00576AF8" w:rsidRDefault="00304688" w:rsidP="00304688">
      <w:r w:rsidRPr="00576AF8">
        <w:rPr>
          <w:b/>
          <w:u w:val="single"/>
        </w:rPr>
        <w:t>A) Nacionalidad</w:t>
      </w:r>
    </w:p>
    <w:p w14:paraId="0C439D6A" w14:textId="77777777" w:rsidR="00304688" w:rsidRPr="00576AF8" w:rsidRDefault="00304688" w:rsidP="00304688"/>
    <w:p w14:paraId="18FAB0D2" w14:textId="77777777" w:rsidR="00304688" w:rsidRPr="00576AF8" w:rsidRDefault="00304688" w:rsidP="00304688">
      <w:pPr>
        <w:ind w:left="360"/>
      </w:pPr>
      <w:r w:rsidRPr="00576AF8">
        <w:rPr>
          <w:bCs/>
        </w:rPr>
        <w:t>a)</w:t>
      </w:r>
      <w:r w:rsidRPr="00576AF8">
        <w:rPr>
          <w:b/>
        </w:rPr>
        <w:t xml:space="preserve"> Un individuo </w:t>
      </w:r>
      <w:r w:rsidRPr="00576AF8">
        <w:rPr>
          <w:bCs/>
        </w:rPr>
        <w:t>tiene la nacionalidad</w:t>
      </w:r>
      <w:r w:rsidRPr="00576AF8">
        <w:t xml:space="preserve"> de un país miembro del Banco si el o ella satisface uno de los siguientes requisitos:</w:t>
      </w:r>
    </w:p>
    <w:p w14:paraId="645E1C70" w14:textId="77777777" w:rsidR="00304688" w:rsidRPr="00576AF8" w:rsidRDefault="00304688">
      <w:pPr>
        <w:numPr>
          <w:ilvl w:val="1"/>
          <w:numId w:val="80"/>
        </w:numPr>
        <w:suppressAutoHyphens w:val="0"/>
        <w:spacing w:after="0"/>
      </w:pPr>
      <w:r w:rsidRPr="00576AF8">
        <w:t>es ciudadano de un país miembro; o</w:t>
      </w:r>
    </w:p>
    <w:p w14:paraId="0975DEB7" w14:textId="77777777" w:rsidR="00304688" w:rsidRPr="00576AF8" w:rsidRDefault="00304688">
      <w:pPr>
        <w:numPr>
          <w:ilvl w:val="1"/>
          <w:numId w:val="80"/>
        </w:numPr>
        <w:suppressAutoHyphens w:val="0"/>
        <w:spacing w:after="0"/>
      </w:pPr>
      <w:r w:rsidRPr="00576AF8">
        <w:t>ha establecido su domicilio en un país miembro como residente “bona fide” y está legalmente autorizado para trabajar en dicho país.</w:t>
      </w:r>
    </w:p>
    <w:p w14:paraId="09EDC6C9" w14:textId="77777777" w:rsidR="00304688" w:rsidRPr="00576AF8" w:rsidRDefault="00304688" w:rsidP="00304688">
      <w:pPr>
        <w:ind w:left="360"/>
      </w:pPr>
      <w:r w:rsidRPr="00576AF8">
        <w:rPr>
          <w:bCs/>
        </w:rPr>
        <w:t>b)</w:t>
      </w:r>
      <w:r w:rsidRPr="00576AF8">
        <w:rPr>
          <w:b/>
        </w:rPr>
        <w:t xml:space="preserve"> Una firma </w:t>
      </w:r>
      <w:r w:rsidRPr="00576AF8">
        <w:t>tiene la nacionalidad de un país miembro si satisface los dos siguientes requisitos:</w:t>
      </w:r>
    </w:p>
    <w:p w14:paraId="01EFB842" w14:textId="77777777" w:rsidR="00304688" w:rsidRPr="00576AF8" w:rsidRDefault="00304688">
      <w:pPr>
        <w:numPr>
          <w:ilvl w:val="0"/>
          <w:numId w:val="81"/>
        </w:numPr>
        <w:suppressAutoHyphens w:val="0"/>
        <w:spacing w:after="0"/>
      </w:pPr>
      <w:r w:rsidRPr="00576AF8">
        <w:lastRenderedPageBreak/>
        <w:t>está legalmente constituida o incorporada conforme a las leyes de un país miembro del Banco; y</w:t>
      </w:r>
    </w:p>
    <w:p w14:paraId="647C6808" w14:textId="77777777" w:rsidR="00304688" w:rsidRPr="00576AF8" w:rsidRDefault="00304688">
      <w:pPr>
        <w:numPr>
          <w:ilvl w:val="0"/>
          <w:numId w:val="81"/>
        </w:numPr>
        <w:suppressAutoHyphens w:val="0"/>
        <w:spacing w:after="0"/>
      </w:pPr>
      <w:r w:rsidRPr="00576AF8">
        <w:t>más del cincuenta por ciento (50%) del capital de la firma es de propiedad de individuos o firmas de países miembros del Banco.</w:t>
      </w:r>
    </w:p>
    <w:p w14:paraId="13AFF39F" w14:textId="77777777" w:rsidR="00304688" w:rsidRPr="00576AF8" w:rsidRDefault="00304688" w:rsidP="00304688"/>
    <w:p w14:paraId="6021D6C7" w14:textId="77777777" w:rsidR="00304688" w:rsidRPr="00576AF8" w:rsidRDefault="00304688" w:rsidP="00304688">
      <w:r w:rsidRPr="00576AF8">
        <w:t xml:space="preserve">Todos los socios de una </w:t>
      </w:r>
      <w:r w:rsidR="00F50D13" w:rsidRPr="00576AF8">
        <w:t xml:space="preserve">Asociación </w:t>
      </w:r>
      <w:r w:rsidRPr="00576AF8">
        <w:t xml:space="preserve">en </w:t>
      </w:r>
      <w:r w:rsidR="00F50D13" w:rsidRPr="00576AF8">
        <w:t>Participación</w:t>
      </w:r>
      <w:r w:rsidRPr="00576AF8">
        <w:t xml:space="preserve">, </w:t>
      </w:r>
      <w:r w:rsidR="00F50D13" w:rsidRPr="00576AF8">
        <w:t xml:space="preserve">Consorcio </w:t>
      </w:r>
      <w:r w:rsidRPr="00576AF8">
        <w:t xml:space="preserve">o </w:t>
      </w:r>
      <w:r w:rsidR="00F50D13" w:rsidRPr="00576AF8">
        <w:t xml:space="preserve">Asociación </w:t>
      </w:r>
      <w:r w:rsidRPr="00576AF8">
        <w:t xml:space="preserve">(APCA) con responsabilidad </w:t>
      </w:r>
      <w:r w:rsidR="00F50D13" w:rsidRPr="00576AF8">
        <w:t xml:space="preserve">conjunta </w:t>
      </w:r>
      <w:r w:rsidRPr="00576AF8">
        <w:t>y solidaria y todos los subcontratistas deben cumplir con los requisitos arriba establecidos.</w:t>
      </w:r>
    </w:p>
    <w:p w14:paraId="0D397D18" w14:textId="77777777" w:rsidR="00304688" w:rsidRPr="00576AF8" w:rsidRDefault="00304688" w:rsidP="00304688"/>
    <w:p w14:paraId="7180AB4D" w14:textId="77777777" w:rsidR="00304688" w:rsidRPr="00576AF8" w:rsidRDefault="00304688" w:rsidP="00304688">
      <w:r w:rsidRPr="00576AF8">
        <w:rPr>
          <w:b/>
          <w:u w:val="single"/>
        </w:rPr>
        <w:t>B) Origen de los Bienes</w:t>
      </w:r>
    </w:p>
    <w:p w14:paraId="7038A1E8" w14:textId="77777777" w:rsidR="00304688" w:rsidRPr="00576AF8" w:rsidRDefault="00304688" w:rsidP="00304688"/>
    <w:p w14:paraId="47A821B7" w14:textId="77777777" w:rsidR="00304688" w:rsidRPr="00576AF8" w:rsidRDefault="00304688" w:rsidP="00304688">
      <w:r w:rsidRPr="00576AF8">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18223AA1" w14:textId="77777777" w:rsidR="00304688" w:rsidRPr="00576AF8" w:rsidRDefault="00304688" w:rsidP="00304688"/>
    <w:p w14:paraId="74300176" w14:textId="77777777" w:rsidR="00304688" w:rsidRPr="00576AF8" w:rsidRDefault="00304688" w:rsidP="00304688">
      <w:r w:rsidRPr="00576AF8">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70B4F6F0" w14:textId="77777777" w:rsidR="00304688" w:rsidRPr="00576AF8" w:rsidRDefault="00304688" w:rsidP="00304688"/>
    <w:p w14:paraId="697244C1" w14:textId="77777777" w:rsidR="00304688" w:rsidRPr="00576AF8" w:rsidRDefault="00304688" w:rsidP="00304688">
      <w:pPr>
        <w:pStyle w:val="aparagraphs"/>
        <w:spacing w:before="0" w:after="0"/>
        <w:rPr>
          <w:snapToGrid/>
          <w:lang w:val="es-ES"/>
        </w:rPr>
      </w:pPr>
      <w:r w:rsidRPr="00576AF8">
        <w:rPr>
          <w:snapToGrid/>
          <w:lang w:val="es-ES"/>
        </w:rPr>
        <w:t>Para efectos de determinación del origen de los bienes identificados como “hecho en la Unión Europea”, estos serán elegibles sin necesidad de identificar el correspondiente país específico de la Unión Europea.</w:t>
      </w:r>
    </w:p>
    <w:p w14:paraId="5FC48BC9" w14:textId="77777777" w:rsidR="00304688" w:rsidRPr="00576AF8" w:rsidRDefault="00304688" w:rsidP="00304688"/>
    <w:p w14:paraId="12337889" w14:textId="77777777" w:rsidR="00304688" w:rsidRPr="00576AF8" w:rsidRDefault="00304688" w:rsidP="00304688">
      <w:r w:rsidRPr="00576AF8">
        <w:t>El origen de los materiales, partes o componentes de los bienes o la nacionalidad de la firma productora, ensambladora, distribuidora o vendedora de los bienes no determina el origen de los mismos</w:t>
      </w:r>
    </w:p>
    <w:p w14:paraId="5BA3E36E" w14:textId="77777777" w:rsidR="00304688" w:rsidRPr="00576AF8" w:rsidRDefault="00304688" w:rsidP="00304688"/>
    <w:p w14:paraId="3958CDA0" w14:textId="77777777" w:rsidR="00304688" w:rsidRPr="00576AF8" w:rsidRDefault="00304688" w:rsidP="00304688">
      <w:pPr>
        <w:rPr>
          <w:b/>
          <w:u w:val="single"/>
        </w:rPr>
      </w:pPr>
      <w:r w:rsidRPr="00576AF8">
        <w:rPr>
          <w:b/>
          <w:u w:val="single"/>
        </w:rPr>
        <w:t>C) Origen de los Servicios</w:t>
      </w:r>
    </w:p>
    <w:p w14:paraId="1ED544B9" w14:textId="77777777" w:rsidR="00304688" w:rsidRPr="00576AF8" w:rsidRDefault="00304688" w:rsidP="00304688">
      <w:pPr>
        <w:rPr>
          <w:b/>
          <w:u w:val="single"/>
        </w:rPr>
      </w:pPr>
    </w:p>
    <w:p w14:paraId="76BA3FA0" w14:textId="77777777" w:rsidR="00304688" w:rsidRPr="00576AF8" w:rsidRDefault="00304688" w:rsidP="00304688">
      <w:pPr>
        <w:rPr>
          <w:bCs/>
          <w:i/>
        </w:rPr>
      </w:pPr>
      <w:r w:rsidRPr="00576AF8">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227D5D5" w14:textId="77777777" w:rsidR="00240C8A" w:rsidRPr="00576AF8" w:rsidRDefault="00240C8A" w:rsidP="00D40195">
      <w:pPr>
        <w:tabs>
          <w:tab w:val="left" w:pos="5532"/>
        </w:tabs>
        <w:sectPr w:rsidR="00240C8A" w:rsidRPr="00576AF8" w:rsidSect="000968D2">
          <w:headerReference w:type="even" r:id="rId48"/>
          <w:headerReference w:type="default" r:id="rId49"/>
          <w:headerReference w:type="first" r:id="rId50"/>
          <w:type w:val="evenPage"/>
          <w:pgSz w:w="12240" w:h="15840" w:code="1"/>
          <w:pgMar w:top="1440" w:right="1440" w:bottom="1440" w:left="1440" w:header="720" w:footer="720" w:gutter="0"/>
          <w:cols w:space="720"/>
          <w:docGrid w:linePitch="326"/>
        </w:sectPr>
      </w:pPr>
    </w:p>
    <w:p w14:paraId="2D433E32" w14:textId="77777777" w:rsidR="00580092" w:rsidRPr="00576AF8" w:rsidRDefault="00580092" w:rsidP="003749BF">
      <w:pPr>
        <w:pStyle w:val="Head0"/>
        <w:spacing w:before="5160"/>
        <w:rPr>
          <w:rFonts w:ascii="Times New Roman" w:hAnsi="Times New Roman"/>
        </w:rPr>
      </w:pPr>
      <w:bookmarkStart w:id="566" w:name="_Toc438529602"/>
      <w:bookmarkStart w:id="567" w:name="_Toc438725758"/>
      <w:bookmarkStart w:id="568" w:name="_Toc438817753"/>
      <w:bookmarkStart w:id="569" w:name="_Toc438954447"/>
      <w:bookmarkStart w:id="570" w:name="_Toc461939622"/>
      <w:bookmarkStart w:id="571" w:name="_Toc125954070"/>
      <w:bookmarkStart w:id="572" w:name="_Toc197840925"/>
      <w:r w:rsidRPr="00576AF8">
        <w:rPr>
          <w:rFonts w:ascii="Times New Roman" w:hAnsi="Times New Roman"/>
        </w:rPr>
        <w:lastRenderedPageBreak/>
        <w:t xml:space="preserve">PARTE 2: Requisitos </w:t>
      </w:r>
      <w:r w:rsidR="003749BF" w:rsidRPr="00576AF8">
        <w:rPr>
          <w:rFonts w:ascii="Times New Roman" w:hAnsi="Times New Roman"/>
        </w:rPr>
        <w:br/>
      </w:r>
      <w:r w:rsidRPr="00576AF8">
        <w:rPr>
          <w:rFonts w:ascii="Times New Roman" w:hAnsi="Times New Roman"/>
        </w:rPr>
        <w:t>del Comprador</w:t>
      </w:r>
      <w:bookmarkEnd w:id="566"/>
      <w:bookmarkEnd w:id="567"/>
      <w:bookmarkEnd w:id="568"/>
      <w:bookmarkEnd w:id="569"/>
      <w:bookmarkEnd w:id="570"/>
      <w:bookmarkEnd w:id="571"/>
      <w:bookmarkEnd w:id="572"/>
    </w:p>
    <w:p w14:paraId="07B5DAA3" w14:textId="77777777" w:rsidR="001B65FB" w:rsidRPr="00576AF8" w:rsidRDefault="00803EC1" w:rsidP="001B65FB">
      <w:pPr>
        <w:pStyle w:val="Head02"/>
        <w:rPr>
          <w:rFonts w:ascii="Times New Roman" w:hAnsi="Times New Roman"/>
        </w:rPr>
      </w:pPr>
      <w:r w:rsidRPr="00576AF8">
        <w:rPr>
          <w:rFonts w:ascii="Times New Roman" w:hAnsi="Times New Roman"/>
        </w:rPr>
        <w:br w:type="page"/>
      </w:r>
    </w:p>
    <w:p w14:paraId="669143DA" w14:textId="77777777" w:rsidR="001B65FB" w:rsidRPr="00576AF8" w:rsidRDefault="009A148B" w:rsidP="003B1CB5">
      <w:pPr>
        <w:pStyle w:val="TDC11"/>
      </w:pPr>
      <w:bookmarkStart w:id="573" w:name="_Toc454907534"/>
      <w:bookmarkStart w:id="574" w:name="_Toc476307820"/>
      <w:bookmarkStart w:id="575" w:name="_Toc28242432"/>
      <w:r w:rsidRPr="00576AF8">
        <w:lastRenderedPageBreak/>
        <w:t>Sección VI</w:t>
      </w:r>
      <w:r w:rsidR="001F46ED" w:rsidRPr="00576AF8">
        <w:t xml:space="preserve">. </w:t>
      </w:r>
      <w:r w:rsidRPr="00576AF8">
        <w:t>Requisitos del Sistema Informático</w:t>
      </w:r>
      <w:bookmarkEnd w:id="573"/>
      <w:bookmarkEnd w:id="574"/>
      <w:bookmarkEnd w:id="575"/>
    </w:p>
    <w:p w14:paraId="6DE4FB94" w14:textId="77777777" w:rsidR="001B65FB" w:rsidRPr="00576AF8" w:rsidRDefault="001B65FB" w:rsidP="001B65FB">
      <w:pPr>
        <w:jc w:val="center"/>
        <w:rPr>
          <w:b/>
          <w:smallCaps/>
          <w:sz w:val="28"/>
          <w:szCs w:val="28"/>
        </w:rPr>
      </w:pPr>
      <w:r w:rsidRPr="00576AF8">
        <w:rPr>
          <w:b/>
          <w:smallCaps/>
          <w:sz w:val="28"/>
        </w:rPr>
        <w:t xml:space="preserve">(incluidos los </w:t>
      </w:r>
      <w:r w:rsidR="008359C4" w:rsidRPr="00576AF8">
        <w:rPr>
          <w:b/>
          <w:smallCaps/>
          <w:sz w:val="28"/>
        </w:rPr>
        <w:t>r</w:t>
      </w:r>
      <w:r w:rsidRPr="00576AF8">
        <w:rPr>
          <w:b/>
          <w:smallCaps/>
          <w:sz w:val="28"/>
        </w:rPr>
        <w:t xml:space="preserve">equisitos </w:t>
      </w:r>
      <w:r w:rsidR="008359C4" w:rsidRPr="00576AF8">
        <w:rPr>
          <w:b/>
          <w:smallCaps/>
          <w:sz w:val="28"/>
        </w:rPr>
        <w:t>t</w:t>
      </w:r>
      <w:r w:rsidRPr="00576AF8">
        <w:rPr>
          <w:b/>
          <w:smallCaps/>
          <w:sz w:val="28"/>
        </w:rPr>
        <w:t xml:space="preserve">écnicos, el </w:t>
      </w:r>
      <w:r w:rsidR="008359C4" w:rsidRPr="00576AF8">
        <w:rPr>
          <w:b/>
          <w:smallCaps/>
          <w:sz w:val="28"/>
        </w:rPr>
        <w:t>p</w:t>
      </w:r>
      <w:r w:rsidRPr="00576AF8">
        <w:rPr>
          <w:b/>
          <w:smallCaps/>
          <w:sz w:val="28"/>
        </w:rPr>
        <w:t xml:space="preserve">rograma de </w:t>
      </w:r>
      <w:r w:rsidR="008359C4" w:rsidRPr="00576AF8">
        <w:rPr>
          <w:b/>
          <w:smallCaps/>
          <w:sz w:val="28"/>
        </w:rPr>
        <w:t>e</w:t>
      </w:r>
      <w:r w:rsidRPr="00576AF8">
        <w:rPr>
          <w:b/>
          <w:smallCaps/>
          <w:sz w:val="28"/>
        </w:rPr>
        <w:t xml:space="preserve">jecución, </w:t>
      </w:r>
      <w:r w:rsidR="00332109" w:rsidRPr="00576AF8">
        <w:rPr>
          <w:b/>
          <w:smallCaps/>
          <w:sz w:val="28"/>
        </w:rPr>
        <w:br/>
      </w:r>
      <w:r w:rsidRPr="00576AF8">
        <w:rPr>
          <w:b/>
          <w:smallCaps/>
          <w:sz w:val="28"/>
        </w:rPr>
        <w:t xml:space="preserve">los </w:t>
      </w:r>
      <w:r w:rsidR="008359C4" w:rsidRPr="00576AF8">
        <w:rPr>
          <w:b/>
          <w:smallCaps/>
          <w:sz w:val="28"/>
        </w:rPr>
        <w:t>c</w:t>
      </w:r>
      <w:r w:rsidRPr="00576AF8">
        <w:rPr>
          <w:b/>
          <w:smallCaps/>
          <w:sz w:val="28"/>
        </w:rPr>
        <w:t xml:space="preserve">uadros del </w:t>
      </w:r>
      <w:r w:rsidR="008359C4" w:rsidRPr="00576AF8">
        <w:rPr>
          <w:b/>
          <w:smallCaps/>
          <w:sz w:val="28"/>
        </w:rPr>
        <w:t>i</w:t>
      </w:r>
      <w:r w:rsidRPr="00576AF8">
        <w:rPr>
          <w:b/>
          <w:smallCaps/>
          <w:sz w:val="28"/>
        </w:rPr>
        <w:t xml:space="preserve">nventario del Sistema y </w:t>
      </w:r>
      <w:r w:rsidR="0008396C" w:rsidRPr="00576AF8">
        <w:rPr>
          <w:b/>
          <w:smallCaps/>
          <w:sz w:val="28"/>
        </w:rPr>
        <w:t xml:space="preserve">la información </w:t>
      </w:r>
      <w:r w:rsidR="00332109" w:rsidRPr="00576AF8">
        <w:rPr>
          <w:b/>
          <w:smallCaps/>
          <w:sz w:val="28"/>
        </w:rPr>
        <w:br/>
      </w:r>
      <w:r w:rsidR="0008396C" w:rsidRPr="00576AF8">
        <w:rPr>
          <w:b/>
          <w:smallCaps/>
          <w:sz w:val="28"/>
        </w:rPr>
        <w:t xml:space="preserve">de </w:t>
      </w:r>
      <w:r w:rsidR="00381BEF" w:rsidRPr="00576AF8">
        <w:rPr>
          <w:b/>
          <w:smallCaps/>
          <w:sz w:val="28"/>
        </w:rPr>
        <w:t>referencia</w:t>
      </w:r>
      <w:r w:rsidR="0008396C" w:rsidRPr="00576AF8">
        <w:rPr>
          <w:b/>
          <w:smallCaps/>
          <w:sz w:val="28"/>
        </w:rPr>
        <w:t xml:space="preserve"> y </w:t>
      </w:r>
      <w:r w:rsidRPr="00576AF8">
        <w:rPr>
          <w:b/>
          <w:smallCaps/>
          <w:sz w:val="28"/>
        </w:rPr>
        <w:t xml:space="preserve">el </w:t>
      </w:r>
      <w:r w:rsidR="008359C4" w:rsidRPr="00576AF8">
        <w:rPr>
          <w:b/>
          <w:smallCaps/>
          <w:sz w:val="28"/>
        </w:rPr>
        <w:t>m</w:t>
      </w:r>
      <w:r w:rsidRPr="00576AF8">
        <w:rPr>
          <w:b/>
          <w:smallCaps/>
          <w:sz w:val="28"/>
        </w:rPr>
        <w:t xml:space="preserve">aterial </w:t>
      </w:r>
      <w:r w:rsidR="008359C4" w:rsidRPr="00576AF8">
        <w:rPr>
          <w:b/>
          <w:smallCaps/>
          <w:sz w:val="28"/>
        </w:rPr>
        <w:t>i</w:t>
      </w:r>
      <w:r w:rsidRPr="00576AF8">
        <w:rPr>
          <w:b/>
          <w:smallCaps/>
          <w:sz w:val="28"/>
        </w:rPr>
        <w:t>nformativo)</w:t>
      </w:r>
    </w:p>
    <w:p w14:paraId="04944080" w14:textId="77777777" w:rsidR="009C4244" w:rsidRPr="00576AF8" w:rsidRDefault="009C4244" w:rsidP="009C4244">
      <w:pPr>
        <w:pStyle w:val="Ttulo2"/>
        <w:rPr>
          <w:rFonts w:ascii="Times New Roman" w:hAnsi="Times New Roman"/>
        </w:rPr>
      </w:pPr>
      <w:bookmarkStart w:id="576" w:name="_Toc521498748"/>
      <w:bookmarkStart w:id="577" w:name="_Toc215902372"/>
    </w:p>
    <w:p w14:paraId="467B18FC" w14:textId="77777777" w:rsidR="009C4244" w:rsidRPr="00576AF8" w:rsidRDefault="001F5A3A" w:rsidP="009C4244">
      <w:pPr>
        <w:pStyle w:val="Ttulo2"/>
        <w:rPr>
          <w:rFonts w:ascii="Times New Roman" w:hAnsi="Times New Roman"/>
        </w:rPr>
      </w:pPr>
      <w:r w:rsidRPr="00576AF8">
        <w:rPr>
          <w:rFonts w:ascii="Times New Roman" w:hAnsi="Times New Roman"/>
        </w:rPr>
        <w:t>Índice</w:t>
      </w:r>
      <w:r w:rsidR="009C4244" w:rsidRPr="00576AF8">
        <w:rPr>
          <w:rFonts w:ascii="Times New Roman" w:hAnsi="Times New Roman"/>
        </w:rPr>
        <w:t xml:space="preserve">: </w:t>
      </w:r>
      <w:bookmarkEnd w:id="576"/>
      <w:bookmarkEnd w:id="577"/>
      <w:r w:rsidRPr="00576AF8">
        <w:rPr>
          <w:rFonts w:ascii="Times New Roman" w:hAnsi="Times New Roman"/>
        </w:rPr>
        <w:t>Requisitos Técnicos</w:t>
      </w:r>
    </w:p>
    <w:p w14:paraId="7B7A5502" w14:textId="77777777" w:rsidR="00465DCE" w:rsidRPr="00576AF8" w:rsidRDefault="001A409C">
      <w:pPr>
        <w:pStyle w:val="TDC1"/>
        <w:rPr>
          <w:rFonts w:ascii="Times New Roman" w:eastAsiaTheme="minorEastAsia" w:hAnsi="Times New Roman"/>
          <w:b w:val="0"/>
          <w:noProof/>
          <w:sz w:val="22"/>
          <w:szCs w:val="22"/>
          <w:lang w:eastAsia="zh-CN" w:bidi="ar-SA"/>
        </w:rPr>
      </w:pPr>
      <w:r w:rsidRPr="00576AF8">
        <w:rPr>
          <w:rFonts w:ascii="Times New Roman" w:hAnsi="Times New Roman"/>
          <w:b w:val="0"/>
          <w:sz w:val="36"/>
          <w:szCs w:val="36"/>
        </w:rPr>
        <w:fldChar w:fldCharType="begin"/>
      </w:r>
      <w:r w:rsidRPr="00576AF8">
        <w:rPr>
          <w:rFonts w:ascii="Times New Roman" w:hAnsi="Times New Roman"/>
          <w:b w:val="0"/>
          <w:sz w:val="36"/>
          <w:szCs w:val="36"/>
        </w:rPr>
        <w:instrText xml:space="preserve"> TOC \h \z \t "TOC 4-1;1;TOC 4-2;2" </w:instrText>
      </w:r>
      <w:r w:rsidRPr="00576AF8">
        <w:rPr>
          <w:rFonts w:ascii="Times New Roman" w:hAnsi="Times New Roman"/>
          <w:b w:val="0"/>
          <w:sz w:val="36"/>
          <w:szCs w:val="36"/>
        </w:rPr>
        <w:fldChar w:fldCharType="separate"/>
      </w:r>
      <w:hyperlink w:anchor="_Toc488944436" w:history="1">
        <w:r w:rsidR="00465DCE" w:rsidRPr="00576AF8">
          <w:rPr>
            <w:rStyle w:val="Hipervnculo"/>
            <w:rFonts w:ascii="Times New Roman" w:hAnsi="Times New Roman"/>
            <w:noProof/>
          </w:rPr>
          <w:t>A.  Siglas utilizadas en los requisitos técnicos</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_Toc488944436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133</w:t>
        </w:r>
        <w:r w:rsidR="00465DCE" w:rsidRPr="00576AF8">
          <w:rPr>
            <w:rFonts w:ascii="Times New Roman" w:hAnsi="Times New Roman"/>
            <w:noProof/>
            <w:webHidden/>
          </w:rPr>
          <w:fldChar w:fldCharType="end"/>
        </w:r>
      </w:hyperlink>
    </w:p>
    <w:p w14:paraId="1F1C2949" w14:textId="77777777" w:rsidR="00465DCE" w:rsidRPr="00576AF8" w:rsidRDefault="006334E7">
      <w:pPr>
        <w:pStyle w:val="TDC2"/>
        <w:rPr>
          <w:rFonts w:eastAsiaTheme="minorEastAsia"/>
          <w:sz w:val="22"/>
          <w:szCs w:val="22"/>
          <w:lang w:eastAsia="zh-CN" w:bidi="ar-SA"/>
        </w:rPr>
      </w:pPr>
      <w:hyperlink w:anchor="_Toc488944437" w:history="1">
        <w:r w:rsidR="00465DCE" w:rsidRPr="00576AF8">
          <w:rPr>
            <w:rStyle w:val="Hipervnculo"/>
          </w:rPr>
          <w:t>0.1</w:t>
        </w:r>
        <w:r w:rsidR="00465DCE" w:rsidRPr="00576AF8">
          <w:rPr>
            <w:rFonts w:eastAsiaTheme="minorEastAsia"/>
            <w:sz w:val="22"/>
            <w:szCs w:val="22"/>
            <w:lang w:eastAsia="zh-CN" w:bidi="ar-SA"/>
          </w:rPr>
          <w:tab/>
        </w:r>
        <w:r w:rsidR="00465DCE" w:rsidRPr="00576AF8">
          <w:rPr>
            <w:rStyle w:val="Hipervnculo"/>
          </w:rPr>
          <w:t>Cuadro de siglas</w:t>
        </w:r>
        <w:r w:rsidR="00465DCE" w:rsidRPr="00576AF8">
          <w:rPr>
            <w:webHidden/>
          </w:rPr>
          <w:tab/>
        </w:r>
        <w:r w:rsidR="00465DCE" w:rsidRPr="00576AF8">
          <w:rPr>
            <w:webHidden/>
          </w:rPr>
          <w:fldChar w:fldCharType="begin"/>
        </w:r>
        <w:r w:rsidR="00465DCE" w:rsidRPr="00576AF8">
          <w:rPr>
            <w:webHidden/>
          </w:rPr>
          <w:instrText xml:space="preserve"> PAGEREF _Toc488944437 \h </w:instrText>
        </w:r>
        <w:r w:rsidR="00465DCE" w:rsidRPr="00576AF8">
          <w:rPr>
            <w:webHidden/>
          </w:rPr>
        </w:r>
        <w:r w:rsidR="00465DCE" w:rsidRPr="00576AF8">
          <w:rPr>
            <w:webHidden/>
          </w:rPr>
          <w:fldChar w:fldCharType="separate"/>
        </w:r>
        <w:r w:rsidR="000071E3" w:rsidRPr="00576AF8">
          <w:rPr>
            <w:webHidden/>
          </w:rPr>
          <w:t>133</w:t>
        </w:r>
        <w:r w:rsidR="00465DCE" w:rsidRPr="00576AF8">
          <w:rPr>
            <w:webHidden/>
          </w:rPr>
          <w:fldChar w:fldCharType="end"/>
        </w:r>
      </w:hyperlink>
    </w:p>
    <w:p w14:paraId="16689D3B" w14:textId="77777777" w:rsidR="00465DCE" w:rsidRPr="00576AF8" w:rsidRDefault="006334E7">
      <w:pPr>
        <w:pStyle w:val="TDC1"/>
        <w:rPr>
          <w:rFonts w:ascii="Times New Roman" w:eastAsiaTheme="minorEastAsia" w:hAnsi="Times New Roman"/>
          <w:b w:val="0"/>
          <w:noProof/>
          <w:sz w:val="22"/>
          <w:szCs w:val="22"/>
          <w:lang w:eastAsia="zh-CN" w:bidi="ar-SA"/>
        </w:rPr>
      </w:pPr>
      <w:hyperlink w:anchor="_Toc488944438" w:history="1">
        <w:r w:rsidR="00465DCE" w:rsidRPr="00576AF8">
          <w:rPr>
            <w:rStyle w:val="Hipervnculo"/>
            <w:rFonts w:ascii="Times New Roman" w:hAnsi="Times New Roman"/>
            <w:noProof/>
          </w:rPr>
          <w:t>B.  Requisitos relativos a funciones,  arquitectura y rendimiento</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_Toc488944438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135</w:t>
        </w:r>
        <w:r w:rsidR="00465DCE" w:rsidRPr="00576AF8">
          <w:rPr>
            <w:rFonts w:ascii="Times New Roman" w:hAnsi="Times New Roman"/>
            <w:noProof/>
            <w:webHidden/>
          </w:rPr>
          <w:fldChar w:fldCharType="end"/>
        </w:r>
      </w:hyperlink>
    </w:p>
    <w:p w14:paraId="46648D64" w14:textId="77777777" w:rsidR="00465DCE" w:rsidRPr="00576AF8" w:rsidRDefault="006334E7">
      <w:pPr>
        <w:pStyle w:val="TDC2"/>
        <w:rPr>
          <w:rFonts w:eastAsiaTheme="minorEastAsia"/>
          <w:sz w:val="22"/>
          <w:szCs w:val="22"/>
          <w:lang w:eastAsia="zh-CN" w:bidi="ar-SA"/>
        </w:rPr>
      </w:pPr>
      <w:hyperlink w:anchor="_Toc488944439" w:history="1">
        <w:r w:rsidR="00465DCE" w:rsidRPr="00576AF8">
          <w:rPr>
            <w:rStyle w:val="Hipervnculo"/>
          </w:rPr>
          <w:t>1.1</w:t>
        </w:r>
        <w:r w:rsidR="00465DCE" w:rsidRPr="00576AF8">
          <w:rPr>
            <w:rFonts w:eastAsiaTheme="minorEastAsia"/>
            <w:sz w:val="22"/>
            <w:szCs w:val="22"/>
            <w:lang w:eastAsia="zh-CN" w:bidi="ar-SA"/>
          </w:rPr>
          <w:tab/>
        </w:r>
        <w:r w:rsidR="00465DCE" w:rsidRPr="00576AF8">
          <w:rPr>
            <w:rStyle w:val="Hipervnculo"/>
          </w:rPr>
          <w:t>Requisitos legales y reglamentarios que debe cumplir el  Sistema Informático</w:t>
        </w:r>
        <w:r w:rsidR="00465DCE" w:rsidRPr="00576AF8">
          <w:rPr>
            <w:webHidden/>
          </w:rPr>
          <w:tab/>
        </w:r>
        <w:r w:rsidR="00465DCE" w:rsidRPr="00576AF8">
          <w:rPr>
            <w:webHidden/>
          </w:rPr>
          <w:fldChar w:fldCharType="begin"/>
        </w:r>
        <w:r w:rsidR="00465DCE" w:rsidRPr="00576AF8">
          <w:rPr>
            <w:webHidden/>
          </w:rPr>
          <w:instrText xml:space="preserve"> PAGEREF _Toc488944439 \h </w:instrText>
        </w:r>
        <w:r w:rsidR="00465DCE" w:rsidRPr="00576AF8">
          <w:rPr>
            <w:webHidden/>
          </w:rPr>
        </w:r>
        <w:r w:rsidR="00465DCE" w:rsidRPr="00576AF8">
          <w:rPr>
            <w:webHidden/>
          </w:rPr>
          <w:fldChar w:fldCharType="separate"/>
        </w:r>
        <w:r w:rsidR="000071E3" w:rsidRPr="00576AF8">
          <w:rPr>
            <w:webHidden/>
          </w:rPr>
          <w:t>135</w:t>
        </w:r>
        <w:r w:rsidR="00465DCE" w:rsidRPr="00576AF8">
          <w:rPr>
            <w:webHidden/>
          </w:rPr>
          <w:fldChar w:fldCharType="end"/>
        </w:r>
      </w:hyperlink>
    </w:p>
    <w:p w14:paraId="1A910E92" w14:textId="77777777" w:rsidR="00465DCE" w:rsidRPr="00576AF8" w:rsidRDefault="006334E7">
      <w:pPr>
        <w:pStyle w:val="TDC2"/>
        <w:rPr>
          <w:rFonts w:eastAsiaTheme="minorEastAsia"/>
          <w:sz w:val="22"/>
          <w:szCs w:val="22"/>
          <w:lang w:eastAsia="zh-CN" w:bidi="ar-SA"/>
        </w:rPr>
      </w:pPr>
      <w:hyperlink w:anchor="_Toc488944440" w:history="1">
        <w:r w:rsidR="00465DCE" w:rsidRPr="00576AF8">
          <w:rPr>
            <w:rStyle w:val="Hipervnculo"/>
          </w:rPr>
          <w:t>1.2</w:t>
        </w:r>
        <w:r w:rsidR="00465DCE" w:rsidRPr="00576AF8">
          <w:rPr>
            <w:rFonts w:eastAsiaTheme="minorEastAsia"/>
            <w:sz w:val="22"/>
            <w:szCs w:val="22"/>
            <w:lang w:eastAsia="zh-CN" w:bidi="ar-SA"/>
          </w:rPr>
          <w:tab/>
        </w:r>
        <w:r w:rsidR="00465DCE" w:rsidRPr="00576AF8">
          <w:rPr>
            <w:rStyle w:val="Hipervnculo"/>
          </w:rPr>
          <w:t>Requisitos operacionales que debe cumplir el Sistema Informático</w:t>
        </w:r>
        <w:r w:rsidR="00465DCE" w:rsidRPr="00576AF8">
          <w:rPr>
            <w:webHidden/>
          </w:rPr>
          <w:tab/>
        </w:r>
        <w:r w:rsidR="00465DCE" w:rsidRPr="00576AF8">
          <w:rPr>
            <w:webHidden/>
          </w:rPr>
          <w:fldChar w:fldCharType="begin"/>
        </w:r>
        <w:r w:rsidR="00465DCE" w:rsidRPr="00576AF8">
          <w:rPr>
            <w:webHidden/>
          </w:rPr>
          <w:instrText xml:space="preserve"> PAGEREF _Toc488944440 \h </w:instrText>
        </w:r>
        <w:r w:rsidR="00465DCE" w:rsidRPr="00576AF8">
          <w:rPr>
            <w:webHidden/>
          </w:rPr>
        </w:r>
        <w:r w:rsidR="00465DCE" w:rsidRPr="00576AF8">
          <w:rPr>
            <w:webHidden/>
          </w:rPr>
          <w:fldChar w:fldCharType="separate"/>
        </w:r>
        <w:r w:rsidR="000071E3" w:rsidRPr="00576AF8">
          <w:rPr>
            <w:webHidden/>
          </w:rPr>
          <w:t>135</w:t>
        </w:r>
        <w:r w:rsidR="00465DCE" w:rsidRPr="00576AF8">
          <w:rPr>
            <w:webHidden/>
          </w:rPr>
          <w:fldChar w:fldCharType="end"/>
        </w:r>
      </w:hyperlink>
    </w:p>
    <w:p w14:paraId="49E8B754" w14:textId="77777777" w:rsidR="00465DCE" w:rsidRPr="00576AF8" w:rsidRDefault="006334E7">
      <w:pPr>
        <w:pStyle w:val="TDC2"/>
        <w:rPr>
          <w:rFonts w:eastAsiaTheme="minorEastAsia"/>
          <w:sz w:val="22"/>
          <w:szCs w:val="22"/>
          <w:lang w:eastAsia="zh-CN" w:bidi="ar-SA"/>
        </w:rPr>
      </w:pPr>
      <w:hyperlink w:anchor="_Toc488944441" w:history="1">
        <w:r w:rsidR="00465DCE" w:rsidRPr="00576AF8">
          <w:rPr>
            <w:rStyle w:val="Hipervnculo"/>
          </w:rPr>
          <w:t>1.3</w:t>
        </w:r>
        <w:r w:rsidR="00465DCE" w:rsidRPr="00576AF8">
          <w:rPr>
            <w:rFonts w:eastAsiaTheme="minorEastAsia"/>
            <w:sz w:val="22"/>
            <w:szCs w:val="22"/>
            <w:lang w:eastAsia="zh-CN" w:bidi="ar-SA"/>
          </w:rPr>
          <w:tab/>
        </w:r>
        <w:r w:rsidR="00465DCE" w:rsidRPr="00576AF8">
          <w:rPr>
            <w:rStyle w:val="Hipervnculo"/>
          </w:rPr>
          <w:t>Requisitos de arquitectura que debe cumplir el Sistema Informático</w:t>
        </w:r>
        <w:r w:rsidR="00465DCE" w:rsidRPr="00576AF8">
          <w:rPr>
            <w:webHidden/>
          </w:rPr>
          <w:tab/>
        </w:r>
        <w:r w:rsidR="00465DCE" w:rsidRPr="00576AF8">
          <w:rPr>
            <w:webHidden/>
          </w:rPr>
          <w:fldChar w:fldCharType="begin"/>
        </w:r>
        <w:r w:rsidR="00465DCE" w:rsidRPr="00576AF8">
          <w:rPr>
            <w:webHidden/>
          </w:rPr>
          <w:instrText xml:space="preserve"> PAGEREF _Toc488944441 \h </w:instrText>
        </w:r>
        <w:r w:rsidR="00465DCE" w:rsidRPr="00576AF8">
          <w:rPr>
            <w:webHidden/>
          </w:rPr>
        </w:r>
        <w:r w:rsidR="00465DCE" w:rsidRPr="00576AF8">
          <w:rPr>
            <w:webHidden/>
          </w:rPr>
          <w:fldChar w:fldCharType="separate"/>
        </w:r>
        <w:r w:rsidR="000071E3" w:rsidRPr="00576AF8">
          <w:rPr>
            <w:webHidden/>
          </w:rPr>
          <w:t>135</w:t>
        </w:r>
        <w:r w:rsidR="00465DCE" w:rsidRPr="00576AF8">
          <w:rPr>
            <w:webHidden/>
          </w:rPr>
          <w:fldChar w:fldCharType="end"/>
        </w:r>
      </w:hyperlink>
    </w:p>
    <w:p w14:paraId="7FCDE582" w14:textId="77777777" w:rsidR="00465DCE" w:rsidRPr="00576AF8" w:rsidRDefault="006334E7">
      <w:pPr>
        <w:pStyle w:val="TDC2"/>
        <w:rPr>
          <w:rFonts w:eastAsiaTheme="minorEastAsia"/>
          <w:sz w:val="22"/>
          <w:szCs w:val="22"/>
          <w:lang w:eastAsia="zh-CN" w:bidi="ar-SA"/>
        </w:rPr>
      </w:pPr>
      <w:hyperlink w:anchor="_Toc488944442" w:history="1">
        <w:r w:rsidR="00465DCE" w:rsidRPr="00576AF8">
          <w:rPr>
            <w:rStyle w:val="Hipervnculo"/>
          </w:rPr>
          <w:t>1.4</w:t>
        </w:r>
        <w:r w:rsidR="00465DCE" w:rsidRPr="00576AF8">
          <w:rPr>
            <w:rFonts w:eastAsiaTheme="minorEastAsia"/>
            <w:sz w:val="22"/>
            <w:szCs w:val="22"/>
            <w:lang w:eastAsia="zh-CN" w:bidi="ar-SA"/>
          </w:rPr>
          <w:tab/>
        </w:r>
        <w:r w:rsidR="00465DCE" w:rsidRPr="00576AF8">
          <w:rPr>
            <w:rStyle w:val="Hipervnculo"/>
          </w:rPr>
          <w:t xml:space="preserve">Funciones de gestión y administración de Sistemas que debe cumplir el </w:t>
        </w:r>
        <w:r w:rsidR="00465DCE" w:rsidRPr="00576AF8">
          <w:rPr>
            <w:rStyle w:val="Hipervnculo"/>
          </w:rPr>
          <w:br/>
          <w:t>Sistema Informático</w:t>
        </w:r>
        <w:r w:rsidR="00465DCE" w:rsidRPr="00576AF8">
          <w:rPr>
            <w:webHidden/>
          </w:rPr>
          <w:tab/>
        </w:r>
        <w:r w:rsidR="00465DCE" w:rsidRPr="00576AF8">
          <w:rPr>
            <w:webHidden/>
          </w:rPr>
          <w:fldChar w:fldCharType="begin"/>
        </w:r>
        <w:r w:rsidR="00465DCE" w:rsidRPr="00576AF8">
          <w:rPr>
            <w:webHidden/>
          </w:rPr>
          <w:instrText xml:space="preserve"> PAGEREF _Toc488944442 \h </w:instrText>
        </w:r>
        <w:r w:rsidR="00465DCE" w:rsidRPr="00576AF8">
          <w:rPr>
            <w:webHidden/>
          </w:rPr>
        </w:r>
        <w:r w:rsidR="00465DCE" w:rsidRPr="00576AF8">
          <w:rPr>
            <w:webHidden/>
          </w:rPr>
          <w:fldChar w:fldCharType="separate"/>
        </w:r>
        <w:r w:rsidR="000071E3" w:rsidRPr="00576AF8">
          <w:rPr>
            <w:webHidden/>
          </w:rPr>
          <w:t>136</w:t>
        </w:r>
        <w:r w:rsidR="00465DCE" w:rsidRPr="00576AF8">
          <w:rPr>
            <w:webHidden/>
          </w:rPr>
          <w:fldChar w:fldCharType="end"/>
        </w:r>
      </w:hyperlink>
    </w:p>
    <w:p w14:paraId="18EA9DD2" w14:textId="77777777" w:rsidR="00465DCE" w:rsidRPr="00576AF8" w:rsidRDefault="006334E7">
      <w:pPr>
        <w:pStyle w:val="TDC2"/>
        <w:rPr>
          <w:rFonts w:eastAsiaTheme="minorEastAsia"/>
          <w:sz w:val="22"/>
          <w:szCs w:val="22"/>
          <w:lang w:eastAsia="zh-CN" w:bidi="ar-SA"/>
        </w:rPr>
      </w:pPr>
      <w:hyperlink w:anchor="_Toc488944443" w:history="1">
        <w:r w:rsidR="00465DCE" w:rsidRPr="00576AF8">
          <w:rPr>
            <w:rStyle w:val="Hipervnculo"/>
          </w:rPr>
          <w:t>1.5</w:t>
        </w:r>
        <w:r w:rsidR="00465DCE" w:rsidRPr="00576AF8">
          <w:rPr>
            <w:rFonts w:eastAsiaTheme="minorEastAsia"/>
            <w:sz w:val="22"/>
            <w:szCs w:val="22"/>
            <w:lang w:eastAsia="zh-CN" w:bidi="ar-SA"/>
          </w:rPr>
          <w:tab/>
        </w:r>
        <w:r w:rsidR="00465DCE" w:rsidRPr="00576AF8">
          <w:rPr>
            <w:rStyle w:val="Hipervnculo"/>
          </w:rPr>
          <w:t>Requisitos de rendimiento del Sistema Informático</w:t>
        </w:r>
        <w:r w:rsidR="00465DCE" w:rsidRPr="00576AF8">
          <w:rPr>
            <w:webHidden/>
          </w:rPr>
          <w:tab/>
        </w:r>
        <w:r w:rsidR="00465DCE" w:rsidRPr="00576AF8">
          <w:rPr>
            <w:webHidden/>
          </w:rPr>
          <w:fldChar w:fldCharType="begin"/>
        </w:r>
        <w:r w:rsidR="00465DCE" w:rsidRPr="00576AF8">
          <w:rPr>
            <w:webHidden/>
          </w:rPr>
          <w:instrText xml:space="preserve"> PAGEREF _Toc488944443 \h </w:instrText>
        </w:r>
        <w:r w:rsidR="00465DCE" w:rsidRPr="00576AF8">
          <w:rPr>
            <w:webHidden/>
          </w:rPr>
        </w:r>
        <w:r w:rsidR="00465DCE" w:rsidRPr="00576AF8">
          <w:rPr>
            <w:webHidden/>
          </w:rPr>
          <w:fldChar w:fldCharType="separate"/>
        </w:r>
        <w:r w:rsidR="000071E3" w:rsidRPr="00576AF8">
          <w:rPr>
            <w:webHidden/>
          </w:rPr>
          <w:t>136</w:t>
        </w:r>
        <w:r w:rsidR="00465DCE" w:rsidRPr="00576AF8">
          <w:rPr>
            <w:webHidden/>
          </w:rPr>
          <w:fldChar w:fldCharType="end"/>
        </w:r>
      </w:hyperlink>
    </w:p>
    <w:p w14:paraId="7BB542D9" w14:textId="77777777" w:rsidR="00465DCE" w:rsidRPr="00576AF8" w:rsidRDefault="006334E7">
      <w:pPr>
        <w:pStyle w:val="TDC1"/>
        <w:rPr>
          <w:rFonts w:ascii="Times New Roman" w:eastAsiaTheme="minorEastAsia" w:hAnsi="Times New Roman"/>
          <w:b w:val="0"/>
          <w:noProof/>
          <w:sz w:val="22"/>
          <w:szCs w:val="22"/>
          <w:lang w:eastAsia="zh-CN" w:bidi="ar-SA"/>
        </w:rPr>
      </w:pPr>
      <w:hyperlink w:anchor="_Toc488944444" w:history="1">
        <w:r w:rsidR="00465DCE" w:rsidRPr="00576AF8">
          <w:rPr>
            <w:rStyle w:val="Hipervnculo"/>
            <w:rFonts w:ascii="Times New Roman" w:hAnsi="Times New Roman"/>
            <w:noProof/>
          </w:rPr>
          <w:t>C.  Especificaciones del servicio:  Artículos de suministro e instalación</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_Toc488944444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137</w:t>
        </w:r>
        <w:r w:rsidR="00465DCE" w:rsidRPr="00576AF8">
          <w:rPr>
            <w:rFonts w:ascii="Times New Roman" w:hAnsi="Times New Roman"/>
            <w:noProof/>
            <w:webHidden/>
          </w:rPr>
          <w:fldChar w:fldCharType="end"/>
        </w:r>
      </w:hyperlink>
    </w:p>
    <w:p w14:paraId="73D27C8F" w14:textId="77777777" w:rsidR="00465DCE" w:rsidRPr="00576AF8" w:rsidRDefault="006334E7">
      <w:pPr>
        <w:pStyle w:val="TDC2"/>
        <w:rPr>
          <w:rFonts w:eastAsiaTheme="minorEastAsia"/>
          <w:sz w:val="22"/>
          <w:szCs w:val="22"/>
          <w:lang w:eastAsia="zh-CN" w:bidi="ar-SA"/>
        </w:rPr>
      </w:pPr>
      <w:hyperlink w:anchor="_Toc488944445" w:history="1">
        <w:r w:rsidR="00465DCE" w:rsidRPr="00576AF8">
          <w:rPr>
            <w:rStyle w:val="Hipervnculo"/>
          </w:rPr>
          <w:t>2.1</w:t>
        </w:r>
        <w:r w:rsidR="00465DCE" w:rsidRPr="00576AF8">
          <w:rPr>
            <w:rFonts w:eastAsiaTheme="minorEastAsia"/>
            <w:sz w:val="22"/>
            <w:szCs w:val="22"/>
            <w:lang w:eastAsia="zh-CN" w:bidi="ar-SA"/>
          </w:rPr>
          <w:tab/>
        </w:r>
        <w:r w:rsidR="00465DCE" w:rsidRPr="00576AF8">
          <w:rPr>
            <w:rStyle w:val="Hipervnculo"/>
          </w:rPr>
          <w:t>Análisis, diseño y personalización o desarrollo de sistemas</w:t>
        </w:r>
        <w:r w:rsidR="00465DCE" w:rsidRPr="00576AF8">
          <w:rPr>
            <w:webHidden/>
          </w:rPr>
          <w:tab/>
        </w:r>
        <w:r w:rsidR="00465DCE" w:rsidRPr="00576AF8">
          <w:rPr>
            <w:webHidden/>
          </w:rPr>
          <w:fldChar w:fldCharType="begin"/>
        </w:r>
        <w:r w:rsidR="00465DCE" w:rsidRPr="00576AF8">
          <w:rPr>
            <w:webHidden/>
          </w:rPr>
          <w:instrText xml:space="preserve"> PAGEREF _Toc488944445 \h </w:instrText>
        </w:r>
        <w:r w:rsidR="00465DCE" w:rsidRPr="00576AF8">
          <w:rPr>
            <w:webHidden/>
          </w:rPr>
        </w:r>
        <w:r w:rsidR="00465DCE" w:rsidRPr="00576AF8">
          <w:rPr>
            <w:webHidden/>
          </w:rPr>
          <w:fldChar w:fldCharType="separate"/>
        </w:r>
        <w:r w:rsidR="000071E3" w:rsidRPr="00576AF8">
          <w:rPr>
            <w:webHidden/>
          </w:rPr>
          <w:t>137</w:t>
        </w:r>
        <w:r w:rsidR="00465DCE" w:rsidRPr="00576AF8">
          <w:rPr>
            <w:webHidden/>
          </w:rPr>
          <w:fldChar w:fldCharType="end"/>
        </w:r>
      </w:hyperlink>
    </w:p>
    <w:p w14:paraId="6D01725B" w14:textId="77777777" w:rsidR="00465DCE" w:rsidRPr="00576AF8" w:rsidRDefault="006334E7">
      <w:pPr>
        <w:pStyle w:val="TDC2"/>
        <w:rPr>
          <w:rFonts w:eastAsiaTheme="minorEastAsia"/>
          <w:sz w:val="22"/>
          <w:szCs w:val="22"/>
          <w:lang w:eastAsia="zh-CN" w:bidi="ar-SA"/>
        </w:rPr>
      </w:pPr>
      <w:hyperlink w:anchor="_Toc488944446" w:history="1">
        <w:r w:rsidR="00465DCE" w:rsidRPr="00576AF8">
          <w:rPr>
            <w:rStyle w:val="Hipervnculo"/>
          </w:rPr>
          <w:t>2.2</w:t>
        </w:r>
        <w:r w:rsidR="00465DCE" w:rsidRPr="00576AF8">
          <w:rPr>
            <w:rFonts w:eastAsiaTheme="minorEastAsia"/>
            <w:sz w:val="22"/>
            <w:szCs w:val="22"/>
            <w:lang w:eastAsia="zh-CN" w:bidi="ar-SA"/>
          </w:rPr>
          <w:tab/>
        </w:r>
        <w:r w:rsidR="00465DCE" w:rsidRPr="00576AF8">
          <w:rPr>
            <w:rStyle w:val="Hipervnculo"/>
          </w:rPr>
          <w:t>Personalización y desarrollo de software</w:t>
        </w:r>
        <w:r w:rsidR="00465DCE" w:rsidRPr="00576AF8">
          <w:rPr>
            <w:webHidden/>
          </w:rPr>
          <w:tab/>
        </w:r>
        <w:r w:rsidR="00465DCE" w:rsidRPr="00576AF8">
          <w:rPr>
            <w:webHidden/>
          </w:rPr>
          <w:fldChar w:fldCharType="begin"/>
        </w:r>
        <w:r w:rsidR="00465DCE" w:rsidRPr="00576AF8">
          <w:rPr>
            <w:webHidden/>
          </w:rPr>
          <w:instrText xml:space="preserve"> PAGEREF _Toc488944446 \h </w:instrText>
        </w:r>
        <w:r w:rsidR="00465DCE" w:rsidRPr="00576AF8">
          <w:rPr>
            <w:webHidden/>
          </w:rPr>
        </w:r>
        <w:r w:rsidR="00465DCE" w:rsidRPr="00576AF8">
          <w:rPr>
            <w:webHidden/>
          </w:rPr>
          <w:fldChar w:fldCharType="separate"/>
        </w:r>
        <w:r w:rsidR="000071E3" w:rsidRPr="00576AF8">
          <w:rPr>
            <w:webHidden/>
          </w:rPr>
          <w:t>137</w:t>
        </w:r>
        <w:r w:rsidR="00465DCE" w:rsidRPr="00576AF8">
          <w:rPr>
            <w:webHidden/>
          </w:rPr>
          <w:fldChar w:fldCharType="end"/>
        </w:r>
      </w:hyperlink>
    </w:p>
    <w:p w14:paraId="6B8D095D" w14:textId="77777777" w:rsidR="00465DCE" w:rsidRPr="00576AF8" w:rsidRDefault="006334E7">
      <w:pPr>
        <w:pStyle w:val="TDC2"/>
        <w:rPr>
          <w:rFonts w:eastAsiaTheme="minorEastAsia"/>
          <w:sz w:val="22"/>
          <w:szCs w:val="22"/>
          <w:lang w:eastAsia="zh-CN" w:bidi="ar-SA"/>
        </w:rPr>
      </w:pPr>
      <w:hyperlink w:anchor="_Toc488944447" w:history="1">
        <w:r w:rsidR="00465DCE" w:rsidRPr="00576AF8">
          <w:rPr>
            <w:rStyle w:val="Hipervnculo"/>
          </w:rPr>
          <w:t>2.3</w:t>
        </w:r>
        <w:r w:rsidR="00465DCE" w:rsidRPr="00576AF8">
          <w:rPr>
            <w:rFonts w:eastAsiaTheme="minorEastAsia"/>
            <w:sz w:val="22"/>
            <w:szCs w:val="22"/>
            <w:lang w:eastAsia="zh-CN" w:bidi="ar-SA"/>
          </w:rPr>
          <w:tab/>
        </w:r>
        <w:r w:rsidR="00465DCE" w:rsidRPr="00576AF8">
          <w:rPr>
            <w:rStyle w:val="Hipervnculo"/>
          </w:rPr>
          <w:t>Integración del Sistema (a otros sistemas existentes)</w:t>
        </w:r>
        <w:r w:rsidR="00465DCE" w:rsidRPr="00576AF8">
          <w:rPr>
            <w:webHidden/>
          </w:rPr>
          <w:tab/>
        </w:r>
        <w:r w:rsidR="00465DCE" w:rsidRPr="00576AF8">
          <w:rPr>
            <w:webHidden/>
          </w:rPr>
          <w:fldChar w:fldCharType="begin"/>
        </w:r>
        <w:r w:rsidR="00465DCE" w:rsidRPr="00576AF8">
          <w:rPr>
            <w:webHidden/>
          </w:rPr>
          <w:instrText xml:space="preserve"> PAGEREF _Toc488944447 \h </w:instrText>
        </w:r>
        <w:r w:rsidR="00465DCE" w:rsidRPr="00576AF8">
          <w:rPr>
            <w:webHidden/>
          </w:rPr>
        </w:r>
        <w:r w:rsidR="00465DCE" w:rsidRPr="00576AF8">
          <w:rPr>
            <w:webHidden/>
          </w:rPr>
          <w:fldChar w:fldCharType="separate"/>
        </w:r>
        <w:r w:rsidR="000071E3" w:rsidRPr="00576AF8">
          <w:rPr>
            <w:webHidden/>
          </w:rPr>
          <w:t>137</w:t>
        </w:r>
        <w:r w:rsidR="00465DCE" w:rsidRPr="00576AF8">
          <w:rPr>
            <w:webHidden/>
          </w:rPr>
          <w:fldChar w:fldCharType="end"/>
        </w:r>
      </w:hyperlink>
    </w:p>
    <w:p w14:paraId="1CAD1BD0" w14:textId="77777777" w:rsidR="00465DCE" w:rsidRPr="00576AF8" w:rsidRDefault="006334E7">
      <w:pPr>
        <w:pStyle w:val="TDC2"/>
        <w:rPr>
          <w:rFonts w:eastAsiaTheme="minorEastAsia"/>
          <w:sz w:val="22"/>
          <w:szCs w:val="22"/>
          <w:lang w:eastAsia="zh-CN" w:bidi="ar-SA"/>
        </w:rPr>
      </w:pPr>
      <w:hyperlink w:anchor="_Toc488944448" w:history="1">
        <w:r w:rsidR="00465DCE" w:rsidRPr="00576AF8">
          <w:rPr>
            <w:rStyle w:val="Hipervnculo"/>
          </w:rPr>
          <w:t>2.4</w:t>
        </w:r>
        <w:r w:rsidR="00465DCE" w:rsidRPr="00576AF8">
          <w:rPr>
            <w:rFonts w:eastAsiaTheme="minorEastAsia"/>
            <w:sz w:val="22"/>
            <w:szCs w:val="22"/>
            <w:lang w:eastAsia="zh-CN" w:bidi="ar-SA"/>
          </w:rPr>
          <w:tab/>
        </w:r>
        <w:r w:rsidR="00465DCE" w:rsidRPr="00576AF8">
          <w:rPr>
            <w:rStyle w:val="Hipervnculo"/>
          </w:rPr>
          <w:t>Capacitación y materiales de capacitación</w:t>
        </w:r>
        <w:r w:rsidR="00465DCE" w:rsidRPr="00576AF8">
          <w:rPr>
            <w:webHidden/>
          </w:rPr>
          <w:tab/>
        </w:r>
        <w:r w:rsidR="00465DCE" w:rsidRPr="00576AF8">
          <w:rPr>
            <w:webHidden/>
          </w:rPr>
          <w:fldChar w:fldCharType="begin"/>
        </w:r>
        <w:r w:rsidR="00465DCE" w:rsidRPr="00576AF8">
          <w:rPr>
            <w:webHidden/>
          </w:rPr>
          <w:instrText xml:space="preserve"> PAGEREF _Toc488944448 \h </w:instrText>
        </w:r>
        <w:r w:rsidR="00465DCE" w:rsidRPr="00576AF8">
          <w:rPr>
            <w:webHidden/>
          </w:rPr>
        </w:r>
        <w:r w:rsidR="00465DCE" w:rsidRPr="00576AF8">
          <w:rPr>
            <w:webHidden/>
          </w:rPr>
          <w:fldChar w:fldCharType="separate"/>
        </w:r>
        <w:r w:rsidR="000071E3" w:rsidRPr="00576AF8">
          <w:rPr>
            <w:webHidden/>
          </w:rPr>
          <w:t>137</w:t>
        </w:r>
        <w:r w:rsidR="00465DCE" w:rsidRPr="00576AF8">
          <w:rPr>
            <w:webHidden/>
          </w:rPr>
          <w:fldChar w:fldCharType="end"/>
        </w:r>
      </w:hyperlink>
    </w:p>
    <w:p w14:paraId="3810CB1C" w14:textId="77777777" w:rsidR="00465DCE" w:rsidRPr="00576AF8" w:rsidRDefault="006334E7">
      <w:pPr>
        <w:pStyle w:val="TDC2"/>
        <w:rPr>
          <w:rFonts w:eastAsiaTheme="minorEastAsia"/>
          <w:sz w:val="22"/>
          <w:szCs w:val="22"/>
          <w:lang w:eastAsia="zh-CN" w:bidi="ar-SA"/>
        </w:rPr>
      </w:pPr>
      <w:hyperlink w:anchor="_Toc488944449" w:history="1">
        <w:r w:rsidR="00465DCE" w:rsidRPr="00576AF8">
          <w:rPr>
            <w:rStyle w:val="Hipervnculo"/>
          </w:rPr>
          <w:t>2.5</w:t>
        </w:r>
        <w:r w:rsidR="00465DCE" w:rsidRPr="00576AF8">
          <w:rPr>
            <w:rFonts w:eastAsiaTheme="minorEastAsia"/>
            <w:sz w:val="22"/>
            <w:szCs w:val="22"/>
            <w:lang w:eastAsia="zh-CN" w:bidi="ar-SA"/>
          </w:rPr>
          <w:tab/>
        </w:r>
        <w:r w:rsidR="00465DCE" w:rsidRPr="00576AF8">
          <w:rPr>
            <w:rStyle w:val="Hipervnculo"/>
          </w:rPr>
          <w:t>Conversión y migración de datos</w:t>
        </w:r>
        <w:r w:rsidR="00465DCE" w:rsidRPr="00576AF8">
          <w:rPr>
            <w:webHidden/>
          </w:rPr>
          <w:tab/>
        </w:r>
        <w:r w:rsidR="00465DCE" w:rsidRPr="00576AF8">
          <w:rPr>
            <w:webHidden/>
          </w:rPr>
          <w:fldChar w:fldCharType="begin"/>
        </w:r>
        <w:r w:rsidR="00465DCE" w:rsidRPr="00576AF8">
          <w:rPr>
            <w:webHidden/>
          </w:rPr>
          <w:instrText xml:space="preserve"> PAGEREF _Toc488944449 \h </w:instrText>
        </w:r>
        <w:r w:rsidR="00465DCE" w:rsidRPr="00576AF8">
          <w:rPr>
            <w:webHidden/>
          </w:rPr>
        </w:r>
        <w:r w:rsidR="00465DCE" w:rsidRPr="00576AF8">
          <w:rPr>
            <w:webHidden/>
          </w:rPr>
          <w:fldChar w:fldCharType="separate"/>
        </w:r>
        <w:r w:rsidR="000071E3" w:rsidRPr="00576AF8">
          <w:rPr>
            <w:webHidden/>
          </w:rPr>
          <w:t>138</w:t>
        </w:r>
        <w:r w:rsidR="00465DCE" w:rsidRPr="00576AF8">
          <w:rPr>
            <w:webHidden/>
          </w:rPr>
          <w:fldChar w:fldCharType="end"/>
        </w:r>
      </w:hyperlink>
    </w:p>
    <w:p w14:paraId="774CD520" w14:textId="77777777" w:rsidR="00465DCE" w:rsidRPr="00576AF8" w:rsidRDefault="006334E7">
      <w:pPr>
        <w:pStyle w:val="TDC2"/>
        <w:rPr>
          <w:rFonts w:eastAsiaTheme="minorEastAsia"/>
          <w:sz w:val="22"/>
          <w:szCs w:val="22"/>
          <w:lang w:eastAsia="zh-CN" w:bidi="ar-SA"/>
        </w:rPr>
      </w:pPr>
      <w:hyperlink w:anchor="_Toc488944450" w:history="1">
        <w:r w:rsidR="00465DCE" w:rsidRPr="00576AF8">
          <w:rPr>
            <w:rStyle w:val="Hipervnculo"/>
          </w:rPr>
          <w:t>2.6</w:t>
        </w:r>
        <w:r w:rsidR="00465DCE" w:rsidRPr="00576AF8">
          <w:rPr>
            <w:rFonts w:eastAsiaTheme="minorEastAsia"/>
            <w:sz w:val="22"/>
            <w:szCs w:val="22"/>
            <w:lang w:eastAsia="zh-CN" w:bidi="ar-SA"/>
          </w:rPr>
          <w:tab/>
        </w:r>
        <w:r w:rsidR="00465DCE" w:rsidRPr="00576AF8">
          <w:rPr>
            <w:rStyle w:val="Hipervnculo"/>
          </w:rPr>
          <w:t>Requisitos de documentación</w:t>
        </w:r>
        <w:r w:rsidR="00465DCE" w:rsidRPr="00576AF8">
          <w:rPr>
            <w:webHidden/>
          </w:rPr>
          <w:tab/>
        </w:r>
        <w:r w:rsidR="00465DCE" w:rsidRPr="00576AF8">
          <w:rPr>
            <w:webHidden/>
          </w:rPr>
          <w:fldChar w:fldCharType="begin"/>
        </w:r>
        <w:r w:rsidR="00465DCE" w:rsidRPr="00576AF8">
          <w:rPr>
            <w:webHidden/>
          </w:rPr>
          <w:instrText xml:space="preserve"> PAGEREF _Toc488944450 \h </w:instrText>
        </w:r>
        <w:r w:rsidR="00465DCE" w:rsidRPr="00576AF8">
          <w:rPr>
            <w:webHidden/>
          </w:rPr>
        </w:r>
        <w:r w:rsidR="00465DCE" w:rsidRPr="00576AF8">
          <w:rPr>
            <w:webHidden/>
          </w:rPr>
          <w:fldChar w:fldCharType="separate"/>
        </w:r>
        <w:r w:rsidR="000071E3" w:rsidRPr="00576AF8">
          <w:rPr>
            <w:webHidden/>
          </w:rPr>
          <w:t>138</w:t>
        </w:r>
        <w:r w:rsidR="00465DCE" w:rsidRPr="00576AF8">
          <w:rPr>
            <w:webHidden/>
          </w:rPr>
          <w:fldChar w:fldCharType="end"/>
        </w:r>
      </w:hyperlink>
    </w:p>
    <w:p w14:paraId="5999124D" w14:textId="77777777" w:rsidR="00465DCE" w:rsidRPr="00576AF8" w:rsidRDefault="006334E7">
      <w:pPr>
        <w:pStyle w:val="TDC2"/>
        <w:rPr>
          <w:rFonts w:eastAsiaTheme="minorEastAsia"/>
          <w:sz w:val="22"/>
          <w:szCs w:val="22"/>
          <w:lang w:eastAsia="zh-CN" w:bidi="ar-SA"/>
        </w:rPr>
      </w:pPr>
      <w:hyperlink w:anchor="_Toc488944451" w:history="1">
        <w:r w:rsidR="00465DCE" w:rsidRPr="00576AF8">
          <w:rPr>
            <w:rStyle w:val="Hipervnculo"/>
          </w:rPr>
          <w:t>2.7</w:t>
        </w:r>
        <w:r w:rsidR="00465DCE" w:rsidRPr="00576AF8">
          <w:rPr>
            <w:rFonts w:eastAsiaTheme="minorEastAsia"/>
            <w:sz w:val="22"/>
            <w:szCs w:val="22"/>
            <w:lang w:eastAsia="zh-CN" w:bidi="ar-SA"/>
          </w:rPr>
          <w:tab/>
        </w:r>
        <w:r w:rsidR="00465DCE" w:rsidRPr="00576AF8">
          <w:rPr>
            <w:rStyle w:val="Hipervnculo"/>
          </w:rPr>
          <w:t>Requisitos del equipo técnico del Proveedor</w:t>
        </w:r>
        <w:r w:rsidR="00465DCE" w:rsidRPr="00576AF8">
          <w:rPr>
            <w:webHidden/>
          </w:rPr>
          <w:tab/>
        </w:r>
        <w:r w:rsidR="00465DCE" w:rsidRPr="00576AF8">
          <w:rPr>
            <w:webHidden/>
          </w:rPr>
          <w:fldChar w:fldCharType="begin"/>
        </w:r>
        <w:r w:rsidR="00465DCE" w:rsidRPr="00576AF8">
          <w:rPr>
            <w:webHidden/>
          </w:rPr>
          <w:instrText xml:space="preserve"> PAGEREF _Toc488944451 \h </w:instrText>
        </w:r>
        <w:r w:rsidR="00465DCE" w:rsidRPr="00576AF8">
          <w:rPr>
            <w:webHidden/>
          </w:rPr>
        </w:r>
        <w:r w:rsidR="00465DCE" w:rsidRPr="00576AF8">
          <w:rPr>
            <w:webHidden/>
          </w:rPr>
          <w:fldChar w:fldCharType="separate"/>
        </w:r>
        <w:r w:rsidR="000071E3" w:rsidRPr="00576AF8">
          <w:rPr>
            <w:webHidden/>
          </w:rPr>
          <w:t>138</w:t>
        </w:r>
        <w:r w:rsidR="00465DCE" w:rsidRPr="00576AF8">
          <w:rPr>
            <w:webHidden/>
          </w:rPr>
          <w:fldChar w:fldCharType="end"/>
        </w:r>
      </w:hyperlink>
    </w:p>
    <w:p w14:paraId="6060008B" w14:textId="77777777" w:rsidR="00465DCE" w:rsidRPr="00576AF8" w:rsidRDefault="006334E7">
      <w:pPr>
        <w:pStyle w:val="TDC1"/>
        <w:rPr>
          <w:rFonts w:ascii="Times New Roman" w:eastAsiaTheme="minorEastAsia" w:hAnsi="Times New Roman"/>
          <w:b w:val="0"/>
          <w:noProof/>
          <w:sz w:val="22"/>
          <w:szCs w:val="22"/>
          <w:lang w:eastAsia="zh-CN" w:bidi="ar-SA"/>
        </w:rPr>
      </w:pPr>
      <w:hyperlink w:anchor="_Toc488944452" w:history="1">
        <w:r w:rsidR="00465DCE" w:rsidRPr="00576AF8">
          <w:rPr>
            <w:rStyle w:val="Hipervnculo"/>
            <w:rFonts w:ascii="Times New Roman" w:hAnsi="Times New Roman"/>
            <w:noProof/>
          </w:rPr>
          <w:t>D.  Especificaciones de tecnología:  Artículos de suministro e instalación</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_Toc488944452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139</w:t>
        </w:r>
        <w:r w:rsidR="00465DCE" w:rsidRPr="00576AF8">
          <w:rPr>
            <w:rFonts w:ascii="Times New Roman" w:hAnsi="Times New Roman"/>
            <w:noProof/>
            <w:webHidden/>
          </w:rPr>
          <w:fldChar w:fldCharType="end"/>
        </w:r>
      </w:hyperlink>
    </w:p>
    <w:p w14:paraId="5E01B5E7" w14:textId="77777777" w:rsidR="00465DCE" w:rsidRPr="00576AF8" w:rsidRDefault="006334E7">
      <w:pPr>
        <w:pStyle w:val="TDC2"/>
        <w:rPr>
          <w:rFonts w:eastAsiaTheme="minorEastAsia"/>
          <w:sz w:val="22"/>
          <w:szCs w:val="22"/>
          <w:lang w:eastAsia="zh-CN" w:bidi="ar-SA"/>
        </w:rPr>
      </w:pPr>
      <w:hyperlink w:anchor="_Toc488944453" w:history="1">
        <w:r w:rsidR="00465DCE" w:rsidRPr="00576AF8">
          <w:rPr>
            <w:rStyle w:val="Hipervnculo"/>
          </w:rPr>
          <w:t>3.0</w:t>
        </w:r>
        <w:r w:rsidR="00465DCE" w:rsidRPr="00576AF8">
          <w:rPr>
            <w:rFonts w:eastAsiaTheme="minorEastAsia"/>
            <w:sz w:val="22"/>
            <w:szCs w:val="22"/>
            <w:lang w:eastAsia="zh-CN" w:bidi="ar-SA"/>
          </w:rPr>
          <w:tab/>
        </w:r>
        <w:r w:rsidR="00465DCE" w:rsidRPr="00576AF8">
          <w:rPr>
            <w:rStyle w:val="Hipervnculo"/>
          </w:rPr>
          <w:t>Requisitos Técnicos Generales</w:t>
        </w:r>
        <w:r w:rsidR="00465DCE" w:rsidRPr="00576AF8">
          <w:rPr>
            <w:webHidden/>
          </w:rPr>
          <w:tab/>
        </w:r>
        <w:r w:rsidR="00465DCE" w:rsidRPr="00576AF8">
          <w:rPr>
            <w:webHidden/>
          </w:rPr>
          <w:fldChar w:fldCharType="begin"/>
        </w:r>
        <w:r w:rsidR="00465DCE" w:rsidRPr="00576AF8">
          <w:rPr>
            <w:webHidden/>
          </w:rPr>
          <w:instrText xml:space="preserve"> PAGEREF _Toc488944453 \h </w:instrText>
        </w:r>
        <w:r w:rsidR="00465DCE" w:rsidRPr="00576AF8">
          <w:rPr>
            <w:webHidden/>
          </w:rPr>
        </w:r>
        <w:r w:rsidR="00465DCE" w:rsidRPr="00576AF8">
          <w:rPr>
            <w:webHidden/>
          </w:rPr>
          <w:fldChar w:fldCharType="separate"/>
        </w:r>
        <w:r w:rsidR="000071E3" w:rsidRPr="00576AF8">
          <w:rPr>
            <w:webHidden/>
          </w:rPr>
          <w:t>139</w:t>
        </w:r>
        <w:r w:rsidR="00465DCE" w:rsidRPr="00576AF8">
          <w:rPr>
            <w:webHidden/>
          </w:rPr>
          <w:fldChar w:fldCharType="end"/>
        </w:r>
      </w:hyperlink>
    </w:p>
    <w:p w14:paraId="02AC3DDB" w14:textId="77777777" w:rsidR="00465DCE" w:rsidRPr="00576AF8" w:rsidRDefault="006334E7">
      <w:pPr>
        <w:pStyle w:val="TDC2"/>
        <w:rPr>
          <w:rFonts w:eastAsiaTheme="minorEastAsia"/>
          <w:sz w:val="22"/>
          <w:szCs w:val="22"/>
          <w:lang w:eastAsia="zh-CN" w:bidi="ar-SA"/>
        </w:rPr>
      </w:pPr>
      <w:hyperlink w:anchor="_Toc488944454" w:history="1">
        <w:r w:rsidR="00465DCE" w:rsidRPr="00576AF8">
          <w:rPr>
            <w:rStyle w:val="Hipervnculo"/>
          </w:rPr>
          <w:t>3.1</w:t>
        </w:r>
        <w:r w:rsidR="00465DCE" w:rsidRPr="00576AF8">
          <w:rPr>
            <w:rFonts w:eastAsiaTheme="minorEastAsia"/>
            <w:sz w:val="22"/>
            <w:szCs w:val="22"/>
            <w:lang w:eastAsia="zh-CN" w:bidi="ar-SA"/>
          </w:rPr>
          <w:tab/>
        </w:r>
        <w:r w:rsidR="00465DCE" w:rsidRPr="00576AF8">
          <w:rPr>
            <w:rStyle w:val="Hipervnculo"/>
          </w:rPr>
          <w:t>Especificaciones de los Equipos</w:t>
        </w:r>
        <w:r w:rsidR="00465DCE" w:rsidRPr="00576AF8">
          <w:rPr>
            <w:webHidden/>
          </w:rPr>
          <w:tab/>
        </w:r>
        <w:r w:rsidR="00465DCE" w:rsidRPr="00576AF8">
          <w:rPr>
            <w:webHidden/>
          </w:rPr>
          <w:fldChar w:fldCharType="begin"/>
        </w:r>
        <w:r w:rsidR="00465DCE" w:rsidRPr="00576AF8">
          <w:rPr>
            <w:webHidden/>
          </w:rPr>
          <w:instrText xml:space="preserve"> PAGEREF _Toc488944454 \h </w:instrText>
        </w:r>
        <w:r w:rsidR="00465DCE" w:rsidRPr="00576AF8">
          <w:rPr>
            <w:webHidden/>
          </w:rPr>
        </w:r>
        <w:r w:rsidR="00465DCE" w:rsidRPr="00576AF8">
          <w:rPr>
            <w:webHidden/>
          </w:rPr>
          <w:fldChar w:fldCharType="separate"/>
        </w:r>
        <w:r w:rsidR="000071E3" w:rsidRPr="00576AF8">
          <w:rPr>
            <w:webHidden/>
          </w:rPr>
          <w:t>140</w:t>
        </w:r>
        <w:r w:rsidR="00465DCE" w:rsidRPr="00576AF8">
          <w:rPr>
            <w:webHidden/>
          </w:rPr>
          <w:fldChar w:fldCharType="end"/>
        </w:r>
      </w:hyperlink>
    </w:p>
    <w:p w14:paraId="24CDB35B" w14:textId="77777777" w:rsidR="00465DCE" w:rsidRPr="00576AF8" w:rsidRDefault="006334E7">
      <w:pPr>
        <w:pStyle w:val="TDC2"/>
        <w:rPr>
          <w:rFonts w:eastAsiaTheme="minorEastAsia"/>
          <w:sz w:val="22"/>
          <w:szCs w:val="22"/>
          <w:lang w:eastAsia="zh-CN" w:bidi="ar-SA"/>
        </w:rPr>
      </w:pPr>
      <w:hyperlink w:anchor="_Toc488944455" w:history="1">
        <w:r w:rsidR="00465DCE" w:rsidRPr="00576AF8">
          <w:rPr>
            <w:rStyle w:val="Hipervnculo"/>
          </w:rPr>
          <w:t>3.2</w:t>
        </w:r>
        <w:r w:rsidR="00465DCE" w:rsidRPr="00576AF8">
          <w:rPr>
            <w:rFonts w:eastAsiaTheme="minorEastAsia"/>
            <w:sz w:val="22"/>
            <w:szCs w:val="22"/>
            <w:lang w:eastAsia="zh-CN" w:bidi="ar-SA"/>
          </w:rPr>
          <w:tab/>
        </w:r>
        <w:r w:rsidR="00465DCE" w:rsidRPr="00576AF8">
          <w:rPr>
            <w:rStyle w:val="Hipervnculo"/>
          </w:rPr>
          <w:t>Especificaciones de Redes y Comunicaciones</w:t>
        </w:r>
        <w:r w:rsidR="00465DCE" w:rsidRPr="00576AF8">
          <w:rPr>
            <w:webHidden/>
          </w:rPr>
          <w:tab/>
        </w:r>
        <w:r w:rsidR="00465DCE" w:rsidRPr="00576AF8">
          <w:rPr>
            <w:webHidden/>
          </w:rPr>
          <w:fldChar w:fldCharType="begin"/>
        </w:r>
        <w:r w:rsidR="00465DCE" w:rsidRPr="00576AF8">
          <w:rPr>
            <w:webHidden/>
          </w:rPr>
          <w:instrText xml:space="preserve"> PAGEREF _Toc488944455 \h </w:instrText>
        </w:r>
        <w:r w:rsidR="00465DCE" w:rsidRPr="00576AF8">
          <w:rPr>
            <w:webHidden/>
          </w:rPr>
        </w:r>
        <w:r w:rsidR="00465DCE" w:rsidRPr="00576AF8">
          <w:rPr>
            <w:webHidden/>
          </w:rPr>
          <w:fldChar w:fldCharType="separate"/>
        </w:r>
        <w:r w:rsidR="000071E3" w:rsidRPr="00576AF8">
          <w:rPr>
            <w:webHidden/>
          </w:rPr>
          <w:t>141</w:t>
        </w:r>
        <w:r w:rsidR="00465DCE" w:rsidRPr="00576AF8">
          <w:rPr>
            <w:webHidden/>
          </w:rPr>
          <w:fldChar w:fldCharType="end"/>
        </w:r>
      </w:hyperlink>
    </w:p>
    <w:p w14:paraId="026677C4" w14:textId="77777777" w:rsidR="00465DCE" w:rsidRPr="00576AF8" w:rsidRDefault="006334E7">
      <w:pPr>
        <w:pStyle w:val="TDC2"/>
        <w:rPr>
          <w:rFonts w:eastAsiaTheme="minorEastAsia"/>
          <w:sz w:val="22"/>
          <w:szCs w:val="22"/>
          <w:lang w:eastAsia="zh-CN" w:bidi="ar-SA"/>
        </w:rPr>
      </w:pPr>
      <w:hyperlink w:anchor="_Toc488944456" w:history="1">
        <w:r w:rsidR="00465DCE" w:rsidRPr="00576AF8">
          <w:rPr>
            <w:rStyle w:val="Hipervnculo"/>
          </w:rPr>
          <w:t>3.3</w:t>
        </w:r>
        <w:r w:rsidR="00465DCE" w:rsidRPr="00576AF8">
          <w:rPr>
            <w:rFonts w:eastAsiaTheme="minorEastAsia"/>
            <w:sz w:val="22"/>
            <w:szCs w:val="22"/>
            <w:lang w:eastAsia="zh-CN" w:bidi="ar-SA"/>
          </w:rPr>
          <w:tab/>
        </w:r>
        <w:r w:rsidR="00465DCE" w:rsidRPr="00576AF8">
          <w:rPr>
            <w:rStyle w:val="Hipervnculo"/>
          </w:rPr>
          <w:t>Especificaciones de los Equipos Secundarios</w:t>
        </w:r>
        <w:r w:rsidR="00465DCE" w:rsidRPr="00576AF8">
          <w:rPr>
            <w:webHidden/>
          </w:rPr>
          <w:tab/>
        </w:r>
        <w:r w:rsidR="00465DCE" w:rsidRPr="00576AF8">
          <w:rPr>
            <w:webHidden/>
          </w:rPr>
          <w:fldChar w:fldCharType="begin"/>
        </w:r>
        <w:r w:rsidR="00465DCE" w:rsidRPr="00576AF8">
          <w:rPr>
            <w:webHidden/>
          </w:rPr>
          <w:instrText xml:space="preserve"> PAGEREF _Toc488944456 \h </w:instrText>
        </w:r>
        <w:r w:rsidR="00465DCE" w:rsidRPr="00576AF8">
          <w:rPr>
            <w:webHidden/>
          </w:rPr>
        </w:r>
        <w:r w:rsidR="00465DCE" w:rsidRPr="00576AF8">
          <w:rPr>
            <w:webHidden/>
          </w:rPr>
          <w:fldChar w:fldCharType="separate"/>
        </w:r>
        <w:r w:rsidR="000071E3" w:rsidRPr="00576AF8">
          <w:rPr>
            <w:webHidden/>
          </w:rPr>
          <w:t>142</w:t>
        </w:r>
        <w:r w:rsidR="00465DCE" w:rsidRPr="00576AF8">
          <w:rPr>
            <w:webHidden/>
          </w:rPr>
          <w:fldChar w:fldCharType="end"/>
        </w:r>
      </w:hyperlink>
    </w:p>
    <w:p w14:paraId="300D4C2E" w14:textId="77777777" w:rsidR="00465DCE" w:rsidRPr="00576AF8" w:rsidRDefault="006334E7">
      <w:pPr>
        <w:pStyle w:val="TDC2"/>
        <w:rPr>
          <w:rFonts w:eastAsiaTheme="minorEastAsia"/>
          <w:sz w:val="22"/>
          <w:szCs w:val="22"/>
          <w:lang w:eastAsia="zh-CN" w:bidi="ar-SA"/>
        </w:rPr>
      </w:pPr>
      <w:hyperlink w:anchor="_Toc488944457" w:history="1">
        <w:r w:rsidR="00465DCE" w:rsidRPr="00576AF8">
          <w:rPr>
            <w:rStyle w:val="Hipervnculo"/>
          </w:rPr>
          <w:t>3.4</w:t>
        </w:r>
        <w:r w:rsidR="00465DCE" w:rsidRPr="00576AF8">
          <w:rPr>
            <w:rFonts w:eastAsiaTheme="minorEastAsia"/>
            <w:sz w:val="22"/>
            <w:szCs w:val="22"/>
            <w:lang w:eastAsia="zh-CN" w:bidi="ar-SA"/>
          </w:rPr>
          <w:tab/>
        </w:r>
        <w:r w:rsidR="00465DCE" w:rsidRPr="00576AF8">
          <w:rPr>
            <w:rStyle w:val="Hipervnculo"/>
          </w:rPr>
          <w:t>Especificaciones de Software Estándar</w:t>
        </w:r>
        <w:r w:rsidR="00465DCE" w:rsidRPr="00576AF8">
          <w:rPr>
            <w:webHidden/>
          </w:rPr>
          <w:tab/>
        </w:r>
        <w:r w:rsidR="00465DCE" w:rsidRPr="00576AF8">
          <w:rPr>
            <w:webHidden/>
          </w:rPr>
          <w:fldChar w:fldCharType="begin"/>
        </w:r>
        <w:r w:rsidR="00465DCE" w:rsidRPr="00576AF8">
          <w:rPr>
            <w:webHidden/>
          </w:rPr>
          <w:instrText xml:space="preserve"> PAGEREF _Toc488944457 \h </w:instrText>
        </w:r>
        <w:r w:rsidR="00465DCE" w:rsidRPr="00576AF8">
          <w:rPr>
            <w:webHidden/>
          </w:rPr>
        </w:r>
        <w:r w:rsidR="00465DCE" w:rsidRPr="00576AF8">
          <w:rPr>
            <w:webHidden/>
          </w:rPr>
          <w:fldChar w:fldCharType="separate"/>
        </w:r>
        <w:r w:rsidR="000071E3" w:rsidRPr="00576AF8">
          <w:rPr>
            <w:webHidden/>
          </w:rPr>
          <w:t>143</w:t>
        </w:r>
        <w:r w:rsidR="00465DCE" w:rsidRPr="00576AF8">
          <w:rPr>
            <w:webHidden/>
          </w:rPr>
          <w:fldChar w:fldCharType="end"/>
        </w:r>
      </w:hyperlink>
    </w:p>
    <w:p w14:paraId="0930607A" w14:textId="77777777" w:rsidR="00465DCE" w:rsidRPr="00576AF8" w:rsidRDefault="006334E7">
      <w:pPr>
        <w:pStyle w:val="TDC2"/>
        <w:rPr>
          <w:rFonts w:eastAsiaTheme="minorEastAsia"/>
          <w:sz w:val="22"/>
          <w:szCs w:val="22"/>
          <w:lang w:eastAsia="zh-CN" w:bidi="ar-SA"/>
        </w:rPr>
      </w:pPr>
      <w:hyperlink w:anchor="_Toc488944458" w:history="1">
        <w:r w:rsidR="00465DCE" w:rsidRPr="00576AF8">
          <w:rPr>
            <w:rStyle w:val="Hipervnculo"/>
          </w:rPr>
          <w:t>3.5</w:t>
        </w:r>
        <w:r w:rsidR="00465DCE" w:rsidRPr="00576AF8">
          <w:rPr>
            <w:rFonts w:eastAsiaTheme="minorEastAsia"/>
            <w:sz w:val="22"/>
            <w:szCs w:val="22"/>
            <w:lang w:eastAsia="zh-CN" w:bidi="ar-SA"/>
          </w:rPr>
          <w:tab/>
        </w:r>
        <w:r w:rsidR="00465DCE" w:rsidRPr="00576AF8">
          <w:rPr>
            <w:rStyle w:val="Hipervnculo"/>
          </w:rPr>
          <w:t>Bienes Fungibles</w:t>
        </w:r>
        <w:r w:rsidR="00465DCE" w:rsidRPr="00576AF8">
          <w:rPr>
            <w:webHidden/>
          </w:rPr>
          <w:tab/>
        </w:r>
        <w:r w:rsidR="00465DCE" w:rsidRPr="00576AF8">
          <w:rPr>
            <w:webHidden/>
          </w:rPr>
          <w:fldChar w:fldCharType="begin"/>
        </w:r>
        <w:r w:rsidR="00465DCE" w:rsidRPr="00576AF8">
          <w:rPr>
            <w:webHidden/>
          </w:rPr>
          <w:instrText xml:space="preserve"> PAGEREF _Toc488944458 \h </w:instrText>
        </w:r>
        <w:r w:rsidR="00465DCE" w:rsidRPr="00576AF8">
          <w:rPr>
            <w:webHidden/>
          </w:rPr>
        </w:r>
        <w:r w:rsidR="00465DCE" w:rsidRPr="00576AF8">
          <w:rPr>
            <w:webHidden/>
          </w:rPr>
          <w:fldChar w:fldCharType="separate"/>
        </w:r>
        <w:r w:rsidR="000071E3" w:rsidRPr="00576AF8">
          <w:rPr>
            <w:webHidden/>
          </w:rPr>
          <w:t>143</w:t>
        </w:r>
        <w:r w:rsidR="00465DCE" w:rsidRPr="00576AF8">
          <w:rPr>
            <w:webHidden/>
          </w:rPr>
          <w:fldChar w:fldCharType="end"/>
        </w:r>
      </w:hyperlink>
    </w:p>
    <w:p w14:paraId="1FF1D1AF" w14:textId="77777777" w:rsidR="00465DCE" w:rsidRPr="00576AF8" w:rsidRDefault="006334E7">
      <w:pPr>
        <w:pStyle w:val="TDC2"/>
        <w:rPr>
          <w:rFonts w:eastAsiaTheme="minorEastAsia"/>
          <w:sz w:val="22"/>
          <w:szCs w:val="22"/>
          <w:lang w:eastAsia="zh-CN" w:bidi="ar-SA"/>
        </w:rPr>
      </w:pPr>
      <w:hyperlink w:anchor="_Toc488944459" w:history="1">
        <w:r w:rsidR="00465DCE" w:rsidRPr="00576AF8">
          <w:rPr>
            <w:rStyle w:val="Hipervnculo"/>
          </w:rPr>
          <w:t>3.6</w:t>
        </w:r>
        <w:r w:rsidR="00465DCE" w:rsidRPr="00576AF8">
          <w:rPr>
            <w:rFonts w:eastAsiaTheme="minorEastAsia"/>
            <w:sz w:val="22"/>
            <w:szCs w:val="22"/>
            <w:lang w:eastAsia="zh-CN" w:bidi="ar-SA"/>
          </w:rPr>
          <w:tab/>
        </w:r>
        <w:r w:rsidR="00465DCE" w:rsidRPr="00576AF8">
          <w:rPr>
            <w:rStyle w:val="Hipervnculo"/>
          </w:rPr>
          <w:t>Otros Bienes No Informáticos</w:t>
        </w:r>
        <w:r w:rsidR="00465DCE" w:rsidRPr="00576AF8">
          <w:rPr>
            <w:webHidden/>
          </w:rPr>
          <w:tab/>
        </w:r>
        <w:r w:rsidR="00465DCE" w:rsidRPr="00576AF8">
          <w:rPr>
            <w:webHidden/>
          </w:rPr>
          <w:fldChar w:fldCharType="begin"/>
        </w:r>
        <w:r w:rsidR="00465DCE" w:rsidRPr="00576AF8">
          <w:rPr>
            <w:webHidden/>
          </w:rPr>
          <w:instrText xml:space="preserve"> PAGEREF _Toc488944459 \h </w:instrText>
        </w:r>
        <w:r w:rsidR="00465DCE" w:rsidRPr="00576AF8">
          <w:rPr>
            <w:webHidden/>
          </w:rPr>
        </w:r>
        <w:r w:rsidR="00465DCE" w:rsidRPr="00576AF8">
          <w:rPr>
            <w:webHidden/>
          </w:rPr>
          <w:fldChar w:fldCharType="separate"/>
        </w:r>
        <w:r w:rsidR="000071E3" w:rsidRPr="00576AF8">
          <w:rPr>
            <w:webHidden/>
          </w:rPr>
          <w:t>143</w:t>
        </w:r>
        <w:r w:rsidR="00465DCE" w:rsidRPr="00576AF8">
          <w:rPr>
            <w:webHidden/>
          </w:rPr>
          <w:fldChar w:fldCharType="end"/>
        </w:r>
      </w:hyperlink>
    </w:p>
    <w:p w14:paraId="1B05E43E" w14:textId="77777777" w:rsidR="00465DCE" w:rsidRPr="00576AF8" w:rsidRDefault="006334E7">
      <w:pPr>
        <w:pStyle w:val="TDC1"/>
        <w:rPr>
          <w:rFonts w:ascii="Times New Roman" w:eastAsiaTheme="minorEastAsia" w:hAnsi="Times New Roman"/>
          <w:b w:val="0"/>
          <w:noProof/>
          <w:sz w:val="22"/>
          <w:szCs w:val="22"/>
          <w:lang w:eastAsia="zh-CN" w:bidi="ar-SA"/>
        </w:rPr>
      </w:pPr>
      <w:hyperlink w:anchor="_Toc488944460" w:history="1">
        <w:r w:rsidR="00465DCE" w:rsidRPr="00576AF8">
          <w:rPr>
            <w:rStyle w:val="Hipervnculo"/>
            <w:rFonts w:ascii="Times New Roman" w:hAnsi="Times New Roman"/>
            <w:noProof/>
          </w:rPr>
          <w:t>E.  Requisitos de las pruebas y la garantía de calidad</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_Toc488944460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144</w:t>
        </w:r>
        <w:r w:rsidR="00465DCE" w:rsidRPr="00576AF8">
          <w:rPr>
            <w:rFonts w:ascii="Times New Roman" w:hAnsi="Times New Roman"/>
            <w:noProof/>
            <w:webHidden/>
          </w:rPr>
          <w:fldChar w:fldCharType="end"/>
        </w:r>
      </w:hyperlink>
    </w:p>
    <w:p w14:paraId="4C11E4CE" w14:textId="77777777" w:rsidR="00465DCE" w:rsidRPr="00576AF8" w:rsidRDefault="006334E7">
      <w:pPr>
        <w:pStyle w:val="TDC2"/>
        <w:rPr>
          <w:rFonts w:eastAsiaTheme="minorEastAsia"/>
          <w:sz w:val="22"/>
          <w:szCs w:val="22"/>
          <w:lang w:eastAsia="zh-CN" w:bidi="ar-SA"/>
        </w:rPr>
      </w:pPr>
      <w:hyperlink w:anchor="_Toc488944461" w:history="1">
        <w:r w:rsidR="00465DCE" w:rsidRPr="00576AF8">
          <w:rPr>
            <w:rStyle w:val="Hipervnculo"/>
          </w:rPr>
          <w:t>4.1</w:t>
        </w:r>
        <w:r w:rsidR="00465DCE" w:rsidRPr="00576AF8">
          <w:rPr>
            <w:rFonts w:eastAsiaTheme="minorEastAsia"/>
            <w:sz w:val="22"/>
            <w:szCs w:val="22"/>
            <w:lang w:eastAsia="zh-CN" w:bidi="ar-SA"/>
          </w:rPr>
          <w:tab/>
        </w:r>
        <w:r w:rsidR="00465DCE" w:rsidRPr="00576AF8">
          <w:rPr>
            <w:rStyle w:val="Hipervnculo"/>
          </w:rPr>
          <w:t>Inspecciones</w:t>
        </w:r>
        <w:r w:rsidR="00465DCE" w:rsidRPr="00576AF8">
          <w:rPr>
            <w:webHidden/>
          </w:rPr>
          <w:tab/>
        </w:r>
        <w:r w:rsidR="00465DCE" w:rsidRPr="00576AF8">
          <w:rPr>
            <w:webHidden/>
          </w:rPr>
          <w:fldChar w:fldCharType="begin"/>
        </w:r>
        <w:r w:rsidR="00465DCE" w:rsidRPr="00576AF8">
          <w:rPr>
            <w:webHidden/>
          </w:rPr>
          <w:instrText xml:space="preserve"> PAGEREF _Toc488944461 \h </w:instrText>
        </w:r>
        <w:r w:rsidR="00465DCE" w:rsidRPr="00576AF8">
          <w:rPr>
            <w:webHidden/>
          </w:rPr>
        </w:r>
        <w:r w:rsidR="00465DCE" w:rsidRPr="00576AF8">
          <w:rPr>
            <w:webHidden/>
          </w:rPr>
          <w:fldChar w:fldCharType="separate"/>
        </w:r>
        <w:r w:rsidR="000071E3" w:rsidRPr="00576AF8">
          <w:rPr>
            <w:webHidden/>
          </w:rPr>
          <w:t>144</w:t>
        </w:r>
        <w:r w:rsidR="00465DCE" w:rsidRPr="00576AF8">
          <w:rPr>
            <w:webHidden/>
          </w:rPr>
          <w:fldChar w:fldCharType="end"/>
        </w:r>
      </w:hyperlink>
    </w:p>
    <w:p w14:paraId="65839B36" w14:textId="77777777" w:rsidR="00465DCE" w:rsidRPr="00576AF8" w:rsidRDefault="006334E7">
      <w:pPr>
        <w:pStyle w:val="TDC2"/>
        <w:rPr>
          <w:rFonts w:eastAsiaTheme="minorEastAsia"/>
          <w:sz w:val="22"/>
          <w:szCs w:val="22"/>
          <w:lang w:eastAsia="zh-CN" w:bidi="ar-SA"/>
        </w:rPr>
      </w:pPr>
      <w:hyperlink w:anchor="_Toc488944462" w:history="1">
        <w:r w:rsidR="00465DCE" w:rsidRPr="00576AF8">
          <w:rPr>
            <w:rStyle w:val="Hipervnculo"/>
          </w:rPr>
          <w:t>4.2</w:t>
        </w:r>
        <w:r w:rsidR="00465DCE" w:rsidRPr="00576AF8">
          <w:rPr>
            <w:rFonts w:eastAsiaTheme="minorEastAsia"/>
            <w:sz w:val="22"/>
            <w:szCs w:val="22"/>
            <w:lang w:eastAsia="zh-CN" w:bidi="ar-SA"/>
          </w:rPr>
          <w:tab/>
        </w:r>
        <w:r w:rsidR="00465DCE" w:rsidRPr="00576AF8">
          <w:rPr>
            <w:rStyle w:val="Hipervnculo"/>
          </w:rPr>
          <w:t>Ensayos previos a la puesta en servicio</w:t>
        </w:r>
        <w:r w:rsidR="00465DCE" w:rsidRPr="00576AF8">
          <w:rPr>
            <w:webHidden/>
          </w:rPr>
          <w:tab/>
        </w:r>
        <w:r w:rsidR="00465DCE" w:rsidRPr="00576AF8">
          <w:rPr>
            <w:webHidden/>
          </w:rPr>
          <w:fldChar w:fldCharType="begin"/>
        </w:r>
        <w:r w:rsidR="00465DCE" w:rsidRPr="00576AF8">
          <w:rPr>
            <w:webHidden/>
          </w:rPr>
          <w:instrText xml:space="preserve"> PAGEREF _Toc488944462 \h </w:instrText>
        </w:r>
        <w:r w:rsidR="00465DCE" w:rsidRPr="00576AF8">
          <w:rPr>
            <w:webHidden/>
          </w:rPr>
        </w:r>
        <w:r w:rsidR="00465DCE" w:rsidRPr="00576AF8">
          <w:rPr>
            <w:webHidden/>
          </w:rPr>
          <w:fldChar w:fldCharType="separate"/>
        </w:r>
        <w:r w:rsidR="000071E3" w:rsidRPr="00576AF8">
          <w:rPr>
            <w:webHidden/>
          </w:rPr>
          <w:t>144</w:t>
        </w:r>
        <w:r w:rsidR="00465DCE" w:rsidRPr="00576AF8">
          <w:rPr>
            <w:webHidden/>
          </w:rPr>
          <w:fldChar w:fldCharType="end"/>
        </w:r>
      </w:hyperlink>
    </w:p>
    <w:p w14:paraId="04E6416F" w14:textId="77777777" w:rsidR="00465DCE" w:rsidRPr="00576AF8" w:rsidRDefault="006334E7">
      <w:pPr>
        <w:pStyle w:val="TDC2"/>
        <w:rPr>
          <w:rFonts w:eastAsiaTheme="minorEastAsia"/>
          <w:sz w:val="22"/>
          <w:szCs w:val="22"/>
          <w:lang w:eastAsia="zh-CN" w:bidi="ar-SA"/>
        </w:rPr>
      </w:pPr>
      <w:hyperlink w:anchor="_Toc488944463" w:history="1">
        <w:r w:rsidR="00465DCE" w:rsidRPr="00576AF8">
          <w:rPr>
            <w:rStyle w:val="Hipervnculo"/>
          </w:rPr>
          <w:t>4.3</w:t>
        </w:r>
        <w:r w:rsidR="00465DCE" w:rsidRPr="00576AF8">
          <w:rPr>
            <w:rFonts w:eastAsiaTheme="minorEastAsia"/>
            <w:sz w:val="22"/>
            <w:szCs w:val="22"/>
            <w:lang w:eastAsia="zh-CN" w:bidi="ar-SA"/>
          </w:rPr>
          <w:tab/>
        </w:r>
        <w:r w:rsidR="00465DCE" w:rsidRPr="00576AF8">
          <w:rPr>
            <w:rStyle w:val="Hipervnculo"/>
          </w:rPr>
          <w:t>Pruebas de aceptación operativa</w:t>
        </w:r>
        <w:r w:rsidR="00465DCE" w:rsidRPr="00576AF8">
          <w:rPr>
            <w:webHidden/>
          </w:rPr>
          <w:tab/>
        </w:r>
        <w:r w:rsidR="00465DCE" w:rsidRPr="00576AF8">
          <w:rPr>
            <w:webHidden/>
          </w:rPr>
          <w:fldChar w:fldCharType="begin"/>
        </w:r>
        <w:r w:rsidR="00465DCE" w:rsidRPr="00576AF8">
          <w:rPr>
            <w:webHidden/>
          </w:rPr>
          <w:instrText xml:space="preserve"> PAGEREF _Toc488944463 \h </w:instrText>
        </w:r>
        <w:r w:rsidR="00465DCE" w:rsidRPr="00576AF8">
          <w:rPr>
            <w:webHidden/>
          </w:rPr>
        </w:r>
        <w:r w:rsidR="00465DCE" w:rsidRPr="00576AF8">
          <w:rPr>
            <w:webHidden/>
          </w:rPr>
          <w:fldChar w:fldCharType="separate"/>
        </w:r>
        <w:r w:rsidR="000071E3" w:rsidRPr="00576AF8">
          <w:rPr>
            <w:webHidden/>
          </w:rPr>
          <w:t>144</w:t>
        </w:r>
        <w:r w:rsidR="00465DCE" w:rsidRPr="00576AF8">
          <w:rPr>
            <w:webHidden/>
          </w:rPr>
          <w:fldChar w:fldCharType="end"/>
        </w:r>
      </w:hyperlink>
    </w:p>
    <w:p w14:paraId="1068F87F" w14:textId="77777777" w:rsidR="00465DCE" w:rsidRPr="00576AF8" w:rsidRDefault="006334E7">
      <w:pPr>
        <w:pStyle w:val="TDC1"/>
        <w:rPr>
          <w:rFonts w:ascii="Times New Roman" w:eastAsiaTheme="minorEastAsia" w:hAnsi="Times New Roman"/>
          <w:b w:val="0"/>
          <w:noProof/>
          <w:sz w:val="22"/>
          <w:szCs w:val="22"/>
          <w:lang w:eastAsia="zh-CN" w:bidi="ar-SA"/>
        </w:rPr>
      </w:pPr>
      <w:hyperlink w:anchor="_Toc488944464" w:history="1">
        <w:r w:rsidR="00465DCE" w:rsidRPr="00576AF8">
          <w:rPr>
            <w:rStyle w:val="Hipervnculo"/>
            <w:rFonts w:ascii="Times New Roman" w:hAnsi="Times New Roman"/>
            <w:noProof/>
          </w:rPr>
          <w:t>F.  Especificaciones de los servicios:  Partida de gastos recurrentes</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_Toc488944464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145</w:t>
        </w:r>
        <w:r w:rsidR="00465DCE" w:rsidRPr="00576AF8">
          <w:rPr>
            <w:rFonts w:ascii="Times New Roman" w:hAnsi="Times New Roman"/>
            <w:noProof/>
            <w:webHidden/>
          </w:rPr>
          <w:fldChar w:fldCharType="end"/>
        </w:r>
      </w:hyperlink>
    </w:p>
    <w:p w14:paraId="2611EA51" w14:textId="77777777" w:rsidR="00465DCE" w:rsidRPr="00576AF8" w:rsidRDefault="006334E7">
      <w:pPr>
        <w:pStyle w:val="TDC2"/>
        <w:rPr>
          <w:rFonts w:eastAsiaTheme="minorEastAsia"/>
          <w:sz w:val="22"/>
          <w:szCs w:val="22"/>
          <w:lang w:eastAsia="zh-CN" w:bidi="ar-SA"/>
        </w:rPr>
      </w:pPr>
      <w:hyperlink w:anchor="_Toc488944465" w:history="1">
        <w:r w:rsidR="00465DCE" w:rsidRPr="00576AF8">
          <w:rPr>
            <w:rStyle w:val="Hipervnculo"/>
          </w:rPr>
          <w:t>5.1</w:t>
        </w:r>
        <w:r w:rsidR="00465DCE" w:rsidRPr="00576AF8">
          <w:rPr>
            <w:rFonts w:eastAsiaTheme="minorEastAsia"/>
            <w:sz w:val="22"/>
            <w:szCs w:val="22"/>
            <w:lang w:eastAsia="zh-CN" w:bidi="ar-SA"/>
          </w:rPr>
          <w:tab/>
        </w:r>
        <w:r w:rsidR="00465DCE" w:rsidRPr="00576AF8">
          <w:rPr>
            <w:rStyle w:val="Hipervnculo"/>
          </w:rPr>
          <w:t>Reparación de los defectos en garantía</w:t>
        </w:r>
        <w:r w:rsidR="00465DCE" w:rsidRPr="00576AF8">
          <w:rPr>
            <w:webHidden/>
          </w:rPr>
          <w:tab/>
        </w:r>
        <w:r w:rsidR="00465DCE" w:rsidRPr="00576AF8">
          <w:rPr>
            <w:webHidden/>
          </w:rPr>
          <w:fldChar w:fldCharType="begin"/>
        </w:r>
        <w:r w:rsidR="00465DCE" w:rsidRPr="00576AF8">
          <w:rPr>
            <w:webHidden/>
          </w:rPr>
          <w:instrText xml:space="preserve"> PAGEREF _Toc488944465 \h </w:instrText>
        </w:r>
        <w:r w:rsidR="00465DCE" w:rsidRPr="00576AF8">
          <w:rPr>
            <w:webHidden/>
          </w:rPr>
        </w:r>
        <w:r w:rsidR="00465DCE" w:rsidRPr="00576AF8">
          <w:rPr>
            <w:webHidden/>
          </w:rPr>
          <w:fldChar w:fldCharType="separate"/>
        </w:r>
        <w:r w:rsidR="000071E3" w:rsidRPr="00576AF8">
          <w:rPr>
            <w:webHidden/>
          </w:rPr>
          <w:t>145</w:t>
        </w:r>
        <w:r w:rsidR="00465DCE" w:rsidRPr="00576AF8">
          <w:rPr>
            <w:webHidden/>
          </w:rPr>
          <w:fldChar w:fldCharType="end"/>
        </w:r>
      </w:hyperlink>
    </w:p>
    <w:p w14:paraId="1856F886" w14:textId="77777777" w:rsidR="00465DCE" w:rsidRPr="00576AF8" w:rsidRDefault="006334E7">
      <w:pPr>
        <w:pStyle w:val="TDC2"/>
        <w:rPr>
          <w:rFonts w:eastAsiaTheme="minorEastAsia"/>
          <w:sz w:val="22"/>
          <w:szCs w:val="22"/>
          <w:lang w:eastAsia="zh-CN" w:bidi="ar-SA"/>
        </w:rPr>
      </w:pPr>
      <w:hyperlink w:anchor="_Toc488944466" w:history="1">
        <w:r w:rsidR="00465DCE" w:rsidRPr="00576AF8">
          <w:rPr>
            <w:rStyle w:val="Hipervnculo"/>
          </w:rPr>
          <w:t>5.2</w:t>
        </w:r>
        <w:r w:rsidR="00465DCE" w:rsidRPr="00576AF8">
          <w:rPr>
            <w:rFonts w:eastAsiaTheme="minorEastAsia"/>
            <w:sz w:val="22"/>
            <w:szCs w:val="22"/>
            <w:lang w:eastAsia="zh-CN" w:bidi="ar-SA"/>
          </w:rPr>
          <w:tab/>
        </w:r>
        <w:r w:rsidR="00465DCE" w:rsidRPr="00576AF8">
          <w:rPr>
            <w:rStyle w:val="Hipervnculo"/>
          </w:rPr>
          <w:t>Apoyo técnico</w:t>
        </w:r>
        <w:r w:rsidR="00465DCE" w:rsidRPr="00576AF8">
          <w:rPr>
            <w:webHidden/>
          </w:rPr>
          <w:tab/>
        </w:r>
        <w:r w:rsidR="00465DCE" w:rsidRPr="00576AF8">
          <w:rPr>
            <w:webHidden/>
          </w:rPr>
          <w:fldChar w:fldCharType="begin"/>
        </w:r>
        <w:r w:rsidR="00465DCE" w:rsidRPr="00576AF8">
          <w:rPr>
            <w:webHidden/>
          </w:rPr>
          <w:instrText xml:space="preserve"> PAGEREF _Toc488944466 \h </w:instrText>
        </w:r>
        <w:r w:rsidR="00465DCE" w:rsidRPr="00576AF8">
          <w:rPr>
            <w:webHidden/>
          </w:rPr>
        </w:r>
        <w:r w:rsidR="00465DCE" w:rsidRPr="00576AF8">
          <w:rPr>
            <w:webHidden/>
          </w:rPr>
          <w:fldChar w:fldCharType="separate"/>
        </w:r>
        <w:r w:rsidR="000071E3" w:rsidRPr="00576AF8">
          <w:rPr>
            <w:webHidden/>
          </w:rPr>
          <w:t>145</w:t>
        </w:r>
        <w:r w:rsidR="00465DCE" w:rsidRPr="00576AF8">
          <w:rPr>
            <w:webHidden/>
          </w:rPr>
          <w:fldChar w:fldCharType="end"/>
        </w:r>
      </w:hyperlink>
    </w:p>
    <w:p w14:paraId="5B88F103" w14:textId="77777777" w:rsidR="001A409C" w:rsidRPr="00576AF8" w:rsidRDefault="006334E7" w:rsidP="00966A37">
      <w:pPr>
        <w:pStyle w:val="TDC2"/>
        <w:rPr>
          <w:b/>
          <w:sz w:val="36"/>
          <w:szCs w:val="36"/>
        </w:rPr>
      </w:pPr>
      <w:hyperlink w:anchor="_Toc488944467" w:history="1">
        <w:r w:rsidR="00465DCE" w:rsidRPr="00576AF8">
          <w:rPr>
            <w:rStyle w:val="Hipervnculo"/>
          </w:rPr>
          <w:t>5.3</w:t>
        </w:r>
        <w:r w:rsidR="00465DCE" w:rsidRPr="00576AF8">
          <w:rPr>
            <w:rFonts w:eastAsiaTheme="minorEastAsia"/>
            <w:sz w:val="22"/>
            <w:szCs w:val="22"/>
            <w:lang w:eastAsia="zh-CN" w:bidi="ar-SA"/>
          </w:rPr>
          <w:tab/>
        </w:r>
        <w:r w:rsidR="00465DCE" w:rsidRPr="00576AF8">
          <w:rPr>
            <w:rStyle w:val="Hipervnculo"/>
          </w:rPr>
          <w:t>Requisitos del equipo técnico del Proveedor</w:t>
        </w:r>
        <w:r w:rsidR="00465DCE" w:rsidRPr="00576AF8">
          <w:rPr>
            <w:webHidden/>
          </w:rPr>
          <w:tab/>
        </w:r>
        <w:r w:rsidR="00465DCE" w:rsidRPr="00576AF8">
          <w:rPr>
            <w:webHidden/>
          </w:rPr>
          <w:fldChar w:fldCharType="begin"/>
        </w:r>
        <w:r w:rsidR="00465DCE" w:rsidRPr="00576AF8">
          <w:rPr>
            <w:webHidden/>
          </w:rPr>
          <w:instrText xml:space="preserve"> PAGEREF _Toc488944467 \h </w:instrText>
        </w:r>
        <w:r w:rsidR="00465DCE" w:rsidRPr="00576AF8">
          <w:rPr>
            <w:webHidden/>
          </w:rPr>
        </w:r>
        <w:r w:rsidR="00465DCE" w:rsidRPr="00576AF8">
          <w:rPr>
            <w:webHidden/>
          </w:rPr>
          <w:fldChar w:fldCharType="separate"/>
        </w:r>
        <w:r w:rsidR="000071E3" w:rsidRPr="00576AF8">
          <w:rPr>
            <w:webHidden/>
          </w:rPr>
          <w:t>146</w:t>
        </w:r>
        <w:r w:rsidR="00465DCE" w:rsidRPr="00576AF8">
          <w:rPr>
            <w:webHidden/>
          </w:rPr>
          <w:fldChar w:fldCharType="end"/>
        </w:r>
      </w:hyperlink>
      <w:r w:rsidR="001A409C" w:rsidRPr="00576AF8">
        <w:rPr>
          <w:b/>
          <w:sz w:val="36"/>
          <w:szCs w:val="36"/>
        </w:rPr>
        <w:fldChar w:fldCharType="end"/>
      </w:r>
      <w:r w:rsidR="001A409C" w:rsidRPr="00576AF8">
        <w:rPr>
          <w:b/>
          <w:sz w:val="36"/>
          <w:szCs w:val="36"/>
        </w:rPr>
        <w:br w:type="page"/>
      </w:r>
    </w:p>
    <w:p w14:paraId="2F92F31B" w14:textId="77777777" w:rsidR="00356E4C" w:rsidRPr="00576AF8" w:rsidRDefault="00356E4C" w:rsidP="009C4244">
      <w:pPr>
        <w:pStyle w:val="TOC4-1"/>
        <w:ind w:right="4"/>
        <w:rPr>
          <w:rFonts w:ascii="Times New Roman" w:hAnsi="Times New Roman"/>
        </w:rPr>
      </w:pPr>
      <w:bookmarkStart w:id="578" w:name="_Toc521498248"/>
      <w:bookmarkStart w:id="579" w:name="_Toc454958714"/>
      <w:bookmarkStart w:id="580" w:name="_Toc476310089"/>
      <w:bookmarkStart w:id="581" w:name="_Toc482896418"/>
      <w:bookmarkStart w:id="582" w:name="_Toc488944436"/>
      <w:r w:rsidRPr="00576AF8">
        <w:rPr>
          <w:rFonts w:ascii="Times New Roman" w:hAnsi="Times New Roman"/>
        </w:rPr>
        <w:lastRenderedPageBreak/>
        <w:t>A.</w:t>
      </w:r>
      <w:r w:rsidR="009C4244" w:rsidRPr="00576AF8">
        <w:rPr>
          <w:rFonts w:ascii="Times New Roman" w:hAnsi="Times New Roman"/>
        </w:rPr>
        <w:t xml:space="preserve">  </w:t>
      </w:r>
      <w:r w:rsidRPr="00576AF8">
        <w:rPr>
          <w:rFonts w:ascii="Times New Roman" w:hAnsi="Times New Roman"/>
        </w:rPr>
        <w:t xml:space="preserve">Siglas </w:t>
      </w:r>
      <w:r w:rsidR="00672C5C" w:rsidRPr="00576AF8">
        <w:rPr>
          <w:rFonts w:ascii="Times New Roman" w:hAnsi="Times New Roman"/>
        </w:rPr>
        <w:t>u</w:t>
      </w:r>
      <w:r w:rsidRPr="00576AF8">
        <w:rPr>
          <w:rFonts w:ascii="Times New Roman" w:hAnsi="Times New Roman"/>
        </w:rPr>
        <w:t xml:space="preserve">tilizadas en los </w:t>
      </w:r>
      <w:r w:rsidR="00672C5C" w:rsidRPr="00576AF8">
        <w:rPr>
          <w:rFonts w:ascii="Times New Roman" w:hAnsi="Times New Roman"/>
        </w:rPr>
        <w:t>r</w:t>
      </w:r>
      <w:r w:rsidRPr="00576AF8">
        <w:rPr>
          <w:rFonts w:ascii="Times New Roman" w:hAnsi="Times New Roman"/>
        </w:rPr>
        <w:t xml:space="preserve">equisitos </w:t>
      </w:r>
      <w:r w:rsidR="00672C5C" w:rsidRPr="00576AF8">
        <w:rPr>
          <w:rFonts w:ascii="Times New Roman" w:hAnsi="Times New Roman"/>
        </w:rPr>
        <w:t>t</w:t>
      </w:r>
      <w:r w:rsidRPr="00576AF8">
        <w:rPr>
          <w:rFonts w:ascii="Times New Roman" w:hAnsi="Times New Roman"/>
        </w:rPr>
        <w:t>écnicos</w:t>
      </w:r>
      <w:bookmarkEnd w:id="578"/>
      <w:bookmarkEnd w:id="579"/>
      <w:bookmarkEnd w:id="580"/>
      <w:bookmarkEnd w:id="581"/>
      <w:bookmarkEnd w:id="582"/>
    </w:p>
    <w:p w14:paraId="338525AE" w14:textId="77777777" w:rsidR="00356E4C" w:rsidRPr="00576AF8" w:rsidRDefault="00356E4C" w:rsidP="009C4244">
      <w:pPr>
        <w:pStyle w:val="TOC4-2"/>
        <w:ind w:right="4"/>
        <w:rPr>
          <w:rFonts w:ascii="Times New Roman" w:hAnsi="Times New Roman"/>
        </w:rPr>
      </w:pPr>
      <w:bookmarkStart w:id="583" w:name="_Toc454958715"/>
      <w:bookmarkStart w:id="584" w:name="_Toc476310090"/>
      <w:bookmarkStart w:id="585" w:name="_Toc482896419"/>
      <w:bookmarkStart w:id="586" w:name="_Toc488944437"/>
      <w:bookmarkStart w:id="587" w:name="_Toc521498249"/>
      <w:r w:rsidRPr="00576AF8">
        <w:rPr>
          <w:rFonts w:ascii="Times New Roman" w:hAnsi="Times New Roman"/>
        </w:rPr>
        <w:t>0.1</w:t>
      </w:r>
      <w:r w:rsidRPr="00576AF8">
        <w:rPr>
          <w:rFonts w:ascii="Times New Roman" w:hAnsi="Times New Roman"/>
        </w:rPr>
        <w:tab/>
        <w:t xml:space="preserve">Cuadro de </w:t>
      </w:r>
      <w:r w:rsidR="00682E37" w:rsidRPr="00576AF8">
        <w:rPr>
          <w:rFonts w:ascii="Times New Roman" w:hAnsi="Times New Roman"/>
        </w:rPr>
        <w:t>s</w:t>
      </w:r>
      <w:r w:rsidRPr="00576AF8">
        <w:rPr>
          <w:rFonts w:ascii="Times New Roman" w:hAnsi="Times New Roman"/>
        </w:rPr>
        <w:t>iglas</w:t>
      </w:r>
      <w:bookmarkEnd w:id="583"/>
      <w:bookmarkEnd w:id="584"/>
      <w:bookmarkEnd w:id="585"/>
      <w:bookmarkEnd w:id="586"/>
    </w:p>
    <w:bookmarkEnd w:id="439"/>
    <w:bookmarkEnd w:id="440"/>
    <w:bookmarkEnd w:id="441"/>
    <w:bookmarkEnd w:id="442"/>
    <w:bookmarkEnd w:id="443"/>
    <w:bookmarkEnd w:id="587"/>
    <w:p w14:paraId="16035A02" w14:textId="77777777" w:rsidR="00CA0A00" w:rsidRPr="00576AF8" w:rsidRDefault="00CA0A00" w:rsidP="00CA0A00">
      <w:pPr>
        <w:rPr>
          <w:b/>
          <w:szCs w:val="24"/>
        </w:rPr>
      </w:pPr>
      <w:r w:rsidRPr="00576AF8">
        <w:rPr>
          <w:b/>
          <w:szCs w:val="24"/>
        </w:rPr>
        <w:t>Cuadro de siglas</w:t>
      </w:r>
    </w:p>
    <w:tbl>
      <w:tblP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29" w:type="dxa"/>
          <w:right w:w="29" w:type="dxa"/>
        </w:tblCellMar>
        <w:tblLook w:val="0000" w:firstRow="0" w:lastRow="0" w:firstColumn="0" w:lastColumn="0" w:noHBand="0" w:noVBand="0"/>
      </w:tblPr>
      <w:tblGrid>
        <w:gridCol w:w="1365"/>
        <w:gridCol w:w="8369"/>
      </w:tblGrid>
      <w:tr w:rsidR="00CA0A00" w:rsidRPr="00576AF8" w14:paraId="54564EE7" w14:textId="77777777" w:rsidTr="009F6B78">
        <w:trPr>
          <w:cantSplit/>
          <w:trHeight w:val="428"/>
          <w:tblHeader/>
        </w:trPr>
        <w:tc>
          <w:tcPr>
            <w:tcW w:w="0" w:type="auto"/>
            <w:vAlign w:val="center"/>
          </w:tcPr>
          <w:p w14:paraId="19A0B161" w14:textId="77777777" w:rsidR="00CA0A00" w:rsidRPr="00576AF8" w:rsidRDefault="00CA0A00" w:rsidP="009F6B78">
            <w:pPr>
              <w:spacing w:before="120"/>
              <w:ind w:left="142" w:right="-360" w:firstLine="142"/>
              <w:jc w:val="left"/>
              <w:rPr>
                <w:szCs w:val="24"/>
              </w:rPr>
            </w:pPr>
            <w:r w:rsidRPr="00576AF8">
              <w:rPr>
                <w:szCs w:val="24"/>
              </w:rPr>
              <w:t xml:space="preserve">Término </w:t>
            </w:r>
          </w:p>
        </w:tc>
        <w:tc>
          <w:tcPr>
            <w:tcW w:w="0" w:type="auto"/>
            <w:vAlign w:val="center"/>
          </w:tcPr>
          <w:p w14:paraId="44C1A7FC" w14:textId="77777777" w:rsidR="00CA0A00" w:rsidRPr="00576AF8" w:rsidRDefault="00CA0A00" w:rsidP="009F6B78">
            <w:pPr>
              <w:spacing w:before="120"/>
              <w:ind w:left="271"/>
              <w:jc w:val="left"/>
              <w:rPr>
                <w:szCs w:val="24"/>
              </w:rPr>
            </w:pPr>
            <w:r w:rsidRPr="00576AF8">
              <w:rPr>
                <w:szCs w:val="24"/>
              </w:rPr>
              <w:t xml:space="preserve">Abreviatura </w:t>
            </w:r>
          </w:p>
        </w:tc>
      </w:tr>
      <w:tr w:rsidR="00CA0A00" w:rsidRPr="00576AF8" w14:paraId="50F23F2C" w14:textId="77777777" w:rsidTr="009F6B78">
        <w:trPr>
          <w:cantSplit/>
          <w:trHeight w:val="222"/>
        </w:trPr>
        <w:tc>
          <w:tcPr>
            <w:tcW w:w="0" w:type="auto"/>
            <w:vAlign w:val="center"/>
          </w:tcPr>
          <w:p w14:paraId="0E1DE464" w14:textId="77777777" w:rsidR="00CA0A00" w:rsidRPr="00576AF8" w:rsidRDefault="00CA0A00" w:rsidP="009F6B78">
            <w:pPr>
              <w:spacing w:before="60" w:after="60"/>
              <w:ind w:right="-360"/>
              <w:jc w:val="left"/>
              <w:rPr>
                <w:szCs w:val="24"/>
              </w:rPr>
            </w:pPr>
            <w:r w:rsidRPr="00576AF8">
              <w:rPr>
                <w:color w:val="000000"/>
                <w:szCs w:val="24"/>
              </w:rPr>
              <w:t>ACE</w:t>
            </w:r>
          </w:p>
        </w:tc>
        <w:tc>
          <w:tcPr>
            <w:tcW w:w="0" w:type="auto"/>
            <w:vAlign w:val="center"/>
          </w:tcPr>
          <w:p w14:paraId="2BCF7618" w14:textId="77777777" w:rsidR="00CA0A00" w:rsidRPr="00576AF8" w:rsidRDefault="00CA0A00" w:rsidP="009F6B78">
            <w:pPr>
              <w:jc w:val="left"/>
              <w:rPr>
                <w:szCs w:val="24"/>
              </w:rPr>
            </w:pPr>
            <w:r w:rsidRPr="00576AF8">
              <w:rPr>
                <w:color w:val="000000"/>
                <w:szCs w:val="24"/>
              </w:rPr>
              <w:t>Area Control Error</w:t>
            </w:r>
          </w:p>
        </w:tc>
      </w:tr>
      <w:tr w:rsidR="00CA0A00" w:rsidRPr="00576AF8" w14:paraId="568CD76D" w14:textId="77777777" w:rsidTr="009F6B78">
        <w:trPr>
          <w:cantSplit/>
          <w:trHeight w:val="521"/>
        </w:trPr>
        <w:tc>
          <w:tcPr>
            <w:tcW w:w="0" w:type="auto"/>
            <w:vAlign w:val="center"/>
          </w:tcPr>
          <w:p w14:paraId="786E6D9F" w14:textId="77777777" w:rsidR="00CA0A00" w:rsidRPr="00576AF8" w:rsidRDefault="00CA0A00" w:rsidP="009F6B78">
            <w:pPr>
              <w:spacing w:before="60" w:after="60"/>
              <w:ind w:right="-360"/>
              <w:jc w:val="left"/>
              <w:rPr>
                <w:szCs w:val="24"/>
              </w:rPr>
            </w:pPr>
            <w:r w:rsidRPr="00576AF8">
              <w:rPr>
                <w:color w:val="000000"/>
                <w:szCs w:val="24"/>
              </w:rPr>
              <w:t>ACL</w:t>
            </w:r>
          </w:p>
        </w:tc>
        <w:tc>
          <w:tcPr>
            <w:tcW w:w="0" w:type="auto"/>
            <w:vAlign w:val="center"/>
          </w:tcPr>
          <w:p w14:paraId="3F706985" w14:textId="77777777" w:rsidR="00CA0A00" w:rsidRPr="00576AF8" w:rsidRDefault="00CA0A00" w:rsidP="009F6B78">
            <w:pPr>
              <w:spacing w:before="60" w:after="60"/>
              <w:jc w:val="left"/>
              <w:rPr>
                <w:szCs w:val="24"/>
              </w:rPr>
            </w:pPr>
            <w:r w:rsidRPr="00576AF8">
              <w:rPr>
                <w:color w:val="000000"/>
                <w:szCs w:val="24"/>
              </w:rPr>
              <w:t>Access Control List</w:t>
            </w:r>
          </w:p>
        </w:tc>
      </w:tr>
      <w:tr w:rsidR="00CA0A00" w:rsidRPr="00576AF8" w14:paraId="3BBA42A8" w14:textId="77777777" w:rsidTr="009F6B78">
        <w:trPr>
          <w:cantSplit/>
          <w:trHeight w:val="508"/>
        </w:trPr>
        <w:tc>
          <w:tcPr>
            <w:tcW w:w="0" w:type="auto"/>
            <w:vAlign w:val="center"/>
          </w:tcPr>
          <w:p w14:paraId="74314EB4" w14:textId="77777777" w:rsidR="00CA0A00" w:rsidRPr="00576AF8" w:rsidRDefault="00CA0A00" w:rsidP="009F6B78">
            <w:pPr>
              <w:spacing w:before="60" w:after="60"/>
              <w:ind w:right="-360"/>
              <w:jc w:val="left"/>
              <w:rPr>
                <w:szCs w:val="24"/>
              </w:rPr>
            </w:pPr>
            <w:r w:rsidRPr="00576AF8">
              <w:rPr>
                <w:color w:val="000000"/>
                <w:szCs w:val="24"/>
              </w:rPr>
              <w:t>AES</w:t>
            </w:r>
          </w:p>
        </w:tc>
        <w:tc>
          <w:tcPr>
            <w:tcW w:w="0" w:type="auto"/>
            <w:vAlign w:val="center"/>
          </w:tcPr>
          <w:p w14:paraId="22A554FD" w14:textId="77777777" w:rsidR="00CA0A00" w:rsidRPr="00576AF8" w:rsidRDefault="00CA0A00" w:rsidP="009F6B78">
            <w:pPr>
              <w:spacing w:before="60" w:after="60"/>
              <w:jc w:val="left"/>
              <w:rPr>
                <w:szCs w:val="24"/>
              </w:rPr>
            </w:pPr>
            <w:r w:rsidRPr="00576AF8">
              <w:rPr>
                <w:color w:val="000000"/>
                <w:szCs w:val="24"/>
              </w:rPr>
              <w:t>Advanced Encryption Standard</w:t>
            </w:r>
          </w:p>
        </w:tc>
      </w:tr>
      <w:tr w:rsidR="00CA0A00" w:rsidRPr="00576AF8" w14:paraId="4BD954A3" w14:textId="77777777" w:rsidTr="009F6B78">
        <w:trPr>
          <w:cantSplit/>
          <w:trHeight w:val="521"/>
        </w:trPr>
        <w:tc>
          <w:tcPr>
            <w:tcW w:w="0" w:type="auto"/>
            <w:vAlign w:val="center"/>
          </w:tcPr>
          <w:p w14:paraId="739BEB37" w14:textId="77777777" w:rsidR="00CA0A00" w:rsidRPr="00576AF8" w:rsidRDefault="00CA0A00" w:rsidP="009F6B78">
            <w:pPr>
              <w:spacing w:before="60" w:after="60"/>
              <w:ind w:right="-360"/>
              <w:jc w:val="left"/>
              <w:rPr>
                <w:szCs w:val="24"/>
              </w:rPr>
            </w:pPr>
            <w:r w:rsidRPr="00576AF8">
              <w:rPr>
                <w:color w:val="000000"/>
                <w:szCs w:val="24"/>
              </w:rPr>
              <w:t>AGC</w:t>
            </w:r>
          </w:p>
        </w:tc>
        <w:tc>
          <w:tcPr>
            <w:tcW w:w="0" w:type="auto"/>
            <w:vAlign w:val="center"/>
          </w:tcPr>
          <w:p w14:paraId="3F9B820F" w14:textId="77777777" w:rsidR="00CA0A00" w:rsidRPr="00576AF8" w:rsidRDefault="00CA0A00" w:rsidP="009F6B78">
            <w:pPr>
              <w:spacing w:before="60" w:after="60"/>
              <w:jc w:val="left"/>
              <w:rPr>
                <w:szCs w:val="24"/>
              </w:rPr>
            </w:pPr>
            <w:r w:rsidRPr="00576AF8">
              <w:rPr>
                <w:color w:val="000000"/>
                <w:szCs w:val="24"/>
              </w:rPr>
              <w:t>Automatic Generation Control</w:t>
            </w:r>
          </w:p>
        </w:tc>
      </w:tr>
      <w:tr w:rsidR="00CA0A00" w:rsidRPr="00576AF8" w14:paraId="73D94FC4" w14:textId="77777777" w:rsidTr="009F6B78">
        <w:trPr>
          <w:cantSplit/>
          <w:trHeight w:val="307"/>
        </w:trPr>
        <w:tc>
          <w:tcPr>
            <w:tcW w:w="0" w:type="auto"/>
            <w:vAlign w:val="center"/>
          </w:tcPr>
          <w:p w14:paraId="6B90CD39" w14:textId="77777777" w:rsidR="00CA0A00" w:rsidRPr="00576AF8" w:rsidRDefault="00CA0A00" w:rsidP="009F6B78">
            <w:pPr>
              <w:spacing w:before="60" w:after="60"/>
              <w:ind w:right="-360"/>
              <w:jc w:val="left"/>
              <w:rPr>
                <w:szCs w:val="24"/>
              </w:rPr>
            </w:pPr>
            <w:r w:rsidRPr="00576AF8">
              <w:rPr>
                <w:color w:val="000000"/>
                <w:szCs w:val="24"/>
              </w:rPr>
              <w:t>AMI</w:t>
            </w:r>
          </w:p>
        </w:tc>
        <w:tc>
          <w:tcPr>
            <w:tcW w:w="0" w:type="auto"/>
            <w:vAlign w:val="center"/>
          </w:tcPr>
          <w:p w14:paraId="2D1E0602" w14:textId="77777777" w:rsidR="00CA0A00" w:rsidRPr="00576AF8" w:rsidRDefault="00CA0A00" w:rsidP="009F6B78">
            <w:pPr>
              <w:spacing w:before="60" w:after="60"/>
              <w:jc w:val="left"/>
              <w:rPr>
                <w:szCs w:val="24"/>
              </w:rPr>
            </w:pPr>
            <w:r w:rsidRPr="00576AF8">
              <w:rPr>
                <w:color w:val="000000"/>
                <w:szCs w:val="24"/>
              </w:rPr>
              <w:t>Advanced Metering Infrastructure</w:t>
            </w:r>
          </w:p>
        </w:tc>
      </w:tr>
      <w:tr w:rsidR="00CA0A00" w:rsidRPr="00576AF8" w14:paraId="0FF1DD46" w14:textId="77777777" w:rsidTr="009F6B78">
        <w:trPr>
          <w:cantSplit/>
          <w:trHeight w:val="521"/>
        </w:trPr>
        <w:tc>
          <w:tcPr>
            <w:tcW w:w="0" w:type="auto"/>
            <w:vAlign w:val="center"/>
          </w:tcPr>
          <w:p w14:paraId="72D6189F" w14:textId="77777777" w:rsidR="00CA0A00" w:rsidRPr="00576AF8" w:rsidRDefault="00CA0A00" w:rsidP="009F6B78">
            <w:pPr>
              <w:spacing w:before="60" w:after="60"/>
              <w:ind w:right="-360"/>
              <w:jc w:val="left"/>
              <w:rPr>
                <w:szCs w:val="24"/>
              </w:rPr>
            </w:pPr>
            <w:r w:rsidRPr="00576AF8">
              <w:rPr>
                <w:color w:val="000000"/>
                <w:szCs w:val="24"/>
              </w:rPr>
              <w:t>ANSI</w:t>
            </w:r>
          </w:p>
        </w:tc>
        <w:tc>
          <w:tcPr>
            <w:tcW w:w="0" w:type="auto"/>
            <w:vAlign w:val="center"/>
          </w:tcPr>
          <w:p w14:paraId="1A7B86DF" w14:textId="77777777" w:rsidR="00CA0A00" w:rsidRPr="00576AF8" w:rsidRDefault="00CA0A00" w:rsidP="009F6B78">
            <w:pPr>
              <w:spacing w:before="60" w:after="60"/>
              <w:jc w:val="left"/>
              <w:rPr>
                <w:szCs w:val="24"/>
              </w:rPr>
            </w:pPr>
            <w:r w:rsidRPr="00576AF8">
              <w:rPr>
                <w:color w:val="000000"/>
                <w:szCs w:val="24"/>
              </w:rPr>
              <w:t>American National Standards Institute</w:t>
            </w:r>
          </w:p>
        </w:tc>
      </w:tr>
      <w:tr w:rsidR="00CA0A00" w:rsidRPr="00576AF8" w14:paraId="57750F76" w14:textId="77777777" w:rsidTr="009F6B78">
        <w:trPr>
          <w:cantSplit/>
          <w:trHeight w:val="307"/>
        </w:trPr>
        <w:tc>
          <w:tcPr>
            <w:tcW w:w="0" w:type="auto"/>
            <w:vAlign w:val="center"/>
          </w:tcPr>
          <w:p w14:paraId="4CC28C1D" w14:textId="77777777" w:rsidR="00CA0A00" w:rsidRPr="00576AF8" w:rsidRDefault="00CA0A00" w:rsidP="009F6B78">
            <w:pPr>
              <w:spacing w:before="60" w:after="60"/>
              <w:ind w:right="-360"/>
              <w:jc w:val="left"/>
              <w:rPr>
                <w:szCs w:val="24"/>
              </w:rPr>
            </w:pPr>
            <w:r w:rsidRPr="00576AF8">
              <w:rPr>
                <w:color w:val="000000"/>
                <w:szCs w:val="24"/>
              </w:rPr>
              <w:t>AOR</w:t>
            </w:r>
          </w:p>
        </w:tc>
        <w:tc>
          <w:tcPr>
            <w:tcW w:w="0" w:type="auto"/>
            <w:vAlign w:val="center"/>
          </w:tcPr>
          <w:p w14:paraId="5E860B86" w14:textId="77777777" w:rsidR="00CA0A00" w:rsidRPr="00576AF8" w:rsidRDefault="00CA0A00" w:rsidP="009F6B78">
            <w:pPr>
              <w:spacing w:before="60" w:after="60"/>
              <w:jc w:val="left"/>
              <w:rPr>
                <w:szCs w:val="24"/>
              </w:rPr>
            </w:pPr>
            <w:r w:rsidRPr="00576AF8">
              <w:rPr>
                <w:color w:val="000000"/>
                <w:szCs w:val="24"/>
              </w:rPr>
              <w:t>Area of Responsability</w:t>
            </w:r>
          </w:p>
        </w:tc>
      </w:tr>
      <w:tr w:rsidR="00CA0A00" w:rsidRPr="00576AF8" w14:paraId="3BAEB30D" w14:textId="77777777" w:rsidTr="009F6B78">
        <w:trPr>
          <w:cantSplit/>
          <w:trHeight w:val="521"/>
        </w:trPr>
        <w:tc>
          <w:tcPr>
            <w:tcW w:w="0" w:type="auto"/>
            <w:vAlign w:val="center"/>
          </w:tcPr>
          <w:p w14:paraId="40DEFE67" w14:textId="77777777" w:rsidR="00CA0A00" w:rsidRPr="00576AF8" w:rsidRDefault="00CA0A00" w:rsidP="009F6B78">
            <w:pPr>
              <w:spacing w:before="60" w:after="60"/>
              <w:ind w:right="-360"/>
              <w:jc w:val="left"/>
              <w:rPr>
                <w:szCs w:val="24"/>
              </w:rPr>
            </w:pPr>
            <w:r w:rsidRPr="00576AF8">
              <w:rPr>
                <w:color w:val="000000"/>
                <w:szCs w:val="24"/>
              </w:rPr>
              <w:t>API</w:t>
            </w:r>
          </w:p>
        </w:tc>
        <w:tc>
          <w:tcPr>
            <w:tcW w:w="0" w:type="auto"/>
            <w:vAlign w:val="center"/>
          </w:tcPr>
          <w:p w14:paraId="45D29BC5" w14:textId="77777777" w:rsidR="00CA0A00" w:rsidRPr="00576AF8" w:rsidRDefault="00CA0A00" w:rsidP="009F6B78">
            <w:pPr>
              <w:spacing w:before="60" w:after="60"/>
              <w:jc w:val="left"/>
              <w:rPr>
                <w:szCs w:val="24"/>
              </w:rPr>
            </w:pPr>
            <w:r w:rsidRPr="00576AF8">
              <w:rPr>
                <w:color w:val="000000"/>
                <w:szCs w:val="24"/>
              </w:rPr>
              <w:t>Application Programming Interface</w:t>
            </w:r>
          </w:p>
        </w:tc>
      </w:tr>
      <w:tr w:rsidR="00CA0A00" w:rsidRPr="00576AF8" w14:paraId="7E10B27A" w14:textId="77777777" w:rsidTr="009F6B78">
        <w:trPr>
          <w:cantSplit/>
          <w:trHeight w:val="521"/>
        </w:trPr>
        <w:tc>
          <w:tcPr>
            <w:tcW w:w="0" w:type="auto"/>
            <w:vAlign w:val="center"/>
          </w:tcPr>
          <w:p w14:paraId="3817D570" w14:textId="77777777" w:rsidR="00CA0A00" w:rsidRPr="00576AF8" w:rsidRDefault="00CA0A00" w:rsidP="009F6B78">
            <w:pPr>
              <w:spacing w:before="60" w:after="60"/>
              <w:ind w:right="-360"/>
              <w:jc w:val="left"/>
              <w:rPr>
                <w:szCs w:val="24"/>
              </w:rPr>
            </w:pPr>
            <w:r w:rsidRPr="00576AF8">
              <w:rPr>
                <w:color w:val="000000"/>
                <w:szCs w:val="24"/>
              </w:rPr>
              <w:t>ARCERNNR</w:t>
            </w:r>
          </w:p>
        </w:tc>
        <w:tc>
          <w:tcPr>
            <w:tcW w:w="0" w:type="auto"/>
            <w:vAlign w:val="center"/>
          </w:tcPr>
          <w:p w14:paraId="0563E9C1" w14:textId="77777777" w:rsidR="00CA0A00" w:rsidRPr="00576AF8" w:rsidRDefault="00CA0A00" w:rsidP="009F6B78">
            <w:pPr>
              <w:pStyle w:val="NormalWeb"/>
              <w:spacing w:before="0" w:beforeAutospacing="0" w:after="0" w:afterAutospacing="0"/>
              <w:jc w:val="left"/>
              <w:rPr>
                <w:rFonts w:ascii="Times New Roman" w:hAnsi="Times New Roman" w:cs="Times New Roman"/>
              </w:rPr>
            </w:pPr>
            <w:r w:rsidRPr="00576AF8">
              <w:rPr>
                <w:rFonts w:ascii="Times New Roman" w:hAnsi="Times New Roman" w:cs="Times New Roman"/>
                <w:color w:val="000000"/>
              </w:rPr>
              <w:t>Agencia de Regulación y Control de Energía y Recursos Naturales</w:t>
            </w:r>
          </w:p>
          <w:p w14:paraId="650B5033" w14:textId="77777777" w:rsidR="00CA0A00" w:rsidRPr="00576AF8" w:rsidRDefault="00CA0A00" w:rsidP="009F6B78">
            <w:pPr>
              <w:spacing w:before="60" w:after="60"/>
              <w:jc w:val="left"/>
              <w:rPr>
                <w:szCs w:val="24"/>
              </w:rPr>
            </w:pPr>
            <w:r w:rsidRPr="00576AF8">
              <w:rPr>
                <w:color w:val="000000"/>
                <w:szCs w:val="24"/>
              </w:rPr>
              <w:t>no Renovables</w:t>
            </w:r>
          </w:p>
        </w:tc>
      </w:tr>
      <w:tr w:rsidR="00CA0A00" w:rsidRPr="00576AF8" w14:paraId="30E2752C" w14:textId="77777777" w:rsidTr="009F6B78">
        <w:trPr>
          <w:cantSplit/>
          <w:trHeight w:val="307"/>
        </w:trPr>
        <w:tc>
          <w:tcPr>
            <w:tcW w:w="0" w:type="auto"/>
            <w:vAlign w:val="center"/>
          </w:tcPr>
          <w:p w14:paraId="619BFF7C" w14:textId="77777777" w:rsidR="00CA0A00" w:rsidRPr="00576AF8" w:rsidRDefault="00CA0A00" w:rsidP="009F6B78">
            <w:pPr>
              <w:spacing w:before="60" w:after="60"/>
              <w:ind w:right="-360"/>
              <w:jc w:val="left"/>
              <w:rPr>
                <w:szCs w:val="24"/>
              </w:rPr>
            </w:pPr>
            <w:r w:rsidRPr="00576AF8">
              <w:rPr>
                <w:color w:val="000000"/>
                <w:szCs w:val="24"/>
              </w:rPr>
              <w:t>BAAL</w:t>
            </w:r>
          </w:p>
        </w:tc>
        <w:tc>
          <w:tcPr>
            <w:tcW w:w="0" w:type="auto"/>
            <w:vAlign w:val="center"/>
          </w:tcPr>
          <w:p w14:paraId="38A519FB" w14:textId="77777777" w:rsidR="00CA0A00" w:rsidRPr="00576AF8" w:rsidRDefault="00CA0A00" w:rsidP="009F6B78">
            <w:pPr>
              <w:spacing w:before="60" w:after="60"/>
              <w:jc w:val="left"/>
              <w:rPr>
                <w:szCs w:val="24"/>
              </w:rPr>
            </w:pPr>
            <w:r w:rsidRPr="00576AF8">
              <w:rPr>
                <w:color w:val="000000"/>
                <w:szCs w:val="24"/>
              </w:rPr>
              <w:t>Balancing Authority ACE Limit</w:t>
            </w:r>
          </w:p>
        </w:tc>
      </w:tr>
      <w:tr w:rsidR="00CA0A00" w:rsidRPr="00576AF8" w14:paraId="0B0519E1" w14:textId="77777777" w:rsidTr="009F6B78">
        <w:trPr>
          <w:cantSplit/>
          <w:trHeight w:val="307"/>
        </w:trPr>
        <w:tc>
          <w:tcPr>
            <w:tcW w:w="0" w:type="auto"/>
            <w:vAlign w:val="center"/>
          </w:tcPr>
          <w:p w14:paraId="7AB5DB4B" w14:textId="77777777" w:rsidR="00CA0A00" w:rsidRPr="00576AF8" w:rsidRDefault="00CA0A00" w:rsidP="009F6B78">
            <w:pPr>
              <w:spacing w:before="60" w:after="60"/>
              <w:ind w:right="-360"/>
              <w:jc w:val="left"/>
              <w:rPr>
                <w:szCs w:val="24"/>
              </w:rPr>
            </w:pPr>
            <w:r w:rsidRPr="00576AF8">
              <w:rPr>
                <w:color w:val="000000"/>
                <w:szCs w:val="24"/>
              </w:rPr>
              <w:t>BES</w:t>
            </w:r>
          </w:p>
        </w:tc>
        <w:tc>
          <w:tcPr>
            <w:tcW w:w="0" w:type="auto"/>
            <w:vAlign w:val="center"/>
          </w:tcPr>
          <w:p w14:paraId="2DAAC2EF" w14:textId="77777777" w:rsidR="00CA0A00" w:rsidRPr="00576AF8" w:rsidRDefault="00CA0A00" w:rsidP="009F6B78">
            <w:pPr>
              <w:spacing w:before="60" w:after="60"/>
              <w:jc w:val="left"/>
              <w:rPr>
                <w:szCs w:val="24"/>
              </w:rPr>
            </w:pPr>
            <w:r w:rsidRPr="00576AF8">
              <w:rPr>
                <w:color w:val="000000"/>
                <w:szCs w:val="24"/>
              </w:rPr>
              <w:t>Bulk Electric System</w:t>
            </w:r>
          </w:p>
        </w:tc>
      </w:tr>
      <w:tr w:rsidR="00CA0A00" w:rsidRPr="00576AF8" w14:paraId="671CA5B8" w14:textId="77777777" w:rsidTr="009F6B78">
        <w:trPr>
          <w:cantSplit/>
          <w:trHeight w:val="321"/>
        </w:trPr>
        <w:tc>
          <w:tcPr>
            <w:tcW w:w="0" w:type="auto"/>
            <w:vAlign w:val="center"/>
          </w:tcPr>
          <w:p w14:paraId="5DBE720D" w14:textId="77777777" w:rsidR="00CA0A00" w:rsidRPr="00576AF8" w:rsidRDefault="00CA0A00" w:rsidP="009F6B78">
            <w:pPr>
              <w:spacing w:before="60" w:after="60"/>
              <w:ind w:right="-360"/>
              <w:jc w:val="left"/>
              <w:rPr>
                <w:szCs w:val="24"/>
              </w:rPr>
            </w:pPr>
            <w:r w:rsidRPr="00576AF8">
              <w:rPr>
                <w:color w:val="000000"/>
                <w:szCs w:val="24"/>
              </w:rPr>
              <w:t>BESS</w:t>
            </w:r>
          </w:p>
        </w:tc>
        <w:tc>
          <w:tcPr>
            <w:tcW w:w="0" w:type="auto"/>
            <w:vAlign w:val="center"/>
          </w:tcPr>
          <w:p w14:paraId="6E2A4818" w14:textId="77777777" w:rsidR="00CA0A00" w:rsidRPr="00576AF8" w:rsidRDefault="00CA0A00" w:rsidP="009F6B78">
            <w:pPr>
              <w:spacing w:before="60" w:after="60"/>
              <w:jc w:val="left"/>
              <w:rPr>
                <w:szCs w:val="24"/>
              </w:rPr>
            </w:pPr>
            <w:r w:rsidRPr="00576AF8">
              <w:rPr>
                <w:color w:val="000000"/>
                <w:szCs w:val="24"/>
              </w:rPr>
              <w:t>Battery Energy Storage System</w:t>
            </w:r>
          </w:p>
        </w:tc>
      </w:tr>
      <w:tr w:rsidR="00CA0A00" w:rsidRPr="00576AF8" w14:paraId="35C3A69B" w14:textId="77777777" w:rsidTr="009F6B78">
        <w:trPr>
          <w:cantSplit/>
          <w:trHeight w:val="307"/>
        </w:trPr>
        <w:tc>
          <w:tcPr>
            <w:tcW w:w="0" w:type="auto"/>
            <w:vAlign w:val="center"/>
          </w:tcPr>
          <w:p w14:paraId="510E7E5A" w14:textId="77777777" w:rsidR="00CA0A00" w:rsidRPr="00576AF8" w:rsidRDefault="00CA0A00" w:rsidP="009F6B78">
            <w:pPr>
              <w:spacing w:before="60" w:after="60"/>
              <w:ind w:right="-360"/>
              <w:jc w:val="left"/>
              <w:rPr>
                <w:szCs w:val="24"/>
              </w:rPr>
            </w:pPr>
            <w:r w:rsidRPr="00576AF8">
              <w:rPr>
                <w:color w:val="000000"/>
                <w:szCs w:val="24"/>
              </w:rPr>
              <w:t>BMS</w:t>
            </w:r>
          </w:p>
        </w:tc>
        <w:tc>
          <w:tcPr>
            <w:tcW w:w="0" w:type="auto"/>
            <w:vAlign w:val="center"/>
          </w:tcPr>
          <w:p w14:paraId="34121BDC" w14:textId="77777777" w:rsidR="00CA0A00" w:rsidRPr="00576AF8" w:rsidRDefault="00CA0A00" w:rsidP="009F6B78">
            <w:pPr>
              <w:spacing w:before="60" w:after="60"/>
              <w:jc w:val="left"/>
              <w:rPr>
                <w:szCs w:val="24"/>
              </w:rPr>
            </w:pPr>
            <w:r w:rsidRPr="00576AF8">
              <w:rPr>
                <w:color w:val="000000"/>
                <w:szCs w:val="24"/>
              </w:rPr>
              <w:t>Business Management System</w:t>
            </w:r>
          </w:p>
        </w:tc>
      </w:tr>
      <w:tr w:rsidR="00CA0A00" w:rsidRPr="00576AF8" w14:paraId="5E912739" w14:textId="77777777" w:rsidTr="009F6B78">
        <w:trPr>
          <w:cantSplit/>
          <w:trHeight w:val="521"/>
        </w:trPr>
        <w:tc>
          <w:tcPr>
            <w:tcW w:w="0" w:type="auto"/>
            <w:vAlign w:val="center"/>
          </w:tcPr>
          <w:p w14:paraId="2DDB606D" w14:textId="77777777" w:rsidR="00CA0A00" w:rsidRPr="00576AF8" w:rsidRDefault="00CA0A00" w:rsidP="009F6B78">
            <w:pPr>
              <w:spacing w:before="60" w:after="60"/>
              <w:ind w:right="-360"/>
              <w:jc w:val="left"/>
              <w:rPr>
                <w:szCs w:val="24"/>
              </w:rPr>
            </w:pPr>
            <w:r w:rsidRPr="00576AF8">
              <w:rPr>
                <w:color w:val="000000"/>
                <w:szCs w:val="24"/>
              </w:rPr>
              <w:t>BOSNI</w:t>
            </w:r>
          </w:p>
        </w:tc>
        <w:tc>
          <w:tcPr>
            <w:tcW w:w="0" w:type="auto"/>
            <w:vAlign w:val="center"/>
          </w:tcPr>
          <w:p w14:paraId="540F0073" w14:textId="77777777" w:rsidR="00CA0A00" w:rsidRPr="00576AF8" w:rsidRDefault="00CA0A00" w:rsidP="009F6B78">
            <w:pPr>
              <w:spacing w:before="60" w:after="60"/>
              <w:jc w:val="left"/>
              <w:rPr>
                <w:szCs w:val="24"/>
              </w:rPr>
            </w:pPr>
            <w:r w:rsidRPr="00576AF8">
              <w:rPr>
                <w:color w:val="000000"/>
                <w:szCs w:val="24"/>
              </w:rPr>
              <w:t>Bitácora del operador del CENACE</w:t>
            </w:r>
          </w:p>
        </w:tc>
      </w:tr>
      <w:tr w:rsidR="00CA0A00" w:rsidRPr="00576AF8" w14:paraId="482DB756" w14:textId="77777777" w:rsidTr="009F6B78">
        <w:trPr>
          <w:cantSplit/>
          <w:trHeight w:val="508"/>
        </w:trPr>
        <w:tc>
          <w:tcPr>
            <w:tcW w:w="0" w:type="auto"/>
            <w:vAlign w:val="center"/>
          </w:tcPr>
          <w:p w14:paraId="019AA1AF" w14:textId="77777777" w:rsidR="00CA0A00" w:rsidRPr="00576AF8" w:rsidRDefault="00CA0A00" w:rsidP="009F6B78">
            <w:pPr>
              <w:spacing w:before="60" w:after="60"/>
              <w:ind w:right="-360"/>
              <w:jc w:val="left"/>
              <w:rPr>
                <w:szCs w:val="24"/>
              </w:rPr>
            </w:pPr>
            <w:r w:rsidRPr="00576AF8">
              <w:rPr>
                <w:color w:val="000000"/>
                <w:szCs w:val="24"/>
              </w:rPr>
              <w:t>BTD</w:t>
            </w:r>
          </w:p>
        </w:tc>
        <w:tc>
          <w:tcPr>
            <w:tcW w:w="0" w:type="auto"/>
            <w:vAlign w:val="center"/>
          </w:tcPr>
          <w:p w14:paraId="2439603D" w14:textId="77777777" w:rsidR="00CA0A00" w:rsidRPr="00576AF8" w:rsidRDefault="00CA0A00" w:rsidP="009F6B78">
            <w:pPr>
              <w:spacing w:before="60" w:after="60"/>
              <w:jc w:val="left"/>
              <w:rPr>
                <w:szCs w:val="24"/>
              </w:rPr>
            </w:pPr>
            <w:r w:rsidRPr="00576AF8">
              <w:rPr>
                <w:color w:val="000000"/>
                <w:szCs w:val="24"/>
              </w:rPr>
              <w:t>Bad Topology Detection</w:t>
            </w:r>
          </w:p>
        </w:tc>
      </w:tr>
      <w:tr w:rsidR="00CA0A00" w:rsidRPr="00576AF8" w14:paraId="07E7F742" w14:textId="77777777" w:rsidTr="009F6B78">
        <w:trPr>
          <w:cantSplit/>
          <w:trHeight w:val="521"/>
        </w:trPr>
        <w:tc>
          <w:tcPr>
            <w:tcW w:w="0" w:type="auto"/>
            <w:vAlign w:val="center"/>
          </w:tcPr>
          <w:p w14:paraId="1CDF45E8" w14:textId="77777777" w:rsidR="00CA0A00" w:rsidRPr="00576AF8" w:rsidRDefault="00CA0A00" w:rsidP="009F6B78">
            <w:pPr>
              <w:spacing w:before="60" w:after="60"/>
              <w:ind w:right="-360"/>
              <w:jc w:val="left"/>
              <w:rPr>
                <w:szCs w:val="24"/>
              </w:rPr>
            </w:pPr>
            <w:r w:rsidRPr="00576AF8">
              <w:rPr>
                <w:color w:val="000000"/>
                <w:szCs w:val="24"/>
              </w:rPr>
              <w:t>CA</w:t>
            </w:r>
          </w:p>
        </w:tc>
        <w:tc>
          <w:tcPr>
            <w:tcW w:w="0" w:type="auto"/>
            <w:vAlign w:val="center"/>
          </w:tcPr>
          <w:p w14:paraId="3C89A767" w14:textId="77777777" w:rsidR="00CA0A00" w:rsidRPr="00576AF8" w:rsidRDefault="00CA0A00" w:rsidP="009F6B78">
            <w:pPr>
              <w:spacing w:before="60" w:after="60"/>
              <w:jc w:val="left"/>
              <w:rPr>
                <w:szCs w:val="24"/>
              </w:rPr>
            </w:pPr>
            <w:r w:rsidRPr="00576AF8">
              <w:rPr>
                <w:color w:val="000000"/>
                <w:szCs w:val="24"/>
              </w:rPr>
              <w:t>Contingency Analysis</w:t>
            </w:r>
          </w:p>
        </w:tc>
      </w:tr>
      <w:tr w:rsidR="00CA0A00" w:rsidRPr="00576AF8" w14:paraId="22DB1901" w14:textId="77777777" w:rsidTr="009F6B78">
        <w:trPr>
          <w:cantSplit/>
          <w:trHeight w:val="508"/>
        </w:trPr>
        <w:tc>
          <w:tcPr>
            <w:tcW w:w="0" w:type="auto"/>
            <w:vAlign w:val="center"/>
          </w:tcPr>
          <w:p w14:paraId="69055479" w14:textId="77777777" w:rsidR="00CA0A00" w:rsidRPr="00576AF8" w:rsidRDefault="00CA0A00" w:rsidP="009F6B78">
            <w:pPr>
              <w:spacing w:before="60" w:after="60"/>
              <w:ind w:right="-360"/>
              <w:jc w:val="left"/>
              <w:rPr>
                <w:szCs w:val="24"/>
              </w:rPr>
            </w:pPr>
            <w:r w:rsidRPr="00576AF8">
              <w:rPr>
                <w:color w:val="000000"/>
                <w:szCs w:val="24"/>
              </w:rPr>
              <w:t>CCOTF</w:t>
            </w:r>
          </w:p>
        </w:tc>
        <w:tc>
          <w:tcPr>
            <w:tcW w:w="0" w:type="auto"/>
            <w:vAlign w:val="center"/>
          </w:tcPr>
          <w:p w14:paraId="0C869A53" w14:textId="77777777" w:rsidR="00CA0A00" w:rsidRPr="00576AF8" w:rsidRDefault="00CA0A00" w:rsidP="009F6B78">
            <w:pPr>
              <w:spacing w:before="60" w:after="60"/>
              <w:jc w:val="left"/>
              <w:rPr>
                <w:szCs w:val="24"/>
              </w:rPr>
            </w:pPr>
            <w:r w:rsidRPr="00576AF8">
              <w:rPr>
                <w:color w:val="23292E"/>
                <w:szCs w:val="24"/>
              </w:rPr>
              <w:t>Cibercomando de Operaciones de Tropas es una unidad militar especializada en operaciones cibernéticas y de seguridad informática</w:t>
            </w:r>
          </w:p>
        </w:tc>
      </w:tr>
      <w:tr w:rsidR="00CA0A00" w:rsidRPr="00576AF8" w14:paraId="217788DF" w14:textId="77777777" w:rsidTr="009F6B78">
        <w:trPr>
          <w:cantSplit/>
          <w:trHeight w:val="307"/>
        </w:trPr>
        <w:tc>
          <w:tcPr>
            <w:tcW w:w="0" w:type="auto"/>
            <w:vAlign w:val="center"/>
          </w:tcPr>
          <w:p w14:paraId="4A5AED57" w14:textId="77777777" w:rsidR="00CA0A00" w:rsidRPr="00576AF8" w:rsidRDefault="00CA0A00" w:rsidP="009F6B78">
            <w:pPr>
              <w:spacing w:before="60" w:after="60"/>
              <w:ind w:right="-360"/>
              <w:jc w:val="left"/>
              <w:rPr>
                <w:szCs w:val="24"/>
              </w:rPr>
            </w:pPr>
            <w:r w:rsidRPr="00576AF8">
              <w:rPr>
                <w:color w:val="000000"/>
                <w:szCs w:val="24"/>
              </w:rPr>
              <w:t>CELEC</w:t>
            </w:r>
          </w:p>
        </w:tc>
        <w:tc>
          <w:tcPr>
            <w:tcW w:w="0" w:type="auto"/>
            <w:vAlign w:val="center"/>
          </w:tcPr>
          <w:p w14:paraId="1D50025E" w14:textId="77777777" w:rsidR="00CA0A00" w:rsidRPr="00576AF8" w:rsidRDefault="00CA0A00" w:rsidP="009F6B78">
            <w:pPr>
              <w:spacing w:before="60" w:after="60"/>
              <w:jc w:val="left"/>
              <w:rPr>
                <w:szCs w:val="24"/>
              </w:rPr>
            </w:pPr>
            <w:r w:rsidRPr="00576AF8">
              <w:rPr>
                <w:color w:val="000000"/>
                <w:szCs w:val="24"/>
              </w:rPr>
              <w:t>Corporación Eléctrica del Ecuador</w:t>
            </w:r>
          </w:p>
        </w:tc>
      </w:tr>
      <w:tr w:rsidR="00CA0A00" w:rsidRPr="00576AF8" w14:paraId="1CD71F28" w14:textId="77777777" w:rsidTr="009F6B78">
        <w:trPr>
          <w:cantSplit/>
          <w:trHeight w:val="521"/>
        </w:trPr>
        <w:tc>
          <w:tcPr>
            <w:tcW w:w="0" w:type="auto"/>
            <w:vAlign w:val="center"/>
          </w:tcPr>
          <w:p w14:paraId="01CA99C0" w14:textId="77777777" w:rsidR="00CA0A00" w:rsidRPr="00576AF8" w:rsidRDefault="00CA0A00" w:rsidP="009F6B78">
            <w:pPr>
              <w:spacing w:before="60" w:after="60"/>
              <w:ind w:right="-360"/>
              <w:jc w:val="left"/>
              <w:rPr>
                <w:szCs w:val="24"/>
              </w:rPr>
            </w:pPr>
            <w:r w:rsidRPr="00576AF8">
              <w:rPr>
                <w:color w:val="000000"/>
                <w:szCs w:val="24"/>
              </w:rPr>
              <w:t>CENACE</w:t>
            </w:r>
          </w:p>
        </w:tc>
        <w:tc>
          <w:tcPr>
            <w:tcW w:w="0" w:type="auto"/>
            <w:vAlign w:val="center"/>
          </w:tcPr>
          <w:p w14:paraId="5478F9D8" w14:textId="77777777" w:rsidR="00CA0A00" w:rsidRPr="00576AF8" w:rsidRDefault="00CA0A00" w:rsidP="009F6B78">
            <w:pPr>
              <w:pStyle w:val="NormalWeb"/>
              <w:spacing w:before="0" w:beforeAutospacing="0" w:after="0" w:afterAutospacing="0"/>
              <w:jc w:val="left"/>
              <w:rPr>
                <w:rFonts w:ascii="Times New Roman" w:hAnsi="Times New Roman" w:cs="Times New Roman"/>
              </w:rPr>
            </w:pPr>
            <w:r w:rsidRPr="00576AF8">
              <w:rPr>
                <w:rFonts w:ascii="Times New Roman" w:hAnsi="Times New Roman" w:cs="Times New Roman"/>
                <w:color w:val="000000"/>
              </w:rPr>
              <w:t>Operador Nacional de Electricidad antes (Centro Nacional de</w:t>
            </w:r>
          </w:p>
          <w:p w14:paraId="4015BBEC" w14:textId="77777777" w:rsidR="00CA0A00" w:rsidRPr="00576AF8" w:rsidRDefault="00CA0A00" w:rsidP="009F6B78">
            <w:pPr>
              <w:spacing w:before="60" w:after="60"/>
              <w:jc w:val="left"/>
              <w:rPr>
                <w:szCs w:val="24"/>
              </w:rPr>
            </w:pPr>
            <w:r w:rsidRPr="00576AF8">
              <w:rPr>
                <w:color w:val="000000"/>
                <w:szCs w:val="24"/>
              </w:rPr>
              <w:t>Control de Energía)</w:t>
            </w:r>
          </w:p>
        </w:tc>
      </w:tr>
      <w:tr w:rsidR="00CA0A00" w:rsidRPr="00576AF8" w14:paraId="6529D065" w14:textId="77777777" w:rsidTr="009F6B78">
        <w:trPr>
          <w:cantSplit/>
          <w:trHeight w:val="307"/>
        </w:trPr>
        <w:tc>
          <w:tcPr>
            <w:tcW w:w="0" w:type="auto"/>
            <w:vAlign w:val="center"/>
          </w:tcPr>
          <w:p w14:paraId="03D313E2" w14:textId="77777777" w:rsidR="00CA0A00" w:rsidRPr="00576AF8" w:rsidRDefault="00CA0A00" w:rsidP="009F6B78">
            <w:pPr>
              <w:spacing w:before="60" w:after="60"/>
              <w:ind w:right="-360"/>
              <w:jc w:val="left"/>
              <w:rPr>
                <w:szCs w:val="24"/>
              </w:rPr>
            </w:pPr>
            <w:r w:rsidRPr="00576AF8">
              <w:rPr>
                <w:color w:val="000000"/>
                <w:szCs w:val="24"/>
              </w:rPr>
              <w:t>CID</w:t>
            </w:r>
          </w:p>
        </w:tc>
        <w:tc>
          <w:tcPr>
            <w:tcW w:w="0" w:type="auto"/>
            <w:vAlign w:val="center"/>
          </w:tcPr>
          <w:p w14:paraId="53AE6A1E" w14:textId="77777777" w:rsidR="00CA0A00" w:rsidRPr="00576AF8" w:rsidRDefault="00CA0A00" w:rsidP="009F6B78">
            <w:pPr>
              <w:spacing w:before="60" w:after="60"/>
              <w:jc w:val="left"/>
              <w:rPr>
                <w:szCs w:val="24"/>
              </w:rPr>
            </w:pPr>
            <w:r w:rsidRPr="00576AF8">
              <w:rPr>
                <w:bCs/>
                <w:color w:val="000000"/>
                <w:szCs w:val="24"/>
              </w:rPr>
              <w:t>Configured IED Description</w:t>
            </w:r>
          </w:p>
        </w:tc>
      </w:tr>
      <w:tr w:rsidR="00CA0A00" w:rsidRPr="00576AF8" w14:paraId="6185ED4F" w14:textId="77777777" w:rsidTr="009F6B78">
        <w:trPr>
          <w:cantSplit/>
          <w:trHeight w:val="321"/>
        </w:trPr>
        <w:tc>
          <w:tcPr>
            <w:tcW w:w="0" w:type="auto"/>
            <w:vAlign w:val="center"/>
          </w:tcPr>
          <w:p w14:paraId="102CA82F" w14:textId="77777777" w:rsidR="00CA0A00" w:rsidRPr="00576AF8" w:rsidRDefault="00CA0A00" w:rsidP="009F6B78">
            <w:pPr>
              <w:spacing w:before="60" w:after="60"/>
              <w:ind w:right="-360"/>
              <w:jc w:val="left"/>
              <w:rPr>
                <w:szCs w:val="24"/>
              </w:rPr>
            </w:pPr>
            <w:r w:rsidRPr="00576AF8">
              <w:rPr>
                <w:color w:val="000000"/>
                <w:szCs w:val="24"/>
              </w:rPr>
              <w:t>CIM</w:t>
            </w:r>
          </w:p>
        </w:tc>
        <w:tc>
          <w:tcPr>
            <w:tcW w:w="0" w:type="auto"/>
            <w:vAlign w:val="center"/>
          </w:tcPr>
          <w:p w14:paraId="1C3CBF5C" w14:textId="77777777" w:rsidR="00CA0A00" w:rsidRPr="00576AF8" w:rsidRDefault="00CA0A00" w:rsidP="009F6B78">
            <w:pPr>
              <w:spacing w:before="60" w:after="60"/>
              <w:jc w:val="left"/>
              <w:rPr>
                <w:szCs w:val="24"/>
              </w:rPr>
            </w:pPr>
            <w:r w:rsidRPr="00576AF8">
              <w:rPr>
                <w:color w:val="000000"/>
                <w:szCs w:val="24"/>
              </w:rPr>
              <w:t>Common Information Model</w:t>
            </w:r>
          </w:p>
        </w:tc>
      </w:tr>
      <w:tr w:rsidR="00CA0A00" w:rsidRPr="00576AF8" w14:paraId="75A45F62" w14:textId="77777777" w:rsidTr="009F6B78">
        <w:trPr>
          <w:cantSplit/>
          <w:trHeight w:val="307"/>
        </w:trPr>
        <w:tc>
          <w:tcPr>
            <w:tcW w:w="0" w:type="auto"/>
            <w:vAlign w:val="center"/>
          </w:tcPr>
          <w:p w14:paraId="69EDD513" w14:textId="77777777" w:rsidR="00CA0A00" w:rsidRPr="00576AF8" w:rsidRDefault="00CA0A00" w:rsidP="009F6B78">
            <w:pPr>
              <w:spacing w:before="60" w:after="60"/>
              <w:ind w:right="-360"/>
              <w:jc w:val="left"/>
              <w:rPr>
                <w:szCs w:val="24"/>
              </w:rPr>
            </w:pPr>
            <w:r w:rsidRPr="00576AF8">
              <w:rPr>
                <w:color w:val="000000"/>
                <w:szCs w:val="24"/>
              </w:rPr>
              <w:t>CIP</w:t>
            </w:r>
          </w:p>
        </w:tc>
        <w:tc>
          <w:tcPr>
            <w:tcW w:w="0" w:type="auto"/>
            <w:vAlign w:val="center"/>
          </w:tcPr>
          <w:p w14:paraId="641430E3" w14:textId="77777777" w:rsidR="00CA0A00" w:rsidRPr="00576AF8" w:rsidRDefault="00CA0A00" w:rsidP="009F6B78">
            <w:pPr>
              <w:spacing w:before="60" w:after="60"/>
              <w:jc w:val="left"/>
              <w:rPr>
                <w:szCs w:val="24"/>
              </w:rPr>
            </w:pPr>
            <w:r w:rsidRPr="00576AF8">
              <w:rPr>
                <w:color w:val="000000"/>
                <w:szCs w:val="24"/>
              </w:rPr>
              <w:t>Critical Infrastructure Protection</w:t>
            </w:r>
          </w:p>
        </w:tc>
      </w:tr>
      <w:tr w:rsidR="00CA0A00" w:rsidRPr="00576AF8" w14:paraId="21D6E119" w14:textId="77777777" w:rsidTr="009F6B78">
        <w:trPr>
          <w:cantSplit/>
          <w:trHeight w:val="307"/>
        </w:trPr>
        <w:tc>
          <w:tcPr>
            <w:tcW w:w="0" w:type="auto"/>
            <w:vAlign w:val="center"/>
          </w:tcPr>
          <w:p w14:paraId="3DEC3A86" w14:textId="77777777" w:rsidR="00CA0A00" w:rsidRPr="00576AF8" w:rsidRDefault="00CA0A00" w:rsidP="009F6B78">
            <w:pPr>
              <w:spacing w:before="60" w:after="60"/>
              <w:ind w:right="-360"/>
              <w:jc w:val="left"/>
              <w:rPr>
                <w:szCs w:val="24"/>
              </w:rPr>
            </w:pPr>
            <w:r w:rsidRPr="00576AF8">
              <w:rPr>
                <w:color w:val="000000"/>
                <w:szCs w:val="24"/>
              </w:rPr>
              <w:lastRenderedPageBreak/>
              <w:t>CLT</w:t>
            </w:r>
          </w:p>
        </w:tc>
        <w:tc>
          <w:tcPr>
            <w:tcW w:w="0" w:type="auto"/>
            <w:vAlign w:val="center"/>
          </w:tcPr>
          <w:p w14:paraId="2A8DED57" w14:textId="77777777" w:rsidR="00CA0A00" w:rsidRPr="00576AF8" w:rsidRDefault="00CA0A00" w:rsidP="009F6B78">
            <w:pPr>
              <w:spacing w:before="60" w:after="60"/>
              <w:jc w:val="left"/>
              <w:rPr>
                <w:szCs w:val="24"/>
              </w:rPr>
            </w:pPr>
            <w:r w:rsidRPr="00576AF8">
              <w:rPr>
                <w:color w:val="000000"/>
                <w:szCs w:val="24"/>
              </w:rPr>
              <w:t>Cargabilidad Dinámica de Líneas de Transmisión</w:t>
            </w:r>
          </w:p>
        </w:tc>
      </w:tr>
      <w:tr w:rsidR="00CA0A00" w:rsidRPr="00576AF8" w14:paraId="2AC0DFD2" w14:textId="77777777" w:rsidTr="009F6B78">
        <w:trPr>
          <w:cantSplit/>
          <w:trHeight w:val="321"/>
        </w:trPr>
        <w:tc>
          <w:tcPr>
            <w:tcW w:w="0" w:type="auto"/>
            <w:vAlign w:val="center"/>
          </w:tcPr>
          <w:p w14:paraId="4B86424A" w14:textId="77777777" w:rsidR="00CA0A00" w:rsidRPr="00576AF8" w:rsidRDefault="00CA0A00" w:rsidP="009F6B78">
            <w:pPr>
              <w:spacing w:before="60" w:after="60"/>
              <w:ind w:right="-360"/>
              <w:jc w:val="left"/>
              <w:rPr>
                <w:szCs w:val="24"/>
              </w:rPr>
            </w:pPr>
            <w:r w:rsidRPr="00576AF8">
              <w:rPr>
                <w:color w:val="000000"/>
                <w:szCs w:val="24"/>
              </w:rPr>
              <w:t>COP</w:t>
            </w:r>
          </w:p>
        </w:tc>
        <w:tc>
          <w:tcPr>
            <w:tcW w:w="0" w:type="auto"/>
            <w:vAlign w:val="center"/>
          </w:tcPr>
          <w:p w14:paraId="78A9F249" w14:textId="77777777" w:rsidR="00CA0A00" w:rsidRPr="00576AF8" w:rsidRDefault="00CA0A00" w:rsidP="009F6B78">
            <w:pPr>
              <w:spacing w:before="60" w:after="60"/>
              <w:jc w:val="left"/>
              <w:rPr>
                <w:szCs w:val="24"/>
              </w:rPr>
            </w:pPr>
            <w:r w:rsidRPr="00576AF8">
              <w:rPr>
                <w:color w:val="000000"/>
                <w:szCs w:val="24"/>
              </w:rPr>
              <w:t>Current Operating Plan</w:t>
            </w:r>
          </w:p>
        </w:tc>
      </w:tr>
      <w:tr w:rsidR="00CA0A00" w:rsidRPr="00576AF8" w14:paraId="17D8C0E5" w14:textId="77777777" w:rsidTr="009F6B78">
        <w:trPr>
          <w:cantSplit/>
          <w:trHeight w:val="307"/>
        </w:trPr>
        <w:tc>
          <w:tcPr>
            <w:tcW w:w="0" w:type="auto"/>
            <w:vAlign w:val="center"/>
          </w:tcPr>
          <w:p w14:paraId="44573429" w14:textId="77777777" w:rsidR="00CA0A00" w:rsidRPr="00576AF8" w:rsidRDefault="00CA0A00" w:rsidP="009F6B78">
            <w:pPr>
              <w:spacing w:before="60" w:after="60"/>
              <w:ind w:right="-360"/>
              <w:jc w:val="left"/>
              <w:rPr>
                <w:szCs w:val="24"/>
              </w:rPr>
            </w:pPr>
            <w:r w:rsidRPr="00576AF8">
              <w:rPr>
                <w:color w:val="000000"/>
                <w:szCs w:val="24"/>
              </w:rPr>
              <w:t>CPS1</w:t>
            </w:r>
          </w:p>
        </w:tc>
        <w:tc>
          <w:tcPr>
            <w:tcW w:w="0" w:type="auto"/>
            <w:vAlign w:val="center"/>
          </w:tcPr>
          <w:p w14:paraId="6078DD90" w14:textId="77777777" w:rsidR="00CA0A00" w:rsidRPr="00576AF8" w:rsidRDefault="00CA0A00" w:rsidP="009F6B78">
            <w:pPr>
              <w:spacing w:before="60" w:after="60"/>
              <w:jc w:val="left"/>
              <w:rPr>
                <w:szCs w:val="24"/>
              </w:rPr>
            </w:pPr>
            <w:r w:rsidRPr="00576AF8">
              <w:rPr>
                <w:color w:val="000000"/>
                <w:szCs w:val="24"/>
              </w:rPr>
              <w:t>Control Performance Standard 1</w:t>
            </w:r>
          </w:p>
        </w:tc>
      </w:tr>
      <w:tr w:rsidR="00CA0A00" w:rsidRPr="00576AF8" w14:paraId="126501CD" w14:textId="77777777" w:rsidTr="009F6B78">
        <w:trPr>
          <w:cantSplit/>
          <w:trHeight w:val="307"/>
        </w:trPr>
        <w:tc>
          <w:tcPr>
            <w:tcW w:w="0" w:type="auto"/>
            <w:vAlign w:val="center"/>
          </w:tcPr>
          <w:p w14:paraId="716CD406" w14:textId="77777777" w:rsidR="00CA0A00" w:rsidRPr="00576AF8" w:rsidRDefault="00CA0A00" w:rsidP="009F6B78">
            <w:pPr>
              <w:spacing w:before="60" w:after="60"/>
              <w:ind w:right="-360"/>
              <w:jc w:val="left"/>
              <w:rPr>
                <w:szCs w:val="24"/>
              </w:rPr>
            </w:pPr>
            <w:r w:rsidRPr="00576AF8">
              <w:rPr>
                <w:color w:val="000000"/>
                <w:szCs w:val="24"/>
              </w:rPr>
              <w:t>DAE</w:t>
            </w:r>
          </w:p>
        </w:tc>
        <w:tc>
          <w:tcPr>
            <w:tcW w:w="0" w:type="auto"/>
            <w:vAlign w:val="center"/>
          </w:tcPr>
          <w:p w14:paraId="770EEB47" w14:textId="77777777" w:rsidR="00CA0A00" w:rsidRPr="00576AF8" w:rsidRDefault="00CA0A00" w:rsidP="009F6B78">
            <w:pPr>
              <w:spacing w:before="60" w:after="60"/>
              <w:jc w:val="left"/>
              <w:rPr>
                <w:szCs w:val="24"/>
              </w:rPr>
            </w:pPr>
            <w:r w:rsidRPr="00576AF8">
              <w:rPr>
                <w:color w:val="000000"/>
                <w:szCs w:val="24"/>
              </w:rPr>
              <w:t>Differential-Algebraic Equation</w:t>
            </w:r>
          </w:p>
        </w:tc>
      </w:tr>
      <w:tr w:rsidR="00CA0A00" w:rsidRPr="00576AF8" w14:paraId="422BE93A" w14:textId="77777777" w:rsidTr="009F6B78">
        <w:trPr>
          <w:cantSplit/>
          <w:trHeight w:val="321"/>
        </w:trPr>
        <w:tc>
          <w:tcPr>
            <w:tcW w:w="0" w:type="auto"/>
            <w:vAlign w:val="center"/>
          </w:tcPr>
          <w:p w14:paraId="4802C474" w14:textId="77777777" w:rsidR="00CA0A00" w:rsidRPr="00576AF8" w:rsidRDefault="00CA0A00" w:rsidP="009F6B78">
            <w:pPr>
              <w:spacing w:before="60" w:after="60"/>
              <w:ind w:right="-360"/>
              <w:jc w:val="left"/>
              <w:rPr>
                <w:szCs w:val="24"/>
              </w:rPr>
            </w:pPr>
            <w:r w:rsidRPr="00576AF8">
              <w:rPr>
                <w:color w:val="000000"/>
                <w:szCs w:val="24"/>
              </w:rPr>
              <w:t>DCS</w:t>
            </w:r>
          </w:p>
        </w:tc>
        <w:tc>
          <w:tcPr>
            <w:tcW w:w="0" w:type="auto"/>
            <w:vAlign w:val="center"/>
          </w:tcPr>
          <w:p w14:paraId="2D376BB6" w14:textId="77777777" w:rsidR="00CA0A00" w:rsidRPr="00576AF8" w:rsidRDefault="00CA0A00" w:rsidP="009F6B78">
            <w:pPr>
              <w:spacing w:before="60" w:after="60"/>
              <w:jc w:val="left"/>
              <w:rPr>
                <w:szCs w:val="24"/>
              </w:rPr>
            </w:pPr>
            <w:r w:rsidRPr="00576AF8">
              <w:rPr>
                <w:color w:val="000000"/>
                <w:szCs w:val="24"/>
              </w:rPr>
              <w:t>Disturbance Control Standard</w:t>
            </w:r>
          </w:p>
        </w:tc>
      </w:tr>
      <w:tr w:rsidR="00CA0A00" w:rsidRPr="00576AF8" w14:paraId="63B4C395" w14:textId="77777777" w:rsidTr="009F6B78">
        <w:trPr>
          <w:cantSplit/>
          <w:trHeight w:val="307"/>
        </w:trPr>
        <w:tc>
          <w:tcPr>
            <w:tcW w:w="0" w:type="auto"/>
            <w:vAlign w:val="center"/>
          </w:tcPr>
          <w:p w14:paraId="299F342F" w14:textId="77777777" w:rsidR="00CA0A00" w:rsidRPr="00576AF8" w:rsidRDefault="00CA0A00" w:rsidP="009F6B78">
            <w:pPr>
              <w:spacing w:before="60" w:after="60"/>
              <w:ind w:right="-360"/>
              <w:jc w:val="left"/>
              <w:rPr>
                <w:szCs w:val="24"/>
              </w:rPr>
            </w:pPr>
            <w:r w:rsidRPr="00576AF8">
              <w:rPr>
                <w:color w:val="000000"/>
                <w:szCs w:val="24"/>
              </w:rPr>
              <w:t>DDoS</w:t>
            </w:r>
          </w:p>
        </w:tc>
        <w:tc>
          <w:tcPr>
            <w:tcW w:w="0" w:type="auto"/>
            <w:vAlign w:val="center"/>
          </w:tcPr>
          <w:p w14:paraId="5BA1A7F2" w14:textId="77777777" w:rsidR="00CA0A00" w:rsidRPr="00576AF8" w:rsidRDefault="00CA0A00" w:rsidP="009F6B78">
            <w:pPr>
              <w:spacing w:before="60" w:after="60"/>
              <w:jc w:val="left"/>
              <w:rPr>
                <w:szCs w:val="24"/>
              </w:rPr>
            </w:pPr>
            <w:r w:rsidRPr="00576AF8">
              <w:rPr>
                <w:color w:val="000000"/>
                <w:szCs w:val="24"/>
              </w:rPr>
              <w:t>Distributed Denial Of Service</w:t>
            </w:r>
          </w:p>
        </w:tc>
      </w:tr>
      <w:tr w:rsidR="00CA0A00" w:rsidRPr="00576AF8" w14:paraId="250D5161" w14:textId="77777777" w:rsidTr="009F6B78">
        <w:trPr>
          <w:cantSplit/>
          <w:trHeight w:val="307"/>
        </w:trPr>
        <w:tc>
          <w:tcPr>
            <w:tcW w:w="0" w:type="auto"/>
            <w:vAlign w:val="center"/>
          </w:tcPr>
          <w:p w14:paraId="28C00EB6" w14:textId="77777777" w:rsidR="00CA0A00" w:rsidRPr="00576AF8" w:rsidRDefault="00CA0A00" w:rsidP="009F6B78">
            <w:pPr>
              <w:spacing w:before="60" w:after="60"/>
              <w:ind w:right="-360"/>
              <w:jc w:val="left"/>
              <w:rPr>
                <w:szCs w:val="24"/>
              </w:rPr>
            </w:pPr>
            <w:r w:rsidRPr="00576AF8">
              <w:rPr>
                <w:color w:val="000000"/>
                <w:szCs w:val="24"/>
              </w:rPr>
              <w:t>DER</w:t>
            </w:r>
          </w:p>
        </w:tc>
        <w:tc>
          <w:tcPr>
            <w:tcW w:w="0" w:type="auto"/>
            <w:vAlign w:val="center"/>
          </w:tcPr>
          <w:p w14:paraId="6B011EF3" w14:textId="77777777" w:rsidR="00CA0A00" w:rsidRPr="00576AF8" w:rsidRDefault="0073599B" w:rsidP="009F6B78">
            <w:pPr>
              <w:spacing w:before="60" w:after="60"/>
              <w:jc w:val="left"/>
              <w:rPr>
                <w:szCs w:val="24"/>
              </w:rPr>
            </w:pPr>
            <w:r w:rsidRPr="00576AF8">
              <w:rPr>
                <w:color w:val="000000"/>
                <w:szCs w:val="24"/>
              </w:rPr>
              <w:t xml:space="preserve"> Recurso de Energía Distribuida</w:t>
            </w:r>
          </w:p>
        </w:tc>
      </w:tr>
      <w:tr w:rsidR="00CA0A00" w:rsidRPr="00576AF8" w14:paraId="258B1254" w14:textId="77777777" w:rsidTr="009F6B78">
        <w:trPr>
          <w:cantSplit/>
          <w:trHeight w:val="521"/>
        </w:trPr>
        <w:tc>
          <w:tcPr>
            <w:tcW w:w="0" w:type="auto"/>
            <w:vAlign w:val="center"/>
          </w:tcPr>
          <w:p w14:paraId="0AF7CEE2" w14:textId="77777777" w:rsidR="00CA0A00" w:rsidRPr="00576AF8" w:rsidRDefault="00CA0A00" w:rsidP="009F6B78">
            <w:pPr>
              <w:spacing w:before="60" w:after="60"/>
              <w:ind w:right="-360"/>
              <w:jc w:val="left"/>
              <w:rPr>
                <w:szCs w:val="24"/>
              </w:rPr>
            </w:pPr>
            <w:r w:rsidRPr="00576AF8">
              <w:rPr>
                <w:color w:val="000000"/>
                <w:szCs w:val="24"/>
              </w:rPr>
              <w:t>DMZ</w:t>
            </w:r>
          </w:p>
        </w:tc>
        <w:tc>
          <w:tcPr>
            <w:tcW w:w="0" w:type="auto"/>
            <w:vAlign w:val="center"/>
          </w:tcPr>
          <w:p w14:paraId="5FC86301" w14:textId="77777777" w:rsidR="00CA0A00" w:rsidRPr="00576AF8" w:rsidRDefault="00CA0A00" w:rsidP="009F6B78">
            <w:pPr>
              <w:spacing w:before="60" w:after="60"/>
              <w:jc w:val="left"/>
              <w:rPr>
                <w:szCs w:val="24"/>
              </w:rPr>
            </w:pPr>
            <w:r w:rsidRPr="00576AF8">
              <w:rPr>
                <w:color w:val="000000"/>
                <w:szCs w:val="24"/>
              </w:rPr>
              <w:t>Demilitarized Zone</w:t>
            </w:r>
          </w:p>
        </w:tc>
      </w:tr>
      <w:tr w:rsidR="00CA0A00" w:rsidRPr="00576AF8" w14:paraId="7CCA1904" w14:textId="77777777" w:rsidTr="009F6B78">
        <w:trPr>
          <w:cantSplit/>
          <w:trHeight w:val="307"/>
        </w:trPr>
        <w:tc>
          <w:tcPr>
            <w:tcW w:w="0" w:type="auto"/>
            <w:vAlign w:val="center"/>
          </w:tcPr>
          <w:p w14:paraId="634AE8BF" w14:textId="77777777" w:rsidR="00CA0A00" w:rsidRPr="00576AF8" w:rsidRDefault="00CA0A00" w:rsidP="009F6B78">
            <w:pPr>
              <w:spacing w:before="60" w:after="60"/>
              <w:ind w:right="-360"/>
              <w:jc w:val="left"/>
              <w:rPr>
                <w:szCs w:val="24"/>
              </w:rPr>
            </w:pPr>
            <w:r w:rsidRPr="00576AF8">
              <w:rPr>
                <w:color w:val="000000"/>
                <w:szCs w:val="24"/>
              </w:rPr>
              <w:t>DNC</w:t>
            </w:r>
          </w:p>
        </w:tc>
        <w:tc>
          <w:tcPr>
            <w:tcW w:w="0" w:type="auto"/>
            <w:vAlign w:val="center"/>
          </w:tcPr>
          <w:p w14:paraId="4BCFC51F" w14:textId="77777777" w:rsidR="00CA0A00" w:rsidRPr="00576AF8" w:rsidRDefault="00CA0A00" w:rsidP="009F6B78">
            <w:pPr>
              <w:spacing w:before="60" w:after="60"/>
              <w:jc w:val="left"/>
              <w:rPr>
                <w:szCs w:val="24"/>
              </w:rPr>
            </w:pPr>
            <w:r w:rsidRPr="00576AF8">
              <w:rPr>
                <w:color w:val="000000"/>
                <w:szCs w:val="24"/>
              </w:rPr>
              <w:t>Dynamic Network Coloring</w:t>
            </w:r>
          </w:p>
        </w:tc>
      </w:tr>
      <w:tr w:rsidR="00CA0A00" w:rsidRPr="00576AF8" w14:paraId="289E042F" w14:textId="77777777" w:rsidTr="009F6B78">
        <w:trPr>
          <w:cantSplit/>
          <w:trHeight w:val="321"/>
        </w:trPr>
        <w:tc>
          <w:tcPr>
            <w:tcW w:w="0" w:type="auto"/>
            <w:vAlign w:val="center"/>
          </w:tcPr>
          <w:p w14:paraId="702E97BA" w14:textId="77777777" w:rsidR="00CA0A00" w:rsidRPr="00576AF8" w:rsidRDefault="00CA0A00" w:rsidP="009F6B78">
            <w:pPr>
              <w:spacing w:before="60" w:after="60"/>
              <w:ind w:right="-360"/>
              <w:jc w:val="left"/>
              <w:rPr>
                <w:szCs w:val="24"/>
              </w:rPr>
            </w:pPr>
            <w:r w:rsidRPr="00576AF8">
              <w:rPr>
                <w:color w:val="000000"/>
                <w:szCs w:val="24"/>
              </w:rPr>
              <w:t>DNP</w:t>
            </w:r>
          </w:p>
        </w:tc>
        <w:tc>
          <w:tcPr>
            <w:tcW w:w="0" w:type="auto"/>
            <w:vAlign w:val="center"/>
          </w:tcPr>
          <w:p w14:paraId="467F9C5A" w14:textId="77777777" w:rsidR="00CA0A00" w:rsidRPr="00576AF8" w:rsidRDefault="00CA0A00" w:rsidP="009F6B78">
            <w:pPr>
              <w:spacing w:before="60" w:after="60"/>
              <w:jc w:val="left"/>
              <w:rPr>
                <w:szCs w:val="24"/>
              </w:rPr>
            </w:pPr>
            <w:r w:rsidRPr="00576AF8">
              <w:rPr>
                <w:color w:val="000000"/>
                <w:szCs w:val="24"/>
              </w:rPr>
              <w:t>Distributed Network Protocol</w:t>
            </w:r>
          </w:p>
        </w:tc>
      </w:tr>
      <w:tr w:rsidR="00CA0A00" w:rsidRPr="00576AF8" w14:paraId="5EB834BC" w14:textId="77777777" w:rsidTr="009F6B78">
        <w:trPr>
          <w:cantSplit/>
          <w:trHeight w:val="307"/>
        </w:trPr>
        <w:tc>
          <w:tcPr>
            <w:tcW w:w="0" w:type="auto"/>
            <w:vAlign w:val="center"/>
          </w:tcPr>
          <w:p w14:paraId="51135098" w14:textId="77777777" w:rsidR="00CA0A00" w:rsidRPr="00576AF8" w:rsidRDefault="00CA0A00" w:rsidP="009F6B78">
            <w:pPr>
              <w:spacing w:before="60" w:after="60"/>
              <w:ind w:right="-360"/>
              <w:jc w:val="left"/>
              <w:rPr>
                <w:szCs w:val="24"/>
              </w:rPr>
            </w:pPr>
            <w:r w:rsidRPr="00576AF8">
              <w:rPr>
                <w:color w:val="000000"/>
                <w:szCs w:val="24"/>
              </w:rPr>
              <w:t>DoS</w:t>
            </w:r>
          </w:p>
        </w:tc>
        <w:tc>
          <w:tcPr>
            <w:tcW w:w="0" w:type="auto"/>
            <w:vAlign w:val="center"/>
          </w:tcPr>
          <w:p w14:paraId="6D07C908" w14:textId="77777777" w:rsidR="00CA0A00" w:rsidRPr="00576AF8" w:rsidRDefault="00CA0A00" w:rsidP="009F6B78">
            <w:pPr>
              <w:spacing w:before="60" w:after="60"/>
              <w:jc w:val="left"/>
              <w:rPr>
                <w:szCs w:val="24"/>
              </w:rPr>
            </w:pPr>
            <w:r w:rsidRPr="00576AF8">
              <w:rPr>
                <w:color w:val="000000"/>
                <w:szCs w:val="24"/>
              </w:rPr>
              <w:t>Denial Of Service</w:t>
            </w:r>
          </w:p>
        </w:tc>
      </w:tr>
      <w:tr w:rsidR="00CA0A00" w:rsidRPr="00576AF8" w14:paraId="72D2EECD" w14:textId="77777777" w:rsidTr="009F6B78">
        <w:trPr>
          <w:cantSplit/>
          <w:trHeight w:val="307"/>
        </w:trPr>
        <w:tc>
          <w:tcPr>
            <w:tcW w:w="0" w:type="auto"/>
            <w:vAlign w:val="center"/>
          </w:tcPr>
          <w:p w14:paraId="5BCC01D0" w14:textId="77777777" w:rsidR="00CA0A00" w:rsidRPr="00576AF8" w:rsidRDefault="00CA0A00" w:rsidP="009F6B78">
            <w:pPr>
              <w:spacing w:before="60" w:after="60"/>
              <w:ind w:right="-360"/>
              <w:jc w:val="left"/>
              <w:rPr>
                <w:szCs w:val="24"/>
              </w:rPr>
            </w:pPr>
            <w:r w:rsidRPr="00576AF8">
              <w:rPr>
                <w:color w:val="000000"/>
                <w:szCs w:val="24"/>
              </w:rPr>
              <w:t>DPF</w:t>
            </w:r>
          </w:p>
        </w:tc>
        <w:tc>
          <w:tcPr>
            <w:tcW w:w="0" w:type="auto"/>
            <w:vAlign w:val="center"/>
          </w:tcPr>
          <w:p w14:paraId="3C6E6985" w14:textId="77777777" w:rsidR="00CA0A00" w:rsidRPr="00576AF8" w:rsidRDefault="00CA0A00" w:rsidP="009F6B78">
            <w:pPr>
              <w:spacing w:before="60" w:after="60"/>
              <w:jc w:val="left"/>
              <w:rPr>
                <w:szCs w:val="24"/>
              </w:rPr>
            </w:pPr>
            <w:r w:rsidRPr="00576AF8">
              <w:rPr>
                <w:color w:val="000000"/>
                <w:szCs w:val="24"/>
              </w:rPr>
              <w:t>Dispatcher Power Flow</w:t>
            </w:r>
          </w:p>
        </w:tc>
      </w:tr>
      <w:tr w:rsidR="00CA0A00" w:rsidRPr="00576AF8" w14:paraId="7E1A01D7" w14:textId="77777777" w:rsidTr="009F6B78">
        <w:trPr>
          <w:cantSplit/>
          <w:trHeight w:val="321"/>
        </w:trPr>
        <w:tc>
          <w:tcPr>
            <w:tcW w:w="0" w:type="auto"/>
            <w:vAlign w:val="center"/>
          </w:tcPr>
          <w:p w14:paraId="2120265C" w14:textId="77777777" w:rsidR="00CA0A00" w:rsidRPr="00576AF8" w:rsidRDefault="00CA0A00" w:rsidP="009F6B78">
            <w:pPr>
              <w:spacing w:before="60" w:after="60"/>
              <w:ind w:right="-360"/>
              <w:jc w:val="left"/>
              <w:rPr>
                <w:szCs w:val="24"/>
              </w:rPr>
            </w:pPr>
            <w:r w:rsidRPr="00576AF8">
              <w:rPr>
                <w:color w:val="000000"/>
                <w:szCs w:val="24"/>
              </w:rPr>
              <w:t>DPI</w:t>
            </w:r>
          </w:p>
        </w:tc>
        <w:tc>
          <w:tcPr>
            <w:tcW w:w="0" w:type="auto"/>
            <w:vAlign w:val="center"/>
          </w:tcPr>
          <w:p w14:paraId="696C62DF" w14:textId="77777777" w:rsidR="00CA0A00" w:rsidRPr="00576AF8" w:rsidRDefault="00CA0A00" w:rsidP="009F6B78">
            <w:pPr>
              <w:spacing w:before="60" w:after="60"/>
              <w:jc w:val="left"/>
              <w:rPr>
                <w:szCs w:val="24"/>
              </w:rPr>
            </w:pPr>
            <w:r w:rsidRPr="00576AF8">
              <w:rPr>
                <w:color w:val="000000"/>
                <w:szCs w:val="24"/>
              </w:rPr>
              <w:t>Deep Packet Inspection</w:t>
            </w:r>
          </w:p>
        </w:tc>
      </w:tr>
      <w:tr w:rsidR="00CA0A00" w:rsidRPr="00576AF8" w14:paraId="6CB0146B" w14:textId="77777777" w:rsidTr="009F6B78">
        <w:trPr>
          <w:cantSplit/>
          <w:trHeight w:val="307"/>
        </w:trPr>
        <w:tc>
          <w:tcPr>
            <w:tcW w:w="0" w:type="auto"/>
            <w:vAlign w:val="center"/>
          </w:tcPr>
          <w:p w14:paraId="46C58679" w14:textId="77777777" w:rsidR="00CA0A00" w:rsidRPr="00576AF8" w:rsidRDefault="00CA0A00" w:rsidP="009F6B78">
            <w:pPr>
              <w:spacing w:before="60" w:after="60"/>
              <w:ind w:right="-360"/>
              <w:jc w:val="left"/>
              <w:rPr>
                <w:szCs w:val="24"/>
              </w:rPr>
            </w:pPr>
            <w:r w:rsidRPr="00576AF8">
              <w:rPr>
                <w:color w:val="000000"/>
                <w:szCs w:val="24"/>
              </w:rPr>
              <w:t>DPS</w:t>
            </w:r>
          </w:p>
        </w:tc>
        <w:tc>
          <w:tcPr>
            <w:tcW w:w="0" w:type="auto"/>
            <w:vAlign w:val="center"/>
          </w:tcPr>
          <w:p w14:paraId="22C4A30E" w14:textId="77777777" w:rsidR="00CA0A00" w:rsidRPr="00576AF8" w:rsidRDefault="00CA0A00" w:rsidP="009F6B78">
            <w:pPr>
              <w:spacing w:before="60" w:after="60"/>
              <w:jc w:val="left"/>
              <w:rPr>
                <w:szCs w:val="24"/>
              </w:rPr>
            </w:pPr>
            <w:r w:rsidRPr="00576AF8">
              <w:rPr>
                <w:color w:val="000000"/>
                <w:szCs w:val="24"/>
              </w:rPr>
              <w:t>Data Processing Simulated</w:t>
            </w:r>
          </w:p>
        </w:tc>
      </w:tr>
      <w:tr w:rsidR="00CA0A00" w:rsidRPr="00576AF8" w14:paraId="0E2B2AE9" w14:textId="77777777" w:rsidTr="009F6B78">
        <w:trPr>
          <w:cantSplit/>
          <w:trHeight w:val="307"/>
        </w:trPr>
        <w:tc>
          <w:tcPr>
            <w:tcW w:w="0" w:type="auto"/>
            <w:vAlign w:val="center"/>
          </w:tcPr>
          <w:p w14:paraId="3A0C3FE3" w14:textId="77777777" w:rsidR="00CA0A00" w:rsidRPr="00576AF8" w:rsidRDefault="00CA0A00" w:rsidP="009F6B78">
            <w:pPr>
              <w:spacing w:before="60" w:after="60"/>
              <w:ind w:right="-360"/>
              <w:jc w:val="left"/>
              <w:rPr>
                <w:szCs w:val="24"/>
              </w:rPr>
            </w:pPr>
            <w:r w:rsidRPr="00576AF8">
              <w:rPr>
                <w:color w:val="000000"/>
                <w:szCs w:val="24"/>
              </w:rPr>
              <w:t>DSA</w:t>
            </w:r>
          </w:p>
        </w:tc>
        <w:tc>
          <w:tcPr>
            <w:tcW w:w="0" w:type="auto"/>
            <w:vAlign w:val="center"/>
          </w:tcPr>
          <w:p w14:paraId="02FBBA6A" w14:textId="77777777" w:rsidR="00CA0A00" w:rsidRPr="00576AF8" w:rsidRDefault="00CA0A00" w:rsidP="009F6B78">
            <w:pPr>
              <w:spacing w:before="60" w:after="60"/>
              <w:jc w:val="left"/>
              <w:rPr>
                <w:szCs w:val="24"/>
              </w:rPr>
            </w:pPr>
            <w:r w:rsidRPr="00576AF8">
              <w:rPr>
                <w:color w:val="000000"/>
                <w:szCs w:val="24"/>
              </w:rPr>
              <w:t>Dynamic Security Assessment</w:t>
            </w:r>
          </w:p>
        </w:tc>
      </w:tr>
      <w:tr w:rsidR="00CA0A00" w:rsidRPr="00576AF8" w14:paraId="1D0893BB" w14:textId="77777777" w:rsidTr="009F6B78">
        <w:trPr>
          <w:cantSplit/>
          <w:trHeight w:val="321"/>
        </w:trPr>
        <w:tc>
          <w:tcPr>
            <w:tcW w:w="0" w:type="auto"/>
            <w:vAlign w:val="center"/>
          </w:tcPr>
          <w:p w14:paraId="2919DB2E" w14:textId="77777777" w:rsidR="00CA0A00" w:rsidRPr="00576AF8" w:rsidRDefault="00CA0A00" w:rsidP="009F6B78">
            <w:pPr>
              <w:spacing w:before="60" w:after="60"/>
              <w:ind w:right="-360"/>
              <w:jc w:val="left"/>
              <w:rPr>
                <w:szCs w:val="24"/>
              </w:rPr>
            </w:pPr>
            <w:r w:rsidRPr="00576AF8">
              <w:rPr>
                <w:color w:val="000000"/>
                <w:szCs w:val="24"/>
              </w:rPr>
              <w:t>EAC</w:t>
            </w:r>
          </w:p>
        </w:tc>
        <w:tc>
          <w:tcPr>
            <w:tcW w:w="0" w:type="auto"/>
            <w:vAlign w:val="center"/>
          </w:tcPr>
          <w:p w14:paraId="5FFA3678" w14:textId="77777777" w:rsidR="00CA0A00" w:rsidRPr="00576AF8" w:rsidRDefault="00CA0A00" w:rsidP="009F6B78">
            <w:pPr>
              <w:spacing w:before="60" w:after="60"/>
              <w:jc w:val="left"/>
              <w:rPr>
                <w:szCs w:val="24"/>
              </w:rPr>
            </w:pPr>
            <w:r w:rsidRPr="00576AF8">
              <w:rPr>
                <w:color w:val="000000"/>
                <w:szCs w:val="24"/>
              </w:rPr>
              <w:t>Esquema de Acción Correctiva</w:t>
            </w:r>
          </w:p>
        </w:tc>
      </w:tr>
      <w:tr w:rsidR="00CA0A00" w:rsidRPr="00576AF8" w14:paraId="677E3C29" w14:textId="77777777" w:rsidTr="009F6B78">
        <w:trPr>
          <w:cantSplit/>
          <w:trHeight w:val="307"/>
        </w:trPr>
        <w:tc>
          <w:tcPr>
            <w:tcW w:w="0" w:type="auto"/>
            <w:vAlign w:val="center"/>
          </w:tcPr>
          <w:p w14:paraId="6D182341" w14:textId="77777777" w:rsidR="00CA0A00" w:rsidRPr="00576AF8" w:rsidRDefault="00CA0A00" w:rsidP="009F6B78">
            <w:pPr>
              <w:spacing w:before="60" w:after="60"/>
              <w:ind w:right="-360"/>
              <w:jc w:val="left"/>
              <w:rPr>
                <w:szCs w:val="24"/>
              </w:rPr>
            </w:pPr>
            <w:r w:rsidRPr="00576AF8">
              <w:rPr>
                <w:color w:val="000000"/>
                <w:szCs w:val="24"/>
              </w:rPr>
              <w:t>ED</w:t>
            </w:r>
          </w:p>
        </w:tc>
        <w:tc>
          <w:tcPr>
            <w:tcW w:w="0" w:type="auto"/>
            <w:vAlign w:val="center"/>
          </w:tcPr>
          <w:p w14:paraId="520D68E7" w14:textId="77777777" w:rsidR="00CA0A00" w:rsidRPr="00576AF8" w:rsidRDefault="00CA0A00" w:rsidP="009F6B78">
            <w:pPr>
              <w:spacing w:before="60" w:after="60"/>
              <w:jc w:val="left"/>
              <w:rPr>
                <w:szCs w:val="24"/>
              </w:rPr>
            </w:pPr>
            <w:r w:rsidRPr="00576AF8">
              <w:rPr>
                <w:color w:val="000000"/>
                <w:szCs w:val="24"/>
              </w:rPr>
              <w:t>Economic Dispatch</w:t>
            </w:r>
          </w:p>
        </w:tc>
      </w:tr>
      <w:tr w:rsidR="00CA0A00" w:rsidRPr="00576AF8" w14:paraId="040B00BC" w14:textId="77777777" w:rsidTr="009F6B78">
        <w:trPr>
          <w:cantSplit/>
          <w:trHeight w:val="307"/>
        </w:trPr>
        <w:tc>
          <w:tcPr>
            <w:tcW w:w="0" w:type="auto"/>
            <w:vAlign w:val="center"/>
          </w:tcPr>
          <w:p w14:paraId="70D6CD5A" w14:textId="77777777" w:rsidR="00CA0A00" w:rsidRPr="00576AF8" w:rsidRDefault="00CA0A00" w:rsidP="009F6B78">
            <w:pPr>
              <w:spacing w:before="60" w:after="60"/>
              <w:ind w:right="-360"/>
              <w:jc w:val="left"/>
              <w:rPr>
                <w:szCs w:val="24"/>
              </w:rPr>
            </w:pPr>
            <w:r w:rsidRPr="00576AF8">
              <w:rPr>
                <w:color w:val="000000"/>
                <w:szCs w:val="24"/>
              </w:rPr>
              <w:t>EDR</w:t>
            </w:r>
          </w:p>
        </w:tc>
        <w:tc>
          <w:tcPr>
            <w:tcW w:w="0" w:type="auto"/>
            <w:vAlign w:val="center"/>
          </w:tcPr>
          <w:p w14:paraId="7B90FB70" w14:textId="77777777" w:rsidR="00CA0A00" w:rsidRPr="00576AF8" w:rsidRDefault="00CA0A00" w:rsidP="009F6B78">
            <w:pPr>
              <w:spacing w:before="60" w:after="60"/>
              <w:jc w:val="left"/>
              <w:rPr>
                <w:szCs w:val="24"/>
              </w:rPr>
            </w:pPr>
            <w:r w:rsidRPr="00576AF8">
              <w:rPr>
                <w:color w:val="000000"/>
                <w:szCs w:val="24"/>
              </w:rPr>
              <w:t>Endpoint Detection And Response</w:t>
            </w:r>
          </w:p>
        </w:tc>
      </w:tr>
      <w:tr w:rsidR="00CA0A00" w:rsidRPr="00576AF8" w14:paraId="706D94DE" w14:textId="77777777" w:rsidTr="009F6B78">
        <w:trPr>
          <w:cantSplit/>
          <w:trHeight w:val="307"/>
        </w:trPr>
        <w:tc>
          <w:tcPr>
            <w:tcW w:w="0" w:type="auto"/>
            <w:vAlign w:val="center"/>
          </w:tcPr>
          <w:p w14:paraId="3527E851" w14:textId="77777777" w:rsidR="00CA0A00" w:rsidRPr="00576AF8" w:rsidRDefault="00CA0A00" w:rsidP="009F6B78">
            <w:pPr>
              <w:spacing w:before="60" w:after="60"/>
              <w:ind w:right="-360"/>
              <w:jc w:val="left"/>
              <w:rPr>
                <w:szCs w:val="24"/>
              </w:rPr>
            </w:pPr>
            <w:r w:rsidRPr="00576AF8">
              <w:rPr>
                <w:color w:val="000000"/>
                <w:szCs w:val="24"/>
              </w:rPr>
              <w:t>EGSl</w:t>
            </w:r>
          </w:p>
        </w:tc>
        <w:tc>
          <w:tcPr>
            <w:tcW w:w="0" w:type="auto"/>
            <w:vAlign w:val="center"/>
          </w:tcPr>
          <w:p w14:paraId="570831DB" w14:textId="77777777" w:rsidR="00CA0A00" w:rsidRPr="00576AF8" w:rsidRDefault="00CA0A00" w:rsidP="009F6B78">
            <w:pPr>
              <w:spacing w:before="60" w:after="60"/>
              <w:jc w:val="left"/>
              <w:rPr>
                <w:szCs w:val="24"/>
              </w:rPr>
            </w:pPr>
            <w:r w:rsidRPr="00576AF8">
              <w:rPr>
                <w:color w:val="000000"/>
                <w:szCs w:val="24"/>
              </w:rPr>
              <w:t>Esquema Gubernamental de Seguridad de la Información</w:t>
            </w:r>
          </w:p>
        </w:tc>
      </w:tr>
      <w:tr w:rsidR="00CA0A00" w:rsidRPr="00576AF8" w14:paraId="77BF1262" w14:textId="77777777" w:rsidTr="009F6B78">
        <w:trPr>
          <w:cantSplit/>
          <w:trHeight w:val="521"/>
        </w:trPr>
        <w:tc>
          <w:tcPr>
            <w:tcW w:w="0" w:type="auto"/>
            <w:vAlign w:val="center"/>
          </w:tcPr>
          <w:p w14:paraId="36F50195" w14:textId="77777777" w:rsidR="00CA0A00" w:rsidRPr="00576AF8" w:rsidRDefault="00CA0A00" w:rsidP="009F6B78">
            <w:pPr>
              <w:spacing w:before="60" w:after="60"/>
              <w:ind w:right="-360"/>
              <w:jc w:val="left"/>
              <w:rPr>
                <w:szCs w:val="24"/>
              </w:rPr>
            </w:pPr>
            <w:r w:rsidRPr="00576AF8">
              <w:rPr>
                <w:color w:val="000000"/>
                <w:szCs w:val="24"/>
              </w:rPr>
              <w:t>EIA</w:t>
            </w:r>
          </w:p>
        </w:tc>
        <w:tc>
          <w:tcPr>
            <w:tcW w:w="0" w:type="auto"/>
            <w:vAlign w:val="center"/>
          </w:tcPr>
          <w:p w14:paraId="704A918F" w14:textId="77777777" w:rsidR="00CA0A00" w:rsidRPr="00576AF8" w:rsidRDefault="00CA0A00" w:rsidP="009F6B78">
            <w:pPr>
              <w:spacing w:before="60" w:after="60"/>
              <w:jc w:val="left"/>
              <w:rPr>
                <w:szCs w:val="24"/>
              </w:rPr>
            </w:pPr>
            <w:r w:rsidRPr="00576AF8">
              <w:rPr>
                <w:color w:val="000000"/>
                <w:szCs w:val="24"/>
              </w:rPr>
              <w:t>Electronic Industries Alliance</w:t>
            </w:r>
          </w:p>
        </w:tc>
      </w:tr>
      <w:tr w:rsidR="00CA0A00" w:rsidRPr="00576AF8" w14:paraId="09F3475E" w14:textId="77777777" w:rsidTr="009F6B78">
        <w:trPr>
          <w:cantSplit/>
          <w:trHeight w:val="521"/>
        </w:trPr>
        <w:tc>
          <w:tcPr>
            <w:tcW w:w="0" w:type="auto"/>
            <w:vAlign w:val="center"/>
          </w:tcPr>
          <w:p w14:paraId="7831281E" w14:textId="77777777" w:rsidR="00CA0A00" w:rsidRPr="00576AF8" w:rsidRDefault="00CA0A00" w:rsidP="009F6B78">
            <w:pPr>
              <w:spacing w:before="60" w:after="60"/>
              <w:ind w:right="-360"/>
              <w:jc w:val="left"/>
              <w:rPr>
                <w:szCs w:val="24"/>
              </w:rPr>
            </w:pPr>
            <w:r w:rsidRPr="00576AF8">
              <w:rPr>
                <w:color w:val="000000"/>
                <w:szCs w:val="24"/>
              </w:rPr>
              <w:t>EMS</w:t>
            </w:r>
          </w:p>
        </w:tc>
        <w:tc>
          <w:tcPr>
            <w:tcW w:w="0" w:type="auto"/>
            <w:vAlign w:val="center"/>
          </w:tcPr>
          <w:p w14:paraId="10DD041B" w14:textId="77777777" w:rsidR="00CA0A00" w:rsidRPr="00576AF8" w:rsidRDefault="00CA0A00" w:rsidP="009F6B78">
            <w:pPr>
              <w:spacing w:before="60" w:after="60"/>
              <w:jc w:val="left"/>
              <w:rPr>
                <w:szCs w:val="24"/>
              </w:rPr>
            </w:pPr>
            <w:r w:rsidRPr="00576AF8">
              <w:rPr>
                <w:color w:val="000000"/>
                <w:szCs w:val="24"/>
              </w:rPr>
              <w:t>Energy Management System</w:t>
            </w:r>
          </w:p>
        </w:tc>
      </w:tr>
      <w:tr w:rsidR="00CA0A00" w:rsidRPr="00576AF8" w14:paraId="6F85032F" w14:textId="77777777" w:rsidTr="009F6B78">
        <w:trPr>
          <w:cantSplit/>
          <w:trHeight w:val="307"/>
        </w:trPr>
        <w:tc>
          <w:tcPr>
            <w:tcW w:w="0" w:type="auto"/>
            <w:vAlign w:val="center"/>
          </w:tcPr>
          <w:p w14:paraId="5505A688" w14:textId="77777777" w:rsidR="00CA0A00" w:rsidRPr="00576AF8" w:rsidRDefault="00CA0A00" w:rsidP="009F6B78">
            <w:pPr>
              <w:spacing w:before="60" w:after="60"/>
              <w:ind w:right="-360"/>
              <w:jc w:val="left"/>
              <w:rPr>
                <w:szCs w:val="24"/>
              </w:rPr>
            </w:pPr>
            <w:r w:rsidRPr="00576AF8">
              <w:rPr>
                <w:color w:val="000000"/>
                <w:szCs w:val="24"/>
              </w:rPr>
              <w:t>ENTSO</w:t>
            </w:r>
          </w:p>
        </w:tc>
        <w:tc>
          <w:tcPr>
            <w:tcW w:w="0" w:type="auto"/>
            <w:vAlign w:val="center"/>
          </w:tcPr>
          <w:p w14:paraId="54D290E3" w14:textId="77777777" w:rsidR="00CA0A00" w:rsidRPr="00576AF8" w:rsidRDefault="00CA0A00" w:rsidP="009F6B78">
            <w:pPr>
              <w:pStyle w:val="NormalWeb"/>
              <w:spacing w:before="0" w:beforeAutospacing="0" w:after="0" w:afterAutospacing="0"/>
              <w:ind w:left="662"/>
              <w:jc w:val="left"/>
              <w:rPr>
                <w:rFonts w:ascii="Times New Roman" w:hAnsi="Times New Roman" w:cs="Times New Roman"/>
                <w:lang w:val="en-US"/>
              </w:rPr>
            </w:pPr>
            <w:r w:rsidRPr="00576AF8">
              <w:rPr>
                <w:rFonts w:ascii="Times New Roman" w:hAnsi="Times New Roman" w:cs="Times New Roman"/>
                <w:color w:val="000000"/>
                <w:lang w:val="en-US"/>
              </w:rPr>
              <w:t>European Network of Transmission System Operators for</w:t>
            </w:r>
          </w:p>
          <w:p w14:paraId="2D0D3A5E" w14:textId="77777777" w:rsidR="00CA0A00" w:rsidRPr="00576AF8" w:rsidRDefault="00CA0A00" w:rsidP="009F6B78">
            <w:pPr>
              <w:spacing w:before="60" w:after="60"/>
              <w:jc w:val="left"/>
              <w:rPr>
                <w:szCs w:val="24"/>
              </w:rPr>
            </w:pPr>
            <w:r w:rsidRPr="00576AF8">
              <w:rPr>
                <w:color w:val="000000"/>
                <w:szCs w:val="24"/>
              </w:rPr>
              <w:t>Electricity</w:t>
            </w:r>
          </w:p>
        </w:tc>
      </w:tr>
      <w:tr w:rsidR="00CA0A00" w:rsidRPr="00576AF8" w14:paraId="21A5B088" w14:textId="77777777" w:rsidTr="009F6B78">
        <w:trPr>
          <w:cantSplit/>
          <w:trHeight w:val="307"/>
        </w:trPr>
        <w:tc>
          <w:tcPr>
            <w:tcW w:w="0" w:type="auto"/>
            <w:vAlign w:val="center"/>
          </w:tcPr>
          <w:p w14:paraId="5CD81683" w14:textId="77777777" w:rsidR="00CA0A00" w:rsidRPr="00576AF8" w:rsidRDefault="00CA0A00" w:rsidP="009F6B78">
            <w:pPr>
              <w:spacing w:before="60" w:after="60"/>
              <w:ind w:right="-360"/>
              <w:jc w:val="left"/>
              <w:rPr>
                <w:szCs w:val="24"/>
              </w:rPr>
            </w:pPr>
            <w:r w:rsidRPr="00576AF8">
              <w:rPr>
                <w:color w:val="000000"/>
                <w:szCs w:val="24"/>
              </w:rPr>
              <w:t>EOP</w:t>
            </w:r>
          </w:p>
        </w:tc>
        <w:tc>
          <w:tcPr>
            <w:tcW w:w="0" w:type="auto"/>
            <w:vAlign w:val="center"/>
          </w:tcPr>
          <w:p w14:paraId="68E483EB" w14:textId="77777777" w:rsidR="00CA0A00" w:rsidRPr="00576AF8" w:rsidRDefault="00CA0A00" w:rsidP="009F6B78">
            <w:pPr>
              <w:spacing w:before="60" w:after="60"/>
              <w:jc w:val="left"/>
              <w:rPr>
                <w:szCs w:val="24"/>
              </w:rPr>
            </w:pPr>
            <w:r w:rsidRPr="00576AF8">
              <w:rPr>
                <w:color w:val="000000"/>
                <w:szCs w:val="24"/>
              </w:rPr>
              <w:t>End of Period Cycle</w:t>
            </w:r>
          </w:p>
        </w:tc>
      </w:tr>
      <w:tr w:rsidR="00CA0A00" w:rsidRPr="00576AF8" w14:paraId="046C7B2A" w14:textId="77777777" w:rsidTr="009F6B78">
        <w:trPr>
          <w:cantSplit/>
          <w:trHeight w:val="321"/>
        </w:trPr>
        <w:tc>
          <w:tcPr>
            <w:tcW w:w="0" w:type="auto"/>
            <w:vAlign w:val="center"/>
          </w:tcPr>
          <w:p w14:paraId="6C7202EE" w14:textId="77777777" w:rsidR="00CA0A00" w:rsidRPr="00576AF8" w:rsidRDefault="00CA0A00" w:rsidP="009F6B78">
            <w:pPr>
              <w:spacing w:before="60" w:after="60"/>
              <w:ind w:right="-360"/>
              <w:jc w:val="left"/>
              <w:rPr>
                <w:szCs w:val="24"/>
              </w:rPr>
            </w:pPr>
            <w:r w:rsidRPr="00576AF8">
              <w:rPr>
                <w:color w:val="000000"/>
                <w:szCs w:val="24"/>
              </w:rPr>
              <w:t>EOS</w:t>
            </w:r>
          </w:p>
        </w:tc>
        <w:tc>
          <w:tcPr>
            <w:tcW w:w="0" w:type="auto"/>
            <w:vAlign w:val="center"/>
          </w:tcPr>
          <w:p w14:paraId="6CE76722" w14:textId="77777777" w:rsidR="00CA0A00" w:rsidRPr="00576AF8" w:rsidRDefault="00CA0A00" w:rsidP="009F6B78">
            <w:pPr>
              <w:spacing w:before="60" w:after="60"/>
              <w:jc w:val="left"/>
              <w:rPr>
                <w:szCs w:val="24"/>
              </w:rPr>
            </w:pPr>
            <w:r w:rsidRPr="00576AF8">
              <w:rPr>
                <w:color w:val="000000"/>
                <w:szCs w:val="24"/>
              </w:rPr>
              <w:t>Equipment Outage Scheduler</w:t>
            </w:r>
          </w:p>
        </w:tc>
      </w:tr>
      <w:tr w:rsidR="00CA0A00" w:rsidRPr="00576AF8" w14:paraId="4600108E" w14:textId="77777777" w:rsidTr="009F6B78">
        <w:trPr>
          <w:cantSplit/>
          <w:trHeight w:val="307"/>
        </w:trPr>
        <w:tc>
          <w:tcPr>
            <w:tcW w:w="0" w:type="auto"/>
            <w:vAlign w:val="center"/>
          </w:tcPr>
          <w:p w14:paraId="50BDBED1" w14:textId="77777777" w:rsidR="00CA0A00" w:rsidRPr="00576AF8" w:rsidRDefault="00CA0A00" w:rsidP="009F6B78">
            <w:pPr>
              <w:spacing w:before="60" w:after="60"/>
              <w:ind w:right="-360"/>
              <w:jc w:val="left"/>
              <w:rPr>
                <w:szCs w:val="24"/>
              </w:rPr>
            </w:pPr>
            <w:r w:rsidRPr="00576AF8">
              <w:rPr>
                <w:color w:val="000000"/>
                <w:szCs w:val="24"/>
              </w:rPr>
              <w:t>EPL</w:t>
            </w:r>
          </w:p>
        </w:tc>
        <w:tc>
          <w:tcPr>
            <w:tcW w:w="0" w:type="auto"/>
            <w:vAlign w:val="center"/>
          </w:tcPr>
          <w:p w14:paraId="1A4E397C" w14:textId="77777777" w:rsidR="00CA0A00" w:rsidRPr="00576AF8" w:rsidRDefault="00CA0A00" w:rsidP="009F6B78">
            <w:pPr>
              <w:spacing w:before="60" w:after="60"/>
              <w:jc w:val="left"/>
              <w:rPr>
                <w:szCs w:val="24"/>
              </w:rPr>
            </w:pPr>
            <w:r w:rsidRPr="00576AF8">
              <w:rPr>
                <w:color w:val="000000"/>
                <w:szCs w:val="24"/>
              </w:rPr>
              <w:t>Esquema de Protección Local</w:t>
            </w:r>
          </w:p>
        </w:tc>
      </w:tr>
      <w:tr w:rsidR="00CA0A00" w:rsidRPr="00576AF8" w14:paraId="356772B9" w14:textId="77777777" w:rsidTr="009F6B78">
        <w:trPr>
          <w:cantSplit/>
          <w:trHeight w:val="521"/>
        </w:trPr>
        <w:tc>
          <w:tcPr>
            <w:tcW w:w="0" w:type="auto"/>
            <w:vAlign w:val="center"/>
          </w:tcPr>
          <w:p w14:paraId="0B87EE82" w14:textId="77777777" w:rsidR="00CA0A00" w:rsidRPr="00576AF8" w:rsidRDefault="00CA0A00" w:rsidP="009F6B78">
            <w:pPr>
              <w:spacing w:before="60" w:after="60"/>
              <w:ind w:right="-360"/>
              <w:jc w:val="left"/>
              <w:rPr>
                <w:szCs w:val="24"/>
              </w:rPr>
            </w:pPr>
            <w:r w:rsidRPr="00576AF8">
              <w:rPr>
                <w:color w:val="000000"/>
                <w:szCs w:val="24"/>
              </w:rPr>
              <w:t>EPRI</w:t>
            </w:r>
          </w:p>
        </w:tc>
        <w:tc>
          <w:tcPr>
            <w:tcW w:w="0" w:type="auto"/>
            <w:vAlign w:val="center"/>
          </w:tcPr>
          <w:p w14:paraId="78D5994F" w14:textId="77777777" w:rsidR="00CA0A00" w:rsidRPr="00576AF8" w:rsidRDefault="00CA0A00" w:rsidP="009F6B78">
            <w:pPr>
              <w:spacing w:before="60" w:after="60"/>
              <w:jc w:val="left"/>
              <w:rPr>
                <w:szCs w:val="24"/>
              </w:rPr>
            </w:pPr>
            <w:r w:rsidRPr="00576AF8">
              <w:rPr>
                <w:color w:val="000000"/>
                <w:szCs w:val="24"/>
              </w:rPr>
              <w:t>Electric Power Research Institute</w:t>
            </w:r>
          </w:p>
        </w:tc>
      </w:tr>
      <w:tr w:rsidR="00CA0A00" w:rsidRPr="00576AF8" w14:paraId="79912557" w14:textId="77777777" w:rsidTr="009F6B78">
        <w:trPr>
          <w:cantSplit/>
          <w:trHeight w:val="508"/>
        </w:trPr>
        <w:tc>
          <w:tcPr>
            <w:tcW w:w="0" w:type="auto"/>
            <w:vAlign w:val="center"/>
          </w:tcPr>
          <w:p w14:paraId="5CA8E2F8" w14:textId="77777777" w:rsidR="00CA0A00" w:rsidRPr="00576AF8" w:rsidRDefault="00CA0A00" w:rsidP="009F6B78">
            <w:pPr>
              <w:spacing w:before="60" w:after="60"/>
              <w:ind w:right="-360"/>
              <w:jc w:val="left"/>
              <w:rPr>
                <w:szCs w:val="24"/>
              </w:rPr>
            </w:pPr>
            <w:r w:rsidRPr="00576AF8">
              <w:rPr>
                <w:color w:val="000000"/>
                <w:szCs w:val="24"/>
              </w:rPr>
              <w:t>ERNC</w:t>
            </w:r>
          </w:p>
        </w:tc>
        <w:tc>
          <w:tcPr>
            <w:tcW w:w="0" w:type="auto"/>
            <w:vAlign w:val="center"/>
          </w:tcPr>
          <w:p w14:paraId="56183409" w14:textId="77777777" w:rsidR="00CA0A00" w:rsidRPr="00576AF8" w:rsidRDefault="00CA0A00" w:rsidP="009F6B78">
            <w:pPr>
              <w:spacing w:before="60" w:after="60"/>
              <w:jc w:val="left"/>
              <w:rPr>
                <w:szCs w:val="24"/>
              </w:rPr>
            </w:pPr>
            <w:r w:rsidRPr="00576AF8">
              <w:rPr>
                <w:color w:val="000000"/>
                <w:szCs w:val="24"/>
              </w:rPr>
              <w:t>Energía Renovable No Convencional</w:t>
            </w:r>
          </w:p>
        </w:tc>
      </w:tr>
      <w:tr w:rsidR="00CA0A00" w:rsidRPr="00576AF8" w14:paraId="5EC815AC" w14:textId="77777777" w:rsidTr="009F6B78">
        <w:trPr>
          <w:cantSplit/>
          <w:trHeight w:val="321"/>
        </w:trPr>
        <w:tc>
          <w:tcPr>
            <w:tcW w:w="0" w:type="auto"/>
            <w:vAlign w:val="center"/>
          </w:tcPr>
          <w:p w14:paraId="50528645" w14:textId="77777777" w:rsidR="00CA0A00" w:rsidRPr="00576AF8" w:rsidRDefault="00CA0A00" w:rsidP="009F6B78">
            <w:pPr>
              <w:spacing w:before="60" w:after="60"/>
              <w:ind w:right="-360"/>
              <w:jc w:val="left"/>
              <w:rPr>
                <w:szCs w:val="24"/>
              </w:rPr>
            </w:pPr>
            <w:r w:rsidRPr="00576AF8">
              <w:rPr>
                <w:color w:val="000000"/>
                <w:szCs w:val="24"/>
              </w:rPr>
              <w:t>ERV</w:t>
            </w:r>
          </w:p>
        </w:tc>
        <w:tc>
          <w:tcPr>
            <w:tcW w:w="0" w:type="auto"/>
            <w:vAlign w:val="center"/>
          </w:tcPr>
          <w:p w14:paraId="08F5F516" w14:textId="77777777" w:rsidR="00CA0A00" w:rsidRPr="00576AF8" w:rsidRDefault="00CA0A00" w:rsidP="009F6B78">
            <w:pPr>
              <w:spacing w:before="60" w:after="60"/>
              <w:jc w:val="left"/>
              <w:rPr>
                <w:szCs w:val="24"/>
              </w:rPr>
            </w:pPr>
            <w:r w:rsidRPr="00576AF8">
              <w:rPr>
                <w:color w:val="000000"/>
                <w:szCs w:val="24"/>
              </w:rPr>
              <w:t>Energía Renovable Variable</w:t>
            </w:r>
          </w:p>
        </w:tc>
      </w:tr>
      <w:tr w:rsidR="00CA0A00" w:rsidRPr="00576AF8" w14:paraId="18B7A754" w14:textId="77777777" w:rsidTr="009F6B78">
        <w:trPr>
          <w:cantSplit/>
          <w:trHeight w:val="307"/>
        </w:trPr>
        <w:tc>
          <w:tcPr>
            <w:tcW w:w="0" w:type="auto"/>
            <w:vAlign w:val="center"/>
          </w:tcPr>
          <w:p w14:paraId="3CF448AB" w14:textId="77777777" w:rsidR="00CA0A00" w:rsidRPr="00576AF8" w:rsidRDefault="00CA0A00" w:rsidP="009F6B78">
            <w:pPr>
              <w:spacing w:before="60" w:after="60"/>
              <w:ind w:right="-360"/>
              <w:jc w:val="left"/>
              <w:rPr>
                <w:szCs w:val="24"/>
              </w:rPr>
            </w:pPr>
            <w:r w:rsidRPr="00576AF8">
              <w:rPr>
                <w:color w:val="000000"/>
                <w:szCs w:val="24"/>
              </w:rPr>
              <w:t>ESB</w:t>
            </w:r>
          </w:p>
        </w:tc>
        <w:tc>
          <w:tcPr>
            <w:tcW w:w="0" w:type="auto"/>
            <w:vAlign w:val="center"/>
          </w:tcPr>
          <w:p w14:paraId="02949228" w14:textId="77777777" w:rsidR="00CA0A00" w:rsidRPr="00576AF8" w:rsidRDefault="00CA0A00" w:rsidP="009F6B78">
            <w:pPr>
              <w:spacing w:before="60" w:after="60"/>
              <w:jc w:val="left"/>
              <w:rPr>
                <w:szCs w:val="24"/>
              </w:rPr>
            </w:pPr>
            <w:r w:rsidRPr="00576AF8">
              <w:rPr>
                <w:color w:val="000000"/>
                <w:szCs w:val="24"/>
              </w:rPr>
              <w:t>Enterprise Service Bus</w:t>
            </w:r>
          </w:p>
        </w:tc>
      </w:tr>
      <w:tr w:rsidR="00CA0A00" w:rsidRPr="00576AF8" w14:paraId="5F7777F9" w14:textId="77777777" w:rsidTr="009F6B78">
        <w:trPr>
          <w:cantSplit/>
          <w:trHeight w:val="307"/>
        </w:trPr>
        <w:tc>
          <w:tcPr>
            <w:tcW w:w="0" w:type="auto"/>
            <w:vAlign w:val="center"/>
          </w:tcPr>
          <w:p w14:paraId="589B0E18" w14:textId="77777777" w:rsidR="00CA0A00" w:rsidRPr="00576AF8" w:rsidRDefault="00CA0A00" w:rsidP="009F6B78">
            <w:pPr>
              <w:spacing w:before="60" w:after="60"/>
              <w:ind w:right="-360"/>
              <w:jc w:val="left"/>
              <w:rPr>
                <w:szCs w:val="24"/>
              </w:rPr>
            </w:pPr>
            <w:r w:rsidRPr="00576AF8">
              <w:rPr>
                <w:color w:val="000000"/>
                <w:szCs w:val="24"/>
              </w:rPr>
              <w:lastRenderedPageBreak/>
              <w:t>ETL</w:t>
            </w:r>
          </w:p>
        </w:tc>
        <w:tc>
          <w:tcPr>
            <w:tcW w:w="0" w:type="auto"/>
            <w:vAlign w:val="center"/>
          </w:tcPr>
          <w:p w14:paraId="4F7891A0" w14:textId="77777777" w:rsidR="00CA0A00" w:rsidRPr="00576AF8" w:rsidRDefault="00CA0A00" w:rsidP="009F6B78">
            <w:pPr>
              <w:spacing w:before="60" w:after="60"/>
              <w:jc w:val="left"/>
              <w:rPr>
                <w:szCs w:val="24"/>
              </w:rPr>
            </w:pPr>
            <w:r w:rsidRPr="00576AF8">
              <w:rPr>
                <w:color w:val="000000"/>
                <w:szCs w:val="24"/>
              </w:rPr>
              <w:t>Extract Transform and Load</w:t>
            </w:r>
          </w:p>
        </w:tc>
      </w:tr>
      <w:tr w:rsidR="00CA0A00" w:rsidRPr="00576AF8" w14:paraId="64132017" w14:textId="77777777" w:rsidTr="009F6B78">
        <w:trPr>
          <w:cantSplit/>
          <w:trHeight w:val="307"/>
        </w:trPr>
        <w:tc>
          <w:tcPr>
            <w:tcW w:w="0" w:type="auto"/>
            <w:vAlign w:val="center"/>
          </w:tcPr>
          <w:p w14:paraId="054264ED" w14:textId="77777777" w:rsidR="00CA0A00" w:rsidRPr="00576AF8" w:rsidRDefault="00CA0A00" w:rsidP="009F6B78">
            <w:pPr>
              <w:spacing w:before="60" w:after="60"/>
              <w:ind w:right="-360"/>
              <w:jc w:val="left"/>
              <w:rPr>
                <w:szCs w:val="24"/>
              </w:rPr>
            </w:pPr>
            <w:r w:rsidRPr="00576AF8">
              <w:rPr>
                <w:color w:val="000000"/>
                <w:szCs w:val="24"/>
              </w:rPr>
              <w:t>FACT</w:t>
            </w:r>
          </w:p>
        </w:tc>
        <w:tc>
          <w:tcPr>
            <w:tcW w:w="0" w:type="auto"/>
            <w:vAlign w:val="center"/>
          </w:tcPr>
          <w:p w14:paraId="5F2686ED" w14:textId="77777777" w:rsidR="00CA0A00" w:rsidRPr="00576AF8" w:rsidRDefault="00CA0A00" w:rsidP="009F6B78">
            <w:pPr>
              <w:spacing w:before="60" w:after="60"/>
              <w:jc w:val="left"/>
              <w:rPr>
                <w:szCs w:val="24"/>
              </w:rPr>
            </w:pPr>
            <w:r w:rsidRPr="00576AF8">
              <w:rPr>
                <w:color w:val="000000"/>
                <w:szCs w:val="24"/>
              </w:rPr>
              <w:t>Flexible AC Transmission System</w:t>
            </w:r>
          </w:p>
        </w:tc>
      </w:tr>
      <w:tr w:rsidR="00CA0A00" w:rsidRPr="00576AF8" w14:paraId="39E03DD5" w14:textId="77777777" w:rsidTr="009F6B78">
        <w:trPr>
          <w:cantSplit/>
          <w:trHeight w:val="307"/>
        </w:trPr>
        <w:tc>
          <w:tcPr>
            <w:tcW w:w="0" w:type="auto"/>
            <w:vAlign w:val="center"/>
          </w:tcPr>
          <w:p w14:paraId="4CC30512" w14:textId="77777777" w:rsidR="00D10AC2" w:rsidRPr="00576AF8" w:rsidRDefault="00CA0A00" w:rsidP="009F6B78">
            <w:pPr>
              <w:spacing w:before="60" w:after="60"/>
              <w:ind w:right="-360"/>
              <w:jc w:val="left"/>
              <w:rPr>
                <w:color w:val="000000"/>
              </w:rPr>
            </w:pPr>
            <w:r w:rsidRPr="00576AF8">
              <w:rPr>
                <w:color w:val="000000"/>
                <w:szCs w:val="24"/>
              </w:rPr>
              <w:t>FACTS</w:t>
            </w:r>
          </w:p>
        </w:tc>
        <w:tc>
          <w:tcPr>
            <w:tcW w:w="0" w:type="auto"/>
            <w:vAlign w:val="center"/>
          </w:tcPr>
          <w:p w14:paraId="70A660E6" w14:textId="77777777" w:rsidR="00CA0A00" w:rsidRPr="00576AF8" w:rsidRDefault="00CA0A00" w:rsidP="009F6B78">
            <w:pPr>
              <w:spacing w:before="60" w:after="60"/>
              <w:jc w:val="left"/>
              <w:rPr>
                <w:szCs w:val="24"/>
              </w:rPr>
            </w:pPr>
            <w:r w:rsidRPr="00576AF8">
              <w:rPr>
                <w:color w:val="000000"/>
                <w:szCs w:val="24"/>
              </w:rPr>
              <w:t>Flexible AC Transmission Systems</w:t>
            </w:r>
          </w:p>
        </w:tc>
      </w:tr>
      <w:tr w:rsidR="00CA0A00" w:rsidRPr="00576AF8" w14:paraId="22268620" w14:textId="77777777" w:rsidTr="009F6B78">
        <w:trPr>
          <w:cantSplit/>
          <w:trHeight w:val="307"/>
        </w:trPr>
        <w:tc>
          <w:tcPr>
            <w:tcW w:w="0" w:type="auto"/>
            <w:vAlign w:val="center"/>
          </w:tcPr>
          <w:p w14:paraId="6AB0EBF8" w14:textId="77777777" w:rsidR="00CA0A00" w:rsidRPr="00576AF8" w:rsidRDefault="00CA0A00" w:rsidP="009F6B78">
            <w:pPr>
              <w:spacing w:before="60" w:after="60"/>
              <w:ind w:right="-360"/>
              <w:jc w:val="left"/>
              <w:rPr>
                <w:szCs w:val="24"/>
              </w:rPr>
            </w:pPr>
            <w:r w:rsidRPr="00576AF8">
              <w:rPr>
                <w:color w:val="000000"/>
                <w:szCs w:val="24"/>
              </w:rPr>
              <w:t>FAT</w:t>
            </w:r>
          </w:p>
        </w:tc>
        <w:tc>
          <w:tcPr>
            <w:tcW w:w="0" w:type="auto"/>
            <w:vAlign w:val="center"/>
          </w:tcPr>
          <w:p w14:paraId="20596FE6" w14:textId="77777777" w:rsidR="00CA0A00" w:rsidRPr="00576AF8" w:rsidRDefault="00CA0A00" w:rsidP="009F6B78">
            <w:pPr>
              <w:spacing w:before="60" w:after="60"/>
              <w:jc w:val="left"/>
              <w:rPr>
                <w:szCs w:val="24"/>
              </w:rPr>
            </w:pPr>
            <w:r w:rsidRPr="00576AF8">
              <w:rPr>
                <w:color w:val="000000"/>
                <w:szCs w:val="24"/>
              </w:rPr>
              <w:t>Factory Acceptance Test</w:t>
            </w:r>
          </w:p>
        </w:tc>
      </w:tr>
      <w:tr w:rsidR="00CA0A00" w:rsidRPr="00576AF8" w14:paraId="382DC7A8" w14:textId="77777777" w:rsidTr="009F6B78">
        <w:trPr>
          <w:cantSplit/>
          <w:trHeight w:val="307"/>
        </w:trPr>
        <w:tc>
          <w:tcPr>
            <w:tcW w:w="0" w:type="auto"/>
            <w:vAlign w:val="center"/>
          </w:tcPr>
          <w:p w14:paraId="3AF43C9D" w14:textId="77777777" w:rsidR="00CA0A00" w:rsidRPr="00576AF8" w:rsidRDefault="00CA0A00" w:rsidP="009F6B78">
            <w:pPr>
              <w:spacing w:before="60" w:after="60"/>
              <w:ind w:right="-360"/>
              <w:jc w:val="left"/>
              <w:rPr>
                <w:szCs w:val="24"/>
              </w:rPr>
            </w:pPr>
            <w:r w:rsidRPr="00576AF8">
              <w:rPr>
                <w:color w:val="000000"/>
                <w:szCs w:val="24"/>
              </w:rPr>
              <w:t>FIFO</w:t>
            </w:r>
          </w:p>
        </w:tc>
        <w:tc>
          <w:tcPr>
            <w:tcW w:w="0" w:type="auto"/>
            <w:vAlign w:val="center"/>
          </w:tcPr>
          <w:p w14:paraId="46C61559" w14:textId="77777777" w:rsidR="00CA0A00" w:rsidRPr="00576AF8" w:rsidRDefault="00CA0A00" w:rsidP="009F6B78">
            <w:pPr>
              <w:spacing w:before="60" w:after="60"/>
              <w:jc w:val="left"/>
              <w:rPr>
                <w:szCs w:val="24"/>
              </w:rPr>
            </w:pPr>
            <w:r w:rsidRPr="00576AF8">
              <w:rPr>
                <w:color w:val="000000"/>
                <w:szCs w:val="24"/>
              </w:rPr>
              <w:t>First Input First Output</w:t>
            </w:r>
          </w:p>
        </w:tc>
      </w:tr>
      <w:tr w:rsidR="00CA0A00" w:rsidRPr="00576AF8" w14:paraId="0EE4E7B6" w14:textId="77777777" w:rsidTr="009F6B78">
        <w:trPr>
          <w:cantSplit/>
          <w:trHeight w:val="307"/>
        </w:trPr>
        <w:tc>
          <w:tcPr>
            <w:tcW w:w="0" w:type="auto"/>
            <w:vAlign w:val="center"/>
          </w:tcPr>
          <w:p w14:paraId="4F514714" w14:textId="77777777" w:rsidR="00CA0A00" w:rsidRPr="00576AF8" w:rsidRDefault="00CA0A00" w:rsidP="009F6B78">
            <w:pPr>
              <w:spacing w:before="60" w:after="60"/>
              <w:ind w:right="-360"/>
              <w:jc w:val="left"/>
              <w:rPr>
                <w:szCs w:val="24"/>
              </w:rPr>
            </w:pPr>
            <w:r w:rsidRPr="00576AF8">
              <w:rPr>
                <w:color w:val="000000"/>
                <w:szCs w:val="24"/>
              </w:rPr>
              <w:t>FIPS</w:t>
            </w:r>
          </w:p>
        </w:tc>
        <w:tc>
          <w:tcPr>
            <w:tcW w:w="0" w:type="auto"/>
            <w:vAlign w:val="center"/>
          </w:tcPr>
          <w:p w14:paraId="7C20BC4E" w14:textId="77777777" w:rsidR="00CA0A00" w:rsidRPr="00576AF8" w:rsidRDefault="00CA0A00" w:rsidP="009F6B78">
            <w:pPr>
              <w:spacing w:before="60" w:after="60"/>
              <w:jc w:val="left"/>
              <w:rPr>
                <w:szCs w:val="24"/>
              </w:rPr>
            </w:pPr>
            <w:r w:rsidRPr="00576AF8">
              <w:rPr>
                <w:color w:val="000000"/>
                <w:szCs w:val="24"/>
              </w:rPr>
              <w:t>Federal Information Processing Standards</w:t>
            </w:r>
          </w:p>
        </w:tc>
      </w:tr>
      <w:tr w:rsidR="00CA0A00" w:rsidRPr="00D12BF9" w14:paraId="7D174BD0" w14:textId="77777777" w:rsidTr="009F6B78">
        <w:trPr>
          <w:cantSplit/>
          <w:trHeight w:val="307"/>
        </w:trPr>
        <w:tc>
          <w:tcPr>
            <w:tcW w:w="0" w:type="auto"/>
            <w:vAlign w:val="center"/>
          </w:tcPr>
          <w:p w14:paraId="7E99EFD4" w14:textId="77777777" w:rsidR="00CA0A00" w:rsidRPr="00576AF8" w:rsidRDefault="00CA0A00" w:rsidP="009F6B78">
            <w:pPr>
              <w:spacing w:before="60" w:after="60"/>
              <w:ind w:right="-360"/>
              <w:jc w:val="left"/>
              <w:rPr>
                <w:szCs w:val="24"/>
              </w:rPr>
            </w:pPr>
            <w:r w:rsidRPr="00576AF8">
              <w:rPr>
                <w:color w:val="000000"/>
                <w:szCs w:val="24"/>
              </w:rPr>
              <w:t>GOOSE</w:t>
            </w:r>
          </w:p>
        </w:tc>
        <w:tc>
          <w:tcPr>
            <w:tcW w:w="0" w:type="auto"/>
            <w:vAlign w:val="center"/>
          </w:tcPr>
          <w:p w14:paraId="7292997D" w14:textId="77777777" w:rsidR="00CA0A00" w:rsidRPr="00576AF8" w:rsidRDefault="00CA0A00" w:rsidP="009F6B78">
            <w:pPr>
              <w:spacing w:before="60" w:after="60"/>
              <w:jc w:val="left"/>
              <w:rPr>
                <w:szCs w:val="24"/>
                <w:lang w:val="en-US"/>
              </w:rPr>
            </w:pPr>
            <w:r w:rsidRPr="00576AF8">
              <w:rPr>
                <w:color w:val="000000"/>
                <w:szCs w:val="24"/>
                <w:lang w:val="en-US"/>
              </w:rPr>
              <w:t>Generic Object-Oriented Substation Event.</w:t>
            </w:r>
          </w:p>
        </w:tc>
      </w:tr>
      <w:tr w:rsidR="00CA0A00" w:rsidRPr="00576AF8" w14:paraId="6738B373" w14:textId="77777777" w:rsidTr="009F6B78">
        <w:trPr>
          <w:cantSplit/>
          <w:trHeight w:val="307"/>
        </w:trPr>
        <w:tc>
          <w:tcPr>
            <w:tcW w:w="0" w:type="auto"/>
            <w:vAlign w:val="center"/>
          </w:tcPr>
          <w:p w14:paraId="01C47110" w14:textId="77777777" w:rsidR="00CA0A00" w:rsidRPr="00576AF8" w:rsidRDefault="00CA0A00" w:rsidP="009F6B78">
            <w:pPr>
              <w:spacing w:before="60" w:after="60"/>
              <w:ind w:right="-360"/>
              <w:jc w:val="left"/>
              <w:rPr>
                <w:szCs w:val="24"/>
              </w:rPr>
            </w:pPr>
            <w:r w:rsidRPr="00576AF8">
              <w:rPr>
                <w:color w:val="000000"/>
                <w:szCs w:val="24"/>
              </w:rPr>
              <w:t>GPS</w:t>
            </w:r>
          </w:p>
        </w:tc>
        <w:tc>
          <w:tcPr>
            <w:tcW w:w="0" w:type="auto"/>
            <w:vAlign w:val="center"/>
          </w:tcPr>
          <w:p w14:paraId="68322816" w14:textId="77777777" w:rsidR="00CA0A00" w:rsidRPr="00576AF8" w:rsidRDefault="00CA0A00" w:rsidP="009F6B78">
            <w:pPr>
              <w:spacing w:before="60" w:after="60"/>
              <w:jc w:val="left"/>
              <w:rPr>
                <w:szCs w:val="24"/>
              </w:rPr>
            </w:pPr>
            <w:r w:rsidRPr="00576AF8">
              <w:rPr>
                <w:color w:val="000000"/>
                <w:szCs w:val="24"/>
              </w:rPr>
              <w:t>Global Positioning System</w:t>
            </w:r>
          </w:p>
        </w:tc>
      </w:tr>
      <w:tr w:rsidR="00CA0A00" w:rsidRPr="00576AF8" w14:paraId="1A728467" w14:textId="77777777" w:rsidTr="009F6B78">
        <w:trPr>
          <w:cantSplit/>
          <w:trHeight w:val="307"/>
        </w:trPr>
        <w:tc>
          <w:tcPr>
            <w:tcW w:w="0" w:type="auto"/>
            <w:vAlign w:val="center"/>
          </w:tcPr>
          <w:p w14:paraId="0549435C" w14:textId="77777777" w:rsidR="00CA0A00" w:rsidRPr="00576AF8" w:rsidRDefault="00CA0A00" w:rsidP="009F6B78">
            <w:pPr>
              <w:spacing w:before="60" w:after="60"/>
              <w:ind w:right="-360"/>
              <w:jc w:val="left"/>
              <w:rPr>
                <w:szCs w:val="24"/>
              </w:rPr>
            </w:pPr>
            <w:r w:rsidRPr="00576AF8">
              <w:rPr>
                <w:color w:val="000000"/>
                <w:szCs w:val="24"/>
              </w:rPr>
              <w:t>GUC</w:t>
            </w:r>
          </w:p>
        </w:tc>
        <w:tc>
          <w:tcPr>
            <w:tcW w:w="0" w:type="auto"/>
            <w:vAlign w:val="center"/>
          </w:tcPr>
          <w:p w14:paraId="66A9C835" w14:textId="77777777" w:rsidR="00CA0A00" w:rsidRPr="00576AF8" w:rsidRDefault="00CA0A00" w:rsidP="009F6B78">
            <w:pPr>
              <w:spacing w:before="60" w:after="60"/>
              <w:jc w:val="left"/>
              <w:rPr>
                <w:szCs w:val="24"/>
              </w:rPr>
            </w:pPr>
            <w:r w:rsidRPr="00576AF8">
              <w:rPr>
                <w:color w:val="000000"/>
                <w:szCs w:val="24"/>
              </w:rPr>
              <w:t>Generation Unit Commitment</w:t>
            </w:r>
          </w:p>
        </w:tc>
      </w:tr>
      <w:tr w:rsidR="00CA0A00" w:rsidRPr="00576AF8" w14:paraId="3AF899E9" w14:textId="77777777" w:rsidTr="009F6B78">
        <w:trPr>
          <w:cantSplit/>
          <w:trHeight w:val="307"/>
        </w:trPr>
        <w:tc>
          <w:tcPr>
            <w:tcW w:w="0" w:type="auto"/>
            <w:vAlign w:val="center"/>
          </w:tcPr>
          <w:p w14:paraId="364E3384" w14:textId="77777777" w:rsidR="00CA0A00" w:rsidRPr="00576AF8" w:rsidRDefault="00CA0A00" w:rsidP="009F6B78">
            <w:pPr>
              <w:spacing w:before="60" w:after="60"/>
              <w:ind w:right="-360"/>
              <w:jc w:val="left"/>
              <w:rPr>
                <w:szCs w:val="24"/>
              </w:rPr>
            </w:pPr>
            <w:r w:rsidRPr="00576AF8">
              <w:rPr>
                <w:color w:val="000000"/>
                <w:szCs w:val="24"/>
              </w:rPr>
              <w:t>HC</w:t>
            </w:r>
          </w:p>
        </w:tc>
        <w:tc>
          <w:tcPr>
            <w:tcW w:w="0" w:type="auto"/>
            <w:vAlign w:val="center"/>
          </w:tcPr>
          <w:p w14:paraId="711B2F75" w14:textId="77777777" w:rsidR="00CA0A00" w:rsidRPr="00576AF8" w:rsidRDefault="00CA0A00" w:rsidP="009F6B78">
            <w:pPr>
              <w:spacing w:before="60" w:after="60"/>
              <w:jc w:val="left"/>
              <w:rPr>
                <w:szCs w:val="24"/>
              </w:rPr>
            </w:pPr>
            <w:r w:rsidRPr="00576AF8">
              <w:rPr>
                <w:color w:val="000000"/>
                <w:szCs w:val="24"/>
              </w:rPr>
              <w:t>Hydro Coordination</w:t>
            </w:r>
          </w:p>
        </w:tc>
      </w:tr>
      <w:tr w:rsidR="00CA0A00" w:rsidRPr="00576AF8" w14:paraId="27FB9350" w14:textId="77777777" w:rsidTr="009F6B78">
        <w:trPr>
          <w:cantSplit/>
          <w:trHeight w:val="307"/>
        </w:trPr>
        <w:tc>
          <w:tcPr>
            <w:tcW w:w="0" w:type="auto"/>
            <w:vAlign w:val="center"/>
          </w:tcPr>
          <w:p w14:paraId="6E35439A" w14:textId="77777777" w:rsidR="00CA0A00" w:rsidRPr="00576AF8" w:rsidRDefault="00CA0A00" w:rsidP="009F6B78">
            <w:pPr>
              <w:spacing w:before="60" w:after="60"/>
              <w:ind w:right="-360"/>
              <w:jc w:val="left"/>
              <w:rPr>
                <w:szCs w:val="24"/>
              </w:rPr>
            </w:pPr>
            <w:r w:rsidRPr="00576AF8">
              <w:rPr>
                <w:color w:val="000000"/>
                <w:szCs w:val="24"/>
              </w:rPr>
              <w:t>HDB</w:t>
            </w:r>
          </w:p>
        </w:tc>
        <w:tc>
          <w:tcPr>
            <w:tcW w:w="0" w:type="auto"/>
            <w:vAlign w:val="center"/>
          </w:tcPr>
          <w:p w14:paraId="0C6F617C" w14:textId="77777777" w:rsidR="00CA0A00" w:rsidRPr="00576AF8" w:rsidRDefault="00CA0A00" w:rsidP="009F6B78">
            <w:pPr>
              <w:spacing w:before="60" w:after="60"/>
              <w:jc w:val="left"/>
              <w:rPr>
                <w:szCs w:val="24"/>
              </w:rPr>
            </w:pPr>
            <w:r w:rsidRPr="00576AF8">
              <w:rPr>
                <w:color w:val="000000"/>
                <w:szCs w:val="24"/>
              </w:rPr>
              <w:t>Historical Data Base</w:t>
            </w:r>
          </w:p>
        </w:tc>
      </w:tr>
      <w:tr w:rsidR="00CA0A00" w:rsidRPr="00576AF8" w14:paraId="52B32C9A" w14:textId="77777777" w:rsidTr="009F6B78">
        <w:trPr>
          <w:cantSplit/>
          <w:trHeight w:val="307"/>
        </w:trPr>
        <w:tc>
          <w:tcPr>
            <w:tcW w:w="0" w:type="auto"/>
            <w:vAlign w:val="center"/>
          </w:tcPr>
          <w:p w14:paraId="794F1F8D" w14:textId="77777777" w:rsidR="00CA0A00" w:rsidRPr="00576AF8" w:rsidRDefault="00CA0A00" w:rsidP="009F6B78">
            <w:pPr>
              <w:spacing w:before="60" w:after="60"/>
              <w:ind w:right="-360"/>
              <w:jc w:val="left"/>
              <w:rPr>
                <w:szCs w:val="24"/>
              </w:rPr>
            </w:pPr>
            <w:r w:rsidRPr="00576AF8">
              <w:rPr>
                <w:color w:val="000000"/>
                <w:szCs w:val="24"/>
              </w:rPr>
              <w:t>HVDC</w:t>
            </w:r>
          </w:p>
        </w:tc>
        <w:tc>
          <w:tcPr>
            <w:tcW w:w="0" w:type="auto"/>
            <w:vAlign w:val="center"/>
          </w:tcPr>
          <w:p w14:paraId="6B7A6CF7" w14:textId="77777777" w:rsidR="00CA0A00" w:rsidRPr="00576AF8" w:rsidRDefault="00CA0A00" w:rsidP="009F6B78">
            <w:pPr>
              <w:spacing w:before="60" w:after="60"/>
              <w:jc w:val="left"/>
              <w:rPr>
                <w:szCs w:val="24"/>
              </w:rPr>
            </w:pPr>
            <w:r w:rsidRPr="00576AF8">
              <w:rPr>
                <w:color w:val="000000"/>
                <w:szCs w:val="24"/>
              </w:rPr>
              <w:t>High Voltage DC</w:t>
            </w:r>
          </w:p>
        </w:tc>
      </w:tr>
      <w:tr w:rsidR="00CA0A00" w:rsidRPr="00576AF8" w14:paraId="7EFAC8D7" w14:textId="77777777" w:rsidTr="009F6B78">
        <w:trPr>
          <w:cantSplit/>
          <w:trHeight w:val="307"/>
        </w:trPr>
        <w:tc>
          <w:tcPr>
            <w:tcW w:w="0" w:type="auto"/>
            <w:vAlign w:val="center"/>
          </w:tcPr>
          <w:p w14:paraId="3EC2E6F0" w14:textId="77777777" w:rsidR="00CA0A00" w:rsidRPr="00576AF8" w:rsidRDefault="00CA0A00" w:rsidP="009F6B78">
            <w:pPr>
              <w:spacing w:before="60" w:after="60"/>
              <w:ind w:right="-360"/>
              <w:jc w:val="left"/>
              <w:rPr>
                <w:szCs w:val="24"/>
              </w:rPr>
            </w:pPr>
            <w:r w:rsidRPr="00576AF8">
              <w:rPr>
                <w:color w:val="000000"/>
                <w:szCs w:val="24"/>
              </w:rPr>
              <w:t>ICCP</w:t>
            </w:r>
          </w:p>
        </w:tc>
        <w:tc>
          <w:tcPr>
            <w:tcW w:w="0" w:type="auto"/>
            <w:vAlign w:val="center"/>
          </w:tcPr>
          <w:p w14:paraId="56225A9B" w14:textId="77777777" w:rsidR="00CA0A00" w:rsidRPr="00576AF8" w:rsidRDefault="00CA0A00" w:rsidP="009F6B78">
            <w:pPr>
              <w:spacing w:before="60" w:after="60"/>
              <w:jc w:val="left"/>
              <w:rPr>
                <w:szCs w:val="24"/>
              </w:rPr>
            </w:pPr>
            <w:r w:rsidRPr="00576AF8">
              <w:rPr>
                <w:color w:val="000000"/>
                <w:szCs w:val="24"/>
              </w:rPr>
              <w:t>Inter Control Center Protocol</w:t>
            </w:r>
          </w:p>
        </w:tc>
      </w:tr>
      <w:tr w:rsidR="00CA0A00" w:rsidRPr="00576AF8" w14:paraId="4BF3D175" w14:textId="77777777" w:rsidTr="009F6B78">
        <w:trPr>
          <w:cantSplit/>
          <w:trHeight w:val="307"/>
        </w:trPr>
        <w:tc>
          <w:tcPr>
            <w:tcW w:w="0" w:type="auto"/>
            <w:vAlign w:val="center"/>
          </w:tcPr>
          <w:p w14:paraId="75F7ECD1" w14:textId="77777777" w:rsidR="00CA0A00" w:rsidRPr="00576AF8" w:rsidRDefault="00CA0A00" w:rsidP="009F6B78">
            <w:pPr>
              <w:spacing w:before="60" w:after="60"/>
              <w:ind w:right="-360"/>
              <w:jc w:val="left"/>
              <w:rPr>
                <w:szCs w:val="24"/>
              </w:rPr>
            </w:pPr>
            <w:r w:rsidRPr="00576AF8">
              <w:rPr>
                <w:color w:val="000000"/>
                <w:szCs w:val="24"/>
              </w:rPr>
              <w:t>ICD</w:t>
            </w:r>
          </w:p>
        </w:tc>
        <w:tc>
          <w:tcPr>
            <w:tcW w:w="0" w:type="auto"/>
            <w:vAlign w:val="center"/>
          </w:tcPr>
          <w:p w14:paraId="434512EC" w14:textId="77777777" w:rsidR="00CA0A00" w:rsidRPr="00576AF8" w:rsidRDefault="00CA0A00" w:rsidP="009F6B78">
            <w:pPr>
              <w:spacing w:before="60" w:after="60"/>
              <w:jc w:val="left"/>
              <w:rPr>
                <w:szCs w:val="24"/>
              </w:rPr>
            </w:pPr>
            <w:r w:rsidRPr="00576AF8">
              <w:rPr>
                <w:color w:val="000000"/>
                <w:szCs w:val="24"/>
              </w:rPr>
              <w:t>IED Capability Description</w:t>
            </w:r>
          </w:p>
        </w:tc>
      </w:tr>
      <w:tr w:rsidR="00CA0A00" w:rsidRPr="00576AF8" w14:paraId="6C864675" w14:textId="77777777" w:rsidTr="009F6B78">
        <w:trPr>
          <w:cantSplit/>
          <w:trHeight w:val="307"/>
        </w:trPr>
        <w:tc>
          <w:tcPr>
            <w:tcW w:w="0" w:type="auto"/>
            <w:vAlign w:val="center"/>
          </w:tcPr>
          <w:p w14:paraId="63B75AA8" w14:textId="77777777" w:rsidR="00CA0A00" w:rsidRPr="00576AF8" w:rsidRDefault="00CA0A00" w:rsidP="009F6B78">
            <w:pPr>
              <w:spacing w:before="60" w:after="60"/>
              <w:ind w:right="-360"/>
              <w:jc w:val="left"/>
              <w:rPr>
                <w:szCs w:val="24"/>
              </w:rPr>
            </w:pPr>
            <w:r w:rsidRPr="00576AF8">
              <w:rPr>
                <w:color w:val="000000"/>
                <w:szCs w:val="24"/>
              </w:rPr>
              <w:t>ICS</w:t>
            </w:r>
          </w:p>
        </w:tc>
        <w:tc>
          <w:tcPr>
            <w:tcW w:w="0" w:type="auto"/>
            <w:vAlign w:val="center"/>
          </w:tcPr>
          <w:p w14:paraId="0C1DC11E" w14:textId="77777777" w:rsidR="00CA0A00" w:rsidRPr="00576AF8" w:rsidRDefault="00CA0A00" w:rsidP="009F6B78">
            <w:pPr>
              <w:spacing w:before="60" w:after="60"/>
              <w:jc w:val="left"/>
              <w:rPr>
                <w:szCs w:val="24"/>
              </w:rPr>
            </w:pPr>
            <w:r w:rsidRPr="00576AF8">
              <w:rPr>
                <w:color w:val="000000"/>
                <w:szCs w:val="24"/>
              </w:rPr>
              <w:t>Industrial Control System</w:t>
            </w:r>
          </w:p>
        </w:tc>
      </w:tr>
      <w:tr w:rsidR="00CA0A00" w:rsidRPr="00576AF8" w14:paraId="4679604B" w14:textId="77777777" w:rsidTr="009F6B78">
        <w:trPr>
          <w:cantSplit/>
          <w:trHeight w:val="307"/>
        </w:trPr>
        <w:tc>
          <w:tcPr>
            <w:tcW w:w="0" w:type="auto"/>
            <w:vAlign w:val="center"/>
          </w:tcPr>
          <w:p w14:paraId="7649D6EF" w14:textId="77777777" w:rsidR="00CA0A00" w:rsidRPr="00576AF8" w:rsidRDefault="00CA0A00" w:rsidP="009F6B78">
            <w:pPr>
              <w:spacing w:before="60" w:after="60"/>
              <w:ind w:right="-360"/>
              <w:jc w:val="left"/>
              <w:rPr>
                <w:szCs w:val="24"/>
              </w:rPr>
            </w:pPr>
            <w:r w:rsidRPr="00576AF8">
              <w:rPr>
                <w:color w:val="000000"/>
                <w:szCs w:val="24"/>
              </w:rPr>
              <w:t>IDE</w:t>
            </w:r>
          </w:p>
        </w:tc>
        <w:tc>
          <w:tcPr>
            <w:tcW w:w="0" w:type="auto"/>
            <w:vAlign w:val="center"/>
          </w:tcPr>
          <w:p w14:paraId="09C78657" w14:textId="77777777" w:rsidR="00CA0A00" w:rsidRPr="00576AF8" w:rsidRDefault="00CA0A00" w:rsidP="009F6B78">
            <w:pPr>
              <w:spacing w:before="60" w:after="60"/>
              <w:jc w:val="left"/>
              <w:rPr>
                <w:szCs w:val="24"/>
              </w:rPr>
            </w:pPr>
            <w:r w:rsidRPr="00576AF8">
              <w:rPr>
                <w:color w:val="000000"/>
                <w:szCs w:val="24"/>
              </w:rPr>
              <w:t>Integrated Development Environment</w:t>
            </w:r>
          </w:p>
        </w:tc>
      </w:tr>
      <w:tr w:rsidR="00CA0A00" w:rsidRPr="00576AF8" w14:paraId="75969DCF" w14:textId="77777777" w:rsidTr="009F6B78">
        <w:trPr>
          <w:cantSplit/>
          <w:trHeight w:val="307"/>
        </w:trPr>
        <w:tc>
          <w:tcPr>
            <w:tcW w:w="0" w:type="auto"/>
            <w:vAlign w:val="center"/>
          </w:tcPr>
          <w:p w14:paraId="396FE8ED" w14:textId="77777777" w:rsidR="00CA0A00" w:rsidRPr="00576AF8" w:rsidRDefault="00CA0A00" w:rsidP="009F6B78">
            <w:pPr>
              <w:spacing w:before="60" w:after="60"/>
              <w:ind w:right="-360"/>
              <w:jc w:val="left"/>
              <w:rPr>
                <w:szCs w:val="24"/>
              </w:rPr>
            </w:pPr>
            <w:r w:rsidRPr="00576AF8">
              <w:rPr>
                <w:color w:val="000000"/>
                <w:szCs w:val="24"/>
              </w:rPr>
              <w:t>IDS</w:t>
            </w:r>
          </w:p>
        </w:tc>
        <w:tc>
          <w:tcPr>
            <w:tcW w:w="0" w:type="auto"/>
            <w:vAlign w:val="center"/>
          </w:tcPr>
          <w:p w14:paraId="1547911C" w14:textId="77777777" w:rsidR="00CA0A00" w:rsidRPr="00576AF8" w:rsidRDefault="00CA0A00" w:rsidP="009F6B78">
            <w:pPr>
              <w:spacing w:before="60" w:after="60"/>
              <w:jc w:val="left"/>
              <w:rPr>
                <w:szCs w:val="24"/>
              </w:rPr>
            </w:pPr>
            <w:r w:rsidRPr="00576AF8">
              <w:rPr>
                <w:color w:val="000000"/>
                <w:szCs w:val="24"/>
              </w:rPr>
              <w:t>Intruder Detection System</w:t>
            </w:r>
          </w:p>
        </w:tc>
      </w:tr>
      <w:tr w:rsidR="00CA0A00" w:rsidRPr="00576AF8" w14:paraId="56EF56ED" w14:textId="77777777" w:rsidTr="009F6B78">
        <w:trPr>
          <w:cantSplit/>
          <w:trHeight w:val="307"/>
        </w:trPr>
        <w:tc>
          <w:tcPr>
            <w:tcW w:w="0" w:type="auto"/>
            <w:vAlign w:val="center"/>
          </w:tcPr>
          <w:p w14:paraId="2E3108B5" w14:textId="77777777" w:rsidR="00CA0A00" w:rsidRPr="00576AF8" w:rsidRDefault="00CA0A00" w:rsidP="009F6B78">
            <w:pPr>
              <w:spacing w:before="60" w:after="60"/>
              <w:ind w:right="-360"/>
              <w:jc w:val="left"/>
              <w:rPr>
                <w:szCs w:val="24"/>
              </w:rPr>
            </w:pPr>
            <w:r w:rsidRPr="00576AF8">
              <w:rPr>
                <w:color w:val="000000"/>
                <w:szCs w:val="24"/>
              </w:rPr>
              <w:t>IEC</w:t>
            </w:r>
          </w:p>
        </w:tc>
        <w:tc>
          <w:tcPr>
            <w:tcW w:w="0" w:type="auto"/>
            <w:vAlign w:val="center"/>
          </w:tcPr>
          <w:p w14:paraId="2A27E0FF" w14:textId="77777777" w:rsidR="00CA0A00" w:rsidRPr="00576AF8" w:rsidRDefault="00CA0A00" w:rsidP="009F6B78">
            <w:pPr>
              <w:spacing w:before="60" w:after="60"/>
              <w:jc w:val="left"/>
              <w:rPr>
                <w:szCs w:val="24"/>
              </w:rPr>
            </w:pPr>
            <w:r w:rsidRPr="00576AF8">
              <w:rPr>
                <w:color w:val="000000"/>
                <w:szCs w:val="24"/>
              </w:rPr>
              <w:t>International Electrotechnical Commission</w:t>
            </w:r>
          </w:p>
        </w:tc>
      </w:tr>
      <w:tr w:rsidR="00CA0A00" w:rsidRPr="00576AF8" w14:paraId="20A0E8D8" w14:textId="77777777" w:rsidTr="009F6B78">
        <w:trPr>
          <w:cantSplit/>
          <w:trHeight w:val="307"/>
        </w:trPr>
        <w:tc>
          <w:tcPr>
            <w:tcW w:w="0" w:type="auto"/>
            <w:vAlign w:val="center"/>
          </w:tcPr>
          <w:p w14:paraId="36E69618" w14:textId="77777777" w:rsidR="00CA0A00" w:rsidRPr="00576AF8" w:rsidRDefault="00CA0A00" w:rsidP="009F6B78">
            <w:pPr>
              <w:spacing w:before="60" w:after="60"/>
              <w:ind w:right="-360"/>
              <w:jc w:val="left"/>
              <w:rPr>
                <w:szCs w:val="24"/>
              </w:rPr>
            </w:pPr>
            <w:r w:rsidRPr="00576AF8">
              <w:rPr>
                <w:color w:val="000000"/>
                <w:szCs w:val="24"/>
              </w:rPr>
              <w:t>IED</w:t>
            </w:r>
          </w:p>
        </w:tc>
        <w:tc>
          <w:tcPr>
            <w:tcW w:w="0" w:type="auto"/>
            <w:vAlign w:val="center"/>
          </w:tcPr>
          <w:p w14:paraId="4718E1F2" w14:textId="77777777" w:rsidR="00CA0A00" w:rsidRPr="00576AF8" w:rsidRDefault="00CA0A00" w:rsidP="009F6B78">
            <w:pPr>
              <w:spacing w:before="60" w:after="60"/>
              <w:jc w:val="left"/>
              <w:rPr>
                <w:szCs w:val="24"/>
              </w:rPr>
            </w:pPr>
            <w:r w:rsidRPr="00576AF8">
              <w:rPr>
                <w:color w:val="000000"/>
                <w:szCs w:val="24"/>
              </w:rPr>
              <w:t>Intelligent Electronic Device</w:t>
            </w:r>
          </w:p>
        </w:tc>
      </w:tr>
      <w:tr w:rsidR="00CA0A00" w:rsidRPr="00D12BF9" w14:paraId="69562F7D" w14:textId="77777777" w:rsidTr="009F6B78">
        <w:trPr>
          <w:cantSplit/>
          <w:trHeight w:val="307"/>
        </w:trPr>
        <w:tc>
          <w:tcPr>
            <w:tcW w:w="0" w:type="auto"/>
            <w:vAlign w:val="center"/>
          </w:tcPr>
          <w:p w14:paraId="58115779" w14:textId="77777777" w:rsidR="00CA0A00" w:rsidRPr="00576AF8" w:rsidRDefault="00CA0A00" w:rsidP="009F6B78">
            <w:pPr>
              <w:spacing w:before="60" w:after="60"/>
              <w:ind w:right="-360"/>
              <w:jc w:val="left"/>
              <w:rPr>
                <w:color w:val="000000"/>
                <w:szCs w:val="24"/>
              </w:rPr>
            </w:pPr>
            <w:r w:rsidRPr="00576AF8">
              <w:rPr>
                <w:color w:val="000000"/>
                <w:szCs w:val="24"/>
              </w:rPr>
              <w:t>IEEE</w:t>
            </w:r>
          </w:p>
        </w:tc>
        <w:tc>
          <w:tcPr>
            <w:tcW w:w="0" w:type="auto"/>
            <w:vAlign w:val="center"/>
          </w:tcPr>
          <w:p w14:paraId="2C558EDB" w14:textId="77777777" w:rsidR="00CA0A00" w:rsidRPr="00576AF8" w:rsidRDefault="00CA0A00" w:rsidP="009F6B78">
            <w:pPr>
              <w:spacing w:before="60" w:after="60"/>
              <w:jc w:val="left"/>
              <w:rPr>
                <w:color w:val="000000"/>
                <w:szCs w:val="24"/>
                <w:lang w:val="en-US"/>
              </w:rPr>
            </w:pPr>
            <w:r w:rsidRPr="00576AF8">
              <w:rPr>
                <w:color w:val="000000"/>
                <w:szCs w:val="24"/>
                <w:lang w:val="en-US"/>
              </w:rPr>
              <w:t>Institute of Electrical and Electronics Engineers</w:t>
            </w:r>
          </w:p>
        </w:tc>
      </w:tr>
      <w:tr w:rsidR="00CA0A00" w:rsidRPr="00576AF8" w14:paraId="62C75221" w14:textId="77777777" w:rsidTr="009F6B78">
        <w:trPr>
          <w:cantSplit/>
          <w:trHeight w:val="307"/>
        </w:trPr>
        <w:tc>
          <w:tcPr>
            <w:tcW w:w="0" w:type="auto"/>
            <w:vAlign w:val="center"/>
          </w:tcPr>
          <w:p w14:paraId="2A68B6A3" w14:textId="77777777" w:rsidR="00CA0A00" w:rsidRPr="00576AF8" w:rsidRDefault="00CA0A00" w:rsidP="009F6B78">
            <w:pPr>
              <w:spacing w:before="60" w:after="60"/>
              <w:ind w:right="-360"/>
              <w:jc w:val="left"/>
              <w:rPr>
                <w:color w:val="000000"/>
                <w:szCs w:val="24"/>
              </w:rPr>
            </w:pPr>
            <w:r w:rsidRPr="00576AF8">
              <w:rPr>
                <w:color w:val="000000"/>
                <w:szCs w:val="24"/>
              </w:rPr>
              <w:t>IHM</w:t>
            </w:r>
          </w:p>
        </w:tc>
        <w:tc>
          <w:tcPr>
            <w:tcW w:w="0" w:type="auto"/>
            <w:vAlign w:val="center"/>
          </w:tcPr>
          <w:p w14:paraId="0E335818" w14:textId="77777777" w:rsidR="00CA0A00" w:rsidRPr="00576AF8" w:rsidRDefault="00CA0A00" w:rsidP="009F6B78">
            <w:pPr>
              <w:spacing w:before="60" w:after="60"/>
              <w:jc w:val="left"/>
              <w:rPr>
                <w:color w:val="000000"/>
                <w:szCs w:val="24"/>
              </w:rPr>
            </w:pPr>
            <w:r w:rsidRPr="00576AF8">
              <w:rPr>
                <w:color w:val="000000"/>
                <w:szCs w:val="24"/>
              </w:rPr>
              <w:t>Interfaz Humano-Máquina</w:t>
            </w:r>
          </w:p>
        </w:tc>
      </w:tr>
      <w:tr w:rsidR="00CA0A00" w:rsidRPr="00576AF8" w14:paraId="6400E64A" w14:textId="77777777" w:rsidTr="009F6B78">
        <w:trPr>
          <w:cantSplit/>
          <w:trHeight w:val="307"/>
        </w:trPr>
        <w:tc>
          <w:tcPr>
            <w:tcW w:w="0" w:type="auto"/>
            <w:vAlign w:val="center"/>
          </w:tcPr>
          <w:p w14:paraId="13A6ABC9" w14:textId="77777777" w:rsidR="00CA0A00" w:rsidRPr="00576AF8" w:rsidRDefault="00CA0A00" w:rsidP="009F6B78">
            <w:pPr>
              <w:spacing w:before="60" w:after="60"/>
              <w:ind w:right="-360"/>
              <w:jc w:val="left"/>
              <w:rPr>
                <w:color w:val="000000"/>
                <w:szCs w:val="24"/>
              </w:rPr>
            </w:pPr>
            <w:r w:rsidRPr="00576AF8">
              <w:rPr>
                <w:color w:val="000000"/>
                <w:szCs w:val="24"/>
              </w:rPr>
              <w:t>IoT</w:t>
            </w:r>
          </w:p>
        </w:tc>
        <w:tc>
          <w:tcPr>
            <w:tcW w:w="0" w:type="auto"/>
            <w:vAlign w:val="center"/>
          </w:tcPr>
          <w:p w14:paraId="7C18F1CB" w14:textId="77777777" w:rsidR="00CA0A00" w:rsidRPr="00576AF8" w:rsidRDefault="00CA0A00" w:rsidP="009F6B78">
            <w:pPr>
              <w:spacing w:before="60" w:after="60"/>
              <w:jc w:val="left"/>
              <w:rPr>
                <w:color w:val="000000"/>
                <w:szCs w:val="24"/>
              </w:rPr>
            </w:pPr>
            <w:r w:rsidRPr="00576AF8">
              <w:rPr>
                <w:color w:val="000000"/>
                <w:szCs w:val="24"/>
              </w:rPr>
              <w:t>Internet Of Things</w:t>
            </w:r>
          </w:p>
        </w:tc>
      </w:tr>
      <w:tr w:rsidR="00CA0A00" w:rsidRPr="00576AF8" w14:paraId="484BC1A3" w14:textId="77777777" w:rsidTr="009F6B78">
        <w:trPr>
          <w:cantSplit/>
          <w:trHeight w:val="307"/>
        </w:trPr>
        <w:tc>
          <w:tcPr>
            <w:tcW w:w="0" w:type="auto"/>
            <w:vAlign w:val="center"/>
          </w:tcPr>
          <w:p w14:paraId="118F944E" w14:textId="77777777" w:rsidR="00CA0A00" w:rsidRPr="00576AF8" w:rsidRDefault="00CA0A00" w:rsidP="009F6B78">
            <w:pPr>
              <w:spacing w:before="60" w:after="60"/>
              <w:ind w:right="-360"/>
              <w:jc w:val="left"/>
              <w:rPr>
                <w:color w:val="000000"/>
                <w:szCs w:val="24"/>
              </w:rPr>
            </w:pPr>
            <w:r w:rsidRPr="00576AF8">
              <w:rPr>
                <w:color w:val="000000"/>
                <w:szCs w:val="24"/>
              </w:rPr>
              <w:t>IPS</w:t>
            </w:r>
          </w:p>
        </w:tc>
        <w:tc>
          <w:tcPr>
            <w:tcW w:w="0" w:type="auto"/>
            <w:vAlign w:val="center"/>
          </w:tcPr>
          <w:p w14:paraId="4C392BA2" w14:textId="77777777" w:rsidR="00CA0A00" w:rsidRPr="00576AF8" w:rsidRDefault="00CA0A00" w:rsidP="009F6B78">
            <w:pPr>
              <w:spacing w:before="60" w:after="60"/>
              <w:jc w:val="left"/>
              <w:rPr>
                <w:color w:val="000000"/>
                <w:szCs w:val="24"/>
              </w:rPr>
            </w:pPr>
            <w:r w:rsidRPr="00576AF8">
              <w:rPr>
                <w:color w:val="000000"/>
                <w:szCs w:val="24"/>
              </w:rPr>
              <w:t>Intrusion Prevention System</w:t>
            </w:r>
          </w:p>
        </w:tc>
      </w:tr>
      <w:tr w:rsidR="00CA0A00" w:rsidRPr="00576AF8" w14:paraId="0E0D6755" w14:textId="77777777" w:rsidTr="009F6B78">
        <w:trPr>
          <w:cantSplit/>
          <w:trHeight w:val="307"/>
        </w:trPr>
        <w:tc>
          <w:tcPr>
            <w:tcW w:w="0" w:type="auto"/>
            <w:vAlign w:val="center"/>
          </w:tcPr>
          <w:p w14:paraId="1D50779D" w14:textId="77777777" w:rsidR="00CA0A00" w:rsidRPr="00576AF8" w:rsidRDefault="00CA0A00" w:rsidP="009F6B78">
            <w:pPr>
              <w:spacing w:before="60" w:after="60"/>
              <w:ind w:right="-360"/>
              <w:jc w:val="left"/>
              <w:rPr>
                <w:color w:val="000000"/>
                <w:szCs w:val="24"/>
              </w:rPr>
            </w:pPr>
            <w:r w:rsidRPr="00576AF8">
              <w:rPr>
                <w:color w:val="000000"/>
                <w:szCs w:val="24"/>
              </w:rPr>
              <w:t>ISO</w:t>
            </w:r>
          </w:p>
        </w:tc>
        <w:tc>
          <w:tcPr>
            <w:tcW w:w="0" w:type="auto"/>
            <w:vAlign w:val="center"/>
          </w:tcPr>
          <w:p w14:paraId="33097D01" w14:textId="77777777" w:rsidR="00CA0A00" w:rsidRPr="00576AF8" w:rsidRDefault="00CA0A00" w:rsidP="009F6B78">
            <w:pPr>
              <w:spacing w:before="60" w:after="60"/>
              <w:jc w:val="left"/>
              <w:rPr>
                <w:color w:val="000000"/>
                <w:szCs w:val="24"/>
              </w:rPr>
            </w:pPr>
            <w:r w:rsidRPr="00576AF8">
              <w:rPr>
                <w:color w:val="000000"/>
                <w:szCs w:val="24"/>
              </w:rPr>
              <w:t>International Organization for Standardization</w:t>
            </w:r>
          </w:p>
        </w:tc>
      </w:tr>
      <w:tr w:rsidR="00CA0A00" w:rsidRPr="00576AF8" w14:paraId="6A09148B" w14:textId="77777777" w:rsidTr="009F6B78">
        <w:trPr>
          <w:cantSplit/>
          <w:trHeight w:val="307"/>
        </w:trPr>
        <w:tc>
          <w:tcPr>
            <w:tcW w:w="0" w:type="auto"/>
            <w:vAlign w:val="center"/>
          </w:tcPr>
          <w:p w14:paraId="3341E4CC" w14:textId="77777777" w:rsidR="00CA0A00" w:rsidRPr="00576AF8" w:rsidRDefault="00CA0A00" w:rsidP="009F6B78">
            <w:pPr>
              <w:spacing w:before="60" w:after="60"/>
              <w:ind w:right="-360"/>
              <w:jc w:val="left"/>
              <w:rPr>
                <w:color w:val="000000"/>
                <w:szCs w:val="24"/>
              </w:rPr>
            </w:pPr>
            <w:r w:rsidRPr="00576AF8">
              <w:rPr>
                <w:color w:val="000000"/>
                <w:szCs w:val="24"/>
              </w:rPr>
              <w:t>IT</w:t>
            </w:r>
          </w:p>
        </w:tc>
        <w:tc>
          <w:tcPr>
            <w:tcW w:w="0" w:type="auto"/>
            <w:vAlign w:val="center"/>
          </w:tcPr>
          <w:p w14:paraId="01F33371" w14:textId="77777777" w:rsidR="00CA0A00" w:rsidRPr="00576AF8" w:rsidRDefault="00CA0A00" w:rsidP="009F6B78">
            <w:pPr>
              <w:spacing w:before="60" w:after="60"/>
              <w:jc w:val="left"/>
              <w:rPr>
                <w:color w:val="000000"/>
                <w:szCs w:val="24"/>
              </w:rPr>
            </w:pPr>
            <w:r w:rsidRPr="00576AF8">
              <w:rPr>
                <w:color w:val="000000"/>
                <w:szCs w:val="24"/>
              </w:rPr>
              <w:t>Information Technology</w:t>
            </w:r>
          </w:p>
        </w:tc>
      </w:tr>
      <w:tr w:rsidR="00CA0A00" w:rsidRPr="00576AF8" w14:paraId="070C42C3" w14:textId="77777777" w:rsidTr="009F6B78">
        <w:trPr>
          <w:cantSplit/>
          <w:trHeight w:val="307"/>
        </w:trPr>
        <w:tc>
          <w:tcPr>
            <w:tcW w:w="0" w:type="auto"/>
            <w:vAlign w:val="center"/>
          </w:tcPr>
          <w:p w14:paraId="796615ED" w14:textId="77777777" w:rsidR="00CA0A00" w:rsidRPr="00576AF8" w:rsidRDefault="00CA0A00" w:rsidP="009F6B78">
            <w:pPr>
              <w:spacing w:before="60" w:after="60"/>
              <w:ind w:right="-360"/>
              <w:jc w:val="left"/>
              <w:rPr>
                <w:color w:val="000000"/>
                <w:szCs w:val="24"/>
              </w:rPr>
            </w:pPr>
            <w:r w:rsidRPr="00576AF8">
              <w:rPr>
                <w:color w:val="000000"/>
                <w:szCs w:val="24"/>
              </w:rPr>
              <w:t>JSON</w:t>
            </w:r>
          </w:p>
        </w:tc>
        <w:tc>
          <w:tcPr>
            <w:tcW w:w="0" w:type="auto"/>
            <w:vAlign w:val="center"/>
          </w:tcPr>
          <w:p w14:paraId="5C64187C" w14:textId="77777777" w:rsidR="00CA0A00" w:rsidRPr="00576AF8" w:rsidRDefault="00CA0A00" w:rsidP="009F6B78">
            <w:pPr>
              <w:spacing w:before="60" w:after="60"/>
              <w:jc w:val="left"/>
              <w:rPr>
                <w:color w:val="000000"/>
                <w:szCs w:val="24"/>
              </w:rPr>
            </w:pPr>
            <w:r w:rsidRPr="00576AF8">
              <w:rPr>
                <w:color w:val="000000"/>
                <w:szCs w:val="24"/>
              </w:rPr>
              <w:t>JavaScript Object Notation</w:t>
            </w:r>
          </w:p>
        </w:tc>
      </w:tr>
      <w:tr w:rsidR="00CA0A00" w:rsidRPr="00576AF8" w14:paraId="73C8E189" w14:textId="77777777" w:rsidTr="009F6B78">
        <w:trPr>
          <w:cantSplit/>
          <w:trHeight w:val="307"/>
        </w:trPr>
        <w:tc>
          <w:tcPr>
            <w:tcW w:w="0" w:type="auto"/>
            <w:vAlign w:val="center"/>
          </w:tcPr>
          <w:p w14:paraId="7C69F406" w14:textId="77777777" w:rsidR="00CA0A00" w:rsidRPr="00576AF8" w:rsidRDefault="00CA0A00" w:rsidP="009F6B78">
            <w:pPr>
              <w:spacing w:before="60" w:after="60"/>
              <w:ind w:right="-360"/>
              <w:jc w:val="left"/>
              <w:rPr>
                <w:color w:val="000000"/>
                <w:szCs w:val="24"/>
              </w:rPr>
            </w:pPr>
            <w:r w:rsidRPr="00576AF8">
              <w:rPr>
                <w:color w:val="000000"/>
                <w:szCs w:val="24"/>
              </w:rPr>
              <w:t>KML</w:t>
            </w:r>
          </w:p>
        </w:tc>
        <w:tc>
          <w:tcPr>
            <w:tcW w:w="0" w:type="auto"/>
            <w:vAlign w:val="center"/>
          </w:tcPr>
          <w:p w14:paraId="07C38B6F" w14:textId="77777777" w:rsidR="00CA0A00" w:rsidRPr="00576AF8" w:rsidRDefault="00CA0A00" w:rsidP="009F6B78">
            <w:pPr>
              <w:spacing w:before="60" w:after="60"/>
              <w:jc w:val="left"/>
              <w:rPr>
                <w:color w:val="000000"/>
                <w:szCs w:val="24"/>
              </w:rPr>
            </w:pPr>
            <w:r w:rsidRPr="00576AF8">
              <w:rPr>
                <w:color w:val="000000"/>
                <w:szCs w:val="24"/>
              </w:rPr>
              <w:t>Keyhole Markup Language</w:t>
            </w:r>
          </w:p>
        </w:tc>
      </w:tr>
      <w:tr w:rsidR="00CA0A00" w:rsidRPr="00576AF8" w14:paraId="30FDCE27" w14:textId="77777777" w:rsidTr="009F6B78">
        <w:trPr>
          <w:cantSplit/>
          <w:trHeight w:val="307"/>
        </w:trPr>
        <w:tc>
          <w:tcPr>
            <w:tcW w:w="0" w:type="auto"/>
            <w:vAlign w:val="center"/>
          </w:tcPr>
          <w:p w14:paraId="7C813828" w14:textId="77777777" w:rsidR="00CA0A00" w:rsidRPr="00576AF8" w:rsidRDefault="00CA0A00" w:rsidP="009F6B78">
            <w:pPr>
              <w:spacing w:before="60" w:after="60"/>
              <w:ind w:right="-360"/>
              <w:jc w:val="left"/>
              <w:rPr>
                <w:color w:val="000000"/>
                <w:szCs w:val="24"/>
              </w:rPr>
            </w:pPr>
            <w:r w:rsidRPr="00576AF8">
              <w:rPr>
                <w:color w:val="000000"/>
                <w:szCs w:val="24"/>
              </w:rPr>
              <w:t>LAN</w:t>
            </w:r>
          </w:p>
        </w:tc>
        <w:tc>
          <w:tcPr>
            <w:tcW w:w="0" w:type="auto"/>
            <w:vAlign w:val="center"/>
          </w:tcPr>
          <w:p w14:paraId="04544C3F" w14:textId="77777777" w:rsidR="00CA0A00" w:rsidRPr="00576AF8" w:rsidRDefault="00CA0A00" w:rsidP="009F6B78">
            <w:pPr>
              <w:spacing w:before="60" w:after="60"/>
              <w:jc w:val="left"/>
              <w:rPr>
                <w:color w:val="000000"/>
                <w:szCs w:val="24"/>
              </w:rPr>
            </w:pPr>
            <w:r w:rsidRPr="00576AF8">
              <w:rPr>
                <w:color w:val="000000"/>
                <w:szCs w:val="24"/>
              </w:rPr>
              <w:t>Local Area Network</w:t>
            </w:r>
          </w:p>
        </w:tc>
      </w:tr>
      <w:tr w:rsidR="00CA0A00" w:rsidRPr="00576AF8" w14:paraId="50EB4ABA" w14:textId="77777777" w:rsidTr="009F6B78">
        <w:trPr>
          <w:cantSplit/>
          <w:trHeight w:val="307"/>
        </w:trPr>
        <w:tc>
          <w:tcPr>
            <w:tcW w:w="0" w:type="auto"/>
            <w:vAlign w:val="center"/>
          </w:tcPr>
          <w:p w14:paraId="13DA69AA" w14:textId="77777777" w:rsidR="00CA0A00" w:rsidRPr="00576AF8" w:rsidRDefault="00CA0A00" w:rsidP="009F6B78">
            <w:pPr>
              <w:spacing w:before="60" w:after="60"/>
              <w:ind w:right="-360"/>
              <w:jc w:val="left"/>
              <w:rPr>
                <w:color w:val="000000"/>
                <w:szCs w:val="24"/>
              </w:rPr>
            </w:pPr>
            <w:r w:rsidRPr="00576AF8">
              <w:rPr>
                <w:color w:val="000000"/>
                <w:szCs w:val="24"/>
              </w:rPr>
              <w:t>LDAP</w:t>
            </w:r>
          </w:p>
        </w:tc>
        <w:tc>
          <w:tcPr>
            <w:tcW w:w="0" w:type="auto"/>
            <w:vAlign w:val="center"/>
          </w:tcPr>
          <w:p w14:paraId="3D145AC7" w14:textId="77777777" w:rsidR="00CA0A00" w:rsidRPr="00576AF8" w:rsidRDefault="00CA0A00" w:rsidP="009F6B78">
            <w:pPr>
              <w:spacing w:before="60" w:after="60"/>
              <w:jc w:val="left"/>
              <w:rPr>
                <w:color w:val="000000"/>
                <w:szCs w:val="24"/>
              </w:rPr>
            </w:pPr>
            <w:r w:rsidRPr="00576AF8">
              <w:rPr>
                <w:color w:val="000000"/>
                <w:szCs w:val="24"/>
              </w:rPr>
              <w:t>Lightweight Directory Access Protocol</w:t>
            </w:r>
          </w:p>
        </w:tc>
      </w:tr>
      <w:tr w:rsidR="00CA0A00" w:rsidRPr="00576AF8" w14:paraId="24217DE6" w14:textId="77777777" w:rsidTr="009F6B78">
        <w:trPr>
          <w:cantSplit/>
          <w:trHeight w:val="307"/>
        </w:trPr>
        <w:tc>
          <w:tcPr>
            <w:tcW w:w="0" w:type="auto"/>
            <w:vAlign w:val="center"/>
          </w:tcPr>
          <w:p w14:paraId="6D9E9184" w14:textId="77777777" w:rsidR="00CA0A00" w:rsidRPr="00576AF8" w:rsidRDefault="00CA0A00" w:rsidP="009F6B78">
            <w:pPr>
              <w:spacing w:before="60" w:after="60"/>
              <w:ind w:right="-360"/>
              <w:jc w:val="left"/>
              <w:rPr>
                <w:color w:val="000000"/>
                <w:szCs w:val="24"/>
              </w:rPr>
            </w:pPr>
            <w:r w:rsidRPr="00576AF8">
              <w:rPr>
                <w:color w:val="000000"/>
                <w:szCs w:val="24"/>
              </w:rPr>
              <w:t>LOPDP</w:t>
            </w:r>
          </w:p>
        </w:tc>
        <w:tc>
          <w:tcPr>
            <w:tcW w:w="0" w:type="auto"/>
            <w:vAlign w:val="center"/>
          </w:tcPr>
          <w:p w14:paraId="77416DE2" w14:textId="77777777" w:rsidR="00CA0A00" w:rsidRPr="00576AF8" w:rsidRDefault="00CA0A00" w:rsidP="009F6B78">
            <w:pPr>
              <w:spacing w:before="60" w:after="60"/>
              <w:jc w:val="left"/>
              <w:rPr>
                <w:color w:val="000000"/>
                <w:szCs w:val="24"/>
              </w:rPr>
            </w:pPr>
            <w:r w:rsidRPr="00576AF8">
              <w:rPr>
                <w:color w:val="000000"/>
                <w:szCs w:val="24"/>
              </w:rPr>
              <w:t>Ley Orgánica de Protección de Datos</w:t>
            </w:r>
          </w:p>
        </w:tc>
      </w:tr>
      <w:tr w:rsidR="00CA0A00" w:rsidRPr="00576AF8" w14:paraId="3DD57BDC" w14:textId="77777777" w:rsidTr="009F6B78">
        <w:trPr>
          <w:cantSplit/>
          <w:trHeight w:val="307"/>
        </w:trPr>
        <w:tc>
          <w:tcPr>
            <w:tcW w:w="0" w:type="auto"/>
            <w:vAlign w:val="center"/>
          </w:tcPr>
          <w:p w14:paraId="33E7B1B4" w14:textId="77777777" w:rsidR="00CA0A00" w:rsidRPr="00576AF8" w:rsidRDefault="00CA0A00" w:rsidP="009F6B78">
            <w:pPr>
              <w:spacing w:before="60" w:after="60"/>
              <w:ind w:right="-360"/>
              <w:jc w:val="left"/>
              <w:rPr>
                <w:color w:val="000000"/>
                <w:szCs w:val="24"/>
              </w:rPr>
            </w:pPr>
            <w:r w:rsidRPr="00576AF8">
              <w:rPr>
                <w:color w:val="000000"/>
                <w:szCs w:val="24"/>
              </w:rPr>
              <w:t>LTC</w:t>
            </w:r>
          </w:p>
        </w:tc>
        <w:tc>
          <w:tcPr>
            <w:tcW w:w="0" w:type="auto"/>
            <w:vAlign w:val="center"/>
          </w:tcPr>
          <w:p w14:paraId="5A99155D" w14:textId="77777777" w:rsidR="00CA0A00" w:rsidRPr="00576AF8" w:rsidRDefault="00CA0A00" w:rsidP="009F6B78">
            <w:pPr>
              <w:spacing w:before="60" w:after="60"/>
              <w:jc w:val="left"/>
              <w:rPr>
                <w:color w:val="000000"/>
                <w:szCs w:val="24"/>
              </w:rPr>
            </w:pPr>
            <w:r w:rsidRPr="00576AF8">
              <w:rPr>
                <w:color w:val="000000"/>
                <w:szCs w:val="24"/>
              </w:rPr>
              <w:t>Load Tap Changer</w:t>
            </w:r>
          </w:p>
        </w:tc>
      </w:tr>
      <w:tr w:rsidR="00CA0A00" w:rsidRPr="00576AF8" w14:paraId="1F155F5D" w14:textId="77777777" w:rsidTr="009F6B78">
        <w:trPr>
          <w:cantSplit/>
          <w:trHeight w:val="307"/>
        </w:trPr>
        <w:tc>
          <w:tcPr>
            <w:tcW w:w="0" w:type="auto"/>
            <w:vAlign w:val="center"/>
          </w:tcPr>
          <w:p w14:paraId="41FD700D" w14:textId="77777777" w:rsidR="00CA0A00" w:rsidRPr="00576AF8" w:rsidRDefault="00CA0A00" w:rsidP="009F6B78">
            <w:pPr>
              <w:spacing w:before="60" w:after="60"/>
              <w:ind w:right="-360"/>
              <w:jc w:val="left"/>
              <w:rPr>
                <w:color w:val="000000"/>
                <w:szCs w:val="24"/>
              </w:rPr>
            </w:pPr>
            <w:r w:rsidRPr="00576AF8">
              <w:rPr>
                <w:color w:val="000000"/>
                <w:szCs w:val="24"/>
              </w:rPr>
              <w:lastRenderedPageBreak/>
              <w:t>MAERCP</w:t>
            </w:r>
          </w:p>
        </w:tc>
        <w:tc>
          <w:tcPr>
            <w:tcW w:w="0" w:type="auto"/>
            <w:vAlign w:val="center"/>
          </w:tcPr>
          <w:p w14:paraId="32C0875A" w14:textId="77777777" w:rsidR="00CA0A00" w:rsidRPr="00576AF8" w:rsidRDefault="00CA0A00" w:rsidP="009F6B78">
            <w:pPr>
              <w:spacing w:before="60" w:after="60"/>
              <w:jc w:val="left"/>
              <w:rPr>
                <w:color w:val="000000"/>
                <w:szCs w:val="24"/>
              </w:rPr>
            </w:pPr>
            <w:r w:rsidRPr="00576AF8">
              <w:rPr>
                <w:color w:val="000000"/>
                <w:szCs w:val="24"/>
              </w:rPr>
              <w:t>Mercado Andino Eléctrico Regional de Corto Plazo</w:t>
            </w:r>
          </w:p>
        </w:tc>
      </w:tr>
      <w:tr w:rsidR="00CA0A00" w:rsidRPr="00576AF8" w14:paraId="16111566" w14:textId="77777777" w:rsidTr="009F6B78">
        <w:trPr>
          <w:cantSplit/>
          <w:trHeight w:val="307"/>
        </w:trPr>
        <w:tc>
          <w:tcPr>
            <w:tcW w:w="0" w:type="auto"/>
            <w:vAlign w:val="center"/>
          </w:tcPr>
          <w:p w14:paraId="11F83A32" w14:textId="77777777" w:rsidR="00CA0A00" w:rsidRPr="00576AF8" w:rsidRDefault="00CA0A00" w:rsidP="009F6B78">
            <w:pPr>
              <w:spacing w:before="60" w:after="60"/>
              <w:ind w:right="-360"/>
              <w:jc w:val="left"/>
              <w:rPr>
                <w:color w:val="000000"/>
                <w:szCs w:val="24"/>
              </w:rPr>
            </w:pPr>
            <w:r w:rsidRPr="00576AF8">
              <w:rPr>
                <w:color w:val="000000"/>
                <w:szCs w:val="24"/>
              </w:rPr>
              <w:t>MAPE</w:t>
            </w:r>
          </w:p>
        </w:tc>
        <w:tc>
          <w:tcPr>
            <w:tcW w:w="0" w:type="auto"/>
            <w:vAlign w:val="center"/>
          </w:tcPr>
          <w:p w14:paraId="7ADD479C" w14:textId="77777777" w:rsidR="00CA0A00" w:rsidRPr="00576AF8" w:rsidRDefault="00CA0A00" w:rsidP="009F6B78">
            <w:pPr>
              <w:spacing w:before="60" w:after="60"/>
              <w:jc w:val="left"/>
              <w:rPr>
                <w:color w:val="000000"/>
                <w:szCs w:val="24"/>
              </w:rPr>
            </w:pPr>
            <w:r w:rsidRPr="00576AF8">
              <w:rPr>
                <w:color w:val="000000"/>
                <w:szCs w:val="24"/>
              </w:rPr>
              <w:t>Mean absolute percentage error</w:t>
            </w:r>
          </w:p>
        </w:tc>
      </w:tr>
      <w:tr w:rsidR="00CA0A00" w:rsidRPr="00576AF8" w14:paraId="69428409" w14:textId="77777777" w:rsidTr="009F6B78">
        <w:trPr>
          <w:cantSplit/>
          <w:trHeight w:val="307"/>
        </w:trPr>
        <w:tc>
          <w:tcPr>
            <w:tcW w:w="0" w:type="auto"/>
            <w:vAlign w:val="center"/>
          </w:tcPr>
          <w:p w14:paraId="286EA8EC" w14:textId="77777777" w:rsidR="00CA0A00" w:rsidRPr="00576AF8" w:rsidRDefault="00CA0A00" w:rsidP="009F6B78">
            <w:pPr>
              <w:spacing w:before="60" w:after="60"/>
              <w:ind w:right="-360"/>
              <w:jc w:val="left"/>
              <w:rPr>
                <w:color w:val="000000"/>
                <w:szCs w:val="24"/>
              </w:rPr>
            </w:pPr>
            <w:r w:rsidRPr="00576AF8">
              <w:rPr>
                <w:color w:val="000000"/>
                <w:szCs w:val="24"/>
              </w:rPr>
              <w:t>MFA</w:t>
            </w:r>
          </w:p>
        </w:tc>
        <w:tc>
          <w:tcPr>
            <w:tcW w:w="0" w:type="auto"/>
            <w:vAlign w:val="center"/>
          </w:tcPr>
          <w:p w14:paraId="3853286C" w14:textId="77777777" w:rsidR="00CA0A00" w:rsidRPr="00576AF8" w:rsidRDefault="00CA0A00" w:rsidP="009F6B78">
            <w:pPr>
              <w:spacing w:before="60" w:after="60"/>
              <w:jc w:val="left"/>
              <w:rPr>
                <w:color w:val="000000"/>
                <w:szCs w:val="24"/>
              </w:rPr>
            </w:pPr>
            <w:r w:rsidRPr="00576AF8">
              <w:rPr>
                <w:color w:val="000000"/>
                <w:szCs w:val="24"/>
              </w:rPr>
              <w:t>Multifactor</w:t>
            </w:r>
          </w:p>
        </w:tc>
      </w:tr>
      <w:tr w:rsidR="00CA0A00" w:rsidRPr="00576AF8" w14:paraId="1E9B65B1" w14:textId="77777777" w:rsidTr="009F6B78">
        <w:trPr>
          <w:cantSplit/>
          <w:trHeight w:val="307"/>
        </w:trPr>
        <w:tc>
          <w:tcPr>
            <w:tcW w:w="0" w:type="auto"/>
            <w:vAlign w:val="center"/>
          </w:tcPr>
          <w:p w14:paraId="37D02E14" w14:textId="77777777" w:rsidR="00CA0A00" w:rsidRPr="00576AF8" w:rsidRDefault="00CA0A00" w:rsidP="009F6B78">
            <w:pPr>
              <w:spacing w:before="60" w:after="60"/>
              <w:ind w:right="-360"/>
              <w:jc w:val="left"/>
              <w:rPr>
                <w:color w:val="000000"/>
                <w:szCs w:val="24"/>
              </w:rPr>
            </w:pPr>
            <w:r w:rsidRPr="00576AF8">
              <w:rPr>
                <w:color w:val="000000"/>
                <w:szCs w:val="24"/>
              </w:rPr>
              <w:t>MG</w:t>
            </w:r>
          </w:p>
        </w:tc>
        <w:tc>
          <w:tcPr>
            <w:tcW w:w="0" w:type="auto"/>
            <w:vAlign w:val="center"/>
          </w:tcPr>
          <w:p w14:paraId="488482D1" w14:textId="77777777" w:rsidR="00CA0A00" w:rsidRPr="00576AF8" w:rsidRDefault="00CA0A00" w:rsidP="009F6B78">
            <w:pPr>
              <w:spacing w:before="60" w:after="60"/>
              <w:jc w:val="left"/>
              <w:rPr>
                <w:color w:val="000000"/>
                <w:szCs w:val="24"/>
              </w:rPr>
            </w:pPr>
            <w:r w:rsidRPr="00576AF8">
              <w:rPr>
                <w:color w:val="000000"/>
                <w:szCs w:val="24"/>
              </w:rPr>
              <w:t>Microgrids</w:t>
            </w:r>
          </w:p>
        </w:tc>
      </w:tr>
      <w:tr w:rsidR="00CA0A00" w:rsidRPr="00576AF8" w14:paraId="63F70839" w14:textId="77777777" w:rsidTr="009F6B78">
        <w:trPr>
          <w:cantSplit/>
          <w:trHeight w:val="307"/>
        </w:trPr>
        <w:tc>
          <w:tcPr>
            <w:tcW w:w="0" w:type="auto"/>
            <w:vAlign w:val="center"/>
          </w:tcPr>
          <w:p w14:paraId="4A990201" w14:textId="77777777" w:rsidR="00CA0A00" w:rsidRPr="00576AF8" w:rsidRDefault="00CA0A00" w:rsidP="009F6B78">
            <w:pPr>
              <w:spacing w:before="60" w:after="60"/>
              <w:ind w:right="-360"/>
              <w:jc w:val="left"/>
              <w:rPr>
                <w:color w:val="000000"/>
                <w:szCs w:val="24"/>
              </w:rPr>
            </w:pPr>
            <w:r w:rsidRPr="00576AF8">
              <w:rPr>
                <w:color w:val="000000"/>
                <w:szCs w:val="24"/>
              </w:rPr>
              <w:t>ML</w:t>
            </w:r>
          </w:p>
        </w:tc>
        <w:tc>
          <w:tcPr>
            <w:tcW w:w="0" w:type="auto"/>
            <w:vAlign w:val="center"/>
          </w:tcPr>
          <w:p w14:paraId="6AEEBDDF" w14:textId="77777777" w:rsidR="00CA0A00" w:rsidRPr="00576AF8" w:rsidRDefault="00CA0A00" w:rsidP="009F6B78">
            <w:pPr>
              <w:spacing w:before="60" w:after="60"/>
              <w:jc w:val="left"/>
              <w:rPr>
                <w:color w:val="000000"/>
                <w:szCs w:val="24"/>
              </w:rPr>
            </w:pPr>
            <w:r w:rsidRPr="00576AF8">
              <w:rPr>
                <w:color w:val="000000"/>
                <w:szCs w:val="24"/>
              </w:rPr>
              <w:t>Machine Learning</w:t>
            </w:r>
          </w:p>
        </w:tc>
      </w:tr>
      <w:tr w:rsidR="00CA0A00" w:rsidRPr="00576AF8" w14:paraId="6DB4E21F" w14:textId="77777777" w:rsidTr="009F6B78">
        <w:trPr>
          <w:cantSplit/>
          <w:trHeight w:val="307"/>
        </w:trPr>
        <w:tc>
          <w:tcPr>
            <w:tcW w:w="0" w:type="auto"/>
            <w:vAlign w:val="center"/>
          </w:tcPr>
          <w:p w14:paraId="1703686C" w14:textId="77777777" w:rsidR="00CA0A00" w:rsidRPr="00576AF8" w:rsidRDefault="00CA0A00" w:rsidP="009F6B78">
            <w:pPr>
              <w:spacing w:before="60" w:after="60"/>
              <w:ind w:right="-360"/>
              <w:jc w:val="left"/>
              <w:rPr>
                <w:color w:val="000000"/>
                <w:szCs w:val="24"/>
              </w:rPr>
            </w:pPr>
            <w:r w:rsidRPr="00576AF8">
              <w:rPr>
                <w:color w:val="000000"/>
                <w:szCs w:val="24"/>
              </w:rPr>
              <w:t>MMS</w:t>
            </w:r>
          </w:p>
        </w:tc>
        <w:tc>
          <w:tcPr>
            <w:tcW w:w="0" w:type="auto"/>
            <w:vAlign w:val="center"/>
          </w:tcPr>
          <w:p w14:paraId="78C9B86B" w14:textId="77777777" w:rsidR="00CA0A00" w:rsidRPr="00576AF8" w:rsidRDefault="00CA0A00" w:rsidP="009F6B78">
            <w:pPr>
              <w:spacing w:before="60" w:after="60"/>
              <w:jc w:val="left"/>
              <w:rPr>
                <w:color w:val="000000"/>
                <w:szCs w:val="24"/>
              </w:rPr>
            </w:pPr>
            <w:r w:rsidRPr="00576AF8">
              <w:rPr>
                <w:color w:val="000000"/>
                <w:szCs w:val="24"/>
              </w:rPr>
              <w:t>Manufacturing Message Specification</w:t>
            </w:r>
          </w:p>
        </w:tc>
      </w:tr>
      <w:tr w:rsidR="00CA0A00" w:rsidRPr="00576AF8" w14:paraId="4DAB2592" w14:textId="77777777" w:rsidTr="009F6B78">
        <w:trPr>
          <w:cantSplit/>
          <w:trHeight w:val="307"/>
        </w:trPr>
        <w:tc>
          <w:tcPr>
            <w:tcW w:w="0" w:type="auto"/>
            <w:vAlign w:val="center"/>
          </w:tcPr>
          <w:p w14:paraId="4F53A5D7" w14:textId="77777777" w:rsidR="00CA0A00" w:rsidRPr="00576AF8" w:rsidRDefault="00CA0A00" w:rsidP="009F6B78">
            <w:pPr>
              <w:spacing w:before="60" w:after="60"/>
              <w:ind w:right="-360"/>
              <w:jc w:val="left"/>
              <w:rPr>
                <w:color w:val="000000"/>
                <w:szCs w:val="24"/>
              </w:rPr>
            </w:pPr>
            <w:r w:rsidRPr="00576AF8">
              <w:rPr>
                <w:color w:val="000000"/>
                <w:szCs w:val="24"/>
              </w:rPr>
              <w:t>MTBF</w:t>
            </w:r>
          </w:p>
        </w:tc>
        <w:tc>
          <w:tcPr>
            <w:tcW w:w="0" w:type="auto"/>
            <w:vAlign w:val="center"/>
          </w:tcPr>
          <w:p w14:paraId="570DF635" w14:textId="77777777" w:rsidR="00CA0A00" w:rsidRPr="00576AF8" w:rsidRDefault="00CA0A00" w:rsidP="009F6B78">
            <w:pPr>
              <w:spacing w:before="60" w:after="60"/>
              <w:jc w:val="left"/>
              <w:rPr>
                <w:color w:val="000000"/>
                <w:szCs w:val="24"/>
              </w:rPr>
            </w:pPr>
            <w:r w:rsidRPr="00576AF8">
              <w:rPr>
                <w:color w:val="000000"/>
                <w:szCs w:val="24"/>
              </w:rPr>
              <w:t>Mean Time Between Failures</w:t>
            </w:r>
          </w:p>
        </w:tc>
      </w:tr>
      <w:tr w:rsidR="00CA0A00" w:rsidRPr="00576AF8" w14:paraId="76650F89" w14:textId="77777777" w:rsidTr="009F6B78">
        <w:trPr>
          <w:cantSplit/>
          <w:trHeight w:val="307"/>
        </w:trPr>
        <w:tc>
          <w:tcPr>
            <w:tcW w:w="0" w:type="auto"/>
            <w:vAlign w:val="center"/>
          </w:tcPr>
          <w:p w14:paraId="39CD3578" w14:textId="77777777" w:rsidR="00CA0A00" w:rsidRPr="00576AF8" w:rsidRDefault="00CA0A00" w:rsidP="009F6B78">
            <w:pPr>
              <w:spacing w:before="60" w:after="60"/>
              <w:ind w:right="-360"/>
              <w:jc w:val="left"/>
              <w:rPr>
                <w:color w:val="000000"/>
                <w:szCs w:val="24"/>
              </w:rPr>
            </w:pPr>
            <w:r w:rsidRPr="00576AF8">
              <w:rPr>
                <w:color w:val="000000"/>
                <w:szCs w:val="24"/>
              </w:rPr>
              <w:t>MTTR</w:t>
            </w:r>
          </w:p>
        </w:tc>
        <w:tc>
          <w:tcPr>
            <w:tcW w:w="0" w:type="auto"/>
            <w:vAlign w:val="center"/>
          </w:tcPr>
          <w:p w14:paraId="108917DC" w14:textId="77777777" w:rsidR="00CA0A00" w:rsidRPr="00576AF8" w:rsidRDefault="00CA0A00" w:rsidP="009F6B78">
            <w:pPr>
              <w:spacing w:before="60" w:after="60"/>
              <w:jc w:val="left"/>
              <w:rPr>
                <w:color w:val="000000"/>
                <w:szCs w:val="24"/>
              </w:rPr>
            </w:pPr>
            <w:r w:rsidRPr="00576AF8">
              <w:rPr>
                <w:color w:val="000000"/>
                <w:szCs w:val="24"/>
              </w:rPr>
              <w:t>Mean Time to Repair</w:t>
            </w:r>
          </w:p>
        </w:tc>
      </w:tr>
      <w:tr w:rsidR="00CA0A00" w:rsidRPr="00576AF8" w14:paraId="33964455" w14:textId="77777777" w:rsidTr="009F6B78">
        <w:trPr>
          <w:cantSplit/>
          <w:trHeight w:val="307"/>
        </w:trPr>
        <w:tc>
          <w:tcPr>
            <w:tcW w:w="0" w:type="auto"/>
            <w:vAlign w:val="center"/>
          </w:tcPr>
          <w:p w14:paraId="1E11F8F3" w14:textId="77777777" w:rsidR="00CA0A00" w:rsidRPr="00576AF8" w:rsidRDefault="00CA0A00" w:rsidP="009F6B78">
            <w:pPr>
              <w:spacing w:before="60" w:after="60"/>
              <w:ind w:right="-360"/>
              <w:jc w:val="left"/>
              <w:rPr>
                <w:color w:val="000000"/>
                <w:szCs w:val="24"/>
              </w:rPr>
            </w:pPr>
            <w:r w:rsidRPr="00576AF8">
              <w:rPr>
                <w:color w:val="000000"/>
                <w:szCs w:val="24"/>
              </w:rPr>
              <w:t>NAS</w:t>
            </w:r>
          </w:p>
        </w:tc>
        <w:tc>
          <w:tcPr>
            <w:tcW w:w="0" w:type="auto"/>
            <w:vAlign w:val="center"/>
          </w:tcPr>
          <w:p w14:paraId="3288579F" w14:textId="77777777" w:rsidR="00CA0A00" w:rsidRPr="00576AF8" w:rsidRDefault="00CA0A00" w:rsidP="009F6B78">
            <w:pPr>
              <w:spacing w:before="60" w:after="60"/>
              <w:jc w:val="left"/>
              <w:rPr>
                <w:color w:val="000000"/>
                <w:szCs w:val="24"/>
              </w:rPr>
            </w:pPr>
            <w:r w:rsidRPr="00576AF8">
              <w:rPr>
                <w:color w:val="000000"/>
                <w:szCs w:val="24"/>
              </w:rPr>
              <w:t>Network Attached Storage</w:t>
            </w:r>
          </w:p>
        </w:tc>
      </w:tr>
      <w:tr w:rsidR="00CA0A00" w:rsidRPr="00D12BF9" w14:paraId="13C51B0E" w14:textId="77777777" w:rsidTr="009F6B78">
        <w:trPr>
          <w:cantSplit/>
          <w:trHeight w:val="307"/>
        </w:trPr>
        <w:tc>
          <w:tcPr>
            <w:tcW w:w="0" w:type="auto"/>
            <w:vAlign w:val="center"/>
          </w:tcPr>
          <w:p w14:paraId="26C834FE" w14:textId="77777777" w:rsidR="00CA0A00" w:rsidRPr="00576AF8" w:rsidRDefault="00CA0A00" w:rsidP="009F6B78">
            <w:pPr>
              <w:spacing w:before="60" w:after="60"/>
              <w:ind w:right="-360"/>
              <w:jc w:val="left"/>
              <w:rPr>
                <w:color w:val="000000"/>
                <w:szCs w:val="24"/>
              </w:rPr>
            </w:pPr>
            <w:r w:rsidRPr="00576AF8">
              <w:rPr>
                <w:color w:val="000000"/>
                <w:szCs w:val="24"/>
              </w:rPr>
              <w:t>NERC</w:t>
            </w:r>
          </w:p>
        </w:tc>
        <w:tc>
          <w:tcPr>
            <w:tcW w:w="0" w:type="auto"/>
            <w:vAlign w:val="center"/>
          </w:tcPr>
          <w:p w14:paraId="69A5AC05" w14:textId="77777777" w:rsidR="00CA0A00" w:rsidRPr="00576AF8" w:rsidRDefault="00CA0A00" w:rsidP="009F6B78">
            <w:pPr>
              <w:spacing w:before="60" w:after="60"/>
              <w:jc w:val="left"/>
              <w:rPr>
                <w:color w:val="000000"/>
                <w:szCs w:val="24"/>
                <w:lang w:val="en-US"/>
              </w:rPr>
            </w:pPr>
            <w:r w:rsidRPr="00576AF8">
              <w:rPr>
                <w:color w:val="000000"/>
                <w:szCs w:val="24"/>
                <w:lang w:val="en-US"/>
              </w:rPr>
              <w:t>North American Electric Reliability Corporation</w:t>
            </w:r>
          </w:p>
        </w:tc>
      </w:tr>
      <w:tr w:rsidR="00CA0A00" w:rsidRPr="00576AF8" w14:paraId="58E0767B" w14:textId="77777777" w:rsidTr="009F6B78">
        <w:trPr>
          <w:cantSplit/>
          <w:trHeight w:val="307"/>
        </w:trPr>
        <w:tc>
          <w:tcPr>
            <w:tcW w:w="0" w:type="auto"/>
            <w:vAlign w:val="center"/>
          </w:tcPr>
          <w:p w14:paraId="0BAB9665" w14:textId="77777777" w:rsidR="00CA0A00" w:rsidRPr="00576AF8" w:rsidRDefault="00CA0A00" w:rsidP="009F6B78">
            <w:pPr>
              <w:spacing w:before="60" w:after="60"/>
              <w:ind w:right="-360"/>
              <w:jc w:val="left"/>
              <w:rPr>
                <w:color w:val="000000"/>
                <w:szCs w:val="24"/>
              </w:rPr>
            </w:pPr>
            <w:r w:rsidRPr="00576AF8">
              <w:rPr>
                <w:color w:val="000000"/>
                <w:szCs w:val="24"/>
              </w:rPr>
              <w:t>NIC</w:t>
            </w:r>
          </w:p>
        </w:tc>
        <w:tc>
          <w:tcPr>
            <w:tcW w:w="0" w:type="auto"/>
            <w:vAlign w:val="center"/>
          </w:tcPr>
          <w:p w14:paraId="50B55DE8" w14:textId="77777777" w:rsidR="00CA0A00" w:rsidRPr="00576AF8" w:rsidRDefault="00CA0A00" w:rsidP="009F6B78">
            <w:pPr>
              <w:spacing w:before="60" w:after="60"/>
              <w:jc w:val="left"/>
              <w:rPr>
                <w:color w:val="000000"/>
                <w:szCs w:val="24"/>
              </w:rPr>
            </w:pPr>
            <w:r w:rsidRPr="00576AF8">
              <w:rPr>
                <w:color w:val="000000"/>
                <w:szCs w:val="24"/>
              </w:rPr>
              <w:t>Net Interchange</w:t>
            </w:r>
          </w:p>
        </w:tc>
      </w:tr>
      <w:tr w:rsidR="00CA0A00" w:rsidRPr="00D12BF9" w14:paraId="79C8B0C5" w14:textId="77777777" w:rsidTr="009F6B78">
        <w:trPr>
          <w:cantSplit/>
          <w:trHeight w:val="307"/>
        </w:trPr>
        <w:tc>
          <w:tcPr>
            <w:tcW w:w="0" w:type="auto"/>
            <w:vAlign w:val="center"/>
          </w:tcPr>
          <w:p w14:paraId="362E276C" w14:textId="77777777" w:rsidR="00CA0A00" w:rsidRPr="00576AF8" w:rsidRDefault="00CA0A00" w:rsidP="009F6B78">
            <w:pPr>
              <w:spacing w:before="60" w:after="60"/>
              <w:ind w:right="-360"/>
              <w:jc w:val="left"/>
              <w:rPr>
                <w:color w:val="000000"/>
                <w:szCs w:val="24"/>
              </w:rPr>
            </w:pPr>
            <w:r w:rsidRPr="00576AF8">
              <w:rPr>
                <w:color w:val="000000"/>
                <w:szCs w:val="24"/>
              </w:rPr>
              <w:t>NIST</w:t>
            </w:r>
          </w:p>
        </w:tc>
        <w:tc>
          <w:tcPr>
            <w:tcW w:w="0" w:type="auto"/>
            <w:vAlign w:val="center"/>
          </w:tcPr>
          <w:p w14:paraId="23AB32CD" w14:textId="77777777" w:rsidR="00CA0A00" w:rsidRPr="00576AF8" w:rsidRDefault="00CA0A00" w:rsidP="009F6B78">
            <w:pPr>
              <w:spacing w:before="60" w:after="60"/>
              <w:jc w:val="left"/>
              <w:rPr>
                <w:color w:val="000000"/>
                <w:szCs w:val="24"/>
                <w:lang w:val="en-US"/>
              </w:rPr>
            </w:pPr>
            <w:r w:rsidRPr="00576AF8">
              <w:rPr>
                <w:color w:val="000000"/>
                <w:szCs w:val="24"/>
                <w:lang w:val="en-US"/>
              </w:rPr>
              <w:t>National Institute of Standards and Technology</w:t>
            </w:r>
          </w:p>
        </w:tc>
      </w:tr>
      <w:tr w:rsidR="00CA0A00" w:rsidRPr="00576AF8" w14:paraId="043F29F1" w14:textId="77777777" w:rsidTr="009F6B78">
        <w:trPr>
          <w:cantSplit/>
          <w:trHeight w:val="307"/>
        </w:trPr>
        <w:tc>
          <w:tcPr>
            <w:tcW w:w="0" w:type="auto"/>
            <w:vAlign w:val="center"/>
          </w:tcPr>
          <w:p w14:paraId="23326EA7" w14:textId="77777777" w:rsidR="00CA0A00" w:rsidRPr="00576AF8" w:rsidRDefault="00CA0A00" w:rsidP="009F6B78">
            <w:pPr>
              <w:spacing w:before="60" w:after="60"/>
              <w:ind w:right="-360"/>
              <w:jc w:val="left"/>
              <w:rPr>
                <w:color w:val="000000"/>
                <w:szCs w:val="24"/>
              </w:rPr>
            </w:pPr>
            <w:r w:rsidRPr="00576AF8">
              <w:rPr>
                <w:color w:val="000000"/>
                <w:szCs w:val="24"/>
                <w:u w:val="single"/>
              </w:rPr>
              <w:t>NPM</w:t>
            </w:r>
          </w:p>
        </w:tc>
        <w:tc>
          <w:tcPr>
            <w:tcW w:w="0" w:type="auto"/>
            <w:vAlign w:val="center"/>
          </w:tcPr>
          <w:p w14:paraId="60CBC486" w14:textId="77777777" w:rsidR="00CA0A00" w:rsidRPr="00576AF8" w:rsidRDefault="00CA0A00" w:rsidP="009F6B78">
            <w:pPr>
              <w:spacing w:before="60" w:after="60"/>
              <w:jc w:val="left"/>
              <w:rPr>
                <w:color w:val="000000"/>
                <w:szCs w:val="24"/>
              </w:rPr>
            </w:pPr>
            <w:r w:rsidRPr="00576AF8">
              <w:rPr>
                <w:color w:val="000000"/>
                <w:szCs w:val="24"/>
              </w:rPr>
              <w:t>Network Performance Monitoring</w:t>
            </w:r>
          </w:p>
        </w:tc>
      </w:tr>
      <w:tr w:rsidR="00CA0A00" w:rsidRPr="00576AF8" w14:paraId="3482D446" w14:textId="77777777" w:rsidTr="009F6B78">
        <w:trPr>
          <w:cantSplit/>
          <w:trHeight w:val="307"/>
        </w:trPr>
        <w:tc>
          <w:tcPr>
            <w:tcW w:w="0" w:type="auto"/>
            <w:vAlign w:val="center"/>
          </w:tcPr>
          <w:p w14:paraId="0638AD30" w14:textId="77777777" w:rsidR="00CA0A00" w:rsidRPr="00576AF8" w:rsidRDefault="00CA0A00" w:rsidP="009F6B78">
            <w:pPr>
              <w:spacing w:before="60" w:after="60"/>
              <w:ind w:right="-360"/>
              <w:jc w:val="left"/>
              <w:rPr>
                <w:color w:val="000000"/>
                <w:szCs w:val="24"/>
              </w:rPr>
            </w:pPr>
            <w:r w:rsidRPr="00576AF8">
              <w:rPr>
                <w:color w:val="000000"/>
                <w:szCs w:val="24"/>
              </w:rPr>
              <w:t>NTE</w:t>
            </w:r>
          </w:p>
        </w:tc>
        <w:tc>
          <w:tcPr>
            <w:tcW w:w="0" w:type="auto"/>
            <w:vAlign w:val="center"/>
          </w:tcPr>
          <w:p w14:paraId="4758CB7A" w14:textId="77777777" w:rsidR="00CA0A00" w:rsidRPr="00576AF8" w:rsidRDefault="00CA0A00" w:rsidP="009F6B78">
            <w:pPr>
              <w:spacing w:before="60" w:after="60"/>
              <w:jc w:val="left"/>
              <w:rPr>
                <w:color w:val="000000"/>
                <w:szCs w:val="24"/>
              </w:rPr>
            </w:pPr>
            <w:r w:rsidRPr="00576AF8">
              <w:rPr>
                <w:color w:val="000000"/>
                <w:szCs w:val="24"/>
              </w:rPr>
              <w:t>Norma Técnica Ecuatoriana</w:t>
            </w:r>
          </w:p>
        </w:tc>
      </w:tr>
      <w:tr w:rsidR="00CA0A00" w:rsidRPr="00576AF8" w14:paraId="6628C686" w14:textId="77777777" w:rsidTr="009F6B78">
        <w:trPr>
          <w:cantSplit/>
          <w:trHeight w:val="307"/>
        </w:trPr>
        <w:tc>
          <w:tcPr>
            <w:tcW w:w="0" w:type="auto"/>
            <w:vAlign w:val="center"/>
          </w:tcPr>
          <w:p w14:paraId="1A1649D0" w14:textId="77777777" w:rsidR="00CA0A00" w:rsidRPr="00576AF8" w:rsidRDefault="00CA0A00" w:rsidP="009F6B78">
            <w:pPr>
              <w:spacing w:before="60" w:after="60"/>
              <w:ind w:right="-360"/>
              <w:jc w:val="left"/>
              <w:rPr>
                <w:color w:val="000000"/>
                <w:szCs w:val="24"/>
              </w:rPr>
            </w:pPr>
            <w:r w:rsidRPr="00576AF8">
              <w:rPr>
                <w:color w:val="000000"/>
                <w:szCs w:val="24"/>
              </w:rPr>
              <w:t>NTP</w:t>
            </w:r>
          </w:p>
        </w:tc>
        <w:tc>
          <w:tcPr>
            <w:tcW w:w="0" w:type="auto"/>
            <w:vAlign w:val="center"/>
          </w:tcPr>
          <w:p w14:paraId="641A75DF" w14:textId="77777777" w:rsidR="00CA0A00" w:rsidRPr="00576AF8" w:rsidRDefault="00CA0A00" w:rsidP="009F6B78">
            <w:pPr>
              <w:spacing w:before="60" w:after="60"/>
              <w:jc w:val="left"/>
              <w:rPr>
                <w:color w:val="000000"/>
                <w:szCs w:val="24"/>
              </w:rPr>
            </w:pPr>
            <w:r w:rsidRPr="00576AF8">
              <w:rPr>
                <w:color w:val="000000"/>
                <w:szCs w:val="24"/>
              </w:rPr>
              <w:t>Network Time Protocol</w:t>
            </w:r>
          </w:p>
        </w:tc>
      </w:tr>
      <w:tr w:rsidR="00CA0A00" w:rsidRPr="00576AF8" w14:paraId="17E83AB0" w14:textId="77777777" w:rsidTr="009F6B78">
        <w:trPr>
          <w:cantSplit/>
          <w:trHeight w:val="307"/>
        </w:trPr>
        <w:tc>
          <w:tcPr>
            <w:tcW w:w="0" w:type="auto"/>
            <w:vAlign w:val="center"/>
          </w:tcPr>
          <w:p w14:paraId="4554ECB4" w14:textId="77777777" w:rsidR="00CA0A00" w:rsidRPr="00576AF8" w:rsidRDefault="00CA0A00" w:rsidP="009F6B78">
            <w:pPr>
              <w:spacing w:before="60" w:after="60"/>
              <w:ind w:right="-360"/>
              <w:jc w:val="left"/>
              <w:rPr>
                <w:color w:val="000000"/>
                <w:szCs w:val="24"/>
              </w:rPr>
            </w:pPr>
            <w:r w:rsidRPr="00576AF8">
              <w:rPr>
                <w:color w:val="000000"/>
                <w:szCs w:val="24"/>
              </w:rPr>
              <w:t>OJT</w:t>
            </w:r>
          </w:p>
        </w:tc>
        <w:tc>
          <w:tcPr>
            <w:tcW w:w="0" w:type="auto"/>
            <w:vAlign w:val="center"/>
          </w:tcPr>
          <w:p w14:paraId="6609900D" w14:textId="77777777" w:rsidR="00CA0A00" w:rsidRPr="00576AF8" w:rsidRDefault="00CA0A00" w:rsidP="009F6B78">
            <w:pPr>
              <w:spacing w:before="60" w:after="60"/>
              <w:jc w:val="left"/>
              <w:rPr>
                <w:color w:val="000000"/>
                <w:szCs w:val="24"/>
              </w:rPr>
            </w:pPr>
            <w:r w:rsidRPr="00576AF8">
              <w:rPr>
                <w:color w:val="000000"/>
                <w:szCs w:val="24"/>
              </w:rPr>
              <w:t>On The Job Training</w:t>
            </w:r>
          </w:p>
        </w:tc>
      </w:tr>
      <w:tr w:rsidR="00CA0A00" w:rsidRPr="00D12BF9" w14:paraId="1C8C3BED" w14:textId="77777777" w:rsidTr="009F6B78">
        <w:trPr>
          <w:cantSplit/>
          <w:trHeight w:val="307"/>
        </w:trPr>
        <w:tc>
          <w:tcPr>
            <w:tcW w:w="0" w:type="auto"/>
            <w:vAlign w:val="center"/>
          </w:tcPr>
          <w:p w14:paraId="43201DFF" w14:textId="77777777" w:rsidR="00CA0A00" w:rsidRPr="00576AF8" w:rsidRDefault="00CA0A00" w:rsidP="009F6B78">
            <w:pPr>
              <w:spacing w:before="60" w:after="60"/>
              <w:ind w:right="-360"/>
              <w:jc w:val="left"/>
              <w:rPr>
                <w:color w:val="000000"/>
                <w:szCs w:val="24"/>
              </w:rPr>
            </w:pPr>
            <w:r w:rsidRPr="00576AF8">
              <w:rPr>
                <w:color w:val="000000"/>
                <w:szCs w:val="24"/>
              </w:rPr>
              <w:t>OPC UA</w:t>
            </w:r>
          </w:p>
        </w:tc>
        <w:tc>
          <w:tcPr>
            <w:tcW w:w="0" w:type="auto"/>
            <w:vAlign w:val="center"/>
          </w:tcPr>
          <w:p w14:paraId="422B91FC" w14:textId="77777777" w:rsidR="00CA0A00" w:rsidRPr="00576AF8" w:rsidRDefault="00CA0A00" w:rsidP="009F6B78">
            <w:pPr>
              <w:spacing w:before="60" w:after="60"/>
              <w:jc w:val="left"/>
              <w:rPr>
                <w:color w:val="000000"/>
                <w:szCs w:val="24"/>
                <w:lang w:val="en-US"/>
              </w:rPr>
            </w:pPr>
            <w:r w:rsidRPr="00576AF8">
              <w:rPr>
                <w:color w:val="000000"/>
                <w:szCs w:val="24"/>
                <w:lang w:val="en-US"/>
              </w:rPr>
              <w:t>OLE for Process Control Unified Architecture</w:t>
            </w:r>
          </w:p>
        </w:tc>
      </w:tr>
      <w:tr w:rsidR="00CA0A00" w:rsidRPr="00576AF8" w14:paraId="76189066" w14:textId="77777777" w:rsidTr="009F6B78">
        <w:trPr>
          <w:cantSplit/>
          <w:trHeight w:val="307"/>
        </w:trPr>
        <w:tc>
          <w:tcPr>
            <w:tcW w:w="0" w:type="auto"/>
            <w:vAlign w:val="center"/>
          </w:tcPr>
          <w:p w14:paraId="4AE3C299" w14:textId="77777777" w:rsidR="00CA0A00" w:rsidRPr="00576AF8" w:rsidRDefault="00CA0A00" w:rsidP="009F6B78">
            <w:pPr>
              <w:spacing w:before="60" w:after="60"/>
              <w:ind w:right="-360"/>
              <w:jc w:val="left"/>
              <w:rPr>
                <w:color w:val="000000"/>
                <w:szCs w:val="24"/>
              </w:rPr>
            </w:pPr>
            <w:r w:rsidRPr="00576AF8">
              <w:rPr>
                <w:color w:val="000000"/>
                <w:szCs w:val="24"/>
              </w:rPr>
              <w:t>OPF</w:t>
            </w:r>
          </w:p>
        </w:tc>
        <w:tc>
          <w:tcPr>
            <w:tcW w:w="0" w:type="auto"/>
            <w:vAlign w:val="center"/>
          </w:tcPr>
          <w:p w14:paraId="1EAD36B5" w14:textId="77777777" w:rsidR="00CA0A00" w:rsidRPr="00576AF8" w:rsidRDefault="00CA0A00" w:rsidP="009F6B78">
            <w:pPr>
              <w:spacing w:before="60" w:after="60"/>
              <w:jc w:val="left"/>
              <w:rPr>
                <w:color w:val="000000"/>
                <w:szCs w:val="24"/>
              </w:rPr>
            </w:pPr>
            <w:r w:rsidRPr="00576AF8">
              <w:rPr>
                <w:color w:val="000000"/>
                <w:szCs w:val="24"/>
              </w:rPr>
              <w:t>Optimal Power Flow</w:t>
            </w:r>
          </w:p>
        </w:tc>
      </w:tr>
      <w:tr w:rsidR="00CA0A00" w:rsidRPr="00576AF8" w14:paraId="30C69DD9" w14:textId="77777777" w:rsidTr="009F6B78">
        <w:trPr>
          <w:cantSplit/>
          <w:trHeight w:val="307"/>
        </w:trPr>
        <w:tc>
          <w:tcPr>
            <w:tcW w:w="0" w:type="auto"/>
            <w:vAlign w:val="center"/>
          </w:tcPr>
          <w:p w14:paraId="2768804F" w14:textId="77777777" w:rsidR="00CA0A00" w:rsidRPr="00576AF8" w:rsidRDefault="00CA0A00" w:rsidP="009F6B78">
            <w:pPr>
              <w:spacing w:before="60" w:after="60"/>
              <w:ind w:right="-360"/>
              <w:jc w:val="left"/>
              <w:rPr>
                <w:color w:val="000000"/>
                <w:szCs w:val="24"/>
              </w:rPr>
            </w:pPr>
            <w:r w:rsidRPr="00576AF8">
              <w:rPr>
                <w:color w:val="000000"/>
                <w:szCs w:val="24"/>
              </w:rPr>
              <w:t>OT</w:t>
            </w:r>
          </w:p>
        </w:tc>
        <w:tc>
          <w:tcPr>
            <w:tcW w:w="0" w:type="auto"/>
            <w:vAlign w:val="center"/>
          </w:tcPr>
          <w:p w14:paraId="6F0F15DC" w14:textId="77777777" w:rsidR="00CA0A00" w:rsidRPr="00576AF8" w:rsidRDefault="00CA0A00" w:rsidP="009F6B78">
            <w:pPr>
              <w:spacing w:before="60" w:after="60"/>
              <w:jc w:val="left"/>
              <w:rPr>
                <w:color w:val="000000"/>
                <w:szCs w:val="24"/>
              </w:rPr>
            </w:pPr>
            <w:r w:rsidRPr="00576AF8">
              <w:rPr>
                <w:color w:val="000000"/>
                <w:szCs w:val="24"/>
              </w:rPr>
              <w:t>Operational Technology</w:t>
            </w:r>
          </w:p>
        </w:tc>
      </w:tr>
      <w:tr w:rsidR="00CA0A00" w:rsidRPr="00576AF8" w14:paraId="5363C9C8" w14:textId="77777777" w:rsidTr="009F6B78">
        <w:trPr>
          <w:cantSplit/>
          <w:trHeight w:val="307"/>
        </w:trPr>
        <w:tc>
          <w:tcPr>
            <w:tcW w:w="0" w:type="auto"/>
            <w:vAlign w:val="center"/>
          </w:tcPr>
          <w:p w14:paraId="4EA24A4C" w14:textId="77777777" w:rsidR="00CA0A00" w:rsidRPr="00576AF8" w:rsidRDefault="00CA0A00" w:rsidP="009F6B78">
            <w:pPr>
              <w:spacing w:before="60" w:after="60"/>
              <w:ind w:right="-360"/>
              <w:jc w:val="left"/>
              <w:rPr>
                <w:color w:val="000000"/>
                <w:szCs w:val="24"/>
              </w:rPr>
            </w:pPr>
            <w:r w:rsidRPr="00576AF8">
              <w:rPr>
                <w:color w:val="000000"/>
                <w:szCs w:val="24"/>
              </w:rPr>
              <w:t>OTS</w:t>
            </w:r>
          </w:p>
        </w:tc>
        <w:tc>
          <w:tcPr>
            <w:tcW w:w="0" w:type="auto"/>
            <w:vAlign w:val="center"/>
          </w:tcPr>
          <w:p w14:paraId="430935DA" w14:textId="77777777" w:rsidR="00CA0A00" w:rsidRPr="00576AF8" w:rsidRDefault="00CA0A00" w:rsidP="009F6B78">
            <w:pPr>
              <w:spacing w:before="60" w:after="60"/>
              <w:jc w:val="left"/>
              <w:rPr>
                <w:color w:val="000000"/>
                <w:szCs w:val="24"/>
              </w:rPr>
            </w:pPr>
            <w:r w:rsidRPr="00576AF8">
              <w:rPr>
                <w:color w:val="000000"/>
                <w:szCs w:val="24"/>
              </w:rPr>
              <w:t>Operator Training Simulator</w:t>
            </w:r>
          </w:p>
        </w:tc>
      </w:tr>
      <w:tr w:rsidR="00CA0A00" w:rsidRPr="00576AF8" w14:paraId="3429CBEA" w14:textId="77777777" w:rsidTr="009F6B78">
        <w:trPr>
          <w:cantSplit/>
          <w:trHeight w:val="307"/>
        </w:trPr>
        <w:tc>
          <w:tcPr>
            <w:tcW w:w="0" w:type="auto"/>
            <w:vAlign w:val="center"/>
          </w:tcPr>
          <w:p w14:paraId="3640D27A" w14:textId="77777777" w:rsidR="00CA0A00" w:rsidRPr="00576AF8" w:rsidRDefault="00CA0A00" w:rsidP="009F6B78">
            <w:pPr>
              <w:spacing w:before="60" w:after="60"/>
              <w:ind w:right="-360"/>
              <w:jc w:val="left"/>
              <w:rPr>
                <w:color w:val="000000"/>
                <w:szCs w:val="24"/>
              </w:rPr>
            </w:pPr>
            <w:r w:rsidRPr="00576AF8">
              <w:rPr>
                <w:color w:val="000000"/>
                <w:szCs w:val="24"/>
              </w:rPr>
              <w:t>PCU</w:t>
            </w:r>
          </w:p>
        </w:tc>
        <w:tc>
          <w:tcPr>
            <w:tcW w:w="0" w:type="auto"/>
            <w:vAlign w:val="center"/>
          </w:tcPr>
          <w:p w14:paraId="6FD75D79" w14:textId="77777777" w:rsidR="00CA0A00" w:rsidRPr="00576AF8" w:rsidRDefault="00CA0A00" w:rsidP="009F6B78">
            <w:pPr>
              <w:spacing w:before="60" w:after="60"/>
              <w:jc w:val="left"/>
              <w:rPr>
                <w:color w:val="000000"/>
                <w:szCs w:val="24"/>
              </w:rPr>
            </w:pPr>
            <w:r w:rsidRPr="00576AF8">
              <w:rPr>
                <w:color w:val="000000"/>
                <w:szCs w:val="24"/>
              </w:rPr>
              <w:t>Process Communication Unit</w:t>
            </w:r>
          </w:p>
        </w:tc>
      </w:tr>
      <w:tr w:rsidR="00CA0A00" w:rsidRPr="00576AF8" w14:paraId="56C00AA1" w14:textId="77777777" w:rsidTr="009F6B78">
        <w:trPr>
          <w:cantSplit/>
          <w:trHeight w:val="307"/>
        </w:trPr>
        <w:tc>
          <w:tcPr>
            <w:tcW w:w="0" w:type="auto"/>
            <w:vAlign w:val="center"/>
          </w:tcPr>
          <w:p w14:paraId="4280ABA5" w14:textId="77777777" w:rsidR="00CA0A00" w:rsidRPr="00576AF8" w:rsidRDefault="00CA0A00" w:rsidP="009F6B78">
            <w:pPr>
              <w:spacing w:before="60" w:after="60"/>
              <w:ind w:right="-360"/>
              <w:jc w:val="left"/>
              <w:rPr>
                <w:color w:val="000000"/>
                <w:szCs w:val="24"/>
              </w:rPr>
            </w:pPr>
            <w:r w:rsidRPr="00576AF8">
              <w:rPr>
                <w:color w:val="000000"/>
                <w:szCs w:val="24"/>
              </w:rPr>
              <w:t>PDC</w:t>
            </w:r>
          </w:p>
        </w:tc>
        <w:tc>
          <w:tcPr>
            <w:tcW w:w="0" w:type="auto"/>
            <w:vAlign w:val="center"/>
          </w:tcPr>
          <w:p w14:paraId="5D45B866" w14:textId="77777777" w:rsidR="00CA0A00" w:rsidRPr="00576AF8" w:rsidRDefault="00CA0A00" w:rsidP="009F6B78">
            <w:pPr>
              <w:spacing w:before="60" w:after="60"/>
              <w:jc w:val="left"/>
              <w:rPr>
                <w:color w:val="000000"/>
                <w:szCs w:val="24"/>
              </w:rPr>
            </w:pPr>
            <w:r w:rsidRPr="00576AF8">
              <w:rPr>
                <w:color w:val="000000"/>
                <w:szCs w:val="24"/>
              </w:rPr>
              <w:t>Phasor Data Concentrator</w:t>
            </w:r>
          </w:p>
        </w:tc>
      </w:tr>
      <w:tr w:rsidR="00CA0A00" w:rsidRPr="00576AF8" w14:paraId="3F48D4A7" w14:textId="77777777" w:rsidTr="009F6B78">
        <w:trPr>
          <w:cantSplit/>
          <w:trHeight w:val="307"/>
        </w:trPr>
        <w:tc>
          <w:tcPr>
            <w:tcW w:w="0" w:type="auto"/>
            <w:vAlign w:val="center"/>
          </w:tcPr>
          <w:p w14:paraId="206499B5" w14:textId="77777777" w:rsidR="00CA0A00" w:rsidRPr="00576AF8" w:rsidRDefault="00CA0A00" w:rsidP="009F6B78">
            <w:pPr>
              <w:spacing w:before="60" w:after="60"/>
              <w:ind w:right="-360"/>
              <w:jc w:val="left"/>
              <w:rPr>
                <w:color w:val="000000"/>
                <w:szCs w:val="24"/>
              </w:rPr>
            </w:pPr>
            <w:r w:rsidRPr="00576AF8">
              <w:rPr>
                <w:color w:val="000000"/>
                <w:szCs w:val="24"/>
              </w:rPr>
              <w:t>PDS</w:t>
            </w:r>
          </w:p>
        </w:tc>
        <w:tc>
          <w:tcPr>
            <w:tcW w:w="0" w:type="auto"/>
            <w:vAlign w:val="center"/>
          </w:tcPr>
          <w:p w14:paraId="4E6978B7" w14:textId="77777777" w:rsidR="00CA0A00" w:rsidRPr="00576AF8" w:rsidRDefault="00CA0A00" w:rsidP="009F6B78">
            <w:pPr>
              <w:spacing w:before="60" w:after="60"/>
              <w:jc w:val="left"/>
              <w:rPr>
                <w:color w:val="000000"/>
                <w:szCs w:val="24"/>
              </w:rPr>
            </w:pPr>
            <w:r w:rsidRPr="00576AF8">
              <w:rPr>
                <w:color w:val="000000"/>
                <w:szCs w:val="24"/>
              </w:rPr>
              <w:t>Program Development System</w:t>
            </w:r>
          </w:p>
        </w:tc>
      </w:tr>
      <w:tr w:rsidR="00CA0A00" w:rsidRPr="00576AF8" w14:paraId="6C6B390B" w14:textId="77777777" w:rsidTr="009F6B78">
        <w:trPr>
          <w:cantSplit/>
          <w:trHeight w:val="307"/>
        </w:trPr>
        <w:tc>
          <w:tcPr>
            <w:tcW w:w="0" w:type="auto"/>
            <w:vAlign w:val="center"/>
          </w:tcPr>
          <w:p w14:paraId="6812F224" w14:textId="77777777" w:rsidR="00CA0A00" w:rsidRPr="00576AF8" w:rsidRDefault="00CA0A00" w:rsidP="009F6B78">
            <w:pPr>
              <w:spacing w:before="60" w:after="60"/>
              <w:ind w:right="-360"/>
              <w:jc w:val="left"/>
              <w:rPr>
                <w:color w:val="000000"/>
                <w:szCs w:val="24"/>
              </w:rPr>
            </w:pPr>
            <w:r w:rsidRPr="00576AF8">
              <w:rPr>
                <w:color w:val="000000"/>
                <w:szCs w:val="24"/>
              </w:rPr>
              <w:t>PF</w:t>
            </w:r>
          </w:p>
        </w:tc>
        <w:tc>
          <w:tcPr>
            <w:tcW w:w="0" w:type="auto"/>
            <w:vAlign w:val="center"/>
          </w:tcPr>
          <w:p w14:paraId="39E0495D" w14:textId="77777777" w:rsidR="00CA0A00" w:rsidRPr="00576AF8" w:rsidRDefault="00CA0A00" w:rsidP="009F6B78">
            <w:pPr>
              <w:spacing w:before="60" w:after="60"/>
              <w:jc w:val="left"/>
              <w:rPr>
                <w:color w:val="000000"/>
                <w:szCs w:val="24"/>
              </w:rPr>
            </w:pPr>
            <w:r w:rsidRPr="00576AF8">
              <w:rPr>
                <w:color w:val="000000"/>
                <w:szCs w:val="24"/>
              </w:rPr>
              <w:t>Penalty Factor</w:t>
            </w:r>
          </w:p>
        </w:tc>
      </w:tr>
      <w:tr w:rsidR="00CA0A00" w:rsidRPr="00D12BF9" w14:paraId="61BE4A11" w14:textId="77777777" w:rsidTr="009F6B78">
        <w:trPr>
          <w:cantSplit/>
          <w:trHeight w:val="307"/>
        </w:trPr>
        <w:tc>
          <w:tcPr>
            <w:tcW w:w="0" w:type="auto"/>
            <w:vAlign w:val="center"/>
          </w:tcPr>
          <w:p w14:paraId="6878470A" w14:textId="77777777" w:rsidR="00CA0A00" w:rsidRPr="00576AF8" w:rsidRDefault="00CA0A00" w:rsidP="009F6B78">
            <w:pPr>
              <w:spacing w:before="60" w:after="60"/>
              <w:ind w:right="-360"/>
              <w:jc w:val="left"/>
              <w:rPr>
                <w:color w:val="000000"/>
                <w:szCs w:val="24"/>
              </w:rPr>
            </w:pPr>
            <w:r w:rsidRPr="00576AF8">
              <w:rPr>
                <w:color w:val="000000"/>
                <w:szCs w:val="24"/>
              </w:rPr>
              <w:t>PHIL</w:t>
            </w:r>
          </w:p>
        </w:tc>
        <w:tc>
          <w:tcPr>
            <w:tcW w:w="0" w:type="auto"/>
            <w:vAlign w:val="center"/>
          </w:tcPr>
          <w:p w14:paraId="694A4823" w14:textId="77777777" w:rsidR="00CA0A00" w:rsidRPr="00576AF8" w:rsidRDefault="00CA0A00" w:rsidP="009F6B78">
            <w:pPr>
              <w:spacing w:before="60" w:after="60"/>
              <w:jc w:val="left"/>
              <w:rPr>
                <w:color w:val="000000"/>
                <w:szCs w:val="24"/>
                <w:lang w:val="en-US"/>
              </w:rPr>
            </w:pPr>
            <w:r w:rsidRPr="00576AF8">
              <w:rPr>
                <w:color w:val="000000"/>
                <w:szCs w:val="24"/>
                <w:lang w:val="en-US"/>
              </w:rPr>
              <w:t>Power Hardware in-the-loop</w:t>
            </w:r>
          </w:p>
        </w:tc>
      </w:tr>
      <w:tr w:rsidR="00CA0A00" w:rsidRPr="00D12BF9" w14:paraId="61393820" w14:textId="77777777" w:rsidTr="009F6B78">
        <w:trPr>
          <w:cantSplit/>
          <w:trHeight w:val="307"/>
        </w:trPr>
        <w:tc>
          <w:tcPr>
            <w:tcW w:w="0" w:type="auto"/>
            <w:vAlign w:val="center"/>
          </w:tcPr>
          <w:p w14:paraId="5C2C68D5" w14:textId="77777777" w:rsidR="00CA0A00" w:rsidRPr="00576AF8" w:rsidRDefault="00CA0A00" w:rsidP="009F6B78">
            <w:pPr>
              <w:spacing w:before="60" w:after="60"/>
              <w:ind w:right="-360"/>
              <w:jc w:val="left"/>
              <w:rPr>
                <w:color w:val="000000"/>
                <w:szCs w:val="24"/>
              </w:rPr>
            </w:pPr>
            <w:r w:rsidRPr="00576AF8">
              <w:rPr>
                <w:color w:val="000000"/>
                <w:szCs w:val="24"/>
              </w:rPr>
              <w:t>PHIL</w:t>
            </w:r>
          </w:p>
        </w:tc>
        <w:tc>
          <w:tcPr>
            <w:tcW w:w="0" w:type="auto"/>
            <w:vAlign w:val="center"/>
          </w:tcPr>
          <w:p w14:paraId="2EBE9A7B" w14:textId="77777777" w:rsidR="00CA0A00" w:rsidRPr="00576AF8" w:rsidRDefault="00CA0A00" w:rsidP="009F6B78">
            <w:pPr>
              <w:spacing w:before="60" w:after="60"/>
              <w:jc w:val="left"/>
              <w:rPr>
                <w:color w:val="000000"/>
                <w:szCs w:val="24"/>
                <w:lang w:val="en-US"/>
              </w:rPr>
            </w:pPr>
            <w:r w:rsidRPr="00576AF8">
              <w:rPr>
                <w:color w:val="000000"/>
                <w:szCs w:val="24"/>
                <w:lang w:val="en-US"/>
              </w:rPr>
              <w:t>Power Hardware in-the-loop</w:t>
            </w:r>
          </w:p>
        </w:tc>
      </w:tr>
      <w:tr w:rsidR="00CA0A00" w:rsidRPr="00576AF8" w14:paraId="0CEC09CF" w14:textId="77777777" w:rsidTr="009F6B78">
        <w:trPr>
          <w:cantSplit/>
          <w:trHeight w:val="307"/>
        </w:trPr>
        <w:tc>
          <w:tcPr>
            <w:tcW w:w="0" w:type="auto"/>
            <w:vAlign w:val="center"/>
          </w:tcPr>
          <w:p w14:paraId="6B2AFC7D" w14:textId="77777777" w:rsidR="00CA0A00" w:rsidRPr="00576AF8" w:rsidRDefault="00CA0A00" w:rsidP="009F6B78">
            <w:pPr>
              <w:spacing w:before="60" w:after="60"/>
              <w:ind w:right="-360"/>
              <w:jc w:val="left"/>
              <w:rPr>
                <w:color w:val="000000"/>
                <w:szCs w:val="24"/>
              </w:rPr>
            </w:pPr>
            <w:r w:rsidRPr="00576AF8">
              <w:rPr>
                <w:color w:val="000000"/>
                <w:szCs w:val="24"/>
              </w:rPr>
              <w:t>PINT</w:t>
            </w:r>
          </w:p>
        </w:tc>
        <w:tc>
          <w:tcPr>
            <w:tcW w:w="0" w:type="auto"/>
            <w:vAlign w:val="center"/>
          </w:tcPr>
          <w:p w14:paraId="6B253195" w14:textId="77777777" w:rsidR="00CA0A00" w:rsidRPr="00576AF8" w:rsidRDefault="00CA0A00" w:rsidP="009F6B78">
            <w:pPr>
              <w:spacing w:before="60" w:after="60"/>
              <w:jc w:val="left"/>
              <w:rPr>
                <w:color w:val="000000"/>
                <w:szCs w:val="24"/>
              </w:rPr>
            </w:pPr>
            <w:r w:rsidRPr="00576AF8">
              <w:rPr>
                <w:color w:val="000000"/>
                <w:szCs w:val="24"/>
              </w:rPr>
              <w:t>Programación de Intercambios</w:t>
            </w:r>
          </w:p>
        </w:tc>
      </w:tr>
      <w:tr w:rsidR="00CA0A00" w:rsidRPr="00576AF8" w14:paraId="688F547B" w14:textId="77777777" w:rsidTr="009F6B78">
        <w:trPr>
          <w:cantSplit/>
          <w:trHeight w:val="307"/>
        </w:trPr>
        <w:tc>
          <w:tcPr>
            <w:tcW w:w="0" w:type="auto"/>
            <w:vAlign w:val="center"/>
          </w:tcPr>
          <w:p w14:paraId="5640F43C" w14:textId="77777777" w:rsidR="00CA0A00" w:rsidRPr="00576AF8" w:rsidRDefault="00CA0A00" w:rsidP="009F6B78">
            <w:pPr>
              <w:spacing w:before="60" w:after="60"/>
              <w:ind w:right="-360"/>
              <w:jc w:val="left"/>
              <w:rPr>
                <w:color w:val="000000"/>
                <w:szCs w:val="24"/>
              </w:rPr>
            </w:pPr>
            <w:r w:rsidRPr="00576AF8">
              <w:rPr>
                <w:color w:val="000000"/>
                <w:szCs w:val="24"/>
              </w:rPr>
              <w:t>PMU</w:t>
            </w:r>
          </w:p>
        </w:tc>
        <w:tc>
          <w:tcPr>
            <w:tcW w:w="0" w:type="auto"/>
            <w:vAlign w:val="center"/>
          </w:tcPr>
          <w:p w14:paraId="14E677D1" w14:textId="77777777" w:rsidR="00CA0A00" w:rsidRPr="00576AF8" w:rsidRDefault="00CA0A00" w:rsidP="009F6B78">
            <w:pPr>
              <w:spacing w:before="60" w:after="60"/>
              <w:jc w:val="left"/>
              <w:rPr>
                <w:color w:val="000000"/>
                <w:szCs w:val="24"/>
              </w:rPr>
            </w:pPr>
            <w:r w:rsidRPr="00576AF8">
              <w:rPr>
                <w:color w:val="000000"/>
                <w:szCs w:val="24"/>
              </w:rPr>
              <w:t>Phasor Measurement Units</w:t>
            </w:r>
          </w:p>
        </w:tc>
      </w:tr>
      <w:tr w:rsidR="00CA0A00" w:rsidRPr="00576AF8" w14:paraId="2812EBF4" w14:textId="77777777" w:rsidTr="009F6B78">
        <w:trPr>
          <w:cantSplit/>
          <w:trHeight w:val="307"/>
        </w:trPr>
        <w:tc>
          <w:tcPr>
            <w:tcW w:w="0" w:type="auto"/>
            <w:vAlign w:val="center"/>
          </w:tcPr>
          <w:p w14:paraId="5DA8DE6E" w14:textId="77777777" w:rsidR="00CA0A00" w:rsidRPr="00576AF8" w:rsidRDefault="00CA0A00" w:rsidP="009F6B78">
            <w:pPr>
              <w:spacing w:before="60" w:after="60"/>
              <w:ind w:right="-360"/>
              <w:jc w:val="left"/>
              <w:rPr>
                <w:color w:val="000000"/>
                <w:szCs w:val="24"/>
              </w:rPr>
            </w:pPr>
            <w:r w:rsidRPr="00576AF8">
              <w:rPr>
                <w:color w:val="000000"/>
                <w:szCs w:val="24"/>
              </w:rPr>
              <w:t>PoE</w:t>
            </w:r>
          </w:p>
        </w:tc>
        <w:tc>
          <w:tcPr>
            <w:tcW w:w="0" w:type="auto"/>
            <w:vAlign w:val="center"/>
          </w:tcPr>
          <w:p w14:paraId="326A0372" w14:textId="77777777" w:rsidR="00CA0A00" w:rsidRPr="00576AF8" w:rsidRDefault="00CA0A00" w:rsidP="009F6B78">
            <w:pPr>
              <w:spacing w:before="60" w:after="60"/>
              <w:jc w:val="left"/>
              <w:rPr>
                <w:color w:val="000000"/>
                <w:szCs w:val="24"/>
              </w:rPr>
            </w:pPr>
            <w:r w:rsidRPr="00576AF8">
              <w:rPr>
                <w:color w:val="000000"/>
                <w:szCs w:val="24"/>
              </w:rPr>
              <w:t>Power Over Ethernet</w:t>
            </w:r>
          </w:p>
        </w:tc>
      </w:tr>
      <w:tr w:rsidR="00CA0A00" w:rsidRPr="00576AF8" w14:paraId="29602BDA" w14:textId="77777777" w:rsidTr="009F6B78">
        <w:trPr>
          <w:cantSplit/>
          <w:trHeight w:val="307"/>
        </w:trPr>
        <w:tc>
          <w:tcPr>
            <w:tcW w:w="0" w:type="auto"/>
            <w:vAlign w:val="center"/>
          </w:tcPr>
          <w:p w14:paraId="78F2CAAD" w14:textId="77777777" w:rsidR="00CA0A00" w:rsidRPr="00576AF8" w:rsidRDefault="00CA0A00" w:rsidP="009F6B78">
            <w:pPr>
              <w:spacing w:before="60" w:after="60"/>
              <w:ind w:right="-360"/>
              <w:jc w:val="left"/>
              <w:rPr>
                <w:color w:val="000000"/>
                <w:szCs w:val="24"/>
              </w:rPr>
            </w:pPr>
            <w:r w:rsidRPr="00576AF8">
              <w:rPr>
                <w:color w:val="000000"/>
                <w:szCs w:val="24"/>
              </w:rPr>
              <w:t>PSS</w:t>
            </w:r>
          </w:p>
        </w:tc>
        <w:tc>
          <w:tcPr>
            <w:tcW w:w="0" w:type="auto"/>
            <w:vAlign w:val="center"/>
          </w:tcPr>
          <w:p w14:paraId="1556434A" w14:textId="77777777" w:rsidR="00CA0A00" w:rsidRPr="00576AF8" w:rsidRDefault="00CA0A00" w:rsidP="009F6B78">
            <w:pPr>
              <w:spacing w:before="60" w:after="60"/>
              <w:jc w:val="left"/>
              <w:rPr>
                <w:color w:val="000000"/>
                <w:szCs w:val="24"/>
              </w:rPr>
            </w:pPr>
            <w:r w:rsidRPr="00576AF8">
              <w:rPr>
                <w:color w:val="000000"/>
                <w:szCs w:val="24"/>
              </w:rPr>
              <w:t>Power System Stabilizer</w:t>
            </w:r>
          </w:p>
        </w:tc>
      </w:tr>
      <w:tr w:rsidR="00CA0A00" w:rsidRPr="00576AF8" w14:paraId="5BAD9EC8" w14:textId="77777777" w:rsidTr="009F6B78">
        <w:trPr>
          <w:cantSplit/>
          <w:trHeight w:val="307"/>
        </w:trPr>
        <w:tc>
          <w:tcPr>
            <w:tcW w:w="0" w:type="auto"/>
            <w:vAlign w:val="center"/>
          </w:tcPr>
          <w:p w14:paraId="697F05FC" w14:textId="77777777" w:rsidR="00CA0A00" w:rsidRPr="00576AF8" w:rsidRDefault="00CA0A00" w:rsidP="009F6B78">
            <w:pPr>
              <w:spacing w:before="60" w:after="60"/>
              <w:ind w:right="-360"/>
              <w:jc w:val="left"/>
              <w:rPr>
                <w:color w:val="000000"/>
                <w:szCs w:val="24"/>
              </w:rPr>
            </w:pPr>
            <w:r w:rsidRPr="00576AF8">
              <w:rPr>
                <w:color w:val="000000"/>
                <w:szCs w:val="24"/>
              </w:rPr>
              <w:t>PTP</w:t>
            </w:r>
          </w:p>
        </w:tc>
        <w:tc>
          <w:tcPr>
            <w:tcW w:w="0" w:type="auto"/>
            <w:vAlign w:val="center"/>
          </w:tcPr>
          <w:p w14:paraId="491592CD" w14:textId="77777777" w:rsidR="00CA0A00" w:rsidRPr="00576AF8" w:rsidRDefault="00CA0A00" w:rsidP="009F6B78">
            <w:pPr>
              <w:spacing w:before="60" w:after="60"/>
              <w:jc w:val="left"/>
              <w:rPr>
                <w:color w:val="000000"/>
                <w:szCs w:val="24"/>
              </w:rPr>
            </w:pPr>
            <w:r w:rsidRPr="00576AF8">
              <w:rPr>
                <w:color w:val="000000"/>
                <w:szCs w:val="24"/>
              </w:rPr>
              <w:t>Precision Time Protocol</w:t>
            </w:r>
          </w:p>
        </w:tc>
      </w:tr>
      <w:tr w:rsidR="00CA0A00" w:rsidRPr="00576AF8" w14:paraId="45761FDB" w14:textId="77777777" w:rsidTr="009F6B78">
        <w:trPr>
          <w:cantSplit/>
          <w:trHeight w:val="307"/>
        </w:trPr>
        <w:tc>
          <w:tcPr>
            <w:tcW w:w="0" w:type="auto"/>
            <w:vAlign w:val="center"/>
          </w:tcPr>
          <w:p w14:paraId="2EB15678" w14:textId="77777777" w:rsidR="00CA0A00" w:rsidRPr="00576AF8" w:rsidRDefault="00CA0A00" w:rsidP="009F6B78">
            <w:pPr>
              <w:spacing w:before="60" w:after="60"/>
              <w:ind w:right="-360"/>
              <w:jc w:val="left"/>
              <w:rPr>
                <w:color w:val="000000"/>
                <w:szCs w:val="24"/>
              </w:rPr>
            </w:pPr>
            <w:r w:rsidRPr="00576AF8">
              <w:rPr>
                <w:color w:val="000000"/>
                <w:szCs w:val="24"/>
              </w:rPr>
              <w:lastRenderedPageBreak/>
              <w:t>PV</w:t>
            </w:r>
          </w:p>
        </w:tc>
        <w:tc>
          <w:tcPr>
            <w:tcW w:w="0" w:type="auto"/>
            <w:vAlign w:val="center"/>
          </w:tcPr>
          <w:p w14:paraId="644EFE14" w14:textId="77777777" w:rsidR="00CA0A00" w:rsidRPr="00576AF8" w:rsidRDefault="00CA0A00" w:rsidP="009F6B78">
            <w:pPr>
              <w:spacing w:before="60" w:after="60"/>
              <w:jc w:val="left"/>
              <w:rPr>
                <w:color w:val="000000"/>
                <w:szCs w:val="24"/>
              </w:rPr>
            </w:pPr>
            <w:r w:rsidRPr="00576AF8">
              <w:rPr>
                <w:color w:val="000000"/>
                <w:szCs w:val="24"/>
              </w:rPr>
              <w:t>Photo Voltaic</w:t>
            </w:r>
          </w:p>
        </w:tc>
      </w:tr>
      <w:tr w:rsidR="00CA0A00" w:rsidRPr="00576AF8" w14:paraId="02051129" w14:textId="77777777" w:rsidTr="009F6B78">
        <w:trPr>
          <w:cantSplit/>
          <w:trHeight w:val="307"/>
        </w:trPr>
        <w:tc>
          <w:tcPr>
            <w:tcW w:w="0" w:type="auto"/>
            <w:vAlign w:val="center"/>
          </w:tcPr>
          <w:p w14:paraId="5FB0DF30" w14:textId="77777777" w:rsidR="00CA0A00" w:rsidRPr="00576AF8" w:rsidRDefault="00CA0A00" w:rsidP="009F6B78">
            <w:pPr>
              <w:spacing w:before="60" w:after="60"/>
              <w:ind w:right="-360"/>
              <w:jc w:val="left"/>
              <w:rPr>
                <w:color w:val="000000"/>
                <w:szCs w:val="24"/>
              </w:rPr>
            </w:pPr>
            <w:r w:rsidRPr="00576AF8">
              <w:rPr>
                <w:color w:val="000000"/>
                <w:szCs w:val="24"/>
              </w:rPr>
              <w:t>QAS</w:t>
            </w:r>
          </w:p>
        </w:tc>
        <w:tc>
          <w:tcPr>
            <w:tcW w:w="0" w:type="auto"/>
            <w:vAlign w:val="center"/>
          </w:tcPr>
          <w:p w14:paraId="1F6F0AFB" w14:textId="77777777" w:rsidR="00CA0A00" w:rsidRPr="00576AF8" w:rsidRDefault="00CA0A00" w:rsidP="009F6B78">
            <w:pPr>
              <w:spacing w:before="60" w:after="60"/>
              <w:jc w:val="left"/>
              <w:rPr>
                <w:color w:val="000000"/>
                <w:szCs w:val="24"/>
              </w:rPr>
            </w:pPr>
            <w:r w:rsidRPr="00576AF8">
              <w:rPr>
                <w:color w:val="000000"/>
                <w:szCs w:val="24"/>
              </w:rPr>
              <w:t>Quality Assurance System</w:t>
            </w:r>
          </w:p>
        </w:tc>
      </w:tr>
      <w:tr w:rsidR="00CA0A00" w:rsidRPr="00D12BF9" w14:paraId="69789A6D" w14:textId="77777777" w:rsidTr="009F6B78">
        <w:trPr>
          <w:cantSplit/>
          <w:trHeight w:val="307"/>
        </w:trPr>
        <w:tc>
          <w:tcPr>
            <w:tcW w:w="0" w:type="auto"/>
            <w:vAlign w:val="center"/>
          </w:tcPr>
          <w:p w14:paraId="176FFA6F" w14:textId="77777777" w:rsidR="00CA0A00" w:rsidRPr="00576AF8" w:rsidRDefault="00CA0A00" w:rsidP="009F6B78">
            <w:pPr>
              <w:spacing w:before="60" w:after="60"/>
              <w:ind w:right="-360"/>
              <w:jc w:val="left"/>
              <w:rPr>
                <w:color w:val="000000"/>
                <w:szCs w:val="24"/>
              </w:rPr>
            </w:pPr>
            <w:r w:rsidRPr="00576AF8">
              <w:rPr>
                <w:color w:val="000000"/>
                <w:szCs w:val="24"/>
              </w:rPr>
              <w:t>RAID</w:t>
            </w:r>
          </w:p>
        </w:tc>
        <w:tc>
          <w:tcPr>
            <w:tcW w:w="0" w:type="auto"/>
            <w:vAlign w:val="center"/>
          </w:tcPr>
          <w:p w14:paraId="3DE73211" w14:textId="77777777" w:rsidR="00CA0A00" w:rsidRPr="00576AF8" w:rsidRDefault="00CA0A00" w:rsidP="009F6B78">
            <w:pPr>
              <w:spacing w:before="60" w:after="60"/>
              <w:jc w:val="left"/>
              <w:rPr>
                <w:color w:val="000000"/>
                <w:szCs w:val="24"/>
                <w:lang w:val="en-US"/>
              </w:rPr>
            </w:pPr>
            <w:r w:rsidRPr="00576AF8">
              <w:rPr>
                <w:color w:val="000000"/>
                <w:szCs w:val="24"/>
                <w:lang w:val="en-US"/>
              </w:rPr>
              <w:t>Redundant Array of Independent Disks</w:t>
            </w:r>
          </w:p>
        </w:tc>
      </w:tr>
      <w:tr w:rsidR="00CA0A00" w:rsidRPr="00576AF8" w14:paraId="43C6B7DD" w14:textId="77777777" w:rsidTr="009F6B78">
        <w:trPr>
          <w:cantSplit/>
          <w:trHeight w:val="307"/>
        </w:trPr>
        <w:tc>
          <w:tcPr>
            <w:tcW w:w="0" w:type="auto"/>
            <w:vAlign w:val="center"/>
          </w:tcPr>
          <w:p w14:paraId="52C94926" w14:textId="77777777" w:rsidR="00CA0A00" w:rsidRPr="00576AF8" w:rsidRDefault="00CA0A00" w:rsidP="009F6B78">
            <w:pPr>
              <w:spacing w:before="60" w:after="60"/>
              <w:ind w:right="-360"/>
              <w:jc w:val="left"/>
              <w:rPr>
                <w:color w:val="000000"/>
                <w:szCs w:val="24"/>
              </w:rPr>
            </w:pPr>
            <w:r w:rsidRPr="00576AF8">
              <w:rPr>
                <w:color w:val="000000"/>
                <w:szCs w:val="24"/>
              </w:rPr>
              <w:t>RBAC</w:t>
            </w:r>
          </w:p>
        </w:tc>
        <w:tc>
          <w:tcPr>
            <w:tcW w:w="0" w:type="auto"/>
            <w:vAlign w:val="center"/>
          </w:tcPr>
          <w:p w14:paraId="0F0812D2" w14:textId="77777777" w:rsidR="00CA0A00" w:rsidRPr="00576AF8" w:rsidRDefault="00CA0A00" w:rsidP="009F6B78">
            <w:pPr>
              <w:spacing w:before="60" w:after="60"/>
              <w:jc w:val="left"/>
              <w:rPr>
                <w:color w:val="000000"/>
                <w:szCs w:val="24"/>
              </w:rPr>
            </w:pPr>
            <w:r w:rsidRPr="00576AF8">
              <w:rPr>
                <w:color w:val="000000"/>
                <w:szCs w:val="24"/>
              </w:rPr>
              <w:t>Role-Based Access Control</w:t>
            </w:r>
          </w:p>
        </w:tc>
      </w:tr>
      <w:tr w:rsidR="00CA0A00" w:rsidRPr="00576AF8" w14:paraId="43F4AE1B" w14:textId="77777777" w:rsidTr="009F6B78">
        <w:trPr>
          <w:cantSplit/>
          <w:trHeight w:val="307"/>
        </w:trPr>
        <w:tc>
          <w:tcPr>
            <w:tcW w:w="0" w:type="auto"/>
            <w:vAlign w:val="center"/>
          </w:tcPr>
          <w:p w14:paraId="39886E41" w14:textId="77777777" w:rsidR="00CA0A00" w:rsidRPr="00576AF8" w:rsidRDefault="00CA0A00" w:rsidP="009F6B78">
            <w:pPr>
              <w:spacing w:before="60" w:after="60"/>
              <w:ind w:right="-360"/>
              <w:jc w:val="left"/>
              <w:rPr>
                <w:color w:val="000000"/>
                <w:szCs w:val="24"/>
              </w:rPr>
            </w:pPr>
            <w:r w:rsidRPr="00576AF8">
              <w:rPr>
                <w:color w:val="000000"/>
                <w:szCs w:val="24"/>
              </w:rPr>
              <w:t>RCM</w:t>
            </w:r>
          </w:p>
        </w:tc>
        <w:tc>
          <w:tcPr>
            <w:tcW w:w="0" w:type="auto"/>
            <w:vAlign w:val="center"/>
          </w:tcPr>
          <w:p w14:paraId="41FA8CB4" w14:textId="77777777" w:rsidR="00CA0A00" w:rsidRPr="00576AF8" w:rsidRDefault="00CA0A00" w:rsidP="009F6B78">
            <w:pPr>
              <w:spacing w:before="60" w:after="60"/>
              <w:jc w:val="left"/>
              <w:rPr>
                <w:color w:val="000000"/>
                <w:szCs w:val="24"/>
              </w:rPr>
            </w:pPr>
            <w:r w:rsidRPr="00576AF8">
              <w:rPr>
                <w:color w:val="000000"/>
                <w:szCs w:val="24"/>
              </w:rPr>
              <w:t>Redundant Communication Module</w:t>
            </w:r>
          </w:p>
        </w:tc>
      </w:tr>
      <w:tr w:rsidR="00CA0A00" w:rsidRPr="00576AF8" w14:paraId="53030CB6" w14:textId="77777777" w:rsidTr="009F6B78">
        <w:trPr>
          <w:cantSplit/>
          <w:trHeight w:val="307"/>
        </w:trPr>
        <w:tc>
          <w:tcPr>
            <w:tcW w:w="0" w:type="auto"/>
            <w:vAlign w:val="center"/>
          </w:tcPr>
          <w:p w14:paraId="1CC81E0C" w14:textId="77777777" w:rsidR="00CA0A00" w:rsidRPr="00576AF8" w:rsidRDefault="00CA0A00" w:rsidP="009F6B78">
            <w:pPr>
              <w:spacing w:before="60" w:after="60"/>
              <w:ind w:right="-360"/>
              <w:jc w:val="left"/>
              <w:rPr>
                <w:color w:val="000000"/>
                <w:szCs w:val="24"/>
              </w:rPr>
            </w:pPr>
            <w:r w:rsidRPr="00576AF8">
              <w:rPr>
                <w:color w:val="000000"/>
                <w:szCs w:val="24"/>
              </w:rPr>
              <w:t>RDB</w:t>
            </w:r>
          </w:p>
        </w:tc>
        <w:tc>
          <w:tcPr>
            <w:tcW w:w="0" w:type="auto"/>
            <w:vAlign w:val="center"/>
          </w:tcPr>
          <w:p w14:paraId="44357CD7" w14:textId="77777777" w:rsidR="00CA0A00" w:rsidRPr="00576AF8" w:rsidRDefault="00CA0A00" w:rsidP="009F6B78">
            <w:pPr>
              <w:spacing w:before="60" w:after="60"/>
              <w:jc w:val="left"/>
              <w:rPr>
                <w:color w:val="000000"/>
                <w:szCs w:val="24"/>
              </w:rPr>
            </w:pPr>
            <w:r w:rsidRPr="00576AF8">
              <w:rPr>
                <w:color w:val="000000"/>
                <w:szCs w:val="24"/>
              </w:rPr>
              <w:t>Realtime Database</w:t>
            </w:r>
          </w:p>
        </w:tc>
      </w:tr>
      <w:tr w:rsidR="00CA0A00" w:rsidRPr="00576AF8" w14:paraId="7487D2B0" w14:textId="77777777" w:rsidTr="009F6B78">
        <w:trPr>
          <w:cantSplit/>
          <w:trHeight w:val="307"/>
        </w:trPr>
        <w:tc>
          <w:tcPr>
            <w:tcW w:w="0" w:type="auto"/>
            <w:vAlign w:val="center"/>
          </w:tcPr>
          <w:p w14:paraId="370B7C55" w14:textId="77777777" w:rsidR="00CA0A00" w:rsidRPr="00576AF8" w:rsidRDefault="00CA0A00" w:rsidP="009F6B78">
            <w:pPr>
              <w:spacing w:before="60" w:after="60"/>
              <w:ind w:right="-360"/>
              <w:jc w:val="left"/>
              <w:rPr>
                <w:color w:val="000000"/>
                <w:szCs w:val="24"/>
              </w:rPr>
            </w:pPr>
            <w:r w:rsidRPr="00576AF8">
              <w:rPr>
                <w:color w:val="000000"/>
                <w:szCs w:val="24"/>
              </w:rPr>
              <w:t>RDF</w:t>
            </w:r>
          </w:p>
        </w:tc>
        <w:tc>
          <w:tcPr>
            <w:tcW w:w="0" w:type="auto"/>
            <w:vAlign w:val="center"/>
          </w:tcPr>
          <w:p w14:paraId="4EAD9707" w14:textId="77777777" w:rsidR="00CA0A00" w:rsidRPr="00576AF8" w:rsidRDefault="00CA0A00" w:rsidP="009F6B78">
            <w:pPr>
              <w:spacing w:before="60" w:after="60"/>
              <w:jc w:val="left"/>
              <w:rPr>
                <w:color w:val="000000"/>
                <w:szCs w:val="24"/>
              </w:rPr>
            </w:pPr>
            <w:r w:rsidRPr="00576AF8">
              <w:rPr>
                <w:color w:val="000000"/>
                <w:szCs w:val="24"/>
              </w:rPr>
              <w:t>Resource Description Framework</w:t>
            </w:r>
          </w:p>
        </w:tc>
      </w:tr>
      <w:tr w:rsidR="00CA0A00" w:rsidRPr="00576AF8" w14:paraId="218DD13A" w14:textId="77777777" w:rsidTr="009F6B78">
        <w:trPr>
          <w:cantSplit/>
          <w:trHeight w:val="307"/>
        </w:trPr>
        <w:tc>
          <w:tcPr>
            <w:tcW w:w="0" w:type="auto"/>
            <w:vAlign w:val="center"/>
          </w:tcPr>
          <w:p w14:paraId="19AAA067" w14:textId="77777777" w:rsidR="00CA0A00" w:rsidRPr="00576AF8" w:rsidRDefault="00CA0A00" w:rsidP="009F6B78">
            <w:pPr>
              <w:spacing w:before="60" w:after="60"/>
              <w:ind w:right="-360"/>
              <w:jc w:val="left"/>
              <w:rPr>
                <w:color w:val="000000"/>
                <w:szCs w:val="24"/>
              </w:rPr>
            </w:pPr>
            <w:r w:rsidRPr="00576AF8">
              <w:rPr>
                <w:color w:val="000000"/>
                <w:szCs w:val="24"/>
              </w:rPr>
              <w:t>RDP</w:t>
            </w:r>
          </w:p>
        </w:tc>
        <w:tc>
          <w:tcPr>
            <w:tcW w:w="0" w:type="auto"/>
            <w:vAlign w:val="center"/>
          </w:tcPr>
          <w:p w14:paraId="41D849A3" w14:textId="77777777" w:rsidR="00CA0A00" w:rsidRPr="00576AF8" w:rsidRDefault="00CA0A00" w:rsidP="009F6B78">
            <w:pPr>
              <w:spacing w:before="60" w:after="60"/>
              <w:jc w:val="left"/>
              <w:rPr>
                <w:color w:val="000000"/>
                <w:szCs w:val="24"/>
              </w:rPr>
            </w:pPr>
            <w:r w:rsidRPr="00576AF8">
              <w:rPr>
                <w:color w:val="000000"/>
                <w:szCs w:val="24"/>
              </w:rPr>
              <w:t>Remote Desktop Protocol</w:t>
            </w:r>
          </w:p>
        </w:tc>
      </w:tr>
      <w:tr w:rsidR="00CA0A00" w:rsidRPr="00576AF8" w14:paraId="0078C5DE" w14:textId="77777777" w:rsidTr="009F6B78">
        <w:trPr>
          <w:cantSplit/>
          <w:trHeight w:val="307"/>
        </w:trPr>
        <w:tc>
          <w:tcPr>
            <w:tcW w:w="0" w:type="auto"/>
            <w:vAlign w:val="center"/>
          </w:tcPr>
          <w:p w14:paraId="58A05DD5" w14:textId="77777777" w:rsidR="00CA0A00" w:rsidRPr="00576AF8" w:rsidRDefault="00CA0A00" w:rsidP="009F6B78">
            <w:pPr>
              <w:spacing w:before="60" w:after="60"/>
              <w:ind w:right="-360"/>
              <w:jc w:val="left"/>
              <w:rPr>
                <w:color w:val="000000"/>
                <w:szCs w:val="24"/>
              </w:rPr>
            </w:pPr>
            <w:r w:rsidRPr="00576AF8">
              <w:rPr>
                <w:color w:val="000000"/>
                <w:szCs w:val="24"/>
              </w:rPr>
              <w:t>REST</w:t>
            </w:r>
          </w:p>
        </w:tc>
        <w:tc>
          <w:tcPr>
            <w:tcW w:w="0" w:type="auto"/>
            <w:vAlign w:val="center"/>
          </w:tcPr>
          <w:p w14:paraId="1B3CA453" w14:textId="77777777" w:rsidR="00CA0A00" w:rsidRPr="00576AF8" w:rsidRDefault="00CA0A00" w:rsidP="009F6B78">
            <w:pPr>
              <w:spacing w:before="60" w:after="60"/>
              <w:jc w:val="left"/>
              <w:rPr>
                <w:color w:val="000000"/>
                <w:szCs w:val="24"/>
              </w:rPr>
            </w:pPr>
            <w:r w:rsidRPr="00576AF8">
              <w:rPr>
                <w:color w:val="000000"/>
                <w:szCs w:val="24"/>
              </w:rPr>
              <w:t>Representational State Transfer</w:t>
            </w:r>
          </w:p>
        </w:tc>
      </w:tr>
      <w:tr w:rsidR="00CA0A00" w:rsidRPr="00D12BF9" w14:paraId="00552BC7" w14:textId="77777777" w:rsidTr="009F6B78">
        <w:trPr>
          <w:cantSplit/>
          <w:trHeight w:val="307"/>
        </w:trPr>
        <w:tc>
          <w:tcPr>
            <w:tcW w:w="0" w:type="auto"/>
            <w:vAlign w:val="center"/>
          </w:tcPr>
          <w:p w14:paraId="344B9497" w14:textId="77777777" w:rsidR="00CA0A00" w:rsidRPr="00576AF8" w:rsidRDefault="00CA0A00" w:rsidP="009F6B78">
            <w:pPr>
              <w:spacing w:before="60" w:after="60"/>
              <w:ind w:right="-360"/>
              <w:jc w:val="left"/>
              <w:rPr>
                <w:color w:val="000000"/>
                <w:szCs w:val="24"/>
              </w:rPr>
            </w:pPr>
            <w:r w:rsidRPr="00576AF8">
              <w:rPr>
                <w:color w:val="000000"/>
                <w:szCs w:val="24"/>
              </w:rPr>
              <w:t>RoCoF</w:t>
            </w:r>
          </w:p>
        </w:tc>
        <w:tc>
          <w:tcPr>
            <w:tcW w:w="0" w:type="auto"/>
            <w:vAlign w:val="center"/>
          </w:tcPr>
          <w:p w14:paraId="52902E83" w14:textId="77777777" w:rsidR="00CA0A00" w:rsidRPr="00576AF8" w:rsidRDefault="00CA0A00" w:rsidP="009F6B78">
            <w:pPr>
              <w:spacing w:before="60" w:after="60"/>
              <w:jc w:val="left"/>
              <w:rPr>
                <w:color w:val="000000"/>
                <w:szCs w:val="24"/>
                <w:lang w:val="en-US"/>
              </w:rPr>
            </w:pPr>
            <w:r w:rsidRPr="00576AF8">
              <w:rPr>
                <w:color w:val="000000"/>
                <w:szCs w:val="24"/>
                <w:lang w:val="en-US"/>
              </w:rPr>
              <w:t>Rate of Change of Frequency</w:t>
            </w:r>
          </w:p>
        </w:tc>
      </w:tr>
      <w:tr w:rsidR="00CA0A00" w:rsidRPr="00576AF8" w14:paraId="5BFA54E1" w14:textId="77777777" w:rsidTr="009F6B78">
        <w:trPr>
          <w:cantSplit/>
          <w:trHeight w:val="307"/>
        </w:trPr>
        <w:tc>
          <w:tcPr>
            <w:tcW w:w="0" w:type="auto"/>
            <w:vAlign w:val="center"/>
          </w:tcPr>
          <w:p w14:paraId="5E7D145C" w14:textId="77777777" w:rsidR="00CA0A00" w:rsidRPr="00576AF8" w:rsidRDefault="00CA0A00" w:rsidP="009F6B78">
            <w:pPr>
              <w:spacing w:before="60" w:after="60"/>
              <w:ind w:right="-360"/>
              <w:jc w:val="left"/>
              <w:rPr>
                <w:color w:val="000000"/>
                <w:szCs w:val="24"/>
              </w:rPr>
            </w:pPr>
            <w:r w:rsidRPr="00576AF8">
              <w:rPr>
                <w:color w:val="000000"/>
                <w:szCs w:val="24"/>
              </w:rPr>
              <w:t>RRM</w:t>
            </w:r>
          </w:p>
        </w:tc>
        <w:tc>
          <w:tcPr>
            <w:tcW w:w="0" w:type="auto"/>
            <w:vAlign w:val="center"/>
          </w:tcPr>
          <w:p w14:paraId="7F82E78F" w14:textId="77777777" w:rsidR="00CA0A00" w:rsidRPr="00576AF8" w:rsidRDefault="00CA0A00" w:rsidP="009F6B78">
            <w:pPr>
              <w:spacing w:before="60" w:after="60"/>
              <w:jc w:val="left"/>
              <w:rPr>
                <w:color w:val="000000"/>
                <w:szCs w:val="24"/>
              </w:rPr>
            </w:pPr>
            <w:r w:rsidRPr="00576AF8">
              <w:rPr>
                <w:color w:val="000000"/>
                <w:szCs w:val="24"/>
              </w:rPr>
              <w:t>Reactive Reserve Monitoring</w:t>
            </w:r>
          </w:p>
        </w:tc>
      </w:tr>
      <w:tr w:rsidR="00CA0A00" w:rsidRPr="00576AF8" w14:paraId="276B6996" w14:textId="77777777" w:rsidTr="009F6B78">
        <w:trPr>
          <w:cantSplit/>
          <w:trHeight w:val="307"/>
        </w:trPr>
        <w:tc>
          <w:tcPr>
            <w:tcW w:w="0" w:type="auto"/>
            <w:vAlign w:val="center"/>
          </w:tcPr>
          <w:p w14:paraId="2D97265D" w14:textId="77777777" w:rsidR="00CA0A00" w:rsidRPr="00576AF8" w:rsidRDefault="00CA0A00" w:rsidP="009F6B78">
            <w:pPr>
              <w:spacing w:before="60" w:after="60"/>
              <w:ind w:right="-360"/>
              <w:jc w:val="left"/>
              <w:rPr>
                <w:color w:val="000000"/>
                <w:szCs w:val="24"/>
              </w:rPr>
            </w:pPr>
            <w:r w:rsidRPr="00576AF8">
              <w:rPr>
                <w:color w:val="000000"/>
                <w:szCs w:val="24"/>
              </w:rPr>
              <w:t>RTDB</w:t>
            </w:r>
          </w:p>
        </w:tc>
        <w:tc>
          <w:tcPr>
            <w:tcW w:w="0" w:type="auto"/>
            <w:vAlign w:val="center"/>
          </w:tcPr>
          <w:p w14:paraId="1AA78379" w14:textId="77777777" w:rsidR="00CA0A00" w:rsidRPr="00576AF8" w:rsidRDefault="00CA0A00" w:rsidP="009F6B78">
            <w:pPr>
              <w:spacing w:before="60" w:after="60"/>
              <w:jc w:val="left"/>
              <w:rPr>
                <w:color w:val="000000"/>
                <w:szCs w:val="24"/>
              </w:rPr>
            </w:pPr>
            <w:r w:rsidRPr="00576AF8">
              <w:rPr>
                <w:color w:val="000000"/>
                <w:szCs w:val="24"/>
              </w:rPr>
              <w:t>Realtime Database</w:t>
            </w:r>
          </w:p>
        </w:tc>
      </w:tr>
      <w:tr w:rsidR="00CA0A00" w:rsidRPr="00576AF8" w14:paraId="1E262A11" w14:textId="77777777" w:rsidTr="009F6B78">
        <w:trPr>
          <w:cantSplit/>
          <w:trHeight w:val="307"/>
        </w:trPr>
        <w:tc>
          <w:tcPr>
            <w:tcW w:w="0" w:type="auto"/>
            <w:vAlign w:val="center"/>
          </w:tcPr>
          <w:p w14:paraId="5EBE74E9" w14:textId="77777777" w:rsidR="00CA0A00" w:rsidRPr="00576AF8" w:rsidRDefault="00CA0A00" w:rsidP="009F6B78">
            <w:pPr>
              <w:spacing w:before="60" w:after="60"/>
              <w:ind w:right="-360"/>
              <w:jc w:val="left"/>
              <w:rPr>
                <w:color w:val="000000"/>
                <w:szCs w:val="24"/>
              </w:rPr>
            </w:pPr>
            <w:r w:rsidRPr="00576AF8">
              <w:rPr>
                <w:color w:val="000000"/>
                <w:szCs w:val="24"/>
              </w:rPr>
              <w:t>RTU</w:t>
            </w:r>
          </w:p>
        </w:tc>
        <w:tc>
          <w:tcPr>
            <w:tcW w:w="0" w:type="auto"/>
            <w:vAlign w:val="center"/>
          </w:tcPr>
          <w:p w14:paraId="4B97EB2E" w14:textId="77777777" w:rsidR="00CA0A00" w:rsidRPr="00576AF8" w:rsidRDefault="00CA0A00" w:rsidP="009F6B78">
            <w:pPr>
              <w:spacing w:before="60" w:after="60"/>
              <w:jc w:val="left"/>
              <w:rPr>
                <w:color w:val="000000"/>
                <w:szCs w:val="24"/>
              </w:rPr>
            </w:pPr>
            <w:r w:rsidRPr="00576AF8">
              <w:rPr>
                <w:color w:val="000000"/>
                <w:szCs w:val="24"/>
              </w:rPr>
              <w:t>Remote Terminal Unit</w:t>
            </w:r>
          </w:p>
        </w:tc>
      </w:tr>
      <w:tr w:rsidR="00CA0A00" w:rsidRPr="00576AF8" w14:paraId="52014937" w14:textId="77777777" w:rsidTr="009F6B78">
        <w:trPr>
          <w:cantSplit/>
          <w:trHeight w:val="307"/>
        </w:trPr>
        <w:tc>
          <w:tcPr>
            <w:tcW w:w="0" w:type="auto"/>
            <w:vAlign w:val="center"/>
          </w:tcPr>
          <w:p w14:paraId="3928864C" w14:textId="77777777" w:rsidR="00CA0A00" w:rsidRPr="00576AF8" w:rsidRDefault="00CA0A00" w:rsidP="009F6B78">
            <w:pPr>
              <w:spacing w:before="60" w:after="60"/>
              <w:ind w:right="-360"/>
              <w:jc w:val="left"/>
              <w:rPr>
                <w:color w:val="000000"/>
                <w:szCs w:val="24"/>
              </w:rPr>
            </w:pPr>
            <w:r w:rsidRPr="00576AF8">
              <w:rPr>
                <w:color w:val="000000"/>
                <w:szCs w:val="24"/>
              </w:rPr>
              <w:t>SAF</w:t>
            </w:r>
          </w:p>
        </w:tc>
        <w:tc>
          <w:tcPr>
            <w:tcW w:w="0" w:type="auto"/>
            <w:vAlign w:val="center"/>
          </w:tcPr>
          <w:p w14:paraId="62B4ED52" w14:textId="77777777" w:rsidR="00CA0A00" w:rsidRPr="00576AF8" w:rsidRDefault="00CA0A00" w:rsidP="009F6B78">
            <w:pPr>
              <w:spacing w:before="60" w:after="60"/>
              <w:jc w:val="left"/>
              <w:rPr>
                <w:color w:val="000000"/>
                <w:szCs w:val="24"/>
              </w:rPr>
            </w:pPr>
            <w:r w:rsidRPr="00576AF8">
              <w:rPr>
                <w:color w:val="000000"/>
                <w:szCs w:val="24"/>
              </w:rPr>
              <w:t>Sistema de Gestión de Fallas</w:t>
            </w:r>
          </w:p>
        </w:tc>
      </w:tr>
      <w:tr w:rsidR="00CA0A00" w:rsidRPr="00576AF8" w14:paraId="1658D4D0" w14:textId="77777777" w:rsidTr="009F6B78">
        <w:trPr>
          <w:cantSplit/>
          <w:trHeight w:val="307"/>
        </w:trPr>
        <w:tc>
          <w:tcPr>
            <w:tcW w:w="0" w:type="auto"/>
            <w:vAlign w:val="center"/>
          </w:tcPr>
          <w:p w14:paraId="1662A870" w14:textId="77777777" w:rsidR="00CA0A00" w:rsidRPr="00576AF8" w:rsidRDefault="00CA0A00" w:rsidP="009F6B78">
            <w:pPr>
              <w:spacing w:before="60" w:after="60"/>
              <w:ind w:right="-360"/>
              <w:jc w:val="left"/>
              <w:rPr>
                <w:color w:val="000000"/>
                <w:szCs w:val="24"/>
              </w:rPr>
            </w:pPr>
            <w:r w:rsidRPr="00576AF8">
              <w:rPr>
                <w:color w:val="000000"/>
                <w:szCs w:val="24"/>
              </w:rPr>
              <w:t>SAMWEB</w:t>
            </w:r>
          </w:p>
        </w:tc>
        <w:tc>
          <w:tcPr>
            <w:tcW w:w="0" w:type="auto"/>
            <w:vAlign w:val="center"/>
          </w:tcPr>
          <w:p w14:paraId="61E481EA" w14:textId="77777777" w:rsidR="00CA0A00" w:rsidRPr="00576AF8" w:rsidRDefault="00CA0A00" w:rsidP="009F6B78">
            <w:pPr>
              <w:spacing w:before="60" w:after="60"/>
              <w:jc w:val="left"/>
              <w:rPr>
                <w:color w:val="000000"/>
                <w:szCs w:val="24"/>
              </w:rPr>
            </w:pPr>
            <w:r w:rsidRPr="00576AF8">
              <w:rPr>
                <w:color w:val="000000"/>
                <w:szCs w:val="24"/>
              </w:rPr>
              <w:t>Sistema de Administración de Mantenimientos</w:t>
            </w:r>
          </w:p>
        </w:tc>
      </w:tr>
      <w:tr w:rsidR="00CA0A00" w:rsidRPr="00576AF8" w14:paraId="4077DDEB" w14:textId="77777777" w:rsidTr="009F6B78">
        <w:trPr>
          <w:cantSplit/>
          <w:trHeight w:val="307"/>
        </w:trPr>
        <w:tc>
          <w:tcPr>
            <w:tcW w:w="0" w:type="auto"/>
            <w:vAlign w:val="center"/>
          </w:tcPr>
          <w:p w14:paraId="68E8EB21" w14:textId="77777777" w:rsidR="00CA0A00" w:rsidRPr="00576AF8" w:rsidRDefault="00CA0A00" w:rsidP="009F6B78">
            <w:pPr>
              <w:spacing w:before="60" w:after="60"/>
              <w:ind w:right="-360"/>
              <w:jc w:val="left"/>
              <w:rPr>
                <w:color w:val="000000"/>
                <w:szCs w:val="24"/>
              </w:rPr>
            </w:pPr>
            <w:r w:rsidRPr="00576AF8">
              <w:rPr>
                <w:color w:val="000000"/>
                <w:szCs w:val="24"/>
              </w:rPr>
              <w:t>SAN</w:t>
            </w:r>
          </w:p>
        </w:tc>
        <w:tc>
          <w:tcPr>
            <w:tcW w:w="0" w:type="auto"/>
            <w:vAlign w:val="center"/>
          </w:tcPr>
          <w:p w14:paraId="4A913A56" w14:textId="77777777" w:rsidR="00CA0A00" w:rsidRPr="00576AF8" w:rsidRDefault="00CA0A00" w:rsidP="009F6B78">
            <w:pPr>
              <w:spacing w:before="60" w:after="60"/>
              <w:jc w:val="left"/>
              <w:rPr>
                <w:color w:val="000000"/>
                <w:szCs w:val="24"/>
              </w:rPr>
            </w:pPr>
            <w:r w:rsidRPr="00576AF8">
              <w:rPr>
                <w:color w:val="000000"/>
                <w:szCs w:val="24"/>
              </w:rPr>
              <w:t>Storage Area Network</w:t>
            </w:r>
          </w:p>
        </w:tc>
      </w:tr>
      <w:tr w:rsidR="00CA0A00" w:rsidRPr="00576AF8" w14:paraId="69A1B728" w14:textId="77777777" w:rsidTr="009F6B78">
        <w:trPr>
          <w:cantSplit/>
          <w:trHeight w:val="307"/>
        </w:trPr>
        <w:tc>
          <w:tcPr>
            <w:tcW w:w="0" w:type="auto"/>
            <w:vAlign w:val="center"/>
          </w:tcPr>
          <w:p w14:paraId="518950B2" w14:textId="77777777" w:rsidR="00CA0A00" w:rsidRPr="00576AF8" w:rsidRDefault="00CA0A00" w:rsidP="009F6B78">
            <w:pPr>
              <w:spacing w:before="60" w:after="60"/>
              <w:ind w:right="-360"/>
              <w:jc w:val="left"/>
              <w:rPr>
                <w:color w:val="000000"/>
                <w:szCs w:val="24"/>
              </w:rPr>
            </w:pPr>
            <w:r w:rsidRPr="00576AF8">
              <w:rPr>
                <w:color w:val="000000"/>
                <w:szCs w:val="24"/>
              </w:rPr>
              <w:t>SAT</w:t>
            </w:r>
          </w:p>
        </w:tc>
        <w:tc>
          <w:tcPr>
            <w:tcW w:w="0" w:type="auto"/>
            <w:vAlign w:val="center"/>
          </w:tcPr>
          <w:p w14:paraId="1BE98BB7" w14:textId="77777777" w:rsidR="00CA0A00" w:rsidRPr="00576AF8" w:rsidRDefault="00CA0A00" w:rsidP="009F6B78">
            <w:pPr>
              <w:spacing w:before="60" w:after="60"/>
              <w:jc w:val="left"/>
              <w:rPr>
                <w:color w:val="000000"/>
                <w:szCs w:val="24"/>
              </w:rPr>
            </w:pPr>
            <w:r w:rsidRPr="00576AF8">
              <w:rPr>
                <w:color w:val="000000"/>
                <w:szCs w:val="24"/>
              </w:rPr>
              <w:t>Site Acceptance Test</w:t>
            </w:r>
          </w:p>
        </w:tc>
      </w:tr>
      <w:tr w:rsidR="00CA0A00" w:rsidRPr="00576AF8" w14:paraId="53BCEFE1" w14:textId="77777777" w:rsidTr="009F6B78">
        <w:trPr>
          <w:cantSplit/>
          <w:trHeight w:val="307"/>
        </w:trPr>
        <w:tc>
          <w:tcPr>
            <w:tcW w:w="0" w:type="auto"/>
            <w:vAlign w:val="center"/>
          </w:tcPr>
          <w:p w14:paraId="7BFC64E6" w14:textId="77777777" w:rsidR="00CA0A00" w:rsidRPr="00576AF8" w:rsidRDefault="00CA0A00" w:rsidP="009F6B78">
            <w:pPr>
              <w:spacing w:before="60" w:after="60"/>
              <w:ind w:right="-360"/>
              <w:jc w:val="left"/>
              <w:rPr>
                <w:color w:val="000000"/>
                <w:szCs w:val="24"/>
              </w:rPr>
            </w:pPr>
            <w:r w:rsidRPr="00576AF8">
              <w:rPr>
                <w:color w:val="000000"/>
                <w:szCs w:val="24"/>
              </w:rPr>
              <w:t>SCA</w:t>
            </w:r>
          </w:p>
        </w:tc>
        <w:tc>
          <w:tcPr>
            <w:tcW w:w="0" w:type="auto"/>
            <w:vAlign w:val="center"/>
          </w:tcPr>
          <w:p w14:paraId="1CB7D6EC" w14:textId="77777777" w:rsidR="00CA0A00" w:rsidRPr="00576AF8" w:rsidRDefault="00CA0A00" w:rsidP="009F6B78">
            <w:pPr>
              <w:spacing w:before="60" w:after="60"/>
              <w:jc w:val="left"/>
              <w:rPr>
                <w:color w:val="000000"/>
                <w:szCs w:val="24"/>
              </w:rPr>
            </w:pPr>
            <w:r w:rsidRPr="00576AF8">
              <w:rPr>
                <w:color w:val="000000"/>
                <w:szCs w:val="24"/>
              </w:rPr>
              <w:t>Short Circuit Analysis</w:t>
            </w:r>
          </w:p>
        </w:tc>
      </w:tr>
      <w:tr w:rsidR="00CA0A00" w:rsidRPr="00D12BF9" w14:paraId="6A3A100F" w14:textId="77777777" w:rsidTr="009F6B78">
        <w:trPr>
          <w:cantSplit/>
          <w:trHeight w:val="307"/>
        </w:trPr>
        <w:tc>
          <w:tcPr>
            <w:tcW w:w="0" w:type="auto"/>
            <w:vAlign w:val="center"/>
          </w:tcPr>
          <w:p w14:paraId="124B63E8" w14:textId="77777777" w:rsidR="00CA0A00" w:rsidRPr="00576AF8" w:rsidRDefault="00CA0A00" w:rsidP="009F6B78">
            <w:pPr>
              <w:spacing w:before="60" w:after="60"/>
              <w:ind w:right="-360"/>
              <w:jc w:val="left"/>
              <w:rPr>
                <w:color w:val="000000"/>
                <w:szCs w:val="24"/>
              </w:rPr>
            </w:pPr>
            <w:r w:rsidRPr="00576AF8">
              <w:rPr>
                <w:color w:val="000000"/>
                <w:szCs w:val="24"/>
              </w:rPr>
              <w:t>SCADA</w:t>
            </w:r>
          </w:p>
        </w:tc>
        <w:tc>
          <w:tcPr>
            <w:tcW w:w="0" w:type="auto"/>
            <w:vAlign w:val="center"/>
          </w:tcPr>
          <w:p w14:paraId="71447499" w14:textId="77777777" w:rsidR="00CA0A00" w:rsidRPr="00576AF8" w:rsidRDefault="00CA0A00" w:rsidP="009F6B78">
            <w:pPr>
              <w:spacing w:before="60" w:after="60"/>
              <w:jc w:val="left"/>
              <w:rPr>
                <w:color w:val="000000"/>
                <w:szCs w:val="24"/>
                <w:lang w:val="en-US"/>
              </w:rPr>
            </w:pPr>
            <w:r w:rsidRPr="00576AF8">
              <w:rPr>
                <w:color w:val="000000"/>
                <w:szCs w:val="24"/>
                <w:lang w:val="en-US"/>
              </w:rPr>
              <w:t>Supervisory Control and Data Adquisition</w:t>
            </w:r>
          </w:p>
        </w:tc>
      </w:tr>
      <w:tr w:rsidR="00CA0A00" w:rsidRPr="00576AF8" w14:paraId="100467DE" w14:textId="77777777" w:rsidTr="009F6B78">
        <w:trPr>
          <w:cantSplit/>
          <w:trHeight w:val="307"/>
        </w:trPr>
        <w:tc>
          <w:tcPr>
            <w:tcW w:w="0" w:type="auto"/>
            <w:vAlign w:val="center"/>
          </w:tcPr>
          <w:p w14:paraId="508700AA" w14:textId="77777777" w:rsidR="00CA0A00" w:rsidRPr="00576AF8" w:rsidRDefault="00CA0A00" w:rsidP="009F6B78">
            <w:pPr>
              <w:spacing w:before="60" w:after="60"/>
              <w:ind w:right="-360"/>
              <w:jc w:val="left"/>
              <w:rPr>
                <w:color w:val="000000"/>
                <w:szCs w:val="24"/>
              </w:rPr>
            </w:pPr>
            <w:r w:rsidRPr="00576AF8">
              <w:rPr>
                <w:color w:val="000000"/>
                <w:szCs w:val="24"/>
              </w:rPr>
              <w:t>SCD</w:t>
            </w:r>
          </w:p>
        </w:tc>
        <w:tc>
          <w:tcPr>
            <w:tcW w:w="0" w:type="auto"/>
            <w:vAlign w:val="center"/>
          </w:tcPr>
          <w:p w14:paraId="66316534" w14:textId="77777777" w:rsidR="00CA0A00" w:rsidRPr="00576AF8" w:rsidRDefault="00CA0A00" w:rsidP="009F6B78">
            <w:pPr>
              <w:spacing w:before="60" w:after="60"/>
              <w:jc w:val="left"/>
              <w:rPr>
                <w:color w:val="000000"/>
                <w:szCs w:val="24"/>
              </w:rPr>
            </w:pPr>
            <w:r w:rsidRPr="00576AF8">
              <w:rPr>
                <w:color w:val="000000"/>
                <w:szCs w:val="24"/>
              </w:rPr>
              <w:t>Substation Configuration Description</w:t>
            </w:r>
          </w:p>
        </w:tc>
      </w:tr>
      <w:tr w:rsidR="00CA0A00" w:rsidRPr="00576AF8" w14:paraId="1481D153" w14:textId="77777777" w:rsidTr="009F6B78">
        <w:trPr>
          <w:cantSplit/>
          <w:trHeight w:val="307"/>
        </w:trPr>
        <w:tc>
          <w:tcPr>
            <w:tcW w:w="0" w:type="auto"/>
            <w:vAlign w:val="center"/>
          </w:tcPr>
          <w:p w14:paraId="14115950" w14:textId="77777777" w:rsidR="00CA0A00" w:rsidRPr="00576AF8" w:rsidRDefault="00CA0A00" w:rsidP="009F6B78">
            <w:pPr>
              <w:spacing w:before="60" w:after="60"/>
              <w:ind w:right="-360"/>
              <w:jc w:val="left"/>
              <w:rPr>
                <w:color w:val="000000"/>
                <w:szCs w:val="24"/>
              </w:rPr>
            </w:pPr>
            <w:r w:rsidRPr="00576AF8">
              <w:rPr>
                <w:color w:val="000000"/>
                <w:szCs w:val="24"/>
              </w:rPr>
              <w:t>SCHPLN</w:t>
            </w:r>
          </w:p>
        </w:tc>
        <w:tc>
          <w:tcPr>
            <w:tcW w:w="0" w:type="auto"/>
            <w:vAlign w:val="center"/>
          </w:tcPr>
          <w:p w14:paraId="789C053C" w14:textId="77777777" w:rsidR="00CA0A00" w:rsidRPr="00576AF8" w:rsidRDefault="00CA0A00" w:rsidP="009F6B78">
            <w:pPr>
              <w:spacing w:before="60" w:after="60"/>
              <w:jc w:val="left"/>
              <w:rPr>
                <w:color w:val="000000"/>
                <w:szCs w:val="24"/>
              </w:rPr>
            </w:pPr>
            <w:r w:rsidRPr="00576AF8">
              <w:rPr>
                <w:color w:val="000000"/>
                <w:szCs w:val="24"/>
              </w:rPr>
              <w:t>Scheduled Generation Plan</w:t>
            </w:r>
          </w:p>
        </w:tc>
      </w:tr>
      <w:tr w:rsidR="00CA0A00" w:rsidRPr="00D12BF9" w14:paraId="0638D0AC" w14:textId="77777777" w:rsidTr="009F6B78">
        <w:trPr>
          <w:cantSplit/>
          <w:trHeight w:val="307"/>
        </w:trPr>
        <w:tc>
          <w:tcPr>
            <w:tcW w:w="0" w:type="auto"/>
            <w:vAlign w:val="center"/>
          </w:tcPr>
          <w:p w14:paraId="534820D0" w14:textId="77777777" w:rsidR="00CA0A00" w:rsidRPr="00576AF8" w:rsidRDefault="00CA0A00" w:rsidP="009F6B78">
            <w:pPr>
              <w:spacing w:before="60" w:after="60"/>
              <w:ind w:right="-360"/>
              <w:jc w:val="left"/>
              <w:rPr>
                <w:color w:val="000000"/>
                <w:szCs w:val="24"/>
              </w:rPr>
            </w:pPr>
            <w:r w:rsidRPr="00576AF8">
              <w:rPr>
                <w:color w:val="000000"/>
                <w:szCs w:val="24"/>
              </w:rPr>
              <w:t>SCOPF</w:t>
            </w:r>
          </w:p>
        </w:tc>
        <w:tc>
          <w:tcPr>
            <w:tcW w:w="0" w:type="auto"/>
            <w:vAlign w:val="center"/>
          </w:tcPr>
          <w:p w14:paraId="111FA63B" w14:textId="77777777" w:rsidR="00CA0A00" w:rsidRPr="00576AF8" w:rsidRDefault="00CA0A00" w:rsidP="009F6B78">
            <w:pPr>
              <w:spacing w:before="60" w:after="60"/>
              <w:jc w:val="left"/>
              <w:rPr>
                <w:color w:val="000000"/>
                <w:szCs w:val="24"/>
                <w:lang w:val="en-US"/>
              </w:rPr>
            </w:pPr>
            <w:r w:rsidRPr="00576AF8">
              <w:rPr>
                <w:color w:val="000000"/>
                <w:szCs w:val="24"/>
                <w:lang w:val="en-US"/>
              </w:rPr>
              <w:t>Security Constrained Optimal Power Flow</w:t>
            </w:r>
          </w:p>
        </w:tc>
      </w:tr>
      <w:tr w:rsidR="00CA0A00" w:rsidRPr="00576AF8" w14:paraId="280009D9" w14:textId="77777777" w:rsidTr="009F6B78">
        <w:trPr>
          <w:cantSplit/>
          <w:trHeight w:val="307"/>
        </w:trPr>
        <w:tc>
          <w:tcPr>
            <w:tcW w:w="0" w:type="auto"/>
            <w:vAlign w:val="center"/>
          </w:tcPr>
          <w:p w14:paraId="4CAA028B" w14:textId="77777777" w:rsidR="00CA0A00" w:rsidRPr="00576AF8" w:rsidRDefault="00CA0A00" w:rsidP="009F6B78">
            <w:pPr>
              <w:spacing w:before="60" w:after="60"/>
              <w:ind w:right="-360"/>
              <w:jc w:val="left"/>
              <w:rPr>
                <w:color w:val="000000"/>
                <w:szCs w:val="24"/>
              </w:rPr>
            </w:pPr>
            <w:r w:rsidRPr="00576AF8">
              <w:rPr>
                <w:color w:val="000000"/>
                <w:szCs w:val="24"/>
              </w:rPr>
              <w:t>SCS</w:t>
            </w:r>
          </w:p>
        </w:tc>
        <w:tc>
          <w:tcPr>
            <w:tcW w:w="0" w:type="auto"/>
            <w:vAlign w:val="center"/>
          </w:tcPr>
          <w:p w14:paraId="313060D8" w14:textId="77777777" w:rsidR="00CA0A00" w:rsidRPr="00576AF8" w:rsidRDefault="00CA0A00" w:rsidP="009F6B78">
            <w:pPr>
              <w:spacing w:before="60" w:after="60"/>
              <w:jc w:val="left"/>
              <w:rPr>
                <w:color w:val="000000"/>
                <w:szCs w:val="24"/>
              </w:rPr>
            </w:pPr>
            <w:r w:rsidRPr="00576AF8">
              <w:rPr>
                <w:color w:val="000000"/>
                <w:szCs w:val="24"/>
              </w:rPr>
              <w:t>Substation Control System</w:t>
            </w:r>
          </w:p>
        </w:tc>
      </w:tr>
      <w:tr w:rsidR="00CA0A00" w:rsidRPr="00576AF8" w14:paraId="71BFF602" w14:textId="77777777" w:rsidTr="009F6B78">
        <w:trPr>
          <w:cantSplit/>
          <w:trHeight w:val="307"/>
        </w:trPr>
        <w:tc>
          <w:tcPr>
            <w:tcW w:w="0" w:type="auto"/>
            <w:vAlign w:val="center"/>
          </w:tcPr>
          <w:p w14:paraId="24869955" w14:textId="77777777" w:rsidR="00CA0A00" w:rsidRPr="00576AF8" w:rsidRDefault="00CA0A00" w:rsidP="009F6B78">
            <w:pPr>
              <w:spacing w:before="60" w:after="60"/>
              <w:ind w:right="-360"/>
              <w:jc w:val="left"/>
              <w:rPr>
                <w:color w:val="000000"/>
                <w:szCs w:val="24"/>
              </w:rPr>
            </w:pPr>
            <w:r w:rsidRPr="00576AF8">
              <w:rPr>
                <w:color w:val="000000"/>
                <w:szCs w:val="24"/>
              </w:rPr>
              <w:t>SDB</w:t>
            </w:r>
          </w:p>
        </w:tc>
        <w:tc>
          <w:tcPr>
            <w:tcW w:w="0" w:type="auto"/>
            <w:vAlign w:val="center"/>
          </w:tcPr>
          <w:p w14:paraId="5AB52100" w14:textId="77777777" w:rsidR="00CA0A00" w:rsidRPr="00576AF8" w:rsidRDefault="00CA0A00" w:rsidP="009F6B78">
            <w:pPr>
              <w:spacing w:before="60" w:after="60"/>
              <w:jc w:val="left"/>
              <w:rPr>
                <w:color w:val="000000"/>
                <w:szCs w:val="24"/>
              </w:rPr>
            </w:pPr>
            <w:r w:rsidRPr="00576AF8">
              <w:rPr>
                <w:color w:val="000000"/>
                <w:szCs w:val="24"/>
              </w:rPr>
              <w:t>Source Data Base</w:t>
            </w:r>
          </w:p>
        </w:tc>
      </w:tr>
      <w:tr w:rsidR="00CA0A00" w:rsidRPr="00576AF8" w14:paraId="720179F7" w14:textId="77777777" w:rsidTr="009F6B78">
        <w:trPr>
          <w:cantSplit/>
          <w:trHeight w:val="307"/>
        </w:trPr>
        <w:tc>
          <w:tcPr>
            <w:tcW w:w="0" w:type="auto"/>
            <w:vAlign w:val="center"/>
          </w:tcPr>
          <w:p w14:paraId="6C4D91FA" w14:textId="77777777" w:rsidR="00CA0A00" w:rsidRPr="00576AF8" w:rsidRDefault="00CA0A00" w:rsidP="009F6B78">
            <w:pPr>
              <w:spacing w:before="60" w:after="60"/>
              <w:ind w:right="-360"/>
              <w:jc w:val="left"/>
              <w:rPr>
                <w:color w:val="000000"/>
                <w:szCs w:val="24"/>
              </w:rPr>
            </w:pPr>
            <w:r w:rsidRPr="00576AF8">
              <w:rPr>
                <w:color w:val="000000"/>
                <w:szCs w:val="24"/>
              </w:rPr>
              <w:t>SDH</w:t>
            </w:r>
          </w:p>
        </w:tc>
        <w:tc>
          <w:tcPr>
            <w:tcW w:w="0" w:type="auto"/>
            <w:vAlign w:val="center"/>
          </w:tcPr>
          <w:p w14:paraId="76E60958" w14:textId="77777777" w:rsidR="00CA0A00" w:rsidRPr="00576AF8" w:rsidRDefault="00CA0A00" w:rsidP="009F6B78">
            <w:pPr>
              <w:spacing w:before="60" w:after="60"/>
              <w:jc w:val="left"/>
              <w:rPr>
                <w:color w:val="000000"/>
                <w:szCs w:val="24"/>
              </w:rPr>
            </w:pPr>
            <w:r w:rsidRPr="00576AF8">
              <w:rPr>
                <w:color w:val="000000"/>
                <w:szCs w:val="24"/>
              </w:rPr>
              <w:t>Synchronous Digital Hierarchy</w:t>
            </w:r>
          </w:p>
        </w:tc>
      </w:tr>
      <w:tr w:rsidR="00CA0A00" w:rsidRPr="00576AF8" w14:paraId="18603C33" w14:textId="77777777" w:rsidTr="009F6B78">
        <w:trPr>
          <w:cantSplit/>
          <w:trHeight w:val="307"/>
        </w:trPr>
        <w:tc>
          <w:tcPr>
            <w:tcW w:w="0" w:type="auto"/>
            <w:vAlign w:val="center"/>
          </w:tcPr>
          <w:p w14:paraId="3DB0E274" w14:textId="77777777" w:rsidR="00CA0A00" w:rsidRPr="00576AF8" w:rsidRDefault="00CA0A00" w:rsidP="009F6B78">
            <w:pPr>
              <w:spacing w:before="60" w:after="60"/>
              <w:ind w:right="-360"/>
              <w:jc w:val="left"/>
              <w:rPr>
                <w:color w:val="000000"/>
                <w:szCs w:val="24"/>
              </w:rPr>
            </w:pPr>
            <w:r w:rsidRPr="00576AF8">
              <w:rPr>
                <w:color w:val="000000"/>
                <w:szCs w:val="24"/>
              </w:rPr>
              <w:t>SDK</w:t>
            </w:r>
          </w:p>
        </w:tc>
        <w:tc>
          <w:tcPr>
            <w:tcW w:w="0" w:type="auto"/>
            <w:vAlign w:val="center"/>
          </w:tcPr>
          <w:p w14:paraId="45EC615E" w14:textId="77777777" w:rsidR="00CA0A00" w:rsidRPr="00576AF8" w:rsidRDefault="00CA0A00" w:rsidP="009F6B78">
            <w:pPr>
              <w:spacing w:before="60" w:after="60"/>
              <w:jc w:val="left"/>
              <w:rPr>
                <w:color w:val="000000"/>
                <w:szCs w:val="24"/>
              </w:rPr>
            </w:pPr>
            <w:r w:rsidRPr="00576AF8">
              <w:rPr>
                <w:color w:val="000000"/>
                <w:szCs w:val="24"/>
              </w:rPr>
              <w:t>Software Development Kit</w:t>
            </w:r>
          </w:p>
        </w:tc>
      </w:tr>
      <w:tr w:rsidR="00CA0A00" w:rsidRPr="00576AF8" w14:paraId="013E5DB5" w14:textId="77777777" w:rsidTr="009F6B78">
        <w:trPr>
          <w:cantSplit/>
          <w:trHeight w:val="307"/>
        </w:trPr>
        <w:tc>
          <w:tcPr>
            <w:tcW w:w="0" w:type="auto"/>
            <w:vAlign w:val="center"/>
          </w:tcPr>
          <w:p w14:paraId="3EF23D54" w14:textId="77777777" w:rsidR="00CA0A00" w:rsidRPr="00576AF8" w:rsidRDefault="00CA0A00" w:rsidP="009F6B78">
            <w:pPr>
              <w:spacing w:before="60" w:after="60"/>
              <w:ind w:right="-360"/>
              <w:jc w:val="left"/>
              <w:rPr>
                <w:color w:val="000000"/>
                <w:szCs w:val="24"/>
              </w:rPr>
            </w:pPr>
            <w:r w:rsidRPr="00576AF8">
              <w:rPr>
                <w:color w:val="000000"/>
                <w:szCs w:val="24"/>
              </w:rPr>
              <w:t>SE</w:t>
            </w:r>
          </w:p>
        </w:tc>
        <w:tc>
          <w:tcPr>
            <w:tcW w:w="0" w:type="auto"/>
            <w:vAlign w:val="center"/>
          </w:tcPr>
          <w:p w14:paraId="6E27A052" w14:textId="77777777" w:rsidR="00CA0A00" w:rsidRPr="00576AF8" w:rsidRDefault="00CA0A00" w:rsidP="009F6B78">
            <w:pPr>
              <w:spacing w:before="60" w:after="60"/>
              <w:jc w:val="left"/>
              <w:rPr>
                <w:color w:val="000000"/>
                <w:szCs w:val="24"/>
              </w:rPr>
            </w:pPr>
            <w:r w:rsidRPr="00576AF8">
              <w:rPr>
                <w:color w:val="000000"/>
                <w:szCs w:val="24"/>
              </w:rPr>
              <w:t>State Estimator</w:t>
            </w:r>
          </w:p>
        </w:tc>
      </w:tr>
      <w:tr w:rsidR="00CA0A00" w:rsidRPr="00576AF8" w14:paraId="34F0D1AA" w14:textId="77777777" w:rsidTr="009F6B78">
        <w:trPr>
          <w:cantSplit/>
          <w:trHeight w:val="307"/>
        </w:trPr>
        <w:tc>
          <w:tcPr>
            <w:tcW w:w="0" w:type="auto"/>
            <w:vAlign w:val="center"/>
          </w:tcPr>
          <w:p w14:paraId="509D9C3B" w14:textId="77777777" w:rsidR="00CA0A00" w:rsidRPr="00576AF8" w:rsidRDefault="00CA0A00" w:rsidP="009F6B78">
            <w:pPr>
              <w:spacing w:before="60" w:after="60"/>
              <w:ind w:right="-360"/>
              <w:jc w:val="left"/>
              <w:rPr>
                <w:color w:val="000000"/>
                <w:szCs w:val="24"/>
              </w:rPr>
            </w:pPr>
            <w:r w:rsidRPr="00576AF8">
              <w:rPr>
                <w:color w:val="000000"/>
                <w:szCs w:val="24"/>
              </w:rPr>
              <w:t>SEP</w:t>
            </w:r>
          </w:p>
        </w:tc>
        <w:tc>
          <w:tcPr>
            <w:tcW w:w="0" w:type="auto"/>
            <w:vAlign w:val="center"/>
          </w:tcPr>
          <w:p w14:paraId="497F551B" w14:textId="77777777" w:rsidR="00CA0A00" w:rsidRPr="00576AF8" w:rsidRDefault="00CA0A00" w:rsidP="009F6B78">
            <w:pPr>
              <w:spacing w:before="60" w:after="60"/>
              <w:jc w:val="left"/>
              <w:rPr>
                <w:color w:val="000000"/>
                <w:szCs w:val="24"/>
              </w:rPr>
            </w:pPr>
            <w:r w:rsidRPr="00576AF8">
              <w:rPr>
                <w:color w:val="000000"/>
                <w:szCs w:val="24"/>
              </w:rPr>
              <w:t>Sistema Eléctrico de Potencia</w:t>
            </w:r>
          </w:p>
        </w:tc>
      </w:tr>
      <w:tr w:rsidR="00CA0A00" w:rsidRPr="00576AF8" w14:paraId="61B6DAA6" w14:textId="77777777" w:rsidTr="009F6B78">
        <w:trPr>
          <w:cantSplit/>
          <w:trHeight w:val="307"/>
        </w:trPr>
        <w:tc>
          <w:tcPr>
            <w:tcW w:w="0" w:type="auto"/>
            <w:vAlign w:val="center"/>
          </w:tcPr>
          <w:p w14:paraId="15A82CF8" w14:textId="77777777" w:rsidR="00CA0A00" w:rsidRPr="00576AF8" w:rsidRDefault="00CA0A00" w:rsidP="009F6B78">
            <w:pPr>
              <w:spacing w:before="60" w:after="60"/>
              <w:ind w:right="-360"/>
              <w:jc w:val="left"/>
              <w:rPr>
                <w:color w:val="000000"/>
                <w:szCs w:val="24"/>
              </w:rPr>
            </w:pPr>
            <w:r w:rsidRPr="00576AF8">
              <w:rPr>
                <w:color w:val="000000"/>
                <w:szCs w:val="24"/>
              </w:rPr>
              <w:t>SHA</w:t>
            </w:r>
          </w:p>
        </w:tc>
        <w:tc>
          <w:tcPr>
            <w:tcW w:w="0" w:type="auto"/>
            <w:vAlign w:val="center"/>
          </w:tcPr>
          <w:p w14:paraId="6FD1E122" w14:textId="77777777" w:rsidR="00CA0A00" w:rsidRPr="00576AF8" w:rsidRDefault="00CA0A00" w:rsidP="009F6B78">
            <w:pPr>
              <w:spacing w:before="60" w:after="60"/>
              <w:jc w:val="left"/>
              <w:rPr>
                <w:color w:val="000000"/>
                <w:szCs w:val="24"/>
              </w:rPr>
            </w:pPr>
            <w:r w:rsidRPr="00576AF8">
              <w:rPr>
                <w:color w:val="000000"/>
                <w:szCs w:val="24"/>
              </w:rPr>
              <w:t>Secure Hash Algorithm</w:t>
            </w:r>
          </w:p>
        </w:tc>
      </w:tr>
      <w:tr w:rsidR="00CA0A00" w:rsidRPr="00D12BF9" w14:paraId="102C0F0E" w14:textId="77777777" w:rsidTr="009F6B78">
        <w:trPr>
          <w:cantSplit/>
          <w:trHeight w:val="307"/>
        </w:trPr>
        <w:tc>
          <w:tcPr>
            <w:tcW w:w="0" w:type="auto"/>
            <w:vAlign w:val="center"/>
          </w:tcPr>
          <w:p w14:paraId="3EEEF18A" w14:textId="77777777" w:rsidR="00CA0A00" w:rsidRPr="00576AF8" w:rsidRDefault="00CA0A00" w:rsidP="009F6B78">
            <w:pPr>
              <w:spacing w:before="60" w:after="60"/>
              <w:ind w:right="-360"/>
              <w:jc w:val="left"/>
              <w:rPr>
                <w:color w:val="000000"/>
                <w:szCs w:val="24"/>
              </w:rPr>
            </w:pPr>
            <w:r w:rsidRPr="00576AF8">
              <w:rPr>
                <w:color w:val="000000"/>
                <w:szCs w:val="24"/>
              </w:rPr>
              <w:t>SIEM</w:t>
            </w:r>
          </w:p>
        </w:tc>
        <w:tc>
          <w:tcPr>
            <w:tcW w:w="0" w:type="auto"/>
            <w:vAlign w:val="center"/>
          </w:tcPr>
          <w:p w14:paraId="6FB50FCD" w14:textId="77777777" w:rsidR="00CA0A00" w:rsidRPr="00576AF8" w:rsidRDefault="00CA0A00" w:rsidP="009F6B78">
            <w:pPr>
              <w:spacing w:before="60" w:after="60"/>
              <w:jc w:val="left"/>
              <w:rPr>
                <w:color w:val="000000"/>
                <w:szCs w:val="24"/>
                <w:lang w:val="en-US"/>
              </w:rPr>
            </w:pPr>
            <w:r w:rsidRPr="00576AF8">
              <w:rPr>
                <w:color w:val="000000"/>
                <w:szCs w:val="24"/>
                <w:lang w:val="en-US"/>
              </w:rPr>
              <w:t>Security Information and Event Management)</w:t>
            </w:r>
          </w:p>
        </w:tc>
      </w:tr>
      <w:tr w:rsidR="00CA0A00" w:rsidRPr="00576AF8" w14:paraId="3D61832F" w14:textId="77777777" w:rsidTr="009F6B78">
        <w:trPr>
          <w:cantSplit/>
          <w:trHeight w:val="307"/>
        </w:trPr>
        <w:tc>
          <w:tcPr>
            <w:tcW w:w="0" w:type="auto"/>
            <w:vAlign w:val="center"/>
          </w:tcPr>
          <w:p w14:paraId="054A4F00" w14:textId="77777777" w:rsidR="00CA0A00" w:rsidRPr="00576AF8" w:rsidRDefault="00CA0A00" w:rsidP="009F6B78">
            <w:pPr>
              <w:spacing w:before="60" w:after="60"/>
              <w:ind w:right="-360"/>
              <w:jc w:val="left"/>
              <w:rPr>
                <w:color w:val="000000"/>
                <w:szCs w:val="24"/>
              </w:rPr>
            </w:pPr>
            <w:r w:rsidRPr="00576AF8">
              <w:rPr>
                <w:color w:val="000000"/>
                <w:szCs w:val="24"/>
              </w:rPr>
              <w:lastRenderedPageBreak/>
              <w:t>SIGDE</w:t>
            </w:r>
          </w:p>
        </w:tc>
        <w:tc>
          <w:tcPr>
            <w:tcW w:w="0" w:type="auto"/>
            <w:vAlign w:val="center"/>
          </w:tcPr>
          <w:p w14:paraId="0EC56E59" w14:textId="77777777" w:rsidR="00CA0A00" w:rsidRPr="00576AF8" w:rsidRDefault="00CA0A00" w:rsidP="009F6B78">
            <w:pPr>
              <w:pStyle w:val="NormalWeb"/>
              <w:spacing w:before="0" w:beforeAutospacing="0" w:after="0" w:afterAutospacing="0"/>
              <w:jc w:val="left"/>
              <w:rPr>
                <w:rFonts w:ascii="Times New Roman" w:hAnsi="Times New Roman" w:cs="Times New Roman"/>
              </w:rPr>
            </w:pPr>
            <w:r w:rsidRPr="00576AF8">
              <w:rPr>
                <w:rFonts w:ascii="Times New Roman" w:hAnsi="Times New Roman" w:cs="Times New Roman"/>
                <w:color w:val="000000"/>
              </w:rPr>
              <w:t>Sistema Integrado para la Gestión de la Distribución Eléctrica-</w:t>
            </w:r>
          </w:p>
          <w:p w14:paraId="4726FA6A" w14:textId="77777777" w:rsidR="00CA0A00" w:rsidRPr="00576AF8" w:rsidRDefault="00CA0A00" w:rsidP="009F6B78">
            <w:pPr>
              <w:spacing w:before="60" w:after="60"/>
              <w:jc w:val="left"/>
              <w:rPr>
                <w:color w:val="000000"/>
                <w:szCs w:val="24"/>
              </w:rPr>
            </w:pPr>
            <w:r w:rsidRPr="00576AF8">
              <w:rPr>
                <w:color w:val="000000"/>
                <w:szCs w:val="24"/>
              </w:rPr>
              <w:t>CND Centro Nacional de Distribución</w:t>
            </w:r>
          </w:p>
        </w:tc>
      </w:tr>
      <w:tr w:rsidR="00CA0A00" w:rsidRPr="00576AF8" w14:paraId="543ADD20" w14:textId="77777777" w:rsidTr="009F6B78">
        <w:trPr>
          <w:cantSplit/>
          <w:trHeight w:val="307"/>
        </w:trPr>
        <w:tc>
          <w:tcPr>
            <w:tcW w:w="0" w:type="auto"/>
            <w:vAlign w:val="center"/>
          </w:tcPr>
          <w:p w14:paraId="60F27146" w14:textId="77777777" w:rsidR="00CA0A00" w:rsidRPr="00576AF8" w:rsidRDefault="00CA0A00" w:rsidP="009F6B78">
            <w:pPr>
              <w:spacing w:before="60" w:after="60"/>
              <w:ind w:right="-360"/>
              <w:jc w:val="left"/>
              <w:rPr>
                <w:color w:val="000000"/>
                <w:szCs w:val="24"/>
              </w:rPr>
            </w:pPr>
            <w:r w:rsidRPr="00576AF8">
              <w:rPr>
                <w:color w:val="000000"/>
                <w:szCs w:val="24"/>
              </w:rPr>
              <w:t>SIMEC</w:t>
            </w:r>
          </w:p>
        </w:tc>
        <w:tc>
          <w:tcPr>
            <w:tcW w:w="0" w:type="auto"/>
            <w:vAlign w:val="center"/>
          </w:tcPr>
          <w:p w14:paraId="4FF0640B" w14:textId="77777777" w:rsidR="00CA0A00" w:rsidRPr="00576AF8" w:rsidRDefault="00CA0A00" w:rsidP="009F6B78">
            <w:pPr>
              <w:spacing w:before="60" w:after="60"/>
              <w:jc w:val="left"/>
              <w:rPr>
                <w:color w:val="000000"/>
                <w:szCs w:val="24"/>
              </w:rPr>
            </w:pPr>
            <w:r w:rsidRPr="00576AF8">
              <w:rPr>
                <w:color w:val="000000"/>
                <w:szCs w:val="24"/>
              </w:rPr>
              <w:t>Sistema de Medición Comercial</w:t>
            </w:r>
          </w:p>
        </w:tc>
      </w:tr>
      <w:tr w:rsidR="00CA0A00" w:rsidRPr="00576AF8" w14:paraId="2B2B6800" w14:textId="77777777" w:rsidTr="009F6B78">
        <w:trPr>
          <w:cantSplit/>
          <w:trHeight w:val="307"/>
        </w:trPr>
        <w:tc>
          <w:tcPr>
            <w:tcW w:w="0" w:type="auto"/>
            <w:vAlign w:val="center"/>
          </w:tcPr>
          <w:p w14:paraId="7141FA60" w14:textId="77777777" w:rsidR="00CA0A00" w:rsidRPr="00576AF8" w:rsidRDefault="00CA0A00" w:rsidP="009F6B78">
            <w:pPr>
              <w:spacing w:before="60" w:after="60"/>
              <w:ind w:right="-360"/>
              <w:jc w:val="left"/>
              <w:rPr>
                <w:color w:val="000000"/>
                <w:szCs w:val="24"/>
              </w:rPr>
            </w:pPr>
            <w:r w:rsidRPr="00576AF8">
              <w:rPr>
                <w:color w:val="000000"/>
                <w:szCs w:val="24"/>
              </w:rPr>
              <w:t>SIMEM</w:t>
            </w:r>
          </w:p>
        </w:tc>
        <w:tc>
          <w:tcPr>
            <w:tcW w:w="0" w:type="auto"/>
            <w:vAlign w:val="center"/>
          </w:tcPr>
          <w:p w14:paraId="0B2F2858" w14:textId="77777777" w:rsidR="00CA0A00" w:rsidRPr="00576AF8" w:rsidRDefault="00CA0A00" w:rsidP="009F6B78">
            <w:pPr>
              <w:spacing w:before="60" w:after="60"/>
              <w:jc w:val="left"/>
              <w:rPr>
                <w:color w:val="000000"/>
                <w:szCs w:val="24"/>
              </w:rPr>
            </w:pPr>
            <w:r w:rsidRPr="00576AF8">
              <w:rPr>
                <w:color w:val="000000"/>
                <w:szCs w:val="24"/>
              </w:rPr>
              <w:t>Sistema de Información para el Mercado Mayorista</w:t>
            </w:r>
          </w:p>
        </w:tc>
      </w:tr>
      <w:tr w:rsidR="00CA0A00" w:rsidRPr="00576AF8" w14:paraId="6936FB7F" w14:textId="77777777" w:rsidTr="009F6B78">
        <w:trPr>
          <w:cantSplit/>
          <w:trHeight w:val="307"/>
        </w:trPr>
        <w:tc>
          <w:tcPr>
            <w:tcW w:w="0" w:type="auto"/>
            <w:vAlign w:val="center"/>
          </w:tcPr>
          <w:p w14:paraId="3B418C09" w14:textId="77777777" w:rsidR="00CA0A00" w:rsidRPr="00576AF8" w:rsidRDefault="00CA0A00" w:rsidP="009F6B78">
            <w:pPr>
              <w:spacing w:before="60" w:after="60"/>
              <w:ind w:right="-360"/>
              <w:jc w:val="left"/>
              <w:rPr>
                <w:color w:val="000000"/>
                <w:szCs w:val="24"/>
              </w:rPr>
            </w:pPr>
            <w:r w:rsidRPr="00576AF8">
              <w:rPr>
                <w:color w:val="000000"/>
                <w:szCs w:val="24"/>
              </w:rPr>
              <w:t>SMS</w:t>
            </w:r>
          </w:p>
        </w:tc>
        <w:tc>
          <w:tcPr>
            <w:tcW w:w="0" w:type="auto"/>
            <w:vAlign w:val="center"/>
          </w:tcPr>
          <w:p w14:paraId="5CA60C69" w14:textId="77777777" w:rsidR="00CA0A00" w:rsidRPr="00576AF8" w:rsidRDefault="00CA0A00" w:rsidP="009F6B78">
            <w:pPr>
              <w:spacing w:before="60" w:after="60"/>
              <w:jc w:val="left"/>
              <w:rPr>
                <w:color w:val="000000"/>
                <w:szCs w:val="24"/>
              </w:rPr>
            </w:pPr>
            <w:r w:rsidRPr="00576AF8">
              <w:rPr>
                <w:color w:val="000000"/>
                <w:szCs w:val="24"/>
              </w:rPr>
              <w:t>Short Message Service</w:t>
            </w:r>
          </w:p>
        </w:tc>
      </w:tr>
      <w:tr w:rsidR="00CA0A00" w:rsidRPr="00576AF8" w14:paraId="36DC9F46" w14:textId="77777777" w:rsidTr="009F6B78">
        <w:trPr>
          <w:cantSplit/>
          <w:trHeight w:val="307"/>
        </w:trPr>
        <w:tc>
          <w:tcPr>
            <w:tcW w:w="0" w:type="auto"/>
            <w:vAlign w:val="center"/>
          </w:tcPr>
          <w:p w14:paraId="7D5B31CA" w14:textId="77777777" w:rsidR="00CA0A00" w:rsidRPr="00576AF8" w:rsidRDefault="00CA0A00" w:rsidP="009F6B78">
            <w:pPr>
              <w:spacing w:before="60" w:after="60"/>
              <w:ind w:right="-360"/>
              <w:jc w:val="left"/>
              <w:rPr>
                <w:color w:val="000000"/>
                <w:szCs w:val="24"/>
              </w:rPr>
            </w:pPr>
            <w:r w:rsidRPr="00576AF8">
              <w:rPr>
                <w:color w:val="000000"/>
                <w:szCs w:val="24"/>
              </w:rPr>
              <w:t>SNI</w:t>
            </w:r>
          </w:p>
        </w:tc>
        <w:tc>
          <w:tcPr>
            <w:tcW w:w="0" w:type="auto"/>
            <w:vAlign w:val="center"/>
          </w:tcPr>
          <w:p w14:paraId="2E921FD9" w14:textId="77777777" w:rsidR="00CA0A00" w:rsidRPr="00576AF8" w:rsidRDefault="00CA0A00" w:rsidP="009F6B78">
            <w:pPr>
              <w:spacing w:before="60" w:after="60"/>
              <w:jc w:val="left"/>
              <w:rPr>
                <w:color w:val="000000"/>
                <w:szCs w:val="24"/>
              </w:rPr>
            </w:pPr>
            <w:r w:rsidRPr="00576AF8">
              <w:rPr>
                <w:color w:val="000000"/>
                <w:szCs w:val="24"/>
              </w:rPr>
              <w:t>Sistema Nacional Interconectado</w:t>
            </w:r>
          </w:p>
        </w:tc>
      </w:tr>
      <w:tr w:rsidR="00CA0A00" w:rsidRPr="00576AF8" w14:paraId="2E04BD79" w14:textId="77777777" w:rsidTr="009F6B78">
        <w:trPr>
          <w:cantSplit/>
          <w:trHeight w:val="307"/>
        </w:trPr>
        <w:tc>
          <w:tcPr>
            <w:tcW w:w="0" w:type="auto"/>
            <w:vAlign w:val="center"/>
          </w:tcPr>
          <w:p w14:paraId="48D7194B" w14:textId="77777777" w:rsidR="00CA0A00" w:rsidRPr="00576AF8" w:rsidRDefault="00CA0A00" w:rsidP="009F6B78">
            <w:pPr>
              <w:spacing w:before="60" w:after="60"/>
              <w:ind w:right="-360"/>
              <w:jc w:val="left"/>
              <w:rPr>
                <w:color w:val="000000"/>
                <w:szCs w:val="24"/>
              </w:rPr>
            </w:pPr>
            <w:r w:rsidRPr="00576AF8">
              <w:rPr>
                <w:color w:val="000000"/>
                <w:szCs w:val="24"/>
              </w:rPr>
              <w:t>SOC</w:t>
            </w:r>
          </w:p>
        </w:tc>
        <w:tc>
          <w:tcPr>
            <w:tcW w:w="0" w:type="auto"/>
            <w:vAlign w:val="center"/>
          </w:tcPr>
          <w:p w14:paraId="7EF23C6A" w14:textId="77777777" w:rsidR="00CA0A00" w:rsidRPr="00576AF8" w:rsidRDefault="00CA0A00" w:rsidP="009F6B78">
            <w:pPr>
              <w:spacing w:before="60" w:after="60"/>
              <w:jc w:val="left"/>
              <w:rPr>
                <w:color w:val="000000"/>
                <w:szCs w:val="24"/>
              </w:rPr>
            </w:pPr>
            <w:r w:rsidRPr="00576AF8">
              <w:rPr>
                <w:color w:val="000000"/>
                <w:szCs w:val="24"/>
              </w:rPr>
              <w:t>State Of Charge</w:t>
            </w:r>
          </w:p>
        </w:tc>
      </w:tr>
      <w:tr w:rsidR="00CA0A00" w:rsidRPr="00576AF8" w14:paraId="767E8D19" w14:textId="77777777" w:rsidTr="009F6B78">
        <w:trPr>
          <w:cantSplit/>
          <w:trHeight w:val="307"/>
        </w:trPr>
        <w:tc>
          <w:tcPr>
            <w:tcW w:w="0" w:type="auto"/>
            <w:vAlign w:val="center"/>
          </w:tcPr>
          <w:p w14:paraId="06E59451" w14:textId="77777777" w:rsidR="00CA0A00" w:rsidRPr="00576AF8" w:rsidRDefault="00CA0A00" w:rsidP="009F6B78">
            <w:pPr>
              <w:spacing w:before="60" w:after="60"/>
              <w:ind w:right="-360"/>
              <w:jc w:val="left"/>
              <w:rPr>
                <w:color w:val="000000"/>
                <w:szCs w:val="24"/>
              </w:rPr>
            </w:pPr>
            <w:r w:rsidRPr="00576AF8">
              <w:rPr>
                <w:color w:val="000000"/>
                <w:szCs w:val="24"/>
              </w:rPr>
              <w:t>SOE</w:t>
            </w:r>
          </w:p>
        </w:tc>
        <w:tc>
          <w:tcPr>
            <w:tcW w:w="0" w:type="auto"/>
            <w:vAlign w:val="center"/>
          </w:tcPr>
          <w:p w14:paraId="3077943C" w14:textId="77777777" w:rsidR="00CA0A00" w:rsidRPr="00576AF8" w:rsidRDefault="00CA0A00" w:rsidP="009F6B78">
            <w:pPr>
              <w:spacing w:before="60" w:after="60"/>
              <w:jc w:val="left"/>
              <w:rPr>
                <w:color w:val="000000"/>
                <w:szCs w:val="24"/>
              </w:rPr>
            </w:pPr>
            <w:r w:rsidRPr="00576AF8">
              <w:rPr>
                <w:color w:val="000000"/>
                <w:szCs w:val="24"/>
              </w:rPr>
              <w:t>Sequence of Events</w:t>
            </w:r>
          </w:p>
        </w:tc>
      </w:tr>
      <w:tr w:rsidR="00CA0A00" w:rsidRPr="00576AF8" w14:paraId="7BC1D685" w14:textId="77777777" w:rsidTr="009F6B78">
        <w:trPr>
          <w:cantSplit/>
          <w:trHeight w:val="307"/>
        </w:trPr>
        <w:tc>
          <w:tcPr>
            <w:tcW w:w="0" w:type="auto"/>
            <w:vAlign w:val="center"/>
          </w:tcPr>
          <w:p w14:paraId="6FF7E6F9" w14:textId="77777777" w:rsidR="00CA0A00" w:rsidRPr="00576AF8" w:rsidRDefault="00CA0A00" w:rsidP="009F6B78">
            <w:pPr>
              <w:spacing w:before="60" w:after="60"/>
              <w:ind w:right="-360"/>
              <w:jc w:val="left"/>
              <w:rPr>
                <w:color w:val="000000"/>
                <w:szCs w:val="24"/>
              </w:rPr>
            </w:pPr>
            <w:r w:rsidRPr="00576AF8">
              <w:rPr>
                <w:color w:val="000000"/>
                <w:szCs w:val="24"/>
              </w:rPr>
              <w:t>SOW</w:t>
            </w:r>
          </w:p>
        </w:tc>
        <w:tc>
          <w:tcPr>
            <w:tcW w:w="0" w:type="auto"/>
            <w:vAlign w:val="center"/>
          </w:tcPr>
          <w:p w14:paraId="1464D812" w14:textId="77777777" w:rsidR="00CA0A00" w:rsidRPr="00576AF8" w:rsidRDefault="00CA0A00" w:rsidP="009F6B78">
            <w:pPr>
              <w:spacing w:before="60" w:after="60"/>
              <w:jc w:val="left"/>
              <w:rPr>
                <w:color w:val="000000"/>
                <w:szCs w:val="24"/>
              </w:rPr>
            </w:pPr>
            <w:r w:rsidRPr="00576AF8">
              <w:rPr>
                <w:color w:val="000000"/>
                <w:szCs w:val="24"/>
              </w:rPr>
              <w:t>Statement Of Work</w:t>
            </w:r>
          </w:p>
        </w:tc>
      </w:tr>
      <w:tr w:rsidR="00CA0A00" w:rsidRPr="00576AF8" w14:paraId="19EC1D25" w14:textId="77777777" w:rsidTr="009F6B78">
        <w:trPr>
          <w:cantSplit/>
          <w:trHeight w:val="307"/>
        </w:trPr>
        <w:tc>
          <w:tcPr>
            <w:tcW w:w="0" w:type="auto"/>
            <w:vAlign w:val="center"/>
          </w:tcPr>
          <w:p w14:paraId="564F9E0E" w14:textId="77777777" w:rsidR="00CA0A00" w:rsidRPr="00576AF8" w:rsidRDefault="00CA0A00" w:rsidP="009F6B78">
            <w:pPr>
              <w:spacing w:before="60" w:after="60"/>
              <w:ind w:right="-360"/>
              <w:jc w:val="left"/>
              <w:rPr>
                <w:color w:val="000000"/>
                <w:szCs w:val="24"/>
              </w:rPr>
            </w:pPr>
            <w:r w:rsidRPr="00576AF8">
              <w:rPr>
                <w:color w:val="000000"/>
                <w:szCs w:val="24"/>
              </w:rPr>
              <w:t>SPS</w:t>
            </w:r>
          </w:p>
        </w:tc>
        <w:tc>
          <w:tcPr>
            <w:tcW w:w="0" w:type="auto"/>
            <w:vAlign w:val="center"/>
          </w:tcPr>
          <w:p w14:paraId="476F7519" w14:textId="77777777" w:rsidR="00CA0A00" w:rsidRPr="00576AF8" w:rsidRDefault="00CA0A00" w:rsidP="009F6B78">
            <w:pPr>
              <w:spacing w:before="60" w:after="60"/>
              <w:jc w:val="left"/>
              <w:rPr>
                <w:color w:val="000000"/>
                <w:szCs w:val="24"/>
              </w:rPr>
            </w:pPr>
            <w:r w:rsidRPr="00576AF8">
              <w:rPr>
                <w:color w:val="000000"/>
                <w:szCs w:val="24"/>
              </w:rPr>
              <w:t>Systemic Protection Scheme</w:t>
            </w:r>
          </w:p>
        </w:tc>
      </w:tr>
      <w:tr w:rsidR="00CA0A00" w:rsidRPr="00576AF8" w14:paraId="475F95EE" w14:textId="77777777" w:rsidTr="009F6B78">
        <w:trPr>
          <w:cantSplit/>
          <w:trHeight w:val="307"/>
        </w:trPr>
        <w:tc>
          <w:tcPr>
            <w:tcW w:w="0" w:type="auto"/>
            <w:vAlign w:val="center"/>
          </w:tcPr>
          <w:p w14:paraId="1226DED9" w14:textId="77777777" w:rsidR="00CA0A00" w:rsidRPr="00576AF8" w:rsidRDefault="00CA0A00" w:rsidP="009F6B78">
            <w:pPr>
              <w:spacing w:before="60" w:after="60"/>
              <w:ind w:right="-360"/>
              <w:jc w:val="left"/>
              <w:rPr>
                <w:color w:val="000000"/>
                <w:szCs w:val="24"/>
              </w:rPr>
            </w:pPr>
            <w:r w:rsidRPr="00576AF8">
              <w:rPr>
                <w:color w:val="000000"/>
                <w:szCs w:val="24"/>
              </w:rPr>
              <w:t>SQL</w:t>
            </w:r>
          </w:p>
        </w:tc>
        <w:tc>
          <w:tcPr>
            <w:tcW w:w="0" w:type="auto"/>
            <w:vAlign w:val="center"/>
          </w:tcPr>
          <w:p w14:paraId="783FEC77" w14:textId="77777777" w:rsidR="00CA0A00" w:rsidRPr="00576AF8" w:rsidRDefault="00CA0A00" w:rsidP="009F6B78">
            <w:pPr>
              <w:spacing w:before="60" w:after="60"/>
              <w:jc w:val="left"/>
              <w:rPr>
                <w:color w:val="000000"/>
                <w:szCs w:val="24"/>
              </w:rPr>
            </w:pPr>
            <w:r w:rsidRPr="00576AF8">
              <w:rPr>
                <w:color w:val="000000"/>
                <w:szCs w:val="24"/>
              </w:rPr>
              <w:t>Structured Query Language</w:t>
            </w:r>
          </w:p>
        </w:tc>
      </w:tr>
      <w:tr w:rsidR="00CA0A00" w:rsidRPr="00576AF8" w14:paraId="2B5000D4" w14:textId="77777777" w:rsidTr="009F6B78">
        <w:trPr>
          <w:cantSplit/>
          <w:trHeight w:val="307"/>
        </w:trPr>
        <w:tc>
          <w:tcPr>
            <w:tcW w:w="0" w:type="auto"/>
            <w:vAlign w:val="center"/>
          </w:tcPr>
          <w:p w14:paraId="39079950" w14:textId="77777777" w:rsidR="00CA0A00" w:rsidRPr="00576AF8" w:rsidRDefault="00CA0A00" w:rsidP="009F6B78">
            <w:pPr>
              <w:spacing w:before="60" w:after="60"/>
              <w:ind w:right="-360"/>
              <w:jc w:val="left"/>
              <w:rPr>
                <w:color w:val="000000"/>
                <w:szCs w:val="24"/>
              </w:rPr>
            </w:pPr>
            <w:r w:rsidRPr="00576AF8">
              <w:rPr>
                <w:color w:val="000000"/>
                <w:szCs w:val="24"/>
              </w:rPr>
              <w:t>SSD</w:t>
            </w:r>
          </w:p>
        </w:tc>
        <w:tc>
          <w:tcPr>
            <w:tcW w:w="0" w:type="auto"/>
            <w:vAlign w:val="center"/>
          </w:tcPr>
          <w:p w14:paraId="73916155" w14:textId="77777777" w:rsidR="00CA0A00" w:rsidRPr="00576AF8" w:rsidRDefault="00CA0A00" w:rsidP="009F6B78">
            <w:pPr>
              <w:spacing w:before="60" w:after="60"/>
              <w:jc w:val="left"/>
              <w:rPr>
                <w:color w:val="000000"/>
                <w:szCs w:val="24"/>
              </w:rPr>
            </w:pPr>
            <w:r w:rsidRPr="00576AF8">
              <w:rPr>
                <w:color w:val="000000"/>
                <w:szCs w:val="24"/>
              </w:rPr>
              <w:t>Solid State Disk</w:t>
            </w:r>
          </w:p>
        </w:tc>
      </w:tr>
      <w:tr w:rsidR="00CA0A00" w:rsidRPr="00576AF8" w14:paraId="5C872226" w14:textId="77777777" w:rsidTr="009F6B78">
        <w:trPr>
          <w:cantSplit/>
          <w:trHeight w:val="307"/>
        </w:trPr>
        <w:tc>
          <w:tcPr>
            <w:tcW w:w="0" w:type="auto"/>
            <w:vAlign w:val="center"/>
          </w:tcPr>
          <w:p w14:paraId="373C7DBD" w14:textId="77777777" w:rsidR="00CA0A00" w:rsidRPr="00576AF8" w:rsidRDefault="00CA0A00" w:rsidP="009F6B78">
            <w:pPr>
              <w:spacing w:before="60" w:after="60"/>
              <w:ind w:right="-360"/>
              <w:jc w:val="left"/>
              <w:rPr>
                <w:color w:val="000000"/>
                <w:szCs w:val="24"/>
              </w:rPr>
            </w:pPr>
            <w:r w:rsidRPr="00576AF8">
              <w:rPr>
                <w:color w:val="000000"/>
                <w:szCs w:val="24"/>
              </w:rPr>
              <w:t>SSH</w:t>
            </w:r>
          </w:p>
        </w:tc>
        <w:tc>
          <w:tcPr>
            <w:tcW w:w="0" w:type="auto"/>
            <w:vAlign w:val="center"/>
          </w:tcPr>
          <w:p w14:paraId="26B08265" w14:textId="77777777" w:rsidR="00CA0A00" w:rsidRPr="00576AF8" w:rsidRDefault="00CA0A00" w:rsidP="009F6B78">
            <w:pPr>
              <w:spacing w:before="60" w:after="60"/>
              <w:jc w:val="left"/>
              <w:rPr>
                <w:color w:val="000000"/>
                <w:szCs w:val="24"/>
              </w:rPr>
            </w:pPr>
            <w:r w:rsidRPr="00576AF8">
              <w:rPr>
                <w:color w:val="000000"/>
                <w:szCs w:val="24"/>
              </w:rPr>
              <w:t>Secure Shell</w:t>
            </w:r>
          </w:p>
        </w:tc>
      </w:tr>
      <w:tr w:rsidR="00CA0A00" w:rsidRPr="00576AF8" w14:paraId="186E551B" w14:textId="77777777" w:rsidTr="009F6B78">
        <w:trPr>
          <w:cantSplit/>
          <w:trHeight w:val="307"/>
        </w:trPr>
        <w:tc>
          <w:tcPr>
            <w:tcW w:w="0" w:type="auto"/>
            <w:vAlign w:val="center"/>
          </w:tcPr>
          <w:p w14:paraId="4735F441" w14:textId="77777777" w:rsidR="00CA0A00" w:rsidRPr="00576AF8" w:rsidRDefault="00CA0A00" w:rsidP="009F6B78">
            <w:pPr>
              <w:spacing w:before="60" w:after="60"/>
              <w:ind w:right="-360"/>
              <w:jc w:val="left"/>
              <w:rPr>
                <w:color w:val="000000"/>
                <w:szCs w:val="24"/>
              </w:rPr>
            </w:pPr>
            <w:r w:rsidRPr="00576AF8">
              <w:rPr>
                <w:color w:val="000000"/>
                <w:szCs w:val="24"/>
              </w:rPr>
              <w:t>SSL</w:t>
            </w:r>
          </w:p>
        </w:tc>
        <w:tc>
          <w:tcPr>
            <w:tcW w:w="0" w:type="auto"/>
            <w:vAlign w:val="center"/>
          </w:tcPr>
          <w:p w14:paraId="7BE84364" w14:textId="77777777" w:rsidR="00CA0A00" w:rsidRPr="00576AF8" w:rsidRDefault="00CA0A00" w:rsidP="009F6B78">
            <w:pPr>
              <w:spacing w:before="60" w:after="60"/>
              <w:jc w:val="left"/>
              <w:rPr>
                <w:color w:val="000000"/>
                <w:szCs w:val="24"/>
              </w:rPr>
            </w:pPr>
            <w:r w:rsidRPr="00576AF8">
              <w:rPr>
                <w:color w:val="000000"/>
                <w:szCs w:val="24"/>
              </w:rPr>
              <w:t>Secure Sockets Layer</w:t>
            </w:r>
          </w:p>
        </w:tc>
      </w:tr>
      <w:tr w:rsidR="00CA0A00" w:rsidRPr="00576AF8" w14:paraId="7FF1B183" w14:textId="77777777" w:rsidTr="009F6B78">
        <w:trPr>
          <w:cantSplit/>
          <w:trHeight w:val="307"/>
        </w:trPr>
        <w:tc>
          <w:tcPr>
            <w:tcW w:w="0" w:type="auto"/>
            <w:vAlign w:val="center"/>
          </w:tcPr>
          <w:p w14:paraId="5BC3B75C" w14:textId="77777777" w:rsidR="00CA0A00" w:rsidRPr="00576AF8" w:rsidRDefault="00CA0A00" w:rsidP="009F6B78">
            <w:pPr>
              <w:spacing w:before="60" w:after="60"/>
              <w:ind w:right="-360"/>
              <w:jc w:val="left"/>
              <w:rPr>
                <w:color w:val="000000"/>
                <w:szCs w:val="24"/>
              </w:rPr>
            </w:pPr>
            <w:r w:rsidRPr="00576AF8">
              <w:rPr>
                <w:color w:val="000000"/>
                <w:szCs w:val="24"/>
              </w:rPr>
              <w:t>SSO</w:t>
            </w:r>
          </w:p>
        </w:tc>
        <w:tc>
          <w:tcPr>
            <w:tcW w:w="0" w:type="auto"/>
            <w:vAlign w:val="center"/>
          </w:tcPr>
          <w:p w14:paraId="7E5E3A5B" w14:textId="77777777" w:rsidR="00CA0A00" w:rsidRPr="00576AF8" w:rsidRDefault="00CA0A00" w:rsidP="009F6B78">
            <w:pPr>
              <w:spacing w:before="60" w:after="60"/>
              <w:jc w:val="left"/>
              <w:rPr>
                <w:color w:val="000000"/>
                <w:szCs w:val="24"/>
              </w:rPr>
            </w:pPr>
            <w:r w:rsidRPr="00576AF8">
              <w:rPr>
                <w:color w:val="000000"/>
                <w:szCs w:val="24"/>
              </w:rPr>
              <w:t>Single Sign On</w:t>
            </w:r>
          </w:p>
        </w:tc>
      </w:tr>
      <w:tr w:rsidR="00CA0A00" w:rsidRPr="00576AF8" w14:paraId="7F1CBD9A" w14:textId="77777777" w:rsidTr="009F6B78">
        <w:trPr>
          <w:cantSplit/>
          <w:trHeight w:val="307"/>
        </w:trPr>
        <w:tc>
          <w:tcPr>
            <w:tcW w:w="0" w:type="auto"/>
            <w:vAlign w:val="center"/>
          </w:tcPr>
          <w:p w14:paraId="7633E38D" w14:textId="77777777" w:rsidR="00CA0A00" w:rsidRPr="00576AF8" w:rsidRDefault="00CA0A00" w:rsidP="009F6B78">
            <w:pPr>
              <w:spacing w:before="60" w:after="60"/>
              <w:ind w:right="-360"/>
              <w:jc w:val="left"/>
              <w:rPr>
                <w:color w:val="000000"/>
                <w:szCs w:val="24"/>
              </w:rPr>
            </w:pPr>
            <w:r w:rsidRPr="00576AF8">
              <w:rPr>
                <w:color w:val="000000"/>
                <w:szCs w:val="24"/>
              </w:rPr>
              <w:t>STATCOM</w:t>
            </w:r>
          </w:p>
        </w:tc>
        <w:tc>
          <w:tcPr>
            <w:tcW w:w="0" w:type="auto"/>
            <w:vAlign w:val="center"/>
          </w:tcPr>
          <w:p w14:paraId="3FAD86E4" w14:textId="77777777" w:rsidR="00CA0A00" w:rsidRPr="00576AF8" w:rsidRDefault="00CA0A00" w:rsidP="009F6B78">
            <w:pPr>
              <w:spacing w:before="60" w:after="60"/>
              <w:jc w:val="left"/>
              <w:rPr>
                <w:color w:val="000000"/>
                <w:szCs w:val="24"/>
              </w:rPr>
            </w:pPr>
            <w:r w:rsidRPr="00576AF8">
              <w:rPr>
                <w:color w:val="000000"/>
                <w:szCs w:val="24"/>
              </w:rPr>
              <w:t>Static Synchronous Compensator</w:t>
            </w:r>
          </w:p>
        </w:tc>
      </w:tr>
      <w:tr w:rsidR="00CA0A00" w:rsidRPr="00576AF8" w14:paraId="65C90E8B" w14:textId="77777777" w:rsidTr="009F6B78">
        <w:trPr>
          <w:cantSplit/>
          <w:trHeight w:val="307"/>
        </w:trPr>
        <w:tc>
          <w:tcPr>
            <w:tcW w:w="0" w:type="auto"/>
            <w:vAlign w:val="center"/>
          </w:tcPr>
          <w:p w14:paraId="0CA2C8EA" w14:textId="77777777" w:rsidR="00CA0A00" w:rsidRPr="00576AF8" w:rsidRDefault="00CA0A00" w:rsidP="009F6B78">
            <w:pPr>
              <w:spacing w:before="60" w:after="60"/>
              <w:ind w:right="-360"/>
              <w:jc w:val="left"/>
              <w:rPr>
                <w:color w:val="000000"/>
                <w:szCs w:val="24"/>
              </w:rPr>
            </w:pPr>
            <w:r w:rsidRPr="00576AF8">
              <w:rPr>
                <w:color w:val="000000"/>
                <w:szCs w:val="24"/>
              </w:rPr>
              <w:t>SVC</w:t>
            </w:r>
          </w:p>
        </w:tc>
        <w:tc>
          <w:tcPr>
            <w:tcW w:w="0" w:type="auto"/>
            <w:vAlign w:val="center"/>
          </w:tcPr>
          <w:p w14:paraId="5C02782C" w14:textId="77777777" w:rsidR="00CA0A00" w:rsidRPr="00576AF8" w:rsidRDefault="00CA0A00" w:rsidP="009F6B78">
            <w:pPr>
              <w:spacing w:before="60" w:after="60"/>
              <w:jc w:val="left"/>
              <w:rPr>
                <w:color w:val="000000"/>
                <w:szCs w:val="24"/>
              </w:rPr>
            </w:pPr>
            <w:r w:rsidRPr="00576AF8">
              <w:rPr>
                <w:color w:val="000000"/>
                <w:szCs w:val="24"/>
              </w:rPr>
              <w:t>Static VAR Compensator</w:t>
            </w:r>
          </w:p>
        </w:tc>
      </w:tr>
      <w:tr w:rsidR="00CA0A00" w:rsidRPr="00576AF8" w14:paraId="2F78017F" w14:textId="77777777" w:rsidTr="009F6B78">
        <w:trPr>
          <w:cantSplit/>
          <w:trHeight w:val="307"/>
        </w:trPr>
        <w:tc>
          <w:tcPr>
            <w:tcW w:w="0" w:type="auto"/>
            <w:vAlign w:val="center"/>
          </w:tcPr>
          <w:p w14:paraId="6D3FCD2D" w14:textId="77777777" w:rsidR="00CA0A00" w:rsidRPr="00576AF8" w:rsidRDefault="00CA0A00" w:rsidP="009F6B78">
            <w:pPr>
              <w:spacing w:before="60" w:after="60"/>
              <w:ind w:right="-360"/>
              <w:jc w:val="left"/>
              <w:rPr>
                <w:color w:val="000000"/>
                <w:szCs w:val="24"/>
              </w:rPr>
            </w:pPr>
            <w:r w:rsidRPr="00576AF8">
              <w:rPr>
                <w:color w:val="000000"/>
                <w:szCs w:val="24"/>
              </w:rPr>
              <w:t>TASE.2</w:t>
            </w:r>
          </w:p>
        </w:tc>
        <w:tc>
          <w:tcPr>
            <w:tcW w:w="0" w:type="auto"/>
            <w:vAlign w:val="center"/>
          </w:tcPr>
          <w:p w14:paraId="43AF19A7" w14:textId="77777777" w:rsidR="00CA0A00" w:rsidRPr="00576AF8" w:rsidRDefault="00CA0A00" w:rsidP="009F6B78">
            <w:pPr>
              <w:spacing w:before="60" w:after="60"/>
              <w:jc w:val="left"/>
              <w:rPr>
                <w:color w:val="000000"/>
                <w:szCs w:val="24"/>
              </w:rPr>
            </w:pPr>
            <w:r w:rsidRPr="00576AF8">
              <w:rPr>
                <w:color w:val="000000"/>
                <w:szCs w:val="24"/>
              </w:rPr>
              <w:t>Telecontrol Application Service Element 2</w:t>
            </w:r>
          </w:p>
        </w:tc>
      </w:tr>
      <w:tr w:rsidR="00CA0A00" w:rsidRPr="00576AF8" w14:paraId="7D2AB794" w14:textId="77777777" w:rsidTr="009F6B78">
        <w:trPr>
          <w:cantSplit/>
          <w:trHeight w:val="307"/>
        </w:trPr>
        <w:tc>
          <w:tcPr>
            <w:tcW w:w="0" w:type="auto"/>
            <w:vAlign w:val="center"/>
          </w:tcPr>
          <w:p w14:paraId="29DE3935" w14:textId="77777777" w:rsidR="00CA0A00" w:rsidRPr="00576AF8" w:rsidRDefault="00CA0A00" w:rsidP="009F6B78">
            <w:pPr>
              <w:spacing w:before="60" w:after="60"/>
              <w:ind w:right="-360"/>
              <w:jc w:val="left"/>
              <w:rPr>
                <w:color w:val="000000"/>
                <w:szCs w:val="24"/>
              </w:rPr>
            </w:pPr>
            <w:r w:rsidRPr="00576AF8">
              <w:rPr>
                <w:color w:val="000000"/>
                <w:szCs w:val="24"/>
              </w:rPr>
              <w:t>TCO</w:t>
            </w:r>
          </w:p>
        </w:tc>
        <w:tc>
          <w:tcPr>
            <w:tcW w:w="0" w:type="auto"/>
            <w:vAlign w:val="center"/>
          </w:tcPr>
          <w:p w14:paraId="4D457873" w14:textId="77777777" w:rsidR="00CA0A00" w:rsidRPr="00576AF8" w:rsidRDefault="00CA0A00" w:rsidP="009F6B78">
            <w:pPr>
              <w:spacing w:before="60" w:after="60"/>
              <w:jc w:val="left"/>
              <w:rPr>
                <w:color w:val="000000"/>
                <w:szCs w:val="24"/>
              </w:rPr>
            </w:pPr>
            <w:proofErr w:type="gramStart"/>
            <w:r w:rsidRPr="00576AF8">
              <w:rPr>
                <w:color w:val="000000"/>
                <w:szCs w:val="24"/>
              </w:rPr>
              <w:t>Total</w:t>
            </w:r>
            <w:proofErr w:type="gramEnd"/>
            <w:r w:rsidRPr="00576AF8">
              <w:rPr>
                <w:color w:val="000000"/>
                <w:szCs w:val="24"/>
              </w:rPr>
              <w:t xml:space="preserve"> Cost of Ownership</w:t>
            </w:r>
          </w:p>
        </w:tc>
      </w:tr>
      <w:tr w:rsidR="00CA0A00" w:rsidRPr="00576AF8" w14:paraId="57889A99" w14:textId="77777777" w:rsidTr="009F6B78">
        <w:trPr>
          <w:cantSplit/>
          <w:trHeight w:val="307"/>
        </w:trPr>
        <w:tc>
          <w:tcPr>
            <w:tcW w:w="0" w:type="auto"/>
            <w:vAlign w:val="center"/>
          </w:tcPr>
          <w:p w14:paraId="6AD1A6DE" w14:textId="77777777" w:rsidR="00CA0A00" w:rsidRPr="00576AF8" w:rsidRDefault="00CA0A00" w:rsidP="009F6B78">
            <w:pPr>
              <w:spacing w:before="60" w:after="60"/>
              <w:ind w:right="-360"/>
              <w:jc w:val="left"/>
              <w:rPr>
                <w:color w:val="000000"/>
                <w:szCs w:val="24"/>
              </w:rPr>
            </w:pPr>
            <w:r w:rsidRPr="00576AF8">
              <w:rPr>
                <w:color w:val="000000"/>
                <w:szCs w:val="24"/>
              </w:rPr>
              <w:t>TIA</w:t>
            </w:r>
          </w:p>
        </w:tc>
        <w:tc>
          <w:tcPr>
            <w:tcW w:w="0" w:type="auto"/>
            <w:vAlign w:val="center"/>
          </w:tcPr>
          <w:p w14:paraId="07FB8777" w14:textId="77777777" w:rsidR="00CA0A00" w:rsidRPr="00576AF8" w:rsidRDefault="00CA0A00" w:rsidP="009F6B78">
            <w:pPr>
              <w:spacing w:before="60" w:after="60"/>
              <w:jc w:val="left"/>
              <w:rPr>
                <w:color w:val="000000"/>
                <w:szCs w:val="24"/>
              </w:rPr>
            </w:pPr>
            <w:r w:rsidRPr="00576AF8">
              <w:rPr>
                <w:color w:val="000000"/>
                <w:szCs w:val="24"/>
              </w:rPr>
              <w:t>Telecommunications Industry Association</w:t>
            </w:r>
          </w:p>
        </w:tc>
      </w:tr>
      <w:tr w:rsidR="00CA0A00" w:rsidRPr="00576AF8" w14:paraId="28D958CB" w14:textId="77777777" w:rsidTr="009F6B78">
        <w:trPr>
          <w:cantSplit/>
          <w:trHeight w:val="307"/>
        </w:trPr>
        <w:tc>
          <w:tcPr>
            <w:tcW w:w="0" w:type="auto"/>
            <w:vAlign w:val="center"/>
          </w:tcPr>
          <w:p w14:paraId="2E9FCC87" w14:textId="77777777" w:rsidR="00CA0A00" w:rsidRPr="00576AF8" w:rsidRDefault="00CA0A00" w:rsidP="009F6B78">
            <w:pPr>
              <w:spacing w:before="60" w:after="60"/>
              <w:ind w:right="-360"/>
              <w:jc w:val="left"/>
              <w:rPr>
                <w:color w:val="000000"/>
                <w:szCs w:val="24"/>
              </w:rPr>
            </w:pPr>
            <w:r w:rsidRPr="00576AF8">
              <w:rPr>
                <w:color w:val="000000"/>
                <w:szCs w:val="24"/>
              </w:rPr>
              <w:t>TLB</w:t>
            </w:r>
          </w:p>
        </w:tc>
        <w:tc>
          <w:tcPr>
            <w:tcW w:w="0" w:type="auto"/>
            <w:vAlign w:val="center"/>
          </w:tcPr>
          <w:p w14:paraId="437634EE" w14:textId="77777777" w:rsidR="00CA0A00" w:rsidRPr="00576AF8" w:rsidRDefault="00CA0A00" w:rsidP="009F6B78">
            <w:pPr>
              <w:spacing w:before="60" w:after="60"/>
              <w:jc w:val="left"/>
              <w:rPr>
                <w:color w:val="000000"/>
                <w:szCs w:val="24"/>
              </w:rPr>
            </w:pPr>
            <w:r w:rsidRPr="00576AF8">
              <w:rPr>
                <w:color w:val="000000"/>
                <w:szCs w:val="24"/>
              </w:rPr>
              <w:t>Tie Line Bias</w:t>
            </w:r>
          </w:p>
        </w:tc>
      </w:tr>
      <w:tr w:rsidR="00CA0A00" w:rsidRPr="00576AF8" w14:paraId="64AA9321" w14:textId="77777777" w:rsidTr="009F6B78">
        <w:trPr>
          <w:cantSplit/>
          <w:trHeight w:val="307"/>
        </w:trPr>
        <w:tc>
          <w:tcPr>
            <w:tcW w:w="0" w:type="auto"/>
            <w:vAlign w:val="center"/>
          </w:tcPr>
          <w:p w14:paraId="35301E6A" w14:textId="77777777" w:rsidR="00CA0A00" w:rsidRPr="00576AF8" w:rsidRDefault="00CA0A00" w:rsidP="009F6B78">
            <w:pPr>
              <w:spacing w:before="60" w:after="60"/>
              <w:ind w:right="-360"/>
              <w:jc w:val="left"/>
              <w:rPr>
                <w:color w:val="000000"/>
                <w:szCs w:val="24"/>
              </w:rPr>
            </w:pPr>
            <w:r w:rsidRPr="00576AF8">
              <w:rPr>
                <w:color w:val="000000"/>
                <w:szCs w:val="24"/>
              </w:rPr>
              <w:t>TLS</w:t>
            </w:r>
          </w:p>
        </w:tc>
        <w:tc>
          <w:tcPr>
            <w:tcW w:w="0" w:type="auto"/>
            <w:vAlign w:val="center"/>
          </w:tcPr>
          <w:p w14:paraId="120BAAF7" w14:textId="77777777" w:rsidR="00CA0A00" w:rsidRPr="00576AF8" w:rsidRDefault="00CA0A00" w:rsidP="009F6B78">
            <w:pPr>
              <w:spacing w:before="60" w:after="60"/>
              <w:jc w:val="left"/>
              <w:rPr>
                <w:color w:val="000000"/>
                <w:szCs w:val="24"/>
              </w:rPr>
            </w:pPr>
            <w:r w:rsidRPr="00576AF8">
              <w:rPr>
                <w:color w:val="000000"/>
                <w:szCs w:val="24"/>
              </w:rPr>
              <w:t>Transport Layer Security</w:t>
            </w:r>
          </w:p>
        </w:tc>
      </w:tr>
      <w:tr w:rsidR="00CA0A00" w:rsidRPr="00D12BF9" w14:paraId="540667DE" w14:textId="77777777" w:rsidTr="009F6B78">
        <w:trPr>
          <w:cantSplit/>
          <w:trHeight w:val="307"/>
        </w:trPr>
        <w:tc>
          <w:tcPr>
            <w:tcW w:w="0" w:type="auto"/>
            <w:vAlign w:val="center"/>
          </w:tcPr>
          <w:p w14:paraId="7EDB4B2D" w14:textId="77777777" w:rsidR="00CA0A00" w:rsidRPr="00576AF8" w:rsidRDefault="00CA0A00" w:rsidP="009F6B78">
            <w:pPr>
              <w:spacing w:before="60" w:after="60"/>
              <w:ind w:right="-360"/>
              <w:jc w:val="left"/>
              <w:rPr>
                <w:color w:val="000000"/>
                <w:szCs w:val="24"/>
              </w:rPr>
            </w:pPr>
            <w:r w:rsidRPr="00576AF8">
              <w:rPr>
                <w:color w:val="000000"/>
                <w:szCs w:val="24"/>
              </w:rPr>
              <w:t>UDW</w:t>
            </w:r>
          </w:p>
        </w:tc>
        <w:tc>
          <w:tcPr>
            <w:tcW w:w="0" w:type="auto"/>
            <w:vAlign w:val="center"/>
          </w:tcPr>
          <w:p w14:paraId="3DDFF6A8" w14:textId="77777777" w:rsidR="00CA0A00" w:rsidRPr="00576AF8" w:rsidRDefault="00CA0A00" w:rsidP="009F6B78">
            <w:pPr>
              <w:spacing w:before="60" w:after="60"/>
              <w:jc w:val="left"/>
              <w:rPr>
                <w:color w:val="000000"/>
                <w:szCs w:val="24"/>
                <w:lang w:val="en-US"/>
              </w:rPr>
            </w:pPr>
            <w:r w:rsidRPr="00576AF8">
              <w:rPr>
                <w:color w:val="000000"/>
                <w:szCs w:val="24"/>
                <w:lang w:val="en-US"/>
              </w:rPr>
              <w:t>Utility Data Warehouse de Hitachi Energy</w:t>
            </w:r>
          </w:p>
        </w:tc>
      </w:tr>
      <w:tr w:rsidR="00CA0A00" w:rsidRPr="00576AF8" w14:paraId="14D4F412" w14:textId="77777777" w:rsidTr="009F6B78">
        <w:trPr>
          <w:cantSplit/>
          <w:trHeight w:val="307"/>
        </w:trPr>
        <w:tc>
          <w:tcPr>
            <w:tcW w:w="0" w:type="auto"/>
            <w:vAlign w:val="center"/>
          </w:tcPr>
          <w:p w14:paraId="14CB8B83" w14:textId="77777777" w:rsidR="00CA0A00" w:rsidRPr="00576AF8" w:rsidRDefault="00CA0A00" w:rsidP="009F6B78">
            <w:pPr>
              <w:spacing w:before="60" w:after="60"/>
              <w:ind w:right="-360"/>
              <w:jc w:val="left"/>
              <w:rPr>
                <w:color w:val="000000"/>
                <w:szCs w:val="24"/>
              </w:rPr>
            </w:pPr>
            <w:r w:rsidRPr="00576AF8">
              <w:rPr>
                <w:color w:val="000000"/>
                <w:szCs w:val="24"/>
              </w:rPr>
              <w:t>VLAN</w:t>
            </w:r>
          </w:p>
        </w:tc>
        <w:tc>
          <w:tcPr>
            <w:tcW w:w="0" w:type="auto"/>
            <w:vAlign w:val="center"/>
          </w:tcPr>
          <w:p w14:paraId="5FB3EE97" w14:textId="77777777" w:rsidR="00CA0A00" w:rsidRPr="00576AF8" w:rsidRDefault="00CA0A00" w:rsidP="009F6B78">
            <w:pPr>
              <w:spacing w:before="60" w:after="60"/>
              <w:jc w:val="left"/>
              <w:rPr>
                <w:color w:val="000000"/>
                <w:szCs w:val="24"/>
              </w:rPr>
            </w:pPr>
            <w:r w:rsidRPr="00576AF8">
              <w:rPr>
                <w:color w:val="000000"/>
                <w:szCs w:val="24"/>
              </w:rPr>
              <w:t>Virtual Local Area Network</w:t>
            </w:r>
          </w:p>
        </w:tc>
      </w:tr>
      <w:tr w:rsidR="00CA0A00" w:rsidRPr="00576AF8" w14:paraId="69811833" w14:textId="77777777" w:rsidTr="009F6B78">
        <w:trPr>
          <w:cantSplit/>
          <w:trHeight w:val="307"/>
        </w:trPr>
        <w:tc>
          <w:tcPr>
            <w:tcW w:w="0" w:type="auto"/>
            <w:vAlign w:val="center"/>
          </w:tcPr>
          <w:p w14:paraId="48A40884" w14:textId="77777777" w:rsidR="00CA0A00" w:rsidRPr="00576AF8" w:rsidRDefault="00CA0A00" w:rsidP="009F6B78">
            <w:pPr>
              <w:spacing w:before="60" w:after="60"/>
              <w:ind w:right="-360"/>
              <w:jc w:val="left"/>
              <w:rPr>
                <w:color w:val="000000"/>
                <w:szCs w:val="24"/>
              </w:rPr>
            </w:pPr>
            <w:r w:rsidRPr="00576AF8">
              <w:rPr>
                <w:color w:val="000000"/>
                <w:szCs w:val="24"/>
              </w:rPr>
              <w:t>VM</w:t>
            </w:r>
          </w:p>
        </w:tc>
        <w:tc>
          <w:tcPr>
            <w:tcW w:w="0" w:type="auto"/>
            <w:vAlign w:val="center"/>
          </w:tcPr>
          <w:p w14:paraId="57E78FB6" w14:textId="77777777" w:rsidR="00CA0A00" w:rsidRPr="00576AF8" w:rsidRDefault="00CA0A00" w:rsidP="009F6B78">
            <w:pPr>
              <w:spacing w:before="60" w:after="60"/>
              <w:jc w:val="left"/>
              <w:rPr>
                <w:color w:val="000000"/>
                <w:szCs w:val="24"/>
              </w:rPr>
            </w:pPr>
            <w:r w:rsidRPr="00576AF8">
              <w:rPr>
                <w:color w:val="000000"/>
                <w:szCs w:val="24"/>
              </w:rPr>
              <w:t>Virtual Machine</w:t>
            </w:r>
          </w:p>
        </w:tc>
      </w:tr>
      <w:tr w:rsidR="00CA0A00" w:rsidRPr="00576AF8" w14:paraId="3F4EF094" w14:textId="77777777" w:rsidTr="009F6B78">
        <w:trPr>
          <w:cantSplit/>
          <w:trHeight w:val="307"/>
        </w:trPr>
        <w:tc>
          <w:tcPr>
            <w:tcW w:w="0" w:type="auto"/>
            <w:vAlign w:val="center"/>
          </w:tcPr>
          <w:p w14:paraId="188A49A0" w14:textId="77777777" w:rsidR="00CA0A00" w:rsidRPr="00576AF8" w:rsidRDefault="00CA0A00" w:rsidP="009F6B78">
            <w:pPr>
              <w:spacing w:before="60" w:after="60"/>
              <w:ind w:right="-360"/>
              <w:jc w:val="left"/>
              <w:rPr>
                <w:color w:val="000000"/>
                <w:szCs w:val="24"/>
              </w:rPr>
            </w:pPr>
            <w:r w:rsidRPr="00576AF8">
              <w:rPr>
                <w:color w:val="000000"/>
                <w:szCs w:val="24"/>
              </w:rPr>
              <w:t>VPP</w:t>
            </w:r>
          </w:p>
        </w:tc>
        <w:tc>
          <w:tcPr>
            <w:tcW w:w="0" w:type="auto"/>
            <w:vAlign w:val="center"/>
          </w:tcPr>
          <w:p w14:paraId="0C374496" w14:textId="77777777" w:rsidR="00CA0A00" w:rsidRPr="00576AF8" w:rsidRDefault="00CA0A00" w:rsidP="009F6B78">
            <w:pPr>
              <w:spacing w:before="60" w:after="60"/>
              <w:jc w:val="left"/>
              <w:rPr>
                <w:color w:val="000000"/>
                <w:szCs w:val="24"/>
              </w:rPr>
            </w:pPr>
            <w:r w:rsidRPr="00576AF8">
              <w:rPr>
                <w:color w:val="000000"/>
                <w:szCs w:val="24"/>
              </w:rPr>
              <w:t>Virtual Power Plant</w:t>
            </w:r>
          </w:p>
        </w:tc>
      </w:tr>
      <w:tr w:rsidR="00CA0A00" w:rsidRPr="00576AF8" w14:paraId="15CA7CFC" w14:textId="77777777" w:rsidTr="009F6B78">
        <w:trPr>
          <w:cantSplit/>
          <w:trHeight w:val="307"/>
        </w:trPr>
        <w:tc>
          <w:tcPr>
            <w:tcW w:w="0" w:type="auto"/>
            <w:vAlign w:val="center"/>
          </w:tcPr>
          <w:p w14:paraId="52703F8C" w14:textId="77777777" w:rsidR="00CA0A00" w:rsidRPr="00576AF8" w:rsidRDefault="00CA0A00" w:rsidP="009F6B78">
            <w:pPr>
              <w:spacing w:before="60" w:after="60"/>
              <w:ind w:right="-360"/>
              <w:jc w:val="left"/>
              <w:rPr>
                <w:color w:val="000000"/>
                <w:szCs w:val="24"/>
              </w:rPr>
            </w:pPr>
            <w:r w:rsidRPr="00576AF8">
              <w:rPr>
                <w:color w:val="000000"/>
                <w:szCs w:val="24"/>
              </w:rPr>
              <w:t>VSA</w:t>
            </w:r>
          </w:p>
        </w:tc>
        <w:tc>
          <w:tcPr>
            <w:tcW w:w="0" w:type="auto"/>
            <w:vAlign w:val="center"/>
          </w:tcPr>
          <w:p w14:paraId="3742B946" w14:textId="77777777" w:rsidR="00CA0A00" w:rsidRPr="00576AF8" w:rsidRDefault="00CA0A00" w:rsidP="009F6B78">
            <w:pPr>
              <w:spacing w:before="60" w:after="60"/>
              <w:jc w:val="left"/>
              <w:rPr>
                <w:color w:val="000000"/>
                <w:szCs w:val="24"/>
              </w:rPr>
            </w:pPr>
            <w:r w:rsidRPr="00576AF8">
              <w:rPr>
                <w:color w:val="000000"/>
                <w:szCs w:val="24"/>
              </w:rPr>
              <w:t>Voltage Stability Assessment</w:t>
            </w:r>
          </w:p>
        </w:tc>
      </w:tr>
      <w:tr w:rsidR="00CA0A00" w:rsidRPr="00576AF8" w14:paraId="38C6F796" w14:textId="77777777" w:rsidTr="009F6B78">
        <w:trPr>
          <w:cantSplit/>
          <w:trHeight w:val="307"/>
        </w:trPr>
        <w:tc>
          <w:tcPr>
            <w:tcW w:w="0" w:type="auto"/>
            <w:vAlign w:val="center"/>
          </w:tcPr>
          <w:p w14:paraId="14299F20" w14:textId="77777777" w:rsidR="00CA0A00" w:rsidRPr="00576AF8" w:rsidRDefault="00CA0A00" w:rsidP="009F6B78">
            <w:pPr>
              <w:spacing w:before="60" w:after="60"/>
              <w:ind w:right="-360"/>
              <w:jc w:val="left"/>
              <w:rPr>
                <w:color w:val="000000"/>
                <w:szCs w:val="24"/>
              </w:rPr>
            </w:pPr>
            <w:r w:rsidRPr="00576AF8">
              <w:rPr>
                <w:color w:val="000000"/>
                <w:szCs w:val="24"/>
              </w:rPr>
              <w:t>WAMPAC</w:t>
            </w:r>
          </w:p>
        </w:tc>
        <w:tc>
          <w:tcPr>
            <w:tcW w:w="0" w:type="auto"/>
            <w:vAlign w:val="center"/>
          </w:tcPr>
          <w:p w14:paraId="1BCA3E5B" w14:textId="77777777" w:rsidR="00CA0A00" w:rsidRPr="00576AF8" w:rsidRDefault="00CA0A00" w:rsidP="009F6B78">
            <w:pPr>
              <w:spacing w:before="60" w:after="60"/>
              <w:jc w:val="left"/>
              <w:rPr>
                <w:color w:val="000000"/>
                <w:szCs w:val="24"/>
              </w:rPr>
            </w:pPr>
            <w:r w:rsidRPr="00576AF8">
              <w:rPr>
                <w:color w:val="000000"/>
                <w:szCs w:val="24"/>
              </w:rPr>
              <w:t>Wide Area Monitoring, Protection,</w:t>
            </w:r>
          </w:p>
        </w:tc>
      </w:tr>
      <w:tr w:rsidR="00CA0A00" w:rsidRPr="00576AF8" w14:paraId="25E2AB7A" w14:textId="77777777" w:rsidTr="009F6B78">
        <w:trPr>
          <w:cantSplit/>
          <w:trHeight w:val="307"/>
        </w:trPr>
        <w:tc>
          <w:tcPr>
            <w:tcW w:w="0" w:type="auto"/>
            <w:vAlign w:val="center"/>
          </w:tcPr>
          <w:p w14:paraId="4414F6C1" w14:textId="77777777" w:rsidR="00CA0A00" w:rsidRPr="00576AF8" w:rsidRDefault="00CA0A00" w:rsidP="009F6B78">
            <w:pPr>
              <w:spacing w:before="60" w:after="60"/>
              <w:ind w:right="-360"/>
              <w:jc w:val="left"/>
              <w:rPr>
                <w:color w:val="000000"/>
                <w:szCs w:val="24"/>
              </w:rPr>
            </w:pPr>
            <w:r w:rsidRPr="00576AF8">
              <w:rPr>
                <w:color w:val="000000"/>
                <w:szCs w:val="24"/>
              </w:rPr>
              <w:t>WAMS</w:t>
            </w:r>
          </w:p>
        </w:tc>
        <w:tc>
          <w:tcPr>
            <w:tcW w:w="0" w:type="auto"/>
            <w:vAlign w:val="center"/>
          </w:tcPr>
          <w:p w14:paraId="734B2BF8" w14:textId="77777777" w:rsidR="00CA0A00" w:rsidRPr="00576AF8" w:rsidRDefault="00CA0A00" w:rsidP="009F6B78">
            <w:pPr>
              <w:spacing w:before="60" w:after="60"/>
              <w:jc w:val="left"/>
              <w:rPr>
                <w:color w:val="000000"/>
                <w:szCs w:val="24"/>
              </w:rPr>
            </w:pPr>
            <w:r w:rsidRPr="00576AF8">
              <w:rPr>
                <w:color w:val="000000"/>
                <w:szCs w:val="24"/>
              </w:rPr>
              <w:t>Wide Area Monitoring System</w:t>
            </w:r>
          </w:p>
        </w:tc>
      </w:tr>
      <w:tr w:rsidR="00CA0A00" w:rsidRPr="00576AF8" w14:paraId="08244347" w14:textId="77777777" w:rsidTr="009F6B78">
        <w:trPr>
          <w:cantSplit/>
          <w:trHeight w:val="307"/>
        </w:trPr>
        <w:tc>
          <w:tcPr>
            <w:tcW w:w="0" w:type="auto"/>
            <w:vAlign w:val="center"/>
          </w:tcPr>
          <w:p w14:paraId="03D92DD5" w14:textId="77777777" w:rsidR="00CA0A00" w:rsidRPr="00576AF8" w:rsidRDefault="00CA0A00" w:rsidP="009F6B78">
            <w:pPr>
              <w:spacing w:before="60" w:after="60"/>
              <w:ind w:right="-360"/>
              <w:jc w:val="left"/>
              <w:rPr>
                <w:color w:val="000000"/>
                <w:szCs w:val="24"/>
              </w:rPr>
            </w:pPr>
            <w:r w:rsidRPr="00576AF8">
              <w:rPr>
                <w:color w:val="000000"/>
                <w:szCs w:val="24"/>
              </w:rPr>
              <w:t>WAN</w:t>
            </w:r>
          </w:p>
        </w:tc>
        <w:tc>
          <w:tcPr>
            <w:tcW w:w="0" w:type="auto"/>
            <w:vAlign w:val="center"/>
          </w:tcPr>
          <w:p w14:paraId="3DBFF4EF" w14:textId="77777777" w:rsidR="00CA0A00" w:rsidRPr="00576AF8" w:rsidRDefault="00CA0A00" w:rsidP="009F6B78">
            <w:pPr>
              <w:spacing w:before="60" w:after="60"/>
              <w:jc w:val="left"/>
              <w:rPr>
                <w:color w:val="000000"/>
                <w:szCs w:val="24"/>
              </w:rPr>
            </w:pPr>
            <w:r w:rsidRPr="00576AF8">
              <w:rPr>
                <w:color w:val="000000"/>
                <w:szCs w:val="24"/>
              </w:rPr>
              <w:t>Wide Area Network</w:t>
            </w:r>
          </w:p>
        </w:tc>
      </w:tr>
      <w:tr w:rsidR="00CA0A00" w:rsidRPr="00576AF8" w14:paraId="3525F62D" w14:textId="77777777" w:rsidTr="009F6B78">
        <w:trPr>
          <w:cantSplit/>
          <w:trHeight w:val="307"/>
        </w:trPr>
        <w:tc>
          <w:tcPr>
            <w:tcW w:w="0" w:type="auto"/>
            <w:vAlign w:val="center"/>
          </w:tcPr>
          <w:p w14:paraId="7235B516" w14:textId="77777777" w:rsidR="00CA0A00" w:rsidRPr="00576AF8" w:rsidRDefault="00CA0A00" w:rsidP="009F6B78">
            <w:pPr>
              <w:spacing w:before="60" w:after="60"/>
              <w:ind w:right="-360"/>
              <w:jc w:val="left"/>
              <w:rPr>
                <w:color w:val="000000"/>
                <w:szCs w:val="24"/>
              </w:rPr>
            </w:pPr>
            <w:r w:rsidRPr="00576AF8">
              <w:rPr>
                <w:color w:val="000000"/>
                <w:szCs w:val="24"/>
              </w:rPr>
              <w:t>XML</w:t>
            </w:r>
          </w:p>
        </w:tc>
        <w:tc>
          <w:tcPr>
            <w:tcW w:w="0" w:type="auto"/>
            <w:vAlign w:val="center"/>
          </w:tcPr>
          <w:p w14:paraId="1170F2F9" w14:textId="77777777" w:rsidR="00CA0A00" w:rsidRPr="00576AF8" w:rsidRDefault="00CA0A00" w:rsidP="009F6B78">
            <w:pPr>
              <w:spacing w:before="60" w:after="60"/>
              <w:jc w:val="left"/>
              <w:rPr>
                <w:color w:val="000000"/>
                <w:szCs w:val="24"/>
              </w:rPr>
            </w:pPr>
            <w:r w:rsidRPr="00576AF8">
              <w:rPr>
                <w:color w:val="000000"/>
                <w:szCs w:val="24"/>
              </w:rPr>
              <w:t>Extensible Markup Language</w:t>
            </w:r>
          </w:p>
        </w:tc>
      </w:tr>
      <w:tr w:rsidR="00CA0A00" w:rsidRPr="00576AF8" w14:paraId="3C950F93" w14:textId="77777777" w:rsidTr="009F6B78">
        <w:trPr>
          <w:cantSplit/>
          <w:trHeight w:val="307"/>
        </w:trPr>
        <w:tc>
          <w:tcPr>
            <w:tcW w:w="0" w:type="auto"/>
            <w:vAlign w:val="center"/>
          </w:tcPr>
          <w:p w14:paraId="0C61ED46" w14:textId="77777777" w:rsidR="00CA0A00" w:rsidRPr="00576AF8" w:rsidRDefault="00CA0A00" w:rsidP="009F6B78">
            <w:pPr>
              <w:spacing w:before="60" w:after="60"/>
              <w:ind w:right="-360"/>
              <w:jc w:val="left"/>
              <w:rPr>
                <w:color w:val="000000"/>
                <w:szCs w:val="24"/>
              </w:rPr>
            </w:pPr>
            <w:r w:rsidRPr="00576AF8">
              <w:rPr>
                <w:color w:val="000000"/>
                <w:szCs w:val="24"/>
              </w:rPr>
              <w:lastRenderedPageBreak/>
              <w:t>ZTNA</w:t>
            </w:r>
          </w:p>
        </w:tc>
        <w:tc>
          <w:tcPr>
            <w:tcW w:w="0" w:type="auto"/>
            <w:vAlign w:val="center"/>
          </w:tcPr>
          <w:p w14:paraId="23D85080" w14:textId="77777777" w:rsidR="00CA0A00" w:rsidRPr="00576AF8" w:rsidRDefault="00CA0A00" w:rsidP="009F6B78">
            <w:pPr>
              <w:keepNext/>
              <w:spacing w:before="60" w:after="60"/>
              <w:jc w:val="left"/>
              <w:rPr>
                <w:color w:val="000000"/>
                <w:szCs w:val="24"/>
              </w:rPr>
            </w:pPr>
            <w:r w:rsidRPr="00576AF8">
              <w:rPr>
                <w:color w:val="000000"/>
                <w:szCs w:val="24"/>
              </w:rPr>
              <w:t>Zero Trust Network Access</w:t>
            </w:r>
          </w:p>
        </w:tc>
      </w:tr>
    </w:tbl>
    <w:p w14:paraId="3D834269" w14:textId="77777777" w:rsidR="00CA0A00" w:rsidRPr="00576AF8" w:rsidRDefault="00CA0A00" w:rsidP="00CA0A00">
      <w:pPr>
        <w:pStyle w:val="Descripcin"/>
        <w:rPr>
          <w:sz w:val="24"/>
          <w:szCs w:val="24"/>
        </w:rPr>
      </w:pPr>
      <w:bookmarkStart w:id="588" w:name="_Toc521498252"/>
      <w:r w:rsidRPr="00576AF8">
        <w:rPr>
          <w:sz w:val="24"/>
          <w:szCs w:val="24"/>
        </w:rPr>
        <w:t xml:space="preserve">Tabla </w:t>
      </w:r>
      <w:r w:rsidRPr="00576AF8">
        <w:rPr>
          <w:sz w:val="24"/>
          <w:szCs w:val="24"/>
        </w:rPr>
        <w:fldChar w:fldCharType="begin"/>
      </w:r>
      <w:r w:rsidRPr="00576AF8">
        <w:rPr>
          <w:sz w:val="24"/>
          <w:szCs w:val="24"/>
        </w:rPr>
        <w:instrText xml:space="preserve"> SEQ Tabla \* ARABIC </w:instrText>
      </w:r>
      <w:r w:rsidRPr="00576AF8">
        <w:rPr>
          <w:sz w:val="24"/>
          <w:szCs w:val="24"/>
        </w:rPr>
        <w:fldChar w:fldCharType="separate"/>
      </w:r>
      <w:r w:rsidRPr="00576AF8">
        <w:rPr>
          <w:noProof/>
          <w:sz w:val="24"/>
          <w:szCs w:val="24"/>
        </w:rPr>
        <w:t>1</w:t>
      </w:r>
      <w:r w:rsidRPr="00576AF8">
        <w:rPr>
          <w:noProof/>
          <w:sz w:val="24"/>
          <w:szCs w:val="24"/>
        </w:rPr>
        <w:fldChar w:fldCharType="end"/>
      </w:r>
      <w:r w:rsidRPr="00576AF8">
        <w:rPr>
          <w:sz w:val="24"/>
          <w:szCs w:val="24"/>
        </w:rPr>
        <w:t>. Cuadro de Siglas</w:t>
      </w:r>
    </w:p>
    <w:p w14:paraId="6F977EF9" w14:textId="77777777" w:rsidR="00CA0A00" w:rsidRPr="00576AF8" w:rsidRDefault="00CA0A00" w:rsidP="00CA0A00">
      <w:pPr>
        <w:pStyle w:val="Ttulo1"/>
        <w:jc w:val="left"/>
        <w:rPr>
          <w:rFonts w:ascii="Times New Roman" w:hAnsi="Times New Roman"/>
          <w:sz w:val="24"/>
          <w:szCs w:val="24"/>
        </w:rPr>
      </w:pPr>
      <w:r w:rsidRPr="00576AF8">
        <w:rPr>
          <w:rFonts w:ascii="Times New Roman" w:hAnsi="Times New Roman"/>
          <w:sz w:val="24"/>
          <w:szCs w:val="24"/>
        </w:rPr>
        <w:br w:type="page"/>
      </w:r>
      <w:bookmarkStart w:id="589" w:name="_Toc454958716"/>
      <w:bookmarkStart w:id="590" w:name="_Toc476310091"/>
      <w:bookmarkStart w:id="591" w:name="_Toc482896420"/>
      <w:bookmarkStart w:id="592" w:name="_Toc99868844"/>
      <w:bookmarkStart w:id="593" w:name="_Toc160268885"/>
      <w:bookmarkStart w:id="594" w:name="_Toc160455907"/>
      <w:bookmarkStart w:id="595" w:name="_Toc160706901"/>
      <w:bookmarkStart w:id="596" w:name="_Toc160707179"/>
      <w:bookmarkStart w:id="597" w:name="_Toc160707491"/>
      <w:bookmarkStart w:id="598" w:name="_Toc160707693"/>
      <w:bookmarkStart w:id="599" w:name="_Toc160707748"/>
      <w:bookmarkStart w:id="600" w:name="_Toc160991282"/>
      <w:r w:rsidRPr="00576AF8">
        <w:rPr>
          <w:rFonts w:ascii="Times New Roman" w:hAnsi="Times New Roman"/>
          <w:sz w:val="24"/>
          <w:szCs w:val="24"/>
          <w:lang w:val="es-EC" w:eastAsia="en-US" w:bidi="ar-SA"/>
        </w:rPr>
        <w:lastRenderedPageBreak/>
        <w:t>B.  Requisitos relativos a funciones, arquitectura y rendimiento</w:t>
      </w:r>
      <w:bookmarkEnd w:id="588"/>
      <w:bookmarkEnd w:id="589"/>
      <w:bookmarkEnd w:id="590"/>
      <w:bookmarkEnd w:id="591"/>
      <w:bookmarkEnd w:id="592"/>
      <w:bookmarkEnd w:id="593"/>
      <w:bookmarkEnd w:id="594"/>
      <w:bookmarkEnd w:id="595"/>
      <w:bookmarkEnd w:id="596"/>
      <w:bookmarkEnd w:id="597"/>
      <w:bookmarkEnd w:id="598"/>
      <w:bookmarkEnd w:id="599"/>
      <w:bookmarkEnd w:id="600"/>
    </w:p>
    <w:p w14:paraId="21EF0594" w14:textId="77777777" w:rsidR="00CA0A00" w:rsidRPr="00576AF8" w:rsidRDefault="00CA0A00" w:rsidP="00CA0A00">
      <w:pPr>
        <w:pStyle w:val="titulo22"/>
        <w:rPr>
          <w:rFonts w:ascii="Times New Roman" w:hAnsi="Times New Roman"/>
          <w:b/>
          <w:sz w:val="24"/>
          <w:szCs w:val="24"/>
          <w:lang w:val="es-EC" w:eastAsia="en-US" w:bidi="ar-SA"/>
        </w:rPr>
      </w:pPr>
      <w:bookmarkStart w:id="601" w:name="_Toc454958717"/>
      <w:bookmarkStart w:id="602" w:name="_Toc476310092"/>
      <w:bookmarkStart w:id="603" w:name="_Toc482896421"/>
      <w:bookmarkStart w:id="604" w:name="_Toc99868845"/>
      <w:bookmarkStart w:id="605" w:name="_Toc160455908"/>
      <w:bookmarkStart w:id="606" w:name="_Toc160991283"/>
      <w:bookmarkStart w:id="607" w:name="_Toc521498253"/>
      <w:r w:rsidRPr="00576AF8">
        <w:rPr>
          <w:rFonts w:ascii="Times New Roman" w:hAnsi="Times New Roman"/>
          <w:sz w:val="24"/>
          <w:szCs w:val="24"/>
        </w:rPr>
        <w:t>1.1</w:t>
      </w:r>
      <w:r w:rsidRPr="00576AF8">
        <w:rPr>
          <w:rFonts w:ascii="Times New Roman" w:hAnsi="Times New Roman"/>
          <w:sz w:val="24"/>
          <w:szCs w:val="24"/>
        </w:rPr>
        <w:tab/>
      </w:r>
      <w:r w:rsidRPr="00576AF8">
        <w:rPr>
          <w:rFonts w:ascii="Times New Roman" w:hAnsi="Times New Roman"/>
          <w:b/>
          <w:sz w:val="24"/>
          <w:szCs w:val="24"/>
          <w:lang w:bidi="ar-SA"/>
        </w:rPr>
        <w:t>Requisitos legales y reglamentarios que debe cumplir el</w:t>
      </w:r>
      <w:r w:rsidRPr="00576AF8">
        <w:rPr>
          <w:rFonts w:ascii="Times New Roman" w:hAnsi="Times New Roman"/>
          <w:b/>
          <w:sz w:val="24"/>
          <w:szCs w:val="24"/>
        </w:rPr>
        <w:t xml:space="preserve"> </w:t>
      </w:r>
      <w:r w:rsidRPr="00576AF8">
        <w:rPr>
          <w:rFonts w:ascii="Times New Roman" w:hAnsi="Times New Roman"/>
          <w:b/>
          <w:sz w:val="24"/>
          <w:szCs w:val="24"/>
          <w:lang w:bidi="ar-SA"/>
        </w:rPr>
        <w:t xml:space="preserve">Sistema SCADA/EMS </w:t>
      </w:r>
      <w:bookmarkEnd w:id="601"/>
      <w:bookmarkEnd w:id="602"/>
      <w:bookmarkEnd w:id="603"/>
      <w:bookmarkEnd w:id="604"/>
      <w:bookmarkEnd w:id="605"/>
      <w:bookmarkEnd w:id="606"/>
      <w:r w:rsidR="00593894" w:rsidRPr="00576AF8">
        <w:rPr>
          <w:rFonts w:ascii="Times New Roman" w:hAnsi="Times New Roman"/>
          <w:b/>
          <w:sz w:val="24"/>
          <w:szCs w:val="24"/>
          <w:lang w:bidi="ar-SA"/>
        </w:rPr>
        <w:t>del Comprador</w:t>
      </w:r>
    </w:p>
    <w:p w14:paraId="69B5C0A0" w14:textId="77777777" w:rsidR="00CA0A00" w:rsidRPr="00576AF8" w:rsidRDefault="00CA0A00" w:rsidP="00CA0A00">
      <w:pPr>
        <w:pStyle w:val="Ttulo3"/>
        <w:jc w:val="both"/>
        <w:rPr>
          <w:rFonts w:ascii="Times New Roman" w:hAnsi="Times New Roman"/>
          <w:b w:val="0"/>
          <w:sz w:val="24"/>
          <w:szCs w:val="24"/>
        </w:rPr>
      </w:pPr>
      <w:bookmarkStart w:id="608" w:name="_Toc160455909"/>
      <w:bookmarkStart w:id="609" w:name="_Toc160706902"/>
      <w:bookmarkStart w:id="610" w:name="_Toc160707180"/>
      <w:bookmarkStart w:id="611" w:name="_Toc160707492"/>
      <w:bookmarkStart w:id="612" w:name="_Toc160707694"/>
      <w:bookmarkStart w:id="613" w:name="_Toc160707749"/>
      <w:bookmarkStart w:id="614" w:name="_Toc160991284"/>
      <w:r w:rsidRPr="00576AF8">
        <w:rPr>
          <w:rFonts w:ascii="Times New Roman" w:hAnsi="Times New Roman"/>
          <w:sz w:val="24"/>
          <w:szCs w:val="24"/>
        </w:rPr>
        <w:t>1.1.1</w:t>
      </w:r>
      <w:r w:rsidRPr="00576AF8">
        <w:rPr>
          <w:rFonts w:ascii="Times New Roman" w:hAnsi="Times New Roman"/>
          <w:sz w:val="24"/>
          <w:szCs w:val="24"/>
        </w:rPr>
        <w:tab/>
        <w:t xml:space="preserve">El Sistema SCADA/EMS </w:t>
      </w:r>
      <w:r w:rsidR="00593894" w:rsidRPr="00576AF8">
        <w:rPr>
          <w:rFonts w:ascii="Times New Roman" w:hAnsi="Times New Roman"/>
          <w:sz w:val="24"/>
          <w:szCs w:val="24"/>
        </w:rPr>
        <w:t>del Comprador</w:t>
      </w:r>
      <w:r w:rsidRPr="00576AF8">
        <w:rPr>
          <w:rFonts w:ascii="Times New Roman" w:hAnsi="Times New Roman"/>
          <w:sz w:val="24"/>
          <w:szCs w:val="24"/>
        </w:rPr>
        <w:t xml:space="preserve"> DEBERÁ cumplir con las siguientes leyes y reglamentaciones:</w:t>
      </w:r>
      <w:bookmarkEnd w:id="608"/>
      <w:bookmarkEnd w:id="609"/>
      <w:bookmarkEnd w:id="610"/>
      <w:bookmarkEnd w:id="611"/>
      <w:bookmarkEnd w:id="612"/>
      <w:bookmarkEnd w:id="613"/>
      <w:bookmarkEnd w:id="614"/>
    </w:p>
    <w:bookmarkEnd w:id="607"/>
    <w:p w14:paraId="7CABAD5D" w14:textId="77777777" w:rsidR="00B95484" w:rsidRPr="00576AF8" w:rsidRDefault="00B95484" w:rsidP="00B95484">
      <w:pPr>
        <w:numPr>
          <w:ilvl w:val="0"/>
          <w:numId w:val="172"/>
        </w:numPr>
        <w:ind w:right="4"/>
        <w:contextualSpacing/>
        <w:rPr>
          <w:b/>
          <w:sz w:val="22"/>
          <w:szCs w:val="22"/>
        </w:rPr>
      </w:pPr>
      <w:r w:rsidRPr="00576AF8">
        <w:rPr>
          <w:b/>
          <w:sz w:val="22"/>
          <w:szCs w:val="22"/>
        </w:rPr>
        <w:t>Requisitos Legales:</w:t>
      </w:r>
    </w:p>
    <w:p w14:paraId="6126B08F" w14:textId="77777777" w:rsidR="00B95484" w:rsidRPr="00576AF8" w:rsidRDefault="00B95484" w:rsidP="00B95484">
      <w:pPr>
        <w:ind w:left="1452" w:right="4"/>
        <w:contextualSpacing/>
        <w:rPr>
          <w:sz w:val="22"/>
          <w:szCs w:val="22"/>
        </w:rPr>
      </w:pPr>
    </w:p>
    <w:p w14:paraId="24504DD2" w14:textId="77777777" w:rsidR="00B95484" w:rsidRPr="00576AF8" w:rsidRDefault="00B95484" w:rsidP="00B95484">
      <w:pPr>
        <w:ind w:left="1452" w:right="4"/>
        <w:contextualSpacing/>
        <w:rPr>
          <w:sz w:val="22"/>
          <w:szCs w:val="22"/>
        </w:rPr>
      </w:pPr>
    </w:p>
    <w:p w14:paraId="37C62C09" w14:textId="77777777" w:rsidR="009102A7" w:rsidRPr="00576AF8" w:rsidRDefault="009102A7" w:rsidP="009102A7">
      <w:pPr>
        <w:ind w:left="732"/>
        <w:contextualSpacing/>
        <w:rPr>
          <w:rFonts w:eastAsia="Arial"/>
          <w:i/>
          <w:sz w:val="22"/>
          <w:szCs w:val="22"/>
        </w:rPr>
      </w:pPr>
      <w:r w:rsidRPr="00576AF8">
        <w:rPr>
          <w:rFonts w:eastAsia="Arial"/>
          <w:sz w:val="22"/>
          <w:szCs w:val="22"/>
        </w:rPr>
        <w:t>La Ley Orgánica del Servicio Público de Energía Eléctrica -LOSPEE-, en su artículo 20 establece que: “El Operador Nacional de Electricidad, CENACE, constituye un órgano técnico estratégico adscrito al Ministerio rector de energía y electricidad. Actuará como operador técnico del Sistema Nacional Interconectado (S.N.I.) y administrador comercial de las transacciones de bloques energéticos, responsable del abastecimiento continúo de energía eléctrica al mínimo costo posible, preservando la eficiencia global del sector. El Operador Nacional de Electricidad, CENACE en el cumplimiento de sus funciones deberá resguardar las condiciones de seguridad y calidad de operación del Sistema Nacional Interconectado (S.N.I), sujetándose a las regulaciones que expida la agencia de regulación y control competente”.</w:t>
      </w:r>
    </w:p>
    <w:p w14:paraId="48941855" w14:textId="77777777" w:rsidR="009102A7" w:rsidRPr="00576AF8" w:rsidRDefault="009102A7" w:rsidP="009102A7">
      <w:pPr>
        <w:ind w:left="732"/>
        <w:contextualSpacing/>
        <w:rPr>
          <w:rFonts w:eastAsia="Arial"/>
          <w:i/>
          <w:sz w:val="22"/>
          <w:szCs w:val="22"/>
        </w:rPr>
      </w:pPr>
    </w:p>
    <w:p w14:paraId="74763E28" w14:textId="77777777" w:rsidR="009102A7" w:rsidRPr="00576AF8" w:rsidRDefault="009102A7" w:rsidP="009102A7">
      <w:pPr>
        <w:ind w:left="732"/>
        <w:contextualSpacing/>
        <w:rPr>
          <w:rFonts w:eastAsia="Arial"/>
          <w:i/>
          <w:sz w:val="22"/>
          <w:szCs w:val="22"/>
        </w:rPr>
      </w:pPr>
      <w:r w:rsidRPr="00576AF8">
        <w:rPr>
          <w:rFonts w:eastAsia="Arial"/>
          <w:sz w:val="22"/>
          <w:szCs w:val="22"/>
        </w:rPr>
        <w:t xml:space="preserve">La Regulación ARCONEL 003/16 “Requerimientos para la supervisión y control en tiempo real del Sistema Nacional Interconectado”, en su numeral 5 establece lo siguiente: </w:t>
      </w:r>
      <w:r w:rsidRPr="00576AF8">
        <w:rPr>
          <w:rFonts w:eastAsia="Arial"/>
          <w:i/>
          <w:iCs/>
          <w:sz w:val="22"/>
          <w:szCs w:val="22"/>
        </w:rPr>
        <w:t>“El Centro del Control del SNI o Centro de Control Nacional, integra todos los equipos y sistemas necesarios para la operación, supervisión y control en tiempo real del SNI y los intercambios internacionales de electricidad.</w:t>
      </w:r>
    </w:p>
    <w:p w14:paraId="773B7718" w14:textId="77777777" w:rsidR="009102A7" w:rsidRPr="00576AF8" w:rsidRDefault="009102A7" w:rsidP="009102A7">
      <w:pPr>
        <w:ind w:left="732"/>
        <w:contextualSpacing/>
        <w:rPr>
          <w:rFonts w:eastAsia="Arial"/>
          <w:i/>
          <w:iCs/>
          <w:sz w:val="22"/>
          <w:szCs w:val="22"/>
        </w:rPr>
      </w:pPr>
    </w:p>
    <w:p w14:paraId="3F54C995" w14:textId="77777777" w:rsidR="009102A7" w:rsidRPr="00576AF8" w:rsidRDefault="009102A7" w:rsidP="009102A7">
      <w:pPr>
        <w:ind w:left="732"/>
        <w:contextualSpacing/>
      </w:pPr>
      <w:r w:rsidRPr="00576AF8">
        <w:rPr>
          <w:rFonts w:eastAsia="Arial"/>
          <w:sz w:val="22"/>
          <w:szCs w:val="22"/>
        </w:rPr>
        <w:t xml:space="preserve">En cumplimiento de las Leyes y Normativas existentes, CENACE constituye el nivel superior (1) en la estructura jerárquica de los centros de control del sector eléctrico establecida en la Regulación ARCONEL 003/16, teniendo el carácter de </w:t>
      </w:r>
      <w:r w:rsidRPr="00576AF8">
        <w:rPr>
          <w:rFonts w:eastAsia="Arial"/>
          <w:i/>
          <w:iCs/>
          <w:sz w:val="22"/>
          <w:szCs w:val="22"/>
        </w:rPr>
        <w:t>“Nacional: Responsable de la operación integral del Sistema Nacional Interconectado del Ecuador incluyendo las interconexiones internacionales.”</w:t>
      </w:r>
      <w:r w:rsidRPr="00576AF8">
        <w:rPr>
          <w:rFonts w:eastAsia="Arial"/>
          <w:sz w:val="22"/>
          <w:szCs w:val="22"/>
        </w:rPr>
        <w:t xml:space="preserve"> y, con la responsabilidad de </w:t>
      </w:r>
      <w:r w:rsidRPr="00576AF8">
        <w:rPr>
          <w:rFonts w:eastAsia="Arial"/>
          <w:i/>
          <w:iCs/>
          <w:sz w:val="22"/>
          <w:szCs w:val="22"/>
        </w:rPr>
        <w:t>“Coordinar la operación del SNI en tiempo real, conforme la estructura jerárquica de los centros de control del sector eléctrico”</w:t>
      </w:r>
      <w:r w:rsidRPr="00576AF8">
        <w:rPr>
          <w:rFonts w:eastAsia="Arial"/>
          <w:sz w:val="22"/>
          <w:szCs w:val="22"/>
        </w:rPr>
        <w:t>, por lo cual la disponibilidad y normal funcionamiento de su sistema especializado SCADA/EMS, principal herramienta utilizada para coordinar la operación del sistema eléctrico del Ecuador es de vital importancia para el cumplimiento de las responsabilidades de la institución, así como para garantizar la gobernanza y operación de todo el sector eléctrico. Es así, que la afectación al funcionamiento y disponibilidad del sistema SCADA/EMS en CENACE impacta directamente en la operación técnica del Sistema Eléctrico e Interconexiones Internacionales y, por tanto, en el suministro del servicio público de energía eléctrica del país, con el consecuente impacto a nivel social, económico y político en el Ecuador.</w:t>
      </w:r>
    </w:p>
    <w:p w14:paraId="32C62854" w14:textId="77777777" w:rsidR="009102A7" w:rsidRPr="00576AF8" w:rsidRDefault="009102A7" w:rsidP="009102A7">
      <w:pPr>
        <w:ind w:left="732"/>
        <w:contextualSpacing/>
        <w:rPr>
          <w:rFonts w:eastAsia="Arial"/>
          <w:i/>
          <w:sz w:val="22"/>
          <w:szCs w:val="22"/>
        </w:rPr>
      </w:pPr>
    </w:p>
    <w:p w14:paraId="7705F820" w14:textId="77777777" w:rsidR="009102A7" w:rsidRPr="00576AF8" w:rsidRDefault="009102A7" w:rsidP="009102A7">
      <w:pPr>
        <w:ind w:left="732"/>
        <w:contextualSpacing/>
        <w:rPr>
          <w:rFonts w:eastAsia="Arial"/>
          <w:sz w:val="22"/>
          <w:szCs w:val="22"/>
        </w:rPr>
      </w:pPr>
      <w:r w:rsidRPr="00576AF8">
        <w:rPr>
          <w:rFonts w:eastAsia="Arial"/>
          <w:sz w:val="22"/>
          <w:szCs w:val="22"/>
        </w:rPr>
        <w:t>La Regulación Nro. ARCERNNR-004/20 (Codificada) indica en el Capítulo IV Operación artículo 19, que CENACE supervisará, controlará y coordinará la operación en tiempo real con los centros de operación de los PMSE, con las cargas especiales y con los operadores de los sistemas de los países vecinos, para mantener las condiciones de calidad, seguridad, confiabilidad y economía en la operación del SEP, conforme los procedimientos de aplicación, en los distintos estados operativos del SEP.</w:t>
      </w:r>
    </w:p>
    <w:p w14:paraId="3B0CED1E" w14:textId="77777777" w:rsidR="009102A7" w:rsidRPr="00576AF8" w:rsidRDefault="009102A7" w:rsidP="009102A7">
      <w:pPr>
        <w:ind w:left="720"/>
        <w:contextualSpacing/>
        <w:rPr>
          <w:rFonts w:eastAsia="Arial"/>
          <w:i/>
          <w:sz w:val="22"/>
          <w:szCs w:val="22"/>
        </w:rPr>
      </w:pPr>
    </w:p>
    <w:p w14:paraId="79F17DB9" w14:textId="77777777" w:rsidR="009102A7" w:rsidRPr="00576AF8" w:rsidRDefault="009102A7" w:rsidP="009102A7">
      <w:pPr>
        <w:ind w:left="732"/>
        <w:contextualSpacing/>
        <w:rPr>
          <w:rFonts w:eastAsia="Arial"/>
          <w:i/>
          <w:sz w:val="22"/>
          <w:szCs w:val="22"/>
        </w:rPr>
      </w:pPr>
      <w:r w:rsidRPr="00576AF8">
        <w:rPr>
          <w:rFonts w:eastAsia="Arial"/>
          <w:i/>
          <w:sz w:val="22"/>
          <w:szCs w:val="22"/>
        </w:rPr>
        <w:t>“El Centro de Control Nacional es operado por el CENACE, por lo tanto, es este el responsable de supervisar y controlar la operación en tiempo real de las instalaciones de generación, transmisión y distribución y de coordinar la función operativa a nivel nacional y los intercambios internacionales de electricidad, a fin de garantizar el suministro de energía eléctrica bajo criterios de confiabilidad, seguridad, calidad y economía.</w:t>
      </w:r>
    </w:p>
    <w:p w14:paraId="40711CA4" w14:textId="77777777" w:rsidR="009102A7" w:rsidRPr="00576AF8" w:rsidRDefault="009102A7" w:rsidP="009102A7">
      <w:pPr>
        <w:ind w:left="732"/>
        <w:contextualSpacing/>
        <w:rPr>
          <w:rFonts w:eastAsia="Arial"/>
          <w:i/>
          <w:sz w:val="22"/>
          <w:szCs w:val="22"/>
        </w:rPr>
      </w:pPr>
    </w:p>
    <w:p w14:paraId="4E6491EC" w14:textId="77777777" w:rsidR="009102A7" w:rsidRPr="00576AF8" w:rsidRDefault="009102A7" w:rsidP="009102A7">
      <w:pPr>
        <w:ind w:left="732"/>
        <w:contextualSpacing/>
        <w:rPr>
          <w:rFonts w:eastAsia="Arial"/>
          <w:i/>
          <w:sz w:val="22"/>
          <w:szCs w:val="22"/>
        </w:rPr>
      </w:pPr>
      <w:r w:rsidRPr="00576AF8">
        <w:rPr>
          <w:rFonts w:eastAsia="Arial"/>
          <w:i/>
          <w:sz w:val="22"/>
          <w:szCs w:val="22"/>
        </w:rPr>
        <w:lastRenderedPageBreak/>
        <w:t>Todos los participantes del SEE tienen la obligatoriedad de entregar la información necesaria para la operación, supervisión y control en tiempo real de forma directa al CENACE, a través de los recursos tecnológicos establecidos en esta regulación.”</w:t>
      </w:r>
    </w:p>
    <w:p w14:paraId="033EFC7B" w14:textId="77777777" w:rsidR="009102A7" w:rsidRPr="00576AF8" w:rsidRDefault="009102A7" w:rsidP="009102A7">
      <w:pPr>
        <w:ind w:left="732"/>
        <w:contextualSpacing/>
        <w:rPr>
          <w:rFonts w:eastAsia="Arial"/>
          <w:sz w:val="22"/>
          <w:szCs w:val="22"/>
        </w:rPr>
      </w:pPr>
    </w:p>
    <w:p w14:paraId="2268A3D2" w14:textId="77777777" w:rsidR="009102A7" w:rsidRPr="00576AF8" w:rsidRDefault="009102A7" w:rsidP="009102A7">
      <w:pPr>
        <w:ind w:left="732"/>
        <w:contextualSpacing/>
        <w:rPr>
          <w:rFonts w:eastAsia="Arial"/>
          <w:sz w:val="22"/>
          <w:szCs w:val="22"/>
        </w:rPr>
      </w:pPr>
      <w:r w:rsidRPr="00576AF8">
        <w:rPr>
          <w:rFonts w:eastAsia="Arial"/>
          <w:sz w:val="22"/>
          <w:szCs w:val="22"/>
        </w:rPr>
        <w:t>El Estatuto Orgánico de Gestión Organizacional por Procesos del Operador Nacional de Electricidad, CENACE, en su artículo 7, Objetivos institucionales indica que: “Los Objetivos del Operador Nacional de Electricidad, CENACE son: Objetivo 1: Mantener el abastecimiento energético del país en las mejores condiciones de seguridad, calidad, economía y sostenibilidad; e, incrementar la efectividad de la administración comercial del Sistema Nacional Interconectado, SNI y de las Transacciones Internacionales de Electricidad.”</w:t>
      </w:r>
    </w:p>
    <w:p w14:paraId="23617E6B" w14:textId="77777777" w:rsidR="009102A7" w:rsidRPr="00576AF8" w:rsidRDefault="009102A7" w:rsidP="009102A7">
      <w:pPr>
        <w:ind w:left="732"/>
        <w:contextualSpacing/>
        <w:rPr>
          <w:rFonts w:eastAsia="Arial"/>
          <w:sz w:val="22"/>
          <w:szCs w:val="22"/>
        </w:rPr>
      </w:pPr>
    </w:p>
    <w:p w14:paraId="6E3B9227" w14:textId="77777777" w:rsidR="009102A7" w:rsidRPr="00576AF8" w:rsidRDefault="009102A7" w:rsidP="009102A7">
      <w:pPr>
        <w:ind w:left="732"/>
        <w:contextualSpacing/>
        <w:rPr>
          <w:rFonts w:eastAsia="Arial"/>
          <w:i/>
          <w:sz w:val="22"/>
          <w:szCs w:val="22"/>
        </w:rPr>
      </w:pPr>
      <w:r w:rsidRPr="00576AF8">
        <w:rPr>
          <w:rFonts w:eastAsia="Arial"/>
          <w:sz w:val="22"/>
          <w:szCs w:val="22"/>
        </w:rPr>
        <w:t xml:space="preserve">La Regulación ARCONEL 003/16 “Requerimientos para la supervisión y control en tiempo real del Sistema Nacional Interconectado”, en el numeral 3 de su Anexo 1 establece lo siguiente: </w:t>
      </w:r>
      <w:r w:rsidRPr="00576AF8">
        <w:rPr>
          <w:rFonts w:eastAsia="Arial"/>
          <w:i/>
          <w:sz w:val="22"/>
          <w:szCs w:val="22"/>
        </w:rPr>
        <w:t>“El CENACE supervisa y coordina la operación del SNI a través de su centro de control SCADA/EMS, responsabilizándose de una operación segura, con calidad y economía, por lo que es indispensable garantizar que el sistema en tiempo real cumpla con altos niveles de disponibilidad, desempeño, flexibilidad y confiabilidad, satisfaciendo los requerimientos actuales y futuros de operación de los participantes del SEE y del CENACE.</w:t>
      </w:r>
    </w:p>
    <w:p w14:paraId="7E62E6B6" w14:textId="77777777" w:rsidR="009102A7" w:rsidRPr="00576AF8" w:rsidRDefault="009102A7" w:rsidP="009102A7">
      <w:pPr>
        <w:ind w:left="732"/>
        <w:contextualSpacing/>
        <w:rPr>
          <w:rFonts w:eastAsia="Arial"/>
          <w:i/>
          <w:sz w:val="22"/>
          <w:szCs w:val="22"/>
        </w:rPr>
      </w:pPr>
    </w:p>
    <w:p w14:paraId="3339E0C2" w14:textId="77777777" w:rsidR="009102A7" w:rsidRPr="00576AF8" w:rsidRDefault="009102A7" w:rsidP="009102A7">
      <w:pPr>
        <w:ind w:left="732"/>
        <w:contextualSpacing/>
        <w:rPr>
          <w:rFonts w:eastAsia="Arial"/>
          <w:i/>
          <w:sz w:val="22"/>
          <w:szCs w:val="22"/>
        </w:rPr>
      </w:pPr>
      <w:r w:rsidRPr="00576AF8">
        <w:rPr>
          <w:rFonts w:eastAsia="Arial"/>
          <w:i/>
          <w:sz w:val="22"/>
          <w:szCs w:val="22"/>
        </w:rPr>
        <w:t>El centro de control nacional debe funcionar con altos índices de disponibilidad mayores al 99.99% (4,32 minutos de indisponibilidad máxima en un mes), las 24 horas del día, los 7 días a la semana, además de que debe disponer de una base de datos actualizada en tiempo real con la información proporcionada por los participantes del SEE, según los requerimientos establecidos en la presente Regulación.”</w:t>
      </w:r>
    </w:p>
    <w:p w14:paraId="4E704A11" w14:textId="77777777" w:rsidR="009102A7" w:rsidRPr="00576AF8" w:rsidRDefault="009102A7" w:rsidP="009102A7">
      <w:pPr>
        <w:ind w:left="732"/>
        <w:contextualSpacing/>
        <w:rPr>
          <w:rFonts w:eastAsia="Arial"/>
          <w:sz w:val="22"/>
          <w:szCs w:val="22"/>
        </w:rPr>
      </w:pPr>
    </w:p>
    <w:p w14:paraId="44D654FA" w14:textId="77777777" w:rsidR="009102A7" w:rsidRPr="00576AF8" w:rsidRDefault="009102A7" w:rsidP="009102A7">
      <w:pPr>
        <w:ind w:left="732"/>
        <w:contextualSpacing/>
        <w:rPr>
          <w:rFonts w:eastAsia="Arial"/>
          <w:sz w:val="22"/>
          <w:szCs w:val="22"/>
        </w:rPr>
      </w:pPr>
      <w:r w:rsidRPr="00576AF8">
        <w:rPr>
          <w:rFonts w:eastAsia="Arial"/>
          <w:sz w:val="22"/>
          <w:szCs w:val="22"/>
        </w:rPr>
        <w:t xml:space="preserve">En el Estatuto Orgánico de la Gestión Organizacional por Proceso del Operador Nacional de Electricidad – CENACE, de 5 de mayo de 2017, se establece que la misión de la Gerencia Nacional de Desarrollo Técnico es la de </w:t>
      </w:r>
      <w:r w:rsidRPr="00576AF8">
        <w:rPr>
          <w:rFonts w:eastAsia="Arial"/>
          <w:i/>
          <w:sz w:val="22"/>
          <w:szCs w:val="22"/>
        </w:rPr>
        <w:t>“Diseñar, desarrollar, implantar, innovar y mantener los sistemas tecnológicos de información, necesarios para la ejecución de la planificación, coordinación de la operación del Sistema Nacional Interconectado y la administración de las transacciones comerciales en el ámbito mayorista y demás procesos de gestión del CENACE al menor costo posible, observando apropiados índices de desempeño y disponibilidad; promoviendo la investigación aplicada, el desarrollo tecnológico y de la ingeniería para contribuir al mejoramiento continuo de los procesos técnicos y comerciales de CENACE.”.</w:t>
      </w:r>
    </w:p>
    <w:p w14:paraId="6D86DCC0" w14:textId="77777777" w:rsidR="009102A7" w:rsidRPr="00576AF8" w:rsidRDefault="009102A7" w:rsidP="009102A7">
      <w:pPr>
        <w:ind w:left="732"/>
        <w:contextualSpacing/>
        <w:rPr>
          <w:rFonts w:eastAsia="Arial"/>
          <w:sz w:val="22"/>
          <w:szCs w:val="22"/>
        </w:rPr>
      </w:pPr>
    </w:p>
    <w:p w14:paraId="69CF9B19" w14:textId="77777777" w:rsidR="009102A7" w:rsidRPr="00576AF8" w:rsidRDefault="009102A7" w:rsidP="009102A7">
      <w:pPr>
        <w:ind w:left="732"/>
        <w:contextualSpacing/>
        <w:rPr>
          <w:rFonts w:eastAsia="Arial"/>
          <w:sz w:val="22"/>
          <w:szCs w:val="22"/>
        </w:rPr>
      </w:pPr>
      <w:r w:rsidRPr="00576AF8">
        <w:rPr>
          <w:rFonts w:eastAsia="Arial"/>
          <w:sz w:val="22"/>
          <w:szCs w:val="22"/>
        </w:rPr>
        <w:t xml:space="preserve">En el Estatuto Orgánico de la Gestión Organizacional por Proceso del Operador Nacional de Electricidad – CENACE, se establece que una de las responsabilidades de la Gerencia Nacional de Operaciones es </w:t>
      </w:r>
      <w:r w:rsidRPr="00576AF8">
        <w:rPr>
          <w:rFonts w:eastAsia="Arial"/>
          <w:i/>
          <w:sz w:val="22"/>
          <w:szCs w:val="22"/>
        </w:rPr>
        <w:t>“Dirigir la administración funcional de los sistemas de misión crítica para la operación en tiempo real del SNI”.</w:t>
      </w:r>
    </w:p>
    <w:p w14:paraId="5C7DF6E8" w14:textId="77777777" w:rsidR="009102A7" w:rsidRPr="00576AF8" w:rsidRDefault="009102A7" w:rsidP="009102A7">
      <w:pPr>
        <w:ind w:left="1452" w:right="4"/>
        <w:contextualSpacing/>
        <w:rPr>
          <w:sz w:val="22"/>
          <w:szCs w:val="22"/>
        </w:rPr>
      </w:pPr>
    </w:p>
    <w:p w14:paraId="6776008A" w14:textId="03A0A58A" w:rsidR="009102A7" w:rsidRPr="00576AF8" w:rsidRDefault="009102A7" w:rsidP="009102A7">
      <w:pPr>
        <w:ind w:left="2160" w:right="4" w:hanging="720"/>
        <w:rPr>
          <w:i/>
          <w:color w:val="4472C4"/>
          <w:sz w:val="22"/>
          <w:szCs w:val="22"/>
        </w:rPr>
      </w:pPr>
      <w:r w:rsidRPr="00576AF8">
        <w:rPr>
          <w:i/>
          <w:sz w:val="22"/>
          <w:szCs w:val="22"/>
        </w:rPr>
        <w:t>1.1.1.2</w:t>
      </w:r>
      <w:r w:rsidRPr="00576AF8">
        <w:rPr>
          <w:sz w:val="22"/>
          <w:szCs w:val="22"/>
        </w:rPr>
        <w:tab/>
        <w:t xml:space="preserve">El </w:t>
      </w:r>
      <w:r w:rsidRPr="00576AF8">
        <w:rPr>
          <w:rFonts w:eastAsia="Calibri"/>
          <w:color w:val="000000"/>
          <w:sz w:val="22"/>
          <w:szCs w:val="22"/>
        </w:rPr>
        <w:t>Proveedor DEBERÁ utilizar los siguientes</w:t>
      </w:r>
      <w:r w:rsidRPr="00576AF8">
        <w:rPr>
          <w:sz w:val="22"/>
          <w:szCs w:val="22"/>
        </w:rPr>
        <w:t xml:space="preserve"> Estándares Internacionales</w:t>
      </w:r>
      <w:r w:rsidR="003541D4">
        <w:rPr>
          <w:sz w:val="22"/>
          <w:szCs w:val="22"/>
        </w:rPr>
        <w:t xml:space="preserve"> en lo concerniente y aplicable</w:t>
      </w:r>
      <w:r w:rsidRPr="00576AF8">
        <w:rPr>
          <w:sz w:val="22"/>
          <w:szCs w:val="22"/>
        </w:rPr>
        <w:t>,</w:t>
      </w:r>
      <w:r w:rsidRPr="00576AF8">
        <w:rPr>
          <w:rFonts w:eastAsia="Calibri"/>
          <w:color w:val="000000"/>
          <w:sz w:val="22"/>
          <w:szCs w:val="22"/>
        </w:rPr>
        <w:t xml:space="preserve"> para el diseño</w:t>
      </w:r>
      <w:r w:rsidR="002E0AB8" w:rsidRPr="00576AF8">
        <w:rPr>
          <w:rFonts w:eastAsia="Calibri"/>
          <w:color w:val="000000"/>
          <w:sz w:val="22"/>
          <w:szCs w:val="22"/>
        </w:rPr>
        <w:t xml:space="preserve"> de la arquitectura</w:t>
      </w:r>
      <w:r w:rsidRPr="00576AF8">
        <w:rPr>
          <w:rFonts w:eastAsia="Calibri"/>
          <w:color w:val="000000"/>
          <w:sz w:val="22"/>
          <w:szCs w:val="22"/>
        </w:rPr>
        <w:t xml:space="preserve">, suministro, integración, configuración, parametrización, instalación y puesta en marcha del nuevo sistema SCADA/EMS </w:t>
      </w:r>
      <w:r w:rsidR="00593894" w:rsidRPr="00576AF8">
        <w:rPr>
          <w:rFonts w:eastAsia="Calibri"/>
          <w:color w:val="000000"/>
          <w:sz w:val="22"/>
          <w:szCs w:val="22"/>
        </w:rPr>
        <w:t>del Comprador</w:t>
      </w:r>
      <w:r w:rsidRPr="00576AF8">
        <w:rPr>
          <w:sz w:val="22"/>
          <w:szCs w:val="22"/>
        </w:rPr>
        <w:t>:</w:t>
      </w:r>
      <w:r w:rsidRPr="00576AF8">
        <w:rPr>
          <w:i/>
          <w:color w:val="4471C4"/>
          <w:sz w:val="22"/>
          <w:szCs w:val="22"/>
        </w:rPr>
        <w:t xml:space="preserve"> </w:t>
      </w:r>
    </w:p>
    <w:tbl>
      <w:tblPr>
        <w:tblW w:w="0" w:type="auto"/>
        <w:tblInd w:w="704" w:type="dxa"/>
        <w:tblCellMar>
          <w:top w:w="15" w:type="dxa"/>
          <w:left w:w="15" w:type="dxa"/>
          <w:bottom w:w="15" w:type="dxa"/>
          <w:right w:w="15" w:type="dxa"/>
        </w:tblCellMar>
        <w:tblLook w:val="04A0" w:firstRow="1" w:lastRow="0" w:firstColumn="1" w:lastColumn="0" w:noHBand="0" w:noVBand="1"/>
      </w:tblPr>
      <w:tblGrid>
        <w:gridCol w:w="1560"/>
        <w:gridCol w:w="2409"/>
        <w:gridCol w:w="4641"/>
        <w:gridCol w:w="36"/>
      </w:tblGrid>
      <w:tr w:rsidR="009102A7" w:rsidRPr="00576AF8" w14:paraId="12893FC8" w14:textId="77777777" w:rsidTr="009F6B78">
        <w:trPr>
          <w:gridAfter w:val="1"/>
          <w:trHeight w:val="458"/>
          <w:tblHeader/>
        </w:trPr>
        <w:tc>
          <w:tcPr>
            <w:tcW w:w="1560" w:type="dxa"/>
            <w:tcBorders>
              <w:top w:val="single" w:sz="4" w:space="0" w:color="B7DDE8"/>
              <w:left w:val="single" w:sz="4" w:space="0" w:color="B7DDE8"/>
              <w:bottom w:val="single" w:sz="4" w:space="0" w:color="B7DDE8"/>
              <w:right w:val="single" w:sz="4" w:space="0" w:color="B7DDE8"/>
            </w:tcBorders>
            <w:shd w:val="clear" w:color="auto" w:fill="DBE5F1"/>
            <w:tcMar>
              <w:top w:w="0" w:type="dxa"/>
              <w:left w:w="115" w:type="dxa"/>
              <w:bottom w:w="0" w:type="dxa"/>
              <w:right w:w="115" w:type="dxa"/>
            </w:tcMar>
            <w:vAlign w:val="center"/>
            <w:hideMark/>
          </w:tcPr>
          <w:p w14:paraId="34FF9B4E" w14:textId="77777777" w:rsidR="009102A7" w:rsidRPr="00576AF8" w:rsidRDefault="009102A7" w:rsidP="009F6B78">
            <w:pPr>
              <w:ind w:left="1440" w:right="4" w:hanging="738"/>
              <w:jc w:val="left"/>
              <w:rPr>
                <w:sz w:val="22"/>
                <w:szCs w:val="22"/>
              </w:rPr>
            </w:pPr>
            <w:r w:rsidRPr="00576AF8">
              <w:rPr>
                <w:sz w:val="22"/>
                <w:szCs w:val="22"/>
              </w:rPr>
              <w:t>Org.</w:t>
            </w:r>
          </w:p>
        </w:tc>
        <w:tc>
          <w:tcPr>
            <w:tcW w:w="2409" w:type="dxa"/>
            <w:tcBorders>
              <w:top w:val="single" w:sz="4" w:space="0" w:color="B7DDE8"/>
              <w:left w:val="single" w:sz="4" w:space="0" w:color="B7DDE8"/>
              <w:bottom w:val="single" w:sz="4" w:space="0" w:color="B7DDE8"/>
              <w:right w:val="single" w:sz="4" w:space="0" w:color="B7DDE8"/>
            </w:tcBorders>
            <w:shd w:val="clear" w:color="auto" w:fill="DBE5F1"/>
            <w:tcMar>
              <w:top w:w="0" w:type="dxa"/>
              <w:left w:w="115" w:type="dxa"/>
              <w:bottom w:w="0" w:type="dxa"/>
              <w:right w:w="115" w:type="dxa"/>
            </w:tcMar>
            <w:vAlign w:val="center"/>
            <w:hideMark/>
          </w:tcPr>
          <w:p w14:paraId="4CF5CBC3" w14:textId="77777777" w:rsidR="009102A7" w:rsidRPr="00576AF8" w:rsidRDefault="009102A7" w:rsidP="009F6B78">
            <w:pPr>
              <w:ind w:left="1440" w:right="4" w:hanging="738"/>
              <w:jc w:val="left"/>
              <w:rPr>
                <w:sz w:val="22"/>
                <w:szCs w:val="22"/>
              </w:rPr>
            </w:pPr>
            <w:r w:rsidRPr="00576AF8">
              <w:rPr>
                <w:sz w:val="22"/>
                <w:szCs w:val="22"/>
              </w:rPr>
              <w:t>Estándar</w:t>
            </w:r>
          </w:p>
        </w:tc>
        <w:tc>
          <w:tcPr>
            <w:tcW w:w="4641" w:type="dxa"/>
            <w:tcBorders>
              <w:top w:val="single" w:sz="4" w:space="0" w:color="B7DDE8"/>
              <w:left w:val="single" w:sz="4" w:space="0" w:color="B7DDE8"/>
              <w:bottom w:val="single" w:sz="4" w:space="0" w:color="B7DDE8"/>
              <w:right w:val="single" w:sz="4" w:space="0" w:color="B7DDE8"/>
            </w:tcBorders>
            <w:shd w:val="clear" w:color="auto" w:fill="DBE5F1"/>
            <w:tcMar>
              <w:top w:w="0" w:type="dxa"/>
              <w:left w:w="115" w:type="dxa"/>
              <w:bottom w:w="0" w:type="dxa"/>
              <w:right w:w="115" w:type="dxa"/>
            </w:tcMar>
            <w:vAlign w:val="center"/>
            <w:hideMark/>
          </w:tcPr>
          <w:p w14:paraId="0C96DC2C" w14:textId="77777777" w:rsidR="009102A7" w:rsidRPr="00576AF8" w:rsidRDefault="009102A7" w:rsidP="009F6B78">
            <w:pPr>
              <w:ind w:left="1440" w:right="4" w:hanging="738"/>
              <w:rPr>
                <w:sz w:val="22"/>
                <w:szCs w:val="22"/>
              </w:rPr>
            </w:pPr>
            <w:r w:rsidRPr="00576AF8">
              <w:rPr>
                <w:sz w:val="22"/>
                <w:szCs w:val="22"/>
              </w:rPr>
              <w:t>Descripción</w:t>
            </w:r>
          </w:p>
        </w:tc>
      </w:tr>
      <w:tr w:rsidR="009102A7" w:rsidRPr="00D12BF9" w14:paraId="112871FF" w14:textId="77777777" w:rsidTr="009F6B78">
        <w:trPr>
          <w:gridAfter w:val="1"/>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6608D2F" w14:textId="77777777" w:rsidR="009102A7" w:rsidRPr="00576AF8" w:rsidRDefault="009102A7" w:rsidP="009F6B78">
            <w:pPr>
              <w:ind w:left="1440" w:right="4" w:hanging="738"/>
              <w:jc w:val="left"/>
              <w:rPr>
                <w:sz w:val="22"/>
                <w:szCs w:val="22"/>
              </w:rPr>
            </w:pPr>
            <w:r w:rsidRPr="00576AF8">
              <w:rPr>
                <w:sz w:val="22"/>
                <w:szCs w:val="22"/>
              </w:rPr>
              <w:t>ANSI</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1152063" w14:textId="77777777" w:rsidR="009102A7" w:rsidRPr="00576AF8" w:rsidRDefault="009102A7" w:rsidP="009F6B78">
            <w:pPr>
              <w:ind w:left="1440" w:right="4" w:hanging="738"/>
              <w:jc w:val="left"/>
              <w:rPr>
                <w:sz w:val="22"/>
                <w:szCs w:val="22"/>
              </w:rPr>
            </w:pPr>
            <w:r w:rsidRPr="00576AF8">
              <w:rPr>
                <w:sz w:val="22"/>
                <w:szCs w:val="22"/>
              </w:rPr>
              <w:t>942-A</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288476A" w14:textId="77777777" w:rsidR="009102A7" w:rsidRPr="00576AF8" w:rsidRDefault="009102A7" w:rsidP="009F6B78">
            <w:pPr>
              <w:ind w:left="1440" w:right="4" w:hanging="738"/>
              <w:rPr>
                <w:sz w:val="22"/>
                <w:szCs w:val="22"/>
                <w:lang w:val="en-US"/>
              </w:rPr>
            </w:pPr>
            <w:r w:rsidRPr="00576AF8">
              <w:rPr>
                <w:sz w:val="22"/>
                <w:szCs w:val="22"/>
                <w:lang w:val="en-US"/>
              </w:rPr>
              <w:t>Telecommunications infrastructure requirements for data centers</w:t>
            </w:r>
          </w:p>
        </w:tc>
      </w:tr>
      <w:tr w:rsidR="009102A7" w:rsidRPr="00D12BF9" w14:paraId="7F6FD931" w14:textId="77777777" w:rsidTr="009F6B78">
        <w:trPr>
          <w:gridAfter w:val="1"/>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7A9F7DC" w14:textId="77777777" w:rsidR="009102A7" w:rsidRPr="00576AF8" w:rsidRDefault="009102A7" w:rsidP="009F6B78">
            <w:pPr>
              <w:ind w:left="1440" w:right="4" w:hanging="738"/>
              <w:jc w:val="left"/>
              <w:rPr>
                <w:sz w:val="22"/>
                <w:szCs w:val="22"/>
              </w:rPr>
            </w:pPr>
            <w:r w:rsidRPr="00576AF8">
              <w:rPr>
                <w:sz w:val="22"/>
                <w:szCs w:val="22"/>
              </w:rPr>
              <w:t>ANSI</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E96A3EA" w14:textId="77777777" w:rsidR="009102A7" w:rsidRPr="00576AF8" w:rsidRDefault="009102A7" w:rsidP="009F6B78">
            <w:pPr>
              <w:ind w:left="1440" w:right="4" w:hanging="738"/>
              <w:jc w:val="left"/>
              <w:rPr>
                <w:sz w:val="22"/>
                <w:szCs w:val="22"/>
              </w:rPr>
            </w:pPr>
            <w:r w:rsidRPr="00576AF8">
              <w:rPr>
                <w:sz w:val="22"/>
                <w:szCs w:val="22"/>
              </w:rPr>
              <w:t>C84.1-2006</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41B1E8C" w14:textId="77777777" w:rsidR="009102A7" w:rsidRPr="00576AF8" w:rsidRDefault="009102A7" w:rsidP="009F6B78">
            <w:pPr>
              <w:ind w:left="1440" w:right="4" w:hanging="738"/>
              <w:rPr>
                <w:sz w:val="22"/>
                <w:szCs w:val="22"/>
                <w:lang w:val="en-US"/>
              </w:rPr>
            </w:pPr>
            <w:r w:rsidRPr="00576AF8">
              <w:rPr>
                <w:sz w:val="22"/>
                <w:szCs w:val="22"/>
                <w:lang w:val="en-US"/>
              </w:rPr>
              <w:t>American National Standard for Electric Power Systems and Equipment - Voltage Ratings (60 Hertz)</w:t>
            </w:r>
          </w:p>
        </w:tc>
      </w:tr>
      <w:tr w:rsidR="009102A7" w:rsidRPr="00D12BF9" w14:paraId="0E869C73" w14:textId="77777777" w:rsidTr="009F6B78">
        <w:trPr>
          <w:gridAfter w:val="1"/>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0EC2211" w14:textId="77777777" w:rsidR="009102A7" w:rsidRPr="00576AF8" w:rsidRDefault="009102A7" w:rsidP="009F6B78">
            <w:pPr>
              <w:ind w:left="1440" w:right="4" w:hanging="738"/>
              <w:jc w:val="left"/>
              <w:rPr>
                <w:sz w:val="22"/>
                <w:szCs w:val="22"/>
              </w:rPr>
            </w:pPr>
            <w:r w:rsidRPr="00576AF8">
              <w:rPr>
                <w:sz w:val="22"/>
                <w:szCs w:val="22"/>
              </w:rPr>
              <w:lastRenderedPageBreak/>
              <w:t>ANSI</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DE3A3FD" w14:textId="77777777" w:rsidR="009102A7" w:rsidRPr="00576AF8" w:rsidRDefault="009102A7" w:rsidP="009F6B78">
            <w:pPr>
              <w:ind w:left="1440" w:right="4" w:hanging="738"/>
              <w:jc w:val="left"/>
              <w:rPr>
                <w:sz w:val="22"/>
                <w:szCs w:val="22"/>
              </w:rPr>
            </w:pPr>
            <w:r w:rsidRPr="00576AF8">
              <w:rPr>
                <w:sz w:val="22"/>
                <w:szCs w:val="22"/>
              </w:rPr>
              <w:t>607</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1171B7F" w14:textId="77777777" w:rsidR="009102A7" w:rsidRPr="00576AF8" w:rsidRDefault="009102A7" w:rsidP="009F6B78">
            <w:pPr>
              <w:ind w:left="1440" w:right="4" w:hanging="738"/>
              <w:rPr>
                <w:sz w:val="22"/>
                <w:szCs w:val="22"/>
                <w:lang w:val="en-US"/>
              </w:rPr>
            </w:pPr>
            <w:r w:rsidRPr="00576AF8">
              <w:rPr>
                <w:sz w:val="22"/>
                <w:szCs w:val="22"/>
                <w:lang w:val="en-US"/>
              </w:rPr>
              <w:t>American National Standard for High-Voltage Substation Equipment - Construction and Testing</w:t>
            </w:r>
          </w:p>
        </w:tc>
      </w:tr>
      <w:tr w:rsidR="009102A7" w:rsidRPr="00D12BF9" w14:paraId="2198DDB2" w14:textId="77777777" w:rsidTr="009F6B78">
        <w:trPr>
          <w:gridAfter w:val="1"/>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D2C9BED"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366BD20" w14:textId="77777777" w:rsidR="009102A7" w:rsidRPr="00576AF8" w:rsidRDefault="009102A7" w:rsidP="009F6B78">
            <w:pPr>
              <w:ind w:left="1440" w:right="4" w:hanging="738"/>
              <w:jc w:val="left"/>
              <w:rPr>
                <w:sz w:val="22"/>
                <w:szCs w:val="22"/>
              </w:rPr>
            </w:pPr>
            <w:r w:rsidRPr="00576AF8">
              <w:rPr>
                <w:sz w:val="22"/>
                <w:szCs w:val="22"/>
              </w:rPr>
              <w:t>783-2006</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77228EC" w14:textId="77777777" w:rsidR="009102A7" w:rsidRPr="00576AF8" w:rsidRDefault="009102A7" w:rsidP="009F6B78">
            <w:pPr>
              <w:ind w:left="1440" w:right="4" w:hanging="738"/>
              <w:rPr>
                <w:sz w:val="22"/>
                <w:szCs w:val="22"/>
                <w:lang w:val="en-US"/>
              </w:rPr>
            </w:pPr>
            <w:r w:rsidRPr="00576AF8">
              <w:rPr>
                <w:sz w:val="22"/>
                <w:szCs w:val="22"/>
                <w:lang w:val="en-US"/>
              </w:rPr>
              <w:t>International Standard for Power Transformers - Part 2: Construction and Testing</w:t>
            </w:r>
          </w:p>
        </w:tc>
      </w:tr>
      <w:tr w:rsidR="009102A7" w:rsidRPr="00576AF8" w14:paraId="6F8F1895" w14:textId="77777777" w:rsidTr="009F6B78">
        <w:trPr>
          <w:gridAfter w:val="1"/>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07DC817"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471C656" w14:textId="77777777" w:rsidR="009102A7" w:rsidRPr="00576AF8" w:rsidRDefault="009102A7" w:rsidP="009F6B78">
            <w:pPr>
              <w:ind w:left="1440" w:right="4" w:hanging="738"/>
              <w:jc w:val="left"/>
              <w:rPr>
                <w:sz w:val="22"/>
                <w:szCs w:val="22"/>
              </w:rPr>
            </w:pPr>
            <w:r w:rsidRPr="00576AF8">
              <w:rPr>
                <w:sz w:val="22"/>
                <w:szCs w:val="22"/>
              </w:rPr>
              <w:t>12207</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BD2C2FC" w14:textId="77777777" w:rsidR="009102A7" w:rsidRPr="00576AF8" w:rsidRDefault="009102A7" w:rsidP="009F6B78">
            <w:pPr>
              <w:ind w:left="1440" w:right="4" w:hanging="738"/>
              <w:rPr>
                <w:sz w:val="22"/>
                <w:szCs w:val="22"/>
              </w:rPr>
            </w:pPr>
            <w:r w:rsidRPr="00576AF8">
              <w:rPr>
                <w:sz w:val="22"/>
                <w:szCs w:val="22"/>
              </w:rPr>
              <w:t>Software life cycle processes</w:t>
            </w:r>
          </w:p>
        </w:tc>
      </w:tr>
      <w:tr w:rsidR="009102A7" w:rsidRPr="00D12BF9" w14:paraId="73098534" w14:textId="77777777" w:rsidTr="009F6B78">
        <w:trPr>
          <w:gridAfter w:val="1"/>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FAF0091"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7B59F01" w14:textId="77777777" w:rsidR="009102A7" w:rsidRPr="00576AF8" w:rsidRDefault="009102A7" w:rsidP="009F6B78">
            <w:pPr>
              <w:ind w:left="1440" w:right="4" w:hanging="738"/>
              <w:jc w:val="left"/>
              <w:rPr>
                <w:sz w:val="22"/>
                <w:szCs w:val="22"/>
              </w:rPr>
            </w:pPr>
            <w:r w:rsidRPr="00576AF8">
              <w:rPr>
                <w:sz w:val="22"/>
                <w:szCs w:val="22"/>
              </w:rPr>
              <w:t>60529</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DA1CB84" w14:textId="77777777" w:rsidR="009102A7" w:rsidRPr="00576AF8" w:rsidRDefault="009102A7" w:rsidP="009F6B78">
            <w:pPr>
              <w:ind w:left="1440" w:right="4" w:hanging="738"/>
              <w:rPr>
                <w:sz w:val="22"/>
                <w:szCs w:val="22"/>
                <w:lang w:val="en-US"/>
              </w:rPr>
            </w:pPr>
            <w:r w:rsidRPr="00576AF8">
              <w:rPr>
                <w:sz w:val="22"/>
                <w:szCs w:val="22"/>
                <w:lang w:val="en-US"/>
              </w:rPr>
              <w:t>Degrees of protection provided by enclosures (IP Code)</w:t>
            </w:r>
          </w:p>
        </w:tc>
      </w:tr>
      <w:tr w:rsidR="009102A7" w:rsidRPr="00D12BF9" w14:paraId="5EB998DA" w14:textId="77777777" w:rsidTr="009F6B78">
        <w:trPr>
          <w:gridAfter w:val="1"/>
          <w:trHeight w:val="559"/>
        </w:trPr>
        <w:tc>
          <w:tcPr>
            <w:tcW w:w="1560" w:type="dxa"/>
            <w:vMerge w:val="restart"/>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F481EA4"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vMerge w:val="restart"/>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CCC5212" w14:textId="77777777" w:rsidR="009102A7" w:rsidRPr="00576AF8" w:rsidRDefault="009102A7" w:rsidP="009F6B78">
            <w:pPr>
              <w:ind w:left="1440" w:right="4" w:hanging="738"/>
              <w:jc w:val="left"/>
              <w:rPr>
                <w:sz w:val="22"/>
                <w:szCs w:val="22"/>
              </w:rPr>
            </w:pPr>
            <w:r w:rsidRPr="00576AF8">
              <w:rPr>
                <w:sz w:val="22"/>
                <w:szCs w:val="22"/>
              </w:rPr>
              <w:t>60870-5-101</w:t>
            </w:r>
          </w:p>
        </w:tc>
        <w:tc>
          <w:tcPr>
            <w:tcW w:w="4641" w:type="dxa"/>
            <w:vMerge w:val="restart"/>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57543DE" w14:textId="77777777" w:rsidR="009102A7" w:rsidRPr="00576AF8" w:rsidRDefault="009102A7" w:rsidP="009F6B78">
            <w:pPr>
              <w:ind w:left="1440" w:right="4" w:hanging="738"/>
              <w:rPr>
                <w:sz w:val="22"/>
                <w:szCs w:val="22"/>
                <w:lang w:val="en-US"/>
              </w:rPr>
            </w:pPr>
            <w:r w:rsidRPr="00576AF8">
              <w:rPr>
                <w:sz w:val="22"/>
                <w:szCs w:val="22"/>
                <w:lang w:val="en-US"/>
              </w:rPr>
              <w:t>Telecontrol equipment and systems - Part 5-101: Transmission protocols - Companion standard for basic telecontrol tasks</w:t>
            </w:r>
          </w:p>
        </w:tc>
      </w:tr>
      <w:tr w:rsidR="009102A7" w:rsidRPr="00D12BF9" w14:paraId="55D6E191" w14:textId="77777777" w:rsidTr="009F6B78">
        <w:trPr>
          <w:trHeight w:val="577"/>
        </w:trPr>
        <w:tc>
          <w:tcPr>
            <w:tcW w:w="1560" w:type="dxa"/>
            <w:vMerge/>
            <w:tcBorders>
              <w:top w:val="single" w:sz="4" w:space="0" w:color="B7DDE8"/>
              <w:left w:val="single" w:sz="4" w:space="0" w:color="B7DDE8"/>
              <w:bottom w:val="single" w:sz="4" w:space="0" w:color="B7DDE8"/>
              <w:right w:val="single" w:sz="4" w:space="0" w:color="B7DDE8"/>
            </w:tcBorders>
            <w:vAlign w:val="center"/>
            <w:hideMark/>
          </w:tcPr>
          <w:p w14:paraId="1129D10B" w14:textId="77777777" w:rsidR="009102A7" w:rsidRPr="00576AF8" w:rsidRDefault="009102A7" w:rsidP="009F6B78">
            <w:pPr>
              <w:ind w:left="1440" w:right="4" w:hanging="738"/>
              <w:jc w:val="left"/>
              <w:rPr>
                <w:sz w:val="22"/>
                <w:szCs w:val="22"/>
                <w:lang w:val="en-US"/>
              </w:rPr>
            </w:pPr>
          </w:p>
        </w:tc>
        <w:tc>
          <w:tcPr>
            <w:tcW w:w="2409" w:type="dxa"/>
            <w:vMerge/>
            <w:tcBorders>
              <w:top w:val="single" w:sz="4" w:space="0" w:color="B7DDE8"/>
              <w:left w:val="single" w:sz="4" w:space="0" w:color="B7DDE8"/>
              <w:bottom w:val="single" w:sz="4" w:space="0" w:color="B7DDE8"/>
              <w:right w:val="single" w:sz="4" w:space="0" w:color="B7DDE8"/>
            </w:tcBorders>
            <w:vAlign w:val="center"/>
            <w:hideMark/>
          </w:tcPr>
          <w:p w14:paraId="0C45516A" w14:textId="77777777" w:rsidR="009102A7" w:rsidRPr="00576AF8" w:rsidRDefault="009102A7" w:rsidP="009F6B78">
            <w:pPr>
              <w:ind w:left="1440" w:right="4" w:hanging="738"/>
              <w:jc w:val="left"/>
              <w:rPr>
                <w:sz w:val="22"/>
                <w:szCs w:val="22"/>
                <w:lang w:val="en-US"/>
              </w:rPr>
            </w:pPr>
          </w:p>
        </w:tc>
        <w:tc>
          <w:tcPr>
            <w:tcW w:w="4641" w:type="dxa"/>
            <w:vMerge/>
            <w:tcBorders>
              <w:top w:val="single" w:sz="4" w:space="0" w:color="B7DDE8"/>
              <w:left w:val="single" w:sz="4" w:space="0" w:color="B7DDE8"/>
              <w:bottom w:val="single" w:sz="4" w:space="0" w:color="B7DDE8"/>
              <w:right w:val="single" w:sz="4" w:space="0" w:color="B7DDE8"/>
            </w:tcBorders>
            <w:vAlign w:val="center"/>
            <w:hideMark/>
          </w:tcPr>
          <w:p w14:paraId="5A510EBF" w14:textId="77777777" w:rsidR="009102A7" w:rsidRPr="00576AF8" w:rsidRDefault="009102A7" w:rsidP="009F6B78">
            <w:pPr>
              <w:ind w:left="1440" w:right="4" w:hanging="738"/>
              <w:rPr>
                <w:sz w:val="22"/>
                <w:szCs w:val="22"/>
                <w:lang w:val="en-US"/>
              </w:rPr>
            </w:pPr>
          </w:p>
        </w:tc>
        <w:tc>
          <w:tcPr>
            <w:tcW w:w="0" w:type="auto"/>
            <w:vAlign w:val="center"/>
            <w:hideMark/>
          </w:tcPr>
          <w:p w14:paraId="72AF9AE9" w14:textId="77777777" w:rsidR="009102A7" w:rsidRPr="00576AF8" w:rsidRDefault="009102A7" w:rsidP="009F6B78">
            <w:pPr>
              <w:ind w:left="1440" w:right="4" w:hanging="738"/>
              <w:jc w:val="left"/>
              <w:rPr>
                <w:sz w:val="22"/>
                <w:szCs w:val="22"/>
                <w:lang w:val="en-US"/>
              </w:rPr>
            </w:pPr>
          </w:p>
        </w:tc>
      </w:tr>
      <w:tr w:rsidR="009102A7" w:rsidRPr="00D12BF9" w14:paraId="326002BF"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F985A82"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2D4F71C" w14:textId="77777777" w:rsidR="009102A7" w:rsidRPr="00576AF8" w:rsidRDefault="009102A7" w:rsidP="009F6B78">
            <w:pPr>
              <w:ind w:left="1440" w:right="4" w:hanging="738"/>
              <w:jc w:val="left"/>
              <w:rPr>
                <w:sz w:val="22"/>
                <w:szCs w:val="22"/>
              </w:rPr>
            </w:pPr>
            <w:r w:rsidRPr="00576AF8">
              <w:rPr>
                <w:sz w:val="22"/>
                <w:szCs w:val="22"/>
              </w:rPr>
              <w:t>60870-5-103</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F18A465" w14:textId="77777777" w:rsidR="009102A7" w:rsidRPr="00576AF8" w:rsidRDefault="009102A7" w:rsidP="009F6B78">
            <w:pPr>
              <w:ind w:left="1440" w:right="4" w:hanging="738"/>
              <w:rPr>
                <w:sz w:val="22"/>
                <w:szCs w:val="22"/>
                <w:lang w:val="en-US"/>
              </w:rPr>
            </w:pPr>
            <w:r w:rsidRPr="00576AF8">
              <w:rPr>
                <w:sz w:val="22"/>
                <w:szCs w:val="22"/>
                <w:lang w:val="en-US"/>
              </w:rPr>
              <w:t>Telecontrol equipment and systems, Transmission Protocols, Companion standard for the informative interface of protection equipment</w:t>
            </w:r>
          </w:p>
        </w:tc>
        <w:tc>
          <w:tcPr>
            <w:tcW w:w="0" w:type="auto"/>
            <w:vAlign w:val="center"/>
            <w:hideMark/>
          </w:tcPr>
          <w:p w14:paraId="2F678B84" w14:textId="77777777" w:rsidR="009102A7" w:rsidRPr="00576AF8" w:rsidRDefault="009102A7" w:rsidP="009F6B78">
            <w:pPr>
              <w:ind w:left="1440" w:right="4" w:hanging="738"/>
              <w:jc w:val="left"/>
              <w:rPr>
                <w:sz w:val="22"/>
                <w:szCs w:val="22"/>
                <w:lang w:val="en-US"/>
              </w:rPr>
            </w:pPr>
          </w:p>
        </w:tc>
      </w:tr>
      <w:tr w:rsidR="009102A7" w:rsidRPr="00D12BF9" w14:paraId="053A9776"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8563148"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DAD4D1C" w14:textId="77777777" w:rsidR="009102A7" w:rsidRPr="00576AF8" w:rsidRDefault="009102A7" w:rsidP="009F6B78">
            <w:pPr>
              <w:ind w:left="1440" w:right="4" w:hanging="738"/>
              <w:jc w:val="left"/>
              <w:rPr>
                <w:sz w:val="22"/>
                <w:szCs w:val="22"/>
              </w:rPr>
            </w:pPr>
            <w:r w:rsidRPr="00576AF8">
              <w:rPr>
                <w:sz w:val="22"/>
                <w:szCs w:val="22"/>
              </w:rPr>
              <w:t>60870-5-104</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C73D641" w14:textId="77777777" w:rsidR="009102A7" w:rsidRPr="00576AF8" w:rsidRDefault="009102A7" w:rsidP="009F6B78">
            <w:pPr>
              <w:ind w:left="1440" w:right="4" w:hanging="738"/>
              <w:rPr>
                <w:sz w:val="22"/>
                <w:szCs w:val="22"/>
                <w:lang w:val="en-US"/>
              </w:rPr>
            </w:pPr>
            <w:r w:rsidRPr="00576AF8">
              <w:rPr>
                <w:sz w:val="22"/>
                <w:szCs w:val="22"/>
                <w:lang w:val="en-US"/>
              </w:rPr>
              <w:t>Telecontrol equipment and systems, Transmission protocols, Network access for IEC 60870-5-101 using standard transport profiles</w:t>
            </w:r>
          </w:p>
        </w:tc>
        <w:tc>
          <w:tcPr>
            <w:tcW w:w="0" w:type="auto"/>
            <w:vAlign w:val="center"/>
            <w:hideMark/>
          </w:tcPr>
          <w:p w14:paraId="12EF6677" w14:textId="77777777" w:rsidR="009102A7" w:rsidRPr="00576AF8" w:rsidRDefault="009102A7" w:rsidP="009F6B78">
            <w:pPr>
              <w:ind w:left="1440" w:right="4" w:hanging="738"/>
              <w:jc w:val="left"/>
              <w:rPr>
                <w:sz w:val="22"/>
                <w:szCs w:val="22"/>
                <w:lang w:val="en-US"/>
              </w:rPr>
            </w:pPr>
          </w:p>
        </w:tc>
      </w:tr>
      <w:tr w:rsidR="009102A7" w:rsidRPr="00D12BF9" w14:paraId="7350C360"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3D12E22"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AE3A4E4" w14:textId="77777777" w:rsidR="009102A7" w:rsidRPr="00576AF8" w:rsidRDefault="009102A7" w:rsidP="009F6B78">
            <w:pPr>
              <w:ind w:left="1440" w:right="4" w:hanging="738"/>
              <w:jc w:val="left"/>
              <w:rPr>
                <w:sz w:val="22"/>
                <w:szCs w:val="22"/>
              </w:rPr>
            </w:pPr>
            <w:r w:rsidRPr="00576AF8">
              <w:rPr>
                <w:sz w:val="22"/>
                <w:szCs w:val="22"/>
              </w:rPr>
              <w:t>60870-6-503</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A39B72B" w14:textId="77777777" w:rsidR="009102A7" w:rsidRPr="00576AF8" w:rsidRDefault="009102A7" w:rsidP="009F6B78">
            <w:pPr>
              <w:ind w:left="1440" w:right="4" w:hanging="738"/>
              <w:rPr>
                <w:sz w:val="22"/>
                <w:szCs w:val="22"/>
                <w:lang w:val="en-US"/>
              </w:rPr>
            </w:pPr>
            <w:r w:rsidRPr="00576AF8">
              <w:rPr>
                <w:sz w:val="22"/>
                <w:szCs w:val="22"/>
                <w:lang w:val="en-US"/>
              </w:rPr>
              <w:t>Telecontrol equipment and systems, Telecontrol Protocols compatible with ISO standards and ITU recommendations, TASE 2 Services and protocol</w:t>
            </w:r>
          </w:p>
        </w:tc>
        <w:tc>
          <w:tcPr>
            <w:tcW w:w="0" w:type="auto"/>
            <w:vAlign w:val="center"/>
            <w:hideMark/>
          </w:tcPr>
          <w:p w14:paraId="6334954E" w14:textId="77777777" w:rsidR="009102A7" w:rsidRPr="00576AF8" w:rsidRDefault="009102A7" w:rsidP="009F6B78">
            <w:pPr>
              <w:ind w:left="1440" w:right="4" w:hanging="738"/>
              <w:jc w:val="left"/>
              <w:rPr>
                <w:sz w:val="22"/>
                <w:szCs w:val="22"/>
                <w:lang w:val="en-US"/>
              </w:rPr>
            </w:pPr>
          </w:p>
        </w:tc>
      </w:tr>
      <w:tr w:rsidR="009102A7" w:rsidRPr="00D12BF9" w14:paraId="6CEE9E89"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C64253E"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8F5C6F7" w14:textId="77777777" w:rsidR="009102A7" w:rsidRPr="00576AF8" w:rsidRDefault="009102A7" w:rsidP="009F6B78">
            <w:pPr>
              <w:ind w:left="1440" w:right="4" w:hanging="738"/>
              <w:jc w:val="left"/>
              <w:rPr>
                <w:sz w:val="22"/>
                <w:szCs w:val="22"/>
              </w:rPr>
            </w:pPr>
            <w:r w:rsidRPr="00576AF8">
              <w:rPr>
                <w:sz w:val="22"/>
                <w:szCs w:val="22"/>
              </w:rPr>
              <w:t>60950-1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7DECCEA" w14:textId="77777777" w:rsidR="009102A7" w:rsidRPr="00576AF8" w:rsidRDefault="009102A7" w:rsidP="009F6B78">
            <w:pPr>
              <w:ind w:left="1440" w:right="4" w:hanging="738"/>
              <w:rPr>
                <w:sz w:val="22"/>
                <w:szCs w:val="22"/>
                <w:lang w:val="en-US"/>
              </w:rPr>
            </w:pPr>
            <w:r w:rsidRPr="00576AF8">
              <w:rPr>
                <w:sz w:val="22"/>
                <w:szCs w:val="22"/>
                <w:lang w:val="en-US"/>
              </w:rPr>
              <w:t>Information technology equipment - Safety - Part 1: General requirements</w:t>
            </w:r>
          </w:p>
        </w:tc>
        <w:tc>
          <w:tcPr>
            <w:tcW w:w="0" w:type="auto"/>
            <w:vAlign w:val="center"/>
            <w:hideMark/>
          </w:tcPr>
          <w:p w14:paraId="39682F62" w14:textId="77777777" w:rsidR="009102A7" w:rsidRPr="00576AF8" w:rsidRDefault="009102A7" w:rsidP="009F6B78">
            <w:pPr>
              <w:ind w:left="1440" w:right="4" w:hanging="738"/>
              <w:jc w:val="left"/>
              <w:rPr>
                <w:sz w:val="22"/>
                <w:szCs w:val="22"/>
                <w:lang w:val="en-US"/>
              </w:rPr>
            </w:pPr>
          </w:p>
        </w:tc>
      </w:tr>
      <w:tr w:rsidR="009102A7" w:rsidRPr="00D12BF9" w14:paraId="68BBB77A"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944E91B"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3AF63B0" w14:textId="77777777" w:rsidR="009102A7" w:rsidRPr="00576AF8" w:rsidRDefault="009102A7" w:rsidP="009F6B78">
            <w:pPr>
              <w:ind w:left="1440" w:right="4" w:hanging="738"/>
              <w:jc w:val="left"/>
              <w:rPr>
                <w:sz w:val="22"/>
                <w:szCs w:val="22"/>
              </w:rPr>
            </w:pPr>
            <w:r w:rsidRPr="00576AF8">
              <w:rPr>
                <w:sz w:val="22"/>
                <w:szCs w:val="22"/>
              </w:rPr>
              <w:t>60909</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A901739" w14:textId="77777777" w:rsidR="009102A7" w:rsidRPr="00576AF8" w:rsidRDefault="009102A7" w:rsidP="009F6B78">
            <w:pPr>
              <w:ind w:left="1440" w:right="4" w:hanging="738"/>
              <w:rPr>
                <w:sz w:val="22"/>
                <w:szCs w:val="22"/>
                <w:lang w:val="en-US"/>
              </w:rPr>
            </w:pPr>
            <w:r w:rsidRPr="00576AF8">
              <w:rPr>
                <w:sz w:val="22"/>
                <w:szCs w:val="22"/>
                <w:lang w:val="en-US"/>
              </w:rPr>
              <w:t>Short-circuit current calculation in three-phase a.c. systems</w:t>
            </w:r>
          </w:p>
        </w:tc>
        <w:tc>
          <w:tcPr>
            <w:tcW w:w="0" w:type="auto"/>
            <w:vAlign w:val="center"/>
            <w:hideMark/>
          </w:tcPr>
          <w:p w14:paraId="04D7E012" w14:textId="77777777" w:rsidR="009102A7" w:rsidRPr="00576AF8" w:rsidRDefault="009102A7" w:rsidP="009F6B78">
            <w:pPr>
              <w:ind w:left="1440" w:right="4" w:hanging="738"/>
              <w:jc w:val="left"/>
              <w:rPr>
                <w:sz w:val="22"/>
                <w:szCs w:val="22"/>
                <w:lang w:val="en-US"/>
              </w:rPr>
            </w:pPr>
          </w:p>
        </w:tc>
      </w:tr>
      <w:tr w:rsidR="009102A7" w:rsidRPr="00D12BF9" w14:paraId="1DF6B453" w14:textId="77777777" w:rsidTr="009F6B78">
        <w:trPr>
          <w:trHeight w:val="440"/>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47AB238" w14:textId="77777777" w:rsidR="009102A7" w:rsidRPr="00576AF8" w:rsidRDefault="009102A7" w:rsidP="009F6B78">
            <w:pPr>
              <w:ind w:left="1440" w:right="4" w:hanging="738"/>
              <w:jc w:val="left"/>
              <w:rPr>
                <w:sz w:val="22"/>
                <w:szCs w:val="22"/>
              </w:rPr>
            </w:pPr>
            <w:r w:rsidRPr="00576AF8">
              <w:rPr>
                <w:sz w:val="22"/>
                <w:szCs w:val="22"/>
              </w:rPr>
              <w:t>IEC </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213BB39" w14:textId="77777777" w:rsidR="009102A7" w:rsidRPr="00576AF8" w:rsidRDefault="009102A7" w:rsidP="009F6B78">
            <w:pPr>
              <w:ind w:left="1440" w:right="4" w:hanging="738"/>
              <w:jc w:val="left"/>
              <w:rPr>
                <w:sz w:val="22"/>
                <w:szCs w:val="22"/>
              </w:rPr>
            </w:pPr>
            <w:r w:rsidRPr="00576AF8">
              <w:rPr>
                <w:sz w:val="22"/>
                <w:szCs w:val="22"/>
              </w:rPr>
              <w:t>61511-1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A027257" w14:textId="77777777" w:rsidR="009102A7" w:rsidRPr="00576AF8" w:rsidRDefault="009102A7" w:rsidP="009F6B78">
            <w:pPr>
              <w:ind w:left="1440" w:right="4" w:hanging="738"/>
              <w:rPr>
                <w:sz w:val="22"/>
                <w:szCs w:val="22"/>
                <w:lang w:val="en-US"/>
              </w:rPr>
            </w:pPr>
            <w:r w:rsidRPr="00576AF8">
              <w:rPr>
                <w:sz w:val="22"/>
                <w:szCs w:val="22"/>
                <w:lang w:val="en-US"/>
              </w:rPr>
              <w:t>Functional safety –Safety instrumented systems</w:t>
            </w:r>
          </w:p>
          <w:p w14:paraId="4AE95E87" w14:textId="77777777" w:rsidR="009102A7" w:rsidRPr="00576AF8" w:rsidRDefault="009102A7" w:rsidP="009F6B78">
            <w:pPr>
              <w:ind w:left="1440" w:right="4" w:hanging="738"/>
              <w:rPr>
                <w:sz w:val="22"/>
                <w:szCs w:val="22"/>
                <w:lang w:val="en-US"/>
              </w:rPr>
            </w:pPr>
            <w:r w:rsidRPr="00576AF8">
              <w:rPr>
                <w:sz w:val="22"/>
                <w:szCs w:val="22"/>
                <w:lang w:val="en-US"/>
              </w:rPr>
              <w:t>for the process industry sector</w:t>
            </w:r>
          </w:p>
        </w:tc>
        <w:tc>
          <w:tcPr>
            <w:tcW w:w="0" w:type="auto"/>
            <w:vAlign w:val="center"/>
            <w:hideMark/>
          </w:tcPr>
          <w:p w14:paraId="75DC42AC" w14:textId="77777777" w:rsidR="009102A7" w:rsidRPr="00576AF8" w:rsidRDefault="009102A7" w:rsidP="009F6B78">
            <w:pPr>
              <w:ind w:left="1440" w:right="4" w:hanging="738"/>
              <w:jc w:val="left"/>
              <w:rPr>
                <w:sz w:val="22"/>
                <w:szCs w:val="22"/>
                <w:lang w:val="en-US"/>
              </w:rPr>
            </w:pPr>
          </w:p>
        </w:tc>
      </w:tr>
      <w:tr w:rsidR="009102A7" w:rsidRPr="00D12BF9" w14:paraId="5B46271E"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C70A71A"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8C746D8" w14:textId="77777777" w:rsidR="009102A7" w:rsidRPr="00576AF8" w:rsidRDefault="009102A7" w:rsidP="009F6B78">
            <w:pPr>
              <w:ind w:left="1440" w:right="4" w:hanging="738"/>
              <w:jc w:val="left"/>
              <w:rPr>
                <w:sz w:val="22"/>
                <w:szCs w:val="22"/>
              </w:rPr>
            </w:pPr>
            <w:r w:rsidRPr="00576AF8">
              <w:rPr>
                <w:sz w:val="22"/>
                <w:szCs w:val="22"/>
              </w:rPr>
              <w:t>61850</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FF5A15C" w14:textId="77777777" w:rsidR="009102A7" w:rsidRPr="00576AF8" w:rsidRDefault="009102A7" w:rsidP="009F6B78">
            <w:pPr>
              <w:ind w:left="1440" w:right="4" w:hanging="738"/>
              <w:rPr>
                <w:sz w:val="22"/>
                <w:szCs w:val="22"/>
                <w:lang w:val="en-US"/>
              </w:rPr>
            </w:pPr>
            <w:r w:rsidRPr="00576AF8">
              <w:rPr>
                <w:sz w:val="22"/>
                <w:szCs w:val="22"/>
                <w:lang w:val="en-US"/>
              </w:rPr>
              <w:t>Communication networks and systems for power utility automation - ALL PARTS</w:t>
            </w:r>
          </w:p>
        </w:tc>
        <w:tc>
          <w:tcPr>
            <w:tcW w:w="0" w:type="auto"/>
            <w:vAlign w:val="center"/>
            <w:hideMark/>
          </w:tcPr>
          <w:p w14:paraId="0D3C3EE9" w14:textId="77777777" w:rsidR="009102A7" w:rsidRPr="00576AF8" w:rsidRDefault="009102A7" w:rsidP="009F6B78">
            <w:pPr>
              <w:ind w:left="1440" w:right="4" w:hanging="738"/>
              <w:jc w:val="left"/>
              <w:rPr>
                <w:sz w:val="22"/>
                <w:szCs w:val="22"/>
                <w:lang w:val="en-US"/>
              </w:rPr>
            </w:pPr>
          </w:p>
        </w:tc>
      </w:tr>
      <w:tr w:rsidR="009102A7" w:rsidRPr="00D12BF9" w14:paraId="1BDE9DF7"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D5785C3"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1B357D8" w14:textId="77777777" w:rsidR="009102A7" w:rsidRPr="00576AF8" w:rsidRDefault="009102A7" w:rsidP="009F6B78">
            <w:pPr>
              <w:ind w:left="1440" w:right="4" w:hanging="738"/>
              <w:jc w:val="left"/>
              <w:rPr>
                <w:sz w:val="22"/>
                <w:szCs w:val="22"/>
              </w:rPr>
            </w:pPr>
            <w:r w:rsidRPr="00576AF8">
              <w:rPr>
                <w:sz w:val="22"/>
                <w:szCs w:val="22"/>
              </w:rPr>
              <w:t>61968-101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83DB051" w14:textId="77777777" w:rsidR="009102A7" w:rsidRPr="00576AF8" w:rsidRDefault="009102A7" w:rsidP="009F6B78">
            <w:pPr>
              <w:ind w:left="1440" w:right="4" w:hanging="738"/>
              <w:rPr>
                <w:sz w:val="22"/>
                <w:szCs w:val="22"/>
                <w:lang w:val="en-US"/>
              </w:rPr>
            </w:pPr>
            <w:r w:rsidRPr="00576AF8">
              <w:rPr>
                <w:sz w:val="22"/>
                <w:szCs w:val="22"/>
                <w:lang w:val="en-US"/>
              </w:rPr>
              <w:t>Common Information Model for Electrical Power Systems - Part 101: Asset Information</w:t>
            </w:r>
          </w:p>
        </w:tc>
        <w:tc>
          <w:tcPr>
            <w:tcW w:w="0" w:type="auto"/>
            <w:vAlign w:val="center"/>
            <w:hideMark/>
          </w:tcPr>
          <w:p w14:paraId="61A1EBC4" w14:textId="77777777" w:rsidR="009102A7" w:rsidRPr="00576AF8" w:rsidRDefault="009102A7" w:rsidP="009F6B78">
            <w:pPr>
              <w:ind w:left="1440" w:right="4" w:hanging="738"/>
              <w:jc w:val="left"/>
              <w:rPr>
                <w:sz w:val="22"/>
                <w:szCs w:val="22"/>
                <w:lang w:val="en-US"/>
              </w:rPr>
            </w:pPr>
          </w:p>
        </w:tc>
      </w:tr>
      <w:tr w:rsidR="009102A7" w:rsidRPr="00D12BF9" w14:paraId="1C1F70CD"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65EC573" w14:textId="77777777" w:rsidR="009102A7" w:rsidRPr="00576AF8" w:rsidRDefault="009102A7" w:rsidP="009F6B78">
            <w:pPr>
              <w:ind w:left="1440" w:right="4" w:hanging="738"/>
              <w:jc w:val="left"/>
              <w:rPr>
                <w:sz w:val="22"/>
                <w:szCs w:val="22"/>
              </w:rPr>
            </w:pPr>
            <w:r w:rsidRPr="00576AF8">
              <w:rPr>
                <w:sz w:val="22"/>
                <w:szCs w:val="22"/>
              </w:rPr>
              <w:lastRenderedPageBreak/>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CC9B9E0" w14:textId="77777777" w:rsidR="009102A7" w:rsidRPr="00576AF8" w:rsidRDefault="009102A7" w:rsidP="009F6B78">
            <w:pPr>
              <w:ind w:left="1440" w:right="4" w:hanging="738"/>
              <w:jc w:val="left"/>
              <w:rPr>
                <w:sz w:val="22"/>
                <w:szCs w:val="22"/>
              </w:rPr>
            </w:pPr>
            <w:r w:rsidRPr="00576AF8">
              <w:rPr>
                <w:sz w:val="22"/>
                <w:szCs w:val="22"/>
              </w:rPr>
              <w:t>61968-102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1EC8BD6" w14:textId="77777777" w:rsidR="009102A7" w:rsidRPr="00576AF8" w:rsidRDefault="009102A7" w:rsidP="009F6B78">
            <w:pPr>
              <w:ind w:left="1440" w:right="4" w:hanging="738"/>
              <w:rPr>
                <w:sz w:val="22"/>
                <w:szCs w:val="22"/>
                <w:lang w:val="en-US"/>
              </w:rPr>
            </w:pPr>
            <w:r w:rsidRPr="00576AF8">
              <w:rPr>
                <w:sz w:val="22"/>
                <w:szCs w:val="22"/>
                <w:lang w:val="en-US"/>
              </w:rPr>
              <w:t>Common Information Model for Electrical Power Systems - Part 102: Transaction Information</w:t>
            </w:r>
          </w:p>
        </w:tc>
        <w:tc>
          <w:tcPr>
            <w:tcW w:w="0" w:type="auto"/>
            <w:vAlign w:val="center"/>
            <w:hideMark/>
          </w:tcPr>
          <w:p w14:paraId="0ABD52D5" w14:textId="77777777" w:rsidR="009102A7" w:rsidRPr="00576AF8" w:rsidRDefault="009102A7" w:rsidP="009F6B78">
            <w:pPr>
              <w:ind w:left="1440" w:right="4" w:hanging="738"/>
              <w:jc w:val="left"/>
              <w:rPr>
                <w:sz w:val="22"/>
                <w:szCs w:val="22"/>
                <w:lang w:val="en-US"/>
              </w:rPr>
            </w:pPr>
          </w:p>
        </w:tc>
      </w:tr>
      <w:tr w:rsidR="009102A7" w:rsidRPr="00D12BF9" w14:paraId="3FE8F9E0"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D371D85"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674683C" w14:textId="77777777" w:rsidR="009102A7" w:rsidRPr="00576AF8" w:rsidRDefault="009102A7" w:rsidP="009F6B78">
            <w:pPr>
              <w:ind w:left="1440" w:right="4" w:hanging="738"/>
              <w:jc w:val="left"/>
              <w:rPr>
                <w:sz w:val="22"/>
                <w:szCs w:val="22"/>
              </w:rPr>
            </w:pPr>
            <w:r w:rsidRPr="00576AF8">
              <w:rPr>
                <w:sz w:val="22"/>
                <w:szCs w:val="22"/>
              </w:rPr>
              <w:t>61968-103</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ACF9571" w14:textId="77777777" w:rsidR="009102A7" w:rsidRPr="00576AF8" w:rsidRDefault="009102A7" w:rsidP="009F6B78">
            <w:pPr>
              <w:ind w:left="1440" w:right="4" w:hanging="738"/>
              <w:rPr>
                <w:sz w:val="22"/>
                <w:szCs w:val="22"/>
                <w:lang w:val="en-US"/>
              </w:rPr>
            </w:pPr>
            <w:r w:rsidRPr="00576AF8">
              <w:rPr>
                <w:sz w:val="22"/>
                <w:szCs w:val="22"/>
                <w:lang w:val="en-US"/>
              </w:rPr>
              <w:t>Common Information Model for Electrical Power Systems - Part 103: Control Information</w:t>
            </w:r>
          </w:p>
        </w:tc>
        <w:tc>
          <w:tcPr>
            <w:tcW w:w="0" w:type="auto"/>
            <w:vAlign w:val="center"/>
            <w:hideMark/>
          </w:tcPr>
          <w:p w14:paraId="08A5137B" w14:textId="77777777" w:rsidR="009102A7" w:rsidRPr="00576AF8" w:rsidRDefault="009102A7" w:rsidP="009F6B78">
            <w:pPr>
              <w:ind w:left="1440" w:right="4" w:hanging="738"/>
              <w:jc w:val="left"/>
              <w:rPr>
                <w:sz w:val="22"/>
                <w:szCs w:val="22"/>
                <w:lang w:val="en-US"/>
              </w:rPr>
            </w:pPr>
          </w:p>
        </w:tc>
      </w:tr>
      <w:tr w:rsidR="009102A7" w:rsidRPr="00D12BF9" w14:paraId="1C343B20"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7C6D5F2"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20AA15F" w14:textId="77777777" w:rsidR="009102A7" w:rsidRPr="00576AF8" w:rsidRDefault="009102A7" w:rsidP="009F6B78">
            <w:pPr>
              <w:ind w:left="1440" w:right="4" w:hanging="738"/>
              <w:jc w:val="left"/>
              <w:rPr>
                <w:sz w:val="22"/>
                <w:szCs w:val="22"/>
              </w:rPr>
            </w:pPr>
            <w:r w:rsidRPr="00576AF8">
              <w:rPr>
                <w:sz w:val="22"/>
                <w:szCs w:val="22"/>
              </w:rPr>
              <w:t>61968-104</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CDD8808" w14:textId="77777777" w:rsidR="009102A7" w:rsidRPr="00576AF8" w:rsidRDefault="009102A7" w:rsidP="009F6B78">
            <w:pPr>
              <w:ind w:left="1440" w:right="4" w:hanging="738"/>
              <w:rPr>
                <w:sz w:val="22"/>
                <w:szCs w:val="22"/>
                <w:lang w:val="en-US"/>
              </w:rPr>
            </w:pPr>
            <w:r w:rsidRPr="00576AF8">
              <w:rPr>
                <w:sz w:val="22"/>
                <w:szCs w:val="22"/>
                <w:lang w:val="en-US"/>
              </w:rPr>
              <w:t>Common Information Model for Electrical Power Systems - Part 104: Security Information</w:t>
            </w:r>
          </w:p>
        </w:tc>
        <w:tc>
          <w:tcPr>
            <w:tcW w:w="0" w:type="auto"/>
            <w:vAlign w:val="center"/>
            <w:hideMark/>
          </w:tcPr>
          <w:p w14:paraId="59B8A8E5" w14:textId="77777777" w:rsidR="009102A7" w:rsidRPr="00576AF8" w:rsidRDefault="009102A7" w:rsidP="009F6B78">
            <w:pPr>
              <w:ind w:left="1440" w:right="4" w:hanging="738"/>
              <w:jc w:val="left"/>
              <w:rPr>
                <w:sz w:val="22"/>
                <w:szCs w:val="22"/>
                <w:lang w:val="en-US"/>
              </w:rPr>
            </w:pPr>
          </w:p>
        </w:tc>
      </w:tr>
      <w:tr w:rsidR="009102A7" w:rsidRPr="00D12BF9" w14:paraId="11BD4D62"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ACCFD9D"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52A3259" w14:textId="77777777" w:rsidR="009102A7" w:rsidRPr="00576AF8" w:rsidRDefault="009102A7" w:rsidP="009F6B78">
            <w:pPr>
              <w:ind w:left="1440" w:right="4" w:hanging="738"/>
              <w:jc w:val="left"/>
              <w:rPr>
                <w:sz w:val="22"/>
                <w:szCs w:val="22"/>
              </w:rPr>
            </w:pPr>
            <w:r w:rsidRPr="00576AF8">
              <w:rPr>
                <w:sz w:val="22"/>
                <w:szCs w:val="22"/>
              </w:rPr>
              <w:t>61968-105</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EDA50A7" w14:textId="77777777" w:rsidR="009102A7" w:rsidRPr="00576AF8" w:rsidRDefault="009102A7" w:rsidP="009F6B78">
            <w:pPr>
              <w:ind w:left="1440" w:right="4" w:hanging="738"/>
              <w:rPr>
                <w:sz w:val="22"/>
                <w:szCs w:val="22"/>
                <w:lang w:val="en-US"/>
              </w:rPr>
            </w:pPr>
            <w:r w:rsidRPr="00576AF8">
              <w:rPr>
                <w:sz w:val="22"/>
                <w:szCs w:val="22"/>
                <w:lang w:val="en-US"/>
              </w:rPr>
              <w:t>Common Information Model for Electrical Power Systems - Part 105: Energy Quality Information</w:t>
            </w:r>
          </w:p>
        </w:tc>
        <w:tc>
          <w:tcPr>
            <w:tcW w:w="0" w:type="auto"/>
            <w:vAlign w:val="center"/>
            <w:hideMark/>
          </w:tcPr>
          <w:p w14:paraId="18550C15" w14:textId="77777777" w:rsidR="009102A7" w:rsidRPr="00576AF8" w:rsidRDefault="009102A7" w:rsidP="009F6B78">
            <w:pPr>
              <w:ind w:left="1440" w:right="4" w:hanging="738"/>
              <w:jc w:val="left"/>
              <w:rPr>
                <w:sz w:val="22"/>
                <w:szCs w:val="22"/>
                <w:lang w:val="en-US"/>
              </w:rPr>
            </w:pPr>
          </w:p>
        </w:tc>
      </w:tr>
      <w:tr w:rsidR="009102A7" w:rsidRPr="00D12BF9" w14:paraId="514CA0B0"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64E7495"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ADB32A6" w14:textId="77777777" w:rsidR="009102A7" w:rsidRPr="00576AF8" w:rsidRDefault="009102A7" w:rsidP="009F6B78">
            <w:pPr>
              <w:ind w:left="1440" w:right="4" w:hanging="738"/>
              <w:jc w:val="left"/>
              <w:rPr>
                <w:sz w:val="22"/>
                <w:szCs w:val="22"/>
              </w:rPr>
            </w:pPr>
            <w:r w:rsidRPr="00576AF8">
              <w:rPr>
                <w:sz w:val="22"/>
                <w:szCs w:val="22"/>
              </w:rPr>
              <w:t>61970-301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632DED3" w14:textId="77777777" w:rsidR="009102A7" w:rsidRPr="00576AF8" w:rsidRDefault="009102A7" w:rsidP="009F6B78">
            <w:pPr>
              <w:ind w:left="1440" w:right="4" w:hanging="738"/>
              <w:rPr>
                <w:sz w:val="22"/>
                <w:szCs w:val="22"/>
                <w:lang w:val="en-US"/>
              </w:rPr>
            </w:pPr>
            <w:r w:rsidRPr="00576AF8">
              <w:rPr>
                <w:sz w:val="22"/>
                <w:szCs w:val="22"/>
                <w:lang w:val="en-US"/>
              </w:rPr>
              <w:t>Energy management system application program interface (EMS-API) - Part 301: Common information model (CIM) base</w:t>
            </w:r>
          </w:p>
        </w:tc>
        <w:tc>
          <w:tcPr>
            <w:tcW w:w="0" w:type="auto"/>
            <w:vAlign w:val="center"/>
            <w:hideMark/>
          </w:tcPr>
          <w:p w14:paraId="589B1A4B" w14:textId="77777777" w:rsidR="009102A7" w:rsidRPr="00576AF8" w:rsidRDefault="009102A7" w:rsidP="009F6B78">
            <w:pPr>
              <w:ind w:left="1440" w:right="4" w:hanging="738"/>
              <w:jc w:val="left"/>
              <w:rPr>
                <w:sz w:val="22"/>
                <w:szCs w:val="22"/>
                <w:lang w:val="en-US"/>
              </w:rPr>
            </w:pPr>
          </w:p>
        </w:tc>
      </w:tr>
      <w:tr w:rsidR="009102A7" w:rsidRPr="00D12BF9" w14:paraId="2EAB59E7"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3BD59EE"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22FB8B6" w14:textId="77777777" w:rsidR="009102A7" w:rsidRPr="00576AF8" w:rsidRDefault="009102A7" w:rsidP="009F6B78">
            <w:pPr>
              <w:ind w:left="1440" w:right="4" w:hanging="738"/>
              <w:jc w:val="left"/>
              <w:rPr>
                <w:sz w:val="22"/>
                <w:szCs w:val="22"/>
              </w:rPr>
            </w:pPr>
            <w:r w:rsidRPr="00576AF8">
              <w:rPr>
                <w:sz w:val="22"/>
                <w:szCs w:val="22"/>
              </w:rPr>
              <w:t>61970-302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BCDC8E7" w14:textId="77777777" w:rsidR="009102A7" w:rsidRPr="00576AF8" w:rsidRDefault="009102A7" w:rsidP="009F6B78">
            <w:pPr>
              <w:ind w:left="1440" w:right="4" w:hanging="738"/>
              <w:rPr>
                <w:sz w:val="22"/>
                <w:szCs w:val="22"/>
                <w:lang w:val="en-US"/>
              </w:rPr>
            </w:pPr>
            <w:r w:rsidRPr="00576AF8">
              <w:rPr>
                <w:sz w:val="22"/>
                <w:szCs w:val="22"/>
                <w:lang w:val="en-US"/>
              </w:rPr>
              <w:t>Energy management system application program interface (EMS-API) - Part 302: Specific communication service for basic application functions</w:t>
            </w:r>
          </w:p>
        </w:tc>
        <w:tc>
          <w:tcPr>
            <w:tcW w:w="0" w:type="auto"/>
            <w:vAlign w:val="center"/>
            <w:hideMark/>
          </w:tcPr>
          <w:p w14:paraId="30A114E5" w14:textId="77777777" w:rsidR="009102A7" w:rsidRPr="00576AF8" w:rsidRDefault="009102A7" w:rsidP="009F6B78">
            <w:pPr>
              <w:ind w:left="1440" w:right="4" w:hanging="738"/>
              <w:jc w:val="left"/>
              <w:rPr>
                <w:sz w:val="22"/>
                <w:szCs w:val="22"/>
                <w:lang w:val="en-US"/>
              </w:rPr>
            </w:pPr>
          </w:p>
        </w:tc>
      </w:tr>
      <w:tr w:rsidR="009102A7" w:rsidRPr="00D12BF9" w14:paraId="24AC55D6"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EA4BC0B"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0CEFCFE" w14:textId="77777777" w:rsidR="009102A7" w:rsidRPr="00576AF8" w:rsidRDefault="009102A7" w:rsidP="009F6B78">
            <w:pPr>
              <w:ind w:left="1440" w:right="4" w:hanging="738"/>
              <w:jc w:val="left"/>
              <w:rPr>
                <w:sz w:val="22"/>
                <w:szCs w:val="22"/>
              </w:rPr>
            </w:pPr>
            <w:r w:rsidRPr="00576AF8">
              <w:rPr>
                <w:sz w:val="22"/>
                <w:szCs w:val="22"/>
              </w:rPr>
              <w:t>61970-452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FCC4DA6" w14:textId="77777777" w:rsidR="009102A7" w:rsidRPr="00576AF8" w:rsidRDefault="009102A7" w:rsidP="009F6B78">
            <w:pPr>
              <w:ind w:left="1440" w:right="4" w:hanging="738"/>
              <w:rPr>
                <w:sz w:val="22"/>
                <w:szCs w:val="22"/>
                <w:lang w:val="en-US"/>
              </w:rPr>
            </w:pPr>
            <w:r w:rsidRPr="00576AF8">
              <w:rPr>
                <w:sz w:val="22"/>
                <w:szCs w:val="22"/>
                <w:lang w:val="en-US"/>
              </w:rPr>
              <w:t>Energy management system application program interface (EMS-API) - Part 452: Specific communication service for parameter handling</w:t>
            </w:r>
          </w:p>
        </w:tc>
        <w:tc>
          <w:tcPr>
            <w:tcW w:w="0" w:type="auto"/>
            <w:vAlign w:val="center"/>
            <w:hideMark/>
          </w:tcPr>
          <w:p w14:paraId="0BCBCE0C" w14:textId="77777777" w:rsidR="009102A7" w:rsidRPr="00576AF8" w:rsidRDefault="009102A7" w:rsidP="009F6B78">
            <w:pPr>
              <w:ind w:left="1440" w:right="4" w:hanging="738"/>
              <w:jc w:val="left"/>
              <w:rPr>
                <w:sz w:val="22"/>
                <w:szCs w:val="22"/>
                <w:lang w:val="en-US"/>
              </w:rPr>
            </w:pPr>
          </w:p>
        </w:tc>
      </w:tr>
      <w:tr w:rsidR="009102A7" w:rsidRPr="00D12BF9" w14:paraId="10D70C92"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265C46B"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52CEFE6" w14:textId="77777777" w:rsidR="009102A7" w:rsidRPr="00576AF8" w:rsidRDefault="009102A7" w:rsidP="009F6B78">
            <w:pPr>
              <w:ind w:left="1440" w:right="4" w:hanging="738"/>
              <w:jc w:val="left"/>
              <w:rPr>
                <w:sz w:val="22"/>
                <w:szCs w:val="22"/>
              </w:rPr>
            </w:pPr>
            <w:r w:rsidRPr="00576AF8">
              <w:rPr>
                <w:sz w:val="22"/>
                <w:szCs w:val="22"/>
              </w:rPr>
              <w:t>61970-453</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7FC18C7" w14:textId="77777777" w:rsidR="009102A7" w:rsidRPr="00576AF8" w:rsidRDefault="009102A7" w:rsidP="009F6B78">
            <w:pPr>
              <w:ind w:left="1440" w:right="4" w:hanging="738"/>
              <w:rPr>
                <w:sz w:val="22"/>
                <w:szCs w:val="22"/>
                <w:lang w:val="en-US"/>
              </w:rPr>
            </w:pPr>
            <w:r w:rsidRPr="00576AF8">
              <w:rPr>
                <w:sz w:val="22"/>
                <w:szCs w:val="22"/>
                <w:lang w:val="en-US"/>
              </w:rPr>
              <w:t>Energy management system application program interface (EMS-API) - Part 453: Specific communication service for event handling</w:t>
            </w:r>
          </w:p>
        </w:tc>
        <w:tc>
          <w:tcPr>
            <w:tcW w:w="0" w:type="auto"/>
            <w:vAlign w:val="center"/>
            <w:hideMark/>
          </w:tcPr>
          <w:p w14:paraId="1D4F936A" w14:textId="77777777" w:rsidR="009102A7" w:rsidRPr="00576AF8" w:rsidRDefault="009102A7" w:rsidP="009F6B78">
            <w:pPr>
              <w:ind w:left="1440" w:right="4" w:hanging="738"/>
              <w:jc w:val="left"/>
              <w:rPr>
                <w:sz w:val="22"/>
                <w:szCs w:val="22"/>
                <w:lang w:val="en-US"/>
              </w:rPr>
            </w:pPr>
          </w:p>
        </w:tc>
      </w:tr>
      <w:tr w:rsidR="009102A7" w:rsidRPr="00D12BF9" w14:paraId="188B96D8"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50A0652"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CA143FF" w14:textId="77777777" w:rsidR="009102A7" w:rsidRPr="00576AF8" w:rsidRDefault="009102A7" w:rsidP="009F6B78">
            <w:pPr>
              <w:ind w:left="1440" w:right="4" w:hanging="738"/>
              <w:jc w:val="left"/>
              <w:rPr>
                <w:sz w:val="22"/>
                <w:szCs w:val="22"/>
              </w:rPr>
            </w:pPr>
            <w:r w:rsidRPr="00576AF8">
              <w:rPr>
                <w:sz w:val="22"/>
                <w:szCs w:val="22"/>
              </w:rPr>
              <w:t>61970-457</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1BA36B3" w14:textId="77777777" w:rsidR="009102A7" w:rsidRPr="00576AF8" w:rsidRDefault="009102A7" w:rsidP="009F6B78">
            <w:pPr>
              <w:ind w:left="1440" w:right="4" w:hanging="738"/>
              <w:rPr>
                <w:sz w:val="22"/>
                <w:szCs w:val="22"/>
                <w:lang w:val="en-US"/>
              </w:rPr>
            </w:pPr>
            <w:r w:rsidRPr="00576AF8">
              <w:rPr>
                <w:sz w:val="22"/>
                <w:szCs w:val="22"/>
                <w:lang w:val="en-US"/>
              </w:rPr>
              <w:t>IEC 61970-457: Energy management system application program interface (EMS-API) - Part 457: Specific communication service for file transfer</w:t>
            </w:r>
          </w:p>
        </w:tc>
        <w:tc>
          <w:tcPr>
            <w:tcW w:w="0" w:type="auto"/>
            <w:vAlign w:val="center"/>
            <w:hideMark/>
          </w:tcPr>
          <w:p w14:paraId="7FD1392E" w14:textId="77777777" w:rsidR="009102A7" w:rsidRPr="00576AF8" w:rsidRDefault="009102A7" w:rsidP="009F6B78">
            <w:pPr>
              <w:ind w:left="1440" w:right="4" w:hanging="738"/>
              <w:jc w:val="left"/>
              <w:rPr>
                <w:sz w:val="22"/>
                <w:szCs w:val="22"/>
                <w:lang w:val="en-US"/>
              </w:rPr>
            </w:pPr>
          </w:p>
        </w:tc>
      </w:tr>
      <w:tr w:rsidR="009102A7" w:rsidRPr="00D12BF9" w14:paraId="178E4237"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E269D22"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A66F1D3" w14:textId="77777777" w:rsidR="009102A7" w:rsidRPr="00576AF8" w:rsidRDefault="009102A7" w:rsidP="009F6B78">
            <w:pPr>
              <w:ind w:left="1440" w:right="4" w:hanging="738"/>
              <w:jc w:val="left"/>
              <w:rPr>
                <w:sz w:val="22"/>
                <w:szCs w:val="22"/>
              </w:rPr>
            </w:pPr>
            <w:r w:rsidRPr="00576AF8">
              <w:rPr>
                <w:sz w:val="22"/>
                <w:szCs w:val="22"/>
              </w:rPr>
              <w:t>61970-552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A5808A4" w14:textId="77777777" w:rsidR="009102A7" w:rsidRPr="00576AF8" w:rsidRDefault="009102A7" w:rsidP="009F6B78">
            <w:pPr>
              <w:ind w:left="1440" w:right="4" w:hanging="738"/>
              <w:rPr>
                <w:sz w:val="22"/>
                <w:szCs w:val="22"/>
                <w:lang w:val="en-US"/>
              </w:rPr>
            </w:pPr>
            <w:r w:rsidRPr="00576AF8">
              <w:rPr>
                <w:sz w:val="22"/>
                <w:szCs w:val="22"/>
                <w:lang w:val="en-US"/>
              </w:rPr>
              <w:t>IEC 61970-552: Energy management system application program interface (EMS-API) - Part 552: Specific communication service for configuration management</w:t>
            </w:r>
          </w:p>
        </w:tc>
        <w:tc>
          <w:tcPr>
            <w:tcW w:w="0" w:type="auto"/>
            <w:vAlign w:val="center"/>
            <w:hideMark/>
          </w:tcPr>
          <w:p w14:paraId="6E503F03" w14:textId="77777777" w:rsidR="009102A7" w:rsidRPr="00576AF8" w:rsidRDefault="009102A7" w:rsidP="009F6B78">
            <w:pPr>
              <w:ind w:left="1440" w:right="4" w:hanging="738"/>
              <w:jc w:val="left"/>
              <w:rPr>
                <w:sz w:val="22"/>
                <w:szCs w:val="22"/>
                <w:lang w:val="en-US"/>
              </w:rPr>
            </w:pPr>
          </w:p>
        </w:tc>
      </w:tr>
      <w:tr w:rsidR="009102A7" w:rsidRPr="00D12BF9" w14:paraId="210DB8E2"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78EEFA7"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18CB1EF" w14:textId="77777777" w:rsidR="009102A7" w:rsidRPr="00576AF8" w:rsidRDefault="009102A7" w:rsidP="009F6B78">
            <w:pPr>
              <w:ind w:left="1440" w:right="4" w:hanging="738"/>
              <w:jc w:val="left"/>
              <w:rPr>
                <w:sz w:val="22"/>
                <w:szCs w:val="22"/>
              </w:rPr>
            </w:pPr>
            <w:r w:rsidRPr="00576AF8">
              <w:rPr>
                <w:sz w:val="22"/>
                <w:szCs w:val="22"/>
              </w:rPr>
              <w:t>62351-3</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D92F69E" w14:textId="77777777" w:rsidR="009102A7" w:rsidRPr="00576AF8" w:rsidRDefault="009102A7" w:rsidP="009F6B78">
            <w:pPr>
              <w:ind w:left="1440" w:right="4" w:hanging="738"/>
              <w:rPr>
                <w:sz w:val="22"/>
                <w:szCs w:val="22"/>
                <w:lang w:val="en-US"/>
              </w:rPr>
            </w:pPr>
            <w:r w:rsidRPr="00576AF8">
              <w:rPr>
                <w:sz w:val="22"/>
                <w:szCs w:val="22"/>
                <w:lang w:val="en-US"/>
              </w:rPr>
              <w:t>TLS protocol and designs the related security profiles</w:t>
            </w:r>
          </w:p>
        </w:tc>
        <w:tc>
          <w:tcPr>
            <w:tcW w:w="0" w:type="auto"/>
            <w:vAlign w:val="center"/>
            <w:hideMark/>
          </w:tcPr>
          <w:p w14:paraId="2A0BC83E" w14:textId="77777777" w:rsidR="009102A7" w:rsidRPr="00576AF8" w:rsidRDefault="009102A7" w:rsidP="009F6B78">
            <w:pPr>
              <w:ind w:left="1440" w:right="4" w:hanging="738"/>
              <w:jc w:val="left"/>
              <w:rPr>
                <w:sz w:val="22"/>
                <w:szCs w:val="22"/>
                <w:lang w:val="en-US"/>
              </w:rPr>
            </w:pPr>
          </w:p>
        </w:tc>
      </w:tr>
      <w:tr w:rsidR="009102A7" w:rsidRPr="00576AF8" w14:paraId="15907F6E"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67A7F15"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46A1F52" w14:textId="77777777" w:rsidR="009102A7" w:rsidRPr="00576AF8" w:rsidRDefault="009102A7" w:rsidP="009F6B78">
            <w:pPr>
              <w:ind w:left="1440" w:right="4" w:hanging="738"/>
              <w:jc w:val="left"/>
              <w:rPr>
                <w:sz w:val="22"/>
                <w:szCs w:val="22"/>
              </w:rPr>
            </w:pPr>
            <w:r w:rsidRPr="00576AF8">
              <w:rPr>
                <w:sz w:val="22"/>
                <w:szCs w:val="22"/>
              </w:rPr>
              <w:t>62443-1-1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6406CB3" w14:textId="77777777" w:rsidR="009102A7" w:rsidRPr="00576AF8" w:rsidRDefault="009102A7" w:rsidP="009F6B78">
            <w:pPr>
              <w:ind w:left="1440" w:right="4" w:hanging="738"/>
              <w:rPr>
                <w:sz w:val="22"/>
                <w:szCs w:val="22"/>
              </w:rPr>
            </w:pPr>
            <w:r w:rsidRPr="00576AF8">
              <w:rPr>
                <w:sz w:val="22"/>
                <w:szCs w:val="22"/>
              </w:rPr>
              <w:t>Terminology, Concepts and Models</w:t>
            </w:r>
          </w:p>
        </w:tc>
        <w:tc>
          <w:tcPr>
            <w:tcW w:w="0" w:type="auto"/>
            <w:vAlign w:val="center"/>
            <w:hideMark/>
          </w:tcPr>
          <w:p w14:paraId="6096D5AF" w14:textId="77777777" w:rsidR="009102A7" w:rsidRPr="00576AF8" w:rsidRDefault="009102A7" w:rsidP="009F6B78">
            <w:pPr>
              <w:ind w:left="1440" w:right="4" w:hanging="738"/>
              <w:jc w:val="left"/>
              <w:rPr>
                <w:sz w:val="22"/>
                <w:szCs w:val="22"/>
              </w:rPr>
            </w:pPr>
          </w:p>
        </w:tc>
      </w:tr>
      <w:tr w:rsidR="009102A7" w:rsidRPr="00D12BF9" w14:paraId="0659FE8A"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375652B" w14:textId="77777777" w:rsidR="009102A7" w:rsidRPr="00576AF8" w:rsidRDefault="009102A7" w:rsidP="009F6B78">
            <w:pPr>
              <w:ind w:left="1440" w:right="4" w:hanging="738"/>
              <w:jc w:val="left"/>
              <w:rPr>
                <w:sz w:val="22"/>
                <w:szCs w:val="22"/>
              </w:rPr>
            </w:pPr>
            <w:r w:rsidRPr="00576AF8">
              <w:rPr>
                <w:sz w:val="22"/>
                <w:szCs w:val="22"/>
              </w:rPr>
              <w:lastRenderedPageBreak/>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9B70408" w14:textId="77777777" w:rsidR="009102A7" w:rsidRPr="00576AF8" w:rsidRDefault="009102A7" w:rsidP="009F6B78">
            <w:pPr>
              <w:ind w:left="1440" w:right="4" w:hanging="738"/>
              <w:jc w:val="left"/>
              <w:rPr>
                <w:sz w:val="22"/>
                <w:szCs w:val="22"/>
              </w:rPr>
            </w:pPr>
            <w:r w:rsidRPr="00576AF8">
              <w:rPr>
                <w:sz w:val="22"/>
                <w:szCs w:val="22"/>
              </w:rPr>
              <w:t>62443-3-3</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D225F7A" w14:textId="77777777" w:rsidR="009102A7" w:rsidRPr="00576AF8" w:rsidRDefault="009102A7" w:rsidP="009F6B78">
            <w:pPr>
              <w:ind w:left="1440" w:right="4" w:hanging="738"/>
              <w:rPr>
                <w:sz w:val="22"/>
                <w:szCs w:val="22"/>
                <w:lang w:val="en-US"/>
              </w:rPr>
            </w:pPr>
            <w:r w:rsidRPr="00576AF8">
              <w:rPr>
                <w:sz w:val="22"/>
                <w:szCs w:val="22"/>
                <w:lang w:val="en-US"/>
              </w:rPr>
              <w:t>System security requirements and security levels</w:t>
            </w:r>
          </w:p>
        </w:tc>
        <w:tc>
          <w:tcPr>
            <w:tcW w:w="0" w:type="auto"/>
            <w:vAlign w:val="center"/>
            <w:hideMark/>
          </w:tcPr>
          <w:p w14:paraId="5AB5AA7A" w14:textId="77777777" w:rsidR="009102A7" w:rsidRPr="00576AF8" w:rsidRDefault="009102A7" w:rsidP="009F6B78">
            <w:pPr>
              <w:ind w:left="1440" w:right="4" w:hanging="738"/>
              <w:jc w:val="left"/>
              <w:rPr>
                <w:sz w:val="22"/>
                <w:szCs w:val="22"/>
                <w:lang w:val="en-US"/>
              </w:rPr>
            </w:pPr>
          </w:p>
        </w:tc>
      </w:tr>
      <w:tr w:rsidR="009102A7" w:rsidRPr="00D12BF9" w14:paraId="4B9C4A07"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5869D0B" w14:textId="77777777" w:rsidR="009102A7" w:rsidRPr="00576AF8" w:rsidRDefault="009102A7" w:rsidP="009F6B78">
            <w:pPr>
              <w:ind w:left="1440" w:right="4" w:hanging="738"/>
              <w:jc w:val="left"/>
              <w:rPr>
                <w:sz w:val="22"/>
                <w:szCs w:val="22"/>
              </w:rPr>
            </w:pPr>
            <w:r w:rsidRPr="00576AF8">
              <w:rPr>
                <w:sz w:val="22"/>
                <w:szCs w:val="22"/>
              </w:rPr>
              <w:t>IEC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8438F94" w14:textId="77777777" w:rsidR="009102A7" w:rsidRPr="00576AF8" w:rsidRDefault="009102A7" w:rsidP="009F6B78">
            <w:pPr>
              <w:ind w:left="1440" w:right="4" w:hanging="738"/>
              <w:jc w:val="left"/>
              <w:rPr>
                <w:sz w:val="22"/>
                <w:szCs w:val="22"/>
              </w:rPr>
            </w:pPr>
            <w:r w:rsidRPr="00576AF8">
              <w:rPr>
                <w:sz w:val="22"/>
                <w:szCs w:val="22"/>
              </w:rPr>
              <w:t>62443-4-1 </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2E7FFC7" w14:textId="77777777" w:rsidR="009102A7" w:rsidRPr="00576AF8" w:rsidRDefault="009102A7" w:rsidP="009F6B78">
            <w:pPr>
              <w:ind w:left="1440" w:right="4" w:hanging="738"/>
              <w:rPr>
                <w:sz w:val="22"/>
                <w:szCs w:val="22"/>
                <w:lang w:val="en-US"/>
              </w:rPr>
            </w:pPr>
            <w:r w:rsidRPr="00576AF8">
              <w:rPr>
                <w:sz w:val="22"/>
                <w:szCs w:val="22"/>
                <w:lang w:val="en-US"/>
              </w:rPr>
              <w:t>Product security development life-cycle Requirements</w:t>
            </w:r>
          </w:p>
        </w:tc>
        <w:tc>
          <w:tcPr>
            <w:tcW w:w="0" w:type="auto"/>
            <w:vAlign w:val="center"/>
            <w:hideMark/>
          </w:tcPr>
          <w:p w14:paraId="094C3510" w14:textId="77777777" w:rsidR="009102A7" w:rsidRPr="00576AF8" w:rsidRDefault="009102A7" w:rsidP="009F6B78">
            <w:pPr>
              <w:ind w:left="1440" w:right="4" w:hanging="738"/>
              <w:jc w:val="left"/>
              <w:rPr>
                <w:sz w:val="22"/>
                <w:szCs w:val="22"/>
                <w:lang w:val="en-US"/>
              </w:rPr>
            </w:pPr>
          </w:p>
        </w:tc>
      </w:tr>
      <w:tr w:rsidR="009102A7" w:rsidRPr="00D12BF9" w14:paraId="790A0CAF"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5D0D69E"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7C650B3" w14:textId="77777777" w:rsidR="009102A7" w:rsidRPr="00576AF8" w:rsidRDefault="009102A7" w:rsidP="009F6B78">
            <w:pPr>
              <w:ind w:left="1440" w:right="4" w:hanging="738"/>
              <w:jc w:val="left"/>
              <w:rPr>
                <w:sz w:val="22"/>
                <w:szCs w:val="22"/>
              </w:rPr>
            </w:pPr>
            <w:r w:rsidRPr="00576AF8">
              <w:rPr>
                <w:sz w:val="22"/>
                <w:szCs w:val="22"/>
              </w:rPr>
              <w:t>6592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E12D30C" w14:textId="77777777" w:rsidR="009102A7" w:rsidRPr="00576AF8" w:rsidRDefault="009102A7" w:rsidP="009F6B78">
            <w:pPr>
              <w:ind w:left="1440" w:right="4" w:hanging="738"/>
              <w:rPr>
                <w:sz w:val="22"/>
                <w:szCs w:val="22"/>
                <w:lang w:val="en-US"/>
              </w:rPr>
            </w:pPr>
            <w:r w:rsidRPr="00576AF8">
              <w:rPr>
                <w:sz w:val="22"/>
                <w:szCs w:val="22"/>
                <w:lang w:val="en-US"/>
              </w:rPr>
              <w:t>Guidelines for the documentation of computer-based application systems</w:t>
            </w:r>
          </w:p>
        </w:tc>
        <w:tc>
          <w:tcPr>
            <w:tcW w:w="0" w:type="auto"/>
            <w:vAlign w:val="center"/>
            <w:hideMark/>
          </w:tcPr>
          <w:p w14:paraId="03373C1E" w14:textId="77777777" w:rsidR="009102A7" w:rsidRPr="00576AF8" w:rsidRDefault="009102A7" w:rsidP="009F6B78">
            <w:pPr>
              <w:ind w:left="1440" w:right="4" w:hanging="738"/>
              <w:jc w:val="left"/>
              <w:rPr>
                <w:sz w:val="22"/>
                <w:szCs w:val="22"/>
                <w:lang w:val="en-US"/>
              </w:rPr>
            </w:pPr>
          </w:p>
        </w:tc>
      </w:tr>
      <w:tr w:rsidR="009102A7" w:rsidRPr="00576AF8" w14:paraId="007B0D43"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19581DA"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FA33E5F" w14:textId="77777777" w:rsidR="009102A7" w:rsidRPr="00576AF8" w:rsidRDefault="009102A7" w:rsidP="009F6B78">
            <w:pPr>
              <w:ind w:left="1440" w:right="4" w:hanging="738"/>
              <w:jc w:val="left"/>
              <w:rPr>
                <w:sz w:val="22"/>
                <w:szCs w:val="22"/>
              </w:rPr>
            </w:pPr>
            <w:r w:rsidRPr="00576AF8">
              <w:rPr>
                <w:sz w:val="22"/>
                <w:szCs w:val="22"/>
              </w:rPr>
              <w:t>9001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49C8281" w14:textId="77777777" w:rsidR="009102A7" w:rsidRPr="00576AF8" w:rsidRDefault="009102A7" w:rsidP="009F6B78">
            <w:pPr>
              <w:ind w:left="1440" w:right="4" w:hanging="738"/>
              <w:rPr>
                <w:sz w:val="22"/>
                <w:szCs w:val="22"/>
              </w:rPr>
            </w:pPr>
            <w:r w:rsidRPr="00576AF8">
              <w:rPr>
                <w:sz w:val="22"/>
                <w:szCs w:val="22"/>
              </w:rPr>
              <w:t>Quality Management Systems</w:t>
            </w:r>
          </w:p>
        </w:tc>
        <w:tc>
          <w:tcPr>
            <w:tcW w:w="0" w:type="auto"/>
            <w:vAlign w:val="center"/>
            <w:hideMark/>
          </w:tcPr>
          <w:p w14:paraId="234746FD" w14:textId="77777777" w:rsidR="009102A7" w:rsidRPr="00576AF8" w:rsidRDefault="009102A7" w:rsidP="009F6B78">
            <w:pPr>
              <w:ind w:left="1440" w:right="4" w:hanging="738"/>
              <w:jc w:val="left"/>
              <w:rPr>
                <w:sz w:val="22"/>
                <w:szCs w:val="22"/>
              </w:rPr>
            </w:pPr>
          </w:p>
        </w:tc>
      </w:tr>
      <w:tr w:rsidR="009102A7" w:rsidRPr="00576AF8" w14:paraId="3D22AA78"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BB88368"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095EBDF" w14:textId="77777777" w:rsidR="009102A7" w:rsidRPr="00576AF8" w:rsidRDefault="009102A7" w:rsidP="009F6B78">
            <w:pPr>
              <w:ind w:left="1440" w:right="4" w:hanging="738"/>
              <w:jc w:val="left"/>
              <w:rPr>
                <w:sz w:val="22"/>
                <w:szCs w:val="22"/>
              </w:rPr>
            </w:pPr>
            <w:r w:rsidRPr="00576AF8">
              <w:rPr>
                <w:sz w:val="22"/>
                <w:szCs w:val="22"/>
              </w:rPr>
              <w:t>I26514</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286AD1B" w14:textId="77777777" w:rsidR="009102A7" w:rsidRPr="00576AF8" w:rsidRDefault="009102A7" w:rsidP="009F6B78">
            <w:pPr>
              <w:ind w:left="1440" w:right="4" w:hanging="738"/>
              <w:rPr>
                <w:sz w:val="22"/>
                <w:szCs w:val="22"/>
              </w:rPr>
            </w:pPr>
            <w:r w:rsidRPr="00576AF8">
              <w:rPr>
                <w:sz w:val="22"/>
                <w:szCs w:val="22"/>
              </w:rPr>
              <w:t>Systems and Software Engineering </w:t>
            </w:r>
          </w:p>
        </w:tc>
        <w:tc>
          <w:tcPr>
            <w:tcW w:w="0" w:type="auto"/>
            <w:vAlign w:val="center"/>
            <w:hideMark/>
          </w:tcPr>
          <w:p w14:paraId="13ABB3F0" w14:textId="77777777" w:rsidR="009102A7" w:rsidRPr="00576AF8" w:rsidRDefault="009102A7" w:rsidP="009F6B78">
            <w:pPr>
              <w:ind w:left="1440" w:right="4" w:hanging="738"/>
              <w:jc w:val="left"/>
              <w:rPr>
                <w:sz w:val="22"/>
                <w:szCs w:val="22"/>
              </w:rPr>
            </w:pPr>
          </w:p>
        </w:tc>
      </w:tr>
      <w:tr w:rsidR="009102A7" w:rsidRPr="00576AF8" w14:paraId="246F7A22"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5F2A4D8"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8AAD7D8" w14:textId="77777777" w:rsidR="009102A7" w:rsidRPr="00576AF8" w:rsidRDefault="009102A7" w:rsidP="009F6B78">
            <w:pPr>
              <w:ind w:left="1440" w:right="4" w:hanging="738"/>
              <w:jc w:val="left"/>
              <w:rPr>
                <w:sz w:val="22"/>
                <w:szCs w:val="22"/>
              </w:rPr>
            </w:pPr>
            <w:r w:rsidRPr="00576AF8">
              <w:rPr>
                <w:sz w:val="22"/>
                <w:szCs w:val="22"/>
              </w:rPr>
              <w:t>27001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D277088" w14:textId="77777777" w:rsidR="009102A7" w:rsidRPr="00576AF8" w:rsidRDefault="009102A7" w:rsidP="009F6B78">
            <w:pPr>
              <w:ind w:left="1440" w:right="4" w:hanging="738"/>
              <w:rPr>
                <w:sz w:val="22"/>
                <w:szCs w:val="22"/>
              </w:rPr>
            </w:pPr>
            <w:r w:rsidRPr="00576AF8">
              <w:rPr>
                <w:sz w:val="22"/>
                <w:szCs w:val="22"/>
              </w:rPr>
              <w:t>Information Security Management</w:t>
            </w:r>
          </w:p>
        </w:tc>
        <w:tc>
          <w:tcPr>
            <w:tcW w:w="0" w:type="auto"/>
            <w:vAlign w:val="center"/>
            <w:hideMark/>
          </w:tcPr>
          <w:p w14:paraId="7D14DD01" w14:textId="77777777" w:rsidR="009102A7" w:rsidRPr="00576AF8" w:rsidRDefault="009102A7" w:rsidP="009F6B78">
            <w:pPr>
              <w:ind w:left="1440" w:right="4" w:hanging="738"/>
              <w:jc w:val="left"/>
              <w:rPr>
                <w:sz w:val="22"/>
                <w:szCs w:val="22"/>
              </w:rPr>
            </w:pPr>
          </w:p>
        </w:tc>
      </w:tr>
      <w:tr w:rsidR="009102A7" w:rsidRPr="00576AF8" w14:paraId="7455940C"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3AD2D1C"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5A8854F" w14:textId="77777777" w:rsidR="009102A7" w:rsidRPr="00576AF8" w:rsidRDefault="009102A7" w:rsidP="009F6B78">
            <w:pPr>
              <w:ind w:left="1440" w:right="4" w:hanging="738"/>
              <w:jc w:val="left"/>
              <w:rPr>
                <w:sz w:val="22"/>
                <w:szCs w:val="22"/>
              </w:rPr>
            </w:pPr>
            <w:r w:rsidRPr="00576AF8">
              <w:rPr>
                <w:sz w:val="22"/>
                <w:szCs w:val="22"/>
              </w:rPr>
              <w:t>27002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D0EDE06" w14:textId="77777777" w:rsidR="009102A7" w:rsidRPr="00576AF8" w:rsidRDefault="009102A7" w:rsidP="009F6B78">
            <w:pPr>
              <w:ind w:left="1440" w:right="4" w:hanging="738"/>
              <w:rPr>
                <w:sz w:val="22"/>
                <w:szCs w:val="22"/>
              </w:rPr>
            </w:pPr>
            <w:r w:rsidRPr="00576AF8">
              <w:rPr>
                <w:sz w:val="22"/>
                <w:szCs w:val="22"/>
              </w:rPr>
              <w:t>Information Security Standard</w:t>
            </w:r>
          </w:p>
        </w:tc>
        <w:tc>
          <w:tcPr>
            <w:tcW w:w="0" w:type="auto"/>
            <w:vAlign w:val="center"/>
            <w:hideMark/>
          </w:tcPr>
          <w:p w14:paraId="2E685A1B" w14:textId="77777777" w:rsidR="009102A7" w:rsidRPr="00576AF8" w:rsidRDefault="009102A7" w:rsidP="009F6B78">
            <w:pPr>
              <w:ind w:left="1440" w:right="4" w:hanging="738"/>
              <w:jc w:val="left"/>
              <w:rPr>
                <w:sz w:val="22"/>
                <w:szCs w:val="22"/>
              </w:rPr>
            </w:pPr>
          </w:p>
        </w:tc>
      </w:tr>
      <w:tr w:rsidR="009102A7" w:rsidRPr="00D12BF9" w14:paraId="18375695"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21D9330"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3A4519C" w14:textId="77777777" w:rsidR="009102A7" w:rsidRPr="00576AF8" w:rsidRDefault="009102A7" w:rsidP="009F6B78">
            <w:pPr>
              <w:ind w:left="1440" w:right="4" w:hanging="738"/>
              <w:jc w:val="left"/>
              <w:rPr>
                <w:sz w:val="22"/>
                <w:szCs w:val="22"/>
              </w:rPr>
            </w:pPr>
            <w:r w:rsidRPr="00576AF8">
              <w:rPr>
                <w:sz w:val="22"/>
                <w:szCs w:val="22"/>
              </w:rPr>
              <w:t>24764</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1DB97DA" w14:textId="77777777" w:rsidR="009102A7" w:rsidRPr="00576AF8" w:rsidRDefault="009102A7" w:rsidP="009F6B78">
            <w:pPr>
              <w:ind w:left="1440" w:right="4" w:hanging="738"/>
              <w:rPr>
                <w:sz w:val="22"/>
                <w:szCs w:val="22"/>
                <w:lang w:val="en-US"/>
              </w:rPr>
            </w:pPr>
            <w:r w:rsidRPr="00576AF8">
              <w:rPr>
                <w:sz w:val="22"/>
                <w:szCs w:val="22"/>
                <w:lang w:val="en-US"/>
              </w:rPr>
              <w:t>Data Centre (revised by ISO / IEC 11801)</w:t>
            </w:r>
          </w:p>
        </w:tc>
        <w:tc>
          <w:tcPr>
            <w:tcW w:w="0" w:type="auto"/>
            <w:vAlign w:val="center"/>
            <w:hideMark/>
          </w:tcPr>
          <w:p w14:paraId="005D594C" w14:textId="77777777" w:rsidR="009102A7" w:rsidRPr="00576AF8" w:rsidRDefault="009102A7" w:rsidP="009F6B78">
            <w:pPr>
              <w:ind w:left="1440" w:right="4" w:hanging="738"/>
              <w:jc w:val="left"/>
              <w:rPr>
                <w:sz w:val="22"/>
                <w:szCs w:val="22"/>
                <w:lang w:val="en-US"/>
              </w:rPr>
            </w:pPr>
          </w:p>
        </w:tc>
      </w:tr>
      <w:tr w:rsidR="009102A7" w:rsidRPr="00D12BF9" w14:paraId="5254D893"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E015EC9" w14:textId="77777777" w:rsidR="009102A7" w:rsidRPr="00576AF8" w:rsidRDefault="009102A7" w:rsidP="009F6B78">
            <w:pPr>
              <w:ind w:left="1440" w:right="4" w:hanging="738"/>
              <w:jc w:val="left"/>
              <w:rPr>
                <w:sz w:val="22"/>
                <w:szCs w:val="22"/>
              </w:rPr>
            </w:pPr>
            <w:r w:rsidRPr="00576AF8">
              <w:rPr>
                <w:sz w:val="22"/>
                <w:szCs w:val="22"/>
              </w:rPr>
              <w:t>ISO</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59DFFE5" w14:textId="77777777" w:rsidR="009102A7" w:rsidRPr="00576AF8" w:rsidRDefault="009102A7" w:rsidP="009F6B78">
            <w:pPr>
              <w:ind w:left="1440" w:right="4" w:hanging="738"/>
              <w:jc w:val="left"/>
              <w:rPr>
                <w:sz w:val="22"/>
                <w:szCs w:val="22"/>
              </w:rPr>
            </w:pPr>
            <w:r w:rsidRPr="00576AF8">
              <w:rPr>
                <w:sz w:val="22"/>
                <w:szCs w:val="22"/>
              </w:rPr>
              <w:t>26514</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96ECD0F" w14:textId="77777777" w:rsidR="009102A7" w:rsidRPr="00576AF8" w:rsidRDefault="009102A7" w:rsidP="009F6B78">
            <w:pPr>
              <w:ind w:left="1440" w:right="4" w:hanging="738"/>
              <w:rPr>
                <w:sz w:val="22"/>
                <w:szCs w:val="22"/>
                <w:lang w:val="en-US"/>
              </w:rPr>
            </w:pPr>
            <w:r w:rsidRPr="00576AF8">
              <w:rPr>
                <w:sz w:val="22"/>
                <w:szCs w:val="22"/>
                <w:lang w:val="en-US"/>
              </w:rPr>
              <w:t>Requirements for the design and development of information for users of software</w:t>
            </w:r>
          </w:p>
        </w:tc>
        <w:tc>
          <w:tcPr>
            <w:tcW w:w="0" w:type="auto"/>
            <w:vAlign w:val="center"/>
            <w:hideMark/>
          </w:tcPr>
          <w:p w14:paraId="7ABD7C42" w14:textId="77777777" w:rsidR="009102A7" w:rsidRPr="00576AF8" w:rsidRDefault="009102A7" w:rsidP="009F6B78">
            <w:pPr>
              <w:ind w:left="1440" w:right="4" w:hanging="738"/>
              <w:jc w:val="left"/>
              <w:rPr>
                <w:sz w:val="22"/>
                <w:szCs w:val="22"/>
                <w:lang w:val="en-US"/>
              </w:rPr>
            </w:pPr>
          </w:p>
        </w:tc>
      </w:tr>
      <w:tr w:rsidR="009102A7" w:rsidRPr="00D12BF9" w14:paraId="4DCFC410"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C056F1F" w14:textId="77777777" w:rsidR="009102A7" w:rsidRPr="00576AF8" w:rsidRDefault="009102A7" w:rsidP="009F6B78">
            <w:pPr>
              <w:ind w:left="1440" w:right="4" w:hanging="738"/>
              <w:jc w:val="left"/>
              <w:rPr>
                <w:sz w:val="22"/>
                <w:szCs w:val="22"/>
              </w:rPr>
            </w:pPr>
            <w:r w:rsidRPr="00576AF8">
              <w:rPr>
                <w:sz w:val="22"/>
                <w:szCs w:val="22"/>
              </w:rPr>
              <w:t>IEEE</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784CB6F" w14:textId="77777777" w:rsidR="009102A7" w:rsidRPr="00576AF8" w:rsidRDefault="009102A7" w:rsidP="009F6B78">
            <w:pPr>
              <w:ind w:left="1440" w:right="4" w:hanging="738"/>
              <w:jc w:val="left"/>
              <w:rPr>
                <w:sz w:val="22"/>
                <w:szCs w:val="22"/>
              </w:rPr>
            </w:pPr>
            <w:r w:rsidRPr="00576AF8">
              <w:rPr>
                <w:sz w:val="22"/>
                <w:szCs w:val="22"/>
              </w:rPr>
              <w:t>802.1q, d, p&amp;s</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C7D2CA0" w14:textId="77777777" w:rsidR="009102A7" w:rsidRPr="00576AF8" w:rsidRDefault="009102A7" w:rsidP="009F6B78">
            <w:pPr>
              <w:ind w:left="1440" w:right="4" w:hanging="738"/>
              <w:rPr>
                <w:sz w:val="22"/>
                <w:szCs w:val="22"/>
                <w:lang w:val="en-US"/>
              </w:rPr>
            </w:pPr>
            <w:r w:rsidRPr="00576AF8">
              <w:rPr>
                <w:sz w:val="22"/>
                <w:szCs w:val="22"/>
                <w:lang w:val="en-US"/>
              </w:rPr>
              <w:t>Support for LANS &amp; VLANS, Transmission of time critical information, Traffic class expediting and multicast filtering</w:t>
            </w:r>
          </w:p>
        </w:tc>
        <w:tc>
          <w:tcPr>
            <w:tcW w:w="0" w:type="auto"/>
            <w:vAlign w:val="center"/>
            <w:hideMark/>
          </w:tcPr>
          <w:p w14:paraId="4925E505" w14:textId="77777777" w:rsidR="009102A7" w:rsidRPr="00576AF8" w:rsidRDefault="009102A7" w:rsidP="009F6B78">
            <w:pPr>
              <w:ind w:left="1440" w:right="4" w:hanging="738"/>
              <w:jc w:val="left"/>
              <w:rPr>
                <w:sz w:val="22"/>
                <w:szCs w:val="22"/>
                <w:lang w:val="en-US"/>
              </w:rPr>
            </w:pPr>
          </w:p>
        </w:tc>
      </w:tr>
      <w:tr w:rsidR="009102A7" w:rsidRPr="00D12BF9" w14:paraId="0296F2D9"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6A16C16" w14:textId="77777777" w:rsidR="009102A7" w:rsidRPr="00576AF8" w:rsidRDefault="009102A7" w:rsidP="009F6B78">
            <w:pPr>
              <w:ind w:left="1440" w:right="4" w:hanging="738"/>
              <w:jc w:val="left"/>
              <w:rPr>
                <w:sz w:val="22"/>
                <w:szCs w:val="22"/>
              </w:rPr>
            </w:pPr>
            <w:r w:rsidRPr="00576AF8">
              <w:rPr>
                <w:sz w:val="22"/>
                <w:szCs w:val="22"/>
              </w:rPr>
              <w:t>IEEE</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9BC4C66" w14:textId="77777777" w:rsidR="009102A7" w:rsidRPr="00576AF8" w:rsidRDefault="009102A7" w:rsidP="009F6B78">
            <w:pPr>
              <w:ind w:left="1440" w:right="4" w:hanging="738"/>
              <w:jc w:val="left"/>
              <w:rPr>
                <w:sz w:val="22"/>
                <w:szCs w:val="22"/>
              </w:rPr>
            </w:pPr>
            <w:r w:rsidRPr="00576AF8">
              <w:rPr>
                <w:sz w:val="22"/>
                <w:szCs w:val="22"/>
              </w:rPr>
              <w:t>C</w:t>
            </w:r>
            <w:proofErr w:type="gramStart"/>
            <w:r w:rsidRPr="00576AF8">
              <w:rPr>
                <w:sz w:val="22"/>
                <w:szCs w:val="22"/>
              </w:rPr>
              <w:t>37.118.1a</w:t>
            </w:r>
            <w:proofErr w:type="gramEnd"/>
            <w:r w:rsidRPr="00576AF8">
              <w:rPr>
                <w:sz w:val="22"/>
                <w:szCs w:val="22"/>
              </w:rPr>
              <w:t>-2014</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7CBDF09" w14:textId="77777777" w:rsidR="009102A7" w:rsidRPr="00576AF8" w:rsidRDefault="009102A7" w:rsidP="009F6B78">
            <w:pPr>
              <w:ind w:left="1440" w:right="4" w:hanging="738"/>
              <w:rPr>
                <w:sz w:val="22"/>
                <w:szCs w:val="22"/>
                <w:lang w:val="en-US"/>
              </w:rPr>
            </w:pPr>
            <w:r w:rsidRPr="00576AF8">
              <w:rPr>
                <w:sz w:val="22"/>
                <w:szCs w:val="22"/>
                <w:lang w:val="en-US"/>
              </w:rPr>
              <w:t>Standard for Synchrophasor Measurements for Power Systems - Amendment 1: Modification of Selected Performance Requirements</w:t>
            </w:r>
          </w:p>
        </w:tc>
        <w:tc>
          <w:tcPr>
            <w:tcW w:w="0" w:type="auto"/>
            <w:vAlign w:val="center"/>
            <w:hideMark/>
          </w:tcPr>
          <w:p w14:paraId="63385161" w14:textId="77777777" w:rsidR="009102A7" w:rsidRPr="00576AF8" w:rsidRDefault="009102A7" w:rsidP="009F6B78">
            <w:pPr>
              <w:ind w:left="1440" w:right="4" w:hanging="738"/>
              <w:jc w:val="left"/>
              <w:rPr>
                <w:sz w:val="22"/>
                <w:szCs w:val="22"/>
                <w:lang w:val="en-US"/>
              </w:rPr>
            </w:pPr>
          </w:p>
        </w:tc>
      </w:tr>
      <w:tr w:rsidR="009102A7" w:rsidRPr="00D12BF9" w14:paraId="7D2B888A"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3EF24ED"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8689DD9" w14:textId="77777777" w:rsidR="009102A7" w:rsidRPr="00576AF8" w:rsidRDefault="009102A7" w:rsidP="009F6B78">
            <w:pPr>
              <w:ind w:left="1440" w:right="4" w:hanging="738"/>
              <w:jc w:val="left"/>
              <w:rPr>
                <w:sz w:val="22"/>
                <w:szCs w:val="22"/>
              </w:rPr>
            </w:pPr>
            <w:r w:rsidRPr="00576AF8">
              <w:rPr>
                <w:sz w:val="22"/>
                <w:szCs w:val="22"/>
              </w:rPr>
              <w:t>CIP-002-</w:t>
            </w:r>
            <w:proofErr w:type="gramStart"/>
            <w:r w:rsidRPr="00576AF8">
              <w:rPr>
                <w:sz w:val="22"/>
                <w:szCs w:val="22"/>
              </w:rPr>
              <w:t>5.1a</w:t>
            </w:r>
            <w:proofErr w:type="gramEnd"/>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07C6114" w14:textId="77777777" w:rsidR="009102A7" w:rsidRPr="00576AF8" w:rsidRDefault="009102A7" w:rsidP="009F6B78">
            <w:pPr>
              <w:ind w:left="1440" w:right="4" w:hanging="738"/>
              <w:rPr>
                <w:sz w:val="22"/>
                <w:szCs w:val="22"/>
                <w:lang w:val="en-US"/>
              </w:rPr>
            </w:pPr>
            <w:r w:rsidRPr="00576AF8">
              <w:rPr>
                <w:sz w:val="22"/>
                <w:szCs w:val="22"/>
                <w:lang w:val="en-US"/>
              </w:rPr>
              <w:t>BES (Bulk Electric System) Cyber System Categorization</w:t>
            </w:r>
          </w:p>
        </w:tc>
        <w:tc>
          <w:tcPr>
            <w:tcW w:w="0" w:type="auto"/>
            <w:vAlign w:val="center"/>
            <w:hideMark/>
          </w:tcPr>
          <w:p w14:paraId="5EA50E89" w14:textId="77777777" w:rsidR="009102A7" w:rsidRPr="00576AF8" w:rsidRDefault="009102A7" w:rsidP="009F6B78">
            <w:pPr>
              <w:ind w:left="1440" w:right="4" w:hanging="738"/>
              <w:jc w:val="left"/>
              <w:rPr>
                <w:sz w:val="22"/>
                <w:szCs w:val="22"/>
                <w:lang w:val="en-US"/>
              </w:rPr>
            </w:pPr>
          </w:p>
        </w:tc>
      </w:tr>
      <w:tr w:rsidR="009102A7" w:rsidRPr="00576AF8" w14:paraId="7CBF5147"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A22101F"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7D11DA6" w14:textId="77777777" w:rsidR="009102A7" w:rsidRPr="00576AF8" w:rsidRDefault="009102A7" w:rsidP="009F6B78">
            <w:pPr>
              <w:ind w:left="1440" w:right="4" w:hanging="738"/>
              <w:jc w:val="left"/>
              <w:rPr>
                <w:sz w:val="22"/>
                <w:szCs w:val="22"/>
              </w:rPr>
            </w:pPr>
            <w:r w:rsidRPr="00576AF8">
              <w:rPr>
                <w:sz w:val="22"/>
                <w:szCs w:val="22"/>
              </w:rPr>
              <w:t>CIP-003-6</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C6B3F7A" w14:textId="77777777" w:rsidR="009102A7" w:rsidRPr="00576AF8" w:rsidRDefault="009102A7" w:rsidP="009F6B78">
            <w:pPr>
              <w:ind w:left="1440" w:right="4" w:hanging="738"/>
              <w:rPr>
                <w:sz w:val="22"/>
                <w:szCs w:val="22"/>
              </w:rPr>
            </w:pPr>
            <w:r w:rsidRPr="00576AF8">
              <w:rPr>
                <w:sz w:val="22"/>
                <w:szCs w:val="22"/>
              </w:rPr>
              <w:t>Security Management Controls</w:t>
            </w:r>
          </w:p>
        </w:tc>
        <w:tc>
          <w:tcPr>
            <w:tcW w:w="0" w:type="auto"/>
            <w:vAlign w:val="center"/>
            <w:hideMark/>
          </w:tcPr>
          <w:p w14:paraId="096EDA74" w14:textId="77777777" w:rsidR="009102A7" w:rsidRPr="00576AF8" w:rsidRDefault="009102A7" w:rsidP="009F6B78">
            <w:pPr>
              <w:ind w:left="1440" w:right="4" w:hanging="738"/>
              <w:jc w:val="left"/>
              <w:rPr>
                <w:sz w:val="22"/>
                <w:szCs w:val="22"/>
              </w:rPr>
            </w:pPr>
          </w:p>
        </w:tc>
      </w:tr>
      <w:tr w:rsidR="009102A7" w:rsidRPr="00576AF8" w14:paraId="1D41516A"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29E1963"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640C9E7" w14:textId="77777777" w:rsidR="009102A7" w:rsidRPr="00576AF8" w:rsidRDefault="009102A7" w:rsidP="009F6B78">
            <w:pPr>
              <w:ind w:left="1440" w:right="4" w:hanging="738"/>
              <w:jc w:val="left"/>
              <w:rPr>
                <w:sz w:val="22"/>
                <w:szCs w:val="22"/>
              </w:rPr>
            </w:pPr>
            <w:r w:rsidRPr="00576AF8">
              <w:rPr>
                <w:sz w:val="22"/>
                <w:szCs w:val="22"/>
              </w:rPr>
              <w:t>CIP-005-5</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E8E5BB7" w14:textId="77777777" w:rsidR="009102A7" w:rsidRPr="00576AF8" w:rsidRDefault="009102A7" w:rsidP="009F6B78">
            <w:pPr>
              <w:ind w:left="1440" w:right="4" w:hanging="738"/>
              <w:rPr>
                <w:sz w:val="22"/>
                <w:szCs w:val="22"/>
              </w:rPr>
            </w:pPr>
            <w:r w:rsidRPr="00576AF8">
              <w:rPr>
                <w:sz w:val="22"/>
                <w:szCs w:val="22"/>
              </w:rPr>
              <w:t>Electronic Security Perimeter(s)</w:t>
            </w:r>
          </w:p>
        </w:tc>
        <w:tc>
          <w:tcPr>
            <w:tcW w:w="0" w:type="auto"/>
            <w:vAlign w:val="center"/>
            <w:hideMark/>
          </w:tcPr>
          <w:p w14:paraId="4661492E" w14:textId="77777777" w:rsidR="009102A7" w:rsidRPr="00576AF8" w:rsidRDefault="009102A7" w:rsidP="009F6B78">
            <w:pPr>
              <w:ind w:left="1440" w:right="4" w:hanging="738"/>
              <w:jc w:val="left"/>
              <w:rPr>
                <w:sz w:val="22"/>
                <w:szCs w:val="22"/>
              </w:rPr>
            </w:pPr>
          </w:p>
        </w:tc>
      </w:tr>
      <w:tr w:rsidR="009102A7" w:rsidRPr="00D12BF9" w14:paraId="45AC3803"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DDD11F7"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507355A" w14:textId="77777777" w:rsidR="009102A7" w:rsidRPr="00576AF8" w:rsidRDefault="009102A7" w:rsidP="009F6B78">
            <w:pPr>
              <w:ind w:left="1440" w:right="4" w:hanging="738"/>
              <w:jc w:val="left"/>
              <w:rPr>
                <w:sz w:val="22"/>
                <w:szCs w:val="22"/>
              </w:rPr>
            </w:pPr>
            <w:r w:rsidRPr="00576AF8">
              <w:rPr>
                <w:sz w:val="22"/>
                <w:szCs w:val="22"/>
              </w:rPr>
              <w:t>CIP-006-6</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096AB05" w14:textId="77777777" w:rsidR="009102A7" w:rsidRPr="00576AF8" w:rsidRDefault="009102A7" w:rsidP="009F6B78">
            <w:pPr>
              <w:ind w:left="1440" w:right="4" w:hanging="738"/>
              <w:rPr>
                <w:sz w:val="22"/>
                <w:szCs w:val="22"/>
                <w:lang w:val="en-US"/>
              </w:rPr>
            </w:pPr>
            <w:r w:rsidRPr="00576AF8">
              <w:rPr>
                <w:sz w:val="22"/>
                <w:szCs w:val="22"/>
                <w:lang w:val="en-US"/>
              </w:rPr>
              <w:t>Cyber Security - Physical Security of BES (Bulk Electric System) Cyber Systems</w:t>
            </w:r>
          </w:p>
        </w:tc>
        <w:tc>
          <w:tcPr>
            <w:tcW w:w="0" w:type="auto"/>
            <w:vAlign w:val="center"/>
            <w:hideMark/>
          </w:tcPr>
          <w:p w14:paraId="7F2B92D0" w14:textId="77777777" w:rsidR="009102A7" w:rsidRPr="00576AF8" w:rsidRDefault="009102A7" w:rsidP="009F6B78">
            <w:pPr>
              <w:ind w:left="1440" w:right="4" w:hanging="738"/>
              <w:jc w:val="left"/>
              <w:rPr>
                <w:sz w:val="22"/>
                <w:szCs w:val="22"/>
                <w:lang w:val="en-US"/>
              </w:rPr>
            </w:pPr>
          </w:p>
        </w:tc>
      </w:tr>
      <w:tr w:rsidR="009102A7" w:rsidRPr="00576AF8" w14:paraId="271A5A06"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AEDAE11"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B3BC05C" w14:textId="77777777" w:rsidR="009102A7" w:rsidRPr="00576AF8" w:rsidRDefault="009102A7" w:rsidP="009F6B78">
            <w:pPr>
              <w:ind w:left="1440" w:right="4" w:hanging="738"/>
              <w:jc w:val="left"/>
              <w:rPr>
                <w:sz w:val="22"/>
                <w:szCs w:val="22"/>
              </w:rPr>
            </w:pPr>
            <w:r w:rsidRPr="00576AF8">
              <w:rPr>
                <w:sz w:val="22"/>
                <w:szCs w:val="22"/>
              </w:rPr>
              <w:t>CIP-007-6</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E4F3868" w14:textId="77777777" w:rsidR="009102A7" w:rsidRPr="00576AF8" w:rsidRDefault="009102A7" w:rsidP="009F6B78">
            <w:pPr>
              <w:ind w:left="1440" w:right="4" w:hanging="738"/>
              <w:rPr>
                <w:sz w:val="22"/>
                <w:szCs w:val="22"/>
              </w:rPr>
            </w:pPr>
            <w:r w:rsidRPr="00576AF8">
              <w:rPr>
                <w:sz w:val="22"/>
                <w:szCs w:val="22"/>
              </w:rPr>
              <w:t>System Security Management</w:t>
            </w:r>
          </w:p>
        </w:tc>
        <w:tc>
          <w:tcPr>
            <w:tcW w:w="0" w:type="auto"/>
            <w:vAlign w:val="center"/>
            <w:hideMark/>
          </w:tcPr>
          <w:p w14:paraId="10339CFD" w14:textId="77777777" w:rsidR="009102A7" w:rsidRPr="00576AF8" w:rsidRDefault="009102A7" w:rsidP="009F6B78">
            <w:pPr>
              <w:ind w:left="1440" w:right="4" w:hanging="738"/>
              <w:jc w:val="left"/>
              <w:rPr>
                <w:sz w:val="22"/>
                <w:szCs w:val="22"/>
              </w:rPr>
            </w:pPr>
          </w:p>
        </w:tc>
      </w:tr>
      <w:tr w:rsidR="009102A7" w:rsidRPr="00D12BF9" w14:paraId="2B8E9EE3"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38FC4FED"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2931655" w14:textId="77777777" w:rsidR="009102A7" w:rsidRPr="00576AF8" w:rsidRDefault="009102A7" w:rsidP="009F6B78">
            <w:pPr>
              <w:ind w:left="1440" w:right="4" w:hanging="738"/>
              <w:jc w:val="left"/>
              <w:rPr>
                <w:sz w:val="22"/>
                <w:szCs w:val="22"/>
              </w:rPr>
            </w:pPr>
            <w:r w:rsidRPr="00576AF8">
              <w:rPr>
                <w:sz w:val="22"/>
                <w:szCs w:val="22"/>
              </w:rPr>
              <w:t>CIP-008-5</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FCC8F8D" w14:textId="77777777" w:rsidR="009102A7" w:rsidRPr="00576AF8" w:rsidRDefault="009102A7" w:rsidP="009F6B78">
            <w:pPr>
              <w:ind w:left="1440" w:right="4" w:hanging="738"/>
              <w:rPr>
                <w:sz w:val="22"/>
                <w:szCs w:val="22"/>
                <w:lang w:val="en-US"/>
              </w:rPr>
            </w:pPr>
            <w:r w:rsidRPr="00576AF8">
              <w:rPr>
                <w:sz w:val="22"/>
                <w:szCs w:val="22"/>
                <w:lang w:val="en-US"/>
              </w:rPr>
              <w:t>Incident Reporting and Response Planning</w:t>
            </w:r>
          </w:p>
        </w:tc>
        <w:tc>
          <w:tcPr>
            <w:tcW w:w="0" w:type="auto"/>
            <w:vAlign w:val="center"/>
            <w:hideMark/>
          </w:tcPr>
          <w:p w14:paraId="05ABD171" w14:textId="77777777" w:rsidR="009102A7" w:rsidRPr="00576AF8" w:rsidRDefault="009102A7" w:rsidP="009F6B78">
            <w:pPr>
              <w:ind w:left="1440" w:right="4" w:hanging="738"/>
              <w:jc w:val="left"/>
              <w:rPr>
                <w:sz w:val="22"/>
                <w:szCs w:val="22"/>
                <w:lang w:val="en-US"/>
              </w:rPr>
            </w:pPr>
          </w:p>
        </w:tc>
      </w:tr>
      <w:tr w:rsidR="009102A7" w:rsidRPr="00D12BF9" w14:paraId="30638CCF"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9724535"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FD5B475" w14:textId="77777777" w:rsidR="009102A7" w:rsidRPr="00576AF8" w:rsidRDefault="009102A7" w:rsidP="009F6B78">
            <w:pPr>
              <w:ind w:left="1440" w:right="4" w:hanging="738"/>
              <w:jc w:val="left"/>
              <w:rPr>
                <w:sz w:val="22"/>
                <w:szCs w:val="22"/>
              </w:rPr>
            </w:pPr>
            <w:r w:rsidRPr="00576AF8">
              <w:rPr>
                <w:sz w:val="22"/>
                <w:szCs w:val="22"/>
              </w:rPr>
              <w:t>CIP-009-6</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478BACE" w14:textId="77777777" w:rsidR="009102A7" w:rsidRPr="00576AF8" w:rsidRDefault="009102A7" w:rsidP="009F6B78">
            <w:pPr>
              <w:ind w:left="1440" w:right="4" w:hanging="738"/>
              <w:rPr>
                <w:sz w:val="22"/>
                <w:szCs w:val="22"/>
                <w:lang w:val="en-US"/>
              </w:rPr>
            </w:pPr>
            <w:r w:rsidRPr="00576AF8">
              <w:rPr>
                <w:sz w:val="22"/>
                <w:szCs w:val="22"/>
                <w:lang w:val="en-US"/>
              </w:rPr>
              <w:t>Cyber Security - Recovery Plans for BES (Bulk Electric System) Cyber Systems</w:t>
            </w:r>
          </w:p>
        </w:tc>
        <w:tc>
          <w:tcPr>
            <w:tcW w:w="0" w:type="auto"/>
            <w:vAlign w:val="center"/>
            <w:hideMark/>
          </w:tcPr>
          <w:p w14:paraId="36A3438F" w14:textId="77777777" w:rsidR="009102A7" w:rsidRPr="00576AF8" w:rsidRDefault="009102A7" w:rsidP="009F6B78">
            <w:pPr>
              <w:ind w:left="1440" w:right="4" w:hanging="738"/>
              <w:jc w:val="left"/>
              <w:rPr>
                <w:sz w:val="22"/>
                <w:szCs w:val="22"/>
                <w:lang w:val="en-US"/>
              </w:rPr>
            </w:pPr>
          </w:p>
        </w:tc>
      </w:tr>
      <w:tr w:rsidR="009102A7" w:rsidRPr="00D12BF9" w14:paraId="17E5FE5C"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61D9C17"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8FA15B7" w14:textId="77777777" w:rsidR="009102A7" w:rsidRPr="00576AF8" w:rsidRDefault="009102A7" w:rsidP="009F6B78">
            <w:pPr>
              <w:ind w:left="1440" w:right="4" w:hanging="738"/>
              <w:jc w:val="left"/>
              <w:rPr>
                <w:sz w:val="22"/>
                <w:szCs w:val="22"/>
              </w:rPr>
            </w:pPr>
            <w:r w:rsidRPr="00576AF8">
              <w:rPr>
                <w:sz w:val="22"/>
                <w:szCs w:val="22"/>
              </w:rPr>
              <w:t>CIP-010-2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D1FF4F4" w14:textId="77777777" w:rsidR="009102A7" w:rsidRPr="00576AF8" w:rsidRDefault="009102A7" w:rsidP="009F6B78">
            <w:pPr>
              <w:ind w:left="1440" w:right="4" w:hanging="738"/>
              <w:rPr>
                <w:sz w:val="22"/>
                <w:szCs w:val="22"/>
                <w:lang w:val="en-US"/>
              </w:rPr>
            </w:pPr>
            <w:r w:rsidRPr="00576AF8">
              <w:rPr>
                <w:sz w:val="22"/>
                <w:szCs w:val="22"/>
                <w:lang w:val="en-US"/>
              </w:rPr>
              <w:t>Configuration Change Management and Vulnerability </w:t>
            </w:r>
          </w:p>
        </w:tc>
        <w:tc>
          <w:tcPr>
            <w:tcW w:w="0" w:type="auto"/>
            <w:vAlign w:val="center"/>
            <w:hideMark/>
          </w:tcPr>
          <w:p w14:paraId="2E052EED" w14:textId="77777777" w:rsidR="009102A7" w:rsidRPr="00576AF8" w:rsidRDefault="009102A7" w:rsidP="009F6B78">
            <w:pPr>
              <w:ind w:left="1440" w:right="4" w:hanging="738"/>
              <w:jc w:val="left"/>
              <w:rPr>
                <w:sz w:val="22"/>
                <w:szCs w:val="22"/>
                <w:lang w:val="en-US"/>
              </w:rPr>
            </w:pPr>
          </w:p>
        </w:tc>
      </w:tr>
      <w:tr w:rsidR="009102A7" w:rsidRPr="00576AF8" w14:paraId="6C5EAEE5"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6D5BD51A"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70B43CC" w14:textId="77777777" w:rsidR="009102A7" w:rsidRPr="00576AF8" w:rsidRDefault="009102A7" w:rsidP="009F6B78">
            <w:pPr>
              <w:ind w:left="1440" w:right="4" w:hanging="738"/>
              <w:jc w:val="left"/>
              <w:rPr>
                <w:sz w:val="22"/>
                <w:szCs w:val="22"/>
              </w:rPr>
            </w:pPr>
            <w:r w:rsidRPr="00576AF8">
              <w:rPr>
                <w:sz w:val="22"/>
                <w:szCs w:val="22"/>
              </w:rPr>
              <w:t>CIP-011-2</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634E4F8" w14:textId="77777777" w:rsidR="009102A7" w:rsidRPr="00576AF8" w:rsidRDefault="009102A7" w:rsidP="009F6B78">
            <w:pPr>
              <w:ind w:left="1440" w:right="4" w:hanging="738"/>
              <w:rPr>
                <w:sz w:val="22"/>
                <w:szCs w:val="22"/>
              </w:rPr>
            </w:pPr>
            <w:r w:rsidRPr="00576AF8">
              <w:rPr>
                <w:sz w:val="22"/>
                <w:szCs w:val="22"/>
              </w:rPr>
              <w:t>Information Protection</w:t>
            </w:r>
          </w:p>
        </w:tc>
        <w:tc>
          <w:tcPr>
            <w:tcW w:w="0" w:type="auto"/>
            <w:vAlign w:val="center"/>
            <w:hideMark/>
          </w:tcPr>
          <w:p w14:paraId="3640BB50" w14:textId="77777777" w:rsidR="009102A7" w:rsidRPr="00576AF8" w:rsidRDefault="009102A7" w:rsidP="009F6B78">
            <w:pPr>
              <w:ind w:left="1440" w:right="4" w:hanging="738"/>
              <w:jc w:val="left"/>
              <w:rPr>
                <w:sz w:val="22"/>
                <w:szCs w:val="22"/>
              </w:rPr>
            </w:pPr>
          </w:p>
        </w:tc>
      </w:tr>
      <w:tr w:rsidR="009102A7" w:rsidRPr="00576AF8" w14:paraId="251AE3DD"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0768884C" w14:textId="77777777" w:rsidR="009102A7" w:rsidRPr="00576AF8" w:rsidRDefault="009102A7" w:rsidP="009F6B78">
            <w:pPr>
              <w:ind w:left="1440" w:right="4" w:hanging="738"/>
              <w:jc w:val="left"/>
              <w:rPr>
                <w:sz w:val="22"/>
                <w:szCs w:val="22"/>
              </w:rPr>
            </w:pPr>
            <w:r w:rsidRPr="00576AF8">
              <w:rPr>
                <w:sz w:val="22"/>
                <w:szCs w:val="22"/>
              </w:rPr>
              <w:lastRenderedPageBreak/>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50417DE3" w14:textId="77777777" w:rsidR="009102A7" w:rsidRPr="00576AF8" w:rsidRDefault="009102A7" w:rsidP="009F6B78">
            <w:pPr>
              <w:ind w:left="1440" w:right="4" w:hanging="738"/>
              <w:jc w:val="left"/>
              <w:rPr>
                <w:sz w:val="22"/>
                <w:szCs w:val="22"/>
              </w:rPr>
            </w:pPr>
            <w:r w:rsidRPr="00576AF8">
              <w:rPr>
                <w:sz w:val="22"/>
                <w:szCs w:val="22"/>
              </w:rPr>
              <w:t>CPS</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B8742BB" w14:textId="77777777" w:rsidR="009102A7" w:rsidRPr="00576AF8" w:rsidRDefault="009102A7" w:rsidP="009F6B78">
            <w:pPr>
              <w:ind w:left="1440" w:right="4" w:hanging="738"/>
              <w:rPr>
                <w:sz w:val="22"/>
                <w:szCs w:val="22"/>
              </w:rPr>
            </w:pPr>
            <w:r w:rsidRPr="00576AF8">
              <w:rPr>
                <w:sz w:val="22"/>
                <w:szCs w:val="22"/>
              </w:rPr>
              <w:t>Control Performance Standard</w:t>
            </w:r>
          </w:p>
        </w:tc>
        <w:tc>
          <w:tcPr>
            <w:tcW w:w="0" w:type="auto"/>
            <w:vAlign w:val="center"/>
            <w:hideMark/>
          </w:tcPr>
          <w:p w14:paraId="0F17F4E6" w14:textId="77777777" w:rsidR="009102A7" w:rsidRPr="00576AF8" w:rsidRDefault="009102A7" w:rsidP="009F6B78">
            <w:pPr>
              <w:ind w:left="1440" w:right="4" w:hanging="738"/>
              <w:jc w:val="left"/>
              <w:rPr>
                <w:sz w:val="22"/>
                <w:szCs w:val="22"/>
              </w:rPr>
            </w:pPr>
          </w:p>
        </w:tc>
      </w:tr>
      <w:tr w:rsidR="009102A7" w:rsidRPr="00576AF8" w14:paraId="45B42767"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3A453A1"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228FFC3" w14:textId="77777777" w:rsidR="009102A7" w:rsidRPr="00576AF8" w:rsidRDefault="009102A7" w:rsidP="009F6B78">
            <w:pPr>
              <w:ind w:left="1440" w:right="4" w:hanging="738"/>
              <w:jc w:val="left"/>
              <w:rPr>
                <w:sz w:val="22"/>
                <w:szCs w:val="22"/>
              </w:rPr>
            </w:pPr>
            <w:r w:rsidRPr="00576AF8">
              <w:rPr>
                <w:sz w:val="22"/>
                <w:szCs w:val="22"/>
              </w:rPr>
              <w:t>DCS</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9E89F21" w14:textId="77777777" w:rsidR="009102A7" w:rsidRPr="00576AF8" w:rsidRDefault="009102A7" w:rsidP="009F6B78">
            <w:pPr>
              <w:ind w:left="1440" w:right="4" w:hanging="738"/>
              <w:rPr>
                <w:sz w:val="22"/>
                <w:szCs w:val="22"/>
              </w:rPr>
            </w:pPr>
            <w:r w:rsidRPr="00576AF8">
              <w:rPr>
                <w:sz w:val="22"/>
                <w:szCs w:val="22"/>
              </w:rPr>
              <w:t>Disturbance Control Performance</w:t>
            </w:r>
          </w:p>
        </w:tc>
        <w:tc>
          <w:tcPr>
            <w:tcW w:w="0" w:type="auto"/>
            <w:vAlign w:val="center"/>
            <w:hideMark/>
          </w:tcPr>
          <w:p w14:paraId="0C2D6CD0" w14:textId="77777777" w:rsidR="009102A7" w:rsidRPr="00576AF8" w:rsidRDefault="009102A7" w:rsidP="009F6B78">
            <w:pPr>
              <w:ind w:left="1440" w:right="4" w:hanging="738"/>
              <w:jc w:val="left"/>
              <w:rPr>
                <w:sz w:val="22"/>
                <w:szCs w:val="22"/>
              </w:rPr>
            </w:pPr>
          </w:p>
        </w:tc>
      </w:tr>
      <w:tr w:rsidR="009102A7" w:rsidRPr="00D12BF9" w14:paraId="3DAC54B2"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B586AF8" w14:textId="77777777" w:rsidR="009102A7" w:rsidRPr="00576AF8" w:rsidRDefault="009102A7" w:rsidP="009F6B78">
            <w:pPr>
              <w:ind w:left="1440" w:right="4" w:hanging="738"/>
              <w:jc w:val="left"/>
              <w:rPr>
                <w:sz w:val="22"/>
                <w:szCs w:val="22"/>
              </w:rPr>
            </w:pPr>
            <w:r w:rsidRPr="00576AF8">
              <w:rPr>
                <w:sz w:val="22"/>
                <w:szCs w:val="22"/>
              </w:rPr>
              <w:t>NERC</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7A0C69AE" w14:textId="77777777" w:rsidR="009102A7" w:rsidRPr="00576AF8" w:rsidRDefault="009102A7" w:rsidP="009F6B78">
            <w:pPr>
              <w:ind w:left="1440" w:right="4" w:hanging="738"/>
              <w:jc w:val="left"/>
              <w:rPr>
                <w:sz w:val="22"/>
                <w:szCs w:val="22"/>
              </w:rPr>
            </w:pPr>
            <w:r w:rsidRPr="00576AF8">
              <w:rPr>
                <w:sz w:val="22"/>
                <w:szCs w:val="22"/>
              </w:rPr>
              <w:t>BAAL</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493F4440" w14:textId="77777777" w:rsidR="009102A7" w:rsidRPr="00576AF8" w:rsidRDefault="009102A7" w:rsidP="009F6B78">
            <w:pPr>
              <w:ind w:left="1440" w:right="4" w:hanging="738"/>
              <w:rPr>
                <w:sz w:val="22"/>
                <w:szCs w:val="22"/>
                <w:lang w:val="en-US"/>
              </w:rPr>
            </w:pPr>
            <w:r w:rsidRPr="00576AF8">
              <w:rPr>
                <w:sz w:val="22"/>
                <w:szCs w:val="22"/>
                <w:lang w:val="en-US"/>
              </w:rPr>
              <w:t>NERC Bulk Electric System Balancing and Accounting Level 1 Requirements</w:t>
            </w:r>
          </w:p>
        </w:tc>
        <w:tc>
          <w:tcPr>
            <w:tcW w:w="0" w:type="auto"/>
            <w:vAlign w:val="center"/>
            <w:hideMark/>
          </w:tcPr>
          <w:p w14:paraId="1B2A37D3" w14:textId="77777777" w:rsidR="009102A7" w:rsidRPr="00576AF8" w:rsidRDefault="009102A7" w:rsidP="009F6B78">
            <w:pPr>
              <w:ind w:left="1440" w:right="4" w:hanging="738"/>
              <w:jc w:val="left"/>
              <w:rPr>
                <w:sz w:val="22"/>
                <w:szCs w:val="22"/>
                <w:lang w:val="en-US"/>
              </w:rPr>
            </w:pPr>
          </w:p>
        </w:tc>
      </w:tr>
      <w:tr w:rsidR="009102A7" w:rsidRPr="00576AF8" w14:paraId="5C49FE1B" w14:textId="77777777" w:rsidTr="009F6B78">
        <w:trPr>
          <w:trHeight w:val="194"/>
        </w:trPr>
        <w:tc>
          <w:tcPr>
            <w:tcW w:w="1560"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73A0F9A" w14:textId="77777777" w:rsidR="009102A7" w:rsidRPr="00576AF8" w:rsidRDefault="009102A7" w:rsidP="009F6B78">
            <w:pPr>
              <w:ind w:left="1440" w:right="4" w:hanging="738"/>
              <w:jc w:val="left"/>
              <w:rPr>
                <w:sz w:val="22"/>
                <w:szCs w:val="22"/>
              </w:rPr>
            </w:pPr>
            <w:r w:rsidRPr="00576AF8">
              <w:rPr>
                <w:sz w:val="22"/>
                <w:szCs w:val="22"/>
              </w:rPr>
              <w:t>NIST </w:t>
            </w:r>
          </w:p>
        </w:tc>
        <w:tc>
          <w:tcPr>
            <w:tcW w:w="2409"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29753FBE" w14:textId="77777777" w:rsidR="009102A7" w:rsidRPr="00576AF8" w:rsidRDefault="009102A7" w:rsidP="009F6B78">
            <w:pPr>
              <w:ind w:left="1440" w:right="4" w:hanging="738"/>
              <w:jc w:val="left"/>
              <w:rPr>
                <w:sz w:val="22"/>
                <w:szCs w:val="22"/>
              </w:rPr>
            </w:pPr>
            <w:r w:rsidRPr="00576AF8">
              <w:rPr>
                <w:sz w:val="22"/>
                <w:szCs w:val="22"/>
              </w:rPr>
              <w:t>SP 800-60v1r1</w:t>
            </w:r>
          </w:p>
        </w:tc>
        <w:tc>
          <w:tcPr>
            <w:tcW w:w="4641" w:type="dxa"/>
            <w:tcBorders>
              <w:top w:val="single" w:sz="4" w:space="0" w:color="B7DDE8"/>
              <w:left w:val="single" w:sz="4" w:space="0" w:color="B7DDE8"/>
              <w:bottom w:val="single" w:sz="4" w:space="0" w:color="B7DDE8"/>
              <w:right w:val="single" w:sz="4" w:space="0" w:color="B7DDE8"/>
            </w:tcBorders>
            <w:tcMar>
              <w:top w:w="0" w:type="dxa"/>
              <w:left w:w="115" w:type="dxa"/>
              <w:bottom w:w="0" w:type="dxa"/>
              <w:right w:w="115" w:type="dxa"/>
            </w:tcMar>
            <w:hideMark/>
          </w:tcPr>
          <w:p w14:paraId="121B29BA" w14:textId="77777777" w:rsidR="009102A7" w:rsidRPr="00576AF8" w:rsidRDefault="009102A7" w:rsidP="009F6B78">
            <w:pPr>
              <w:ind w:left="1440" w:right="4" w:hanging="738"/>
              <w:rPr>
                <w:sz w:val="22"/>
                <w:szCs w:val="22"/>
              </w:rPr>
            </w:pPr>
            <w:r w:rsidRPr="00576AF8">
              <w:rPr>
                <w:sz w:val="22"/>
                <w:szCs w:val="22"/>
              </w:rPr>
              <w:t>Ingeniería de Sistemas Confiables y Seguros</w:t>
            </w:r>
          </w:p>
        </w:tc>
        <w:tc>
          <w:tcPr>
            <w:tcW w:w="0" w:type="auto"/>
            <w:vAlign w:val="center"/>
            <w:hideMark/>
          </w:tcPr>
          <w:p w14:paraId="371C85E9" w14:textId="77777777" w:rsidR="009102A7" w:rsidRPr="00576AF8" w:rsidRDefault="009102A7" w:rsidP="009F6B78">
            <w:pPr>
              <w:keepNext/>
              <w:ind w:left="1440" w:right="4" w:hanging="738"/>
              <w:jc w:val="left"/>
              <w:rPr>
                <w:sz w:val="22"/>
                <w:szCs w:val="22"/>
              </w:rPr>
            </w:pPr>
          </w:p>
        </w:tc>
      </w:tr>
    </w:tbl>
    <w:p w14:paraId="1DA63012" w14:textId="77777777" w:rsidR="009102A7" w:rsidRPr="00576AF8" w:rsidRDefault="009102A7" w:rsidP="009102A7">
      <w:pPr>
        <w:spacing w:before="120"/>
        <w:jc w:val="center"/>
        <w:rPr>
          <w:b/>
          <w:sz w:val="22"/>
          <w:szCs w:val="22"/>
        </w:rPr>
      </w:pPr>
      <w:r w:rsidRPr="00576AF8">
        <w:rPr>
          <w:b/>
          <w:sz w:val="22"/>
          <w:szCs w:val="22"/>
        </w:rPr>
        <w:t xml:space="preserve">Tabla </w:t>
      </w:r>
      <w:r w:rsidRPr="00576AF8">
        <w:rPr>
          <w:b/>
          <w:sz w:val="22"/>
          <w:szCs w:val="22"/>
        </w:rPr>
        <w:fldChar w:fldCharType="begin"/>
      </w:r>
      <w:r w:rsidRPr="00576AF8">
        <w:rPr>
          <w:b/>
          <w:sz w:val="22"/>
          <w:szCs w:val="22"/>
        </w:rPr>
        <w:instrText xml:space="preserve"> SEQ Tabla \* ARABIC </w:instrText>
      </w:r>
      <w:r w:rsidRPr="00576AF8">
        <w:rPr>
          <w:b/>
          <w:sz w:val="22"/>
          <w:szCs w:val="22"/>
        </w:rPr>
        <w:fldChar w:fldCharType="separate"/>
      </w:r>
      <w:r w:rsidRPr="00576AF8">
        <w:rPr>
          <w:b/>
          <w:noProof/>
          <w:sz w:val="22"/>
          <w:szCs w:val="22"/>
        </w:rPr>
        <w:t>2</w:t>
      </w:r>
      <w:r w:rsidRPr="00576AF8">
        <w:rPr>
          <w:b/>
          <w:noProof/>
          <w:sz w:val="22"/>
          <w:szCs w:val="22"/>
        </w:rPr>
        <w:fldChar w:fldCharType="end"/>
      </w:r>
      <w:r w:rsidRPr="00576AF8">
        <w:rPr>
          <w:b/>
          <w:sz w:val="22"/>
          <w:szCs w:val="22"/>
        </w:rPr>
        <w:t>. Cuadro de Estándares Internacionales</w:t>
      </w:r>
    </w:p>
    <w:p w14:paraId="0B8EE95A" w14:textId="77777777" w:rsidR="009102A7" w:rsidRPr="00576AF8" w:rsidRDefault="009102A7" w:rsidP="008C0D90">
      <w:pPr>
        <w:outlineLvl w:val="2"/>
        <w:rPr>
          <w:sz w:val="22"/>
          <w:szCs w:val="22"/>
          <w:lang w:val="es-EC" w:eastAsia="en-US" w:bidi="ar-SA"/>
        </w:rPr>
      </w:pPr>
      <w:bookmarkStart w:id="615" w:name="_Toc454958718"/>
      <w:bookmarkStart w:id="616" w:name="_Toc476310093"/>
      <w:bookmarkStart w:id="617" w:name="_Toc482896422"/>
      <w:bookmarkStart w:id="618" w:name="_Toc99868846"/>
      <w:bookmarkStart w:id="619" w:name="_Toc160455910"/>
      <w:bookmarkStart w:id="620" w:name="_Toc163137300"/>
      <w:r w:rsidRPr="00576AF8">
        <w:rPr>
          <w:sz w:val="22"/>
          <w:szCs w:val="22"/>
          <w:lang w:val="es-EC" w:eastAsia="en-US" w:bidi="ar-SA"/>
        </w:rPr>
        <w:t>1.2</w:t>
      </w:r>
      <w:r w:rsidRPr="00576AF8">
        <w:rPr>
          <w:sz w:val="22"/>
          <w:szCs w:val="22"/>
          <w:lang w:val="es-EC" w:eastAsia="en-US" w:bidi="ar-SA"/>
        </w:rPr>
        <w:tab/>
      </w:r>
      <w:r w:rsidRPr="00576AF8">
        <w:rPr>
          <w:b/>
          <w:sz w:val="22"/>
          <w:szCs w:val="22"/>
          <w:lang w:val="es-EC" w:eastAsia="en-US" w:bidi="ar-SA"/>
        </w:rPr>
        <w:t xml:space="preserve">Requisitos operacionales que debe cumplir el </w:t>
      </w:r>
      <w:bookmarkEnd w:id="615"/>
      <w:bookmarkEnd w:id="616"/>
      <w:bookmarkEnd w:id="617"/>
      <w:bookmarkEnd w:id="618"/>
      <w:bookmarkEnd w:id="619"/>
      <w:r w:rsidRPr="00576AF8">
        <w:rPr>
          <w:b/>
          <w:sz w:val="22"/>
          <w:szCs w:val="22"/>
          <w:lang w:val="es-EC" w:eastAsia="en-US" w:bidi="ar-SA"/>
        </w:rPr>
        <w:t xml:space="preserve">sistema SCADA/EMS </w:t>
      </w:r>
      <w:bookmarkEnd w:id="620"/>
      <w:r w:rsidR="00593894" w:rsidRPr="00576AF8">
        <w:rPr>
          <w:b/>
          <w:sz w:val="22"/>
          <w:szCs w:val="22"/>
          <w:lang w:val="es-EC" w:eastAsia="en-US" w:bidi="ar-SA"/>
        </w:rPr>
        <w:t>del Comprador</w:t>
      </w:r>
    </w:p>
    <w:p w14:paraId="049AC7C3" w14:textId="77777777" w:rsidR="009102A7" w:rsidRPr="00576AF8" w:rsidRDefault="009102A7" w:rsidP="0031209B">
      <w:pPr>
        <w:ind w:left="720" w:hanging="578"/>
        <w:outlineLvl w:val="2"/>
        <w:rPr>
          <w:sz w:val="22"/>
          <w:szCs w:val="22"/>
        </w:rPr>
      </w:pPr>
      <w:bookmarkStart w:id="621" w:name="_Toc160455911"/>
      <w:bookmarkStart w:id="622" w:name="_Toc160706903"/>
      <w:bookmarkStart w:id="623" w:name="_Toc160707181"/>
      <w:bookmarkStart w:id="624" w:name="_Toc160707493"/>
      <w:bookmarkStart w:id="625" w:name="_Toc160707695"/>
      <w:bookmarkStart w:id="626" w:name="_Toc160707750"/>
      <w:bookmarkStart w:id="627" w:name="_Toc163137301"/>
      <w:r w:rsidRPr="00576AF8">
        <w:rPr>
          <w:sz w:val="22"/>
          <w:szCs w:val="22"/>
        </w:rPr>
        <w:t>1.2.1</w:t>
      </w:r>
      <w:r w:rsidRPr="00576AF8">
        <w:rPr>
          <w:sz w:val="22"/>
          <w:szCs w:val="22"/>
        </w:rPr>
        <w:tab/>
        <w:t xml:space="preserve">El </w:t>
      </w:r>
      <w:r w:rsidR="00CA46E1" w:rsidRPr="00576AF8">
        <w:rPr>
          <w:sz w:val="22"/>
          <w:szCs w:val="22"/>
        </w:rPr>
        <w:t>sistema SCADA/EMS</w:t>
      </w:r>
      <w:r w:rsidRPr="00576AF8">
        <w:rPr>
          <w:sz w:val="22"/>
          <w:szCs w:val="22"/>
        </w:rPr>
        <w:t xml:space="preserve"> </w:t>
      </w:r>
      <w:r w:rsidRPr="00576AF8">
        <w:rPr>
          <w:rFonts w:eastAsia="Calibri"/>
          <w:sz w:val="22"/>
          <w:szCs w:val="22"/>
        </w:rPr>
        <w:t>DEBERÁ cumplir con los siguientes requisitos operacionales:</w:t>
      </w:r>
      <w:bookmarkEnd w:id="621"/>
      <w:bookmarkEnd w:id="622"/>
      <w:bookmarkEnd w:id="623"/>
      <w:bookmarkEnd w:id="624"/>
      <w:bookmarkEnd w:id="625"/>
      <w:bookmarkEnd w:id="626"/>
      <w:bookmarkEnd w:id="627"/>
    </w:p>
    <w:p w14:paraId="40EE41CE" w14:textId="77777777" w:rsidR="009102A7" w:rsidRPr="00576AF8" w:rsidRDefault="009102A7" w:rsidP="008C0D90">
      <w:pPr>
        <w:ind w:left="993" w:hanging="11"/>
        <w:outlineLvl w:val="2"/>
        <w:rPr>
          <w:rFonts w:eastAsia="Calibri"/>
          <w:color w:val="000000"/>
          <w:sz w:val="22"/>
          <w:szCs w:val="22"/>
        </w:rPr>
      </w:pPr>
      <w:r w:rsidRPr="00576AF8">
        <w:rPr>
          <w:rFonts w:eastAsia="Calibri"/>
          <w:color w:val="000000"/>
          <w:sz w:val="22"/>
          <w:szCs w:val="22"/>
        </w:rPr>
        <w:t xml:space="preserve">1.2.1.1 </w:t>
      </w:r>
      <w:r w:rsidR="00CA46E1" w:rsidRPr="00576AF8">
        <w:rPr>
          <w:rFonts w:eastAsia="Calibri"/>
          <w:color w:val="000000"/>
          <w:sz w:val="22"/>
          <w:szCs w:val="22"/>
        </w:rPr>
        <w:t>Incluir</w:t>
      </w:r>
      <w:r w:rsidRPr="00576AF8">
        <w:rPr>
          <w:rFonts w:eastAsia="Calibri"/>
          <w:color w:val="000000"/>
          <w:sz w:val="22"/>
          <w:szCs w:val="22"/>
        </w:rPr>
        <w:t xml:space="preserve"> todo el hardware, los sistemas operativos, antivirus y las aplicaciones. Una configuración indicativa se ilustra en la Arquitectura del sistema, que se muestra en la </w:t>
      </w:r>
      <w:r w:rsidRPr="00576AF8">
        <w:rPr>
          <w:rFonts w:eastAsia="Calibri"/>
          <w:color w:val="000000"/>
          <w:sz w:val="22"/>
          <w:szCs w:val="22"/>
        </w:rPr>
        <w:fldChar w:fldCharType="begin"/>
      </w:r>
      <w:r w:rsidRPr="00576AF8">
        <w:rPr>
          <w:rFonts w:eastAsia="Calibri"/>
          <w:color w:val="000000"/>
          <w:sz w:val="22"/>
          <w:szCs w:val="22"/>
        </w:rPr>
        <w:instrText xml:space="preserve"> REF _Ref160607284 \h  \* MERGEFORMAT </w:instrText>
      </w:r>
      <w:r w:rsidRPr="00576AF8">
        <w:rPr>
          <w:rFonts w:eastAsia="Calibri"/>
          <w:color w:val="000000"/>
          <w:sz w:val="22"/>
          <w:szCs w:val="22"/>
        </w:rPr>
      </w:r>
      <w:r w:rsidRPr="00576AF8">
        <w:rPr>
          <w:rFonts w:eastAsia="Calibri"/>
          <w:color w:val="000000"/>
          <w:sz w:val="22"/>
          <w:szCs w:val="22"/>
        </w:rPr>
        <w:fldChar w:fldCharType="separate"/>
      </w:r>
      <w:r w:rsidRPr="00576AF8">
        <w:rPr>
          <w:sz w:val="22"/>
          <w:szCs w:val="22"/>
        </w:rPr>
        <w:t xml:space="preserve">Figura </w:t>
      </w:r>
      <w:r w:rsidRPr="00576AF8">
        <w:rPr>
          <w:b/>
          <w:noProof/>
          <w:sz w:val="22"/>
          <w:szCs w:val="22"/>
        </w:rPr>
        <w:t>1</w:t>
      </w:r>
      <w:r w:rsidRPr="00576AF8">
        <w:rPr>
          <w:rFonts w:eastAsia="Calibri"/>
          <w:color w:val="000000"/>
          <w:sz w:val="22"/>
          <w:szCs w:val="22"/>
        </w:rPr>
        <w:fldChar w:fldCharType="end"/>
      </w:r>
      <w:r w:rsidRPr="00576AF8">
        <w:rPr>
          <w:rFonts w:eastAsia="Calibri"/>
          <w:color w:val="000000"/>
          <w:sz w:val="22"/>
          <w:szCs w:val="22"/>
        </w:rPr>
        <w:t xml:space="preserve">. </w:t>
      </w:r>
      <w:r w:rsidR="00CA46E1" w:rsidRPr="00576AF8">
        <w:rPr>
          <w:rFonts w:eastAsia="Calibri"/>
          <w:color w:val="000000"/>
          <w:sz w:val="22"/>
          <w:szCs w:val="22"/>
        </w:rPr>
        <w:t>La</w:t>
      </w:r>
      <w:r w:rsidRPr="00576AF8">
        <w:rPr>
          <w:rFonts w:eastAsia="Calibri"/>
          <w:color w:val="000000"/>
          <w:sz w:val="22"/>
          <w:szCs w:val="22"/>
        </w:rPr>
        <w:t xml:space="preserve"> </w:t>
      </w:r>
      <w:proofErr w:type="gramStart"/>
      <w:r w:rsidRPr="00576AF8">
        <w:rPr>
          <w:rFonts w:eastAsia="Calibri"/>
          <w:color w:val="000000"/>
          <w:sz w:val="22"/>
          <w:szCs w:val="22"/>
        </w:rPr>
        <w:t xml:space="preserve">arquitecturas </w:t>
      </w:r>
      <w:r w:rsidR="00CA46E1" w:rsidRPr="00576AF8">
        <w:rPr>
          <w:rFonts w:eastAsia="Calibri"/>
          <w:color w:val="000000"/>
          <w:sz w:val="22"/>
          <w:szCs w:val="22"/>
        </w:rPr>
        <w:t>propuesta</w:t>
      </w:r>
      <w:proofErr w:type="gramEnd"/>
      <w:r w:rsidR="00CA46E1" w:rsidRPr="00576AF8">
        <w:rPr>
          <w:rFonts w:eastAsia="Calibri"/>
          <w:color w:val="000000"/>
          <w:sz w:val="22"/>
          <w:szCs w:val="22"/>
        </w:rPr>
        <w:t xml:space="preserve"> deberá adaptarse</w:t>
      </w:r>
      <w:r w:rsidRPr="00576AF8">
        <w:rPr>
          <w:rFonts w:eastAsia="Calibri"/>
          <w:color w:val="000000"/>
          <w:sz w:val="22"/>
          <w:szCs w:val="22"/>
        </w:rPr>
        <w:t xml:space="preserve"> a sus respectivos productos, siempre que se respeten los criterios de confiabilidad, disponibilidad y seguridad. Sin embargo, el número de estaciones de trabajo serán los indicados en la lista de equipamiento y servicios.</w:t>
      </w:r>
    </w:p>
    <w:p w14:paraId="0F5F5DFF" w14:textId="77777777" w:rsidR="009102A7" w:rsidRPr="00576AF8" w:rsidRDefault="009102A7" w:rsidP="009102A7">
      <w:pPr>
        <w:spacing w:before="59" w:after="0"/>
        <w:ind w:left="993" w:right="261" w:firstLine="2"/>
        <w:rPr>
          <w:rFonts w:eastAsia="Calibri"/>
          <w:color w:val="000000"/>
          <w:sz w:val="22"/>
          <w:szCs w:val="22"/>
        </w:rPr>
      </w:pPr>
    </w:p>
    <w:p w14:paraId="58A5B12A" w14:textId="2CB5C0BB" w:rsidR="00675215" w:rsidRPr="00576AF8" w:rsidRDefault="009102A7" w:rsidP="008C0D90">
      <w:pPr>
        <w:ind w:left="993" w:hanging="11"/>
        <w:outlineLvl w:val="2"/>
        <w:rPr>
          <w:rFonts w:eastAsia="Calibri"/>
          <w:color w:val="000000"/>
          <w:sz w:val="22"/>
          <w:szCs w:val="22"/>
        </w:rPr>
      </w:pPr>
      <w:r w:rsidRPr="00576AF8">
        <w:rPr>
          <w:rFonts w:eastAsia="Calibri"/>
          <w:color w:val="000000"/>
          <w:sz w:val="22"/>
          <w:szCs w:val="22"/>
        </w:rPr>
        <w:t xml:space="preserve">1.2.1.2 </w:t>
      </w:r>
      <w:r w:rsidR="00CA46E1" w:rsidRPr="00576AF8">
        <w:rPr>
          <w:rFonts w:eastAsia="Calibri"/>
          <w:color w:val="000000"/>
          <w:sz w:val="22"/>
          <w:szCs w:val="22"/>
        </w:rPr>
        <w:t>La</w:t>
      </w:r>
      <w:r w:rsidRPr="00576AF8">
        <w:rPr>
          <w:rFonts w:eastAsia="Calibri"/>
          <w:color w:val="000000"/>
          <w:sz w:val="22"/>
          <w:szCs w:val="22"/>
        </w:rPr>
        <w:t xml:space="preserve"> </w:t>
      </w:r>
      <w:r w:rsidR="005570B3" w:rsidRPr="00576AF8">
        <w:rPr>
          <w:rFonts w:eastAsia="Calibri"/>
          <w:color w:val="000000"/>
          <w:sz w:val="22"/>
          <w:szCs w:val="22"/>
        </w:rPr>
        <w:t>versión d</w:t>
      </w:r>
      <w:r w:rsidRPr="00576AF8">
        <w:rPr>
          <w:rFonts w:eastAsia="Calibri"/>
          <w:color w:val="000000"/>
          <w:sz w:val="22"/>
          <w:szCs w:val="22"/>
        </w:rPr>
        <w:t>el sistema SCADA/EMS</w:t>
      </w:r>
      <w:r w:rsidR="005570B3" w:rsidRPr="00576AF8">
        <w:rPr>
          <w:rFonts w:eastAsia="Calibri"/>
          <w:color w:val="000000"/>
          <w:sz w:val="22"/>
          <w:szCs w:val="22"/>
        </w:rPr>
        <w:t xml:space="preserve"> a ser sumistrada al Comprador</w:t>
      </w:r>
      <w:r w:rsidR="00556A8E" w:rsidRPr="00576AF8">
        <w:rPr>
          <w:rFonts w:eastAsia="Calibri"/>
          <w:color w:val="000000"/>
          <w:sz w:val="22"/>
          <w:szCs w:val="22"/>
        </w:rPr>
        <w:t>, debe haber evolucionado</w:t>
      </w:r>
      <w:r w:rsidR="0048419A" w:rsidRPr="00576AF8">
        <w:rPr>
          <w:rFonts w:eastAsia="Calibri"/>
          <w:color w:val="000000"/>
          <w:sz w:val="22"/>
          <w:szCs w:val="22"/>
        </w:rPr>
        <w:t xml:space="preserve"> en los últimos 2 años</w:t>
      </w:r>
      <w:r w:rsidR="00556A8E" w:rsidRPr="00576AF8">
        <w:rPr>
          <w:rFonts w:eastAsia="Calibri"/>
          <w:color w:val="000000"/>
          <w:sz w:val="22"/>
          <w:szCs w:val="22"/>
        </w:rPr>
        <w:t xml:space="preserve"> y</w:t>
      </w:r>
      <w:r w:rsidR="005570B3" w:rsidRPr="00576AF8">
        <w:rPr>
          <w:rFonts w:eastAsia="Calibri"/>
          <w:color w:val="000000"/>
          <w:sz w:val="22"/>
          <w:szCs w:val="22"/>
        </w:rPr>
        <w:t xml:space="preserve"> debe corresponder </w:t>
      </w:r>
      <w:r w:rsidR="00556A8E" w:rsidRPr="00576AF8">
        <w:rPr>
          <w:rFonts w:eastAsia="Calibri"/>
          <w:color w:val="000000"/>
          <w:sz w:val="22"/>
          <w:szCs w:val="22"/>
        </w:rPr>
        <w:t xml:space="preserve">a </w:t>
      </w:r>
      <w:r w:rsidR="008935B1">
        <w:rPr>
          <w:rFonts w:eastAsia="Calibri"/>
          <w:color w:val="000000"/>
          <w:sz w:val="22"/>
          <w:szCs w:val="22"/>
        </w:rPr>
        <w:t>la</w:t>
      </w:r>
      <w:r w:rsidR="005570B3" w:rsidRPr="00576AF8">
        <w:rPr>
          <w:rFonts w:eastAsia="Calibri"/>
          <w:color w:val="000000"/>
          <w:sz w:val="22"/>
          <w:szCs w:val="22"/>
        </w:rPr>
        <w:t xml:space="preserve"> </w:t>
      </w:r>
      <w:r w:rsidR="008935B1">
        <w:rPr>
          <w:rFonts w:eastAsia="Calibri"/>
          <w:color w:val="000000"/>
          <w:sz w:val="22"/>
          <w:szCs w:val="22"/>
        </w:rPr>
        <w:t xml:space="preserve">última o penúltima </w:t>
      </w:r>
      <w:r w:rsidR="005570B3" w:rsidRPr="00576AF8">
        <w:rPr>
          <w:rFonts w:eastAsia="Calibri"/>
          <w:color w:val="000000"/>
          <w:sz w:val="22"/>
          <w:szCs w:val="22"/>
        </w:rPr>
        <w:t>versión liberada comercialmente, instalada, probada, estable y en operación</w:t>
      </w:r>
      <w:r w:rsidR="008935B1">
        <w:rPr>
          <w:rFonts w:eastAsia="Calibri"/>
          <w:color w:val="000000"/>
          <w:sz w:val="22"/>
          <w:szCs w:val="22"/>
        </w:rPr>
        <w:t xml:space="preserve"> (indicar la versión ofertada).</w:t>
      </w:r>
      <w:r w:rsidR="005570B3" w:rsidRPr="00576AF8">
        <w:rPr>
          <w:rFonts w:eastAsia="Calibri"/>
          <w:color w:val="000000"/>
          <w:sz w:val="22"/>
          <w:szCs w:val="22"/>
        </w:rPr>
        <w:t xml:space="preserve"> </w:t>
      </w:r>
      <w:r w:rsidR="0064776F" w:rsidRPr="00576AF8">
        <w:rPr>
          <w:rFonts w:eastAsia="Calibri"/>
          <w:color w:val="000000"/>
          <w:sz w:val="22"/>
          <w:szCs w:val="22"/>
        </w:rPr>
        <w:t xml:space="preserve">Para el caso del software </w:t>
      </w:r>
      <w:proofErr w:type="gramStart"/>
      <w:r w:rsidR="0064776F" w:rsidRPr="00576AF8">
        <w:rPr>
          <w:rFonts w:eastAsia="Calibri"/>
          <w:color w:val="000000"/>
          <w:sz w:val="22"/>
          <w:szCs w:val="22"/>
        </w:rPr>
        <w:t>del terceros</w:t>
      </w:r>
      <w:proofErr w:type="gramEnd"/>
      <w:r w:rsidR="0064776F" w:rsidRPr="00576AF8">
        <w:rPr>
          <w:rFonts w:eastAsia="Calibri"/>
          <w:color w:val="000000"/>
          <w:sz w:val="22"/>
          <w:szCs w:val="22"/>
        </w:rPr>
        <w:t xml:space="preserve">, la versión de software entregado al Comprador corresponderá a la última versión </w:t>
      </w:r>
      <w:r w:rsidR="002B46E4" w:rsidRPr="00576AF8">
        <w:rPr>
          <w:rFonts w:eastAsia="Calibri"/>
          <w:color w:val="000000"/>
          <w:sz w:val="22"/>
          <w:szCs w:val="22"/>
        </w:rPr>
        <w:t>del mercado que sea compatible e interoperable con el software core</w:t>
      </w:r>
      <w:r w:rsidR="00556A8E" w:rsidRPr="00576AF8">
        <w:rPr>
          <w:rFonts w:eastAsia="Calibri"/>
          <w:color w:val="000000"/>
          <w:sz w:val="22"/>
          <w:szCs w:val="22"/>
        </w:rPr>
        <w:t>.</w:t>
      </w:r>
    </w:p>
    <w:p w14:paraId="678A7491" w14:textId="77777777" w:rsidR="00675215" w:rsidRPr="00576AF8" w:rsidRDefault="00675215" w:rsidP="009102A7">
      <w:pPr>
        <w:spacing w:before="59" w:after="0"/>
        <w:ind w:left="993" w:right="261" w:firstLine="2"/>
        <w:rPr>
          <w:rFonts w:eastAsia="Calibri"/>
          <w:color w:val="000000"/>
          <w:sz w:val="22"/>
          <w:szCs w:val="22"/>
        </w:rPr>
      </w:pPr>
    </w:p>
    <w:p w14:paraId="45A6D67C" w14:textId="77777777" w:rsidR="009102A7" w:rsidRPr="00576AF8" w:rsidRDefault="009102A7" w:rsidP="008C0D90">
      <w:pPr>
        <w:ind w:left="993" w:hanging="11"/>
        <w:outlineLvl w:val="2"/>
        <w:rPr>
          <w:rFonts w:eastAsia="Calibri"/>
          <w:color w:val="000000"/>
          <w:sz w:val="22"/>
          <w:szCs w:val="22"/>
        </w:rPr>
      </w:pPr>
      <w:r w:rsidRPr="00576AF8">
        <w:rPr>
          <w:rFonts w:eastAsia="Calibri"/>
          <w:color w:val="000000"/>
          <w:sz w:val="22"/>
          <w:szCs w:val="22"/>
        </w:rPr>
        <w:t xml:space="preserve">1.2.1.3 El </w:t>
      </w:r>
      <w:r w:rsidR="00223559" w:rsidRPr="00576AF8">
        <w:rPr>
          <w:rFonts w:eastAsia="Calibri"/>
          <w:color w:val="000000"/>
          <w:sz w:val="22"/>
          <w:szCs w:val="22"/>
        </w:rPr>
        <w:t>sistema SCADA/EMS</w:t>
      </w:r>
      <w:r w:rsidRPr="00576AF8">
        <w:rPr>
          <w:rFonts w:eastAsia="Calibri"/>
          <w:color w:val="000000"/>
          <w:sz w:val="22"/>
          <w:szCs w:val="22"/>
        </w:rPr>
        <w:t xml:space="preserve"> DEBERÁ cumplir con estándares internacionales de calidad y de seguridad para todo el equipamiento, software y diseño. Los servicios, equipos y demás bienes, serán diseñados y fabricados bajo los más altos estándares de ingeniería y requisitos técnicos y de calidad, además del estricto cumplimiento de las normas de ingeniería y regulatorias aplicables.</w:t>
      </w:r>
      <w:r w:rsidR="00C579B7" w:rsidRPr="00576AF8">
        <w:rPr>
          <w:rFonts w:eastAsia="Calibri"/>
          <w:color w:val="000000"/>
          <w:sz w:val="22"/>
          <w:szCs w:val="22"/>
        </w:rPr>
        <w:t xml:space="preserve"> Los estándares requeridos se presentan en la sección B, numeral 1.1.</w:t>
      </w:r>
      <w:r w:rsidR="00B72473" w:rsidRPr="00576AF8">
        <w:rPr>
          <w:rFonts w:eastAsia="Calibri"/>
          <w:color w:val="000000"/>
          <w:sz w:val="22"/>
          <w:szCs w:val="22"/>
        </w:rPr>
        <w:t>1.</w:t>
      </w:r>
      <w:r w:rsidR="00C579B7" w:rsidRPr="00576AF8">
        <w:rPr>
          <w:rFonts w:eastAsia="Calibri"/>
          <w:color w:val="000000"/>
          <w:sz w:val="22"/>
          <w:szCs w:val="22"/>
        </w:rPr>
        <w:t>2.</w:t>
      </w:r>
    </w:p>
    <w:p w14:paraId="2C7F3DE5" w14:textId="77777777" w:rsidR="009102A7" w:rsidRPr="00576AF8" w:rsidRDefault="009102A7" w:rsidP="009102A7">
      <w:pPr>
        <w:spacing w:before="59" w:after="0"/>
        <w:ind w:left="993" w:right="261" w:firstLine="2"/>
        <w:rPr>
          <w:rFonts w:eastAsia="Calibri"/>
          <w:sz w:val="22"/>
          <w:szCs w:val="22"/>
        </w:rPr>
      </w:pPr>
    </w:p>
    <w:p w14:paraId="287654C8" w14:textId="77777777" w:rsidR="009102A7" w:rsidRPr="00576AF8" w:rsidRDefault="009102A7" w:rsidP="008C0D90">
      <w:pPr>
        <w:outlineLvl w:val="2"/>
        <w:rPr>
          <w:b/>
          <w:sz w:val="22"/>
          <w:szCs w:val="22"/>
          <w:lang w:val="es-EC" w:eastAsia="en-US" w:bidi="ar-SA"/>
        </w:rPr>
      </w:pPr>
      <w:bookmarkStart w:id="628" w:name="_Toc454958719"/>
      <w:bookmarkStart w:id="629" w:name="_Toc476310094"/>
      <w:bookmarkStart w:id="630" w:name="_Toc482896423"/>
      <w:bookmarkStart w:id="631" w:name="_Toc99868847"/>
      <w:bookmarkStart w:id="632" w:name="_Toc160455912"/>
      <w:bookmarkStart w:id="633" w:name="_Toc163137302"/>
      <w:bookmarkStart w:id="634" w:name="_Toc521498254"/>
      <w:r w:rsidRPr="00576AF8">
        <w:rPr>
          <w:b/>
          <w:sz w:val="22"/>
          <w:szCs w:val="22"/>
          <w:lang w:val="es-EC" w:eastAsia="en-US" w:bidi="ar-SA"/>
        </w:rPr>
        <w:t>1.3</w:t>
      </w:r>
      <w:r w:rsidRPr="00576AF8">
        <w:rPr>
          <w:b/>
          <w:sz w:val="22"/>
          <w:szCs w:val="22"/>
          <w:lang w:val="es-EC" w:eastAsia="en-US" w:bidi="ar-SA"/>
        </w:rPr>
        <w:tab/>
        <w:t xml:space="preserve">Requisitos de arquitectura que debe cumplir el Sistema SCADA/EMS </w:t>
      </w:r>
      <w:bookmarkEnd w:id="628"/>
      <w:bookmarkEnd w:id="629"/>
      <w:bookmarkEnd w:id="630"/>
      <w:bookmarkEnd w:id="631"/>
      <w:bookmarkEnd w:id="632"/>
      <w:bookmarkEnd w:id="633"/>
      <w:r w:rsidR="00593894" w:rsidRPr="00576AF8">
        <w:rPr>
          <w:b/>
          <w:sz w:val="22"/>
          <w:szCs w:val="22"/>
          <w:lang w:val="es-EC" w:eastAsia="en-US" w:bidi="ar-SA"/>
        </w:rPr>
        <w:t>del Comprador</w:t>
      </w:r>
    </w:p>
    <w:p w14:paraId="5E9F4749" w14:textId="77777777" w:rsidR="009102A7" w:rsidRPr="00576AF8" w:rsidRDefault="009102A7" w:rsidP="009102A7">
      <w:pPr>
        <w:ind w:left="720" w:hanging="720"/>
        <w:outlineLvl w:val="2"/>
        <w:rPr>
          <w:sz w:val="22"/>
        </w:rPr>
      </w:pPr>
      <w:bookmarkStart w:id="635" w:name="_Toc160706904"/>
      <w:bookmarkStart w:id="636" w:name="_Toc160707182"/>
      <w:bookmarkStart w:id="637" w:name="_Toc160707494"/>
      <w:bookmarkStart w:id="638" w:name="_Toc160707696"/>
      <w:bookmarkStart w:id="639" w:name="_Toc160707751"/>
      <w:bookmarkStart w:id="640" w:name="_Toc163137303"/>
      <w:r w:rsidRPr="00576AF8">
        <w:rPr>
          <w:sz w:val="22"/>
        </w:rPr>
        <w:t>1.3.1</w:t>
      </w:r>
      <w:r w:rsidRPr="00576AF8">
        <w:rPr>
          <w:b/>
          <w:sz w:val="22"/>
        </w:rPr>
        <w:tab/>
      </w:r>
      <w:r w:rsidRPr="00576AF8">
        <w:rPr>
          <w:sz w:val="22"/>
        </w:rPr>
        <w:t>El n</w:t>
      </w:r>
      <w:r w:rsidRPr="00576AF8">
        <w:rPr>
          <w:rFonts w:eastAsia="Calibri"/>
          <w:sz w:val="22"/>
        </w:rPr>
        <w:t>uevo SCADA/EMS para CENACE,</w:t>
      </w:r>
      <w:r w:rsidRPr="00576AF8">
        <w:rPr>
          <w:sz w:val="22"/>
        </w:rPr>
        <w:t xml:space="preserve"> DEBERÁ suministrarse y configurarse para implementar la siguiente arquitectura.</w:t>
      </w:r>
      <w:bookmarkEnd w:id="635"/>
      <w:bookmarkEnd w:id="636"/>
      <w:bookmarkEnd w:id="637"/>
      <w:bookmarkEnd w:id="638"/>
      <w:bookmarkEnd w:id="639"/>
      <w:bookmarkEnd w:id="640"/>
    </w:p>
    <w:p w14:paraId="1F7E9210" w14:textId="77777777" w:rsidR="009102A7" w:rsidRPr="00576AF8" w:rsidRDefault="009102A7" w:rsidP="009102A7">
      <w:pPr>
        <w:ind w:left="720" w:hanging="720"/>
        <w:outlineLvl w:val="2"/>
        <w:rPr>
          <w:b/>
          <w:color w:val="4472C4"/>
          <w:sz w:val="22"/>
          <w:szCs w:val="22"/>
        </w:rPr>
      </w:pPr>
      <w:r w:rsidRPr="00576AF8">
        <w:rPr>
          <w:b/>
          <w:bCs/>
          <w:sz w:val="22"/>
          <w:szCs w:val="22"/>
        </w:rPr>
        <w:t>1.3.1.2</w:t>
      </w:r>
      <w:r w:rsidRPr="00576AF8">
        <w:rPr>
          <w:b/>
          <w:sz w:val="22"/>
        </w:rPr>
        <w:tab/>
      </w:r>
      <w:r w:rsidRPr="00576AF8">
        <w:rPr>
          <w:b/>
          <w:bCs/>
          <w:sz w:val="22"/>
          <w:szCs w:val="22"/>
          <w:u w:val="single"/>
        </w:rPr>
        <w:t>Arquitectura del software</w:t>
      </w:r>
      <w:r w:rsidRPr="00576AF8">
        <w:rPr>
          <w:b/>
          <w:bCs/>
          <w:sz w:val="22"/>
          <w:szCs w:val="22"/>
        </w:rPr>
        <w:t>:</w:t>
      </w:r>
      <w:r w:rsidRPr="00576AF8">
        <w:rPr>
          <w:b/>
          <w:sz w:val="22"/>
          <w:szCs w:val="22"/>
        </w:rPr>
        <w:t xml:space="preserve"> El sistema SCADA/EMS DEBERÁ implementarse dentro de un entorno </w:t>
      </w:r>
      <w:r w:rsidRPr="00576AF8">
        <w:rPr>
          <w:rFonts w:eastAsia="Calibri"/>
          <w:b/>
          <w:sz w:val="22"/>
          <w:szCs w:val="22"/>
        </w:rPr>
        <w:t>físico, virtual o una combinación de las dos soluciones anteriores (no se aceptará hiperconvergencia para el caso del entorno virtual);</w:t>
      </w:r>
      <w:r w:rsidRPr="00576AF8">
        <w:rPr>
          <w:b/>
          <w:sz w:val="22"/>
          <w:szCs w:val="22"/>
        </w:rPr>
        <w:t xml:space="preserve"> conformado por el hardware y software que se detallan en este documento.</w:t>
      </w:r>
    </w:p>
    <w:p w14:paraId="55B641C8" w14:textId="77777777" w:rsidR="009102A7" w:rsidRPr="00576AF8" w:rsidRDefault="009102A7" w:rsidP="009102A7">
      <w:pPr>
        <w:ind w:left="709" w:right="4"/>
        <w:rPr>
          <w:sz w:val="22"/>
          <w:szCs w:val="22"/>
        </w:rPr>
      </w:pPr>
      <w:r w:rsidRPr="00576AF8">
        <w:rPr>
          <w:sz w:val="22"/>
          <w:szCs w:val="22"/>
        </w:rPr>
        <w:t xml:space="preserve">Dicha arquitectura tomará como referencia la arquitectura general que se presenta a </w:t>
      </w:r>
      <w:r w:rsidRPr="00576AF8">
        <w:rPr>
          <w:rFonts w:eastAsia="Calibri"/>
          <w:sz w:val="22"/>
          <w:szCs w:val="22"/>
        </w:rPr>
        <w:t>continuación</w:t>
      </w:r>
      <w:r w:rsidRPr="00576AF8">
        <w:rPr>
          <w:sz w:val="22"/>
          <w:szCs w:val="22"/>
        </w:rPr>
        <w:t>:</w:t>
      </w:r>
    </w:p>
    <w:p w14:paraId="4C068AEB" w14:textId="77777777" w:rsidR="009102A7" w:rsidRPr="00576AF8" w:rsidRDefault="009102A7" w:rsidP="009102A7">
      <w:pPr>
        <w:ind w:left="720" w:hanging="720"/>
        <w:outlineLvl w:val="2"/>
        <w:rPr>
          <w:rFonts w:eastAsia="Calibri"/>
          <w:sz w:val="22"/>
          <w:szCs w:val="22"/>
        </w:rPr>
      </w:pPr>
      <w:r w:rsidRPr="00576AF8">
        <w:rPr>
          <w:rFonts w:eastAsia="Calibri"/>
          <w:b/>
          <w:sz w:val="22"/>
          <w:szCs w:val="22"/>
        </w:rPr>
        <w:t>1.3.1.2.</w:t>
      </w:r>
      <w:r w:rsidRPr="00576AF8">
        <w:rPr>
          <w:b/>
          <w:sz w:val="22"/>
          <w:szCs w:val="22"/>
          <w:lang w:val="es-EC" w:eastAsia="en-US" w:bidi="ar-SA"/>
        </w:rPr>
        <w:t>1 Requerimientos</w:t>
      </w:r>
      <w:r w:rsidRPr="00576AF8">
        <w:rPr>
          <w:rFonts w:eastAsia="Calibri"/>
          <w:b/>
          <w:sz w:val="22"/>
          <w:szCs w:val="22"/>
        </w:rPr>
        <w:t xml:space="preserve"> Generales</w:t>
      </w:r>
    </w:p>
    <w:p w14:paraId="320C3D7A" w14:textId="77777777" w:rsidR="009102A7" w:rsidRPr="00576AF8" w:rsidRDefault="009102A7" w:rsidP="009102A7">
      <w:pPr>
        <w:ind w:left="709" w:right="4"/>
        <w:rPr>
          <w:rFonts w:eastAsia="Calibri"/>
          <w:color w:val="000000"/>
          <w:sz w:val="22"/>
          <w:szCs w:val="22"/>
        </w:rPr>
      </w:pPr>
      <w:r w:rsidRPr="00576AF8">
        <w:rPr>
          <w:rFonts w:eastAsia="Calibri"/>
          <w:sz w:val="22"/>
          <w:szCs w:val="22"/>
        </w:rPr>
        <w:t xml:space="preserve">La </w:t>
      </w:r>
      <w:r w:rsidRPr="00576AF8">
        <w:rPr>
          <w:rFonts w:eastAsia="Calibri"/>
          <w:color w:val="000000"/>
          <w:sz w:val="22"/>
          <w:szCs w:val="22"/>
        </w:rPr>
        <w:t xml:space="preserve">arquitectura del sistema SCADA/EMS </w:t>
      </w:r>
      <w:r w:rsidR="0066536A" w:rsidRPr="00576AF8">
        <w:rPr>
          <w:rFonts w:eastAsia="Calibri"/>
          <w:color w:val="000000"/>
          <w:sz w:val="22"/>
        </w:rPr>
        <w:t xml:space="preserve">deberá ser </w:t>
      </w:r>
      <w:r w:rsidRPr="00576AF8">
        <w:rPr>
          <w:rFonts w:eastAsia="Calibri"/>
          <w:color w:val="000000"/>
          <w:sz w:val="22"/>
        </w:rPr>
        <w:t>diseñada</w:t>
      </w:r>
      <w:r w:rsidRPr="00576AF8">
        <w:rPr>
          <w:rFonts w:eastAsia="Calibri"/>
          <w:color w:val="000000"/>
          <w:sz w:val="22"/>
          <w:szCs w:val="22"/>
        </w:rPr>
        <w:t xml:space="preserve"> para cumplir con los requisitos y las funcionalidades descritas en este documento de forma completa</w:t>
      </w:r>
      <w:r w:rsidR="00E852E1" w:rsidRPr="00576AF8">
        <w:rPr>
          <w:rFonts w:eastAsia="Calibri"/>
          <w:color w:val="000000"/>
          <w:sz w:val="22"/>
          <w:szCs w:val="22"/>
        </w:rPr>
        <w:t>,</w:t>
      </w:r>
      <w:r w:rsidRPr="00576AF8">
        <w:rPr>
          <w:rFonts w:eastAsia="Calibri"/>
          <w:color w:val="000000"/>
          <w:sz w:val="22"/>
          <w:szCs w:val="22"/>
        </w:rPr>
        <w:t xml:space="preserve"> será denominado como Centro de Control </w:t>
      </w:r>
      <w:r w:rsidR="00593894" w:rsidRPr="00576AF8">
        <w:rPr>
          <w:rFonts w:eastAsia="Calibri"/>
          <w:color w:val="000000"/>
          <w:sz w:val="22"/>
          <w:szCs w:val="22"/>
        </w:rPr>
        <w:t>del Comprador</w:t>
      </w:r>
      <w:r w:rsidRPr="00576AF8">
        <w:rPr>
          <w:rFonts w:eastAsia="Calibri"/>
          <w:color w:val="000000"/>
          <w:sz w:val="22"/>
          <w:szCs w:val="22"/>
        </w:rPr>
        <w:t xml:space="preserve"> y </w:t>
      </w:r>
      <w:r w:rsidR="00593894" w:rsidRPr="00576AF8">
        <w:rPr>
          <w:rFonts w:eastAsia="Calibri"/>
          <w:color w:val="000000"/>
          <w:sz w:val="22"/>
          <w:szCs w:val="22"/>
        </w:rPr>
        <w:t xml:space="preserve">será instalado </w:t>
      </w:r>
      <w:r w:rsidRPr="00576AF8">
        <w:rPr>
          <w:rFonts w:eastAsia="Calibri"/>
          <w:color w:val="000000"/>
          <w:sz w:val="22"/>
          <w:szCs w:val="22"/>
        </w:rPr>
        <w:t>en el edificio sede de CENACE, el componente de QAS que forma parte del Centro de Control estará ubicado fuera de las instalaciones de CENACE.</w:t>
      </w:r>
    </w:p>
    <w:p w14:paraId="1A9F3E93" w14:textId="77777777" w:rsidR="009102A7" w:rsidRPr="00576AF8" w:rsidRDefault="009102A7" w:rsidP="009102A7">
      <w:pPr>
        <w:ind w:left="709" w:right="4"/>
        <w:rPr>
          <w:sz w:val="22"/>
          <w:szCs w:val="22"/>
        </w:rPr>
      </w:pPr>
      <w:r w:rsidRPr="00576AF8">
        <w:rPr>
          <w:rFonts w:eastAsia="Calibri"/>
          <w:sz w:val="22"/>
          <w:szCs w:val="22"/>
        </w:rPr>
        <w:lastRenderedPageBreak/>
        <w:t xml:space="preserve">La arquitectura del sistema </w:t>
      </w:r>
      <w:r w:rsidR="00E852E1" w:rsidRPr="00576AF8">
        <w:rPr>
          <w:rFonts w:eastAsia="Calibri"/>
          <w:sz w:val="22"/>
          <w:szCs w:val="22"/>
        </w:rPr>
        <w:t xml:space="preserve">debe ser </w:t>
      </w:r>
      <w:r w:rsidRPr="00576AF8">
        <w:rPr>
          <w:rFonts w:eastAsia="Calibri"/>
          <w:sz w:val="22"/>
        </w:rPr>
        <w:t>diseña</w:t>
      </w:r>
      <w:r w:rsidR="00E852E1" w:rsidRPr="00576AF8">
        <w:rPr>
          <w:rFonts w:eastAsia="Calibri"/>
          <w:sz w:val="22"/>
        </w:rPr>
        <w:t>da</w:t>
      </w:r>
      <w:r w:rsidRPr="00576AF8">
        <w:rPr>
          <w:rFonts w:eastAsia="Calibri"/>
          <w:sz w:val="22"/>
          <w:szCs w:val="22"/>
        </w:rPr>
        <w:t xml:space="preserve"> para garantizar la tolerancia a fallos, preservando en todo momento la disponibilidad de la información proveniente del hardware, software o comunicaciones. El sistema mantendrá su funcionalidad y disponibilidad global incluso cuando componentes del mismo hayan fallado o se hayan degradado. En caso de fallas de enlaces, equipos o servicios, se activará una alarma para alertar al operador y al personal encargado de solucionar esta anomalía.</w:t>
      </w:r>
    </w:p>
    <w:p w14:paraId="6A304B4A" w14:textId="77777777" w:rsidR="009102A7" w:rsidRPr="00576AF8" w:rsidRDefault="009102A7" w:rsidP="009102A7">
      <w:pPr>
        <w:ind w:left="709" w:right="4"/>
        <w:rPr>
          <w:rFonts w:eastAsia="Calibri"/>
          <w:sz w:val="22"/>
          <w:szCs w:val="22"/>
        </w:rPr>
      </w:pPr>
      <w:r w:rsidRPr="00576AF8">
        <w:rPr>
          <w:rFonts w:eastAsia="Calibri"/>
          <w:sz w:val="22"/>
          <w:szCs w:val="22"/>
        </w:rPr>
        <w:t xml:space="preserve">El sistema </w:t>
      </w:r>
      <w:r w:rsidR="00E852E1" w:rsidRPr="00576AF8">
        <w:rPr>
          <w:rFonts w:eastAsia="Calibri"/>
          <w:sz w:val="22"/>
          <w:szCs w:val="22"/>
        </w:rPr>
        <w:t xml:space="preserve">debe </w:t>
      </w:r>
      <w:r w:rsidRPr="00576AF8">
        <w:rPr>
          <w:rFonts w:eastAsia="Calibri"/>
          <w:sz w:val="22"/>
          <w:szCs w:val="22"/>
        </w:rPr>
        <w:t>utilizar componentes redundantes para garantizar su disponibilidad y confiabilidad, es decir, en el caso que un componente falle, pueda ser reemplazado sin perder datos.</w:t>
      </w:r>
    </w:p>
    <w:p w14:paraId="59C5576F" w14:textId="77777777" w:rsidR="009102A7" w:rsidRPr="00576AF8" w:rsidRDefault="009102A7" w:rsidP="009102A7">
      <w:pPr>
        <w:ind w:left="709" w:right="4"/>
        <w:rPr>
          <w:rFonts w:eastAsia="Arial"/>
          <w:sz w:val="22"/>
          <w:szCs w:val="22"/>
        </w:rPr>
      </w:pPr>
      <w:r w:rsidRPr="00576AF8">
        <w:rPr>
          <w:rFonts w:eastAsia="Calibri"/>
          <w:sz w:val="22"/>
          <w:szCs w:val="22"/>
        </w:rPr>
        <w:t xml:space="preserve">El sistema </w:t>
      </w:r>
      <w:r w:rsidR="00E852E1" w:rsidRPr="00576AF8">
        <w:rPr>
          <w:rFonts w:eastAsia="Calibri"/>
          <w:sz w:val="22"/>
          <w:szCs w:val="22"/>
        </w:rPr>
        <w:t xml:space="preserve">debe utilizará </w:t>
      </w:r>
      <w:r w:rsidRPr="00576AF8">
        <w:rPr>
          <w:rFonts w:eastAsia="Calibri"/>
          <w:sz w:val="22"/>
          <w:szCs w:val="22"/>
        </w:rPr>
        <w:t xml:space="preserve">mecanismos de detección y recuperación de fallos </w:t>
      </w:r>
      <w:r w:rsidR="00D272B7" w:rsidRPr="00576AF8">
        <w:rPr>
          <w:rFonts w:eastAsia="Calibri"/>
          <w:sz w:val="22"/>
          <w:szCs w:val="22"/>
        </w:rPr>
        <w:t xml:space="preserve">en alguno de los componentes redundantes </w:t>
      </w:r>
      <w:r w:rsidRPr="00576AF8">
        <w:rPr>
          <w:rFonts w:eastAsia="Calibri"/>
          <w:sz w:val="22"/>
          <w:szCs w:val="22"/>
        </w:rPr>
        <w:t>con el propósito de detectar y recuperarse de fallos de manera ágil y efectiva</w:t>
      </w:r>
      <w:r w:rsidR="00D272B7" w:rsidRPr="00576AF8">
        <w:rPr>
          <w:rFonts w:eastAsia="Calibri"/>
          <w:sz w:val="22"/>
          <w:szCs w:val="22"/>
        </w:rPr>
        <w:t>, conforme lo detallado en la sección</w:t>
      </w:r>
      <w:r w:rsidR="00B72473" w:rsidRPr="00576AF8">
        <w:rPr>
          <w:rFonts w:eastAsia="Calibri"/>
          <w:sz w:val="22"/>
          <w:szCs w:val="22"/>
        </w:rPr>
        <w:t xml:space="preserve"> C, numeral</w:t>
      </w:r>
      <w:r w:rsidR="00D272B7" w:rsidRPr="00576AF8">
        <w:rPr>
          <w:rFonts w:eastAsia="Calibri"/>
          <w:sz w:val="22"/>
          <w:szCs w:val="22"/>
        </w:rPr>
        <w:t xml:space="preserve"> 2.1.1.1.8</w:t>
      </w:r>
      <w:r w:rsidRPr="00576AF8">
        <w:rPr>
          <w:rFonts w:eastAsia="Arial"/>
          <w:sz w:val="22"/>
          <w:szCs w:val="22"/>
        </w:rPr>
        <w:t>.</w:t>
      </w:r>
      <w:r w:rsidR="00B72473" w:rsidRPr="00576AF8">
        <w:rPr>
          <w:rFonts w:eastAsia="Arial"/>
          <w:sz w:val="22"/>
          <w:szCs w:val="22"/>
        </w:rPr>
        <w:t>5</w:t>
      </w:r>
    </w:p>
    <w:p w14:paraId="02B81957" w14:textId="77777777" w:rsidR="009102A7" w:rsidRPr="00576AF8" w:rsidRDefault="009102A7" w:rsidP="009102A7">
      <w:pPr>
        <w:ind w:left="709" w:right="4"/>
        <w:rPr>
          <w:sz w:val="22"/>
          <w:szCs w:val="22"/>
        </w:rPr>
      </w:pPr>
      <w:r w:rsidRPr="00576AF8">
        <w:rPr>
          <w:rFonts w:eastAsia="Calibri"/>
          <w:sz w:val="22"/>
          <w:szCs w:val="22"/>
        </w:rPr>
        <w:t>La solución propuesta por el proveedor puede basarse exclusivamente en servidores físicos, servidores virtuales o una combinación de ambos (no se aceptará hiperconvergencia para el caso del entorno virtual). Esta solución utilizará las tecnologías más recientes y probadas en otros sistemas instalados por el proveedor.</w:t>
      </w:r>
    </w:p>
    <w:p w14:paraId="6BB0D42D" w14:textId="77777777" w:rsidR="009102A7" w:rsidRPr="00576AF8" w:rsidRDefault="009102A7" w:rsidP="009102A7">
      <w:pPr>
        <w:ind w:left="720" w:hanging="720"/>
        <w:outlineLvl w:val="2"/>
        <w:rPr>
          <w:rFonts w:eastAsia="Calibri"/>
          <w:sz w:val="22"/>
          <w:szCs w:val="22"/>
        </w:rPr>
      </w:pPr>
      <w:bookmarkStart w:id="641" w:name="_Toc160268886"/>
      <w:r w:rsidRPr="00576AF8">
        <w:rPr>
          <w:rFonts w:eastAsia="Calibri"/>
          <w:b/>
          <w:sz w:val="22"/>
          <w:szCs w:val="22"/>
        </w:rPr>
        <w:t>1.3.1.2.</w:t>
      </w:r>
      <w:r w:rsidRPr="00576AF8">
        <w:rPr>
          <w:b/>
          <w:sz w:val="22"/>
          <w:szCs w:val="22"/>
          <w:lang w:val="es-EC" w:eastAsia="en-US" w:bidi="ar-SA"/>
        </w:rPr>
        <w:t>1</w:t>
      </w:r>
      <w:r w:rsidRPr="00576AF8">
        <w:rPr>
          <w:rFonts w:eastAsia="Calibri"/>
          <w:b/>
          <w:sz w:val="22"/>
          <w:szCs w:val="22"/>
        </w:rPr>
        <w:t>.1 Definición de entornos y zonas</w:t>
      </w:r>
      <w:bookmarkEnd w:id="641"/>
    </w:p>
    <w:p w14:paraId="79C8BDAE" w14:textId="77777777" w:rsidR="009102A7" w:rsidRPr="00576AF8" w:rsidRDefault="009102A7" w:rsidP="009102A7">
      <w:pPr>
        <w:ind w:left="709" w:right="4"/>
        <w:rPr>
          <w:sz w:val="22"/>
          <w:szCs w:val="22"/>
        </w:rPr>
      </w:pPr>
      <w:r w:rsidRPr="00576AF8">
        <w:rPr>
          <w:rFonts w:eastAsia="Calibri"/>
          <w:color w:val="000000"/>
          <w:sz w:val="22"/>
          <w:szCs w:val="22"/>
        </w:rPr>
        <w:t xml:space="preserve">La arquitectura del sistema </w:t>
      </w:r>
      <w:r w:rsidR="00E852E1" w:rsidRPr="00576AF8">
        <w:rPr>
          <w:rFonts w:eastAsia="Calibri"/>
          <w:color w:val="000000"/>
          <w:sz w:val="22"/>
          <w:szCs w:val="22"/>
        </w:rPr>
        <w:t>se deberá crear</w:t>
      </w:r>
      <w:r w:rsidRPr="00576AF8">
        <w:rPr>
          <w:rFonts w:eastAsia="Calibri"/>
          <w:color w:val="000000"/>
          <w:sz w:val="22"/>
          <w:szCs w:val="22"/>
        </w:rPr>
        <w:t xml:space="preserve"> mediante la definición de cuatro entornos operativos:</w:t>
      </w:r>
    </w:p>
    <w:p w14:paraId="2521AC61" w14:textId="77777777" w:rsidR="009102A7" w:rsidRPr="00576AF8" w:rsidRDefault="009102A7" w:rsidP="009102A7">
      <w:pPr>
        <w:numPr>
          <w:ilvl w:val="0"/>
          <w:numId w:val="217"/>
        </w:numPr>
        <w:spacing w:after="0"/>
        <w:ind w:right="-20"/>
        <w:contextualSpacing/>
        <w:rPr>
          <w:rFonts w:eastAsia="Calibri"/>
          <w:color w:val="000000"/>
          <w:sz w:val="22"/>
          <w:szCs w:val="22"/>
        </w:rPr>
      </w:pPr>
      <w:r w:rsidRPr="00576AF8">
        <w:rPr>
          <w:rFonts w:eastAsia="Calibri"/>
          <w:color w:val="000000"/>
          <w:sz w:val="22"/>
          <w:szCs w:val="22"/>
        </w:rPr>
        <w:t>Entorno de producción</w:t>
      </w:r>
    </w:p>
    <w:p w14:paraId="17DEDBEF" w14:textId="77777777" w:rsidR="009102A7" w:rsidRPr="00576AF8" w:rsidRDefault="009102A7" w:rsidP="009102A7">
      <w:pPr>
        <w:numPr>
          <w:ilvl w:val="0"/>
          <w:numId w:val="217"/>
        </w:numPr>
        <w:spacing w:after="0"/>
        <w:ind w:right="-20"/>
        <w:contextualSpacing/>
        <w:rPr>
          <w:rFonts w:eastAsia="Calibri"/>
          <w:color w:val="000000"/>
          <w:sz w:val="22"/>
          <w:szCs w:val="22"/>
        </w:rPr>
      </w:pPr>
      <w:r w:rsidRPr="00576AF8">
        <w:rPr>
          <w:rFonts w:eastAsia="Calibri"/>
          <w:color w:val="000000"/>
          <w:sz w:val="22"/>
          <w:szCs w:val="22"/>
        </w:rPr>
        <w:t>Entorno de Ingeniería y Entrenamiento</w:t>
      </w:r>
    </w:p>
    <w:p w14:paraId="5BA8195E" w14:textId="77777777" w:rsidR="009102A7" w:rsidRPr="00576AF8" w:rsidRDefault="009102A7" w:rsidP="009102A7">
      <w:pPr>
        <w:numPr>
          <w:ilvl w:val="0"/>
          <w:numId w:val="217"/>
        </w:numPr>
        <w:spacing w:after="0"/>
        <w:ind w:right="-20"/>
        <w:contextualSpacing/>
        <w:rPr>
          <w:rFonts w:eastAsia="Calibri"/>
          <w:color w:val="000000"/>
          <w:sz w:val="22"/>
          <w:szCs w:val="22"/>
        </w:rPr>
      </w:pPr>
      <w:r w:rsidRPr="00576AF8">
        <w:rPr>
          <w:rFonts w:eastAsia="Calibri"/>
          <w:color w:val="000000"/>
          <w:sz w:val="22"/>
          <w:szCs w:val="22"/>
        </w:rPr>
        <w:t>Entorno de Infraestructura y Seguridad</w:t>
      </w:r>
    </w:p>
    <w:p w14:paraId="5AE2182B" w14:textId="77777777" w:rsidR="009102A7" w:rsidRPr="00576AF8" w:rsidRDefault="009102A7" w:rsidP="009102A7">
      <w:pPr>
        <w:numPr>
          <w:ilvl w:val="0"/>
          <w:numId w:val="217"/>
        </w:numPr>
        <w:spacing w:after="0"/>
        <w:ind w:right="-20"/>
        <w:contextualSpacing/>
        <w:rPr>
          <w:rFonts w:eastAsia="Calibri"/>
          <w:color w:val="000000"/>
          <w:sz w:val="22"/>
          <w:szCs w:val="22"/>
        </w:rPr>
      </w:pPr>
      <w:r w:rsidRPr="00576AF8">
        <w:rPr>
          <w:rFonts w:eastAsia="Calibri"/>
          <w:color w:val="000000"/>
          <w:sz w:val="22"/>
          <w:szCs w:val="22"/>
        </w:rPr>
        <w:t>Entorno Intermedio Empresarial</w:t>
      </w:r>
    </w:p>
    <w:p w14:paraId="2EC60E7A" w14:textId="77777777" w:rsidR="009102A7" w:rsidRPr="00576AF8" w:rsidRDefault="009102A7" w:rsidP="009102A7">
      <w:pPr>
        <w:spacing w:before="240"/>
        <w:ind w:left="709" w:right="4"/>
        <w:rPr>
          <w:sz w:val="22"/>
          <w:szCs w:val="22"/>
        </w:rPr>
      </w:pPr>
      <w:r w:rsidRPr="00576AF8">
        <w:rPr>
          <w:rFonts w:eastAsia="Calibri"/>
          <w:color w:val="000000"/>
          <w:sz w:val="22"/>
          <w:szCs w:val="22"/>
        </w:rPr>
        <w:t xml:space="preserve">Cada uno de los entornos listados </w:t>
      </w:r>
      <w:r w:rsidR="0066536A" w:rsidRPr="00576AF8">
        <w:rPr>
          <w:rFonts w:eastAsia="Calibri"/>
          <w:color w:val="000000"/>
          <w:sz w:val="22"/>
          <w:szCs w:val="22"/>
        </w:rPr>
        <w:t xml:space="preserve">deberá estar </w:t>
      </w:r>
      <w:r w:rsidRPr="00576AF8">
        <w:rPr>
          <w:rFonts w:eastAsia="Calibri"/>
          <w:color w:val="000000"/>
          <w:sz w:val="22"/>
          <w:szCs w:val="22"/>
        </w:rPr>
        <w:t xml:space="preserve">compuesto por zonas de seguridad con la finalidad de crear el </w:t>
      </w:r>
      <w:r w:rsidRPr="00576AF8">
        <w:rPr>
          <w:rFonts w:eastAsia="Calibri"/>
          <w:sz w:val="22"/>
          <w:szCs w:val="22"/>
        </w:rPr>
        <w:t>máximo</w:t>
      </w:r>
      <w:r w:rsidRPr="00576AF8">
        <w:rPr>
          <w:rFonts w:eastAsia="Calibri"/>
          <w:color w:val="000000"/>
          <w:sz w:val="22"/>
          <w:szCs w:val="22"/>
        </w:rPr>
        <w:t xml:space="preserve"> aislamiento y contención de amenazas entre los subsistemas internos del SCADA/EMS y los sistemas externos. Los siguientes criterios serán utilizados:</w:t>
      </w:r>
    </w:p>
    <w:p w14:paraId="7F262486" w14:textId="77777777" w:rsidR="009102A7" w:rsidRPr="00576AF8" w:rsidRDefault="009102A7" w:rsidP="009102A7">
      <w:pPr>
        <w:numPr>
          <w:ilvl w:val="0"/>
          <w:numId w:val="254"/>
        </w:numPr>
        <w:ind w:right="4"/>
        <w:contextualSpacing/>
        <w:rPr>
          <w:rFonts w:eastAsia="Calibri"/>
          <w:color w:val="000000"/>
          <w:sz w:val="22"/>
          <w:szCs w:val="22"/>
        </w:rPr>
      </w:pPr>
      <w:r w:rsidRPr="00576AF8">
        <w:rPr>
          <w:rFonts w:eastAsia="Calibri"/>
          <w:color w:val="000000"/>
          <w:sz w:val="22"/>
          <w:szCs w:val="22"/>
        </w:rPr>
        <w:t>Las zonas de seguridad se interconectarán entre sí a través de segmentos de red redundantes que serán controlados por firewalls redundantes y con las características mínimas especificadas en este documento.</w:t>
      </w:r>
    </w:p>
    <w:p w14:paraId="75543072" w14:textId="17595C95" w:rsidR="009102A7" w:rsidRPr="00576AF8" w:rsidRDefault="00D272B7" w:rsidP="009102A7">
      <w:pPr>
        <w:numPr>
          <w:ilvl w:val="0"/>
          <w:numId w:val="254"/>
        </w:numPr>
        <w:ind w:right="4"/>
        <w:contextualSpacing/>
        <w:rPr>
          <w:rFonts w:eastAsia="Calibri"/>
          <w:color w:val="000000"/>
          <w:sz w:val="22"/>
          <w:szCs w:val="22"/>
        </w:rPr>
      </w:pPr>
      <w:r w:rsidRPr="00576AF8">
        <w:rPr>
          <w:rFonts w:eastAsia="Calibri"/>
          <w:color w:val="000000"/>
          <w:sz w:val="22"/>
          <w:szCs w:val="22"/>
        </w:rPr>
        <w:t>Las aplicaciones pertenecientes al entorno de producción descritas en la</w:t>
      </w:r>
      <w:r w:rsidR="005644D0" w:rsidRPr="00576AF8">
        <w:rPr>
          <w:rFonts w:eastAsia="Calibri"/>
          <w:color w:val="000000"/>
          <w:sz w:val="22"/>
          <w:szCs w:val="22"/>
        </w:rPr>
        <w:t>s</w:t>
      </w:r>
      <w:r w:rsidRPr="00576AF8">
        <w:rPr>
          <w:rFonts w:eastAsia="Calibri"/>
          <w:color w:val="000000"/>
          <w:sz w:val="22"/>
          <w:szCs w:val="22"/>
        </w:rPr>
        <w:t xml:space="preserve"> secci</w:t>
      </w:r>
      <w:r w:rsidR="005644D0" w:rsidRPr="00576AF8">
        <w:rPr>
          <w:rFonts w:eastAsia="Calibri"/>
          <w:color w:val="000000"/>
          <w:sz w:val="22"/>
          <w:szCs w:val="22"/>
        </w:rPr>
        <w:t>o</w:t>
      </w:r>
      <w:r w:rsidRPr="00576AF8">
        <w:rPr>
          <w:rFonts w:eastAsia="Calibri"/>
          <w:color w:val="000000"/>
          <w:sz w:val="22"/>
          <w:szCs w:val="22"/>
        </w:rPr>
        <w:t>n</w:t>
      </w:r>
      <w:r w:rsidR="005644D0" w:rsidRPr="00576AF8">
        <w:rPr>
          <w:rFonts w:eastAsia="Calibri"/>
          <w:color w:val="000000"/>
          <w:sz w:val="22"/>
          <w:szCs w:val="22"/>
        </w:rPr>
        <w:t>es</w:t>
      </w:r>
      <w:r w:rsidRPr="00576AF8">
        <w:rPr>
          <w:rFonts w:eastAsia="Calibri"/>
          <w:color w:val="000000"/>
          <w:sz w:val="22"/>
          <w:szCs w:val="22"/>
        </w:rPr>
        <w:t xml:space="preserve"> </w:t>
      </w:r>
      <w:r w:rsidR="005644D0" w:rsidRPr="00576AF8">
        <w:rPr>
          <w:rFonts w:eastAsia="Calibri"/>
          <w:color w:val="000000"/>
          <w:sz w:val="22"/>
          <w:szCs w:val="22"/>
        </w:rPr>
        <w:t>3.4.4 y 3.4.5</w:t>
      </w:r>
      <w:r w:rsidRPr="00576AF8">
        <w:rPr>
          <w:rFonts w:eastAsia="Calibri"/>
          <w:color w:val="000000"/>
          <w:sz w:val="22"/>
          <w:szCs w:val="22"/>
        </w:rPr>
        <w:t>,</w:t>
      </w:r>
      <w:r w:rsidR="009102A7" w:rsidRPr="00576AF8">
        <w:rPr>
          <w:rFonts w:eastAsia="Calibri"/>
          <w:color w:val="000000"/>
          <w:sz w:val="22"/>
          <w:szCs w:val="22"/>
        </w:rPr>
        <w:t xml:space="preserve"> </w:t>
      </w:r>
      <w:r w:rsidR="0066536A" w:rsidRPr="00576AF8">
        <w:rPr>
          <w:rFonts w:eastAsia="Calibri"/>
          <w:color w:val="000000"/>
          <w:sz w:val="22"/>
          <w:szCs w:val="22"/>
        </w:rPr>
        <w:t xml:space="preserve">deberán estar </w:t>
      </w:r>
      <w:r w:rsidR="009102A7" w:rsidRPr="00576AF8">
        <w:rPr>
          <w:rFonts w:eastAsia="Calibri"/>
          <w:color w:val="000000"/>
          <w:sz w:val="22"/>
          <w:szCs w:val="22"/>
        </w:rPr>
        <w:t>instala</w:t>
      </w:r>
      <w:r w:rsidR="0066536A" w:rsidRPr="00576AF8">
        <w:rPr>
          <w:rFonts w:eastAsia="Calibri"/>
          <w:color w:val="000000"/>
          <w:sz w:val="22"/>
          <w:szCs w:val="22"/>
        </w:rPr>
        <w:t>das</w:t>
      </w:r>
      <w:r w:rsidR="009102A7" w:rsidRPr="00576AF8">
        <w:rPr>
          <w:rFonts w:eastAsia="Calibri"/>
          <w:color w:val="000000"/>
          <w:sz w:val="22"/>
          <w:szCs w:val="22"/>
        </w:rPr>
        <w:t xml:space="preserve"> en servidores redundantes dispuestos en diferentes gabinetes para lograr un mayor nivel de seguridad física, redundancia de suministro eléctrico y de comunicaciones.</w:t>
      </w:r>
    </w:p>
    <w:p w14:paraId="39D38AB6" w14:textId="77777777" w:rsidR="009102A7" w:rsidRPr="00576AF8" w:rsidRDefault="009102A7" w:rsidP="009102A7">
      <w:pPr>
        <w:numPr>
          <w:ilvl w:val="0"/>
          <w:numId w:val="254"/>
        </w:numPr>
        <w:ind w:right="4"/>
        <w:contextualSpacing/>
        <w:rPr>
          <w:rFonts w:eastAsia="Calibri"/>
          <w:color w:val="000000"/>
          <w:sz w:val="22"/>
          <w:szCs w:val="22"/>
        </w:rPr>
      </w:pPr>
      <w:r w:rsidRPr="00576AF8">
        <w:rPr>
          <w:rFonts w:eastAsia="Calibri"/>
          <w:color w:val="000000"/>
          <w:sz w:val="22"/>
          <w:szCs w:val="22"/>
        </w:rPr>
        <w:t>El QAS se instalará en un gabinete independiente del resto de componentes del SCADA/EMS, a fin de tener autonomía para la ubicación fuera del edificio sede de CENACE, de forma tentativa en el Centro de Operaciones de CELEC EP TRANSELECTRIC (COT).</w:t>
      </w:r>
    </w:p>
    <w:p w14:paraId="037D475B" w14:textId="77777777" w:rsidR="009102A7" w:rsidRPr="00576AF8" w:rsidRDefault="009102A7" w:rsidP="009102A7">
      <w:pPr>
        <w:numPr>
          <w:ilvl w:val="0"/>
          <w:numId w:val="254"/>
        </w:numPr>
        <w:ind w:right="4"/>
        <w:contextualSpacing/>
        <w:rPr>
          <w:rFonts w:eastAsia="Calibri"/>
          <w:color w:val="000000"/>
          <w:sz w:val="22"/>
          <w:szCs w:val="22"/>
        </w:rPr>
      </w:pPr>
      <w:r w:rsidRPr="00576AF8">
        <w:rPr>
          <w:rFonts w:eastAsia="Calibri"/>
          <w:color w:val="000000"/>
          <w:sz w:val="22"/>
          <w:szCs w:val="22"/>
        </w:rPr>
        <w:t xml:space="preserve">En caso de que el proveedor proponga una solución con virtualización, este no </w:t>
      </w:r>
      <w:r w:rsidR="00974D91" w:rsidRPr="00576AF8">
        <w:rPr>
          <w:rFonts w:eastAsia="Calibri"/>
          <w:color w:val="000000"/>
          <w:sz w:val="22"/>
          <w:szCs w:val="22"/>
        </w:rPr>
        <w:t>deberá</w:t>
      </w:r>
      <w:r w:rsidRPr="00576AF8">
        <w:rPr>
          <w:rFonts w:eastAsia="Calibri"/>
          <w:color w:val="000000"/>
          <w:sz w:val="22"/>
          <w:szCs w:val="22"/>
        </w:rPr>
        <w:t xml:space="preserve"> ser hiperconvergencia como parte de su propuesta para la arquitectura del SCADA/EMS.</w:t>
      </w:r>
    </w:p>
    <w:p w14:paraId="78271C5C" w14:textId="77777777" w:rsidR="009102A7" w:rsidRPr="00576AF8" w:rsidRDefault="009102A7" w:rsidP="009102A7">
      <w:pPr>
        <w:ind w:left="708" w:right="4"/>
        <w:rPr>
          <w:sz w:val="22"/>
          <w:szCs w:val="22"/>
        </w:rPr>
      </w:pPr>
      <w:r w:rsidRPr="00576AF8">
        <w:rPr>
          <w:rFonts w:eastAsia="Calibri"/>
          <w:color w:val="000000"/>
          <w:sz w:val="22"/>
          <w:szCs w:val="22"/>
        </w:rPr>
        <w:t xml:space="preserve">La </w:t>
      </w:r>
      <w:r w:rsidRPr="00576AF8">
        <w:rPr>
          <w:rFonts w:eastAsia="Calibri"/>
          <w:color w:val="000000"/>
          <w:sz w:val="22"/>
          <w:szCs w:val="22"/>
        </w:rPr>
        <w:fldChar w:fldCharType="begin"/>
      </w:r>
      <w:r w:rsidRPr="00576AF8">
        <w:rPr>
          <w:rFonts w:eastAsia="Calibri"/>
          <w:color w:val="000000"/>
          <w:sz w:val="22"/>
          <w:szCs w:val="22"/>
        </w:rPr>
        <w:instrText xml:space="preserve"> REF _Ref160607284 \h  \* MERGEFORMAT </w:instrText>
      </w:r>
      <w:r w:rsidRPr="00576AF8">
        <w:rPr>
          <w:rFonts w:eastAsia="Calibri"/>
          <w:color w:val="000000"/>
          <w:sz w:val="22"/>
          <w:szCs w:val="22"/>
        </w:rPr>
      </w:r>
      <w:r w:rsidRPr="00576AF8">
        <w:rPr>
          <w:rFonts w:eastAsia="Calibri"/>
          <w:color w:val="000000"/>
          <w:sz w:val="22"/>
          <w:szCs w:val="22"/>
        </w:rPr>
        <w:fldChar w:fldCharType="separate"/>
      </w:r>
      <w:r w:rsidRPr="00576AF8">
        <w:rPr>
          <w:sz w:val="22"/>
          <w:szCs w:val="22"/>
        </w:rPr>
        <w:t xml:space="preserve">Figura </w:t>
      </w:r>
      <w:r w:rsidRPr="00576AF8">
        <w:rPr>
          <w:b/>
          <w:noProof/>
          <w:sz w:val="22"/>
          <w:szCs w:val="22"/>
        </w:rPr>
        <w:t>1</w:t>
      </w:r>
      <w:r w:rsidRPr="00576AF8">
        <w:rPr>
          <w:rFonts w:eastAsia="Calibri"/>
          <w:color w:val="000000"/>
          <w:sz w:val="22"/>
          <w:szCs w:val="22"/>
        </w:rPr>
        <w:fldChar w:fldCharType="end"/>
      </w:r>
      <w:r w:rsidRPr="00576AF8">
        <w:rPr>
          <w:rFonts w:eastAsia="Calibri"/>
          <w:color w:val="000000"/>
          <w:sz w:val="22"/>
          <w:szCs w:val="22"/>
        </w:rPr>
        <w:t xml:space="preserve"> presenta una ilustración de los entornos operativos, delineando las zonas que lo conforman y las funciones y equipos contenidos en ellas.</w:t>
      </w:r>
    </w:p>
    <w:p w14:paraId="0F77FF5E" w14:textId="77777777" w:rsidR="009102A7" w:rsidRPr="00576AF8" w:rsidRDefault="009102A7" w:rsidP="009102A7">
      <w:pPr>
        <w:ind w:left="709" w:right="4"/>
        <w:rPr>
          <w:rFonts w:eastAsia="Calibri"/>
          <w:b/>
          <w:sz w:val="22"/>
          <w:szCs w:val="22"/>
        </w:rPr>
      </w:pPr>
      <w:bookmarkStart w:id="642" w:name="_Toc160268887"/>
    </w:p>
    <w:p w14:paraId="098C7C10" w14:textId="77777777" w:rsidR="00097CE0" w:rsidRPr="00576AF8" w:rsidRDefault="00097CE0" w:rsidP="009102A7">
      <w:pPr>
        <w:ind w:left="709" w:right="4"/>
        <w:rPr>
          <w:rFonts w:eastAsia="Calibri"/>
          <w:b/>
          <w:sz w:val="22"/>
          <w:szCs w:val="22"/>
        </w:rPr>
      </w:pPr>
      <w:r w:rsidRPr="00576AF8">
        <w:rPr>
          <w:rFonts w:eastAsia="Calibri"/>
          <w:b/>
          <w:noProof/>
          <w:sz w:val="22"/>
          <w:szCs w:val="22"/>
          <w:lang w:val="es-EC" w:eastAsia="es-EC" w:bidi="ar-SA"/>
        </w:rPr>
        <w:lastRenderedPageBreak/>
        <w:drawing>
          <wp:inline distT="0" distB="0" distL="0" distR="0" wp14:anchorId="115050C7" wp14:editId="51379BFD">
            <wp:extent cx="6191250" cy="4438650"/>
            <wp:effectExtent l="0" t="0" r="0" b="0"/>
            <wp:docPr id="2" name="Imagen 2" descr="E:\grodriguez\Documentos\Gioconda\Consultoría EMS\Consultoría_Actualización-2030\Consultoría_2020\USTDA\EPRI\Desarrollo\Especificación_final\Reportes finales\Rev_CEN_ene24_fin-1CC\Figura1.entornos-zo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rodriguez\Documentos\Gioconda\Consultoría EMS\Consultoría_Actualización-2030\Consultoría_2020\USTDA\EPRI\Desarrollo\Especificación_final\Reportes finales\Rev_CEN_ene24_fin-1CC\Figura1.entornos-zona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4438650"/>
                    </a:xfrm>
                    <a:prstGeom prst="rect">
                      <a:avLst/>
                    </a:prstGeom>
                    <a:noFill/>
                    <a:ln>
                      <a:noFill/>
                    </a:ln>
                  </pic:spPr>
                </pic:pic>
              </a:graphicData>
            </a:graphic>
          </wp:inline>
        </w:drawing>
      </w:r>
    </w:p>
    <w:p w14:paraId="6D802D27" w14:textId="77777777" w:rsidR="00097CE0" w:rsidRPr="00576AF8" w:rsidRDefault="00097CE0" w:rsidP="009102A7">
      <w:pPr>
        <w:ind w:left="709" w:right="4"/>
        <w:rPr>
          <w:rFonts w:eastAsia="Calibri"/>
          <w:b/>
          <w:sz w:val="22"/>
          <w:szCs w:val="22"/>
        </w:rPr>
      </w:pPr>
      <w:r w:rsidRPr="00576AF8">
        <w:rPr>
          <w:sz w:val="22"/>
          <w:szCs w:val="22"/>
          <w:lang w:val="es-EC"/>
        </w:rPr>
        <w:t>Figura 1 - Entornos operativos y zonas de seguridad de la arquitectura del SCADA/EMS del CENACE</w:t>
      </w:r>
    </w:p>
    <w:p w14:paraId="69512BF9" w14:textId="77777777" w:rsidR="009102A7" w:rsidRPr="00576AF8" w:rsidRDefault="009102A7" w:rsidP="009102A7">
      <w:pPr>
        <w:ind w:left="720" w:hanging="720"/>
        <w:outlineLvl w:val="2"/>
        <w:rPr>
          <w:rFonts w:eastAsia="Calibri"/>
          <w:sz w:val="22"/>
          <w:szCs w:val="22"/>
        </w:rPr>
      </w:pPr>
      <w:r w:rsidRPr="00576AF8">
        <w:rPr>
          <w:rFonts w:eastAsia="Calibri"/>
          <w:b/>
          <w:sz w:val="22"/>
          <w:szCs w:val="22"/>
        </w:rPr>
        <w:t>1.3.1.2.</w:t>
      </w:r>
      <w:r w:rsidRPr="00576AF8">
        <w:rPr>
          <w:b/>
          <w:sz w:val="22"/>
          <w:szCs w:val="22"/>
          <w:lang w:val="es-EC" w:eastAsia="en-US" w:bidi="ar-SA"/>
        </w:rPr>
        <w:t>1</w:t>
      </w:r>
      <w:r w:rsidRPr="00576AF8">
        <w:rPr>
          <w:rFonts w:eastAsia="Calibri"/>
          <w:b/>
          <w:sz w:val="22"/>
          <w:szCs w:val="22"/>
        </w:rPr>
        <w:t>.2 Arquitectura General</w:t>
      </w:r>
      <w:bookmarkEnd w:id="642"/>
    </w:p>
    <w:p w14:paraId="6A10E491" w14:textId="77777777" w:rsidR="009102A7" w:rsidRPr="00576AF8" w:rsidRDefault="009102A7" w:rsidP="009102A7">
      <w:pPr>
        <w:ind w:left="709" w:right="4"/>
        <w:rPr>
          <w:rFonts w:eastAsia="Calibri"/>
          <w:color w:val="000000"/>
          <w:sz w:val="22"/>
          <w:szCs w:val="22"/>
        </w:rPr>
      </w:pPr>
      <w:r w:rsidRPr="00576AF8">
        <w:rPr>
          <w:rFonts w:eastAsia="Calibri"/>
          <w:color w:val="000000"/>
          <w:sz w:val="22"/>
          <w:szCs w:val="22"/>
        </w:rPr>
        <w:t xml:space="preserve">La arquitectura general del SCADA/EMS del CENACE se muestra en la </w:t>
      </w:r>
      <w:r w:rsidRPr="00576AF8">
        <w:rPr>
          <w:rFonts w:eastAsia="Calibri"/>
          <w:color w:val="000000"/>
          <w:sz w:val="22"/>
          <w:szCs w:val="22"/>
        </w:rPr>
        <w:fldChar w:fldCharType="begin"/>
      </w:r>
      <w:r w:rsidRPr="00576AF8">
        <w:rPr>
          <w:rFonts w:eastAsia="Calibri"/>
          <w:color w:val="000000"/>
          <w:sz w:val="22"/>
          <w:szCs w:val="22"/>
        </w:rPr>
        <w:instrText xml:space="preserve"> REF _Ref160607284 \h  \* MERGEFORMAT </w:instrText>
      </w:r>
      <w:r w:rsidRPr="00576AF8">
        <w:rPr>
          <w:rFonts w:eastAsia="Calibri"/>
          <w:color w:val="000000"/>
          <w:sz w:val="22"/>
          <w:szCs w:val="22"/>
        </w:rPr>
      </w:r>
      <w:r w:rsidRPr="00576AF8">
        <w:rPr>
          <w:rFonts w:eastAsia="Calibri"/>
          <w:color w:val="000000"/>
          <w:sz w:val="22"/>
          <w:szCs w:val="22"/>
        </w:rPr>
        <w:fldChar w:fldCharType="separate"/>
      </w:r>
      <w:r w:rsidRPr="00576AF8">
        <w:rPr>
          <w:b/>
          <w:sz w:val="22"/>
          <w:szCs w:val="22"/>
        </w:rPr>
        <w:t xml:space="preserve">Figura </w:t>
      </w:r>
      <w:r w:rsidRPr="00576AF8">
        <w:rPr>
          <w:rFonts w:eastAsia="Calibri"/>
          <w:color w:val="000000"/>
          <w:sz w:val="22"/>
          <w:szCs w:val="22"/>
        </w:rPr>
        <w:fldChar w:fldCharType="end"/>
      </w:r>
      <w:r w:rsidR="00A41D58" w:rsidRPr="00576AF8">
        <w:rPr>
          <w:rFonts w:eastAsia="Calibri"/>
          <w:color w:val="000000"/>
          <w:sz w:val="22"/>
          <w:szCs w:val="22"/>
        </w:rPr>
        <w:t>2</w:t>
      </w:r>
      <w:r w:rsidRPr="00576AF8">
        <w:rPr>
          <w:rFonts w:eastAsia="Calibri"/>
          <w:color w:val="000000"/>
          <w:sz w:val="22"/>
          <w:szCs w:val="22"/>
        </w:rPr>
        <w:t>. El diagrama presentado es referencial, sin embargo, es fundamental que se mantenga la zonificación sugerida. Asimismo, es fundamental incluir switches de capa 3 para facilitar la creación de VLANs, permitiendo así, la agrupación física de los dispositivos del mismo tipo en un mismo switch, aunque pertenezcan a diferentes zonas de seguridad.</w:t>
      </w:r>
    </w:p>
    <w:p w14:paraId="251D8B35" w14:textId="77777777" w:rsidR="009102A7" w:rsidRPr="00576AF8" w:rsidRDefault="009102A7" w:rsidP="009102A7">
      <w:pPr>
        <w:ind w:left="709" w:right="4"/>
        <w:rPr>
          <w:rFonts w:eastAsia="Calibri"/>
          <w:color w:val="000000"/>
          <w:sz w:val="22"/>
          <w:szCs w:val="22"/>
        </w:rPr>
      </w:pPr>
      <w:r w:rsidRPr="00576AF8">
        <w:rPr>
          <w:rFonts w:eastAsia="Calibri"/>
          <w:color w:val="000000"/>
          <w:sz w:val="22"/>
          <w:szCs w:val="22"/>
        </w:rPr>
        <w:t xml:space="preserve">El enlace entre la red del SCADA/EMS del Centro de Control </w:t>
      </w:r>
      <w:r w:rsidR="00593894" w:rsidRPr="00576AF8">
        <w:rPr>
          <w:rFonts w:eastAsia="Calibri"/>
          <w:color w:val="000000"/>
          <w:sz w:val="22"/>
          <w:szCs w:val="22"/>
        </w:rPr>
        <w:t>del Comprador</w:t>
      </w:r>
      <w:r w:rsidRPr="00576AF8">
        <w:rPr>
          <w:rFonts w:eastAsia="Calibri"/>
          <w:color w:val="000000"/>
          <w:sz w:val="22"/>
          <w:szCs w:val="22"/>
        </w:rPr>
        <w:t xml:space="preserve"> y el QAS se realizará mediante un enlace dedicado de fibra óptica a ser provisto por el CENACE con un ancho de banda de al menos 100 Mbps. A menos que se indique de manera explícita lo contrario, todo el equipamiento propuesto por el proveedor será redundante.  Este equipamiento comprende, pero no está limitado a, los servidores, firewalls (FW1 y FW2), dispositivos de seguridad, switches, routers, cableado eléctrico y de red.</w:t>
      </w:r>
    </w:p>
    <w:p w14:paraId="797245BE" w14:textId="77777777" w:rsidR="009102A7" w:rsidRPr="00576AF8" w:rsidRDefault="009102A7" w:rsidP="009102A7">
      <w:pPr>
        <w:ind w:left="709" w:right="4"/>
        <w:rPr>
          <w:rFonts w:eastAsia="Calibri"/>
          <w:color w:val="000000"/>
          <w:sz w:val="22"/>
          <w:szCs w:val="22"/>
        </w:rPr>
      </w:pPr>
    </w:p>
    <w:p w14:paraId="2FEA93E5" w14:textId="77777777" w:rsidR="009102A7" w:rsidRPr="00576AF8" w:rsidRDefault="009102A7" w:rsidP="009102A7">
      <w:pPr>
        <w:keepNext/>
        <w:spacing w:after="0"/>
        <w:ind w:left="-20" w:right="-20"/>
        <w:jc w:val="center"/>
        <w:rPr>
          <w:sz w:val="22"/>
          <w:szCs w:val="22"/>
        </w:rPr>
      </w:pPr>
      <w:r w:rsidRPr="00576AF8">
        <w:rPr>
          <w:noProof/>
          <w:sz w:val="22"/>
          <w:szCs w:val="22"/>
          <w:lang w:val="es-EC" w:eastAsia="es-EC" w:bidi="ar-SA"/>
        </w:rPr>
        <w:lastRenderedPageBreak/>
        <w:drawing>
          <wp:inline distT="0" distB="0" distL="0" distR="0" wp14:anchorId="5D680D81" wp14:editId="7BDAEA79">
            <wp:extent cx="5943600" cy="4695824"/>
            <wp:effectExtent l="0" t="0" r="0" b="0"/>
            <wp:docPr id="1845342501" name="Imagen 18453425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42501" name="Imagen 1845342501" descr="Diagram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5943600" cy="4695824"/>
                    </a:xfrm>
                    <a:prstGeom prst="rect">
                      <a:avLst/>
                    </a:prstGeom>
                  </pic:spPr>
                </pic:pic>
              </a:graphicData>
            </a:graphic>
          </wp:inline>
        </w:drawing>
      </w:r>
    </w:p>
    <w:p w14:paraId="5538740F" w14:textId="77777777" w:rsidR="009102A7" w:rsidRPr="00576AF8" w:rsidRDefault="009102A7" w:rsidP="009102A7">
      <w:pPr>
        <w:spacing w:before="120"/>
        <w:jc w:val="center"/>
        <w:rPr>
          <w:sz w:val="22"/>
          <w:szCs w:val="22"/>
        </w:rPr>
      </w:pPr>
      <w:bookmarkStart w:id="643" w:name="_Ref160607284"/>
      <w:bookmarkStart w:id="644" w:name="_Ref160607241"/>
      <w:r w:rsidRPr="00576AF8">
        <w:rPr>
          <w:sz w:val="22"/>
          <w:szCs w:val="22"/>
        </w:rPr>
        <w:t xml:space="preserve">Figura </w:t>
      </w:r>
      <w:bookmarkEnd w:id="643"/>
      <w:r w:rsidR="00386143" w:rsidRPr="00576AF8">
        <w:rPr>
          <w:sz w:val="22"/>
          <w:szCs w:val="22"/>
        </w:rPr>
        <w:t>2</w:t>
      </w:r>
      <w:r w:rsidRPr="00576AF8">
        <w:rPr>
          <w:sz w:val="22"/>
          <w:szCs w:val="22"/>
        </w:rPr>
        <w:t>. Arquitectura Lógica del SCADA/EMS del CENACE</w:t>
      </w:r>
      <w:bookmarkEnd w:id="644"/>
      <w:r w:rsidRPr="00576AF8">
        <w:rPr>
          <w:noProof/>
          <w:sz w:val="22"/>
          <w:szCs w:val="22"/>
        </w:rPr>
        <w:t xml:space="preserve"> </w:t>
      </w:r>
      <w:bookmarkStart w:id="645" w:name="_Toc160268888"/>
    </w:p>
    <w:p w14:paraId="71C9424E" w14:textId="77777777" w:rsidR="009102A7" w:rsidRPr="00576AF8" w:rsidRDefault="009102A7" w:rsidP="009102A7">
      <w:pPr>
        <w:ind w:left="720" w:hanging="720"/>
        <w:outlineLvl w:val="2"/>
        <w:rPr>
          <w:rFonts w:eastAsia="Calibri"/>
          <w:sz w:val="22"/>
          <w:szCs w:val="22"/>
        </w:rPr>
      </w:pPr>
      <w:bookmarkStart w:id="646" w:name="_Toc160455913"/>
      <w:r w:rsidRPr="00576AF8">
        <w:rPr>
          <w:rFonts w:eastAsia="Calibri"/>
          <w:b/>
          <w:sz w:val="22"/>
          <w:szCs w:val="22"/>
        </w:rPr>
        <w:t>1.3.1.2.</w:t>
      </w:r>
      <w:r w:rsidRPr="00576AF8">
        <w:rPr>
          <w:b/>
          <w:sz w:val="22"/>
          <w:szCs w:val="22"/>
          <w:lang w:val="es-EC" w:eastAsia="en-US" w:bidi="ar-SA"/>
        </w:rPr>
        <w:t xml:space="preserve">2 </w:t>
      </w:r>
      <w:r w:rsidRPr="00576AF8">
        <w:rPr>
          <w:rFonts w:eastAsia="Calibri"/>
          <w:b/>
          <w:color w:val="000000"/>
          <w:sz w:val="22"/>
          <w:szCs w:val="22"/>
        </w:rPr>
        <w:t>Funcionalidades dentro del Entorno de Producción</w:t>
      </w:r>
      <w:bookmarkEnd w:id="645"/>
      <w:bookmarkEnd w:id="646"/>
    </w:p>
    <w:p w14:paraId="5101A8E4" w14:textId="77777777" w:rsidR="009102A7" w:rsidRPr="00576AF8" w:rsidRDefault="009102A7" w:rsidP="009102A7">
      <w:pPr>
        <w:spacing w:after="0"/>
        <w:ind w:left="-20" w:right="-20"/>
        <w:rPr>
          <w:rFonts w:eastAsia="Calibri"/>
          <w:color w:val="000000"/>
          <w:sz w:val="22"/>
          <w:szCs w:val="22"/>
        </w:rPr>
      </w:pPr>
    </w:p>
    <w:p w14:paraId="47B904B9" w14:textId="77777777" w:rsidR="009102A7" w:rsidRPr="00576AF8" w:rsidRDefault="00E852E1" w:rsidP="009102A7">
      <w:pPr>
        <w:spacing w:after="0"/>
        <w:ind w:left="-20" w:right="-20"/>
        <w:rPr>
          <w:sz w:val="22"/>
          <w:szCs w:val="22"/>
        </w:rPr>
      </w:pPr>
      <w:r w:rsidRPr="00576AF8">
        <w:rPr>
          <w:rFonts w:eastAsia="Calibri"/>
          <w:color w:val="000000"/>
          <w:sz w:val="22"/>
          <w:szCs w:val="22"/>
        </w:rPr>
        <w:t>El proveedor, e</w:t>
      </w:r>
      <w:r w:rsidR="009102A7" w:rsidRPr="00576AF8">
        <w:rPr>
          <w:rFonts w:eastAsia="Calibri"/>
          <w:color w:val="000000"/>
          <w:sz w:val="22"/>
          <w:szCs w:val="22"/>
        </w:rPr>
        <w:t xml:space="preserve">n el entorno de producción </w:t>
      </w:r>
      <w:r w:rsidRPr="00576AF8">
        <w:rPr>
          <w:rFonts w:eastAsia="Calibri"/>
          <w:color w:val="000000"/>
          <w:sz w:val="22"/>
          <w:szCs w:val="22"/>
        </w:rPr>
        <w:t>deberá crear</w:t>
      </w:r>
      <w:r w:rsidR="009102A7" w:rsidRPr="00576AF8">
        <w:rPr>
          <w:rFonts w:eastAsia="Calibri"/>
          <w:color w:val="000000"/>
          <w:sz w:val="22"/>
          <w:szCs w:val="22"/>
        </w:rPr>
        <w:t xml:space="preserve"> al menos cuatro zonas de seguridad las cuales representan el núcleo de las operaciones del SCADA/EMS.</w:t>
      </w:r>
    </w:p>
    <w:p w14:paraId="1FF71B81" w14:textId="77777777" w:rsidR="009102A7" w:rsidRPr="00576AF8" w:rsidRDefault="009102A7" w:rsidP="009102A7">
      <w:pPr>
        <w:spacing w:after="0"/>
        <w:ind w:left="-20" w:right="-20"/>
        <w:rPr>
          <w:rFonts w:eastAsia="Calibri"/>
          <w:b/>
          <w:bCs/>
          <w:color w:val="000000"/>
          <w:sz w:val="22"/>
          <w:szCs w:val="22"/>
        </w:rPr>
      </w:pPr>
      <w:bookmarkStart w:id="647" w:name="_Toc160268889"/>
      <w:bookmarkStart w:id="648" w:name="_Toc160455914"/>
    </w:p>
    <w:p w14:paraId="65E6E5B9"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2.1 </w:t>
      </w:r>
      <w:r w:rsidRPr="00576AF8">
        <w:rPr>
          <w:rFonts w:eastAsia="Calibri"/>
          <w:b/>
          <w:color w:val="000000"/>
          <w:sz w:val="22"/>
          <w:szCs w:val="22"/>
        </w:rPr>
        <w:t>Zona de Tiempo Real</w:t>
      </w:r>
      <w:bookmarkEnd w:id="647"/>
      <w:bookmarkEnd w:id="648"/>
    </w:p>
    <w:p w14:paraId="6607DD72" w14:textId="77777777" w:rsidR="009102A7" w:rsidRPr="00576AF8" w:rsidRDefault="009102A7" w:rsidP="009102A7">
      <w:pPr>
        <w:spacing w:after="0"/>
        <w:ind w:left="-20" w:right="-20"/>
        <w:rPr>
          <w:rFonts w:eastAsia="Calibri"/>
          <w:b/>
          <w:bCs/>
          <w:color w:val="000000"/>
          <w:sz w:val="22"/>
          <w:szCs w:val="22"/>
        </w:rPr>
      </w:pPr>
    </w:p>
    <w:p w14:paraId="56C74630" w14:textId="77777777" w:rsidR="009102A7" w:rsidRPr="00576AF8" w:rsidRDefault="009102A7" w:rsidP="009102A7">
      <w:pPr>
        <w:spacing w:after="0"/>
        <w:ind w:left="-20" w:right="-20"/>
        <w:rPr>
          <w:sz w:val="22"/>
          <w:szCs w:val="22"/>
        </w:rPr>
      </w:pPr>
      <w:r w:rsidRPr="00576AF8">
        <w:rPr>
          <w:rFonts w:eastAsia="Calibri"/>
          <w:color w:val="000000"/>
          <w:sz w:val="22"/>
          <w:szCs w:val="22"/>
        </w:rPr>
        <w:t>En esta zona se ubicarán los servidores SCADA/EMS con la base de datos en tiempo real (RDB), la base de datos de los historiadores (HDB) y la base de datos fuente o de ingeniería (SDB). Estos servidores tendrán las siguientes funciones:</w:t>
      </w:r>
    </w:p>
    <w:p w14:paraId="35DC8F3B" w14:textId="77777777" w:rsidR="009102A7" w:rsidRPr="00576AF8" w:rsidRDefault="009102A7" w:rsidP="009102A7">
      <w:pPr>
        <w:numPr>
          <w:ilvl w:val="0"/>
          <w:numId w:val="230"/>
        </w:numPr>
        <w:spacing w:after="0"/>
        <w:ind w:right="-20"/>
        <w:contextualSpacing/>
        <w:rPr>
          <w:rFonts w:eastAsia="Calibri"/>
          <w:color w:val="000000"/>
          <w:sz w:val="22"/>
          <w:szCs w:val="22"/>
        </w:rPr>
      </w:pPr>
      <w:r w:rsidRPr="00576AF8">
        <w:rPr>
          <w:rFonts w:eastAsia="Calibri"/>
          <w:color w:val="000000"/>
          <w:sz w:val="22"/>
          <w:szCs w:val="22"/>
        </w:rPr>
        <w:t xml:space="preserve">Los servidores SCADA/EMS tendrán las funciones ejecutivas y de supervisión general del sistema; funciones de SCADA que comprende los servicios de IHM, comunicación con los frontales de RTU e ICCP, aplicaciones SCADA, cálculos, alarmas, entre otras; y aplicaciones EMS que forman parte del producto base del proveedor. </w:t>
      </w:r>
    </w:p>
    <w:p w14:paraId="696FA492" w14:textId="77777777" w:rsidR="009102A7" w:rsidRPr="00576AF8" w:rsidRDefault="009102A7" w:rsidP="009102A7">
      <w:pPr>
        <w:numPr>
          <w:ilvl w:val="0"/>
          <w:numId w:val="230"/>
        </w:numPr>
        <w:spacing w:after="0"/>
        <w:ind w:right="-20"/>
        <w:contextualSpacing/>
        <w:rPr>
          <w:rFonts w:eastAsia="Calibri"/>
          <w:color w:val="000000"/>
          <w:sz w:val="22"/>
          <w:szCs w:val="22"/>
        </w:rPr>
      </w:pPr>
      <w:r w:rsidRPr="00576AF8">
        <w:rPr>
          <w:rFonts w:eastAsia="Calibri"/>
          <w:color w:val="000000"/>
          <w:sz w:val="22"/>
          <w:szCs w:val="22"/>
        </w:rPr>
        <w:t>Si alguna de las aplicaciones requiere poder dedicado de cálculo, el Proveedor incluirá servidores adicionales redundantes para cumplir con el desempeño requerido. Estas aplicaciones podrían ser, por ejemplo: CIM o Pronóstico de Demanda, entre otras.</w:t>
      </w:r>
    </w:p>
    <w:p w14:paraId="7B096295" w14:textId="77777777" w:rsidR="009102A7" w:rsidRPr="00576AF8" w:rsidRDefault="009102A7" w:rsidP="009102A7">
      <w:pPr>
        <w:numPr>
          <w:ilvl w:val="0"/>
          <w:numId w:val="230"/>
        </w:numPr>
        <w:spacing w:after="0"/>
        <w:ind w:right="-20"/>
        <w:contextualSpacing/>
        <w:rPr>
          <w:rFonts w:eastAsia="Calibri"/>
          <w:color w:val="000000"/>
          <w:sz w:val="22"/>
          <w:szCs w:val="22"/>
        </w:rPr>
      </w:pPr>
      <w:r w:rsidRPr="00576AF8">
        <w:rPr>
          <w:rFonts w:eastAsia="Calibri"/>
          <w:color w:val="000000"/>
          <w:sz w:val="22"/>
          <w:szCs w:val="22"/>
        </w:rPr>
        <w:t xml:space="preserve">Los servidores históricos serán los responsables de almacenar las series de tiempo de los valores y calidades que son adquiridos y calculados por el SCADA/EMS; así como datos de cualquier entidad de la base de datos en tiempo real; alarmas y eventos del sistema; y en general, de cualquier dato que sea </w:t>
      </w:r>
      <w:r w:rsidRPr="00576AF8">
        <w:rPr>
          <w:rFonts w:eastAsia="Calibri"/>
          <w:color w:val="000000"/>
          <w:sz w:val="22"/>
          <w:szCs w:val="22"/>
        </w:rPr>
        <w:lastRenderedPageBreak/>
        <w:t>necesario para permitir la presentación de escenarios históricos mediante diagramas unifilares, diagramas tabulares, tendencias, reportes, entre otros.</w:t>
      </w:r>
    </w:p>
    <w:p w14:paraId="3217DD66" w14:textId="77777777" w:rsidR="009102A7" w:rsidRPr="00576AF8" w:rsidRDefault="009102A7" w:rsidP="009102A7">
      <w:pPr>
        <w:numPr>
          <w:ilvl w:val="0"/>
          <w:numId w:val="230"/>
        </w:numPr>
        <w:spacing w:after="0"/>
        <w:ind w:right="-20"/>
        <w:contextualSpacing/>
        <w:rPr>
          <w:rFonts w:eastAsia="Calibri"/>
          <w:color w:val="000000"/>
          <w:sz w:val="22"/>
          <w:szCs w:val="22"/>
        </w:rPr>
      </w:pPr>
      <w:r w:rsidRPr="00576AF8">
        <w:rPr>
          <w:rFonts w:eastAsia="Calibri"/>
          <w:color w:val="000000"/>
          <w:sz w:val="22"/>
          <w:szCs w:val="22"/>
        </w:rPr>
        <w:t>Los servidores de las Bases de datos fuente o de ingeniería tendrán la funcionalidad requerida para realizar la configuración integral del sistema, incluyendo el modelo de la red eléctrica mediante herramientas gráficas y formularios.</w:t>
      </w:r>
    </w:p>
    <w:p w14:paraId="589561DA" w14:textId="77777777" w:rsidR="009102A7" w:rsidRPr="00576AF8" w:rsidRDefault="009102A7" w:rsidP="009102A7">
      <w:pPr>
        <w:spacing w:after="0"/>
        <w:ind w:left="-20" w:right="-20"/>
        <w:rPr>
          <w:rFonts w:eastAsia="Calibri"/>
          <w:b/>
          <w:bCs/>
          <w:color w:val="000000"/>
          <w:sz w:val="22"/>
          <w:szCs w:val="22"/>
        </w:rPr>
      </w:pPr>
      <w:bookmarkStart w:id="649" w:name="_Toc160268890"/>
      <w:bookmarkStart w:id="650" w:name="_Toc160455915"/>
    </w:p>
    <w:p w14:paraId="75D7D331"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2.2 </w:t>
      </w:r>
      <w:r w:rsidRPr="00576AF8">
        <w:rPr>
          <w:rFonts w:eastAsia="Calibri"/>
          <w:b/>
          <w:color w:val="000000"/>
          <w:sz w:val="22"/>
          <w:szCs w:val="22"/>
        </w:rPr>
        <w:t>Zona de IHM de Tiempo Real</w:t>
      </w:r>
      <w:bookmarkEnd w:id="649"/>
      <w:bookmarkEnd w:id="650"/>
    </w:p>
    <w:p w14:paraId="73CDE753" w14:textId="77777777" w:rsidR="009102A7" w:rsidRPr="00576AF8" w:rsidRDefault="009102A7" w:rsidP="009102A7">
      <w:pPr>
        <w:spacing w:after="0"/>
        <w:ind w:left="-20" w:right="-20"/>
        <w:rPr>
          <w:rFonts w:eastAsia="Calibri"/>
          <w:b/>
          <w:bCs/>
          <w:color w:val="000000"/>
          <w:sz w:val="22"/>
          <w:szCs w:val="22"/>
        </w:rPr>
      </w:pPr>
    </w:p>
    <w:p w14:paraId="3D3043FA" w14:textId="77777777" w:rsidR="009102A7" w:rsidRPr="00576AF8" w:rsidRDefault="009102A7" w:rsidP="009102A7">
      <w:pPr>
        <w:shd w:val="clear" w:color="auto" w:fill="FFFFFF"/>
        <w:spacing w:after="0"/>
        <w:ind w:left="-20" w:right="-20"/>
        <w:rPr>
          <w:rFonts w:eastAsia="Calibri"/>
          <w:color w:val="000000"/>
          <w:sz w:val="22"/>
          <w:szCs w:val="22"/>
          <w:highlight w:val="yellow"/>
        </w:rPr>
      </w:pPr>
      <w:r w:rsidRPr="00576AF8">
        <w:rPr>
          <w:rFonts w:eastAsia="Calibri"/>
          <w:color w:val="000000"/>
          <w:sz w:val="22"/>
          <w:szCs w:val="22"/>
        </w:rPr>
        <w:t>En esta zona se ubicarán las consolas de operación del SCADA/EMS.</w:t>
      </w:r>
    </w:p>
    <w:p w14:paraId="7FACAC27" w14:textId="77777777" w:rsidR="009102A7" w:rsidRPr="00576AF8" w:rsidRDefault="009102A7" w:rsidP="009102A7">
      <w:pPr>
        <w:spacing w:after="0"/>
        <w:ind w:left="-20" w:right="-20"/>
        <w:rPr>
          <w:rFonts w:eastAsia="Calibri"/>
          <w:b/>
          <w:bCs/>
          <w:color w:val="000000"/>
          <w:sz w:val="22"/>
          <w:szCs w:val="22"/>
        </w:rPr>
      </w:pPr>
      <w:bookmarkStart w:id="651" w:name="_Toc160268891"/>
      <w:bookmarkStart w:id="652" w:name="_Toc160455916"/>
    </w:p>
    <w:p w14:paraId="1E55484F"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2.3 </w:t>
      </w:r>
      <w:r w:rsidRPr="00576AF8">
        <w:rPr>
          <w:rFonts w:eastAsia="Calibri"/>
          <w:b/>
          <w:color w:val="000000"/>
          <w:sz w:val="22"/>
          <w:szCs w:val="22"/>
        </w:rPr>
        <w:t>Zona de Comunicaciones RTU</w:t>
      </w:r>
      <w:bookmarkEnd w:id="651"/>
      <w:bookmarkEnd w:id="652"/>
    </w:p>
    <w:p w14:paraId="48C3C728" w14:textId="77777777" w:rsidR="009102A7" w:rsidRPr="00576AF8" w:rsidRDefault="009102A7" w:rsidP="009102A7">
      <w:pPr>
        <w:spacing w:after="0"/>
        <w:ind w:left="-20" w:right="-20"/>
        <w:rPr>
          <w:rFonts w:eastAsia="Calibri"/>
          <w:b/>
          <w:bCs/>
          <w:color w:val="000000"/>
          <w:sz w:val="22"/>
          <w:szCs w:val="22"/>
        </w:rPr>
      </w:pPr>
    </w:p>
    <w:p w14:paraId="19BC15D0" w14:textId="77777777" w:rsidR="009102A7" w:rsidRPr="00576AF8" w:rsidRDefault="009102A7" w:rsidP="009102A7">
      <w:pPr>
        <w:spacing w:after="0"/>
        <w:ind w:left="-20" w:right="-20"/>
        <w:rPr>
          <w:sz w:val="22"/>
          <w:szCs w:val="22"/>
        </w:rPr>
      </w:pPr>
      <w:r w:rsidRPr="00576AF8">
        <w:rPr>
          <w:rFonts w:eastAsia="Calibri"/>
          <w:color w:val="000000"/>
          <w:sz w:val="22"/>
          <w:szCs w:val="22"/>
        </w:rPr>
        <w:t xml:space="preserve">En esta zona se ubicarán los frontales de comunicaciones que son los responsables para gestionar los protocolos requeridos para la comunicación directa con los equipos de campo. Asimismo, si el proveedor no soporta en su producto base el protocolo C37.118 para los WAMS, </w:t>
      </w:r>
      <w:r w:rsidR="00974D91" w:rsidRPr="00576AF8">
        <w:rPr>
          <w:rFonts w:eastAsia="Calibri"/>
          <w:color w:val="000000"/>
          <w:sz w:val="22"/>
          <w:szCs w:val="22"/>
        </w:rPr>
        <w:t>deberá</w:t>
      </w:r>
      <w:r w:rsidRPr="00576AF8">
        <w:rPr>
          <w:rFonts w:eastAsia="Calibri"/>
          <w:color w:val="000000"/>
          <w:sz w:val="22"/>
          <w:szCs w:val="22"/>
        </w:rPr>
        <w:t xml:space="preserve"> incluir un equipo </w:t>
      </w:r>
      <w:r w:rsidRPr="00576AF8">
        <w:rPr>
          <w:rFonts w:eastAsia="Calibri"/>
          <w:i/>
          <w:color w:val="000000"/>
          <w:sz w:val="22"/>
          <w:szCs w:val="22"/>
        </w:rPr>
        <w:t xml:space="preserve">gateway </w:t>
      </w:r>
      <w:r w:rsidRPr="00576AF8">
        <w:rPr>
          <w:rFonts w:eastAsia="Calibri"/>
          <w:color w:val="000000"/>
          <w:sz w:val="22"/>
          <w:szCs w:val="22"/>
        </w:rPr>
        <w:t>adicional.  Sin embargo, se preferirán soluciones integradas al SCADA del Proveedor, puesto que facilitarán la generación y distribución de archivos de configuración entre los diferentes componentes del sistema.</w:t>
      </w:r>
    </w:p>
    <w:p w14:paraId="5F9D7C97" w14:textId="77777777" w:rsidR="009102A7" w:rsidRPr="00576AF8" w:rsidRDefault="009102A7" w:rsidP="009102A7">
      <w:pPr>
        <w:spacing w:after="0"/>
        <w:ind w:left="-20" w:right="-20"/>
        <w:rPr>
          <w:rFonts w:eastAsia="Calibri"/>
          <w:b/>
          <w:bCs/>
          <w:color w:val="000000"/>
          <w:sz w:val="22"/>
          <w:szCs w:val="22"/>
        </w:rPr>
      </w:pPr>
      <w:bookmarkStart w:id="653" w:name="_Toc160268892"/>
      <w:bookmarkStart w:id="654" w:name="_Toc160455917"/>
    </w:p>
    <w:p w14:paraId="37C19741"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2.4 </w:t>
      </w:r>
      <w:r w:rsidRPr="00576AF8">
        <w:rPr>
          <w:rFonts w:eastAsia="Calibri"/>
          <w:b/>
          <w:color w:val="000000"/>
          <w:sz w:val="22"/>
          <w:szCs w:val="22"/>
        </w:rPr>
        <w:t>Zona de Comunicaciones Externas</w:t>
      </w:r>
      <w:bookmarkEnd w:id="653"/>
      <w:bookmarkEnd w:id="654"/>
    </w:p>
    <w:p w14:paraId="18D46FC2" w14:textId="77777777" w:rsidR="009102A7" w:rsidRPr="00576AF8" w:rsidRDefault="009102A7" w:rsidP="009102A7">
      <w:pPr>
        <w:spacing w:after="0"/>
        <w:ind w:left="-20" w:right="-20"/>
        <w:rPr>
          <w:rFonts w:eastAsia="Calibri"/>
          <w:b/>
          <w:bCs/>
          <w:color w:val="000000"/>
          <w:sz w:val="22"/>
          <w:szCs w:val="22"/>
        </w:rPr>
      </w:pPr>
    </w:p>
    <w:p w14:paraId="28D02278" w14:textId="77777777" w:rsidR="009102A7" w:rsidRPr="00576AF8" w:rsidRDefault="009102A7" w:rsidP="009102A7">
      <w:pPr>
        <w:spacing w:after="0"/>
        <w:ind w:left="-20" w:right="-20"/>
        <w:rPr>
          <w:sz w:val="22"/>
          <w:szCs w:val="22"/>
        </w:rPr>
      </w:pPr>
      <w:r w:rsidRPr="00576AF8">
        <w:rPr>
          <w:rFonts w:eastAsia="Calibri"/>
          <w:color w:val="000000"/>
          <w:sz w:val="22"/>
          <w:szCs w:val="22"/>
        </w:rPr>
        <w:t xml:space="preserve">Desde esta zona se establecerán las comunicaciones con centros de control externos utilizando el protocolo ICCP (TASE.2). También se </w:t>
      </w:r>
      <w:r w:rsidR="00974D91" w:rsidRPr="00576AF8">
        <w:rPr>
          <w:rFonts w:eastAsia="Calibri"/>
          <w:color w:val="000000"/>
          <w:sz w:val="22"/>
          <w:szCs w:val="22"/>
        </w:rPr>
        <w:t>deberá</w:t>
      </w:r>
      <w:r w:rsidRPr="00576AF8">
        <w:rPr>
          <w:rFonts w:eastAsia="Calibri"/>
          <w:color w:val="000000"/>
          <w:sz w:val="22"/>
          <w:szCs w:val="22"/>
        </w:rPr>
        <w:t xml:space="preserve">n establecer comunicaciones con otros sistemas internos de misión crítica del CENACE como son el Sistema de Protección Sistémica (SPS) o el Sistema WAMS. </w:t>
      </w:r>
    </w:p>
    <w:p w14:paraId="53C729E3" w14:textId="77777777" w:rsidR="009102A7" w:rsidRPr="00576AF8" w:rsidRDefault="009102A7" w:rsidP="009102A7">
      <w:pPr>
        <w:spacing w:after="0"/>
        <w:ind w:left="-20" w:right="-20"/>
        <w:rPr>
          <w:rFonts w:eastAsia="Calibri"/>
          <w:b/>
          <w:bCs/>
          <w:color w:val="000000"/>
          <w:sz w:val="22"/>
          <w:szCs w:val="22"/>
        </w:rPr>
      </w:pPr>
      <w:bookmarkStart w:id="655" w:name="_Toc160268893"/>
      <w:bookmarkStart w:id="656" w:name="_Toc160455918"/>
    </w:p>
    <w:p w14:paraId="1A9ED092"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3 </w:t>
      </w:r>
      <w:r w:rsidRPr="00576AF8">
        <w:rPr>
          <w:rFonts w:eastAsia="Calibri"/>
          <w:b/>
          <w:color w:val="000000"/>
          <w:sz w:val="22"/>
          <w:szCs w:val="22"/>
        </w:rPr>
        <w:t>Funcionalidades dentro del Entorno de Ingeniería y Entrenamiento</w:t>
      </w:r>
      <w:bookmarkEnd w:id="655"/>
      <w:bookmarkEnd w:id="656"/>
    </w:p>
    <w:p w14:paraId="59B4221E" w14:textId="77777777" w:rsidR="009102A7" w:rsidRPr="00576AF8" w:rsidRDefault="009102A7" w:rsidP="009102A7">
      <w:pPr>
        <w:spacing w:after="0"/>
        <w:ind w:left="-20" w:right="-20"/>
        <w:rPr>
          <w:rFonts w:eastAsia="Calibri"/>
          <w:b/>
          <w:bCs/>
          <w:color w:val="000000"/>
          <w:sz w:val="22"/>
          <w:szCs w:val="22"/>
        </w:rPr>
      </w:pPr>
    </w:p>
    <w:p w14:paraId="6E8DB1C3" w14:textId="77777777" w:rsidR="009102A7" w:rsidRPr="00576AF8" w:rsidRDefault="009102A7" w:rsidP="009102A7">
      <w:pPr>
        <w:spacing w:after="0"/>
        <w:ind w:left="-20" w:right="-20"/>
        <w:rPr>
          <w:sz w:val="22"/>
          <w:szCs w:val="22"/>
        </w:rPr>
      </w:pPr>
      <w:r w:rsidRPr="00576AF8">
        <w:rPr>
          <w:rFonts w:eastAsia="Calibri"/>
          <w:color w:val="000000"/>
          <w:sz w:val="22"/>
          <w:szCs w:val="22"/>
        </w:rPr>
        <w:t>Dentro de este entorno se requieren tres (3) zonas: zona de Aseguramiento de Calidad (QAS), zona de Entrenamiento (OTS) y zona de Desarrollo (PDS).</w:t>
      </w:r>
    </w:p>
    <w:p w14:paraId="4CE97003" w14:textId="77777777" w:rsidR="009102A7" w:rsidRPr="00576AF8" w:rsidRDefault="009102A7" w:rsidP="009102A7">
      <w:pPr>
        <w:spacing w:after="0"/>
        <w:ind w:left="-20" w:right="-20"/>
        <w:rPr>
          <w:rFonts w:eastAsia="Calibri"/>
          <w:color w:val="000000"/>
          <w:sz w:val="22"/>
          <w:szCs w:val="22"/>
          <w:highlight w:val="yellow"/>
        </w:rPr>
      </w:pPr>
    </w:p>
    <w:p w14:paraId="327B0BC4" w14:textId="77777777" w:rsidR="009102A7" w:rsidRPr="00576AF8" w:rsidRDefault="009102A7" w:rsidP="009102A7">
      <w:pPr>
        <w:spacing w:after="0"/>
        <w:ind w:left="-20" w:right="-20"/>
        <w:rPr>
          <w:sz w:val="22"/>
          <w:szCs w:val="22"/>
        </w:rPr>
      </w:pPr>
      <w:r w:rsidRPr="00576AF8">
        <w:rPr>
          <w:rFonts w:eastAsia="Calibri"/>
          <w:color w:val="000000"/>
          <w:sz w:val="22"/>
          <w:szCs w:val="22"/>
        </w:rPr>
        <w:t>Las consolas de ingeniería pertenecerán al dominio de producción del SCADA/EMS y deberán tener acceso y conexión de red con todos los entornos del sistema, funcionalidades, aplicaciones, equipos y componentes del sistema SCADA/EMS.</w:t>
      </w:r>
    </w:p>
    <w:p w14:paraId="357F2E87" w14:textId="77777777" w:rsidR="009102A7" w:rsidRPr="00576AF8" w:rsidRDefault="009102A7" w:rsidP="009102A7">
      <w:pPr>
        <w:spacing w:after="0"/>
        <w:ind w:left="-20" w:right="-20"/>
        <w:rPr>
          <w:rFonts w:eastAsia="Calibri"/>
          <w:b/>
          <w:bCs/>
          <w:color w:val="000000"/>
          <w:sz w:val="22"/>
          <w:szCs w:val="22"/>
        </w:rPr>
      </w:pPr>
      <w:bookmarkStart w:id="657" w:name="_Toc160268894"/>
      <w:bookmarkStart w:id="658" w:name="_Toc160455919"/>
    </w:p>
    <w:p w14:paraId="6B28C017"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3.1 </w:t>
      </w:r>
      <w:r w:rsidRPr="00576AF8">
        <w:rPr>
          <w:rFonts w:eastAsia="Calibri"/>
          <w:b/>
          <w:color w:val="000000"/>
          <w:sz w:val="22"/>
          <w:szCs w:val="22"/>
        </w:rPr>
        <w:t>Zona de Aseguramiento de Calidad</w:t>
      </w:r>
      <w:bookmarkEnd w:id="657"/>
      <w:bookmarkEnd w:id="658"/>
      <w:r w:rsidRPr="00576AF8">
        <w:rPr>
          <w:rFonts w:eastAsia="Calibri"/>
          <w:b/>
          <w:bCs/>
          <w:color w:val="000000"/>
          <w:sz w:val="22"/>
          <w:szCs w:val="22"/>
        </w:rPr>
        <w:t xml:space="preserve"> (QAS)</w:t>
      </w:r>
    </w:p>
    <w:p w14:paraId="155E2466" w14:textId="77777777" w:rsidR="009102A7" w:rsidRPr="00576AF8" w:rsidRDefault="009102A7" w:rsidP="009102A7">
      <w:pPr>
        <w:spacing w:after="0"/>
        <w:ind w:left="-20" w:right="-20"/>
        <w:rPr>
          <w:rFonts w:eastAsia="Calibri"/>
          <w:b/>
          <w:bCs/>
          <w:color w:val="000000"/>
          <w:sz w:val="22"/>
          <w:szCs w:val="22"/>
        </w:rPr>
      </w:pPr>
    </w:p>
    <w:p w14:paraId="57A72236" w14:textId="77777777" w:rsidR="009102A7" w:rsidRPr="00576AF8" w:rsidRDefault="009102A7" w:rsidP="009102A7">
      <w:pPr>
        <w:spacing w:after="0"/>
        <w:ind w:left="-20" w:right="-20"/>
        <w:rPr>
          <w:sz w:val="22"/>
          <w:szCs w:val="22"/>
        </w:rPr>
      </w:pPr>
      <w:r w:rsidRPr="00576AF8">
        <w:rPr>
          <w:rFonts w:eastAsia="Calibri"/>
          <w:color w:val="000000"/>
          <w:sz w:val="22"/>
          <w:szCs w:val="22"/>
        </w:rPr>
        <w:t>El sistema de aseguramiento de calidad QAS será equivalente al sistema de producción con las siguientes diferencias:</w:t>
      </w:r>
    </w:p>
    <w:p w14:paraId="41D8648F"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No requiere redundancia de servidores, pero sí de componentes críticos de los servidores como son discos, red, fuentes de poder, ventiladores, entre los principales.</w:t>
      </w:r>
    </w:p>
    <w:p w14:paraId="25968DDB"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No requiere redundancia de equipos de red como switch, router, firewall, pero sí de componentes críticos de estos elementos como son discos, fuentes de poder, ventiladores, entre los principales.</w:t>
      </w:r>
    </w:p>
    <w:p w14:paraId="1BCCBE1D"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Los frontales de comunicación de RTUs y de comunicaciones externas ICCP pueden instalarse en un mismo servidor.</w:t>
      </w:r>
    </w:p>
    <w:p w14:paraId="18A610D1"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El QAS dispondrá de su propio dominio (active directory) independiente a los otros entornos del sistema.</w:t>
      </w:r>
    </w:p>
    <w:p w14:paraId="35DFD0D5"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 xml:space="preserve">El QAS dispondrá de servidor de cliente ligero que permita el acceso remoto seguro al IHM de este entorno del SCADA/EMS mediante usuarios autorizados. Soportará al menos 20 conexiones de acceso.  </w:t>
      </w:r>
    </w:p>
    <w:p w14:paraId="665B49FA"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 xml:space="preserve">Los equipos del QAS estarán en una ubicación geográficamente diferente para lograr una redundancia que garantice la continuidad de la operación del sistema eléctrico, incluso en presencia de eventos catastróficos que puedan provocar que el Centro de Control </w:t>
      </w:r>
      <w:r w:rsidR="00593894" w:rsidRPr="00576AF8">
        <w:rPr>
          <w:rFonts w:eastAsia="Calibri"/>
          <w:color w:val="000000"/>
          <w:sz w:val="22"/>
          <w:szCs w:val="22"/>
        </w:rPr>
        <w:t>del Comprador</w:t>
      </w:r>
      <w:r w:rsidRPr="00576AF8">
        <w:rPr>
          <w:rFonts w:eastAsia="Calibri"/>
          <w:color w:val="000000"/>
          <w:sz w:val="22"/>
          <w:szCs w:val="22"/>
        </w:rPr>
        <w:t xml:space="preserve"> quede indisponible.  Estos </w:t>
      </w:r>
      <w:r w:rsidRPr="00576AF8">
        <w:rPr>
          <w:rFonts w:eastAsia="Calibri"/>
          <w:color w:val="000000"/>
          <w:sz w:val="22"/>
          <w:szCs w:val="22"/>
        </w:rPr>
        <w:lastRenderedPageBreak/>
        <w:t>eventos pueden ser: desastres naturales, conflictos bélicos, eventos de conmoción social, ataques, disturbios, mantenimiento mayor, etc.</w:t>
      </w:r>
    </w:p>
    <w:p w14:paraId="5731EA6A" w14:textId="77777777" w:rsidR="009102A7" w:rsidRPr="00576AF8" w:rsidRDefault="009102A7" w:rsidP="009102A7">
      <w:pPr>
        <w:numPr>
          <w:ilvl w:val="0"/>
          <w:numId w:val="231"/>
        </w:numPr>
        <w:spacing w:after="0"/>
        <w:ind w:right="-20"/>
        <w:contextualSpacing/>
        <w:rPr>
          <w:rFonts w:eastAsia="Calibri"/>
          <w:color w:val="000000"/>
          <w:sz w:val="22"/>
          <w:szCs w:val="22"/>
        </w:rPr>
      </w:pPr>
      <w:r w:rsidRPr="00576AF8">
        <w:rPr>
          <w:rFonts w:eastAsia="Calibri"/>
          <w:color w:val="000000"/>
          <w:sz w:val="22"/>
          <w:szCs w:val="22"/>
        </w:rPr>
        <w:t>La capacidad de retención de datos del historiador será de al menos (1) un mes.</w:t>
      </w:r>
    </w:p>
    <w:p w14:paraId="30FAC23F" w14:textId="77777777" w:rsidR="009102A7" w:rsidRPr="00576AF8" w:rsidRDefault="009102A7" w:rsidP="009102A7">
      <w:pPr>
        <w:spacing w:after="0"/>
        <w:ind w:right="-20"/>
        <w:rPr>
          <w:rFonts w:eastAsia="Calibri"/>
          <w:color w:val="000000"/>
          <w:sz w:val="22"/>
          <w:szCs w:val="22"/>
        </w:rPr>
      </w:pPr>
    </w:p>
    <w:p w14:paraId="1EFAA748" w14:textId="77777777" w:rsidR="009102A7" w:rsidRPr="00576AF8" w:rsidRDefault="009102A7" w:rsidP="009102A7">
      <w:pPr>
        <w:spacing w:after="0"/>
        <w:ind w:right="-20"/>
        <w:rPr>
          <w:rFonts w:eastAsia="Calibri"/>
          <w:color w:val="000000"/>
          <w:sz w:val="22"/>
          <w:szCs w:val="22"/>
        </w:rPr>
      </w:pPr>
      <w:r w:rsidRPr="00576AF8">
        <w:rPr>
          <w:rFonts w:eastAsia="Calibri"/>
          <w:color w:val="000000"/>
          <w:sz w:val="22"/>
          <w:szCs w:val="22"/>
        </w:rPr>
        <w:t>El QAS se utilizará entre otros propósitos para las siguientes funciones:</w:t>
      </w:r>
    </w:p>
    <w:p w14:paraId="10F03812" w14:textId="77777777" w:rsidR="009102A7" w:rsidRPr="00576AF8" w:rsidRDefault="009102A7" w:rsidP="009102A7">
      <w:pPr>
        <w:spacing w:after="0"/>
        <w:ind w:right="-20"/>
        <w:rPr>
          <w:sz w:val="22"/>
          <w:szCs w:val="22"/>
        </w:rPr>
      </w:pPr>
    </w:p>
    <w:p w14:paraId="6AA3C5E1" w14:textId="77777777" w:rsidR="009102A7" w:rsidRPr="00576AF8" w:rsidRDefault="009102A7" w:rsidP="009102A7">
      <w:pPr>
        <w:numPr>
          <w:ilvl w:val="0"/>
          <w:numId w:val="232"/>
        </w:numPr>
        <w:spacing w:after="0"/>
        <w:ind w:right="-20"/>
        <w:contextualSpacing/>
        <w:rPr>
          <w:rFonts w:eastAsia="Calibri"/>
          <w:color w:val="000000"/>
          <w:sz w:val="22"/>
          <w:szCs w:val="22"/>
        </w:rPr>
      </w:pPr>
      <w:r w:rsidRPr="00576AF8">
        <w:rPr>
          <w:rFonts w:eastAsia="Calibri"/>
          <w:color w:val="000000"/>
          <w:sz w:val="22"/>
          <w:szCs w:val="22"/>
        </w:rPr>
        <w:t>Desarrollar la base de datos y los despliegues (SDB) para transferirlos incrementalmente a la SDB del entorno de producción en la zona de tiempo real y viceversa.</w:t>
      </w:r>
    </w:p>
    <w:p w14:paraId="27EB438C" w14:textId="77777777" w:rsidR="009102A7" w:rsidRPr="00576AF8" w:rsidRDefault="009102A7" w:rsidP="009102A7">
      <w:pPr>
        <w:numPr>
          <w:ilvl w:val="0"/>
          <w:numId w:val="232"/>
        </w:numPr>
        <w:spacing w:after="0"/>
        <w:ind w:right="-20"/>
        <w:contextualSpacing/>
        <w:rPr>
          <w:rFonts w:eastAsia="Calibri"/>
          <w:color w:val="000000"/>
          <w:sz w:val="22"/>
          <w:szCs w:val="22"/>
        </w:rPr>
      </w:pPr>
      <w:r w:rsidRPr="00576AF8">
        <w:rPr>
          <w:rFonts w:eastAsia="Calibri"/>
          <w:color w:val="000000"/>
          <w:sz w:val="22"/>
          <w:szCs w:val="22"/>
        </w:rPr>
        <w:t>Transferir los conjuntos de cambios desde la base de datos y los despliegues (SDB) hacia la zona de desarrollo de programas PDS y viceversa.</w:t>
      </w:r>
    </w:p>
    <w:p w14:paraId="078B208A" w14:textId="77777777" w:rsidR="009102A7" w:rsidRPr="00576AF8" w:rsidRDefault="009102A7" w:rsidP="009102A7">
      <w:pPr>
        <w:numPr>
          <w:ilvl w:val="0"/>
          <w:numId w:val="232"/>
        </w:numPr>
        <w:spacing w:after="0"/>
        <w:ind w:right="-20"/>
        <w:contextualSpacing/>
        <w:rPr>
          <w:rFonts w:eastAsia="Calibri"/>
          <w:color w:val="000000"/>
          <w:sz w:val="22"/>
          <w:szCs w:val="22"/>
        </w:rPr>
      </w:pPr>
      <w:r w:rsidRPr="00576AF8">
        <w:rPr>
          <w:rFonts w:eastAsia="Calibri"/>
          <w:color w:val="000000"/>
          <w:sz w:val="22"/>
          <w:szCs w:val="22"/>
        </w:rPr>
        <w:t>El QAS dispondrá de consolas dedicadas que son requeridas en este documento.</w:t>
      </w:r>
    </w:p>
    <w:p w14:paraId="7F6BF6F7" w14:textId="77777777" w:rsidR="009102A7" w:rsidRPr="00576AF8" w:rsidRDefault="009102A7" w:rsidP="009102A7">
      <w:pPr>
        <w:spacing w:after="0"/>
        <w:ind w:left="-20" w:right="-20"/>
        <w:rPr>
          <w:rFonts w:eastAsia="Calibri"/>
          <w:b/>
          <w:color w:val="000000"/>
          <w:sz w:val="22"/>
          <w:szCs w:val="22"/>
        </w:rPr>
      </w:pPr>
    </w:p>
    <w:p w14:paraId="6BEE61B5"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3.2 </w:t>
      </w:r>
      <w:r w:rsidRPr="00576AF8">
        <w:rPr>
          <w:rFonts w:eastAsia="Calibri"/>
          <w:b/>
          <w:color w:val="000000"/>
          <w:sz w:val="22"/>
          <w:szCs w:val="22"/>
        </w:rPr>
        <w:t xml:space="preserve">Zona de Entrenamiento </w:t>
      </w:r>
      <w:r w:rsidRPr="00576AF8">
        <w:rPr>
          <w:rFonts w:eastAsia="Calibri"/>
          <w:b/>
          <w:bCs/>
          <w:color w:val="000000"/>
          <w:sz w:val="22"/>
          <w:szCs w:val="22"/>
        </w:rPr>
        <w:t>(OTS)</w:t>
      </w:r>
    </w:p>
    <w:p w14:paraId="33273FE3" w14:textId="77777777" w:rsidR="009102A7" w:rsidRPr="00576AF8" w:rsidRDefault="009102A7" w:rsidP="009102A7">
      <w:pPr>
        <w:spacing w:after="0"/>
        <w:ind w:left="-20" w:right="-20"/>
        <w:rPr>
          <w:rFonts w:eastAsia="Calibri"/>
          <w:b/>
          <w:bCs/>
          <w:color w:val="000000"/>
          <w:sz w:val="22"/>
          <w:szCs w:val="22"/>
        </w:rPr>
      </w:pPr>
    </w:p>
    <w:p w14:paraId="03CAA6EF" w14:textId="77777777" w:rsidR="009102A7" w:rsidRPr="00576AF8" w:rsidRDefault="009102A7" w:rsidP="009102A7">
      <w:pPr>
        <w:spacing w:after="0"/>
        <w:ind w:right="-20"/>
        <w:rPr>
          <w:rFonts w:eastAsia="Calibri"/>
          <w:color w:val="000000"/>
          <w:sz w:val="22"/>
          <w:szCs w:val="22"/>
        </w:rPr>
      </w:pPr>
      <w:r w:rsidRPr="00576AF8">
        <w:rPr>
          <w:rFonts w:eastAsia="Calibri"/>
          <w:color w:val="000000"/>
          <w:sz w:val="22"/>
          <w:szCs w:val="22"/>
        </w:rPr>
        <w:t xml:space="preserve">Esta zona estará conformada por el servidor OTS, un servidor historiador, consolas dedicadas tanto para el instructor como los entrenados.  </w:t>
      </w:r>
    </w:p>
    <w:p w14:paraId="1072CC89" w14:textId="77777777" w:rsidR="009102A7" w:rsidRPr="00576AF8" w:rsidRDefault="009102A7" w:rsidP="009102A7">
      <w:pPr>
        <w:spacing w:after="0"/>
        <w:ind w:right="-20"/>
        <w:rPr>
          <w:rFonts w:eastAsia="Calibri"/>
          <w:color w:val="000000"/>
          <w:sz w:val="22"/>
          <w:szCs w:val="22"/>
        </w:rPr>
      </w:pPr>
    </w:p>
    <w:p w14:paraId="1F1D4F9B" w14:textId="77777777" w:rsidR="009102A7" w:rsidRPr="00576AF8" w:rsidRDefault="009102A7" w:rsidP="009102A7">
      <w:pPr>
        <w:spacing w:after="0"/>
        <w:ind w:right="-20"/>
        <w:rPr>
          <w:rFonts w:eastAsia="Calibri"/>
          <w:color w:val="000000"/>
          <w:sz w:val="22"/>
          <w:szCs w:val="22"/>
        </w:rPr>
      </w:pPr>
      <w:r w:rsidRPr="00576AF8">
        <w:rPr>
          <w:rFonts w:eastAsia="Calibri"/>
          <w:color w:val="000000"/>
          <w:sz w:val="22"/>
          <w:szCs w:val="22"/>
        </w:rPr>
        <w:t>La base de datos del OTS (RDB) será actualizada desde el QAS o desde el sistema de producción en tiempo real. Es un requerimiento del CENACE, que las consolas del OTS puedan conectarse tanto al OTS como al sistema de producción sin requerir de cambios o reconfiguraciones de las consolas a nivel de software o de red.  Lo anterior, con el propósito de utilizar las consolas del OTS para la operación del sistema eléctrico ecuatoriano, ante la indisponibilidad de la sala de control de CENACE.</w:t>
      </w:r>
    </w:p>
    <w:p w14:paraId="4283AAC0" w14:textId="77777777" w:rsidR="009102A7" w:rsidRPr="00576AF8" w:rsidRDefault="009102A7" w:rsidP="009102A7">
      <w:pPr>
        <w:spacing w:after="0"/>
        <w:ind w:right="-20"/>
        <w:rPr>
          <w:rFonts w:eastAsia="Calibri"/>
          <w:color w:val="000000"/>
          <w:sz w:val="22"/>
          <w:szCs w:val="22"/>
        </w:rPr>
      </w:pPr>
    </w:p>
    <w:p w14:paraId="503A5F7E" w14:textId="77777777" w:rsidR="009102A7" w:rsidRPr="00576AF8" w:rsidRDefault="009102A7" w:rsidP="009102A7">
      <w:pPr>
        <w:spacing w:after="0"/>
        <w:ind w:right="-20"/>
        <w:rPr>
          <w:rFonts w:eastAsia="Calibri"/>
          <w:color w:val="000000"/>
          <w:sz w:val="22"/>
          <w:szCs w:val="22"/>
        </w:rPr>
      </w:pPr>
      <w:r w:rsidRPr="00576AF8">
        <w:rPr>
          <w:rFonts w:eastAsia="Calibri"/>
          <w:color w:val="000000"/>
          <w:sz w:val="22"/>
          <w:szCs w:val="22"/>
        </w:rPr>
        <w:t>El sistema OTS tendrá las siguientes características generales:</w:t>
      </w:r>
    </w:p>
    <w:p w14:paraId="6A6E3325" w14:textId="77777777" w:rsidR="009102A7" w:rsidRPr="00576AF8" w:rsidRDefault="009102A7" w:rsidP="009102A7">
      <w:pPr>
        <w:numPr>
          <w:ilvl w:val="0"/>
          <w:numId w:val="233"/>
        </w:numPr>
        <w:spacing w:after="0"/>
        <w:ind w:right="-20"/>
        <w:contextualSpacing/>
        <w:rPr>
          <w:rFonts w:eastAsia="Calibri"/>
          <w:color w:val="000000"/>
          <w:sz w:val="22"/>
          <w:szCs w:val="22"/>
        </w:rPr>
      </w:pPr>
      <w:r w:rsidRPr="00576AF8">
        <w:rPr>
          <w:rFonts w:eastAsia="Calibri"/>
          <w:color w:val="000000"/>
          <w:sz w:val="22"/>
          <w:szCs w:val="22"/>
        </w:rPr>
        <w:t>No requiere redundancia de servidores, pero sí de componentes críticos de los servidores como son discos, red, fuentes de poder, ventiladores, entre los principales.</w:t>
      </w:r>
    </w:p>
    <w:p w14:paraId="20AD127F" w14:textId="77777777" w:rsidR="009102A7" w:rsidRPr="00576AF8" w:rsidRDefault="009102A7" w:rsidP="009102A7">
      <w:pPr>
        <w:numPr>
          <w:ilvl w:val="0"/>
          <w:numId w:val="233"/>
        </w:numPr>
        <w:spacing w:after="0"/>
        <w:ind w:right="-20"/>
        <w:contextualSpacing/>
        <w:rPr>
          <w:rFonts w:eastAsia="Calibri"/>
          <w:color w:val="000000"/>
          <w:sz w:val="22"/>
          <w:szCs w:val="22"/>
        </w:rPr>
      </w:pPr>
      <w:r w:rsidRPr="00576AF8">
        <w:rPr>
          <w:rFonts w:eastAsia="Calibri"/>
          <w:color w:val="000000"/>
          <w:sz w:val="22"/>
          <w:szCs w:val="22"/>
        </w:rPr>
        <w:t>La capacidad de retención del historiador será de al menos (1) un mes.</w:t>
      </w:r>
    </w:p>
    <w:p w14:paraId="2AAB55E0" w14:textId="77777777" w:rsidR="009102A7" w:rsidRPr="00576AF8" w:rsidRDefault="009102A7" w:rsidP="009102A7">
      <w:pPr>
        <w:numPr>
          <w:ilvl w:val="0"/>
          <w:numId w:val="233"/>
        </w:numPr>
        <w:spacing w:after="0"/>
        <w:ind w:right="-20"/>
        <w:contextualSpacing/>
        <w:rPr>
          <w:rFonts w:eastAsia="Calibri"/>
          <w:color w:val="000000"/>
          <w:sz w:val="22"/>
          <w:szCs w:val="22"/>
        </w:rPr>
      </w:pPr>
      <w:r w:rsidRPr="00576AF8">
        <w:rPr>
          <w:rFonts w:eastAsia="Calibri"/>
          <w:color w:val="000000"/>
          <w:sz w:val="22"/>
          <w:szCs w:val="22"/>
        </w:rPr>
        <w:t>El OTS dispondrá de servidor de cliente ligero que permita el acceso remoto seguro al IHM de este entorno del SCADA/EMS mediante usuarios autorizados. Soportará al menos 10 conexiones de acceso.</w:t>
      </w:r>
    </w:p>
    <w:p w14:paraId="0A0A2DA6" w14:textId="77777777" w:rsidR="009102A7" w:rsidRPr="00576AF8" w:rsidRDefault="009102A7" w:rsidP="009102A7">
      <w:pPr>
        <w:spacing w:after="0"/>
        <w:ind w:left="1776" w:right="-20"/>
        <w:contextualSpacing/>
        <w:rPr>
          <w:rFonts w:eastAsia="Calibri"/>
          <w:color w:val="000000"/>
          <w:sz w:val="22"/>
          <w:szCs w:val="22"/>
        </w:rPr>
      </w:pPr>
    </w:p>
    <w:p w14:paraId="4385E06B" w14:textId="77777777" w:rsidR="009102A7" w:rsidRPr="00576AF8" w:rsidRDefault="009102A7" w:rsidP="009102A7">
      <w:pPr>
        <w:ind w:left="720" w:hanging="720"/>
        <w:outlineLvl w:val="2"/>
        <w:rPr>
          <w:rFonts w:eastAsia="Calibri"/>
          <w:color w:val="000000"/>
          <w:sz w:val="22"/>
          <w:szCs w:val="22"/>
        </w:rPr>
      </w:pPr>
      <w:bookmarkStart w:id="659" w:name="_Toc160268895"/>
      <w:bookmarkStart w:id="660" w:name="_Toc160455920"/>
      <w:r w:rsidRPr="00576AF8">
        <w:rPr>
          <w:rFonts w:eastAsia="Calibri"/>
          <w:b/>
          <w:sz w:val="22"/>
          <w:szCs w:val="22"/>
        </w:rPr>
        <w:t>1.3.1.2.</w:t>
      </w:r>
      <w:r w:rsidRPr="00576AF8">
        <w:rPr>
          <w:b/>
          <w:sz w:val="22"/>
          <w:szCs w:val="22"/>
          <w:lang w:val="es-EC" w:eastAsia="en-US" w:bidi="ar-SA"/>
        </w:rPr>
        <w:t xml:space="preserve">3.3 </w:t>
      </w:r>
      <w:r w:rsidRPr="00576AF8">
        <w:rPr>
          <w:rFonts w:eastAsia="Calibri"/>
          <w:b/>
          <w:color w:val="000000"/>
          <w:sz w:val="22"/>
          <w:szCs w:val="22"/>
        </w:rPr>
        <w:t>Zona de Desarrollo</w:t>
      </w:r>
      <w:bookmarkEnd w:id="659"/>
      <w:bookmarkEnd w:id="660"/>
      <w:r w:rsidRPr="00576AF8">
        <w:rPr>
          <w:rFonts w:eastAsia="Calibri"/>
          <w:b/>
          <w:color w:val="000000"/>
          <w:sz w:val="22"/>
          <w:szCs w:val="22"/>
        </w:rPr>
        <w:t xml:space="preserve"> </w:t>
      </w:r>
      <w:r w:rsidRPr="00576AF8">
        <w:rPr>
          <w:rFonts w:eastAsia="Calibri"/>
          <w:b/>
          <w:bCs/>
          <w:color w:val="000000"/>
          <w:sz w:val="22"/>
          <w:szCs w:val="22"/>
        </w:rPr>
        <w:t>(PDS)</w:t>
      </w:r>
    </w:p>
    <w:p w14:paraId="01FF3BAC" w14:textId="77777777" w:rsidR="009102A7" w:rsidRPr="00576AF8" w:rsidRDefault="009102A7" w:rsidP="009102A7">
      <w:pPr>
        <w:spacing w:after="0"/>
        <w:ind w:left="-20" w:right="-20"/>
        <w:rPr>
          <w:rFonts w:eastAsia="Calibri"/>
          <w:b/>
          <w:bCs/>
          <w:color w:val="000000"/>
          <w:sz w:val="22"/>
          <w:szCs w:val="22"/>
        </w:rPr>
      </w:pPr>
    </w:p>
    <w:p w14:paraId="37A0DDF2" w14:textId="77777777" w:rsidR="009102A7" w:rsidRPr="00576AF8" w:rsidRDefault="009102A7" w:rsidP="009102A7">
      <w:pPr>
        <w:spacing w:after="0"/>
        <w:ind w:right="-20"/>
        <w:rPr>
          <w:sz w:val="22"/>
          <w:szCs w:val="22"/>
        </w:rPr>
      </w:pPr>
      <w:r w:rsidRPr="00576AF8">
        <w:rPr>
          <w:rFonts w:eastAsia="Calibri"/>
          <w:color w:val="000000"/>
          <w:sz w:val="22"/>
          <w:szCs w:val="22"/>
        </w:rPr>
        <w:t>En esta zona se ubicará el sistema de desarrollo PDS con las siguientes características generales:</w:t>
      </w:r>
    </w:p>
    <w:p w14:paraId="316F6A0E" w14:textId="77777777" w:rsidR="009102A7" w:rsidRPr="00576AF8" w:rsidRDefault="009102A7" w:rsidP="009102A7">
      <w:pPr>
        <w:numPr>
          <w:ilvl w:val="0"/>
          <w:numId w:val="234"/>
        </w:numPr>
        <w:spacing w:after="0"/>
        <w:ind w:right="-20"/>
        <w:contextualSpacing/>
        <w:rPr>
          <w:rFonts w:eastAsia="Calibri"/>
          <w:color w:val="000000"/>
          <w:sz w:val="22"/>
          <w:szCs w:val="22"/>
        </w:rPr>
      </w:pPr>
      <w:r w:rsidRPr="00576AF8">
        <w:rPr>
          <w:rFonts w:eastAsia="Calibri"/>
          <w:color w:val="000000"/>
          <w:sz w:val="22"/>
          <w:szCs w:val="22"/>
        </w:rPr>
        <w:t>Configuración equivalente al QAS.</w:t>
      </w:r>
    </w:p>
    <w:p w14:paraId="1A445D1A" w14:textId="77777777" w:rsidR="009102A7" w:rsidRPr="00576AF8" w:rsidRDefault="009102A7" w:rsidP="009102A7">
      <w:pPr>
        <w:numPr>
          <w:ilvl w:val="0"/>
          <w:numId w:val="234"/>
        </w:numPr>
        <w:spacing w:after="0"/>
        <w:ind w:right="-20"/>
        <w:contextualSpacing/>
        <w:rPr>
          <w:rFonts w:eastAsia="Calibri"/>
          <w:color w:val="000000"/>
          <w:sz w:val="22"/>
          <w:szCs w:val="22"/>
        </w:rPr>
      </w:pPr>
      <w:r w:rsidRPr="00576AF8">
        <w:rPr>
          <w:rFonts w:eastAsia="Calibri"/>
          <w:color w:val="000000"/>
          <w:sz w:val="22"/>
          <w:szCs w:val="22"/>
        </w:rPr>
        <w:t>Se incluirá un servidor para realizar desarrollos de programación, el cual tendrá las librerías API estándar y otras librerías del Proveedor que sean requeridas para realizar desarrollos en las diferentes zonas del sistema SCADA/EMS, así como el software de programación base necesario para tener un entorno de programación integrado IDE que permita el desarrollo de aplicaciones e interfaces propias del CENACE. Este servidor tendrá instalado un sistema para control de versiones de software.</w:t>
      </w:r>
    </w:p>
    <w:p w14:paraId="4BB462E5" w14:textId="77777777" w:rsidR="009102A7" w:rsidRPr="00576AF8" w:rsidRDefault="009102A7" w:rsidP="009102A7">
      <w:pPr>
        <w:numPr>
          <w:ilvl w:val="0"/>
          <w:numId w:val="234"/>
        </w:numPr>
        <w:spacing w:after="0"/>
        <w:ind w:right="-20"/>
        <w:contextualSpacing/>
        <w:rPr>
          <w:rFonts w:eastAsia="Calibri"/>
          <w:color w:val="000000"/>
          <w:sz w:val="22"/>
          <w:szCs w:val="22"/>
        </w:rPr>
      </w:pPr>
      <w:r w:rsidRPr="00576AF8">
        <w:rPr>
          <w:rFonts w:eastAsia="Calibri"/>
          <w:color w:val="000000"/>
          <w:sz w:val="22"/>
          <w:szCs w:val="22"/>
        </w:rPr>
        <w:t>El PDS dispondrá de consolas dedicadas que son requeridas en esta especificación.</w:t>
      </w:r>
    </w:p>
    <w:p w14:paraId="6242CAB9" w14:textId="77777777" w:rsidR="009102A7" w:rsidRPr="00576AF8" w:rsidRDefault="009102A7" w:rsidP="009102A7">
      <w:pPr>
        <w:numPr>
          <w:ilvl w:val="0"/>
          <w:numId w:val="234"/>
        </w:numPr>
        <w:spacing w:after="0"/>
        <w:ind w:right="-20"/>
        <w:contextualSpacing/>
        <w:rPr>
          <w:rFonts w:eastAsia="Calibri"/>
          <w:color w:val="000000"/>
          <w:sz w:val="22"/>
          <w:szCs w:val="22"/>
        </w:rPr>
      </w:pPr>
      <w:r w:rsidRPr="00576AF8">
        <w:rPr>
          <w:rFonts w:eastAsia="Calibri"/>
          <w:color w:val="000000"/>
          <w:sz w:val="22"/>
          <w:szCs w:val="22"/>
        </w:rPr>
        <w:t>El PDS dispondrá de su propio dominio (active directory) independiente a los otros entornos del sistema.</w:t>
      </w:r>
    </w:p>
    <w:p w14:paraId="37680BC0" w14:textId="77777777" w:rsidR="009102A7" w:rsidRPr="00576AF8" w:rsidRDefault="009102A7" w:rsidP="009102A7">
      <w:pPr>
        <w:numPr>
          <w:ilvl w:val="0"/>
          <w:numId w:val="234"/>
        </w:numPr>
        <w:spacing w:after="0"/>
        <w:ind w:right="-20"/>
        <w:contextualSpacing/>
        <w:rPr>
          <w:rFonts w:eastAsia="Calibri"/>
          <w:color w:val="000000"/>
          <w:sz w:val="22"/>
          <w:szCs w:val="22"/>
        </w:rPr>
      </w:pPr>
      <w:r w:rsidRPr="00576AF8">
        <w:rPr>
          <w:rFonts w:eastAsia="Calibri"/>
          <w:color w:val="000000"/>
          <w:sz w:val="22"/>
          <w:szCs w:val="22"/>
        </w:rPr>
        <w:t>Desarrollar la base de datos y los despliegues (SDB) para transferirlos incrementalmente a la SDB del entorno de producción en la zona de tiempo real y viceversa.</w:t>
      </w:r>
    </w:p>
    <w:p w14:paraId="2D9797D9" w14:textId="77777777" w:rsidR="009102A7" w:rsidRPr="00576AF8" w:rsidRDefault="009102A7" w:rsidP="009102A7">
      <w:pPr>
        <w:numPr>
          <w:ilvl w:val="0"/>
          <w:numId w:val="234"/>
        </w:numPr>
        <w:spacing w:after="0"/>
        <w:ind w:right="-20"/>
        <w:contextualSpacing/>
        <w:rPr>
          <w:rFonts w:eastAsia="Calibri"/>
          <w:color w:val="000000"/>
          <w:sz w:val="22"/>
          <w:szCs w:val="22"/>
        </w:rPr>
      </w:pPr>
      <w:r w:rsidRPr="00576AF8">
        <w:rPr>
          <w:rFonts w:eastAsia="Calibri"/>
          <w:color w:val="000000"/>
          <w:sz w:val="22"/>
          <w:szCs w:val="22"/>
        </w:rPr>
        <w:t>Transferir los conjuntos de cambios desde la base de datos y los despliegues (SDB) hacia la zona de producción y viceversa.</w:t>
      </w:r>
    </w:p>
    <w:p w14:paraId="2BA9242B" w14:textId="77777777" w:rsidR="009102A7" w:rsidRPr="00576AF8" w:rsidRDefault="009102A7" w:rsidP="009102A7">
      <w:pPr>
        <w:spacing w:after="0"/>
        <w:ind w:left="-20" w:right="-20"/>
        <w:rPr>
          <w:rFonts w:eastAsia="Calibri"/>
          <w:color w:val="000000"/>
          <w:sz w:val="22"/>
          <w:szCs w:val="22"/>
        </w:rPr>
      </w:pPr>
    </w:p>
    <w:p w14:paraId="12DD5247" w14:textId="77777777" w:rsidR="009102A7" w:rsidRPr="00576AF8" w:rsidRDefault="009102A7" w:rsidP="009102A7">
      <w:pPr>
        <w:ind w:left="720" w:hanging="720"/>
        <w:outlineLvl w:val="2"/>
        <w:rPr>
          <w:rFonts w:eastAsia="Calibri"/>
          <w:color w:val="000000"/>
          <w:sz w:val="22"/>
          <w:szCs w:val="22"/>
        </w:rPr>
      </w:pPr>
      <w:bookmarkStart w:id="661" w:name="_Toc160268896"/>
      <w:bookmarkStart w:id="662" w:name="_Toc160455921"/>
      <w:r w:rsidRPr="00576AF8">
        <w:rPr>
          <w:rFonts w:eastAsia="Calibri"/>
          <w:b/>
          <w:sz w:val="22"/>
          <w:szCs w:val="22"/>
        </w:rPr>
        <w:t>1.3.1.2.</w:t>
      </w:r>
      <w:r w:rsidRPr="00576AF8">
        <w:rPr>
          <w:b/>
          <w:sz w:val="22"/>
          <w:szCs w:val="22"/>
          <w:lang w:val="es-EC" w:eastAsia="en-US" w:bidi="ar-SA"/>
        </w:rPr>
        <w:t xml:space="preserve">4 </w:t>
      </w:r>
      <w:r w:rsidRPr="00576AF8">
        <w:rPr>
          <w:rFonts w:eastAsia="Calibri"/>
          <w:b/>
          <w:color w:val="000000"/>
          <w:sz w:val="22"/>
          <w:szCs w:val="22"/>
        </w:rPr>
        <w:t>Funcionalidades dentro del Entorno de Infraestructura y Seguridad</w:t>
      </w:r>
      <w:bookmarkEnd w:id="661"/>
      <w:bookmarkEnd w:id="662"/>
    </w:p>
    <w:p w14:paraId="4FAA1A4D" w14:textId="77777777" w:rsidR="009102A7" w:rsidRPr="00576AF8" w:rsidRDefault="009102A7" w:rsidP="009102A7">
      <w:pPr>
        <w:spacing w:after="0"/>
        <w:ind w:left="-20" w:right="-20"/>
        <w:rPr>
          <w:rFonts w:eastAsia="Calibri"/>
          <w:color w:val="000000"/>
          <w:sz w:val="22"/>
          <w:szCs w:val="22"/>
        </w:rPr>
      </w:pPr>
    </w:p>
    <w:p w14:paraId="4BBFD1C4" w14:textId="77777777" w:rsidR="009102A7" w:rsidRPr="00576AF8" w:rsidRDefault="009102A7" w:rsidP="009102A7">
      <w:pPr>
        <w:spacing w:after="0"/>
        <w:ind w:left="-20" w:right="-20"/>
        <w:rPr>
          <w:rFonts w:eastAsia="Calibri"/>
          <w:color w:val="000000"/>
          <w:sz w:val="22"/>
          <w:szCs w:val="22"/>
        </w:rPr>
      </w:pPr>
      <w:r w:rsidRPr="00576AF8">
        <w:rPr>
          <w:rFonts w:eastAsia="Calibri"/>
          <w:color w:val="000000"/>
          <w:sz w:val="22"/>
          <w:szCs w:val="22"/>
        </w:rPr>
        <w:lastRenderedPageBreak/>
        <w:t>En este entorno se concentrarán todos los servicios de infraestructura y seguridad del sistema.</w:t>
      </w:r>
    </w:p>
    <w:p w14:paraId="18DF2538" w14:textId="77777777" w:rsidR="009102A7" w:rsidRPr="00576AF8" w:rsidRDefault="009102A7" w:rsidP="009102A7">
      <w:pPr>
        <w:spacing w:after="0"/>
        <w:ind w:left="-20" w:right="-20"/>
        <w:rPr>
          <w:sz w:val="22"/>
          <w:szCs w:val="22"/>
        </w:rPr>
      </w:pPr>
      <w:bookmarkStart w:id="663" w:name="_Toc160268897"/>
    </w:p>
    <w:p w14:paraId="43A3A717" w14:textId="77777777" w:rsidR="009102A7" w:rsidRPr="00576AF8" w:rsidRDefault="009102A7" w:rsidP="009102A7">
      <w:pPr>
        <w:ind w:left="720" w:hanging="720"/>
        <w:outlineLvl w:val="2"/>
        <w:rPr>
          <w:rFonts w:eastAsia="Calibri"/>
          <w:b/>
          <w:color w:val="000000"/>
          <w:sz w:val="22"/>
          <w:szCs w:val="22"/>
        </w:rPr>
      </w:pPr>
      <w:bookmarkStart w:id="664" w:name="_Toc160455922"/>
      <w:r w:rsidRPr="00576AF8">
        <w:rPr>
          <w:rFonts w:eastAsia="Calibri"/>
          <w:b/>
          <w:sz w:val="22"/>
          <w:szCs w:val="22"/>
        </w:rPr>
        <w:t>1.3.1.2.</w:t>
      </w:r>
      <w:r w:rsidRPr="00576AF8">
        <w:rPr>
          <w:b/>
          <w:sz w:val="22"/>
          <w:szCs w:val="22"/>
          <w:lang w:val="es-EC" w:eastAsia="en-US" w:bidi="ar-SA"/>
        </w:rPr>
        <w:t xml:space="preserve">4.1 </w:t>
      </w:r>
      <w:r w:rsidRPr="00576AF8">
        <w:rPr>
          <w:rFonts w:eastAsia="Calibri"/>
          <w:b/>
          <w:color w:val="000000"/>
          <w:sz w:val="22"/>
          <w:szCs w:val="22"/>
        </w:rPr>
        <w:t>Zona de Infraestructura</w:t>
      </w:r>
      <w:bookmarkEnd w:id="663"/>
      <w:bookmarkEnd w:id="664"/>
    </w:p>
    <w:p w14:paraId="784DFDB6" w14:textId="77777777" w:rsidR="009102A7" w:rsidRPr="00576AF8" w:rsidRDefault="009102A7" w:rsidP="009102A7">
      <w:pPr>
        <w:spacing w:after="0"/>
        <w:ind w:left="-20" w:right="-20"/>
        <w:rPr>
          <w:rFonts w:eastAsia="Calibri"/>
          <w:b/>
          <w:bCs/>
          <w:color w:val="000000"/>
          <w:sz w:val="22"/>
          <w:szCs w:val="22"/>
        </w:rPr>
      </w:pPr>
    </w:p>
    <w:p w14:paraId="630B1F95"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Active Directory</w:t>
      </w:r>
      <w:r w:rsidRPr="00576AF8">
        <w:rPr>
          <w:rFonts w:eastAsia="Calibri"/>
          <w:color w:val="000000"/>
          <w:sz w:val="22"/>
          <w:szCs w:val="22"/>
        </w:rPr>
        <w:t>: En esta zona se ubicará para el caso del entorno de producción y OTS un servidor redundante de directorio activo (Active Directory o solución equivalente), diseñado para gestionar los usuarios y recursos del sistema;</w:t>
      </w:r>
      <w:r w:rsidRPr="00576AF8" w:rsidDel="003F4C89">
        <w:rPr>
          <w:rFonts w:eastAsia="Calibri"/>
          <w:color w:val="000000"/>
          <w:sz w:val="22"/>
          <w:szCs w:val="22"/>
        </w:rPr>
        <w:t xml:space="preserve"> </w:t>
      </w:r>
      <w:r w:rsidRPr="00576AF8">
        <w:rPr>
          <w:rFonts w:eastAsia="Calibri"/>
          <w:color w:val="000000"/>
          <w:sz w:val="22"/>
          <w:szCs w:val="22"/>
        </w:rPr>
        <w:t xml:space="preserve">Asimismo, esta zona estará diseñada para gestionar las políticas aplicables a equipos o grupos de equipos, llevar las auditorías de seguridad y distribuir software de forma centralizada, entre otras funcionalidades.  Todo lo anterior será utilizado por el Proveedor para implementar los requerimientos de ciberseguridad descritos en este documento. </w:t>
      </w:r>
    </w:p>
    <w:p w14:paraId="3CC789B2"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Gestión de Virtualización</w:t>
      </w:r>
      <w:r w:rsidRPr="00576AF8">
        <w:rPr>
          <w:rFonts w:eastAsia="Calibri"/>
          <w:color w:val="000000"/>
          <w:sz w:val="22"/>
          <w:szCs w:val="22"/>
        </w:rPr>
        <w:t>: En el caso de que el Proveedor proponga una solución que utilice virtualización, se incluirá un servidor que centralice la gestión de los hipervisores instalados en los servidores físicos propuestos, así como la configuración y administración de todas las máquinas virtuales instalados en estos servidores físicos.</w:t>
      </w:r>
    </w:p>
    <w:p w14:paraId="4DFA4116"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Sistema de Backup</w:t>
      </w:r>
      <w:r w:rsidRPr="00576AF8">
        <w:rPr>
          <w:rFonts w:eastAsia="Calibri"/>
          <w:color w:val="000000"/>
          <w:sz w:val="22"/>
          <w:szCs w:val="22"/>
        </w:rPr>
        <w:t>: En esta zona también se ubicará el sistema de backup que será propuesto por el Proveedor para cumplir con los requerimientos de respaldo solicitados. Este sistema no requiere redundancia de servidores, pero sí de componentes críticos como son discos, red, fuentes de poder, ventiladores, entre los principales.</w:t>
      </w:r>
    </w:p>
    <w:p w14:paraId="149FD784"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Sistema de Almacenamiento</w:t>
      </w:r>
      <w:r w:rsidRPr="00576AF8">
        <w:rPr>
          <w:rFonts w:eastAsia="Calibri"/>
          <w:color w:val="000000"/>
          <w:sz w:val="22"/>
          <w:szCs w:val="22"/>
        </w:rPr>
        <w:t>: La solución del proveedor incluirá el almacenamiento en red NAS con capacidad de almacenamiento a largo plazo de manera local. Este sistema no requiere redundancia de servidores, pero sí de componentes críticos como son discos, red, fuentes de poder, ventiladores, entre los principales</w:t>
      </w:r>
    </w:p>
    <w:p w14:paraId="531B935B"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Sincronización de Tiempo</w:t>
      </w:r>
      <w:r w:rsidRPr="00576AF8">
        <w:rPr>
          <w:rFonts w:eastAsia="Calibri"/>
          <w:color w:val="000000"/>
          <w:sz w:val="22"/>
          <w:szCs w:val="22"/>
        </w:rPr>
        <w:t>: En esta zona se ubicará el sistema redundante de sincronización de tiempo basado en GPS con la capacidad suficiente para sincronizar cada uno de los equipos del centro de control. Estos receptores contarán con la capacidad de medición de la frecuencia de la red y la transmisión de fecha, hora y frecuencia tanto al sistema de producción como a los paneles alfanuméricos. Los detalles son descritos más adelante en este documento. El QAS dispondrá de un GPS sin redundancia e independiente para este entorno.</w:t>
      </w:r>
    </w:p>
    <w:p w14:paraId="63F0F0EF" w14:textId="77777777" w:rsidR="009102A7" w:rsidRPr="00576AF8" w:rsidRDefault="009102A7" w:rsidP="009102A7">
      <w:pPr>
        <w:spacing w:after="0"/>
        <w:ind w:left="1701" w:right="-20"/>
        <w:contextualSpacing/>
        <w:rPr>
          <w:rFonts w:eastAsia="Calibri"/>
          <w:color w:val="000000"/>
          <w:sz w:val="22"/>
          <w:szCs w:val="22"/>
        </w:rPr>
      </w:pPr>
    </w:p>
    <w:p w14:paraId="2D57E9BA" w14:textId="77777777" w:rsidR="009102A7" w:rsidRPr="00576AF8" w:rsidRDefault="009102A7" w:rsidP="009102A7">
      <w:pPr>
        <w:ind w:left="720" w:hanging="720"/>
        <w:outlineLvl w:val="2"/>
        <w:rPr>
          <w:rFonts w:eastAsia="Calibri"/>
          <w:color w:val="000000"/>
          <w:sz w:val="22"/>
          <w:szCs w:val="22"/>
        </w:rPr>
      </w:pPr>
      <w:bookmarkStart w:id="665" w:name="_Toc160268898"/>
      <w:bookmarkStart w:id="666" w:name="_Toc160455923"/>
      <w:r w:rsidRPr="00576AF8">
        <w:rPr>
          <w:rFonts w:eastAsia="Calibri"/>
          <w:b/>
          <w:sz w:val="22"/>
          <w:szCs w:val="22"/>
        </w:rPr>
        <w:t>1.3.1.2.</w:t>
      </w:r>
      <w:r w:rsidRPr="00576AF8">
        <w:rPr>
          <w:b/>
          <w:sz w:val="22"/>
          <w:szCs w:val="22"/>
          <w:lang w:val="es-EC" w:eastAsia="en-US" w:bidi="ar-SA"/>
        </w:rPr>
        <w:t xml:space="preserve">4.2 </w:t>
      </w:r>
      <w:r w:rsidRPr="00576AF8">
        <w:rPr>
          <w:rFonts w:eastAsia="Calibri"/>
          <w:b/>
          <w:color w:val="000000"/>
          <w:sz w:val="22"/>
          <w:szCs w:val="22"/>
        </w:rPr>
        <w:t>Zona de Seguridad</w:t>
      </w:r>
      <w:bookmarkEnd w:id="665"/>
      <w:bookmarkEnd w:id="666"/>
    </w:p>
    <w:p w14:paraId="20AE4370" w14:textId="77777777" w:rsidR="009102A7" w:rsidRPr="00576AF8" w:rsidRDefault="009102A7" w:rsidP="009102A7">
      <w:pPr>
        <w:spacing w:after="0"/>
        <w:ind w:left="1701" w:right="-20" w:hanging="567"/>
        <w:contextualSpacing/>
        <w:rPr>
          <w:rFonts w:eastAsia="Calibri"/>
          <w:color w:val="000000"/>
          <w:sz w:val="22"/>
          <w:szCs w:val="22"/>
        </w:rPr>
      </w:pPr>
      <w:r w:rsidRPr="00576AF8">
        <w:rPr>
          <w:rFonts w:eastAsia="Calibri"/>
          <w:color w:val="000000"/>
          <w:sz w:val="22"/>
          <w:szCs w:val="22"/>
        </w:rPr>
        <w:t>Aquí se ubicarán los servicios asociados a la prevención y supervisión del sistema.</w:t>
      </w:r>
    </w:p>
    <w:p w14:paraId="585DE25F" w14:textId="77777777" w:rsidR="009102A7" w:rsidRPr="00576AF8" w:rsidRDefault="009102A7" w:rsidP="009102A7">
      <w:pPr>
        <w:spacing w:after="0"/>
        <w:ind w:left="1134" w:right="-20"/>
        <w:contextualSpacing/>
        <w:rPr>
          <w:rFonts w:eastAsia="Calibri"/>
          <w:color w:val="000000"/>
          <w:sz w:val="22"/>
          <w:szCs w:val="22"/>
        </w:rPr>
      </w:pPr>
      <w:r w:rsidRPr="00576AF8">
        <w:rPr>
          <w:rFonts w:eastAsia="Calibri"/>
          <w:color w:val="000000"/>
          <w:sz w:val="22"/>
          <w:szCs w:val="22"/>
        </w:rPr>
        <w:t>Los servidores en esta zona no requieren redundancia, pero sí de componentes críticos como son discos, red, fuentes de poder, ventiladores, entre los principales.</w:t>
      </w:r>
    </w:p>
    <w:p w14:paraId="24C249AE" w14:textId="77777777" w:rsidR="009102A7" w:rsidRPr="00576AF8" w:rsidRDefault="009102A7" w:rsidP="009102A7">
      <w:pPr>
        <w:spacing w:after="0"/>
        <w:ind w:left="1701" w:right="-20"/>
        <w:contextualSpacing/>
        <w:rPr>
          <w:rFonts w:eastAsia="Calibri"/>
          <w:color w:val="000000"/>
          <w:sz w:val="22"/>
          <w:szCs w:val="22"/>
        </w:rPr>
      </w:pPr>
    </w:p>
    <w:p w14:paraId="4C9152A8"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Actualización de Software y Antivirus</w:t>
      </w:r>
      <w:r w:rsidRPr="00576AF8">
        <w:rPr>
          <w:rFonts w:eastAsia="Calibri"/>
          <w:color w:val="000000"/>
          <w:sz w:val="22"/>
          <w:szCs w:val="22"/>
        </w:rPr>
        <w:t>: El Proveedor proveerá un sistema centralizado e independiente para cada ambiente que realice lo siguiente:</w:t>
      </w:r>
    </w:p>
    <w:p w14:paraId="7E1CC494" w14:textId="77777777" w:rsidR="009102A7" w:rsidRPr="00576AF8" w:rsidRDefault="009102A7" w:rsidP="009102A7">
      <w:pPr>
        <w:numPr>
          <w:ilvl w:val="1"/>
          <w:numId w:val="235"/>
        </w:numPr>
        <w:spacing w:after="0"/>
        <w:ind w:right="-20"/>
        <w:contextualSpacing/>
        <w:rPr>
          <w:rFonts w:eastAsia="Calibri"/>
          <w:color w:val="000000"/>
          <w:sz w:val="22"/>
          <w:szCs w:val="22"/>
        </w:rPr>
      </w:pPr>
      <w:r w:rsidRPr="00576AF8">
        <w:rPr>
          <w:rFonts w:eastAsia="Calibri"/>
          <w:color w:val="000000"/>
          <w:sz w:val="22"/>
          <w:szCs w:val="22"/>
        </w:rPr>
        <w:t xml:space="preserve">Inventario de Software </w:t>
      </w:r>
    </w:p>
    <w:p w14:paraId="30AE61E5" w14:textId="77777777" w:rsidR="009102A7" w:rsidRPr="00576AF8" w:rsidRDefault="009102A7" w:rsidP="009102A7">
      <w:pPr>
        <w:numPr>
          <w:ilvl w:val="1"/>
          <w:numId w:val="235"/>
        </w:numPr>
        <w:spacing w:after="0"/>
        <w:ind w:right="-20"/>
        <w:contextualSpacing/>
        <w:rPr>
          <w:rFonts w:eastAsia="Calibri"/>
          <w:color w:val="000000"/>
          <w:sz w:val="22"/>
          <w:szCs w:val="22"/>
        </w:rPr>
      </w:pPr>
      <w:r w:rsidRPr="00576AF8">
        <w:rPr>
          <w:rFonts w:eastAsia="Calibri"/>
          <w:color w:val="000000"/>
          <w:sz w:val="22"/>
          <w:szCs w:val="22"/>
        </w:rPr>
        <w:t>Escaneo de vulnerabilidades: incluyendo software faltante, software obsoleto y configuraciones faltantes.</w:t>
      </w:r>
    </w:p>
    <w:p w14:paraId="2CEE590C" w14:textId="77777777" w:rsidR="009102A7" w:rsidRPr="00576AF8" w:rsidRDefault="009102A7" w:rsidP="009102A7">
      <w:pPr>
        <w:numPr>
          <w:ilvl w:val="1"/>
          <w:numId w:val="235"/>
        </w:numPr>
        <w:spacing w:after="0"/>
        <w:ind w:right="-20"/>
        <w:contextualSpacing/>
        <w:rPr>
          <w:rFonts w:eastAsia="Calibri"/>
          <w:color w:val="000000"/>
          <w:sz w:val="22"/>
          <w:szCs w:val="22"/>
        </w:rPr>
      </w:pPr>
      <w:r w:rsidRPr="00576AF8">
        <w:rPr>
          <w:rFonts w:eastAsia="Calibri"/>
          <w:color w:val="000000"/>
          <w:sz w:val="22"/>
          <w:szCs w:val="22"/>
        </w:rPr>
        <w:t>Gestión de parches: identificación de parches, descarga, instalación y verificación.</w:t>
      </w:r>
    </w:p>
    <w:p w14:paraId="4EDAE671" w14:textId="77777777" w:rsidR="009102A7" w:rsidRPr="00576AF8" w:rsidRDefault="009102A7" w:rsidP="009102A7">
      <w:pPr>
        <w:numPr>
          <w:ilvl w:val="1"/>
          <w:numId w:val="235"/>
        </w:numPr>
        <w:spacing w:after="0"/>
        <w:ind w:right="-20"/>
        <w:contextualSpacing/>
        <w:rPr>
          <w:rFonts w:eastAsia="Calibri"/>
          <w:color w:val="000000"/>
          <w:sz w:val="22"/>
          <w:szCs w:val="22"/>
        </w:rPr>
      </w:pPr>
      <w:r w:rsidRPr="00576AF8">
        <w:rPr>
          <w:rFonts w:eastAsia="Calibri"/>
          <w:color w:val="000000"/>
          <w:sz w:val="22"/>
          <w:szCs w:val="22"/>
        </w:rPr>
        <w:t>Reportes: estado de la red, estado de instalación de parches, estado y cumplimiento de estándares.</w:t>
      </w:r>
    </w:p>
    <w:p w14:paraId="3EC76906" w14:textId="77777777" w:rsidR="009102A7" w:rsidRPr="00576AF8" w:rsidRDefault="009102A7" w:rsidP="009102A7">
      <w:pPr>
        <w:spacing w:after="0"/>
        <w:ind w:left="2421" w:right="-20"/>
        <w:contextualSpacing/>
        <w:rPr>
          <w:rFonts w:eastAsia="Calibri"/>
          <w:color w:val="000000"/>
          <w:sz w:val="22"/>
          <w:szCs w:val="22"/>
        </w:rPr>
      </w:pPr>
    </w:p>
    <w:p w14:paraId="0314DB35" w14:textId="77777777" w:rsidR="009102A7" w:rsidRPr="00576AF8" w:rsidRDefault="009102A7" w:rsidP="009102A7">
      <w:pPr>
        <w:spacing w:after="0"/>
        <w:ind w:left="1416" w:right="-20"/>
        <w:rPr>
          <w:rFonts w:eastAsia="Calibri"/>
          <w:color w:val="000000"/>
          <w:sz w:val="22"/>
          <w:szCs w:val="22"/>
        </w:rPr>
      </w:pPr>
      <w:r w:rsidRPr="00576AF8">
        <w:rPr>
          <w:rFonts w:eastAsia="Calibri"/>
          <w:color w:val="000000"/>
          <w:sz w:val="22"/>
          <w:szCs w:val="22"/>
        </w:rPr>
        <w:t xml:space="preserve">Las actualizaciones y parches de seguridad estarán previamente descargadas </w:t>
      </w:r>
      <w:r w:rsidR="00AA6713" w:rsidRPr="00576AF8">
        <w:rPr>
          <w:rFonts w:eastAsia="Calibri"/>
          <w:color w:val="000000"/>
          <w:sz w:val="22"/>
          <w:szCs w:val="22"/>
        </w:rPr>
        <w:t xml:space="preserve">(de manera automática con la periodicidad que determine el proveedor) </w:t>
      </w:r>
      <w:r w:rsidRPr="00576AF8">
        <w:rPr>
          <w:rFonts w:eastAsia="Calibri"/>
          <w:color w:val="000000"/>
          <w:sz w:val="22"/>
          <w:szCs w:val="22"/>
        </w:rPr>
        <w:t xml:space="preserve">en este servidor y de forma selectiva en los servidores del PDS para que, en este sistema se realicen las pruebas de regresión necesarias antes de instalar las actualizaciones en el QAS y en el resto de los componentes del sistema. </w:t>
      </w:r>
      <w:r w:rsidR="00AA6713" w:rsidRPr="00576AF8">
        <w:rPr>
          <w:rFonts w:eastAsia="Calibri"/>
          <w:color w:val="000000"/>
          <w:sz w:val="22"/>
          <w:szCs w:val="22"/>
        </w:rPr>
        <w:t>El despliegue de actualizaciones y parches será realizado conforme las recomendaciones del proveedor de manera manual y coordinada con CENACE.</w:t>
      </w:r>
    </w:p>
    <w:p w14:paraId="522A336E" w14:textId="77777777" w:rsidR="009102A7" w:rsidRPr="00576AF8" w:rsidRDefault="009102A7" w:rsidP="009102A7">
      <w:pPr>
        <w:spacing w:after="0"/>
        <w:ind w:left="1416" w:right="-20"/>
        <w:rPr>
          <w:rFonts w:eastAsia="Calibri"/>
          <w:color w:val="000000"/>
          <w:sz w:val="22"/>
          <w:szCs w:val="22"/>
        </w:rPr>
      </w:pPr>
    </w:p>
    <w:p w14:paraId="3803DF20" w14:textId="77777777" w:rsidR="009102A7" w:rsidRPr="00576AF8" w:rsidRDefault="009102A7" w:rsidP="009102A7">
      <w:pPr>
        <w:spacing w:after="0"/>
        <w:ind w:left="1416" w:right="-20"/>
        <w:rPr>
          <w:rFonts w:eastAsia="Calibri"/>
          <w:color w:val="000000"/>
          <w:sz w:val="22"/>
          <w:szCs w:val="22"/>
        </w:rPr>
      </w:pPr>
      <w:r w:rsidRPr="00576AF8">
        <w:rPr>
          <w:rFonts w:eastAsia="Calibri"/>
          <w:color w:val="000000"/>
          <w:sz w:val="22"/>
          <w:szCs w:val="22"/>
        </w:rPr>
        <w:lastRenderedPageBreak/>
        <w:t xml:space="preserve">En este mismo servidor se requiere contar con un sistema centralizado para la protección de seguridad que permita la instalación y gestión remota de puntos de seguridad en cada uno de los servidores y consolas, actualización periódica de las bases de datos de malwares, escaneo de seguridad, detección y bloqueo como es requerido en este documento; así como también deberá tener la capacidad de almacenamiento para la gestión de parches. </w:t>
      </w:r>
    </w:p>
    <w:p w14:paraId="0793A924" w14:textId="77777777" w:rsidR="009102A7" w:rsidRPr="00576AF8" w:rsidRDefault="009102A7" w:rsidP="009102A7">
      <w:pPr>
        <w:spacing w:after="0"/>
        <w:ind w:left="1416" w:right="-20"/>
        <w:rPr>
          <w:rFonts w:eastAsia="Calibri"/>
          <w:color w:val="000000"/>
          <w:sz w:val="22"/>
          <w:szCs w:val="22"/>
        </w:rPr>
      </w:pPr>
    </w:p>
    <w:p w14:paraId="46CC8DBD"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Supervisión del Sistema</w:t>
      </w:r>
      <w:r w:rsidRPr="00576AF8">
        <w:rPr>
          <w:rFonts w:eastAsia="Calibri"/>
          <w:color w:val="000000"/>
          <w:sz w:val="22"/>
          <w:szCs w:val="22"/>
        </w:rPr>
        <w:t>: En este servidor, se requiere de una solución independiente para supervisar todos los servidores, consolas y dispositivos conectados en las diferentes redes. Esta supervisión incluye entre otros: uso del CPU, memoria, disco y periféricos. Asimismo, se deben supervisar las funciones críticas del SCADA/EMS como: adquisición de datos, procesamiento de alarmas, AGC, funciones de aplicación de la red eléctrica, ICCP, cálculos, entre otras. Esta solución tendrá capacidad para realizar notificaciones y/o enviarlas vía email o aplicaciones móviles a los responsables de gestionar esos sistemas.</w:t>
      </w:r>
    </w:p>
    <w:p w14:paraId="30666653" w14:textId="77777777" w:rsidR="009102A7" w:rsidRPr="00576AF8" w:rsidRDefault="009102A7" w:rsidP="009102A7">
      <w:pPr>
        <w:numPr>
          <w:ilvl w:val="0"/>
          <w:numId w:val="235"/>
        </w:numPr>
        <w:spacing w:after="0"/>
        <w:ind w:right="-20"/>
        <w:contextualSpacing/>
        <w:rPr>
          <w:rFonts w:eastAsia="Calibri"/>
          <w:color w:val="000000"/>
          <w:sz w:val="22"/>
          <w:szCs w:val="22"/>
        </w:rPr>
      </w:pPr>
      <w:r w:rsidRPr="00576AF8">
        <w:rPr>
          <w:rFonts w:eastAsia="Calibri"/>
          <w:color w:val="000000"/>
          <w:sz w:val="22"/>
          <w:szCs w:val="22"/>
          <w:u w:val="single"/>
        </w:rPr>
        <w:t>SIEM</w:t>
      </w:r>
      <w:r w:rsidRPr="00576AF8">
        <w:rPr>
          <w:rFonts w:eastAsia="Calibri"/>
          <w:color w:val="000000"/>
          <w:sz w:val="22"/>
          <w:szCs w:val="22"/>
        </w:rPr>
        <w:t>: En este servidor se requiere de una solución para la gestión de información y eventos de Seguridad. Tendrá la función de recopilar, analizar y correlacionar registros de seguridad y eventos de múltiples fuentes. Esta información se utilizará para identificar y responder a las amenazas de seguridad. Para mayores detalles consultar los requerimientos de ciberseguridad descritos en este documento.</w:t>
      </w:r>
    </w:p>
    <w:p w14:paraId="63704FBF" w14:textId="77777777" w:rsidR="009102A7" w:rsidRPr="00576AF8" w:rsidRDefault="009102A7" w:rsidP="009102A7">
      <w:pPr>
        <w:spacing w:after="0"/>
        <w:ind w:left="-20" w:right="-20"/>
        <w:rPr>
          <w:rFonts w:eastAsia="Calibri"/>
          <w:b/>
          <w:bCs/>
          <w:color w:val="000000"/>
          <w:sz w:val="22"/>
          <w:szCs w:val="22"/>
        </w:rPr>
      </w:pPr>
      <w:bookmarkStart w:id="667" w:name="_Toc160268899"/>
      <w:bookmarkStart w:id="668" w:name="_Toc160455924"/>
    </w:p>
    <w:p w14:paraId="66B04B2B"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5 </w:t>
      </w:r>
      <w:r w:rsidRPr="00576AF8">
        <w:rPr>
          <w:rFonts w:eastAsia="Calibri"/>
          <w:b/>
          <w:color w:val="000000"/>
          <w:sz w:val="22"/>
          <w:szCs w:val="22"/>
        </w:rPr>
        <w:t>Funcionalidades dentro del Entorno Intermedio Corporativo</w:t>
      </w:r>
      <w:bookmarkEnd w:id="667"/>
      <w:bookmarkEnd w:id="668"/>
    </w:p>
    <w:p w14:paraId="1440A955" w14:textId="77777777" w:rsidR="009102A7" w:rsidRPr="00576AF8" w:rsidRDefault="009102A7" w:rsidP="009102A7">
      <w:pPr>
        <w:spacing w:after="0"/>
        <w:ind w:left="-20" w:right="-20"/>
        <w:rPr>
          <w:rFonts w:eastAsia="Calibri"/>
          <w:color w:val="000000"/>
          <w:sz w:val="22"/>
          <w:szCs w:val="22"/>
        </w:rPr>
      </w:pPr>
    </w:p>
    <w:p w14:paraId="0FACED43" w14:textId="77777777" w:rsidR="009102A7" w:rsidRPr="00576AF8" w:rsidRDefault="00AA6713" w:rsidP="009102A7">
      <w:pPr>
        <w:spacing w:after="0"/>
        <w:ind w:left="-20" w:right="-20"/>
        <w:rPr>
          <w:rFonts w:eastAsia="Arial"/>
          <w:sz w:val="22"/>
          <w:szCs w:val="22"/>
        </w:rPr>
      </w:pPr>
      <w:r w:rsidRPr="00576AF8">
        <w:rPr>
          <w:rFonts w:eastAsia="Calibri"/>
          <w:color w:val="000000"/>
          <w:sz w:val="22"/>
          <w:szCs w:val="22"/>
        </w:rPr>
        <w:t>El proveedor deberá instalar</w:t>
      </w:r>
      <w:r w:rsidR="009102A7" w:rsidRPr="00576AF8">
        <w:rPr>
          <w:rFonts w:eastAsia="Calibri"/>
          <w:color w:val="000000"/>
          <w:sz w:val="22"/>
          <w:szCs w:val="22"/>
        </w:rPr>
        <w:t xml:space="preserve"> un conjunto de servidores, los cuales estarán agrupados en una misma zona de seguridad llamada zona de Servicios Corporativos.</w:t>
      </w:r>
    </w:p>
    <w:p w14:paraId="7816CC79" w14:textId="77777777" w:rsidR="009102A7" w:rsidRPr="00576AF8" w:rsidRDefault="009102A7" w:rsidP="009102A7">
      <w:pPr>
        <w:spacing w:after="0"/>
        <w:ind w:left="-20" w:right="-20"/>
        <w:rPr>
          <w:rFonts w:eastAsia="Calibri"/>
          <w:b/>
          <w:bCs/>
          <w:color w:val="000000"/>
          <w:sz w:val="22"/>
          <w:szCs w:val="22"/>
        </w:rPr>
      </w:pPr>
      <w:bookmarkStart w:id="669" w:name="_Toc160268900"/>
      <w:bookmarkStart w:id="670" w:name="_Toc160455925"/>
    </w:p>
    <w:p w14:paraId="1DAF3372" w14:textId="77777777" w:rsidR="009102A7" w:rsidRPr="00576AF8" w:rsidRDefault="009102A7" w:rsidP="009102A7">
      <w:pPr>
        <w:ind w:left="720" w:hanging="720"/>
        <w:outlineLvl w:val="2"/>
        <w:rPr>
          <w:rFonts w:eastAsia="Calibri"/>
          <w:color w:val="000000"/>
          <w:sz w:val="22"/>
          <w:szCs w:val="22"/>
        </w:rPr>
      </w:pPr>
      <w:r w:rsidRPr="00576AF8">
        <w:rPr>
          <w:rFonts w:eastAsia="Calibri"/>
          <w:b/>
          <w:sz w:val="22"/>
          <w:szCs w:val="22"/>
        </w:rPr>
        <w:t>1.3.1.2.</w:t>
      </w:r>
      <w:r w:rsidRPr="00576AF8">
        <w:rPr>
          <w:b/>
          <w:sz w:val="22"/>
          <w:szCs w:val="22"/>
          <w:lang w:val="es-EC" w:eastAsia="en-US" w:bidi="ar-SA"/>
        </w:rPr>
        <w:t xml:space="preserve">5.1 </w:t>
      </w:r>
      <w:r w:rsidRPr="00576AF8">
        <w:rPr>
          <w:rFonts w:eastAsia="Calibri"/>
          <w:b/>
          <w:color w:val="000000"/>
          <w:sz w:val="22"/>
          <w:szCs w:val="22"/>
        </w:rPr>
        <w:t>Zona de Servicios Corporativos</w:t>
      </w:r>
      <w:bookmarkEnd w:id="669"/>
      <w:bookmarkEnd w:id="670"/>
    </w:p>
    <w:p w14:paraId="65556F0F" w14:textId="77777777" w:rsidR="009102A7" w:rsidRPr="00576AF8" w:rsidRDefault="009102A7" w:rsidP="009102A7">
      <w:pPr>
        <w:spacing w:after="0"/>
        <w:ind w:right="-20"/>
        <w:rPr>
          <w:rFonts w:eastAsia="Calibri"/>
          <w:color w:val="000000"/>
          <w:sz w:val="22"/>
          <w:szCs w:val="22"/>
        </w:rPr>
      </w:pPr>
      <w:r w:rsidRPr="00576AF8">
        <w:rPr>
          <w:rFonts w:eastAsia="Calibri"/>
          <w:color w:val="000000"/>
          <w:sz w:val="22"/>
          <w:szCs w:val="22"/>
        </w:rPr>
        <w:t>Esta zona es una DMZ limitada a proporcionar servicios intermedios a la red corporativa del CENACE.</w:t>
      </w:r>
    </w:p>
    <w:p w14:paraId="199279B4" w14:textId="77777777" w:rsidR="009102A7" w:rsidRPr="00576AF8" w:rsidRDefault="009102A7" w:rsidP="009102A7">
      <w:pPr>
        <w:spacing w:after="0"/>
        <w:ind w:right="-20"/>
        <w:rPr>
          <w:rFonts w:eastAsia="Calibri"/>
          <w:color w:val="000000"/>
          <w:sz w:val="22"/>
          <w:szCs w:val="22"/>
          <w:u w:val="single"/>
        </w:rPr>
      </w:pPr>
    </w:p>
    <w:p w14:paraId="2353AD68" w14:textId="77777777" w:rsidR="009102A7" w:rsidRPr="00576AF8" w:rsidRDefault="009102A7" w:rsidP="009102A7">
      <w:pPr>
        <w:numPr>
          <w:ilvl w:val="0"/>
          <w:numId w:val="236"/>
        </w:numPr>
        <w:spacing w:after="0"/>
        <w:ind w:right="-20"/>
        <w:contextualSpacing/>
        <w:rPr>
          <w:rFonts w:eastAsia="Calibri"/>
          <w:sz w:val="22"/>
          <w:szCs w:val="22"/>
        </w:rPr>
      </w:pPr>
      <w:r w:rsidRPr="00576AF8">
        <w:rPr>
          <w:rFonts w:eastAsia="Calibri"/>
          <w:color w:val="000000"/>
          <w:sz w:val="22"/>
          <w:szCs w:val="22"/>
          <w:u w:val="single"/>
        </w:rPr>
        <w:t>SCADA/EMS Réplica</w:t>
      </w:r>
      <w:r w:rsidRPr="00576AF8">
        <w:rPr>
          <w:rFonts w:eastAsia="Calibri"/>
          <w:color w:val="000000"/>
          <w:sz w:val="22"/>
          <w:szCs w:val="22"/>
        </w:rPr>
        <w:t>: Aquí se instalará un sistema SCADA/EMS de réplica equivalente al sistema de producción, pero por diseño ofrecerá servicios en “modo lectura” (</w:t>
      </w:r>
      <w:r w:rsidRPr="00576AF8">
        <w:rPr>
          <w:rFonts w:eastAsia="Calibri"/>
          <w:i/>
          <w:color w:val="000000"/>
          <w:sz w:val="22"/>
          <w:szCs w:val="22"/>
        </w:rPr>
        <w:t>read only</w:t>
      </w:r>
      <w:r w:rsidRPr="00576AF8">
        <w:rPr>
          <w:rFonts w:eastAsia="Calibri"/>
          <w:color w:val="000000"/>
          <w:sz w:val="22"/>
          <w:szCs w:val="22"/>
        </w:rPr>
        <w:t xml:space="preserve">), es decir, que no </w:t>
      </w:r>
      <w:r w:rsidR="00974D91" w:rsidRPr="00576AF8">
        <w:rPr>
          <w:rFonts w:eastAsia="Calibri"/>
          <w:color w:val="000000"/>
          <w:sz w:val="22"/>
          <w:szCs w:val="22"/>
        </w:rPr>
        <w:t>deberá</w:t>
      </w:r>
      <w:r w:rsidRPr="00576AF8">
        <w:rPr>
          <w:rFonts w:eastAsia="Calibri"/>
          <w:color w:val="000000"/>
          <w:sz w:val="22"/>
          <w:szCs w:val="22"/>
        </w:rPr>
        <w:t>n realizarse operaciones de escritura y/o acciones que involucren escritura, las cuales serán realizadas exclusivamente en el entorno de producción.</w:t>
      </w:r>
    </w:p>
    <w:p w14:paraId="5C303F67" w14:textId="77777777" w:rsidR="009102A7" w:rsidRPr="00576AF8" w:rsidRDefault="009102A7" w:rsidP="009102A7">
      <w:pPr>
        <w:spacing w:after="0"/>
        <w:ind w:left="1416" w:right="-20"/>
        <w:contextualSpacing/>
        <w:rPr>
          <w:rFonts w:eastAsia="Calibri"/>
          <w:color w:val="000000"/>
          <w:sz w:val="22"/>
          <w:szCs w:val="22"/>
        </w:rPr>
      </w:pPr>
      <w:r w:rsidRPr="00576AF8">
        <w:rPr>
          <w:rFonts w:eastAsia="Calibri"/>
          <w:color w:val="000000"/>
          <w:sz w:val="22"/>
          <w:szCs w:val="22"/>
        </w:rPr>
        <w:t>El servidor histórico en esta zona tendrá la misma capacidad de retención que el servidor histórico de producción.</w:t>
      </w:r>
    </w:p>
    <w:p w14:paraId="41FD3D57" w14:textId="77777777" w:rsidR="009102A7" w:rsidRPr="00576AF8" w:rsidRDefault="009102A7" w:rsidP="009102A7">
      <w:pPr>
        <w:numPr>
          <w:ilvl w:val="0"/>
          <w:numId w:val="236"/>
        </w:numPr>
        <w:tabs>
          <w:tab w:val="num" w:pos="5037"/>
        </w:tabs>
        <w:spacing w:after="0"/>
        <w:ind w:right="-20"/>
        <w:contextualSpacing/>
        <w:rPr>
          <w:rFonts w:eastAsia="Calibri"/>
          <w:color w:val="000000"/>
          <w:sz w:val="22"/>
          <w:szCs w:val="22"/>
        </w:rPr>
      </w:pPr>
      <w:r w:rsidRPr="00576AF8">
        <w:rPr>
          <w:rFonts w:eastAsia="Calibri"/>
          <w:color w:val="000000"/>
          <w:sz w:val="22"/>
          <w:szCs w:val="22"/>
          <w:u w:val="single"/>
        </w:rPr>
        <w:t>Directorio Activo</w:t>
      </w:r>
      <w:r w:rsidRPr="00576AF8">
        <w:rPr>
          <w:rFonts w:eastAsia="Calibri"/>
          <w:color w:val="000000"/>
          <w:sz w:val="22"/>
          <w:szCs w:val="22"/>
        </w:rPr>
        <w:t xml:space="preserve">: Tiene el mismo propósito que el servidor ubicado en la zona de infraestructura con la diferencia que solamente tendrá jurisdicción sobre los recursos contenidos en la zona de servicios corporativos. Puede tener una relación de confianza con el servidor de la zona de infraestructura para evitar la doble administración de usuarios. En otras palabras, los usuarios definidos en la zona de infraestructura </w:t>
      </w:r>
      <w:r w:rsidR="00974D91" w:rsidRPr="00576AF8">
        <w:rPr>
          <w:rFonts w:eastAsia="Calibri"/>
          <w:color w:val="000000"/>
          <w:sz w:val="22"/>
          <w:szCs w:val="22"/>
        </w:rPr>
        <w:t>deberá</w:t>
      </w:r>
      <w:r w:rsidRPr="00576AF8">
        <w:rPr>
          <w:rFonts w:eastAsia="Calibri"/>
          <w:color w:val="000000"/>
          <w:sz w:val="22"/>
          <w:szCs w:val="22"/>
        </w:rPr>
        <w:t>n ser validados para interactuar con las funciones controladas por el directorio activo de la zona de servicios corporativos, pero no a la inversa.</w:t>
      </w:r>
    </w:p>
    <w:p w14:paraId="2B27142A" w14:textId="77777777" w:rsidR="009102A7" w:rsidRPr="00576AF8" w:rsidRDefault="009102A7" w:rsidP="009102A7">
      <w:pPr>
        <w:numPr>
          <w:ilvl w:val="0"/>
          <w:numId w:val="236"/>
        </w:numPr>
        <w:tabs>
          <w:tab w:val="num" w:pos="5037"/>
        </w:tabs>
        <w:spacing w:after="0"/>
        <w:ind w:right="-20"/>
        <w:contextualSpacing/>
        <w:rPr>
          <w:rFonts w:eastAsia="Calibri"/>
          <w:color w:val="000000"/>
          <w:sz w:val="22"/>
          <w:szCs w:val="22"/>
        </w:rPr>
      </w:pPr>
      <w:r w:rsidRPr="00576AF8">
        <w:rPr>
          <w:rFonts w:eastAsia="Calibri"/>
          <w:color w:val="000000"/>
          <w:sz w:val="22"/>
          <w:szCs w:val="22"/>
          <w:u w:val="single"/>
        </w:rPr>
        <w:t>Analítica de Datos</w:t>
      </w:r>
      <w:r w:rsidRPr="00576AF8">
        <w:rPr>
          <w:rFonts w:eastAsia="Calibri"/>
          <w:color w:val="000000"/>
          <w:sz w:val="22"/>
          <w:szCs w:val="22"/>
        </w:rPr>
        <w:t>:  El proveedor proporcionará una solución de analítica de datos históricos, con licenciamiento que permita realizar las siguientes funciones:</w:t>
      </w:r>
    </w:p>
    <w:p w14:paraId="153D55C5" w14:textId="77777777" w:rsidR="009102A7" w:rsidRPr="00576AF8" w:rsidRDefault="009102A7" w:rsidP="009102A7">
      <w:pPr>
        <w:numPr>
          <w:ilvl w:val="1"/>
          <w:numId w:val="236"/>
        </w:numPr>
        <w:spacing w:after="0"/>
        <w:ind w:right="-20"/>
        <w:contextualSpacing/>
        <w:rPr>
          <w:rFonts w:eastAsia="Calibri"/>
          <w:color w:val="000000"/>
          <w:sz w:val="22"/>
          <w:szCs w:val="22"/>
        </w:rPr>
      </w:pPr>
      <w:r w:rsidRPr="00576AF8">
        <w:rPr>
          <w:rFonts w:eastAsia="Calibri"/>
          <w:color w:val="000000"/>
          <w:sz w:val="22"/>
          <w:szCs w:val="22"/>
        </w:rPr>
        <w:t>Correlación de variables</w:t>
      </w:r>
    </w:p>
    <w:p w14:paraId="6D10171E" w14:textId="77777777" w:rsidR="009102A7" w:rsidRPr="00576AF8" w:rsidRDefault="009102A7" w:rsidP="009102A7">
      <w:pPr>
        <w:numPr>
          <w:ilvl w:val="1"/>
          <w:numId w:val="236"/>
        </w:numPr>
        <w:spacing w:after="0"/>
        <w:ind w:right="-20"/>
        <w:contextualSpacing/>
        <w:rPr>
          <w:rFonts w:eastAsia="Calibri"/>
          <w:color w:val="000000"/>
          <w:sz w:val="22"/>
          <w:szCs w:val="22"/>
        </w:rPr>
      </w:pPr>
      <w:r w:rsidRPr="00576AF8">
        <w:rPr>
          <w:rFonts w:eastAsia="Calibri"/>
          <w:color w:val="000000"/>
          <w:sz w:val="22"/>
          <w:szCs w:val="22"/>
        </w:rPr>
        <w:t>Análisis predictivo</w:t>
      </w:r>
    </w:p>
    <w:p w14:paraId="1D53CEB7" w14:textId="77777777" w:rsidR="009102A7" w:rsidRPr="00576AF8" w:rsidRDefault="009102A7" w:rsidP="009102A7">
      <w:pPr>
        <w:numPr>
          <w:ilvl w:val="1"/>
          <w:numId w:val="236"/>
        </w:numPr>
        <w:spacing w:after="0"/>
        <w:ind w:right="-20"/>
        <w:contextualSpacing/>
        <w:rPr>
          <w:rFonts w:eastAsia="Calibri"/>
          <w:color w:val="000000"/>
          <w:sz w:val="22"/>
          <w:szCs w:val="22"/>
        </w:rPr>
      </w:pPr>
      <w:r w:rsidRPr="00576AF8">
        <w:rPr>
          <w:rFonts w:eastAsia="Calibri"/>
          <w:color w:val="000000"/>
          <w:sz w:val="22"/>
          <w:szCs w:val="22"/>
        </w:rPr>
        <w:t>Detección de patrones de eventos mediante técnicas de Inteligencia artificial como Machine Learning y Deep Learning</w:t>
      </w:r>
    </w:p>
    <w:p w14:paraId="332DFCDA" w14:textId="77777777" w:rsidR="009102A7" w:rsidRPr="00576AF8" w:rsidRDefault="009102A7" w:rsidP="009102A7">
      <w:pPr>
        <w:numPr>
          <w:ilvl w:val="1"/>
          <w:numId w:val="236"/>
        </w:numPr>
        <w:spacing w:after="0"/>
        <w:ind w:right="-20"/>
        <w:contextualSpacing/>
        <w:rPr>
          <w:rFonts w:eastAsia="Calibri"/>
          <w:color w:val="000000"/>
          <w:sz w:val="22"/>
          <w:szCs w:val="22"/>
        </w:rPr>
      </w:pPr>
      <w:r w:rsidRPr="00576AF8">
        <w:rPr>
          <w:rFonts w:eastAsia="Calibri"/>
          <w:color w:val="000000"/>
          <w:sz w:val="22"/>
          <w:szCs w:val="22"/>
        </w:rPr>
        <w:t xml:space="preserve">Análisis de tendencias y patrones en los datos históricos </w:t>
      </w:r>
    </w:p>
    <w:p w14:paraId="0649FDC8" w14:textId="77777777" w:rsidR="009102A7" w:rsidRPr="00576AF8" w:rsidRDefault="009102A7" w:rsidP="009102A7">
      <w:pPr>
        <w:numPr>
          <w:ilvl w:val="1"/>
          <w:numId w:val="236"/>
        </w:numPr>
        <w:spacing w:after="0"/>
        <w:ind w:right="-20"/>
        <w:contextualSpacing/>
        <w:rPr>
          <w:rFonts w:eastAsia="Calibri"/>
          <w:color w:val="000000"/>
          <w:sz w:val="22"/>
          <w:szCs w:val="22"/>
        </w:rPr>
      </w:pPr>
      <w:r w:rsidRPr="00576AF8">
        <w:rPr>
          <w:rFonts w:eastAsia="Calibri"/>
          <w:color w:val="000000"/>
          <w:sz w:val="22"/>
          <w:szCs w:val="22"/>
        </w:rPr>
        <w:t>Notificaciones y alertas tempranas sobre posibles problemas próximos a ocurrir.</w:t>
      </w:r>
    </w:p>
    <w:p w14:paraId="5F99992D" w14:textId="77777777" w:rsidR="009102A7" w:rsidRPr="00576AF8" w:rsidRDefault="009102A7" w:rsidP="009102A7">
      <w:pPr>
        <w:numPr>
          <w:ilvl w:val="0"/>
          <w:numId w:val="237"/>
        </w:numPr>
        <w:spacing w:after="0"/>
        <w:ind w:right="-20"/>
        <w:contextualSpacing/>
        <w:rPr>
          <w:rFonts w:eastAsia="Calibri"/>
          <w:color w:val="000000"/>
          <w:sz w:val="22"/>
          <w:szCs w:val="22"/>
        </w:rPr>
      </w:pPr>
      <w:r w:rsidRPr="00576AF8">
        <w:rPr>
          <w:rFonts w:eastAsia="Calibri"/>
          <w:color w:val="000000"/>
          <w:sz w:val="22"/>
          <w:szCs w:val="22"/>
          <w:u w:val="single"/>
        </w:rPr>
        <w:t>Servidores de Cliente Ligero (</w:t>
      </w:r>
      <w:r w:rsidRPr="00576AF8">
        <w:rPr>
          <w:rFonts w:eastAsia="Calibri"/>
          <w:i/>
          <w:color w:val="000000"/>
          <w:sz w:val="22"/>
          <w:szCs w:val="22"/>
          <w:u w:val="single"/>
        </w:rPr>
        <w:t>Thin Clien</w:t>
      </w:r>
      <w:r w:rsidRPr="00576AF8">
        <w:rPr>
          <w:rFonts w:eastAsia="Calibri"/>
          <w:color w:val="000000"/>
          <w:sz w:val="22"/>
          <w:szCs w:val="22"/>
          <w:u w:val="single"/>
        </w:rPr>
        <w:t>t)</w:t>
      </w:r>
      <w:r w:rsidRPr="00576AF8">
        <w:rPr>
          <w:rFonts w:eastAsia="Calibri"/>
          <w:color w:val="000000"/>
          <w:sz w:val="22"/>
          <w:szCs w:val="22"/>
        </w:rPr>
        <w:t>: acceso remoto de los usuarios autorizados al IHM del sistema SCADA/EMS a los entornos de producción y OTS se realizará mediante el servidor de clientes livianos (</w:t>
      </w:r>
      <w:r w:rsidRPr="00576AF8">
        <w:rPr>
          <w:rFonts w:eastAsia="Calibri"/>
          <w:i/>
          <w:color w:val="000000"/>
          <w:sz w:val="22"/>
          <w:szCs w:val="22"/>
        </w:rPr>
        <w:t>Thin Client server</w:t>
      </w:r>
      <w:r w:rsidRPr="00576AF8">
        <w:rPr>
          <w:rFonts w:eastAsia="Calibri"/>
          <w:color w:val="000000"/>
          <w:sz w:val="22"/>
          <w:szCs w:val="22"/>
        </w:rPr>
        <w:t>). Soportará al menos 20 conexiones de acceso para el entorno de producción por cada servidor y para el OTS soportará al menos 10 conexiones de acceso.</w:t>
      </w:r>
    </w:p>
    <w:p w14:paraId="2296440B" w14:textId="77777777" w:rsidR="009102A7" w:rsidRPr="00576AF8" w:rsidRDefault="009102A7" w:rsidP="009102A7">
      <w:pPr>
        <w:numPr>
          <w:ilvl w:val="0"/>
          <w:numId w:val="237"/>
        </w:numPr>
        <w:spacing w:after="0"/>
        <w:ind w:right="-20"/>
        <w:contextualSpacing/>
        <w:rPr>
          <w:rFonts w:eastAsia="Calibri"/>
          <w:color w:val="000000"/>
          <w:sz w:val="22"/>
          <w:szCs w:val="22"/>
        </w:rPr>
      </w:pPr>
      <w:r w:rsidRPr="00576AF8">
        <w:rPr>
          <w:rFonts w:eastAsia="Calibri"/>
          <w:color w:val="000000"/>
          <w:sz w:val="22"/>
          <w:szCs w:val="22"/>
          <w:u w:val="single"/>
        </w:rPr>
        <w:lastRenderedPageBreak/>
        <w:t>Bus de Servicios Empresariales</w:t>
      </w:r>
      <w:r w:rsidRPr="00576AF8">
        <w:rPr>
          <w:rFonts w:eastAsia="Calibri"/>
          <w:color w:val="000000"/>
          <w:sz w:val="22"/>
          <w:szCs w:val="22"/>
        </w:rPr>
        <w:t xml:space="preserve">: Mediante estos servicios, que deben ser apropiedamente licenciados, el Proveedor ofrecerá servicios para el intercambio de información entre el SCADA/EMS y la red corporativa a través de servicios web (web services). </w:t>
      </w:r>
    </w:p>
    <w:p w14:paraId="79BD14A9" w14:textId="77777777" w:rsidR="009102A7" w:rsidRPr="00576AF8" w:rsidRDefault="009102A7" w:rsidP="009102A7">
      <w:pPr>
        <w:numPr>
          <w:ilvl w:val="0"/>
          <w:numId w:val="237"/>
        </w:numPr>
        <w:spacing w:after="0"/>
        <w:ind w:right="-20"/>
        <w:contextualSpacing/>
        <w:rPr>
          <w:rFonts w:eastAsia="Calibri"/>
          <w:color w:val="000000"/>
          <w:sz w:val="22"/>
          <w:szCs w:val="22"/>
        </w:rPr>
      </w:pPr>
      <w:r w:rsidRPr="00576AF8">
        <w:rPr>
          <w:rFonts w:eastAsia="Calibri"/>
          <w:color w:val="000000"/>
          <w:sz w:val="22"/>
          <w:szCs w:val="22"/>
          <w:u w:val="single"/>
        </w:rPr>
        <w:t>Proxy</w:t>
      </w:r>
      <w:r w:rsidRPr="00576AF8">
        <w:rPr>
          <w:rFonts w:eastAsia="Calibri"/>
          <w:color w:val="000000"/>
          <w:sz w:val="22"/>
          <w:szCs w:val="22"/>
        </w:rPr>
        <w:t>: Se incluirá un servidor proxy con el propósito de incrementar la seguridad en el acceso por demanda desde el sistema hacia información que se descargue utilizando el internet para realizar las consultas a servicios de mapas e información del clima haciendo uso de memoria caché local.</w:t>
      </w:r>
    </w:p>
    <w:p w14:paraId="65CEA036" w14:textId="77777777" w:rsidR="009102A7" w:rsidRPr="00576AF8" w:rsidRDefault="009102A7" w:rsidP="009102A7">
      <w:pPr>
        <w:numPr>
          <w:ilvl w:val="0"/>
          <w:numId w:val="237"/>
        </w:numPr>
        <w:tabs>
          <w:tab w:val="num" w:pos="5103"/>
        </w:tabs>
        <w:spacing w:after="0"/>
        <w:ind w:right="-20"/>
        <w:contextualSpacing/>
        <w:rPr>
          <w:rFonts w:eastAsia="Calibri"/>
          <w:color w:val="000000"/>
          <w:sz w:val="22"/>
          <w:szCs w:val="22"/>
        </w:rPr>
      </w:pPr>
      <w:r w:rsidRPr="00576AF8">
        <w:rPr>
          <w:rFonts w:eastAsia="Calibri"/>
          <w:color w:val="000000"/>
          <w:sz w:val="22"/>
          <w:szCs w:val="22"/>
          <w:u w:val="single"/>
        </w:rPr>
        <w:t>Servidor de Interfaces y OPC UA</w:t>
      </w:r>
      <w:r w:rsidRPr="00576AF8">
        <w:rPr>
          <w:rFonts w:eastAsia="Calibri"/>
          <w:color w:val="000000"/>
          <w:sz w:val="22"/>
          <w:szCs w:val="22"/>
        </w:rPr>
        <w:t>: El Proveedor incluirá un servidor OPC UA con acceso en modo lectura, tanto a la base de datos en tiempo real del sistema de réplica como a la base de datos de tiempo real del servidor OTS. Lo anterior, con la finalidad de utilizar esta información como entrada de datos a sistemas de simulación dinámica u otros sistemas con fines de estudio ubicados en la red corporativa. Este servidor alojará también nuevas interfaces que desarrolle el CENACE para   aplicaciones específicas.</w:t>
      </w:r>
    </w:p>
    <w:p w14:paraId="42E52B88" w14:textId="77777777" w:rsidR="009102A7" w:rsidRPr="00576AF8" w:rsidRDefault="009102A7" w:rsidP="009102A7">
      <w:pPr>
        <w:spacing w:after="0"/>
        <w:ind w:left="2160" w:right="-20"/>
        <w:contextualSpacing/>
        <w:rPr>
          <w:rFonts w:eastAsia="Calibri"/>
          <w:color w:val="000000"/>
          <w:sz w:val="22"/>
          <w:szCs w:val="22"/>
        </w:rPr>
      </w:pPr>
    </w:p>
    <w:p w14:paraId="6CC3DA2B" w14:textId="77777777" w:rsidR="009102A7" w:rsidRPr="00576AF8" w:rsidRDefault="009102A7" w:rsidP="009102A7">
      <w:pPr>
        <w:ind w:left="720" w:hanging="720"/>
        <w:outlineLvl w:val="2"/>
        <w:rPr>
          <w:b/>
          <w:color w:val="4472C4"/>
          <w:sz w:val="22"/>
          <w:szCs w:val="22"/>
        </w:rPr>
      </w:pPr>
      <w:r w:rsidRPr="00576AF8">
        <w:rPr>
          <w:b/>
          <w:sz w:val="22"/>
          <w:szCs w:val="22"/>
        </w:rPr>
        <w:t>1.3.1.</w:t>
      </w:r>
      <w:r w:rsidR="005A715B" w:rsidRPr="00576AF8">
        <w:rPr>
          <w:b/>
          <w:sz w:val="22"/>
          <w:szCs w:val="22"/>
        </w:rPr>
        <w:t>3</w:t>
      </w:r>
      <w:r w:rsidRPr="00576AF8">
        <w:rPr>
          <w:b/>
          <w:sz w:val="22"/>
          <w:szCs w:val="22"/>
        </w:rPr>
        <w:tab/>
      </w:r>
      <w:r w:rsidRPr="00576AF8">
        <w:rPr>
          <w:b/>
          <w:sz w:val="22"/>
          <w:szCs w:val="22"/>
          <w:u w:val="single"/>
        </w:rPr>
        <w:t>Arquitectura de los equipos</w:t>
      </w:r>
      <w:r w:rsidRPr="00576AF8">
        <w:rPr>
          <w:b/>
          <w:sz w:val="22"/>
          <w:szCs w:val="22"/>
        </w:rPr>
        <w:t xml:space="preserve">: </w:t>
      </w:r>
    </w:p>
    <w:p w14:paraId="309594B0" w14:textId="77777777" w:rsidR="009102A7" w:rsidRPr="00576AF8" w:rsidRDefault="009102A7" w:rsidP="009102A7">
      <w:pPr>
        <w:spacing w:after="0"/>
        <w:ind w:left="1416" w:right="-20"/>
        <w:contextualSpacing/>
        <w:rPr>
          <w:rFonts w:eastAsia="Calibri"/>
          <w:color w:val="000000"/>
          <w:sz w:val="22"/>
          <w:szCs w:val="22"/>
        </w:rPr>
      </w:pPr>
      <w:r w:rsidRPr="00576AF8">
        <w:rPr>
          <w:rFonts w:eastAsia="Calibri"/>
          <w:color w:val="000000"/>
          <w:sz w:val="22"/>
          <w:szCs w:val="22"/>
        </w:rPr>
        <w:t xml:space="preserve">La infraestructura deberá ser una solución mediante servidores físicos independientes, o hipervisores con software de virtualización o una combinación de las dos soluciones anteriores </w:t>
      </w:r>
      <w:r w:rsidRPr="00576AF8">
        <w:rPr>
          <w:rFonts w:eastAsia="Calibri"/>
          <w:sz w:val="22"/>
          <w:szCs w:val="22"/>
        </w:rPr>
        <w:t>(no se aceptará hiperconvergencia para el caso del entorno virtual)</w:t>
      </w:r>
      <w:r w:rsidRPr="00576AF8">
        <w:rPr>
          <w:rFonts w:eastAsia="Calibri"/>
          <w:color w:val="000000"/>
          <w:sz w:val="22"/>
          <w:szCs w:val="22"/>
        </w:rPr>
        <w:t xml:space="preserve">, que permita la escalabilidad, flexibilidad y la alta disponibilidad; y todo el equipamiento de red (switches, dispositivos de firewall, routers), GPS, sistemas de backup, almacenamiento, estaciones de trabajo, etc., necesarios para garantizar el correcto funcionamiento del nuevo sistema SCADA/EMS </w:t>
      </w:r>
      <w:r w:rsidR="00593894" w:rsidRPr="00576AF8">
        <w:rPr>
          <w:rFonts w:eastAsia="Calibri"/>
          <w:color w:val="000000"/>
          <w:sz w:val="22"/>
          <w:szCs w:val="22"/>
        </w:rPr>
        <w:t>del Comprador</w:t>
      </w:r>
      <w:r w:rsidRPr="00576AF8">
        <w:rPr>
          <w:rFonts w:eastAsia="Calibri"/>
          <w:color w:val="000000"/>
          <w:sz w:val="22"/>
          <w:szCs w:val="22"/>
        </w:rPr>
        <w:t>.</w:t>
      </w:r>
    </w:p>
    <w:p w14:paraId="75760185" w14:textId="77777777" w:rsidR="00EB6EFF" w:rsidRPr="00576AF8" w:rsidRDefault="00EB6EFF" w:rsidP="009102A7">
      <w:pPr>
        <w:spacing w:after="0"/>
        <w:ind w:left="1416" w:right="-20"/>
        <w:contextualSpacing/>
        <w:rPr>
          <w:rFonts w:eastAsia="Calibri"/>
          <w:color w:val="000000"/>
          <w:sz w:val="22"/>
          <w:szCs w:val="22"/>
        </w:rPr>
      </w:pPr>
    </w:p>
    <w:p w14:paraId="4B254680" w14:textId="77777777" w:rsidR="00EB6EFF" w:rsidRPr="00576AF8" w:rsidRDefault="00EB6EFF" w:rsidP="009102A7">
      <w:pPr>
        <w:spacing w:after="0"/>
        <w:ind w:left="1416" w:right="-20"/>
        <w:contextualSpacing/>
        <w:rPr>
          <w:rFonts w:eastAsia="Calibri"/>
          <w:color w:val="000000"/>
          <w:sz w:val="22"/>
          <w:szCs w:val="22"/>
        </w:rPr>
      </w:pPr>
      <w:r w:rsidRPr="00576AF8">
        <w:rPr>
          <w:rFonts w:eastAsia="Calibri"/>
          <w:color w:val="000000"/>
          <w:sz w:val="22"/>
          <w:szCs w:val="22"/>
        </w:rPr>
        <w:t>En la arquitectura se debe considerar que la Sede de CENACE dispone de 2 edificios, en los cuales se deberá instalar el equipamiento de este sistema.</w:t>
      </w:r>
    </w:p>
    <w:p w14:paraId="700E67A7" w14:textId="77777777" w:rsidR="005A715B" w:rsidRPr="00576AF8" w:rsidRDefault="005A715B" w:rsidP="008C0D90">
      <w:pPr>
        <w:spacing w:after="0"/>
        <w:ind w:right="-20"/>
        <w:contextualSpacing/>
        <w:rPr>
          <w:rFonts w:eastAsia="Calibri"/>
          <w:color w:val="000000"/>
          <w:sz w:val="22"/>
          <w:szCs w:val="22"/>
        </w:rPr>
      </w:pPr>
    </w:p>
    <w:p w14:paraId="73AB529F" w14:textId="77777777" w:rsidR="005A715B" w:rsidRPr="00576AF8" w:rsidRDefault="005A715B" w:rsidP="008C0D90">
      <w:pPr>
        <w:spacing w:after="0"/>
        <w:ind w:right="-20"/>
        <w:contextualSpacing/>
        <w:rPr>
          <w:rFonts w:eastAsia="Calibri"/>
          <w:b/>
          <w:color w:val="000000"/>
          <w:sz w:val="22"/>
          <w:szCs w:val="22"/>
        </w:rPr>
      </w:pPr>
      <w:r w:rsidRPr="00576AF8">
        <w:rPr>
          <w:rFonts w:eastAsia="Calibri"/>
          <w:b/>
          <w:color w:val="000000"/>
          <w:sz w:val="22"/>
          <w:szCs w:val="22"/>
        </w:rPr>
        <w:t>1.3.1.4 Sistemas de Videoproyección</w:t>
      </w:r>
    </w:p>
    <w:p w14:paraId="0E8D9FC4" w14:textId="77777777" w:rsidR="005A715B" w:rsidRPr="00576AF8" w:rsidRDefault="005A715B" w:rsidP="008C0D90">
      <w:pPr>
        <w:spacing w:after="0"/>
        <w:ind w:right="-20"/>
        <w:contextualSpacing/>
        <w:rPr>
          <w:rFonts w:eastAsia="Calibri"/>
          <w:b/>
          <w:color w:val="000000"/>
          <w:sz w:val="22"/>
          <w:szCs w:val="22"/>
        </w:rPr>
      </w:pPr>
    </w:p>
    <w:p w14:paraId="6A36DB5F" w14:textId="77777777" w:rsidR="005A715B" w:rsidRPr="00576AF8" w:rsidRDefault="005A715B" w:rsidP="008C0D90">
      <w:pPr>
        <w:spacing w:after="0"/>
        <w:ind w:right="-20"/>
        <w:contextualSpacing/>
        <w:rPr>
          <w:rFonts w:eastAsia="Calibri"/>
          <w:color w:val="000000"/>
          <w:sz w:val="22"/>
          <w:szCs w:val="22"/>
        </w:rPr>
      </w:pPr>
      <w:r w:rsidRPr="00576AF8">
        <w:rPr>
          <w:rFonts w:eastAsia="Calibri"/>
          <w:color w:val="000000"/>
          <w:sz w:val="22"/>
          <w:szCs w:val="22"/>
        </w:rPr>
        <w:t xml:space="preserve">Actualmente, CENACE cuenta con 3 sistemas de videoproyección – Videowalls en sus instalaciones para </w:t>
      </w:r>
      <w:r w:rsidR="00BB19C8" w:rsidRPr="00576AF8">
        <w:rPr>
          <w:rFonts w:eastAsia="Calibri"/>
          <w:color w:val="000000"/>
          <w:sz w:val="22"/>
          <w:szCs w:val="22"/>
        </w:rPr>
        <w:t xml:space="preserve">la visualización del sistema SCADA/EMS por parte de los Operadodes del Sistema Eléctrico, tanto en </w:t>
      </w:r>
      <w:r w:rsidRPr="00576AF8">
        <w:rPr>
          <w:rFonts w:eastAsia="Calibri"/>
          <w:color w:val="000000"/>
          <w:sz w:val="22"/>
          <w:szCs w:val="22"/>
        </w:rPr>
        <w:t>el ambiente de producción y entrenamiento, con las siguientes características:</w:t>
      </w:r>
    </w:p>
    <w:p w14:paraId="558ABC0E" w14:textId="77777777" w:rsidR="005A715B" w:rsidRPr="00576AF8" w:rsidRDefault="005A715B" w:rsidP="005A715B">
      <w:pPr>
        <w:spacing w:before="120"/>
      </w:pPr>
      <w:proofErr w:type="gramStart"/>
      <w:r w:rsidRPr="00576AF8">
        <w:t>·  Marca</w:t>
      </w:r>
      <w:proofErr w:type="gramEnd"/>
      <w:r w:rsidRPr="00576AF8">
        <w:t>:           BARCO</w:t>
      </w:r>
    </w:p>
    <w:p w14:paraId="465D382E" w14:textId="77777777" w:rsidR="005A715B" w:rsidRPr="00576AF8" w:rsidRDefault="005A715B" w:rsidP="005A715B">
      <w:pPr>
        <w:spacing w:before="120"/>
      </w:pPr>
      <w:proofErr w:type="gramStart"/>
      <w:r w:rsidRPr="00576AF8">
        <w:t>·  Modelos</w:t>
      </w:r>
      <w:proofErr w:type="gramEnd"/>
      <w:r w:rsidRPr="00576AF8">
        <w:t>:        VIDEOWALLS 5x3, 8x3 ODL 70” LÁSER (Producción)</w:t>
      </w:r>
    </w:p>
    <w:p w14:paraId="0141276A" w14:textId="77777777" w:rsidR="005A715B" w:rsidRPr="00576AF8" w:rsidRDefault="005A715B" w:rsidP="005A715B">
      <w:pPr>
        <w:spacing w:before="120"/>
        <w:rPr>
          <w:lang w:val="es-EC"/>
        </w:rPr>
      </w:pPr>
      <w:r w:rsidRPr="00576AF8">
        <w:t xml:space="preserve">                           </w:t>
      </w:r>
      <w:r w:rsidRPr="00576AF8">
        <w:rPr>
          <w:lang w:val="es-EC"/>
        </w:rPr>
        <w:t>VIDEOWALL 6x2 ODVL 67” LÁSER (Entrenamiento)</w:t>
      </w:r>
    </w:p>
    <w:p w14:paraId="3B91B3CC" w14:textId="77777777" w:rsidR="005A715B" w:rsidRPr="00576AF8" w:rsidRDefault="005A715B" w:rsidP="008C0D90">
      <w:pPr>
        <w:pStyle w:val="Prrafodelista"/>
        <w:numPr>
          <w:ilvl w:val="2"/>
          <w:numId w:val="236"/>
        </w:numPr>
        <w:spacing w:before="120"/>
        <w:ind w:left="357" w:hanging="357"/>
      </w:pPr>
      <w:r w:rsidRPr="00576AF8">
        <w:t>Versión de Software: SOFTWARE DE ADMINISTRACIÓN COLABORATIVO CGP-NSD410-CMS</w:t>
      </w:r>
    </w:p>
    <w:p w14:paraId="5FAB6BFB" w14:textId="77777777" w:rsidR="005A715B" w:rsidRPr="00576AF8" w:rsidRDefault="005A715B" w:rsidP="008C0D90">
      <w:pPr>
        <w:pStyle w:val="Prrafodelista"/>
        <w:numPr>
          <w:ilvl w:val="2"/>
          <w:numId w:val="236"/>
        </w:numPr>
        <w:spacing w:before="120"/>
        <w:ind w:left="357" w:hanging="357"/>
        <w:rPr>
          <w:rFonts w:eastAsia="Calibri"/>
          <w:color w:val="000000"/>
          <w:sz w:val="22"/>
          <w:szCs w:val="22"/>
        </w:rPr>
      </w:pPr>
      <w:r w:rsidRPr="00576AF8">
        <w:t>Tipos de conectores, interfaces y convertidores para conexión a las consolas: Conexión a través de dispositivos denominados ENCODER DE VIDEO de marca BARCO modelo NGS-D320</w:t>
      </w:r>
    </w:p>
    <w:p w14:paraId="4E5A5D71" w14:textId="77777777" w:rsidR="009102A7" w:rsidRPr="00576AF8" w:rsidRDefault="005A715B" w:rsidP="008C0D90">
      <w:pPr>
        <w:spacing w:after="0"/>
        <w:ind w:right="-20"/>
        <w:contextualSpacing/>
        <w:rPr>
          <w:rFonts w:eastAsia="Calibri"/>
          <w:color w:val="000000"/>
          <w:sz w:val="22"/>
          <w:szCs w:val="22"/>
        </w:rPr>
      </w:pPr>
      <w:r w:rsidRPr="00576AF8">
        <w:rPr>
          <w:rFonts w:eastAsia="Calibri"/>
          <w:color w:val="000000"/>
          <w:sz w:val="22"/>
          <w:szCs w:val="22"/>
        </w:rPr>
        <w:t>El Licitante debe garantizar la integración y compatibilidad de su solución con los sistemas de videproyección existentes.</w:t>
      </w:r>
    </w:p>
    <w:p w14:paraId="7BBF890C" w14:textId="77777777" w:rsidR="00EB6EFF" w:rsidRPr="00576AF8" w:rsidRDefault="00EB6EFF" w:rsidP="008C0D90">
      <w:pPr>
        <w:spacing w:after="0"/>
        <w:ind w:right="-20"/>
        <w:contextualSpacing/>
        <w:rPr>
          <w:rFonts w:eastAsia="Calibri"/>
          <w:color w:val="000000"/>
          <w:sz w:val="22"/>
          <w:szCs w:val="22"/>
        </w:rPr>
      </w:pPr>
    </w:p>
    <w:p w14:paraId="7DF978C2" w14:textId="77777777" w:rsidR="00EB6EFF" w:rsidRPr="00576AF8" w:rsidRDefault="00EB6EFF" w:rsidP="008C0D90">
      <w:pPr>
        <w:spacing w:after="0"/>
        <w:ind w:right="-20"/>
        <w:contextualSpacing/>
        <w:rPr>
          <w:rFonts w:eastAsia="Calibri"/>
          <w:color w:val="000000"/>
          <w:sz w:val="22"/>
          <w:szCs w:val="22"/>
        </w:rPr>
      </w:pPr>
      <w:r w:rsidRPr="00576AF8">
        <w:rPr>
          <w:rFonts w:eastAsia="Calibri"/>
          <w:color w:val="000000"/>
          <w:sz w:val="22"/>
          <w:szCs w:val="22"/>
        </w:rPr>
        <w:t>Adicionalmente, en la Sala de Control</w:t>
      </w:r>
      <w:r w:rsidR="008257FA" w:rsidRPr="00576AF8">
        <w:rPr>
          <w:rFonts w:eastAsia="Calibri"/>
          <w:color w:val="000000"/>
          <w:sz w:val="22"/>
          <w:szCs w:val="22"/>
        </w:rPr>
        <w:t xml:space="preserve"> del ambiente de producción</w:t>
      </w:r>
      <w:r w:rsidRPr="00576AF8">
        <w:rPr>
          <w:rFonts w:eastAsia="Calibri"/>
          <w:color w:val="000000"/>
          <w:sz w:val="22"/>
          <w:szCs w:val="22"/>
        </w:rPr>
        <w:t xml:space="preserve"> de CENACE existen </w:t>
      </w:r>
      <w:r w:rsidR="00861914" w:rsidRPr="00576AF8">
        <w:rPr>
          <w:rFonts w:eastAsia="Calibri"/>
          <w:color w:val="000000"/>
          <w:sz w:val="22"/>
          <w:szCs w:val="22"/>
        </w:rPr>
        <w:t>7</w:t>
      </w:r>
      <w:r w:rsidRPr="00576AF8">
        <w:rPr>
          <w:rFonts w:eastAsia="Calibri"/>
          <w:color w:val="000000"/>
          <w:sz w:val="22"/>
          <w:szCs w:val="22"/>
        </w:rPr>
        <w:t xml:space="preserve"> mesas de dimensiones variables, marca PROCONT, que cuentan con un sistema de elevación, en las cuales se deberá instalar las </w:t>
      </w:r>
      <w:r w:rsidR="008257FA" w:rsidRPr="00576AF8">
        <w:rPr>
          <w:rFonts w:eastAsia="Calibri"/>
          <w:color w:val="000000"/>
          <w:sz w:val="22"/>
          <w:szCs w:val="22"/>
        </w:rPr>
        <w:t xml:space="preserve">nuevas </w:t>
      </w:r>
      <w:r w:rsidRPr="00576AF8">
        <w:rPr>
          <w:rFonts w:eastAsia="Calibri"/>
          <w:color w:val="000000"/>
          <w:sz w:val="22"/>
          <w:szCs w:val="22"/>
        </w:rPr>
        <w:t>consolas</w:t>
      </w:r>
      <w:r w:rsidR="008257FA" w:rsidRPr="00576AF8">
        <w:rPr>
          <w:rFonts w:eastAsia="Calibri"/>
          <w:color w:val="000000"/>
          <w:sz w:val="22"/>
          <w:szCs w:val="22"/>
        </w:rPr>
        <w:t xml:space="preserve"> (CPU, monitores, teclado y mouse)</w:t>
      </w:r>
      <w:r w:rsidRPr="00576AF8">
        <w:rPr>
          <w:rFonts w:eastAsia="Calibri"/>
          <w:color w:val="000000"/>
          <w:sz w:val="22"/>
          <w:szCs w:val="22"/>
        </w:rPr>
        <w:t>, con sus accesorios eléctricos y de video.</w:t>
      </w:r>
      <w:r w:rsidR="008257FA" w:rsidRPr="00576AF8">
        <w:rPr>
          <w:rFonts w:eastAsia="Calibri"/>
          <w:color w:val="000000"/>
          <w:sz w:val="22"/>
          <w:szCs w:val="22"/>
        </w:rPr>
        <w:t xml:space="preserve"> En el ambiente de entrenamiento existen 4 mesas de características similares.</w:t>
      </w:r>
    </w:p>
    <w:p w14:paraId="669A9DCA" w14:textId="77777777" w:rsidR="000A210A" w:rsidRPr="00576AF8" w:rsidRDefault="000A210A" w:rsidP="008C0D90">
      <w:pPr>
        <w:spacing w:after="0"/>
        <w:ind w:right="-20"/>
        <w:contextualSpacing/>
        <w:rPr>
          <w:rFonts w:eastAsia="Calibri"/>
          <w:color w:val="000000"/>
          <w:sz w:val="22"/>
          <w:szCs w:val="22"/>
        </w:rPr>
      </w:pPr>
    </w:p>
    <w:p w14:paraId="54A43D33" w14:textId="77777777" w:rsidR="009102A7" w:rsidRPr="00576AF8" w:rsidRDefault="009102A7" w:rsidP="008C0D90">
      <w:pPr>
        <w:jc w:val="left"/>
        <w:outlineLvl w:val="2"/>
        <w:rPr>
          <w:b/>
          <w:sz w:val="22"/>
          <w:szCs w:val="22"/>
          <w:lang w:val="es-EC" w:eastAsia="en-US" w:bidi="ar-SA"/>
        </w:rPr>
      </w:pPr>
      <w:bookmarkStart w:id="671" w:name="_Toc454958720"/>
      <w:bookmarkStart w:id="672" w:name="_Toc476310095"/>
      <w:bookmarkStart w:id="673" w:name="_Toc482896424"/>
      <w:bookmarkStart w:id="674" w:name="_Toc99868848"/>
      <w:bookmarkStart w:id="675" w:name="_Toc163137304"/>
      <w:r w:rsidRPr="00576AF8">
        <w:rPr>
          <w:b/>
          <w:sz w:val="22"/>
          <w:szCs w:val="22"/>
          <w:lang w:val="es-EC" w:eastAsia="en-US" w:bidi="ar-SA"/>
        </w:rPr>
        <w:t>1.4</w:t>
      </w:r>
      <w:r w:rsidRPr="00576AF8">
        <w:rPr>
          <w:b/>
          <w:sz w:val="22"/>
          <w:szCs w:val="22"/>
          <w:lang w:val="es-EC" w:eastAsia="en-US" w:bidi="ar-SA"/>
        </w:rPr>
        <w:tab/>
        <w:t xml:space="preserve">Funciones de gestión y administración de Sistemas que debe cumplir el Sistema SCADA/EMS </w:t>
      </w:r>
      <w:bookmarkEnd w:id="671"/>
      <w:bookmarkEnd w:id="672"/>
      <w:bookmarkEnd w:id="673"/>
      <w:bookmarkEnd w:id="674"/>
      <w:bookmarkEnd w:id="675"/>
      <w:r w:rsidR="00593894" w:rsidRPr="00576AF8">
        <w:rPr>
          <w:b/>
          <w:sz w:val="22"/>
          <w:szCs w:val="22"/>
          <w:lang w:val="es-EC" w:eastAsia="en-US" w:bidi="ar-SA"/>
        </w:rPr>
        <w:t>del Comprador</w:t>
      </w:r>
    </w:p>
    <w:p w14:paraId="3BCCC02B" w14:textId="77777777" w:rsidR="009102A7" w:rsidRPr="00576AF8" w:rsidRDefault="009102A7" w:rsidP="009102A7">
      <w:pPr>
        <w:ind w:left="720" w:hanging="720"/>
        <w:jc w:val="left"/>
        <w:outlineLvl w:val="2"/>
        <w:rPr>
          <w:sz w:val="22"/>
          <w:szCs w:val="22"/>
        </w:rPr>
      </w:pPr>
      <w:bookmarkStart w:id="676" w:name="_Toc160706905"/>
      <w:bookmarkStart w:id="677" w:name="_Toc160707183"/>
      <w:bookmarkStart w:id="678" w:name="_Toc160707495"/>
      <w:bookmarkStart w:id="679" w:name="_Toc160707697"/>
      <w:bookmarkStart w:id="680" w:name="_Toc160707752"/>
      <w:bookmarkStart w:id="681" w:name="_Toc163137305"/>
      <w:r w:rsidRPr="00576AF8">
        <w:rPr>
          <w:b/>
          <w:sz w:val="22"/>
          <w:szCs w:val="22"/>
        </w:rPr>
        <w:lastRenderedPageBreak/>
        <w:t>1.4.1</w:t>
      </w:r>
      <w:r w:rsidRPr="00576AF8">
        <w:rPr>
          <w:b/>
          <w:sz w:val="22"/>
          <w:szCs w:val="22"/>
        </w:rPr>
        <w:tab/>
        <w:t>El Sistema SCADA/EMS DEBERÁ proporcionar las siguientes características de gestión, administración y seguridad a nivel del Sistema general de forma integrada</w:t>
      </w:r>
      <w:r w:rsidRPr="00576AF8">
        <w:rPr>
          <w:sz w:val="22"/>
          <w:szCs w:val="22"/>
        </w:rPr>
        <w:t>.</w:t>
      </w:r>
      <w:bookmarkEnd w:id="676"/>
      <w:bookmarkEnd w:id="677"/>
      <w:bookmarkEnd w:id="678"/>
      <w:bookmarkEnd w:id="679"/>
      <w:bookmarkEnd w:id="680"/>
      <w:bookmarkEnd w:id="681"/>
      <w:r w:rsidRPr="00576AF8">
        <w:rPr>
          <w:sz w:val="22"/>
          <w:szCs w:val="22"/>
        </w:rPr>
        <w:t xml:space="preserve"> </w:t>
      </w:r>
    </w:p>
    <w:p w14:paraId="38F50804" w14:textId="77777777" w:rsidR="009102A7" w:rsidRPr="00576AF8" w:rsidRDefault="009102A7" w:rsidP="009102A7">
      <w:pPr>
        <w:ind w:left="720" w:hanging="720"/>
        <w:jc w:val="left"/>
        <w:outlineLvl w:val="2"/>
        <w:rPr>
          <w:b/>
          <w:sz w:val="22"/>
          <w:szCs w:val="22"/>
        </w:rPr>
      </w:pPr>
      <w:r w:rsidRPr="00576AF8">
        <w:rPr>
          <w:b/>
          <w:sz w:val="22"/>
          <w:szCs w:val="22"/>
          <w:u w:val="single"/>
        </w:rPr>
        <w:t>1.4.1.1</w:t>
      </w:r>
      <w:r w:rsidRPr="00576AF8">
        <w:rPr>
          <w:b/>
          <w:sz w:val="22"/>
          <w:szCs w:val="22"/>
        </w:rPr>
        <w:tab/>
      </w:r>
      <w:r w:rsidRPr="00576AF8">
        <w:rPr>
          <w:b/>
          <w:sz w:val="22"/>
          <w:szCs w:val="22"/>
          <w:u w:val="single"/>
        </w:rPr>
        <w:t>Instalación, configuración y administración de cambios</w:t>
      </w:r>
      <w:r w:rsidRPr="00576AF8">
        <w:rPr>
          <w:b/>
          <w:sz w:val="22"/>
          <w:szCs w:val="22"/>
        </w:rPr>
        <w:t>:</w:t>
      </w:r>
    </w:p>
    <w:p w14:paraId="2B41457D" w14:textId="77777777" w:rsidR="009102A7" w:rsidRPr="00576AF8" w:rsidRDefault="009102A7" w:rsidP="009102A7">
      <w:pPr>
        <w:ind w:left="2160" w:right="4" w:hanging="720"/>
        <w:rPr>
          <w:sz w:val="22"/>
          <w:szCs w:val="22"/>
        </w:rPr>
      </w:pPr>
      <w:r w:rsidRPr="00576AF8">
        <w:rPr>
          <w:sz w:val="22"/>
          <w:szCs w:val="22"/>
        </w:rPr>
        <w:t>a.</w:t>
      </w:r>
      <w:r w:rsidRPr="00576AF8">
        <w:rPr>
          <w:sz w:val="22"/>
          <w:szCs w:val="22"/>
        </w:rPr>
        <w:tab/>
        <w:t>El proceso general de desarrollo/</w:t>
      </w:r>
      <w:r w:rsidR="00C774E7" w:rsidRPr="00576AF8">
        <w:rPr>
          <w:sz w:val="22"/>
          <w:szCs w:val="22"/>
        </w:rPr>
        <w:t>administración</w:t>
      </w:r>
      <w:r w:rsidR="00C774E7" w:rsidRPr="00576AF8" w:rsidDel="00C774E7">
        <w:rPr>
          <w:sz w:val="22"/>
          <w:szCs w:val="22"/>
        </w:rPr>
        <w:t xml:space="preserve"> </w:t>
      </w:r>
      <w:r w:rsidRPr="00576AF8">
        <w:rPr>
          <w:sz w:val="22"/>
          <w:szCs w:val="22"/>
        </w:rPr>
        <w:t xml:space="preserve">/soporte de productos del Proveedor deberá documentarse y estar disponible para inspecciones de modo que sea consistente e integrado con procesos de desarrollo de productos comúnmente aceptados que incluyen, pero no se limitan a: </w:t>
      </w:r>
    </w:p>
    <w:p w14:paraId="0213A38E"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Gestión de la configuración con controles de cambios y registro de auditoría. </w:t>
      </w:r>
    </w:p>
    <w:p w14:paraId="46763B94"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Descripción del producto y definición de requisitos con trazabilidad de requisitos. </w:t>
      </w:r>
    </w:p>
    <w:p w14:paraId="40D87110"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Prácticas de diseño e implementación de software o hardware, como el diseño modular.</w:t>
      </w:r>
    </w:p>
    <w:p w14:paraId="4A764A8E"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Asegurar que no se incluyan claves de cualquier tipo en el software (hardcoded).</w:t>
      </w:r>
    </w:p>
    <w:p w14:paraId="3716F7F6"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Proceso de verificación y validación de pruebas repetibles. </w:t>
      </w:r>
    </w:p>
    <w:p w14:paraId="0733720F"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Revisión y aprobación de todos los registros del proceso de desarrollo.</w:t>
      </w:r>
    </w:p>
    <w:p w14:paraId="5BAB6D2F"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Apoyo al ciclo de vida. </w:t>
      </w:r>
    </w:p>
    <w:p w14:paraId="5A8885B4" w14:textId="77777777" w:rsidR="009102A7" w:rsidRPr="00576AF8" w:rsidRDefault="009102A7" w:rsidP="009102A7">
      <w:pPr>
        <w:ind w:left="2160" w:right="4" w:hanging="720"/>
        <w:rPr>
          <w:sz w:val="22"/>
          <w:szCs w:val="22"/>
        </w:rPr>
      </w:pPr>
      <w:r w:rsidRPr="00576AF8">
        <w:rPr>
          <w:sz w:val="22"/>
          <w:szCs w:val="22"/>
        </w:rPr>
        <w:t>b.</w:t>
      </w:r>
      <w:r w:rsidRPr="00576AF8">
        <w:rPr>
          <w:sz w:val="22"/>
          <w:szCs w:val="22"/>
        </w:rPr>
        <w:tab/>
        <w:t xml:space="preserve">El Proveedor dará evidencia de que emplea un proceso de seguridad por diseño para desarrollar y documentar un diseño seguro que identifique y caracterice cada interfaz del producto, incluidas las interfaces físicas y lógicas. Esto también incluirá: </w:t>
      </w:r>
    </w:p>
    <w:p w14:paraId="427E3E3B"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Una indicación de si la interfaz es accesible externamente por otros productos, o internamente accesible por otros componentes del producto, o ambos. </w:t>
      </w:r>
    </w:p>
    <w:p w14:paraId="0026303C"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Implicaciones de seguridad del contexto de seguridad del producto en la interfaz externa.</w:t>
      </w:r>
    </w:p>
    <w:p w14:paraId="54151642"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Usuarios potenciales de la interfaz y los activos a los que se puede acceder a través de ella directa o indirectamente. </w:t>
      </w:r>
    </w:p>
    <w:p w14:paraId="4803BF1D"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Una determinación de si el acceso a la interfaz cruza cualquier límite de confianza.</w:t>
      </w:r>
    </w:p>
    <w:p w14:paraId="52C79B4B"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Consideraciones de seguridad, suposiciones y/o restricciones asociadas con el uso de la interfaz dentro del contexto de seguridad del producto, incluidas las amenazas aplicables. </w:t>
      </w:r>
    </w:p>
    <w:p w14:paraId="4E9D6B54"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Los roles de seguridad, privilegios/derechos y permisos de control de acceso necesarios para usar la interfaz y acceder a los activos definidos anteriormente. </w:t>
      </w:r>
    </w:p>
    <w:p w14:paraId="082B629D"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Las capacidades de seguridad y/o mecanismos de compensación utilizados para salvaguardar la interfaz y los activos definidos anteriormente, incluida la validación de entrada, así como la salida y el manejo de errores. </w:t>
      </w:r>
    </w:p>
    <w:p w14:paraId="0372E67F"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El uso de productos de terceros para implementar la interfaz y sus capacidades de seguridad. </w:t>
      </w:r>
    </w:p>
    <w:p w14:paraId="6A015839"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Documentación que describe cómo utilizar la interfaz si es accesible externamente. </w:t>
      </w:r>
    </w:p>
    <w:p w14:paraId="50A2647D"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Descripción de cómo el diseño mitiga las amenazas identificadas en el modelo de amenazas. </w:t>
      </w:r>
    </w:p>
    <w:p w14:paraId="00F5EAD4"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Resultados de la revisión de código estático. </w:t>
      </w:r>
    </w:p>
    <w:p w14:paraId="753E6B34" w14:textId="77777777" w:rsidR="009102A7" w:rsidRPr="00576AF8" w:rsidRDefault="009102A7" w:rsidP="009102A7">
      <w:pPr>
        <w:ind w:left="2160" w:right="4" w:hanging="720"/>
        <w:rPr>
          <w:sz w:val="22"/>
          <w:szCs w:val="22"/>
        </w:rPr>
      </w:pPr>
      <w:r w:rsidRPr="00576AF8">
        <w:rPr>
          <w:sz w:val="22"/>
          <w:szCs w:val="22"/>
        </w:rPr>
        <w:t>c.</w:t>
      </w:r>
      <w:r w:rsidRPr="00576AF8">
        <w:rPr>
          <w:sz w:val="22"/>
          <w:szCs w:val="22"/>
        </w:rPr>
        <w:tab/>
        <w:t xml:space="preserve">El Proveedor deberá demostrar que emplea un proceso para garantizar que las mejores prácticas de diseño seguro se documenten y apliquen al proceso de diseño. Estas prácticas se revisarán y actualizarán periódicamente. Las prácticas de diseño seguro incluyen, entre otras: </w:t>
      </w:r>
    </w:p>
    <w:p w14:paraId="76A39FD3" w14:textId="77777777" w:rsidR="009102A7" w:rsidRPr="00576AF8" w:rsidRDefault="009102A7" w:rsidP="009102A7">
      <w:pPr>
        <w:ind w:left="2160" w:right="4" w:hanging="317"/>
        <w:rPr>
          <w:sz w:val="22"/>
          <w:szCs w:val="22"/>
        </w:rPr>
      </w:pPr>
      <w:r w:rsidRPr="00576AF8">
        <w:rPr>
          <w:sz w:val="22"/>
          <w:szCs w:val="22"/>
        </w:rPr>
        <w:lastRenderedPageBreak/>
        <w:t>●</w:t>
      </w:r>
      <w:r w:rsidRPr="00576AF8">
        <w:rPr>
          <w:sz w:val="22"/>
          <w:szCs w:val="22"/>
        </w:rPr>
        <w:tab/>
        <w:t xml:space="preserve">Privilegio mínimo (otorgando sólo los privilegios a los usuarios/softwares necesarios para realizar las operaciones previstas). </w:t>
      </w:r>
    </w:p>
    <w:p w14:paraId="7E3769A5"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Usar componentes/diseños seguros probados siempre que sea posible. </w:t>
      </w:r>
    </w:p>
    <w:p w14:paraId="2EDCD2DB"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Uso de patrones de diseño seguros. </w:t>
      </w:r>
    </w:p>
    <w:p w14:paraId="6891F565" w14:textId="77777777" w:rsidR="009102A7" w:rsidRPr="00576AF8" w:rsidRDefault="009102A7" w:rsidP="009102A7">
      <w:pPr>
        <w:ind w:left="2160" w:right="4" w:hanging="317"/>
        <w:rPr>
          <w:sz w:val="22"/>
          <w:szCs w:val="22"/>
        </w:rPr>
      </w:pPr>
      <w:r w:rsidRPr="00576AF8">
        <w:rPr>
          <w:sz w:val="22"/>
          <w:szCs w:val="22"/>
        </w:rPr>
        <w:t>●</w:t>
      </w:r>
      <w:r w:rsidRPr="00576AF8">
        <w:rPr>
          <w:sz w:val="22"/>
          <w:szCs w:val="22"/>
        </w:rPr>
        <w:tab/>
        <w:t xml:space="preserve">Reducción de la superficie de ataque. </w:t>
      </w:r>
    </w:p>
    <w:p w14:paraId="42801BBA" w14:textId="77777777" w:rsidR="009102A7" w:rsidRPr="00576AF8" w:rsidRDefault="009102A7" w:rsidP="009102A7">
      <w:pPr>
        <w:ind w:left="2160" w:right="4" w:hanging="720"/>
        <w:rPr>
          <w:sz w:val="22"/>
          <w:szCs w:val="22"/>
        </w:rPr>
      </w:pPr>
      <w:r w:rsidRPr="00576AF8">
        <w:rPr>
          <w:sz w:val="22"/>
          <w:szCs w:val="22"/>
        </w:rPr>
        <w:t>d.</w:t>
      </w:r>
      <w:r w:rsidRPr="00576AF8">
        <w:rPr>
          <w:sz w:val="22"/>
          <w:szCs w:val="22"/>
        </w:rPr>
        <w:tab/>
        <w:t>Todos los límites de confianza se documentan como parte del diseño.</w:t>
      </w:r>
    </w:p>
    <w:p w14:paraId="47B487F6" w14:textId="77777777" w:rsidR="009102A7" w:rsidRPr="00576AF8" w:rsidRDefault="009102A7" w:rsidP="009102A7">
      <w:pPr>
        <w:ind w:right="4"/>
        <w:rPr>
          <w:sz w:val="22"/>
          <w:szCs w:val="22"/>
        </w:rPr>
      </w:pPr>
    </w:p>
    <w:p w14:paraId="73D0B697" w14:textId="77777777" w:rsidR="009102A7" w:rsidRPr="00576AF8" w:rsidRDefault="009102A7" w:rsidP="009102A7">
      <w:pPr>
        <w:ind w:left="720" w:hanging="720"/>
        <w:jc w:val="left"/>
        <w:outlineLvl w:val="2"/>
        <w:rPr>
          <w:b/>
          <w:sz w:val="22"/>
          <w:szCs w:val="22"/>
        </w:rPr>
      </w:pPr>
      <w:r w:rsidRPr="00576AF8">
        <w:rPr>
          <w:b/>
          <w:sz w:val="22"/>
          <w:szCs w:val="22"/>
        </w:rPr>
        <w:t>1.4.1.2</w:t>
      </w:r>
      <w:r w:rsidRPr="00576AF8">
        <w:rPr>
          <w:b/>
          <w:sz w:val="22"/>
          <w:szCs w:val="22"/>
        </w:rPr>
        <w:tab/>
      </w:r>
      <w:r w:rsidRPr="00576AF8">
        <w:rPr>
          <w:b/>
          <w:sz w:val="22"/>
          <w:szCs w:val="22"/>
          <w:u w:val="single"/>
        </w:rPr>
        <w:t>Monitoreo operativo, diagnóstico y solución de problemas</w:t>
      </w:r>
      <w:r w:rsidRPr="00576AF8">
        <w:rPr>
          <w:b/>
          <w:sz w:val="22"/>
          <w:szCs w:val="22"/>
        </w:rPr>
        <w:t xml:space="preserve">: </w:t>
      </w:r>
    </w:p>
    <w:p w14:paraId="28F9B0F9" w14:textId="77777777" w:rsidR="009102A7" w:rsidRPr="00576AF8" w:rsidRDefault="009102A7" w:rsidP="009102A7">
      <w:pPr>
        <w:ind w:left="1560" w:right="4" w:hanging="33"/>
        <w:rPr>
          <w:iCs/>
          <w:sz w:val="22"/>
          <w:szCs w:val="22"/>
        </w:rPr>
      </w:pPr>
      <w:r w:rsidRPr="00576AF8">
        <w:rPr>
          <w:iCs/>
          <w:sz w:val="22"/>
          <w:szCs w:val="22"/>
        </w:rPr>
        <w:t xml:space="preserve">La supervisión de la infraestructura es el proceso de recopilar datos para tomar decisiones operativas. Utiliza datos generados por aplicaciones, servidores, dispositivos de red y otros componentes para realizar un seguimiento de métricas como la capacidad del hardware, el rendimiento de la red y el tiempo de actividad. </w:t>
      </w:r>
    </w:p>
    <w:p w14:paraId="0E070C83" w14:textId="77777777" w:rsidR="009102A7" w:rsidRPr="00576AF8" w:rsidRDefault="009102A7" w:rsidP="009102A7">
      <w:pPr>
        <w:ind w:left="1560" w:right="4" w:hanging="33"/>
        <w:rPr>
          <w:iCs/>
          <w:sz w:val="22"/>
          <w:szCs w:val="22"/>
        </w:rPr>
      </w:pPr>
      <w:r w:rsidRPr="00576AF8">
        <w:rPr>
          <w:iCs/>
          <w:sz w:val="22"/>
          <w:szCs w:val="22"/>
        </w:rPr>
        <w:t xml:space="preserve">Los conocimientos resultantes permiten a los mantenedores aumentar la eficiencia, identificar y resolver problemas y resaltar áreas de mejora. </w:t>
      </w:r>
    </w:p>
    <w:p w14:paraId="3F77BF14" w14:textId="77777777" w:rsidR="009102A7" w:rsidRPr="00576AF8" w:rsidRDefault="009102A7" w:rsidP="009102A7">
      <w:pPr>
        <w:ind w:left="1560" w:right="4" w:hanging="33"/>
        <w:rPr>
          <w:iCs/>
          <w:sz w:val="22"/>
          <w:szCs w:val="22"/>
        </w:rPr>
      </w:pPr>
      <w:r w:rsidRPr="00576AF8">
        <w:rPr>
          <w:iCs/>
          <w:sz w:val="22"/>
          <w:szCs w:val="22"/>
        </w:rPr>
        <w:t xml:space="preserve">El Proveedor suministrará los siguientes programas informáticos que se instalarán en un servidor dedicado para la gestión de los servidores que constituyen la plataforma SCADA/EMS: </w:t>
      </w:r>
    </w:p>
    <w:p w14:paraId="6FEA32A9" w14:textId="77777777" w:rsidR="009102A7" w:rsidRPr="00576AF8" w:rsidRDefault="009102A7" w:rsidP="009102A7">
      <w:pPr>
        <w:ind w:left="2160" w:right="4" w:hanging="600"/>
        <w:rPr>
          <w:iCs/>
          <w:sz w:val="22"/>
          <w:szCs w:val="22"/>
        </w:rPr>
      </w:pPr>
      <w:r w:rsidRPr="00576AF8">
        <w:rPr>
          <w:iCs/>
          <w:sz w:val="22"/>
          <w:szCs w:val="22"/>
        </w:rPr>
        <w:t>a.</w:t>
      </w:r>
      <w:r w:rsidRPr="00576AF8">
        <w:rPr>
          <w:iCs/>
          <w:sz w:val="22"/>
          <w:szCs w:val="22"/>
        </w:rPr>
        <w:tab/>
        <w:t>Sistema de gestión de virtualización desplegado de manera local, si aplica a la solución del Proveedor.</w:t>
      </w:r>
    </w:p>
    <w:p w14:paraId="06A679C8" w14:textId="77777777" w:rsidR="009102A7" w:rsidRPr="00576AF8" w:rsidRDefault="009102A7" w:rsidP="009102A7">
      <w:pPr>
        <w:ind w:left="2160" w:right="4" w:hanging="600"/>
        <w:rPr>
          <w:iCs/>
          <w:sz w:val="22"/>
          <w:szCs w:val="22"/>
        </w:rPr>
      </w:pPr>
      <w:r w:rsidRPr="00576AF8">
        <w:rPr>
          <w:iCs/>
          <w:sz w:val="22"/>
          <w:szCs w:val="22"/>
        </w:rPr>
        <w:t>b.</w:t>
      </w:r>
      <w:r w:rsidRPr="00576AF8">
        <w:rPr>
          <w:iCs/>
          <w:sz w:val="22"/>
          <w:szCs w:val="22"/>
        </w:rPr>
        <w:tab/>
        <w:t xml:space="preserve">Sistema de monitoreo del rendimiento de la red (NPM): consistirá en herramientas que aprovechan una combinación de fuentes de datos para proporcionar una visión holística del rendimiento de las redes. Los orígenes de datos deberán incluir el tráfico generado por el dispositivo de red, los paquetes de red sin procesar de datos, los dispositivos de red generados, las métricas de estado y los eventos. Las herramientas de NPM proporcionarán flujos de trabajo de diagnóstico y datos forenses para identificar las causas fundamentales de las degradaciones del rendimiento. Por último, sobre la base de los datos de rendimiento derivados de la red, las herramientas NPM proporcionarán información sobre la calidad de la experiencia del usuario final.  El sistema por ofrecer debe incluir una interfaz gráfica GUI, licenciamiento para todos los componentes del sistema con una reserva del 20%. Asimismo, se requiere que pueda enviar notificaciones a teléfonos inteligentes y disponer de un aplicativo para dispositivos móviles. </w:t>
      </w:r>
    </w:p>
    <w:p w14:paraId="3B9A8EDA" w14:textId="77777777" w:rsidR="009102A7" w:rsidRPr="00576AF8" w:rsidRDefault="009102A7" w:rsidP="009102A7">
      <w:pPr>
        <w:ind w:left="2160" w:right="4" w:hanging="600"/>
        <w:rPr>
          <w:iCs/>
          <w:sz w:val="22"/>
          <w:szCs w:val="22"/>
        </w:rPr>
      </w:pPr>
      <w:r w:rsidRPr="00576AF8">
        <w:rPr>
          <w:iCs/>
          <w:sz w:val="22"/>
          <w:szCs w:val="22"/>
        </w:rPr>
        <w:t>c.</w:t>
      </w:r>
      <w:r w:rsidRPr="00576AF8">
        <w:rPr>
          <w:iCs/>
          <w:sz w:val="22"/>
          <w:szCs w:val="22"/>
        </w:rPr>
        <w:tab/>
        <w:t>Servidor de registro: el servidor de registro recuperará información</w:t>
      </w:r>
      <w:r w:rsidR="005644D0" w:rsidRPr="00576AF8">
        <w:rPr>
          <w:iCs/>
          <w:sz w:val="22"/>
          <w:szCs w:val="22"/>
        </w:rPr>
        <w:t xml:space="preserve"> de accesos de administradores y usuarios, fallas del sistema operativo, seguridad, hardware y aplicaciones</w:t>
      </w:r>
      <w:r w:rsidRPr="00576AF8">
        <w:rPr>
          <w:iCs/>
          <w:sz w:val="22"/>
          <w:szCs w:val="22"/>
        </w:rPr>
        <w:t xml:space="preserve"> sobre las actividades tanto en el sistema operativo como a nivel de aplicación. Se puede utilizar un análisis estadístico del registro del servidor para examinar los patrones de tráfico por hora del día, día de la semana, referente o agente de usuario.</w:t>
      </w:r>
    </w:p>
    <w:p w14:paraId="33670694" w14:textId="77777777" w:rsidR="009102A7" w:rsidRPr="00576AF8" w:rsidRDefault="009102A7" w:rsidP="009102A7">
      <w:pPr>
        <w:ind w:left="2160" w:right="4" w:hanging="600"/>
        <w:rPr>
          <w:iCs/>
          <w:sz w:val="22"/>
          <w:szCs w:val="22"/>
        </w:rPr>
      </w:pPr>
      <w:r w:rsidRPr="00576AF8">
        <w:rPr>
          <w:iCs/>
          <w:sz w:val="22"/>
          <w:szCs w:val="22"/>
        </w:rPr>
        <w:t>Monitoreo de procesos y reinicio:  Una aplicación debe supervisar sus propios procesos para que la finalización y el tiempo de ejecución puedan confirmarse y auditarse y para que un proceso fallido (debido a un error de hardware o una falla de comunicación temporal, por ejemplo) se pueda reiniciar sin interacción del usuario.</w:t>
      </w:r>
    </w:p>
    <w:p w14:paraId="12743D40" w14:textId="77777777" w:rsidR="009102A7" w:rsidRPr="00576AF8" w:rsidRDefault="009102A7" w:rsidP="009102A7">
      <w:pPr>
        <w:ind w:left="720" w:hanging="720"/>
        <w:jc w:val="left"/>
        <w:outlineLvl w:val="2"/>
        <w:rPr>
          <w:b/>
          <w:color w:val="4472C4"/>
          <w:sz w:val="22"/>
          <w:szCs w:val="22"/>
        </w:rPr>
      </w:pPr>
      <w:r w:rsidRPr="00576AF8">
        <w:rPr>
          <w:b/>
          <w:sz w:val="22"/>
          <w:szCs w:val="22"/>
        </w:rPr>
        <w:t>1.4.1.3</w:t>
      </w:r>
      <w:r w:rsidRPr="00576AF8">
        <w:rPr>
          <w:b/>
          <w:sz w:val="22"/>
          <w:szCs w:val="22"/>
        </w:rPr>
        <w:tab/>
      </w:r>
      <w:r w:rsidRPr="00576AF8">
        <w:rPr>
          <w:b/>
          <w:sz w:val="22"/>
          <w:szCs w:val="22"/>
          <w:u w:val="single"/>
        </w:rPr>
        <w:t>Administración de usuarios y control de acceso; supervisión de usuarios y uso, y registros de auditoría</w:t>
      </w:r>
      <w:r w:rsidRPr="00576AF8">
        <w:rPr>
          <w:b/>
          <w:color w:val="4472C4"/>
          <w:sz w:val="22"/>
          <w:szCs w:val="22"/>
        </w:rPr>
        <w:t>:</w:t>
      </w:r>
    </w:p>
    <w:p w14:paraId="105E7FCB" w14:textId="77777777" w:rsidR="009102A7" w:rsidRPr="00576AF8" w:rsidRDefault="009102A7" w:rsidP="009102A7">
      <w:pPr>
        <w:ind w:left="1560" w:right="4" w:hanging="33"/>
        <w:rPr>
          <w:sz w:val="22"/>
          <w:szCs w:val="22"/>
        </w:rPr>
      </w:pPr>
      <w:r w:rsidRPr="00576AF8">
        <w:rPr>
          <w:sz w:val="22"/>
          <w:szCs w:val="22"/>
        </w:rPr>
        <w:lastRenderedPageBreak/>
        <w:t>Una vez que el usuario está identificado y autenticado, el sistema SCADA/EMS restringirá las acciones permitidas al uso autorizado del sistema. El SCADA/EMS no permitirá inicios de sesión simultáneos utilizando los mismos identificadores.</w:t>
      </w:r>
    </w:p>
    <w:p w14:paraId="1459436C" w14:textId="77777777" w:rsidR="009102A7" w:rsidRPr="00576AF8" w:rsidRDefault="009102A7" w:rsidP="009102A7">
      <w:pPr>
        <w:ind w:left="720" w:hanging="720"/>
        <w:jc w:val="left"/>
        <w:outlineLvl w:val="2"/>
        <w:rPr>
          <w:b/>
          <w:sz w:val="22"/>
          <w:szCs w:val="22"/>
        </w:rPr>
      </w:pPr>
      <w:r w:rsidRPr="00576AF8">
        <w:rPr>
          <w:b/>
          <w:sz w:val="22"/>
          <w:szCs w:val="22"/>
        </w:rPr>
        <w:t>1.4.1.3.1 Principio de Privilegio Mínimo</w:t>
      </w:r>
    </w:p>
    <w:p w14:paraId="3F7C544F"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El sistema SCADA/EMS se configurará de conformidad con el principio de privilegios mínimos. A ninguna cuenta de usuario se le asignará más privilegios de los necesarios para realizar sus tareas operativas típicas, así como tampoco se le otorgarán menos privilegios de los que requiere para cumplir con sus actividades. </w:t>
      </w:r>
    </w:p>
    <w:p w14:paraId="1FBB3EE1"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 xml:space="preserve">Además, todos los hosts se configurarán con derechos de acceso a archivos (ACL) con privilegios mínimos y ninguna cuenta de servicio del sistema SCADA/EMS requerirá privilegios de administrador en el sistema operativo. </w:t>
      </w:r>
    </w:p>
    <w:p w14:paraId="6D6811F5"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También se aplicará la configuración del puerto del cortafuegos con privilegios mínimos. Los cortafuegos se configurarán para denegar el acceso de forma predeterminada y abrir el menor conjunto de puertos necesarios.</w:t>
      </w:r>
    </w:p>
    <w:p w14:paraId="4C85C423" w14:textId="77777777" w:rsidR="009102A7" w:rsidRPr="00576AF8" w:rsidRDefault="009102A7" w:rsidP="009102A7">
      <w:pPr>
        <w:ind w:left="720" w:hanging="720"/>
        <w:jc w:val="left"/>
        <w:outlineLvl w:val="2"/>
        <w:rPr>
          <w:b/>
          <w:sz w:val="22"/>
          <w:szCs w:val="22"/>
        </w:rPr>
      </w:pPr>
      <w:r w:rsidRPr="00576AF8">
        <w:rPr>
          <w:b/>
          <w:sz w:val="22"/>
          <w:szCs w:val="22"/>
        </w:rPr>
        <w:t>1.4.1.3.2 Autorización</w:t>
      </w:r>
    </w:p>
    <w:p w14:paraId="42C24E5A"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El sistema SCADA/EMS proporcionará un sistema de autorización flexible y automatizada que se base en el principio de privilegios mínimos (ningún usuario tiene más privilegios de los necesarios para realizar sus tareas operativas típicas, como tampoco tendrá menos privilegios que los mínimos requeridos para realizar esas tareas operativas) y separación de funciones (ningún usuario individual tiene la capacidad de comprometer plenamente un determinado sistema de controles y equilibrios). Este esquema de autorización tendrá al menos dos niveles de control:</w:t>
      </w:r>
    </w:p>
    <w:p w14:paraId="3344B228" w14:textId="77777777" w:rsidR="009102A7" w:rsidRPr="00576AF8" w:rsidRDefault="009102A7" w:rsidP="009102A7">
      <w:pPr>
        <w:numPr>
          <w:ilvl w:val="0"/>
          <w:numId w:val="239"/>
        </w:numPr>
        <w:ind w:right="4"/>
        <w:contextualSpacing/>
        <w:rPr>
          <w:sz w:val="22"/>
          <w:szCs w:val="22"/>
        </w:rPr>
      </w:pPr>
      <w:r w:rsidRPr="00576AF8">
        <w:rPr>
          <w:sz w:val="22"/>
          <w:szCs w:val="22"/>
        </w:rPr>
        <w:t xml:space="preserve">Control de acceso basado en roles: a los usuarios se les asignan permisos y autoridades que determinan su rol en la organización. </w:t>
      </w:r>
    </w:p>
    <w:p w14:paraId="6D736BBD" w14:textId="77777777" w:rsidR="009102A7" w:rsidRPr="00576AF8" w:rsidRDefault="009102A7" w:rsidP="009102A7">
      <w:pPr>
        <w:numPr>
          <w:ilvl w:val="0"/>
          <w:numId w:val="239"/>
        </w:numPr>
        <w:ind w:right="4"/>
        <w:contextualSpacing/>
        <w:rPr>
          <w:sz w:val="22"/>
          <w:szCs w:val="22"/>
        </w:rPr>
      </w:pPr>
      <w:r w:rsidRPr="00576AF8">
        <w:rPr>
          <w:sz w:val="22"/>
          <w:szCs w:val="22"/>
        </w:rPr>
        <w:t xml:space="preserve">Control de acceso por área de responsabilidad: determina la división regional de los activos para los que al usuario se le asignan diferentes derechos o responsabilidades (ver, editar y controlar). </w:t>
      </w:r>
    </w:p>
    <w:p w14:paraId="7FF92F3D"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Además, el sistema SCADA/EMS será capaz de limitar las capacidades del usuario en función de la estación de trabajo en la que el usuario haya iniciado sesión. Por lo tanto, no sólo a los usuarios, sino también a las estaciones de trabajo se les pueden asignar diferentes derechos que restringen el acceso a todos los usuarios conectados a esa estación de trabajo, por ejemplo, una estación de trabajo se puede configurar como un terminal de sólo lectura independiente de las capacidades de control de los usuarios.</w:t>
      </w:r>
    </w:p>
    <w:p w14:paraId="1596217C" w14:textId="77777777" w:rsidR="009102A7" w:rsidRPr="00576AF8" w:rsidRDefault="009102A7" w:rsidP="009102A7">
      <w:pPr>
        <w:ind w:left="720" w:hanging="720"/>
        <w:jc w:val="left"/>
        <w:outlineLvl w:val="2"/>
        <w:rPr>
          <w:b/>
          <w:sz w:val="22"/>
          <w:szCs w:val="22"/>
        </w:rPr>
      </w:pPr>
      <w:r w:rsidRPr="00576AF8">
        <w:rPr>
          <w:b/>
          <w:sz w:val="22"/>
          <w:szCs w:val="22"/>
        </w:rPr>
        <w:t>1.4.1.3.3 Control de Acceso Basado en Roles (RBAC)</w:t>
      </w:r>
    </w:p>
    <w:p w14:paraId="3B8F624C"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El control de acceso basado en roles se fundará en la pertenencia a grupos de seguridad (o pertenencia equivalente), donde los usuarios heredan privilegios de esos grupos de los que son miembros. Estos grupos de seguridad (es decir, roles de trabajo) se pueden asignar a autoridades y grupos de usuarios, es decir, los grupos de seguridad que definen el nivel de acceso deseado a los que se debe permitir a los usuarios. La autoridad representa un conjunto de derechos de aplicación apropiados (permisos) que se verificarán dentro del software para restringir o permitir el acceso. Los permisos son capacidades o derechos que definen el control a nivel de aplicación para los recursos y operaciones del sistema SCADA/EMS, describiendo así un rol o trabajo operativo. </w:t>
      </w:r>
    </w:p>
    <w:p w14:paraId="06BAC5B2"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Los grupos de usuarios definen restricciones de acceso a archivos (las ACL se utilizarán para definir el acceso a los objetos del sistema de archivos), el acceso a la base de datos y cualquier otra aplicación compatible con directorios. Como mínimo se crearán los siguientes roles: administrador, operador, mantenedor, invitado.</w:t>
      </w:r>
    </w:p>
    <w:p w14:paraId="463EE719" w14:textId="77777777" w:rsidR="009102A7" w:rsidRPr="00576AF8" w:rsidRDefault="009102A7" w:rsidP="009102A7">
      <w:pPr>
        <w:ind w:left="720" w:hanging="720"/>
        <w:jc w:val="left"/>
        <w:outlineLvl w:val="2"/>
        <w:rPr>
          <w:b/>
          <w:sz w:val="22"/>
          <w:szCs w:val="22"/>
        </w:rPr>
      </w:pPr>
      <w:r w:rsidRPr="00576AF8">
        <w:rPr>
          <w:b/>
          <w:sz w:val="22"/>
          <w:szCs w:val="22"/>
        </w:rPr>
        <w:lastRenderedPageBreak/>
        <w:t>1.4.1.3.4 Control de Acceso por Área de Responsabilidad</w:t>
      </w:r>
    </w:p>
    <w:p w14:paraId="76349514"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El área de responsabilidad (AOR) es un concepto que permite controlar el acceso de los usuarios en función de las regiones de red. Para construir este esquema de control de acceso, el sistema SCADA/EMS permitirá la definición de la(s) zona(s) AOR y del grupo(s) AOR: Un Grupo AOR representa un conjunto lógico de activos estrechamente relacionados o características de activos, por ejemplo, todos los equipos en la subestación que necesitan ser controlados o vistos juntos. Un área AOR proporciona derechos de acceso de usuario tales como: ver, editar y controlar para un conjunto de grupos de AOR.</w:t>
      </w:r>
    </w:p>
    <w:p w14:paraId="5A4808CA"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Las entidades del Área AOR y del Grupo AOR se definirán como grupos de seguridad</w:t>
      </w:r>
    </w:p>
    <w:p w14:paraId="18861636" w14:textId="77777777" w:rsidR="009102A7" w:rsidRPr="00576AF8" w:rsidRDefault="009102A7" w:rsidP="009102A7">
      <w:pPr>
        <w:ind w:left="720" w:hanging="720"/>
        <w:jc w:val="left"/>
        <w:outlineLvl w:val="2"/>
        <w:rPr>
          <w:b/>
          <w:sz w:val="22"/>
          <w:szCs w:val="22"/>
        </w:rPr>
      </w:pPr>
      <w:r w:rsidRPr="00576AF8">
        <w:rPr>
          <w:b/>
          <w:sz w:val="22"/>
          <w:szCs w:val="22"/>
        </w:rPr>
        <w:t>1.4.1.3.5 No repudiación</w:t>
      </w:r>
    </w:p>
    <w:p w14:paraId="6B0ECD83"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El sistema SCADA/EMS deberá tener la capacidad de demostrar la ocurrencia de un evento o acción reivindicada y sus entidades de origen, al menos para las siguientes acciones:</w:t>
      </w:r>
    </w:p>
    <w:p w14:paraId="31EF07C3" w14:textId="77777777" w:rsidR="009102A7" w:rsidRPr="00576AF8" w:rsidRDefault="009102A7" w:rsidP="009102A7">
      <w:pPr>
        <w:numPr>
          <w:ilvl w:val="0"/>
          <w:numId w:val="240"/>
        </w:numPr>
        <w:ind w:right="4"/>
        <w:contextualSpacing/>
        <w:rPr>
          <w:sz w:val="22"/>
          <w:szCs w:val="22"/>
        </w:rPr>
      </w:pPr>
      <w:r w:rsidRPr="00576AF8">
        <w:rPr>
          <w:sz w:val="22"/>
          <w:szCs w:val="22"/>
        </w:rPr>
        <w:t xml:space="preserve">Autenticación de usuarios (usuarios con y sin privilegios). </w:t>
      </w:r>
    </w:p>
    <w:p w14:paraId="3A099058" w14:textId="77777777" w:rsidR="009102A7" w:rsidRPr="00576AF8" w:rsidRDefault="009102A7" w:rsidP="009102A7">
      <w:pPr>
        <w:numPr>
          <w:ilvl w:val="0"/>
          <w:numId w:val="240"/>
        </w:numPr>
        <w:ind w:right="4"/>
        <w:contextualSpacing/>
        <w:rPr>
          <w:sz w:val="22"/>
          <w:szCs w:val="22"/>
        </w:rPr>
      </w:pPr>
      <w:r w:rsidRPr="00576AF8">
        <w:rPr>
          <w:sz w:val="22"/>
          <w:szCs w:val="22"/>
        </w:rPr>
        <w:t xml:space="preserve">Acciones de usuario/operador sin privilegios: </w:t>
      </w:r>
    </w:p>
    <w:p w14:paraId="1BF344E8" w14:textId="77777777" w:rsidR="009102A7" w:rsidRPr="00576AF8" w:rsidRDefault="009102A7" w:rsidP="009102A7">
      <w:pPr>
        <w:numPr>
          <w:ilvl w:val="1"/>
          <w:numId w:val="240"/>
        </w:numPr>
        <w:ind w:right="4"/>
        <w:contextualSpacing/>
        <w:rPr>
          <w:sz w:val="22"/>
          <w:szCs w:val="22"/>
        </w:rPr>
      </w:pPr>
      <w:r w:rsidRPr="00576AF8">
        <w:rPr>
          <w:sz w:val="22"/>
          <w:szCs w:val="22"/>
        </w:rPr>
        <w:t xml:space="preserve">Envío de comandos </w:t>
      </w:r>
    </w:p>
    <w:p w14:paraId="5EA72FF4" w14:textId="77777777" w:rsidR="009102A7" w:rsidRPr="00576AF8" w:rsidRDefault="009102A7" w:rsidP="009102A7">
      <w:pPr>
        <w:numPr>
          <w:ilvl w:val="1"/>
          <w:numId w:val="240"/>
        </w:numPr>
        <w:ind w:right="4"/>
        <w:contextualSpacing/>
        <w:rPr>
          <w:sz w:val="22"/>
          <w:szCs w:val="22"/>
        </w:rPr>
      </w:pPr>
      <w:r w:rsidRPr="00576AF8">
        <w:rPr>
          <w:sz w:val="22"/>
          <w:szCs w:val="22"/>
        </w:rPr>
        <w:t>Envío de consignas</w:t>
      </w:r>
    </w:p>
    <w:p w14:paraId="4EE77BE8" w14:textId="77777777" w:rsidR="009102A7" w:rsidRPr="00576AF8" w:rsidRDefault="009102A7" w:rsidP="009102A7">
      <w:pPr>
        <w:numPr>
          <w:ilvl w:val="1"/>
          <w:numId w:val="240"/>
        </w:numPr>
        <w:ind w:right="4"/>
        <w:contextualSpacing/>
        <w:rPr>
          <w:sz w:val="22"/>
          <w:szCs w:val="22"/>
        </w:rPr>
      </w:pPr>
      <w:r w:rsidRPr="00576AF8">
        <w:rPr>
          <w:sz w:val="22"/>
          <w:szCs w:val="22"/>
        </w:rPr>
        <w:t>Aprobar información</w:t>
      </w:r>
    </w:p>
    <w:p w14:paraId="21894C13" w14:textId="77777777" w:rsidR="009102A7" w:rsidRPr="00576AF8" w:rsidRDefault="009102A7" w:rsidP="009102A7">
      <w:pPr>
        <w:numPr>
          <w:ilvl w:val="1"/>
          <w:numId w:val="240"/>
        </w:numPr>
        <w:ind w:right="4"/>
        <w:contextualSpacing/>
        <w:rPr>
          <w:sz w:val="22"/>
          <w:szCs w:val="22"/>
        </w:rPr>
      </w:pPr>
      <w:r w:rsidRPr="00576AF8">
        <w:rPr>
          <w:sz w:val="22"/>
          <w:szCs w:val="22"/>
        </w:rPr>
        <w:t>Silenciar alarmas</w:t>
      </w:r>
    </w:p>
    <w:p w14:paraId="2B3831BF" w14:textId="77777777" w:rsidR="009102A7" w:rsidRPr="00576AF8" w:rsidRDefault="009102A7" w:rsidP="009102A7">
      <w:pPr>
        <w:numPr>
          <w:ilvl w:val="1"/>
          <w:numId w:val="240"/>
        </w:numPr>
        <w:ind w:right="4"/>
        <w:contextualSpacing/>
        <w:rPr>
          <w:sz w:val="22"/>
          <w:szCs w:val="22"/>
        </w:rPr>
      </w:pPr>
      <w:r w:rsidRPr="00576AF8">
        <w:rPr>
          <w:sz w:val="22"/>
          <w:szCs w:val="22"/>
        </w:rPr>
        <w:t>Recuperación de datos</w:t>
      </w:r>
    </w:p>
    <w:p w14:paraId="25D932BF" w14:textId="77777777" w:rsidR="009102A7" w:rsidRPr="00576AF8" w:rsidRDefault="009102A7" w:rsidP="009102A7">
      <w:pPr>
        <w:ind w:left="3283" w:right="4"/>
        <w:contextualSpacing/>
        <w:rPr>
          <w:sz w:val="22"/>
          <w:szCs w:val="22"/>
        </w:rPr>
      </w:pPr>
    </w:p>
    <w:p w14:paraId="187C925F" w14:textId="77777777" w:rsidR="009102A7" w:rsidRPr="00576AF8" w:rsidRDefault="009102A7" w:rsidP="009102A7">
      <w:pPr>
        <w:numPr>
          <w:ilvl w:val="0"/>
          <w:numId w:val="241"/>
        </w:numPr>
        <w:ind w:right="4"/>
        <w:contextualSpacing/>
        <w:rPr>
          <w:sz w:val="22"/>
          <w:szCs w:val="22"/>
        </w:rPr>
      </w:pPr>
      <w:r w:rsidRPr="00576AF8">
        <w:rPr>
          <w:sz w:val="22"/>
          <w:szCs w:val="22"/>
        </w:rPr>
        <w:t xml:space="preserve">Acciones de usuario de privilegios: </w:t>
      </w:r>
    </w:p>
    <w:p w14:paraId="7E07F6D6" w14:textId="77777777" w:rsidR="009102A7" w:rsidRPr="00576AF8" w:rsidRDefault="009102A7" w:rsidP="009102A7">
      <w:pPr>
        <w:numPr>
          <w:ilvl w:val="1"/>
          <w:numId w:val="241"/>
        </w:numPr>
        <w:ind w:right="4"/>
        <w:contextualSpacing/>
        <w:rPr>
          <w:sz w:val="22"/>
          <w:szCs w:val="22"/>
        </w:rPr>
      </w:pPr>
      <w:r w:rsidRPr="00576AF8">
        <w:rPr>
          <w:sz w:val="22"/>
          <w:szCs w:val="22"/>
        </w:rPr>
        <w:t>Cambio de las configuraciones del sistema de control</w:t>
      </w:r>
    </w:p>
    <w:p w14:paraId="12957604" w14:textId="77777777" w:rsidR="009102A7" w:rsidRPr="00576AF8" w:rsidRDefault="009102A7" w:rsidP="009102A7">
      <w:pPr>
        <w:numPr>
          <w:ilvl w:val="1"/>
          <w:numId w:val="241"/>
        </w:numPr>
        <w:ind w:right="4"/>
        <w:contextualSpacing/>
        <w:rPr>
          <w:sz w:val="22"/>
          <w:szCs w:val="22"/>
        </w:rPr>
      </w:pPr>
      <w:r w:rsidRPr="00576AF8">
        <w:rPr>
          <w:sz w:val="22"/>
          <w:szCs w:val="22"/>
        </w:rPr>
        <w:t>Gestión de cuentas (cambio de privilegios, roles, AOR, etc.)</w:t>
      </w:r>
    </w:p>
    <w:p w14:paraId="0ADD3E1D" w14:textId="77777777" w:rsidR="009102A7" w:rsidRPr="00576AF8" w:rsidRDefault="009102A7" w:rsidP="009102A7">
      <w:pPr>
        <w:numPr>
          <w:ilvl w:val="1"/>
          <w:numId w:val="241"/>
        </w:numPr>
        <w:ind w:right="4"/>
        <w:contextualSpacing/>
        <w:rPr>
          <w:sz w:val="22"/>
          <w:szCs w:val="22"/>
        </w:rPr>
      </w:pPr>
      <w:r w:rsidRPr="00576AF8">
        <w:rPr>
          <w:sz w:val="22"/>
          <w:szCs w:val="22"/>
        </w:rPr>
        <w:t>Gestión de registros, incluidas las auditorías</w:t>
      </w:r>
    </w:p>
    <w:p w14:paraId="64A49D06" w14:textId="77777777" w:rsidR="009102A7" w:rsidRPr="00576AF8" w:rsidRDefault="009102A7" w:rsidP="009102A7">
      <w:pPr>
        <w:numPr>
          <w:ilvl w:val="1"/>
          <w:numId w:val="241"/>
        </w:numPr>
        <w:ind w:right="4"/>
        <w:contextualSpacing/>
        <w:rPr>
          <w:sz w:val="22"/>
          <w:szCs w:val="22"/>
        </w:rPr>
      </w:pPr>
      <w:r w:rsidRPr="00576AF8">
        <w:rPr>
          <w:sz w:val="22"/>
          <w:szCs w:val="22"/>
        </w:rPr>
        <w:t>Gestión de contraseñas</w:t>
      </w:r>
    </w:p>
    <w:p w14:paraId="1A28DBC1" w14:textId="77777777" w:rsidR="009102A7" w:rsidRPr="00576AF8" w:rsidRDefault="009102A7" w:rsidP="009102A7">
      <w:pPr>
        <w:numPr>
          <w:ilvl w:val="1"/>
          <w:numId w:val="241"/>
        </w:numPr>
        <w:ind w:right="4"/>
        <w:contextualSpacing/>
        <w:rPr>
          <w:sz w:val="22"/>
          <w:szCs w:val="22"/>
        </w:rPr>
      </w:pPr>
      <w:r w:rsidRPr="00576AF8">
        <w:rPr>
          <w:sz w:val="22"/>
          <w:szCs w:val="22"/>
        </w:rPr>
        <w:t>Instalación de parches</w:t>
      </w:r>
    </w:p>
    <w:p w14:paraId="2C833629" w14:textId="77777777" w:rsidR="009102A7" w:rsidRPr="00576AF8" w:rsidRDefault="009102A7" w:rsidP="009102A7">
      <w:pPr>
        <w:ind w:left="2160" w:right="4" w:hanging="600"/>
        <w:rPr>
          <w:sz w:val="22"/>
          <w:szCs w:val="22"/>
        </w:rPr>
      </w:pPr>
      <w:r w:rsidRPr="00576AF8">
        <w:rPr>
          <w:sz w:val="22"/>
          <w:szCs w:val="22"/>
        </w:rPr>
        <w:t>b.</w:t>
      </w:r>
      <w:r w:rsidRPr="00576AF8">
        <w:rPr>
          <w:sz w:val="22"/>
          <w:szCs w:val="22"/>
        </w:rPr>
        <w:tab/>
        <w:t>La verificación y el registro de las acciones de usuario con privilegios y sin privilegios para imponer la no repudiación no agregarán un retraso significativo al tiempo de respuesta del SCADA/EMS. Los servicios de no repudiación pueden obtenerse empleando diversas técnicas o mecanismos, por ejemplo, firmas digitales, recibos de mensajes digitales y estampas de tiempo.</w:t>
      </w:r>
    </w:p>
    <w:p w14:paraId="40C17B77" w14:textId="77777777" w:rsidR="009102A7" w:rsidRPr="00576AF8" w:rsidRDefault="009102A7" w:rsidP="009102A7">
      <w:pPr>
        <w:ind w:left="720" w:hanging="720"/>
        <w:jc w:val="left"/>
        <w:outlineLvl w:val="2"/>
        <w:rPr>
          <w:b/>
          <w:sz w:val="22"/>
          <w:szCs w:val="22"/>
        </w:rPr>
      </w:pPr>
      <w:r w:rsidRPr="00576AF8">
        <w:rPr>
          <w:b/>
          <w:sz w:val="22"/>
          <w:szCs w:val="22"/>
        </w:rPr>
        <w:t>1.4.1.3.6 Bloqueo de Sesión</w:t>
      </w:r>
    </w:p>
    <w:p w14:paraId="59AA6363" w14:textId="77777777" w:rsidR="009102A7" w:rsidRPr="00576AF8" w:rsidRDefault="009102A7" w:rsidP="009102A7">
      <w:pPr>
        <w:ind w:left="2160" w:right="4" w:hanging="600"/>
        <w:rPr>
          <w:sz w:val="22"/>
          <w:szCs w:val="22"/>
        </w:rPr>
      </w:pPr>
      <w:r w:rsidRPr="00576AF8">
        <w:rPr>
          <w:sz w:val="22"/>
          <w:szCs w:val="22"/>
        </w:rPr>
        <w:t>a.</w:t>
      </w:r>
      <w:r w:rsidRPr="00576AF8">
        <w:rPr>
          <w:sz w:val="22"/>
          <w:szCs w:val="22"/>
        </w:rPr>
        <w:tab/>
        <w:t xml:space="preserve">Si un componente proporciona servicios de IHM, ya sea que se acceda localmente o de forma remota, el componente proporcionará la capacidad de proteger contra accesos posteriores iniciando un bloqueo de sesión después de un período de tiempo configurable de: inactividad o por iniciación manual por parte del usuario ya sea humano, proceso de software o dispositivo. </w:t>
      </w:r>
    </w:p>
    <w:p w14:paraId="78B3C107" w14:textId="77777777" w:rsidR="009102A7" w:rsidRPr="00576AF8" w:rsidRDefault="009102A7" w:rsidP="009102A7">
      <w:pPr>
        <w:ind w:left="2160" w:right="4" w:hanging="600"/>
        <w:rPr>
          <w:sz w:val="22"/>
          <w:szCs w:val="22"/>
        </w:rPr>
      </w:pPr>
      <w:r w:rsidRPr="00576AF8">
        <w:rPr>
          <w:sz w:val="22"/>
          <w:szCs w:val="22"/>
        </w:rPr>
        <w:t>b.</w:t>
      </w:r>
      <w:r w:rsidRPr="00576AF8">
        <w:rPr>
          <w:sz w:val="22"/>
          <w:szCs w:val="22"/>
        </w:rPr>
        <w:tab/>
        <w:t>Para que el bloqueo de sesión permanezca en vigor hasta que el usuario humano propietario de la sesión, u otro usuario humano autorizado, restablezca el acceso utilizando los procedimientos de identificación y autenticación adecuados. Los componentes activarán automáticamente los mecanismos de bloqueo de sesión después de un período configurable.</w:t>
      </w:r>
    </w:p>
    <w:p w14:paraId="2301113F" w14:textId="77777777" w:rsidR="009102A7" w:rsidRPr="00576AF8" w:rsidRDefault="009102A7" w:rsidP="009102A7">
      <w:pPr>
        <w:ind w:left="720" w:hanging="720"/>
        <w:jc w:val="left"/>
        <w:outlineLvl w:val="2"/>
        <w:rPr>
          <w:b/>
          <w:sz w:val="22"/>
          <w:szCs w:val="22"/>
        </w:rPr>
      </w:pPr>
      <w:r w:rsidRPr="00576AF8">
        <w:rPr>
          <w:b/>
          <w:sz w:val="22"/>
          <w:szCs w:val="22"/>
        </w:rPr>
        <w:t>1.4.1.3.7 Finalización de la Sesión de Acceso Remoto</w:t>
      </w:r>
    </w:p>
    <w:p w14:paraId="7AFF6058"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Si un componente admite sesiones remotas, el componente proporcionará la capacidad de terminar una sesión remota automáticamente después de un período de inactividad configurable, manualmente por: una autoridad local o por el usuario humano, proceso </w:t>
      </w:r>
      <w:r w:rsidRPr="00576AF8">
        <w:rPr>
          <w:sz w:val="22"/>
          <w:szCs w:val="22"/>
        </w:rPr>
        <w:lastRenderedPageBreak/>
        <w:t xml:space="preserve">de software o dispositivo que inició la sesión. Este requisito se limita a las sesiones que se utilizan para las actividades de supervisión y </w:t>
      </w:r>
      <w:r w:rsidR="00C774E7" w:rsidRPr="00576AF8">
        <w:rPr>
          <w:sz w:val="22"/>
          <w:szCs w:val="22"/>
        </w:rPr>
        <w:t>administración</w:t>
      </w:r>
      <w:r w:rsidR="00C774E7" w:rsidRPr="00576AF8" w:rsidDel="00C774E7">
        <w:rPr>
          <w:sz w:val="22"/>
          <w:szCs w:val="22"/>
        </w:rPr>
        <w:t xml:space="preserve"> </w:t>
      </w:r>
      <w:r w:rsidRPr="00576AF8">
        <w:rPr>
          <w:sz w:val="22"/>
          <w:szCs w:val="22"/>
        </w:rPr>
        <w:t xml:space="preserve">de componentes (no las operaciones críticas). El sistema SCADA/EMS también ofrecerá la posibilidad de: </w:t>
      </w:r>
    </w:p>
    <w:p w14:paraId="32201498" w14:textId="77777777" w:rsidR="009102A7" w:rsidRPr="00576AF8" w:rsidRDefault="009102A7" w:rsidP="009102A7">
      <w:pPr>
        <w:numPr>
          <w:ilvl w:val="0"/>
          <w:numId w:val="241"/>
        </w:numPr>
        <w:ind w:right="4"/>
        <w:contextualSpacing/>
        <w:rPr>
          <w:sz w:val="22"/>
          <w:szCs w:val="22"/>
        </w:rPr>
      </w:pPr>
      <w:r w:rsidRPr="00576AF8">
        <w:rPr>
          <w:sz w:val="22"/>
          <w:szCs w:val="22"/>
        </w:rPr>
        <w:t xml:space="preserve">Limitar el número de intentos de autenticación fallidos, o </w:t>
      </w:r>
    </w:p>
    <w:p w14:paraId="13C2D22E" w14:textId="77777777" w:rsidR="009102A7" w:rsidRPr="00576AF8" w:rsidRDefault="009102A7" w:rsidP="009102A7">
      <w:pPr>
        <w:numPr>
          <w:ilvl w:val="0"/>
          <w:numId w:val="241"/>
        </w:numPr>
        <w:ind w:right="4"/>
        <w:contextualSpacing/>
        <w:rPr>
          <w:sz w:val="22"/>
          <w:szCs w:val="22"/>
        </w:rPr>
      </w:pPr>
      <w:r w:rsidRPr="00576AF8">
        <w:rPr>
          <w:sz w:val="22"/>
          <w:szCs w:val="22"/>
        </w:rPr>
        <w:t>Generar alertas después de un umbral de intentos de autenticación fallidos.</w:t>
      </w:r>
    </w:p>
    <w:p w14:paraId="3405E2B6" w14:textId="77777777" w:rsidR="009102A7" w:rsidRPr="00576AF8" w:rsidRDefault="009102A7" w:rsidP="009102A7">
      <w:pPr>
        <w:ind w:left="720" w:hanging="720"/>
        <w:jc w:val="left"/>
        <w:outlineLvl w:val="2"/>
        <w:rPr>
          <w:b/>
          <w:sz w:val="22"/>
          <w:szCs w:val="22"/>
        </w:rPr>
      </w:pPr>
      <w:r w:rsidRPr="00576AF8">
        <w:rPr>
          <w:b/>
          <w:sz w:val="22"/>
          <w:szCs w:val="22"/>
        </w:rPr>
        <w:t>1.4.1.3.8 Eventos de Registro de Auditoria</w:t>
      </w:r>
    </w:p>
    <w:p w14:paraId="60D73C34"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La auditoría proporciona el rastro necesario para explicar quién, qué, cuándo, dónde y cómo se accede a los recursos en el sistema SCADA/EMS. El sistema SCADA/EMS proporcionará un registro detallado de las siguientes actividades tanto a nivel de sistema operativo como de aplicación: </w:t>
      </w:r>
    </w:p>
    <w:p w14:paraId="3C2D79CC" w14:textId="77777777" w:rsidR="009102A7" w:rsidRPr="00576AF8" w:rsidRDefault="009102A7" w:rsidP="009102A7">
      <w:pPr>
        <w:numPr>
          <w:ilvl w:val="0"/>
          <w:numId w:val="242"/>
        </w:numPr>
        <w:ind w:right="4"/>
        <w:contextualSpacing/>
        <w:rPr>
          <w:sz w:val="22"/>
          <w:szCs w:val="22"/>
        </w:rPr>
      </w:pPr>
      <w:r w:rsidRPr="00576AF8">
        <w:rPr>
          <w:sz w:val="22"/>
          <w:szCs w:val="22"/>
        </w:rPr>
        <w:t xml:space="preserve">Eventos de autenticación. </w:t>
      </w:r>
    </w:p>
    <w:p w14:paraId="37A657F5" w14:textId="77777777" w:rsidR="009102A7" w:rsidRPr="00576AF8" w:rsidRDefault="009102A7" w:rsidP="009102A7">
      <w:pPr>
        <w:numPr>
          <w:ilvl w:val="0"/>
          <w:numId w:val="242"/>
        </w:numPr>
        <w:ind w:right="4"/>
        <w:contextualSpacing/>
        <w:rPr>
          <w:sz w:val="22"/>
          <w:szCs w:val="22"/>
        </w:rPr>
      </w:pPr>
      <w:r w:rsidRPr="00576AF8">
        <w:rPr>
          <w:sz w:val="22"/>
          <w:szCs w:val="22"/>
        </w:rPr>
        <w:t xml:space="preserve">Eventos de autorización. </w:t>
      </w:r>
    </w:p>
    <w:p w14:paraId="03892B79" w14:textId="77777777" w:rsidR="009102A7" w:rsidRPr="00576AF8" w:rsidRDefault="009102A7" w:rsidP="009102A7">
      <w:pPr>
        <w:numPr>
          <w:ilvl w:val="0"/>
          <w:numId w:val="242"/>
        </w:numPr>
        <w:ind w:right="4"/>
        <w:contextualSpacing/>
        <w:rPr>
          <w:sz w:val="22"/>
          <w:szCs w:val="22"/>
        </w:rPr>
      </w:pPr>
      <w:r w:rsidRPr="00576AF8">
        <w:rPr>
          <w:sz w:val="22"/>
          <w:szCs w:val="22"/>
        </w:rPr>
        <w:t xml:space="preserve">Modificación de objetos de directorio. </w:t>
      </w:r>
    </w:p>
    <w:p w14:paraId="40556FCA"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Los eventos del sistema operativo incluirán intentos exitosos y no exitosos de acceso a la cuenta; se aplicará en todo el dominio para todos los usuarios a través de la configuración de la directiva de auditoría de cuentas. Por otro lado, los registros que se producen en el nivel de aplicación deben estar relacionados con las actividades de autorización de usuario en los servicios del sistema SCADA/EMS, así como con los cambios en la configuración de seguridad del sistema SCADA/EMS, por ejemplo, cambios en el esquema de autorización, cambios en la configuración de AOR, etc.</w:t>
      </w:r>
    </w:p>
    <w:p w14:paraId="28AE6004" w14:textId="77777777" w:rsidR="009102A7" w:rsidRPr="00576AF8" w:rsidRDefault="009102A7" w:rsidP="009102A7">
      <w:pPr>
        <w:ind w:left="720" w:hanging="720"/>
        <w:jc w:val="left"/>
        <w:outlineLvl w:val="2"/>
        <w:rPr>
          <w:b/>
          <w:sz w:val="22"/>
          <w:szCs w:val="22"/>
        </w:rPr>
      </w:pPr>
      <w:r w:rsidRPr="00576AF8">
        <w:rPr>
          <w:b/>
          <w:sz w:val="22"/>
          <w:szCs w:val="22"/>
        </w:rPr>
        <w:t>1.4.1.3.9 Accesibilidad del Registro de Auditoría</w:t>
      </w:r>
    </w:p>
    <w:p w14:paraId="44A645CE"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El sistema SCADA/EMS proporcionará la capacidad para que el personal autorizado y/o las herramientas accedan a los registros de auditoría de forma de solo lectura. El acceso programático se utilizará para proporcionar la información del registro de auditoría a mecanismos de análisis como el SIEM. </w:t>
      </w:r>
    </w:p>
    <w:p w14:paraId="39D0CD33"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El sistema SCADA/EMS proporcionará acceso programático a los registros de auditoría utilizando una interfaz de programación de aplicaciones (API).</w:t>
      </w:r>
    </w:p>
    <w:p w14:paraId="1A5CDD72" w14:textId="77777777" w:rsidR="009102A7" w:rsidRPr="00576AF8" w:rsidRDefault="009102A7" w:rsidP="009102A7">
      <w:pPr>
        <w:ind w:left="720" w:hanging="720"/>
        <w:jc w:val="left"/>
        <w:outlineLvl w:val="2"/>
        <w:rPr>
          <w:b/>
          <w:sz w:val="22"/>
          <w:szCs w:val="22"/>
        </w:rPr>
      </w:pPr>
      <w:r w:rsidRPr="00576AF8">
        <w:rPr>
          <w:b/>
          <w:sz w:val="22"/>
          <w:szCs w:val="22"/>
        </w:rPr>
        <w:t>1.4.1.4</w:t>
      </w:r>
      <w:r w:rsidRPr="00576AF8">
        <w:rPr>
          <w:b/>
          <w:sz w:val="22"/>
          <w:szCs w:val="22"/>
        </w:rPr>
        <w:tab/>
      </w:r>
      <w:r w:rsidRPr="00576AF8">
        <w:rPr>
          <w:b/>
          <w:sz w:val="22"/>
          <w:szCs w:val="22"/>
          <w:u w:val="single"/>
        </w:rPr>
        <w:t>Políticas de seguridad del Sistema y de la información y de seguridad</w:t>
      </w:r>
      <w:r w:rsidRPr="00576AF8">
        <w:rPr>
          <w:b/>
          <w:sz w:val="22"/>
          <w:szCs w:val="22"/>
        </w:rPr>
        <w:t xml:space="preserve">: </w:t>
      </w:r>
    </w:p>
    <w:p w14:paraId="77A80F90" w14:textId="77777777" w:rsidR="009102A7" w:rsidRPr="00576AF8" w:rsidRDefault="009102A7" w:rsidP="009102A7">
      <w:pPr>
        <w:ind w:left="1560" w:right="4" w:hanging="33"/>
        <w:rPr>
          <w:sz w:val="22"/>
          <w:szCs w:val="22"/>
        </w:rPr>
      </w:pPr>
      <w:r w:rsidRPr="00576AF8">
        <w:rPr>
          <w:sz w:val="22"/>
          <w:szCs w:val="22"/>
        </w:rPr>
        <w:t>Los requerimientos de seguridad descritos en este numeral se basan en los requisitos establecidos por la North American Electric Reliability Corporation (NERC) en el conjunto de normas relevantes para la Protección de Infraestructuras Críticas (CIP) y un conjunto de normas 62443 del Comité Electrotécnico Internacional (IEC) – Redes de comunicación industrial – Seguridad de redes y sistemas. El cumplimiento de los requisitos definidos en este numeral garantizará que todos los sistemas y activos estén protegidos de una manera que no obstaculice las operaciones del SCADA/EMS.</w:t>
      </w:r>
    </w:p>
    <w:p w14:paraId="056A0D83" w14:textId="77777777" w:rsidR="009102A7" w:rsidRPr="00576AF8" w:rsidRDefault="009102A7" w:rsidP="009102A7">
      <w:pPr>
        <w:ind w:left="720" w:hanging="720"/>
        <w:jc w:val="left"/>
        <w:outlineLvl w:val="2"/>
        <w:rPr>
          <w:b/>
          <w:sz w:val="22"/>
          <w:szCs w:val="22"/>
        </w:rPr>
      </w:pPr>
      <w:r w:rsidRPr="00576AF8">
        <w:rPr>
          <w:b/>
          <w:sz w:val="22"/>
          <w:szCs w:val="22"/>
        </w:rPr>
        <w:t>1.4.1.4.1 Estrategia</w:t>
      </w:r>
    </w:p>
    <w:p w14:paraId="50951A5A" w14:textId="77777777" w:rsidR="009102A7" w:rsidRPr="00576AF8" w:rsidRDefault="009102A7" w:rsidP="009102A7">
      <w:pPr>
        <w:ind w:left="1560" w:right="4" w:hanging="33"/>
        <w:rPr>
          <w:sz w:val="22"/>
          <w:szCs w:val="22"/>
        </w:rPr>
      </w:pPr>
      <w:r w:rsidRPr="00576AF8">
        <w:rPr>
          <w:sz w:val="22"/>
          <w:szCs w:val="22"/>
        </w:rPr>
        <w:t>El sistema SCADA/EMS se basará en estándares de ciberseguridad reconocidos y establecidos para proporcionar un modelo de seguridad altamente confiable y de defensa en profundidad que evite un único punto de falla. Las características de seguridad cibernética serán consistentes en todas las aplicaciones y servicios del SCADA/EMS para proporcionar un entorno altamente seguro que solo permita a los usuarios autorizados interactuar con los sistemas. Para esto, se concebirán niveles apropiados de accesos y privilegios, a partir de las sugerencias de normativa internacional.</w:t>
      </w:r>
    </w:p>
    <w:p w14:paraId="0320DEA4" w14:textId="77777777" w:rsidR="009102A7" w:rsidRPr="00576AF8" w:rsidRDefault="009102A7" w:rsidP="009102A7">
      <w:pPr>
        <w:ind w:left="1560" w:right="4" w:hanging="33"/>
        <w:rPr>
          <w:sz w:val="22"/>
          <w:szCs w:val="22"/>
        </w:rPr>
      </w:pPr>
      <w:r w:rsidRPr="00576AF8">
        <w:rPr>
          <w:sz w:val="22"/>
          <w:szCs w:val="22"/>
        </w:rPr>
        <w:t xml:space="preserve">No existirán fallas o mecanismos de puerta trasera (backdoor) en el sistema SCADA/EMS para permitir que alguien desactive o degrade remotamente sus funciones. Además, el sistema no contendrá ningún mecanismo que desactive automáticamente algunas o todas sus funciones o degrade su funcionamiento en una fecha determinada o cuando ocurra un evento específico. </w:t>
      </w:r>
      <w:r w:rsidRPr="00576AF8">
        <w:rPr>
          <w:sz w:val="22"/>
          <w:szCs w:val="22"/>
        </w:rPr>
        <w:lastRenderedPageBreak/>
        <w:t>Un principio de defensa en profundidad proporciona un enfoque estratificado de la seguridad. Se heredará una estrategia de seguridad multinivel en el diseño del producto para garantizar que, incluso si falla un solo control, otro control siga proporcionando protección.</w:t>
      </w:r>
    </w:p>
    <w:p w14:paraId="1F09FB4B" w14:textId="77777777" w:rsidR="009102A7" w:rsidRPr="00576AF8" w:rsidRDefault="009102A7" w:rsidP="009102A7">
      <w:pPr>
        <w:ind w:left="720" w:hanging="720"/>
        <w:jc w:val="left"/>
        <w:outlineLvl w:val="2"/>
        <w:rPr>
          <w:b/>
          <w:sz w:val="22"/>
          <w:szCs w:val="22"/>
        </w:rPr>
      </w:pPr>
      <w:r w:rsidRPr="00576AF8">
        <w:rPr>
          <w:b/>
          <w:sz w:val="22"/>
          <w:szCs w:val="22"/>
        </w:rPr>
        <w:t>1.4.1.4.2 Estándares Aplicables</w:t>
      </w:r>
    </w:p>
    <w:p w14:paraId="5CFA2B30" w14:textId="77777777" w:rsidR="009102A7" w:rsidRPr="00576AF8" w:rsidRDefault="009102A7" w:rsidP="009102A7">
      <w:pPr>
        <w:ind w:left="1560" w:right="4" w:hanging="33"/>
        <w:rPr>
          <w:rFonts w:eastAsia="Calibri"/>
          <w:sz w:val="22"/>
          <w:szCs w:val="22"/>
        </w:rPr>
      </w:pPr>
      <w:r w:rsidRPr="00576AF8">
        <w:rPr>
          <w:sz w:val="22"/>
          <w:szCs w:val="22"/>
        </w:rPr>
        <w:t xml:space="preserve">A continuación, se especifican las normas internacionales pertinentes a los bienes, servicios y obras que deben </w:t>
      </w:r>
      <w:r w:rsidRPr="00576AF8">
        <w:rPr>
          <w:sz w:val="22"/>
          <w:szCs w:val="22"/>
          <w:shd w:val="clear" w:color="auto" w:fill="FFFFFF"/>
        </w:rPr>
        <w:t>suministrarse en lo concerniente y aplicable al sistema SCADA/EMS</w:t>
      </w:r>
      <w:r w:rsidR="00DB6601" w:rsidRPr="00576AF8">
        <w:rPr>
          <w:sz w:val="22"/>
          <w:szCs w:val="22"/>
          <w:shd w:val="clear" w:color="auto" w:fill="FFFFFF"/>
        </w:rPr>
        <w:t xml:space="preserve"> y organización del Comprador</w:t>
      </w:r>
      <w:r w:rsidRPr="00576AF8">
        <w:rPr>
          <w:sz w:val="22"/>
          <w:szCs w:val="22"/>
          <w:shd w:val="clear" w:color="auto" w:fill="FFFFFF"/>
        </w:rPr>
        <w:t>. Se considerará la última</w:t>
      </w:r>
      <w:r w:rsidRPr="00576AF8">
        <w:rPr>
          <w:sz w:val="22"/>
          <w:szCs w:val="22"/>
        </w:rPr>
        <w:t xml:space="preserve"> versión actualizada de las normas, que se encuentre disponible en la fecha de publicación de la licitación.</w:t>
      </w:r>
    </w:p>
    <w:tbl>
      <w:tblPr>
        <w:tblW w:w="7792" w:type="dxa"/>
        <w:jc w:val="right"/>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000" w:firstRow="0" w:lastRow="0" w:firstColumn="0" w:lastColumn="0" w:noHBand="0" w:noVBand="0"/>
      </w:tblPr>
      <w:tblGrid>
        <w:gridCol w:w="2335"/>
        <w:gridCol w:w="5457"/>
      </w:tblGrid>
      <w:tr w:rsidR="009102A7" w:rsidRPr="00576AF8" w14:paraId="18604DAC" w14:textId="77777777" w:rsidTr="009F6B78">
        <w:trPr>
          <w:trHeight w:val="278"/>
          <w:tblHeader/>
          <w:jc w:val="right"/>
        </w:trPr>
        <w:tc>
          <w:tcPr>
            <w:tcW w:w="2335" w:type="dxa"/>
            <w:shd w:val="clear" w:color="auto" w:fill="DBE5F1"/>
            <w:vAlign w:val="center"/>
          </w:tcPr>
          <w:p w14:paraId="0457B119" w14:textId="77777777" w:rsidR="009102A7" w:rsidRPr="00576AF8" w:rsidRDefault="009102A7" w:rsidP="009F6B78">
            <w:pPr>
              <w:spacing w:line="360" w:lineRule="auto"/>
              <w:rPr>
                <w:sz w:val="22"/>
                <w:szCs w:val="22"/>
              </w:rPr>
            </w:pPr>
            <w:r w:rsidRPr="00576AF8">
              <w:rPr>
                <w:rFonts w:eastAsia="Calibri"/>
                <w:sz w:val="22"/>
                <w:szCs w:val="22"/>
              </w:rPr>
              <w:t>Estándar</w:t>
            </w:r>
          </w:p>
        </w:tc>
        <w:tc>
          <w:tcPr>
            <w:tcW w:w="5457" w:type="dxa"/>
            <w:shd w:val="clear" w:color="auto" w:fill="DBE5F1"/>
            <w:vAlign w:val="center"/>
          </w:tcPr>
          <w:p w14:paraId="3331CBB2" w14:textId="77777777" w:rsidR="009102A7" w:rsidRPr="00576AF8" w:rsidRDefault="009102A7" w:rsidP="009F6B78">
            <w:pPr>
              <w:spacing w:line="360" w:lineRule="auto"/>
              <w:rPr>
                <w:sz w:val="22"/>
                <w:szCs w:val="22"/>
              </w:rPr>
            </w:pPr>
            <w:r w:rsidRPr="00576AF8">
              <w:rPr>
                <w:rFonts w:eastAsia="Calibri"/>
                <w:sz w:val="22"/>
                <w:szCs w:val="22"/>
              </w:rPr>
              <w:t>Descripción</w:t>
            </w:r>
          </w:p>
        </w:tc>
      </w:tr>
      <w:tr w:rsidR="009102A7" w:rsidRPr="00576AF8" w14:paraId="432C8539" w14:textId="77777777" w:rsidTr="009F6B78">
        <w:trPr>
          <w:trHeight w:val="480"/>
          <w:jc w:val="right"/>
        </w:trPr>
        <w:tc>
          <w:tcPr>
            <w:tcW w:w="2335" w:type="dxa"/>
            <w:vAlign w:val="center"/>
          </w:tcPr>
          <w:p w14:paraId="41908970" w14:textId="77777777" w:rsidR="009102A7" w:rsidRPr="00576AF8" w:rsidRDefault="009102A7" w:rsidP="009F6B78">
            <w:pPr>
              <w:spacing w:line="360" w:lineRule="auto"/>
              <w:rPr>
                <w:sz w:val="22"/>
                <w:szCs w:val="22"/>
              </w:rPr>
            </w:pPr>
            <w:r w:rsidRPr="00576AF8">
              <w:rPr>
                <w:rFonts w:eastAsia="Calibri"/>
                <w:sz w:val="22"/>
                <w:szCs w:val="22"/>
              </w:rPr>
              <w:t>NERC CIP-002-5. 1a</w:t>
            </w:r>
          </w:p>
        </w:tc>
        <w:tc>
          <w:tcPr>
            <w:tcW w:w="5457" w:type="dxa"/>
            <w:vAlign w:val="center"/>
          </w:tcPr>
          <w:p w14:paraId="60F5723D" w14:textId="77777777" w:rsidR="009102A7" w:rsidRPr="00576AF8" w:rsidRDefault="009102A7" w:rsidP="009F6B78">
            <w:pPr>
              <w:spacing w:line="360" w:lineRule="auto"/>
              <w:rPr>
                <w:sz w:val="22"/>
                <w:szCs w:val="22"/>
              </w:rPr>
            </w:pPr>
            <w:r w:rsidRPr="00576AF8">
              <w:rPr>
                <w:rFonts w:eastAsia="Calibri"/>
                <w:sz w:val="22"/>
                <w:szCs w:val="22"/>
              </w:rPr>
              <w:t>Categorización del sistema cibernético BES (Bulk Electric System)</w:t>
            </w:r>
          </w:p>
        </w:tc>
      </w:tr>
      <w:tr w:rsidR="009102A7" w:rsidRPr="00576AF8" w14:paraId="158D72AF" w14:textId="77777777" w:rsidTr="009F6B78">
        <w:trPr>
          <w:trHeight w:val="285"/>
          <w:jc w:val="right"/>
        </w:trPr>
        <w:tc>
          <w:tcPr>
            <w:tcW w:w="2335" w:type="dxa"/>
            <w:vAlign w:val="center"/>
          </w:tcPr>
          <w:p w14:paraId="1DFFA73D" w14:textId="77777777" w:rsidR="009102A7" w:rsidRPr="00576AF8" w:rsidRDefault="009102A7" w:rsidP="009F6B78">
            <w:pPr>
              <w:spacing w:line="360" w:lineRule="auto"/>
              <w:rPr>
                <w:sz w:val="22"/>
                <w:szCs w:val="22"/>
              </w:rPr>
            </w:pPr>
            <w:r w:rsidRPr="00576AF8">
              <w:rPr>
                <w:rFonts w:eastAsia="Calibri"/>
                <w:sz w:val="22"/>
                <w:szCs w:val="22"/>
              </w:rPr>
              <w:t>NERC CIP-003-6 y 14</w:t>
            </w:r>
          </w:p>
        </w:tc>
        <w:tc>
          <w:tcPr>
            <w:tcW w:w="5457" w:type="dxa"/>
            <w:vAlign w:val="center"/>
          </w:tcPr>
          <w:p w14:paraId="73BF863B" w14:textId="77777777" w:rsidR="009102A7" w:rsidRPr="00576AF8" w:rsidRDefault="009102A7" w:rsidP="009F6B78">
            <w:pPr>
              <w:spacing w:line="360" w:lineRule="auto"/>
              <w:rPr>
                <w:sz w:val="22"/>
                <w:szCs w:val="22"/>
              </w:rPr>
            </w:pPr>
            <w:r w:rsidRPr="00576AF8">
              <w:rPr>
                <w:rFonts w:eastAsia="Calibri"/>
                <w:sz w:val="22"/>
                <w:szCs w:val="22"/>
              </w:rPr>
              <w:t>Controles de gestión de seguridad</w:t>
            </w:r>
          </w:p>
        </w:tc>
      </w:tr>
      <w:tr w:rsidR="009102A7" w:rsidRPr="00576AF8" w14:paraId="35D2C06A" w14:textId="77777777" w:rsidTr="009F6B78">
        <w:trPr>
          <w:trHeight w:val="285"/>
          <w:jc w:val="right"/>
        </w:trPr>
        <w:tc>
          <w:tcPr>
            <w:tcW w:w="2335" w:type="dxa"/>
            <w:shd w:val="clear" w:color="auto" w:fill="auto"/>
            <w:vAlign w:val="center"/>
          </w:tcPr>
          <w:p w14:paraId="6E7550C1" w14:textId="77777777" w:rsidR="009102A7" w:rsidRPr="00576AF8" w:rsidRDefault="009102A7" w:rsidP="009F6B78">
            <w:pPr>
              <w:spacing w:line="360" w:lineRule="auto"/>
              <w:rPr>
                <w:sz w:val="22"/>
                <w:szCs w:val="22"/>
              </w:rPr>
            </w:pPr>
            <w:r w:rsidRPr="00576AF8">
              <w:rPr>
                <w:rFonts w:eastAsia="Calibri"/>
                <w:sz w:val="22"/>
                <w:szCs w:val="22"/>
              </w:rPr>
              <w:t>NERC CIP-005-5</w:t>
            </w:r>
          </w:p>
        </w:tc>
        <w:tc>
          <w:tcPr>
            <w:tcW w:w="5457" w:type="dxa"/>
            <w:shd w:val="clear" w:color="auto" w:fill="auto"/>
            <w:vAlign w:val="center"/>
          </w:tcPr>
          <w:p w14:paraId="25A7EA43" w14:textId="77777777" w:rsidR="009102A7" w:rsidRPr="00576AF8" w:rsidRDefault="009102A7" w:rsidP="009F6B78">
            <w:pPr>
              <w:spacing w:line="360" w:lineRule="auto"/>
              <w:rPr>
                <w:sz w:val="22"/>
                <w:szCs w:val="22"/>
              </w:rPr>
            </w:pPr>
            <w:r w:rsidRPr="00576AF8">
              <w:rPr>
                <w:rFonts w:eastAsia="Calibri"/>
                <w:sz w:val="22"/>
                <w:szCs w:val="22"/>
              </w:rPr>
              <w:t>Perímetro(s) de seguridad electrónica</w:t>
            </w:r>
          </w:p>
        </w:tc>
      </w:tr>
      <w:tr w:rsidR="009102A7" w:rsidRPr="00576AF8" w14:paraId="08CBC462" w14:textId="77777777" w:rsidTr="009F6B78">
        <w:trPr>
          <w:trHeight w:val="285"/>
          <w:jc w:val="right"/>
        </w:trPr>
        <w:tc>
          <w:tcPr>
            <w:tcW w:w="2335" w:type="dxa"/>
            <w:vAlign w:val="center"/>
          </w:tcPr>
          <w:p w14:paraId="712C858F" w14:textId="77777777" w:rsidR="009102A7" w:rsidRPr="00576AF8" w:rsidRDefault="009102A7" w:rsidP="009F6B78">
            <w:pPr>
              <w:spacing w:line="360" w:lineRule="auto"/>
              <w:rPr>
                <w:sz w:val="22"/>
                <w:szCs w:val="22"/>
              </w:rPr>
            </w:pPr>
            <w:r w:rsidRPr="00576AF8">
              <w:rPr>
                <w:rFonts w:eastAsia="Calibri"/>
                <w:sz w:val="22"/>
                <w:szCs w:val="22"/>
              </w:rPr>
              <w:t>NERC CIP-006-6</w:t>
            </w:r>
          </w:p>
        </w:tc>
        <w:tc>
          <w:tcPr>
            <w:tcW w:w="5457" w:type="dxa"/>
            <w:vAlign w:val="center"/>
          </w:tcPr>
          <w:p w14:paraId="540CC419" w14:textId="77777777" w:rsidR="009102A7" w:rsidRPr="00576AF8" w:rsidRDefault="009102A7" w:rsidP="009F6B78">
            <w:pPr>
              <w:spacing w:line="360" w:lineRule="auto"/>
              <w:rPr>
                <w:sz w:val="22"/>
                <w:szCs w:val="22"/>
              </w:rPr>
            </w:pPr>
            <w:r w:rsidRPr="00576AF8">
              <w:rPr>
                <w:rFonts w:eastAsia="Calibri"/>
                <w:sz w:val="22"/>
                <w:szCs w:val="22"/>
              </w:rPr>
              <w:t>Seguridad cibernética - Seguridad física de los sistemas cibernéticos BES (Bulk Electric System)</w:t>
            </w:r>
          </w:p>
        </w:tc>
      </w:tr>
      <w:tr w:rsidR="009102A7" w:rsidRPr="00576AF8" w14:paraId="38C8E518" w14:textId="77777777" w:rsidTr="009F6B78">
        <w:trPr>
          <w:trHeight w:val="285"/>
          <w:jc w:val="right"/>
        </w:trPr>
        <w:tc>
          <w:tcPr>
            <w:tcW w:w="2335" w:type="dxa"/>
            <w:vAlign w:val="center"/>
          </w:tcPr>
          <w:p w14:paraId="0C399A27" w14:textId="77777777" w:rsidR="009102A7" w:rsidRPr="00576AF8" w:rsidRDefault="009102A7" w:rsidP="009F6B78">
            <w:pPr>
              <w:spacing w:line="360" w:lineRule="auto"/>
              <w:rPr>
                <w:sz w:val="22"/>
                <w:szCs w:val="22"/>
              </w:rPr>
            </w:pPr>
            <w:r w:rsidRPr="00576AF8">
              <w:rPr>
                <w:rFonts w:eastAsia="Calibri"/>
                <w:sz w:val="22"/>
                <w:szCs w:val="22"/>
              </w:rPr>
              <w:t>NERC CIP-007-6</w:t>
            </w:r>
          </w:p>
        </w:tc>
        <w:tc>
          <w:tcPr>
            <w:tcW w:w="5457" w:type="dxa"/>
            <w:vAlign w:val="center"/>
          </w:tcPr>
          <w:p w14:paraId="18DB86A3" w14:textId="77777777" w:rsidR="009102A7" w:rsidRPr="00576AF8" w:rsidRDefault="009102A7" w:rsidP="009F6B78">
            <w:pPr>
              <w:spacing w:line="360" w:lineRule="auto"/>
              <w:rPr>
                <w:sz w:val="22"/>
                <w:szCs w:val="22"/>
              </w:rPr>
            </w:pPr>
            <w:r w:rsidRPr="00576AF8">
              <w:rPr>
                <w:rFonts w:eastAsia="Calibri"/>
                <w:sz w:val="22"/>
                <w:szCs w:val="22"/>
              </w:rPr>
              <w:t>Gestión de la seguridad del sistema</w:t>
            </w:r>
          </w:p>
        </w:tc>
      </w:tr>
      <w:tr w:rsidR="009102A7" w:rsidRPr="00576AF8" w14:paraId="559839AF" w14:textId="77777777" w:rsidTr="009F6B78">
        <w:trPr>
          <w:trHeight w:val="285"/>
          <w:jc w:val="right"/>
        </w:trPr>
        <w:tc>
          <w:tcPr>
            <w:tcW w:w="2335" w:type="dxa"/>
            <w:vAlign w:val="center"/>
          </w:tcPr>
          <w:p w14:paraId="0E09A74F" w14:textId="77777777" w:rsidR="009102A7" w:rsidRPr="00576AF8" w:rsidRDefault="009102A7" w:rsidP="009F6B78">
            <w:pPr>
              <w:spacing w:line="360" w:lineRule="auto"/>
              <w:rPr>
                <w:sz w:val="22"/>
                <w:szCs w:val="22"/>
              </w:rPr>
            </w:pPr>
            <w:r w:rsidRPr="00576AF8">
              <w:rPr>
                <w:rFonts w:eastAsia="Calibri"/>
                <w:sz w:val="22"/>
                <w:szCs w:val="22"/>
              </w:rPr>
              <w:t>NERC CIP-008-5</w:t>
            </w:r>
          </w:p>
        </w:tc>
        <w:tc>
          <w:tcPr>
            <w:tcW w:w="5457" w:type="dxa"/>
            <w:vAlign w:val="center"/>
          </w:tcPr>
          <w:p w14:paraId="23643028" w14:textId="77777777" w:rsidR="009102A7" w:rsidRPr="00576AF8" w:rsidRDefault="009102A7" w:rsidP="009F6B78">
            <w:pPr>
              <w:spacing w:line="360" w:lineRule="auto"/>
              <w:rPr>
                <w:sz w:val="22"/>
                <w:szCs w:val="22"/>
              </w:rPr>
            </w:pPr>
            <w:r w:rsidRPr="00576AF8">
              <w:rPr>
                <w:rFonts w:eastAsia="Calibri"/>
                <w:sz w:val="22"/>
                <w:szCs w:val="22"/>
              </w:rPr>
              <w:t>Notificación de incidentes y planificación de respuesta</w:t>
            </w:r>
          </w:p>
        </w:tc>
      </w:tr>
      <w:tr w:rsidR="009102A7" w:rsidRPr="00576AF8" w14:paraId="0E9075B7" w14:textId="77777777" w:rsidTr="009F6B78">
        <w:trPr>
          <w:trHeight w:val="285"/>
          <w:jc w:val="right"/>
        </w:trPr>
        <w:tc>
          <w:tcPr>
            <w:tcW w:w="2335" w:type="dxa"/>
            <w:vAlign w:val="center"/>
          </w:tcPr>
          <w:p w14:paraId="4BE9CF88" w14:textId="77777777" w:rsidR="009102A7" w:rsidRPr="00576AF8" w:rsidRDefault="009102A7" w:rsidP="009F6B78">
            <w:pPr>
              <w:spacing w:line="360" w:lineRule="auto"/>
              <w:rPr>
                <w:sz w:val="22"/>
                <w:szCs w:val="22"/>
              </w:rPr>
            </w:pPr>
            <w:r w:rsidRPr="00576AF8">
              <w:rPr>
                <w:rFonts w:eastAsia="Calibri"/>
                <w:sz w:val="22"/>
                <w:szCs w:val="22"/>
              </w:rPr>
              <w:t>NERC CIP-009-6</w:t>
            </w:r>
          </w:p>
        </w:tc>
        <w:tc>
          <w:tcPr>
            <w:tcW w:w="5457" w:type="dxa"/>
            <w:vAlign w:val="center"/>
          </w:tcPr>
          <w:p w14:paraId="63CB6FE4" w14:textId="77777777" w:rsidR="009102A7" w:rsidRPr="00576AF8" w:rsidRDefault="009102A7" w:rsidP="009F6B78">
            <w:pPr>
              <w:spacing w:line="360" w:lineRule="auto"/>
              <w:rPr>
                <w:sz w:val="22"/>
                <w:szCs w:val="22"/>
              </w:rPr>
            </w:pPr>
            <w:r w:rsidRPr="00576AF8">
              <w:rPr>
                <w:rFonts w:eastAsia="Calibri"/>
                <w:sz w:val="22"/>
                <w:szCs w:val="22"/>
              </w:rPr>
              <w:t>Ciberseguridad - Planes de recuperación para sistemas cibernéticos BES (Bulk Electric System)</w:t>
            </w:r>
          </w:p>
        </w:tc>
      </w:tr>
      <w:tr w:rsidR="009102A7" w:rsidRPr="00576AF8" w14:paraId="53F72B40" w14:textId="77777777" w:rsidTr="009F6B78">
        <w:trPr>
          <w:trHeight w:val="285"/>
          <w:jc w:val="right"/>
        </w:trPr>
        <w:tc>
          <w:tcPr>
            <w:tcW w:w="2335" w:type="dxa"/>
            <w:vAlign w:val="center"/>
          </w:tcPr>
          <w:p w14:paraId="5700B8EF" w14:textId="77777777" w:rsidR="009102A7" w:rsidRPr="00576AF8" w:rsidRDefault="009102A7" w:rsidP="009F6B78">
            <w:pPr>
              <w:spacing w:line="360" w:lineRule="auto"/>
              <w:rPr>
                <w:sz w:val="22"/>
                <w:szCs w:val="22"/>
              </w:rPr>
            </w:pPr>
            <w:r w:rsidRPr="00576AF8">
              <w:rPr>
                <w:rFonts w:eastAsia="Calibri"/>
                <w:sz w:val="22"/>
                <w:szCs w:val="22"/>
              </w:rPr>
              <w:t>NERC CIP-010-2</w:t>
            </w:r>
          </w:p>
        </w:tc>
        <w:tc>
          <w:tcPr>
            <w:tcW w:w="5457" w:type="dxa"/>
            <w:vAlign w:val="center"/>
          </w:tcPr>
          <w:p w14:paraId="51C37F4A" w14:textId="77777777" w:rsidR="009102A7" w:rsidRPr="00576AF8" w:rsidRDefault="009102A7" w:rsidP="009F6B78">
            <w:pPr>
              <w:spacing w:line="360" w:lineRule="auto"/>
              <w:rPr>
                <w:sz w:val="22"/>
                <w:szCs w:val="22"/>
              </w:rPr>
            </w:pPr>
            <w:r w:rsidRPr="00576AF8">
              <w:rPr>
                <w:rFonts w:eastAsia="Calibri"/>
                <w:sz w:val="22"/>
                <w:szCs w:val="22"/>
              </w:rPr>
              <w:t>Gestión de cambios de configuración y vulnerabilidad</w:t>
            </w:r>
          </w:p>
        </w:tc>
      </w:tr>
      <w:tr w:rsidR="009102A7" w:rsidRPr="00576AF8" w14:paraId="7A7E85E1" w14:textId="77777777" w:rsidTr="009F6B78">
        <w:trPr>
          <w:trHeight w:val="285"/>
          <w:jc w:val="right"/>
        </w:trPr>
        <w:tc>
          <w:tcPr>
            <w:tcW w:w="2335" w:type="dxa"/>
            <w:vAlign w:val="center"/>
          </w:tcPr>
          <w:p w14:paraId="4C430945" w14:textId="77777777" w:rsidR="009102A7" w:rsidRPr="00576AF8" w:rsidRDefault="009102A7" w:rsidP="009F6B78">
            <w:pPr>
              <w:spacing w:line="360" w:lineRule="auto"/>
              <w:rPr>
                <w:sz w:val="22"/>
                <w:szCs w:val="22"/>
              </w:rPr>
            </w:pPr>
            <w:r w:rsidRPr="00576AF8">
              <w:rPr>
                <w:rFonts w:eastAsia="Calibri"/>
                <w:sz w:val="22"/>
                <w:szCs w:val="22"/>
              </w:rPr>
              <w:t>NERC CIP-011-2</w:t>
            </w:r>
          </w:p>
        </w:tc>
        <w:tc>
          <w:tcPr>
            <w:tcW w:w="5457" w:type="dxa"/>
            <w:vAlign w:val="center"/>
          </w:tcPr>
          <w:p w14:paraId="42C77FCC" w14:textId="77777777" w:rsidR="009102A7" w:rsidRPr="00576AF8" w:rsidRDefault="009102A7" w:rsidP="009F6B78">
            <w:pPr>
              <w:spacing w:line="360" w:lineRule="auto"/>
              <w:rPr>
                <w:sz w:val="22"/>
                <w:szCs w:val="22"/>
              </w:rPr>
            </w:pPr>
            <w:r w:rsidRPr="00576AF8">
              <w:rPr>
                <w:rFonts w:eastAsia="Calibri"/>
                <w:sz w:val="22"/>
                <w:szCs w:val="22"/>
              </w:rPr>
              <w:t>Protección de la información</w:t>
            </w:r>
          </w:p>
        </w:tc>
      </w:tr>
      <w:tr w:rsidR="009102A7" w:rsidRPr="00576AF8" w14:paraId="418DD5AF" w14:textId="77777777" w:rsidTr="009F6B78">
        <w:trPr>
          <w:trHeight w:val="285"/>
          <w:jc w:val="right"/>
        </w:trPr>
        <w:tc>
          <w:tcPr>
            <w:tcW w:w="2335" w:type="dxa"/>
            <w:vAlign w:val="center"/>
          </w:tcPr>
          <w:p w14:paraId="62E30199" w14:textId="77777777" w:rsidR="009102A7" w:rsidRPr="00576AF8" w:rsidRDefault="009102A7" w:rsidP="009F6B78">
            <w:pPr>
              <w:spacing w:line="360" w:lineRule="auto"/>
              <w:rPr>
                <w:sz w:val="22"/>
                <w:szCs w:val="22"/>
              </w:rPr>
            </w:pPr>
            <w:r w:rsidRPr="00576AF8">
              <w:rPr>
                <w:rFonts w:eastAsia="Calibri"/>
                <w:sz w:val="22"/>
                <w:szCs w:val="22"/>
              </w:rPr>
              <w:t>IEC 62443-1-1</w:t>
            </w:r>
          </w:p>
        </w:tc>
        <w:tc>
          <w:tcPr>
            <w:tcW w:w="5457" w:type="dxa"/>
            <w:vAlign w:val="center"/>
          </w:tcPr>
          <w:p w14:paraId="39C123F9" w14:textId="77777777" w:rsidR="009102A7" w:rsidRPr="00576AF8" w:rsidRDefault="009102A7" w:rsidP="009F6B78">
            <w:pPr>
              <w:spacing w:line="360" w:lineRule="auto"/>
              <w:rPr>
                <w:sz w:val="22"/>
                <w:szCs w:val="22"/>
              </w:rPr>
            </w:pPr>
            <w:r w:rsidRPr="00576AF8">
              <w:rPr>
                <w:rFonts w:eastAsia="Calibri"/>
                <w:sz w:val="22"/>
                <w:szCs w:val="22"/>
              </w:rPr>
              <w:t>Terminología, conceptos y modelos</w:t>
            </w:r>
          </w:p>
        </w:tc>
      </w:tr>
      <w:tr w:rsidR="009102A7" w:rsidRPr="00576AF8" w14:paraId="386572CE" w14:textId="77777777" w:rsidTr="009F6B78">
        <w:trPr>
          <w:trHeight w:val="285"/>
          <w:jc w:val="right"/>
        </w:trPr>
        <w:tc>
          <w:tcPr>
            <w:tcW w:w="2335" w:type="dxa"/>
            <w:vAlign w:val="center"/>
          </w:tcPr>
          <w:p w14:paraId="794B6653" w14:textId="77777777" w:rsidR="009102A7" w:rsidRPr="00576AF8" w:rsidRDefault="009102A7" w:rsidP="009F6B78">
            <w:pPr>
              <w:spacing w:line="360" w:lineRule="auto"/>
              <w:rPr>
                <w:sz w:val="22"/>
                <w:szCs w:val="22"/>
              </w:rPr>
            </w:pPr>
            <w:r w:rsidRPr="00576AF8">
              <w:rPr>
                <w:rFonts w:eastAsia="Calibri"/>
                <w:sz w:val="22"/>
                <w:szCs w:val="22"/>
              </w:rPr>
              <w:t>IEC 62443-3-3</w:t>
            </w:r>
          </w:p>
        </w:tc>
        <w:tc>
          <w:tcPr>
            <w:tcW w:w="5457" w:type="dxa"/>
            <w:vAlign w:val="center"/>
          </w:tcPr>
          <w:p w14:paraId="5CA1707E" w14:textId="77777777" w:rsidR="009102A7" w:rsidRPr="00576AF8" w:rsidRDefault="009102A7" w:rsidP="009F6B78">
            <w:pPr>
              <w:spacing w:line="360" w:lineRule="auto"/>
              <w:rPr>
                <w:sz w:val="22"/>
                <w:szCs w:val="22"/>
              </w:rPr>
            </w:pPr>
            <w:r w:rsidRPr="00576AF8">
              <w:rPr>
                <w:rFonts w:eastAsia="Calibri"/>
                <w:sz w:val="22"/>
                <w:szCs w:val="22"/>
              </w:rPr>
              <w:t>Requisitos de seguridad del sistema y niveles de seguridad</w:t>
            </w:r>
          </w:p>
        </w:tc>
      </w:tr>
      <w:tr w:rsidR="009102A7" w:rsidRPr="00576AF8" w14:paraId="77401121" w14:textId="77777777" w:rsidTr="009F6B78">
        <w:trPr>
          <w:trHeight w:val="285"/>
          <w:jc w:val="right"/>
        </w:trPr>
        <w:tc>
          <w:tcPr>
            <w:tcW w:w="2335" w:type="dxa"/>
            <w:vAlign w:val="center"/>
          </w:tcPr>
          <w:p w14:paraId="26F22B4B" w14:textId="77777777" w:rsidR="009102A7" w:rsidRPr="00576AF8" w:rsidRDefault="009102A7" w:rsidP="009F6B78">
            <w:pPr>
              <w:spacing w:line="360" w:lineRule="auto"/>
              <w:rPr>
                <w:sz w:val="22"/>
                <w:szCs w:val="22"/>
              </w:rPr>
            </w:pPr>
            <w:r w:rsidRPr="00576AF8">
              <w:rPr>
                <w:rFonts w:eastAsia="Calibri"/>
                <w:sz w:val="22"/>
                <w:szCs w:val="22"/>
              </w:rPr>
              <w:t>IEC 62443-4-1</w:t>
            </w:r>
          </w:p>
        </w:tc>
        <w:tc>
          <w:tcPr>
            <w:tcW w:w="5457" w:type="dxa"/>
            <w:vAlign w:val="center"/>
          </w:tcPr>
          <w:p w14:paraId="3373A9A6" w14:textId="77777777" w:rsidR="009102A7" w:rsidRPr="00576AF8" w:rsidRDefault="009102A7" w:rsidP="009F6B78">
            <w:pPr>
              <w:spacing w:line="360" w:lineRule="auto"/>
              <w:rPr>
                <w:sz w:val="22"/>
                <w:szCs w:val="22"/>
              </w:rPr>
            </w:pPr>
            <w:r w:rsidRPr="00576AF8">
              <w:rPr>
                <w:rFonts w:eastAsia="Calibri"/>
                <w:sz w:val="22"/>
                <w:szCs w:val="22"/>
              </w:rPr>
              <w:t>Requisitos del ciclo de vida del desarrollo de la seguridad del producto</w:t>
            </w:r>
          </w:p>
        </w:tc>
      </w:tr>
      <w:tr w:rsidR="009102A7" w:rsidRPr="00576AF8" w14:paraId="4E2196AA" w14:textId="77777777" w:rsidTr="009F6B78">
        <w:trPr>
          <w:trHeight w:val="285"/>
          <w:jc w:val="right"/>
        </w:trPr>
        <w:tc>
          <w:tcPr>
            <w:tcW w:w="2335" w:type="dxa"/>
            <w:vAlign w:val="center"/>
          </w:tcPr>
          <w:p w14:paraId="6FDE184B" w14:textId="77777777" w:rsidR="009102A7" w:rsidRPr="00576AF8" w:rsidRDefault="009102A7" w:rsidP="009F6B78">
            <w:pPr>
              <w:spacing w:line="360" w:lineRule="auto"/>
              <w:rPr>
                <w:sz w:val="22"/>
                <w:szCs w:val="22"/>
              </w:rPr>
            </w:pPr>
            <w:r w:rsidRPr="00576AF8">
              <w:rPr>
                <w:rFonts w:eastAsia="Calibri"/>
                <w:sz w:val="22"/>
                <w:szCs w:val="22"/>
              </w:rPr>
              <w:t>ISO 27001</w:t>
            </w:r>
          </w:p>
        </w:tc>
        <w:tc>
          <w:tcPr>
            <w:tcW w:w="5457" w:type="dxa"/>
            <w:vAlign w:val="center"/>
          </w:tcPr>
          <w:p w14:paraId="3656F872" w14:textId="77777777" w:rsidR="009102A7" w:rsidRPr="00576AF8" w:rsidRDefault="009102A7" w:rsidP="009F6B78">
            <w:pPr>
              <w:spacing w:line="360" w:lineRule="auto"/>
              <w:rPr>
                <w:sz w:val="22"/>
                <w:szCs w:val="22"/>
              </w:rPr>
            </w:pPr>
            <w:r w:rsidRPr="00576AF8">
              <w:rPr>
                <w:rFonts w:eastAsia="Calibri"/>
                <w:sz w:val="22"/>
                <w:szCs w:val="22"/>
              </w:rPr>
              <w:t>Sistemas de gestión de seguridad de la información.</w:t>
            </w:r>
          </w:p>
          <w:p w14:paraId="4186095A" w14:textId="77777777" w:rsidR="009102A7" w:rsidRPr="00576AF8" w:rsidRDefault="009102A7" w:rsidP="009F6B78">
            <w:pPr>
              <w:keepNext/>
              <w:spacing w:line="360" w:lineRule="auto"/>
              <w:rPr>
                <w:sz w:val="22"/>
                <w:szCs w:val="22"/>
              </w:rPr>
            </w:pPr>
            <w:r w:rsidRPr="00576AF8">
              <w:rPr>
                <w:rFonts w:eastAsia="Calibri"/>
                <w:sz w:val="22"/>
                <w:szCs w:val="22"/>
              </w:rPr>
              <w:t>Se refiere a La Norma Técnica Ecuatoriana NTE INEN-ISO/IEC 27000 para la gestión de la seguridad de la información conforme el esquema gubernamental de seguridad de la información que es de aplicación obligatoria para las Instituciones públicas</w:t>
            </w:r>
          </w:p>
        </w:tc>
      </w:tr>
    </w:tbl>
    <w:p w14:paraId="799DD0D8" w14:textId="77777777" w:rsidR="009102A7" w:rsidRPr="00576AF8" w:rsidRDefault="009102A7" w:rsidP="009102A7">
      <w:pPr>
        <w:spacing w:before="120"/>
        <w:jc w:val="center"/>
        <w:rPr>
          <w:b/>
          <w:sz w:val="22"/>
          <w:szCs w:val="22"/>
        </w:rPr>
      </w:pPr>
    </w:p>
    <w:p w14:paraId="3661ED8C" w14:textId="77777777" w:rsidR="009102A7" w:rsidRPr="00576AF8" w:rsidRDefault="009102A7" w:rsidP="009102A7">
      <w:pPr>
        <w:spacing w:before="120"/>
        <w:jc w:val="center"/>
        <w:rPr>
          <w:b/>
          <w:sz w:val="22"/>
          <w:szCs w:val="22"/>
        </w:rPr>
      </w:pPr>
    </w:p>
    <w:p w14:paraId="65E2F018" w14:textId="77777777" w:rsidR="009102A7" w:rsidRPr="00576AF8" w:rsidRDefault="009102A7" w:rsidP="009102A7">
      <w:pPr>
        <w:spacing w:before="120"/>
        <w:jc w:val="center"/>
        <w:rPr>
          <w:b/>
          <w:sz w:val="22"/>
          <w:szCs w:val="22"/>
        </w:rPr>
      </w:pPr>
    </w:p>
    <w:p w14:paraId="4E21B98F" w14:textId="77777777" w:rsidR="009102A7" w:rsidRPr="00576AF8" w:rsidRDefault="009102A7" w:rsidP="009102A7">
      <w:pPr>
        <w:spacing w:before="120"/>
        <w:jc w:val="center"/>
        <w:rPr>
          <w:b/>
          <w:sz w:val="22"/>
          <w:szCs w:val="22"/>
        </w:rPr>
      </w:pPr>
      <w:r w:rsidRPr="00576AF8">
        <w:rPr>
          <w:b/>
          <w:sz w:val="22"/>
          <w:szCs w:val="22"/>
        </w:rPr>
        <w:t xml:space="preserve">Tabla </w:t>
      </w:r>
      <w:r w:rsidRPr="00576AF8">
        <w:rPr>
          <w:b/>
          <w:sz w:val="22"/>
          <w:szCs w:val="22"/>
        </w:rPr>
        <w:fldChar w:fldCharType="begin"/>
      </w:r>
      <w:r w:rsidRPr="00576AF8">
        <w:rPr>
          <w:b/>
          <w:sz w:val="22"/>
          <w:szCs w:val="22"/>
        </w:rPr>
        <w:instrText xml:space="preserve"> SEQ Tabla \* ARABIC </w:instrText>
      </w:r>
      <w:r w:rsidRPr="00576AF8">
        <w:rPr>
          <w:b/>
          <w:sz w:val="22"/>
          <w:szCs w:val="22"/>
        </w:rPr>
        <w:fldChar w:fldCharType="separate"/>
      </w:r>
      <w:r w:rsidRPr="00576AF8">
        <w:rPr>
          <w:b/>
          <w:noProof/>
          <w:sz w:val="22"/>
          <w:szCs w:val="22"/>
        </w:rPr>
        <w:t>3</w:t>
      </w:r>
      <w:r w:rsidRPr="00576AF8">
        <w:rPr>
          <w:b/>
          <w:noProof/>
          <w:sz w:val="22"/>
          <w:szCs w:val="22"/>
        </w:rPr>
        <w:fldChar w:fldCharType="end"/>
      </w:r>
      <w:r w:rsidRPr="00576AF8">
        <w:rPr>
          <w:b/>
          <w:sz w:val="22"/>
          <w:szCs w:val="22"/>
        </w:rPr>
        <w:t>. Principales Estándares de Ciberseguridad</w:t>
      </w:r>
    </w:p>
    <w:p w14:paraId="7ED891EA" w14:textId="77777777" w:rsidR="009102A7" w:rsidRPr="00576AF8" w:rsidRDefault="009102A7" w:rsidP="009102A7">
      <w:pPr>
        <w:ind w:left="720" w:hanging="720"/>
        <w:jc w:val="left"/>
        <w:outlineLvl w:val="2"/>
        <w:rPr>
          <w:b/>
          <w:sz w:val="22"/>
          <w:szCs w:val="22"/>
        </w:rPr>
      </w:pPr>
      <w:r w:rsidRPr="00576AF8">
        <w:rPr>
          <w:b/>
          <w:sz w:val="22"/>
          <w:szCs w:val="22"/>
        </w:rPr>
        <w:t>1.4.1.4.3 Control de Identificación</w:t>
      </w:r>
    </w:p>
    <w:p w14:paraId="5562BE95"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El sistema SCADA/EMS no utilizará cuentas genéricas, cuentas de invitado, cuentas de desarrollo y cuentas predeterminadas proporcionadas por componentes de hardware, sistemas operativos o proveedores de bases de datos. Todas las cuentas de usuario locales predeterminadas conocidas se desactivarán en todas las estaciones de trabajo y servidores del sistema SCADA/EMS.</w:t>
      </w:r>
    </w:p>
    <w:p w14:paraId="48364EA4"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 xml:space="preserve">Sin embargo, se pueden crear ciertas cuentas de </w:t>
      </w:r>
      <w:r w:rsidR="00C774E7" w:rsidRPr="00576AF8">
        <w:rPr>
          <w:sz w:val="22"/>
          <w:szCs w:val="22"/>
        </w:rPr>
        <w:t>administración</w:t>
      </w:r>
      <w:r w:rsidR="00C774E7" w:rsidRPr="00576AF8" w:rsidDel="00C774E7">
        <w:rPr>
          <w:sz w:val="22"/>
          <w:szCs w:val="22"/>
        </w:rPr>
        <w:t xml:space="preserve"> </w:t>
      </w:r>
      <w:r w:rsidRPr="00576AF8">
        <w:rPr>
          <w:sz w:val="22"/>
          <w:szCs w:val="22"/>
        </w:rPr>
        <w:t xml:space="preserve">durante el proceso de instalación para permitir la configuración exitosa del software del sistema. Estas cuentas no son necesarias para que el software funcione y se desactivarán antes de la puesta en marcha y luego se habilitarán bajo pedido expreso, por ejemplo, para actividades de actualización y </w:t>
      </w:r>
      <w:r w:rsidR="00C774E7" w:rsidRPr="00576AF8">
        <w:rPr>
          <w:sz w:val="22"/>
          <w:szCs w:val="22"/>
        </w:rPr>
        <w:t>administración</w:t>
      </w:r>
      <w:r w:rsidR="00C774E7" w:rsidRPr="00576AF8" w:rsidDel="00C774E7">
        <w:rPr>
          <w:sz w:val="22"/>
          <w:szCs w:val="22"/>
        </w:rPr>
        <w:t xml:space="preserve"> </w:t>
      </w:r>
      <w:r w:rsidRPr="00576AF8">
        <w:rPr>
          <w:sz w:val="22"/>
          <w:szCs w:val="22"/>
        </w:rPr>
        <w:t>del software.</w:t>
      </w:r>
    </w:p>
    <w:p w14:paraId="6673D4B9"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A cada usuario del sistema SCADA/EMS se le proporcionará una cuenta única a través de la cual se gestionará todo el acceso, tanto en el sistema operativo como en el propio software SCADA/EMS.  Este acceso será configurado de tal forma, que le permita al usuario cumplir con sus funciones y responsabilidades dentro del SCADA/EMS.</w:t>
      </w:r>
    </w:p>
    <w:p w14:paraId="04B4B3AC" w14:textId="77777777" w:rsidR="009102A7" w:rsidRPr="00576AF8" w:rsidRDefault="009102A7" w:rsidP="009102A7">
      <w:pPr>
        <w:ind w:left="2121" w:right="4" w:hanging="420"/>
        <w:rPr>
          <w:sz w:val="22"/>
          <w:szCs w:val="22"/>
        </w:rPr>
      </w:pPr>
      <w:r w:rsidRPr="00576AF8">
        <w:rPr>
          <w:sz w:val="22"/>
          <w:szCs w:val="22"/>
        </w:rPr>
        <w:t>d.</w:t>
      </w:r>
      <w:r w:rsidRPr="00576AF8">
        <w:rPr>
          <w:sz w:val="22"/>
          <w:szCs w:val="22"/>
        </w:rPr>
        <w:tab/>
        <w:t>Se debe exigir el uso de contraseñas seguras en todo el entorno. La complejidad de la contraseña será totalmente configurable y administrada mediante políticas centralizadas.</w:t>
      </w:r>
    </w:p>
    <w:p w14:paraId="235D87A1" w14:textId="77777777" w:rsidR="009102A7" w:rsidRPr="00576AF8" w:rsidRDefault="009102A7" w:rsidP="009102A7">
      <w:pPr>
        <w:ind w:left="2121" w:right="4" w:hanging="420"/>
        <w:rPr>
          <w:sz w:val="22"/>
          <w:szCs w:val="22"/>
        </w:rPr>
      </w:pPr>
      <w:r w:rsidRPr="00576AF8">
        <w:rPr>
          <w:sz w:val="22"/>
          <w:szCs w:val="22"/>
        </w:rPr>
        <w:t>e.</w:t>
      </w:r>
      <w:r w:rsidRPr="00576AF8">
        <w:rPr>
          <w:sz w:val="22"/>
          <w:szCs w:val="22"/>
        </w:rPr>
        <w:tab/>
        <w:t>Todas las contraseñas se almacenarán de manera segura según las mejores prácticas de la industria. Los usuarios pueden cambiar la contraseña de su cuenta y el cambio se propagará a través de todo el sistema sin necesidad de la intervención del administrador del sistema. No se almacenarán contraseñas codificadas dentro del software del sistema SCADA/EMS.</w:t>
      </w:r>
    </w:p>
    <w:p w14:paraId="56290387" w14:textId="77777777" w:rsidR="009102A7" w:rsidRPr="00576AF8" w:rsidRDefault="009102A7" w:rsidP="009102A7">
      <w:pPr>
        <w:spacing w:line="360" w:lineRule="auto"/>
        <w:ind w:left="1701"/>
        <w:rPr>
          <w:rFonts w:eastAsia="Calibri"/>
          <w:sz w:val="22"/>
          <w:szCs w:val="22"/>
        </w:rPr>
      </w:pPr>
      <w:r w:rsidRPr="00576AF8">
        <w:rPr>
          <w:rFonts w:eastAsia="Calibri"/>
          <w:sz w:val="22"/>
          <w:szCs w:val="22"/>
        </w:rPr>
        <w:t>Las políticas de contraseña predeterminadas recomendadas son las siguientes:</w:t>
      </w:r>
    </w:p>
    <w:tbl>
      <w:tblPr>
        <w:tblW w:w="7797" w:type="dxa"/>
        <w:jc w:val="right"/>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000" w:firstRow="0" w:lastRow="0" w:firstColumn="0" w:lastColumn="0" w:noHBand="0" w:noVBand="0"/>
      </w:tblPr>
      <w:tblGrid>
        <w:gridCol w:w="4912"/>
        <w:gridCol w:w="2885"/>
      </w:tblGrid>
      <w:tr w:rsidR="009102A7" w:rsidRPr="00576AF8" w14:paraId="16387174" w14:textId="77777777" w:rsidTr="009F6B78">
        <w:trPr>
          <w:trHeight w:val="360"/>
          <w:jc w:val="right"/>
        </w:trPr>
        <w:tc>
          <w:tcPr>
            <w:tcW w:w="4912" w:type="dxa"/>
            <w:shd w:val="clear" w:color="auto" w:fill="DBE5F1"/>
            <w:vAlign w:val="center"/>
          </w:tcPr>
          <w:p w14:paraId="7E793C4A" w14:textId="77777777" w:rsidR="009102A7" w:rsidRPr="00576AF8" w:rsidRDefault="009102A7" w:rsidP="009F6B78">
            <w:pPr>
              <w:spacing w:line="360" w:lineRule="auto"/>
              <w:rPr>
                <w:sz w:val="22"/>
                <w:szCs w:val="22"/>
              </w:rPr>
            </w:pPr>
            <w:r w:rsidRPr="00576AF8">
              <w:rPr>
                <w:rFonts w:eastAsia="Calibri"/>
                <w:sz w:val="22"/>
                <w:szCs w:val="22"/>
              </w:rPr>
              <w:t>Configuración de seguridad/Políticas de cuenta/Política de contraseñas</w:t>
            </w:r>
          </w:p>
        </w:tc>
        <w:tc>
          <w:tcPr>
            <w:tcW w:w="2885" w:type="dxa"/>
            <w:shd w:val="clear" w:color="auto" w:fill="DBE5F1"/>
            <w:vAlign w:val="center"/>
          </w:tcPr>
          <w:p w14:paraId="0C0AD274" w14:textId="77777777" w:rsidR="009102A7" w:rsidRPr="00576AF8" w:rsidRDefault="009102A7" w:rsidP="009F6B78">
            <w:pPr>
              <w:spacing w:line="360" w:lineRule="auto"/>
              <w:rPr>
                <w:sz w:val="22"/>
                <w:szCs w:val="22"/>
              </w:rPr>
            </w:pPr>
            <w:r w:rsidRPr="00576AF8">
              <w:rPr>
                <w:rFonts w:eastAsia="Calibri"/>
                <w:sz w:val="22"/>
                <w:szCs w:val="22"/>
              </w:rPr>
              <w:t>Configuración Predeterminada</w:t>
            </w:r>
          </w:p>
        </w:tc>
      </w:tr>
      <w:tr w:rsidR="009102A7" w:rsidRPr="00576AF8" w14:paraId="182719F2" w14:textId="77777777" w:rsidTr="009F6B78">
        <w:trPr>
          <w:trHeight w:val="20"/>
          <w:jc w:val="right"/>
        </w:trPr>
        <w:tc>
          <w:tcPr>
            <w:tcW w:w="4912" w:type="dxa"/>
            <w:vAlign w:val="center"/>
          </w:tcPr>
          <w:p w14:paraId="0E65234B" w14:textId="77777777" w:rsidR="009102A7" w:rsidRPr="00576AF8" w:rsidRDefault="009102A7" w:rsidP="009F6B78">
            <w:pPr>
              <w:spacing w:line="360" w:lineRule="auto"/>
              <w:rPr>
                <w:sz w:val="22"/>
                <w:szCs w:val="22"/>
              </w:rPr>
            </w:pPr>
            <w:r w:rsidRPr="00576AF8">
              <w:rPr>
                <w:rFonts w:eastAsia="Calibri"/>
                <w:sz w:val="22"/>
                <w:szCs w:val="22"/>
              </w:rPr>
              <w:t>Cumplimiento de Historial de Contraseñas</w:t>
            </w:r>
          </w:p>
        </w:tc>
        <w:tc>
          <w:tcPr>
            <w:tcW w:w="2885" w:type="dxa"/>
            <w:vAlign w:val="center"/>
          </w:tcPr>
          <w:p w14:paraId="5907B7E8" w14:textId="77777777" w:rsidR="009102A7" w:rsidRPr="00576AF8" w:rsidRDefault="009102A7" w:rsidP="009F6B78">
            <w:pPr>
              <w:spacing w:line="360" w:lineRule="auto"/>
              <w:rPr>
                <w:sz w:val="22"/>
                <w:szCs w:val="22"/>
              </w:rPr>
            </w:pPr>
            <w:r w:rsidRPr="00576AF8">
              <w:rPr>
                <w:rFonts w:eastAsia="Calibri"/>
                <w:sz w:val="22"/>
                <w:szCs w:val="22"/>
              </w:rPr>
              <w:t>24 contraseñas recordadas</w:t>
            </w:r>
          </w:p>
        </w:tc>
      </w:tr>
      <w:tr w:rsidR="009102A7" w:rsidRPr="00576AF8" w14:paraId="27656370" w14:textId="77777777" w:rsidTr="009F6B78">
        <w:trPr>
          <w:trHeight w:val="20"/>
          <w:jc w:val="right"/>
        </w:trPr>
        <w:tc>
          <w:tcPr>
            <w:tcW w:w="4912" w:type="dxa"/>
            <w:vAlign w:val="center"/>
          </w:tcPr>
          <w:p w14:paraId="2F1B2A83" w14:textId="77777777" w:rsidR="009102A7" w:rsidRPr="00576AF8" w:rsidRDefault="009102A7" w:rsidP="009F6B78">
            <w:pPr>
              <w:spacing w:line="360" w:lineRule="auto"/>
              <w:rPr>
                <w:sz w:val="22"/>
                <w:szCs w:val="22"/>
              </w:rPr>
            </w:pPr>
            <w:r w:rsidRPr="00576AF8">
              <w:rPr>
                <w:rFonts w:eastAsia="Calibri"/>
                <w:sz w:val="22"/>
                <w:szCs w:val="22"/>
              </w:rPr>
              <w:t>Antigüedad máxima de la contraseña</w:t>
            </w:r>
          </w:p>
        </w:tc>
        <w:tc>
          <w:tcPr>
            <w:tcW w:w="2885" w:type="dxa"/>
            <w:vAlign w:val="center"/>
          </w:tcPr>
          <w:p w14:paraId="403AB603" w14:textId="77777777" w:rsidR="009102A7" w:rsidRPr="00576AF8" w:rsidRDefault="009102A7" w:rsidP="009F6B78">
            <w:pPr>
              <w:spacing w:line="360" w:lineRule="auto"/>
              <w:rPr>
                <w:sz w:val="22"/>
                <w:szCs w:val="22"/>
              </w:rPr>
            </w:pPr>
            <w:r w:rsidRPr="00576AF8">
              <w:rPr>
                <w:rFonts w:eastAsia="Calibri"/>
                <w:sz w:val="22"/>
                <w:szCs w:val="22"/>
              </w:rPr>
              <w:t>30 días</w:t>
            </w:r>
          </w:p>
        </w:tc>
      </w:tr>
      <w:tr w:rsidR="009102A7" w:rsidRPr="00576AF8" w14:paraId="570CEE0C" w14:textId="77777777" w:rsidTr="009F6B78">
        <w:trPr>
          <w:trHeight w:val="20"/>
          <w:jc w:val="right"/>
        </w:trPr>
        <w:tc>
          <w:tcPr>
            <w:tcW w:w="4912" w:type="dxa"/>
            <w:vAlign w:val="center"/>
          </w:tcPr>
          <w:p w14:paraId="77A48B10" w14:textId="77777777" w:rsidR="009102A7" w:rsidRPr="00576AF8" w:rsidRDefault="009102A7" w:rsidP="009F6B78">
            <w:pPr>
              <w:spacing w:line="360" w:lineRule="auto"/>
              <w:rPr>
                <w:sz w:val="22"/>
                <w:szCs w:val="22"/>
              </w:rPr>
            </w:pPr>
            <w:r w:rsidRPr="00576AF8">
              <w:rPr>
                <w:rFonts w:eastAsia="Calibri"/>
                <w:sz w:val="22"/>
                <w:szCs w:val="22"/>
              </w:rPr>
              <w:t>Antigüedad mínima de la contraseña</w:t>
            </w:r>
          </w:p>
        </w:tc>
        <w:tc>
          <w:tcPr>
            <w:tcW w:w="2885" w:type="dxa"/>
            <w:vAlign w:val="center"/>
          </w:tcPr>
          <w:p w14:paraId="7E77DAAC" w14:textId="77777777" w:rsidR="009102A7" w:rsidRPr="00576AF8" w:rsidRDefault="009102A7" w:rsidP="009F6B78">
            <w:pPr>
              <w:spacing w:line="360" w:lineRule="auto"/>
              <w:rPr>
                <w:sz w:val="22"/>
                <w:szCs w:val="22"/>
              </w:rPr>
            </w:pPr>
            <w:r w:rsidRPr="00576AF8">
              <w:rPr>
                <w:rFonts w:eastAsia="Calibri"/>
                <w:sz w:val="22"/>
                <w:szCs w:val="22"/>
              </w:rPr>
              <w:t>15 días</w:t>
            </w:r>
          </w:p>
        </w:tc>
      </w:tr>
      <w:tr w:rsidR="009102A7" w:rsidRPr="00576AF8" w14:paraId="7EB98422" w14:textId="77777777" w:rsidTr="009F6B78">
        <w:trPr>
          <w:trHeight w:val="20"/>
          <w:jc w:val="right"/>
        </w:trPr>
        <w:tc>
          <w:tcPr>
            <w:tcW w:w="4912" w:type="dxa"/>
            <w:vAlign w:val="center"/>
          </w:tcPr>
          <w:p w14:paraId="26151C0D" w14:textId="77777777" w:rsidR="009102A7" w:rsidRPr="00576AF8" w:rsidRDefault="009102A7" w:rsidP="009F6B78">
            <w:pPr>
              <w:spacing w:line="360" w:lineRule="auto"/>
              <w:rPr>
                <w:sz w:val="22"/>
                <w:szCs w:val="22"/>
              </w:rPr>
            </w:pPr>
            <w:r w:rsidRPr="00576AF8">
              <w:rPr>
                <w:rFonts w:eastAsia="Calibri"/>
                <w:sz w:val="22"/>
                <w:szCs w:val="22"/>
              </w:rPr>
              <w:t>Número mínimo de caracteres</w:t>
            </w:r>
          </w:p>
        </w:tc>
        <w:tc>
          <w:tcPr>
            <w:tcW w:w="2885" w:type="dxa"/>
            <w:vAlign w:val="center"/>
          </w:tcPr>
          <w:p w14:paraId="12E1E276" w14:textId="77777777" w:rsidR="009102A7" w:rsidRPr="00576AF8" w:rsidRDefault="009102A7" w:rsidP="009F6B78">
            <w:pPr>
              <w:spacing w:line="360" w:lineRule="auto"/>
              <w:rPr>
                <w:sz w:val="22"/>
                <w:szCs w:val="22"/>
              </w:rPr>
            </w:pPr>
            <w:r w:rsidRPr="00576AF8">
              <w:rPr>
                <w:rFonts w:eastAsia="Calibri"/>
                <w:sz w:val="22"/>
                <w:szCs w:val="22"/>
              </w:rPr>
              <w:t>8 caracteres</w:t>
            </w:r>
          </w:p>
        </w:tc>
      </w:tr>
      <w:tr w:rsidR="009102A7" w:rsidRPr="00576AF8" w14:paraId="2C7FBE26" w14:textId="77777777" w:rsidTr="009F6B78">
        <w:trPr>
          <w:trHeight w:val="20"/>
          <w:jc w:val="right"/>
        </w:trPr>
        <w:tc>
          <w:tcPr>
            <w:tcW w:w="4912" w:type="dxa"/>
            <w:vAlign w:val="center"/>
          </w:tcPr>
          <w:p w14:paraId="2E0F0031" w14:textId="77777777" w:rsidR="009102A7" w:rsidRPr="00576AF8" w:rsidRDefault="009102A7" w:rsidP="009F6B78">
            <w:pPr>
              <w:spacing w:line="360" w:lineRule="auto"/>
              <w:rPr>
                <w:sz w:val="22"/>
                <w:szCs w:val="22"/>
              </w:rPr>
            </w:pPr>
            <w:r w:rsidRPr="00576AF8">
              <w:rPr>
                <w:rFonts w:eastAsia="Calibri"/>
                <w:sz w:val="22"/>
                <w:szCs w:val="22"/>
              </w:rPr>
              <w:t>La contraseña debe cumplir con los requisitos de complejidad</w:t>
            </w:r>
          </w:p>
        </w:tc>
        <w:tc>
          <w:tcPr>
            <w:tcW w:w="2885" w:type="dxa"/>
            <w:vAlign w:val="center"/>
          </w:tcPr>
          <w:p w14:paraId="10872AC0" w14:textId="77777777" w:rsidR="009102A7" w:rsidRPr="00576AF8" w:rsidRDefault="009102A7" w:rsidP="009F6B78">
            <w:pPr>
              <w:spacing w:line="360" w:lineRule="auto"/>
              <w:rPr>
                <w:sz w:val="22"/>
                <w:szCs w:val="22"/>
              </w:rPr>
            </w:pPr>
            <w:r w:rsidRPr="00576AF8">
              <w:rPr>
                <w:rFonts w:eastAsia="Calibri"/>
                <w:sz w:val="22"/>
                <w:szCs w:val="22"/>
              </w:rPr>
              <w:t>Habilitado</w:t>
            </w:r>
          </w:p>
        </w:tc>
      </w:tr>
      <w:tr w:rsidR="009102A7" w:rsidRPr="00576AF8" w14:paraId="085F6BA5" w14:textId="77777777" w:rsidTr="009F6B78">
        <w:trPr>
          <w:trHeight w:val="20"/>
          <w:jc w:val="right"/>
        </w:trPr>
        <w:tc>
          <w:tcPr>
            <w:tcW w:w="4912" w:type="dxa"/>
            <w:vAlign w:val="center"/>
          </w:tcPr>
          <w:p w14:paraId="3BAE8CB3" w14:textId="77777777" w:rsidR="009102A7" w:rsidRPr="00576AF8" w:rsidRDefault="009102A7" w:rsidP="009F6B78">
            <w:pPr>
              <w:spacing w:line="360" w:lineRule="auto"/>
              <w:rPr>
                <w:sz w:val="22"/>
                <w:szCs w:val="22"/>
              </w:rPr>
            </w:pPr>
            <w:r w:rsidRPr="00576AF8">
              <w:rPr>
                <w:rFonts w:eastAsia="Calibri"/>
                <w:sz w:val="22"/>
                <w:szCs w:val="22"/>
              </w:rPr>
              <w:t>Almacenar contraseñas mediante cifrado reversible</w:t>
            </w:r>
          </w:p>
        </w:tc>
        <w:tc>
          <w:tcPr>
            <w:tcW w:w="2885" w:type="dxa"/>
            <w:vAlign w:val="center"/>
          </w:tcPr>
          <w:p w14:paraId="32588126" w14:textId="77777777" w:rsidR="009102A7" w:rsidRPr="00576AF8" w:rsidRDefault="009102A7" w:rsidP="009F6B78">
            <w:pPr>
              <w:keepNext/>
              <w:spacing w:line="360" w:lineRule="auto"/>
              <w:rPr>
                <w:sz w:val="22"/>
                <w:szCs w:val="22"/>
              </w:rPr>
            </w:pPr>
            <w:r w:rsidRPr="00576AF8">
              <w:rPr>
                <w:rFonts w:eastAsia="Calibri"/>
                <w:sz w:val="22"/>
                <w:szCs w:val="22"/>
              </w:rPr>
              <w:t>Deshabilitado</w:t>
            </w:r>
          </w:p>
        </w:tc>
      </w:tr>
    </w:tbl>
    <w:p w14:paraId="4FB14E71" w14:textId="77777777" w:rsidR="009102A7" w:rsidRPr="00576AF8" w:rsidRDefault="009102A7" w:rsidP="009102A7">
      <w:pPr>
        <w:spacing w:before="120"/>
        <w:jc w:val="center"/>
        <w:rPr>
          <w:b/>
          <w:sz w:val="22"/>
          <w:szCs w:val="22"/>
        </w:rPr>
      </w:pPr>
      <w:r w:rsidRPr="00576AF8">
        <w:rPr>
          <w:b/>
          <w:sz w:val="22"/>
          <w:szCs w:val="22"/>
        </w:rPr>
        <w:t xml:space="preserve">Tabla </w:t>
      </w:r>
      <w:r w:rsidRPr="00576AF8">
        <w:rPr>
          <w:b/>
          <w:sz w:val="22"/>
          <w:szCs w:val="22"/>
        </w:rPr>
        <w:fldChar w:fldCharType="begin"/>
      </w:r>
      <w:r w:rsidRPr="00576AF8">
        <w:rPr>
          <w:b/>
          <w:sz w:val="22"/>
          <w:szCs w:val="22"/>
        </w:rPr>
        <w:instrText xml:space="preserve"> SEQ Tabla \* ARABIC </w:instrText>
      </w:r>
      <w:r w:rsidRPr="00576AF8">
        <w:rPr>
          <w:b/>
          <w:sz w:val="22"/>
          <w:szCs w:val="22"/>
        </w:rPr>
        <w:fldChar w:fldCharType="separate"/>
      </w:r>
      <w:r w:rsidRPr="00576AF8">
        <w:rPr>
          <w:b/>
          <w:noProof/>
          <w:sz w:val="22"/>
          <w:szCs w:val="22"/>
        </w:rPr>
        <w:t>4</w:t>
      </w:r>
      <w:r w:rsidRPr="00576AF8">
        <w:rPr>
          <w:b/>
          <w:noProof/>
          <w:sz w:val="22"/>
          <w:szCs w:val="22"/>
        </w:rPr>
        <w:fldChar w:fldCharType="end"/>
      </w:r>
      <w:r w:rsidRPr="00576AF8">
        <w:rPr>
          <w:b/>
          <w:sz w:val="22"/>
          <w:szCs w:val="22"/>
        </w:rPr>
        <w:t>. Configuración de directiva de contraseñas</w:t>
      </w:r>
    </w:p>
    <w:p w14:paraId="601B130D" w14:textId="77777777" w:rsidR="009102A7" w:rsidRPr="00576AF8" w:rsidRDefault="009102A7" w:rsidP="009102A7">
      <w:pPr>
        <w:spacing w:line="360" w:lineRule="auto"/>
        <w:ind w:left="1158"/>
        <w:rPr>
          <w:sz w:val="22"/>
          <w:szCs w:val="22"/>
          <w:lang w:val="es-EC"/>
        </w:rPr>
      </w:pPr>
    </w:p>
    <w:p w14:paraId="09B6B6F0" w14:textId="77777777" w:rsidR="009102A7" w:rsidRPr="00576AF8" w:rsidRDefault="009102A7" w:rsidP="009102A7">
      <w:pPr>
        <w:spacing w:line="360" w:lineRule="auto"/>
        <w:ind w:left="1158"/>
        <w:rPr>
          <w:sz w:val="22"/>
          <w:szCs w:val="22"/>
          <w:lang w:val="es-EC"/>
        </w:rPr>
      </w:pPr>
      <w:r w:rsidRPr="00576AF8">
        <w:rPr>
          <w:sz w:val="22"/>
          <w:szCs w:val="22"/>
          <w:lang w:val="es-EC"/>
        </w:rPr>
        <w:t xml:space="preserve">Desde el punto de vista de ciberseguridad, </w:t>
      </w:r>
      <w:r w:rsidR="00AA6713" w:rsidRPr="00576AF8">
        <w:rPr>
          <w:sz w:val="22"/>
          <w:szCs w:val="22"/>
          <w:lang w:val="es-EC"/>
        </w:rPr>
        <w:t>el proveedor deberá implementar las siguientes</w:t>
      </w:r>
      <w:r w:rsidRPr="00576AF8">
        <w:rPr>
          <w:sz w:val="22"/>
          <w:szCs w:val="22"/>
          <w:lang w:val="es-EC"/>
        </w:rPr>
        <w:t xml:space="preserve"> herramientas requeridas para realizar auditorías efectivas en el entorno SCADA/EMS del CENACE:</w:t>
      </w:r>
    </w:p>
    <w:p w14:paraId="4194C72A"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u w:val="single"/>
          <w:lang w:val="es-419" w:eastAsia="en-US" w:bidi="ar-SA"/>
        </w:rPr>
      </w:pPr>
      <w:r w:rsidRPr="00576AF8">
        <w:rPr>
          <w:rFonts w:eastAsia="Calibri"/>
          <w:sz w:val="22"/>
          <w:szCs w:val="22"/>
          <w:u w:val="single"/>
          <w:lang w:val="es-419" w:eastAsia="en-US" w:bidi="ar-SA"/>
        </w:rPr>
        <w:t>Sistema de Monitoreo de Red (NMS):</w:t>
      </w:r>
      <w:r w:rsidRPr="00576AF8">
        <w:rPr>
          <w:rFonts w:eastAsia="Calibri"/>
          <w:sz w:val="22"/>
          <w:szCs w:val="22"/>
          <w:lang w:val="es-419" w:eastAsia="en-US" w:bidi="ar-SA"/>
        </w:rPr>
        <w:t xml:space="preserve"> Herramientas que realicen la supervisión, monitoreo con registro independiente y centralizado de todos los equipos y dispositivos que conformen las diferentes redes informáticas: switches, firewall, servidores, almacenamiento, equipos de respaldo, etc.</w:t>
      </w:r>
    </w:p>
    <w:p w14:paraId="03A97605"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u w:val="single"/>
          <w:lang w:val="es-419" w:eastAsia="en-US" w:bidi="ar-SA"/>
        </w:rPr>
      </w:pPr>
      <w:r w:rsidRPr="00576AF8">
        <w:rPr>
          <w:rFonts w:eastAsia="Calibri"/>
          <w:sz w:val="22"/>
          <w:szCs w:val="22"/>
          <w:u w:val="single"/>
          <w:lang w:val="es-419" w:eastAsia="en-US" w:bidi="ar-SA"/>
        </w:rPr>
        <w:t xml:space="preserve">Sistema de Gestión de Registros (Log Management Systems): </w:t>
      </w:r>
      <w:r w:rsidRPr="00576AF8">
        <w:rPr>
          <w:rFonts w:eastAsia="Calibri"/>
          <w:sz w:val="22"/>
          <w:szCs w:val="22"/>
          <w:lang w:val="es-419" w:eastAsia="en-US" w:bidi="ar-SA"/>
        </w:rPr>
        <w:t xml:space="preserve">Utiliza sistemas especializados en la gestión de registros para recopilar, almacenar y analizar los registros de auditoría de manera eficiente. </w:t>
      </w:r>
    </w:p>
    <w:p w14:paraId="1721568A"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u w:val="single"/>
          <w:lang w:val="es-419" w:eastAsia="en-US" w:bidi="ar-SA"/>
        </w:rPr>
      </w:pPr>
      <w:r w:rsidRPr="00576AF8">
        <w:rPr>
          <w:rFonts w:eastAsia="Calibri"/>
          <w:sz w:val="22"/>
          <w:szCs w:val="22"/>
          <w:u w:val="single"/>
          <w:lang w:val="es-419" w:eastAsia="en-US" w:bidi="ar-SA"/>
        </w:rPr>
        <w:t xml:space="preserve">Sistema de Monitoreo de Seguridad (Security Information and Event Management - SIEM): </w:t>
      </w:r>
      <w:r w:rsidRPr="00576AF8">
        <w:rPr>
          <w:rFonts w:eastAsia="Calibri"/>
          <w:sz w:val="22"/>
          <w:szCs w:val="22"/>
          <w:lang w:val="es-419" w:eastAsia="en-US" w:bidi="ar-SA"/>
        </w:rPr>
        <w:t>herramientas que permitan monitorear eventos en tiempo real y realizar análisis de seguridad para detectar amenazas y anomalías.</w:t>
      </w:r>
    </w:p>
    <w:p w14:paraId="7501B2DD"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u w:val="single"/>
          <w:lang w:val="es-419" w:eastAsia="en-US" w:bidi="ar-SA"/>
        </w:rPr>
      </w:pPr>
      <w:r w:rsidRPr="00576AF8">
        <w:rPr>
          <w:rFonts w:eastAsia="Calibri"/>
          <w:sz w:val="22"/>
          <w:szCs w:val="22"/>
          <w:u w:val="single"/>
          <w:lang w:val="es-419" w:eastAsia="en-US" w:bidi="ar-SA"/>
        </w:rPr>
        <w:t xml:space="preserve">Herramientas de Análisis de Tráfico de Red: </w:t>
      </w:r>
      <w:r w:rsidRPr="00576AF8">
        <w:rPr>
          <w:rFonts w:eastAsia="Calibri"/>
          <w:sz w:val="22"/>
          <w:szCs w:val="22"/>
          <w:lang w:val="es-419" w:eastAsia="en-US" w:bidi="ar-SA"/>
        </w:rPr>
        <w:t>Para supervisar la comunicación en la red y detectar posibles intrusiones o actividades sospechosas en la red.</w:t>
      </w:r>
    </w:p>
    <w:p w14:paraId="5D37B41B"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u w:val="single"/>
          <w:lang w:val="es-419" w:eastAsia="en-US" w:bidi="ar-SA"/>
        </w:rPr>
      </w:pPr>
      <w:r w:rsidRPr="00576AF8">
        <w:rPr>
          <w:rFonts w:eastAsia="Calibri"/>
          <w:sz w:val="22"/>
          <w:szCs w:val="22"/>
          <w:u w:val="single"/>
          <w:lang w:val="es-419" w:eastAsia="en-US" w:bidi="ar-SA"/>
        </w:rPr>
        <w:t xml:space="preserve">Sistemas de Detección y Prevención de Intrusiones (Intrusion Detection and Prevention Systems - IDS/IPS): </w:t>
      </w:r>
      <w:r w:rsidRPr="00576AF8">
        <w:rPr>
          <w:rFonts w:eastAsia="Calibri"/>
          <w:sz w:val="22"/>
          <w:szCs w:val="22"/>
          <w:lang w:val="es-419" w:eastAsia="en-US" w:bidi="ar-SA"/>
        </w:rPr>
        <w:t>Para examinar el tráfico de red en busca de patrones de ataque conocidos y anomalías de comportamiento.</w:t>
      </w:r>
    </w:p>
    <w:p w14:paraId="3D055856"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u w:val="single"/>
          <w:lang w:val="es-419" w:eastAsia="en-US" w:bidi="ar-SA"/>
        </w:rPr>
      </w:pPr>
      <w:r w:rsidRPr="00576AF8">
        <w:rPr>
          <w:rFonts w:eastAsia="Calibri"/>
          <w:sz w:val="22"/>
          <w:szCs w:val="22"/>
          <w:u w:val="single"/>
          <w:lang w:val="es-419" w:eastAsia="en-US" w:bidi="ar-SA"/>
        </w:rPr>
        <w:t xml:space="preserve">Herramientas de Escaneo de Vulnerabilidades: </w:t>
      </w:r>
      <w:r w:rsidRPr="00576AF8">
        <w:rPr>
          <w:rFonts w:eastAsia="Calibri"/>
          <w:sz w:val="22"/>
          <w:szCs w:val="22"/>
          <w:lang w:val="es-419" w:eastAsia="en-US" w:bidi="ar-SA"/>
        </w:rPr>
        <w:t>Para identificar posibles debilidades en los servidores, consolas y otros dispositivos del SCADA/EMS.</w:t>
      </w:r>
    </w:p>
    <w:p w14:paraId="111A9DA2" w14:textId="77777777" w:rsidR="009102A7" w:rsidRPr="00576AF8" w:rsidRDefault="009102A7" w:rsidP="008C0D90">
      <w:pPr>
        <w:numPr>
          <w:ilvl w:val="0"/>
          <w:numId w:val="4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Cs w:val="24"/>
          <w:lang w:val="es-419" w:eastAsia="en-US" w:bidi="ar-SA"/>
        </w:rPr>
      </w:pPr>
      <w:r w:rsidRPr="00576AF8">
        <w:rPr>
          <w:rFonts w:eastAsia="Calibri"/>
          <w:sz w:val="22"/>
          <w:szCs w:val="22"/>
          <w:u w:val="single"/>
          <w:lang w:val="es-419" w:eastAsia="en-US" w:bidi="ar-SA"/>
        </w:rPr>
        <w:t>Herramientas de Análisis de Configuración:</w:t>
      </w:r>
      <w:r w:rsidRPr="00576AF8">
        <w:rPr>
          <w:rFonts w:eastAsia="Calibri"/>
          <w:sz w:val="22"/>
          <w:szCs w:val="22"/>
          <w:lang w:val="es-419" w:eastAsia="en-US" w:bidi="ar-SA"/>
        </w:rPr>
        <w:t xml:space="preserve">  Para comprobar que la configuración del sistema SCADA/EMS cumpla con las mejores prácticas de seguridad (</w:t>
      </w:r>
      <w:r w:rsidRPr="00576AF8">
        <w:rPr>
          <w:rFonts w:eastAsia="Calibri"/>
          <w:i/>
          <w:iCs/>
          <w:sz w:val="22"/>
          <w:szCs w:val="22"/>
          <w:lang w:val="es-419" w:eastAsia="en-US" w:bidi="ar-SA"/>
        </w:rPr>
        <w:t>Compliance Checks</w:t>
      </w:r>
      <w:r w:rsidRPr="00576AF8">
        <w:rPr>
          <w:rFonts w:eastAsia="Calibri"/>
          <w:sz w:val="22"/>
          <w:szCs w:val="22"/>
          <w:lang w:val="es-419" w:eastAsia="en-US" w:bidi="ar-SA"/>
        </w:rPr>
        <w:t>).</w:t>
      </w:r>
    </w:p>
    <w:p w14:paraId="451E00C8" w14:textId="77777777" w:rsidR="009102A7" w:rsidRPr="00576AF8" w:rsidRDefault="009102A7"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Cs w:val="24"/>
          <w:lang w:val="es-419" w:eastAsia="en-US" w:bidi="ar-SA"/>
        </w:rPr>
      </w:pPr>
    </w:p>
    <w:p w14:paraId="2B10C396" w14:textId="77777777" w:rsidR="009102A7" w:rsidRPr="00576AF8" w:rsidRDefault="009102A7" w:rsidP="009102A7">
      <w:pPr>
        <w:ind w:left="720" w:hanging="720"/>
        <w:jc w:val="left"/>
        <w:outlineLvl w:val="2"/>
        <w:rPr>
          <w:b/>
          <w:sz w:val="22"/>
          <w:szCs w:val="22"/>
        </w:rPr>
      </w:pPr>
      <w:r w:rsidRPr="00576AF8">
        <w:rPr>
          <w:b/>
          <w:sz w:val="22"/>
          <w:szCs w:val="22"/>
        </w:rPr>
        <w:t>1.4.1.4.4 Autenticación</w:t>
      </w:r>
    </w:p>
    <w:p w14:paraId="3D2C1D8B" w14:textId="77777777" w:rsidR="009102A7" w:rsidRPr="00576AF8" w:rsidRDefault="009102A7" w:rsidP="009102A7">
      <w:pPr>
        <w:ind w:left="2127" w:right="4" w:hanging="426"/>
        <w:rPr>
          <w:sz w:val="22"/>
          <w:szCs w:val="22"/>
        </w:rPr>
      </w:pPr>
      <w:r w:rsidRPr="00576AF8">
        <w:rPr>
          <w:sz w:val="22"/>
          <w:szCs w:val="22"/>
        </w:rPr>
        <w:t>a.</w:t>
      </w:r>
      <w:r w:rsidRPr="00576AF8">
        <w:rPr>
          <w:sz w:val="22"/>
          <w:szCs w:val="22"/>
        </w:rPr>
        <w:tab/>
        <w:t>El sistema SCADA/EMS utilizará el protocolo o protocolos de autenticación adecuados que proporcionen autenticación mutua y un mecanismo de inicio de sesión único dentro de un dominio o entre dominios de confianza. Además, se utilizará la autenticación selectiva entre dominios de confianza para proporcionar un mayor control sobre qué grupos de usuarios de un bosque de confianza pueden acceder a los recursos compartidos de éste.</w:t>
      </w:r>
    </w:p>
    <w:p w14:paraId="60764558" w14:textId="77777777" w:rsidR="009102A7" w:rsidRPr="00576AF8" w:rsidRDefault="009102A7" w:rsidP="009102A7">
      <w:pPr>
        <w:ind w:left="2127" w:right="4" w:hanging="426"/>
        <w:rPr>
          <w:sz w:val="22"/>
          <w:szCs w:val="22"/>
        </w:rPr>
      </w:pPr>
    </w:p>
    <w:p w14:paraId="344F37BB" w14:textId="77777777" w:rsidR="009102A7" w:rsidRPr="00576AF8" w:rsidRDefault="009102A7" w:rsidP="009102A7">
      <w:pPr>
        <w:ind w:left="720" w:hanging="720"/>
        <w:jc w:val="left"/>
        <w:outlineLvl w:val="2"/>
        <w:rPr>
          <w:b/>
          <w:sz w:val="22"/>
          <w:szCs w:val="22"/>
        </w:rPr>
      </w:pPr>
      <w:r w:rsidRPr="00576AF8">
        <w:rPr>
          <w:b/>
          <w:sz w:val="22"/>
          <w:szCs w:val="22"/>
        </w:rPr>
        <w:t>1.4.1.4.5 Gestión de Acceso Remoto</w:t>
      </w:r>
    </w:p>
    <w:p w14:paraId="5E19D6F3" w14:textId="77777777" w:rsidR="009102A7" w:rsidRPr="00576AF8" w:rsidRDefault="009102A7" w:rsidP="009102A7">
      <w:pPr>
        <w:ind w:left="1560" w:right="4" w:hanging="33"/>
        <w:rPr>
          <w:sz w:val="22"/>
          <w:szCs w:val="22"/>
        </w:rPr>
      </w:pPr>
      <w:r w:rsidRPr="00576AF8">
        <w:rPr>
          <w:sz w:val="22"/>
          <w:szCs w:val="22"/>
        </w:rPr>
        <w:lastRenderedPageBreak/>
        <w:t xml:space="preserve">El acceso a un componente por parte de cualquier usuario (humano, proceso de software o dispositivo) que se comunique de forma externa al sistema SCADA/EMS se considera como "Acceso remoto" o "Sesión remota". </w:t>
      </w:r>
    </w:p>
    <w:p w14:paraId="20581633" w14:textId="77777777" w:rsidR="009102A7" w:rsidRPr="00576AF8" w:rsidRDefault="009102A7" w:rsidP="009102A7">
      <w:pPr>
        <w:ind w:left="2127" w:right="4" w:hanging="426"/>
        <w:rPr>
          <w:sz w:val="22"/>
          <w:szCs w:val="22"/>
        </w:rPr>
      </w:pPr>
      <w:r w:rsidRPr="00576AF8">
        <w:rPr>
          <w:sz w:val="22"/>
          <w:szCs w:val="22"/>
        </w:rPr>
        <w:t>a.</w:t>
      </w:r>
      <w:r w:rsidRPr="00576AF8">
        <w:rPr>
          <w:sz w:val="22"/>
          <w:szCs w:val="22"/>
        </w:rPr>
        <w:tab/>
        <w:t>El acceso remoto al IHM del sistema SCADA/EMS de los usuarios autorizados se realizará mediante el servidor de clientes livianos (Thin Client server) o soluciones equivalentes.</w:t>
      </w:r>
    </w:p>
    <w:p w14:paraId="6E5867E9" w14:textId="77777777" w:rsidR="009102A7" w:rsidRPr="00576AF8" w:rsidRDefault="009102A7" w:rsidP="009102A7">
      <w:pPr>
        <w:ind w:left="2127" w:right="4" w:hanging="426"/>
        <w:rPr>
          <w:sz w:val="22"/>
          <w:szCs w:val="22"/>
        </w:rPr>
      </w:pPr>
      <w:r w:rsidRPr="00576AF8">
        <w:rPr>
          <w:sz w:val="22"/>
          <w:szCs w:val="22"/>
        </w:rPr>
        <w:t>b.</w:t>
      </w:r>
      <w:r w:rsidRPr="00576AF8">
        <w:rPr>
          <w:sz w:val="22"/>
          <w:szCs w:val="22"/>
        </w:rPr>
        <w:tab/>
        <w:t xml:space="preserve">El acceso remoto al sistema SCADA/EMS para actividades </w:t>
      </w:r>
      <w:proofErr w:type="gramStart"/>
      <w:r w:rsidRPr="00576AF8">
        <w:rPr>
          <w:sz w:val="22"/>
          <w:szCs w:val="22"/>
        </w:rPr>
        <w:t>de</w:t>
      </w:r>
      <w:r w:rsidR="00C774E7" w:rsidRPr="00576AF8">
        <w:rPr>
          <w:sz w:val="22"/>
          <w:szCs w:val="22"/>
        </w:rPr>
        <w:t>administración</w:t>
      </w:r>
      <w:r w:rsidR="00C774E7" w:rsidRPr="00576AF8" w:rsidDel="00C774E7">
        <w:rPr>
          <w:sz w:val="22"/>
          <w:szCs w:val="22"/>
        </w:rPr>
        <w:t xml:space="preserve"> </w:t>
      </w:r>
      <w:r w:rsidRPr="00576AF8">
        <w:rPr>
          <w:sz w:val="22"/>
          <w:szCs w:val="22"/>
        </w:rPr>
        <w:t>,</w:t>
      </w:r>
      <w:proofErr w:type="gramEnd"/>
      <w:r w:rsidRPr="00576AF8">
        <w:rPr>
          <w:sz w:val="22"/>
          <w:szCs w:val="22"/>
        </w:rPr>
        <w:t xml:space="preserve"> deberá realizarse a través de un servidor redundante de salto (jump box) que permita al menos 20 accesos remotos simultáneos, el cual será definido durante el plan de trabajo. </w:t>
      </w:r>
    </w:p>
    <w:p w14:paraId="50973720" w14:textId="77777777" w:rsidR="009102A7" w:rsidRPr="00576AF8" w:rsidRDefault="009102A7" w:rsidP="009102A7">
      <w:pPr>
        <w:ind w:left="2127" w:right="4" w:hanging="426"/>
        <w:rPr>
          <w:sz w:val="22"/>
          <w:szCs w:val="22"/>
        </w:rPr>
      </w:pPr>
      <w:r w:rsidRPr="00576AF8">
        <w:rPr>
          <w:sz w:val="22"/>
          <w:szCs w:val="22"/>
        </w:rPr>
        <w:t>c.</w:t>
      </w:r>
      <w:r w:rsidRPr="00576AF8">
        <w:rPr>
          <w:sz w:val="22"/>
          <w:szCs w:val="22"/>
        </w:rPr>
        <w:tab/>
        <w:t>El acceso deberá ser diseñado con criterios de “acceso a la red de confianza cero” ZTNA con la finalidad de otorgar acceso a las aplicaciones y recursos específicos con base a un usuario previamente autorizado, hora y lugar de origen de la conexión remota etc., ya que de forma predeterminada todos los accesos estarán denegados. La autenticación deberá soportar mecanismos de ingreso como el de inicio de sesión único (SSO) de gestión de identidad y accesos (IAM) y de autenticación multifactor (MFA). Podrá manejar protocolos basados en web, o protocolos y servicios como RDP, SSH y virtual desktop infrastructure. La plataforma ZTNA puede estar incorporada en los firewalls de nueva generación a ser suministrado o en un dispositivo separado.</w:t>
      </w:r>
    </w:p>
    <w:p w14:paraId="542AAC9A" w14:textId="77777777" w:rsidR="009102A7" w:rsidRPr="00576AF8" w:rsidRDefault="009102A7" w:rsidP="009102A7">
      <w:pPr>
        <w:ind w:left="2127" w:right="4" w:hanging="426"/>
        <w:rPr>
          <w:sz w:val="22"/>
          <w:szCs w:val="22"/>
        </w:rPr>
      </w:pPr>
      <w:r w:rsidRPr="00576AF8">
        <w:rPr>
          <w:sz w:val="22"/>
          <w:szCs w:val="22"/>
        </w:rPr>
        <w:t>d.</w:t>
      </w:r>
      <w:r w:rsidRPr="00576AF8">
        <w:rPr>
          <w:sz w:val="22"/>
          <w:szCs w:val="22"/>
        </w:rPr>
        <w:tab/>
        <w:t xml:space="preserve">El acceso remoto al sistema SCADA/EMS por parte de un tercero se solicitará con antelación y se habilitará manualmente. Se desactivará inmediatamente después de que se complete la actividad que requirió su habilitación. </w:t>
      </w:r>
    </w:p>
    <w:p w14:paraId="042C71F5" w14:textId="77777777" w:rsidR="009102A7" w:rsidRPr="00576AF8" w:rsidRDefault="009102A7" w:rsidP="009102A7">
      <w:pPr>
        <w:ind w:left="2127" w:right="4" w:hanging="426"/>
        <w:rPr>
          <w:sz w:val="22"/>
          <w:szCs w:val="22"/>
        </w:rPr>
      </w:pPr>
      <w:r w:rsidRPr="00576AF8">
        <w:rPr>
          <w:sz w:val="22"/>
          <w:szCs w:val="22"/>
        </w:rPr>
        <w:t>e.</w:t>
      </w:r>
      <w:r w:rsidRPr="00576AF8">
        <w:rPr>
          <w:sz w:val="22"/>
          <w:szCs w:val="22"/>
        </w:rPr>
        <w:tab/>
        <w:t xml:space="preserve">El Proveedor proporcionará uno o más métodos para determinar las sesiones activas de acceso remoto (incluido el acceso remoto interactivo y el acceso remoto de sistema a sistema) y proporcionará la documentación de los métodos utilizados. </w:t>
      </w:r>
    </w:p>
    <w:p w14:paraId="381C6798" w14:textId="77777777" w:rsidR="009102A7" w:rsidRPr="00576AF8" w:rsidRDefault="009102A7" w:rsidP="009102A7">
      <w:pPr>
        <w:ind w:left="2127" w:right="4" w:hanging="426"/>
        <w:rPr>
          <w:sz w:val="22"/>
          <w:szCs w:val="22"/>
        </w:rPr>
      </w:pPr>
      <w:r w:rsidRPr="00576AF8">
        <w:rPr>
          <w:sz w:val="22"/>
          <w:szCs w:val="22"/>
        </w:rPr>
        <w:t>f.</w:t>
      </w:r>
      <w:r w:rsidRPr="00576AF8">
        <w:rPr>
          <w:sz w:val="22"/>
          <w:szCs w:val="22"/>
        </w:rPr>
        <w:tab/>
        <w:t xml:space="preserve">El Proveedor deberá implementar y proporcionar documentación sobre: </w:t>
      </w:r>
    </w:p>
    <w:p w14:paraId="34BF16C6" w14:textId="77777777" w:rsidR="009102A7" w:rsidRPr="00576AF8" w:rsidRDefault="009102A7" w:rsidP="009102A7">
      <w:pPr>
        <w:numPr>
          <w:ilvl w:val="0"/>
          <w:numId w:val="243"/>
        </w:numPr>
        <w:ind w:right="4"/>
        <w:contextualSpacing/>
        <w:rPr>
          <w:sz w:val="22"/>
          <w:szCs w:val="22"/>
        </w:rPr>
      </w:pPr>
      <w:r w:rsidRPr="00576AF8">
        <w:rPr>
          <w:sz w:val="22"/>
          <w:szCs w:val="22"/>
        </w:rPr>
        <w:t xml:space="preserve">Métodos para acceder a la información registrada o de supervisión para determinar las sesiones activas de acceso remoto de terceros (por ejemplo, proveedores). </w:t>
      </w:r>
    </w:p>
    <w:p w14:paraId="21D97AA1" w14:textId="77777777" w:rsidR="009102A7" w:rsidRPr="00576AF8" w:rsidRDefault="009102A7" w:rsidP="009102A7">
      <w:pPr>
        <w:numPr>
          <w:ilvl w:val="0"/>
          <w:numId w:val="243"/>
        </w:numPr>
        <w:ind w:right="4"/>
        <w:contextualSpacing/>
        <w:rPr>
          <w:sz w:val="22"/>
          <w:szCs w:val="22"/>
        </w:rPr>
      </w:pPr>
      <w:r w:rsidRPr="00576AF8">
        <w:rPr>
          <w:sz w:val="22"/>
          <w:szCs w:val="22"/>
        </w:rPr>
        <w:t>Métodos para monitorear la actividad (por ejemplo, tablas de conexión o contadores de visitas de reglas en un firewall, o monitoreo de la actividad del usuario) o puertos abiertos para determinar las sesiones de acceso remoto de sistema activo a sistema.</w:t>
      </w:r>
    </w:p>
    <w:p w14:paraId="2F423E04" w14:textId="77777777" w:rsidR="009102A7" w:rsidRPr="00576AF8" w:rsidRDefault="009102A7" w:rsidP="009102A7">
      <w:pPr>
        <w:numPr>
          <w:ilvl w:val="0"/>
          <w:numId w:val="243"/>
        </w:numPr>
        <w:ind w:right="4"/>
        <w:contextualSpacing/>
        <w:rPr>
          <w:sz w:val="22"/>
          <w:szCs w:val="22"/>
        </w:rPr>
      </w:pPr>
      <w:r w:rsidRPr="00576AF8">
        <w:rPr>
          <w:sz w:val="22"/>
          <w:szCs w:val="22"/>
        </w:rPr>
        <w:t xml:space="preserve">Métodos que controlen el inicio de acceso remoto por parte de terceros, como las llamadas de proveedores. </w:t>
      </w:r>
    </w:p>
    <w:p w14:paraId="1B51FCE4" w14:textId="77777777" w:rsidR="009102A7" w:rsidRPr="00576AF8" w:rsidRDefault="009102A7" w:rsidP="009102A7">
      <w:pPr>
        <w:numPr>
          <w:ilvl w:val="0"/>
          <w:numId w:val="243"/>
        </w:numPr>
        <w:ind w:right="4"/>
        <w:contextualSpacing/>
        <w:rPr>
          <w:sz w:val="22"/>
          <w:szCs w:val="22"/>
        </w:rPr>
      </w:pPr>
      <w:r w:rsidRPr="00576AF8">
        <w:rPr>
          <w:sz w:val="22"/>
          <w:szCs w:val="22"/>
        </w:rPr>
        <w:t>Métodos para supervisar el intercambio de datos, de forma bidireccional, con aplicaciones externas (tales como: WAMS, SPS, RTDS, AMI u otra).</w:t>
      </w:r>
    </w:p>
    <w:p w14:paraId="335F7DB6" w14:textId="77777777" w:rsidR="009102A7" w:rsidRPr="00576AF8" w:rsidRDefault="009102A7" w:rsidP="009102A7">
      <w:pPr>
        <w:numPr>
          <w:ilvl w:val="0"/>
          <w:numId w:val="243"/>
        </w:numPr>
        <w:ind w:right="4"/>
        <w:contextualSpacing/>
        <w:rPr>
          <w:sz w:val="22"/>
          <w:szCs w:val="22"/>
        </w:rPr>
      </w:pPr>
      <w:r w:rsidRPr="00576AF8">
        <w:rPr>
          <w:sz w:val="22"/>
          <w:szCs w:val="22"/>
        </w:rPr>
        <w:t>Métodos para solicitar una autenticación multifactor para iniciar el acceso remoto.</w:t>
      </w:r>
    </w:p>
    <w:p w14:paraId="71668282" w14:textId="77777777" w:rsidR="009102A7" w:rsidRPr="00576AF8" w:rsidRDefault="009102A7" w:rsidP="009102A7">
      <w:pPr>
        <w:ind w:left="2127" w:right="4" w:hanging="426"/>
        <w:rPr>
          <w:sz w:val="22"/>
          <w:szCs w:val="22"/>
        </w:rPr>
      </w:pPr>
      <w:r w:rsidRPr="00576AF8">
        <w:rPr>
          <w:sz w:val="22"/>
          <w:szCs w:val="22"/>
        </w:rPr>
        <w:t>g.</w:t>
      </w:r>
      <w:r w:rsidRPr="00576AF8">
        <w:rPr>
          <w:sz w:val="22"/>
          <w:szCs w:val="22"/>
        </w:rPr>
        <w:tab/>
        <w:t xml:space="preserve">El Proveedor implementará y proporcionará documentación sobre los métodos para deshabilitar el acceso remoto activo de terceros (incluido el acceso remoto interactivo y el acceso remoto de sistema a sistema). </w:t>
      </w:r>
    </w:p>
    <w:p w14:paraId="04A9BBCD" w14:textId="77777777" w:rsidR="009102A7" w:rsidRPr="00576AF8" w:rsidRDefault="009102A7" w:rsidP="009102A7">
      <w:pPr>
        <w:ind w:left="2127" w:right="4" w:hanging="426"/>
        <w:rPr>
          <w:sz w:val="22"/>
          <w:szCs w:val="22"/>
        </w:rPr>
      </w:pPr>
      <w:r w:rsidRPr="00576AF8">
        <w:rPr>
          <w:sz w:val="22"/>
          <w:szCs w:val="22"/>
        </w:rPr>
        <w:t>h.</w:t>
      </w:r>
      <w:r w:rsidRPr="00576AF8">
        <w:rPr>
          <w:sz w:val="22"/>
          <w:szCs w:val="22"/>
        </w:rPr>
        <w:tab/>
        <w:t xml:space="preserve">El Proveedor también proporcionará un sistema para documentar y realizar un seguimiento de las siguientes pruebas: </w:t>
      </w:r>
    </w:p>
    <w:p w14:paraId="7E9663A3" w14:textId="77777777" w:rsidR="009102A7" w:rsidRPr="00576AF8" w:rsidRDefault="009102A7" w:rsidP="009102A7">
      <w:pPr>
        <w:numPr>
          <w:ilvl w:val="0"/>
          <w:numId w:val="244"/>
        </w:numPr>
        <w:ind w:right="4"/>
        <w:contextualSpacing/>
        <w:rPr>
          <w:sz w:val="22"/>
          <w:szCs w:val="22"/>
        </w:rPr>
      </w:pPr>
      <w:r w:rsidRPr="00576AF8">
        <w:rPr>
          <w:sz w:val="22"/>
          <w:szCs w:val="22"/>
        </w:rPr>
        <w:t xml:space="preserve">Flujo de trabajo fechado o formulario de firma que verifica la eliminación de acceso asociada con la acción de terminación. </w:t>
      </w:r>
    </w:p>
    <w:p w14:paraId="6A795EF2" w14:textId="77777777" w:rsidR="009102A7" w:rsidRPr="00576AF8" w:rsidRDefault="009102A7" w:rsidP="009102A7">
      <w:pPr>
        <w:numPr>
          <w:ilvl w:val="0"/>
          <w:numId w:val="244"/>
        </w:numPr>
        <w:ind w:right="4"/>
        <w:contextualSpacing/>
        <w:rPr>
          <w:sz w:val="22"/>
          <w:szCs w:val="22"/>
        </w:rPr>
      </w:pPr>
      <w:r w:rsidRPr="00576AF8">
        <w:rPr>
          <w:sz w:val="22"/>
          <w:szCs w:val="22"/>
        </w:rPr>
        <w:t>Registros u otras demostraciones que muestren que dicho usuario ya no tiene acceso.</w:t>
      </w:r>
    </w:p>
    <w:p w14:paraId="4D3C5822" w14:textId="77777777" w:rsidR="009102A7" w:rsidRPr="00576AF8" w:rsidRDefault="009102A7" w:rsidP="009102A7">
      <w:pPr>
        <w:ind w:left="720" w:hanging="720"/>
        <w:jc w:val="left"/>
        <w:outlineLvl w:val="2"/>
        <w:rPr>
          <w:b/>
          <w:sz w:val="22"/>
          <w:szCs w:val="22"/>
        </w:rPr>
      </w:pPr>
      <w:r w:rsidRPr="00576AF8">
        <w:rPr>
          <w:b/>
          <w:sz w:val="22"/>
          <w:szCs w:val="22"/>
        </w:rPr>
        <w:t>1.4.1.4.6 Integridad del Sistema</w:t>
      </w:r>
    </w:p>
    <w:p w14:paraId="1F0DF19C" w14:textId="77777777" w:rsidR="009102A7" w:rsidRPr="00576AF8" w:rsidRDefault="009102A7" w:rsidP="009102A7">
      <w:pPr>
        <w:ind w:left="2160" w:right="4" w:hanging="459"/>
        <w:rPr>
          <w:sz w:val="22"/>
          <w:szCs w:val="22"/>
        </w:rPr>
      </w:pPr>
      <w:r w:rsidRPr="00576AF8">
        <w:rPr>
          <w:sz w:val="22"/>
          <w:szCs w:val="22"/>
        </w:rPr>
        <w:lastRenderedPageBreak/>
        <w:t>a.</w:t>
      </w:r>
      <w:r w:rsidRPr="00576AF8">
        <w:rPr>
          <w:sz w:val="22"/>
          <w:szCs w:val="22"/>
        </w:rPr>
        <w:tab/>
        <w:t xml:space="preserve">Para minimizar la superficie de ataque y la exposición a exploits malintencionados, el sistema SCADA/EMS se configurará de acuerdo con las mejores prácticas de refuerzo de la seguridad. Esto se realizará efectuando los cambios adecuados en la configuración predeterminada del sistema operativo, las aplicaciones de software y el software de terceros requerido, eliminando así, la mayor cantidad de riesgos de seguridad como sea posible. </w:t>
      </w:r>
    </w:p>
    <w:p w14:paraId="74FABEAB"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El endurecimiento de la seguridad se aplicará a través de políticas de seguridad, análisis y actualización regulares del sistema, y listas de verificación de refuerzo que incluyan diferentes prácticas de seguridad.</w:t>
      </w:r>
    </w:p>
    <w:p w14:paraId="52718D85" w14:textId="77777777" w:rsidR="009102A7" w:rsidRPr="00576AF8" w:rsidRDefault="009102A7" w:rsidP="009102A7">
      <w:pPr>
        <w:ind w:left="720" w:hanging="720"/>
        <w:jc w:val="left"/>
        <w:outlineLvl w:val="2"/>
        <w:rPr>
          <w:b/>
          <w:sz w:val="22"/>
          <w:szCs w:val="22"/>
        </w:rPr>
      </w:pPr>
      <w:r w:rsidRPr="00576AF8">
        <w:rPr>
          <w:b/>
          <w:sz w:val="22"/>
          <w:szCs w:val="22"/>
        </w:rPr>
        <w:t>1.4.1.4.7 Remoción de Servicios, Software y Cuentas Innecesarias</w:t>
      </w:r>
    </w:p>
    <w:p w14:paraId="694F1AA1"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Todos los servicios y programas de software que no sean necesarios para el funcionamiento y </w:t>
      </w:r>
      <w:r w:rsidR="00C774E7" w:rsidRPr="00576AF8">
        <w:rPr>
          <w:sz w:val="22"/>
          <w:szCs w:val="22"/>
        </w:rPr>
        <w:t>administración</w:t>
      </w:r>
      <w:r w:rsidR="00C774E7" w:rsidRPr="00576AF8" w:rsidDel="00C774E7">
        <w:rPr>
          <w:sz w:val="22"/>
          <w:szCs w:val="22"/>
        </w:rPr>
        <w:t xml:space="preserve"> </w:t>
      </w:r>
      <w:r w:rsidRPr="00576AF8">
        <w:rPr>
          <w:sz w:val="22"/>
          <w:szCs w:val="22"/>
        </w:rPr>
        <w:t xml:space="preserve">del software del sistema SCADA/EMS se desactivarán o eliminarán antes de la puesta en marcha. Si bien estos servicios y programas pueden ofrecer características útiles para el usuario, deben eliminarse, ya que pueden proporcionar acceso de puerta trasera al sistema. Para una consola o servidor que requiera un proceso de restauración o reconfiguración, estas eliminaciones o desactivaciones se aplicaran de forma automática al incluirlas en el dominio. Los elementos que se desactivarán/eliminarán incluyen: </w:t>
      </w:r>
    </w:p>
    <w:p w14:paraId="1ABD813C" w14:textId="77777777" w:rsidR="009102A7" w:rsidRPr="00576AF8" w:rsidRDefault="009102A7" w:rsidP="009102A7">
      <w:pPr>
        <w:numPr>
          <w:ilvl w:val="0"/>
          <w:numId w:val="245"/>
        </w:numPr>
        <w:ind w:right="4"/>
        <w:contextualSpacing/>
        <w:rPr>
          <w:sz w:val="22"/>
          <w:szCs w:val="22"/>
        </w:rPr>
      </w:pPr>
      <w:r w:rsidRPr="00576AF8">
        <w:rPr>
          <w:sz w:val="22"/>
          <w:szCs w:val="22"/>
        </w:rPr>
        <w:t xml:space="preserve">Aplicaciones específicas del sistema operativo, como juegos. Además, los usuarios estarán restringidos a instalar software adicional. </w:t>
      </w:r>
    </w:p>
    <w:p w14:paraId="7313A01A" w14:textId="77777777" w:rsidR="009102A7" w:rsidRPr="00576AF8" w:rsidRDefault="009102A7" w:rsidP="009102A7">
      <w:pPr>
        <w:numPr>
          <w:ilvl w:val="0"/>
          <w:numId w:val="245"/>
        </w:numPr>
        <w:ind w:right="4"/>
        <w:contextualSpacing/>
        <w:rPr>
          <w:sz w:val="22"/>
          <w:szCs w:val="22"/>
        </w:rPr>
      </w:pPr>
      <w:r w:rsidRPr="00576AF8">
        <w:rPr>
          <w:sz w:val="22"/>
          <w:szCs w:val="22"/>
        </w:rPr>
        <w:t xml:space="preserve">Controladores de dispositivo para dispositivos no suministrados. </w:t>
      </w:r>
    </w:p>
    <w:p w14:paraId="52F20652" w14:textId="77777777" w:rsidR="009102A7" w:rsidRPr="00576AF8" w:rsidRDefault="009102A7" w:rsidP="009102A7">
      <w:pPr>
        <w:numPr>
          <w:ilvl w:val="0"/>
          <w:numId w:val="245"/>
        </w:numPr>
        <w:ind w:right="4"/>
        <w:contextualSpacing/>
        <w:rPr>
          <w:sz w:val="22"/>
          <w:szCs w:val="22"/>
        </w:rPr>
      </w:pPr>
      <w:r w:rsidRPr="00576AF8">
        <w:rPr>
          <w:sz w:val="22"/>
          <w:szCs w:val="22"/>
        </w:rPr>
        <w:t>Configuración de hardware, como puertos USB, unidades de CD/DVD y otros dispositivos de medios extraíbles.</w:t>
      </w:r>
    </w:p>
    <w:p w14:paraId="29E961D0" w14:textId="77777777" w:rsidR="009102A7" w:rsidRPr="00576AF8" w:rsidRDefault="009102A7" w:rsidP="009102A7">
      <w:pPr>
        <w:numPr>
          <w:ilvl w:val="0"/>
          <w:numId w:val="245"/>
        </w:numPr>
        <w:ind w:right="4"/>
        <w:contextualSpacing/>
        <w:rPr>
          <w:sz w:val="22"/>
          <w:szCs w:val="22"/>
        </w:rPr>
      </w:pPr>
      <w:r w:rsidRPr="00576AF8">
        <w:rPr>
          <w:sz w:val="22"/>
          <w:szCs w:val="22"/>
        </w:rPr>
        <w:t>Servicios de Internet, a excepción de aplicaciones donde se requiere de forma obligatoria y puntual, como el servidor de antivirus.</w:t>
      </w:r>
    </w:p>
    <w:p w14:paraId="795A4339" w14:textId="77777777" w:rsidR="009102A7" w:rsidRPr="00576AF8" w:rsidRDefault="009102A7" w:rsidP="009102A7">
      <w:pPr>
        <w:numPr>
          <w:ilvl w:val="0"/>
          <w:numId w:val="245"/>
        </w:numPr>
        <w:ind w:right="4"/>
        <w:contextualSpacing/>
        <w:rPr>
          <w:sz w:val="22"/>
          <w:szCs w:val="22"/>
        </w:rPr>
      </w:pPr>
      <w:r w:rsidRPr="00576AF8">
        <w:rPr>
          <w:sz w:val="22"/>
          <w:szCs w:val="22"/>
        </w:rPr>
        <w:t>Protocolos de comunicación no utilizados y no seguros, por ejemplo, HTTP, Telnet. En su lugar, se utilizarán protocolos de comunicación de red seguros, como HTTPS, SFTP, SSH, SSL, TLS, etc.</w:t>
      </w:r>
    </w:p>
    <w:p w14:paraId="16D1D9AC" w14:textId="77777777" w:rsidR="009102A7" w:rsidRPr="00576AF8" w:rsidRDefault="009102A7" w:rsidP="009102A7">
      <w:pPr>
        <w:numPr>
          <w:ilvl w:val="0"/>
          <w:numId w:val="245"/>
        </w:numPr>
        <w:ind w:right="4"/>
        <w:contextualSpacing/>
        <w:rPr>
          <w:sz w:val="22"/>
          <w:szCs w:val="22"/>
        </w:rPr>
      </w:pPr>
      <w:r w:rsidRPr="00576AF8">
        <w:rPr>
          <w:sz w:val="22"/>
          <w:szCs w:val="22"/>
        </w:rPr>
        <w:t xml:space="preserve">Utilidades administrativas, diagnósticos, administración de redes y funciones de administración del sistema no utilizadas. </w:t>
      </w:r>
    </w:p>
    <w:p w14:paraId="0B98479F" w14:textId="77777777" w:rsidR="009102A7" w:rsidRPr="00576AF8" w:rsidRDefault="009102A7" w:rsidP="009102A7">
      <w:pPr>
        <w:numPr>
          <w:ilvl w:val="0"/>
          <w:numId w:val="245"/>
        </w:numPr>
        <w:ind w:right="4"/>
        <w:contextualSpacing/>
        <w:rPr>
          <w:sz w:val="22"/>
          <w:szCs w:val="22"/>
        </w:rPr>
      </w:pPr>
      <w:r w:rsidRPr="00576AF8">
        <w:rPr>
          <w:sz w:val="22"/>
          <w:szCs w:val="22"/>
        </w:rPr>
        <w:t xml:space="preserve">Programas, scripts, bases de datos y archivos de configuración y otros archivos utilizados para desarrollo y/o pruebas. </w:t>
      </w:r>
    </w:p>
    <w:p w14:paraId="6C0051B6"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El sistema SCADA/EMS no requerirá ninguna cuenta genérica predeterminada o de invitado. El Proveedor deberá desactivar o eliminar todas las cuentas génericas o innecesarias, así como realizar el cambio de todas las contraseñas genéricas de usuarios y administración del software y equipos antes del cutover, para lo cual CENACE entregará las nuevas contraseñas. Se aplicarán reglas de protección de contraseñas seguras para todas las cuentas de usuario, así como para auditar las actividades de las cuentas de usuario para monitorear los intentos de acceso no autorizados.  El proveedor deberá crear las cuentas nominales con los privilegios definidos por CENACE antes del cutover y entregar el procedimiento documentado paso a paso para la creación de nuevos ususarios nominales en el sistema.</w:t>
      </w:r>
    </w:p>
    <w:p w14:paraId="634BA0BC" w14:textId="77777777" w:rsidR="009102A7" w:rsidRPr="00576AF8" w:rsidRDefault="009102A7" w:rsidP="009102A7">
      <w:pPr>
        <w:ind w:left="720" w:hanging="720"/>
        <w:jc w:val="left"/>
        <w:outlineLvl w:val="2"/>
        <w:rPr>
          <w:b/>
          <w:sz w:val="22"/>
          <w:szCs w:val="22"/>
        </w:rPr>
      </w:pPr>
      <w:r w:rsidRPr="00576AF8">
        <w:rPr>
          <w:b/>
          <w:sz w:val="22"/>
          <w:szCs w:val="22"/>
        </w:rPr>
        <w:t>1.4.1.4.8 Sistema de Escaneo de Malware</w:t>
      </w:r>
    </w:p>
    <w:p w14:paraId="6762429B" w14:textId="77777777" w:rsidR="009102A7" w:rsidRPr="00576AF8" w:rsidRDefault="009102A7" w:rsidP="009102A7">
      <w:pPr>
        <w:ind w:left="2127" w:right="4" w:hanging="426"/>
        <w:rPr>
          <w:sz w:val="22"/>
          <w:szCs w:val="22"/>
        </w:rPr>
      </w:pPr>
      <w:r w:rsidRPr="00576AF8">
        <w:rPr>
          <w:sz w:val="22"/>
          <w:szCs w:val="22"/>
        </w:rPr>
        <w:t>a.</w:t>
      </w:r>
      <w:r w:rsidRPr="00576AF8">
        <w:rPr>
          <w:sz w:val="22"/>
          <w:szCs w:val="22"/>
        </w:rPr>
        <w:tab/>
        <w:t xml:space="preserve">Para garantizar un sistema libre de virus, se requiere un análisis periódico en busca de virus, gusanos, troyanos y otros contaminantes de software. Sin embargo, el análisis no debe afectar el rendimiento del sistema. </w:t>
      </w:r>
    </w:p>
    <w:p w14:paraId="3FA22D3E" w14:textId="77777777" w:rsidR="009102A7" w:rsidRPr="00576AF8" w:rsidRDefault="009102A7" w:rsidP="009102A7">
      <w:pPr>
        <w:ind w:left="2127" w:right="4" w:hanging="426"/>
        <w:rPr>
          <w:sz w:val="22"/>
          <w:szCs w:val="22"/>
        </w:rPr>
      </w:pPr>
      <w:r w:rsidRPr="00576AF8">
        <w:rPr>
          <w:sz w:val="22"/>
          <w:szCs w:val="22"/>
        </w:rPr>
        <w:t>b.</w:t>
      </w:r>
      <w:r w:rsidRPr="00576AF8">
        <w:rPr>
          <w:sz w:val="22"/>
          <w:szCs w:val="22"/>
        </w:rPr>
        <w:tab/>
        <w:t xml:space="preserve">Para lograr un equilibrio entre el entorno seguro y el rendimiento del sistema, se permiten exclusiones para ciertos archivos que encuentran la actividad más frecuente y que son parte del funcionamiento interno del sistema. </w:t>
      </w:r>
    </w:p>
    <w:p w14:paraId="4BAE83CE" w14:textId="77777777" w:rsidR="009102A7" w:rsidRPr="00576AF8" w:rsidRDefault="009102A7" w:rsidP="009102A7">
      <w:pPr>
        <w:ind w:left="2127" w:right="4" w:hanging="426"/>
        <w:rPr>
          <w:sz w:val="22"/>
          <w:szCs w:val="22"/>
        </w:rPr>
      </w:pPr>
      <w:r w:rsidRPr="00576AF8">
        <w:rPr>
          <w:sz w:val="22"/>
          <w:szCs w:val="22"/>
        </w:rPr>
        <w:lastRenderedPageBreak/>
        <w:t>c.</w:t>
      </w:r>
      <w:r w:rsidRPr="00576AF8">
        <w:rPr>
          <w:sz w:val="22"/>
          <w:szCs w:val="22"/>
        </w:rPr>
        <w:tab/>
        <w:t xml:space="preserve">El Proveedor proporcionará una guía de configuración que contenga la lista de carpetas y archivos que deben excluirse del análisis, asegurando así que las aplicaciones antivirus no representen un riesgo operativo para el entorno de control operativo. </w:t>
      </w:r>
    </w:p>
    <w:p w14:paraId="01035F57" w14:textId="77777777" w:rsidR="009102A7" w:rsidRPr="00576AF8" w:rsidRDefault="009102A7" w:rsidP="009102A7">
      <w:pPr>
        <w:ind w:left="2127" w:right="4" w:hanging="426"/>
        <w:rPr>
          <w:sz w:val="22"/>
          <w:szCs w:val="22"/>
        </w:rPr>
      </w:pPr>
      <w:r w:rsidRPr="00576AF8">
        <w:rPr>
          <w:sz w:val="22"/>
          <w:szCs w:val="22"/>
        </w:rPr>
        <w:t>d.</w:t>
      </w:r>
      <w:r w:rsidRPr="00576AF8">
        <w:rPr>
          <w:sz w:val="22"/>
          <w:szCs w:val="22"/>
        </w:rPr>
        <w:tab/>
        <w:t xml:space="preserve">La aplicación antivirus se configurará para notificar a un administrador cuando se detecte actividad maliciosa. </w:t>
      </w:r>
    </w:p>
    <w:p w14:paraId="796D367D" w14:textId="77777777" w:rsidR="009102A7" w:rsidRPr="00576AF8" w:rsidRDefault="009102A7" w:rsidP="009102A7">
      <w:pPr>
        <w:ind w:left="2127" w:right="4" w:hanging="426"/>
        <w:rPr>
          <w:sz w:val="22"/>
          <w:szCs w:val="22"/>
        </w:rPr>
      </w:pPr>
      <w:r w:rsidRPr="00576AF8">
        <w:rPr>
          <w:sz w:val="22"/>
          <w:szCs w:val="22"/>
        </w:rPr>
        <w:t>e.</w:t>
      </w:r>
      <w:r w:rsidRPr="00576AF8">
        <w:rPr>
          <w:sz w:val="22"/>
          <w:szCs w:val="22"/>
        </w:rPr>
        <w:tab/>
        <w:t>No se permitirá automáticamente ninguna reparación inmediata, acción clara o cuarentena de archivos.</w:t>
      </w:r>
    </w:p>
    <w:p w14:paraId="6DD047DA" w14:textId="77777777" w:rsidR="009102A7" w:rsidRPr="00576AF8" w:rsidRDefault="009102A7" w:rsidP="009102A7">
      <w:pPr>
        <w:ind w:left="2127" w:right="4" w:hanging="426"/>
        <w:rPr>
          <w:sz w:val="22"/>
          <w:szCs w:val="22"/>
        </w:rPr>
      </w:pPr>
      <w:r w:rsidRPr="00576AF8">
        <w:rPr>
          <w:sz w:val="22"/>
          <w:szCs w:val="22"/>
        </w:rPr>
        <w:t>f.</w:t>
      </w:r>
      <w:r w:rsidRPr="00576AF8">
        <w:rPr>
          <w:sz w:val="22"/>
          <w:szCs w:val="22"/>
        </w:rPr>
        <w:tab/>
        <w:t>La consola de administración y gestión de la herramienta antivirus y malware debe desplegarse de manera local e independiente en cada uno de los entornos del SCADA/EMS, no deberá ser gestiona de manera externa de cada ambiente, ni fuera de la red del CENACE, ni en la nube del proveedor de la aplicación. La actualización de la herramienta de gestión y administración y de la firma de virus debe ser diaria y replicarse a todos los equipos en los respectivos entornos del SCADA/EMS</w:t>
      </w:r>
    </w:p>
    <w:p w14:paraId="6A6177E5" w14:textId="77777777" w:rsidR="009102A7" w:rsidRPr="00576AF8" w:rsidRDefault="009102A7" w:rsidP="009102A7">
      <w:pPr>
        <w:ind w:left="720" w:hanging="720"/>
        <w:jc w:val="left"/>
        <w:outlineLvl w:val="2"/>
        <w:rPr>
          <w:b/>
          <w:sz w:val="22"/>
          <w:szCs w:val="22"/>
        </w:rPr>
      </w:pPr>
      <w:r w:rsidRPr="00576AF8">
        <w:rPr>
          <w:b/>
          <w:sz w:val="22"/>
          <w:szCs w:val="22"/>
        </w:rPr>
        <w:t>1.4.1.4.9 Actualización de Software y Gestión de Parches</w:t>
      </w:r>
    </w:p>
    <w:p w14:paraId="38417637" w14:textId="77777777" w:rsidR="009102A7" w:rsidRPr="00576AF8" w:rsidRDefault="009102A7" w:rsidP="009102A7">
      <w:pPr>
        <w:ind w:left="2127" w:right="4" w:hanging="284"/>
        <w:rPr>
          <w:sz w:val="22"/>
          <w:szCs w:val="22"/>
        </w:rPr>
      </w:pPr>
      <w:r w:rsidRPr="00576AF8">
        <w:rPr>
          <w:sz w:val="22"/>
          <w:szCs w:val="22"/>
        </w:rPr>
        <w:t>a.</w:t>
      </w:r>
      <w:r w:rsidRPr="00576AF8">
        <w:rPr>
          <w:sz w:val="22"/>
          <w:szCs w:val="22"/>
        </w:rPr>
        <w:tab/>
        <w:t xml:space="preserve">Como parte de las actividades de endurecimiento del sistema, se llevarán a cabo actualizaciones periódicas del sistema operativo y del software de aplicación. </w:t>
      </w:r>
    </w:p>
    <w:p w14:paraId="4260F6A5" w14:textId="77777777" w:rsidR="009102A7" w:rsidRPr="00576AF8" w:rsidRDefault="009102A7" w:rsidP="009102A7">
      <w:pPr>
        <w:ind w:left="2127" w:right="4" w:hanging="284"/>
        <w:rPr>
          <w:sz w:val="22"/>
          <w:szCs w:val="22"/>
        </w:rPr>
      </w:pPr>
      <w:r w:rsidRPr="00576AF8">
        <w:rPr>
          <w:sz w:val="22"/>
          <w:szCs w:val="22"/>
        </w:rPr>
        <w:t>b.</w:t>
      </w:r>
      <w:r w:rsidRPr="00576AF8">
        <w:rPr>
          <w:sz w:val="22"/>
          <w:szCs w:val="22"/>
        </w:rPr>
        <w:tab/>
        <w:t xml:space="preserve">El Proveedor propondrá un programa interno de administración de parches para proporcionar la validación inicial de todos los parches de seguridad antes de su liberación. El software de gestión de parches abarcará cinco tareas críticas: </w:t>
      </w:r>
    </w:p>
    <w:p w14:paraId="1CE2E98A" w14:textId="77777777" w:rsidR="009102A7" w:rsidRPr="00576AF8" w:rsidRDefault="009102A7" w:rsidP="009102A7">
      <w:pPr>
        <w:numPr>
          <w:ilvl w:val="0"/>
          <w:numId w:val="246"/>
        </w:numPr>
        <w:ind w:right="4"/>
        <w:contextualSpacing/>
        <w:rPr>
          <w:sz w:val="22"/>
          <w:szCs w:val="22"/>
        </w:rPr>
      </w:pPr>
      <w:r w:rsidRPr="00576AF8">
        <w:rPr>
          <w:sz w:val="22"/>
          <w:szCs w:val="22"/>
        </w:rPr>
        <w:t>Inventario de software y versiones.</w:t>
      </w:r>
    </w:p>
    <w:p w14:paraId="4826258E" w14:textId="77777777" w:rsidR="009102A7" w:rsidRPr="00576AF8" w:rsidRDefault="009102A7" w:rsidP="009102A7">
      <w:pPr>
        <w:numPr>
          <w:ilvl w:val="0"/>
          <w:numId w:val="246"/>
        </w:numPr>
        <w:ind w:right="4"/>
        <w:contextualSpacing/>
        <w:rPr>
          <w:sz w:val="22"/>
          <w:szCs w:val="22"/>
        </w:rPr>
      </w:pPr>
      <w:r w:rsidRPr="00576AF8">
        <w:rPr>
          <w:sz w:val="22"/>
          <w:szCs w:val="22"/>
        </w:rPr>
        <w:t xml:space="preserve">Identificar a qué dispositivos le faltan parches. </w:t>
      </w:r>
    </w:p>
    <w:p w14:paraId="7A7B8AEE" w14:textId="77777777" w:rsidR="009102A7" w:rsidRPr="00576AF8" w:rsidRDefault="009102A7" w:rsidP="009102A7">
      <w:pPr>
        <w:numPr>
          <w:ilvl w:val="0"/>
          <w:numId w:val="246"/>
        </w:numPr>
        <w:ind w:right="4"/>
        <w:contextualSpacing/>
        <w:rPr>
          <w:sz w:val="22"/>
          <w:szCs w:val="22"/>
        </w:rPr>
      </w:pPr>
      <w:r w:rsidRPr="00576AF8">
        <w:rPr>
          <w:sz w:val="22"/>
          <w:szCs w:val="22"/>
        </w:rPr>
        <w:t xml:space="preserve">Recopilación automática de parches de proveedores. </w:t>
      </w:r>
    </w:p>
    <w:p w14:paraId="708DBE33" w14:textId="77777777" w:rsidR="009102A7" w:rsidRPr="00576AF8" w:rsidRDefault="009102A7" w:rsidP="009102A7">
      <w:pPr>
        <w:numPr>
          <w:ilvl w:val="0"/>
          <w:numId w:val="246"/>
        </w:numPr>
        <w:ind w:right="4"/>
        <w:contextualSpacing/>
        <w:rPr>
          <w:sz w:val="22"/>
          <w:szCs w:val="22"/>
        </w:rPr>
      </w:pPr>
      <w:r w:rsidRPr="00576AF8">
        <w:rPr>
          <w:sz w:val="22"/>
          <w:szCs w:val="22"/>
        </w:rPr>
        <w:t xml:space="preserve">Implementación de parches en dispositivos. </w:t>
      </w:r>
    </w:p>
    <w:p w14:paraId="08C6A08B" w14:textId="77777777" w:rsidR="009102A7" w:rsidRPr="00576AF8" w:rsidRDefault="009102A7" w:rsidP="009102A7">
      <w:pPr>
        <w:numPr>
          <w:ilvl w:val="0"/>
          <w:numId w:val="246"/>
        </w:numPr>
        <w:ind w:right="4"/>
        <w:contextualSpacing/>
        <w:rPr>
          <w:sz w:val="22"/>
          <w:szCs w:val="22"/>
        </w:rPr>
      </w:pPr>
      <w:r w:rsidRPr="00576AF8">
        <w:rPr>
          <w:sz w:val="22"/>
          <w:szCs w:val="22"/>
        </w:rPr>
        <w:t>Proporcionar informes para ayudarle a tomar decisiones empresariales informadas.</w:t>
      </w:r>
    </w:p>
    <w:p w14:paraId="4709AB45" w14:textId="77777777" w:rsidR="009102A7" w:rsidRPr="00576AF8" w:rsidRDefault="009102A7" w:rsidP="009102A7">
      <w:pPr>
        <w:ind w:left="2127" w:right="4" w:hanging="284"/>
        <w:rPr>
          <w:sz w:val="22"/>
          <w:szCs w:val="22"/>
        </w:rPr>
      </w:pPr>
      <w:r w:rsidRPr="00576AF8">
        <w:rPr>
          <w:sz w:val="22"/>
          <w:szCs w:val="22"/>
        </w:rPr>
        <w:t>c.</w:t>
      </w:r>
      <w:r w:rsidRPr="00576AF8">
        <w:rPr>
          <w:sz w:val="22"/>
          <w:szCs w:val="22"/>
        </w:rPr>
        <w:tab/>
        <w:t>La aplicación de actualizaciones y parches al sistema SCADA/EMS se realizará sin afectar al funcionamiento normal del sistema. Las actualizaciones se aplicarán en primer lugar a un entorno de ensayo (QAS o PDS) y, posteriormente, una vez verificadas, se desplegarán en otros entornos.</w:t>
      </w:r>
    </w:p>
    <w:p w14:paraId="58FC4770" w14:textId="77777777" w:rsidR="009102A7" w:rsidRPr="00576AF8" w:rsidRDefault="009102A7" w:rsidP="009102A7">
      <w:pPr>
        <w:ind w:left="720" w:hanging="720"/>
        <w:jc w:val="left"/>
        <w:outlineLvl w:val="2"/>
        <w:rPr>
          <w:b/>
          <w:sz w:val="22"/>
          <w:szCs w:val="22"/>
        </w:rPr>
      </w:pPr>
      <w:r w:rsidRPr="00576AF8">
        <w:rPr>
          <w:b/>
          <w:sz w:val="22"/>
          <w:szCs w:val="22"/>
        </w:rPr>
        <w:t>1.4.1.4.10 Confidencialidad de los Datos</w:t>
      </w:r>
    </w:p>
    <w:p w14:paraId="614D7791" w14:textId="77777777" w:rsidR="009102A7" w:rsidRPr="00576AF8" w:rsidRDefault="009102A7" w:rsidP="009102A7">
      <w:pPr>
        <w:ind w:left="2127" w:right="4" w:hanging="284"/>
        <w:rPr>
          <w:sz w:val="22"/>
          <w:szCs w:val="22"/>
        </w:rPr>
      </w:pPr>
      <w:r w:rsidRPr="00576AF8">
        <w:rPr>
          <w:sz w:val="22"/>
          <w:szCs w:val="22"/>
        </w:rPr>
        <w:t>a.</w:t>
      </w:r>
      <w:r w:rsidRPr="00576AF8">
        <w:rPr>
          <w:sz w:val="22"/>
          <w:szCs w:val="22"/>
        </w:rPr>
        <w:tab/>
        <w:t xml:space="preserve">La información generada por el sistema SCADA/EMS, ya sea en reposo o en tránsito, es de naturaleza confidencial o sensible. Esto implica que algunos canales de comunicación y almacenes de datos requieren protección contra escuchas y accesos no autorizados. </w:t>
      </w:r>
    </w:p>
    <w:p w14:paraId="73F0D462" w14:textId="77777777" w:rsidR="009102A7" w:rsidRPr="00576AF8" w:rsidRDefault="009102A7" w:rsidP="009102A7">
      <w:pPr>
        <w:ind w:left="2127" w:right="4" w:hanging="284"/>
        <w:rPr>
          <w:sz w:val="22"/>
          <w:szCs w:val="22"/>
        </w:rPr>
      </w:pPr>
      <w:r w:rsidRPr="00576AF8">
        <w:rPr>
          <w:sz w:val="22"/>
          <w:szCs w:val="22"/>
        </w:rPr>
        <w:t>b.</w:t>
      </w:r>
      <w:r w:rsidRPr="00576AF8">
        <w:rPr>
          <w:sz w:val="22"/>
          <w:szCs w:val="22"/>
        </w:rPr>
        <w:tab/>
        <w:t>El Proveedor debe cumplir con los estándares y mejores prácticas internacionales, el Esquema Gubernamental de Seguridad de Información EGSI y la Ley Orgánica de Protección de Datos Personales del Ecuador.</w:t>
      </w:r>
    </w:p>
    <w:p w14:paraId="7910A437" w14:textId="77777777" w:rsidR="009102A7" w:rsidRPr="00576AF8" w:rsidRDefault="009102A7" w:rsidP="009102A7">
      <w:pPr>
        <w:ind w:left="720" w:hanging="720"/>
        <w:jc w:val="left"/>
        <w:outlineLvl w:val="2"/>
        <w:rPr>
          <w:b/>
          <w:sz w:val="22"/>
          <w:szCs w:val="22"/>
        </w:rPr>
      </w:pPr>
      <w:r w:rsidRPr="00576AF8">
        <w:rPr>
          <w:b/>
          <w:sz w:val="22"/>
          <w:szCs w:val="22"/>
        </w:rPr>
        <w:t>1.4.1.4.11 Confidencialidad de la Información</w:t>
      </w:r>
    </w:p>
    <w:p w14:paraId="0E78D27C" w14:textId="77777777" w:rsidR="009102A7" w:rsidRPr="00576AF8" w:rsidRDefault="009102A7" w:rsidP="009102A7">
      <w:pPr>
        <w:ind w:left="2127" w:right="4" w:hanging="284"/>
        <w:rPr>
          <w:sz w:val="22"/>
          <w:szCs w:val="22"/>
        </w:rPr>
      </w:pPr>
      <w:r w:rsidRPr="00576AF8">
        <w:rPr>
          <w:sz w:val="22"/>
          <w:szCs w:val="22"/>
        </w:rPr>
        <w:t>a.</w:t>
      </w:r>
      <w:r w:rsidRPr="00576AF8">
        <w:rPr>
          <w:sz w:val="22"/>
          <w:szCs w:val="22"/>
        </w:rPr>
        <w:tab/>
        <w:t xml:space="preserve">El sistema SCADA/EMS proporcionará la capacidad de proteger la confidencialidad de la información para la que se admite la autorización explícita de lectura, ya sea en reposo, por ejemplo, copias de seguridad o en tránsito. </w:t>
      </w:r>
    </w:p>
    <w:p w14:paraId="4C2FA64E" w14:textId="77777777" w:rsidR="009102A7" w:rsidRPr="00576AF8" w:rsidRDefault="009102A7" w:rsidP="009102A7">
      <w:pPr>
        <w:ind w:left="2127" w:right="4" w:hanging="284"/>
        <w:rPr>
          <w:sz w:val="22"/>
          <w:szCs w:val="22"/>
        </w:rPr>
      </w:pPr>
      <w:r w:rsidRPr="00576AF8">
        <w:rPr>
          <w:sz w:val="22"/>
          <w:szCs w:val="22"/>
        </w:rPr>
        <w:t>b.</w:t>
      </w:r>
      <w:r w:rsidRPr="00576AF8">
        <w:rPr>
          <w:sz w:val="22"/>
          <w:szCs w:val="22"/>
        </w:rPr>
        <w:tab/>
        <w:t xml:space="preserve">La protección de la información, en reposo o en tránsito, puede mantenerse a través de medios físicos, compartimentación o cifrado, entre otras técnicas. Es crucial que la técnica elegida considere las posibles ramificaciones en el rendimiento del sistema de control y la capacidad de recuperarse </w:t>
      </w:r>
      <w:r w:rsidR="005644D0" w:rsidRPr="00576AF8">
        <w:rPr>
          <w:sz w:val="22"/>
          <w:szCs w:val="22"/>
        </w:rPr>
        <w:t xml:space="preserve">100% </w:t>
      </w:r>
      <w:r w:rsidRPr="00576AF8">
        <w:rPr>
          <w:sz w:val="22"/>
          <w:szCs w:val="22"/>
        </w:rPr>
        <w:t>de fallas o ataques del sistema</w:t>
      </w:r>
      <w:r w:rsidR="005644D0" w:rsidRPr="00576AF8">
        <w:rPr>
          <w:sz w:val="22"/>
          <w:szCs w:val="22"/>
        </w:rPr>
        <w:t xml:space="preserve">, conforme lo indicado en la sección </w:t>
      </w:r>
      <w:r w:rsidR="00B72473" w:rsidRPr="00576AF8">
        <w:rPr>
          <w:sz w:val="22"/>
          <w:szCs w:val="22"/>
        </w:rPr>
        <w:t xml:space="preserve">C, numeral </w:t>
      </w:r>
      <w:r w:rsidR="005644D0" w:rsidRPr="00576AF8">
        <w:rPr>
          <w:sz w:val="22"/>
          <w:szCs w:val="22"/>
        </w:rPr>
        <w:t>2.1.1.1.8</w:t>
      </w:r>
      <w:r w:rsidRPr="00576AF8">
        <w:rPr>
          <w:sz w:val="22"/>
          <w:szCs w:val="22"/>
        </w:rPr>
        <w:t>.</w:t>
      </w:r>
      <w:r w:rsidR="00B72473" w:rsidRPr="00576AF8">
        <w:rPr>
          <w:sz w:val="22"/>
          <w:szCs w:val="22"/>
        </w:rPr>
        <w:t>5</w:t>
      </w:r>
    </w:p>
    <w:p w14:paraId="5B0BCE35" w14:textId="77777777" w:rsidR="009102A7" w:rsidRPr="00576AF8" w:rsidRDefault="009102A7" w:rsidP="009102A7">
      <w:pPr>
        <w:ind w:left="2127" w:right="4" w:hanging="284"/>
        <w:rPr>
          <w:sz w:val="22"/>
          <w:szCs w:val="22"/>
        </w:rPr>
      </w:pPr>
      <w:r w:rsidRPr="00576AF8">
        <w:rPr>
          <w:sz w:val="22"/>
          <w:szCs w:val="22"/>
        </w:rPr>
        <w:lastRenderedPageBreak/>
        <w:t>c.</w:t>
      </w:r>
      <w:r w:rsidRPr="00576AF8">
        <w:rPr>
          <w:sz w:val="22"/>
          <w:szCs w:val="22"/>
        </w:rPr>
        <w:tab/>
        <w:t xml:space="preserve">La decisión de si la confidencialidad de una determinada información debe protegerse o no, depende del producto y no puede tomarse a este nivel de especificación. Sin embargo, el hecho de que el Proveedor limite el acceso a la información mediante la configuración de autorizaciones de lectura explícitas en el sistema SCADA/EMS es un indicador de que esta información puede considerarse confidencial. Por lo tanto, toda la información para la cual el sistema SCADA/EMS admite la capacidad de asignar autorizaciones de lectura explícitas puede considerarse potencialmente confidencial y, por lo tanto, el sistema SCADA/EMS también proporcionará la capacidad de protegerla. </w:t>
      </w:r>
    </w:p>
    <w:p w14:paraId="6EF2B938" w14:textId="77777777" w:rsidR="009102A7" w:rsidRPr="00576AF8" w:rsidRDefault="009102A7" w:rsidP="009102A7">
      <w:pPr>
        <w:ind w:left="2127" w:right="4" w:hanging="284"/>
        <w:rPr>
          <w:sz w:val="22"/>
          <w:szCs w:val="22"/>
        </w:rPr>
      </w:pPr>
      <w:r w:rsidRPr="00576AF8">
        <w:rPr>
          <w:sz w:val="22"/>
          <w:szCs w:val="22"/>
        </w:rPr>
        <w:t>d.</w:t>
      </w:r>
      <w:r w:rsidRPr="00576AF8">
        <w:rPr>
          <w:sz w:val="22"/>
          <w:szCs w:val="22"/>
        </w:rPr>
        <w:tab/>
        <w:t>La gestión del autenticador, la información de autenticación, así como las contraseñas, se considerará confidencial y, por lo tanto, nunca se enviarán de forma no cifrada.</w:t>
      </w:r>
    </w:p>
    <w:p w14:paraId="70B87DBF" w14:textId="77777777" w:rsidR="009102A7" w:rsidRPr="00576AF8" w:rsidRDefault="009102A7" w:rsidP="009102A7">
      <w:pPr>
        <w:ind w:left="720" w:hanging="720"/>
        <w:jc w:val="left"/>
        <w:outlineLvl w:val="2"/>
        <w:rPr>
          <w:b/>
          <w:sz w:val="22"/>
          <w:szCs w:val="22"/>
        </w:rPr>
      </w:pPr>
      <w:r w:rsidRPr="00576AF8">
        <w:rPr>
          <w:b/>
          <w:sz w:val="22"/>
          <w:szCs w:val="22"/>
        </w:rPr>
        <w:t>1.4.1.4.12 Persistencia de la Información</w:t>
      </w:r>
    </w:p>
    <w:p w14:paraId="70BCF182" w14:textId="77777777" w:rsidR="009102A7" w:rsidRPr="00576AF8" w:rsidRDefault="009102A7" w:rsidP="009102A7">
      <w:pPr>
        <w:ind w:left="2127" w:right="4" w:hanging="284"/>
        <w:rPr>
          <w:sz w:val="22"/>
          <w:szCs w:val="22"/>
        </w:rPr>
      </w:pPr>
      <w:r w:rsidRPr="00576AF8">
        <w:rPr>
          <w:sz w:val="22"/>
          <w:szCs w:val="22"/>
        </w:rPr>
        <w:t>a.</w:t>
      </w:r>
      <w:r w:rsidRPr="00576AF8">
        <w:rPr>
          <w:sz w:val="22"/>
          <w:szCs w:val="22"/>
        </w:rPr>
        <w:tab/>
        <w:t xml:space="preserve">El sistema SCADA/EMS proporcionará la capacidad de purgar toda la información de los componentes fuera de servicio y/o liberarla del servicio activo para la que se necesite autorización explícita de lectura. </w:t>
      </w:r>
    </w:p>
    <w:p w14:paraId="1B8A0270" w14:textId="77777777" w:rsidR="009102A7" w:rsidRPr="00576AF8" w:rsidRDefault="009102A7" w:rsidP="009102A7">
      <w:pPr>
        <w:ind w:left="2127" w:right="4" w:hanging="284"/>
        <w:rPr>
          <w:sz w:val="22"/>
          <w:szCs w:val="22"/>
        </w:rPr>
      </w:pPr>
      <w:r w:rsidRPr="00576AF8">
        <w:rPr>
          <w:sz w:val="22"/>
          <w:szCs w:val="22"/>
        </w:rPr>
        <w:t>b.</w:t>
      </w:r>
      <w:r w:rsidRPr="00576AF8">
        <w:rPr>
          <w:sz w:val="22"/>
          <w:szCs w:val="22"/>
        </w:rPr>
        <w:tab/>
        <w:t>La información producida por las acciones de un usuario o un rol (por ejemplo, las acciones de un proceso de software que actúa en nombre de un usuario o rol) no se divulgará a un usuario o rol diferente de manera incontrolada. El sistema SCADA/EMS proporcionará una función de persistencia de datos para evitar que la información almacenada en un recurso compartido se divulgue involuntariamente después de que dicho recurso haya sido devuelto al sistema SCADA/EMS.</w:t>
      </w:r>
    </w:p>
    <w:p w14:paraId="188C400E" w14:textId="77777777" w:rsidR="009102A7" w:rsidRPr="00576AF8" w:rsidRDefault="009102A7" w:rsidP="009102A7">
      <w:pPr>
        <w:ind w:left="720" w:hanging="720"/>
        <w:jc w:val="left"/>
        <w:outlineLvl w:val="2"/>
        <w:rPr>
          <w:b/>
          <w:sz w:val="22"/>
          <w:szCs w:val="22"/>
        </w:rPr>
      </w:pPr>
      <w:r w:rsidRPr="00576AF8">
        <w:rPr>
          <w:b/>
          <w:sz w:val="22"/>
          <w:szCs w:val="22"/>
        </w:rPr>
        <w:t>1.4.1.4.13 Uso de la Criptografía</w:t>
      </w:r>
    </w:p>
    <w:p w14:paraId="578229DC" w14:textId="77777777" w:rsidR="009102A7" w:rsidRPr="00576AF8" w:rsidRDefault="009102A7" w:rsidP="009102A7">
      <w:pPr>
        <w:ind w:left="2160" w:right="4" w:hanging="317"/>
        <w:rPr>
          <w:sz w:val="22"/>
          <w:szCs w:val="22"/>
        </w:rPr>
      </w:pPr>
      <w:r w:rsidRPr="00576AF8">
        <w:rPr>
          <w:sz w:val="22"/>
          <w:szCs w:val="22"/>
        </w:rPr>
        <w:t>a.</w:t>
      </w:r>
      <w:r w:rsidRPr="00576AF8">
        <w:rPr>
          <w:sz w:val="22"/>
          <w:szCs w:val="22"/>
        </w:rPr>
        <w:tab/>
        <w:t xml:space="preserve">El sistema SCADA/EMS utilizará algoritmos criptográficos, tamaños de clave y mecanismos para el establecimiento y la gestión de claves de acuerdo con las prácticas y recomendaciones de la industria de seguridad comúnmente aceptadas, como NIST SP800-57 y FIPS 140-2. </w:t>
      </w:r>
    </w:p>
    <w:p w14:paraId="378CAF6B" w14:textId="77777777" w:rsidR="009102A7" w:rsidRPr="00576AF8" w:rsidRDefault="009102A7" w:rsidP="009102A7">
      <w:pPr>
        <w:ind w:left="2160" w:right="4" w:hanging="317"/>
        <w:rPr>
          <w:sz w:val="22"/>
          <w:szCs w:val="22"/>
        </w:rPr>
      </w:pPr>
      <w:r w:rsidRPr="00576AF8">
        <w:rPr>
          <w:sz w:val="22"/>
          <w:szCs w:val="22"/>
        </w:rPr>
        <w:t>b.</w:t>
      </w:r>
      <w:r w:rsidRPr="00576AF8">
        <w:rPr>
          <w:sz w:val="22"/>
          <w:szCs w:val="22"/>
        </w:rPr>
        <w:tab/>
        <w:t xml:space="preserve">La selección de la protección criptográfica corresponderá al valor de la información protegida, a las consecuencias de la confidencialidad de la información violada, al período durante el cual la información es confidencial y a las limitaciones operativas del sistema de control. Esto puede implicar información en reposo, en tránsito o ambas. </w:t>
      </w:r>
    </w:p>
    <w:p w14:paraId="2B327530" w14:textId="77777777" w:rsidR="009102A7" w:rsidRPr="00576AF8" w:rsidRDefault="009102A7" w:rsidP="009102A7">
      <w:pPr>
        <w:ind w:left="2160" w:right="4" w:hanging="317"/>
        <w:rPr>
          <w:sz w:val="22"/>
          <w:szCs w:val="22"/>
        </w:rPr>
      </w:pPr>
      <w:r w:rsidRPr="00576AF8">
        <w:rPr>
          <w:sz w:val="22"/>
          <w:szCs w:val="22"/>
        </w:rPr>
        <w:t>c.</w:t>
      </w:r>
      <w:r w:rsidRPr="00576AF8">
        <w:rPr>
          <w:sz w:val="22"/>
          <w:szCs w:val="22"/>
        </w:rPr>
        <w:tab/>
        <w:t xml:space="preserve">El Proveedor documentará las prácticas y procedimientos relacionados con el establecimiento y la gestión de claves criptográficas. El sistema SCADA/EMS utilizará algoritmos de cifrado y hash establecidos y probados, como el estándar de cifrado avanzado (AES) y la serie de algoritmos hash seguros (SHA), y tamaños de clave basados en un estándar asignado. </w:t>
      </w:r>
    </w:p>
    <w:p w14:paraId="49C679B2" w14:textId="77777777" w:rsidR="009102A7" w:rsidRPr="00576AF8" w:rsidRDefault="009102A7" w:rsidP="009102A7">
      <w:pPr>
        <w:ind w:left="2160" w:right="4" w:hanging="317"/>
        <w:rPr>
          <w:sz w:val="22"/>
          <w:szCs w:val="22"/>
        </w:rPr>
      </w:pPr>
      <w:r w:rsidRPr="00576AF8">
        <w:rPr>
          <w:sz w:val="22"/>
          <w:szCs w:val="22"/>
        </w:rPr>
        <w:t>d.</w:t>
      </w:r>
      <w:r w:rsidRPr="00576AF8">
        <w:rPr>
          <w:sz w:val="22"/>
          <w:szCs w:val="22"/>
        </w:rPr>
        <w:tab/>
        <w:t>La generación de claves se realizará utilizando un generador efectivo de números aleatorios. Las políticas y procedimientos de seguridad para la gestión de claves abordarán los cambios periódicos de claves, la destrucción de claves, la distribución de claves y la copia de seguridad de claves de cifrado de acuerdo con los estándares definidos.</w:t>
      </w:r>
    </w:p>
    <w:p w14:paraId="5E377189" w14:textId="77777777" w:rsidR="009102A7" w:rsidRPr="00576AF8" w:rsidRDefault="009102A7" w:rsidP="009102A7">
      <w:pPr>
        <w:ind w:left="720" w:hanging="720"/>
        <w:jc w:val="left"/>
        <w:outlineLvl w:val="2"/>
        <w:rPr>
          <w:b/>
          <w:sz w:val="22"/>
          <w:szCs w:val="22"/>
        </w:rPr>
      </w:pPr>
      <w:r w:rsidRPr="00576AF8">
        <w:rPr>
          <w:b/>
          <w:sz w:val="22"/>
          <w:szCs w:val="22"/>
        </w:rPr>
        <w:t>1.4.1.4.14 Segmentación de la Red</w:t>
      </w:r>
    </w:p>
    <w:p w14:paraId="100B86BD"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El Proveedor deberá segmentar lógicamente: </w:t>
      </w:r>
    </w:p>
    <w:p w14:paraId="253CBEB4" w14:textId="77777777" w:rsidR="009102A7" w:rsidRPr="00576AF8" w:rsidRDefault="009102A7" w:rsidP="009102A7">
      <w:pPr>
        <w:numPr>
          <w:ilvl w:val="0"/>
          <w:numId w:val="247"/>
        </w:numPr>
        <w:ind w:right="4"/>
        <w:contextualSpacing/>
        <w:rPr>
          <w:sz w:val="22"/>
          <w:szCs w:val="22"/>
        </w:rPr>
      </w:pPr>
      <w:r w:rsidRPr="00576AF8">
        <w:rPr>
          <w:sz w:val="22"/>
          <w:szCs w:val="22"/>
        </w:rPr>
        <w:t xml:space="preserve">Las redes SCADA/EMS de redes de sistemas que no son SCADA/EMS. </w:t>
      </w:r>
    </w:p>
    <w:p w14:paraId="266CC227" w14:textId="77777777" w:rsidR="009102A7" w:rsidRPr="00576AF8" w:rsidRDefault="009102A7" w:rsidP="009102A7">
      <w:pPr>
        <w:numPr>
          <w:ilvl w:val="0"/>
          <w:numId w:val="247"/>
        </w:numPr>
        <w:ind w:right="4"/>
        <w:contextualSpacing/>
        <w:rPr>
          <w:sz w:val="22"/>
          <w:szCs w:val="22"/>
        </w:rPr>
      </w:pPr>
      <w:r w:rsidRPr="00576AF8">
        <w:rPr>
          <w:sz w:val="22"/>
          <w:szCs w:val="22"/>
        </w:rPr>
        <w:t>Redes críticas del sistema SCADA/EMS de otras redes de sistemas SCADA/EMS (menos críticas).</w:t>
      </w:r>
    </w:p>
    <w:p w14:paraId="356125F0" w14:textId="77777777" w:rsidR="009102A7" w:rsidRPr="00576AF8" w:rsidRDefault="009102A7" w:rsidP="009102A7">
      <w:pPr>
        <w:numPr>
          <w:ilvl w:val="0"/>
          <w:numId w:val="247"/>
        </w:numPr>
        <w:ind w:right="4"/>
        <w:contextualSpacing/>
        <w:rPr>
          <w:sz w:val="22"/>
          <w:szCs w:val="22"/>
        </w:rPr>
      </w:pPr>
      <w:r w:rsidRPr="00576AF8">
        <w:rPr>
          <w:sz w:val="22"/>
          <w:szCs w:val="22"/>
        </w:rPr>
        <w:t xml:space="preserve">Los entornos SCADA/EMS de confianza de entornos SCADA/EMS que no son de confianza. </w:t>
      </w:r>
    </w:p>
    <w:p w14:paraId="6AF944DF" w14:textId="77777777" w:rsidR="009102A7" w:rsidRPr="00576AF8" w:rsidRDefault="009102A7" w:rsidP="009102A7">
      <w:pPr>
        <w:ind w:left="2160" w:right="4" w:hanging="459"/>
        <w:rPr>
          <w:sz w:val="22"/>
          <w:szCs w:val="22"/>
        </w:rPr>
      </w:pPr>
      <w:r w:rsidRPr="00576AF8">
        <w:rPr>
          <w:sz w:val="22"/>
          <w:szCs w:val="22"/>
        </w:rPr>
        <w:lastRenderedPageBreak/>
        <w:t>b.</w:t>
      </w:r>
      <w:r w:rsidRPr="00576AF8">
        <w:rPr>
          <w:sz w:val="22"/>
          <w:szCs w:val="22"/>
        </w:rPr>
        <w:tab/>
        <w:t>En general, no se permitirá el acceso desde el sistema SCADA/EMS a la Internet, excepto aquellos servicios/funcionalidades/dispositivos que necesiten acceder a la Internet para su correcto funcionamiento. Estos casos se justificarán claramente sobre la base de los requisitos operativos de SCADA/EMS y estos servicios/funcionalidades/dispositivos se incluirán en áreas separadas y protegidas (por ejemplo, DMZ protegidas por cortafuegos) para evitar cualquier deterioro de las redes del sistema SCADA/EMS.</w:t>
      </w:r>
    </w:p>
    <w:p w14:paraId="77D4134C"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Se requiere que la solución del Proveedor presente una solución de segmentación utilizando los principios de ZTNA.</w:t>
      </w:r>
    </w:p>
    <w:p w14:paraId="1DF54738" w14:textId="77777777" w:rsidR="009102A7" w:rsidRPr="00576AF8" w:rsidRDefault="009102A7" w:rsidP="009102A7">
      <w:pPr>
        <w:ind w:left="720" w:hanging="720"/>
        <w:jc w:val="left"/>
        <w:outlineLvl w:val="2"/>
        <w:rPr>
          <w:b/>
          <w:sz w:val="22"/>
          <w:szCs w:val="22"/>
        </w:rPr>
      </w:pPr>
      <w:r w:rsidRPr="00576AF8">
        <w:rPr>
          <w:b/>
          <w:sz w:val="22"/>
          <w:szCs w:val="22"/>
        </w:rPr>
        <w:t>1.4.1.4.15 Protección de Límites de Zona</w:t>
      </w:r>
    </w:p>
    <w:p w14:paraId="65B9E584"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El sistema SCADA/EMS proporcionará la capacidad de supervisar y controlar las comunicaciones en los límites de las zonas. </w:t>
      </w:r>
    </w:p>
    <w:p w14:paraId="27A6DF4F"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Como parte de una estrategia de protección de defensa en profundidad, cualquier conexión a redes externas o entre zonas a través de conductos se realizará a través de interfaces gestionadas consistentes en dispositivos de protección de límites apropiados (por ejemplo, proxies, pasarelas, enrutadores, cortafuegos, diodos de datos, guardias y túneles cifrados) dispuestos en una arquitectura eficaz (por ejemplo, cortafuegos que protejan las puertas de enlace de aplicaciones que residen en una DMZ).</w:t>
      </w:r>
    </w:p>
    <w:p w14:paraId="47D191D2" w14:textId="77777777" w:rsidR="009102A7" w:rsidRPr="00576AF8" w:rsidRDefault="009102A7" w:rsidP="009102A7">
      <w:pPr>
        <w:ind w:left="2160" w:right="4" w:hanging="459"/>
        <w:rPr>
          <w:sz w:val="22"/>
          <w:szCs w:val="22"/>
        </w:rPr>
      </w:pPr>
      <w:r w:rsidRPr="00576AF8">
        <w:rPr>
          <w:sz w:val="22"/>
          <w:szCs w:val="22"/>
        </w:rPr>
        <w:t xml:space="preserve">También se aplicarán los siguientes requisitos: </w:t>
      </w:r>
    </w:p>
    <w:p w14:paraId="4DD40100"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 xml:space="preserve">Denegar por defecto: el sistema SCADA/EMS deberá proporcionar la capacidad de denegar el tráfico de red de forma predeterminada y permitir el tráfico de red por excepción (también denominado denegar todo, permitir por excepción). </w:t>
      </w:r>
    </w:p>
    <w:p w14:paraId="5937436D" w14:textId="77777777" w:rsidR="009102A7" w:rsidRPr="00576AF8" w:rsidRDefault="009102A7" w:rsidP="009102A7">
      <w:pPr>
        <w:ind w:left="2160" w:right="4" w:hanging="459"/>
        <w:rPr>
          <w:sz w:val="22"/>
          <w:szCs w:val="22"/>
        </w:rPr>
      </w:pPr>
      <w:r w:rsidRPr="00576AF8">
        <w:rPr>
          <w:sz w:val="22"/>
          <w:szCs w:val="22"/>
        </w:rPr>
        <w:t>d.</w:t>
      </w:r>
      <w:r w:rsidRPr="00576AF8">
        <w:rPr>
          <w:sz w:val="22"/>
          <w:szCs w:val="22"/>
        </w:rPr>
        <w:tab/>
        <w:t>Modo isla: el sistema SCADA/EMS deberá proporcionar la capacidad de impedir cualquier comunicación a través del límite del sistema. El modo isla debe admitir funciones esenciales.</w:t>
      </w:r>
    </w:p>
    <w:p w14:paraId="3822920D" w14:textId="77777777" w:rsidR="009102A7" w:rsidRPr="00576AF8" w:rsidRDefault="009102A7" w:rsidP="009102A7">
      <w:pPr>
        <w:ind w:left="2160" w:right="4" w:hanging="459"/>
        <w:rPr>
          <w:sz w:val="22"/>
          <w:szCs w:val="22"/>
        </w:rPr>
      </w:pPr>
      <w:r w:rsidRPr="00576AF8">
        <w:rPr>
          <w:sz w:val="22"/>
          <w:szCs w:val="22"/>
        </w:rPr>
        <w:t>e.</w:t>
      </w:r>
      <w:r w:rsidRPr="00576AF8">
        <w:rPr>
          <w:sz w:val="22"/>
          <w:szCs w:val="22"/>
        </w:rPr>
        <w:tab/>
        <w:t>Cierre de falla: el sistema SCADA/EMS deberá proporcionar la capacidad de evitar cualquier comunicación a través del límite del sistema de control cuando haya una falla operativa, es decir, falla de hardware o falla de alimentación de los mecanismos de protección de límites. Esta funcionalidad de "cierre de falla" se diseñará de tal manera que no interfiera con el funcionamiento de un sistema SCADA/EMS u otras funciones relacionadas con la seguridad.</w:t>
      </w:r>
    </w:p>
    <w:p w14:paraId="2149D451" w14:textId="77777777" w:rsidR="009102A7" w:rsidRPr="00576AF8" w:rsidRDefault="009102A7" w:rsidP="009102A7">
      <w:pPr>
        <w:ind w:left="720" w:hanging="720"/>
        <w:jc w:val="left"/>
        <w:outlineLvl w:val="2"/>
        <w:rPr>
          <w:b/>
          <w:sz w:val="22"/>
          <w:szCs w:val="22"/>
        </w:rPr>
      </w:pPr>
      <w:r w:rsidRPr="00576AF8">
        <w:rPr>
          <w:b/>
          <w:sz w:val="22"/>
          <w:szCs w:val="22"/>
        </w:rPr>
        <w:t>1.4.1.4.16 Restricción de Comunicación Persona a Persona</w:t>
      </w:r>
    </w:p>
    <w:p w14:paraId="2862E7DE"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Los sistemas de comunicación de persona a persona de propósito general incluyen, entre otros:</w:t>
      </w:r>
    </w:p>
    <w:p w14:paraId="7565EB37" w14:textId="77777777" w:rsidR="009102A7" w:rsidRPr="00576AF8" w:rsidRDefault="009102A7" w:rsidP="009102A7">
      <w:pPr>
        <w:numPr>
          <w:ilvl w:val="0"/>
          <w:numId w:val="248"/>
        </w:numPr>
        <w:ind w:right="4"/>
        <w:contextualSpacing/>
        <w:rPr>
          <w:sz w:val="22"/>
          <w:szCs w:val="22"/>
        </w:rPr>
      </w:pPr>
      <w:r w:rsidRPr="00576AF8">
        <w:rPr>
          <w:sz w:val="22"/>
          <w:szCs w:val="22"/>
        </w:rPr>
        <w:t xml:space="preserve">Sistemas de correo electrónico. </w:t>
      </w:r>
    </w:p>
    <w:p w14:paraId="61FD8654" w14:textId="77777777" w:rsidR="009102A7" w:rsidRPr="00576AF8" w:rsidRDefault="009102A7" w:rsidP="009102A7">
      <w:pPr>
        <w:numPr>
          <w:ilvl w:val="0"/>
          <w:numId w:val="248"/>
        </w:numPr>
        <w:ind w:right="4"/>
        <w:contextualSpacing/>
        <w:rPr>
          <w:sz w:val="22"/>
          <w:szCs w:val="22"/>
        </w:rPr>
      </w:pPr>
      <w:r w:rsidRPr="00576AF8">
        <w:rPr>
          <w:sz w:val="22"/>
          <w:szCs w:val="22"/>
        </w:rPr>
        <w:t xml:space="preserve">Redes sociales. </w:t>
      </w:r>
    </w:p>
    <w:p w14:paraId="56172D57" w14:textId="77777777" w:rsidR="009102A7" w:rsidRPr="00576AF8" w:rsidRDefault="009102A7" w:rsidP="009102A7">
      <w:pPr>
        <w:numPr>
          <w:ilvl w:val="0"/>
          <w:numId w:val="248"/>
        </w:numPr>
        <w:ind w:right="4"/>
        <w:contextualSpacing/>
        <w:rPr>
          <w:sz w:val="22"/>
          <w:szCs w:val="22"/>
        </w:rPr>
      </w:pPr>
      <w:r w:rsidRPr="00576AF8">
        <w:rPr>
          <w:sz w:val="22"/>
          <w:szCs w:val="22"/>
        </w:rPr>
        <w:t xml:space="preserve">Sistemas de mensajes que permiten la transmisión de cualquier tipo de archivo ejecutable. </w:t>
      </w:r>
    </w:p>
    <w:p w14:paraId="523340DD"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El sistema SCADA/EMS prohibirá todas las comunicaciones de persona a persona de propósito general: el sistema SCADA/EMS proporcionará la capacidad de impedir tanto la transmisión como la recepción de mensajes de persona a persona de propósito general.</w:t>
      </w:r>
    </w:p>
    <w:p w14:paraId="134C4B75" w14:textId="77777777" w:rsidR="009102A7" w:rsidRPr="00576AF8" w:rsidRDefault="009102A7" w:rsidP="009102A7">
      <w:pPr>
        <w:ind w:left="720" w:hanging="720"/>
        <w:jc w:val="left"/>
        <w:outlineLvl w:val="2"/>
        <w:rPr>
          <w:b/>
          <w:sz w:val="22"/>
          <w:szCs w:val="22"/>
        </w:rPr>
      </w:pPr>
      <w:r w:rsidRPr="00576AF8">
        <w:rPr>
          <w:b/>
          <w:sz w:val="22"/>
          <w:szCs w:val="22"/>
        </w:rPr>
        <w:t>1.4.1.4.17 Extracción de datos desde el SCADA/EMS</w:t>
      </w:r>
    </w:p>
    <w:p w14:paraId="70F793EE"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El sistema permitirá la extracción datos a través del servidor de interfaces u otro mecanismo ubicados en la DMZ de servicios corporativos.</w:t>
      </w:r>
    </w:p>
    <w:p w14:paraId="64F2F5CA" w14:textId="77777777" w:rsidR="009102A7" w:rsidRPr="00576AF8" w:rsidRDefault="009102A7" w:rsidP="009102A7">
      <w:pPr>
        <w:ind w:left="720" w:hanging="720"/>
        <w:jc w:val="left"/>
        <w:outlineLvl w:val="2"/>
        <w:rPr>
          <w:b/>
          <w:sz w:val="22"/>
          <w:szCs w:val="22"/>
        </w:rPr>
      </w:pPr>
      <w:r w:rsidRPr="00576AF8">
        <w:rPr>
          <w:b/>
          <w:sz w:val="22"/>
          <w:szCs w:val="22"/>
        </w:rPr>
        <w:t>1.4.1.4.18 Partición de Aplicaciones</w:t>
      </w:r>
    </w:p>
    <w:p w14:paraId="57CC289D" w14:textId="77777777" w:rsidR="009102A7" w:rsidRPr="00576AF8" w:rsidRDefault="009102A7" w:rsidP="009102A7">
      <w:pPr>
        <w:ind w:left="2160" w:right="4" w:hanging="459"/>
        <w:rPr>
          <w:sz w:val="22"/>
          <w:szCs w:val="22"/>
        </w:rPr>
      </w:pPr>
      <w:r w:rsidRPr="00576AF8">
        <w:rPr>
          <w:sz w:val="22"/>
          <w:szCs w:val="22"/>
        </w:rPr>
        <w:lastRenderedPageBreak/>
        <w:t>a.</w:t>
      </w:r>
      <w:r w:rsidRPr="00576AF8">
        <w:rPr>
          <w:sz w:val="22"/>
          <w:szCs w:val="22"/>
        </w:rPr>
        <w:tab/>
        <w:t xml:space="preserve">El sistema SCADA/EMS proporcionará la capacidad de admitir la partición de datos, aplicaciones y servicios en función de la criticidad para facilitar la implementación de un modelo de zonificación. </w:t>
      </w:r>
    </w:p>
    <w:p w14:paraId="4E3EEDE5"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 xml:space="preserve">La partición podrá realizarse a través de medios físicos o lógicos utilizando diferentes computadoras, diferentes unidades centrales de procesamiento, diferentes instancias del sistema operativo, diferentes direcciones de red y combinaciones de estos métodos u otros métodos, según corresponda. </w:t>
      </w:r>
    </w:p>
    <w:p w14:paraId="5F394261"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Ejemplos de aplicaciones y servicios que se podrán considerar para diferentes particiones incluyen, pero no se limitan a, sistemas de emergencia y/o seguridad, aplicaciones de control de bucle cerrado (como regulación de potencia/frecuencia, regulación de voltaje, etc.), estaciones de trabajo de operador y estaciones de trabajo de ingeniería.</w:t>
      </w:r>
    </w:p>
    <w:p w14:paraId="32B47B6D" w14:textId="77777777" w:rsidR="009102A7" w:rsidRPr="00576AF8" w:rsidRDefault="009102A7" w:rsidP="009102A7">
      <w:pPr>
        <w:ind w:left="720" w:hanging="720"/>
        <w:jc w:val="left"/>
        <w:outlineLvl w:val="2"/>
        <w:rPr>
          <w:b/>
          <w:sz w:val="22"/>
          <w:szCs w:val="22"/>
        </w:rPr>
      </w:pPr>
      <w:r w:rsidRPr="00576AF8">
        <w:rPr>
          <w:b/>
          <w:sz w:val="22"/>
          <w:szCs w:val="22"/>
        </w:rPr>
        <w:t>1.4.1.4.19 Comunicación Inalámbrica</w:t>
      </w:r>
    </w:p>
    <w:p w14:paraId="50EFC58F" w14:textId="77777777" w:rsidR="009102A7" w:rsidRPr="00576AF8" w:rsidRDefault="009102A7" w:rsidP="009102A7">
      <w:pPr>
        <w:ind w:left="1560" w:right="4"/>
        <w:rPr>
          <w:sz w:val="22"/>
          <w:szCs w:val="22"/>
        </w:rPr>
      </w:pPr>
      <w:r w:rsidRPr="00576AF8">
        <w:rPr>
          <w:sz w:val="22"/>
          <w:szCs w:val="22"/>
        </w:rPr>
        <w:t>Se evitarán las comunicaciones inalámbricas para que cualquier dispositivo se conecte a las redes del SCADA/EMS.</w:t>
      </w:r>
    </w:p>
    <w:p w14:paraId="197AEB4C" w14:textId="77777777" w:rsidR="009102A7" w:rsidRPr="00576AF8" w:rsidRDefault="009102A7" w:rsidP="009102A7">
      <w:pPr>
        <w:ind w:left="720" w:hanging="720"/>
        <w:jc w:val="left"/>
        <w:outlineLvl w:val="2"/>
        <w:rPr>
          <w:b/>
          <w:sz w:val="22"/>
          <w:szCs w:val="22"/>
        </w:rPr>
      </w:pPr>
      <w:r w:rsidRPr="00576AF8">
        <w:rPr>
          <w:b/>
          <w:sz w:val="22"/>
          <w:szCs w:val="22"/>
        </w:rPr>
        <w:t>1.4.1.4.20 Redes que no son de Confianza</w:t>
      </w:r>
    </w:p>
    <w:p w14:paraId="1BA18F1D"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El acceso al sistema SCADA/EMS desde una red y dispositivo que no sean de confianza se auditará y denegará a menos que un rol asignado lo apruebe explícitamente.  Los ejemplos de acceso al dispositivo de red a través de redes no confiables suelen incluir métodos de acceso remoto, así como conexiones desde la red corporativa. </w:t>
      </w:r>
    </w:p>
    <w:p w14:paraId="1FFC1079"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 xml:space="preserve">Cualquier dispositivo de red (enrutador, punto de acceso, etc.) que admita el acceso del dispositivo a la red SCADA/EMS proporcionará la capacidad de monitorear, controlar y denegar todos los métodos de acceso al dispositivo de red a través de redes que no sean de confianza. </w:t>
      </w:r>
    </w:p>
    <w:p w14:paraId="2410A9A1"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 xml:space="preserve">El dispositivo de red deberá: </w:t>
      </w:r>
    </w:p>
    <w:p w14:paraId="2E485DC1" w14:textId="77777777" w:rsidR="009102A7" w:rsidRPr="00576AF8" w:rsidRDefault="009102A7" w:rsidP="009102A7">
      <w:pPr>
        <w:numPr>
          <w:ilvl w:val="0"/>
          <w:numId w:val="250"/>
        </w:numPr>
        <w:ind w:right="4"/>
        <w:contextualSpacing/>
        <w:rPr>
          <w:sz w:val="22"/>
          <w:szCs w:val="22"/>
        </w:rPr>
      </w:pPr>
      <w:r w:rsidRPr="00576AF8">
        <w:rPr>
          <w:sz w:val="22"/>
          <w:szCs w:val="22"/>
        </w:rPr>
        <w:t>Proteger contra conexiones no autorizadas.</w:t>
      </w:r>
    </w:p>
    <w:p w14:paraId="29418DE8" w14:textId="77777777" w:rsidR="009102A7" w:rsidRPr="00576AF8" w:rsidRDefault="009102A7" w:rsidP="009102A7">
      <w:pPr>
        <w:numPr>
          <w:ilvl w:val="0"/>
          <w:numId w:val="250"/>
        </w:numPr>
        <w:ind w:right="4"/>
        <w:contextualSpacing/>
        <w:rPr>
          <w:sz w:val="22"/>
          <w:szCs w:val="22"/>
        </w:rPr>
      </w:pPr>
      <w:r w:rsidRPr="00576AF8">
        <w:rPr>
          <w:sz w:val="22"/>
          <w:szCs w:val="22"/>
        </w:rPr>
        <w:t xml:space="preserve">Proporcionar funcionalidad ACL (lista de control de acceso) para restringir el acceso mediante: </w:t>
      </w:r>
    </w:p>
    <w:p w14:paraId="52EDBA1F" w14:textId="77777777" w:rsidR="009102A7" w:rsidRPr="00576AF8" w:rsidRDefault="009102A7" w:rsidP="009102A7">
      <w:pPr>
        <w:numPr>
          <w:ilvl w:val="4"/>
          <w:numId w:val="250"/>
        </w:numPr>
        <w:ind w:right="4"/>
        <w:contextualSpacing/>
        <w:rPr>
          <w:sz w:val="22"/>
          <w:szCs w:val="22"/>
        </w:rPr>
      </w:pPr>
      <w:r w:rsidRPr="00576AF8">
        <w:rPr>
          <w:sz w:val="22"/>
          <w:szCs w:val="22"/>
        </w:rPr>
        <w:t>Dispositivos de reenvío de capa 2, como switches Ethernet.</w:t>
      </w:r>
    </w:p>
    <w:p w14:paraId="050A23FD" w14:textId="77777777" w:rsidR="009102A7" w:rsidRPr="00576AF8" w:rsidRDefault="009102A7" w:rsidP="009102A7">
      <w:pPr>
        <w:numPr>
          <w:ilvl w:val="4"/>
          <w:numId w:val="250"/>
        </w:numPr>
        <w:ind w:right="4"/>
        <w:contextualSpacing/>
        <w:rPr>
          <w:sz w:val="22"/>
          <w:szCs w:val="22"/>
        </w:rPr>
      </w:pPr>
      <w:r w:rsidRPr="00576AF8">
        <w:rPr>
          <w:sz w:val="22"/>
          <w:szCs w:val="22"/>
        </w:rPr>
        <w:t>Dispositivos de reenvío de capa 3, como enrutadores, puertas de enlace y firewalls.</w:t>
      </w:r>
    </w:p>
    <w:p w14:paraId="71134386" w14:textId="77777777" w:rsidR="009102A7" w:rsidRPr="00576AF8" w:rsidRDefault="009102A7" w:rsidP="009102A7">
      <w:pPr>
        <w:ind w:left="720" w:hanging="720"/>
        <w:jc w:val="left"/>
        <w:outlineLvl w:val="2"/>
        <w:rPr>
          <w:b/>
          <w:sz w:val="22"/>
          <w:szCs w:val="22"/>
        </w:rPr>
      </w:pPr>
      <w:r w:rsidRPr="00576AF8">
        <w:rPr>
          <w:b/>
          <w:sz w:val="22"/>
          <w:szCs w:val="22"/>
        </w:rPr>
        <w:t>1.4.1.4.21 Cortafuegos (firewalls)</w:t>
      </w:r>
    </w:p>
    <w:p w14:paraId="0B1268BD" w14:textId="77777777" w:rsidR="009102A7" w:rsidRPr="00576AF8" w:rsidRDefault="009102A7" w:rsidP="009102A7">
      <w:pPr>
        <w:ind w:left="2160" w:right="4" w:hanging="720"/>
        <w:rPr>
          <w:sz w:val="22"/>
          <w:szCs w:val="22"/>
        </w:rPr>
      </w:pPr>
      <w:r w:rsidRPr="00576AF8">
        <w:rPr>
          <w:sz w:val="22"/>
          <w:szCs w:val="22"/>
        </w:rPr>
        <w:t xml:space="preserve">Los cortafuegos deberán: </w:t>
      </w:r>
    </w:p>
    <w:p w14:paraId="5C48D447"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Proporcionar protección activa y monitoreo del tráfico de red y la capacidad de responder en tiempo real para bloquear amenazas o anomalías para las cuales tal reacción es posible.</w:t>
      </w:r>
    </w:p>
    <w:p w14:paraId="71049BC7"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 xml:space="preserve">Proporcionar un filtrado basado en reglas del tráfico de red limitándolo a protocolos aceptables y comunicación entre dispositivos de red específicos: los firewalls también serán compatibles con los protocolos de red industrial, como DNP3.0 sobre TCP/IP, IEC 60870-5-104, IEC 61870-6 TASE 2, IEEE C37.118. </w:t>
      </w:r>
    </w:p>
    <w:p w14:paraId="58D92863"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Tener la capacidad de proporcionar filtrado basado en Deep Packet Inspection (DPI), junto con un filtrado de tráfico basado en reglas basado en los comandos como DNP3.0 sobre TCP/IP, IEC 60870-5-104, IEC 61870-6 TASE 2, IEEE C37.118 y los rangos de datos permitidos para registros.</w:t>
      </w:r>
    </w:p>
    <w:p w14:paraId="1DEF4AFD" w14:textId="77777777" w:rsidR="009102A7" w:rsidRPr="00576AF8" w:rsidRDefault="009102A7" w:rsidP="009102A7">
      <w:pPr>
        <w:ind w:left="2160" w:right="4" w:hanging="459"/>
        <w:rPr>
          <w:sz w:val="22"/>
          <w:szCs w:val="22"/>
        </w:rPr>
      </w:pPr>
      <w:r w:rsidRPr="00576AF8">
        <w:rPr>
          <w:sz w:val="22"/>
          <w:szCs w:val="22"/>
        </w:rPr>
        <w:lastRenderedPageBreak/>
        <w:t>d.</w:t>
      </w:r>
      <w:r w:rsidRPr="00576AF8">
        <w:rPr>
          <w:sz w:val="22"/>
          <w:szCs w:val="22"/>
        </w:rPr>
        <w:tab/>
        <w:t xml:space="preserve">Implementar diferentes reglas de filtrado dependiendo de la dirección del flujo de datos, puertos y protocolos de comunicación utilizados. </w:t>
      </w:r>
    </w:p>
    <w:p w14:paraId="001C8A68" w14:textId="77777777" w:rsidR="009102A7" w:rsidRPr="00576AF8" w:rsidRDefault="009102A7" w:rsidP="009102A7">
      <w:pPr>
        <w:ind w:left="2160" w:right="4" w:hanging="459"/>
        <w:rPr>
          <w:sz w:val="22"/>
          <w:szCs w:val="22"/>
        </w:rPr>
      </w:pPr>
      <w:r w:rsidRPr="00576AF8">
        <w:rPr>
          <w:sz w:val="22"/>
          <w:szCs w:val="22"/>
        </w:rPr>
        <w:t>e.</w:t>
      </w:r>
      <w:r w:rsidRPr="00576AF8">
        <w:rPr>
          <w:sz w:val="22"/>
          <w:szCs w:val="22"/>
        </w:rPr>
        <w:tab/>
        <w:t xml:space="preserve">Proporcionar generación automática de alarmas en caso de detección de eventos de seguridad. Tener la capacidad de transferir datos sobre eventos de seguridad a otras herramientas de terceros como SIEM. </w:t>
      </w:r>
    </w:p>
    <w:p w14:paraId="61F657A0" w14:textId="77777777" w:rsidR="009102A7" w:rsidRPr="00576AF8" w:rsidRDefault="009102A7" w:rsidP="009102A7">
      <w:pPr>
        <w:ind w:left="2160" w:right="4" w:hanging="459"/>
        <w:rPr>
          <w:sz w:val="22"/>
          <w:szCs w:val="22"/>
        </w:rPr>
      </w:pPr>
      <w:r w:rsidRPr="00576AF8">
        <w:rPr>
          <w:sz w:val="22"/>
          <w:szCs w:val="22"/>
        </w:rPr>
        <w:t>f.</w:t>
      </w:r>
      <w:r w:rsidRPr="00576AF8">
        <w:rPr>
          <w:sz w:val="22"/>
          <w:szCs w:val="22"/>
        </w:rPr>
        <w:tab/>
        <w:t>Capacidad de detección y protección de intrusos IDS/IPS</w:t>
      </w:r>
    </w:p>
    <w:p w14:paraId="428C7689" w14:textId="77777777" w:rsidR="009102A7" w:rsidRPr="00576AF8" w:rsidRDefault="009102A7" w:rsidP="009102A7">
      <w:pPr>
        <w:ind w:left="2160" w:right="4" w:hanging="459"/>
        <w:rPr>
          <w:sz w:val="22"/>
          <w:szCs w:val="22"/>
        </w:rPr>
      </w:pPr>
      <w:r w:rsidRPr="00576AF8">
        <w:rPr>
          <w:sz w:val="22"/>
          <w:szCs w:val="22"/>
        </w:rPr>
        <w:t>g.</w:t>
      </w:r>
      <w:r w:rsidRPr="00576AF8">
        <w:rPr>
          <w:sz w:val="22"/>
          <w:szCs w:val="22"/>
        </w:rPr>
        <w:tab/>
        <w:t xml:space="preserve">Proporcionar un bypass de comunicación de hardware para permitir la comunicación incluso en caso de falla de la fuente de alimentación. </w:t>
      </w:r>
    </w:p>
    <w:p w14:paraId="21AC2CBB" w14:textId="77777777" w:rsidR="009102A7" w:rsidRPr="00576AF8" w:rsidRDefault="009102A7" w:rsidP="009102A7">
      <w:pPr>
        <w:ind w:left="2160" w:right="4" w:hanging="459"/>
        <w:rPr>
          <w:sz w:val="22"/>
          <w:szCs w:val="22"/>
        </w:rPr>
      </w:pPr>
      <w:r w:rsidRPr="00576AF8">
        <w:rPr>
          <w:sz w:val="22"/>
          <w:szCs w:val="22"/>
        </w:rPr>
        <w:t>h.</w:t>
      </w:r>
      <w:r w:rsidRPr="00576AF8">
        <w:rPr>
          <w:sz w:val="22"/>
          <w:szCs w:val="22"/>
        </w:rPr>
        <w:tab/>
        <w:t xml:space="preserve">Ser independiente de los puertos y capaz de analizar todos los datos de todos los puertos todo el tiempo para la identificación del tráfico/aplicaciones. </w:t>
      </w:r>
    </w:p>
    <w:p w14:paraId="653CB5EF" w14:textId="77777777" w:rsidR="009102A7" w:rsidRPr="00576AF8" w:rsidRDefault="009102A7" w:rsidP="009102A7">
      <w:pPr>
        <w:ind w:left="2160" w:right="4" w:hanging="459"/>
        <w:rPr>
          <w:sz w:val="22"/>
          <w:szCs w:val="22"/>
        </w:rPr>
      </w:pPr>
      <w:r w:rsidRPr="00576AF8">
        <w:rPr>
          <w:sz w:val="22"/>
          <w:szCs w:val="22"/>
        </w:rPr>
        <w:t>i.</w:t>
      </w:r>
      <w:r w:rsidRPr="00576AF8">
        <w:rPr>
          <w:sz w:val="22"/>
          <w:szCs w:val="22"/>
        </w:rPr>
        <w:tab/>
        <w:t>Proporcionar fuentes de inteligencia de amenazas automatizadas/manuales.</w:t>
      </w:r>
    </w:p>
    <w:p w14:paraId="651C6DE9" w14:textId="77777777" w:rsidR="009102A7" w:rsidRPr="00576AF8" w:rsidRDefault="009102A7" w:rsidP="009102A7">
      <w:pPr>
        <w:ind w:left="2160" w:right="4" w:hanging="459"/>
        <w:rPr>
          <w:sz w:val="22"/>
          <w:szCs w:val="22"/>
        </w:rPr>
      </w:pPr>
      <w:r w:rsidRPr="00576AF8">
        <w:rPr>
          <w:sz w:val="22"/>
          <w:szCs w:val="22"/>
        </w:rPr>
        <w:t xml:space="preserve">j.      Identificar y controlar las aplicaciones que comparten la misma conexión. </w:t>
      </w:r>
    </w:p>
    <w:p w14:paraId="0EB1668E" w14:textId="77777777" w:rsidR="009102A7" w:rsidRPr="00576AF8" w:rsidRDefault="009102A7" w:rsidP="009102A7">
      <w:pPr>
        <w:ind w:left="2160" w:right="4" w:hanging="459"/>
        <w:rPr>
          <w:sz w:val="22"/>
          <w:szCs w:val="22"/>
        </w:rPr>
      </w:pPr>
      <w:r w:rsidRPr="00576AF8">
        <w:rPr>
          <w:sz w:val="22"/>
          <w:szCs w:val="22"/>
        </w:rPr>
        <w:t>k.</w:t>
      </w:r>
      <w:r w:rsidRPr="00576AF8">
        <w:rPr>
          <w:sz w:val="22"/>
          <w:szCs w:val="22"/>
        </w:rPr>
        <w:tab/>
        <w:t xml:space="preserve">Proporcionar capacidades como la firma de imágenes, el arranque seguro y la autenticidad del hardware. </w:t>
      </w:r>
    </w:p>
    <w:p w14:paraId="46B80012" w14:textId="77777777" w:rsidR="009102A7" w:rsidRPr="00576AF8" w:rsidRDefault="009102A7" w:rsidP="009102A7">
      <w:pPr>
        <w:ind w:left="2160" w:right="4" w:hanging="459"/>
        <w:rPr>
          <w:sz w:val="22"/>
          <w:szCs w:val="22"/>
        </w:rPr>
      </w:pPr>
      <w:r w:rsidRPr="00576AF8">
        <w:rPr>
          <w:sz w:val="22"/>
          <w:szCs w:val="22"/>
        </w:rPr>
        <w:t>l.</w:t>
      </w:r>
      <w:r w:rsidRPr="00576AF8">
        <w:rPr>
          <w:sz w:val="22"/>
          <w:szCs w:val="22"/>
        </w:rPr>
        <w:tab/>
        <w:t>Tener la capacidad suficiente para manejar el tráfico de todos los dispositivos asociados</w:t>
      </w:r>
    </w:p>
    <w:p w14:paraId="1BE78C02" w14:textId="77777777" w:rsidR="009102A7" w:rsidRPr="00576AF8" w:rsidRDefault="009102A7" w:rsidP="009102A7">
      <w:pPr>
        <w:ind w:left="2160" w:right="4" w:hanging="459"/>
        <w:rPr>
          <w:sz w:val="22"/>
          <w:szCs w:val="22"/>
        </w:rPr>
      </w:pPr>
      <w:r w:rsidRPr="00576AF8">
        <w:rPr>
          <w:sz w:val="22"/>
          <w:szCs w:val="22"/>
        </w:rPr>
        <w:t xml:space="preserve">Se deberá: </w:t>
      </w:r>
    </w:p>
    <w:p w14:paraId="1CF2D78F" w14:textId="77777777" w:rsidR="009102A7" w:rsidRPr="00576AF8" w:rsidRDefault="009102A7" w:rsidP="009102A7">
      <w:pPr>
        <w:numPr>
          <w:ilvl w:val="0"/>
          <w:numId w:val="255"/>
        </w:numPr>
        <w:ind w:right="4"/>
        <w:contextualSpacing/>
        <w:rPr>
          <w:sz w:val="22"/>
          <w:szCs w:val="22"/>
        </w:rPr>
      </w:pPr>
      <w:r w:rsidRPr="00576AF8">
        <w:rPr>
          <w:sz w:val="22"/>
          <w:szCs w:val="22"/>
        </w:rPr>
        <w:t xml:space="preserve">Incluir un mecanismo de detección de amenazas de día cero que valide los archivos ejecutables que pasan a través del firewall y proporcione análisis de amenazas de comportamiento de ejecutables desconocidos y creación automática de firmas para bloquear la entrega de archivos ejecutables que el sistema de análisis considere peligrosos. </w:t>
      </w:r>
    </w:p>
    <w:p w14:paraId="2B445095" w14:textId="77777777" w:rsidR="009102A7" w:rsidRPr="00576AF8" w:rsidRDefault="009102A7" w:rsidP="009102A7">
      <w:pPr>
        <w:numPr>
          <w:ilvl w:val="0"/>
          <w:numId w:val="255"/>
        </w:numPr>
        <w:ind w:right="4"/>
        <w:contextualSpacing/>
        <w:rPr>
          <w:sz w:val="22"/>
          <w:szCs w:val="22"/>
        </w:rPr>
      </w:pPr>
      <w:r w:rsidRPr="00576AF8">
        <w:rPr>
          <w:sz w:val="22"/>
          <w:szCs w:val="22"/>
        </w:rPr>
        <w:t>Admitir el descifrado de conexiones salientes y entrantes basadas en certificados SSL.</w:t>
      </w:r>
    </w:p>
    <w:p w14:paraId="76D4307A" w14:textId="77777777" w:rsidR="009102A7" w:rsidRPr="00576AF8" w:rsidRDefault="009102A7" w:rsidP="009102A7">
      <w:pPr>
        <w:ind w:left="720" w:hanging="720"/>
        <w:jc w:val="left"/>
        <w:outlineLvl w:val="2"/>
        <w:rPr>
          <w:b/>
          <w:sz w:val="22"/>
          <w:szCs w:val="22"/>
        </w:rPr>
      </w:pPr>
      <w:r w:rsidRPr="00576AF8">
        <w:rPr>
          <w:b/>
          <w:sz w:val="22"/>
          <w:szCs w:val="22"/>
        </w:rPr>
        <w:t>1.4.1.5</w:t>
      </w:r>
      <w:r w:rsidRPr="00576AF8">
        <w:rPr>
          <w:b/>
          <w:sz w:val="22"/>
          <w:szCs w:val="22"/>
        </w:rPr>
        <w:tab/>
      </w:r>
      <w:r w:rsidRPr="00576AF8">
        <w:rPr>
          <w:b/>
          <w:sz w:val="22"/>
          <w:szCs w:val="22"/>
          <w:u w:val="single"/>
        </w:rPr>
        <w:t>Respaldo y recuperación ante desastres</w:t>
      </w:r>
      <w:r w:rsidRPr="00576AF8">
        <w:rPr>
          <w:b/>
          <w:sz w:val="22"/>
          <w:szCs w:val="22"/>
        </w:rPr>
        <w:t xml:space="preserve">: </w:t>
      </w:r>
    </w:p>
    <w:p w14:paraId="4554BC0B" w14:textId="77777777" w:rsidR="009102A7" w:rsidRPr="00576AF8" w:rsidRDefault="009102A7" w:rsidP="009102A7">
      <w:pPr>
        <w:ind w:left="720" w:hanging="720"/>
        <w:jc w:val="left"/>
        <w:outlineLvl w:val="2"/>
        <w:rPr>
          <w:b/>
          <w:i/>
          <w:sz w:val="22"/>
          <w:szCs w:val="22"/>
        </w:rPr>
      </w:pPr>
      <w:r w:rsidRPr="00576AF8">
        <w:rPr>
          <w:b/>
          <w:sz w:val="22"/>
          <w:szCs w:val="22"/>
        </w:rPr>
        <w:t>1.4.1.5.1 Copia de Seguridad del Sistema de Control</w:t>
      </w:r>
    </w:p>
    <w:p w14:paraId="5EBED86C" w14:textId="77777777" w:rsidR="009102A7" w:rsidRPr="00576AF8" w:rsidRDefault="009102A7" w:rsidP="009102A7">
      <w:pPr>
        <w:ind w:left="2160" w:right="4" w:hanging="459"/>
        <w:rPr>
          <w:sz w:val="22"/>
          <w:szCs w:val="22"/>
        </w:rPr>
      </w:pPr>
      <w:r w:rsidRPr="00576AF8">
        <w:rPr>
          <w:sz w:val="22"/>
          <w:szCs w:val="22"/>
        </w:rPr>
        <w:t>a.</w:t>
      </w:r>
      <w:r w:rsidRPr="00576AF8">
        <w:rPr>
          <w:sz w:val="22"/>
          <w:szCs w:val="22"/>
        </w:rPr>
        <w:tab/>
        <w:t xml:space="preserve">La identidad y la ubicación de los archivos críticos y la capacidad de realizar copias de seguridad de la información a nivel de usuario y de sistema (incluida la información sobre el estado del sistema) estarán respaldadas por el SCADA/EMS sin que ello afecte a las operaciones normales del sistema. </w:t>
      </w:r>
    </w:p>
    <w:p w14:paraId="5A818CB0" w14:textId="77777777" w:rsidR="009102A7" w:rsidRPr="00576AF8" w:rsidRDefault="009102A7" w:rsidP="009102A7">
      <w:pPr>
        <w:ind w:left="2160" w:right="4" w:hanging="459"/>
        <w:rPr>
          <w:sz w:val="22"/>
          <w:szCs w:val="22"/>
        </w:rPr>
      </w:pPr>
      <w:r w:rsidRPr="00576AF8">
        <w:rPr>
          <w:sz w:val="22"/>
          <w:szCs w:val="22"/>
        </w:rPr>
        <w:t xml:space="preserve">Se aplican los siguientes requisitos de seguridad: </w:t>
      </w:r>
    </w:p>
    <w:p w14:paraId="36FF1388" w14:textId="77777777" w:rsidR="009102A7" w:rsidRPr="00576AF8" w:rsidRDefault="009102A7" w:rsidP="009102A7">
      <w:pPr>
        <w:numPr>
          <w:ilvl w:val="0"/>
          <w:numId w:val="251"/>
        </w:numPr>
        <w:ind w:right="4"/>
        <w:contextualSpacing/>
        <w:rPr>
          <w:sz w:val="22"/>
          <w:szCs w:val="22"/>
        </w:rPr>
      </w:pPr>
      <w:r w:rsidRPr="00576AF8">
        <w:rPr>
          <w:sz w:val="22"/>
          <w:szCs w:val="22"/>
        </w:rPr>
        <w:t xml:space="preserve">Verificación de la copia de seguridad: el sistema SCADA/EMS deberá proporcionar la capacidad de verificar la fiabilidad de los mecanismos de copia de seguridad. </w:t>
      </w:r>
    </w:p>
    <w:p w14:paraId="729D08D8" w14:textId="77777777" w:rsidR="009102A7" w:rsidRPr="00576AF8" w:rsidRDefault="009102A7" w:rsidP="009102A7">
      <w:pPr>
        <w:numPr>
          <w:ilvl w:val="0"/>
          <w:numId w:val="251"/>
        </w:numPr>
        <w:ind w:right="4"/>
        <w:contextualSpacing/>
        <w:rPr>
          <w:sz w:val="22"/>
          <w:szCs w:val="22"/>
        </w:rPr>
      </w:pPr>
      <w:r w:rsidRPr="00576AF8">
        <w:rPr>
          <w:sz w:val="22"/>
          <w:szCs w:val="22"/>
        </w:rPr>
        <w:t>Automatización de la copia de seguridad: el sistema SCADA/EMS deberá proporcionar la capacidad de automatizar la función de copia de seguridad en función de una frecuencia configurable.</w:t>
      </w:r>
    </w:p>
    <w:p w14:paraId="0D692867" w14:textId="77777777" w:rsidR="009102A7" w:rsidRPr="00576AF8" w:rsidRDefault="009102A7" w:rsidP="009102A7">
      <w:pPr>
        <w:ind w:left="2160" w:right="4" w:hanging="459"/>
        <w:rPr>
          <w:sz w:val="22"/>
          <w:szCs w:val="22"/>
        </w:rPr>
      </w:pPr>
      <w:r w:rsidRPr="00576AF8">
        <w:rPr>
          <w:sz w:val="22"/>
          <w:szCs w:val="22"/>
        </w:rPr>
        <w:t>b.</w:t>
      </w:r>
      <w:r w:rsidRPr="00576AF8">
        <w:rPr>
          <w:sz w:val="22"/>
          <w:szCs w:val="22"/>
        </w:rPr>
        <w:tab/>
        <w:t>El SCADA/EMS garantizará el respaldo de las configuraciones del sistema, datos históricos y otros archivos que recomiende el Proveedor mediante copias de seguridad, con la posibilidad de que el gestor de la administración del sistema los reintegre de forma independiente.</w:t>
      </w:r>
    </w:p>
    <w:p w14:paraId="163FBA7B" w14:textId="77777777" w:rsidR="009102A7" w:rsidRPr="00576AF8" w:rsidRDefault="009102A7" w:rsidP="009102A7">
      <w:pPr>
        <w:ind w:left="2160" w:right="4" w:hanging="459"/>
        <w:rPr>
          <w:sz w:val="22"/>
          <w:szCs w:val="22"/>
        </w:rPr>
      </w:pPr>
      <w:r w:rsidRPr="00576AF8">
        <w:rPr>
          <w:sz w:val="22"/>
          <w:szCs w:val="22"/>
        </w:rPr>
        <w:t>c.</w:t>
      </w:r>
      <w:r w:rsidRPr="00576AF8">
        <w:rPr>
          <w:sz w:val="22"/>
          <w:szCs w:val="22"/>
        </w:rPr>
        <w:tab/>
        <w:t>El sistema SCADA/EMS proporcionará la capacidad de recuperarse y reconstituirse a</w:t>
      </w:r>
      <w:r w:rsidR="005644D0" w:rsidRPr="00576AF8">
        <w:rPr>
          <w:sz w:val="22"/>
          <w:szCs w:val="22"/>
        </w:rPr>
        <w:t xml:space="preserve">l último respaldo diario que sea obtenido de manera segura y confiable, </w:t>
      </w:r>
      <w:r w:rsidRPr="00576AF8">
        <w:rPr>
          <w:sz w:val="22"/>
          <w:szCs w:val="22"/>
        </w:rPr>
        <w:t xml:space="preserve">conocido después de una interrupción o falla. </w:t>
      </w:r>
    </w:p>
    <w:p w14:paraId="25E1C9F7" w14:textId="77777777" w:rsidR="009102A7" w:rsidRPr="00576AF8" w:rsidRDefault="009102A7" w:rsidP="009102A7">
      <w:pPr>
        <w:ind w:left="2160" w:right="4" w:hanging="459"/>
        <w:rPr>
          <w:sz w:val="22"/>
          <w:szCs w:val="22"/>
        </w:rPr>
      </w:pPr>
      <w:r w:rsidRPr="00576AF8">
        <w:rPr>
          <w:sz w:val="22"/>
          <w:szCs w:val="22"/>
        </w:rPr>
        <w:lastRenderedPageBreak/>
        <w:t>d.</w:t>
      </w:r>
      <w:r w:rsidRPr="00576AF8">
        <w:rPr>
          <w:sz w:val="22"/>
          <w:szCs w:val="22"/>
        </w:rPr>
        <w:tab/>
        <w:t>El Proveedor propondrá una solución de copia de seguridad de servidores y consolas para todos los dispositivos SCADA/EMS con capacidad de al menos 2 años y un plan de respaldo para la validación por</w:t>
      </w:r>
      <w:r w:rsidR="00593894" w:rsidRPr="00576AF8">
        <w:rPr>
          <w:sz w:val="22"/>
          <w:szCs w:val="22"/>
        </w:rPr>
        <w:t xml:space="preserve"> el Comprador</w:t>
      </w:r>
      <w:r w:rsidRPr="00576AF8">
        <w:rPr>
          <w:sz w:val="22"/>
          <w:szCs w:val="22"/>
        </w:rPr>
        <w:t>.</w:t>
      </w:r>
    </w:p>
    <w:p w14:paraId="620DD4EE" w14:textId="77777777" w:rsidR="009102A7" w:rsidRPr="00576AF8" w:rsidRDefault="009102A7" w:rsidP="009102A7">
      <w:pPr>
        <w:ind w:left="720" w:hanging="720"/>
        <w:jc w:val="left"/>
        <w:outlineLvl w:val="2"/>
        <w:rPr>
          <w:b/>
          <w:sz w:val="22"/>
          <w:szCs w:val="22"/>
        </w:rPr>
      </w:pPr>
      <w:r w:rsidRPr="00576AF8">
        <w:rPr>
          <w:b/>
          <w:sz w:val="22"/>
          <w:szCs w:val="22"/>
        </w:rPr>
        <w:t>1.4.1.5.2 Recuperación de desastres</w:t>
      </w:r>
    </w:p>
    <w:p w14:paraId="47AEA440" w14:textId="77777777" w:rsidR="009102A7" w:rsidRPr="00576AF8" w:rsidRDefault="009102A7" w:rsidP="009102A7">
      <w:pPr>
        <w:ind w:left="2160" w:right="4" w:hanging="459"/>
        <w:rPr>
          <w:sz w:val="22"/>
          <w:szCs w:val="22"/>
        </w:rPr>
      </w:pPr>
      <w:r w:rsidRPr="00576AF8">
        <w:rPr>
          <w:sz w:val="22"/>
          <w:szCs w:val="22"/>
        </w:rPr>
        <w:t xml:space="preserve">a. </w:t>
      </w:r>
      <w:r w:rsidRPr="00576AF8">
        <w:rPr>
          <w:sz w:val="22"/>
          <w:szCs w:val="22"/>
        </w:rPr>
        <w:tab/>
        <w:t xml:space="preserve">Para mantener el servicio en caso de pérdida del SCADA/EMS o partes significativas de la infraestructura, por ejemplo, edificios, comunicaciones; el SCADA/EMS será capaz de mantener los respaldos necesarios que permitan levantar el sistema después de la recuperación. </w:t>
      </w:r>
    </w:p>
    <w:p w14:paraId="11DFF369" w14:textId="77777777" w:rsidR="009102A7" w:rsidRPr="00576AF8" w:rsidRDefault="009102A7" w:rsidP="009102A7">
      <w:pPr>
        <w:ind w:left="2160" w:right="4" w:hanging="459"/>
        <w:rPr>
          <w:sz w:val="22"/>
          <w:szCs w:val="22"/>
        </w:rPr>
      </w:pPr>
      <w:r w:rsidRPr="00576AF8">
        <w:rPr>
          <w:sz w:val="22"/>
          <w:szCs w:val="22"/>
        </w:rPr>
        <w:t xml:space="preserve">b. </w:t>
      </w:r>
      <w:r w:rsidRPr="00576AF8">
        <w:rPr>
          <w:sz w:val="22"/>
          <w:szCs w:val="22"/>
        </w:rPr>
        <w:tab/>
        <w:t>CENACE como estrategia para la recuperación de desastres considera el QAS como un mecanismo que permita a los operadores de su centro de control dar continuidad a los procesos de operación del Sistema Eléctrico Ecuatoriano ante la indisponibilidad de su SCADA/EMS de producción.</w:t>
      </w:r>
    </w:p>
    <w:p w14:paraId="5789B38C" w14:textId="77777777" w:rsidR="009102A7" w:rsidRPr="00576AF8" w:rsidRDefault="009102A7" w:rsidP="009102A7">
      <w:pPr>
        <w:ind w:left="720" w:hanging="720"/>
        <w:jc w:val="left"/>
        <w:outlineLvl w:val="2"/>
        <w:rPr>
          <w:b/>
          <w:sz w:val="22"/>
          <w:szCs w:val="22"/>
        </w:rPr>
      </w:pPr>
      <w:r w:rsidRPr="00576AF8">
        <w:rPr>
          <w:b/>
          <w:sz w:val="22"/>
          <w:szCs w:val="22"/>
        </w:rPr>
        <w:t xml:space="preserve">1.4.1.5.3 </w:t>
      </w:r>
      <w:r w:rsidRPr="00576AF8">
        <w:rPr>
          <w:rFonts w:eastAsia="Calibri"/>
          <w:b/>
          <w:sz w:val="22"/>
          <w:szCs w:val="22"/>
        </w:rPr>
        <w:t>Continuidad de Negocio</w:t>
      </w:r>
    </w:p>
    <w:p w14:paraId="58B9E8BC" w14:textId="77777777" w:rsidR="009102A7" w:rsidRPr="00576AF8" w:rsidRDefault="009102A7" w:rsidP="009102A7">
      <w:pPr>
        <w:spacing w:after="0"/>
        <w:ind w:left="708" w:right="-20" w:firstLine="708"/>
        <w:rPr>
          <w:sz w:val="22"/>
          <w:szCs w:val="22"/>
        </w:rPr>
      </w:pPr>
      <w:r w:rsidRPr="00576AF8">
        <w:rPr>
          <w:rFonts w:eastAsia="Calibri"/>
          <w:color w:val="000000"/>
          <w:sz w:val="22"/>
          <w:szCs w:val="22"/>
        </w:rPr>
        <w:t xml:space="preserve">El sistema incorporará varios niveles de redundancia: </w:t>
      </w:r>
    </w:p>
    <w:p w14:paraId="6F225D32" w14:textId="77777777" w:rsidR="009102A7" w:rsidRPr="00576AF8" w:rsidRDefault="009102A7" w:rsidP="009102A7">
      <w:pPr>
        <w:ind w:left="2160" w:right="4" w:hanging="459"/>
        <w:rPr>
          <w:sz w:val="22"/>
          <w:szCs w:val="22"/>
        </w:rPr>
      </w:pPr>
      <w:r w:rsidRPr="00576AF8">
        <w:rPr>
          <w:sz w:val="22"/>
          <w:szCs w:val="22"/>
        </w:rPr>
        <w:t xml:space="preserve">a. </w:t>
      </w:r>
      <w:r w:rsidRPr="00576AF8">
        <w:rPr>
          <w:sz w:val="22"/>
          <w:szCs w:val="22"/>
        </w:rPr>
        <w:tab/>
        <w:t xml:space="preserve">Redundancia de Primer Nivel: Cada servidor que forme parte del Centro de Control tendrá redundancia de partes vitales como son fuentes de alimentación, discos, adaptadores de red, entre los principales. </w:t>
      </w:r>
    </w:p>
    <w:p w14:paraId="145E2C65" w14:textId="77777777" w:rsidR="009102A7" w:rsidRPr="00576AF8" w:rsidRDefault="009102A7" w:rsidP="009102A7">
      <w:pPr>
        <w:ind w:left="2160" w:right="4" w:hanging="459"/>
        <w:rPr>
          <w:rFonts w:eastAsia="Calibri"/>
          <w:sz w:val="22"/>
          <w:szCs w:val="22"/>
        </w:rPr>
      </w:pPr>
      <w:r w:rsidRPr="00576AF8">
        <w:rPr>
          <w:rFonts w:eastAsia="Calibri"/>
          <w:sz w:val="22"/>
          <w:szCs w:val="22"/>
        </w:rPr>
        <w:t xml:space="preserve">b. </w:t>
      </w:r>
      <w:r w:rsidRPr="00576AF8">
        <w:rPr>
          <w:rFonts w:eastAsia="Calibri"/>
          <w:sz w:val="22"/>
          <w:szCs w:val="22"/>
        </w:rPr>
        <w:tab/>
        <w:t xml:space="preserve">Redundancia de Segundo Nivel: Para el sistema de producción, cada servidor que forme parte del Centro de Control tendrá duplicación de cada dispositivo. </w:t>
      </w:r>
    </w:p>
    <w:p w14:paraId="7BD9E173" w14:textId="77777777" w:rsidR="009102A7" w:rsidRPr="00576AF8" w:rsidRDefault="009102A7" w:rsidP="009102A7">
      <w:pPr>
        <w:ind w:left="2160" w:right="4" w:hanging="459"/>
        <w:rPr>
          <w:rFonts w:eastAsia="Calibri"/>
          <w:sz w:val="22"/>
          <w:szCs w:val="22"/>
        </w:rPr>
      </w:pPr>
      <w:r w:rsidRPr="00576AF8">
        <w:rPr>
          <w:rFonts w:eastAsia="Calibri"/>
          <w:sz w:val="22"/>
          <w:szCs w:val="22"/>
        </w:rPr>
        <w:t xml:space="preserve">c. </w:t>
      </w:r>
      <w:r w:rsidRPr="00576AF8">
        <w:rPr>
          <w:rFonts w:eastAsia="Calibri"/>
          <w:sz w:val="22"/>
          <w:szCs w:val="22"/>
        </w:rPr>
        <w:tab/>
        <w:t xml:space="preserve">En Condiciones Normales: el Centro de Control </w:t>
      </w:r>
      <w:r w:rsidR="00593894" w:rsidRPr="00576AF8">
        <w:rPr>
          <w:rFonts w:eastAsia="Calibri"/>
          <w:sz w:val="22"/>
          <w:szCs w:val="22"/>
        </w:rPr>
        <w:t>del Comprador</w:t>
      </w:r>
      <w:r w:rsidRPr="00576AF8">
        <w:rPr>
          <w:rFonts w:eastAsia="Calibri"/>
          <w:sz w:val="22"/>
          <w:szCs w:val="22"/>
        </w:rPr>
        <w:t xml:space="preserve"> a ser instalado en la sede principal del CENACE, en donde se ubica el actual centro de control, alojará todas las operaciones del sistema a excepción del QAS que estará ubicado fuera de la sede principal de CENACE.</w:t>
      </w:r>
    </w:p>
    <w:p w14:paraId="70AAF2E8" w14:textId="77777777" w:rsidR="009102A7" w:rsidRPr="00576AF8" w:rsidRDefault="009102A7" w:rsidP="009102A7">
      <w:pPr>
        <w:ind w:left="2160" w:right="4" w:hanging="459"/>
        <w:rPr>
          <w:rFonts w:eastAsia="Calibri"/>
          <w:sz w:val="22"/>
          <w:szCs w:val="22"/>
        </w:rPr>
      </w:pPr>
      <w:r w:rsidRPr="00576AF8">
        <w:rPr>
          <w:rFonts w:eastAsia="Calibri"/>
          <w:sz w:val="22"/>
          <w:szCs w:val="22"/>
        </w:rPr>
        <w:t xml:space="preserve">d. </w:t>
      </w:r>
      <w:r w:rsidRPr="00576AF8">
        <w:rPr>
          <w:rFonts w:eastAsia="Calibri"/>
          <w:sz w:val="22"/>
          <w:szCs w:val="22"/>
        </w:rPr>
        <w:tab/>
        <w:t xml:space="preserve">En Condiciones de Emergencia: que resulte de la imposibilidad de operar desde el Centro de Control de CENACE, siguiendo un plan de contingencia y los procedimientos técnicos asociados para este tipo de eventos, trasladará o levantará las operaciones críticas e indispensables para la operación del sistema eléctrico ecuatoriano hacia el entorno del QAS.  </w:t>
      </w:r>
    </w:p>
    <w:p w14:paraId="6935B17A" w14:textId="77777777" w:rsidR="009102A7" w:rsidRPr="00576AF8" w:rsidRDefault="009102A7" w:rsidP="009102A7">
      <w:pPr>
        <w:ind w:right="4"/>
        <w:rPr>
          <w:rFonts w:eastAsia="Calibri"/>
          <w:sz w:val="22"/>
          <w:szCs w:val="22"/>
        </w:rPr>
      </w:pPr>
    </w:p>
    <w:p w14:paraId="4BE6979F" w14:textId="77777777" w:rsidR="009102A7" w:rsidRPr="00576AF8" w:rsidRDefault="009102A7" w:rsidP="009102A7">
      <w:pPr>
        <w:ind w:left="720" w:hanging="720"/>
        <w:jc w:val="left"/>
        <w:outlineLvl w:val="2"/>
        <w:rPr>
          <w:b/>
          <w:sz w:val="22"/>
          <w:szCs w:val="22"/>
        </w:rPr>
      </w:pPr>
      <w:r w:rsidRPr="00576AF8">
        <w:rPr>
          <w:b/>
          <w:sz w:val="22"/>
          <w:szCs w:val="22"/>
        </w:rPr>
        <w:t>1.4.1.6</w:t>
      </w:r>
      <w:r w:rsidRPr="00576AF8">
        <w:rPr>
          <w:b/>
          <w:sz w:val="22"/>
          <w:szCs w:val="22"/>
          <w:u w:val="single"/>
        </w:rPr>
        <w:t xml:space="preserve"> Herramientas de gestión</w:t>
      </w:r>
      <w:r w:rsidRPr="00576AF8">
        <w:rPr>
          <w:b/>
          <w:sz w:val="22"/>
          <w:szCs w:val="22"/>
        </w:rPr>
        <w:t xml:space="preserve">:  </w:t>
      </w:r>
    </w:p>
    <w:p w14:paraId="685383BA" w14:textId="77777777" w:rsidR="009102A7" w:rsidRPr="00576AF8" w:rsidRDefault="009102A7" w:rsidP="009102A7">
      <w:pPr>
        <w:ind w:left="720" w:hanging="720"/>
        <w:jc w:val="left"/>
        <w:outlineLvl w:val="2"/>
        <w:rPr>
          <w:b/>
          <w:sz w:val="22"/>
          <w:szCs w:val="22"/>
        </w:rPr>
      </w:pPr>
      <w:r w:rsidRPr="00576AF8">
        <w:rPr>
          <w:b/>
          <w:sz w:val="22"/>
          <w:szCs w:val="22"/>
        </w:rPr>
        <w:t>1.4.1.6.1 Monitoreo Continuo de Seguridad</w:t>
      </w:r>
    </w:p>
    <w:p w14:paraId="66F17605" w14:textId="77777777" w:rsidR="009102A7" w:rsidRPr="00576AF8" w:rsidRDefault="009102A7" w:rsidP="009102A7">
      <w:pPr>
        <w:ind w:left="1962" w:right="4"/>
        <w:contextualSpacing/>
        <w:rPr>
          <w:sz w:val="22"/>
          <w:szCs w:val="22"/>
        </w:rPr>
      </w:pPr>
      <w:r w:rsidRPr="00576AF8">
        <w:rPr>
          <w:sz w:val="22"/>
          <w:szCs w:val="22"/>
        </w:rPr>
        <w:t>a.</w:t>
      </w:r>
      <w:r w:rsidRPr="00576AF8">
        <w:rPr>
          <w:sz w:val="22"/>
          <w:szCs w:val="22"/>
        </w:rPr>
        <w:tab/>
        <w:t xml:space="preserve">El sistema SCADA/EMS proporcionará la capacidad de monitorear continuamente todo el rendimiento del mecanismo de seguridad utilizando prácticas y recomendaciones de la industria de seguridad comúnmente aceptadas para detectar, caracterizar e informar violaciones de seguridad de manera oportuna. </w:t>
      </w:r>
    </w:p>
    <w:p w14:paraId="58499CE5" w14:textId="77777777" w:rsidR="009102A7" w:rsidRPr="00576AF8" w:rsidRDefault="009102A7" w:rsidP="009102A7">
      <w:pPr>
        <w:ind w:left="1962" w:right="4"/>
        <w:contextualSpacing/>
        <w:rPr>
          <w:sz w:val="22"/>
          <w:szCs w:val="22"/>
        </w:rPr>
      </w:pPr>
      <w:r w:rsidRPr="00576AF8">
        <w:rPr>
          <w:sz w:val="22"/>
          <w:szCs w:val="22"/>
        </w:rPr>
        <w:t>b.</w:t>
      </w:r>
      <w:r w:rsidRPr="00576AF8">
        <w:rPr>
          <w:sz w:val="22"/>
          <w:szCs w:val="22"/>
        </w:rPr>
        <w:tab/>
        <w:t xml:space="preserve">La capacidad de monitoreo del sistema SCADA/EMS se puede lograr a través de una variedad de herramientas y técnicas, como el sistema de prevención de intrusos (IPS) basado en firmas de ataques conocidos en el tráfico de la red, así como anomalías en el tráfico. </w:t>
      </w:r>
    </w:p>
    <w:p w14:paraId="1B14D96E" w14:textId="77777777" w:rsidR="009102A7" w:rsidRPr="00576AF8" w:rsidRDefault="009102A7" w:rsidP="009102A7">
      <w:pPr>
        <w:ind w:left="1962" w:right="4"/>
        <w:contextualSpacing/>
        <w:rPr>
          <w:sz w:val="22"/>
          <w:szCs w:val="22"/>
        </w:rPr>
      </w:pPr>
      <w:r w:rsidRPr="00576AF8">
        <w:rPr>
          <w:sz w:val="22"/>
          <w:szCs w:val="22"/>
        </w:rPr>
        <w:t>c.</w:t>
      </w:r>
      <w:r w:rsidRPr="00576AF8">
        <w:rPr>
          <w:sz w:val="22"/>
          <w:szCs w:val="22"/>
        </w:rPr>
        <w:tab/>
        <w:t xml:space="preserve">Los dispositivos de control o sensores se desplegarán estratégicamente dentro del sistema SCADA/EMS para recopilar información esencial. La supervisión incluirá mecanismos adecuados de notificación que permitan una respuesta oportuna a los acontecimientos a través de funcionalidades de prevención (IPS). </w:t>
      </w:r>
    </w:p>
    <w:p w14:paraId="09E61B71" w14:textId="77777777" w:rsidR="009102A7" w:rsidRPr="00576AF8" w:rsidRDefault="009102A7" w:rsidP="009102A7">
      <w:pPr>
        <w:ind w:left="1962" w:right="4"/>
        <w:contextualSpacing/>
        <w:rPr>
          <w:sz w:val="22"/>
          <w:szCs w:val="22"/>
        </w:rPr>
      </w:pPr>
      <w:r w:rsidRPr="00576AF8">
        <w:rPr>
          <w:sz w:val="22"/>
          <w:szCs w:val="22"/>
        </w:rPr>
        <w:t>d.</w:t>
      </w:r>
      <w:r w:rsidRPr="00576AF8">
        <w:rPr>
          <w:sz w:val="22"/>
          <w:szCs w:val="22"/>
        </w:rPr>
        <w:tab/>
        <w:t>Para mantener la notificación enfocada y la cantidad de información notificada a un nivel que pueda ser procesada por los destinatarios, se aplicará un SIEM para correlacionar eventos individuales en informes agregados que establezcan un contexto más amplio en el que ocurrieron los eventos brutos.</w:t>
      </w:r>
    </w:p>
    <w:p w14:paraId="5BB786A8" w14:textId="77777777" w:rsidR="009102A7" w:rsidRPr="00576AF8" w:rsidRDefault="009102A7" w:rsidP="009102A7">
      <w:pPr>
        <w:ind w:left="1416" w:right="4"/>
        <w:contextualSpacing/>
        <w:rPr>
          <w:sz w:val="22"/>
          <w:szCs w:val="22"/>
        </w:rPr>
      </w:pPr>
    </w:p>
    <w:p w14:paraId="2AB5B53F" w14:textId="77777777" w:rsidR="009102A7" w:rsidRPr="00576AF8" w:rsidRDefault="009102A7" w:rsidP="009102A7">
      <w:pPr>
        <w:ind w:left="720" w:hanging="720"/>
        <w:jc w:val="left"/>
        <w:outlineLvl w:val="2"/>
        <w:rPr>
          <w:b/>
          <w:sz w:val="22"/>
          <w:szCs w:val="22"/>
        </w:rPr>
      </w:pPr>
      <w:r w:rsidRPr="00576AF8">
        <w:rPr>
          <w:b/>
          <w:sz w:val="22"/>
          <w:szCs w:val="22"/>
        </w:rPr>
        <w:t>1.4.1.6.2 Protección de Denegación de Servicio (DOS) y Denegación de Servicio Distribuida (DDOS)</w:t>
      </w:r>
    </w:p>
    <w:p w14:paraId="17F7000A" w14:textId="77777777" w:rsidR="009102A7" w:rsidRPr="00576AF8" w:rsidRDefault="009102A7" w:rsidP="009102A7">
      <w:pPr>
        <w:ind w:left="1416" w:right="4"/>
        <w:contextualSpacing/>
        <w:rPr>
          <w:sz w:val="22"/>
          <w:szCs w:val="22"/>
        </w:rPr>
      </w:pPr>
    </w:p>
    <w:p w14:paraId="79C9446A" w14:textId="77777777" w:rsidR="009102A7" w:rsidRPr="00576AF8" w:rsidRDefault="009102A7" w:rsidP="009102A7">
      <w:pPr>
        <w:ind w:left="1416" w:right="4"/>
        <w:contextualSpacing/>
        <w:rPr>
          <w:sz w:val="22"/>
          <w:szCs w:val="22"/>
        </w:rPr>
      </w:pPr>
      <w:r w:rsidRPr="00576AF8">
        <w:rPr>
          <w:sz w:val="22"/>
          <w:szCs w:val="22"/>
        </w:rPr>
        <w:t>El sistema SCADA/EMS proporcionará la capacidad de gestionar cargas de comunicación (como el uso de la limitación de velocidad) para mitigar los efectos de los tipos de inundación de información de eventos DoS.</w:t>
      </w:r>
    </w:p>
    <w:p w14:paraId="39528CF8" w14:textId="77777777" w:rsidR="009102A7" w:rsidRPr="00576AF8" w:rsidRDefault="009102A7" w:rsidP="009102A7">
      <w:pPr>
        <w:ind w:left="1416" w:right="4"/>
        <w:contextualSpacing/>
        <w:rPr>
          <w:sz w:val="22"/>
          <w:szCs w:val="22"/>
        </w:rPr>
      </w:pPr>
    </w:p>
    <w:p w14:paraId="2EF6E6AD" w14:textId="77777777" w:rsidR="009102A7" w:rsidRPr="00576AF8" w:rsidRDefault="009102A7" w:rsidP="009102A7">
      <w:pPr>
        <w:ind w:left="720" w:hanging="720"/>
        <w:jc w:val="left"/>
        <w:outlineLvl w:val="2"/>
        <w:rPr>
          <w:b/>
          <w:sz w:val="22"/>
          <w:szCs w:val="22"/>
        </w:rPr>
      </w:pPr>
      <w:r w:rsidRPr="00576AF8">
        <w:rPr>
          <w:b/>
          <w:sz w:val="22"/>
          <w:szCs w:val="22"/>
        </w:rPr>
        <w:t>1.4.1.6.3 Gestión de Recursos</w:t>
      </w:r>
    </w:p>
    <w:p w14:paraId="50FC59DB" w14:textId="77777777" w:rsidR="009102A7" w:rsidRPr="00576AF8" w:rsidRDefault="009102A7" w:rsidP="009102A7">
      <w:pPr>
        <w:ind w:left="870" w:right="4" w:firstLine="546"/>
        <w:contextualSpacing/>
        <w:rPr>
          <w:sz w:val="22"/>
          <w:szCs w:val="22"/>
        </w:rPr>
      </w:pPr>
    </w:p>
    <w:p w14:paraId="7C100CAF" w14:textId="77777777" w:rsidR="009102A7" w:rsidRPr="00576AF8" w:rsidRDefault="009102A7" w:rsidP="009102A7">
      <w:pPr>
        <w:ind w:left="1962" w:right="4"/>
        <w:contextualSpacing/>
        <w:rPr>
          <w:sz w:val="22"/>
          <w:szCs w:val="22"/>
        </w:rPr>
      </w:pPr>
      <w:r w:rsidRPr="00576AF8">
        <w:rPr>
          <w:sz w:val="22"/>
          <w:szCs w:val="22"/>
        </w:rPr>
        <w:t>a.</w:t>
      </w:r>
      <w:r w:rsidRPr="00576AF8">
        <w:rPr>
          <w:sz w:val="22"/>
          <w:szCs w:val="22"/>
        </w:rPr>
        <w:tab/>
        <w:t xml:space="preserve">El sistema SCADA/EMS proporcionará la capacidad de limitar el uso de recursos por parte de las funciones de seguridad para evitar el agotamiento de los mismos. La gestión de recursos evitará que un proceso de software de menor prioridad retrase o interfiera con el proceso de software de mayor prioridad. </w:t>
      </w:r>
    </w:p>
    <w:p w14:paraId="0EC38585" w14:textId="77777777" w:rsidR="009102A7" w:rsidRPr="00576AF8" w:rsidRDefault="009102A7" w:rsidP="009102A7">
      <w:pPr>
        <w:ind w:left="1962" w:right="4"/>
        <w:contextualSpacing/>
        <w:rPr>
          <w:sz w:val="22"/>
          <w:szCs w:val="22"/>
        </w:rPr>
      </w:pPr>
      <w:r w:rsidRPr="00576AF8">
        <w:rPr>
          <w:sz w:val="22"/>
          <w:szCs w:val="22"/>
        </w:rPr>
        <w:t>b. Los sistemas de limitación de la velocidad de tráfico estarán disponibles como técnica de mitigación.</w:t>
      </w:r>
    </w:p>
    <w:p w14:paraId="7DE6012D" w14:textId="77777777" w:rsidR="009102A7" w:rsidRPr="00576AF8" w:rsidRDefault="009102A7" w:rsidP="009102A7">
      <w:pPr>
        <w:ind w:left="720" w:hanging="720"/>
        <w:jc w:val="left"/>
        <w:outlineLvl w:val="2"/>
        <w:rPr>
          <w:b/>
          <w:sz w:val="22"/>
          <w:szCs w:val="22"/>
          <w:lang w:val="es-EC" w:eastAsia="en-US" w:bidi="ar-SA"/>
        </w:rPr>
      </w:pPr>
      <w:bookmarkStart w:id="682" w:name="_Toc454958721"/>
      <w:bookmarkStart w:id="683" w:name="_Toc476310096"/>
      <w:bookmarkStart w:id="684" w:name="_Toc482896425"/>
      <w:bookmarkStart w:id="685" w:name="_Toc99868849"/>
      <w:bookmarkStart w:id="686" w:name="_Toc163137306"/>
      <w:r w:rsidRPr="00576AF8">
        <w:rPr>
          <w:b/>
          <w:sz w:val="22"/>
          <w:szCs w:val="22"/>
          <w:lang w:val="es-EC" w:eastAsia="en-US" w:bidi="ar-SA"/>
        </w:rPr>
        <w:t>1.5</w:t>
      </w:r>
      <w:r w:rsidRPr="00576AF8">
        <w:rPr>
          <w:b/>
          <w:sz w:val="22"/>
          <w:szCs w:val="22"/>
          <w:lang w:val="es-EC" w:eastAsia="en-US" w:bidi="ar-SA"/>
        </w:rPr>
        <w:tab/>
        <w:t xml:space="preserve">Requisitos de rendimiento del Sistema SCADA/EMS </w:t>
      </w:r>
      <w:bookmarkEnd w:id="634"/>
      <w:bookmarkEnd w:id="682"/>
      <w:bookmarkEnd w:id="683"/>
      <w:bookmarkEnd w:id="684"/>
      <w:bookmarkEnd w:id="685"/>
      <w:bookmarkEnd w:id="686"/>
      <w:r w:rsidR="00593894" w:rsidRPr="00576AF8">
        <w:rPr>
          <w:b/>
          <w:sz w:val="22"/>
          <w:szCs w:val="22"/>
          <w:lang w:val="es-EC" w:eastAsia="en-US" w:bidi="ar-SA"/>
        </w:rPr>
        <w:t>del Comprador</w:t>
      </w:r>
    </w:p>
    <w:p w14:paraId="7BC80E96" w14:textId="77777777" w:rsidR="009102A7" w:rsidRPr="00576AF8" w:rsidRDefault="009102A7" w:rsidP="009102A7">
      <w:pPr>
        <w:ind w:left="720" w:hanging="720"/>
        <w:jc w:val="left"/>
        <w:outlineLvl w:val="2"/>
        <w:rPr>
          <w:b/>
          <w:sz w:val="22"/>
          <w:szCs w:val="22"/>
        </w:rPr>
      </w:pPr>
      <w:bookmarkStart w:id="687" w:name="_Toc160706906"/>
      <w:bookmarkStart w:id="688" w:name="_Toc160707184"/>
      <w:bookmarkStart w:id="689" w:name="_Toc160707496"/>
      <w:bookmarkStart w:id="690" w:name="_Toc160707698"/>
      <w:bookmarkStart w:id="691" w:name="_Toc160707753"/>
      <w:bookmarkStart w:id="692" w:name="_Toc163137307"/>
      <w:r w:rsidRPr="00576AF8">
        <w:rPr>
          <w:b/>
          <w:sz w:val="22"/>
          <w:szCs w:val="22"/>
        </w:rPr>
        <w:t>1.5.1</w:t>
      </w:r>
      <w:r w:rsidRPr="00576AF8">
        <w:rPr>
          <w:b/>
          <w:sz w:val="22"/>
          <w:szCs w:val="22"/>
        </w:rPr>
        <w:tab/>
        <w:t xml:space="preserve">El Sistema SCADA/EMS </w:t>
      </w:r>
      <w:r w:rsidR="00593894" w:rsidRPr="00576AF8">
        <w:rPr>
          <w:b/>
          <w:sz w:val="22"/>
          <w:szCs w:val="22"/>
        </w:rPr>
        <w:t>del Comprador</w:t>
      </w:r>
      <w:r w:rsidRPr="00576AF8">
        <w:rPr>
          <w:b/>
          <w:sz w:val="22"/>
          <w:szCs w:val="22"/>
        </w:rPr>
        <w:t xml:space="preserve"> DEBERÁ alcanzar los siguientes niveles de rendimiento:</w:t>
      </w:r>
      <w:bookmarkEnd w:id="687"/>
      <w:bookmarkEnd w:id="688"/>
      <w:bookmarkEnd w:id="689"/>
      <w:bookmarkEnd w:id="690"/>
      <w:bookmarkEnd w:id="691"/>
      <w:bookmarkEnd w:id="692"/>
    </w:p>
    <w:p w14:paraId="44E4786B" w14:textId="77777777" w:rsidR="009102A7" w:rsidRPr="00576AF8" w:rsidRDefault="009102A7" w:rsidP="009102A7">
      <w:pPr>
        <w:ind w:left="1416" w:right="4"/>
        <w:rPr>
          <w:sz w:val="22"/>
          <w:szCs w:val="22"/>
        </w:rPr>
      </w:pPr>
      <w:r w:rsidRPr="00576AF8">
        <w:rPr>
          <w:sz w:val="22"/>
          <w:szCs w:val="22"/>
        </w:rPr>
        <w:t>El Proveedor deberá realizar pruebas rigurosas del nuevo sistema SCADA/EMS en diversas condiciones para identificar y abordar posibles problemas de rendimiento. Esto incluye pruebas de carga, pruebas de estrés y otras evaluaciones para garantizar que el sistema SCADA/EMS pueda manejar la carga de trabajo anticipada.</w:t>
      </w:r>
    </w:p>
    <w:p w14:paraId="0BEC7851" w14:textId="77777777" w:rsidR="009102A7" w:rsidRPr="00576AF8" w:rsidRDefault="009102A7" w:rsidP="009102A7">
      <w:pPr>
        <w:ind w:left="720" w:hanging="720"/>
        <w:jc w:val="left"/>
        <w:outlineLvl w:val="2"/>
        <w:rPr>
          <w:b/>
          <w:sz w:val="22"/>
          <w:szCs w:val="22"/>
        </w:rPr>
      </w:pPr>
      <w:r w:rsidRPr="00576AF8">
        <w:rPr>
          <w:b/>
          <w:sz w:val="22"/>
          <w:szCs w:val="22"/>
        </w:rPr>
        <w:t>1.5.1.1</w:t>
      </w:r>
      <w:r w:rsidRPr="00576AF8">
        <w:rPr>
          <w:b/>
          <w:sz w:val="22"/>
          <w:szCs w:val="22"/>
        </w:rPr>
        <w:tab/>
        <w:t xml:space="preserve">El rendimiento del sistema permitirá a los usuarios gestionar el sistema de manera eficiente y eficaz. Para lograr este objetivo, se alcanzarán los valores especificados a continuación: </w:t>
      </w:r>
    </w:p>
    <w:p w14:paraId="09D06DEE" w14:textId="77777777" w:rsidR="009102A7" w:rsidRPr="00576AF8" w:rsidRDefault="009102A7" w:rsidP="009102A7">
      <w:pPr>
        <w:ind w:left="2160" w:right="4" w:hanging="33"/>
        <w:rPr>
          <w:sz w:val="22"/>
          <w:szCs w:val="22"/>
        </w:rPr>
      </w:pPr>
      <w:r w:rsidRPr="00576AF8">
        <w:rPr>
          <w:sz w:val="22"/>
          <w:szCs w:val="22"/>
        </w:rPr>
        <w:t>a.</w:t>
      </w:r>
      <w:r w:rsidRPr="00576AF8">
        <w:rPr>
          <w:sz w:val="22"/>
          <w:szCs w:val="22"/>
        </w:rPr>
        <w:tab/>
        <w:t>La potencia de procesamiento de los servidores, las estaciones de trabajo y de todos los periféricos se diseñará para garantizar que el Sistema pueda mantenerse disponible frente a todas las situaciones que puedan presentarse y permita a los usuarios gestionar todo tipo de eventos. En otras palabras, el sistema será capaz de hacer frente a todos los acontecimientos funcionalmente significativos a los que pueda estar sujeto el sistema, como son las condiciones de carga máxima o avalancha.</w:t>
      </w:r>
    </w:p>
    <w:p w14:paraId="1C160746" w14:textId="77777777" w:rsidR="009102A7" w:rsidRPr="00576AF8" w:rsidRDefault="009102A7" w:rsidP="009102A7">
      <w:pPr>
        <w:ind w:left="2160" w:right="4" w:hanging="33"/>
        <w:rPr>
          <w:i/>
          <w:color w:val="4472C4"/>
          <w:sz w:val="22"/>
          <w:szCs w:val="22"/>
        </w:rPr>
      </w:pPr>
      <w:r w:rsidRPr="00576AF8">
        <w:rPr>
          <w:sz w:val="22"/>
          <w:szCs w:val="22"/>
        </w:rPr>
        <w:t>b.</w:t>
      </w:r>
      <w:r w:rsidRPr="00576AF8">
        <w:rPr>
          <w:sz w:val="22"/>
          <w:szCs w:val="22"/>
        </w:rPr>
        <w:tab/>
        <w:t>En lo referente a las pruebas de rendimiento, el Proveedor deberá establecer de manera clara y precisa, las condiciones y métodos de medición, los cuales recibirán la aprobación correspondiente por parte del CENACE. Adicionalmente CENACE de considerarlo necesario, propon</w:t>
      </w:r>
      <w:r w:rsidR="00974D91" w:rsidRPr="00576AF8">
        <w:rPr>
          <w:sz w:val="22"/>
          <w:szCs w:val="22"/>
        </w:rPr>
        <w:t>drá</w:t>
      </w:r>
      <w:r w:rsidRPr="00576AF8">
        <w:rPr>
          <w:sz w:val="22"/>
          <w:szCs w:val="22"/>
        </w:rPr>
        <w:t xml:space="preserve"> temas adicionales o complementarios.</w:t>
      </w:r>
    </w:p>
    <w:p w14:paraId="1421CAAB" w14:textId="77777777" w:rsidR="009102A7" w:rsidRPr="00576AF8" w:rsidRDefault="009102A7" w:rsidP="009102A7">
      <w:pPr>
        <w:ind w:left="720" w:hanging="720"/>
        <w:jc w:val="left"/>
        <w:outlineLvl w:val="2"/>
        <w:rPr>
          <w:b/>
          <w:sz w:val="22"/>
          <w:szCs w:val="22"/>
        </w:rPr>
      </w:pPr>
      <w:r w:rsidRPr="00576AF8">
        <w:rPr>
          <w:b/>
          <w:iCs/>
          <w:sz w:val="22"/>
          <w:szCs w:val="22"/>
        </w:rPr>
        <w:t>1.5.1.2</w:t>
      </w:r>
      <w:r w:rsidRPr="00576AF8">
        <w:rPr>
          <w:b/>
          <w:i/>
          <w:iCs/>
          <w:sz w:val="22"/>
          <w:szCs w:val="22"/>
        </w:rPr>
        <w:tab/>
        <w:t xml:space="preserve"> </w:t>
      </w:r>
      <w:r w:rsidRPr="00576AF8">
        <w:rPr>
          <w:b/>
          <w:sz w:val="22"/>
          <w:szCs w:val="22"/>
        </w:rPr>
        <w:t xml:space="preserve">Condiciones de Actividad Normal, el nivel normal de actividad se definirá como las siguientes condiciones: </w:t>
      </w:r>
    </w:p>
    <w:p w14:paraId="6F68CB79" w14:textId="77777777" w:rsidR="009102A7" w:rsidRPr="00576AF8" w:rsidRDefault="009102A7" w:rsidP="009102A7">
      <w:pPr>
        <w:ind w:left="2160" w:right="4" w:hanging="33"/>
        <w:rPr>
          <w:sz w:val="22"/>
          <w:szCs w:val="22"/>
        </w:rPr>
      </w:pPr>
      <w:r w:rsidRPr="00576AF8">
        <w:rPr>
          <w:sz w:val="22"/>
          <w:szCs w:val="22"/>
        </w:rPr>
        <w:t>a.</w:t>
      </w:r>
      <w:r w:rsidRPr="00576AF8">
        <w:rPr>
          <w:sz w:val="22"/>
          <w:szCs w:val="22"/>
        </w:rPr>
        <w:tab/>
        <w:t xml:space="preserve">Todas las aplicaciones y el software estándar se ejecutarán normalmente. </w:t>
      </w:r>
    </w:p>
    <w:p w14:paraId="2252DA7E" w14:textId="77777777" w:rsidR="009102A7" w:rsidRPr="00576AF8" w:rsidRDefault="009102A7" w:rsidP="009102A7">
      <w:pPr>
        <w:ind w:left="2160" w:right="4" w:hanging="33"/>
        <w:rPr>
          <w:sz w:val="22"/>
          <w:szCs w:val="22"/>
        </w:rPr>
      </w:pPr>
      <w:r w:rsidRPr="00576AF8">
        <w:rPr>
          <w:sz w:val="22"/>
          <w:szCs w:val="22"/>
        </w:rPr>
        <w:t>b.</w:t>
      </w:r>
      <w:r w:rsidRPr="00576AF8">
        <w:rPr>
          <w:sz w:val="22"/>
          <w:szCs w:val="22"/>
        </w:rPr>
        <w:tab/>
        <w:t xml:space="preserve">El procesamiento de topología y cualquier aplicación EMS se ejecutará de manera cíclica cada 5 minutos. </w:t>
      </w:r>
    </w:p>
    <w:p w14:paraId="5F94DF3A" w14:textId="77777777" w:rsidR="009102A7" w:rsidRPr="00576AF8" w:rsidRDefault="009102A7" w:rsidP="009102A7">
      <w:pPr>
        <w:ind w:left="2160" w:right="4" w:hanging="33"/>
        <w:rPr>
          <w:sz w:val="22"/>
          <w:szCs w:val="22"/>
        </w:rPr>
      </w:pPr>
      <w:r w:rsidRPr="00576AF8">
        <w:rPr>
          <w:sz w:val="22"/>
          <w:szCs w:val="22"/>
        </w:rPr>
        <w:t>c.</w:t>
      </w:r>
      <w:r w:rsidRPr="00576AF8">
        <w:rPr>
          <w:sz w:val="22"/>
          <w:szCs w:val="22"/>
        </w:rPr>
        <w:tab/>
        <w:t xml:space="preserve">Se ejecutarán cambios en el 2% de todas las indicaciones de estado por minuto, seguido por el procesamiento posterior correspondiente. </w:t>
      </w:r>
    </w:p>
    <w:p w14:paraId="6D448A89" w14:textId="77777777" w:rsidR="009102A7" w:rsidRPr="00576AF8" w:rsidRDefault="009102A7" w:rsidP="009102A7">
      <w:pPr>
        <w:ind w:left="2160" w:right="4" w:hanging="33"/>
        <w:rPr>
          <w:sz w:val="22"/>
          <w:szCs w:val="22"/>
        </w:rPr>
      </w:pPr>
      <w:r w:rsidRPr="00576AF8">
        <w:rPr>
          <w:sz w:val="22"/>
          <w:szCs w:val="22"/>
        </w:rPr>
        <w:t>d.</w:t>
      </w:r>
      <w:r w:rsidRPr="00576AF8">
        <w:rPr>
          <w:sz w:val="22"/>
          <w:szCs w:val="22"/>
        </w:rPr>
        <w:tab/>
        <w:t xml:space="preserve">El 1% por ciento de todas las mediciones analógicas excederán sus límites de alarma por minuto, seguido por el procesamiento posterior correspondiente. </w:t>
      </w:r>
    </w:p>
    <w:p w14:paraId="79839B22" w14:textId="77777777" w:rsidR="009102A7" w:rsidRPr="00576AF8" w:rsidRDefault="009102A7" w:rsidP="009102A7">
      <w:pPr>
        <w:ind w:left="2160" w:right="4" w:hanging="33"/>
        <w:rPr>
          <w:sz w:val="22"/>
          <w:szCs w:val="22"/>
        </w:rPr>
      </w:pPr>
      <w:r w:rsidRPr="00576AF8">
        <w:rPr>
          <w:sz w:val="22"/>
          <w:szCs w:val="22"/>
        </w:rPr>
        <w:t>e.</w:t>
      </w:r>
      <w:r w:rsidRPr="00576AF8">
        <w:rPr>
          <w:sz w:val="22"/>
          <w:szCs w:val="22"/>
        </w:rPr>
        <w:tab/>
        <w:t xml:space="preserve">Un total del 2% de todos los puntos de alarma se activarán por minuto, adicional a las alarmas causadas, tanto por los cambios de estado como por las </w:t>
      </w:r>
      <w:r w:rsidRPr="00576AF8">
        <w:rPr>
          <w:sz w:val="22"/>
          <w:szCs w:val="22"/>
        </w:rPr>
        <w:lastRenderedPageBreak/>
        <w:t xml:space="preserve">violaciones del límite de mediciones mencionados en los ítems anteriores, seguido por el procesamiento posterior correspondiente. </w:t>
      </w:r>
    </w:p>
    <w:p w14:paraId="48E360CF" w14:textId="77777777" w:rsidR="009102A7" w:rsidRPr="00576AF8" w:rsidRDefault="009102A7" w:rsidP="009102A7">
      <w:pPr>
        <w:ind w:left="2160" w:right="4" w:hanging="33"/>
        <w:rPr>
          <w:sz w:val="22"/>
          <w:szCs w:val="22"/>
        </w:rPr>
      </w:pPr>
      <w:r w:rsidRPr="00576AF8">
        <w:rPr>
          <w:sz w:val="22"/>
          <w:szCs w:val="22"/>
        </w:rPr>
        <w:t>f.</w:t>
      </w:r>
      <w:r w:rsidRPr="00576AF8">
        <w:rPr>
          <w:sz w:val="22"/>
          <w:szCs w:val="22"/>
        </w:rPr>
        <w:tab/>
        <w:t xml:space="preserve">Todas las mediciones se transmitirán al Centro de Control cumpliendo con los intervalos de tiempo de actualización especificados en los Horarios, seguidos por el procesamiento posterior correspondiente y la presentación en los despliegues del Centro de Control. </w:t>
      </w:r>
    </w:p>
    <w:p w14:paraId="5605CFF9" w14:textId="77777777" w:rsidR="009102A7" w:rsidRPr="00576AF8" w:rsidRDefault="009102A7" w:rsidP="009102A7">
      <w:pPr>
        <w:ind w:left="2160" w:right="4" w:hanging="33"/>
        <w:rPr>
          <w:sz w:val="22"/>
          <w:szCs w:val="22"/>
        </w:rPr>
      </w:pPr>
      <w:r w:rsidRPr="00576AF8">
        <w:rPr>
          <w:sz w:val="22"/>
          <w:szCs w:val="22"/>
        </w:rPr>
        <w:t>g.</w:t>
      </w:r>
      <w:r w:rsidRPr="00576AF8">
        <w:rPr>
          <w:sz w:val="22"/>
          <w:szCs w:val="22"/>
        </w:rPr>
        <w:tab/>
        <w:t>Se solicitará un nuevo despliegue cada minuto, conteniendo un promedio de 30 valores analógicos y 50 indicaciones.</w:t>
      </w:r>
    </w:p>
    <w:p w14:paraId="38085714" w14:textId="77777777" w:rsidR="009102A7" w:rsidRPr="00576AF8" w:rsidRDefault="009102A7" w:rsidP="009102A7">
      <w:pPr>
        <w:ind w:left="720" w:hanging="720"/>
        <w:jc w:val="left"/>
        <w:outlineLvl w:val="2"/>
        <w:rPr>
          <w:b/>
          <w:sz w:val="22"/>
          <w:szCs w:val="22"/>
        </w:rPr>
      </w:pPr>
      <w:r w:rsidRPr="00576AF8">
        <w:rPr>
          <w:b/>
          <w:iCs/>
          <w:sz w:val="22"/>
          <w:szCs w:val="22"/>
        </w:rPr>
        <w:t>1.5.1.3</w:t>
      </w:r>
      <w:r w:rsidRPr="00576AF8">
        <w:rPr>
          <w:b/>
          <w:sz w:val="22"/>
          <w:szCs w:val="22"/>
        </w:rPr>
        <w:t xml:space="preserve"> Condiciones de alta actividad, e</w:t>
      </w:r>
      <w:r w:rsidRPr="00576AF8">
        <w:rPr>
          <w:b/>
          <w:iCs/>
          <w:sz w:val="22"/>
          <w:szCs w:val="22"/>
        </w:rPr>
        <w:t xml:space="preserve">l nivel de actividad elevado se definirá con las siguientes condiciones: </w:t>
      </w:r>
    </w:p>
    <w:p w14:paraId="33016904" w14:textId="77777777" w:rsidR="009102A7" w:rsidRPr="00576AF8" w:rsidRDefault="009102A7" w:rsidP="009102A7">
      <w:pPr>
        <w:ind w:left="2160" w:right="4" w:hanging="33"/>
        <w:rPr>
          <w:iCs/>
          <w:sz w:val="22"/>
          <w:szCs w:val="22"/>
        </w:rPr>
      </w:pPr>
      <w:r w:rsidRPr="00576AF8">
        <w:rPr>
          <w:iCs/>
          <w:sz w:val="22"/>
          <w:szCs w:val="22"/>
        </w:rPr>
        <w:t>a.</w:t>
      </w:r>
      <w:r w:rsidRPr="00576AF8">
        <w:rPr>
          <w:sz w:val="22"/>
          <w:szCs w:val="22"/>
        </w:rPr>
        <w:tab/>
      </w:r>
      <w:r w:rsidRPr="00576AF8">
        <w:rPr>
          <w:iCs/>
          <w:sz w:val="22"/>
          <w:szCs w:val="22"/>
        </w:rPr>
        <w:t xml:space="preserve">Todas las aplicaciones y el software estándar se ejecutarán normalmente. </w:t>
      </w:r>
    </w:p>
    <w:p w14:paraId="5826949F" w14:textId="77777777" w:rsidR="009102A7" w:rsidRPr="00576AF8" w:rsidRDefault="009102A7" w:rsidP="009102A7">
      <w:pPr>
        <w:ind w:left="2160" w:right="4" w:hanging="33"/>
        <w:rPr>
          <w:iCs/>
          <w:sz w:val="22"/>
          <w:szCs w:val="22"/>
        </w:rPr>
      </w:pPr>
      <w:r w:rsidRPr="00576AF8">
        <w:rPr>
          <w:iCs/>
          <w:sz w:val="22"/>
          <w:szCs w:val="22"/>
        </w:rPr>
        <w:t>b.</w:t>
      </w:r>
      <w:r w:rsidRPr="00576AF8">
        <w:rPr>
          <w:sz w:val="22"/>
          <w:szCs w:val="22"/>
        </w:rPr>
        <w:tab/>
      </w:r>
      <w:r w:rsidRPr="00576AF8">
        <w:rPr>
          <w:iCs/>
          <w:sz w:val="22"/>
          <w:szCs w:val="22"/>
        </w:rPr>
        <w:t xml:space="preserve">El procesamiento de topología y cualquier aplicación EMS se ejecutará de manera cíclicamente cada 5 minutos. </w:t>
      </w:r>
    </w:p>
    <w:p w14:paraId="5B206D41" w14:textId="77777777" w:rsidR="009102A7" w:rsidRPr="00576AF8" w:rsidRDefault="009102A7" w:rsidP="009102A7">
      <w:pPr>
        <w:ind w:left="2160" w:right="4" w:hanging="33"/>
        <w:rPr>
          <w:iCs/>
          <w:sz w:val="22"/>
          <w:szCs w:val="22"/>
        </w:rPr>
      </w:pPr>
      <w:r w:rsidRPr="00576AF8">
        <w:rPr>
          <w:iCs/>
          <w:sz w:val="22"/>
          <w:szCs w:val="22"/>
        </w:rPr>
        <w:t>c.</w:t>
      </w:r>
      <w:r w:rsidRPr="00576AF8">
        <w:rPr>
          <w:sz w:val="22"/>
          <w:szCs w:val="22"/>
        </w:rPr>
        <w:tab/>
      </w:r>
      <w:r w:rsidRPr="00576AF8">
        <w:rPr>
          <w:iCs/>
          <w:sz w:val="22"/>
          <w:szCs w:val="22"/>
        </w:rPr>
        <w:t xml:space="preserve">Se ejecutarán cambios en el 10% de todas las indicaciones de estado por minuto, seguido por el procesamiento posterior correspondiente. </w:t>
      </w:r>
    </w:p>
    <w:p w14:paraId="060C3A1F" w14:textId="77777777" w:rsidR="009102A7" w:rsidRPr="00576AF8" w:rsidRDefault="009102A7" w:rsidP="009102A7">
      <w:pPr>
        <w:ind w:left="2160" w:right="4" w:hanging="33"/>
        <w:rPr>
          <w:iCs/>
          <w:sz w:val="22"/>
          <w:szCs w:val="22"/>
        </w:rPr>
      </w:pPr>
      <w:r w:rsidRPr="00576AF8">
        <w:rPr>
          <w:iCs/>
          <w:sz w:val="22"/>
          <w:szCs w:val="22"/>
        </w:rPr>
        <w:t>d.</w:t>
      </w:r>
      <w:r w:rsidRPr="00576AF8">
        <w:rPr>
          <w:sz w:val="22"/>
          <w:szCs w:val="22"/>
        </w:rPr>
        <w:tab/>
      </w:r>
      <w:r w:rsidRPr="00576AF8">
        <w:rPr>
          <w:iCs/>
          <w:sz w:val="22"/>
          <w:szCs w:val="22"/>
        </w:rPr>
        <w:t xml:space="preserve">El 10% por ciento de todas las mediciones analógicas excederán sus límites de alarma por minuto, seguido por el procesamiento posterior correspondiente. </w:t>
      </w:r>
    </w:p>
    <w:p w14:paraId="1E1E7322" w14:textId="77777777" w:rsidR="009102A7" w:rsidRPr="00576AF8" w:rsidRDefault="009102A7" w:rsidP="009102A7">
      <w:pPr>
        <w:ind w:left="2160" w:right="4" w:hanging="33"/>
        <w:rPr>
          <w:iCs/>
          <w:sz w:val="22"/>
          <w:szCs w:val="22"/>
        </w:rPr>
      </w:pPr>
      <w:r w:rsidRPr="00576AF8">
        <w:rPr>
          <w:iCs/>
          <w:sz w:val="22"/>
          <w:szCs w:val="22"/>
        </w:rPr>
        <w:t>e.</w:t>
      </w:r>
      <w:r w:rsidRPr="00576AF8">
        <w:rPr>
          <w:sz w:val="22"/>
          <w:szCs w:val="22"/>
        </w:rPr>
        <w:tab/>
      </w:r>
      <w:r w:rsidRPr="00576AF8">
        <w:rPr>
          <w:iCs/>
          <w:sz w:val="22"/>
          <w:szCs w:val="22"/>
        </w:rPr>
        <w:t xml:space="preserve">Un total del 10% de todos los puntos de alarma se activarán por minuto, adicional a las alarmas causadas, tanto por los cambios de estado como por las violaciones del límite de mediciones mencionados en los ítems anteriores, seguido por el procesamiento posterior correspondiente. </w:t>
      </w:r>
    </w:p>
    <w:p w14:paraId="113397DA" w14:textId="77777777" w:rsidR="009102A7" w:rsidRPr="00576AF8" w:rsidRDefault="009102A7" w:rsidP="009102A7">
      <w:pPr>
        <w:ind w:left="2160" w:right="4" w:hanging="33"/>
        <w:rPr>
          <w:iCs/>
          <w:sz w:val="22"/>
          <w:szCs w:val="22"/>
        </w:rPr>
      </w:pPr>
      <w:r w:rsidRPr="00576AF8">
        <w:rPr>
          <w:iCs/>
          <w:sz w:val="22"/>
          <w:szCs w:val="22"/>
        </w:rPr>
        <w:t>f.</w:t>
      </w:r>
      <w:r w:rsidRPr="00576AF8">
        <w:rPr>
          <w:sz w:val="22"/>
          <w:szCs w:val="22"/>
        </w:rPr>
        <w:tab/>
      </w:r>
      <w:r w:rsidRPr="00576AF8">
        <w:rPr>
          <w:iCs/>
          <w:sz w:val="22"/>
          <w:szCs w:val="22"/>
        </w:rPr>
        <w:t>Todas las mediciones se transmitirán al Centro de Control cumpliendo con los intervalos de tiempo de actualización especificados en los horarios, seguidos por el procesamiento posterior correspondiente y la presentación en los despliegues del Centro de Control.</w:t>
      </w:r>
    </w:p>
    <w:p w14:paraId="03553807" w14:textId="77777777" w:rsidR="009102A7" w:rsidRPr="00576AF8" w:rsidRDefault="009102A7" w:rsidP="009102A7">
      <w:pPr>
        <w:ind w:left="2160" w:right="4" w:hanging="33"/>
        <w:rPr>
          <w:iCs/>
          <w:sz w:val="22"/>
          <w:szCs w:val="22"/>
        </w:rPr>
      </w:pPr>
      <w:r w:rsidRPr="00576AF8">
        <w:rPr>
          <w:iCs/>
          <w:sz w:val="22"/>
          <w:szCs w:val="22"/>
        </w:rPr>
        <w:t>g.</w:t>
      </w:r>
      <w:r w:rsidRPr="00576AF8">
        <w:rPr>
          <w:iCs/>
          <w:sz w:val="22"/>
          <w:szCs w:val="22"/>
        </w:rPr>
        <w:tab/>
        <w:t>Se solicitará un nuevo despliegue cada minuto, en cada puesto de trabajo del operador.  Cada despliegue contendrá un promedio de 30 valores analógicos y 50 indicaciones.</w:t>
      </w:r>
    </w:p>
    <w:p w14:paraId="77531000" w14:textId="77777777" w:rsidR="009102A7" w:rsidRPr="00576AF8" w:rsidRDefault="009102A7" w:rsidP="009102A7">
      <w:pPr>
        <w:ind w:left="720" w:hanging="720"/>
        <w:jc w:val="left"/>
        <w:outlineLvl w:val="2"/>
        <w:rPr>
          <w:b/>
          <w:iCs/>
          <w:sz w:val="22"/>
          <w:szCs w:val="22"/>
        </w:rPr>
      </w:pPr>
      <w:r w:rsidRPr="00576AF8">
        <w:rPr>
          <w:b/>
          <w:iCs/>
          <w:sz w:val="22"/>
          <w:szCs w:val="22"/>
        </w:rPr>
        <w:t>1.5.1.4 Arranque y Parada de Computadores</w:t>
      </w:r>
    </w:p>
    <w:p w14:paraId="4899B754" w14:textId="77777777" w:rsidR="009102A7" w:rsidRPr="00576AF8" w:rsidRDefault="009102A7" w:rsidP="009102A7">
      <w:pPr>
        <w:ind w:left="2160" w:right="4" w:hanging="33"/>
        <w:rPr>
          <w:iCs/>
          <w:sz w:val="22"/>
          <w:szCs w:val="22"/>
        </w:rPr>
      </w:pPr>
      <w:r w:rsidRPr="00576AF8">
        <w:rPr>
          <w:iCs/>
          <w:sz w:val="22"/>
          <w:szCs w:val="22"/>
        </w:rPr>
        <w:t>a.</w:t>
      </w:r>
      <w:r w:rsidRPr="00576AF8">
        <w:rPr>
          <w:sz w:val="22"/>
          <w:szCs w:val="22"/>
        </w:rPr>
        <w:tab/>
      </w:r>
      <w:r w:rsidRPr="00576AF8">
        <w:rPr>
          <w:iCs/>
          <w:sz w:val="22"/>
          <w:szCs w:val="22"/>
        </w:rPr>
        <w:t>El tiempo total necesario para el arranque de una computadora, incluyendo la carga automática de los servicios y la inicialización, no excederá los 300 segundos.</w:t>
      </w:r>
    </w:p>
    <w:p w14:paraId="4C1AEE80" w14:textId="77777777" w:rsidR="009102A7" w:rsidRPr="00576AF8" w:rsidRDefault="009102A7" w:rsidP="009102A7">
      <w:pPr>
        <w:ind w:left="2160" w:right="4" w:hanging="33"/>
        <w:rPr>
          <w:iCs/>
          <w:sz w:val="22"/>
          <w:szCs w:val="22"/>
        </w:rPr>
      </w:pPr>
      <w:r w:rsidRPr="00576AF8">
        <w:rPr>
          <w:iCs/>
          <w:sz w:val="22"/>
          <w:szCs w:val="22"/>
        </w:rPr>
        <w:t>b.</w:t>
      </w:r>
      <w:r w:rsidRPr="00576AF8">
        <w:rPr>
          <w:sz w:val="22"/>
          <w:szCs w:val="22"/>
        </w:rPr>
        <w:tab/>
      </w:r>
      <w:r w:rsidRPr="00576AF8">
        <w:rPr>
          <w:iCs/>
          <w:sz w:val="22"/>
          <w:szCs w:val="22"/>
        </w:rPr>
        <w:t xml:space="preserve">La funcionalidad completa del SCADA/EMS estará disponible en un intervalo de tiempo de 300 segundos después de un inicio o reinicio automático del último servidor. </w:t>
      </w:r>
    </w:p>
    <w:p w14:paraId="403C8E4D" w14:textId="77777777" w:rsidR="009102A7" w:rsidRPr="00576AF8" w:rsidRDefault="009102A7" w:rsidP="009102A7">
      <w:pPr>
        <w:ind w:left="2160" w:right="4" w:hanging="33"/>
        <w:rPr>
          <w:iCs/>
          <w:sz w:val="22"/>
          <w:szCs w:val="22"/>
        </w:rPr>
      </w:pPr>
      <w:r w:rsidRPr="00576AF8">
        <w:rPr>
          <w:iCs/>
          <w:sz w:val="22"/>
          <w:szCs w:val="22"/>
        </w:rPr>
        <w:t>c.</w:t>
      </w:r>
      <w:r w:rsidRPr="00576AF8">
        <w:rPr>
          <w:sz w:val="22"/>
          <w:szCs w:val="22"/>
        </w:rPr>
        <w:tab/>
      </w:r>
      <w:r w:rsidRPr="00576AF8">
        <w:rPr>
          <w:iCs/>
          <w:sz w:val="22"/>
          <w:szCs w:val="22"/>
        </w:rPr>
        <w:t>Un proceso de apagado completo del sistema, siguiendo los procedimientos correctos, tomará menos de 300 segundos.</w:t>
      </w:r>
    </w:p>
    <w:p w14:paraId="6E2BE5BA" w14:textId="77777777" w:rsidR="009102A7" w:rsidRPr="00576AF8" w:rsidRDefault="009102A7" w:rsidP="009102A7">
      <w:pPr>
        <w:ind w:left="720" w:hanging="720"/>
        <w:jc w:val="left"/>
        <w:outlineLvl w:val="2"/>
        <w:rPr>
          <w:b/>
          <w:iCs/>
          <w:sz w:val="22"/>
          <w:szCs w:val="22"/>
        </w:rPr>
      </w:pPr>
      <w:r w:rsidRPr="00576AF8">
        <w:rPr>
          <w:b/>
          <w:iCs/>
          <w:sz w:val="22"/>
          <w:szCs w:val="22"/>
        </w:rPr>
        <w:t>1.5.1.5 Transferencia de Operación</w:t>
      </w:r>
    </w:p>
    <w:p w14:paraId="251914E5" w14:textId="77777777" w:rsidR="009102A7" w:rsidRPr="00576AF8" w:rsidRDefault="009102A7" w:rsidP="009102A7">
      <w:pPr>
        <w:ind w:left="2160" w:right="4" w:hanging="33"/>
        <w:rPr>
          <w:iCs/>
          <w:sz w:val="22"/>
          <w:szCs w:val="22"/>
        </w:rPr>
      </w:pPr>
      <w:r w:rsidRPr="00576AF8">
        <w:rPr>
          <w:iCs/>
          <w:sz w:val="22"/>
          <w:szCs w:val="22"/>
        </w:rPr>
        <w:t xml:space="preserve">a. </w:t>
      </w:r>
      <w:r w:rsidRPr="00576AF8">
        <w:rPr>
          <w:iCs/>
          <w:sz w:val="22"/>
          <w:szCs w:val="22"/>
        </w:rPr>
        <w:tab/>
        <w:t>Ninguna característica operativa del sistema SCADA/EMS, en ningún momento, experimentará un período de indisponibilidad por más de 5 segundos, ya sea debido a la transferencia de la operación de un procesador a otro después de una falla del procesador transferido.  Por ejemplo, conmutación por error a un servidor en hot standby o reconfiguración de servicios en la red o en general, por cualquier otro motivo.</w:t>
      </w:r>
    </w:p>
    <w:p w14:paraId="4E4366A3" w14:textId="77777777" w:rsidR="009102A7" w:rsidRPr="00576AF8" w:rsidRDefault="009102A7" w:rsidP="009102A7">
      <w:pPr>
        <w:ind w:left="2160" w:right="4" w:hanging="33"/>
        <w:rPr>
          <w:iCs/>
          <w:sz w:val="22"/>
          <w:szCs w:val="22"/>
        </w:rPr>
      </w:pPr>
      <w:r w:rsidRPr="00576AF8">
        <w:rPr>
          <w:iCs/>
          <w:sz w:val="22"/>
          <w:szCs w:val="22"/>
        </w:rPr>
        <w:t>b.</w:t>
      </w:r>
      <w:r w:rsidRPr="00576AF8">
        <w:rPr>
          <w:iCs/>
          <w:sz w:val="22"/>
          <w:szCs w:val="22"/>
        </w:rPr>
        <w:tab/>
        <w:t xml:space="preserve">Inmediatamente después de la conmutación, todas las funciones estarán nuevamente disponibles para los Operadores. Los Operadores no tendrán que reiniciar </w:t>
      </w:r>
      <w:r w:rsidRPr="00576AF8">
        <w:rPr>
          <w:iCs/>
          <w:sz w:val="22"/>
          <w:szCs w:val="22"/>
        </w:rPr>
        <w:lastRenderedPageBreak/>
        <w:t>sus sesiones y las selecciones de visualización permanecerán inalteradas como estaban antes del failover. En una configuración de equipo redundante, el tiempo necesario para cambiar del estado de espera al estado activo y para alcanzar el modo operativo completo del sistema será inferior a 5 segundos. No se perderán datos durante el proceso de conmutación.</w:t>
      </w:r>
    </w:p>
    <w:p w14:paraId="0AC56611" w14:textId="77777777" w:rsidR="009102A7" w:rsidRPr="00576AF8" w:rsidRDefault="009102A7" w:rsidP="009102A7">
      <w:pPr>
        <w:ind w:left="2160" w:right="4" w:hanging="33"/>
        <w:rPr>
          <w:iCs/>
          <w:sz w:val="22"/>
          <w:szCs w:val="22"/>
        </w:rPr>
      </w:pPr>
      <w:r w:rsidRPr="00576AF8">
        <w:rPr>
          <w:iCs/>
          <w:sz w:val="22"/>
          <w:szCs w:val="22"/>
        </w:rPr>
        <w:t>c.</w:t>
      </w:r>
      <w:r w:rsidRPr="00576AF8">
        <w:rPr>
          <w:iCs/>
          <w:sz w:val="22"/>
          <w:szCs w:val="22"/>
        </w:rPr>
        <w:tab/>
        <w:t>Se implementará un sistema de almacenamiento y recuperación de información online-standby en los entornos SCADA/EMS, ya que es fundamental para garantizar la continuidad operativa y la integridad de los datos críticos. Esta estrategia ayuda a minimizar el riesgo de pérdida de datos y de tiempos de inactividad, lo que es especialmente importante en entornos donde la disponibilidad y la confiabilidad son fundamentales.</w:t>
      </w:r>
    </w:p>
    <w:p w14:paraId="51E94E66" w14:textId="77777777" w:rsidR="009102A7" w:rsidRPr="00576AF8" w:rsidRDefault="009102A7" w:rsidP="009102A7">
      <w:pPr>
        <w:ind w:left="2160" w:right="4" w:hanging="33"/>
        <w:rPr>
          <w:iCs/>
          <w:sz w:val="22"/>
          <w:szCs w:val="22"/>
        </w:rPr>
      </w:pPr>
      <w:r w:rsidRPr="00576AF8">
        <w:rPr>
          <w:iCs/>
          <w:sz w:val="22"/>
          <w:szCs w:val="22"/>
        </w:rPr>
        <w:t>d.</w:t>
      </w:r>
      <w:r w:rsidRPr="00576AF8">
        <w:rPr>
          <w:iCs/>
          <w:sz w:val="22"/>
          <w:szCs w:val="22"/>
        </w:rPr>
        <w:tab/>
        <w:t>Se asegurará que los datos se sincronicen adecuadamente entre los sistemas primario y redundante. La sincronización puede lograrse mediante tecnologías como replicación de bases de datos en tiempo real o copias de seguridad incrementales programadas con regularidad.</w:t>
      </w:r>
    </w:p>
    <w:p w14:paraId="7E71900B" w14:textId="77777777" w:rsidR="009102A7" w:rsidRPr="00576AF8" w:rsidRDefault="009102A7" w:rsidP="009102A7">
      <w:pPr>
        <w:ind w:left="720" w:hanging="720"/>
        <w:jc w:val="left"/>
        <w:outlineLvl w:val="2"/>
        <w:rPr>
          <w:b/>
          <w:iCs/>
          <w:sz w:val="22"/>
          <w:szCs w:val="22"/>
        </w:rPr>
      </w:pPr>
      <w:r w:rsidRPr="00576AF8">
        <w:rPr>
          <w:b/>
          <w:iCs/>
          <w:sz w:val="22"/>
          <w:szCs w:val="22"/>
        </w:rPr>
        <w:t>1.5.1.6 Tiempo de Respuesta</w:t>
      </w:r>
    </w:p>
    <w:p w14:paraId="65AFF2E6" w14:textId="77777777" w:rsidR="009102A7" w:rsidRPr="00576AF8" w:rsidRDefault="009102A7" w:rsidP="009102A7">
      <w:pPr>
        <w:ind w:left="2160" w:right="4" w:hanging="33"/>
        <w:rPr>
          <w:sz w:val="22"/>
          <w:szCs w:val="22"/>
        </w:rPr>
      </w:pPr>
      <w:r w:rsidRPr="00576AF8">
        <w:rPr>
          <w:sz w:val="22"/>
          <w:szCs w:val="22"/>
        </w:rPr>
        <w:t>a.</w:t>
      </w:r>
      <w:r w:rsidRPr="00576AF8">
        <w:rPr>
          <w:sz w:val="22"/>
          <w:szCs w:val="22"/>
        </w:rPr>
        <w:tab/>
        <w:t xml:space="preserve">En condiciones normales de actividad, la carga promedio de CPU en cualquier equipo central será inferior al 35% durante un período de medición de 5 minutos.  En condiciones de alta actividad, la carga promedio de CPU en cualquier equipo central será inferior al 50% durante un período de medición de 5 minutos. </w:t>
      </w:r>
    </w:p>
    <w:p w14:paraId="2A0659F7" w14:textId="77777777" w:rsidR="009102A7" w:rsidRPr="00576AF8" w:rsidRDefault="009102A7" w:rsidP="009102A7">
      <w:pPr>
        <w:ind w:left="2160" w:right="4" w:hanging="33"/>
        <w:rPr>
          <w:sz w:val="22"/>
          <w:szCs w:val="22"/>
        </w:rPr>
      </w:pPr>
      <w:r w:rsidRPr="00576AF8">
        <w:rPr>
          <w:sz w:val="22"/>
          <w:szCs w:val="22"/>
        </w:rPr>
        <w:t>b.</w:t>
      </w:r>
      <w:r w:rsidRPr="00576AF8">
        <w:rPr>
          <w:sz w:val="22"/>
          <w:szCs w:val="22"/>
        </w:rPr>
        <w:tab/>
        <w:t xml:space="preserve">El sistema actualizará adecuadamente todos los despliegues necesarios y continuará respondiendo mientras procesa un rendimiento continuo de 100 alarmas por segundo y una avalancha de 1.500 alarmas por segundo durante 10 segundos, sin que los operadores noten ninguna reducción en el rendimiento. La interfaz de usuario IHM será fluida en todo momento y no mostrará signos de congelamiento del sistema. </w:t>
      </w:r>
    </w:p>
    <w:p w14:paraId="50B62E99" w14:textId="77777777" w:rsidR="009102A7" w:rsidRPr="00576AF8" w:rsidRDefault="009102A7" w:rsidP="009102A7">
      <w:pPr>
        <w:ind w:left="2160" w:right="4" w:hanging="33"/>
        <w:rPr>
          <w:rFonts w:eastAsia="Calibri"/>
          <w:sz w:val="22"/>
          <w:szCs w:val="22"/>
        </w:rPr>
      </w:pPr>
      <w:r w:rsidRPr="00576AF8">
        <w:rPr>
          <w:sz w:val="22"/>
          <w:szCs w:val="22"/>
        </w:rPr>
        <w:t>c.</w:t>
      </w:r>
      <w:r w:rsidRPr="00576AF8">
        <w:rPr>
          <w:sz w:val="22"/>
          <w:szCs w:val="22"/>
        </w:rPr>
        <w:tab/>
        <w:t>El rendimiento del Sistema cumplirá o mejorará los tiempos máximos de respuesta especificados a continuación:</w:t>
      </w:r>
    </w:p>
    <w:tbl>
      <w:tblPr>
        <w:tblW w:w="7230" w:type="dxa"/>
        <w:jc w:val="right"/>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600" w:firstRow="0" w:lastRow="0" w:firstColumn="0" w:lastColumn="0" w:noHBand="1" w:noVBand="1"/>
      </w:tblPr>
      <w:tblGrid>
        <w:gridCol w:w="4747"/>
        <w:gridCol w:w="1345"/>
        <w:gridCol w:w="1138"/>
      </w:tblGrid>
      <w:tr w:rsidR="009102A7" w:rsidRPr="00576AF8" w14:paraId="3F5FBF69" w14:textId="77777777" w:rsidTr="009F6B78">
        <w:trPr>
          <w:trHeight w:val="555"/>
          <w:jc w:val="right"/>
        </w:trPr>
        <w:tc>
          <w:tcPr>
            <w:tcW w:w="4747" w:type="dxa"/>
            <w:shd w:val="clear" w:color="auto" w:fill="DBE5F1"/>
            <w:vAlign w:val="center"/>
          </w:tcPr>
          <w:p w14:paraId="78268390" w14:textId="77777777" w:rsidR="009102A7" w:rsidRPr="00576AF8" w:rsidRDefault="009102A7" w:rsidP="009F6B78">
            <w:pPr>
              <w:spacing w:line="360" w:lineRule="auto"/>
              <w:rPr>
                <w:sz w:val="22"/>
                <w:szCs w:val="22"/>
              </w:rPr>
            </w:pPr>
            <w:r w:rsidRPr="00576AF8">
              <w:rPr>
                <w:rFonts w:eastAsia="Calibri"/>
                <w:sz w:val="22"/>
                <w:szCs w:val="22"/>
              </w:rPr>
              <w:t>Descripción</w:t>
            </w:r>
          </w:p>
        </w:tc>
        <w:tc>
          <w:tcPr>
            <w:tcW w:w="1345" w:type="dxa"/>
            <w:shd w:val="clear" w:color="auto" w:fill="DBE5F1"/>
            <w:vAlign w:val="center"/>
          </w:tcPr>
          <w:p w14:paraId="78921F4C" w14:textId="77777777" w:rsidR="009102A7" w:rsidRPr="00576AF8" w:rsidRDefault="009102A7" w:rsidP="009F6B78">
            <w:pPr>
              <w:spacing w:line="360" w:lineRule="auto"/>
              <w:rPr>
                <w:sz w:val="22"/>
                <w:szCs w:val="22"/>
              </w:rPr>
            </w:pPr>
            <w:r w:rsidRPr="00576AF8">
              <w:rPr>
                <w:rFonts w:eastAsia="Calibri"/>
                <w:sz w:val="22"/>
                <w:szCs w:val="22"/>
              </w:rPr>
              <w:t>Actividad Normal</w:t>
            </w:r>
          </w:p>
        </w:tc>
        <w:tc>
          <w:tcPr>
            <w:tcW w:w="1138" w:type="dxa"/>
            <w:shd w:val="clear" w:color="auto" w:fill="DBE5F1"/>
            <w:vAlign w:val="center"/>
          </w:tcPr>
          <w:p w14:paraId="18C7ADB5" w14:textId="77777777" w:rsidR="009102A7" w:rsidRPr="00576AF8" w:rsidRDefault="009102A7" w:rsidP="009F6B78">
            <w:pPr>
              <w:spacing w:line="360" w:lineRule="auto"/>
              <w:rPr>
                <w:sz w:val="22"/>
                <w:szCs w:val="22"/>
              </w:rPr>
            </w:pPr>
            <w:r w:rsidRPr="00576AF8">
              <w:rPr>
                <w:rFonts w:eastAsia="Calibri"/>
                <w:sz w:val="22"/>
                <w:szCs w:val="22"/>
              </w:rPr>
              <w:t>Alta Actividad</w:t>
            </w:r>
          </w:p>
        </w:tc>
      </w:tr>
      <w:tr w:rsidR="009102A7" w:rsidRPr="00576AF8" w14:paraId="29730655" w14:textId="77777777" w:rsidTr="009F6B78">
        <w:trPr>
          <w:trHeight w:val="315"/>
          <w:jc w:val="right"/>
        </w:trPr>
        <w:tc>
          <w:tcPr>
            <w:tcW w:w="4747" w:type="dxa"/>
            <w:vAlign w:val="center"/>
          </w:tcPr>
          <w:p w14:paraId="573F03FF" w14:textId="77777777" w:rsidR="009102A7" w:rsidRPr="00576AF8" w:rsidRDefault="009102A7" w:rsidP="009F6B78">
            <w:pPr>
              <w:spacing w:line="360" w:lineRule="auto"/>
              <w:rPr>
                <w:sz w:val="22"/>
                <w:szCs w:val="22"/>
              </w:rPr>
            </w:pPr>
            <w:r w:rsidRPr="00576AF8">
              <w:rPr>
                <w:rFonts w:eastAsia="Calibri"/>
                <w:sz w:val="22"/>
                <w:szCs w:val="22"/>
              </w:rPr>
              <w:t>Confirmación de la selección de puntos en un despliegue</w:t>
            </w:r>
          </w:p>
        </w:tc>
        <w:tc>
          <w:tcPr>
            <w:tcW w:w="1345" w:type="dxa"/>
            <w:vAlign w:val="center"/>
          </w:tcPr>
          <w:p w14:paraId="27893A36" w14:textId="77777777" w:rsidR="009102A7" w:rsidRPr="00576AF8" w:rsidRDefault="009102A7" w:rsidP="009F6B78">
            <w:pPr>
              <w:spacing w:line="360" w:lineRule="auto"/>
              <w:rPr>
                <w:sz w:val="22"/>
                <w:szCs w:val="22"/>
              </w:rPr>
            </w:pPr>
            <w:r w:rsidRPr="00576AF8">
              <w:rPr>
                <w:rFonts w:eastAsia="Calibri"/>
                <w:sz w:val="22"/>
                <w:szCs w:val="22"/>
              </w:rPr>
              <w:t>1</w:t>
            </w:r>
          </w:p>
        </w:tc>
        <w:tc>
          <w:tcPr>
            <w:tcW w:w="1138" w:type="dxa"/>
            <w:vAlign w:val="center"/>
          </w:tcPr>
          <w:p w14:paraId="568AE4A9" w14:textId="77777777" w:rsidR="009102A7" w:rsidRPr="00576AF8" w:rsidRDefault="009102A7" w:rsidP="009F6B78">
            <w:pPr>
              <w:spacing w:line="360" w:lineRule="auto"/>
              <w:rPr>
                <w:sz w:val="22"/>
                <w:szCs w:val="22"/>
              </w:rPr>
            </w:pPr>
            <w:r w:rsidRPr="00576AF8">
              <w:rPr>
                <w:rFonts w:eastAsia="Calibri"/>
                <w:sz w:val="22"/>
                <w:szCs w:val="22"/>
              </w:rPr>
              <w:t>1</w:t>
            </w:r>
          </w:p>
        </w:tc>
      </w:tr>
      <w:tr w:rsidR="009102A7" w:rsidRPr="00576AF8" w14:paraId="64F0A9C6" w14:textId="77777777" w:rsidTr="009F6B78">
        <w:trPr>
          <w:trHeight w:val="315"/>
          <w:jc w:val="right"/>
        </w:trPr>
        <w:tc>
          <w:tcPr>
            <w:tcW w:w="4747" w:type="dxa"/>
            <w:vAlign w:val="center"/>
          </w:tcPr>
          <w:p w14:paraId="3CC6A3AD" w14:textId="77777777" w:rsidR="009102A7" w:rsidRPr="00576AF8" w:rsidRDefault="009102A7" w:rsidP="009F6B78">
            <w:pPr>
              <w:spacing w:line="360" w:lineRule="auto"/>
              <w:rPr>
                <w:sz w:val="22"/>
                <w:szCs w:val="22"/>
              </w:rPr>
            </w:pPr>
            <w:r w:rsidRPr="00576AF8">
              <w:rPr>
                <w:rFonts w:eastAsia="Calibri"/>
                <w:sz w:val="22"/>
                <w:szCs w:val="22"/>
              </w:rPr>
              <w:t>Tiempo de llamado a un despliegue</w:t>
            </w:r>
          </w:p>
        </w:tc>
        <w:tc>
          <w:tcPr>
            <w:tcW w:w="1345" w:type="dxa"/>
            <w:vAlign w:val="center"/>
          </w:tcPr>
          <w:p w14:paraId="2B81F18D"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331C6F90" w14:textId="77777777" w:rsidR="009102A7" w:rsidRPr="00576AF8" w:rsidRDefault="009102A7" w:rsidP="009F6B78">
            <w:pPr>
              <w:spacing w:line="360" w:lineRule="auto"/>
              <w:rPr>
                <w:sz w:val="22"/>
                <w:szCs w:val="22"/>
              </w:rPr>
            </w:pPr>
            <w:r w:rsidRPr="00576AF8">
              <w:rPr>
                <w:rFonts w:eastAsia="Calibri"/>
                <w:sz w:val="22"/>
                <w:szCs w:val="22"/>
              </w:rPr>
              <w:t>4</w:t>
            </w:r>
          </w:p>
        </w:tc>
      </w:tr>
      <w:tr w:rsidR="009102A7" w:rsidRPr="00576AF8" w14:paraId="32F51548" w14:textId="77777777" w:rsidTr="009F6B78">
        <w:trPr>
          <w:trHeight w:val="315"/>
          <w:jc w:val="right"/>
        </w:trPr>
        <w:tc>
          <w:tcPr>
            <w:tcW w:w="4747" w:type="dxa"/>
            <w:vAlign w:val="center"/>
          </w:tcPr>
          <w:p w14:paraId="7FADEF30" w14:textId="77777777" w:rsidR="009102A7" w:rsidRPr="00576AF8" w:rsidRDefault="009102A7" w:rsidP="009F6B78">
            <w:pPr>
              <w:spacing w:line="360" w:lineRule="auto"/>
              <w:rPr>
                <w:sz w:val="22"/>
                <w:szCs w:val="22"/>
              </w:rPr>
            </w:pPr>
            <w:r w:rsidRPr="00576AF8">
              <w:rPr>
                <w:rFonts w:eastAsia="Calibri"/>
                <w:sz w:val="22"/>
                <w:szCs w:val="22"/>
              </w:rPr>
              <w:t>Aceptación de una alarma</w:t>
            </w:r>
          </w:p>
        </w:tc>
        <w:tc>
          <w:tcPr>
            <w:tcW w:w="1345" w:type="dxa"/>
            <w:vAlign w:val="center"/>
          </w:tcPr>
          <w:p w14:paraId="4EBDF19C"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67EABA2C" w14:textId="77777777" w:rsidR="009102A7" w:rsidRPr="00576AF8" w:rsidRDefault="009102A7" w:rsidP="009F6B78">
            <w:pPr>
              <w:spacing w:line="360" w:lineRule="auto"/>
              <w:rPr>
                <w:sz w:val="22"/>
                <w:szCs w:val="22"/>
              </w:rPr>
            </w:pPr>
            <w:r w:rsidRPr="00576AF8">
              <w:rPr>
                <w:rFonts w:eastAsia="Calibri"/>
                <w:sz w:val="22"/>
                <w:szCs w:val="22"/>
              </w:rPr>
              <w:t>2</w:t>
            </w:r>
          </w:p>
        </w:tc>
      </w:tr>
      <w:tr w:rsidR="009102A7" w:rsidRPr="00576AF8" w14:paraId="033017AE" w14:textId="77777777" w:rsidTr="009F6B78">
        <w:trPr>
          <w:trHeight w:val="315"/>
          <w:jc w:val="right"/>
        </w:trPr>
        <w:tc>
          <w:tcPr>
            <w:tcW w:w="4747" w:type="dxa"/>
            <w:vAlign w:val="center"/>
          </w:tcPr>
          <w:p w14:paraId="7F3E4930" w14:textId="77777777" w:rsidR="009102A7" w:rsidRPr="00576AF8" w:rsidRDefault="009102A7" w:rsidP="009F6B78">
            <w:pPr>
              <w:spacing w:line="360" w:lineRule="auto"/>
              <w:rPr>
                <w:sz w:val="22"/>
                <w:szCs w:val="22"/>
              </w:rPr>
            </w:pPr>
            <w:r w:rsidRPr="00576AF8">
              <w:rPr>
                <w:rFonts w:eastAsia="Calibri"/>
                <w:sz w:val="22"/>
                <w:szCs w:val="22"/>
              </w:rPr>
              <w:t>Aceptación de una página de alarmas</w:t>
            </w:r>
          </w:p>
        </w:tc>
        <w:tc>
          <w:tcPr>
            <w:tcW w:w="1345" w:type="dxa"/>
            <w:vAlign w:val="center"/>
          </w:tcPr>
          <w:p w14:paraId="138AB512"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4B51261E" w14:textId="77777777" w:rsidR="009102A7" w:rsidRPr="00576AF8" w:rsidRDefault="009102A7" w:rsidP="009F6B78">
            <w:pPr>
              <w:spacing w:line="360" w:lineRule="auto"/>
              <w:rPr>
                <w:sz w:val="22"/>
                <w:szCs w:val="22"/>
              </w:rPr>
            </w:pPr>
            <w:r w:rsidRPr="00576AF8">
              <w:rPr>
                <w:rFonts w:eastAsia="Calibri"/>
                <w:sz w:val="22"/>
                <w:szCs w:val="22"/>
              </w:rPr>
              <w:t>4</w:t>
            </w:r>
          </w:p>
        </w:tc>
      </w:tr>
      <w:tr w:rsidR="009102A7" w:rsidRPr="00576AF8" w14:paraId="57835920" w14:textId="77777777" w:rsidTr="009F6B78">
        <w:trPr>
          <w:trHeight w:val="555"/>
          <w:jc w:val="right"/>
        </w:trPr>
        <w:tc>
          <w:tcPr>
            <w:tcW w:w="4747" w:type="dxa"/>
            <w:vAlign w:val="center"/>
          </w:tcPr>
          <w:p w14:paraId="67092C53" w14:textId="77777777" w:rsidR="009102A7" w:rsidRPr="00576AF8" w:rsidRDefault="009102A7" w:rsidP="009F6B78">
            <w:pPr>
              <w:spacing w:line="360" w:lineRule="auto"/>
              <w:rPr>
                <w:sz w:val="22"/>
                <w:szCs w:val="22"/>
              </w:rPr>
            </w:pPr>
            <w:r w:rsidRPr="00576AF8">
              <w:rPr>
                <w:rFonts w:eastAsia="Calibri"/>
                <w:sz w:val="22"/>
                <w:szCs w:val="22"/>
              </w:rPr>
              <w:t>El intervalo de tiempo desde la selección de una función de control hasta la confirmación o no, de su factibilidad de ejecución desde la estación externa, no excederá</w:t>
            </w:r>
          </w:p>
        </w:tc>
        <w:tc>
          <w:tcPr>
            <w:tcW w:w="1345" w:type="dxa"/>
            <w:vAlign w:val="center"/>
          </w:tcPr>
          <w:p w14:paraId="65F65C3F"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373DC38A" w14:textId="77777777" w:rsidR="009102A7" w:rsidRPr="00576AF8" w:rsidRDefault="009102A7" w:rsidP="009F6B78">
            <w:pPr>
              <w:spacing w:line="360" w:lineRule="auto"/>
              <w:rPr>
                <w:sz w:val="22"/>
                <w:szCs w:val="22"/>
              </w:rPr>
            </w:pPr>
            <w:r w:rsidRPr="00576AF8">
              <w:rPr>
                <w:rFonts w:eastAsia="Calibri"/>
                <w:sz w:val="22"/>
                <w:szCs w:val="22"/>
              </w:rPr>
              <w:t>2</w:t>
            </w:r>
          </w:p>
        </w:tc>
      </w:tr>
      <w:tr w:rsidR="009102A7" w:rsidRPr="00576AF8" w14:paraId="1C696834" w14:textId="77777777" w:rsidTr="009F6B78">
        <w:trPr>
          <w:trHeight w:val="555"/>
          <w:jc w:val="right"/>
        </w:trPr>
        <w:tc>
          <w:tcPr>
            <w:tcW w:w="4747" w:type="dxa"/>
            <w:vAlign w:val="center"/>
          </w:tcPr>
          <w:p w14:paraId="64FF1237" w14:textId="77777777" w:rsidR="009102A7" w:rsidRPr="00576AF8" w:rsidRDefault="009102A7" w:rsidP="009F6B78">
            <w:pPr>
              <w:spacing w:line="360" w:lineRule="auto"/>
              <w:rPr>
                <w:sz w:val="22"/>
                <w:szCs w:val="22"/>
              </w:rPr>
            </w:pPr>
            <w:r w:rsidRPr="00576AF8">
              <w:rPr>
                <w:rFonts w:eastAsia="Calibri"/>
                <w:sz w:val="22"/>
                <w:szCs w:val="22"/>
              </w:rPr>
              <w:lastRenderedPageBreak/>
              <w:t>El tiempo entre la ejecución de una función de control y el inicio del control en la estación exterior, no excederá</w:t>
            </w:r>
          </w:p>
        </w:tc>
        <w:tc>
          <w:tcPr>
            <w:tcW w:w="1345" w:type="dxa"/>
            <w:vAlign w:val="center"/>
          </w:tcPr>
          <w:p w14:paraId="286AAFE8" w14:textId="77777777" w:rsidR="009102A7" w:rsidRPr="00576AF8" w:rsidRDefault="009102A7" w:rsidP="009F6B78">
            <w:pPr>
              <w:spacing w:line="360" w:lineRule="auto"/>
              <w:rPr>
                <w:sz w:val="22"/>
                <w:szCs w:val="22"/>
              </w:rPr>
            </w:pPr>
            <w:r w:rsidRPr="00576AF8">
              <w:rPr>
                <w:rFonts w:eastAsia="Calibri"/>
                <w:sz w:val="22"/>
                <w:szCs w:val="22"/>
              </w:rPr>
              <w:t>1</w:t>
            </w:r>
          </w:p>
        </w:tc>
        <w:tc>
          <w:tcPr>
            <w:tcW w:w="1138" w:type="dxa"/>
            <w:vAlign w:val="center"/>
          </w:tcPr>
          <w:p w14:paraId="1FEB2EA6" w14:textId="77777777" w:rsidR="009102A7" w:rsidRPr="00576AF8" w:rsidRDefault="009102A7" w:rsidP="009F6B78">
            <w:pPr>
              <w:spacing w:line="360" w:lineRule="auto"/>
              <w:rPr>
                <w:sz w:val="22"/>
                <w:szCs w:val="22"/>
              </w:rPr>
            </w:pPr>
            <w:r w:rsidRPr="00576AF8">
              <w:rPr>
                <w:rFonts w:eastAsia="Calibri"/>
                <w:sz w:val="22"/>
                <w:szCs w:val="22"/>
              </w:rPr>
              <w:t>1</w:t>
            </w:r>
          </w:p>
        </w:tc>
      </w:tr>
      <w:tr w:rsidR="009102A7" w:rsidRPr="00576AF8" w14:paraId="0F0E92CB" w14:textId="77777777" w:rsidTr="009F6B78">
        <w:trPr>
          <w:trHeight w:val="555"/>
          <w:jc w:val="right"/>
        </w:trPr>
        <w:tc>
          <w:tcPr>
            <w:tcW w:w="4747" w:type="dxa"/>
            <w:vAlign w:val="center"/>
          </w:tcPr>
          <w:p w14:paraId="12CF5AD3" w14:textId="77777777" w:rsidR="009102A7" w:rsidRPr="00576AF8" w:rsidRDefault="009102A7" w:rsidP="009F6B78">
            <w:pPr>
              <w:spacing w:line="360" w:lineRule="auto"/>
              <w:rPr>
                <w:sz w:val="22"/>
                <w:szCs w:val="22"/>
              </w:rPr>
            </w:pPr>
            <w:r w:rsidRPr="00576AF8">
              <w:rPr>
                <w:rFonts w:eastAsia="Calibri"/>
                <w:sz w:val="22"/>
                <w:szCs w:val="22"/>
              </w:rPr>
              <w:t>El tiempo entre la ocurrencia de un cambio de estado o una alarma en una estación externa y su visualización en la estación maestra, no excederá</w:t>
            </w:r>
          </w:p>
        </w:tc>
        <w:tc>
          <w:tcPr>
            <w:tcW w:w="1345" w:type="dxa"/>
            <w:vAlign w:val="center"/>
          </w:tcPr>
          <w:p w14:paraId="37DC1284"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10BF1ED5" w14:textId="77777777" w:rsidR="009102A7" w:rsidRPr="00576AF8" w:rsidRDefault="009102A7" w:rsidP="009F6B78">
            <w:pPr>
              <w:spacing w:line="360" w:lineRule="auto"/>
              <w:rPr>
                <w:sz w:val="22"/>
                <w:szCs w:val="22"/>
              </w:rPr>
            </w:pPr>
            <w:r w:rsidRPr="00576AF8">
              <w:rPr>
                <w:rFonts w:eastAsia="Calibri"/>
                <w:sz w:val="22"/>
                <w:szCs w:val="22"/>
              </w:rPr>
              <w:t>8</w:t>
            </w:r>
          </w:p>
        </w:tc>
      </w:tr>
      <w:tr w:rsidR="009102A7" w:rsidRPr="00576AF8" w14:paraId="245F5D20" w14:textId="77777777" w:rsidTr="009F6B78">
        <w:trPr>
          <w:trHeight w:val="555"/>
          <w:jc w:val="right"/>
        </w:trPr>
        <w:tc>
          <w:tcPr>
            <w:tcW w:w="4747" w:type="dxa"/>
            <w:vAlign w:val="center"/>
          </w:tcPr>
          <w:p w14:paraId="3D223F2D" w14:textId="77777777" w:rsidR="009102A7" w:rsidRPr="00576AF8" w:rsidRDefault="009102A7" w:rsidP="009F6B78">
            <w:pPr>
              <w:spacing w:line="360" w:lineRule="auto"/>
              <w:rPr>
                <w:sz w:val="22"/>
                <w:szCs w:val="22"/>
              </w:rPr>
            </w:pPr>
            <w:r w:rsidRPr="00576AF8">
              <w:rPr>
                <w:rFonts w:eastAsia="Calibri"/>
                <w:sz w:val="22"/>
                <w:szCs w:val="22"/>
              </w:rPr>
              <w:t>El tiempo entre un cambio de estado en una estación externa debido a una acción de control y la visualización en la estación maestra, no excederá</w:t>
            </w:r>
          </w:p>
        </w:tc>
        <w:tc>
          <w:tcPr>
            <w:tcW w:w="1345" w:type="dxa"/>
            <w:vAlign w:val="center"/>
          </w:tcPr>
          <w:p w14:paraId="65DE7B7C"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23343198" w14:textId="77777777" w:rsidR="009102A7" w:rsidRPr="00576AF8" w:rsidRDefault="009102A7" w:rsidP="009F6B78">
            <w:pPr>
              <w:spacing w:line="360" w:lineRule="auto"/>
              <w:rPr>
                <w:sz w:val="22"/>
                <w:szCs w:val="22"/>
              </w:rPr>
            </w:pPr>
            <w:r w:rsidRPr="00576AF8">
              <w:rPr>
                <w:rFonts w:eastAsia="Calibri"/>
                <w:sz w:val="22"/>
                <w:szCs w:val="22"/>
              </w:rPr>
              <w:t>4</w:t>
            </w:r>
          </w:p>
        </w:tc>
      </w:tr>
      <w:tr w:rsidR="009102A7" w:rsidRPr="00576AF8" w14:paraId="0EE9F06D" w14:textId="77777777" w:rsidTr="009F6B78">
        <w:trPr>
          <w:trHeight w:val="315"/>
          <w:jc w:val="right"/>
        </w:trPr>
        <w:tc>
          <w:tcPr>
            <w:tcW w:w="4747" w:type="dxa"/>
            <w:vAlign w:val="center"/>
          </w:tcPr>
          <w:p w14:paraId="79846458" w14:textId="77777777" w:rsidR="009102A7" w:rsidRPr="00576AF8" w:rsidRDefault="009102A7" w:rsidP="009F6B78">
            <w:pPr>
              <w:spacing w:line="360" w:lineRule="auto"/>
              <w:rPr>
                <w:sz w:val="22"/>
                <w:szCs w:val="22"/>
              </w:rPr>
            </w:pPr>
            <w:r w:rsidRPr="00576AF8">
              <w:rPr>
                <w:rFonts w:eastAsia="Calibri"/>
                <w:sz w:val="22"/>
                <w:szCs w:val="22"/>
              </w:rPr>
              <w:t>Tiempo de actualización de mediciones de tiempo y frecuencia</w:t>
            </w:r>
          </w:p>
        </w:tc>
        <w:tc>
          <w:tcPr>
            <w:tcW w:w="1345" w:type="dxa"/>
            <w:vAlign w:val="center"/>
          </w:tcPr>
          <w:p w14:paraId="670A8E5C" w14:textId="77777777" w:rsidR="009102A7" w:rsidRPr="00576AF8" w:rsidRDefault="009102A7" w:rsidP="009F6B78">
            <w:pPr>
              <w:spacing w:line="360" w:lineRule="auto"/>
              <w:rPr>
                <w:sz w:val="22"/>
                <w:szCs w:val="22"/>
              </w:rPr>
            </w:pPr>
            <w:r w:rsidRPr="00576AF8">
              <w:rPr>
                <w:rFonts w:eastAsia="Calibri"/>
                <w:sz w:val="22"/>
                <w:szCs w:val="22"/>
              </w:rPr>
              <w:t>1</w:t>
            </w:r>
          </w:p>
        </w:tc>
        <w:tc>
          <w:tcPr>
            <w:tcW w:w="1138" w:type="dxa"/>
            <w:vAlign w:val="center"/>
          </w:tcPr>
          <w:p w14:paraId="1B044C25" w14:textId="77777777" w:rsidR="009102A7" w:rsidRPr="00576AF8" w:rsidRDefault="009102A7" w:rsidP="009F6B78">
            <w:pPr>
              <w:spacing w:line="360" w:lineRule="auto"/>
              <w:rPr>
                <w:sz w:val="22"/>
                <w:szCs w:val="22"/>
              </w:rPr>
            </w:pPr>
            <w:r w:rsidRPr="00576AF8">
              <w:rPr>
                <w:rFonts w:eastAsia="Calibri"/>
                <w:sz w:val="22"/>
                <w:szCs w:val="22"/>
              </w:rPr>
              <w:t>1</w:t>
            </w:r>
          </w:p>
        </w:tc>
      </w:tr>
      <w:tr w:rsidR="009102A7" w:rsidRPr="00576AF8" w14:paraId="2D860875" w14:textId="77777777" w:rsidTr="009F6B78">
        <w:trPr>
          <w:trHeight w:val="315"/>
          <w:jc w:val="right"/>
        </w:trPr>
        <w:tc>
          <w:tcPr>
            <w:tcW w:w="4747" w:type="dxa"/>
            <w:vAlign w:val="center"/>
          </w:tcPr>
          <w:p w14:paraId="3FB935ED" w14:textId="77777777" w:rsidR="009102A7" w:rsidRPr="00576AF8" w:rsidRDefault="009102A7" w:rsidP="009F6B78">
            <w:pPr>
              <w:spacing w:line="360" w:lineRule="auto"/>
              <w:rPr>
                <w:sz w:val="22"/>
                <w:szCs w:val="22"/>
              </w:rPr>
            </w:pPr>
            <w:r w:rsidRPr="00576AF8">
              <w:rPr>
                <w:rFonts w:eastAsia="Calibri"/>
                <w:sz w:val="22"/>
                <w:szCs w:val="22"/>
              </w:rPr>
              <w:t>Tiempo de actualización de otras mediciones</w:t>
            </w:r>
          </w:p>
        </w:tc>
        <w:tc>
          <w:tcPr>
            <w:tcW w:w="1345" w:type="dxa"/>
            <w:vAlign w:val="center"/>
          </w:tcPr>
          <w:p w14:paraId="3F56A502"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7A050461" w14:textId="77777777" w:rsidR="009102A7" w:rsidRPr="00576AF8" w:rsidRDefault="009102A7" w:rsidP="009F6B78">
            <w:pPr>
              <w:spacing w:line="360" w:lineRule="auto"/>
              <w:rPr>
                <w:sz w:val="22"/>
                <w:szCs w:val="22"/>
              </w:rPr>
            </w:pPr>
            <w:r w:rsidRPr="00576AF8">
              <w:rPr>
                <w:rFonts w:eastAsia="Calibri"/>
                <w:sz w:val="22"/>
                <w:szCs w:val="22"/>
              </w:rPr>
              <w:t>4</w:t>
            </w:r>
          </w:p>
        </w:tc>
      </w:tr>
      <w:tr w:rsidR="009102A7" w:rsidRPr="00576AF8" w14:paraId="0744FA9A" w14:textId="77777777" w:rsidTr="009F6B78">
        <w:trPr>
          <w:trHeight w:val="555"/>
          <w:jc w:val="right"/>
        </w:trPr>
        <w:tc>
          <w:tcPr>
            <w:tcW w:w="4747" w:type="dxa"/>
            <w:vAlign w:val="center"/>
          </w:tcPr>
          <w:p w14:paraId="09FF36DD" w14:textId="77777777" w:rsidR="009102A7" w:rsidRPr="00576AF8" w:rsidRDefault="009102A7" w:rsidP="009F6B78">
            <w:pPr>
              <w:spacing w:line="360" w:lineRule="auto"/>
              <w:rPr>
                <w:sz w:val="22"/>
                <w:szCs w:val="22"/>
              </w:rPr>
            </w:pPr>
            <w:r w:rsidRPr="00576AF8">
              <w:rPr>
                <w:rFonts w:eastAsia="Calibri"/>
                <w:sz w:val="22"/>
                <w:szCs w:val="22"/>
              </w:rPr>
              <w:t>Carga de un caso de guardado e inicialización de una aplicación en modo de estudio</w:t>
            </w:r>
          </w:p>
        </w:tc>
        <w:tc>
          <w:tcPr>
            <w:tcW w:w="1345" w:type="dxa"/>
            <w:vAlign w:val="center"/>
          </w:tcPr>
          <w:p w14:paraId="1EE88545" w14:textId="77777777" w:rsidR="009102A7" w:rsidRPr="00576AF8" w:rsidRDefault="009102A7" w:rsidP="009F6B78">
            <w:pPr>
              <w:spacing w:line="360" w:lineRule="auto"/>
              <w:rPr>
                <w:sz w:val="22"/>
                <w:szCs w:val="22"/>
              </w:rPr>
            </w:pPr>
            <w:r w:rsidRPr="00576AF8">
              <w:rPr>
                <w:rFonts w:eastAsia="Calibri"/>
                <w:sz w:val="22"/>
                <w:szCs w:val="22"/>
              </w:rPr>
              <w:t>10</w:t>
            </w:r>
          </w:p>
        </w:tc>
        <w:tc>
          <w:tcPr>
            <w:tcW w:w="1138" w:type="dxa"/>
            <w:vAlign w:val="center"/>
          </w:tcPr>
          <w:p w14:paraId="594D5865" w14:textId="77777777" w:rsidR="009102A7" w:rsidRPr="00576AF8" w:rsidRDefault="009102A7" w:rsidP="009F6B78">
            <w:pPr>
              <w:spacing w:line="360" w:lineRule="auto"/>
              <w:rPr>
                <w:sz w:val="22"/>
                <w:szCs w:val="22"/>
              </w:rPr>
            </w:pPr>
            <w:r w:rsidRPr="00576AF8">
              <w:rPr>
                <w:rFonts w:eastAsia="Calibri"/>
                <w:sz w:val="22"/>
                <w:szCs w:val="22"/>
              </w:rPr>
              <w:t>30</w:t>
            </w:r>
          </w:p>
        </w:tc>
      </w:tr>
      <w:tr w:rsidR="009102A7" w:rsidRPr="00576AF8" w14:paraId="7BEC8E6E" w14:textId="77777777" w:rsidTr="009F6B78">
        <w:trPr>
          <w:trHeight w:val="315"/>
          <w:jc w:val="right"/>
        </w:trPr>
        <w:tc>
          <w:tcPr>
            <w:tcW w:w="4747" w:type="dxa"/>
            <w:vAlign w:val="center"/>
          </w:tcPr>
          <w:p w14:paraId="7C4EAC99" w14:textId="77777777" w:rsidR="009102A7" w:rsidRPr="00576AF8" w:rsidRDefault="009102A7" w:rsidP="009F6B78">
            <w:pPr>
              <w:spacing w:line="360" w:lineRule="auto"/>
              <w:rPr>
                <w:sz w:val="22"/>
                <w:szCs w:val="22"/>
              </w:rPr>
            </w:pPr>
            <w:r w:rsidRPr="00576AF8">
              <w:rPr>
                <w:rFonts w:eastAsia="Calibri"/>
                <w:sz w:val="22"/>
                <w:szCs w:val="22"/>
              </w:rPr>
              <w:t>Resultados disponibles de un cálculo derivado</w:t>
            </w:r>
          </w:p>
        </w:tc>
        <w:tc>
          <w:tcPr>
            <w:tcW w:w="1345" w:type="dxa"/>
            <w:vAlign w:val="center"/>
          </w:tcPr>
          <w:p w14:paraId="714074CC" w14:textId="77777777" w:rsidR="009102A7" w:rsidRPr="00576AF8" w:rsidRDefault="009102A7" w:rsidP="009F6B78">
            <w:pPr>
              <w:spacing w:line="360" w:lineRule="auto"/>
              <w:rPr>
                <w:sz w:val="22"/>
                <w:szCs w:val="22"/>
              </w:rPr>
            </w:pPr>
            <w:r w:rsidRPr="00576AF8">
              <w:rPr>
                <w:rFonts w:eastAsia="Calibri"/>
                <w:sz w:val="22"/>
                <w:szCs w:val="22"/>
              </w:rPr>
              <w:t>2</w:t>
            </w:r>
          </w:p>
        </w:tc>
        <w:tc>
          <w:tcPr>
            <w:tcW w:w="1138" w:type="dxa"/>
            <w:vAlign w:val="center"/>
          </w:tcPr>
          <w:p w14:paraId="50CDA2D4" w14:textId="77777777" w:rsidR="009102A7" w:rsidRPr="00576AF8" w:rsidRDefault="009102A7" w:rsidP="009F6B78">
            <w:pPr>
              <w:spacing w:line="360" w:lineRule="auto"/>
              <w:rPr>
                <w:sz w:val="22"/>
                <w:szCs w:val="22"/>
              </w:rPr>
            </w:pPr>
            <w:r w:rsidRPr="00576AF8">
              <w:rPr>
                <w:rFonts w:eastAsia="Calibri"/>
                <w:sz w:val="22"/>
                <w:szCs w:val="22"/>
              </w:rPr>
              <w:t>4</w:t>
            </w:r>
          </w:p>
        </w:tc>
      </w:tr>
      <w:tr w:rsidR="009102A7" w:rsidRPr="00576AF8" w14:paraId="5362348B" w14:textId="77777777" w:rsidTr="009F6B78">
        <w:trPr>
          <w:trHeight w:val="555"/>
          <w:jc w:val="right"/>
        </w:trPr>
        <w:tc>
          <w:tcPr>
            <w:tcW w:w="4747" w:type="dxa"/>
            <w:vAlign w:val="center"/>
          </w:tcPr>
          <w:p w14:paraId="3D2115FC" w14:textId="77777777" w:rsidR="009102A7" w:rsidRPr="00576AF8" w:rsidRDefault="009102A7" w:rsidP="009F6B78">
            <w:pPr>
              <w:spacing w:line="360" w:lineRule="auto"/>
              <w:rPr>
                <w:sz w:val="22"/>
                <w:szCs w:val="22"/>
              </w:rPr>
            </w:pPr>
            <w:r w:rsidRPr="00576AF8">
              <w:rPr>
                <w:rFonts w:eastAsia="Calibri"/>
                <w:sz w:val="22"/>
                <w:szCs w:val="22"/>
              </w:rPr>
              <w:t>Tiempo transcurrido desde la solicitud de salida de impresión hasta el inicio efectivo de la impresión.</w:t>
            </w:r>
          </w:p>
        </w:tc>
        <w:tc>
          <w:tcPr>
            <w:tcW w:w="1345" w:type="dxa"/>
            <w:vAlign w:val="center"/>
          </w:tcPr>
          <w:p w14:paraId="3955407C" w14:textId="77777777" w:rsidR="009102A7" w:rsidRPr="00576AF8" w:rsidRDefault="009102A7" w:rsidP="009F6B78">
            <w:pPr>
              <w:spacing w:line="360" w:lineRule="auto"/>
              <w:rPr>
                <w:sz w:val="22"/>
                <w:szCs w:val="22"/>
              </w:rPr>
            </w:pPr>
            <w:r w:rsidRPr="00576AF8">
              <w:rPr>
                <w:rFonts w:eastAsia="Calibri"/>
                <w:sz w:val="22"/>
                <w:szCs w:val="22"/>
              </w:rPr>
              <w:t>5</w:t>
            </w:r>
          </w:p>
        </w:tc>
        <w:tc>
          <w:tcPr>
            <w:tcW w:w="1138" w:type="dxa"/>
            <w:vAlign w:val="center"/>
          </w:tcPr>
          <w:p w14:paraId="1697AA05" w14:textId="77777777" w:rsidR="009102A7" w:rsidRPr="00576AF8" w:rsidRDefault="009102A7" w:rsidP="009F6B78">
            <w:pPr>
              <w:keepNext/>
              <w:spacing w:line="360" w:lineRule="auto"/>
              <w:rPr>
                <w:sz w:val="22"/>
                <w:szCs w:val="22"/>
              </w:rPr>
            </w:pPr>
            <w:r w:rsidRPr="00576AF8">
              <w:rPr>
                <w:rFonts w:eastAsia="Calibri"/>
                <w:sz w:val="22"/>
                <w:szCs w:val="22"/>
              </w:rPr>
              <w:t>15</w:t>
            </w:r>
          </w:p>
        </w:tc>
      </w:tr>
    </w:tbl>
    <w:p w14:paraId="79869135" w14:textId="77777777" w:rsidR="009102A7" w:rsidRPr="00576AF8" w:rsidRDefault="009102A7" w:rsidP="009102A7">
      <w:pPr>
        <w:spacing w:before="120"/>
        <w:jc w:val="center"/>
        <w:rPr>
          <w:rFonts w:eastAsia="Calibri"/>
          <w:b/>
          <w:sz w:val="22"/>
          <w:szCs w:val="22"/>
        </w:rPr>
      </w:pPr>
      <w:r w:rsidRPr="00576AF8">
        <w:rPr>
          <w:b/>
          <w:sz w:val="22"/>
          <w:szCs w:val="22"/>
        </w:rPr>
        <w:t xml:space="preserve">Tabla </w:t>
      </w:r>
      <w:r w:rsidRPr="00576AF8">
        <w:rPr>
          <w:b/>
          <w:sz w:val="22"/>
          <w:szCs w:val="22"/>
        </w:rPr>
        <w:fldChar w:fldCharType="begin"/>
      </w:r>
      <w:r w:rsidRPr="00576AF8">
        <w:rPr>
          <w:b/>
          <w:sz w:val="22"/>
          <w:szCs w:val="22"/>
        </w:rPr>
        <w:instrText xml:space="preserve"> SEQ Tabla \* ARABIC </w:instrText>
      </w:r>
      <w:r w:rsidRPr="00576AF8">
        <w:rPr>
          <w:b/>
          <w:sz w:val="22"/>
          <w:szCs w:val="22"/>
        </w:rPr>
        <w:fldChar w:fldCharType="separate"/>
      </w:r>
      <w:r w:rsidRPr="00576AF8">
        <w:rPr>
          <w:b/>
          <w:noProof/>
          <w:sz w:val="22"/>
          <w:szCs w:val="22"/>
        </w:rPr>
        <w:t>5</w:t>
      </w:r>
      <w:r w:rsidRPr="00576AF8">
        <w:rPr>
          <w:b/>
          <w:noProof/>
          <w:sz w:val="22"/>
          <w:szCs w:val="22"/>
        </w:rPr>
        <w:fldChar w:fldCharType="end"/>
      </w:r>
      <w:r w:rsidRPr="00576AF8">
        <w:rPr>
          <w:b/>
          <w:sz w:val="22"/>
          <w:szCs w:val="22"/>
        </w:rPr>
        <w:t>. Tiempos máximos de respuesta en segundos</w:t>
      </w:r>
    </w:p>
    <w:p w14:paraId="3A7DA0DB" w14:textId="77777777" w:rsidR="009102A7" w:rsidRPr="00576AF8" w:rsidRDefault="009102A7" w:rsidP="009102A7">
      <w:pPr>
        <w:ind w:left="2160" w:right="4" w:hanging="33"/>
        <w:rPr>
          <w:sz w:val="22"/>
          <w:szCs w:val="22"/>
        </w:rPr>
      </w:pPr>
      <w:r w:rsidRPr="00576AF8">
        <w:rPr>
          <w:sz w:val="22"/>
          <w:szCs w:val="22"/>
        </w:rPr>
        <w:t>Adicionalmente:</w:t>
      </w:r>
    </w:p>
    <w:p w14:paraId="0090BC1E" w14:textId="77777777" w:rsidR="009102A7" w:rsidRPr="00576AF8" w:rsidRDefault="009102A7" w:rsidP="009102A7">
      <w:pPr>
        <w:ind w:left="2160" w:right="4" w:hanging="33"/>
        <w:rPr>
          <w:sz w:val="22"/>
          <w:szCs w:val="22"/>
        </w:rPr>
      </w:pPr>
      <w:r w:rsidRPr="00576AF8">
        <w:rPr>
          <w:sz w:val="22"/>
          <w:szCs w:val="22"/>
        </w:rPr>
        <w:t>d.</w:t>
      </w:r>
      <w:r w:rsidRPr="00576AF8">
        <w:rPr>
          <w:sz w:val="22"/>
          <w:szCs w:val="22"/>
        </w:rPr>
        <w:tab/>
        <w:t>Los tiempos de respuesta para las interacciones con los despliegues de interfaz de usuario se medirán desde el momento que se completa la acción de inicio en el despliegue del operador, hasta el momento en que el despliegue del operador correspondiente se haya actualizado completamente con los datos en tiempo real generados por la acción.</w:t>
      </w:r>
    </w:p>
    <w:p w14:paraId="4B8D741C" w14:textId="77777777" w:rsidR="009102A7" w:rsidRPr="00576AF8" w:rsidRDefault="009102A7" w:rsidP="009102A7">
      <w:pPr>
        <w:ind w:left="2160" w:right="4" w:hanging="33"/>
        <w:rPr>
          <w:sz w:val="22"/>
          <w:szCs w:val="22"/>
        </w:rPr>
      </w:pPr>
      <w:r w:rsidRPr="00576AF8">
        <w:rPr>
          <w:sz w:val="22"/>
          <w:szCs w:val="22"/>
        </w:rPr>
        <w:t>e.</w:t>
      </w:r>
      <w:r w:rsidRPr="00576AF8">
        <w:rPr>
          <w:sz w:val="22"/>
          <w:szCs w:val="22"/>
        </w:rPr>
        <w:tab/>
        <w:t>Los tiempos de respuesta para eventos y alarmas se medirán desde el instante en que se produzca un cambio de estado en el campo del evento o alarma inicial, hasta el momento en que se actualice el despliegue del operador correspondiente con datos en tiempo real o se presente un evento o alarma en la lista respectiva.</w:t>
      </w:r>
    </w:p>
    <w:p w14:paraId="0CAC2C45" w14:textId="77777777" w:rsidR="009102A7" w:rsidRPr="00576AF8" w:rsidRDefault="009102A7" w:rsidP="009102A7">
      <w:pPr>
        <w:ind w:left="2160" w:right="4" w:hanging="33"/>
        <w:rPr>
          <w:sz w:val="22"/>
          <w:szCs w:val="22"/>
        </w:rPr>
      </w:pPr>
      <w:r w:rsidRPr="00576AF8">
        <w:rPr>
          <w:sz w:val="22"/>
          <w:szCs w:val="22"/>
        </w:rPr>
        <w:t>f.</w:t>
      </w:r>
      <w:r w:rsidRPr="00576AF8">
        <w:rPr>
          <w:sz w:val="22"/>
          <w:szCs w:val="22"/>
        </w:rPr>
        <w:tab/>
        <w:t xml:space="preserve">Si un despliegue se suspende durante el movimiento panorámico/zoom, el tiempo para que el despliegue se actualice nuevamente no será superior a 0,5 segundos después de que haya finalizado la operación de movimiento panorámico/zoom. </w:t>
      </w:r>
    </w:p>
    <w:p w14:paraId="442B06B1" w14:textId="77777777" w:rsidR="009102A7" w:rsidRPr="00576AF8" w:rsidRDefault="009102A7" w:rsidP="009102A7">
      <w:pPr>
        <w:ind w:left="2160" w:right="4" w:hanging="33"/>
        <w:rPr>
          <w:sz w:val="22"/>
          <w:szCs w:val="22"/>
        </w:rPr>
      </w:pPr>
      <w:r w:rsidRPr="00576AF8">
        <w:rPr>
          <w:sz w:val="22"/>
          <w:szCs w:val="22"/>
        </w:rPr>
        <w:t>g.</w:t>
      </w:r>
      <w:r w:rsidRPr="00576AF8">
        <w:rPr>
          <w:sz w:val="22"/>
          <w:szCs w:val="22"/>
        </w:rPr>
        <w:tab/>
        <w:t xml:space="preserve">Los movimientos de panorámica y alejamiento se lograrán en incrementos no superiores a 1/8 del tamaño del despliegue. </w:t>
      </w:r>
    </w:p>
    <w:p w14:paraId="41AC93E9" w14:textId="77777777" w:rsidR="009102A7" w:rsidRPr="00576AF8" w:rsidRDefault="009102A7" w:rsidP="009102A7">
      <w:pPr>
        <w:ind w:left="2160" w:right="4" w:hanging="33"/>
        <w:rPr>
          <w:sz w:val="22"/>
          <w:szCs w:val="22"/>
        </w:rPr>
      </w:pPr>
      <w:r w:rsidRPr="00576AF8">
        <w:rPr>
          <w:sz w:val="22"/>
          <w:szCs w:val="22"/>
        </w:rPr>
        <w:t>h.</w:t>
      </w:r>
      <w:r w:rsidRPr="00576AF8">
        <w:rPr>
          <w:sz w:val="22"/>
          <w:szCs w:val="22"/>
        </w:rPr>
        <w:tab/>
        <w:t xml:space="preserve">El tiempo para que el despliegue se actualice después de cada paso no será superior a 0,25 segundos. </w:t>
      </w:r>
    </w:p>
    <w:p w14:paraId="14B322CB" w14:textId="77777777" w:rsidR="009102A7" w:rsidRPr="00576AF8" w:rsidRDefault="009102A7" w:rsidP="009102A7">
      <w:pPr>
        <w:ind w:left="2160" w:right="4" w:hanging="33"/>
        <w:rPr>
          <w:sz w:val="22"/>
          <w:szCs w:val="22"/>
        </w:rPr>
      </w:pPr>
      <w:r w:rsidRPr="00576AF8">
        <w:rPr>
          <w:sz w:val="22"/>
          <w:szCs w:val="22"/>
        </w:rPr>
        <w:lastRenderedPageBreak/>
        <w:t>i.</w:t>
      </w:r>
      <w:r w:rsidRPr="00576AF8">
        <w:rPr>
          <w:sz w:val="22"/>
          <w:szCs w:val="22"/>
        </w:rPr>
        <w:tab/>
        <w:t xml:space="preserve">El retraso en la visualización de eventos y alarmas será inferior a 1 segundo en cualquier condición de carga y configuración del sistema. </w:t>
      </w:r>
    </w:p>
    <w:p w14:paraId="374A94B9" w14:textId="77777777" w:rsidR="009102A7" w:rsidRPr="00576AF8" w:rsidRDefault="009102A7" w:rsidP="009102A7">
      <w:pPr>
        <w:ind w:left="2160" w:right="4" w:hanging="33"/>
        <w:rPr>
          <w:sz w:val="22"/>
          <w:szCs w:val="22"/>
        </w:rPr>
      </w:pPr>
      <w:r w:rsidRPr="00576AF8">
        <w:rPr>
          <w:sz w:val="22"/>
          <w:szCs w:val="22"/>
        </w:rPr>
        <w:t>j.</w:t>
      </w:r>
      <w:r w:rsidRPr="00576AF8">
        <w:rPr>
          <w:sz w:val="22"/>
          <w:szCs w:val="22"/>
        </w:rPr>
        <w:tab/>
        <w:t xml:space="preserve">El retraso en la llamada a imágenes con datos "en tiempo real" será inferior a 2 segundos en cualquier condición de carga y configuración del sistema. </w:t>
      </w:r>
    </w:p>
    <w:p w14:paraId="433841EB" w14:textId="77777777" w:rsidR="009102A7" w:rsidRPr="00576AF8" w:rsidRDefault="009102A7" w:rsidP="009102A7">
      <w:pPr>
        <w:ind w:left="2160" w:right="4" w:hanging="33"/>
        <w:rPr>
          <w:sz w:val="22"/>
          <w:szCs w:val="22"/>
        </w:rPr>
      </w:pPr>
      <w:r w:rsidRPr="00576AF8">
        <w:rPr>
          <w:sz w:val="22"/>
          <w:szCs w:val="22"/>
        </w:rPr>
        <w:t>k.</w:t>
      </w:r>
      <w:r w:rsidRPr="00576AF8">
        <w:rPr>
          <w:sz w:val="22"/>
          <w:szCs w:val="22"/>
        </w:rPr>
        <w:tab/>
        <w:t xml:space="preserve">El retraso en la llamada a imágenes con datos de archivo será inferior a 5 segundos en cualquier condición de carga y configuración del sistema. </w:t>
      </w:r>
    </w:p>
    <w:p w14:paraId="60459D80" w14:textId="77777777" w:rsidR="009102A7" w:rsidRPr="00576AF8" w:rsidRDefault="009102A7" w:rsidP="009102A7">
      <w:pPr>
        <w:ind w:left="2160" w:right="4" w:hanging="33"/>
        <w:rPr>
          <w:sz w:val="22"/>
          <w:szCs w:val="22"/>
        </w:rPr>
      </w:pPr>
      <w:r w:rsidRPr="00576AF8">
        <w:rPr>
          <w:sz w:val="22"/>
          <w:szCs w:val="22"/>
        </w:rPr>
        <w:t>l.</w:t>
      </w:r>
      <w:r w:rsidRPr="00576AF8">
        <w:rPr>
          <w:sz w:val="22"/>
          <w:szCs w:val="22"/>
        </w:rPr>
        <w:tab/>
        <w:t xml:space="preserve">Para garantizar una precisión adecuada en el análisis de secuencia de eventos, el número de muestras de datos será suficiente. Por lo tanto, cada alarma o evento que se registre en el sistema debe ser con una precisión de 1 ms en su fecha. Esta fecha se denomina fecha de "origen" de la alarma o evento. La ejecución de cualquier función de consulta de datos, como el archivo y la recuperación de datos históricos, la impresión o 3.1las funciones de tendencias, no degradará el rendimiento del sistema. </w:t>
      </w:r>
    </w:p>
    <w:p w14:paraId="69B81C20" w14:textId="77777777" w:rsidR="009102A7" w:rsidRPr="00576AF8" w:rsidRDefault="009102A7" w:rsidP="009102A7">
      <w:pPr>
        <w:ind w:left="2160" w:right="4" w:hanging="33"/>
        <w:rPr>
          <w:sz w:val="22"/>
          <w:szCs w:val="22"/>
        </w:rPr>
      </w:pPr>
      <w:r w:rsidRPr="00576AF8">
        <w:rPr>
          <w:sz w:val="22"/>
          <w:szCs w:val="22"/>
        </w:rPr>
        <w:t>m.</w:t>
      </w:r>
      <w:r w:rsidRPr="00576AF8">
        <w:rPr>
          <w:sz w:val="22"/>
          <w:szCs w:val="22"/>
        </w:rPr>
        <w:tab/>
        <w:t>El almacenamiento en búfer se controlará de modo que una condición de almacenamiento en búfer completo no presente indisponibilidad en el sistema.</w:t>
      </w:r>
    </w:p>
    <w:p w14:paraId="571BF5A7" w14:textId="77777777" w:rsidR="009102A7" w:rsidRPr="00576AF8" w:rsidRDefault="009102A7" w:rsidP="009102A7">
      <w:pPr>
        <w:suppressAutoHyphens w:val="0"/>
        <w:spacing w:after="0"/>
        <w:ind w:left="851"/>
        <w:rPr>
          <w:sz w:val="22"/>
          <w:szCs w:val="22"/>
          <w:highlight w:val="yellow"/>
        </w:rPr>
      </w:pPr>
    </w:p>
    <w:p w14:paraId="66ABF570" w14:textId="77777777" w:rsidR="009102A7" w:rsidRPr="00576AF8" w:rsidRDefault="009102A7" w:rsidP="009102A7">
      <w:pPr>
        <w:ind w:left="720" w:hanging="720"/>
        <w:jc w:val="left"/>
        <w:outlineLvl w:val="2"/>
        <w:rPr>
          <w:b/>
          <w:color w:val="000000"/>
          <w:sz w:val="22"/>
          <w:szCs w:val="22"/>
          <w:lang w:val="es-EC" w:eastAsia="es-EC" w:bidi="ar-SA"/>
        </w:rPr>
      </w:pPr>
      <w:proofErr w:type="gramStart"/>
      <w:r w:rsidRPr="00576AF8">
        <w:rPr>
          <w:b/>
          <w:color w:val="000000"/>
          <w:sz w:val="22"/>
          <w:szCs w:val="22"/>
          <w:lang w:val="es-EC" w:eastAsia="es-EC" w:bidi="ar-SA"/>
        </w:rPr>
        <w:t>1.5.1.7  Confiabilidad</w:t>
      </w:r>
      <w:proofErr w:type="gramEnd"/>
      <w:r w:rsidRPr="00576AF8">
        <w:rPr>
          <w:b/>
          <w:color w:val="000000"/>
          <w:sz w:val="22"/>
          <w:szCs w:val="22"/>
          <w:lang w:val="es-EC" w:eastAsia="es-EC" w:bidi="ar-SA"/>
        </w:rPr>
        <w:t xml:space="preserve"> Disponibilidad </w:t>
      </w:r>
    </w:p>
    <w:p w14:paraId="6DF3A77F"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Es un requisito fundamental que el SCADA/EMS y los elementos individuales de equipo dentro de él, estén diseñados para una alta confiabilidad, además que el hardware y el software estándar existente utilizado dentro del sistema hayan sido probados en funcionamiento. </w:t>
      </w:r>
    </w:p>
    <w:p w14:paraId="376D9CDD"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La esperanza de vida de los equipos básicos será de al menos diez (10) años. El proveedor entregará una carta del fabricante del hardware que garantice que el equipo está diseñado para funcionar de forma segura, fiable y eficiente durante este período, así como, la disponibilidad de los repuestos necesarios para lograr esta fiabilidad. </w:t>
      </w:r>
    </w:p>
    <w:p w14:paraId="03278927"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El diseño general del Sistema incorporará redundancia para permitir que el sistema continúe funcionando, sin pérdida de ninguna funcionalidad SCADA/EMS y sin degradación del rendimiento del sistema, después de la falla de elementos individuales de medios o subsistemas.  </w:t>
      </w:r>
    </w:p>
    <w:p w14:paraId="1EC55FDB"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 xml:space="preserve">Para lograr una alta disponibilidad, cada componente de hardware (servidores, equipos de red, conexiones de red de todos los componentes críticos o de subsistemas que requieren redundancia, firewalls, etc.) tendrá un componente redundante que esté en modo online (en una configuración activo-activo) o en modo </w:t>
      </w:r>
      <w:r w:rsidRPr="00576AF8">
        <w:rPr>
          <w:rFonts w:eastAsia="Arial Unicode MS"/>
          <w:i/>
          <w:iCs/>
          <w:color w:val="000000"/>
          <w:sz w:val="22"/>
          <w:szCs w:val="22"/>
        </w:rPr>
        <w:t>standby</w:t>
      </w:r>
      <w:r w:rsidRPr="00576AF8">
        <w:rPr>
          <w:rFonts w:eastAsia="Arial Unicode MS"/>
          <w:color w:val="000000"/>
          <w:sz w:val="22"/>
          <w:szCs w:val="22"/>
        </w:rPr>
        <w:t xml:space="preserve"> (una configuración activo-pasivo) en caso de falla. </w:t>
      </w:r>
    </w:p>
    <w:p w14:paraId="14FB215E"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Cada nivel de una aplicación tendrá la capacidad de comprobar el estado de los componentes de hardware para que pueda compartir la carga entre servidores, en operaciones normales, y evitar servidores que no respondan en caso de error. De esta manera, el servicio permanece disponible incluso cuando falla un componente de hardware.</w:t>
      </w:r>
    </w:p>
    <w:p w14:paraId="013BBE3D"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 xml:space="preserve">No será posible que el sistema entre en un estado en el que la pérdida de datos no sea determinista (es decir, el Sistema siempre debe poder determinar si los datos no se han recibido correctamente). El Sistema incorporará </w:t>
      </w:r>
      <w:r w:rsidR="00D07CC3" w:rsidRPr="00576AF8">
        <w:rPr>
          <w:rFonts w:eastAsia="Arial Unicode MS"/>
          <w:color w:val="000000"/>
          <w:sz w:val="22"/>
          <w:szCs w:val="22"/>
        </w:rPr>
        <w:t>funcionalidades y herramientas</w:t>
      </w:r>
      <w:r w:rsidRPr="00576AF8">
        <w:rPr>
          <w:rFonts w:eastAsia="Arial Unicode MS"/>
          <w:color w:val="000000"/>
          <w:sz w:val="22"/>
          <w:szCs w:val="22"/>
        </w:rPr>
        <w:t xml:space="preserve"> para recuperar automáticamente los datos perdidos. El Sistema tendrá la capacidad de realizar verificaciones automáticas suficientes para garantizar que la disponibilidad global del Sistema no se vea afectada por la aparición de fallas no reveladas. Por ejemplo, realizará verificaciones automáticas del equipo de reserva (</w:t>
      </w:r>
      <w:r w:rsidRPr="00576AF8">
        <w:rPr>
          <w:rFonts w:eastAsia="Arial Unicode MS"/>
          <w:i/>
          <w:iCs/>
          <w:color w:val="000000"/>
          <w:sz w:val="22"/>
          <w:szCs w:val="22"/>
        </w:rPr>
        <w:t>standby</w:t>
      </w:r>
      <w:r w:rsidRPr="00576AF8">
        <w:rPr>
          <w:rFonts w:eastAsia="Arial Unicode MS"/>
          <w:color w:val="000000"/>
          <w:sz w:val="22"/>
          <w:szCs w:val="22"/>
        </w:rPr>
        <w:t>) y de la base de datos de reserva (</w:t>
      </w:r>
      <w:r w:rsidRPr="00576AF8">
        <w:rPr>
          <w:rFonts w:eastAsia="Arial Unicode MS"/>
          <w:i/>
          <w:iCs/>
          <w:color w:val="000000"/>
          <w:sz w:val="22"/>
          <w:szCs w:val="22"/>
        </w:rPr>
        <w:t>standby</w:t>
      </w:r>
      <w:r w:rsidRPr="00576AF8">
        <w:rPr>
          <w:rFonts w:eastAsia="Arial Unicode MS"/>
          <w:color w:val="000000"/>
          <w:sz w:val="22"/>
          <w:szCs w:val="22"/>
        </w:rPr>
        <w:t>) para garantizar que el cambio se pueda realizar correctamente cuando sea necesario. </w:t>
      </w:r>
    </w:p>
    <w:p w14:paraId="6BFDC847" w14:textId="77777777" w:rsidR="009102A7" w:rsidRPr="00576AF8" w:rsidRDefault="009102A7" w:rsidP="009102A7">
      <w:pPr>
        <w:numPr>
          <w:ilvl w:val="0"/>
          <w:numId w:val="156"/>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 xml:space="preserve">El Proveedor describirá las verificaciones o autochequeos realizadas por el Sistema ofrecido y proporcionará una estimación de la proporción de posibles fallas reveladas por dichas acciones. </w:t>
      </w:r>
      <w:r w:rsidRPr="00576AF8">
        <w:rPr>
          <w:rFonts w:eastAsia="Arial Unicode MS"/>
          <w:color w:val="000000"/>
          <w:sz w:val="22"/>
          <w:szCs w:val="22"/>
        </w:rPr>
        <w:lastRenderedPageBreak/>
        <w:t>Se proporcionarán mecanismos de detección, corrección y reintento de mensajes para superar errores leves, errores aleatorios y errores de ráfagas de datos. Los cálculos se presentarán para mostrar la probabilidad de errores de bit simple y múltiple en los mensajes que escapan a la detección y pueden causar una respuesta incorrecta. Se definirá la respuesta del Sistema a todos los tipos de mensajes corruptos.</w:t>
      </w:r>
    </w:p>
    <w:p w14:paraId="01F94CC0" w14:textId="77777777" w:rsidR="009102A7" w:rsidRPr="00576AF8" w:rsidRDefault="009102A7" w:rsidP="009102A7">
      <w:pPr>
        <w:ind w:left="720" w:hanging="720"/>
        <w:jc w:val="left"/>
        <w:outlineLvl w:val="2"/>
        <w:rPr>
          <w:color w:val="000000"/>
          <w:sz w:val="22"/>
          <w:szCs w:val="22"/>
        </w:rPr>
      </w:pPr>
      <w:r w:rsidRPr="00576AF8">
        <w:rPr>
          <w:b/>
          <w:iCs/>
          <w:color w:val="000000"/>
          <w:sz w:val="22"/>
          <w:szCs w:val="22"/>
        </w:rPr>
        <w:t>1.5.1.8 Requerimientos de Disponibilidad</w:t>
      </w:r>
    </w:p>
    <w:p w14:paraId="540211A1" w14:textId="77777777" w:rsidR="009102A7" w:rsidRPr="00576AF8" w:rsidRDefault="009102A7" w:rsidP="009102A7">
      <w:pPr>
        <w:suppressAutoHyphens w:val="0"/>
        <w:spacing w:before="120" w:after="0"/>
        <w:ind w:left="840"/>
        <w:textAlignment w:val="baseline"/>
        <w:rPr>
          <w:rFonts w:eastAsia="Arial Unicode MS"/>
          <w:color w:val="000000"/>
          <w:sz w:val="22"/>
          <w:szCs w:val="22"/>
        </w:rPr>
      </w:pPr>
      <w:r w:rsidRPr="00576AF8">
        <w:rPr>
          <w:rFonts w:eastAsia="Arial Unicode MS"/>
          <w:color w:val="000000"/>
          <w:sz w:val="22"/>
          <w:szCs w:val="22"/>
        </w:rPr>
        <w:t>La disponibilidad se define como la capacidad de un sistema para proporcionar acceso y uso de la información. Para el SCADA/EMS, el sistema se considera disponible cuando los siguientes servicios críticos se encuentran funcionando:</w:t>
      </w:r>
    </w:p>
    <w:p w14:paraId="6E6B29F3" w14:textId="77777777" w:rsidR="009102A7" w:rsidRPr="00576AF8" w:rsidRDefault="009102A7" w:rsidP="009102A7">
      <w:pPr>
        <w:numPr>
          <w:ilvl w:val="0"/>
          <w:numId w:val="157"/>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Control de supervisión y adquisición de datos </w:t>
      </w:r>
    </w:p>
    <w:p w14:paraId="203545AB" w14:textId="77777777" w:rsidR="009102A7" w:rsidRPr="00576AF8" w:rsidRDefault="009102A7" w:rsidP="009102A7">
      <w:pPr>
        <w:numPr>
          <w:ilvl w:val="0"/>
          <w:numId w:val="157"/>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Estimador de estado </w:t>
      </w:r>
    </w:p>
    <w:p w14:paraId="36BE644C" w14:textId="77777777" w:rsidR="009102A7" w:rsidRPr="00576AF8" w:rsidRDefault="009102A7" w:rsidP="009102A7">
      <w:pPr>
        <w:numPr>
          <w:ilvl w:val="0"/>
          <w:numId w:val="157"/>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AGC </w:t>
      </w:r>
    </w:p>
    <w:p w14:paraId="411A93C5" w14:textId="77777777" w:rsidR="009102A7" w:rsidRPr="00576AF8" w:rsidRDefault="009102A7" w:rsidP="009102A7">
      <w:pPr>
        <w:numPr>
          <w:ilvl w:val="0"/>
          <w:numId w:val="157"/>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Análisis de contingencias </w:t>
      </w:r>
    </w:p>
    <w:p w14:paraId="33A3D671" w14:textId="77777777" w:rsidR="009102A7" w:rsidRPr="00576AF8" w:rsidRDefault="009102A7" w:rsidP="009102A7">
      <w:pPr>
        <w:numPr>
          <w:ilvl w:val="0"/>
          <w:numId w:val="157"/>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Gestión de alarmas</w:t>
      </w:r>
    </w:p>
    <w:p w14:paraId="2F6679C7" w14:textId="77777777" w:rsidR="009102A7" w:rsidRPr="00576AF8" w:rsidRDefault="009102A7" w:rsidP="009102A7">
      <w:pPr>
        <w:suppressAutoHyphens w:val="0"/>
        <w:spacing w:before="120" w:after="0"/>
        <w:ind w:left="810"/>
        <w:textAlignment w:val="baseline"/>
        <w:rPr>
          <w:rFonts w:eastAsia="Arial Unicode MS"/>
          <w:color w:val="000000"/>
          <w:sz w:val="22"/>
          <w:szCs w:val="22"/>
        </w:rPr>
      </w:pPr>
      <w:r w:rsidRPr="00576AF8">
        <w:rPr>
          <w:rFonts w:eastAsia="Arial Unicode MS"/>
          <w:color w:val="000000"/>
          <w:sz w:val="22"/>
          <w:szCs w:val="22"/>
        </w:rPr>
        <w:t>Cualquier período en el que alguno de estos servicios no esté funcionando o no esté disponible para los operadores se considera tiempo de inactividad. Por lo tanto, la disponibilidad se define como: </w:t>
      </w:r>
    </w:p>
    <w:p w14:paraId="095AA123" w14:textId="77777777" w:rsidR="009102A7" w:rsidRPr="00576AF8" w:rsidRDefault="009102A7" w:rsidP="009102A7">
      <w:pPr>
        <w:suppressAutoHyphens w:val="0"/>
        <w:spacing w:before="120" w:after="0"/>
        <w:ind w:left="810"/>
        <w:textAlignment w:val="baseline"/>
        <w:rPr>
          <w:rFonts w:eastAsia="Arial Unicode MS"/>
          <w:color w:val="000000"/>
          <w:sz w:val="22"/>
          <w:szCs w:val="22"/>
        </w:rPr>
      </w:pPr>
    </w:p>
    <w:p w14:paraId="74E46705" w14:textId="77777777" w:rsidR="009102A7" w:rsidRPr="00576AF8" w:rsidRDefault="009102A7" w:rsidP="009102A7">
      <w:pPr>
        <w:spacing w:after="0"/>
        <w:ind w:left="708" w:firstLine="90"/>
        <w:rPr>
          <w:rFonts w:eastAsia="Arial Unicode MS"/>
          <w:sz w:val="22"/>
          <w:szCs w:val="22"/>
        </w:rPr>
      </w:pPr>
      <w:r w:rsidRPr="00576AF8">
        <w:rPr>
          <w:rFonts w:eastAsia="Arial Unicode MS"/>
          <w:b/>
          <w:bCs/>
          <w:i/>
          <w:iCs/>
          <w:color w:val="000000"/>
          <w:sz w:val="22"/>
          <w:szCs w:val="22"/>
        </w:rPr>
        <w:t>Disponibilidad = Tiempo de ejecución/ (tiempo de ejecución + tiempo de inactividad) x 100%</w:t>
      </w:r>
    </w:p>
    <w:p w14:paraId="79512A91" w14:textId="77777777" w:rsidR="009102A7" w:rsidRPr="00576AF8" w:rsidRDefault="009102A7" w:rsidP="009102A7">
      <w:pPr>
        <w:spacing w:before="120" w:after="0"/>
        <w:ind w:left="90" w:hanging="360"/>
        <w:rPr>
          <w:rFonts w:eastAsia="Arial Unicode MS"/>
          <w:sz w:val="22"/>
          <w:szCs w:val="22"/>
        </w:rPr>
      </w:pPr>
      <w:r w:rsidRPr="00576AF8">
        <w:rPr>
          <w:rFonts w:eastAsia="Arial Unicode MS"/>
          <w:color w:val="000000"/>
          <w:sz w:val="22"/>
          <w:szCs w:val="22"/>
        </w:rPr>
        <w:t>La disponibilidad mínima requerida será del 99,99% (no más de 30 minutos de indisponibilidad al año).</w:t>
      </w:r>
    </w:p>
    <w:p w14:paraId="39DAF157" w14:textId="77777777" w:rsidR="009102A7" w:rsidRPr="00576AF8" w:rsidRDefault="009102A7" w:rsidP="009102A7">
      <w:pPr>
        <w:numPr>
          <w:ilvl w:val="0"/>
          <w:numId w:val="158"/>
        </w:numPr>
        <w:suppressAutoHyphens w:val="0"/>
        <w:spacing w:before="120" w:after="0"/>
        <w:ind w:left="810"/>
        <w:textAlignment w:val="baseline"/>
        <w:rPr>
          <w:rFonts w:eastAsia="Arial Unicode MS"/>
          <w:color w:val="000000"/>
          <w:sz w:val="22"/>
          <w:szCs w:val="22"/>
        </w:rPr>
      </w:pPr>
      <w:r w:rsidRPr="00576AF8">
        <w:rPr>
          <w:rFonts w:eastAsia="Arial Unicode MS"/>
          <w:color w:val="000000"/>
          <w:sz w:val="22"/>
          <w:szCs w:val="22"/>
        </w:rPr>
        <w:t>Es deseable que el sistema incluya un despliegue dedicado en el cual se puedan visualizar los tiempos de indisponibilidad de los servicios que se consideran críticos.</w:t>
      </w:r>
    </w:p>
    <w:p w14:paraId="1F696967" w14:textId="77777777" w:rsidR="009102A7" w:rsidRPr="00576AF8" w:rsidRDefault="009102A7" w:rsidP="009102A7">
      <w:pPr>
        <w:suppressAutoHyphens w:val="0"/>
        <w:spacing w:before="120" w:after="0"/>
        <w:textAlignment w:val="baseline"/>
        <w:rPr>
          <w:rFonts w:eastAsia="Arial Unicode MS"/>
          <w:color w:val="000000"/>
          <w:sz w:val="22"/>
          <w:szCs w:val="22"/>
        </w:rPr>
      </w:pPr>
    </w:p>
    <w:p w14:paraId="29FD633F" w14:textId="77777777" w:rsidR="009102A7" w:rsidRPr="00576AF8" w:rsidRDefault="009102A7" w:rsidP="009102A7">
      <w:pPr>
        <w:ind w:left="720" w:hanging="720"/>
        <w:jc w:val="left"/>
        <w:outlineLvl w:val="2"/>
        <w:rPr>
          <w:b/>
          <w:color w:val="000000"/>
          <w:sz w:val="22"/>
          <w:szCs w:val="22"/>
        </w:rPr>
      </w:pPr>
      <w:r w:rsidRPr="00576AF8">
        <w:rPr>
          <w:b/>
          <w:color w:val="000000"/>
          <w:sz w:val="22"/>
          <w:szCs w:val="22"/>
          <w:lang w:val="es-EC" w:eastAsia="es-EC" w:bidi="ar-SA"/>
        </w:rPr>
        <w:t xml:space="preserve">1.5.1.9 </w:t>
      </w:r>
      <w:r w:rsidRPr="00576AF8">
        <w:rPr>
          <w:b/>
          <w:color w:val="000000"/>
          <w:sz w:val="22"/>
          <w:szCs w:val="22"/>
        </w:rPr>
        <w:t>Redundancia Activa-Activa</w:t>
      </w:r>
    </w:p>
    <w:p w14:paraId="78D51EA8" w14:textId="77777777" w:rsidR="009102A7" w:rsidRPr="00576AF8" w:rsidRDefault="009102A7" w:rsidP="009102A7">
      <w:pPr>
        <w:spacing w:after="0"/>
        <w:rPr>
          <w:rFonts w:eastAsia="Arial Unicode MS"/>
          <w:sz w:val="22"/>
          <w:szCs w:val="22"/>
        </w:rPr>
      </w:pPr>
      <w:r w:rsidRPr="00576AF8">
        <w:rPr>
          <w:rFonts w:eastAsia="Arial Unicode MS"/>
          <w:color w:val="000000"/>
          <w:sz w:val="22"/>
          <w:szCs w:val="22"/>
        </w:rPr>
        <w:t>Una configuración activo-activo es la configuración de redundancia preferida porque: </w:t>
      </w:r>
    </w:p>
    <w:p w14:paraId="23060AC5" w14:textId="77777777" w:rsidR="009102A7" w:rsidRPr="00576AF8" w:rsidRDefault="009102A7" w:rsidP="009102A7">
      <w:pPr>
        <w:numPr>
          <w:ilvl w:val="0"/>
          <w:numId w:val="279"/>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Puede recoger nuevas transacciones más rápido que una implementación activa-pasiva. </w:t>
      </w:r>
    </w:p>
    <w:p w14:paraId="39D7E53C" w14:textId="77777777" w:rsidR="009102A7" w:rsidRPr="00576AF8" w:rsidRDefault="009102A7" w:rsidP="009102A7">
      <w:pPr>
        <w:numPr>
          <w:ilvl w:val="0"/>
          <w:numId w:val="279"/>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Su estado se puede confirmar (porque ya está sirviendo carga) antes de una falla. </w:t>
      </w:r>
    </w:p>
    <w:p w14:paraId="2A81F515" w14:textId="77777777" w:rsidR="009102A7" w:rsidRPr="00576AF8" w:rsidRDefault="009102A7" w:rsidP="009102A7">
      <w:pPr>
        <w:numPr>
          <w:ilvl w:val="0"/>
          <w:numId w:val="279"/>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Permite la escalabilidad mediante la adición de servidores, equipos o componentes adicionales. </w:t>
      </w:r>
    </w:p>
    <w:p w14:paraId="56A3E8A4" w14:textId="77777777" w:rsidR="009102A7" w:rsidRPr="00576AF8" w:rsidRDefault="009102A7" w:rsidP="009102A7">
      <w:pPr>
        <w:suppressAutoHyphens w:val="0"/>
        <w:spacing w:before="120" w:after="0"/>
        <w:textAlignment w:val="baseline"/>
        <w:rPr>
          <w:rFonts w:eastAsia="Arial Unicode MS"/>
          <w:color w:val="000000"/>
          <w:sz w:val="22"/>
          <w:szCs w:val="22"/>
          <w:shd w:val="clear" w:color="auto" w:fill="00FF00"/>
        </w:rPr>
      </w:pPr>
    </w:p>
    <w:p w14:paraId="6920B664" w14:textId="77777777" w:rsidR="009102A7" w:rsidRPr="00576AF8" w:rsidRDefault="009102A7" w:rsidP="009102A7">
      <w:pPr>
        <w:ind w:left="720" w:hanging="720"/>
        <w:jc w:val="left"/>
        <w:outlineLvl w:val="2"/>
        <w:rPr>
          <w:color w:val="000000"/>
          <w:sz w:val="22"/>
          <w:szCs w:val="22"/>
        </w:rPr>
      </w:pPr>
      <w:r w:rsidRPr="00576AF8">
        <w:rPr>
          <w:b/>
          <w:color w:val="000000"/>
          <w:sz w:val="22"/>
          <w:szCs w:val="22"/>
          <w:lang w:val="es-EC" w:eastAsia="es-EC" w:bidi="ar-SA"/>
        </w:rPr>
        <w:t xml:space="preserve"> 1.5.10 </w:t>
      </w:r>
      <w:r w:rsidRPr="00576AF8">
        <w:rPr>
          <w:b/>
          <w:color w:val="000000"/>
          <w:sz w:val="22"/>
          <w:szCs w:val="22"/>
        </w:rPr>
        <w:t>Monitoreo de Procesos y Reinicio</w:t>
      </w:r>
    </w:p>
    <w:p w14:paraId="2701F9DD" w14:textId="77777777" w:rsidR="009102A7" w:rsidRPr="00576AF8" w:rsidRDefault="009102A7" w:rsidP="009102A7">
      <w:p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Una aplicación debe supervisar sus propios procesos para que la finalización y el tiempo de ejecución puedan confirmarse y auditarse y para que un proceso fallido (debido a un error de hardware o una falla de comunicación temporal, por ejemplo) se pueda reiniciar sin interacción del usuario.</w:t>
      </w:r>
    </w:p>
    <w:p w14:paraId="11DB5D78" w14:textId="77777777" w:rsidR="009102A7" w:rsidRPr="00576AF8" w:rsidRDefault="009102A7" w:rsidP="009102A7">
      <w:pPr>
        <w:rPr>
          <w:sz w:val="22"/>
          <w:szCs w:val="22"/>
        </w:rPr>
      </w:pPr>
    </w:p>
    <w:p w14:paraId="279D7154" w14:textId="77777777" w:rsidR="009102A7" w:rsidRPr="00576AF8" w:rsidRDefault="009102A7" w:rsidP="009102A7">
      <w:pPr>
        <w:ind w:left="720" w:hanging="720"/>
        <w:jc w:val="left"/>
        <w:outlineLvl w:val="2"/>
        <w:rPr>
          <w:sz w:val="22"/>
          <w:szCs w:val="22"/>
          <w:lang w:val="es-EC" w:eastAsia="en-US"/>
        </w:rPr>
      </w:pPr>
      <w:r w:rsidRPr="00576AF8">
        <w:rPr>
          <w:b/>
          <w:color w:val="000000"/>
          <w:sz w:val="22"/>
          <w:szCs w:val="22"/>
          <w:lang w:val="es-EC" w:eastAsia="es-EC" w:bidi="ar-SA"/>
        </w:rPr>
        <w:t xml:space="preserve"> 1.5.1.11 </w:t>
      </w:r>
      <w:r w:rsidRPr="00576AF8">
        <w:rPr>
          <w:b/>
          <w:iCs/>
          <w:color w:val="000000"/>
          <w:sz w:val="22"/>
          <w:szCs w:val="22"/>
        </w:rPr>
        <w:t>Cálculos de Confiabilidad</w:t>
      </w:r>
    </w:p>
    <w:p w14:paraId="5E1167D9" w14:textId="77777777" w:rsidR="009102A7" w:rsidRPr="00576AF8" w:rsidRDefault="009102A7" w:rsidP="009102A7">
      <w:pPr>
        <w:numPr>
          <w:ilvl w:val="0"/>
          <w:numId w:val="161"/>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El Proveedor deberá indicar las cifras teóricas y prácticas de la confiabilidad de cada unidad individual del sistema en términos de tiempo medio entre fallas (MTBF). </w:t>
      </w:r>
    </w:p>
    <w:p w14:paraId="5CC9E2D8" w14:textId="77777777" w:rsidR="009102A7" w:rsidRPr="00576AF8" w:rsidRDefault="009102A7" w:rsidP="009102A7">
      <w:pPr>
        <w:numPr>
          <w:ilvl w:val="0"/>
          <w:numId w:val="161"/>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Las cifras de confiabilidad de los equipos existentes deberán estar respaldadas por pruebas de la experiencia operativa en tipos equivalentes de instalaciones. </w:t>
      </w:r>
    </w:p>
    <w:p w14:paraId="481071B4" w14:textId="77777777" w:rsidR="009102A7" w:rsidRPr="00576AF8" w:rsidRDefault="009102A7" w:rsidP="009102A7">
      <w:pPr>
        <w:numPr>
          <w:ilvl w:val="0"/>
          <w:numId w:val="161"/>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Los cálculos para la confiabilidad del Sistema se incluirán en la oferta del Proveedor. Estos se basarán en el tiempo medio entre la falla de los elementos del equipo y el tiempo medio de reparación indicado anteriormente.</w:t>
      </w:r>
    </w:p>
    <w:p w14:paraId="39E6DC2F" w14:textId="77777777" w:rsidR="009102A7" w:rsidRPr="00576AF8" w:rsidRDefault="009102A7" w:rsidP="009102A7">
      <w:pPr>
        <w:numPr>
          <w:ilvl w:val="0"/>
          <w:numId w:val="161"/>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lastRenderedPageBreak/>
        <w:t>La evaluación general de la confiabilidad del sistema se proporcionará en forma de un diagrama de bloques general del sistema con cada elemento principal mostrado, completo con sus datos de confiabilidad. El cálculo de la confiabilidad global se facilitará con este diagrama, junto con información sobre la fuente de los datos teóricos o prácticos utilizados. </w:t>
      </w:r>
    </w:p>
    <w:p w14:paraId="6899D016" w14:textId="77777777" w:rsidR="009102A7" w:rsidRPr="00576AF8" w:rsidRDefault="009102A7" w:rsidP="009102A7">
      <w:pPr>
        <w:numPr>
          <w:ilvl w:val="0"/>
          <w:numId w:val="161"/>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El Proveedor indicará la metodología del análisis y la fuente de las cifras de confiabilidad. Esto incluirá: Todas las suposiciones hechas. Distribución de fallas asumidas, por ejemplo, exponencial, normal, etc. </w:t>
      </w:r>
    </w:p>
    <w:p w14:paraId="6FD0D41A" w14:textId="77777777" w:rsidR="009102A7" w:rsidRPr="00576AF8" w:rsidRDefault="009102A7" w:rsidP="009102A7">
      <w:pPr>
        <w:numPr>
          <w:ilvl w:val="0"/>
          <w:numId w:val="161"/>
        </w:numPr>
        <w:suppressAutoHyphens w:val="0"/>
        <w:spacing w:before="120" w:after="0"/>
        <w:textAlignment w:val="baseline"/>
        <w:rPr>
          <w:rFonts w:eastAsia="Arial Unicode MS"/>
          <w:color w:val="000000"/>
          <w:sz w:val="22"/>
          <w:szCs w:val="22"/>
        </w:rPr>
      </w:pPr>
      <w:r w:rsidRPr="00576AF8">
        <w:rPr>
          <w:rFonts w:eastAsia="Arial Unicode MS"/>
          <w:color w:val="000000"/>
          <w:sz w:val="22"/>
          <w:szCs w:val="22"/>
        </w:rPr>
        <w:t>Además del diagrama general de bloques de fiabilidad del sistema, la confiabilidad en términos de MTBF se mostrará para otros modos de falla específicos detallados por el Proveedor. El contratista describirá detalladamente los modos de falla de todo el sistema, indicando claramente los efectos de cualquier falla del subsistema o medio en la confiabilidad y respuesta de las funciones esenciales de SCADA/EMS. </w:t>
      </w:r>
    </w:p>
    <w:p w14:paraId="3965C9CE" w14:textId="77777777" w:rsidR="009102A7" w:rsidRPr="00576AF8" w:rsidRDefault="009102A7" w:rsidP="009102A7">
      <w:pPr>
        <w:ind w:right="4"/>
        <w:rPr>
          <w:iCs/>
          <w:sz w:val="22"/>
          <w:szCs w:val="22"/>
        </w:rPr>
      </w:pPr>
    </w:p>
    <w:p w14:paraId="10FBAE18" w14:textId="77777777" w:rsidR="009102A7" w:rsidRPr="00576AF8" w:rsidRDefault="009102A7" w:rsidP="009102A7">
      <w:pPr>
        <w:spacing w:before="480"/>
        <w:ind w:left="432" w:hanging="432"/>
        <w:jc w:val="left"/>
        <w:outlineLvl w:val="0"/>
        <w:rPr>
          <w:b/>
          <w:smallCaps/>
          <w:sz w:val="22"/>
          <w:szCs w:val="22"/>
          <w:lang w:val="es-EC" w:eastAsia="en-US" w:bidi="ar-SA"/>
        </w:rPr>
      </w:pPr>
      <w:bookmarkStart w:id="693" w:name="_Toc454958722"/>
      <w:bookmarkStart w:id="694" w:name="_Toc476310097"/>
      <w:bookmarkStart w:id="695" w:name="_Toc482896426"/>
      <w:bookmarkStart w:id="696" w:name="_Toc99868850"/>
      <w:bookmarkStart w:id="697" w:name="_Toc160268901"/>
      <w:bookmarkStart w:id="698" w:name="_Toc160455926"/>
      <w:bookmarkStart w:id="699" w:name="_Toc160706907"/>
      <w:bookmarkStart w:id="700" w:name="_Toc160707185"/>
      <w:bookmarkStart w:id="701" w:name="_Toc160707497"/>
      <w:bookmarkStart w:id="702" w:name="_Toc160707699"/>
      <w:bookmarkStart w:id="703" w:name="_Toc160707754"/>
      <w:bookmarkStart w:id="704" w:name="_Toc163137308"/>
      <w:bookmarkStart w:id="705" w:name="_Toc521498255"/>
      <w:r w:rsidRPr="00576AF8">
        <w:rPr>
          <w:b/>
          <w:smallCaps/>
          <w:sz w:val="22"/>
          <w:szCs w:val="22"/>
          <w:lang w:val="es-EC" w:eastAsia="en-US" w:bidi="ar-SA"/>
        </w:rPr>
        <w:t>C.  Especificaciones del servicio:  Artículos de suministro e instalación</w:t>
      </w:r>
      <w:bookmarkEnd w:id="693"/>
      <w:bookmarkEnd w:id="694"/>
      <w:bookmarkEnd w:id="695"/>
      <w:bookmarkEnd w:id="696"/>
      <w:bookmarkEnd w:id="697"/>
      <w:bookmarkEnd w:id="698"/>
      <w:bookmarkEnd w:id="699"/>
      <w:bookmarkEnd w:id="700"/>
      <w:bookmarkEnd w:id="701"/>
      <w:bookmarkEnd w:id="702"/>
      <w:bookmarkEnd w:id="703"/>
      <w:bookmarkEnd w:id="704"/>
    </w:p>
    <w:p w14:paraId="2252826C" w14:textId="77777777" w:rsidR="009102A7" w:rsidRPr="00576AF8" w:rsidRDefault="009102A7" w:rsidP="009102A7">
      <w:pPr>
        <w:ind w:right="41"/>
        <w:outlineLvl w:val="1"/>
        <w:rPr>
          <w:sz w:val="22"/>
          <w:szCs w:val="22"/>
        </w:rPr>
      </w:pPr>
      <w:bookmarkStart w:id="706" w:name="_Toc454958723"/>
      <w:bookmarkStart w:id="707" w:name="_Toc476310098"/>
      <w:bookmarkStart w:id="708" w:name="_Toc482896427"/>
      <w:bookmarkStart w:id="709" w:name="_Toc99868851"/>
      <w:bookmarkStart w:id="710" w:name="_Toc160706908"/>
      <w:bookmarkStart w:id="711" w:name="_Toc160707498"/>
      <w:bookmarkStart w:id="712" w:name="_Toc160707755"/>
      <w:r w:rsidRPr="00576AF8">
        <w:rPr>
          <w:b/>
          <w:sz w:val="22"/>
          <w:szCs w:val="22"/>
        </w:rPr>
        <w:t>2.1</w:t>
      </w:r>
      <w:r w:rsidRPr="00576AF8">
        <w:rPr>
          <w:sz w:val="22"/>
          <w:szCs w:val="22"/>
        </w:rPr>
        <w:tab/>
      </w:r>
      <w:r w:rsidRPr="00576AF8">
        <w:rPr>
          <w:b/>
          <w:sz w:val="22"/>
          <w:szCs w:val="22"/>
        </w:rPr>
        <w:t>Análisis, diseño y personalización o desarrollo de sistemas</w:t>
      </w:r>
      <w:bookmarkEnd w:id="706"/>
      <w:bookmarkEnd w:id="707"/>
      <w:bookmarkEnd w:id="708"/>
      <w:bookmarkEnd w:id="709"/>
      <w:bookmarkEnd w:id="710"/>
      <w:bookmarkEnd w:id="711"/>
      <w:bookmarkEnd w:id="712"/>
    </w:p>
    <w:p w14:paraId="52622972" w14:textId="77777777" w:rsidR="009102A7" w:rsidRPr="00576AF8" w:rsidRDefault="009102A7" w:rsidP="009102A7">
      <w:pPr>
        <w:ind w:left="720" w:hanging="720"/>
        <w:jc w:val="left"/>
        <w:outlineLvl w:val="2"/>
        <w:rPr>
          <w:b/>
          <w:sz w:val="22"/>
          <w:szCs w:val="22"/>
        </w:rPr>
      </w:pPr>
      <w:r w:rsidRPr="00576AF8">
        <w:rPr>
          <w:b/>
          <w:sz w:val="22"/>
          <w:szCs w:val="22"/>
        </w:rPr>
        <w:tab/>
      </w:r>
      <w:bookmarkStart w:id="713" w:name="_Toc160706909"/>
      <w:bookmarkStart w:id="714" w:name="_Toc160707186"/>
      <w:bookmarkStart w:id="715" w:name="_Toc160707499"/>
      <w:bookmarkStart w:id="716" w:name="_Toc160707700"/>
      <w:bookmarkStart w:id="717" w:name="_Toc160707756"/>
      <w:bookmarkStart w:id="718" w:name="_Toc163137309"/>
      <w:r w:rsidRPr="00576AF8">
        <w:rPr>
          <w:b/>
          <w:sz w:val="22"/>
          <w:szCs w:val="22"/>
        </w:rPr>
        <w:t>2.1.1</w:t>
      </w:r>
      <w:r w:rsidRPr="00576AF8">
        <w:rPr>
          <w:b/>
          <w:sz w:val="22"/>
          <w:szCs w:val="22"/>
        </w:rPr>
        <w:tab/>
        <w:t>El Proveedor DEBERÁ</w:t>
      </w:r>
      <w:r w:rsidRPr="00576AF8">
        <w:rPr>
          <w:rFonts w:eastAsia="Arial"/>
          <w:b/>
          <w:sz w:val="22"/>
          <w:szCs w:val="22"/>
          <w:lang w:val="es"/>
        </w:rPr>
        <w:t xml:space="preserve"> realizar las siguientes actividades de análisis y diseño utilizando una metodología formal de análisis o desarrollo de sistemas con las siguientes actividades principales y productos de diseño.</w:t>
      </w:r>
      <w:bookmarkEnd w:id="713"/>
      <w:bookmarkEnd w:id="714"/>
      <w:bookmarkEnd w:id="715"/>
      <w:bookmarkEnd w:id="716"/>
      <w:bookmarkEnd w:id="717"/>
      <w:bookmarkEnd w:id="718"/>
      <w:r w:rsidRPr="00576AF8">
        <w:rPr>
          <w:b/>
          <w:sz w:val="22"/>
          <w:szCs w:val="22"/>
        </w:rPr>
        <w:t xml:space="preserve"> </w:t>
      </w:r>
    </w:p>
    <w:p w14:paraId="1ADCEDCE" w14:textId="77777777" w:rsidR="009102A7" w:rsidRPr="00576AF8" w:rsidRDefault="009102A7" w:rsidP="009102A7">
      <w:pPr>
        <w:ind w:left="720" w:hanging="12"/>
        <w:jc w:val="left"/>
        <w:outlineLvl w:val="2"/>
        <w:rPr>
          <w:b/>
          <w:sz w:val="22"/>
          <w:szCs w:val="22"/>
        </w:rPr>
      </w:pPr>
      <w:bookmarkStart w:id="719" w:name="_Toc163137310"/>
      <w:r w:rsidRPr="00576AF8">
        <w:rPr>
          <w:b/>
          <w:sz w:val="22"/>
          <w:szCs w:val="22"/>
        </w:rPr>
        <w:t>Análisis detallado:</w:t>
      </w:r>
      <w:bookmarkEnd w:id="719"/>
    </w:p>
    <w:p w14:paraId="289BC730" w14:textId="77777777" w:rsidR="009102A7" w:rsidRPr="00576AF8" w:rsidRDefault="009102A7" w:rsidP="009102A7">
      <w:pPr>
        <w:ind w:left="720" w:firstLine="696"/>
        <w:jc w:val="left"/>
        <w:outlineLvl w:val="2"/>
        <w:rPr>
          <w:sz w:val="22"/>
          <w:szCs w:val="22"/>
        </w:rPr>
      </w:pPr>
      <w:bookmarkStart w:id="720" w:name="_Toc163137311"/>
      <w:r w:rsidRPr="00576AF8">
        <w:rPr>
          <w:b/>
          <w:sz w:val="22"/>
          <w:szCs w:val="22"/>
        </w:rPr>
        <w:t>2.1.1.1</w:t>
      </w:r>
      <w:r w:rsidRPr="00576AF8">
        <w:rPr>
          <w:sz w:val="22"/>
          <w:szCs w:val="22"/>
        </w:rPr>
        <w:t xml:space="preserve"> </w:t>
      </w:r>
      <w:r w:rsidRPr="00576AF8">
        <w:rPr>
          <w:b/>
          <w:sz w:val="22"/>
          <w:szCs w:val="22"/>
        </w:rPr>
        <w:t>SCADA</w:t>
      </w:r>
      <w:bookmarkEnd w:id="720"/>
    </w:p>
    <w:p w14:paraId="7B353D9F" w14:textId="77777777" w:rsidR="009102A7" w:rsidRPr="00576AF8" w:rsidRDefault="009102A7" w:rsidP="009102A7">
      <w:pPr>
        <w:suppressAutoHyphens w:val="0"/>
        <w:spacing w:after="0"/>
        <w:ind w:left="1416"/>
        <w:rPr>
          <w:b/>
          <w:bCs/>
          <w:color w:val="000000"/>
          <w:sz w:val="22"/>
          <w:szCs w:val="22"/>
          <w:lang w:val="es-EC" w:eastAsia="es-EC" w:bidi="ar-SA"/>
        </w:rPr>
      </w:pPr>
      <w:r w:rsidRPr="00576AF8">
        <w:rPr>
          <w:color w:val="000000"/>
          <w:sz w:val="22"/>
          <w:szCs w:val="22"/>
          <w:lang w:val="es-EC" w:eastAsia="es-EC" w:bidi="ar-SA"/>
        </w:rPr>
        <w:t>A continuación, se presenta el detalle de los requerimientos para cada uno de los componentes del proyecto “Nuevo Centro de Control del Operador Nacional de Electricidad”, iniciando con la funcionalidad SCADA.</w:t>
      </w:r>
      <w:r w:rsidRPr="00576AF8">
        <w:rPr>
          <w:b/>
          <w:bCs/>
          <w:color w:val="000000"/>
          <w:sz w:val="22"/>
          <w:szCs w:val="22"/>
          <w:lang w:val="es-EC" w:eastAsia="es-EC" w:bidi="ar-SA"/>
        </w:rPr>
        <w:t> </w:t>
      </w:r>
    </w:p>
    <w:p w14:paraId="4489FE03" w14:textId="77777777" w:rsidR="009102A7" w:rsidRPr="00576AF8" w:rsidRDefault="009102A7" w:rsidP="009102A7">
      <w:pPr>
        <w:ind w:left="708" w:right="41" w:firstLine="708"/>
        <w:rPr>
          <w:b/>
          <w:sz w:val="22"/>
          <w:szCs w:val="22"/>
        </w:rPr>
      </w:pPr>
      <w:bookmarkStart w:id="721" w:name="_Toc160455927"/>
    </w:p>
    <w:p w14:paraId="7CE29FAA" w14:textId="77777777" w:rsidR="009102A7" w:rsidRPr="00576AF8" w:rsidRDefault="009102A7" w:rsidP="009102A7">
      <w:pPr>
        <w:ind w:left="720" w:firstLine="696"/>
        <w:jc w:val="left"/>
        <w:outlineLvl w:val="2"/>
        <w:rPr>
          <w:sz w:val="22"/>
          <w:szCs w:val="22"/>
        </w:rPr>
      </w:pPr>
      <w:r w:rsidRPr="00576AF8">
        <w:rPr>
          <w:b/>
          <w:sz w:val="22"/>
          <w:szCs w:val="22"/>
        </w:rPr>
        <w:t>2.1.1.1.1.1 Tipos de Datos</w:t>
      </w:r>
      <w:bookmarkEnd w:id="721"/>
    </w:p>
    <w:p w14:paraId="1D143026"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El SCADA deberá ser capaz de procesar los siguientes tipos de datos independientemente de la fuente que los origine:</w:t>
      </w:r>
    </w:p>
    <w:p w14:paraId="2A87F128" w14:textId="77777777" w:rsidR="009102A7" w:rsidRPr="00576AF8" w:rsidRDefault="009102A7" w:rsidP="009102A7">
      <w:pPr>
        <w:suppressAutoHyphens w:val="0"/>
        <w:spacing w:after="0"/>
        <w:ind w:left="1416"/>
        <w:rPr>
          <w:color w:val="000000"/>
          <w:sz w:val="22"/>
          <w:szCs w:val="22"/>
          <w:lang w:val="es-EC" w:eastAsia="es-EC" w:bidi="ar-SA"/>
        </w:rPr>
      </w:pPr>
    </w:p>
    <w:p w14:paraId="3C3B4CB8" w14:textId="77777777" w:rsidR="009102A7" w:rsidRPr="00576AF8" w:rsidRDefault="009102A7" w:rsidP="009102A7">
      <w:pPr>
        <w:numPr>
          <w:ilvl w:val="2"/>
          <w:numId w:val="27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Medidos: por ejemplo, potencia, corriente, voltaje, frecuencia, etc.</w:t>
      </w:r>
    </w:p>
    <w:p w14:paraId="49FB09BB" w14:textId="77777777" w:rsidR="009102A7" w:rsidRPr="00576AF8" w:rsidRDefault="009102A7" w:rsidP="009102A7">
      <w:pPr>
        <w:numPr>
          <w:ilvl w:val="2"/>
          <w:numId w:val="27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Indicaciones: simples (seccionadores, alarmas, disparos, etc.) y dobles (posición del disyuntor, etc.)</w:t>
      </w:r>
    </w:p>
    <w:p w14:paraId="3EB13170" w14:textId="77777777" w:rsidR="009102A7" w:rsidRPr="00576AF8" w:rsidRDefault="009102A7" w:rsidP="009102A7">
      <w:pPr>
        <w:numPr>
          <w:ilvl w:val="2"/>
          <w:numId w:val="27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Acumuladores: energías activa y reactiva.</w:t>
      </w:r>
    </w:p>
    <w:p w14:paraId="2EC25BBF" w14:textId="77777777" w:rsidR="009102A7" w:rsidRPr="00576AF8" w:rsidRDefault="009102A7" w:rsidP="009102A7">
      <w:pPr>
        <w:numPr>
          <w:ilvl w:val="2"/>
          <w:numId w:val="27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Controles digitales: simples (reset de una protección) y dobles (abrir/cerrar un disyuntor).</w:t>
      </w:r>
    </w:p>
    <w:p w14:paraId="714681DB" w14:textId="77777777" w:rsidR="009102A7" w:rsidRPr="00576AF8" w:rsidRDefault="009102A7" w:rsidP="009102A7">
      <w:pPr>
        <w:numPr>
          <w:ilvl w:val="2"/>
          <w:numId w:val="27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Consignas (setpoints): por ejemplo, potencia de salida de un generador, voltaje de control de una barra.</w:t>
      </w:r>
    </w:p>
    <w:p w14:paraId="38F095BC" w14:textId="77777777" w:rsidR="009102A7" w:rsidRPr="00576AF8" w:rsidRDefault="009102A7" w:rsidP="009102A7">
      <w:pPr>
        <w:suppressAutoHyphens w:val="0"/>
        <w:spacing w:after="0"/>
        <w:ind w:left="2136"/>
        <w:contextualSpacing/>
        <w:rPr>
          <w:color w:val="000000"/>
          <w:sz w:val="22"/>
          <w:szCs w:val="22"/>
          <w:lang w:val="es-EC" w:eastAsia="es-EC" w:bidi="ar-SA"/>
        </w:rPr>
      </w:pPr>
    </w:p>
    <w:p w14:paraId="00AD2BC9" w14:textId="77777777" w:rsidR="009102A7" w:rsidRPr="00576AF8" w:rsidRDefault="009102A7" w:rsidP="009102A7">
      <w:pPr>
        <w:ind w:left="720" w:firstLine="696"/>
        <w:jc w:val="left"/>
        <w:outlineLvl w:val="2"/>
        <w:rPr>
          <w:sz w:val="22"/>
          <w:szCs w:val="22"/>
        </w:rPr>
      </w:pPr>
      <w:bookmarkStart w:id="722" w:name="_Toc160455928"/>
      <w:r w:rsidRPr="00576AF8">
        <w:rPr>
          <w:b/>
          <w:sz w:val="22"/>
          <w:szCs w:val="22"/>
        </w:rPr>
        <w:t>2.1.1.1.1.2 Gestión de las Comunicaciones en el SCADA</w:t>
      </w:r>
      <w:bookmarkEnd w:id="722"/>
    </w:p>
    <w:p w14:paraId="0E75735F" w14:textId="77777777" w:rsidR="009102A7" w:rsidRPr="00576AF8" w:rsidRDefault="009102A7" w:rsidP="009102A7">
      <w:pPr>
        <w:numPr>
          <w:ilvl w:val="0"/>
          <w:numId w:val="2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 comunicación entre el SCADA y las RTU o dispositivos remotos a través de sus </w:t>
      </w:r>
      <w:r w:rsidR="00FB4EC6" w:rsidRPr="00576AF8">
        <w:rPr>
          <w:color w:val="000000"/>
          <w:sz w:val="22"/>
          <w:szCs w:val="22"/>
          <w:lang w:val="es-EC" w:eastAsia="es-EC" w:bidi="ar-SA"/>
        </w:rPr>
        <w:t>equipos frontales</w:t>
      </w:r>
      <w:r w:rsidRPr="00576AF8">
        <w:rPr>
          <w:color w:val="000000"/>
          <w:sz w:val="22"/>
          <w:szCs w:val="22"/>
          <w:lang w:val="es-EC" w:eastAsia="es-EC" w:bidi="ar-SA"/>
        </w:rPr>
        <w:t xml:space="preserve"> de comunicaciones debe realizarse mediante mecanismos que garanticen la redundancia</w:t>
      </w:r>
      <w:r w:rsidR="00CC030D" w:rsidRPr="00576AF8">
        <w:rPr>
          <w:color w:val="000000"/>
          <w:sz w:val="22"/>
          <w:szCs w:val="22"/>
          <w:lang w:val="es-EC" w:eastAsia="es-EC" w:bidi="ar-SA"/>
        </w:rPr>
        <w:t xml:space="preserve"> y una disponibilidad de 99,99% de acuerdo a los establecido en el numeral 3 del Anexo 1 de la Regulación ARCONEL 003/16 (4,32 minutos de indisponibilidad al mes)</w:t>
      </w:r>
      <w:r w:rsidRPr="00576AF8">
        <w:rPr>
          <w:color w:val="000000"/>
          <w:sz w:val="22"/>
          <w:szCs w:val="22"/>
          <w:lang w:val="es-EC" w:eastAsia="es-EC" w:bidi="ar-SA"/>
        </w:rPr>
        <w:t xml:space="preserve">. El SCADA deberá poder manejar redundancia múltiple mediante la definición de canales lógicos con múltiples rutas físicas posibles. En todo momento el SCADA debe conocer el estado de todos los front-ends de comunicaciones </w:t>
      </w:r>
      <w:r w:rsidRPr="00576AF8">
        <w:rPr>
          <w:color w:val="000000"/>
          <w:sz w:val="22"/>
          <w:szCs w:val="22"/>
          <w:lang w:val="es-EC" w:eastAsia="es-EC" w:bidi="ar-SA"/>
        </w:rPr>
        <w:lastRenderedPageBreak/>
        <w:t>y sus canales lógicos y físicos con la finalidad de conmutar sin pérdida de datos, entre las diferentes rutas alternas definidas. En caso de falla de cualquiera de los dispositivos definidos, el SCADA debe tomar acción inmediata para su conmutación y la recuperación automática del elemento fallado.</w:t>
      </w:r>
    </w:p>
    <w:p w14:paraId="4AD7C394" w14:textId="77777777" w:rsidR="009102A7" w:rsidRPr="00576AF8" w:rsidRDefault="009102A7" w:rsidP="009102A7">
      <w:pPr>
        <w:numPr>
          <w:ilvl w:val="0"/>
          <w:numId w:val="2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SCADA podrá acceder a las RTU mediante cualquiera de los front-ends de comunicación del centro de control de CENACE.</w:t>
      </w:r>
    </w:p>
    <w:p w14:paraId="5276CF5B" w14:textId="77777777" w:rsidR="009102A7" w:rsidRPr="00576AF8" w:rsidRDefault="009102A7" w:rsidP="009102A7">
      <w:pPr>
        <w:numPr>
          <w:ilvl w:val="0"/>
          <w:numId w:val="2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Desde el punto de vista de las comunicaciones, el SCADA tiene el mayor nivel de jerarquía para:</w:t>
      </w:r>
    </w:p>
    <w:p w14:paraId="32FDBC43" w14:textId="77777777" w:rsidR="009102A7" w:rsidRPr="00576AF8" w:rsidRDefault="009102A7" w:rsidP="009102A7">
      <w:pPr>
        <w:numPr>
          <w:ilvl w:val="0"/>
          <w:numId w:val="14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Iniciar la comunicación con las RTU.</w:t>
      </w:r>
    </w:p>
    <w:p w14:paraId="4B2C26E3" w14:textId="77777777" w:rsidR="009102A7" w:rsidRPr="00576AF8" w:rsidRDefault="009102A7" w:rsidP="009102A7">
      <w:pPr>
        <w:numPr>
          <w:ilvl w:val="0"/>
          <w:numId w:val="14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Configurar y ejecutar el escaneo de datos a través de los front-ends de comunicación y los Gateways.</w:t>
      </w:r>
    </w:p>
    <w:p w14:paraId="77DCB66B" w14:textId="77777777" w:rsidR="009102A7" w:rsidRPr="00576AF8" w:rsidRDefault="009102A7" w:rsidP="009102A7">
      <w:pPr>
        <w:numPr>
          <w:ilvl w:val="0"/>
          <w:numId w:val="14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Procesar los datos recibidos de las RTU a través de los front-ends de comunicación y los Gateways.</w:t>
      </w:r>
    </w:p>
    <w:p w14:paraId="694F0C8C" w14:textId="77777777" w:rsidR="009102A7" w:rsidRPr="00576AF8" w:rsidRDefault="009102A7" w:rsidP="009102A7">
      <w:pPr>
        <w:numPr>
          <w:ilvl w:val="0"/>
          <w:numId w:val="14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Enviar el control remoto de los operadores o de las funciones de control.</w:t>
      </w:r>
    </w:p>
    <w:p w14:paraId="18A1436F" w14:textId="77777777" w:rsidR="009102A7" w:rsidRPr="00576AF8" w:rsidRDefault="009102A7" w:rsidP="009102A7">
      <w:pPr>
        <w:numPr>
          <w:ilvl w:val="0"/>
          <w:numId w:val="2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Así mismo, el SCADA es responsable de realizar las siguientes tareas para mantener la comunicación con las RTU o dispositivos de campo:</w:t>
      </w:r>
    </w:p>
    <w:p w14:paraId="7DA4B45D"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Supervisión y control de los front-ends de comunicación.</w:t>
      </w:r>
    </w:p>
    <w:p w14:paraId="32A85915"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Supervisión y control de los canales de comunicación lógicos.</w:t>
      </w:r>
    </w:p>
    <w:p w14:paraId="7F6E59DC"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Supervisión y control de las rutas físicas asociadas a los canales lógicos.</w:t>
      </w:r>
    </w:p>
    <w:p w14:paraId="477A47F4"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Supervisión de las rutas alternas de forma simultánea.</w:t>
      </w:r>
    </w:p>
    <w:p w14:paraId="39273F5F"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Supervisión y control de las RTU.</w:t>
      </w:r>
    </w:p>
    <w:p w14:paraId="31B6F049"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Manejo de rutas prioritarias: regresar de forma automática o manual a la ruta de mayor prioridad.</w:t>
      </w:r>
    </w:p>
    <w:p w14:paraId="522CF304"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Recuperación automática de los dispositivos.</w:t>
      </w:r>
    </w:p>
    <w:p w14:paraId="2173B9C5" w14:textId="77777777" w:rsidR="009102A7" w:rsidRPr="00576AF8" w:rsidRDefault="009102A7" w:rsidP="009102A7">
      <w:pPr>
        <w:numPr>
          <w:ilvl w:val="0"/>
          <w:numId w:val="150"/>
        </w:numPr>
        <w:suppressAutoHyphens w:val="0"/>
        <w:spacing w:before="120" w:after="0"/>
        <w:ind w:left="2880"/>
        <w:contextualSpacing/>
        <w:textAlignment w:val="baseline"/>
        <w:rPr>
          <w:color w:val="000000"/>
          <w:sz w:val="22"/>
          <w:szCs w:val="22"/>
          <w:lang w:val="es-EC" w:eastAsia="es-EC" w:bidi="ar-SA"/>
        </w:rPr>
      </w:pPr>
      <w:r w:rsidRPr="00576AF8">
        <w:rPr>
          <w:color w:val="000000"/>
          <w:sz w:val="22"/>
          <w:szCs w:val="22"/>
          <w:lang w:val="es-EC" w:eastAsia="es-EC" w:bidi="ar-SA"/>
        </w:rPr>
        <w:t xml:space="preserve">Llevar </w:t>
      </w:r>
      <w:r w:rsidR="00FB4EC6" w:rsidRPr="00576AF8">
        <w:rPr>
          <w:color w:val="000000"/>
          <w:sz w:val="22"/>
          <w:szCs w:val="22"/>
          <w:lang w:val="es-EC" w:eastAsia="es-EC" w:bidi="ar-SA"/>
        </w:rPr>
        <w:t>los registros</w:t>
      </w:r>
      <w:r w:rsidRPr="00576AF8">
        <w:rPr>
          <w:color w:val="000000"/>
          <w:sz w:val="22"/>
          <w:szCs w:val="22"/>
          <w:lang w:val="es-EC" w:eastAsia="es-EC" w:bidi="ar-SA"/>
        </w:rPr>
        <w:t xml:space="preserve"> de los errores acumulados para los diferentes dispositivos: front-ends, canales, rutas físicas, RTU o dispositivo remoto.</w:t>
      </w:r>
    </w:p>
    <w:p w14:paraId="6FAA81D2" w14:textId="77777777" w:rsidR="009102A7" w:rsidRPr="00576AF8" w:rsidRDefault="009102A7" w:rsidP="009102A7">
      <w:pPr>
        <w:suppressAutoHyphens w:val="0"/>
        <w:spacing w:after="0"/>
        <w:ind w:left="1843"/>
        <w:rPr>
          <w:rFonts w:eastAsia="Arial"/>
          <w:b/>
          <w:bCs/>
          <w:color w:val="000000"/>
          <w:sz w:val="22"/>
          <w:szCs w:val="22"/>
          <w:lang w:val="es-EC" w:eastAsia="es-EC" w:bidi="ar-SA"/>
        </w:rPr>
      </w:pPr>
    </w:p>
    <w:p w14:paraId="7B434B86" w14:textId="77777777" w:rsidR="009102A7" w:rsidRPr="00576AF8" w:rsidRDefault="009102A7" w:rsidP="009102A7">
      <w:pPr>
        <w:ind w:left="720" w:firstLine="696"/>
        <w:jc w:val="left"/>
        <w:outlineLvl w:val="2"/>
        <w:rPr>
          <w:rFonts w:eastAsia="Arial"/>
          <w:b/>
          <w:sz w:val="22"/>
          <w:szCs w:val="22"/>
        </w:rPr>
      </w:pPr>
      <w:bookmarkStart w:id="723" w:name="_Toc160268902"/>
      <w:bookmarkStart w:id="724" w:name="_Toc160455929"/>
      <w:r w:rsidRPr="00576AF8">
        <w:rPr>
          <w:b/>
          <w:sz w:val="22"/>
          <w:szCs w:val="22"/>
        </w:rPr>
        <w:t xml:space="preserve">2.1.1.1.1.3 </w:t>
      </w:r>
      <w:r w:rsidRPr="00576AF8">
        <w:rPr>
          <w:rFonts w:eastAsia="Arial"/>
          <w:b/>
          <w:sz w:val="22"/>
          <w:szCs w:val="22"/>
        </w:rPr>
        <w:t>Escaneo de Datos</w:t>
      </w:r>
      <w:bookmarkEnd w:id="723"/>
      <w:bookmarkEnd w:id="724"/>
    </w:p>
    <w:p w14:paraId="5FB545CB" w14:textId="77777777" w:rsidR="009102A7" w:rsidRPr="00576AF8" w:rsidRDefault="009102A7" w:rsidP="009102A7">
      <w:pPr>
        <w:suppressAutoHyphens w:val="0"/>
        <w:spacing w:after="0"/>
        <w:ind w:left="1843"/>
        <w:contextualSpacing/>
        <w:rPr>
          <w:color w:val="000000"/>
          <w:sz w:val="22"/>
          <w:szCs w:val="22"/>
          <w:lang w:val="es-EC" w:eastAsia="es-EC" w:bidi="ar-SA"/>
        </w:rPr>
      </w:pPr>
    </w:p>
    <w:p w14:paraId="48436F29"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El SCADA a través de los front-ends de comunicaciones y Gateways deben tener todas las facilidades para configurar y realizar los siguientes tipos de escaneo:</w:t>
      </w:r>
    </w:p>
    <w:p w14:paraId="5E0C5FBE" w14:textId="77777777" w:rsidR="009102A7" w:rsidRPr="00576AF8" w:rsidRDefault="009102A7" w:rsidP="009102A7">
      <w:pPr>
        <w:suppressAutoHyphens w:val="0"/>
        <w:spacing w:after="0"/>
        <w:ind w:left="1843"/>
        <w:rPr>
          <w:color w:val="000000"/>
          <w:sz w:val="22"/>
          <w:szCs w:val="22"/>
          <w:lang w:val="es-EC" w:eastAsia="es-EC" w:bidi="ar-SA"/>
        </w:rPr>
      </w:pPr>
    </w:p>
    <w:p w14:paraId="1BC1F2CA" w14:textId="77777777" w:rsidR="009102A7" w:rsidRPr="00576AF8" w:rsidRDefault="009102A7" w:rsidP="009102A7">
      <w:pPr>
        <w:numPr>
          <w:ilvl w:val="0"/>
          <w:numId w:val="164"/>
        </w:numPr>
        <w:suppressAutoHyphens w:val="0"/>
        <w:spacing w:after="0"/>
        <w:ind w:left="2694" w:hanging="284"/>
        <w:contextualSpacing/>
        <w:rPr>
          <w:color w:val="000000"/>
          <w:sz w:val="22"/>
          <w:szCs w:val="22"/>
          <w:lang w:val="es-EC" w:eastAsia="es-EC" w:bidi="ar-SA"/>
        </w:rPr>
      </w:pPr>
      <w:r w:rsidRPr="00576AF8">
        <w:rPr>
          <w:color w:val="000000"/>
          <w:sz w:val="22"/>
          <w:lang w:val="pt-BR"/>
        </w:rPr>
        <w:t xml:space="preserve">Escaneo cíclico: se realiza a intervalos regulares, típicamente cada 4 </w:t>
      </w:r>
      <w:proofErr w:type="gramStart"/>
      <w:r w:rsidRPr="00576AF8">
        <w:rPr>
          <w:color w:val="000000"/>
          <w:sz w:val="22"/>
          <w:lang w:val="pt-BR"/>
        </w:rPr>
        <w:t>o 10 segundos</w:t>
      </w:r>
      <w:proofErr w:type="gramEnd"/>
      <w:r w:rsidRPr="00576AF8">
        <w:rPr>
          <w:color w:val="000000"/>
          <w:sz w:val="22"/>
          <w:lang w:val="pt-BR"/>
        </w:rPr>
        <w:t xml:space="preserve">. </w:t>
      </w:r>
      <w:r w:rsidRPr="00576AF8">
        <w:rPr>
          <w:color w:val="000000"/>
          <w:sz w:val="22"/>
          <w:szCs w:val="22"/>
          <w:lang w:val="es-EC" w:eastAsia="es-EC" w:bidi="ar-SA"/>
        </w:rPr>
        <w:t>El SCADA permitirá asimismo realizar la solicitud de todos los datos o por grupos de interrogación de puntos previamente definidos y solamente limitado a la capacidad del protocolo utilizado.</w:t>
      </w:r>
    </w:p>
    <w:p w14:paraId="7A8BDF09" w14:textId="77777777" w:rsidR="009102A7" w:rsidRPr="00576AF8" w:rsidRDefault="009102A7" w:rsidP="009102A7">
      <w:pPr>
        <w:numPr>
          <w:ilvl w:val="0"/>
          <w:numId w:val="164"/>
        </w:numPr>
        <w:suppressAutoHyphens w:val="0"/>
        <w:spacing w:after="0"/>
        <w:ind w:left="2694" w:hanging="284"/>
        <w:contextualSpacing/>
        <w:rPr>
          <w:color w:val="000000"/>
          <w:sz w:val="22"/>
          <w:szCs w:val="22"/>
          <w:lang w:val="es-EC" w:eastAsia="es-EC" w:bidi="ar-SA"/>
        </w:rPr>
      </w:pPr>
      <w:r w:rsidRPr="00576AF8">
        <w:rPr>
          <w:color w:val="000000"/>
          <w:sz w:val="22"/>
          <w:szCs w:val="22"/>
          <w:lang w:val="es-EC" w:eastAsia="es-EC" w:bidi="ar-SA"/>
        </w:rPr>
        <w:t>Escaneo por excepción: para recopilar datos de dispositivos de campo sólo cuando se detecta un cambio en el valor del dato. Esto con el fin de reducir el tráfico y el uso de recursos del sistema.</w:t>
      </w:r>
    </w:p>
    <w:p w14:paraId="62F84A30" w14:textId="77777777" w:rsidR="009102A7" w:rsidRPr="00576AF8" w:rsidRDefault="009102A7" w:rsidP="009102A7">
      <w:pPr>
        <w:numPr>
          <w:ilvl w:val="0"/>
          <w:numId w:val="164"/>
        </w:numPr>
        <w:suppressAutoHyphens w:val="0"/>
        <w:spacing w:after="0"/>
        <w:ind w:left="2694" w:hanging="284"/>
        <w:contextualSpacing/>
        <w:rPr>
          <w:color w:val="000000"/>
          <w:sz w:val="22"/>
          <w:szCs w:val="22"/>
          <w:lang w:val="es-EC" w:eastAsia="es-EC" w:bidi="ar-SA"/>
        </w:rPr>
      </w:pPr>
      <w:r w:rsidRPr="00576AF8">
        <w:rPr>
          <w:color w:val="000000"/>
          <w:sz w:val="22"/>
          <w:szCs w:val="22"/>
          <w:lang w:val="es-EC" w:eastAsia="es-EC" w:bidi="ar-SA"/>
        </w:rPr>
        <w:t>Escaneo por demanda: realizado bajo solicitud del operador (típicamente solicitar todos los datos al equipo remoto).</w:t>
      </w:r>
    </w:p>
    <w:p w14:paraId="6A42FF42" w14:textId="77777777" w:rsidR="009102A7" w:rsidRPr="00576AF8" w:rsidRDefault="009102A7" w:rsidP="009102A7">
      <w:pPr>
        <w:numPr>
          <w:ilvl w:val="0"/>
          <w:numId w:val="164"/>
        </w:numPr>
        <w:suppressAutoHyphens w:val="0"/>
        <w:spacing w:after="0"/>
        <w:ind w:left="2694" w:hanging="284"/>
        <w:contextualSpacing/>
        <w:rPr>
          <w:color w:val="000000"/>
          <w:sz w:val="22"/>
          <w:szCs w:val="22"/>
          <w:lang w:val="es-EC" w:eastAsia="es-EC" w:bidi="ar-SA"/>
        </w:rPr>
      </w:pPr>
      <w:r w:rsidRPr="00576AF8">
        <w:rPr>
          <w:color w:val="000000"/>
          <w:sz w:val="22"/>
          <w:szCs w:val="22"/>
          <w:lang w:val="es-EC" w:eastAsia="es-EC" w:bidi="ar-SA"/>
        </w:rPr>
        <w:t>Escaneo por evento: en aquellos casos donde el SCADA como maestro solicita datos al esclavo en respuesta a un evento.</w:t>
      </w:r>
    </w:p>
    <w:p w14:paraId="27476F6E" w14:textId="77777777" w:rsidR="009102A7" w:rsidRPr="00576AF8" w:rsidRDefault="009102A7" w:rsidP="009102A7">
      <w:pPr>
        <w:numPr>
          <w:ilvl w:val="0"/>
          <w:numId w:val="164"/>
        </w:numPr>
        <w:suppressAutoHyphens w:val="0"/>
        <w:spacing w:after="0"/>
        <w:ind w:left="2694" w:hanging="284"/>
        <w:contextualSpacing/>
        <w:rPr>
          <w:color w:val="000000"/>
          <w:sz w:val="22"/>
          <w:szCs w:val="22"/>
          <w:lang w:val="es-EC" w:eastAsia="es-EC" w:bidi="ar-SA"/>
        </w:rPr>
      </w:pPr>
      <w:r w:rsidRPr="00576AF8">
        <w:rPr>
          <w:color w:val="000000"/>
          <w:sz w:val="22"/>
          <w:szCs w:val="22"/>
          <w:lang w:val="es-EC" w:eastAsia="es-EC" w:bidi="ar-SA"/>
        </w:rPr>
        <w:t>Escaneo combinado: si el protocolo utilizado lo permite se realizarán rutinas combinadas de escaneo que deben realizarse al inicio de la conexión, para la solicitud de integridad periódica (full scan), escaneo cíclico, y cuando no hay actividad.</w:t>
      </w:r>
    </w:p>
    <w:p w14:paraId="7A8A8A60" w14:textId="77777777" w:rsidR="009102A7" w:rsidRPr="00576AF8" w:rsidRDefault="009102A7" w:rsidP="009102A7">
      <w:pPr>
        <w:suppressAutoHyphens w:val="0"/>
        <w:spacing w:after="0"/>
        <w:ind w:left="1416"/>
        <w:rPr>
          <w:color w:val="000000"/>
          <w:sz w:val="22"/>
          <w:szCs w:val="22"/>
          <w:lang w:val="es-EC" w:eastAsia="es-EC" w:bidi="ar-SA"/>
        </w:rPr>
      </w:pPr>
    </w:p>
    <w:p w14:paraId="2FEB86A7"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 xml:space="preserve">El subsistema de adquisición de datos (front ends y Gateways) deberá reducir </w:t>
      </w:r>
      <w:r w:rsidRPr="00576AF8">
        <w:rPr>
          <w:sz w:val="22"/>
          <w:szCs w:val="22"/>
        </w:rPr>
        <w:tab/>
      </w:r>
      <w:r w:rsidRPr="00576AF8">
        <w:rPr>
          <w:color w:val="000000"/>
          <w:sz w:val="22"/>
          <w:szCs w:val="22"/>
          <w:lang w:val="es-EC" w:eastAsia="es-EC" w:bidi="ar-SA"/>
        </w:rPr>
        <w:t>al mínimo el tiempo de adquisición de información, que deberá respetar los siguientes valores de referencia los cuales deberán ser configurables: </w:t>
      </w:r>
    </w:p>
    <w:p w14:paraId="79997F38" w14:textId="77777777" w:rsidR="009102A7" w:rsidRPr="00576AF8" w:rsidRDefault="009102A7" w:rsidP="009102A7">
      <w:pPr>
        <w:spacing w:after="0"/>
        <w:ind w:left="1416"/>
        <w:rPr>
          <w:color w:val="000000"/>
          <w:sz w:val="22"/>
          <w:szCs w:val="22"/>
          <w:lang w:val="es-EC" w:eastAsia="es-EC" w:bidi="ar-SA"/>
        </w:rPr>
      </w:pPr>
    </w:p>
    <w:p w14:paraId="10B27D49"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Menor a 1 segundo (transmisión espontánea de cada cambio de estado) para las principales indicaciones de estado críticas para el funcionamiento de la red (es decir, posición de los interruptores, señales de disparo de protecciones, seccionadores, alarmas, etc.). Esta información se registrará con la estampa de tiempo con resolución de milisegundos en campo</w:t>
      </w:r>
    </w:p>
    <w:p w14:paraId="2A7D0966"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Menor a 1 segundo (transmisión espontánea de cada cambio de estado) para la posición del cambiador de taps de los transformadores y los autotransformadores con conversión del mismo valor en la relación de transformación relativa. </w:t>
      </w:r>
    </w:p>
    <w:p w14:paraId="19DE6A85"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1 segundo (transmisión bajo petición) para los mensajes de control remoto a los que se dará la máxima prioridad en el proceso de gestión e intercambio de datos. </w:t>
      </w:r>
    </w:p>
    <w:p w14:paraId="04A92957"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1 a 4 segundos (transmisión periódica cíclica) para las medidas de potencia activa (P), de potencia reactiva (Q), voltaje (V), corriente (A) y frecuencia (Hz). Además, estas señales se podrán recibir de forma espontánea</w:t>
      </w:r>
    </w:p>
    <w:p w14:paraId="68A3AAD8"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1 segundo (transmisión periódica cíclica) para las medidas requeridas por el Control Automático de Generación (AGC) y las recibidas desde los WAMS.</w:t>
      </w:r>
    </w:p>
    <w:p w14:paraId="69DE222B"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15min (transmisión periódica cíclica) Medidas de embalses hidroeléctricos. </w:t>
      </w:r>
    </w:p>
    <w:p w14:paraId="09D1B593"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15min, 30min, 1hora (transmisión periódica cíclica) para los acumuladores de energía.</w:t>
      </w:r>
    </w:p>
    <w:p w14:paraId="4D2F75BC"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Datos SOE con resolución de tiempo de 1ms en un reporte dedicado. En este reporte se debe identificar eventos en la calidad de la información tanto como el valor como la estampa de tiempo  </w:t>
      </w:r>
    </w:p>
    <w:p w14:paraId="30C48304" w14:textId="77777777" w:rsidR="009102A7" w:rsidRPr="00576AF8" w:rsidRDefault="009102A7" w:rsidP="009102A7">
      <w:pPr>
        <w:numPr>
          <w:ilvl w:val="0"/>
          <w:numId w:val="2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No se proporciona ningún rendimiento particular para la transmisión de archivos, pero, en cualquier caso, esta actividad no debe comprometer el intercambio de datos en tiempo real entre los sistemas eléctricos y el sistema de control, causando retrasos en la transmisión de medidas, indicaciones de estado o controles remotos.</w:t>
      </w:r>
    </w:p>
    <w:p w14:paraId="7DE3027F" w14:textId="77777777" w:rsidR="009102A7" w:rsidRPr="00576AF8" w:rsidRDefault="009102A7" w:rsidP="009102A7">
      <w:pPr>
        <w:suppressAutoHyphens w:val="0"/>
        <w:spacing w:after="0"/>
        <w:rPr>
          <w:color w:val="000000"/>
          <w:sz w:val="22"/>
          <w:szCs w:val="22"/>
          <w:lang w:val="es-EC" w:eastAsia="es-EC" w:bidi="ar-SA"/>
        </w:rPr>
      </w:pPr>
    </w:p>
    <w:p w14:paraId="08E3BE5F" w14:textId="77777777" w:rsidR="009102A7" w:rsidRPr="00576AF8" w:rsidRDefault="009102A7" w:rsidP="009102A7">
      <w:pPr>
        <w:ind w:left="720" w:firstLine="696"/>
        <w:jc w:val="left"/>
        <w:outlineLvl w:val="2"/>
        <w:rPr>
          <w:rFonts w:eastAsia="Arial"/>
          <w:b/>
          <w:sz w:val="22"/>
          <w:szCs w:val="22"/>
        </w:rPr>
      </w:pPr>
      <w:bookmarkStart w:id="725" w:name="_Toc160268903"/>
      <w:bookmarkStart w:id="726" w:name="_Toc160455930"/>
      <w:r w:rsidRPr="00576AF8">
        <w:rPr>
          <w:b/>
          <w:sz w:val="22"/>
          <w:szCs w:val="22"/>
        </w:rPr>
        <w:t xml:space="preserve">2.1.1.1.1.4 </w:t>
      </w:r>
      <w:r w:rsidRPr="00576AF8">
        <w:rPr>
          <w:rFonts w:eastAsia="Arial"/>
          <w:b/>
          <w:sz w:val="22"/>
          <w:szCs w:val="22"/>
        </w:rPr>
        <w:t>Procesamiento de Datos</w:t>
      </w:r>
      <w:bookmarkEnd w:id="725"/>
      <w:bookmarkEnd w:id="726"/>
    </w:p>
    <w:p w14:paraId="240AFC49" w14:textId="77777777" w:rsidR="009102A7" w:rsidRPr="00576AF8" w:rsidRDefault="009102A7" w:rsidP="009102A7">
      <w:pPr>
        <w:suppressAutoHyphens w:val="0"/>
        <w:spacing w:after="0"/>
        <w:ind w:left="708" w:firstLine="708"/>
        <w:rPr>
          <w:color w:val="000000"/>
          <w:sz w:val="22"/>
          <w:szCs w:val="22"/>
          <w:u w:val="single"/>
          <w:lang w:val="es-EC" w:eastAsia="es-EC" w:bidi="ar-SA"/>
        </w:rPr>
      </w:pPr>
    </w:p>
    <w:p w14:paraId="547D31B8" w14:textId="77777777" w:rsidR="009102A7" w:rsidRPr="00576AF8" w:rsidRDefault="009102A7" w:rsidP="009102A7">
      <w:pPr>
        <w:suppressAutoHyphens w:val="0"/>
        <w:spacing w:after="0"/>
        <w:ind w:left="1416"/>
        <w:rPr>
          <w:sz w:val="22"/>
          <w:szCs w:val="22"/>
          <w:lang w:val="es-EC" w:eastAsia="es-EC" w:bidi="ar-SA"/>
        </w:rPr>
      </w:pPr>
      <w:r w:rsidRPr="00576AF8">
        <w:rPr>
          <w:color w:val="000000"/>
          <w:sz w:val="22"/>
          <w:szCs w:val="22"/>
          <w:lang w:val="es-EC" w:eastAsia="es-EC" w:bidi="ar-SA"/>
        </w:rPr>
        <w:t>Para garantizar una supervisión completa y un control en tiempo real de la red, el sistema SCADA permitirá el tratamiento de datos telemedidos, introducidos manualmente, calculados y procedentes de otros sistemas. </w:t>
      </w:r>
    </w:p>
    <w:p w14:paraId="61E93855" w14:textId="77777777" w:rsidR="009102A7" w:rsidRPr="00576AF8" w:rsidRDefault="009102A7" w:rsidP="009102A7">
      <w:pPr>
        <w:suppressAutoHyphens w:val="0"/>
        <w:spacing w:after="0"/>
        <w:rPr>
          <w:rFonts w:eastAsia="Arial"/>
          <w:b/>
          <w:bCs/>
          <w:color w:val="000000"/>
          <w:sz w:val="22"/>
          <w:szCs w:val="22"/>
          <w:lang w:val="es-EC" w:eastAsia="es-EC" w:bidi="ar-SA"/>
        </w:rPr>
      </w:pPr>
    </w:p>
    <w:p w14:paraId="4B230293" w14:textId="77777777" w:rsidR="009102A7" w:rsidRPr="00576AF8" w:rsidRDefault="009102A7" w:rsidP="009102A7">
      <w:pPr>
        <w:suppressAutoHyphens w:val="0"/>
        <w:spacing w:after="0"/>
        <w:ind w:left="1416" w:firstLine="708"/>
        <w:rPr>
          <w:rFonts w:eastAsia="Arial"/>
          <w:b/>
          <w:bCs/>
          <w:color w:val="000000"/>
          <w:sz w:val="22"/>
          <w:szCs w:val="22"/>
          <w:lang w:val="es-EC" w:eastAsia="es-EC" w:bidi="ar-SA"/>
        </w:rPr>
      </w:pPr>
    </w:p>
    <w:p w14:paraId="1926983F" w14:textId="77777777" w:rsidR="009102A7" w:rsidRPr="00576AF8" w:rsidRDefault="009102A7" w:rsidP="009102A7">
      <w:pPr>
        <w:ind w:left="720" w:firstLine="696"/>
        <w:jc w:val="left"/>
        <w:outlineLvl w:val="2"/>
        <w:rPr>
          <w:rFonts w:eastAsia="Arial"/>
          <w:b/>
          <w:bCs/>
          <w:sz w:val="22"/>
          <w:szCs w:val="22"/>
        </w:rPr>
      </w:pPr>
      <w:r w:rsidRPr="00576AF8">
        <w:rPr>
          <w:b/>
          <w:sz w:val="22"/>
          <w:szCs w:val="22"/>
        </w:rPr>
        <w:t xml:space="preserve">2.1.1.1.1.4.1 </w:t>
      </w:r>
      <w:r w:rsidRPr="00576AF8">
        <w:rPr>
          <w:rFonts w:eastAsia="Arial"/>
          <w:b/>
          <w:bCs/>
          <w:sz w:val="22"/>
          <w:szCs w:val="22"/>
        </w:rPr>
        <w:t>Conversión de Datos</w:t>
      </w:r>
    </w:p>
    <w:p w14:paraId="78AB705D" w14:textId="77777777" w:rsidR="009102A7" w:rsidRPr="00576AF8" w:rsidRDefault="009102A7" w:rsidP="009102A7">
      <w:pPr>
        <w:suppressAutoHyphens w:val="0"/>
        <w:spacing w:after="0"/>
        <w:ind w:left="2124" w:firstLine="12"/>
        <w:rPr>
          <w:sz w:val="22"/>
          <w:szCs w:val="22"/>
          <w:lang w:val="es-EC" w:eastAsia="es-EC" w:bidi="ar-SA"/>
        </w:rPr>
      </w:pPr>
      <w:r w:rsidRPr="00576AF8">
        <w:rPr>
          <w:color w:val="000000"/>
          <w:sz w:val="22"/>
          <w:szCs w:val="22"/>
          <w:lang w:val="es-EC" w:eastAsia="es-EC" w:bidi="ar-SA"/>
        </w:rPr>
        <w:t>Las mediciones adquiridas por el campo podrán ser convertidas en unidades de ingeniería y sometidas al control de los límites, considerando la banda muerta (</w:t>
      </w:r>
      <w:r w:rsidRPr="00576AF8">
        <w:rPr>
          <w:i/>
          <w:color w:val="000000"/>
          <w:sz w:val="22"/>
          <w:szCs w:val="22"/>
          <w:lang w:val="es-EC" w:eastAsia="es-EC" w:bidi="ar-SA"/>
        </w:rPr>
        <w:t>dead-band</w:t>
      </w:r>
      <w:r w:rsidRPr="00576AF8">
        <w:rPr>
          <w:color w:val="000000"/>
          <w:sz w:val="22"/>
          <w:szCs w:val="22"/>
          <w:lang w:val="es-EC" w:eastAsia="es-EC" w:bidi="ar-SA"/>
        </w:rPr>
        <w:t>) y la presencia del valor adquirido en el rango alrededor de cero. Las señales digitales adquiridas en cada cambio de estado deben verificarse en el sistema con el estado previamente recibido y almacenado, para verificar la consistencia de la indicación transmitida. El sistema será capaz de manejar uno o dos bits.  Para este último será revisado sistemáticamente para verificar que las condiciones anómalas son la expresión de un estado de transición y no la expresión de una situación de alarma. </w:t>
      </w:r>
    </w:p>
    <w:p w14:paraId="6402AAED" w14:textId="77777777" w:rsidR="009102A7" w:rsidRPr="00576AF8" w:rsidRDefault="009102A7" w:rsidP="009102A7">
      <w:pPr>
        <w:suppressAutoHyphens w:val="0"/>
        <w:spacing w:after="0"/>
        <w:rPr>
          <w:color w:val="000000"/>
          <w:sz w:val="22"/>
          <w:szCs w:val="22"/>
          <w:lang w:val="es-EC" w:eastAsia="es-EC" w:bidi="ar-SA"/>
        </w:rPr>
      </w:pPr>
      <w:bookmarkStart w:id="727" w:name="_Toc160268904"/>
    </w:p>
    <w:p w14:paraId="55642BC6" w14:textId="77777777" w:rsidR="009102A7" w:rsidRPr="00576AF8" w:rsidRDefault="009102A7" w:rsidP="009102A7">
      <w:pPr>
        <w:ind w:left="720" w:firstLine="696"/>
        <w:jc w:val="left"/>
        <w:outlineLvl w:val="2"/>
        <w:rPr>
          <w:rFonts w:eastAsia="Arial"/>
          <w:bCs/>
          <w:sz w:val="22"/>
          <w:szCs w:val="22"/>
        </w:rPr>
      </w:pPr>
      <w:r w:rsidRPr="00576AF8">
        <w:rPr>
          <w:b/>
          <w:sz w:val="22"/>
          <w:szCs w:val="22"/>
        </w:rPr>
        <w:t xml:space="preserve">2.1.1.1.1.4.2 </w:t>
      </w:r>
      <w:r w:rsidRPr="00576AF8">
        <w:rPr>
          <w:rFonts w:eastAsia="Arial"/>
          <w:b/>
          <w:bCs/>
          <w:sz w:val="22"/>
          <w:szCs w:val="22"/>
        </w:rPr>
        <w:t>Valores Medidos</w:t>
      </w:r>
      <w:bookmarkEnd w:id="727"/>
    </w:p>
    <w:p w14:paraId="7EF0376C" w14:textId="77777777" w:rsidR="009102A7" w:rsidRPr="00576AF8" w:rsidRDefault="009102A7" w:rsidP="009102A7">
      <w:pPr>
        <w:suppressAutoHyphens w:val="0"/>
        <w:spacing w:after="0"/>
        <w:ind w:left="2124" w:firstLine="12"/>
        <w:rPr>
          <w:sz w:val="22"/>
          <w:szCs w:val="22"/>
          <w:lang w:val="es-EC" w:eastAsia="es-EC" w:bidi="ar-SA"/>
        </w:rPr>
      </w:pPr>
      <w:r w:rsidRPr="00576AF8">
        <w:rPr>
          <w:color w:val="000000"/>
          <w:sz w:val="22"/>
          <w:szCs w:val="22"/>
          <w:lang w:val="es-EC" w:eastAsia="es-EC" w:bidi="ar-SA"/>
        </w:rPr>
        <w:t>Cada medida adquirida será procesada antes de ser almacenada. Las mediciones se transmiten al Centro de Control y, por lo tanto, serán procesadas por las siguientes funciones:</w:t>
      </w:r>
    </w:p>
    <w:p w14:paraId="608B2B09" w14:textId="77777777" w:rsidR="009102A7" w:rsidRPr="00576AF8" w:rsidRDefault="009102A7" w:rsidP="009102A7">
      <w:pPr>
        <w:suppressAutoHyphens w:val="0"/>
        <w:spacing w:after="0"/>
        <w:ind w:left="2124"/>
        <w:rPr>
          <w:sz w:val="22"/>
          <w:szCs w:val="22"/>
          <w:lang w:val="es-EC" w:eastAsia="es-EC" w:bidi="ar-SA"/>
        </w:rPr>
      </w:pPr>
    </w:p>
    <w:p w14:paraId="55FEDB66"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Conversión de valor:</w:t>
      </w:r>
      <w:r w:rsidRPr="00576AF8">
        <w:rPr>
          <w:color w:val="000000"/>
          <w:sz w:val="22"/>
          <w:szCs w:val="22"/>
          <w:lang w:val="es-EC" w:eastAsia="es-EC" w:bidi="ar-SA"/>
        </w:rPr>
        <w:t xml:space="preserve"> de forma binaria a unidad de ingeniería (lineal o no lineal).</w:t>
      </w:r>
    </w:p>
    <w:p w14:paraId="2D33BDCF"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lastRenderedPageBreak/>
        <w:t>Verificación de consistencia:</w:t>
      </w:r>
      <w:r w:rsidRPr="00576AF8">
        <w:rPr>
          <w:color w:val="000000"/>
          <w:sz w:val="22"/>
          <w:szCs w:val="22"/>
          <w:lang w:val="es-EC" w:eastAsia="es-EC" w:bidi="ar-SA"/>
        </w:rPr>
        <w:t xml:space="preserve"> todos los valores adquiridos deben verificarse en el SCADA comparándolos con su propio rango operativo configurable de variabilidad, si el valor está fuera de estos límites se asocia con el código de calidad de datos erróneos. </w:t>
      </w:r>
    </w:p>
    <w:p w14:paraId="35057B4D"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Fuera del barrido:</w:t>
      </w:r>
      <w:r w:rsidRPr="00576AF8">
        <w:rPr>
          <w:color w:val="000000"/>
          <w:sz w:val="22"/>
          <w:szCs w:val="22"/>
          <w:lang w:val="es-EC" w:eastAsia="es-EC" w:bidi="ar-SA"/>
        </w:rPr>
        <w:t xml:space="preserve"> a petición del operador, las medidas pueden colocarse fuera del barrido para que no se adquieran del campo o, si se adquieren, serán ignoradas por las funciones del sistema SCADA y no guardadas. Simultáneamente con la solicitud fuera de barrido, el sistema activa una bandera y asocia un código de calidad para permitir que la IHM notifique este estado en los despliegues en las que se muestra la medida en cuestión. </w:t>
      </w:r>
    </w:p>
    <w:p w14:paraId="2E580F4B"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Escalamiento:</w:t>
      </w:r>
      <w:r w:rsidRPr="00576AF8">
        <w:rPr>
          <w:color w:val="000000"/>
          <w:sz w:val="22"/>
          <w:szCs w:val="22"/>
          <w:lang w:val="es-EC" w:eastAsia="es-EC" w:bidi="ar-SA"/>
        </w:rPr>
        <w:t>  además de la conversión de binario a unidad de ingeniería, se podrá aplicar un escalamiento independientemente que los datos lleguen binarios o directamente en unidades de ingeniería mediante su recepción del campo en punto flotante.</w:t>
      </w:r>
    </w:p>
    <w:p w14:paraId="034F6D51" w14:textId="77777777" w:rsidR="009102A7" w:rsidRPr="00576AF8" w:rsidRDefault="009102A7" w:rsidP="009102A7">
      <w:pPr>
        <w:numPr>
          <w:ilvl w:val="0"/>
          <w:numId w:val="165"/>
        </w:numPr>
        <w:suppressAutoHyphens w:val="0"/>
        <w:spacing w:after="0"/>
        <w:ind w:left="3181"/>
        <w:contextualSpacing/>
        <w:rPr>
          <w:sz w:val="22"/>
          <w:szCs w:val="22"/>
          <w:lang w:val="es-EC" w:eastAsia="es-EC" w:bidi="ar-SA"/>
        </w:rPr>
      </w:pPr>
      <w:r w:rsidRPr="00576AF8">
        <w:rPr>
          <w:color w:val="000000"/>
          <w:sz w:val="22"/>
          <w:szCs w:val="22"/>
          <w:lang w:val="es-EC" w:eastAsia="es-EC" w:bidi="ar-SA"/>
        </w:rPr>
        <w:t>Sin escalamiento: El valor en recuentos sin procesar se almacena directamente en la base de datos sin cambios.</w:t>
      </w:r>
    </w:p>
    <w:p w14:paraId="19217154" w14:textId="77777777" w:rsidR="009102A7" w:rsidRPr="00576AF8" w:rsidRDefault="009102A7" w:rsidP="009102A7">
      <w:pPr>
        <w:numPr>
          <w:ilvl w:val="0"/>
          <w:numId w:val="165"/>
        </w:numPr>
        <w:suppressAutoHyphens w:val="0"/>
        <w:spacing w:after="0"/>
        <w:ind w:left="3181"/>
        <w:contextualSpacing/>
        <w:rPr>
          <w:sz w:val="22"/>
          <w:szCs w:val="22"/>
          <w:lang w:val="es-EC" w:eastAsia="es-EC" w:bidi="ar-SA"/>
        </w:rPr>
      </w:pPr>
      <w:r w:rsidRPr="00576AF8">
        <w:rPr>
          <w:color w:val="000000"/>
          <w:sz w:val="22"/>
          <w:szCs w:val="22"/>
          <w:lang w:val="es-EC" w:eastAsia="es-EC" w:bidi="ar-SA"/>
        </w:rPr>
        <w:t>Escalamiento A*X+B: A y B son constantes que proporcionan la escala y el desplazamiento para el valor analógico X. Se proporcionan pares únicos de A y B para cada punto analógico que requiere esta conversión. Se proporciona una conversión A*X configurando la constante B (desplazamiento) en cero.</w:t>
      </w:r>
    </w:p>
    <w:p w14:paraId="33056023"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Escalamiento no lineal: Este tipo de conversión se realiza mediante curvas definidas por el usuario representadas por conjuntos de puntos X, Y.</w:t>
      </w:r>
    </w:p>
    <w:p w14:paraId="7045E72B"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Cero suprimido: Para cada valor de este tipo de conversión, se especifica un valor de base de datos por debajo del cual el valor convertido se establecerá en cero.</w:t>
      </w:r>
    </w:p>
    <w:p w14:paraId="44C24F43" w14:textId="77777777" w:rsidR="009102A7" w:rsidRPr="00576AF8" w:rsidRDefault="009102A7" w:rsidP="009102A7">
      <w:pPr>
        <w:suppressAutoHyphens w:val="0"/>
        <w:spacing w:after="0"/>
        <w:ind w:left="3195"/>
        <w:contextualSpacing/>
        <w:rPr>
          <w:color w:val="000000"/>
          <w:sz w:val="22"/>
          <w:szCs w:val="22"/>
          <w:lang w:val="es-EC" w:eastAsia="es-EC" w:bidi="ar-SA"/>
        </w:rPr>
      </w:pPr>
    </w:p>
    <w:p w14:paraId="6D6793E1"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Control de Límites:</w:t>
      </w:r>
      <w:r w:rsidRPr="00576AF8">
        <w:rPr>
          <w:color w:val="000000"/>
          <w:sz w:val="22"/>
          <w:szCs w:val="22"/>
          <w:lang w:val="es-EC" w:eastAsia="es-EC" w:bidi="ar-SA"/>
        </w:rPr>
        <w:t>  todas las medidas, tan pronto como se adquieren, se someten al control de límites y, si no se respetan estos límites, el sistema activará el procedimiento de generación de alarmas relacionado cuando, para un retraso predefinido, la medida esté fuera de los límites, de manera equivalente, el sistema considera que el valor vuelve a sus condiciones normales después de que regresa dentro de los límites después de un retraso predefinido. El retraso a considerar es un parámetro proporcionado por la herramienta de ingeniería. Para cada límite definido deberá incluirse una banda muerta configurable que permita la detección de una violación de los límites mediante una histéresis que permita el filtrado de transitorios que generen múltiples alarmas alrededor de un límite cualquiera. </w:t>
      </w:r>
    </w:p>
    <w:p w14:paraId="39A11713" w14:textId="77777777" w:rsidR="009102A7" w:rsidRPr="00576AF8" w:rsidRDefault="009102A7" w:rsidP="009102A7">
      <w:pPr>
        <w:suppressAutoHyphens w:val="0"/>
        <w:spacing w:after="0"/>
        <w:ind w:left="2835"/>
        <w:contextualSpacing/>
        <w:rPr>
          <w:color w:val="000000"/>
          <w:sz w:val="22"/>
          <w:szCs w:val="22"/>
          <w:lang w:val="es-EC" w:eastAsia="es-EC" w:bidi="ar-SA"/>
        </w:rPr>
      </w:pPr>
    </w:p>
    <w:p w14:paraId="73FF02F3" w14:textId="77777777" w:rsidR="009102A7" w:rsidRPr="00576AF8" w:rsidRDefault="009102A7" w:rsidP="009102A7">
      <w:pPr>
        <w:suppressAutoHyphens w:val="0"/>
        <w:spacing w:after="0"/>
        <w:ind w:left="2486"/>
        <w:rPr>
          <w:color w:val="000000"/>
          <w:sz w:val="22"/>
          <w:szCs w:val="22"/>
          <w:lang w:val="es-EC" w:eastAsia="es-EC" w:bidi="ar-SA"/>
        </w:rPr>
      </w:pPr>
      <w:r w:rsidRPr="00576AF8">
        <w:rPr>
          <w:color w:val="000000"/>
          <w:sz w:val="22"/>
          <w:szCs w:val="22"/>
          <w:lang w:val="es-EC" w:eastAsia="es-EC" w:bidi="ar-SA"/>
        </w:rPr>
        <w:t xml:space="preserve">Todos los valores límite se expresarán en unidades de ingeniería. Los límites de alarma pueden ser modificados manualmente en línea por el Operador con los derechos adecuados, y deben tener un valor predeterminado. Las modificaciones de los límites activos generarán un mensaje que indique los cambios realizados en los valores límite de la lista de eventos. Se proporcionará un filtro de retardo de tiempo para garantizar que las transgresiones transitorias del límite no den lugar a cambios transitorios en el estado de alarma mostrado o anunciado. Siempre que una medición vuelva dentro de los límites de una violación de límite, un evento se registrará en la lista de eventos. En el caso de las alarmas de tipo persistente definidas, las alarmas límite reconocidas asociadas al valor medido no generarán una alarma adicional, sino que se eliminarán de la lista de alarmas cuando el valor analógico vuelva a estar dentro de los límites. Las alarmas de límite no reconocidas se sustituirán por una alarma de retorno a la normalidad cuando el valor medido vuelva a estar dentro de los límites. Para todos los medidores, la supervisión de </w:t>
      </w:r>
      <w:r w:rsidRPr="00576AF8">
        <w:rPr>
          <w:color w:val="000000"/>
          <w:sz w:val="22"/>
          <w:szCs w:val="22"/>
          <w:lang w:val="es-EC" w:eastAsia="es-EC" w:bidi="ar-SA"/>
        </w:rPr>
        <w:lastRenderedPageBreak/>
        <w:t>alarmas será de al menos tres límites de alarma ajustables superiores y tres inferiores. Los límites tendrán validación al ingreso para verificar su consistencia entre ellos. Cuando esté activado, el valor medido escaneado se comprobará continuamente con los valores límite asignados. Cuando esté desactivado, no se aplicará ninguna comprobación de límites al valor medido seleccionado.</w:t>
      </w:r>
    </w:p>
    <w:p w14:paraId="19211652" w14:textId="77777777" w:rsidR="009102A7" w:rsidRPr="00576AF8" w:rsidRDefault="009102A7" w:rsidP="009102A7">
      <w:pPr>
        <w:suppressAutoHyphens w:val="0"/>
        <w:spacing w:after="0"/>
        <w:ind w:left="2486"/>
        <w:rPr>
          <w:color w:val="000000"/>
          <w:sz w:val="22"/>
          <w:szCs w:val="22"/>
          <w:lang w:val="es-EC" w:eastAsia="es-EC" w:bidi="ar-SA"/>
        </w:rPr>
      </w:pPr>
    </w:p>
    <w:p w14:paraId="25620CF3"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Sustitución de Valores:</w:t>
      </w:r>
      <w:r w:rsidRPr="00576AF8">
        <w:rPr>
          <w:color w:val="000000"/>
          <w:sz w:val="22"/>
          <w:szCs w:val="22"/>
          <w:lang w:val="es-EC" w:eastAsia="es-EC" w:bidi="ar-SA"/>
        </w:rPr>
        <w:t xml:space="preserve"> el Operador tendrá la posibilidad de solicitar la sustitución del valor adquirido por el valor correspondiente calculado por el Estimador del Estado; Esta sustitución será realizada automáticamente por el sistema para todas las medidas declaradas fuera del escaneo y no configuradas manualmente.</w:t>
      </w:r>
    </w:p>
    <w:p w14:paraId="3D9792DB"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Ingresos Manuales:</w:t>
      </w:r>
      <w:r w:rsidRPr="00576AF8">
        <w:rPr>
          <w:color w:val="000000"/>
          <w:sz w:val="22"/>
          <w:szCs w:val="22"/>
          <w:lang w:val="es-EC" w:eastAsia="es-EC" w:bidi="ar-SA"/>
        </w:rPr>
        <w:t xml:space="preserve"> el sistema permitirá al operador ingresar valores manuales. El sistema comprobará la corrección formal de los valores introducidos y, al mismo tiempo, que están dentro del rango de validez. Al mismo tiempo, los datos considerados válidos se verifican con los límites operativos y de seguridad relativos activando los procedimientos de registro relativos si los valores introducidos están fuera de los mismos.</w:t>
      </w:r>
    </w:p>
    <w:p w14:paraId="7AE9A775"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valor medido tendrá asociado un umbral de valor de datos de «valor fuera de intervalo». Si se supera este valor, se mostrará el último valor válido y un atributo fuera del intervalo marcará el elemento de datos. </w:t>
      </w:r>
    </w:p>
    <w:p w14:paraId="70CA33C7"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especificar para cada medición, en el momento de la construcción de la base de datos, un valor en unidades de ingeniería, por debajo del cual la medición se almacenará como cero. </w:t>
      </w:r>
    </w:p>
    <w:p w14:paraId="1831584D" w14:textId="77777777" w:rsidR="009102A7" w:rsidRPr="00576AF8" w:rsidRDefault="009102A7" w:rsidP="009102A7">
      <w:pPr>
        <w:numPr>
          <w:ilvl w:val="0"/>
          <w:numId w:val="27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siguientes convenciones de señalización para el flujo de potencia activa y reactiva se utilizarán universalmente en todo el sistema SCADA: Toda la potencia activa y reactiva que fluya hacia una barra colectora será negativa. Toda la potencia activa y reactiva que salga de una barra colectora será positiva. En cualquier caso, el sistema debe ofrecer la opción de invertir el signo de la medición. Una medida particular son las mediciones digitales, el sistema debe gestionar valores digitales que se utilizan, por ejemplo, para la adquisición de valores eléctricos como la posición del Tap bajo carga de un transformador, si este dispositivo no tiene una medición analógica.</w:t>
      </w:r>
    </w:p>
    <w:p w14:paraId="381530F4" w14:textId="77777777" w:rsidR="009102A7" w:rsidRPr="00576AF8" w:rsidRDefault="009102A7" w:rsidP="009102A7">
      <w:pPr>
        <w:suppressAutoHyphens w:val="0"/>
        <w:spacing w:after="0"/>
        <w:rPr>
          <w:color w:val="000000"/>
          <w:sz w:val="22"/>
          <w:szCs w:val="22"/>
          <w:lang w:val="es-EC" w:eastAsia="es-EC" w:bidi="ar-SA"/>
        </w:rPr>
      </w:pPr>
    </w:p>
    <w:p w14:paraId="2003D636" w14:textId="77777777" w:rsidR="009102A7" w:rsidRPr="00576AF8" w:rsidRDefault="009102A7" w:rsidP="009102A7">
      <w:pPr>
        <w:ind w:left="720" w:firstLine="696"/>
        <w:jc w:val="left"/>
        <w:outlineLvl w:val="2"/>
        <w:rPr>
          <w:rFonts w:eastAsia="Arial"/>
          <w:b/>
          <w:bCs/>
          <w:sz w:val="22"/>
          <w:szCs w:val="22"/>
        </w:rPr>
      </w:pPr>
      <w:bookmarkStart w:id="728" w:name="_Toc160268905"/>
      <w:r w:rsidRPr="00576AF8">
        <w:rPr>
          <w:b/>
          <w:sz w:val="22"/>
          <w:szCs w:val="22"/>
        </w:rPr>
        <w:t xml:space="preserve">2.1.1.1.1.4.3 </w:t>
      </w:r>
      <w:r w:rsidRPr="00576AF8">
        <w:rPr>
          <w:rFonts w:eastAsia="Arial"/>
          <w:b/>
          <w:bCs/>
          <w:sz w:val="22"/>
          <w:szCs w:val="22"/>
        </w:rPr>
        <w:t>Indicación de Estados - Puntos Digitales</w:t>
      </w:r>
      <w:bookmarkEnd w:id="728"/>
    </w:p>
    <w:p w14:paraId="4E3D99BA" w14:textId="77777777" w:rsidR="009102A7" w:rsidRPr="00576AF8" w:rsidRDefault="009102A7" w:rsidP="009102A7">
      <w:pPr>
        <w:ind w:left="2136" w:right="41"/>
        <w:contextualSpacing/>
        <w:rPr>
          <w:rFonts w:eastAsia="Arial"/>
          <w:b/>
          <w:sz w:val="22"/>
          <w:szCs w:val="22"/>
        </w:rPr>
      </w:pPr>
    </w:p>
    <w:p w14:paraId="2C3F52AF" w14:textId="77777777" w:rsidR="009102A7" w:rsidRPr="00576AF8" w:rsidRDefault="009102A7" w:rsidP="009102A7">
      <w:pPr>
        <w:ind w:left="2136" w:right="41"/>
        <w:contextualSpacing/>
        <w:rPr>
          <w:rFonts w:eastAsia="Arial"/>
          <w:b/>
          <w:sz w:val="22"/>
          <w:szCs w:val="22"/>
        </w:rPr>
      </w:pPr>
      <w:r w:rsidRPr="00576AF8">
        <w:rPr>
          <w:color w:val="000000"/>
          <w:sz w:val="22"/>
          <w:szCs w:val="22"/>
          <w:lang w:val="es-EC" w:eastAsia="es-EC" w:bidi="ar-SA"/>
        </w:rPr>
        <w:t>Las indicaciones de estado incluyen señales formadas como: </w:t>
      </w:r>
    </w:p>
    <w:p w14:paraId="1453BC73" w14:textId="77777777" w:rsidR="009102A7" w:rsidRPr="00576AF8" w:rsidRDefault="009102A7" w:rsidP="009102A7">
      <w:pPr>
        <w:numPr>
          <w:ilvl w:val="0"/>
          <w:numId w:val="179"/>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Puntos simples:</w:t>
      </w:r>
      <w:r w:rsidRPr="00576AF8">
        <w:rPr>
          <w:color w:val="000000"/>
          <w:sz w:val="22"/>
          <w:szCs w:val="22"/>
          <w:lang w:val="es-EC" w:eastAsia="es-EC" w:bidi="ar-SA"/>
        </w:rPr>
        <w:t xml:space="preserve"> esta categoría incluye a indicaciones de alarma y de estado. Se admitirán dos formas de alarmas, que serán las alarmas fugaces (señal momentánea, por ejemplo, una señal de protección que está presente únicamente durante la duración del funcionamiento) y las alarmas no fugaces o persistentes (señal que permanece en estado cambiado hasta que el estado cambie de nuevo, por ejemplo, la mayoría de las señales están en esta categoría). </w:t>
      </w:r>
    </w:p>
    <w:p w14:paraId="6B713615" w14:textId="77777777" w:rsidR="009102A7" w:rsidRPr="00576AF8" w:rsidRDefault="009102A7" w:rsidP="009102A7">
      <w:pPr>
        <w:numPr>
          <w:ilvl w:val="0"/>
          <w:numId w:val="179"/>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Puntos dobles:</w:t>
      </w:r>
      <w:r w:rsidRPr="00576AF8">
        <w:rPr>
          <w:color w:val="000000"/>
          <w:sz w:val="22"/>
          <w:szCs w:val="22"/>
          <w:lang w:val="es-EC" w:eastAsia="es-EC" w:bidi="ar-SA"/>
        </w:rPr>
        <w:t xml:space="preserve"> esta categoría se utilizará para indicar el estado del interruptor y la posición del interruptor (abierto o cerrado) y otros dispositivos en los que se requiera una mayor fiabilidad de la que es posible con la indicación de un punto simple. Debe obtenerse un resultado de cada una de las dos posiciones (por ejemplo, 10 o 01) para que una combinación no válida persistente (por ejemplo, 00 u 11) dé lugar a que los datos se declaren inválidos. Será posible a través de la herramienta de configuración definir la inversión de los valores (de 10 a 01 y viceversa). En casos especiales, la posición 00 puede representar la etapa "en desplazamiento" de un dispositivo de conmutación lenta o "extraída" en el caso de algunos interruptores extraídos para servicio. Los puntos dobles se pueden recibir utilizando el telegrama </w:t>
      </w:r>
      <w:r w:rsidRPr="00576AF8">
        <w:rPr>
          <w:color w:val="000000"/>
          <w:sz w:val="22"/>
          <w:szCs w:val="22"/>
          <w:lang w:val="es-EC" w:eastAsia="es-EC" w:bidi="ar-SA"/>
        </w:rPr>
        <w:lastRenderedPageBreak/>
        <w:t>de objeto de dos bits específico del protocolo o fusionando dos puntos de indicación simples. </w:t>
      </w:r>
    </w:p>
    <w:p w14:paraId="7134A735" w14:textId="77777777" w:rsidR="009102A7" w:rsidRPr="00576AF8" w:rsidRDefault="009102A7" w:rsidP="009102A7">
      <w:pPr>
        <w:numPr>
          <w:ilvl w:val="0"/>
          <w:numId w:val="179"/>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Condiciones transitorias:</w:t>
      </w:r>
      <w:r w:rsidRPr="00576AF8">
        <w:rPr>
          <w:color w:val="000000"/>
          <w:sz w:val="22"/>
          <w:szCs w:val="22"/>
          <w:lang w:val="es-EC" w:eastAsia="es-EC" w:bidi="ar-SA"/>
        </w:rPr>
        <w:t xml:space="preserve"> cuando se generan señales intermedias como pueden ocurrir con las desconexiones, no darán lugar a una señal de alarma hasta que haya transcurrido un período predeterminado para permitir que el dispositivo alcance su posición final. Se proporcionará la capacidad de diferenciar entre los cambios de estado “autorizados”, como los que se producen debido a comandos iniciados por el operador, y los cambios “no autorizados”, como los que se producen a partir de otras acciones, por ejemplo, la operación de una protección. Los cambios de estado derivados de los comandos emitidos por el operador podrían tratarse o no, como una condición de alarma, según la configuración del punto.</w:t>
      </w:r>
    </w:p>
    <w:p w14:paraId="0BFF8588" w14:textId="77777777" w:rsidR="009102A7" w:rsidRPr="00576AF8" w:rsidRDefault="009102A7" w:rsidP="009102A7">
      <w:pPr>
        <w:suppressAutoHyphens w:val="0"/>
        <w:spacing w:after="0"/>
        <w:ind w:left="2486"/>
        <w:contextualSpacing/>
        <w:rPr>
          <w:color w:val="000000"/>
          <w:sz w:val="22"/>
          <w:szCs w:val="22"/>
          <w:lang w:val="es-EC" w:eastAsia="es-EC" w:bidi="ar-SA"/>
        </w:rPr>
      </w:pPr>
    </w:p>
    <w:p w14:paraId="64B26DD3" w14:textId="77777777" w:rsidR="009102A7" w:rsidRPr="00576AF8" w:rsidRDefault="009102A7" w:rsidP="009102A7">
      <w:pPr>
        <w:suppressAutoHyphens w:val="0"/>
        <w:spacing w:after="0"/>
        <w:ind w:left="2486"/>
        <w:contextualSpacing/>
        <w:rPr>
          <w:color w:val="000000"/>
          <w:sz w:val="22"/>
          <w:szCs w:val="22"/>
          <w:lang w:val="es-EC" w:eastAsia="es-EC" w:bidi="ar-SA"/>
        </w:rPr>
      </w:pPr>
      <w:r w:rsidRPr="00576AF8">
        <w:rPr>
          <w:color w:val="000000"/>
          <w:sz w:val="22"/>
          <w:szCs w:val="22"/>
          <w:lang w:val="es-EC" w:eastAsia="es-EC" w:bidi="ar-SA"/>
        </w:rPr>
        <w:t>Todos los cambios de estado deben procesarse inmediatamente, pero cada punto adquirido debe procesarse antes de almacenarse. Los puntos se transmiten al Centro de Control y, por lo tanto, serán procesados por las siguientes funciones:</w:t>
      </w:r>
    </w:p>
    <w:p w14:paraId="2C2C1311" w14:textId="77777777" w:rsidR="009102A7" w:rsidRPr="00576AF8" w:rsidRDefault="009102A7" w:rsidP="009102A7">
      <w:pPr>
        <w:suppressAutoHyphens w:val="0"/>
        <w:spacing w:after="0"/>
        <w:ind w:left="3192"/>
        <w:contextualSpacing/>
        <w:rPr>
          <w:color w:val="000000"/>
          <w:sz w:val="22"/>
          <w:szCs w:val="22"/>
          <w:lang w:val="es-EC" w:eastAsia="es-EC" w:bidi="ar-SA"/>
        </w:rPr>
      </w:pPr>
    </w:p>
    <w:p w14:paraId="31E43DBB" w14:textId="77777777" w:rsidR="009102A7" w:rsidRPr="00576AF8" w:rsidRDefault="009102A7" w:rsidP="009102A7">
      <w:pPr>
        <w:numPr>
          <w:ilvl w:val="0"/>
          <w:numId w:val="278"/>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Fuera de barrido:</w:t>
      </w:r>
      <w:r w:rsidRPr="00576AF8">
        <w:rPr>
          <w:color w:val="000000"/>
          <w:sz w:val="22"/>
          <w:szCs w:val="22"/>
          <w:lang w:val="es-EC" w:eastAsia="es-EC" w:bidi="ar-SA"/>
        </w:rPr>
        <w:t xml:space="preserve"> a petición del Operador, las señales pueden colocarse fuera del barrido para que no se adquieran del campo o, si se adquieren, serán descartadas por las funciones del subsistema SCADA y no almacenadas; simultáneamente con la solicitud fuera de barrido, el sistema activa una bandera y asocia el código de calidad para permitir que la IHM notifique este estado en los despliegues en las que se muestran las señales.</w:t>
      </w:r>
    </w:p>
    <w:p w14:paraId="1C20FE83" w14:textId="77777777" w:rsidR="009102A7" w:rsidRPr="00576AF8" w:rsidRDefault="009102A7" w:rsidP="009102A7">
      <w:pPr>
        <w:numPr>
          <w:ilvl w:val="0"/>
          <w:numId w:val="278"/>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Entrada manual:</w:t>
      </w:r>
      <w:r w:rsidRPr="00576AF8">
        <w:rPr>
          <w:color w:val="000000"/>
          <w:sz w:val="22"/>
          <w:szCs w:val="22"/>
          <w:lang w:val="es-EC" w:eastAsia="es-EC" w:bidi="ar-SA"/>
        </w:rPr>
        <w:t xml:space="preserve"> el sistema permitirá al Operador ingresar valores a señales definidas en la base de datos como manuales (no telemedidos) como, por ejemplo, seccionador o interruptores de subtransmisión o distribución no telemedidos, o aquellas que no están disponibles temporalmente ya que los puntos relevantes han sido declarados fuera de barrido. Los puntos de entrada de datos están etiquetados con un control de calidad particular que la IHM informará sobre las diferentes pantallas donde se muestran. Al retirar una anulación, el punto digital se marcará como sospechoso hasta que el valor se haya actualizado del proceso de adquisición o se haya recalculado. Mediante un interrogatorio general o "único", al retirar una anulación, el sistema SCADA solicitará inmediatamente el estado actual del punto a la estación remota.</w:t>
      </w:r>
    </w:p>
    <w:p w14:paraId="38D09752" w14:textId="77777777" w:rsidR="009102A7" w:rsidRPr="00576AF8" w:rsidRDefault="009102A7" w:rsidP="009102A7">
      <w:pPr>
        <w:numPr>
          <w:ilvl w:val="0"/>
          <w:numId w:val="278"/>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Manejo de la estampa de tiempo:</w:t>
      </w:r>
      <w:r w:rsidRPr="00576AF8">
        <w:rPr>
          <w:color w:val="000000"/>
          <w:sz w:val="22"/>
          <w:szCs w:val="22"/>
          <w:lang w:val="es-EC" w:eastAsia="es-EC" w:bidi="ar-SA"/>
        </w:rPr>
        <w:t xml:space="preserve"> el sistema guardará la información de tiempo proveniente de las RTU de campo para mostrar el instante real de transición de estado. Cualquier transición rápida (recierres automáticos, etc.) puede producir múltiples variaciones del mismo punto. Estos cambios se almacenarán en la lista de eventos con las etiquetas de tiempo procedentes del campo. El instante de la última transición de estado se guardará en la base de datos. Si las RTU no envían la etiqueta de tiempo, el sistema insertará su estampa de tiempo cuando se adquiera el punto. Esta condición será resaltada al Operador mediante el uso de una bandera o código de calidad apropiado.</w:t>
      </w:r>
    </w:p>
    <w:p w14:paraId="3549F351" w14:textId="77777777" w:rsidR="009102A7" w:rsidRPr="00576AF8" w:rsidRDefault="009102A7" w:rsidP="009102A7">
      <w:pPr>
        <w:spacing w:after="0"/>
        <w:rPr>
          <w:sz w:val="22"/>
          <w:szCs w:val="22"/>
          <w:lang w:val="es-EC" w:eastAsia="es-EC" w:bidi="ar-SA"/>
        </w:rPr>
      </w:pPr>
    </w:p>
    <w:p w14:paraId="71082BB0" w14:textId="77777777" w:rsidR="009102A7" w:rsidRPr="00576AF8" w:rsidRDefault="009102A7" w:rsidP="009102A7">
      <w:pPr>
        <w:ind w:left="720" w:firstLine="696"/>
        <w:jc w:val="left"/>
        <w:outlineLvl w:val="2"/>
        <w:rPr>
          <w:rFonts w:eastAsia="Arial"/>
          <w:bCs/>
          <w:sz w:val="22"/>
          <w:szCs w:val="22"/>
        </w:rPr>
      </w:pPr>
      <w:bookmarkStart w:id="729" w:name="_Toc160268906"/>
      <w:r w:rsidRPr="00576AF8">
        <w:rPr>
          <w:b/>
          <w:sz w:val="22"/>
          <w:szCs w:val="22"/>
        </w:rPr>
        <w:t xml:space="preserve">2.1.1.1.1.4.4 </w:t>
      </w:r>
      <w:r w:rsidRPr="00576AF8">
        <w:rPr>
          <w:rFonts w:eastAsia="Arial"/>
          <w:b/>
          <w:bCs/>
          <w:sz w:val="22"/>
          <w:szCs w:val="22"/>
        </w:rPr>
        <w:t>Acumuladores de Energía</w:t>
      </w:r>
      <w:bookmarkEnd w:id="729"/>
    </w:p>
    <w:p w14:paraId="6180E0CB" w14:textId="77777777" w:rsidR="009102A7" w:rsidRPr="00576AF8" w:rsidRDefault="009102A7" w:rsidP="009102A7">
      <w:pPr>
        <w:numPr>
          <w:ilvl w:val="0"/>
          <w:numId w:val="2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datos de medición de energía recopilados deben almacenarse dentro del sistema SCADA. La recolección se realizará al menos en un intervalo de 15, 30 y 60 minutos mediante solicitud periódica de la estación maestra o cuando la RTU envíe </w:t>
      </w:r>
      <w:r w:rsidRPr="00576AF8">
        <w:rPr>
          <w:color w:val="000000"/>
          <w:sz w:val="22"/>
          <w:szCs w:val="22"/>
          <w:lang w:val="es-EC" w:eastAsia="es-EC" w:bidi="ar-SA"/>
        </w:rPr>
        <w:lastRenderedPageBreak/>
        <w:t>la señal EOP (End of Period Cycle). El sistema almacenará diariamente, mensualmente y anualmente los datos de energía activa y reactiva para cualquier nivel de jerarquía del sistema eléctrico: total del sistema, región, área, subestación, planta, línea, generador. </w:t>
      </w:r>
    </w:p>
    <w:p w14:paraId="283CAE47" w14:textId="77777777" w:rsidR="009102A7" w:rsidRPr="00576AF8" w:rsidRDefault="009102A7" w:rsidP="009102A7">
      <w:pPr>
        <w:suppressAutoHyphens w:val="0"/>
        <w:spacing w:after="0"/>
        <w:ind w:left="2484"/>
        <w:contextualSpacing/>
        <w:rPr>
          <w:color w:val="000000"/>
          <w:sz w:val="22"/>
          <w:szCs w:val="22"/>
          <w:lang w:val="es-EC" w:eastAsia="es-EC" w:bidi="ar-SA"/>
        </w:rPr>
      </w:pPr>
    </w:p>
    <w:p w14:paraId="3AF6AE2A" w14:textId="77777777" w:rsidR="009102A7" w:rsidRPr="00576AF8" w:rsidRDefault="009102A7" w:rsidP="009102A7">
      <w:pPr>
        <w:numPr>
          <w:ilvl w:val="0"/>
          <w:numId w:val="2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 igual que los valores medidos los valores recolectados de energía serán sometidos a las mismas funciones del SCADA en cuanto a conversión de valores, verificación de consistencia, verificación de límites, fuera de barrido y escalamiento.</w:t>
      </w:r>
    </w:p>
    <w:p w14:paraId="248448F7" w14:textId="77777777" w:rsidR="009102A7" w:rsidRPr="00576AF8" w:rsidRDefault="009102A7" w:rsidP="009102A7">
      <w:pPr>
        <w:ind w:left="720"/>
        <w:contextualSpacing/>
        <w:rPr>
          <w:color w:val="000000"/>
          <w:sz w:val="22"/>
          <w:szCs w:val="22"/>
          <w:lang w:val="es-EC" w:eastAsia="es-EC" w:bidi="ar-SA"/>
        </w:rPr>
      </w:pPr>
    </w:p>
    <w:p w14:paraId="01EFFF0E" w14:textId="77777777" w:rsidR="009102A7" w:rsidRPr="00576AF8" w:rsidRDefault="009102A7" w:rsidP="009102A7">
      <w:pPr>
        <w:numPr>
          <w:ilvl w:val="0"/>
          <w:numId w:val="2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energía también se calculará como la integración de la potencia activa o reactiva para obtener la energía exportada, importada o neta. Este cálculo se puede utilizar para compararse con la energía medida recogida de los equipos remotos con la capacidad de generar una alarma al superar un umbral de diferencia máxima entre la energía recogida y la calculada.</w:t>
      </w:r>
    </w:p>
    <w:p w14:paraId="6F186EF6" w14:textId="77777777" w:rsidR="009102A7" w:rsidRPr="00576AF8" w:rsidRDefault="009102A7" w:rsidP="009102A7">
      <w:pPr>
        <w:suppressAutoHyphens w:val="0"/>
        <w:spacing w:after="0"/>
        <w:ind w:left="2124"/>
        <w:contextualSpacing/>
        <w:rPr>
          <w:color w:val="000000"/>
          <w:sz w:val="22"/>
          <w:szCs w:val="22"/>
          <w:lang w:val="es-EC" w:eastAsia="es-EC" w:bidi="ar-SA"/>
        </w:rPr>
      </w:pPr>
    </w:p>
    <w:p w14:paraId="1765BA06" w14:textId="77777777" w:rsidR="009102A7" w:rsidRPr="00576AF8" w:rsidRDefault="009102A7" w:rsidP="009102A7">
      <w:pPr>
        <w:ind w:left="720" w:firstLine="696"/>
        <w:jc w:val="left"/>
        <w:outlineLvl w:val="2"/>
        <w:rPr>
          <w:rFonts w:eastAsia="Arial"/>
          <w:bCs/>
          <w:sz w:val="22"/>
          <w:szCs w:val="22"/>
        </w:rPr>
      </w:pPr>
      <w:r w:rsidRPr="00576AF8">
        <w:rPr>
          <w:b/>
          <w:sz w:val="22"/>
          <w:szCs w:val="22"/>
        </w:rPr>
        <w:t xml:space="preserve">2.1.1.1.1.4.5 </w:t>
      </w:r>
      <w:r w:rsidRPr="00576AF8">
        <w:rPr>
          <w:rFonts w:eastAsia="Arial"/>
          <w:b/>
          <w:bCs/>
          <w:sz w:val="22"/>
          <w:szCs w:val="22"/>
        </w:rPr>
        <w:t>Datos Derivados (Calculados)</w:t>
      </w:r>
    </w:p>
    <w:p w14:paraId="349E3CE4" w14:textId="77777777" w:rsidR="009102A7" w:rsidRPr="00576AF8" w:rsidRDefault="009102A7" w:rsidP="009102A7">
      <w:pPr>
        <w:numPr>
          <w:ilvl w:val="0"/>
          <w:numId w:val="1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derivar valores calculados a partir del valor bruto u otros elementos calculados (incluidos otros valores medidos derivados y digitales desde cualquier parte del sistema). Además, para cada uno de estos datos derivados será posible manejar la calidad resultante y guardar la estampa de tiempo, que representa el instante en que se realizó el cálculo. Los datos calculados pueden ser el resultado de cualquier aplicación del SCADA/EMS (AGC, SE, etc.) y de una función de cálculo en tiempo real dedicada.</w:t>
      </w:r>
    </w:p>
    <w:p w14:paraId="3592BFF6" w14:textId="77777777" w:rsidR="009102A7" w:rsidRPr="00576AF8" w:rsidRDefault="009102A7" w:rsidP="009102A7">
      <w:pPr>
        <w:numPr>
          <w:ilvl w:val="0"/>
          <w:numId w:val="18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mayores detalles refiérase a lo indicado en cálculos Avanzados en Tiempo Real.</w:t>
      </w:r>
    </w:p>
    <w:p w14:paraId="59DAFEA2" w14:textId="77777777" w:rsidR="009102A7" w:rsidRPr="00576AF8" w:rsidRDefault="009102A7" w:rsidP="009102A7">
      <w:pPr>
        <w:suppressAutoHyphens w:val="0"/>
        <w:spacing w:after="0"/>
        <w:ind w:left="2484"/>
        <w:contextualSpacing/>
        <w:rPr>
          <w:color w:val="000000"/>
          <w:sz w:val="22"/>
          <w:szCs w:val="22"/>
          <w:lang w:val="es-EC" w:eastAsia="es-EC" w:bidi="ar-SA"/>
        </w:rPr>
      </w:pPr>
    </w:p>
    <w:p w14:paraId="41676485" w14:textId="77777777" w:rsidR="009102A7" w:rsidRPr="00576AF8" w:rsidRDefault="009102A7" w:rsidP="009102A7">
      <w:pPr>
        <w:ind w:left="720" w:firstLine="696"/>
        <w:jc w:val="left"/>
        <w:outlineLvl w:val="2"/>
        <w:rPr>
          <w:sz w:val="22"/>
          <w:szCs w:val="22"/>
        </w:rPr>
      </w:pPr>
      <w:r w:rsidRPr="00576AF8">
        <w:rPr>
          <w:b/>
          <w:sz w:val="22"/>
          <w:szCs w:val="22"/>
        </w:rPr>
        <w:t>2.1.1.1.1.4.6 Calidad de los Datos</w:t>
      </w:r>
    </w:p>
    <w:p w14:paraId="368809B9" w14:textId="77777777" w:rsidR="009102A7" w:rsidRPr="00576AF8" w:rsidRDefault="009102A7" w:rsidP="009102A7">
      <w:pPr>
        <w:numPr>
          <w:ilvl w:val="0"/>
          <w:numId w:val="1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Tanto las mediciones como las indicaciones de estado y acumuladores de energía deben ir siempre acompañadas de un código de calidad normalmente procesado automáticamente por el proceso de adquisición de datos que incluye tanto la RTU como la red de comunicación y la función del sistema SCADA que analiza la validez de los datos recibidos del campo. </w:t>
      </w:r>
    </w:p>
    <w:p w14:paraId="1BE9DC05" w14:textId="77777777" w:rsidR="009102A7" w:rsidRPr="00576AF8" w:rsidRDefault="009102A7" w:rsidP="009102A7">
      <w:pPr>
        <w:numPr>
          <w:ilvl w:val="0"/>
          <w:numId w:val="1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 adquisición de datos garantizará la gestión automática de los códigos de calidad a asociar a los valores adquiridos en caso de que no sean plenamente válidos o actualizados por diversos motivos. Esto se aplica a los datos afectados por anomalías o interrupciones en el procedimiento de adquisición de datos. Estos problemas pueden originarse por un mal funcionamiento de la RTU, por interrupciones de las conexiones de la red de comunicación, por la falta de respuesta a un mensaje de interrogación cíclico, por la falta de actualización, etc.</w:t>
      </w:r>
    </w:p>
    <w:p w14:paraId="75AA6F2D" w14:textId="77777777" w:rsidR="009102A7" w:rsidRPr="00576AF8" w:rsidRDefault="009102A7" w:rsidP="009102A7">
      <w:pPr>
        <w:numPr>
          <w:ilvl w:val="0"/>
          <w:numId w:val="1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Todos los tipos de datos deben ir acompañados de atributos de calidad que certifiquen su estado en términos de fiabilidad.</w:t>
      </w:r>
    </w:p>
    <w:p w14:paraId="2677F681" w14:textId="77777777" w:rsidR="009102A7" w:rsidRPr="00576AF8" w:rsidRDefault="009102A7" w:rsidP="009102A7">
      <w:pPr>
        <w:numPr>
          <w:ilvl w:val="0"/>
          <w:numId w:val="18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Estos atributos se propagarán con el estado o valor de cada elemento de datos. En lo que respecta a los datos derivados, es necesario definir las políticas de propagación de los atributos (incluidos los valores de calidad).</w:t>
      </w:r>
    </w:p>
    <w:p w14:paraId="63386EBB" w14:textId="77777777" w:rsidR="009102A7" w:rsidRPr="00576AF8" w:rsidRDefault="009102A7" w:rsidP="009102A7">
      <w:pPr>
        <w:suppressAutoHyphens w:val="0"/>
        <w:spacing w:after="0"/>
        <w:ind w:left="2124"/>
        <w:rPr>
          <w:color w:val="000000"/>
          <w:sz w:val="22"/>
          <w:szCs w:val="22"/>
          <w:lang w:val="es-EC" w:eastAsia="es-EC" w:bidi="ar-SA"/>
        </w:rPr>
      </w:pPr>
    </w:p>
    <w:p w14:paraId="06FCDACC" w14:textId="77777777" w:rsidR="009102A7" w:rsidRPr="00576AF8" w:rsidRDefault="009102A7" w:rsidP="009102A7">
      <w:pPr>
        <w:suppressAutoHyphens w:val="0"/>
        <w:spacing w:after="0"/>
        <w:ind w:left="2124"/>
        <w:rPr>
          <w:color w:val="000000"/>
          <w:sz w:val="22"/>
          <w:szCs w:val="22"/>
          <w:lang w:val="es-EC" w:eastAsia="es-EC" w:bidi="ar-SA"/>
        </w:rPr>
      </w:pPr>
      <w:r w:rsidRPr="00576AF8">
        <w:rPr>
          <w:color w:val="000000"/>
          <w:sz w:val="22"/>
          <w:szCs w:val="22"/>
          <w:lang w:val="es-EC" w:eastAsia="es-EC" w:bidi="ar-SA"/>
        </w:rPr>
        <w:t>Los atributos de calidad necesarios como mínimo se indican en los siguientes literales:</w:t>
      </w:r>
    </w:p>
    <w:p w14:paraId="2D6275F0"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 xml:space="preserve">Normal: </w:t>
      </w:r>
      <w:r w:rsidRPr="00576AF8">
        <w:rPr>
          <w:color w:val="000000"/>
          <w:sz w:val="22"/>
          <w:szCs w:val="22"/>
          <w:lang w:val="es-EC" w:eastAsia="es-EC" w:bidi="ar-SA"/>
        </w:rPr>
        <w:t>Un elemento de datos normal se define como uno que está activo, actualizado y sin inhibir. La ausencia de cualquier otro atributo de calidad puede utilizarse para indicar este estado.</w:t>
      </w:r>
    </w:p>
    <w:p w14:paraId="35534A03"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lastRenderedPageBreak/>
        <w:t>Inválido:</w:t>
      </w:r>
      <w:r w:rsidRPr="00576AF8">
        <w:rPr>
          <w:color w:val="000000"/>
          <w:sz w:val="22"/>
          <w:szCs w:val="22"/>
          <w:lang w:val="es-EC" w:eastAsia="es-EC" w:bidi="ar-SA"/>
        </w:rPr>
        <w:t xml:space="preserve"> Cuando la fuente remota no está en línea o el punto específico se informa como no válido o con error de telemetría.</w:t>
      </w:r>
    </w:p>
    <w:p w14:paraId="574B160D"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Alarma:</w:t>
      </w:r>
      <w:r w:rsidRPr="00576AF8">
        <w:rPr>
          <w:color w:val="000000"/>
          <w:sz w:val="22"/>
          <w:szCs w:val="22"/>
          <w:lang w:val="es-EC" w:eastAsia="es-EC" w:bidi="ar-SA"/>
        </w:rPr>
        <w:t xml:space="preserve"> Esta calidad será establecida por el SCADA cuando no está en su valor de estado normal (para indicaciones) o está violando un límite (medición).</w:t>
      </w:r>
    </w:p>
    <w:p w14:paraId="7699DD11"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Alarma no reconocida:</w:t>
      </w:r>
      <w:r w:rsidRPr="00576AF8">
        <w:rPr>
          <w:color w:val="000000"/>
          <w:sz w:val="22"/>
          <w:szCs w:val="22"/>
          <w:lang w:val="es-EC" w:eastAsia="es-EC" w:bidi="ar-SA"/>
        </w:rPr>
        <w:t xml:space="preserve"> Esta calidad será establecida para puntos seleccionados que requieren el reconocimiento del operador.</w:t>
      </w:r>
    </w:p>
    <w:p w14:paraId="07C2C80B"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Sospechoso (congelado u obsoleto):</w:t>
      </w:r>
      <w:r w:rsidRPr="00576AF8">
        <w:rPr>
          <w:color w:val="000000"/>
          <w:sz w:val="22"/>
          <w:szCs w:val="22"/>
          <w:lang w:val="es-EC" w:eastAsia="es-EC" w:bidi="ar-SA"/>
        </w:rPr>
        <w:t xml:space="preserve"> Los datos se marcarán como sospechosos si el elemento está activo pero la actualización de su valor o estado se suspende por cualquier motivo que no sea una anulación aplicada. Un elemento permanecerá sospechoso hasta que se reciba una actualización válida.</w:t>
      </w:r>
    </w:p>
    <w:p w14:paraId="56811301"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Anulado o reemplazado:</w:t>
      </w:r>
      <w:r w:rsidRPr="00576AF8">
        <w:rPr>
          <w:color w:val="000000"/>
          <w:sz w:val="22"/>
          <w:szCs w:val="22"/>
          <w:lang w:val="es-EC" w:eastAsia="es-EC" w:bidi="ar-SA"/>
        </w:rPr>
        <w:t xml:space="preserve"> El atributo anulado se aplicará cuando el valor de un elemento de datos haya sido reemplazado manualmente. La función de anulación será independiente de la instalación para cambiar los elementos de datos modificados manualmente (no telemétricos y no derivados).</w:t>
      </w:r>
    </w:p>
    <w:p w14:paraId="30C2F25E"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Etiquetado:</w:t>
      </w:r>
      <w:r w:rsidRPr="00576AF8">
        <w:rPr>
          <w:color w:val="000000"/>
          <w:sz w:val="22"/>
          <w:szCs w:val="22"/>
          <w:lang w:val="es-EC" w:eastAsia="es-EC" w:bidi="ar-SA"/>
        </w:rPr>
        <w:t xml:space="preserve"> El atributo etiquetado se aplicará cuando el operador aplica una condición de operación del equipo subyacente para indicar la realización de trabajos u otras condiciones operativas que ameriten el bloqueo de controles o simplemente informar al resto de los operadores sobre las mismas.</w:t>
      </w:r>
    </w:p>
    <w:p w14:paraId="41D8D44B"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Anulado o reemplazado remotamente:</w:t>
      </w:r>
      <w:r w:rsidRPr="00576AF8">
        <w:rPr>
          <w:color w:val="000000"/>
          <w:sz w:val="22"/>
          <w:szCs w:val="22"/>
          <w:lang w:val="es-EC" w:eastAsia="es-EC" w:bidi="ar-SA"/>
        </w:rPr>
        <w:t xml:space="preserve"> El atributo anulado remotamente se aplicará cuando el valor de un elemento de datos haya sido reemplazado manualmente desde la instalación remota. Esto solo se aplica a los protocolos que admiten este problema.</w:t>
      </w:r>
    </w:p>
    <w:p w14:paraId="36551A69"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Valor fuera de rango:</w:t>
      </w:r>
      <w:r w:rsidRPr="00576AF8">
        <w:rPr>
          <w:color w:val="000000"/>
          <w:sz w:val="22"/>
          <w:szCs w:val="22"/>
          <w:lang w:val="es-EC" w:eastAsia="es-EC" w:bidi="ar-SA"/>
        </w:rPr>
        <w:t xml:space="preserve"> El atributo valor fuera de rango marcará un valor medido como superior al rango de medición del dispositivo de medición.</w:t>
      </w:r>
    </w:p>
    <w:p w14:paraId="79E30DD3"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Error grueso:</w:t>
      </w:r>
      <w:r w:rsidRPr="00576AF8">
        <w:rPr>
          <w:color w:val="000000"/>
          <w:sz w:val="22"/>
          <w:szCs w:val="22"/>
          <w:lang w:val="es-EC" w:eastAsia="es-EC" w:bidi="ar-SA"/>
        </w:rPr>
        <w:t xml:space="preserve"> Se aplica sólo a los valores medidos cuando el Estimador de Estado rechaza este valor.</w:t>
      </w:r>
    </w:p>
    <w:p w14:paraId="16965622"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Límite anulado o reemplazado:</w:t>
      </w:r>
      <w:r w:rsidRPr="00576AF8">
        <w:rPr>
          <w:color w:val="000000"/>
          <w:sz w:val="22"/>
          <w:szCs w:val="22"/>
          <w:lang w:val="es-EC" w:eastAsia="es-EC" w:bidi="ar-SA"/>
        </w:rPr>
        <w:t xml:space="preserve"> Se establece cuando se reemplaza cualquiera de los límites habilitados con un valor diferente al valor predeterminado.</w:t>
      </w:r>
    </w:p>
    <w:p w14:paraId="20732135"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Evento Inhibido:</w:t>
      </w:r>
      <w:r w:rsidRPr="00576AF8">
        <w:rPr>
          <w:color w:val="000000"/>
          <w:sz w:val="22"/>
          <w:szCs w:val="22"/>
          <w:lang w:val="es-EC" w:eastAsia="es-EC" w:bidi="ar-SA"/>
        </w:rPr>
        <w:t xml:space="preserve"> El atributo de inhibición de eventos se aplica cuando el elemento de datos está activo y actualizado, pero no se debe anunciar ni registrar ningún evento o alarma, incluso si se viola un límite o se detecta un cambio de estado. El sistema debe proporcionar facilidades para que el usuario, con la autoridad funcional adecuada, pueda establecer o borrar el atributo de inhibición de eventos en línea.</w:t>
      </w:r>
    </w:p>
    <w:p w14:paraId="7BCDB356"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Bloqueado:</w:t>
      </w:r>
      <w:r w:rsidRPr="00576AF8">
        <w:rPr>
          <w:color w:val="000000"/>
          <w:sz w:val="22"/>
          <w:szCs w:val="22"/>
          <w:lang w:val="es-EC" w:eastAsia="es-EC" w:bidi="ar-SA"/>
        </w:rPr>
        <w:t xml:space="preserve"> Aplica cuando el control del elemento se encuentra bloqueado. El sistema debe proporcionar facilidades para que el usuario, con la autoridad funcional adecuada, pueda establecer o borrar el atributo de bloqueo en línea.</w:t>
      </w:r>
    </w:p>
    <w:p w14:paraId="1D65D637"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Fuera de barrido:</w:t>
      </w:r>
      <w:r w:rsidRPr="00576AF8">
        <w:rPr>
          <w:color w:val="000000"/>
          <w:sz w:val="22"/>
          <w:szCs w:val="22"/>
          <w:lang w:val="es-EC" w:eastAsia="es-EC" w:bidi="ar-SA"/>
        </w:rPr>
        <w:t xml:space="preserve"> El punto está fuera de línea y no actualizará la base de datos en tiempo real con los valores recibidos.</w:t>
      </w:r>
    </w:p>
    <w:p w14:paraId="66D7CC14" w14:textId="77777777" w:rsidR="009102A7" w:rsidRPr="00576AF8" w:rsidRDefault="009102A7" w:rsidP="009102A7">
      <w:pPr>
        <w:numPr>
          <w:ilvl w:val="0"/>
          <w:numId w:val="282"/>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Propagación de atributos de calidad:</w:t>
      </w:r>
      <w:r w:rsidRPr="00576AF8">
        <w:rPr>
          <w:color w:val="000000"/>
          <w:sz w:val="22"/>
          <w:szCs w:val="22"/>
          <w:lang w:val="es-EC" w:eastAsia="es-EC" w:bidi="ar-SA"/>
        </w:rPr>
        <w:t xml:space="preserve"> Un elemento derivado tendrá sus atributos sospechosos, reemplazado o fuera de rango establecidos si alguno de sus elementos constituyentes tiene los atributos correspondientes establecidos.</w:t>
      </w:r>
    </w:p>
    <w:p w14:paraId="7FBCFBC5" w14:textId="77777777" w:rsidR="009102A7" w:rsidRPr="00576AF8" w:rsidRDefault="009102A7" w:rsidP="009102A7">
      <w:pPr>
        <w:suppressAutoHyphens w:val="0"/>
        <w:spacing w:after="0"/>
        <w:ind w:left="2484"/>
        <w:contextualSpacing/>
        <w:rPr>
          <w:color w:val="000000"/>
          <w:sz w:val="22"/>
          <w:szCs w:val="22"/>
          <w:lang w:val="es-EC" w:eastAsia="es-EC" w:bidi="ar-SA"/>
        </w:rPr>
      </w:pPr>
    </w:p>
    <w:p w14:paraId="1013B2F9" w14:textId="77777777" w:rsidR="009102A7" w:rsidRPr="00576AF8" w:rsidRDefault="009102A7" w:rsidP="009102A7">
      <w:pPr>
        <w:ind w:left="720" w:firstLine="696"/>
        <w:jc w:val="left"/>
        <w:outlineLvl w:val="2"/>
        <w:rPr>
          <w:sz w:val="22"/>
          <w:szCs w:val="22"/>
        </w:rPr>
      </w:pPr>
      <w:bookmarkStart w:id="730" w:name="_Toc160268907"/>
      <w:r w:rsidRPr="00576AF8">
        <w:rPr>
          <w:b/>
          <w:sz w:val="22"/>
          <w:szCs w:val="22"/>
        </w:rPr>
        <w:t>2.1.1.1.1.4.7 Estampa de Tiempo</w:t>
      </w:r>
      <w:bookmarkEnd w:id="730"/>
    </w:p>
    <w:p w14:paraId="5EC5BE6A" w14:textId="77777777" w:rsidR="009102A7" w:rsidRPr="00576AF8" w:rsidRDefault="009102A7" w:rsidP="009102A7">
      <w:pPr>
        <w:suppressAutoHyphens w:val="0"/>
        <w:spacing w:after="0"/>
        <w:ind w:left="2124"/>
        <w:rPr>
          <w:color w:val="000000"/>
          <w:sz w:val="22"/>
          <w:szCs w:val="22"/>
          <w:lang w:val="es-EC" w:eastAsia="es-EC" w:bidi="ar-SA"/>
        </w:rPr>
      </w:pPr>
      <w:r w:rsidRPr="00576AF8">
        <w:rPr>
          <w:color w:val="000000"/>
          <w:sz w:val="22"/>
          <w:szCs w:val="22"/>
          <w:lang w:val="es-EC" w:eastAsia="es-EC" w:bidi="ar-SA"/>
        </w:rPr>
        <w:t xml:space="preserve">Tanto para las mediciones como para las indicaciones de estado </w:t>
      </w:r>
      <w:r w:rsidR="00FB4EC6" w:rsidRPr="00576AF8">
        <w:rPr>
          <w:color w:val="000000"/>
          <w:sz w:val="22"/>
          <w:szCs w:val="22"/>
          <w:lang w:val="es-EC" w:eastAsia="es-EC" w:bidi="ar-SA"/>
        </w:rPr>
        <w:t xml:space="preserve">deberá </w:t>
      </w:r>
      <w:r w:rsidRPr="00576AF8">
        <w:rPr>
          <w:color w:val="000000"/>
          <w:sz w:val="22"/>
          <w:szCs w:val="22"/>
          <w:lang w:val="es-EC" w:eastAsia="es-EC" w:bidi="ar-SA"/>
        </w:rPr>
        <w:t>guardar la estampa de tiempo de llegada al sistema y, cuando esté disponible, la estampa de tiempo originada en el campo.</w:t>
      </w:r>
    </w:p>
    <w:p w14:paraId="6326DF0B" w14:textId="77777777" w:rsidR="009102A7" w:rsidRPr="00576AF8" w:rsidRDefault="009102A7" w:rsidP="009102A7">
      <w:pPr>
        <w:suppressAutoHyphens w:val="0"/>
        <w:spacing w:after="0"/>
        <w:ind w:left="2124"/>
        <w:rPr>
          <w:color w:val="000000"/>
          <w:sz w:val="22"/>
          <w:szCs w:val="22"/>
          <w:lang w:val="es-EC" w:eastAsia="es-EC" w:bidi="ar-SA"/>
        </w:rPr>
      </w:pPr>
    </w:p>
    <w:p w14:paraId="65479078" w14:textId="77777777" w:rsidR="009102A7" w:rsidRPr="00576AF8" w:rsidRDefault="009102A7" w:rsidP="009102A7">
      <w:pPr>
        <w:ind w:left="720" w:firstLine="696"/>
        <w:jc w:val="left"/>
        <w:outlineLvl w:val="2"/>
        <w:rPr>
          <w:sz w:val="22"/>
          <w:szCs w:val="22"/>
        </w:rPr>
      </w:pPr>
      <w:bookmarkStart w:id="731" w:name="_Toc160268908"/>
      <w:bookmarkStart w:id="732" w:name="_Toc160455931"/>
      <w:r w:rsidRPr="00576AF8">
        <w:rPr>
          <w:b/>
          <w:sz w:val="22"/>
          <w:szCs w:val="22"/>
        </w:rPr>
        <w:t>2.1.1.1.1.5 Control Remoto</w:t>
      </w:r>
      <w:bookmarkEnd w:id="731"/>
      <w:bookmarkEnd w:id="732"/>
      <w:r w:rsidRPr="00576AF8">
        <w:rPr>
          <w:b/>
          <w:sz w:val="22"/>
          <w:szCs w:val="22"/>
        </w:rPr>
        <w:tab/>
      </w:r>
    </w:p>
    <w:p w14:paraId="057E45E1" w14:textId="77777777" w:rsidR="009102A7" w:rsidRPr="00576AF8" w:rsidRDefault="009102A7" w:rsidP="009102A7">
      <w:pPr>
        <w:suppressAutoHyphens w:val="0"/>
        <w:spacing w:after="0"/>
        <w:ind w:left="2124"/>
        <w:contextualSpacing/>
        <w:rPr>
          <w:color w:val="000000"/>
          <w:sz w:val="22"/>
          <w:szCs w:val="22"/>
          <w:lang w:val="es-EC" w:eastAsia="es-EC" w:bidi="ar-SA"/>
        </w:rPr>
      </w:pPr>
      <w:r w:rsidRPr="00576AF8">
        <w:rPr>
          <w:color w:val="000000"/>
          <w:sz w:val="22"/>
          <w:szCs w:val="22"/>
          <w:lang w:val="es-EC" w:eastAsia="es-EC" w:bidi="ar-SA"/>
        </w:rPr>
        <w:t>Para realizar las funciones de control y regulación, el sistema debe poder transmitir los siguientes tipos de datos:</w:t>
      </w:r>
    </w:p>
    <w:p w14:paraId="584B8CFF" w14:textId="77777777" w:rsidR="009102A7" w:rsidRPr="00576AF8" w:rsidRDefault="009102A7" w:rsidP="009102A7">
      <w:pPr>
        <w:numPr>
          <w:ilvl w:val="0"/>
          <w:numId w:val="2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Controles remotos dobles.</w:t>
      </w:r>
    </w:p>
    <w:p w14:paraId="656CFEAE" w14:textId="77777777" w:rsidR="009102A7" w:rsidRPr="00576AF8" w:rsidRDefault="009102A7" w:rsidP="009102A7">
      <w:pPr>
        <w:numPr>
          <w:ilvl w:val="0"/>
          <w:numId w:val="2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Controles remotos simples.</w:t>
      </w:r>
    </w:p>
    <w:p w14:paraId="21735691" w14:textId="77777777" w:rsidR="009102A7" w:rsidRPr="00576AF8" w:rsidRDefault="009102A7" w:rsidP="009102A7">
      <w:pPr>
        <w:numPr>
          <w:ilvl w:val="0"/>
          <w:numId w:val="283"/>
        </w:numPr>
        <w:suppressAutoHyphens w:val="0"/>
        <w:spacing w:after="0"/>
        <w:contextualSpacing/>
        <w:rPr>
          <w:color w:val="000000"/>
          <w:sz w:val="22"/>
          <w:szCs w:val="22"/>
          <w:lang w:val="es-EC" w:eastAsia="es-EC" w:bidi="ar-SA"/>
        </w:rPr>
      </w:pPr>
      <w:bookmarkStart w:id="733" w:name="_Toc160268909"/>
      <w:r w:rsidRPr="00576AF8">
        <w:rPr>
          <w:color w:val="000000"/>
          <w:sz w:val="22"/>
          <w:szCs w:val="22"/>
          <w:lang w:val="es-EC" w:eastAsia="es-EC" w:bidi="ar-SA"/>
        </w:rPr>
        <w:t>Secuencias de comandos múltiples simples/dobles.</w:t>
      </w:r>
      <w:bookmarkEnd w:id="733"/>
    </w:p>
    <w:p w14:paraId="60CCCE18" w14:textId="77777777" w:rsidR="009102A7" w:rsidRPr="00576AF8" w:rsidRDefault="009102A7" w:rsidP="009102A7">
      <w:pPr>
        <w:numPr>
          <w:ilvl w:val="0"/>
          <w:numId w:val="2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Puntos de consigna analógicos.</w:t>
      </w:r>
    </w:p>
    <w:p w14:paraId="2C0B4B42" w14:textId="77777777" w:rsidR="009102A7" w:rsidRPr="00576AF8" w:rsidRDefault="009102A7" w:rsidP="009102A7">
      <w:pPr>
        <w:numPr>
          <w:ilvl w:val="0"/>
          <w:numId w:val="2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Puntos de consigna digitales</w:t>
      </w:r>
    </w:p>
    <w:p w14:paraId="4852E2F7" w14:textId="77777777" w:rsidR="009102A7" w:rsidRPr="00576AF8" w:rsidRDefault="009102A7" w:rsidP="009102A7">
      <w:pPr>
        <w:numPr>
          <w:ilvl w:val="0"/>
          <w:numId w:val="2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Mensajes para sincronización de tiempo.</w:t>
      </w:r>
    </w:p>
    <w:p w14:paraId="2ED9FC37" w14:textId="77777777" w:rsidR="009102A7" w:rsidRPr="00576AF8" w:rsidRDefault="009102A7" w:rsidP="009102A7">
      <w:pPr>
        <w:suppressAutoHyphens w:val="0"/>
        <w:spacing w:after="0"/>
        <w:ind w:left="3192"/>
        <w:contextualSpacing/>
        <w:rPr>
          <w:color w:val="000000"/>
          <w:sz w:val="22"/>
          <w:szCs w:val="22"/>
          <w:lang w:val="es-EC" w:eastAsia="es-EC" w:bidi="ar-SA"/>
        </w:rPr>
      </w:pPr>
    </w:p>
    <w:p w14:paraId="7BADA5B0" w14:textId="77777777" w:rsidR="009102A7" w:rsidRPr="00576AF8" w:rsidRDefault="009102A7" w:rsidP="009102A7">
      <w:pPr>
        <w:numPr>
          <w:ilvl w:val="0"/>
          <w:numId w:val="19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también estará equipado con una función de interbloqueo de los controles remotos, para evitar acciones simultáneas o acciones que no sean coherentes con la configuración real del sistema. Estos interbloqueos se pueden anular mediante un procedimiento específico, para poder enviar los comandos incluso después de anomalías en el flujo de adquisición de datos del campo.</w:t>
      </w:r>
    </w:p>
    <w:p w14:paraId="4FBA5DBA" w14:textId="77777777" w:rsidR="009102A7" w:rsidRPr="00576AF8" w:rsidRDefault="009102A7" w:rsidP="009102A7">
      <w:pPr>
        <w:numPr>
          <w:ilvl w:val="0"/>
          <w:numId w:val="19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mediante una función de interbloqueo evitar la ejecución de acciones de control remoto que no sean congruentes con la situación real del sistema o la solicitud de realizar acciones de control remoto en el mismo dispositivo solicitadas al mismo tiempo por diferentes operadores.</w:t>
      </w:r>
    </w:p>
    <w:p w14:paraId="3BAA8E19" w14:textId="77777777" w:rsidR="009102A7" w:rsidRPr="00576AF8" w:rsidRDefault="009102A7" w:rsidP="009102A7">
      <w:pPr>
        <w:numPr>
          <w:ilvl w:val="0"/>
          <w:numId w:val="19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interbloqueo puede implicar varios niveles operativos que se especificarán durante la configuración del sistema. Con esta función, el sistema garantizará que las acciones de control remoto para una determinada instalación solo se puedan realizar, eventualmente, desde una consola, aunque el acceso a la información relacionada con el sistema de control remoto seguirá estando disponible para todas las demás consolas equipadas con la autoridad correcta. </w:t>
      </w:r>
    </w:p>
    <w:p w14:paraId="191A33A5" w14:textId="77777777" w:rsidR="009102A7" w:rsidRPr="00576AF8" w:rsidRDefault="009102A7" w:rsidP="009102A7">
      <w:pPr>
        <w:numPr>
          <w:ilvl w:val="0"/>
          <w:numId w:val="19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No será posible abrir varios menús de comando al mismo tiempo dentro de la misma consola.</w:t>
      </w:r>
    </w:p>
    <w:p w14:paraId="1D3BFD43" w14:textId="77777777" w:rsidR="009102A7" w:rsidRPr="00576AF8" w:rsidRDefault="009102A7" w:rsidP="009102A7">
      <w:pPr>
        <w:suppressAutoHyphens w:val="0"/>
        <w:spacing w:after="0"/>
        <w:ind w:left="2055"/>
        <w:contextualSpacing/>
        <w:rPr>
          <w:color w:val="000000"/>
          <w:sz w:val="22"/>
          <w:szCs w:val="22"/>
          <w:lang w:val="es-EC" w:eastAsia="es-EC" w:bidi="ar-SA"/>
        </w:rPr>
      </w:pPr>
    </w:p>
    <w:p w14:paraId="216FAF49" w14:textId="77777777" w:rsidR="009102A7" w:rsidRPr="00576AF8" w:rsidRDefault="009102A7" w:rsidP="009102A7">
      <w:pPr>
        <w:ind w:left="720" w:firstLine="696"/>
        <w:jc w:val="left"/>
        <w:outlineLvl w:val="2"/>
        <w:rPr>
          <w:sz w:val="22"/>
          <w:szCs w:val="22"/>
        </w:rPr>
      </w:pPr>
      <w:bookmarkStart w:id="734" w:name="_Toc160268910"/>
      <w:bookmarkStart w:id="735" w:name="_Toc160455932"/>
      <w:r w:rsidRPr="00576AF8">
        <w:rPr>
          <w:b/>
          <w:sz w:val="22"/>
          <w:szCs w:val="22"/>
        </w:rPr>
        <w:t>2.1.1.1.1.6 Procesamiento de Alarmas y Eventos</w:t>
      </w:r>
      <w:bookmarkEnd w:id="734"/>
      <w:bookmarkEnd w:id="735"/>
    </w:p>
    <w:p w14:paraId="54A442FC"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La información adquirida por los sistemas a partir de las funciones de adquisición de datos se puede clasificar en dos grupos:</w:t>
      </w:r>
    </w:p>
    <w:p w14:paraId="3CAA919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estado cambia de una condición normal a otra condición normal, pero idéntica a la anterior (posición de los dispositivos operativos, actuadores, predisposición de la regulación, etc.). </w:t>
      </w:r>
    </w:p>
    <w:p w14:paraId="76A12C9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estado cambia de una condición normal de funcionamiento a un estado anormal que implica una modificación de la dinámica del sistema de producción y transmisión (intervención de las protecciones, flujos de energía que exceden los límites físicos de los elementos de red relacionados, etc.); estados anormales de los componentes del sistema de control SCADA (RTU, servidores, líneas de comunicación, estados de aplicación, etc.)</w:t>
      </w:r>
    </w:p>
    <w:p w14:paraId="2038A707"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El sistema generará un evento para cada una de las informaciones reportadas en los dos grupos anteriores.</w:t>
      </w:r>
    </w:p>
    <w:p w14:paraId="386C68EC"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Algunos de los eventos, considerados críticos para el funcionamiento de la red eléctrica, también generarán una alarma en el sistema.</w:t>
      </w:r>
    </w:p>
    <w:p w14:paraId="3201F41C"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Un evento se define como cualquier cambio de estado o transición de umbral e incluye lo siguiente:</w:t>
      </w:r>
    </w:p>
    <w:p w14:paraId="0FFEAFDD"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Reconocimiento de Alarma.</w:t>
      </w:r>
    </w:p>
    <w:p w14:paraId="38AD7505"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Cambio de estado de una entrada de señal binaria. </w:t>
      </w:r>
    </w:p>
    <w:p w14:paraId="716F2272"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Una acción de control de supervisión emitida desde la estación maestra. </w:t>
      </w:r>
    </w:p>
    <w:p w14:paraId="4F896341"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Condiciones derivadas de las combinaciones lógicas de señales. </w:t>
      </w:r>
    </w:p>
    <w:p w14:paraId="64B1878F"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Inició o cierre de sesión.</w:t>
      </w:r>
    </w:p>
    <w:p w14:paraId="09AA55B7"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Violaciones del límite de medición. </w:t>
      </w:r>
    </w:p>
    <w:p w14:paraId="66A6FC02"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Ingresos manuales. </w:t>
      </w:r>
    </w:p>
    <w:p w14:paraId="2F1ED136"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Configuración del sistema y acciones de modificación de datos. </w:t>
      </w:r>
    </w:p>
    <w:p w14:paraId="4C4CE174" w14:textId="77777777" w:rsidR="009102A7" w:rsidRPr="00576AF8" w:rsidRDefault="009102A7" w:rsidP="009102A7">
      <w:pPr>
        <w:numPr>
          <w:ilvl w:val="0"/>
          <w:numId w:val="16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Mensajes generados por el sistema, por ejemplo, mensajes de seguimiento de acciones de control, mensajes de falla.</w:t>
      </w:r>
    </w:p>
    <w:p w14:paraId="3C71FB01"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Una alarma se define como un evento anunciado, que requiere el reconocimiento de un operador. Los eventos reales que se definirán como alarmas serán configurables por el usuario. </w:t>
      </w:r>
    </w:p>
    <w:p w14:paraId="7BB7235C"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Tan pronto como se registra el evento, el sistema debe activar el procedimiento mediante el cual se notifica la condición de alarma al operador (alarma audible, visualización automática en la pantalla de la consola principal de la ventana de alarma). En esta ventana, se notificará la alarma con un mensaje claro en el que se activarán algunos elementos gráficos para llamar la atención del operador. El sistema debe admitir al menos cuatro alarmas sonoras.</w:t>
      </w:r>
    </w:p>
    <w:p w14:paraId="3BD483FF"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El sistema tendrá varias listas de alarmas, cada una asociada a un grupo homogéneo de operadores definidos, por ejemplo, a través de criterios geográficos (misma sala o mismo sitio) u operativos (control, gestión, ...) Las condiciones que describen la generación de una alarma a partir de un evento pueden ser diferentes dependiendo de la lista que se esté llenando. Esto le permite tener listas de alarmas con información diferente según las necesidades reales del operador. Como consecuencia directa, la manipulación de una lista no involucra a las demás, incluso si se refiere al mismo evento fuente, de modo que una alarma adquirida en una lista no se adquiere en las otras. </w:t>
      </w:r>
    </w:p>
    <w:p w14:paraId="62D8A5FA"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Los cambios en el estado de los interruptores automáticos y seccionadores deben considerarse como alarmas a menos que cambien de estado como resultado de un comando ejecutado a petición de un operador: la correlación cronológica entre las diversas señales debe garantizarse rigurosamente para poder reconstruir la secuencia de eventos. </w:t>
      </w:r>
    </w:p>
    <w:p w14:paraId="2C644795"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Si el estado de los dispositivos controlados no cambia después de un comando en un período configurable, debe generar una alarma fallida. La correlación entre los cambios de estado y los criterios de clasificación relacionados se definirá durante las actividades de generación y actualización de la base de datos. </w:t>
      </w:r>
    </w:p>
    <w:p w14:paraId="1E1AD7DA"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El Operador será capaz de desactivar o bloquear el procesamiento de alarmas asociado a un único punto (interruptor, seccionador, medición, etc.) o a un conjunto de puntos inter-correlacionados (misma subestación, misma RTU, etc.) mientras permanece escaneando la adquisición. Después de una operación de desactivación, las señales futuras de perturbación, anomalía y cambios de estado se considerarán sólo como eventos simples. El procedimiento de rehabilitación debe llevarse a cabo sólo a petición de un operador. </w:t>
      </w:r>
    </w:p>
    <w:p w14:paraId="06D78CEE"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El sistema debe prever la posibilidad de generar y gestionar eventos y alarmas procesados por las funciones de aplicación SCADA y EMS. </w:t>
      </w:r>
    </w:p>
    <w:p w14:paraId="16464BEC" w14:textId="77777777" w:rsidR="009102A7" w:rsidRPr="00576AF8" w:rsidRDefault="009102A7" w:rsidP="009102A7">
      <w:pPr>
        <w:numPr>
          <w:ilvl w:val="1"/>
          <w:numId w:val="199"/>
        </w:numPr>
        <w:suppressAutoHyphens w:val="0"/>
        <w:spacing w:after="0"/>
        <w:ind w:left="2268" w:hanging="283"/>
        <w:contextualSpacing/>
        <w:rPr>
          <w:color w:val="000000"/>
          <w:sz w:val="22"/>
          <w:szCs w:val="22"/>
          <w:lang w:val="es-EC" w:eastAsia="es-EC" w:bidi="ar-SA"/>
        </w:rPr>
      </w:pPr>
      <w:r w:rsidRPr="00576AF8">
        <w:rPr>
          <w:color w:val="000000"/>
          <w:sz w:val="22"/>
          <w:szCs w:val="22"/>
          <w:lang w:val="es-EC" w:eastAsia="es-EC" w:bidi="ar-SA"/>
        </w:rPr>
        <w:t>El sistema de tratamiento de eventos y alarmas permitirá, a través de funciones específicas, definir un conjunto de puntos calculados (variables lógicas) derivados de cálculos definibles por el usuario, que se informarán como una alarma, en correspondencia con una perturbación o una anomalía.</w:t>
      </w:r>
    </w:p>
    <w:p w14:paraId="21DB5ED3" w14:textId="77777777" w:rsidR="009102A7" w:rsidRPr="00576AF8" w:rsidRDefault="009102A7" w:rsidP="009102A7">
      <w:pPr>
        <w:suppressAutoHyphens w:val="0"/>
        <w:spacing w:after="0"/>
        <w:ind w:left="2127"/>
        <w:contextualSpacing/>
        <w:rPr>
          <w:color w:val="000000"/>
          <w:sz w:val="22"/>
          <w:szCs w:val="22"/>
          <w:lang w:val="es-EC" w:eastAsia="es-EC" w:bidi="ar-SA"/>
        </w:rPr>
      </w:pPr>
    </w:p>
    <w:p w14:paraId="77D18011" w14:textId="77777777" w:rsidR="009102A7" w:rsidRPr="00576AF8" w:rsidRDefault="009102A7" w:rsidP="009102A7">
      <w:pPr>
        <w:ind w:left="720" w:firstLine="696"/>
        <w:jc w:val="left"/>
        <w:outlineLvl w:val="2"/>
        <w:rPr>
          <w:sz w:val="22"/>
          <w:szCs w:val="22"/>
        </w:rPr>
      </w:pPr>
      <w:bookmarkStart w:id="736" w:name="_Toc160268911"/>
      <w:bookmarkStart w:id="737" w:name="_Toc160455933"/>
      <w:r w:rsidRPr="00576AF8">
        <w:rPr>
          <w:b/>
          <w:sz w:val="22"/>
          <w:szCs w:val="22"/>
        </w:rPr>
        <w:t>2.1.1.1.1.7 Gestión de Alarmas</w:t>
      </w:r>
      <w:bookmarkEnd w:id="736"/>
      <w:bookmarkEnd w:id="737"/>
    </w:p>
    <w:p w14:paraId="3B2B0DF4"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El proceso de gestión de alarmas funcionará en modo multi instancia para permitir que cada uno de los tipos de operador proporcionados opere en una lista de alarmas reservadas para él según su área de responsabilidad. Las principales acciones del proceso de procesamiento de alarmas son:</w:t>
      </w:r>
    </w:p>
    <w:p w14:paraId="7DC31431" w14:textId="77777777" w:rsidR="009102A7" w:rsidRPr="00576AF8" w:rsidRDefault="009102A7" w:rsidP="009102A7">
      <w:pPr>
        <w:numPr>
          <w:ilvl w:val="0"/>
          <w:numId w:val="28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Inserción de una alarma en la lista. Sucede sin un mensaje específico del proceso de adquisición. El gestor de alarmas recibe un evento de modificación del objeto que caduca y, dependiendo del estado anterior del objeto, su posible presencia </w:t>
      </w:r>
      <w:r w:rsidRPr="00576AF8">
        <w:rPr>
          <w:color w:val="000000"/>
          <w:sz w:val="22"/>
          <w:szCs w:val="22"/>
          <w:lang w:val="es-EC" w:eastAsia="es-EC" w:bidi="ar-SA"/>
        </w:rPr>
        <w:lastRenderedPageBreak/>
        <w:t>en la lista y la configuración de la propia lista inserta un nuevo registro con el formato adecuado. </w:t>
      </w:r>
    </w:p>
    <w:p w14:paraId="3FEA91BD" w14:textId="77777777" w:rsidR="009102A7" w:rsidRPr="00576AF8" w:rsidRDefault="009102A7" w:rsidP="009102A7">
      <w:pPr>
        <w:numPr>
          <w:ilvl w:val="0"/>
          <w:numId w:val="28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Modificación del estado asociado a la alarma. Esta operación, al igual que la cancelación, deriva de una solicitud adecuada realizada por un operador y llega al proceso de gestión de alarmas a través de un mensaje. El proceso de gestión de alarmas lleva a cabo la modificación (adquisición) o eliminación de la lista y actualiza los estados internos. </w:t>
      </w:r>
    </w:p>
    <w:p w14:paraId="24E5D5E8" w14:textId="77777777" w:rsidR="009102A7" w:rsidRPr="00576AF8" w:rsidRDefault="009102A7" w:rsidP="009102A7">
      <w:pPr>
        <w:numPr>
          <w:ilvl w:val="0"/>
          <w:numId w:val="28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Eliminar una entrada de la lista. Se comporta como la modificación.</w:t>
      </w:r>
    </w:p>
    <w:p w14:paraId="204BDB62" w14:textId="77777777" w:rsidR="009102A7" w:rsidRPr="00576AF8" w:rsidRDefault="009102A7" w:rsidP="009102A7">
      <w:pPr>
        <w:suppressAutoHyphens w:val="0"/>
        <w:spacing w:after="0"/>
        <w:ind w:left="2053"/>
        <w:contextualSpacing/>
        <w:rPr>
          <w:color w:val="000000"/>
          <w:sz w:val="22"/>
          <w:szCs w:val="22"/>
          <w:lang w:val="es-EC" w:eastAsia="es-EC" w:bidi="ar-SA"/>
        </w:rPr>
      </w:pPr>
    </w:p>
    <w:p w14:paraId="192BF7A0" w14:textId="77777777" w:rsidR="009102A7" w:rsidRPr="00576AF8" w:rsidRDefault="009102A7" w:rsidP="009102A7">
      <w:pPr>
        <w:ind w:left="720" w:firstLine="696"/>
        <w:jc w:val="left"/>
        <w:outlineLvl w:val="2"/>
        <w:rPr>
          <w:sz w:val="22"/>
          <w:szCs w:val="22"/>
        </w:rPr>
      </w:pPr>
      <w:bookmarkStart w:id="738" w:name="_Toc160268912"/>
      <w:bookmarkStart w:id="739" w:name="_Toc160455934"/>
      <w:bookmarkStart w:id="740" w:name="_Toc160268913"/>
      <w:r w:rsidRPr="00576AF8">
        <w:rPr>
          <w:b/>
          <w:sz w:val="22"/>
          <w:szCs w:val="22"/>
        </w:rPr>
        <w:t>2.1.1.1.1.8 Procesamiento Avanzado de Alarmas</w:t>
      </w:r>
      <w:bookmarkEnd w:id="738"/>
      <w:bookmarkEnd w:id="739"/>
    </w:p>
    <w:p w14:paraId="46C7715E"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Se suministrarán características adicionales para la gestión de alarmas. Las funciones de procesamiento avanzado de alarmas incluirán:</w:t>
      </w:r>
    </w:p>
    <w:p w14:paraId="6C54FE7C" w14:textId="77777777" w:rsidR="009102A7" w:rsidRPr="00576AF8" w:rsidRDefault="009102A7" w:rsidP="009102A7">
      <w:pPr>
        <w:numPr>
          <w:ilvl w:val="0"/>
          <w:numId w:val="2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Minimización, en cuanto sea posible, de los mensajes de alarma (por ejemplo, alarmas repetitivas para la misma condición). </w:t>
      </w:r>
    </w:p>
    <w:p w14:paraId="13B3C500" w14:textId="77777777" w:rsidR="009102A7" w:rsidRPr="00576AF8" w:rsidRDefault="009102A7" w:rsidP="009102A7">
      <w:pPr>
        <w:numPr>
          <w:ilvl w:val="0"/>
          <w:numId w:val="2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Combinación de mensajes de alarma relacionados. </w:t>
      </w:r>
    </w:p>
    <w:p w14:paraId="72993E7B" w14:textId="77777777" w:rsidR="009102A7" w:rsidRPr="00576AF8" w:rsidRDefault="009102A7" w:rsidP="009102A7">
      <w:pPr>
        <w:numPr>
          <w:ilvl w:val="0"/>
          <w:numId w:val="2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Priorización de mensajes de alarma de acuerdo con las causas que la generan. (Al menos debe ser posible configurar 20 causas asociadas a alarmas de medición e indicaciones). Al menos 40 prioridades deben ser apoyadas por SCADA/EMS.</w:t>
      </w:r>
    </w:p>
    <w:p w14:paraId="7BFED856" w14:textId="77777777" w:rsidR="009102A7" w:rsidRPr="00576AF8" w:rsidRDefault="009102A7" w:rsidP="009102A7">
      <w:pPr>
        <w:numPr>
          <w:ilvl w:val="0"/>
          <w:numId w:val="2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Resaltado de los mensajes más urgentes. </w:t>
      </w:r>
    </w:p>
    <w:p w14:paraId="7ABE4B8E" w14:textId="77777777" w:rsidR="009102A7" w:rsidRPr="00576AF8" w:rsidRDefault="009102A7" w:rsidP="009102A7">
      <w:pPr>
        <w:numPr>
          <w:ilvl w:val="0"/>
          <w:numId w:val="2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Supresión de alarmas de acuerdo con condiciones de alarma relacionadas. </w:t>
      </w:r>
    </w:p>
    <w:p w14:paraId="71659193" w14:textId="77777777" w:rsidR="009102A7" w:rsidRPr="00576AF8" w:rsidRDefault="009102A7" w:rsidP="009102A7">
      <w:pPr>
        <w:numPr>
          <w:ilvl w:val="0"/>
          <w:numId w:val="2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 deseable que el sistema cuente con mecanismos de aprendizaje de máquinas ML (Machine Learning) para reconocer patrones repetitivos de alarmas desencadenantes minimizando de forma dinámica el número de las alarmas derivadas o secundarias durante períodos de avalancha. Además de prever comportamientos anómalos en el sistema eléctrico. </w:t>
      </w:r>
    </w:p>
    <w:p w14:paraId="608EB281" w14:textId="77777777" w:rsidR="009102A7" w:rsidRPr="00576AF8" w:rsidRDefault="009102A7" w:rsidP="009102A7">
      <w:pPr>
        <w:suppressAutoHyphens w:val="0"/>
        <w:spacing w:after="0"/>
        <w:ind w:left="1701"/>
        <w:contextualSpacing/>
        <w:rPr>
          <w:color w:val="000000"/>
          <w:sz w:val="22"/>
          <w:szCs w:val="22"/>
          <w:lang w:val="es-EC" w:eastAsia="es-EC" w:bidi="ar-SA"/>
        </w:rPr>
      </w:pPr>
    </w:p>
    <w:p w14:paraId="5D62F3AD" w14:textId="77777777" w:rsidR="009102A7" w:rsidRPr="00576AF8" w:rsidRDefault="009102A7" w:rsidP="009102A7">
      <w:pPr>
        <w:ind w:left="720" w:firstLine="696"/>
        <w:jc w:val="left"/>
        <w:outlineLvl w:val="2"/>
        <w:rPr>
          <w:sz w:val="22"/>
          <w:szCs w:val="22"/>
        </w:rPr>
      </w:pPr>
      <w:bookmarkStart w:id="741" w:name="_Toc160455935"/>
      <w:r w:rsidRPr="00576AF8">
        <w:rPr>
          <w:b/>
          <w:sz w:val="22"/>
          <w:szCs w:val="22"/>
        </w:rPr>
        <w:t>2.1.1.1.1.9 Gestión de Eventos</w:t>
      </w:r>
      <w:bookmarkEnd w:id="740"/>
      <w:bookmarkEnd w:id="741"/>
    </w:p>
    <w:p w14:paraId="382B1482" w14:textId="77777777" w:rsidR="009102A7" w:rsidRPr="00576AF8" w:rsidRDefault="009102A7" w:rsidP="009102A7">
      <w:pPr>
        <w:numPr>
          <w:ilvl w:val="0"/>
          <w:numId w:val="18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 adquisición de datos procesará como eventos: todos los cambios de estado adquiridos por los sistemas, procesados por alguna función, o determinados por el estado operativo de los dispositivos que componen el sistema de control, actualizando todos los componentes del sistema de control involucrados en este proceso. Este proceso de actualización y registro se realizará de forma completamente automática, excluyendo cualquier intervención de los operadores. En otras palabras, el control del proceso de adquisición y grabación de eventos será inhibido para los operadores, ya que siempre debe informar fielmente la evolución de la red controlada y todos los componentes que componen el sistema de control en su sentido más amplio. </w:t>
      </w:r>
    </w:p>
    <w:p w14:paraId="67BE7ED7" w14:textId="77777777" w:rsidR="009102A7" w:rsidRPr="00576AF8" w:rsidRDefault="009102A7" w:rsidP="009102A7">
      <w:pPr>
        <w:numPr>
          <w:ilvl w:val="0"/>
          <w:numId w:val="18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 medida que se procesan los eventos, los cambios resultantes deben usarse para actualizar la base de datos y la vista en tiempo real. </w:t>
      </w:r>
    </w:p>
    <w:p w14:paraId="1214E01D" w14:textId="77777777" w:rsidR="009102A7" w:rsidRPr="00576AF8" w:rsidRDefault="009102A7" w:rsidP="009102A7">
      <w:pPr>
        <w:numPr>
          <w:ilvl w:val="0"/>
          <w:numId w:val="18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eventos se pueden dividir en las siguientes categorías: </w:t>
      </w:r>
    </w:p>
    <w:p w14:paraId="45E6827D" w14:textId="77777777" w:rsidR="009102A7" w:rsidRPr="00576AF8" w:rsidRDefault="009102A7" w:rsidP="009102A7">
      <w:pPr>
        <w:numPr>
          <w:ilvl w:val="0"/>
          <w:numId w:val="25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de la red eléctrica controlada. </w:t>
      </w:r>
    </w:p>
    <w:p w14:paraId="3728D9F7" w14:textId="77777777" w:rsidR="009102A7" w:rsidRPr="00576AF8" w:rsidRDefault="009102A7" w:rsidP="009102A7">
      <w:pPr>
        <w:numPr>
          <w:ilvl w:val="0"/>
          <w:numId w:val="25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de proceso como: inicio de sesión del operador, intervenciones del operador, el resultado de los cálculos de procesamiento. </w:t>
      </w:r>
    </w:p>
    <w:p w14:paraId="353EA96E" w14:textId="77777777" w:rsidR="009102A7" w:rsidRPr="00576AF8" w:rsidRDefault="009102A7" w:rsidP="009102A7">
      <w:pPr>
        <w:numPr>
          <w:ilvl w:val="0"/>
          <w:numId w:val="25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del sistema de aplicación: errores de comunicación, desbordamientos de búfer, condiciones anómalas en el software. </w:t>
      </w:r>
    </w:p>
    <w:p w14:paraId="3FF6AC7D" w14:textId="77777777" w:rsidR="009102A7" w:rsidRPr="00576AF8" w:rsidRDefault="009102A7" w:rsidP="009102A7">
      <w:pPr>
        <w:numPr>
          <w:ilvl w:val="0"/>
          <w:numId w:val="25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del sistema operativo: disco lleno, desalineación con la referencia horaria, errores en el acceso a los periféricos del sistema. </w:t>
      </w:r>
    </w:p>
    <w:p w14:paraId="754414D8" w14:textId="77777777" w:rsidR="009102A7" w:rsidRPr="00576AF8" w:rsidRDefault="009102A7" w:rsidP="009102A7">
      <w:pPr>
        <w:numPr>
          <w:ilvl w:val="0"/>
          <w:numId w:val="25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relacionados con aplicaciones de red, aplicaciones de producción, datos históricos, etc.</w:t>
      </w:r>
    </w:p>
    <w:p w14:paraId="4FE08FB7" w14:textId="77777777" w:rsidR="009102A7" w:rsidRPr="00576AF8" w:rsidRDefault="009102A7" w:rsidP="009102A7">
      <w:pPr>
        <w:numPr>
          <w:ilvl w:val="0"/>
          <w:numId w:val="18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Muchos eventos surgirán de condiciones iniciales que tienen dos estados bien definidos y, en la mayoría de los casos, será necesario que las transiciones entre ambos estados se registren como eventos.</w:t>
      </w:r>
    </w:p>
    <w:p w14:paraId="74F63306"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24105B54" w14:textId="77777777" w:rsidR="009102A7" w:rsidRPr="00576AF8" w:rsidRDefault="009102A7" w:rsidP="009102A7">
      <w:pPr>
        <w:ind w:left="720" w:firstLine="696"/>
        <w:jc w:val="left"/>
        <w:outlineLvl w:val="2"/>
        <w:rPr>
          <w:b/>
          <w:color w:val="000000"/>
          <w:sz w:val="22"/>
          <w:szCs w:val="22"/>
          <w:lang w:val="es-EC" w:eastAsia="es-EC" w:bidi="ar-SA"/>
        </w:rPr>
      </w:pPr>
      <w:bookmarkStart w:id="742" w:name="_Toc160268914"/>
      <w:bookmarkStart w:id="743" w:name="_Toc160455936"/>
      <w:r w:rsidRPr="00576AF8">
        <w:rPr>
          <w:b/>
          <w:sz w:val="22"/>
          <w:szCs w:val="22"/>
        </w:rPr>
        <w:t xml:space="preserve">2.1.1.1.1.9.1 </w:t>
      </w:r>
      <w:r w:rsidRPr="00576AF8">
        <w:rPr>
          <w:b/>
          <w:color w:val="000000"/>
          <w:sz w:val="22"/>
          <w:szCs w:val="22"/>
          <w:lang w:val="es-EC" w:eastAsia="es-EC" w:bidi="ar-SA"/>
        </w:rPr>
        <w:t>Descripción de Eventos</w:t>
      </w:r>
      <w:bookmarkEnd w:id="742"/>
      <w:bookmarkEnd w:id="743"/>
    </w:p>
    <w:p w14:paraId="228C5998" w14:textId="77777777" w:rsidR="009102A7" w:rsidRPr="00576AF8" w:rsidRDefault="009102A7" w:rsidP="009102A7">
      <w:pPr>
        <w:suppressAutoHyphens w:val="0"/>
        <w:spacing w:after="0"/>
        <w:ind w:left="2705" w:firstLine="65"/>
        <w:rPr>
          <w:color w:val="000000"/>
          <w:sz w:val="22"/>
          <w:szCs w:val="22"/>
          <w:lang w:val="es-EC" w:eastAsia="es-EC" w:bidi="ar-SA"/>
        </w:rPr>
      </w:pPr>
      <w:r w:rsidRPr="00576AF8">
        <w:rPr>
          <w:color w:val="000000"/>
          <w:sz w:val="22"/>
          <w:szCs w:val="22"/>
          <w:lang w:val="es-EC" w:eastAsia="es-EC" w:bidi="ar-SA"/>
        </w:rPr>
        <w:t>Las descripciones de eventos deben incluir al menos la siguiente información para cada evento: </w:t>
      </w:r>
    </w:p>
    <w:p w14:paraId="7D55D8E8" w14:textId="77777777" w:rsidR="009102A7" w:rsidRPr="00576AF8" w:rsidRDefault="009102A7" w:rsidP="009102A7">
      <w:pPr>
        <w:numPr>
          <w:ilvl w:val="0"/>
          <w:numId w:val="25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Fecha y hora. </w:t>
      </w:r>
    </w:p>
    <w:p w14:paraId="616F416D" w14:textId="77777777" w:rsidR="009102A7" w:rsidRPr="00576AF8" w:rsidRDefault="009102A7" w:rsidP="009102A7">
      <w:pPr>
        <w:numPr>
          <w:ilvl w:val="0"/>
          <w:numId w:val="25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Descripción de la ubicación. </w:t>
      </w:r>
    </w:p>
    <w:p w14:paraId="042DEA43" w14:textId="77777777" w:rsidR="009102A7" w:rsidRPr="00576AF8" w:rsidRDefault="009102A7" w:rsidP="009102A7">
      <w:pPr>
        <w:numPr>
          <w:ilvl w:val="0"/>
          <w:numId w:val="25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eventos eléctricos: </w:t>
      </w:r>
    </w:p>
    <w:p w14:paraId="7080C2E3" w14:textId="77777777" w:rsidR="009102A7" w:rsidRPr="00576AF8" w:rsidRDefault="009102A7" w:rsidP="009102A7">
      <w:pPr>
        <w:numPr>
          <w:ilvl w:val="1"/>
          <w:numId w:val="25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Nivel de voltaje. </w:t>
      </w:r>
    </w:p>
    <w:p w14:paraId="16C1614C" w14:textId="77777777" w:rsidR="009102A7" w:rsidRPr="00576AF8" w:rsidRDefault="009102A7" w:rsidP="009102A7">
      <w:pPr>
        <w:numPr>
          <w:ilvl w:val="1"/>
          <w:numId w:val="25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Descripción del elemento. </w:t>
      </w:r>
    </w:p>
    <w:p w14:paraId="13BE6A91" w14:textId="77777777" w:rsidR="009102A7" w:rsidRPr="00576AF8" w:rsidRDefault="009102A7" w:rsidP="009102A7">
      <w:pPr>
        <w:numPr>
          <w:ilvl w:val="1"/>
          <w:numId w:val="25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Descripción específica de la señal (cuando proceda). </w:t>
      </w:r>
    </w:p>
    <w:p w14:paraId="0B0AFADF" w14:textId="77777777" w:rsidR="009102A7" w:rsidRPr="00576AF8" w:rsidRDefault="009102A7" w:rsidP="009102A7">
      <w:pPr>
        <w:numPr>
          <w:ilvl w:val="1"/>
          <w:numId w:val="25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Texto del acrónimo de estado de la señal (si procede). </w:t>
      </w:r>
    </w:p>
    <w:p w14:paraId="3F46E759" w14:textId="77777777" w:rsidR="009102A7" w:rsidRPr="00576AF8" w:rsidRDefault="009102A7" w:rsidP="009102A7">
      <w:pPr>
        <w:suppressAutoHyphens w:val="0"/>
        <w:spacing w:after="0"/>
        <w:ind w:left="3620"/>
        <w:contextualSpacing/>
        <w:rPr>
          <w:color w:val="000000"/>
          <w:sz w:val="22"/>
          <w:szCs w:val="22"/>
          <w:lang w:val="es-EC" w:eastAsia="es-EC" w:bidi="ar-SA"/>
        </w:rPr>
      </w:pPr>
    </w:p>
    <w:p w14:paraId="1E260CDD" w14:textId="77777777" w:rsidR="009102A7" w:rsidRPr="00576AF8" w:rsidRDefault="009102A7" w:rsidP="009102A7">
      <w:pPr>
        <w:numPr>
          <w:ilvl w:val="0"/>
          <w:numId w:val="25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las operaciones manuales, la identidad del operador, la consola. </w:t>
      </w:r>
    </w:p>
    <w:p w14:paraId="34C8315C" w14:textId="77777777" w:rsidR="009102A7" w:rsidRPr="00576AF8" w:rsidRDefault="009102A7" w:rsidP="009102A7">
      <w:pPr>
        <w:numPr>
          <w:ilvl w:val="0"/>
          <w:numId w:val="25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aplicaciones de red y producción, la identidad del operador, la consola.</w:t>
      </w:r>
    </w:p>
    <w:p w14:paraId="7F1A5D4D" w14:textId="77777777" w:rsidR="009102A7" w:rsidRPr="00576AF8" w:rsidRDefault="009102A7" w:rsidP="009102A7">
      <w:pPr>
        <w:numPr>
          <w:ilvl w:val="0"/>
          <w:numId w:val="25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las violaciones de límite, el valor del límite violado y el valor real de la medición.</w:t>
      </w:r>
    </w:p>
    <w:p w14:paraId="317A4CBB" w14:textId="77777777" w:rsidR="009102A7" w:rsidRPr="00576AF8" w:rsidRDefault="009102A7" w:rsidP="009102A7">
      <w:pPr>
        <w:suppressAutoHyphens w:val="0"/>
        <w:spacing w:after="0"/>
        <w:ind w:left="2705"/>
        <w:contextualSpacing/>
        <w:rPr>
          <w:color w:val="000000"/>
          <w:sz w:val="22"/>
          <w:szCs w:val="22"/>
          <w:lang w:val="es-EC" w:eastAsia="es-EC" w:bidi="ar-SA"/>
        </w:rPr>
      </w:pPr>
    </w:p>
    <w:p w14:paraId="3BDE8238" w14:textId="77777777" w:rsidR="009102A7" w:rsidRPr="00576AF8" w:rsidRDefault="009102A7" w:rsidP="009102A7">
      <w:pPr>
        <w:ind w:left="720" w:firstLine="696"/>
        <w:jc w:val="left"/>
        <w:outlineLvl w:val="2"/>
        <w:rPr>
          <w:color w:val="000000"/>
          <w:sz w:val="22"/>
          <w:szCs w:val="22"/>
          <w:lang w:val="es-EC" w:eastAsia="es-EC" w:bidi="ar-SA"/>
        </w:rPr>
      </w:pPr>
      <w:bookmarkStart w:id="744" w:name="_Toc160268915"/>
      <w:bookmarkStart w:id="745" w:name="_Toc160455937"/>
      <w:r w:rsidRPr="00576AF8">
        <w:rPr>
          <w:b/>
          <w:sz w:val="22"/>
          <w:szCs w:val="22"/>
        </w:rPr>
        <w:t xml:space="preserve">2.1.1.1.1.9.2 </w:t>
      </w:r>
      <w:r w:rsidRPr="00576AF8">
        <w:rPr>
          <w:b/>
          <w:color w:val="000000"/>
          <w:sz w:val="22"/>
          <w:szCs w:val="22"/>
          <w:lang w:val="es-EC" w:eastAsia="es-EC" w:bidi="ar-SA"/>
        </w:rPr>
        <w:t>Lista de Eventos</w:t>
      </w:r>
      <w:bookmarkEnd w:id="744"/>
      <w:bookmarkEnd w:id="745"/>
    </w:p>
    <w:p w14:paraId="6236617A" w14:textId="77777777" w:rsidR="009102A7" w:rsidRPr="00576AF8" w:rsidRDefault="009102A7" w:rsidP="009102A7">
      <w:pPr>
        <w:numPr>
          <w:ilvl w:val="0"/>
          <w:numId w:val="1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Todos los eventos se organizarán en una lista.  En esta lista se podrán realizar consultas sencillas para extraer la información en la secuencia temporal con la que fueron creadas. La lista se actualizará automáticamente con nuevas entradas a medida que ingresen en el sistema. </w:t>
      </w:r>
    </w:p>
    <w:p w14:paraId="5B467BEE" w14:textId="77777777" w:rsidR="009102A7" w:rsidRPr="00576AF8" w:rsidRDefault="009102A7" w:rsidP="009102A7">
      <w:pPr>
        <w:numPr>
          <w:ilvl w:val="0"/>
          <w:numId w:val="1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estará equipado con una función de búsqueda que permita producir una lista reducida, filtrada y ordenada de acuerdo con ciertos criterios. </w:t>
      </w:r>
    </w:p>
    <w:p w14:paraId="3A0D47E8" w14:textId="77777777" w:rsidR="009102A7" w:rsidRPr="00576AF8" w:rsidRDefault="009102A7" w:rsidP="009102A7">
      <w:pPr>
        <w:numPr>
          <w:ilvl w:val="0"/>
          <w:numId w:val="1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criterios de búsqueda y clasificación serán, como mínimo, los siguientes: </w:t>
      </w:r>
    </w:p>
    <w:p w14:paraId="2A8C5F15" w14:textId="77777777" w:rsidR="009102A7" w:rsidRPr="00576AF8" w:rsidRDefault="009102A7" w:rsidP="009102A7">
      <w:pPr>
        <w:numPr>
          <w:ilvl w:val="1"/>
          <w:numId w:val="26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Fecha/hora. </w:t>
      </w:r>
    </w:p>
    <w:p w14:paraId="66286D43" w14:textId="77777777" w:rsidR="009102A7" w:rsidRPr="00576AF8" w:rsidRDefault="009102A7" w:rsidP="009102A7">
      <w:pPr>
        <w:numPr>
          <w:ilvl w:val="1"/>
          <w:numId w:val="26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Descripciones de los mensajes. </w:t>
      </w:r>
    </w:p>
    <w:p w14:paraId="37F48BDE" w14:textId="77777777" w:rsidR="009102A7" w:rsidRPr="00576AF8" w:rsidRDefault="009102A7" w:rsidP="009102A7">
      <w:pPr>
        <w:numPr>
          <w:ilvl w:val="1"/>
          <w:numId w:val="26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Tipo de mensaje. </w:t>
      </w:r>
    </w:p>
    <w:p w14:paraId="3BA68609" w14:textId="77777777" w:rsidR="009102A7" w:rsidRPr="00576AF8" w:rsidRDefault="009102A7" w:rsidP="009102A7">
      <w:pPr>
        <w:numPr>
          <w:ilvl w:val="1"/>
          <w:numId w:val="26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Elemento de red. </w:t>
      </w:r>
    </w:p>
    <w:p w14:paraId="7E70DE8F" w14:textId="77777777" w:rsidR="009102A7" w:rsidRPr="00576AF8" w:rsidRDefault="009102A7" w:rsidP="009102A7">
      <w:pPr>
        <w:numPr>
          <w:ilvl w:val="1"/>
          <w:numId w:val="26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Posición. </w:t>
      </w:r>
    </w:p>
    <w:p w14:paraId="4B17053E" w14:textId="77777777" w:rsidR="009102A7" w:rsidRPr="00576AF8" w:rsidRDefault="009102A7" w:rsidP="009102A7">
      <w:pPr>
        <w:numPr>
          <w:ilvl w:val="1"/>
          <w:numId w:val="26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Identidad del operador. </w:t>
      </w:r>
    </w:p>
    <w:p w14:paraId="4D30E793" w14:textId="77777777" w:rsidR="009102A7" w:rsidRPr="00576AF8" w:rsidRDefault="009102A7" w:rsidP="009102A7">
      <w:pPr>
        <w:numPr>
          <w:ilvl w:val="0"/>
          <w:numId w:val="1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búsqueda y ordenación será flexible e incorporará características como búsquedas en cadenas de caracteres de longitud variable y el uso de comodines. También podrá guardar un conjunto de criterios de búsqueda para un acceso y uso rápido en el futuro. </w:t>
      </w:r>
    </w:p>
    <w:p w14:paraId="6830DA40" w14:textId="77777777" w:rsidR="009102A7" w:rsidRPr="00576AF8" w:rsidRDefault="009102A7" w:rsidP="009102A7">
      <w:pPr>
        <w:numPr>
          <w:ilvl w:val="0"/>
          <w:numId w:val="18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tamaño de la lista de eventos será circular y el tamaño dará cabida a al menos 50.000 eventos en la base de datos en tiempo real. Para la retención de eventos en la base de datos histórica, consulte la sección </w:t>
      </w:r>
      <w:r w:rsidR="00B72473" w:rsidRPr="00576AF8">
        <w:rPr>
          <w:color w:val="000000"/>
          <w:sz w:val="22"/>
          <w:szCs w:val="22"/>
          <w:lang w:val="es-EC" w:eastAsia="es-EC" w:bidi="ar-SA"/>
        </w:rPr>
        <w:t xml:space="preserve">D, numeral </w:t>
      </w:r>
      <w:r w:rsidRPr="00576AF8">
        <w:rPr>
          <w:color w:val="000000"/>
          <w:sz w:val="22"/>
          <w:szCs w:val="22"/>
          <w:lang w:val="es-EC" w:eastAsia="es-EC" w:bidi="ar-SA"/>
        </w:rPr>
        <w:t>3.4.4.4 Base de datos histórica (HDB).</w:t>
      </w:r>
    </w:p>
    <w:p w14:paraId="3531C003" w14:textId="77777777" w:rsidR="009102A7" w:rsidRPr="00576AF8" w:rsidRDefault="009102A7" w:rsidP="009102A7">
      <w:pPr>
        <w:suppressAutoHyphens w:val="0"/>
        <w:spacing w:after="0"/>
        <w:ind w:left="2421"/>
        <w:contextualSpacing/>
        <w:rPr>
          <w:color w:val="000000"/>
          <w:sz w:val="22"/>
          <w:szCs w:val="22"/>
          <w:lang w:val="es-EC" w:eastAsia="es-EC" w:bidi="ar-SA"/>
        </w:rPr>
      </w:pPr>
    </w:p>
    <w:p w14:paraId="50A0091B" w14:textId="77777777" w:rsidR="009102A7" w:rsidRPr="00576AF8" w:rsidRDefault="009102A7" w:rsidP="009102A7">
      <w:pPr>
        <w:ind w:left="720" w:firstLine="696"/>
        <w:jc w:val="left"/>
        <w:outlineLvl w:val="2"/>
        <w:rPr>
          <w:color w:val="000000"/>
          <w:sz w:val="22"/>
          <w:szCs w:val="22"/>
          <w:lang w:val="es-EC" w:eastAsia="es-EC" w:bidi="ar-SA"/>
        </w:rPr>
      </w:pPr>
      <w:bookmarkStart w:id="746" w:name="_Toc160268916"/>
      <w:bookmarkStart w:id="747" w:name="_Toc160455938"/>
      <w:r w:rsidRPr="00576AF8">
        <w:rPr>
          <w:b/>
          <w:sz w:val="22"/>
          <w:szCs w:val="22"/>
        </w:rPr>
        <w:t xml:space="preserve">2.1.1.1.1.9.3 </w:t>
      </w:r>
      <w:r w:rsidRPr="00576AF8">
        <w:rPr>
          <w:b/>
          <w:color w:val="000000"/>
          <w:sz w:val="22"/>
          <w:szCs w:val="22"/>
          <w:lang w:val="es-EC" w:eastAsia="es-EC" w:bidi="ar-SA"/>
        </w:rPr>
        <w:t>Procesamiento de Secuencia de Eventos</w:t>
      </w:r>
      <w:bookmarkEnd w:id="746"/>
      <w:bookmarkEnd w:id="747"/>
    </w:p>
    <w:p w14:paraId="268A3EBB" w14:textId="77777777" w:rsidR="009102A7" w:rsidRPr="00576AF8" w:rsidRDefault="009102A7" w:rsidP="009102A7">
      <w:pPr>
        <w:numPr>
          <w:ilvl w:val="0"/>
          <w:numId w:val="1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procesamiento de la secuencia de eventos debe proporcionarse según el orden de ocurrencia de los eventos:</w:t>
      </w:r>
    </w:p>
    <w:p w14:paraId="20955152" w14:textId="77777777" w:rsidR="009102A7" w:rsidRPr="00576AF8" w:rsidRDefault="009102A7" w:rsidP="009102A7">
      <w:pPr>
        <w:numPr>
          <w:ilvl w:val="1"/>
          <w:numId w:val="26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Eventos en los que se aplica una estampa de tiempo a una señal al recibirla el sistema. </w:t>
      </w:r>
    </w:p>
    <w:p w14:paraId="1B5D71E9" w14:textId="77777777" w:rsidR="009102A7" w:rsidRPr="00576AF8" w:rsidRDefault="009102A7" w:rsidP="009102A7">
      <w:pPr>
        <w:numPr>
          <w:ilvl w:val="1"/>
          <w:numId w:val="26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marcados por el momento de ocurrencia por la RTU con resolución de 1 ms.</w:t>
      </w:r>
    </w:p>
    <w:p w14:paraId="6AE7B72E" w14:textId="77777777" w:rsidR="009102A7" w:rsidRPr="00576AF8" w:rsidRDefault="009102A7" w:rsidP="009102A7">
      <w:pPr>
        <w:numPr>
          <w:ilvl w:val="0"/>
          <w:numId w:val="1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Todos los eventos SOE recibidos de los equipos remotos serán historizados y los mismos podrán ser consultados adicionalmente mediante un despliegue dedicado con las mismas facilidades de ordenamiento y filtrado que las listas de eventos (ver </w:t>
      </w:r>
      <w:r w:rsidRPr="00576AF8">
        <w:rPr>
          <w:szCs w:val="22"/>
        </w:rPr>
        <w:t xml:space="preserve">2.1.1.1.9.2 </w:t>
      </w:r>
      <w:r w:rsidRPr="00576AF8">
        <w:rPr>
          <w:color w:val="000000"/>
          <w:sz w:val="22"/>
          <w:szCs w:val="22"/>
          <w:lang w:val="es-EC" w:eastAsia="es-EC" w:bidi="ar-SA"/>
        </w:rPr>
        <w:t>Lista de Eventos).</w:t>
      </w:r>
    </w:p>
    <w:p w14:paraId="566B611C" w14:textId="77777777" w:rsidR="009102A7" w:rsidRPr="00576AF8" w:rsidRDefault="009102A7" w:rsidP="009102A7">
      <w:pPr>
        <w:suppressAutoHyphens w:val="0"/>
        <w:spacing w:after="0"/>
        <w:ind w:left="2421"/>
        <w:contextualSpacing/>
        <w:rPr>
          <w:color w:val="000000"/>
          <w:sz w:val="22"/>
          <w:szCs w:val="22"/>
          <w:lang w:val="es-EC" w:eastAsia="es-EC" w:bidi="ar-SA"/>
        </w:rPr>
      </w:pPr>
    </w:p>
    <w:p w14:paraId="707963AF" w14:textId="77777777" w:rsidR="009102A7" w:rsidRPr="00576AF8" w:rsidRDefault="009102A7" w:rsidP="009102A7">
      <w:pPr>
        <w:ind w:left="720" w:firstLine="696"/>
        <w:jc w:val="left"/>
        <w:outlineLvl w:val="2"/>
        <w:rPr>
          <w:color w:val="000000"/>
          <w:sz w:val="22"/>
          <w:szCs w:val="22"/>
          <w:lang w:val="es-EC" w:eastAsia="es-EC" w:bidi="ar-SA"/>
        </w:rPr>
      </w:pPr>
      <w:bookmarkStart w:id="748" w:name="_Toc160268917"/>
      <w:bookmarkStart w:id="749" w:name="_Toc160455939"/>
      <w:r w:rsidRPr="00576AF8">
        <w:rPr>
          <w:b/>
          <w:sz w:val="22"/>
          <w:szCs w:val="22"/>
        </w:rPr>
        <w:t xml:space="preserve">2.1.1.1.1.9.4 </w:t>
      </w:r>
      <w:r w:rsidRPr="00576AF8">
        <w:rPr>
          <w:b/>
          <w:color w:val="000000"/>
          <w:sz w:val="22"/>
          <w:szCs w:val="22"/>
          <w:lang w:val="es-EC" w:eastAsia="es-EC" w:bidi="ar-SA"/>
        </w:rPr>
        <w:t>Monitoreo de Disturbios</w:t>
      </w:r>
      <w:bookmarkEnd w:id="748"/>
      <w:bookmarkEnd w:id="749"/>
    </w:p>
    <w:p w14:paraId="7BF21BB8" w14:textId="77777777" w:rsidR="009102A7" w:rsidRPr="00576AF8" w:rsidRDefault="009102A7" w:rsidP="009102A7">
      <w:pPr>
        <w:numPr>
          <w:ilvl w:val="0"/>
          <w:numId w:val="18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registrará eventos asociados con perturbaciones específicas. Con base a una señal preconfigurada como disparador y una lista de señales predefinidas, se debe almacenar un registro de dichas señales y los eventos generados para el análisis de estos durante un número configurable de minutos antes y después de la perturbación. Esta lista será específica para el monitoreo de perturbaciones. </w:t>
      </w:r>
    </w:p>
    <w:p w14:paraId="121E5875" w14:textId="77777777" w:rsidR="009102A7" w:rsidRPr="00576AF8" w:rsidRDefault="009102A7" w:rsidP="009102A7">
      <w:pPr>
        <w:numPr>
          <w:ilvl w:val="0"/>
          <w:numId w:val="18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tiempos totales de almacenamiento antes y después del evento deben ajustarse fácilmente. </w:t>
      </w:r>
    </w:p>
    <w:p w14:paraId="313448A9" w14:textId="77777777" w:rsidR="009102A7" w:rsidRPr="00576AF8" w:rsidRDefault="009102A7" w:rsidP="009102A7">
      <w:pPr>
        <w:numPr>
          <w:ilvl w:val="0"/>
          <w:numId w:val="18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Deberá permitirse el análisis gráfico sistémico de las variables intervinientes en el evento.</w:t>
      </w:r>
    </w:p>
    <w:p w14:paraId="3DD45229" w14:textId="77777777" w:rsidR="009102A7" w:rsidRPr="00576AF8" w:rsidRDefault="009102A7" w:rsidP="009102A7">
      <w:pPr>
        <w:suppressAutoHyphens w:val="0"/>
        <w:spacing w:after="0"/>
        <w:ind w:left="2421"/>
        <w:contextualSpacing/>
        <w:rPr>
          <w:color w:val="000000"/>
          <w:sz w:val="22"/>
          <w:szCs w:val="22"/>
          <w:lang w:val="es-EC" w:eastAsia="es-EC" w:bidi="ar-SA"/>
        </w:rPr>
      </w:pPr>
    </w:p>
    <w:p w14:paraId="1560D5C6" w14:textId="77777777" w:rsidR="009102A7" w:rsidRPr="00576AF8" w:rsidRDefault="009102A7" w:rsidP="009102A7">
      <w:pPr>
        <w:ind w:left="720" w:firstLine="696"/>
        <w:jc w:val="left"/>
        <w:outlineLvl w:val="2"/>
        <w:rPr>
          <w:sz w:val="22"/>
          <w:szCs w:val="22"/>
        </w:rPr>
      </w:pPr>
      <w:bookmarkStart w:id="750" w:name="_Toc160268918"/>
      <w:bookmarkStart w:id="751" w:name="_Toc160455940"/>
      <w:r w:rsidRPr="00576AF8">
        <w:rPr>
          <w:b/>
          <w:sz w:val="22"/>
          <w:szCs w:val="22"/>
        </w:rPr>
        <w:t>2.1.1.1.1.10 Funciones de Interfaz de Usuario (IHM)</w:t>
      </w:r>
      <w:bookmarkEnd w:id="750"/>
      <w:bookmarkEnd w:id="751"/>
    </w:p>
    <w:p w14:paraId="3EF5CF77"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El subsistema IHM incluye todos los equipos necesarios para proporcionar a los operadores una interfaz de comunicación potente con el sistema de control, fácil de usar y capaz de proporcionar un control eficiente (supervisión y control remoto) del sistema eléctrico.</w:t>
      </w:r>
    </w:p>
    <w:p w14:paraId="7724ED75" w14:textId="77777777" w:rsidR="009102A7" w:rsidRPr="00576AF8" w:rsidRDefault="009102A7" w:rsidP="009102A7">
      <w:pPr>
        <w:suppressAutoHyphens w:val="0"/>
        <w:spacing w:after="0"/>
        <w:ind w:left="708" w:firstLine="708"/>
        <w:rPr>
          <w:color w:val="000000"/>
          <w:sz w:val="22"/>
          <w:szCs w:val="22"/>
          <w:lang w:val="es-EC" w:eastAsia="es-EC" w:bidi="ar-SA"/>
        </w:rPr>
      </w:pPr>
    </w:p>
    <w:p w14:paraId="5EB68A8D"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El equipo HW de la IHM no será tratado en estos párrafos mientras que se detallarán las funciones de software y los datos que definen y gestionan las imágenes (gráficos, tablas, listas, diagramas de "tendencia", etc.), eventos, alarmas e impresiones con las que el Operador interactúa con el sistema de control. No se detalla el método de presentación de información al operador o los métodos de interacción del operador con el sistema, sino cómo se han definido los principales requisitos funcionales y principios operativos. </w:t>
      </w:r>
    </w:p>
    <w:p w14:paraId="1BEE368A"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diseño de la interfaz de usuario se basará en paquetes de software estándar.</w:t>
      </w:r>
    </w:p>
    <w:p w14:paraId="1CAF1484"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prefiere un enfoque organizado para administrar múltiples ventanas, lo que permite al usuario guardar y posteriormente restaurar el diseño de la pantalla y su contenido. </w:t>
      </w:r>
    </w:p>
    <w:p w14:paraId="03B2D144"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consolas físicas están asociadas a consolas lógicas. </w:t>
      </w:r>
    </w:p>
    <w:p w14:paraId="7E12D1DA"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monitor está asociado a monitores lógicos o unidades de visualización a las diferentes consolas lógicas, es posible asignar diferentes niveles de autorización operativa en términos de funciones de control ejecutables, adquisición de alarmas, imágenes visibles, tanto en relación con toda la red controlada como con una parte de ella, seleccionables, por ejemplo, por nivel de tensión o por región geográfica de pertenencia entre otros criterios. </w:t>
      </w:r>
    </w:p>
    <w:p w14:paraId="33098238"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entorno será del tipo multipantalla, multiventana y multiaplicación. Las imágenes gráficas se construirán con símbolos animados, que cambiarán de forma, color, tamaño y configuración en relación con el estado operativo del elemento de red representado y el nivel de zoom utilizado. </w:t>
      </w:r>
    </w:p>
    <w:p w14:paraId="0ED57916"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objetos representados en los despliegues que estén enlazados a puntos de la base de datos deberán tener las facilidades para presentar mediante una combinación de colores, textos o símbolos los diferentes estados de calidad y </w:t>
      </w:r>
      <w:r w:rsidRPr="00576AF8">
        <w:rPr>
          <w:color w:val="000000"/>
          <w:sz w:val="22"/>
          <w:szCs w:val="22"/>
          <w:lang w:val="es-EC" w:eastAsia="es-EC" w:bidi="ar-SA"/>
        </w:rPr>
        <w:lastRenderedPageBreak/>
        <w:t>condiciones operativas de los mismos definidas en lo indicado en calidad de los datos</w:t>
      </w:r>
    </w:p>
    <w:p w14:paraId="2E92F332"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Coloración dinámica de los diagramas de red (Dynamic Network Coloring) en relación con el estado operativo de la red (por ejemplo, sobrecarga) y su configuración (por ejemplo, fuera de servicio con puesta a tierra). </w:t>
      </w:r>
    </w:p>
    <w:p w14:paraId="56889377"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Coloración de red según múltiples criterios y guía de estilo: nivel de voltaje, nodo, carga, energizado, abierto, conectado a tierra, etiquetado, isla, etc. La elección de "fuentes", colores, dimensiones y posición de las ventanas debe definirse en la fase de análisis.</w:t>
      </w:r>
    </w:p>
    <w:p w14:paraId="508E0EF3" w14:textId="77777777" w:rsidR="009102A7" w:rsidRPr="00576AF8" w:rsidRDefault="009102A7" w:rsidP="009102A7">
      <w:pPr>
        <w:numPr>
          <w:ilvl w:val="0"/>
          <w:numId w:val="186"/>
        </w:numPr>
        <w:suppressAutoHyphens w:val="0"/>
        <w:spacing w:after="0"/>
        <w:ind w:left="2421"/>
        <w:contextualSpacing/>
        <w:rPr>
          <w:color w:val="000000"/>
          <w:sz w:val="22"/>
          <w:szCs w:val="22"/>
          <w:lang w:val="es-EC" w:eastAsia="es-EC" w:bidi="ar-SA"/>
        </w:rPr>
      </w:pPr>
      <w:r w:rsidRPr="00576AF8">
        <w:rPr>
          <w:color w:val="000000"/>
          <w:sz w:val="22"/>
          <w:szCs w:val="22"/>
          <w:lang w:val="es-EC" w:eastAsia="es-EC" w:bidi="ar-SA"/>
        </w:rPr>
        <w:t>Manipulación de ventanas con funciones de: </w:t>
      </w:r>
    </w:p>
    <w:p w14:paraId="74E06E7E" w14:textId="77777777" w:rsidR="009102A7" w:rsidRPr="00576AF8" w:rsidRDefault="009102A7" w:rsidP="009102A7">
      <w:pPr>
        <w:suppressAutoHyphens w:val="0"/>
        <w:spacing w:after="0"/>
        <w:ind w:left="2421"/>
        <w:contextualSpacing/>
        <w:rPr>
          <w:color w:val="000000"/>
          <w:sz w:val="22"/>
          <w:szCs w:val="22"/>
          <w:lang w:val="es-EC" w:eastAsia="es-EC" w:bidi="ar-SA"/>
        </w:rPr>
      </w:pPr>
    </w:p>
    <w:p w14:paraId="60FBDF6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Zoom físico y lógico. Panorámica. </w:t>
      </w:r>
    </w:p>
    <w:p w14:paraId="39B5F6D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Barras de desplazamiento (verticales y horizontales). </w:t>
      </w:r>
    </w:p>
    <w:p w14:paraId="14CB651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Botones de software configurables. </w:t>
      </w:r>
    </w:p>
    <w:p w14:paraId="59F19B5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Navegación en el despliegue y entre despliegues. </w:t>
      </w:r>
    </w:p>
    <w:p w14:paraId="24E121B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Remoción dinámica de elementos en pantalla. </w:t>
      </w:r>
    </w:p>
    <w:p w14:paraId="6BD80DE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Movimiento continuo del ratón de una pantalla a otra. </w:t>
      </w:r>
    </w:p>
    <w:p w14:paraId="5A9B14C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Interacción típica, como el uso de ("botón pulsador", "botón de radio", "botones en cascada", "menú emergente, ventana emergente y cascada", teclas funcionales) para recuperar imágenes o activar funciones operativas.</w:t>
      </w:r>
    </w:p>
    <w:p w14:paraId="0A786AC3"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subsistema IHM debe proporcionar a los operadores funciones para facilitar sus actividades de control e interacción con la red, por lo que será flexible, fácil de usar y basado en una estructura "basada en datos".</w:t>
      </w:r>
    </w:p>
    <w:p w14:paraId="48A48039" w14:textId="77777777" w:rsidR="009102A7" w:rsidRPr="00576AF8" w:rsidRDefault="009102A7" w:rsidP="009102A7">
      <w:pPr>
        <w:numPr>
          <w:ilvl w:val="0"/>
          <w:numId w:val="18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posibilidad de hacer que las funciones ofimáticas comunes (por ejemplo, paquetes de Office, etc.) sean accesibles a través de la misma consola del operador, con el fin de limitar la proliferación de teclados y ratones para el usuario, se evaluará en función de consideraciones de seguridad. </w:t>
      </w:r>
    </w:p>
    <w:p w14:paraId="69D7EC30" w14:textId="77777777" w:rsidR="009102A7" w:rsidRPr="00576AF8" w:rsidRDefault="009102A7" w:rsidP="009102A7">
      <w:pPr>
        <w:suppressAutoHyphens w:val="0"/>
        <w:spacing w:after="0"/>
        <w:ind w:left="2421"/>
        <w:contextualSpacing/>
        <w:rPr>
          <w:color w:val="000000"/>
          <w:sz w:val="22"/>
          <w:szCs w:val="22"/>
          <w:lang w:val="es-EC" w:eastAsia="es-EC" w:bidi="ar-SA"/>
        </w:rPr>
      </w:pPr>
    </w:p>
    <w:p w14:paraId="1B8CD358" w14:textId="77777777" w:rsidR="009102A7" w:rsidRPr="00576AF8" w:rsidRDefault="009102A7" w:rsidP="009102A7">
      <w:pPr>
        <w:ind w:left="720" w:firstLine="696"/>
        <w:jc w:val="left"/>
        <w:outlineLvl w:val="2"/>
        <w:rPr>
          <w:color w:val="000000"/>
          <w:sz w:val="22"/>
          <w:szCs w:val="22"/>
          <w:lang w:val="es-EC" w:eastAsia="es-EC" w:bidi="ar-SA"/>
        </w:rPr>
      </w:pPr>
      <w:bookmarkStart w:id="752" w:name="_Toc160268919"/>
      <w:bookmarkStart w:id="753" w:name="_Toc160455941"/>
      <w:r w:rsidRPr="00576AF8">
        <w:rPr>
          <w:b/>
          <w:sz w:val="22"/>
          <w:szCs w:val="22"/>
        </w:rPr>
        <w:t xml:space="preserve">2.1.1.1.1.10.1 </w:t>
      </w:r>
      <w:r w:rsidRPr="00576AF8">
        <w:rPr>
          <w:b/>
          <w:color w:val="000000"/>
          <w:sz w:val="22"/>
          <w:szCs w:val="22"/>
          <w:lang w:val="es-EC" w:eastAsia="es-EC" w:bidi="ar-SA"/>
        </w:rPr>
        <w:t>Guía de Estilo</w:t>
      </w:r>
      <w:bookmarkEnd w:id="752"/>
      <w:bookmarkEnd w:id="753"/>
    </w:p>
    <w:p w14:paraId="04948BA6" w14:textId="77777777" w:rsidR="009102A7" w:rsidRPr="00576AF8" w:rsidRDefault="009102A7" w:rsidP="009102A7">
      <w:pPr>
        <w:numPr>
          <w:ilvl w:val="0"/>
          <w:numId w:val="26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debe prever el desarrollo de una Guía de estilo de visualización que aproveche al máximo las características gráficas nativas de las herramientas de edición gráfica y edición de despliegues. La guía contendrá los estándares bajo los cuales se crearán todos los diagramas unifilares y de visión general durante el proyecto y posteriormente. Además, una convención revisada de nomenclatura de equipos será parte de estos documentos, para garantizar el uso óptimo de la estructura de nomenclatura de proveedores, sin comprometer las convenciones existentes. La </w:t>
      </w:r>
      <w:r w:rsidRPr="00576AF8">
        <w:rPr>
          <w:rFonts w:eastAsia="Calibri"/>
          <w:color w:val="000000"/>
          <w:sz w:val="22"/>
          <w:szCs w:val="22"/>
        </w:rPr>
        <w:t>guía de estilo debe ser compatible con aquella utilizada al momento por CENACE</w:t>
      </w:r>
      <w:r w:rsidRPr="00576AF8">
        <w:rPr>
          <w:color w:val="000000"/>
          <w:sz w:val="22"/>
          <w:szCs w:val="22"/>
          <w:lang w:val="es-EC" w:eastAsia="es-EC" w:bidi="ar-SA"/>
        </w:rPr>
        <w:t>.</w:t>
      </w:r>
      <w:r w:rsidR="00DC0A9B" w:rsidRPr="00576AF8">
        <w:rPr>
          <w:color w:val="000000"/>
          <w:sz w:val="22"/>
          <w:szCs w:val="22"/>
          <w:lang w:val="es-EC" w:eastAsia="es-EC" w:bidi="ar-SA"/>
        </w:rPr>
        <w:t xml:space="preserve"> Esta guía de estilo será entregada a los oferentes, previo a la firma del acuerdo de confidencialidad correspondiente.</w:t>
      </w:r>
    </w:p>
    <w:p w14:paraId="51BE0704" w14:textId="77777777" w:rsidR="009102A7" w:rsidRPr="00576AF8" w:rsidRDefault="009102A7" w:rsidP="009102A7">
      <w:pPr>
        <w:numPr>
          <w:ilvl w:val="0"/>
          <w:numId w:val="26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Guía de estilo y su apéndice de nomenclatura se propondrán y se adaptarán durante el taller de creación de pantallas, solicitado como parte de la transferencia de conocimientos. </w:t>
      </w:r>
    </w:p>
    <w:p w14:paraId="022008A3" w14:textId="77777777" w:rsidR="009102A7" w:rsidRPr="00576AF8" w:rsidRDefault="009102A7" w:rsidP="009102A7">
      <w:pPr>
        <w:numPr>
          <w:ilvl w:val="0"/>
          <w:numId w:val="26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software IHM de la consola del operador será compatible con inglés y español.</w:t>
      </w:r>
    </w:p>
    <w:p w14:paraId="21F80313"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429AA9AD" w14:textId="77777777" w:rsidR="009102A7" w:rsidRPr="00576AF8" w:rsidRDefault="009102A7" w:rsidP="009102A7">
      <w:pPr>
        <w:ind w:left="720" w:firstLine="696"/>
        <w:jc w:val="left"/>
        <w:outlineLvl w:val="2"/>
        <w:rPr>
          <w:color w:val="000000"/>
          <w:sz w:val="22"/>
          <w:szCs w:val="22"/>
          <w:lang w:val="es-EC" w:eastAsia="es-EC" w:bidi="ar-SA"/>
        </w:rPr>
      </w:pPr>
      <w:bookmarkStart w:id="754" w:name="_Toc160268920"/>
      <w:bookmarkStart w:id="755" w:name="_Toc160455942"/>
      <w:r w:rsidRPr="00576AF8">
        <w:rPr>
          <w:b/>
          <w:sz w:val="22"/>
          <w:szCs w:val="22"/>
        </w:rPr>
        <w:t xml:space="preserve">2.1.1.1.1.10.2 </w:t>
      </w:r>
      <w:r w:rsidRPr="00576AF8">
        <w:rPr>
          <w:b/>
          <w:color w:val="000000"/>
          <w:sz w:val="22"/>
          <w:szCs w:val="22"/>
          <w:lang w:val="es-EC" w:eastAsia="es-EC" w:bidi="ar-SA"/>
        </w:rPr>
        <w:t>Control de Acceso</w:t>
      </w:r>
      <w:bookmarkEnd w:id="754"/>
      <w:bookmarkEnd w:id="755"/>
    </w:p>
    <w:p w14:paraId="426C1E0D"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consola lógica se asociará con diferentes perfiles de operador (uno para cada operador autorizado a acceder al sistema desde esa consola) con características operativas diferentes, dependiendo del área de autoridad que se asignará a la misma consola lógica. De hecho, cada consola lógica se asociará con una autorización congruente con las tareas asignadas al rol de los operadores que accederán al sistema desde la consola en cuestión.</w:t>
      </w:r>
    </w:p>
    <w:p w14:paraId="48C9A825"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A cada área de autorización se asignará el control de los elementos de la red, las intervenciones en las alarmas, las listas de presentación del estado de los mismos elementos de la red y las imágenes de parte o toda la red. La funcionalidad de una consola se determinará por la autorización asignada, definiendo los parámetros apropiados. El sistema será capaz de soportar un mínimo de 10 niveles diferentes de usuarios utilizando roles (es decir, superusuario, supervisor, operador de transmisión, operador de generación, y cualquier otro creado libremente).</w:t>
      </w:r>
    </w:p>
    <w:p w14:paraId="7B4481F5"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facilidades de control de acceso se organizarán para restringir el acceso funcional a los usuarios predefinidos. Los privilegios de acceso serán libremente definibles y determinarán el acceso a áreas tales como:</w:t>
      </w:r>
    </w:p>
    <w:p w14:paraId="0E3A9123" w14:textId="77777777" w:rsidR="009102A7" w:rsidRPr="00576AF8" w:rsidRDefault="009102A7" w:rsidP="00B42735">
      <w:pPr>
        <w:numPr>
          <w:ilvl w:val="0"/>
          <w:numId w:val="443"/>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Funciones (controles, visualizaciones, reportes, edición etc.)</w:t>
      </w:r>
    </w:p>
    <w:p w14:paraId="77DEAC60" w14:textId="77777777" w:rsidR="009102A7" w:rsidRPr="00576AF8" w:rsidRDefault="009102A7" w:rsidP="00B42735">
      <w:pPr>
        <w:numPr>
          <w:ilvl w:val="0"/>
          <w:numId w:val="443"/>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Datos (tiempo real, histórico, etc.)</w:t>
      </w:r>
    </w:p>
    <w:p w14:paraId="3487D5B6" w14:textId="77777777" w:rsidR="009102A7" w:rsidRPr="00576AF8" w:rsidRDefault="009102A7" w:rsidP="00B42735">
      <w:pPr>
        <w:numPr>
          <w:ilvl w:val="0"/>
          <w:numId w:val="443"/>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Áreas geográficas.</w:t>
      </w:r>
    </w:p>
    <w:p w14:paraId="5A1E8440" w14:textId="77777777" w:rsidR="009102A7" w:rsidRPr="00576AF8" w:rsidRDefault="009102A7" w:rsidP="00B42735">
      <w:pPr>
        <w:numPr>
          <w:ilvl w:val="0"/>
          <w:numId w:val="443"/>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Áreas de responsabilidad.</w:t>
      </w:r>
    </w:p>
    <w:p w14:paraId="5FC482FC" w14:textId="77777777" w:rsidR="009102A7" w:rsidRPr="00576AF8" w:rsidRDefault="009102A7" w:rsidP="00B42735">
      <w:pPr>
        <w:numPr>
          <w:ilvl w:val="0"/>
          <w:numId w:val="443"/>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Edición o creación de archivos de datos, reportes, etc.</w:t>
      </w:r>
    </w:p>
    <w:p w14:paraId="10E1E16E" w14:textId="77777777" w:rsidR="009102A7" w:rsidRPr="00576AF8" w:rsidRDefault="009102A7" w:rsidP="00B42735">
      <w:pPr>
        <w:numPr>
          <w:ilvl w:val="0"/>
          <w:numId w:val="443"/>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Modificación de la base de datos y la visualización gráfica.</w:t>
      </w:r>
    </w:p>
    <w:p w14:paraId="4491F14F"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privilegios de acceso reales y los usuarios se definirán durante la fase de implementación detallada del proyecto.</w:t>
      </w:r>
    </w:p>
    <w:p w14:paraId="2DE32DF4"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parámetros de la cuenta deben personalizarse según las preferencias del usuario final.</w:t>
      </w:r>
    </w:p>
    <w:p w14:paraId="7F66C3B3"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debe generar una alarma si los puntos de datos no se incluyen en al menos un área de responsabilidad o si no hay ningún operador conectado a un área de responsabilidad para evitar áreas sin cobertura.</w:t>
      </w:r>
    </w:p>
    <w:p w14:paraId="246EB6F8"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caso de falla de una consola de operación, el sistema tendrá consolas alternativas predefinidas para transferir automáticamente el área de responsabilidad sin cobertura a esta consola alternativa.</w:t>
      </w:r>
    </w:p>
    <w:p w14:paraId="466E1532"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operaciones que un usuario puede realizar en el sistema están vinculadas a un conjunto de protecciones lógicas asociadas al propio usuario y a la consola en la que está operando.</w:t>
      </w:r>
    </w:p>
    <w:p w14:paraId="082FF57C"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despliegue mostrado se asocia con un conjunto de acciones que se pueden activar en el cuerpo de este y un cierto número de acciones relacionadas con los elementos que componen el despliegue. La visualización de las acciones se produce por orden del operador (activación de los botones del ratón) y el sistema muestra un menú emergente que contiene las acciones disponibles. Los textos que identifican cada acción de control se pueden mostrar "en claro" o "sombreados", en este último caso se denominan "insensibles" porque, además de la diferencia de color, no se pueden activar.</w:t>
      </w:r>
    </w:p>
    <w:p w14:paraId="32E9531D"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estado de insensibilidad de ciertas acciones depende de una matriz de protecciones asociadas al usuario y a la consola.</w:t>
      </w:r>
    </w:p>
    <w:p w14:paraId="3C265ACC"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acción de control se asocia con una categoría que determina el tipo de funcionalidad implementada. Cada despliegue se asocia con una categoría que las clasifica en función del tipo de datos que se muestran y, por lo tanto, del tipo de usuario que las utilizará.</w:t>
      </w:r>
    </w:p>
    <w:p w14:paraId="26762717" w14:textId="77777777" w:rsidR="009102A7" w:rsidRPr="00576AF8" w:rsidRDefault="009102A7" w:rsidP="009102A7">
      <w:pPr>
        <w:numPr>
          <w:ilvl w:val="0"/>
          <w:numId w:val="26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 las consideraciones anteriores se deriva un mecanismo de protección que debe basarse en una matriz de banderas compuesta de la siguiente manera:</w:t>
      </w:r>
    </w:p>
    <w:p w14:paraId="1DC6752D" w14:textId="77777777" w:rsidR="009102A7" w:rsidRPr="00576AF8" w:rsidRDefault="009102A7" w:rsidP="00B42735">
      <w:pPr>
        <w:numPr>
          <w:ilvl w:val="0"/>
          <w:numId w:val="44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Cada columna identifica una categoría de despliegues.</w:t>
      </w:r>
    </w:p>
    <w:p w14:paraId="6189EE53" w14:textId="77777777" w:rsidR="009102A7" w:rsidRPr="00576AF8" w:rsidRDefault="009102A7" w:rsidP="00B42735">
      <w:pPr>
        <w:numPr>
          <w:ilvl w:val="0"/>
          <w:numId w:val="44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Cada fila identifica una clase de acciones de control.</w:t>
      </w:r>
    </w:p>
    <w:p w14:paraId="0388E216" w14:textId="77777777" w:rsidR="009102A7" w:rsidRPr="00576AF8" w:rsidRDefault="009102A7" w:rsidP="00B42735">
      <w:pPr>
        <w:numPr>
          <w:ilvl w:val="0"/>
          <w:numId w:val="44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Cada elemento colocado en la intersección de una fila y una columna determina, con su valor, la posibilidad, o no, de ejecutar la clase de acciones especificada en la fila en la clase de despliegue identificado por la columna.</w:t>
      </w:r>
    </w:p>
    <w:p w14:paraId="35562A1A" w14:textId="77777777" w:rsidR="009102A7" w:rsidRPr="00576AF8" w:rsidRDefault="009102A7" w:rsidP="009102A7">
      <w:pPr>
        <w:ind w:left="720" w:firstLine="696"/>
        <w:jc w:val="left"/>
        <w:outlineLvl w:val="2"/>
        <w:rPr>
          <w:color w:val="000000"/>
          <w:sz w:val="22"/>
          <w:szCs w:val="22"/>
          <w:lang w:val="es-EC" w:eastAsia="es-EC" w:bidi="ar-SA"/>
        </w:rPr>
      </w:pPr>
      <w:bookmarkStart w:id="756" w:name="_Toc160268921"/>
      <w:bookmarkStart w:id="757" w:name="_Toc160455943"/>
      <w:proofErr w:type="gramStart"/>
      <w:r w:rsidRPr="00576AF8">
        <w:rPr>
          <w:b/>
          <w:sz w:val="22"/>
          <w:szCs w:val="22"/>
        </w:rPr>
        <w:t xml:space="preserve">2.1.1.1.1.10.3  </w:t>
      </w:r>
      <w:r w:rsidRPr="00576AF8">
        <w:rPr>
          <w:b/>
          <w:color w:val="000000"/>
          <w:sz w:val="22"/>
          <w:szCs w:val="22"/>
          <w:lang w:val="es-EC" w:eastAsia="es-EC" w:bidi="ar-SA"/>
        </w:rPr>
        <w:t>Despliegues</w:t>
      </w:r>
      <w:bookmarkEnd w:id="756"/>
      <w:bookmarkEnd w:id="757"/>
      <w:proofErr w:type="gramEnd"/>
    </w:p>
    <w:p w14:paraId="459A058E" w14:textId="77777777" w:rsidR="009102A7" w:rsidRPr="00576AF8" w:rsidRDefault="009102A7" w:rsidP="009102A7">
      <w:pPr>
        <w:numPr>
          <w:ilvl w:val="0"/>
          <w:numId w:val="18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el subsistema IHM, todos los despliegues deben mostrar imágenes en ventanas que pueden ocupar toda o parte de la pantalla. Este subsistema permite al Operador ver múltiples despliegues en cada pantalla, cada una abierta en una ventana o cerrada en un icono. Todas las imágenes, abiertas o iconizadas, son actualizadas continuamente por IHM con datos adquiridos del campo o calculados por las funciones de la aplicación, mientras que las operaciones de control están disponibles solo en la imagen que se muestra en la ventana activa elegida por el Operador a través de una acción de "clic", ejecutada en la imagen misma con el botón izquierdo del mouse.</w:t>
      </w:r>
    </w:p>
    <w:p w14:paraId="40D3F7D2" w14:textId="77777777" w:rsidR="009102A7" w:rsidRPr="00576AF8" w:rsidRDefault="009102A7" w:rsidP="009102A7">
      <w:pPr>
        <w:numPr>
          <w:ilvl w:val="0"/>
          <w:numId w:val="18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cada Consola siempre está abierta una ventana con un despliegue de control activa, a través de la cual el Operador interactúa con el sistema eligiendo menús, definiendo la pantalla en la que se va a dirigir un nuevo despliegue, introduciendo datos, viendo y adquiriendo las últimas alarmas, etc.</w:t>
      </w:r>
    </w:p>
    <w:p w14:paraId="1ED707F6" w14:textId="77777777" w:rsidR="009102A7" w:rsidRPr="00576AF8" w:rsidRDefault="009102A7" w:rsidP="009102A7">
      <w:pPr>
        <w:numPr>
          <w:ilvl w:val="0"/>
          <w:numId w:val="18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despliegues se dividen en grupos lógicos, con el fin de definir una estructura de diseño estándar para cada grupo y facilitar el acceso rápido a los diversos despliegues a través de árboles de llamadas predefinidos, botones configurables y facilidades de búsqueda por patrones de texto. Los principales tipos de despliegues proporcionados se muestran en los siguientes párrafos.</w:t>
      </w:r>
    </w:p>
    <w:p w14:paraId="3A592596" w14:textId="77777777" w:rsidR="009102A7" w:rsidRPr="00576AF8" w:rsidRDefault="009102A7" w:rsidP="009102A7">
      <w:pPr>
        <w:numPr>
          <w:ilvl w:val="0"/>
          <w:numId w:val="18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despliegues generales podrán presentar recursos gráficos dinámicos en 2D, 3D o de realidad virtual extendida disponibles para incrementar la experiencia visual de la información por parte del usuario. </w:t>
      </w:r>
    </w:p>
    <w:p w14:paraId="0903AE55" w14:textId="77777777" w:rsidR="009102A7" w:rsidRPr="00576AF8" w:rsidRDefault="009102A7" w:rsidP="009102A7">
      <w:pPr>
        <w:numPr>
          <w:ilvl w:val="0"/>
          <w:numId w:val="18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despliegue del IHM debe dar permanentemente la información principal del sistema a través de:</w:t>
      </w:r>
    </w:p>
    <w:p w14:paraId="6D43A740" w14:textId="77777777" w:rsidR="009102A7" w:rsidRPr="00576AF8" w:rsidRDefault="009102A7" w:rsidP="00B42735">
      <w:pPr>
        <w:numPr>
          <w:ilvl w:val="0"/>
          <w:numId w:val="445"/>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El menú (muestra cómo cambiar entre las diferentes ventanas).</w:t>
      </w:r>
    </w:p>
    <w:p w14:paraId="5774412D" w14:textId="77777777" w:rsidR="009102A7" w:rsidRPr="00576AF8" w:rsidRDefault="009102A7" w:rsidP="00B42735">
      <w:pPr>
        <w:numPr>
          <w:ilvl w:val="0"/>
          <w:numId w:val="445"/>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La barra de alarmas (que muestra la última alarma no reconocida).</w:t>
      </w:r>
    </w:p>
    <w:p w14:paraId="21F5502A" w14:textId="77777777" w:rsidR="009102A7" w:rsidRPr="00576AF8" w:rsidRDefault="009102A7" w:rsidP="00B42735">
      <w:pPr>
        <w:numPr>
          <w:ilvl w:val="0"/>
          <w:numId w:val="445"/>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La barra de herramientas.</w:t>
      </w:r>
    </w:p>
    <w:p w14:paraId="5B11158D" w14:textId="77777777" w:rsidR="009102A7" w:rsidRPr="00576AF8" w:rsidRDefault="009102A7" w:rsidP="009102A7">
      <w:pPr>
        <w:numPr>
          <w:ilvl w:val="0"/>
          <w:numId w:val="18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mejorar la conciencia situacional de los operadores tal que les permita conocer el estado de la red de manera rápida y adaptarse a la función, rol o proceso se deben considerar las siguientes facilidades:</w:t>
      </w:r>
    </w:p>
    <w:p w14:paraId="3974A833"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Acercamiento/Alejamiento (Zoom).</w:t>
      </w:r>
    </w:p>
    <w:p w14:paraId="4B658E88"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Desplazamiento (Pan).</w:t>
      </w:r>
    </w:p>
    <w:p w14:paraId="1219E7BA"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Desaparición dinámica de elementos asociados a las acciones de zoom físico (Decluttering).</w:t>
      </w:r>
    </w:p>
    <w:p w14:paraId="06DB88C4"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Multicapas (layers) para permitir al operador mostrar u ocultar información complementaria.</w:t>
      </w:r>
    </w:p>
    <w:p w14:paraId="2F1A718A"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Superposición de conjuntos de datos: para permitir al operador ver, alternativamente, en el mismo despliegue, diferentes conjuntos de datos, por ejemplo, mediciones adquiridas de plantas o, alternativamente, mediciones calculadas por funciones de la aplicación (cálculos de red).</w:t>
      </w:r>
    </w:p>
    <w:p w14:paraId="248286AA"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Presentación de datos históricos (playback): para permitir visualizar los despliegues en cualquier momento en el pasado y reproducir los cambios registrados en el sistema dentro de un intervalo de tiempo especificado.</w:t>
      </w:r>
    </w:p>
    <w:p w14:paraId="3E74DED5" w14:textId="77777777" w:rsidR="009102A7" w:rsidRPr="00576AF8" w:rsidRDefault="009102A7" w:rsidP="00B42735">
      <w:pPr>
        <w:numPr>
          <w:ilvl w:val="0"/>
          <w:numId w:val="44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Coloración de contornos (Contour coloring), por ejemplo, para proporcionar una visión geográfica de cómo varían los voltajes en todo el sistema.</w:t>
      </w:r>
    </w:p>
    <w:p w14:paraId="24955843" w14:textId="77777777" w:rsidR="009102A7" w:rsidRPr="00576AF8" w:rsidRDefault="009102A7" w:rsidP="009102A7">
      <w:pPr>
        <w:suppressAutoHyphens w:val="0"/>
        <w:spacing w:before="120" w:after="0"/>
        <w:ind w:left="3192"/>
        <w:textAlignment w:val="baseline"/>
        <w:rPr>
          <w:color w:val="000000"/>
          <w:sz w:val="22"/>
          <w:szCs w:val="22"/>
          <w:lang w:val="es-EC" w:eastAsia="es-EC" w:bidi="ar-SA"/>
        </w:rPr>
      </w:pPr>
    </w:p>
    <w:p w14:paraId="1067D5BD" w14:textId="77777777" w:rsidR="009102A7" w:rsidRPr="00576AF8" w:rsidRDefault="009102A7" w:rsidP="009102A7">
      <w:pPr>
        <w:ind w:left="720" w:firstLine="696"/>
        <w:jc w:val="left"/>
        <w:outlineLvl w:val="2"/>
        <w:rPr>
          <w:color w:val="000000"/>
          <w:sz w:val="22"/>
          <w:szCs w:val="22"/>
          <w:lang w:val="es-EC" w:eastAsia="es-EC" w:bidi="ar-SA"/>
        </w:rPr>
      </w:pPr>
      <w:bookmarkStart w:id="758" w:name="_Toc160268922"/>
      <w:bookmarkStart w:id="759" w:name="_Toc160455944"/>
      <w:proofErr w:type="gramStart"/>
      <w:r w:rsidRPr="00576AF8">
        <w:rPr>
          <w:b/>
          <w:sz w:val="22"/>
          <w:szCs w:val="22"/>
        </w:rPr>
        <w:t xml:space="preserve">2.1.1.1.1.10.4  </w:t>
      </w:r>
      <w:r w:rsidRPr="00576AF8">
        <w:rPr>
          <w:b/>
          <w:color w:val="000000"/>
          <w:sz w:val="22"/>
          <w:szCs w:val="22"/>
          <w:lang w:val="es-EC" w:eastAsia="es-EC" w:bidi="ar-SA"/>
        </w:rPr>
        <w:t>Despliegues</w:t>
      </w:r>
      <w:proofErr w:type="gramEnd"/>
      <w:r w:rsidRPr="00576AF8">
        <w:rPr>
          <w:b/>
          <w:color w:val="000000"/>
          <w:sz w:val="22"/>
          <w:szCs w:val="22"/>
          <w:lang w:val="es-EC" w:eastAsia="es-EC" w:bidi="ar-SA"/>
        </w:rPr>
        <w:t xml:space="preserve"> Esquemáticos</w:t>
      </w:r>
      <w:bookmarkEnd w:id="758"/>
      <w:bookmarkEnd w:id="759"/>
    </w:p>
    <w:p w14:paraId="7A7F6D80"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Las visualizaciones esquemáticas son diagramas que muestran de forma dinámica la configuración y el estado de la red eléctrica (subestaciones y elementos de la red) y de la red de comunicación.</w:t>
      </w:r>
    </w:p>
    <w:p w14:paraId="0598D066"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Los objetos gráficos que representan los elementos de la red están conectados entre sí por información estática. Estos objetos son elementos dinámicos que representan el estado de los elementos de la red y el valor numérico de los flujos de energía, voltaje y frecuencia, medidos o calculados por las funciones de la aplicación. </w:t>
      </w:r>
    </w:p>
    <w:p w14:paraId="527F8723"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Los objetos gráficos que representan los elementos de la red pueden cambiar de color en relación con su estado gracias a la función de coloración dinámica de la red, que es una aplicación esencial para la gestión dinámica de imágenes gráficas capaces de reflejar el estado real de la red, tanto en cuanto a la configuración (por ejemplo, "línea fuera de servicio") como a la magnitud de los flujos (por ejemplo, "línea sobrecargada").</w:t>
      </w:r>
    </w:p>
    <w:p w14:paraId="01701865"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Los diagramas unifilares pueden ofrecer al Operador una "visión general" de la red o información detallada de una sola subestación. Para el nuevo sistema de control, se prevén cinco (5) niveles diferentes de representación de la red eléctrica, conectados entre sí a través de un árbol de llamadas, que en realidad constituye un zoom lógico, para ofrecer gradualmente al Operador una información más detallada sobre el estado de la red. La función de zoom lógico permitirá conectar progresivamente los siguientes tipos de despliegues a través de "pasos" sucesivos:</w:t>
      </w:r>
    </w:p>
    <w:p w14:paraId="44648387" w14:textId="77777777" w:rsidR="009102A7" w:rsidRPr="00576AF8" w:rsidRDefault="009102A7" w:rsidP="009102A7">
      <w:pPr>
        <w:numPr>
          <w:ilvl w:val="0"/>
          <w:numId w:val="264"/>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Nivel 0: Mapa general, que reproduce el diagrama topográfico de las redes de transmisión de alta tensión con flujos integrados y nodos configurados. Estos tendrán capacidad de mostrar de fondo mapas geográficos e imágenes satelitales de forma selectiva, con posibilidad de actualización en línea y con graduación de niveles de contraste.</w:t>
      </w:r>
    </w:p>
    <w:p w14:paraId="5F16ABA8" w14:textId="77777777" w:rsidR="009102A7" w:rsidRPr="00576AF8" w:rsidRDefault="009102A7" w:rsidP="009102A7">
      <w:pPr>
        <w:numPr>
          <w:ilvl w:val="0"/>
          <w:numId w:val="264"/>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Nivel 1: Ofrece una visión general de la red de transmisión en forma gráfica con un resumen de los principales flujos de energía; la red se representa según una configuración de bloques, donde cada uno muestra los valores de potencia y energía activa (programada y real) y potencia reactiva, intercambio con redes vecinas, producción y carga de las diferentes zonas de la red de distribución.</w:t>
      </w:r>
    </w:p>
    <w:p w14:paraId="03C43AA1" w14:textId="77777777" w:rsidR="009102A7" w:rsidRPr="00576AF8" w:rsidRDefault="009102A7" w:rsidP="009102A7">
      <w:pPr>
        <w:numPr>
          <w:ilvl w:val="0"/>
          <w:numId w:val="264"/>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Nivel 2: Diagrama de bloques con representación de la red real, donde cada bloque corresponde a un sistema, con el estado de los interruptores de línea y transformadores, los valores de voltaje y frecuencia.</w:t>
      </w:r>
    </w:p>
    <w:p w14:paraId="1A09E9DD" w14:textId="77777777" w:rsidR="009102A7" w:rsidRPr="00576AF8" w:rsidRDefault="009102A7" w:rsidP="009102A7">
      <w:pPr>
        <w:numPr>
          <w:ilvl w:val="0"/>
          <w:numId w:val="264"/>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Nivel 3: Diagrama de la red, con representación real de las barras, seccionadores, interruptores, mediciones de potencia activa y reactiva adquiridas por las plantas y en la primera superposición la telemetría de corriente correspondiente y el código de las líneas; en la segunda "superposición" las potencias activas y reactivas calculadas a partir de la estimación del estado.</w:t>
      </w:r>
    </w:p>
    <w:p w14:paraId="095D7FAE" w14:textId="77777777" w:rsidR="009102A7" w:rsidRPr="00576AF8" w:rsidRDefault="009102A7" w:rsidP="009102A7">
      <w:pPr>
        <w:numPr>
          <w:ilvl w:val="0"/>
          <w:numId w:val="264"/>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Nivel 4: Visualización esquemática de la subestación o planta, con todos los detalles posibles de la representación topológica del sistema, con todas las mediciones y señales y con todos los puntos sensibles necesarios para el control completo (control remoto) de la estación. Desde esta visualización también es posible obtener los datos detallados de cada objeto individual mostrado (medición, indicación, elementos de la red, unidades de control, etc.) simplemente haciendo clic con el mouse disponible en el sistema.</w:t>
      </w:r>
    </w:p>
    <w:p w14:paraId="62F7F91F" w14:textId="77777777" w:rsidR="009102A7" w:rsidRPr="00576AF8" w:rsidRDefault="009102A7" w:rsidP="009102A7">
      <w:pPr>
        <w:numPr>
          <w:ilvl w:val="0"/>
          <w:numId w:val="264"/>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Nivel de áreas de mercado: Simplificación de los flujos como suma por áreas de mercado (como nivel 1).</w:t>
      </w:r>
    </w:p>
    <w:p w14:paraId="5E1CFBF7" w14:textId="77777777" w:rsidR="009102A7" w:rsidRPr="00576AF8" w:rsidRDefault="009102A7" w:rsidP="009102A7">
      <w:pPr>
        <w:suppressAutoHyphens w:val="0"/>
        <w:spacing w:before="120" w:after="0"/>
        <w:ind w:left="1985" w:firstLine="142"/>
        <w:textAlignment w:val="baseline"/>
        <w:rPr>
          <w:color w:val="000000"/>
          <w:sz w:val="22"/>
          <w:szCs w:val="22"/>
          <w:lang w:val="es-EC" w:eastAsia="es-EC" w:bidi="ar-SA"/>
        </w:rPr>
      </w:pPr>
      <w:r w:rsidRPr="00576AF8">
        <w:rPr>
          <w:color w:val="000000"/>
          <w:sz w:val="22"/>
          <w:szCs w:val="22"/>
          <w:lang w:val="es-EC" w:eastAsia="es-EC" w:bidi="ar-SA"/>
        </w:rPr>
        <w:lastRenderedPageBreak/>
        <w:t>Los despliegues o mapas tendrán la capacidad para visualizar al menos: </w:t>
      </w:r>
    </w:p>
    <w:p w14:paraId="18FB2D8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Ángulos </w:t>
      </w:r>
    </w:p>
    <w:p w14:paraId="770ED5C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Carga de líneas y transformadores (MW/MVAR/A y dirección) </w:t>
      </w:r>
    </w:p>
    <w:p w14:paraId="0F2D356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Perfil de voltaje </w:t>
      </w:r>
    </w:p>
    <w:p w14:paraId="546663B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Índice de severidad del análisis de contingencia </w:t>
      </w:r>
    </w:p>
    <w:p w14:paraId="770D5A1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Estado de conexión de los elementos de red seleccionados.</w:t>
      </w:r>
    </w:p>
    <w:p w14:paraId="564738E4"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055E76BF" w14:textId="77777777" w:rsidR="009102A7" w:rsidRPr="00576AF8" w:rsidRDefault="009102A7" w:rsidP="009102A7">
      <w:pPr>
        <w:suppressAutoHyphens w:val="0"/>
        <w:spacing w:after="0"/>
        <w:rPr>
          <w:color w:val="000000"/>
          <w:sz w:val="22"/>
          <w:szCs w:val="22"/>
          <w:lang w:val="es-EC" w:eastAsia="es-EC" w:bidi="ar-SA"/>
        </w:rPr>
      </w:pPr>
      <w:r w:rsidRPr="00576AF8">
        <w:rPr>
          <w:color w:val="000000"/>
          <w:sz w:val="22"/>
          <w:szCs w:val="22"/>
          <w:lang w:val="es-EC" w:eastAsia="es-EC" w:bidi="ar-SA"/>
        </w:rPr>
        <w:t xml:space="preserve">                                  Los mapas de red deben tener la capacidad de selección y filtrado al menos por:</w:t>
      </w:r>
    </w:p>
    <w:p w14:paraId="13FE30C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Nivel de voltaje</w:t>
      </w:r>
    </w:p>
    <w:p w14:paraId="19A2801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Subregión Geográfica</w:t>
      </w:r>
    </w:p>
    <w:p w14:paraId="0A18A98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Región Geográfica</w:t>
      </w:r>
    </w:p>
    <w:p w14:paraId="6F2B87B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Área de control</w:t>
      </w:r>
    </w:p>
    <w:p w14:paraId="740246C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Área de responsabilidad</w:t>
      </w:r>
    </w:p>
    <w:p w14:paraId="16613AD9" w14:textId="77777777" w:rsidR="009102A7" w:rsidRPr="00576AF8" w:rsidRDefault="009102A7" w:rsidP="009102A7">
      <w:pPr>
        <w:suppressAutoHyphens w:val="0"/>
        <w:spacing w:after="0"/>
        <w:ind w:left="1843"/>
        <w:contextualSpacing/>
        <w:rPr>
          <w:color w:val="000000"/>
          <w:sz w:val="22"/>
          <w:szCs w:val="22"/>
          <w:lang w:val="es-EC" w:eastAsia="es-EC" w:bidi="ar-SA"/>
        </w:rPr>
      </w:pPr>
      <w:bookmarkStart w:id="760" w:name="_Toc160268923"/>
      <w:bookmarkStart w:id="761" w:name="_Toc160455945"/>
    </w:p>
    <w:p w14:paraId="2B1B5D7E" w14:textId="77777777" w:rsidR="009102A7" w:rsidRPr="00576AF8" w:rsidRDefault="009102A7" w:rsidP="009102A7">
      <w:pPr>
        <w:ind w:left="720" w:firstLine="696"/>
        <w:jc w:val="left"/>
        <w:outlineLvl w:val="2"/>
        <w:rPr>
          <w:color w:val="000000"/>
          <w:sz w:val="22"/>
          <w:szCs w:val="22"/>
          <w:lang w:val="es-EC" w:eastAsia="es-EC" w:bidi="ar-SA"/>
        </w:rPr>
      </w:pPr>
      <w:r w:rsidRPr="00576AF8">
        <w:rPr>
          <w:b/>
          <w:sz w:val="22"/>
          <w:szCs w:val="22"/>
        </w:rPr>
        <w:t xml:space="preserve">2.1.1.1.1.10.5 </w:t>
      </w:r>
      <w:r w:rsidRPr="00576AF8">
        <w:rPr>
          <w:b/>
          <w:color w:val="000000"/>
          <w:sz w:val="22"/>
          <w:szCs w:val="22"/>
          <w:lang w:val="es-EC" w:eastAsia="es-EC" w:bidi="ar-SA"/>
        </w:rPr>
        <w:t>Despliegues Tabulares</w:t>
      </w:r>
      <w:bookmarkEnd w:id="760"/>
      <w:bookmarkEnd w:id="761"/>
    </w:p>
    <w:p w14:paraId="53DE6943" w14:textId="77777777" w:rsidR="009102A7" w:rsidRPr="00576AF8" w:rsidRDefault="009102A7" w:rsidP="009102A7">
      <w:pPr>
        <w:numPr>
          <w:ilvl w:val="0"/>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Son los despliegues en los cuales los valores se identifican por la intersección de las cabeceras de fila y columna. Normalmente, este tipo de despliegue se utiliza para mostrar valores de configuración de ingeniería, información de base de datos en tiempo real, estado de dispositivos de comunicación, componentes del sistema, ingeniería de aplicaciones, valores de ajuste y resultados, valores históricos. Un ejemplo típico es el de las pantallas real/planificado, donde los valores calculados se comparan con los valores de pronóstico correspondientes.</w:t>
      </w:r>
    </w:p>
    <w:p w14:paraId="16791BEA" w14:textId="77777777" w:rsidR="009102A7" w:rsidRPr="00576AF8" w:rsidRDefault="009102A7" w:rsidP="009102A7">
      <w:pPr>
        <w:numPr>
          <w:ilvl w:val="0"/>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Normalmente, durante las acciones de "desplazamiento", las cabeceras de fila y columna se bloquearán para garantizar siempre la máxima legibilidad de la tabla. Estas pantallas se suelen utilizar para realizar acciones de control de funciones de aplicación (parámetros de entrada de datos, opciones operativas, etc.) y para ver los resultados relacionados.</w:t>
      </w:r>
    </w:p>
    <w:p w14:paraId="3F309B0D" w14:textId="77777777" w:rsidR="009102A7" w:rsidRPr="00576AF8" w:rsidRDefault="009102A7" w:rsidP="009102A7">
      <w:pPr>
        <w:numPr>
          <w:ilvl w:val="0"/>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despliegues tabulares deben tener la capacidad de filtrar y ordenar por columna, mover las columnas, crear filtros predefinidos, funciones de ubicación para encontrar objetos en otras pantallas, copiar datos y pegarlos en aplicaciones de MS Office y exportar datos a archivos CSV. Las pantallas tabulares deben permitir presentaciones combinadas como tablas y gráficos.</w:t>
      </w:r>
    </w:p>
    <w:p w14:paraId="46B920A8" w14:textId="77777777" w:rsidR="009102A7" w:rsidRPr="00576AF8" w:rsidRDefault="009102A7" w:rsidP="009102A7">
      <w:pPr>
        <w:suppressAutoHyphens w:val="0"/>
        <w:spacing w:after="0"/>
        <w:ind w:left="1843"/>
        <w:contextualSpacing/>
        <w:rPr>
          <w:color w:val="000000"/>
          <w:sz w:val="22"/>
          <w:szCs w:val="22"/>
          <w:lang w:val="es-EC" w:eastAsia="es-EC" w:bidi="ar-SA"/>
        </w:rPr>
      </w:pPr>
      <w:bookmarkStart w:id="762" w:name="_Toc160268924"/>
      <w:bookmarkStart w:id="763" w:name="_Toc160455946"/>
    </w:p>
    <w:p w14:paraId="4726AC31" w14:textId="77777777" w:rsidR="009102A7" w:rsidRPr="00576AF8" w:rsidRDefault="009102A7" w:rsidP="009102A7">
      <w:pPr>
        <w:ind w:left="720" w:firstLine="696"/>
        <w:jc w:val="left"/>
        <w:outlineLvl w:val="2"/>
        <w:rPr>
          <w:color w:val="000000"/>
          <w:sz w:val="22"/>
          <w:szCs w:val="22"/>
          <w:lang w:val="es-EC" w:eastAsia="es-EC" w:bidi="ar-SA"/>
        </w:rPr>
      </w:pPr>
      <w:r w:rsidRPr="00576AF8">
        <w:rPr>
          <w:b/>
          <w:sz w:val="22"/>
          <w:szCs w:val="22"/>
        </w:rPr>
        <w:t xml:space="preserve">2.1.1.1.1.10.6 </w:t>
      </w:r>
      <w:r w:rsidRPr="00576AF8">
        <w:rPr>
          <w:b/>
          <w:color w:val="000000"/>
          <w:sz w:val="22"/>
          <w:szCs w:val="22"/>
          <w:lang w:val="es-EC" w:eastAsia="es-EC" w:bidi="ar-SA"/>
        </w:rPr>
        <w:t>Despliegues de Tendencias</w:t>
      </w:r>
      <w:bookmarkEnd w:id="762"/>
      <w:bookmarkEnd w:id="763"/>
    </w:p>
    <w:p w14:paraId="31A8A181" w14:textId="77777777" w:rsidR="009102A7" w:rsidRPr="00576AF8" w:rsidRDefault="009102A7" w:rsidP="009102A7">
      <w:pPr>
        <w:suppressAutoHyphens w:val="0"/>
        <w:spacing w:after="0"/>
        <w:ind w:left="1843"/>
        <w:contextualSpacing/>
        <w:rPr>
          <w:color w:val="000000"/>
          <w:sz w:val="22"/>
          <w:szCs w:val="22"/>
          <w:lang w:val="es-EC" w:eastAsia="es-EC" w:bidi="ar-SA"/>
        </w:rPr>
      </w:pPr>
      <w:r w:rsidRPr="00576AF8">
        <w:rPr>
          <w:color w:val="000000"/>
          <w:sz w:val="22"/>
          <w:szCs w:val="22"/>
          <w:lang w:val="es-EC" w:eastAsia="es-EC" w:bidi="ar-SA"/>
        </w:rPr>
        <w:t>Estos se utilizan para representar la tendencia gráfica de los valores adquiridos o calculados, tanto previstos como reales, elegidos por el Operador "en tiempo de ejecución" gracias a la disponibilidad de las siguientes facilidades funcionales:</w:t>
      </w:r>
    </w:p>
    <w:p w14:paraId="2D489334" w14:textId="77777777" w:rsidR="009102A7" w:rsidRPr="00576AF8" w:rsidRDefault="009102A7" w:rsidP="009102A7">
      <w:pPr>
        <w:suppressAutoHyphens w:val="0"/>
        <w:spacing w:after="0"/>
        <w:ind w:left="1843"/>
        <w:contextualSpacing/>
        <w:rPr>
          <w:color w:val="000000"/>
          <w:sz w:val="22"/>
          <w:szCs w:val="22"/>
          <w:lang w:val="es-EC" w:eastAsia="es-EC" w:bidi="ar-SA"/>
        </w:rPr>
      </w:pPr>
    </w:p>
    <w:p w14:paraId="5443F45A"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Elección intuitiva de los valores a mostrar en cada par de ejes cartesianos. Arrastre y soltado fácil de puntos desde diagramas esquemáticos y mediante herramientas de búsqueda.</w:t>
      </w:r>
    </w:p>
    <w:p w14:paraId="4E01FEF4"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Escalas de ejes calculadas automáticamente por el sistema, fijas y definidas manualmente por el operador.</w:t>
      </w:r>
    </w:p>
    <w:p w14:paraId="3D9EC3D0"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Generación automática de la leyenda.</w:t>
      </w:r>
    </w:p>
    <w:p w14:paraId="0ECACEFE"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Bloqueo de los ejes durante la ejecución de las funciones de "desplazamiento".</w:t>
      </w:r>
    </w:p>
    <w:p w14:paraId="1573A43E"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Múltiples valores (hasta 10).</w:t>
      </w:r>
    </w:p>
    <w:p w14:paraId="10709A52"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Tipos de puntos combinados en la misma tendencia (indicaciones, magnitudes).</w:t>
      </w:r>
    </w:p>
    <w:p w14:paraId="4ADCED51"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Ejes simple y múltiple.</w:t>
      </w:r>
    </w:p>
    <w:p w14:paraId="188918BD"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Dividir un gráfico de curvas múltiples en múltiples tendencias apiladas.</w:t>
      </w:r>
    </w:p>
    <w:p w14:paraId="5E86DC1B"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Tipos de tendencia: línea, área, barra.</w:t>
      </w:r>
    </w:p>
    <w:p w14:paraId="76B6E2A7"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Cambio de color según la calidad del punto.</w:t>
      </w:r>
    </w:p>
    <w:p w14:paraId="6122219E"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lastRenderedPageBreak/>
        <w:t>Zoom a un área seleccionada.</w:t>
      </w:r>
    </w:p>
    <w:p w14:paraId="75709B76"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Desplazamiento de tiempo hacia atrás y hacia adelante.</w:t>
      </w:r>
    </w:p>
    <w:p w14:paraId="7C0901BD"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Personalización de la presentación de valores, etiquetas, texto de ejes, colores, patrones, intervalo de tiempo.</w:t>
      </w:r>
    </w:p>
    <w:p w14:paraId="0094A3E1" w14:textId="77777777" w:rsidR="009102A7" w:rsidRPr="00576AF8" w:rsidRDefault="009102A7" w:rsidP="009102A7">
      <w:pPr>
        <w:numPr>
          <w:ilvl w:val="0"/>
          <w:numId w:val="289"/>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Los despliegues de tendencias también podrán ser utilizados invocando la herramienta de reproducción histórica o playback.</w:t>
      </w:r>
    </w:p>
    <w:p w14:paraId="615F97B9" w14:textId="77777777" w:rsidR="009102A7" w:rsidRPr="00576AF8" w:rsidRDefault="009102A7" w:rsidP="009102A7">
      <w:pPr>
        <w:suppressAutoHyphens w:val="0"/>
        <w:spacing w:after="0"/>
        <w:ind w:left="1843"/>
        <w:contextualSpacing/>
        <w:rPr>
          <w:color w:val="000000"/>
          <w:sz w:val="22"/>
          <w:szCs w:val="22"/>
          <w:lang w:val="es-EC" w:eastAsia="es-EC" w:bidi="ar-SA"/>
        </w:rPr>
      </w:pPr>
      <w:bookmarkStart w:id="764" w:name="_Toc160268925"/>
      <w:bookmarkStart w:id="765" w:name="_Toc160455947"/>
    </w:p>
    <w:p w14:paraId="2B4C7BC3" w14:textId="77777777" w:rsidR="009102A7" w:rsidRPr="00576AF8" w:rsidRDefault="009102A7" w:rsidP="009102A7">
      <w:pPr>
        <w:ind w:left="720" w:firstLine="696"/>
        <w:jc w:val="left"/>
        <w:outlineLvl w:val="2"/>
        <w:rPr>
          <w:color w:val="000000"/>
          <w:sz w:val="22"/>
          <w:szCs w:val="22"/>
          <w:lang w:val="es-EC" w:eastAsia="es-EC" w:bidi="ar-SA"/>
        </w:rPr>
      </w:pPr>
      <w:r w:rsidRPr="00576AF8">
        <w:rPr>
          <w:b/>
          <w:sz w:val="22"/>
          <w:szCs w:val="22"/>
        </w:rPr>
        <w:t xml:space="preserve">2.1.1.1.1.10.7 </w:t>
      </w:r>
      <w:r w:rsidRPr="00576AF8">
        <w:rPr>
          <w:b/>
          <w:color w:val="000000"/>
          <w:sz w:val="22"/>
          <w:szCs w:val="22"/>
          <w:lang w:val="es-EC" w:eastAsia="es-EC" w:bidi="ar-SA"/>
        </w:rPr>
        <w:t>Despliegues de Gráficos de Dispersión</w:t>
      </w:r>
      <w:bookmarkEnd w:id="764"/>
      <w:bookmarkEnd w:id="765"/>
    </w:p>
    <w:p w14:paraId="3034A7D4"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Se requiere la capacidad de realizar gráficos de dispersión en el que se muestre la relación entre dos variables. Cada punto del gráfico representa un par de valores de las dos variables. Los puntos se pueden conectar para formar una línea o curva. La forma de la línea o curva puede mostrar la relación entre las dos variables. Los gráficos de dispersión también se pueden utilizar para identificar valores atípicos en los datos.</w:t>
      </w:r>
    </w:p>
    <w:p w14:paraId="6F174E7F" w14:textId="77777777" w:rsidR="009102A7" w:rsidRPr="00576AF8" w:rsidRDefault="009102A7" w:rsidP="00B42735">
      <w:pPr>
        <w:suppressAutoHyphens w:val="0"/>
        <w:spacing w:before="120" w:after="0"/>
        <w:ind w:left="1123" w:firstLine="720"/>
        <w:textAlignment w:val="baseline"/>
        <w:rPr>
          <w:color w:val="000000"/>
          <w:sz w:val="22"/>
          <w:szCs w:val="22"/>
          <w:lang w:val="es-EC" w:eastAsia="es-EC" w:bidi="ar-SA"/>
        </w:rPr>
      </w:pPr>
      <w:r w:rsidRPr="00576AF8">
        <w:rPr>
          <w:color w:val="000000"/>
          <w:sz w:val="22"/>
          <w:szCs w:val="22"/>
          <w:lang w:val="es-EC" w:eastAsia="es-EC" w:bidi="ar-SA"/>
        </w:rPr>
        <w:t>Aquí hay algunos ejemplos de cómo se pretende utilizar los gráficos de dispersión:</w:t>
      </w:r>
    </w:p>
    <w:p w14:paraId="6C2B6036" w14:textId="77777777" w:rsidR="009102A7" w:rsidRPr="00576AF8" w:rsidRDefault="009102A7" w:rsidP="009102A7">
      <w:pPr>
        <w:numPr>
          <w:ilvl w:val="0"/>
          <w:numId w:val="288"/>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Potencia generada vs radiación solar</w:t>
      </w:r>
    </w:p>
    <w:p w14:paraId="5716DE0B" w14:textId="77777777" w:rsidR="009102A7" w:rsidRPr="00576AF8" w:rsidRDefault="009102A7" w:rsidP="009102A7">
      <w:pPr>
        <w:numPr>
          <w:ilvl w:val="0"/>
          <w:numId w:val="288"/>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Potencia activa vs. potencia reactiva en un generador</w:t>
      </w:r>
    </w:p>
    <w:p w14:paraId="23513187" w14:textId="77777777" w:rsidR="009102A7" w:rsidRPr="00576AF8" w:rsidRDefault="009102A7" w:rsidP="009102A7">
      <w:pPr>
        <w:numPr>
          <w:ilvl w:val="0"/>
          <w:numId w:val="288"/>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Potencia activa vs. frecuencia de un generador.</w:t>
      </w:r>
    </w:p>
    <w:p w14:paraId="7CE5C03C" w14:textId="77777777" w:rsidR="009102A7" w:rsidRPr="00576AF8" w:rsidRDefault="009102A7" w:rsidP="009102A7">
      <w:pPr>
        <w:suppressAutoHyphens w:val="0"/>
        <w:spacing w:after="0"/>
        <w:ind w:left="1843"/>
        <w:contextualSpacing/>
        <w:rPr>
          <w:color w:val="000000"/>
          <w:sz w:val="22"/>
          <w:szCs w:val="22"/>
          <w:lang w:val="es-EC" w:eastAsia="es-EC" w:bidi="ar-SA"/>
        </w:rPr>
      </w:pPr>
      <w:bookmarkStart w:id="766" w:name="_Toc160455948"/>
    </w:p>
    <w:p w14:paraId="150CC6D8" w14:textId="77777777" w:rsidR="009102A7" w:rsidRPr="00576AF8" w:rsidRDefault="009102A7" w:rsidP="009102A7">
      <w:pPr>
        <w:ind w:left="720" w:firstLine="696"/>
        <w:jc w:val="left"/>
        <w:outlineLvl w:val="2"/>
        <w:rPr>
          <w:color w:val="000000"/>
          <w:sz w:val="22"/>
          <w:szCs w:val="22"/>
          <w:lang w:val="es-EC" w:eastAsia="es-EC" w:bidi="ar-SA"/>
        </w:rPr>
      </w:pPr>
      <w:r w:rsidRPr="00576AF8">
        <w:rPr>
          <w:b/>
          <w:sz w:val="22"/>
          <w:szCs w:val="22"/>
        </w:rPr>
        <w:t xml:space="preserve">2.1.1.1.1.10.8 </w:t>
      </w:r>
      <w:r w:rsidRPr="00576AF8">
        <w:rPr>
          <w:b/>
          <w:color w:val="000000"/>
          <w:sz w:val="22"/>
          <w:szCs w:val="22"/>
          <w:lang w:val="es-EC" w:eastAsia="es-EC" w:bidi="ar-SA"/>
        </w:rPr>
        <w:t>Despliegues de Alarmas y Eventos</w:t>
      </w:r>
      <w:bookmarkEnd w:id="766"/>
    </w:p>
    <w:p w14:paraId="2635087D"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listas de este tipo se generan dinámicamente por el sistema según los registros presentes en la base de datos. Se requieren para mostrar en orden cronológico una lista de información homogénea, como por ejemplo alarmas, eventos, elementos de la red en un estado anómalo, mediciones fuera de límites, grupos reguladores, etc., deducidos del estado de los elementos de la red, del sistema de adquisición de datos y de los dispositivos que componen el sistema de control.</w:t>
      </w:r>
    </w:p>
    <w:p w14:paraId="5B9369D7"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orden de visualización predeterminado resulta en una progresión cronológica, comenzando precisamente desde la alarma más antigua no adquirida aún. Cuando está iconizado, la lista se abre cuando llega la primera alarma no adquirida aún.</w:t>
      </w:r>
    </w:p>
    <w:p w14:paraId="4150536B"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Desde las listas de visualización es posible adquirir alarmas, recuperar imágenes, tanto gráficas como tabulares, que contienen el elemento de la red o la cantidad adquirida o calculada seleccionada de la lista.</w:t>
      </w:r>
    </w:p>
    <w:p w14:paraId="419D0271"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entrada de alarma/evento debe incluir la fecha y hora de ocurrencia, ubicación, identificador de dispositivo u otro, acción, estado, valor y límites normales. Será posible asociar una nota/mensaje correspondiente a cada alarma. Asimismo, será posible asociar ayudas en línea con textos e imágenes para cada punto invocable desde la misma alarma.</w:t>
      </w:r>
    </w:p>
    <w:p w14:paraId="3F738956"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dispondrá de una herramienta de búsqueda y clasificación para el operador, por la que podrá generar una lista reducida, filtrada y ordenada según ciertos criterios (filtrado inteligente basado en condiciones). Los criterios se introducirán a través de una máscara proforma que el operador podrá llamar, según sea necesario. La máscara permitirá la entrada de criterios de búsqueda y clasificación como: fecha/hora, descripciones de mensajes, tipo de mensaje, ubicación de la fuente, identidad del operador, etc. La herramienta de búsqueda y clasificación será muy flexible, incorporando características como búsquedas de cadenas de caracteres de longitud variable y el uso de caracteres comodín. También será posible guardar un número de criterios de búsqueda para un acceso rápido y su uso en el futuro:</w:t>
      </w:r>
    </w:p>
    <w:p w14:paraId="4E686B61"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16EC387D"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Prioridad.</w:t>
      </w:r>
    </w:p>
    <w:p w14:paraId="7F3FDB7D"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Nivel de tensión.</w:t>
      </w:r>
    </w:p>
    <w:p w14:paraId="4FD44092"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Subestación.</w:t>
      </w:r>
    </w:p>
    <w:p w14:paraId="1CBE0C1D"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Tipo de equipo.</w:t>
      </w:r>
    </w:p>
    <w:p w14:paraId="41E37DAA"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Sistema.</w:t>
      </w:r>
    </w:p>
    <w:p w14:paraId="4F58C763"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Área de responsabilidad.</w:t>
      </w:r>
    </w:p>
    <w:p w14:paraId="1BE5F8A2"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Operador.</w:t>
      </w:r>
    </w:p>
    <w:p w14:paraId="60802642"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Consola</w:t>
      </w:r>
    </w:p>
    <w:p w14:paraId="2F488FCA"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Período de tiempo.</w:t>
      </w:r>
    </w:p>
    <w:p w14:paraId="0DC0FBBF"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tipo de alarma y evento corresponde a una asociación única de las siguientes propiedades:</w:t>
      </w:r>
    </w:p>
    <w:p w14:paraId="3F868D2D"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Color y tono: definido por múltiples criterios: prioridad, subestación, voltaje, causa de la alarma, reconocido, patrón de mensaje.</w:t>
      </w:r>
    </w:p>
    <w:p w14:paraId="27E2D96E"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Reconocimiento: el reconocimiento de la alarma puede ser automático o manual.</w:t>
      </w:r>
    </w:p>
    <w:p w14:paraId="44BC21E2"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Cancelación: las alarmas deben cancelarse de diversas formas (automática, complementaria, manual).</w:t>
      </w:r>
    </w:p>
    <w:p w14:paraId="006CBB8A"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Formato: el formato del mensaje puede ser estructurado, semiestructurado o libre. El formato estructurado más utilizado tiene la forma: nombre de la estación, nombre del punto, nivel de tensión, tipo de datos, cadena de alarma.</w:t>
      </w:r>
    </w:p>
    <w:p w14:paraId="666347D7"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Visualización: indica si el mensaje debe mostrarse en la pantalla o si solo debe almacenarse.</w:t>
      </w:r>
    </w:p>
    <w:p w14:paraId="09C7F17B"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Registro: indica el diario en el que se registrará el mensaje.</w:t>
      </w:r>
    </w:p>
    <w:p w14:paraId="5687A99D" w14:textId="77777777" w:rsidR="009102A7" w:rsidRPr="00576AF8" w:rsidRDefault="009102A7" w:rsidP="009102A7">
      <w:pPr>
        <w:suppressAutoHyphens w:val="0"/>
        <w:spacing w:before="120" w:after="0"/>
        <w:ind w:left="2912"/>
        <w:textAlignment w:val="baseline"/>
        <w:rPr>
          <w:color w:val="000000"/>
          <w:sz w:val="22"/>
          <w:szCs w:val="22"/>
          <w:lang w:val="es-EC" w:eastAsia="es-EC" w:bidi="ar-SA"/>
        </w:rPr>
      </w:pPr>
    </w:p>
    <w:p w14:paraId="2D82D323"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También se deberá tener una visualización que identifique todas las subestaciones con alarmas no reconocidas. Se podrá navegar directamente a la página de alarmas no reconocidas de la subestación desde esta visualización.</w:t>
      </w:r>
    </w:p>
    <w:p w14:paraId="0EEABD29"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lista de alarmas tendrá un tamaño que permita alojar un mínimo de 5000 alarmas. Si el número de alarmas en la lista de alarmas supera este valor, el desbordamiento se guardará en un FIFO y estará disponible para su visualización a petición de un operador. Al mismo tiempo, todas las alarmas y eventos serán historizados para su retención a largo plazo.</w:t>
      </w:r>
    </w:p>
    <w:p w14:paraId="5E678065"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dispondrá de un enlace a la ventana de alarmas históricas en el menú.</w:t>
      </w:r>
    </w:p>
    <w:p w14:paraId="43B58CDD"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 operador debe poder reconocer sólo las alarmas que se derivan de elementos de la red que pertenecen a su área de responsabilidad.</w:t>
      </w:r>
    </w:p>
    <w:p w14:paraId="26E9E2E3"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operadores podrán aplicar, eliminar y editar rápidamente los filtros de la lista de alarmas para mostrar solo las alarmas que se originan en un área de responsabilidad del operador y, si está habilitado, en áreas de responsabilidad seleccionadas o en todas las áreas de responsabilidad.</w:t>
      </w:r>
    </w:p>
    <w:p w14:paraId="75B1E7D1" w14:textId="77777777" w:rsidR="009102A7" w:rsidRPr="00576AF8" w:rsidRDefault="009102A7" w:rsidP="009102A7">
      <w:pPr>
        <w:numPr>
          <w:ilvl w:val="1"/>
          <w:numId w:val="2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Todas las alarmas serán comunicadas al operador. La secuencia de las alarmas será la siguiente:</w:t>
      </w:r>
    </w:p>
    <w:p w14:paraId="45173676"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Al comienzo de la condición de alarma, la alarma se insertará en la ventana de alarmas y en la lista de alarmas no reconocidas donde se muestre. Su prioridad debe resaltarse con el uso del color. No se debe utilizar el parpadeo en las listas de alarmas.</w:t>
      </w:r>
    </w:p>
    <w:p w14:paraId="26911852"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Cualquier dispositivo que se muestre en un diagrama unifilar al que esté asociada la alarma no reconocida parpadea.</w:t>
      </w:r>
    </w:p>
    <w:p w14:paraId="275ED842"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La alarma audible puede ser silenciada por los operadores.</w:t>
      </w:r>
    </w:p>
    <w:p w14:paraId="7C9B26FA" w14:textId="77777777" w:rsidR="009102A7" w:rsidRPr="00576AF8" w:rsidRDefault="009102A7" w:rsidP="009102A7">
      <w:pPr>
        <w:numPr>
          <w:ilvl w:val="0"/>
          <w:numId w:val="29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El mensaje de alarma será reconocido por el operador. Si la alarma es fugaz, desaparece de las listas de alarmas. Si la alarma es persistente, se mostrará en la lista de alarmas reconocidas.</w:t>
      </w:r>
    </w:p>
    <w:p w14:paraId="67333E34" w14:textId="77777777" w:rsidR="009102A7" w:rsidRPr="00576AF8" w:rsidRDefault="009102A7" w:rsidP="009102A7">
      <w:pPr>
        <w:suppressAutoHyphens w:val="0"/>
        <w:spacing w:before="120" w:after="0"/>
        <w:ind w:left="3552"/>
        <w:textAlignment w:val="baseline"/>
        <w:rPr>
          <w:color w:val="000000"/>
          <w:sz w:val="22"/>
          <w:szCs w:val="22"/>
          <w:lang w:val="es-EC" w:eastAsia="es-EC" w:bidi="ar-SA"/>
        </w:rPr>
      </w:pPr>
    </w:p>
    <w:p w14:paraId="33E6349F" w14:textId="77777777" w:rsidR="009102A7" w:rsidRPr="00576AF8" w:rsidRDefault="009102A7" w:rsidP="009102A7">
      <w:pPr>
        <w:ind w:left="720" w:firstLine="696"/>
        <w:jc w:val="left"/>
        <w:outlineLvl w:val="2"/>
        <w:rPr>
          <w:color w:val="000000"/>
          <w:sz w:val="22"/>
          <w:szCs w:val="22"/>
          <w:lang w:val="es-EC" w:eastAsia="es-EC" w:bidi="ar-SA"/>
        </w:rPr>
      </w:pPr>
      <w:bookmarkStart w:id="767" w:name="_Toc160268926"/>
      <w:bookmarkStart w:id="768" w:name="_Toc160455949"/>
      <w:r w:rsidRPr="00576AF8">
        <w:rPr>
          <w:b/>
          <w:sz w:val="22"/>
          <w:szCs w:val="22"/>
        </w:rPr>
        <w:t xml:space="preserve">2.1.1.1.1.10.9 </w:t>
      </w:r>
      <w:r w:rsidRPr="00576AF8">
        <w:rPr>
          <w:b/>
          <w:color w:val="000000"/>
          <w:sz w:val="22"/>
          <w:szCs w:val="22"/>
          <w:lang w:val="es-EC" w:eastAsia="es-EC" w:bidi="ar-SA"/>
        </w:rPr>
        <w:t>Interacción con los Despliegues</w:t>
      </w:r>
      <w:bookmarkEnd w:id="767"/>
      <w:bookmarkEnd w:id="768"/>
    </w:p>
    <w:p w14:paraId="217D8889"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67EBC243" w14:textId="77777777" w:rsidR="009102A7" w:rsidRPr="00576AF8" w:rsidRDefault="009102A7" w:rsidP="009102A7">
      <w:pPr>
        <w:numPr>
          <w:ilvl w:val="0"/>
          <w:numId w:val="1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Todas las acciones del usuario deben realizarse utilizando dispositivos estándar de mouse y teclado. El software también debe ayudar al operador, paso a paso, a través de cada secuencia identificando las entradas válidas restantes, preferiblemente utilizando menús emergentes, indicaciones de diálogo y pantallas de ayuda, especialmente en la identificación y definición de cada alarma individual (ayuda en la alarma).</w:t>
      </w:r>
    </w:p>
    <w:p w14:paraId="5A888404" w14:textId="77777777" w:rsidR="009102A7" w:rsidRPr="00576AF8" w:rsidRDefault="009102A7" w:rsidP="009102A7">
      <w:pPr>
        <w:numPr>
          <w:ilvl w:val="0"/>
          <w:numId w:val="1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Cuando la entrada de texto sea más apropiada para la interacción o el diálogo entre un operador y el sistema, se deben utilizar pantallas proforma (máscaras de entrada de datos) y cuadros de diálogo. Estos deben contener descripciones de campos que identifiquen fácilmente la información que se requiere del operador. En la medida de lo posible, el sistema debe introducir los valores anteriores o predeterminados en los campos interactivos, para que el operador solo tenga que realizar cambios, en lugar de rellenar el formulario por completo cada vez. Las pantallas de ayuda contextuales deben estar siempre disponibles para el operador para ayudarle a interactuar con el sistema.</w:t>
      </w:r>
    </w:p>
    <w:p w14:paraId="423D7B13" w14:textId="77777777" w:rsidR="009102A7" w:rsidRPr="00576AF8" w:rsidRDefault="009102A7" w:rsidP="00B42735">
      <w:pPr>
        <w:numPr>
          <w:ilvl w:val="0"/>
          <w:numId w:val="17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Todas las entradas del operador serán verificadas y no se permitirá la entrada de datos no válidos. Cualquier entrada no válida será detectada por el software, ignorada y se mostrará un mensaje; después, será posible continuar la secuencia con una entrada válida.</w:t>
      </w:r>
    </w:p>
    <w:p w14:paraId="4BA757C7" w14:textId="77777777" w:rsidR="009102A7" w:rsidRPr="00576AF8" w:rsidRDefault="009102A7" w:rsidP="009102A7">
      <w:pPr>
        <w:suppressAutoHyphens w:val="0"/>
        <w:spacing w:after="0"/>
        <w:ind w:left="2203"/>
        <w:contextualSpacing/>
        <w:rPr>
          <w:b/>
          <w:bCs/>
          <w:color w:val="000000"/>
          <w:sz w:val="22"/>
          <w:szCs w:val="22"/>
          <w:lang w:val="es-EC" w:eastAsia="es-EC" w:bidi="ar-SA"/>
        </w:rPr>
      </w:pPr>
    </w:p>
    <w:p w14:paraId="6DDF38E5" w14:textId="77777777" w:rsidR="009102A7" w:rsidRPr="00576AF8" w:rsidRDefault="009102A7" w:rsidP="009102A7">
      <w:pPr>
        <w:ind w:left="720" w:firstLine="696"/>
        <w:jc w:val="left"/>
        <w:outlineLvl w:val="2"/>
        <w:rPr>
          <w:color w:val="000000"/>
          <w:sz w:val="22"/>
          <w:szCs w:val="22"/>
          <w:lang w:val="es-EC" w:eastAsia="es-EC" w:bidi="ar-SA"/>
        </w:rPr>
      </w:pPr>
      <w:bookmarkStart w:id="769" w:name="_Toc160268927"/>
      <w:bookmarkStart w:id="770" w:name="_Toc160455950"/>
      <w:r w:rsidRPr="00576AF8">
        <w:rPr>
          <w:b/>
          <w:sz w:val="22"/>
          <w:szCs w:val="22"/>
        </w:rPr>
        <w:t xml:space="preserve">2.1.1.1.1.10.10 </w:t>
      </w:r>
      <w:r w:rsidRPr="00576AF8">
        <w:rPr>
          <w:b/>
          <w:color w:val="000000"/>
          <w:sz w:val="22"/>
          <w:szCs w:val="22"/>
          <w:lang w:val="es-EC" w:eastAsia="es-EC" w:bidi="ar-SA"/>
        </w:rPr>
        <w:t>Entradas Manuales</w:t>
      </w:r>
      <w:bookmarkEnd w:id="769"/>
      <w:bookmarkEnd w:id="770"/>
    </w:p>
    <w:p w14:paraId="27968D99"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55C2E958"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"entrada de datos" permitirá al Operador Autorizado (en base a la definición de autorizaciones) ingresar al sistema, y por lo tanto almacenar diferentes tipos de datos. Las acciones de entrada de datos se realizarán normalmente utilizando cuadros de diálogo de formato adecuado para gestionar los diferentes tipos de datos.</w:t>
      </w:r>
    </w:p>
    <w:p w14:paraId="317EA8BD"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cambios realizados manualmente se validarán e insertarán automáticamente en la base de datos y se registrarán como un evento. El autor y la hora de la entrada de datos manual serán fácilmente rastreables.</w:t>
      </w:r>
    </w:p>
    <w:p w14:paraId="631C3758"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permitirá la ejecución de "entrada de datos" manual para los siguientes tipos de datos:</w:t>
      </w:r>
    </w:p>
    <w:p w14:paraId="4C841F4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numéricos.</w:t>
      </w:r>
    </w:p>
    <w:p w14:paraId="03AFFD3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Indicaciones de estado.</w:t>
      </w:r>
    </w:p>
    <w:p w14:paraId="119229C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Códigos (flags) que indican, según una convención específica, estados particulares de elementos de la red o del sistema de adquisición de datos o de la red de comunicación.</w:t>
      </w:r>
    </w:p>
    <w:p w14:paraId="2F5AA33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Textos.</w:t>
      </w:r>
    </w:p>
    <w:p w14:paraId="43347DF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Fechas y/o horas.</w:t>
      </w:r>
    </w:p>
    <w:p w14:paraId="4FD0AE9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Notas y mensajes.</w:t>
      </w:r>
    </w:p>
    <w:p w14:paraId="13C7A6FD"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6D5DE53D"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Todos los despliegues esquemáticos y de formato libre deben tener la capacidad de crear, modificar y eliminar notas definidas por el operador en cualquier lugar de ellas, </w:t>
      </w:r>
      <w:r w:rsidRPr="00576AF8">
        <w:rPr>
          <w:color w:val="000000"/>
          <w:sz w:val="22"/>
          <w:szCs w:val="22"/>
          <w:lang w:val="es-EC" w:eastAsia="es-EC" w:bidi="ar-SA"/>
        </w:rPr>
        <w:lastRenderedPageBreak/>
        <w:t>limitadas a su área de responsabilidad. Estas notas serán visibles desde cualquier consola. Una pantalla de resumen debe mostrar las notas activas en todo el sistema.</w:t>
      </w:r>
    </w:p>
    <w:p w14:paraId="4630513E"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 forma predeterminada cuando se hace una entrada manual en un punto telemedido de la base de datos dentro del área de responsabilidad del operador el sistema debe colocarlo "fuera de barrido". Esto debe indicarse adecuadamente en la pantalla mediante un símbolo, color o etiqueta para indicar la eliminación del barrido. Posteriormente, debe poder ingresar un nuevo valor (manualmente) para el elemento fuera de barrido. Los cambios manuales deben ingresarse automáticamente en la base de datos y ser visibles en todos los demás despliegues en las que se representa este elemento.</w:t>
      </w:r>
    </w:p>
    <w:p w14:paraId="46A98992"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Cuando se restauran manualmente los elementos que se han vuelto a poner en servicio, las lecturas deben registrarse nuevamente en la base de datos, se deben devolver a su presentación normal y luego se deben actualizar regularmente en los despliegues.</w:t>
      </w:r>
    </w:p>
    <w:p w14:paraId="710F7BE7"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debe reconocer un intento del operador de realizar una operación de entrada manual no válida y esto debe bloquearse, mostrando un mensaje de error apropiado en la pantalla.</w:t>
      </w:r>
    </w:p>
    <w:p w14:paraId="7A115343" w14:textId="77777777" w:rsidR="009102A7" w:rsidRPr="00576AF8" w:rsidRDefault="009102A7" w:rsidP="009102A7">
      <w:pPr>
        <w:numPr>
          <w:ilvl w:val="0"/>
          <w:numId w:val="18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debe proporcionar un despliegue de resumen para mostrar todos los detalles de entradas manuales activas.</w:t>
      </w:r>
    </w:p>
    <w:p w14:paraId="05B42568"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6B0BC831" w14:textId="77777777" w:rsidR="009102A7" w:rsidRPr="00576AF8" w:rsidRDefault="009102A7" w:rsidP="009102A7">
      <w:pPr>
        <w:ind w:left="720" w:firstLine="696"/>
        <w:jc w:val="left"/>
        <w:outlineLvl w:val="2"/>
        <w:rPr>
          <w:color w:val="000000"/>
          <w:sz w:val="22"/>
          <w:szCs w:val="22"/>
          <w:lang w:val="es-EC" w:eastAsia="es-EC" w:bidi="ar-SA"/>
        </w:rPr>
      </w:pPr>
      <w:bookmarkStart w:id="771" w:name="_Toc160268928"/>
      <w:bookmarkStart w:id="772" w:name="_Toc160455951"/>
      <w:r w:rsidRPr="00576AF8">
        <w:rPr>
          <w:b/>
          <w:sz w:val="22"/>
          <w:szCs w:val="22"/>
        </w:rPr>
        <w:t xml:space="preserve">2.1.1.1.1.10.11 </w:t>
      </w:r>
      <w:r w:rsidRPr="00576AF8">
        <w:rPr>
          <w:b/>
          <w:color w:val="000000"/>
          <w:sz w:val="22"/>
          <w:szCs w:val="22"/>
          <w:lang w:val="es-EC" w:eastAsia="es-EC" w:bidi="ar-SA"/>
        </w:rPr>
        <w:t>Etiquetado</w:t>
      </w:r>
      <w:bookmarkEnd w:id="771"/>
      <w:bookmarkEnd w:id="772"/>
    </w:p>
    <w:p w14:paraId="3E0BEF98"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6AF3745B" w14:textId="77777777" w:rsidR="009102A7" w:rsidRPr="00576AF8" w:rsidRDefault="009102A7" w:rsidP="009102A7">
      <w:pPr>
        <w:numPr>
          <w:ilvl w:val="0"/>
          <w:numId w:val="18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definir los estados de los elementos de la red, el Operador tendrá la función de gestión de etiquetas (TAG), con la cual podrá asociar información con un significado predefinido convencionalmente a dichos elementos.</w:t>
      </w:r>
    </w:p>
    <w:p w14:paraId="18C3B49B" w14:textId="77777777" w:rsidR="009102A7" w:rsidRPr="00576AF8" w:rsidRDefault="009102A7" w:rsidP="009102A7">
      <w:pPr>
        <w:numPr>
          <w:ilvl w:val="0"/>
          <w:numId w:val="18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"etiquetado" es una "entrada de datos" particular, realizada en puntos sensibles definidos adecuadamente en las diferentes pantallas, que permite al Operador:</w:t>
      </w:r>
    </w:p>
    <w:p w14:paraId="26F4675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Definir restricciones o condiciones específicas para el funcionamiento de ciertos elementos de la red o parte de la red controlada.</w:t>
      </w:r>
    </w:p>
    <w:p w14:paraId="092E387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Memorizar información importante relacionada con el estado de una anormalidad específica o condiciones especiales de un elemento de la red o parte de la red controlada.</w:t>
      </w:r>
    </w:p>
    <w:p w14:paraId="4D384933" w14:textId="77777777" w:rsidR="009102A7" w:rsidRPr="00576AF8" w:rsidRDefault="009102A7" w:rsidP="009102A7">
      <w:pPr>
        <w:numPr>
          <w:ilvl w:val="0"/>
          <w:numId w:val="18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tipo de TAG tendrá un efecto en el procesamiento de las diversas funciones de las aplicaciones SCADA y EMS. Cada elemento de la red se puede asociar con un TAG elegido de un grupo predefinido que se mostrará en las pantallas esquemáticas. Para informar a los operadores sobre el estado del elemento de red individual afectado por el TAG, el sistema permitirá asociar una nota correspondiente a cada acción de entrada de datos de TAG. Las acciones de entrada de datos de los TAG y su remisión serán registradas por el sistema como eventos, asociando cada una con la hora de grabación, la consola y el operador. El sistema siempre mantendrá actualizada una lista de elementos a los que se asocia al menos un TAG.</w:t>
      </w:r>
    </w:p>
    <w:p w14:paraId="035D16ED" w14:textId="77777777" w:rsidR="009102A7" w:rsidRPr="00576AF8" w:rsidRDefault="009102A7" w:rsidP="009102A7">
      <w:pPr>
        <w:numPr>
          <w:ilvl w:val="0"/>
          <w:numId w:val="18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lista de TAGs deberá ser al menos la siguiente:</w:t>
      </w:r>
    </w:p>
    <w:p w14:paraId="25453D11"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6C448D2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Inhibir cierre.</w:t>
      </w:r>
    </w:p>
    <w:p w14:paraId="1CE7815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Inhibir apertura.</w:t>
      </w:r>
    </w:p>
    <w:p w14:paraId="785A73D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Inhibir cualquier control.</w:t>
      </w:r>
    </w:p>
    <w:p w14:paraId="411A317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Etiqueta informativa.</w:t>
      </w:r>
    </w:p>
    <w:p w14:paraId="24E90EA2" w14:textId="77777777" w:rsidR="009102A7" w:rsidRPr="00576AF8" w:rsidRDefault="009102A7" w:rsidP="009102A7">
      <w:pPr>
        <w:suppressAutoHyphens w:val="0"/>
        <w:spacing w:before="120" w:after="0"/>
        <w:ind w:left="3552"/>
        <w:textAlignment w:val="baseline"/>
        <w:rPr>
          <w:color w:val="000000"/>
          <w:sz w:val="22"/>
          <w:szCs w:val="22"/>
          <w:lang w:val="es-EC" w:eastAsia="es-EC" w:bidi="ar-SA"/>
        </w:rPr>
      </w:pPr>
    </w:p>
    <w:p w14:paraId="1BE31341" w14:textId="77777777" w:rsidR="009102A7" w:rsidRPr="00576AF8" w:rsidRDefault="009102A7" w:rsidP="009102A7">
      <w:pPr>
        <w:numPr>
          <w:ilvl w:val="0"/>
          <w:numId w:val="18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debe proporcionar una pantalla de resumen de etiquetado para mostrar todos los detalles de los tags activos.</w:t>
      </w:r>
    </w:p>
    <w:p w14:paraId="71665324" w14:textId="77777777" w:rsidR="009102A7" w:rsidRPr="00576AF8" w:rsidRDefault="009102A7" w:rsidP="009102A7">
      <w:pPr>
        <w:suppressAutoHyphens w:val="0"/>
        <w:spacing w:after="0"/>
        <w:ind w:left="2203"/>
        <w:contextualSpacing/>
        <w:rPr>
          <w:b/>
          <w:bCs/>
          <w:color w:val="000000"/>
          <w:sz w:val="22"/>
          <w:szCs w:val="22"/>
          <w:lang w:val="es-EC" w:eastAsia="es-EC" w:bidi="ar-SA"/>
        </w:rPr>
      </w:pPr>
    </w:p>
    <w:p w14:paraId="7D90848F" w14:textId="77777777" w:rsidR="009102A7" w:rsidRPr="00576AF8" w:rsidRDefault="009102A7" w:rsidP="009102A7">
      <w:pPr>
        <w:ind w:left="720" w:firstLine="696"/>
        <w:jc w:val="left"/>
        <w:outlineLvl w:val="2"/>
        <w:rPr>
          <w:color w:val="000000"/>
          <w:sz w:val="22"/>
          <w:szCs w:val="22"/>
          <w:lang w:val="es-EC" w:eastAsia="es-EC" w:bidi="ar-SA"/>
        </w:rPr>
      </w:pPr>
      <w:bookmarkStart w:id="773" w:name="_Toc160268929"/>
      <w:bookmarkStart w:id="774" w:name="_Toc160455952"/>
      <w:r w:rsidRPr="00576AF8">
        <w:rPr>
          <w:b/>
          <w:sz w:val="22"/>
          <w:szCs w:val="22"/>
        </w:rPr>
        <w:lastRenderedPageBreak/>
        <w:t xml:space="preserve">2.1.1.1.1.10.12 </w:t>
      </w:r>
      <w:r w:rsidRPr="00576AF8">
        <w:rPr>
          <w:b/>
          <w:color w:val="000000"/>
          <w:sz w:val="22"/>
          <w:szCs w:val="22"/>
          <w:lang w:val="es-EC" w:eastAsia="es-EC" w:bidi="ar-SA"/>
        </w:rPr>
        <w:t>Bloqueo de Funciones</w:t>
      </w:r>
      <w:bookmarkEnd w:id="773"/>
      <w:bookmarkEnd w:id="774"/>
    </w:p>
    <w:p w14:paraId="2C3A6526"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57473EBE" w14:textId="77777777" w:rsidR="009102A7" w:rsidRPr="00576AF8" w:rsidRDefault="009102A7" w:rsidP="009102A7">
      <w:pPr>
        <w:numPr>
          <w:ilvl w:val="0"/>
          <w:numId w:val="2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 tipo especial de entrada de datos permitirá al Operador bloquear ciertas funciones, "facilidades" que normalmente se utilizan para inhibir temporalmente procesos específicos del sistema de adquisición de datos.</w:t>
      </w:r>
    </w:p>
    <w:p w14:paraId="633ED3FE" w14:textId="77777777" w:rsidR="009102A7" w:rsidRPr="00576AF8" w:rsidRDefault="009102A7" w:rsidP="009102A7">
      <w:pPr>
        <w:numPr>
          <w:ilvl w:val="0"/>
          <w:numId w:val="2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Por lo tanto, será posible bloquear: la adquisición de datos (de los datos individuales o de todos los datos adquiridos de una RTU), el procesamiento de algunas alarmas específicas (por ejemplo, el control de la potencia reactiva fuera de límite), el control de equipos particulares del sistema (por ejemplo, bloqueo de controles remotos).</w:t>
      </w:r>
    </w:p>
    <w:p w14:paraId="7C57905C" w14:textId="77777777" w:rsidR="009102A7" w:rsidRPr="00576AF8" w:rsidRDefault="009102A7" w:rsidP="009102A7">
      <w:pPr>
        <w:numPr>
          <w:ilvl w:val="0"/>
          <w:numId w:val="2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permitirá la ejecución del bloqueo para un solo objeto o para un grupo de objetos, por ejemplo, todas las mediciones adquiridas por una RTU, una subestación y una bahía.</w:t>
      </w:r>
    </w:p>
    <w:p w14:paraId="464A1880" w14:textId="77777777" w:rsidR="009102A7" w:rsidRPr="00576AF8" w:rsidRDefault="009102A7" w:rsidP="009102A7">
      <w:pPr>
        <w:numPr>
          <w:ilvl w:val="0"/>
          <w:numId w:val="2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debe proporcionar una pantalla de resumen de funciones bloqueadas para mostrar todos los detalles de los dispositivos bloqueados activos.</w:t>
      </w:r>
    </w:p>
    <w:p w14:paraId="239AC2BD"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032D9725" w14:textId="77777777" w:rsidR="009102A7" w:rsidRPr="00576AF8" w:rsidRDefault="009102A7" w:rsidP="009102A7">
      <w:pPr>
        <w:ind w:left="720" w:firstLine="696"/>
        <w:jc w:val="left"/>
        <w:outlineLvl w:val="2"/>
        <w:rPr>
          <w:color w:val="000000"/>
          <w:sz w:val="22"/>
          <w:szCs w:val="22"/>
          <w:lang w:val="es-EC" w:eastAsia="es-EC" w:bidi="ar-SA"/>
        </w:rPr>
      </w:pPr>
      <w:bookmarkStart w:id="775" w:name="_Toc160268930"/>
      <w:bookmarkStart w:id="776" w:name="_Toc160455953"/>
      <w:r w:rsidRPr="00576AF8">
        <w:rPr>
          <w:b/>
          <w:sz w:val="22"/>
          <w:szCs w:val="22"/>
        </w:rPr>
        <w:t xml:space="preserve">2.1.1.1.1.10.13 </w:t>
      </w:r>
      <w:r w:rsidRPr="00576AF8">
        <w:rPr>
          <w:b/>
          <w:color w:val="000000"/>
          <w:sz w:val="22"/>
          <w:szCs w:val="22"/>
          <w:lang w:val="es-EC" w:eastAsia="es-EC" w:bidi="ar-SA"/>
        </w:rPr>
        <w:t>Control Supervisorio</w:t>
      </w:r>
      <w:bookmarkEnd w:id="775"/>
      <w:bookmarkEnd w:id="776"/>
    </w:p>
    <w:p w14:paraId="070C08B0" w14:textId="77777777" w:rsidR="009102A7" w:rsidRPr="00576AF8" w:rsidRDefault="009102A7" w:rsidP="009102A7">
      <w:pPr>
        <w:suppressAutoHyphens w:val="0"/>
        <w:spacing w:after="0"/>
        <w:rPr>
          <w:b/>
          <w:bCs/>
          <w:color w:val="000000"/>
          <w:sz w:val="22"/>
          <w:szCs w:val="22"/>
          <w:lang w:val="es-EC" w:eastAsia="es-EC" w:bidi="ar-SA"/>
        </w:rPr>
      </w:pPr>
    </w:p>
    <w:p w14:paraId="73B5FBCA"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controles remotos, pueden ser individuales o parte de una secuencia definible por el usuario.</w:t>
      </w:r>
    </w:p>
    <w:p w14:paraId="27895987"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mensajes de advertencia indican si la acción de control seleccionada no es posible por algún motivo. Los cambios de estado resultantes de los comandos del operador no deben tratarse como condiciones de alarma. Sin embargo, el sistema permitirá generar una alarma para casos específicos.</w:t>
      </w:r>
    </w:p>
    <w:p w14:paraId="5B3C62FD"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modo de operación (local o remoto) debe indicarse claramente de forma permanente en todas las pantallas para las áreas, así como para el equipo a operar.</w:t>
      </w:r>
    </w:p>
    <w:p w14:paraId="36AE60AC"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Cambios de estado que se producen debido a comandos iniciados por el operador y cambios espontáneos que se producen debido a otras acciones, por ejemplo, operación de protección.</w:t>
      </w:r>
    </w:p>
    <w:p w14:paraId="5ABF7B60"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operador debe poder definir y archivar, manualmente o grabando, secuencias de operaciones que se puedan recuperar fácilmente, para reducir los tiempos de intervención.</w:t>
      </w:r>
    </w:p>
    <w:p w14:paraId="7EED0A5B"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Estas secuencias deben someterse a verificaciones de sintaxis y validez lógica en la secuencia. Asociado a cada secuencia debe haber una descripción textual para permitir al operador identificar claramente el objetivo y posiblemente un resumen de los pasos involucrados.</w:t>
      </w:r>
    </w:p>
    <w:p w14:paraId="66B34842"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el caso de las secuencias, es importante proporcionar un método que permita detener la secuencia para permitir la terminación anticipada de la secuencia.</w:t>
      </w:r>
    </w:p>
    <w:p w14:paraId="06E7E7EB"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elementos de la red involucrados en la secuencia de control seleccionada para su ejecución o en ejecución deben identificarse en la pantalla. Las comprobaciones manuales, incluidas en una secuencia, deben realizarse por instrucción del operador. Será posible realizar una secuencia automáticamente o paso a paso.</w:t>
      </w:r>
    </w:p>
    <w:p w14:paraId="09B8D0FB"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debe generar un mensaje de alarma si una secuencia de control falla y la secuencia debe pasar a un estado pausado hasta que el operador decida si continuar reintentando el control o cancelar la secuencia.</w:t>
      </w:r>
    </w:p>
    <w:p w14:paraId="1235DFEA" w14:textId="77777777" w:rsidR="009102A7" w:rsidRPr="00576AF8" w:rsidRDefault="009102A7" w:rsidP="009102A7">
      <w:pPr>
        <w:numPr>
          <w:ilvl w:val="0"/>
          <w:numId w:val="2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inicio, la parada, la pausa y el final de una secuencia de control deben tratarse como eventos.</w:t>
      </w:r>
    </w:p>
    <w:p w14:paraId="37DBC65C"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055593AA" w14:textId="77777777" w:rsidR="009102A7" w:rsidRPr="00576AF8" w:rsidRDefault="009102A7" w:rsidP="009102A7">
      <w:pPr>
        <w:ind w:left="720" w:firstLine="696"/>
        <w:jc w:val="left"/>
        <w:outlineLvl w:val="2"/>
        <w:rPr>
          <w:color w:val="000000"/>
          <w:sz w:val="22"/>
          <w:szCs w:val="22"/>
          <w:lang w:val="es-EC" w:eastAsia="es-EC" w:bidi="ar-SA"/>
        </w:rPr>
      </w:pPr>
      <w:bookmarkStart w:id="777" w:name="_Toc160268931"/>
      <w:bookmarkStart w:id="778" w:name="_Toc160455954"/>
      <w:r w:rsidRPr="00576AF8">
        <w:rPr>
          <w:b/>
          <w:sz w:val="22"/>
          <w:szCs w:val="22"/>
        </w:rPr>
        <w:t xml:space="preserve">2.1.1.1.1.10.14 </w:t>
      </w:r>
      <w:r w:rsidRPr="00576AF8">
        <w:rPr>
          <w:b/>
          <w:color w:val="000000"/>
          <w:sz w:val="22"/>
          <w:szCs w:val="22"/>
          <w:lang w:val="es-EC" w:eastAsia="es-EC" w:bidi="ar-SA"/>
        </w:rPr>
        <w:t>Ayuda en Línea</w:t>
      </w:r>
      <w:bookmarkEnd w:id="777"/>
      <w:bookmarkEnd w:id="778"/>
    </w:p>
    <w:p w14:paraId="3F0E84E0" w14:textId="77777777" w:rsidR="009102A7" w:rsidRPr="00576AF8" w:rsidRDefault="009102A7" w:rsidP="009102A7">
      <w:pPr>
        <w:numPr>
          <w:ilvl w:val="0"/>
          <w:numId w:val="19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operadores y mantenedores del sistema deberán contar con un sistema de ayuda contextual en línea que les permita consultar el manual de usuario de los diferentes componentes del sistema a través de la IHM. Esta ayuda deberá ser del tipo indexada </w:t>
      </w:r>
      <w:r w:rsidRPr="00576AF8">
        <w:rPr>
          <w:color w:val="000000"/>
          <w:sz w:val="22"/>
          <w:szCs w:val="22"/>
          <w:lang w:val="es-EC" w:eastAsia="es-EC" w:bidi="ar-SA"/>
        </w:rPr>
        <w:lastRenderedPageBreak/>
        <w:t>con facilidades de búsqueda y a través de atajos a partir del contexto donde se encuentre el operador en cualquier momento para ir directamente a la sección del manual aplicable. El acceso a la ayuda debe realizarse a través de las siguientes opciones:</w:t>
      </w:r>
    </w:p>
    <w:p w14:paraId="2B0C4DF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 botón para el acceso de la ayuda en el menú. </w:t>
      </w:r>
    </w:p>
    <w:p w14:paraId="1218706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Botón de ayuda en los cuadros de diálogo.</w:t>
      </w:r>
    </w:p>
    <w:p w14:paraId="4E9CC73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Una tecla de función preasignada o una combinación de teclas que acceden al menú de ayuda.</w:t>
      </w:r>
    </w:p>
    <w:p w14:paraId="6F930109" w14:textId="77777777" w:rsidR="009102A7" w:rsidRPr="00576AF8" w:rsidRDefault="009102A7" w:rsidP="009102A7">
      <w:pPr>
        <w:numPr>
          <w:ilvl w:val="0"/>
          <w:numId w:val="19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podrán editar o adicionar fácilmente recursos adicionales de ayuda en el futuro.</w:t>
      </w:r>
    </w:p>
    <w:p w14:paraId="759BACBA" w14:textId="77777777" w:rsidR="009102A7" w:rsidRPr="00576AF8" w:rsidRDefault="009102A7" w:rsidP="009102A7">
      <w:pPr>
        <w:suppressAutoHyphens w:val="0"/>
        <w:spacing w:after="0"/>
        <w:rPr>
          <w:sz w:val="22"/>
          <w:szCs w:val="22"/>
          <w:lang w:val="es-EC" w:eastAsia="es-EC" w:bidi="ar-SA"/>
        </w:rPr>
      </w:pPr>
    </w:p>
    <w:p w14:paraId="703E6283" w14:textId="77777777" w:rsidR="009102A7" w:rsidRPr="00576AF8" w:rsidRDefault="009102A7" w:rsidP="009102A7">
      <w:pPr>
        <w:ind w:left="720" w:firstLine="696"/>
        <w:jc w:val="left"/>
        <w:outlineLvl w:val="2"/>
        <w:rPr>
          <w:bCs/>
          <w:color w:val="000000"/>
          <w:sz w:val="22"/>
          <w:szCs w:val="22"/>
          <w:lang w:val="es-EC" w:eastAsia="es-EC" w:bidi="ar-SA"/>
        </w:rPr>
      </w:pPr>
      <w:bookmarkStart w:id="779" w:name="_Toc160268932"/>
      <w:bookmarkStart w:id="780" w:name="_Toc160455955"/>
      <w:r w:rsidRPr="00576AF8">
        <w:rPr>
          <w:b/>
          <w:sz w:val="22"/>
          <w:szCs w:val="22"/>
        </w:rPr>
        <w:t xml:space="preserve">2.1.1.1.1.10.15 </w:t>
      </w:r>
      <w:r w:rsidRPr="00576AF8">
        <w:rPr>
          <w:b/>
          <w:color w:val="000000"/>
          <w:sz w:val="22"/>
          <w:szCs w:val="22"/>
          <w:lang w:val="es-EC" w:eastAsia="es-EC" w:bidi="ar-SA"/>
        </w:rPr>
        <w:t>Impresión de Despliegues</w:t>
      </w:r>
      <w:bookmarkEnd w:id="779"/>
      <w:bookmarkEnd w:id="780"/>
    </w:p>
    <w:p w14:paraId="2456410A" w14:textId="77777777" w:rsidR="009102A7" w:rsidRPr="00576AF8" w:rsidRDefault="009102A7" w:rsidP="009102A7">
      <w:pPr>
        <w:suppressAutoHyphens w:val="0"/>
        <w:spacing w:after="0"/>
        <w:ind w:left="1843"/>
        <w:contextualSpacing/>
        <w:rPr>
          <w:b/>
          <w:color w:val="000000"/>
          <w:sz w:val="22"/>
          <w:szCs w:val="22"/>
          <w:lang w:val="es-EC" w:eastAsia="es-EC" w:bidi="ar-SA"/>
        </w:rPr>
      </w:pPr>
    </w:p>
    <w:p w14:paraId="1C09E371" w14:textId="77777777" w:rsidR="009102A7" w:rsidRPr="00576AF8" w:rsidRDefault="009102A7" w:rsidP="009102A7">
      <w:pPr>
        <w:numPr>
          <w:ilvl w:val="0"/>
          <w:numId w:val="293"/>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El sistema deberá realizar las siguientes tareas a petición del Operador:</w:t>
      </w:r>
    </w:p>
    <w:p w14:paraId="4267327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Imprimir cualquier tipo de despliegue a un archivo tipo PDF o equivalente.</w:t>
      </w:r>
    </w:p>
    <w:p w14:paraId="0C0856A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Almacenamiento de todas las impresiones en un archivo, legible con el editor estándar del sistema.</w:t>
      </w:r>
    </w:p>
    <w:p w14:paraId="36F1007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Impresión completa o parcial de estos archivos, a petición del Operador, quien seleccionará la parte a imprimir (no se debe realizar ninguna impresión automáticamente por el sistema).</w:t>
      </w:r>
    </w:p>
    <w:p w14:paraId="56AB86C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Impresión en un archivo PDF o equivalente de las imágenes en una ventana activa a petición del Operador.</w:t>
      </w:r>
    </w:p>
    <w:p w14:paraId="0D5D9CC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Impresión en un archivo PDF o equivalente del contenido de una pantalla, incluyendo así el contenido visible de las distintas ventanas abiertas en el momento de la solicitud de impresión realizada por el Operador.</w:t>
      </w:r>
    </w:p>
    <w:p w14:paraId="5B54C2D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Impresión en un archivo PDF o equivalente de datos seleccionados de los archivos históricos.</w:t>
      </w:r>
    </w:p>
    <w:p w14:paraId="5DC329DD" w14:textId="77777777" w:rsidR="009102A7" w:rsidRPr="00576AF8" w:rsidRDefault="009102A7" w:rsidP="009102A7">
      <w:pPr>
        <w:suppressAutoHyphens w:val="0"/>
        <w:spacing w:before="120" w:after="0"/>
        <w:ind w:left="2203"/>
        <w:contextualSpacing/>
        <w:textAlignment w:val="baseline"/>
        <w:rPr>
          <w:color w:val="000000"/>
          <w:sz w:val="22"/>
          <w:szCs w:val="22"/>
          <w:lang w:val="es-EC" w:eastAsia="es-EC" w:bidi="ar-SA"/>
        </w:rPr>
      </w:pPr>
    </w:p>
    <w:p w14:paraId="2329DDE0" w14:textId="77777777" w:rsidR="009102A7" w:rsidRPr="00576AF8" w:rsidRDefault="009102A7" w:rsidP="009102A7">
      <w:pPr>
        <w:numPr>
          <w:ilvl w:val="0"/>
          <w:numId w:val="293"/>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Los operadores podrán solicitar la impresión de todo o parte de cualquier lista de eventos o alarmas o buscar una lista de salida definiendo los puntos de inicio y final a través de una pantalla proforma o diálogo. </w:t>
      </w:r>
    </w:p>
    <w:p w14:paraId="1831A502" w14:textId="77777777" w:rsidR="009102A7" w:rsidRPr="00576AF8" w:rsidRDefault="009102A7" w:rsidP="009102A7">
      <w:pPr>
        <w:numPr>
          <w:ilvl w:val="0"/>
          <w:numId w:val="293"/>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Los operadores podrán definir los puntos de inicio y fin en términos de números de identidad de mensajes o marcas de tiempo de fecha/hora.</w:t>
      </w:r>
    </w:p>
    <w:p w14:paraId="4393EDE8" w14:textId="77777777" w:rsidR="009102A7" w:rsidRPr="00576AF8" w:rsidRDefault="009102A7" w:rsidP="009102A7">
      <w:pPr>
        <w:suppressAutoHyphens w:val="0"/>
        <w:spacing w:after="0"/>
        <w:ind w:left="2781"/>
        <w:contextualSpacing/>
        <w:rPr>
          <w:color w:val="000000"/>
          <w:sz w:val="22"/>
          <w:szCs w:val="22"/>
          <w:lang w:val="es-EC" w:eastAsia="es-EC" w:bidi="ar-SA"/>
        </w:rPr>
      </w:pPr>
    </w:p>
    <w:p w14:paraId="1D1AAF41" w14:textId="77777777" w:rsidR="009102A7" w:rsidRPr="00576AF8" w:rsidRDefault="009102A7" w:rsidP="009102A7">
      <w:pPr>
        <w:ind w:left="720" w:firstLine="696"/>
        <w:jc w:val="left"/>
        <w:outlineLvl w:val="2"/>
        <w:rPr>
          <w:sz w:val="22"/>
          <w:szCs w:val="22"/>
        </w:rPr>
      </w:pPr>
      <w:bookmarkStart w:id="781" w:name="_Toc160268933"/>
      <w:bookmarkStart w:id="782" w:name="_Toc160455956"/>
      <w:r w:rsidRPr="00576AF8">
        <w:rPr>
          <w:b/>
          <w:sz w:val="22"/>
          <w:szCs w:val="22"/>
        </w:rPr>
        <w:t>2.1.1.1.1.11 Sincronización Horaria</w:t>
      </w:r>
      <w:bookmarkEnd w:id="781"/>
      <w:bookmarkEnd w:id="782"/>
    </w:p>
    <w:p w14:paraId="23C21F84" w14:textId="77777777" w:rsidR="009102A7" w:rsidRPr="00576AF8" w:rsidRDefault="009102A7" w:rsidP="009102A7">
      <w:pPr>
        <w:numPr>
          <w:ilvl w:val="0"/>
          <w:numId w:val="1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Todos los componentes del sistema SCADA incluyendo servidores, consolas y equipos de red entre otros, deben estar sincronizados con un sistema de referencia GPS redundante, exclusivo y dedicado para este sistema.</w:t>
      </w:r>
    </w:p>
    <w:p w14:paraId="693FC8B1" w14:textId="77777777" w:rsidR="009102A7" w:rsidRPr="00576AF8" w:rsidRDefault="009102A7" w:rsidP="009102A7">
      <w:pPr>
        <w:numPr>
          <w:ilvl w:val="0"/>
          <w:numId w:val="1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sincronización deberá ser realizada mediante protocolos NTP. La precisión de sincronización de los elementos sincronizados será igual o inferior a 1 ms.</w:t>
      </w:r>
    </w:p>
    <w:p w14:paraId="4F0321EA" w14:textId="77777777" w:rsidR="009102A7" w:rsidRPr="00576AF8" w:rsidRDefault="009102A7" w:rsidP="009102A7">
      <w:pPr>
        <w:numPr>
          <w:ilvl w:val="0"/>
          <w:numId w:val="1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servidores principales de aplicaciones, dominio y frontales de comunicaciones deben estar sincronizados directamente al reloj de referencia GPS (servidor Stratum 1). Las consolas del sistema, servidores secundarios y otros dispositivos pueden estar conectados a una fuente de referencia Stratum 1 o superior.</w:t>
      </w:r>
    </w:p>
    <w:p w14:paraId="4638F243" w14:textId="77777777" w:rsidR="009102A7" w:rsidRPr="00576AF8" w:rsidRDefault="009102A7" w:rsidP="009102A7">
      <w:pPr>
        <w:numPr>
          <w:ilvl w:val="0"/>
          <w:numId w:val="1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Este reloj de referencia deberá ser monitoreado por el SCADA y generar alertas en caso de falla o desviaciones fuera de los límites establecidos.</w:t>
      </w:r>
    </w:p>
    <w:p w14:paraId="11B2CF88" w14:textId="77777777" w:rsidR="009102A7" w:rsidRPr="00576AF8" w:rsidRDefault="009102A7" w:rsidP="009102A7">
      <w:pPr>
        <w:numPr>
          <w:ilvl w:val="0"/>
          <w:numId w:val="1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equipos remotos monitoreados por el SCADA estarán sincronizados apropiadamente con GPS u otras alternativas locales. Sin embargo, el SCADA a través de sus frontales de comunicaciones deberá tener la capacidad de enviar los telegramas de medición de retardo y de sincronización de tiempo solamente limitado por el protocolo. </w:t>
      </w:r>
    </w:p>
    <w:p w14:paraId="13D04A0F" w14:textId="77777777" w:rsidR="009102A7" w:rsidRDefault="009102A7" w:rsidP="009102A7">
      <w:pPr>
        <w:numPr>
          <w:ilvl w:val="0"/>
          <w:numId w:val="19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El SCADA también deberá exponer un servidor NTP en la DMZ de comunicaciones para uso de RTUs u otros equipos remotos.</w:t>
      </w:r>
    </w:p>
    <w:p w14:paraId="38B5D706" w14:textId="77777777" w:rsidR="00D405F1" w:rsidRPr="00882FC0" w:rsidRDefault="00D405F1" w:rsidP="00681945">
      <w:pPr>
        <w:suppressAutoHyphens w:val="0"/>
        <w:spacing w:after="0"/>
        <w:ind w:left="1843"/>
        <w:contextualSpacing/>
        <w:rPr>
          <w:color w:val="000000"/>
          <w:sz w:val="22"/>
          <w:szCs w:val="22"/>
          <w:highlight w:val="yellow"/>
          <w:lang w:val="es-EC" w:eastAsia="es-EC" w:bidi="ar-SA"/>
        </w:rPr>
      </w:pPr>
    </w:p>
    <w:p w14:paraId="37F7F01A" w14:textId="77777777" w:rsidR="009102A7" w:rsidRPr="00576AF8" w:rsidRDefault="009102A7" w:rsidP="009102A7">
      <w:pPr>
        <w:ind w:left="720" w:firstLine="696"/>
        <w:jc w:val="left"/>
        <w:outlineLvl w:val="2"/>
        <w:rPr>
          <w:sz w:val="22"/>
          <w:szCs w:val="22"/>
        </w:rPr>
      </w:pPr>
      <w:bookmarkStart w:id="783" w:name="_Toc160268934"/>
      <w:bookmarkStart w:id="784" w:name="_Toc160455957"/>
      <w:r w:rsidRPr="00576AF8">
        <w:rPr>
          <w:b/>
          <w:sz w:val="22"/>
          <w:szCs w:val="22"/>
        </w:rPr>
        <w:t>2.1.1.1.1.12 Cálculos Avanzados en Tiempo Real</w:t>
      </w:r>
      <w:bookmarkEnd w:id="783"/>
      <w:bookmarkEnd w:id="784"/>
    </w:p>
    <w:p w14:paraId="3DC2EB77" w14:textId="77777777" w:rsidR="009102A7" w:rsidRPr="00576AF8" w:rsidRDefault="009102A7" w:rsidP="009102A7">
      <w:pPr>
        <w:numPr>
          <w:ilvl w:val="0"/>
          <w:numId w:val="1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debe proporcionar la capacidad de realizar cálculos en tiempo real creados por la herramienta de ingeniería o por un asistente en línea que permita al operador monitorearlos y administrarlos de acuerdo con su área de responsabilidad.</w:t>
      </w:r>
    </w:p>
    <w:p w14:paraId="79CFFBC9" w14:textId="77777777" w:rsidR="009102A7" w:rsidRPr="00576AF8" w:rsidRDefault="009102A7" w:rsidP="009102A7">
      <w:pPr>
        <w:numPr>
          <w:ilvl w:val="0"/>
          <w:numId w:val="1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cálculos necesarios son de tipo aritmético, algebraico, lógico y trigonométrico.  El procesamiento se realizará en tiempo real, activado por cualquier cambio en la entrada de la fórmula de cálculo o cíclicamente según una fecha/hora de inicio y un período definido (mínimo 1 segundo).</w:t>
      </w:r>
    </w:p>
    <w:p w14:paraId="3AFB39C4" w14:textId="77777777" w:rsidR="009102A7" w:rsidRPr="00576AF8" w:rsidRDefault="009102A7" w:rsidP="009102A7">
      <w:pPr>
        <w:numPr>
          <w:ilvl w:val="0"/>
          <w:numId w:val="1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valores calculados deben procesarse teniendo como entrada datos adquiridos de las estaciones remotas, introducidos manualmente por los operadores o calculados previamente por otras funciones. El valor calculado debe incluir la calidad propagada obtenida como la combinación de las calidades de las entradas del cálculo y la estampa de tiempo, ya que debe tratarse como cualquier otro punto de la base de datos. Las entradas y salidas del cálculo serán mediciones, indicaciones, acumuladores o una combinación de ellos. </w:t>
      </w:r>
    </w:p>
    <w:p w14:paraId="52E3F5D5" w14:textId="77777777" w:rsidR="009102A7" w:rsidRPr="00576AF8" w:rsidRDefault="009102A7" w:rsidP="009102A7">
      <w:pPr>
        <w:numPr>
          <w:ilvl w:val="0"/>
          <w:numId w:val="1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debe proporcionar la posibilidad de realizar cálculos organizados en varios niveles que serán gestionados por el propio sistema para que los cálculos de los niveles superiores se realicen al final de los del nivel anterior.</w:t>
      </w:r>
    </w:p>
    <w:p w14:paraId="0E5AE039" w14:textId="77777777" w:rsidR="009102A7" w:rsidRPr="00576AF8" w:rsidRDefault="009102A7" w:rsidP="009102A7">
      <w:pPr>
        <w:numPr>
          <w:ilvl w:val="0"/>
          <w:numId w:val="1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resultados se almacenarán para que puedan ser visualizados o reutilizados para realizar otros cálculos.</w:t>
      </w:r>
    </w:p>
    <w:p w14:paraId="4F589724" w14:textId="77777777" w:rsidR="009102A7" w:rsidRPr="00576AF8" w:rsidRDefault="009102A7" w:rsidP="009102A7">
      <w:pPr>
        <w:numPr>
          <w:ilvl w:val="0"/>
          <w:numId w:val="19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cálculos necesarios se pueden realizar:</w:t>
      </w:r>
    </w:p>
    <w:p w14:paraId="14AB0EE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Programados o en horas predefinidas a lo largo del día.</w:t>
      </w:r>
    </w:p>
    <w:p w14:paraId="0167910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Periódicamente a lo largo del día o sólo en períodos particulares.</w:t>
      </w:r>
    </w:p>
    <w:p w14:paraId="7D34977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un evento específico.</w:t>
      </w:r>
    </w:p>
    <w:p w14:paraId="65A3476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Como consecuencia del resultado de un cálculo anterior.</w:t>
      </w:r>
    </w:p>
    <w:p w14:paraId="43F664E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 petición del operador.</w:t>
      </w:r>
    </w:p>
    <w:p w14:paraId="5E8AA845"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0866468C" w14:textId="77777777" w:rsidR="009102A7" w:rsidRPr="00576AF8" w:rsidRDefault="009102A7" w:rsidP="009102A7">
      <w:pPr>
        <w:ind w:left="720" w:firstLine="696"/>
        <w:jc w:val="left"/>
        <w:outlineLvl w:val="2"/>
        <w:rPr>
          <w:color w:val="000000"/>
          <w:sz w:val="22"/>
          <w:szCs w:val="22"/>
          <w:lang w:val="es-EC" w:eastAsia="es-EC" w:bidi="ar-SA"/>
        </w:rPr>
      </w:pPr>
      <w:bookmarkStart w:id="785" w:name="_Toc160268935"/>
      <w:bookmarkStart w:id="786" w:name="_Toc160455958"/>
      <w:r w:rsidRPr="00576AF8">
        <w:rPr>
          <w:b/>
          <w:sz w:val="22"/>
          <w:szCs w:val="22"/>
        </w:rPr>
        <w:t xml:space="preserve">2.1.1.1.1.12.1 </w:t>
      </w:r>
      <w:r w:rsidRPr="00576AF8">
        <w:rPr>
          <w:b/>
          <w:color w:val="000000"/>
          <w:sz w:val="22"/>
          <w:szCs w:val="22"/>
          <w:lang w:val="es-EC" w:eastAsia="es-EC" w:bidi="ar-SA"/>
        </w:rPr>
        <w:t>Cálculos Estándar</w:t>
      </w:r>
      <w:bookmarkEnd w:id="785"/>
      <w:bookmarkEnd w:id="786"/>
    </w:p>
    <w:p w14:paraId="56AD166A" w14:textId="77777777" w:rsidR="009102A7" w:rsidRPr="00576AF8" w:rsidRDefault="009102A7" w:rsidP="009102A7">
      <w:pPr>
        <w:suppressAutoHyphens w:val="0"/>
        <w:spacing w:after="0"/>
        <w:ind w:left="1843"/>
        <w:contextualSpacing/>
        <w:rPr>
          <w:color w:val="000000"/>
          <w:sz w:val="22"/>
          <w:szCs w:val="22"/>
          <w:lang w:val="es-EC" w:eastAsia="es-EC" w:bidi="ar-SA"/>
        </w:rPr>
      </w:pPr>
    </w:p>
    <w:p w14:paraId="4941CB21" w14:textId="77777777" w:rsidR="009102A7" w:rsidRPr="00576AF8" w:rsidRDefault="009102A7" w:rsidP="009102A7">
      <w:pPr>
        <w:suppressAutoHyphens w:val="0"/>
        <w:spacing w:after="0"/>
        <w:ind w:left="1843"/>
        <w:rPr>
          <w:color w:val="000000"/>
          <w:sz w:val="22"/>
          <w:szCs w:val="22"/>
          <w:lang w:val="es-EC" w:eastAsia="es-EC" w:bidi="ar-SA"/>
        </w:rPr>
      </w:pPr>
      <w:r w:rsidRPr="00576AF8">
        <w:rPr>
          <w:color w:val="000000"/>
          <w:sz w:val="22"/>
          <w:szCs w:val="22"/>
          <w:lang w:val="es-EC" w:eastAsia="es-EC" w:bidi="ar-SA"/>
        </w:rPr>
        <w:t>Mediante el conjunto de funciones estándar del producto del proveedor, se deben realizar los cálculos típicos aplicables a los sistemas eléctricos. Algunos de los datos derivados que pertenecen a este grupo son:</w:t>
      </w:r>
    </w:p>
    <w:p w14:paraId="7C1A9D08" w14:textId="77777777" w:rsidR="009102A7" w:rsidRPr="00576AF8" w:rsidRDefault="009102A7" w:rsidP="009102A7">
      <w:pPr>
        <w:numPr>
          <w:ilvl w:val="0"/>
          <w:numId w:val="29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Corriente</w:t>
      </w:r>
    </w:p>
    <w:p w14:paraId="24073943" w14:textId="77777777" w:rsidR="009102A7" w:rsidRPr="00576AF8" w:rsidRDefault="009102A7" w:rsidP="009102A7">
      <w:pPr>
        <w:numPr>
          <w:ilvl w:val="0"/>
          <w:numId w:val="29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Potencia aparente</w:t>
      </w:r>
    </w:p>
    <w:p w14:paraId="442C94D5" w14:textId="77777777" w:rsidR="009102A7" w:rsidRPr="00576AF8" w:rsidRDefault="009102A7" w:rsidP="009102A7">
      <w:pPr>
        <w:numPr>
          <w:ilvl w:val="0"/>
          <w:numId w:val="29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Factor de potencia</w:t>
      </w:r>
    </w:p>
    <w:p w14:paraId="7D5692E1" w14:textId="77777777" w:rsidR="009102A7" w:rsidRPr="00576AF8" w:rsidRDefault="009102A7" w:rsidP="009102A7">
      <w:pPr>
        <w:numPr>
          <w:ilvl w:val="0"/>
          <w:numId w:val="29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Potencia total</w:t>
      </w:r>
    </w:p>
    <w:p w14:paraId="7D4DCA54" w14:textId="77777777" w:rsidR="009102A7" w:rsidRPr="00576AF8" w:rsidRDefault="009102A7" w:rsidP="009102A7">
      <w:pPr>
        <w:numPr>
          <w:ilvl w:val="0"/>
          <w:numId w:val="29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Conmutadores equivalentes (derivados de la barra primaria y alternativa)</w:t>
      </w:r>
    </w:p>
    <w:p w14:paraId="2C57FDD1" w14:textId="77777777" w:rsidR="009102A7" w:rsidRPr="00576AF8" w:rsidRDefault="009102A7" w:rsidP="009102A7">
      <w:pPr>
        <w:numPr>
          <w:ilvl w:val="0"/>
          <w:numId w:val="294"/>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Estado del conmutador derivado del flujo de potencia o corriente</w:t>
      </w:r>
    </w:p>
    <w:p w14:paraId="46B0F3CC" w14:textId="77777777" w:rsidR="009102A7" w:rsidRPr="00576AF8" w:rsidRDefault="009102A7" w:rsidP="009102A7">
      <w:pPr>
        <w:suppressAutoHyphens w:val="0"/>
        <w:spacing w:before="120" w:after="0"/>
        <w:ind w:left="2844"/>
        <w:textAlignment w:val="baseline"/>
        <w:rPr>
          <w:color w:val="000000"/>
          <w:sz w:val="22"/>
          <w:szCs w:val="22"/>
          <w:lang w:val="es-EC" w:eastAsia="es-EC" w:bidi="ar-SA"/>
        </w:rPr>
      </w:pPr>
    </w:p>
    <w:p w14:paraId="0D85ADC8" w14:textId="77777777" w:rsidR="009102A7" w:rsidRPr="00576AF8" w:rsidRDefault="009102A7" w:rsidP="009102A7">
      <w:pPr>
        <w:ind w:left="720" w:firstLine="696"/>
        <w:jc w:val="left"/>
        <w:outlineLvl w:val="2"/>
        <w:rPr>
          <w:sz w:val="22"/>
          <w:szCs w:val="22"/>
        </w:rPr>
      </w:pPr>
      <w:bookmarkStart w:id="787" w:name="_Toc160268936"/>
      <w:bookmarkStart w:id="788" w:name="_Toc160455959"/>
      <w:r w:rsidRPr="00576AF8">
        <w:rPr>
          <w:b/>
          <w:sz w:val="22"/>
          <w:szCs w:val="22"/>
        </w:rPr>
        <w:t>2.1.1.1.1.12.2 Cálculos Estadísticos</w:t>
      </w:r>
      <w:bookmarkEnd w:id="787"/>
      <w:bookmarkEnd w:id="788"/>
    </w:p>
    <w:p w14:paraId="5C688EDF" w14:textId="77777777" w:rsidR="009102A7" w:rsidRPr="00576AF8" w:rsidRDefault="009102A7" w:rsidP="009102A7">
      <w:pPr>
        <w:suppressAutoHyphens w:val="0"/>
        <w:spacing w:after="0"/>
        <w:ind w:left="1843"/>
        <w:contextualSpacing/>
        <w:rPr>
          <w:b/>
          <w:bCs/>
          <w:sz w:val="22"/>
          <w:szCs w:val="22"/>
        </w:rPr>
      </w:pPr>
    </w:p>
    <w:p w14:paraId="323DEA36" w14:textId="77777777" w:rsidR="009102A7" w:rsidRPr="00576AF8" w:rsidRDefault="009102A7" w:rsidP="009102A7">
      <w:pPr>
        <w:numPr>
          <w:ilvl w:val="0"/>
          <w:numId w:val="19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también será capaz de utilizar las siguientes funciones estadísticas aplicables a todas las cantidades analógicas adquiridas y a las calculadas. </w:t>
      </w:r>
    </w:p>
    <w:p w14:paraId="0C4EF45C" w14:textId="77777777" w:rsidR="009102A7" w:rsidRPr="00576AF8" w:rsidRDefault="009102A7" w:rsidP="009102A7">
      <w:pPr>
        <w:numPr>
          <w:ilvl w:val="0"/>
          <w:numId w:val="19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La elección de las cantidades que se someterán a análisis estadístico la hará el operador de vez en cuando según las necesidades del servicio. </w:t>
      </w:r>
    </w:p>
    <w:p w14:paraId="4C011FA0" w14:textId="77777777" w:rsidR="009102A7" w:rsidRPr="00576AF8" w:rsidRDefault="009102A7" w:rsidP="009102A7">
      <w:pPr>
        <w:numPr>
          <w:ilvl w:val="0"/>
          <w:numId w:val="19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resultados serán visibles a petición del operador, en forma tabular y gráfica, y almacenados en los archivos del tamaño original, o en archivos especiales de duración a acordarse durante el desarrollo del proyecto.</w:t>
      </w:r>
    </w:p>
    <w:p w14:paraId="62270B6C" w14:textId="77777777" w:rsidR="009102A7" w:rsidRPr="00576AF8" w:rsidRDefault="009102A7" w:rsidP="009102A7">
      <w:pPr>
        <w:numPr>
          <w:ilvl w:val="0"/>
          <w:numId w:val="19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funciones estadísticas necesarias son:</w:t>
      </w:r>
    </w:p>
    <w:p w14:paraId="0EEE275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Media simple y ponderada.</w:t>
      </w:r>
    </w:p>
    <w:p w14:paraId="61673CA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Desviación Estándar</w:t>
      </w:r>
    </w:p>
    <w:p w14:paraId="508E673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 máximo, valor mínimo</w:t>
      </w:r>
    </w:p>
    <w:p w14:paraId="0219E08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Totalizadores</w:t>
      </w:r>
    </w:p>
    <w:p w14:paraId="35C75C15"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3C245E95" w14:textId="77777777" w:rsidR="009102A7" w:rsidRPr="00576AF8" w:rsidRDefault="009102A7" w:rsidP="009102A7">
      <w:pPr>
        <w:ind w:left="720" w:firstLine="696"/>
        <w:jc w:val="left"/>
        <w:outlineLvl w:val="2"/>
        <w:rPr>
          <w:color w:val="000000"/>
          <w:sz w:val="22"/>
          <w:szCs w:val="22"/>
          <w:lang w:val="es-EC" w:eastAsia="es-EC" w:bidi="ar-SA"/>
        </w:rPr>
      </w:pPr>
      <w:bookmarkStart w:id="789" w:name="_Toc160268937"/>
      <w:bookmarkStart w:id="790" w:name="_Toc160455960"/>
      <w:r w:rsidRPr="00576AF8">
        <w:rPr>
          <w:b/>
          <w:sz w:val="22"/>
          <w:szCs w:val="22"/>
        </w:rPr>
        <w:t xml:space="preserve">2.1.1.1.1.12.3 </w:t>
      </w:r>
      <w:r w:rsidRPr="00576AF8">
        <w:rPr>
          <w:b/>
          <w:color w:val="000000"/>
          <w:sz w:val="22"/>
          <w:szCs w:val="22"/>
          <w:lang w:val="es-EC" w:eastAsia="es-EC" w:bidi="ar-SA"/>
        </w:rPr>
        <w:t>Cálculos del Sistema</w:t>
      </w:r>
      <w:bookmarkEnd w:id="789"/>
      <w:bookmarkEnd w:id="790"/>
    </w:p>
    <w:p w14:paraId="5A4D5983" w14:textId="77777777" w:rsidR="009102A7" w:rsidRPr="00576AF8" w:rsidRDefault="009102A7" w:rsidP="009102A7">
      <w:pPr>
        <w:suppressAutoHyphens w:val="0"/>
        <w:spacing w:after="0"/>
        <w:rPr>
          <w:b/>
          <w:bCs/>
          <w:color w:val="000000"/>
          <w:sz w:val="22"/>
          <w:szCs w:val="22"/>
          <w:lang w:val="es-EC" w:eastAsia="es-EC" w:bidi="ar-SA"/>
        </w:rPr>
      </w:pPr>
    </w:p>
    <w:p w14:paraId="646FD932" w14:textId="77777777" w:rsidR="009102A7" w:rsidRPr="00576AF8" w:rsidRDefault="009102A7" w:rsidP="009102A7">
      <w:pPr>
        <w:suppressAutoHyphens w:val="0"/>
        <w:spacing w:after="0"/>
        <w:rPr>
          <w:b/>
          <w:bCs/>
          <w:color w:val="000000"/>
          <w:sz w:val="22"/>
          <w:szCs w:val="22"/>
          <w:lang w:val="es-EC" w:eastAsia="es-EC" w:bidi="ar-SA"/>
        </w:rPr>
      </w:pPr>
    </w:p>
    <w:p w14:paraId="31EC2E81" w14:textId="77777777" w:rsidR="009102A7" w:rsidRPr="00576AF8" w:rsidRDefault="009102A7" w:rsidP="009102A7">
      <w:pPr>
        <w:numPr>
          <w:ilvl w:val="0"/>
          <w:numId w:val="19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cálculos del sistema son proporcionados por aplicaciones de generación y transmisión como AGC (Control Automático de Generación), Estimador de Estado y Análisis de Contingencias entre otras. Los resultados de estos cálculos deben presentarse en despliegues de base del proveedor. </w:t>
      </w:r>
    </w:p>
    <w:p w14:paraId="4CC0CE73" w14:textId="77777777" w:rsidR="009102A7" w:rsidRPr="00576AF8" w:rsidRDefault="009102A7" w:rsidP="009102A7">
      <w:pPr>
        <w:numPr>
          <w:ilvl w:val="0"/>
          <w:numId w:val="19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Cualquier resultado de cálculo disponible en la base de datos del sistema se podrá copiar a una indicación o medición del SCADA.</w:t>
      </w:r>
    </w:p>
    <w:p w14:paraId="1BBCE57A" w14:textId="77777777" w:rsidR="009102A7" w:rsidRPr="00576AF8" w:rsidRDefault="009102A7" w:rsidP="009102A7">
      <w:pPr>
        <w:numPr>
          <w:ilvl w:val="0"/>
          <w:numId w:val="19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Algunos datos derivados pertenecen a este grupo, como:</w:t>
      </w:r>
    </w:p>
    <w:p w14:paraId="38BC28A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Frecuencia filtrada</w:t>
      </w:r>
    </w:p>
    <w:p w14:paraId="257146E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error de área</w:t>
      </w:r>
    </w:p>
    <w:p w14:paraId="05B9951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Reserva rodante</w:t>
      </w:r>
    </w:p>
    <w:p w14:paraId="3B98406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estimados</w:t>
      </w:r>
    </w:p>
    <w:p w14:paraId="5AECAFF3"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4526DE03" w14:textId="77777777" w:rsidR="009102A7" w:rsidRPr="00576AF8" w:rsidRDefault="009102A7" w:rsidP="009102A7">
      <w:pPr>
        <w:ind w:left="720" w:firstLine="696"/>
        <w:jc w:val="left"/>
        <w:outlineLvl w:val="2"/>
        <w:rPr>
          <w:color w:val="000000"/>
          <w:sz w:val="22"/>
          <w:szCs w:val="22"/>
          <w:lang w:val="es-EC" w:eastAsia="es-EC" w:bidi="ar-SA"/>
        </w:rPr>
      </w:pPr>
      <w:bookmarkStart w:id="791" w:name="_Toc160268938"/>
      <w:bookmarkStart w:id="792" w:name="_Toc160455961"/>
      <w:r w:rsidRPr="00576AF8">
        <w:rPr>
          <w:b/>
          <w:sz w:val="22"/>
          <w:szCs w:val="22"/>
        </w:rPr>
        <w:t xml:space="preserve">2.1.1.1.1.12.4 </w:t>
      </w:r>
      <w:r w:rsidRPr="00576AF8">
        <w:rPr>
          <w:b/>
          <w:color w:val="000000"/>
          <w:sz w:val="22"/>
          <w:szCs w:val="22"/>
          <w:lang w:val="es-EC" w:eastAsia="es-EC" w:bidi="ar-SA"/>
        </w:rPr>
        <w:t>Funciones Personalizadas y Programas</w:t>
      </w:r>
      <w:bookmarkEnd w:id="791"/>
      <w:bookmarkEnd w:id="792"/>
    </w:p>
    <w:p w14:paraId="7F1FDFAB"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04D4A760" w14:textId="2AC71A8A" w:rsidR="009102A7" w:rsidRPr="00576AF8" w:rsidRDefault="009102A7" w:rsidP="009102A7">
      <w:pPr>
        <w:numPr>
          <w:ilvl w:val="0"/>
          <w:numId w:val="1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proporcionará las herramientas que permitan a</w:t>
      </w:r>
      <w:r w:rsidR="003F051C">
        <w:rPr>
          <w:color w:val="000000"/>
          <w:sz w:val="22"/>
          <w:szCs w:val="22"/>
          <w:lang w:val="es-EC" w:eastAsia="es-EC" w:bidi="ar-SA"/>
        </w:rPr>
        <w:t>l</w:t>
      </w:r>
      <w:r w:rsidRPr="00576AF8">
        <w:rPr>
          <w:color w:val="000000"/>
          <w:sz w:val="22"/>
          <w:szCs w:val="22"/>
          <w:lang w:val="es-EC" w:eastAsia="es-EC" w:bidi="ar-SA"/>
        </w:rPr>
        <w:t xml:space="preserve"> </w:t>
      </w:r>
      <w:r w:rsidR="003F051C" w:rsidRPr="00576AF8">
        <w:rPr>
          <w:color w:val="000000"/>
          <w:sz w:val="22"/>
          <w:szCs w:val="22"/>
          <w:lang w:val="es-EC" w:eastAsia="es-EC" w:bidi="ar-SA"/>
        </w:rPr>
        <w:t>C</w:t>
      </w:r>
      <w:r w:rsidR="003F051C">
        <w:rPr>
          <w:color w:val="000000"/>
          <w:sz w:val="22"/>
          <w:szCs w:val="22"/>
          <w:lang w:val="es-EC" w:eastAsia="es-EC" w:bidi="ar-SA"/>
        </w:rPr>
        <w:t>omprador</w:t>
      </w:r>
      <w:r w:rsidR="003F051C" w:rsidRPr="00576AF8">
        <w:rPr>
          <w:color w:val="000000"/>
          <w:sz w:val="22"/>
          <w:szCs w:val="22"/>
          <w:lang w:val="es-EC" w:eastAsia="es-EC" w:bidi="ar-SA"/>
        </w:rPr>
        <w:t xml:space="preserve"> </w:t>
      </w:r>
      <w:r w:rsidRPr="00576AF8">
        <w:rPr>
          <w:color w:val="000000"/>
          <w:sz w:val="22"/>
          <w:szCs w:val="22"/>
          <w:lang w:val="es-EC" w:eastAsia="es-EC" w:bidi="ar-SA"/>
        </w:rPr>
        <w:t>crear funciones y programas personalizados basados en lenguajes de scripting, interpretados o compilados. Estos programas permitirán el uso de cualquier punto de la base de datos como entrada o salida (en tiempo real e histórico) para cálculos y secuencias complejos.</w:t>
      </w:r>
    </w:p>
    <w:p w14:paraId="6D25B1EA" w14:textId="77777777" w:rsidR="009102A7" w:rsidRPr="00576AF8" w:rsidRDefault="009102A7" w:rsidP="009102A7">
      <w:pPr>
        <w:numPr>
          <w:ilvl w:val="0"/>
          <w:numId w:val="1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 herramienta debe admitir el envío de cualquier tipo de control supervisorio (salidas digitales y puntos de ajuste), etiquetado, generación de alarmas y eventos, activación de otro programa personalizado o programa del sistema. Los programas creados deben activarse manualmente, periódicamente o desencadenarse por un cambio en un punto de la base de datos o por otro programa.</w:t>
      </w:r>
    </w:p>
    <w:p w14:paraId="5A274602" w14:textId="77777777" w:rsidR="009102A7" w:rsidRPr="00576AF8" w:rsidRDefault="009102A7" w:rsidP="009102A7">
      <w:pPr>
        <w:numPr>
          <w:ilvl w:val="0"/>
          <w:numId w:val="1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editor, compilador y depurador que sean necesarios deben incluirse como parte de la entrega.</w:t>
      </w:r>
    </w:p>
    <w:p w14:paraId="2FB59910" w14:textId="77777777" w:rsidR="009102A7" w:rsidRPr="00576AF8" w:rsidRDefault="009102A7" w:rsidP="009102A7">
      <w:pPr>
        <w:numPr>
          <w:ilvl w:val="0"/>
          <w:numId w:val="1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Estas funciones serán supervisadas y gestionadas por pantallas del producto base.</w:t>
      </w:r>
    </w:p>
    <w:p w14:paraId="64BDC896" w14:textId="77777777" w:rsidR="009102A7" w:rsidRPr="00576AF8" w:rsidRDefault="009102A7" w:rsidP="009102A7">
      <w:pPr>
        <w:numPr>
          <w:ilvl w:val="0"/>
          <w:numId w:val="1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Algunos ejemplos de programas son:</w:t>
      </w:r>
    </w:p>
    <w:p w14:paraId="5FC5112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Habilitación/deshabilitación automática de un dispositivo de protección bajo condiciones específicas.</w:t>
      </w:r>
    </w:p>
    <w:p w14:paraId="2630369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bucle cerrado especial.</w:t>
      </w:r>
    </w:p>
    <w:p w14:paraId="22AB6A3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Operaciones de conmutación secuenciadas.</w:t>
      </w:r>
    </w:p>
    <w:p w14:paraId="2516A9A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Interbloqueos.</w:t>
      </w:r>
    </w:p>
    <w:p w14:paraId="717663AC" w14:textId="77777777" w:rsidR="009102A7" w:rsidRPr="00576AF8" w:rsidRDefault="009102A7" w:rsidP="009102A7">
      <w:pPr>
        <w:ind w:left="720" w:firstLine="696"/>
        <w:jc w:val="left"/>
        <w:outlineLvl w:val="2"/>
        <w:rPr>
          <w:sz w:val="22"/>
          <w:szCs w:val="22"/>
        </w:rPr>
      </w:pPr>
      <w:bookmarkStart w:id="793" w:name="_Toc160268939"/>
      <w:bookmarkStart w:id="794" w:name="_Toc160455962"/>
      <w:r w:rsidRPr="00576AF8">
        <w:rPr>
          <w:b/>
          <w:sz w:val="22"/>
          <w:szCs w:val="22"/>
        </w:rPr>
        <w:t>2.1.1.1.1.13 Modo de Prueba</w:t>
      </w:r>
      <w:bookmarkEnd w:id="793"/>
      <w:bookmarkEnd w:id="794"/>
    </w:p>
    <w:p w14:paraId="65DAA3AF" w14:textId="77777777" w:rsidR="009102A7" w:rsidRPr="00576AF8" w:rsidRDefault="009102A7" w:rsidP="009102A7">
      <w:pPr>
        <w:suppressAutoHyphens w:val="0"/>
        <w:spacing w:after="0"/>
        <w:ind w:left="1416" w:firstLine="67"/>
        <w:rPr>
          <w:color w:val="000000"/>
          <w:sz w:val="22"/>
          <w:szCs w:val="22"/>
          <w:lang w:val="es-EC" w:eastAsia="es-EC" w:bidi="ar-SA"/>
        </w:rPr>
      </w:pPr>
      <w:r w:rsidRPr="00576AF8">
        <w:rPr>
          <w:color w:val="000000"/>
          <w:sz w:val="22"/>
          <w:szCs w:val="22"/>
          <w:lang w:val="es-EC" w:eastAsia="es-EC" w:bidi="ar-SA"/>
        </w:rPr>
        <w:t>El SCADA permitirá colocar diferentes componentes jerárquicos hasta los puntos de medición, indicación o acumuladores en diferentes modos de prueba descritos a continuación:</w:t>
      </w:r>
    </w:p>
    <w:p w14:paraId="0FC6677D" w14:textId="77777777" w:rsidR="009102A7" w:rsidRPr="00576AF8" w:rsidRDefault="009102A7" w:rsidP="009102A7">
      <w:pPr>
        <w:suppressAutoHyphens w:val="0"/>
        <w:spacing w:after="0"/>
        <w:ind w:left="1416" w:firstLine="67"/>
        <w:rPr>
          <w:color w:val="000000"/>
          <w:sz w:val="22"/>
          <w:szCs w:val="22"/>
          <w:lang w:val="es-EC" w:eastAsia="es-EC" w:bidi="ar-SA"/>
        </w:rPr>
      </w:pPr>
    </w:p>
    <w:p w14:paraId="497CE400" w14:textId="77777777" w:rsidR="009102A7" w:rsidRPr="00576AF8" w:rsidRDefault="009102A7" w:rsidP="009102A7">
      <w:pPr>
        <w:ind w:left="720" w:firstLine="696"/>
        <w:jc w:val="left"/>
        <w:outlineLvl w:val="2"/>
        <w:rPr>
          <w:color w:val="000000"/>
          <w:sz w:val="22"/>
          <w:szCs w:val="22"/>
          <w:lang w:val="es-EC" w:eastAsia="es-EC" w:bidi="ar-SA"/>
        </w:rPr>
      </w:pPr>
      <w:bookmarkStart w:id="795" w:name="_Toc160268940"/>
      <w:bookmarkStart w:id="796" w:name="_Toc160455963"/>
      <w:r w:rsidRPr="00576AF8">
        <w:rPr>
          <w:b/>
          <w:sz w:val="22"/>
          <w:szCs w:val="22"/>
        </w:rPr>
        <w:t xml:space="preserve">2.1.1.1.1.13.1 </w:t>
      </w:r>
      <w:r w:rsidRPr="00576AF8">
        <w:rPr>
          <w:b/>
          <w:color w:val="000000"/>
          <w:sz w:val="22"/>
          <w:szCs w:val="22"/>
          <w:lang w:val="es-EC" w:eastAsia="es-EC" w:bidi="ar-SA"/>
        </w:rPr>
        <w:t>Modo de Prueba de Equipos</w:t>
      </w:r>
      <w:bookmarkEnd w:id="795"/>
      <w:bookmarkEnd w:id="796"/>
    </w:p>
    <w:p w14:paraId="5743B9AD"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5C370E58" w14:textId="77777777" w:rsidR="009102A7" w:rsidRPr="00576AF8" w:rsidRDefault="009102A7" w:rsidP="009102A7">
      <w:pPr>
        <w:numPr>
          <w:ilvl w:val="0"/>
          <w:numId w:val="19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Este modo de prueba se requiere para redirigir temporalmente los eventos que ocurran en un objeto del sistema a una lista separada y dedicada y así evitar que el operador reciba alarmas de elementos de red que están siendo objeto de un mantenimiento.  </w:t>
      </w:r>
    </w:p>
    <w:p w14:paraId="472E2068" w14:textId="77777777" w:rsidR="009102A7" w:rsidRPr="00576AF8" w:rsidRDefault="009102A7" w:rsidP="009102A7">
      <w:pPr>
        <w:numPr>
          <w:ilvl w:val="0"/>
          <w:numId w:val="19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Esto se debe lograr mediante la asignación de dicha condición de prueba mediante una bandera a cualquier punto de la base de datos en tiempo real, o a cualquiera de las agrupaciones jerárquicas que los contiene, por ejemplo:</w:t>
      </w:r>
    </w:p>
    <w:p w14:paraId="4F9E18D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Subestación</w:t>
      </w:r>
    </w:p>
    <w:p w14:paraId="7F2BA88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RTU</w:t>
      </w:r>
    </w:p>
    <w:p w14:paraId="48ED144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Bahía</w:t>
      </w:r>
    </w:p>
    <w:p w14:paraId="4A2F4AA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Equipo</w:t>
      </w:r>
    </w:p>
    <w:p w14:paraId="134F82E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Punto</w:t>
      </w:r>
    </w:p>
    <w:p w14:paraId="6C5D54B2" w14:textId="77777777" w:rsidR="009102A7" w:rsidRPr="00576AF8" w:rsidRDefault="009102A7" w:rsidP="009102A7">
      <w:pPr>
        <w:numPr>
          <w:ilvl w:val="0"/>
          <w:numId w:val="19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cualquier momento cuando así lo decida el operador dicha bandera puede ser removida.</w:t>
      </w:r>
    </w:p>
    <w:p w14:paraId="538711C5" w14:textId="77777777" w:rsidR="009102A7" w:rsidRPr="00576AF8" w:rsidRDefault="009102A7" w:rsidP="009102A7">
      <w:pPr>
        <w:numPr>
          <w:ilvl w:val="0"/>
          <w:numId w:val="19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realizar esta actividad el operador tendrá la autoridad correspondiente.</w:t>
      </w:r>
    </w:p>
    <w:p w14:paraId="7FC19BFD" w14:textId="77777777" w:rsidR="009102A7" w:rsidRPr="00576AF8" w:rsidRDefault="009102A7" w:rsidP="009102A7">
      <w:pPr>
        <w:suppressAutoHyphens w:val="0"/>
        <w:spacing w:after="0"/>
        <w:rPr>
          <w:color w:val="000000"/>
          <w:sz w:val="22"/>
          <w:szCs w:val="22"/>
          <w:lang w:val="es-EC" w:eastAsia="es-EC" w:bidi="ar-SA"/>
        </w:rPr>
      </w:pPr>
    </w:p>
    <w:p w14:paraId="418A288E" w14:textId="77777777" w:rsidR="009102A7" w:rsidRPr="00576AF8" w:rsidRDefault="009102A7" w:rsidP="009102A7">
      <w:pPr>
        <w:ind w:left="720" w:firstLine="696"/>
        <w:jc w:val="left"/>
        <w:outlineLvl w:val="2"/>
        <w:rPr>
          <w:color w:val="000000"/>
          <w:sz w:val="22"/>
          <w:szCs w:val="22"/>
          <w:lang w:val="es-EC" w:eastAsia="es-EC" w:bidi="ar-SA"/>
        </w:rPr>
      </w:pPr>
      <w:bookmarkStart w:id="797" w:name="_Toc160268941"/>
      <w:bookmarkStart w:id="798" w:name="_Toc160455964"/>
      <w:r w:rsidRPr="00576AF8">
        <w:rPr>
          <w:b/>
          <w:sz w:val="22"/>
          <w:szCs w:val="22"/>
        </w:rPr>
        <w:t xml:space="preserve">2.1.1.1.1.13.2 </w:t>
      </w:r>
      <w:r w:rsidRPr="00576AF8">
        <w:rPr>
          <w:b/>
          <w:color w:val="000000"/>
          <w:sz w:val="22"/>
          <w:szCs w:val="22"/>
          <w:lang w:val="es-EC" w:eastAsia="es-EC" w:bidi="ar-SA"/>
        </w:rPr>
        <w:t>Modo de Escucha</w:t>
      </w:r>
      <w:bookmarkEnd w:id="797"/>
      <w:bookmarkEnd w:id="798"/>
    </w:p>
    <w:p w14:paraId="6C429BEF"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5265238C" w14:textId="77777777" w:rsidR="009102A7" w:rsidRPr="00576AF8" w:rsidRDefault="009102A7" w:rsidP="009102A7">
      <w:pPr>
        <w:numPr>
          <w:ilvl w:val="0"/>
          <w:numId w:val="1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modo escucha es un modo que se define mediante una combinación de acciones del operador en el SCADA y modificaciones temporales en los frontales de comunicación. Se utilizará durante la migración del Sistema SCADA/EMS actual al nuevo sistema, permitiendo escuchar el tráfico de comunicaciones bidireccional del sistema actual y los equipos de campo sin afectar en modo alguno su funcionamiento. </w:t>
      </w:r>
    </w:p>
    <w:p w14:paraId="0D11984A" w14:textId="77777777" w:rsidR="009102A7" w:rsidRPr="00576AF8" w:rsidRDefault="009102A7" w:rsidP="009102A7">
      <w:pPr>
        <w:numPr>
          <w:ilvl w:val="0"/>
          <w:numId w:val="1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SCADA debe proveer los despliegues necesarios para seleccionar por canal de comunicación el modo de escucha o el modo normal. </w:t>
      </w:r>
    </w:p>
    <w:p w14:paraId="770C0DF8" w14:textId="77777777" w:rsidR="009102A7" w:rsidRPr="00576AF8" w:rsidRDefault="009102A7" w:rsidP="009102A7">
      <w:pPr>
        <w:numPr>
          <w:ilvl w:val="0"/>
          <w:numId w:val="1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el modo de escucha el SCADA debe inhibirse de enviar comandos de cualquier tipo hacia los equipos de campo, pero se procesarán normalmente los datos recibidos en los frontales de comunicaciones. </w:t>
      </w:r>
    </w:p>
    <w:p w14:paraId="2480E10D" w14:textId="77777777" w:rsidR="009102A7" w:rsidRPr="00576AF8" w:rsidRDefault="009102A7" w:rsidP="009102A7">
      <w:pPr>
        <w:numPr>
          <w:ilvl w:val="0"/>
          <w:numId w:val="1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el modo de escucha deberán estar acompañados de cambios en los frontales de comunicaciones. Estos cambios pueden ser de configuración o incluir cambios de hardware para permitir la derivación de las señales físicas necesarias cuando se trate de comunicaciones seriales.  Mayores detalles pueden ser consultados en el numeral de FRONTALES DE COMUNICACIONES.</w:t>
      </w:r>
    </w:p>
    <w:p w14:paraId="7F46703B" w14:textId="77777777" w:rsidR="009102A7" w:rsidRPr="00576AF8" w:rsidRDefault="009102A7" w:rsidP="009102A7">
      <w:pPr>
        <w:spacing w:after="0"/>
        <w:rPr>
          <w:color w:val="000000"/>
          <w:sz w:val="22"/>
          <w:szCs w:val="22"/>
          <w:lang w:val="es-EC" w:eastAsia="es-EC" w:bidi="ar-SA"/>
        </w:rPr>
      </w:pPr>
    </w:p>
    <w:p w14:paraId="4C4C96B2" w14:textId="77777777" w:rsidR="009102A7" w:rsidRPr="00576AF8" w:rsidRDefault="009102A7" w:rsidP="009102A7">
      <w:pPr>
        <w:ind w:left="720" w:firstLine="696"/>
        <w:jc w:val="left"/>
        <w:outlineLvl w:val="2"/>
        <w:rPr>
          <w:sz w:val="22"/>
          <w:szCs w:val="22"/>
        </w:rPr>
      </w:pPr>
      <w:bookmarkStart w:id="799" w:name="_Toc160268942"/>
      <w:bookmarkStart w:id="800" w:name="_Toc160455965"/>
      <w:r w:rsidRPr="00576AF8">
        <w:rPr>
          <w:b/>
          <w:sz w:val="22"/>
          <w:szCs w:val="22"/>
        </w:rPr>
        <w:t>2.1.1.1.1.14 Datos de Fuentes Redundantes</w:t>
      </w:r>
      <w:bookmarkEnd w:id="799"/>
      <w:bookmarkEnd w:id="800"/>
    </w:p>
    <w:p w14:paraId="313E0FE5" w14:textId="77777777" w:rsidR="009102A7" w:rsidRPr="00576AF8" w:rsidRDefault="009102A7" w:rsidP="009102A7">
      <w:pPr>
        <w:numPr>
          <w:ilvl w:val="0"/>
          <w:numId w:val="1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soportará la presencia de puntos redundantes de mediciones e indicaciones de al menos cuatro (4) fuentes diferentes, con la capacidad de establecer una prioridad para la selección de cada una de ellas. </w:t>
      </w:r>
    </w:p>
    <w:p w14:paraId="34F486E1" w14:textId="77777777" w:rsidR="009102A7" w:rsidRPr="00576AF8" w:rsidRDefault="009102A7" w:rsidP="009102A7">
      <w:pPr>
        <w:numPr>
          <w:ilvl w:val="0"/>
          <w:numId w:val="1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Además de utilizar la técnica de redundancia por razones de seguridad y disponibilidad de información, el sistema será capaz de gestionar lógicas de adquisición. </w:t>
      </w:r>
    </w:p>
    <w:p w14:paraId="23E7328B" w14:textId="77777777" w:rsidR="009102A7" w:rsidRPr="00576AF8" w:rsidRDefault="009102A7" w:rsidP="009102A7">
      <w:pPr>
        <w:numPr>
          <w:ilvl w:val="0"/>
          <w:numId w:val="1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alarmas deben generarse para el punto de fuente de entrada y el punto resultante.</w:t>
      </w:r>
    </w:p>
    <w:p w14:paraId="778AB8F0" w14:textId="77777777" w:rsidR="009102A7" w:rsidRPr="00576AF8" w:rsidRDefault="009102A7" w:rsidP="009102A7">
      <w:pPr>
        <w:numPr>
          <w:ilvl w:val="0"/>
          <w:numId w:val="1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todos los puntos de fuente redundante definidos, la fuente activa se podrá seleccionar automática o manualmente. Este cambio generará un evento.</w:t>
      </w:r>
    </w:p>
    <w:p w14:paraId="1FE5C31B" w14:textId="77777777" w:rsidR="009102A7" w:rsidRPr="00576AF8" w:rsidRDefault="009102A7" w:rsidP="009102A7">
      <w:pPr>
        <w:numPr>
          <w:ilvl w:val="0"/>
          <w:numId w:val="1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comandos a dispositivos con fuentes redundantes se emitirán al control relacionado con la fuente activa, siguiendo su retroalimentación de entrada.</w:t>
      </w:r>
    </w:p>
    <w:p w14:paraId="4C7A9649"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15E44032" w14:textId="77777777" w:rsidR="009102A7" w:rsidRPr="00576AF8" w:rsidRDefault="009102A7" w:rsidP="009102A7">
      <w:pPr>
        <w:ind w:left="720" w:firstLine="696"/>
        <w:jc w:val="left"/>
        <w:outlineLvl w:val="2"/>
        <w:rPr>
          <w:color w:val="000000"/>
          <w:sz w:val="22"/>
          <w:szCs w:val="22"/>
          <w:lang w:val="es-EC" w:eastAsia="es-EC" w:bidi="ar-SA"/>
        </w:rPr>
      </w:pPr>
      <w:bookmarkStart w:id="801" w:name="_Toc160268943"/>
      <w:bookmarkStart w:id="802" w:name="_Toc160455966"/>
      <w:r w:rsidRPr="00576AF8">
        <w:rPr>
          <w:b/>
          <w:sz w:val="22"/>
          <w:szCs w:val="22"/>
        </w:rPr>
        <w:t xml:space="preserve">2.1.1.1.1.14.1 </w:t>
      </w:r>
      <w:r w:rsidRPr="00576AF8">
        <w:rPr>
          <w:b/>
          <w:color w:val="000000"/>
          <w:sz w:val="22"/>
          <w:szCs w:val="22"/>
          <w:lang w:val="es-EC" w:eastAsia="es-EC" w:bidi="ar-SA"/>
        </w:rPr>
        <w:t>Mediciones</w:t>
      </w:r>
      <w:bookmarkEnd w:id="801"/>
      <w:bookmarkEnd w:id="802"/>
    </w:p>
    <w:p w14:paraId="707F7130" w14:textId="77777777" w:rsidR="009102A7" w:rsidRPr="00576AF8" w:rsidRDefault="009102A7" w:rsidP="009102A7">
      <w:pPr>
        <w:numPr>
          <w:ilvl w:val="0"/>
          <w:numId w:val="2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El sistema debe aplicar una lógica de adquisición de selección de las mediciones. El objetivo de la lógica es guardar las mediciones de una sola fuente de prioridad más alta si los datos de otras fuentes llegan inválidos. </w:t>
      </w:r>
    </w:p>
    <w:p w14:paraId="64263306" w14:textId="77777777" w:rsidR="009102A7" w:rsidRPr="00576AF8" w:rsidRDefault="009102A7" w:rsidP="009102A7">
      <w:pPr>
        <w:numPr>
          <w:ilvl w:val="0"/>
          <w:numId w:val="2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vez que se guarda una medición, se debe indicar la fuente.</w:t>
      </w:r>
    </w:p>
    <w:p w14:paraId="28805F4C" w14:textId="77777777" w:rsidR="009102A7" w:rsidRPr="00576AF8" w:rsidRDefault="009102A7" w:rsidP="00B42735">
      <w:pPr>
        <w:suppressAutoHyphens w:val="0"/>
        <w:spacing w:after="0"/>
        <w:ind w:left="1843"/>
        <w:contextualSpacing/>
        <w:rPr>
          <w:color w:val="000000"/>
          <w:sz w:val="22"/>
          <w:szCs w:val="22"/>
          <w:lang w:val="es-EC" w:eastAsia="es-EC" w:bidi="ar-SA"/>
        </w:rPr>
      </w:pPr>
      <w:r w:rsidRPr="00576AF8">
        <w:rPr>
          <w:color w:val="000000"/>
          <w:sz w:val="22"/>
          <w:szCs w:val="22"/>
          <w:lang w:val="es-EC" w:eastAsia="es-EC" w:bidi="ar-SA"/>
        </w:rPr>
        <w:t>Cuando llega una medición desde cualquier fuente, pueden ocurrir las siguientes condiciones:</w:t>
      </w:r>
    </w:p>
    <w:p w14:paraId="5FD4B296" w14:textId="77777777" w:rsidR="009102A7" w:rsidRPr="00576AF8" w:rsidRDefault="009102A7" w:rsidP="009102A7">
      <w:pPr>
        <w:numPr>
          <w:ilvl w:val="0"/>
          <w:numId w:val="2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todas las fuentes son válidas pero inconsistentes, se debe generar una alarma.</w:t>
      </w:r>
    </w:p>
    <w:p w14:paraId="7DD4055F" w14:textId="77777777" w:rsidR="009102A7" w:rsidRPr="00576AF8" w:rsidRDefault="009102A7" w:rsidP="009102A7">
      <w:pPr>
        <w:numPr>
          <w:ilvl w:val="0"/>
          <w:numId w:val="2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la diferencia entre la hora de adquisición de la medición recibida y la almacenada es mayor o igual a un tiempo determinado o la fuente es la misma que la almacenada (medición espontánea), el nuevo valor debe guardarse.</w:t>
      </w:r>
    </w:p>
    <w:p w14:paraId="49DF0865" w14:textId="77777777" w:rsidR="009102A7" w:rsidRPr="00576AF8" w:rsidRDefault="009102A7" w:rsidP="009102A7">
      <w:pPr>
        <w:numPr>
          <w:ilvl w:val="0"/>
          <w:numId w:val="29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la diferencia entre la hora de adquisición de la medición recibida y la almacenada es menor que un tiempo determinado y la fuente es diferente de la almacenada, se debe realizar una comprobación de calidad:</w:t>
      </w:r>
    </w:p>
    <w:p w14:paraId="0C51E05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el valor almacenado es válido, y el nuevo valor es inválido o difiere del anterior en un porcentaje de banda, se debe establecer una bandera de discrepancia y el nuevo se debe descartar.</w:t>
      </w:r>
    </w:p>
    <w:p w14:paraId="3C180E5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el valor almacenado no es válido, y el nuevo valor es válido, la bandera de discrepancia debe establecerse y el nuevo valor debe guardarse.</w:t>
      </w:r>
    </w:p>
    <w:p w14:paraId="01EA39C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ambos valores son válidos y su diferencia no supera en un porcentaje predefinido, la bandera de discrepancia debe restablecerse y el nuevo valor se debe descartar.</w:t>
      </w:r>
    </w:p>
    <w:p w14:paraId="11B766E8"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43F37D11" w14:textId="77777777" w:rsidR="009102A7" w:rsidRPr="00576AF8" w:rsidRDefault="009102A7" w:rsidP="009102A7">
      <w:pPr>
        <w:ind w:left="720" w:firstLine="696"/>
        <w:jc w:val="left"/>
        <w:outlineLvl w:val="2"/>
        <w:rPr>
          <w:color w:val="000000"/>
          <w:sz w:val="22"/>
          <w:szCs w:val="22"/>
          <w:lang w:val="es-EC" w:eastAsia="es-EC" w:bidi="ar-SA"/>
        </w:rPr>
      </w:pPr>
      <w:bookmarkStart w:id="803" w:name="_Toc160268944"/>
      <w:bookmarkStart w:id="804" w:name="_Toc160455967"/>
      <w:r w:rsidRPr="00576AF8">
        <w:rPr>
          <w:b/>
          <w:sz w:val="22"/>
          <w:szCs w:val="22"/>
        </w:rPr>
        <w:t xml:space="preserve">2.1.1.1.1.14.2 </w:t>
      </w:r>
      <w:r w:rsidRPr="00576AF8">
        <w:rPr>
          <w:b/>
          <w:color w:val="000000"/>
          <w:sz w:val="22"/>
          <w:szCs w:val="22"/>
          <w:lang w:val="es-EC" w:eastAsia="es-EC" w:bidi="ar-SA"/>
        </w:rPr>
        <w:t>Indicaciones de Estado</w:t>
      </w:r>
      <w:bookmarkEnd w:id="803"/>
      <w:bookmarkEnd w:id="804"/>
    </w:p>
    <w:p w14:paraId="6F11DB27" w14:textId="77777777" w:rsidR="009102A7" w:rsidRPr="00576AF8" w:rsidRDefault="009102A7" w:rsidP="009102A7">
      <w:pPr>
        <w:numPr>
          <w:ilvl w:val="0"/>
          <w:numId w:val="29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El objetivo de la lógica será guardar las indicaciones de estado de una sola fuente de prioridad más alta si los datos de otras fuentes llegan inválidos. </w:t>
      </w:r>
    </w:p>
    <w:p w14:paraId="1B11492D" w14:textId="77777777" w:rsidR="009102A7" w:rsidRPr="00576AF8" w:rsidRDefault="009102A7" w:rsidP="009102A7">
      <w:pPr>
        <w:numPr>
          <w:ilvl w:val="0"/>
          <w:numId w:val="29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Cada vez que se guarda un valor, se debe indicar la fuente de origen. </w:t>
      </w:r>
    </w:p>
    <w:p w14:paraId="01310D4E" w14:textId="77777777" w:rsidR="009102A7" w:rsidRPr="00576AF8" w:rsidRDefault="009102A7" w:rsidP="009102A7">
      <w:pPr>
        <w:numPr>
          <w:ilvl w:val="0"/>
          <w:numId w:val="29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Cuando llega un valor desde cualquier fuente, pueden ocurrir las siguientes condiciones:</w:t>
      </w:r>
    </w:p>
    <w:p w14:paraId="51D82787" w14:textId="77777777" w:rsidR="009102A7" w:rsidRPr="00576AF8" w:rsidRDefault="009102A7" w:rsidP="009102A7">
      <w:pPr>
        <w:numPr>
          <w:ilvl w:val="0"/>
          <w:numId w:val="29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Si la estampa de tiempo de la señal recibida es mayor que la estampa de tiempo del valor guardado, el nuevo valor debe guardarse.</w:t>
      </w:r>
    </w:p>
    <w:p w14:paraId="6C7136BD" w14:textId="77777777" w:rsidR="009102A7" w:rsidRPr="00576AF8" w:rsidRDefault="009102A7" w:rsidP="009102A7">
      <w:pPr>
        <w:numPr>
          <w:ilvl w:val="0"/>
          <w:numId w:val="29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Si la estampa de tiempo de la señal recibida es igual que la estampa de tiempo del valor guardado, y la fuente de origen es diferente de la almacenada, se debe realizar una comprobación de calidad (dos señales con la misma estampa de tiempo deben haber sido generadas por el mismo evento):</w:t>
      </w:r>
    </w:p>
    <w:p w14:paraId="4E4DEE0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el valor memorizado es válido y la nueva señal es inválida o difiere de la anterior salvada, se debe establecer una bandera de discrepancia, y la nueva señal será descartada.</w:t>
      </w:r>
    </w:p>
    <w:p w14:paraId="1EB0E4F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la señal almacenada es inválida y la nueva señal es válida, la bandera de discrepancia debe establecerse, y la nueva señal debe guardarse.</w:t>
      </w:r>
    </w:p>
    <w:p w14:paraId="034BFB6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ambas señales son válidas e idénticas, la bandera de discrepancia debe restablecerse y la nueva señal debe descartarse.</w:t>
      </w:r>
    </w:p>
    <w:p w14:paraId="14F91A1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ambas señales son válidas con valores diferentes, se debe establecer la bandera de discrepancia, y el sistema elegirá la señal que proviene de la fuente con mayor prioridad.</w:t>
      </w:r>
    </w:p>
    <w:p w14:paraId="336B364F"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330F3D88" w14:textId="77777777" w:rsidR="009102A7" w:rsidRPr="00576AF8" w:rsidRDefault="009102A7" w:rsidP="009102A7">
      <w:pPr>
        <w:ind w:left="720" w:firstLine="696"/>
        <w:jc w:val="left"/>
        <w:outlineLvl w:val="2"/>
        <w:rPr>
          <w:sz w:val="22"/>
          <w:szCs w:val="22"/>
        </w:rPr>
      </w:pPr>
      <w:bookmarkStart w:id="805" w:name="_Toc160268945"/>
      <w:bookmarkStart w:id="806" w:name="_Toc160455968"/>
      <w:r w:rsidRPr="00576AF8">
        <w:rPr>
          <w:b/>
          <w:sz w:val="22"/>
          <w:szCs w:val="22"/>
        </w:rPr>
        <w:t>2.1.1.1.1.15 Detección de Puntos Congelados</w:t>
      </w:r>
      <w:bookmarkEnd w:id="805"/>
      <w:bookmarkEnd w:id="806"/>
    </w:p>
    <w:p w14:paraId="6AB85329" w14:textId="77777777" w:rsidR="009102A7" w:rsidRPr="00576AF8" w:rsidRDefault="009102A7" w:rsidP="009102A7">
      <w:pPr>
        <w:ind w:left="708" w:right="41" w:firstLine="708"/>
        <w:rPr>
          <w:b/>
          <w:sz w:val="22"/>
          <w:szCs w:val="22"/>
        </w:rPr>
      </w:pPr>
    </w:p>
    <w:p w14:paraId="3C5B340C" w14:textId="77777777" w:rsidR="009102A7" w:rsidRPr="00576AF8" w:rsidRDefault="009102A7" w:rsidP="009102A7">
      <w:pPr>
        <w:numPr>
          <w:ilvl w:val="0"/>
          <w:numId w:val="2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SCADA deberá tener una función para detectar si un valor SCADA no ha excedido una banda de valores especificados durante un tiempo determinado en minutos, representando una condición de congelamiento. </w:t>
      </w:r>
    </w:p>
    <w:p w14:paraId="11E87645" w14:textId="77777777" w:rsidR="009102A7" w:rsidRPr="00576AF8" w:rsidRDefault="009102A7" w:rsidP="009102A7">
      <w:pPr>
        <w:numPr>
          <w:ilvl w:val="0"/>
          <w:numId w:val="2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Esta función debe aplicarse a cualquier punto telemedido definido en una lista de configuración. Al detectarse esta condición debe generarse una alarma. </w:t>
      </w:r>
    </w:p>
    <w:p w14:paraId="1E0DFA9A" w14:textId="77777777" w:rsidR="009102A7" w:rsidRPr="00576AF8" w:rsidRDefault="009102A7" w:rsidP="009102A7">
      <w:pPr>
        <w:numPr>
          <w:ilvl w:val="0"/>
          <w:numId w:val="29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Asimismo, se debe disponer de un despliegue dinámico con una lista resumen de los puntos congelados. </w:t>
      </w:r>
    </w:p>
    <w:p w14:paraId="1953AF01"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3A6D70A9" w14:textId="77777777" w:rsidR="009102A7" w:rsidRPr="00576AF8" w:rsidRDefault="009102A7" w:rsidP="009102A7">
      <w:pPr>
        <w:ind w:left="720" w:firstLine="696"/>
        <w:jc w:val="left"/>
        <w:outlineLvl w:val="2"/>
        <w:rPr>
          <w:sz w:val="22"/>
          <w:szCs w:val="22"/>
        </w:rPr>
      </w:pPr>
      <w:bookmarkStart w:id="807" w:name="_Toc160268946"/>
      <w:bookmarkStart w:id="808" w:name="_Toc160455969"/>
      <w:r w:rsidRPr="00576AF8">
        <w:rPr>
          <w:b/>
          <w:sz w:val="22"/>
          <w:szCs w:val="22"/>
        </w:rPr>
        <w:t>2.1.1.1.1.16 Detección de Violación de Tasa de Cambio</w:t>
      </w:r>
      <w:bookmarkEnd w:id="807"/>
      <w:bookmarkEnd w:id="808"/>
    </w:p>
    <w:p w14:paraId="1387DF2F" w14:textId="77777777" w:rsidR="009102A7" w:rsidRPr="00576AF8" w:rsidRDefault="009102A7" w:rsidP="009102A7">
      <w:pPr>
        <w:ind w:right="41"/>
        <w:rPr>
          <w:b/>
          <w:sz w:val="22"/>
          <w:szCs w:val="22"/>
        </w:rPr>
      </w:pPr>
    </w:p>
    <w:p w14:paraId="5E89D51B" w14:textId="77777777" w:rsidR="009102A7" w:rsidRPr="00576AF8" w:rsidRDefault="009102A7" w:rsidP="009102A7">
      <w:pPr>
        <w:numPr>
          <w:ilvl w:val="0"/>
          <w:numId w:val="2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SCADA deberá tener una función para detectar si una medición ha excedido un determinado valor dentro de una unidad de tiempo sin necesidad de violar algún límite.  </w:t>
      </w:r>
    </w:p>
    <w:p w14:paraId="68C14E23" w14:textId="77777777" w:rsidR="009102A7" w:rsidRPr="00576AF8" w:rsidRDefault="009102A7" w:rsidP="009102A7">
      <w:pPr>
        <w:numPr>
          <w:ilvl w:val="0"/>
          <w:numId w:val="2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Esa variación puede ser positiva o negativa según la definición del usuario. Por ejemplo, si se quiere detectar una caída de potencia de 4 MW en un minuto en una línea para detectar una pérdida de carga. </w:t>
      </w:r>
    </w:p>
    <w:p w14:paraId="5ADF930B" w14:textId="77777777" w:rsidR="009102A7" w:rsidRPr="00576AF8" w:rsidRDefault="009102A7" w:rsidP="009102A7">
      <w:pPr>
        <w:numPr>
          <w:ilvl w:val="0"/>
          <w:numId w:val="29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Bajo esta condición se debe generar una alarma al operador. </w:t>
      </w:r>
    </w:p>
    <w:p w14:paraId="4E18F047"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2DC6A11F" w14:textId="77777777" w:rsidR="009102A7" w:rsidRPr="00576AF8" w:rsidRDefault="009102A7" w:rsidP="009102A7">
      <w:pPr>
        <w:ind w:left="720" w:firstLine="696"/>
        <w:jc w:val="left"/>
        <w:outlineLvl w:val="2"/>
        <w:rPr>
          <w:sz w:val="22"/>
          <w:szCs w:val="22"/>
        </w:rPr>
      </w:pPr>
      <w:bookmarkStart w:id="809" w:name="_Toc160268947"/>
      <w:bookmarkStart w:id="810" w:name="_Toc160455970"/>
      <w:r w:rsidRPr="00576AF8">
        <w:rPr>
          <w:b/>
          <w:sz w:val="22"/>
          <w:szCs w:val="22"/>
        </w:rPr>
        <w:t>2.1.1.1.1.17 Integrado e Interactivo con Aplicaciones de Sistemas de Información Geográfica</w:t>
      </w:r>
      <w:bookmarkEnd w:id="809"/>
      <w:bookmarkEnd w:id="810"/>
      <w:r w:rsidRPr="00576AF8">
        <w:rPr>
          <w:sz w:val="22"/>
          <w:szCs w:val="22"/>
        </w:rPr>
        <w:t> </w:t>
      </w:r>
    </w:p>
    <w:p w14:paraId="381FE71F" w14:textId="77777777" w:rsidR="009102A7" w:rsidRPr="00576AF8" w:rsidRDefault="009102A7" w:rsidP="009102A7">
      <w:pPr>
        <w:ind w:left="1416" w:right="41"/>
        <w:rPr>
          <w:b/>
          <w:sz w:val="22"/>
          <w:szCs w:val="22"/>
        </w:rPr>
      </w:pPr>
    </w:p>
    <w:p w14:paraId="3AF26754" w14:textId="77777777" w:rsidR="009102A7" w:rsidRPr="00576AF8" w:rsidRDefault="009102A7" w:rsidP="009102A7">
      <w:pPr>
        <w:numPr>
          <w:ilvl w:val="0"/>
          <w:numId w:val="20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debe permitir la integración de mapas geográficos permitiendo mostrar mosaicos desde fuentes como Google Maps, OpenStreet Maps entre otras, como fondo de los despliegues.  </w:t>
      </w:r>
    </w:p>
    <w:p w14:paraId="0072DDE8" w14:textId="77777777" w:rsidR="009102A7" w:rsidRPr="00576AF8" w:rsidRDefault="009102A7" w:rsidP="009102A7">
      <w:pPr>
        <w:numPr>
          <w:ilvl w:val="0"/>
          <w:numId w:val="20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tipos básicos de mapa será: </w:t>
      </w:r>
    </w:p>
    <w:p w14:paraId="51B7BF5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Vista geográfica</w:t>
      </w:r>
    </w:p>
    <w:p w14:paraId="1134069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Vista satélite</w:t>
      </w:r>
    </w:p>
    <w:p w14:paraId="13EE4EB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Vista relieve</w:t>
      </w:r>
    </w:p>
    <w:p w14:paraId="384F67C0" w14:textId="77777777" w:rsidR="009102A7" w:rsidRPr="00576AF8" w:rsidRDefault="009102A7" w:rsidP="009102A7">
      <w:pPr>
        <w:numPr>
          <w:ilvl w:val="0"/>
          <w:numId w:val="20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Asimismo, deberán superponerse de forma selectiva capas de temperatura ambiental, precipitaciones u otras capas especiales que pueda configurar</w:t>
      </w:r>
      <w:r w:rsidR="00593894" w:rsidRPr="00576AF8">
        <w:rPr>
          <w:color w:val="000000"/>
          <w:sz w:val="22"/>
          <w:szCs w:val="22"/>
          <w:lang w:val="es-EC" w:eastAsia="es-EC" w:bidi="ar-SA"/>
        </w:rPr>
        <w:t xml:space="preserve"> el Comprador</w:t>
      </w:r>
      <w:r w:rsidRPr="00576AF8">
        <w:rPr>
          <w:color w:val="000000"/>
          <w:sz w:val="22"/>
          <w:szCs w:val="22"/>
          <w:lang w:val="es-EC" w:eastAsia="es-EC" w:bidi="ar-SA"/>
        </w:rPr>
        <w:t>.</w:t>
      </w:r>
    </w:p>
    <w:p w14:paraId="594C0857" w14:textId="77777777" w:rsidR="009102A7" w:rsidRPr="00576AF8" w:rsidRDefault="009102A7" w:rsidP="009102A7">
      <w:pPr>
        <w:numPr>
          <w:ilvl w:val="0"/>
          <w:numId w:val="20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debe permitir desplegar archivos KML en el caso de Google Maps o equivalentes en otros proveedores de mapas. Asimismo, se debe permitir interactuar con los mapas con las herramientas webAPI disponibles.</w:t>
      </w:r>
    </w:p>
    <w:p w14:paraId="54E8D868" w14:textId="77777777" w:rsidR="009102A7" w:rsidRPr="00576AF8" w:rsidRDefault="009102A7" w:rsidP="009102A7">
      <w:pPr>
        <w:numPr>
          <w:ilvl w:val="0"/>
          <w:numId w:val="20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mapas de fondo serán interactivos lo que significa que los operadores podrán hacer zoom, desplazarse y hacer clic en elementos específicos para obtener más detalles.</w:t>
      </w:r>
    </w:p>
    <w:p w14:paraId="03C2EFB7" w14:textId="77777777" w:rsidR="009102A7" w:rsidRPr="00576AF8" w:rsidRDefault="009102A7" w:rsidP="009102A7">
      <w:pPr>
        <w:numPr>
          <w:ilvl w:val="0"/>
          <w:numId w:val="200"/>
        </w:numPr>
        <w:suppressAutoHyphens w:val="0"/>
        <w:spacing w:after="0"/>
        <w:ind w:left="2781"/>
        <w:contextualSpacing/>
        <w:rPr>
          <w:color w:val="000000"/>
          <w:sz w:val="22"/>
          <w:szCs w:val="22"/>
          <w:lang w:val="es-EC" w:eastAsia="es-EC" w:bidi="ar-SA"/>
        </w:rPr>
      </w:pPr>
      <w:r w:rsidRPr="00576AF8">
        <w:rPr>
          <w:color w:val="000000"/>
          <w:sz w:val="22"/>
          <w:szCs w:val="22"/>
          <w:lang w:val="es-EC" w:eastAsia="es-EC" w:bidi="ar-SA"/>
        </w:rPr>
        <w:t>Los elementos mostrados en los mapas podrán ser filtrados por diferentes criterios.</w:t>
      </w:r>
    </w:p>
    <w:p w14:paraId="68730277"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1F3277E8" w14:textId="77777777" w:rsidR="009102A7" w:rsidRPr="00576AF8" w:rsidRDefault="009102A7" w:rsidP="009102A7">
      <w:pPr>
        <w:ind w:left="720" w:firstLine="696"/>
        <w:jc w:val="left"/>
        <w:outlineLvl w:val="2"/>
        <w:rPr>
          <w:sz w:val="22"/>
          <w:szCs w:val="22"/>
        </w:rPr>
      </w:pPr>
      <w:bookmarkStart w:id="811" w:name="_Toc160268948"/>
      <w:bookmarkStart w:id="812" w:name="_Toc160455971"/>
      <w:r w:rsidRPr="00576AF8">
        <w:rPr>
          <w:b/>
          <w:sz w:val="22"/>
          <w:szCs w:val="22"/>
        </w:rPr>
        <w:t>2.1.1.1.1.18 Deslastre y Recuperación de Carga</w:t>
      </w:r>
      <w:bookmarkEnd w:id="811"/>
      <w:bookmarkEnd w:id="812"/>
    </w:p>
    <w:p w14:paraId="6E2ECF9A"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deslastre de carga se utilizará para desconectar cargas en caso de emergencias para mantener el balance generación/carga y en el caso de racionamientos programados que respondan a la insuficiencia de generación por cualquier causa.</w:t>
      </w:r>
    </w:p>
    <w:p w14:paraId="14DF3C5C"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permitirá la configuración de las cargas y los horarios interrumpibles.</w:t>
      </w:r>
    </w:p>
    <w:p w14:paraId="531B612C"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prevé que algunas de las cargas corresponderán a clientes interrumpibles con un contrato dedicado con CENACE para hacer deslastre en condiciones críticas de la red operativa. Tales horarios se utilizarían en tiempos de escasez de generación o limitación de las cargas de las líneas para reducir la demanda y proteger el sistema. </w:t>
      </w:r>
    </w:p>
    <w:p w14:paraId="5C6BC753"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permitirá elaborar una lista de grupos de cargas interrumpibles divididos por zonas geográficas. El operador podrá seleccionar los grupos o la carga interrumpible única a la que se puede enviar una señal de desconexión. El operador también podrá enviar una señal de restauración hacia las cargas interrumpidas.</w:t>
      </w:r>
    </w:p>
    <w:p w14:paraId="2DCA9C09"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 función proporcionará, como mínimo:</w:t>
      </w:r>
    </w:p>
    <w:p w14:paraId="50D0D9CA"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Selección de cargas candidatas y disponibles por grupo con base al número de MW requerido por el operador para interrumpir.</w:t>
      </w:r>
    </w:p>
    <w:p w14:paraId="773FF006"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Selección manual de grupos o cargas individuales.</w:t>
      </w:r>
    </w:p>
    <w:p w14:paraId="6AE8079E"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Selección con base a un programa de deslastre rotacional entre diferentes grupos para limitar las interrupciones a un tiempo determinado para cada uno.</w:t>
      </w:r>
    </w:p>
    <w:p w14:paraId="627938E6"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Posibilidad de enviar un comando automáticamente de inhibición de recierre en interruptores.</w:t>
      </w:r>
    </w:p>
    <w:p w14:paraId="5F88BD2C"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Identificación de la carga interrumpible.</w:t>
      </w:r>
    </w:p>
    <w:p w14:paraId="1BCE3739"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Área geoeléctrica. </w:t>
      </w:r>
    </w:p>
    <w:p w14:paraId="5129514F"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Fecha y hora inicial y final de la interrupción programada/real.</w:t>
      </w:r>
    </w:p>
    <w:p w14:paraId="3921281B"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Inhibir/habilitar cargas interrumpibles por grupo.</w:t>
      </w:r>
    </w:p>
    <w:p w14:paraId="480C5692"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Tiempo de corte en curso para cada carga interrumpida.</w:t>
      </w:r>
    </w:p>
    <w:p w14:paraId="1C61F2D0" w14:textId="77777777" w:rsidR="009102A7" w:rsidRPr="00576AF8" w:rsidRDefault="009102A7" w:rsidP="009102A7">
      <w:pPr>
        <w:numPr>
          <w:ilvl w:val="0"/>
          <w:numId w:val="299"/>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Alarma y advertencias basadas en los tiempos transcurridos definidos por el operador.</w:t>
      </w:r>
    </w:p>
    <w:p w14:paraId="74ACCBE2"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prestará apoyo al operador para restablecer la carga después de un suceso de baja frecuencia/voltaje mediante la actualización de una lista de las líneas desconectadas mediante una acción automática de baja frecuencia/voltaje. </w:t>
      </w:r>
    </w:p>
    <w:p w14:paraId="24169164"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lista indicará la última carga registrada de cada línea. Aunque la restauración de la carga estará bajo el control del operador, el sistema SCADA/EMS simplificará la tarea mediante la presentación de las cargas de una lista y permitiendo el inicio de acciones de control a partir de las mismas. </w:t>
      </w:r>
    </w:p>
    <w:p w14:paraId="10D47F93" w14:textId="77777777" w:rsidR="009102A7" w:rsidRPr="00576AF8" w:rsidRDefault="009102A7" w:rsidP="009102A7">
      <w:pPr>
        <w:numPr>
          <w:ilvl w:val="0"/>
          <w:numId w:val="20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Cuando la carga deslastrada no se haya vuelto a conectar después de un período definido por el Operador después de su interrupción, se deberá notificar al Operador mediante alarmas periódicas o por otros medios adecuados y visualmente eficaces. </w:t>
      </w:r>
    </w:p>
    <w:p w14:paraId="432EE080"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78676DE1" w14:textId="77777777" w:rsidR="009102A7" w:rsidRPr="00576AF8" w:rsidRDefault="009102A7" w:rsidP="009102A7">
      <w:pPr>
        <w:ind w:left="720" w:firstLine="696"/>
        <w:jc w:val="left"/>
        <w:outlineLvl w:val="2"/>
        <w:rPr>
          <w:sz w:val="22"/>
          <w:szCs w:val="22"/>
        </w:rPr>
      </w:pPr>
      <w:bookmarkStart w:id="813" w:name="_Toc160268949"/>
      <w:bookmarkStart w:id="814" w:name="_Toc160455972"/>
      <w:r w:rsidRPr="00576AF8">
        <w:rPr>
          <w:b/>
          <w:sz w:val="22"/>
          <w:szCs w:val="22"/>
        </w:rPr>
        <w:t>2.1.1.1.1.19 Reducción de Generación (Curtailment)</w:t>
      </w:r>
      <w:bookmarkEnd w:id="813"/>
      <w:bookmarkEnd w:id="814"/>
    </w:p>
    <w:p w14:paraId="32EF59B5" w14:textId="77777777" w:rsidR="009102A7" w:rsidRPr="00576AF8" w:rsidRDefault="009102A7" w:rsidP="009102A7">
      <w:pPr>
        <w:numPr>
          <w:ilvl w:val="0"/>
          <w:numId w:val="20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requiere de una función que permita la reducción o corte temporal de los recursos de generación renovables variables VRE o intermitentes principalmente generación eólica y solar debido principalmente a las siguientes razones:</w:t>
      </w:r>
    </w:p>
    <w:p w14:paraId="2351501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Congestión de la transmisión</w:t>
      </w:r>
    </w:p>
    <w:p w14:paraId="017A6C4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Exceso de generación durante los períodos de baja carga que podrían causar que las plantas de carga base alcancen los umbrales mínimos de generación</w:t>
      </w:r>
    </w:p>
    <w:p w14:paraId="5099C00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mantener la frecuencia y los voltajes.</w:t>
      </w:r>
    </w:p>
    <w:p w14:paraId="3568C8A0" w14:textId="77777777" w:rsidR="009102A7" w:rsidRPr="00576AF8" w:rsidRDefault="009102A7" w:rsidP="009102A7">
      <w:pPr>
        <w:numPr>
          <w:ilvl w:val="0"/>
          <w:numId w:val="20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debe permitir la configuración de las plantas y los horarios interrumpibles. Se prevé que algunas de las plantas de generación correspondan a agentes interrumpibles con un contrato dedicado con CENACE para hacer reducciones o cortes en condiciones críticas de la red operativa. </w:t>
      </w:r>
    </w:p>
    <w:p w14:paraId="0FE57FA4" w14:textId="77777777" w:rsidR="009102A7" w:rsidRPr="00576AF8" w:rsidRDefault="009102A7" w:rsidP="009102A7">
      <w:pPr>
        <w:numPr>
          <w:ilvl w:val="0"/>
          <w:numId w:val="20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permitirá elaborar una lista de plantas interrumpibles divididas por zonas geográficas. </w:t>
      </w:r>
    </w:p>
    <w:p w14:paraId="725E5E10" w14:textId="77777777" w:rsidR="009102A7" w:rsidRPr="00576AF8" w:rsidRDefault="009102A7" w:rsidP="009102A7">
      <w:pPr>
        <w:numPr>
          <w:ilvl w:val="0"/>
          <w:numId w:val="20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operador podrá seleccionar la planta interrumpible a la que se puede enviar una señal de desconexión o conexión.</w:t>
      </w:r>
    </w:p>
    <w:p w14:paraId="294B8174" w14:textId="77777777" w:rsidR="009102A7" w:rsidRPr="00576AF8" w:rsidRDefault="009102A7" w:rsidP="009102A7">
      <w:pPr>
        <w:numPr>
          <w:ilvl w:val="0"/>
          <w:numId w:val="20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 función proporcionará, como mínimo:</w:t>
      </w:r>
    </w:p>
    <w:p w14:paraId="50B1F98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Identificación de la planta.</w:t>
      </w:r>
    </w:p>
    <w:p w14:paraId="56BDDD2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Área geoeléctrica. </w:t>
      </w:r>
    </w:p>
    <w:p w14:paraId="4CDABED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Selección de plantas candidatas y disponibles con base al número de MW de generación requerido por el operador para interrumpir.</w:t>
      </w:r>
    </w:p>
    <w:p w14:paraId="7ED93B5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Selección manual de plantas individuales.</w:t>
      </w:r>
    </w:p>
    <w:p w14:paraId="6EC659A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Fecha y hora inicial y final de la interrupción programada/real.</w:t>
      </w:r>
    </w:p>
    <w:p w14:paraId="4A69A4B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Tiempo de corte en curso para cada generación interrumpida</w:t>
      </w:r>
    </w:p>
    <w:p w14:paraId="51E207D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Alarma y advertencias basadas en los tiempos transcurridos definidos por el operador.</w:t>
      </w:r>
    </w:p>
    <w:p w14:paraId="6753450D" w14:textId="77777777" w:rsidR="009102A7" w:rsidRPr="00576AF8" w:rsidRDefault="009102A7" w:rsidP="009102A7">
      <w:pPr>
        <w:numPr>
          <w:ilvl w:val="0"/>
          <w:numId w:val="202"/>
        </w:numPr>
        <w:suppressAutoHyphens w:val="0"/>
        <w:spacing w:after="0"/>
        <w:ind w:left="2781"/>
        <w:contextualSpacing/>
        <w:rPr>
          <w:color w:val="000000"/>
          <w:sz w:val="22"/>
          <w:szCs w:val="22"/>
          <w:lang w:val="es-EC" w:eastAsia="es-EC" w:bidi="ar-SA"/>
        </w:rPr>
      </w:pPr>
      <w:r w:rsidRPr="00576AF8">
        <w:rPr>
          <w:color w:val="000000"/>
          <w:sz w:val="22"/>
          <w:szCs w:val="22"/>
          <w:lang w:val="es-EC" w:eastAsia="es-EC" w:bidi="ar-SA"/>
        </w:rPr>
        <w:t>Esta funcionalidad podrá estar integrada en las aplicaciones de producción requeridas en estas especificaciones.</w:t>
      </w:r>
    </w:p>
    <w:p w14:paraId="008CF94A"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3B443F22" w14:textId="77777777" w:rsidR="009102A7" w:rsidRPr="00576AF8" w:rsidRDefault="009102A7" w:rsidP="009102A7">
      <w:pPr>
        <w:ind w:left="720" w:firstLine="696"/>
        <w:jc w:val="left"/>
        <w:outlineLvl w:val="2"/>
        <w:rPr>
          <w:sz w:val="22"/>
          <w:szCs w:val="22"/>
        </w:rPr>
      </w:pPr>
      <w:bookmarkStart w:id="815" w:name="_Toc160268950"/>
      <w:bookmarkStart w:id="816" w:name="_Toc160455973"/>
      <w:r w:rsidRPr="00576AF8">
        <w:rPr>
          <w:b/>
          <w:sz w:val="22"/>
          <w:szCs w:val="22"/>
        </w:rPr>
        <w:t>2.1.1.1.1.20 Control Secuencial de Maniobras</w:t>
      </w:r>
      <w:bookmarkEnd w:id="815"/>
      <w:bookmarkEnd w:id="816"/>
    </w:p>
    <w:p w14:paraId="4436DE7C" w14:textId="77777777" w:rsidR="009102A7" w:rsidRPr="00576AF8" w:rsidRDefault="009102A7" w:rsidP="009102A7">
      <w:pPr>
        <w:numPr>
          <w:ilvl w:val="0"/>
          <w:numId w:val="20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requiere de una función que permita la configuración, verificación y ejecución de instrucciones de maniobras mediante la ejecución secuencial de acciones de control a cualquier dispositivo del sistema eléctrico. </w:t>
      </w:r>
    </w:p>
    <w:p w14:paraId="080205E7" w14:textId="77777777" w:rsidR="009102A7" w:rsidRPr="00576AF8" w:rsidRDefault="009102A7" w:rsidP="009102A7">
      <w:pPr>
        <w:numPr>
          <w:ilvl w:val="0"/>
          <w:numId w:val="20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 aplicación tendrá las siguientes características:</w:t>
      </w:r>
    </w:p>
    <w:p w14:paraId="50A9340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Configuración de secuencias para operación de emergencia.</w:t>
      </w:r>
    </w:p>
    <w:p w14:paraId="063CCFF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Configuración de secuencias programadas.</w:t>
      </w:r>
    </w:p>
    <w:p w14:paraId="6603537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secuencias estarán sujetas a un ciclo de aprobación configurables por el usuario autorizado.</w:t>
      </w:r>
    </w:p>
    <w:p w14:paraId="28A66F3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Ejecución en un solo paso o paso a paso.</w:t>
      </w:r>
    </w:p>
    <w:p w14:paraId="1405B9D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Definición del tipo de acción: abrir/cerrar, subir/bajar o consignas.</w:t>
      </w:r>
    </w:p>
    <w:p w14:paraId="3AB8638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Definición de comprobaciones para la ejecución de cada paso.  Por ejemplo, interruptor de tierra cerrado, voltaje &lt; 1 kV, etc.</w:t>
      </w:r>
    </w:p>
    <w:p w14:paraId="4ECED86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Verificación de inhibiciones de control con posibilidad de anulación.</w:t>
      </w:r>
    </w:p>
    <w:p w14:paraId="7050E79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Mensajes al operador configurables en cada paso.</w:t>
      </w:r>
    </w:p>
    <w:p w14:paraId="6AD2906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Definición/eliminación de etiquetas operativas.</w:t>
      </w:r>
    </w:p>
    <w:p w14:paraId="2AFBCBD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Definición de tiempo de retardo entre cada paso.</w:t>
      </w:r>
    </w:p>
    <w:p w14:paraId="18C8B98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Posibilidad de cancelación de la secuencia.</w:t>
      </w:r>
    </w:p>
    <w:p w14:paraId="67821428" w14:textId="77777777" w:rsidR="009102A7" w:rsidRPr="00576AF8" w:rsidRDefault="009102A7" w:rsidP="009102A7">
      <w:pPr>
        <w:numPr>
          <w:ilvl w:val="0"/>
          <w:numId w:val="20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configuración se deberá realizar de forma gráfica y sencilla para la selección de los dispositivos a controlar y configuración de la secuencia.</w:t>
      </w:r>
    </w:p>
    <w:p w14:paraId="044C3181" w14:textId="77777777" w:rsidR="009102A7" w:rsidRPr="00576AF8" w:rsidRDefault="009102A7" w:rsidP="009102A7">
      <w:pPr>
        <w:numPr>
          <w:ilvl w:val="0"/>
          <w:numId w:val="20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secuencia deberá tener una identificación y descripción de su propósito para la selección de esta por parte del operador.</w:t>
      </w:r>
    </w:p>
    <w:p w14:paraId="7A13D5B6" w14:textId="77777777" w:rsidR="009102A7" w:rsidRPr="00576AF8" w:rsidRDefault="009102A7" w:rsidP="009102A7">
      <w:pPr>
        <w:suppressAutoHyphens w:val="0"/>
        <w:spacing w:after="0"/>
        <w:ind w:left="1843"/>
        <w:contextualSpacing/>
        <w:rPr>
          <w:color w:val="000000"/>
          <w:sz w:val="22"/>
          <w:szCs w:val="22"/>
          <w:lang w:val="es-EC" w:eastAsia="es-EC" w:bidi="ar-SA"/>
        </w:rPr>
      </w:pPr>
      <w:bookmarkStart w:id="817" w:name="_Toc160268951"/>
      <w:bookmarkStart w:id="818" w:name="_Toc160455974"/>
    </w:p>
    <w:p w14:paraId="65FA9BA1" w14:textId="77777777" w:rsidR="009102A7" w:rsidRPr="00576AF8" w:rsidRDefault="009102A7" w:rsidP="009102A7">
      <w:pPr>
        <w:ind w:left="720" w:firstLine="696"/>
        <w:jc w:val="left"/>
        <w:outlineLvl w:val="2"/>
        <w:rPr>
          <w:sz w:val="22"/>
          <w:szCs w:val="22"/>
        </w:rPr>
      </w:pPr>
      <w:r w:rsidRPr="00576AF8">
        <w:rPr>
          <w:b/>
          <w:sz w:val="22"/>
          <w:szCs w:val="22"/>
        </w:rPr>
        <w:t>2.1.1.1.1.21 Monitor de Errores de Medición de Energía</w:t>
      </w:r>
      <w:bookmarkEnd w:id="817"/>
      <w:bookmarkEnd w:id="818"/>
    </w:p>
    <w:p w14:paraId="5A315AB6" w14:textId="77777777" w:rsidR="009102A7" w:rsidRPr="00576AF8" w:rsidRDefault="009102A7" w:rsidP="009102A7">
      <w:pPr>
        <w:numPr>
          <w:ilvl w:val="0"/>
          <w:numId w:val="20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requiere una función que permita comparar la energía proveniente de los acumuladores de energía de las RTU o de las mediciones comerciales obtenidas de sistemas externos, con la energía calculada mediante la integración matemática de las mediciones de potencia MW, MVAR.</w:t>
      </w:r>
    </w:p>
    <w:p w14:paraId="3271CF2F" w14:textId="77777777" w:rsidR="009102A7" w:rsidRPr="00576AF8" w:rsidRDefault="009102A7" w:rsidP="009102A7">
      <w:pPr>
        <w:numPr>
          <w:ilvl w:val="0"/>
          <w:numId w:val="20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permitirá la configuración de una lista para la definición de las mediciones y acumuladores a comparar. Debe permitir ingresar un valor en unidades de ingeniería para definir la diferencia máxima de energía permitida y el intervalo de tiempo de verificación. Cuando el valor absoluto de la diferencia exceda la diferencia configurada, se debe generar una alarma indicando esta condición.</w:t>
      </w:r>
    </w:p>
    <w:p w14:paraId="53261A76" w14:textId="77777777" w:rsidR="009102A7" w:rsidRPr="00576AF8" w:rsidRDefault="009102A7" w:rsidP="009102A7">
      <w:pPr>
        <w:numPr>
          <w:ilvl w:val="0"/>
          <w:numId w:val="204"/>
        </w:numPr>
        <w:suppressAutoHyphens w:val="0"/>
        <w:spacing w:after="0"/>
        <w:ind w:left="2781"/>
        <w:contextualSpacing/>
        <w:rPr>
          <w:color w:val="000000"/>
          <w:sz w:val="22"/>
          <w:szCs w:val="22"/>
          <w:lang w:val="es-EC" w:eastAsia="es-EC" w:bidi="ar-SA"/>
        </w:rPr>
      </w:pPr>
      <w:r w:rsidRPr="00576AF8">
        <w:rPr>
          <w:color w:val="000000"/>
          <w:sz w:val="22"/>
          <w:szCs w:val="22"/>
          <w:lang w:val="es-EC" w:eastAsia="es-EC" w:bidi="ar-SA"/>
        </w:rPr>
        <w:t>Se deberá suministrar un despliegue dedicado para ver la lista de energías comparadas y la última diferencia reportada. </w:t>
      </w:r>
    </w:p>
    <w:p w14:paraId="77D1F948"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4D5525E2"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569B2A23"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19AC7528" w14:textId="77777777" w:rsidR="009102A7" w:rsidRPr="00576AF8" w:rsidRDefault="009102A7" w:rsidP="009102A7">
      <w:pPr>
        <w:ind w:left="720" w:firstLine="696"/>
        <w:jc w:val="left"/>
        <w:outlineLvl w:val="2"/>
        <w:rPr>
          <w:sz w:val="22"/>
          <w:szCs w:val="22"/>
        </w:rPr>
      </w:pPr>
      <w:bookmarkStart w:id="819" w:name="_Toc160268952"/>
      <w:bookmarkStart w:id="820" w:name="_Toc160455975"/>
      <w:r w:rsidRPr="00576AF8">
        <w:rPr>
          <w:b/>
          <w:sz w:val="22"/>
          <w:szCs w:val="22"/>
        </w:rPr>
        <w:t>2.1.1.1.1.22 Herramientas de Generación de Reportes</w:t>
      </w:r>
      <w:bookmarkEnd w:id="819"/>
      <w:bookmarkEnd w:id="820"/>
    </w:p>
    <w:p w14:paraId="08173D5A" w14:textId="77777777" w:rsidR="009102A7" w:rsidRPr="00576AF8" w:rsidRDefault="009102A7" w:rsidP="009102A7">
      <w:pPr>
        <w:ind w:left="1416" w:right="41"/>
        <w:rPr>
          <w:b/>
          <w:sz w:val="22"/>
          <w:szCs w:val="22"/>
        </w:rPr>
      </w:pPr>
      <w:r w:rsidRPr="00576AF8">
        <w:rPr>
          <w:color w:val="000000"/>
          <w:sz w:val="22"/>
          <w:szCs w:val="22"/>
          <w:lang w:val="es-EC" w:eastAsia="es-EC" w:bidi="ar-SA"/>
        </w:rPr>
        <w:t xml:space="preserve">Se requieren herramientas de generación de reportes que permitan analizar y presentar los datos del SCADA/EMS de manera clara y significativa. Estas herramientas facilitarán la toma de decisiones y el monitoreo efectivo de la red eléctrica. Estas herramientas serán amigables y </w:t>
      </w:r>
      <w:r w:rsidRPr="00576AF8">
        <w:rPr>
          <w:color w:val="000000"/>
          <w:sz w:val="22"/>
          <w:szCs w:val="22"/>
          <w:lang w:val="es-EC" w:eastAsia="es-EC" w:bidi="ar-SA"/>
        </w:rPr>
        <w:lastRenderedPageBreak/>
        <w:t>deben ofrecer asistentes para su configuración de forma sencilla.</w:t>
      </w:r>
      <w:r w:rsidRPr="00576AF8">
        <w:rPr>
          <w:b/>
          <w:sz w:val="22"/>
          <w:szCs w:val="22"/>
        </w:rPr>
        <w:t xml:space="preserve"> </w:t>
      </w:r>
      <w:r w:rsidRPr="00576AF8">
        <w:rPr>
          <w:color w:val="000000"/>
          <w:sz w:val="22"/>
          <w:szCs w:val="22"/>
          <w:lang w:val="es-EC" w:eastAsia="es-EC" w:bidi="ar-SA"/>
        </w:rPr>
        <w:t>Se requiere de las siguientes funcionalidades:</w:t>
      </w:r>
    </w:p>
    <w:p w14:paraId="7E99538C"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Generador de reportes integrado: El SCADA/EMS debe incluir un generador de reportes integrado que permita a los usuarios crear reportes personalizados utilizando datos en tiempo real del sistema. </w:t>
      </w:r>
    </w:p>
    <w:p w14:paraId="5B27285B"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Tableros de control (Dashboards): Se requieren estas herramientas para presentar datos clave y métricas relevantes en tiempo real de manera concisa y fácil de entender. Pueden incluir gráficos, indicadores de rendimiento clave (KPI), resúmenes de alarmas y otros elementos visuales que ayudan a los operadores a tener una visión general rápida del estado del sistema.</w:t>
      </w:r>
    </w:p>
    <w:p w14:paraId="084406B3"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Herramientas de análisis avanzado: Para realizar análisis más profundos y complejos, las herramientas de generación de reportes deben tener capacidades avanzadas de análisis de datos. Esto puede incluir análisis de tendencias, correlaciones, comparaciones históricas y pronósticos para ayudar a identificar patrones y problemas potenciales en el sistema.</w:t>
      </w:r>
    </w:p>
    <w:p w14:paraId="34C1BA20"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Programación de reportes: Las herramientas de generación de reportes permitirán la programación automática de reportes periódicos. Esto facilita la obtención regular de reportes y evita la necesidad de generarlos manualmente cada vez.</w:t>
      </w:r>
    </w:p>
    <w:p w14:paraId="070E20D7"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Compatibilidad con formatos comunes: Las herramientas de generación de reportes serán capaces de generar reportes en formatos comunes, como PDF, Excel, CSV, entre otros. Esto facilita la distribución y el intercambio de reportes con otras partes interesadas.</w:t>
      </w:r>
    </w:p>
    <w:p w14:paraId="440E88F5"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Gráficos y visualizaciones interactivas: Las herramientas proporcionarán gráficos y visualizaciones interactivas que permitan a los usuarios explorar los datos de manera más profunda y hacer zoom en períodos específicos o áreas de interés.</w:t>
      </w:r>
    </w:p>
    <w:p w14:paraId="7CA90953"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Generación de reportes históricos: La capacidad de generar reportes históricos es esencial para analizar el rendimiento pasado del sistema y realizar comparaciones con el presente.</w:t>
      </w:r>
    </w:p>
    <w:p w14:paraId="7BD7ABB0"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Seguridad y control de acceso: Dado que los reportes pueden contener datos sensibles, se requiere que las herramientas de generación de reportes tengan medidas de seguridad y opciones de control de acceso para proteger la información confidencial.</w:t>
      </w:r>
    </w:p>
    <w:p w14:paraId="1BE26691" w14:textId="77777777" w:rsidR="009102A7" w:rsidRPr="00576AF8" w:rsidRDefault="009102A7" w:rsidP="009102A7">
      <w:pPr>
        <w:suppressAutoHyphens w:val="0"/>
        <w:spacing w:before="120" w:after="0"/>
        <w:ind w:left="3192"/>
        <w:textAlignment w:val="baseline"/>
        <w:rPr>
          <w:color w:val="000000"/>
          <w:sz w:val="22"/>
          <w:szCs w:val="22"/>
          <w:lang w:val="es-EC" w:eastAsia="es-EC" w:bidi="ar-SA"/>
        </w:rPr>
      </w:pPr>
    </w:p>
    <w:p w14:paraId="5785843E" w14:textId="77777777" w:rsidR="009102A7" w:rsidRPr="00576AF8" w:rsidRDefault="009102A7" w:rsidP="009102A7">
      <w:pPr>
        <w:ind w:left="720" w:firstLine="696"/>
        <w:jc w:val="left"/>
        <w:outlineLvl w:val="2"/>
        <w:rPr>
          <w:sz w:val="22"/>
          <w:szCs w:val="22"/>
        </w:rPr>
      </w:pPr>
      <w:bookmarkStart w:id="821" w:name="_Toc160268953"/>
      <w:bookmarkStart w:id="822" w:name="_Toc160455976"/>
      <w:r w:rsidRPr="00576AF8">
        <w:rPr>
          <w:b/>
          <w:sz w:val="22"/>
          <w:szCs w:val="22"/>
        </w:rPr>
        <w:t>2.1.1.1.1.23 Integración con Herramientas de Ofimática</w:t>
      </w:r>
      <w:bookmarkEnd w:id="821"/>
      <w:bookmarkEnd w:id="822"/>
      <w:r w:rsidRPr="00576AF8">
        <w:rPr>
          <w:b/>
          <w:sz w:val="22"/>
          <w:szCs w:val="22"/>
        </w:rPr>
        <w:t> </w:t>
      </w:r>
    </w:p>
    <w:p w14:paraId="382F27E0" w14:textId="77777777" w:rsidR="009102A7" w:rsidRPr="00576AF8" w:rsidRDefault="009102A7" w:rsidP="009102A7">
      <w:pPr>
        <w:numPr>
          <w:ilvl w:val="0"/>
          <w:numId w:val="20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requiere la integración con herramientas de ofimática o equivalente para realizar consultas a la información histórica de forma ágil y sencilla ofreciendo al usuario un asistente para utilizar las funciones disponibles para preparar reportes de los tipos de datos almacenados en el historiador del sistema. </w:t>
      </w:r>
    </w:p>
    <w:p w14:paraId="04197EB1" w14:textId="77777777" w:rsidR="009102A7" w:rsidRPr="00576AF8" w:rsidRDefault="009102A7" w:rsidP="009102A7">
      <w:pPr>
        <w:numPr>
          <w:ilvl w:val="0"/>
          <w:numId w:val="20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Asimismo, la herramienta ofimática a ser entregada por el proveedor permitirá el desarrollo de aplicaciones, en cualquier leguaje de programación como por ejemplo VBA, Python, C#, etc. utilizando librerías API o mediante ODBC.</w:t>
      </w:r>
    </w:p>
    <w:p w14:paraId="611DF642" w14:textId="77777777" w:rsidR="009102A7" w:rsidRPr="00576AF8" w:rsidRDefault="009102A7" w:rsidP="009102A7">
      <w:pPr>
        <w:suppressAutoHyphens w:val="0"/>
        <w:spacing w:after="0"/>
        <w:rPr>
          <w:color w:val="000000"/>
          <w:sz w:val="22"/>
          <w:szCs w:val="22"/>
          <w:lang w:val="es-EC" w:eastAsia="es-EC" w:bidi="ar-SA"/>
        </w:rPr>
      </w:pPr>
    </w:p>
    <w:p w14:paraId="557D3763" w14:textId="77777777" w:rsidR="009102A7" w:rsidRPr="00576AF8" w:rsidRDefault="009102A7" w:rsidP="009102A7">
      <w:pPr>
        <w:ind w:left="720" w:firstLine="696"/>
        <w:jc w:val="left"/>
        <w:outlineLvl w:val="2"/>
        <w:rPr>
          <w:b/>
          <w:color w:val="000000"/>
          <w:sz w:val="22"/>
          <w:szCs w:val="22"/>
          <w:lang w:val="es-EC" w:eastAsia="es-EC" w:bidi="ar-SA"/>
        </w:rPr>
      </w:pPr>
      <w:r w:rsidRPr="00576AF8">
        <w:rPr>
          <w:b/>
          <w:color w:val="000000"/>
          <w:sz w:val="22"/>
          <w:szCs w:val="22"/>
          <w:lang w:val="es-EC" w:eastAsia="es-EC" w:bidi="ar-SA"/>
        </w:rPr>
        <w:t>2.1.1.1.2 FRONTALES DE COMUNICACIONES (FRONT END) Y GATEWAYS</w:t>
      </w:r>
    </w:p>
    <w:p w14:paraId="3FC2C302" w14:textId="77777777" w:rsidR="009102A7" w:rsidRPr="00576AF8" w:rsidRDefault="009102A7" w:rsidP="009102A7">
      <w:pPr>
        <w:spacing w:after="0"/>
        <w:ind w:left="2410"/>
        <w:rPr>
          <w:color w:val="000000"/>
          <w:sz w:val="22"/>
          <w:szCs w:val="22"/>
          <w:u w:val="single"/>
          <w:lang w:val="es-EC" w:eastAsia="es-EC" w:bidi="ar-SA"/>
        </w:rPr>
      </w:pPr>
    </w:p>
    <w:p w14:paraId="2DBFE8BD" w14:textId="77777777" w:rsidR="009102A7" w:rsidRPr="00576AF8" w:rsidRDefault="009102A7" w:rsidP="009102A7">
      <w:pPr>
        <w:ind w:left="720" w:firstLine="696"/>
        <w:jc w:val="left"/>
        <w:outlineLvl w:val="2"/>
        <w:rPr>
          <w:b/>
          <w:sz w:val="22"/>
          <w:szCs w:val="22"/>
        </w:rPr>
      </w:pPr>
      <w:r w:rsidRPr="00576AF8">
        <w:rPr>
          <w:b/>
          <w:sz w:val="22"/>
          <w:szCs w:val="22"/>
        </w:rPr>
        <w:t>2.1.1.1.2.1 Introducción:</w:t>
      </w:r>
    </w:p>
    <w:p w14:paraId="3650594D" w14:textId="77777777" w:rsidR="009102A7" w:rsidRPr="00576AF8" w:rsidRDefault="009102A7" w:rsidP="009102A7">
      <w:pPr>
        <w:numPr>
          <w:ilvl w:val="0"/>
          <w:numId w:val="301"/>
        </w:numPr>
        <w:ind w:right="41"/>
        <w:contextualSpacing/>
        <w:rPr>
          <w:b/>
          <w:sz w:val="22"/>
          <w:szCs w:val="22"/>
        </w:rPr>
      </w:pPr>
      <w:r w:rsidRPr="00576AF8">
        <w:rPr>
          <w:color w:val="000000"/>
          <w:sz w:val="22"/>
          <w:szCs w:val="22"/>
          <w:lang w:val="es-EC" w:eastAsia="es-EC" w:bidi="ar-SA"/>
        </w:rPr>
        <w:t xml:space="preserve">Los frontales de comunicación (Front-End) deberán ser servidores redundantes dedicados con la finalidad de gestionar de forma manual y automática la comunicación </w:t>
      </w:r>
      <w:r w:rsidRPr="00576AF8">
        <w:rPr>
          <w:color w:val="000000"/>
          <w:sz w:val="22"/>
          <w:szCs w:val="22"/>
          <w:lang w:val="es-EC" w:eastAsia="es-EC" w:bidi="ar-SA"/>
        </w:rPr>
        <w:lastRenderedPageBreak/>
        <w:t>con los Concentradores de Datos o Gateways, RTU, SCS y otros dispositivos de campo, incluyendo tanto a las conexiones actuales como a las conexiones futuras establecidas por CENACE.</w:t>
      </w:r>
    </w:p>
    <w:p w14:paraId="437EB31E"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Cada frontal se construirá con el principio de diseño redundante con enfoque hot-hot, teniendo un segundo servidor idéntico funcionando simultáneamente. En caso de falla de cualquier servidor, el otro puede manejar todas las líneas de comunicación sin impacto en el rendimiento del sistema. </w:t>
      </w:r>
    </w:p>
    <w:p w14:paraId="6EAA5F10"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En funcionamiento normal, las líneas de comunicación activas se podrán asignar a cualquier servidor para equilibrar la carga. En caso de pérdida de comunicación, el sistema cambiará automáticamente de la línea principal fallida a su línea alterna correspondiente, independientemente del servidor en donde se haya configurado. </w:t>
      </w:r>
    </w:p>
    <w:p w14:paraId="190DC880"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En caso de RTUs o sistemas remotos redundantes, el sistema de frontales permitirá verificar periódicamente la disponibilidad de la línea alterna.</w:t>
      </w:r>
    </w:p>
    <w:p w14:paraId="40D18854"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Los nuevos frontales en el SCADA/EMS se comunicarán con los equipos terminales a través de la infraestructura de telecomunicaciones existente. Durante la fase de pruebas en sitio, los nuevos frontales operarán en modo de escucha. En este modo, el frontal existente recibirá y procesará los datos escaneados por la estación maestra existente, sin ningún cambio en la configuración en los gateways existentes, RTUs y otros dispositivos en el campo. Esta capacidad facilitará las actividades transferencia (cutover) desde el sistema actual, durante la puesta en marcha del sistema y la validación de datos de todas las subestaciones y plantas de generación de energía eléctrica.</w:t>
      </w:r>
    </w:p>
    <w:p w14:paraId="4167D056"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Durante la fase de pruebas en sitio, los nuevos frontales tendrán la capacidad de deshabilitar los mensajes en la dirección de control para evitar cualquier conflicto con las operaciones de control realizadas por el actual Centro de Control sujeto de reemplazo.</w:t>
      </w:r>
    </w:p>
    <w:p w14:paraId="46B05A91"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El proveedor deberá realizar la instalación y proporcionar todos los dispositivos que sean necesarios para interactuar con la red existente sin degradar su rendimiento.</w:t>
      </w:r>
    </w:p>
    <w:p w14:paraId="768F5905" w14:textId="77777777" w:rsidR="009102A7" w:rsidRPr="00576AF8" w:rsidRDefault="009102A7" w:rsidP="009102A7">
      <w:pPr>
        <w:numPr>
          <w:ilvl w:val="0"/>
          <w:numId w:val="301"/>
        </w:numPr>
        <w:spacing w:after="0"/>
        <w:contextualSpacing/>
        <w:rPr>
          <w:color w:val="000000"/>
          <w:sz w:val="22"/>
          <w:szCs w:val="22"/>
          <w:lang w:val="es-EC" w:eastAsia="es-EC" w:bidi="ar-SA"/>
        </w:rPr>
      </w:pPr>
      <w:r w:rsidRPr="00576AF8">
        <w:rPr>
          <w:color w:val="000000"/>
          <w:sz w:val="22"/>
          <w:szCs w:val="22"/>
          <w:lang w:val="es-EC" w:eastAsia="es-EC" w:bidi="ar-SA"/>
        </w:rPr>
        <w:t xml:space="preserve">Cada frontal soportará el incremento de al menos el 50% en el </w:t>
      </w:r>
      <w:r w:rsidRPr="00576AF8">
        <w:rPr>
          <w:sz w:val="22"/>
          <w:szCs w:val="22"/>
        </w:rPr>
        <w:tab/>
      </w:r>
      <w:r w:rsidRPr="00576AF8">
        <w:rPr>
          <w:sz w:val="22"/>
          <w:szCs w:val="22"/>
        </w:rPr>
        <w:tab/>
      </w:r>
      <w:r w:rsidRPr="00576AF8">
        <w:rPr>
          <w:color w:val="000000"/>
          <w:sz w:val="22"/>
          <w:szCs w:val="22"/>
          <w:lang w:val="es-EC" w:eastAsia="es-EC" w:bidi="ar-SA"/>
        </w:rPr>
        <w:t>número actual de RTUs y número de puntos intercambiados e involucrados en la comunicación, sin requerir ningún cambio en la configuración de hardware.</w:t>
      </w:r>
    </w:p>
    <w:p w14:paraId="745707AE" w14:textId="77777777" w:rsidR="009102A7" w:rsidRPr="00576AF8" w:rsidRDefault="009102A7" w:rsidP="009102A7">
      <w:pPr>
        <w:spacing w:after="0"/>
        <w:ind w:left="1416" w:firstLine="708"/>
        <w:rPr>
          <w:b/>
          <w:color w:val="000000"/>
          <w:sz w:val="22"/>
          <w:szCs w:val="22"/>
          <w:lang w:val="es-EC" w:eastAsia="es-EC" w:bidi="ar-SA"/>
        </w:rPr>
      </w:pPr>
    </w:p>
    <w:p w14:paraId="49CE8995" w14:textId="77777777" w:rsidR="009102A7" w:rsidRPr="00576AF8" w:rsidRDefault="009102A7" w:rsidP="009102A7">
      <w:pPr>
        <w:ind w:left="720" w:firstLine="696"/>
        <w:jc w:val="left"/>
        <w:outlineLvl w:val="2"/>
        <w:rPr>
          <w:b/>
          <w:sz w:val="22"/>
          <w:szCs w:val="22"/>
        </w:rPr>
      </w:pPr>
      <w:r w:rsidRPr="00576AF8">
        <w:rPr>
          <w:b/>
          <w:sz w:val="22"/>
          <w:szCs w:val="22"/>
        </w:rPr>
        <w:t>2.1.1.1.2.2 Arquitectura de las Comunicaciones</w:t>
      </w:r>
    </w:p>
    <w:p w14:paraId="1380FE36"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La arquitectura actual del sistema de comunicaciones del CENACE está representada por una red de adquisición de datos como se muestra en la </w:t>
      </w:r>
      <w:r w:rsidRPr="00576AF8">
        <w:rPr>
          <w:color w:val="000000"/>
          <w:sz w:val="22"/>
          <w:szCs w:val="22"/>
          <w:lang w:val="es-EC" w:eastAsia="es-EC" w:bidi="ar-SA"/>
        </w:rPr>
        <w:fldChar w:fldCharType="begin"/>
      </w:r>
      <w:r w:rsidRPr="00576AF8">
        <w:rPr>
          <w:color w:val="000000"/>
          <w:sz w:val="22"/>
          <w:szCs w:val="22"/>
          <w:lang w:val="es-EC" w:eastAsia="es-EC" w:bidi="ar-SA"/>
        </w:rPr>
        <w:instrText xml:space="preserve"> REF _Ref160627203 \h  \* MERGEFORMAT </w:instrText>
      </w:r>
      <w:r w:rsidRPr="00576AF8">
        <w:rPr>
          <w:color w:val="000000"/>
          <w:sz w:val="22"/>
          <w:szCs w:val="22"/>
          <w:lang w:val="es-EC" w:eastAsia="es-EC" w:bidi="ar-SA"/>
        </w:rPr>
      </w:r>
      <w:r w:rsidRPr="00576AF8">
        <w:rPr>
          <w:color w:val="000000"/>
          <w:sz w:val="22"/>
          <w:szCs w:val="22"/>
          <w:lang w:val="es-EC" w:eastAsia="es-EC" w:bidi="ar-SA"/>
        </w:rPr>
        <w:fldChar w:fldCharType="separate"/>
      </w:r>
      <w:r w:rsidRPr="00576AF8">
        <w:rPr>
          <w:b/>
          <w:bCs/>
          <w:color w:val="000000"/>
          <w:sz w:val="22"/>
          <w:szCs w:val="22"/>
          <w:lang w:eastAsia="es-EC" w:bidi="ar-SA"/>
        </w:rPr>
        <w:t xml:space="preserve">Figura </w:t>
      </w:r>
      <w:r w:rsidR="00A41D58" w:rsidRPr="00576AF8">
        <w:rPr>
          <w:b/>
          <w:bCs/>
          <w:color w:val="000000"/>
          <w:sz w:val="22"/>
          <w:szCs w:val="22"/>
          <w:lang w:eastAsia="es-EC" w:bidi="ar-SA"/>
        </w:rPr>
        <w:t>3</w:t>
      </w:r>
      <w:r w:rsidRPr="00576AF8">
        <w:rPr>
          <w:b/>
          <w:bCs/>
          <w:color w:val="000000"/>
          <w:sz w:val="22"/>
          <w:szCs w:val="22"/>
          <w:lang w:eastAsia="es-EC" w:bidi="ar-SA"/>
        </w:rPr>
        <w:t>.</w:t>
      </w:r>
      <w:r w:rsidRPr="00576AF8">
        <w:rPr>
          <w:color w:val="000000"/>
          <w:sz w:val="22"/>
          <w:szCs w:val="22"/>
          <w:lang w:val="es-EC" w:eastAsia="es-EC" w:bidi="ar-SA"/>
        </w:rPr>
        <w:fldChar w:fldCharType="end"/>
      </w:r>
      <w:r w:rsidRPr="00576AF8">
        <w:rPr>
          <w:color w:val="000000"/>
          <w:sz w:val="22"/>
          <w:szCs w:val="22"/>
          <w:lang w:val="es-EC" w:eastAsia="es-EC" w:bidi="ar-SA"/>
        </w:rPr>
        <w:t xml:space="preserve"> Los dos servidores frontales del SCADA/EMS actual se conectan a los siguientes equipos finales o intermedios (gateways):</w:t>
      </w:r>
    </w:p>
    <w:p w14:paraId="56A5125E" w14:textId="77777777" w:rsidR="009102A7" w:rsidRPr="00576AF8" w:rsidRDefault="009102A7" w:rsidP="009102A7">
      <w:pPr>
        <w:numPr>
          <w:ilvl w:val="0"/>
          <w:numId w:val="151"/>
        </w:numPr>
        <w:spacing w:after="0"/>
        <w:ind w:left="2694"/>
        <w:contextualSpacing/>
        <w:rPr>
          <w:color w:val="000000"/>
          <w:sz w:val="22"/>
          <w:szCs w:val="22"/>
          <w:lang w:val="es-EC" w:eastAsia="es-EC" w:bidi="ar-SA"/>
        </w:rPr>
      </w:pPr>
      <w:r w:rsidRPr="00576AF8">
        <w:rPr>
          <w:color w:val="000000"/>
          <w:sz w:val="22"/>
          <w:szCs w:val="22"/>
          <w:lang w:val="es-EC" w:eastAsia="es-EC" w:bidi="ar-SA"/>
        </w:rPr>
        <w:t>RTUs o equipos remotos directamente a través de protocolos IEC 60870-5-104, IEC 60870-5-101, DNP 3.0 TCP/IP y DNP 3.0 Serial mediante conexiones simples o redundantes.</w:t>
      </w:r>
    </w:p>
    <w:p w14:paraId="15BE7532" w14:textId="77777777" w:rsidR="009102A7" w:rsidRPr="00576AF8" w:rsidRDefault="009102A7" w:rsidP="009102A7">
      <w:pPr>
        <w:numPr>
          <w:ilvl w:val="0"/>
          <w:numId w:val="151"/>
        </w:numPr>
        <w:spacing w:after="0"/>
        <w:ind w:left="2694"/>
        <w:contextualSpacing/>
        <w:rPr>
          <w:color w:val="000000"/>
          <w:sz w:val="22"/>
          <w:szCs w:val="22"/>
          <w:lang w:val="es-EC" w:eastAsia="es-EC" w:bidi="ar-SA"/>
        </w:rPr>
      </w:pPr>
      <w:r w:rsidRPr="00576AF8">
        <w:rPr>
          <w:color w:val="000000"/>
          <w:sz w:val="22"/>
          <w:szCs w:val="22"/>
          <w:lang w:val="es-EC" w:eastAsia="es-EC" w:bidi="ar-SA"/>
        </w:rPr>
        <w:t>RTUs o equipos remotos con protocolos seriales IEC 60870-5-101, DNP 3.0 y RP570 a través de equipos gateways. Estos gateways provistos por Hitachi, que es el proveedor de este sistema, pueden recibir conexiones preconfiguradas de hasta cuatro (4) estaciones maestras, entre ellas: Los front-end del SCADA/EMS de CENACE, el front-end del PDS de CENACE, la estación maestra del SCADA/EMS del Centro de Operación de Transmisión (COT) de CELEC EP TRANSELECTRIC y el front-end del PDS del COT de CELEC EP TRANSELECTRIC.</w:t>
      </w:r>
    </w:p>
    <w:p w14:paraId="46A2B8DC" w14:textId="77777777" w:rsidR="009102A7" w:rsidRPr="00576AF8" w:rsidRDefault="009102A7" w:rsidP="009102A7">
      <w:pPr>
        <w:spacing w:after="0"/>
        <w:ind w:left="2694"/>
        <w:contextualSpacing/>
        <w:rPr>
          <w:color w:val="000000"/>
          <w:sz w:val="22"/>
          <w:szCs w:val="22"/>
          <w:lang w:val="es-EC" w:eastAsia="es-EC" w:bidi="ar-SA"/>
        </w:rPr>
      </w:pPr>
    </w:p>
    <w:p w14:paraId="6B9AA483"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 xml:space="preserve">Para el manejo de los protocolos seriales estos equipos gateways se conectan vía UDP a servidores terminales seriales (terminal servers) identificados en el diagrama como RCM (Redundant Communication Module), los cuales proporcionan los puertos seriales RS-232 en </w:t>
      </w:r>
      <w:r w:rsidRPr="00576AF8">
        <w:rPr>
          <w:color w:val="000000"/>
          <w:sz w:val="22"/>
          <w:szCs w:val="22"/>
          <w:lang w:val="es-EC" w:eastAsia="es-EC" w:bidi="ar-SA"/>
        </w:rPr>
        <w:lastRenderedPageBreak/>
        <w:t>formato RJ-45. Estos RCM están instalados en las subestaciones de CELEC EP TRANSELECTRIC: Santa Rosa, Zhoray, Quevedo y Pascuales; y desde allí se conectan a todas las subestaciones con RTU seriales a través de la red de multiplexores.</w:t>
      </w:r>
    </w:p>
    <w:p w14:paraId="26A63891"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El nuevo SCADA/EMS incluirá los servidores front-end, y se conectarán de la misma forma directa con las RTU a través de los protocolos seriales y ethernet (TCP/IP), e indirectamente a través de nuevos gateways o una solución equivalente que reemplace a los equipos gateways actuales, utilizando el protocolo DNP3.0 sobre TCP/IP o IEC 60870-5-104.  Estos detalles técnicos serán acordados durante la elaboración del documento de Plan de trabajo.</w:t>
      </w:r>
    </w:p>
    <w:p w14:paraId="51D4D9A2"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lang w:val="es-EC" w:eastAsia="es-EC" w:bidi="ar-SA"/>
        </w:rPr>
        <w:t xml:space="preserve">El sistema de adquisición de datos del nuevo SCADA/EMS </w:t>
      </w:r>
      <w:r w:rsidR="00593894" w:rsidRPr="00576AF8">
        <w:rPr>
          <w:color w:val="000000"/>
          <w:sz w:val="22"/>
          <w:szCs w:val="22"/>
          <w:lang w:val="es-EC" w:eastAsia="es-EC" w:bidi="ar-SA"/>
        </w:rPr>
        <w:t>del Comprador</w:t>
      </w:r>
      <w:r w:rsidRPr="00576AF8">
        <w:rPr>
          <w:color w:val="000000"/>
          <w:sz w:val="22"/>
          <w:szCs w:val="22"/>
          <w:lang w:val="es-EC" w:eastAsia="es-EC" w:bidi="ar-SA"/>
        </w:rPr>
        <w:t xml:space="preserve"> tendrá una arquitectura de dos capas, al igual que el sistema actual. La primera capa (aguas arriba) constituye el sistema SCADA/EMS con sus frontales de comunicaciones que pueden manejar comunicaciones directas con RTUs de los diferentes protocolos (RP570, IEC870-5-101 y DNP3.0 serial, y protocolos TCP/IP IEC870-5-104, DNP3.0) y la segunda capa del sistema (aguas abajo) está compuesta por los Gateways, manejando los protocolos seriales RP570, IEC870-5-101 serial y DNP3.0, y protocolos TCP/IP IEC870-5-104 Y DNP3.0 para la comunicación con las UTRs de campo.</w:t>
      </w:r>
    </w:p>
    <w:p w14:paraId="6DADF636" w14:textId="77777777" w:rsidR="009102A7" w:rsidRPr="00576AF8" w:rsidRDefault="009102A7" w:rsidP="009102A7">
      <w:pPr>
        <w:spacing w:after="0"/>
        <w:rPr>
          <w:color w:val="000000"/>
          <w:sz w:val="22"/>
          <w:szCs w:val="22"/>
          <w:lang w:val="es-EC" w:eastAsia="es-EC" w:bidi="ar-SA"/>
        </w:rPr>
      </w:pPr>
    </w:p>
    <w:p w14:paraId="45CB7811" w14:textId="77777777" w:rsidR="009102A7" w:rsidRPr="00576AF8" w:rsidRDefault="009102A7" w:rsidP="009102A7">
      <w:pPr>
        <w:keepNext/>
        <w:spacing w:after="0"/>
        <w:ind w:left="1843"/>
        <w:contextualSpacing/>
        <w:jc w:val="left"/>
        <w:rPr>
          <w:sz w:val="22"/>
          <w:szCs w:val="22"/>
        </w:rPr>
      </w:pPr>
      <w:r w:rsidRPr="00576AF8">
        <w:rPr>
          <w:noProof/>
          <w:sz w:val="22"/>
          <w:szCs w:val="22"/>
          <w:lang w:val="es-EC" w:eastAsia="es-EC" w:bidi="ar-SA"/>
        </w:rPr>
        <w:drawing>
          <wp:inline distT="0" distB="0" distL="0" distR="0" wp14:anchorId="18621148" wp14:editId="053DAB3C">
            <wp:extent cx="4791076" cy="3372359"/>
            <wp:effectExtent l="0" t="0" r="0" b="0"/>
            <wp:docPr id="672427200"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7200" name="Imagen 3" descr="Diagrama, Esquemático&#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4791076" cy="3372359"/>
                    </a:xfrm>
                    <a:prstGeom prst="rect">
                      <a:avLst/>
                    </a:prstGeom>
                  </pic:spPr>
                </pic:pic>
              </a:graphicData>
            </a:graphic>
          </wp:inline>
        </w:drawing>
      </w:r>
    </w:p>
    <w:p w14:paraId="29CA0728" w14:textId="77777777" w:rsidR="009102A7" w:rsidRPr="00576AF8" w:rsidRDefault="009102A7" w:rsidP="009102A7">
      <w:pPr>
        <w:spacing w:before="120"/>
        <w:jc w:val="center"/>
        <w:rPr>
          <w:color w:val="000000"/>
          <w:sz w:val="22"/>
          <w:szCs w:val="22"/>
          <w:lang w:val="es-EC" w:eastAsia="es-EC" w:bidi="ar-SA"/>
        </w:rPr>
      </w:pPr>
      <w:r w:rsidRPr="00576AF8">
        <w:rPr>
          <w:sz w:val="22"/>
          <w:szCs w:val="22"/>
        </w:rPr>
        <w:t xml:space="preserve">Figura </w:t>
      </w:r>
      <w:r w:rsidR="00652EE5" w:rsidRPr="00576AF8">
        <w:rPr>
          <w:sz w:val="22"/>
          <w:szCs w:val="22"/>
        </w:rPr>
        <w:t>3</w:t>
      </w:r>
      <w:r w:rsidRPr="00576AF8">
        <w:rPr>
          <w:sz w:val="22"/>
          <w:szCs w:val="22"/>
        </w:rPr>
        <w:t>. Red de Adquisición de Datos Actual del CENACE</w:t>
      </w:r>
    </w:p>
    <w:p w14:paraId="46816159" w14:textId="77777777" w:rsidR="009102A7" w:rsidRPr="00576AF8" w:rsidRDefault="009102A7" w:rsidP="009102A7">
      <w:pPr>
        <w:spacing w:after="0"/>
        <w:rPr>
          <w:color w:val="000000"/>
          <w:sz w:val="22"/>
          <w:szCs w:val="22"/>
          <w:lang w:val="es-EC" w:eastAsia="es-EC" w:bidi="ar-SA"/>
        </w:rPr>
      </w:pPr>
    </w:p>
    <w:p w14:paraId="6C8068AC" w14:textId="77777777" w:rsidR="009102A7" w:rsidRPr="00576AF8" w:rsidRDefault="009102A7" w:rsidP="009102A7">
      <w:pPr>
        <w:ind w:left="720" w:firstLine="696"/>
        <w:jc w:val="left"/>
        <w:outlineLvl w:val="2"/>
        <w:rPr>
          <w:b/>
          <w:sz w:val="22"/>
          <w:szCs w:val="22"/>
        </w:rPr>
      </w:pPr>
      <w:r w:rsidRPr="00576AF8">
        <w:rPr>
          <w:b/>
          <w:sz w:val="22"/>
          <w:szCs w:val="22"/>
        </w:rPr>
        <w:t>2.1.1.1.2.3 Características de los Front Ends de Comunicaciones</w:t>
      </w:r>
    </w:p>
    <w:p w14:paraId="153C8A6B" w14:textId="77777777" w:rsidR="009102A7" w:rsidRPr="00576AF8" w:rsidRDefault="009102A7" w:rsidP="009102A7">
      <w:pPr>
        <w:spacing w:after="0"/>
        <w:rPr>
          <w:color w:val="000000"/>
          <w:sz w:val="22"/>
          <w:szCs w:val="22"/>
          <w:u w:val="single"/>
          <w:lang w:val="es-EC" w:eastAsia="es-EC" w:bidi="ar-SA"/>
        </w:rPr>
      </w:pPr>
    </w:p>
    <w:p w14:paraId="4E96EF21"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Los frontales de comunicaciones y el software de adquisición de datos serán capaces de admitir múltiples protocolos de telecontrol en modo maestro para el monitoreo y control de subestaciones y plantas de generación, según los estándares internacionales. Esto incluirá a todos los protocolos solicitados en este documento.</w:t>
      </w:r>
    </w:p>
    <w:p w14:paraId="0F60B10A"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 xml:space="preserve">Se proporcionará la capacidad para conmutar las estaciones remotas dentro o fuera del proceso de exploración con fines de mantenimiento o puesta en servicio. Se mantendrá un registro disponible en todo momento, del estado de todas las comunicaciones remotas y se registrarán en la lista de eventos, todas las acciones realizadas por el </w:t>
      </w:r>
      <w:r w:rsidRPr="00576AF8">
        <w:rPr>
          <w:color w:val="000000"/>
          <w:sz w:val="22"/>
          <w:szCs w:val="22"/>
          <w:lang w:val="es-EC" w:eastAsia="es-EC" w:bidi="ar-SA"/>
        </w:rPr>
        <w:lastRenderedPageBreak/>
        <w:t>operador para habilitar y/o deshabilitar la adquisición de datos, como fue descrito anteriormente. </w:t>
      </w:r>
    </w:p>
    <w:p w14:paraId="0B747D44"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El sistema también mantendrá una lista separada de todos los puntos de datos que han sido registrados manualmente, sin ser parte del proceso de exploración, es decir, “fuera de barrido”. </w:t>
      </w:r>
    </w:p>
    <w:p w14:paraId="0EF648C3"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El sistema de adquisición de datos monitoreará el desempeño de cada canal de comunicaciones. Las estadísticas sobre el rendimiento de cada canal de comunicaciones estarán disponibles para su visualización. Para el caso de pérdida de comunicación con una estación remota, el software de adquisición de datos detectará automáticamente este evento y generará una alarma. Cuando exista un canal de comunicaciones alterno disponible, el software de adquisición de datos cambiará automáticamente la comunicación a este canal. El software de adquisición de datos continuará funcionando en el canal alterno hasta que el Operador realice las acciones necesarias para regresarlo a su enrutamiento original o, si está configurado, regrese automáticamente a la ruta preferida. </w:t>
      </w:r>
    </w:p>
    <w:p w14:paraId="19521704"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En el caso de un error de transmisión de datos o detección de fallas, las indicaciones y alarmas del escaneo exitoso previo, continuarán presentándose en las estaciones de trabajo hasta que expire un tiempo predefinido para luego colocarse en error de telemetría.  No obstante, se incluirán facilidades para notificar automáticamente a los Operadores que los datos relevantes no están siendo actualizados como está especificado en este documento (Detección de Puntos Congelados).</w:t>
      </w:r>
    </w:p>
    <w:p w14:paraId="7D49B470"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Las instalaciones de procesamiento de los front-end de comunicaciones de las nuevas estaciones maestras SCADA/EMS se adaptarán a todos los protocolos de comunicación existentes sin la necesidad de ningún hardware, software o cambios de configuración en ninguna de las RTUs, Gateways y otros dispositivos remotos existentes. </w:t>
      </w:r>
    </w:p>
    <w:p w14:paraId="0F9C318A"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El proveedor asumirá la responsabilidad total para adaptar la implementación de protocolos en el nuevo sistema SCADA/EMS a las versiones de protocolo implementadas en los dispositivos en campo. Así, los front-ends deberán asegurar la interoperabilidad con la implementación del protocolo de las RTU existentes en campo, de acuerdo con los perfiles de interoperabilidad especificados en el Anexo 1 ‘Declaración de Interoperabilidad de Protocolos y Perfiles’. </w:t>
      </w:r>
    </w:p>
    <w:p w14:paraId="7625308E"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 xml:space="preserve">Si bien actualmente, las comunicaciones seriales se realizan “aguas abajo” de los Gateways, los proveedores para los canales con protocolo IEC 60870-5-101 incluirán terminal servers para enviar la información de forma encapsulada por Ethernet, desde los frontend hacia </w:t>
      </w:r>
      <w:proofErr w:type="gramStart"/>
      <w:r w:rsidRPr="00576AF8">
        <w:rPr>
          <w:color w:val="000000"/>
          <w:sz w:val="22"/>
          <w:szCs w:val="22"/>
          <w:lang w:val="es-EC" w:eastAsia="es-EC" w:bidi="ar-SA"/>
        </w:rPr>
        <w:t>los terminal</w:t>
      </w:r>
      <w:proofErr w:type="gramEnd"/>
      <w:r w:rsidRPr="00576AF8">
        <w:rPr>
          <w:color w:val="000000"/>
          <w:sz w:val="22"/>
          <w:szCs w:val="22"/>
          <w:lang w:val="es-EC" w:eastAsia="es-EC" w:bidi="ar-SA"/>
        </w:rPr>
        <w:t xml:space="preserve"> servers, si así se requiere, además de disponer también de protocolos seriales IEC 60870-5-101 y DNP 3.0 directamente con los servidores Frontales</w:t>
      </w:r>
      <w:r w:rsidRPr="00576AF8">
        <w:rPr>
          <w:sz w:val="22"/>
          <w:szCs w:val="22"/>
        </w:rPr>
        <w:tab/>
      </w:r>
    </w:p>
    <w:p w14:paraId="0BC4A4FC"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Los servidores frontales se sincronizarán directamente desde el servidor NTP basado en GPS y admitirán la medición de retardo de tiempo específico del protocolo y los comandos de sincronización de reloj para los dispositivos remotos.</w:t>
      </w:r>
    </w:p>
    <w:p w14:paraId="11FA1285" w14:textId="4DCD0A28"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Los frontales de comunicaciones permitirán realizar las comunicaciones en modo escucha listen mode, con la finalidad de decodificar el tráfico y obtener los mismos datos que se procesen entre el sistema SCADA actual y las RTU.</w:t>
      </w:r>
    </w:p>
    <w:p w14:paraId="41A529EB" w14:textId="77777777" w:rsidR="009102A7" w:rsidRPr="00576AF8" w:rsidRDefault="009102A7" w:rsidP="009102A7">
      <w:pPr>
        <w:numPr>
          <w:ilvl w:val="1"/>
          <w:numId w:val="302"/>
        </w:numPr>
        <w:spacing w:after="0"/>
        <w:contextualSpacing/>
        <w:rPr>
          <w:color w:val="000000"/>
          <w:sz w:val="22"/>
          <w:szCs w:val="22"/>
          <w:lang w:val="es-EC" w:eastAsia="es-EC" w:bidi="ar-SA"/>
        </w:rPr>
      </w:pPr>
      <w:r w:rsidRPr="00576AF8">
        <w:rPr>
          <w:color w:val="000000"/>
          <w:sz w:val="22"/>
          <w:szCs w:val="22"/>
          <w:lang w:val="es-EC" w:eastAsia="es-EC" w:bidi="ar-SA"/>
        </w:rPr>
        <w:t>Para el protocolo C37.118 (WAMS) el proveedor proporcionará un servidor independiente identificado como WAMS GATEWAY, el cual podrá manejar directamente este protocolo o del ser el caso mediante la conversión del mismo.</w:t>
      </w:r>
    </w:p>
    <w:p w14:paraId="7845FFA6" w14:textId="77777777" w:rsidR="009102A7" w:rsidRPr="00576AF8" w:rsidRDefault="009102A7" w:rsidP="009102A7">
      <w:pPr>
        <w:spacing w:after="0"/>
        <w:ind w:left="2484"/>
        <w:rPr>
          <w:color w:val="000000"/>
          <w:sz w:val="22"/>
          <w:szCs w:val="22"/>
          <w:lang w:val="es-EC" w:eastAsia="es-EC" w:bidi="ar-SA"/>
        </w:rPr>
      </w:pPr>
    </w:p>
    <w:p w14:paraId="306D76FF" w14:textId="77777777" w:rsidR="009102A7" w:rsidRPr="00576AF8" w:rsidRDefault="009102A7" w:rsidP="009102A7">
      <w:pPr>
        <w:ind w:left="720" w:firstLine="696"/>
        <w:jc w:val="left"/>
        <w:outlineLvl w:val="2"/>
        <w:rPr>
          <w:b/>
          <w:sz w:val="22"/>
          <w:szCs w:val="22"/>
        </w:rPr>
      </w:pPr>
      <w:r w:rsidRPr="00576AF8">
        <w:rPr>
          <w:b/>
          <w:sz w:val="22"/>
          <w:szCs w:val="22"/>
        </w:rPr>
        <w:t>2.1.1.1.2.4 Características de los Gateways</w:t>
      </w:r>
    </w:p>
    <w:p w14:paraId="727AD97E" w14:textId="77777777" w:rsidR="009102A7" w:rsidRPr="00576AF8" w:rsidRDefault="009102A7" w:rsidP="009102A7">
      <w:pPr>
        <w:ind w:left="1416" w:right="41"/>
        <w:rPr>
          <w:b/>
          <w:sz w:val="22"/>
          <w:szCs w:val="22"/>
        </w:rPr>
      </w:pPr>
      <w:r w:rsidRPr="00576AF8">
        <w:rPr>
          <w:color w:val="000000"/>
          <w:sz w:val="22"/>
          <w:szCs w:val="22"/>
          <w:lang w:val="es-EC" w:eastAsia="es-EC" w:bidi="ar-SA"/>
        </w:rPr>
        <w:t xml:space="preserve">Los Gateways estarán compuestos por equipos industriales redundantes, cuya función principal es gestionar las comunicaciones hacia las diferentes RTU por medios seriales o TCP/IP.  Estos equipos se encargan de enviar controles, concentrar los datos recibidos y permitir el acceso </w:t>
      </w:r>
      <w:r w:rsidRPr="00576AF8">
        <w:rPr>
          <w:color w:val="000000"/>
          <w:sz w:val="22"/>
          <w:szCs w:val="22"/>
          <w:lang w:val="es-EC" w:eastAsia="es-EC" w:bidi="ar-SA"/>
        </w:rPr>
        <w:lastRenderedPageBreak/>
        <w:t>desde múltiples estaciones maestras. El Proveedor proporcionará una solución equivalente que permita las siguientes funcionalidades y características:</w:t>
      </w:r>
    </w:p>
    <w:p w14:paraId="6DF6B433"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Soportar múltiples protocolos “aguas abajo” con medios físicos seriales y TCP/IP: IEC 60870-5-101, IEC 60870-5-104, DNP 3.0 serial y DNP 3.0 sobre TCP/IP</w:t>
      </w:r>
    </w:p>
    <w:p w14:paraId="2C6C0B6E"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Unificar los protocolos de comunicación “aguas arriba” con un protocolo de red (DNP 3.0 TCP/IP o IEC 60870-5-104). Actualmente se utiliza el protocolo DNP 3.0 sobre TCP/IP</w:t>
      </w:r>
    </w:p>
    <w:p w14:paraId="47FF3B06"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Permitir la supervisión y control desde seis (6) estaciones maestras independientes de forma simultánea, dichas estaciones maestras pueden pertenecer a redes o segmentos diferentes.</w:t>
      </w:r>
    </w:p>
    <w:p w14:paraId="25883AA2"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Permitir que el control de las líneas de hardware para los puertos seriales o la apertura de puertos TCP para colocar la RTU o equipo remoto en línea sea configurado para ser realizado desde los frontales de comunicación del SCADA /EMS y del QAS. No obstante, este control podrá ser fácilmente asignado a cualquiera de las estaciones maestras del sistema PDS.</w:t>
      </w:r>
    </w:p>
    <w:p w14:paraId="763E3071"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La configuración de base de datos debe ser centralizada e independiente de la configuración de los Frontales de comunicaciones del SCADA/EMS. Esto es necesario para permitir la transmisión de diferentes datos a cada estación maestra.</w:t>
      </w:r>
    </w:p>
    <w:p w14:paraId="4AD545DA"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La configuración de la base de datos debe permitir generar a partir de una misma RTU física, bases de datos distintas (en cantidad de puntos, direccionamiento y capacidad de control/comandos) hacia las diferentes maestras.</w:t>
      </w:r>
    </w:p>
    <w:p w14:paraId="72E59E20"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Los Gateways permitirán definir al menos una (1) RTU virtual por cada RTU física.</w:t>
      </w:r>
    </w:p>
    <w:p w14:paraId="6DF01AF9" w14:textId="77777777" w:rsidR="009102A7" w:rsidRPr="00576AF8" w:rsidRDefault="009102A7" w:rsidP="009102A7">
      <w:pPr>
        <w:spacing w:after="0"/>
        <w:ind w:left="1919"/>
        <w:contextualSpacing/>
        <w:rPr>
          <w:color w:val="000000"/>
          <w:sz w:val="22"/>
          <w:szCs w:val="22"/>
          <w:lang w:val="es-EC" w:eastAsia="es-EC" w:bidi="ar-SA"/>
        </w:rPr>
      </w:pPr>
      <w:r w:rsidRPr="00576AF8">
        <w:rPr>
          <w:color w:val="000000"/>
          <w:sz w:val="22"/>
          <w:szCs w:val="22"/>
          <w:lang w:val="es-EC" w:eastAsia="es-EC" w:bidi="ar-SA"/>
        </w:rPr>
        <w:t> </w:t>
      </w:r>
    </w:p>
    <w:p w14:paraId="2F47AB48"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La arquitectura de Gateways propuesta por el Proveedor, deberá tener la capacidad de soportar el 100% del número de RTUs solicitadas para el nuevo sistema SCADA/EMS, y en el número de puntos intercambiados e involucrados en la comunicación, sin requerir ningún cambio en la configuración de hardware. La distribución de conexiones de las RTUs en los Gateways será establecida durante el Plan de Trabajo. Disponer de herramientas de configuración, visualización de estado de canales, comunicación con RTU y diagnóstico intuitivas y amigables, con la posibilidad de permitir la importación de configuraciones desde archivos Excel o CSV.</w:t>
      </w:r>
    </w:p>
    <w:p w14:paraId="6B82C77D"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Permitir el respaldo y recuperación de la configuración.</w:t>
      </w:r>
    </w:p>
    <w:p w14:paraId="132BFA8D"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Sincronización desde un servidor NTP Stratum 1.</w:t>
      </w:r>
    </w:p>
    <w:p w14:paraId="1937BBAE"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Ser redundantes en disco, alimentación y fuente de alimentación (110 /220 AC y -48 /125 V DC).</w:t>
      </w:r>
    </w:p>
    <w:p w14:paraId="0A27CE7E"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Los Gateway deberán ser equipos redundantes dedicados con la finalidad de gestionar de forma manual y automática la comunicación con las RTU y otros dispositivos de campo, incluyendo tanto a las conexiones actuales como a las conexiones futuras establecidas por CENACE. La arquitectura de Gateways deberá ser de al menos de 2 pares (para reemplazar a los actuales), los cuales serán ubicados en ubicaciones fuera de CENACE a definir durante el Plan de Trabajo.</w:t>
      </w:r>
    </w:p>
    <w:p w14:paraId="342967CE" w14:textId="77777777" w:rsidR="00BD06BD" w:rsidRPr="00576AF8" w:rsidRDefault="00BD06BD" w:rsidP="00BD06BD">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Se debe entregar un Gateway adicional (sin redundancia) a ser instalado en CENACE para la adquisición de datos de los generadores menores a 5 MW, mediante conexión con medidores de energía (DNP 3.0 TCP/IP).</w:t>
      </w:r>
    </w:p>
    <w:p w14:paraId="33800DDF"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Los Gateways deberán tener todas las herramientas que permita monitorear y verificar en tiempo real el estado de todos los canales, estado de las conexiones por servidor (primario/redundante), estado de la comunicación con cada RTU, información de todos los puntos/señales configuradas en cada RTU con su valor, calidad, entre otros parámetros; y además que permita interactuar con los equipos de campo para realizar el reinicio de comunicación por canal, por RTU y el reinicio de las RTU o dispositivos de campo, toma de logs para la revisión y trazabilidad de la comunicación, entre otros.</w:t>
      </w:r>
    </w:p>
    <w:p w14:paraId="52A0FB27"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lastRenderedPageBreak/>
        <w:t>Los Gateways, deberán realizar la correcta carga de tabla de funciones para el caso de RTUs 400 ABB del protocolo RP570 (existentes), las cuales requieren que su configuración sea descargada desde estos equipos.</w:t>
      </w:r>
    </w:p>
    <w:p w14:paraId="04CFEA87"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Los Gateways deben tener el principio de diseño redundante con enfoque hot-hot, teniendo un segundo servidor idéntico funcionando simultáneamente. En caso de falla de cualquier servidor, el otro puede manejar todas las líneas de comunicación sin impacto en el rendimiento del sistema. </w:t>
      </w:r>
    </w:p>
    <w:p w14:paraId="3764EAFA"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En funcionamiento normal, las líneas de comunicación activas se podrán asignar a cualquier servidor (del par redundante) para equilibrar la carga. </w:t>
      </w:r>
    </w:p>
    <w:p w14:paraId="3597398F"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Los Gateways se adaptarán a todos los protocolos de comunicación existentes sin la necesidad de ningún hardware, software o cambios de configuración en ninguna de las RTUs y otros dispositivos remotos existentes. </w:t>
      </w:r>
    </w:p>
    <w:p w14:paraId="0587FA65" w14:textId="77777777" w:rsidR="009102A7" w:rsidRPr="00576AF8" w:rsidRDefault="009102A7" w:rsidP="009102A7">
      <w:pPr>
        <w:numPr>
          <w:ilvl w:val="1"/>
          <w:numId w:val="303"/>
        </w:numPr>
        <w:spacing w:after="0"/>
        <w:contextualSpacing/>
        <w:rPr>
          <w:color w:val="000000"/>
          <w:sz w:val="22"/>
          <w:szCs w:val="22"/>
          <w:lang w:val="es-EC" w:eastAsia="es-EC" w:bidi="ar-SA"/>
        </w:rPr>
      </w:pPr>
      <w:r w:rsidRPr="00576AF8">
        <w:rPr>
          <w:color w:val="000000"/>
          <w:sz w:val="22"/>
          <w:szCs w:val="22"/>
          <w:lang w:val="es-EC" w:eastAsia="es-EC" w:bidi="ar-SA"/>
        </w:rPr>
        <w:t>El proveedor asumirá la responsabilidad total para adaptar la implementación de protocolos en el nuevo sistema SCADA/EMS a las versiones de protocolo implementadas en los dispositivos en campo. Así, los Gateways deberán asegurar la interoperabilidad con la implementación del protocolo de las RTU existentes en campo, de acuerdo con los perfiles de interoperabilidad especificados en el Anexo 1 ‘Declaración de Interoperabilidad de Protocolos y Perfiles’.</w:t>
      </w:r>
    </w:p>
    <w:p w14:paraId="4C9DA731" w14:textId="77777777" w:rsidR="009102A7" w:rsidRPr="00576AF8" w:rsidRDefault="009102A7" w:rsidP="009102A7">
      <w:pPr>
        <w:spacing w:after="0"/>
        <w:ind w:left="1919"/>
        <w:contextualSpacing/>
        <w:rPr>
          <w:color w:val="000000"/>
          <w:sz w:val="22"/>
          <w:szCs w:val="22"/>
          <w:lang w:val="es-EC" w:eastAsia="es-EC" w:bidi="ar-SA"/>
        </w:rPr>
      </w:pPr>
    </w:p>
    <w:p w14:paraId="5723ECF9" w14:textId="662D2AD9"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Los </w:t>
      </w:r>
      <w:r w:rsidR="008E564E">
        <w:rPr>
          <w:color w:val="000000"/>
          <w:sz w:val="22"/>
          <w:szCs w:val="22"/>
          <w:lang w:val="es-EC" w:eastAsia="es-EC" w:bidi="ar-SA"/>
        </w:rPr>
        <w:t xml:space="preserve">(5) </w:t>
      </w:r>
      <w:r w:rsidRPr="00576AF8">
        <w:rPr>
          <w:color w:val="000000"/>
          <w:sz w:val="22"/>
          <w:szCs w:val="22"/>
          <w:lang w:val="es-EC" w:eastAsia="es-EC" w:bidi="ar-SA"/>
        </w:rPr>
        <w:t>equipos terminal servers de los Gateways deberán ser instalados por el Proveedor en las ubicaciones actuales donde están los RCM (terminal servers actuales): esto es las subestaciones de CELEC EP TRANSELECTRIC: Santa Rosa</w:t>
      </w:r>
      <w:r w:rsidR="008E564E">
        <w:rPr>
          <w:color w:val="000000"/>
          <w:sz w:val="22"/>
          <w:szCs w:val="22"/>
          <w:lang w:val="es-EC" w:eastAsia="es-EC" w:bidi="ar-SA"/>
        </w:rPr>
        <w:t xml:space="preserve"> (2)</w:t>
      </w:r>
      <w:r w:rsidRPr="00576AF8">
        <w:rPr>
          <w:color w:val="000000"/>
          <w:sz w:val="22"/>
          <w:szCs w:val="22"/>
          <w:lang w:val="es-EC" w:eastAsia="es-EC" w:bidi="ar-SA"/>
        </w:rPr>
        <w:t>, Zhoray</w:t>
      </w:r>
      <w:r w:rsidR="008E564E">
        <w:rPr>
          <w:color w:val="000000"/>
          <w:sz w:val="22"/>
          <w:szCs w:val="22"/>
          <w:lang w:val="es-EC" w:eastAsia="es-EC" w:bidi="ar-SA"/>
        </w:rPr>
        <w:t xml:space="preserve"> (1)</w:t>
      </w:r>
      <w:r w:rsidRPr="00576AF8">
        <w:rPr>
          <w:color w:val="000000"/>
          <w:sz w:val="22"/>
          <w:szCs w:val="22"/>
          <w:lang w:val="es-EC" w:eastAsia="es-EC" w:bidi="ar-SA"/>
        </w:rPr>
        <w:t>, Quevedo</w:t>
      </w:r>
      <w:r w:rsidR="008E564E">
        <w:rPr>
          <w:color w:val="000000"/>
          <w:sz w:val="22"/>
          <w:szCs w:val="22"/>
          <w:lang w:val="es-EC" w:eastAsia="es-EC" w:bidi="ar-SA"/>
        </w:rPr>
        <w:t xml:space="preserve"> (1)</w:t>
      </w:r>
      <w:r w:rsidRPr="00576AF8">
        <w:rPr>
          <w:color w:val="000000"/>
          <w:sz w:val="22"/>
          <w:szCs w:val="22"/>
          <w:lang w:val="es-EC" w:eastAsia="es-EC" w:bidi="ar-SA"/>
        </w:rPr>
        <w:t xml:space="preserve"> y Pascuales</w:t>
      </w:r>
      <w:r w:rsidR="008E564E">
        <w:rPr>
          <w:color w:val="000000"/>
          <w:sz w:val="22"/>
          <w:szCs w:val="22"/>
          <w:lang w:val="es-EC" w:eastAsia="es-EC" w:bidi="ar-SA"/>
        </w:rPr>
        <w:t xml:space="preserve"> (1)</w:t>
      </w:r>
      <w:r w:rsidRPr="00576AF8">
        <w:rPr>
          <w:color w:val="000000"/>
          <w:sz w:val="22"/>
          <w:szCs w:val="22"/>
          <w:lang w:val="es-EC" w:eastAsia="es-EC" w:bidi="ar-SA"/>
        </w:rPr>
        <w:t>; en tanto que los equipos Gateways deben ser instalados por el Proveedor en las subestaciones de CELEC EP TRANSELECTRIC de Santa Rosa y Pascuales.</w:t>
      </w:r>
    </w:p>
    <w:p w14:paraId="1846F50F"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En las Figuras </w:t>
      </w:r>
      <w:r w:rsidR="00EA70A4" w:rsidRPr="00576AF8">
        <w:rPr>
          <w:color w:val="000000"/>
          <w:sz w:val="22"/>
          <w:szCs w:val="22"/>
          <w:lang w:val="es-EC" w:eastAsia="es-EC" w:bidi="ar-SA"/>
        </w:rPr>
        <w:t>4</w:t>
      </w:r>
      <w:r w:rsidRPr="00576AF8">
        <w:rPr>
          <w:color w:val="000000"/>
          <w:sz w:val="22"/>
          <w:szCs w:val="22"/>
          <w:lang w:val="es-EC" w:eastAsia="es-EC" w:bidi="ar-SA"/>
        </w:rPr>
        <w:t xml:space="preserve"> y </w:t>
      </w:r>
      <w:r w:rsidR="00EA70A4" w:rsidRPr="00576AF8">
        <w:rPr>
          <w:color w:val="000000"/>
          <w:sz w:val="22"/>
          <w:szCs w:val="22"/>
          <w:lang w:val="es-EC" w:eastAsia="es-EC" w:bidi="ar-SA"/>
        </w:rPr>
        <w:t>5</w:t>
      </w:r>
      <w:r w:rsidRPr="00576AF8">
        <w:rPr>
          <w:color w:val="000000"/>
          <w:sz w:val="22"/>
          <w:szCs w:val="22"/>
          <w:lang w:val="es-EC" w:eastAsia="es-EC" w:bidi="ar-SA"/>
        </w:rPr>
        <w:t xml:space="preserve"> se presenta de forma simplificada el requerimiento de comunicación entre las diferentes estaciones maestras del SCADA/EMS; y las RTU físicas a través de la WAN del CENACE y los Gateways. </w:t>
      </w:r>
    </w:p>
    <w:p w14:paraId="753409CD" w14:textId="77777777" w:rsidR="009102A7" w:rsidRPr="00576AF8" w:rsidRDefault="009102A7" w:rsidP="009102A7">
      <w:pPr>
        <w:spacing w:after="0"/>
        <w:ind w:left="2844"/>
        <w:contextualSpacing/>
        <w:rPr>
          <w:color w:val="000000"/>
          <w:sz w:val="22"/>
          <w:szCs w:val="22"/>
          <w:lang w:val="es-EC" w:eastAsia="es-EC" w:bidi="ar-SA"/>
        </w:rPr>
      </w:pPr>
    </w:p>
    <w:p w14:paraId="6868F701" w14:textId="77777777" w:rsidR="009102A7" w:rsidRPr="00576AF8" w:rsidRDefault="00466486" w:rsidP="009102A7">
      <w:pPr>
        <w:keepNext/>
        <w:spacing w:after="0"/>
        <w:contextualSpacing/>
        <w:rPr>
          <w:sz w:val="22"/>
          <w:szCs w:val="22"/>
        </w:rPr>
      </w:pPr>
      <w:r w:rsidRPr="00576AF8">
        <w:rPr>
          <w:noProof/>
          <w:sz w:val="22"/>
          <w:szCs w:val="22"/>
          <w:lang w:val="es-EC" w:eastAsia="es-EC" w:bidi="ar-SA"/>
        </w:rPr>
        <w:lastRenderedPageBreak/>
        <w:drawing>
          <wp:inline distT="0" distB="0" distL="0" distR="0" wp14:anchorId="29DED97E" wp14:editId="654A6F31">
            <wp:extent cx="6191250" cy="4232275"/>
            <wp:effectExtent l="0" t="0" r="0" b="0"/>
            <wp:docPr id="4" name="Imagen 4" descr="E:\grodriguez\Documentos\Gioconda\Consultoría EMS\Consultoría_Actualización-2030\Licitación_CENACE_2024\Doc_MEM_BID\DDL\abr-10\Fig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rodriguez\Documentos\Gioconda\Consultoría EMS\Consultoría_Actualización-2030\Licitación_CENACE_2024\Doc_MEM_BID\DDL\abr-10\Figura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4232275"/>
                    </a:xfrm>
                    <a:prstGeom prst="rect">
                      <a:avLst/>
                    </a:prstGeom>
                    <a:noFill/>
                    <a:ln>
                      <a:noFill/>
                    </a:ln>
                  </pic:spPr>
                </pic:pic>
              </a:graphicData>
            </a:graphic>
          </wp:inline>
        </w:drawing>
      </w:r>
    </w:p>
    <w:p w14:paraId="1DD8D32F" w14:textId="77777777" w:rsidR="009102A7" w:rsidRPr="00576AF8" w:rsidRDefault="009102A7" w:rsidP="009102A7">
      <w:pPr>
        <w:spacing w:before="120"/>
        <w:jc w:val="center"/>
        <w:rPr>
          <w:sz w:val="22"/>
          <w:szCs w:val="22"/>
        </w:rPr>
      </w:pPr>
      <w:r w:rsidRPr="00576AF8">
        <w:rPr>
          <w:sz w:val="22"/>
          <w:szCs w:val="22"/>
        </w:rPr>
        <w:t xml:space="preserve">Figura </w:t>
      </w:r>
      <w:r w:rsidR="00466486" w:rsidRPr="00576AF8">
        <w:rPr>
          <w:sz w:val="22"/>
          <w:szCs w:val="22"/>
        </w:rPr>
        <w:t>4</w:t>
      </w:r>
      <w:r w:rsidRPr="00576AF8">
        <w:rPr>
          <w:sz w:val="22"/>
          <w:szCs w:val="22"/>
        </w:rPr>
        <w:t>. Gateways de Comunicación Multi-Maestro</w:t>
      </w:r>
    </w:p>
    <w:p w14:paraId="222A622E" w14:textId="77777777" w:rsidR="009102A7" w:rsidRPr="00576AF8" w:rsidRDefault="009102A7" w:rsidP="009102A7">
      <w:pPr>
        <w:spacing w:after="0"/>
        <w:ind w:left="2484"/>
        <w:rPr>
          <w:color w:val="000000"/>
          <w:sz w:val="22"/>
          <w:szCs w:val="22"/>
          <w:lang w:val="es-EC" w:eastAsia="es-EC" w:bidi="ar-SA"/>
        </w:rPr>
      </w:pPr>
    </w:p>
    <w:p w14:paraId="4F0549B7" w14:textId="77777777" w:rsidR="009102A7" w:rsidRPr="00576AF8" w:rsidRDefault="009102A7" w:rsidP="009102A7">
      <w:pPr>
        <w:keepNext/>
        <w:spacing w:after="0"/>
        <w:ind w:left="1843"/>
        <w:contextualSpacing/>
        <w:rPr>
          <w:sz w:val="22"/>
          <w:szCs w:val="22"/>
        </w:rPr>
      </w:pPr>
    </w:p>
    <w:p w14:paraId="18E9C481" w14:textId="77777777" w:rsidR="00AD51F7" w:rsidRPr="00576AF8" w:rsidRDefault="00AD51F7" w:rsidP="009102A7">
      <w:pPr>
        <w:keepNext/>
        <w:spacing w:after="0"/>
        <w:ind w:left="1843"/>
        <w:contextualSpacing/>
        <w:rPr>
          <w:sz w:val="22"/>
          <w:szCs w:val="22"/>
        </w:rPr>
      </w:pPr>
      <w:r w:rsidRPr="00576AF8">
        <w:rPr>
          <w:noProof/>
          <w:sz w:val="22"/>
          <w:szCs w:val="22"/>
          <w:lang w:val="es-EC" w:eastAsia="es-EC" w:bidi="ar-SA"/>
        </w:rPr>
        <w:drawing>
          <wp:inline distT="0" distB="0" distL="0" distR="0" wp14:anchorId="7398A262" wp14:editId="419A85E8">
            <wp:extent cx="4673600" cy="5416550"/>
            <wp:effectExtent l="0" t="0" r="0" b="0"/>
            <wp:docPr id="5" name="Imagen 5" descr="E:\grodriguez\Documentos\Gioconda\Consultoría EMS\Consultoría_Actualización-2030\Licitación_CENACE_2024\Doc_MEM_BID\DDL\abr-10\Figu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rodriguez\Documentos\Gioconda\Consultoría EMS\Consultoría_Actualización-2030\Licitación_CENACE_2024\Doc_MEM_BID\DDL\abr-10\Figura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3600" cy="5416550"/>
                    </a:xfrm>
                    <a:prstGeom prst="rect">
                      <a:avLst/>
                    </a:prstGeom>
                    <a:noFill/>
                    <a:ln>
                      <a:noFill/>
                    </a:ln>
                  </pic:spPr>
                </pic:pic>
              </a:graphicData>
            </a:graphic>
          </wp:inline>
        </w:drawing>
      </w:r>
    </w:p>
    <w:p w14:paraId="5B24463A" w14:textId="77777777" w:rsidR="009102A7" w:rsidRPr="00576AF8" w:rsidRDefault="009102A7" w:rsidP="009102A7">
      <w:pPr>
        <w:spacing w:before="120"/>
        <w:ind w:left="708" w:hanging="708"/>
        <w:jc w:val="center"/>
        <w:rPr>
          <w:sz w:val="22"/>
          <w:szCs w:val="22"/>
        </w:rPr>
      </w:pPr>
      <w:r w:rsidRPr="00576AF8">
        <w:rPr>
          <w:sz w:val="22"/>
          <w:szCs w:val="22"/>
        </w:rPr>
        <w:t xml:space="preserve">Figura </w:t>
      </w:r>
      <w:r w:rsidR="00AD51F7" w:rsidRPr="00576AF8">
        <w:rPr>
          <w:sz w:val="22"/>
          <w:szCs w:val="22"/>
        </w:rPr>
        <w:t>5</w:t>
      </w:r>
      <w:r w:rsidRPr="00576AF8">
        <w:rPr>
          <w:sz w:val="22"/>
          <w:szCs w:val="22"/>
        </w:rPr>
        <w:t>. Esquema de Comunicación Gateways</w:t>
      </w:r>
    </w:p>
    <w:p w14:paraId="19A71635" w14:textId="77777777" w:rsidR="009102A7" w:rsidRPr="00576AF8" w:rsidRDefault="009102A7" w:rsidP="009102A7">
      <w:pPr>
        <w:rPr>
          <w:sz w:val="22"/>
          <w:szCs w:val="22"/>
        </w:rPr>
      </w:pPr>
    </w:p>
    <w:p w14:paraId="3A0BC1C0" w14:textId="77777777" w:rsidR="009102A7" w:rsidRPr="00576AF8" w:rsidRDefault="009102A7" w:rsidP="009102A7">
      <w:pPr>
        <w:ind w:left="720" w:firstLine="696"/>
        <w:jc w:val="left"/>
        <w:outlineLvl w:val="2"/>
        <w:rPr>
          <w:b/>
          <w:sz w:val="22"/>
          <w:szCs w:val="22"/>
        </w:rPr>
      </w:pPr>
      <w:r w:rsidRPr="00576AF8">
        <w:rPr>
          <w:b/>
          <w:sz w:val="22"/>
          <w:szCs w:val="22"/>
        </w:rPr>
        <w:t>2.1.1.1.2.5 Herramientas de Análisis y Registro</w:t>
      </w:r>
    </w:p>
    <w:p w14:paraId="7014BC10" w14:textId="77777777" w:rsidR="009102A7" w:rsidRPr="00576AF8" w:rsidRDefault="009102A7" w:rsidP="009102A7">
      <w:pPr>
        <w:spacing w:after="0"/>
        <w:ind w:left="2484"/>
        <w:rPr>
          <w:color w:val="000000"/>
          <w:sz w:val="22"/>
          <w:szCs w:val="22"/>
          <w:u w:val="single"/>
          <w:lang w:val="es-EC" w:eastAsia="es-EC" w:bidi="ar-SA"/>
        </w:rPr>
      </w:pPr>
    </w:p>
    <w:p w14:paraId="667F9F6E" w14:textId="77777777" w:rsidR="009102A7" w:rsidRPr="00576AF8" w:rsidRDefault="009102A7" w:rsidP="009102A7">
      <w:pPr>
        <w:numPr>
          <w:ilvl w:val="0"/>
          <w:numId w:val="304"/>
        </w:numPr>
        <w:spacing w:after="0"/>
        <w:contextualSpacing/>
        <w:rPr>
          <w:color w:val="000000"/>
          <w:sz w:val="22"/>
          <w:szCs w:val="22"/>
          <w:lang w:val="es-EC" w:eastAsia="es-EC" w:bidi="ar-SA"/>
        </w:rPr>
      </w:pPr>
      <w:r w:rsidRPr="00576AF8">
        <w:rPr>
          <w:color w:val="000000"/>
          <w:sz w:val="22"/>
          <w:szCs w:val="22"/>
          <w:lang w:val="es-EC" w:eastAsia="es-EC" w:bidi="ar-SA"/>
        </w:rPr>
        <w:t>Los frontales de comunicaciones y los gateways dispondrán de las herramientas necesarias para almacenar y analizar los telegramas transmitidos y recibidos en cualquiera de los canales físicos disponibles. Esto incluye los bytes intercambiados en formato hexadecimal y su decodificación, descripción de los elementos de información de las diferentes capas utilizadas por cada protocolo dentro del modelo de referencia OSI de la ISO.</w:t>
      </w:r>
    </w:p>
    <w:p w14:paraId="49143546" w14:textId="77777777" w:rsidR="009102A7" w:rsidRPr="00576AF8" w:rsidRDefault="009102A7" w:rsidP="009102A7">
      <w:pPr>
        <w:numPr>
          <w:ilvl w:val="0"/>
          <w:numId w:val="304"/>
        </w:numPr>
        <w:spacing w:after="0"/>
        <w:contextualSpacing/>
        <w:rPr>
          <w:color w:val="000000"/>
          <w:sz w:val="22"/>
          <w:szCs w:val="22"/>
          <w:lang w:val="es-EC" w:eastAsia="es-EC" w:bidi="ar-SA"/>
        </w:rPr>
      </w:pPr>
      <w:r w:rsidRPr="00576AF8">
        <w:rPr>
          <w:color w:val="000000"/>
          <w:sz w:val="22"/>
          <w:szCs w:val="22"/>
          <w:lang w:val="es-EC" w:eastAsia="es-EC" w:bidi="ar-SA"/>
        </w:rPr>
        <w:t>Si alguno de los telegramas decodificados no cumple con el estándar del protocolo analizado se reportará un mensaje de error indicando la no conformidad, por ejemplo:  error de CRC (capa física), Data Link Reset (error en la capa de enlace), tipo de objeto no implementado (capa de aplicación). Cada línea de mensaje incluirá al inicio la estampa de tiempo con resolución de milisegundos. </w:t>
      </w:r>
    </w:p>
    <w:p w14:paraId="274C9101" w14:textId="77777777" w:rsidR="009102A7" w:rsidRPr="00576AF8" w:rsidRDefault="009102A7" w:rsidP="009102A7">
      <w:pPr>
        <w:numPr>
          <w:ilvl w:val="0"/>
          <w:numId w:val="304"/>
        </w:numPr>
        <w:spacing w:after="0"/>
        <w:contextualSpacing/>
        <w:rPr>
          <w:color w:val="000000"/>
          <w:sz w:val="22"/>
          <w:szCs w:val="22"/>
          <w:lang w:val="es-EC" w:eastAsia="es-EC" w:bidi="ar-SA"/>
        </w:rPr>
      </w:pPr>
      <w:r w:rsidRPr="00576AF8">
        <w:rPr>
          <w:color w:val="000000"/>
          <w:sz w:val="22"/>
          <w:szCs w:val="22"/>
          <w:lang w:val="es-EC" w:eastAsia="es-EC" w:bidi="ar-SA"/>
        </w:rPr>
        <w:lastRenderedPageBreak/>
        <w:t>Los archivos generados tendrán un tamaño configurable y serán reutilizados cuando se alcance una cantidad determinada de archivos que también será reconfigurable.</w:t>
      </w:r>
    </w:p>
    <w:p w14:paraId="3F638D49" w14:textId="77777777" w:rsidR="009102A7" w:rsidRPr="00576AF8" w:rsidRDefault="009102A7" w:rsidP="009102A7">
      <w:pPr>
        <w:numPr>
          <w:ilvl w:val="0"/>
          <w:numId w:val="304"/>
        </w:numPr>
        <w:spacing w:after="0"/>
        <w:contextualSpacing/>
        <w:rPr>
          <w:color w:val="000000"/>
          <w:sz w:val="22"/>
          <w:szCs w:val="22"/>
          <w:lang w:val="es-EC" w:eastAsia="es-EC" w:bidi="ar-SA"/>
        </w:rPr>
      </w:pPr>
      <w:r w:rsidRPr="00576AF8">
        <w:rPr>
          <w:color w:val="000000"/>
          <w:sz w:val="22"/>
          <w:szCs w:val="22"/>
          <w:lang w:val="es-EC" w:eastAsia="es-EC" w:bidi="ar-SA"/>
        </w:rPr>
        <w:t>El Proveedor deberá proporcionar el software y hardware necesario para disponer de un analizador de protocolos independiente (test set) que analice el tráfico en un enlace, emule a una estación maestra o a una RTU en cualquiera de los protocolos especificados. </w:t>
      </w:r>
    </w:p>
    <w:p w14:paraId="692FECA7" w14:textId="77777777" w:rsidR="009102A7" w:rsidRPr="00576AF8" w:rsidRDefault="009102A7" w:rsidP="009102A7">
      <w:pPr>
        <w:spacing w:after="0"/>
        <w:ind w:left="2484"/>
        <w:rPr>
          <w:color w:val="000000"/>
          <w:sz w:val="22"/>
          <w:szCs w:val="22"/>
          <w:lang w:val="es-EC" w:eastAsia="es-EC" w:bidi="ar-SA"/>
        </w:rPr>
      </w:pPr>
    </w:p>
    <w:p w14:paraId="6E96B947" w14:textId="77777777" w:rsidR="009102A7" w:rsidRPr="00576AF8" w:rsidRDefault="009102A7" w:rsidP="009102A7">
      <w:pPr>
        <w:ind w:left="720" w:firstLine="696"/>
        <w:jc w:val="left"/>
        <w:outlineLvl w:val="2"/>
        <w:rPr>
          <w:b/>
          <w:sz w:val="22"/>
          <w:szCs w:val="22"/>
        </w:rPr>
      </w:pPr>
      <w:r w:rsidRPr="00576AF8">
        <w:rPr>
          <w:b/>
          <w:sz w:val="22"/>
          <w:szCs w:val="22"/>
        </w:rPr>
        <w:t>2.1.1.1.2.6 Protocolos de Comunicaciones</w:t>
      </w:r>
    </w:p>
    <w:p w14:paraId="274EC73D" w14:textId="77777777" w:rsidR="009102A7" w:rsidRPr="00576AF8" w:rsidRDefault="009102A7" w:rsidP="009102A7">
      <w:pPr>
        <w:ind w:left="720" w:firstLine="696"/>
        <w:jc w:val="left"/>
        <w:outlineLvl w:val="2"/>
        <w:rPr>
          <w:sz w:val="22"/>
          <w:szCs w:val="22"/>
        </w:rPr>
      </w:pPr>
      <w:r w:rsidRPr="00576AF8">
        <w:rPr>
          <w:b/>
          <w:sz w:val="22"/>
          <w:szCs w:val="22"/>
        </w:rPr>
        <w:t xml:space="preserve">2.1.1.1.2.6.1 </w:t>
      </w:r>
      <w:r w:rsidRPr="00576AF8">
        <w:rPr>
          <w:b/>
          <w:color w:val="000000"/>
          <w:sz w:val="22"/>
          <w:szCs w:val="22"/>
          <w:lang w:val="es-EC" w:eastAsia="es-EC" w:bidi="ar-SA"/>
        </w:rPr>
        <w:t>Protocolos Estándar</w:t>
      </w:r>
    </w:p>
    <w:p w14:paraId="143E3F1D" w14:textId="77777777" w:rsidR="009102A7" w:rsidRPr="00576AF8" w:rsidRDefault="009102A7" w:rsidP="009102A7">
      <w:pPr>
        <w:numPr>
          <w:ilvl w:val="0"/>
          <w:numId w:val="305"/>
        </w:numPr>
        <w:ind w:right="41"/>
        <w:contextualSpacing/>
        <w:rPr>
          <w:b/>
          <w:sz w:val="22"/>
          <w:szCs w:val="22"/>
        </w:rPr>
      </w:pPr>
      <w:r w:rsidRPr="00576AF8">
        <w:rPr>
          <w:color w:val="000000"/>
          <w:sz w:val="22"/>
          <w:szCs w:val="22"/>
          <w:lang w:val="es-EC" w:eastAsia="es-EC" w:bidi="ar-SA"/>
        </w:rPr>
        <w:t>Los protocolos requeridos son:</w:t>
      </w:r>
    </w:p>
    <w:p w14:paraId="3307E7BE" w14:textId="77777777" w:rsidR="009102A7" w:rsidRPr="00576AF8" w:rsidRDefault="009102A7" w:rsidP="009102A7">
      <w:pPr>
        <w:numPr>
          <w:ilvl w:val="0"/>
          <w:numId w:val="256"/>
        </w:numPr>
        <w:spacing w:after="0"/>
        <w:contextualSpacing/>
        <w:rPr>
          <w:color w:val="000000"/>
          <w:sz w:val="22"/>
          <w:szCs w:val="22"/>
          <w:lang w:val="es-EC" w:eastAsia="es-EC" w:bidi="ar-SA"/>
        </w:rPr>
      </w:pPr>
      <w:r w:rsidRPr="00576AF8">
        <w:rPr>
          <w:color w:val="000000"/>
          <w:sz w:val="22"/>
          <w:szCs w:val="22"/>
          <w:lang w:val="es-EC" w:eastAsia="es-EC" w:bidi="ar-SA"/>
        </w:rPr>
        <w:t>DNP 3.0 serial y TCP/IP</w:t>
      </w:r>
    </w:p>
    <w:p w14:paraId="5152444E" w14:textId="77777777" w:rsidR="009102A7" w:rsidRPr="00576AF8" w:rsidRDefault="009102A7" w:rsidP="009102A7">
      <w:pPr>
        <w:numPr>
          <w:ilvl w:val="0"/>
          <w:numId w:val="256"/>
        </w:numPr>
        <w:contextualSpacing/>
        <w:rPr>
          <w:color w:val="000000"/>
          <w:sz w:val="22"/>
          <w:szCs w:val="22"/>
          <w:lang w:val="es-EC" w:eastAsia="es-EC" w:bidi="ar-SA"/>
        </w:rPr>
      </w:pPr>
      <w:r w:rsidRPr="00576AF8">
        <w:rPr>
          <w:color w:val="000000"/>
          <w:sz w:val="22"/>
          <w:szCs w:val="22"/>
          <w:lang w:val="es-EC" w:eastAsia="es-EC" w:bidi="ar-SA"/>
        </w:rPr>
        <w:t>IEC-870-5-101</w:t>
      </w:r>
    </w:p>
    <w:p w14:paraId="5C134DD5" w14:textId="77777777" w:rsidR="009102A7" w:rsidRPr="00576AF8" w:rsidRDefault="009102A7" w:rsidP="009102A7">
      <w:pPr>
        <w:numPr>
          <w:ilvl w:val="0"/>
          <w:numId w:val="256"/>
        </w:numPr>
        <w:spacing w:after="0"/>
        <w:contextualSpacing/>
        <w:rPr>
          <w:color w:val="000000"/>
          <w:sz w:val="22"/>
          <w:szCs w:val="22"/>
          <w:lang w:val="es-EC" w:eastAsia="es-EC" w:bidi="ar-SA"/>
        </w:rPr>
      </w:pPr>
      <w:r w:rsidRPr="00576AF8">
        <w:rPr>
          <w:color w:val="000000"/>
          <w:sz w:val="22"/>
          <w:szCs w:val="22"/>
          <w:lang w:val="es-EC" w:eastAsia="es-EC" w:bidi="ar-SA"/>
        </w:rPr>
        <w:t>IEC-870-5-104</w:t>
      </w:r>
    </w:p>
    <w:p w14:paraId="6B9DDAFD" w14:textId="77777777" w:rsidR="009102A7" w:rsidRPr="00576AF8" w:rsidRDefault="009102A7" w:rsidP="009102A7">
      <w:pPr>
        <w:numPr>
          <w:ilvl w:val="0"/>
          <w:numId w:val="256"/>
        </w:numPr>
        <w:spacing w:after="0"/>
        <w:contextualSpacing/>
        <w:rPr>
          <w:color w:val="000000"/>
          <w:sz w:val="22"/>
          <w:szCs w:val="22"/>
          <w:lang w:val="es-EC" w:eastAsia="es-EC" w:bidi="ar-SA"/>
        </w:rPr>
      </w:pPr>
      <w:r w:rsidRPr="00576AF8">
        <w:rPr>
          <w:color w:val="000000"/>
          <w:sz w:val="22"/>
          <w:szCs w:val="22"/>
          <w:lang w:val="es-EC" w:eastAsia="es-EC" w:bidi="ar-SA"/>
        </w:rPr>
        <w:t>RP570 (propietario HITACHI)</w:t>
      </w:r>
    </w:p>
    <w:p w14:paraId="21E70A5B" w14:textId="77777777" w:rsidR="009102A7" w:rsidRPr="00576AF8" w:rsidRDefault="009102A7" w:rsidP="009102A7">
      <w:pPr>
        <w:spacing w:after="0"/>
        <w:ind w:left="3552"/>
        <w:contextualSpacing/>
        <w:rPr>
          <w:color w:val="000000"/>
          <w:sz w:val="22"/>
          <w:szCs w:val="22"/>
          <w:lang w:val="es-EC" w:eastAsia="es-EC" w:bidi="ar-SA"/>
        </w:rPr>
      </w:pPr>
    </w:p>
    <w:p w14:paraId="37851502"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En relación a la información que se recibe en el SCADA/EMS </w:t>
      </w:r>
      <w:r w:rsidR="00593894" w:rsidRPr="00576AF8">
        <w:rPr>
          <w:color w:val="000000"/>
          <w:sz w:val="22"/>
          <w:szCs w:val="22"/>
          <w:lang w:val="es-EC" w:eastAsia="es-EC" w:bidi="ar-SA"/>
        </w:rPr>
        <w:t>del Comprador</w:t>
      </w:r>
      <w:r w:rsidRPr="00576AF8">
        <w:rPr>
          <w:color w:val="000000"/>
          <w:sz w:val="22"/>
          <w:szCs w:val="22"/>
          <w:lang w:val="es-EC" w:eastAsia="es-EC" w:bidi="ar-SA"/>
        </w:rPr>
        <w:t xml:space="preserve"> para estos protocolos, se indican las siguientes consideraciones generales: </w:t>
      </w:r>
    </w:p>
    <w:p w14:paraId="0783C04D" w14:textId="77777777" w:rsidR="009102A7" w:rsidRPr="00576AF8" w:rsidRDefault="009102A7" w:rsidP="009102A7">
      <w:pPr>
        <w:numPr>
          <w:ilvl w:val="0"/>
          <w:numId w:val="305"/>
        </w:numPr>
        <w:ind w:right="41"/>
        <w:contextualSpacing/>
        <w:rPr>
          <w:sz w:val="22"/>
          <w:szCs w:val="22"/>
          <w:u w:val="single"/>
          <w:lang w:bidi="ar-SA"/>
        </w:rPr>
      </w:pPr>
      <w:r w:rsidRPr="00576AF8">
        <w:rPr>
          <w:color w:val="000000"/>
          <w:sz w:val="22"/>
          <w:szCs w:val="22"/>
          <w:lang w:val="es-EC" w:eastAsia="es-EC" w:bidi="ar-SA"/>
        </w:rPr>
        <w:t>Señales digitales o indicaciones:</w:t>
      </w:r>
    </w:p>
    <w:p w14:paraId="647503E4" w14:textId="77777777" w:rsidR="009102A7" w:rsidRPr="00576AF8" w:rsidRDefault="009102A7" w:rsidP="009102A7">
      <w:pPr>
        <w:numPr>
          <w:ilvl w:val="0"/>
          <w:numId w:val="162"/>
        </w:numPr>
        <w:spacing w:after="0"/>
        <w:contextualSpacing/>
        <w:rPr>
          <w:color w:val="000000"/>
          <w:sz w:val="22"/>
          <w:szCs w:val="22"/>
          <w:lang w:val="es-EC" w:eastAsia="es-EC" w:bidi="ar-SA"/>
        </w:rPr>
      </w:pPr>
      <w:r w:rsidRPr="00576AF8">
        <w:rPr>
          <w:color w:val="000000"/>
          <w:sz w:val="22"/>
          <w:szCs w:val="22"/>
          <w:lang w:val="es-EC" w:eastAsia="es-EC" w:bidi="ar-SA"/>
        </w:rPr>
        <w:t>Señales Simples: Envío de datos por excepción sin/con estampa de tiempo en milisegundos (SOE). En función del protocolo también se las puede obtener mediante configuraciones de polling (sin estampa de tiempo)</w:t>
      </w:r>
    </w:p>
    <w:p w14:paraId="78232B53" w14:textId="77777777" w:rsidR="009102A7" w:rsidRPr="00576AF8" w:rsidRDefault="009102A7" w:rsidP="009102A7">
      <w:pPr>
        <w:numPr>
          <w:ilvl w:val="0"/>
          <w:numId w:val="162"/>
        </w:numPr>
        <w:spacing w:after="0"/>
        <w:contextualSpacing/>
        <w:rPr>
          <w:color w:val="000000"/>
          <w:sz w:val="22"/>
          <w:szCs w:val="22"/>
          <w:lang w:val="es-EC" w:eastAsia="es-EC" w:bidi="ar-SA"/>
        </w:rPr>
      </w:pPr>
      <w:r w:rsidRPr="00576AF8">
        <w:rPr>
          <w:color w:val="000000"/>
          <w:sz w:val="22"/>
          <w:szCs w:val="22"/>
          <w:lang w:val="es-EC" w:eastAsia="es-EC" w:bidi="ar-SA"/>
        </w:rPr>
        <w:t>Señales dobles: Envío de datos por excepción sin/con estampa de tiempo en milisegundos (SOE). En función del protocolo también se las puede obtener mediante configuraciones de polling (sin estampa de tiempo)</w:t>
      </w:r>
    </w:p>
    <w:p w14:paraId="784205C3" w14:textId="77777777" w:rsidR="009102A7" w:rsidRPr="00576AF8" w:rsidRDefault="009102A7" w:rsidP="009102A7">
      <w:pPr>
        <w:numPr>
          <w:ilvl w:val="0"/>
          <w:numId w:val="162"/>
        </w:numPr>
        <w:spacing w:after="0"/>
        <w:contextualSpacing/>
        <w:rPr>
          <w:color w:val="000000"/>
          <w:sz w:val="22"/>
          <w:szCs w:val="22"/>
          <w:lang w:val="es-EC" w:eastAsia="es-EC" w:bidi="ar-SA"/>
        </w:rPr>
      </w:pPr>
      <w:r w:rsidRPr="00576AF8">
        <w:rPr>
          <w:color w:val="000000"/>
          <w:sz w:val="22"/>
          <w:szCs w:val="22"/>
          <w:lang w:val="es-EC" w:eastAsia="es-EC" w:bidi="ar-SA"/>
        </w:rPr>
        <w:t>Comandos: Simples o Dobles tipo SBO (Select Before Operate) o Directos con y sin confirmación de ejecución. Adicionalmente, se disponen de comandos tipo consigna (Set Point)</w:t>
      </w:r>
    </w:p>
    <w:p w14:paraId="17E3F85D" w14:textId="77777777" w:rsidR="009102A7" w:rsidRPr="00576AF8" w:rsidRDefault="009102A7" w:rsidP="009102A7">
      <w:pPr>
        <w:numPr>
          <w:ilvl w:val="0"/>
          <w:numId w:val="305"/>
        </w:numPr>
        <w:ind w:right="41"/>
        <w:contextualSpacing/>
        <w:rPr>
          <w:color w:val="000000"/>
          <w:sz w:val="22"/>
          <w:szCs w:val="22"/>
          <w:lang w:val="es-EC" w:eastAsia="es-EC" w:bidi="ar-SA"/>
        </w:rPr>
      </w:pPr>
      <w:r w:rsidRPr="00576AF8">
        <w:rPr>
          <w:color w:val="000000"/>
          <w:sz w:val="22"/>
          <w:szCs w:val="22"/>
          <w:lang w:val="es-EC" w:eastAsia="es-EC" w:bidi="ar-SA"/>
        </w:rPr>
        <w:t>Señales analógicas o mediciones:  Configuradas en función del protocolo.  Al momento, alto porcentaje de estas señales son de tipo punto flotante, sin estampa de tiempo, también se las obtiene mediante configuraciones de polling o por excepción si sobrepasa una banda muerta.</w:t>
      </w:r>
    </w:p>
    <w:p w14:paraId="1FBBB844" w14:textId="77777777" w:rsidR="009102A7" w:rsidRPr="00576AF8" w:rsidRDefault="009102A7" w:rsidP="009102A7">
      <w:pPr>
        <w:numPr>
          <w:ilvl w:val="0"/>
          <w:numId w:val="305"/>
        </w:numPr>
        <w:ind w:right="41"/>
        <w:contextualSpacing/>
        <w:rPr>
          <w:color w:val="000000"/>
          <w:sz w:val="22"/>
          <w:szCs w:val="22"/>
          <w:lang w:val="es-EC" w:eastAsia="es-EC" w:bidi="ar-SA"/>
        </w:rPr>
      </w:pPr>
      <w:r w:rsidRPr="00576AF8">
        <w:rPr>
          <w:color w:val="000000"/>
          <w:sz w:val="22"/>
          <w:szCs w:val="22"/>
          <w:lang w:val="es-EC" w:eastAsia="es-EC" w:bidi="ar-SA"/>
        </w:rPr>
        <w:t>Acumuladores: Configurable bajo medida, principalmente se utilizan los contadores de 32 bits tipo Frozen para ser calculados periódicamente, por ejemplo, cada 15 minutos.</w:t>
      </w:r>
    </w:p>
    <w:p w14:paraId="7F98D02E"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Los perfiles de interoperabilidad de los protocolos requeridos se encuentran en el Anexo 2 ‘Inventario de equipos remotos de adquisición de datos’. </w:t>
      </w:r>
    </w:p>
    <w:p w14:paraId="24777FDB" w14:textId="77777777" w:rsidR="009102A7" w:rsidRPr="00576AF8" w:rsidRDefault="009102A7" w:rsidP="009102A7">
      <w:pPr>
        <w:ind w:left="1416" w:right="41"/>
        <w:rPr>
          <w:color w:val="000000"/>
          <w:sz w:val="22"/>
          <w:szCs w:val="22"/>
          <w:lang w:val="es-EC" w:eastAsia="es-EC" w:bidi="ar-SA"/>
        </w:rPr>
      </w:pPr>
    </w:p>
    <w:p w14:paraId="1770B3E0" w14:textId="77777777" w:rsidR="009102A7" w:rsidRPr="00576AF8" w:rsidRDefault="009102A7" w:rsidP="009102A7">
      <w:pPr>
        <w:ind w:left="720" w:firstLine="696"/>
        <w:jc w:val="left"/>
        <w:outlineLvl w:val="2"/>
        <w:rPr>
          <w:color w:val="000000"/>
          <w:sz w:val="22"/>
          <w:szCs w:val="22"/>
          <w:lang w:val="es-EC" w:eastAsia="es-EC" w:bidi="ar-SA"/>
        </w:rPr>
      </w:pPr>
      <w:r w:rsidRPr="00576AF8">
        <w:rPr>
          <w:b/>
          <w:sz w:val="22"/>
          <w:szCs w:val="22"/>
        </w:rPr>
        <w:t xml:space="preserve">2.1.1.1.2.6.2 </w:t>
      </w:r>
      <w:r w:rsidRPr="00576AF8">
        <w:rPr>
          <w:b/>
          <w:color w:val="000000"/>
          <w:sz w:val="22"/>
          <w:szCs w:val="22"/>
          <w:lang w:val="es-EC" w:eastAsia="es-EC" w:bidi="ar-SA"/>
        </w:rPr>
        <w:t>Comunicación IEEE C37.118</w:t>
      </w:r>
    </w:p>
    <w:p w14:paraId="59B15E82" w14:textId="77777777" w:rsidR="009102A7" w:rsidRPr="00576AF8" w:rsidRDefault="009102A7" w:rsidP="009102A7">
      <w:pPr>
        <w:numPr>
          <w:ilvl w:val="0"/>
          <w:numId w:val="306"/>
        </w:numPr>
        <w:ind w:right="41"/>
        <w:contextualSpacing/>
        <w:rPr>
          <w:color w:val="000000"/>
          <w:sz w:val="22"/>
          <w:szCs w:val="22"/>
          <w:lang w:val="es-EC" w:eastAsia="es-EC" w:bidi="ar-SA"/>
        </w:rPr>
      </w:pPr>
      <w:r w:rsidRPr="00576AF8">
        <w:rPr>
          <w:color w:val="000000"/>
          <w:sz w:val="22"/>
          <w:szCs w:val="22"/>
          <w:lang w:val="es-EC" w:eastAsia="es-EC" w:bidi="ar-SA"/>
        </w:rPr>
        <w:t>Los frontales de comunicación soportarán el protocolo C37.118 utilizado por los sincrofasores PMU y concentradores PDC del sistema WAMS del CENACE, pudiendo proponerse frontales adicionales a los principales del sistema para este protocolo en caso de considerarlo adecuado, en todo caso se deberá asegurar que el manejo de este protocolo no afecte el desempeño o capacidad de los frontales de comunicación. Lo anterior, con la finalidad de obtener las variables manejadas por estos equipos, pero con un muestreo reducido de un (1) segundo para actualizar los puntos de la base de datos en tiempo real, utilizados principalmente para mejorar los resultados y la calidad del Estimador de Estado. </w:t>
      </w:r>
    </w:p>
    <w:p w14:paraId="04837BAB" w14:textId="77777777" w:rsidR="009102A7" w:rsidRPr="00576AF8" w:rsidRDefault="009102A7" w:rsidP="009102A7">
      <w:pPr>
        <w:ind w:left="2203" w:right="41"/>
        <w:contextualSpacing/>
        <w:rPr>
          <w:color w:val="000000"/>
          <w:sz w:val="22"/>
          <w:szCs w:val="22"/>
          <w:lang w:val="es-EC" w:eastAsia="es-EC" w:bidi="ar-SA"/>
        </w:rPr>
      </w:pPr>
    </w:p>
    <w:p w14:paraId="432C0BD0" w14:textId="77777777" w:rsidR="009102A7" w:rsidRPr="00576AF8" w:rsidRDefault="009102A7" w:rsidP="009102A7">
      <w:pPr>
        <w:numPr>
          <w:ilvl w:val="0"/>
          <w:numId w:val="306"/>
        </w:numPr>
        <w:ind w:right="41"/>
        <w:contextualSpacing/>
        <w:rPr>
          <w:color w:val="000000"/>
          <w:sz w:val="22"/>
          <w:szCs w:val="22"/>
          <w:lang w:val="es-EC" w:eastAsia="es-EC" w:bidi="ar-SA"/>
        </w:rPr>
      </w:pPr>
      <w:r w:rsidRPr="00576AF8">
        <w:rPr>
          <w:color w:val="000000"/>
          <w:sz w:val="22"/>
          <w:szCs w:val="22"/>
          <w:lang w:val="es-EC" w:eastAsia="es-EC" w:bidi="ar-SA"/>
        </w:rPr>
        <w:t>Si el Proveedor no dispone de este protocolo, será aceptable un equipo gateway que permita la conversión de este protocolo al protocolo IEC-870-5-104 u otro tipo de protocolo estándar que sea compatible con el sistema SCADA/EMS.</w:t>
      </w:r>
    </w:p>
    <w:p w14:paraId="0BCE095A" w14:textId="77777777" w:rsidR="009102A7" w:rsidRPr="00576AF8" w:rsidRDefault="009102A7" w:rsidP="009102A7">
      <w:pPr>
        <w:numPr>
          <w:ilvl w:val="0"/>
          <w:numId w:val="306"/>
        </w:numPr>
        <w:ind w:right="41"/>
        <w:contextualSpacing/>
        <w:rPr>
          <w:color w:val="000000"/>
          <w:sz w:val="22"/>
          <w:szCs w:val="22"/>
          <w:lang w:val="es-EC" w:eastAsia="es-EC" w:bidi="ar-SA"/>
        </w:rPr>
      </w:pPr>
      <w:r w:rsidRPr="00576AF8">
        <w:rPr>
          <w:color w:val="000000"/>
          <w:sz w:val="22"/>
          <w:szCs w:val="22"/>
          <w:lang w:val="es-EC" w:eastAsia="es-EC" w:bidi="ar-SA"/>
        </w:rPr>
        <w:t>Las siguientes señales podrán ser seleccionadas desde cada PMU:</w:t>
      </w:r>
    </w:p>
    <w:p w14:paraId="7A496C8D" w14:textId="77777777" w:rsidR="009102A7" w:rsidRPr="00576AF8" w:rsidRDefault="009102A7" w:rsidP="009102A7">
      <w:pPr>
        <w:ind w:left="2203" w:right="41"/>
        <w:contextualSpacing/>
        <w:rPr>
          <w:color w:val="000000"/>
          <w:sz w:val="22"/>
          <w:szCs w:val="22"/>
          <w:lang w:val="es-EC" w:eastAsia="es-EC" w:bidi="ar-SA"/>
        </w:rPr>
      </w:pPr>
    </w:p>
    <w:p w14:paraId="6DD65987" w14:textId="77777777" w:rsidR="009102A7" w:rsidRPr="00576AF8" w:rsidRDefault="009102A7" w:rsidP="009102A7">
      <w:pPr>
        <w:numPr>
          <w:ilvl w:val="0"/>
          <w:numId w:val="307"/>
        </w:numPr>
        <w:spacing w:after="0"/>
        <w:contextualSpacing/>
        <w:rPr>
          <w:color w:val="000000"/>
          <w:sz w:val="22"/>
          <w:szCs w:val="22"/>
          <w:lang w:val="es-EC" w:eastAsia="es-EC" w:bidi="ar-SA"/>
        </w:rPr>
      </w:pPr>
      <w:r w:rsidRPr="00576AF8">
        <w:rPr>
          <w:color w:val="000000"/>
          <w:sz w:val="22"/>
          <w:szCs w:val="22"/>
          <w:lang w:val="es-EC" w:eastAsia="es-EC" w:bidi="ar-SA"/>
        </w:rPr>
        <w:t>Fasores de voltaje (Va, Vb, Vc): mediciones fasoriales complejas de las magnitudes de voltaje y los ángulos de las tres fases A, B, C.</w:t>
      </w:r>
    </w:p>
    <w:p w14:paraId="53357712" w14:textId="77777777" w:rsidR="009102A7" w:rsidRPr="00576AF8" w:rsidRDefault="009102A7" w:rsidP="009102A7">
      <w:pPr>
        <w:numPr>
          <w:ilvl w:val="0"/>
          <w:numId w:val="307"/>
        </w:numPr>
        <w:spacing w:after="0"/>
        <w:contextualSpacing/>
        <w:rPr>
          <w:color w:val="000000"/>
          <w:sz w:val="22"/>
          <w:szCs w:val="22"/>
          <w:lang w:val="es-EC" w:eastAsia="es-EC" w:bidi="ar-SA"/>
        </w:rPr>
      </w:pPr>
      <w:r w:rsidRPr="00576AF8">
        <w:rPr>
          <w:color w:val="000000"/>
          <w:sz w:val="22"/>
          <w:szCs w:val="22"/>
          <w:lang w:val="es-EC" w:eastAsia="es-EC" w:bidi="ar-SA"/>
        </w:rPr>
        <w:t>Fasores de corriente (Ia, Ib, Ic): mediciones fasoriales complejas de las magnitudes y ángulos de corriente de las tres fases A, B, C.</w:t>
      </w:r>
    </w:p>
    <w:p w14:paraId="4525BE16" w14:textId="77777777" w:rsidR="009102A7" w:rsidRPr="00576AF8" w:rsidRDefault="009102A7" w:rsidP="009102A7">
      <w:pPr>
        <w:numPr>
          <w:ilvl w:val="0"/>
          <w:numId w:val="307"/>
        </w:numPr>
        <w:spacing w:after="0"/>
        <w:contextualSpacing/>
        <w:rPr>
          <w:color w:val="000000"/>
          <w:sz w:val="22"/>
          <w:szCs w:val="22"/>
          <w:lang w:val="es-EC" w:eastAsia="es-EC" w:bidi="ar-SA"/>
        </w:rPr>
      </w:pPr>
      <w:r w:rsidRPr="00576AF8">
        <w:rPr>
          <w:color w:val="000000"/>
          <w:sz w:val="22"/>
          <w:szCs w:val="22"/>
          <w:lang w:val="es-EC" w:eastAsia="es-EC" w:bidi="ar-SA"/>
        </w:rPr>
        <w:t>Frecuencia (f): frecuencia del sistema.</w:t>
      </w:r>
    </w:p>
    <w:p w14:paraId="53FA35F2" w14:textId="77777777" w:rsidR="009102A7" w:rsidRPr="00576AF8" w:rsidRDefault="009102A7" w:rsidP="009102A7">
      <w:pPr>
        <w:numPr>
          <w:ilvl w:val="0"/>
          <w:numId w:val="307"/>
        </w:numPr>
        <w:contextualSpacing/>
        <w:rPr>
          <w:color w:val="000000"/>
          <w:sz w:val="22"/>
          <w:szCs w:val="22"/>
          <w:lang w:val="es-EC" w:eastAsia="es-EC" w:bidi="ar-SA"/>
        </w:rPr>
      </w:pPr>
      <w:r w:rsidRPr="00576AF8">
        <w:rPr>
          <w:color w:val="000000"/>
          <w:sz w:val="22"/>
          <w:szCs w:val="22"/>
          <w:lang w:val="es-EC" w:eastAsia="es-EC" w:bidi="ar-SA"/>
        </w:rPr>
        <w:t>Tasa de cambio de frecuencia (df/dt o RoCoF): para determinar qué tan rápido está cambiando la frecuencia del sistema en la detección de perturbaciones. </w:t>
      </w:r>
    </w:p>
    <w:p w14:paraId="40F46A98" w14:textId="77777777" w:rsidR="009102A7" w:rsidRPr="00576AF8" w:rsidRDefault="009102A7" w:rsidP="009102A7">
      <w:pPr>
        <w:numPr>
          <w:ilvl w:val="0"/>
          <w:numId w:val="307"/>
        </w:numPr>
        <w:spacing w:after="0"/>
        <w:contextualSpacing/>
        <w:rPr>
          <w:color w:val="000000"/>
          <w:sz w:val="22"/>
          <w:szCs w:val="22"/>
          <w:lang w:val="es-EC" w:eastAsia="es-EC" w:bidi="ar-SA"/>
        </w:rPr>
      </w:pPr>
      <w:r w:rsidRPr="00576AF8">
        <w:rPr>
          <w:color w:val="000000"/>
          <w:sz w:val="22"/>
          <w:szCs w:val="22"/>
          <w:lang w:val="es-EC" w:eastAsia="es-EC" w:bidi="ar-SA"/>
        </w:rPr>
        <w:t>Componentes de secuencia positiva:  para analizar el comportamiento equilibrado del sistema de potencia extrayendo los fasores de secuencia positiva de las mediciones de voltaje y corriente. </w:t>
      </w:r>
    </w:p>
    <w:p w14:paraId="7BAA0F59" w14:textId="77777777" w:rsidR="009102A7" w:rsidRPr="00576AF8" w:rsidRDefault="009102A7" w:rsidP="009102A7">
      <w:pPr>
        <w:numPr>
          <w:ilvl w:val="0"/>
          <w:numId w:val="307"/>
        </w:numPr>
        <w:spacing w:after="0"/>
        <w:contextualSpacing/>
        <w:rPr>
          <w:color w:val="000000"/>
          <w:sz w:val="22"/>
          <w:szCs w:val="22"/>
          <w:lang w:val="es-EC" w:eastAsia="es-EC" w:bidi="ar-SA"/>
        </w:rPr>
      </w:pPr>
      <w:r w:rsidRPr="00576AF8">
        <w:rPr>
          <w:color w:val="000000"/>
          <w:sz w:val="22"/>
          <w:szCs w:val="22"/>
          <w:lang w:val="es-EC" w:eastAsia="es-EC" w:bidi="ar-SA"/>
        </w:rPr>
        <w:t>Componentes de secuencia negativa y secuencia cero: para obtener información sobre condiciones desequilibradas o asimétricas en el sistema de potencia, presentes principalmente durante fallas. </w:t>
      </w:r>
    </w:p>
    <w:p w14:paraId="461BCA22" w14:textId="77777777" w:rsidR="009102A7" w:rsidRPr="00576AF8" w:rsidRDefault="009102A7" w:rsidP="009102A7">
      <w:pPr>
        <w:numPr>
          <w:ilvl w:val="0"/>
          <w:numId w:val="307"/>
        </w:numPr>
        <w:spacing w:after="0"/>
        <w:contextualSpacing/>
        <w:rPr>
          <w:color w:val="000000"/>
          <w:sz w:val="22"/>
          <w:szCs w:val="22"/>
          <w:lang w:val="es-EC" w:eastAsia="es-EC" w:bidi="ar-SA"/>
        </w:rPr>
      </w:pPr>
      <w:r w:rsidRPr="00576AF8">
        <w:rPr>
          <w:color w:val="000000"/>
          <w:sz w:val="22"/>
          <w:szCs w:val="22"/>
          <w:lang w:val="es-EC" w:eastAsia="es-EC" w:bidi="ar-SA"/>
        </w:rPr>
        <w:t>Información de estado: señales de estado que indican el estado operativo y de salud del propio dispositivo, así como el estado de sincronización de tiempo con el GPS</w:t>
      </w:r>
    </w:p>
    <w:p w14:paraId="33265D7C"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En el </w:t>
      </w:r>
      <w:r w:rsidR="00225A3A" w:rsidRPr="00576AF8">
        <w:rPr>
          <w:color w:val="000000"/>
          <w:sz w:val="22"/>
          <w:szCs w:val="22"/>
          <w:lang w:val="es-EC" w:eastAsia="es-EC" w:bidi="ar-SA"/>
        </w:rPr>
        <w:t xml:space="preserve">Anexo </w:t>
      </w:r>
      <w:r w:rsidRPr="00576AF8">
        <w:rPr>
          <w:color w:val="000000"/>
          <w:sz w:val="22"/>
          <w:szCs w:val="22"/>
          <w:lang w:val="es-EC" w:eastAsia="es-EC" w:bidi="ar-SA"/>
        </w:rPr>
        <w:t>1 ‘Declaración de Interoperabilidad de Protocolos y Perfiles’ se encuentra la ficha de conformidad del protocolo C37.118.</w:t>
      </w:r>
    </w:p>
    <w:p w14:paraId="61DD1D6F" w14:textId="77777777" w:rsidR="009102A7" w:rsidRPr="00576AF8" w:rsidRDefault="009102A7" w:rsidP="009102A7">
      <w:pPr>
        <w:spacing w:after="0"/>
        <w:ind w:left="2484"/>
        <w:rPr>
          <w:color w:val="000000"/>
          <w:sz w:val="22"/>
          <w:szCs w:val="22"/>
          <w:lang w:val="es-EC" w:eastAsia="es-EC" w:bidi="ar-SA"/>
        </w:rPr>
      </w:pPr>
    </w:p>
    <w:p w14:paraId="7ABF1EC9" w14:textId="77777777" w:rsidR="009102A7" w:rsidRPr="00576AF8" w:rsidRDefault="009102A7" w:rsidP="009102A7">
      <w:pPr>
        <w:ind w:left="720" w:firstLine="696"/>
        <w:jc w:val="left"/>
        <w:outlineLvl w:val="2"/>
        <w:rPr>
          <w:sz w:val="22"/>
          <w:szCs w:val="22"/>
        </w:rPr>
      </w:pPr>
      <w:r w:rsidRPr="00576AF8">
        <w:rPr>
          <w:b/>
          <w:sz w:val="22"/>
          <w:szCs w:val="22"/>
        </w:rPr>
        <w:t>2.1.1.1.2.7 Comunicaciones Seguras</w:t>
      </w:r>
    </w:p>
    <w:p w14:paraId="110D01B4" w14:textId="77777777" w:rsidR="009102A7" w:rsidRPr="00576AF8" w:rsidRDefault="009102A7" w:rsidP="009102A7">
      <w:pPr>
        <w:spacing w:after="0"/>
        <w:ind w:left="1416" w:firstLine="708"/>
        <w:rPr>
          <w:color w:val="000000"/>
          <w:sz w:val="22"/>
          <w:szCs w:val="22"/>
          <w:u w:val="single"/>
          <w:lang w:val="es-EC" w:eastAsia="es-EC" w:bidi="ar-SA"/>
        </w:rPr>
      </w:pPr>
    </w:p>
    <w:p w14:paraId="3B071375" w14:textId="77777777" w:rsidR="009102A7" w:rsidRPr="00576AF8" w:rsidRDefault="009102A7" w:rsidP="009102A7">
      <w:pPr>
        <w:numPr>
          <w:ilvl w:val="0"/>
          <w:numId w:val="308"/>
        </w:numPr>
        <w:spacing w:after="0"/>
        <w:contextualSpacing/>
        <w:rPr>
          <w:color w:val="000000"/>
          <w:sz w:val="22"/>
          <w:szCs w:val="22"/>
          <w:lang w:val="es-EC" w:eastAsia="es-EC" w:bidi="ar-SA"/>
        </w:rPr>
      </w:pPr>
      <w:r w:rsidRPr="00576AF8">
        <w:rPr>
          <w:color w:val="000000"/>
          <w:sz w:val="22"/>
          <w:szCs w:val="22"/>
          <w:lang w:val="es-EC" w:eastAsia="es-EC" w:bidi="ar-SA"/>
        </w:rPr>
        <w:t>Los Front-end y los Gateways tendrán la capacidad de soportar conexiones TCP/IP seguras de extremo a extremo para el tráfico con las RTU y otros dispositivos. El alcance de esta funcionalidad es asegurar la confidencialidad, autenticidad, integridad y no repudio a la comunicación con los dispositivos en campo. Así, el Front-end tendrá la capacidad de configurar e implementar:</w:t>
      </w:r>
    </w:p>
    <w:p w14:paraId="19824AC5" w14:textId="77777777" w:rsidR="009102A7" w:rsidRPr="00576AF8" w:rsidRDefault="009102A7" w:rsidP="009102A7">
      <w:pPr>
        <w:spacing w:after="0"/>
        <w:ind w:left="1919"/>
        <w:contextualSpacing/>
        <w:rPr>
          <w:color w:val="000000"/>
          <w:sz w:val="22"/>
          <w:szCs w:val="22"/>
          <w:lang w:val="es-EC" w:eastAsia="es-EC" w:bidi="ar-SA"/>
        </w:rPr>
      </w:pPr>
    </w:p>
    <w:p w14:paraId="367B242F" w14:textId="77777777" w:rsidR="009102A7" w:rsidRPr="00576AF8" w:rsidRDefault="009102A7" w:rsidP="009102A7">
      <w:pPr>
        <w:numPr>
          <w:ilvl w:val="0"/>
          <w:numId w:val="309"/>
        </w:numPr>
        <w:spacing w:after="0"/>
        <w:contextualSpacing/>
        <w:rPr>
          <w:color w:val="000000"/>
          <w:sz w:val="22"/>
          <w:szCs w:val="22"/>
          <w:lang w:val="es-EC" w:eastAsia="es-EC" w:bidi="ar-SA"/>
        </w:rPr>
      </w:pPr>
      <w:r w:rsidRPr="00576AF8">
        <w:rPr>
          <w:color w:val="000000"/>
          <w:sz w:val="22"/>
          <w:szCs w:val="22"/>
          <w:lang w:val="es-EC" w:eastAsia="es-EC" w:bidi="ar-SA"/>
        </w:rPr>
        <w:t>Autenticación mutua de cliente y servidor.</w:t>
      </w:r>
    </w:p>
    <w:p w14:paraId="2D27F6E4" w14:textId="77777777" w:rsidR="009102A7" w:rsidRPr="00576AF8" w:rsidRDefault="009102A7" w:rsidP="009102A7">
      <w:pPr>
        <w:numPr>
          <w:ilvl w:val="0"/>
          <w:numId w:val="309"/>
        </w:numPr>
        <w:spacing w:after="0"/>
        <w:contextualSpacing/>
        <w:rPr>
          <w:color w:val="000000"/>
          <w:sz w:val="22"/>
          <w:szCs w:val="22"/>
          <w:lang w:val="es-EC" w:eastAsia="es-EC" w:bidi="ar-SA"/>
        </w:rPr>
      </w:pPr>
      <w:r w:rsidRPr="00576AF8">
        <w:rPr>
          <w:color w:val="000000"/>
          <w:sz w:val="22"/>
          <w:szCs w:val="22"/>
          <w:lang w:val="es-EC" w:eastAsia="es-EC" w:bidi="ar-SA"/>
        </w:rPr>
        <w:t>Canje de certificados digitales.</w:t>
      </w:r>
    </w:p>
    <w:p w14:paraId="71375E2B" w14:textId="77777777" w:rsidR="009102A7" w:rsidRPr="00576AF8" w:rsidRDefault="009102A7" w:rsidP="009102A7">
      <w:pPr>
        <w:numPr>
          <w:ilvl w:val="0"/>
          <w:numId w:val="309"/>
        </w:numPr>
        <w:spacing w:after="0"/>
        <w:contextualSpacing/>
        <w:rPr>
          <w:color w:val="000000"/>
          <w:sz w:val="22"/>
          <w:szCs w:val="22"/>
          <w:lang w:val="es-EC" w:eastAsia="es-EC" w:bidi="ar-SA"/>
        </w:rPr>
      </w:pPr>
      <w:r w:rsidRPr="00576AF8">
        <w:rPr>
          <w:color w:val="000000"/>
          <w:sz w:val="22"/>
          <w:szCs w:val="22"/>
          <w:lang w:val="es-EC" w:eastAsia="es-EC" w:bidi="ar-SA"/>
        </w:rPr>
        <w:t>Cifrado. </w:t>
      </w:r>
    </w:p>
    <w:p w14:paraId="7424938D" w14:textId="77777777" w:rsidR="009102A7" w:rsidRPr="00576AF8" w:rsidRDefault="009102A7" w:rsidP="009102A7">
      <w:pPr>
        <w:spacing w:after="0"/>
        <w:ind w:left="2639"/>
        <w:contextualSpacing/>
        <w:rPr>
          <w:color w:val="000000"/>
          <w:sz w:val="22"/>
          <w:szCs w:val="22"/>
          <w:lang w:val="es-EC" w:eastAsia="es-EC" w:bidi="ar-SA"/>
        </w:rPr>
      </w:pPr>
    </w:p>
    <w:p w14:paraId="3A3D72D9" w14:textId="77777777" w:rsidR="009102A7" w:rsidRPr="00576AF8" w:rsidRDefault="009102A7" w:rsidP="009102A7">
      <w:pPr>
        <w:numPr>
          <w:ilvl w:val="0"/>
          <w:numId w:val="308"/>
        </w:numPr>
        <w:spacing w:after="0"/>
        <w:contextualSpacing/>
        <w:rPr>
          <w:color w:val="000000"/>
          <w:sz w:val="22"/>
          <w:szCs w:val="22"/>
          <w:lang w:val="es-EC" w:eastAsia="es-EC" w:bidi="ar-SA"/>
        </w:rPr>
      </w:pPr>
      <w:r w:rsidRPr="00576AF8">
        <w:rPr>
          <w:color w:val="000000"/>
          <w:sz w:val="22"/>
          <w:szCs w:val="22"/>
          <w:lang w:val="es-EC" w:eastAsia="es-EC" w:bidi="ar-SA"/>
        </w:rPr>
        <w:t>La solución de comunicación segura deberá cumplir el estándar IEC 62351-3 que aplica el protocolo TLS y diseña los perfiles de seguridad relacionados. Se pueden considerar soluciones alternativas sujetas a la aprobación del CENACE.</w:t>
      </w:r>
    </w:p>
    <w:p w14:paraId="626BB497" w14:textId="77777777" w:rsidR="009102A7" w:rsidRPr="00576AF8" w:rsidRDefault="009102A7" w:rsidP="009102A7">
      <w:pPr>
        <w:spacing w:after="0"/>
        <w:ind w:left="2124"/>
        <w:contextualSpacing/>
        <w:rPr>
          <w:color w:val="000000"/>
          <w:sz w:val="22"/>
          <w:szCs w:val="22"/>
          <w:lang w:val="es-EC" w:eastAsia="es-EC" w:bidi="ar-SA"/>
        </w:rPr>
      </w:pPr>
    </w:p>
    <w:p w14:paraId="58FBE2D0" w14:textId="77777777" w:rsidR="009102A7" w:rsidRPr="00576AF8" w:rsidRDefault="009102A7" w:rsidP="009102A7">
      <w:pPr>
        <w:ind w:left="720" w:firstLine="696"/>
        <w:jc w:val="left"/>
        <w:outlineLvl w:val="2"/>
        <w:rPr>
          <w:sz w:val="22"/>
          <w:szCs w:val="22"/>
        </w:rPr>
      </w:pPr>
      <w:r w:rsidRPr="00576AF8">
        <w:rPr>
          <w:b/>
          <w:sz w:val="22"/>
          <w:szCs w:val="22"/>
        </w:rPr>
        <w:t>2.1.1.1.2.8 Inventario de RTUS, SCS y Dispositivos Remotos</w:t>
      </w:r>
    </w:p>
    <w:p w14:paraId="52393D39" w14:textId="52E008F4"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La Tabla 6 resume la lista actual de RTUs o equipos remotos que reportan al SCADA/EMS del CENACE. En resumen, se tienen 1</w:t>
      </w:r>
      <w:r w:rsidR="00E00BC8">
        <w:rPr>
          <w:color w:val="000000"/>
          <w:sz w:val="22"/>
          <w:szCs w:val="22"/>
          <w:lang w:val="es-EC" w:eastAsia="es-EC" w:bidi="ar-SA"/>
        </w:rPr>
        <w:t>43</w:t>
      </w:r>
      <w:r w:rsidRPr="00576AF8">
        <w:rPr>
          <w:color w:val="000000"/>
          <w:sz w:val="22"/>
          <w:szCs w:val="22"/>
          <w:lang w:val="es-EC" w:eastAsia="es-EC" w:bidi="ar-SA"/>
        </w:rPr>
        <w:t xml:space="preserve"> RTU, </w:t>
      </w:r>
      <w:r w:rsidR="00E00BC8">
        <w:rPr>
          <w:color w:val="000000"/>
          <w:sz w:val="22"/>
          <w:szCs w:val="22"/>
          <w:lang w:val="es-EC" w:eastAsia="es-EC" w:bidi="ar-SA"/>
        </w:rPr>
        <w:t>77</w:t>
      </w:r>
      <w:r w:rsidRPr="00576AF8">
        <w:rPr>
          <w:color w:val="000000"/>
          <w:sz w:val="22"/>
          <w:szCs w:val="22"/>
          <w:lang w:val="es-EC" w:eastAsia="es-EC" w:bidi="ar-SA"/>
        </w:rPr>
        <w:t xml:space="preserve"> de ellas con conexión serial y </w:t>
      </w:r>
      <w:r w:rsidR="00E00BC8">
        <w:rPr>
          <w:color w:val="000000"/>
          <w:sz w:val="22"/>
          <w:szCs w:val="22"/>
          <w:lang w:val="es-EC" w:eastAsia="es-EC" w:bidi="ar-SA"/>
        </w:rPr>
        <w:t>66</w:t>
      </w:r>
      <w:r w:rsidRPr="00576AF8">
        <w:rPr>
          <w:color w:val="000000"/>
          <w:sz w:val="22"/>
          <w:szCs w:val="22"/>
          <w:lang w:val="es-EC" w:eastAsia="es-EC" w:bidi="ar-SA"/>
        </w:rPr>
        <w:t xml:space="preserve"> con conexión TCP/IP. La distribución por protocolo es la siguiente:</w:t>
      </w:r>
    </w:p>
    <w:p w14:paraId="78EE909D" w14:textId="77777777" w:rsidR="009102A7" w:rsidRPr="00576AF8" w:rsidRDefault="009102A7" w:rsidP="009102A7">
      <w:pPr>
        <w:ind w:left="1416" w:right="41"/>
        <w:rPr>
          <w:bCs/>
          <w:sz w:val="22"/>
          <w:szCs w:val="22"/>
          <w:lang w:val="es-EC"/>
        </w:rPr>
      </w:pPr>
      <w:r w:rsidRPr="00576AF8">
        <w:rPr>
          <w:bCs/>
          <w:sz w:val="22"/>
          <w:szCs w:val="22"/>
          <w:lang w:val="es-EC"/>
        </w:rPr>
        <w:t>Tabla 6. Cantidad de RTUs por protocolo de comunicaciones</w:t>
      </w:r>
    </w:p>
    <w:p w14:paraId="732EE03A" w14:textId="77777777" w:rsidR="009102A7" w:rsidRPr="00576AF8" w:rsidRDefault="009102A7" w:rsidP="009102A7">
      <w:pPr>
        <w:spacing w:after="0"/>
        <w:ind w:left="2830" w:firstLine="2"/>
        <w:rPr>
          <w:color w:val="000000"/>
          <w:sz w:val="22"/>
          <w:szCs w:val="22"/>
          <w:lang w:val="es-EC" w:eastAsia="es-EC" w:bidi="ar-SA"/>
        </w:rPr>
      </w:pPr>
    </w:p>
    <w:tbl>
      <w:tblPr>
        <w:tblStyle w:val="Tablaconcuadrcula2"/>
        <w:tblW w:w="0" w:type="auto"/>
        <w:tblInd w:w="2039" w:type="dxa"/>
        <w:tblLook w:val="04A0" w:firstRow="1" w:lastRow="0" w:firstColumn="1" w:lastColumn="0" w:noHBand="0" w:noVBand="1"/>
      </w:tblPr>
      <w:tblGrid>
        <w:gridCol w:w="3455"/>
        <w:gridCol w:w="3455"/>
      </w:tblGrid>
      <w:tr w:rsidR="009102A7" w:rsidRPr="00576AF8" w14:paraId="6B94F9E2" w14:textId="77777777" w:rsidTr="009F6B78">
        <w:trPr>
          <w:trHeight w:val="300"/>
        </w:trPr>
        <w:tc>
          <w:tcPr>
            <w:tcW w:w="3455" w:type="dxa"/>
          </w:tcPr>
          <w:p w14:paraId="685D0163" w14:textId="77777777" w:rsidR="009102A7" w:rsidRPr="00576AF8" w:rsidRDefault="009102A7" w:rsidP="009F6B78">
            <w:pPr>
              <w:spacing w:after="0"/>
              <w:rPr>
                <w:color w:val="000000"/>
                <w:sz w:val="22"/>
                <w:szCs w:val="22"/>
                <w:lang w:val="es-EC" w:eastAsia="es-EC" w:bidi="ar-SA"/>
              </w:rPr>
            </w:pPr>
            <w:bookmarkStart w:id="823" w:name="OLE_LINK17"/>
            <w:bookmarkStart w:id="824" w:name="OLE_LINK18"/>
            <w:bookmarkStart w:id="825" w:name="OLE_LINK19"/>
            <w:r w:rsidRPr="00576AF8">
              <w:rPr>
                <w:sz w:val="22"/>
                <w:szCs w:val="22"/>
              </w:rPr>
              <w:t>Protocolo</w:t>
            </w:r>
          </w:p>
        </w:tc>
        <w:tc>
          <w:tcPr>
            <w:tcW w:w="3455" w:type="dxa"/>
          </w:tcPr>
          <w:p w14:paraId="530B1798" w14:textId="77777777" w:rsidR="009102A7" w:rsidRPr="00576AF8" w:rsidRDefault="009102A7" w:rsidP="009F6B78">
            <w:pPr>
              <w:spacing w:after="0"/>
              <w:rPr>
                <w:color w:val="000000"/>
                <w:sz w:val="22"/>
                <w:szCs w:val="22"/>
                <w:lang w:val="es-EC" w:eastAsia="es-EC" w:bidi="ar-SA"/>
              </w:rPr>
            </w:pPr>
            <w:r w:rsidRPr="00576AF8">
              <w:rPr>
                <w:sz w:val="22"/>
                <w:szCs w:val="22"/>
              </w:rPr>
              <w:t>Cantidad de RTU</w:t>
            </w:r>
          </w:p>
        </w:tc>
      </w:tr>
      <w:tr w:rsidR="009102A7" w:rsidRPr="00576AF8" w14:paraId="69BCA9E2" w14:textId="77777777" w:rsidTr="009F6B78">
        <w:trPr>
          <w:trHeight w:val="300"/>
        </w:trPr>
        <w:tc>
          <w:tcPr>
            <w:tcW w:w="3455" w:type="dxa"/>
          </w:tcPr>
          <w:p w14:paraId="4D4340DF" w14:textId="33C4FA17" w:rsidR="009102A7" w:rsidRPr="00576AF8" w:rsidRDefault="009102A7" w:rsidP="009F6B78">
            <w:pPr>
              <w:spacing w:after="0"/>
              <w:rPr>
                <w:color w:val="000000"/>
                <w:sz w:val="22"/>
                <w:szCs w:val="22"/>
                <w:lang w:val="es-EC" w:eastAsia="es-EC" w:bidi="ar-SA"/>
              </w:rPr>
            </w:pPr>
            <w:r w:rsidRPr="00576AF8">
              <w:rPr>
                <w:sz w:val="22"/>
                <w:szCs w:val="22"/>
              </w:rPr>
              <w:t>DNP 3.0</w:t>
            </w:r>
            <w:r w:rsidR="005348B9">
              <w:rPr>
                <w:sz w:val="22"/>
                <w:szCs w:val="22"/>
              </w:rPr>
              <w:t xml:space="preserve"> (serial vía PCU Gateway)</w:t>
            </w:r>
          </w:p>
        </w:tc>
        <w:tc>
          <w:tcPr>
            <w:tcW w:w="3455" w:type="dxa"/>
          </w:tcPr>
          <w:p w14:paraId="281C88E6" w14:textId="3351FC12" w:rsidR="009102A7" w:rsidRPr="00576AF8" w:rsidRDefault="005348B9" w:rsidP="009F6B78">
            <w:pPr>
              <w:spacing w:after="0"/>
              <w:rPr>
                <w:color w:val="000000"/>
                <w:sz w:val="22"/>
                <w:szCs w:val="22"/>
                <w:lang w:val="es-EC" w:eastAsia="es-EC" w:bidi="ar-SA"/>
              </w:rPr>
            </w:pPr>
            <w:r>
              <w:rPr>
                <w:sz w:val="22"/>
                <w:szCs w:val="22"/>
              </w:rPr>
              <w:t>25</w:t>
            </w:r>
          </w:p>
        </w:tc>
      </w:tr>
      <w:tr w:rsidR="005348B9" w:rsidRPr="00576AF8" w14:paraId="0CB21BAD" w14:textId="77777777" w:rsidTr="009F6B78">
        <w:trPr>
          <w:trHeight w:val="300"/>
        </w:trPr>
        <w:tc>
          <w:tcPr>
            <w:tcW w:w="3455" w:type="dxa"/>
          </w:tcPr>
          <w:p w14:paraId="267769F6" w14:textId="7E6F0579" w:rsidR="005348B9" w:rsidRPr="00576AF8" w:rsidRDefault="005348B9" w:rsidP="009F6B78">
            <w:pPr>
              <w:spacing w:after="0"/>
              <w:rPr>
                <w:sz w:val="22"/>
                <w:szCs w:val="22"/>
              </w:rPr>
            </w:pPr>
            <w:r w:rsidRPr="00576AF8">
              <w:rPr>
                <w:sz w:val="22"/>
                <w:szCs w:val="22"/>
              </w:rPr>
              <w:lastRenderedPageBreak/>
              <w:t>DNP 3.0</w:t>
            </w:r>
            <w:r>
              <w:rPr>
                <w:sz w:val="22"/>
                <w:szCs w:val="22"/>
              </w:rPr>
              <w:t xml:space="preserve"> TCP/IP</w:t>
            </w:r>
          </w:p>
        </w:tc>
        <w:tc>
          <w:tcPr>
            <w:tcW w:w="3455" w:type="dxa"/>
          </w:tcPr>
          <w:p w14:paraId="4E28C248" w14:textId="22D6A9F1" w:rsidR="005348B9" w:rsidRPr="00576AF8" w:rsidDel="005348B9" w:rsidRDefault="005348B9" w:rsidP="009F6B78">
            <w:pPr>
              <w:spacing w:after="0"/>
              <w:rPr>
                <w:sz w:val="22"/>
                <w:szCs w:val="22"/>
              </w:rPr>
            </w:pPr>
            <w:r>
              <w:rPr>
                <w:sz w:val="22"/>
                <w:szCs w:val="22"/>
              </w:rPr>
              <w:t>15</w:t>
            </w:r>
          </w:p>
        </w:tc>
      </w:tr>
      <w:tr w:rsidR="009102A7" w:rsidRPr="00576AF8" w14:paraId="373DE89A" w14:textId="77777777" w:rsidTr="009F6B78">
        <w:trPr>
          <w:trHeight w:val="300"/>
        </w:trPr>
        <w:tc>
          <w:tcPr>
            <w:tcW w:w="3455" w:type="dxa"/>
          </w:tcPr>
          <w:p w14:paraId="05CE2423" w14:textId="77777777" w:rsidR="009102A7" w:rsidRPr="00576AF8" w:rsidRDefault="009102A7" w:rsidP="009F6B78">
            <w:pPr>
              <w:spacing w:after="0"/>
              <w:rPr>
                <w:color w:val="000000"/>
                <w:sz w:val="22"/>
                <w:szCs w:val="22"/>
                <w:lang w:val="es-EC" w:eastAsia="es-EC" w:bidi="ar-SA"/>
              </w:rPr>
            </w:pPr>
            <w:r w:rsidRPr="00576AF8">
              <w:rPr>
                <w:sz w:val="22"/>
                <w:szCs w:val="22"/>
              </w:rPr>
              <w:t>IEC 870 5 101</w:t>
            </w:r>
          </w:p>
        </w:tc>
        <w:tc>
          <w:tcPr>
            <w:tcW w:w="3455" w:type="dxa"/>
          </w:tcPr>
          <w:p w14:paraId="504D0ECF" w14:textId="6B401381" w:rsidR="009102A7" w:rsidRPr="00576AF8" w:rsidRDefault="005348B9" w:rsidP="009F6B78">
            <w:pPr>
              <w:spacing w:after="0"/>
              <w:rPr>
                <w:color w:val="000000"/>
                <w:sz w:val="22"/>
                <w:szCs w:val="22"/>
                <w:lang w:val="es-EC" w:eastAsia="es-EC" w:bidi="ar-SA"/>
              </w:rPr>
            </w:pPr>
            <w:r>
              <w:rPr>
                <w:sz w:val="22"/>
                <w:szCs w:val="22"/>
              </w:rPr>
              <w:t>42</w:t>
            </w:r>
          </w:p>
        </w:tc>
      </w:tr>
      <w:tr w:rsidR="009102A7" w:rsidRPr="00576AF8" w14:paraId="1D94D323" w14:textId="77777777" w:rsidTr="009F6B78">
        <w:trPr>
          <w:trHeight w:val="300"/>
        </w:trPr>
        <w:tc>
          <w:tcPr>
            <w:tcW w:w="3455" w:type="dxa"/>
          </w:tcPr>
          <w:p w14:paraId="5D1127C5" w14:textId="77777777" w:rsidR="009102A7" w:rsidRPr="00576AF8" w:rsidRDefault="009102A7" w:rsidP="009F6B78">
            <w:pPr>
              <w:spacing w:after="0"/>
              <w:rPr>
                <w:color w:val="000000"/>
                <w:sz w:val="22"/>
                <w:szCs w:val="22"/>
                <w:lang w:val="es-EC" w:eastAsia="es-EC" w:bidi="ar-SA"/>
              </w:rPr>
            </w:pPr>
            <w:r w:rsidRPr="00576AF8">
              <w:rPr>
                <w:sz w:val="22"/>
                <w:szCs w:val="22"/>
              </w:rPr>
              <w:t>IEC 870 5 104</w:t>
            </w:r>
          </w:p>
        </w:tc>
        <w:tc>
          <w:tcPr>
            <w:tcW w:w="3455" w:type="dxa"/>
          </w:tcPr>
          <w:p w14:paraId="762FA9DF" w14:textId="14393B52" w:rsidR="009102A7" w:rsidRPr="00576AF8" w:rsidRDefault="005348B9" w:rsidP="009F6B78">
            <w:pPr>
              <w:spacing w:after="0"/>
              <w:rPr>
                <w:color w:val="000000"/>
                <w:sz w:val="22"/>
                <w:szCs w:val="22"/>
                <w:lang w:val="es-EC" w:eastAsia="es-EC" w:bidi="ar-SA"/>
              </w:rPr>
            </w:pPr>
            <w:r>
              <w:rPr>
                <w:sz w:val="22"/>
                <w:szCs w:val="22"/>
              </w:rPr>
              <w:t>51</w:t>
            </w:r>
          </w:p>
        </w:tc>
      </w:tr>
      <w:tr w:rsidR="009102A7" w:rsidRPr="00576AF8" w14:paraId="3B425084" w14:textId="77777777" w:rsidTr="009F6B78">
        <w:trPr>
          <w:trHeight w:val="300"/>
        </w:trPr>
        <w:tc>
          <w:tcPr>
            <w:tcW w:w="3455" w:type="dxa"/>
          </w:tcPr>
          <w:p w14:paraId="7174BAC1" w14:textId="77777777" w:rsidR="009102A7" w:rsidRPr="00576AF8" w:rsidRDefault="009102A7" w:rsidP="009F6B78">
            <w:pPr>
              <w:spacing w:after="0"/>
              <w:rPr>
                <w:color w:val="000000"/>
                <w:sz w:val="22"/>
                <w:szCs w:val="22"/>
                <w:lang w:val="es-EC" w:eastAsia="es-EC" w:bidi="ar-SA"/>
              </w:rPr>
            </w:pPr>
            <w:r w:rsidRPr="00576AF8">
              <w:rPr>
                <w:sz w:val="22"/>
                <w:szCs w:val="22"/>
              </w:rPr>
              <w:t>RP570</w:t>
            </w:r>
          </w:p>
        </w:tc>
        <w:tc>
          <w:tcPr>
            <w:tcW w:w="3455" w:type="dxa"/>
          </w:tcPr>
          <w:p w14:paraId="262D8489" w14:textId="72A56B37" w:rsidR="009102A7" w:rsidRPr="00576AF8" w:rsidRDefault="005348B9" w:rsidP="005348B9">
            <w:pPr>
              <w:keepNext/>
              <w:spacing w:after="0"/>
              <w:rPr>
                <w:color w:val="000000"/>
                <w:sz w:val="22"/>
                <w:szCs w:val="22"/>
                <w:lang w:val="es-EC" w:eastAsia="es-EC" w:bidi="ar-SA"/>
              </w:rPr>
            </w:pPr>
            <w:r w:rsidRPr="00576AF8">
              <w:rPr>
                <w:sz w:val="22"/>
                <w:szCs w:val="22"/>
              </w:rPr>
              <w:t>1</w:t>
            </w:r>
            <w:r>
              <w:rPr>
                <w:sz w:val="22"/>
                <w:szCs w:val="22"/>
              </w:rPr>
              <w:t>0</w:t>
            </w:r>
          </w:p>
        </w:tc>
      </w:tr>
      <w:bookmarkEnd w:id="823"/>
      <w:bookmarkEnd w:id="824"/>
      <w:bookmarkEnd w:id="825"/>
    </w:tbl>
    <w:p w14:paraId="7A179C22" w14:textId="77777777" w:rsidR="009102A7" w:rsidRPr="00576AF8" w:rsidRDefault="009102A7" w:rsidP="009102A7">
      <w:pPr>
        <w:spacing w:before="120"/>
        <w:rPr>
          <w:sz w:val="22"/>
          <w:szCs w:val="22"/>
        </w:rPr>
      </w:pPr>
    </w:p>
    <w:p w14:paraId="76CDCFCA" w14:textId="77777777" w:rsidR="009102A7" w:rsidRPr="00576AF8" w:rsidRDefault="009102A7" w:rsidP="009102A7">
      <w:pPr>
        <w:ind w:left="1416" w:right="41"/>
        <w:rPr>
          <w:sz w:val="22"/>
          <w:szCs w:val="22"/>
          <w:lang w:val="es-EC"/>
        </w:rPr>
      </w:pPr>
      <w:r w:rsidRPr="00576AF8">
        <w:rPr>
          <w:sz w:val="22"/>
          <w:szCs w:val="22"/>
          <w:lang w:val="es-EC"/>
        </w:rPr>
        <w:t xml:space="preserve">En </w:t>
      </w:r>
      <w:r w:rsidRPr="00576AF8">
        <w:rPr>
          <w:sz w:val="22"/>
          <w:szCs w:val="22"/>
          <w:lang w:val="es-EC" w:bidi="ar-SA"/>
        </w:rPr>
        <w:t xml:space="preserve">la Tabla </w:t>
      </w:r>
      <w:r w:rsidRPr="00576AF8">
        <w:rPr>
          <w:sz w:val="22"/>
          <w:szCs w:val="22"/>
          <w:lang w:val="es-EC"/>
        </w:rPr>
        <w:t>7 se presenta la lista detallada de las RTU actualmente integradas en el SCADA/EMS del CENACE.</w:t>
      </w:r>
    </w:p>
    <w:tbl>
      <w:tblPr>
        <w:tblW w:w="8400" w:type="dxa"/>
        <w:jc w:val="center"/>
        <w:tblCellMar>
          <w:left w:w="0" w:type="dxa"/>
          <w:right w:w="0" w:type="dxa"/>
        </w:tblCellMar>
        <w:tblLook w:val="04A0" w:firstRow="1" w:lastRow="0" w:firstColumn="1" w:lastColumn="0" w:noHBand="0" w:noVBand="1"/>
      </w:tblPr>
      <w:tblGrid>
        <w:gridCol w:w="3060"/>
        <w:gridCol w:w="1240"/>
        <w:gridCol w:w="1620"/>
        <w:gridCol w:w="1240"/>
        <w:gridCol w:w="1240"/>
      </w:tblGrid>
      <w:tr w:rsidR="005348B9" w14:paraId="7C216131" w14:textId="77777777" w:rsidTr="005348B9">
        <w:trPr>
          <w:trHeight w:val="288"/>
          <w:jc w:val="center"/>
        </w:trPr>
        <w:tc>
          <w:tcPr>
            <w:tcW w:w="30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981DC6F" w14:textId="77777777" w:rsidR="005348B9" w:rsidRPr="005348B9" w:rsidRDefault="005348B9">
            <w:pPr>
              <w:spacing w:after="0"/>
              <w:jc w:val="center"/>
              <w:rPr>
                <w:rFonts w:ascii="Calibri" w:hAnsi="Calibri" w:cs="Calibri"/>
                <w:b/>
                <w:color w:val="000000"/>
                <w:sz w:val="22"/>
                <w:szCs w:val="22"/>
                <w:lang w:eastAsia="es-EC"/>
              </w:rPr>
            </w:pPr>
            <w:bookmarkStart w:id="826" w:name="OLE_LINK14"/>
            <w:bookmarkStart w:id="827" w:name="OLE_LINK15"/>
            <w:bookmarkStart w:id="828" w:name="OLE_LINK16"/>
            <w:r w:rsidRPr="005348B9">
              <w:rPr>
                <w:rFonts w:ascii="Calibri" w:hAnsi="Calibri" w:cs="Calibri"/>
                <w:b/>
                <w:color w:val="000000"/>
                <w:sz w:val="22"/>
                <w:szCs w:val="22"/>
                <w:lang w:eastAsia="es-EC"/>
              </w:rPr>
              <w:t>RTU</w:t>
            </w:r>
          </w:p>
        </w:tc>
        <w:tc>
          <w:tcPr>
            <w:tcW w:w="12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5F28742" w14:textId="77777777" w:rsidR="005348B9" w:rsidRPr="005348B9" w:rsidRDefault="005348B9">
            <w:pPr>
              <w:spacing w:after="0"/>
              <w:jc w:val="left"/>
              <w:rPr>
                <w:rFonts w:ascii="Calibri" w:hAnsi="Calibri" w:cs="Calibri"/>
                <w:b/>
                <w:color w:val="000000"/>
                <w:sz w:val="22"/>
                <w:szCs w:val="22"/>
                <w:lang w:eastAsia="es-EC"/>
              </w:rPr>
            </w:pPr>
            <w:r w:rsidRPr="005348B9">
              <w:rPr>
                <w:rFonts w:ascii="Calibri" w:hAnsi="Calibri" w:cs="Calibri"/>
                <w:b/>
                <w:color w:val="000000"/>
                <w:sz w:val="22"/>
                <w:szCs w:val="22"/>
                <w:lang w:eastAsia="es-EC"/>
              </w:rPr>
              <w:t>Medio</w:t>
            </w:r>
          </w:p>
        </w:tc>
        <w:tc>
          <w:tcPr>
            <w:tcW w:w="16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43BCF43" w14:textId="77777777" w:rsidR="005348B9" w:rsidRPr="005348B9" w:rsidRDefault="005348B9">
            <w:pPr>
              <w:spacing w:after="0"/>
              <w:jc w:val="left"/>
              <w:rPr>
                <w:rFonts w:ascii="Calibri" w:hAnsi="Calibri" w:cs="Calibri"/>
                <w:b/>
                <w:color w:val="000000"/>
                <w:sz w:val="22"/>
                <w:szCs w:val="22"/>
                <w:lang w:eastAsia="es-EC"/>
              </w:rPr>
            </w:pPr>
            <w:r w:rsidRPr="005348B9">
              <w:rPr>
                <w:rFonts w:ascii="Calibri" w:hAnsi="Calibri" w:cs="Calibri"/>
                <w:b/>
                <w:color w:val="000000"/>
                <w:sz w:val="22"/>
                <w:szCs w:val="22"/>
                <w:lang w:eastAsia="es-EC"/>
              </w:rPr>
              <w:t>Protocolo</w:t>
            </w:r>
          </w:p>
        </w:tc>
        <w:tc>
          <w:tcPr>
            <w:tcW w:w="12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58B0079" w14:textId="77777777" w:rsidR="005348B9" w:rsidRPr="005348B9" w:rsidRDefault="005348B9">
            <w:pPr>
              <w:spacing w:after="0"/>
              <w:jc w:val="center"/>
              <w:rPr>
                <w:rFonts w:ascii="Calibri" w:hAnsi="Calibri" w:cs="Calibri"/>
                <w:b/>
                <w:color w:val="000000"/>
                <w:sz w:val="22"/>
                <w:szCs w:val="22"/>
                <w:lang w:eastAsia="es-EC"/>
              </w:rPr>
            </w:pPr>
            <w:r w:rsidRPr="005348B9">
              <w:rPr>
                <w:rFonts w:ascii="Calibri" w:hAnsi="Calibri" w:cs="Calibri"/>
                <w:b/>
                <w:color w:val="000000"/>
                <w:sz w:val="22"/>
                <w:szCs w:val="22"/>
                <w:lang w:eastAsia="es-EC"/>
              </w:rPr>
              <w:t xml:space="preserve">Marca </w:t>
            </w:r>
          </w:p>
        </w:tc>
        <w:tc>
          <w:tcPr>
            <w:tcW w:w="12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09E1891" w14:textId="77777777" w:rsidR="005348B9" w:rsidRPr="005348B9" w:rsidRDefault="005348B9">
            <w:pPr>
              <w:spacing w:after="0"/>
              <w:jc w:val="center"/>
              <w:rPr>
                <w:rFonts w:ascii="Calibri" w:hAnsi="Calibri" w:cs="Calibri"/>
                <w:b/>
                <w:color w:val="000000"/>
                <w:sz w:val="22"/>
                <w:szCs w:val="22"/>
                <w:lang w:eastAsia="es-EC"/>
              </w:rPr>
            </w:pPr>
            <w:r w:rsidRPr="005348B9">
              <w:rPr>
                <w:rFonts w:ascii="Calibri" w:hAnsi="Calibri" w:cs="Calibri"/>
                <w:b/>
                <w:color w:val="000000"/>
                <w:sz w:val="22"/>
                <w:szCs w:val="22"/>
                <w:lang w:eastAsia="es-EC"/>
              </w:rPr>
              <w:t>Modelo</w:t>
            </w:r>
          </w:p>
        </w:tc>
      </w:tr>
      <w:tr w:rsidR="005348B9" w14:paraId="27C5D9D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9A920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ADELCA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E01E4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F69BE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C7CE8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4BC4B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61DE1F9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42427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RTU_ALLURIQU_IEC8705104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FD1F7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AC9CF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0E012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4E03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5235DB6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6F7A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AMBATO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B061F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AA9C8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443E3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14776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24118654"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2EB33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RTU_BABA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9F2D8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A2BCB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2E40B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75D24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A64DA0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5AFA6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RTU_BANOS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4498C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A705C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968A2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3DC2B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280053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A0DF53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RTU_BOMBOIZA_IEC8705104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845C2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D007A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C36AF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EA530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94825F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54E85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RTU_C_ABANIC_DNP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6352B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69E86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05F67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CDD3E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MSCPU32</w:t>
            </w:r>
          </w:p>
        </w:tc>
      </w:tr>
      <w:tr w:rsidR="005348B9" w14:paraId="65F13F0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E5E3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RTU_C_AGOYAN_RP5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62072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B9DD9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76524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3E59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6DFD4AC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0C34F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RTU_C_AGROAZ_DNP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594C9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DAFFF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9A5D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FF0F5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B6F7C3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2ADF5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RTU_C_ALAO_D_DNP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C773E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B680E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7C981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E40A6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317571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FD146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RTU_C_ALAZAN_IEC8705101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03DBA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0F612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0EDE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870D5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EF5B42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73CAD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RTU_C_AMBI_D_IEC8705104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3985A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C83E1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01DE3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NOVATECH</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B73EE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905480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0C525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RTU_C_ASANTO_IEC8705104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C0CE1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AE4DE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F038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NOVATECH</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A97BF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289FF1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A8650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RTU_C_ATINAJ_IEC8705104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393B8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AE60E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C9095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NOVATECH</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780CA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871589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30B02F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w:t>
            </w:r>
            <w:proofErr w:type="gramStart"/>
            <w:r>
              <w:rPr>
                <w:rFonts w:ascii="Calibri" w:hAnsi="Calibri" w:cs="Calibri"/>
                <w:color w:val="000000"/>
                <w:sz w:val="22"/>
                <w:szCs w:val="22"/>
                <w:lang w:eastAsia="es-EC"/>
              </w:rPr>
              <w:t>BABA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7CF19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4D8C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0724B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17505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E6EEF3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5F996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RTU_C_CALOPE_DNP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8CDF6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6279B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E3FD0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6FD5E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B10540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0DAFBA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RTU_C_COCACS_IEC8705101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F4E8C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92A2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7ADA7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1C204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1C1734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75A9D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RTU_C_COCACS_IEC8705104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02DBD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B82B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737FD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FCA7E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DDC69B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702D0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RTU_C_CUMBAY_DNP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7C6C4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5236C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0D6F5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74B1F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37DB90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BD127D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RTU_C_DELSIT_IEC8705104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F2351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EB0F5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B7621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3B6AD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8B74FE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2F367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RTU_C_DUE   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49BB5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A5BED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97391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750E6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91328B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82195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RTU_C_ECOE_D_DNP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128A6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535D1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2626F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B2EBF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749A99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0DC0F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RTU_C_ELECTR_DNP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B1487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3674B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288F1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06FDF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97917C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FB32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RTU_C_ESMER2_IEC8705101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D7397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C4167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9DDE4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64C22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1914AB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91FD52" w14:textId="77777777" w:rsidR="005348B9" w:rsidRPr="005348B9" w:rsidRDefault="005348B9">
            <w:pPr>
              <w:spacing w:after="0"/>
              <w:jc w:val="left"/>
              <w:rPr>
                <w:rFonts w:ascii="Calibri" w:hAnsi="Calibri" w:cs="Calibri"/>
                <w:color w:val="000000"/>
                <w:sz w:val="22"/>
                <w:szCs w:val="22"/>
                <w:lang w:val="en-US" w:eastAsia="es-EC"/>
              </w:rPr>
            </w:pPr>
            <w:r w:rsidRPr="005348B9">
              <w:rPr>
                <w:rFonts w:ascii="Calibri" w:hAnsi="Calibri" w:cs="Calibri"/>
                <w:color w:val="000000"/>
                <w:sz w:val="22"/>
                <w:szCs w:val="22"/>
                <w:lang w:val="en-US" w:eastAsia="es-EC"/>
              </w:rPr>
              <w:t>RTU_C_G_HERN_DNP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AFE5F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1610E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92E4B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5C9A1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FEDE4D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ED065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RTU_C_G_ZEVA_RP5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18C44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2E594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245DF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36F1F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548A8F1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7161A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RTU_C_GASGRE_DNP30TCPIP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BC11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ED6B1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32DC0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2FBDA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984BFC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A0907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RTU_C_GENERO_DNP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D4068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0AE08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53739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85CFE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53950B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BE3BB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RTU_C_GUAN_D_DNP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05B01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40A58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1A7FE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A9E81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B133FD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D9285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RTU_C_HUAYQU_DNP30TCPIP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EE22A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B3E9E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206A2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94447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97A6C5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C8577F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RTU_C_JIVIN3_DNP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59376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AEFBA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F906F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8D0EB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5BB4D4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89BABC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RTU_C_LAFARG_DNP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1A17D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12249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12B49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A792E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2032B0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D919BC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RTU_C_MANDUR_IEC8705101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10FC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B7705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5DB5F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1B727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44D403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977A2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RTU_C_MAZAR 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36CBC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33F99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FBECF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BE1C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EAF405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A5A72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lastRenderedPageBreak/>
              <w:t>RTU_C_MINASF_IEC8705104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0AFC0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7294F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C9C96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416AE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E62609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4441F6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RTU_C_NAYON 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75651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B3354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1011E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8AAED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445A1B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20960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RTU_C_NORMAN_DNP30TCPIP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28C9E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D6C60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7831A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16444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975985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58FDF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RTU_C_PALMIR_DNP30TCPIP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13871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32EE4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EAE61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8AD0B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B08D68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F62A46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RTU_C_PASCUA_IEC8705104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4A49A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F9638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6B877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39734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E60C8C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1A70B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RTU_C_PUCARA_RP5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63633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E11D8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37806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4551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32CB2DC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03F5F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RTU_C_PUSUN1_DNP30TCPIP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0056C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0D094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29902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SEL</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8B29B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443D89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A7701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RTU_C_PUSUN2_DNP30TCPIP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845C4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D3F60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92C1F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SEL</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27DC8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AFCEB3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D8355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RTU_C_QUEVE2_DNP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838F2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1742E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6F58B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ROCKWELL</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AA229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2536FA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D8956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RTU_C_RVCHIC_DNP30TCPIP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E7F33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69A54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F7302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FFE07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A03A82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EF3083" w14:textId="77777777" w:rsidR="005348B9" w:rsidRPr="005348B9" w:rsidRDefault="005348B9">
            <w:pPr>
              <w:spacing w:after="0"/>
              <w:jc w:val="left"/>
              <w:rPr>
                <w:rFonts w:ascii="Calibri" w:hAnsi="Calibri" w:cs="Calibri"/>
                <w:color w:val="000000"/>
                <w:sz w:val="22"/>
                <w:szCs w:val="22"/>
                <w:lang w:val="en-US" w:eastAsia="es-EC"/>
              </w:rPr>
            </w:pPr>
            <w:r w:rsidRPr="005348B9">
              <w:rPr>
                <w:rFonts w:ascii="Calibri" w:hAnsi="Calibri" w:cs="Calibri"/>
                <w:color w:val="000000"/>
                <w:sz w:val="22"/>
                <w:szCs w:val="22"/>
                <w:lang w:val="en-US" w:eastAsia="es-EC"/>
              </w:rPr>
              <w:t>RTU_C_S_BART_DNP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24D91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A86C5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50450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75031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D84B68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5789A2" w14:textId="77777777" w:rsidR="005348B9" w:rsidRPr="005348B9" w:rsidRDefault="005348B9">
            <w:pPr>
              <w:spacing w:after="0"/>
              <w:jc w:val="left"/>
              <w:rPr>
                <w:rFonts w:ascii="Calibri" w:hAnsi="Calibri" w:cs="Calibri"/>
                <w:color w:val="000000"/>
                <w:sz w:val="22"/>
                <w:szCs w:val="22"/>
                <w:lang w:val="en-US" w:eastAsia="es-EC"/>
              </w:rPr>
            </w:pPr>
            <w:r w:rsidRPr="005348B9">
              <w:rPr>
                <w:rFonts w:ascii="Calibri" w:hAnsi="Calibri" w:cs="Calibri"/>
                <w:color w:val="000000"/>
                <w:sz w:val="22"/>
                <w:szCs w:val="22"/>
                <w:lang w:val="en-US" w:eastAsia="es-EC"/>
              </w:rPr>
              <w:t>RTU_C_S_CARL_DNP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47EA0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EA417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DE8F8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342BE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708FABE"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5C0834" w14:textId="77777777" w:rsidR="005348B9" w:rsidRPr="005348B9" w:rsidRDefault="005348B9">
            <w:pPr>
              <w:spacing w:after="0"/>
              <w:jc w:val="left"/>
              <w:rPr>
                <w:rFonts w:ascii="Calibri" w:hAnsi="Calibri" w:cs="Calibri"/>
                <w:color w:val="000000"/>
                <w:sz w:val="22"/>
                <w:szCs w:val="22"/>
                <w:lang w:val="en-US" w:eastAsia="es-EC"/>
              </w:rPr>
            </w:pPr>
            <w:r w:rsidRPr="005348B9">
              <w:rPr>
                <w:rFonts w:ascii="Calibri" w:hAnsi="Calibri" w:cs="Calibri"/>
                <w:color w:val="000000"/>
                <w:sz w:val="22"/>
                <w:szCs w:val="22"/>
                <w:lang w:val="en-US" w:eastAsia="es-EC"/>
              </w:rPr>
              <w:t>RTU_C_S_ELE2_DNP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B3899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B1F90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ABBB4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ROCKWELL</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3CEAD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D88973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8801F1" w14:textId="77777777" w:rsidR="005348B9" w:rsidRPr="005348B9" w:rsidRDefault="005348B9">
            <w:pPr>
              <w:spacing w:after="0"/>
              <w:jc w:val="left"/>
              <w:rPr>
                <w:rFonts w:ascii="Calibri" w:hAnsi="Calibri" w:cs="Calibri"/>
                <w:color w:val="000000"/>
                <w:sz w:val="22"/>
                <w:szCs w:val="22"/>
                <w:lang w:val="en-US" w:eastAsia="es-EC"/>
              </w:rPr>
            </w:pPr>
            <w:r w:rsidRPr="005348B9">
              <w:rPr>
                <w:rFonts w:ascii="Calibri" w:hAnsi="Calibri" w:cs="Calibri"/>
                <w:color w:val="000000"/>
                <w:sz w:val="22"/>
                <w:szCs w:val="22"/>
                <w:lang w:val="en-US" w:eastAsia="es-EC"/>
              </w:rPr>
              <w:t>RTU_C_S_ELE3_IEC8705101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BF803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A6E65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DF9D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A748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434A25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C1D69D9" w14:textId="77777777" w:rsidR="005348B9" w:rsidRPr="005348B9" w:rsidRDefault="005348B9">
            <w:pPr>
              <w:spacing w:after="0"/>
              <w:jc w:val="left"/>
              <w:rPr>
                <w:rFonts w:ascii="Calibri" w:hAnsi="Calibri" w:cs="Calibri"/>
                <w:color w:val="000000"/>
                <w:sz w:val="22"/>
                <w:szCs w:val="22"/>
                <w:lang w:val="en-US" w:eastAsia="es-EC"/>
              </w:rPr>
            </w:pPr>
            <w:r w:rsidRPr="005348B9">
              <w:rPr>
                <w:rFonts w:ascii="Calibri" w:hAnsi="Calibri" w:cs="Calibri"/>
                <w:color w:val="000000"/>
                <w:sz w:val="22"/>
                <w:szCs w:val="22"/>
                <w:lang w:val="en-US" w:eastAsia="es-EC"/>
              </w:rPr>
              <w:t>RTU_C_S_FRAN_IEC8705101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72A05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7F1DA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A0571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3B0B7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1E88266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44949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RTU_C_SABANI_DNP30TCPIP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0604F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F8EE2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D4AB5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BD7D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9B6EE1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35423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RTU_C_SARAPU_IEC8705104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3AE05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BC928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4E8F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E1138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8D924E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9D8F69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RTU_C_SIBIMB_DNP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780F7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F511B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B5145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D9067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662172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D694B1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RTU_C_SIGCHO_DNP30TCPIP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2B2C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408A8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10278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CA2E6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713170E"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C1E294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RTU_C_SJOSEM_DNP30TCPIP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3406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6B33B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ABF46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CD110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552546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6841F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RTU_C_SOPLAD_IEC8705101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B6637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12867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BCC8C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6FAD2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560</w:t>
            </w:r>
          </w:p>
        </w:tc>
      </w:tr>
      <w:tr w:rsidR="005348B9" w14:paraId="33C70AE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7C1BA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RTU_C_TAMBO_DNP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3EA12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B91ED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E04D5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03970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8FBC20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FAA57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w:t>
            </w:r>
            <w:proofErr w:type="gramStart"/>
            <w:r>
              <w:rPr>
                <w:rFonts w:ascii="Calibri" w:hAnsi="Calibri" w:cs="Calibri"/>
                <w:color w:val="000000"/>
                <w:sz w:val="22"/>
                <w:szCs w:val="22"/>
                <w:lang w:eastAsia="es-EC"/>
              </w:rPr>
              <w:t>TOPO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ABE7F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EE6E5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C766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27CD4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DE1C90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50B76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RTU_C_TRINIT_RP5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98D14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A2133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C8378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078E1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4FE20A4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EB4F1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RTU_C_VICTOR_DNP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451A8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16FD8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096A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541CC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7439A8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B191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RTU_C_VILLON_IEC8705101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2B76D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7A20C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47EE2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88E84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54C816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8CD3E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RTU_CARAGUAY_IEC8705101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A97BF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04832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2918C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A8A84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74A4E0A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30D00D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RTU_CHONE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E5B43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3F446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2ED8A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3AB7A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21C051B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4B561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RTU_CHONGON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3267B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C22D6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54924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7D4B5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F3BF09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A0C0F7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RTU_CHORRILL_IEC8705101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BAC36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E6A7C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BF25A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155A7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5467B2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8A235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RTU_CONCORDI_IEC8705104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7A302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4F09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DF078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30C01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2987DE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EFCC4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CUENCA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7DA23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C484E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2A530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BF07B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3C4906B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21FEA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RTU_CUMBARAT_IEC8705101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320A7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C7E5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AFAB8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53BB6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265009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94032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RTU_D_CERRIT_RP5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4908F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E9CED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B1B3A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46C0F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560</w:t>
            </w:r>
          </w:p>
        </w:tc>
      </w:tr>
      <w:tr w:rsidR="005348B9" w14:paraId="359A82F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7D4AAA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RTU_D_PERIPA_IEC8705104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A3891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CE42C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E4412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A3665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038BC1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9EB8F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RTU_DURAN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29910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AE6C9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89118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717F9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9DDCD5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9592D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RTU_EMAP    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2EB73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38926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553AD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BEC6C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0DADD94"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D1B49C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RTU_ESAPIMAM_IEC8705104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EA937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270D5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37EB1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SEL</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43CB4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4ACDFD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734EB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RTU_ESCLUSAS_IEC8705101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A03F3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A5EE4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B4119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12720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7FE6C69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71413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RTU_ESMERALD_IEC8705104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409BE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AA36D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0710C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1A817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B3A323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5E814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RTU_ESMERALD_RP5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93420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583B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E29E9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EAC2A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3EB5122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A4847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RTU_F_NORTE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7B0DC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CC030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9DFB6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C1F3D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1D0B59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86CDE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RTU_GUALACEO_IEC8705101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958E9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8C7D9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B9F2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9615D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6E29674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ED25B1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lastRenderedPageBreak/>
              <w:t>RTU_</w:t>
            </w:r>
            <w:proofErr w:type="gramStart"/>
            <w:r>
              <w:rPr>
                <w:rFonts w:ascii="Calibri" w:hAnsi="Calibri" w:cs="Calibri"/>
                <w:color w:val="000000"/>
                <w:sz w:val="22"/>
                <w:szCs w:val="22"/>
                <w:lang w:eastAsia="es-EC"/>
              </w:rPr>
              <w:t>IBARRA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FC310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F2C1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F3362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727CC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5756944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6C2D9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RTU_INCOMING_DNP30TCPIP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1CE99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3B395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13FB3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98B4A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BE9CD8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83311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RTU_INGA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FE721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6C453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A8D6F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4B257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C4926D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7E98D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RTU_INGA_500_IEC8705101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B995F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BB113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90B88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03365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832E144"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62C6A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RTU_JIV3SEIP_IEC8705104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6C3E1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96425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7B922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A2521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69B5CB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2F8C30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JIVINO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5F8FE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217ED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0CE99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69D84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A80084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141679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RTU_LA_</w:t>
            </w:r>
            <w:proofErr w:type="gramStart"/>
            <w:r>
              <w:rPr>
                <w:rFonts w:ascii="Calibri" w:hAnsi="Calibri" w:cs="Calibri"/>
                <w:color w:val="000000"/>
                <w:sz w:val="22"/>
                <w:szCs w:val="22"/>
                <w:lang w:eastAsia="es-EC"/>
              </w:rPr>
              <w:t>PAZ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2F2CC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D56E8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FD757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9093B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F1ED0C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CCA977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RTU_LIMON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21538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8E045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4A1E9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84EA5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928DFE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C3BBBD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RTU_LOJA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A2938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01989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49070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9F1D0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2B558AE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0222BE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LORETO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FC3E3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EB043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0D9C2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2C6CC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CA6936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BBF52E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RTU_MACAS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DC599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65980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85F1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8BB4D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15DF95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D7269D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RTU_MACHALA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53C55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C53DD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E3432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939F9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4E5C0BD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341D5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MENDEZ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570B3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563C8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5D96D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70C5A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A81DBF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3FCF7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RTU_MILAGRO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07BCB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DF64D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2C53F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9DE5B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2C864B8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E1828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RTU_MIRADOR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5A4EE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922BD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A9D1B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DF532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F1BC574"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0B2DC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MOLINO  _</w:t>
            </w:r>
            <w:proofErr w:type="gramEnd"/>
            <w:r>
              <w:rPr>
                <w:rFonts w:ascii="Calibri" w:hAnsi="Calibri" w:cs="Calibri"/>
                <w:color w:val="000000"/>
                <w:sz w:val="22"/>
                <w:szCs w:val="22"/>
                <w:lang w:eastAsia="es-EC"/>
              </w:rPr>
              <w:t>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E8726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78BE7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2FC32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5EACE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03DD4A7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72BB1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RTU_MOLINO_1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7F89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D4F11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31743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43533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2069356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B7E821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RTU_MOLINO_2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514B1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BA03E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33786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9EBA9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49489FB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31B44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MULALO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DD490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467D1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3A7B8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A1DA8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6596F82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2241E4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RTU_N_BABAHO_IEC8705101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AB3C4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3339A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3749F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1DF04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D21611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BBAEAC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RTU_N_PROSPE_IEC8705101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CCA7E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5164B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92863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32F65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E14107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958D9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RTU_P_</w:t>
            </w:r>
            <w:proofErr w:type="gramStart"/>
            <w:r>
              <w:rPr>
                <w:rFonts w:ascii="Calibri" w:hAnsi="Calibri" w:cs="Calibri"/>
                <w:color w:val="000000"/>
                <w:sz w:val="22"/>
                <w:szCs w:val="22"/>
                <w:lang w:eastAsia="es-EC"/>
              </w:rPr>
              <w:t>NAPO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65871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FD324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7EF0B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GE</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E4656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B441644"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C8877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RTU_PASCUALE_IEC8705101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0198B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4CEF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96DDA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C283B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527ABAA4"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17022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RTU_PEDERNAL_IEC8705104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BB392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8CB84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875D1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0AB2D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01B6D3D"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9570C2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RTU_PETROAMA_IEC8705104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7A278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4C684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4A132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CDE6C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7E565D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3A63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RTU_PIMAMP_1_IEC8705104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14650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73A6E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D81B4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9B67A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9D7E3D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680A4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RTU_PIMAMP_2_IEC8705104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37641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0880E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460BF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46CA9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0F200E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A4CA43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RTU_POLICENT_IEC8705104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44CE8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B34D1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A1023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DE947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69D0F99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18904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RTU_POMASQUI_IEC8705101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64CEA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5815F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4E600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ALSTOM</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C7674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A7AC74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04BD1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RTU_PORTOVIE_IEC8705104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D64ED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BEFF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50B60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63532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0DD7C4C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3BD82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RTU_POSORJA 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DFC5C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B24D7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5190B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2A6E5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 400</w:t>
            </w:r>
          </w:p>
        </w:tc>
      </w:tr>
      <w:tr w:rsidR="005348B9" w14:paraId="7751001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9A45FC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PUCARA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FB5E9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678B2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527D5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A0079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5F3574E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97DDF2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RTU_QUEVEDO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E5CE3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256DC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2062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E2ADE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5958824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D346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RTU_QUININDE_IEC8705101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480C4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0C28E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8A24B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AEA76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23F41A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8B3E5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RTU_RIOBAMBA_IEC8705104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E3EAF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BB0C7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DAAE6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61E94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21D9CA0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FC67CF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RTU_S_DOMING_IEC8705101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B596C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672CB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2B0DB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BA304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0F883E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B27A8D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RTU_S_DOMING_IEC8705104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85DC9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6D1A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A235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F7BC1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F10EDC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8E9B10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RTU_S_ELENA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3A220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384C5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D6AC9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A7A27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1F19DA9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7E9B6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RTU_S_GREGOR_IEC8705101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1C630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11097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A5245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6F54E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0AB898C"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DE3D28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RTU_S_IDELFO_IEC8705104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10990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CB716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CAE17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38C35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15A6CB3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C893B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RTU_S_JMANTA_IEC8705104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D7440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5A4A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7DC03D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8D815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D4B3FA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CE6E8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RTU_S_RAFAEL_IEC8705101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72BBF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A279F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2D637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4D1C8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1222C12"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AD5CBC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RTU_S_</w:t>
            </w:r>
            <w:proofErr w:type="gramStart"/>
            <w:r>
              <w:rPr>
                <w:rFonts w:ascii="Calibri" w:hAnsi="Calibri" w:cs="Calibri"/>
                <w:color w:val="000000"/>
                <w:sz w:val="22"/>
                <w:szCs w:val="22"/>
                <w:lang w:eastAsia="es-EC"/>
              </w:rPr>
              <w:t>ROSA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F655A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4187E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08137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DEC46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0F83B33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70150E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lastRenderedPageBreak/>
              <w:t>RTU_SALITRAL_IEC8705101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8AA29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8D327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D5139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5D9E0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3B09E21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A7FA59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RTU_SHUSHUFI_IEC8705104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01674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E4EB0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1A827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0C6EF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7442EF7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3400A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RTU_SININCAY_IEC8705101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08B34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D334C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9CFC7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8EBF0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r w:rsidR="005348B9" w14:paraId="47B133BE"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E9A18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RTU_TADAY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E707F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2990F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AAD50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BA649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1E46E86B"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1ADFC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RTU_TBOX    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07DAB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5F71D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9EC4C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F0F7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C15F5B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4F026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RTU_TBOX2   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1BDF5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54EA9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B8B42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E3AAA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2B17E5B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80913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RTU_TBOX3   _DNP30TCPIP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4F26F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95EE7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E9982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7E087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FE53ED7"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D5976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RTU_TERMOESM_DNP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1EC53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8033D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523BF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D4343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C3B199E"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A86B6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RTU_TERMOPIC_DNP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2E7D6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8DD0D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912AE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TBOX</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27001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1C970D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252A32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RTU_TEST_LAB_DNP</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4915F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DB4FB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DNP 3.0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8DC37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28FCD7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D4A585A"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7FBE86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RTU_TEST_LAB_IEC8705101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0FF65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6A143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95523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7F436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54C618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82C77E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RTU_TEST_LAB_RP5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00682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A78EF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24261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D63F6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C50C87E"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479BC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RTU_TGMA_COR_RP5</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30835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2BEDF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RP570</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55B1A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ABB</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8DADC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COM 500</w:t>
            </w:r>
          </w:p>
        </w:tc>
      </w:tr>
      <w:tr w:rsidR="005348B9" w14:paraId="1BD9CB98"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2866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RTU_TISALEO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FB0A4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C60B8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B5FE3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E5397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4DBF3AF"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643F6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RTU_TOPO    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E0A98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D3B35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933B7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5DF71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372F6431"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20565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RTU_TOTORAS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9E2D2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37760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B6E4B9"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71575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612E7B8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23744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RTU_TOTORAS2_IEC8705104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2FD44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EE980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4A48C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D637FC"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7A701E3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46316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RTU_TRINITAR_IEC8705104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E309B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F7EF7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AAA77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E71DD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7B1BE013"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42FEE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TULCAN  _</w:t>
            </w:r>
            <w:proofErr w:type="gramEnd"/>
            <w:r>
              <w:rPr>
                <w:rFonts w:ascii="Calibri" w:hAnsi="Calibri" w:cs="Calibri"/>
                <w:color w:val="000000"/>
                <w:sz w:val="22"/>
                <w:szCs w:val="22"/>
                <w:lang w:eastAsia="es-EC"/>
              </w:rPr>
              <w:t>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3A2B0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90909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07D8C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NR</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14480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PCS 9799</w:t>
            </w:r>
          </w:p>
        </w:tc>
      </w:tr>
      <w:tr w:rsidR="005348B9" w14:paraId="715E8090"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70273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RTU_UCHUCAY 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9C9164"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82764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00708A"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EA237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01C65E46"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76FE56"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RTU_VILLONAC_IEC8705104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0803FB"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TCP</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8D8CC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5 104</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5D700D"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NOVATECH</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A07572"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423DD7D9"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1B5E53"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RTU_YANACOCH_IEC8705101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FE6727"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C81B35"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C8AA8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41E011"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 </w:t>
            </w:r>
          </w:p>
        </w:tc>
      </w:tr>
      <w:tr w:rsidR="005348B9" w14:paraId="521D4365" w14:textId="77777777" w:rsidTr="005348B9">
        <w:trPr>
          <w:trHeight w:val="288"/>
          <w:jc w:val="center"/>
        </w:trPr>
        <w:tc>
          <w:tcPr>
            <w:tcW w:w="30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8E7A5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RTU_</w:t>
            </w:r>
            <w:proofErr w:type="gramStart"/>
            <w:r>
              <w:rPr>
                <w:rFonts w:ascii="Calibri" w:hAnsi="Calibri" w:cs="Calibri"/>
                <w:color w:val="000000"/>
                <w:sz w:val="22"/>
                <w:szCs w:val="22"/>
                <w:lang w:eastAsia="es-EC"/>
              </w:rPr>
              <w:t>ZHORAY  _</w:t>
            </w:r>
            <w:proofErr w:type="gramEnd"/>
            <w:r>
              <w:rPr>
                <w:rFonts w:ascii="Calibri" w:hAnsi="Calibri" w:cs="Calibri"/>
                <w:color w:val="000000"/>
                <w:sz w:val="22"/>
                <w:szCs w:val="22"/>
                <w:lang w:eastAsia="es-EC"/>
              </w:rPr>
              <w:t>IEC8705101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F86BFE"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Serial</w:t>
            </w:r>
          </w:p>
        </w:tc>
        <w:tc>
          <w:tcPr>
            <w:tcW w:w="16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53C9EF"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IEC 870 5 101</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76CDC8"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SIEMENS</w:t>
            </w:r>
          </w:p>
        </w:tc>
        <w:tc>
          <w:tcPr>
            <w:tcW w:w="12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C16A70" w14:textId="77777777" w:rsidR="005348B9" w:rsidRDefault="005348B9">
            <w:pPr>
              <w:spacing w:after="0"/>
              <w:jc w:val="left"/>
              <w:rPr>
                <w:rFonts w:ascii="Calibri" w:hAnsi="Calibri" w:cs="Calibri"/>
                <w:color w:val="000000"/>
                <w:sz w:val="22"/>
                <w:szCs w:val="22"/>
                <w:lang w:eastAsia="es-EC"/>
              </w:rPr>
            </w:pPr>
            <w:r>
              <w:rPr>
                <w:rFonts w:ascii="Calibri" w:hAnsi="Calibri" w:cs="Calibri"/>
                <w:color w:val="000000"/>
                <w:sz w:val="22"/>
                <w:szCs w:val="22"/>
                <w:lang w:eastAsia="es-EC"/>
              </w:rPr>
              <w:t>SICAM PAS</w:t>
            </w:r>
          </w:p>
        </w:tc>
      </w:tr>
    </w:tbl>
    <w:p w14:paraId="50A979EF" w14:textId="77777777" w:rsidR="009102A7" w:rsidRPr="00576AF8" w:rsidRDefault="009102A7" w:rsidP="005348B9">
      <w:pPr>
        <w:spacing w:after="0"/>
        <w:rPr>
          <w:color w:val="000000"/>
          <w:sz w:val="22"/>
          <w:szCs w:val="22"/>
          <w:lang w:val="es-EC" w:eastAsia="es-EC" w:bidi="ar-SA"/>
        </w:rPr>
      </w:pPr>
    </w:p>
    <w:p w14:paraId="6AB30ADE" w14:textId="77777777" w:rsidR="009102A7" w:rsidRPr="00576AF8" w:rsidRDefault="009102A7" w:rsidP="009102A7">
      <w:pPr>
        <w:spacing w:before="120"/>
        <w:jc w:val="center"/>
        <w:rPr>
          <w:b/>
          <w:color w:val="000000"/>
          <w:sz w:val="22"/>
          <w:szCs w:val="22"/>
          <w:lang w:val="es-EC" w:eastAsia="es-EC" w:bidi="ar-SA"/>
        </w:rPr>
      </w:pPr>
      <w:r w:rsidRPr="00576AF8">
        <w:rPr>
          <w:b/>
          <w:sz w:val="22"/>
          <w:szCs w:val="22"/>
        </w:rPr>
        <w:t xml:space="preserve">Tabla </w:t>
      </w:r>
      <w:r w:rsidR="00467979" w:rsidRPr="00576AF8">
        <w:rPr>
          <w:b/>
          <w:sz w:val="22"/>
          <w:szCs w:val="22"/>
        </w:rPr>
        <w:t>7</w:t>
      </w:r>
      <w:r w:rsidRPr="00576AF8">
        <w:rPr>
          <w:b/>
          <w:sz w:val="22"/>
          <w:szCs w:val="22"/>
        </w:rPr>
        <w:t>. RTU integradas en el SCADA/EMS del CENACE</w:t>
      </w:r>
    </w:p>
    <w:bookmarkEnd w:id="826"/>
    <w:bookmarkEnd w:id="827"/>
    <w:bookmarkEnd w:id="828"/>
    <w:p w14:paraId="71B4D564" w14:textId="77777777" w:rsidR="009102A7" w:rsidRPr="00576AF8" w:rsidRDefault="009102A7" w:rsidP="009102A7">
      <w:pPr>
        <w:suppressAutoHyphens w:val="0"/>
        <w:spacing w:after="0"/>
        <w:rPr>
          <w:color w:val="000000"/>
          <w:sz w:val="22"/>
          <w:szCs w:val="22"/>
          <w:lang w:val="es-EC" w:eastAsia="es-EC" w:bidi="ar-SA"/>
        </w:rPr>
      </w:pPr>
    </w:p>
    <w:p w14:paraId="416B4900" w14:textId="77777777" w:rsidR="009102A7" w:rsidRPr="00576AF8" w:rsidRDefault="009102A7" w:rsidP="009102A7">
      <w:pPr>
        <w:ind w:left="720" w:firstLine="696"/>
        <w:jc w:val="left"/>
        <w:outlineLvl w:val="2"/>
        <w:rPr>
          <w:b/>
          <w:sz w:val="22"/>
          <w:szCs w:val="22"/>
        </w:rPr>
      </w:pPr>
      <w:bookmarkStart w:id="829" w:name="_Toc160268954"/>
      <w:r w:rsidRPr="00576AF8">
        <w:rPr>
          <w:b/>
          <w:sz w:val="22"/>
          <w:szCs w:val="22"/>
        </w:rPr>
        <w:t>2.1.1.1.3 INTERFACES CON SISTEMAS EXTERNOS</w:t>
      </w:r>
      <w:bookmarkEnd w:id="829"/>
    </w:p>
    <w:p w14:paraId="4BDC5F97" w14:textId="77777777" w:rsidR="009102A7" w:rsidRPr="00576AF8" w:rsidRDefault="009102A7" w:rsidP="009102A7">
      <w:pPr>
        <w:suppressAutoHyphens w:val="0"/>
        <w:spacing w:after="0"/>
        <w:ind w:left="1843"/>
        <w:contextualSpacing/>
        <w:rPr>
          <w:color w:val="000000"/>
          <w:sz w:val="22"/>
          <w:szCs w:val="22"/>
          <w:lang w:val="es-EC" w:eastAsia="es-EC" w:bidi="ar-SA"/>
        </w:rPr>
      </w:pPr>
      <w:bookmarkStart w:id="830" w:name="_Toc160268955"/>
      <w:bookmarkStart w:id="831" w:name="_Toc160455977"/>
    </w:p>
    <w:p w14:paraId="604BEE7B" w14:textId="77777777" w:rsidR="009102A7" w:rsidRPr="00576AF8" w:rsidRDefault="009102A7" w:rsidP="009102A7">
      <w:pPr>
        <w:ind w:left="720" w:firstLine="696"/>
        <w:jc w:val="left"/>
        <w:outlineLvl w:val="2"/>
        <w:rPr>
          <w:sz w:val="22"/>
          <w:szCs w:val="22"/>
        </w:rPr>
      </w:pPr>
      <w:r w:rsidRPr="00576AF8">
        <w:rPr>
          <w:b/>
          <w:sz w:val="22"/>
          <w:szCs w:val="22"/>
        </w:rPr>
        <w:t>2.1.1.1.3.1 Comunicación con Otros Centros de Control</w:t>
      </w:r>
      <w:bookmarkEnd w:id="830"/>
      <w:bookmarkEnd w:id="831"/>
    </w:p>
    <w:p w14:paraId="5C08E196" w14:textId="77777777" w:rsidR="009102A7" w:rsidRPr="00576AF8" w:rsidRDefault="009102A7" w:rsidP="009102A7">
      <w:pPr>
        <w:ind w:left="1416" w:right="41"/>
        <w:rPr>
          <w:b/>
          <w:sz w:val="22"/>
          <w:szCs w:val="22"/>
        </w:rPr>
      </w:pPr>
      <w:r w:rsidRPr="00576AF8">
        <w:rPr>
          <w:color w:val="000000"/>
          <w:sz w:val="22"/>
          <w:szCs w:val="22"/>
          <w:lang w:val="es-EC" w:eastAsia="es-EC" w:bidi="ar-SA"/>
        </w:rPr>
        <w:t>Actualmente el CENACE tiene en funcionamiento los siguientes enlaces mediante el protocolo ICCP (Tase 2) con operadores de sistema (OS), empresas de generación, transmisión y distribución, y conexión con otros sistemas internos:</w:t>
      </w:r>
    </w:p>
    <w:p w14:paraId="5BC32FD3"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Operador del Sistema XM de Colombia</w:t>
      </w:r>
    </w:p>
    <w:p w14:paraId="6A0EA6EA"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CELEC EP - HIDROPAUTE</w:t>
      </w:r>
    </w:p>
    <w:p w14:paraId="4F26431D"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CELEC EP – TRANSELECTRIC</w:t>
      </w:r>
    </w:p>
    <w:p w14:paraId="09E97CCA"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CELEC EP – TERMOMANABÍ</w:t>
      </w:r>
    </w:p>
    <w:p w14:paraId="5D650F46"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CELEC EP – TERMOGAS MACHALA</w:t>
      </w:r>
    </w:p>
    <w:p w14:paraId="0907CB9F"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CELEC EP – HIDRONACIÓN</w:t>
      </w:r>
    </w:p>
    <w:p w14:paraId="0B1B486A"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CNEL GUAYAQUIL</w:t>
      </w:r>
    </w:p>
    <w:p w14:paraId="30B5C015"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CNEL SANTO DOMINGO</w:t>
      </w:r>
    </w:p>
    <w:p w14:paraId="4796BA99"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ELECAUSTRO</w:t>
      </w:r>
    </w:p>
    <w:p w14:paraId="7C8158AB"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CENTRO DE CONTROL NACIONAL DE DISTRIBUCIÓN CCND</w:t>
      </w:r>
    </w:p>
    <w:p w14:paraId="09339734" w14:textId="46E78F5A" w:rsidR="009102A7"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Sistema SPS</w:t>
      </w:r>
    </w:p>
    <w:p w14:paraId="3C73494F" w14:textId="5FFAF450" w:rsidR="009D79BF" w:rsidRPr="00576AF8" w:rsidRDefault="009D79BF" w:rsidP="009102A7">
      <w:pPr>
        <w:numPr>
          <w:ilvl w:val="0"/>
          <w:numId w:val="300"/>
        </w:numPr>
        <w:suppressAutoHyphens w:val="0"/>
        <w:spacing w:before="120" w:after="0"/>
        <w:textAlignment w:val="baseline"/>
        <w:rPr>
          <w:color w:val="000000"/>
          <w:sz w:val="22"/>
          <w:szCs w:val="22"/>
          <w:lang w:val="es-EC" w:eastAsia="es-EC" w:bidi="ar-SA"/>
        </w:rPr>
      </w:pPr>
      <w:r>
        <w:rPr>
          <w:color w:val="000000"/>
          <w:sz w:val="22"/>
          <w:szCs w:val="22"/>
          <w:lang w:val="es-EC" w:eastAsia="es-EC" w:bidi="ar-SA"/>
        </w:rPr>
        <w:t>Sistema WAMS</w:t>
      </w:r>
    </w:p>
    <w:p w14:paraId="1B3C5BC4" w14:textId="77777777" w:rsidR="009102A7" w:rsidRPr="00576AF8" w:rsidRDefault="009102A7" w:rsidP="009102A7">
      <w:pPr>
        <w:numPr>
          <w:ilvl w:val="0"/>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PETROECUADOR EP</w:t>
      </w:r>
    </w:p>
    <w:p w14:paraId="759938AE" w14:textId="77777777" w:rsidR="009102A7" w:rsidRPr="00576AF8" w:rsidRDefault="009102A7" w:rsidP="009102A7">
      <w:pPr>
        <w:suppressAutoHyphens w:val="0"/>
        <w:spacing w:before="120" w:after="0"/>
        <w:textAlignment w:val="baseline"/>
        <w:rPr>
          <w:color w:val="000000"/>
          <w:sz w:val="22"/>
          <w:szCs w:val="22"/>
          <w:lang w:val="es-EC" w:eastAsia="es-EC" w:bidi="ar-SA"/>
        </w:rPr>
      </w:pPr>
    </w:p>
    <w:p w14:paraId="12205A2F"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La comunicación con otros Centros de Control se realizará mediante el uso de enlaces ICCP o IEC 60870-6/TASE.2, para habilitar los requerimientos de datos remotos de Centros de Control Locales y Externos en el contexto de CENACE como Operador y Coordinador del Mercado Regional MAERCP. </w:t>
      </w:r>
    </w:p>
    <w:p w14:paraId="7E3070FF"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Se deberán cumplir los siguientes requerimientos:</w:t>
      </w:r>
    </w:p>
    <w:p w14:paraId="236BE21F"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Servidores redundantes instalados en la zona de comunicaciones externas.  Referirse al diagrama de arquitectura</w:t>
      </w:r>
    </w:p>
    <w:p w14:paraId="7CCE7FEC"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Estos servidores serán instalados en el Centro de Control de CENACE</w:t>
      </w:r>
    </w:p>
    <w:p w14:paraId="190E7793"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 xml:space="preserve">Los </w:t>
      </w:r>
      <w:r w:rsidR="00974D91" w:rsidRPr="00576AF8">
        <w:rPr>
          <w:color w:val="000000"/>
          <w:sz w:val="22"/>
          <w:szCs w:val="22"/>
          <w:lang w:val="es-EC" w:eastAsia="es-EC" w:bidi="ar-SA"/>
        </w:rPr>
        <w:t xml:space="preserve">entornos </w:t>
      </w:r>
      <w:r w:rsidRPr="00576AF8">
        <w:rPr>
          <w:color w:val="000000"/>
          <w:sz w:val="22"/>
          <w:szCs w:val="22"/>
          <w:lang w:val="es-EC" w:eastAsia="es-EC" w:bidi="ar-SA"/>
        </w:rPr>
        <w:t>QAS y PDS tendrán un servidor ICCP no redundante que podrán ser compartidos con el front end de RTU.</w:t>
      </w:r>
    </w:p>
    <w:p w14:paraId="5B0DF92C"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Capacidad para al menos 30 enlaces con múltiples asociaciones.</w:t>
      </w:r>
    </w:p>
    <w:p w14:paraId="421D04B8"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Soportar las versiones 1996.8 y 2000.8</w:t>
      </w:r>
    </w:p>
    <w:p w14:paraId="6E4AEAB8"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Soportar múltiples enlaces y asociaciones</w:t>
      </w:r>
    </w:p>
    <w:p w14:paraId="4B1B99EB"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Soportar asociaciones simples o duales</w:t>
      </w:r>
    </w:p>
    <w:p w14:paraId="7CEC969F"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Soportar al menos los bloques de conformidad 1,2, 4 y 5</w:t>
      </w:r>
    </w:p>
    <w:p w14:paraId="1B5B5231"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Las etiquetas del protocolo deben estar completamente mapeadas a las etiquetas del SCADA.</w:t>
      </w:r>
    </w:p>
    <w:p w14:paraId="196CE22B"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El sistema permitirá el mapeo de los estados de puntos digitales, escalamiento de mediciones y adición de constantes.</w:t>
      </w:r>
    </w:p>
    <w:p w14:paraId="012D403A"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 xml:space="preserve">Permitir la configuración de enlaces seguros mediante el uso de certificados digitales X.509 para la autenticación mutua y cifrado. Dicho certificado digital podrá ser </w:t>
      </w:r>
      <w:r w:rsidRPr="00576AF8">
        <w:t>auto firmado por una entidad de certificación local o habilitado por una entidad externa por un periodo de validez hasta la finalización de la garantía.</w:t>
      </w:r>
    </w:p>
    <w:p w14:paraId="400591D0"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Proveer herramientas para el análisis del tráfico y estadísticas.</w:t>
      </w:r>
    </w:p>
    <w:p w14:paraId="30B7C0DD"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El SCADA/EMS proporcionará al usuario los despliegues para la visualización y control de los enlaces:</w:t>
      </w:r>
    </w:p>
    <w:p w14:paraId="146EBD99"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Estado de los servidores</w:t>
      </w:r>
    </w:p>
    <w:p w14:paraId="776C4BDA"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Habilitación/Deshabilitación de cada enlace</w:t>
      </w:r>
    </w:p>
    <w:p w14:paraId="10A6F005"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Lista de Enlaces Físicos</w:t>
      </w:r>
    </w:p>
    <w:p w14:paraId="6F52B32D"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Lista de Asociaciones</w:t>
      </w:r>
    </w:p>
    <w:p w14:paraId="52B0AA80"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Lista de Datasets con fechas de último y siguiente reporte</w:t>
      </w:r>
    </w:p>
    <w:p w14:paraId="5E89D2BB"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Lista de puntos con sus valores, calidades y estampas de tiempo recibidos</w:t>
      </w:r>
    </w:p>
    <w:p w14:paraId="68662ECA" w14:textId="77777777" w:rsidR="009102A7" w:rsidRPr="00576AF8" w:rsidRDefault="009102A7" w:rsidP="009102A7">
      <w:pPr>
        <w:numPr>
          <w:ilvl w:val="1"/>
          <w:numId w:val="300"/>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lastRenderedPageBreak/>
        <w:t>Lista de puntos inexistentes del lado de CENACE solicitados por el sitio remoto y viceversa.</w:t>
      </w:r>
    </w:p>
    <w:p w14:paraId="331DF9F0" w14:textId="77777777" w:rsidR="009102A7" w:rsidRPr="00576AF8" w:rsidRDefault="009102A7" w:rsidP="009102A7">
      <w:pPr>
        <w:numPr>
          <w:ilvl w:val="1"/>
          <w:numId w:val="300"/>
        </w:numPr>
        <w:suppressAutoHyphens w:val="0"/>
        <w:spacing w:before="120" w:after="0"/>
        <w:textAlignment w:val="baseline"/>
        <w:rPr>
          <w:color w:val="000000"/>
          <w:sz w:val="22"/>
          <w:szCs w:val="22"/>
        </w:rPr>
      </w:pPr>
      <w:r w:rsidRPr="00576AF8">
        <w:rPr>
          <w:color w:val="000000"/>
          <w:sz w:val="22"/>
          <w:szCs w:val="22"/>
          <w:lang w:val="es-EC" w:eastAsia="es-EC" w:bidi="ar-SA"/>
        </w:rPr>
        <w:t>Estadísticas con función de reinicio</w:t>
      </w:r>
      <w:r w:rsidRPr="00576AF8">
        <w:rPr>
          <w:color w:val="000000"/>
          <w:sz w:val="22"/>
          <w:szCs w:val="22"/>
        </w:rPr>
        <w:t>.</w:t>
      </w:r>
    </w:p>
    <w:p w14:paraId="200A3E03" w14:textId="77777777" w:rsidR="009102A7" w:rsidRPr="00576AF8" w:rsidRDefault="009102A7" w:rsidP="009102A7">
      <w:pPr>
        <w:numPr>
          <w:ilvl w:val="0"/>
          <w:numId w:val="266"/>
        </w:numPr>
        <w:suppressAutoHyphens w:val="0"/>
        <w:spacing w:before="120" w:after="0"/>
        <w:textAlignment w:val="baseline"/>
        <w:rPr>
          <w:color w:val="000000"/>
          <w:sz w:val="22"/>
          <w:szCs w:val="22"/>
          <w:lang w:val="es-EC" w:eastAsia="es-EC" w:bidi="ar-SA"/>
        </w:rPr>
      </w:pPr>
      <w:r w:rsidRPr="00576AF8">
        <w:rPr>
          <w:color w:val="000000"/>
          <w:sz w:val="22"/>
          <w:szCs w:val="22"/>
          <w:lang w:val="es-EC" w:eastAsia="es-EC" w:bidi="ar-SA"/>
        </w:rPr>
        <w:t>La herramienta de ingeniería de datos proporcionará formularios simples para la definición de los servidores, enlaces, asociaciones y cualquier otro elemento necesario para completar la lista de puntos a intercambiar, según el acuerdo bilateral entre cada una de las partes interconectadas.</w:t>
      </w:r>
    </w:p>
    <w:p w14:paraId="43F9BA0E" w14:textId="77777777" w:rsidR="009102A7" w:rsidRPr="00576AF8" w:rsidRDefault="009102A7" w:rsidP="009102A7">
      <w:pPr>
        <w:suppressAutoHyphens w:val="0"/>
        <w:spacing w:before="120" w:after="0"/>
        <w:ind w:left="3192"/>
        <w:textAlignment w:val="baseline"/>
        <w:rPr>
          <w:color w:val="000000"/>
          <w:sz w:val="22"/>
          <w:szCs w:val="22"/>
          <w:lang w:val="es-EC" w:eastAsia="es-EC" w:bidi="ar-SA"/>
        </w:rPr>
      </w:pPr>
    </w:p>
    <w:p w14:paraId="5E637111" w14:textId="77777777" w:rsidR="009102A7" w:rsidRPr="00576AF8" w:rsidRDefault="009102A7" w:rsidP="009102A7">
      <w:pPr>
        <w:ind w:left="720" w:firstLine="696"/>
        <w:jc w:val="left"/>
        <w:outlineLvl w:val="2"/>
        <w:rPr>
          <w:sz w:val="22"/>
          <w:szCs w:val="22"/>
        </w:rPr>
      </w:pPr>
      <w:bookmarkStart w:id="832" w:name="_Toc160268956"/>
      <w:bookmarkStart w:id="833" w:name="_Toc160455978"/>
      <w:r w:rsidRPr="00576AF8">
        <w:rPr>
          <w:b/>
          <w:sz w:val="22"/>
          <w:szCs w:val="22"/>
        </w:rPr>
        <w:t>2.1.1.1.3.2 Comunicación con Otros Sistemas Externos de CENACE</w:t>
      </w:r>
      <w:bookmarkEnd w:id="832"/>
      <w:bookmarkEnd w:id="833"/>
    </w:p>
    <w:p w14:paraId="27F58C0B" w14:textId="77777777" w:rsidR="009102A7" w:rsidRPr="00576AF8" w:rsidRDefault="009102A7" w:rsidP="009102A7">
      <w:pPr>
        <w:suppressAutoHyphens w:val="0"/>
        <w:spacing w:after="0"/>
        <w:ind w:left="708" w:firstLine="708"/>
        <w:rPr>
          <w:b/>
          <w:color w:val="000000"/>
          <w:sz w:val="22"/>
          <w:szCs w:val="22"/>
          <w:lang w:val="es-EC" w:eastAsia="es-EC" w:bidi="ar-SA"/>
        </w:rPr>
      </w:pPr>
    </w:p>
    <w:p w14:paraId="120A46EF" w14:textId="77777777" w:rsidR="009102A7" w:rsidRPr="00576AF8" w:rsidRDefault="009102A7" w:rsidP="009102A7">
      <w:pPr>
        <w:suppressAutoHyphens w:val="0"/>
        <w:spacing w:after="0"/>
        <w:ind w:left="1428"/>
        <w:contextualSpacing/>
        <w:rPr>
          <w:color w:val="000000"/>
          <w:sz w:val="22"/>
          <w:szCs w:val="22"/>
          <w:lang w:val="es-EC" w:eastAsia="es-EC" w:bidi="ar-SA"/>
        </w:rPr>
      </w:pPr>
      <w:r w:rsidRPr="00576AF8">
        <w:rPr>
          <w:color w:val="000000"/>
          <w:sz w:val="22"/>
          <w:szCs w:val="22"/>
          <w:lang w:val="es-EC" w:eastAsia="es-EC" w:bidi="ar-SA"/>
        </w:rPr>
        <w:t xml:space="preserve">Como se describió anteriormente, el CENACE tiene varios sistemas externos que se integran con el SCADA/EMS actual. El CENACE requiere mantener operativas las interfaces existentes en el actual SCADA/EMS con sistemas externos, el mecanismo de estas interfaces debe ser compatible con el mecanismo utilizado al momento para las mismas a fin de no requerir modificaciones en el lado de los sistemas externos. </w:t>
      </w:r>
    </w:p>
    <w:p w14:paraId="2F4FF67F" w14:textId="77777777" w:rsidR="009102A7" w:rsidRPr="00576AF8" w:rsidRDefault="009102A7" w:rsidP="009102A7">
      <w:pPr>
        <w:suppressAutoHyphens w:val="0"/>
        <w:spacing w:after="0"/>
        <w:ind w:left="1428"/>
        <w:contextualSpacing/>
        <w:rPr>
          <w:color w:val="000000"/>
          <w:sz w:val="22"/>
          <w:szCs w:val="22"/>
          <w:lang w:val="es-EC" w:eastAsia="es-EC" w:bidi="ar-SA"/>
        </w:rPr>
      </w:pPr>
      <w:r w:rsidRPr="00576AF8">
        <w:rPr>
          <w:color w:val="000000"/>
          <w:sz w:val="22"/>
          <w:szCs w:val="22"/>
          <w:lang w:val="es-EC" w:eastAsia="es-EC" w:bidi="ar-SA"/>
        </w:rPr>
        <w:t>Adicionalmente, CENACE requiere que el nuevo sistema propuesto por el proveedor disponga de servicios Web y otros servicios adicionales que se enumeran a continuación para la gestión de la información con otros sistemas:</w:t>
      </w:r>
    </w:p>
    <w:p w14:paraId="29B03E67" w14:textId="77777777" w:rsidR="009102A7" w:rsidRPr="00576AF8" w:rsidRDefault="009102A7" w:rsidP="009102A7">
      <w:pPr>
        <w:numPr>
          <w:ilvl w:val="0"/>
          <w:numId w:val="175"/>
        </w:numPr>
        <w:suppressAutoHyphens w:val="0"/>
        <w:spacing w:before="120" w:after="0"/>
        <w:textAlignment w:val="baseline"/>
        <w:rPr>
          <w:color w:val="000000"/>
          <w:sz w:val="22"/>
          <w:szCs w:val="22"/>
          <w:lang w:val="es-EC" w:eastAsia="es-EC" w:bidi="ar-SA"/>
        </w:rPr>
      </w:pPr>
      <w:r w:rsidRPr="00576AF8">
        <w:rPr>
          <w:color w:val="000000"/>
          <w:sz w:val="22"/>
          <w:szCs w:val="22"/>
          <w:u w:val="single"/>
          <w:lang w:val="es-EC" w:eastAsia="es-EC" w:bidi="ar-SA"/>
        </w:rPr>
        <w:t>Bus de Servicios Empresariales</w:t>
      </w:r>
      <w:r w:rsidRPr="00576AF8">
        <w:rPr>
          <w:color w:val="000000"/>
          <w:sz w:val="22"/>
          <w:szCs w:val="22"/>
          <w:lang w:val="es-EC" w:eastAsia="es-EC" w:bidi="ar-SA"/>
        </w:rPr>
        <w:t>: Mediante esta aplicación, el proveedor ofrecerá servicios para el intercambio de información entre el SCADA/EMS y la red empresarial del CENACE a través de servicios web (web services). </w:t>
      </w:r>
    </w:p>
    <w:p w14:paraId="6956CE35" w14:textId="77777777" w:rsidR="009102A7" w:rsidRPr="00576AF8" w:rsidRDefault="009102A7" w:rsidP="009102A7">
      <w:pPr>
        <w:numPr>
          <w:ilvl w:val="0"/>
          <w:numId w:val="175"/>
        </w:numPr>
        <w:suppressAutoHyphens w:val="0"/>
        <w:spacing w:before="120" w:after="0"/>
        <w:textAlignment w:val="baseline"/>
        <w:rPr>
          <w:color w:val="000000"/>
          <w:sz w:val="22"/>
          <w:szCs w:val="22"/>
          <w:lang w:val="es-EC" w:eastAsia="es-EC" w:bidi="ar-SA"/>
        </w:rPr>
      </w:pPr>
      <w:r w:rsidRPr="00576AF8">
        <w:rPr>
          <w:color w:val="000000"/>
          <w:sz w:val="22"/>
          <w:szCs w:val="22"/>
          <w:u w:val="single"/>
          <w:lang w:val="es-EC" w:eastAsia="es-EC" w:bidi="ar-SA"/>
        </w:rPr>
        <w:t>Proxy:</w:t>
      </w:r>
      <w:r w:rsidRPr="00576AF8">
        <w:rPr>
          <w:color w:val="000000"/>
          <w:sz w:val="22"/>
          <w:szCs w:val="22"/>
          <w:lang w:val="es-EC" w:eastAsia="es-EC" w:bidi="ar-SA"/>
        </w:rPr>
        <w:t xml:space="preserve"> Se incluirá un servidor proxy con el propósito de incrementar la seguridad en el acceso bajo demanda, desde el sistema SCADA/EMS hacia la información descargada, a través del internet para realizar las consultas a servicios de mapas, pronósticos, entre otros.</w:t>
      </w:r>
    </w:p>
    <w:p w14:paraId="4231AA76" w14:textId="77777777" w:rsidR="009102A7" w:rsidRPr="00576AF8" w:rsidRDefault="009102A7" w:rsidP="009102A7">
      <w:pPr>
        <w:numPr>
          <w:ilvl w:val="0"/>
          <w:numId w:val="175"/>
        </w:numPr>
        <w:suppressAutoHyphens w:val="0"/>
        <w:spacing w:before="120" w:after="0"/>
        <w:textAlignment w:val="baseline"/>
        <w:rPr>
          <w:color w:val="000000"/>
          <w:sz w:val="22"/>
          <w:szCs w:val="22"/>
          <w:lang w:val="es-EC" w:eastAsia="es-EC" w:bidi="ar-SA"/>
        </w:rPr>
      </w:pPr>
      <w:r w:rsidRPr="00576AF8">
        <w:rPr>
          <w:color w:val="000000"/>
          <w:sz w:val="22"/>
          <w:szCs w:val="22"/>
          <w:u w:val="single"/>
          <w:lang w:val="es-EC" w:eastAsia="es-EC" w:bidi="ar-SA"/>
        </w:rPr>
        <w:t>Servidor de Interfaces y OPC UA:</w:t>
      </w:r>
      <w:r w:rsidRPr="00576AF8">
        <w:rPr>
          <w:color w:val="000000"/>
          <w:sz w:val="22"/>
          <w:szCs w:val="22"/>
          <w:lang w:val="es-EC" w:eastAsia="es-EC" w:bidi="ar-SA"/>
        </w:rPr>
        <w:t xml:space="preserve"> Este servidor incluirá un servidor OPC UA con acceso en modo lectura, tanto a la base de datos en tiempo real del sistema de réplica como a la base de datos de tiempo real del servidor OTS. Lo anterior, con la finalidad de utilizar esta información como entrada de datos a sistemas de simulación dinámica u otros sistemas con fines de estudio ubicados en la red corporativa.</w:t>
      </w:r>
    </w:p>
    <w:p w14:paraId="0665373B" w14:textId="77777777" w:rsidR="009102A7" w:rsidRPr="00576AF8" w:rsidRDefault="009102A7" w:rsidP="009102A7">
      <w:pPr>
        <w:suppressAutoHyphens w:val="0"/>
        <w:spacing w:after="0"/>
        <w:ind w:left="1418"/>
        <w:contextualSpacing/>
        <w:rPr>
          <w:color w:val="000000"/>
          <w:sz w:val="22"/>
          <w:szCs w:val="22"/>
          <w:lang w:val="es-EC" w:eastAsia="es-EC" w:bidi="ar-SA"/>
        </w:rPr>
      </w:pPr>
    </w:p>
    <w:p w14:paraId="7404750C"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En los casos en los que los sistemas externos de CENACE no estén disponibles para la implementación de las interfaces con el SCADA/EMS, el Proveedor deberá configurar, probar y documentar mediante un procedimiento, al menos una interfaz piloto de cada uno de estos tipos de interfaz con un ambiente de pruebas provisto por CENACE.</w:t>
      </w:r>
    </w:p>
    <w:p w14:paraId="6A0B4A6A" w14:textId="77777777" w:rsidR="009102A7" w:rsidRPr="00576AF8" w:rsidRDefault="009102A7" w:rsidP="009102A7">
      <w:pPr>
        <w:suppressAutoHyphens w:val="0"/>
        <w:spacing w:after="0"/>
        <w:ind w:left="1560"/>
        <w:contextualSpacing/>
        <w:rPr>
          <w:color w:val="000000"/>
          <w:sz w:val="22"/>
          <w:szCs w:val="22"/>
          <w:highlight w:val="yellow"/>
          <w:lang w:val="es-EC" w:eastAsia="es-EC" w:bidi="ar-SA"/>
        </w:rPr>
      </w:pPr>
    </w:p>
    <w:p w14:paraId="4E32A47E"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En la Tabla 8 se resume los métodos de intercambio requeridos entre los diferentes sistemas externos y el SCADA/EMS.</w:t>
      </w:r>
    </w:p>
    <w:p w14:paraId="07DD4367" w14:textId="77777777" w:rsidR="009102A7" w:rsidRPr="00576AF8" w:rsidRDefault="009102A7" w:rsidP="009102A7">
      <w:pPr>
        <w:ind w:left="1416" w:right="41"/>
        <w:rPr>
          <w:color w:val="000000"/>
          <w:sz w:val="22"/>
          <w:szCs w:val="22"/>
          <w:lang w:val="es-EC" w:eastAsia="es-EC" w:bidi="ar-SA"/>
        </w:rPr>
      </w:pPr>
    </w:p>
    <w:tbl>
      <w:tblPr>
        <w:tblW w:w="8225" w:type="dxa"/>
        <w:tblInd w:w="1505" w:type="dxa"/>
        <w:tblCellMar>
          <w:left w:w="0" w:type="dxa"/>
          <w:right w:w="0" w:type="dxa"/>
        </w:tblCellMar>
        <w:tblLook w:val="04A0" w:firstRow="1" w:lastRow="0" w:firstColumn="1" w:lastColumn="0" w:noHBand="0" w:noVBand="1"/>
      </w:tblPr>
      <w:tblGrid>
        <w:gridCol w:w="2286"/>
        <w:gridCol w:w="1234"/>
        <w:gridCol w:w="2642"/>
        <w:gridCol w:w="2063"/>
      </w:tblGrid>
      <w:tr w:rsidR="005D26F6" w:rsidRPr="00576AF8" w14:paraId="0C4F5B9B" w14:textId="77777777" w:rsidTr="008C0D90">
        <w:trPr>
          <w:trHeight w:val="20"/>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6F80C9" w14:textId="77777777" w:rsidR="005D26F6" w:rsidRPr="00576AF8" w:rsidRDefault="005D26F6" w:rsidP="009F6B78">
            <w:pPr>
              <w:rPr>
                <w:b/>
                <w:sz w:val="22"/>
                <w:lang w:bidi="ar-SA"/>
              </w:rPr>
            </w:pPr>
            <w:r w:rsidRPr="00576AF8">
              <w:rPr>
                <w:b/>
              </w:rPr>
              <w:t>Sistema Externo</w:t>
            </w:r>
          </w:p>
        </w:tc>
        <w:tc>
          <w:tcPr>
            <w:tcW w:w="1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AC8BF8" w14:textId="77777777" w:rsidR="005D26F6" w:rsidRPr="00576AF8" w:rsidRDefault="005D26F6" w:rsidP="009F6B78">
            <w:pPr>
              <w:rPr>
                <w:b/>
              </w:rPr>
            </w:pPr>
            <w:r w:rsidRPr="00576AF8">
              <w:rPr>
                <w:b/>
              </w:rPr>
              <w:t>Dirección</w:t>
            </w:r>
          </w:p>
        </w:tc>
        <w:tc>
          <w:tcPr>
            <w:tcW w:w="26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82609E" w14:textId="77777777" w:rsidR="005D26F6" w:rsidRPr="00576AF8" w:rsidRDefault="005D26F6" w:rsidP="009F6B78">
            <w:pPr>
              <w:rPr>
                <w:b/>
              </w:rPr>
            </w:pPr>
            <w:r w:rsidRPr="00576AF8">
              <w:rPr>
                <w:b/>
              </w:rPr>
              <w:t>Método de Interfaz con el SCADA/EMS</w:t>
            </w:r>
          </w:p>
        </w:tc>
        <w:tc>
          <w:tcPr>
            <w:tcW w:w="2063" w:type="dxa"/>
            <w:tcBorders>
              <w:top w:val="single" w:sz="8" w:space="0" w:color="auto"/>
              <w:left w:val="nil"/>
              <w:bottom w:val="single" w:sz="8" w:space="0" w:color="auto"/>
              <w:right w:val="single" w:sz="8" w:space="0" w:color="auto"/>
            </w:tcBorders>
          </w:tcPr>
          <w:p w14:paraId="58C157BA" w14:textId="77777777" w:rsidR="005D26F6" w:rsidRPr="00576AF8" w:rsidRDefault="005D26F6" w:rsidP="009F6B78">
            <w:pPr>
              <w:rPr>
                <w:b/>
              </w:rPr>
            </w:pPr>
            <w:r w:rsidRPr="00576AF8">
              <w:rPr>
                <w:b/>
              </w:rPr>
              <w:t>Mecanismos de Seguridad</w:t>
            </w:r>
          </w:p>
        </w:tc>
      </w:tr>
      <w:tr w:rsidR="005D26F6" w:rsidRPr="00576AF8" w14:paraId="33814D3B"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7A0566" w14:textId="77777777" w:rsidR="005D26F6" w:rsidRPr="00576AF8" w:rsidRDefault="005D26F6" w:rsidP="009F6B78">
            <w:r w:rsidRPr="00576AF8">
              <w:t>Programa de Producción BMS (ePSR)</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732E0DD1" w14:textId="77777777" w:rsidR="005D26F6" w:rsidRPr="00576AF8" w:rsidRDefault="005D26F6" w:rsidP="009F6B78">
            <w:r w:rsidRPr="00576AF8">
              <w:t>&gt;</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48D4FD1E" w14:textId="77777777" w:rsidR="005D26F6" w:rsidRPr="00576AF8" w:rsidRDefault="005D26F6" w:rsidP="009F6B78">
            <w:r w:rsidRPr="00576AF8">
              <w:t>Tablas intermedias</w:t>
            </w:r>
          </w:p>
        </w:tc>
        <w:tc>
          <w:tcPr>
            <w:tcW w:w="2063" w:type="dxa"/>
            <w:tcBorders>
              <w:top w:val="nil"/>
              <w:left w:val="nil"/>
              <w:bottom w:val="single" w:sz="8" w:space="0" w:color="auto"/>
              <w:right w:val="single" w:sz="8" w:space="0" w:color="auto"/>
            </w:tcBorders>
          </w:tcPr>
          <w:p w14:paraId="2DFF3AD8" w14:textId="77777777" w:rsidR="005D26F6" w:rsidRPr="00576AF8" w:rsidRDefault="00D27934" w:rsidP="009F6B78">
            <w:r w:rsidRPr="00576AF8">
              <w:t xml:space="preserve">WS-security </w:t>
            </w:r>
            <w:r w:rsidR="005D26F6" w:rsidRPr="00576AF8">
              <w:t>Usuario y password</w:t>
            </w:r>
          </w:p>
        </w:tc>
      </w:tr>
      <w:tr w:rsidR="005D26F6" w:rsidRPr="00576AF8" w14:paraId="1A583FC9"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7CA555" w14:textId="77777777" w:rsidR="005D26F6" w:rsidRPr="00576AF8" w:rsidRDefault="005D26F6" w:rsidP="009F6B78">
            <w:r w:rsidRPr="00576AF8">
              <w:lastRenderedPageBreak/>
              <w:t>Sistema de Información del Mercado Eléctrico Mayorista</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02DF59A4" w14:textId="77777777" w:rsidR="005D26F6" w:rsidRPr="00576AF8" w:rsidRDefault="005D26F6" w:rsidP="009F6B78">
            <w:r w:rsidRPr="00576AF8">
              <w:t>&lt;</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4D7E9F0E" w14:textId="77777777" w:rsidR="005D26F6" w:rsidRPr="00576AF8" w:rsidRDefault="005D26F6" w:rsidP="009F6B78">
            <w:r w:rsidRPr="00576AF8">
              <w:t>Tablas intermedias</w:t>
            </w:r>
          </w:p>
        </w:tc>
        <w:tc>
          <w:tcPr>
            <w:tcW w:w="2063" w:type="dxa"/>
            <w:tcBorders>
              <w:top w:val="nil"/>
              <w:left w:val="nil"/>
              <w:bottom w:val="single" w:sz="8" w:space="0" w:color="auto"/>
              <w:right w:val="single" w:sz="8" w:space="0" w:color="auto"/>
            </w:tcBorders>
          </w:tcPr>
          <w:p w14:paraId="0DA8A896" w14:textId="77777777" w:rsidR="005D26F6" w:rsidRPr="00576AF8" w:rsidRDefault="00D27934" w:rsidP="009F6B78">
            <w:r w:rsidRPr="00576AF8">
              <w:t>WS-security Usuario y password</w:t>
            </w:r>
          </w:p>
        </w:tc>
      </w:tr>
      <w:tr w:rsidR="005D26F6" w:rsidRPr="00576AF8" w14:paraId="58DC7F8C"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3CBD3" w14:textId="77777777" w:rsidR="005D26F6" w:rsidRPr="00576AF8" w:rsidRDefault="005D26F6" w:rsidP="009F6B78">
            <w:r w:rsidRPr="00576AF8">
              <w:t>Sistema de Medición Comercial</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2EFF3445" w14:textId="77777777" w:rsidR="005D26F6" w:rsidRPr="00576AF8" w:rsidRDefault="005D26F6" w:rsidP="009F6B78">
            <w:r w:rsidRPr="00576AF8">
              <w:t>&lt;</w:t>
            </w:r>
          </w:p>
          <w:p w14:paraId="0F851402" w14:textId="77777777" w:rsidR="005D26F6" w:rsidRPr="00576AF8" w:rsidRDefault="005D26F6" w:rsidP="009F6B78">
            <w:r w:rsidRPr="00576AF8">
              <w:t>&gt;</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7F5D5B80" w14:textId="77777777" w:rsidR="005D26F6" w:rsidRPr="00576AF8" w:rsidRDefault="005D26F6" w:rsidP="009F6B78">
            <w:r w:rsidRPr="00576AF8">
              <w:t>Tablas intermedias</w:t>
            </w:r>
          </w:p>
          <w:p w14:paraId="3B8C4858" w14:textId="77777777" w:rsidR="005D26F6" w:rsidRPr="00576AF8" w:rsidRDefault="005D26F6" w:rsidP="009F6B78">
            <w:r w:rsidRPr="00576AF8">
              <w:t>OPC UA</w:t>
            </w:r>
          </w:p>
        </w:tc>
        <w:tc>
          <w:tcPr>
            <w:tcW w:w="2063" w:type="dxa"/>
            <w:tcBorders>
              <w:top w:val="nil"/>
              <w:left w:val="nil"/>
              <w:bottom w:val="single" w:sz="8" w:space="0" w:color="auto"/>
              <w:right w:val="single" w:sz="8" w:space="0" w:color="auto"/>
            </w:tcBorders>
          </w:tcPr>
          <w:p w14:paraId="0FC021C7" w14:textId="77777777" w:rsidR="005D26F6" w:rsidRPr="00576AF8" w:rsidRDefault="00D27934" w:rsidP="009F6B78">
            <w:r w:rsidRPr="00576AF8">
              <w:t>Usuario y password</w:t>
            </w:r>
          </w:p>
        </w:tc>
      </w:tr>
      <w:tr w:rsidR="005D26F6" w:rsidRPr="00576AF8" w14:paraId="47B6A992"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5F6CD" w14:textId="77777777" w:rsidR="005D26F6" w:rsidRPr="00576AF8" w:rsidRDefault="005D26F6" w:rsidP="009F6B78">
            <w:r w:rsidRPr="00576AF8">
              <w:t>WAMS</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4BA9E140" w14:textId="77777777" w:rsidR="005D26F6" w:rsidRPr="00576AF8" w:rsidRDefault="005D26F6" w:rsidP="009F6B78">
            <w:r w:rsidRPr="00576AF8">
              <w:t>&gt;</w:t>
            </w:r>
          </w:p>
          <w:p w14:paraId="4F3338BA" w14:textId="77777777" w:rsidR="005D26F6" w:rsidRPr="00576AF8" w:rsidRDefault="005D26F6" w:rsidP="009F6B78"/>
          <w:p w14:paraId="7B1427A9" w14:textId="77777777" w:rsidR="005D26F6" w:rsidRPr="00576AF8" w:rsidRDefault="005D26F6" w:rsidP="009F6B78">
            <w:r w:rsidRPr="00576AF8">
              <w:t>&lt;</w:t>
            </w:r>
          </w:p>
          <w:p w14:paraId="4F427468" w14:textId="77777777" w:rsidR="005D26F6" w:rsidRPr="00576AF8" w:rsidRDefault="005D26F6" w:rsidP="009F6B78"/>
        </w:tc>
        <w:tc>
          <w:tcPr>
            <w:tcW w:w="2642" w:type="dxa"/>
            <w:tcBorders>
              <w:top w:val="nil"/>
              <w:left w:val="nil"/>
              <w:bottom w:val="single" w:sz="8" w:space="0" w:color="auto"/>
              <w:right w:val="single" w:sz="8" w:space="0" w:color="auto"/>
            </w:tcBorders>
            <w:tcMar>
              <w:top w:w="0" w:type="dxa"/>
              <w:left w:w="108" w:type="dxa"/>
              <w:bottom w:w="0" w:type="dxa"/>
              <w:right w:w="108" w:type="dxa"/>
            </w:tcMar>
          </w:tcPr>
          <w:p w14:paraId="437896EB" w14:textId="77777777" w:rsidR="005D26F6" w:rsidRPr="00576AF8" w:rsidRDefault="005D26F6" w:rsidP="009F6B78">
            <w:pPr>
              <w:rPr>
                <w:lang w:val="en-US"/>
              </w:rPr>
            </w:pPr>
            <w:r w:rsidRPr="00576AF8">
              <w:rPr>
                <w:lang w:val="en-US"/>
              </w:rPr>
              <w:t>IEEEC37-118</w:t>
            </w:r>
          </w:p>
          <w:p w14:paraId="044286BF" w14:textId="77777777" w:rsidR="005D26F6" w:rsidRPr="00576AF8" w:rsidRDefault="005D26F6" w:rsidP="009F6B78">
            <w:pPr>
              <w:rPr>
                <w:lang w:val="en-US"/>
              </w:rPr>
            </w:pPr>
          </w:p>
          <w:p w14:paraId="07380AE8" w14:textId="77777777" w:rsidR="005D26F6" w:rsidRPr="00576AF8" w:rsidRDefault="005D26F6" w:rsidP="009F6B78">
            <w:pPr>
              <w:rPr>
                <w:lang w:val="en-US"/>
              </w:rPr>
            </w:pPr>
            <w:r w:rsidRPr="00576AF8">
              <w:rPr>
                <w:lang w:val="en-US"/>
              </w:rPr>
              <w:t>IEC 60870-5-104</w:t>
            </w:r>
          </w:p>
          <w:p w14:paraId="0C071EA1" w14:textId="77777777" w:rsidR="005D26F6" w:rsidRPr="00576AF8" w:rsidRDefault="005D26F6" w:rsidP="009F6B78">
            <w:pPr>
              <w:rPr>
                <w:lang w:val="en-US"/>
              </w:rPr>
            </w:pPr>
            <w:r w:rsidRPr="00576AF8">
              <w:rPr>
                <w:lang w:val="en-US"/>
              </w:rPr>
              <w:t>DNP3.0</w:t>
            </w:r>
          </w:p>
          <w:p w14:paraId="082ED0BF" w14:textId="77777777" w:rsidR="005D26F6" w:rsidRPr="00576AF8" w:rsidRDefault="005D26F6" w:rsidP="009F6B78">
            <w:pPr>
              <w:rPr>
                <w:lang w:val="en-US"/>
              </w:rPr>
            </w:pPr>
            <w:r w:rsidRPr="00576AF8">
              <w:rPr>
                <w:lang w:val="en-US"/>
              </w:rPr>
              <w:t>ICCP</w:t>
            </w:r>
          </w:p>
        </w:tc>
        <w:tc>
          <w:tcPr>
            <w:tcW w:w="2063" w:type="dxa"/>
            <w:tcBorders>
              <w:top w:val="nil"/>
              <w:left w:val="nil"/>
              <w:bottom w:val="single" w:sz="8" w:space="0" w:color="auto"/>
              <w:right w:val="single" w:sz="8" w:space="0" w:color="auto"/>
            </w:tcBorders>
          </w:tcPr>
          <w:p w14:paraId="070AE317" w14:textId="77777777" w:rsidR="005D26F6" w:rsidRPr="00576AF8" w:rsidRDefault="00692066" w:rsidP="009F6B78">
            <w:pPr>
              <w:rPr>
                <w:lang w:val="es-EC"/>
              </w:rPr>
            </w:pPr>
            <w:r w:rsidRPr="00576AF8">
              <w:rPr>
                <w:lang w:val="es-EC"/>
              </w:rPr>
              <w:t>Parámetros de configuración de seguridad propios del protocolo</w:t>
            </w:r>
          </w:p>
        </w:tc>
      </w:tr>
      <w:tr w:rsidR="005D26F6" w:rsidRPr="00576AF8" w14:paraId="1AF4B82A"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941311" w14:textId="77777777" w:rsidR="005D26F6" w:rsidRPr="00576AF8" w:rsidRDefault="005D26F6" w:rsidP="009F6B78">
            <w:r w:rsidRPr="00576AF8">
              <w:t>Simulador en tiempo real OPAL-RT</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5CAC4286" w14:textId="77777777" w:rsidR="005D26F6" w:rsidRPr="00576AF8" w:rsidRDefault="005D26F6" w:rsidP="009F6B78">
            <w:r w:rsidRPr="00576AF8">
              <w:t>&lt;</w:t>
            </w:r>
          </w:p>
          <w:p w14:paraId="5780F63B" w14:textId="77777777" w:rsidR="005D26F6" w:rsidRPr="00576AF8" w:rsidRDefault="005D26F6" w:rsidP="009F6B78">
            <w:r w:rsidRPr="00576AF8">
              <w:t>&gt;</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09731053" w14:textId="77777777" w:rsidR="005D26F6" w:rsidRPr="00576AF8" w:rsidRDefault="005D26F6" w:rsidP="009F6B78">
            <w:pPr>
              <w:rPr>
                <w:lang w:val="en-US"/>
              </w:rPr>
            </w:pPr>
            <w:r w:rsidRPr="00576AF8">
              <w:rPr>
                <w:lang w:val="en-US"/>
              </w:rPr>
              <w:t>OPC</w:t>
            </w:r>
          </w:p>
          <w:p w14:paraId="1E46004B" w14:textId="77777777" w:rsidR="005D26F6" w:rsidRPr="00576AF8" w:rsidRDefault="005D26F6" w:rsidP="009F6B78">
            <w:pPr>
              <w:rPr>
                <w:lang w:val="en-US"/>
              </w:rPr>
            </w:pPr>
            <w:r w:rsidRPr="00576AF8">
              <w:rPr>
                <w:lang w:val="en-US"/>
              </w:rPr>
              <w:t>ICCP</w:t>
            </w:r>
          </w:p>
          <w:p w14:paraId="7E86034D" w14:textId="77777777" w:rsidR="005D26F6" w:rsidRPr="00576AF8" w:rsidRDefault="005D26F6" w:rsidP="009F6B78">
            <w:pPr>
              <w:rPr>
                <w:lang w:val="en-US"/>
              </w:rPr>
            </w:pPr>
            <w:r w:rsidRPr="00576AF8">
              <w:rPr>
                <w:lang w:val="en-US"/>
              </w:rPr>
              <w:t>DNP3.0</w:t>
            </w:r>
          </w:p>
        </w:tc>
        <w:tc>
          <w:tcPr>
            <w:tcW w:w="2063" w:type="dxa"/>
            <w:tcBorders>
              <w:top w:val="nil"/>
              <w:left w:val="nil"/>
              <w:bottom w:val="single" w:sz="8" w:space="0" w:color="auto"/>
              <w:right w:val="single" w:sz="8" w:space="0" w:color="auto"/>
            </w:tcBorders>
          </w:tcPr>
          <w:p w14:paraId="76399ACE" w14:textId="77777777" w:rsidR="005D26F6" w:rsidRPr="00576AF8" w:rsidRDefault="00692066" w:rsidP="009F6B78">
            <w:pPr>
              <w:rPr>
                <w:lang w:val="es-EC"/>
              </w:rPr>
            </w:pPr>
            <w:r w:rsidRPr="00576AF8">
              <w:rPr>
                <w:lang w:val="es-EC"/>
              </w:rPr>
              <w:t>Parámetros de configuración de seguridad propios del protocolo</w:t>
            </w:r>
          </w:p>
        </w:tc>
      </w:tr>
      <w:tr w:rsidR="005D26F6" w:rsidRPr="00576AF8" w14:paraId="7342A1D9"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9E951" w14:textId="77777777" w:rsidR="005D26F6" w:rsidRPr="00576AF8" w:rsidRDefault="005D26F6" w:rsidP="009F6B78">
            <w:r w:rsidRPr="00576AF8">
              <w:t>Sistema de Protección Sistémica (SPS)</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63889BE5" w14:textId="77777777" w:rsidR="005D26F6" w:rsidRPr="00576AF8" w:rsidRDefault="005D26F6" w:rsidP="009F6B78">
            <w:r w:rsidRPr="00576AF8">
              <w:t>&gt;</w:t>
            </w:r>
          </w:p>
          <w:p w14:paraId="0AD1875F" w14:textId="77777777" w:rsidR="005D26F6" w:rsidRPr="00576AF8" w:rsidRDefault="005D26F6" w:rsidP="009F6B78">
            <w:r w:rsidRPr="00576AF8">
              <w:t>&lt;</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2342FF8F" w14:textId="77777777" w:rsidR="005D26F6" w:rsidRPr="00576AF8" w:rsidRDefault="005D26F6" w:rsidP="009F6B78">
            <w:r w:rsidRPr="00576AF8">
              <w:t>ICCP</w:t>
            </w:r>
          </w:p>
        </w:tc>
        <w:tc>
          <w:tcPr>
            <w:tcW w:w="2063" w:type="dxa"/>
            <w:tcBorders>
              <w:top w:val="nil"/>
              <w:left w:val="nil"/>
              <w:bottom w:val="single" w:sz="8" w:space="0" w:color="auto"/>
              <w:right w:val="single" w:sz="8" w:space="0" w:color="auto"/>
            </w:tcBorders>
          </w:tcPr>
          <w:p w14:paraId="5C52E5B1" w14:textId="77777777" w:rsidR="005D26F6" w:rsidRPr="00576AF8" w:rsidRDefault="00692066" w:rsidP="009F6B78">
            <w:r w:rsidRPr="00576AF8">
              <w:rPr>
                <w:lang w:val="es-EC"/>
              </w:rPr>
              <w:t>Parámetros de configuración de seguridad propios del protocolo</w:t>
            </w:r>
          </w:p>
        </w:tc>
      </w:tr>
      <w:tr w:rsidR="005D26F6" w:rsidRPr="00576AF8" w14:paraId="58A8AE93"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7E6E9" w14:textId="77777777" w:rsidR="005D26F6" w:rsidRPr="00576AF8" w:rsidRDefault="005D26F6" w:rsidP="009F6B78">
            <w:r w:rsidRPr="00576AF8">
              <w:t>Sistema Histórico Externo PI Institucional</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077253D6" w14:textId="77777777" w:rsidR="005D26F6" w:rsidRPr="00576AF8" w:rsidRDefault="005D26F6" w:rsidP="009F6B78">
            <w:r w:rsidRPr="00576AF8">
              <w:t>&lt;</w:t>
            </w:r>
          </w:p>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4806EE64" w14:textId="77777777" w:rsidR="005D26F6" w:rsidRPr="00576AF8" w:rsidRDefault="005D26F6" w:rsidP="009F6B78">
            <w:r w:rsidRPr="00576AF8">
              <w:t>API PI SDK</w:t>
            </w:r>
          </w:p>
          <w:p w14:paraId="4CF44E44" w14:textId="77777777" w:rsidR="005D26F6" w:rsidRPr="00576AF8" w:rsidRDefault="005D26F6" w:rsidP="009F6B78">
            <w:pPr>
              <w:keepNext/>
            </w:pPr>
            <w:r w:rsidRPr="00576AF8">
              <w:t>Interfaz propuesta por Proveedor</w:t>
            </w:r>
          </w:p>
        </w:tc>
        <w:tc>
          <w:tcPr>
            <w:tcW w:w="2063" w:type="dxa"/>
            <w:tcBorders>
              <w:top w:val="nil"/>
              <w:left w:val="nil"/>
              <w:bottom w:val="single" w:sz="8" w:space="0" w:color="auto"/>
              <w:right w:val="single" w:sz="8" w:space="0" w:color="auto"/>
            </w:tcBorders>
          </w:tcPr>
          <w:p w14:paraId="536B5BAC" w14:textId="77777777" w:rsidR="005D26F6" w:rsidRPr="00576AF8" w:rsidRDefault="00692066" w:rsidP="009F6B78">
            <w:r w:rsidRPr="00576AF8">
              <w:t>WS-security Usuario y password</w:t>
            </w:r>
          </w:p>
        </w:tc>
      </w:tr>
      <w:tr w:rsidR="005D26F6" w:rsidRPr="00576AF8" w14:paraId="33C46AFC" w14:textId="77777777" w:rsidTr="008C0D90">
        <w:trPr>
          <w:trHeight w:val="20"/>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E161E" w14:textId="77777777" w:rsidR="005D26F6" w:rsidRPr="00576AF8" w:rsidRDefault="005D26F6" w:rsidP="009F6B78">
            <w:r w:rsidRPr="00576AF8">
              <w:t>Sistema de mantenimientos de CENACE SAMWEB</w:t>
            </w:r>
          </w:p>
        </w:tc>
        <w:tc>
          <w:tcPr>
            <w:tcW w:w="1234" w:type="dxa"/>
            <w:tcBorders>
              <w:top w:val="nil"/>
              <w:left w:val="nil"/>
              <w:bottom w:val="single" w:sz="8" w:space="0" w:color="auto"/>
              <w:right w:val="single" w:sz="8" w:space="0" w:color="auto"/>
            </w:tcBorders>
            <w:tcMar>
              <w:top w:w="0" w:type="dxa"/>
              <w:left w:w="108" w:type="dxa"/>
              <w:bottom w:w="0" w:type="dxa"/>
              <w:right w:w="108" w:type="dxa"/>
            </w:tcMar>
          </w:tcPr>
          <w:p w14:paraId="1AE35923" w14:textId="77777777" w:rsidR="005D26F6" w:rsidRPr="00576AF8" w:rsidRDefault="005D26F6" w:rsidP="009F6B78">
            <w:r w:rsidRPr="00576AF8">
              <w:t>&gt;</w:t>
            </w:r>
          </w:p>
          <w:p w14:paraId="1EDF5E32" w14:textId="77777777" w:rsidR="005D26F6" w:rsidRPr="00576AF8" w:rsidRDefault="005D26F6" w:rsidP="009F6B78"/>
        </w:tc>
        <w:tc>
          <w:tcPr>
            <w:tcW w:w="2642" w:type="dxa"/>
            <w:tcBorders>
              <w:top w:val="nil"/>
              <w:left w:val="nil"/>
              <w:bottom w:val="single" w:sz="8" w:space="0" w:color="auto"/>
              <w:right w:val="single" w:sz="8" w:space="0" w:color="auto"/>
            </w:tcBorders>
            <w:tcMar>
              <w:top w:w="0" w:type="dxa"/>
              <w:left w:w="108" w:type="dxa"/>
              <w:bottom w:w="0" w:type="dxa"/>
              <w:right w:w="108" w:type="dxa"/>
            </w:tcMar>
            <w:hideMark/>
          </w:tcPr>
          <w:p w14:paraId="7A2D6CC4" w14:textId="77777777" w:rsidR="005D26F6" w:rsidRPr="00576AF8" w:rsidRDefault="005D26F6" w:rsidP="009F6B78">
            <w:r w:rsidRPr="00576AF8">
              <w:t>API y Entity Framework</w:t>
            </w:r>
          </w:p>
          <w:p w14:paraId="3BB29BC8" w14:textId="77777777" w:rsidR="005D26F6" w:rsidRPr="00576AF8" w:rsidRDefault="005D26F6" w:rsidP="009F6B78">
            <w:r w:rsidRPr="00576AF8">
              <w:t>Base de datos Microsoft SQL Server</w:t>
            </w:r>
          </w:p>
        </w:tc>
        <w:tc>
          <w:tcPr>
            <w:tcW w:w="2063" w:type="dxa"/>
            <w:tcBorders>
              <w:top w:val="nil"/>
              <w:left w:val="nil"/>
              <w:bottom w:val="single" w:sz="8" w:space="0" w:color="auto"/>
              <w:right w:val="single" w:sz="8" w:space="0" w:color="auto"/>
            </w:tcBorders>
          </w:tcPr>
          <w:p w14:paraId="4E0F15CE" w14:textId="77777777" w:rsidR="005D26F6" w:rsidRPr="00576AF8" w:rsidRDefault="00692066" w:rsidP="009F6B78">
            <w:r w:rsidRPr="00576AF8">
              <w:t>WS-security Usuario y password</w:t>
            </w:r>
          </w:p>
        </w:tc>
      </w:tr>
    </w:tbl>
    <w:p w14:paraId="114915A6" w14:textId="77777777" w:rsidR="009102A7" w:rsidRPr="00576AF8" w:rsidRDefault="009102A7" w:rsidP="009102A7">
      <w:pPr>
        <w:ind w:left="1416" w:right="41"/>
        <w:rPr>
          <w:color w:val="000000"/>
          <w:sz w:val="22"/>
          <w:szCs w:val="22"/>
          <w:lang w:val="es-EC" w:eastAsia="es-EC" w:bidi="ar-SA"/>
        </w:rPr>
      </w:pPr>
    </w:p>
    <w:p w14:paraId="3BD03B73" w14:textId="77777777" w:rsidR="009102A7" w:rsidRPr="00576AF8" w:rsidRDefault="009102A7" w:rsidP="009102A7">
      <w:pPr>
        <w:spacing w:before="120"/>
        <w:jc w:val="center"/>
        <w:rPr>
          <w:b/>
          <w:sz w:val="22"/>
          <w:szCs w:val="22"/>
        </w:rPr>
      </w:pPr>
      <w:r w:rsidRPr="00576AF8">
        <w:rPr>
          <w:b/>
          <w:sz w:val="22"/>
          <w:szCs w:val="22"/>
        </w:rPr>
        <w:t xml:space="preserve">Tabla </w:t>
      </w:r>
      <w:r w:rsidR="006A2DCA" w:rsidRPr="00576AF8">
        <w:rPr>
          <w:b/>
          <w:sz w:val="22"/>
          <w:szCs w:val="22"/>
        </w:rPr>
        <w:t>8</w:t>
      </w:r>
      <w:r w:rsidRPr="00576AF8">
        <w:rPr>
          <w:b/>
          <w:sz w:val="22"/>
          <w:szCs w:val="22"/>
        </w:rPr>
        <w:t>. Métodos de intercambio entre sistemas externos y el SCADA/EMS</w:t>
      </w:r>
    </w:p>
    <w:p w14:paraId="3E8582D2" w14:textId="77777777" w:rsidR="009102A7" w:rsidRPr="00576AF8" w:rsidRDefault="009102A7" w:rsidP="009102A7">
      <w:pPr>
        <w:rPr>
          <w:sz w:val="22"/>
          <w:szCs w:val="22"/>
        </w:rPr>
      </w:pPr>
    </w:p>
    <w:p w14:paraId="22F8762D" w14:textId="77777777" w:rsidR="009102A7" w:rsidRPr="00576AF8" w:rsidRDefault="009102A7" w:rsidP="009102A7">
      <w:pPr>
        <w:ind w:left="1416" w:right="41"/>
        <w:rPr>
          <w:color w:val="000000"/>
          <w:sz w:val="22"/>
          <w:szCs w:val="22"/>
          <w:lang w:bidi="ar-SA"/>
        </w:rPr>
      </w:pPr>
      <w:r w:rsidRPr="00576AF8">
        <w:rPr>
          <w:color w:val="000000"/>
          <w:sz w:val="22"/>
          <w:szCs w:val="22"/>
          <w:lang w:val="es-EC" w:eastAsia="es-EC" w:bidi="ar-SA"/>
        </w:rPr>
        <w:t>El Proveedor deberá utilizar uno de los métodos propuestos o proponer un método equivalente. En la actualidad el intercambio de información entre el SCADA/EMS y los sistemas: Programa de Producción BMS (ePSR), Sistema de Información del Mercado Eléctrico Mayorista y Sistema de Medición Comercial se realiza mediante tablas intermedias de las bases de datos ORACLE de dichos sistemas.</w:t>
      </w:r>
    </w:p>
    <w:p w14:paraId="30DA658E" w14:textId="77777777" w:rsidR="009102A7" w:rsidRPr="00576AF8" w:rsidRDefault="009102A7" w:rsidP="009102A7">
      <w:pPr>
        <w:ind w:left="1416" w:right="41"/>
        <w:rPr>
          <w:color w:val="000000"/>
          <w:sz w:val="22"/>
          <w:szCs w:val="22"/>
          <w:lang w:val="es-EC" w:eastAsia="es-EC" w:bidi="ar-SA"/>
        </w:rPr>
      </w:pPr>
    </w:p>
    <w:p w14:paraId="4576BDD2" w14:textId="77777777" w:rsidR="009102A7" w:rsidRPr="00576AF8" w:rsidRDefault="009102A7" w:rsidP="009102A7">
      <w:pPr>
        <w:ind w:left="720" w:firstLine="696"/>
        <w:jc w:val="left"/>
        <w:outlineLvl w:val="2"/>
        <w:rPr>
          <w:b/>
          <w:sz w:val="22"/>
          <w:szCs w:val="22"/>
        </w:rPr>
      </w:pPr>
      <w:bookmarkStart w:id="834" w:name="_Toc160455979"/>
      <w:r w:rsidRPr="00576AF8">
        <w:rPr>
          <w:b/>
          <w:sz w:val="22"/>
          <w:szCs w:val="22"/>
        </w:rPr>
        <w:t>2.1.1.1.4 ANÁLISIS DE LA RED ELÉCTRICA</w:t>
      </w:r>
      <w:bookmarkEnd w:id="834"/>
    </w:p>
    <w:p w14:paraId="775CF4D5" w14:textId="77777777" w:rsidR="009102A7" w:rsidRPr="00576AF8" w:rsidRDefault="009102A7" w:rsidP="009102A7">
      <w:pPr>
        <w:ind w:left="1416" w:right="41"/>
        <w:rPr>
          <w:b/>
          <w:sz w:val="22"/>
          <w:szCs w:val="22"/>
        </w:rPr>
      </w:pPr>
      <w:r w:rsidRPr="00576AF8">
        <w:rPr>
          <w:sz w:val="22"/>
          <w:szCs w:val="22"/>
        </w:rPr>
        <w:t xml:space="preserve">En esta sección se incluyen los requerimientos de las aplicaciones de seguridad operativa que CENACE requiere para garantizar la observabilidad y el control de la red eléctrica y de la generación del Ecuador. Estas aplicaciones estarán integradas al sistema SCADA haciendo uso de los recursos de interfaz humano máquina a ser provistos. A excepción de las aplicaciones de </w:t>
      </w:r>
      <w:r w:rsidRPr="00576AF8">
        <w:rPr>
          <w:sz w:val="22"/>
          <w:szCs w:val="22"/>
        </w:rPr>
        <w:lastRenderedPageBreak/>
        <w:t>Pronósticos, los recursos de presentación de despliegues tabulares y unifilares serán comunes y la base de datos será única a los efectos de mantenimiento y uso en tiempo real.</w:t>
      </w:r>
    </w:p>
    <w:p w14:paraId="44297D86" w14:textId="77777777" w:rsidR="009102A7" w:rsidRPr="00576AF8" w:rsidRDefault="009102A7" w:rsidP="009102A7">
      <w:pPr>
        <w:ind w:left="1416" w:right="41"/>
        <w:rPr>
          <w:sz w:val="22"/>
          <w:szCs w:val="22"/>
        </w:rPr>
      </w:pPr>
      <w:r w:rsidRPr="00576AF8">
        <w:rPr>
          <w:sz w:val="22"/>
          <w:szCs w:val="22"/>
        </w:rPr>
        <w:t>Las aplicaciones a continuación solicitadas podrán, según la solución estándar del proveedor, estar integradas en módulos funcionales distintos, siempre y cuando se garantice que se satisfagan los requerimientos aquí solicitados.</w:t>
      </w:r>
    </w:p>
    <w:p w14:paraId="06C1581F" w14:textId="77777777" w:rsidR="009102A7" w:rsidRPr="00576AF8" w:rsidRDefault="009102A7" w:rsidP="009102A7">
      <w:pPr>
        <w:ind w:left="1416" w:right="41"/>
        <w:rPr>
          <w:sz w:val="22"/>
          <w:szCs w:val="22"/>
        </w:rPr>
      </w:pPr>
      <w:r w:rsidRPr="00576AF8">
        <w:rPr>
          <w:sz w:val="22"/>
          <w:szCs w:val="22"/>
        </w:rPr>
        <w:t>En todas las aplicaciones a continuación será posible importar/exportar los parámetros y controles de la función desde/hacia un archivo de configuración y respaldo de esta información.</w:t>
      </w:r>
    </w:p>
    <w:p w14:paraId="425E59F4" w14:textId="77777777" w:rsidR="009102A7" w:rsidRPr="00576AF8" w:rsidRDefault="009102A7" w:rsidP="009102A7">
      <w:pPr>
        <w:suppressAutoHyphens w:val="0"/>
        <w:spacing w:after="0"/>
        <w:rPr>
          <w:sz w:val="22"/>
          <w:szCs w:val="22"/>
        </w:rPr>
      </w:pPr>
    </w:p>
    <w:p w14:paraId="38ADC46D" w14:textId="77777777" w:rsidR="009102A7" w:rsidRPr="00576AF8" w:rsidRDefault="009102A7" w:rsidP="009102A7">
      <w:pPr>
        <w:ind w:left="720" w:firstLine="696"/>
        <w:jc w:val="left"/>
        <w:outlineLvl w:val="2"/>
        <w:rPr>
          <w:sz w:val="22"/>
          <w:szCs w:val="22"/>
        </w:rPr>
      </w:pPr>
      <w:bookmarkStart w:id="835" w:name="_Toc158396606"/>
      <w:bookmarkStart w:id="836" w:name="_Toc160012845"/>
      <w:bookmarkStart w:id="837" w:name="_Toc160434855"/>
      <w:bookmarkStart w:id="838" w:name="_Toc160455980"/>
      <w:r w:rsidRPr="00576AF8">
        <w:rPr>
          <w:b/>
          <w:sz w:val="22"/>
          <w:szCs w:val="22"/>
        </w:rPr>
        <w:t>2.1.1.1.4.1 Recuperación de Valores de Estados y Analógicos (Status and Analog Retrieval and Telemetry Snapshot)</w:t>
      </w:r>
      <w:bookmarkEnd w:id="835"/>
      <w:bookmarkEnd w:id="836"/>
      <w:bookmarkEnd w:id="837"/>
      <w:bookmarkEnd w:id="838"/>
    </w:p>
    <w:p w14:paraId="7D555AD1" w14:textId="77777777" w:rsidR="009102A7" w:rsidRPr="00576AF8" w:rsidRDefault="009102A7" w:rsidP="009102A7">
      <w:pPr>
        <w:numPr>
          <w:ilvl w:val="0"/>
          <w:numId w:val="310"/>
        </w:numPr>
        <w:spacing w:after="0"/>
        <w:contextualSpacing/>
        <w:rPr>
          <w:color w:val="000000"/>
          <w:sz w:val="22"/>
          <w:szCs w:val="22"/>
          <w:lang w:val="es-EC" w:eastAsia="es-EC" w:bidi="ar-SA"/>
        </w:rPr>
      </w:pPr>
      <w:r w:rsidRPr="00576AF8">
        <w:rPr>
          <w:color w:val="000000"/>
          <w:sz w:val="22"/>
          <w:szCs w:val="22"/>
          <w:lang w:val="es-EC" w:eastAsia="es-EC" w:bidi="ar-SA"/>
        </w:rPr>
        <w:t xml:space="preserve">Esta aplicación será responsable de la interfaz entre las mediciones y estados de las variables adquiridas desde el SCADA y que se encuentran vinculadas a objetos del modelo eléctrico. Entre las variables adquiridas también se procesan las mediciones provenientes de los PMU. Las mismas con base al valor de la medida y su calidad para agruparlas en: buenas en telemetría, con error de </w:t>
      </w:r>
      <w:r w:rsidRPr="00576AF8" w:rsidDel="00D1631A">
        <w:rPr>
          <w:color w:val="000000"/>
          <w:sz w:val="22"/>
          <w:szCs w:val="22"/>
          <w:lang w:val="es-EC" w:eastAsia="es-EC" w:bidi="ar-SA"/>
        </w:rPr>
        <w:t xml:space="preserve">telemetría </w:t>
      </w:r>
      <w:r w:rsidRPr="00576AF8">
        <w:rPr>
          <w:color w:val="000000"/>
          <w:sz w:val="22"/>
          <w:szCs w:val="22"/>
          <w:lang w:val="es-EC" w:eastAsia="es-EC" w:bidi="ar-SA"/>
        </w:rPr>
        <w:t xml:space="preserve">o en error grueso. </w:t>
      </w:r>
    </w:p>
    <w:p w14:paraId="4E8A003B" w14:textId="77777777" w:rsidR="009102A7" w:rsidRPr="00576AF8" w:rsidRDefault="009102A7" w:rsidP="009102A7">
      <w:pPr>
        <w:numPr>
          <w:ilvl w:val="0"/>
          <w:numId w:val="31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Para aquellas medidas en error grueso o en error de telemetría, se activa una bandera que permite que otras aplicaciones que corren en </w:t>
      </w:r>
      <w:r w:rsidRPr="00576AF8" w:rsidDel="00D1631A">
        <w:rPr>
          <w:rFonts w:eastAsia="Calibri"/>
          <w:sz w:val="22"/>
          <w:szCs w:val="22"/>
          <w:lang w:val="es-419" w:eastAsia="en-US" w:bidi="ar-SA"/>
        </w:rPr>
        <w:t xml:space="preserve">secuencia, </w:t>
      </w:r>
      <w:r w:rsidRPr="00576AF8">
        <w:rPr>
          <w:rFonts w:eastAsia="Calibri"/>
          <w:sz w:val="22"/>
          <w:szCs w:val="22"/>
          <w:lang w:val="es-419" w:eastAsia="en-US" w:bidi="ar-SA"/>
        </w:rPr>
        <w:t>como es el caso del Estimador de Estado, puedan reemplazar las mismas por un valor pseudo medido y/o un programa preestablecido según el caso.</w:t>
      </w:r>
    </w:p>
    <w:p w14:paraId="1F37BE76" w14:textId="77777777" w:rsidR="009102A7" w:rsidRPr="00576AF8" w:rsidRDefault="009102A7" w:rsidP="009102A7">
      <w:pPr>
        <w:numPr>
          <w:ilvl w:val="0"/>
          <w:numId w:val="31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límites de potencias activas con los cuales el Estimador de Estado podrá generar alarmas serán en orden de precedencia: los calculados por otras aplicaciones, los propios del modelo de red y los del SCADA, según se describe en la aplicación de Gestión de Límites. Estos serán inicializados en esta aplicación.</w:t>
      </w:r>
    </w:p>
    <w:p w14:paraId="38928557" w14:textId="77777777" w:rsidR="009102A7" w:rsidRPr="00576AF8" w:rsidRDefault="009102A7" w:rsidP="009102A7">
      <w:pPr>
        <w:numPr>
          <w:ilvl w:val="0"/>
          <w:numId w:val="31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Según sea la solución del Proveedor, esta aplicación puede formar parte de otra aplicación. En este caso, en su oferta deberá quedar claramente indicado en qué aplicación se lleva a cabo esta actividad.  No obstante, no habrá sobrecargo económico si en la solución el Proveedor se requieren más de dos aplicaciones para realizar las actividades descritas en esta sección.</w:t>
      </w:r>
    </w:p>
    <w:p w14:paraId="68123797" w14:textId="77777777" w:rsidR="009102A7" w:rsidRPr="00576AF8" w:rsidRDefault="009102A7" w:rsidP="009102A7">
      <w:pPr>
        <w:ind w:left="708" w:right="41" w:firstLine="708"/>
        <w:rPr>
          <w:b/>
          <w:sz w:val="22"/>
          <w:szCs w:val="22"/>
        </w:rPr>
      </w:pPr>
    </w:p>
    <w:p w14:paraId="1DEB85A8" w14:textId="77777777" w:rsidR="009102A7" w:rsidRPr="00576AF8" w:rsidRDefault="009102A7" w:rsidP="009102A7">
      <w:pPr>
        <w:ind w:left="720" w:firstLine="696"/>
        <w:jc w:val="left"/>
        <w:outlineLvl w:val="2"/>
        <w:rPr>
          <w:sz w:val="22"/>
          <w:szCs w:val="22"/>
        </w:rPr>
      </w:pPr>
      <w:bookmarkStart w:id="839" w:name="_Toc148955132"/>
      <w:bookmarkStart w:id="840" w:name="_Toc158396607"/>
      <w:bookmarkStart w:id="841" w:name="_Toc160012846"/>
      <w:bookmarkStart w:id="842" w:name="_Toc160434856"/>
      <w:bookmarkStart w:id="843" w:name="_Toc160455981"/>
      <w:r w:rsidRPr="00576AF8">
        <w:rPr>
          <w:b/>
          <w:sz w:val="22"/>
          <w:szCs w:val="22"/>
        </w:rPr>
        <w:t>2.1.1.1.4.2 Gestor de Límites</w:t>
      </w:r>
      <w:bookmarkEnd w:id="839"/>
      <w:bookmarkEnd w:id="840"/>
      <w:bookmarkEnd w:id="841"/>
      <w:bookmarkEnd w:id="842"/>
      <w:bookmarkEnd w:id="843"/>
    </w:p>
    <w:p w14:paraId="6F7343C9"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requiere una aplicación que permita un manejo versátil de los conjuntos de límites que serán utilizados para generar notificaciones al operador cuando se produzcan desvíos de los límites de</w:t>
      </w:r>
      <w:r w:rsidRPr="00576AF8" w:rsidDel="004D4F48">
        <w:rPr>
          <w:rFonts w:eastAsia="Calibri"/>
          <w:sz w:val="22"/>
          <w:szCs w:val="22"/>
          <w:lang w:val="es-419" w:eastAsia="en-US" w:bidi="ar-SA"/>
        </w:rPr>
        <w:t xml:space="preserve">: </w:t>
      </w:r>
      <w:r w:rsidRPr="00576AF8">
        <w:rPr>
          <w:rFonts w:eastAsia="Calibri"/>
          <w:sz w:val="22"/>
          <w:szCs w:val="22"/>
          <w:lang w:val="es-419" w:eastAsia="en-US" w:bidi="ar-SA"/>
        </w:rPr>
        <w:t>SCADA,</w:t>
      </w:r>
      <w:r w:rsidRPr="00576AF8" w:rsidDel="004D4F48">
        <w:rPr>
          <w:rFonts w:eastAsia="Calibri"/>
          <w:sz w:val="22"/>
          <w:szCs w:val="22"/>
          <w:lang w:val="es-419" w:eastAsia="en-US" w:bidi="ar-SA"/>
        </w:rPr>
        <w:t xml:space="preserve"> </w:t>
      </w:r>
      <w:r w:rsidRPr="00576AF8">
        <w:rPr>
          <w:rFonts w:eastAsia="Calibri"/>
          <w:sz w:val="22"/>
          <w:szCs w:val="22"/>
          <w:lang w:val="es-419" w:eastAsia="en-US" w:bidi="ar-SA"/>
        </w:rPr>
        <w:t>calculados y asociados a equipos (también llamados de seguridad de red). Estas notificaciones podrán ser alarmas, eventos, resúmenes de desvíos con respecto a los límites configurados, diagramas unifilares y de propósito general, despliegues tabulares y otros que pudiera disponer el Proveedor.</w:t>
      </w:r>
    </w:p>
    <w:p w14:paraId="33FC7A58"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Un conjunto de límites se refiere a un grupo de límites que consta de varios límites individuales asociado a una medición o un equipo. Cada conjunto de límites podrá ser superior para reportar excedencias cuando sobrepasen sus valores límite superiores definidos o podrán ser inferiores para reportar deficiencias cuando sean menores que sus valores límite inferiores definidos.</w:t>
      </w:r>
    </w:p>
    <w:p w14:paraId="77EE536A"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Estos límites también serán utilizados para realizar cálculos y ejecutar acciones en respuesta a las violaciones de los límites, que podrían incluir:  cálculos de los índices de severidad en el Análisis de Contingencias, así como la detección de violaciones por parte de las distintas aplicaciones de seguridad operativa definidas en esta especificación.</w:t>
      </w:r>
    </w:p>
    <w:p w14:paraId="0D02F45C" w14:textId="77777777" w:rsidR="009102A7" w:rsidRPr="00576AF8" w:rsidRDefault="009102A7" w:rsidP="009102A7">
      <w:pPr>
        <w:rPr>
          <w:sz w:val="22"/>
          <w:szCs w:val="22"/>
          <w:lang w:val="es-419"/>
        </w:rPr>
      </w:pPr>
    </w:p>
    <w:p w14:paraId="456521CC"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Los límites utilizados para los valores analógicos ya sean monitoreados o calculados, serán configurados y actualizados en la base de datos del SCADA, o en su defecto, podrán ser ingresados manualmente por el Operador. Éstos se denominan Límites de SCADA.</w:t>
      </w:r>
    </w:p>
    <w:p w14:paraId="53CE67AC"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cuanto a los límites asociados a variables específicas de las distintas aplicaciones, éstos también podrán ser configurados y actualizados en la base de datos de aplicaciones, o en su defecto, podrán ser ingresados manualmente por el Operador. Estos límites se denominan Límites de Seguridad de Red. </w:t>
      </w:r>
    </w:p>
    <w:p w14:paraId="306C2626"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sidDel="002545F0">
        <w:rPr>
          <w:rFonts w:eastAsia="Calibri"/>
          <w:sz w:val="22"/>
          <w:szCs w:val="22"/>
          <w:lang w:val="es-419" w:eastAsia="en-US" w:bidi="ar-SA"/>
        </w:rPr>
        <w:t>Dado</w:t>
      </w:r>
      <w:r w:rsidRPr="00576AF8">
        <w:rPr>
          <w:rFonts w:eastAsia="Calibri"/>
          <w:sz w:val="22"/>
          <w:szCs w:val="22"/>
          <w:lang w:val="es-419" w:eastAsia="en-US" w:bidi="ar-SA"/>
        </w:rPr>
        <w:t xml:space="preserve"> que, en los equipos del sistema de potencia, las variables eléctricas pueden provenir, tanto de valores telemedidos como del resultado de una o varias aplicaciones del Análisis de Seguridad de Red, es importante disponer de la flexibilidad necesaria para que, el Operador pueda seleccionar la fuente de datos, para la generación de alarmas y cálculos dependientes de los </w:t>
      </w:r>
      <w:r w:rsidRPr="00576AF8" w:rsidDel="008033E9">
        <w:rPr>
          <w:rFonts w:eastAsia="Calibri"/>
          <w:sz w:val="22"/>
          <w:szCs w:val="22"/>
          <w:lang w:val="es-419" w:eastAsia="en-US" w:bidi="ar-SA"/>
        </w:rPr>
        <w:t xml:space="preserve">límites, </w:t>
      </w:r>
      <w:r w:rsidRPr="00576AF8">
        <w:rPr>
          <w:rFonts w:eastAsia="Calibri"/>
          <w:sz w:val="22"/>
          <w:szCs w:val="22"/>
          <w:lang w:val="es-419" w:eastAsia="en-US" w:bidi="ar-SA"/>
        </w:rPr>
        <w:t xml:space="preserve">sea del conjunto de Límites de SCADA o del conjunto de Límites de Seguridad de Red. </w:t>
      </w:r>
    </w:p>
    <w:p w14:paraId="40005287"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las aplicaciones de </w:t>
      </w:r>
      <w:r w:rsidRPr="00576AF8" w:rsidDel="008033E9">
        <w:rPr>
          <w:rFonts w:eastAsia="Calibri"/>
          <w:sz w:val="22"/>
          <w:szCs w:val="22"/>
          <w:lang w:val="es-419" w:eastAsia="en-US" w:bidi="ar-SA"/>
        </w:rPr>
        <w:t xml:space="preserve">seguridad, </w:t>
      </w:r>
      <w:r w:rsidRPr="00576AF8">
        <w:rPr>
          <w:rFonts w:eastAsia="Calibri"/>
          <w:sz w:val="22"/>
          <w:szCs w:val="22"/>
          <w:lang w:val="es-419" w:eastAsia="en-US" w:bidi="ar-SA"/>
        </w:rPr>
        <w:t>se podrá utilizar los Límites de SCADA, en el caso que no se definan los Límites de Seguridad de Red. Sin embargo, si se configuran los Límites de Seguridad de Red, estos tendrán prioridad en su utilización para las aplicaciones de seguridad.</w:t>
      </w:r>
    </w:p>
    <w:p w14:paraId="676ACCE6"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Adicionalmente, el Gestor de Límites tendrá un módulo que permita ajustar dinámicamente los límites previamente definidos.  Estos ajustes serán realizados bajo criterios de ingeniería, tales como: condiciones estacionales, rango de fechas, horarios, variables dependientes de condiciones ambientales como temperatura, humedad, velocidad de viento, entre otras. </w:t>
      </w:r>
      <w:r w:rsidRPr="00576AF8" w:rsidDel="000E2261">
        <w:rPr>
          <w:rFonts w:eastAsia="Calibri"/>
          <w:sz w:val="22"/>
          <w:szCs w:val="22"/>
          <w:lang w:val="es-419" w:eastAsia="en-US" w:bidi="ar-SA"/>
        </w:rPr>
        <w:t>Además</w:t>
      </w:r>
      <w:r w:rsidRPr="00576AF8">
        <w:rPr>
          <w:rFonts w:eastAsia="Calibri"/>
          <w:sz w:val="22"/>
          <w:szCs w:val="22"/>
          <w:lang w:val="es-419" w:eastAsia="en-US" w:bidi="ar-SA"/>
        </w:rPr>
        <w:t>, estos límites podrán ser importados desde otros centros de control o incluso ser el resultado de aplicaciones internas o externas más sofisticadas que utilicen algoritmos basados en la utilización de múltiples datos de entrada como valores constantes, telemedidos o valores procesados por las aplicaciones de Seguridad de Red. Este tercer conjunto de límites ajustados dinámicamente por una aplicación interna o externa específica se denominan Límites Calculados.</w:t>
      </w:r>
    </w:p>
    <w:p w14:paraId="074374D1"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conjuntos de límites mencionados anteriormente pueden asociarse a regiones o zonas, definidas según el criterio del ingeniero de soporte funcional que configure la aplicación.  Estas regiones o zonas permitirán la agrupación de límites para facilitar su filtrado y visualización en los despliegues de la aplicación de Gestión de Límites.</w:t>
      </w:r>
    </w:p>
    <w:p w14:paraId="41E5208F"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Límites Calculados, en caso de estar habilitados para un equipo en particular, ya sea medición o variable calculada, tendrán prioridad sobre todos los conjuntos de límites mencionados anteriormente.</w:t>
      </w:r>
    </w:p>
    <w:p w14:paraId="0E1EF55B"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aplicación de Gestión de Límites permitirá al Operador de manera sencilla, elegir y configurar automáticamente el tipo de conjunto de límites a utilizar, caso por caso. Estos conjuntos de límites podrán cambiar en función de múltiples criterios, es decir, por temporada y por hora del día y por varias combinaciones que sean factibles que permitan al operador adaptar el conjunto de límites a la realidad cambiante de la operación del sistema eléctrico.</w:t>
      </w:r>
    </w:p>
    <w:p w14:paraId="54B74AA5"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Una opción disponible por tipo de conjunto de </w:t>
      </w:r>
      <w:r w:rsidRPr="00576AF8" w:rsidDel="008D678D">
        <w:rPr>
          <w:rFonts w:eastAsia="Calibri"/>
          <w:sz w:val="22"/>
          <w:szCs w:val="22"/>
          <w:lang w:val="es-419" w:eastAsia="en-US" w:bidi="ar-SA"/>
        </w:rPr>
        <w:t>límites</w:t>
      </w:r>
      <w:r w:rsidRPr="00576AF8">
        <w:rPr>
          <w:rFonts w:eastAsia="Calibri"/>
          <w:sz w:val="22"/>
          <w:szCs w:val="22"/>
          <w:lang w:val="es-419" w:eastAsia="en-US" w:bidi="ar-SA"/>
        </w:rPr>
        <w:t xml:space="preserve"> permitirá el uso de valores interpolados linealmente con base a un valor de referencia.</w:t>
      </w:r>
    </w:p>
    <w:p w14:paraId="16B78AB0"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conjuntos de límites deberán ser utilizados para configurar el cambio de uno o varios de los límites definidos en los equipos del sistema eléctrico.</w:t>
      </w:r>
    </w:p>
    <w:p w14:paraId="1A504740"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Entre los conjuntos de límites disponibles, uno de ellos podrá ser configurado para que sea el conjunto de límites por defecto. Este conjunto de límites será utilizado cuando las condiciones evaluadas para la selección de límites no ocurran.</w:t>
      </w:r>
    </w:p>
    <w:p w14:paraId="14CA1667"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Se requerirá al menos un número de 20 conjuntos de límites disponibles por punto de SCADA o variable asociada a equipos de red.</w:t>
      </w:r>
    </w:p>
    <w:p w14:paraId="27CA3114"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conjuntos de límites activos podrán ser transmitidos hacia otros centros de control por medio de los enlaces ICCP.  Estos valores se podrán transmitir como variables analógicas o por medio de sets de datos, según se configuren los enlaces.</w:t>
      </w:r>
    </w:p>
    <w:p w14:paraId="12C9A6EF"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Un Evento será generado para registrar cada cambio o activación de conjuntos de límites.  En este evento no será necesario registrar los puntos asociados al conjunto de límites que cambia. </w:t>
      </w:r>
    </w:p>
    <w:p w14:paraId="5D15CA0E"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conjunto de límites en uso y los valores de los límites activos deberán ser visibles en despliegues dinámicos de barras, tendencias, coloreo indicativo, y vinculados a la definición del punto de SCADA o variable asociada al equipo.</w:t>
      </w:r>
    </w:p>
    <w:p w14:paraId="27F573DF"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aplicación de Gestión de Límites deberá disponer de despliegues tabulares dedicados que permitan revisar la configuración de los parámetros utilizados en la definición de los distintos conjuntos de límites y las condiciones de habilitación para su uso.</w:t>
      </w:r>
    </w:p>
    <w:p w14:paraId="0E6B045C" w14:textId="77777777" w:rsidR="009102A7" w:rsidRPr="00576AF8" w:rsidRDefault="009102A7" w:rsidP="009102A7">
      <w:pPr>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Proveedor describirá en detalle las funcionalidades de su aplicación de Gestión de Límites.</w:t>
      </w:r>
    </w:p>
    <w:p w14:paraId="3A9308CD" w14:textId="77777777" w:rsidR="009102A7" w:rsidRPr="00576AF8" w:rsidRDefault="009102A7" w:rsidP="009102A7">
      <w:pPr>
        <w:ind w:left="708" w:right="41" w:firstLine="708"/>
        <w:rPr>
          <w:b/>
          <w:sz w:val="22"/>
          <w:szCs w:val="22"/>
        </w:rPr>
      </w:pPr>
    </w:p>
    <w:p w14:paraId="35C56FF9" w14:textId="77777777" w:rsidR="009102A7" w:rsidRPr="00576AF8" w:rsidRDefault="009102A7" w:rsidP="009102A7">
      <w:pPr>
        <w:ind w:left="720" w:firstLine="696"/>
        <w:jc w:val="left"/>
        <w:outlineLvl w:val="2"/>
        <w:rPr>
          <w:sz w:val="22"/>
          <w:szCs w:val="22"/>
        </w:rPr>
      </w:pPr>
      <w:bookmarkStart w:id="844" w:name="_Toc148955133"/>
      <w:bookmarkStart w:id="845" w:name="_Toc158396608"/>
      <w:bookmarkStart w:id="846" w:name="_Toc160012847"/>
      <w:bookmarkStart w:id="847" w:name="_Toc160434857"/>
      <w:bookmarkStart w:id="848" w:name="_Toc160455982"/>
      <w:r w:rsidRPr="00576AF8">
        <w:rPr>
          <w:b/>
          <w:sz w:val="22"/>
          <w:szCs w:val="22"/>
        </w:rPr>
        <w:t>2.1.1.1.4.3 Configurador de Topología de la Red (Network Model Builder)</w:t>
      </w:r>
      <w:bookmarkEnd w:id="844"/>
      <w:bookmarkEnd w:id="845"/>
      <w:bookmarkEnd w:id="846"/>
      <w:bookmarkEnd w:id="847"/>
      <w:bookmarkEnd w:id="848"/>
    </w:p>
    <w:p w14:paraId="72657294"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Esta función determinará la topología de la red de potencia y construirá el modelo de la red del sistema de potencia con base a la información de los interruptores y seccionadores; tanto en tiempo real como en modo estudio, según sea el caso.  También</w:t>
      </w:r>
      <w:r w:rsidRPr="00576AF8" w:rsidDel="00B6265E">
        <w:rPr>
          <w:rFonts w:eastAsia="Calibri"/>
          <w:sz w:val="22"/>
          <w:szCs w:val="22"/>
          <w:lang w:val="es-419" w:eastAsia="en-US" w:bidi="ar-SA"/>
        </w:rPr>
        <w:t xml:space="preserve"> </w:t>
      </w:r>
      <w:r w:rsidRPr="00576AF8">
        <w:rPr>
          <w:rFonts w:eastAsia="Calibri"/>
          <w:sz w:val="22"/>
          <w:szCs w:val="22"/>
          <w:lang w:val="es-419" w:eastAsia="en-US" w:bidi="ar-SA"/>
        </w:rPr>
        <w:t xml:space="preserve">permitirá indicar, mediante el coloreo dinámico correspondiente, los estados de los equipos: en servicio, energizado, a tierra. </w:t>
      </w:r>
    </w:p>
    <w:p w14:paraId="38E990C7"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tiempo real el configurador de </w:t>
      </w:r>
      <w:r w:rsidRPr="00576AF8" w:rsidDel="00F13F6C">
        <w:rPr>
          <w:rFonts w:eastAsia="Calibri"/>
          <w:sz w:val="22"/>
          <w:szCs w:val="22"/>
          <w:lang w:val="es-419" w:eastAsia="en-US" w:bidi="ar-SA"/>
        </w:rPr>
        <w:t>red</w:t>
      </w:r>
      <w:r w:rsidRPr="00576AF8">
        <w:rPr>
          <w:rFonts w:eastAsia="Calibri"/>
          <w:sz w:val="22"/>
          <w:szCs w:val="22"/>
          <w:lang w:val="es-419" w:eastAsia="en-US" w:bidi="ar-SA"/>
        </w:rPr>
        <w:t xml:space="preserve"> construirá la topología de la red a partir de los estados de los equipos de maniobra de tiempo real y los datos del modelo de red del sistema de potencia con el fin de establecer el modelo de nodo-rama a utilizar en las aplicaciones de seguridad.  También se considerarán los ingresos manuales que correspondan a estados de equipos no telemedidos y cambios de estado de equipos que no están disponibles en tiempo real por falla de telemetría.</w:t>
      </w:r>
    </w:p>
    <w:p w14:paraId="7363E341"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modo estudio,  el configurador de red, construirá la topología de la red a partir de los estados de los equipos de maniobra presentes en caso de estudio iniciado, (una instantánea “</w:t>
      </w:r>
      <w:r w:rsidRPr="00576AF8">
        <w:rPr>
          <w:rFonts w:eastAsia="Calibri"/>
          <w:i/>
          <w:iCs/>
          <w:sz w:val="22"/>
          <w:szCs w:val="22"/>
          <w:lang w:val="es-419" w:eastAsia="en-US" w:bidi="ar-SA"/>
        </w:rPr>
        <w:t>snapshot”</w:t>
      </w:r>
      <w:r w:rsidRPr="00576AF8">
        <w:rPr>
          <w:rFonts w:eastAsia="Calibri"/>
          <w:sz w:val="22"/>
          <w:szCs w:val="22"/>
          <w:lang w:val="es-419" w:eastAsia="en-US" w:bidi="ar-SA"/>
        </w:rPr>
        <w:t xml:space="preserve"> de tiempo real o</w:t>
      </w:r>
      <w:r w:rsidRPr="00576AF8" w:rsidDel="00F604AA">
        <w:rPr>
          <w:rFonts w:eastAsia="Calibri"/>
          <w:sz w:val="22"/>
          <w:szCs w:val="22"/>
          <w:lang w:val="es-419" w:eastAsia="en-US" w:bidi="ar-SA"/>
        </w:rPr>
        <w:t xml:space="preserve"> </w:t>
      </w:r>
      <w:r w:rsidRPr="00576AF8">
        <w:rPr>
          <w:rFonts w:eastAsia="Calibri"/>
          <w:sz w:val="22"/>
          <w:szCs w:val="22"/>
          <w:lang w:val="es-419" w:eastAsia="en-US" w:bidi="ar-SA"/>
        </w:rPr>
        <w:t>desde otro caso de estudio) aceptando las modificaciones que introduzca el operador a través de despliegues unifilares o provenientes de la aplicación de Validación de Maniobras considerando los datos del modelo de red del sistema de potencia con el fin de establecer el modelo nodo-rama a utilizar en las aplicaciones de seguridad.</w:t>
      </w:r>
    </w:p>
    <w:p w14:paraId="5A1220F5"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Configurador de Topología de la Red puede usar también aparte de los interruptores y seccionadores, datos relacionados con la conectividad de la red realizada directamente en los modelos con que se desarrollan los diagramas unifilares.</w:t>
      </w:r>
    </w:p>
    <w:p w14:paraId="04874A06"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 función de Configurador de Topología de la </w:t>
      </w:r>
      <w:r w:rsidRPr="00576AF8" w:rsidDel="005E38E8">
        <w:rPr>
          <w:rFonts w:eastAsia="Calibri"/>
          <w:sz w:val="22"/>
          <w:szCs w:val="22"/>
          <w:lang w:val="es-419" w:eastAsia="en-US" w:bidi="ar-SA"/>
        </w:rPr>
        <w:t xml:space="preserve">Red </w:t>
      </w:r>
      <w:r w:rsidRPr="00576AF8">
        <w:rPr>
          <w:rFonts w:eastAsia="Calibri"/>
          <w:sz w:val="22"/>
          <w:szCs w:val="22"/>
          <w:lang w:val="es-419" w:eastAsia="en-US" w:bidi="ar-SA"/>
        </w:rPr>
        <w:t xml:space="preserve">será la misma para todas las funciones de análisis de red, independientemente del contexto. (por ejemplo, tiempo real, casos de estudio, OTS). </w:t>
      </w:r>
    </w:p>
    <w:p w14:paraId="552F74B0"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tiempo real el Configurador de Topología de Red será activado por cambios de estado de interruptores y seccionadores modelados en la red del sistema de potencia; a solicitud del Operador; en aquellas condiciones donde exista la posibilidad de haber ocurrido algún cambio en la configuración de la red que no fue detectado por la aplicación por haber estado indisponible o luego del reinicio o un </w:t>
      </w:r>
      <w:r w:rsidRPr="00576AF8">
        <w:rPr>
          <w:rFonts w:eastAsia="Calibri"/>
          <w:i/>
          <w:iCs/>
          <w:sz w:val="22"/>
          <w:szCs w:val="22"/>
          <w:lang w:val="es-419" w:eastAsia="en-US" w:bidi="ar-SA"/>
        </w:rPr>
        <w:t>failover</w:t>
      </w:r>
      <w:r w:rsidRPr="00576AF8">
        <w:rPr>
          <w:rFonts w:eastAsia="Calibri"/>
          <w:sz w:val="22"/>
          <w:szCs w:val="22"/>
          <w:lang w:val="es-419" w:eastAsia="en-US" w:bidi="ar-SA"/>
        </w:rPr>
        <w:t xml:space="preserve"> del sistema EMS. En modo Estudio, la activación del configurador de topología será por solicitud del Operador.</w:t>
      </w:r>
    </w:p>
    <w:p w14:paraId="189C59BC"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 xml:space="preserve">El configurador de Topología de Red se ejecutará cada vez que haya un cambio de estado detectado en tiempo real o por cambios de estado ingresados ​​manualmente. También se podrá ejecutar de manera periódica, junto con otras funciones de seguridad, o manualmente, a solicitud del operador. La solicitud de ejecución del configurador de topología de red se inhibirá durante las operaciones de </w:t>
      </w:r>
      <w:r w:rsidRPr="00576AF8">
        <w:rPr>
          <w:rFonts w:eastAsia="Calibri"/>
          <w:i/>
          <w:iCs/>
          <w:sz w:val="22"/>
          <w:szCs w:val="22"/>
          <w:lang w:val="es-419" w:eastAsia="en-US" w:bidi="ar-SA"/>
        </w:rPr>
        <w:t>failover</w:t>
      </w:r>
      <w:r w:rsidRPr="00576AF8">
        <w:rPr>
          <w:rFonts w:eastAsia="Calibri"/>
          <w:sz w:val="22"/>
          <w:szCs w:val="22"/>
          <w:lang w:val="es-419" w:eastAsia="en-US" w:bidi="ar-SA"/>
        </w:rPr>
        <w:t xml:space="preserve"> hasta que el sistema haya alcanzado una condición de estado estable o se haya completado la secuencia del </w:t>
      </w:r>
      <w:r w:rsidRPr="00576AF8">
        <w:rPr>
          <w:rFonts w:eastAsia="Calibri"/>
          <w:i/>
          <w:iCs/>
          <w:sz w:val="22"/>
          <w:szCs w:val="22"/>
          <w:lang w:val="es-419" w:eastAsia="en-US" w:bidi="ar-SA"/>
        </w:rPr>
        <w:t>failover</w:t>
      </w:r>
      <w:r w:rsidRPr="00576AF8">
        <w:rPr>
          <w:rFonts w:eastAsia="Calibri"/>
          <w:sz w:val="22"/>
          <w:szCs w:val="22"/>
          <w:lang w:val="es-419" w:eastAsia="en-US" w:bidi="ar-SA"/>
        </w:rPr>
        <w:t>. Este retraso de tiempo debe ser configurable.</w:t>
      </w:r>
    </w:p>
    <w:p w14:paraId="412B33F3"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salida del Configurador de Topología de red será usada por el Estimador de Estado, y se presentará en despliegues unifilares, tabulares o reportes.</w:t>
      </w:r>
    </w:p>
    <w:p w14:paraId="3174C306"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Configurador de Topología de Red cumplirá con los siguientes requisitos mínimos:</w:t>
      </w:r>
    </w:p>
    <w:p w14:paraId="676A9D89"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determinar el estado de “en servicio/fuera de servicio” de todos los componentes en el modelo de red del sistema de potencia</w:t>
      </w:r>
    </w:p>
    <w:p w14:paraId="002A813E"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determinar el estado de conectividad de las barras para todos los equipos en el modelo de red del sistema de potencia a través de la identificación de los nodos y las ramas del modelo de la red.</w:t>
      </w:r>
    </w:p>
    <w:p w14:paraId="79ACCD49"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construir las barras del flujo de potencia mediante recorridos de continuidad sobre las distintas secciones de barras que se puedan haber definido en las diferentes subestaciones y equipos</w:t>
      </w:r>
    </w:p>
    <w:p w14:paraId="754C5856"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Capacidad para reconocer </w:t>
      </w:r>
      <w:r w:rsidRPr="00576AF8" w:rsidDel="0095114C">
        <w:rPr>
          <w:rFonts w:eastAsia="Calibri"/>
          <w:sz w:val="22"/>
          <w:szCs w:val="22"/>
          <w:lang w:val="es-419" w:eastAsia="en-US" w:bidi="ar-SA"/>
        </w:rPr>
        <w:t xml:space="preserve">las </w:t>
      </w:r>
      <w:r w:rsidRPr="00576AF8">
        <w:rPr>
          <w:rFonts w:eastAsia="Calibri"/>
          <w:sz w:val="22"/>
          <w:szCs w:val="22"/>
          <w:lang w:val="es-419" w:eastAsia="en-US" w:bidi="ar-SA"/>
        </w:rPr>
        <w:t>mediciones adecuadas tanto analógicas y digitales que se originarán como consecuencia de la puesta "en-servicio" de dispositivos de conexiones en paralelo (bypass switches)</w:t>
      </w:r>
    </w:p>
    <w:p w14:paraId="0CE5DC59"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determinar cualquier cambio en la configuración de la red</w:t>
      </w:r>
    </w:p>
    <w:p w14:paraId="6942F49B"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evaluar la configuración de la topología en función de la coherencia con los valores analógicos o medidos.</w:t>
      </w:r>
    </w:p>
    <w:p w14:paraId="48AED9F1"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incluir nuevamente las mediciones rechazadas en el conjunto de mediciones de manera manual</w:t>
      </w:r>
    </w:p>
    <w:p w14:paraId="76EBC126"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detectar múltiples islas y determinar el estado de energización de cada isla.</w:t>
      </w:r>
    </w:p>
    <w:p w14:paraId="4D5DBD66"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pasar las islas activas a la aplicación de Control Automático de la Generación AGC, luego de un evento que cause la formación de estas para la gestión del AGC en islas.</w:t>
      </w:r>
    </w:p>
    <w:p w14:paraId="2037CFCB"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islas topológicas determinadas sin carga, generación y fuentes de voltaje no se considerarán para evaluar la convergencia del algoritmo de estimación de estado. La solución de flujo de potencia debe resolverse excluyendo las islas que se identifican mediante el procesamiento de topología.</w:t>
      </w:r>
    </w:p>
    <w:p w14:paraId="182B5B24"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actualizar la topología del sistema de potencia ante cualquier cambio de estado</w:t>
      </w:r>
    </w:p>
    <w:p w14:paraId="525436FD"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pérdida de telemetría en una subestación o en una bahía, no conduce a un estado indefinido en ningún elemento de maniobra controlable. Se mantiene el último estado conocido del interruptor.</w:t>
      </w:r>
    </w:p>
    <w:p w14:paraId="03CE699F" w14:textId="77777777" w:rsidR="009102A7" w:rsidRPr="00576AF8" w:rsidRDefault="009102A7" w:rsidP="009102A7">
      <w:pPr>
        <w:numPr>
          <w:ilvl w:val="0"/>
          <w:numId w:val="31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Permitir el ingreso manual para el mínimo número de barras de flujo de potencia en una isla en servicio.</w:t>
      </w:r>
    </w:p>
    <w:p w14:paraId="20B6A6D8" w14:textId="77777777" w:rsidR="009102A7" w:rsidRPr="00576AF8" w:rsidRDefault="009102A7" w:rsidP="009102A7">
      <w:pPr>
        <w:numPr>
          <w:ilvl w:val="0"/>
          <w:numId w:val="2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Configurador de </w:t>
      </w:r>
      <w:r w:rsidRPr="00576AF8" w:rsidDel="008459D6">
        <w:rPr>
          <w:rFonts w:eastAsia="Calibri"/>
          <w:sz w:val="22"/>
          <w:szCs w:val="22"/>
          <w:lang w:val="es-419" w:eastAsia="en-US" w:bidi="ar-SA"/>
        </w:rPr>
        <w:t xml:space="preserve">Red </w:t>
      </w:r>
      <w:r w:rsidRPr="00576AF8">
        <w:rPr>
          <w:rFonts w:eastAsia="Calibri"/>
          <w:sz w:val="22"/>
          <w:szCs w:val="22"/>
          <w:lang w:val="es-419" w:eastAsia="en-US" w:bidi="ar-SA"/>
        </w:rPr>
        <w:t>producirá al menos las siguientes salidas:</w:t>
      </w:r>
    </w:p>
    <w:p w14:paraId="1A2B7B25"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Estado de “en servicio/fuera de servicio” de equipos</w:t>
      </w:r>
    </w:p>
    <w:p w14:paraId="112009A5"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Tablas indexadas de la red del sistema de potencia para configurar el modelo de nodo y ramas, que permita representar la topología real de la red.</w:t>
      </w:r>
    </w:p>
    <w:p w14:paraId="151EB232"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Islas eléctricas existentes coloreadas dinámicamente para facilitar la identificación de estas por parte del operador, solo si no dispone en el SCADA de un sistema de coloreo dinámico que cumpla con esta funcionalidad.</w:t>
      </w:r>
    </w:p>
    <w:p w14:paraId="55A6E4EE"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Equipos desenergizados</w:t>
      </w:r>
    </w:p>
    <w:p w14:paraId="7EA96436"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Equipos de dos o tres terminales con uno de los terminales sin conexión a modelo topológico</w:t>
      </w:r>
    </w:p>
    <w:p w14:paraId="43765F15"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Equipos en condición fuera de normal</w:t>
      </w:r>
    </w:p>
    <w:p w14:paraId="2F2A7F06"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Configuración de barras del flujo de potencia</w:t>
      </w:r>
    </w:p>
    <w:p w14:paraId="0C57CD38" w14:textId="77777777" w:rsidR="009102A7" w:rsidRPr="00576AF8" w:rsidRDefault="009102A7" w:rsidP="009102A7">
      <w:pPr>
        <w:numPr>
          <w:ilvl w:val="0"/>
          <w:numId w:val="31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Alarmas para indicar la detección de una nueva topología</w:t>
      </w:r>
    </w:p>
    <w:p w14:paraId="1F688E2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00" w:hanging="360"/>
        <w:rPr>
          <w:rFonts w:eastAsia="Calibri"/>
          <w:sz w:val="22"/>
          <w:szCs w:val="22"/>
          <w:lang w:val="es-419" w:eastAsia="en-US" w:bidi="ar-SA"/>
        </w:rPr>
      </w:pPr>
    </w:p>
    <w:p w14:paraId="09211E9F" w14:textId="77777777" w:rsidR="009102A7" w:rsidRPr="00576AF8" w:rsidRDefault="009102A7" w:rsidP="009102A7">
      <w:pPr>
        <w:ind w:left="720" w:firstLine="696"/>
        <w:jc w:val="left"/>
        <w:outlineLvl w:val="2"/>
        <w:rPr>
          <w:sz w:val="22"/>
          <w:szCs w:val="22"/>
        </w:rPr>
      </w:pPr>
      <w:bookmarkStart w:id="849" w:name="_Toc148955134"/>
      <w:bookmarkStart w:id="850" w:name="_Toc158396609"/>
      <w:bookmarkStart w:id="851" w:name="_Toc160012848"/>
      <w:bookmarkStart w:id="852" w:name="_Toc160434858"/>
      <w:bookmarkStart w:id="853" w:name="_Toc160455983"/>
      <w:r w:rsidRPr="00576AF8">
        <w:rPr>
          <w:b/>
          <w:sz w:val="22"/>
          <w:szCs w:val="22"/>
        </w:rPr>
        <w:t>2.1.1.1.4.4 Configurador de Datos de Carga, Intercambio y de Regulación de Voltaje (Bus Scheduler)</w:t>
      </w:r>
      <w:bookmarkEnd w:id="849"/>
      <w:bookmarkEnd w:id="850"/>
      <w:bookmarkEnd w:id="851"/>
      <w:bookmarkEnd w:id="852"/>
      <w:bookmarkEnd w:id="853"/>
    </w:p>
    <w:p w14:paraId="56A067B1" w14:textId="77777777" w:rsidR="009102A7" w:rsidRPr="00576AF8" w:rsidRDefault="009102A7" w:rsidP="009102A7">
      <w:pPr>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Estas funcionalidades tienen por </w:t>
      </w:r>
      <w:r w:rsidRPr="00576AF8" w:rsidDel="009F67B1">
        <w:rPr>
          <w:rFonts w:eastAsia="Calibri"/>
          <w:sz w:val="22"/>
          <w:szCs w:val="22"/>
          <w:lang w:val="es-419" w:eastAsia="en-US" w:bidi="ar-SA"/>
        </w:rPr>
        <w:t xml:space="preserve">objetivo </w:t>
      </w:r>
      <w:r w:rsidRPr="00576AF8">
        <w:rPr>
          <w:rFonts w:eastAsia="Calibri"/>
          <w:sz w:val="22"/>
          <w:szCs w:val="22"/>
          <w:lang w:val="es-419" w:eastAsia="en-US" w:bidi="ar-SA"/>
        </w:rPr>
        <w:t xml:space="preserve">producir valores de carga, de intercambios y de voltajes de regulación, consistentes y representativos, tales que permitan la ejecución normal del estimador de estado y el flujo de </w:t>
      </w:r>
      <w:r w:rsidRPr="00576AF8" w:rsidDel="0089768D">
        <w:rPr>
          <w:rFonts w:eastAsia="Calibri"/>
          <w:sz w:val="22"/>
          <w:szCs w:val="22"/>
          <w:lang w:val="es-419" w:eastAsia="en-US" w:bidi="ar-SA"/>
        </w:rPr>
        <w:t xml:space="preserve">potencia, </w:t>
      </w:r>
      <w:r w:rsidRPr="00576AF8">
        <w:rPr>
          <w:rFonts w:eastAsia="Calibri"/>
          <w:sz w:val="22"/>
          <w:szCs w:val="22"/>
          <w:lang w:val="es-419" w:eastAsia="en-US" w:bidi="ar-SA"/>
        </w:rPr>
        <w:t>incluso en situaciones donde no existen suficientes datos disponibles en tiempo real.</w:t>
      </w:r>
    </w:p>
    <w:p w14:paraId="62B6D866" w14:textId="77777777" w:rsidR="009102A7" w:rsidRPr="00576AF8" w:rsidRDefault="009102A7" w:rsidP="009102A7">
      <w:pPr>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mejorar la observabilidad, debería ser posible identificar mediciones erróneas y reemplazarlas por pseudo mediciones. Éstas se crearán a partir de archivos de asignación previamente guardados y creados por Temporada/Tipo de Día/Hora del día. Los intervalos de tiempo podrán ser configurados con resoluciones a partir de 15 minutos.</w:t>
      </w:r>
    </w:p>
    <w:p w14:paraId="1B98BEDD" w14:textId="77777777" w:rsidR="009102A7" w:rsidRPr="00576AF8" w:rsidRDefault="009102A7" w:rsidP="009102A7">
      <w:pPr>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archivos de asignación se actualizarán automáticamente después de cada solución válida del Estimador de Estado. El proveedor deberá describir las rutinas de actualización y las funcionalidades que tiene para evitar que ejecuciones inválidas o con resultados erróneos del estimador de estado, puedan afectar a los valores de referencia para la asignación de cargas.</w:t>
      </w:r>
    </w:p>
    <w:p w14:paraId="4DDED6C9" w14:textId="77777777" w:rsidR="009102A7" w:rsidRPr="00576AF8" w:rsidRDefault="009102A7" w:rsidP="009102A7">
      <w:pPr>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Esta funcionalidad no debe considerarse como una aplicación adicional especial. De acuerdo con el estándar el Proveedor, cualquier método de asignación eficaz, debidamente documentado en su propuesta, es aceptable.</w:t>
      </w:r>
    </w:p>
    <w:p w14:paraId="78E2C731" w14:textId="77777777" w:rsidR="009102A7" w:rsidRPr="00576AF8" w:rsidRDefault="009102A7" w:rsidP="009102A7">
      <w:pPr>
        <w:numPr>
          <w:ilvl w:val="0"/>
          <w:numId w:val="214"/>
        </w:numPr>
        <w:rPr>
          <w:sz w:val="22"/>
          <w:szCs w:val="22"/>
        </w:rPr>
      </w:pPr>
      <w:r w:rsidRPr="00576AF8">
        <w:rPr>
          <w:sz w:val="22"/>
          <w:szCs w:val="22"/>
        </w:rPr>
        <w:t>El Proveedor, debe presentar el método que utiliza para generar los datos y las condiciones en las que se reemplazan.</w:t>
      </w:r>
    </w:p>
    <w:p w14:paraId="2F008B67" w14:textId="77777777" w:rsidR="009102A7" w:rsidRPr="00576AF8" w:rsidRDefault="009102A7" w:rsidP="009102A7">
      <w:pPr>
        <w:rPr>
          <w:b/>
          <w:sz w:val="22"/>
          <w:szCs w:val="22"/>
          <w:lang w:val="es-EC"/>
        </w:rPr>
      </w:pPr>
    </w:p>
    <w:p w14:paraId="42F0B7C6" w14:textId="77777777" w:rsidR="009102A7" w:rsidRPr="00576AF8" w:rsidRDefault="009102A7" w:rsidP="009102A7">
      <w:pPr>
        <w:ind w:left="720" w:firstLine="696"/>
        <w:jc w:val="left"/>
        <w:outlineLvl w:val="2"/>
        <w:rPr>
          <w:bCs/>
          <w:color w:val="000000"/>
          <w:sz w:val="22"/>
          <w:szCs w:val="22"/>
          <w:lang w:val="es-EC" w:eastAsia="es-EC" w:bidi="ar-SA"/>
        </w:rPr>
      </w:pPr>
      <w:bookmarkStart w:id="854" w:name="_Toc148955135"/>
      <w:bookmarkStart w:id="855" w:name="_Toc158396610"/>
      <w:bookmarkStart w:id="856" w:name="_Toc160012849"/>
      <w:bookmarkStart w:id="857" w:name="_Toc160434859"/>
      <w:bookmarkStart w:id="858" w:name="_Toc160455984"/>
      <w:r w:rsidRPr="00576AF8">
        <w:rPr>
          <w:b/>
          <w:sz w:val="22"/>
          <w:szCs w:val="22"/>
        </w:rPr>
        <w:t xml:space="preserve">2.1.1.1.4.4.1 </w:t>
      </w:r>
      <w:r w:rsidRPr="00576AF8">
        <w:rPr>
          <w:b/>
          <w:bCs/>
          <w:color w:val="000000"/>
          <w:sz w:val="22"/>
          <w:szCs w:val="22"/>
          <w:lang w:val="es-EC" w:eastAsia="es-EC" w:bidi="ar-SA"/>
        </w:rPr>
        <w:t>Configurador de Carga</w:t>
      </w:r>
      <w:bookmarkEnd w:id="854"/>
      <w:bookmarkEnd w:id="855"/>
      <w:bookmarkEnd w:id="856"/>
      <w:bookmarkEnd w:id="857"/>
      <w:bookmarkEnd w:id="858"/>
    </w:p>
    <w:p w14:paraId="27C6FA1A" w14:textId="77777777" w:rsidR="009102A7" w:rsidRPr="00576AF8" w:rsidRDefault="009102A7" w:rsidP="009102A7">
      <w:pPr>
        <w:numPr>
          <w:ilvl w:val="0"/>
          <w:numId w:val="2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configurador de carga (</w:t>
      </w:r>
      <w:r w:rsidRPr="00576AF8">
        <w:rPr>
          <w:rFonts w:eastAsia="Calibri"/>
          <w:i/>
          <w:iCs/>
          <w:sz w:val="22"/>
          <w:szCs w:val="22"/>
          <w:lang w:val="es-419" w:eastAsia="en-US" w:bidi="ar-SA"/>
        </w:rPr>
        <w:t>Load Allocation</w:t>
      </w:r>
      <w:r w:rsidRPr="00576AF8">
        <w:rPr>
          <w:rFonts w:eastAsia="Calibri"/>
          <w:sz w:val="22"/>
          <w:szCs w:val="22"/>
          <w:lang w:val="es-419" w:eastAsia="en-US" w:bidi="ar-SA"/>
        </w:rPr>
        <w:t>) garantizará que las cargas totales por área o zona calculadas a partir de las barras de carga coincidan con la carga prevista. Lo anterior, será logrado mediante la creación de cargas en base a factores de distribución de carga. Se asume que para esta función se utilizarán archivos con resolución horaria de distribución de carga por día tipo, con un mínimo de cinco (5) días tipo, los cuales podrán ser actualizados por el Operador o generados automáticamente a partir de resultados válidos del estimador de estado.  Existirán archivos de distribución de carga tanto para las áreas o zonas internas como para las externas.</w:t>
      </w:r>
    </w:p>
    <w:p w14:paraId="177582C0" w14:textId="77777777" w:rsidR="009102A7" w:rsidRPr="00576AF8" w:rsidRDefault="009102A7" w:rsidP="009102A7">
      <w:pPr>
        <w:numPr>
          <w:ilvl w:val="0"/>
          <w:numId w:val="2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Las cargas iniciales, con valores por hora o de 15 minutos deben crearse a partir de la herramienta de mantenimiento de ingeniería de datos con una fuente SDB.</w:t>
      </w:r>
    </w:p>
    <w:p w14:paraId="1225C849" w14:textId="77777777" w:rsidR="009102A7" w:rsidRPr="00576AF8" w:rsidRDefault="009102A7" w:rsidP="009102A7">
      <w:pPr>
        <w:numPr>
          <w:ilvl w:val="0"/>
          <w:numId w:val="2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Una vez que los archivos de distribución de carga se han creado y actualizado con el uso continuo del estimador de estado, el operador, si está satisfecho con esos valores, podrá actualizar los datos de origen creados con la herramienta de ingeniería de datos SDB. Esto significa que las aplicaciones pueden inicializarse con los archivos generados desde el estimador de estado y/o actualizarse por el operador, como si éstos hubieran sido cargados a través de la herramienta de mantenimiento de la base de datos.</w:t>
      </w:r>
    </w:p>
    <w:p w14:paraId="4E814567" w14:textId="77777777" w:rsidR="009102A7" w:rsidRPr="00576AF8" w:rsidRDefault="009102A7" w:rsidP="009102A7">
      <w:pPr>
        <w:numPr>
          <w:ilvl w:val="0"/>
          <w:numId w:val="2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Cuando se ingresen nuevas cargas, los factores de distribución de carga se ajustarán automáticamente para obtener los nuevos valores de carga en el sistema.</w:t>
      </w:r>
    </w:p>
    <w:p w14:paraId="505052B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8"/>
        <w:rPr>
          <w:rFonts w:eastAsia="Calibri"/>
          <w:sz w:val="22"/>
          <w:szCs w:val="22"/>
          <w:lang w:val="es-419" w:eastAsia="en-US" w:bidi="ar-SA"/>
        </w:rPr>
      </w:pPr>
    </w:p>
    <w:p w14:paraId="348114B6" w14:textId="77777777" w:rsidR="009102A7" w:rsidRPr="00576AF8" w:rsidRDefault="009102A7" w:rsidP="009102A7">
      <w:pPr>
        <w:ind w:left="720" w:firstLine="696"/>
        <w:jc w:val="left"/>
        <w:outlineLvl w:val="2"/>
        <w:rPr>
          <w:bCs/>
          <w:color w:val="000000"/>
          <w:sz w:val="22"/>
          <w:szCs w:val="22"/>
          <w:lang w:val="es-EC" w:eastAsia="es-EC" w:bidi="ar-SA"/>
        </w:rPr>
      </w:pPr>
      <w:bookmarkStart w:id="859" w:name="_Toc148955136"/>
      <w:bookmarkStart w:id="860" w:name="_Toc158396611"/>
      <w:bookmarkStart w:id="861" w:name="_Toc160012850"/>
      <w:bookmarkStart w:id="862" w:name="_Toc160434860"/>
      <w:bookmarkStart w:id="863" w:name="_Toc160455985"/>
      <w:r w:rsidRPr="00576AF8">
        <w:rPr>
          <w:b/>
          <w:sz w:val="22"/>
          <w:szCs w:val="22"/>
        </w:rPr>
        <w:t xml:space="preserve">2.1.1.1.4.4.2 </w:t>
      </w:r>
      <w:r w:rsidRPr="00576AF8">
        <w:rPr>
          <w:b/>
          <w:bCs/>
          <w:color w:val="000000"/>
          <w:sz w:val="22"/>
          <w:szCs w:val="22"/>
          <w:lang w:val="es-EC" w:eastAsia="es-EC" w:bidi="ar-SA"/>
        </w:rPr>
        <w:t>Intercambios</w:t>
      </w:r>
      <w:bookmarkEnd w:id="859"/>
      <w:bookmarkEnd w:id="860"/>
      <w:bookmarkEnd w:id="861"/>
      <w:bookmarkEnd w:id="862"/>
      <w:bookmarkEnd w:id="863"/>
    </w:p>
    <w:p w14:paraId="57045DBC" w14:textId="77777777" w:rsidR="009102A7" w:rsidRPr="00576AF8" w:rsidRDefault="009102A7" w:rsidP="009102A7">
      <w:pPr>
        <w:numPr>
          <w:ilvl w:val="0"/>
          <w:numId w:val="31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intercambios netos con otros países (Colombia y Perú) serán inicializados a los propósitos de esta aplicación con los valores telemedidos (en tiempo real) y en condición de falla de telemedidas, con valores almacenados en archivos con resolución horaria de intercambios por día tipo, con un mínimo de cinco (5) días tipo, los cuales podrán ser actualizados por el Operador o generados automáticamente a partir de resultados válidos del estimador de estado. En los archivos de programas de intercambio, los valores de intercambio podrán se almacenado cómo un porcentaje de la demanda del área.</w:t>
      </w:r>
    </w:p>
    <w:p w14:paraId="5D8CEA6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8"/>
        <w:rPr>
          <w:rFonts w:eastAsia="Calibri"/>
          <w:sz w:val="22"/>
          <w:szCs w:val="22"/>
          <w:lang w:val="es-419" w:eastAsia="en-US" w:bidi="ar-SA"/>
        </w:rPr>
      </w:pPr>
    </w:p>
    <w:p w14:paraId="02099451" w14:textId="77777777" w:rsidR="009102A7" w:rsidRPr="00576AF8" w:rsidRDefault="009102A7" w:rsidP="009102A7">
      <w:pPr>
        <w:ind w:left="720" w:firstLine="696"/>
        <w:jc w:val="left"/>
        <w:outlineLvl w:val="2"/>
        <w:rPr>
          <w:bCs/>
          <w:color w:val="000000"/>
          <w:sz w:val="22"/>
          <w:szCs w:val="22"/>
          <w:lang w:val="es-EC" w:eastAsia="es-EC" w:bidi="ar-SA"/>
        </w:rPr>
      </w:pPr>
      <w:r w:rsidRPr="00576AF8">
        <w:rPr>
          <w:b/>
          <w:sz w:val="22"/>
          <w:szCs w:val="22"/>
        </w:rPr>
        <w:t xml:space="preserve">2.1.1.4.4.3 </w:t>
      </w:r>
      <w:r w:rsidRPr="00576AF8">
        <w:rPr>
          <w:b/>
          <w:bCs/>
          <w:color w:val="000000"/>
          <w:sz w:val="22"/>
          <w:szCs w:val="22"/>
          <w:lang w:val="es-EC" w:eastAsia="es-EC" w:bidi="ar-SA"/>
        </w:rPr>
        <w:t>Equipos de Regulación</w:t>
      </w:r>
    </w:p>
    <w:p w14:paraId="448B968E" w14:textId="77777777" w:rsidR="009102A7" w:rsidRPr="00576AF8" w:rsidRDefault="009102A7" w:rsidP="009102A7">
      <w:pPr>
        <w:ind w:left="1778" w:right="41"/>
        <w:contextualSpacing/>
        <w:rPr>
          <w:b/>
          <w:bCs/>
          <w:color w:val="000000"/>
          <w:sz w:val="22"/>
          <w:szCs w:val="22"/>
          <w:lang w:val="es-EC" w:eastAsia="es-EC" w:bidi="ar-SA"/>
        </w:rPr>
      </w:pPr>
    </w:p>
    <w:p w14:paraId="3A1BA918" w14:textId="77777777" w:rsidR="009102A7" w:rsidRPr="00576AF8" w:rsidRDefault="009102A7" w:rsidP="009102A7">
      <w:pPr>
        <w:numPr>
          <w:ilvl w:val="0"/>
          <w:numId w:val="314"/>
        </w:numPr>
        <w:ind w:right="41"/>
        <w:contextualSpacing/>
        <w:rPr>
          <w:color w:val="000000"/>
          <w:sz w:val="22"/>
          <w:szCs w:val="22"/>
          <w:lang w:val="es-EC" w:eastAsia="es-EC" w:bidi="ar-SA"/>
        </w:rPr>
      </w:pPr>
      <w:r w:rsidRPr="00576AF8">
        <w:rPr>
          <w:color w:val="000000"/>
          <w:sz w:val="22"/>
          <w:szCs w:val="22"/>
          <w:lang w:val="es-EC" w:eastAsia="es-EC" w:bidi="ar-SA"/>
        </w:rPr>
        <w:t xml:space="preserve">Para las barras reguladas, es decir donde hay equipos capaces de realizar control de voltaje, el configurador de voltajes estará en condiciones de definir en forma horaria y por día tipo, de manera análoga como se realiza para los factores de distribución de carga, los valores de referencia de voltaje para generadores y equipos de compensación estática. Adicionalmente tendrá la capacidad </w:t>
      </w:r>
      <w:r w:rsidRPr="00576AF8" w:rsidDel="0089768D">
        <w:rPr>
          <w:color w:val="000000"/>
          <w:sz w:val="22"/>
          <w:szCs w:val="22"/>
          <w:lang w:val="es-EC" w:eastAsia="es-EC" w:bidi="ar-SA"/>
        </w:rPr>
        <w:t xml:space="preserve">para </w:t>
      </w:r>
      <w:r w:rsidRPr="00576AF8">
        <w:rPr>
          <w:color w:val="000000"/>
          <w:sz w:val="22"/>
          <w:szCs w:val="22"/>
          <w:lang w:val="es-EC" w:eastAsia="es-EC" w:bidi="ar-SA"/>
        </w:rPr>
        <w:t>programar y definir horarios de conexión y desconexión de reactancias o capacitancias.</w:t>
      </w:r>
    </w:p>
    <w:p w14:paraId="5232D097" w14:textId="77777777" w:rsidR="009102A7" w:rsidRPr="00576AF8" w:rsidRDefault="009102A7" w:rsidP="009102A7">
      <w:pPr>
        <w:numPr>
          <w:ilvl w:val="0"/>
          <w:numId w:val="314"/>
        </w:numPr>
        <w:ind w:right="41"/>
        <w:contextualSpacing/>
        <w:rPr>
          <w:color w:val="000000"/>
          <w:sz w:val="22"/>
          <w:szCs w:val="22"/>
          <w:lang w:val="es-EC" w:eastAsia="es-EC" w:bidi="ar-SA"/>
        </w:rPr>
      </w:pPr>
      <w:r w:rsidRPr="00576AF8">
        <w:rPr>
          <w:color w:val="000000"/>
          <w:sz w:val="22"/>
          <w:szCs w:val="22"/>
          <w:lang w:val="es-EC" w:eastAsia="es-EC" w:bidi="ar-SA"/>
        </w:rPr>
        <w:t xml:space="preserve">Para las magnitudes de voltajes reguladas predefinidas, será posible aplicar una tolerancia en la vecindad de este. Esta tolerancia será un valor porcentual que se aplicará al voltaje programado. La tolerancia a estos voltajes será </w:t>
      </w:r>
      <w:r w:rsidRPr="00576AF8" w:rsidDel="00A30DF4">
        <w:rPr>
          <w:color w:val="000000"/>
          <w:sz w:val="22"/>
          <w:szCs w:val="22"/>
          <w:lang w:val="es-EC" w:eastAsia="es-EC" w:bidi="ar-SA"/>
        </w:rPr>
        <w:t xml:space="preserve">posible </w:t>
      </w:r>
      <w:r w:rsidRPr="00576AF8">
        <w:rPr>
          <w:color w:val="000000"/>
          <w:sz w:val="22"/>
          <w:szCs w:val="22"/>
          <w:lang w:val="es-EC" w:eastAsia="es-EC" w:bidi="ar-SA"/>
        </w:rPr>
        <w:t>definir en forma individual por cada barra de regulación.</w:t>
      </w:r>
    </w:p>
    <w:p w14:paraId="027906A7" w14:textId="77777777" w:rsidR="009102A7" w:rsidRPr="00576AF8" w:rsidRDefault="009102A7" w:rsidP="009102A7">
      <w:pPr>
        <w:numPr>
          <w:ilvl w:val="0"/>
          <w:numId w:val="314"/>
        </w:numPr>
        <w:ind w:right="41"/>
        <w:contextualSpacing/>
        <w:rPr>
          <w:color w:val="000000"/>
          <w:sz w:val="22"/>
          <w:szCs w:val="22"/>
          <w:lang w:val="es-EC" w:eastAsia="es-EC" w:bidi="ar-SA"/>
        </w:rPr>
      </w:pPr>
      <w:r w:rsidRPr="00576AF8">
        <w:rPr>
          <w:color w:val="000000"/>
          <w:sz w:val="22"/>
          <w:szCs w:val="22"/>
          <w:lang w:val="es-EC" w:eastAsia="es-EC" w:bidi="ar-SA"/>
        </w:rPr>
        <w:t>El Proveedor describirá la forma como su programación estándar actualiza los equipos de regulación antes indicados.</w:t>
      </w:r>
    </w:p>
    <w:p w14:paraId="7800E751" w14:textId="77777777" w:rsidR="009102A7" w:rsidRPr="00576AF8" w:rsidRDefault="009102A7" w:rsidP="009102A7">
      <w:pPr>
        <w:ind w:left="2486" w:right="41"/>
        <w:contextualSpacing/>
        <w:rPr>
          <w:color w:val="000000"/>
          <w:sz w:val="22"/>
          <w:szCs w:val="22"/>
          <w:lang w:val="es-EC" w:eastAsia="es-EC" w:bidi="ar-SA"/>
        </w:rPr>
      </w:pPr>
    </w:p>
    <w:p w14:paraId="55B7068A" w14:textId="77777777" w:rsidR="009102A7" w:rsidRPr="00576AF8" w:rsidRDefault="009102A7" w:rsidP="009102A7">
      <w:pPr>
        <w:ind w:left="720" w:firstLine="696"/>
        <w:jc w:val="left"/>
        <w:outlineLvl w:val="2"/>
        <w:rPr>
          <w:sz w:val="22"/>
          <w:szCs w:val="22"/>
        </w:rPr>
      </w:pPr>
      <w:bookmarkStart w:id="864" w:name="_Toc148955138"/>
      <w:bookmarkStart w:id="865" w:name="_Toc158396613"/>
      <w:bookmarkStart w:id="866" w:name="_Toc160012852"/>
      <w:bookmarkStart w:id="867" w:name="_Toc160434862"/>
      <w:bookmarkStart w:id="868" w:name="_Toc160455987"/>
      <w:r w:rsidRPr="00576AF8">
        <w:rPr>
          <w:b/>
          <w:sz w:val="22"/>
          <w:szCs w:val="22"/>
        </w:rPr>
        <w:t>2.1.1.1.4.5 Detector de Topología Errónea (Bad Topology Detection)</w:t>
      </w:r>
      <w:bookmarkEnd w:id="864"/>
      <w:bookmarkEnd w:id="865"/>
      <w:bookmarkEnd w:id="866"/>
      <w:bookmarkEnd w:id="867"/>
      <w:bookmarkEnd w:id="868"/>
    </w:p>
    <w:p w14:paraId="6982AD21" w14:textId="77777777" w:rsidR="009102A7" w:rsidRPr="00576AF8" w:rsidRDefault="009102A7" w:rsidP="009102A7">
      <w:pPr>
        <w:numPr>
          <w:ilvl w:val="0"/>
          <w:numId w:val="315"/>
        </w:numPr>
        <w:ind w:right="41"/>
        <w:contextualSpacing/>
        <w:rPr>
          <w:color w:val="000000"/>
          <w:sz w:val="22"/>
          <w:szCs w:val="22"/>
          <w:lang w:val="es-EC" w:eastAsia="es-EC" w:bidi="ar-SA"/>
        </w:rPr>
      </w:pPr>
      <w:r w:rsidRPr="00576AF8">
        <w:rPr>
          <w:color w:val="000000"/>
          <w:sz w:val="22"/>
          <w:szCs w:val="22"/>
          <w:lang w:val="es-EC" w:eastAsia="es-EC" w:bidi="ar-SA"/>
        </w:rPr>
        <w:t>Para facilitar la identificación de condiciones anormales en los modelos de la red y en las mediciones que participan en el Estimador de Estado, se requiere una aplicación que permita al Operador identificar y corregir estas anomalías.  Esta aplicación se denomina Detector de Topología Errónea BTD por sus siglas en inglés.</w:t>
      </w:r>
    </w:p>
    <w:p w14:paraId="5538B263" w14:textId="77777777" w:rsidR="009102A7" w:rsidRPr="00576AF8" w:rsidRDefault="009102A7" w:rsidP="009102A7">
      <w:pPr>
        <w:numPr>
          <w:ilvl w:val="0"/>
          <w:numId w:val="315"/>
        </w:numPr>
        <w:ind w:right="41"/>
        <w:contextualSpacing/>
        <w:rPr>
          <w:color w:val="000000"/>
          <w:sz w:val="22"/>
          <w:szCs w:val="22"/>
          <w:lang w:val="es-EC" w:eastAsia="es-EC" w:bidi="ar-SA"/>
        </w:rPr>
      </w:pPr>
      <w:r w:rsidRPr="00576AF8">
        <w:rPr>
          <w:color w:val="000000"/>
          <w:sz w:val="22"/>
          <w:szCs w:val="22"/>
          <w:lang w:val="es-EC" w:eastAsia="es-EC" w:bidi="ar-SA"/>
        </w:rPr>
        <w:t>La aplicación BTD sirve para identificar topologías de red erróneas y mediciones de flujo de potencia anormales.  Adicionalmente, verificará las inconsistencias en los estados de los interruptores y seccionadores, con el fin de permitir su corrección, previa a la construcción del modelo de red y a la ejecución de las aplicaciones que dependen de su ejecución.</w:t>
      </w:r>
    </w:p>
    <w:p w14:paraId="7B207347" w14:textId="77777777" w:rsidR="009102A7" w:rsidRPr="00576AF8" w:rsidRDefault="009102A7" w:rsidP="009102A7">
      <w:pPr>
        <w:ind w:left="2486" w:right="41"/>
        <w:contextualSpacing/>
        <w:rPr>
          <w:color w:val="000000"/>
          <w:sz w:val="22"/>
          <w:szCs w:val="22"/>
          <w:lang w:val="es-EC" w:eastAsia="es-EC" w:bidi="ar-SA"/>
        </w:rPr>
      </w:pPr>
    </w:p>
    <w:p w14:paraId="26F3598A" w14:textId="77777777" w:rsidR="009102A7" w:rsidRPr="00576AF8" w:rsidRDefault="009102A7" w:rsidP="009102A7">
      <w:pPr>
        <w:ind w:left="2126" w:right="41"/>
        <w:rPr>
          <w:color w:val="000000"/>
          <w:sz w:val="22"/>
          <w:szCs w:val="22"/>
          <w:lang w:val="es-EC" w:eastAsia="es-EC" w:bidi="ar-SA"/>
        </w:rPr>
      </w:pPr>
      <w:r w:rsidRPr="00576AF8">
        <w:rPr>
          <w:sz w:val="22"/>
          <w:szCs w:val="22"/>
        </w:rPr>
        <w:t>La aplicación BTD debe:</w:t>
      </w:r>
    </w:p>
    <w:p w14:paraId="60BEC897"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Detectar mediciones anormales de potencia activa y reactiva, comprobando las pérdidas razonables que existen en las líneas y transformadores</w:t>
      </w:r>
    </w:p>
    <w:p w14:paraId="1222314F"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Validar que las potencias netas en las barras cumplen con la primera ley de Kirchhoff, validando que la suma de las potencias activas y reactivas totalizadas por separado sumen cero.  Una variable de máximo error permitido ingresada por el operador o por el ingeniero de administración funcional configurará una tolerancia para permitir que pequeños errores de la medición no sean identificados cómo anomalías en el cumplimiento de esta ley.</w:t>
      </w:r>
    </w:p>
    <w:p w14:paraId="44CA5F1E"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Validar que las potencias netas en las subestaciones cumplan con la primera ley de Kirchhoff, validando que la suma de las potencias activas y reactivas totalizadas por separado sumen cero.  Una variable de máximo error permitido ingresada por el operador o por el ingeniero de administración funcional configurará una tolerancia para permitir que pequeños errores de la medición no sean identificados cómo anomalías en el cumplimiento de esta ley.</w:t>
      </w:r>
    </w:p>
    <w:p w14:paraId="22AFDD50"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Identificar mediciones de flujo distintas de cero en ramales desenergizados, lo que constituye una anomalía. Una variable de tolerancia será utilizada para no confundirse con errores pequeños de medición, cercanos a cero.</w:t>
      </w:r>
    </w:p>
    <w:p w14:paraId="4FCA109E"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Identificar mediciones cercanas a cero, en equipos energizados. Esta condición generalmente es reflejo de una anomalía en las mediciones, puesto que todo equipo energizado tiene un flujo de potencia. A criterio del Operador, esta condición podría considerarse como aceptable en algunas topologías y en condiciones específicas de la red.</w:t>
      </w:r>
    </w:p>
    <w:p w14:paraId="15EC4CFA"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Validar la consistencia de las mediciones de potencia activa en las ramas, es decir, en las líneas y transformadores, comparando la potencia inyectada en un extremo con la potencia de salida en el extremo opuesto. En condiciones normales y como consecuencia de las pérdidas, las mediciones de potencia en el extremo de salida serán menores y consistentes con las pérdidas esperadas.  En los casos que la potencia de salida sea mayor que la potencia de entrada se constituye en pérdidas anormales o de signo opuesto, es decir, refleja una inyección de potencia activa en la línea.  Estos equipos con estas anomalías se colocarán en una lista de ramas con una de las mediciones de los extremos como cuestionables.  Las anomalías podrán ser errores de medición o signo invertido de las mismas.</w:t>
      </w:r>
    </w:p>
    <w:p w14:paraId="2551C28D"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flujos de potencia activa serán utilizados por esta aplicación para identificar estados erróneos de interruptores o de seccionadores en equipos de dos terminales, tales como líneas y transformadores de dos devanados. Para ello, se evaluará la consistencia de las mediciones y el estado de energización en ambos extremos de los equipos y en caso de que se detecten inconsistencias con el estado de alguno de los equipos de seccionamiento, estos serán ubicados en una lista que identificará si un estado abierto debe estar cerrado o viceversa.</w:t>
      </w:r>
    </w:p>
    <w:p w14:paraId="4CA169BF"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aplicación BTD dispondrá de despliegues dedicados en donde se listen los equipos que no cumplen con alguna de las pruebas antes descritas. Al menos los siguientes despliegues tabulares estarán disponibles para presentar:</w:t>
      </w:r>
    </w:p>
    <w:p w14:paraId="6762AC03"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Seccionadores abiertos a ser cerrados</w:t>
      </w:r>
    </w:p>
    <w:p w14:paraId="4F6DD0F2"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Interruptores y Seccionadores inconsistentes</w:t>
      </w:r>
    </w:p>
    <w:p w14:paraId="42F5B64C"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Interruptores y Seccionadores a corregir el estado</w:t>
      </w:r>
    </w:p>
    <w:p w14:paraId="675F480A"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Equipos con Pérdidas Anormales</w:t>
      </w:r>
    </w:p>
    <w:p w14:paraId="4D5B9DF2"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Potencia Activa y Reactiva neta en barras distinta de cero</w:t>
      </w:r>
    </w:p>
    <w:p w14:paraId="4EC71F7C"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Potencia Activa y Reactiva neta en subestaciones distinta de cero  </w:t>
      </w:r>
    </w:p>
    <w:p w14:paraId="480FB854"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Relación de MW/MVAR inconsistente</w:t>
      </w:r>
    </w:p>
    <w:p w14:paraId="1E1F5804"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Ramas en servicio con un extremo abierto</w:t>
      </w:r>
    </w:p>
    <w:p w14:paraId="338061B4"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Equipo en servicio con medición cercana a cero</w:t>
      </w:r>
    </w:p>
    <w:p w14:paraId="5F30FE78" w14:textId="77777777" w:rsidR="009102A7" w:rsidRPr="00576AF8" w:rsidRDefault="009102A7" w:rsidP="009102A7">
      <w:pPr>
        <w:numPr>
          <w:ilvl w:val="0"/>
          <w:numId w:val="2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Equipo fuera de servicio con flujo de potencia distinto de cero</w:t>
      </w:r>
    </w:p>
    <w:p w14:paraId="759F37C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620"/>
        <w:rPr>
          <w:rFonts w:eastAsia="Calibri"/>
          <w:sz w:val="22"/>
          <w:szCs w:val="22"/>
          <w:lang w:val="es-419" w:eastAsia="en-US" w:bidi="ar-SA"/>
        </w:rPr>
      </w:pPr>
    </w:p>
    <w:p w14:paraId="782AD21C" w14:textId="77777777" w:rsidR="009102A7" w:rsidRPr="00576AF8" w:rsidRDefault="009102A7" w:rsidP="009102A7">
      <w:pPr>
        <w:numPr>
          <w:ilvl w:val="0"/>
          <w:numId w:val="3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mediciones de potencia activa y reactiva identificadas como anormales por alguna de estas pruebas deberán ser marcadas cómo mediciones erróneas si la magnitud del error supera umbrales predefinidos. Estas mediciones serán identificadas cómo anómalas antes de la ejecución del Estimador de Estado.</w:t>
      </w:r>
    </w:p>
    <w:p w14:paraId="1DCB64B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p>
    <w:p w14:paraId="1EE2E97E" w14:textId="77777777" w:rsidR="009102A7" w:rsidRPr="00576AF8" w:rsidRDefault="009102A7" w:rsidP="009102A7">
      <w:pPr>
        <w:ind w:left="720" w:firstLine="696"/>
        <w:jc w:val="left"/>
        <w:outlineLvl w:val="2"/>
        <w:rPr>
          <w:sz w:val="22"/>
          <w:szCs w:val="22"/>
        </w:rPr>
      </w:pPr>
      <w:bookmarkStart w:id="869" w:name="_Toc148955139"/>
      <w:bookmarkStart w:id="870" w:name="_Toc158396614"/>
      <w:bookmarkStart w:id="871" w:name="_Toc160012853"/>
      <w:bookmarkStart w:id="872" w:name="_Toc160434863"/>
      <w:bookmarkStart w:id="873" w:name="_Toc160455988"/>
      <w:r w:rsidRPr="00576AF8">
        <w:rPr>
          <w:b/>
          <w:sz w:val="22"/>
          <w:szCs w:val="22"/>
        </w:rPr>
        <w:t>2.1.1.1.4.6 Estimador de Estado (State Estimator SE)</w:t>
      </w:r>
      <w:bookmarkEnd w:id="869"/>
      <w:bookmarkEnd w:id="870"/>
      <w:bookmarkEnd w:id="871"/>
      <w:bookmarkEnd w:id="872"/>
      <w:bookmarkEnd w:id="873"/>
    </w:p>
    <w:p w14:paraId="02243EAD" w14:textId="77777777" w:rsidR="009102A7" w:rsidRPr="00576AF8" w:rsidRDefault="009102A7" w:rsidP="009102A7">
      <w:pPr>
        <w:ind w:left="1416" w:right="41"/>
        <w:rPr>
          <w:color w:val="000000"/>
          <w:sz w:val="22"/>
          <w:szCs w:val="22"/>
          <w:lang w:val="es-EC" w:eastAsia="es-EC" w:bidi="ar-SA"/>
        </w:rPr>
      </w:pPr>
      <w:r w:rsidRPr="00576AF8">
        <w:rPr>
          <w:color w:val="000000"/>
          <w:sz w:val="22"/>
          <w:szCs w:val="22"/>
          <w:lang w:val="es-EC" w:eastAsia="es-EC" w:bidi="ar-SA"/>
        </w:rPr>
        <w:t xml:space="preserve">El estimador de estado será responsable de la creación del vector de estado de la red, conformado por valores de voltajes y ángulos en las barras del sistema de potencia modelado, junto con la posición de los Taps de los transformadores. Este estado del sistema de potencia se calculará a partir de:  </w:t>
      </w:r>
    </w:p>
    <w:p w14:paraId="4385134B" w14:textId="77777777" w:rsidR="009102A7" w:rsidRPr="00576AF8" w:rsidRDefault="009102A7" w:rsidP="009102A7">
      <w:pPr>
        <w:ind w:left="1416" w:right="41"/>
        <w:rPr>
          <w:color w:val="000000"/>
          <w:sz w:val="22"/>
          <w:szCs w:val="22"/>
          <w:lang w:val="es-EC" w:eastAsia="es-EC" w:bidi="ar-SA"/>
        </w:rPr>
      </w:pPr>
    </w:p>
    <w:p w14:paraId="6341F0AC" w14:textId="77777777" w:rsidR="009102A7" w:rsidRPr="00576AF8" w:rsidRDefault="009102A7" w:rsidP="009102A7">
      <w:pPr>
        <w:numPr>
          <w:ilvl w:val="0"/>
          <w:numId w:val="3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Mediciones en tiempo real provenientes del sistema SCADA</w:t>
      </w:r>
    </w:p>
    <w:p w14:paraId="73BAF1D0" w14:textId="77777777" w:rsidR="009102A7" w:rsidRPr="00576AF8" w:rsidRDefault="009102A7" w:rsidP="009102A7">
      <w:pPr>
        <w:numPr>
          <w:ilvl w:val="0"/>
          <w:numId w:val="3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Mediciones de unidades de medición fasorial (PMU)</w:t>
      </w:r>
    </w:p>
    <w:p w14:paraId="65DBB803" w14:textId="77777777" w:rsidR="009102A7" w:rsidRPr="00576AF8" w:rsidRDefault="009102A7" w:rsidP="009102A7">
      <w:pPr>
        <w:numPr>
          <w:ilvl w:val="0"/>
          <w:numId w:val="3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Pseudo mediciones generadas por el configurador de datos de carga</w:t>
      </w:r>
    </w:p>
    <w:p w14:paraId="392F4A3E" w14:textId="77777777" w:rsidR="009102A7" w:rsidRPr="00576AF8" w:rsidRDefault="009102A7" w:rsidP="009102A7">
      <w:pPr>
        <w:numPr>
          <w:ilvl w:val="0"/>
          <w:numId w:val="3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Intercambios y voltajes regulados</w:t>
      </w:r>
    </w:p>
    <w:p w14:paraId="66400FBA" w14:textId="77777777" w:rsidR="009102A7" w:rsidRPr="00576AF8" w:rsidRDefault="009102A7" w:rsidP="009102A7">
      <w:pPr>
        <w:numPr>
          <w:ilvl w:val="0"/>
          <w:numId w:val="3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Ingresos manuales realizados por parte del Operador</w:t>
      </w:r>
    </w:p>
    <w:p w14:paraId="42A83F4B" w14:textId="77777777" w:rsidR="009102A7" w:rsidRPr="00576AF8" w:rsidRDefault="009102A7" w:rsidP="009102A7">
      <w:pPr>
        <w:numPr>
          <w:ilvl w:val="0"/>
          <w:numId w:val="3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Mediciones del sistema SPS</w:t>
      </w:r>
    </w:p>
    <w:p w14:paraId="4B90E93A"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628"/>
        <w:rPr>
          <w:rFonts w:eastAsia="Calibri"/>
          <w:sz w:val="22"/>
          <w:szCs w:val="22"/>
          <w:lang w:val="es-419" w:eastAsia="en-US" w:bidi="ar-SA"/>
        </w:rPr>
      </w:pPr>
    </w:p>
    <w:p w14:paraId="11502CC4" w14:textId="77777777" w:rsidR="009102A7" w:rsidRPr="00576AF8" w:rsidRDefault="009102A7" w:rsidP="009102A7">
      <w:pPr>
        <w:ind w:left="720" w:firstLine="696"/>
        <w:jc w:val="left"/>
        <w:outlineLvl w:val="2"/>
        <w:rPr>
          <w:bCs/>
          <w:color w:val="000000"/>
          <w:sz w:val="22"/>
          <w:szCs w:val="22"/>
          <w:lang w:val="es-EC" w:eastAsia="es-EC" w:bidi="ar-SA"/>
        </w:rPr>
      </w:pPr>
      <w:bookmarkStart w:id="874" w:name="_Toc160012854"/>
      <w:bookmarkStart w:id="875" w:name="_Toc160434864"/>
      <w:bookmarkStart w:id="876" w:name="_Toc160455989"/>
      <w:r w:rsidRPr="00576AF8">
        <w:rPr>
          <w:b/>
          <w:sz w:val="22"/>
          <w:szCs w:val="22"/>
        </w:rPr>
        <w:t xml:space="preserve">2.1.1.1.4.6.1 </w:t>
      </w:r>
      <w:r w:rsidRPr="00576AF8">
        <w:rPr>
          <w:b/>
          <w:bCs/>
          <w:color w:val="000000"/>
          <w:sz w:val="22"/>
          <w:szCs w:val="22"/>
          <w:lang w:val="es-EC" w:eastAsia="es-EC" w:bidi="ar-SA"/>
        </w:rPr>
        <w:t>Requerimientos Mínimos</w:t>
      </w:r>
      <w:bookmarkEnd w:id="874"/>
      <w:bookmarkEnd w:id="875"/>
      <w:bookmarkEnd w:id="876"/>
    </w:p>
    <w:p w14:paraId="4BD214BF"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algoritmo de solución para estimar el estado del sistema de potencia, incluido el proceso de detección e identificación de datos erróneos, será robusto y capaz de generar soluciones convergentes y precisas. El Estimador de Estado, además de determinar el estado de la red, identificará las mediciones que tienen valores de calidad inaceptables, es decir, mediciones con un valor ambiguo o mediciones que tienen una precisión que se deteriora gradualmente con el tiempo.</w:t>
      </w:r>
    </w:p>
    <w:p w14:paraId="5572D068"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verificación de mediciones anómalas debe ir acompañada de lógicas para validar el estado de los interruptores relacionados.</w:t>
      </w:r>
    </w:p>
    <w:p w14:paraId="30B20AA3"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fase de verificación permitirá obtener flexibilidad, tanto en la definición de errores de mediciones como en la detección de mediciones críticas utilizando los niveles de redundancia disponibles.</w:t>
      </w:r>
    </w:p>
    <w:p w14:paraId="394ED56C"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utilizará el algoritmo de mínimo cuadrados ponderados con restricciones de igualdad.  Una descripción detallada del método de solución de este algoritmo de solución, así como los artículos técnicos de referencia (</w:t>
      </w:r>
      <w:r w:rsidRPr="00576AF8">
        <w:rPr>
          <w:rFonts w:eastAsia="Calibri"/>
          <w:i/>
          <w:iCs/>
          <w:sz w:val="22"/>
          <w:szCs w:val="22"/>
          <w:lang w:val="es-419" w:eastAsia="en-US" w:bidi="ar-SA"/>
        </w:rPr>
        <w:t>papers</w:t>
      </w:r>
      <w:r w:rsidRPr="00576AF8">
        <w:rPr>
          <w:rFonts w:eastAsia="Calibri"/>
          <w:sz w:val="22"/>
          <w:szCs w:val="22"/>
          <w:lang w:val="es-419" w:eastAsia="en-US" w:bidi="ar-SA"/>
        </w:rPr>
        <w:t xml:space="preserve">) utilizados para </w:t>
      </w:r>
      <w:r w:rsidRPr="00576AF8">
        <w:rPr>
          <w:rFonts w:eastAsia="Calibri"/>
          <w:sz w:val="22"/>
          <w:szCs w:val="22"/>
          <w:lang w:val="es-419" w:eastAsia="en-US" w:bidi="ar-SA"/>
        </w:rPr>
        <w:lastRenderedPageBreak/>
        <w:t>implementar el algoritmo de mínimo cuadrados ponderados con restricciones de igualdad deberán incluirse en la oferta técnica</w:t>
      </w:r>
    </w:p>
    <w:p w14:paraId="205E71A5"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Si el Proveedor dispone de más de un algoritmo para resolver la Estimación de Estado a partir de mediciones de SCADA, como, por ejemplo, el método ortogonal de Rotaciones de Givens, éste se suministrará completamente integrado, sintonizado y configurado para su uso. Una descripción detallada del método de solución de este método ortogonal, así como los artículos técnicos de referencia (</w:t>
      </w:r>
      <w:r w:rsidRPr="00576AF8">
        <w:rPr>
          <w:rFonts w:eastAsia="Calibri"/>
          <w:i/>
          <w:iCs/>
          <w:sz w:val="22"/>
          <w:szCs w:val="22"/>
          <w:lang w:val="es-419" w:eastAsia="en-US" w:bidi="ar-SA"/>
        </w:rPr>
        <w:t>papers</w:t>
      </w:r>
      <w:r w:rsidRPr="00576AF8">
        <w:rPr>
          <w:rFonts w:eastAsia="Calibri"/>
          <w:sz w:val="22"/>
          <w:szCs w:val="22"/>
          <w:lang w:val="es-419" w:eastAsia="en-US" w:bidi="ar-SA"/>
        </w:rPr>
        <w:t>) utilizados para implementar el algoritmo de Rotaciones de Givens deberán incluirse en la oferta técnica.</w:t>
      </w:r>
    </w:p>
    <w:p w14:paraId="623A7F83"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dispondrá de un algoritmo que permita implementar un método de solución híbrida para realizar estimaciones de estado del sistema de potencia, considerando mediciones SCADA y mediciones sincrofasoriales provenientes de PMUs.  Este algoritmo será robusto, implementado en otros sistemas de potencia y efectivo.  Una descripción detallada del método de solución híbrido implementado, así como los artículos técnicos de referencia (</w:t>
      </w:r>
      <w:r w:rsidRPr="00576AF8">
        <w:rPr>
          <w:rFonts w:eastAsia="Calibri"/>
          <w:i/>
          <w:iCs/>
          <w:sz w:val="22"/>
          <w:szCs w:val="22"/>
          <w:lang w:val="es-419" w:eastAsia="en-US" w:bidi="ar-SA"/>
        </w:rPr>
        <w:t>papers</w:t>
      </w:r>
      <w:r w:rsidRPr="00576AF8">
        <w:rPr>
          <w:rFonts w:eastAsia="Calibri"/>
          <w:sz w:val="22"/>
          <w:szCs w:val="22"/>
          <w:lang w:val="es-419" w:eastAsia="en-US" w:bidi="ar-SA"/>
        </w:rPr>
        <w:t>) utilizados para implementar el algoritmo de estimación híbrida deberán incluirse en la oferta técnica.</w:t>
      </w:r>
    </w:p>
    <w:p w14:paraId="793AA3BF"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fasores de voltaje y corriente provistos por los PMUs en los dos extremos de líneas de transmisión permitirán estimar los parámetros de impedancia y admitancia de las líneas de transmisión involucradas</w:t>
      </w:r>
    </w:p>
    <w:p w14:paraId="59A8CA73"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fasores de voltaje y corriente provistos por los PMUs en los dos extremos de transformadores permitirán calcular la impedancia y la posición de Tap sin carga y la posición de Tap con carga (LTC) del transformador involucrado.</w:t>
      </w:r>
    </w:p>
    <w:p w14:paraId="3B6B858E"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Como resultado de la ejecución del estimador de estado, se obtendrán las variables de estado y todos los valores estimados asociadas a los equipos de la red.  Estos valores procesados por el estimador de estado serán utilizados como entrada de información en el resto de las aplicaciones de seguridad operativa solicitadas en esta especificación.</w:t>
      </w:r>
    </w:p>
    <w:p w14:paraId="26EF6204"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bookmarkStart w:id="877" w:name="_Ref148012750"/>
      <w:r w:rsidRPr="00576AF8">
        <w:rPr>
          <w:rFonts w:eastAsia="Calibri"/>
          <w:sz w:val="22"/>
          <w:szCs w:val="22"/>
          <w:lang w:val="es-419" w:eastAsia="en-US" w:bidi="ar-SA"/>
        </w:rPr>
        <w:t xml:space="preserve">De forma predeterminada, los límites asociados con los equipos del sistema de potencia serán los mismos límites definidos en el SCADA. Será posible definir y configurar para su uso otros conjuntos de límites individuales por equipo. Estos límites podrán ser valores fijos o provenientes de la </w:t>
      </w:r>
      <w:r w:rsidRPr="00576AF8" w:rsidDel="00743B5B">
        <w:rPr>
          <w:rFonts w:eastAsia="Calibri"/>
          <w:sz w:val="22"/>
          <w:szCs w:val="22"/>
          <w:lang w:val="es-419" w:eastAsia="en-US" w:bidi="ar-SA"/>
        </w:rPr>
        <w:t xml:space="preserve">aplicación </w:t>
      </w:r>
      <w:bookmarkEnd w:id="877"/>
      <w:r w:rsidRPr="00576AF8">
        <w:rPr>
          <w:rFonts w:eastAsia="Calibri"/>
          <w:sz w:val="22"/>
          <w:szCs w:val="22"/>
          <w:lang w:val="es-419" w:eastAsia="en-US" w:bidi="ar-SA"/>
        </w:rPr>
        <w:t>Gestor de Límites.</w:t>
      </w:r>
    </w:p>
    <w:p w14:paraId="48900D97" w14:textId="77777777" w:rsidR="009102A7" w:rsidRPr="00576AF8" w:rsidRDefault="009102A7" w:rsidP="009102A7">
      <w:pPr>
        <w:numPr>
          <w:ilvl w:val="1"/>
          <w:numId w:val="2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De manera complementaria a los límites señalados en el literal anterior, se considerarán los límites dinámicos de las líneas de transmisión, es decir, los límites que cambian en forma dinámica según las condiciones de operación de los equipos, tales como la temperatura, la cargabilidad de las líneas, entre otras. Estos límites serán determinados por características configuradas en los relés de sobre corriente y de impedancia. Estos relés estarán ajustados para detectar de manera confiable todas las condiciones de falla y proteger la red eléctrica de estas </w:t>
      </w:r>
      <w:r w:rsidRPr="00576AF8" w:rsidDel="004B3680">
        <w:rPr>
          <w:rFonts w:eastAsia="Calibri"/>
          <w:sz w:val="22"/>
          <w:szCs w:val="22"/>
          <w:lang w:val="es-419" w:eastAsia="en-US" w:bidi="ar-SA"/>
        </w:rPr>
        <w:t xml:space="preserve">fallas, </w:t>
      </w:r>
      <w:r w:rsidRPr="00576AF8">
        <w:rPr>
          <w:rFonts w:eastAsia="Calibri"/>
          <w:sz w:val="22"/>
          <w:szCs w:val="22"/>
          <w:lang w:val="es-419" w:eastAsia="en-US" w:bidi="ar-SA"/>
        </w:rPr>
        <w:t xml:space="preserve">sin limitar la capacidad de carga de las líneas </w:t>
      </w:r>
      <w:r w:rsidRPr="00576AF8" w:rsidDel="004B3680">
        <w:rPr>
          <w:rFonts w:eastAsia="Calibri"/>
          <w:sz w:val="22"/>
          <w:szCs w:val="22"/>
          <w:lang w:val="es-419" w:eastAsia="en-US" w:bidi="ar-SA"/>
        </w:rPr>
        <w:t xml:space="preserve">de </w:t>
      </w:r>
      <w:r w:rsidRPr="00576AF8">
        <w:rPr>
          <w:rFonts w:eastAsia="Calibri"/>
          <w:sz w:val="22"/>
          <w:szCs w:val="22"/>
          <w:lang w:val="es-419" w:eastAsia="en-US" w:bidi="ar-SA"/>
        </w:rPr>
        <w:t xml:space="preserve">transmisión, ni interferir con la capacidad de los Operadores para tomar medidas correctivas para proteger la confiabilidad del sistema. Cuando se hayan definido relés para las líneas transmisión, los límites determinados por la configuración de estos tendrán precedencia sobre los límites descritos en el literal </w:t>
      </w:r>
      <w:r w:rsidRPr="00576AF8">
        <w:rPr>
          <w:rFonts w:eastAsia="Calibri"/>
          <w:sz w:val="22"/>
          <w:szCs w:val="22"/>
          <w:lang w:val="es-419" w:eastAsia="en-US" w:bidi="ar-SA"/>
        </w:rPr>
        <w:fldChar w:fldCharType="begin"/>
      </w:r>
      <w:r w:rsidRPr="00576AF8">
        <w:rPr>
          <w:rFonts w:eastAsia="Calibri"/>
          <w:sz w:val="22"/>
          <w:szCs w:val="22"/>
          <w:lang w:val="es-419" w:eastAsia="en-US" w:bidi="ar-SA"/>
        </w:rPr>
        <w:instrText xml:space="preserve"> REF _Ref148012750 \r \h  \* MERGEFORMAT </w:instrText>
      </w:r>
      <w:r w:rsidRPr="00576AF8">
        <w:rPr>
          <w:rFonts w:eastAsia="Calibri"/>
          <w:sz w:val="22"/>
          <w:szCs w:val="22"/>
          <w:lang w:val="es-419" w:eastAsia="en-US" w:bidi="ar-SA"/>
        </w:rPr>
      </w:r>
      <w:r w:rsidRPr="00576AF8">
        <w:rPr>
          <w:rFonts w:eastAsia="Calibri"/>
          <w:sz w:val="22"/>
          <w:szCs w:val="22"/>
          <w:lang w:val="es-419" w:eastAsia="en-US" w:bidi="ar-SA"/>
        </w:rPr>
        <w:fldChar w:fldCharType="separate"/>
      </w:r>
      <w:r w:rsidRPr="00576AF8">
        <w:rPr>
          <w:rFonts w:eastAsia="Calibri"/>
          <w:sz w:val="22"/>
          <w:szCs w:val="22"/>
          <w:lang w:val="es-419" w:eastAsia="en-US" w:bidi="ar-SA"/>
        </w:rPr>
        <w:t>j</w:t>
      </w:r>
      <w:r w:rsidRPr="00576AF8">
        <w:rPr>
          <w:rFonts w:eastAsia="Calibri"/>
          <w:sz w:val="22"/>
          <w:szCs w:val="22"/>
          <w:lang w:val="es-419" w:eastAsia="en-US" w:bidi="ar-SA"/>
        </w:rPr>
        <w:fldChar w:fldCharType="end"/>
      </w:r>
      <w:r w:rsidRPr="00576AF8">
        <w:rPr>
          <w:rFonts w:eastAsia="Calibri"/>
          <w:sz w:val="22"/>
          <w:szCs w:val="22"/>
          <w:lang w:val="es-419" w:eastAsia="en-US" w:bidi="ar-SA"/>
        </w:rPr>
        <w:t>.</w:t>
      </w:r>
    </w:p>
    <w:p w14:paraId="59664766" w14:textId="77777777" w:rsidR="009102A7" w:rsidRPr="00576AF8" w:rsidRDefault="009102A7" w:rsidP="009102A7">
      <w:pPr>
        <w:suppressAutoHyphens w:val="0"/>
        <w:spacing w:after="0"/>
        <w:ind w:left="284"/>
        <w:contextualSpacing/>
        <w:rPr>
          <w:b/>
          <w:bCs/>
          <w:color w:val="000000"/>
          <w:sz w:val="22"/>
          <w:szCs w:val="22"/>
          <w:lang w:val="es-EC" w:eastAsia="es-EC" w:bidi="ar-SA"/>
        </w:rPr>
      </w:pPr>
    </w:p>
    <w:p w14:paraId="43CE0353" w14:textId="77777777" w:rsidR="009102A7" w:rsidRPr="00576AF8" w:rsidRDefault="009102A7" w:rsidP="009102A7">
      <w:pPr>
        <w:ind w:left="720" w:firstLine="696"/>
        <w:jc w:val="left"/>
        <w:outlineLvl w:val="2"/>
        <w:rPr>
          <w:b/>
          <w:bCs/>
          <w:color w:val="000000"/>
          <w:sz w:val="22"/>
          <w:szCs w:val="22"/>
          <w:lang w:val="es-EC" w:eastAsia="es-EC" w:bidi="ar-SA"/>
        </w:rPr>
      </w:pPr>
      <w:bookmarkStart w:id="878" w:name="_Toc148955141"/>
      <w:bookmarkStart w:id="879" w:name="_Toc158396616"/>
      <w:bookmarkStart w:id="880" w:name="_Toc160012855"/>
      <w:bookmarkStart w:id="881" w:name="_Toc160434865"/>
      <w:bookmarkStart w:id="882" w:name="_Toc160455990"/>
      <w:r w:rsidRPr="00576AF8">
        <w:rPr>
          <w:b/>
          <w:sz w:val="22"/>
          <w:szCs w:val="22"/>
        </w:rPr>
        <w:t xml:space="preserve">2.1.1.1.4.6.2 </w:t>
      </w:r>
      <w:r w:rsidRPr="00576AF8">
        <w:rPr>
          <w:b/>
          <w:bCs/>
          <w:color w:val="000000"/>
          <w:sz w:val="22"/>
          <w:szCs w:val="22"/>
          <w:lang w:val="es-EC" w:eastAsia="es-EC" w:bidi="ar-SA"/>
        </w:rPr>
        <w:t>Funcionalidades</w:t>
      </w:r>
      <w:bookmarkEnd w:id="878"/>
      <w:bookmarkEnd w:id="879"/>
      <w:bookmarkEnd w:id="880"/>
      <w:bookmarkEnd w:id="881"/>
      <w:bookmarkEnd w:id="882"/>
    </w:p>
    <w:p w14:paraId="516256E0"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Pruebas de consistencia de las lecturas de mediciones recibidas del SCADA o PMU</w:t>
      </w:r>
    </w:p>
    <w:p w14:paraId="44ABB368"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Asignación de un peso a cada medición utilizando la desviación estándar del error de la medición, para incluir el efecto de su precisión en el proceso de estimación de estado</w:t>
      </w:r>
    </w:p>
    <w:p w14:paraId="0A0E6311"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Soportar al menos dos juegos de errores de medición para todas las mediciones. Estos podrán ser seleccionables de forma global o de forma individual</w:t>
      </w:r>
    </w:p>
    <w:p w14:paraId="64FB4530"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Detectar, identificar y eliminar mediciones erróneas, basándose </w:t>
      </w:r>
      <w:r w:rsidRPr="00576AF8" w:rsidDel="004B3680">
        <w:rPr>
          <w:rFonts w:eastAsia="Calibri"/>
          <w:sz w:val="22"/>
          <w:szCs w:val="22"/>
          <w:lang w:val="es-419" w:eastAsia="en-US" w:bidi="ar-SA"/>
        </w:rPr>
        <w:t xml:space="preserve">en </w:t>
      </w:r>
      <w:r w:rsidRPr="00576AF8">
        <w:rPr>
          <w:rFonts w:eastAsia="Calibri"/>
          <w:sz w:val="22"/>
          <w:szCs w:val="22"/>
          <w:lang w:val="es-419" w:eastAsia="en-US" w:bidi="ar-SA"/>
        </w:rPr>
        <w:t>pruebas estadísticas tales como: Residuos Normalizados y Chi-Cuadrado. El proceso de detección deberá discriminar entre errores gruesos y errores de sesgo en las mediciones. El Proveedor explicará de manera detallada el algoritmo implementado para la detección, identificación y eliminación de las mediciones erróneas, así como los artículos técnicos de referencia (</w:t>
      </w:r>
      <w:r w:rsidRPr="00576AF8">
        <w:rPr>
          <w:rFonts w:eastAsia="Calibri"/>
          <w:i/>
          <w:iCs/>
          <w:sz w:val="22"/>
          <w:szCs w:val="22"/>
          <w:lang w:val="es-419" w:eastAsia="en-US" w:bidi="ar-SA"/>
        </w:rPr>
        <w:t>papers</w:t>
      </w:r>
      <w:r w:rsidRPr="00576AF8">
        <w:rPr>
          <w:rFonts w:eastAsia="Calibri"/>
          <w:sz w:val="22"/>
          <w:szCs w:val="22"/>
          <w:lang w:val="es-419" w:eastAsia="en-US" w:bidi="ar-SA"/>
        </w:rPr>
        <w:t>) utilizados para implementar este algoritmo deberán incluirse en la oferta técnica</w:t>
      </w:r>
    </w:p>
    <w:p w14:paraId="169A1D41"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el caso de formación de islas, el estimador de estado resolverá y </w:t>
      </w:r>
      <w:r w:rsidRPr="00576AF8" w:rsidDel="004B3680">
        <w:rPr>
          <w:rFonts w:eastAsia="Calibri"/>
          <w:sz w:val="22"/>
          <w:szCs w:val="22"/>
          <w:lang w:val="es-419" w:eastAsia="en-US" w:bidi="ar-SA"/>
        </w:rPr>
        <w:t xml:space="preserve">presentará </w:t>
      </w:r>
      <w:r w:rsidRPr="00576AF8">
        <w:rPr>
          <w:rFonts w:eastAsia="Calibri"/>
          <w:sz w:val="22"/>
          <w:szCs w:val="22"/>
          <w:lang w:val="es-419" w:eastAsia="en-US" w:bidi="ar-SA"/>
        </w:rPr>
        <w:t>resultados para cada una de las islas, sin ningún tipo de degradación o pérdida de funcionalidad.</w:t>
      </w:r>
    </w:p>
    <w:p w14:paraId="3160FFC9"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Determinación de las partes observables y no observables de la red para el sistema completo o para cada isla formada en el sistema de potencia.</w:t>
      </w:r>
    </w:p>
    <w:p w14:paraId="71418C32"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las regiones observables y no observables del sistema, estimar los voltajes, ángulos de voltaje, Tap de transformadores con carga y sin carga, flujos e inyecciones potencia en las barras y las pérdidas a partir de las mediciones disponibles en el sistema de potencia y las inyecciones en las barras.</w:t>
      </w:r>
    </w:p>
    <w:p w14:paraId="7AAC539F"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Basado en las violaciones a los límites de los equipos podrá crear de forma automática contingencias denominadas dinámicas que serán transferidas al listado de </w:t>
      </w:r>
      <w:r w:rsidRPr="00576AF8" w:rsidDel="004B3680">
        <w:rPr>
          <w:rFonts w:eastAsia="Calibri"/>
          <w:sz w:val="22"/>
          <w:szCs w:val="22"/>
          <w:lang w:val="es-419" w:eastAsia="en-US" w:bidi="ar-SA"/>
        </w:rPr>
        <w:t xml:space="preserve">contingencias </w:t>
      </w:r>
      <w:r w:rsidRPr="00576AF8">
        <w:rPr>
          <w:rFonts w:eastAsia="Calibri"/>
          <w:sz w:val="22"/>
          <w:szCs w:val="22"/>
          <w:lang w:val="es-419" w:eastAsia="en-US" w:bidi="ar-SA"/>
        </w:rPr>
        <w:t>de la aplicación Análisis de Contingencia.</w:t>
      </w:r>
    </w:p>
    <w:p w14:paraId="4010E589"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transformadores de tres devanados que dispongan de manera simultánea de Taps sin carga y LTCs, será posible estimar de manera simultánea estos dos tipos de Taps.</w:t>
      </w:r>
    </w:p>
    <w:p w14:paraId="63428C76"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estimador de estado soportará la estimación de estado en elementos FACTS instalados en el SNI.</w:t>
      </w:r>
    </w:p>
    <w:p w14:paraId="0B1386F4"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Será posible disponer de un gráfico de la curva de capabilidad de cada generador modelado, en donde se incluya el punto de operación actual proveniente de las mediciones SCADA y también del estimador de estado.  Estos dos puntos serán fácilmente identificables. </w:t>
      </w:r>
    </w:p>
    <w:p w14:paraId="072CEA54"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estimador de estado procesará los siguientes tipos de mediciones:</w:t>
      </w:r>
    </w:p>
    <w:p w14:paraId="61264805"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Magnitud de Voltaje en las barras</w:t>
      </w:r>
    </w:p>
    <w:p w14:paraId="14A5C7CD"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Potencia activa y reactiva de líneas, interruptores y transformadores</w:t>
      </w:r>
    </w:p>
    <w:p w14:paraId="36EED119"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Inyecciones de potencia activa y reactiva en las barras, cargas y generación     </w:t>
      </w:r>
    </w:p>
    <w:p w14:paraId="02D88CD2"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Magnitud de la corriente a través de las líneas</w:t>
      </w:r>
    </w:p>
    <w:p w14:paraId="489EF482"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Posición de los Taps en transformadores y compensadores</w:t>
      </w:r>
    </w:p>
    <w:p w14:paraId="1516FD1E"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Mediciones provenientes de los PMUs, tales como la magnitud y ángulo de los fasores de voltaje en las barras, inyecciones de corriente en barras</w:t>
      </w:r>
    </w:p>
    <w:p w14:paraId="2DF922DE"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Inyecciones cero de potencia activa y reactiva en las barras de paso, es decir, barras sin generación, sin carga y sin compensación reactiva</w:t>
      </w:r>
    </w:p>
    <w:p w14:paraId="49BB769D"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Pseudo mediciones provenientes de patrones de mediciones por estación, día tipo y hora.</w:t>
      </w:r>
    </w:p>
    <w:p w14:paraId="37C24851" w14:textId="77777777" w:rsidR="009102A7" w:rsidRPr="00576AF8" w:rsidRDefault="009102A7" w:rsidP="009102A7">
      <w:pPr>
        <w:numPr>
          <w:ilvl w:val="0"/>
          <w:numId w:val="3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Mediciones provenientes del SPS</w:t>
      </w:r>
    </w:p>
    <w:p w14:paraId="335D18C1"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Las lecturas de potencia se procesarán en pares o por valores individuales. Cuando las lecturas de mediciones de potencia activa y reactiva estén disponibles para el mismo </w:t>
      </w:r>
      <w:r w:rsidRPr="00576AF8">
        <w:rPr>
          <w:rFonts w:eastAsia="Calibri"/>
          <w:sz w:val="22"/>
          <w:szCs w:val="22"/>
          <w:lang w:val="es-419" w:eastAsia="en-US" w:bidi="ar-SA"/>
        </w:rPr>
        <w:lastRenderedPageBreak/>
        <w:t>punto del equipo monitoreado, se utilizarán ambos valores. Cuando solo uno de ellos esté disponible, se utilizará la lectura disponible.</w:t>
      </w:r>
    </w:p>
    <w:p w14:paraId="158B68FA"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Estimador de Estado determinará una solución de la red principal incluso si hay una red externa conectada a ella. Si la red externa se reduce a un equivalente, el Estimador de Estado calculará los valores de las inyecciones ficticias equivalentes en las barras frontera entre los dos sistemas. Si la red externa, o partes de ella, están completamente modeladas, sin equivalentes, el proceso de estimación del estado se extenderá a esas partes. Se incorporarán pseudo mediciones a las barras en las fronteras de las partes observables de la red. Durante el proceso de </w:t>
      </w:r>
      <w:r w:rsidRPr="00576AF8" w:rsidDel="00485B0F">
        <w:rPr>
          <w:rFonts w:eastAsia="Calibri"/>
          <w:sz w:val="22"/>
          <w:szCs w:val="22"/>
          <w:lang w:val="es-419" w:eastAsia="en-US" w:bidi="ar-SA"/>
        </w:rPr>
        <w:t>estimación</w:t>
      </w:r>
      <w:r w:rsidRPr="00576AF8">
        <w:rPr>
          <w:rFonts w:eastAsia="Calibri"/>
          <w:sz w:val="22"/>
          <w:szCs w:val="22"/>
          <w:lang w:val="es-419" w:eastAsia="en-US" w:bidi="ar-SA"/>
        </w:rPr>
        <w:t>, la solución de la red externa no impactará de ninguna manera la solución de la red interna, por lo que se asignan pesos muy bajos a la red externa. El Proveedor debe explicar cómo satisface este requisito con su solución propuesta.</w:t>
      </w:r>
    </w:p>
    <w:p w14:paraId="2046EF87" w14:textId="77777777" w:rsidR="009102A7" w:rsidRPr="00576AF8" w:rsidRDefault="009102A7" w:rsidP="009102A7">
      <w:pPr>
        <w:numPr>
          <w:ilvl w:val="0"/>
          <w:numId w:val="2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Los factores estacionales, por día tipo y horarios con resolución de 15 minutos se asignarán a las </w:t>
      </w:r>
      <w:r w:rsidRPr="00576AF8" w:rsidDel="00485B0F">
        <w:rPr>
          <w:rFonts w:eastAsia="Calibri"/>
          <w:sz w:val="22"/>
          <w:szCs w:val="22"/>
          <w:lang w:val="es-419" w:eastAsia="en-US" w:bidi="ar-SA"/>
        </w:rPr>
        <w:t xml:space="preserve">cargas, </w:t>
      </w:r>
      <w:r w:rsidRPr="00576AF8">
        <w:rPr>
          <w:rFonts w:eastAsia="Calibri"/>
          <w:sz w:val="22"/>
          <w:szCs w:val="22"/>
          <w:lang w:val="es-419" w:eastAsia="en-US" w:bidi="ar-SA"/>
        </w:rPr>
        <w:t xml:space="preserve">al perfil de inyección y los voltajes de las barras reguladas.  Estos valores se actualizarán en función de los resultados del estimador de estado y si el operador activa esta opción. </w:t>
      </w:r>
    </w:p>
    <w:p w14:paraId="5C5FC41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061"/>
        <w:rPr>
          <w:rFonts w:eastAsia="Calibri"/>
          <w:sz w:val="22"/>
          <w:szCs w:val="22"/>
          <w:lang w:val="es-419" w:eastAsia="en-US" w:bidi="ar-SA"/>
        </w:rPr>
      </w:pPr>
    </w:p>
    <w:p w14:paraId="60F19897" w14:textId="77777777" w:rsidR="009102A7" w:rsidRPr="00576AF8" w:rsidRDefault="009102A7" w:rsidP="009102A7">
      <w:pPr>
        <w:ind w:left="720" w:firstLine="696"/>
        <w:jc w:val="left"/>
        <w:outlineLvl w:val="2"/>
        <w:rPr>
          <w:bCs/>
          <w:color w:val="000000"/>
          <w:sz w:val="22"/>
          <w:szCs w:val="22"/>
          <w:lang w:val="es-EC" w:eastAsia="es-EC" w:bidi="ar-SA"/>
        </w:rPr>
      </w:pPr>
      <w:bookmarkStart w:id="883" w:name="_Toc148955142"/>
      <w:bookmarkStart w:id="884" w:name="_Toc158396617"/>
      <w:bookmarkStart w:id="885" w:name="_Toc160012856"/>
      <w:bookmarkStart w:id="886" w:name="_Toc160434866"/>
      <w:bookmarkStart w:id="887" w:name="_Toc160455991"/>
      <w:r w:rsidRPr="00576AF8">
        <w:rPr>
          <w:b/>
          <w:sz w:val="22"/>
          <w:szCs w:val="22"/>
        </w:rPr>
        <w:t xml:space="preserve">2.1.1.1.4.6.3 </w:t>
      </w:r>
      <w:r w:rsidRPr="00576AF8">
        <w:rPr>
          <w:b/>
          <w:bCs/>
          <w:color w:val="000000"/>
          <w:sz w:val="22"/>
          <w:szCs w:val="22"/>
          <w:lang w:val="es-EC" w:eastAsia="es-EC" w:bidi="ar-SA"/>
        </w:rPr>
        <w:t>Requerimientos para Secciones de Red No Observables</w:t>
      </w:r>
      <w:bookmarkEnd w:id="883"/>
      <w:bookmarkEnd w:id="884"/>
      <w:bookmarkEnd w:id="885"/>
      <w:bookmarkEnd w:id="886"/>
      <w:bookmarkEnd w:id="887"/>
    </w:p>
    <w:p w14:paraId="2F77BF95" w14:textId="77777777" w:rsidR="009102A7" w:rsidRPr="00576AF8" w:rsidRDefault="009102A7" w:rsidP="009102A7">
      <w:pPr>
        <w:ind w:left="1843"/>
        <w:rPr>
          <w:sz w:val="22"/>
          <w:szCs w:val="22"/>
          <w:lang w:val="es-EC"/>
        </w:rPr>
      </w:pPr>
      <w:r w:rsidRPr="00576AF8">
        <w:rPr>
          <w:sz w:val="22"/>
          <w:szCs w:val="22"/>
          <w:lang w:val="es-EC"/>
        </w:rPr>
        <w:t>El estimador de estado se diseñará de tal manera que, para las partes no observables de la red, ya sea por fallas en la telemetría o porque no existe telemetría instalada, es decir, partes permanentemente no observables, se cumplirán los siguientes requerimientos:</w:t>
      </w:r>
    </w:p>
    <w:p w14:paraId="1FFD9218" w14:textId="77777777" w:rsidR="009102A7" w:rsidRPr="00576AF8" w:rsidRDefault="009102A7" w:rsidP="009102A7">
      <w:pPr>
        <w:ind w:left="1843"/>
        <w:rPr>
          <w:sz w:val="22"/>
          <w:szCs w:val="22"/>
          <w:lang w:val="es-EC"/>
        </w:rPr>
      </w:pPr>
    </w:p>
    <w:p w14:paraId="5DDA69D3" w14:textId="77777777" w:rsidR="009102A7" w:rsidRPr="00576AF8" w:rsidRDefault="009102A7" w:rsidP="009102A7">
      <w:pPr>
        <w:numPr>
          <w:ilvl w:val="0"/>
          <w:numId w:val="318"/>
        </w:numPr>
        <w:suppressAutoHyphens w:val="0"/>
        <w:spacing w:after="0"/>
        <w:contextualSpacing/>
        <w:rPr>
          <w:sz w:val="22"/>
          <w:szCs w:val="22"/>
        </w:rPr>
      </w:pPr>
      <w:r w:rsidRPr="00576AF8">
        <w:rPr>
          <w:color w:val="000000"/>
          <w:sz w:val="22"/>
          <w:szCs w:val="22"/>
          <w:lang w:val="es-EC" w:eastAsia="es-EC" w:bidi="ar-SA"/>
        </w:rPr>
        <w:t>Bajo</w:t>
      </w:r>
      <w:r w:rsidRPr="00576AF8">
        <w:rPr>
          <w:sz w:val="22"/>
          <w:szCs w:val="22"/>
        </w:rPr>
        <w:t xml:space="preserve"> ninguna situación se presentará divergencia del estimador de estado debido a lecturas perdidas o inexistentes.</w:t>
      </w:r>
    </w:p>
    <w:p w14:paraId="1F1AABF4" w14:textId="77777777" w:rsidR="009102A7" w:rsidRPr="00576AF8" w:rsidRDefault="009102A7" w:rsidP="009102A7">
      <w:pPr>
        <w:numPr>
          <w:ilvl w:val="0"/>
          <w:numId w:val="318"/>
        </w:numPr>
        <w:suppressAutoHyphens w:val="0"/>
        <w:spacing w:after="0"/>
        <w:contextualSpacing/>
        <w:rPr>
          <w:sz w:val="22"/>
          <w:szCs w:val="22"/>
        </w:rPr>
      </w:pPr>
      <w:r w:rsidRPr="00576AF8">
        <w:rPr>
          <w:sz w:val="22"/>
          <w:szCs w:val="22"/>
        </w:rPr>
        <w:t>Los resultados obtenidos para las partes observables de la red no se verán afectados por las simplificaciones y reducciones realizadas para resolver la red no observable.</w:t>
      </w:r>
    </w:p>
    <w:p w14:paraId="5D43837C" w14:textId="77777777" w:rsidR="009102A7" w:rsidRPr="00576AF8" w:rsidRDefault="009102A7" w:rsidP="009102A7">
      <w:pPr>
        <w:numPr>
          <w:ilvl w:val="0"/>
          <w:numId w:val="3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resultados obtenidos para la red no observable serán los más razonables posibles.</w:t>
      </w:r>
    </w:p>
    <w:p w14:paraId="02180FB5" w14:textId="77777777" w:rsidR="009102A7" w:rsidRPr="00576AF8" w:rsidRDefault="009102A7" w:rsidP="009102A7">
      <w:pPr>
        <w:numPr>
          <w:ilvl w:val="0"/>
          <w:numId w:val="3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obtendrá una solución para las partes no observables de la red utilizando datos como:</w:t>
      </w:r>
    </w:p>
    <w:p w14:paraId="701F363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Barras de carga ficticias (pseudo barras) calculadas a partir de parámetros de distribución de carga.</w:t>
      </w:r>
    </w:p>
    <w:p w14:paraId="786EF2C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Plan de producción (generación por cada unidad).</w:t>
      </w:r>
    </w:p>
    <w:p w14:paraId="5364D2A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Mediciones ficticias de voltaje (pseudo mediciones) para barras de generación.</w:t>
      </w:r>
    </w:p>
    <w:p w14:paraId="5DF2FF9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Mediciones ficticias de voltaje (pseudo mediciones) para barras reguladas.</w:t>
      </w:r>
    </w:p>
    <w:p w14:paraId="4E449F1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Cargas calculadas a partir de factores de distribución de carga.</w:t>
      </w:r>
    </w:p>
    <w:p w14:paraId="399847F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Cualquier lectura disponible.</w:t>
      </w:r>
    </w:p>
    <w:p w14:paraId="220EA0C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Datos relacionados con intercambios con áreas de red vecinas. </w:t>
      </w:r>
    </w:p>
    <w:p w14:paraId="263BEE4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Carga total del sistema.</w:t>
      </w:r>
    </w:p>
    <w:p w14:paraId="64301146" w14:textId="77777777" w:rsidR="009102A7" w:rsidRPr="00576AF8" w:rsidRDefault="009102A7" w:rsidP="009102A7">
      <w:pPr>
        <w:numPr>
          <w:ilvl w:val="0"/>
          <w:numId w:val="3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las partes no observables de la red, las pseudo mediciones se calcularán e insertarán automáticamente. Solo se ingresará un número mínimo de pseudo mediciones; las necesarias para que la red no observable sea observable. Las pseudo mediciones no deben influir de ninguna manera en los resultados de las partes observables de la red.</w:t>
      </w:r>
    </w:p>
    <w:p w14:paraId="2313863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p>
    <w:p w14:paraId="3F10D960" w14:textId="77777777" w:rsidR="009102A7" w:rsidRPr="00576AF8" w:rsidRDefault="009102A7" w:rsidP="009102A7">
      <w:pPr>
        <w:ind w:left="720" w:firstLine="696"/>
        <w:jc w:val="left"/>
        <w:outlineLvl w:val="2"/>
        <w:rPr>
          <w:b/>
          <w:bCs/>
          <w:color w:val="000000"/>
          <w:sz w:val="22"/>
          <w:szCs w:val="22"/>
          <w:lang w:val="es-EC" w:eastAsia="es-EC" w:bidi="ar-SA"/>
        </w:rPr>
      </w:pPr>
      <w:bookmarkStart w:id="888" w:name="_Toc148955143"/>
      <w:bookmarkStart w:id="889" w:name="_Toc158396618"/>
      <w:bookmarkStart w:id="890" w:name="_Toc160012857"/>
      <w:bookmarkStart w:id="891" w:name="_Toc160434867"/>
      <w:bookmarkStart w:id="892" w:name="_Toc160455992"/>
      <w:r w:rsidRPr="00576AF8">
        <w:rPr>
          <w:b/>
          <w:sz w:val="22"/>
          <w:szCs w:val="22"/>
        </w:rPr>
        <w:t xml:space="preserve">2.1.1.1.4.6.4 </w:t>
      </w:r>
      <w:r w:rsidRPr="00576AF8">
        <w:rPr>
          <w:b/>
          <w:bCs/>
          <w:color w:val="000000"/>
          <w:sz w:val="22"/>
          <w:szCs w:val="22"/>
          <w:lang w:val="es-EC" w:eastAsia="es-EC" w:bidi="ar-SA"/>
        </w:rPr>
        <w:t>Estimador de Estado en Tiempo Real</w:t>
      </w:r>
      <w:bookmarkEnd w:id="888"/>
      <w:bookmarkEnd w:id="889"/>
      <w:bookmarkEnd w:id="890"/>
      <w:bookmarkEnd w:id="891"/>
      <w:bookmarkEnd w:id="892"/>
    </w:p>
    <w:p w14:paraId="04701936"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color w:val="000000"/>
          <w:sz w:val="22"/>
          <w:szCs w:val="22"/>
          <w:lang w:val="es-EC" w:eastAsia="es-EC" w:bidi="ar-SA"/>
        </w:rPr>
        <w:lastRenderedPageBreak/>
        <w:t xml:space="preserve">El estimador de estado podrá activarse periódicamente con una frecuencia de funcionamiento ajustable por el operador. Se ejecutará periódicamente después del Configurador de Topología de la Red, con una frecuencia periódica de tres (3) minutos (la frecuencia de ejecución podrá ser </w:t>
      </w:r>
      <w:r w:rsidRPr="00576AF8" w:rsidDel="00345D58">
        <w:rPr>
          <w:color w:val="000000"/>
          <w:sz w:val="22"/>
          <w:szCs w:val="22"/>
          <w:lang w:val="es-EC" w:eastAsia="es-EC" w:bidi="ar-SA"/>
        </w:rPr>
        <w:t xml:space="preserve">seleccionable </w:t>
      </w:r>
      <w:r w:rsidRPr="00576AF8">
        <w:rPr>
          <w:color w:val="000000"/>
          <w:sz w:val="22"/>
          <w:szCs w:val="22"/>
          <w:lang w:val="es-EC" w:eastAsia="es-EC" w:bidi="ar-SA"/>
        </w:rPr>
        <w:t>a partir de un (1) minuto) o por activaciones por cambios de estado de interruptores de la red eléctrica o por solicitud del operador</w:t>
      </w:r>
      <w:r w:rsidRPr="00576AF8">
        <w:rPr>
          <w:rFonts w:eastAsia="Calibri"/>
          <w:sz w:val="22"/>
          <w:szCs w:val="22"/>
          <w:lang w:val="es-419" w:eastAsia="en-US" w:bidi="ar-SA"/>
        </w:rPr>
        <w:t>.</w:t>
      </w:r>
    </w:p>
    <w:p w14:paraId="5B83DE38"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color w:val="000000"/>
          <w:sz w:val="22"/>
          <w:szCs w:val="22"/>
          <w:lang w:val="es-EC" w:eastAsia="es-EC" w:bidi="ar-SA"/>
        </w:rPr>
      </w:pPr>
      <w:r w:rsidRPr="00576AF8">
        <w:rPr>
          <w:color w:val="000000"/>
          <w:sz w:val="22"/>
          <w:szCs w:val="22"/>
          <w:lang w:val="es-EC" w:eastAsia="es-EC" w:bidi="ar-SA"/>
        </w:rPr>
        <w:t>El proceso de evaluación en tiempo real del estimador de estado podrá iniciarse por:</w:t>
      </w:r>
    </w:p>
    <w:p w14:paraId="6CF0ED9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 comando o cambio de estado por comando, más un retraso configurable para resolver el sistema.</w:t>
      </w:r>
    </w:p>
    <w:p w14:paraId="71D8E07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Una desviación de valores de mediciones de la ejecución actual comparada con la ejecución previa, que sobrepase un umbral configurable.</w:t>
      </w:r>
    </w:p>
    <w:p w14:paraId="2827870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 tiempo configurable desde la ejecución del estimador de estado.</w:t>
      </w:r>
    </w:p>
    <w:p w14:paraId="0F72E22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Por ejecución manual.</w:t>
      </w:r>
    </w:p>
    <w:p w14:paraId="455A626F"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proporcionarán despliegues para el ajuste y seguimiento de los errores y mensajes generados en la ejecución del estimador de estado, para permitir que los ingenieros de soporte puedan identificar rápidamente las causas de la divergencia o no convergencia, en una solución del estimador de estado.</w:t>
      </w:r>
    </w:p>
    <w:p w14:paraId="377F109F"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operador podrá seleccionar una opción que habilite la visualización </w:t>
      </w:r>
      <w:r w:rsidRPr="00576AF8" w:rsidDel="00B962D8">
        <w:rPr>
          <w:rFonts w:eastAsia="Calibri"/>
          <w:sz w:val="22"/>
          <w:szCs w:val="22"/>
          <w:lang w:val="es-419" w:eastAsia="en-US" w:bidi="ar-SA"/>
        </w:rPr>
        <w:t xml:space="preserve">de </w:t>
      </w:r>
      <w:r w:rsidRPr="00576AF8">
        <w:rPr>
          <w:rFonts w:eastAsia="Calibri"/>
          <w:sz w:val="22"/>
          <w:szCs w:val="22"/>
          <w:lang w:val="es-419" w:eastAsia="en-US" w:bidi="ar-SA"/>
        </w:rPr>
        <w:t>información de diagnóstico de cada iteración del proceso de solución del estimador de estado.</w:t>
      </w:r>
    </w:p>
    <w:p w14:paraId="20AD6481"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proporcionarán despliegues o archivos planos tipo log que contengan de una manera legible los resultados de cada iteración del estimador de estado para que los ingenieros de soporte puedan determinar de una manera fácil y precisa los problemas de convergencia que pudieran presentarse.  El nivel de detalle del log será fácilmente configurable para obtener un mayor o menor detalle de la solución.</w:t>
      </w:r>
    </w:p>
    <w:p w14:paraId="36F559F1"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 podrán aplicar tolerancias a los errores de medición por medio de ajustes </w:t>
      </w:r>
      <w:r w:rsidRPr="00576AF8" w:rsidDel="00B962D8">
        <w:rPr>
          <w:rFonts w:eastAsia="Calibri"/>
          <w:sz w:val="22"/>
          <w:szCs w:val="22"/>
          <w:lang w:val="es-419" w:eastAsia="en-US" w:bidi="ar-SA"/>
        </w:rPr>
        <w:t xml:space="preserve">a </w:t>
      </w:r>
      <w:r w:rsidRPr="00576AF8">
        <w:rPr>
          <w:rFonts w:eastAsia="Calibri"/>
          <w:sz w:val="22"/>
          <w:szCs w:val="22"/>
          <w:lang w:val="es-419" w:eastAsia="en-US" w:bidi="ar-SA"/>
        </w:rPr>
        <w:t>factores globales. Las mediciones que se determinen como erróneas en el proceso de sintonización podrán ser inhibidas para su uso por parte del estimador de estado.</w:t>
      </w:r>
    </w:p>
    <w:p w14:paraId="7D884B6A"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estimador de estado presentará en los despliegues unifilares y tabulares del </w:t>
      </w:r>
      <w:r w:rsidRPr="00576AF8" w:rsidDel="00B962D8">
        <w:rPr>
          <w:rFonts w:eastAsia="Calibri"/>
          <w:sz w:val="22"/>
          <w:szCs w:val="22"/>
          <w:lang w:val="es-419" w:eastAsia="en-US" w:bidi="ar-SA"/>
        </w:rPr>
        <w:t xml:space="preserve">sistema, </w:t>
      </w:r>
      <w:r w:rsidRPr="00576AF8">
        <w:rPr>
          <w:rFonts w:eastAsia="Calibri"/>
          <w:sz w:val="22"/>
          <w:szCs w:val="22"/>
          <w:lang w:val="es-419" w:eastAsia="en-US" w:bidi="ar-SA"/>
        </w:rPr>
        <w:t xml:space="preserve">los valores de:  voltajes, corrientes, flujos de potencia, inyecciones y posición de los cambiadores de Taps en transformadores y compensadores. A elección del operador, será posible mostrar </w:t>
      </w:r>
      <w:r w:rsidRPr="00576AF8" w:rsidDel="00B962D8">
        <w:rPr>
          <w:rFonts w:eastAsia="Calibri"/>
          <w:sz w:val="22"/>
          <w:szCs w:val="22"/>
          <w:lang w:val="es-419" w:eastAsia="en-US" w:bidi="ar-SA"/>
        </w:rPr>
        <w:t xml:space="preserve">los </w:t>
      </w:r>
      <w:r w:rsidRPr="00576AF8">
        <w:rPr>
          <w:rFonts w:eastAsia="Calibri"/>
          <w:sz w:val="22"/>
          <w:szCs w:val="22"/>
          <w:lang w:val="es-419" w:eastAsia="en-US" w:bidi="ar-SA"/>
        </w:rPr>
        <w:t>valores medidos, los valores estimados o una combinación de ambos.</w:t>
      </w:r>
    </w:p>
    <w:p w14:paraId="70C20BAE"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Además de presentar mediciones erróneas, sus errores residuales y sus errores normalizados, será necesario informar errores en la configuración de la topología, tales como: inconsistencias en mediciones relacionadas con la topología y conflictos en el estado de interruptores y seccionadores; y los procesos de formación de islas.</w:t>
      </w:r>
    </w:p>
    <w:p w14:paraId="5F46FAE2"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estimador de estado generará alarmas por condiciones anormales con respecto a los límites de un equipo o corredor de transmisión, violación de límite de voltaje o flujo de potencia, tanto para el equipo con medición, como para los que no dispongan de mediciones, estos últimos dispondrán de un valor estimado. También permitirá monitorear y alarmar por violación de diferencias angulares entre pares de barras predefinidas.</w:t>
      </w:r>
    </w:p>
    <w:p w14:paraId="4113A6DD"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Las mediciones críticas serán reconocidas y listadas para posterior revisión por los ingenieros de soporte de aplicaciones. Por medición crítica debe entenderse las mediciones </w:t>
      </w:r>
      <w:r w:rsidRPr="00576AF8" w:rsidDel="00B962D8">
        <w:rPr>
          <w:rFonts w:eastAsia="Calibri"/>
          <w:sz w:val="22"/>
          <w:szCs w:val="22"/>
          <w:lang w:val="es-419" w:eastAsia="en-US" w:bidi="ar-SA"/>
        </w:rPr>
        <w:t xml:space="preserve">con </w:t>
      </w:r>
      <w:r w:rsidRPr="00576AF8">
        <w:rPr>
          <w:rFonts w:eastAsia="Calibri"/>
          <w:sz w:val="22"/>
          <w:szCs w:val="22"/>
          <w:lang w:val="es-419" w:eastAsia="en-US" w:bidi="ar-SA"/>
        </w:rPr>
        <w:t>una redundancia por debajo de un umbral preestablecido.</w:t>
      </w:r>
    </w:p>
    <w:p w14:paraId="29F5424E"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Estará disponible un método para detectar mediciones con un error de sesgo constante. </w:t>
      </w:r>
    </w:p>
    <w:p w14:paraId="40FD71E5"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El estimador de estado debe proporcionar índices de calidad para evaluar el rendimiento real y la calidad de la solución. Para la calidad de solución deberá proveerse un índice calculado a partir de evaluaciones de parámetros provenientes de la solución del estimador de estado que podrán ser ponderados individualmente. Los factores de ponderación serán fijados por el ingeniero de soporte de aplicaciones.</w:t>
      </w:r>
    </w:p>
    <w:p w14:paraId="56072393"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 Se dispondrá de un panel de Resumen, del tipo dashboard para resumir todos los elementos clave de la solución del estimador de estado.</w:t>
      </w:r>
    </w:p>
    <w:p w14:paraId="6AEC9FE2"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proveerán despliegues tabulares que presenten:</w:t>
      </w:r>
    </w:p>
    <w:p w14:paraId="12BE870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valores residuales de todas las mediciones estimadas</w:t>
      </w:r>
    </w:p>
    <w:p w14:paraId="324E0C6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w:t>
      </w:r>
      <w:r w:rsidRPr="00576AF8" w:rsidDel="00630BAF">
        <w:rPr>
          <w:color w:val="000000"/>
          <w:sz w:val="22"/>
          <w:szCs w:val="22"/>
          <w:lang w:val="es-EC" w:eastAsia="es-EC" w:bidi="ar-SA"/>
        </w:rPr>
        <w:t xml:space="preserve">valores </w:t>
      </w:r>
      <w:r w:rsidRPr="00576AF8">
        <w:rPr>
          <w:color w:val="000000"/>
          <w:sz w:val="22"/>
          <w:szCs w:val="22"/>
          <w:lang w:val="es-EC" w:eastAsia="es-EC" w:bidi="ar-SA"/>
        </w:rPr>
        <w:t>de residuales normalizados de todas las mediciones estimadas y su desviación estándar asociada</w:t>
      </w:r>
    </w:p>
    <w:p w14:paraId="773E997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Mediciones críticas y su índice de redundancia</w:t>
      </w:r>
    </w:p>
    <w:p w14:paraId="37935AF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Mediciones identificadas cómo anómalas clasificadas por tipo </w:t>
      </w:r>
    </w:p>
    <w:p w14:paraId="2B1516F0"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Incorporar la aplicación para la estimación de parámetros de líneas (R, X, Susceptancia de la línea) a partir de los resultados estadísticos acumulados del estimador de estado. </w:t>
      </w:r>
    </w:p>
    <w:p w14:paraId="631DB5EC"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Incorporar una aplicación que permita identificar mediciones con sesgo de medición de manera estadística.</w:t>
      </w:r>
    </w:p>
    <w:p w14:paraId="05D91C8B"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Además de las soluciones estándares de estimación de estado, se dispondrá de despliegues que contengan detalles de la solución que permitan al personal especializado revisar el comportamiento del estimador de estado, así como identificar posibles problemas cuando el estimador de estado no logre convergencia.</w:t>
      </w:r>
    </w:p>
    <w:p w14:paraId="7528B2FF"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resultados de ejecuciones válidas e inválidas del estimador de estado se podrán almacenar como casos guardados que posteriormente podrán ser accedidos por aplicaciones en modo estudio.</w:t>
      </w:r>
    </w:p>
    <w:p w14:paraId="3567CAD0"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Valores estimados que violen los límites operativos en condiciones normales de estado estacionario en la evaluación en tiempo real, generarán un evento.</w:t>
      </w:r>
    </w:p>
    <w:p w14:paraId="69DC4FDF"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Valores estimados que violen los límites operativos en condiciones (N-1) en la evaluación en tiempo real, considerando acciones correctivas, generarán un evento.</w:t>
      </w:r>
    </w:p>
    <w:p w14:paraId="43F114B3"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valores del sistema anormales (fuera de los valores normales), anómalos (fuera de los valores nominales) y reemplazados (overridden) en la evaluación realizada por el estimador de estado en tiempo real, generarán un evento.</w:t>
      </w:r>
    </w:p>
    <w:p w14:paraId="12B3E614"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adición al almacenamiento periódico de casos del estimador de </w:t>
      </w:r>
      <w:r w:rsidRPr="00576AF8" w:rsidDel="00630BAF">
        <w:rPr>
          <w:rFonts w:eastAsia="Calibri"/>
          <w:sz w:val="22"/>
          <w:szCs w:val="22"/>
          <w:lang w:val="es-419" w:eastAsia="en-US" w:bidi="ar-SA"/>
        </w:rPr>
        <w:t xml:space="preserve">estado, </w:t>
      </w:r>
      <w:r w:rsidRPr="00576AF8">
        <w:rPr>
          <w:rFonts w:eastAsia="Calibri"/>
          <w:sz w:val="22"/>
          <w:szCs w:val="22"/>
          <w:lang w:val="es-419" w:eastAsia="en-US" w:bidi="ar-SA"/>
        </w:rPr>
        <w:t xml:space="preserve">se dispondrá de recursos que permitan gestionar los casos guardados.  </w:t>
      </w:r>
    </w:p>
    <w:p w14:paraId="1A8E58F2"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Los resultados del estimador de estado </w:t>
      </w:r>
      <w:r w:rsidR="00D80434" w:rsidRPr="00576AF8">
        <w:rPr>
          <w:rFonts w:eastAsia="Calibri"/>
          <w:sz w:val="22"/>
          <w:szCs w:val="22"/>
          <w:lang w:val="es-419" w:eastAsia="en-US" w:bidi="ar-SA"/>
        </w:rPr>
        <w:t xml:space="preserve">deberán </w:t>
      </w:r>
      <w:r w:rsidRPr="00576AF8">
        <w:rPr>
          <w:rFonts w:eastAsia="Calibri"/>
          <w:sz w:val="22"/>
          <w:szCs w:val="22"/>
          <w:lang w:val="es-419" w:eastAsia="en-US" w:bidi="ar-SA"/>
        </w:rPr>
        <w:t>exportarse en la última versión del formato PSSE, formato compatible con PowerFactory y en el formato IEEE.  En cuanto al formato PSSE, a elección del ingeniero de soporte, será posible configurar el estimador de estado para que realice la salida de resultados en formatos de versiones anteriores, considerándose compatibilidad hacia atrás al menos hasta la versión 34.</w:t>
      </w:r>
    </w:p>
    <w:p w14:paraId="61F700EC"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algoritmo y la funcionalidad de la estimación de estado serán los mismos para todos los ambientes de trabajo del sistema, como EMS, QAS, PDS y OTS.</w:t>
      </w:r>
    </w:p>
    <w:p w14:paraId="5BEB42BD" w14:textId="77777777" w:rsidR="009102A7" w:rsidRPr="00576AF8" w:rsidRDefault="009102A7" w:rsidP="009102A7">
      <w:pPr>
        <w:numPr>
          <w:ilvl w:val="0"/>
          <w:numId w:val="3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importar/exportar los parámetros del Estimador de Estado desde/hacia un archivo de configuración de esta información</w:t>
      </w:r>
    </w:p>
    <w:p w14:paraId="6B6C20CD" w14:textId="77777777" w:rsidR="009102A7" w:rsidRPr="00576AF8" w:rsidRDefault="009102A7" w:rsidP="009102A7">
      <w:pPr>
        <w:suppressAutoHyphens w:val="0"/>
        <w:spacing w:after="0"/>
        <w:ind w:left="284"/>
        <w:contextualSpacing/>
        <w:rPr>
          <w:b/>
          <w:bCs/>
          <w:color w:val="000000"/>
          <w:sz w:val="22"/>
          <w:szCs w:val="22"/>
          <w:lang w:val="es-EC" w:eastAsia="es-EC" w:bidi="ar-SA"/>
        </w:rPr>
      </w:pPr>
    </w:p>
    <w:p w14:paraId="2E335801" w14:textId="77777777" w:rsidR="009102A7" w:rsidRPr="00576AF8" w:rsidRDefault="009102A7" w:rsidP="009102A7">
      <w:pPr>
        <w:ind w:left="720" w:firstLine="696"/>
        <w:jc w:val="left"/>
        <w:outlineLvl w:val="2"/>
        <w:rPr>
          <w:bCs/>
          <w:color w:val="000000"/>
          <w:sz w:val="22"/>
          <w:szCs w:val="22"/>
          <w:lang w:val="es-EC" w:eastAsia="es-EC" w:bidi="ar-SA"/>
        </w:rPr>
      </w:pPr>
      <w:bookmarkStart w:id="893" w:name="_Toc158396619"/>
      <w:bookmarkStart w:id="894" w:name="_Toc160012858"/>
      <w:bookmarkStart w:id="895" w:name="_Toc160434868"/>
      <w:bookmarkStart w:id="896" w:name="_Toc160455993"/>
      <w:r w:rsidRPr="00576AF8">
        <w:rPr>
          <w:b/>
          <w:sz w:val="22"/>
          <w:szCs w:val="22"/>
        </w:rPr>
        <w:t xml:space="preserve">2.1.1.1.4.6.5 </w:t>
      </w:r>
      <w:r w:rsidRPr="00576AF8">
        <w:rPr>
          <w:b/>
          <w:bCs/>
          <w:color w:val="000000"/>
          <w:sz w:val="22"/>
          <w:szCs w:val="22"/>
          <w:lang w:val="es-EC" w:eastAsia="es-EC" w:bidi="ar-SA"/>
        </w:rPr>
        <w:t>Estimador de Estado en Modo Estudio</w:t>
      </w:r>
      <w:bookmarkEnd w:id="893"/>
      <w:bookmarkEnd w:id="894"/>
      <w:bookmarkEnd w:id="895"/>
      <w:bookmarkEnd w:id="896"/>
    </w:p>
    <w:p w14:paraId="02C3D7D6"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el modo de estudio, se dispondrá de un estimador de estado para estudios en los cuales el Operador pueda realizar análisis fuera de línea, sin afectar las estimaciones </w:t>
      </w:r>
      <w:r w:rsidRPr="00576AF8">
        <w:rPr>
          <w:rFonts w:eastAsia="Calibri"/>
          <w:sz w:val="22"/>
          <w:szCs w:val="22"/>
          <w:lang w:val="es-419" w:eastAsia="en-US" w:bidi="ar-SA"/>
        </w:rPr>
        <w:lastRenderedPageBreak/>
        <w:t>de estado en tiempo real.  El Operador tendrá la posibilidad de seleccionar una fecha y hora específica para recuperar del sistema historiador las indicaciones y mediciones previamente almacenadas. No habrá restricciones sobre la antigüedad de la fecha seleccionada, siempre que la fecha y hora elegida esté cubierta por el período de retención de puntos.</w:t>
      </w:r>
    </w:p>
    <w:p w14:paraId="2E3BEC6F"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el modo de estudio, se dispondrá la capacidad de almacenar al menos 100 000 (cien mil) soluciones válidas del estimador de estado para crear casos de estudios en los cuales el Operador pueda realizar análisis fuera de línea.  El Operador tendrá la posibilidad de seleccionar una fecha y hora específica para recuperar del sistema un caso válido del estimador de estado previamente almacenado. No habrá restricciones sobre la antigüedad de la fecha seleccionada, siempre y cuando se disponga de una solución válida almacenada.</w:t>
      </w:r>
    </w:p>
    <w:p w14:paraId="4BEA20F0"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Ninguna funcionalidad o mejora disponible en el producto base relacionada con el estimador de estado podrá considerarse cómo opcional y deberá estar configurada de fábrica, sintonizada en su puesta en servicio y disponible para su uso.</w:t>
      </w:r>
    </w:p>
    <w:p w14:paraId="6FFE7405"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Capacidad para configurar la prioridad global del status de la información, si existen discrepancias por problemas de calidad de datos entre: </w:t>
      </w:r>
    </w:p>
    <w:p w14:paraId="0FB5E60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Ingresos Manuales </w:t>
      </w:r>
    </w:p>
    <w:p w14:paraId="5047022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Valores telemedidos </w:t>
      </w:r>
    </w:p>
    <w:p w14:paraId="4F2A309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estimados</w:t>
      </w:r>
    </w:p>
    <w:p w14:paraId="2096E0F5"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para activar/desactivar la estimación de la posición de Tap para los LTC y los cambiadores de Taps fijos de los transformadores sin información telemedida.</w:t>
      </w:r>
    </w:p>
    <w:p w14:paraId="5740D12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rPr>
          <w:rFonts w:eastAsia="Calibri"/>
          <w:sz w:val="22"/>
          <w:szCs w:val="22"/>
          <w:lang w:val="es-419" w:eastAsia="en-US" w:bidi="ar-SA"/>
        </w:rPr>
      </w:pPr>
    </w:p>
    <w:p w14:paraId="6CA476D8"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algoritmo y la funcionalidad de la estimación de estado serán los mismos para todos los ambientes de trabajo del sistema, como EMS, QAS, PDS y OTS.</w:t>
      </w:r>
    </w:p>
    <w:p w14:paraId="7C7026B7" w14:textId="77777777" w:rsidR="009102A7" w:rsidRPr="00576AF8" w:rsidRDefault="009102A7" w:rsidP="009102A7">
      <w:pPr>
        <w:numPr>
          <w:ilvl w:val="0"/>
          <w:numId w:val="3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importar/exportar los parámetros del Estimador de Estado desde/hacia un archivo de configuración de esta información.</w:t>
      </w:r>
    </w:p>
    <w:p w14:paraId="758A2A3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28"/>
        <w:rPr>
          <w:rFonts w:eastAsia="Calibri"/>
          <w:sz w:val="22"/>
          <w:szCs w:val="22"/>
          <w:lang w:val="es-419" w:eastAsia="en-US" w:bidi="ar-SA"/>
        </w:rPr>
      </w:pPr>
    </w:p>
    <w:p w14:paraId="5081B9C6" w14:textId="77777777" w:rsidR="009102A7" w:rsidRPr="00576AF8" w:rsidRDefault="009102A7" w:rsidP="009102A7">
      <w:pPr>
        <w:ind w:left="720" w:firstLine="696"/>
        <w:jc w:val="left"/>
        <w:outlineLvl w:val="2"/>
        <w:rPr>
          <w:sz w:val="22"/>
          <w:szCs w:val="22"/>
        </w:rPr>
      </w:pPr>
      <w:bookmarkStart w:id="897" w:name="_Toc148955145"/>
      <w:bookmarkStart w:id="898" w:name="_Toc158396620"/>
      <w:bookmarkStart w:id="899" w:name="_Toc160012859"/>
      <w:bookmarkStart w:id="900" w:name="_Toc160434869"/>
      <w:bookmarkStart w:id="901" w:name="_Toc160455994"/>
      <w:r w:rsidRPr="00576AF8">
        <w:rPr>
          <w:b/>
          <w:sz w:val="22"/>
          <w:szCs w:val="22"/>
        </w:rPr>
        <w:t>2.1.1.1.4.7 Análisis de Contingencias (Contingency Analysis CA)</w:t>
      </w:r>
      <w:bookmarkEnd w:id="897"/>
      <w:bookmarkEnd w:id="898"/>
      <w:bookmarkEnd w:id="899"/>
      <w:bookmarkEnd w:id="900"/>
      <w:bookmarkEnd w:id="901"/>
    </w:p>
    <w:p w14:paraId="1BC0B347" w14:textId="77777777" w:rsidR="009102A7" w:rsidRPr="00576AF8" w:rsidRDefault="009102A7" w:rsidP="009102A7">
      <w:pPr>
        <w:numPr>
          <w:ilvl w:val="0"/>
          <w:numId w:val="32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Análisis de Contingencias determinará qué contingencias, dentro de una lista de posibles contingencias, dará lugar a situaciones no deseadas dentro del sistema de potencia, tales como la sobrecarga de los equipos, violación de límites de voltaje, violación de diferencia angular entre pares de barras, violación en el flujo de potencia en corredores de transmisión, entre otros.</w:t>
      </w:r>
    </w:p>
    <w:p w14:paraId="4AAA762C"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contingencias pueden variar en términos de grados de severidad, dependiendo de la cantidad de equipos involucrados simultáneamente y la severidad de la violación de los límites de los equipos. Las contingencias pueden involucrar prácticamente a cualquier componente modelado en el sistema eléctrico, tales como transformadores, líneas, generadores, cargas, etc.</w:t>
      </w:r>
    </w:p>
    <w:p w14:paraId="0884457D"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Los resultados de este análisis se presentarán en despliegues tabulares donde </w:t>
      </w:r>
      <w:r w:rsidRPr="00576AF8" w:rsidDel="00D907E9">
        <w:rPr>
          <w:rFonts w:eastAsia="Calibri"/>
          <w:sz w:val="22"/>
          <w:szCs w:val="22"/>
          <w:lang w:val="es-419" w:eastAsia="en-US" w:bidi="ar-SA"/>
        </w:rPr>
        <w:t xml:space="preserve">se </w:t>
      </w:r>
      <w:r w:rsidRPr="00576AF8">
        <w:rPr>
          <w:rFonts w:eastAsia="Calibri"/>
          <w:sz w:val="22"/>
          <w:szCs w:val="22"/>
          <w:lang w:val="es-419" w:eastAsia="en-US" w:bidi="ar-SA"/>
        </w:rPr>
        <w:t>listarán todos los equipos que excedan los límites definidos.  Estos equipos serán ordenados por su criticidad que se establecerá al considerar el porcentaje de desvío con respecto al límite de operación normal.</w:t>
      </w:r>
    </w:p>
    <w:p w14:paraId="556A752C"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Esta función contribuirá a mejorar la conciencia situacional del Operador al proporcionar información sobre el peor evento que puede ocurrir en el sistema de potencia con probabilidades razonables de ocurrencia. Para lograr este objetivo, es </w:t>
      </w:r>
      <w:r w:rsidRPr="00576AF8">
        <w:rPr>
          <w:rFonts w:eastAsia="Calibri"/>
          <w:sz w:val="22"/>
          <w:szCs w:val="22"/>
          <w:lang w:val="es-419" w:eastAsia="en-US" w:bidi="ar-SA"/>
        </w:rPr>
        <w:lastRenderedPageBreak/>
        <w:t>necesario incluir en el cálculo del índice de severidad, un factor que permita reflejar las probabilidades de ocurrencia de una contingencia determinada.</w:t>
      </w:r>
    </w:p>
    <w:p w14:paraId="701DEBA1"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Los resultados deben estar orientados al operador y presentados en función de la gravedad de las contingencias, permitiendo configurar alarmas de una manera flexible en función de la gravedad de la contingencia. </w:t>
      </w:r>
    </w:p>
    <w:p w14:paraId="46E566BD"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Para una misma contingencia, en cualquier condición, los resultados del Análisis de Contingencias serán equivalentes a los que se obtendrían con el Flujo de Potencia del Operador (DPF). El flujo de potencia utilizará, tanto el método de Newton Raphson como el método Desacoplado Rápido. </w:t>
      </w:r>
    </w:p>
    <w:p w14:paraId="69A34630"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condición post-contingencia podrá simular dos estados o condiciones de operación, dependiendo del tiempo transcurrido desde la ocurrencia del disturbio.  El primer estado, es la condición del sistema después de que los fenómenos transitorios han finalizado y la regulación primaria de los generadores ha respondido. En el segundo estado, el sistema presenta una distribución de generación que refleja la respuesta de los generadores después de haber proporcionado el servicio de regulación secundaria. La condición a ser evaluada en la post-contingencia será elegible por el Operador.</w:t>
      </w:r>
    </w:p>
    <w:p w14:paraId="37C87DFF"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Análisis de Contingencias soportará la simulación de eventos en cascada que resulten de condiciones de activación de Esquemas de Acción Correctiva (EAC), Sistemas de Protección Sistémica (SPS), operación de centrales en cascada (Agoyán – San Francisco, Paute-Sopladora) y activación simulada de relés de sobre corriente (50/51) y de impedancia (21). La aplicación de análisis de contingencias será capaz de analizar y procesar al menos 1000 contingencias en un período de tiempo inferior a 1 minuto.</w:t>
      </w:r>
    </w:p>
    <w:p w14:paraId="21968252"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función de Análisis de Contingencias será la misma para todas las funciones de análisis de red, independientemente del subsistema donde se utilice, es decir, tiempo real, modo de estudio y OTS, así como también QAS y PDS</w:t>
      </w:r>
    </w:p>
    <w:p w14:paraId="26123FBC" w14:textId="77777777" w:rsidR="009102A7" w:rsidRPr="00576AF8" w:rsidRDefault="009102A7" w:rsidP="009102A7">
      <w:pPr>
        <w:numPr>
          <w:ilvl w:val="0"/>
          <w:numId w:val="321"/>
        </w:num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Proveedor explicará de manera detallada el algoritmo implementado para el análisis de contingencias y toda su funcionalidad, además, deberán incluirse en la oferta técnica los artículos técnicos de referencia (papers) utilizados para implementar este algoritmo.</w:t>
      </w:r>
    </w:p>
    <w:p w14:paraId="2523CEC3" w14:textId="77777777" w:rsidR="009102A7" w:rsidRPr="00576AF8" w:rsidRDefault="009102A7" w:rsidP="009102A7">
      <w:p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ind w:left="2203"/>
        <w:rPr>
          <w:rFonts w:eastAsia="Calibri"/>
          <w:sz w:val="22"/>
          <w:szCs w:val="22"/>
          <w:lang w:val="es-419" w:eastAsia="en-US" w:bidi="ar-SA"/>
        </w:rPr>
      </w:pPr>
    </w:p>
    <w:p w14:paraId="69BFE2E8" w14:textId="77777777" w:rsidR="009102A7" w:rsidRPr="00576AF8" w:rsidRDefault="009102A7" w:rsidP="009102A7">
      <w:pPr>
        <w:pBdr>
          <w:top w:val="none" w:sz="0" w:space="0" w:color="000000"/>
          <w:left w:val="none" w:sz="0" w:space="31" w:color="000000"/>
          <w:bottom w:val="none" w:sz="0" w:space="0" w:color="000000"/>
          <w:right w:val="none" w:sz="0" w:space="0" w:color="000000"/>
          <w:between w:val="none" w:sz="0" w:space="0" w:color="000000"/>
        </w:pBdr>
        <w:suppressAutoHyphens w:val="0"/>
        <w:spacing w:before="120" w:after="0"/>
        <w:ind w:left="2203"/>
        <w:rPr>
          <w:rFonts w:eastAsia="Calibri"/>
          <w:sz w:val="22"/>
          <w:szCs w:val="22"/>
          <w:lang w:val="es-419" w:eastAsia="en-US" w:bidi="ar-SA"/>
        </w:rPr>
      </w:pPr>
    </w:p>
    <w:p w14:paraId="0170D6D8" w14:textId="77777777" w:rsidR="009102A7" w:rsidRPr="00576AF8" w:rsidRDefault="009102A7" w:rsidP="009102A7">
      <w:pPr>
        <w:ind w:left="720" w:firstLine="696"/>
        <w:jc w:val="left"/>
        <w:outlineLvl w:val="2"/>
        <w:rPr>
          <w:bCs/>
          <w:color w:val="000000"/>
          <w:sz w:val="22"/>
          <w:szCs w:val="22"/>
          <w:lang w:val="es-EC" w:eastAsia="es-EC" w:bidi="ar-SA"/>
        </w:rPr>
      </w:pPr>
      <w:bookmarkStart w:id="902" w:name="_Toc148955146"/>
      <w:bookmarkStart w:id="903" w:name="_Toc158396621"/>
      <w:bookmarkStart w:id="904" w:name="_Toc160012860"/>
      <w:bookmarkStart w:id="905" w:name="_Toc160434870"/>
      <w:bookmarkStart w:id="906" w:name="_Toc160455995"/>
      <w:r w:rsidRPr="00576AF8">
        <w:rPr>
          <w:b/>
          <w:sz w:val="22"/>
          <w:szCs w:val="22"/>
        </w:rPr>
        <w:t xml:space="preserve">2.1.1.1.4.7.1 </w:t>
      </w:r>
      <w:r w:rsidRPr="00576AF8">
        <w:rPr>
          <w:b/>
          <w:bCs/>
          <w:color w:val="000000"/>
          <w:sz w:val="22"/>
          <w:szCs w:val="22"/>
          <w:lang w:val="es-EC" w:eastAsia="es-EC" w:bidi="ar-SA"/>
        </w:rPr>
        <w:t>Funcionalidades y Características</w:t>
      </w:r>
      <w:bookmarkEnd w:id="902"/>
      <w:bookmarkEnd w:id="903"/>
      <w:bookmarkEnd w:id="904"/>
      <w:bookmarkEnd w:id="905"/>
      <w:bookmarkEnd w:id="906"/>
    </w:p>
    <w:p w14:paraId="60EED9E9" w14:textId="77777777" w:rsidR="009102A7" w:rsidRPr="00576AF8" w:rsidRDefault="009102A7" w:rsidP="009102A7">
      <w:pPr>
        <w:suppressAutoHyphens w:val="0"/>
        <w:spacing w:after="0"/>
        <w:ind w:left="1843"/>
        <w:contextualSpacing/>
        <w:rPr>
          <w:b/>
          <w:bCs/>
          <w:color w:val="000000"/>
          <w:sz w:val="22"/>
          <w:szCs w:val="22"/>
          <w:lang w:val="es-EC" w:eastAsia="es-EC" w:bidi="ar-SA"/>
        </w:rPr>
      </w:pPr>
    </w:p>
    <w:p w14:paraId="462A9763"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Capacidad para procesar listas de contingencias seleccionadas manual o automáticamente para su evaluación. En el caso de las contingencias seleccionadas manualmente, estas pueden ser tanto simples como múltiples. En el caso de las contingencias automáticas, que son iniciadas desde el Estimador de Estado, estas solo se admitirán para su procesamiento si el equipo al que hacen referencia no está en la lista de contingencias activas. Las contingencias automáticas podrán ser configuradas para ser seleccionadas según la proximidad a sus límites. También será posible definir un umbral de MW o Amperios, distinto a los límites normalmente definidos, cuya excedencia active la selección del equipo desde el Estimador de Estado para evaluarlo como una contingencia. </w:t>
      </w:r>
    </w:p>
    <w:p w14:paraId="6AFE8ACD" w14:textId="77777777" w:rsidR="009102A7" w:rsidRPr="00576AF8" w:rsidRDefault="009102A7" w:rsidP="009102A7">
      <w:pPr>
        <w:numPr>
          <w:ilvl w:val="0"/>
          <w:numId w:val="322"/>
        </w:numPr>
        <w:suppressAutoHyphens w:val="0"/>
        <w:spacing w:after="0"/>
        <w:contextualSpacing/>
        <w:rPr>
          <w:sz w:val="22"/>
          <w:szCs w:val="22"/>
          <w:lang w:val="es-EC"/>
        </w:rPr>
      </w:pPr>
      <w:r w:rsidRPr="00576AF8">
        <w:rPr>
          <w:color w:val="000000"/>
          <w:sz w:val="22"/>
          <w:szCs w:val="22"/>
          <w:lang w:val="es-EC" w:eastAsia="es-EC" w:bidi="ar-SA"/>
        </w:rPr>
        <w:t xml:space="preserve">Capacidad para ranquear o priorizar los resultados de las violaciones producidas por la simulación de una contingencia de acuerdo con la preferencia del operador. Por ejemplo: severidad o gravedad de sobrecarga del límite operacional de un equipo, gravedad de la violación del límite de alto voltaje, gravedad de la violación del límite </w:t>
      </w:r>
      <w:r w:rsidRPr="00576AF8">
        <w:rPr>
          <w:color w:val="000000"/>
          <w:sz w:val="22"/>
          <w:szCs w:val="22"/>
          <w:lang w:val="es-EC" w:eastAsia="es-EC" w:bidi="ar-SA"/>
        </w:rPr>
        <w:lastRenderedPageBreak/>
        <w:t>de bajo voltaje, gravedad de la desviación de voltaje en comparación con el voltaje del caso base, presentado</w:t>
      </w:r>
      <w:r w:rsidRPr="00576AF8">
        <w:rPr>
          <w:sz w:val="22"/>
          <w:szCs w:val="22"/>
          <w:lang w:val="es-EC"/>
        </w:rPr>
        <w:t xml:space="preserve"> en porcentaje. </w:t>
      </w:r>
    </w:p>
    <w:p w14:paraId="421FD282"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Análisis de Contingencias procesará todas las contingencias que se encuentren habilitadas en la lista de contingencias.</w:t>
      </w:r>
    </w:p>
    <w:p w14:paraId="59DB9EC4"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Ante la presencia de Islas Eléctricas, el análisis de contingencias aplicará las contingencias que correspondan a cada isla, presentando los resultados obtenidos para las mismas.</w:t>
      </w:r>
    </w:p>
    <w:p w14:paraId="5966A15D"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Análisis de Contingencias será capaz de definir, editar, validar y mantener casos de contingencias. La edición será un proceso sencillo realizado desde los despliegues unifilares de subestaciones o tabulares que contengan equipos modelados para las aplicaciones de seguridad operativa. El listado de contingencias a evaluar será una combinación de contingencias definidas por el Operador y de contingencias automáticas creadas por el Estimador de Estado.</w:t>
      </w:r>
    </w:p>
    <w:p w14:paraId="514956A8"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debe disponer de un algoritmo de prefiltrado rápido de contingencias que permitan ordenar las contingencias por su índice de severidad, con el fin de determinar las contingencias más críticas dentro de la lista de contingencias. El objetivo de realizar un prefiltrado es reducir el número de contingencias que deben analizarse en detalle mediante un flujo de potencia.</w:t>
      </w:r>
    </w:p>
    <w:p w14:paraId="058E5E20"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Procesar contingencias de cualquier grado de complejidad, incluidas áreas aisladas y seccionamiento de barras.</w:t>
      </w:r>
    </w:p>
    <w:p w14:paraId="41BDA51A"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Durante la fase de definición, será posible agrupar contingencias bajo un criterio definido por el usuario. Los Grupos de Contingencias se podrán activar/desactivar para su procesamiento. Dentro de los Grupos de Contingencias, el operador podrá habilitar/deshabilitar contingencias individuales para su análisis.</w:t>
      </w:r>
    </w:p>
    <w:p w14:paraId="2373A81F"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Para el cálculo del índice de severidad, será posible definir hasta tres niveles de habilitación del chequeo de violación de límites. Cada equipo podrá asociarse a un nivel, pudiendo el operador seleccionar cuáles niveles desea que participen en el cálculo de índices de severidad. </w:t>
      </w:r>
    </w:p>
    <w:p w14:paraId="2705604A"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Después de ejecutar el análisis, las contingencias deben clasificarse en orden de criticidad. El Proveedor debe explicar el método que utilizará para determinar el Índice de Severidad y las opciones disponibles para configurar los factores de ponderación, cuya tarea estará bajo la responsabilidad del ingeniero de soporte de aplicaciones. Uno de los factores de ponderación a considerar deberá asociarse con la probabilidad de ocurrencia de la contingencia.</w:t>
      </w:r>
    </w:p>
    <w:p w14:paraId="144BC51C"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contingencias establecidas como críticas participarán, tanto en la evaluación preliminar de contingencias cómo en el análisis detallado de las mismas. Lo anterior, independientemente de que su resultado produzca o no la violación de algún limite.</w:t>
      </w:r>
    </w:p>
    <w:p w14:paraId="39D58EED"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 el propósito de identificar situaciones anómalas, tales como sobrecargas y violaciones del límite de voltaje, el Análisis de Contingencias detallado será ejecutado de manera rápida y precisa.  Esto se logra mediante la ejecución de un flujo de potencia específico para cada contingencia que forma parte de la lista reducida resultante del prefiltrado de contingencias.</w:t>
      </w:r>
    </w:p>
    <w:p w14:paraId="50D8E613"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definir Grupos de Equipos independientes para cargas, generadores y circuitos de líneas de transmisión. Los grupos de equipos se utilizarán para totalizar la potencia activa de los equipos incluidos en dichos grupos.  Los grupos de equipos se utilizarán en la formulación de los Esquemas de Acción Correctiva EAC.</w:t>
      </w:r>
    </w:p>
    <w:p w14:paraId="2BFF47C9"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definir Grupos de Redistribución para cargas y generadores para modelar los cambios de potencia en un conjunto de cargas o generadores como consecuencia de la actuación de un Esquema de Acción Correctiva (EAC). Los grupos de reprogramación representan la redistribución de potencia esperada de un grupo de generadores o de cargas luego de la activación de un EAC.</w:t>
      </w:r>
    </w:p>
    <w:p w14:paraId="7B71BE89"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Permitirá manejar los controles disponibles en un flujo de potencia, tales como los límites de los generadores existentes, controles de voltaje y otros que están disponibles cuando se ejecuta el DPF.</w:t>
      </w:r>
    </w:p>
    <w:p w14:paraId="55A789C6"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deben proporcionar herramientas de depuración para analizar los resultados de contingencias sospechosas. </w:t>
      </w:r>
    </w:p>
    <w:p w14:paraId="175D6273"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Tendrá la capacidad de transferencia de cargas al evaluar contingencias que involucren pérdida de carga. Esta funcionalidad permitirá modelar de manera más precisa las transferencias automáticas que se producen en las distribuidoras, en las cuales la salida de una carga no necesariamente representa la pérdida de la totalidad de la misma, puesto que una parte se redistribuye. La distribución de la carga podrá abarcar la totalidad de la carga afectada por la contingencia o una fracción de la misma.</w:t>
      </w:r>
    </w:p>
    <w:p w14:paraId="7496905E"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Todas las violaciones como resultado de la ejecución del Análisis de Contingencias podrán ser resumida por: elemento supervisado, evento de contingencia, gravedad del impacto.</w:t>
      </w:r>
    </w:p>
    <w:p w14:paraId="4F2D6800"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Análisis de Contingencias se basará en la ejecución de un flujo de potencia para determinar las diferentes condiciones en las que se encontrará el sistema luego de la contingencia simulada. Para ello, utilizará los últimos resultados del Estimador de Estado como valores iniciales para la ejecución del flujo de potencia como caso base. En este caso base, se ejecutarán las contingencias habilitadas que se encuentren en la lista de contingencias.  </w:t>
      </w:r>
    </w:p>
    <w:p w14:paraId="1BFB9999"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Para la reasignación de la generación, en los casos de contingencias que involucren la salida de unidades de generación, se utilizará el estatismo de las unidades o factores de regulación secundaria de generación, según la elección realizada por el Operador. Estos parámetros se utilizarán para determinar el porcentaje de cambio de generación debido al desbalance entre la generación total más intercambio y la carga. Si la contribución del intercambio puede suplir el desbalance creado por la contingencia, se </w:t>
      </w:r>
      <w:r w:rsidRPr="00576AF8" w:rsidDel="00471FDE">
        <w:rPr>
          <w:color w:val="000000"/>
          <w:sz w:val="22"/>
          <w:szCs w:val="22"/>
          <w:lang w:val="es-EC" w:eastAsia="es-EC" w:bidi="ar-SA"/>
        </w:rPr>
        <w:t xml:space="preserve">utilizarán </w:t>
      </w:r>
      <w:r w:rsidRPr="00576AF8">
        <w:rPr>
          <w:color w:val="000000"/>
          <w:sz w:val="22"/>
          <w:szCs w:val="22"/>
          <w:lang w:val="es-EC" w:eastAsia="es-EC" w:bidi="ar-SA"/>
        </w:rPr>
        <w:t>el estatismo y los factores de regulación de las áreas externas. Los factores de participación para regulación secundaria podrán asignarse por zonas de influencia, permitiendo la redistribución de la generación únicamente entre generadores en la misma zona de influencia.</w:t>
      </w:r>
    </w:p>
    <w:p w14:paraId="1E405501"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Análisis de Contingencias identificará islas en el área interna o condiciones de aislamiento entre áreas, como resultado de cualquier contingencia. Para cada isla de la red que se forme, se evaluará la generación disponible para mantener disponible la isla, considerando los límites de las unidades. Si no existe suficiente capacidad de generación para cubrir la demanda, el procesamiento para esta isla de la red eléctrica se suspenderá y se generará una alarma.</w:t>
      </w:r>
    </w:p>
    <w:p w14:paraId="2509D9B6"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el modelado de Esquemas de Protección Local, EPL, EAC y SPS se deberá disponer de un lenguaje de programación intuitivo, sencillo y robusto, especialmente diseñado para programar todos los esquemas de detección de condiciones de operación que ameritan acciones remediales y la actuación de los controles correspondientes. Una señal de indicación desde el SCADA para la activación/desactivación del EAC o SPS deberá ser soportada.</w:t>
      </w:r>
    </w:p>
    <w:p w14:paraId="05F1E680"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Relés de </w:t>
      </w:r>
      <w:r w:rsidRPr="00576AF8" w:rsidDel="00471FDE">
        <w:rPr>
          <w:color w:val="000000"/>
          <w:sz w:val="22"/>
          <w:szCs w:val="22"/>
          <w:lang w:val="es-EC" w:eastAsia="es-EC" w:bidi="ar-SA"/>
        </w:rPr>
        <w:t>Sobrecorriente</w:t>
      </w:r>
      <w:r w:rsidRPr="00576AF8">
        <w:rPr>
          <w:color w:val="000000"/>
          <w:sz w:val="22"/>
          <w:szCs w:val="22"/>
          <w:lang w:val="es-EC" w:eastAsia="es-EC" w:bidi="ar-SA"/>
        </w:rPr>
        <w:t xml:space="preserve"> (50 y 51) y de Impedancia (21), deberán ser considerados como parte de las acciones remediales a simular. Los tiempos de temporización para determinar el umbral de actuación serán definidos por el ingeniero de soporte de las aplicaciones. Al no ser un análisis de corto circuito, los relés sólo se utilizarán para despejar sobrecargas permanentes resultantes de las contingencias o de la respuesta de algunos de los EAC o SPS.</w:t>
      </w:r>
    </w:p>
    <w:p w14:paraId="2C2465A3"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Análisis de Contingencias contará con una interfaz orientada al usuario que permitirá la revisión y evaluación de contingencias, presentando los resultados más relevantes en condiciones pre y post contingencia. Los despliegues presentarán la información de una manera organizada, ordenada por la severidad de la contingencia, </w:t>
      </w:r>
      <w:r w:rsidRPr="00576AF8">
        <w:rPr>
          <w:color w:val="000000"/>
          <w:sz w:val="22"/>
          <w:szCs w:val="22"/>
          <w:lang w:val="es-EC" w:eastAsia="es-EC" w:bidi="ar-SA"/>
        </w:rPr>
        <w:lastRenderedPageBreak/>
        <w:t>y con el fin de mejorar la toma de decisiones del operador. Entre los resultados presentados en despliegues tubulares se tendrán:</w:t>
      </w:r>
    </w:p>
    <w:p w14:paraId="0B5BED5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Listado los casos que no convergen.</w:t>
      </w:r>
    </w:p>
    <w:p w14:paraId="60ACF54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Pérdida de carga y el cambio de generación asociados a cada contingencia evaluada.</w:t>
      </w:r>
    </w:p>
    <w:p w14:paraId="66497F8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Violaciones por cada contingencia, ordenadas por índice de severidad.</w:t>
      </w:r>
    </w:p>
    <w:p w14:paraId="2CAD36E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EAC, SPS o Relés activados por contingencia.</w:t>
      </w:r>
    </w:p>
    <w:p w14:paraId="0C1F265D"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Cualquier contingencia podrá ser </w:t>
      </w:r>
      <w:r w:rsidRPr="00576AF8" w:rsidDel="00471FDE">
        <w:rPr>
          <w:color w:val="000000"/>
          <w:sz w:val="22"/>
          <w:szCs w:val="22"/>
          <w:lang w:val="es-EC" w:eastAsia="es-EC" w:bidi="ar-SA"/>
        </w:rPr>
        <w:t xml:space="preserve">transferida </w:t>
      </w:r>
      <w:r w:rsidRPr="00576AF8">
        <w:rPr>
          <w:color w:val="000000"/>
          <w:sz w:val="22"/>
          <w:szCs w:val="22"/>
          <w:lang w:val="es-EC" w:eastAsia="es-EC" w:bidi="ar-SA"/>
        </w:rPr>
        <w:t>para su evaluación detallada en un caso de estudio del DPF.  Los esquemas de EPL, EAC, SPS y los relés podrán ser habilitados para su simulación en el flujo de potencia.</w:t>
      </w:r>
    </w:p>
    <w:p w14:paraId="220F8259"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Análisis de Contingencias estará disponible en la suite de aplicaciones para los modos de estudio en el que el operador pueda realizar análisis fuera de línea sin afectar los resultados en tiempo real.  El caso de entrada para la ejecución en modo de estudio será la salida de un flujo de potencia. Las funcionalidades disponibles en la versión de tiempo real del análisis de contingencia deberán estar disponibles en el modo de estudio. En los casos de activación o desactivación de los EAC y SPS por medio de una señal de indicación proveniente del SCADA, se permitirá la actualización de la misma de forma manual por parte del Operador.</w:t>
      </w:r>
    </w:p>
    <w:p w14:paraId="48084B86"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para realizar un ajuste fino de la lista de contingencias utilizando filtros y motores de búsqueda de fácil uso</w:t>
      </w:r>
    </w:p>
    <w:p w14:paraId="0146408E"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para especificar contingencias complejas en las que se incluyan múltiples contingencias, siendo al menos las siguientes:</w:t>
      </w:r>
    </w:p>
    <w:p w14:paraId="7F27382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Falla de barra</w:t>
      </w:r>
    </w:p>
    <w:p w14:paraId="1EA18B8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Seccionamiento de barra </w:t>
      </w:r>
    </w:p>
    <w:p w14:paraId="3672A65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Líneas de transmisión de dos o más circuitos </w:t>
      </w:r>
    </w:p>
    <w:p w14:paraId="676336F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Combinaciones de transformador/líneas de Transmisión</w:t>
      </w:r>
    </w:p>
    <w:p w14:paraId="09B747D4"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Análisis de Contingencias debe considerar los Esquemas de Acción Correctiva propuestos EAC que pueden ser de área extendida, que abarcan otras jurisdicciones o líneas de interconexión.</w:t>
      </w:r>
    </w:p>
    <w:p w14:paraId="574B370D"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contingencia en la lista de contingencias tiene la capacidad de ser configurada con un impacto (costo) y una probabilidad de ocurrencia (probabilidad).</w:t>
      </w:r>
    </w:p>
    <w:p w14:paraId="7B8BDFE9"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para realizar metaanálisis y estadísticas de casos de contingencias, violaciones de contingencias y elementos de red supervisados para identificar los problemas más graves o los elementos más críticos en la red en períodos de tiempo variables.</w:t>
      </w:r>
    </w:p>
    <w:p w14:paraId="4019E6F4"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existe un problema con el proceso de análisis de contingencia, se debe generar una alarma audible con detalles suficientes para que el operador diagnostique y prevea las acciones correctivas para solucionar el problema.</w:t>
      </w:r>
    </w:p>
    <w:p w14:paraId="3CBDFB7A"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proceso de análisis de contingencias incluye la capacidad de definir bloques de pérdida de carga o generación como una sola contingencia o como un grupo de contingencias.</w:t>
      </w:r>
    </w:p>
    <w:p w14:paraId="5F65532E" w14:textId="77777777" w:rsidR="009102A7" w:rsidRPr="00576AF8" w:rsidRDefault="009102A7" w:rsidP="009102A7">
      <w:pPr>
        <w:numPr>
          <w:ilvl w:val="0"/>
          <w:numId w:val="32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importar/exportar los parámetros y controles del Análisis de Contingencias desde/hacia un archivo de configuración de esta información.</w:t>
      </w:r>
    </w:p>
    <w:p w14:paraId="4D350013" w14:textId="77777777" w:rsidR="009102A7" w:rsidRPr="00576AF8" w:rsidRDefault="009102A7" w:rsidP="009102A7">
      <w:pPr>
        <w:suppressAutoHyphens w:val="0"/>
        <w:spacing w:after="0"/>
        <w:rPr>
          <w:b/>
          <w:bCs/>
          <w:color w:val="000000"/>
          <w:sz w:val="22"/>
          <w:szCs w:val="22"/>
          <w:lang w:val="es-EC" w:eastAsia="es-EC" w:bidi="ar-SA"/>
        </w:rPr>
      </w:pPr>
      <w:bookmarkStart w:id="907" w:name="_Toc148955147"/>
      <w:bookmarkStart w:id="908" w:name="_Toc158396622"/>
      <w:bookmarkStart w:id="909" w:name="_Toc160012861"/>
      <w:bookmarkStart w:id="910" w:name="_Toc160434871"/>
      <w:bookmarkStart w:id="911" w:name="_Toc160455996"/>
    </w:p>
    <w:p w14:paraId="0550B61E" w14:textId="77777777" w:rsidR="009102A7" w:rsidRPr="00576AF8" w:rsidRDefault="009102A7" w:rsidP="009102A7">
      <w:pPr>
        <w:ind w:left="720" w:firstLine="696"/>
        <w:jc w:val="left"/>
        <w:outlineLvl w:val="2"/>
        <w:rPr>
          <w:sz w:val="22"/>
          <w:szCs w:val="22"/>
        </w:rPr>
      </w:pPr>
      <w:r w:rsidRPr="00576AF8">
        <w:rPr>
          <w:b/>
          <w:sz w:val="22"/>
          <w:szCs w:val="22"/>
        </w:rPr>
        <w:t>2.1.1.1.4.8 Flujo de Potencia del Operador (Dispatcher Power Flow DPF)</w:t>
      </w:r>
      <w:bookmarkEnd w:id="907"/>
      <w:bookmarkEnd w:id="908"/>
      <w:bookmarkEnd w:id="909"/>
      <w:bookmarkEnd w:id="910"/>
      <w:bookmarkEnd w:id="911"/>
    </w:p>
    <w:p w14:paraId="04674EE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eastAsia="en-US" w:bidi="ar-SA"/>
        </w:rPr>
      </w:pPr>
    </w:p>
    <w:p w14:paraId="0A49C723" w14:textId="77777777" w:rsidR="009102A7" w:rsidRPr="00576AF8" w:rsidRDefault="009102A7" w:rsidP="009102A7">
      <w:pPr>
        <w:ind w:left="1416"/>
        <w:rPr>
          <w:sz w:val="22"/>
          <w:szCs w:val="22"/>
          <w:lang w:val="es-EC"/>
        </w:rPr>
      </w:pPr>
      <w:r w:rsidRPr="00576AF8">
        <w:rPr>
          <w:sz w:val="22"/>
          <w:szCs w:val="22"/>
          <w:lang w:val="es-EC"/>
        </w:rPr>
        <w:t>El programa de Flujo de Potencia del Operador DPF se utilizará para realizar estudios en estado estable y en modo estudio a la red eléctrica supervisada por el CENACE.</w:t>
      </w:r>
    </w:p>
    <w:p w14:paraId="4B69426F" w14:textId="77777777" w:rsidR="009102A7" w:rsidRPr="00576AF8" w:rsidRDefault="009102A7" w:rsidP="009102A7">
      <w:pPr>
        <w:ind w:left="1416" w:firstLine="12"/>
        <w:rPr>
          <w:sz w:val="22"/>
          <w:szCs w:val="22"/>
          <w:highlight w:val="yellow"/>
          <w:lang w:val="es-EC"/>
        </w:rPr>
      </w:pPr>
      <w:r w:rsidRPr="00576AF8">
        <w:rPr>
          <w:sz w:val="22"/>
          <w:szCs w:val="22"/>
          <w:lang w:val="es-EC"/>
        </w:rPr>
        <w:t xml:space="preserve">La función del DPF será multiusuario, para su utilización por al menos cinco (5) usuarios simultáneos, es decir, varios operadores pueden estar ejecutando casos y análisis con el uso de esta herramienta. Esta función tendrá las mismas capacidades en los ambientes de desarrollo </w:t>
      </w:r>
      <w:r w:rsidRPr="00576AF8">
        <w:rPr>
          <w:sz w:val="22"/>
          <w:szCs w:val="22"/>
          <w:lang w:val="es-EC"/>
        </w:rPr>
        <w:lastRenderedPageBreak/>
        <w:t xml:space="preserve">PDS, QAS y de entrenamiento OTS. Las dimensiones finales se detallan en el numeral 2.5.1.3 </w:t>
      </w:r>
      <w:r w:rsidRPr="00576AF8">
        <w:rPr>
          <w:sz w:val="22"/>
          <w:szCs w:val="22"/>
        </w:rPr>
        <w:t>Dimensionamiento de la Base de Datos</w:t>
      </w:r>
      <w:r w:rsidRPr="00576AF8">
        <w:rPr>
          <w:sz w:val="22"/>
          <w:szCs w:val="22"/>
          <w:lang w:val="es-EC"/>
        </w:rPr>
        <w:t>.</w:t>
      </w:r>
    </w:p>
    <w:p w14:paraId="2026896C"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Si se presentan islas, el DPF obtendrá una solución para cada una de ellas.</w:t>
      </w:r>
    </w:p>
    <w:p w14:paraId="0172B9B2"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Será posible realizar un estudio de flujo de potencia completo para una contingencia seleccionada de la función de Análisis de Contingencias. El DPF debe reproducir exactamente los resultados del análisis de contingencia para la contingencia seleccionada cuando sea parte del mismo caso base. La ejecución del flujo de potencia del operador para una contingencia seleccionada debe realizarse mediante un procedimiento sencillo de ejecución. </w:t>
      </w:r>
    </w:p>
    <w:p w14:paraId="294AA3C1"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Dado que la función de análisis de contingencias dispone de distintos modos de distribución de la generación, los mismos deberán estar disponibles en el flujo de potencia del operador como opciones de ejecución elegibles por el Operador. </w:t>
      </w:r>
    </w:p>
    <w:p w14:paraId="2F78DE89"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 igual manera, durante el proceso de solución del DPF, para una contingencia, se deberá reconocer las condiciones para la activación de una acción remedial definida y activada para la contingencia en evaluación y presentar al Operador un mensaje para notificarle que la solución obtenida activa un Esquema de Protección Local EPL,  un Esquema de acción Correctiva EAC o excede la corriente mínima de activación de un temporizador de una protección de sobrecorriente (50/51) y/o de impedancia (21).  La solución presentada en estas condiciones se denominará “parcial”.  Ya que mostrará en su solución las condiciones dadas para la activación.</w:t>
      </w:r>
    </w:p>
    <w:p w14:paraId="4AFDEE52"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Sobre una solución “parcial” el operador podrá revisar las condiciones de la red resultantes del flujo de potencia y posteriormente podrá permitir que se activen los esquemas de protección, SPC, RAS o relé de sobrecorriente (50/51) o de distancia (21). Si la solución obtenida no activa ningún EPL, EAC o relé adicional, la nueva ejecución se llamará “reconfigurada”.  Si las condiciones resultantes son tales que, habilitan otro EPL, EAC o relé, el estado de solución se mantendrá en “parcial”, permitiendo al usuario la activación de las protecciones que correspondan entre ejecuciones parciales. De esta manera se podrán simular eventos en cascada de forma manual. Una vez que la solución “parcial” no active ninguna protección adicional, la solución pasará al estado “reconfigurada”. El operador podrá revisar en detalle, por medio de despliegues tabulares o diagramas unifilares, tanto las soluciones “parciales”, cómo “reconfiguradas”. </w:t>
      </w:r>
    </w:p>
    <w:p w14:paraId="0AAC98FF"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flujos de potencia y voltajes resultantes en los diferentes equipos eléctricos (corriente, potencia activa y reactiva, voltajes, ángulos, etc.) se evaluarán considerando los distintos límites (superiores e inferiores). De igual manera para los equipos de inyección (generadores y compensadores sincrónicos) se mostrará los límites con relación a su curva de capabilidad. Los informes de violación de límites se presentarán en listas ordenadas por tipo de violación. Los límites de violación que provocan la inclusión de registros en las listas a presentar en diagramas tabulares podrán ser modificados. </w:t>
      </w:r>
    </w:p>
    <w:p w14:paraId="1A76184D"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resultados del flujo de potencia se mostrarán para el Operador sobre los diagramas unifilares y/o en diagramas tabulares e incluirán al menos:</w:t>
      </w:r>
    </w:p>
    <w:p w14:paraId="3F8EF526" w14:textId="77777777" w:rsidR="009102A7" w:rsidRPr="00576AF8" w:rsidRDefault="009102A7" w:rsidP="009102A7">
      <w:pPr>
        <w:suppressAutoHyphens w:val="0"/>
        <w:spacing w:after="0"/>
        <w:ind w:left="3501"/>
        <w:contextualSpacing/>
        <w:rPr>
          <w:color w:val="000000"/>
          <w:sz w:val="22"/>
          <w:szCs w:val="22"/>
          <w:lang w:val="es-EC" w:eastAsia="es-EC" w:bidi="ar-SA"/>
        </w:rPr>
      </w:pPr>
    </w:p>
    <w:p w14:paraId="6A5F8EF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Voltaje en barras (magnitud y ángulo) y extremos de líneas abiertas</w:t>
      </w:r>
    </w:p>
    <w:p w14:paraId="6EFC839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Potencia activa y reactiva en líneas de transmisión</w:t>
      </w:r>
    </w:p>
    <w:p w14:paraId="68519E0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Potencia activa y reactiva en unidades de generación y cargas</w:t>
      </w:r>
    </w:p>
    <w:p w14:paraId="1E28991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Posición de Tap y LTC de transformadores</w:t>
      </w:r>
    </w:p>
    <w:p w14:paraId="168698D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Potencia reactiva en compensadores, SVC, FACTs</w:t>
      </w:r>
    </w:p>
    <w:p w14:paraId="44A26FD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También se incluirá un reporte resumen que incluya al menos:</w:t>
      </w:r>
    </w:p>
    <w:p w14:paraId="26AA192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Generación Total</w:t>
      </w:r>
    </w:p>
    <w:p w14:paraId="6693928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Demanda Total</w:t>
      </w:r>
    </w:p>
    <w:p w14:paraId="466A43E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Pérdidas</w:t>
      </w:r>
    </w:p>
    <w:p w14:paraId="75BCBBF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Totalizadores por áreas internas y externas, islas </w:t>
      </w:r>
    </w:p>
    <w:p w14:paraId="648460B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Resumen de la convergencia del flujo de potencia iteración por iteración</w:t>
      </w:r>
    </w:p>
    <w:p w14:paraId="457EAF09"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DPF se podrá ejecutar en cualquiera de las 5 áreas de estudio especificadas, sin que </w:t>
      </w:r>
      <w:r w:rsidRPr="00576AF8" w:rsidDel="00832CB1">
        <w:rPr>
          <w:color w:val="000000"/>
          <w:sz w:val="22"/>
          <w:szCs w:val="22"/>
          <w:lang w:val="es-EC" w:eastAsia="es-EC" w:bidi="ar-SA"/>
        </w:rPr>
        <w:t xml:space="preserve">estos </w:t>
      </w:r>
      <w:r w:rsidRPr="00576AF8">
        <w:rPr>
          <w:color w:val="000000"/>
          <w:sz w:val="22"/>
          <w:szCs w:val="22"/>
          <w:lang w:val="es-EC" w:eastAsia="es-EC" w:bidi="ar-SA"/>
        </w:rPr>
        <w:t>análisis fuera de línea afecten los resultados del estimador de estado en tiempo real.</w:t>
      </w:r>
    </w:p>
    <w:p w14:paraId="280DB759"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sidDel="00832CB1">
        <w:rPr>
          <w:color w:val="000000"/>
          <w:sz w:val="22"/>
          <w:szCs w:val="22"/>
          <w:lang w:val="es-EC" w:eastAsia="es-EC" w:bidi="ar-SA"/>
        </w:rPr>
        <w:t xml:space="preserve">Los algoritmos de solución para el DPF </w:t>
      </w:r>
      <w:r w:rsidRPr="00576AF8">
        <w:rPr>
          <w:color w:val="000000"/>
          <w:sz w:val="22"/>
          <w:szCs w:val="22"/>
          <w:lang w:val="es-EC" w:eastAsia="es-EC" w:bidi="ar-SA"/>
        </w:rPr>
        <w:t xml:space="preserve">serán eficientes, precisos y robustos. A elección del Operador, será posible utilizar el algoritmo completo de solución por el método de Newton-Raphson o el método Desacoplado Rápido. El uso de métodos de solución desacoplados cómo </w:t>
      </w:r>
      <w:r w:rsidRPr="00576AF8" w:rsidDel="00832CB1">
        <w:rPr>
          <w:color w:val="000000"/>
          <w:sz w:val="22"/>
          <w:szCs w:val="22"/>
          <w:lang w:val="es-EC" w:eastAsia="es-EC" w:bidi="ar-SA"/>
        </w:rPr>
        <w:t xml:space="preserve">el </w:t>
      </w:r>
      <w:r w:rsidRPr="00576AF8">
        <w:rPr>
          <w:color w:val="000000"/>
          <w:sz w:val="22"/>
          <w:szCs w:val="22"/>
          <w:lang w:val="es-EC" w:eastAsia="es-EC" w:bidi="ar-SA"/>
        </w:rPr>
        <w:t xml:space="preserve">Desacoplado Rápido, </w:t>
      </w:r>
      <w:r w:rsidRPr="00576AF8" w:rsidDel="00832CB1">
        <w:rPr>
          <w:color w:val="000000"/>
          <w:sz w:val="22"/>
          <w:szCs w:val="22"/>
          <w:lang w:val="es-EC" w:eastAsia="es-EC" w:bidi="ar-SA"/>
        </w:rPr>
        <w:t xml:space="preserve">serán </w:t>
      </w:r>
      <w:r w:rsidRPr="00576AF8">
        <w:rPr>
          <w:color w:val="000000"/>
          <w:sz w:val="22"/>
          <w:szCs w:val="22"/>
          <w:lang w:val="es-EC" w:eastAsia="es-EC" w:bidi="ar-SA"/>
        </w:rPr>
        <w:t xml:space="preserve">aceptables, sin embargo, si se producen problemas de convergencia, al utilizar este método, se cambiará automáticamente al método de Newton-Raphson para obtener convergencia. </w:t>
      </w:r>
    </w:p>
    <w:p w14:paraId="313FAB52"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DPF tendrá opciones seleccionables que permitan la regulación de voltaje para:</w:t>
      </w:r>
    </w:p>
    <w:p w14:paraId="729C486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flujo de potencia reactiva en MVAR o Taps de voltaje en transformadores.</w:t>
      </w:r>
    </w:p>
    <w:p w14:paraId="7092423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voltaje en generadores.</w:t>
      </w:r>
    </w:p>
    <w:p w14:paraId="360293F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automático de potencia reactiva por medio de compensadores estáticos.</w:t>
      </w:r>
    </w:p>
    <w:p w14:paraId="1BF2504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voltaje por capacitores en paralelo.</w:t>
      </w:r>
    </w:p>
    <w:p w14:paraId="39FF8C5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voltaje por reactores en paralelo.</w:t>
      </w:r>
    </w:p>
    <w:p w14:paraId="1BB6B9F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voltaje para una combinación de varios equipos de control de voltaje en la misma barra.</w:t>
      </w:r>
    </w:p>
    <w:p w14:paraId="4C084D6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sobre los límites de potencia reactiva de generadores en MVAR.</w:t>
      </w:r>
    </w:p>
    <w:p w14:paraId="758F70F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voltaje mediante STATCOM y/o SVC.</w:t>
      </w:r>
    </w:p>
    <w:p w14:paraId="1AEDA52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del ángulo de voltaje o del cambio de fase.</w:t>
      </w:r>
    </w:p>
    <w:p w14:paraId="29E6632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Cualquier otra capacidad de regulación disponible en el estándar del Proveedor será incluida sin ningún costo adicional.</w:t>
      </w:r>
    </w:p>
    <w:p w14:paraId="067589D0"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implementación de estos controles no degradará la eficiencia, precisión y robustez del algoritmo de flujo de potencia básico.</w:t>
      </w:r>
    </w:p>
    <w:p w14:paraId="6634931A" w14:textId="77777777" w:rsidR="009102A7" w:rsidRPr="00576AF8" w:rsidRDefault="009102A7" w:rsidP="009102A7">
      <w:pPr>
        <w:numPr>
          <w:ilvl w:val="0"/>
          <w:numId w:val="32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algoritmo de solución del DPF tendrá al menos las siguientes características:</w:t>
      </w:r>
    </w:p>
    <w:p w14:paraId="09FC428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para calcular los voltajes en los extremos abiertos de las líneas en configuración de anillo.</w:t>
      </w:r>
    </w:p>
    <w:p w14:paraId="2D913F7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Coherencia en la convergencia a la misma solución, independientemente de la solución inicial.</w:t>
      </w:r>
    </w:p>
    <w:p w14:paraId="383B71F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no convergencia a una solución se debe únicamente a la no viabilidad del sistema físico o problemas de definición por parte del usuario, y no a las debilidades del algoritmo en sí.</w:t>
      </w:r>
    </w:p>
    <w:p w14:paraId="5B901F7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pequeños cambios en los controles o cualquier otra información de entrada no producirán cambios importantes en el punto de solución, a menos que dichos cambios se deban a la respuesta física del sistema.</w:t>
      </w:r>
    </w:p>
    <w:p w14:paraId="4314196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la compensación de pérdidas, será posible elegir entre barra Slack simple, reasignación de generación, o ajustes de reducción de carga. También se puede especificar el control de intercambio en el modo de generación distribuida para controlar el flujo entre áreas</w:t>
      </w:r>
    </w:p>
    <w:p w14:paraId="751F8A5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métodos de redistribución de generación disponibles para la aplicación de análisis de contingencia estarán disponibles para ser seleccionados por el Operador.</w:t>
      </w:r>
    </w:p>
    <w:p w14:paraId="560A0F9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Un sistema de Gestión de casos de estudio estará disponible para almacenar y recuperar los casos. El Proveedor debe describir en detalle las herramientas proporcionadas para el respaldo y la reutilización de casos de flujo de potencia de los casos de estudio.</w:t>
      </w:r>
    </w:p>
    <w:p w14:paraId="5B05808D"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contextualSpacing/>
        <w:rPr>
          <w:sz w:val="22"/>
          <w:szCs w:val="22"/>
          <w:lang w:val="es-EC"/>
        </w:rPr>
      </w:pPr>
      <w:r w:rsidRPr="00576AF8">
        <w:rPr>
          <w:sz w:val="22"/>
          <w:szCs w:val="22"/>
          <w:lang w:val="es-EC"/>
        </w:rPr>
        <w:lastRenderedPageBreak/>
        <w:t xml:space="preserve">Para la ejecución del flujo de potencia, la interfaz de usuario será simple y exigirá la mínima cantidad de información. Los estudios de salida de equipos, pérdida de generación y pérdida de carga podrán ejecutarse mediante el cambio a </w:t>
      </w:r>
      <w:r w:rsidRPr="00576AF8" w:rsidDel="002231F4">
        <w:rPr>
          <w:sz w:val="22"/>
          <w:szCs w:val="22"/>
          <w:lang w:val="es-EC"/>
        </w:rPr>
        <w:t xml:space="preserve">los </w:t>
      </w:r>
      <w:r w:rsidRPr="00576AF8">
        <w:rPr>
          <w:sz w:val="22"/>
          <w:szCs w:val="22"/>
          <w:lang w:val="es-EC"/>
        </w:rPr>
        <w:t xml:space="preserve">estados de los dispositivos de conexión asociados. Para esto, el Operador podrá utilizar despliegues tabulares o los diagramas unifilares, seleccionando las mediciones que se desea alterar, desde </w:t>
      </w:r>
      <w:r w:rsidRPr="00576AF8" w:rsidDel="002231F4">
        <w:rPr>
          <w:sz w:val="22"/>
          <w:szCs w:val="22"/>
          <w:lang w:val="es-EC"/>
        </w:rPr>
        <w:t xml:space="preserve">el </w:t>
      </w:r>
      <w:r w:rsidRPr="00576AF8">
        <w:rPr>
          <w:sz w:val="22"/>
          <w:szCs w:val="22"/>
          <w:lang w:val="es-EC"/>
        </w:rPr>
        <w:t>símbolo de equipo apropiado, ya sea línea, transformador, generador, etc.). Los resultados se presentarán en los mismos diagramas unifilares utilizados en tiempo real.</w:t>
      </w:r>
    </w:p>
    <w:p w14:paraId="7D2199DB"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contextualSpacing/>
        <w:rPr>
          <w:sz w:val="22"/>
          <w:szCs w:val="22"/>
          <w:lang w:val="es-EC"/>
        </w:rPr>
      </w:pPr>
      <w:r w:rsidRPr="00576AF8">
        <w:rPr>
          <w:sz w:val="22"/>
          <w:szCs w:val="22"/>
          <w:lang w:val="es-EC"/>
        </w:rPr>
        <w:t xml:space="preserve">Para configurar un caso, una interfaz </w:t>
      </w:r>
      <w:r w:rsidRPr="00576AF8" w:rsidDel="002231F4">
        <w:rPr>
          <w:sz w:val="22"/>
          <w:szCs w:val="22"/>
          <w:lang w:val="es-EC"/>
        </w:rPr>
        <w:t xml:space="preserve">al </w:t>
      </w:r>
      <w:r w:rsidRPr="00576AF8">
        <w:rPr>
          <w:sz w:val="22"/>
          <w:szCs w:val="22"/>
          <w:lang w:val="es-EC"/>
        </w:rPr>
        <w:t>programa de Gestión de Interrupciones de Equipos debe permitir la aplicación de las desconexiones previstas para una fecha y hora especificada por el Operador. Para configurar la generación por unidad, una interfaz con el plan operativo horario</w:t>
      </w:r>
      <w:r w:rsidRPr="00576AF8">
        <w:rPr>
          <w:sz w:val="22"/>
          <w:szCs w:val="22"/>
          <w:vertAlign w:val="superscript"/>
        </w:rPr>
        <w:footnoteReference w:id="12"/>
      </w:r>
      <w:r w:rsidRPr="00576AF8">
        <w:rPr>
          <w:sz w:val="22"/>
          <w:szCs w:val="22"/>
          <w:lang w:val="es-EC"/>
        </w:rPr>
        <w:t xml:space="preserve"> de programación del Sistema de Gestión de Generación permitirá incluir la producción de generación planificada y el intercambio neto </w:t>
      </w:r>
      <w:r w:rsidRPr="00576AF8" w:rsidDel="00B04AE9">
        <w:rPr>
          <w:sz w:val="22"/>
          <w:szCs w:val="22"/>
          <w:lang w:val="es-EC"/>
        </w:rPr>
        <w:t xml:space="preserve">programado, </w:t>
      </w:r>
      <w:r w:rsidRPr="00576AF8">
        <w:rPr>
          <w:sz w:val="22"/>
          <w:szCs w:val="22"/>
          <w:lang w:val="es-EC"/>
        </w:rPr>
        <w:t>para un tiempo determinado en el futuro, en el mismo día o en fechas futuras que estén disponibles en el plan de producción de generación. Adicionalmente, una interfaz a la aplicación de Pronósticos de Demanda permitirá, con base a la fecha y hora seleccionada, el inicializar la demanda por zona de carga definidas para las aplicaciones de seguridad.</w:t>
      </w:r>
    </w:p>
    <w:p w14:paraId="0D185156"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contextualSpacing/>
        <w:rPr>
          <w:sz w:val="22"/>
          <w:szCs w:val="22"/>
          <w:lang w:val="es-EC"/>
        </w:rPr>
      </w:pPr>
      <w:r w:rsidRPr="00576AF8">
        <w:rPr>
          <w:sz w:val="22"/>
          <w:szCs w:val="22"/>
          <w:lang w:val="es-EC"/>
        </w:rPr>
        <w:t>El DPF puede utilizar los resultados del Estimador de Estado como punto base de casos válidos guardados.</w:t>
      </w:r>
    </w:p>
    <w:p w14:paraId="78F4FD92"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contextualSpacing/>
        <w:rPr>
          <w:sz w:val="22"/>
          <w:szCs w:val="22"/>
          <w:lang w:val="es-EC"/>
        </w:rPr>
      </w:pPr>
      <w:r w:rsidRPr="00576AF8">
        <w:rPr>
          <w:sz w:val="22"/>
          <w:szCs w:val="22"/>
          <w:lang w:val="es-EC"/>
        </w:rPr>
        <w:t xml:space="preserve">Cualquier solución de flujo de potencia podrá ser utilizada como caso base de un flujo de potencia óptimo, OPF.  Independientemente de la función objetivo seleccionada por el Operador para resolver el OPF, los controles que hayan sido utilizados para resolver las restricciones activas en el caso base de entrada al OPF, se almacenarán en una lista en el mismo orden en que el OPF los modificó para obtener la solución. Las acciones en esta lista podrán ser simuladas y activadas una a la vez, varias o todas, según se desee, para ejecutar corridas de flujo de potencia, las cuales el operador podrá comparar y ver el impacto de los controles recomendados por el OPF.  </w:t>
      </w:r>
    </w:p>
    <w:p w14:paraId="69B0C61E"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carga y el intercambio totales del sistema será modificables y las cargas individuales del caso base deben ajustarse considerando los factores de distribución derivados del caso base inicial o considerando la distribución de demanda disponible en los archivos de distribución horaria por día tipo, temporada y hora.  Si se realiza un cambio en una de las cargas, los factores de distribución se ajustarán automáticamente.</w:t>
      </w:r>
    </w:p>
    <w:p w14:paraId="3DAD654F"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resultados del DPF se presentarán en unidades de ingeniería como: kV, MW, MVAr, MVA, Grados y A para amperios.</w:t>
      </w:r>
    </w:p>
    <w:p w14:paraId="40145D91"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debe disponer de despliegues tabulares con resúmenes del balance de potencia, pérdidas, voltajes y otros resultados pertinentes a un caso de DPF.</w:t>
      </w:r>
    </w:p>
    <w:p w14:paraId="685663A8"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 debe disponer despliegues tabulares con los ajustes automáticos aplicados en los equipos que regulan voltajes y potencias. </w:t>
      </w:r>
    </w:p>
    <w:p w14:paraId="553A1805"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el escalamiento, hacia arriba o hacia abajo, de cargas zonales y cargas del sistema.</w:t>
      </w:r>
    </w:p>
    <w:p w14:paraId="30B8588D"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DPF permitirá especificar y resolver un intercambio neto fijo entre áreas.</w:t>
      </w:r>
    </w:p>
    <w:p w14:paraId="2B29DFCF"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Una función de comparación de casos para el DPF permitirá la comparación lado a lado de pares de soluciones, éstas podrán ser elegidas entre 5 ejecuciones de DPF, que deberá soportar la funcionalidad de comparación de casos. Los filtros para realizar la comparación serán flexibles permitiendo su aplicación en forma global, es decir, a todas las salidas del flujo de potencia, o individuales, es decir, especificando criterios separados para comparación de voltajes, flujos de MW, flujos de MVAR, flujos de MVA, Amperios, Diferencias angulares. Los filtros serán absolutos y/o de variación en porcentaje. Lógicas sencillas para combinar filtros con operadores de comparación, (mayor, igual, menor, distinto); además de operadores lógicos deberán estar disponibles para comparar entre pares de casos seleccionados.</w:t>
      </w:r>
    </w:p>
    <w:p w14:paraId="007BBFBA"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casos de estudio de flujos de potencia del operador serán almacenados automáticamente o de forma manual y permitir ser recuperados por el operador con un procedimiento simple.</w:t>
      </w:r>
    </w:p>
    <w:p w14:paraId="2676E68A"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ejecutar flujos de potencia del operador con información histórica para el análisis de eventos que ocurrieron anteriormente.</w:t>
      </w:r>
    </w:p>
    <w:p w14:paraId="3A76F6CE"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Si un caso de flujo de potencia guardado se está usando en un área de estudio, este caso será bloqueado para que no pueda ser alterado por otra persona al mismo tiempo.</w:t>
      </w:r>
    </w:p>
    <w:p w14:paraId="00E7046F"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Será posible que el operador pueda seleccionar diferentes barras </w:t>
      </w:r>
      <w:r w:rsidRPr="00576AF8">
        <w:rPr>
          <w:rFonts w:eastAsia="Calibri"/>
          <w:i/>
          <w:iCs/>
          <w:sz w:val="22"/>
          <w:szCs w:val="22"/>
          <w:lang w:val="es-419" w:eastAsia="en-US" w:bidi="ar-SA"/>
        </w:rPr>
        <w:t xml:space="preserve">slack </w:t>
      </w:r>
      <w:r w:rsidRPr="00576AF8">
        <w:rPr>
          <w:rFonts w:eastAsia="Calibri"/>
          <w:sz w:val="22"/>
          <w:szCs w:val="22"/>
          <w:lang w:val="es-419" w:eastAsia="en-US" w:bidi="ar-SA"/>
        </w:rPr>
        <w:t>para la solución del flujo de potencia.</w:t>
      </w:r>
    </w:p>
    <w:p w14:paraId="39A1CBF9"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Calculará y detectará violaciones de los límites de la separación angular de voltaje para cada circuito.</w:t>
      </w:r>
    </w:p>
    <w:p w14:paraId="0F1AEB66"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Generará alarmas cuando detecte violaciones de límites.</w:t>
      </w:r>
    </w:p>
    <w:p w14:paraId="16C56221"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Permitirá exportar los resultados del flujo de potencia en formatos: IEEE, </w:t>
      </w:r>
      <w:r w:rsidR="00417A78" w:rsidRPr="00576AF8">
        <w:rPr>
          <w:rFonts w:eastAsia="Calibri"/>
          <w:sz w:val="22"/>
          <w:szCs w:val="22"/>
          <w:lang w:val="es-419" w:eastAsia="en-US" w:bidi="ar-SA"/>
        </w:rPr>
        <w:t>compatible con Power Factory</w:t>
      </w:r>
      <w:r w:rsidRPr="00576AF8">
        <w:rPr>
          <w:rFonts w:eastAsia="Calibri"/>
          <w:sz w:val="22"/>
          <w:szCs w:val="22"/>
          <w:lang w:val="es-419" w:eastAsia="en-US" w:bidi="ar-SA"/>
        </w:rPr>
        <w:t>, PSS/E, CIM.</w:t>
      </w:r>
    </w:p>
    <w:p w14:paraId="2D5236B3"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importar/exportar los parámetros y controles del Flujo de Potencia del Operador desde/hacia un archivo de configuración de esta información.</w:t>
      </w:r>
    </w:p>
    <w:p w14:paraId="46093909"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ingeniero de soporte de aplicaciones será capaz de guardar cambios realizados en los controles del DPF para que se presenten en todas las áreas de estudio del DPF</w:t>
      </w:r>
    </w:p>
    <w:p w14:paraId="6ADDD719" w14:textId="77777777" w:rsidR="009102A7" w:rsidRPr="00576AF8" w:rsidRDefault="009102A7" w:rsidP="009102A7">
      <w:pPr>
        <w:numPr>
          <w:ilvl w:val="0"/>
          <w:numId w:val="3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disponer de un gráfico de la curva de capabilidad de cada generador modelado, en donde se incluya el punto de operación actual proveniente de los resultados del flujo de potencia.  Estos dos puntos será fácilmente identificables.</w:t>
      </w:r>
    </w:p>
    <w:p w14:paraId="5B91C93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rPr>
          <w:sz w:val="22"/>
          <w:szCs w:val="22"/>
          <w:lang w:val="es-EC"/>
        </w:rPr>
      </w:pPr>
    </w:p>
    <w:p w14:paraId="02E091C2" w14:textId="77777777" w:rsidR="009102A7" w:rsidRPr="00576AF8" w:rsidRDefault="009102A7" w:rsidP="009102A7">
      <w:pPr>
        <w:ind w:left="720" w:firstLine="696"/>
        <w:jc w:val="left"/>
        <w:outlineLvl w:val="2"/>
        <w:rPr>
          <w:sz w:val="22"/>
          <w:szCs w:val="22"/>
        </w:rPr>
      </w:pPr>
      <w:bookmarkStart w:id="912" w:name="_Toc148955148"/>
      <w:bookmarkStart w:id="913" w:name="_Toc158396623"/>
      <w:bookmarkStart w:id="914" w:name="_Toc160012862"/>
      <w:bookmarkStart w:id="915" w:name="_Toc160434872"/>
      <w:bookmarkStart w:id="916" w:name="_Toc160455997"/>
      <w:r w:rsidRPr="00576AF8">
        <w:rPr>
          <w:b/>
          <w:sz w:val="22"/>
          <w:szCs w:val="22"/>
        </w:rPr>
        <w:t>2.1.1.1.4.9 Flujo de Potencia Óptimo (Optimal Power Flow OPF)</w:t>
      </w:r>
      <w:bookmarkEnd w:id="912"/>
      <w:bookmarkEnd w:id="913"/>
      <w:bookmarkEnd w:id="914"/>
      <w:bookmarkEnd w:id="915"/>
      <w:bookmarkEnd w:id="916"/>
    </w:p>
    <w:p w14:paraId="7C4465FD"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requiere una aplicación de Flujo Óptimo de Potencia - OPF para realizar la optimización del sistema de potencia, tanto en tiempo real como en modo de estudio.  En tiempo real, el Flujo Óptimo de Potencia utilizará como punto de partida los resultados del Estimador de Estado y en modo de estudio, utilizará como punto de partida los resultados del Flujo de Potencia del Operador o del Estimador de Estado en modo estudio.</w:t>
      </w:r>
    </w:p>
    <w:p w14:paraId="670982B0"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objetivos de optimización más comunes serán</w:t>
      </w:r>
      <w:r w:rsidR="009E2FCB" w:rsidRPr="00576AF8">
        <w:rPr>
          <w:rFonts w:eastAsia="Calibri"/>
          <w:sz w:val="22"/>
          <w:szCs w:val="22"/>
          <w:lang w:val="es-419" w:eastAsia="en-US" w:bidi="ar-SA"/>
        </w:rPr>
        <w:t xml:space="preserve">: optimización de </w:t>
      </w:r>
      <w:proofErr w:type="gramStart"/>
      <w:r w:rsidR="009E2FCB" w:rsidRPr="00576AF8">
        <w:rPr>
          <w:rFonts w:eastAsia="Calibri"/>
          <w:sz w:val="22"/>
          <w:szCs w:val="22"/>
          <w:lang w:val="es-419" w:eastAsia="en-US" w:bidi="ar-SA"/>
        </w:rPr>
        <w:t xml:space="preserve">seguridad,  </w:t>
      </w:r>
      <w:r w:rsidRPr="00576AF8">
        <w:rPr>
          <w:rFonts w:eastAsia="Calibri"/>
          <w:sz w:val="22"/>
          <w:szCs w:val="22"/>
          <w:lang w:val="es-419" w:eastAsia="en-US" w:bidi="ar-SA"/>
        </w:rPr>
        <w:t xml:space="preserve"> </w:t>
      </w:r>
      <w:proofErr w:type="gramEnd"/>
      <w:r w:rsidRPr="00576AF8">
        <w:rPr>
          <w:rFonts w:eastAsia="Calibri"/>
          <w:sz w:val="22"/>
          <w:szCs w:val="22"/>
          <w:lang w:val="es-419" w:eastAsia="en-US" w:bidi="ar-SA"/>
        </w:rPr>
        <w:t>el mínimo desvío desde el punto de Operación, el mínimo Número de Controles</w:t>
      </w:r>
      <w:r w:rsidR="009E2FCB" w:rsidRPr="00576AF8">
        <w:rPr>
          <w:rFonts w:eastAsia="Calibri"/>
          <w:sz w:val="22"/>
          <w:szCs w:val="22"/>
          <w:lang w:val="es-419" w:eastAsia="en-US" w:bidi="ar-SA"/>
        </w:rPr>
        <w:t>, optimización de pérdidas de MW, optimización de pérdidas de MVAR</w:t>
      </w:r>
      <w:r w:rsidRPr="00576AF8">
        <w:rPr>
          <w:rFonts w:eastAsia="Calibri"/>
          <w:sz w:val="22"/>
          <w:szCs w:val="22"/>
          <w:lang w:val="es-419" w:eastAsia="en-US" w:bidi="ar-SA"/>
        </w:rPr>
        <w:t xml:space="preserve"> y/o la eliminación de congestiones en corredores de sistemas de transmisión.</w:t>
      </w:r>
    </w:p>
    <w:p w14:paraId="72E77A5E"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Su objetivo principal es ayudar al operador a determinar el mejor conjunto de cambios en los puntos de operación de los equipos habilitados para ser controlados por el OPF. </w:t>
      </w:r>
      <w:r w:rsidRPr="00576AF8">
        <w:rPr>
          <w:rFonts w:eastAsia="Calibri"/>
          <w:sz w:val="22"/>
          <w:szCs w:val="22"/>
          <w:lang w:val="es-419" w:eastAsia="en-US" w:bidi="ar-SA"/>
        </w:rPr>
        <w:lastRenderedPageBreak/>
        <w:t xml:space="preserve">Estos cambios aplicados tienen el propósito de: aliviar sobrecargas en equipos, asegurar que los enlaces operen dentro de sus rangos de operación permitidos, asegurar los compromisos de reserva rodante por áreas y que no existan violaciones en los límites de voltaje en los equipos de la red. </w:t>
      </w:r>
    </w:p>
    <w:p w14:paraId="354E5F96"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controles de potencia activa podrán ser la potencia activa de los generadores, líneas DC, sistemas de almacenamiento de energía (BESS), transformadores controladores del ángulo de fase (Phase Shifter), los cortes de Energía Renovable Variable (ERV) - centrales solares y de viento y la demanda del sistema. Para el control de la potencia reactiva se utilizarán los flujos de potencia de reactivos y el control del voltaje provistos por los generadores, los cambiadores de toma de los transformadores, los SVC y los compensadores sincrónicos.</w:t>
      </w:r>
    </w:p>
    <w:p w14:paraId="1AB5C5A7"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OPF deberá ejecutarse en el modo de Lazo Abierto, siendo el Operador quien controla toda la interacción y aplicación de los resultados del OPF.</w:t>
      </w:r>
    </w:p>
    <w:p w14:paraId="4A6C4812"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modo de Lazo Abierto, se generará una lista de los controles sugeridos para el caso del Estimador de Estado de tiempo real.  Esta lista podrá ser utilizada por el Operador para iniciar acciones de control manualmente. La lista de recomendaciones del OPF podrá ser utilizada en una o varias de las sesiones de modo estudio, siendo este ambiente el adecuado para que el operador pueda aplicar los controles a un Flujo de Potencia representativo basado en la resolución inicial del Estimador de Estado. La aplicación de estos controles podrá ser secuencial, en el orden que los genera el OPF.  La secuencia será con base a su sensibilidad con respecto a la mayor restricción presente. Alternativamente, el Operador podría aplicar todos los controles de manera simultánea al caso de flujo de potencia.</w:t>
      </w:r>
    </w:p>
    <w:p w14:paraId="3715C16B"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Operador tendrá la facultad de definir los criterios de suspensión o validación a realizar para evaluar la efectividad de cada control, así como determinar los intervalos de tiempo entre las acciones de control a aplicarse.</w:t>
      </w:r>
    </w:p>
    <w:p w14:paraId="58A9E868"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el modo estudio, el OPF se activará a partir de una ejecución del flujo de potencia, pudiendo aplicar y sugerir controles para condiciones futuras de operación.  Estas condiciones futuras provendrán de pronósticos de demanda, considerando los equipos fuera de servicio por mantenimiento programado o forzados, cuya información será provista por la aplicación de Programador de </w:t>
      </w:r>
      <w:r w:rsidR="009E2FCB" w:rsidRPr="00576AF8">
        <w:rPr>
          <w:rFonts w:eastAsia="Calibri"/>
          <w:sz w:val="22"/>
          <w:szCs w:val="22"/>
          <w:lang w:val="es-419" w:eastAsia="en-US" w:bidi="ar-SA"/>
        </w:rPr>
        <w:t>Salida de Servicio de Equipos</w:t>
      </w:r>
      <w:r w:rsidRPr="00576AF8">
        <w:rPr>
          <w:rFonts w:eastAsia="Calibri"/>
          <w:sz w:val="22"/>
          <w:szCs w:val="22"/>
          <w:lang w:val="es-419" w:eastAsia="en-US" w:bidi="ar-SA"/>
        </w:rPr>
        <w:t>; incluyendo además el plan de operación de la generación, los intercambios programados provenientes de la aplicación de Control de Intercambios y los requerimientos de reserva rodante por área. Con esta información el OPF sugerirá controles que satisfagan el objetivo de optimización seleccionado, respetando las restricciones operacionales vigentes.</w:t>
      </w:r>
    </w:p>
    <w:p w14:paraId="0945C303"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Si en cualquier modo de optimización, el OPF no puede resolver una restricción activa, es decir, que, si no logra levantar la violación de algún límite operacional, entonces el OPF utilizará técnicas de relajación sobre aquellos límites permitidos por el Operador.</w:t>
      </w:r>
    </w:p>
    <w:p w14:paraId="54570CC6"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los reactores y/o capacitores, el OPF podrá sugerir la puesta en servicio o desconexión de cualquiera de estos equipos. Este tipo de sugerencia deberá considerarse como un tipo especial de control.</w:t>
      </w:r>
    </w:p>
    <w:p w14:paraId="2A91FB19"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técnicas a utilizar para alcanzar los objetivos de optimización podrán incluir diversas opciones, no limitándose a las mencionadas a continuación.  Los métodos a utilizarse podrán ser el método del Gradiente, método de Newton, técnicas de optimización lineales, no lineales, programación entera y combinación de los anteriores.</w:t>
      </w:r>
    </w:p>
    <w:p w14:paraId="3D5AA887"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En el modelo eléctrico de los generadores, el OPF, además de considerar a los límites superior e inferior de operación, deberá incorporar en la solución la rampa de toma de carga y de reducción de generación. En el caso de los sistemas de almacenamiento de energía en baterías (BESS), deberán presentar la potencia solicitada con base al estado de carga (state of charge), cuando se ejecute en tiempo real.  Para las líneas de transmisión y los corredores de transmisión se deberán considerar los límites que se encuentren activos para el momento de su ejecución. Estos límites podrán ser los asignados por el modelo de red eléctrica o límites que varían en función de la aplicación de Gestión de Límites.</w:t>
      </w:r>
    </w:p>
    <w:p w14:paraId="5A001098"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Operador tendrá la capacidad para seleccionar los controles de potencia activa y reactiva que podrán participar en el proceso de optimización, permitiendo asociar los mismos a una prioridad de uso dentro de la solución del problema de optimización. De esta forma, la optimización utilizará primero los recursos con la prioridad más alta y si no logra conseguir una solución al problema de optimización, irá incorporando gradualmente los controles del siguiente nivel de prioridad hasta obtener una solución. </w:t>
      </w:r>
    </w:p>
    <w:p w14:paraId="4F8970FB"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Basados en el objetivo de optimización seleccionado por el Operador, considerar en la solución los controles de potencia activa y reactiva conectados a la red, para sugerir nuevos puntos de operación que resuelvan el problema de optimización.</w:t>
      </w:r>
    </w:p>
    <w:p w14:paraId="66C03E40"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Considerar la posibilidad de sugerir la conexión o desconexión de capacitores o reactores para el control de voltajes.</w:t>
      </w:r>
    </w:p>
    <w:p w14:paraId="7820FAC2"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dispondrá para su selección, al menos de los siguientes objetivos de optimización:</w:t>
      </w:r>
    </w:p>
    <w:p w14:paraId="2440D8B1" w14:textId="77777777" w:rsidR="009102A7" w:rsidRPr="00576AF8" w:rsidRDefault="009102A7" w:rsidP="009102A7">
      <w:pPr>
        <w:rPr>
          <w:sz w:val="22"/>
          <w:szCs w:val="22"/>
          <w:lang w:val="es-419"/>
        </w:rPr>
      </w:pPr>
    </w:p>
    <w:p w14:paraId="66C5CDA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Optimización de seguridad para solventar todas las restricciones del sistema.  Para lograrlo, se podrá elegir entre las opciones que se presentan a continuación:</w:t>
      </w:r>
    </w:p>
    <w:p w14:paraId="4D6F40DB" w14:textId="77777777" w:rsidR="009102A7" w:rsidRPr="00576AF8" w:rsidRDefault="009102A7" w:rsidP="009102A7">
      <w:pPr>
        <w:numPr>
          <w:ilvl w:val="0"/>
          <w:numId w:val="3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Mínimo desvío desde el punto de Operación: En este caso los controles para resolver el problema de optimización deberán desviarse lo mínimo posible desde su punto de operación para resolver o aliviar las restricciones activas.</w:t>
      </w:r>
    </w:p>
    <w:p w14:paraId="4017EC72" w14:textId="77777777" w:rsidR="009102A7" w:rsidRPr="00576AF8" w:rsidRDefault="009102A7" w:rsidP="009102A7">
      <w:pPr>
        <w:numPr>
          <w:ilvl w:val="0"/>
          <w:numId w:val="3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Mínimo Número de Controles: Para este objetivo, los controles seleccionados serán los mínimos posibles, pudiendo ser su variación una cantidad necesaria desde el punto de operación, siempre que se respeten sus límites y condiciones de operación.</w:t>
      </w:r>
    </w:p>
    <w:p w14:paraId="70D6B7EA"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Pérdidas mínimas de transmisión en MW.</w:t>
      </w:r>
    </w:p>
    <w:p w14:paraId="785A786D"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Pérdidas mínimas de transmisión en MVAr.</w:t>
      </w:r>
    </w:p>
    <w:p w14:paraId="41CAE782"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Modelar las restricciones del sistema de potencia utilizando los límites de los equipos, los intercambios horarios, los requerimientos de reserva rodante por área de generación y los rangos de operación de las barras reguladas.</w:t>
      </w:r>
    </w:p>
    <w:p w14:paraId="20202E16"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restricciones mínimas que deben observarse en la solución para la potencia activa son:</w:t>
      </w:r>
    </w:p>
    <w:p w14:paraId="0D94BCE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potencia activa en las unidades de generación.</w:t>
      </w:r>
    </w:p>
    <w:p w14:paraId="1E1F217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potencia activa de los sistemas de almacenamiento de energía en Baterías - BESS y estado de carga para el momento de encontrar la solución.</w:t>
      </w:r>
    </w:p>
    <w:p w14:paraId="2B53934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Balance carga-generación de potencia activa, considerando las pérdidas e intercambios.</w:t>
      </w:r>
    </w:p>
    <w:p w14:paraId="40458B0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Corrientes de líneas y de transformadores</w:t>
      </w:r>
    </w:p>
    <w:p w14:paraId="46F3073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flujo potencia de enlaces de transmisión en MW.</w:t>
      </w:r>
    </w:p>
    <w:p w14:paraId="7467F4D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reserva por zona de generación en MW.</w:t>
      </w:r>
    </w:p>
    <w:p w14:paraId="53289041"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Las restricciones mínimas que se deben observar en la solución para la potencia reactiva son:</w:t>
      </w:r>
    </w:p>
    <w:p w14:paraId="5632F7A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potencia reactiva de las unidades de generación en MVAR</w:t>
      </w:r>
    </w:p>
    <w:p w14:paraId="7C5302E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Compensadores Estáticos - SVC.</w:t>
      </w:r>
    </w:p>
    <w:p w14:paraId="17A2435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de los Bancos controlables de capacitores/reactores.</w:t>
      </w:r>
    </w:p>
    <w:p w14:paraId="46FE0CB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Superior e Inferior en voltajes de barra.</w:t>
      </w:r>
    </w:p>
    <w:p w14:paraId="1B3B87F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Rangos permitidos de voltajes regulados en barras </w:t>
      </w:r>
    </w:p>
    <w:p w14:paraId="55DC491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Corrientes de líneas y de transformadores en amperios o MVA.</w:t>
      </w:r>
    </w:p>
    <w:p w14:paraId="7EEC542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reserva de potencia reactiva zonales en MVAr.</w:t>
      </w:r>
    </w:p>
    <w:p w14:paraId="4B64B4AE"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controles de potencia activa serán elegibles por el usuario para participar en la optimización de objetivos relacionados con la potencia activa. Estos deben tener una prioridad de participación para permitir la priorización de los mismos dentro del proceso de optimización. Como mínimo el OPF deberá considerar los siguientes tipos de controles.</w:t>
      </w:r>
    </w:p>
    <w:p w14:paraId="71745BB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Potencia generada de las unidades en MW.</w:t>
      </w:r>
    </w:p>
    <w:p w14:paraId="17EE5F0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Potencia producida por Sistemas de almacenamiento de energía en Bancos de Batería BESS en MW.</w:t>
      </w:r>
    </w:p>
    <w:p w14:paraId="2EC0858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potencia en los enlaces HVDC en MW.</w:t>
      </w:r>
    </w:p>
    <w:p w14:paraId="2AD075A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Cambios de Taps variadores de ángulo (phase shifters)</w:t>
      </w:r>
    </w:p>
    <w:p w14:paraId="1A3E2BB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Desconexiones de carga. Este tipo de controles tendrán por defecto la prioridad más baja para su selección.  Esta prioridad considerará las siguientes variantes:</w:t>
      </w:r>
    </w:p>
    <w:p w14:paraId="5E1FA6C1" w14:textId="77777777" w:rsidR="009102A7" w:rsidRPr="00576AF8" w:rsidRDefault="009102A7" w:rsidP="009102A7">
      <w:pPr>
        <w:numPr>
          <w:ilvl w:val="0"/>
          <w:numId w:val="32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Activación de desconexión de cargas mediante convenios para deslastre acordados previamente.</w:t>
      </w:r>
    </w:p>
    <w:p w14:paraId="7F4D1872" w14:textId="77777777" w:rsidR="009102A7" w:rsidRPr="00576AF8" w:rsidRDefault="009102A7" w:rsidP="009102A7">
      <w:pPr>
        <w:numPr>
          <w:ilvl w:val="0"/>
          <w:numId w:val="32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Activación de transferencias de cargas en porcentajes preestablecidos.</w:t>
      </w:r>
    </w:p>
    <w:p w14:paraId="4BAFC18D" w14:textId="77777777" w:rsidR="009102A7" w:rsidRPr="00576AF8" w:rsidRDefault="009102A7" w:rsidP="009102A7">
      <w:pPr>
        <w:numPr>
          <w:ilvl w:val="0"/>
          <w:numId w:val="32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Cuando se consideren ofertas de reducción de cargas habilitadas como controles, su habilitación estará basada en el costo inverso de la oferta en MW y en la capacidad requerida.</w:t>
      </w:r>
    </w:p>
    <w:p w14:paraId="30A12D0B" w14:textId="77777777" w:rsidR="009102A7" w:rsidRPr="00576AF8" w:rsidRDefault="009102A7" w:rsidP="009102A7">
      <w:pPr>
        <w:numPr>
          <w:ilvl w:val="0"/>
          <w:numId w:val="32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Reducción de cargas por activación de medidas de gestión de demanda en la distribuidora.</w:t>
      </w:r>
    </w:p>
    <w:p w14:paraId="3249CB46" w14:textId="77777777" w:rsidR="009102A7" w:rsidRPr="00576AF8" w:rsidRDefault="009102A7" w:rsidP="009102A7">
      <w:pPr>
        <w:numPr>
          <w:ilvl w:val="0"/>
          <w:numId w:val="32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Desconexión parcial de cargas definidas como controles para el OPF.</w:t>
      </w:r>
    </w:p>
    <w:p w14:paraId="540812D2"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controles de potencia reactiva serán seleccionables por el usuario para su participación en la solución de la función objetivo asociada al control de reactivos y/o voltajes. Los controles serán asignados con una prioridad de selección para permitir la utilización de aquellos controles que sean más efectivos para alcanzar la función objetivo seleccionada. Cómo mínimo los siguientes controles de reactivos estarán disponibles para su utilización:</w:t>
      </w:r>
    </w:p>
    <w:p w14:paraId="54C6ECB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Generadores.</w:t>
      </w:r>
    </w:p>
    <w:p w14:paraId="6E72F31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Compensadores de tipo SVC.</w:t>
      </w:r>
    </w:p>
    <w:p w14:paraId="4AE4299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Compensadores sincrónicos.</w:t>
      </w:r>
    </w:p>
    <w:p w14:paraId="2E1D8D3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Tap de transformadores en fase.</w:t>
      </w:r>
    </w:p>
    <w:p w14:paraId="3EBEF8E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Regulación de bancos de reactores y capacitores en paralelo.</w:t>
      </w:r>
    </w:p>
    <w:p w14:paraId="3F6091A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Reactores y Capacitores sin capacidad de regulación (entrada o salida por medio de interruptores)</w:t>
      </w:r>
    </w:p>
    <w:p w14:paraId="76C0DA01"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Para mejorar la convergencia del OPF en caso de inviabilidad, se requerirá que los algoritmos empleados cuenten con un método de relajación de las restricciones que </w:t>
      </w:r>
      <w:r w:rsidRPr="00576AF8">
        <w:rPr>
          <w:rFonts w:eastAsia="Calibri"/>
          <w:sz w:val="22"/>
          <w:szCs w:val="22"/>
          <w:lang w:val="es-419" w:eastAsia="en-US" w:bidi="ar-SA"/>
        </w:rPr>
        <w:lastRenderedPageBreak/>
        <w:t>pueda ser controlable por el Operador. El Proveedor describirá el método utilizado en su solución en su propuesta.</w:t>
      </w:r>
    </w:p>
    <w:p w14:paraId="5F7861DB"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resultados del OPF serán visibles en despliegues tabulares y en los despliegues unifilares utilizados para el control y la supervisión de la red y de la generación.</w:t>
      </w:r>
    </w:p>
    <w:p w14:paraId="284EF463"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OPF deberá disponer de despliegues tabulares que permitan analizar la solución, tanto en los casos de solución factible como en soluciones obtenidas mediante la relajación de restricciones, e incluso los casos en donde no se obtuvo una solución.  En cada caso, se presentará la sensibilidad de las restricciones con respecto a los distintos controles, incluyéndose los valores sombra de las restricciones.</w:t>
      </w:r>
    </w:p>
    <w:p w14:paraId="78024E08"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OPF podrá funcionar para escenarios de operación futura, utilizando los pronósticos de demanda, las interrupciones del Programador de </w:t>
      </w:r>
      <w:r w:rsidR="00F2065B" w:rsidRPr="00576AF8">
        <w:rPr>
          <w:rFonts w:eastAsia="Calibri"/>
          <w:sz w:val="22"/>
          <w:szCs w:val="22"/>
          <w:lang w:val="es-419" w:eastAsia="en-US" w:bidi="ar-SA"/>
        </w:rPr>
        <w:t>Salida de Servicio de Equipos</w:t>
      </w:r>
      <w:r w:rsidRPr="00576AF8">
        <w:rPr>
          <w:rFonts w:eastAsia="Calibri"/>
          <w:sz w:val="22"/>
          <w:szCs w:val="22"/>
          <w:lang w:val="es-419" w:eastAsia="en-US" w:bidi="ar-SA"/>
        </w:rPr>
        <w:t>, las reservas de los embalses, la información disponible del mercado y otra información que sea apropiada.  El horizonte de tiempo será de al menos una semana.</w:t>
      </w:r>
    </w:p>
    <w:p w14:paraId="0B788178"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algoritmo de solución del OPF será el mismo para todos los contextos de operación, es decir, tiempo real, modo de estudio y </w:t>
      </w:r>
      <w:proofErr w:type="gramStart"/>
      <w:r w:rsidRPr="00576AF8">
        <w:rPr>
          <w:rFonts w:eastAsia="Calibri"/>
          <w:sz w:val="22"/>
          <w:szCs w:val="22"/>
          <w:lang w:val="es-419" w:eastAsia="en-US" w:bidi="ar-SA"/>
        </w:rPr>
        <w:t>OTS</w:t>
      </w:r>
      <w:proofErr w:type="gramEnd"/>
      <w:r w:rsidRPr="00576AF8">
        <w:rPr>
          <w:rFonts w:eastAsia="Calibri"/>
          <w:sz w:val="22"/>
          <w:szCs w:val="22"/>
          <w:lang w:val="es-419" w:eastAsia="en-US" w:bidi="ar-SA"/>
        </w:rPr>
        <w:t xml:space="preserve"> así como también PDS y QAS.</w:t>
      </w:r>
    </w:p>
    <w:p w14:paraId="290B961D"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importar/exportar los parámetros y controles del Flujo Óptimo de Potencia desde/hacia un archivo de configuración de esta información.</w:t>
      </w:r>
    </w:p>
    <w:p w14:paraId="3C8A8EE2" w14:textId="77777777" w:rsidR="009102A7" w:rsidRPr="00576AF8" w:rsidRDefault="009102A7" w:rsidP="009102A7">
      <w:pPr>
        <w:numPr>
          <w:ilvl w:val="0"/>
          <w:numId w:val="3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Proveedor explicará de manera detallada el algoritmo implementado para el flujo óptimo de potencia y toda su funcionalidad, además, deberán incluirse en la oferta técnica los artículos técnicos de referencia (papers) utilizados para implementar este algoritmo.</w:t>
      </w:r>
    </w:p>
    <w:p w14:paraId="2A983E5B"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ind w:left="708"/>
        <w:rPr>
          <w:sz w:val="22"/>
          <w:szCs w:val="22"/>
          <w:lang w:val="es-419"/>
        </w:rPr>
      </w:pPr>
    </w:p>
    <w:p w14:paraId="2D9D0320" w14:textId="77777777" w:rsidR="009102A7" w:rsidRPr="00576AF8" w:rsidRDefault="009102A7" w:rsidP="009102A7">
      <w:pPr>
        <w:ind w:left="720" w:firstLine="696"/>
        <w:jc w:val="left"/>
        <w:outlineLvl w:val="2"/>
        <w:rPr>
          <w:sz w:val="22"/>
          <w:szCs w:val="22"/>
        </w:rPr>
      </w:pPr>
      <w:bookmarkStart w:id="917" w:name="_Toc148955150"/>
      <w:bookmarkStart w:id="918" w:name="_Toc158396625"/>
      <w:bookmarkStart w:id="919" w:name="_Toc160012863"/>
      <w:bookmarkStart w:id="920" w:name="_Toc160434873"/>
      <w:bookmarkStart w:id="921" w:name="_Toc160455998"/>
      <w:r w:rsidRPr="00576AF8">
        <w:rPr>
          <w:b/>
          <w:sz w:val="22"/>
          <w:szCs w:val="22"/>
        </w:rPr>
        <w:t>2.1.1.1.4.10 Actualización de los Parámetros de Red (Adapting Parameters)</w:t>
      </w:r>
      <w:bookmarkEnd w:id="917"/>
      <w:bookmarkEnd w:id="918"/>
      <w:bookmarkEnd w:id="919"/>
      <w:bookmarkEnd w:id="920"/>
      <w:bookmarkEnd w:id="921"/>
    </w:p>
    <w:p w14:paraId="7B8DA2D6" w14:textId="77777777" w:rsidR="009102A7" w:rsidRPr="00576AF8" w:rsidRDefault="009102A7" w:rsidP="009102A7">
      <w:pPr>
        <w:ind w:left="1416" w:firstLine="12"/>
        <w:rPr>
          <w:sz w:val="22"/>
          <w:szCs w:val="22"/>
          <w:lang w:val="es-EC"/>
        </w:rPr>
      </w:pPr>
      <w:r w:rsidRPr="00576AF8">
        <w:rPr>
          <w:sz w:val="22"/>
          <w:szCs w:val="22"/>
          <w:lang w:val="es-EC"/>
        </w:rPr>
        <w:t>Esta aplicación tiene por objetivo la actualización periódica de los archivos de asignación de parámetros creados por el programa de Configurador de Datos de Carga, Datos de Intercambio y Datos de Regulación de Voltaje.</w:t>
      </w:r>
    </w:p>
    <w:p w14:paraId="03ACDF23"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Estos archivos de asignación de parámetros contienen datos de valores de distribución de carga, voltajes, y de posición o ajuste de operación para los equipos de la red por estación-día tipo, hora o intervalo de 15 minutos.</w:t>
      </w:r>
    </w:p>
    <w:p w14:paraId="19F8EAB4"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Según sea la solución del Proveedor, la aplicación de Actualización de Parámetros de Red puede estar integrada en una única aplicación junto con la aplicación Configurador de Datos de Carga, intercambio y de Regulación de Voltaje o ser una funcionalidad separada que se ejecute cada vez que se disponga de una solución válida del Estimador de Estado.</w:t>
      </w:r>
    </w:p>
    <w:p w14:paraId="7D50BC93"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resultados de cada ejecución serán utilizados para calcular factores de distribución por estación, día tipo y horarios, hasta con resolución de 15 minutos si así se especifica, para las demandas por barra, por grupo de carga, por área y por empresa. Adicionalmente se utilizarán para calcular los factores de distribución de los intercambios con relación a la demanda de cada área definida en el modelo eléctrico.  Los valores de los voltajes programados de las barras de regulación, la posición de Taps de los transformadores controlando voltaje o ángulo, la posición de los seccionadores e interruptores, también serán supervisados con el fin de crear, actualizar y disponer de información para la creación de pseudo medidas y de pseudo estados, que a selección del Operador, pueden ser utilizados para sustituir medidas identificadas cómo erróneas, es decir, con error de telemetría o fuera de rango de razonabilidad.</w:t>
      </w:r>
    </w:p>
    <w:p w14:paraId="1D5F54A8"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El proceso de actualización de estos valores podrá ser inhibido por el Operador, por cada tipo de factor.  En estos casos, se mantendrá el último valor disponible en el archivo de distribución.</w:t>
      </w:r>
    </w:p>
    <w:p w14:paraId="6D3F713E"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A fin de asegurar que una salida sospechosa del Estimador de Estados </w:t>
      </w:r>
      <w:r w:rsidRPr="00576AF8" w:rsidDel="004F4399">
        <w:rPr>
          <w:color w:val="000000"/>
          <w:sz w:val="22"/>
          <w:szCs w:val="22"/>
          <w:lang w:val="es-EC" w:eastAsia="es-EC" w:bidi="ar-SA"/>
        </w:rPr>
        <w:t xml:space="preserve">no </w:t>
      </w:r>
      <w:r w:rsidRPr="00576AF8">
        <w:rPr>
          <w:color w:val="000000"/>
          <w:sz w:val="22"/>
          <w:szCs w:val="22"/>
          <w:lang w:val="es-EC" w:eastAsia="es-EC" w:bidi="ar-SA"/>
        </w:rPr>
        <w:t xml:space="preserve">pueda corromper los archivos de asignación, la aplicación realizará una prueba de consistencia que consistirá en rechazar los valores de la ejecución en </w:t>
      </w:r>
      <w:r w:rsidRPr="00576AF8" w:rsidDel="004F4399">
        <w:rPr>
          <w:color w:val="000000"/>
          <w:sz w:val="22"/>
          <w:szCs w:val="22"/>
          <w:lang w:val="es-EC" w:eastAsia="es-EC" w:bidi="ar-SA"/>
        </w:rPr>
        <w:t xml:space="preserve">curso </w:t>
      </w:r>
      <w:r w:rsidRPr="00576AF8">
        <w:rPr>
          <w:color w:val="000000"/>
          <w:sz w:val="22"/>
          <w:szCs w:val="22"/>
          <w:lang w:val="es-EC" w:eastAsia="es-EC" w:bidi="ar-SA"/>
        </w:rPr>
        <w:t>que varíen en un porcentaje preestablecido con respecto al valor de asignación archivado.</w:t>
      </w:r>
    </w:p>
    <w:p w14:paraId="35E84AEA"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Adicionalmente se contará con un algoritmo de </w:t>
      </w:r>
      <w:r w:rsidRPr="00576AF8" w:rsidDel="004F4399">
        <w:rPr>
          <w:color w:val="000000"/>
          <w:sz w:val="22"/>
          <w:szCs w:val="22"/>
          <w:lang w:val="es-EC" w:eastAsia="es-EC" w:bidi="ar-SA"/>
        </w:rPr>
        <w:t xml:space="preserve">suavizado, </w:t>
      </w:r>
      <w:r w:rsidRPr="00576AF8">
        <w:rPr>
          <w:color w:val="000000"/>
          <w:sz w:val="22"/>
          <w:szCs w:val="22"/>
          <w:lang w:val="es-EC" w:eastAsia="es-EC" w:bidi="ar-SA"/>
        </w:rPr>
        <w:t xml:space="preserve">que permita la ponderación de los valores calculados que pasen la prueba de consistencia, con el fin de ir adaptando el valor de asignación archivado. </w:t>
      </w:r>
    </w:p>
    <w:p w14:paraId="2B8EC25C"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Para discriminar los distintos tipos posibles de días feriados, se deberá contar con un calendario de feriados de mantenimiento </w:t>
      </w:r>
      <w:r w:rsidRPr="00576AF8" w:rsidDel="004F4399">
        <w:rPr>
          <w:color w:val="000000"/>
          <w:sz w:val="22"/>
          <w:szCs w:val="22"/>
          <w:lang w:val="es-EC" w:eastAsia="es-EC" w:bidi="ar-SA"/>
        </w:rPr>
        <w:t xml:space="preserve">manual, </w:t>
      </w:r>
      <w:r w:rsidRPr="00576AF8">
        <w:rPr>
          <w:color w:val="000000"/>
          <w:sz w:val="22"/>
          <w:szCs w:val="22"/>
          <w:lang w:val="es-EC" w:eastAsia="es-EC" w:bidi="ar-SA"/>
        </w:rPr>
        <w:t xml:space="preserve">que serán tipificables en no menos de tres (3) categorías definibles por el Operador.  Por </w:t>
      </w:r>
      <w:r w:rsidRPr="00576AF8" w:rsidDel="004F4399">
        <w:rPr>
          <w:color w:val="000000"/>
          <w:sz w:val="22"/>
          <w:szCs w:val="22"/>
          <w:lang w:val="es-EC" w:eastAsia="es-EC" w:bidi="ar-SA"/>
        </w:rPr>
        <w:t>ejemplo</w:t>
      </w:r>
      <w:r w:rsidRPr="00576AF8">
        <w:rPr>
          <w:color w:val="000000"/>
          <w:sz w:val="22"/>
          <w:szCs w:val="22"/>
          <w:lang w:val="es-EC" w:eastAsia="es-EC" w:bidi="ar-SA"/>
        </w:rPr>
        <w:t>:</w:t>
      </w:r>
      <w:r w:rsidRPr="00576AF8" w:rsidDel="004F4399">
        <w:rPr>
          <w:color w:val="000000"/>
          <w:sz w:val="22"/>
          <w:szCs w:val="22"/>
          <w:lang w:val="es-EC" w:eastAsia="es-EC" w:bidi="ar-SA"/>
        </w:rPr>
        <w:t xml:space="preserve"> </w:t>
      </w:r>
      <w:r w:rsidRPr="00576AF8">
        <w:rPr>
          <w:color w:val="000000"/>
          <w:sz w:val="22"/>
          <w:szCs w:val="22"/>
          <w:lang w:val="es-EC" w:eastAsia="es-EC" w:bidi="ar-SA"/>
        </w:rPr>
        <w:t>feriado tipo, tipo especial relacionado con torneos deportivos relevantes u otros sucesos que afecten la demanda, feriados consecutivos, días puentes, entre otros.</w:t>
      </w:r>
    </w:p>
    <w:p w14:paraId="1EC3049D" w14:textId="77777777" w:rsidR="009102A7" w:rsidRPr="00576AF8" w:rsidRDefault="009102A7" w:rsidP="009102A7">
      <w:pPr>
        <w:numPr>
          <w:ilvl w:val="0"/>
          <w:numId w:val="3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archivos de asignación podrán ser </w:t>
      </w:r>
      <w:r w:rsidRPr="00576AF8" w:rsidDel="008A618C">
        <w:rPr>
          <w:color w:val="000000"/>
          <w:sz w:val="22"/>
          <w:szCs w:val="22"/>
          <w:lang w:val="es-EC" w:eastAsia="es-EC" w:bidi="ar-SA"/>
        </w:rPr>
        <w:t xml:space="preserve">inicializados </w:t>
      </w:r>
      <w:r w:rsidRPr="00576AF8">
        <w:rPr>
          <w:color w:val="000000"/>
          <w:sz w:val="22"/>
          <w:szCs w:val="22"/>
          <w:lang w:val="es-EC" w:eastAsia="es-EC" w:bidi="ar-SA"/>
        </w:rPr>
        <w:t>a los valores por defecto inicialmente cargados en la base de datos, por medio de la aplicación de ingeniería de datos.</w:t>
      </w:r>
    </w:p>
    <w:p w14:paraId="3A94AF90" w14:textId="77777777" w:rsidR="009102A7" w:rsidRPr="00576AF8" w:rsidRDefault="009102A7" w:rsidP="009102A7">
      <w:pPr>
        <w:suppressAutoHyphens w:val="0"/>
        <w:spacing w:after="0"/>
        <w:rPr>
          <w:color w:val="000000"/>
          <w:sz w:val="22"/>
          <w:szCs w:val="22"/>
          <w:lang w:val="es-EC" w:eastAsia="es-EC" w:bidi="ar-SA"/>
        </w:rPr>
      </w:pPr>
    </w:p>
    <w:p w14:paraId="751FE773" w14:textId="77777777" w:rsidR="009102A7" w:rsidRPr="00576AF8" w:rsidRDefault="009102A7" w:rsidP="009102A7">
      <w:pPr>
        <w:ind w:left="720" w:firstLine="696"/>
        <w:jc w:val="left"/>
        <w:outlineLvl w:val="2"/>
        <w:rPr>
          <w:sz w:val="22"/>
          <w:szCs w:val="22"/>
        </w:rPr>
      </w:pPr>
      <w:bookmarkStart w:id="922" w:name="_Toc158396626"/>
      <w:bookmarkStart w:id="923" w:name="_Toc160012864"/>
      <w:bookmarkStart w:id="924" w:name="_Toc160434874"/>
      <w:bookmarkStart w:id="925" w:name="_Toc160455999"/>
      <w:r w:rsidRPr="00576AF8">
        <w:rPr>
          <w:b/>
          <w:sz w:val="22"/>
          <w:szCs w:val="22"/>
        </w:rPr>
        <w:t>2.1.1.1.4.11 Reporte de Desconexiones de Carga</w:t>
      </w:r>
      <w:bookmarkEnd w:id="922"/>
      <w:bookmarkEnd w:id="923"/>
      <w:bookmarkEnd w:id="924"/>
      <w:bookmarkEnd w:id="925"/>
    </w:p>
    <w:p w14:paraId="63FF1332" w14:textId="77777777" w:rsidR="009102A7" w:rsidRPr="00576AF8" w:rsidRDefault="009102A7" w:rsidP="009102A7">
      <w:pPr>
        <w:ind w:left="1416" w:right="41"/>
        <w:rPr>
          <w:rFonts w:eastAsia="Calibri"/>
          <w:b/>
          <w:sz w:val="22"/>
          <w:szCs w:val="22"/>
        </w:rPr>
      </w:pPr>
      <w:r w:rsidRPr="00576AF8">
        <w:rPr>
          <w:rFonts w:eastAsia="Calibri"/>
          <w:sz w:val="22"/>
          <w:szCs w:val="22"/>
          <w:lang w:val="es-419"/>
        </w:rPr>
        <w:t>Esta función realizará la detección y reporte de desconexión de cargas en el SCADA/EMS, que permita detectar desconexiones de carga y reportar estos eventos de manera ágil a las partes interesadas.</w:t>
      </w:r>
    </w:p>
    <w:p w14:paraId="4B905F12" w14:textId="77777777" w:rsidR="009102A7" w:rsidRPr="00576AF8" w:rsidRDefault="009102A7" w:rsidP="009102A7">
      <w:pPr>
        <w:ind w:left="1416" w:right="41"/>
        <w:rPr>
          <w:rFonts w:eastAsia="Calibri"/>
          <w:b/>
          <w:sz w:val="22"/>
          <w:szCs w:val="22"/>
        </w:rPr>
      </w:pPr>
      <w:r w:rsidRPr="00576AF8">
        <w:rPr>
          <w:rFonts w:eastAsia="Calibri"/>
          <w:sz w:val="22"/>
          <w:szCs w:val="22"/>
          <w:lang w:val="es-419"/>
        </w:rPr>
        <w:t>Se generará eventos y alarmas asociadas y se presentarán reportes en la interfaz IHM para validación del operador de manera previa al envío a las autoridades.</w:t>
      </w:r>
    </w:p>
    <w:p w14:paraId="7C9C23AE" w14:textId="77777777" w:rsidR="009102A7" w:rsidRPr="00576AF8" w:rsidRDefault="009102A7" w:rsidP="009102A7">
      <w:pPr>
        <w:tabs>
          <w:tab w:val="left" w:pos="426"/>
        </w:tabs>
        <w:rPr>
          <w:rFonts w:eastAsia="Calibri"/>
          <w:sz w:val="22"/>
          <w:szCs w:val="22"/>
          <w:lang w:val="es-419"/>
        </w:rPr>
      </w:pPr>
    </w:p>
    <w:p w14:paraId="0D11CADE" w14:textId="77777777" w:rsidR="009102A7" w:rsidRPr="00576AF8" w:rsidRDefault="009102A7" w:rsidP="009102A7">
      <w:pPr>
        <w:ind w:left="720" w:firstLine="696"/>
        <w:jc w:val="left"/>
        <w:outlineLvl w:val="2"/>
        <w:rPr>
          <w:sz w:val="22"/>
          <w:szCs w:val="22"/>
          <w:lang w:val="en-US"/>
        </w:rPr>
      </w:pPr>
      <w:bookmarkStart w:id="926" w:name="_Toc158396627"/>
      <w:bookmarkStart w:id="927" w:name="_Toc160012865"/>
      <w:bookmarkStart w:id="928" w:name="_Toc160434875"/>
      <w:bookmarkStart w:id="929" w:name="_Toc160456000"/>
      <w:r w:rsidRPr="00576AF8">
        <w:rPr>
          <w:b/>
          <w:sz w:val="22"/>
          <w:szCs w:val="22"/>
          <w:lang w:val="en-US"/>
        </w:rPr>
        <w:t>2.1.1.1.4.12 Validación de Maniobras (Interlock Builder, Power Flow and Security Analysis)</w:t>
      </w:r>
      <w:bookmarkEnd w:id="926"/>
      <w:bookmarkEnd w:id="927"/>
      <w:bookmarkEnd w:id="928"/>
      <w:bookmarkEnd w:id="929"/>
    </w:p>
    <w:p w14:paraId="7EA0557A" w14:textId="77777777" w:rsidR="009102A7" w:rsidRPr="00576AF8" w:rsidRDefault="009102A7" w:rsidP="009102A7">
      <w:pPr>
        <w:numPr>
          <w:ilvl w:val="0"/>
          <w:numId w:val="32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Esta función realizará una validación anticipada del impacto que podría presentarse en la red eléctrica, luego de las posibles acciones operativas a ser ejecutadas por parte del Operador. Para ello se utilizará, como punto de partida, la solución del sistema de potencia determinada por el estimador de estado.  </w:t>
      </w:r>
    </w:p>
    <w:p w14:paraId="67FC1750" w14:textId="77777777" w:rsidR="009102A7" w:rsidRPr="00576AF8" w:rsidRDefault="009102A7" w:rsidP="009102A7">
      <w:pPr>
        <w:numPr>
          <w:ilvl w:val="0"/>
          <w:numId w:val="32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Validador de Maniobras preparará un listado de las operaciones previstas para su posterior ejecución y validación.  Estas operaciones serán evaluadas para determinar su impacto en la red eléctrica. El listado de acciones a evaluar será fácilmente editable por el Operador. Para conseguir este propósito, se dispondrá de recursos interactivos que le permitan al Operador seleccionar los equipos y configurar la operación a realizar, tales como: abrir/cerrar interruptores y seccionadores, subir/bajar elementos de control, ajustar un valor de consigna, entre otras. Esta interacción, se conseguirá mediante la ejecución de acciones operativas directamente en los diagramas unifilares de las subestaciones y/o a través de despliegues tabulares.  </w:t>
      </w:r>
    </w:p>
    <w:p w14:paraId="4D174AC7" w14:textId="77777777" w:rsidR="009102A7" w:rsidRPr="00576AF8" w:rsidRDefault="009102A7" w:rsidP="009102A7">
      <w:pPr>
        <w:numPr>
          <w:ilvl w:val="0"/>
          <w:numId w:val="32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validación consistirá en la ejecución del flujo de potencia del operador y del análisis de contingencias, evaluando el mismo grupo de contingencias definido en tiempo real e incorporando además las operaciones previstas que se encuentren en el listado de equipos a ser evaluados como maniobras.</w:t>
      </w:r>
    </w:p>
    <w:p w14:paraId="119C91A8" w14:textId="77777777" w:rsidR="009102A7" w:rsidRPr="00576AF8" w:rsidRDefault="009102A7" w:rsidP="009102A7">
      <w:pPr>
        <w:numPr>
          <w:ilvl w:val="0"/>
          <w:numId w:val="32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 validación de las maniobras en la red eléctrica se realizará a través de la activación de la aplicación Validador de Maniobras.  Si en la ejecución de esta función se generan escenarios de funcionamiento que resulten en condiciones anormales de operación, se notificará al operador mediante un evento, alertando sobre las condiciones inseguras o </w:t>
      </w:r>
      <w:r w:rsidRPr="00576AF8">
        <w:rPr>
          <w:color w:val="000000"/>
          <w:sz w:val="22"/>
          <w:szCs w:val="22"/>
          <w:lang w:val="es-EC" w:eastAsia="es-EC" w:bidi="ar-SA"/>
        </w:rPr>
        <w:lastRenderedPageBreak/>
        <w:t xml:space="preserve">las situaciones que requerirán su análisis, antes de proceder con la ejecución de las maniobras en curso. </w:t>
      </w:r>
    </w:p>
    <w:p w14:paraId="3E8C99F2" w14:textId="77777777" w:rsidR="009102A7" w:rsidRPr="00576AF8" w:rsidRDefault="009102A7" w:rsidP="009102A7">
      <w:pPr>
        <w:numPr>
          <w:ilvl w:val="0"/>
          <w:numId w:val="32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dispondrá de resúmenes dedicados que permitan orientar al Operador sobre el impacto de las acciones evaluadas. Estas acciones pueden ser: el alivio o levantamiento de restricciones por causa de violación de límites o la presencia de nuevas violaciones como consecuencia de las acciones bajo validación. Estas acciones pueden incluir cambios en el estado del interruptor, valores de inyección de potencia en un generador o en parámetros de regulación. </w:t>
      </w:r>
    </w:p>
    <w:p w14:paraId="32FAB06E" w14:textId="77777777" w:rsidR="009102A7" w:rsidRPr="00576AF8" w:rsidRDefault="009102A7" w:rsidP="009102A7">
      <w:pPr>
        <w:numPr>
          <w:ilvl w:val="0"/>
          <w:numId w:val="32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Validador de Maniobras permitirá anticipar si una instrucción para una operación delegada a una o varias empresas del sector eléctrico ecuatoriano resultará en: </w:t>
      </w:r>
    </w:p>
    <w:p w14:paraId="564F4BC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Una nueva sobrecarga o violaciones de voltaje </w:t>
      </w:r>
    </w:p>
    <w:p w14:paraId="3B1B90C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Un margen de seguridad preestablecido por debajo de lo estipulado </w:t>
      </w:r>
    </w:p>
    <w:p w14:paraId="2B8ECB1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Restitución a una condición segura que se encontraba excedida en algún límite operativo </w:t>
      </w:r>
    </w:p>
    <w:p w14:paraId="2011D0D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Operar interruptores cuando la bahía está conectada a tierra</w:t>
      </w:r>
    </w:p>
    <w:p w14:paraId="66851394" w14:textId="77777777" w:rsidR="009102A7" w:rsidRPr="00576AF8" w:rsidRDefault="009102A7" w:rsidP="009102A7">
      <w:pPr>
        <w:numPr>
          <w:ilvl w:val="0"/>
          <w:numId w:val="3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Las operaciones que será soportadas para la evaluación son: </w:t>
      </w:r>
    </w:p>
    <w:p w14:paraId="1A4D084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Cambio de estado de interruptores y/o seccionadores </w:t>
      </w:r>
    </w:p>
    <w:p w14:paraId="184475A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Desconectar/conectar equipos  </w:t>
      </w:r>
    </w:p>
    <w:p w14:paraId="1561341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Configuraciones de la posición de Tap del LTC y parámetros de regulación de voltaje, tales como: estado de regulación, rango de regulación y voltaje regulado deseado</w:t>
      </w:r>
    </w:p>
    <w:p w14:paraId="4D17722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Configuración del ángulo del transformador Phase Shifter y parámetros de regulación de potencia, tales como: estado de regulación y flujo de potencia activa regulado deseado</w:t>
      </w:r>
    </w:p>
    <w:p w14:paraId="178407C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de carga en MW y MVAr</w:t>
      </w:r>
    </w:p>
    <w:p w14:paraId="3F2C536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Generación de unidades en MW y MVAr; y parámetros de regulación de voltaje (estado de regulación y voltaje regulado deseado)</w:t>
      </w:r>
    </w:p>
    <w:p w14:paraId="2288BA5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Cambio de potencia de salida de un Sistema de Almacenamiento de Energía (BESS)</w:t>
      </w:r>
    </w:p>
    <w:p w14:paraId="726245B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Cortes de generación, ya sea en generadores convencionales o generadores con energía renovable variable</w:t>
      </w:r>
    </w:p>
    <w:p w14:paraId="3F1A808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Generación de capacitor síncrono en MVAR y parámetros de regulación de voltaje, tales como: estado de regulación y voltaje regulado deseado</w:t>
      </w:r>
    </w:p>
    <w:p w14:paraId="76C2D59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Parámetros de regulación de voltaje en los bancos de capacitores, tales como: estado de regulación y voltaje regulado deseado </w:t>
      </w:r>
    </w:p>
    <w:p w14:paraId="2B884A4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Parámetros de regulación de voltaje del compensador VAR estático, tales como:  estado de regulación y voltaje de referencia </w:t>
      </w:r>
    </w:p>
    <w:p w14:paraId="2695A88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Eliminar de la lista de evaluación a interruptores que no se pueden operar por establecimiento de etiquetas que inhiban su operación</w:t>
      </w:r>
    </w:p>
    <w:p w14:paraId="566E5798" w14:textId="77777777" w:rsidR="009102A7" w:rsidRPr="00576AF8" w:rsidRDefault="009102A7" w:rsidP="009102A7">
      <w:pPr>
        <w:numPr>
          <w:ilvl w:val="0"/>
          <w:numId w:val="3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Los resultados esperados serán: </w:t>
      </w:r>
    </w:p>
    <w:p w14:paraId="6223504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Equipos fuera de servicio</w:t>
      </w:r>
    </w:p>
    <w:p w14:paraId="7FCBFA3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Interruptores y seccionadores abiertos</w:t>
      </w:r>
    </w:p>
    <w:p w14:paraId="4F4A762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Condiciones de Isla en la red eléctrica</w:t>
      </w:r>
    </w:p>
    <w:p w14:paraId="76A2B6B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Violaciones de límites de voltaje</w:t>
      </w:r>
    </w:p>
    <w:p w14:paraId="5B48657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Tiempos ajustados hasta nivel de descarga de sistemas de almacenaje de energía (BESS)</w:t>
      </w:r>
    </w:p>
    <w:p w14:paraId="03688DA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Sobrecargas de ramas, tales como líneas de transmisión, circuitos y transformadores </w:t>
      </w:r>
    </w:p>
    <w:p w14:paraId="5D0FCF5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Índice de Severidad como un producto de la evaluación de las contingencias resultantes al aplicar acciones previstas</w:t>
      </w:r>
    </w:p>
    <w:p w14:paraId="4292C80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 xml:space="preserve">Violaciones de límites de voltaje y sobrecargas de rama causadas por las contingencias evaluadas </w:t>
      </w:r>
    </w:p>
    <w:p w14:paraId="14107296" w14:textId="77777777" w:rsidR="009102A7" w:rsidRPr="00576AF8" w:rsidRDefault="009102A7" w:rsidP="009102A7">
      <w:pPr>
        <w:numPr>
          <w:ilvl w:val="0"/>
          <w:numId w:val="3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Por solicitud del operador, será posible transferir el listado de las acciones operativas bajo evaluación, desde tiempo real a una de las áreas de modo estudio.  En este ambiente, se podrán evaluar las acciones previstas utilizando toda la suite de aplicaciones y funcionalidades disponibles en este ambiente de operación.</w:t>
      </w:r>
    </w:p>
    <w:p w14:paraId="5608A741" w14:textId="77777777" w:rsidR="009102A7" w:rsidRPr="00576AF8" w:rsidRDefault="009102A7" w:rsidP="009102A7">
      <w:pPr>
        <w:numPr>
          <w:ilvl w:val="0"/>
          <w:numId w:val="3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También será posible que el operador pueda inhibir una o varias notificaciones del validador de maniobras, si así lo considera adecuado para realizar una maniobra en el sistema. No obstante, se registrará un evento de esta acción.</w:t>
      </w:r>
    </w:p>
    <w:p w14:paraId="25053C63" w14:textId="77777777" w:rsidR="009102A7" w:rsidRPr="00576AF8" w:rsidRDefault="009102A7" w:rsidP="009102A7">
      <w:pPr>
        <w:numPr>
          <w:ilvl w:val="0"/>
          <w:numId w:val="3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presentación de las listas de maniobras al Operador se realizará mediante reportes tipo listado que utilicen las capacidades de visualización, filtrado y consulta disponibles en el IHM del Proveedor.</w:t>
      </w:r>
    </w:p>
    <w:p w14:paraId="54EA5849" w14:textId="77777777" w:rsidR="009102A7" w:rsidRPr="00576AF8" w:rsidRDefault="009102A7" w:rsidP="009102A7">
      <w:pPr>
        <w:numPr>
          <w:ilvl w:val="0"/>
          <w:numId w:val="3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resultados del Validador de Maniobras se presentarán en despliegues tipo Dashboard, desde los cuales el operador podrá obtener de manera sencilla, intuitiva y rápida, el resultado de la validación realizada utilizando el Flujo de Potencia y el Análisis de Contingencias. Además, desde este Dashboard se podrá acceder a despliegues tabulares equivalentes a los utilizados por las aplicaciones de Flujo de Potencia y Análisis de Contingencias en modo de estudio.</w:t>
      </w:r>
    </w:p>
    <w:p w14:paraId="3D49DCC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ind w:left="1068"/>
        <w:rPr>
          <w:sz w:val="22"/>
          <w:szCs w:val="22"/>
          <w:lang w:val="es-419"/>
        </w:rPr>
      </w:pPr>
    </w:p>
    <w:p w14:paraId="55A8C771" w14:textId="77777777" w:rsidR="009102A7" w:rsidRPr="00576AF8" w:rsidRDefault="009102A7" w:rsidP="009102A7">
      <w:pPr>
        <w:ind w:left="720" w:firstLine="696"/>
        <w:jc w:val="left"/>
        <w:outlineLvl w:val="2"/>
        <w:rPr>
          <w:sz w:val="22"/>
          <w:szCs w:val="22"/>
        </w:rPr>
      </w:pPr>
      <w:bookmarkStart w:id="930" w:name="_Toc148955156"/>
      <w:bookmarkStart w:id="931" w:name="_Toc158396632"/>
      <w:bookmarkStart w:id="932" w:name="_Toc160012866"/>
      <w:bookmarkStart w:id="933" w:name="_Toc160434876"/>
      <w:bookmarkStart w:id="934" w:name="_Toc160456001"/>
      <w:r w:rsidRPr="00576AF8">
        <w:rPr>
          <w:b/>
          <w:sz w:val="22"/>
          <w:szCs w:val="22"/>
        </w:rPr>
        <w:t>2.1.1.1.4.13 Sensibilidad de la Red (Network Sensitivity)</w:t>
      </w:r>
      <w:bookmarkEnd w:id="930"/>
      <w:bookmarkEnd w:id="931"/>
      <w:bookmarkEnd w:id="932"/>
      <w:bookmarkEnd w:id="933"/>
      <w:bookmarkEnd w:id="934"/>
    </w:p>
    <w:p w14:paraId="46F81683"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la adecuada representación de las pérdidas eléctricas se requiere de una aplicación que calcule los factores de penalización, para representar el impacto de las pérdidas de transmisión asociadas a las inyecciones en las barras de inyección de potencia y de interconexión con otras áreas externas.</w:t>
      </w:r>
    </w:p>
    <w:p w14:paraId="36847EF9"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 aplicación determinará un factor de penalización para cada unidad generadora, cada carga no conforme, cada carga modelada tipo conforme, cada extremo de barra de línea de interconexión y para cada barra del modelo eléctrico del Ecuador, incluyendo aquellas barras de subestaciones de paso, es decir, que no poseen cargas o transformadores conectados.</w:t>
      </w:r>
    </w:p>
    <w:p w14:paraId="1407F911"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sensibilidades relacionadas con las pérdidas son las derivadas parciales de las pérdidas del sistema con respecto a las salidas del generador, las cargas no conformes, las demandas conformes, los flujos de potencia de líneas de transmisión y los intercambios en interconexiones eléctricas.</w:t>
      </w:r>
    </w:p>
    <w:p w14:paraId="10EAB627"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factores de penalización para estas variables se derivan de las sensibilidades de pérdida, tanto de las inyecciones de generación como de las cargas.</w:t>
      </w:r>
    </w:p>
    <w:p w14:paraId="175AB9C2"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Estos factores son calculados en cada ejecución del Estimador de Estado. Esta aplicación debe calcular y mantener de manera continua una Matriz de Pérdidas o Matriz de Factores de Penalización con el fin de disponer de un conjunto de factores más estables y menos dependientes de cada ejecución del Estimador de Estado. </w:t>
      </w:r>
    </w:p>
    <w:p w14:paraId="0E94F4D0"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 matriz contendrá los factores de participación promedio por distintos niveles de demanda del sistema y rangos de intercambios netos. En la construcción de la matriz de pérdidas, el Operador podrá definir el rango de demandas que incluye el valor máximo, mínimo y número de rangos iguales que sean al menos de cinco (5) y de Intercambios netos que incluyen valores máximos, mínimos y rangos iguales que sean al menos de cinco (5).</w:t>
      </w:r>
    </w:p>
    <w:p w14:paraId="03807EEC"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actualización de la matriz de pérdidas será con cada ejecución de la aplicación. Su actualización será con base a un factor de ponderación que le otorgue un peso al factor de penalización existente en la matriz y se utilice su complemento a 1 para considerar su valor más reciente. De acuerdo a la siguiente ecuación:</w:t>
      </w:r>
    </w:p>
    <w:p w14:paraId="7391CF6A"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3BCF11BD" w14:textId="77777777" w:rsidR="009102A7" w:rsidRPr="00576AF8" w:rsidRDefault="009102A7" w:rsidP="009102A7">
      <w:pPr>
        <w:suppressAutoHyphens w:val="0"/>
        <w:spacing w:after="0"/>
        <w:ind w:left="2203"/>
        <w:contextualSpacing/>
        <w:jc w:val="center"/>
        <w:rPr>
          <w:b/>
          <w:color w:val="000000"/>
          <w:sz w:val="22"/>
          <w:szCs w:val="22"/>
          <w:lang w:val="es-EC" w:eastAsia="es-EC" w:bidi="ar-SA"/>
        </w:rPr>
      </w:pPr>
      <w:r w:rsidRPr="00576AF8">
        <w:rPr>
          <w:b/>
          <w:color w:val="000000"/>
          <w:sz w:val="22"/>
          <w:szCs w:val="22"/>
          <w:lang w:val="es-EC" w:eastAsia="es-EC" w:bidi="ar-SA"/>
        </w:rPr>
        <w:t>PF nuevo = PF existente * alfa + PF última ejecución *(1-alfa)</w:t>
      </w:r>
    </w:p>
    <w:p w14:paraId="11E85FCC" w14:textId="77777777" w:rsidR="009102A7" w:rsidRPr="00576AF8" w:rsidRDefault="009102A7" w:rsidP="009102A7">
      <w:pPr>
        <w:suppressAutoHyphens w:val="0"/>
        <w:spacing w:after="0"/>
        <w:ind w:left="2203"/>
        <w:contextualSpacing/>
        <w:jc w:val="center"/>
        <w:rPr>
          <w:b/>
          <w:bCs/>
          <w:color w:val="000000"/>
          <w:sz w:val="22"/>
          <w:szCs w:val="22"/>
          <w:lang w:val="es-EC" w:eastAsia="es-EC" w:bidi="ar-SA"/>
        </w:rPr>
      </w:pPr>
    </w:p>
    <w:p w14:paraId="1AAFCA50" w14:textId="77777777" w:rsidR="009102A7" w:rsidRPr="00576AF8" w:rsidRDefault="009102A7" w:rsidP="009102A7">
      <w:pPr>
        <w:suppressAutoHyphens w:val="0"/>
        <w:spacing w:after="0"/>
        <w:ind w:left="2203"/>
        <w:contextualSpacing/>
        <w:rPr>
          <w:color w:val="000000"/>
          <w:sz w:val="22"/>
          <w:szCs w:val="22"/>
          <w:lang w:val="es-EC" w:eastAsia="es-EC" w:bidi="ar-SA"/>
        </w:rPr>
      </w:pPr>
      <w:r w:rsidRPr="00576AF8">
        <w:rPr>
          <w:color w:val="000000"/>
          <w:sz w:val="22"/>
          <w:szCs w:val="22"/>
          <w:lang w:val="es-EC" w:eastAsia="es-EC" w:bidi="ar-SA"/>
        </w:rPr>
        <w:t xml:space="preserve">El factor de ponderación alfa será definible por el Operador. </w:t>
      </w:r>
    </w:p>
    <w:p w14:paraId="64F11130"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Para evitar que los factores de penalización de una de las entradas de la matriz de Pérdidas se vean afectados por valores inconsistentes generados a partir de un vector de estados mal calculado por el Estimador de Estado, la aplicación debe incorporar mecanismos de filtrado que permitan descartar resultados cuestionables del cálculo de los factores de penalización.</w:t>
      </w:r>
    </w:p>
    <w:p w14:paraId="0F2D4C23"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adición a los factores de penalización, la aplicación de Análisis de Sensibilidad calculará las sensibilidades de los flujos de potencia activa en MW de los enlaces de transmisión predefinidos, con respecto a las salidas de MW de los generadores, los MW de las cargas y las inyecciones de potencia de las líneas de interconexión. Basándose en estas sensibilidades, el Operador podrá decidir qué recurso de generación, carga o interconexión se debe ajustar, en casos de exceso de flujo de potencia de estos enlaces, con el fin de aliviar la situación de flujo excedentario identificada.</w:t>
      </w:r>
    </w:p>
    <w:p w14:paraId="57CE8B31"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Tanto los valores de los factores de penalización, matriz de pérdidas, como las sensibilidades de los enlaces a los generadores, cargas y líneas de intercambios serán configurables para su almacenamiento en el Historiador y que puedan ser exportados periódicamente a un sistema externo que requiera como </w:t>
      </w:r>
      <w:r w:rsidRPr="00576AF8" w:rsidDel="0025464D">
        <w:rPr>
          <w:color w:val="000000"/>
          <w:sz w:val="22"/>
          <w:szCs w:val="22"/>
          <w:lang w:val="es-EC" w:eastAsia="es-EC" w:bidi="ar-SA"/>
        </w:rPr>
        <w:t xml:space="preserve">entrada </w:t>
      </w:r>
      <w:r w:rsidRPr="00576AF8">
        <w:rPr>
          <w:color w:val="000000"/>
          <w:sz w:val="22"/>
          <w:szCs w:val="22"/>
          <w:lang w:val="es-EC" w:eastAsia="es-EC" w:bidi="ar-SA"/>
        </w:rPr>
        <w:t>las variables de sensibilidad.</w:t>
      </w:r>
    </w:p>
    <w:p w14:paraId="29BEC4A6" w14:textId="77777777" w:rsidR="009102A7" w:rsidRPr="00576AF8" w:rsidRDefault="009102A7" w:rsidP="009102A7">
      <w:pPr>
        <w:numPr>
          <w:ilvl w:val="0"/>
          <w:numId w:val="33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función de análisis de sensibilidad se ejecutará, tanto en tiempo real como en modo de estudio. En tiempo real utilizará la última ejecución válida del Estimador de Estado y en modo estudio, una ejecución válida del Flujo de Potencia del Operador. La función de análisis de sensibilidad formará parte de la secuencia de aplicaciones de seguridad que se ejecutan de forma automática tanto en tiempo real como en modo de estudio.</w:t>
      </w:r>
    </w:p>
    <w:p w14:paraId="168AD2B9" w14:textId="77777777" w:rsidR="009102A7" w:rsidRPr="00576AF8" w:rsidRDefault="009102A7" w:rsidP="009102A7">
      <w:pPr>
        <w:numPr>
          <w:ilvl w:val="0"/>
          <w:numId w:val="330"/>
        </w:numPr>
        <w:suppressAutoHyphens w:val="0"/>
        <w:spacing w:after="0"/>
        <w:contextualSpacing/>
        <w:rPr>
          <w:sz w:val="22"/>
          <w:szCs w:val="22"/>
        </w:rPr>
      </w:pPr>
      <w:r w:rsidRPr="00576AF8">
        <w:rPr>
          <w:color w:val="000000"/>
          <w:sz w:val="22"/>
          <w:szCs w:val="22"/>
          <w:lang w:val="es-EC" w:eastAsia="es-EC" w:bidi="ar-SA"/>
        </w:rPr>
        <w:t>El Operador podrá revisar de manera simple los factores de penalización, la matriz de pérdidas y las sensibilidades de los enlaces de transmisión mediante el uso de despliegues tabulares específicos para esta aplicación</w:t>
      </w:r>
      <w:r w:rsidRPr="00576AF8">
        <w:rPr>
          <w:sz w:val="22"/>
          <w:szCs w:val="22"/>
        </w:rPr>
        <w:t>.</w:t>
      </w:r>
    </w:p>
    <w:p w14:paraId="66C2C272" w14:textId="77777777" w:rsidR="009102A7" w:rsidRPr="00576AF8" w:rsidRDefault="009102A7" w:rsidP="009102A7">
      <w:pPr>
        <w:ind w:left="708" w:right="41" w:firstLine="708"/>
        <w:rPr>
          <w:b/>
          <w:sz w:val="22"/>
          <w:szCs w:val="22"/>
        </w:rPr>
      </w:pPr>
      <w:bookmarkStart w:id="935" w:name="_Toc148955157"/>
      <w:bookmarkStart w:id="936" w:name="_Toc158396633"/>
      <w:bookmarkStart w:id="937" w:name="_Toc160012867"/>
      <w:bookmarkStart w:id="938" w:name="_Toc160434877"/>
      <w:bookmarkStart w:id="939" w:name="_Toc160456002"/>
    </w:p>
    <w:p w14:paraId="58AA74F1" w14:textId="77777777" w:rsidR="009102A7" w:rsidRPr="00576AF8" w:rsidRDefault="009102A7" w:rsidP="009102A7">
      <w:pPr>
        <w:ind w:left="720" w:firstLine="696"/>
        <w:jc w:val="left"/>
        <w:outlineLvl w:val="2"/>
        <w:rPr>
          <w:sz w:val="22"/>
          <w:szCs w:val="22"/>
        </w:rPr>
      </w:pPr>
      <w:r w:rsidRPr="00576AF8">
        <w:rPr>
          <w:b/>
          <w:sz w:val="22"/>
          <w:szCs w:val="22"/>
        </w:rPr>
        <w:t>2.1.1.1.4.14 Programador de Salida de Servicio de Equipos (Outage Scheduler OUS)</w:t>
      </w:r>
      <w:bookmarkEnd w:id="935"/>
      <w:bookmarkEnd w:id="936"/>
      <w:bookmarkEnd w:id="937"/>
      <w:bookmarkEnd w:id="938"/>
      <w:bookmarkEnd w:id="939"/>
    </w:p>
    <w:p w14:paraId="1E55201D"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Programador de Salida de Servicio de Equipos (Outage Scheduler OUS) es una aplicación que permite vincular el programa de mantenimiento de equipos y el programa de limitaciones de capacidad de los equipos su utilización en las aplicaciones que hacen uso de la topología de la red.</w:t>
      </w:r>
    </w:p>
    <w:p w14:paraId="42BDB4DA"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Esta aplicación permitirá múltiples usuarios y sesiones concurrentes desde todas las consolas del </w:t>
      </w:r>
      <w:r w:rsidRPr="00576AF8" w:rsidDel="002F7729">
        <w:rPr>
          <w:color w:val="000000"/>
          <w:sz w:val="22"/>
          <w:szCs w:val="22"/>
          <w:lang w:val="es-EC" w:eastAsia="es-EC" w:bidi="ar-SA"/>
        </w:rPr>
        <w:t xml:space="preserve">sistema </w:t>
      </w:r>
      <w:r w:rsidRPr="00576AF8">
        <w:rPr>
          <w:color w:val="000000"/>
          <w:sz w:val="22"/>
          <w:szCs w:val="22"/>
          <w:lang w:val="es-EC" w:eastAsia="es-EC" w:bidi="ar-SA"/>
        </w:rPr>
        <w:t>habilitadas para esta funcionalidad.</w:t>
      </w:r>
    </w:p>
    <w:p w14:paraId="02CFF181"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unidad base de entrada será la Orden de Trabajo, la cual puede utilizarse para definir el programa de salida y entrada de equipos.</w:t>
      </w:r>
    </w:p>
    <w:p w14:paraId="7E70A153"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Las salidas de servicio y limitaciones de capacidad de los equipos pueden ser planificadas o forzadas.</w:t>
      </w:r>
    </w:p>
    <w:p w14:paraId="41E9E796"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Las salidas de los equipos mediante comandos o de forma espontánea desde el </w:t>
      </w:r>
      <w:r w:rsidRPr="00576AF8" w:rsidDel="00817CE5">
        <w:rPr>
          <w:color w:val="000000"/>
          <w:sz w:val="22"/>
          <w:szCs w:val="22"/>
          <w:lang w:val="es-EC" w:eastAsia="es-EC" w:bidi="ar-SA"/>
        </w:rPr>
        <w:t xml:space="preserve">SCADA, </w:t>
      </w:r>
      <w:r w:rsidRPr="00576AF8">
        <w:rPr>
          <w:color w:val="000000"/>
          <w:sz w:val="22"/>
          <w:szCs w:val="22"/>
          <w:lang w:val="es-EC" w:eastAsia="es-EC" w:bidi="ar-SA"/>
        </w:rPr>
        <w:t>deben configurarse para crear una entrada en el archivo de salidas de servicio de los equipos.</w:t>
      </w:r>
    </w:p>
    <w:p w14:paraId="45664EC4"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base de datos de las desconexiones deberá ser visualizada de manera flexible, a través de despliegues tabulares, con facilidades para filtrar y ordenar por campos como fecha de inicio, fecha de finalización, tipo de desconexión, tipo de equipo, nivel del voltaje, entre otros.</w:t>
      </w:r>
    </w:p>
    <w:p w14:paraId="00E896EA"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Operador utilizando los despliegues tabulares y unifilares de forma interactiva, </w:t>
      </w:r>
      <w:r w:rsidR="00C7540B" w:rsidRPr="00576AF8">
        <w:rPr>
          <w:color w:val="000000"/>
          <w:sz w:val="22"/>
          <w:szCs w:val="22"/>
          <w:lang w:val="es-EC" w:eastAsia="es-EC" w:bidi="ar-SA"/>
        </w:rPr>
        <w:t>podrá</w:t>
      </w:r>
      <w:r w:rsidRPr="00576AF8">
        <w:rPr>
          <w:color w:val="000000"/>
          <w:sz w:val="22"/>
          <w:szCs w:val="22"/>
          <w:lang w:val="es-EC" w:eastAsia="es-EC" w:bidi="ar-SA"/>
        </w:rPr>
        <w:t xml:space="preserve"> crear Órdenes de Trabajo para salidas de equipos por emergencia, por mantenimiento programado o de reducción de capacidad de un equipo. Las </w:t>
      </w:r>
      <w:r w:rsidRPr="00576AF8">
        <w:rPr>
          <w:color w:val="000000"/>
          <w:sz w:val="22"/>
          <w:szCs w:val="22"/>
          <w:lang w:val="es-EC" w:eastAsia="es-EC" w:bidi="ar-SA"/>
        </w:rPr>
        <w:lastRenderedPageBreak/>
        <w:t>interrupciones programadas de esta manera serán identificadas con un código y no deben</w:t>
      </w:r>
      <w:r w:rsidR="00C7540B" w:rsidRPr="00576AF8">
        <w:rPr>
          <w:color w:val="000000"/>
          <w:sz w:val="22"/>
          <w:szCs w:val="22"/>
          <w:lang w:val="es-EC" w:eastAsia="es-EC" w:bidi="ar-SA"/>
        </w:rPr>
        <w:t xml:space="preserve"> ser</w:t>
      </w:r>
      <w:r w:rsidRPr="00576AF8">
        <w:rPr>
          <w:color w:val="000000"/>
          <w:sz w:val="22"/>
          <w:szCs w:val="22"/>
          <w:lang w:val="es-EC" w:eastAsia="es-EC" w:bidi="ar-SA"/>
        </w:rPr>
        <w:t xml:space="preserve"> reemplazadas por los procesos que permiten la importación de </w:t>
      </w:r>
      <w:r w:rsidR="00C7540B" w:rsidRPr="00576AF8">
        <w:rPr>
          <w:color w:val="000000"/>
          <w:sz w:val="22"/>
          <w:szCs w:val="22"/>
          <w:lang w:val="es-EC" w:eastAsia="es-EC" w:bidi="ar-SA"/>
        </w:rPr>
        <w:t>salidas de servicio</w:t>
      </w:r>
      <w:r w:rsidRPr="00576AF8">
        <w:rPr>
          <w:color w:val="000000"/>
          <w:sz w:val="22"/>
          <w:szCs w:val="22"/>
          <w:lang w:val="es-EC" w:eastAsia="es-EC" w:bidi="ar-SA"/>
        </w:rPr>
        <w:t xml:space="preserve"> de equipos desde una aplicación externa.</w:t>
      </w:r>
    </w:p>
    <w:p w14:paraId="75F23D16" w14:textId="77777777" w:rsidR="009102A7" w:rsidRPr="00576AF8" w:rsidRDefault="009102A7" w:rsidP="009102A7">
      <w:pPr>
        <w:numPr>
          <w:ilvl w:val="0"/>
          <w:numId w:val="33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Programador de Salida de Servicio de Equipos debe disponer interfaces con las siguientes aplicaciones:</w:t>
      </w:r>
    </w:p>
    <w:p w14:paraId="691E6A0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95" w:firstLine="348"/>
        <w:rPr>
          <w:rFonts w:eastAsia="Calibri"/>
          <w:sz w:val="22"/>
          <w:szCs w:val="22"/>
          <w:lang w:val="es-419" w:eastAsia="en-US" w:bidi="ar-SA"/>
        </w:rPr>
      </w:pPr>
      <w:r w:rsidRPr="00576AF8">
        <w:rPr>
          <w:rFonts w:eastAsia="Calibri"/>
          <w:sz w:val="22"/>
          <w:szCs w:val="22"/>
          <w:lang w:val="es-419" w:eastAsia="en-US" w:bidi="ar-SA"/>
        </w:rPr>
        <w:t>Entradas:</w:t>
      </w:r>
    </w:p>
    <w:p w14:paraId="4ED68FA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i/>
          <w:color w:val="000000"/>
          <w:sz w:val="22"/>
          <w:szCs w:val="22"/>
          <w:lang w:val="es-EC" w:eastAsia="es-EC" w:bidi="ar-SA"/>
        </w:rPr>
        <w:t>Plan de Producción:</w:t>
      </w:r>
      <w:r w:rsidRPr="00576AF8">
        <w:rPr>
          <w:color w:val="000000"/>
          <w:sz w:val="22"/>
          <w:szCs w:val="22"/>
          <w:lang w:val="es-EC" w:eastAsia="es-EC" w:bidi="ar-SA"/>
        </w:rPr>
        <w:t xml:space="preserve">  desde los archivos que contienen el plan de producción se pasarán las conexiones, desconexiones y limitaciones de capacidad de generadores previstas a futuro en el horizonte de planificación a corto plazo. El </w:t>
      </w:r>
      <w:r w:rsidR="00C7540B" w:rsidRPr="00576AF8">
        <w:rPr>
          <w:color w:val="000000"/>
          <w:sz w:val="22"/>
          <w:szCs w:val="22"/>
          <w:lang w:val="es-EC" w:eastAsia="es-EC" w:bidi="ar-SA"/>
        </w:rPr>
        <w:t>OUS</w:t>
      </w:r>
      <w:r w:rsidRPr="00576AF8">
        <w:rPr>
          <w:color w:val="000000"/>
          <w:sz w:val="22"/>
          <w:szCs w:val="22"/>
          <w:lang w:val="es-EC" w:eastAsia="es-EC" w:bidi="ar-SA"/>
        </w:rPr>
        <w:t xml:space="preserve">, reconocerá </w:t>
      </w:r>
      <w:r w:rsidRPr="00576AF8" w:rsidDel="00F07827">
        <w:rPr>
          <w:color w:val="000000"/>
          <w:sz w:val="22"/>
          <w:szCs w:val="22"/>
          <w:lang w:val="es-EC" w:eastAsia="es-EC" w:bidi="ar-SA"/>
        </w:rPr>
        <w:t xml:space="preserve">cuál </w:t>
      </w:r>
      <w:r w:rsidRPr="00576AF8">
        <w:rPr>
          <w:color w:val="000000"/>
          <w:sz w:val="22"/>
          <w:szCs w:val="22"/>
          <w:lang w:val="es-EC" w:eastAsia="es-EC" w:bidi="ar-SA"/>
        </w:rPr>
        <w:t>información proviene del plan de producción en curso, permitiéndole al Operador desactivar o modificar la misma.</w:t>
      </w:r>
    </w:p>
    <w:p w14:paraId="1851858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i/>
          <w:color w:val="000000"/>
          <w:sz w:val="22"/>
          <w:szCs w:val="22"/>
          <w:lang w:val="es-EC" w:eastAsia="es-EC" w:bidi="ar-SA"/>
        </w:rPr>
        <w:t>Sistema de Gestión de Mantenimientos (SAMWEB):</w:t>
      </w:r>
      <w:r w:rsidRPr="00576AF8">
        <w:rPr>
          <w:color w:val="000000"/>
          <w:sz w:val="22"/>
          <w:szCs w:val="22"/>
          <w:lang w:val="es-EC" w:eastAsia="es-EC" w:bidi="ar-SA"/>
        </w:rPr>
        <w:t xml:space="preserve"> Los permisos de desconexiones creados y/o programados en un sistema externo, serán importados a partir de archivos en formatos CSV o XML. La carga y/o actualización de estos programas de desconexión y conexión de equipos será automática y sin intervención del Operador. Solo aquellas desconexiones que el Operador actualice mediante el IHM del sistema será bloqueadas para su actualización.</w:t>
      </w:r>
    </w:p>
    <w:p w14:paraId="0A7B9A8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95" w:firstLine="348"/>
        <w:rPr>
          <w:rFonts w:eastAsia="Calibri"/>
          <w:sz w:val="22"/>
          <w:szCs w:val="22"/>
          <w:lang w:val="es-419" w:eastAsia="en-US" w:bidi="ar-SA"/>
        </w:rPr>
      </w:pPr>
      <w:r w:rsidRPr="00576AF8">
        <w:rPr>
          <w:rFonts w:eastAsia="Calibri"/>
          <w:sz w:val="22"/>
          <w:szCs w:val="22"/>
          <w:lang w:val="es-419" w:eastAsia="en-US" w:bidi="ar-SA"/>
        </w:rPr>
        <w:t>Salidas:</w:t>
      </w:r>
    </w:p>
    <w:p w14:paraId="42E3FFC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i/>
          <w:color w:val="000000"/>
          <w:sz w:val="22"/>
          <w:szCs w:val="22"/>
          <w:lang w:val="es-EC" w:eastAsia="es-EC" w:bidi="ar-SA"/>
        </w:rPr>
        <w:t>IHM del Operador:</w:t>
      </w:r>
      <w:r w:rsidRPr="00576AF8">
        <w:rPr>
          <w:color w:val="000000"/>
          <w:sz w:val="22"/>
          <w:szCs w:val="22"/>
          <w:lang w:val="es-EC" w:eastAsia="es-EC" w:bidi="ar-SA"/>
        </w:rPr>
        <w:t xml:space="preserve"> en las consolas del operador </w:t>
      </w:r>
      <w:r w:rsidRPr="00576AF8" w:rsidDel="00B67A36">
        <w:rPr>
          <w:color w:val="000000"/>
          <w:sz w:val="22"/>
          <w:szCs w:val="22"/>
          <w:lang w:val="es-EC" w:eastAsia="es-EC" w:bidi="ar-SA"/>
        </w:rPr>
        <w:t xml:space="preserve">será </w:t>
      </w:r>
      <w:r w:rsidRPr="00576AF8">
        <w:rPr>
          <w:color w:val="000000"/>
          <w:sz w:val="22"/>
          <w:szCs w:val="22"/>
          <w:lang w:val="es-EC" w:eastAsia="es-EC" w:bidi="ar-SA"/>
        </w:rPr>
        <w:t>posible visualizar las salidas de servicio de equipos programados y reducciones de capacidad previamente cargadas.</w:t>
      </w:r>
    </w:p>
    <w:p w14:paraId="3FD7CA0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i/>
          <w:color w:val="000000"/>
          <w:sz w:val="22"/>
          <w:szCs w:val="22"/>
          <w:lang w:val="es-EC" w:eastAsia="es-EC" w:bidi="ar-SA"/>
        </w:rPr>
        <w:t>Flujo de Potencia del Operador:</w:t>
      </w:r>
      <w:r w:rsidRPr="00576AF8">
        <w:rPr>
          <w:color w:val="000000"/>
          <w:sz w:val="22"/>
          <w:szCs w:val="22"/>
          <w:lang w:val="es-EC" w:eastAsia="es-EC" w:bidi="ar-SA"/>
        </w:rPr>
        <w:t xml:space="preserve"> En modo Estudio, el Operador podrá seleccionar una fecha y hora específica e invocar una actualización de las desconexiones, conexiones, limitaciones de capacidad y estado de las unidades </w:t>
      </w:r>
      <w:r w:rsidRPr="00576AF8" w:rsidDel="00B67A36">
        <w:rPr>
          <w:color w:val="000000"/>
          <w:sz w:val="22"/>
          <w:szCs w:val="22"/>
          <w:lang w:val="es-EC" w:eastAsia="es-EC" w:bidi="ar-SA"/>
        </w:rPr>
        <w:t xml:space="preserve">de </w:t>
      </w:r>
      <w:r w:rsidRPr="00576AF8">
        <w:rPr>
          <w:color w:val="000000"/>
          <w:sz w:val="22"/>
          <w:szCs w:val="22"/>
          <w:lang w:val="es-EC" w:eastAsia="es-EC" w:bidi="ar-SA"/>
        </w:rPr>
        <w:t xml:space="preserve">generación. Esto permitirá la rápida simulación en un flujo de potencia considerando la información cargada en el </w:t>
      </w:r>
      <w:r w:rsidR="00C7540B" w:rsidRPr="00576AF8">
        <w:rPr>
          <w:color w:val="000000"/>
          <w:sz w:val="22"/>
          <w:szCs w:val="22"/>
          <w:lang w:val="es-EC" w:eastAsia="es-EC" w:bidi="ar-SA"/>
        </w:rPr>
        <w:t>OUS</w:t>
      </w:r>
      <w:r w:rsidRPr="00576AF8">
        <w:rPr>
          <w:color w:val="000000"/>
          <w:sz w:val="22"/>
          <w:szCs w:val="22"/>
          <w:lang w:val="es-EC" w:eastAsia="es-EC" w:bidi="ar-SA"/>
        </w:rPr>
        <w:t xml:space="preserve">. </w:t>
      </w:r>
    </w:p>
    <w:p w14:paraId="546F82B5" w14:textId="77777777" w:rsidR="009102A7" w:rsidRPr="00576AF8" w:rsidRDefault="009102A7" w:rsidP="009102A7">
      <w:pPr>
        <w:suppressAutoHyphens w:val="0"/>
        <w:spacing w:after="0"/>
        <w:rPr>
          <w:color w:val="000000"/>
          <w:sz w:val="22"/>
          <w:szCs w:val="22"/>
          <w:lang w:val="es-EC" w:eastAsia="es-EC" w:bidi="ar-SA"/>
        </w:rPr>
      </w:pPr>
    </w:p>
    <w:p w14:paraId="54F62AC0" w14:textId="77777777" w:rsidR="009102A7" w:rsidRPr="00576AF8" w:rsidRDefault="009102A7" w:rsidP="009102A7">
      <w:pPr>
        <w:numPr>
          <w:ilvl w:val="0"/>
          <w:numId w:val="331"/>
        </w:numPr>
        <w:contextualSpacing/>
        <w:rPr>
          <w:sz w:val="22"/>
          <w:szCs w:val="22"/>
        </w:rPr>
      </w:pPr>
      <w:r w:rsidRPr="00576AF8" w:rsidDel="00B67A36">
        <w:rPr>
          <w:sz w:val="22"/>
          <w:szCs w:val="22"/>
        </w:rPr>
        <w:t xml:space="preserve">Una </w:t>
      </w:r>
      <w:r w:rsidRPr="00576AF8">
        <w:rPr>
          <w:sz w:val="22"/>
          <w:szCs w:val="22"/>
        </w:rPr>
        <w:t xml:space="preserve">orden de trabajo </w:t>
      </w:r>
      <w:r w:rsidRPr="00576AF8" w:rsidDel="00D16668">
        <w:rPr>
          <w:sz w:val="22"/>
          <w:szCs w:val="22"/>
        </w:rPr>
        <w:t xml:space="preserve">permitirá </w:t>
      </w:r>
      <w:r w:rsidRPr="00576AF8">
        <w:rPr>
          <w:sz w:val="22"/>
          <w:szCs w:val="22"/>
        </w:rPr>
        <w:t>ingresar para uno o varios equipos o limitaciones operativas de los mismos. Para cada orden de trabajo, el Operador podrá ingresar al menos, los siguientes datos:</w:t>
      </w:r>
    </w:p>
    <w:p w14:paraId="02D2EF2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sz w:val="22"/>
          <w:szCs w:val="22"/>
        </w:rPr>
        <w:t>I</w:t>
      </w:r>
      <w:r w:rsidRPr="00576AF8">
        <w:rPr>
          <w:color w:val="000000"/>
          <w:sz w:val="22"/>
          <w:szCs w:val="22"/>
          <w:lang w:val="es-EC" w:eastAsia="es-EC" w:bidi="ar-SA"/>
        </w:rPr>
        <w:t>dentificación de la Orden de Trabajo</w:t>
      </w:r>
    </w:p>
    <w:p w14:paraId="712D781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Título</w:t>
      </w:r>
    </w:p>
    <w:p w14:paraId="786605A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Estado</w:t>
      </w:r>
    </w:p>
    <w:p w14:paraId="7CF3675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Tipo de Mantenimiento: programado, emergencia</w:t>
      </w:r>
    </w:p>
    <w:p w14:paraId="20CFDA0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Fecha y hora de inicio</w:t>
      </w:r>
    </w:p>
    <w:p w14:paraId="60EB462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Fecha y hora de finalización</w:t>
      </w:r>
    </w:p>
    <w:p w14:paraId="3CEE642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Descripción</w:t>
      </w:r>
    </w:p>
    <w:p w14:paraId="2085629F" w14:textId="77777777" w:rsidR="009102A7" w:rsidRPr="00576AF8" w:rsidRDefault="009102A7" w:rsidP="009102A7">
      <w:pPr>
        <w:suppressAutoHyphens w:val="0"/>
        <w:spacing w:after="0"/>
        <w:ind w:left="3053"/>
        <w:contextualSpacing/>
        <w:rPr>
          <w:color w:val="000000"/>
          <w:sz w:val="22"/>
          <w:szCs w:val="22"/>
          <w:lang w:val="es-EC" w:eastAsia="es-EC" w:bidi="ar-SA"/>
        </w:rPr>
      </w:pPr>
    </w:p>
    <w:p w14:paraId="38252C8D" w14:textId="77777777" w:rsidR="009102A7" w:rsidRPr="00576AF8" w:rsidRDefault="009102A7" w:rsidP="009102A7">
      <w:pPr>
        <w:ind w:left="2232"/>
        <w:rPr>
          <w:color w:val="000000"/>
          <w:sz w:val="22"/>
          <w:szCs w:val="22"/>
          <w:lang w:val="es-EC" w:eastAsia="es-EC" w:bidi="ar-SA"/>
        </w:rPr>
      </w:pPr>
      <w:r w:rsidRPr="00576AF8">
        <w:rPr>
          <w:color w:val="000000"/>
          <w:sz w:val="22"/>
          <w:szCs w:val="22"/>
          <w:lang w:val="es-EC" w:eastAsia="es-EC" w:bidi="ar-SA"/>
        </w:rPr>
        <w:t>Para cada equipo involucrado en la orden se deben disponer los siguientes datos:</w:t>
      </w:r>
    </w:p>
    <w:p w14:paraId="052AFF4F"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Nombre del Equipo</w:t>
      </w:r>
    </w:p>
    <w:p w14:paraId="5D912442"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Tipo de Equipo</w:t>
      </w:r>
    </w:p>
    <w:p w14:paraId="2428D869"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Nivel de Voltaje</w:t>
      </w:r>
    </w:p>
    <w:p w14:paraId="4E030537"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Valor de Capacidad reducida </w:t>
      </w:r>
    </w:p>
    <w:p w14:paraId="64EBFD59"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Fecha y hora de inicio</w:t>
      </w:r>
    </w:p>
    <w:p w14:paraId="4C632E8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Fecha y hora de finalización</w:t>
      </w:r>
    </w:p>
    <w:p w14:paraId="13FCB9CD"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Comentarios</w:t>
      </w:r>
    </w:p>
    <w:p w14:paraId="6170AF42" w14:textId="77777777" w:rsidR="009102A7" w:rsidRPr="00576AF8" w:rsidRDefault="009102A7" w:rsidP="009102A7">
      <w:pPr>
        <w:suppressAutoHyphens w:val="0"/>
        <w:spacing w:after="0"/>
        <w:ind w:left="3053"/>
        <w:contextualSpacing/>
        <w:rPr>
          <w:sz w:val="22"/>
          <w:szCs w:val="22"/>
        </w:rPr>
      </w:pPr>
    </w:p>
    <w:p w14:paraId="3B006340" w14:textId="77777777" w:rsidR="009102A7" w:rsidRPr="00576AF8" w:rsidRDefault="009102A7" w:rsidP="009102A7">
      <w:pPr>
        <w:numPr>
          <w:ilvl w:val="0"/>
          <w:numId w:val="331"/>
        </w:numPr>
        <w:rPr>
          <w:sz w:val="22"/>
          <w:szCs w:val="22"/>
        </w:rPr>
      </w:pPr>
      <w:r w:rsidRPr="00576AF8">
        <w:rPr>
          <w:sz w:val="22"/>
          <w:szCs w:val="22"/>
        </w:rPr>
        <w:t>Se mostrarán las órdenes activas, inactivas y completadas para el día en curso.</w:t>
      </w:r>
    </w:p>
    <w:p w14:paraId="18EC53C9" w14:textId="77777777" w:rsidR="009102A7" w:rsidRPr="00576AF8" w:rsidRDefault="009102A7" w:rsidP="009102A7">
      <w:pPr>
        <w:numPr>
          <w:ilvl w:val="0"/>
          <w:numId w:val="331"/>
        </w:numPr>
        <w:rPr>
          <w:sz w:val="22"/>
          <w:szCs w:val="22"/>
        </w:rPr>
      </w:pPr>
      <w:r w:rsidRPr="00576AF8">
        <w:rPr>
          <w:sz w:val="22"/>
          <w:szCs w:val="22"/>
        </w:rPr>
        <w:lastRenderedPageBreak/>
        <w:t xml:space="preserve">Se generará una alarma cuando se ingresa a una sesión del </w:t>
      </w:r>
      <w:r w:rsidR="00EA35D4" w:rsidRPr="00576AF8">
        <w:rPr>
          <w:sz w:val="22"/>
          <w:szCs w:val="22"/>
        </w:rPr>
        <w:t xml:space="preserve">OUS </w:t>
      </w:r>
      <w:r w:rsidRPr="00576AF8">
        <w:rPr>
          <w:sz w:val="22"/>
          <w:szCs w:val="22"/>
        </w:rPr>
        <w:t xml:space="preserve">y cada vez que una orden programada se inicia o termina. </w:t>
      </w:r>
      <w:r w:rsidRPr="00576AF8" w:rsidDel="008F4827">
        <w:rPr>
          <w:sz w:val="22"/>
          <w:szCs w:val="22"/>
        </w:rPr>
        <w:t>Asimismo</w:t>
      </w:r>
      <w:r w:rsidRPr="00576AF8">
        <w:rPr>
          <w:sz w:val="22"/>
          <w:szCs w:val="22"/>
        </w:rPr>
        <w:t>, cualquier ingreso, modificación o eliminación será registrado como un evento para fines de auditoría.</w:t>
      </w:r>
    </w:p>
    <w:p w14:paraId="3D570F13" w14:textId="77777777" w:rsidR="009102A7" w:rsidRPr="00576AF8" w:rsidRDefault="009102A7" w:rsidP="009102A7">
      <w:pPr>
        <w:numPr>
          <w:ilvl w:val="0"/>
          <w:numId w:val="331"/>
        </w:numPr>
        <w:rPr>
          <w:sz w:val="22"/>
          <w:szCs w:val="22"/>
        </w:rPr>
      </w:pPr>
      <w:r w:rsidRPr="00576AF8">
        <w:rPr>
          <w:sz w:val="22"/>
          <w:szCs w:val="22"/>
        </w:rPr>
        <w:t xml:space="preserve">Todos las Órdenes de </w:t>
      </w:r>
      <w:r w:rsidRPr="00576AF8" w:rsidDel="008F4827">
        <w:rPr>
          <w:sz w:val="22"/>
          <w:szCs w:val="22"/>
        </w:rPr>
        <w:t xml:space="preserve">Trabajo </w:t>
      </w:r>
      <w:r w:rsidRPr="00576AF8">
        <w:rPr>
          <w:sz w:val="22"/>
          <w:szCs w:val="22"/>
        </w:rPr>
        <w:t>completadas deben pasar a un archivo histórico donde puedan ser consultadas por un período de al menos tres (3) meses.</w:t>
      </w:r>
    </w:p>
    <w:p w14:paraId="4FEA2990" w14:textId="77777777" w:rsidR="009102A7" w:rsidRPr="00576AF8" w:rsidRDefault="009102A7" w:rsidP="009102A7">
      <w:pPr>
        <w:numPr>
          <w:ilvl w:val="0"/>
          <w:numId w:val="331"/>
        </w:numPr>
        <w:rPr>
          <w:sz w:val="22"/>
          <w:szCs w:val="22"/>
        </w:rPr>
      </w:pPr>
      <w:r w:rsidRPr="00576AF8">
        <w:rPr>
          <w:sz w:val="22"/>
          <w:szCs w:val="22"/>
        </w:rPr>
        <w:t>De manera automática o a solicitud del Operador, el archivo de Órdenes de Trabajo cerradas y con más de tres meses de antigüedad debe copiarse a un archivo plano y exportarse en formato CSV o XML.</w:t>
      </w:r>
    </w:p>
    <w:p w14:paraId="65495519" w14:textId="77777777" w:rsidR="009102A7" w:rsidRPr="00576AF8" w:rsidRDefault="009102A7" w:rsidP="009102A7">
      <w:pPr>
        <w:suppressAutoHyphens w:val="0"/>
        <w:spacing w:after="0"/>
        <w:ind w:left="284"/>
        <w:contextualSpacing/>
        <w:rPr>
          <w:b/>
          <w:bCs/>
          <w:color w:val="000000"/>
          <w:sz w:val="22"/>
          <w:szCs w:val="22"/>
          <w:lang w:val="es-EC" w:eastAsia="es-EC" w:bidi="ar-SA"/>
        </w:rPr>
      </w:pPr>
    </w:p>
    <w:p w14:paraId="49528D7A" w14:textId="77777777" w:rsidR="009102A7" w:rsidRPr="00576AF8" w:rsidRDefault="009102A7" w:rsidP="009102A7">
      <w:pPr>
        <w:ind w:left="720" w:firstLine="696"/>
        <w:jc w:val="left"/>
        <w:outlineLvl w:val="2"/>
        <w:rPr>
          <w:sz w:val="22"/>
          <w:szCs w:val="22"/>
        </w:rPr>
      </w:pPr>
      <w:bookmarkStart w:id="940" w:name="_Toc148955158"/>
      <w:bookmarkStart w:id="941" w:name="_Toc158396634"/>
      <w:bookmarkStart w:id="942" w:name="_Toc160012868"/>
      <w:bookmarkStart w:id="943" w:name="_Toc160434878"/>
      <w:bookmarkStart w:id="944" w:name="_Toc160456003"/>
      <w:r w:rsidRPr="00576AF8">
        <w:rPr>
          <w:b/>
          <w:sz w:val="22"/>
          <w:szCs w:val="22"/>
        </w:rPr>
        <w:t>2.1.1.1.4.15 Análisis de Estabilidad de Voltaje en Estado Estacionario - (Steady State Voltage Stability Assessment VSA)</w:t>
      </w:r>
      <w:bookmarkEnd w:id="940"/>
      <w:bookmarkEnd w:id="941"/>
      <w:bookmarkEnd w:id="942"/>
      <w:bookmarkEnd w:id="943"/>
      <w:bookmarkEnd w:id="944"/>
    </w:p>
    <w:p w14:paraId="7F0A62A6" w14:textId="77777777" w:rsidR="009102A7" w:rsidRPr="00576AF8" w:rsidRDefault="009102A7" w:rsidP="009102A7">
      <w:pPr>
        <w:numPr>
          <w:ilvl w:val="0"/>
          <w:numId w:val="33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requiere una aplicación para la evaluación preventiva ante colapsos del sistema de potencia por fenómenos de estabilidad de voltaje denominada como Análisis de Estabilidad de Voltaje en Estado Estacionario (Steady State Voltage Stability Assessment VSA).  El VSA en tiempo real, utilizará el último caso válido </w:t>
      </w:r>
      <w:r w:rsidRPr="00576AF8" w:rsidDel="00552C1F">
        <w:rPr>
          <w:color w:val="000000"/>
          <w:sz w:val="22"/>
          <w:szCs w:val="22"/>
          <w:lang w:val="es-EC" w:eastAsia="es-EC" w:bidi="ar-SA"/>
        </w:rPr>
        <w:t xml:space="preserve">del </w:t>
      </w:r>
      <w:r w:rsidRPr="00576AF8">
        <w:rPr>
          <w:color w:val="000000"/>
          <w:sz w:val="22"/>
          <w:szCs w:val="22"/>
          <w:lang w:val="es-EC" w:eastAsia="es-EC" w:bidi="ar-SA"/>
        </w:rPr>
        <w:t>Estimador de Estado y en modo de estudio utilizará un caso válido del Flujo de Potencia del Operador o un caso válido del Estimador de Estado en modo de estudio.</w:t>
      </w:r>
    </w:p>
    <w:p w14:paraId="4C7778A2" w14:textId="77777777" w:rsidR="009102A7" w:rsidRPr="00576AF8" w:rsidRDefault="009102A7" w:rsidP="009102A7">
      <w:pPr>
        <w:numPr>
          <w:ilvl w:val="0"/>
          <w:numId w:val="33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colapsos de voltaje generalmente ocurren en sistemas de potencia que están altamente cargados, en condición de falla y/o tienen escasez de potencia reactiva. El colapso de voltaje representa una forma de inestabilidad del sistema de potencia, puesto que involucra la interacción de varios componentes del sistema y la relación de comportamiento simultáneo de las variables involucradas.</w:t>
      </w:r>
    </w:p>
    <w:p w14:paraId="1E5BC249" w14:textId="77777777" w:rsidR="009102A7" w:rsidRPr="00576AF8" w:rsidRDefault="009102A7" w:rsidP="009102A7">
      <w:pPr>
        <w:numPr>
          <w:ilvl w:val="0"/>
          <w:numId w:val="33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tendrá la capacidad para la evaluación de la Estabilidad de Voltaje en Estado Estacionario, considerando cambiadores automáticos de Taps de transformadores, desconexión de carga por bajo voltaje. La capacidad de evaluación de seguridad de estabilidad de voltaje determinará la reactancia crítica mediante curvas PV.</w:t>
      </w:r>
    </w:p>
    <w:p w14:paraId="41391F6B" w14:textId="77777777" w:rsidR="009102A7" w:rsidRPr="00576AF8" w:rsidRDefault="009102A7" w:rsidP="009102A7">
      <w:pPr>
        <w:numPr>
          <w:ilvl w:val="0"/>
          <w:numId w:val="332"/>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Son varias las causales que contribuyen a la incidencia de un colapso del voltaje, algunas de las cuales se presentan a continuación:</w:t>
      </w:r>
    </w:p>
    <w:p w14:paraId="47772ED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Incremento de la carga.</w:t>
      </w:r>
    </w:p>
    <w:p w14:paraId="424D390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Generadores, condensadores síncronos o SVC operando en </w:t>
      </w:r>
      <w:r w:rsidRPr="00576AF8" w:rsidDel="00552C1F">
        <w:rPr>
          <w:color w:val="000000"/>
          <w:sz w:val="22"/>
          <w:szCs w:val="22"/>
          <w:lang w:val="es-EC" w:eastAsia="es-EC" w:bidi="ar-SA"/>
        </w:rPr>
        <w:t xml:space="preserve">sus </w:t>
      </w:r>
      <w:r w:rsidRPr="00576AF8">
        <w:rPr>
          <w:color w:val="000000"/>
          <w:sz w:val="22"/>
          <w:szCs w:val="22"/>
          <w:lang w:val="es-EC" w:eastAsia="es-EC" w:bidi="ar-SA"/>
        </w:rPr>
        <w:t>límites de potencia reactiva.</w:t>
      </w:r>
    </w:p>
    <w:p w14:paraId="2790FD6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sidDel="00552C1F">
        <w:rPr>
          <w:color w:val="000000"/>
          <w:sz w:val="22"/>
          <w:szCs w:val="22"/>
          <w:lang w:val="es-EC" w:eastAsia="es-EC" w:bidi="ar-SA"/>
        </w:rPr>
        <w:t xml:space="preserve">Movimientos </w:t>
      </w:r>
      <w:r w:rsidRPr="00576AF8">
        <w:rPr>
          <w:color w:val="000000"/>
          <w:sz w:val="22"/>
          <w:szCs w:val="22"/>
          <w:lang w:val="es-EC" w:eastAsia="es-EC" w:bidi="ar-SA"/>
        </w:rPr>
        <w:t>de los Taps con carga de los transformadores.</w:t>
      </w:r>
    </w:p>
    <w:p w14:paraId="005760E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Dinámica de recuperación de carga.</w:t>
      </w:r>
    </w:p>
    <w:p w14:paraId="332CF54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Disparos de línea o salidas de generadores.</w:t>
      </w:r>
    </w:p>
    <w:p w14:paraId="5ECB6915" w14:textId="77777777" w:rsidR="009102A7" w:rsidRPr="00576AF8" w:rsidRDefault="009102A7" w:rsidP="009102A7">
      <w:pPr>
        <w:numPr>
          <w:ilvl w:val="0"/>
          <w:numId w:val="332"/>
        </w:numPr>
        <w:suppressAutoHyphens w:val="0"/>
        <w:spacing w:after="0"/>
        <w:contextualSpacing/>
        <w:rPr>
          <w:sz w:val="22"/>
          <w:szCs w:val="22"/>
        </w:rPr>
      </w:pPr>
      <w:r w:rsidRPr="00576AF8">
        <w:rPr>
          <w:color w:val="000000"/>
          <w:sz w:val="22"/>
          <w:szCs w:val="22"/>
          <w:lang w:val="es-EC" w:eastAsia="es-EC" w:bidi="ar-SA"/>
        </w:rPr>
        <w:t>La mayoría</w:t>
      </w:r>
      <w:r w:rsidRPr="00576AF8">
        <w:rPr>
          <w:sz w:val="22"/>
          <w:szCs w:val="22"/>
        </w:rPr>
        <w:t xml:space="preserve"> de estos cambios en la operación de los equipos </w:t>
      </w:r>
      <w:r w:rsidRPr="00576AF8" w:rsidDel="00552C1F">
        <w:rPr>
          <w:sz w:val="22"/>
          <w:szCs w:val="22"/>
        </w:rPr>
        <w:t xml:space="preserve">afectan </w:t>
      </w:r>
      <w:r w:rsidRPr="00576AF8">
        <w:rPr>
          <w:sz w:val="22"/>
          <w:szCs w:val="22"/>
        </w:rPr>
        <w:t>la generación, transmisión y consumo de potencia reactiva, pudiendo crear condiciones propicias para el colapso de voltaje.</w:t>
      </w:r>
    </w:p>
    <w:p w14:paraId="3C8B3840"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Las acciones de control preventivas que permiten controlar la incidencia de colapsos de voltaje incluyen: </w:t>
      </w:r>
    </w:p>
    <w:p w14:paraId="43F9BF2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Conmutación de bancos de capacitores Shunt, </w:t>
      </w:r>
    </w:p>
    <w:p w14:paraId="5F25FA3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Bloqueo de </w:t>
      </w:r>
      <w:r w:rsidRPr="00576AF8" w:rsidDel="00552C1F">
        <w:rPr>
          <w:color w:val="000000"/>
          <w:sz w:val="22"/>
          <w:szCs w:val="22"/>
          <w:lang w:val="es-EC" w:eastAsia="es-EC" w:bidi="ar-SA"/>
        </w:rPr>
        <w:t xml:space="preserve">los </w:t>
      </w:r>
      <w:r w:rsidRPr="00576AF8">
        <w:rPr>
          <w:color w:val="000000"/>
          <w:sz w:val="22"/>
          <w:szCs w:val="22"/>
          <w:lang w:val="es-EC" w:eastAsia="es-EC" w:bidi="ar-SA"/>
        </w:rPr>
        <w:t xml:space="preserve">Taps con carga de Transformadores que controlan el voltaje, </w:t>
      </w:r>
    </w:p>
    <w:p w14:paraId="4EFD677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Redespacho de generación,</w:t>
      </w:r>
    </w:p>
    <w:p w14:paraId="6A77761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Ajuste a los voltajes de generadores y de barras reguladas,</w:t>
      </w:r>
    </w:p>
    <w:p w14:paraId="03F9D76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Desconexión de carga por bajo voltaje</w:t>
      </w:r>
    </w:p>
    <w:p w14:paraId="22C940B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Sobrecarga temporal de potencia reactiva de los generadores</w:t>
      </w:r>
    </w:p>
    <w:p w14:paraId="1DC586F4"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 xml:space="preserve">El VSA permitirá el monitoreo continuo de las condiciones que puedan conllevar a un colapso de voltaje en las condiciones de operación del momento.  Adicionalmente, será capaz de procesar en cada ejecución cíclica, </w:t>
      </w:r>
      <w:r w:rsidRPr="00576AF8" w:rsidDel="00552C1F">
        <w:rPr>
          <w:rFonts w:eastAsia="Calibri"/>
          <w:sz w:val="22"/>
          <w:szCs w:val="22"/>
          <w:shd w:val="clear" w:color="auto" w:fill="F8F9FA"/>
          <w:lang w:val="es-419" w:eastAsia="en-US" w:bidi="ar-SA"/>
        </w:rPr>
        <w:t xml:space="preserve">la </w:t>
      </w:r>
      <w:r w:rsidRPr="00576AF8">
        <w:rPr>
          <w:rFonts w:eastAsia="Calibri"/>
          <w:sz w:val="22"/>
          <w:szCs w:val="22"/>
          <w:shd w:val="clear" w:color="auto" w:fill="F8F9FA"/>
          <w:lang w:val="es-419" w:eastAsia="en-US" w:bidi="ar-SA"/>
        </w:rPr>
        <w:t xml:space="preserve">peor contingencia determinada por el </w:t>
      </w:r>
      <w:r w:rsidRPr="00576AF8">
        <w:rPr>
          <w:rFonts w:eastAsia="Calibri"/>
          <w:sz w:val="22"/>
          <w:szCs w:val="22"/>
          <w:shd w:val="clear" w:color="auto" w:fill="F8F9FA"/>
          <w:lang w:val="es-419" w:eastAsia="en-US" w:bidi="ar-SA"/>
        </w:rPr>
        <w:lastRenderedPageBreak/>
        <w:t xml:space="preserve">Análisis de Contingencias, o la contingencia que el Operador seleccione bajo su criterio. </w:t>
      </w:r>
    </w:p>
    <w:p w14:paraId="3DD6EE85"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La prevención de los colapsos por inestabilidad de voltaje se basa en el monitoreo y determinación de límites en los corredores de transmisión.  Esto garantiza que no se producirán colapsos de voltaje por déficit de potencia reactiva asociada a las condiciones de operación de la red eléctrica.</w:t>
      </w:r>
    </w:p>
    <w:p w14:paraId="798940C6"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Para la determinación de estos límites se utilizará un algoritmo de Flujo de Potencia Continuado (</w:t>
      </w:r>
      <w:r w:rsidRPr="00576AF8">
        <w:rPr>
          <w:rFonts w:eastAsia="Calibri"/>
          <w:i/>
          <w:iCs/>
          <w:sz w:val="22"/>
          <w:szCs w:val="22"/>
          <w:shd w:val="clear" w:color="auto" w:fill="F8F9FA"/>
          <w:lang w:val="es-419" w:eastAsia="en-US" w:bidi="ar-SA"/>
        </w:rPr>
        <w:t>Continuation Power Flow</w:t>
      </w:r>
      <w:r w:rsidRPr="00576AF8">
        <w:rPr>
          <w:rFonts w:eastAsia="Calibri"/>
          <w:sz w:val="22"/>
          <w:szCs w:val="22"/>
          <w:shd w:val="clear" w:color="auto" w:fill="F8F9FA"/>
          <w:lang w:val="es-419" w:eastAsia="en-US" w:bidi="ar-SA"/>
        </w:rPr>
        <w:t xml:space="preserve">).  Este </w:t>
      </w:r>
      <w:r w:rsidRPr="00576AF8" w:rsidDel="00A90B77">
        <w:rPr>
          <w:rFonts w:eastAsia="Calibri"/>
          <w:sz w:val="22"/>
          <w:szCs w:val="22"/>
          <w:lang w:val="es-419" w:eastAsia="en-US" w:bidi="ar-SA"/>
        </w:rPr>
        <w:t xml:space="preserve">algoritmo </w:t>
      </w:r>
      <w:r w:rsidRPr="00576AF8">
        <w:rPr>
          <w:rFonts w:eastAsia="Calibri"/>
          <w:sz w:val="22"/>
          <w:szCs w:val="22"/>
          <w:lang w:val="es-419" w:eastAsia="en-US" w:bidi="ar-SA"/>
        </w:rPr>
        <w:t>evaluará</w:t>
      </w:r>
      <w:r w:rsidRPr="00576AF8">
        <w:rPr>
          <w:rFonts w:eastAsia="Calibri"/>
          <w:sz w:val="22"/>
          <w:szCs w:val="22"/>
          <w:shd w:val="clear" w:color="auto" w:fill="F8F9FA"/>
          <w:lang w:val="es-419" w:eastAsia="en-US" w:bidi="ar-SA"/>
        </w:rPr>
        <w:t xml:space="preserve"> la variación del incremento de la carga en uno de los extremos del corredor de transmisión.  Con base a esta evaluación, se definirá un margen de seguridad para establecer el límite máximo de operación segura del corredor en términos de estabilidad de voltaje.</w:t>
      </w:r>
    </w:p>
    <w:p w14:paraId="2186F1AE"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La aplicación VSA cumplirá al menos con los siguientes requisitos:</w:t>
      </w:r>
    </w:p>
    <w:p w14:paraId="50F25C8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Ejecución manual</w:t>
      </w:r>
    </w:p>
    <w:p w14:paraId="7CD4895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Ejecución periódica con una frecuencia que sea un múltiplo de la ejecución del Estimador de Estado.</w:t>
      </w:r>
    </w:p>
    <w:p w14:paraId="00A6012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tiempo real se utilizará como caso base, los resultados del Estimador de Estado. En modo de estudio se utilizarán los casos guardados del Estimador de Estado, de Flujo de Potencia del Operador y del Flujo de Potencia Óptimo.</w:t>
      </w:r>
    </w:p>
    <w:p w14:paraId="7B87560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Permitir al Operador la selección de cualquier contingencia para el análisis, bajo un esquema de predicción, corrección y evaluación por aproximación. </w:t>
      </w:r>
    </w:p>
    <w:p w14:paraId="11FC96C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Utilizar la misma lista definida en el Análisis de Contingencias (CA).</w:t>
      </w:r>
    </w:p>
    <w:p w14:paraId="2231FB5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presentará el algoritmo y las fórmulas matemáticas utilizadas para evaluar </w:t>
      </w:r>
      <w:r w:rsidRPr="00576AF8" w:rsidDel="00A90B77">
        <w:rPr>
          <w:color w:val="000000"/>
          <w:sz w:val="22"/>
          <w:szCs w:val="22"/>
          <w:lang w:val="es-EC" w:eastAsia="es-EC" w:bidi="ar-SA"/>
        </w:rPr>
        <w:t xml:space="preserve">la </w:t>
      </w:r>
      <w:r w:rsidRPr="00576AF8">
        <w:rPr>
          <w:color w:val="000000"/>
          <w:sz w:val="22"/>
          <w:szCs w:val="22"/>
          <w:lang w:val="es-EC" w:eastAsia="es-EC" w:bidi="ar-SA"/>
        </w:rPr>
        <w:t>estabilidad del sistema frente a colapsos de voltajes:</w:t>
      </w:r>
    </w:p>
    <w:p w14:paraId="7283C2F1" w14:textId="77777777" w:rsidR="009102A7" w:rsidRPr="00576AF8" w:rsidRDefault="009102A7" w:rsidP="009102A7">
      <w:pPr>
        <w:numPr>
          <w:ilvl w:val="2"/>
          <w:numId w:val="3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419" w:eastAsia="en-US" w:bidi="ar-SA"/>
        </w:rPr>
      </w:pPr>
      <w:r w:rsidRPr="00576AF8">
        <w:rPr>
          <w:rFonts w:eastAsia="Calibri"/>
          <w:sz w:val="22"/>
          <w:szCs w:val="22"/>
          <w:lang w:val="es-419" w:eastAsia="en-US" w:bidi="ar-SA"/>
        </w:rPr>
        <w:t>Por caída progresiva de voltajes en las barras</w:t>
      </w:r>
    </w:p>
    <w:p w14:paraId="43DA9A4D" w14:textId="77777777" w:rsidR="009102A7" w:rsidRPr="00576AF8" w:rsidRDefault="009102A7" w:rsidP="009102A7">
      <w:pPr>
        <w:numPr>
          <w:ilvl w:val="2"/>
          <w:numId w:val="3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419" w:eastAsia="en-US" w:bidi="ar-SA"/>
        </w:rPr>
      </w:pPr>
      <w:r w:rsidRPr="00576AF8">
        <w:rPr>
          <w:rFonts w:eastAsia="Calibri"/>
          <w:sz w:val="22"/>
          <w:szCs w:val="22"/>
          <w:lang w:val="es-419" w:eastAsia="en-US" w:bidi="ar-SA"/>
        </w:rPr>
        <w:t>Problemas de sobre voltajes</w:t>
      </w:r>
    </w:p>
    <w:p w14:paraId="345E5477" w14:textId="77777777" w:rsidR="009102A7" w:rsidRPr="00576AF8" w:rsidRDefault="009102A7" w:rsidP="009102A7">
      <w:pPr>
        <w:numPr>
          <w:ilvl w:val="2"/>
          <w:numId w:val="3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419" w:eastAsia="en-US" w:bidi="ar-SA"/>
        </w:rPr>
      </w:pPr>
      <w:r w:rsidRPr="00576AF8">
        <w:rPr>
          <w:rFonts w:eastAsia="Calibri"/>
          <w:sz w:val="22"/>
          <w:szCs w:val="22"/>
          <w:lang w:val="es-419" w:eastAsia="en-US" w:bidi="ar-SA"/>
        </w:rPr>
        <w:t>Salida de equipos del sistema, incluyendo la interrupción del servicio a clientes</w:t>
      </w:r>
    </w:p>
    <w:p w14:paraId="21DB2090"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Al menos los siguientes resultados deben estar disponibles para el Operador:</w:t>
      </w:r>
    </w:p>
    <w:p w14:paraId="6E7D0B2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Carga máxima del sistema, carga y reservas críticas de MVAr para la peor contingencia determinada con el Análisis de Contingencias</w:t>
      </w:r>
    </w:p>
    <w:p w14:paraId="4E21C50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máximo y crítico de decremento de carga/generación</w:t>
      </w:r>
    </w:p>
    <w:p w14:paraId="008FE90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Margen de Carga para el colapso de voltaje del caso base y de los casos de contingencias seleccionadas</w:t>
      </w:r>
    </w:p>
    <w:p w14:paraId="2BEB31F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Valores de voltaje en todas las barras del sistema, para el caso base y en el punto de colapso.</w:t>
      </w:r>
    </w:p>
    <w:p w14:paraId="78E9BA8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Curvas P-V para el caso base y para la peor contingencia mostrados para la barra seleccionada, incluyendo el punto de operación del sistema de potencia</w:t>
      </w:r>
    </w:p>
    <w:p w14:paraId="39A6EAC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Curvas P-Q del sistema para el caso base con la peor contingencia</w:t>
      </w:r>
    </w:p>
    <w:p w14:paraId="5388FECD" w14:textId="77777777" w:rsidR="009102A7" w:rsidRPr="00576AF8" w:rsidRDefault="009102A7" w:rsidP="009102A7">
      <w:pPr>
        <w:numPr>
          <w:ilvl w:val="0"/>
          <w:numId w:val="284"/>
        </w:numPr>
        <w:suppressAutoHyphens w:val="0"/>
        <w:spacing w:after="0"/>
        <w:contextualSpacing/>
        <w:rPr>
          <w:color w:val="000000"/>
          <w:sz w:val="22"/>
          <w:szCs w:val="22"/>
        </w:rPr>
      </w:pPr>
      <w:r w:rsidRPr="00576AF8">
        <w:rPr>
          <w:color w:val="000000"/>
          <w:sz w:val="22"/>
          <w:szCs w:val="22"/>
          <w:lang w:val="es-EC" w:eastAsia="es-EC" w:bidi="ar-SA"/>
        </w:rPr>
        <w:t>Voltajes críticos para</w:t>
      </w:r>
      <w:r w:rsidRPr="00576AF8">
        <w:rPr>
          <w:sz w:val="22"/>
          <w:szCs w:val="22"/>
        </w:rPr>
        <w:t xml:space="preserve"> las barras de flujo de potencia seleccionadas</w:t>
      </w:r>
    </w:p>
    <w:p w14:paraId="49A3CEA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Barras que tienen el menor cambio de voltaje en relación entre el voltaje base y el voltaje crítico.</w:t>
      </w:r>
    </w:p>
    <w:p w14:paraId="2C3B776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Barras que tienen la menor magnitud de voltaje en el punto crítico</w:t>
      </w:r>
    </w:p>
    <w:p w14:paraId="006117C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Barras críticas en el caso base y en el caso de la peor contingencia</w:t>
      </w:r>
    </w:p>
    <w:p w14:paraId="27DA8B0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Solución detallada de flujo de potencia y violaciones en cualquier paso del cálculo del VSA para el caso base y para la peor contingencia</w:t>
      </w:r>
    </w:p>
    <w:p w14:paraId="0613916A"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El Proveedor explicará de manera detallada el algoritmo implementado para el VSA y toda su funcionalidad, además, deberán incluirse en la oferta técnica los artículos técnicos de referencia (papers) utilizados para implementar este algoritmo.</w:t>
      </w:r>
    </w:p>
    <w:p w14:paraId="37BE4E86"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lastRenderedPageBreak/>
        <w:t xml:space="preserve">El Flujo Óptimo de Potencia permitirá hacer un uso óptimo de sus recursos de reactivos con el propósito de mejorar el control de voltajes de su red ejecutando un uso optimizado de sus recursos de VARs, mejorando en primera instancia la seguridad </w:t>
      </w:r>
      <w:r w:rsidRPr="00576AF8">
        <w:rPr>
          <w:rFonts w:eastAsia="Calibri"/>
          <w:sz w:val="22"/>
          <w:szCs w:val="22"/>
          <w:lang w:val="es-419" w:eastAsia="en-US" w:bidi="ar-SA"/>
        </w:rPr>
        <w:t>operativa de la red, por medio de la corrección de desvíos de voltaje con respecto a los límites y asegurándose que las capacidades de los equipos controlados no sean excedidas. Se espera disponer de las funciones objetivo de: minimización de pérdidas de potencia activa y reactiva, activación de mínimo número de controles y mínimo desvío del estado actual de operación del sistema.</w:t>
      </w:r>
    </w:p>
    <w:p w14:paraId="1AD73B4E"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 xml:space="preserve">Los recursos de controles de </w:t>
      </w:r>
      <w:r w:rsidR="001622FF" w:rsidRPr="00576AF8">
        <w:rPr>
          <w:rFonts w:eastAsia="Calibri"/>
          <w:sz w:val="22"/>
          <w:szCs w:val="22"/>
          <w:shd w:val="clear" w:color="auto" w:fill="F8F9FA"/>
          <w:lang w:val="es-419" w:eastAsia="en-US" w:bidi="ar-SA"/>
        </w:rPr>
        <w:t xml:space="preserve">la aplicación </w:t>
      </w:r>
      <w:r w:rsidRPr="00576AF8">
        <w:rPr>
          <w:rFonts w:eastAsia="Calibri"/>
          <w:sz w:val="22"/>
          <w:szCs w:val="22"/>
          <w:shd w:val="clear" w:color="auto" w:fill="F8F9FA"/>
          <w:lang w:val="es-419" w:eastAsia="en-US" w:bidi="ar-SA"/>
        </w:rPr>
        <w:t>son:</w:t>
      </w:r>
    </w:p>
    <w:p w14:paraId="4E0AE3E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Generadores (potencia reactiva y control de voltajes)</w:t>
      </w:r>
    </w:p>
    <w:p w14:paraId="12D5A9C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Condensadores </w:t>
      </w:r>
      <w:r w:rsidRPr="00576AF8" w:rsidDel="00A90B77">
        <w:rPr>
          <w:color w:val="000000"/>
          <w:sz w:val="22"/>
          <w:szCs w:val="22"/>
          <w:lang w:val="es-EC" w:eastAsia="es-EC" w:bidi="ar-SA"/>
        </w:rPr>
        <w:t xml:space="preserve">Sincrónicos </w:t>
      </w:r>
      <w:r w:rsidRPr="00576AF8">
        <w:rPr>
          <w:color w:val="000000"/>
          <w:sz w:val="22"/>
          <w:szCs w:val="22"/>
          <w:lang w:val="es-EC" w:eastAsia="es-EC" w:bidi="ar-SA"/>
        </w:rPr>
        <w:t>(potencia reactiva y control de voltajes)</w:t>
      </w:r>
    </w:p>
    <w:p w14:paraId="29DDF14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Bancos de Capacitores y Reactores</w:t>
      </w:r>
    </w:p>
    <w:p w14:paraId="427D47E5" w14:textId="77777777" w:rsidR="009102A7" w:rsidRPr="00576AF8" w:rsidRDefault="009102A7" w:rsidP="009102A7">
      <w:pPr>
        <w:numPr>
          <w:ilvl w:val="0"/>
          <w:numId w:val="284"/>
        </w:numPr>
        <w:suppressAutoHyphens w:val="0"/>
        <w:spacing w:after="0"/>
        <w:contextualSpacing/>
        <w:rPr>
          <w:color w:val="000000"/>
          <w:sz w:val="22"/>
          <w:szCs w:val="22"/>
        </w:rPr>
      </w:pPr>
      <w:r w:rsidRPr="00576AF8">
        <w:rPr>
          <w:color w:val="000000"/>
          <w:sz w:val="22"/>
          <w:szCs w:val="22"/>
          <w:lang w:val="es-EC" w:eastAsia="es-EC" w:bidi="ar-SA"/>
        </w:rPr>
        <w:t>Compensadores estáticos (SVC)</w:t>
      </w:r>
      <w:r w:rsidRPr="00576AF8">
        <w:rPr>
          <w:sz w:val="22"/>
          <w:szCs w:val="22"/>
        </w:rPr>
        <w:tab/>
      </w:r>
    </w:p>
    <w:p w14:paraId="5B3BEAA4"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Las restricciones del modelo de red a resolver son:</w:t>
      </w:r>
    </w:p>
    <w:p w14:paraId="24A5763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voltajes de las barras</w:t>
      </w:r>
    </w:p>
    <w:p w14:paraId="7AB5C1C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Límites de los Generadores (curvas de capacidad) y de los condensadores sincrónicos.</w:t>
      </w:r>
    </w:p>
    <w:p w14:paraId="29D7AAF0"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En lugar de hacer uso del caso base, a elección del operador, se podrá utilizar la peor contingencia para realizar todos los procesos de optimización que realiza esta aplicación.</w:t>
      </w:r>
    </w:p>
    <w:p w14:paraId="51C58324"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El Operador, podrá inhibir la selección automática de contingencias y elegir para su evaluación, la contingencia que, a su criterio, sea de mayor interés. Por ejemplo, la contingencia que tenga el mayor índice de severidad asociado a los voltajes y los reactivos.</w:t>
      </w:r>
    </w:p>
    <w:p w14:paraId="2144E0A2"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En los casos que, la optimización no pueda resolver completamente alguna restricción activa haciendo uso de los controles disponibles, proveerá la mejor opción de ajuste de los controles que alivien la restricción considerando, los límites definidos y en los casos en que no se pueda resolver la restricción, disponer de un algoritmo de relajación que permita disponer de una solución de compromiso, es decir, que sin resolver las restricciones activas deje al sistema en la mejor condición posible desde el punto de vista de control de voltajes.</w:t>
      </w:r>
    </w:p>
    <w:p w14:paraId="6A6A778C" w14:textId="77777777" w:rsidR="009102A7" w:rsidRPr="00576AF8" w:rsidRDefault="009102A7" w:rsidP="009102A7">
      <w:pPr>
        <w:numPr>
          <w:ilvl w:val="0"/>
          <w:numId w:val="3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shd w:val="clear" w:color="auto" w:fill="F8F9FA"/>
          <w:lang w:val="es-419" w:eastAsia="en-US" w:bidi="ar-SA"/>
        </w:rPr>
      </w:pPr>
      <w:r w:rsidRPr="00576AF8">
        <w:rPr>
          <w:rFonts w:eastAsia="Calibri"/>
          <w:sz w:val="22"/>
          <w:szCs w:val="22"/>
          <w:shd w:val="clear" w:color="auto" w:fill="F8F9FA"/>
          <w:lang w:val="es-419" w:eastAsia="en-US" w:bidi="ar-SA"/>
        </w:rPr>
        <w:t>Para la visualización de los resultados se contará con despliegues de control de ejecución y de presentación de resultados en forma tabular que faciliten la revisión y toma de decisiones por parte del Operador y que permitan aplicar los requerimientos indicados en estas especificaciones.</w:t>
      </w:r>
    </w:p>
    <w:p w14:paraId="117927C1" w14:textId="77777777" w:rsidR="009102A7" w:rsidRPr="00576AF8" w:rsidRDefault="009102A7" w:rsidP="009102A7">
      <w:pPr>
        <w:ind w:left="1416" w:right="41"/>
        <w:rPr>
          <w:b/>
          <w:sz w:val="22"/>
          <w:szCs w:val="22"/>
        </w:rPr>
      </w:pPr>
    </w:p>
    <w:p w14:paraId="6FF6CE2F" w14:textId="77777777" w:rsidR="009102A7" w:rsidRPr="00576AF8" w:rsidRDefault="009102A7" w:rsidP="009102A7">
      <w:pPr>
        <w:ind w:left="720" w:firstLine="696"/>
        <w:jc w:val="left"/>
        <w:outlineLvl w:val="2"/>
        <w:rPr>
          <w:sz w:val="22"/>
          <w:szCs w:val="22"/>
        </w:rPr>
      </w:pPr>
      <w:bookmarkStart w:id="945" w:name="_Toc149036461"/>
      <w:bookmarkStart w:id="946" w:name="_Toc158396646"/>
      <w:bookmarkStart w:id="947" w:name="_Toc160012869"/>
      <w:bookmarkStart w:id="948" w:name="_Toc160434879"/>
      <w:r w:rsidRPr="00576AF8">
        <w:rPr>
          <w:b/>
          <w:sz w:val="22"/>
          <w:szCs w:val="22"/>
        </w:rPr>
        <w:t>2.1.1.1.5 PRODUCCIÓN</w:t>
      </w:r>
      <w:bookmarkEnd w:id="945"/>
      <w:bookmarkEnd w:id="946"/>
      <w:bookmarkEnd w:id="947"/>
      <w:bookmarkEnd w:id="948"/>
    </w:p>
    <w:p w14:paraId="6A50CE51" w14:textId="77777777" w:rsidR="009102A7" w:rsidRPr="00576AF8" w:rsidRDefault="009102A7" w:rsidP="009102A7">
      <w:pPr>
        <w:ind w:left="1416"/>
        <w:rPr>
          <w:sz w:val="22"/>
          <w:szCs w:val="22"/>
          <w:lang w:val="es-EC"/>
        </w:rPr>
      </w:pPr>
      <w:r w:rsidRPr="00576AF8">
        <w:rPr>
          <w:color w:val="202124"/>
          <w:sz w:val="22"/>
          <w:szCs w:val="22"/>
          <w:lang w:val="es-EC"/>
        </w:rPr>
        <w:t>Las</w:t>
      </w:r>
      <w:r w:rsidRPr="00576AF8">
        <w:rPr>
          <w:sz w:val="22"/>
          <w:szCs w:val="22"/>
          <w:lang w:val="es-EC"/>
        </w:rPr>
        <w:t xml:space="preserve"> aplicaciones destinadas al control y monitoreo de la producción de la generación tienen relevancia dentro del contexto de estas especificaciones porque garantizarán el funcionamiento del sistema eléctrico ecuatoriano, coordinado por el CENACE, integrado al Mercado Andino Eléctrico Regional de Corto Plazo (MAERCP) conformado por tres países interconectados (Colombia, Ecuador, Perú). </w:t>
      </w:r>
    </w:p>
    <w:p w14:paraId="3907F356" w14:textId="77777777" w:rsidR="009102A7" w:rsidRPr="00576AF8" w:rsidRDefault="009102A7" w:rsidP="009102A7">
      <w:pPr>
        <w:ind w:left="1416"/>
        <w:rPr>
          <w:sz w:val="22"/>
          <w:szCs w:val="22"/>
          <w:lang w:val="es-EC"/>
        </w:rPr>
      </w:pPr>
      <w:r w:rsidRPr="00576AF8">
        <w:rPr>
          <w:color w:val="202124"/>
          <w:sz w:val="22"/>
          <w:szCs w:val="22"/>
          <w:lang w:val="es-EC"/>
        </w:rPr>
        <w:t>Según</w:t>
      </w:r>
      <w:r w:rsidRPr="00576AF8">
        <w:rPr>
          <w:sz w:val="22"/>
          <w:szCs w:val="22"/>
          <w:lang w:val="es-EC"/>
        </w:rPr>
        <w:t xml:space="preserve"> los reglamentos aprobados, el MAERCP estará conformado por un Coordinador Regional y tres Operadores de Mercado (uno por país), los cuales tendrán la responsabilidad de la operación segura de los sistemas eléctricos integrados a través de sistemas de transmisión. Para lograr el objetivo de mínimo costo de producción para el mercado regional, se tiene previsto utilizar modelos matemáticos para la ejecución del Despacho Económico Coordinado Regional.</w:t>
      </w:r>
    </w:p>
    <w:p w14:paraId="010EF207" w14:textId="77777777" w:rsidR="009102A7" w:rsidRPr="00576AF8" w:rsidRDefault="009102A7" w:rsidP="009102A7">
      <w:pPr>
        <w:ind w:left="1416"/>
        <w:rPr>
          <w:sz w:val="22"/>
          <w:szCs w:val="22"/>
          <w:lang w:val="es-EC"/>
        </w:rPr>
      </w:pPr>
      <w:r w:rsidRPr="00576AF8">
        <w:rPr>
          <w:sz w:val="22"/>
          <w:szCs w:val="22"/>
          <w:lang w:val="es-EC"/>
        </w:rPr>
        <w:lastRenderedPageBreak/>
        <w:t>La</w:t>
      </w:r>
      <w:r w:rsidRPr="00576AF8">
        <w:rPr>
          <w:color w:val="202124"/>
          <w:sz w:val="22"/>
          <w:szCs w:val="22"/>
          <w:shd w:val="clear" w:color="auto" w:fill="F8F9FA"/>
          <w:lang w:val="es-EC"/>
        </w:rPr>
        <w:t xml:space="preserve"> </w:t>
      </w:r>
      <w:r w:rsidRPr="00576AF8">
        <w:rPr>
          <w:sz w:val="22"/>
          <w:szCs w:val="22"/>
          <w:lang w:val="es-EC"/>
        </w:rPr>
        <w:t>operación segura del MAERCP, se fundamentará en el cumplimiento de Criterios de Calidad, Seguridad y Desempeño de los enlaces de interconexión eléctrica entre los países que conforman el mercado regional.</w:t>
      </w:r>
    </w:p>
    <w:p w14:paraId="3567AA78" w14:textId="77777777" w:rsidR="009102A7" w:rsidRPr="00576AF8" w:rsidRDefault="009102A7" w:rsidP="009102A7">
      <w:pPr>
        <w:ind w:left="1416"/>
        <w:rPr>
          <w:sz w:val="22"/>
          <w:szCs w:val="22"/>
          <w:lang w:val="es-EC"/>
        </w:rPr>
      </w:pPr>
      <w:r w:rsidRPr="00576AF8">
        <w:rPr>
          <w:sz w:val="22"/>
          <w:szCs w:val="22"/>
          <w:lang w:val="es-EC"/>
        </w:rPr>
        <w:t>Las responsabilidades de CENACE cómo Operador del Sistema en el MAERCP se resumen a continuación:</w:t>
      </w:r>
    </w:p>
    <w:p w14:paraId="650392B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sz w:val="22"/>
          <w:szCs w:val="22"/>
          <w:lang w:val="es-419" w:eastAsia="en-US" w:bidi="ar-SA"/>
        </w:rPr>
      </w:pPr>
      <w:r w:rsidRPr="00576AF8">
        <w:rPr>
          <w:rFonts w:eastAsia="Calibri"/>
          <w:sz w:val="22"/>
          <w:szCs w:val="22"/>
          <w:lang w:val="es-419" w:eastAsia="en-US" w:bidi="ar-SA"/>
        </w:rPr>
        <w:t>Mantener la operación de los enlaces internacionales dentro de los Criterios de Calidad, Seguridad y Desempeño establecidos en el Protocolo Operativo.</w:t>
      </w:r>
    </w:p>
    <w:p w14:paraId="5520429B"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color w:val="000000"/>
          <w:sz w:val="22"/>
          <w:szCs w:val="22"/>
          <w:lang w:val="es-419" w:eastAsia="en-US" w:bidi="ar-SA"/>
        </w:rPr>
      </w:pPr>
      <w:r w:rsidRPr="00576AF8">
        <w:rPr>
          <w:rFonts w:eastAsia="Calibri"/>
          <w:sz w:val="22"/>
          <w:szCs w:val="22"/>
          <w:lang w:val="es-419" w:eastAsia="en-US" w:bidi="ar-SA"/>
        </w:rPr>
        <w:t>Controlar, los niveles de intercambio resultantes del Despacho Económico Coordinado, en coordinación con los Operadores del Sistema de Perú y Colombia</w:t>
      </w:r>
    </w:p>
    <w:p w14:paraId="51A8232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color w:val="000000"/>
          <w:sz w:val="22"/>
          <w:szCs w:val="22"/>
          <w:lang w:val="es-419" w:eastAsia="en-US" w:bidi="ar-SA"/>
        </w:rPr>
      </w:pPr>
      <w:r w:rsidRPr="00576AF8">
        <w:rPr>
          <w:rFonts w:eastAsia="Calibri"/>
          <w:sz w:val="22"/>
          <w:szCs w:val="22"/>
          <w:lang w:val="es-419" w:eastAsia="en-US" w:bidi="ar-SA"/>
        </w:rPr>
        <w:t>Definir como Operador del Sistema las variables de intercambio en tiempo real que serán incorporadas a sus respectivos sistemas de supervisión en tiempo real.</w:t>
      </w:r>
    </w:p>
    <w:p w14:paraId="3A58754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color w:val="000000"/>
          <w:sz w:val="22"/>
          <w:szCs w:val="22"/>
          <w:lang w:val="es-419" w:eastAsia="en-US" w:bidi="ar-SA"/>
        </w:rPr>
      </w:pPr>
      <w:r w:rsidRPr="00576AF8">
        <w:rPr>
          <w:rFonts w:eastAsia="Calibri"/>
          <w:sz w:val="22"/>
          <w:szCs w:val="22"/>
          <w:lang w:val="es-419" w:eastAsia="en-US" w:bidi="ar-SA"/>
        </w:rPr>
        <w:t>Identificar o establecer las Restricciones Técnicas de los Enlaces Internacionales.</w:t>
      </w:r>
    </w:p>
    <w:p w14:paraId="6E97881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color w:val="000000"/>
          <w:sz w:val="22"/>
          <w:szCs w:val="22"/>
          <w:lang w:val="es-419" w:eastAsia="en-US" w:bidi="ar-SA"/>
        </w:rPr>
      </w:pPr>
      <w:r w:rsidRPr="00576AF8">
        <w:rPr>
          <w:rFonts w:eastAsia="Calibri"/>
          <w:sz w:val="22"/>
          <w:szCs w:val="22"/>
          <w:lang w:val="es-419" w:eastAsia="en-US" w:bidi="ar-SA"/>
        </w:rPr>
        <w:t>Cumplir con la coordinación, ejecución y supervisión de maniobras; la realización de pruebas; la coordinación de la operación de los Enlaces Internacionales; y, el intercambio de información y la comunicación entre sus centros de control.</w:t>
      </w:r>
    </w:p>
    <w:p w14:paraId="464CEB1E"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sz w:val="22"/>
          <w:szCs w:val="22"/>
          <w:lang w:val="es-419" w:eastAsia="en-US" w:bidi="ar-SA"/>
        </w:rPr>
      </w:pPr>
      <w:r w:rsidRPr="00576AF8">
        <w:rPr>
          <w:rFonts w:eastAsia="Calibri"/>
          <w:sz w:val="22"/>
          <w:szCs w:val="22"/>
          <w:lang w:val="es-419" w:eastAsia="en-US" w:bidi="ar-SA"/>
        </w:rPr>
        <w:t>Mantener informado al Coordinador Regional (CR) de todas las novedades inherentes a la operación de los enlaces internacionales.</w:t>
      </w:r>
    </w:p>
    <w:p w14:paraId="0FE4B50B"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hanging="360"/>
        <w:rPr>
          <w:rFonts w:eastAsia="Calibri"/>
          <w:sz w:val="22"/>
          <w:szCs w:val="22"/>
          <w:lang w:val="es-419" w:eastAsia="en-US" w:bidi="ar-SA"/>
        </w:rPr>
      </w:pPr>
      <w:r w:rsidRPr="00576AF8">
        <w:rPr>
          <w:rFonts w:eastAsia="Calibri"/>
          <w:sz w:val="22"/>
          <w:szCs w:val="22"/>
          <w:lang w:val="es-419" w:eastAsia="en-US" w:bidi="ar-SA"/>
        </w:rPr>
        <w:t>Cumplir con los requisitos de supervisión, control y comunicaciones establecidos en el Protocolo Operativo.</w:t>
      </w:r>
    </w:p>
    <w:p w14:paraId="540223FD"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36"/>
        <w:rPr>
          <w:rFonts w:eastAsia="Calibri"/>
          <w:sz w:val="22"/>
          <w:szCs w:val="22"/>
          <w:lang w:val="es-419" w:eastAsia="en-US" w:bidi="ar-SA"/>
        </w:rPr>
      </w:pPr>
    </w:p>
    <w:p w14:paraId="712B7534" w14:textId="77777777" w:rsidR="009102A7" w:rsidRPr="00576AF8" w:rsidRDefault="009102A7" w:rsidP="009102A7">
      <w:pPr>
        <w:ind w:left="1416"/>
        <w:rPr>
          <w:sz w:val="22"/>
          <w:szCs w:val="22"/>
          <w:lang w:val="es-EC"/>
        </w:rPr>
      </w:pPr>
      <w:r w:rsidRPr="00576AF8">
        <w:rPr>
          <w:sz w:val="22"/>
          <w:szCs w:val="22"/>
          <w:lang w:val="es-EC"/>
        </w:rPr>
        <w:t>La disponibilidad de herramientas de control de generación en línea, de monitoreo de servicios complementarios, de monitoreo de la seguridad e integridad operacional de las interconexiones, de la gestión de redespachos, requerirá del CENACE disponer del conjunto de herramientas de Control de la Generación aquí especificadas.</w:t>
      </w:r>
    </w:p>
    <w:p w14:paraId="2B3C32FE" w14:textId="77777777" w:rsidR="009102A7" w:rsidRPr="00576AF8" w:rsidRDefault="009102A7" w:rsidP="009102A7">
      <w:pPr>
        <w:ind w:left="1416"/>
        <w:rPr>
          <w:sz w:val="22"/>
          <w:szCs w:val="22"/>
          <w:lang w:val="es-EC"/>
        </w:rPr>
      </w:pPr>
      <w:r w:rsidRPr="00576AF8">
        <w:rPr>
          <w:sz w:val="22"/>
          <w:szCs w:val="22"/>
          <w:lang w:val="es-EC"/>
        </w:rPr>
        <w:t>En todas las aplicaciones a continuación será posible importar/exportar los parámetros y controles de la función desde/hacia un archivo de configuración y respaldo de esta información.</w:t>
      </w:r>
    </w:p>
    <w:p w14:paraId="3F7D11B7" w14:textId="77777777" w:rsidR="009102A7" w:rsidRPr="00576AF8" w:rsidRDefault="009102A7" w:rsidP="009102A7">
      <w:pPr>
        <w:ind w:left="708" w:right="41" w:firstLine="708"/>
        <w:rPr>
          <w:b/>
          <w:sz w:val="22"/>
          <w:szCs w:val="22"/>
        </w:rPr>
      </w:pPr>
      <w:bookmarkStart w:id="949" w:name="_Toc160434880"/>
    </w:p>
    <w:p w14:paraId="3C1D7259" w14:textId="77777777" w:rsidR="009102A7" w:rsidRPr="00576AF8" w:rsidRDefault="009102A7" w:rsidP="009102A7">
      <w:pPr>
        <w:ind w:left="720" w:firstLine="696"/>
        <w:jc w:val="left"/>
        <w:outlineLvl w:val="2"/>
        <w:rPr>
          <w:rFonts w:eastAsia="Arial"/>
          <w:b/>
          <w:sz w:val="22"/>
          <w:szCs w:val="22"/>
        </w:rPr>
      </w:pPr>
      <w:r w:rsidRPr="00576AF8">
        <w:rPr>
          <w:b/>
          <w:sz w:val="22"/>
          <w:szCs w:val="22"/>
        </w:rPr>
        <w:t xml:space="preserve">2.1.1.1.5.1 </w:t>
      </w:r>
      <w:r w:rsidRPr="00576AF8">
        <w:rPr>
          <w:rFonts w:eastAsia="Arial"/>
          <w:b/>
          <w:sz w:val="22"/>
          <w:szCs w:val="22"/>
        </w:rPr>
        <w:t>Control Automático de Generación AGC</w:t>
      </w:r>
      <w:bookmarkEnd w:id="949"/>
    </w:p>
    <w:p w14:paraId="50B88424" w14:textId="77777777" w:rsidR="009102A7" w:rsidRPr="00576AF8" w:rsidRDefault="009102A7" w:rsidP="009102A7">
      <w:pPr>
        <w:ind w:left="720" w:firstLine="696"/>
        <w:jc w:val="left"/>
        <w:outlineLvl w:val="2"/>
        <w:rPr>
          <w:bCs/>
          <w:sz w:val="22"/>
          <w:szCs w:val="22"/>
        </w:rPr>
      </w:pPr>
      <w:bookmarkStart w:id="950" w:name="_Toc148955172"/>
      <w:bookmarkStart w:id="951" w:name="_Toc158396648"/>
      <w:bookmarkStart w:id="952" w:name="_Toc160012871"/>
      <w:bookmarkStart w:id="953" w:name="_Toc160434881"/>
      <w:r w:rsidRPr="00576AF8">
        <w:rPr>
          <w:b/>
          <w:sz w:val="22"/>
          <w:szCs w:val="22"/>
        </w:rPr>
        <w:t xml:space="preserve">2.1.1.1.5.1.1 </w:t>
      </w:r>
      <w:r w:rsidRPr="00576AF8">
        <w:rPr>
          <w:b/>
          <w:bCs/>
          <w:sz w:val="22"/>
          <w:szCs w:val="22"/>
        </w:rPr>
        <w:t>Requerimientos Generales</w:t>
      </w:r>
      <w:bookmarkEnd w:id="950"/>
      <w:bookmarkEnd w:id="951"/>
      <w:bookmarkEnd w:id="952"/>
      <w:bookmarkEnd w:id="953"/>
    </w:p>
    <w:p w14:paraId="51B241AD"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El Control Automático de Generación (AGC) es una función centralizada que opera en tiempo real estableciendo lazos cerrados de control con las unidades consignadas para ser manejadas por esta aplicación. El AGC debe disponer interfaces directas con otras funciones orientadas a la operación económica, control de intercambios netos programados y de seguridad de los sistemas eléctricos.</w:t>
      </w:r>
    </w:p>
    <w:p w14:paraId="3E8E7991"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Esta aplicación debe estar totalmente integrada al SCADA y disponer interfaces directas a las funciones de Estimador de Estado (SE)</w:t>
      </w:r>
      <w:proofErr w:type="gramStart"/>
      <w:r w:rsidRPr="00576AF8">
        <w:rPr>
          <w:sz w:val="22"/>
          <w:szCs w:val="22"/>
          <w:lang w:val="es-EC" w:eastAsia="es-EC" w:bidi="ar-SA"/>
        </w:rPr>
        <w:t>, ,</w:t>
      </w:r>
      <w:proofErr w:type="gramEnd"/>
      <w:r w:rsidRPr="00576AF8">
        <w:rPr>
          <w:sz w:val="22"/>
          <w:szCs w:val="22"/>
          <w:lang w:val="es-EC" w:eastAsia="es-EC" w:bidi="ar-SA"/>
        </w:rPr>
        <w:t xml:space="preserve"> Flujo de Potencia Óptimo y el sistema Historiador.</w:t>
      </w:r>
    </w:p>
    <w:p w14:paraId="7ADA82D8"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 xml:space="preserve">El principal objetivo de control será mantener el error de control de área, ACE por sus siglas en inglés, del área de control del Ecuador, en cero. </w:t>
      </w:r>
    </w:p>
    <w:p w14:paraId="2BDA8A23"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Para que el ACE sea lo más cercano al valor cero, la aplicación de AGC debe realizar ajustes automáticos de la potencia de salida de los generadores controlables, de acuerdo con un conjunto de criterios y condiciones operativas de las unidades de generación participantes de este control y de condiciones de operación definidas para el sistema.</w:t>
      </w:r>
    </w:p>
    <w:p w14:paraId="79F22951"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 xml:space="preserve">Esta función se debe implementar sin ningún cambio en los circuitos de control o del hardware de la unidad generadora existente en la actualidad. Sin embargo, el </w:t>
      </w:r>
      <w:r w:rsidRPr="00576AF8">
        <w:rPr>
          <w:sz w:val="22"/>
          <w:szCs w:val="22"/>
          <w:lang w:val="es-EC" w:eastAsia="es-EC" w:bidi="ar-SA"/>
        </w:rPr>
        <w:lastRenderedPageBreak/>
        <w:t>Proveedor debe proponer interfaces (protocolos), para controlar las unidades que para el momento en que se publique esta especificación, estén siendo utilizadas o sean tendencia en la industria. El cambio de tipo de interfaz será flexible y no deberá tener limitaciones en cuanto a su aplicación en los casos que se considere conveniente.</w:t>
      </w:r>
    </w:p>
    <w:p w14:paraId="5A280900" w14:textId="77777777" w:rsidR="009102A7" w:rsidRPr="00576AF8" w:rsidRDefault="009102A7" w:rsidP="009102A7">
      <w:pPr>
        <w:ind w:left="1416" w:firstLine="708"/>
        <w:rPr>
          <w:rFonts w:eastAsia="Calibri"/>
          <w:sz w:val="22"/>
          <w:szCs w:val="22"/>
          <w:lang w:val="es-419" w:eastAsia="en-US" w:bidi="ar-SA"/>
        </w:rPr>
      </w:pPr>
    </w:p>
    <w:p w14:paraId="4CEE3983" w14:textId="77777777" w:rsidR="009102A7" w:rsidRPr="00576AF8" w:rsidRDefault="009102A7" w:rsidP="009102A7">
      <w:pPr>
        <w:ind w:left="1416" w:firstLine="708"/>
        <w:rPr>
          <w:sz w:val="22"/>
          <w:szCs w:val="22"/>
          <w:lang w:val="es-EC"/>
        </w:rPr>
      </w:pPr>
      <w:r w:rsidRPr="00576AF8">
        <w:rPr>
          <w:rFonts w:eastAsia="Calibri"/>
          <w:sz w:val="22"/>
          <w:szCs w:val="22"/>
          <w:lang w:val="es-419" w:eastAsia="en-US" w:bidi="ar-SA"/>
        </w:rPr>
        <w:t>Para que el AGC logre su objetivo de control</w:t>
      </w:r>
      <w:r w:rsidRPr="00576AF8">
        <w:rPr>
          <w:sz w:val="22"/>
          <w:szCs w:val="22"/>
          <w:lang w:val="es-EC"/>
        </w:rPr>
        <w:t xml:space="preserve"> debe:</w:t>
      </w:r>
    </w:p>
    <w:p w14:paraId="6A2141BC"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Leer y filtrar la frecuencia telemedida, medir el error de tiempo, la potencia activa de los generadores, y flujos por los enlaces con otras áreas de control y los valores programados de intercambios.</w:t>
      </w:r>
    </w:p>
    <w:p w14:paraId="18E3BFC3"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Calcular el Error de Control de Área ACE y aplicarle un filtro para minimizar acciones innecesarias sobre los generadores.</w:t>
      </w:r>
    </w:p>
    <w:p w14:paraId="744055FB"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 xml:space="preserve">Determinar los factores de participación de distribución según el método elegido y con base a las condiciones del ACE. </w:t>
      </w:r>
    </w:p>
    <w:p w14:paraId="632F7C96"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Determinar la porción de control de cada unidad en modo controlable, Error de Control de la Unidad, aplicando el tipo de factor de participación seleccionado.</w:t>
      </w:r>
    </w:p>
    <w:p w14:paraId="2FCB70D1"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 xml:space="preserve">Calcular la generación deseada para cada unidad basado en su modo de control. </w:t>
      </w:r>
    </w:p>
    <w:p w14:paraId="2AB3D21A"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Iniciar y monitorear las acciones de control para cada unidad.</w:t>
      </w:r>
    </w:p>
    <w:p w14:paraId="4F8FF08F"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Monitorear la reserva de generación: reserva operativa, reserva de regulación y reserva rodante.</w:t>
      </w:r>
    </w:p>
    <w:p w14:paraId="600C71DE"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Monitorear y registrar el desempeño del sistema de control de acuerdo con políticas de operación como las de la NERC (Policy 1).</w:t>
      </w:r>
    </w:p>
    <w:p w14:paraId="58793C45" w14:textId="77777777" w:rsidR="009102A7" w:rsidRPr="00576AF8" w:rsidRDefault="009102A7" w:rsidP="009102A7">
      <w:pPr>
        <w:numPr>
          <w:ilvl w:val="1"/>
          <w:numId w:val="323"/>
        </w:numPr>
        <w:suppressAutoHyphens w:val="0"/>
        <w:spacing w:after="0"/>
        <w:contextualSpacing/>
        <w:rPr>
          <w:sz w:val="22"/>
          <w:szCs w:val="22"/>
          <w:lang w:val="es-EC" w:eastAsia="es-EC" w:bidi="ar-SA"/>
        </w:rPr>
      </w:pPr>
      <w:r w:rsidRPr="00576AF8">
        <w:rPr>
          <w:sz w:val="22"/>
          <w:szCs w:val="22"/>
          <w:lang w:val="es-EC" w:eastAsia="es-EC" w:bidi="ar-SA"/>
        </w:rPr>
        <w:t>El AGC Inhibirá los controles hacia las unidades de generación controladas, al menos en los siguientes casos, cuando:</w:t>
      </w:r>
    </w:p>
    <w:p w14:paraId="3E0A0F1D"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Los datos requeridos para el cálculo del ACE sean inválidos</w:t>
      </w:r>
    </w:p>
    <w:p w14:paraId="22F2A287"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valor del ACE exceda los límites definidos</w:t>
      </w:r>
    </w:p>
    <w:p w14:paraId="5151EA76"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 desviación del intercambio neto exceda los límites definidos </w:t>
      </w:r>
    </w:p>
    <w:p w14:paraId="4E9C8D67"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No existan unidades bajo el control del AGC</w:t>
      </w:r>
    </w:p>
    <w:p w14:paraId="66E98EC5" w14:textId="77777777" w:rsidR="009102A7" w:rsidRPr="00576AF8" w:rsidRDefault="009102A7" w:rsidP="009102A7">
      <w:pPr>
        <w:numPr>
          <w:ilvl w:val="1"/>
          <w:numId w:val="16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Cuando se detecte congelamiento de uno de los intercambios o de la frecuencia controlada.</w:t>
      </w:r>
    </w:p>
    <w:p w14:paraId="2916FA0D"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27"/>
        <w:rPr>
          <w:rFonts w:eastAsia="Calibri"/>
          <w:sz w:val="22"/>
          <w:szCs w:val="22"/>
          <w:lang w:val="es-419" w:eastAsia="en-US" w:bidi="ar-SA"/>
        </w:rPr>
      </w:pPr>
    </w:p>
    <w:p w14:paraId="7183A06F" w14:textId="77777777" w:rsidR="009102A7" w:rsidRPr="00576AF8" w:rsidRDefault="009102A7" w:rsidP="009102A7">
      <w:pPr>
        <w:ind w:left="720" w:firstLine="696"/>
        <w:jc w:val="left"/>
        <w:outlineLvl w:val="2"/>
        <w:rPr>
          <w:bCs/>
          <w:sz w:val="22"/>
          <w:szCs w:val="22"/>
        </w:rPr>
      </w:pPr>
      <w:bookmarkStart w:id="954" w:name="_Toc160012872"/>
      <w:bookmarkStart w:id="955" w:name="_Toc160434882"/>
      <w:r w:rsidRPr="00576AF8">
        <w:rPr>
          <w:b/>
          <w:sz w:val="22"/>
          <w:szCs w:val="22"/>
        </w:rPr>
        <w:t xml:space="preserve">2.1.1.1.5.1.2 </w:t>
      </w:r>
      <w:r w:rsidRPr="00576AF8">
        <w:rPr>
          <w:b/>
          <w:bCs/>
          <w:sz w:val="22"/>
          <w:szCs w:val="22"/>
        </w:rPr>
        <w:t>Funcionalidades del AGC del CENACE</w:t>
      </w:r>
      <w:bookmarkEnd w:id="954"/>
      <w:bookmarkEnd w:id="955"/>
    </w:p>
    <w:p w14:paraId="61AEA8C0" w14:textId="77777777" w:rsidR="009102A7" w:rsidRPr="00576AF8" w:rsidRDefault="009102A7" w:rsidP="009102A7">
      <w:pPr>
        <w:ind w:left="2124" w:firstLine="12"/>
        <w:rPr>
          <w:sz w:val="22"/>
          <w:szCs w:val="22"/>
          <w:lang w:val="es-EC"/>
        </w:rPr>
      </w:pPr>
      <w:r w:rsidRPr="00576AF8">
        <w:rPr>
          <w:sz w:val="22"/>
          <w:szCs w:val="22"/>
          <w:lang w:val="es-EC"/>
        </w:rPr>
        <w:t>Las funcionalidades relacionadas con el AGC del sistema del Ecuador deben satisfacer los siguientes requerimientos:</w:t>
      </w:r>
    </w:p>
    <w:p w14:paraId="048CB348"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Periodicidad de ejecución (4 segundos).</w:t>
      </w:r>
    </w:p>
    <w:p w14:paraId="24C6895B"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Cálculo y control del Error de Control de Área (ACE) en múltiples modos de operación del AGC.  Se anticipa que el modo de Operación del AGC a utilizar más frecuentemente, será el modo de Control de Frecuencia e Intercambios Netos Constantes. El acrónimo de este modo debe identificarse como TLB (</w:t>
      </w:r>
      <w:r w:rsidRPr="00576AF8">
        <w:rPr>
          <w:i/>
          <w:sz w:val="22"/>
          <w:szCs w:val="22"/>
          <w:lang w:val="es-EC" w:eastAsia="es-EC" w:bidi="ar-SA"/>
        </w:rPr>
        <w:t>Tie Line Bias</w:t>
      </w:r>
      <w:r w:rsidRPr="00576AF8">
        <w:rPr>
          <w:sz w:val="22"/>
          <w:szCs w:val="22"/>
          <w:lang w:val="es-EC" w:eastAsia="es-EC" w:bidi="ar-SA"/>
        </w:rPr>
        <w:t>).</w:t>
      </w:r>
    </w:p>
    <w:p w14:paraId="6F902460"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Los modos de control a soportar serán al menos:  Control de Frecuencia (CF), Control de Intercambios Netos (NIC), Control de Frecuencia e Intercambios Netos Constantes (TLB), Seguimiento de Plan de Producción (CPP) y Control de Error de Tiempo en combinación con los métodos CF, NIC y TLB.</w:t>
      </w:r>
    </w:p>
    <w:p w14:paraId="07D0592F" w14:textId="77777777" w:rsidR="005272FA" w:rsidRPr="00576AF8" w:rsidRDefault="005272FA" w:rsidP="005272FA">
      <w:pPr>
        <w:numPr>
          <w:ilvl w:val="0"/>
          <w:numId w:val="334"/>
        </w:numPr>
        <w:suppressAutoHyphens w:val="0"/>
        <w:spacing w:after="0"/>
        <w:contextualSpacing/>
        <w:rPr>
          <w:sz w:val="22"/>
          <w:szCs w:val="22"/>
          <w:lang w:val="es-EC" w:eastAsia="es-EC" w:bidi="ar-SA"/>
        </w:rPr>
      </w:pPr>
      <w:r w:rsidRPr="00576AF8">
        <w:t xml:space="preserve">El AGC debe soportar un modo de Operación especial que se define cómo transaccional (TRANSAC).  En el modo TRANSAC se podrán considerar hasta tres bandas de reservas para la regulación secundaria.  La operación en modo de control TRANSAC debe considerarse un modo complementario y en todo momento podrá habilitarse cualquiera de los modos predefinidos </w:t>
      </w:r>
      <w:r w:rsidRPr="00576AF8">
        <w:lastRenderedPageBreak/>
        <w:t>para la corrección del ACE. El modo TRANSAC deberá habilitarse y deshabilitar en el menú principal de control del AGC.</w:t>
      </w:r>
    </w:p>
    <w:p w14:paraId="5EFA1F89"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En condiciones especiales de operación como islas eléctricas contenidas dentro del área de control de Ecuador o como islas interconectadas con áreas de control de países vecinos; el AGC debe configurarse de manera automática para operación en modo Multi-islas.  El número de Islas simultáneas a operar será de al menos 10.</w:t>
      </w:r>
    </w:p>
    <w:p w14:paraId="3C98C534"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Dado que el reconocimiento de islas requiere la topología de operación de la red, se solicita que El Proveedor explique de manera detallada su metodología de reconocimiento de operación en isla y de posterior reintegración de la red.  Si es necesario, anexará la documentación técnica de respaldo.</w:t>
      </w:r>
    </w:p>
    <w:p w14:paraId="4BD22E16"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En Operación en modo de Múltiples islas, el AGC debe funcionar con todos los modos de operación habilitados para el control del Error de Control de Área. Cada área podrá configurarse en cualquiera de los modos de operación permitidos.</w:t>
      </w:r>
    </w:p>
    <w:p w14:paraId="593EE5CC"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Cuando el AGC se encuentre en el modo de operación TLB, si se produjera una pérdida de la referencia de las mediciones de intercambio, el AGC por seguridad deberá cambiar automáticamente al modo Control de Frecuencia CF con el área interna o externa que haya perdido las mediciones y un evento será generado en el sistema.  De la misma manera, si cuando el AGC se encuentre en modo de operación TLB y existe una desconexión súbita de todos los enlaces de una o todas las áreas internas o externas interconectadas, el AGC por seguridad deberá cambiar automáticamente al modo Control de Frecuencia CF con el área interna o externa que se haya desconectado y un evento será enviado al operador.</w:t>
      </w:r>
    </w:p>
    <w:p w14:paraId="5D029AD9"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El ACE será calculado con base a la suma de obligaciones originadas desde distintos parámetros del sistema. El origen de estas obligaciones puede ser principalmente por desvíos de la frecuencia con respecto a una frecuencia programada, desvíos del intercambio con respecto a los intercambios netos programados (Intercambio neto constante).</w:t>
      </w:r>
    </w:p>
    <w:p w14:paraId="47FB6B92"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El cálculo de las obligaciones para la corrección del error de tiempo en períodos horarios deberá ser implementada en el AGC del CENACE.</w:t>
      </w:r>
    </w:p>
    <w:p w14:paraId="135A99BB"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Dado que el cálculo del ACE está sujeto a componentes de ruido asociado a la propia demanda y la interacción electromecánica de los generadores, el AGC debe contar con un filtro configurable que permita determinar un ACE filtrado, que elimine la mayor cantidad de ruido posible. El filtro de doble componente exponencial y tendencial de la NERC será uno de los métodos de filtrado del ACE.</w:t>
      </w:r>
    </w:p>
    <w:p w14:paraId="15C85EAC"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 xml:space="preserve">Las obligaciones de regulación de frecuencia del ACE serán calculadas con base a factores de Bias de frecuencia definidos en unidades de MW/décimas de Hz (MW/.1 Hz). </w:t>
      </w:r>
    </w:p>
    <w:p w14:paraId="42E4A7C1"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Debe existir un tipo especial de obligaciones, cuyo propósito específico es la corrección de errores acumulados de energía neta intercambiada por intervalos horarios. Esta obligación, debe estar activa de forma permanente, es decir, que durante cada intervalo de un (1) minuto dentro de la hora, debe calcularse el error de energía neta intercambiada y la misma se convertirá en una obligación, cuya corrección se realizará en cada ciclo de ejecución del AGC dentro de la misma hora. Alternativamente se podrá realizar la corrección con base a intervalos de tiempo horario definidos por el operador. En estos casos la corrección del desvío de la energía neta intercambiada estará bajo la responsabilidad del Operador quien coordinará la estrategia de corrección.</w:t>
      </w:r>
    </w:p>
    <w:p w14:paraId="59046497"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Para garantizar que el ACE cruce por cero en intervalos regulares y no ocurran valores del ACE con un error persistente y del mismo signo dentro del límite de banda muerta de control; el AGC debe disponer de un algoritmo que permita la integración del error de ACE que se acumula en la zona muerta, y por comparación contra una referencia iniciar una acción de control para eliminar este tipo de errores.</w:t>
      </w:r>
    </w:p>
    <w:p w14:paraId="1893C7A7"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lastRenderedPageBreak/>
        <w:t>El ACE será asignado a unidades individuales en modos controlables para regulación por medio de factores de participación. Estos factores de participación definirán la forma cómo el ACE será convertido en errores de control de unidades. El método de cálculo de los factores de participación será seleccionable por el Operador. Se espera disponer de factores de participación diferenciados a subir o bajar, basados en márgenes de regulación, límites de regulación, velocidad de respuesta, margen de regulación combinado con velocidad de respuesta, determinado manualmente, importados desde la planeación de producción o asignados de forma automática desde aplicaciones relacionadas al control de la producción que lean las ofertas de precio disponibles para servicios complementarios. El Proveedor debe demostrar la flexibilidad de su producto AGC para aceptar otros métodos de cálculos de Factores de Participación distintos a los aquí descritos.</w:t>
      </w:r>
    </w:p>
    <w:p w14:paraId="785F207D"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 xml:space="preserve">A partir de los valores disponibles en las unidades, el algoritmo del AGC debe calcular en todo momento la reserva de regulación a subir y bajar para el área de control. Adicionalmente debe calcular la rampa disponible a subir y a bajar disponible en las unidades en modos controlables por el AGC. Estas magnitudes serán supervisadas con base a límites fijados por el Operador, generando alarmas por insuficiencia de regulación.  Los límites de reserva de regulación podrán ajustarse de forma automática con base a variables representativas de la variabilidad del componente de generación renovable variable.  Los límites de reserva mínima de regulación y de rampa podrán ser telemedidos o provenientes de valores asociados al plan de producción del momento. </w:t>
      </w:r>
    </w:p>
    <w:p w14:paraId="746E5EE8" w14:textId="77777777" w:rsidR="009102A7" w:rsidRPr="00576AF8" w:rsidRDefault="009102A7" w:rsidP="009102A7">
      <w:pPr>
        <w:numPr>
          <w:ilvl w:val="0"/>
          <w:numId w:val="334"/>
        </w:numPr>
        <w:suppressAutoHyphens w:val="0"/>
        <w:spacing w:after="0"/>
        <w:contextualSpacing/>
        <w:rPr>
          <w:sz w:val="22"/>
          <w:szCs w:val="22"/>
          <w:lang w:val="es-EC" w:eastAsia="es-EC" w:bidi="ar-SA"/>
        </w:rPr>
      </w:pPr>
      <w:r w:rsidRPr="00576AF8">
        <w:rPr>
          <w:sz w:val="22"/>
          <w:szCs w:val="22"/>
          <w:lang w:val="es-EC" w:eastAsia="es-EC" w:bidi="ar-SA"/>
        </w:rPr>
        <w:t>Las unidades que se habiliten para participar en el control de la generación deben disponer de modos de control que se diferenciarán en función del modo cómo se determina la potencia a controlar:</w:t>
      </w:r>
    </w:p>
    <w:p w14:paraId="493BE217" w14:textId="77777777" w:rsidR="009102A7" w:rsidRPr="00576AF8" w:rsidRDefault="009102A7" w:rsidP="009102A7">
      <w:pPr>
        <w:suppressAutoHyphens w:val="0"/>
        <w:spacing w:after="0"/>
        <w:ind w:left="2486"/>
        <w:contextualSpacing/>
        <w:rPr>
          <w:sz w:val="22"/>
          <w:szCs w:val="22"/>
          <w:lang w:val="es-EC" w:eastAsia="es-EC" w:bidi="ar-SA"/>
        </w:rPr>
      </w:pPr>
    </w:p>
    <w:p w14:paraId="195D7748" w14:textId="77777777" w:rsidR="009102A7" w:rsidRPr="00576AF8" w:rsidRDefault="009102A7" w:rsidP="009102A7">
      <w:pPr>
        <w:numPr>
          <w:ilvl w:val="0"/>
          <w:numId w:val="27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Un valor Base, ajustado por el Operador; </w:t>
      </w:r>
    </w:p>
    <w:p w14:paraId="31B5C05A" w14:textId="77777777" w:rsidR="009102A7" w:rsidRPr="00576AF8" w:rsidRDefault="009102A7" w:rsidP="009102A7">
      <w:pPr>
        <w:numPr>
          <w:ilvl w:val="0"/>
          <w:numId w:val="27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Importada desde un Plan de Producción previamente aprobado para el despacho de la generación. </w:t>
      </w:r>
    </w:p>
    <w:p w14:paraId="24A10334" w14:textId="77777777" w:rsidR="009102A7" w:rsidRPr="00576AF8" w:rsidRDefault="009102A7" w:rsidP="009102A7">
      <w:pPr>
        <w:numPr>
          <w:ilvl w:val="0"/>
          <w:numId w:val="27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Variantes de estos modos de operación permitirán incorporar a estas unidades en el servicio de corrección del ACE, en cuyo caso el AGC enviará consignas de potencia para cambiar la potencia de salida de las unidades en los distintos modos con el fin de reducir el ACE, pero en intervalos permisivos configurables, permitiendo que la unidad se mueva hacia la potencia de referencia (base, económica o programada).</w:t>
      </w:r>
    </w:p>
    <w:p w14:paraId="5004B8CF" w14:textId="77777777" w:rsidR="009102A7" w:rsidRPr="00576AF8" w:rsidRDefault="009102A7" w:rsidP="009102A7">
      <w:pPr>
        <w:rPr>
          <w:rFonts w:eastAsia="Calibri"/>
          <w:sz w:val="22"/>
          <w:szCs w:val="22"/>
          <w:lang w:val="es-419" w:eastAsia="en-US" w:bidi="ar-SA"/>
        </w:rPr>
      </w:pPr>
    </w:p>
    <w:p w14:paraId="6032ABA6"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modos principales de control de las unidades en AGC será Automático que regula dentro de los márgenes de regulación de la unidad y Base Regulante que consiste en la regulación alrededor de una potencia base.</w:t>
      </w:r>
    </w:p>
    <w:p w14:paraId="12EFDFF7"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 debe disponer de otros modos de control de las unidades que permitan tipificar el estado de operación de las unidades permitiendo diferenciar si están despachadas desde la central, sin control de lazo cerrado desde el AGC. Este modo de operación se identifica cómo Manual. </w:t>
      </w:r>
    </w:p>
    <w:p w14:paraId="176FC659"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Entre los modos de operación Manual existirán variantes para permitir al operador del AGC diferenciar las unidades en servicio operando en modo de condensador sincrónico, centrales renovables variables con ajuste de límite de corte y sin esta capacidad, unidades en operación en modo rebombeo. </w:t>
      </w:r>
    </w:p>
    <w:p w14:paraId="3618FFFA"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 xml:space="preserve">Las unidades del tipo renovable variable con capacidad de corte deben identificarse con un tipo específico de modo de operación. </w:t>
      </w:r>
    </w:p>
    <w:p w14:paraId="7820E3C5"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centrales de renovables variables deben leer los pronósticos de producción como si correspondiesen a su plan de producción. En este nivel, no debe existir diferencia entre una central renovable variable y un generador convencional. Para estas unidades, el AGC debe estar en capacidad de utilizarlas cómo recurso de control para el control de la frecuencia. En este caso se debe contar con mecanismos de habilitación selectiva de esta capacidad de control.</w:t>
      </w:r>
    </w:p>
    <w:p w14:paraId="20CF077C"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 los propósitos del AGC, los Bancos de Baterías con capacidad de ajuste de la potencia entregada, podrán ser tratados cómo unidades despachables para las cuales se debe hacer un monitoreo continuo de su condición de carga (</w:t>
      </w:r>
      <w:r w:rsidRPr="00576AF8">
        <w:rPr>
          <w:rFonts w:eastAsia="Calibri"/>
          <w:i/>
          <w:sz w:val="22"/>
          <w:szCs w:val="22"/>
          <w:lang w:val="es-419" w:eastAsia="en-US" w:bidi="ar-SA"/>
        </w:rPr>
        <w:t>State of Charge</w:t>
      </w:r>
      <w:r w:rsidRPr="00576AF8">
        <w:rPr>
          <w:rFonts w:eastAsia="Calibri"/>
          <w:sz w:val="22"/>
          <w:szCs w:val="22"/>
          <w:lang w:val="es-419" w:eastAsia="en-US" w:bidi="ar-SA"/>
        </w:rPr>
        <w:t>). Parámetros cómo tiempo de descarga, tiempo para restitución a plena carga, será estimados por el AGC con base al modelo del banco de baterías o telemedidos desde la propia unidad. El AGC debe considerar datos estadísticos asociados a la operación de baterías en servicio de control secundario de generación. Por ejemplo, ciclos de carga/descarga acumulados, variaciones de potencia por unidad de tiempo, entre otros.</w:t>
      </w:r>
    </w:p>
    <w:p w14:paraId="415EF0E5"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realizar el cálculo de distintos tipos de reserva, las unidades fuera de línea deben disponer estados diferenciados que permitan conocer su disponibilidad efectiva. Estos estados serán Indisponible-Permanente e Indisponible.  Ambos estados serán representativos de una operación fuera de línea.</w:t>
      </w:r>
    </w:p>
    <w:p w14:paraId="724C5AA7"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las unidades modeladas en el AGC se deben considerar los siguientes límites, configurables en línea para cada uno de los generadores:</w:t>
      </w:r>
    </w:p>
    <w:p w14:paraId="763EB439"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de Capacidad Máxima</w:t>
      </w:r>
    </w:p>
    <w:p w14:paraId="5E94DCC6"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Máximo de Regulación</w:t>
      </w:r>
    </w:p>
    <w:p w14:paraId="0FE691B1"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Máximo Económico</w:t>
      </w:r>
    </w:p>
    <w:p w14:paraId="1B6FED26"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Mínimo Económico</w:t>
      </w:r>
    </w:p>
    <w:p w14:paraId="2FE986F9"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Mínimo De Regulación</w:t>
      </w:r>
    </w:p>
    <w:p w14:paraId="2CEBD2D4"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de Capacidad Mínima</w:t>
      </w:r>
    </w:p>
    <w:p w14:paraId="6E03D6B8"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de Rampa de toma de carga</w:t>
      </w:r>
    </w:p>
    <w:p w14:paraId="24514A88" w14:textId="77777777" w:rsidR="009102A7" w:rsidRPr="00576AF8" w:rsidRDefault="009102A7" w:rsidP="009102A7">
      <w:pPr>
        <w:numPr>
          <w:ilvl w:val="3"/>
          <w:numId w:val="3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Límite de Rampa de baja de carga</w:t>
      </w:r>
    </w:p>
    <w:p w14:paraId="5DA4F648"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Adicionalmente, el AGC, debe permitir la definición de al menos dos (2) zonas prohibidas de operación de la unidad dentro del rango de regulación.</w:t>
      </w:r>
    </w:p>
    <w:p w14:paraId="1C890ECF"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unidades que participen en el AGC será despachadas dentro de sus límites superiores e inferiores de regulación, los cuales podrán ser actualizados de forma manual o telemedidos desde la central.</w:t>
      </w:r>
    </w:p>
    <w:p w14:paraId="5109EF31"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Cualquier desvío de la potencia de las unidades con respecto a sus límites de capacidad y/o de regulación se reportará mediante alarmas al Operador.</w:t>
      </w:r>
    </w:p>
    <w:p w14:paraId="052A1C65"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adición a los límites de regulación, los límites superiores e inferiores económicos de las unidades será considerados por las unidades económicamente despachadas.</w:t>
      </w:r>
    </w:p>
    <w:p w14:paraId="3B901041"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 xml:space="preserve">El AGC tendrá la posibilidad de recibir límites de Seguridad, los cuales serán más restrictivos que los límites de regulación, y tomarán precedencia sobre los mismos. En estas situaciones las lógicas del AGC deben despachar a las unidades </w:t>
      </w:r>
      <w:r w:rsidRPr="00576AF8">
        <w:rPr>
          <w:rFonts w:eastAsia="Calibri"/>
          <w:sz w:val="22"/>
          <w:szCs w:val="22"/>
          <w:lang w:val="es-419" w:eastAsia="en-US" w:bidi="ar-SA"/>
        </w:rPr>
        <w:lastRenderedPageBreak/>
        <w:t>dentro de estos límites.  Mediante este artificio de ajuste de límite, podrá utilizarse a las unidades en modos controlables del AGC como controles de potencia activa de los algoritmos de corrección de restricciones operacionales activas, cómo excedencias de flujos de potencia en enlaces de transmisión, requerimientos de reserva rodante entre otros.</w:t>
      </w:r>
    </w:p>
    <w:p w14:paraId="20CC64FB"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Soporte para pulsos de subida/bajada (configurables cortos y largos) y control por medio de consignas (absolutas o incrementales). Las consignas serán redondeadas en valores enteros de potencia activa. Sin embargo, se debe poder configurar al AGC para el envío de consignas redondeadas a una décima de MW.</w:t>
      </w:r>
    </w:p>
    <w:p w14:paraId="5C4AC314"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Posibilidad de modelado y de control desde el AGC, de unidades en Ciclo Combinado de Gas, considerando múltiples configuraciones hasta un máximo de 3GT-2ST.  (3 Turbinas a gas y 2 turbinas de vapor)</w:t>
      </w:r>
    </w:p>
    <w:p w14:paraId="3B2AC490"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Soporte de operación de centrales en modo Grupo o Individual. Bajo esta representación la central podrá operar mediante una única consigna grupal, emitida desde el AGC para todas las unidades definidas por el operador para operar en modo Grupo. El control de las unidades definidas para operación individual se mantendrá por medio de lazos independientes de control por parte del AGC.  Las variables para la operación en Grupo, tales como límites de regulación y las rampas, serán el resultado de agregar las variables de las unidades consignadas a operar en este modo.</w:t>
      </w:r>
    </w:p>
    <w:p w14:paraId="72C38A2C"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Soporte de modelado de unidad en forma Agregada. Una central podrá ser representada cómo una única unidad equivalente a los propósitos del AGC. En este caso, los valores de referencias requeridos para despacharse deberán ser provistos desde la central Agregada. Por ejemplo, los límites de regulación superior e inferior, las rampas a subir y bajar entre otros.</w:t>
      </w:r>
    </w:p>
    <w:p w14:paraId="5298AD39"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En adición de la disponibilidad de un modo de control dedicado para el manejo de las centrales eólicas y solares, el AGC debe incluir funcionalidades para el seguimiento y totalización de producción eólica. Contadores de tiempo deben permitir el monitoreo de tiempo con consigna de corte y el valor solicitado. Estos valores serán historiados para los cálculos post-operacionales y de consolidación y cierre de ciclos de mercado.</w:t>
      </w:r>
    </w:p>
    <w:p w14:paraId="463A4BA2"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El AGC soportará al menos dos mediciones de potencia activa de cada generador y/o línea de intercambio, y será posible seleccionar la medición a utilizar con base a una prioridad predeterminada dependiendo de la calidad de la medición; se podrá utilizar los resultados del Estimador de Estado como una fuente de medición adicional para las unidades de generación y líneas de interconexión.</w:t>
      </w:r>
    </w:p>
    <w:p w14:paraId="45745D38"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permitirá la sintonización de cada unidad de generación en un modo de control especial de Prueba.  Bajo este modo de control, todos los lazos de control internos del AGC para la unidad quedarán inhabilitados y las consignas o pulsos seleccionados serán enviados directamente a la unidad de generación.</w:t>
      </w:r>
    </w:p>
    <w:p w14:paraId="1C28FF3E"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lazos de control de las unidades controladas por el AGC serán individuales por cada generador. Estos lazos deben modelar las restricciones operacionales del generador bajo el AGC, con el fin de realizar controles de manera equivalente a la que se realizaría desde el control centralizado de la central. El Proveedor debe describir las lógicas que tiene disponibles para estos propósitos. Debe disponer al menos, lógicas de seguimiento de respuesta de las unidades (</w:t>
      </w:r>
      <w:r w:rsidRPr="00576AF8">
        <w:rPr>
          <w:rFonts w:eastAsia="Calibri"/>
          <w:i/>
          <w:sz w:val="22"/>
          <w:szCs w:val="22"/>
          <w:lang w:val="es-419" w:eastAsia="en-US" w:bidi="ar-SA"/>
        </w:rPr>
        <w:t>unit tracking</w:t>
      </w:r>
      <w:r w:rsidRPr="00576AF8">
        <w:rPr>
          <w:rFonts w:eastAsia="Calibri"/>
          <w:sz w:val="22"/>
          <w:szCs w:val="22"/>
          <w:lang w:val="es-419" w:eastAsia="en-US" w:bidi="ar-SA"/>
        </w:rPr>
        <w:t xml:space="preserve">), lógica de reconocimiento y control de rampa excesiva, contadores de operaciones y retardos de procesamiento, acumuladores de error de unidad, compensación en adelanto y/o retardo, entre otras.  Las lógicas deben considerar recursos que eviten </w:t>
      </w:r>
      <w:r w:rsidRPr="00576AF8">
        <w:rPr>
          <w:rFonts w:eastAsia="Calibri"/>
          <w:sz w:val="22"/>
          <w:szCs w:val="22"/>
          <w:lang w:val="es-419" w:eastAsia="en-US" w:bidi="ar-SA"/>
        </w:rPr>
        <w:lastRenderedPageBreak/>
        <w:t>sobre controlar las unidades en condiciones de saturación de su controlador.  El Proveedor debe realizar una descripción de las lógicas configurables dentro de su sistema AGC.</w:t>
      </w:r>
    </w:p>
    <w:p w14:paraId="6BD4B574"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Interfaz flexible con el sistema Historiador para guardar cualquier variable utilizada por el AGC en su operación y/o sintonización, esto incluye variables calculadas intermedias. Todo valor relacionado con la configuración y operación asociado a una unidad de generación y/o líneas de intercambios, cálculos intermedios de variables de control, modos de operación, estados de control y demás variables será posible configurarse para su registro en el sistema historiador en frecuencias y períodos de retención configurables.</w:t>
      </w:r>
    </w:p>
    <w:p w14:paraId="5A420B5D"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Con base al valor del ACE, el AGC reconocerá si se encuentra en un rango de operación considerado Normal, en el cual el ACE es convertido en errores de control de unidad con base al método de cálculo de los factores de participación seleccionados.  Alternativamente el ACE puede encontrarse en un rango de Asistencia de Emergencia, excediéndose un umbral predefinido del ACE, sobre el cual factores de participación de Emergencia son utilizados para distribuir el ACE resultante por encima del umbral de Asistencia de Emergencia.  En condiciones de Asistencia de Emergencia, a todas las unidades solo se permitirá movimiento de potencia que reduzcan el ACE total del sistema.</w:t>
      </w:r>
    </w:p>
    <w:p w14:paraId="32BAE21A"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excedencia de un umbral de ACE debe activar el modo de Monitoreo del AGC.  En este modo, el AGC no enviará controles sobre las unidades bajo su control, sin embargo, se realizará el monitoreo de sus valores y el AGC continuará calculando el ACE y demás parámetros necesarios. En este caso, un conjunto de condiciones será evaluadas para determinar si esta condición es temporal o debe el AGC entrar en modo Apagado. En modo de Monitoreo, el AGC debe continuar con todos los cálculos requeridos para retomar el control de forma inmediata. En modo Apagado, el Operador deberá preparar y restablecer las condiciones previas y de configuración de modos de control de las unidades de generación, antes de reiniciar el AGC. Aún en el modo Apagado, el AGC debe ejecutar todos los procesos asociados a la adquisición de datos, cálculos y totalización de las variables del sistema como generación y demanda total, intercambio neto, entre otras. Sólo aquellas funciones asociadas al control de las unidades quedarán inhibidas en su totalidad. En adición al valor del ACE como referencia para entrar en modo Monitoreo, el AGC debe cambiar a este modo en caso de que los valores de las obligaciones individuales excedan de un límite preestablecido, se carezca de medida de frecuencia o se pierda una o más mediciones de intercambios que impidan calcular el intercambio neto, entre otras. Un contador de tiempo, con un límite ajustable por el Operador, debe forzar el AGC a modo Apagado en caso de que el tiempo en estado de Monitoreo se exceda del valor especificado.</w:t>
      </w:r>
    </w:p>
    <w:p w14:paraId="4680C7D3"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desempeño del AGC debe monitorearse a través de los criterios de desempeño recomendados en la versión actual del manual NERC. Se deben mantener estadísticas según sea necesario para completar la Encuesta de Criterios de Desempeño de control NERC definida en el manual. El estándar de referencia NERC evalúa el desempeño del AGC mediante el índice “Control Performance Standard 1 (CPS1)” para cada período de 12 meses calendario consecutivos anteriores. Además, también se evaluarán el desempeño en relación con el índice </w:t>
      </w:r>
      <w:r w:rsidRPr="00576AF8">
        <w:rPr>
          <w:rFonts w:eastAsia="Calibri"/>
          <w:i/>
          <w:sz w:val="22"/>
          <w:szCs w:val="22"/>
          <w:lang w:val="es-419" w:eastAsia="en-US" w:bidi="ar-SA"/>
        </w:rPr>
        <w:t>Balancing Authority ACE Limit</w:t>
      </w:r>
      <w:r w:rsidRPr="00576AF8">
        <w:rPr>
          <w:rFonts w:eastAsia="Calibri"/>
          <w:sz w:val="22"/>
          <w:szCs w:val="22"/>
          <w:lang w:val="es-419" w:eastAsia="en-US" w:bidi="ar-SA"/>
        </w:rPr>
        <w:t xml:space="preserve"> (BAAL) y el Estándar de Condiciones de Disturbio (</w:t>
      </w:r>
      <w:r w:rsidRPr="00576AF8">
        <w:rPr>
          <w:rFonts w:eastAsia="Calibri"/>
          <w:i/>
          <w:sz w:val="22"/>
          <w:szCs w:val="22"/>
          <w:lang w:val="es-419" w:eastAsia="en-US" w:bidi="ar-SA"/>
        </w:rPr>
        <w:t>DCS Disturbance Control Standard</w:t>
      </w:r>
      <w:r w:rsidRPr="00576AF8">
        <w:rPr>
          <w:rFonts w:eastAsia="Calibri"/>
          <w:sz w:val="22"/>
          <w:szCs w:val="22"/>
          <w:lang w:val="es-419" w:eastAsia="en-US" w:bidi="ar-SA"/>
        </w:rPr>
        <w:t>), tal y cómo lo define la NERC.</w:t>
      </w:r>
    </w:p>
    <w:p w14:paraId="557ED553"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 medición de la frecuencia utilizada en AGC será proporcionada por transductores de frecuencia de alta precisión que permitan su monitoreo desde </w:t>
      </w:r>
      <w:r w:rsidRPr="00576AF8">
        <w:rPr>
          <w:rFonts w:eastAsia="Calibri"/>
          <w:sz w:val="22"/>
          <w:szCs w:val="22"/>
          <w:lang w:val="es-419" w:eastAsia="en-US" w:bidi="ar-SA"/>
        </w:rPr>
        <w:lastRenderedPageBreak/>
        <w:t>múltiples puntos del sistema eléctrico. Si es posible, los datos de las mediciones de frecuencia deben leerse mediante conexiones directas y no mediante el proceso de telemetría SCADA. Una lista de prioridades de estas frecuencias debe estar disponible y modificable por el Operador. El valor de la frecuencia principal debe proporcionar la medición de frecuencia de referencia para la función AGC. En caso de falla de la frecuencia principal, el AGC debe seleccionar automáticamente con base a una prioridad, la próxima frecuencia a utilizar. Recursos para la validación por consistencia de estas frecuencias deben estar disponibles y con capacidad de emitir alarmas o advertencias por desvíos entre los valores de frecuencia. Las centrales consideradas para operar en Isla deben disponer al menos una medida de medición de frecuencia, la cual será integrada entre las frecuencias seleccionables por el AGC. El AGC debe soportar al menos 100 mediciones de frecuencia.</w:t>
      </w:r>
    </w:p>
    <w:p w14:paraId="7DCAABAA"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Indicadores de Desempeño de unidades bajo control del AGC de manera individual o en modo grupo: Se deben disponer de los indicadores necesarios para monitorear el desempeño horario de los generadores tanto en modo individual como en modo grupo, en respuesta a los controles del AGC, tales como: Número de Controles de Subida y Bajada, Efectividad en Incrementos de Potencia, Efectividad en Decrementos de Potencia, Efectividad Total las unidades en control, Inversiones de potencia por hora de operación, total de comandos a subir y bajar, etc.   </w:t>
      </w:r>
    </w:p>
    <w:p w14:paraId="632882C8"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generadores podrán disponer al menos dos juegos de parámetros de sintonización. Esta implementación permitirá establecer condiciones especiales de operación para unidades que, por razones de estabilidad del sistema, deban controlarse con otros límites de capacidad máxima. Este requerimiento debe incluir la posibilidad de almacenar y recuperar desde archivos, todos los parámetros de ajuste y sintonización del AGC, incluyendo los parámetros de las unidades.</w:t>
      </w:r>
    </w:p>
    <w:p w14:paraId="242E0D65"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AGC debe contar con despliegues orientados al Operador que le permitan una rápida visualización del estado de funcionamiento y desempeño del control de la generación.  Estos despliegues pueden ser de tipo tabular, que exploten al máximo la funcionalidad del IHM del Proveedor en lo relativo a gráficos embebidos auto generados desde tabulares, soportando configuraciones de visualización personalizadas por el operador.</w:t>
      </w:r>
    </w:p>
    <w:p w14:paraId="15C4B442"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 xml:space="preserve">La entrada de datos y/o modificación de parámetros del sistema, debe estar sometida a pruebas de enclavamiento y razonabilidad de los datos, para garantizar que ningún valor equivocado comprometa la integridad de la función de control automático de la generación. La interfaz del AGC debe contener validaciones y enclavamientos que garanticen que los cambios de modo de control no produzcan variaciones no previstas de los controles de potencia activa de los generadores. </w:t>
      </w:r>
    </w:p>
    <w:p w14:paraId="36441647"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El AGC en su operación, debe incluir lógicas de procesamiento inteligente que cambien los modos de control de las unidades en control de AGC en forma automática, desde modos de control con capacidad de control a modos de control sin la misma. Estas lógicas podrán detectar entre otros, cuando una unidad cambia de consigna REMOTA a LOCAL desde la central, cuando cambia su estado de conexión de la red por apertura de un interruptor o por tener una generación por debajo de un umbral, cuando se declara como ‘no obedeciendo”, etc.  Los cambios de modo de control hacia fuera de línea colocarán a la unidad en estado de disponibilidad configurado por defecto (Disponible, Indisponible).</w:t>
      </w:r>
    </w:p>
    <w:p w14:paraId="6D177483"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Los despliegues de interfaz del operador tendrán botones que permitan con un solo comando llevar las unidades de generación controladas en modo base al máximo o al mínimo para atender situaciones de emergencia.</w:t>
      </w:r>
    </w:p>
    <w:p w14:paraId="37DDB3CF"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Las Alarmas y Eventos desplegados por el AGC podrán activarse según el estado de operación de acuerdo a criterios de Consciencia Situacional identificados por el Operador. Estos modos pueden ser: Reconocimiento, Advertencia y Emergencia. En cada uno de estos modos las alarmas y eventos será filtrados de forma automática con base al modo. En el modo Reconocimiento, todas las alarmas del AGC serán presentadas. En modo Advertencia, todas las alarmas asociadas a generadores no controlables, a excepción de los Bancos de Baterías y Generadores Renovables Variables deben ser suprimirse, y únicamente un conjunto de alarmas preseleccionadas para los generadores bajo control del AGC deben ser presentadas. En Emergencia estas alarmas o eventos serán filtradas a nivel de presentación.  También debe aplicarse criterios de priorización de alarmas, que permita filtrar las mismas de acuerdo con criterios de impacto y requerimiento de atención inmediata por parte del operador.</w:t>
      </w:r>
    </w:p>
    <w:p w14:paraId="4F47ED88"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AGC tendrá la </w:t>
      </w:r>
      <w:r w:rsidR="00633EE7" w:rsidRPr="00576AF8">
        <w:rPr>
          <w:rFonts w:eastAsia="Calibri"/>
          <w:sz w:val="22"/>
          <w:szCs w:val="22"/>
          <w:lang w:val="es-419" w:eastAsia="en-US" w:bidi="ar-SA"/>
        </w:rPr>
        <w:t>funcionalidad para</w:t>
      </w:r>
      <w:r w:rsidRPr="00576AF8">
        <w:rPr>
          <w:rFonts w:eastAsia="Calibri"/>
          <w:sz w:val="22"/>
          <w:szCs w:val="22"/>
          <w:lang w:val="es-419" w:eastAsia="en-US" w:bidi="ar-SA"/>
        </w:rPr>
        <w:t xml:space="preserve"> modificar en línea los parámetros de sintonización asociados. Asimismo, se permitirá grabar y recuperar el conjunto de parámetros de entonación desde un archivo, incluidos los parámetros operativos de las unidades de generación.</w:t>
      </w:r>
    </w:p>
    <w:p w14:paraId="15705260" w14:textId="77777777" w:rsidR="009102A7" w:rsidRPr="00576AF8" w:rsidRDefault="009102A7" w:rsidP="009102A7">
      <w:pPr>
        <w:numPr>
          <w:ilvl w:val="0"/>
          <w:numId w:val="3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AGC </w:t>
      </w:r>
      <w:r w:rsidR="00633EE7" w:rsidRPr="00576AF8">
        <w:rPr>
          <w:rFonts w:eastAsia="Calibri"/>
          <w:sz w:val="22"/>
          <w:szCs w:val="22"/>
          <w:lang w:val="es-419" w:eastAsia="en-US" w:bidi="ar-SA"/>
        </w:rPr>
        <w:t>cambiará</w:t>
      </w:r>
      <w:r w:rsidRPr="00576AF8">
        <w:rPr>
          <w:rFonts w:eastAsia="Calibri"/>
          <w:sz w:val="22"/>
          <w:szCs w:val="22"/>
          <w:lang w:val="es-419" w:eastAsia="en-US" w:bidi="ar-SA"/>
        </w:rPr>
        <w:t xml:space="preserve"> automáticamente de modo de control desde TLB a CF cuando se detecte la apertura de todos los circuitos de interconexión con otra área.  Una alarma se generará para que el Operador esté notificado de este cambio y pueda continuar con las acciones de control para operar en esta condición.</w:t>
      </w:r>
    </w:p>
    <w:p w14:paraId="1114E9CB" w14:textId="77777777" w:rsidR="00633EE7" w:rsidRPr="00576AF8" w:rsidRDefault="00633EE7" w:rsidP="00633EE7">
      <w:pPr>
        <w:pStyle w:val="Level1Letter"/>
        <w:numPr>
          <w:ilvl w:val="0"/>
          <w:numId w:val="334"/>
        </w:numPr>
        <w:rPr>
          <w:rFonts w:ascii="Times New Roman" w:hAnsi="Times New Roman" w:cs="Times New Roman"/>
          <w:sz w:val="22"/>
          <w:szCs w:val="22"/>
        </w:rPr>
      </w:pPr>
      <w:r w:rsidRPr="00576AF8">
        <w:rPr>
          <w:rFonts w:ascii="Times New Roman" w:hAnsi="Times New Roman" w:cs="Times New Roman"/>
          <w:sz w:val="22"/>
          <w:szCs w:val="22"/>
        </w:rPr>
        <w:t xml:space="preserve">El AGC utilizará el concepto de intercambios dinámicos o su equivalente, con el propósito de incluir en sus cálculos, los valores de intercambio que el Ecuador realizará como sistema de paso en intercambios de energía eléctrica entre los sistemas de Colombia y Perú </w:t>
      </w:r>
    </w:p>
    <w:p w14:paraId="6A59DE12" w14:textId="77777777" w:rsidR="00633EE7" w:rsidRPr="00576AF8" w:rsidRDefault="00633EE7"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486"/>
        <w:rPr>
          <w:rFonts w:eastAsia="Calibri"/>
          <w:sz w:val="22"/>
          <w:szCs w:val="22"/>
          <w:lang w:val="es-419" w:eastAsia="en-US" w:bidi="ar-SA"/>
        </w:rPr>
      </w:pPr>
    </w:p>
    <w:p w14:paraId="14A943C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28"/>
        <w:rPr>
          <w:rFonts w:eastAsia="Calibri"/>
          <w:sz w:val="22"/>
          <w:szCs w:val="22"/>
          <w:lang w:val="es-419" w:eastAsia="en-US" w:bidi="ar-SA"/>
        </w:rPr>
      </w:pPr>
    </w:p>
    <w:p w14:paraId="3C9966E8" w14:textId="77777777" w:rsidR="009102A7" w:rsidRPr="00576AF8" w:rsidRDefault="009102A7" w:rsidP="009102A7">
      <w:pPr>
        <w:ind w:left="720" w:firstLine="696"/>
        <w:jc w:val="left"/>
        <w:outlineLvl w:val="2"/>
        <w:rPr>
          <w:bCs/>
          <w:sz w:val="22"/>
          <w:szCs w:val="22"/>
        </w:rPr>
      </w:pPr>
      <w:bookmarkStart w:id="956" w:name="_Toc148955174"/>
      <w:bookmarkStart w:id="957" w:name="_Toc158396650"/>
      <w:bookmarkStart w:id="958" w:name="_Toc160012873"/>
      <w:bookmarkStart w:id="959" w:name="_Toc160434883"/>
      <w:r w:rsidRPr="00576AF8">
        <w:rPr>
          <w:b/>
          <w:sz w:val="22"/>
          <w:szCs w:val="22"/>
        </w:rPr>
        <w:t xml:space="preserve">2.1.1.1.5.1.3 </w:t>
      </w:r>
      <w:r w:rsidRPr="00576AF8">
        <w:rPr>
          <w:b/>
          <w:bCs/>
          <w:sz w:val="22"/>
          <w:szCs w:val="22"/>
        </w:rPr>
        <w:t>Simulador de Control Automático de Generación</w:t>
      </w:r>
      <w:bookmarkEnd w:id="956"/>
      <w:bookmarkEnd w:id="957"/>
      <w:bookmarkEnd w:id="958"/>
      <w:bookmarkEnd w:id="959"/>
    </w:p>
    <w:p w14:paraId="640DAEAA"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Para facilitar el entrenamiento en el uso del AGC, se requiere un programa que permita simular la recepción de los comandos de control que envía a las unidades generadoras, y simular la salida de MW de la unidad generadora en respuesta a estos comandos actualizando los valores simulados las mediciones y estados correspondientes. </w:t>
      </w:r>
    </w:p>
    <w:p w14:paraId="7BF2AE88"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Este simulador será utilizado en el ambiente del Sistema de Calidad QAS y en el sistema de Desarrollo PDS, aunque estará disponible en el ambiente de producción.</w:t>
      </w:r>
    </w:p>
    <w:p w14:paraId="281EA47F"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 xml:space="preserve">El simulador será un módulo asociado al AGC que se ejecutará en una periodicidad de 2 segundos.  El simulador del AGC es un módulo independiente que no tiene ninguna relación con el Simulador de Entrenamiento para Operadores OTS. </w:t>
      </w:r>
    </w:p>
    <w:p w14:paraId="3A99772D"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El simulador del AGC tendrá una interfaz que haga uso de los recursos disponibles del SCADA/EMS.  Desde despliegues tabulares el Operador podrá configurar escenarios.</w:t>
      </w:r>
    </w:p>
    <w:p w14:paraId="2C7DC76D"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b/>
        <w:t>La simulación podrá mediante botones – iniciarse, detenerse y suspenderse.</w:t>
      </w:r>
    </w:p>
    <w:p w14:paraId="70585E69"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ab/>
        <w:t>El simulador podrá iniciar su simulación tomando como base las potencias generadas resultantes de un caso de Estimador de Estado y de los intercambios por cada una de las líneas de interconexión.</w:t>
      </w:r>
    </w:p>
    <w:p w14:paraId="092ADCBB"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permitirá guardar al menos dos escenarios donde se almacenarán las condiciones de la simulación al momento de solicitar su almacenado. Los escenarios guardados podrán utilizarse cómo punto de partida de una simulación.</w:t>
      </w:r>
    </w:p>
    <w:p w14:paraId="4C62ABB4"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Toda medición analógica o digital que utilice el AGC podrá ser inicializada como si viniese desde el sistema SCADA.  Si es medición analógica el Operador podrá cambiar sus valores y la bandera de calidad.  En el caso de indicaciones, se podrá cambiar su estado y la bandera de calidad.</w:t>
      </w:r>
    </w:p>
    <w:p w14:paraId="0061F3F5"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consignas de cambio de potencia de un generador serán simuladas de forma tal que la potencia telemedida cambie en la dirección de la consigna hasta alcanzar el valor recibido por consigna. Para esta simulación de cambio de potencia se utilizará una rampa de simulación, ajustable por el Operador y una función que simule una trayectoria de cambio de potencia. El Proveedor deberá describir qué función o funciones soporta el simulador de AGC.</w:t>
      </w:r>
    </w:p>
    <w:p w14:paraId="48D8B021"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cambios de potencia simulada también podrán simularse en generadores no controlables por el AGC. De esta forma se podrá simular un cambio de potencia generada realizado desde la central.</w:t>
      </w:r>
    </w:p>
    <w:p w14:paraId="3BE9CFAF"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frecuencia será simulada utilizando un método que varie la frecuencia en forma proporcional a la diferencia entre la potencia deseada y la actual de los generadores. El Proveedor deberá describir cómo calcula la frecuencia simulada.</w:t>
      </w:r>
    </w:p>
    <w:p w14:paraId="13D151CE"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Para las mediciones que el AGC permite redundancia sencilla o múltiple, tales como intercambios, potencia generadas y frecuencia, el simulador permitirá inicializar los valores de calidad de la telemedida y actualizará sus valores con salidas simuladas. </w:t>
      </w:r>
    </w:p>
    <w:p w14:paraId="603C0E85"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determinar las mediciones de los intercambios en las interconexiones, el simulador calculará el intercambio como la diferencia entre la generación actual y la demanda total. La demanda total será modificable por el operador para de esta forma permitir el cambio de los intercambios. El intercambio neto se asumirá que es el mismo para cada una de las líneas de intercambio, por lo que el intercambio neto resultante simulado se distribuirá a partes iguales entre las líneas de interconexión definidas. Para cualquiera de las líneas se podrá alterar la calidad de las mediciones simuladas.</w:t>
      </w:r>
    </w:p>
    <w:p w14:paraId="7B05F77A"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419" w:eastAsia="en-US" w:bidi="ar-SA"/>
        </w:rPr>
        <w:t>Entre las mediciones que serán simuladas como</w:t>
      </w:r>
      <w:r w:rsidRPr="00576AF8">
        <w:rPr>
          <w:rFonts w:eastAsia="Calibri"/>
          <w:sz w:val="22"/>
          <w:szCs w:val="22"/>
          <w:lang w:val="es-EC" w:eastAsia="en-US" w:bidi="ar-SA"/>
        </w:rPr>
        <w:t xml:space="preserve"> si fuesen telemedidas y actualizadas en la base de datos de tiempo real están:</w:t>
      </w:r>
    </w:p>
    <w:p w14:paraId="2EF40A7E"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Límite superior de regulación y su calidad</w:t>
      </w:r>
    </w:p>
    <w:p w14:paraId="63435153"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Límite inferior de regulación y su calidad</w:t>
      </w:r>
    </w:p>
    <w:p w14:paraId="2893B6EB"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Rampa de incremento y su calidad</w:t>
      </w:r>
    </w:p>
    <w:p w14:paraId="45DD2013"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Rampa de decremento y su calidad</w:t>
      </w:r>
    </w:p>
    <w:p w14:paraId="4F24566A"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Frecuencia y su calidad (tantas cómo se hayan definido en el AGC).</w:t>
      </w:r>
    </w:p>
    <w:p w14:paraId="4013EE5C"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Error de tiempo y su calidad (hasta dos mediciones)</w:t>
      </w:r>
    </w:p>
    <w:p w14:paraId="57AC0EB2"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En cuanto a indicaciones de estado, el Simulador de AGC podrá permitir la simulación del estado y su calidad a:</w:t>
      </w:r>
    </w:p>
    <w:p w14:paraId="7EBCA33E"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lastRenderedPageBreak/>
        <w:t>Indicador Local/Remoto y su calidad</w:t>
      </w:r>
    </w:p>
    <w:p w14:paraId="25CF86E6"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Para las unidades en Grupo la indicación Grupo/Individual y su calidad</w:t>
      </w:r>
    </w:p>
    <w:p w14:paraId="2576E552"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Indicador de cambio de límite y su calidad</w:t>
      </w:r>
    </w:p>
    <w:p w14:paraId="5D48445E" w14:textId="77777777" w:rsidR="009102A7" w:rsidRPr="00576AF8" w:rsidRDefault="009102A7" w:rsidP="009102A7">
      <w:pPr>
        <w:numPr>
          <w:ilvl w:val="0"/>
          <w:numId w:val="24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EC" w:eastAsia="en-US" w:bidi="ar-SA"/>
        </w:rPr>
      </w:pPr>
      <w:r w:rsidRPr="00576AF8">
        <w:rPr>
          <w:rFonts w:eastAsia="Calibri"/>
          <w:sz w:val="22"/>
          <w:szCs w:val="22"/>
          <w:lang w:val="es-EC" w:eastAsia="en-US" w:bidi="ar-SA"/>
        </w:rPr>
        <w:t>Indicador del estado de los interruptores (abierto/cerrado) y su calidad.</w:t>
      </w:r>
    </w:p>
    <w:p w14:paraId="3873B23A" w14:textId="77777777" w:rsidR="009102A7" w:rsidRPr="00576AF8" w:rsidRDefault="009102A7" w:rsidP="009102A7">
      <w:pPr>
        <w:numPr>
          <w:ilvl w:val="0"/>
          <w:numId w:val="3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EC" w:eastAsia="en-US" w:bidi="ar-SA"/>
        </w:rPr>
        <w:t>Dentro de una simulación en curso, el operador podrá realizar un conjunto de cambios a las mediciones e indicaciones y aplicarlas de manera simultánea mediante un comando de actualización. No se desea que las simulaciones de cambios de mediciones y estados se realice con la sola entrada manual.</w:t>
      </w:r>
    </w:p>
    <w:p w14:paraId="49891A03" w14:textId="77777777" w:rsidR="009102A7" w:rsidRPr="00576AF8" w:rsidRDefault="009102A7" w:rsidP="009102A7">
      <w:pPr>
        <w:ind w:left="708" w:right="41" w:firstLine="708"/>
        <w:rPr>
          <w:b/>
          <w:sz w:val="22"/>
          <w:szCs w:val="22"/>
        </w:rPr>
      </w:pPr>
      <w:bookmarkStart w:id="960" w:name="_Toc148955178"/>
      <w:bookmarkStart w:id="961" w:name="_Toc158396654"/>
      <w:bookmarkStart w:id="962" w:name="_Toc160012874"/>
      <w:bookmarkStart w:id="963" w:name="_Toc160434884"/>
    </w:p>
    <w:p w14:paraId="2BB7AEBF" w14:textId="77777777" w:rsidR="009102A7" w:rsidRPr="00576AF8" w:rsidRDefault="009102A7" w:rsidP="009102A7">
      <w:pPr>
        <w:ind w:left="720" w:firstLine="696"/>
        <w:jc w:val="left"/>
        <w:outlineLvl w:val="2"/>
        <w:rPr>
          <w:bCs/>
          <w:sz w:val="22"/>
          <w:szCs w:val="22"/>
        </w:rPr>
      </w:pPr>
      <w:r w:rsidRPr="00576AF8">
        <w:rPr>
          <w:b/>
          <w:sz w:val="22"/>
          <w:szCs w:val="22"/>
        </w:rPr>
        <w:t xml:space="preserve">2.1.1.1.5.2 </w:t>
      </w:r>
      <w:r w:rsidRPr="00576AF8">
        <w:rPr>
          <w:b/>
          <w:bCs/>
          <w:sz w:val="22"/>
          <w:szCs w:val="22"/>
        </w:rPr>
        <w:t>Monitor de Reserva Reactiva (RRM)</w:t>
      </w:r>
      <w:bookmarkEnd w:id="960"/>
      <w:bookmarkEnd w:id="961"/>
      <w:bookmarkEnd w:id="962"/>
      <w:bookmarkEnd w:id="963"/>
    </w:p>
    <w:p w14:paraId="40B79E11" w14:textId="77777777" w:rsidR="009102A7" w:rsidRPr="00576AF8" w:rsidRDefault="009102A7" w:rsidP="009102A7">
      <w:pPr>
        <w:ind w:left="1416"/>
        <w:rPr>
          <w:sz w:val="22"/>
          <w:szCs w:val="22"/>
          <w:lang w:val="es-EC"/>
        </w:rPr>
      </w:pPr>
      <w:r w:rsidRPr="00576AF8">
        <w:rPr>
          <w:sz w:val="22"/>
          <w:szCs w:val="22"/>
          <w:lang w:val="es-EC"/>
        </w:rPr>
        <w:t xml:space="preserve">Para la adecuada supervisión del sistema ecuatoriano de potencia se requiere de una aplicación que permita el monitoreo continuo de los recursos de potencia reactiva disponibles en zonas específicas o </w:t>
      </w:r>
      <w:r w:rsidRPr="00576AF8">
        <w:rPr>
          <w:b/>
          <w:sz w:val="22"/>
          <w:szCs w:val="22"/>
          <w:lang w:val="es-EC"/>
        </w:rPr>
        <w:t>áreas de monitoreo crítico de potencia reactiva</w:t>
      </w:r>
      <w:r w:rsidRPr="00576AF8">
        <w:rPr>
          <w:sz w:val="22"/>
          <w:szCs w:val="22"/>
          <w:lang w:val="es-EC"/>
        </w:rPr>
        <w:t>. Estas áreas pueden cambiar en el tiempo, pudiendo ser necesario su redefinición, la cual se basa en los recursos de compensación reactiva que se asocian a una zona en particular.</w:t>
      </w:r>
    </w:p>
    <w:p w14:paraId="5F37D35B"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Para lograr este objetivo, se debe utilizar los límites de capacidad reactiva de los equipos y los puntos de operación en potencia activa y reactiva telemedidos en tiempo real.</w:t>
      </w:r>
    </w:p>
    <w:p w14:paraId="7BB43A73"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La reserva de reactivos por zona se debe medir según la dirección de variar la inyección (+MVARS) o retiro (-MVARS). Por tal motivo ambas magnitudes de reserva se deben llevar por separado.</w:t>
      </w:r>
    </w:p>
    <w:p w14:paraId="4C33394D"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Una bandera, actualizable en línea, permitirá, a elección del Operador, excluir los equipos de manera total o parcial (en el caso de bancos de capacitores y/o reactores) del cálculo de la reserva reactiva.</w:t>
      </w:r>
    </w:p>
    <w:p w14:paraId="642A0B9F"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En el cálculo de la reserva reactiva, se deben incluir capacitores y reactancias paralelas, fijas o en bancos, condensadores sincrónicos, unidades de generación, compensadores estáticos de voltaje (SVC) y cualquier equipo con capacidad de proveer este recurso bajo control del Operador.</w:t>
      </w:r>
    </w:p>
    <w:p w14:paraId="3C0CCBFF"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En el caso de los generadores, la potencia activa telemedida se debe utilizar para calcular los MVAr máximos y mínimos de las unidades de generación considerando la curva de capabilidad actualizada del generador. Se espera que el algoritmo haga uso de interpolación entre los pares de puntos de la curva de capabilidad reactiva más cercanos que correspondan a la potencia generada en MW. Las reservas de MVAR de los generadores en operación será calculadas por separado; en incremento de potencia reactiva y de reducción de esta.</w:t>
      </w:r>
    </w:p>
    <w:p w14:paraId="51FACB6E"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Para el caso de los compensadores sincrónicos, se debe determinar el punto de operación en MVAR telemedido y las reservas de inyección y de toma de reactivos se deben calcular considerando la diferencia hasta los límites de MVAR positivos y negativos respectivamente. </w:t>
      </w:r>
    </w:p>
    <w:p w14:paraId="1D5B13FA"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Para el caso de los capacitores y reactores de potencia fijos, la capacidad máxima de los mismos será utilizada para calcular la reserva en adelanto (+MVARS) o retraso (-MVARS), de todos estos equipos que se encuentren fuera de servicio. </w:t>
      </w:r>
    </w:p>
    <w:p w14:paraId="4A1A2F91"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En los casos de los bancos de capacitores, se debe considerar la reserva en adelanto (+MVARS) a la capacidad no conectada por el banco con respecto a su capacidad máxima.  En el caso de bancos de reactores, el cálculo será análogo, pero considerando su contribución de absorción de MVARS.</w:t>
      </w:r>
    </w:p>
    <w:p w14:paraId="699FAE08"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Los Compensadores Estáticos VAR (SVC) será modelizados y su contribución disponible para el retiro de MVAR y de inyección de estos considerando su punto de operación del momento, se deben contabilizar por separado.</w:t>
      </w:r>
    </w:p>
    <w:p w14:paraId="2DE45960" w14:textId="77777777" w:rsidR="009102A7" w:rsidRPr="00576AF8" w:rsidRDefault="009102A7" w:rsidP="009102A7">
      <w:pPr>
        <w:suppressAutoHyphens w:val="0"/>
        <w:spacing w:after="0"/>
        <w:ind w:left="2203"/>
        <w:contextualSpacing/>
        <w:rPr>
          <w:color w:val="000000"/>
          <w:sz w:val="22"/>
          <w:szCs w:val="22"/>
          <w:lang w:val="es-EC" w:eastAsia="es-EC" w:bidi="ar-SA"/>
        </w:rPr>
      </w:pPr>
    </w:p>
    <w:p w14:paraId="2C458401"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Las reservas de reactivo por área serán almacenadas en el historiador, con frecuencias y retenciones configurables por el usuario.</w:t>
      </w:r>
    </w:p>
    <w:p w14:paraId="01E5E2D3"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La periodicidad de ejecución de esta aplicación será configurable a partir de 1 minuto. La misma, no dependerá de la secuencia de las aplicaciones de seguridad operativa.</w:t>
      </w:r>
    </w:p>
    <w:p w14:paraId="6B3B5E90"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Despliegues tabulares y/o gráficos que exploten las capacidades del IHM deben permitir al Operador, visualizar los totales de reserva de reactivos de inyección y retiro por zona y total. Presentándose de manera sencilla los equipos que la integran y sus respectivas contribuciones.</w:t>
      </w:r>
    </w:p>
    <w:p w14:paraId="5FA7B712" w14:textId="77777777" w:rsidR="009102A7" w:rsidRPr="00576AF8" w:rsidRDefault="009102A7" w:rsidP="009102A7">
      <w:pPr>
        <w:numPr>
          <w:ilvl w:val="0"/>
          <w:numId w:val="337"/>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Límites mínimos de reservas de reactivos deben ser definidos con el fin de permitir la emisión de alarmas de alerta de no cumplimiento de los requerimientos zonales de reserva reactiva por tipo.</w:t>
      </w:r>
    </w:p>
    <w:p w14:paraId="40270894" w14:textId="77777777" w:rsidR="009102A7" w:rsidRPr="00576AF8" w:rsidRDefault="009102A7" w:rsidP="009102A7">
      <w:pPr>
        <w:ind w:left="708" w:right="41" w:firstLine="708"/>
        <w:rPr>
          <w:b/>
          <w:bCs/>
          <w:sz w:val="22"/>
          <w:szCs w:val="22"/>
        </w:rPr>
      </w:pPr>
      <w:bookmarkStart w:id="964" w:name="_Toc148955179"/>
      <w:bookmarkStart w:id="965" w:name="_Toc158396655"/>
      <w:bookmarkStart w:id="966" w:name="_Toc160012875"/>
      <w:bookmarkStart w:id="967" w:name="_Toc160434885"/>
    </w:p>
    <w:p w14:paraId="3480E3D8" w14:textId="77777777" w:rsidR="009102A7" w:rsidRPr="00576AF8" w:rsidRDefault="009102A7" w:rsidP="009102A7">
      <w:pPr>
        <w:ind w:left="720" w:firstLine="696"/>
        <w:jc w:val="left"/>
        <w:outlineLvl w:val="2"/>
        <w:rPr>
          <w:bCs/>
          <w:sz w:val="22"/>
          <w:szCs w:val="22"/>
        </w:rPr>
      </w:pPr>
      <w:r w:rsidRPr="00576AF8">
        <w:rPr>
          <w:b/>
          <w:sz w:val="22"/>
          <w:szCs w:val="22"/>
        </w:rPr>
        <w:t xml:space="preserve">2.1.1.1.5.3 </w:t>
      </w:r>
      <w:r w:rsidRPr="00576AF8">
        <w:rPr>
          <w:b/>
          <w:bCs/>
          <w:sz w:val="22"/>
          <w:szCs w:val="22"/>
        </w:rPr>
        <w:t>Cálculo de Reservas</w:t>
      </w:r>
      <w:bookmarkEnd w:id="964"/>
      <w:bookmarkEnd w:id="965"/>
      <w:bookmarkEnd w:id="966"/>
      <w:bookmarkEnd w:id="967"/>
    </w:p>
    <w:p w14:paraId="4FB19349" w14:textId="77777777" w:rsidR="009102A7" w:rsidRPr="00576AF8" w:rsidRDefault="009102A7" w:rsidP="009102A7">
      <w:pPr>
        <w:ind w:left="1428"/>
        <w:rPr>
          <w:sz w:val="22"/>
          <w:szCs w:val="22"/>
          <w:lang w:val="es-EC"/>
        </w:rPr>
      </w:pPr>
      <w:r w:rsidRPr="00576AF8">
        <w:rPr>
          <w:sz w:val="22"/>
          <w:szCs w:val="22"/>
          <w:lang w:val="es-EC"/>
        </w:rPr>
        <w:t>Para una mejor gestión de la seguridad del sistema eléctrico del Ecuador, el monitoreo continuo de la reserva de potencia activa por sistema (área de control), por área de reserva activa, central y por generador participando en modo individual en control del AGC o por central participando en modo grupo en el AGC, es una funcionalidad relevante.</w:t>
      </w:r>
    </w:p>
    <w:p w14:paraId="6A6C2BBD"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Cada cinco minutos, la función de monitoreo de reserva será capaz de calcular la capacidad de reserva de generación disponible para anticipar perturbaciones, ajustes y errores en el pronóstico de carga y la variabilidad de la generación asociada a las fuentes renovables variables. </w:t>
      </w:r>
    </w:p>
    <w:p w14:paraId="52D6D1CB"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El operador podrá configurar el período de tiempo de cálculo de la reserva entre 5 y 30 minutos (múltiplos de 5 minutos). También se podrán recalcular las reservas de forma automática ante cambios de generación (salida o entrada de generadores) o a solicitud manual del Operador. </w:t>
      </w:r>
    </w:p>
    <w:p w14:paraId="163B3450"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Las reservas se calcularán para el área de control de Ecuador representada en el AGC, por zonas de reservas de potencia </w:t>
      </w:r>
      <w:r w:rsidRPr="00576AF8" w:rsidDel="005569B8">
        <w:rPr>
          <w:rFonts w:eastAsia="Calibri"/>
          <w:color w:val="000000"/>
          <w:sz w:val="22"/>
          <w:szCs w:val="22"/>
          <w:lang w:val="es-EC" w:eastAsia="es-EC" w:bidi="ar-SA"/>
        </w:rPr>
        <w:t xml:space="preserve">activa </w:t>
      </w:r>
      <w:r w:rsidRPr="00576AF8">
        <w:rPr>
          <w:rFonts w:eastAsia="Calibri"/>
          <w:color w:val="000000"/>
          <w:sz w:val="22"/>
          <w:szCs w:val="22"/>
          <w:lang w:val="es-EC" w:eastAsia="es-EC" w:bidi="ar-SA"/>
        </w:rPr>
        <w:t>definidas con criterios operacionales y por centrales y unidades en servicio de manera individualizada.</w:t>
      </w:r>
    </w:p>
    <w:p w14:paraId="78529330"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La definición de las Zonas de Reserva de Potencia Activa será independiente de las utilizadas por la aplicación de cálculos de reserva de reactivos. Su definición será flexible, es decir, que la asignación de los generadores por zona debe ser con base a criterios operativos flexibles que se puedan cambiar.  Estos serán independientes de las zonas de carga utilizadas en los modelos de aplicaciones de seguridad, aunque en ocasiones pueden coincidir.</w:t>
      </w:r>
    </w:p>
    <w:p w14:paraId="12E58623"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El valor de la reserva del área de control (</w:t>
      </w:r>
      <w:r w:rsidRPr="00576AF8" w:rsidDel="005569B8">
        <w:rPr>
          <w:rFonts w:eastAsia="Calibri"/>
          <w:color w:val="000000"/>
          <w:sz w:val="22"/>
          <w:szCs w:val="22"/>
          <w:lang w:val="es-EC" w:eastAsia="es-EC" w:bidi="ar-SA"/>
        </w:rPr>
        <w:t xml:space="preserve">sistema) </w:t>
      </w:r>
      <w:r w:rsidRPr="00576AF8">
        <w:rPr>
          <w:rFonts w:eastAsia="Calibri"/>
          <w:color w:val="000000"/>
          <w:sz w:val="22"/>
          <w:szCs w:val="22"/>
          <w:lang w:val="es-EC" w:eastAsia="es-EC" w:bidi="ar-SA"/>
        </w:rPr>
        <w:t>y por zonas deben compararse contra los requerimientos mínimos de reservas fijados cómo mínimas reservas por sistema y por áreas. Una opción, debe permitir que este requerimiento sea reemplazado por la potencia de la unidad de mayor capacidad en la zona o sistema en línea, siempre que esta sea mayor al valor manual especificado como límite.</w:t>
      </w:r>
    </w:p>
    <w:p w14:paraId="0A579D32"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Considerando los pronósticos horarios de la demanda por sistema y zona, en los casos de insuficiencia de reserva para cubrir la variación pronosticada de demanda de la próxima hora, se emitirá una alarma. </w:t>
      </w:r>
    </w:p>
    <w:p w14:paraId="5E364EA5"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La aplicación emitirá alarmas cada vez que estos requerimientos mínimos no sean satisfechos. </w:t>
      </w:r>
    </w:p>
    <w:p w14:paraId="6473F4B8"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La definición por zonas de reserva debe coincidir con las que utiliza la aplicación de Flujo de Potencia y Flujo de Potencia Óptimo con Restricciones.  El Proveedor debe describir en su propuesta cómo se realiza este tipo de definiciones a nivel del sistema de ingeniería de datos con el fin de garantizar la integridad y uso de una definición común a lo largo de las especificaciones.</w:t>
      </w:r>
    </w:p>
    <w:p w14:paraId="4F801C72" w14:textId="77777777" w:rsidR="009102A7" w:rsidRPr="00576AF8" w:rsidRDefault="009102A7" w:rsidP="009102A7">
      <w:pPr>
        <w:numPr>
          <w:ilvl w:val="0"/>
          <w:numId w:val="338"/>
        </w:numPr>
        <w:suppressAutoHyphens w:val="0"/>
        <w:spacing w:after="0"/>
        <w:contextualSpacing/>
        <w:rPr>
          <w:rFonts w:eastAsia="Calibri"/>
          <w:sz w:val="22"/>
          <w:szCs w:val="22"/>
          <w:lang w:val="es-EC" w:eastAsia="en-US" w:bidi="ar-SA"/>
        </w:rPr>
      </w:pPr>
      <w:r w:rsidRPr="00576AF8">
        <w:rPr>
          <w:rFonts w:eastAsia="Calibri"/>
          <w:color w:val="000000"/>
          <w:sz w:val="22"/>
          <w:szCs w:val="22"/>
          <w:lang w:val="es-EC" w:eastAsia="es-EC" w:bidi="ar-SA"/>
        </w:rPr>
        <w:lastRenderedPageBreak/>
        <w:t>Dado que las variables de los generadores requeridas para el cálculo de reserva se encuentran disponibles en el Control Automático de la Generación (AGC), según sea la solución del Proveedor, este módulo puede estar integrado a esta aplicación</w:t>
      </w:r>
      <w:r w:rsidRPr="00576AF8">
        <w:rPr>
          <w:rFonts w:eastAsia="Calibri"/>
          <w:sz w:val="22"/>
          <w:szCs w:val="22"/>
          <w:lang w:val="es-EC" w:eastAsia="en-US" w:bidi="ar-SA"/>
        </w:rPr>
        <w:t>.</w:t>
      </w:r>
    </w:p>
    <w:p w14:paraId="00D026F2" w14:textId="77777777" w:rsidR="009102A7" w:rsidRPr="00576AF8" w:rsidRDefault="009102A7" w:rsidP="009102A7">
      <w:pPr>
        <w:suppressAutoHyphens w:val="0"/>
        <w:spacing w:after="0"/>
        <w:ind w:left="2203"/>
        <w:contextualSpacing/>
        <w:rPr>
          <w:rFonts w:eastAsia="Calibri"/>
          <w:sz w:val="22"/>
          <w:szCs w:val="22"/>
          <w:lang w:val="es-EC" w:eastAsia="en-US" w:bidi="ar-SA"/>
        </w:rPr>
      </w:pPr>
    </w:p>
    <w:p w14:paraId="4C72CA1C" w14:textId="77777777" w:rsidR="009102A7" w:rsidRPr="00576AF8" w:rsidRDefault="009102A7" w:rsidP="009102A7">
      <w:pPr>
        <w:ind w:left="1550" w:firstLine="293"/>
        <w:rPr>
          <w:sz w:val="22"/>
          <w:szCs w:val="22"/>
          <w:lang w:val="es-EC"/>
        </w:rPr>
      </w:pPr>
      <w:r w:rsidRPr="00576AF8">
        <w:rPr>
          <w:sz w:val="22"/>
          <w:szCs w:val="22"/>
          <w:lang w:val="es-EC"/>
        </w:rPr>
        <w:t xml:space="preserve">Las siguientes magnitudes de reservas serán calculadas: </w:t>
      </w:r>
    </w:p>
    <w:p w14:paraId="6AC076DA"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u w:val="single"/>
          <w:lang w:val="es-EC" w:eastAsia="es-EC" w:bidi="ar-SA"/>
        </w:rPr>
        <w:t>Reserva Rodante:</w:t>
      </w:r>
      <w:r w:rsidRPr="00576AF8">
        <w:rPr>
          <w:rFonts w:eastAsia="Calibri"/>
          <w:color w:val="000000"/>
          <w:sz w:val="22"/>
          <w:szCs w:val="22"/>
          <w:lang w:val="es-EC" w:eastAsia="es-EC" w:bidi="ar-SA"/>
        </w:rPr>
        <w:t xml:space="preserve"> Es la reserva proporcionada por la generación </w:t>
      </w:r>
      <w:r w:rsidRPr="00576AF8" w:rsidDel="00F8159F">
        <w:rPr>
          <w:rFonts w:eastAsia="Calibri"/>
          <w:color w:val="000000"/>
          <w:sz w:val="22"/>
          <w:szCs w:val="22"/>
          <w:lang w:val="es-EC" w:eastAsia="es-EC" w:bidi="ar-SA"/>
        </w:rPr>
        <w:t xml:space="preserve">hidráulica, </w:t>
      </w:r>
      <w:r w:rsidRPr="00576AF8">
        <w:rPr>
          <w:rFonts w:eastAsia="Calibri"/>
          <w:color w:val="000000"/>
          <w:sz w:val="22"/>
          <w:szCs w:val="22"/>
          <w:lang w:val="es-EC" w:eastAsia="es-EC" w:bidi="ar-SA"/>
        </w:rPr>
        <w:t>térmica y renovable sincronizada, que está disponible para responder un requerimiento de uso en dos (2) minutos. El cálculo de esta reserva, consecuencia de la programación de la planta y el despacho de carga, requiere considerar la máxima respuesta posible considerando la rampa y los límites superiores de los generadores individuales.</w:t>
      </w:r>
    </w:p>
    <w:p w14:paraId="749C76F6" w14:textId="77777777" w:rsidR="009102A7" w:rsidRPr="00576AF8" w:rsidRDefault="009102A7" w:rsidP="009102A7">
      <w:pPr>
        <w:numPr>
          <w:ilvl w:val="0"/>
          <w:numId w:val="338"/>
        </w:numPr>
        <w:suppressAutoHyphens w:val="0"/>
        <w:spacing w:after="0"/>
        <w:contextualSpacing/>
        <w:rPr>
          <w:rFonts w:eastAsia="Calibri"/>
          <w:sz w:val="22"/>
          <w:szCs w:val="22"/>
          <w:lang w:val="es-EC" w:eastAsia="en-US" w:bidi="ar-SA"/>
        </w:rPr>
      </w:pPr>
      <w:r w:rsidRPr="00576AF8">
        <w:rPr>
          <w:rFonts w:eastAsia="Calibri"/>
          <w:color w:val="000000"/>
          <w:sz w:val="22"/>
          <w:szCs w:val="22"/>
          <w:u w:val="single"/>
          <w:lang w:val="es-EC" w:eastAsia="es-EC" w:bidi="ar-SA"/>
        </w:rPr>
        <w:t>Reserva en Servicio:</w:t>
      </w:r>
      <w:r w:rsidRPr="00576AF8">
        <w:rPr>
          <w:rFonts w:eastAsia="Calibri"/>
          <w:color w:val="000000"/>
          <w:sz w:val="22"/>
          <w:szCs w:val="22"/>
          <w:lang w:val="es-EC" w:eastAsia="es-EC" w:bidi="ar-SA"/>
        </w:rPr>
        <w:t xml:space="preserve"> Esta es la reserva disponible en unidades de generación en tiempos superiores a los considerados para reserva rodante.   Se calcula cómo el límite superior de la unidad menos la reserva rodante.</w:t>
      </w:r>
    </w:p>
    <w:p w14:paraId="318CBF8B"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u w:val="single"/>
          <w:lang w:val="es-EC" w:eastAsia="es-EC" w:bidi="ar-SA"/>
        </w:rPr>
        <w:t>Reserva Disponible o Fría:</w:t>
      </w:r>
      <w:r w:rsidRPr="00576AF8">
        <w:rPr>
          <w:rFonts w:eastAsia="Calibri"/>
          <w:color w:val="000000"/>
          <w:sz w:val="22"/>
          <w:szCs w:val="22"/>
          <w:lang w:val="es-EC" w:eastAsia="es-EC" w:bidi="ar-SA"/>
        </w:rPr>
        <w:t xml:space="preserve"> esta reserva está compuesta por la generación hidráulica y térmica no sincronizada y disponible. Sólo se consideran parte de esta reserva a los generadores cuya potencia pueda estar disponible en 10 minutos. El cálculo de esta reserva requiere la agregación de las respuestas </w:t>
      </w:r>
      <w:r w:rsidRPr="00576AF8" w:rsidDel="00F8159F">
        <w:rPr>
          <w:rFonts w:eastAsia="Calibri"/>
          <w:color w:val="000000"/>
          <w:sz w:val="22"/>
          <w:szCs w:val="22"/>
          <w:lang w:val="es-EC" w:eastAsia="es-EC" w:bidi="ar-SA"/>
        </w:rPr>
        <w:t xml:space="preserve">esperadas </w:t>
      </w:r>
      <w:r w:rsidRPr="00576AF8">
        <w:rPr>
          <w:rFonts w:eastAsia="Calibri"/>
          <w:color w:val="000000"/>
          <w:sz w:val="22"/>
          <w:szCs w:val="22"/>
          <w:lang w:val="es-EC" w:eastAsia="es-EC" w:bidi="ar-SA"/>
        </w:rPr>
        <w:t>considerando las rampas y los límites superiores de los generadores individuales. Las unidades renovables variables no tendrán contribución alguna a la reserva disponible.</w:t>
      </w:r>
    </w:p>
    <w:p w14:paraId="7F9CFADA"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u w:val="single"/>
          <w:lang w:val="es-EC" w:eastAsia="es-EC" w:bidi="ar-SA"/>
        </w:rPr>
        <w:t>Reserva de Emergencia:</w:t>
      </w:r>
      <w:r w:rsidRPr="00576AF8">
        <w:rPr>
          <w:rFonts w:eastAsia="Calibri"/>
          <w:color w:val="000000"/>
          <w:sz w:val="22"/>
          <w:szCs w:val="22"/>
          <w:lang w:val="es-EC" w:eastAsia="es-EC" w:bidi="ar-SA"/>
        </w:rPr>
        <w:t xml:space="preserve"> este tipo de reserva se utiliza únicamente en estado de emergencia del sistema. La constituye la carga interrumpible (clientes con contratos de interrupción selectiva) y con posibilidad de deslastre de carga de manera automática.</w:t>
      </w:r>
    </w:p>
    <w:p w14:paraId="445088B6" w14:textId="77777777" w:rsidR="009102A7" w:rsidRPr="00576AF8" w:rsidRDefault="009102A7" w:rsidP="009102A7">
      <w:pPr>
        <w:numPr>
          <w:ilvl w:val="0"/>
          <w:numId w:val="338"/>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u w:val="single"/>
          <w:lang w:val="es-EC" w:eastAsia="es-EC" w:bidi="ar-SA"/>
        </w:rPr>
        <w:t>Reserva Operativa:</w:t>
      </w:r>
      <w:r w:rsidRPr="00576AF8">
        <w:rPr>
          <w:rFonts w:eastAsia="Calibri"/>
          <w:color w:val="000000"/>
          <w:sz w:val="22"/>
          <w:szCs w:val="22"/>
          <w:lang w:val="es-EC" w:eastAsia="es-EC" w:bidi="ar-SA"/>
        </w:rPr>
        <w:t xml:space="preserve"> esta reserva es la suma de la reserva rodante, de la reserva en servicio y de la reserva disponible. Para un adecuado monitoreo de las reservas se requiere:</w:t>
      </w:r>
    </w:p>
    <w:p w14:paraId="60999059" w14:textId="77777777" w:rsidR="009102A7" w:rsidRPr="00576AF8" w:rsidRDefault="009102A7" w:rsidP="009102A7">
      <w:pPr>
        <w:numPr>
          <w:ilvl w:val="0"/>
          <w:numId w:val="2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Flexibilidad para configurar tipos de reservas dependiendo del tiempo.</w:t>
      </w:r>
    </w:p>
    <w:p w14:paraId="7E438530" w14:textId="77777777" w:rsidR="009102A7" w:rsidRPr="00576AF8" w:rsidRDefault="009102A7" w:rsidP="009102A7">
      <w:pPr>
        <w:numPr>
          <w:ilvl w:val="0"/>
          <w:numId w:val="2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Monitoreo de subida y bajada de reservas por tipo de reserva.</w:t>
      </w:r>
    </w:p>
    <w:p w14:paraId="7F5980FD" w14:textId="77777777" w:rsidR="009102A7" w:rsidRPr="00576AF8" w:rsidRDefault="009102A7" w:rsidP="009102A7">
      <w:pPr>
        <w:numPr>
          <w:ilvl w:val="0"/>
          <w:numId w:val="2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Monitoreo de reserva por tipo en condición de operación en Islas.</w:t>
      </w:r>
    </w:p>
    <w:p w14:paraId="27B6622C" w14:textId="77777777" w:rsidR="009102A7" w:rsidRPr="00576AF8" w:rsidRDefault="009102A7" w:rsidP="009102A7">
      <w:pPr>
        <w:numPr>
          <w:ilvl w:val="0"/>
          <w:numId w:val="2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Interfaz flexible con Historiador para guardar cualquier variable de reserva en frecuencias y retenciones configurables.</w:t>
      </w:r>
    </w:p>
    <w:p w14:paraId="1AE0F9FE"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48"/>
        <w:rPr>
          <w:rFonts w:eastAsia="Calibri"/>
          <w:sz w:val="22"/>
          <w:szCs w:val="22"/>
          <w:lang w:val="es-419" w:eastAsia="en-US" w:bidi="ar-SA"/>
        </w:rPr>
      </w:pPr>
    </w:p>
    <w:p w14:paraId="43E34E1B" w14:textId="77777777" w:rsidR="00C00755" w:rsidRPr="00576AF8" w:rsidRDefault="00C00755" w:rsidP="00C00755">
      <w:pPr>
        <w:numPr>
          <w:ilvl w:val="0"/>
          <w:numId w:val="338"/>
        </w:numPr>
        <w:suppressAutoHyphens w:val="0"/>
        <w:spacing w:after="0"/>
        <w:contextualSpacing/>
        <w:rPr>
          <w:rFonts w:eastAsia="Calibri"/>
          <w:sz w:val="22"/>
          <w:szCs w:val="22"/>
          <w:lang w:val="es-419" w:eastAsia="en-US" w:bidi="ar-SA"/>
        </w:rPr>
      </w:pPr>
      <w:r w:rsidRPr="00576AF8">
        <w:rPr>
          <w:rFonts w:eastAsia="Calibri"/>
          <w:sz w:val="22"/>
          <w:szCs w:val="22"/>
          <w:lang w:val="es-419" w:eastAsia="en-US" w:bidi="ar-SA"/>
        </w:rPr>
        <w:t>Reserva de Regulación secundaria para arriba:  Es la reserva para AGC considerada entre el punto de operación y el límite superior de regulación</w:t>
      </w:r>
    </w:p>
    <w:p w14:paraId="02382A91" w14:textId="77777777" w:rsidR="00C00755" w:rsidRPr="00576AF8" w:rsidRDefault="00C00755" w:rsidP="00C00755">
      <w:pPr>
        <w:numPr>
          <w:ilvl w:val="0"/>
          <w:numId w:val="338"/>
        </w:numPr>
        <w:suppressAutoHyphens w:val="0"/>
        <w:spacing w:after="0"/>
        <w:contextualSpacing/>
        <w:rPr>
          <w:rFonts w:eastAsia="Calibri"/>
          <w:sz w:val="22"/>
          <w:szCs w:val="22"/>
          <w:lang w:val="es-419" w:eastAsia="en-US" w:bidi="ar-SA"/>
        </w:rPr>
      </w:pPr>
      <w:r w:rsidRPr="00576AF8">
        <w:rPr>
          <w:rFonts w:eastAsia="Calibri"/>
          <w:sz w:val="22"/>
          <w:szCs w:val="22"/>
          <w:lang w:val="es-419" w:eastAsia="en-US" w:bidi="ar-SA"/>
        </w:rPr>
        <w:t>Reserva de Regulación secundaria para abajo: Es la reserva para AGC considerada entre el punto de operación y el límite inferior de regulación</w:t>
      </w:r>
    </w:p>
    <w:p w14:paraId="3FC5BE77" w14:textId="77777777" w:rsidR="009102A7" w:rsidRPr="00576AF8" w:rsidRDefault="009102A7" w:rsidP="009102A7">
      <w:pPr>
        <w:numPr>
          <w:ilvl w:val="0"/>
          <w:numId w:val="338"/>
        </w:numPr>
        <w:contextualSpacing/>
        <w:rPr>
          <w:rFonts w:eastAsia="Calibri"/>
          <w:sz w:val="22"/>
          <w:szCs w:val="22"/>
          <w:lang w:val="es-EC" w:eastAsia="en-US" w:bidi="ar-SA"/>
        </w:rPr>
      </w:pPr>
      <w:r w:rsidRPr="00576AF8">
        <w:rPr>
          <w:rFonts w:eastAsia="Calibri"/>
          <w:sz w:val="22"/>
          <w:szCs w:val="22"/>
          <w:lang w:val="es-EC" w:eastAsia="en-US" w:bidi="ar-SA"/>
        </w:rPr>
        <w:t>Las siguientes reservas estándar, se deben calcular periódicamente y presentarse en despliegues tabulares y/o gráficos que maximicen la capacidad gráfica IHM orientados al Operador:</w:t>
      </w:r>
    </w:p>
    <w:p w14:paraId="2028A125" w14:textId="77777777" w:rsidR="009102A7" w:rsidRPr="00576AF8" w:rsidRDefault="009102A7" w:rsidP="009102A7">
      <w:pPr>
        <w:ind w:left="1843"/>
        <w:rPr>
          <w:rFonts w:eastAsia="Calibri"/>
          <w:sz w:val="22"/>
          <w:szCs w:val="22"/>
          <w:lang w:val="es-EC" w:eastAsia="en-US" w:bidi="ar-SA"/>
        </w:rPr>
      </w:pPr>
      <w:r w:rsidRPr="00576AF8">
        <w:rPr>
          <w:rFonts w:eastAsia="Calibri"/>
          <w:sz w:val="22"/>
          <w:szCs w:val="22"/>
          <w:lang w:val="es-EC" w:eastAsia="en-US" w:bidi="ar-SA"/>
        </w:rPr>
        <w:t>Por Unidad:</w:t>
      </w:r>
    </w:p>
    <w:p w14:paraId="51BABE9D" w14:textId="77777777" w:rsidR="009102A7" w:rsidRPr="00576AF8" w:rsidRDefault="009102A7" w:rsidP="009102A7">
      <w:pPr>
        <w:numPr>
          <w:ilvl w:val="0"/>
          <w:numId w:val="36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rodante </w:t>
      </w:r>
    </w:p>
    <w:p w14:paraId="042F7364" w14:textId="77777777" w:rsidR="009102A7" w:rsidRPr="00576AF8" w:rsidRDefault="009102A7" w:rsidP="009102A7">
      <w:pPr>
        <w:numPr>
          <w:ilvl w:val="0"/>
          <w:numId w:val="36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en servicio </w:t>
      </w:r>
    </w:p>
    <w:p w14:paraId="2B6A7B73" w14:textId="77777777" w:rsidR="009102A7" w:rsidRPr="00576AF8" w:rsidRDefault="009102A7" w:rsidP="009102A7">
      <w:pPr>
        <w:numPr>
          <w:ilvl w:val="0"/>
          <w:numId w:val="36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disponible</w:t>
      </w:r>
    </w:p>
    <w:p w14:paraId="2F0EC67E" w14:textId="77777777" w:rsidR="009102A7" w:rsidRPr="00576AF8" w:rsidRDefault="009102A7" w:rsidP="009102A7">
      <w:pPr>
        <w:numPr>
          <w:ilvl w:val="0"/>
          <w:numId w:val="36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operativa</w:t>
      </w:r>
    </w:p>
    <w:p w14:paraId="64E18FD6" w14:textId="77777777" w:rsidR="00C00755" w:rsidRPr="00576AF8" w:rsidRDefault="00C00755" w:rsidP="00C00755">
      <w:pPr>
        <w:numPr>
          <w:ilvl w:val="0"/>
          <w:numId w:val="36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de regulación </w:t>
      </w:r>
      <w:proofErr w:type="gramStart"/>
      <w:r w:rsidRPr="00576AF8">
        <w:rPr>
          <w:rFonts w:eastAsia="Calibri"/>
          <w:sz w:val="22"/>
          <w:szCs w:val="22"/>
          <w:lang w:val="es-419" w:eastAsia="en-US" w:bidi="ar-SA"/>
        </w:rPr>
        <w:t>secundaria  para</w:t>
      </w:r>
      <w:proofErr w:type="gramEnd"/>
      <w:r w:rsidRPr="00576AF8">
        <w:rPr>
          <w:rFonts w:eastAsia="Calibri"/>
          <w:sz w:val="22"/>
          <w:szCs w:val="22"/>
          <w:lang w:val="es-419" w:eastAsia="en-US" w:bidi="ar-SA"/>
        </w:rPr>
        <w:t xml:space="preserve"> arriba</w:t>
      </w:r>
    </w:p>
    <w:p w14:paraId="3C57EA32" w14:textId="77777777" w:rsidR="00C00755" w:rsidRPr="00576AF8" w:rsidRDefault="00C00755" w:rsidP="00C00755">
      <w:pPr>
        <w:numPr>
          <w:ilvl w:val="0"/>
          <w:numId w:val="36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de regulación secundaria para abajo</w:t>
      </w:r>
    </w:p>
    <w:p w14:paraId="13C057C2" w14:textId="77777777" w:rsidR="00C00755" w:rsidRPr="00576AF8" w:rsidRDefault="00C00755"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900"/>
        <w:rPr>
          <w:rFonts w:eastAsia="Calibri"/>
          <w:sz w:val="22"/>
          <w:szCs w:val="22"/>
          <w:lang w:val="es-419" w:eastAsia="en-US" w:bidi="ar-SA"/>
        </w:rPr>
      </w:pPr>
    </w:p>
    <w:p w14:paraId="54F36DEA" w14:textId="77777777" w:rsidR="009102A7" w:rsidRPr="00576AF8" w:rsidRDefault="009102A7" w:rsidP="009102A7">
      <w:pPr>
        <w:ind w:left="1843"/>
        <w:rPr>
          <w:sz w:val="22"/>
          <w:szCs w:val="22"/>
        </w:rPr>
      </w:pPr>
      <w:r w:rsidRPr="00576AF8">
        <w:rPr>
          <w:sz w:val="22"/>
          <w:szCs w:val="22"/>
        </w:rPr>
        <w:t>Por Central:</w:t>
      </w:r>
    </w:p>
    <w:p w14:paraId="19CC8BF1" w14:textId="77777777" w:rsidR="009102A7" w:rsidRPr="00576AF8" w:rsidRDefault="009102A7" w:rsidP="009102A7">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rodante </w:t>
      </w:r>
    </w:p>
    <w:p w14:paraId="57215F89" w14:textId="77777777" w:rsidR="009102A7" w:rsidRPr="00576AF8" w:rsidRDefault="009102A7" w:rsidP="009102A7">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en servicio </w:t>
      </w:r>
    </w:p>
    <w:p w14:paraId="365AF372" w14:textId="77777777" w:rsidR="009102A7" w:rsidRPr="00576AF8" w:rsidRDefault="009102A7" w:rsidP="009102A7">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disponible</w:t>
      </w:r>
    </w:p>
    <w:p w14:paraId="5A3A2CBC" w14:textId="77777777" w:rsidR="009102A7" w:rsidRPr="00576AF8" w:rsidRDefault="009102A7" w:rsidP="009102A7">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operativa</w:t>
      </w:r>
    </w:p>
    <w:p w14:paraId="04D31DB7" w14:textId="77777777" w:rsidR="00C00755" w:rsidRPr="00576AF8" w:rsidRDefault="00C00755" w:rsidP="00C00755">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de regulación </w:t>
      </w:r>
      <w:proofErr w:type="gramStart"/>
      <w:r w:rsidRPr="00576AF8">
        <w:rPr>
          <w:rFonts w:eastAsia="Calibri"/>
          <w:sz w:val="22"/>
          <w:szCs w:val="22"/>
          <w:lang w:val="es-419" w:eastAsia="en-US" w:bidi="ar-SA"/>
        </w:rPr>
        <w:t>secundaria  para</w:t>
      </w:r>
      <w:proofErr w:type="gramEnd"/>
      <w:r w:rsidRPr="00576AF8">
        <w:rPr>
          <w:rFonts w:eastAsia="Calibri"/>
          <w:sz w:val="22"/>
          <w:szCs w:val="22"/>
          <w:lang w:val="es-419" w:eastAsia="en-US" w:bidi="ar-SA"/>
        </w:rPr>
        <w:t xml:space="preserve"> arriba</w:t>
      </w:r>
    </w:p>
    <w:p w14:paraId="32279ACC" w14:textId="77777777" w:rsidR="00C00755" w:rsidRPr="00576AF8" w:rsidRDefault="00C00755" w:rsidP="00C00755">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de regulación secundaria para abajo</w:t>
      </w:r>
    </w:p>
    <w:p w14:paraId="346A491F" w14:textId="77777777" w:rsidR="00C00755" w:rsidRPr="00576AF8" w:rsidRDefault="00C00755" w:rsidP="009102A7">
      <w:pPr>
        <w:numPr>
          <w:ilvl w:val="0"/>
          <w:numId w:val="36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p>
    <w:p w14:paraId="6C83E8E6" w14:textId="77777777" w:rsidR="009102A7" w:rsidRPr="00576AF8" w:rsidRDefault="009102A7" w:rsidP="009102A7">
      <w:pPr>
        <w:ind w:left="1843"/>
        <w:rPr>
          <w:sz w:val="22"/>
          <w:szCs w:val="22"/>
        </w:rPr>
      </w:pPr>
    </w:p>
    <w:p w14:paraId="1B8ABA11" w14:textId="77777777" w:rsidR="009102A7" w:rsidRPr="00576AF8" w:rsidRDefault="009102A7" w:rsidP="009102A7">
      <w:pPr>
        <w:ind w:left="1843"/>
        <w:rPr>
          <w:sz w:val="22"/>
          <w:szCs w:val="22"/>
        </w:rPr>
      </w:pPr>
      <w:r w:rsidRPr="00576AF8">
        <w:rPr>
          <w:sz w:val="22"/>
          <w:szCs w:val="22"/>
        </w:rPr>
        <w:t>Por Zona de Reserva:</w:t>
      </w:r>
    </w:p>
    <w:p w14:paraId="3410D10E"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rodante </w:t>
      </w:r>
    </w:p>
    <w:p w14:paraId="0430C661"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en servicio </w:t>
      </w:r>
    </w:p>
    <w:p w14:paraId="5E3724DE"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Disponible</w:t>
      </w:r>
    </w:p>
    <w:p w14:paraId="048E4A3E"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Operativa</w:t>
      </w:r>
    </w:p>
    <w:p w14:paraId="61C2EE15"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máxima disponible</w:t>
      </w:r>
    </w:p>
    <w:p w14:paraId="0E34995D"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Restringida</w:t>
      </w:r>
    </w:p>
    <w:p w14:paraId="12EC3052" w14:textId="77777777" w:rsidR="009102A7" w:rsidRPr="00576AF8" w:rsidRDefault="009102A7" w:rsidP="009102A7">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Fuera de Servicio</w:t>
      </w:r>
    </w:p>
    <w:p w14:paraId="0A0681B9" w14:textId="77777777" w:rsidR="00C00755" w:rsidRPr="00576AF8" w:rsidRDefault="00C00755" w:rsidP="00C00755">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de regulación </w:t>
      </w:r>
      <w:proofErr w:type="gramStart"/>
      <w:r w:rsidRPr="00576AF8">
        <w:rPr>
          <w:rFonts w:eastAsia="Calibri"/>
          <w:sz w:val="22"/>
          <w:szCs w:val="22"/>
          <w:lang w:val="es-419" w:eastAsia="en-US" w:bidi="ar-SA"/>
        </w:rPr>
        <w:t>secundaria  para</w:t>
      </w:r>
      <w:proofErr w:type="gramEnd"/>
      <w:r w:rsidRPr="00576AF8">
        <w:rPr>
          <w:rFonts w:eastAsia="Calibri"/>
          <w:sz w:val="22"/>
          <w:szCs w:val="22"/>
          <w:lang w:val="es-419" w:eastAsia="en-US" w:bidi="ar-SA"/>
        </w:rPr>
        <w:t xml:space="preserve"> arriba</w:t>
      </w:r>
    </w:p>
    <w:p w14:paraId="36AB5812" w14:textId="77777777" w:rsidR="00C00755" w:rsidRPr="00576AF8" w:rsidRDefault="00C00755" w:rsidP="00C00755">
      <w:pPr>
        <w:numPr>
          <w:ilvl w:val="0"/>
          <w:numId w:val="3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de regulación secundaria para abajo</w:t>
      </w:r>
    </w:p>
    <w:p w14:paraId="665E776A" w14:textId="77777777" w:rsidR="00C00755" w:rsidRPr="00576AF8" w:rsidRDefault="00C00755"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900"/>
        <w:rPr>
          <w:rFonts w:eastAsia="Calibri"/>
          <w:sz w:val="22"/>
          <w:szCs w:val="22"/>
          <w:lang w:val="es-419" w:eastAsia="en-US" w:bidi="ar-SA"/>
        </w:rPr>
      </w:pPr>
    </w:p>
    <w:p w14:paraId="51180548" w14:textId="77777777" w:rsidR="009102A7" w:rsidRPr="00576AF8" w:rsidRDefault="009102A7" w:rsidP="009102A7">
      <w:pPr>
        <w:ind w:left="1843"/>
        <w:rPr>
          <w:sz w:val="22"/>
          <w:szCs w:val="22"/>
        </w:rPr>
      </w:pPr>
      <w:r w:rsidRPr="00576AF8">
        <w:rPr>
          <w:sz w:val="22"/>
          <w:szCs w:val="22"/>
        </w:rPr>
        <w:t>Por Sistema:</w:t>
      </w:r>
    </w:p>
    <w:p w14:paraId="218F8AF4"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rodante </w:t>
      </w:r>
    </w:p>
    <w:p w14:paraId="1AD2666B"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en servicio </w:t>
      </w:r>
    </w:p>
    <w:p w14:paraId="14AFDE0E"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Disponible</w:t>
      </w:r>
    </w:p>
    <w:p w14:paraId="39E687FE"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Operativa</w:t>
      </w:r>
    </w:p>
    <w:p w14:paraId="5BFBEAFF"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máxima disponible</w:t>
      </w:r>
    </w:p>
    <w:p w14:paraId="6A731CAA"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Restringida</w:t>
      </w:r>
    </w:p>
    <w:p w14:paraId="5D1F9267" w14:textId="77777777" w:rsidR="009102A7" w:rsidRPr="00576AF8" w:rsidRDefault="009102A7" w:rsidP="009102A7">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 Fuera de Servicio</w:t>
      </w:r>
    </w:p>
    <w:p w14:paraId="1F4061CC" w14:textId="77777777" w:rsidR="00C00755" w:rsidRPr="00576AF8" w:rsidRDefault="00C00755" w:rsidP="00C00755">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Reserva de regulación </w:t>
      </w:r>
      <w:proofErr w:type="gramStart"/>
      <w:r w:rsidRPr="00576AF8">
        <w:rPr>
          <w:rFonts w:eastAsia="Calibri"/>
          <w:sz w:val="22"/>
          <w:szCs w:val="22"/>
          <w:lang w:val="es-419" w:eastAsia="en-US" w:bidi="ar-SA"/>
        </w:rPr>
        <w:t>secundaria  para</w:t>
      </w:r>
      <w:proofErr w:type="gramEnd"/>
      <w:r w:rsidRPr="00576AF8">
        <w:rPr>
          <w:rFonts w:eastAsia="Calibri"/>
          <w:sz w:val="22"/>
          <w:szCs w:val="22"/>
          <w:lang w:val="es-419" w:eastAsia="en-US" w:bidi="ar-SA"/>
        </w:rPr>
        <w:t xml:space="preserve"> arriba</w:t>
      </w:r>
    </w:p>
    <w:p w14:paraId="03F48390" w14:textId="77777777" w:rsidR="00C00755" w:rsidRPr="00576AF8" w:rsidRDefault="00C00755" w:rsidP="00C00755">
      <w:pPr>
        <w:numPr>
          <w:ilvl w:val="0"/>
          <w:numId w:val="3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Reserva de regulación secundaria para abajo</w:t>
      </w:r>
    </w:p>
    <w:p w14:paraId="5667E47B" w14:textId="77777777" w:rsidR="00C00755" w:rsidRPr="00576AF8" w:rsidRDefault="00C00755"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900"/>
        <w:rPr>
          <w:rFonts w:eastAsia="Calibri"/>
          <w:sz w:val="22"/>
          <w:szCs w:val="22"/>
          <w:lang w:val="es-419" w:eastAsia="en-US" w:bidi="ar-SA"/>
        </w:rPr>
      </w:pPr>
    </w:p>
    <w:p w14:paraId="6AB5333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643"/>
        <w:rPr>
          <w:rFonts w:eastAsia="Calibri"/>
          <w:sz w:val="22"/>
          <w:szCs w:val="22"/>
          <w:lang w:val="es-419" w:eastAsia="en-US" w:bidi="ar-SA"/>
        </w:rPr>
      </w:pPr>
    </w:p>
    <w:p w14:paraId="447B0B2A" w14:textId="77777777" w:rsidR="009102A7" w:rsidRPr="00576AF8" w:rsidRDefault="009102A7" w:rsidP="009102A7">
      <w:pPr>
        <w:ind w:left="720" w:firstLine="696"/>
        <w:jc w:val="left"/>
        <w:outlineLvl w:val="2"/>
        <w:rPr>
          <w:b/>
          <w:bCs/>
          <w:sz w:val="22"/>
          <w:szCs w:val="22"/>
        </w:rPr>
      </w:pPr>
      <w:bookmarkStart w:id="968" w:name="_Toc148955186"/>
      <w:bookmarkStart w:id="969" w:name="_Toc158396662"/>
      <w:bookmarkStart w:id="970" w:name="_Toc160012876"/>
      <w:bookmarkStart w:id="971" w:name="_Toc160434886"/>
      <w:bookmarkStart w:id="972" w:name="_Toc160456004"/>
      <w:r w:rsidRPr="00576AF8">
        <w:rPr>
          <w:b/>
          <w:sz w:val="22"/>
          <w:szCs w:val="22"/>
        </w:rPr>
        <w:t xml:space="preserve">2.1.1.1.6 </w:t>
      </w:r>
      <w:r w:rsidRPr="00576AF8">
        <w:rPr>
          <w:b/>
          <w:bCs/>
          <w:sz w:val="22"/>
          <w:szCs w:val="22"/>
        </w:rPr>
        <w:t>PRONÓSTICO</w:t>
      </w:r>
      <w:bookmarkEnd w:id="968"/>
      <w:bookmarkEnd w:id="969"/>
      <w:bookmarkEnd w:id="970"/>
      <w:bookmarkEnd w:id="971"/>
      <w:bookmarkEnd w:id="972"/>
    </w:p>
    <w:p w14:paraId="3F6834F5" w14:textId="77777777" w:rsidR="009102A7" w:rsidRPr="00576AF8" w:rsidRDefault="009102A7" w:rsidP="009102A7">
      <w:pPr>
        <w:ind w:left="720" w:firstLine="696"/>
        <w:jc w:val="left"/>
        <w:outlineLvl w:val="2"/>
        <w:rPr>
          <w:bCs/>
          <w:sz w:val="22"/>
          <w:szCs w:val="22"/>
        </w:rPr>
      </w:pPr>
      <w:bookmarkStart w:id="973" w:name="_Toc148955187"/>
      <w:bookmarkStart w:id="974" w:name="_Toc158396663"/>
      <w:bookmarkStart w:id="975" w:name="_Toc160012877"/>
      <w:bookmarkStart w:id="976" w:name="_Toc160434887"/>
      <w:bookmarkStart w:id="977" w:name="_Toc160456005"/>
      <w:r w:rsidRPr="00576AF8">
        <w:rPr>
          <w:b/>
          <w:sz w:val="22"/>
          <w:szCs w:val="22"/>
        </w:rPr>
        <w:t xml:space="preserve">2.1.1.1.6.1 </w:t>
      </w:r>
      <w:r w:rsidRPr="00576AF8">
        <w:rPr>
          <w:b/>
          <w:bCs/>
          <w:sz w:val="22"/>
          <w:szCs w:val="22"/>
        </w:rPr>
        <w:t>Pronósticos de Demanda de Corto</w:t>
      </w:r>
      <w:r w:rsidR="00C00755" w:rsidRPr="00576AF8">
        <w:rPr>
          <w:b/>
          <w:bCs/>
          <w:sz w:val="22"/>
          <w:szCs w:val="22"/>
        </w:rPr>
        <w:t xml:space="preserve"> y Mediano</w:t>
      </w:r>
      <w:r w:rsidRPr="00576AF8">
        <w:rPr>
          <w:b/>
          <w:bCs/>
          <w:sz w:val="22"/>
          <w:szCs w:val="22"/>
        </w:rPr>
        <w:t xml:space="preserve"> Plazo</w:t>
      </w:r>
      <w:bookmarkEnd w:id="973"/>
      <w:bookmarkEnd w:id="974"/>
      <w:bookmarkEnd w:id="975"/>
      <w:bookmarkEnd w:id="976"/>
      <w:bookmarkEnd w:id="977"/>
    </w:p>
    <w:p w14:paraId="1BC467A8" w14:textId="77777777" w:rsidR="009102A7" w:rsidRPr="00576AF8" w:rsidRDefault="009102A7" w:rsidP="009102A7">
      <w:pPr>
        <w:numPr>
          <w:ilvl w:val="0"/>
          <w:numId w:val="226"/>
        </w:numPr>
        <w:rPr>
          <w:sz w:val="22"/>
          <w:szCs w:val="22"/>
        </w:rPr>
      </w:pPr>
      <w:r w:rsidRPr="00576AF8">
        <w:rPr>
          <w:sz w:val="22"/>
          <w:szCs w:val="22"/>
        </w:rPr>
        <w:lastRenderedPageBreak/>
        <w:t xml:space="preserve">CENACE requiere de </w:t>
      </w:r>
      <w:r w:rsidR="00B41579" w:rsidRPr="00576AF8">
        <w:rPr>
          <w:sz w:val="22"/>
          <w:szCs w:val="22"/>
        </w:rPr>
        <w:t>un módulo</w:t>
      </w:r>
      <w:r w:rsidRPr="00576AF8">
        <w:rPr>
          <w:sz w:val="22"/>
          <w:szCs w:val="22"/>
        </w:rPr>
        <w:t xml:space="preserve"> </w:t>
      </w:r>
      <w:r w:rsidR="00B41579" w:rsidRPr="00576AF8">
        <w:rPr>
          <w:sz w:val="22"/>
          <w:szCs w:val="22"/>
        </w:rPr>
        <w:t xml:space="preserve">integrado en el IHM del SCADA/EMS </w:t>
      </w:r>
      <w:r w:rsidRPr="00576AF8">
        <w:rPr>
          <w:sz w:val="22"/>
          <w:szCs w:val="22"/>
        </w:rPr>
        <w:t>que le permita realizar pronósticos de corto plazo (próximas 24 y 48 horas)</w:t>
      </w:r>
      <w:r w:rsidR="00C00755" w:rsidRPr="00576AF8">
        <w:rPr>
          <w:sz w:val="22"/>
          <w:szCs w:val="22"/>
        </w:rPr>
        <w:t xml:space="preserve"> y mediano pla</w:t>
      </w:r>
      <w:r w:rsidR="00021204" w:rsidRPr="00576AF8">
        <w:rPr>
          <w:sz w:val="22"/>
          <w:szCs w:val="22"/>
        </w:rPr>
        <w:t>z</w:t>
      </w:r>
      <w:r w:rsidR="00C00755" w:rsidRPr="00576AF8">
        <w:rPr>
          <w:sz w:val="22"/>
          <w:szCs w:val="22"/>
        </w:rPr>
        <w:t>o (hasta 168 horas o 7 días a futuro)</w:t>
      </w:r>
      <w:r w:rsidRPr="00576AF8">
        <w:rPr>
          <w:sz w:val="22"/>
          <w:szCs w:val="22"/>
        </w:rPr>
        <w:t>.</w:t>
      </w:r>
    </w:p>
    <w:p w14:paraId="58C96AE7" w14:textId="77777777" w:rsidR="009102A7" w:rsidRPr="00576AF8" w:rsidRDefault="009102A7" w:rsidP="009102A7">
      <w:pPr>
        <w:numPr>
          <w:ilvl w:val="0"/>
          <w:numId w:val="226"/>
        </w:numPr>
        <w:rPr>
          <w:sz w:val="22"/>
          <w:szCs w:val="22"/>
        </w:rPr>
      </w:pPr>
      <w:r w:rsidRPr="00576AF8">
        <w:rPr>
          <w:sz w:val="22"/>
          <w:szCs w:val="22"/>
        </w:rPr>
        <w:t xml:space="preserve">Periodicidad </w:t>
      </w:r>
      <w:r w:rsidR="00C00755" w:rsidRPr="00576AF8">
        <w:rPr>
          <w:sz w:val="22"/>
          <w:szCs w:val="22"/>
        </w:rPr>
        <w:t>de al menos</w:t>
      </w:r>
      <w:r w:rsidRPr="00576AF8">
        <w:rPr>
          <w:sz w:val="22"/>
          <w:szCs w:val="22"/>
        </w:rPr>
        <w:t xml:space="preserve"> 15 minutos para el pronóstico.</w:t>
      </w:r>
    </w:p>
    <w:p w14:paraId="4216F5B6" w14:textId="77777777" w:rsidR="009102A7" w:rsidRPr="00576AF8" w:rsidRDefault="009102A7" w:rsidP="009102A7">
      <w:pPr>
        <w:numPr>
          <w:ilvl w:val="0"/>
          <w:numId w:val="226"/>
        </w:numPr>
        <w:rPr>
          <w:sz w:val="22"/>
          <w:szCs w:val="22"/>
        </w:rPr>
      </w:pPr>
      <w:r w:rsidRPr="00576AF8">
        <w:rPr>
          <w:sz w:val="22"/>
          <w:szCs w:val="22"/>
        </w:rPr>
        <w:t>Los pronósticos serán de demanda (total y regional).</w:t>
      </w:r>
    </w:p>
    <w:p w14:paraId="05DD2023" w14:textId="77777777" w:rsidR="009102A7" w:rsidRPr="00576AF8" w:rsidRDefault="009102A7" w:rsidP="00021204">
      <w:pPr>
        <w:numPr>
          <w:ilvl w:val="0"/>
          <w:numId w:val="226"/>
        </w:numPr>
        <w:rPr>
          <w:sz w:val="22"/>
          <w:szCs w:val="22"/>
        </w:rPr>
      </w:pPr>
      <w:r w:rsidRPr="00576AF8">
        <w:rPr>
          <w:sz w:val="22"/>
          <w:szCs w:val="22"/>
        </w:rPr>
        <w:t>La previsión de la demanda será adaptativa, de modo que periódicamente y de forma automática, el modelo o modelos de carga sensibles al clima se ajusten sobre la base de un análisis estadístico de datos históricos. Los datos históricos comprenderán la carga pronosticada, la carga real y los datos meteorológicos asociados. El ajuste del modelo deberá minimizar el error entre las cargas pronosticadas utilizando el modelo y las cargas reales.</w:t>
      </w:r>
    </w:p>
    <w:p w14:paraId="0F268A1A" w14:textId="77777777" w:rsidR="00C00755" w:rsidRPr="00576AF8" w:rsidRDefault="00C00755" w:rsidP="00C00755">
      <w:pPr>
        <w:pStyle w:val="Level1Letter"/>
        <w:numPr>
          <w:ilvl w:val="0"/>
          <w:numId w:val="226"/>
        </w:numPr>
        <w:rPr>
          <w:rFonts w:ascii="Times New Roman" w:hAnsi="Times New Roman" w:cs="Times New Roman"/>
          <w:sz w:val="22"/>
          <w:szCs w:val="22"/>
        </w:rPr>
      </w:pPr>
      <w:r w:rsidRPr="00576AF8">
        <w:rPr>
          <w:rFonts w:ascii="Times New Roman" w:hAnsi="Times New Roman" w:cs="Times New Roman"/>
          <w:sz w:val="22"/>
          <w:szCs w:val="22"/>
        </w:rPr>
        <w:t>La previsión de la demanda debe considerar la disponibilidad de proveedores externos de información meteorológica relevante a los tipos de pronósticos a realizar, como parte del SCADA/EMS.</w:t>
      </w:r>
    </w:p>
    <w:p w14:paraId="548CC170" w14:textId="77777777" w:rsidR="00C00755" w:rsidRPr="00576AF8" w:rsidRDefault="00C00755" w:rsidP="00C00755">
      <w:pPr>
        <w:numPr>
          <w:ilvl w:val="0"/>
          <w:numId w:val="226"/>
        </w:numPr>
        <w:rPr>
          <w:sz w:val="22"/>
          <w:szCs w:val="22"/>
        </w:rPr>
      </w:pPr>
      <w:r w:rsidRPr="00576AF8">
        <w:rPr>
          <w:sz w:val="22"/>
          <w:szCs w:val="22"/>
        </w:rPr>
        <w:t>Los predictores podrán hacer uso de múltiples métodos basados en técnicas considerando redes neuronales (para los pronósticos de corto plazo), técnicas de regresión lineal múltiple para los horizontes de mediano plazo y pronósticos de Días Equivalentes</w:t>
      </w:r>
    </w:p>
    <w:p w14:paraId="36E5D628" w14:textId="77777777" w:rsidR="009102A7" w:rsidRPr="00576AF8" w:rsidRDefault="009102A7" w:rsidP="009102A7">
      <w:pPr>
        <w:numPr>
          <w:ilvl w:val="0"/>
          <w:numId w:val="226"/>
        </w:numPr>
        <w:rPr>
          <w:sz w:val="22"/>
          <w:szCs w:val="22"/>
        </w:rPr>
      </w:pPr>
      <w:r w:rsidRPr="00576AF8">
        <w:rPr>
          <w:sz w:val="22"/>
          <w:szCs w:val="22"/>
        </w:rPr>
        <w:t>La aplicación de pronósticos a ofertar debe hacer uso de las mejores prácticas de la ciencia e ingeniería de datos y utilizar técnicas que permitan disponer de pronósticos precisos y confiables, sin que para ello se requiera de experiencia previa o conocimiento detallado de los modelos utilizados.</w:t>
      </w:r>
    </w:p>
    <w:p w14:paraId="2A5588A9" w14:textId="77777777" w:rsidR="009102A7" w:rsidRPr="00576AF8" w:rsidRDefault="009102A7" w:rsidP="009102A7">
      <w:pPr>
        <w:numPr>
          <w:ilvl w:val="0"/>
          <w:numId w:val="226"/>
        </w:numPr>
        <w:rPr>
          <w:sz w:val="22"/>
          <w:szCs w:val="22"/>
        </w:rPr>
      </w:pPr>
      <w:r w:rsidRPr="00576AF8">
        <w:rPr>
          <w:sz w:val="22"/>
          <w:szCs w:val="22"/>
        </w:rPr>
        <w:t xml:space="preserve">Pronóstico de día equivalente:  La función de pronóstico dispondrá de un modelo de "Pronóstico de día equivalente". Con el mismo, el Operador podrá realizar el pronóstico para un día particular por selección y comparación de patrones de carga y clima especificados por el usuario para ese día, con la base de datos histórica y seleccionando el día histórico cuyos patrones de carga y clima que a su criterio coincidan mejor con el patrón previsto para el día real. En el pronóstico por día equivalente, el operador también tendrá la capacidad de modificar los datos del programa de entrada y salida. </w:t>
      </w:r>
      <w:r w:rsidR="00C00755" w:rsidRPr="00576AF8">
        <w:rPr>
          <w:sz w:val="22"/>
          <w:szCs w:val="22"/>
        </w:rPr>
        <w:t xml:space="preserve">El pronóstico se limitará a un solo día, en términos de carga horaria y consideración de cuatro variables climáticas: temperatura, humedad, velocidad del viento y nubosidad. Para permitir el uso de este tipo de pronósticos, la base de datos histórica de demanda e información meteorológica para cada día del año, hasta por dos (2) años deberá ser asequible. Estos datos se almacenarán en tablas de la base de datos por fecha y tipo de día. Para obtener un pronóstico para uno o más días, el usuario especificará los datos de carga y meteorológicos para cada día a pronosticar pudiendo aplicar restricciones de búsqueda. La búsqueda en la base de datos histórica se podrá restringir según cualquier combinación de tipos de años, meses y días. El usuario puede especificar, por ejemplo, que el esquema de coincidencia de días similar o equivalente se restrinja a uno o más tipos de días en lugar de comparar los patrones de carga y clima pronosticados con todos los tipos de días en la base de datos histórica. Las restricciones de búsqueda deben especificarse de forma independiente para cada día que se va a pronosticar. En el pronóstico por día similar o equivalente, el operador también tendrá la capacidad de modificar los datos del programa de entrada y salida. </w:t>
      </w:r>
      <w:r w:rsidRPr="00576AF8">
        <w:rPr>
          <w:sz w:val="22"/>
          <w:szCs w:val="22"/>
        </w:rPr>
        <w:t>El proceso de predicción de la demanda permitirá las siguientes modificaciones por parte del usuario:</w:t>
      </w:r>
    </w:p>
    <w:p w14:paraId="2E6883DA" w14:textId="77777777" w:rsidR="009102A7" w:rsidRPr="00576AF8" w:rsidRDefault="009102A7" w:rsidP="009102A7">
      <w:pPr>
        <w:numPr>
          <w:ilvl w:val="0"/>
          <w:numId w:val="2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Sumar una constante</w:t>
      </w:r>
    </w:p>
    <w:p w14:paraId="7A970E78" w14:textId="77777777" w:rsidR="009102A7" w:rsidRPr="00576AF8" w:rsidRDefault="009102A7" w:rsidP="009102A7">
      <w:pPr>
        <w:numPr>
          <w:ilvl w:val="0"/>
          <w:numId w:val="2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Multiplicación por una constante</w:t>
      </w:r>
    </w:p>
    <w:p w14:paraId="10130E5A" w14:textId="77777777" w:rsidR="009102A7" w:rsidRPr="00576AF8" w:rsidRDefault="009102A7" w:rsidP="009102A7">
      <w:pPr>
        <w:numPr>
          <w:ilvl w:val="0"/>
          <w:numId w:val="2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Especificación del nuevo pico diario</w:t>
      </w:r>
    </w:p>
    <w:p w14:paraId="461A56CE"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065"/>
        <w:rPr>
          <w:rFonts w:eastAsia="Calibri"/>
          <w:sz w:val="22"/>
          <w:szCs w:val="22"/>
          <w:lang w:val="es-419" w:eastAsia="en-US" w:bidi="ar-SA"/>
        </w:rPr>
      </w:pPr>
    </w:p>
    <w:p w14:paraId="7B80FAF1" w14:textId="77777777" w:rsidR="00F67DF5" w:rsidRPr="00576AF8" w:rsidRDefault="00F67DF5" w:rsidP="00F67DF5">
      <w:pPr>
        <w:pStyle w:val="Level1Letter"/>
        <w:numPr>
          <w:ilvl w:val="0"/>
          <w:numId w:val="226"/>
        </w:numPr>
        <w:rPr>
          <w:rFonts w:ascii="Times New Roman" w:hAnsi="Times New Roman" w:cs="Times New Roman"/>
          <w:sz w:val="22"/>
          <w:szCs w:val="22"/>
        </w:rPr>
      </w:pPr>
      <w:r w:rsidRPr="00576AF8">
        <w:rPr>
          <w:rFonts w:ascii="Times New Roman" w:hAnsi="Times New Roman" w:cs="Times New Roman"/>
          <w:sz w:val="22"/>
          <w:szCs w:val="22"/>
        </w:rPr>
        <w:t>La herramienta de pronósticos permitirá un seguimiento de los cambios en los datos para mejorar la comprensión de cuáles datos utilizados son relevantes cómo insumos, permitiendo de esta manera pronosticar picos y valles con mayor precisión.</w:t>
      </w:r>
    </w:p>
    <w:p w14:paraId="1E27F526" w14:textId="77777777" w:rsidR="00F67DF5" w:rsidRPr="00576AF8" w:rsidRDefault="00F67DF5" w:rsidP="00F67DF5">
      <w:pPr>
        <w:pStyle w:val="Level1Letter"/>
        <w:numPr>
          <w:ilvl w:val="0"/>
          <w:numId w:val="226"/>
        </w:numPr>
        <w:rPr>
          <w:rFonts w:ascii="Times New Roman" w:hAnsi="Times New Roman" w:cs="Times New Roman"/>
          <w:sz w:val="22"/>
          <w:szCs w:val="22"/>
        </w:rPr>
      </w:pPr>
      <w:r w:rsidRPr="00576AF8">
        <w:rPr>
          <w:rFonts w:ascii="Times New Roman" w:hAnsi="Times New Roman" w:cs="Times New Roman"/>
          <w:sz w:val="22"/>
          <w:szCs w:val="22"/>
        </w:rPr>
        <w:t>Deberá disponerse de mecanismos que permitan medir la precisión de los pronósticos como el error porcentual absoluto medio (MAPE).</w:t>
      </w:r>
    </w:p>
    <w:p w14:paraId="7DF4878C" w14:textId="77777777" w:rsidR="00F67DF5" w:rsidRPr="00576AF8" w:rsidRDefault="00F67DF5" w:rsidP="00F67DF5">
      <w:pPr>
        <w:pStyle w:val="Level1Letter"/>
        <w:numPr>
          <w:ilvl w:val="0"/>
          <w:numId w:val="226"/>
        </w:numPr>
        <w:rPr>
          <w:rFonts w:ascii="Times New Roman" w:hAnsi="Times New Roman" w:cs="Times New Roman"/>
          <w:sz w:val="22"/>
          <w:szCs w:val="22"/>
        </w:rPr>
      </w:pPr>
      <w:r w:rsidRPr="00576AF8">
        <w:rPr>
          <w:rFonts w:ascii="Times New Roman" w:hAnsi="Times New Roman" w:cs="Times New Roman"/>
          <w:sz w:val="22"/>
          <w:szCs w:val="22"/>
        </w:rPr>
        <w:t>La aplicación de pronósticos permitirá al Operador realizar la simulación de escenarios del tipo “qué pasaría si” con el fin de comparar y disponer de resultados para condiciones como temperaturas extremas, eventos especiales, etc.</w:t>
      </w:r>
    </w:p>
    <w:p w14:paraId="2900F069" w14:textId="77777777" w:rsidR="00F67DF5" w:rsidRPr="00576AF8" w:rsidRDefault="00F67DF5" w:rsidP="00F67DF5">
      <w:pPr>
        <w:pStyle w:val="Level1Letter"/>
        <w:numPr>
          <w:ilvl w:val="0"/>
          <w:numId w:val="226"/>
        </w:numPr>
        <w:rPr>
          <w:rFonts w:ascii="Times New Roman" w:hAnsi="Times New Roman" w:cs="Times New Roman"/>
          <w:sz w:val="22"/>
          <w:szCs w:val="22"/>
        </w:rPr>
      </w:pPr>
      <w:r w:rsidRPr="00576AF8">
        <w:rPr>
          <w:rFonts w:ascii="Times New Roman" w:hAnsi="Times New Roman" w:cs="Times New Roman"/>
          <w:sz w:val="22"/>
          <w:szCs w:val="22"/>
        </w:rPr>
        <w:t xml:space="preserve">La aplicación </w:t>
      </w:r>
      <w:r w:rsidR="007D5CA5" w:rsidRPr="00576AF8">
        <w:rPr>
          <w:rFonts w:ascii="Times New Roman" w:hAnsi="Times New Roman" w:cs="Times New Roman"/>
          <w:sz w:val="22"/>
          <w:szCs w:val="22"/>
        </w:rPr>
        <w:t>será instalada en la zona de servicios corporativos,</w:t>
      </w:r>
      <w:r w:rsidRPr="00576AF8">
        <w:rPr>
          <w:rFonts w:ascii="Times New Roman" w:hAnsi="Times New Roman" w:cs="Times New Roman"/>
          <w:sz w:val="22"/>
          <w:szCs w:val="22"/>
        </w:rPr>
        <w:t xml:space="preserve"> permitiendo interfaces configurables y sencillas con sistemas externos de proveedores de datos meteorológicos e internamente con el historiador, desde donde se podrán extraer series históricas de demanda y producción de renovables.</w:t>
      </w:r>
    </w:p>
    <w:p w14:paraId="2413AB03" w14:textId="77777777" w:rsidR="009102A7" w:rsidRPr="00576AF8" w:rsidRDefault="009102A7" w:rsidP="009102A7">
      <w:pPr>
        <w:numPr>
          <w:ilvl w:val="0"/>
          <w:numId w:val="226"/>
        </w:numPr>
        <w:rPr>
          <w:sz w:val="22"/>
          <w:szCs w:val="22"/>
        </w:rPr>
      </w:pPr>
      <w:r w:rsidRPr="00576AF8">
        <w:rPr>
          <w:sz w:val="22"/>
          <w:szCs w:val="22"/>
        </w:rPr>
        <w:t>Los resultados de los pronósticos podrán ser exportados a otros sistemas, y a otras aplicaciones del SCADA-EMS y también en tablas específicas del historiador.</w:t>
      </w:r>
    </w:p>
    <w:p w14:paraId="219454C7" w14:textId="77777777" w:rsidR="009102A7" w:rsidRPr="00576AF8" w:rsidRDefault="009102A7" w:rsidP="009102A7">
      <w:pPr>
        <w:numPr>
          <w:ilvl w:val="0"/>
          <w:numId w:val="226"/>
        </w:numPr>
        <w:rPr>
          <w:sz w:val="22"/>
          <w:szCs w:val="22"/>
        </w:rPr>
      </w:pPr>
      <w:r w:rsidRPr="00576AF8">
        <w:rPr>
          <w:sz w:val="22"/>
          <w:szCs w:val="22"/>
        </w:rPr>
        <w:t>El Operador puede iniciar la ejecución del programa bajo demanda. La intervención del Operador se limitará a la designación del período de pronóstico y los parámetros meteorológicos pronosticados durante el mismo período.</w:t>
      </w:r>
    </w:p>
    <w:p w14:paraId="52852318" w14:textId="77777777" w:rsidR="004F0A2D" w:rsidRPr="00576AF8" w:rsidRDefault="004F0A2D" w:rsidP="009102A7">
      <w:pPr>
        <w:numPr>
          <w:ilvl w:val="0"/>
          <w:numId w:val="226"/>
        </w:numPr>
        <w:rPr>
          <w:sz w:val="22"/>
          <w:szCs w:val="22"/>
        </w:rPr>
      </w:pPr>
      <w:r w:rsidRPr="00576AF8">
        <w:rPr>
          <w:sz w:val="22"/>
          <w:szCs w:val="22"/>
        </w:rPr>
        <w:t>El programa utilizará parámetros de pronóstico del tiempo predeterminados (cambiables por el usuario), para permitir que el operador del sistema ingrese cualquiera o ninguna de las entradas de pronóstico del tiempo permitidas para el período de pronóstico seleccionado.</w:t>
      </w:r>
    </w:p>
    <w:p w14:paraId="58A03086" w14:textId="77777777" w:rsidR="009102A7" w:rsidRPr="00576AF8" w:rsidRDefault="009102A7" w:rsidP="009102A7">
      <w:pPr>
        <w:numPr>
          <w:ilvl w:val="0"/>
          <w:numId w:val="226"/>
        </w:numPr>
        <w:rPr>
          <w:sz w:val="22"/>
          <w:szCs w:val="22"/>
        </w:rPr>
      </w:pPr>
      <w:r w:rsidRPr="00576AF8">
        <w:rPr>
          <w:sz w:val="22"/>
          <w:szCs w:val="22"/>
        </w:rPr>
        <w:t>El Operador también tendrá la capacidad de modificar los datos del programa de entrada y salida.</w:t>
      </w:r>
    </w:p>
    <w:p w14:paraId="14727899" w14:textId="77777777" w:rsidR="004F0A2D" w:rsidRPr="00576AF8" w:rsidRDefault="004F0A2D" w:rsidP="009102A7">
      <w:pPr>
        <w:numPr>
          <w:ilvl w:val="0"/>
          <w:numId w:val="226"/>
        </w:numPr>
        <w:rPr>
          <w:sz w:val="22"/>
          <w:szCs w:val="22"/>
        </w:rPr>
      </w:pPr>
      <w:r w:rsidRPr="00576AF8">
        <w:rPr>
          <w:sz w:val="22"/>
          <w:szCs w:val="22"/>
        </w:rPr>
        <w:t>La aplicación permitirá automatizar procesos y programar la activación automática de los mismos de forma periódica o a petición del Operador</w:t>
      </w:r>
    </w:p>
    <w:p w14:paraId="068938FD"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28"/>
        <w:rPr>
          <w:rFonts w:eastAsia="Calibri"/>
          <w:sz w:val="22"/>
          <w:szCs w:val="22"/>
          <w:lang w:eastAsia="en-US" w:bidi="ar-SA"/>
        </w:rPr>
      </w:pPr>
    </w:p>
    <w:p w14:paraId="595BE640" w14:textId="77777777" w:rsidR="009102A7" w:rsidRPr="00576AF8" w:rsidRDefault="009102A7" w:rsidP="009102A7">
      <w:pPr>
        <w:ind w:left="720" w:firstLine="696"/>
        <w:jc w:val="left"/>
        <w:outlineLvl w:val="2"/>
        <w:rPr>
          <w:bCs/>
          <w:sz w:val="22"/>
          <w:szCs w:val="22"/>
        </w:rPr>
      </w:pPr>
      <w:bookmarkStart w:id="978" w:name="_Toc148955191"/>
      <w:bookmarkStart w:id="979" w:name="_Toc150245401"/>
      <w:bookmarkStart w:id="980" w:name="_Toc158396667"/>
      <w:bookmarkStart w:id="981" w:name="_Toc159321175"/>
      <w:bookmarkStart w:id="982" w:name="_Toc160012878"/>
      <w:bookmarkStart w:id="983" w:name="_Toc160434888"/>
      <w:bookmarkStart w:id="984" w:name="_Toc160456006"/>
      <w:r w:rsidRPr="00576AF8">
        <w:rPr>
          <w:b/>
          <w:sz w:val="22"/>
          <w:szCs w:val="22"/>
        </w:rPr>
        <w:t xml:space="preserve">2.1.1.1.6.2 </w:t>
      </w:r>
      <w:r w:rsidRPr="00576AF8">
        <w:rPr>
          <w:b/>
          <w:bCs/>
          <w:sz w:val="22"/>
          <w:szCs w:val="22"/>
        </w:rPr>
        <w:t>Pronóstico a Corto y Mediano Plazo de la Generación de Energía Solar Fotovoltaica (PV)</w:t>
      </w:r>
      <w:bookmarkEnd w:id="978"/>
      <w:bookmarkEnd w:id="979"/>
      <w:bookmarkEnd w:id="980"/>
      <w:r w:rsidRPr="00576AF8">
        <w:rPr>
          <w:bCs/>
          <w:sz w:val="22"/>
          <w:szCs w:val="22"/>
        </w:rPr>
        <w:t xml:space="preserve"> </w:t>
      </w:r>
      <w:bookmarkEnd w:id="981"/>
      <w:bookmarkEnd w:id="982"/>
      <w:bookmarkEnd w:id="983"/>
      <w:bookmarkEnd w:id="984"/>
    </w:p>
    <w:p w14:paraId="359D02C3"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 requiere de un sistema de pronósticos que proporcione estimaciones precisas de la producción de energía solar para plantas fotovoltaicas para las próximas horas (24 horas) lo que permitirá pronosticar la generación que entregan de las centrales fotovoltaicas permitiendo una gestión más eficiente de la energía y la toma de decisiones operativas para la seguridad del sistema eléctrico.</w:t>
      </w:r>
    </w:p>
    <w:p w14:paraId="637FC0B0"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Esta misma aplicación se utilizará para planificar la producción de energía fotovoltaica como parte de la gestión de los recursos energéticos para ventanas de tiempo entre 24 y 168 horas adelante.</w:t>
      </w:r>
    </w:p>
    <w:p w14:paraId="37101593"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 xml:space="preserve">Para realizar los pronósticos, se requerirá disponer datos meteorológicos de una fuente confiable, a fin de obtener pronósticos confiables para la operación de plantas solares fotovoltaicas.  </w:t>
      </w:r>
    </w:p>
    <w:p w14:paraId="7F1888FB"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aplicación de pronósticos podrá ser una herramienta capaz de aplicar de manera eficiente los modelos más comunes utilizados en pronósticos a corto plazo de este tipo este tipo de generación.  Entre estos:</w:t>
      </w:r>
    </w:p>
    <w:p w14:paraId="6B4C0A8E" w14:textId="77777777" w:rsidR="009102A7" w:rsidRPr="00576AF8" w:rsidRDefault="009102A7" w:rsidP="009102A7">
      <w:pPr>
        <w:numPr>
          <w:ilvl w:val="0"/>
          <w:numId w:val="22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Modelos estadísticos: Estos modelos utilizan datos meteorológicos históricos y actuales de irradiancia, nubosidad y temperatura ambiente para generar pronósticos.</w:t>
      </w:r>
    </w:p>
    <w:p w14:paraId="5F3DCFB6" w14:textId="77777777" w:rsidR="009102A7" w:rsidRPr="00576AF8" w:rsidRDefault="009102A7" w:rsidP="009102A7">
      <w:pPr>
        <w:numPr>
          <w:ilvl w:val="0"/>
          <w:numId w:val="22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Modelos físicos: Estos modelos simulan el comportamiento del sistema fotovoltaico para generar pronósticos.</w:t>
      </w:r>
    </w:p>
    <w:p w14:paraId="61566922" w14:textId="77777777" w:rsidR="009102A7" w:rsidRPr="00576AF8" w:rsidRDefault="009102A7" w:rsidP="009102A7">
      <w:pPr>
        <w:numPr>
          <w:ilvl w:val="0"/>
          <w:numId w:val="22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Modelos híbridos: Estos modelos combinan elementos de modelos estadísticos y físicos.</w:t>
      </w:r>
    </w:p>
    <w:p w14:paraId="4B0C2C65"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los pronósticos a mediano plazo, los modelos a considerar serán los siguientes:</w:t>
      </w:r>
    </w:p>
    <w:p w14:paraId="2D0FFFE0" w14:textId="77777777" w:rsidR="009102A7" w:rsidRPr="00576AF8" w:rsidRDefault="009102A7" w:rsidP="009102A7">
      <w:pPr>
        <w:numPr>
          <w:ilvl w:val="0"/>
          <w:numId w:val="22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Modelos estadísticos: Estos modelos utilizan datos meteorológicos históricos y actuales de irradiancia, nubosidad y temperatura ambiente para generar pronósticos.</w:t>
      </w:r>
    </w:p>
    <w:p w14:paraId="59D7FE67" w14:textId="77777777" w:rsidR="009102A7" w:rsidRPr="00576AF8" w:rsidRDefault="009102A7" w:rsidP="009102A7">
      <w:pPr>
        <w:numPr>
          <w:ilvl w:val="0"/>
          <w:numId w:val="22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Modelos climáticos: Estos modelos utilizan datos climáticos históricos para generar pronósticos.</w:t>
      </w:r>
    </w:p>
    <w:p w14:paraId="4E47A0F1" w14:textId="77777777" w:rsidR="009102A7" w:rsidRPr="00576AF8" w:rsidRDefault="009102A7" w:rsidP="009102A7">
      <w:pPr>
        <w:numPr>
          <w:ilvl w:val="0"/>
          <w:numId w:val="22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Modelos híbridos: Estos modelos combinan elementos de modelos climáticos y estadísticos.</w:t>
      </w:r>
    </w:p>
    <w:p w14:paraId="2CF60A21"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Proveedor podrá proveer una función de pronósticos de corto y mediano plazo que sea basada en uno o varios de los modelos presentados, pudiendo considerar otros métodos de pronósticos que, con base a su experiencia, pudieran presentar resultados más precisos.  </w:t>
      </w:r>
    </w:p>
    <w:p w14:paraId="75EF5FE3" w14:textId="77777777" w:rsidR="009102A7" w:rsidRPr="00576AF8" w:rsidRDefault="009102A7" w:rsidP="009102A7">
      <w:pPr>
        <w:numPr>
          <w:ilvl w:val="0"/>
          <w:numId w:val="2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En todo caso, el modelo de pronóstico de energía solar fotovoltaica del Proveedor se creará utilizando resultados históricos y datos meteorológicos, incluida la temperatura, la nubosidad y la irradiancia.</w:t>
      </w:r>
    </w:p>
    <w:p w14:paraId="7B3E87BD" w14:textId="77777777" w:rsidR="009102A7" w:rsidRPr="00576AF8" w:rsidRDefault="009102A7" w:rsidP="009102A7">
      <w:pPr>
        <w:ind w:left="720"/>
        <w:contextualSpacing/>
        <w:rPr>
          <w:b/>
          <w:bCs/>
          <w:sz w:val="22"/>
          <w:szCs w:val="22"/>
        </w:rPr>
      </w:pPr>
    </w:p>
    <w:p w14:paraId="28EA5CAA" w14:textId="77777777" w:rsidR="009102A7" w:rsidRPr="00576AF8" w:rsidRDefault="009102A7" w:rsidP="009102A7">
      <w:pPr>
        <w:ind w:left="720" w:firstLine="696"/>
        <w:jc w:val="left"/>
        <w:outlineLvl w:val="2"/>
        <w:rPr>
          <w:b/>
          <w:sz w:val="22"/>
          <w:szCs w:val="22"/>
        </w:rPr>
      </w:pPr>
      <w:bookmarkStart w:id="985" w:name="_Toc148955192"/>
      <w:bookmarkStart w:id="986" w:name="_Toc150245402"/>
      <w:bookmarkStart w:id="987" w:name="_Toc159321176"/>
      <w:bookmarkStart w:id="988" w:name="_Toc158396668"/>
      <w:bookmarkStart w:id="989" w:name="_Toc160012879"/>
      <w:bookmarkStart w:id="990" w:name="_Toc160434889"/>
      <w:bookmarkStart w:id="991" w:name="_Toc160456007"/>
      <w:r w:rsidRPr="00576AF8">
        <w:rPr>
          <w:b/>
          <w:sz w:val="22"/>
          <w:szCs w:val="22"/>
        </w:rPr>
        <w:t>Requerimientos Técnicos</w:t>
      </w:r>
      <w:bookmarkEnd w:id="985"/>
      <w:bookmarkEnd w:id="986"/>
      <w:bookmarkEnd w:id="987"/>
      <w:bookmarkEnd w:id="988"/>
      <w:bookmarkEnd w:id="989"/>
      <w:bookmarkEnd w:id="990"/>
      <w:bookmarkEnd w:id="991"/>
    </w:p>
    <w:p w14:paraId="41F1BB1A" w14:textId="77777777" w:rsidR="009102A7" w:rsidRPr="00576AF8" w:rsidRDefault="009102A7" w:rsidP="009102A7">
      <w:pPr>
        <w:numPr>
          <w:ilvl w:val="0"/>
          <w:numId w:val="37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Precisión: El pronóstico será lo suficientemente preciso para que esa información sea utilizada en la operación del sistema eléctrico ecuatoriano.</w:t>
      </w:r>
    </w:p>
    <w:p w14:paraId="71A3AA03" w14:textId="77777777" w:rsidR="009102A7" w:rsidRPr="00576AF8" w:rsidRDefault="009102A7" w:rsidP="009102A7">
      <w:pPr>
        <w:numPr>
          <w:ilvl w:val="0"/>
          <w:numId w:val="37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Tiempo de respuesta: El pronóstico será generado en un tiempo suficiente para ser utilizado para la toma de decisiones.</w:t>
      </w:r>
    </w:p>
    <w:p w14:paraId="2EBE1F90" w14:textId="77777777" w:rsidR="009102A7" w:rsidRPr="00576AF8" w:rsidRDefault="009102A7" w:rsidP="009102A7">
      <w:pPr>
        <w:numPr>
          <w:ilvl w:val="0"/>
          <w:numId w:val="37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El sistema será escalable y permitir la actualización de modelos y algoritmos a medida de los avances en la investigación en energía solar.  Estos modelos deberán ser considerados dentro de los planes de mantenimiento y actualización, sin cargo por licencias o actualizaciones.</w:t>
      </w:r>
    </w:p>
    <w:p w14:paraId="4ECDB57F" w14:textId="77777777" w:rsidR="009102A7" w:rsidRPr="00576AF8" w:rsidRDefault="009102A7" w:rsidP="009102A7">
      <w:pPr>
        <w:numPr>
          <w:ilvl w:val="0"/>
          <w:numId w:val="37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Para cumplir los requerimientos técnicos de precisión y tiempo de respuesta, es importante disponer de una fuente adecuada de suministro de información meteorológica.</w:t>
      </w:r>
    </w:p>
    <w:p w14:paraId="44B8AF57" w14:textId="77777777" w:rsidR="009102A7" w:rsidRPr="00576AF8" w:rsidRDefault="009102A7" w:rsidP="009102A7">
      <w:pPr>
        <w:keepNext/>
        <w:keepLines/>
        <w:spacing w:before="240"/>
        <w:ind w:left="1843"/>
        <w:jc w:val="left"/>
        <w:outlineLvl w:val="4"/>
        <w:rPr>
          <w:b/>
          <w:sz w:val="22"/>
          <w:szCs w:val="22"/>
        </w:rPr>
      </w:pPr>
      <w:bookmarkStart w:id="992" w:name="_Toc160434890"/>
      <w:bookmarkStart w:id="993" w:name="_Toc160456008"/>
      <w:r w:rsidRPr="00576AF8">
        <w:rPr>
          <w:b/>
          <w:sz w:val="22"/>
          <w:szCs w:val="22"/>
        </w:rPr>
        <w:t>Adquisición de Datos</w:t>
      </w:r>
      <w:bookmarkEnd w:id="992"/>
      <w:bookmarkEnd w:id="993"/>
    </w:p>
    <w:p w14:paraId="7C2B6D26" w14:textId="77777777" w:rsidR="009102A7" w:rsidRPr="00576AF8" w:rsidRDefault="009102A7" w:rsidP="009102A7">
      <w:pPr>
        <w:numPr>
          <w:ilvl w:val="0"/>
          <w:numId w:val="3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rPr>
          <w:rFonts w:eastAsia="Calibri"/>
          <w:sz w:val="22"/>
          <w:szCs w:val="22"/>
          <w:lang w:val="es-419" w:eastAsia="en-US" w:bidi="ar-SA"/>
        </w:rPr>
      </w:pPr>
      <w:r w:rsidRPr="00576AF8">
        <w:rPr>
          <w:rFonts w:eastAsia="Calibri"/>
          <w:sz w:val="22"/>
          <w:szCs w:val="22"/>
          <w:lang w:val="es-419" w:eastAsia="en-US" w:bidi="ar-SA"/>
        </w:rPr>
        <w:t xml:space="preserve">Mediante la interfaz correspondiente, el sistema utilizará la información del sistema de Predicción Meteorológica, que será común a todas las aplicaciones </w:t>
      </w:r>
      <w:r w:rsidRPr="00576AF8">
        <w:rPr>
          <w:rFonts w:eastAsia="Calibri"/>
          <w:sz w:val="22"/>
          <w:szCs w:val="22"/>
          <w:lang w:val="es-419" w:eastAsia="en-US" w:bidi="ar-SA"/>
        </w:rPr>
        <w:lastRenderedPageBreak/>
        <w:t>pronóstico, descrita en la sección anterior.  Esta información alimentará al modelo matemático correspondiente para realizar el pronóstico de la generación de energía solar fotovoltaica en períodos horarios.</w:t>
      </w:r>
    </w:p>
    <w:p w14:paraId="29075520" w14:textId="77777777" w:rsidR="009102A7" w:rsidRPr="00576AF8" w:rsidRDefault="009102A7" w:rsidP="009102A7">
      <w:pPr>
        <w:numPr>
          <w:ilvl w:val="0"/>
          <w:numId w:val="3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rPr>
          <w:rFonts w:eastAsia="Calibri"/>
          <w:sz w:val="22"/>
          <w:szCs w:val="22"/>
          <w:lang w:val="es-419" w:eastAsia="en-US" w:bidi="ar-SA"/>
        </w:rPr>
      </w:pPr>
      <w:r w:rsidRPr="00576AF8">
        <w:rPr>
          <w:rFonts w:eastAsia="Calibri"/>
          <w:sz w:val="22"/>
          <w:szCs w:val="22"/>
          <w:lang w:val="es-419" w:eastAsia="en-US" w:bidi="ar-SA"/>
        </w:rPr>
        <w:t>Los modelos matemáticos deben considerar factores como la posición del sol, la irradiancia actual, la orientación de los paneles solares, la eficiencia de los paneles y la climatología local.</w:t>
      </w:r>
    </w:p>
    <w:p w14:paraId="19596C18" w14:textId="77777777" w:rsidR="009102A7" w:rsidRPr="00576AF8" w:rsidRDefault="009102A7" w:rsidP="009102A7">
      <w:pPr>
        <w:keepNext/>
        <w:keepLines/>
        <w:spacing w:before="240"/>
        <w:ind w:left="1843"/>
        <w:jc w:val="left"/>
        <w:outlineLvl w:val="4"/>
        <w:rPr>
          <w:b/>
          <w:sz w:val="22"/>
          <w:szCs w:val="22"/>
        </w:rPr>
      </w:pPr>
      <w:r w:rsidRPr="00576AF8">
        <w:rPr>
          <w:b/>
          <w:sz w:val="22"/>
          <w:szCs w:val="22"/>
        </w:rPr>
        <w:t>Utilización de la Información</w:t>
      </w:r>
    </w:p>
    <w:p w14:paraId="1694826E" w14:textId="77777777" w:rsidR="009102A7" w:rsidRPr="00576AF8" w:rsidRDefault="009102A7" w:rsidP="009102A7">
      <w:pPr>
        <w:numPr>
          <w:ilvl w:val="0"/>
          <w:numId w:val="33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284"/>
        <w:rPr>
          <w:rFonts w:eastAsia="Calibri"/>
          <w:sz w:val="22"/>
          <w:szCs w:val="22"/>
          <w:lang w:val="es-419" w:eastAsia="en-US" w:bidi="ar-SA"/>
        </w:rPr>
      </w:pPr>
      <w:r w:rsidRPr="00576AF8">
        <w:rPr>
          <w:rFonts w:eastAsia="Calibri"/>
          <w:sz w:val="22"/>
          <w:szCs w:val="22"/>
          <w:lang w:val="es-419" w:eastAsia="en-US" w:bidi="ar-SA"/>
        </w:rPr>
        <w:t>Optimización de la producción de energía: El pronóstico se utilizará para optimizar la producción de energía solar fotovoltaica de corto plazo, ajustando el pronóstico de la generación en función de las condiciones climáticas esperadas.</w:t>
      </w:r>
    </w:p>
    <w:p w14:paraId="5A5C61CB" w14:textId="77777777" w:rsidR="009102A7" w:rsidRPr="00576AF8" w:rsidRDefault="009102A7" w:rsidP="009102A7">
      <w:pPr>
        <w:numPr>
          <w:ilvl w:val="0"/>
          <w:numId w:val="33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284"/>
        <w:rPr>
          <w:rFonts w:eastAsia="Calibri"/>
          <w:sz w:val="22"/>
          <w:szCs w:val="22"/>
          <w:lang w:val="es-419" w:eastAsia="en-US" w:bidi="ar-SA"/>
        </w:rPr>
      </w:pPr>
      <w:r w:rsidRPr="00576AF8">
        <w:rPr>
          <w:rFonts w:eastAsia="Calibri"/>
          <w:sz w:val="22"/>
          <w:szCs w:val="22"/>
          <w:lang w:val="es-419" w:eastAsia="en-US" w:bidi="ar-SA"/>
        </w:rPr>
        <w:t xml:space="preserve">Operación de la red eléctrica: El pronóstico se utilizará para optimizar la operación de la red eléctrica en el horizonte de las próximas horas, proporcionando valores estimados de la generación y de la reserva que permitan la asignación del resto de las unidades del parque de generación considerando el pronóstico de demanda y los intercambios programados. </w:t>
      </w:r>
    </w:p>
    <w:p w14:paraId="25208C8D" w14:textId="77777777" w:rsidR="009102A7" w:rsidRPr="00576AF8" w:rsidRDefault="009102A7" w:rsidP="009102A7">
      <w:pPr>
        <w:numPr>
          <w:ilvl w:val="0"/>
          <w:numId w:val="33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284"/>
        <w:rPr>
          <w:rFonts w:eastAsia="Calibri"/>
          <w:sz w:val="22"/>
          <w:szCs w:val="22"/>
          <w:lang w:val="es-419" w:eastAsia="en-US" w:bidi="ar-SA"/>
        </w:rPr>
      </w:pPr>
      <w:r w:rsidRPr="00576AF8">
        <w:rPr>
          <w:rFonts w:eastAsia="Calibri"/>
          <w:sz w:val="22"/>
          <w:szCs w:val="22"/>
          <w:lang w:val="es-419" w:eastAsia="en-US" w:bidi="ar-SA"/>
        </w:rPr>
        <w:t>Gestión de los recursos energéticos: El pronóstico se utilizará para gestionar los recursos energéticos, permitiendo almacenar energía solar fotovoltaica de forma indirecta permitiendo desplazar otras fuentes, cuando la producción es alta y utilizar esta energía desplazada cuando la producción es baja.</w:t>
      </w:r>
    </w:p>
    <w:p w14:paraId="6CBCD4F6" w14:textId="77777777" w:rsidR="009102A7" w:rsidRPr="00576AF8" w:rsidRDefault="009102A7" w:rsidP="009102A7">
      <w:pPr>
        <w:keepNext/>
        <w:keepLines/>
        <w:spacing w:before="240"/>
        <w:ind w:left="1843"/>
        <w:jc w:val="left"/>
        <w:outlineLvl w:val="4"/>
        <w:rPr>
          <w:b/>
          <w:sz w:val="22"/>
          <w:szCs w:val="22"/>
        </w:rPr>
      </w:pPr>
      <w:bookmarkStart w:id="994" w:name="_Toc160434891"/>
      <w:bookmarkStart w:id="995" w:name="_Toc160456009"/>
      <w:bookmarkStart w:id="996" w:name="_Hlk160198953"/>
      <w:r w:rsidRPr="00576AF8">
        <w:rPr>
          <w:b/>
          <w:sz w:val="22"/>
          <w:szCs w:val="22"/>
        </w:rPr>
        <w:t>Visualización y Presentación de Información</w:t>
      </w:r>
      <w:bookmarkEnd w:id="994"/>
      <w:bookmarkEnd w:id="995"/>
    </w:p>
    <w:bookmarkEnd w:id="996"/>
    <w:p w14:paraId="2342D61C" w14:textId="77777777" w:rsidR="009102A7" w:rsidRPr="00576AF8" w:rsidRDefault="009102A7" w:rsidP="009102A7">
      <w:pPr>
        <w:numPr>
          <w:ilvl w:val="0"/>
          <w:numId w:val="34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Debe proporcionar una interfaz de usuario intuitiva que permita a los operadores de la sala de control acceder a los pronósticos y datos históricos de generación de energía fotovoltaica para facilitar la toma de decisiones de la operación del sistema en tiempo real.</w:t>
      </w:r>
    </w:p>
    <w:p w14:paraId="561CA3A6" w14:textId="77777777" w:rsidR="009102A7" w:rsidRPr="00576AF8" w:rsidRDefault="009102A7" w:rsidP="009102A7">
      <w:pPr>
        <w:numPr>
          <w:ilvl w:val="0"/>
          <w:numId w:val="34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Se incluirán despliegues gráficos y representaciones visuales que faciliten la comprensión de los pronósticos y su rápida respuesta en la operación del sistema eléctrico.</w:t>
      </w:r>
    </w:p>
    <w:p w14:paraId="23BEE8FB" w14:textId="77777777" w:rsidR="009102A7" w:rsidRPr="00576AF8" w:rsidRDefault="009102A7" w:rsidP="009102A7">
      <w:pPr>
        <w:numPr>
          <w:ilvl w:val="0"/>
          <w:numId w:val="34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El operador podrá activar la ejecución del programa, siendo la única información que el operador deba proporcionar sea: el período de pronóstico y los parámetros meteorológicos que se pronostican para ese período.</w:t>
      </w:r>
    </w:p>
    <w:p w14:paraId="6DFC9835" w14:textId="77777777" w:rsidR="009102A7" w:rsidRPr="00576AF8" w:rsidRDefault="009102A7" w:rsidP="009102A7">
      <w:pPr>
        <w:numPr>
          <w:ilvl w:val="0"/>
          <w:numId w:val="34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552" w:hanging="425"/>
        <w:rPr>
          <w:rFonts w:eastAsia="Calibri"/>
          <w:sz w:val="22"/>
          <w:szCs w:val="22"/>
          <w:lang w:val="es-419" w:eastAsia="en-US" w:bidi="ar-SA"/>
        </w:rPr>
      </w:pPr>
      <w:r w:rsidRPr="00576AF8">
        <w:rPr>
          <w:rFonts w:eastAsia="Calibri"/>
          <w:sz w:val="22"/>
          <w:szCs w:val="22"/>
          <w:lang w:val="es-419" w:eastAsia="en-US" w:bidi="ar-SA"/>
        </w:rPr>
        <w:t>Los datos de predicciones meteorológicas se utilizarán como datos de entrada para crear pronósticos de potencia de salida de las centrales solares fotovoltaicas en los programas de asignación de generación de mediano plazo. Los programas de Asignación de Generación no forman parte del alcance de esta especificación. Sin embargo, la aplicación de pronósticos dispondrá de medios para exportar las mismas en un formato flexible.</w:t>
      </w:r>
    </w:p>
    <w:p w14:paraId="0E681DD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p>
    <w:p w14:paraId="4B4DB339" w14:textId="77777777" w:rsidR="009102A7" w:rsidRPr="00576AF8" w:rsidRDefault="009102A7" w:rsidP="009102A7">
      <w:pPr>
        <w:ind w:left="720" w:firstLine="696"/>
        <w:jc w:val="left"/>
        <w:outlineLvl w:val="2"/>
        <w:rPr>
          <w:b/>
          <w:bCs/>
          <w:sz w:val="22"/>
          <w:szCs w:val="22"/>
        </w:rPr>
      </w:pPr>
      <w:bookmarkStart w:id="997" w:name="_Toc158396670"/>
      <w:bookmarkStart w:id="998" w:name="_Toc160012880"/>
      <w:bookmarkStart w:id="999" w:name="_Toc160434892"/>
      <w:bookmarkStart w:id="1000" w:name="_Toc160456010"/>
      <w:r w:rsidRPr="00576AF8">
        <w:rPr>
          <w:b/>
          <w:sz w:val="22"/>
          <w:szCs w:val="22"/>
        </w:rPr>
        <w:t xml:space="preserve">2.1.1.1.7 </w:t>
      </w:r>
      <w:r w:rsidRPr="00576AF8">
        <w:rPr>
          <w:b/>
          <w:bCs/>
          <w:sz w:val="22"/>
          <w:szCs w:val="22"/>
        </w:rPr>
        <w:t>SIMULADOR DE ENTRENAMIENTO DE OPERADORES (OTS)</w:t>
      </w:r>
      <w:bookmarkEnd w:id="997"/>
      <w:bookmarkEnd w:id="998"/>
      <w:bookmarkEnd w:id="999"/>
      <w:bookmarkEnd w:id="1000"/>
    </w:p>
    <w:p w14:paraId="7EE15DAE" w14:textId="77777777" w:rsidR="009102A7" w:rsidRPr="00576AF8" w:rsidRDefault="009102A7" w:rsidP="009102A7">
      <w:pPr>
        <w:ind w:left="720" w:firstLine="696"/>
        <w:jc w:val="left"/>
        <w:outlineLvl w:val="2"/>
        <w:rPr>
          <w:bCs/>
          <w:sz w:val="22"/>
          <w:szCs w:val="22"/>
        </w:rPr>
      </w:pPr>
      <w:bookmarkStart w:id="1001" w:name="_Toc148955195"/>
      <w:bookmarkStart w:id="1002" w:name="_Toc158396671"/>
      <w:bookmarkStart w:id="1003" w:name="_Toc160012881"/>
      <w:bookmarkStart w:id="1004" w:name="_Toc160434893"/>
      <w:bookmarkStart w:id="1005" w:name="_Toc160456011"/>
      <w:r w:rsidRPr="00576AF8">
        <w:rPr>
          <w:b/>
          <w:sz w:val="22"/>
          <w:szCs w:val="22"/>
        </w:rPr>
        <w:t xml:space="preserve">2.1.1.1.7.1 </w:t>
      </w:r>
      <w:r w:rsidRPr="00576AF8">
        <w:rPr>
          <w:b/>
          <w:bCs/>
          <w:sz w:val="22"/>
          <w:szCs w:val="22"/>
        </w:rPr>
        <w:t>Introducción</w:t>
      </w:r>
      <w:bookmarkEnd w:id="1001"/>
      <w:bookmarkEnd w:id="1002"/>
      <w:bookmarkEnd w:id="1003"/>
      <w:bookmarkEnd w:id="1004"/>
      <w:bookmarkEnd w:id="1005"/>
    </w:p>
    <w:p w14:paraId="26D3E375" w14:textId="77777777" w:rsidR="009102A7" w:rsidRPr="00576AF8" w:rsidRDefault="009102A7" w:rsidP="009102A7">
      <w:pPr>
        <w:ind w:left="1416" w:firstLine="12"/>
        <w:rPr>
          <w:sz w:val="22"/>
          <w:szCs w:val="22"/>
          <w:lang w:val="es-EC"/>
        </w:rPr>
      </w:pPr>
      <w:r w:rsidRPr="00576AF8">
        <w:rPr>
          <w:sz w:val="22"/>
          <w:szCs w:val="22"/>
          <w:lang w:val="es-EC"/>
        </w:rPr>
        <w:t>Los principales objetivos del simulador de entrenamiento de operadores OTS se presentan a continuación:</w:t>
      </w:r>
    </w:p>
    <w:p w14:paraId="29C9D41A"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419" w:eastAsia="en-US" w:bidi="ar-SA"/>
        </w:rPr>
      </w:pPr>
      <w:r w:rsidRPr="00576AF8">
        <w:rPr>
          <w:rFonts w:eastAsia="Calibri"/>
          <w:sz w:val="22"/>
          <w:szCs w:val="22"/>
          <w:lang w:val="es-419" w:eastAsia="en-US" w:bidi="ar-SA"/>
        </w:rPr>
        <w:t xml:space="preserve">Permitir que los operadores de la sala de control adquieran, practiquen y mejoren sus habilidades relacionadas con la operación del sistema eléctrico ecuatoriano en un entorno seguro y controlado.  El OTS permitirá interactuar con el sistema de potencia </w:t>
      </w:r>
      <w:r w:rsidRPr="00576AF8">
        <w:rPr>
          <w:rFonts w:eastAsia="Calibri"/>
          <w:sz w:val="22"/>
          <w:szCs w:val="22"/>
          <w:lang w:val="es-419" w:eastAsia="en-US" w:bidi="ar-SA"/>
        </w:rPr>
        <w:lastRenderedPageBreak/>
        <w:t xml:space="preserve">en estado cuasi-estacionario, el cual provee una réplica de las instalaciones del sistema de potencia disponibles en el SCADA/EMS. </w:t>
      </w:r>
    </w:p>
    <w:p w14:paraId="3EDA9FB2"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Proporcionar una simulación realista de los eventos de la red eléctrica en tiempo real para que los operadores de la sala de control puedan estar expuestos a una amplia gama de situaciones de operaciones complejas, así como enfrentar el proceso de restablecimiento. Esta simulación permitirá tomar acciones correctivas de forma interactiva. </w:t>
      </w:r>
    </w:p>
    <w:p w14:paraId="642D369F"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Permitir al operador entrenarse en ambientes de simulación de operación que involucren grandes perturbaciones, incluso apagones parciales o totales del sistema eléctrico, así como el entrenamiento en las acciones para restablecer el sistema. </w:t>
      </w:r>
    </w:p>
    <w:p w14:paraId="35954C20"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Realizar Análisis Post-mortem del sistema eléctrico. </w:t>
      </w:r>
    </w:p>
    <w:p w14:paraId="3B9643B6"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Mejorar la comunicación entre los operadores a fin de lograr una colaboración más efectiva para una mejor comprensión de los eventos y así mejorar las habilidades de trabajo en equipo. </w:t>
      </w:r>
    </w:p>
    <w:p w14:paraId="0EB08007"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Tener un respaldo en la operación del sistema eléctrico en tiempo real, puesto que, la sala de entrenamiento podrá ser utilizada como una sala de control de respaldo en casos de emergencia.  Con este objetivo, las consolas del OTS tendrán la posibilidad de conectarse al sistema de producción para la operación en tiempo real.</w:t>
      </w:r>
    </w:p>
    <w:p w14:paraId="242C3708"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simulador de entrenamiento del operador debe representar fielmente la dinámica de operación de la red eléctrica del sistema SCADA/EMS real, de tal forma que los operadores no puedan percibir diferencias en la operación en el OTS.  Esto incluye el comportamiento de la frecuencia, la variabilidad de la carga, las características operativas de VRE, acción de cambiadores de Taps de transformadores, operaciones de relés basadas en las condiciones operativas de red simuladas, incluyendo </w:t>
      </w:r>
      <w:proofErr w:type="gramStart"/>
      <w:r w:rsidR="00D350FB" w:rsidRPr="00576AF8">
        <w:rPr>
          <w:rFonts w:eastAsia="Calibri"/>
          <w:sz w:val="22"/>
          <w:szCs w:val="22"/>
          <w:lang w:val="es-419" w:eastAsia="en-US" w:bidi="ar-SA"/>
        </w:rPr>
        <w:t xml:space="preserve">el </w:t>
      </w:r>
      <w:r w:rsidRPr="00576AF8">
        <w:rPr>
          <w:rFonts w:eastAsia="Calibri"/>
          <w:sz w:val="22"/>
          <w:szCs w:val="22"/>
          <w:lang w:val="es-419" w:eastAsia="en-US" w:bidi="ar-SA"/>
        </w:rPr>
        <w:t>sistemas</w:t>
      </w:r>
      <w:proofErr w:type="gramEnd"/>
      <w:r w:rsidRPr="00576AF8">
        <w:rPr>
          <w:rFonts w:eastAsia="Calibri"/>
          <w:sz w:val="22"/>
          <w:szCs w:val="22"/>
          <w:lang w:val="es-419" w:eastAsia="en-US" w:bidi="ar-SA"/>
        </w:rPr>
        <w:t xml:space="preserve"> de control de generación como el AGC. </w:t>
      </w:r>
    </w:p>
    <w:p w14:paraId="4F47E102"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implementación del OTS no requerirá ninguna modificación o adición a la base de datos más allá de los parámetros que se requieren específicamente para la simulación.  Los despliegues serán los mismos utilizados para la supervisión y control en tiempo real. Los únicos despliegues diferentes serán aquellos que estén relacionados con actividades específicas del instructor, quien es el encargado de controlar las simulaciones del OTS dentro de las sesiones de entrenamiento, así como evaluar los resultados de estas sesiones.</w:t>
      </w:r>
    </w:p>
    <w:p w14:paraId="138FDEEC"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OTS utilizará las mismas aplicaciones disponibles y utilizadas en tiempo real, ya sea con fines de formación, entrenamiento o para probar nuevas aplicaciones; sin afectar el funcionamiento del sistema SCADA/EMS en tiempo real. Los ingenieros encargados de la administración funcional del OTS podrán utilizar instantáneas (</w:t>
      </w:r>
      <w:r w:rsidRPr="00576AF8">
        <w:rPr>
          <w:rFonts w:eastAsia="Calibri"/>
          <w:i/>
          <w:sz w:val="22"/>
          <w:szCs w:val="22"/>
          <w:lang w:val="es-419" w:eastAsia="en-US" w:bidi="ar-SA"/>
        </w:rPr>
        <w:t>snapshots</w:t>
      </w:r>
      <w:r w:rsidRPr="00576AF8">
        <w:rPr>
          <w:rFonts w:eastAsia="Calibri"/>
          <w:sz w:val="22"/>
          <w:szCs w:val="22"/>
          <w:lang w:val="es-419" w:eastAsia="en-US" w:bidi="ar-SA"/>
        </w:rPr>
        <w:t xml:space="preserve">) de los datos del sistema en tiempo real o de las soluciones de flujo de potencia del operador en el EMS o incluso de la solución del estimador de estado o flujos de potencia en el OTS, para crear casos base e inicializar el OTS en su estación de trabajo. </w:t>
      </w:r>
    </w:p>
    <w:p w14:paraId="1167CB5E"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Con el fin de apoyar una actividad formativa completa, se proporcionará al Instructor un conjunto de recursos para preparar ejercicios prácticos en forma de eventos de simulación, estudios de casos, evaluaciones del rendimiento de los alumnos, capacidades históricas con características equivalentes al sistema de tiempo real, gestión de escenarios para la simulación de eventos múltiples, entre otras. </w:t>
      </w:r>
    </w:p>
    <w:p w14:paraId="55F1A180"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OTS será un sistema total que incluya los entornos de Instructor y Alumno. En consecuencia, el Instructor que tiene despliegues específicos en el simulador, también puede acceder a cualquier despliegue utilizado por el alumno, e incluso a despliegues </w:t>
      </w:r>
      <w:r w:rsidRPr="00576AF8">
        <w:rPr>
          <w:rFonts w:eastAsia="Calibri"/>
          <w:sz w:val="22"/>
          <w:szCs w:val="22"/>
          <w:lang w:val="es-419" w:eastAsia="en-US" w:bidi="ar-SA"/>
        </w:rPr>
        <w:lastRenderedPageBreak/>
        <w:t xml:space="preserve">que presentan, por ejemplo, las áreas vecinas modeladas como sistemas externos en el simulador. </w:t>
      </w:r>
    </w:p>
    <w:p w14:paraId="31CD88DD"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Será posible crear escenarios de entrenamiento utilizando, tanto datos en tiempo real como datos históricos de eventos.  Lo anterior, permitirá la reproducción de eventos del sistema como un caso inicial y el OTS continuará con la simulación de la red eléctrica en función de las acciones del operador. </w:t>
      </w:r>
    </w:p>
    <w:p w14:paraId="35084633"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realizar todo tipo de maniobras de operación en la red y la simulación responderá en consecuencia dando respuestas realistas. La simulación advertirá automáticamente del exceso de niveles de cortocircuito, funcionamiento con puntos abiertos, cerrados, secciones de red eléctrica aisladas, circuitos, líneas y transformadores sobrecargados y secciones de bajo voltaje. Todas las aplicaciones del EMS y las funciones SCADA estarán disponibles en las instalaciones del OTS con los mismos algoritmos con los que funcionan en el SCADA/EMS de tiempo real.</w:t>
      </w:r>
    </w:p>
    <w:p w14:paraId="1979EA0C"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establecer escenarios de entrenamiento que presenten una serie de contingencias a los alumnos durante el período de una sesión de simulación. Las simulaciones realizadas no causarán ninguna perturbación del funcionamiento normal del sistema eléctrico real durante las sesiones de entrenamiento.  Tampoco afectarán la fiabilidad y disponibilidad del sistema SCADA/EMS de tiempo real durante estas sesiones.</w:t>
      </w:r>
    </w:p>
    <w:p w14:paraId="751487D4"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Para cumplir con los objetivos mencionados anteriormente, en el centro de entrenamiento, se requieren al menos tres estaciones de trabajo separadas para los estudiantes, una para el supervisor de turno y dos para operadores.  Adicionalmente, se requiere dos estaciones de trabajo para dos instructores. Esta configuración facilitará la formación de un equipo de turnos de al menos 3 personas, necesario en contingencias que involucren grandes perturbaciones y maniobras complejas, como arranques en negro Black Starts del sistema eléctrico y la atención de maniobras solicitadas por los alumnos a cargo de al menos dos instructores.</w:t>
      </w:r>
    </w:p>
    <w:p w14:paraId="2FABB612"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Todos los parches, arreglos </w:t>
      </w:r>
      <w:r w:rsidRPr="00576AF8">
        <w:rPr>
          <w:rFonts w:eastAsia="Calibri"/>
          <w:i/>
          <w:sz w:val="22"/>
          <w:szCs w:val="22"/>
          <w:lang w:val="es-419" w:eastAsia="en-US" w:bidi="ar-SA"/>
        </w:rPr>
        <w:t>fixes</w:t>
      </w:r>
      <w:r w:rsidRPr="00576AF8">
        <w:rPr>
          <w:rFonts w:eastAsia="Calibri"/>
          <w:sz w:val="22"/>
          <w:szCs w:val="22"/>
          <w:lang w:val="es-419" w:eastAsia="en-US" w:bidi="ar-SA"/>
        </w:rPr>
        <w:t xml:space="preserve"> realizados en las funciones del sistema SCADA/EMS de tiempo real y que involucre a funcionalidad utilizada en el OTS, serán aplicados a este último sistema, de tal forma que siempre se mantenga el ambiente de simulación lo más cercano al sistema de tiempo real.  </w:t>
      </w:r>
    </w:p>
    <w:p w14:paraId="6974934C" w14:textId="77777777" w:rsidR="009102A7" w:rsidRPr="00576AF8" w:rsidRDefault="009102A7" w:rsidP="009102A7">
      <w:pPr>
        <w:numPr>
          <w:ilvl w:val="0"/>
          <w:numId w:val="2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Proveedor debe proveer un simulador que cumpla con el estándar de EPRI para los simuladores de entrenamiento del operador. Las mejoras que disponga el Proveedor con respecto a los requisitos mínimos de EPRI se describirán claramente y se considerarán como parte del paquete Baseline, es decir, no podrán considerarse como opcionales, ni involucrarán costos adicionales para</w:t>
      </w:r>
      <w:r w:rsidR="00593894" w:rsidRPr="00576AF8">
        <w:rPr>
          <w:rFonts w:eastAsia="Calibri"/>
          <w:sz w:val="22"/>
          <w:szCs w:val="22"/>
          <w:lang w:val="es-419" w:eastAsia="en-US" w:bidi="ar-SA"/>
        </w:rPr>
        <w:t xml:space="preserve"> el Comprador</w:t>
      </w:r>
      <w:r w:rsidRPr="00576AF8">
        <w:rPr>
          <w:rFonts w:eastAsia="Calibri"/>
          <w:sz w:val="22"/>
          <w:szCs w:val="22"/>
          <w:lang w:val="es-419" w:eastAsia="en-US" w:bidi="ar-SA"/>
        </w:rPr>
        <w:t xml:space="preserve">.  Adicionalmente, el Proveedor explicará de manera detallada el algoritmo implementado para el OTS y toda su funcionalidad, incluyendo en la oferta técnica los artículos técnicos de referencia (papers) utilizados para implementar este simulador. </w:t>
      </w:r>
    </w:p>
    <w:p w14:paraId="3843C4BE" w14:textId="77777777" w:rsidR="009102A7" w:rsidRPr="00576AF8" w:rsidRDefault="009102A7" w:rsidP="009102A7">
      <w:pPr>
        <w:rPr>
          <w:sz w:val="22"/>
          <w:szCs w:val="22"/>
          <w:lang w:val="es-419"/>
        </w:rPr>
      </w:pPr>
    </w:p>
    <w:p w14:paraId="1ADF89B6" w14:textId="77777777" w:rsidR="009102A7" w:rsidRPr="00576AF8" w:rsidRDefault="009102A7" w:rsidP="009102A7">
      <w:pPr>
        <w:ind w:left="720" w:firstLine="696"/>
        <w:jc w:val="left"/>
        <w:outlineLvl w:val="2"/>
        <w:rPr>
          <w:bCs/>
          <w:sz w:val="22"/>
          <w:szCs w:val="22"/>
        </w:rPr>
      </w:pPr>
      <w:bookmarkStart w:id="1006" w:name="_Toc148955196"/>
      <w:bookmarkStart w:id="1007" w:name="_Toc158396672"/>
      <w:bookmarkStart w:id="1008" w:name="_Toc160012882"/>
      <w:bookmarkStart w:id="1009" w:name="_Toc160434894"/>
      <w:bookmarkStart w:id="1010" w:name="_Toc160456012"/>
      <w:r w:rsidRPr="00576AF8">
        <w:rPr>
          <w:b/>
          <w:sz w:val="22"/>
          <w:szCs w:val="22"/>
        </w:rPr>
        <w:t>2.1.1.1.7.2 Componentes</w:t>
      </w:r>
      <w:bookmarkEnd w:id="1006"/>
      <w:bookmarkEnd w:id="1007"/>
      <w:bookmarkEnd w:id="1008"/>
      <w:bookmarkEnd w:id="1009"/>
      <w:bookmarkEnd w:id="1010"/>
    </w:p>
    <w:p w14:paraId="0CB2D90C" w14:textId="77777777" w:rsidR="009102A7" w:rsidRPr="00576AF8" w:rsidRDefault="009102A7" w:rsidP="009102A7">
      <w:pPr>
        <w:ind w:left="1416" w:firstLine="12"/>
        <w:rPr>
          <w:sz w:val="22"/>
          <w:szCs w:val="22"/>
          <w:lang w:val="es-EC"/>
        </w:rPr>
      </w:pPr>
      <w:r w:rsidRPr="00576AF8">
        <w:rPr>
          <w:sz w:val="22"/>
          <w:szCs w:val="22"/>
          <w:lang w:val="es-EC"/>
        </w:rPr>
        <w:t xml:space="preserve">El OTS tiene los siguientes componentes funcionales principales: </w:t>
      </w:r>
    </w:p>
    <w:p w14:paraId="443D513D"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u w:val="single"/>
          <w:lang w:val="es-419" w:eastAsia="en-US" w:bidi="ar-SA"/>
        </w:rPr>
        <w:t>Simulador de Entrenamiento de Operador</w:t>
      </w:r>
      <w:r w:rsidRPr="00576AF8">
        <w:rPr>
          <w:rFonts w:eastAsia="Calibri"/>
          <w:sz w:val="22"/>
          <w:szCs w:val="22"/>
          <w:lang w:val="es-419" w:eastAsia="en-US" w:bidi="ar-SA"/>
        </w:rPr>
        <w:t xml:space="preserve"> proporciona un entorno para el entrenamiento de la operación del sistema eléctrico. Estará integrado por al menos cuatro módulos: </w:t>
      </w:r>
    </w:p>
    <w:p w14:paraId="7F626D9E" w14:textId="77777777" w:rsidR="009102A7" w:rsidRPr="00576AF8" w:rsidRDefault="009102A7" w:rsidP="009102A7">
      <w:pPr>
        <w:numPr>
          <w:ilvl w:val="0"/>
          <w:numId w:val="284"/>
        </w:numPr>
        <w:suppressAutoHyphens w:val="0"/>
        <w:spacing w:after="0"/>
        <w:contextualSpacing/>
        <w:rPr>
          <w:rFonts w:eastAsia="Arial"/>
          <w:color w:val="000000"/>
          <w:sz w:val="22"/>
          <w:szCs w:val="22"/>
          <w:lang w:val="es-EC" w:eastAsia="es-EC" w:bidi="ar-SA"/>
        </w:rPr>
      </w:pPr>
      <w:r w:rsidRPr="00576AF8">
        <w:rPr>
          <w:color w:val="000000"/>
          <w:sz w:val="22"/>
          <w:szCs w:val="22"/>
          <w:lang w:val="es-EC" w:eastAsia="es-EC" w:bidi="ar-SA"/>
        </w:rPr>
        <w:t>Módulo del Modelo de Sistema de Potencia o su equivalente</w:t>
      </w:r>
    </w:p>
    <w:p w14:paraId="7E144C24" w14:textId="77777777" w:rsidR="009102A7" w:rsidRPr="00576AF8" w:rsidRDefault="009102A7" w:rsidP="009102A7">
      <w:pPr>
        <w:numPr>
          <w:ilvl w:val="0"/>
          <w:numId w:val="284"/>
        </w:numPr>
        <w:suppressAutoHyphens w:val="0"/>
        <w:spacing w:after="0"/>
        <w:contextualSpacing/>
        <w:rPr>
          <w:rFonts w:eastAsia="Arial"/>
          <w:color w:val="000000"/>
          <w:sz w:val="22"/>
          <w:szCs w:val="22"/>
          <w:lang w:val="es-EC" w:eastAsia="es-EC" w:bidi="ar-SA"/>
        </w:rPr>
      </w:pPr>
      <w:r w:rsidRPr="00576AF8">
        <w:rPr>
          <w:color w:val="000000"/>
          <w:sz w:val="22"/>
          <w:szCs w:val="22"/>
          <w:lang w:val="es-EC" w:eastAsia="es-EC" w:bidi="ar-SA"/>
        </w:rPr>
        <w:t>Módulo de Instructor o su equivalente</w:t>
      </w:r>
    </w:p>
    <w:p w14:paraId="6BBA0A1F" w14:textId="77777777" w:rsidR="009102A7" w:rsidRPr="00576AF8" w:rsidRDefault="009102A7" w:rsidP="009102A7">
      <w:pPr>
        <w:numPr>
          <w:ilvl w:val="0"/>
          <w:numId w:val="284"/>
        </w:numPr>
        <w:suppressAutoHyphens w:val="0"/>
        <w:spacing w:after="0"/>
        <w:contextualSpacing/>
        <w:rPr>
          <w:rFonts w:eastAsia="Arial"/>
          <w:color w:val="000000"/>
          <w:sz w:val="22"/>
          <w:szCs w:val="22"/>
          <w:lang w:val="es-EC" w:eastAsia="es-EC" w:bidi="ar-SA"/>
        </w:rPr>
      </w:pPr>
      <w:r w:rsidRPr="00576AF8">
        <w:rPr>
          <w:color w:val="000000"/>
          <w:sz w:val="22"/>
          <w:szCs w:val="22"/>
          <w:lang w:val="es-EC" w:eastAsia="es-EC" w:bidi="ar-SA"/>
        </w:rPr>
        <w:lastRenderedPageBreak/>
        <w:t>Modelo de Telemetría y sistema de procesamiento de datos simulado o su equivalente</w:t>
      </w:r>
    </w:p>
    <w:p w14:paraId="5B2329A4" w14:textId="77777777" w:rsidR="009102A7" w:rsidRPr="00576AF8" w:rsidRDefault="009102A7" w:rsidP="009102A7">
      <w:pPr>
        <w:numPr>
          <w:ilvl w:val="0"/>
          <w:numId w:val="284"/>
        </w:numPr>
        <w:suppressAutoHyphens w:val="0"/>
        <w:spacing w:after="0"/>
        <w:contextualSpacing/>
        <w:rPr>
          <w:rFonts w:eastAsia="Arial"/>
          <w:color w:val="000000"/>
          <w:sz w:val="22"/>
          <w:szCs w:val="22"/>
          <w:lang w:val="es-EC" w:eastAsia="es-EC" w:bidi="ar-SA"/>
        </w:rPr>
      </w:pPr>
      <w:r w:rsidRPr="00576AF8">
        <w:rPr>
          <w:color w:val="000000"/>
          <w:sz w:val="22"/>
          <w:szCs w:val="22"/>
          <w:lang w:val="es-EC" w:eastAsia="es-EC" w:bidi="ar-SA"/>
        </w:rPr>
        <w:t>Módulo de Simulación del sistema SCADA/EMS</w:t>
      </w:r>
    </w:p>
    <w:p w14:paraId="6F016572"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u w:val="single"/>
          <w:lang w:val="es-419" w:eastAsia="en-US" w:bidi="ar-SA"/>
        </w:rPr>
        <w:t>El Módulo del Modelo de Sistema de Potencia</w:t>
      </w:r>
      <w:r w:rsidRPr="00576AF8">
        <w:rPr>
          <w:rFonts w:eastAsia="Calibri"/>
          <w:sz w:val="22"/>
          <w:szCs w:val="22"/>
          <w:lang w:val="es-419" w:eastAsia="en-US" w:bidi="ar-SA"/>
        </w:rPr>
        <w:t xml:space="preserve"> proporcionará una representación realista de las respuestas dinámicas de estado cuasi-estacionario, a corto y largo plazo del sistema de potencia. La respuesta a los cambios en el sistema simulado será de tal manera que, en una sesión de entrenamiento, el operador observe comportamientos equivalentes del sistema eléctrico con respecto a los controles, de la misma forma como si estuviera interactuando con el sistema eléctrico real. El modelo de sistema de potencia será manejado por un motor de simulación dinámica capaz de simular dinámicas transitorias. Se basará en un modelo electromecánico generalizado que incluya tanto al equipo eléctrico como a las centrales eléctricas. </w:t>
      </w:r>
    </w:p>
    <w:p w14:paraId="239DC3B2"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u w:val="single"/>
          <w:lang w:val="es-419" w:eastAsia="en-US" w:bidi="ar-SA"/>
        </w:rPr>
        <w:t>El módulo del sistema de potencia</w:t>
      </w:r>
      <w:r w:rsidRPr="00576AF8">
        <w:rPr>
          <w:rFonts w:eastAsia="Calibri"/>
          <w:sz w:val="22"/>
          <w:szCs w:val="22"/>
          <w:lang w:val="es-419" w:eastAsia="en-US" w:bidi="ar-SA"/>
        </w:rPr>
        <w:t xml:space="preserve"> incluirá el control automático de generación AGC propio del OTS para simular la actuación del AGC de áreas externas.  Los parámetros para sintonizar el AGC del OTS serán de fácil acceso y podrán ser configurables en despliegues del sistema del OTS de manera equivalente a los despliegues utilizados para sintonizar el AGC del EMS.</w:t>
      </w:r>
    </w:p>
    <w:p w14:paraId="7669521C"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u w:val="single"/>
          <w:lang w:val="es-419" w:eastAsia="en-US" w:bidi="ar-SA"/>
        </w:rPr>
        <w:t>El Módulo de Instructor</w:t>
      </w:r>
      <w:r w:rsidRPr="00576AF8">
        <w:rPr>
          <w:rFonts w:eastAsia="Calibri"/>
          <w:sz w:val="22"/>
          <w:szCs w:val="22"/>
          <w:lang w:val="es-419" w:eastAsia="en-US" w:bidi="ar-SA"/>
        </w:rPr>
        <w:t xml:space="preserve"> proporcionará la funcionalidad para que el instructor controle las sesiones de entrenamiento. Se compone de un conjunto de programas de utilidad, cada uno para una tarea específica. En una sesión de entrenamiento, el instructor utilizará este módulo para definir la condición inicial, cambiar las condiciones del sistema, especificar una lista de eventos que tendrán lugar durante el transcurso de la sesión, controlar instantáneas (</w:t>
      </w:r>
      <w:r w:rsidRPr="00576AF8">
        <w:rPr>
          <w:rFonts w:eastAsia="Calibri"/>
          <w:i/>
          <w:sz w:val="22"/>
          <w:szCs w:val="22"/>
          <w:lang w:val="es-419" w:eastAsia="en-US" w:bidi="ar-SA"/>
        </w:rPr>
        <w:t>snapshots</w:t>
      </w:r>
      <w:r w:rsidRPr="00576AF8">
        <w:rPr>
          <w:rFonts w:eastAsia="Calibri"/>
          <w:sz w:val="22"/>
          <w:szCs w:val="22"/>
          <w:lang w:val="es-419" w:eastAsia="en-US" w:bidi="ar-SA"/>
        </w:rPr>
        <w:t>), iniciar/detener una sesión, pausar/reanudar una sesión, atender las solicitudes del operador bajo entrenamiento para simular las actuaciones de operadores de centrales eléctricas y/o subestaciones y monitorear las acciones del estudiante. Adicionalmente, crear listas de ejecución de eventos, para simular eventos en cascada.  También será posible realizar cambios masivos para habilitar/deshabilitar relés o para realizar maniobras en otros elementos del sistema de potencia del OTS.</w:t>
      </w:r>
    </w:p>
    <w:p w14:paraId="41800331"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u w:val="single"/>
          <w:lang w:val="es-419" w:eastAsia="en-US" w:bidi="ar-SA"/>
        </w:rPr>
        <w:t>El Modelo de Telemetría</w:t>
      </w:r>
      <w:r w:rsidRPr="00576AF8">
        <w:rPr>
          <w:rFonts w:eastAsia="Calibri"/>
          <w:sz w:val="22"/>
          <w:szCs w:val="22"/>
          <w:lang w:val="es-419" w:eastAsia="en-US" w:bidi="ar-SA"/>
        </w:rPr>
        <w:t xml:space="preserve"> se encargará de realizar la simulación de señales de monitoreo y control del SCADA, es decir, la inclusión de retardos de tiempos producidos en la adquisición de datos, inclusión de ruidos aleatorios y errores en las mediciones para simular de forma más realista la incertidumbre de esta información proveniente del sistema SCADA.  Controlará todo el intercambio de datos entre el sistema de procesamiento de datos simulado (DPS) y el motor de simulación dinámica. Se diseñará de tal manera que, una copia del DPS utilizado para el control en tiempo real pueda utilizarse como DPS simulado en el entorno OTS, sin ninguna modificación. El módulo de relés debe responder utilizando datos de telemetría simulados y señales de control de procesos generadas por el estudiante a través del control de supervisión y las señales de control del AGC. </w:t>
      </w:r>
    </w:p>
    <w:p w14:paraId="670754ED"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u w:val="single"/>
          <w:lang w:val="es-419" w:eastAsia="en-US" w:bidi="ar-SA"/>
        </w:rPr>
        <w:t>El Módulo de Simulación del sistema SCADA/EMS</w:t>
      </w:r>
      <w:r w:rsidRPr="00576AF8">
        <w:rPr>
          <w:rFonts w:eastAsia="Calibri"/>
          <w:sz w:val="22"/>
          <w:szCs w:val="22"/>
          <w:lang w:val="es-419" w:eastAsia="en-US" w:bidi="ar-SA"/>
        </w:rPr>
        <w:t xml:space="preserve"> será una copia de las funciones del sistema SCADA/EMS en tiempo real que sean necesarias utilizar en el OTS para cumplir con todos los objetivos presentados en esta sección.</w:t>
      </w:r>
    </w:p>
    <w:p w14:paraId="1F51F80B"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rPr>
          <w:rFonts w:eastAsia="Calibri"/>
          <w:sz w:val="22"/>
          <w:szCs w:val="22"/>
          <w:lang w:val="es-419" w:eastAsia="en-US" w:bidi="ar-SA"/>
        </w:rPr>
      </w:pPr>
      <w:r w:rsidRPr="00576AF8">
        <w:rPr>
          <w:rFonts w:eastAsia="Calibri"/>
          <w:sz w:val="22"/>
          <w:szCs w:val="22"/>
          <w:lang w:val="es-419" w:eastAsia="en-US" w:bidi="ar-SA"/>
        </w:rPr>
        <w:t xml:space="preserve">El OTS debe interactuar con los siguientes subsistemas del sistema SCADA/EMS simulado: </w:t>
      </w:r>
    </w:p>
    <w:p w14:paraId="26A57FB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Funciones SCADA</w:t>
      </w:r>
      <w:r w:rsidRPr="00576AF8">
        <w:rPr>
          <w:color w:val="000000"/>
          <w:sz w:val="22"/>
          <w:szCs w:val="22"/>
          <w:lang w:val="es-EC" w:eastAsia="es-EC" w:bidi="ar-SA"/>
        </w:rPr>
        <w:t xml:space="preserve">. El OTS suministrará la telemetría simulada a las funciones SCADA y recibirá los comandos de control de ellas. Otras funciones EMS interactúan con el sistema eléctrico simulado a través de las funciones SCADA estándar. </w:t>
      </w:r>
    </w:p>
    <w:p w14:paraId="3621280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lastRenderedPageBreak/>
        <w:t>Estimador de Estado.</w:t>
      </w:r>
      <w:r w:rsidRPr="00576AF8">
        <w:rPr>
          <w:color w:val="000000"/>
          <w:sz w:val="22"/>
          <w:szCs w:val="22"/>
          <w:lang w:val="es-EC" w:eastAsia="es-EC" w:bidi="ar-SA"/>
        </w:rPr>
        <w:t xml:space="preserve"> El OTS utilizará la solución de estimación de estado en tiempo real para crear un caso base. </w:t>
      </w:r>
    </w:p>
    <w:p w14:paraId="310A911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Flujo de Potencia del Operador.</w:t>
      </w:r>
      <w:r w:rsidRPr="00576AF8">
        <w:rPr>
          <w:color w:val="000000"/>
          <w:sz w:val="22"/>
          <w:szCs w:val="22"/>
          <w:lang w:val="es-EC" w:eastAsia="es-EC" w:bidi="ar-SA"/>
        </w:rPr>
        <w:t xml:space="preserve"> Del mismo modo, el OTS puede utilizar la solución de flujo de potencia del operador (DPF) en modo de estudio para crear un caso base.  La solución del DPF podrá venir de un caso de estudio o de un histórico de almacenamiento de archivos masivos (datos post mortem) u otros datos históricos. </w:t>
      </w:r>
    </w:p>
    <w:p w14:paraId="7D6D817C"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 base de datos del simulador de entrenamiento del operador será una copia de la base de datos de tiempo real. Una base de datos OTS se puede guardar en un disco dedicado para su reutilización posterior. Durante la actualización de la base de datos OTS, la nueva base de datos se cargará desde el sistema en tiempo real, desde una de las bases de datos almacenadas o desde el estimador de estado y/o flujo de potencia del OTS.</w:t>
      </w:r>
    </w:p>
    <w:p w14:paraId="6D0D7997" w14:textId="77777777" w:rsidR="009102A7" w:rsidRPr="00576AF8" w:rsidRDefault="009102A7" w:rsidP="009102A7">
      <w:pPr>
        <w:numPr>
          <w:ilvl w:val="0"/>
          <w:numId w:val="2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componentes de hardware se listan en el Formulario de Oferta de Precios.</w:t>
      </w:r>
    </w:p>
    <w:p w14:paraId="38FE865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shd w:val="clear" w:color="auto" w:fill="F8F9FA"/>
          <w:lang w:val="es-419" w:eastAsia="en-US" w:bidi="ar-SA"/>
        </w:rPr>
      </w:pPr>
    </w:p>
    <w:p w14:paraId="1773EA5B" w14:textId="77777777" w:rsidR="009102A7" w:rsidRPr="00576AF8" w:rsidRDefault="009102A7" w:rsidP="009102A7">
      <w:pPr>
        <w:ind w:left="720" w:firstLine="696"/>
        <w:jc w:val="left"/>
        <w:outlineLvl w:val="2"/>
        <w:rPr>
          <w:bCs/>
          <w:sz w:val="22"/>
          <w:szCs w:val="22"/>
        </w:rPr>
      </w:pPr>
      <w:bookmarkStart w:id="1011" w:name="_Toc148955197"/>
      <w:bookmarkStart w:id="1012" w:name="_Toc158396673"/>
      <w:bookmarkStart w:id="1013" w:name="_Toc160012883"/>
      <w:bookmarkStart w:id="1014" w:name="_Toc160434895"/>
      <w:bookmarkStart w:id="1015" w:name="_Toc160456013"/>
      <w:r w:rsidRPr="00576AF8">
        <w:rPr>
          <w:b/>
          <w:sz w:val="22"/>
          <w:szCs w:val="22"/>
        </w:rPr>
        <w:t>2.1.1.1.7.3 Alcance</w:t>
      </w:r>
      <w:bookmarkEnd w:id="1011"/>
      <w:bookmarkEnd w:id="1012"/>
      <w:bookmarkEnd w:id="1013"/>
      <w:bookmarkEnd w:id="1014"/>
      <w:bookmarkEnd w:id="1015"/>
    </w:p>
    <w:p w14:paraId="54F2747B" w14:textId="77777777" w:rsidR="009102A7" w:rsidRPr="00576AF8" w:rsidRDefault="009102A7" w:rsidP="009102A7">
      <w:pPr>
        <w:numPr>
          <w:ilvl w:val="0"/>
          <w:numId w:val="34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funciones de la interfaz de usuario SCADA/EMS proporcionadas para el simulador de entrenamiento serán las mismas que las proporcionadas en la sala de control, excepto que las funciones de adquisición de datos se sustituirán por un simulador. No obstante, los casos guardados y las instantáneas (</w:t>
      </w:r>
      <w:r w:rsidRPr="00576AF8">
        <w:rPr>
          <w:rFonts w:eastAsia="Calibri"/>
          <w:i/>
          <w:sz w:val="22"/>
          <w:szCs w:val="22"/>
          <w:lang w:val="es-419" w:eastAsia="en-US" w:bidi="ar-SA"/>
        </w:rPr>
        <w:t>snapshots</w:t>
      </w:r>
      <w:r w:rsidRPr="00576AF8">
        <w:rPr>
          <w:rFonts w:eastAsia="Calibri"/>
          <w:sz w:val="22"/>
          <w:szCs w:val="22"/>
          <w:lang w:val="es-419" w:eastAsia="en-US" w:bidi="ar-SA"/>
        </w:rPr>
        <w:t>) de la base de datos disponibles en el sistema principal deberán cargarse y utilizarse en sesiones de simulación.</w:t>
      </w:r>
    </w:p>
    <w:p w14:paraId="746B8133" w14:textId="77777777" w:rsidR="009102A7" w:rsidRPr="00576AF8" w:rsidRDefault="009102A7" w:rsidP="009102A7">
      <w:pPr>
        <w:numPr>
          <w:ilvl w:val="0"/>
          <w:numId w:val="34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simulador de eventos proporcionará una simulación del sistema de potencia en tiempo real que ofrezca una perspectiva realista al estudiante. El programa de simulación mostrará a los estudiantes la redistribución de los voltajes y potencias de la red en función de las condiciones de funcionamiento simuladas. El modelo de simulación utilizado será idéntico al modelo de las aplicaciones de la red eléctrica utilizadas en tiempo real. </w:t>
      </w:r>
    </w:p>
    <w:p w14:paraId="5B487EA8" w14:textId="77777777" w:rsidR="009102A7" w:rsidRPr="00576AF8" w:rsidRDefault="009102A7" w:rsidP="009102A7">
      <w:pPr>
        <w:numPr>
          <w:ilvl w:val="0"/>
          <w:numId w:val="34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 proporcionarán facilidades al instructor para configurar cualquier número de secuencias predeterminadas de eventos cronológicos para cambiar el estado o el valor de cualquier punto definido en el modelo de simulación. Los puntos individuales se describirán en "archivos de escenarios". </w:t>
      </w:r>
    </w:p>
    <w:p w14:paraId="072FDA10" w14:textId="77777777" w:rsidR="009102A7" w:rsidRPr="00576AF8" w:rsidRDefault="009102A7" w:rsidP="009102A7">
      <w:pPr>
        <w:numPr>
          <w:ilvl w:val="0"/>
          <w:numId w:val="34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instructor será capaz de supervisar los acontecimientos simulados y las respuestas de los estudiantes durante la simulación y será capaz de introducir otros escenarios a voluntad. El instructor también podrá activar eventos individuales o cadenas de eventos desde la consola del instructor, sin que sea necesario configurarla previamente en un escenario. </w:t>
      </w:r>
    </w:p>
    <w:p w14:paraId="51CD41EC" w14:textId="77777777" w:rsidR="009102A7" w:rsidRPr="00576AF8" w:rsidRDefault="009102A7" w:rsidP="009102A7">
      <w:pPr>
        <w:numPr>
          <w:ilvl w:val="0"/>
          <w:numId w:val="34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 asignarán dos consolas específicas al instructor para supervisar las sesiones de entrenamiento. La interfaz IHM de los operadores durante </w:t>
      </w:r>
      <w:proofErr w:type="gramStart"/>
      <w:r w:rsidRPr="00576AF8">
        <w:rPr>
          <w:rFonts w:eastAsia="Calibri"/>
          <w:sz w:val="22"/>
          <w:szCs w:val="22"/>
          <w:lang w:val="es-419" w:eastAsia="en-US" w:bidi="ar-SA"/>
        </w:rPr>
        <w:t>la entrenamiento</w:t>
      </w:r>
      <w:proofErr w:type="gramEnd"/>
      <w:r w:rsidRPr="00576AF8">
        <w:rPr>
          <w:rFonts w:eastAsia="Calibri"/>
          <w:sz w:val="22"/>
          <w:szCs w:val="22"/>
          <w:lang w:val="es-419" w:eastAsia="en-US" w:bidi="ar-SA"/>
        </w:rPr>
        <w:t xml:space="preserve"> será la misma que la interfaz de los operadores de la sala de control. La interfaz del instructor será equivalente a la interfaz del operador, pero contendrá todas las herramientas para dirigir la simulación (inicio, parada, reinicio, instantáneas (</w:t>
      </w:r>
      <w:r w:rsidRPr="00576AF8">
        <w:rPr>
          <w:rFonts w:eastAsia="Calibri"/>
          <w:i/>
          <w:sz w:val="22"/>
          <w:szCs w:val="22"/>
          <w:lang w:val="es-419" w:eastAsia="en-US" w:bidi="ar-SA"/>
        </w:rPr>
        <w:t>snapshots</w:t>
      </w:r>
      <w:r w:rsidRPr="00576AF8">
        <w:rPr>
          <w:rFonts w:eastAsia="Calibri"/>
          <w:sz w:val="22"/>
          <w:szCs w:val="22"/>
          <w:lang w:val="es-419" w:eastAsia="en-US" w:bidi="ar-SA"/>
        </w:rPr>
        <w:t>), etc.) e introducir todos los eventos necesarios. Las funciones básicas disponibles en el entorno de simulación serán las mismas que las utilizadas en el sistema SCADA/EMS de tiempo real, incluidas las funciones SCADA, programación, despacho, AGC, funciones de análisis del sistema de potencia en tiempo real y modo de estudio, entre otras.</w:t>
      </w:r>
    </w:p>
    <w:p w14:paraId="4A66D7B8" w14:textId="77777777" w:rsidR="009102A7" w:rsidRPr="00576AF8" w:rsidRDefault="009102A7" w:rsidP="009102A7">
      <w:pPr>
        <w:numPr>
          <w:ilvl w:val="0"/>
          <w:numId w:val="34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El comportamiento de la red se presentará a la velocidad real o con algún factor de aceleración, al menos hasta cuatro veces y con algún factor de retardo, al menos hasta cuatro veces.</w:t>
      </w:r>
    </w:p>
    <w:p w14:paraId="666E97A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203"/>
        <w:rPr>
          <w:rFonts w:eastAsia="Calibri"/>
          <w:sz w:val="22"/>
          <w:szCs w:val="22"/>
          <w:lang w:val="es-419" w:eastAsia="en-US" w:bidi="ar-SA"/>
        </w:rPr>
      </w:pPr>
    </w:p>
    <w:p w14:paraId="3BBC5AB3" w14:textId="77777777" w:rsidR="009102A7" w:rsidRPr="00576AF8" w:rsidRDefault="009102A7" w:rsidP="009102A7">
      <w:pPr>
        <w:ind w:left="720" w:firstLine="696"/>
        <w:jc w:val="left"/>
        <w:outlineLvl w:val="2"/>
        <w:rPr>
          <w:bCs/>
          <w:sz w:val="22"/>
          <w:szCs w:val="22"/>
        </w:rPr>
      </w:pPr>
      <w:bookmarkStart w:id="1016" w:name="_Toc148955198"/>
      <w:bookmarkStart w:id="1017" w:name="_Toc158396674"/>
      <w:bookmarkStart w:id="1018" w:name="_Toc160012884"/>
      <w:bookmarkStart w:id="1019" w:name="_Toc160434896"/>
      <w:bookmarkStart w:id="1020" w:name="_Toc160456014"/>
      <w:r w:rsidRPr="00576AF8">
        <w:rPr>
          <w:b/>
          <w:sz w:val="22"/>
          <w:szCs w:val="22"/>
        </w:rPr>
        <w:t>2.1.1.1.7.4 Capacidades de Simulación</w:t>
      </w:r>
      <w:bookmarkEnd w:id="1016"/>
      <w:bookmarkEnd w:id="1017"/>
      <w:bookmarkEnd w:id="1018"/>
      <w:bookmarkEnd w:id="1019"/>
      <w:bookmarkEnd w:id="1020"/>
    </w:p>
    <w:p w14:paraId="43F062FD" w14:textId="77777777" w:rsidR="009102A7" w:rsidRPr="00576AF8" w:rsidRDefault="009102A7" w:rsidP="009102A7">
      <w:pPr>
        <w:numPr>
          <w:ilvl w:val="0"/>
          <w:numId w:val="34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las sesiones de entrenamiento, el OTS reproducirá las condiciones del sistema eléctrico real, permitiendo así a los operadores gestionar las tareas operativas y adquirir la experiencia de las diversas situaciones cotidianas, desde la emergencia hasta el funcionamiento normal. Actividades tales como: las decisiones a tomar en caso de pérdida de unidades de generación o disparo de equipos de red, incluyendo también los procedimientos de restauración de la red, se realizarán de manera fácil y segura con el OTS, que responderá en tiempo real como lo haría la verdadera red eléctrica. </w:t>
      </w:r>
    </w:p>
    <w:p w14:paraId="78125534" w14:textId="77777777" w:rsidR="009102A7" w:rsidRPr="00576AF8" w:rsidRDefault="009102A7" w:rsidP="009102A7">
      <w:pPr>
        <w:numPr>
          <w:ilvl w:val="0"/>
          <w:numId w:val="34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Las bases de datos utilizadas para el entorno de simulación serán, en su gran mayoría, idénticas a las bases de datos utilizadas para el sistema SCADA/EMS de tiempo real, es decir, las funciones SCADA, funciones de aplicación del sistema de potencia en tiempo real y modo de estudio, entre otras. Especialmente, las bases de datos relacionadas con la red eléctrica y los sistemas de generación serán idénticas. En consecuencia, las bases de datos configuradas para el entorno de simulación deben producirse simultáneamente, junto con las bases de datos configuradas para el entorno en tiempo real. Más concretamente, el OTS permitirá simular el sistema eléctrico de forma realista:</w:t>
      </w:r>
    </w:p>
    <w:p w14:paraId="725BAF2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 interfaz humano-máquina del OTS será idéntica a la interfaz humano-máquina del sistema en tiempo real. </w:t>
      </w:r>
    </w:p>
    <w:p w14:paraId="425BC11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procedimientos del OTS serán idénticos a los utilizados en el sistema en tiempo real. </w:t>
      </w:r>
    </w:p>
    <w:p w14:paraId="550B594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 respuesta temporal en el OTS será la misma que en el sistema en tiempo real. </w:t>
      </w:r>
    </w:p>
    <w:p w14:paraId="2F6E104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Será posible inicializar el OTS desde el sistema en tiempo real. </w:t>
      </w:r>
    </w:p>
    <w:p w14:paraId="2C725E5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Será posible inicializar el OTS a partir de casos guardados anteriormente. </w:t>
      </w:r>
    </w:p>
    <w:p w14:paraId="3A98EE9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inicializar el OTS a partir de archivos de datos históricos.</w:t>
      </w:r>
    </w:p>
    <w:p w14:paraId="1805F44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Será posible inicializar el OTS a partir de soluciones del estimador de estado y de flujos de potencia en el OTS</w:t>
      </w:r>
    </w:p>
    <w:p w14:paraId="3779A821" w14:textId="77777777" w:rsidR="009102A7" w:rsidRPr="00576AF8" w:rsidRDefault="009102A7" w:rsidP="009102A7">
      <w:pPr>
        <w:numPr>
          <w:ilvl w:val="0"/>
          <w:numId w:val="34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OTS permitirá simular de forma realista el comportamiento de la red eléctrica:</w:t>
      </w:r>
    </w:p>
    <w:p w14:paraId="5133CD6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Dará una respuesta en tiempo real a los operadores. </w:t>
      </w:r>
    </w:p>
    <w:p w14:paraId="4B5B08C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Las cargas tendrán en cuenta la dependencia del voltaje y la frecuencia. </w:t>
      </w:r>
    </w:p>
    <w:p w14:paraId="7E6DCFB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Será posible modelar directamente el carácter contingente de las cargas. </w:t>
      </w:r>
    </w:p>
    <w:p w14:paraId="55C70D4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modelarán las características de los valores telemedidos: retardos, errores, ruidos aleatorios. </w:t>
      </w:r>
    </w:p>
    <w:p w14:paraId="5056313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modelarán los efectos de los relés de protección relativos a sobrecargas o grandes variaciones de voltaje o frecuencia. </w:t>
      </w:r>
    </w:p>
    <w:p w14:paraId="15AA061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modelarán las condiciones de funcionamiento para situaciones normales, de emergencia o de restablecimiento de la red.</w:t>
      </w:r>
    </w:p>
    <w:p w14:paraId="36B73E73" w14:textId="77777777" w:rsidR="009102A7" w:rsidRPr="00576AF8" w:rsidRDefault="009102A7" w:rsidP="009102A7">
      <w:pPr>
        <w:numPr>
          <w:ilvl w:val="0"/>
          <w:numId w:val="34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proceso de entrenamiento será posible con o sin la ayuda del instructor.</w:t>
      </w:r>
      <w:bookmarkStart w:id="1021" w:name="_Toc148955199"/>
      <w:bookmarkStart w:id="1022" w:name="_Toc158396675"/>
      <w:bookmarkStart w:id="1023" w:name="_Toc160012885"/>
      <w:bookmarkStart w:id="1024" w:name="_Toc160434897"/>
      <w:bookmarkStart w:id="1025" w:name="_Toc160456015"/>
    </w:p>
    <w:p w14:paraId="2EE382D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345"/>
        <w:rPr>
          <w:rFonts w:eastAsia="Calibri"/>
          <w:sz w:val="22"/>
          <w:szCs w:val="22"/>
          <w:lang w:val="es-419" w:eastAsia="en-US" w:bidi="ar-SA"/>
        </w:rPr>
      </w:pPr>
    </w:p>
    <w:p w14:paraId="691E58E0" w14:textId="77777777" w:rsidR="009102A7" w:rsidRPr="00576AF8" w:rsidRDefault="009102A7" w:rsidP="009102A7">
      <w:pPr>
        <w:ind w:left="720" w:firstLine="696"/>
        <w:jc w:val="left"/>
        <w:outlineLvl w:val="2"/>
        <w:rPr>
          <w:bCs/>
          <w:sz w:val="22"/>
          <w:szCs w:val="22"/>
        </w:rPr>
      </w:pPr>
      <w:r w:rsidRPr="00576AF8">
        <w:rPr>
          <w:b/>
          <w:sz w:val="22"/>
          <w:szCs w:val="22"/>
        </w:rPr>
        <w:t>2.1.1.1.7.5 Modelos de Red</w:t>
      </w:r>
      <w:bookmarkEnd w:id="1021"/>
      <w:bookmarkEnd w:id="1022"/>
      <w:bookmarkEnd w:id="1023"/>
      <w:bookmarkEnd w:id="1024"/>
      <w:bookmarkEnd w:id="1025"/>
    </w:p>
    <w:p w14:paraId="4C44781E" w14:textId="77777777" w:rsidR="009102A7" w:rsidRPr="00576AF8" w:rsidRDefault="009102A7" w:rsidP="009102A7">
      <w:pPr>
        <w:numPr>
          <w:ilvl w:val="0"/>
          <w:numId w:val="343"/>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Durante la definición del modelo de red del simulador, se admitirán varias características esenciales para un simulador de entrenamiento:</w:t>
      </w:r>
    </w:p>
    <w:p w14:paraId="79C10291" w14:textId="77777777" w:rsidR="009102A7" w:rsidRPr="00576AF8" w:rsidRDefault="009102A7" w:rsidP="009102A7">
      <w:pPr>
        <w:suppressAutoHyphens w:val="0"/>
        <w:spacing w:after="0"/>
        <w:ind w:left="2215"/>
        <w:contextualSpacing/>
        <w:rPr>
          <w:color w:val="000000"/>
          <w:sz w:val="22"/>
          <w:szCs w:val="22"/>
          <w:lang w:val="es-EC" w:eastAsia="es-EC" w:bidi="ar-SA"/>
        </w:rPr>
      </w:pPr>
      <w:r w:rsidRPr="00576AF8">
        <w:rPr>
          <w:color w:val="000000"/>
          <w:sz w:val="22"/>
          <w:szCs w:val="22"/>
          <w:lang w:val="es-EC" w:eastAsia="es-EC" w:bidi="ar-SA"/>
        </w:rPr>
        <w:lastRenderedPageBreak/>
        <w:t xml:space="preserve"> </w:t>
      </w:r>
    </w:p>
    <w:p w14:paraId="7C8C758D" w14:textId="77777777" w:rsidR="009102A7" w:rsidRPr="00576AF8" w:rsidRDefault="009102A7" w:rsidP="009102A7">
      <w:pPr>
        <w:numPr>
          <w:ilvl w:val="0"/>
          <w:numId w:val="3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color w:val="000000"/>
          <w:sz w:val="22"/>
          <w:szCs w:val="22"/>
          <w:lang w:val="es-EC" w:eastAsia="es-EC" w:bidi="ar-SA"/>
        </w:rPr>
      </w:pPr>
      <w:r w:rsidRPr="00576AF8">
        <w:rPr>
          <w:color w:val="000000"/>
          <w:sz w:val="22"/>
          <w:szCs w:val="22"/>
          <w:lang w:val="es-EC" w:eastAsia="es-EC" w:bidi="ar-SA"/>
        </w:rPr>
        <w:t xml:space="preserve">El modelo funcionará en tiempo real </w:t>
      </w:r>
    </w:p>
    <w:p w14:paraId="33868C3F" w14:textId="77777777" w:rsidR="009102A7" w:rsidRPr="00576AF8" w:rsidRDefault="009102A7" w:rsidP="009102A7">
      <w:pPr>
        <w:numPr>
          <w:ilvl w:val="0"/>
          <w:numId w:val="3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color w:val="000000"/>
          <w:sz w:val="22"/>
          <w:szCs w:val="22"/>
          <w:lang w:val="es-EC" w:eastAsia="es-EC" w:bidi="ar-SA"/>
        </w:rPr>
      </w:pPr>
      <w:r w:rsidRPr="00576AF8">
        <w:rPr>
          <w:color w:val="000000"/>
          <w:sz w:val="22"/>
          <w:szCs w:val="22"/>
          <w:lang w:val="es-EC" w:eastAsia="es-EC" w:bidi="ar-SA"/>
        </w:rPr>
        <w:t xml:space="preserve">El modelo debe reflejar con precisión el comportamiento de la red eléctrica que el operador puede observar a través del sistema de adquisición de datos. </w:t>
      </w:r>
    </w:p>
    <w:p w14:paraId="4BBF27A0" w14:textId="77777777" w:rsidR="009102A7" w:rsidRPr="00576AF8" w:rsidRDefault="009102A7" w:rsidP="009102A7">
      <w:pPr>
        <w:numPr>
          <w:ilvl w:val="0"/>
          <w:numId w:val="3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color w:val="000000"/>
          <w:sz w:val="22"/>
          <w:szCs w:val="22"/>
          <w:lang w:val="es-EC" w:eastAsia="es-EC" w:bidi="ar-SA"/>
        </w:rPr>
      </w:pPr>
      <w:r w:rsidRPr="00576AF8">
        <w:rPr>
          <w:color w:val="000000"/>
          <w:sz w:val="22"/>
          <w:szCs w:val="22"/>
          <w:lang w:val="es-EC" w:eastAsia="es-EC" w:bidi="ar-SA"/>
        </w:rPr>
        <w:t xml:space="preserve">El modelo deberá estar suficientemente dimensionado para ofrecer una representación detallada de la red eléctrica gestionada por el operador y con un comportamiento dinámico equivalente preciso para el resto de la red eléctrica interconectada. </w:t>
      </w:r>
    </w:p>
    <w:p w14:paraId="7F5FFDB0" w14:textId="77777777" w:rsidR="009102A7" w:rsidRPr="00576AF8" w:rsidRDefault="009102A7" w:rsidP="009102A7">
      <w:pPr>
        <w:numPr>
          <w:ilvl w:val="0"/>
          <w:numId w:val="3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color w:val="000000"/>
          <w:sz w:val="22"/>
          <w:szCs w:val="22"/>
          <w:lang w:val="es-EC" w:eastAsia="es-EC" w:bidi="ar-SA"/>
        </w:rPr>
      </w:pPr>
      <w:r w:rsidRPr="00576AF8">
        <w:rPr>
          <w:color w:val="000000"/>
          <w:sz w:val="22"/>
          <w:szCs w:val="22"/>
          <w:lang w:val="es-EC" w:eastAsia="es-EC" w:bidi="ar-SA"/>
        </w:rPr>
        <w:t xml:space="preserve">El modelo será capaz de simular la respuesta a cualquier acción de control del operador en condiciones normales, de emergencia y de restauración. </w:t>
      </w:r>
    </w:p>
    <w:p w14:paraId="20943D9A" w14:textId="77777777" w:rsidR="009102A7" w:rsidRPr="00576AF8" w:rsidRDefault="009102A7" w:rsidP="009102A7">
      <w:pPr>
        <w:numPr>
          <w:ilvl w:val="0"/>
          <w:numId w:val="3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color w:val="000000"/>
          <w:sz w:val="22"/>
          <w:szCs w:val="22"/>
          <w:lang w:val="es-EC" w:eastAsia="es-EC" w:bidi="ar-SA"/>
        </w:rPr>
      </w:pPr>
      <w:r w:rsidRPr="00576AF8">
        <w:rPr>
          <w:color w:val="000000"/>
          <w:sz w:val="22"/>
          <w:szCs w:val="22"/>
          <w:lang w:val="es-EC" w:eastAsia="es-EC" w:bidi="ar-SA"/>
        </w:rPr>
        <w:t xml:space="preserve">El modelo será válido para condiciones normales y anormales de voltaje y frecuencia. </w:t>
      </w:r>
    </w:p>
    <w:p w14:paraId="720C0FBD"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 modelación de la red eléctrica se adaptará en función del calendario exigido. Para el simulador, el tiempo de respuesta de la red podrá ampliarse de unos segundos a varias horas, lo cual es conocido como dinámica lenta. </w:t>
      </w:r>
    </w:p>
    <w:p w14:paraId="53C4BAD9"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modelo de la red de transmisión incluirá la representación de disyuntores y equipos de conmutación, transformadores, incluidos los cambiadores de Taps bajo carga y sin carga, líneas de transmisión, capacitores shunt, reactores shunt, compensadores estáticos, capacitores en serie y desfasadores. </w:t>
      </w:r>
    </w:p>
    <w:p w14:paraId="3D40F3F8"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También estarán disponibles modelos para relés instantáneos de sobrecorriente, relés de tiempo inverso, relés de baja frecuencia, relés de sincronismo, relés de sobrefrecuencia, relés de sobre y bajo voltaje.  </w:t>
      </w:r>
    </w:p>
    <w:p w14:paraId="7FDC4276"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modelo de carga permitirá al instructor introducir un calendario que defina la curva de carga para los valores de potencia activa y reactiva para cada carga o grupo de cargas. Los efectos del voltaje y la frecuencia sobre las potencias activas y reactivas de las cargas serán ingresados por el instructor, junto con un componente de ruido aleatorio. </w:t>
      </w:r>
    </w:p>
    <w:p w14:paraId="3FEEB31C"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modelo de carga utilizado en el OTS será el mismo que el modelo de carga utilizado en las aplicaciones del sistema SCADA/EMS de tiempo real, pero para algunas aplicaciones, el modelo debe ampliarse considerando, por ejemplo, el modelo de captación de carga en frío. </w:t>
      </w:r>
    </w:p>
    <w:p w14:paraId="435A17F5"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 capacidad máxima de las aplicaciones del simulador será la misma que la capacidad máxima de las aplicaciones de los sistemas SCADA/EMS de tiempo real. Todos los equipos de la red eléctrica deben modelarse para observar el comportamiento cuasi-estacionario y dinámico con las limitaciones propias del simulador. </w:t>
      </w:r>
    </w:p>
    <w:p w14:paraId="7255E339" w14:textId="77777777" w:rsidR="009102A7" w:rsidRPr="00576AF8" w:rsidRDefault="009102A7" w:rsidP="009102A7">
      <w:pPr>
        <w:numPr>
          <w:ilvl w:val="0"/>
          <w:numId w:val="34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En cualquier caso, estos modelos deberán simularse correctamente: </w:t>
      </w:r>
    </w:p>
    <w:p w14:paraId="63FAFE03" w14:textId="77777777" w:rsidR="009102A7" w:rsidRPr="00576AF8" w:rsidRDefault="009102A7" w:rsidP="009102A7">
      <w:pPr>
        <w:ind w:left="1135" w:firstLine="708"/>
        <w:rPr>
          <w:rFonts w:eastAsia="Calibri"/>
          <w:sz w:val="22"/>
          <w:szCs w:val="22"/>
          <w:u w:val="single"/>
          <w:lang w:val="es-419" w:eastAsia="en-US" w:bidi="ar-SA"/>
        </w:rPr>
      </w:pPr>
    </w:p>
    <w:p w14:paraId="2EEFA01E" w14:textId="77777777" w:rsidR="009102A7" w:rsidRPr="00576AF8" w:rsidRDefault="009102A7" w:rsidP="009102A7">
      <w:pPr>
        <w:ind w:left="1135" w:firstLine="708"/>
        <w:rPr>
          <w:rFonts w:eastAsia="Calibri"/>
          <w:sz w:val="22"/>
          <w:szCs w:val="22"/>
          <w:u w:val="single"/>
          <w:lang w:val="es-419" w:eastAsia="en-US" w:bidi="ar-SA"/>
        </w:rPr>
      </w:pPr>
      <w:r w:rsidRPr="00576AF8">
        <w:rPr>
          <w:rFonts w:eastAsia="Calibri"/>
          <w:sz w:val="22"/>
          <w:szCs w:val="22"/>
          <w:u w:val="single"/>
          <w:lang w:val="es-419" w:eastAsia="en-US" w:bidi="ar-SA"/>
        </w:rPr>
        <w:t>Componentes de red:</w:t>
      </w:r>
    </w:p>
    <w:p w14:paraId="39DE6F5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Líneas de transmisión AC</w:t>
      </w:r>
    </w:p>
    <w:p w14:paraId="25636C8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Subestaciones/barras</w:t>
      </w:r>
    </w:p>
    <w:p w14:paraId="72462DE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Dispositivos de conmutación (interruptores y seccionadores)</w:t>
      </w:r>
    </w:p>
    <w:p w14:paraId="095D15F3" w14:textId="77777777" w:rsidR="009102A7" w:rsidRPr="00576AF8" w:rsidRDefault="009102A7" w:rsidP="009102A7">
      <w:pPr>
        <w:numPr>
          <w:ilvl w:val="0"/>
          <w:numId w:val="284"/>
        </w:numPr>
        <w:suppressAutoHyphens w:val="0"/>
        <w:spacing w:after="0"/>
        <w:contextualSpacing/>
        <w:rPr>
          <w:color w:val="000000"/>
          <w:sz w:val="22"/>
          <w:szCs w:val="22"/>
        </w:rPr>
      </w:pPr>
      <w:r w:rsidRPr="00576AF8">
        <w:rPr>
          <w:color w:val="000000"/>
          <w:sz w:val="22"/>
          <w:szCs w:val="22"/>
          <w:lang w:val="es-EC" w:eastAsia="es-EC" w:bidi="ar-SA"/>
        </w:rPr>
        <w:t>Transformadores con cambiadores de Taps sin carga y bajo carga</w:t>
      </w:r>
      <w:r w:rsidRPr="00576AF8">
        <w:rPr>
          <w:sz w:val="22"/>
          <w:szCs w:val="22"/>
        </w:rPr>
        <w:t xml:space="preserve">.  En el Ecuador se utilizan transformadores que disponen de dos cambiadores de Tap. Cambiadores de Tap sin carga, por lo general, en el lado primario y cambiadores de Tap con carga, por lo general, en el lado secundario.  Este tipo de transformadores será posible modelar y utilizar en el OTS </w:t>
      </w:r>
      <w:r w:rsidRPr="00576AF8">
        <w:rPr>
          <w:sz w:val="22"/>
          <w:szCs w:val="22"/>
        </w:rPr>
        <w:lastRenderedPageBreak/>
        <w:t xml:space="preserve">independientemente de donde se encuentre el cambiador de Taps con o sin carga. </w:t>
      </w:r>
    </w:p>
    <w:p w14:paraId="531FC2F3"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Transformadores Desfasadores</w:t>
      </w:r>
    </w:p>
    <w:p w14:paraId="0486BC8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Dispositivos fijos serie/paralelo </w:t>
      </w:r>
    </w:p>
    <w:p w14:paraId="3FFBF94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FACTS Dispositivos (SVC, TCSC, STATCOM) </w:t>
      </w:r>
    </w:p>
    <w:p w14:paraId="409748B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Enlaces HVDC (LCC, VSC)</w:t>
      </w:r>
    </w:p>
    <w:p w14:paraId="06CDCDE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5" w:firstLine="708"/>
        <w:rPr>
          <w:rFonts w:eastAsia="Calibri"/>
          <w:sz w:val="22"/>
          <w:szCs w:val="22"/>
          <w:u w:val="single"/>
          <w:lang w:val="es-419" w:eastAsia="en-US" w:bidi="ar-SA"/>
        </w:rPr>
      </w:pPr>
      <w:r w:rsidRPr="00576AF8">
        <w:rPr>
          <w:rFonts w:eastAsia="Calibri"/>
          <w:sz w:val="22"/>
          <w:szCs w:val="22"/>
          <w:u w:val="single"/>
          <w:lang w:val="es-419" w:eastAsia="en-US" w:bidi="ar-SA"/>
        </w:rPr>
        <w:t>Cargas:</w:t>
      </w:r>
    </w:p>
    <w:p w14:paraId="2061EC71"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Cargas estáticas y dinámicas (motores asíncronos). </w:t>
      </w:r>
    </w:p>
    <w:p w14:paraId="67B881BE"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Posible agregación zonal de cargas con patrón diferente para cada zona conocidas como cargas conformes. </w:t>
      </w:r>
    </w:p>
    <w:p w14:paraId="2C5635EF"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Cargas no conformes</w:t>
      </w:r>
    </w:p>
    <w:p w14:paraId="025FD87C"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5" w:firstLine="708"/>
        <w:rPr>
          <w:rFonts w:eastAsia="Calibri"/>
          <w:color w:val="000000"/>
          <w:sz w:val="22"/>
          <w:szCs w:val="22"/>
          <w:lang w:val="es-419" w:eastAsia="en-US" w:bidi="ar-SA"/>
        </w:rPr>
      </w:pPr>
      <w:r w:rsidRPr="00576AF8">
        <w:rPr>
          <w:rFonts w:eastAsia="Calibri"/>
          <w:sz w:val="22"/>
          <w:szCs w:val="22"/>
          <w:u w:val="single"/>
          <w:lang w:val="es-419" w:eastAsia="en-US" w:bidi="ar-SA"/>
        </w:rPr>
        <w:t>Generadores</w:t>
      </w:r>
      <w:r w:rsidRPr="00576AF8">
        <w:rPr>
          <w:rFonts w:eastAsia="Calibri"/>
          <w:sz w:val="22"/>
          <w:szCs w:val="22"/>
          <w:lang w:val="es-419" w:eastAsia="en-US" w:bidi="ar-SA"/>
        </w:rPr>
        <w:t xml:space="preserve">: </w:t>
      </w:r>
    </w:p>
    <w:p w14:paraId="3200CB8A" w14:textId="77777777" w:rsidR="009102A7" w:rsidRPr="00576AF8" w:rsidRDefault="009102A7" w:rsidP="009102A7">
      <w:pPr>
        <w:numPr>
          <w:ilvl w:val="0"/>
          <w:numId w:val="37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419" w:eastAsia="en-US" w:bidi="ar-SA"/>
        </w:rPr>
      </w:pPr>
      <w:r w:rsidRPr="00576AF8">
        <w:rPr>
          <w:rFonts w:eastAsia="Calibri"/>
          <w:sz w:val="22"/>
          <w:szCs w:val="22"/>
          <w:lang w:val="es-419" w:eastAsia="en-US" w:bidi="ar-SA"/>
        </w:rPr>
        <w:t>Modelización de la respuesta unitaria con diferentes niveles de complejidad dependiendo del tipo de simulación realizada</w:t>
      </w:r>
    </w:p>
    <w:p w14:paraId="638D3357"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Turbinas de vapor</w:t>
      </w:r>
    </w:p>
    <w:p w14:paraId="3AF78904"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Turbinas de gas</w:t>
      </w:r>
    </w:p>
    <w:p w14:paraId="45503452"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Unidades hidroeléctricas (generación/bombeo, etc.)</w:t>
      </w:r>
    </w:p>
    <w:p w14:paraId="30F40DC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Ciclos combinados</w:t>
      </w:r>
    </w:p>
    <w:p w14:paraId="1DC1328F"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Eólica/Solar </w:t>
      </w:r>
    </w:p>
    <w:p w14:paraId="17BD5252"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Almacenamiento de energía (BESS)</w:t>
      </w:r>
    </w:p>
    <w:p w14:paraId="550BDA5F"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Generación distribuida</w:t>
      </w:r>
    </w:p>
    <w:p w14:paraId="42C54C6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Cada grupo puede tener un perfil de generación provisional diferente </w:t>
      </w:r>
    </w:p>
    <w:p w14:paraId="2610AF6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5" w:firstLine="708"/>
        <w:rPr>
          <w:rFonts w:eastAsia="Calibri"/>
          <w:sz w:val="22"/>
          <w:szCs w:val="22"/>
          <w:u w:val="single"/>
          <w:lang w:val="es-419" w:eastAsia="en-US" w:bidi="ar-SA"/>
        </w:rPr>
      </w:pPr>
      <w:r w:rsidRPr="00576AF8">
        <w:rPr>
          <w:rFonts w:eastAsia="Calibri"/>
          <w:sz w:val="22"/>
          <w:szCs w:val="22"/>
          <w:u w:val="single"/>
          <w:lang w:val="es-419" w:eastAsia="en-US" w:bidi="ar-SA"/>
        </w:rPr>
        <w:t>Relés:</w:t>
      </w:r>
    </w:p>
    <w:p w14:paraId="692523A2"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Sobrefrecuencia y baja frecuencia</w:t>
      </w:r>
    </w:p>
    <w:p w14:paraId="50D4E04E"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Sobrevoltaje y bajo voltaje</w:t>
      </w:r>
    </w:p>
    <w:p w14:paraId="11AE041A"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Sobrepotencia/sobrecorriente</w:t>
      </w:r>
    </w:p>
    <w:p w14:paraId="5BE02545"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Distancia (impedancia)</w:t>
      </w:r>
    </w:p>
    <w:p w14:paraId="4102C160"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Recierre automático</w:t>
      </w:r>
    </w:p>
    <w:p w14:paraId="21C15CA3"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Diferencial</w:t>
      </w:r>
    </w:p>
    <w:p w14:paraId="120BAE1D"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Excitación insuficiente/excesiva</w:t>
      </w:r>
    </w:p>
    <w:p w14:paraId="65233A4B"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Pérdida de excitación</w:t>
      </w:r>
    </w:p>
    <w:p w14:paraId="13802C1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Desconexión de carga </w:t>
      </w:r>
    </w:p>
    <w:p w14:paraId="3727FD7E"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Relés de sincronismo</w:t>
      </w:r>
    </w:p>
    <w:p w14:paraId="143498C7"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Relés de tiempo inverso direccionales y no direccionales </w:t>
      </w:r>
    </w:p>
    <w:p w14:paraId="40D5C124"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Relés de MVA o relés de flujo de corriente</w:t>
      </w:r>
    </w:p>
    <w:p w14:paraId="635F5A6B"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u w:val="single"/>
          <w:lang w:val="es-419" w:eastAsia="en-US" w:bidi="ar-SA"/>
        </w:rPr>
      </w:pPr>
    </w:p>
    <w:p w14:paraId="5C1C9AA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5" w:firstLine="708"/>
        <w:rPr>
          <w:rFonts w:eastAsia="Calibri"/>
          <w:sz w:val="22"/>
          <w:szCs w:val="22"/>
          <w:u w:val="single"/>
          <w:lang w:val="es-419" w:eastAsia="en-US" w:bidi="ar-SA"/>
        </w:rPr>
      </w:pPr>
      <w:r w:rsidRPr="00576AF8">
        <w:rPr>
          <w:rFonts w:eastAsia="Calibri"/>
          <w:sz w:val="22"/>
          <w:szCs w:val="22"/>
          <w:u w:val="single"/>
          <w:lang w:val="es-419" w:eastAsia="en-US" w:bidi="ar-SA"/>
        </w:rPr>
        <w:t xml:space="preserve">Regulación (dependiendo del tipo de simulación): </w:t>
      </w:r>
    </w:p>
    <w:p w14:paraId="5064F19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Frecuencia primaria. </w:t>
      </w:r>
    </w:p>
    <w:p w14:paraId="4B945B2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Voltaje primario. </w:t>
      </w:r>
    </w:p>
    <w:p w14:paraId="1579132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Control de frecuencia de carga secundaria (regulación de importación de frecuencia y potencia). </w:t>
      </w:r>
    </w:p>
    <w:p w14:paraId="60E1676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Control de voltaje secundario (regulación de voltaje y potencia reactiva).</w:t>
      </w:r>
    </w:p>
    <w:p w14:paraId="4249EF1B" w14:textId="77777777" w:rsidR="009102A7" w:rsidRPr="00576AF8" w:rsidRDefault="009102A7" w:rsidP="009102A7">
      <w:pPr>
        <w:suppressAutoHyphens w:val="0"/>
        <w:spacing w:after="0"/>
        <w:ind w:left="3053"/>
        <w:contextualSpacing/>
        <w:rPr>
          <w:color w:val="000000"/>
          <w:sz w:val="22"/>
          <w:szCs w:val="22"/>
          <w:lang w:val="es-EC" w:eastAsia="es-EC" w:bidi="ar-SA"/>
        </w:rPr>
      </w:pPr>
    </w:p>
    <w:p w14:paraId="2966BA39" w14:textId="77777777" w:rsidR="009102A7" w:rsidRPr="00576AF8" w:rsidRDefault="009102A7" w:rsidP="009102A7">
      <w:pPr>
        <w:ind w:left="720" w:firstLine="696"/>
        <w:jc w:val="left"/>
        <w:outlineLvl w:val="2"/>
        <w:rPr>
          <w:bCs/>
          <w:sz w:val="22"/>
          <w:szCs w:val="22"/>
        </w:rPr>
      </w:pPr>
      <w:bookmarkStart w:id="1026" w:name="_Toc148955200"/>
      <w:bookmarkStart w:id="1027" w:name="_Toc158396676"/>
      <w:bookmarkStart w:id="1028" w:name="_Toc160012886"/>
      <w:bookmarkStart w:id="1029" w:name="_Toc160434898"/>
      <w:bookmarkStart w:id="1030" w:name="_Toc160456016"/>
      <w:r w:rsidRPr="00576AF8">
        <w:rPr>
          <w:b/>
          <w:sz w:val="22"/>
          <w:szCs w:val="22"/>
        </w:rPr>
        <w:t>2.1.1.1.7.6 Inicialización del Modelo de Red</w:t>
      </w:r>
      <w:bookmarkEnd w:id="1026"/>
      <w:bookmarkEnd w:id="1027"/>
      <w:bookmarkEnd w:id="1028"/>
      <w:bookmarkEnd w:id="1029"/>
      <w:bookmarkEnd w:id="1030"/>
    </w:p>
    <w:p w14:paraId="6502E742" w14:textId="77777777" w:rsidR="009102A7" w:rsidRPr="00576AF8" w:rsidRDefault="009102A7" w:rsidP="009102A7">
      <w:pPr>
        <w:numPr>
          <w:ilvl w:val="0"/>
          <w:numId w:val="34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Será posible inicializar el simulador a partir de los resultados de un cálculo de flujo de potencia y casos guardados del estimador de estado de tiempo real. También será posible inicializar el simulador a partir de soluciones de flujo de potencia y casos </w:t>
      </w:r>
      <w:r w:rsidRPr="00576AF8">
        <w:rPr>
          <w:color w:val="000000"/>
          <w:sz w:val="22"/>
          <w:szCs w:val="22"/>
          <w:lang w:val="es-EC" w:eastAsia="es-EC" w:bidi="ar-SA"/>
        </w:rPr>
        <w:lastRenderedPageBreak/>
        <w:t xml:space="preserve">guardados del estimador de estado del OTS. Además, será posible inicializar el simulador a partir del registro de datos históricos. </w:t>
      </w:r>
    </w:p>
    <w:p w14:paraId="3B6EC4EA" w14:textId="77777777" w:rsidR="009102A7" w:rsidRPr="00576AF8" w:rsidRDefault="009102A7" w:rsidP="009102A7">
      <w:pPr>
        <w:numPr>
          <w:ilvl w:val="0"/>
          <w:numId w:val="345"/>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simulador será capaz de funcionar con diferentes bases de datos para la formación del operador, incluidos diferentes niveles de demanda y diferentes configuraciones de la red.</w:t>
      </w:r>
    </w:p>
    <w:p w14:paraId="23851B1A" w14:textId="77777777" w:rsidR="009102A7" w:rsidRPr="00576AF8" w:rsidRDefault="009102A7" w:rsidP="009102A7">
      <w:pPr>
        <w:suppressAutoHyphens w:val="0"/>
        <w:spacing w:after="0"/>
        <w:ind w:left="2484"/>
        <w:contextualSpacing/>
        <w:rPr>
          <w:color w:val="000000"/>
          <w:sz w:val="22"/>
          <w:szCs w:val="22"/>
          <w:lang w:val="es-EC" w:eastAsia="es-EC" w:bidi="ar-SA"/>
        </w:rPr>
      </w:pPr>
    </w:p>
    <w:p w14:paraId="446D82F8" w14:textId="77777777" w:rsidR="009102A7" w:rsidRPr="00576AF8" w:rsidRDefault="009102A7" w:rsidP="009102A7">
      <w:pPr>
        <w:ind w:left="720" w:firstLine="696"/>
        <w:jc w:val="left"/>
        <w:outlineLvl w:val="2"/>
        <w:rPr>
          <w:bCs/>
          <w:sz w:val="22"/>
          <w:szCs w:val="22"/>
        </w:rPr>
      </w:pPr>
      <w:bookmarkStart w:id="1031" w:name="_Toc148955201"/>
      <w:bookmarkStart w:id="1032" w:name="_Toc158396677"/>
      <w:bookmarkStart w:id="1033" w:name="_Toc160012887"/>
      <w:bookmarkStart w:id="1034" w:name="_Toc160434899"/>
      <w:bookmarkStart w:id="1035" w:name="_Toc160456017"/>
      <w:r w:rsidRPr="00576AF8">
        <w:rPr>
          <w:b/>
          <w:sz w:val="22"/>
          <w:szCs w:val="22"/>
        </w:rPr>
        <w:t>2.1.1.1.7.7 Modelación de Relés</w:t>
      </w:r>
      <w:bookmarkEnd w:id="1031"/>
      <w:bookmarkEnd w:id="1032"/>
      <w:bookmarkEnd w:id="1033"/>
      <w:bookmarkEnd w:id="1034"/>
      <w:bookmarkEnd w:id="1035"/>
    </w:p>
    <w:p w14:paraId="38464BB8" w14:textId="77777777" w:rsidR="009102A7" w:rsidRPr="00576AF8" w:rsidRDefault="009102A7" w:rsidP="009102A7">
      <w:pPr>
        <w:numPr>
          <w:ilvl w:val="0"/>
          <w:numId w:val="34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proporcionarán modelos de relés de protección que disparen o cierren disyuntores e interruptores con el fin de proteger y controlar el sistema de potencia y sus componentes. </w:t>
      </w:r>
    </w:p>
    <w:p w14:paraId="7BD3B3B2" w14:textId="77777777" w:rsidR="009102A7" w:rsidRPr="00576AF8" w:rsidRDefault="009102A7" w:rsidP="009102A7">
      <w:pPr>
        <w:numPr>
          <w:ilvl w:val="0"/>
          <w:numId w:val="34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relés se modelarán de tal manera que las operaciones de conmutación automática en la red se representen con precisión en la simulación. Dichos relés se modelarán explícitamente para que entren en funcionamiento cuando determinadas variables simuladas alcancen los umbrales definidos. </w:t>
      </w:r>
    </w:p>
    <w:p w14:paraId="03A1BC6A" w14:textId="77777777" w:rsidR="009102A7" w:rsidRPr="00576AF8" w:rsidRDefault="009102A7" w:rsidP="009102A7">
      <w:pPr>
        <w:numPr>
          <w:ilvl w:val="0"/>
          <w:numId w:val="34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relés que operan rápidamente durante transitorios en el sistema no necesitan ser modelados y solo sus efectos se introducen en la simulación. Por ejemplo, un cortocircuito en una línea de transmisión de alto voltaje activa el relé de protección en unos pocos ciclos, pero este proceso debe modelarse en el escenario como el disparo de ciertos interruptores automáticos. </w:t>
      </w:r>
    </w:p>
    <w:p w14:paraId="6EC5CEA6" w14:textId="77777777" w:rsidR="009102A7" w:rsidRPr="00576AF8" w:rsidRDefault="009102A7" w:rsidP="009102A7">
      <w:pPr>
        <w:numPr>
          <w:ilvl w:val="0"/>
          <w:numId w:val="346"/>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Se representarán explícitamente los siguientes tipos de relés:</w:t>
      </w:r>
    </w:p>
    <w:p w14:paraId="3595B39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Relés de sobrefrecuencia y baja frecuencia que se activan por el valor de la frecuencia del sistema.</w:t>
      </w:r>
    </w:p>
    <w:p w14:paraId="4B174FF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Relés de sobrevoltaje y bajo voltaje que disparan interruptores de carga o generadores según el valor del voltaje de la barra. </w:t>
      </w:r>
    </w:p>
    <w:p w14:paraId="5862B13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Relés de sobrepotencia o sobrecorriente que abren un interruptor si la corriente, o la potencia activa, en un equipo es mayor a un valor definido.</w:t>
      </w:r>
    </w:p>
    <w:p w14:paraId="5D35243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Relés de distancia (impedancia) que miden la impedancia entre la ubicación del relé y el punto donde se encuentra el incidente de falla y lo comparan con el valor establecido. Si la impedancia medida es menor que el valor establecido, el relé operará y aislará la sección defectuosa. En el sistema eléctrico real, este tipo de relés se relacionan con mecanismos de recierre rápido y recierre lento. </w:t>
      </w:r>
    </w:p>
    <w:p w14:paraId="5ABBCD7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relés de recierre automático cerrarán nuevamente los disyuntores de la línea de transmisión después de que se hayan disparado. Por ejemplo, un extremo predefinido de una línea de transmisión disparada intentará al menos tres operaciones de recierre en momentos específicos.  El número de intentos de recierre será un valor configurable por el instructor o por el ingeniero de administración funcional del OTS. Si la línea tiene una falla permanente, las operaciones de recierre no tendrán éxito y no habrá ningún efecto en la simulación, excepto por el cierre y apertura del estado del interruptor. De lo contrario, el recierre exitoso en el extremo cercano se simulará en el flujo de potencia con el posterior recierre del extremo lejano. Los interruptores cercanos intentarán cerrarse nuevamente con un máximo de tres veces de acuerdo a la configuración de su valor. </w:t>
      </w:r>
    </w:p>
    <w:p w14:paraId="71C5320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relé diferencial funciona cuando hay una diferencia entre dos o más cantidades eléctricas equivalentes que excede un valor predeterminado. La polaridad y amplitud de ambas cantidades deben estar ajustadas de formal tal, que la suma fasorial de estas dos cantidades es cero, en condiciones normales de funcionamiento. Por lo tanto, no habrá corriente fluyendo a través del relé en condiciones normales de funcionamiento. Pero debido a cualquier anormalidad en el circuito de potencia, si se rompe este equilibrio, esto implica que la suma fasorial de estas dos cantidades ya no permanece en </w:t>
      </w:r>
      <w:r w:rsidRPr="00576AF8">
        <w:rPr>
          <w:color w:val="000000"/>
          <w:sz w:val="22"/>
          <w:szCs w:val="22"/>
          <w:lang w:val="es-EC" w:eastAsia="es-EC" w:bidi="ar-SA"/>
        </w:rPr>
        <w:lastRenderedPageBreak/>
        <w:t xml:space="preserve">cero, por lo tanto, habrá corriente distinta de cero fluyendo a través del relé, por lo que el relé operará. </w:t>
      </w:r>
    </w:p>
    <w:p w14:paraId="351C34EB"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Baja excitación o Pérdida de excitación. La pérdida de campo o excitación puede ser causada en el generador debido a una falla de excitación. En un generador de mayor tamaño, la energía para la excitación a menudo se toma de una fuente auxiliar separada o de un generador de CC accionado por separado. La falla del suministro auxiliar o la falla del motor de accionamiento también puede causar la pérdida de excitación en un generador. La falla de excitación que es la falla del sistema de campo en el generador hace que el generador funcione a una velocidad superior a la velocidad sincrónica. </w:t>
      </w:r>
    </w:p>
    <w:p w14:paraId="1626EC3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Relé de sobreexcitación utilizado para proteger el generador contra el sobrecalentamiento y la falla del aislamiento del devanado. El flujo excesivo moderado aumenta las pérdidas del núcleo, lo que resulta en un aumento de las temperaturas del núcleo debido a la pérdida de corrientes de histéresis y de Foucault. El exceso de flujo severo puede romper el aislamiento interlaminar seguido de una rápida fusión local del núcleo. El exceso de flujo normalmente puede ser causado por la velocidad excesiva de la turbina o la sobreexcitación durante la condición fuera de línea, y el rechazo de carga o el mal funcionamiento del AVR durante la condición en línea. En esa situación, el generador se convierte en un generador de inducción que extrae corriente de magnetización del sistema. Aunque esta situación no crea ningún problema en el sistema de inmediato, la sobrecarga del estator y el sobrecalentamiento del rotor debido al funcionamiento continuo de la máquina en este modo pueden crear problemas en el sistema a largo plazo. Por lo tanto, se tendrá especial cuidado para rectificar el campo o el sistema de excitación del generador inmediatamente después de la falla de ese sistema. El generador debe estar aislado del resto del sistema hasta que el sistema de campo se restaure adecuadamente. </w:t>
      </w:r>
    </w:p>
    <w:p w14:paraId="6E40F9C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Relés de baja frecuencia producen la desconexión de carga como protección a bajas frecuencias. A medida que disminuye la frecuencia del sistema, la carga se desconecta en pasos discretos de acuerdo con los umbrales de frecuencia establecidos.  Los relés de sobre y baja frecuencia se especifican mediante ajustes de frecuencia y retrasos. La frecuencia debe permanecer por encima o por debajo de la frecuencia especificada para el retraso establecido para que el relé opere. </w:t>
      </w:r>
    </w:p>
    <w:p w14:paraId="4DBC4F6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 modelarán relés de sincronismo que comprueben la magnitud del voltaje, los ángulos de fase y las frecuencias a través de un interruptor antes de intentar el cierre. Cuando ambos extremos de los interruptores están en la misma isla, la diferencia entre las magnitudes de voltaje y los ángulos de fase en los dos extremos será menor que un valor especificado para que se produzca el cierre. En el caso de que los dos extremos estén en islas diferentes, la verificación se realiza sobre la magnitud del voltaje y las diferencias de frecuencia. </w:t>
      </w:r>
    </w:p>
    <w:p w14:paraId="4C3E9D66" w14:textId="77777777" w:rsidR="009102A7" w:rsidRPr="00576AF8" w:rsidRDefault="009102A7" w:rsidP="009102A7">
      <w:pPr>
        <w:numPr>
          <w:ilvl w:val="0"/>
          <w:numId w:val="284"/>
        </w:numPr>
        <w:spacing w:after="0"/>
        <w:contextualSpacing/>
        <w:rPr>
          <w:color w:val="000000"/>
          <w:sz w:val="22"/>
          <w:szCs w:val="22"/>
          <w:lang w:val="es-EC" w:eastAsia="es-EC" w:bidi="ar-SA"/>
        </w:rPr>
      </w:pPr>
      <w:r w:rsidRPr="00576AF8">
        <w:rPr>
          <w:color w:val="000000"/>
          <w:sz w:val="22"/>
          <w:szCs w:val="22"/>
          <w:lang w:val="es-EC" w:eastAsia="es-EC" w:bidi="ar-SA"/>
        </w:rPr>
        <w:t>MVA de tiempo inverso direccional y no direccional o relés de flujo de corriente que disparan una línea o transformador si se excede un límite, MVA o corriente, durante un tiempo predefinido.</w:t>
      </w:r>
    </w:p>
    <w:p w14:paraId="19292561" w14:textId="77777777" w:rsidR="009102A7" w:rsidRPr="00576AF8" w:rsidRDefault="009102A7" w:rsidP="009102A7">
      <w:pPr>
        <w:spacing w:after="0"/>
        <w:ind w:left="3053"/>
        <w:contextualSpacing/>
        <w:rPr>
          <w:color w:val="000000"/>
          <w:sz w:val="22"/>
          <w:szCs w:val="22"/>
          <w:lang w:val="es-EC" w:eastAsia="es-EC" w:bidi="ar-SA"/>
        </w:rPr>
      </w:pPr>
    </w:p>
    <w:p w14:paraId="5A8BAD1D" w14:textId="77777777" w:rsidR="009102A7" w:rsidRPr="00576AF8" w:rsidRDefault="009102A7" w:rsidP="009102A7">
      <w:pPr>
        <w:ind w:left="720" w:firstLine="696"/>
        <w:jc w:val="left"/>
        <w:outlineLvl w:val="2"/>
        <w:rPr>
          <w:bCs/>
          <w:sz w:val="22"/>
          <w:szCs w:val="22"/>
        </w:rPr>
      </w:pPr>
      <w:bookmarkStart w:id="1036" w:name="_Toc148955202"/>
      <w:bookmarkStart w:id="1037" w:name="_Toc158396678"/>
      <w:bookmarkStart w:id="1038" w:name="_Toc160012888"/>
      <w:bookmarkStart w:id="1039" w:name="_Toc160434900"/>
      <w:bookmarkStart w:id="1040" w:name="_Toc160456018"/>
      <w:r w:rsidRPr="00576AF8">
        <w:rPr>
          <w:b/>
          <w:sz w:val="22"/>
          <w:szCs w:val="22"/>
        </w:rPr>
        <w:t>2.1.1.1.7.8 Características del OTS</w:t>
      </w:r>
      <w:bookmarkEnd w:id="1036"/>
      <w:bookmarkEnd w:id="1037"/>
      <w:bookmarkEnd w:id="1038"/>
      <w:bookmarkEnd w:id="1039"/>
      <w:bookmarkEnd w:id="1040"/>
    </w:p>
    <w:p w14:paraId="3B7D1830" w14:textId="77777777" w:rsidR="009102A7" w:rsidRPr="00576AF8" w:rsidRDefault="009102A7" w:rsidP="009102A7">
      <w:pPr>
        <w:numPr>
          <w:ilvl w:val="0"/>
          <w:numId w:val="347"/>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simulador presentará las siguientes características: </w:t>
      </w:r>
    </w:p>
    <w:p w14:paraId="4915BD6F" w14:textId="77777777" w:rsidR="009102A7" w:rsidRPr="00576AF8" w:rsidRDefault="009102A7" w:rsidP="009102A7">
      <w:pPr>
        <w:numPr>
          <w:ilvl w:val="0"/>
          <w:numId w:val="284"/>
        </w:numPr>
        <w:suppressAutoHyphens w:val="0"/>
        <w:spacing w:after="0"/>
        <w:contextualSpacing/>
        <w:rPr>
          <w:color w:val="000000"/>
          <w:sz w:val="22"/>
          <w:szCs w:val="22"/>
        </w:rPr>
      </w:pPr>
      <w:r w:rsidRPr="00576AF8">
        <w:rPr>
          <w:sz w:val="22"/>
          <w:szCs w:val="22"/>
        </w:rPr>
        <w:t xml:space="preserve">Variaciones de cargas según modelos predefinidos. </w:t>
      </w:r>
    </w:p>
    <w:p w14:paraId="6211168D"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Sensibilidad de carga al voltaje y a la frecuencia. </w:t>
      </w:r>
    </w:p>
    <w:p w14:paraId="449B072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lastRenderedPageBreak/>
        <w:t xml:space="preserve">Modelos dinámicos a largo plazo para componentes de unidades generadoras, incluidos controles de calderas y calderas, flujo de agua y controles para hidro-generadores, controles de turbinas (regulador de frecuencia primario e interacciones con AGC para regulación de frecuencia secundaria), reguladores de voltaje, limitaciones estáticas y dinámicas de carga de potencia activa y reactiva. </w:t>
      </w:r>
    </w:p>
    <w:p w14:paraId="0A6E142D"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Simulación de los efectos de una falla. </w:t>
      </w:r>
    </w:p>
    <w:p w14:paraId="3C08ADE2"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Simular la pérdida de carga. </w:t>
      </w:r>
    </w:p>
    <w:p w14:paraId="34037F09"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Simulación del funcionamiento de los relés de protección. Simulación del funcionamiento de los recierres automáticos. </w:t>
      </w:r>
    </w:p>
    <w:p w14:paraId="052D3E23"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Simulación del funcionamiento de comprobaciones síncronas. </w:t>
      </w:r>
    </w:p>
    <w:p w14:paraId="33B56B3B"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Simular perturbaciones aleatorias a las mediciones. </w:t>
      </w:r>
    </w:p>
    <w:p w14:paraId="51DF77D8"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Simular múltiples islas de la red. </w:t>
      </w:r>
    </w:p>
    <w:p w14:paraId="05058944"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Simular la reconexión de islas de red. </w:t>
      </w:r>
    </w:p>
    <w:p w14:paraId="406FA97B"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Simular arranques negros. </w:t>
      </w:r>
    </w:p>
    <w:p w14:paraId="16C59ADE" w14:textId="77777777" w:rsidR="009102A7" w:rsidRPr="00576AF8" w:rsidRDefault="009102A7" w:rsidP="009102A7">
      <w:pPr>
        <w:numPr>
          <w:ilvl w:val="0"/>
          <w:numId w:val="34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simulador calculará una solución completa de flujo de potencia AC en el marco de aceleración. Proporcionará: </w:t>
      </w:r>
    </w:p>
    <w:p w14:paraId="35D2FF8E"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Voltajes de barra en el rango nominal +30%/-30% en Cargas.</w:t>
      </w:r>
    </w:p>
    <w:p w14:paraId="7AA2BA4E"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Flujos de activos y reactivos por las líneas. </w:t>
      </w:r>
    </w:p>
    <w:p w14:paraId="4FD24CBA"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Potencias activas y reactivas de Generadores. </w:t>
      </w:r>
    </w:p>
    <w:p w14:paraId="51D6684A"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Frecuencia en el rango de 55 a 65 Hz.</w:t>
      </w:r>
    </w:p>
    <w:p w14:paraId="296BCE3A"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Permitir la inclusión de al menos 1000 mediciones de frecuencia dentro del modelo del OTS provenientes de las mediciones del sistema SCADA. </w:t>
      </w:r>
    </w:p>
    <w:p w14:paraId="27D35DC4" w14:textId="77777777" w:rsidR="009102A7" w:rsidRPr="00576AF8" w:rsidRDefault="009102A7" w:rsidP="009102A7">
      <w:pPr>
        <w:numPr>
          <w:ilvl w:val="0"/>
          <w:numId w:val="34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Las sobrecargas de líneas o transformadores, las variaciones de voltaje y frecuencia se procesarán mediante modelos de relés. Estos modelos de relés disparan los interruptores asociados si las infracciones superan los umbrales predefinidos en función de la duración y la magnitud. Se modelará el tiempo inverso sobre los relés de corriente. </w:t>
      </w:r>
    </w:p>
    <w:p w14:paraId="72C0E1BF" w14:textId="77777777" w:rsidR="009102A7" w:rsidRPr="00576AF8" w:rsidRDefault="009102A7" w:rsidP="009102A7">
      <w:pPr>
        <w:numPr>
          <w:ilvl w:val="0"/>
          <w:numId w:val="34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 través de escenarios predefinidos o mediante intervenciones manuales durante una sesión, el instructor podrá:</w:t>
      </w:r>
    </w:p>
    <w:p w14:paraId="6CA14968"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Modificar las cargas individual o globalmente y en tiempo programado </w:t>
      </w:r>
    </w:p>
    <w:p w14:paraId="0289FFB7"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Modificar intercambios de potencia en interconexiones eléctricas. </w:t>
      </w:r>
    </w:p>
    <w:p w14:paraId="0323B65F"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Modificar la potencia activa y reactiva de producción de generadores. </w:t>
      </w:r>
    </w:p>
    <w:p w14:paraId="0C181869"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Disparos de líneas de transmisión o transformadores. </w:t>
      </w:r>
    </w:p>
    <w:p w14:paraId="136D199B"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Disparo de unidades de generación. </w:t>
      </w:r>
    </w:p>
    <w:p w14:paraId="5B7C1AA1"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Disparo de interconexiones eléctricas. </w:t>
      </w:r>
    </w:p>
    <w:p w14:paraId="43167989"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Cambiar el modo de control de la planta (Local/AGC). </w:t>
      </w:r>
    </w:p>
    <w:p w14:paraId="50414560"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Habilitar/deshabilitar el control de supervisión de interruptores, transformadores. </w:t>
      </w:r>
    </w:p>
    <w:p w14:paraId="730F4E16"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 xml:space="preserve">Poner RTU y líneas de comunicación en servicio/fuera de servicio. </w:t>
      </w:r>
    </w:p>
    <w:p w14:paraId="2D339682" w14:textId="77777777" w:rsidR="009102A7" w:rsidRPr="00576AF8" w:rsidRDefault="009102A7" w:rsidP="009102A7">
      <w:pPr>
        <w:numPr>
          <w:ilvl w:val="0"/>
          <w:numId w:val="284"/>
        </w:numPr>
        <w:suppressAutoHyphens w:val="0"/>
        <w:spacing w:after="0"/>
        <w:contextualSpacing/>
        <w:rPr>
          <w:sz w:val="22"/>
          <w:szCs w:val="22"/>
        </w:rPr>
      </w:pPr>
      <w:r w:rsidRPr="00576AF8">
        <w:rPr>
          <w:sz w:val="22"/>
          <w:szCs w:val="22"/>
        </w:rPr>
        <w:t>Poner enlaces ICCP en servicio/fuera de servicio.</w:t>
      </w:r>
    </w:p>
    <w:p w14:paraId="2F21BE1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24" w:hanging="139"/>
        <w:rPr>
          <w:rFonts w:eastAsia="Calibri"/>
          <w:sz w:val="22"/>
          <w:szCs w:val="22"/>
          <w:lang w:val="es-419" w:eastAsia="en-US" w:bidi="ar-SA"/>
        </w:rPr>
      </w:pPr>
    </w:p>
    <w:p w14:paraId="3C86290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124" w:hanging="139"/>
        <w:rPr>
          <w:rFonts w:eastAsia="Calibri"/>
          <w:sz w:val="22"/>
          <w:szCs w:val="22"/>
          <w:lang w:val="es-419" w:eastAsia="en-US" w:bidi="ar-SA"/>
        </w:rPr>
      </w:pPr>
      <w:r w:rsidRPr="00576AF8">
        <w:rPr>
          <w:rFonts w:eastAsia="Calibri"/>
          <w:sz w:val="22"/>
          <w:szCs w:val="22"/>
          <w:lang w:val="es-419" w:eastAsia="en-US" w:bidi="ar-SA"/>
        </w:rPr>
        <w:t xml:space="preserve">Tales eventos ocurrirán en momentos especificados por el instructor o serán </w:t>
      </w:r>
    </w:p>
    <w:p w14:paraId="01E200D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985"/>
        <w:rPr>
          <w:rFonts w:eastAsia="Calibri"/>
          <w:sz w:val="22"/>
          <w:szCs w:val="22"/>
          <w:lang w:val="es-419" w:eastAsia="en-US" w:bidi="ar-SA"/>
        </w:rPr>
      </w:pPr>
      <w:r w:rsidRPr="00576AF8">
        <w:rPr>
          <w:rFonts w:eastAsia="Calibri"/>
          <w:sz w:val="22"/>
          <w:szCs w:val="22"/>
          <w:lang w:val="es-419" w:eastAsia="en-US" w:bidi="ar-SA"/>
        </w:rPr>
        <w:t xml:space="preserve">condicionales a algunas variables designadas que satisfagan alguna condición especificada por el instructor. </w:t>
      </w:r>
    </w:p>
    <w:p w14:paraId="5646EA28" w14:textId="77777777" w:rsidR="009102A7" w:rsidRPr="00576AF8" w:rsidRDefault="009102A7" w:rsidP="009102A7">
      <w:pPr>
        <w:numPr>
          <w:ilvl w:val="0"/>
          <w:numId w:val="34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simulador también será configurable para servir como herramienta de prueba durante las pruebas de aceptación en fábrica y en sitio, para análisis de contingencias post-mortem y escenarios hipotéticos.</w:t>
      </w:r>
    </w:p>
    <w:p w14:paraId="7991E742" w14:textId="77777777" w:rsidR="009102A7" w:rsidRPr="00576AF8" w:rsidRDefault="009102A7" w:rsidP="009102A7">
      <w:pPr>
        <w:ind w:left="720"/>
        <w:contextualSpacing/>
        <w:rPr>
          <w:b/>
          <w:bCs/>
          <w:sz w:val="22"/>
          <w:szCs w:val="22"/>
        </w:rPr>
      </w:pPr>
    </w:p>
    <w:p w14:paraId="6D61C0F1" w14:textId="77777777" w:rsidR="009102A7" w:rsidRPr="00576AF8" w:rsidRDefault="009102A7" w:rsidP="009102A7">
      <w:pPr>
        <w:ind w:left="720" w:firstLine="696"/>
        <w:jc w:val="left"/>
        <w:outlineLvl w:val="2"/>
        <w:rPr>
          <w:bCs/>
          <w:sz w:val="22"/>
          <w:szCs w:val="22"/>
        </w:rPr>
      </w:pPr>
      <w:bookmarkStart w:id="1041" w:name="_Toc148955203"/>
      <w:bookmarkStart w:id="1042" w:name="_Toc158396679"/>
      <w:bookmarkStart w:id="1043" w:name="_Toc160012889"/>
      <w:bookmarkStart w:id="1044" w:name="_Toc160434901"/>
      <w:bookmarkStart w:id="1045" w:name="_Toc160456019"/>
      <w:r w:rsidRPr="00576AF8">
        <w:rPr>
          <w:b/>
          <w:sz w:val="22"/>
          <w:szCs w:val="22"/>
        </w:rPr>
        <w:t>2.1.1.1.7.9 Capacidades del Instructor</w:t>
      </w:r>
      <w:bookmarkEnd w:id="1041"/>
      <w:bookmarkEnd w:id="1042"/>
      <w:bookmarkEnd w:id="1043"/>
      <w:bookmarkEnd w:id="1044"/>
      <w:bookmarkEnd w:id="1045"/>
    </w:p>
    <w:p w14:paraId="5A33C20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08" w:firstLine="708"/>
        <w:rPr>
          <w:rFonts w:eastAsia="Calibri"/>
          <w:sz w:val="22"/>
          <w:szCs w:val="22"/>
          <w:lang w:val="es-EC" w:eastAsia="en-US" w:bidi="ar-SA"/>
        </w:rPr>
      </w:pPr>
      <w:r w:rsidRPr="00576AF8">
        <w:rPr>
          <w:rFonts w:eastAsia="Calibri"/>
          <w:sz w:val="22"/>
          <w:szCs w:val="22"/>
          <w:lang w:val="es-EC" w:eastAsia="en-US" w:bidi="ar-SA"/>
        </w:rPr>
        <w:t>El sistema del instructor deberá ofrecer flexibilidad de operación:</w:t>
      </w:r>
    </w:p>
    <w:p w14:paraId="0EA776B7"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Será posible establecer escenarios de eventos antes o durante la sesión de entrenamiento. </w:t>
      </w:r>
    </w:p>
    <w:p w14:paraId="4981FABC"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instructor será capaz de controlar íntegramente el funcionamiento del OTS. </w:t>
      </w:r>
    </w:p>
    <w:p w14:paraId="1A7CD73D"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Será posible pausar temporalmente la simulación en el OTS, ralentizar o acelerar en comparación con la operación en tiempo real de la simulación. </w:t>
      </w:r>
    </w:p>
    <w:p w14:paraId="425A09F0"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capturar en cualquier momento una imagen de la red (snapshot del estado actual) y volver a iniciar el OTS desde este estado.</w:t>
      </w:r>
    </w:p>
    <w:p w14:paraId="133C20AB"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Toda la funcionalidad del SCADA/EMS incluidas las funciones SCADA, funciones de aplicación de red, funciones de aplicación de producción, entre otras, podrán ejecutarse en el OTS.</w:t>
      </w:r>
    </w:p>
    <w:p w14:paraId="04BE09DB"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instructor podrá utilizar el módulo del instructor desde cualquier consola del OTS. Además, el estudiante será capaz de utilizar el módulo del instructor para formarse por sí mismo.  En este caso, con las autoridades adecuadas, los despliegues del módulo del instructor se podrán visualizar en la consola del estudiante. </w:t>
      </w:r>
    </w:p>
    <w:p w14:paraId="098CBFD9"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Será fácil cambiar los despliegues entre consolas utilizando las funciones básicas del simulador. </w:t>
      </w:r>
    </w:p>
    <w:p w14:paraId="77A89E87"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módulo del instructor incluirá un cálculo del flujo de potencia para indicar las condiciones iniciales de funcionamiento. Ofrecerá una gran flexibilidad para modificar la generación, la carga, los voltajes y las condiciones iniciales de la red. El módulo del instructor también incluirá despliegues separados para capturar los programas de carga que se utilizarán durante la simulación. Será posible ingresar esta información por zonas o por nodos. </w:t>
      </w:r>
    </w:p>
    <w:p w14:paraId="1AD691D0"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El módulo del instructor permitirá definir los eventos que deben simularse, ya sea antes o durante el curso de la sesión de entrenamiento. Será posible introducir un gran número de eventos, incluidos los que simulan fallas, disparo de interruptores, acciones de los operadores de plantas, acciones de los operadores de subestaciones, acciones de los operadores de empresas vecinas y problemas provenientes de las redes de comunicaciones. </w:t>
      </w:r>
    </w:p>
    <w:p w14:paraId="34A49A47"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Se podrán definir eventos en el OTS de una manera simple. Será posible definir eventos en un área de trabajo de eventos en línea o en un área de trabajo de eventos fuera de línea. La zona de trabajo fuera de línea permitirá guardar por separado diferentes grupos de eventos y fusionarlos para su posterior utilización. Además, será posible definir eventos desde el área de trabajo en línea o desde el área de trabajo fuera de línea únicamente señalando cualquier componente que aparezca en cualquier elemento de visualización, ya sea despliegue tabular o despliegue de diagrama unifilar. </w:t>
      </w:r>
    </w:p>
    <w:p w14:paraId="29BF54BC"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 xml:space="preserve">Existirán tres tipos de eventos: eventos deterministas, eventos condicionales y eventos probabilísticos: </w:t>
      </w:r>
    </w:p>
    <w:p w14:paraId="2C2279F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985"/>
        <w:rPr>
          <w:rFonts w:eastAsia="Calibri"/>
          <w:sz w:val="22"/>
          <w:szCs w:val="22"/>
          <w:lang w:val="es-419" w:eastAsia="en-US" w:bidi="ar-SA"/>
        </w:rPr>
      </w:pPr>
      <w:r w:rsidRPr="00576AF8">
        <w:rPr>
          <w:rFonts w:eastAsia="Calibri"/>
          <w:sz w:val="22"/>
          <w:szCs w:val="22"/>
          <w:u w:val="single"/>
          <w:lang w:val="es-419" w:eastAsia="en-US" w:bidi="ar-SA"/>
        </w:rPr>
        <w:t>Eventos deterministas:</w:t>
      </w:r>
      <w:r w:rsidRPr="00576AF8">
        <w:rPr>
          <w:rFonts w:eastAsia="Calibri"/>
          <w:sz w:val="22"/>
          <w:szCs w:val="22"/>
          <w:lang w:val="es-419" w:eastAsia="en-US" w:bidi="ar-SA"/>
        </w:rPr>
        <w:t xml:space="preserve"> Estos eventos ocurrirán en un momento dado del escenario del simulador</w:t>
      </w:r>
    </w:p>
    <w:p w14:paraId="41AD4E5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985"/>
        <w:rPr>
          <w:rFonts w:eastAsia="Calibri"/>
          <w:sz w:val="22"/>
          <w:szCs w:val="22"/>
          <w:lang w:val="es-419" w:eastAsia="en-US" w:bidi="ar-SA"/>
        </w:rPr>
      </w:pPr>
      <w:r w:rsidRPr="00576AF8">
        <w:rPr>
          <w:rFonts w:eastAsia="Calibri"/>
          <w:sz w:val="22"/>
          <w:szCs w:val="22"/>
          <w:u w:val="single"/>
          <w:lang w:val="es-419" w:eastAsia="en-US" w:bidi="ar-SA"/>
        </w:rPr>
        <w:t>Eventos condicionales:</w:t>
      </w:r>
      <w:r w:rsidRPr="00576AF8">
        <w:rPr>
          <w:rFonts w:eastAsia="Calibri"/>
          <w:sz w:val="22"/>
          <w:szCs w:val="22"/>
          <w:lang w:val="es-419" w:eastAsia="en-US" w:bidi="ar-SA"/>
        </w:rPr>
        <w:t xml:space="preserve"> Estos eventos ocurrirán cuando se presenten una condición o un conjunto de condiciones en la red eléctrica: Los cuatro tipos de condiciones que se considerarán serán los siguientes: </w:t>
      </w:r>
    </w:p>
    <w:p w14:paraId="30A280F9"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 xml:space="preserve">Estado de los interruptores automáticos. </w:t>
      </w:r>
    </w:p>
    <w:p w14:paraId="653A9A7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Alimentación en un alimentador. </w:t>
      </w:r>
    </w:p>
    <w:p w14:paraId="14457292"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Voltaje en una barra de la red. </w:t>
      </w:r>
    </w:p>
    <w:p w14:paraId="4749179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Frecuencia en una barra de la red</w:t>
      </w:r>
    </w:p>
    <w:p w14:paraId="5A1BD44D"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985"/>
        <w:rPr>
          <w:rFonts w:eastAsia="Calibri"/>
          <w:sz w:val="22"/>
          <w:szCs w:val="22"/>
          <w:lang w:val="es-419" w:eastAsia="en-US" w:bidi="ar-SA"/>
        </w:rPr>
      </w:pPr>
      <w:r w:rsidRPr="00576AF8">
        <w:rPr>
          <w:rFonts w:eastAsia="Calibri"/>
          <w:sz w:val="22"/>
          <w:szCs w:val="22"/>
          <w:lang w:val="es-419" w:eastAsia="en-US" w:bidi="ar-SA"/>
        </w:rPr>
        <w:t xml:space="preserve"> Las condiciones se estiman en un período de tiempo determinado; serán únicos o repetitivos.</w:t>
      </w:r>
    </w:p>
    <w:p w14:paraId="78AC67E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985"/>
        <w:rPr>
          <w:rFonts w:eastAsia="Calibri"/>
          <w:sz w:val="22"/>
          <w:szCs w:val="22"/>
          <w:lang w:val="es-419" w:eastAsia="en-US" w:bidi="ar-SA"/>
        </w:rPr>
      </w:pPr>
      <w:r w:rsidRPr="00576AF8">
        <w:rPr>
          <w:rFonts w:eastAsia="Calibri"/>
          <w:sz w:val="22"/>
          <w:szCs w:val="22"/>
          <w:u w:val="single"/>
          <w:lang w:val="es-419" w:eastAsia="en-US" w:bidi="ar-SA"/>
        </w:rPr>
        <w:t>Eventos probabilísticos</w:t>
      </w:r>
      <w:r w:rsidRPr="00576AF8">
        <w:rPr>
          <w:rFonts w:eastAsia="Calibri"/>
          <w:sz w:val="22"/>
          <w:szCs w:val="22"/>
          <w:lang w:val="es-419" w:eastAsia="en-US" w:bidi="ar-SA"/>
        </w:rPr>
        <w:t>: Estos eventos son los mismos que los eventos condicionales, pero la condición es un parámetro aleatorio. Por ejemplo, será posible definir una acción o un conjunto de acciones activadas por un evento, cuya probabilidad de ocurrencia sería del 50% durante un período específico.</w:t>
      </w:r>
    </w:p>
    <w:p w14:paraId="091A481C"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Será posible definir un escenario de eventos mediante la combinación de eventos deterministas, condicionales o probabilísticos.</w:t>
      </w:r>
    </w:p>
    <w:p w14:paraId="504D0927"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módulo del instructor permitirá controlar el curso de la sesión de simulación de diferentes maneras, incluyendo pausar, detener, retroceder, reiniciar y acelerar o ralentizar la simulación en comparación con las condiciones en tiempo real.</w:t>
      </w:r>
    </w:p>
    <w:p w14:paraId="3664F2BD"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Los despliegues del módulo del instructor permitirán al instructor o al estudiante controlar otras variables diferentes de las supervisadas por el sistema SCADA. La herramienta de creación de despliegues ofrecerá posibilidades útiles para analizar los eventos y comprobar las acciones del estudiante. Cuando el instructor haya adquirido cierta experiencia para la preparación y el control de las sesiones de entrenamiento, será capaz de definir fácilmente nuevos despliegues para ayudar al estudiante a comprender claramente lo que sucedió durante la sesión de entrenamiento.</w:t>
      </w:r>
    </w:p>
    <w:p w14:paraId="59C100C5"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módulo del instructor permitirá visualizar y analizar completamente los eventos que ocurrieron durante una simulación. Esta posibilidad permitirá analizar la secuencia, a menudo compleja, de los acontecimientos ocurridos durante situaciones de emergencia y que dan lugar a pérdidas significativas de carga.</w:t>
      </w:r>
    </w:p>
    <w:p w14:paraId="5C4763AD" w14:textId="77777777" w:rsidR="009102A7" w:rsidRPr="00576AF8" w:rsidRDefault="009102A7" w:rsidP="009102A7">
      <w:pPr>
        <w:numPr>
          <w:ilvl w:val="0"/>
          <w:numId w:val="2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Como mínimo, el OTS permitirá los siguientes tipos de eventos:</w:t>
      </w:r>
    </w:p>
    <w:p w14:paraId="39C7C31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Transformador: encender/apagar un transformador, encender/apagar el control automático de voltaje del transformador, subir/bajar las posiciones de los Taps con o sin carga, regular el voltaje utilizando los Taps con carga del transformador</w:t>
      </w:r>
    </w:p>
    <w:p w14:paraId="3F93D14C"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Disyuntor automático: abrir/cerrar, activar el mando local/remoto, sobrescribir su estado incluyendo estados intermedios 00 y 11.</w:t>
      </w:r>
    </w:p>
    <w:p w14:paraId="24D1343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Línea de transmisión: encender/apagar.</w:t>
      </w:r>
    </w:p>
    <w:p w14:paraId="08CBFEA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Carga: encender/apagar, simular el incremento/disminución de carga, ingresar valores manualmente.</w:t>
      </w:r>
    </w:p>
    <w:p w14:paraId="14F48DF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Generador: encender/apagar, consignas de potencia activa, control del voltaje, rampas de subida/bajada de toma de carga.</w:t>
      </w:r>
    </w:p>
    <w:p w14:paraId="04F6A23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Capacitores/reactores: encendido/apagado.</w:t>
      </w:r>
    </w:p>
    <w:p w14:paraId="04B9998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Relés: habilitar/deshabilitar.</w:t>
      </w:r>
    </w:p>
    <w:p w14:paraId="5F44AF4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Relé de frecuencia: disparo del relé.</w:t>
      </w:r>
    </w:p>
    <w:p w14:paraId="6906318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Desconexión de carga por área: 10 umbrales para todas las cargas en el área, que se pueden configurar de acuerdo con diferentes áreas.</w:t>
      </w:r>
    </w:p>
    <w:p w14:paraId="2DA7F5D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Relés de corriente: habilitar/deshabilitar, programas de recierre automático.</w:t>
      </w:r>
    </w:p>
    <w:p w14:paraId="1F8F3078"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Mediciones: sobrescribir el valor y la calidad de los datos.</w:t>
      </w:r>
    </w:p>
    <w:p w14:paraId="53432CA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RTU: encender/apagar.</w:t>
      </w:r>
    </w:p>
    <w:p w14:paraId="53140FC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ICCP Link: encender/apagar.</w:t>
      </w:r>
    </w:p>
    <w:p w14:paraId="43AF1A3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Puntos SCADA: cambiar el "código de calidad" de un punto determinado.</w:t>
      </w:r>
    </w:p>
    <w:p w14:paraId="2F8D9BA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Área de carga: ingresar manualmente un valor o seguir un programa de carga.</w:t>
      </w:r>
    </w:p>
    <w:p w14:paraId="6699302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Área de carga de punta: ingresar manualmente el valor de una carga de punta.</w:t>
      </w:r>
    </w:p>
    <w:p w14:paraId="1DDA3EB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Condiciones de corte del generador eólico (velocidad del viento alta/baja).</w:t>
      </w:r>
    </w:p>
    <w:p w14:paraId="58A58CF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Variabilidad del generador eólico.</w:t>
      </w:r>
    </w:p>
    <w:p w14:paraId="621D8AF6"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Variabilidad del generador solar.</w:t>
      </w:r>
    </w:p>
    <w:p w14:paraId="2268F82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 analógico SCADA: cambia el valor o la calidad de los datos.</w:t>
      </w:r>
    </w:p>
    <w:p w14:paraId="3004C28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Valor digital SCADA: cambia el valor o la calidad de los datos.</w:t>
      </w:r>
    </w:p>
    <w:p w14:paraId="41A70D5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Mensaje: envía un mensaje al instructor.</w:t>
      </w:r>
    </w:p>
    <w:p w14:paraId="40B7456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Guardar casos: crear un caso guardado de estudio específico para el simulador.</w:t>
      </w:r>
    </w:p>
    <w:p w14:paraId="51ED695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Pausa: congelar el funcionamiento del simulador.</w:t>
      </w:r>
    </w:p>
    <w:p w14:paraId="1BEFE76F"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Fallas: simular una falla local durante un período determinado para activar el funcionamiento de un relé de corriente.</w:t>
      </w:r>
    </w:p>
    <w:p w14:paraId="5D8E4E36" w14:textId="77777777" w:rsidR="009102A7" w:rsidRPr="00576AF8" w:rsidRDefault="009102A7" w:rsidP="009102A7">
      <w:pPr>
        <w:suppressAutoHyphens w:val="0"/>
        <w:spacing w:after="0"/>
        <w:ind w:left="3053"/>
        <w:contextualSpacing/>
        <w:rPr>
          <w:color w:val="000000"/>
          <w:sz w:val="22"/>
          <w:szCs w:val="22"/>
          <w:lang w:val="es-EC" w:eastAsia="es-EC" w:bidi="ar-SA"/>
        </w:rPr>
      </w:pPr>
    </w:p>
    <w:p w14:paraId="375B52FF" w14:textId="77777777" w:rsidR="009102A7" w:rsidRPr="00576AF8" w:rsidRDefault="009102A7" w:rsidP="009102A7">
      <w:pPr>
        <w:ind w:left="720" w:firstLine="696"/>
        <w:jc w:val="left"/>
        <w:outlineLvl w:val="2"/>
        <w:rPr>
          <w:bCs/>
          <w:sz w:val="22"/>
          <w:szCs w:val="22"/>
        </w:rPr>
      </w:pPr>
      <w:bookmarkStart w:id="1046" w:name="_Toc148955204"/>
      <w:bookmarkStart w:id="1047" w:name="_Toc158396680"/>
      <w:bookmarkStart w:id="1048" w:name="_Toc160012890"/>
      <w:bookmarkStart w:id="1049" w:name="_Toc160434902"/>
      <w:bookmarkStart w:id="1050" w:name="_Toc160456020"/>
      <w:r w:rsidRPr="00576AF8">
        <w:rPr>
          <w:b/>
          <w:sz w:val="22"/>
          <w:szCs w:val="22"/>
        </w:rPr>
        <w:t>2.1.1.1.7.10 Implementación del OTS</w:t>
      </w:r>
      <w:bookmarkEnd w:id="1046"/>
      <w:bookmarkEnd w:id="1047"/>
      <w:bookmarkEnd w:id="1048"/>
      <w:bookmarkEnd w:id="1049"/>
      <w:bookmarkEnd w:id="1050"/>
    </w:p>
    <w:p w14:paraId="458BD142"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OTS residirá en un servidor separado, idéntico a los servidores del SCADA/EMS. </w:t>
      </w:r>
    </w:p>
    <w:p w14:paraId="1FE7BBE7"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La flexibilidad del software OTS permitirá gestionar varias consolas con diferentes parámetros de configuración. </w:t>
      </w:r>
    </w:p>
    <w:p w14:paraId="1820481D"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Será posible configurar el OTS para un número variable de consolas de operador e instructor, cada una de ellas equivalente a la utilizadas en el sistema SCADA/EMS de tiempo real. </w:t>
      </w:r>
    </w:p>
    <w:p w14:paraId="297B470B"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OTS estará completamente integrado con el software del sistema SCADA/EMS. Tendrá la misma estructura de base de datos y la misma interfaz de usuario que el entorno en tiempo real. La base de datos preparada para el SCADA/EMS de tiempo real podrá utilizarse inmediatamente en el entorno de OTS. Por ejemplo, será posible incorporar en el simulador cualquier cambio en la base de datos del sistema de producción mediante simples comandos de copia. </w:t>
      </w:r>
    </w:p>
    <w:p w14:paraId="796147E9"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OTS ofrecerá las mismas capacidades operativas que el sistema SCADA/EMS de tiempo real. La función de simulación será completamente independiente del funcionamiento en tiempo real del sistema; en particular, no modificará sus prestaciones, ni su funcionalidad. No obstante, será posible transferir los datos en tiempo real, por ejemplo, en el momento de la inicialización del sistema SCADA/EMS en tiempo real al simulador. </w:t>
      </w:r>
    </w:p>
    <w:p w14:paraId="2410AA76"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Los sistemas externos se representarán y modelarán con el alcance y el detalle que permitan al simulador de red eléctrica representar de manera suficientemente realista: </w:t>
      </w:r>
    </w:p>
    <w:p w14:paraId="2E682B3D" w14:textId="77777777" w:rsidR="009102A7" w:rsidRPr="00576AF8" w:rsidRDefault="009102A7" w:rsidP="009102A7">
      <w:pPr>
        <w:numPr>
          <w:ilvl w:val="0"/>
          <w:numId w:val="34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Perturbaciones de las redes externas que tengan efectos sobre la red eléctrica. </w:t>
      </w:r>
    </w:p>
    <w:p w14:paraId="6D4F89BD" w14:textId="77777777" w:rsidR="009102A7" w:rsidRPr="00576AF8" w:rsidRDefault="009102A7" w:rsidP="009102A7">
      <w:pPr>
        <w:numPr>
          <w:ilvl w:val="0"/>
          <w:numId w:val="349"/>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Reacciones de la red externa a las perturbaciones que se presentan en la red eléctrica. </w:t>
      </w:r>
    </w:p>
    <w:p w14:paraId="1F641BE9"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OTS residirá en un servidor independiente para que su funcionamiento no degrade la ejecución del software del SCADA/EMS de tiempo real. </w:t>
      </w:r>
    </w:p>
    <w:p w14:paraId="5E8F840C"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En el OTS existirán mecanismos específicos, basados en el sistema de autorización de accesos en el SCADA/EMS de tiempo real, para evitar que el estudiante tenga acceso a los módulos gestionados por el instructor en una sesión de entrenamiento, evitando de esta manera, que interfiera accidentalmente en la sesión.  De la misma manera, el estudiante tendrá acceso a los módulos gestionados por el instructor mediante el sistema de autorización de accesos cuando la sesión de entrenamiento no incluya la participación del instructor.</w:t>
      </w:r>
    </w:p>
    <w:p w14:paraId="42C9A85C" w14:textId="77777777" w:rsidR="009102A7" w:rsidRPr="00576AF8" w:rsidRDefault="009102A7" w:rsidP="009102A7">
      <w:pPr>
        <w:numPr>
          <w:ilvl w:val="0"/>
          <w:numId w:val="348"/>
        </w:numPr>
        <w:suppressAutoHyphens w:val="0"/>
        <w:spacing w:after="0"/>
        <w:contextualSpacing/>
        <w:rPr>
          <w:color w:val="000000"/>
          <w:sz w:val="22"/>
          <w:szCs w:val="22"/>
          <w:lang w:val="es-EC" w:eastAsia="es-EC" w:bidi="ar-SA"/>
        </w:rPr>
      </w:pPr>
    </w:p>
    <w:p w14:paraId="4D4CAFC2" w14:textId="77777777" w:rsidR="009102A7" w:rsidRPr="00576AF8" w:rsidRDefault="009102A7" w:rsidP="009102A7">
      <w:pPr>
        <w:ind w:left="720" w:firstLine="696"/>
        <w:jc w:val="left"/>
        <w:outlineLvl w:val="2"/>
        <w:rPr>
          <w:bCs/>
          <w:sz w:val="22"/>
          <w:szCs w:val="22"/>
        </w:rPr>
      </w:pPr>
      <w:bookmarkStart w:id="1051" w:name="_Toc148955205"/>
      <w:bookmarkStart w:id="1052" w:name="_Toc158396681"/>
      <w:bookmarkStart w:id="1053" w:name="_Toc160012891"/>
      <w:bookmarkStart w:id="1054" w:name="_Toc160434903"/>
      <w:bookmarkStart w:id="1055" w:name="_Toc160456021"/>
      <w:r w:rsidRPr="00576AF8">
        <w:rPr>
          <w:b/>
          <w:sz w:val="22"/>
          <w:szCs w:val="22"/>
        </w:rPr>
        <w:t>2.1.1.1.7.11 Ejecución del OTS</w:t>
      </w:r>
      <w:bookmarkEnd w:id="1051"/>
      <w:bookmarkEnd w:id="1052"/>
      <w:bookmarkEnd w:id="1053"/>
      <w:bookmarkEnd w:id="1054"/>
      <w:bookmarkEnd w:id="1055"/>
    </w:p>
    <w:p w14:paraId="11FF7341" w14:textId="77777777" w:rsidR="009102A7" w:rsidRPr="00576AF8" w:rsidRDefault="009102A7" w:rsidP="009102A7">
      <w:pPr>
        <w:numPr>
          <w:ilvl w:val="0"/>
          <w:numId w:val="35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 xml:space="preserve">El instructor será capaz de conducir el simulador desde un despliegue principal. Este despliegue proporcionará comandos que permitan inicializar, iniciar, pausar, reasumir y detener el simulador, así como guardar y recuperar casos de simulación. También permitirá ingresar los parámetros básicos que gestionan estas tareas. </w:t>
      </w:r>
    </w:p>
    <w:p w14:paraId="0FF54CEC" w14:textId="77777777" w:rsidR="009102A7" w:rsidRPr="00576AF8" w:rsidRDefault="009102A7" w:rsidP="009102A7">
      <w:pPr>
        <w:numPr>
          <w:ilvl w:val="0"/>
          <w:numId w:val="35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instructor será capaz de definir, guardar y cargar eventos en el simulador, y seleccionar una fecha para su simulación. La fecha y hora de inicio de la simulación será actualizables y configurables por el instructor de una forma sencilla.</w:t>
      </w:r>
    </w:p>
    <w:p w14:paraId="5094B813" w14:textId="77777777" w:rsidR="009102A7" w:rsidRPr="00576AF8" w:rsidRDefault="009102A7" w:rsidP="009102A7">
      <w:pPr>
        <w:numPr>
          <w:ilvl w:val="0"/>
          <w:numId w:val="35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Una sesión típica del simulador incluirá una fase de preparación durante la cual, un caso de simulación se recupera o se inicializa desde una base de datos con otros eventos añadidos manualmente. </w:t>
      </w:r>
    </w:p>
    <w:p w14:paraId="74668F89" w14:textId="77777777" w:rsidR="009102A7" w:rsidRPr="00576AF8" w:rsidRDefault="009102A7" w:rsidP="009102A7">
      <w:pPr>
        <w:numPr>
          <w:ilvl w:val="0"/>
          <w:numId w:val="350"/>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simulador podrá iniciarse y funcionar durante un período determinado o hasta que se ingrese una orden de parada. Será posible realizar la simulación después de una parada o volver a un instante anterior y reiniciarla desde allí y será posible guardar automáticamente instantáneas (</w:t>
      </w:r>
      <w:r w:rsidRPr="00576AF8">
        <w:rPr>
          <w:i/>
          <w:color w:val="000000"/>
          <w:sz w:val="22"/>
          <w:szCs w:val="22"/>
          <w:lang w:val="es-EC" w:eastAsia="es-EC" w:bidi="ar-SA"/>
        </w:rPr>
        <w:t>snapshots</w:t>
      </w:r>
      <w:r w:rsidRPr="00576AF8">
        <w:rPr>
          <w:color w:val="000000"/>
          <w:sz w:val="22"/>
          <w:szCs w:val="22"/>
          <w:lang w:val="es-EC" w:eastAsia="es-EC" w:bidi="ar-SA"/>
        </w:rPr>
        <w:t>) de las simulaciones. También será posible activar al menos cuatro modos de simulación: “normal”, "paso a paso", "lento" y "rápido".</w:t>
      </w:r>
    </w:p>
    <w:p w14:paraId="1D9D646C"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p>
    <w:p w14:paraId="3A223B3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p>
    <w:p w14:paraId="4E462E07" w14:textId="77777777" w:rsidR="009102A7" w:rsidRPr="00576AF8" w:rsidRDefault="009102A7" w:rsidP="009102A7">
      <w:pPr>
        <w:ind w:left="720" w:firstLine="696"/>
        <w:jc w:val="left"/>
        <w:outlineLvl w:val="2"/>
        <w:rPr>
          <w:b/>
          <w:bCs/>
          <w:sz w:val="22"/>
          <w:szCs w:val="22"/>
        </w:rPr>
      </w:pPr>
      <w:bookmarkStart w:id="1056" w:name="_Toc160268958"/>
      <w:bookmarkStart w:id="1057" w:name="_Toc160456022"/>
      <w:r w:rsidRPr="00576AF8">
        <w:rPr>
          <w:b/>
          <w:sz w:val="22"/>
          <w:szCs w:val="22"/>
        </w:rPr>
        <w:t xml:space="preserve">2.1.1.1.8 </w:t>
      </w:r>
      <w:r w:rsidRPr="00576AF8">
        <w:rPr>
          <w:b/>
          <w:bCs/>
          <w:sz w:val="22"/>
          <w:szCs w:val="22"/>
        </w:rPr>
        <w:t>FUNCIONALIDADES DE SOPORTE</w:t>
      </w:r>
      <w:bookmarkEnd w:id="1056"/>
      <w:bookmarkEnd w:id="1057"/>
    </w:p>
    <w:p w14:paraId="7560B136" w14:textId="77777777" w:rsidR="009102A7" w:rsidRPr="00576AF8" w:rsidRDefault="009102A7" w:rsidP="009102A7">
      <w:pPr>
        <w:ind w:left="720" w:firstLine="696"/>
        <w:jc w:val="left"/>
        <w:outlineLvl w:val="2"/>
        <w:rPr>
          <w:bCs/>
          <w:sz w:val="22"/>
          <w:szCs w:val="22"/>
        </w:rPr>
      </w:pPr>
      <w:bookmarkStart w:id="1058" w:name="_Toc160268959"/>
      <w:bookmarkStart w:id="1059" w:name="_Toc160456023"/>
      <w:r w:rsidRPr="00576AF8">
        <w:rPr>
          <w:b/>
          <w:sz w:val="22"/>
          <w:szCs w:val="22"/>
        </w:rPr>
        <w:t xml:space="preserve">2.1.1.1.8.1 </w:t>
      </w:r>
      <w:r w:rsidRPr="00576AF8">
        <w:rPr>
          <w:b/>
          <w:bCs/>
          <w:sz w:val="22"/>
          <w:szCs w:val="22"/>
        </w:rPr>
        <w:t>Sistema de Aseguramiento de Calidad QAS</w:t>
      </w:r>
      <w:bookmarkEnd w:id="1058"/>
      <w:bookmarkEnd w:id="1059"/>
    </w:p>
    <w:p w14:paraId="197B4953" w14:textId="77777777" w:rsidR="009102A7" w:rsidRPr="00576AF8" w:rsidRDefault="009102A7" w:rsidP="009102A7">
      <w:pPr>
        <w:numPr>
          <w:ilvl w:val="0"/>
          <w:numId w:val="35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Sistema de Aseguramiento de Calidad QAS es un subsistema que permitirá realizar las pruebas de las aplicaciones del sistema, generaciones de bases de datos, despliegues, ingreso de RTUs, equipos eléctricos especializados, reportes, así como las aplicaciones desarrolladas por CENACE. Para cumplir con este propósito, debe disponer una réplica del SCADA/EMS y un sistema de construcción del modelo y gestión de datos de ingeniería para realizar el control de calidad de las actualizaciones de datos pendientes del entorno de producción.  El QAS estará ubicado en un sitio remoto diferente de la sede en donde se instale el Centro de Control de CENACE.</w:t>
      </w:r>
    </w:p>
    <w:p w14:paraId="29B8AD6D" w14:textId="77777777" w:rsidR="009102A7" w:rsidRPr="00576AF8" w:rsidRDefault="009102A7" w:rsidP="009102A7">
      <w:pPr>
        <w:numPr>
          <w:ilvl w:val="0"/>
          <w:numId w:val="35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QAS será capaz de adquirir datos en tiempo real directamente de las fuentes de datos, es decir, desde campo a través de las instalaciones de adquisición de datos, desde los Gateways y del SCADA de producción. Los comandos de control emitidos desde el QAS sólo se enviarán a los dispositivos de campo, si esos dispositivos están directamente conectados al QAS, es decir, los comandos a los dispositivos que se comuniquen a través del SCADA de producción u otros sistemas componentes del sistema será deshabilitados, inclusive si el QAS puede recopilar datos de los dispositivos a través del SCADA de producción u otro componente del sistema.  Para los casos en que se requiera habilitar los comandos para pruebas de funcionalidades específicas, se debe disponer la opción para hacerlo en un despliegue específico y con las autoridades necesarias para ello.</w:t>
      </w:r>
    </w:p>
    <w:p w14:paraId="2CE1F1E2" w14:textId="77777777" w:rsidR="009102A7" w:rsidRPr="00576AF8" w:rsidRDefault="009102A7" w:rsidP="009102A7">
      <w:pPr>
        <w:numPr>
          <w:ilvl w:val="0"/>
          <w:numId w:val="35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QAS también se utilizará para mantener la configuración de la base de datos, desarrollo de los despliegues y para desarrollar y probar nuevas configuraciones, sin interferir ni degradar el funcionamiento del sistema de producción.</w:t>
      </w:r>
    </w:p>
    <w:p w14:paraId="73094949" w14:textId="77777777" w:rsidR="009102A7" w:rsidRPr="00576AF8" w:rsidRDefault="009102A7" w:rsidP="009102A7">
      <w:pPr>
        <w:numPr>
          <w:ilvl w:val="0"/>
          <w:numId w:val="35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QAS podrá actuar como un centro de control alterno reducido en caso de emergencia, con todas las restricciones propias de este sistema, pero también con toda la funcionalidad descrita en esta sección.  Las consolas del ambiente de producción y de ingeniería del Centro de Control de CENACE tendrán la capacidad de conectarse al QAS para posibilitar que el QAS pueda funcionar como un centro de control alterno reducido.</w:t>
      </w:r>
    </w:p>
    <w:p w14:paraId="464D5BB9" w14:textId="77777777" w:rsidR="009102A7" w:rsidRPr="00576AF8" w:rsidRDefault="009102A7" w:rsidP="009102A7">
      <w:pPr>
        <w:numPr>
          <w:ilvl w:val="0"/>
          <w:numId w:val="35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Se proporcionarán las facilidades para distribuir una nueva configuración al sistema de producción en cualquier nodo de la red desde una consola conectada al QAS sin afectar la integridad de los datos y sin interrupción de la operación.</w:t>
      </w:r>
    </w:p>
    <w:p w14:paraId="20C498C2" w14:textId="77777777" w:rsidR="009102A7" w:rsidRPr="00576AF8" w:rsidRDefault="009102A7" w:rsidP="009102A7">
      <w:pPr>
        <w:numPr>
          <w:ilvl w:val="0"/>
          <w:numId w:val="35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El QAS permitirá lo siguiente:</w:t>
      </w:r>
    </w:p>
    <w:p w14:paraId="31250812" w14:textId="77777777" w:rsidR="009102A7" w:rsidRPr="00576AF8" w:rsidRDefault="00176DBC" w:rsidP="009102A7">
      <w:pPr>
        <w:numPr>
          <w:ilvl w:val="0"/>
          <w:numId w:val="3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sz w:val="22"/>
          <w:szCs w:val="22"/>
        </w:rPr>
        <w:t>Administración</w:t>
      </w:r>
      <w:r w:rsidRPr="00576AF8" w:rsidDel="00176DBC">
        <w:rPr>
          <w:rFonts w:eastAsia="Calibri"/>
          <w:sz w:val="22"/>
          <w:szCs w:val="22"/>
          <w:lang w:val="es-419" w:eastAsia="en-US" w:bidi="ar-SA"/>
        </w:rPr>
        <w:t xml:space="preserve"> </w:t>
      </w:r>
      <w:r w:rsidR="009102A7" w:rsidRPr="00576AF8">
        <w:rPr>
          <w:rFonts w:eastAsia="Calibri"/>
          <w:sz w:val="22"/>
          <w:szCs w:val="22"/>
          <w:lang w:val="es-419" w:eastAsia="en-US" w:bidi="ar-SA"/>
        </w:rPr>
        <w:t>de la configuración de la base de datos (SDB), despliegues y aplicaciones</w:t>
      </w:r>
    </w:p>
    <w:p w14:paraId="74B359DA" w14:textId="77777777" w:rsidR="009102A7" w:rsidRPr="00576AF8" w:rsidRDefault="009102A7" w:rsidP="009102A7">
      <w:pPr>
        <w:numPr>
          <w:ilvl w:val="0"/>
          <w:numId w:val="3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Prueba de las aplicaciones del sistema, parches de seguridad, bases de datos, despliegues e informes</w:t>
      </w:r>
    </w:p>
    <w:p w14:paraId="1F8AECB2" w14:textId="77777777" w:rsidR="009102A7" w:rsidRPr="00576AF8" w:rsidRDefault="009102A7" w:rsidP="009102A7">
      <w:pPr>
        <w:numPr>
          <w:ilvl w:val="0"/>
          <w:numId w:val="3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Adquisición de datos en tiempo real directamente de las fuentes de datos </w:t>
      </w:r>
    </w:p>
    <w:p w14:paraId="2FA71CBE" w14:textId="77777777" w:rsidR="009102A7" w:rsidRPr="00576AF8" w:rsidRDefault="009102A7" w:rsidP="009102A7">
      <w:pPr>
        <w:numPr>
          <w:ilvl w:val="0"/>
          <w:numId w:val="3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Desarrollo y prueba de nuevas configuraciones sin interrumpir la operación</w:t>
      </w:r>
    </w:p>
    <w:p w14:paraId="390661B7" w14:textId="77777777" w:rsidR="009102A7" w:rsidRPr="00576AF8" w:rsidRDefault="009102A7" w:rsidP="009102A7">
      <w:pPr>
        <w:numPr>
          <w:ilvl w:val="0"/>
          <w:numId w:val="3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419" w:eastAsia="en-US" w:bidi="ar-SA"/>
        </w:rPr>
      </w:pPr>
      <w:r w:rsidRPr="00576AF8">
        <w:rPr>
          <w:rFonts w:eastAsia="Calibri"/>
          <w:sz w:val="22"/>
          <w:szCs w:val="22"/>
          <w:lang w:val="es-419" w:eastAsia="en-US" w:bidi="ar-SA"/>
        </w:rPr>
        <w:t xml:space="preserve">Almacenar al menos un (1) mes de </w:t>
      </w:r>
      <w:r w:rsidRPr="00576AF8">
        <w:rPr>
          <w:rFonts w:eastAsia="Calibri"/>
          <w:color w:val="000000"/>
          <w:sz w:val="22"/>
          <w:szCs w:val="22"/>
          <w:lang w:val="es-EC" w:eastAsia="es-EC" w:bidi="ar-SA"/>
        </w:rPr>
        <w:t>historia</w:t>
      </w:r>
      <w:r w:rsidRPr="00576AF8">
        <w:rPr>
          <w:rFonts w:eastAsia="Calibri"/>
          <w:color w:val="000000"/>
          <w:sz w:val="22"/>
          <w:szCs w:val="22"/>
          <w:lang w:val="es-419" w:eastAsia="en-US" w:bidi="ar-SA"/>
        </w:rPr>
        <w:t>.</w:t>
      </w:r>
    </w:p>
    <w:p w14:paraId="44DF8844"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El QAS ayudará a garantizar que el sistema SCADA/EMS sea confiable, seguro y satisfaga las necesidades de los usuarios finales. También ayudará a reducir el riesgo de errores y omisiones, a mejorar la calidad general del sistema y a funcionar como un centro de control alterno reducido en caso de emergencia.</w:t>
      </w:r>
    </w:p>
    <w:p w14:paraId="4E7B69ED"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 xml:space="preserve">El QAS debe configurarse como un sistema independiente y conservará su identidad individual en la configuración final del Sistema, aunque estará conectado a la red en una zona de seguridad </w:t>
      </w:r>
      <w:r w:rsidRPr="00576AF8">
        <w:rPr>
          <w:rFonts w:eastAsia="Calibri"/>
          <w:color w:val="000000"/>
          <w:sz w:val="22"/>
          <w:szCs w:val="22"/>
          <w:lang w:val="es-EC" w:eastAsia="es-EC" w:bidi="ar-SA"/>
        </w:rPr>
        <w:t xml:space="preserve">dedicada y </w:t>
      </w:r>
      <w:r w:rsidR="00FF6000" w:rsidRPr="00576AF8">
        <w:rPr>
          <w:rFonts w:eastAsia="Calibri"/>
          <w:color w:val="000000"/>
          <w:sz w:val="22"/>
          <w:szCs w:val="22"/>
          <w:lang w:val="es-EC" w:eastAsia="es-EC" w:bidi="ar-SA"/>
        </w:rPr>
        <w:t xml:space="preserve">deberá </w:t>
      </w:r>
      <w:r w:rsidRPr="00576AF8">
        <w:rPr>
          <w:rFonts w:eastAsia="Calibri"/>
          <w:color w:val="000000"/>
          <w:sz w:val="22"/>
          <w:szCs w:val="22"/>
          <w:lang w:val="es-EC" w:eastAsia="es-EC" w:bidi="ar-SA"/>
        </w:rPr>
        <w:t>ser ubicado físicamente fuera del edificio principal del Centro de Control de CENACE. </w:t>
      </w:r>
    </w:p>
    <w:p w14:paraId="6F9B7F0A"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El CENACE considera el QAS como un mecanismo que permita a los operadores de su centro de control dar continuidad a los procesos de operación del Sistema Eléctrico Ecuatoriano ante la indisponibilidad de su SCADA/EMS de producción, por tanto, todos sus componentes (hardware y software) deberán estar ubicados en un gabinete dedicado para este subsistema, considerando la posibilidad de instalación/operación en una ubicación física distinta al edificio del Centro de Control de CENACE, para lo cual CENACE deberá proveer los enlaces de comunicaciones necesarios para las conexiones de red y adquisición de datos.</w:t>
      </w:r>
    </w:p>
    <w:p w14:paraId="3B658996"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El QAS debe considerar la accesibilidad a su entorno y servicios para su administración y operación tanto desde el centro de control de CENACE como fuera del mismo.</w:t>
      </w:r>
    </w:p>
    <w:p w14:paraId="415C0926"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 xml:space="preserve">En su </w:t>
      </w:r>
      <w:r w:rsidRPr="00576AF8">
        <w:rPr>
          <w:rFonts w:eastAsia="Calibri"/>
          <w:color w:val="000000"/>
          <w:sz w:val="22"/>
          <w:szCs w:val="22"/>
          <w:lang w:val="es-EC" w:eastAsia="es-EC" w:bidi="ar-SA"/>
        </w:rPr>
        <w:t>configuración inicial, el QAS se utilizará para desarrollar los despliegues, configurar la topología de la red eléctrica y configurar la base de datos de ingeniería (SDB). También podrá utilizarse para pruebas preliminares punto a punto en modo escucha y en modo de telecontrol, así como para el desarrollo y pruebas de nuevas aplicaciones.</w:t>
      </w:r>
    </w:p>
    <w:p w14:paraId="02D7BF7D"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 xml:space="preserve">En su configuración final, el QAS se utilizará para continuar con </w:t>
      </w:r>
      <w:r w:rsidR="00176DBC" w:rsidRPr="00576AF8">
        <w:rPr>
          <w:rFonts w:eastAsia="Calibri"/>
          <w:sz w:val="22"/>
          <w:szCs w:val="22"/>
          <w:lang w:val="es-419" w:eastAsia="en-US" w:bidi="ar-SA"/>
        </w:rPr>
        <w:t>la administración</w:t>
      </w:r>
      <w:r w:rsidRPr="00576AF8">
        <w:rPr>
          <w:rFonts w:eastAsia="Calibri"/>
          <w:sz w:val="22"/>
          <w:szCs w:val="22"/>
          <w:lang w:val="es-419" w:eastAsia="en-US" w:bidi="ar-SA"/>
        </w:rPr>
        <w:t xml:space="preserve"> de las bases de datos y despliegues, para ayudar a resolver problemas, para probar actualizaciones de software y parches de seguridad, y para el desarrollo y pruebas de nuevas aplicaciones.</w:t>
      </w:r>
    </w:p>
    <w:p w14:paraId="29D9D93B" w14:textId="77777777" w:rsidR="009102A7" w:rsidRPr="00576AF8" w:rsidRDefault="009102A7" w:rsidP="009102A7">
      <w:pPr>
        <w:numPr>
          <w:ilvl w:val="0"/>
          <w:numId w:val="35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Para apoyar esta funcionalidad, el QAS enviará y/o recibirá datos en tiempo real de RTUs, Gateways, enlaces ICCP y otras fuentes de datos. El proceso de acceso será transparente para cualquier función que se ejecute en el QAS utilizando los datos y no interferirá ni degradará el funcionamiento del sistema de producción</w:t>
      </w:r>
      <w:r w:rsidRPr="00576AF8">
        <w:rPr>
          <w:rFonts w:eastAsia="Calibri"/>
          <w:color w:val="000000"/>
          <w:sz w:val="22"/>
          <w:szCs w:val="22"/>
          <w:lang w:val="es-EC" w:eastAsia="es-EC" w:bidi="ar-SA"/>
        </w:rPr>
        <w:t>.  </w:t>
      </w:r>
    </w:p>
    <w:p w14:paraId="256F767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484"/>
        <w:rPr>
          <w:rFonts w:eastAsia="Calibri"/>
          <w:color w:val="000000"/>
          <w:sz w:val="22"/>
          <w:szCs w:val="22"/>
          <w:lang w:val="es-EC" w:eastAsia="es-EC" w:bidi="ar-SA"/>
        </w:rPr>
      </w:pPr>
    </w:p>
    <w:p w14:paraId="40208F65" w14:textId="77777777" w:rsidR="009102A7" w:rsidRPr="00576AF8" w:rsidRDefault="009102A7" w:rsidP="009102A7">
      <w:pPr>
        <w:ind w:left="720" w:firstLine="696"/>
        <w:jc w:val="left"/>
        <w:outlineLvl w:val="2"/>
        <w:rPr>
          <w:bCs/>
          <w:sz w:val="22"/>
          <w:szCs w:val="22"/>
        </w:rPr>
      </w:pPr>
      <w:bookmarkStart w:id="1060" w:name="_Toc160268960"/>
      <w:bookmarkStart w:id="1061" w:name="_Toc160456024"/>
      <w:r w:rsidRPr="00576AF8">
        <w:rPr>
          <w:b/>
          <w:sz w:val="22"/>
          <w:szCs w:val="22"/>
        </w:rPr>
        <w:t xml:space="preserve">2.1.1.1.8.2 </w:t>
      </w:r>
      <w:r w:rsidRPr="00576AF8">
        <w:rPr>
          <w:b/>
          <w:bCs/>
          <w:sz w:val="22"/>
          <w:szCs w:val="22"/>
        </w:rPr>
        <w:t>Sistema de Desarrollo de Programación PDS</w:t>
      </w:r>
      <w:bookmarkEnd w:id="1060"/>
      <w:bookmarkEnd w:id="1061"/>
    </w:p>
    <w:p w14:paraId="3C29D934" w14:textId="77777777" w:rsidR="009102A7" w:rsidRPr="00576AF8" w:rsidRDefault="009102A7" w:rsidP="009102A7">
      <w:pPr>
        <w:numPr>
          <w:ilvl w:val="0"/>
          <w:numId w:val="3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El sistema de desarrollo de programación PDS permitirá desarrollar y realizar pruebas a las aplicaciones que desarrolle</w:t>
      </w:r>
      <w:r w:rsidR="00593894" w:rsidRPr="00576AF8">
        <w:rPr>
          <w:rFonts w:eastAsia="Calibri"/>
          <w:sz w:val="22"/>
          <w:szCs w:val="22"/>
          <w:lang w:val="es-419" w:eastAsia="en-US" w:bidi="ar-SA"/>
        </w:rPr>
        <w:t xml:space="preserve"> el Comprador</w:t>
      </w:r>
      <w:r w:rsidRPr="00576AF8">
        <w:rPr>
          <w:rFonts w:eastAsia="Calibri"/>
          <w:sz w:val="22"/>
          <w:szCs w:val="22"/>
          <w:lang w:val="es-419" w:eastAsia="en-US" w:bidi="ar-SA"/>
        </w:rPr>
        <w:t xml:space="preserve"> utilizando las librerías API propias del sistema o aplicaciones integradas de terceros. Para cumplir con este propósito, se debe disponer de una réplica del SCADA/EMS no redundante para realizar pruebas con datos en tiempo real sin afectar al entorno de producción. El Proveedor deberá incluir las licencias necesarias para tener el entorno adecuado para el desarrollo de aplicaciones.</w:t>
      </w:r>
    </w:p>
    <w:p w14:paraId="2C7E6C9E" w14:textId="77777777" w:rsidR="009102A7" w:rsidRPr="00576AF8" w:rsidRDefault="009102A7" w:rsidP="009102A7">
      <w:pPr>
        <w:numPr>
          <w:ilvl w:val="0"/>
          <w:numId w:val="3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PDS será capaz de adquirir datos en tiempo real directamente de las fuentes de datos, es decir, desde campo, a través de las instalaciones de adquisición de datos del PDS. </w:t>
      </w:r>
    </w:p>
    <w:p w14:paraId="0919C33E" w14:textId="77777777" w:rsidR="009102A7" w:rsidRPr="00576AF8" w:rsidRDefault="009102A7" w:rsidP="009102A7">
      <w:pPr>
        <w:numPr>
          <w:ilvl w:val="0"/>
          <w:numId w:val="3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PDS tendrá las herramientas para recibir e importar copias de las bases de datos fuente y despliegues del sistema de producción o del QAS.</w:t>
      </w:r>
    </w:p>
    <w:p w14:paraId="3C63CCD5" w14:textId="77777777" w:rsidR="009102A7" w:rsidRPr="00576AF8" w:rsidRDefault="009102A7" w:rsidP="009102A7">
      <w:pPr>
        <w:numPr>
          <w:ilvl w:val="0"/>
          <w:numId w:val="3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El PDS permitirá lo siguiente:</w:t>
      </w:r>
    </w:p>
    <w:p w14:paraId="5BB5E0C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Desarrollar aplicaciones con las librerías API disponibles en el Sistema</w:t>
      </w:r>
    </w:p>
    <w:p w14:paraId="6B7CB3CA"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Modificaciones en configuración de la base de datos (SDB), despliegues y aplicaciones</w:t>
      </w:r>
    </w:p>
    <w:p w14:paraId="2A0A3E8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Prueba de las aplicaciones del sistema, parches de seguridad, bases de datos, despliegues e informes</w:t>
      </w:r>
    </w:p>
    <w:p w14:paraId="660C808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Adquisición de datos en tiempo real directamente de las fuentes de datos </w:t>
      </w:r>
    </w:p>
    <w:p w14:paraId="08AC891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Desarrollo y prueba de nuevas configuraciones sin interrumpir la operación</w:t>
      </w:r>
    </w:p>
    <w:p w14:paraId="5E136E4D"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Almacenar al menos un (1) mes de historia.</w:t>
      </w:r>
    </w:p>
    <w:p w14:paraId="2A7B55F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Desarrollar la base de datos y los despliegues (SDB) para transferirlos incrementalmente a la SDB del entorno de producción en la zona de tiempo real y viceversa.</w:t>
      </w:r>
    </w:p>
    <w:p w14:paraId="589EB8D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Transferir los conjuntos de cambios desde la base de datos y los despliegues (SDB) hacia la zona de producción y viceversa.</w:t>
      </w:r>
    </w:p>
    <w:p w14:paraId="5C2588C3" w14:textId="77777777" w:rsidR="009102A7" w:rsidRPr="00576AF8" w:rsidRDefault="009102A7" w:rsidP="009102A7">
      <w:pPr>
        <w:numPr>
          <w:ilvl w:val="0"/>
          <w:numId w:val="3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lang w:val="es-EC" w:eastAsia="es-EC" w:bidi="ar-SA"/>
        </w:rPr>
      </w:pPr>
      <w:r w:rsidRPr="00576AF8">
        <w:rPr>
          <w:rFonts w:eastAsia="Calibri"/>
          <w:sz w:val="22"/>
          <w:szCs w:val="22"/>
          <w:lang w:val="es-419" w:eastAsia="en-US" w:bidi="ar-SA"/>
        </w:rPr>
        <w:t>El PDS estará conectado a la red en una zona de seguridad dedicada</w:t>
      </w:r>
    </w:p>
    <w:p w14:paraId="26FC825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484"/>
        <w:rPr>
          <w:rFonts w:eastAsia="Calibri"/>
          <w:color w:val="000000"/>
          <w:sz w:val="22"/>
          <w:szCs w:val="22"/>
          <w:lang w:val="es-EC" w:eastAsia="es-EC" w:bidi="ar-SA"/>
        </w:rPr>
      </w:pPr>
    </w:p>
    <w:p w14:paraId="402069B1" w14:textId="77777777" w:rsidR="009102A7" w:rsidRPr="00576AF8" w:rsidRDefault="009102A7" w:rsidP="009102A7">
      <w:pPr>
        <w:ind w:left="720" w:firstLine="696"/>
        <w:jc w:val="left"/>
        <w:outlineLvl w:val="2"/>
        <w:rPr>
          <w:b/>
          <w:sz w:val="22"/>
          <w:szCs w:val="22"/>
        </w:rPr>
      </w:pPr>
      <w:bookmarkStart w:id="1062" w:name="_Toc160268961"/>
      <w:bookmarkStart w:id="1063" w:name="_Toc160456025"/>
      <w:r w:rsidRPr="00576AF8">
        <w:rPr>
          <w:b/>
          <w:sz w:val="22"/>
          <w:szCs w:val="22"/>
        </w:rPr>
        <w:t xml:space="preserve">2.1.1.1.8.3 </w:t>
      </w:r>
      <w:r w:rsidRPr="00576AF8">
        <w:rPr>
          <w:b/>
          <w:bCs/>
          <w:sz w:val="22"/>
          <w:szCs w:val="22"/>
        </w:rPr>
        <w:t>Elementos de Soporte a la Conciencia Situacional</w:t>
      </w:r>
      <w:bookmarkEnd w:id="1062"/>
      <w:bookmarkEnd w:id="1063"/>
      <w:r w:rsidRPr="00576AF8">
        <w:rPr>
          <w:b/>
          <w:sz w:val="22"/>
          <w:szCs w:val="22"/>
        </w:rPr>
        <w:tab/>
      </w:r>
      <w:r w:rsidRPr="00576AF8">
        <w:rPr>
          <w:b/>
          <w:sz w:val="22"/>
          <w:szCs w:val="22"/>
        </w:rPr>
        <w:tab/>
      </w:r>
      <w:r w:rsidRPr="00576AF8">
        <w:rPr>
          <w:b/>
          <w:sz w:val="22"/>
          <w:szCs w:val="22"/>
        </w:rPr>
        <w:tab/>
      </w:r>
    </w:p>
    <w:p w14:paraId="36838657" w14:textId="77777777" w:rsidR="009102A7" w:rsidRPr="00576AF8" w:rsidRDefault="009102A7" w:rsidP="009102A7">
      <w:pPr>
        <w:spacing w:after="0"/>
        <w:ind w:left="1416"/>
        <w:rPr>
          <w:color w:val="000000"/>
          <w:sz w:val="22"/>
          <w:szCs w:val="22"/>
          <w:lang w:val="es-EC" w:eastAsia="es-EC" w:bidi="ar-SA"/>
        </w:rPr>
      </w:pPr>
      <w:r w:rsidRPr="00576AF8">
        <w:rPr>
          <w:rFonts w:eastAsia="Arial Unicode MS"/>
          <w:sz w:val="22"/>
          <w:szCs w:val="22"/>
        </w:rPr>
        <w:t>La conciencia situacional</w:t>
      </w:r>
      <w:r w:rsidRPr="00576AF8">
        <w:rPr>
          <w:rFonts w:eastAsia="Arial Unicode MS"/>
          <w:color w:val="000000"/>
          <w:sz w:val="22"/>
          <w:szCs w:val="22"/>
          <w:lang w:val="es-EC" w:eastAsia="es-EC"/>
        </w:rPr>
        <w:t xml:space="preserve"> es crucial para mantener la eficiencia operativa y la seguridad en las operaciones del CENACE. Estas herramientas deben proporcionar a los operadores información en tiempo real, visualización y capacidades analíticas para tomar decisiones y responder de manera rápida a condiciones cambiantes.</w:t>
      </w:r>
      <w:r w:rsidRPr="00576AF8">
        <w:rPr>
          <w:rFonts w:eastAsia="Arial Unicode MS"/>
          <w:color w:val="000000"/>
          <w:sz w:val="22"/>
          <w:szCs w:val="22"/>
        </w:rPr>
        <w:t xml:space="preserve"> </w:t>
      </w:r>
      <w:r w:rsidRPr="00576AF8">
        <w:rPr>
          <w:color w:val="000000"/>
          <w:sz w:val="22"/>
          <w:szCs w:val="22"/>
          <w:lang w:val="es-EC" w:eastAsia="es-EC" w:bidi="ar-SA"/>
        </w:rPr>
        <w:t>Las principales herramientas son:</w:t>
      </w:r>
    </w:p>
    <w:p w14:paraId="6EC585AE" w14:textId="77777777" w:rsidR="009102A7" w:rsidRPr="00576AF8" w:rsidRDefault="009102A7" w:rsidP="009102A7">
      <w:pPr>
        <w:spacing w:after="0"/>
        <w:ind w:left="1416"/>
        <w:rPr>
          <w:sz w:val="22"/>
          <w:szCs w:val="22"/>
          <w:lang w:val="es-EC" w:eastAsia="es-EC" w:bidi="ar-SA"/>
        </w:rPr>
      </w:pPr>
    </w:p>
    <w:p w14:paraId="2AA64864" w14:textId="77777777" w:rsidR="009102A7" w:rsidRPr="00576AF8" w:rsidRDefault="009102A7" w:rsidP="009102A7">
      <w:pPr>
        <w:suppressAutoHyphens w:val="0"/>
        <w:spacing w:after="0"/>
        <w:ind w:left="1416"/>
        <w:rPr>
          <w:color w:val="000000"/>
          <w:sz w:val="22"/>
          <w:szCs w:val="22"/>
          <w:lang w:val="es-EC" w:eastAsia="es-EC" w:bidi="ar-SA"/>
        </w:rPr>
      </w:pPr>
      <w:r w:rsidRPr="00576AF8">
        <w:rPr>
          <w:color w:val="000000"/>
          <w:sz w:val="22"/>
          <w:szCs w:val="22"/>
          <w:u w:val="single"/>
          <w:lang w:val="es-EC" w:eastAsia="es-EC" w:bidi="ar-SA"/>
        </w:rPr>
        <w:t>Hardware</w:t>
      </w:r>
      <w:r w:rsidRPr="00576AF8">
        <w:rPr>
          <w:color w:val="000000"/>
          <w:sz w:val="22"/>
          <w:szCs w:val="22"/>
          <w:lang w:val="es-EC" w:eastAsia="es-EC" w:bidi="ar-SA"/>
        </w:rPr>
        <w:t>:</w:t>
      </w:r>
    </w:p>
    <w:p w14:paraId="4833F89F" w14:textId="77777777" w:rsidR="009102A7" w:rsidRPr="00576AF8" w:rsidRDefault="009102A7" w:rsidP="009102A7">
      <w:pPr>
        <w:suppressAutoHyphens w:val="0"/>
        <w:spacing w:after="0"/>
        <w:ind w:left="1416"/>
        <w:rPr>
          <w:sz w:val="22"/>
          <w:szCs w:val="22"/>
          <w:lang w:val="es-EC" w:eastAsia="es-EC" w:bidi="ar-SA"/>
        </w:rPr>
      </w:pPr>
    </w:p>
    <w:p w14:paraId="0CD5D2DE"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Pantallas de alta resolución de tipo empresarial con una resolución mínima de 4K y por ende de al menos 27” diseñadas para operación ininterrumpida 24/7. Los despliegues deberán configurarse para ser presentados adecuadamente en estos monitores.</w:t>
      </w:r>
    </w:p>
    <w:p w14:paraId="02073FBB"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Estaciones de trabajo de alto rendimiento con procesadores multinúcleo y procesadores gráficos con tarjeta gráfica independiente con suficiente memoria RAM para ejecutar aplicaciones en tiempo real y software de visualización de datos de alta calidad, con teclados ergonómicos y dispositivos de puntero.</w:t>
      </w:r>
    </w:p>
    <w:p w14:paraId="6B249B6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6" w:firstLine="19"/>
        <w:rPr>
          <w:rFonts w:eastAsia="Calibri"/>
          <w:color w:val="000000"/>
          <w:sz w:val="22"/>
          <w:szCs w:val="22"/>
          <w:lang w:val="es-EC" w:eastAsia="es-EC" w:bidi="ar-SA"/>
        </w:rPr>
      </w:pPr>
    </w:p>
    <w:p w14:paraId="766BDB7F" w14:textId="77777777" w:rsidR="009102A7" w:rsidRPr="00576AF8" w:rsidRDefault="009102A7" w:rsidP="009102A7">
      <w:pPr>
        <w:suppressAutoHyphens w:val="0"/>
        <w:spacing w:after="0"/>
        <w:ind w:left="1416"/>
        <w:rPr>
          <w:color w:val="000000"/>
          <w:sz w:val="22"/>
          <w:szCs w:val="22"/>
          <w:u w:val="single"/>
          <w:lang w:val="es-EC" w:eastAsia="es-EC" w:bidi="ar-SA"/>
        </w:rPr>
      </w:pPr>
      <w:r w:rsidRPr="00576AF8">
        <w:rPr>
          <w:color w:val="000000"/>
          <w:sz w:val="22"/>
          <w:szCs w:val="22"/>
          <w:u w:val="single"/>
          <w:lang w:val="es-EC" w:eastAsia="es-EC" w:bidi="ar-SA"/>
        </w:rPr>
        <w:t>Software:</w:t>
      </w:r>
    </w:p>
    <w:p w14:paraId="22D096BE"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lastRenderedPageBreak/>
        <w:t>Software SCADA y EMS de alto desempeño para adquisición de datos en tiempo real, control y monitoreo.</w:t>
      </w:r>
    </w:p>
    <w:p w14:paraId="3733B763"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Información del Sistema WAMS.</w:t>
      </w:r>
    </w:p>
    <w:p w14:paraId="560F2BED"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Información del Sistema SPS, a nivel de supervisión.</w:t>
      </w:r>
    </w:p>
    <w:p w14:paraId="1F151092"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Funcionalidad de gestión de alarmas y eventos con capacidades de priorización y notificación.</w:t>
      </w:r>
    </w:p>
    <w:p w14:paraId="062972FB"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Registro de datos históricos y herramientas de análisis para evaluación de rendimiento.</w:t>
      </w:r>
    </w:p>
    <w:p w14:paraId="7F2CB4A9"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Herramientas avanzadas de visualización en 2D y 3D para representar procesos complejos.</w:t>
      </w:r>
    </w:p>
    <w:p w14:paraId="711BC169"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Paneles personalizables para visualizar datos en tiempo real, tendencias e indicadores clave de rendimiento.</w:t>
      </w:r>
    </w:p>
    <w:p w14:paraId="50D7C976"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Información de Sistemas de Información Geográfica</w:t>
      </w:r>
    </w:p>
    <w:p w14:paraId="01589880"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Analítica impulsada por técnicas de inteligencia artificial como aprendizaje automático (Machine Learning) y aprendizaje profundo (Deep Learning) para mantenimiento predictivo y detección de anomalías.</w:t>
      </w:r>
    </w:p>
    <w:p w14:paraId="3EDF17CE"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Capacidades de simulación y modelado en tiempo real para escenarios a través del OTS para la generación de patrones de respuesta en los operadores.</w:t>
      </w:r>
    </w:p>
    <w:p w14:paraId="0FA1013F" w14:textId="77777777" w:rsidR="009102A7" w:rsidRPr="00576AF8" w:rsidRDefault="009102A7" w:rsidP="009102A7">
      <w:pPr>
        <w:numPr>
          <w:ilvl w:val="0"/>
          <w:numId w:val="35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sz w:val="22"/>
          <w:szCs w:val="22"/>
          <w:lang w:val="es-419" w:eastAsia="en-US" w:bidi="ar-SA"/>
        </w:rPr>
      </w:pPr>
      <w:r w:rsidRPr="00576AF8">
        <w:rPr>
          <w:rFonts w:eastAsia="Calibri"/>
          <w:sz w:val="22"/>
          <w:szCs w:val="22"/>
          <w:lang w:val="es-419" w:eastAsia="en-US" w:bidi="ar-SA"/>
        </w:rPr>
        <w:t>Una solución centralizada que atienda las necesidades de información de los operadores que actualmente se cubren mediante macros en las consolas.</w:t>
      </w:r>
    </w:p>
    <w:p w14:paraId="2EB990CD"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484"/>
        <w:rPr>
          <w:rFonts w:eastAsia="Calibri"/>
          <w:sz w:val="22"/>
          <w:szCs w:val="22"/>
          <w:lang w:val="es-419" w:eastAsia="en-US" w:bidi="ar-SA"/>
        </w:rPr>
      </w:pPr>
    </w:p>
    <w:p w14:paraId="1FF4C3D1" w14:textId="77777777" w:rsidR="009102A7" w:rsidRPr="00576AF8" w:rsidRDefault="009102A7" w:rsidP="009102A7">
      <w:pPr>
        <w:ind w:left="720" w:firstLine="696"/>
        <w:jc w:val="left"/>
        <w:outlineLvl w:val="2"/>
        <w:rPr>
          <w:b/>
          <w:sz w:val="22"/>
          <w:szCs w:val="22"/>
        </w:rPr>
      </w:pPr>
      <w:bookmarkStart w:id="1064" w:name="_Toc160268962"/>
      <w:bookmarkStart w:id="1065" w:name="_Toc160456026"/>
      <w:r w:rsidRPr="00576AF8">
        <w:rPr>
          <w:b/>
          <w:sz w:val="22"/>
          <w:szCs w:val="22"/>
        </w:rPr>
        <w:t>2.1.1.1.8.4 Herramientas con Capacidad de Auditoría</w:t>
      </w:r>
      <w:bookmarkEnd w:id="1064"/>
      <w:bookmarkEnd w:id="1065"/>
      <w:r w:rsidRPr="00576AF8">
        <w:rPr>
          <w:b/>
          <w:sz w:val="22"/>
          <w:szCs w:val="22"/>
        </w:rPr>
        <w:tab/>
      </w:r>
      <w:r w:rsidRPr="00576AF8">
        <w:rPr>
          <w:b/>
          <w:sz w:val="22"/>
          <w:szCs w:val="22"/>
        </w:rPr>
        <w:tab/>
      </w:r>
      <w:r w:rsidRPr="00576AF8">
        <w:rPr>
          <w:b/>
          <w:sz w:val="22"/>
          <w:szCs w:val="22"/>
        </w:rPr>
        <w:tab/>
      </w:r>
      <w:r w:rsidRPr="00576AF8">
        <w:rPr>
          <w:b/>
          <w:sz w:val="22"/>
          <w:szCs w:val="22"/>
        </w:rPr>
        <w:tab/>
      </w:r>
    </w:p>
    <w:p w14:paraId="0C08FD6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6" w:firstLine="19"/>
        <w:rPr>
          <w:rFonts w:eastAsia="Calibri"/>
          <w:color w:val="000000"/>
          <w:sz w:val="22"/>
          <w:szCs w:val="22"/>
          <w:lang w:val="es-EC" w:eastAsia="es-EC" w:bidi="ar-SA"/>
        </w:rPr>
      </w:pPr>
      <w:r w:rsidRPr="00576AF8">
        <w:rPr>
          <w:rFonts w:eastAsia="Calibri"/>
          <w:sz w:val="22"/>
          <w:szCs w:val="22"/>
          <w:lang w:val="es-419" w:eastAsia="en-US" w:bidi="ar-SA"/>
        </w:rPr>
        <w:t xml:space="preserve">Estas herramientas son esenciales para </w:t>
      </w:r>
      <w:r w:rsidRPr="00576AF8">
        <w:rPr>
          <w:rFonts w:eastAsia="Calibri"/>
          <w:color w:val="000000"/>
          <w:sz w:val="22"/>
          <w:szCs w:val="22"/>
          <w:lang w:val="es-EC" w:eastAsia="es-EC" w:bidi="ar-SA"/>
        </w:rPr>
        <w:t>garantizar la seguridad e integridad de los datos y el cumplimiento de las regulaciones.</w:t>
      </w:r>
    </w:p>
    <w:p w14:paraId="4FECF43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6" w:firstLine="19"/>
        <w:rPr>
          <w:rFonts w:eastAsia="Calibri"/>
          <w:sz w:val="22"/>
          <w:szCs w:val="22"/>
          <w:lang w:val="es-419" w:eastAsia="en-US" w:bidi="ar-SA"/>
        </w:rPr>
      </w:pPr>
      <w:r w:rsidRPr="00576AF8">
        <w:rPr>
          <w:rFonts w:eastAsia="Calibri"/>
          <w:color w:val="000000"/>
          <w:sz w:val="22"/>
          <w:szCs w:val="22"/>
          <w:lang w:val="es-EC" w:eastAsia="es-EC" w:bidi="ar-SA"/>
        </w:rPr>
        <w:t> </w:t>
      </w:r>
    </w:p>
    <w:p w14:paraId="5060A4A3" w14:textId="77777777" w:rsidR="009102A7" w:rsidRPr="00576AF8" w:rsidRDefault="009102A7" w:rsidP="009102A7">
      <w:pPr>
        <w:numPr>
          <w:ilvl w:val="0"/>
          <w:numId w:val="354"/>
        </w:numPr>
        <w:suppressAutoHyphens w:val="0"/>
        <w:spacing w:after="0"/>
        <w:contextualSpacing/>
        <w:rPr>
          <w:color w:val="000000"/>
          <w:sz w:val="22"/>
          <w:szCs w:val="22"/>
          <w:lang w:val="es-EC" w:eastAsia="es-EC" w:bidi="ar-SA"/>
        </w:rPr>
      </w:pPr>
      <w:r w:rsidRPr="00576AF8">
        <w:rPr>
          <w:color w:val="000000"/>
          <w:sz w:val="22"/>
          <w:szCs w:val="22"/>
          <w:u w:val="single"/>
          <w:lang w:val="es-EC" w:eastAsia="es-EC" w:bidi="ar-SA"/>
        </w:rPr>
        <w:t>Herramientas de Registro de Auditoría Incorporadas propias del SCADA/EMS:</w:t>
      </w:r>
      <w:r w:rsidRPr="00576AF8">
        <w:rPr>
          <w:color w:val="000000"/>
          <w:sz w:val="22"/>
          <w:szCs w:val="22"/>
          <w:lang w:val="es-EC" w:eastAsia="es-EC" w:bidi="ar-SA"/>
        </w:rPr>
        <w:t xml:space="preserve"> Para registrar actividades clave, como cambios en configuraciones, accesos de usuarios y eventos importantes. El SCADA/EMS dispondrá de las herramientas necesarias para realizar al menos los siguientes registros de auditoría:</w:t>
      </w:r>
    </w:p>
    <w:p w14:paraId="2698DAD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Eventos del sistema de control del SCADA/EMS</w:t>
      </w:r>
    </w:p>
    <w:p w14:paraId="510FDA2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Registro de cambio en las bases de datos fuente </w:t>
      </w:r>
    </w:p>
    <w:p w14:paraId="6830A331"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Errores de generación de la base de datos</w:t>
      </w:r>
    </w:p>
    <w:p w14:paraId="2CF1824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Registro de cambios en los despliegues</w:t>
      </w:r>
    </w:p>
    <w:p w14:paraId="481F4105"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Registro de cambios en parámetros de sintonización de aplicaciones</w:t>
      </w:r>
    </w:p>
    <w:p w14:paraId="720E403E"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Registro de alertas del sistema de control</w:t>
      </w:r>
    </w:p>
    <w:p w14:paraId="27C38C27"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Errores de cambios en los despliegues</w:t>
      </w:r>
    </w:p>
    <w:p w14:paraId="13E470F0"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Registro de acceso a las consolas, servidores, equipos de red</w:t>
      </w:r>
    </w:p>
    <w:p w14:paraId="3DCD6694" w14:textId="77777777" w:rsidR="009102A7" w:rsidRPr="00576AF8" w:rsidRDefault="009102A7" w:rsidP="009102A7">
      <w:pPr>
        <w:numPr>
          <w:ilvl w:val="0"/>
          <w:numId w:val="284"/>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Errores de hardware y software</w:t>
      </w:r>
    </w:p>
    <w:p w14:paraId="0BE508DF" w14:textId="77777777" w:rsidR="006A2DCA" w:rsidRPr="00576AF8" w:rsidRDefault="006A2DCA" w:rsidP="006A2DCA">
      <w:pPr>
        <w:suppressAutoHyphens w:val="0"/>
        <w:spacing w:after="0"/>
        <w:ind w:left="3053"/>
        <w:contextualSpacing/>
        <w:rPr>
          <w:color w:val="000000"/>
          <w:sz w:val="22"/>
          <w:szCs w:val="22"/>
          <w:lang w:val="es-EC" w:eastAsia="es-EC" w:bidi="ar-SA"/>
        </w:rPr>
      </w:pPr>
    </w:p>
    <w:p w14:paraId="6C9202F7" w14:textId="77777777" w:rsidR="009102A7" w:rsidRPr="00576AF8" w:rsidRDefault="009102A7" w:rsidP="009102A7">
      <w:pPr>
        <w:ind w:left="720" w:firstLine="696"/>
        <w:jc w:val="left"/>
        <w:outlineLvl w:val="2"/>
        <w:rPr>
          <w:bCs/>
          <w:sz w:val="22"/>
          <w:szCs w:val="22"/>
        </w:rPr>
      </w:pPr>
      <w:bookmarkStart w:id="1066" w:name="_Toc160268963"/>
      <w:bookmarkStart w:id="1067" w:name="_Toc160456027"/>
      <w:r w:rsidRPr="00576AF8">
        <w:rPr>
          <w:b/>
          <w:sz w:val="22"/>
          <w:szCs w:val="22"/>
        </w:rPr>
        <w:t>2.1.1.1.8.5 Herramientas de Autocuración (Self Healing)</w:t>
      </w:r>
      <w:bookmarkEnd w:id="1066"/>
      <w:bookmarkEnd w:id="1067"/>
    </w:p>
    <w:p w14:paraId="3888A12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35"/>
        <w:rPr>
          <w:rFonts w:eastAsia="Calibri"/>
          <w:color w:val="000000"/>
          <w:sz w:val="22"/>
          <w:szCs w:val="22"/>
          <w:lang w:val="es-EC" w:eastAsia="es-EC" w:bidi="ar-SA"/>
        </w:rPr>
      </w:pPr>
      <w:r w:rsidRPr="00576AF8">
        <w:rPr>
          <w:rFonts w:eastAsia="Calibri"/>
          <w:sz w:val="22"/>
          <w:szCs w:val="22"/>
          <w:lang w:val="es-419" w:eastAsia="en-US" w:bidi="ar-SA"/>
        </w:rPr>
        <w:t xml:space="preserve">El </w:t>
      </w:r>
      <w:r w:rsidRPr="00576AF8">
        <w:rPr>
          <w:rFonts w:eastAsia="Calibri"/>
          <w:color w:val="000000"/>
          <w:sz w:val="22"/>
          <w:szCs w:val="22"/>
          <w:lang w:val="es-EC" w:eastAsia="es-EC" w:bidi="ar-SA"/>
        </w:rPr>
        <w:t>SCADA/EMS debe incluir los siguientes criterios y funcionalidades de soporte para la autocuración: </w:t>
      </w:r>
    </w:p>
    <w:p w14:paraId="6C9B7D3B"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Diseño con redundancia y tolerancia a fallas </w:t>
      </w:r>
    </w:p>
    <w:p w14:paraId="24202A62"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Supervisar los procesos y reiniciarlos en caso de falla</w:t>
      </w:r>
    </w:p>
    <w:p w14:paraId="0106C573"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Realizar el cambio automático al dispositivo alterno en caso de fallas (failover)</w:t>
      </w:r>
    </w:p>
    <w:p w14:paraId="7BD18A11"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lastRenderedPageBreak/>
        <w:t>Mensajes y alerta de errores en programas</w:t>
      </w:r>
    </w:p>
    <w:p w14:paraId="30AA9E59"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Errores de programas codificados</w:t>
      </w:r>
    </w:p>
    <w:p w14:paraId="1C897834"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Programa de autodiagnóstico</w:t>
      </w:r>
    </w:p>
    <w:p w14:paraId="60D51B63"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Aislamiento de fallas permanentes</w:t>
      </w:r>
    </w:p>
    <w:p w14:paraId="6A887D27"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Aislamiento bajo ciberataques</w:t>
      </w:r>
    </w:p>
    <w:p w14:paraId="1136395B"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Posibilidad de integrar el SCADA/EMS con herramientas de análisis de causa raíz automatizados que puedan identificar las causas subyacentes de los problemas y sugerir soluciones.</w:t>
      </w:r>
    </w:p>
    <w:p w14:paraId="68431905" w14:textId="77777777" w:rsidR="009102A7" w:rsidRPr="00576AF8" w:rsidRDefault="009102A7" w:rsidP="009102A7">
      <w:pPr>
        <w:numPr>
          <w:ilvl w:val="0"/>
          <w:numId w:val="35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Posibilidad de integrar el SCADA/EMS con sistemas de mantenimiento predictivo que utilicen análisis avanzados para predecir y prevenir fallas en equipos críticos.</w:t>
      </w:r>
    </w:p>
    <w:p w14:paraId="7123C129" w14:textId="77777777" w:rsidR="009102A7" w:rsidRPr="00576AF8" w:rsidRDefault="009102A7" w:rsidP="009102A7">
      <w:pPr>
        <w:ind w:left="720" w:firstLine="696"/>
        <w:jc w:val="left"/>
        <w:outlineLvl w:val="2"/>
        <w:rPr>
          <w:bCs/>
          <w:sz w:val="22"/>
          <w:szCs w:val="22"/>
        </w:rPr>
      </w:pPr>
      <w:r w:rsidRPr="00576AF8">
        <w:rPr>
          <w:b/>
          <w:sz w:val="22"/>
          <w:szCs w:val="22"/>
        </w:rPr>
        <w:t xml:space="preserve">2.1.1.1.8.6 </w:t>
      </w:r>
      <w:r w:rsidRPr="00576AF8">
        <w:rPr>
          <w:b/>
          <w:bCs/>
          <w:sz w:val="22"/>
          <w:szCs w:val="22"/>
        </w:rPr>
        <w:t>Failover</w:t>
      </w:r>
    </w:p>
    <w:p w14:paraId="03B634C3" w14:textId="77777777" w:rsidR="009102A7" w:rsidRPr="00576AF8" w:rsidRDefault="009102A7" w:rsidP="009102A7">
      <w:pPr>
        <w:numPr>
          <w:ilvl w:val="0"/>
          <w:numId w:val="37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El software supervisor del SCADA/EMS se encargará de detectar cualquier falla relacionada con un recurso de procesamiento, tales como disco, RAM, fuente de alimentación u otro componente crítico asociado.  Asimismo, será responsable de iniciar automáticamente una acción apropiada para recuperarse de la falla detectada, activando un equipo redundante o transfiriendo responsabilidades de procesamiento entre los recursos de procesamiento que permanezcan operativos. </w:t>
      </w:r>
    </w:p>
    <w:p w14:paraId="0012E1DA" w14:textId="77777777" w:rsidR="009102A7" w:rsidRPr="00576AF8" w:rsidRDefault="009102A7" w:rsidP="009102A7">
      <w:pPr>
        <w:numPr>
          <w:ilvl w:val="0"/>
          <w:numId w:val="37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Las capacidades de detección y recuperación de fallas son esenciales para todos los dispositivos redundantes. Además, el software supervisor también monitoreará el proceso de transición de uso de un procesador principal a uno alterno realizado en respuesta al comando o instrucción de un usuario autorizado</w:t>
      </w:r>
    </w:p>
    <w:p w14:paraId="6F6F26D5" w14:textId="77777777" w:rsidR="009102A7" w:rsidRPr="00576AF8" w:rsidRDefault="009102A7" w:rsidP="009102A7">
      <w:pPr>
        <w:numPr>
          <w:ilvl w:val="0"/>
          <w:numId w:val="37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La lógica de conmutación por falla (failover) residirá tanto en los recursos de procesamiento en línea como en los de respaldo (standby), cada uno supervisando el rendimiento del otro y listo para tomar las acciones apropiadas según sea requerido. Los eventos que conduzcan a una conmutación por fallas incluirán, como mínimo: </w:t>
      </w:r>
    </w:p>
    <w:p w14:paraId="1631B3E4" w14:textId="77777777" w:rsidR="009102A7" w:rsidRPr="00576AF8" w:rsidRDefault="009102A7" w:rsidP="009102A7">
      <w:pPr>
        <w:numPr>
          <w:ilvl w:val="0"/>
          <w:numId w:val="284"/>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Falla de un recurso de procesamiento en línea o de cualquiera de sus componentes críticos.</w:t>
      </w:r>
    </w:p>
    <w:p w14:paraId="0BCEF258" w14:textId="77777777" w:rsidR="009102A7" w:rsidRPr="00576AF8" w:rsidRDefault="009102A7" w:rsidP="009102A7">
      <w:pPr>
        <w:numPr>
          <w:ilvl w:val="0"/>
          <w:numId w:val="284"/>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Error del disco asociado con un recurso de procesamiento en línea. </w:t>
      </w:r>
    </w:p>
    <w:p w14:paraId="1D33DC82" w14:textId="77777777" w:rsidR="009102A7" w:rsidRPr="00576AF8" w:rsidRDefault="009102A7" w:rsidP="009102A7">
      <w:pPr>
        <w:numPr>
          <w:ilvl w:val="0"/>
          <w:numId w:val="284"/>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Falla de alimentación del equipo en línea. </w:t>
      </w:r>
    </w:p>
    <w:p w14:paraId="699F2617" w14:textId="77777777" w:rsidR="009102A7" w:rsidRPr="00576AF8" w:rsidRDefault="009102A7" w:rsidP="009102A7">
      <w:pPr>
        <w:numPr>
          <w:ilvl w:val="0"/>
          <w:numId w:val="284"/>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Comando de un usuario autorizado. Sin embargo, si un recurso de procesamiento de respaldo no está disponible, se rechazará el comando y el usuario tendrá la opción de solicitar un reinicio en caliente. </w:t>
      </w:r>
    </w:p>
    <w:p w14:paraId="19852968" w14:textId="77777777" w:rsidR="009102A7" w:rsidRPr="00576AF8" w:rsidRDefault="009102A7" w:rsidP="009102A7">
      <w:pPr>
        <w:numPr>
          <w:ilvl w:val="0"/>
          <w:numId w:val="37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failover de cualquier componente del sistema generará una alarma de alta prioridad. La alarma indicará el motivo de la conmutación, el error asociado, la unidad fallida y la unidad que asumió la responsabilidad.</w:t>
      </w:r>
    </w:p>
    <w:p w14:paraId="24924796" w14:textId="77777777" w:rsidR="009102A7" w:rsidRPr="00576AF8" w:rsidRDefault="009102A7" w:rsidP="009102A7">
      <w:pPr>
        <w:numPr>
          <w:ilvl w:val="0"/>
          <w:numId w:val="37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 xml:space="preserve">En caso de falla de un recurso de procesamiento fuera de línea o de uno de sus componentes críticos, o de falla del disco asociado con el recurso de procesamiento fuera de línea, se generará una alarma, pero no se realizará ninguna acción de failover. </w:t>
      </w:r>
    </w:p>
    <w:p w14:paraId="1AD0FFF0" w14:textId="77777777" w:rsidR="009102A7" w:rsidRPr="00576AF8" w:rsidRDefault="009102A7" w:rsidP="009102A7">
      <w:pPr>
        <w:numPr>
          <w:ilvl w:val="0"/>
          <w:numId w:val="375"/>
        </w:numPr>
        <w:suppressAutoHyphens w:val="0"/>
        <w:spacing w:after="0"/>
        <w:contextualSpacing/>
        <w:rPr>
          <w:rFonts w:eastAsia="Calibri"/>
          <w:color w:val="000000"/>
          <w:sz w:val="22"/>
          <w:szCs w:val="22"/>
          <w:lang w:val="es-EC" w:eastAsia="es-EC" w:bidi="ar-SA"/>
        </w:rPr>
      </w:pPr>
      <w:r w:rsidRPr="00576AF8">
        <w:rPr>
          <w:rFonts w:eastAsia="Calibri"/>
          <w:color w:val="000000"/>
          <w:sz w:val="22"/>
          <w:szCs w:val="22"/>
          <w:lang w:val="es-EC" w:eastAsia="es-EC" w:bidi="ar-SA"/>
        </w:rPr>
        <w:t>El failover no interrumpirá ningún proceso en curso y no durará más de 30 segundos. No se perderán alarmas y no se perderá la visibilidad del operador del sistema eléctrico supervisado. El failover no interrumpirá el trabajo en ninguna consola. Las ventanas y pantallas del sistema utilizadas por los diferentes usuarios no se verán afectados.</w:t>
      </w:r>
    </w:p>
    <w:p w14:paraId="5EF767BD" w14:textId="77777777" w:rsidR="009102A7" w:rsidRPr="00576AF8" w:rsidRDefault="009102A7" w:rsidP="009102A7">
      <w:pPr>
        <w:numPr>
          <w:ilvl w:val="0"/>
          <w:numId w:val="375"/>
        </w:numPr>
        <w:suppressAutoHyphens w:val="0"/>
        <w:spacing w:after="0"/>
        <w:contextualSpacing/>
        <w:rPr>
          <w:rFonts w:eastAsia="Calibri"/>
          <w:sz w:val="22"/>
          <w:szCs w:val="22"/>
        </w:rPr>
      </w:pPr>
      <w:r w:rsidRPr="00576AF8">
        <w:rPr>
          <w:rFonts w:eastAsia="Calibri"/>
          <w:color w:val="000000"/>
          <w:sz w:val="22"/>
          <w:szCs w:val="22"/>
          <w:lang w:val="es-EC" w:eastAsia="es-EC" w:bidi="ar-SA"/>
        </w:rPr>
        <w:t>El sistema permitirá a un usuario autorizado en una estación de trabajo, la capacidad para activar la conmutación ya sea de un equipo y/o de todo el sistema.  Esta acción se registrará como un evento.</w:t>
      </w:r>
    </w:p>
    <w:p w14:paraId="5453976C" w14:textId="77777777" w:rsidR="009102A7" w:rsidRPr="00576AF8" w:rsidRDefault="009102A7" w:rsidP="009102A7">
      <w:pPr>
        <w:ind w:left="2127" w:right="4" w:hanging="426"/>
        <w:contextualSpacing/>
        <w:rPr>
          <w:rFonts w:eastAsia="Calibri"/>
          <w:sz w:val="22"/>
          <w:szCs w:val="22"/>
        </w:rPr>
      </w:pPr>
    </w:p>
    <w:p w14:paraId="25E4FB4E" w14:textId="77777777" w:rsidR="009102A7" w:rsidRPr="00576AF8" w:rsidRDefault="009102A7" w:rsidP="009102A7">
      <w:pPr>
        <w:ind w:left="720" w:firstLine="696"/>
        <w:jc w:val="left"/>
        <w:outlineLvl w:val="2"/>
        <w:rPr>
          <w:b/>
          <w:bCs/>
          <w:sz w:val="22"/>
          <w:szCs w:val="22"/>
        </w:rPr>
      </w:pPr>
      <w:r w:rsidRPr="00576AF8">
        <w:rPr>
          <w:b/>
          <w:sz w:val="22"/>
          <w:szCs w:val="22"/>
        </w:rPr>
        <w:t xml:space="preserve">2.1.1.1.8.7 </w:t>
      </w:r>
      <w:r w:rsidRPr="00576AF8">
        <w:rPr>
          <w:b/>
          <w:bCs/>
          <w:sz w:val="22"/>
          <w:szCs w:val="22"/>
        </w:rPr>
        <w:t>Failover de Servidores</w:t>
      </w:r>
    </w:p>
    <w:p w14:paraId="5C89967B" w14:textId="77777777" w:rsidR="009102A7" w:rsidRPr="00576AF8" w:rsidRDefault="009102A7" w:rsidP="009102A7">
      <w:pPr>
        <w:numPr>
          <w:ilvl w:val="0"/>
          <w:numId w:val="177"/>
        </w:numPr>
        <w:ind w:left="2127" w:right="4"/>
        <w:contextualSpacing/>
        <w:rPr>
          <w:rFonts w:eastAsia="Calibri"/>
          <w:sz w:val="22"/>
          <w:szCs w:val="22"/>
        </w:rPr>
      </w:pPr>
      <w:r w:rsidRPr="00576AF8">
        <w:rPr>
          <w:rFonts w:eastAsia="Calibri"/>
          <w:sz w:val="22"/>
          <w:szCs w:val="22"/>
        </w:rPr>
        <w:t>En caso de falla de cualquier servidor primario en un grupo de servidores redundantes, se iniciará una operación de conmutación por falla (failover), reiniciando las funciones del servidor fallido con un servidor en espera (standby). El sistema permitirá un cambio automático entre servidores en línea (acción de failover).</w:t>
      </w:r>
    </w:p>
    <w:p w14:paraId="255EE0E6" w14:textId="77777777" w:rsidR="009102A7" w:rsidRPr="00576AF8" w:rsidRDefault="009102A7" w:rsidP="009102A7">
      <w:pPr>
        <w:numPr>
          <w:ilvl w:val="0"/>
          <w:numId w:val="177"/>
        </w:numPr>
        <w:ind w:left="2127" w:right="4"/>
        <w:contextualSpacing/>
        <w:rPr>
          <w:rFonts w:eastAsia="Calibri"/>
          <w:sz w:val="22"/>
          <w:szCs w:val="22"/>
        </w:rPr>
      </w:pPr>
      <w:r w:rsidRPr="00576AF8">
        <w:rPr>
          <w:rFonts w:eastAsia="Calibri"/>
          <w:sz w:val="22"/>
          <w:szCs w:val="22"/>
        </w:rPr>
        <w:lastRenderedPageBreak/>
        <w:t xml:space="preserve">Cuando el SCADA/EMS esté configurado para distribuir (compartir) funciones entre varios servidores primarios, el failover se implementará reasignando las tareas del servidor fallido a otro servidor en línea. El proceso de arranque del servidor se realizará mediante una orden de usuario, asegurando que el entorno operativo del servidor se establezca antes de reiniciar sus funciones. </w:t>
      </w:r>
    </w:p>
    <w:p w14:paraId="43E6A6D4" w14:textId="77777777" w:rsidR="009102A7" w:rsidRPr="00576AF8" w:rsidRDefault="009102A7" w:rsidP="009102A7">
      <w:pPr>
        <w:numPr>
          <w:ilvl w:val="0"/>
          <w:numId w:val="177"/>
        </w:numPr>
        <w:ind w:left="2127" w:right="4"/>
        <w:contextualSpacing/>
        <w:rPr>
          <w:rFonts w:eastAsia="Calibri"/>
          <w:sz w:val="22"/>
          <w:szCs w:val="22"/>
        </w:rPr>
      </w:pPr>
      <w:r w:rsidRPr="00576AF8">
        <w:rPr>
          <w:rFonts w:eastAsia="Calibri"/>
          <w:sz w:val="22"/>
          <w:szCs w:val="22"/>
        </w:rPr>
        <w:t xml:space="preserve">El establecimiento del entorno operativo puede incluir la ejecución de autodiagnósticos, la recarga del sistema operativo y la conexión y verificación de las comunicaciones con todas las redes relacionadas. Después del inicio del servidor, un reinicio de la función llevará los servidores al estado apropiado. </w:t>
      </w:r>
    </w:p>
    <w:p w14:paraId="029AF39A" w14:textId="77777777" w:rsidR="009102A7" w:rsidRPr="00576AF8" w:rsidRDefault="009102A7" w:rsidP="009102A7">
      <w:pPr>
        <w:ind w:left="2127" w:right="4"/>
        <w:contextualSpacing/>
        <w:rPr>
          <w:rFonts w:eastAsia="Calibri"/>
          <w:sz w:val="22"/>
          <w:szCs w:val="22"/>
        </w:rPr>
      </w:pPr>
    </w:p>
    <w:p w14:paraId="0D801398" w14:textId="77777777" w:rsidR="009102A7" w:rsidRPr="00576AF8" w:rsidRDefault="009102A7" w:rsidP="009102A7">
      <w:pPr>
        <w:ind w:left="720" w:firstLine="696"/>
        <w:jc w:val="left"/>
        <w:outlineLvl w:val="2"/>
        <w:rPr>
          <w:bCs/>
          <w:sz w:val="22"/>
          <w:szCs w:val="22"/>
        </w:rPr>
      </w:pPr>
      <w:r w:rsidRPr="00576AF8">
        <w:rPr>
          <w:b/>
          <w:sz w:val="22"/>
          <w:szCs w:val="22"/>
        </w:rPr>
        <w:t xml:space="preserve">2.1.1.1.8.8 </w:t>
      </w:r>
      <w:r w:rsidRPr="00576AF8">
        <w:rPr>
          <w:b/>
          <w:bCs/>
          <w:sz w:val="22"/>
          <w:szCs w:val="22"/>
        </w:rPr>
        <w:t>Rearranques del Sistema</w:t>
      </w:r>
    </w:p>
    <w:p w14:paraId="057C6DFD" w14:textId="77777777" w:rsidR="009102A7" w:rsidRPr="00576AF8" w:rsidRDefault="009102A7" w:rsidP="009102A7">
      <w:pPr>
        <w:ind w:left="1416" w:right="4"/>
        <w:rPr>
          <w:sz w:val="22"/>
          <w:szCs w:val="22"/>
        </w:rPr>
      </w:pPr>
      <w:r w:rsidRPr="00576AF8">
        <w:rPr>
          <w:rFonts w:eastAsia="Calibri"/>
          <w:sz w:val="22"/>
          <w:szCs w:val="22"/>
        </w:rPr>
        <w:t xml:space="preserve">Se proporcionará un mecanismo para reiniciar un recurso de procesamiento del SCADA/EMS. A este respecto, se requieren 3 (tres) modos de reinicio de la siguiente manera: </w:t>
      </w:r>
    </w:p>
    <w:p w14:paraId="11943D22" w14:textId="77777777" w:rsidR="009102A7" w:rsidRPr="00576AF8" w:rsidRDefault="009102A7" w:rsidP="009102A7">
      <w:pPr>
        <w:numPr>
          <w:ilvl w:val="0"/>
          <w:numId w:val="178"/>
        </w:numPr>
        <w:ind w:left="2127" w:right="4"/>
        <w:contextualSpacing/>
        <w:rPr>
          <w:rFonts w:eastAsia="Calibri"/>
          <w:sz w:val="22"/>
          <w:szCs w:val="22"/>
        </w:rPr>
      </w:pPr>
      <w:r w:rsidRPr="00576AF8">
        <w:rPr>
          <w:rFonts w:eastAsia="Calibri"/>
          <w:sz w:val="22"/>
          <w:szCs w:val="22"/>
          <w:u w:val="single"/>
        </w:rPr>
        <w:t>Un reinicio en caliente (hot)</w:t>
      </w:r>
      <w:r w:rsidRPr="00576AF8">
        <w:rPr>
          <w:rFonts w:eastAsia="Calibri"/>
          <w:sz w:val="22"/>
          <w:szCs w:val="22"/>
        </w:rPr>
        <w:t xml:space="preserve"> en el que se utiliza la versión más reciente de toda la base de datos residente en memoria para continuar el funcionamiento. </w:t>
      </w:r>
    </w:p>
    <w:p w14:paraId="7EF9F9FE" w14:textId="77777777" w:rsidR="009102A7" w:rsidRPr="00576AF8" w:rsidRDefault="009102A7" w:rsidP="009102A7">
      <w:pPr>
        <w:numPr>
          <w:ilvl w:val="0"/>
          <w:numId w:val="178"/>
        </w:numPr>
        <w:ind w:left="2127" w:right="4"/>
        <w:contextualSpacing/>
        <w:rPr>
          <w:rFonts w:eastAsia="Calibri"/>
          <w:sz w:val="22"/>
          <w:szCs w:val="22"/>
        </w:rPr>
      </w:pPr>
      <w:r w:rsidRPr="00576AF8">
        <w:rPr>
          <w:rFonts w:eastAsia="Calibri"/>
          <w:sz w:val="22"/>
          <w:szCs w:val="22"/>
          <w:u w:val="single"/>
        </w:rPr>
        <w:t>Un reinicio semiactivo (warm)</w:t>
      </w:r>
      <w:r w:rsidRPr="00576AF8">
        <w:rPr>
          <w:rFonts w:eastAsia="Calibri"/>
          <w:sz w:val="22"/>
          <w:szCs w:val="22"/>
        </w:rPr>
        <w:t xml:space="preserve"> en el que la base de datos residente en la memoria volátil RAM se restaura desde el disco. Un reinicio semiactivo se iniciará automáticamente después de una pérdida de energía en el recurso de procesamiento. </w:t>
      </w:r>
    </w:p>
    <w:p w14:paraId="56F891C3" w14:textId="77777777" w:rsidR="009102A7" w:rsidRPr="00576AF8" w:rsidRDefault="009102A7" w:rsidP="009102A7">
      <w:pPr>
        <w:numPr>
          <w:ilvl w:val="0"/>
          <w:numId w:val="178"/>
        </w:numPr>
        <w:ind w:left="2127" w:right="4"/>
        <w:contextualSpacing/>
        <w:rPr>
          <w:rFonts w:eastAsia="Calibri"/>
          <w:sz w:val="22"/>
          <w:szCs w:val="22"/>
        </w:rPr>
      </w:pPr>
      <w:r w:rsidRPr="00576AF8">
        <w:rPr>
          <w:rFonts w:eastAsia="Calibri"/>
          <w:sz w:val="22"/>
          <w:szCs w:val="22"/>
          <w:u w:val="single"/>
        </w:rPr>
        <w:t>Un reinicio en frío (cold)</w:t>
      </w:r>
      <w:r w:rsidRPr="00576AF8">
        <w:rPr>
          <w:rFonts w:eastAsia="Calibri"/>
          <w:sz w:val="22"/>
          <w:szCs w:val="22"/>
        </w:rPr>
        <w:t xml:space="preserve"> es una reinicialización completa del recurso de procesamiento desde la versión más reciente disponible de la base de datos con los valores predeterminados. Un reinicio en frío se realizará únicamente mediante un proceso de recuperación manual.</w:t>
      </w:r>
    </w:p>
    <w:p w14:paraId="18FCD5DC" w14:textId="77777777" w:rsidR="009102A7" w:rsidRPr="00576AF8" w:rsidRDefault="009102A7" w:rsidP="009102A7">
      <w:pPr>
        <w:numPr>
          <w:ilvl w:val="0"/>
          <w:numId w:val="178"/>
        </w:numPr>
        <w:ind w:left="2127" w:right="4" w:hanging="284"/>
        <w:contextualSpacing/>
        <w:rPr>
          <w:rFonts w:eastAsia="Calibri"/>
          <w:sz w:val="22"/>
          <w:szCs w:val="22"/>
        </w:rPr>
      </w:pPr>
      <w:r w:rsidRPr="00576AF8">
        <w:rPr>
          <w:rFonts w:eastAsia="Calibri"/>
          <w:sz w:val="22"/>
          <w:szCs w:val="22"/>
        </w:rPr>
        <w:t>Después de una conmutación por falla o el reinicio, no se requerirá ningún inicio de sesión del usuario o intervención manual para que el recurso de procesamiento y el SCADA/EMS completo recuperen sus datos, sus funciones y el conjunto completo de despliegues sin cambios en cada monitor. No será necesario realizar ninguna acción del operador para recuperar el estado de alarma anterior. Todas las alarmas aún existentes, pero previamente reconocidas seguirán siendo reconocidas. Los reinicios automáticos generarán una alarma de alta prioridad.</w:t>
      </w:r>
    </w:p>
    <w:p w14:paraId="36A5219A" w14:textId="77777777" w:rsidR="009102A7" w:rsidRPr="00576AF8" w:rsidRDefault="009102A7" w:rsidP="009102A7">
      <w:pPr>
        <w:numPr>
          <w:ilvl w:val="0"/>
          <w:numId w:val="178"/>
        </w:numPr>
        <w:ind w:left="2127" w:right="4" w:hanging="284"/>
        <w:contextualSpacing/>
        <w:rPr>
          <w:rFonts w:eastAsia="Calibri"/>
          <w:sz w:val="22"/>
          <w:szCs w:val="22"/>
        </w:rPr>
      </w:pPr>
      <w:r w:rsidRPr="00576AF8">
        <w:rPr>
          <w:rFonts w:eastAsia="Calibri"/>
          <w:sz w:val="22"/>
          <w:szCs w:val="22"/>
        </w:rPr>
        <w:t>El sistema permitirá realizar un reinicio de un equipo o del sistema completo en una estación de trabajo registrada con un usuario autorizado, esta acción se registrará como un evento.</w:t>
      </w:r>
    </w:p>
    <w:p w14:paraId="7806F220" w14:textId="77777777" w:rsidR="009102A7" w:rsidRPr="00576AF8" w:rsidRDefault="009102A7" w:rsidP="009102A7">
      <w:pPr>
        <w:spacing w:after="0"/>
        <w:rPr>
          <w:rFonts w:eastAsia="Arial Unicode MS"/>
          <w:sz w:val="22"/>
          <w:szCs w:val="22"/>
        </w:rPr>
      </w:pPr>
    </w:p>
    <w:p w14:paraId="3D83A605" w14:textId="77777777" w:rsidR="009102A7" w:rsidRPr="00576AF8" w:rsidRDefault="009102A7" w:rsidP="009102A7">
      <w:pPr>
        <w:ind w:left="720" w:firstLine="696"/>
        <w:jc w:val="left"/>
        <w:outlineLvl w:val="2"/>
        <w:rPr>
          <w:b/>
          <w:i/>
          <w:color w:val="4472C4"/>
          <w:sz w:val="22"/>
          <w:szCs w:val="22"/>
        </w:rPr>
      </w:pPr>
      <w:r w:rsidRPr="00576AF8">
        <w:rPr>
          <w:b/>
          <w:sz w:val="22"/>
          <w:szCs w:val="22"/>
          <w:u w:val="single"/>
        </w:rPr>
        <w:t>2.1.1.2 Diseño físico</w:t>
      </w:r>
      <w:r w:rsidRPr="00576AF8">
        <w:rPr>
          <w:b/>
          <w:sz w:val="22"/>
          <w:szCs w:val="22"/>
        </w:rPr>
        <w:t xml:space="preserve">: </w:t>
      </w:r>
    </w:p>
    <w:p w14:paraId="7E84D2F9" w14:textId="77777777" w:rsidR="009102A7" w:rsidRPr="00576AF8" w:rsidRDefault="009102A7" w:rsidP="008C0D90">
      <w:pPr>
        <w:ind w:left="709"/>
        <w:jc w:val="left"/>
        <w:outlineLvl w:val="2"/>
        <w:rPr>
          <w:rFonts w:eastAsia="Arial"/>
          <w:b/>
          <w:bCs/>
          <w:color w:val="000000"/>
          <w:sz w:val="22"/>
          <w:szCs w:val="22"/>
        </w:rPr>
      </w:pPr>
      <w:r w:rsidRPr="00576AF8">
        <w:rPr>
          <w:rFonts w:eastAsia="Arial"/>
          <w:b/>
          <w:bCs/>
          <w:color w:val="000000"/>
          <w:sz w:val="22"/>
          <w:szCs w:val="22"/>
        </w:rPr>
        <w:tab/>
        <w:t>DESARROLLO E INTEGRACIÓN DE SOFTWARE</w:t>
      </w:r>
    </w:p>
    <w:p w14:paraId="489E8D66" w14:textId="77777777" w:rsidR="009102A7" w:rsidRPr="00576AF8" w:rsidRDefault="009102A7" w:rsidP="009102A7">
      <w:pPr>
        <w:tabs>
          <w:tab w:val="left" w:pos="851"/>
        </w:tabs>
        <w:spacing w:before="3" w:after="160"/>
        <w:ind w:left="709" w:right="-20"/>
        <w:rPr>
          <w:rFonts w:eastAsia="Arial"/>
          <w:bCs/>
          <w:color w:val="000000"/>
          <w:sz w:val="22"/>
          <w:szCs w:val="22"/>
        </w:rPr>
      </w:pPr>
      <w:r w:rsidRPr="00576AF8">
        <w:rPr>
          <w:rFonts w:eastAsia="Arial"/>
          <w:bCs/>
          <w:color w:val="000000"/>
          <w:sz w:val="22"/>
          <w:szCs w:val="22"/>
        </w:rPr>
        <w:t xml:space="preserve">El Proveedor PROPONDRÁ el diseño </w:t>
      </w:r>
      <w:r w:rsidR="00807FBC" w:rsidRPr="00576AF8">
        <w:rPr>
          <w:rFonts w:eastAsia="Arial"/>
          <w:bCs/>
          <w:color w:val="000000"/>
          <w:sz w:val="22"/>
          <w:szCs w:val="22"/>
        </w:rPr>
        <w:t>de la arquitectura</w:t>
      </w:r>
      <w:r w:rsidRPr="00576AF8">
        <w:rPr>
          <w:rFonts w:eastAsia="Arial"/>
          <w:bCs/>
          <w:color w:val="000000"/>
          <w:sz w:val="22"/>
          <w:szCs w:val="22"/>
        </w:rPr>
        <w:t xml:space="preserve"> </w:t>
      </w:r>
      <w:r w:rsidR="00807FBC" w:rsidRPr="00576AF8">
        <w:rPr>
          <w:rFonts w:eastAsia="Arial"/>
          <w:bCs/>
          <w:color w:val="000000"/>
          <w:sz w:val="22"/>
          <w:szCs w:val="22"/>
        </w:rPr>
        <w:t xml:space="preserve">lógica y física de la solución propuesta, </w:t>
      </w:r>
      <w:r w:rsidRPr="00576AF8">
        <w:rPr>
          <w:rFonts w:eastAsia="Arial"/>
          <w:bCs/>
          <w:color w:val="000000"/>
          <w:sz w:val="22"/>
          <w:szCs w:val="22"/>
        </w:rPr>
        <w:t xml:space="preserve">siempre que se respeten los criterios de confiabilidad, disponibilidad, y seguridad requeridos para el nuevo sistema SCADA/EMS </w:t>
      </w:r>
      <w:r w:rsidR="00593894" w:rsidRPr="00576AF8">
        <w:rPr>
          <w:rFonts w:eastAsia="Arial"/>
          <w:bCs/>
          <w:color w:val="000000"/>
          <w:sz w:val="22"/>
          <w:szCs w:val="22"/>
        </w:rPr>
        <w:t>del Comprador</w:t>
      </w:r>
      <w:r w:rsidRPr="00576AF8">
        <w:rPr>
          <w:rFonts w:eastAsia="Arial"/>
          <w:bCs/>
          <w:color w:val="000000"/>
          <w:sz w:val="22"/>
          <w:szCs w:val="22"/>
        </w:rPr>
        <w:t xml:space="preserve">. </w:t>
      </w:r>
    </w:p>
    <w:p w14:paraId="05A34E1C" w14:textId="77777777" w:rsidR="009102A7" w:rsidRPr="00576AF8" w:rsidRDefault="009102A7" w:rsidP="009102A7">
      <w:pPr>
        <w:tabs>
          <w:tab w:val="left" w:pos="851"/>
        </w:tabs>
        <w:ind w:left="709" w:right="41"/>
        <w:rPr>
          <w:sz w:val="22"/>
          <w:szCs w:val="22"/>
        </w:rPr>
      </w:pPr>
      <w:r w:rsidRPr="00576AF8">
        <w:rPr>
          <w:rFonts w:eastAsia="Arial"/>
          <w:color w:val="000000"/>
          <w:sz w:val="22"/>
          <w:szCs w:val="22"/>
        </w:rPr>
        <w:t>El Proveedor de SCADA/EMS será responsable de la instalación de las personalizaciones del software SCADA/EMS y del software de interfaz con sistemas externos y realizará las pruebas preliminares de integración junto con</w:t>
      </w:r>
      <w:r w:rsidR="00593894" w:rsidRPr="00576AF8">
        <w:rPr>
          <w:rFonts w:eastAsia="Arial"/>
          <w:color w:val="000000"/>
          <w:sz w:val="22"/>
          <w:szCs w:val="22"/>
        </w:rPr>
        <w:t xml:space="preserve"> el Comprador</w:t>
      </w:r>
      <w:r w:rsidRPr="00576AF8">
        <w:rPr>
          <w:rFonts w:eastAsia="Arial"/>
          <w:color w:val="000000"/>
          <w:sz w:val="22"/>
          <w:szCs w:val="22"/>
        </w:rPr>
        <w:t>.</w:t>
      </w:r>
    </w:p>
    <w:p w14:paraId="64F849A8" w14:textId="77777777" w:rsidR="009102A7" w:rsidRPr="00576AF8" w:rsidRDefault="009102A7" w:rsidP="009102A7">
      <w:pPr>
        <w:tabs>
          <w:tab w:val="left" w:pos="709"/>
          <w:tab w:val="left" w:pos="851"/>
        </w:tabs>
        <w:spacing w:before="3" w:after="160"/>
        <w:ind w:left="709" w:right="-20"/>
        <w:rPr>
          <w:sz w:val="22"/>
          <w:szCs w:val="22"/>
        </w:rPr>
      </w:pPr>
      <w:r w:rsidRPr="00576AF8">
        <w:rPr>
          <w:rFonts w:eastAsia="Arial"/>
          <w:color w:val="000000"/>
          <w:sz w:val="22"/>
          <w:szCs w:val="22"/>
        </w:rPr>
        <w:t>El Proveedor DEBERÁ realizar las modificaciones a módulos específicos del software base para cumplir con las funcionalidades especificadas por</w:t>
      </w:r>
      <w:r w:rsidR="00593894" w:rsidRPr="00576AF8">
        <w:rPr>
          <w:rFonts w:eastAsia="Arial"/>
          <w:color w:val="000000"/>
          <w:sz w:val="22"/>
          <w:szCs w:val="22"/>
        </w:rPr>
        <w:t xml:space="preserve"> el Comprador</w:t>
      </w:r>
      <w:r w:rsidRPr="00576AF8">
        <w:rPr>
          <w:rFonts w:eastAsia="Arial"/>
          <w:color w:val="000000"/>
          <w:sz w:val="22"/>
          <w:szCs w:val="22"/>
        </w:rPr>
        <w:t xml:space="preserve"> en el entendido de que dichas modificaciones exclusivas del proyecto se propagarán en cualquier actualización futura del sistema.</w:t>
      </w:r>
    </w:p>
    <w:p w14:paraId="242EA8CB" w14:textId="77777777" w:rsidR="009102A7" w:rsidRPr="00576AF8" w:rsidRDefault="009102A7" w:rsidP="009102A7">
      <w:pPr>
        <w:tabs>
          <w:tab w:val="left" w:pos="709"/>
        </w:tabs>
        <w:spacing w:before="3" w:after="160"/>
        <w:ind w:left="708" w:right="-20" w:hanging="282"/>
        <w:rPr>
          <w:sz w:val="22"/>
          <w:szCs w:val="22"/>
        </w:rPr>
      </w:pPr>
      <w:r w:rsidRPr="00576AF8">
        <w:rPr>
          <w:rFonts w:eastAsia="Arial"/>
          <w:color w:val="000000"/>
          <w:sz w:val="22"/>
          <w:szCs w:val="22"/>
        </w:rPr>
        <w:tab/>
      </w:r>
      <w:r w:rsidR="00807FBC" w:rsidRPr="00576AF8">
        <w:rPr>
          <w:rFonts w:eastAsia="Arial"/>
          <w:color w:val="000000"/>
          <w:sz w:val="22"/>
          <w:szCs w:val="22"/>
        </w:rPr>
        <w:t xml:space="preserve">El Proveedor DEBERÁ realizar </w:t>
      </w:r>
      <w:r w:rsidRPr="00576AF8">
        <w:rPr>
          <w:rFonts w:eastAsia="Arial"/>
          <w:color w:val="000000"/>
          <w:sz w:val="22"/>
          <w:szCs w:val="22"/>
        </w:rPr>
        <w:t>los desarrollos de software necesarios para las interfaces entre el sistema del Proveedor y los sistemas externos al SCADA/EMS</w:t>
      </w:r>
      <w:r w:rsidR="00807FBC" w:rsidRPr="00576AF8">
        <w:rPr>
          <w:rFonts w:eastAsia="Arial"/>
          <w:color w:val="000000"/>
          <w:sz w:val="22"/>
          <w:szCs w:val="22"/>
        </w:rPr>
        <w:t xml:space="preserve"> del Comprador</w:t>
      </w:r>
      <w:r w:rsidRPr="00576AF8">
        <w:rPr>
          <w:rFonts w:eastAsia="Arial"/>
          <w:color w:val="000000"/>
          <w:sz w:val="22"/>
          <w:szCs w:val="22"/>
        </w:rPr>
        <w:t>, incluyendo sus procedimientos de instalación, prueba y operación</w:t>
      </w:r>
      <w:r w:rsidR="000B0E83" w:rsidRPr="00576AF8">
        <w:rPr>
          <w:rFonts w:eastAsia="Arial"/>
          <w:color w:val="000000"/>
          <w:sz w:val="22"/>
          <w:szCs w:val="22"/>
        </w:rPr>
        <w:t xml:space="preserve">, conforme lo establecido en </w:t>
      </w:r>
      <w:r w:rsidR="00A85243" w:rsidRPr="00576AF8">
        <w:rPr>
          <w:rFonts w:eastAsia="Arial"/>
          <w:color w:val="000000"/>
          <w:sz w:val="22"/>
          <w:szCs w:val="22"/>
        </w:rPr>
        <w:t>el numeral</w:t>
      </w:r>
      <w:r w:rsidR="000B0E83" w:rsidRPr="00576AF8">
        <w:rPr>
          <w:rFonts w:eastAsia="Arial"/>
          <w:color w:val="000000"/>
          <w:sz w:val="22"/>
          <w:szCs w:val="22"/>
        </w:rPr>
        <w:t xml:space="preserve"> 2.1.1.1.3.2</w:t>
      </w:r>
      <w:r w:rsidRPr="00576AF8">
        <w:rPr>
          <w:rFonts w:eastAsia="Arial"/>
          <w:color w:val="000000"/>
          <w:sz w:val="22"/>
          <w:szCs w:val="22"/>
        </w:rPr>
        <w:t>.</w:t>
      </w:r>
    </w:p>
    <w:p w14:paraId="2D0E49C4" w14:textId="77777777" w:rsidR="009102A7" w:rsidRPr="00576AF8" w:rsidRDefault="009102A7" w:rsidP="009102A7">
      <w:pPr>
        <w:ind w:left="720" w:firstLine="696"/>
        <w:jc w:val="left"/>
        <w:outlineLvl w:val="2"/>
        <w:rPr>
          <w:i/>
          <w:color w:val="4472C4"/>
          <w:sz w:val="22"/>
          <w:szCs w:val="22"/>
        </w:rPr>
      </w:pPr>
      <w:r w:rsidRPr="00576AF8">
        <w:rPr>
          <w:b/>
          <w:sz w:val="22"/>
          <w:szCs w:val="22"/>
          <w:u w:val="single"/>
        </w:rPr>
        <w:t xml:space="preserve">2.1.1.3 </w:t>
      </w:r>
      <w:r w:rsidRPr="00576AF8">
        <w:rPr>
          <w:b/>
          <w:i/>
          <w:sz w:val="22"/>
          <w:szCs w:val="22"/>
          <w:u w:val="single"/>
        </w:rPr>
        <w:t>Integración de Sistemas</w:t>
      </w:r>
    </w:p>
    <w:p w14:paraId="1830ABC3" w14:textId="77777777" w:rsidR="009102A7" w:rsidRPr="00576AF8" w:rsidRDefault="009102A7" w:rsidP="009102A7">
      <w:pPr>
        <w:suppressAutoHyphens w:val="0"/>
        <w:spacing w:before="120" w:after="0"/>
        <w:ind w:left="567"/>
        <w:textAlignment w:val="baseline"/>
        <w:rPr>
          <w:rFonts w:eastAsia="Arial Unicode MS"/>
          <w:b/>
          <w:bCs/>
          <w:color w:val="000000"/>
          <w:sz w:val="22"/>
          <w:szCs w:val="22"/>
        </w:rPr>
      </w:pPr>
      <w:bookmarkStart w:id="1068" w:name="_Toc160268964"/>
      <w:bookmarkStart w:id="1069" w:name="_Toc160456029"/>
    </w:p>
    <w:p w14:paraId="1E3A1D3A" w14:textId="77777777" w:rsidR="009102A7" w:rsidRPr="00576AF8" w:rsidRDefault="009102A7" w:rsidP="009102A7">
      <w:pPr>
        <w:spacing w:after="160" w:line="257" w:lineRule="auto"/>
        <w:ind w:left="708" w:right="-20"/>
        <w:rPr>
          <w:color w:val="000000"/>
          <w:sz w:val="22"/>
          <w:szCs w:val="22"/>
        </w:rPr>
      </w:pPr>
      <w:r w:rsidRPr="00576AF8">
        <w:rPr>
          <w:color w:val="000000"/>
          <w:sz w:val="22"/>
          <w:szCs w:val="22"/>
        </w:rPr>
        <w:t xml:space="preserve">El Proveedor es el RESPONSABLE de realizar el diseño y desarrollo de las interfaces necesarias entre el nuevo sistema SCADA/EMS y otros sistemas especificados en el numeral 2.3. </w:t>
      </w:r>
    </w:p>
    <w:p w14:paraId="367FF531" w14:textId="77777777" w:rsidR="009102A7" w:rsidRPr="00576AF8" w:rsidRDefault="009102A7" w:rsidP="009102A7">
      <w:pPr>
        <w:spacing w:after="160" w:line="257" w:lineRule="auto"/>
        <w:ind w:left="708" w:right="-20"/>
        <w:rPr>
          <w:rFonts w:eastAsia="Calibri"/>
          <w:sz w:val="22"/>
          <w:szCs w:val="22"/>
        </w:rPr>
      </w:pPr>
      <w:r w:rsidRPr="00576AF8">
        <w:rPr>
          <w:color w:val="000000"/>
          <w:sz w:val="22"/>
          <w:szCs w:val="22"/>
        </w:rPr>
        <w:t>El Proveedor es el RESPONSABLE de definir los formatos de datos, protocolos de comunicación y puntos de integración para garantizar un intercambio de datos e interoperabilidad fluidos.</w:t>
      </w:r>
    </w:p>
    <w:p w14:paraId="65EE1857" w14:textId="77777777" w:rsidR="009102A7" w:rsidRPr="00576AF8" w:rsidRDefault="009102A7" w:rsidP="009102A7">
      <w:pPr>
        <w:spacing w:before="10" w:after="0"/>
        <w:ind w:left="709" w:right="140"/>
        <w:rPr>
          <w:color w:val="000000"/>
          <w:sz w:val="22"/>
          <w:szCs w:val="22"/>
        </w:rPr>
      </w:pPr>
      <w:r w:rsidRPr="00576AF8">
        <w:rPr>
          <w:color w:val="000000"/>
          <w:sz w:val="22"/>
          <w:szCs w:val="22"/>
        </w:rPr>
        <w:t>El Proveedor DEBERÁ cumplir con un Modelo Común de Datos según el siguiente requerimiento:</w:t>
      </w:r>
    </w:p>
    <w:p w14:paraId="7A289CA4" w14:textId="77777777" w:rsidR="009102A7" w:rsidRPr="00576AF8" w:rsidRDefault="009102A7" w:rsidP="009102A7">
      <w:pPr>
        <w:spacing w:before="10" w:after="0"/>
        <w:ind w:left="709" w:right="140"/>
        <w:rPr>
          <w:sz w:val="22"/>
          <w:szCs w:val="22"/>
        </w:rPr>
      </w:pPr>
    </w:p>
    <w:p w14:paraId="030E3405" w14:textId="77777777" w:rsidR="009102A7" w:rsidRPr="00576AF8" w:rsidRDefault="009102A7" w:rsidP="009102A7">
      <w:pPr>
        <w:ind w:left="720" w:firstLine="696"/>
        <w:jc w:val="left"/>
        <w:outlineLvl w:val="2"/>
        <w:rPr>
          <w:bCs/>
          <w:i/>
          <w:color w:val="000000"/>
          <w:sz w:val="22"/>
          <w:szCs w:val="22"/>
        </w:rPr>
      </w:pPr>
      <w:r w:rsidRPr="00576AF8">
        <w:rPr>
          <w:b/>
          <w:sz w:val="22"/>
          <w:szCs w:val="22"/>
          <w:u w:val="single"/>
        </w:rPr>
        <w:t xml:space="preserve">2.1.1.3.1 </w:t>
      </w:r>
      <w:r w:rsidRPr="00576AF8">
        <w:rPr>
          <w:b/>
          <w:bCs/>
          <w:i/>
          <w:color w:val="000000"/>
          <w:sz w:val="22"/>
          <w:szCs w:val="22"/>
        </w:rPr>
        <w:t>MODELO COMÚN DE DATOS</w:t>
      </w:r>
      <w:bookmarkEnd w:id="1068"/>
      <w:r w:rsidRPr="00576AF8">
        <w:rPr>
          <w:bCs/>
          <w:i/>
          <w:color w:val="000000"/>
          <w:sz w:val="22"/>
          <w:szCs w:val="22"/>
        </w:rPr>
        <w:t xml:space="preserve"> </w:t>
      </w:r>
      <w:bookmarkEnd w:id="1069"/>
    </w:p>
    <w:p w14:paraId="52EE61C8" w14:textId="77777777" w:rsidR="009102A7" w:rsidRPr="00576AF8" w:rsidRDefault="009102A7" w:rsidP="009102A7">
      <w:pPr>
        <w:numPr>
          <w:ilvl w:val="0"/>
          <w:numId w:val="17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La solución propuesta por el Proveedor para la ingeniería de datos se conformará por un gestor y un repositorio de datos fuentes (SDB) basados en el Modelo Común de Información CIM.  Este modelo proporcionará una descripción detallada de los componentes de la red eléctrica, así como las relaciones existentes entre ellos.</w:t>
      </w:r>
    </w:p>
    <w:p w14:paraId="1E2A17D1" w14:textId="77777777" w:rsidR="009102A7" w:rsidRPr="00576AF8" w:rsidRDefault="009102A7" w:rsidP="009102A7">
      <w:pPr>
        <w:numPr>
          <w:ilvl w:val="0"/>
          <w:numId w:val="17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El disponer de un modelo de datos que cumpla con el estándar CIM para el SCADA/EMS, le permitirá al CENACE tener la capacidad para intercambiar información de los modelos de red con los participantes del mercado eléctrico interno y el mercado Regional que está compuesto por Colombia, Perú y Ecuador. Adicionalmente, se espera obtener las siguientes ventajas:</w:t>
      </w:r>
    </w:p>
    <w:p w14:paraId="4FE07575" w14:textId="77777777" w:rsidR="009102A7" w:rsidRPr="00576AF8" w:rsidRDefault="009102A7" w:rsidP="009102A7">
      <w:pPr>
        <w:numPr>
          <w:ilvl w:val="0"/>
          <w:numId w:val="271"/>
        </w:numPr>
        <w:spacing w:before="120" w:after="0" w:line="360" w:lineRule="auto"/>
        <w:ind w:right="-20"/>
        <w:contextualSpacing/>
        <w:rPr>
          <w:rFonts w:eastAsia="Calibri"/>
          <w:sz w:val="22"/>
          <w:szCs w:val="22"/>
          <w:lang w:val="es-419"/>
        </w:rPr>
      </w:pPr>
      <w:r w:rsidRPr="00576AF8">
        <w:rPr>
          <w:rFonts w:eastAsia="Calibri"/>
          <w:sz w:val="22"/>
          <w:szCs w:val="22"/>
          <w:lang w:val="es-419"/>
        </w:rPr>
        <w:t>Mejorar la interoperabilidad: Los sistemas que utilizan el CIM pueden intercambiar información de forma más eficiente y sencilla.</w:t>
      </w:r>
    </w:p>
    <w:p w14:paraId="7106DCBF" w14:textId="77777777" w:rsidR="009102A7" w:rsidRPr="00576AF8" w:rsidRDefault="009102A7" w:rsidP="009102A7">
      <w:pPr>
        <w:numPr>
          <w:ilvl w:val="0"/>
          <w:numId w:val="271"/>
        </w:numPr>
        <w:spacing w:before="120" w:after="0" w:line="360" w:lineRule="auto"/>
        <w:ind w:right="-20"/>
        <w:contextualSpacing/>
        <w:rPr>
          <w:rFonts w:eastAsia="Calibri"/>
          <w:sz w:val="22"/>
          <w:szCs w:val="22"/>
          <w:lang w:val="es-419"/>
        </w:rPr>
      </w:pPr>
      <w:r w:rsidRPr="00576AF8">
        <w:rPr>
          <w:rFonts w:eastAsia="Calibri"/>
          <w:sz w:val="22"/>
          <w:szCs w:val="22"/>
          <w:lang w:val="es-419"/>
        </w:rPr>
        <w:t>Mejorar la gestión de los datos: El CIM proporciona una visión unificada de los datos de la red eléctrica, lo que facilita su gestión y análisis.</w:t>
      </w:r>
    </w:p>
    <w:p w14:paraId="2F4F8406" w14:textId="77777777" w:rsidR="009102A7" w:rsidRPr="00576AF8" w:rsidRDefault="009102A7" w:rsidP="009102A7">
      <w:pPr>
        <w:numPr>
          <w:ilvl w:val="0"/>
          <w:numId w:val="17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En el intercambio de modelos eléctricos incluirá la siguiente información: </w:t>
      </w:r>
    </w:p>
    <w:p w14:paraId="18889EBE"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Información sobre equipos del sistema de potencia</w:t>
      </w:r>
    </w:p>
    <w:p w14:paraId="4C3E9A37"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Información sobre la topología de los elementos de la red eléctrica</w:t>
      </w:r>
    </w:p>
    <w:p w14:paraId="18AF1CDB"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Información sobre las variables de estado del sistema de potencia, que contienen los resultados del flujo de potencia del sistema; y/o </w:t>
      </w:r>
    </w:p>
    <w:p w14:paraId="10F2AE1E"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Información de las variables de estado estable, que proporcionará información sobre los valores de demanda y generación, así como otros parámetros de entrada, que son necesarios para realizar ejecuciones del flujo de potencia.</w:t>
      </w:r>
    </w:p>
    <w:p w14:paraId="490E5CFC" w14:textId="77777777" w:rsidR="009102A7" w:rsidRPr="00576AF8" w:rsidRDefault="009102A7" w:rsidP="009102A7">
      <w:pPr>
        <w:spacing w:before="240" w:after="60" w:line="360" w:lineRule="auto"/>
        <w:ind w:left="720" w:right="-20" w:hanging="720"/>
        <w:outlineLvl w:val="2"/>
        <w:rPr>
          <w:b/>
          <w:i/>
          <w:sz w:val="22"/>
          <w:szCs w:val="22"/>
        </w:rPr>
      </w:pPr>
      <w:bookmarkStart w:id="1070" w:name="_Toc160268965"/>
      <w:bookmarkStart w:id="1071" w:name="_Toc160456030"/>
      <w:bookmarkStart w:id="1072" w:name="_Toc160706910"/>
      <w:bookmarkStart w:id="1073" w:name="_Toc160707187"/>
      <w:bookmarkStart w:id="1074" w:name="_Toc160707500"/>
      <w:bookmarkStart w:id="1075" w:name="_Toc160707701"/>
      <w:bookmarkStart w:id="1076" w:name="_Toc160707757"/>
      <w:bookmarkStart w:id="1077" w:name="_Toc163137312"/>
      <w:r w:rsidRPr="00576AF8">
        <w:rPr>
          <w:rFonts w:eastAsia="Arial"/>
          <w:b/>
          <w:i/>
          <w:sz w:val="22"/>
          <w:szCs w:val="22"/>
        </w:rPr>
        <w:t>Implementación del Modelo Común de Datos</w:t>
      </w:r>
      <w:bookmarkEnd w:id="1070"/>
      <w:bookmarkEnd w:id="1071"/>
      <w:bookmarkEnd w:id="1072"/>
      <w:bookmarkEnd w:id="1073"/>
      <w:bookmarkEnd w:id="1074"/>
      <w:bookmarkEnd w:id="1075"/>
      <w:bookmarkEnd w:id="1076"/>
      <w:bookmarkEnd w:id="1077"/>
    </w:p>
    <w:p w14:paraId="47121034" w14:textId="77777777" w:rsidR="009102A7" w:rsidRPr="00576AF8" w:rsidRDefault="009102A7" w:rsidP="009102A7">
      <w:pPr>
        <w:spacing w:after="0" w:line="360" w:lineRule="auto"/>
        <w:ind w:left="142" w:right="-20"/>
        <w:rPr>
          <w:sz w:val="22"/>
          <w:szCs w:val="22"/>
        </w:rPr>
      </w:pPr>
      <w:r w:rsidRPr="00576AF8">
        <w:rPr>
          <w:rFonts w:eastAsia="Calibri"/>
          <w:sz w:val="22"/>
          <w:szCs w:val="22"/>
          <w:lang w:val="es-VE"/>
        </w:rPr>
        <w:t xml:space="preserve">El modelo CIM presente en la base de datos fuente (SDB) estará ubicado en un servidor dedicado, que estará equipado con todas las herramientas de gestión requeridas. Se incluirán las herramientas necesarias para la importación y exportación de los datos de la red eléctrica en formato CIM-RDF (XML), así como, los formatos estándar solicitados para las salidas de las aplicaciones de red eléctrica. </w:t>
      </w:r>
    </w:p>
    <w:p w14:paraId="1B0480DF" w14:textId="77777777" w:rsidR="009102A7" w:rsidRPr="00576AF8" w:rsidRDefault="009102A7" w:rsidP="009102A7">
      <w:pPr>
        <w:spacing w:after="0" w:line="360" w:lineRule="auto"/>
        <w:ind w:left="142" w:right="-20"/>
        <w:rPr>
          <w:sz w:val="22"/>
          <w:szCs w:val="22"/>
        </w:rPr>
      </w:pPr>
      <w:r w:rsidRPr="00576AF8">
        <w:rPr>
          <w:rFonts w:eastAsia="Calibri"/>
          <w:sz w:val="22"/>
          <w:szCs w:val="22"/>
          <w:lang w:val="es-VE"/>
        </w:rPr>
        <w:t>El gestor de la SDB permitirá:</w:t>
      </w:r>
    </w:p>
    <w:p w14:paraId="16D0A6A8" w14:textId="77777777" w:rsidR="009102A7" w:rsidRPr="00576AF8" w:rsidRDefault="009102A7" w:rsidP="009102A7">
      <w:pPr>
        <w:numPr>
          <w:ilvl w:val="0"/>
          <w:numId w:val="173"/>
        </w:numPr>
        <w:spacing w:before="120" w:after="0" w:line="360" w:lineRule="auto"/>
        <w:ind w:left="1418" w:right="-20" w:hanging="425"/>
        <w:contextualSpacing/>
        <w:rPr>
          <w:rFonts w:eastAsia="Calibri"/>
          <w:sz w:val="22"/>
          <w:szCs w:val="22"/>
          <w:lang w:val="es-419"/>
        </w:rPr>
      </w:pPr>
      <w:r w:rsidRPr="00576AF8">
        <w:rPr>
          <w:rFonts w:eastAsia="Calibri"/>
          <w:sz w:val="22"/>
          <w:szCs w:val="22"/>
          <w:lang w:val="es-419"/>
        </w:rPr>
        <w:lastRenderedPageBreak/>
        <w:t xml:space="preserve">Generar y actualizar de forma incremental la base de datos en tiempo real (RDB) para ser activada en los distintos nodos de procesamiento que conforman el sistema de control de red (Centro de Control y Nodos de Comunicación). </w:t>
      </w:r>
    </w:p>
    <w:p w14:paraId="5D9644FC" w14:textId="77777777" w:rsidR="009102A7" w:rsidRPr="00576AF8" w:rsidRDefault="009102A7" w:rsidP="009102A7">
      <w:pPr>
        <w:numPr>
          <w:ilvl w:val="0"/>
          <w:numId w:val="173"/>
        </w:numPr>
        <w:spacing w:before="120" w:after="0" w:line="360" w:lineRule="auto"/>
        <w:ind w:left="1418" w:right="-20" w:hanging="284"/>
        <w:contextualSpacing/>
        <w:rPr>
          <w:rFonts w:eastAsia="Calibri"/>
          <w:sz w:val="22"/>
          <w:szCs w:val="22"/>
          <w:lang w:val="es-419"/>
        </w:rPr>
      </w:pPr>
      <w:r w:rsidRPr="00576AF8">
        <w:rPr>
          <w:rFonts w:eastAsia="Calibri"/>
          <w:sz w:val="22"/>
          <w:szCs w:val="22"/>
          <w:lang w:val="es-419"/>
        </w:rPr>
        <w:t xml:space="preserve">Soportar todas las funciones de aplicación de generación y transmisión eléctrica en tiempo real. </w:t>
      </w:r>
    </w:p>
    <w:p w14:paraId="68E15C19" w14:textId="77777777" w:rsidR="009102A7" w:rsidRPr="00576AF8" w:rsidRDefault="009102A7" w:rsidP="009102A7">
      <w:pPr>
        <w:numPr>
          <w:ilvl w:val="0"/>
          <w:numId w:val="173"/>
        </w:numPr>
        <w:spacing w:before="120" w:after="0" w:line="360" w:lineRule="auto"/>
        <w:ind w:left="1418" w:right="-20" w:hanging="284"/>
        <w:contextualSpacing/>
        <w:rPr>
          <w:rFonts w:eastAsia="Calibri"/>
          <w:sz w:val="22"/>
          <w:szCs w:val="22"/>
          <w:lang w:val="es-419"/>
        </w:rPr>
      </w:pPr>
      <w:r w:rsidRPr="00576AF8">
        <w:rPr>
          <w:rFonts w:eastAsia="Calibri"/>
          <w:sz w:val="22"/>
          <w:szCs w:val="22"/>
          <w:lang w:val="es-419"/>
        </w:rPr>
        <w:t xml:space="preserve">Apoyar las actividades preliminares (planificación de la red eléctrica) y las actividades finales para el estudio y análisis del estado operativo de la red eléctrica. </w:t>
      </w:r>
    </w:p>
    <w:p w14:paraId="28972225" w14:textId="77777777" w:rsidR="009102A7" w:rsidRPr="00576AF8" w:rsidRDefault="009102A7" w:rsidP="009102A7">
      <w:pPr>
        <w:spacing w:after="0" w:line="360" w:lineRule="auto"/>
        <w:ind w:left="-380" w:right="-20"/>
        <w:rPr>
          <w:rFonts w:eastAsia="Calibri"/>
          <w:sz w:val="22"/>
          <w:szCs w:val="22"/>
          <w:lang w:val="es-VE"/>
        </w:rPr>
      </w:pPr>
    </w:p>
    <w:p w14:paraId="4905B0F8" w14:textId="77777777" w:rsidR="009102A7" w:rsidRPr="00576AF8" w:rsidRDefault="009102A7" w:rsidP="009102A7">
      <w:pPr>
        <w:spacing w:after="0" w:line="360" w:lineRule="auto"/>
        <w:ind w:left="142" w:right="-20"/>
        <w:rPr>
          <w:rFonts w:eastAsia="Calibri"/>
          <w:sz w:val="22"/>
          <w:szCs w:val="22"/>
          <w:lang w:val="es-VE"/>
        </w:rPr>
      </w:pPr>
      <w:r w:rsidRPr="00576AF8">
        <w:rPr>
          <w:rFonts w:eastAsia="Calibri"/>
          <w:sz w:val="22"/>
          <w:szCs w:val="22"/>
          <w:lang w:val="es-VE"/>
        </w:rPr>
        <w:t xml:space="preserve">El modelo de red eléctrica adoptado deberá contener la descripción de los siguientes componentes: </w:t>
      </w:r>
    </w:p>
    <w:p w14:paraId="7A62F787" w14:textId="77777777" w:rsidR="009102A7" w:rsidRPr="00576AF8" w:rsidRDefault="009102A7" w:rsidP="009102A7">
      <w:pPr>
        <w:numPr>
          <w:ilvl w:val="0"/>
          <w:numId w:val="27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Todos los elementos de la red a modelar, es decir, líneas, generadores, transformadores, cargas, compensadores, etc.</w:t>
      </w:r>
    </w:p>
    <w:p w14:paraId="41BEE34A"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Conexiones topológicas de los distintos elementos de la red eléctrica. </w:t>
      </w:r>
    </w:p>
    <w:p w14:paraId="5322616D"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Datos que deben intercambiarse con el campo, es decir, mediciones, indicaciones, </w:t>
      </w:r>
      <w:r w:rsidRPr="00576AF8">
        <w:rPr>
          <w:rFonts w:eastAsia="Calibri"/>
          <w:szCs w:val="24"/>
          <w:lang w:val="es-419" w:eastAsia="en-US" w:bidi="ar-SA"/>
        </w:rPr>
        <w:t>setpoints, etc.</w:t>
      </w:r>
    </w:p>
    <w:p w14:paraId="690080BD"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Centrales eléctricas. </w:t>
      </w:r>
    </w:p>
    <w:p w14:paraId="5357D350"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RTUs. </w:t>
      </w:r>
    </w:p>
    <w:p w14:paraId="6B52792E"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Despliegues de la interfaz humano-máquina (IHM). </w:t>
      </w:r>
    </w:p>
    <w:p w14:paraId="55FFC0BD"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Datos específicos de las distintas funciones de la aplicación de producción y transmisión. </w:t>
      </w:r>
    </w:p>
    <w:p w14:paraId="4F91E335"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La estructura de los archivos históricos. </w:t>
      </w:r>
    </w:p>
    <w:p w14:paraId="2AC64C36"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Los datos necesarios para definir y controlar la configuración del sistema. </w:t>
      </w:r>
    </w:p>
    <w:p w14:paraId="146672EF"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Los siguientes estándares CIM serán tomados en cuenta:</w:t>
      </w:r>
    </w:p>
    <w:p w14:paraId="395400F5"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61970-301: Base del modelo de información común (CIM)</w:t>
      </w:r>
    </w:p>
    <w:p w14:paraId="66B59171"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61970-302: Modelo de información común (CIM) para la especificación de la dinámica</w:t>
      </w:r>
    </w:p>
    <w:p w14:paraId="5E997F1B"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61970-452: Perfiles de modelo de red de transmisión estática CIM</w:t>
      </w:r>
    </w:p>
    <w:p w14:paraId="41AE0D98"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61970-453: Perfil de diseño de diagramas</w:t>
      </w:r>
    </w:p>
    <w:p w14:paraId="4D4C5171"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61970-456: Perfiles de estado del sistema de potencia resuelto</w:t>
      </w:r>
    </w:p>
    <w:p w14:paraId="03DD31FF"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61970-457: Perfil del modelo de información común (CIM) para la dinámica</w:t>
      </w:r>
    </w:p>
    <w:p w14:paraId="57D3C439"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985" w:hanging="284"/>
        <w:rPr>
          <w:rFonts w:eastAsia="Calibri"/>
          <w:sz w:val="22"/>
          <w:szCs w:val="22"/>
          <w:lang w:val="es-419" w:eastAsia="en-US" w:bidi="ar-SA"/>
        </w:rPr>
      </w:pPr>
      <w:r w:rsidRPr="00576AF8">
        <w:rPr>
          <w:rFonts w:eastAsia="Calibri"/>
          <w:sz w:val="22"/>
          <w:szCs w:val="22"/>
          <w:lang w:val="es-419" w:eastAsia="en-US" w:bidi="ar-SA"/>
        </w:rPr>
        <w:t>IEC 61970-552: Formato de intercambio de modelos XML del modelo de información común (CIM)</w:t>
      </w:r>
    </w:p>
    <w:p w14:paraId="721BAE92"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hanging="426"/>
        <w:rPr>
          <w:rFonts w:eastAsia="Calibri"/>
          <w:sz w:val="22"/>
          <w:szCs w:val="22"/>
          <w:lang w:val="es-419" w:eastAsia="en-US" w:bidi="ar-SA"/>
        </w:rPr>
      </w:pPr>
      <w:r w:rsidRPr="00576AF8">
        <w:rPr>
          <w:rFonts w:eastAsia="Calibri"/>
          <w:sz w:val="22"/>
          <w:szCs w:val="22"/>
          <w:lang w:val="es-419" w:eastAsia="en-US" w:bidi="ar-SA"/>
        </w:rPr>
        <w:lastRenderedPageBreak/>
        <w:t xml:space="preserve">IEC 61968-4: Integración de aplicaciones en empresas eléctricas - Interfaces de sistemas para la gestión de la distribución - Parte 4: Interfaces para el registro y la gestión de activos </w:t>
      </w:r>
    </w:p>
    <w:p w14:paraId="2B051E8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rPr>
          <w:rFonts w:eastAsia="Calibri"/>
          <w:sz w:val="22"/>
          <w:szCs w:val="22"/>
          <w:lang w:val="es-419" w:eastAsia="en-US" w:bidi="ar-SA"/>
        </w:rPr>
      </w:pPr>
    </w:p>
    <w:p w14:paraId="7E704AA6" w14:textId="77777777" w:rsidR="009102A7" w:rsidRPr="00576AF8" w:rsidRDefault="009102A7" w:rsidP="009102A7">
      <w:pPr>
        <w:ind w:left="708" w:right="41"/>
        <w:outlineLvl w:val="1"/>
        <w:rPr>
          <w:sz w:val="22"/>
          <w:szCs w:val="22"/>
        </w:rPr>
      </w:pPr>
      <w:bookmarkStart w:id="1078" w:name="_Toc160706911"/>
      <w:bookmarkStart w:id="1079" w:name="_Toc160707501"/>
      <w:bookmarkStart w:id="1080" w:name="_Toc160707758"/>
      <w:r w:rsidRPr="00576AF8">
        <w:rPr>
          <w:b/>
          <w:sz w:val="22"/>
          <w:szCs w:val="22"/>
        </w:rPr>
        <w:t>2.2</w:t>
      </w:r>
      <w:r w:rsidRPr="00576AF8">
        <w:rPr>
          <w:sz w:val="22"/>
          <w:szCs w:val="22"/>
        </w:rPr>
        <w:tab/>
      </w:r>
      <w:bookmarkStart w:id="1081" w:name="_Toc454958724"/>
      <w:bookmarkStart w:id="1082" w:name="_Toc476310099"/>
      <w:bookmarkStart w:id="1083" w:name="_Toc482896428"/>
      <w:bookmarkStart w:id="1084" w:name="_Toc99868852"/>
      <w:r w:rsidRPr="00576AF8">
        <w:rPr>
          <w:b/>
          <w:sz w:val="22"/>
          <w:szCs w:val="22"/>
        </w:rPr>
        <w:t>Personalización y desarrollo de software</w:t>
      </w:r>
      <w:bookmarkEnd w:id="1078"/>
      <w:bookmarkEnd w:id="1079"/>
      <w:bookmarkEnd w:id="1080"/>
      <w:bookmarkEnd w:id="1081"/>
      <w:bookmarkEnd w:id="1082"/>
      <w:bookmarkEnd w:id="1083"/>
      <w:bookmarkEnd w:id="1084"/>
    </w:p>
    <w:p w14:paraId="34ECB1F3" w14:textId="77777777" w:rsidR="009102A7" w:rsidRPr="00576AF8" w:rsidRDefault="009102A7" w:rsidP="009102A7">
      <w:pPr>
        <w:ind w:left="720" w:hanging="720"/>
        <w:jc w:val="left"/>
        <w:outlineLvl w:val="2"/>
        <w:rPr>
          <w:b/>
          <w:sz w:val="22"/>
          <w:szCs w:val="22"/>
        </w:rPr>
      </w:pPr>
      <w:r w:rsidRPr="00576AF8">
        <w:rPr>
          <w:b/>
          <w:sz w:val="22"/>
          <w:szCs w:val="22"/>
        </w:rPr>
        <w:tab/>
      </w:r>
      <w:bookmarkStart w:id="1085" w:name="_Toc160706912"/>
      <w:bookmarkStart w:id="1086" w:name="_Toc160707188"/>
      <w:bookmarkStart w:id="1087" w:name="_Toc160707502"/>
      <w:bookmarkStart w:id="1088" w:name="_Toc160707702"/>
      <w:bookmarkStart w:id="1089" w:name="_Toc160707759"/>
      <w:bookmarkStart w:id="1090" w:name="_Toc163137313"/>
      <w:r w:rsidRPr="00576AF8">
        <w:rPr>
          <w:b/>
          <w:sz w:val="22"/>
          <w:szCs w:val="22"/>
        </w:rPr>
        <w:t>2.2.1</w:t>
      </w:r>
      <w:r w:rsidRPr="00576AF8">
        <w:rPr>
          <w:b/>
          <w:sz w:val="22"/>
          <w:szCs w:val="22"/>
        </w:rPr>
        <w:tab/>
      </w:r>
      <w:r w:rsidRPr="00576AF8">
        <w:rPr>
          <w:sz w:val="22"/>
          <w:szCs w:val="22"/>
        </w:rPr>
        <w:t>El Proveedor DEBERÁ realizar la personalización o el desarrollo de software</w:t>
      </w:r>
      <w:r w:rsidR="00B41579" w:rsidRPr="00576AF8">
        <w:rPr>
          <w:sz w:val="22"/>
          <w:szCs w:val="22"/>
        </w:rPr>
        <w:t xml:space="preserve"> </w:t>
      </w:r>
      <w:r w:rsidR="00FC0012" w:rsidRPr="00576AF8">
        <w:rPr>
          <w:sz w:val="22"/>
          <w:szCs w:val="22"/>
        </w:rPr>
        <w:t>operacional</w:t>
      </w:r>
      <w:r w:rsidR="00FC0012" w:rsidRPr="00576AF8">
        <w:rPr>
          <w:rStyle w:val="Refdenotaalpie"/>
          <w:szCs w:val="22"/>
        </w:rPr>
        <w:footnoteReference w:id="13"/>
      </w:r>
      <w:r w:rsidRPr="00576AF8">
        <w:rPr>
          <w:sz w:val="22"/>
          <w:szCs w:val="22"/>
        </w:rPr>
        <w:t xml:space="preserve"> utilizando una metodología formal de desarrollo de software con las siguientes características o con las siguientes tecnologías y herramientas.</w:t>
      </w:r>
      <w:bookmarkEnd w:id="1085"/>
      <w:bookmarkEnd w:id="1086"/>
      <w:bookmarkEnd w:id="1087"/>
      <w:bookmarkEnd w:id="1088"/>
      <w:bookmarkEnd w:id="1089"/>
      <w:bookmarkEnd w:id="1090"/>
    </w:p>
    <w:p w14:paraId="777383A0" w14:textId="77777777" w:rsidR="009102A7" w:rsidRPr="00576AF8" w:rsidRDefault="009102A7" w:rsidP="009102A7">
      <w:pPr>
        <w:ind w:left="720" w:firstLine="696"/>
        <w:jc w:val="left"/>
        <w:outlineLvl w:val="2"/>
        <w:rPr>
          <w:b/>
          <w:sz w:val="22"/>
          <w:szCs w:val="22"/>
        </w:rPr>
      </w:pPr>
      <w:r w:rsidRPr="00576AF8">
        <w:rPr>
          <w:b/>
          <w:sz w:val="22"/>
          <w:szCs w:val="22"/>
        </w:rPr>
        <w:t xml:space="preserve">2.2.1.1 Ingeniería y Desarrollo </w:t>
      </w:r>
    </w:p>
    <w:p w14:paraId="258D94DA" w14:textId="77777777" w:rsidR="009102A7" w:rsidRPr="00576AF8" w:rsidRDefault="009102A7" w:rsidP="009102A7">
      <w:pPr>
        <w:suppressAutoHyphens w:val="0"/>
        <w:spacing w:after="0"/>
        <w:ind w:left="1134"/>
        <w:rPr>
          <w:sz w:val="22"/>
          <w:szCs w:val="22"/>
          <w:lang w:val="es-EC" w:eastAsia="es-EC" w:bidi="ar-SA"/>
        </w:rPr>
      </w:pPr>
      <w:r w:rsidRPr="00576AF8">
        <w:rPr>
          <w:color w:val="000000"/>
          <w:sz w:val="22"/>
          <w:szCs w:val="22"/>
          <w:lang w:val="es-EC" w:eastAsia="es-EC" w:bidi="ar-SA"/>
        </w:rPr>
        <w:t>El Proveedor incluirá los recursos necesarios para al menos las siguientes actividades de desarrollo de la ingeniería básica y de detalle del sistema:</w:t>
      </w:r>
    </w:p>
    <w:p w14:paraId="43942F42"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Evaluación de los sitios de instalación y requerimientos de infraestructura y servicios.</w:t>
      </w:r>
    </w:p>
    <w:p w14:paraId="26E5DC6E"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Definición de la arquitectura del sistema y de todos los componentes de la misma.</w:t>
      </w:r>
    </w:p>
    <w:p w14:paraId="5B463F8D"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Selección del hardware</w:t>
      </w:r>
    </w:p>
    <w:p w14:paraId="3100EB07" w14:textId="77777777" w:rsidR="009102A7" w:rsidRPr="00576AF8" w:rsidRDefault="001F03E5"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 xml:space="preserve">Personalización </w:t>
      </w:r>
      <w:r w:rsidR="009102A7" w:rsidRPr="00576AF8">
        <w:rPr>
          <w:color w:val="000000"/>
          <w:sz w:val="22"/>
          <w:szCs w:val="22"/>
          <w:lang w:val="es-EC" w:eastAsia="es-EC" w:bidi="ar-SA"/>
        </w:rPr>
        <w:t xml:space="preserve">del software </w:t>
      </w:r>
      <w:r w:rsidRPr="00576AF8">
        <w:rPr>
          <w:color w:val="000000"/>
          <w:sz w:val="22"/>
          <w:szCs w:val="22"/>
          <w:lang w:val="es-EC" w:eastAsia="es-EC" w:bidi="ar-SA"/>
        </w:rPr>
        <w:t>operacional</w:t>
      </w:r>
      <w:r w:rsidR="009102A7" w:rsidRPr="00576AF8">
        <w:rPr>
          <w:color w:val="000000"/>
          <w:sz w:val="22"/>
          <w:szCs w:val="22"/>
          <w:lang w:val="es-EC" w:eastAsia="es-EC" w:bidi="ar-SA"/>
        </w:rPr>
        <w:t xml:space="preserve"> y de terceros </w:t>
      </w:r>
    </w:p>
    <w:p w14:paraId="0B45271D"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Diseño de montaje y configuración de equipos</w:t>
      </w:r>
    </w:p>
    <w:p w14:paraId="76FA4685"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Diseño y desarrollo de modificaciones y adaptaciones de software</w:t>
      </w:r>
    </w:p>
    <w:p w14:paraId="7A7044FD"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color w:val="000000"/>
          <w:sz w:val="22"/>
          <w:szCs w:val="22"/>
          <w:lang w:val="es-EC" w:eastAsia="es-EC" w:bidi="ar-SA"/>
        </w:rPr>
        <w:t>Diseño y desarrollo de interfaces específicas.</w:t>
      </w:r>
    </w:p>
    <w:p w14:paraId="401394AC" w14:textId="77777777" w:rsidR="009102A7" w:rsidRPr="00576AF8"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rFonts w:eastAsia="Calibri"/>
          <w:color w:val="000000"/>
          <w:sz w:val="22"/>
          <w:szCs w:val="22"/>
        </w:rPr>
        <w:t>El Especialista de Desarrollo de Interfaces será un profesional que tenga experiencia en el desarrollo de programas de interfaces entre sistemas OT/IT en lenguajes de alto nivel y utilizando las librerías nativas del sistema del Proveedor.</w:t>
      </w:r>
    </w:p>
    <w:p w14:paraId="4A3B6094" w14:textId="28A82CCE" w:rsidR="009102A7" w:rsidRPr="00AB06F9" w:rsidRDefault="009102A7" w:rsidP="009102A7">
      <w:pPr>
        <w:numPr>
          <w:ilvl w:val="0"/>
          <w:numId w:val="171"/>
        </w:numPr>
        <w:suppressAutoHyphens w:val="0"/>
        <w:spacing w:before="120" w:after="0"/>
        <w:ind w:left="2410" w:hanging="425"/>
        <w:textAlignment w:val="baseline"/>
        <w:rPr>
          <w:color w:val="000000"/>
          <w:sz w:val="22"/>
          <w:szCs w:val="22"/>
          <w:lang w:val="es-EC" w:eastAsia="es-EC" w:bidi="ar-SA"/>
        </w:rPr>
      </w:pPr>
      <w:r w:rsidRPr="00576AF8">
        <w:rPr>
          <w:rFonts w:eastAsia="Calibri"/>
          <w:color w:val="000000"/>
          <w:sz w:val="22"/>
          <w:szCs w:val="22"/>
        </w:rPr>
        <w:t>El proveedor deberá entregar la documentación asociada a los desarrollos y los manuales de usuario, técnico y funcional.</w:t>
      </w:r>
    </w:p>
    <w:p w14:paraId="56CBA04B" w14:textId="77BBADDA" w:rsidR="00AC0BD4" w:rsidRPr="00AC0BD4" w:rsidRDefault="00AC0BD4" w:rsidP="00AB06F9">
      <w:pPr>
        <w:numPr>
          <w:ilvl w:val="0"/>
          <w:numId w:val="171"/>
        </w:numPr>
        <w:suppressAutoHyphens w:val="0"/>
        <w:spacing w:before="120" w:after="0"/>
        <w:ind w:left="2410" w:hanging="425"/>
        <w:textAlignment w:val="baseline"/>
        <w:rPr>
          <w:color w:val="000000"/>
          <w:sz w:val="22"/>
          <w:szCs w:val="22"/>
          <w:lang w:val="es-EC" w:eastAsia="es-EC" w:bidi="ar-SA"/>
        </w:rPr>
      </w:pPr>
      <w:r w:rsidRPr="00AB06F9">
        <w:rPr>
          <w:rFonts w:eastAsia="Calibri"/>
          <w:color w:val="000000"/>
          <w:sz w:val="22"/>
          <w:szCs w:val="22"/>
        </w:rPr>
        <w:t>El</w:t>
      </w:r>
      <w:r w:rsidRPr="00AC0BD4">
        <w:rPr>
          <w:color w:val="000000"/>
          <w:sz w:val="22"/>
          <w:szCs w:val="22"/>
          <w:lang w:val="es-EC" w:eastAsia="es-EC" w:bidi="ar-SA"/>
        </w:rPr>
        <w:t xml:space="preserve"> proveedor deberá</w:t>
      </w:r>
      <w:r>
        <w:rPr>
          <w:color w:val="000000"/>
          <w:sz w:val="22"/>
          <w:szCs w:val="22"/>
          <w:lang w:val="es-EC" w:eastAsia="es-EC" w:bidi="ar-SA"/>
        </w:rPr>
        <w:t xml:space="preserve"> garantizar que todo el sistema SCADA/EMS se encuentre desarrollado en idioma Inglés y/o Español, esto involucra al menos lo siguiente: código fuente, interfaces, </w:t>
      </w:r>
      <w:r w:rsidR="005A4595">
        <w:rPr>
          <w:color w:val="000000"/>
          <w:sz w:val="22"/>
          <w:szCs w:val="22"/>
          <w:lang w:val="es-EC" w:eastAsia="es-EC" w:bidi="ar-SA"/>
        </w:rPr>
        <w:t xml:space="preserve">interfaz humano máquina, </w:t>
      </w:r>
      <w:r>
        <w:rPr>
          <w:color w:val="000000"/>
          <w:sz w:val="22"/>
          <w:szCs w:val="22"/>
          <w:lang w:val="es-EC" w:eastAsia="es-EC" w:bidi="ar-SA"/>
        </w:rPr>
        <w:t xml:space="preserve">despliegues, </w:t>
      </w:r>
      <w:r w:rsidR="005A4595">
        <w:rPr>
          <w:color w:val="000000"/>
          <w:sz w:val="22"/>
          <w:szCs w:val="22"/>
          <w:lang w:val="es-EC" w:eastAsia="es-EC" w:bidi="ar-SA"/>
        </w:rPr>
        <w:t xml:space="preserve">documentos técnicos y </w:t>
      </w:r>
      <w:r>
        <w:rPr>
          <w:color w:val="000000"/>
          <w:sz w:val="22"/>
          <w:szCs w:val="22"/>
          <w:lang w:val="es-EC" w:eastAsia="es-EC" w:bidi="ar-SA"/>
        </w:rPr>
        <w:t>manuales.</w:t>
      </w:r>
    </w:p>
    <w:p w14:paraId="62F4DC4A" w14:textId="77777777" w:rsidR="00223559" w:rsidRPr="00576AF8" w:rsidRDefault="00223559" w:rsidP="008C0D90">
      <w:pPr>
        <w:ind w:left="720"/>
        <w:jc w:val="left"/>
        <w:outlineLvl w:val="2"/>
        <w:rPr>
          <w:b/>
          <w:sz w:val="22"/>
          <w:szCs w:val="22"/>
        </w:rPr>
      </w:pPr>
    </w:p>
    <w:p w14:paraId="66B3EA82" w14:textId="77777777" w:rsidR="00223559" w:rsidRPr="00576AF8" w:rsidRDefault="00223559" w:rsidP="008C0D90">
      <w:pPr>
        <w:ind w:left="720"/>
        <w:jc w:val="left"/>
        <w:outlineLvl w:val="2"/>
        <w:rPr>
          <w:b/>
          <w:sz w:val="22"/>
          <w:szCs w:val="22"/>
        </w:rPr>
      </w:pPr>
      <w:r w:rsidRPr="00576AF8">
        <w:rPr>
          <w:b/>
          <w:sz w:val="22"/>
          <w:szCs w:val="22"/>
        </w:rPr>
        <w:t xml:space="preserve">2.2.1.2 </w:t>
      </w:r>
      <w:r w:rsidR="00347B22" w:rsidRPr="00576AF8">
        <w:rPr>
          <w:b/>
          <w:sz w:val="22"/>
          <w:szCs w:val="22"/>
        </w:rPr>
        <w:t>Servicios y Entregables</w:t>
      </w:r>
      <w:r w:rsidRPr="00576AF8">
        <w:rPr>
          <w:b/>
          <w:sz w:val="22"/>
          <w:szCs w:val="22"/>
        </w:rPr>
        <w:t xml:space="preserve"> </w:t>
      </w:r>
    </w:p>
    <w:p w14:paraId="1F385F16"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2.2.1.2.1 El Proveedor DEBERÁ realizar todas las actividades de migración (conversión, generación, población, importación y actualización de bases de datos, despliegues y reportes) durante el desarrollo del proyecto. Los datos de origen en la fase inicial estarán disponibles en el sistema de tiempo real NM 9.2 (provisto por Hitachi Energy) de CENACE. La base de datos de Ingeniería es ORACLE versión Oracle Database 12c Standard Edition Release 12.1.0.2.0 - 64bit Production, la cual dispone de 6539 tablas y 600.000 registros aproximadamente. La base de datos Histórica es un Sistema PI del proveedor AVEVA que contiene 100.000 tags con 10 reportes y 120 despliegues de ProcessBook. En el SCADA/EMS existen </w:t>
      </w:r>
      <w:r w:rsidR="00031A14" w:rsidRPr="00576AF8">
        <w:rPr>
          <w:rFonts w:eastAsia="Calibri"/>
          <w:color w:val="000000"/>
          <w:sz w:val="22"/>
          <w:szCs w:val="22"/>
        </w:rPr>
        <w:t>650</w:t>
      </w:r>
      <w:r w:rsidRPr="00576AF8">
        <w:rPr>
          <w:rFonts w:eastAsia="Calibri"/>
          <w:color w:val="000000"/>
          <w:sz w:val="22"/>
          <w:szCs w:val="22"/>
        </w:rPr>
        <w:t xml:space="preserve"> despliegues aproximadamente que deberán ser migrados al nuevo SCADA/EMS.</w:t>
      </w:r>
    </w:p>
    <w:p w14:paraId="50A48B02" w14:textId="77777777" w:rsidR="00347B22" w:rsidRPr="00576AF8" w:rsidRDefault="00347B22" w:rsidP="00347B22">
      <w:pPr>
        <w:spacing w:before="59" w:after="0"/>
        <w:ind w:left="993" w:right="261" w:firstLine="2"/>
        <w:rPr>
          <w:rFonts w:eastAsia="Calibri"/>
          <w:sz w:val="22"/>
          <w:szCs w:val="22"/>
        </w:rPr>
      </w:pPr>
    </w:p>
    <w:p w14:paraId="5375B886"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2.2.1.2.2 El Proveedor DEBERÁ diseñar el sistema SCADA/EMS para el centro de control del CENACE incluyendo los criterios de redundancia necesarios, tanto en hardware como en software para asegurar los requerimientos de disponibilidad y confiabilidad del sistema, el cual deberá ser configurado como un sistema redundante tolerante a fallas, de modo que ningún punto único de falla dé lugar a la pérdida de funcionalidad crítica.</w:t>
      </w:r>
    </w:p>
    <w:p w14:paraId="6634BCA0" w14:textId="77777777" w:rsidR="00347B22" w:rsidRPr="00576AF8" w:rsidRDefault="00347B22" w:rsidP="00347B22">
      <w:pPr>
        <w:spacing w:before="59" w:after="0"/>
        <w:ind w:left="993" w:right="261" w:firstLine="2"/>
        <w:rPr>
          <w:rFonts w:eastAsia="Calibri"/>
          <w:sz w:val="22"/>
          <w:szCs w:val="22"/>
        </w:rPr>
      </w:pPr>
    </w:p>
    <w:p w14:paraId="10353F10"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2.2.1.2.3 El Proveedor DEBERÁ firmar un compromiso de confidencialidad con el fin de proteger la información sensible con la que trabaja el CENACE.</w:t>
      </w:r>
    </w:p>
    <w:p w14:paraId="65C102BB" w14:textId="77777777" w:rsidR="00347B22" w:rsidRPr="00576AF8" w:rsidRDefault="00347B22" w:rsidP="008C0D90">
      <w:pPr>
        <w:spacing w:before="59" w:after="0"/>
        <w:ind w:right="261"/>
        <w:rPr>
          <w:rFonts w:eastAsia="Arial"/>
          <w:i/>
          <w:sz w:val="22"/>
          <w:szCs w:val="22"/>
        </w:rPr>
      </w:pPr>
    </w:p>
    <w:p w14:paraId="3892A96F"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2.2.1.2.4 El Proveedor DEBERÁ ofrecer e impartir un programa integral de transferencia de conocimientos en el aula y el trabajo (OJT) para el personal </w:t>
      </w:r>
      <w:r w:rsidR="00593894" w:rsidRPr="00576AF8">
        <w:rPr>
          <w:rFonts w:eastAsia="Calibri"/>
          <w:color w:val="000000"/>
          <w:sz w:val="22"/>
          <w:szCs w:val="22"/>
        </w:rPr>
        <w:t>del Comprador</w:t>
      </w:r>
      <w:r w:rsidRPr="00576AF8">
        <w:rPr>
          <w:rFonts w:eastAsia="Calibri"/>
          <w:color w:val="000000"/>
          <w:sz w:val="22"/>
          <w:szCs w:val="22"/>
        </w:rPr>
        <w:t>, para garantizar una transferencia completa de conocimientos, diseñado para permitir la explotación y la administración óptimas de todos los componentes de sistema SCADA/EMS que consideren acciones preventivas para el buen funcionamiento del mismo. La transferencia de conocimientos debe programarse según el numeral 2.4 de este documento.</w:t>
      </w:r>
    </w:p>
    <w:p w14:paraId="6D7AD792" w14:textId="77777777" w:rsidR="00347B22" w:rsidRPr="00576AF8" w:rsidRDefault="00347B22" w:rsidP="00347B22">
      <w:pPr>
        <w:spacing w:before="59" w:after="0"/>
        <w:ind w:left="993" w:right="261" w:firstLine="2"/>
        <w:rPr>
          <w:rFonts w:eastAsia="Calibri"/>
          <w:sz w:val="22"/>
          <w:szCs w:val="22"/>
        </w:rPr>
      </w:pPr>
    </w:p>
    <w:p w14:paraId="1CACEA7C"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2.2.1.2.5 El Proveedor DEBERÁ suministrar todo el hardware necesario considerando al menos los siguientes elementos: servidores, switches, dispositivos de firewall, routers, GPS, sistemas de backup, almacenamiento, estaciones de trabajo, gabinetes, incluyendo redundancia también en los componentes internos de los mismos como discos, fuentes de alimentación, red y ventilación. Y todos los equipos y materiales auxiliares necesarios para establecer una instalación completamente funcional para el nuevo sistema SCADA/EMS </w:t>
      </w:r>
      <w:r w:rsidR="00593894" w:rsidRPr="00576AF8">
        <w:rPr>
          <w:rFonts w:eastAsia="Calibri"/>
          <w:color w:val="000000"/>
          <w:sz w:val="22"/>
          <w:szCs w:val="22"/>
        </w:rPr>
        <w:t>del Comprador</w:t>
      </w:r>
      <w:r w:rsidRPr="00576AF8">
        <w:rPr>
          <w:rFonts w:eastAsia="Calibri"/>
          <w:color w:val="000000"/>
          <w:sz w:val="22"/>
          <w:szCs w:val="22"/>
        </w:rPr>
        <w:t>, incluyendo el suministro eléctrico y cableado para las conexiones entre todos los equipos suministrados por el Proveedor, así como entre el nuevo sistema SCADA/EMS y todos los equipos/sistemas de CENACE que requieran interconectarse, con base a estándares de la industria y protocolos abiertos</w:t>
      </w:r>
      <w:r w:rsidR="000C70E2" w:rsidRPr="00576AF8">
        <w:rPr>
          <w:rFonts w:eastAsia="Calibri"/>
          <w:color w:val="000000"/>
          <w:sz w:val="22"/>
          <w:szCs w:val="22"/>
        </w:rPr>
        <w:t xml:space="preserve">, conforme lo establecido en la sección </w:t>
      </w:r>
      <w:r w:rsidR="00A85243" w:rsidRPr="00576AF8">
        <w:rPr>
          <w:rFonts w:eastAsia="Calibri"/>
          <w:color w:val="000000"/>
          <w:sz w:val="22"/>
          <w:szCs w:val="22"/>
        </w:rPr>
        <w:t xml:space="preserve">D, numeral </w:t>
      </w:r>
      <w:r w:rsidR="000C70E2" w:rsidRPr="00576AF8">
        <w:rPr>
          <w:rFonts w:eastAsia="Calibri"/>
          <w:color w:val="000000"/>
          <w:sz w:val="22"/>
          <w:szCs w:val="22"/>
        </w:rPr>
        <w:t>3.3.3</w:t>
      </w:r>
      <w:r w:rsidRPr="00576AF8">
        <w:rPr>
          <w:rFonts w:eastAsia="Calibri"/>
          <w:color w:val="000000"/>
          <w:sz w:val="22"/>
          <w:szCs w:val="22"/>
        </w:rPr>
        <w:t>.</w:t>
      </w:r>
    </w:p>
    <w:p w14:paraId="30AC66FF" w14:textId="77777777" w:rsidR="00347B22" w:rsidRPr="00576AF8" w:rsidRDefault="00347B22" w:rsidP="00347B22">
      <w:pPr>
        <w:spacing w:before="59" w:after="0"/>
        <w:ind w:left="993" w:right="261" w:firstLine="2"/>
        <w:rPr>
          <w:rFonts w:eastAsia="Calibri"/>
          <w:color w:val="000000"/>
          <w:sz w:val="22"/>
          <w:szCs w:val="22"/>
        </w:rPr>
      </w:pPr>
    </w:p>
    <w:p w14:paraId="60F81735"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2.2.1.2.6 El Proveedor DEBERÁ proporcionar un período mínimo de Garantía Técnica </w:t>
      </w:r>
      <w:r w:rsidRPr="00576AF8">
        <w:rPr>
          <w:rFonts w:eastAsia="Calibri"/>
          <w:color w:val="000000"/>
          <w:sz w:val="22"/>
        </w:rPr>
        <w:t>de 3 años</w:t>
      </w:r>
      <w:r w:rsidRPr="00576AF8">
        <w:rPr>
          <w:rFonts w:eastAsia="Calibri"/>
          <w:color w:val="000000"/>
          <w:sz w:val="22"/>
          <w:szCs w:val="22"/>
        </w:rPr>
        <w:t xml:space="preserve"> para el sistema completo</w:t>
      </w:r>
      <w:r w:rsidR="00031A14" w:rsidRPr="00576AF8">
        <w:rPr>
          <w:rFonts w:eastAsia="Calibri"/>
          <w:color w:val="000000"/>
          <w:sz w:val="22"/>
          <w:szCs w:val="22"/>
        </w:rPr>
        <w:t>, incluyendo los repuestos</w:t>
      </w:r>
      <w:r w:rsidRPr="00576AF8">
        <w:rPr>
          <w:rFonts w:eastAsia="Calibri"/>
          <w:color w:val="000000"/>
          <w:sz w:val="22"/>
          <w:szCs w:val="22"/>
        </w:rPr>
        <w:t xml:space="preserve">. </w:t>
      </w:r>
    </w:p>
    <w:p w14:paraId="289F2C8A" w14:textId="77777777" w:rsidR="00347B22" w:rsidRPr="00576AF8" w:rsidRDefault="00347B22" w:rsidP="00347B22">
      <w:pPr>
        <w:spacing w:before="59" w:after="0"/>
        <w:ind w:left="993" w:right="261" w:firstLine="2"/>
        <w:rPr>
          <w:rFonts w:eastAsia="Calibri"/>
          <w:color w:val="000000"/>
          <w:sz w:val="22"/>
          <w:szCs w:val="22"/>
        </w:rPr>
      </w:pPr>
    </w:p>
    <w:p w14:paraId="7D7C6D44"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2.2.1.2.7 El Proveedor DEBERÁ considerar </w:t>
      </w:r>
      <w:r w:rsidRPr="00576AF8">
        <w:rPr>
          <w:rFonts w:eastAsia="Calibri"/>
          <w:color w:val="000000"/>
          <w:sz w:val="22"/>
        </w:rPr>
        <w:t>para el diseño</w:t>
      </w:r>
      <w:r w:rsidRPr="00576AF8">
        <w:rPr>
          <w:rFonts w:eastAsia="Calibri"/>
          <w:color w:val="000000"/>
          <w:sz w:val="22"/>
          <w:szCs w:val="22"/>
        </w:rPr>
        <w:t xml:space="preserve"> del sistema ofrecido las características técnicas de modularidad y facilidad de expansión, que permitan incorporar al sistema proporcionado en el futuro, ampliaciones, la agregación de nuevas funcionalidades y un centro de control alterno. </w:t>
      </w:r>
    </w:p>
    <w:p w14:paraId="2978C051" w14:textId="77777777" w:rsidR="00347B22" w:rsidRPr="00576AF8" w:rsidRDefault="00347B22" w:rsidP="00347B22">
      <w:pPr>
        <w:spacing w:before="59" w:after="0"/>
        <w:ind w:left="140" w:right="261" w:firstLine="2"/>
        <w:rPr>
          <w:rFonts w:eastAsia="Calibri"/>
          <w:color w:val="000000"/>
          <w:sz w:val="22"/>
          <w:szCs w:val="22"/>
        </w:rPr>
      </w:pPr>
    </w:p>
    <w:p w14:paraId="1876AB96"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2.2.1.2.8 El Proveedor DEBERÁ estructurar la implementación del proyecto de manera que el personal </w:t>
      </w:r>
      <w:r w:rsidR="00593894" w:rsidRPr="00576AF8">
        <w:rPr>
          <w:rFonts w:eastAsia="Calibri"/>
          <w:color w:val="000000"/>
          <w:sz w:val="22"/>
          <w:szCs w:val="22"/>
        </w:rPr>
        <w:t>del Comprador</w:t>
      </w:r>
      <w:r w:rsidRPr="00576AF8">
        <w:rPr>
          <w:rFonts w:eastAsia="Calibri"/>
          <w:color w:val="000000"/>
          <w:sz w:val="22"/>
          <w:szCs w:val="22"/>
        </w:rPr>
        <w:t xml:space="preserve"> participe activamente en una etapa temprana en la </w:t>
      </w:r>
      <w:r w:rsidRPr="00576AF8">
        <w:rPr>
          <w:rFonts w:eastAsia="Calibri"/>
          <w:color w:val="000000"/>
          <w:sz w:val="22"/>
        </w:rPr>
        <w:t>ingeniería de datos y el diseño del sistema,</w:t>
      </w:r>
      <w:r w:rsidRPr="00576AF8">
        <w:rPr>
          <w:rFonts w:eastAsia="Calibri"/>
          <w:color w:val="000000"/>
          <w:sz w:val="22"/>
          <w:szCs w:val="22"/>
        </w:rPr>
        <w:t xml:space="preserve"> así como durante todo el período de implementación, pruebas y puesta en marcha.</w:t>
      </w:r>
    </w:p>
    <w:p w14:paraId="1BA149E6" w14:textId="77777777" w:rsidR="00347B22" w:rsidRPr="00576AF8" w:rsidRDefault="00347B22" w:rsidP="00347B22">
      <w:pPr>
        <w:spacing w:before="59" w:after="0"/>
        <w:ind w:left="993" w:right="261" w:firstLine="2"/>
        <w:rPr>
          <w:rFonts w:eastAsia="Calibri"/>
          <w:color w:val="000000"/>
          <w:sz w:val="22"/>
          <w:szCs w:val="22"/>
        </w:rPr>
      </w:pPr>
    </w:p>
    <w:p w14:paraId="159CBD12"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2.2.1.2.9 El Proveedor es el RESPONSABLE del despacho, transporte, entrega, instalación, configuración, pruebas y puesta en funcionamiento de todos los equipos y materiales suministrados por el Proveedor en los sitios indicados por CENACE.</w:t>
      </w:r>
    </w:p>
    <w:p w14:paraId="390E1E13" w14:textId="77777777" w:rsidR="00347B22" w:rsidRPr="00576AF8" w:rsidRDefault="00347B22" w:rsidP="00347B22">
      <w:pPr>
        <w:spacing w:before="59" w:after="0"/>
        <w:ind w:left="993" w:right="261" w:firstLine="2"/>
        <w:rPr>
          <w:rFonts w:eastAsia="Calibri"/>
          <w:color w:val="000000"/>
          <w:sz w:val="22"/>
          <w:szCs w:val="22"/>
        </w:rPr>
      </w:pPr>
    </w:p>
    <w:p w14:paraId="6DA4A421"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2.2.1.2.10 El Proveedor es RESPONSABLE de la gestión, coordinación y programación de actividades de todos los subcontratistas del proveedor empleados para este proyecto. Esta condición incluirá la resolución de todos los problemas que pudieren surgir en relación con el hardware, software y servicios suministrados por los Subcontratistas.</w:t>
      </w:r>
    </w:p>
    <w:p w14:paraId="60396F09" w14:textId="77777777" w:rsidR="00347B22" w:rsidRPr="00576AF8" w:rsidRDefault="00347B22" w:rsidP="00347B22">
      <w:pPr>
        <w:spacing w:before="59" w:after="0"/>
        <w:ind w:left="993" w:right="261" w:firstLine="2"/>
        <w:rPr>
          <w:rFonts w:eastAsia="Calibri"/>
          <w:color w:val="000000"/>
          <w:sz w:val="22"/>
          <w:szCs w:val="22"/>
        </w:rPr>
      </w:pPr>
    </w:p>
    <w:p w14:paraId="16659F96"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2.2.1.2.11 El Proveedor DEBERÁ proveer una guía de estilo que defina todos los parámetros específicos utilizados por el Proveedor para el desarrollo de despliegues y reportes estándar de acuerdo con las necesidades de la Conciencia Situacional (Situational Awareness) de los operadores. La guía debe ser autocontenida e incluir toda la información necesaria para realizar esta Labor. La guía de estilo debe ser compatible con aquella utilizada al momento por CENACE.</w:t>
      </w:r>
    </w:p>
    <w:p w14:paraId="53A805DF" w14:textId="77777777" w:rsidR="00347B22" w:rsidRPr="00576AF8" w:rsidRDefault="00347B22" w:rsidP="00347B22">
      <w:pPr>
        <w:spacing w:before="59" w:after="0"/>
        <w:ind w:left="993" w:right="261" w:firstLine="2"/>
        <w:rPr>
          <w:rFonts w:eastAsia="Calibri"/>
          <w:color w:val="000000"/>
          <w:sz w:val="22"/>
          <w:szCs w:val="22"/>
        </w:rPr>
      </w:pPr>
      <w:r w:rsidRPr="00576AF8">
        <w:rPr>
          <w:rFonts w:eastAsia="Arial"/>
          <w:color w:val="000000"/>
          <w:sz w:val="22"/>
          <w:szCs w:val="22"/>
        </w:rPr>
        <w:t xml:space="preserve"> </w:t>
      </w:r>
    </w:p>
    <w:p w14:paraId="6FF627AE" w14:textId="77777777" w:rsidR="00347B22" w:rsidRPr="00576AF8" w:rsidRDefault="00347B22" w:rsidP="008C0D90">
      <w:pPr>
        <w:ind w:left="993"/>
        <w:jc w:val="left"/>
        <w:outlineLvl w:val="2"/>
        <w:rPr>
          <w:rFonts w:eastAsia="Calibri"/>
          <w:color w:val="000000"/>
          <w:sz w:val="22"/>
          <w:szCs w:val="22"/>
        </w:rPr>
      </w:pPr>
      <w:r w:rsidRPr="00576AF8">
        <w:rPr>
          <w:rFonts w:eastAsia="Calibri"/>
          <w:color w:val="000000"/>
          <w:sz w:val="22"/>
          <w:szCs w:val="22"/>
        </w:rPr>
        <w:t xml:space="preserve">2.2.1.2.12 </w:t>
      </w:r>
      <w:r w:rsidRPr="00576AF8">
        <w:rPr>
          <w:rFonts w:eastAsia="Arial"/>
          <w:color w:val="000000"/>
          <w:sz w:val="22"/>
          <w:szCs w:val="22"/>
        </w:rPr>
        <w:t>El Proveedor del SCADA/EMS DEBERÁ realizar la</w:t>
      </w:r>
      <w:r w:rsidRPr="00576AF8">
        <w:rPr>
          <w:rFonts w:eastAsia="Arial"/>
          <w:b/>
          <w:bCs/>
          <w:color w:val="000000"/>
          <w:sz w:val="22"/>
          <w:szCs w:val="22"/>
        </w:rPr>
        <w:t xml:space="preserve"> </w:t>
      </w:r>
      <w:r w:rsidRPr="00576AF8">
        <w:rPr>
          <w:rFonts w:eastAsia="Arial"/>
          <w:color w:val="000000"/>
          <w:sz w:val="22"/>
          <w:szCs w:val="22"/>
        </w:rPr>
        <w:t>INTEGRACIÓN BÁSICA DE FÁBRICA en HARDWARE Y SOFTWARE;</w:t>
      </w:r>
      <w:r w:rsidRPr="00576AF8">
        <w:rPr>
          <w:rFonts w:eastAsia="Arial"/>
          <w:b/>
          <w:bCs/>
          <w:color w:val="000000"/>
          <w:sz w:val="22"/>
          <w:szCs w:val="22"/>
        </w:rPr>
        <w:t xml:space="preserve"> </w:t>
      </w:r>
      <w:r w:rsidRPr="00576AF8">
        <w:rPr>
          <w:rFonts w:eastAsia="Arial"/>
          <w:color w:val="000000"/>
          <w:sz w:val="22"/>
          <w:szCs w:val="22"/>
        </w:rPr>
        <w:t xml:space="preserve">construirá el sistema central SCADA/EMS </w:t>
      </w:r>
      <w:r w:rsidR="00593894" w:rsidRPr="00576AF8">
        <w:rPr>
          <w:rFonts w:eastAsia="Arial"/>
          <w:color w:val="000000"/>
          <w:sz w:val="22"/>
          <w:szCs w:val="22"/>
        </w:rPr>
        <w:t>del Comprador</w:t>
      </w:r>
      <w:r w:rsidRPr="00576AF8">
        <w:rPr>
          <w:rFonts w:eastAsia="Arial"/>
          <w:color w:val="000000"/>
          <w:sz w:val="22"/>
          <w:szCs w:val="22"/>
        </w:rPr>
        <w:t xml:space="preserve"> en el sitio de la fábrica y configurará los sistemas como: Producción, PDS, QAS, OTS, históricos e interfaces, entre otros conforme las especificaciones técnicas. Esta construcción cumplirá con todas las especificaciones funcionales incluidas en el alcance del proyecto final y los requisitos especificados en el contrato del proveedor. Esto incluirá la base de datos y despliegues baseline, y la funcionalidad EMS indicada en las especificaciones técnicas.  El integrador de software instalará el software SCADA/EMS del Proveedor con la base de datos y los despliegues del producto Baseline.</w:t>
      </w:r>
    </w:p>
    <w:p w14:paraId="515D3F16" w14:textId="77777777" w:rsidR="00347B22" w:rsidRPr="00576AF8" w:rsidRDefault="00347B22" w:rsidP="00347B22">
      <w:pPr>
        <w:tabs>
          <w:tab w:val="left" w:pos="840"/>
        </w:tabs>
        <w:spacing w:before="3" w:after="0"/>
        <w:ind w:left="990" w:right="-20"/>
        <w:rPr>
          <w:rFonts w:eastAsia="Arial"/>
          <w:color w:val="000000"/>
          <w:sz w:val="22"/>
          <w:szCs w:val="22"/>
        </w:rPr>
      </w:pPr>
    </w:p>
    <w:p w14:paraId="014A1905" w14:textId="77777777" w:rsidR="00347B22" w:rsidRPr="00576AF8" w:rsidRDefault="00347B22" w:rsidP="008C0D90">
      <w:pPr>
        <w:ind w:left="993"/>
        <w:jc w:val="left"/>
        <w:outlineLvl w:val="2"/>
        <w:rPr>
          <w:rFonts w:eastAsia="Arial"/>
          <w:color w:val="000000"/>
          <w:sz w:val="22"/>
          <w:szCs w:val="22"/>
        </w:rPr>
      </w:pPr>
      <w:r w:rsidRPr="00576AF8">
        <w:rPr>
          <w:rFonts w:eastAsia="Calibri"/>
          <w:color w:val="000000"/>
          <w:sz w:val="22"/>
          <w:szCs w:val="22"/>
        </w:rPr>
        <w:t xml:space="preserve">2.2.1.2.13 </w:t>
      </w:r>
      <w:r w:rsidRPr="00576AF8">
        <w:rPr>
          <w:rFonts w:eastAsia="Arial"/>
          <w:color w:val="000000"/>
          <w:sz w:val="22"/>
          <w:szCs w:val="22"/>
        </w:rPr>
        <w:t xml:space="preserve">El Proveedor DEBERÁ suministrar el espacio de oficina y servicios en el sitio del Proveedor para el personal </w:t>
      </w:r>
      <w:r w:rsidR="00593894" w:rsidRPr="00576AF8">
        <w:rPr>
          <w:rFonts w:eastAsia="Arial"/>
          <w:color w:val="000000"/>
          <w:sz w:val="22"/>
          <w:szCs w:val="22"/>
        </w:rPr>
        <w:t>del Comprador</w:t>
      </w:r>
      <w:r w:rsidRPr="00576AF8">
        <w:rPr>
          <w:rFonts w:eastAsia="Arial"/>
          <w:color w:val="000000"/>
          <w:sz w:val="22"/>
          <w:szCs w:val="22"/>
        </w:rPr>
        <w:t>, cuando éste lo requiera.</w:t>
      </w:r>
    </w:p>
    <w:p w14:paraId="12AE891F" w14:textId="77777777" w:rsidR="00347B22" w:rsidRPr="00576AF8" w:rsidRDefault="00347B22" w:rsidP="00347B22">
      <w:pPr>
        <w:tabs>
          <w:tab w:val="left" w:pos="1134"/>
        </w:tabs>
        <w:spacing w:before="3" w:after="0"/>
        <w:ind w:left="1134" w:right="-20" w:hanging="49"/>
        <w:rPr>
          <w:rFonts w:eastAsia="Arial"/>
          <w:color w:val="000000"/>
          <w:sz w:val="22"/>
          <w:szCs w:val="22"/>
        </w:rPr>
      </w:pPr>
    </w:p>
    <w:p w14:paraId="4CCF157F" w14:textId="77777777" w:rsidR="00347B22" w:rsidRPr="00576AF8" w:rsidRDefault="00347B22" w:rsidP="008C0D90">
      <w:pPr>
        <w:ind w:left="993"/>
        <w:jc w:val="left"/>
        <w:outlineLvl w:val="2"/>
        <w:rPr>
          <w:rFonts w:eastAsia="Arial"/>
          <w:color w:val="000000"/>
          <w:sz w:val="22"/>
          <w:szCs w:val="22"/>
        </w:rPr>
      </w:pPr>
      <w:r w:rsidRPr="00576AF8">
        <w:rPr>
          <w:rFonts w:eastAsia="Calibri"/>
          <w:color w:val="000000"/>
          <w:sz w:val="22"/>
          <w:szCs w:val="22"/>
        </w:rPr>
        <w:t xml:space="preserve">2.2.1.2.14 </w:t>
      </w:r>
      <w:r w:rsidRPr="00576AF8">
        <w:rPr>
          <w:rFonts w:eastAsia="Arial"/>
          <w:color w:val="000000"/>
          <w:sz w:val="22"/>
          <w:szCs w:val="22"/>
        </w:rPr>
        <w:t xml:space="preserve">El Proveedor DEBERÁ realizar la configuración de todas las funciones para la operación adecuada (“sintonización” del Sistema y de las funciones SCADA y de aplicación GMS, EMS y OTS), con asistencia </w:t>
      </w:r>
      <w:r w:rsidR="00593894" w:rsidRPr="00576AF8">
        <w:rPr>
          <w:rFonts w:eastAsia="Arial"/>
          <w:color w:val="000000"/>
          <w:sz w:val="22"/>
          <w:szCs w:val="22"/>
        </w:rPr>
        <w:t>del Comprador</w:t>
      </w:r>
      <w:r w:rsidRPr="00576AF8">
        <w:rPr>
          <w:rFonts w:eastAsia="Arial"/>
          <w:color w:val="000000"/>
          <w:sz w:val="22"/>
          <w:szCs w:val="22"/>
        </w:rPr>
        <w:t>, después de la entrega y arranque del Sistema, pero con anterioridad a cualquier prueba en sitio.</w:t>
      </w:r>
    </w:p>
    <w:p w14:paraId="3F78870F" w14:textId="77777777" w:rsidR="00347B22" w:rsidRPr="00576AF8" w:rsidRDefault="00347B22" w:rsidP="00347B22">
      <w:pPr>
        <w:tabs>
          <w:tab w:val="left" w:pos="1134"/>
        </w:tabs>
        <w:spacing w:before="3" w:after="0"/>
        <w:ind w:left="1134" w:right="-20" w:hanging="49"/>
        <w:rPr>
          <w:rFonts w:eastAsia="Arial"/>
          <w:color w:val="000000"/>
          <w:sz w:val="22"/>
          <w:szCs w:val="22"/>
        </w:rPr>
      </w:pPr>
    </w:p>
    <w:p w14:paraId="0DE22B69" w14:textId="77777777" w:rsidR="00347B22" w:rsidRPr="00576AF8" w:rsidRDefault="00347B22" w:rsidP="008C0D90">
      <w:pPr>
        <w:ind w:left="993"/>
        <w:jc w:val="left"/>
        <w:outlineLvl w:val="2"/>
        <w:rPr>
          <w:rFonts w:eastAsia="Arial"/>
          <w:color w:val="000000"/>
          <w:sz w:val="22"/>
          <w:szCs w:val="22"/>
        </w:rPr>
      </w:pPr>
      <w:r w:rsidRPr="00576AF8">
        <w:rPr>
          <w:rFonts w:eastAsia="Calibri"/>
          <w:color w:val="000000"/>
          <w:sz w:val="22"/>
          <w:szCs w:val="22"/>
        </w:rPr>
        <w:t xml:space="preserve">2.2.1.2.15 </w:t>
      </w:r>
      <w:r w:rsidRPr="00576AF8">
        <w:rPr>
          <w:rFonts w:eastAsia="Arial"/>
          <w:color w:val="000000"/>
          <w:sz w:val="22"/>
          <w:szCs w:val="22"/>
        </w:rPr>
        <w:t xml:space="preserve">El Proveedor DEBERÁ elaborar el cronograma correspondiente para la implementación del sistema, el cual será aprobado por las partes previo a la firma del contrato. </w:t>
      </w:r>
    </w:p>
    <w:p w14:paraId="38A81045" w14:textId="77777777" w:rsidR="00347B22" w:rsidRPr="00576AF8" w:rsidRDefault="00347B22" w:rsidP="00347B22">
      <w:pPr>
        <w:tabs>
          <w:tab w:val="left" w:pos="1134"/>
        </w:tabs>
        <w:spacing w:before="3" w:after="0"/>
        <w:ind w:left="1134" w:right="-20" w:hanging="49"/>
        <w:rPr>
          <w:rFonts w:eastAsia="Arial"/>
          <w:color w:val="000000"/>
          <w:sz w:val="22"/>
          <w:szCs w:val="22"/>
        </w:rPr>
      </w:pPr>
    </w:p>
    <w:p w14:paraId="2284F897" w14:textId="77777777" w:rsidR="00347B22" w:rsidRPr="00576AF8" w:rsidRDefault="00347B22" w:rsidP="008C0D90">
      <w:pPr>
        <w:ind w:left="993"/>
        <w:jc w:val="left"/>
        <w:outlineLvl w:val="2"/>
        <w:rPr>
          <w:rFonts w:eastAsia="Arial"/>
          <w:color w:val="000000"/>
          <w:sz w:val="22"/>
          <w:szCs w:val="22"/>
          <w:lang w:eastAsia="en-US"/>
        </w:rPr>
      </w:pPr>
      <w:r w:rsidRPr="00576AF8">
        <w:rPr>
          <w:rFonts w:eastAsia="Arial"/>
          <w:color w:val="000000"/>
          <w:sz w:val="22"/>
        </w:rPr>
        <w:t>2.2.1.2.16 El Proveedor SERÁ RESPONSABLE del transporte de los bienes conforme se establece en la CGC 22.4 de las Condiciones Generales del Contrato.</w:t>
      </w:r>
    </w:p>
    <w:p w14:paraId="6241844E" w14:textId="77777777" w:rsidR="00347B22" w:rsidRPr="00576AF8" w:rsidRDefault="00347B22" w:rsidP="00347B22">
      <w:pPr>
        <w:tabs>
          <w:tab w:val="left" w:pos="1134"/>
        </w:tabs>
        <w:spacing w:before="3" w:after="0"/>
        <w:ind w:left="1134" w:right="-20" w:hanging="49"/>
        <w:rPr>
          <w:rFonts w:eastAsia="Arial"/>
          <w:color w:val="000000"/>
          <w:sz w:val="22"/>
          <w:szCs w:val="22"/>
          <w:lang w:eastAsia="en-US"/>
        </w:rPr>
      </w:pPr>
    </w:p>
    <w:p w14:paraId="067DA12C" w14:textId="77777777" w:rsidR="00347B22" w:rsidRPr="00576AF8" w:rsidRDefault="00347B22" w:rsidP="008C0D90">
      <w:pPr>
        <w:ind w:left="993"/>
        <w:jc w:val="left"/>
        <w:outlineLvl w:val="2"/>
        <w:rPr>
          <w:rFonts w:eastAsia="Arial"/>
          <w:color w:val="000000"/>
          <w:sz w:val="22"/>
          <w:szCs w:val="22"/>
        </w:rPr>
      </w:pPr>
      <w:r w:rsidRPr="00576AF8">
        <w:rPr>
          <w:rFonts w:eastAsia="Calibri"/>
          <w:color w:val="000000"/>
          <w:sz w:val="22"/>
          <w:szCs w:val="22"/>
        </w:rPr>
        <w:t xml:space="preserve">2.2.1.2.17 </w:t>
      </w:r>
      <w:r w:rsidRPr="00576AF8">
        <w:rPr>
          <w:rFonts w:eastAsia="Arial"/>
          <w:color w:val="000000"/>
          <w:sz w:val="22"/>
          <w:szCs w:val="22"/>
        </w:rPr>
        <w:t xml:space="preserve">El Proveedor SERÁ RESPONSABLE de todos los servicios para el montaje, instalación, pruebas y puesta en servicio de todos los equipos y sistemas que serán intervenidos como alcance del proyecto. </w:t>
      </w:r>
      <w:r w:rsidRPr="00576AF8">
        <w:rPr>
          <w:rFonts w:eastAsia="Arial"/>
          <w:color w:val="000000"/>
          <w:sz w:val="22"/>
          <w:szCs w:val="22"/>
          <w:lang w:eastAsia="es-EC"/>
        </w:rPr>
        <w:t>Todas las actividades de montaje e instalación deberán estar planificadas a detalle en los procedimientos y protocolos de montaje, los cuales serán aprobados previamente por CENACE o sus representantes. Esto incluye los planes de seguridad, protocolos de prueba, procedimientos de trabajo seguro, matrices IPERC (Identificación de Peligros y la Evaluación de Riesgos y Controles) y otros formatos de gestión de riesgos.</w:t>
      </w:r>
      <w:r w:rsidRPr="00576AF8">
        <w:rPr>
          <w:rFonts w:eastAsia="Arial"/>
          <w:color w:val="000000"/>
          <w:sz w:val="22"/>
          <w:szCs w:val="22"/>
        </w:rPr>
        <w:t xml:space="preserve">  </w:t>
      </w:r>
      <w:r w:rsidRPr="00576AF8">
        <w:rPr>
          <w:rFonts w:eastAsia="Arial"/>
          <w:color w:val="000000"/>
          <w:sz w:val="22"/>
          <w:szCs w:val="22"/>
          <w:lang w:eastAsia="es-EC"/>
        </w:rPr>
        <w:t>Para el inicio del montaje e intervención de unidades, todos los equipos, componentes, materiales y accesorios que serán suministrados deberán estar listos para su montaje, estando disponibles en el sitio de montaje.</w:t>
      </w:r>
    </w:p>
    <w:p w14:paraId="1C9CB9A0" w14:textId="77777777" w:rsidR="00347B22" w:rsidRPr="00576AF8" w:rsidRDefault="00347B22" w:rsidP="00347B22">
      <w:pPr>
        <w:tabs>
          <w:tab w:val="left" w:pos="1134"/>
        </w:tabs>
        <w:suppressAutoHyphens w:val="0"/>
        <w:spacing w:after="0"/>
        <w:ind w:left="1134" w:right="140" w:hanging="49"/>
        <w:jc w:val="left"/>
        <w:rPr>
          <w:color w:val="000000"/>
          <w:szCs w:val="24"/>
          <w:lang w:val="es-EC" w:eastAsia="es-EC" w:bidi="ar-SA"/>
        </w:rPr>
      </w:pPr>
    </w:p>
    <w:p w14:paraId="438A0225" w14:textId="77777777" w:rsidR="00347B22" w:rsidRPr="00576AF8" w:rsidRDefault="00347B22" w:rsidP="008C0D90">
      <w:pPr>
        <w:ind w:left="993"/>
        <w:jc w:val="left"/>
        <w:outlineLvl w:val="2"/>
        <w:rPr>
          <w:rFonts w:eastAsia="Arial"/>
          <w:color w:val="000000"/>
          <w:sz w:val="22"/>
          <w:szCs w:val="22"/>
          <w:lang w:eastAsia="es-EC"/>
        </w:rPr>
      </w:pPr>
      <w:r w:rsidRPr="00576AF8">
        <w:rPr>
          <w:rFonts w:eastAsia="Calibri"/>
          <w:color w:val="000000"/>
          <w:sz w:val="22"/>
          <w:szCs w:val="22"/>
        </w:rPr>
        <w:t xml:space="preserve">2.2.1.2.18 </w:t>
      </w:r>
      <w:r w:rsidRPr="00576AF8">
        <w:rPr>
          <w:rFonts w:eastAsia="Arial"/>
          <w:color w:val="000000"/>
          <w:sz w:val="22"/>
          <w:szCs w:val="22"/>
          <w:lang w:eastAsia="es-EC"/>
        </w:rPr>
        <w:t xml:space="preserve">El Proveedor </w:t>
      </w:r>
      <w:r w:rsidRPr="00576AF8">
        <w:rPr>
          <w:rFonts w:eastAsia="Arial"/>
          <w:color w:val="000000"/>
          <w:lang w:eastAsia="es-EC"/>
        </w:rPr>
        <w:t>DEBERÁ</w:t>
      </w:r>
      <w:r w:rsidRPr="00576AF8">
        <w:rPr>
          <w:rFonts w:eastAsia="Arial"/>
          <w:color w:val="000000"/>
          <w:sz w:val="22"/>
          <w:szCs w:val="22"/>
          <w:lang w:eastAsia="es-EC"/>
        </w:rPr>
        <w:t xml:space="preserve"> realizar una visita técnica al lugar del proyecto. CENACE otorgará las facilidades respectivas para el ingreso a sus instalaciones y no asumirá ningún costo que pudiera demandar esta actividad.</w:t>
      </w:r>
    </w:p>
    <w:p w14:paraId="2081292C" w14:textId="77777777" w:rsidR="00347B22" w:rsidRPr="00576AF8" w:rsidRDefault="00347B22" w:rsidP="00347B22">
      <w:pPr>
        <w:tabs>
          <w:tab w:val="left" w:pos="1134"/>
        </w:tabs>
        <w:spacing w:after="0"/>
        <w:ind w:left="1134" w:right="-31" w:hanging="49"/>
        <w:rPr>
          <w:rFonts w:eastAsia="Arial"/>
          <w:color w:val="000000"/>
          <w:sz w:val="22"/>
          <w:szCs w:val="22"/>
          <w:lang w:eastAsia="es-EC"/>
        </w:rPr>
      </w:pPr>
    </w:p>
    <w:p w14:paraId="16154DC3" w14:textId="77777777" w:rsidR="00347B22" w:rsidRPr="00576AF8" w:rsidRDefault="00347B22" w:rsidP="008C0D90">
      <w:pPr>
        <w:ind w:left="993"/>
        <w:jc w:val="left"/>
        <w:outlineLvl w:val="2"/>
        <w:rPr>
          <w:rFonts w:eastAsia="Arial"/>
          <w:color w:val="000000"/>
          <w:sz w:val="22"/>
          <w:szCs w:val="22"/>
          <w:lang w:eastAsia="es-EC"/>
        </w:rPr>
      </w:pPr>
      <w:r w:rsidRPr="00576AF8">
        <w:rPr>
          <w:rFonts w:eastAsia="Calibri"/>
          <w:color w:val="000000"/>
          <w:sz w:val="22"/>
          <w:szCs w:val="22"/>
        </w:rPr>
        <w:t xml:space="preserve">2.2.1.2.19 </w:t>
      </w:r>
      <w:r w:rsidRPr="00576AF8">
        <w:rPr>
          <w:rFonts w:eastAsia="Arial"/>
          <w:color w:val="000000"/>
          <w:sz w:val="22"/>
          <w:szCs w:val="22"/>
        </w:rPr>
        <w:t>El Proveedor SERÁ RESPONSABLE</w:t>
      </w:r>
      <w:r w:rsidRPr="00576AF8">
        <w:rPr>
          <w:rFonts w:eastAsia="Arial"/>
          <w:color w:val="000000"/>
          <w:sz w:val="22"/>
          <w:szCs w:val="22"/>
          <w:lang w:eastAsia="es-EC"/>
        </w:rPr>
        <w:t xml:space="preserve"> </w:t>
      </w:r>
      <w:r w:rsidRPr="00576AF8">
        <w:rPr>
          <w:rFonts w:eastAsia="Arial"/>
          <w:color w:val="000000"/>
          <w:lang w:eastAsia="es-EC"/>
        </w:rPr>
        <w:t xml:space="preserve">de </w:t>
      </w:r>
      <w:r w:rsidRPr="00576AF8">
        <w:rPr>
          <w:rFonts w:eastAsia="Arial"/>
          <w:color w:val="000000"/>
          <w:sz w:val="22"/>
          <w:szCs w:val="22"/>
          <w:lang w:eastAsia="es-EC"/>
        </w:rPr>
        <w:t xml:space="preserve">la provisión de </w:t>
      </w:r>
      <w:r w:rsidRPr="00576AF8">
        <w:rPr>
          <w:rFonts w:eastAsia="Arial"/>
          <w:color w:val="000000"/>
          <w:lang w:eastAsia="es-EC"/>
        </w:rPr>
        <w:t>todos los</w:t>
      </w:r>
      <w:r w:rsidRPr="00576AF8">
        <w:rPr>
          <w:rFonts w:eastAsia="Arial"/>
          <w:color w:val="000000"/>
          <w:sz w:val="22"/>
          <w:szCs w:val="22"/>
          <w:lang w:eastAsia="es-EC"/>
        </w:rPr>
        <w:t xml:space="preserve"> elementos de software, debidamente detallados en </w:t>
      </w:r>
      <w:r w:rsidRPr="00576AF8">
        <w:rPr>
          <w:rFonts w:eastAsia="Arial"/>
          <w:color w:val="000000"/>
          <w:lang w:eastAsia="es-EC"/>
        </w:rPr>
        <w:t>estas</w:t>
      </w:r>
      <w:r w:rsidRPr="00576AF8">
        <w:rPr>
          <w:rFonts w:eastAsia="Arial"/>
          <w:color w:val="000000"/>
          <w:sz w:val="22"/>
          <w:szCs w:val="22"/>
          <w:lang w:eastAsia="es-EC"/>
        </w:rPr>
        <w:t xml:space="preserve"> </w:t>
      </w:r>
      <w:r w:rsidRPr="00576AF8">
        <w:rPr>
          <w:rFonts w:eastAsia="Arial"/>
          <w:color w:val="000000"/>
          <w:sz w:val="22"/>
        </w:rPr>
        <w:t>Especificaciones Técnicas del Sistema</w:t>
      </w:r>
      <w:r w:rsidRPr="00576AF8">
        <w:rPr>
          <w:rFonts w:eastAsia="Arial"/>
          <w:color w:val="000000"/>
          <w:sz w:val="22"/>
          <w:szCs w:val="22"/>
          <w:lang w:eastAsia="es-EC"/>
        </w:rPr>
        <w:t xml:space="preserve">, los cuales </w:t>
      </w:r>
      <w:r w:rsidRPr="00576AF8">
        <w:rPr>
          <w:rFonts w:eastAsia="Arial"/>
          <w:color w:val="000000"/>
          <w:sz w:val="22"/>
          <w:szCs w:val="22"/>
          <w:lang w:eastAsia="es-EC"/>
        </w:rPr>
        <w:lastRenderedPageBreak/>
        <w:t>deberán tener licencia a nombre de</w:t>
      </w:r>
      <w:r w:rsidR="00593894" w:rsidRPr="00576AF8">
        <w:rPr>
          <w:rFonts w:eastAsia="Arial"/>
          <w:color w:val="000000"/>
          <w:sz w:val="22"/>
          <w:szCs w:val="22"/>
          <w:lang w:eastAsia="es-EC"/>
        </w:rPr>
        <w:t>l</w:t>
      </w:r>
      <w:r w:rsidRPr="00576AF8">
        <w:rPr>
          <w:rFonts w:eastAsia="Arial"/>
          <w:color w:val="000000"/>
          <w:sz w:val="22"/>
          <w:szCs w:val="22"/>
          <w:lang w:eastAsia="es-EC"/>
        </w:rPr>
        <w:t xml:space="preserve"> CENACE en función de lo establecido en la sección </w:t>
      </w:r>
      <w:r w:rsidR="00A85243" w:rsidRPr="00576AF8">
        <w:rPr>
          <w:rFonts w:eastAsia="Arial"/>
          <w:color w:val="000000"/>
          <w:sz w:val="22"/>
          <w:szCs w:val="22"/>
          <w:lang w:eastAsia="es-EC"/>
        </w:rPr>
        <w:t xml:space="preserve">D </w:t>
      </w:r>
      <w:r w:rsidR="000B0E83" w:rsidRPr="00576AF8">
        <w:rPr>
          <w:rFonts w:eastAsia="Arial"/>
          <w:color w:val="000000"/>
          <w:sz w:val="22"/>
          <w:szCs w:val="22"/>
          <w:lang w:eastAsia="es-EC"/>
        </w:rPr>
        <w:t xml:space="preserve">Licenciamiento </w:t>
      </w:r>
      <w:r w:rsidR="00A85243" w:rsidRPr="00576AF8">
        <w:rPr>
          <w:rFonts w:eastAsia="Arial"/>
          <w:color w:val="000000"/>
          <w:sz w:val="22"/>
          <w:szCs w:val="22"/>
          <w:lang w:eastAsia="es-EC"/>
        </w:rPr>
        <w:t xml:space="preserve">numeral </w:t>
      </w:r>
      <w:r w:rsidR="000B0E83" w:rsidRPr="00576AF8">
        <w:rPr>
          <w:rFonts w:eastAsia="Arial"/>
          <w:color w:val="000000"/>
          <w:sz w:val="22"/>
          <w:szCs w:val="22"/>
          <w:lang w:eastAsia="es-EC"/>
        </w:rPr>
        <w:t>3.4 “Especificaciones del Software Estandar”</w:t>
      </w:r>
      <w:r w:rsidRPr="00576AF8">
        <w:rPr>
          <w:rFonts w:eastAsia="Arial"/>
          <w:color w:val="000000"/>
          <w:sz w:val="22"/>
          <w:szCs w:val="22"/>
          <w:lang w:eastAsia="es-EC"/>
        </w:rPr>
        <w:t xml:space="preserve">. </w:t>
      </w:r>
      <w:r w:rsidRPr="00576AF8">
        <w:rPr>
          <w:sz w:val="22"/>
          <w:szCs w:val="22"/>
        </w:rPr>
        <w:t xml:space="preserve">El Proveedor del SCADA/EMS debe garantizar que en ningún escenario el software de terceros del SCADA/EMS deje de funcionar una vez finalizada la Garantía, para lo cual deberá entregar una carta del fabricante del software de terceros que certifique esto. </w:t>
      </w:r>
      <w:r w:rsidRPr="00576AF8">
        <w:rPr>
          <w:sz w:val="22"/>
          <w:szCs w:val="22"/>
          <w:lang w:val="es-419"/>
        </w:rPr>
        <w:t>El Proveedor del SCADA/EMS deberá entregar a nombre del CENACE todas las licencias del software de terceros</w:t>
      </w:r>
      <w:r w:rsidRPr="00576AF8">
        <w:rPr>
          <w:rFonts w:eastAsia="Arial"/>
          <w:color w:val="000000"/>
          <w:sz w:val="22"/>
          <w:szCs w:val="22"/>
          <w:lang w:eastAsia="es-EC"/>
        </w:rPr>
        <w:t>.</w:t>
      </w:r>
    </w:p>
    <w:p w14:paraId="4A54DDF9" w14:textId="77777777" w:rsidR="00347B22" w:rsidRPr="00576AF8" w:rsidRDefault="00347B22" w:rsidP="00347B22">
      <w:pPr>
        <w:tabs>
          <w:tab w:val="left" w:pos="1134"/>
        </w:tabs>
        <w:spacing w:after="0"/>
        <w:ind w:left="1134" w:hanging="49"/>
        <w:textAlignment w:val="baseline"/>
        <w:rPr>
          <w:rFonts w:eastAsia="Arial"/>
          <w:color w:val="000000"/>
          <w:highlight w:val="cyan"/>
          <w:lang w:eastAsia="es-EC"/>
        </w:rPr>
      </w:pPr>
    </w:p>
    <w:p w14:paraId="34D472C6" w14:textId="03CB9EC9" w:rsidR="00347B22" w:rsidRPr="00576AF8" w:rsidRDefault="00347B22" w:rsidP="008C0D90">
      <w:pPr>
        <w:ind w:left="993"/>
        <w:jc w:val="left"/>
        <w:outlineLvl w:val="2"/>
        <w:rPr>
          <w:rFonts w:eastAsia="Arial"/>
          <w:color w:val="000000"/>
          <w:sz w:val="22"/>
          <w:szCs w:val="22"/>
          <w:lang w:eastAsia="es-EC"/>
        </w:rPr>
      </w:pPr>
      <w:r w:rsidRPr="00576AF8">
        <w:rPr>
          <w:rFonts w:eastAsia="Calibri"/>
          <w:color w:val="000000"/>
          <w:sz w:val="22"/>
          <w:szCs w:val="22"/>
        </w:rPr>
        <w:t xml:space="preserve">2.2.1.2.20 </w:t>
      </w:r>
      <w:r w:rsidRPr="00576AF8">
        <w:rPr>
          <w:rFonts w:eastAsia="Arial"/>
          <w:color w:val="000000"/>
          <w:sz w:val="22"/>
          <w:szCs w:val="22"/>
          <w:lang w:eastAsia="es-EC"/>
        </w:rPr>
        <w:t xml:space="preserve">El Proveedor </w:t>
      </w:r>
      <w:r w:rsidRPr="00576AF8">
        <w:rPr>
          <w:rFonts w:eastAsia="Arial"/>
          <w:color w:val="000000"/>
          <w:lang w:eastAsia="es-EC"/>
        </w:rPr>
        <w:t>DEBERÁ</w:t>
      </w:r>
      <w:r w:rsidRPr="00576AF8">
        <w:rPr>
          <w:rFonts w:eastAsia="Arial"/>
          <w:color w:val="000000"/>
          <w:sz w:val="22"/>
          <w:szCs w:val="22"/>
          <w:lang w:eastAsia="es-EC"/>
        </w:rPr>
        <w:t xml:space="preserve"> cumplir con las normas nacionales</w:t>
      </w:r>
      <w:r w:rsidRPr="00576AF8">
        <w:rPr>
          <w:rFonts w:eastAsia="Arial"/>
          <w:color w:val="000000"/>
          <w:lang w:eastAsia="es-EC"/>
        </w:rPr>
        <w:t xml:space="preserve"> relacionadas al </w:t>
      </w:r>
      <w:r w:rsidRPr="00576AF8">
        <w:rPr>
          <w:rFonts w:eastAsia="Arial"/>
          <w:color w:val="000000"/>
          <w:sz w:val="22"/>
          <w:szCs w:val="22"/>
          <w:lang w:eastAsia="es-EC"/>
        </w:rPr>
        <w:t>Impacto ambiental, seguridad y salud ocupacional</w:t>
      </w:r>
      <w:r w:rsidRPr="00576AF8">
        <w:rPr>
          <w:rFonts w:eastAsia="Arial"/>
          <w:color w:val="000000"/>
          <w:lang w:eastAsia="es-EC"/>
        </w:rPr>
        <w:t xml:space="preserve">; </w:t>
      </w:r>
      <w:r w:rsidRPr="00576AF8">
        <w:rPr>
          <w:rFonts w:eastAsia="Arial"/>
          <w:color w:val="000000"/>
          <w:sz w:val="22"/>
          <w:szCs w:val="22"/>
          <w:lang w:eastAsia="es-EC"/>
        </w:rPr>
        <w:t>y seguir las buenas prácticas internacionales en lo relacionado a las especialidades de ingeniería, seguridad, salud en el trabajo, gestión ambiental, responsabilidad social, dirección de proyectos, entre otras disciplinas aplicables al contrato.</w:t>
      </w:r>
      <w:r w:rsidRPr="00576AF8">
        <w:rPr>
          <w:rFonts w:eastAsia="Arial"/>
          <w:color w:val="000000"/>
          <w:lang w:eastAsia="es-EC"/>
        </w:rPr>
        <w:t xml:space="preserve"> </w:t>
      </w:r>
      <w:r w:rsidRPr="00576AF8">
        <w:rPr>
          <w:rFonts w:eastAsia="Arial"/>
          <w:color w:val="000000"/>
          <w:sz w:val="22"/>
          <w:szCs w:val="22"/>
          <w:lang w:eastAsia="es-EC"/>
        </w:rPr>
        <w:t xml:space="preserve">Proveedor </w:t>
      </w:r>
      <w:r w:rsidRPr="00576AF8">
        <w:rPr>
          <w:rFonts w:eastAsia="Arial"/>
          <w:color w:val="000000"/>
          <w:lang w:eastAsia="es-EC"/>
        </w:rPr>
        <w:t>preparará</w:t>
      </w:r>
      <w:r w:rsidRPr="00576AF8">
        <w:rPr>
          <w:rFonts w:eastAsia="Arial"/>
          <w:color w:val="000000"/>
          <w:sz w:val="22"/>
          <w:szCs w:val="22"/>
          <w:lang w:eastAsia="es-EC"/>
        </w:rPr>
        <w:t xml:space="preserve"> los planes de Seguridad y Gestión Ambiental para su aplicación dentro del ámbito del Proyecto. Estos planes contendrán un análisis de todos los factores a considerar de acuerdo con las normas y estándares aplicables, incluyendo la descripción de las acciones a tomar para asegurar su cumplimiento. Estos planes serán de estricto cumplimiento del </w:t>
      </w:r>
      <w:r w:rsidRPr="00576AF8">
        <w:rPr>
          <w:rFonts w:eastAsia="Arial"/>
          <w:color w:val="000000"/>
          <w:lang w:eastAsia="es-EC"/>
        </w:rPr>
        <w:t>Proveedor</w:t>
      </w:r>
      <w:r w:rsidRPr="00576AF8">
        <w:rPr>
          <w:rFonts w:eastAsia="Arial"/>
          <w:color w:val="000000"/>
          <w:sz w:val="22"/>
          <w:szCs w:val="22"/>
          <w:lang w:eastAsia="es-EC"/>
        </w:rPr>
        <w:t xml:space="preserve"> y sus eventuales subcontratistas.</w:t>
      </w:r>
    </w:p>
    <w:p w14:paraId="5543DD2F" w14:textId="77777777" w:rsidR="00347B22" w:rsidRPr="00576AF8" w:rsidRDefault="00347B22" w:rsidP="00347B22">
      <w:pPr>
        <w:tabs>
          <w:tab w:val="left" w:pos="1134"/>
        </w:tabs>
        <w:spacing w:after="0"/>
        <w:ind w:left="1134" w:hanging="49"/>
        <w:textAlignment w:val="baseline"/>
        <w:rPr>
          <w:rFonts w:eastAsia="Arial"/>
          <w:color w:val="000000"/>
          <w:sz w:val="22"/>
          <w:szCs w:val="22"/>
          <w:lang w:eastAsia="es-EC"/>
        </w:rPr>
      </w:pPr>
    </w:p>
    <w:p w14:paraId="27894A50" w14:textId="77777777" w:rsidR="00347B22" w:rsidRPr="00576AF8" w:rsidRDefault="00347B22" w:rsidP="008C0D90">
      <w:pPr>
        <w:ind w:left="993"/>
        <w:jc w:val="left"/>
        <w:outlineLvl w:val="2"/>
        <w:rPr>
          <w:rFonts w:eastAsia="Arial"/>
          <w:color w:val="000000"/>
          <w:sz w:val="22"/>
          <w:szCs w:val="22"/>
        </w:rPr>
      </w:pPr>
      <w:r w:rsidRPr="00576AF8">
        <w:rPr>
          <w:rFonts w:eastAsia="Calibri"/>
          <w:color w:val="000000"/>
          <w:sz w:val="22"/>
          <w:szCs w:val="22"/>
        </w:rPr>
        <w:t xml:space="preserve">2.2.1.2.21 </w:t>
      </w:r>
      <w:r w:rsidRPr="00576AF8">
        <w:rPr>
          <w:rFonts w:eastAsia="Arial"/>
          <w:color w:val="000000"/>
          <w:sz w:val="22"/>
          <w:szCs w:val="22"/>
          <w:lang w:eastAsia="es-EC"/>
        </w:rPr>
        <w:t xml:space="preserve">El Proveedor DEBERÁ </w:t>
      </w:r>
      <w:r w:rsidRPr="00576AF8">
        <w:rPr>
          <w:rFonts w:eastAsia="Arial"/>
          <w:color w:val="000000"/>
          <w:sz w:val="22"/>
          <w:szCs w:val="22"/>
        </w:rPr>
        <w:t>entregar toda la documentación técnica elaborada para los fines del proyecto, esto incluye todos los informes, reportes, planos, manuales, memorias de cálculo, catálogos, entre otros. Todas las versiones digitalizadas de la documentación a ser presentada deberán ser incluidas en un repositorio virtual compartido, al cual el CENACE tendrá acceso, durante la vigencia del contrato. Las cantidades, alcances y demás requisitos para la elaboración y entrega de documentación técnica, están definidos en estas Especificaciones Técnicas.</w:t>
      </w:r>
    </w:p>
    <w:p w14:paraId="58F4AAAA" w14:textId="77777777" w:rsidR="00347B22" w:rsidRPr="00576AF8" w:rsidRDefault="00347B22" w:rsidP="00347B22">
      <w:pPr>
        <w:tabs>
          <w:tab w:val="left" w:pos="1134"/>
        </w:tabs>
        <w:spacing w:after="0"/>
        <w:ind w:left="1134" w:hanging="49"/>
        <w:rPr>
          <w:rFonts w:eastAsia="Arial"/>
          <w:color w:val="000000"/>
          <w:sz w:val="22"/>
          <w:szCs w:val="22"/>
        </w:rPr>
      </w:pPr>
    </w:p>
    <w:p w14:paraId="3D44202A" w14:textId="77777777" w:rsidR="00347B22" w:rsidRPr="00576AF8" w:rsidRDefault="00347B22" w:rsidP="008C0D90">
      <w:pPr>
        <w:ind w:left="993"/>
        <w:jc w:val="left"/>
        <w:outlineLvl w:val="2"/>
        <w:rPr>
          <w:rFonts w:eastAsia="Arial"/>
          <w:color w:val="000000"/>
          <w:sz w:val="22"/>
          <w:szCs w:val="22"/>
        </w:rPr>
      </w:pPr>
      <w:r w:rsidRPr="00576AF8">
        <w:rPr>
          <w:rFonts w:eastAsia="Calibri"/>
          <w:color w:val="000000"/>
          <w:sz w:val="22"/>
          <w:szCs w:val="22"/>
        </w:rPr>
        <w:t xml:space="preserve">2.2.1.2.22 </w:t>
      </w:r>
      <w:r w:rsidRPr="00576AF8">
        <w:rPr>
          <w:rFonts w:eastAsia="Arial"/>
          <w:color w:val="000000"/>
          <w:sz w:val="22"/>
          <w:szCs w:val="22"/>
          <w:lang w:eastAsia="es-EC"/>
        </w:rPr>
        <w:t xml:space="preserve">El Proveedor DEBERÁ </w:t>
      </w:r>
      <w:r w:rsidRPr="00576AF8">
        <w:rPr>
          <w:rFonts w:eastAsia="Arial"/>
          <w:color w:val="000000"/>
          <w:sz w:val="22"/>
          <w:szCs w:val="22"/>
        </w:rPr>
        <w:t xml:space="preserve">ejecutar un programa de pruebas adecuado durante todas las etapas del proyecto: fabricación, preFAT, FAT, SAT, y todas las definidas en estas Especificaciones Técnicas. El </w:t>
      </w:r>
      <w:r w:rsidRPr="00576AF8">
        <w:rPr>
          <w:rFonts w:eastAsia="Arial"/>
          <w:color w:val="000000"/>
          <w:sz w:val="22"/>
          <w:szCs w:val="22"/>
          <w:lang w:eastAsia="es-EC"/>
        </w:rPr>
        <w:t>Proveedor</w:t>
      </w:r>
      <w:r w:rsidRPr="00576AF8">
        <w:rPr>
          <w:rFonts w:eastAsia="Arial"/>
          <w:color w:val="000000"/>
          <w:sz w:val="22"/>
          <w:szCs w:val="22"/>
        </w:rPr>
        <w:t xml:space="preserve"> será el responsable de realizar estas pruebas y proporcionar según corresponda el caso, todas las instalaciones, equipos, personal y facilidades necesarias. La responsabilidad de especificar, realizar y registrar las pruebas recaerá en el Proveedor, pero todos los aspectos serán a satisfacción del CENACE. Los resultados de las pruebas anteriores se pondrán a disposición del CENACE cuando lo solicite.</w:t>
      </w:r>
    </w:p>
    <w:p w14:paraId="7992AE04" w14:textId="77777777" w:rsidR="00223559" w:rsidRPr="00576AF8" w:rsidRDefault="00223559" w:rsidP="008C0D90">
      <w:pPr>
        <w:suppressAutoHyphens w:val="0"/>
        <w:spacing w:before="120" w:after="0"/>
        <w:textAlignment w:val="baseline"/>
        <w:rPr>
          <w:color w:val="000000"/>
          <w:sz w:val="22"/>
          <w:szCs w:val="22"/>
          <w:lang w:val="es-EC" w:eastAsia="es-EC" w:bidi="ar-SA"/>
        </w:rPr>
      </w:pPr>
    </w:p>
    <w:p w14:paraId="0B2AC997" w14:textId="77777777" w:rsidR="009102A7" w:rsidRPr="00576AF8" w:rsidRDefault="009102A7" w:rsidP="009102A7">
      <w:pPr>
        <w:ind w:left="708" w:right="41"/>
        <w:outlineLvl w:val="1"/>
        <w:rPr>
          <w:b/>
          <w:bCs/>
          <w:sz w:val="22"/>
          <w:szCs w:val="22"/>
        </w:rPr>
      </w:pPr>
      <w:bookmarkStart w:id="1091" w:name="_Toc454958725"/>
      <w:bookmarkStart w:id="1092" w:name="_Toc476310100"/>
      <w:bookmarkStart w:id="1093" w:name="_Toc482896429"/>
      <w:bookmarkStart w:id="1094" w:name="_Toc99868853"/>
      <w:bookmarkStart w:id="1095" w:name="_Toc160706913"/>
      <w:bookmarkStart w:id="1096" w:name="_Toc160707503"/>
      <w:bookmarkStart w:id="1097" w:name="_Toc160707760"/>
      <w:r w:rsidRPr="00576AF8">
        <w:rPr>
          <w:b/>
          <w:bCs/>
          <w:sz w:val="22"/>
          <w:szCs w:val="22"/>
        </w:rPr>
        <w:t>2.3</w:t>
      </w:r>
      <w:r w:rsidRPr="00576AF8">
        <w:rPr>
          <w:b/>
          <w:bCs/>
          <w:sz w:val="22"/>
          <w:szCs w:val="22"/>
        </w:rPr>
        <w:tab/>
        <w:t xml:space="preserve">Integración del </w:t>
      </w:r>
      <w:r w:rsidR="00031A14" w:rsidRPr="00576AF8">
        <w:rPr>
          <w:b/>
          <w:bCs/>
          <w:sz w:val="22"/>
          <w:szCs w:val="22"/>
        </w:rPr>
        <w:t>SCADA/EMS</w:t>
      </w:r>
      <w:r w:rsidRPr="00576AF8">
        <w:rPr>
          <w:b/>
          <w:bCs/>
          <w:sz w:val="22"/>
          <w:szCs w:val="22"/>
        </w:rPr>
        <w:t xml:space="preserve"> (a otros sistemas existentes)</w:t>
      </w:r>
      <w:bookmarkEnd w:id="1091"/>
      <w:bookmarkEnd w:id="1092"/>
      <w:bookmarkEnd w:id="1093"/>
      <w:bookmarkEnd w:id="1094"/>
      <w:bookmarkEnd w:id="1095"/>
      <w:bookmarkEnd w:id="1096"/>
      <w:bookmarkEnd w:id="1097"/>
    </w:p>
    <w:p w14:paraId="03845C55" w14:textId="77777777" w:rsidR="009102A7" w:rsidRPr="00576AF8" w:rsidRDefault="009102A7" w:rsidP="009102A7">
      <w:pPr>
        <w:ind w:left="720" w:hanging="720"/>
        <w:jc w:val="left"/>
        <w:outlineLvl w:val="2"/>
        <w:rPr>
          <w:b/>
          <w:sz w:val="22"/>
          <w:szCs w:val="22"/>
        </w:rPr>
      </w:pPr>
      <w:bookmarkStart w:id="1098" w:name="_Toc160706914"/>
      <w:bookmarkStart w:id="1099" w:name="_Toc160707189"/>
      <w:bookmarkStart w:id="1100" w:name="_Toc160707504"/>
      <w:bookmarkStart w:id="1101" w:name="_Toc160707703"/>
      <w:bookmarkStart w:id="1102" w:name="_Toc160707761"/>
      <w:bookmarkStart w:id="1103" w:name="_Toc163137314"/>
      <w:r w:rsidRPr="00576AF8">
        <w:rPr>
          <w:b/>
          <w:sz w:val="22"/>
          <w:szCs w:val="22"/>
        </w:rPr>
        <w:t>2.3.1</w:t>
      </w:r>
      <w:r w:rsidRPr="00576AF8">
        <w:rPr>
          <w:b/>
          <w:sz w:val="22"/>
          <w:szCs w:val="22"/>
        </w:rPr>
        <w:tab/>
        <w:t>El Proveedor DEBERÁ realizar los siguientes servicios de integración</w:t>
      </w:r>
      <w:bookmarkEnd w:id="1098"/>
      <w:bookmarkEnd w:id="1099"/>
      <w:bookmarkEnd w:id="1100"/>
      <w:bookmarkEnd w:id="1101"/>
      <w:bookmarkEnd w:id="1102"/>
      <w:bookmarkEnd w:id="1103"/>
      <w:r w:rsidRPr="00576AF8">
        <w:rPr>
          <w:b/>
          <w:sz w:val="22"/>
          <w:szCs w:val="22"/>
        </w:rPr>
        <w:t xml:space="preserve"> </w:t>
      </w:r>
    </w:p>
    <w:p w14:paraId="07D6DE62" w14:textId="77777777" w:rsidR="009102A7" w:rsidRPr="00576AF8" w:rsidRDefault="009102A7" w:rsidP="009102A7"/>
    <w:p w14:paraId="591DFD3D" w14:textId="77777777" w:rsidR="009102A7" w:rsidRPr="00576AF8" w:rsidRDefault="009102A7" w:rsidP="009102A7">
      <w:pPr>
        <w:ind w:left="1440" w:right="41" w:hanging="720"/>
        <w:rPr>
          <w:color w:val="000000"/>
          <w:sz w:val="22"/>
          <w:szCs w:val="22"/>
          <w:lang w:val="es-EC" w:eastAsia="es-EC" w:bidi="ar-SA"/>
        </w:rPr>
      </w:pPr>
      <w:r w:rsidRPr="00576AF8">
        <w:rPr>
          <w:color w:val="000000"/>
          <w:sz w:val="22"/>
          <w:szCs w:val="22"/>
          <w:lang w:val="es-EC" w:eastAsia="es-EC" w:bidi="ar-SA"/>
        </w:rPr>
        <w:t xml:space="preserve">El Proveedor DEBERÁ realizar el diseño, implementación y pruebas de la integración del </w:t>
      </w:r>
    </w:p>
    <w:p w14:paraId="6E88EA5E" w14:textId="77777777" w:rsidR="009102A7" w:rsidRPr="00576AF8" w:rsidRDefault="009102A7" w:rsidP="009102A7">
      <w:pPr>
        <w:ind w:left="1440" w:right="41" w:hanging="720"/>
        <w:rPr>
          <w:color w:val="000000"/>
          <w:sz w:val="22"/>
          <w:szCs w:val="22"/>
          <w:lang w:val="es-EC" w:eastAsia="es-EC" w:bidi="ar-SA"/>
        </w:rPr>
      </w:pPr>
      <w:r w:rsidRPr="00576AF8">
        <w:rPr>
          <w:color w:val="000000"/>
          <w:sz w:val="22"/>
          <w:szCs w:val="22"/>
          <w:lang w:val="es-EC" w:eastAsia="es-EC" w:bidi="ar-SA"/>
        </w:rPr>
        <w:t>nuevo SCADA/EMS con los siguientes sistemas:</w:t>
      </w:r>
    </w:p>
    <w:p w14:paraId="159416DB" w14:textId="77777777" w:rsidR="009102A7" w:rsidRPr="00576AF8" w:rsidRDefault="009102A7" w:rsidP="009102A7">
      <w:pPr>
        <w:ind w:left="1440" w:right="41" w:hanging="720"/>
        <w:rPr>
          <w:color w:val="000000"/>
          <w:sz w:val="22"/>
          <w:szCs w:val="22"/>
          <w:lang w:val="es-EC" w:eastAsia="es-EC" w:bidi="ar-SA"/>
        </w:rPr>
      </w:pPr>
    </w:p>
    <w:p w14:paraId="6D3D8907" w14:textId="77777777" w:rsidR="009102A7" w:rsidRPr="00576AF8" w:rsidRDefault="009102A7" w:rsidP="009102A7">
      <w:pPr>
        <w:ind w:left="720" w:hanging="720"/>
        <w:jc w:val="left"/>
        <w:outlineLvl w:val="2"/>
        <w:rPr>
          <w:b/>
          <w:sz w:val="22"/>
          <w:szCs w:val="22"/>
        </w:rPr>
      </w:pPr>
      <w:r w:rsidRPr="00576AF8">
        <w:rPr>
          <w:b/>
          <w:sz w:val="22"/>
          <w:szCs w:val="22"/>
        </w:rPr>
        <w:t>2.3.1.1 Integración con Sistema de Monitoreo de Área Extendida WAMS</w:t>
      </w:r>
    </w:p>
    <w:p w14:paraId="6CBEB798" w14:textId="77777777" w:rsidR="009102A7" w:rsidRPr="00576AF8" w:rsidRDefault="009102A7" w:rsidP="009102A7">
      <w:pPr>
        <w:suppressAutoHyphens w:val="0"/>
        <w:ind w:right="30" w:firstLine="705"/>
        <w:textAlignment w:val="baseline"/>
        <w:rPr>
          <w:b/>
          <w:sz w:val="22"/>
          <w:szCs w:val="22"/>
          <w:lang w:val="es-EC" w:eastAsia="es-EC" w:bidi="ar-SA"/>
        </w:rPr>
      </w:pPr>
      <w:r w:rsidRPr="00576AF8">
        <w:rPr>
          <w:b/>
          <w:bCs/>
          <w:sz w:val="22"/>
          <w:szCs w:val="22"/>
          <w:lang w:eastAsia="es-EC" w:bidi="ar-SA"/>
        </w:rPr>
        <w:t>Requerimientos Generales para Integración EMS – WAMS</w:t>
      </w:r>
      <w:r w:rsidRPr="00576AF8">
        <w:rPr>
          <w:b/>
          <w:sz w:val="22"/>
          <w:szCs w:val="22"/>
          <w:lang w:val="es-EC" w:eastAsia="es-EC" w:bidi="ar-SA"/>
        </w:rPr>
        <w:t> </w:t>
      </w:r>
    </w:p>
    <w:p w14:paraId="6B962B57" w14:textId="77777777" w:rsidR="009102A7" w:rsidRPr="00576AF8" w:rsidRDefault="009102A7" w:rsidP="009102A7">
      <w:pPr>
        <w:suppressAutoHyphens w:val="0"/>
        <w:spacing w:after="0"/>
        <w:ind w:left="705" w:right="-30"/>
        <w:textAlignment w:val="baseline"/>
        <w:rPr>
          <w:sz w:val="22"/>
          <w:szCs w:val="22"/>
          <w:lang w:val="es-EC" w:eastAsia="es-EC" w:bidi="ar-SA"/>
        </w:rPr>
      </w:pPr>
      <w:r w:rsidRPr="00576AF8">
        <w:rPr>
          <w:sz w:val="22"/>
          <w:szCs w:val="22"/>
          <w:lang w:val="es-VE" w:eastAsia="es-EC" w:bidi="ar-SA"/>
        </w:rPr>
        <w:t>El Proveedor debe considerar los siguientes requerimientos generales:</w:t>
      </w:r>
      <w:r w:rsidRPr="00576AF8">
        <w:rPr>
          <w:sz w:val="22"/>
          <w:szCs w:val="22"/>
          <w:lang w:val="es-EC" w:eastAsia="es-EC" w:bidi="ar-SA"/>
        </w:rPr>
        <w:t> </w:t>
      </w:r>
    </w:p>
    <w:p w14:paraId="7B09A2CF" w14:textId="77777777" w:rsidR="009102A7" w:rsidRPr="00576AF8" w:rsidRDefault="009102A7" w:rsidP="009102A7">
      <w:pPr>
        <w:numPr>
          <w:ilvl w:val="0"/>
          <w:numId w:val="358"/>
        </w:numPr>
        <w:suppressAutoHyphens w:val="0"/>
        <w:spacing w:before="100" w:beforeAutospacing="1" w:after="100" w:afterAutospacing="1"/>
        <w:ind w:left="1418" w:hanging="252"/>
        <w:textAlignment w:val="baseline"/>
        <w:rPr>
          <w:sz w:val="22"/>
          <w:szCs w:val="22"/>
          <w:lang w:val="es-EC" w:eastAsia="es-EC" w:bidi="ar-SA"/>
        </w:rPr>
      </w:pPr>
      <w:r w:rsidRPr="00576AF8">
        <w:rPr>
          <w:color w:val="000000"/>
          <w:sz w:val="22"/>
          <w:szCs w:val="22"/>
          <w:lang w:val="es-VE" w:eastAsia="es-EC" w:bidi="ar-SA"/>
        </w:rPr>
        <w:t>Alta capacidad de integración con sistemas OT como WAMS.</w:t>
      </w:r>
      <w:r w:rsidRPr="00576AF8">
        <w:rPr>
          <w:color w:val="000000"/>
          <w:sz w:val="22"/>
          <w:szCs w:val="22"/>
          <w:lang w:val="es-EC" w:eastAsia="es-EC" w:bidi="ar-SA"/>
        </w:rPr>
        <w:t> </w:t>
      </w:r>
    </w:p>
    <w:p w14:paraId="3BB7E94B" w14:textId="77777777" w:rsidR="009102A7" w:rsidRPr="00576AF8" w:rsidRDefault="009102A7" w:rsidP="009102A7">
      <w:pPr>
        <w:numPr>
          <w:ilvl w:val="0"/>
          <w:numId w:val="358"/>
        </w:numPr>
        <w:suppressAutoHyphens w:val="0"/>
        <w:spacing w:before="100" w:beforeAutospacing="1" w:after="100" w:afterAutospacing="1"/>
        <w:ind w:left="1418" w:hanging="252"/>
        <w:textAlignment w:val="baseline"/>
        <w:rPr>
          <w:sz w:val="22"/>
          <w:szCs w:val="22"/>
          <w:lang w:val="es-EC" w:eastAsia="es-EC" w:bidi="ar-SA"/>
        </w:rPr>
      </w:pPr>
      <w:r w:rsidRPr="00576AF8">
        <w:rPr>
          <w:color w:val="000000"/>
          <w:sz w:val="22"/>
          <w:szCs w:val="22"/>
          <w:lang w:val="es-VE" w:eastAsia="es-EC" w:bidi="ar-SA"/>
        </w:rPr>
        <w:t>Capacidad de intercambiar información con sistemas de tiempo real, cumpliendo con los niveles de seguridad del estándar de la industria.</w:t>
      </w:r>
      <w:r w:rsidRPr="00576AF8">
        <w:rPr>
          <w:color w:val="000000"/>
          <w:sz w:val="22"/>
          <w:szCs w:val="22"/>
          <w:lang w:val="es-EC" w:eastAsia="es-EC" w:bidi="ar-SA"/>
        </w:rPr>
        <w:t> </w:t>
      </w:r>
    </w:p>
    <w:p w14:paraId="197DB319" w14:textId="77777777" w:rsidR="009102A7" w:rsidRPr="00576AF8" w:rsidRDefault="009102A7" w:rsidP="009102A7">
      <w:pPr>
        <w:suppressAutoHyphens w:val="0"/>
        <w:ind w:left="1440" w:right="30" w:hanging="720"/>
        <w:textAlignment w:val="baseline"/>
        <w:rPr>
          <w:b/>
          <w:sz w:val="22"/>
          <w:szCs w:val="22"/>
          <w:lang w:val="es-EC" w:eastAsia="es-EC" w:bidi="ar-SA"/>
        </w:rPr>
      </w:pPr>
      <w:r w:rsidRPr="00576AF8">
        <w:rPr>
          <w:b/>
          <w:bCs/>
          <w:sz w:val="22"/>
          <w:szCs w:val="22"/>
          <w:lang w:eastAsia="es-EC" w:bidi="ar-SA"/>
        </w:rPr>
        <w:lastRenderedPageBreak/>
        <w:t>Monitoreo de Red con Información WAMS</w:t>
      </w:r>
      <w:r w:rsidRPr="00576AF8">
        <w:rPr>
          <w:b/>
          <w:sz w:val="22"/>
          <w:szCs w:val="22"/>
          <w:lang w:val="es-EC" w:eastAsia="es-EC" w:bidi="ar-SA"/>
        </w:rPr>
        <w:t> </w:t>
      </w:r>
    </w:p>
    <w:p w14:paraId="064C7930" w14:textId="77777777" w:rsidR="009102A7" w:rsidRPr="00576AF8" w:rsidRDefault="009102A7" w:rsidP="009102A7">
      <w:pPr>
        <w:suppressAutoHyphens w:val="0"/>
        <w:spacing w:before="100" w:beforeAutospacing="1" w:after="0" w:afterAutospacing="1"/>
        <w:ind w:left="705" w:right="-30"/>
        <w:jc w:val="left"/>
        <w:textAlignment w:val="baseline"/>
        <w:rPr>
          <w:sz w:val="22"/>
          <w:szCs w:val="22"/>
          <w:lang w:val="es-EC" w:eastAsia="es-EC" w:bidi="ar-SA"/>
        </w:rPr>
      </w:pPr>
      <w:r w:rsidRPr="00576AF8">
        <w:rPr>
          <w:sz w:val="22"/>
          <w:szCs w:val="22"/>
          <w:lang w:val="es-VE" w:eastAsia="es-EC" w:bidi="ar-SA"/>
        </w:rPr>
        <w:t>El sistema SCADA/EMS considerará la fuente de información de WAMS mediante</w:t>
      </w:r>
      <w:r w:rsidRPr="00576AF8">
        <w:rPr>
          <w:color w:val="000000"/>
          <w:sz w:val="22"/>
          <w:szCs w:val="22"/>
          <w:lang w:val="es-VE" w:eastAsia="es-EC" w:bidi="ar-SA"/>
        </w:rPr>
        <w:t xml:space="preserve"> conexión con el PDC Central WAMS de CENACE usando el protocolo C37.118.2-2011</w:t>
      </w:r>
      <w:r w:rsidRPr="00576AF8">
        <w:rPr>
          <w:color w:val="000000"/>
          <w:sz w:val="22"/>
          <w:szCs w:val="22"/>
          <w:lang w:val="es-EC" w:eastAsia="es-EC" w:bidi="ar-SA"/>
        </w:rPr>
        <w:t>.</w:t>
      </w:r>
    </w:p>
    <w:p w14:paraId="3ED1D545" w14:textId="77777777" w:rsidR="009102A7" w:rsidRPr="00576AF8" w:rsidRDefault="009102A7" w:rsidP="009102A7">
      <w:pPr>
        <w:numPr>
          <w:ilvl w:val="0"/>
          <w:numId w:val="360"/>
        </w:numPr>
        <w:suppressAutoHyphens w:val="0"/>
        <w:spacing w:before="100" w:beforeAutospacing="1" w:after="100" w:afterAutospacing="1"/>
        <w:textAlignment w:val="baseline"/>
        <w:rPr>
          <w:sz w:val="22"/>
          <w:szCs w:val="22"/>
          <w:lang w:val="es-EC" w:eastAsia="es-EC" w:bidi="ar-SA"/>
        </w:rPr>
      </w:pPr>
      <w:r w:rsidRPr="00576AF8">
        <w:rPr>
          <w:color w:val="000000"/>
          <w:sz w:val="22"/>
          <w:szCs w:val="22"/>
          <w:lang w:val="es-VE" w:eastAsia="es-EC" w:bidi="ar-SA"/>
        </w:rPr>
        <w:t>El SCADA/EMS integrará en su función de monitoreo de red, la información proveniente del sistema WAMS que se lista en esta sección.  Esta información integrada desde los WAMS podrá alimentar a las aplicaciones EMS (Estimador de Estado), para mejorar la precisión y tomar las decisiones apropiadas en la operación en tiempo real del sistema eléctrico ecuatoriano.</w:t>
      </w:r>
      <w:r w:rsidRPr="00576AF8">
        <w:rPr>
          <w:color w:val="000000"/>
          <w:sz w:val="22"/>
          <w:szCs w:val="22"/>
          <w:lang w:val="es-EC" w:eastAsia="es-EC" w:bidi="ar-SA"/>
        </w:rPr>
        <w:t> </w:t>
      </w:r>
    </w:p>
    <w:p w14:paraId="12EF7FB3" w14:textId="77777777" w:rsidR="009102A7" w:rsidRPr="00576AF8" w:rsidRDefault="009102A7" w:rsidP="009102A7">
      <w:pPr>
        <w:numPr>
          <w:ilvl w:val="0"/>
          <w:numId w:val="360"/>
        </w:numPr>
        <w:suppressAutoHyphens w:val="0"/>
        <w:spacing w:before="100" w:beforeAutospacing="1" w:after="100" w:afterAutospacing="1"/>
        <w:textAlignment w:val="baseline"/>
        <w:rPr>
          <w:sz w:val="22"/>
          <w:szCs w:val="22"/>
          <w:lang w:val="es-EC" w:eastAsia="es-EC" w:bidi="ar-SA"/>
        </w:rPr>
      </w:pPr>
      <w:r w:rsidRPr="00576AF8">
        <w:rPr>
          <w:color w:val="000000"/>
          <w:sz w:val="22"/>
          <w:szCs w:val="22"/>
          <w:lang w:val="es-VE" w:eastAsia="es-EC" w:bidi="ar-SA"/>
        </w:rPr>
        <w:t>Esta funcionalidad será adaptada a los requerimientos técnicos determinados por el CENACE, en términos del tamaño del SEP, número de PMUs instaladas actualmente y en el futuro, sistemas de comunicación actuales y futuros, así como la funcionalidad y desempeño de las aplicaciones del EMS.</w:t>
      </w:r>
      <w:r w:rsidRPr="00576AF8">
        <w:rPr>
          <w:color w:val="000000"/>
          <w:sz w:val="22"/>
          <w:szCs w:val="22"/>
          <w:lang w:val="es-EC" w:eastAsia="es-EC" w:bidi="ar-SA"/>
        </w:rPr>
        <w:t> </w:t>
      </w:r>
    </w:p>
    <w:p w14:paraId="0902C262" w14:textId="77777777" w:rsidR="009102A7" w:rsidRPr="00576AF8" w:rsidRDefault="009102A7" w:rsidP="009102A7">
      <w:pPr>
        <w:suppressAutoHyphens w:val="0"/>
        <w:ind w:left="1440" w:right="30" w:hanging="720"/>
        <w:textAlignment w:val="baseline"/>
        <w:rPr>
          <w:b/>
          <w:sz w:val="22"/>
          <w:szCs w:val="22"/>
          <w:lang w:val="es-EC" w:eastAsia="es-EC" w:bidi="ar-SA"/>
        </w:rPr>
      </w:pPr>
      <w:r w:rsidRPr="00576AF8">
        <w:rPr>
          <w:b/>
          <w:bCs/>
          <w:sz w:val="22"/>
          <w:szCs w:val="22"/>
          <w:lang w:eastAsia="es-EC" w:bidi="ar-SA"/>
        </w:rPr>
        <w:t>Adquisición de Mediciones Sincrofasoriales</w:t>
      </w:r>
      <w:r w:rsidRPr="00576AF8">
        <w:rPr>
          <w:b/>
          <w:sz w:val="22"/>
          <w:szCs w:val="22"/>
          <w:lang w:val="es-EC" w:eastAsia="es-EC" w:bidi="ar-SA"/>
        </w:rPr>
        <w:t> </w:t>
      </w:r>
    </w:p>
    <w:p w14:paraId="49E7E099" w14:textId="77777777" w:rsidR="009102A7" w:rsidRPr="00576AF8" w:rsidRDefault="009102A7" w:rsidP="009102A7">
      <w:pPr>
        <w:numPr>
          <w:ilvl w:val="0"/>
          <w:numId w:val="361"/>
        </w:numPr>
        <w:suppressAutoHyphens w:val="0"/>
        <w:spacing w:before="120" w:after="0"/>
        <w:ind w:right="-30"/>
        <w:textAlignment w:val="baseline"/>
        <w:rPr>
          <w:sz w:val="22"/>
          <w:szCs w:val="22"/>
          <w:lang w:val="es-EC" w:eastAsia="es-EC" w:bidi="ar-SA"/>
        </w:rPr>
      </w:pPr>
      <w:r w:rsidRPr="00576AF8">
        <w:rPr>
          <w:color w:val="000000"/>
          <w:sz w:val="22"/>
          <w:szCs w:val="22"/>
          <w:lang w:val="es-VE" w:eastAsia="es-EC" w:bidi="ar-SA"/>
        </w:rPr>
        <w:t>El Proveedor implementará la integración de la información del sistema WAMS de CENACE en el nuevo SCADA/EMS con una resolución de adquisición de datos de al menos un (1) segundo.</w:t>
      </w:r>
      <w:r w:rsidRPr="00576AF8">
        <w:rPr>
          <w:color w:val="000000"/>
          <w:sz w:val="22"/>
          <w:szCs w:val="22"/>
          <w:lang w:val="es-EC" w:eastAsia="es-EC" w:bidi="ar-SA"/>
        </w:rPr>
        <w:t> </w:t>
      </w:r>
    </w:p>
    <w:p w14:paraId="5FA033DC" w14:textId="77777777" w:rsidR="009102A7" w:rsidRPr="00576AF8" w:rsidRDefault="009102A7" w:rsidP="009102A7">
      <w:pPr>
        <w:numPr>
          <w:ilvl w:val="0"/>
          <w:numId w:val="361"/>
        </w:numPr>
        <w:suppressAutoHyphens w:val="0"/>
        <w:spacing w:before="120" w:after="0"/>
        <w:ind w:right="-30"/>
        <w:textAlignment w:val="baseline"/>
        <w:rPr>
          <w:color w:val="000000"/>
          <w:szCs w:val="24"/>
          <w:lang w:val="es-VE" w:eastAsia="es-EC" w:bidi="ar-SA"/>
        </w:rPr>
      </w:pPr>
      <w:r w:rsidRPr="00576AF8">
        <w:rPr>
          <w:color w:val="000000"/>
          <w:sz w:val="22"/>
          <w:szCs w:val="22"/>
          <w:lang w:val="es-VE" w:eastAsia="es-EC" w:bidi="ar-SA"/>
        </w:rPr>
        <w:t xml:space="preserve">El sistema del proveedor permitirá la conexión y adquisición de datos sincrofasoriales utilizando el protocolo de comunicaciones IEEE C37.118.2 versión 2011.  Si el Proveedor no dispone de este protocolo, será aceptable un equipo gateway que permita la conversión del protocolo IEEE C37.118.2 al protocolo IEC-870-5-104 u otro tipo de protocolo estándar que sea compatible con el sistema SCADA/EMS.  La capacidad de procesamiento del sistema debe considerar la conexión de al menos </w:t>
      </w:r>
      <w:r w:rsidR="00923D08" w:rsidRPr="00576AF8">
        <w:rPr>
          <w:color w:val="000000"/>
          <w:sz w:val="22"/>
          <w:szCs w:val="22"/>
          <w:lang w:val="es-VE" w:eastAsia="es-EC" w:bidi="ar-SA"/>
        </w:rPr>
        <w:t xml:space="preserve">5 </w:t>
      </w:r>
      <w:r w:rsidRPr="00576AF8">
        <w:rPr>
          <w:color w:val="000000"/>
          <w:sz w:val="22"/>
          <w:szCs w:val="22"/>
          <w:lang w:val="es-VE" w:eastAsia="es-EC" w:bidi="ar-SA"/>
        </w:rPr>
        <w:t xml:space="preserve">PDCs con una tasa de adquisición de datos de una muestra por segundo (1 s), considerando que el sistema WAMS de CENACE es redundante y puede conmutar automáticamente entre PDCs centrales, estos servidores podrán enviar información de hasta 200 PMUs, para actualizar los puntos de la base de datos en tiempo real principalmente para mejorar los resultados y la calidad del Estimador de Estado. </w:t>
      </w:r>
    </w:p>
    <w:p w14:paraId="1FF25671" w14:textId="77777777" w:rsidR="009102A7" w:rsidRPr="00576AF8" w:rsidRDefault="009102A7" w:rsidP="009102A7">
      <w:pPr>
        <w:numPr>
          <w:ilvl w:val="0"/>
          <w:numId w:val="361"/>
        </w:numPr>
        <w:suppressAutoHyphens w:val="0"/>
        <w:spacing w:before="120" w:after="0"/>
        <w:ind w:right="-30"/>
        <w:textAlignment w:val="baseline"/>
        <w:rPr>
          <w:color w:val="000000"/>
          <w:szCs w:val="24"/>
          <w:lang w:val="es-VE" w:eastAsia="es-EC" w:bidi="ar-SA"/>
        </w:rPr>
      </w:pPr>
      <w:r w:rsidRPr="00576AF8">
        <w:rPr>
          <w:color w:val="000000"/>
          <w:sz w:val="22"/>
          <w:szCs w:val="22"/>
          <w:lang w:val="es-VE" w:eastAsia="es-EC" w:bidi="ar-SA"/>
        </w:rPr>
        <w:t>La información que deberá ser integrada desde el sistema WAMS al SCADA/EMS se lista a continuación: </w:t>
      </w:r>
      <w:r w:rsidRPr="00576AF8">
        <w:rPr>
          <w:szCs w:val="24"/>
          <w:lang w:val="es-VE" w:eastAsia="es-EC" w:bidi="ar-SA"/>
        </w:rPr>
        <w:t> </w:t>
      </w:r>
    </w:p>
    <w:p w14:paraId="2EEAE686" w14:textId="77777777" w:rsidR="009102A7" w:rsidRPr="00576AF8" w:rsidRDefault="009102A7" w:rsidP="009102A7">
      <w:pPr>
        <w:numPr>
          <w:ilvl w:val="0"/>
          <w:numId w:val="360"/>
        </w:numPr>
        <w:suppressAutoHyphens w:val="0"/>
        <w:spacing w:before="100" w:beforeAutospacing="1" w:after="100" w:afterAutospacing="1"/>
        <w:textAlignment w:val="baseline"/>
        <w:rPr>
          <w:color w:val="000000"/>
          <w:szCs w:val="24"/>
          <w:lang w:val="es-VE" w:eastAsia="es-EC" w:bidi="ar-SA"/>
        </w:rPr>
      </w:pPr>
      <w:r w:rsidRPr="00576AF8">
        <w:rPr>
          <w:color w:val="000000"/>
          <w:sz w:val="22"/>
          <w:szCs w:val="22"/>
          <w:lang w:val="es-VE" w:eastAsia="es-EC" w:bidi="ar-SA"/>
        </w:rPr>
        <w:t>Fasores de voltaje (Va, Vb, Vc): mediciones fasoriales complejas de las magnitudes de voltaje y los ángulos de las tres fases A, B, C.</w:t>
      </w:r>
      <w:r w:rsidRPr="00576AF8">
        <w:rPr>
          <w:szCs w:val="24"/>
          <w:lang w:val="es-VE" w:eastAsia="es-EC" w:bidi="ar-SA"/>
        </w:rPr>
        <w:t> </w:t>
      </w:r>
    </w:p>
    <w:p w14:paraId="049A625F" w14:textId="77777777" w:rsidR="009102A7" w:rsidRPr="00576AF8" w:rsidRDefault="009102A7" w:rsidP="009102A7">
      <w:pPr>
        <w:numPr>
          <w:ilvl w:val="0"/>
          <w:numId w:val="360"/>
        </w:numPr>
        <w:suppressAutoHyphens w:val="0"/>
        <w:spacing w:before="100" w:beforeAutospacing="1" w:after="100" w:afterAutospacing="1"/>
        <w:textAlignment w:val="baseline"/>
        <w:rPr>
          <w:color w:val="000000"/>
          <w:szCs w:val="24"/>
          <w:lang w:val="es-VE" w:eastAsia="es-EC" w:bidi="ar-SA"/>
        </w:rPr>
      </w:pPr>
      <w:r w:rsidRPr="00576AF8">
        <w:rPr>
          <w:color w:val="000000"/>
          <w:sz w:val="22"/>
          <w:szCs w:val="22"/>
          <w:lang w:val="es-VE" w:eastAsia="es-EC" w:bidi="ar-SA"/>
        </w:rPr>
        <w:t>Fasores de corriente (Ia, Ib, Ic): mediciones fasoriales complejas de las magnitudes y ángulos de corriente de las tres fases A, B, C.</w:t>
      </w:r>
      <w:r w:rsidRPr="00576AF8">
        <w:rPr>
          <w:szCs w:val="24"/>
          <w:lang w:val="es-VE" w:eastAsia="es-EC" w:bidi="ar-SA"/>
        </w:rPr>
        <w:t> </w:t>
      </w:r>
    </w:p>
    <w:p w14:paraId="31BC9920" w14:textId="77777777" w:rsidR="00622675" w:rsidRPr="00576AF8" w:rsidRDefault="00622675" w:rsidP="009102A7">
      <w:pPr>
        <w:numPr>
          <w:ilvl w:val="0"/>
          <w:numId w:val="360"/>
        </w:numPr>
        <w:suppressAutoHyphens w:val="0"/>
        <w:spacing w:before="100" w:beforeAutospacing="1" w:after="100" w:afterAutospacing="1"/>
        <w:textAlignment w:val="baseline"/>
        <w:rPr>
          <w:color w:val="000000"/>
          <w:sz w:val="22"/>
          <w:szCs w:val="22"/>
          <w:lang w:val="es-VE" w:eastAsia="es-EC" w:bidi="ar-SA"/>
        </w:rPr>
      </w:pPr>
      <w:r w:rsidRPr="00576AF8">
        <w:rPr>
          <w:color w:val="000000"/>
          <w:sz w:val="22"/>
          <w:szCs w:val="22"/>
          <w:lang w:val="es-VE" w:eastAsia="es-EC" w:bidi="ar-SA"/>
        </w:rPr>
        <w:t xml:space="preserve">Componentes de secuencia positiva, negativa y cero </w:t>
      </w:r>
    </w:p>
    <w:p w14:paraId="2B4B2676" w14:textId="77777777" w:rsidR="009102A7" w:rsidRPr="00576AF8" w:rsidRDefault="009102A7" w:rsidP="009102A7">
      <w:pPr>
        <w:numPr>
          <w:ilvl w:val="0"/>
          <w:numId w:val="360"/>
        </w:numPr>
        <w:suppressAutoHyphens w:val="0"/>
        <w:spacing w:before="100" w:beforeAutospacing="1" w:after="100" w:afterAutospacing="1"/>
        <w:textAlignment w:val="baseline"/>
        <w:rPr>
          <w:color w:val="000000"/>
          <w:szCs w:val="24"/>
          <w:lang w:val="es-VE" w:eastAsia="es-EC" w:bidi="ar-SA"/>
        </w:rPr>
      </w:pPr>
      <w:r w:rsidRPr="00576AF8">
        <w:rPr>
          <w:color w:val="000000"/>
          <w:sz w:val="22"/>
          <w:szCs w:val="22"/>
          <w:lang w:val="es-VE" w:eastAsia="es-EC" w:bidi="ar-SA"/>
        </w:rPr>
        <w:t>Frecuencia (f): frecuencia del sistema.</w:t>
      </w:r>
      <w:r w:rsidRPr="00576AF8">
        <w:rPr>
          <w:szCs w:val="24"/>
          <w:lang w:val="es-VE" w:eastAsia="es-EC" w:bidi="ar-SA"/>
        </w:rPr>
        <w:t> </w:t>
      </w:r>
    </w:p>
    <w:p w14:paraId="7D0F3B6E" w14:textId="77777777" w:rsidR="009102A7" w:rsidRPr="00576AF8" w:rsidRDefault="009102A7" w:rsidP="009102A7">
      <w:pPr>
        <w:numPr>
          <w:ilvl w:val="0"/>
          <w:numId w:val="360"/>
        </w:numPr>
        <w:suppressAutoHyphens w:val="0"/>
        <w:spacing w:before="100" w:beforeAutospacing="1" w:after="100" w:afterAutospacing="1"/>
        <w:textAlignment w:val="baseline"/>
        <w:rPr>
          <w:color w:val="000000"/>
          <w:sz w:val="22"/>
          <w:szCs w:val="22"/>
          <w:lang w:val="es-VE" w:eastAsia="es-EC" w:bidi="ar-SA"/>
        </w:rPr>
      </w:pPr>
      <w:r w:rsidRPr="00576AF8">
        <w:rPr>
          <w:color w:val="000000"/>
          <w:sz w:val="22"/>
          <w:szCs w:val="22"/>
          <w:lang w:val="es-VE" w:eastAsia="es-EC" w:bidi="ar-SA"/>
        </w:rPr>
        <w:t>Potencia activa, reactiva y aparente.</w:t>
      </w:r>
      <w:r w:rsidRPr="00576AF8">
        <w:rPr>
          <w:szCs w:val="24"/>
          <w:lang w:val="es-VE" w:eastAsia="es-EC" w:bidi="ar-SA"/>
        </w:rPr>
        <w:t> </w:t>
      </w:r>
    </w:p>
    <w:p w14:paraId="4C67DE80" w14:textId="77777777" w:rsidR="009102A7" w:rsidRPr="00576AF8" w:rsidRDefault="009102A7" w:rsidP="009102A7">
      <w:pPr>
        <w:numPr>
          <w:ilvl w:val="0"/>
          <w:numId w:val="360"/>
        </w:numPr>
        <w:suppressAutoHyphens w:val="0"/>
        <w:spacing w:before="100" w:beforeAutospacing="1" w:after="100" w:afterAutospacing="1"/>
        <w:textAlignment w:val="baseline"/>
        <w:rPr>
          <w:color w:val="000000"/>
          <w:szCs w:val="24"/>
          <w:lang w:val="es-VE" w:eastAsia="es-EC" w:bidi="ar-SA"/>
        </w:rPr>
      </w:pPr>
      <w:r w:rsidRPr="00576AF8">
        <w:rPr>
          <w:color w:val="000000"/>
          <w:sz w:val="22"/>
          <w:szCs w:val="22"/>
          <w:lang w:val="es-VE" w:eastAsia="es-EC" w:bidi="ar-SA"/>
        </w:rPr>
        <w:t>Información de estado: señales de estado que indican el estado operativo y de salud del propio dispositivo, así como el estado de sincronización de tiempo con los GPSs</w:t>
      </w:r>
      <w:r w:rsidRPr="00576AF8">
        <w:rPr>
          <w:szCs w:val="24"/>
          <w:lang w:val="es-VE" w:eastAsia="es-EC" w:bidi="ar-SA"/>
        </w:rPr>
        <w:t> </w:t>
      </w:r>
    </w:p>
    <w:p w14:paraId="47CFB1EF" w14:textId="77777777" w:rsidR="009102A7" w:rsidRPr="00576AF8" w:rsidRDefault="009102A7" w:rsidP="009102A7">
      <w:pPr>
        <w:numPr>
          <w:ilvl w:val="0"/>
          <w:numId w:val="360"/>
        </w:numPr>
        <w:suppressAutoHyphens w:val="0"/>
        <w:spacing w:before="100" w:beforeAutospacing="1" w:after="100" w:afterAutospacing="1"/>
        <w:textAlignment w:val="baseline"/>
        <w:rPr>
          <w:color w:val="000000"/>
          <w:szCs w:val="24"/>
          <w:lang w:val="es-VE" w:eastAsia="es-EC" w:bidi="ar-SA"/>
        </w:rPr>
      </w:pPr>
      <w:r w:rsidRPr="00576AF8">
        <w:rPr>
          <w:color w:val="000000"/>
          <w:sz w:val="22"/>
          <w:szCs w:val="22"/>
          <w:lang w:val="es-VE" w:eastAsia="es-EC" w:bidi="ar-SA"/>
        </w:rPr>
        <w:t>Adquisición de Eventos y Alarmas provenientes del sistema WAMS de CENACE, de la misma forma como se adquieren señales digitales de Alarmas en un SCADA tradicional, o mediante un método provisto por el Proveedor.</w:t>
      </w:r>
      <w:r w:rsidRPr="00576AF8">
        <w:rPr>
          <w:szCs w:val="24"/>
          <w:lang w:val="es-VE" w:eastAsia="es-EC" w:bidi="ar-SA"/>
        </w:rPr>
        <w:t> </w:t>
      </w:r>
    </w:p>
    <w:p w14:paraId="05EA0B13" w14:textId="77777777" w:rsidR="009102A7" w:rsidRPr="00576AF8" w:rsidRDefault="009102A7" w:rsidP="009102A7">
      <w:pPr>
        <w:suppressAutoHyphens w:val="0"/>
        <w:spacing w:after="0"/>
        <w:ind w:right="-30" w:firstLine="708"/>
        <w:textAlignment w:val="baseline"/>
        <w:rPr>
          <w:b/>
          <w:sz w:val="22"/>
          <w:szCs w:val="22"/>
          <w:lang w:val="es-EC" w:eastAsia="es-EC" w:bidi="ar-SA"/>
        </w:rPr>
      </w:pPr>
      <w:r w:rsidRPr="00576AF8">
        <w:rPr>
          <w:b/>
          <w:bCs/>
          <w:sz w:val="22"/>
          <w:szCs w:val="22"/>
          <w:lang w:eastAsia="es-EC" w:bidi="ar-SA"/>
        </w:rPr>
        <w:t>Integración del SCADA/EMS con el sistema WAMS</w:t>
      </w:r>
      <w:r w:rsidRPr="00576AF8">
        <w:rPr>
          <w:b/>
          <w:sz w:val="22"/>
          <w:szCs w:val="22"/>
          <w:lang w:val="es-EC" w:eastAsia="es-EC" w:bidi="ar-SA"/>
        </w:rPr>
        <w:t> </w:t>
      </w:r>
    </w:p>
    <w:p w14:paraId="7EB784EE" w14:textId="77777777" w:rsidR="009102A7" w:rsidRPr="00576AF8" w:rsidRDefault="009102A7" w:rsidP="009102A7">
      <w:pPr>
        <w:numPr>
          <w:ilvl w:val="3"/>
          <w:numId w:val="269"/>
        </w:numPr>
        <w:suppressAutoHyphens w:val="0"/>
        <w:spacing w:before="100" w:beforeAutospacing="1" w:after="100" w:afterAutospacing="1"/>
        <w:textAlignment w:val="baseline"/>
        <w:rPr>
          <w:sz w:val="22"/>
          <w:szCs w:val="22"/>
          <w:lang w:val="es-EC" w:eastAsia="es-EC" w:bidi="ar-SA"/>
        </w:rPr>
      </w:pPr>
      <w:r w:rsidRPr="00576AF8">
        <w:rPr>
          <w:b/>
          <w:bCs/>
          <w:sz w:val="22"/>
          <w:szCs w:val="22"/>
          <w:lang w:eastAsia="es-EC" w:bidi="ar-SA"/>
        </w:rPr>
        <w:t>Flujo de información desde el sistema WAMS hacia el SCADA/EMS</w:t>
      </w:r>
    </w:p>
    <w:p w14:paraId="6173A508" w14:textId="77777777" w:rsidR="009102A7" w:rsidRPr="00576AF8" w:rsidRDefault="009102A7" w:rsidP="009102A7">
      <w:pPr>
        <w:numPr>
          <w:ilvl w:val="4"/>
          <w:numId w:val="269"/>
        </w:numPr>
        <w:suppressAutoHyphens w:val="0"/>
        <w:spacing w:before="100" w:beforeAutospacing="1" w:after="100" w:afterAutospacing="1"/>
        <w:ind w:left="1985" w:hanging="567"/>
        <w:textAlignment w:val="baseline"/>
        <w:rPr>
          <w:sz w:val="22"/>
          <w:szCs w:val="22"/>
          <w:lang w:val="es-EC" w:eastAsia="es-EC" w:bidi="ar-SA"/>
        </w:rPr>
      </w:pPr>
      <w:r w:rsidRPr="00576AF8">
        <w:rPr>
          <w:color w:val="000000"/>
          <w:sz w:val="22"/>
          <w:szCs w:val="22"/>
          <w:lang w:val="es-VE" w:eastAsia="es-EC" w:bidi="ar-SA"/>
        </w:rPr>
        <w:lastRenderedPageBreak/>
        <w:t>El Proveedor realizará la propuesta para la integración de información del sistema SCADA/EMS con el sistema WAMS con el protocolo:</w:t>
      </w:r>
      <w:r w:rsidRPr="00576AF8">
        <w:rPr>
          <w:color w:val="000000"/>
          <w:sz w:val="22"/>
          <w:szCs w:val="22"/>
          <w:lang w:val="es-EC" w:eastAsia="es-EC" w:bidi="ar-SA"/>
        </w:rPr>
        <w:t> </w:t>
      </w:r>
    </w:p>
    <w:p w14:paraId="2C8F0670" w14:textId="77777777" w:rsidR="009102A7" w:rsidRPr="00576AF8" w:rsidRDefault="009102A7" w:rsidP="009102A7">
      <w:pPr>
        <w:numPr>
          <w:ilvl w:val="0"/>
          <w:numId w:val="359"/>
        </w:numPr>
        <w:suppressAutoHyphens w:val="0"/>
        <w:spacing w:before="100" w:beforeAutospacing="1" w:after="100" w:afterAutospacing="1"/>
        <w:ind w:left="2410" w:hanging="425"/>
        <w:textAlignment w:val="baseline"/>
        <w:rPr>
          <w:sz w:val="22"/>
          <w:szCs w:val="22"/>
          <w:lang w:val="es-EC" w:eastAsia="es-EC" w:bidi="ar-SA"/>
        </w:rPr>
      </w:pPr>
      <w:r w:rsidRPr="00576AF8">
        <w:rPr>
          <w:color w:val="000000"/>
          <w:sz w:val="22"/>
          <w:szCs w:val="22"/>
          <w:lang w:val="es-VE" w:eastAsia="es-EC" w:bidi="ar-SA"/>
        </w:rPr>
        <w:t>IEEE C37.118</w:t>
      </w:r>
      <w:r w:rsidRPr="00576AF8">
        <w:rPr>
          <w:color w:val="000000"/>
          <w:sz w:val="22"/>
          <w:szCs w:val="22"/>
          <w:lang w:val="es-EC" w:eastAsia="es-EC" w:bidi="ar-SA"/>
        </w:rPr>
        <w:t> </w:t>
      </w:r>
    </w:p>
    <w:p w14:paraId="05F6CB10" w14:textId="77777777" w:rsidR="009102A7" w:rsidRPr="00576AF8" w:rsidRDefault="009102A7" w:rsidP="009102A7">
      <w:pPr>
        <w:suppressAutoHyphens w:val="0"/>
        <w:spacing w:before="100" w:beforeAutospacing="1" w:after="100" w:afterAutospacing="1"/>
        <w:ind w:firstLine="708"/>
        <w:textAlignment w:val="baseline"/>
        <w:rPr>
          <w:sz w:val="22"/>
          <w:szCs w:val="22"/>
          <w:lang w:val="es-EC" w:eastAsia="es-EC" w:bidi="ar-SA"/>
        </w:rPr>
      </w:pPr>
      <w:r w:rsidRPr="00576AF8">
        <w:rPr>
          <w:b/>
          <w:bCs/>
          <w:sz w:val="22"/>
          <w:szCs w:val="22"/>
          <w:lang w:eastAsia="es-EC" w:bidi="ar-SA"/>
        </w:rPr>
        <w:t>Flujo de información desde el sistema SCADA/EMS hacia el WAMS</w:t>
      </w:r>
    </w:p>
    <w:p w14:paraId="67D8C627" w14:textId="77777777" w:rsidR="009102A7" w:rsidRPr="00576AF8" w:rsidRDefault="009102A7" w:rsidP="009102A7">
      <w:pPr>
        <w:numPr>
          <w:ilvl w:val="3"/>
          <w:numId w:val="269"/>
        </w:numPr>
        <w:suppressAutoHyphens w:val="0"/>
        <w:spacing w:before="100" w:beforeAutospacing="1" w:after="100" w:afterAutospacing="1"/>
        <w:textAlignment w:val="baseline"/>
        <w:rPr>
          <w:sz w:val="22"/>
          <w:szCs w:val="22"/>
          <w:lang w:val="es-EC" w:eastAsia="es-EC" w:bidi="ar-SA"/>
        </w:rPr>
      </w:pPr>
      <w:r w:rsidRPr="00576AF8">
        <w:rPr>
          <w:color w:val="000000"/>
          <w:sz w:val="22"/>
          <w:szCs w:val="22"/>
          <w:lang w:val="es-VE" w:eastAsia="es-EC" w:bidi="ar-SA"/>
        </w:rPr>
        <w:t>El Proveedor realizará la propuesta para la integración de información disponible del sistema SCADA/EMS incluyendo los resultados de las funciones de análisis de red y de control de generación con el sistema WAMS que podría incluir una o todas las opciones que se listan a continuación:</w:t>
      </w:r>
      <w:r w:rsidRPr="00576AF8">
        <w:rPr>
          <w:color w:val="000000"/>
          <w:sz w:val="22"/>
          <w:szCs w:val="22"/>
          <w:lang w:val="es-EC" w:eastAsia="es-EC" w:bidi="ar-SA"/>
        </w:rPr>
        <w:t> </w:t>
      </w:r>
    </w:p>
    <w:p w14:paraId="0236BFDB" w14:textId="77777777" w:rsidR="009102A7" w:rsidRPr="00576AF8" w:rsidRDefault="009102A7" w:rsidP="009102A7">
      <w:pPr>
        <w:numPr>
          <w:ilvl w:val="0"/>
          <w:numId w:val="359"/>
        </w:numPr>
        <w:suppressAutoHyphens w:val="0"/>
        <w:spacing w:before="100" w:beforeAutospacing="1" w:after="100" w:afterAutospacing="1"/>
        <w:ind w:left="2127"/>
        <w:textAlignment w:val="baseline"/>
        <w:rPr>
          <w:sz w:val="22"/>
          <w:szCs w:val="22"/>
          <w:lang w:val="es-EC" w:eastAsia="es-EC" w:bidi="ar-SA"/>
        </w:rPr>
      </w:pPr>
      <w:r w:rsidRPr="00576AF8">
        <w:rPr>
          <w:color w:val="000000"/>
          <w:sz w:val="22"/>
          <w:szCs w:val="22"/>
          <w:lang w:val="es-VE" w:eastAsia="es-EC" w:bidi="ar-SA"/>
        </w:rPr>
        <w:t>IEC 60870-5-104</w:t>
      </w:r>
      <w:r w:rsidRPr="00576AF8">
        <w:rPr>
          <w:color w:val="000000"/>
          <w:sz w:val="22"/>
          <w:szCs w:val="22"/>
          <w:lang w:val="es-EC" w:eastAsia="es-EC" w:bidi="ar-SA"/>
        </w:rPr>
        <w:t> </w:t>
      </w:r>
    </w:p>
    <w:p w14:paraId="096AE770" w14:textId="77777777" w:rsidR="009102A7" w:rsidRPr="00576AF8" w:rsidRDefault="009102A7" w:rsidP="009102A7">
      <w:pPr>
        <w:numPr>
          <w:ilvl w:val="0"/>
          <w:numId w:val="359"/>
        </w:numPr>
        <w:suppressAutoHyphens w:val="0"/>
        <w:spacing w:before="100" w:beforeAutospacing="1" w:after="100" w:afterAutospacing="1"/>
        <w:ind w:left="2127"/>
        <w:textAlignment w:val="baseline"/>
        <w:rPr>
          <w:sz w:val="22"/>
          <w:szCs w:val="22"/>
          <w:lang w:val="es-EC" w:eastAsia="es-EC" w:bidi="ar-SA"/>
        </w:rPr>
      </w:pPr>
      <w:r w:rsidRPr="00576AF8">
        <w:rPr>
          <w:color w:val="000000"/>
          <w:sz w:val="22"/>
          <w:szCs w:val="22"/>
          <w:lang w:val="es-VE" w:eastAsia="es-EC" w:bidi="ar-SA"/>
        </w:rPr>
        <w:t>DNP 3.0</w:t>
      </w:r>
      <w:r w:rsidRPr="00576AF8">
        <w:rPr>
          <w:color w:val="000000"/>
          <w:sz w:val="22"/>
          <w:szCs w:val="22"/>
          <w:lang w:val="es-EC" w:eastAsia="es-EC" w:bidi="ar-SA"/>
        </w:rPr>
        <w:t> </w:t>
      </w:r>
    </w:p>
    <w:p w14:paraId="653D73FA" w14:textId="77777777" w:rsidR="009102A7" w:rsidRPr="00576AF8" w:rsidRDefault="009102A7" w:rsidP="009102A7">
      <w:pPr>
        <w:numPr>
          <w:ilvl w:val="0"/>
          <w:numId w:val="359"/>
        </w:numPr>
        <w:suppressAutoHyphens w:val="0"/>
        <w:spacing w:before="100" w:beforeAutospacing="1" w:after="100" w:afterAutospacing="1"/>
        <w:ind w:left="2127"/>
        <w:textAlignment w:val="baseline"/>
        <w:rPr>
          <w:sz w:val="22"/>
          <w:szCs w:val="22"/>
          <w:lang w:val="es-EC" w:eastAsia="es-EC" w:bidi="ar-SA"/>
        </w:rPr>
      </w:pPr>
      <w:r w:rsidRPr="00576AF8">
        <w:rPr>
          <w:color w:val="000000"/>
          <w:sz w:val="22"/>
          <w:szCs w:val="22"/>
          <w:lang w:val="es-VE" w:eastAsia="es-EC" w:bidi="ar-SA"/>
        </w:rPr>
        <w:t>ICCP TASE2</w:t>
      </w:r>
      <w:r w:rsidRPr="00576AF8">
        <w:rPr>
          <w:color w:val="000000"/>
          <w:sz w:val="22"/>
          <w:szCs w:val="22"/>
          <w:lang w:val="es-EC" w:eastAsia="es-EC" w:bidi="ar-SA"/>
        </w:rPr>
        <w:t> </w:t>
      </w:r>
    </w:p>
    <w:p w14:paraId="019728D0" w14:textId="77777777" w:rsidR="009102A7" w:rsidRPr="00576AF8" w:rsidRDefault="009102A7" w:rsidP="009102A7">
      <w:pPr>
        <w:numPr>
          <w:ilvl w:val="0"/>
          <w:numId w:val="359"/>
        </w:numPr>
        <w:suppressAutoHyphens w:val="0"/>
        <w:spacing w:before="100" w:beforeAutospacing="1" w:after="100" w:afterAutospacing="1"/>
        <w:ind w:left="2127"/>
        <w:textAlignment w:val="baseline"/>
        <w:rPr>
          <w:sz w:val="22"/>
          <w:szCs w:val="22"/>
          <w:lang w:val="es-EC" w:eastAsia="es-EC" w:bidi="ar-SA"/>
        </w:rPr>
      </w:pPr>
      <w:r w:rsidRPr="00576AF8">
        <w:rPr>
          <w:color w:val="000000"/>
          <w:sz w:val="22"/>
          <w:szCs w:val="22"/>
          <w:lang w:val="es-VE" w:eastAsia="es-EC" w:bidi="ar-SA"/>
        </w:rPr>
        <w:t>OPC client/server</w:t>
      </w:r>
      <w:r w:rsidRPr="00576AF8">
        <w:rPr>
          <w:color w:val="000000"/>
          <w:sz w:val="22"/>
          <w:szCs w:val="22"/>
          <w:lang w:val="es-EC" w:eastAsia="es-EC" w:bidi="ar-SA"/>
        </w:rPr>
        <w:t> </w:t>
      </w:r>
    </w:p>
    <w:p w14:paraId="1F056671" w14:textId="77777777" w:rsidR="009102A7" w:rsidRPr="00576AF8" w:rsidRDefault="009102A7" w:rsidP="009102A7">
      <w:pPr>
        <w:spacing w:after="0" w:line="360" w:lineRule="auto"/>
        <w:ind w:left="708" w:right="-20"/>
        <w:rPr>
          <w:sz w:val="22"/>
          <w:szCs w:val="22"/>
          <w:lang w:val="es-VE"/>
        </w:rPr>
      </w:pPr>
      <w:r w:rsidRPr="00576AF8">
        <w:rPr>
          <w:sz w:val="22"/>
          <w:szCs w:val="22"/>
          <w:lang w:val="es-VE"/>
        </w:rPr>
        <w:t xml:space="preserve">El detalle de estos protocolos se presenta en el Tabla </w:t>
      </w:r>
      <w:r w:rsidR="00045A2B" w:rsidRPr="00576AF8">
        <w:rPr>
          <w:sz w:val="22"/>
          <w:szCs w:val="22"/>
          <w:lang w:val="es-VE"/>
        </w:rPr>
        <w:t>9</w:t>
      </w:r>
      <w:r w:rsidRPr="00576AF8">
        <w:rPr>
          <w:sz w:val="22"/>
          <w:szCs w:val="22"/>
          <w:lang w:val="es-VE"/>
        </w:rPr>
        <w:t>. Protocolos de Comunicación requeridos para WAMS de este documento.</w:t>
      </w:r>
    </w:p>
    <w:p w14:paraId="2D37BD58" w14:textId="77777777" w:rsidR="009102A7" w:rsidRPr="00576AF8" w:rsidRDefault="009102A7" w:rsidP="009102A7">
      <w:pPr>
        <w:ind w:right="41"/>
        <w:rPr>
          <w:sz w:val="22"/>
          <w:szCs w:val="22"/>
        </w:rPr>
      </w:pPr>
    </w:p>
    <w:p w14:paraId="4E67921A" w14:textId="77777777" w:rsidR="009102A7" w:rsidRPr="00576AF8" w:rsidRDefault="009102A7" w:rsidP="009102A7">
      <w:pPr>
        <w:ind w:left="720" w:hanging="720"/>
        <w:jc w:val="left"/>
        <w:outlineLvl w:val="2"/>
        <w:rPr>
          <w:b/>
          <w:i/>
          <w:color w:val="4472C4"/>
          <w:sz w:val="22"/>
          <w:szCs w:val="22"/>
        </w:rPr>
      </w:pPr>
      <w:r w:rsidRPr="00576AF8">
        <w:rPr>
          <w:b/>
          <w:sz w:val="22"/>
          <w:szCs w:val="22"/>
        </w:rPr>
        <w:t>2.3.1.2 Integración con sistemas de gestión empresarial ("BMS")</w:t>
      </w:r>
    </w:p>
    <w:p w14:paraId="765CC952" w14:textId="322014FB" w:rsidR="009102A7" w:rsidRPr="00576AF8" w:rsidRDefault="009102A7" w:rsidP="009102A7">
      <w:pPr>
        <w:spacing w:after="0" w:line="360" w:lineRule="auto"/>
        <w:ind w:left="708" w:right="-20"/>
        <w:rPr>
          <w:rFonts w:eastAsia="Arial"/>
          <w:sz w:val="22"/>
          <w:szCs w:val="22"/>
          <w:lang w:val="es-VE"/>
        </w:rPr>
      </w:pPr>
      <w:r w:rsidRPr="00576AF8">
        <w:rPr>
          <w:rFonts w:eastAsia="Arial"/>
          <w:sz w:val="22"/>
          <w:szCs w:val="22"/>
          <w:lang w:val="es-VE"/>
        </w:rPr>
        <w:t xml:space="preserve">El Proveedor proveerá una solución para el intercambio de datos con sistemas corporativos externos mediante </w:t>
      </w:r>
      <w:r w:rsidR="00D23071">
        <w:rPr>
          <w:rFonts w:eastAsia="Arial"/>
          <w:sz w:val="22"/>
          <w:szCs w:val="22"/>
          <w:lang w:val="es-VE"/>
        </w:rPr>
        <w:t xml:space="preserve">cualquiera de </w:t>
      </w:r>
      <w:r w:rsidRPr="00576AF8">
        <w:rPr>
          <w:rFonts w:eastAsia="Arial"/>
          <w:sz w:val="22"/>
          <w:szCs w:val="22"/>
          <w:lang w:val="es-VE"/>
        </w:rPr>
        <w:t>los siguientes métodos o equivalentes:</w:t>
      </w:r>
    </w:p>
    <w:p w14:paraId="60A43716" w14:textId="77777777" w:rsidR="009102A7" w:rsidRPr="00576AF8" w:rsidRDefault="009102A7" w:rsidP="009102A7">
      <w:pPr>
        <w:numPr>
          <w:ilvl w:val="0"/>
          <w:numId w:val="376"/>
        </w:numPr>
        <w:spacing w:before="120" w:after="0" w:line="360" w:lineRule="auto"/>
        <w:ind w:right="-20"/>
        <w:contextualSpacing/>
        <w:rPr>
          <w:rFonts w:eastAsia="Arial"/>
          <w:color w:val="000000"/>
          <w:sz w:val="22"/>
          <w:szCs w:val="22"/>
          <w:lang w:val="es-VE"/>
        </w:rPr>
      </w:pPr>
      <w:r w:rsidRPr="00576AF8">
        <w:rPr>
          <w:rFonts w:eastAsia="Arial"/>
          <w:color w:val="000000"/>
          <w:sz w:val="22"/>
          <w:szCs w:val="22"/>
          <w:lang w:val="es-VE"/>
        </w:rPr>
        <w:t>Librerías API propietarias del Proveedor con posibilidad de su uso al menos en C# y Python.</w:t>
      </w:r>
    </w:p>
    <w:p w14:paraId="16E24134" w14:textId="77777777" w:rsidR="009102A7" w:rsidRPr="00576AF8" w:rsidRDefault="009102A7" w:rsidP="009102A7">
      <w:pPr>
        <w:numPr>
          <w:ilvl w:val="0"/>
          <w:numId w:val="376"/>
        </w:numPr>
        <w:spacing w:before="120" w:after="0" w:line="360" w:lineRule="auto"/>
        <w:ind w:right="-20"/>
        <w:contextualSpacing/>
        <w:rPr>
          <w:rFonts w:eastAsia="Arial"/>
          <w:color w:val="000000"/>
          <w:sz w:val="22"/>
          <w:szCs w:val="22"/>
          <w:lang w:val="es-VE"/>
        </w:rPr>
      </w:pPr>
      <w:r w:rsidRPr="00576AF8">
        <w:rPr>
          <w:rFonts w:eastAsia="Arial"/>
          <w:color w:val="000000"/>
          <w:sz w:val="22"/>
          <w:szCs w:val="22"/>
          <w:lang w:val="es-VE"/>
        </w:rPr>
        <w:t>Intercambio de archivos XML o CSV con las facilidades para realizar funciones previas de extracción y transformación (ETL)</w:t>
      </w:r>
    </w:p>
    <w:p w14:paraId="00EC2530" w14:textId="77777777" w:rsidR="009102A7" w:rsidRPr="00576AF8" w:rsidRDefault="009102A7" w:rsidP="009102A7">
      <w:pPr>
        <w:numPr>
          <w:ilvl w:val="0"/>
          <w:numId w:val="376"/>
        </w:numPr>
        <w:spacing w:before="120" w:after="0" w:line="360" w:lineRule="auto"/>
        <w:ind w:right="-20"/>
        <w:contextualSpacing/>
        <w:rPr>
          <w:rFonts w:eastAsia="Arial"/>
          <w:color w:val="000000"/>
          <w:sz w:val="22"/>
          <w:szCs w:val="22"/>
          <w:lang w:val="es-VE"/>
        </w:rPr>
      </w:pPr>
      <w:r w:rsidRPr="00576AF8">
        <w:rPr>
          <w:rFonts w:eastAsia="Arial"/>
          <w:color w:val="000000"/>
          <w:sz w:val="22"/>
          <w:szCs w:val="22"/>
          <w:lang w:val="es-VE"/>
        </w:rPr>
        <w:t>Conexiones ODBC y JDBC con los servidores réplica en tiempo real y servidores históricos.</w:t>
      </w:r>
    </w:p>
    <w:p w14:paraId="7E5B45E0" w14:textId="77777777" w:rsidR="009102A7" w:rsidRPr="00576AF8" w:rsidRDefault="009102A7" w:rsidP="009102A7">
      <w:pPr>
        <w:numPr>
          <w:ilvl w:val="0"/>
          <w:numId w:val="376"/>
        </w:numPr>
        <w:spacing w:before="120" w:after="0" w:line="360" w:lineRule="auto"/>
        <w:ind w:right="-20"/>
        <w:contextualSpacing/>
        <w:rPr>
          <w:rFonts w:eastAsia="Arial"/>
          <w:color w:val="000000"/>
          <w:sz w:val="22"/>
          <w:szCs w:val="22"/>
          <w:lang w:val="es-VE"/>
        </w:rPr>
      </w:pPr>
      <w:r w:rsidRPr="00576AF8">
        <w:rPr>
          <w:rFonts w:eastAsia="Arial"/>
          <w:color w:val="000000"/>
          <w:sz w:val="22"/>
          <w:szCs w:val="22"/>
          <w:lang w:val="es-VE"/>
        </w:rPr>
        <w:t>Servicios Web (WEB Services) mediante funciones API REST con soporte de métodos POST y GET en formato JSON con las siguientes capacidades:</w:t>
      </w:r>
    </w:p>
    <w:p w14:paraId="0E949F5C" w14:textId="77777777" w:rsidR="009102A7" w:rsidRPr="00576AF8" w:rsidRDefault="009102A7" w:rsidP="009102A7">
      <w:pPr>
        <w:numPr>
          <w:ilvl w:val="0"/>
          <w:numId w:val="168"/>
        </w:numPr>
        <w:spacing w:before="120" w:after="0" w:line="360" w:lineRule="auto"/>
        <w:ind w:left="2552" w:right="-20" w:hanging="283"/>
        <w:contextualSpacing/>
        <w:rPr>
          <w:rFonts w:eastAsia="Arial"/>
          <w:color w:val="000000"/>
          <w:sz w:val="22"/>
          <w:szCs w:val="22"/>
          <w:lang w:val="es-VE"/>
        </w:rPr>
      </w:pPr>
      <w:r w:rsidRPr="00576AF8">
        <w:rPr>
          <w:rFonts w:eastAsia="Arial"/>
          <w:color w:val="000000"/>
          <w:sz w:val="22"/>
          <w:szCs w:val="22"/>
          <w:lang w:val="es-VE"/>
        </w:rPr>
        <w:t>Autenticación delegada al servidor de Dominio (LDAP)</w:t>
      </w:r>
    </w:p>
    <w:p w14:paraId="76B24A89" w14:textId="77777777" w:rsidR="009102A7" w:rsidRPr="00576AF8" w:rsidRDefault="009102A7" w:rsidP="009102A7">
      <w:pPr>
        <w:numPr>
          <w:ilvl w:val="0"/>
          <w:numId w:val="168"/>
        </w:numPr>
        <w:spacing w:before="120" w:after="0" w:line="360" w:lineRule="auto"/>
        <w:ind w:left="2552" w:right="-20" w:hanging="283"/>
        <w:contextualSpacing/>
        <w:rPr>
          <w:rFonts w:eastAsia="Arial"/>
          <w:color w:val="000000"/>
          <w:sz w:val="22"/>
          <w:szCs w:val="22"/>
          <w:lang w:val="es-VE"/>
        </w:rPr>
      </w:pPr>
      <w:r w:rsidRPr="00576AF8">
        <w:rPr>
          <w:rFonts w:eastAsia="Arial"/>
          <w:color w:val="000000"/>
          <w:sz w:val="22"/>
          <w:szCs w:val="22"/>
          <w:lang w:val="es-VE"/>
        </w:rPr>
        <w:t>Cifrado</w:t>
      </w:r>
    </w:p>
    <w:p w14:paraId="30E259DD" w14:textId="77777777" w:rsidR="009102A7" w:rsidRPr="00576AF8" w:rsidRDefault="009102A7" w:rsidP="009102A7">
      <w:pPr>
        <w:numPr>
          <w:ilvl w:val="0"/>
          <w:numId w:val="168"/>
        </w:numPr>
        <w:spacing w:before="120" w:after="0" w:line="360" w:lineRule="auto"/>
        <w:ind w:left="2552" w:right="-20" w:hanging="283"/>
        <w:contextualSpacing/>
        <w:rPr>
          <w:rFonts w:eastAsia="Arial"/>
          <w:color w:val="000000"/>
          <w:sz w:val="22"/>
          <w:szCs w:val="22"/>
          <w:lang w:val="es-VE"/>
        </w:rPr>
      </w:pPr>
      <w:r w:rsidRPr="00576AF8">
        <w:rPr>
          <w:rFonts w:eastAsia="Arial"/>
          <w:color w:val="000000"/>
          <w:sz w:val="22"/>
          <w:szCs w:val="22"/>
          <w:lang w:val="es-VE"/>
        </w:rPr>
        <w:t>Descarga de información:</w:t>
      </w:r>
    </w:p>
    <w:p w14:paraId="769E42EE" w14:textId="77777777" w:rsidR="009102A7" w:rsidRPr="00576AF8" w:rsidRDefault="009102A7" w:rsidP="009102A7">
      <w:pPr>
        <w:numPr>
          <w:ilvl w:val="5"/>
          <w:numId w:val="377"/>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en tiempo real (RTDB)</w:t>
      </w:r>
    </w:p>
    <w:p w14:paraId="307AA7E3" w14:textId="77777777" w:rsidR="009102A7" w:rsidRPr="00576AF8" w:rsidRDefault="009102A7" w:rsidP="009102A7">
      <w:pPr>
        <w:numPr>
          <w:ilvl w:val="5"/>
          <w:numId w:val="377"/>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Contenido de cualquier tabla de tiempo real o de aplicaciones de generación o transmisión en modo estudio.</w:t>
      </w:r>
    </w:p>
    <w:p w14:paraId="6C877A04" w14:textId="77777777" w:rsidR="009102A7" w:rsidRPr="00576AF8" w:rsidRDefault="009102A7" w:rsidP="009102A7">
      <w:pPr>
        <w:numPr>
          <w:ilvl w:val="5"/>
          <w:numId w:val="377"/>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Alarmas y Eventos del Sistema</w:t>
      </w:r>
    </w:p>
    <w:p w14:paraId="2460E164" w14:textId="77777777" w:rsidR="009102A7" w:rsidRPr="00576AF8" w:rsidRDefault="009102A7" w:rsidP="009102A7">
      <w:pPr>
        <w:numPr>
          <w:ilvl w:val="5"/>
          <w:numId w:val="377"/>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Históricos</w:t>
      </w:r>
    </w:p>
    <w:p w14:paraId="33B38F92" w14:textId="77777777" w:rsidR="009102A7" w:rsidRPr="00576AF8" w:rsidRDefault="009102A7" w:rsidP="009102A7">
      <w:pPr>
        <w:numPr>
          <w:ilvl w:val="5"/>
          <w:numId w:val="377"/>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de Ingeniería</w:t>
      </w:r>
    </w:p>
    <w:p w14:paraId="0A97B081" w14:textId="77777777" w:rsidR="009102A7" w:rsidRPr="00576AF8" w:rsidRDefault="009102A7" w:rsidP="009102A7">
      <w:pPr>
        <w:numPr>
          <w:ilvl w:val="5"/>
          <w:numId w:val="377"/>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lastRenderedPageBreak/>
        <w:t>Extracción de archivos XML del modelo CIM de la red y resultados de las funciones de aplicación de generación o transmisión.</w:t>
      </w:r>
    </w:p>
    <w:p w14:paraId="785AFDE1" w14:textId="77777777" w:rsidR="009102A7" w:rsidRPr="00576AF8" w:rsidRDefault="009102A7" w:rsidP="009102A7">
      <w:pPr>
        <w:numPr>
          <w:ilvl w:val="0"/>
          <w:numId w:val="168"/>
        </w:numPr>
        <w:spacing w:before="120" w:after="0" w:line="360" w:lineRule="auto"/>
        <w:ind w:left="2552" w:right="-20" w:hanging="284"/>
        <w:contextualSpacing/>
        <w:rPr>
          <w:rFonts w:eastAsia="Arial"/>
          <w:color w:val="000000"/>
          <w:sz w:val="22"/>
          <w:szCs w:val="22"/>
          <w:lang w:val="es-VE"/>
        </w:rPr>
      </w:pPr>
      <w:r w:rsidRPr="00576AF8">
        <w:rPr>
          <w:rFonts w:eastAsia="Arial"/>
          <w:color w:val="000000"/>
          <w:sz w:val="22"/>
          <w:szCs w:val="22"/>
          <w:lang w:val="es-VE"/>
        </w:rPr>
        <w:t>Carga de información:</w:t>
      </w:r>
    </w:p>
    <w:p w14:paraId="55CAA9B5" w14:textId="77777777" w:rsidR="009102A7" w:rsidRPr="00576AF8" w:rsidRDefault="009102A7" w:rsidP="009102A7">
      <w:pPr>
        <w:numPr>
          <w:ilvl w:val="5"/>
          <w:numId w:val="378"/>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Programación de Generación</w:t>
      </w:r>
    </w:p>
    <w:p w14:paraId="5ADD6017" w14:textId="77777777" w:rsidR="009102A7" w:rsidRPr="00576AF8" w:rsidRDefault="009102A7" w:rsidP="009102A7">
      <w:pPr>
        <w:numPr>
          <w:ilvl w:val="5"/>
          <w:numId w:val="378"/>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Programación de Intercambios</w:t>
      </w:r>
    </w:p>
    <w:p w14:paraId="79BC3C4D" w14:textId="77777777" w:rsidR="009102A7" w:rsidRPr="00576AF8" w:rsidRDefault="009102A7" w:rsidP="009102A7">
      <w:pPr>
        <w:numPr>
          <w:ilvl w:val="5"/>
          <w:numId w:val="378"/>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en tiempo real de fuentes externas</w:t>
      </w:r>
    </w:p>
    <w:p w14:paraId="45625008" w14:textId="77777777" w:rsidR="009102A7" w:rsidRPr="00576AF8" w:rsidRDefault="009102A7" w:rsidP="009102A7">
      <w:pPr>
        <w:numPr>
          <w:ilvl w:val="5"/>
          <w:numId w:val="378"/>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históricos de fuentes externas</w:t>
      </w:r>
    </w:p>
    <w:p w14:paraId="67A518B2" w14:textId="77777777" w:rsidR="009102A7" w:rsidRPr="00576AF8" w:rsidRDefault="009102A7" w:rsidP="009102A7">
      <w:pPr>
        <w:numPr>
          <w:ilvl w:val="5"/>
          <w:numId w:val="378"/>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de Pronósticos de demanda</w:t>
      </w:r>
    </w:p>
    <w:p w14:paraId="43B1640B" w14:textId="77777777" w:rsidR="009102A7" w:rsidRPr="00576AF8" w:rsidRDefault="009102A7" w:rsidP="009102A7">
      <w:pPr>
        <w:numPr>
          <w:ilvl w:val="5"/>
          <w:numId w:val="378"/>
        </w:numPr>
        <w:spacing w:before="120" w:after="0" w:line="360" w:lineRule="auto"/>
        <w:ind w:left="3119" w:right="-20" w:hanging="425"/>
        <w:contextualSpacing/>
        <w:rPr>
          <w:rFonts w:eastAsia="Arial"/>
          <w:color w:val="000000"/>
          <w:sz w:val="22"/>
          <w:szCs w:val="22"/>
          <w:lang w:val="es-VE"/>
        </w:rPr>
      </w:pPr>
      <w:r w:rsidRPr="00576AF8">
        <w:rPr>
          <w:rFonts w:eastAsia="Arial"/>
          <w:color w:val="000000"/>
          <w:sz w:val="22"/>
          <w:szCs w:val="22"/>
          <w:lang w:val="es-VE"/>
        </w:rPr>
        <w:t>Datos de Pronósticos de Energías Renovables</w:t>
      </w:r>
    </w:p>
    <w:p w14:paraId="0757CBBF" w14:textId="77777777" w:rsidR="009102A7" w:rsidRPr="00576AF8" w:rsidRDefault="009102A7" w:rsidP="009102A7">
      <w:pPr>
        <w:numPr>
          <w:ilvl w:val="0"/>
          <w:numId w:val="376"/>
        </w:numPr>
        <w:spacing w:before="120" w:after="0" w:line="360" w:lineRule="auto"/>
        <w:ind w:right="-20"/>
        <w:contextualSpacing/>
        <w:rPr>
          <w:rFonts w:eastAsia="Arial"/>
          <w:color w:val="000000"/>
          <w:sz w:val="22"/>
          <w:szCs w:val="22"/>
          <w:lang w:val="es-VE"/>
        </w:rPr>
      </w:pPr>
      <w:r w:rsidRPr="00576AF8">
        <w:rPr>
          <w:rFonts w:eastAsia="Arial"/>
          <w:color w:val="000000"/>
          <w:sz w:val="22"/>
          <w:szCs w:val="22"/>
          <w:lang w:val="es-VE"/>
        </w:rPr>
        <w:t>Dentro de esta categoría el CENACE realizará integraciones con los siguientes sistemas:</w:t>
      </w:r>
    </w:p>
    <w:p w14:paraId="4E301861" w14:textId="77777777" w:rsidR="009102A7" w:rsidRPr="00576AF8" w:rsidRDefault="009102A7" w:rsidP="009102A7">
      <w:pPr>
        <w:numPr>
          <w:ilvl w:val="0"/>
          <w:numId w:val="168"/>
        </w:numPr>
        <w:spacing w:before="120" w:after="0" w:line="360" w:lineRule="auto"/>
        <w:ind w:left="2552" w:right="-20" w:hanging="284"/>
        <w:contextualSpacing/>
        <w:rPr>
          <w:rFonts w:eastAsia="Arial"/>
          <w:color w:val="000000"/>
          <w:sz w:val="22"/>
          <w:szCs w:val="22"/>
          <w:lang w:val="es-VE"/>
        </w:rPr>
      </w:pPr>
      <w:r w:rsidRPr="00576AF8">
        <w:rPr>
          <w:rFonts w:eastAsia="Arial"/>
          <w:color w:val="000000"/>
          <w:sz w:val="22"/>
          <w:szCs w:val="22"/>
          <w:lang w:val="es-VE"/>
        </w:rPr>
        <w:t>Sistema de Medición Comercial (SIMEC)</w:t>
      </w:r>
    </w:p>
    <w:p w14:paraId="262431B5" w14:textId="77777777" w:rsidR="009102A7" w:rsidRPr="00576AF8" w:rsidRDefault="009102A7" w:rsidP="009102A7">
      <w:pPr>
        <w:numPr>
          <w:ilvl w:val="0"/>
          <w:numId w:val="168"/>
        </w:numPr>
        <w:spacing w:before="120" w:after="0" w:line="360" w:lineRule="auto"/>
        <w:ind w:left="2552" w:right="-20" w:hanging="284"/>
        <w:contextualSpacing/>
        <w:rPr>
          <w:rFonts w:eastAsia="Arial"/>
          <w:color w:val="000000"/>
          <w:sz w:val="22"/>
          <w:szCs w:val="22"/>
          <w:lang w:val="es-VE"/>
        </w:rPr>
      </w:pPr>
      <w:r w:rsidRPr="00576AF8">
        <w:rPr>
          <w:rFonts w:eastAsia="Arial"/>
          <w:color w:val="000000"/>
          <w:sz w:val="22"/>
          <w:szCs w:val="22"/>
          <w:lang w:val="es-VE"/>
        </w:rPr>
        <w:t>Sistema de Información del Mercado Eléctrico Mayorista (SIMEM)</w:t>
      </w:r>
    </w:p>
    <w:p w14:paraId="5593B8E1" w14:textId="77777777" w:rsidR="009102A7" w:rsidRPr="00576AF8" w:rsidRDefault="009102A7" w:rsidP="009102A7">
      <w:pPr>
        <w:numPr>
          <w:ilvl w:val="0"/>
          <w:numId w:val="168"/>
        </w:numPr>
        <w:spacing w:before="120" w:after="0" w:line="360" w:lineRule="auto"/>
        <w:ind w:left="2552" w:right="-20" w:hanging="284"/>
        <w:contextualSpacing/>
        <w:rPr>
          <w:rFonts w:eastAsia="Arial"/>
          <w:color w:val="000000"/>
          <w:sz w:val="22"/>
          <w:szCs w:val="22"/>
          <w:lang w:val="es-VE"/>
        </w:rPr>
      </w:pPr>
      <w:r w:rsidRPr="00576AF8">
        <w:rPr>
          <w:rFonts w:eastAsia="Arial"/>
          <w:color w:val="000000"/>
          <w:sz w:val="22"/>
          <w:szCs w:val="22"/>
          <w:lang w:val="es-VE"/>
        </w:rPr>
        <w:t>Sistema de Planeamiento Energético (ePSR)</w:t>
      </w:r>
    </w:p>
    <w:p w14:paraId="1F287E8F" w14:textId="77777777" w:rsidR="009102A7" w:rsidRPr="00576AF8" w:rsidRDefault="009102A7" w:rsidP="009102A7">
      <w:pPr>
        <w:ind w:left="1440" w:right="41" w:hanging="720"/>
        <w:rPr>
          <w:sz w:val="22"/>
          <w:szCs w:val="22"/>
        </w:rPr>
      </w:pPr>
    </w:p>
    <w:p w14:paraId="6F8C0039" w14:textId="77777777" w:rsidR="009102A7" w:rsidRPr="00576AF8" w:rsidRDefault="009102A7" w:rsidP="009102A7">
      <w:pPr>
        <w:ind w:left="720" w:hanging="720"/>
        <w:jc w:val="left"/>
        <w:outlineLvl w:val="2"/>
        <w:rPr>
          <w:b/>
          <w:i/>
          <w:color w:val="4472C4"/>
          <w:sz w:val="22"/>
          <w:szCs w:val="22"/>
        </w:rPr>
      </w:pPr>
      <w:r w:rsidRPr="00576AF8">
        <w:rPr>
          <w:b/>
          <w:sz w:val="22"/>
          <w:szCs w:val="22"/>
        </w:rPr>
        <w:t>2.3.1.3 Integración con simuladores en tiempo real</w:t>
      </w:r>
    </w:p>
    <w:p w14:paraId="68F18776" w14:textId="77777777" w:rsidR="009102A7" w:rsidRPr="00576AF8" w:rsidRDefault="009102A7" w:rsidP="009102A7">
      <w:pPr>
        <w:ind w:left="1440" w:right="41" w:hanging="720"/>
        <w:rPr>
          <w:b/>
          <w:sz w:val="22"/>
          <w:szCs w:val="22"/>
        </w:rPr>
      </w:pPr>
      <w:r w:rsidRPr="00576AF8">
        <w:rPr>
          <w:b/>
          <w:sz w:val="22"/>
          <w:szCs w:val="22"/>
        </w:rPr>
        <w:t>Simulador Digital en Tiempo Real Opal-RT de CENACE</w:t>
      </w:r>
    </w:p>
    <w:p w14:paraId="14E6A458" w14:textId="77777777" w:rsidR="009102A7" w:rsidRPr="00576AF8" w:rsidRDefault="009102A7" w:rsidP="009102A7">
      <w:pPr>
        <w:spacing w:after="0"/>
        <w:ind w:left="705" w:right="-30"/>
        <w:textAlignment w:val="baseline"/>
        <w:rPr>
          <w:sz w:val="22"/>
          <w:szCs w:val="22"/>
          <w:lang w:eastAsia="es-EC"/>
        </w:rPr>
      </w:pPr>
      <w:r w:rsidRPr="00576AF8">
        <w:rPr>
          <w:sz w:val="22"/>
          <w:szCs w:val="22"/>
          <w:lang w:val="es-VE" w:eastAsia="es-EC"/>
        </w:rPr>
        <w:t>Opal-RT ha desarrollado herramientas para brindar soluciones en la simulación digital en tiempo real. La tecnología de Opal-RT integra herramientas de computación en paralelo y distribuido, lo cual le ha permitido desarrollar una serie de simuladores para diferentes aplicaciones.</w:t>
      </w:r>
      <w:r w:rsidRPr="00576AF8">
        <w:rPr>
          <w:sz w:val="22"/>
          <w:szCs w:val="22"/>
          <w:lang w:eastAsia="es-EC"/>
        </w:rPr>
        <w:t> </w:t>
      </w:r>
    </w:p>
    <w:p w14:paraId="6F3B7BB6" w14:textId="77777777" w:rsidR="009102A7" w:rsidRPr="00576AF8" w:rsidRDefault="009102A7" w:rsidP="009102A7">
      <w:pPr>
        <w:spacing w:after="0"/>
        <w:ind w:left="705" w:right="-30"/>
        <w:textAlignment w:val="baseline"/>
        <w:rPr>
          <w:sz w:val="22"/>
          <w:szCs w:val="22"/>
          <w:lang w:eastAsia="es-EC"/>
        </w:rPr>
      </w:pPr>
    </w:p>
    <w:p w14:paraId="5805FAB7" w14:textId="77777777" w:rsidR="009102A7" w:rsidRPr="00576AF8" w:rsidRDefault="009102A7" w:rsidP="009102A7">
      <w:pPr>
        <w:spacing w:after="0"/>
        <w:ind w:left="705" w:right="-30"/>
        <w:textAlignment w:val="baseline"/>
        <w:rPr>
          <w:sz w:val="22"/>
          <w:szCs w:val="22"/>
          <w:lang w:eastAsia="es-EC"/>
        </w:rPr>
      </w:pPr>
      <w:r w:rsidRPr="00576AF8">
        <w:rPr>
          <w:sz w:val="22"/>
          <w:szCs w:val="22"/>
          <w:lang w:val="es-VE" w:eastAsia="es-EC"/>
        </w:rPr>
        <w:t>Para análisis de transitorios electromagnéticos se han desarrollado los simuladores eFPGAsim para simular electrónica de potencia (paso de tiempo:100 ns -1µs), eMEGAsim para simular electrónica de potencia conectada a la red (paso de tiempo: 10µs – 100 µs), HYPERsim para simular transitorios electromagnéticos en sistemas de potencia a gran escala (paso de tiempo: 25 µs -100 µs).</w:t>
      </w:r>
      <w:r w:rsidRPr="00576AF8">
        <w:rPr>
          <w:sz w:val="22"/>
          <w:szCs w:val="22"/>
          <w:lang w:eastAsia="es-EC"/>
        </w:rPr>
        <w:t> </w:t>
      </w:r>
    </w:p>
    <w:p w14:paraId="78701339" w14:textId="77777777" w:rsidR="009102A7" w:rsidRPr="00576AF8" w:rsidRDefault="009102A7" w:rsidP="009102A7">
      <w:pPr>
        <w:spacing w:after="0"/>
        <w:ind w:left="705" w:right="-30"/>
        <w:textAlignment w:val="baseline"/>
        <w:rPr>
          <w:sz w:val="22"/>
          <w:szCs w:val="22"/>
          <w:lang w:eastAsia="es-EC"/>
        </w:rPr>
      </w:pPr>
    </w:p>
    <w:p w14:paraId="7E9E5C40" w14:textId="77777777" w:rsidR="009102A7" w:rsidRPr="00576AF8" w:rsidRDefault="009102A7" w:rsidP="009102A7">
      <w:pPr>
        <w:spacing w:after="0"/>
        <w:ind w:left="705" w:right="-30"/>
        <w:textAlignment w:val="baseline"/>
        <w:rPr>
          <w:sz w:val="22"/>
          <w:szCs w:val="22"/>
          <w:lang w:eastAsia="es-EC"/>
        </w:rPr>
      </w:pPr>
      <w:r w:rsidRPr="00576AF8">
        <w:rPr>
          <w:sz w:val="22"/>
          <w:szCs w:val="22"/>
          <w:lang w:val="es-VE" w:eastAsia="es-EC"/>
        </w:rPr>
        <w:t>Para análisis de transitorios electromecánicos se ha desarrollado el simulador ePHASORsim para sistemas de potencia a gran escala (paso de tiempo: 10 ms).</w:t>
      </w:r>
      <w:r w:rsidRPr="00576AF8">
        <w:rPr>
          <w:sz w:val="22"/>
          <w:szCs w:val="22"/>
          <w:lang w:eastAsia="es-EC"/>
        </w:rPr>
        <w:t> </w:t>
      </w:r>
    </w:p>
    <w:p w14:paraId="1C460ED8" w14:textId="77777777" w:rsidR="009102A7" w:rsidRPr="00576AF8" w:rsidRDefault="009102A7" w:rsidP="009102A7">
      <w:pPr>
        <w:spacing w:after="0"/>
        <w:ind w:left="705" w:right="-30"/>
        <w:textAlignment w:val="baseline"/>
        <w:rPr>
          <w:sz w:val="22"/>
          <w:szCs w:val="22"/>
          <w:lang w:eastAsia="es-EC"/>
        </w:rPr>
      </w:pPr>
    </w:p>
    <w:p w14:paraId="46B4373B" w14:textId="77777777" w:rsidR="009102A7" w:rsidRPr="00576AF8" w:rsidRDefault="009102A7" w:rsidP="009102A7">
      <w:pPr>
        <w:spacing w:after="0"/>
        <w:ind w:left="705" w:right="-30"/>
        <w:textAlignment w:val="baseline"/>
        <w:rPr>
          <w:sz w:val="22"/>
          <w:szCs w:val="22"/>
          <w:lang w:val="es-VE" w:eastAsia="es-EC"/>
        </w:rPr>
      </w:pPr>
      <w:r w:rsidRPr="00576AF8">
        <w:rPr>
          <w:sz w:val="22"/>
          <w:szCs w:val="22"/>
          <w:lang w:val="es-VE" w:eastAsia="es-EC"/>
        </w:rPr>
        <w:t>CENACE dispone de una solución de simulación digital en tiempo real de Opal-RT, la cual se constituye en un insumo fundamental para evaluar el comportamiento dinámico del SEP, con un enorme potencial para realizar evaluación de la seguridad dinámica. En este sentido, CENACE ha desarrollado aplicaciones para:</w:t>
      </w:r>
    </w:p>
    <w:p w14:paraId="0AB7A635" w14:textId="77777777" w:rsidR="009102A7" w:rsidRPr="00576AF8" w:rsidRDefault="009102A7" w:rsidP="009102A7">
      <w:pPr>
        <w:spacing w:after="0"/>
        <w:ind w:left="705" w:right="-30"/>
        <w:textAlignment w:val="baseline"/>
        <w:rPr>
          <w:sz w:val="22"/>
          <w:szCs w:val="22"/>
          <w:lang w:val="es-VE" w:eastAsia="es-EC"/>
        </w:rPr>
      </w:pPr>
      <w:r w:rsidRPr="00576AF8">
        <w:rPr>
          <w:sz w:val="22"/>
          <w:szCs w:val="22"/>
          <w:lang w:val="es-VE" w:eastAsia="es-EC"/>
        </w:rPr>
        <w:t> </w:t>
      </w:r>
      <w:r w:rsidRPr="00576AF8">
        <w:rPr>
          <w:sz w:val="22"/>
          <w:szCs w:val="22"/>
          <w:lang w:eastAsia="es-EC"/>
        </w:rPr>
        <w:t> </w:t>
      </w:r>
    </w:p>
    <w:p w14:paraId="426FF594" w14:textId="77777777" w:rsidR="009102A7" w:rsidRPr="00576AF8" w:rsidRDefault="009102A7" w:rsidP="009102A7">
      <w:pPr>
        <w:numPr>
          <w:ilvl w:val="0"/>
          <w:numId w:val="363"/>
        </w:numPr>
        <w:spacing w:before="120" w:after="0"/>
        <w:ind w:right="-30"/>
        <w:contextualSpacing/>
        <w:textAlignment w:val="baseline"/>
        <w:rPr>
          <w:sz w:val="22"/>
          <w:szCs w:val="22"/>
          <w:lang w:eastAsia="es-EC"/>
        </w:rPr>
      </w:pPr>
      <w:r w:rsidRPr="00576AF8">
        <w:rPr>
          <w:color w:val="000000"/>
          <w:sz w:val="22"/>
          <w:szCs w:val="22"/>
          <w:lang w:val="es-VE" w:eastAsia="es-EC"/>
        </w:rPr>
        <w:t>Evaluar la seguridad dinámica en línea, </w:t>
      </w:r>
      <w:r w:rsidRPr="00576AF8">
        <w:rPr>
          <w:color w:val="000000"/>
          <w:sz w:val="22"/>
          <w:szCs w:val="22"/>
          <w:lang w:eastAsia="es-EC"/>
        </w:rPr>
        <w:t> </w:t>
      </w:r>
    </w:p>
    <w:p w14:paraId="5C2CFCB1" w14:textId="77777777" w:rsidR="009102A7" w:rsidRPr="00576AF8" w:rsidRDefault="009102A7" w:rsidP="009102A7">
      <w:pPr>
        <w:numPr>
          <w:ilvl w:val="0"/>
          <w:numId w:val="363"/>
        </w:numPr>
        <w:spacing w:before="120" w:after="0"/>
        <w:ind w:right="-30"/>
        <w:contextualSpacing/>
        <w:textAlignment w:val="baseline"/>
        <w:rPr>
          <w:sz w:val="22"/>
          <w:szCs w:val="22"/>
          <w:lang w:eastAsia="es-EC"/>
        </w:rPr>
      </w:pPr>
      <w:r w:rsidRPr="00576AF8">
        <w:rPr>
          <w:color w:val="000000"/>
          <w:sz w:val="22"/>
          <w:szCs w:val="22"/>
          <w:lang w:val="es-VE" w:eastAsia="es-EC"/>
        </w:rPr>
        <w:t>Test beds para sintonización de controladores, </w:t>
      </w:r>
      <w:r w:rsidRPr="00576AF8">
        <w:rPr>
          <w:color w:val="000000"/>
          <w:sz w:val="22"/>
          <w:szCs w:val="22"/>
          <w:lang w:eastAsia="es-EC"/>
        </w:rPr>
        <w:t> </w:t>
      </w:r>
    </w:p>
    <w:p w14:paraId="44E6E88B" w14:textId="77777777" w:rsidR="009102A7" w:rsidRPr="00576AF8" w:rsidRDefault="009102A7" w:rsidP="009102A7">
      <w:pPr>
        <w:numPr>
          <w:ilvl w:val="0"/>
          <w:numId w:val="363"/>
        </w:numPr>
        <w:spacing w:before="120" w:after="0"/>
        <w:ind w:right="-30"/>
        <w:contextualSpacing/>
        <w:textAlignment w:val="baseline"/>
        <w:rPr>
          <w:sz w:val="22"/>
          <w:szCs w:val="22"/>
          <w:lang w:eastAsia="es-EC"/>
        </w:rPr>
      </w:pPr>
      <w:r w:rsidRPr="00576AF8">
        <w:rPr>
          <w:color w:val="000000"/>
          <w:sz w:val="22"/>
          <w:szCs w:val="22"/>
          <w:lang w:val="es-VE" w:eastAsia="es-EC"/>
        </w:rPr>
        <w:t>Test beds para evaluación del desempeño de PMUs ante transitorios, </w:t>
      </w:r>
      <w:r w:rsidRPr="00576AF8">
        <w:rPr>
          <w:color w:val="000000"/>
          <w:sz w:val="22"/>
          <w:szCs w:val="22"/>
          <w:lang w:eastAsia="es-EC"/>
        </w:rPr>
        <w:t> </w:t>
      </w:r>
    </w:p>
    <w:p w14:paraId="6973F8F5" w14:textId="77777777" w:rsidR="009102A7" w:rsidRPr="00576AF8" w:rsidRDefault="009102A7" w:rsidP="009102A7">
      <w:pPr>
        <w:numPr>
          <w:ilvl w:val="0"/>
          <w:numId w:val="363"/>
        </w:numPr>
        <w:spacing w:before="120" w:after="0"/>
        <w:ind w:right="-30"/>
        <w:contextualSpacing/>
        <w:textAlignment w:val="baseline"/>
        <w:rPr>
          <w:sz w:val="22"/>
          <w:szCs w:val="22"/>
          <w:lang w:eastAsia="es-EC"/>
        </w:rPr>
      </w:pPr>
      <w:r w:rsidRPr="00576AF8">
        <w:rPr>
          <w:color w:val="000000"/>
          <w:sz w:val="22"/>
          <w:szCs w:val="22"/>
          <w:lang w:val="es-VE" w:eastAsia="es-EC"/>
        </w:rPr>
        <w:t>Un sistema de entrenamiento para operadores ante fenómenos dinámicos.</w:t>
      </w:r>
      <w:r w:rsidRPr="00576AF8">
        <w:rPr>
          <w:color w:val="000000"/>
          <w:sz w:val="22"/>
          <w:szCs w:val="22"/>
          <w:lang w:eastAsia="es-EC"/>
        </w:rPr>
        <w:t> </w:t>
      </w:r>
    </w:p>
    <w:p w14:paraId="2122AE64" w14:textId="77777777" w:rsidR="009102A7" w:rsidRPr="00576AF8" w:rsidRDefault="009102A7" w:rsidP="009102A7">
      <w:pPr>
        <w:spacing w:after="0"/>
        <w:ind w:left="705" w:right="-30"/>
        <w:textAlignment w:val="baseline"/>
        <w:rPr>
          <w:sz w:val="22"/>
          <w:szCs w:val="22"/>
          <w:lang w:val="es-VE" w:eastAsia="es-EC"/>
        </w:rPr>
      </w:pPr>
    </w:p>
    <w:p w14:paraId="4A88EE92" w14:textId="77777777" w:rsidR="009102A7" w:rsidRPr="00576AF8" w:rsidRDefault="009102A7" w:rsidP="009102A7">
      <w:pPr>
        <w:spacing w:after="0"/>
        <w:ind w:left="705" w:right="-30"/>
        <w:textAlignment w:val="baseline"/>
        <w:rPr>
          <w:sz w:val="22"/>
          <w:szCs w:val="22"/>
          <w:lang w:eastAsia="es-EC"/>
        </w:rPr>
      </w:pPr>
      <w:r w:rsidRPr="00576AF8">
        <w:rPr>
          <w:sz w:val="22"/>
          <w:szCs w:val="22"/>
          <w:lang w:val="es-VE" w:eastAsia="es-EC"/>
        </w:rPr>
        <w:t>Varias de las aplicaciones desarrolladas, se fundamentan en la disponibilidad de datos del SCADA/EMS y la funcionalidad de enviarlos en línea. Esto permite la simulación dinámica a partir de datos reales, lo cual viabiliza aplicaciones de evaluación de la seguridad dinámica en línea. Para esto, garantizar la disponibilidad de mecanismos de vinculación entre el SCADA/EMS y el simulador digital en tiempo real es fundamental. Por tanto, se requiere que el SCADA/EMS disponga de interfaces y protocolos de comunicación adecuados para cumplir este objetivo.</w:t>
      </w:r>
      <w:r w:rsidRPr="00576AF8">
        <w:rPr>
          <w:sz w:val="22"/>
          <w:szCs w:val="22"/>
          <w:lang w:eastAsia="es-EC"/>
        </w:rPr>
        <w:t> </w:t>
      </w:r>
    </w:p>
    <w:p w14:paraId="02353261" w14:textId="77777777" w:rsidR="009102A7" w:rsidRPr="00576AF8" w:rsidRDefault="009102A7" w:rsidP="009102A7">
      <w:pPr>
        <w:ind w:left="1440" w:right="30" w:hanging="720"/>
        <w:textAlignment w:val="baseline"/>
        <w:rPr>
          <w:sz w:val="22"/>
          <w:szCs w:val="22"/>
          <w:lang w:eastAsia="es-EC"/>
        </w:rPr>
      </w:pPr>
      <w:r w:rsidRPr="00576AF8">
        <w:rPr>
          <w:sz w:val="22"/>
          <w:szCs w:val="22"/>
          <w:lang w:eastAsia="es-EC"/>
        </w:rPr>
        <w:lastRenderedPageBreak/>
        <w:t> </w:t>
      </w:r>
    </w:p>
    <w:p w14:paraId="4DDA76D3" w14:textId="77777777" w:rsidR="009102A7" w:rsidRPr="00576AF8" w:rsidRDefault="009102A7" w:rsidP="009102A7">
      <w:pPr>
        <w:ind w:left="1440" w:right="30" w:hanging="720"/>
        <w:textAlignment w:val="baseline"/>
        <w:rPr>
          <w:sz w:val="22"/>
          <w:szCs w:val="22"/>
          <w:lang w:eastAsia="es-EC"/>
        </w:rPr>
      </w:pPr>
      <w:r w:rsidRPr="00576AF8">
        <w:rPr>
          <w:b/>
          <w:bCs/>
          <w:sz w:val="22"/>
          <w:szCs w:val="22"/>
          <w:lang w:eastAsia="es-EC"/>
        </w:rPr>
        <w:t>Integración del SCADA/EMS con el simulador digital en tiempo real</w:t>
      </w:r>
      <w:r w:rsidRPr="00576AF8">
        <w:rPr>
          <w:sz w:val="22"/>
          <w:szCs w:val="22"/>
          <w:lang w:eastAsia="es-EC"/>
        </w:rPr>
        <w:t> </w:t>
      </w:r>
    </w:p>
    <w:p w14:paraId="510D5059" w14:textId="570CC34E" w:rsidR="009102A7" w:rsidRPr="00576AF8" w:rsidRDefault="009102A7" w:rsidP="009102A7">
      <w:pPr>
        <w:spacing w:before="120" w:after="0"/>
        <w:ind w:left="705" w:right="-30"/>
        <w:textAlignment w:val="baseline"/>
        <w:rPr>
          <w:sz w:val="22"/>
          <w:szCs w:val="22"/>
          <w:lang w:eastAsia="es-EC"/>
        </w:rPr>
      </w:pPr>
      <w:r w:rsidRPr="00576AF8">
        <w:rPr>
          <w:color w:val="000000"/>
          <w:sz w:val="22"/>
          <w:szCs w:val="22"/>
          <w:lang w:val="es-VE" w:eastAsia="es-EC"/>
        </w:rPr>
        <w:t xml:space="preserve">El Proveedor </w:t>
      </w:r>
      <w:r w:rsidRPr="00576AF8">
        <w:rPr>
          <w:color w:val="000000"/>
          <w:sz w:val="22"/>
          <w:szCs w:val="22"/>
          <w:lang w:val="es-VE"/>
        </w:rPr>
        <w:t>implementará la integración</w:t>
      </w:r>
      <w:r w:rsidRPr="00576AF8">
        <w:rPr>
          <w:color w:val="000000"/>
          <w:sz w:val="22"/>
          <w:szCs w:val="22"/>
          <w:lang w:val="es-VE" w:eastAsia="es-EC"/>
        </w:rPr>
        <w:t xml:space="preserve"> de información del sistema SCADA/EMS con el Simulador Digital en Tiempo Real incluyendo </w:t>
      </w:r>
      <w:r w:rsidR="00B32F06">
        <w:rPr>
          <w:color w:val="000000"/>
          <w:sz w:val="22"/>
          <w:szCs w:val="22"/>
          <w:lang w:val="es-VE" w:eastAsia="es-EC"/>
        </w:rPr>
        <w:t xml:space="preserve">cualquiera de </w:t>
      </w:r>
      <w:r w:rsidRPr="00576AF8">
        <w:rPr>
          <w:color w:val="000000"/>
          <w:sz w:val="22"/>
          <w:szCs w:val="22"/>
          <w:lang w:val="es-VE" w:eastAsia="es-EC"/>
        </w:rPr>
        <w:t>las opciones que se listan a continuación:</w:t>
      </w:r>
      <w:r w:rsidRPr="00576AF8">
        <w:rPr>
          <w:color w:val="000000"/>
          <w:sz w:val="22"/>
          <w:szCs w:val="22"/>
          <w:lang w:eastAsia="es-EC"/>
        </w:rPr>
        <w:t> </w:t>
      </w:r>
    </w:p>
    <w:p w14:paraId="06D0530F" w14:textId="77777777" w:rsidR="009102A7" w:rsidRPr="00576AF8" w:rsidRDefault="009102A7" w:rsidP="009102A7">
      <w:pPr>
        <w:numPr>
          <w:ilvl w:val="0"/>
          <w:numId w:val="362"/>
        </w:numPr>
        <w:suppressAutoHyphens w:val="0"/>
        <w:spacing w:before="100" w:beforeAutospacing="1" w:after="100" w:afterAutospacing="1"/>
        <w:textAlignment w:val="baseline"/>
        <w:rPr>
          <w:sz w:val="22"/>
          <w:szCs w:val="22"/>
          <w:lang w:eastAsia="es-EC"/>
        </w:rPr>
      </w:pPr>
      <w:r w:rsidRPr="00576AF8">
        <w:rPr>
          <w:color w:val="000000"/>
          <w:sz w:val="22"/>
          <w:szCs w:val="22"/>
          <w:lang w:val="es-VE" w:eastAsia="es-EC"/>
        </w:rPr>
        <w:t>DNP 3.0</w:t>
      </w:r>
      <w:r w:rsidRPr="00576AF8">
        <w:rPr>
          <w:color w:val="000000"/>
          <w:sz w:val="22"/>
          <w:szCs w:val="22"/>
          <w:lang w:eastAsia="es-EC"/>
        </w:rPr>
        <w:t> </w:t>
      </w:r>
    </w:p>
    <w:p w14:paraId="010F0912" w14:textId="77777777" w:rsidR="009102A7" w:rsidRPr="00576AF8" w:rsidRDefault="009102A7" w:rsidP="009102A7">
      <w:pPr>
        <w:numPr>
          <w:ilvl w:val="0"/>
          <w:numId w:val="362"/>
        </w:numPr>
        <w:suppressAutoHyphens w:val="0"/>
        <w:spacing w:before="100" w:beforeAutospacing="1" w:after="100" w:afterAutospacing="1"/>
        <w:textAlignment w:val="baseline"/>
        <w:rPr>
          <w:sz w:val="22"/>
          <w:szCs w:val="22"/>
          <w:lang w:eastAsia="es-EC"/>
        </w:rPr>
      </w:pPr>
      <w:r w:rsidRPr="00576AF8">
        <w:rPr>
          <w:color w:val="000000"/>
          <w:sz w:val="22"/>
          <w:szCs w:val="22"/>
          <w:lang w:val="es-VE" w:eastAsia="es-EC"/>
        </w:rPr>
        <w:t>ICCP - TASE2</w:t>
      </w:r>
      <w:r w:rsidRPr="00576AF8">
        <w:rPr>
          <w:color w:val="000000"/>
          <w:sz w:val="22"/>
          <w:szCs w:val="22"/>
          <w:lang w:eastAsia="es-EC"/>
        </w:rPr>
        <w:t> </w:t>
      </w:r>
    </w:p>
    <w:p w14:paraId="38DBA7DE" w14:textId="77777777" w:rsidR="009102A7" w:rsidRPr="00576AF8" w:rsidRDefault="009102A7" w:rsidP="009102A7">
      <w:pPr>
        <w:numPr>
          <w:ilvl w:val="0"/>
          <w:numId w:val="362"/>
        </w:numPr>
        <w:suppressAutoHyphens w:val="0"/>
        <w:spacing w:before="100" w:beforeAutospacing="1" w:after="100" w:afterAutospacing="1"/>
        <w:textAlignment w:val="baseline"/>
        <w:rPr>
          <w:sz w:val="22"/>
          <w:szCs w:val="22"/>
          <w:lang w:eastAsia="es-EC"/>
        </w:rPr>
      </w:pPr>
      <w:r w:rsidRPr="00576AF8">
        <w:rPr>
          <w:color w:val="000000"/>
          <w:sz w:val="22"/>
          <w:szCs w:val="22"/>
          <w:lang w:val="es-VE" w:eastAsia="es-EC"/>
        </w:rPr>
        <w:t>OPC client/server</w:t>
      </w:r>
      <w:r w:rsidRPr="00576AF8">
        <w:rPr>
          <w:color w:val="000000"/>
          <w:sz w:val="22"/>
          <w:szCs w:val="22"/>
          <w:lang w:eastAsia="es-EC"/>
        </w:rPr>
        <w:t> </w:t>
      </w:r>
    </w:p>
    <w:p w14:paraId="5DC3CF8E" w14:textId="77777777" w:rsidR="009102A7" w:rsidRPr="00576AF8" w:rsidRDefault="009102A7" w:rsidP="009102A7">
      <w:pPr>
        <w:spacing w:before="120" w:after="0"/>
        <w:ind w:left="705" w:right="-30"/>
        <w:textAlignment w:val="baseline"/>
        <w:rPr>
          <w:color w:val="000000"/>
          <w:sz w:val="22"/>
          <w:szCs w:val="22"/>
          <w:lang w:eastAsia="es-EC"/>
        </w:rPr>
      </w:pPr>
      <w:r w:rsidRPr="00576AF8">
        <w:rPr>
          <w:color w:val="000000"/>
          <w:sz w:val="22"/>
          <w:szCs w:val="22"/>
          <w:lang w:val="es-VE" w:eastAsia="es-EC"/>
        </w:rPr>
        <w:t>Adicionalmente, es deseable que el sistema SCADA/EMS del Proveedor disponga de interfaces para intercambio de información del SCADA y de funciones de Aplicación de Producción y de Red para integrarlas en el Simulador de Tiempo Real de CENACE.</w:t>
      </w:r>
    </w:p>
    <w:p w14:paraId="3BFE7312" w14:textId="77777777" w:rsidR="009102A7" w:rsidRPr="00576AF8" w:rsidRDefault="009102A7" w:rsidP="009102A7">
      <w:pPr>
        <w:spacing w:before="120" w:after="0"/>
        <w:ind w:left="705" w:right="-30"/>
        <w:textAlignment w:val="baseline"/>
        <w:rPr>
          <w:sz w:val="22"/>
          <w:szCs w:val="22"/>
          <w:lang w:eastAsia="es-EC"/>
        </w:rPr>
      </w:pPr>
    </w:p>
    <w:p w14:paraId="2B915660" w14:textId="77777777" w:rsidR="009102A7" w:rsidRPr="00576AF8" w:rsidRDefault="009102A7" w:rsidP="009102A7">
      <w:pPr>
        <w:spacing w:after="0"/>
        <w:ind w:left="705" w:right="-30"/>
        <w:textAlignment w:val="baseline"/>
        <w:rPr>
          <w:sz w:val="22"/>
          <w:szCs w:val="22"/>
          <w:lang w:eastAsia="es-EC"/>
        </w:rPr>
      </w:pPr>
      <w:r w:rsidRPr="00576AF8">
        <w:rPr>
          <w:sz w:val="22"/>
          <w:szCs w:val="22"/>
          <w:lang w:val="es-VE" w:eastAsia="es-EC"/>
        </w:rPr>
        <w:t>El detalle de los protocolos listados anteriormente, se presentan en las siguientes tablas:</w:t>
      </w:r>
      <w:r w:rsidRPr="00576AF8">
        <w:rPr>
          <w:sz w:val="22"/>
          <w:szCs w:val="22"/>
          <w:lang w:eastAsia="es-EC"/>
        </w:rPr>
        <w:t> </w:t>
      </w:r>
    </w:p>
    <w:p w14:paraId="01AB7CBE" w14:textId="77777777" w:rsidR="009102A7" w:rsidRPr="00576AF8" w:rsidRDefault="009102A7" w:rsidP="009102A7">
      <w:pPr>
        <w:ind w:left="1440" w:right="41" w:hanging="720"/>
        <w:rPr>
          <w:b/>
          <w:i/>
          <w:color w:val="4471C4"/>
          <w:sz w:val="22"/>
          <w:szCs w:val="22"/>
        </w:rPr>
      </w:pPr>
    </w:p>
    <w:tbl>
      <w:tblPr>
        <w:tblW w:w="0" w:type="auto"/>
        <w:tblLayout w:type="fixed"/>
        <w:tblLook w:val="0600" w:firstRow="0" w:lastRow="0" w:firstColumn="0" w:lastColumn="0" w:noHBand="1" w:noVBand="1"/>
      </w:tblPr>
      <w:tblGrid>
        <w:gridCol w:w="629"/>
        <w:gridCol w:w="1819"/>
        <w:gridCol w:w="6606"/>
      </w:tblGrid>
      <w:tr w:rsidR="009102A7" w:rsidRPr="00576AF8" w14:paraId="684725A6" w14:textId="77777777" w:rsidTr="009F6B78">
        <w:trPr>
          <w:trHeight w:val="60"/>
        </w:trPr>
        <w:tc>
          <w:tcPr>
            <w:tcW w:w="2448" w:type="dxa"/>
            <w:gridSpan w:val="2"/>
            <w:tcBorders>
              <w:top w:val="single" w:sz="8" w:space="0" w:color="B7DDE8"/>
              <w:left w:val="single" w:sz="8" w:space="0" w:color="B7DDE8"/>
              <w:bottom w:val="single" w:sz="8" w:space="0" w:color="B7DDE8"/>
              <w:right w:val="single" w:sz="8" w:space="0" w:color="B7DDE8"/>
            </w:tcBorders>
            <w:shd w:val="clear" w:color="auto" w:fill="DBE5F1"/>
            <w:tcMar>
              <w:left w:w="108" w:type="dxa"/>
              <w:right w:w="108" w:type="dxa"/>
            </w:tcMar>
            <w:vAlign w:val="center"/>
          </w:tcPr>
          <w:p w14:paraId="2ADD2CAA" w14:textId="77777777" w:rsidR="009102A7" w:rsidRPr="00576AF8" w:rsidRDefault="009102A7" w:rsidP="009F6B78">
            <w:pPr>
              <w:spacing w:after="0"/>
              <w:ind w:left="-20" w:right="-20"/>
              <w:rPr>
                <w:sz w:val="22"/>
                <w:szCs w:val="22"/>
              </w:rPr>
            </w:pPr>
            <w:bookmarkStart w:id="1104" w:name="OLE_LINK1"/>
            <w:r w:rsidRPr="00576AF8">
              <w:rPr>
                <w:sz w:val="22"/>
                <w:szCs w:val="22"/>
                <w:lang w:val="es-419"/>
              </w:rPr>
              <w:t>PROTOCOLO</w:t>
            </w:r>
          </w:p>
        </w:tc>
        <w:tc>
          <w:tcPr>
            <w:tcW w:w="6606" w:type="dxa"/>
            <w:tcBorders>
              <w:top w:val="single" w:sz="8" w:space="0" w:color="B7DDE8"/>
              <w:left w:val="nil"/>
              <w:bottom w:val="single" w:sz="8" w:space="0" w:color="B7DDE8"/>
              <w:right w:val="single" w:sz="8" w:space="0" w:color="B7DDE8"/>
            </w:tcBorders>
            <w:shd w:val="clear" w:color="auto" w:fill="DBE5F1"/>
            <w:tcMar>
              <w:left w:w="108" w:type="dxa"/>
              <w:right w:w="108" w:type="dxa"/>
            </w:tcMar>
            <w:vAlign w:val="center"/>
          </w:tcPr>
          <w:p w14:paraId="02072C9D" w14:textId="77777777" w:rsidR="009102A7" w:rsidRPr="00576AF8" w:rsidRDefault="009102A7" w:rsidP="009F6B78">
            <w:pPr>
              <w:spacing w:after="0"/>
              <w:ind w:left="-20" w:right="-20"/>
              <w:rPr>
                <w:sz w:val="22"/>
                <w:szCs w:val="22"/>
              </w:rPr>
            </w:pPr>
            <w:r w:rsidRPr="00576AF8">
              <w:rPr>
                <w:sz w:val="22"/>
                <w:szCs w:val="22"/>
                <w:lang w:val="es-419"/>
              </w:rPr>
              <w:t>DESCRIPCIÓN</w:t>
            </w:r>
          </w:p>
        </w:tc>
      </w:tr>
      <w:tr w:rsidR="009102A7" w:rsidRPr="00576AF8" w14:paraId="31809ED6" w14:textId="77777777" w:rsidTr="009F6B78">
        <w:trPr>
          <w:trHeight w:val="3114"/>
        </w:trPr>
        <w:tc>
          <w:tcPr>
            <w:tcW w:w="2448"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0C7C4E5E" w14:textId="77777777" w:rsidR="009102A7" w:rsidRPr="00576AF8" w:rsidRDefault="009102A7" w:rsidP="009F6B78">
            <w:pPr>
              <w:spacing w:after="0"/>
              <w:ind w:left="-20" w:right="-20"/>
              <w:rPr>
                <w:sz w:val="22"/>
                <w:szCs w:val="22"/>
              </w:rPr>
            </w:pPr>
            <w:r w:rsidRPr="00576AF8">
              <w:rPr>
                <w:sz w:val="22"/>
                <w:szCs w:val="22"/>
                <w:lang w:val="es-419"/>
              </w:rPr>
              <w:t>IEC 60870-5</w:t>
            </w:r>
          </w:p>
        </w:tc>
        <w:tc>
          <w:tcPr>
            <w:tcW w:w="6606" w:type="dxa"/>
            <w:tcBorders>
              <w:top w:val="single" w:sz="8" w:space="0" w:color="B7DDE8"/>
              <w:left w:val="nil"/>
              <w:bottom w:val="single" w:sz="8" w:space="0" w:color="B7DDE8"/>
              <w:right w:val="single" w:sz="8" w:space="0" w:color="B7DDE8"/>
            </w:tcBorders>
            <w:tcMar>
              <w:left w:w="108" w:type="dxa"/>
              <w:right w:w="108" w:type="dxa"/>
            </w:tcMar>
            <w:vAlign w:val="center"/>
          </w:tcPr>
          <w:p w14:paraId="17D71656" w14:textId="77777777" w:rsidR="009102A7" w:rsidRPr="00576AF8" w:rsidRDefault="009102A7" w:rsidP="009F6B78">
            <w:pPr>
              <w:spacing w:after="0"/>
              <w:ind w:left="-20" w:right="-20"/>
              <w:rPr>
                <w:sz w:val="22"/>
                <w:szCs w:val="22"/>
              </w:rPr>
            </w:pPr>
            <w:r w:rsidRPr="00576AF8">
              <w:rPr>
                <w:sz w:val="22"/>
                <w:szCs w:val="22"/>
                <w:lang w:val="es-419"/>
              </w:rPr>
              <w:t>IEC 60870-5 se refiere a una colección de estándares producidos por la Comisión Electrotécnica Internacional (IEC) para proveer de un estándar abierto para transmisión de datos del SCADA, telemetría, control e información. El protocolo IEC 60870-5 fue primordialmente definido para las telecomunicaciones del sistema eléctrico y la información de control, y, de forma correspondiente, tiene estructuras de datos que son específicamente relacionados con esta aplicación. Aunque este protocolo incluye tipos de datos generales que pueden ser usados en cualquier aplicación de SCADA, el uso de IEC 60870 ha sido ampliamente orientado a la industria de la electricidad.</w:t>
            </w:r>
          </w:p>
        </w:tc>
      </w:tr>
      <w:tr w:rsidR="009102A7" w:rsidRPr="00576AF8" w14:paraId="199A0BB8" w14:textId="77777777" w:rsidTr="009F6B78">
        <w:trPr>
          <w:trHeight w:val="4215"/>
        </w:trPr>
        <w:tc>
          <w:tcPr>
            <w:tcW w:w="62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2E5A370F" w14:textId="77777777" w:rsidR="009102A7" w:rsidRPr="00576AF8" w:rsidRDefault="009102A7" w:rsidP="009F6B78">
            <w:pPr>
              <w:spacing w:after="0"/>
              <w:ind w:left="-20" w:right="-20"/>
              <w:rPr>
                <w:sz w:val="22"/>
                <w:szCs w:val="22"/>
              </w:rPr>
            </w:pPr>
            <w:r w:rsidRPr="00576AF8">
              <w:rPr>
                <w:sz w:val="22"/>
                <w:szCs w:val="22"/>
                <w:lang w:val="es-419"/>
              </w:rPr>
              <w:t>1</w:t>
            </w:r>
          </w:p>
        </w:tc>
        <w:tc>
          <w:tcPr>
            <w:tcW w:w="1819" w:type="dxa"/>
            <w:tcBorders>
              <w:top w:val="nil"/>
              <w:left w:val="single" w:sz="8" w:space="0" w:color="B7DDE8"/>
              <w:bottom w:val="single" w:sz="8" w:space="0" w:color="B7DDE8"/>
              <w:right w:val="single" w:sz="8" w:space="0" w:color="B7DDE8"/>
            </w:tcBorders>
            <w:tcMar>
              <w:left w:w="108" w:type="dxa"/>
              <w:right w:w="108" w:type="dxa"/>
            </w:tcMar>
            <w:vAlign w:val="center"/>
          </w:tcPr>
          <w:p w14:paraId="55FF0095" w14:textId="77777777" w:rsidR="009102A7" w:rsidRPr="00576AF8" w:rsidRDefault="009102A7" w:rsidP="009F6B78">
            <w:pPr>
              <w:spacing w:after="0"/>
              <w:ind w:left="-20" w:right="-20"/>
              <w:rPr>
                <w:sz w:val="22"/>
                <w:szCs w:val="22"/>
              </w:rPr>
            </w:pPr>
            <w:r w:rsidRPr="00576AF8">
              <w:rPr>
                <w:sz w:val="22"/>
                <w:szCs w:val="22"/>
                <w:lang w:val="es-419"/>
              </w:rPr>
              <w:t>IEC 60870-5-104 Master (Client)</w:t>
            </w:r>
          </w:p>
        </w:tc>
        <w:tc>
          <w:tcPr>
            <w:tcW w:w="6606"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32C62E92" w14:textId="77777777" w:rsidR="009102A7" w:rsidRPr="00576AF8" w:rsidRDefault="009102A7" w:rsidP="009F6B78">
            <w:pPr>
              <w:spacing w:after="0"/>
              <w:ind w:left="-20" w:right="-20"/>
              <w:rPr>
                <w:sz w:val="22"/>
                <w:szCs w:val="22"/>
              </w:rPr>
            </w:pPr>
            <w:r w:rsidRPr="00576AF8">
              <w:rPr>
                <w:sz w:val="22"/>
                <w:szCs w:val="22"/>
                <w:lang w:val="es-419"/>
              </w:rPr>
              <w:t>El protocolo IEC 60870-5-104 es una extensión del protocolo IEC 60870-5-101 con cambios en los servicios de transporte, red, enlace y capa física para adaptarse al acceso completo a la red. El estándar utiliza una interfaz TCP/IP abierta para la red para tener conectividad a la LAN (red de área local) y se pueden usar enrutadores con diferentes funciones para conectarse a la WAN (red de área amplia). La capa de aplicación de IEC 104 se conserva igual que la de IEC 101 con algunos de los tipos de datos e instalaciones notadas. Hay dos capas de enlace separadas definidas en el estándar, que son adecuadas para la transferencia de datos a través de Ethernet y línea serial (Protocolo punto a punto).</w:t>
            </w:r>
          </w:p>
          <w:p w14:paraId="77F553BA" w14:textId="77777777" w:rsidR="009102A7" w:rsidRPr="00576AF8" w:rsidRDefault="009102A7" w:rsidP="009F6B78">
            <w:pPr>
              <w:spacing w:after="0"/>
              <w:ind w:left="-20" w:right="-20"/>
              <w:rPr>
                <w:sz w:val="22"/>
                <w:szCs w:val="22"/>
              </w:rPr>
            </w:pPr>
            <w:r w:rsidRPr="00576AF8">
              <w:rPr>
                <w:sz w:val="22"/>
                <w:szCs w:val="22"/>
                <w:lang w:val="es-419"/>
              </w:rPr>
              <w:t>IEC 60870-5-104 admite comunicaciones de múltiples esclavos, de igual a igual y de múltiples maestros.</w:t>
            </w:r>
          </w:p>
        </w:tc>
      </w:tr>
      <w:tr w:rsidR="009102A7" w:rsidRPr="00576AF8" w14:paraId="045156E8" w14:textId="77777777" w:rsidTr="009F6B78">
        <w:trPr>
          <w:trHeight w:val="165"/>
        </w:trPr>
        <w:tc>
          <w:tcPr>
            <w:tcW w:w="62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45C06324" w14:textId="77777777" w:rsidR="009102A7" w:rsidRPr="00576AF8" w:rsidRDefault="009102A7" w:rsidP="009F6B78">
            <w:pPr>
              <w:spacing w:after="0"/>
              <w:ind w:left="-20" w:right="-20"/>
              <w:rPr>
                <w:sz w:val="22"/>
                <w:szCs w:val="22"/>
              </w:rPr>
            </w:pPr>
            <w:r w:rsidRPr="00576AF8">
              <w:rPr>
                <w:sz w:val="22"/>
                <w:szCs w:val="22"/>
                <w:lang w:val="es-419"/>
              </w:rPr>
              <w:t>2</w:t>
            </w:r>
          </w:p>
        </w:tc>
        <w:tc>
          <w:tcPr>
            <w:tcW w:w="181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00A838FE" w14:textId="77777777" w:rsidR="009102A7" w:rsidRPr="00576AF8" w:rsidRDefault="009102A7" w:rsidP="009F6B78">
            <w:pPr>
              <w:spacing w:after="0"/>
              <w:ind w:left="-20" w:right="-20"/>
              <w:rPr>
                <w:sz w:val="22"/>
                <w:szCs w:val="22"/>
              </w:rPr>
            </w:pPr>
            <w:r w:rsidRPr="00576AF8">
              <w:rPr>
                <w:sz w:val="22"/>
                <w:szCs w:val="22"/>
                <w:lang w:val="es-419"/>
              </w:rPr>
              <w:t>IEC 60870-5-104 Slave (Server)</w:t>
            </w:r>
          </w:p>
        </w:tc>
        <w:tc>
          <w:tcPr>
            <w:tcW w:w="6606"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509F24BD" w14:textId="77777777" w:rsidR="009102A7" w:rsidRPr="00576AF8" w:rsidRDefault="009102A7" w:rsidP="009F6B78">
            <w:pPr>
              <w:spacing w:after="0"/>
              <w:ind w:left="-20" w:right="-20"/>
              <w:rPr>
                <w:sz w:val="22"/>
                <w:szCs w:val="22"/>
              </w:rPr>
            </w:pPr>
            <w:r w:rsidRPr="00576AF8">
              <w:rPr>
                <w:sz w:val="22"/>
                <w:szCs w:val="22"/>
                <w:lang w:val="es-419"/>
              </w:rPr>
              <w:t>idem</w:t>
            </w:r>
          </w:p>
        </w:tc>
      </w:tr>
      <w:tr w:rsidR="009102A7" w:rsidRPr="00576AF8" w14:paraId="51DE73FF" w14:textId="77777777" w:rsidTr="009F6B78">
        <w:trPr>
          <w:trHeight w:val="1215"/>
        </w:trPr>
        <w:tc>
          <w:tcPr>
            <w:tcW w:w="2448"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3F7FC4F8" w14:textId="77777777" w:rsidR="009102A7" w:rsidRPr="00576AF8" w:rsidRDefault="009102A7" w:rsidP="009F6B78">
            <w:pPr>
              <w:spacing w:after="0"/>
              <w:ind w:left="-20" w:right="-20"/>
              <w:rPr>
                <w:sz w:val="22"/>
                <w:szCs w:val="22"/>
              </w:rPr>
            </w:pPr>
            <w:r w:rsidRPr="00576AF8">
              <w:rPr>
                <w:sz w:val="22"/>
                <w:szCs w:val="22"/>
                <w:lang w:val="es-419"/>
              </w:rPr>
              <w:lastRenderedPageBreak/>
              <w:t>DNP 3.0</w:t>
            </w:r>
          </w:p>
        </w:tc>
        <w:tc>
          <w:tcPr>
            <w:tcW w:w="6606" w:type="dxa"/>
            <w:tcBorders>
              <w:top w:val="single" w:sz="8" w:space="0" w:color="B7DDE8"/>
              <w:left w:val="nil"/>
              <w:bottom w:val="single" w:sz="8" w:space="0" w:color="B7DDE8"/>
              <w:right w:val="single" w:sz="8" w:space="0" w:color="B7DDE8"/>
            </w:tcBorders>
            <w:tcMar>
              <w:left w:w="108" w:type="dxa"/>
              <w:right w:w="108" w:type="dxa"/>
            </w:tcMar>
            <w:vAlign w:val="center"/>
          </w:tcPr>
          <w:p w14:paraId="23B42AE6" w14:textId="77777777" w:rsidR="009102A7" w:rsidRPr="00576AF8" w:rsidRDefault="009102A7" w:rsidP="009F6B78">
            <w:pPr>
              <w:spacing w:after="0"/>
              <w:ind w:left="-20" w:right="-20"/>
              <w:rPr>
                <w:sz w:val="22"/>
                <w:szCs w:val="22"/>
              </w:rPr>
            </w:pPr>
            <w:r w:rsidRPr="00576AF8">
              <w:rPr>
                <w:sz w:val="22"/>
                <w:szCs w:val="22"/>
                <w:lang w:val="es-419"/>
              </w:rPr>
              <w:t>DNP 3 o Protocolo de red distribuida versión 3.3 (</w:t>
            </w:r>
            <w:r w:rsidRPr="00576AF8">
              <w:rPr>
                <w:i/>
                <w:iCs/>
                <w:sz w:val="22"/>
                <w:szCs w:val="22"/>
                <w:lang w:val="es-419"/>
              </w:rPr>
              <w:t>Distributed Network Protocol Version</w:t>
            </w:r>
            <w:r w:rsidRPr="00576AF8">
              <w:rPr>
                <w:sz w:val="22"/>
                <w:szCs w:val="22"/>
                <w:lang w:val="es-419"/>
              </w:rPr>
              <w:t xml:space="preserve"> 3.3) es un estándar de telecomunicaciones que define las comunicaciones entre estaciones maestras, unidades terminales remotas (RTU) y otros dispositivos electrónicos inteligentes (IED). Fue desarrollado para lograr la interoperabilidad entre sistemas en las industrias de servicios eléctricos, gas de petróleo, agua o aguas residuales y seguridad.</w:t>
            </w:r>
          </w:p>
        </w:tc>
      </w:tr>
      <w:tr w:rsidR="009102A7" w:rsidRPr="00576AF8" w14:paraId="70EF13B5" w14:textId="77777777" w:rsidTr="009F6B78">
        <w:trPr>
          <w:trHeight w:val="60"/>
        </w:trPr>
        <w:tc>
          <w:tcPr>
            <w:tcW w:w="62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5E14F18D" w14:textId="77777777" w:rsidR="009102A7" w:rsidRPr="00576AF8" w:rsidRDefault="009102A7" w:rsidP="009F6B78">
            <w:pPr>
              <w:spacing w:after="0"/>
              <w:ind w:left="-20" w:right="-20"/>
              <w:rPr>
                <w:sz w:val="22"/>
                <w:szCs w:val="22"/>
              </w:rPr>
            </w:pPr>
            <w:r w:rsidRPr="00576AF8">
              <w:rPr>
                <w:sz w:val="22"/>
                <w:szCs w:val="22"/>
                <w:lang w:val="es-419"/>
              </w:rPr>
              <w:t>1</w:t>
            </w:r>
          </w:p>
        </w:tc>
        <w:tc>
          <w:tcPr>
            <w:tcW w:w="1819" w:type="dxa"/>
            <w:tcBorders>
              <w:top w:val="nil"/>
              <w:left w:val="single" w:sz="8" w:space="0" w:color="B7DDE8"/>
              <w:bottom w:val="single" w:sz="8" w:space="0" w:color="B7DDE8"/>
              <w:right w:val="single" w:sz="8" w:space="0" w:color="B7DDE8"/>
            </w:tcBorders>
            <w:tcMar>
              <w:left w:w="108" w:type="dxa"/>
              <w:right w:w="108" w:type="dxa"/>
            </w:tcMar>
            <w:vAlign w:val="center"/>
          </w:tcPr>
          <w:p w14:paraId="648387FC" w14:textId="77777777" w:rsidR="009102A7" w:rsidRPr="00576AF8" w:rsidRDefault="009102A7" w:rsidP="009F6B78">
            <w:pPr>
              <w:spacing w:after="0"/>
              <w:ind w:left="-20" w:right="-20"/>
              <w:rPr>
                <w:sz w:val="22"/>
                <w:szCs w:val="22"/>
              </w:rPr>
            </w:pPr>
            <w:r w:rsidRPr="00576AF8">
              <w:rPr>
                <w:sz w:val="22"/>
                <w:szCs w:val="22"/>
                <w:lang w:val="es-419"/>
              </w:rPr>
              <w:t>DNP 3.0 Master</w:t>
            </w:r>
          </w:p>
        </w:tc>
        <w:tc>
          <w:tcPr>
            <w:tcW w:w="6606"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2504BF9E" w14:textId="77777777" w:rsidR="009102A7" w:rsidRPr="00576AF8" w:rsidRDefault="009102A7" w:rsidP="009F6B78">
            <w:pPr>
              <w:spacing w:after="0"/>
              <w:ind w:left="-20" w:right="-20"/>
              <w:rPr>
                <w:sz w:val="22"/>
                <w:szCs w:val="22"/>
              </w:rPr>
            </w:pPr>
            <w:r w:rsidRPr="00576AF8">
              <w:rPr>
                <w:sz w:val="22"/>
                <w:szCs w:val="22"/>
                <w:lang w:val="es-419"/>
              </w:rPr>
              <w:t>El controlador maestro DNP 3 se utiliza para monitorear y controlar unidades terminales remotas (RTU) y otros dispositivos electrónicos inteligentes (IED). Recibe datos digitales y analógicos y envía comandos.</w:t>
            </w:r>
          </w:p>
          <w:p w14:paraId="4237C78C" w14:textId="77777777" w:rsidR="009102A7" w:rsidRPr="00576AF8" w:rsidRDefault="009102A7" w:rsidP="009F6B78">
            <w:pPr>
              <w:spacing w:after="0"/>
              <w:ind w:left="-20" w:right="-20"/>
              <w:rPr>
                <w:sz w:val="22"/>
                <w:szCs w:val="22"/>
              </w:rPr>
            </w:pPr>
            <w:r w:rsidRPr="00576AF8">
              <w:rPr>
                <w:sz w:val="22"/>
                <w:szCs w:val="22"/>
                <w:lang w:val="es-419"/>
              </w:rPr>
              <w:t>DNP3 admite comunicaciones de múltiples esclavos, de igual a igual y de múltiples maestros.</w:t>
            </w:r>
          </w:p>
        </w:tc>
      </w:tr>
      <w:tr w:rsidR="009102A7" w:rsidRPr="00576AF8" w14:paraId="4B5C9118" w14:textId="77777777" w:rsidTr="009F6B78">
        <w:trPr>
          <w:trHeight w:val="735"/>
        </w:trPr>
        <w:tc>
          <w:tcPr>
            <w:tcW w:w="62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1ED3FC65" w14:textId="77777777" w:rsidR="009102A7" w:rsidRPr="00576AF8" w:rsidRDefault="009102A7" w:rsidP="009F6B78">
            <w:pPr>
              <w:spacing w:after="0"/>
              <w:ind w:left="-20" w:right="-20"/>
              <w:rPr>
                <w:sz w:val="22"/>
                <w:szCs w:val="22"/>
              </w:rPr>
            </w:pPr>
            <w:r w:rsidRPr="00576AF8">
              <w:rPr>
                <w:sz w:val="22"/>
                <w:szCs w:val="22"/>
                <w:lang w:val="es-419"/>
              </w:rPr>
              <w:t>2</w:t>
            </w:r>
          </w:p>
        </w:tc>
        <w:tc>
          <w:tcPr>
            <w:tcW w:w="181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4586690F" w14:textId="77777777" w:rsidR="009102A7" w:rsidRPr="00576AF8" w:rsidRDefault="009102A7" w:rsidP="009F6B78">
            <w:pPr>
              <w:spacing w:after="0"/>
              <w:ind w:left="-20" w:right="-20"/>
              <w:rPr>
                <w:sz w:val="22"/>
                <w:szCs w:val="22"/>
              </w:rPr>
            </w:pPr>
            <w:r w:rsidRPr="00576AF8">
              <w:rPr>
                <w:sz w:val="22"/>
                <w:szCs w:val="22"/>
                <w:lang w:val="es-419"/>
              </w:rPr>
              <w:t>DNP 3.0 Slave</w:t>
            </w:r>
          </w:p>
        </w:tc>
        <w:tc>
          <w:tcPr>
            <w:tcW w:w="6606"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50795165" w14:textId="77777777" w:rsidR="009102A7" w:rsidRPr="00576AF8" w:rsidRDefault="009102A7" w:rsidP="009F6B78">
            <w:pPr>
              <w:spacing w:after="0"/>
              <w:ind w:left="-20" w:right="-20"/>
              <w:rPr>
                <w:sz w:val="22"/>
                <w:szCs w:val="22"/>
              </w:rPr>
            </w:pPr>
            <w:r w:rsidRPr="00576AF8">
              <w:rPr>
                <w:sz w:val="22"/>
                <w:szCs w:val="22"/>
                <w:lang w:val="es-419"/>
              </w:rPr>
              <w:t>El controlador esclavo DNP3 se utiliza para la comunicación con sistemas SCADA y otros dispositivos maestros DNP3.</w:t>
            </w:r>
          </w:p>
          <w:p w14:paraId="59346D93" w14:textId="77777777" w:rsidR="009102A7" w:rsidRPr="00576AF8" w:rsidRDefault="009102A7" w:rsidP="009F6B78">
            <w:pPr>
              <w:spacing w:after="0"/>
              <w:ind w:left="-20" w:right="-20"/>
              <w:rPr>
                <w:sz w:val="22"/>
                <w:szCs w:val="22"/>
              </w:rPr>
            </w:pPr>
            <w:r w:rsidRPr="00576AF8">
              <w:rPr>
                <w:sz w:val="22"/>
                <w:szCs w:val="22"/>
                <w:lang w:val="es-419"/>
              </w:rPr>
              <w:t xml:space="preserve"> </w:t>
            </w:r>
          </w:p>
        </w:tc>
      </w:tr>
      <w:tr w:rsidR="009102A7" w:rsidRPr="00576AF8" w14:paraId="7863A4DB" w14:textId="77777777" w:rsidTr="009F6B78">
        <w:trPr>
          <w:trHeight w:val="2190"/>
        </w:trPr>
        <w:tc>
          <w:tcPr>
            <w:tcW w:w="2448"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393726C0" w14:textId="77777777" w:rsidR="009102A7" w:rsidRPr="00576AF8" w:rsidRDefault="009102A7" w:rsidP="009F6B78">
            <w:pPr>
              <w:spacing w:after="0"/>
              <w:ind w:left="-20" w:right="-20"/>
              <w:rPr>
                <w:sz w:val="22"/>
                <w:szCs w:val="22"/>
              </w:rPr>
            </w:pPr>
            <w:r w:rsidRPr="00576AF8">
              <w:rPr>
                <w:sz w:val="22"/>
                <w:szCs w:val="22"/>
                <w:lang w:val="es-419"/>
              </w:rPr>
              <w:t>TASE.2 drivers</w:t>
            </w:r>
          </w:p>
        </w:tc>
        <w:tc>
          <w:tcPr>
            <w:tcW w:w="6606" w:type="dxa"/>
            <w:tcBorders>
              <w:top w:val="single" w:sz="8" w:space="0" w:color="B7DDE8"/>
              <w:left w:val="nil"/>
              <w:bottom w:val="single" w:sz="8" w:space="0" w:color="B7DDE8"/>
              <w:right w:val="single" w:sz="8" w:space="0" w:color="B7DDE8"/>
            </w:tcBorders>
            <w:tcMar>
              <w:left w:w="108" w:type="dxa"/>
              <w:right w:w="108" w:type="dxa"/>
            </w:tcMar>
            <w:vAlign w:val="center"/>
          </w:tcPr>
          <w:p w14:paraId="13D67635" w14:textId="77777777" w:rsidR="009102A7" w:rsidRPr="00576AF8" w:rsidRDefault="009102A7" w:rsidP="009F6B78">
            <w:pPr>
              <w:spacing w:after="0"/>
              <w:ind w:left="-20" w:right="-20"/>
              <w:rPr>
                <w:sz w:val="22"/>
                <w:szCs w:val="22"/>
              </w:rPr>
            </w:pPr>
            <w:r w:rsidRPr="00576AF8">
              <w:rPr>
                <w:sz w:val="22"/>
                <w:szCs w:val="22"/>
                <w:lang w:val="es-419"/>
              </w:rPr>
              <w:t xml:space="preserve">El protocolo TASE.2 (Elemento de servicio de aplicación de </w:t>
            </w:r>
            <w:r w:rsidRPr="00576AF8">
              <w:rPr>
                <w:i/>
                <w:iCs/>
                <w:sz w:val="22"/>
                <w:szCs w:val="22"/>
                <w:lang w:val="es-419"/>
              </w:rPr>
              <w:t>telecontrol- Telecontrol Application Service Element</w:t>
            </w:r>
            <w:r w:rsidRPr="00576AF8">
              <w:rPr>
                <w:sz w:val="22"/>
                <w:szCs w:val="22"/>
                <w:lang w:val="es-419"/>
              </w:rPr>
              <w:t xml:space="preserve">) es un protocolo de comunicación que se utiliza para las comunicaciones entre centros de control. El protocolo utiliza MMS (Especificación de mensajes de fabricación - </w:t>
            </w:r>
            <w:r w:rsidRPr="00576AF8">
              <w:rPr>
                <w:i/>
                <w:iCs/>
                <w:sz w:val="22"/>
                <w:szCs w:val="22"/>
                <w:lang w:val="es-419"/>
              </w:rPr>
              <w:t>Manufacturing Message Specification</w:t>
            </w:r>
            <w:r w:rsidRPr="00576AF8">
              <w:rPr>
                <w:sz w:val="22"/>
                <w:szCs w:val="22"/>
                <w:lang w:val="es-419"/>
              </w:rPr>
              <w:t>) con un esfuerzo por estandarizar el intercambio de datos en tiempo real entre la industria de la energía eléctrica. Al principio el protocolo se denominó protocolo ICCP y luego de someterse a la estandarización IEC se denominó protocolo TASE o estándar IEC 60870-6.</w:t>
            </w:r>
          </w:p>
          <w:p w14:paraId="25819CA8" w14:textId="77777777" w:rsidR="009102A7" w:rsidRPr="00576AF8" w:rsidRDefault="009102A7" w:rsidP="009F6B78">
            <w:pPr>
              <w:spacing w:after="0"/>
              <w:ind w:left="-20" w:right="-20"/>
              <w:rPr>
                <w:sz w:val="22"/>
                <w:szCs w:val="22"/>
              </w:rPr>
            </w:pPr>
            <w:r w:rsidRPr="00576AF8">
              <w:rPr>
                <w:sz w:val="22"/>
                <w:szCs w:val="22"/>
                <w:lang w:val="es-419"/>
              </w:rPr>
              <w:t>TASE.2 utiliza una especificación de dominio heredada de la especificación MMS que define el alcance de cada variable. Cada variable puede estar en el ámbito global o en el ámbito del dominio.</w:t>
            </w:r>
          </w:p>
        </w:tc>
      </w:tr>
      <w:tr w:rsidR="009102A7" w:rsidRPr="00576AF8" w14:paraId="0CEF3BEA" w14:textId="77777777" w:rsidTr="009F6B78">
        <w:trPr>
          <w:trHeight w:val="285"/>
        </w:trPr>
        <w:tc>
          <w:tcPr>
            <w:tcW w:w="2448"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21B85EDF" w14:textId="77777777" w:rsidR="009102A7" w:rsidRPr="00576AF8" w:rsidRDefault="009102A7" w:rsidP="009F6B78">
            <w:pPr>
              <w:spacing w:after="0"/>
              <w:ind w:left="-20" w:right="-20"/>
              <w:rPr>
                <w:sz w:val="22"/>
                <w:szCs w:val="22"/>
              </w:rPr>
            </w:pPr>
            <w:r w:rsidRPr="00576AF8">
              <w:rPr>
                <w:sz w:val="22"/>
                <w:szCs w:val="22"/>
                <w:lang w:val="es-419"/>
              </w:rPr>
              <w:t>IEEE C37.118</w:t>
            </w:r>
          </w:p>
        </w:tc>
        <w:tc>
          <w:tcPr>
            <w:tcW w:w="6606" w:type="dxa"/>
            <w:tcBorders>
              <w:top w:val="single" w:sz="8" w:space="0" w:color="B7DDE8"/>
              <w:left w:val="nil"/>
              <w:bottom w:val="single" w:sz="8" w:space="0" w:color="B7DDE8"/>
              <w:right w:val="single" w:sz="8" w:space="0" w:color="B7DDE8"/>
            </w:tcBorders>
            <w:tcMar>
              <w:left w:w="108" w:type="dxa"/>
              <w:right w:w="108" w:type="dxa"/>
            </w:tcMar>
            <w:vAlign w:val="center"/>
          </w:tcPr>
          <w:p w14:paraId="391C477C" w14:textId="77777777" w:rsidR="009102A7" w:rsidRPr="00576AF8" w:rsidRDefault="009102A7" w:rsidP="009F6B78">
            <w:pPr>
              <w:spacing w:after="0"/>
              <w:ind w:left="-20" w:right="-20"/>
              <w:rPr>
                <w:sz w:val="22"/>
                <w:szCs w:val="22"/>
              </w:rPr>
            </w:pPr>
            <w:r w:rsidRPr="00576AF8">
              <w:rPr>
                <w:sz w:val="22"/>
                <w:szCs w:val="22"/>
                <w:lang w:val="es-419"/>
              </w:rPr>
              <w:t xml:space="preserve">C37.118 es el estándar IEEE para mediciones sincrofasoriales para sistemas eléctricos. Define un método para el intercambio de datos de medición de fasores sincronizados entre equipos del sistema eléctrico. El estándar especifica mensajes que incluyen tipos, uso, contenidos y formatos de datos para la comunicación en tiempo real entre unidades de medición fasorial (PMU), concentradores de datos fasoriales (PDC) y otras aplicaciones. </w:t>
            </w:r>
          </w:p>
        </w:tc>
      </w:tr>
      <w:tr w:rsidR="009102A7" w:rsidRPr="00576AF8" w14:paraId="18C39CFD" w14:textId="77777777" w:rsidTr="009F6B78">
        <w:trPr>
          <w:trHeight w:val="855"/>
        </w:trPr>
        <w:tc>
          <w:tcPr>
            <w:tcW w:w="62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50DA27A5" w14:textId="77777777" w:rsidR="009102A7" w:rsidRPr="00576AF8" w:rsidRDefault="009102A7" w:rsidP="009F6B78">
            <w:pPr>
              <w:spacing w:after="0"/>
              <w:ind w:left="-20" w:right="-20"/>
              <w:rPr>
                <w:sz w:val="22"/>
                <w:szCs w:val="22"/>
              </w:rPr>
            </w:pPr>
            <w:r w:rsidRPr="00576AF8">
              <w:rPr>
                <w:sz w:val="22"/>
                <w:szCs w:val="22"/>
                <w:lang w:val="es-419"/>
              </w:rPr>
              <w:t>1</w:t>
            </w:r>
          </w:p>
        </w:tc>
        <w:tc>
          <w:tcPr>
            <w:tcW w:w="1819" w:type="dxa"/>
            <w:tcBorders>
              <w:top w:val="nil"/>
              <w:left w:val="single" w:sz="8" w:space="0" w:color="B7DDE8"/>
              <w:bottom w:val="single" w:sz="8" w:space="0" w:color="B7DDE8"/>
              <w:right w:val="single" w:sz="8" w:space="0" w:color="B7DDE8"/>
            </w:tcBorders>
            <w:tcMar>
              <w:left w:w="108" w:type="dxa"/>
              <w:right w:w="108" w:type="dxa"/>
            </w:tcMar>
            <w:vAlign w:val="center"/>
          </w:tcPr>
          <w:p w14:paraId="5C2FC227" w14:textId="77777777" w:rsidR="009102A7" w:rsidRPr="00576AF8" w:rsidRDefault="009102A7" w:rsidP="009F6B78">
            <w:pPr>
              <w:spacing w:after="0"/>
              <w:ind w:left="-20" w:right="-20"/>
              <w:rPr>
                <w:sz w:val="22"/>
                <w:szCs w:val="22"/>
              </w:rPr>
            </w:pPr>
            <w:r w:rsidRPr="00576AF8">
              <w:rPr>
                <w:sz w:val="22"/>
                <w:szCs w:val="22"/>
                <w:lang w:val="es-419"/>
              </w:rPr>
              <w:t xml:space="preserve">IEEE C37.118 Client Driver </w:t>
            </w:r>
          </w:p>
        </w:tc>
        <w:tc>
          <w:tcPr>
            <w:tcW w:w="6606"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2F382A83" w14:textId="77777777" w:rsidR="009102A7" w:rsidRPr="00576AF8" w:rsidRDefault="009102A7" w:rsidP="009F6B78">
            <w:pPr>
              <w:spacing w:after="0"/>
              <w:ind w:left="-20" w:right="-20"/>
              <w:rPr>
                <w:sz w:val="22"/>
                <w:szCs w:val="22"/>
              </w:rPr>
            </w:pPr>
            <w:r w:rsidRPr="00576AF8">
              <w:rPr>
                <w:sz w:val="22"/>
                <w:szCs w:val="22"/>
                <w:lang w:val="es-419"/>
              </w:rPr>
              <w:t>El controlador se utiliza para la comunicación con un dispositivo PMU (Unidad de medición fasorial) según el estándar IEEE C37.118. Canal de cliente TCP/UDP compatible.</w:t>
            </w:r>
          </w:p>
        </w:tc>
      </w:tr>
      <w:tr w:rsidR="009102A7" w:rsidRPr="00576AF8" w14:paraId="437BF180" w14:textId="77777777" w:rsidTr="009F6B78">
        <w:trPr>
          <w:trHeight w:val="1080"/>
        </w:trPr>
        <w:tc>
          <w:tcPr>
            <w:tcW w:w="62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236A4EA2" w14:textId="77777777" w:rsidR="009102A7" w:rsidRPr="00576AF8" w:rsidRDefault="009102A7" w:rsidP="009F6B78">
            <w:pPr>
              <w:spacing w:after="0"/>
              <w:ind w:left="-20" w:right="-20"/>
              <w:rPr>
                <w:sz w:val="22"/>
                <w:szCs w:val="22"/>
              </w:rPr>
            </w:pPr>
            <w:r w:rsidRPr="00576AF8">
              <w:rPr>
                <w:sz w:val="22"/>
                <w:szCs w:val="22"/>
                <w:lang w:val="es-419"/>
              </w:rPr>
              <w:t>2</w:t>
            </w:r>
          </w:p>
        </w:tc>
        <w:tc>
          <w:tcPr>
            <w:tcW w:w="1819"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40576396" w14:textId="77777777" w:rsidR="009102A7" w:rsidRPr="00576AF8" w:rsidRDefault="009102A7" w:rsidP="009F6B78">
            <w:pPr>
              <w:spacing w:after="0"/>
              <w:ind w:left="-20" w:right="-20"/>
              <w:rPr>
                <w:sz w:val="22"/>
                <w:szCs w:val="22"/>
              </w:rPr>
            </w:pPr>
            <w:r w:rsidRPr="00576AF8">
              <w:rPr>
                <w:sz w:val="22"/>
                <w:szCs w:val="22"/>
                <w:lang w:val="es-419"/>
              </w:rPr>
              <w:t>IEEE C37.118 Server Driver</w:t>
            </w:r>
          </w:p>
        </w:tc>
        <w:tc>
          <w:tcPr>
            <w:tcW w:w="6606" w:type="dxa"/>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739436F3" w14:textId="77777777" w:rsidR="009102A7" w:rsidRPr="00576AF8" w:rsidRDefault="009102A7" w:rsidP="009F6B78">
            <w:pPr>
              <w:spacing w:after="0"/>
              <w:ind w:left="-20" w:right="-20"/>
              <w:rPr>
                <w:sz w:val="22"/>
                <w:szCs w:val="22"/>
              </w:rPr>
            </w:pPr>
            <w:r w:rsidRPr="00576AF8">
              <w:rPr>
                <w:sz w:val="22"/>
                <w:szCs w:val="22"/>
                <w:lang w:val="es-419"/>
              </w:rPr>
              <w:t>El controlador se utiliza para la comunicación con otros PDC según el estándar IEEE C37.118.</w:t>
            </w:r>
          </w:p>
          <w:p w14:paraId="180CF0BB" w14:textId="77777777" w:rsidR="009102A7" w:rsidRPr="00576AF8" w:rsidRDefault="009102A7" w:rsidP="009F6B78">
            <w:pPr>
              <w:spacing w:after="0"/>
              <w:ind w:left="-20" w:right="-20"/>
              <w:rPr>
                <w:sz w:val="22"/>
                <w:szCs w:val="22"/>
              </w:rPr>
            </w:pPr>
            <w:r w:rsidRPr="00576AF8">
              <w:rPr>
                <w:sz w:val="22"/>
                <w:szCs w:val="22"/>
                <w:lang w:val="es-419"/>
              </w:rPr>
              <w:t>Canal de servidor TCP/UDP compatible.</w:t>
            </w:r>
          </w:p>
        </w:tc>
      </w:tr>
      <w:tr w:rsidR="009102A7" w:rsidRPr="00576AF8" w14:paraId="503EADB7" w14:textId="77777777" w:rsidTr="009F6B78">
        <w:trPr>
          <w:trHeight w:val="761"/>
        </w:trPr>
        <w:tc>
          <w:tcPr>
            <w:tcW w:w="2448"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vAlign w:val="center"/>
          </w:tcPr>
          <w:p w14:paraId="04ECA4DA" w14:textId="77777777" w:rsidR="009102A7" w:rsidRPr="00576AF8" w:rsidRDefault="009102A7" w:rsidP="009F6B78">
            <w:pPr>
              <w:spacing w:after="0"/>
              <w:ind w:left="-20" w:right="-20"/>
              <w:rPr>
                <w:sz w:val="22"/>
                <w:szCs w:val="22"/>
              </w:rPr>
            </w:pPr>
            <w:r w:rsidRPr="00576AF8">
              <w:rPr>
                <w:sz w:val="22"/>
                <w:szCs w:val="22"/>
                <w:lang w:val="es-419"/>
              </w:rPr>
              <w:t>OPC</w:t>
            </w:r>
          </w:p>
        </w:tc>
        <w:tc>
          <w:tcPr>
            <w:tcW w:w="6606" w:type="dxa"/>
            <w:tcBorders>
              <w:top w:val="single" w:sz="8" w:space="0" w:color="B7DDE8"/>
              <w:left w:val="nil"/>
              <w:bottom w:val="single" w:sz="8" w:space="0" w:color="B7DDE8"/>
              <w:right w:val="single" w:sz="8" w:space="0" w:color="B7DDE8"/>
            </w:tcBorders>
            <w:tcMar>
              <w:left w:w="108" w:type="dxa"/>
              <w:right w:w="108" w:type="dxa"/>
            </w:tcMar>
            <w:vAlign w:val="center"/>
          </w:tcPr>
          <w:p w14:paraId="057D0183" w14:textId="77777777" w:rsidR="009102A7" w:rsidRPr="00576AF8" w:rsidRDefault="009102A7" w:rsidP="009F6B78">
            <w:pPr>
              <w:spacing w:after="0"/>
              <w:ind w:left="-20" w:right="-20"/>
              <w:rPr>
                <w:sz w:val="22"/>
                <w:szCs w:val="22"/>
              </w:rPr>
            </w:pPr>
            <w:r w:rsidRPr="00576AF8">
              <w:rPr>
                <w:sz w:val="22"/>
                <w:szCs w:val="22"/>
                <w:lang w:val="es-419"/>
              </w:rPr>
              <w:t>OPC (</w:t>
            </w:r>
            <w:r w:rsidRPr="00576AF8">
              <w:rPr>
                <w:i/>
                <w:iCs/>
                <w:sz w:val="22"/>
                <w:szCs w:val="22"/>
                <w:lang w:val="es-419"/>
              </w:rPr>
              <w:t>Ole For Process Control</w:t>
            </w:r>
            <w:r w:rsidRPr="00576AF8">
              <w:rPr>
                <w:sz w:val="22"/>
                <w:szCs w:val="22"/>
                <w:lang w:val="es-419"/>
              </w:rPr>
              <w:t>) se trata de un protocolo de comunicación comúnmente utilizado en el área industrial, el cual está enfocado en el intercambio de datos dentro de un entorno de automatización industrial. Entre las principales ventajas que presenta es el de disponer de una plataforma independiente, de manera que se logre una integración de dispositivos de distintos fabricantes.</w:t>
            </w:r>
          </w:p>
          <w:p w14:paraId="27AFA88D" w14:textId="77777777" w:rsidR="009102A7" w:rsidRPr="00576AF8" w:rsidRDefault="009102A7" w:rsidP="009F6B78">
            <w:pPr>
              <w:spacing w:after="0"/>
              <w:ind w:left="-20" w:right="-20"/>
              <w:rPr>
                <w:sz w:val="22"/>
                <w:szCs w:val="22"/>
              </w:rPr>
            </w:pPr>
            <w:r w:rsidRPr="00576AF8">
              <w:rPr>
                <w:sz w:val="22"/>
                <w:szCs w:val="22"/>
                <w:lang w:val="es-419"/>
              </w:rPr>
              <w:t>Los controladores compatibles con OPC son:</w:t>
            </w:r>
          </w:p>
          <w:p w14:paraId="18E1F846" w14:textId="77777777" w:rsidR="009102A7" w:rsidRPr="00576AF8" w:rsidRDefault="009102A7" w:rsidP="009F6B78">
            <w:pPr>
              <w:spacing w:after="0"/>
              <w:ind w:left="-20" w:right="-20"/>
              <w:rPr>
                <w:sz w:val="22"/>
                <w:lang w:val="pt-BR"/>
              </w:rPr>
            </w:pPr>
            <w:r w:rsidRPr="00576AF8">
              <w:rPr>
                <w:sz w:val="22"/>
                <w:lang w:val="pt-BR"/>
              </w:rPr>
              <w:t>Controlador de servidor OPC UA (Arquitectura Unificada),</w:t>
            </w:r>
          </w:p>
          <w:p w14:paraId="2FFE611C" w14:textId="77777777" w:rsidR="009102A7" w:rsidRPr="00576AF8" w:rsidRDefault="009102A7" w:rsidP="009F6B78">
            <w:pPr>
              <w:spacing w:after="0"/>
              <w:ind w:left="-20" w:right="-20"/>
              <w:rPr>
                <w:sz w:val="22"/>
                <w:szCs w:val="22"/>
              </w:rPr>
            </w:pPr>
            <w:r w:rsidRPr="00576AF8">
              <w:rPr>
                <w:sz w:val="22"/>
                <w:szCs w:val="22"/>
                <w:lang w:val="es-419"/>
              </w:rPr>
              <w:t>Controlador de cliente OPC UA,</w:t>
            </w:r>
          </w:p>
          <w:p w14:paraId="4CE0342E" w14:textId="77777777" w:rsidR="009102A7" w:rsidRPr="00576AF8" w:rsidRDefault="009102A7" w:rsidP="009F6B78">
            <w:pPr>
              <w:keepNext/>
              <w:spacing w:after="0"/>
              <w:ind w:left="-20" w:right="-20"/>
              <w:rPr>
                <w:sz w:val="22"/>
                <w:szCs w:val="22"/>
              </w:rPr>
            </w:pPr>
            <w:r w:rsidRPr="00576AF8">
              <w:rPr>
                <w:sz w:val="22"/>
                <w:szCs w:val="22"/>
                <w:lang w:val="es-419"/>
              </w:rPr>
              <w:lastRenderedPageBreak/>
              <w:t>Los controladores de cliente OPC UA se utilizan para el intercambio de datos con dispositivos que admiten el protocolo de comunicación según el estándar OPC. De esta manera se puede realizar el intercambio de datos con cualquier dispositivo independientemente del proveedor de hardware. Los dispositivos pueden ser RTU, IED, dispositivos de protección o cualquier puerta de enlace de comunicación. Los controladores de servidor OPC (UA o DA) se utilizan para el intercambio de datos con dispositivos que admiten el protocolo de comunicación del cliente según el estándar OPC.</w:t>
            </w:r>
          </w:p>
        </w:tc>
      </w:tr>
    </w:tbl>
    <w:bookmarkEnd w:id="1104"/>
    <w:p w14:paraId="0F9B19A1" w14:textId="77777777" w:rsidR="009102A7" w:rsidRPr="00576AF8" w:rsidRDefault="009102A7" w:rsidP="009102A7">
      <w:pPr>
        <w:spacing w:before="120"/>
        <w:jc w:val="center"/>
        <w:rPr>
          <w:b/>
          <w:sz w:val="22"/>
          <w:szCs w:val="22"/>
        </w:rPr>
      </w:pPr>
      <w:r w:rsidRPr="00576AF8">
        <w:rPr>
          <w:b/>
          <w:sz w:val="22"/>
          <w:szCs w:val="22"/>
        </w:rPr>
        <w:lastRenderedPageBreak/>
        <w:t xml:space="preserve">Tabla </w:t>
      </w:r>
      <w:r w:rsidR="00467979" w:rsidRPr="00576AF8">
        <w:rPr>
          <w:b/>
          <w:sz w:val="22"/>
          <w:szCs w:val="22"/>
        </w:rPr>
        <w:t>9</w:t>
      </w:r>
      <w:r w:rsidRPr="00576AF8">
        <w:rPr>
          <w:b/>
          <w:sz w:val="22"/>
          <w:szCs w:val="22"/>
        </w:rPr>
        <w:t>. Protocolos de Comunicación requeridos para WAMS</w:t>
      </w:r>
    </w:p>
    <w:p w14:paraId="4C32E84A" w14:textId="77777777" w:rsidR="009102A7" w:rsidRPr="00576AF8" w:rsidRDefault="009102A7" w:rsidP="009102A7">
      <w:pPr>
        <w:rPr>
          <w:rFonts w:eastAsia="Arial"/>
        </w:rPr>
      </w:pPr>
    </w:p>
    <w:p w14:paraId="58063E91" w14:textId="77777777" w:rsidR="009102A7" w:rsidRPr="00576AF8" w:rsidRDefault="009102A7" w:rsidP="009102A7">
      <w:pPr>
        <w:rPr>
          <w:rFonts w:eastAsia="Arial"/>
        </w:rPr>
      </w:pPr>
    </w:p>
    <w:tbl>
      <w:tblPr>
        <w:tblW w:w="0" w:type="auto"/>
        <w:tblLayout w:type="fixed"/>
        <w:tblLook w:val="0600" w:firstRow="0" w:lastRow="0" w:firstColumn="0" w:lastColumn="0" w:noHBand="1" w:noVBand="1"/>
      </w:tblPr>
      <w:tblGrid>
        <w:gridCol w:w="617"/>
        <w:gridCol w:w="1822"/>
        <w:gridCol w:w="6782"/>
      </w:tblGrid>
      <w:tr w:rsidR="009102A7" w:rsidRPr="00576AF8" w14:paraId="58584F08" w14:textId="77777777" w:rsidTr="009F6B78">
        <w:trPr>
          <w:trHeight w:val="742"/>
        </w:trPr>
        <w:tc>
          <w:tcPr>
            <w:tcW w:w="2439" w:type="dxa"/>
            <w:gridSpan w:val="2"/>
            <w:tcBorders>
              <w:top w:val="single" w:sz="8" w:space="0" w:color="B7DDE8"/>
              <w:left w:val="single" w:sz="8" w:space="0" w:color="B7DDE8"/>
              <w:bottom w:val="single" w:sz="8" w:space="0" w:color="B7DDE8"/>
              <w:right w:val="single" w:sz="8" w:space="0" w:color="B7DDE8"/>
            </w:tcBorders>
            <w:shd w:val="clear" w:color="auto" w:fill="DBE5F1"/>
            <w:tcMar>
              <w:left w:w="108" w:type="dxa"/>
              <w:right w:w="108" w:type="dxa"/>
            </w:tcMar>
            <w:vAlign w:val="center"/>
          </w:tcPr>
          <w:p w14:paraId="029B18CC" w14:textId="77777777" w:rsidR="009102A7" w:rsidRPr="00576AF8" w:rsidRDefault="009102A7" w:rsidP="009F6B78">
            <w:pPr>
              <w:spacing w:after="0"/>
              <w:ind w:left="-20" w:right="-20"/>
              <w:rPr>
                <w:sz w:val="22"/>
                <w:szCs w:val="22"/>
              </w:rPr>
            </w:pPr>
            <w:bookmarkStart w:id="1105" w:name="OLE_LINK2"/>
            <w:r w:rsidRPr="00576AF8">
              <w:rPr>
                <w:sz w:val="22"/>
                <w:szCs w:val="22"/>
                <w:lang w:val="es-419"/>
              </w:rPr>
              <w:t>PROTOCOLO</w:t>
            </w:r>
          </w:p>
        </w:tc>
        <w:tc>
          <w:tcPr>
            <w:tcW w:w="6782" w:type="dxa"/>
            <w:tcBorders>
              <w:top w:val="single" w:sz="8" w:space="0" w:color="B7DDE8"/>
              <w:left w:val="nil"/>
              <w:bottom w:val="single" w:sz="8" w:space="0" w:color="B7DDE8"/>
              <w:right w:val="single" w:sz="8" w:space="0" w:color="B7DDE8"/>
            </w:tcBorders>
            <w:shd w:val="clear" w:color="auto" w:fill="DBE5F1"/>
            <w:tcMar>
              <w:left w:w="108" w:type="dxa"/>
              <w:right w:w="108" w:type="dxa"/>
            </w:tcMar>
            <w:vAlign w:val="center"/>
          </w:tcPr>
          <w:p w14:paraId="1312EE9A" w14:textId="77777777" w:rsidR="009102A7" w:rsidRPr="00576AF8" w:rsidRDefault="009102A7" w:rsidP="009F6B78">
            <w:pPr>
              <w:spacing w:after="0"/>
              <w:ind w:left="-20" w:right="-20"/>
              <w:rPr>
                <w:sz w:val="22"/>
                <w:szCs w:val="22"/>
              </w:rPr>
            </w:pPr>
            <w:r w:rsidRPr="00576AF8">
              <w:rPr>
                <w:sz w:val="22"/>
                <w:szCs w:val="22"/>
                <w:lang w:val="es-419"/>
              </w:rPr>
              <w:t>DESCRIPCIÓN</w:t>
            </w:r>
          </w:p>
        </w:tc>
      </w:tr>
      <w:tr w:rsidR="009102A7" w:rsidRPr="00576AF8" w14:paraId="75656ACA" w14:textId="77777777" w:rsidTr="009F6B78">
        <w:trPr>
          <w:trHeight w:val="1369"/>
        </w:trPr>
        <w:tc>
          <w:tcPr>
            <w:tcW w:w="2439"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tcPr>
          <w:p w14:paraId="4EDCC284" w14:textId="77777777" w:rsidR="009102A7" w:rsidRPr="00576AF8" w:rsidRDefault="009102A7" w:rsidP="009F6B78">
            <w:pPr>
              <w:spacing w:after="0"/>
              <w:ind w:left="-20" w:right="-20"/>
              <w:rPr>
                <w:sz w:val="22"/>
                <w:szCs w:val="22"/>
              </w:rPr>
            </w:pPr>
            <w:r w:rsidRPr="00576AF8">
              <w:rPr>
                <w:sz w:val="22"/>
                <w:szCs w:val="22"/>
                <w:lang w:val="es-419"/>
              </w:rPr>
              <w:t>DNP 3.0</w:t>
            </w:r>
          </w:p>
        </w:tc>
        <w:tc>
          <w:tcPr>
            <w:tcW w:w="6782" w:type="dxa"/>
            <w:tcBorders>
              <w:top w:val="single" w:sz="8" w:space="0" w:color="B7DDE8"/>
              <w:left w:val="nil"/>
              <w:bottom w:val="single" w:sz="8" w:space="0" w:color="B7DDE8"/>
              <w:right w:val="single" w:sz="8" w:space="0" w:color="B7DDE8"/>
            </w:tcBorders>
            <w:tcMar>
              <w:left w:w="108" w:type="dxa"/>
              <w:right w:w="108" w:type="dxa"/>
            </w:tcMar>
          </w:tcPr>
          <w:p w14:paraId="061F2F47" w14:textId="77777777" w:rsidR="009102A7" w:rsidRPr="00576AF8" w:rsidRDefault="009102A7" w:rsidP="009F6B78">
            <w:pPr>
              <w:spacing w:after="0"/>
              <w:ind w:left="-20" w:right="-20"/>
              <w:rPr>
                <w:sz w:val="22"/>
                <w:szCs w:val="22"/>
              </w:rPr>
            </w:pPr>
            <w:r w:rsidRPr="00576AF8">
              <w:rPr>
                <w:sz w:val="22"/>
                <w:szCs w:val="22"/>
                <w:lang w:val="es-419"/>
              </w:rPr>
              <w:t>DNP 3 o Protocolo de red distribuida versión 3.3 (Distributed Network Protocol Version 3.3) es un estándar de telecomunicaciones que define las comunicaciones entre estaciones maestras, unidades terminales remotas (RTU) y otros dispositivos electrónicos inteligentes (IED). Fue desarrollado para lograr la interoperabilidad entre sistemas en las industrias de servicios eléctricos, gas de petróleo, agua o aguas residuales y seguridad.</w:t>
            </w:r>
          </w:p>
        </w:tc>
      </w:tr>
      <w:tr w:rsidR="009102A7" w:rsidRPr="00576AF8" w14:paraId="4448276E" w14:textId="77777777" w:rsidTr="009F6B78">
        <w:trPr>
          <w:trHeight w:val="1514"/>
        </w:trPr>
        <w:tc>
          <w:tcPr>
            <w:tcW w:w="617" w:type="dxa"/>
            <w:tcBorders>
              <w:top w:val="single" w:sz="8" w:space="0" w:color="B7DDE8"/>
              <w:left w:val="single" w:sz="8" w:space="0" w:color="B7DDE8"/>
              <w:bottom w:val="single" w:sz="8" w:space="0" w:color="B7DDE8"/>
              <w:right w:val="single" w:sz="8" w:space="0" w:color="B7DDE8"/>
            </w:tcBorders>
            <w:tcMar>
              <w:left w:w="108" w:type="dxa"/>
              <w:right w:w="108" w:type="dxa"/>
            </w:tcMar>
          </w:tcPr>
          <w:p w14:paraId="4EBEC9D5" w14:textId="77777777" w:rsidR="009102A7" w:rsidRPr="00576AF8" w:rsidRDefault="009102A7" w:rsidP="009F6B78">
            <w:pPr>
              <w:spacing w:after="0"/>
              <w:ind w:left="-20" w:right="-20"/>
              <w:rPr>
                <w:sz w:val="22"/>
                <w:szCs w:val="22"/>
              </w:rPr>
            </w:pPr>
            <w:r w:rsidRPr="00576AF8">
              <w:rPr>
                <w:sz w:val="22"/>
                <w:szCs w:val="22"/>
                <w:lang w:val="es-419"/>
              </w:rPr>
              <w:t>1</w:t>
            </w:r>
          </w:p>
        </w:tc>
        <w:tc>
          <w:tcPr>
            <w:tcW w:w="1822" w:type="dxa"/>
            <w:tcBorders>
              <w:top w:val="nil"/>
              <w:left w:val="single" w:sz="8" w:space="0" w:color="B7DDE8"/>
              <w:bottom w:val="single" w:sz="8" w:space="0" w:color="B7DDE8"/>
              <w:right w:val="single" w:sz="8" w:space="0" w:color="B7DDE8"/>
            </w:tcBorders>
            <w:tcMar>
              <w:left w:w="108" w:type="dxa"/>
              <w:right w:w="108" w:type="dxa"/>
            </w:tcMar>
          </w:tcPr>
          <w:p w14:paraId="0851D35D" w14:textId="77777777" w:rsidR="009102A7" w:rsidRPr="00576AF8" w:rsidRDefault="009102A7" w:rsidP="009F6B78">
            <w:pPr>
              <w:spacing w:after="0"/>
              <w:ind w:left="-20" w:right="-20"/>
              <w:rPr>
                <w:sz w:val="22"/>
                <w:szCs w:val="22"/>
              </w:rPr>
            </w:pPr>
            <w:r w:rsidRPr="00576AF8">
              <w:rPr>
                <w:sz w:val="22"/>
                <w:szCs w:val="22"/>
                <w:lang w:val="es-419"/>
              </w:rPr>
              <w:t>DNP 3.0 Master</w:t>
            </w:r>
          </w:p>
        </w:tc>
        <w:tc>
          <w:tcPr>
            <w:tcW w:w="6782" w:type="dxa"/>
            <w:tcBorders>
              <w:top w:val="single" w:sz="8" w:space="0" w:color="B7DDE8"/>
              <w:left w:val="single" w:sz="8" w:space="0" w:color="B7DDE8"/>
              <w:bottom w:val="single" w:sz="8" w:space="0" w:color="B7DDE8"/>
              <w:right w:val="single" w:sz="8" w:space="0" w:color="B7DDE8"/>
            </w:tcBorders>
            <w:tcMar>
              <w:left w:w="108" w:type="dxa"/>
              <w:right w:w="108" w:type="dxa"/>
            </w:tcMar>
          </w:tcPr>
          <w:p w14:paraId="4626483D" w14:textId="77777777" w:rsidR="009102A7" w:rsidRPr="00576AF8" w:rsidRDefault="009102A7" w:rsidP="009F6B78">
            <w:pPr>
              <w:spacing w:after="0"/>
              <w:ind w:left="-20" w:right="-20"/>
              <w:rPr>
                <w:sz w:val="22"/>
                <w:szCs w:val="22"/>
              </w:rPr>
            </w:pPr>
            <w:r w:rsidRPr="00576AF8">
              <w:rPr>
                <w:sz w:val="22"/>
                <w:szCs w:val="22"/>
                <w:lang w:val="es-419"/>
              </w:rPr>
              <w:t>El controlador maestro DNP 3 se utiliza para monitorear y controlar unidades terminales remotas (RTU) y otros dispositivos electrónicos inteligentes (IED). Recibe datos digitales y analógicos y envía comandos.</w:t>
            </w:r>
          </w:p>
          <w:p w14:paraId="45AE2181" w14:textId="77777777" w:rsidR="009102A7" w:rsidRPr="00576AF8" w:rsidRDefault="009102A7" w:rsidP="009F6B78">
            <w:pPr>
              <w:spacing w:after="0"/>
              <w:ind w:left="-20" w:right="-20"/>
              <w:rPr>
                <w:sz w:val="22"/>
                <w:szCs w:val="22"/>
              </w:rPr>
            </w:pPr>
            <w:r w:rsidRPr="00576AF8">
              <w:rPr>
                <w:sz w:val="22"/>
                <w:szCs w:val="22"/>
                <w:lang w:val="es-419"/>
              </w:rPr>
              <w:t>DNP3 admite comunicaciones de múltiples esclavos, de igual a igual y de múltiples maestros.</w:t>
            </w:r>
          </w:p>
        </w:tc>
      </w:tr>
      <w:tr w:rsidR="009102A7" w:rsidRPr="00576AF8" w14:paraId="1F85749F" w14:textId="77777777" w:rsidTr="009F6B78">
        <w:trPr>
          <w:trHeight w:val="815"/>
        </w:trPr>
        <w:tc>
          <w:tcPr>
            <w:tcW w:w="617" w:type="dxa"/>
            <w:tcBorders>
              <w:top w:val="single" w:sz="8" w:space="0" w:color="B7DDE8"/>
              <w:left w:val="single" w:sz="8" w:space="0" w:color="B7DDE8"/>
              <w:bottom w:val="single" w:sz="8" w:space="0" w:color="B7DDE8"/>
              <w:right w:val="single" w:sz="8" w:space="0" w:color="B7DDE8"/>
            </w:tcBorders>
            <w:tcMar>
              <w:left w:w="108" w:type="dxa"/>
              <w:right w:w="108" w:type="dxa"/>
            </w:tcMar>
          </w:tcPr>
          <w:p w14:paraId="1F1D9170" w14:textId="77777777" w:rsidR="009102A7" w:rsidRPr="00576AF8" w:rsidRDefault="009102A7" w:rsidP="009F6B78">
            <w:pPr>
              <w:spacing w:after="0"/>
              <w:ind w:left="-20" w:right="-20"/>
              <w:rPr>
                <w:sz w:val="22"/>
                <w:szCs w:val="22"/>
              </w:rPr>
            </w:pPr>
            <w:r w:rsidRPr="00576AF8">
              <w:rPr>
                <w:sz w:val="22"/>
                <w:szCs w:val="22"/>
                <w:lang w:val="es-419"/>
              </w:rPr>
              <w:t>2</w:t>
            </w:r>
          </w:p>
        </w:tc>
        <w:tc>
          <w:tcPr>
            <w:tcW w:w="1822" w:type="dxa"/>
            <w:tcBorders>
              <w:top w:val="single" w:sz="8" w:space="0" w:color="B7DDE8"/>
              <w:left w:val="single" w:sz="8" w:space="0" w:color="B7DDE8"/>
              <w:bottom w:val="single" w:sz="8" w:space="0" w:color="B7DDE8"/>
              <w:right w:val="single" w:sz="8" w:space="0" w:color="B7DDE8"/>
            </w:tcBorders>
            <w:tcMar>
              <w:left w:w="108" w:type="dxa"/>
              <w:right w:w="108" w:type="dxa"/>
            </w:tcMar>
          </w:tcPr>
          <w:p w14:paraId="4C612D6F" w14:textId="77777777" w:rsidR="009102A7" w:rsidRPr="00576AF8" w:rsidRDefault="009102A7" w:rsidP="009F6B78">
            <w:pPr>
              <w:spacing w:after="0"/>
              <w:ind w:left="-20" w:right="-20"/>
              <w:rPr>
                <w:sz w:val="22"/>
                <w:szCs w:val="22"/>
              </w:rPr>
            </w:pPr>
            <w:r w:rsidRPr="00576AF8">
              <w:rPr>
                <w:sz w:val="22"/>
                <w:szCs w:val="22"/>
                <w:lang w:val="es-419"/>
              </w:rPr>
              <w:t>DNP 3.0 Slave</w:t>
            </w:r>
          </w:p>
        </w:tc>
        <w:tc>
          <w:tcPr>
            <w:tcW w:w="6782" w:type="dxa"/>
            <w:tcBorders>
              <w:top w:val="single" w:sz="8" w:space="0" w:color="B7DDE8"/>
              <w:left w:val="single" w:sz="8" w:space="0" w:color="B7DDE8"/>
              <w:bottom w:val="single" w:sz="8" w:space="0" w:color="B7DDE8"/>
              <w:right w:val="single" w:sz="8" w:space="0" w:color="B7DDE8"/>
            </w:tcBorders>
            <w:tcMar>
              <w:left w:w="108" w:type="dxa"/>
              <w:right w:w="108" w:type="dxa"/>
            </w:tcMar>
          </w:tcPr>
          <w:p w14:paraId="4718DA8F" w14:textId="77777777" w:rsidR="009102A7" w:rsidRPr="00576AF8" w:rsidRDefault="009102A7" w:rsidP="009F6B78">
            <w:pPr>
              <w:spacing w:after="0"/>
              <w:ind w:left="-20" w:right="-20"/>
              <w:rPr>
                <w:sz w:val="22"/>
                <w:szCs w:val="22"/>
              </w:rPr>
            </w:pPr>
            <w:r w:rsidRPr="00576AF8">
              <w:rPr>
                <w:sz w:val="22"/>
                <w:szCs w:val="22"/>
                <w:lang w:val="es-419"/>
              </w:rPr>
              <w:t>El controlador esclavo DNP3 se utiliza para la comunicación con sistemas SCADA y otros dispositivos maestros DNP3.</w:t>
            </w:r>
          </w:p>
        </w:tc>
      </w:tr>
      <w:tr w:rsidR="009102A7" w:rsidRPr="00576AF8" w14:paraId="5532F626" w14:textId="77777777" w:rsidTr="009F6B78">
        <w:trPr>
          <w:trHeight w:val="2461"/>
        </w:trPr>
        <w:tc>
          <w:tcPr>
            <w:tcW w:w="2439"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tcPr>
          <w:p w14:paraId="5DD7B4FA" w14:textId="77777777" w:rsidR="009102A7" w:rsidRPr="00576AF8" w:rsidRDefault="009102A7" w:rsidP="009F6B78">
            <w:pPr>
              <w:spacing w:after="0"/>
              <w:ind w:left="-20" w:right="-20"/>
              <w:rPr>
                <w:sz w:val="22"/>
                <w:szCs w:val="22"/>
              </w:rPr>
            </w:pPr>
            <w:r w:rsidRPr="00576AF8">
              <w:rPr>
                <w:sz w:val="22"/>
                <w:szCs w:val="22"/>
                <w:lang w:val="es-419"/>
              </w:rPr>
              <w:t>TASE.2 drivers</w:t>
            </w:r>
          </w:p>
        </w:tc>
        <w:tc>
          <w:tcPr>
            <w:tcW w:w="6782" w:type="dxa"/>
            <w:tcBorders>
              <w:top w:val="single" w:sz="8" w:space="0" w:color="B7DDE8"/>
              <w:left w:val="nil"/>
              <w:bottom w:val="single" w:sz="8" w:space="0" w:color="B7DDE8"/>
              <w:right w:val="single" w:sz="8" w:space="0" w:color="B7DDE8"/>
            </w:tcBorders>
            <w:tcMar>
              <w:left w:w="108" w:type="dxa"/>
              <w:right w:w="108" w:type="dxa"/>
            </w:tcMar>
          </w:tcPr>
          <w:p w14:paraId="3746C405" w14:textId="77777777" w:rsidR="009102A7" w:rsidRPr="00576AF8" w:rsidRDefault="009102A7" w:rsidP="009F6B78">
            <w:pPr>
              <w:spacing w:after="0"/>
              <w:ind w:left="-20" w:right="-20"/>
              <w:rPr>
                <w:sz w:val="22"/>
                <w:szCs w:val="22"/>
              </w:rPr>
            </w:pPr>
            <w:r w:rsidRPr="00576AF8">
              <w:rPr>
                <w:sz w:val="22"/>
                <w:szCs w:val="22"/>
                <w:lang w:val="es-419"/>
              </w:rPr>
              <w:t>El protocolo TASE.2 (Elemento de servicio de aplicación de telecontrolTASE.2 (- Telecontrol Application Service Element) es un protocolo de comunicación que se utiliza para las comunicaciones entre centros de control. El protocolo utiliza MMS (Especificación de mensajes de fabricación - Manufacturing Message Specification) con un esfuerzo por estandarizar el intercambio de datos en tiempo real entre la industria de la energía eléctrica. Al principio el protocolo se denominó protocolo ICCP y luego de someterse a la estandarización IEC se denominó protocolo TASE o estándar IEC 60870-6.</w:t>
            </w:r>
          </w:p>
          <w:p w14:paraId="30DACE8E" w14:textId="77777777" w:rsidR="009102A7" w:rsidRPr="00576AF8" w:rsidRDefault="009102A7" w:rsidP="009F6B78">
            <w:pPr>
              <w:spacing w:after="0"/>
              <w:ind w:left="-20" w:right="-20"/>
              <w:rPr>
                <w:sz w:val="22"/>
                <w:szCs w:val="22"/>
              </w:rPr>
            </w:pPr>
            <w:r w:rsidRPr="00576AF8">
              <w:rPr>
                <w:sz w:val="22"/>
                <w:szCs w:val="22"/>
                <w:lang w:val="es-419"/>
              </w:rPr>
              <w:t>TASE.2 utiliza una especificación de dominio heredada de la especificación MMS que define el alcance de cada variable. Cada variable puede estar en el ámbito global o en el ámbito del dominio.</w:t>
            </w:r>
          </w:p>
        </w:tc>
      </w:tr>
      <w:tr w:rsidR="009102A7" w:rsidRPr="00576AF8" w14:paraId="40EEA0A8" w14:textId="77777777" w:rsidTr="009F6B78">
        <w:trPr>
          <w:trHeight w:val="3845"/>
        </w:trPr>
        <w:tc>
          <w:tcPr>
            <w:tcW w:w="2439" w:type="dxa"/>
            <w:gridSpan w:val="2"/>
            <w:tcBorders>
              <w:top w:val="single" w:sz="8" w:space="0" w:color="B7DDE8"/>
              <w:left w:val="single" w:sz="8" w:space="0" w:color="B7DDE8"/>
              <w:bottom w:val="single" w:sz="8" w:space="0" w:color="B7DDE8"/>
              <w:right w:val="single" w:sz="8" w:space="0" w:color="B7DDE8"/>
            </w:tcBorders>
            <w:tcMar>
              <w:left w:w="108" w:type="dxa"/>
              <w:right w:w="108" w:type="dxa"/>
            </w:tcMar>
          </w:tcPr>
          <w:p w14:paraId="1F1A0478" w14:textId="77777777" w:rsidR="009102A7" w:rsidRPr="00576AF8" w:rsidRDefault="009102A7" w:rsidP="009F6B78">
            <w:pPr>
              <w:spacing w:after="0"/>
              <w:ind w:left="-20" w:right="-20"/>
              <w:rPr>
                <w:sz w:val="22"/>
                <w:szCs w:val="22"/>
              </w:rPr>
            </w:pPr>
            <w:r w:rsidRPr="00576AF8">
              <w:rPr>
                <w:sz w:val="22"/>
                <w:szCs w:val="22"/>
                <w:lang w:val="es-419"/>
              </w:rPr>
              <w:lastRenderedPageBreak/>
              <w:t>OPC</w:t>
            </w:r>
          </w:p>
        </w:tc>
        <w:tc>
          <w:tcPr>
            <w:tcW w:w="6782" w:type="dxa"/>
            <w:tcBorders>
              <w:top w:val="single" w:sz="8" w:space="0" w:color="B7DDE8"/>
              <w:left w:val="nil"/>
              <w:bottom w:val="single" w:sz="8" w:space="0" w:color="B7DDE8"/>
              <w:right w:val="single" w:sz="8" w:space="0" w:color="B7DDE8"/>
            </w:tcBorders>
            <w:tcMar>
              <w:left w:w="108" w:type="dxa"/>
              <w:right w:w="108" w:type="dxa"/>
            </w:tcMar>
          </w:tcPr>
          <w:p w14:paraId="442A4251" w14:textId="77777777" w:rsidR="009102A7" w:rsidRPr="00576AF8" w:rsidRDefault="009102A7" w:rsidP="009F6B78">
            <w:pPr>
              <w:spacing w:after="0"/>
              <w:ind w:left="-20" w:right="-20"/>
              <w:rPr>
                <w:sz w:val="22"/>
                <w:szCs w:val="22"/>
              </w:rPr>
            </w:pPr>
            <w:r w:rsidRPr="00576AF8">
              <w:rPr>
                <w:sz w:val="22"/>
                <w:szCs w:val="22"/>
                <w:lang w:val="es-419"/>
              </w:rPr>
              <w:t>OPC (OLE FOR PROCESS CONTROL) se trata de un protocolo de comunicación comúnmente utilizado en el área industrial, el cual está enfocado en el intercambio de datos dentro de un entorno de automatización industrial. Entre las principales ventajas que presenta es el de disponer de una plataforma independiente, de manera que se logre una integración de dispositivos de distintos fabricantes.</w:t>
            </w:r>
          </w:p>
          <w:p w14:paraId="243EE549" w14:textId="77777777" w:rsidR="009102A7" w:rsidRPr="00576AF8" w:rsidRDefault="009102A7" w:rsidP="009F6B78">
            <w:pPr>
              <w:spacing w:after="0"/>
              <w:ind w:left="-20" w:right="-20"/>
              <w:rPr>
                <w:sz w:val="22"/>
                <w:szCs w:val="22"/>
              </w:rPr>
            </w:pPr>
            <w:r w:rsidRPr="00576AF8">
              <w:rPr>
                <w:sz w:val="22"/>
                <w:szCs w:val="22"/>
                <w:lang w:val="es-419"/>
              </w:rPr>
              <w:t>Los controladores compatibles con OPC son:</w:t>
            </w:r>
          </w:p>
          <w:p w14:paraId="1BEEDC6A" w14:textId="77777777" w:rsidR="009102A7" w:rsidRPr="00576AF8" w:rsidRDefault="009102A7" w:rsidP="009F6B78">
            <w:pPr>
              <w:spacing w:after="0"/>
              <w:ind w:left="-20" w:right="-20"/>
              <w:rPr>
                <w:sz w:val="22"/>
                <w:lang w:val="pt-BR"/>
              </w:rPr>
            </w:pPr>
            <w:r w:rsidRPr="00576AF8">
              <w:rPr>
                <w:sz w:val="22"/>
                <w:lang w:val="pt-BR"/>
              </w:rPr>
              <w:t>Controlador de servidor OPC UA (Arquitectura Unificada),</w:t>
            </w:r>
          </w:p>
          <w:p w14:paraId="358A9F82" w14:textId="77777777" w:rsidR="009102A7" w:rsidRPr="00576AF8" w:rsidRDefault="009102A7" w:rsidP="009F6B78">
            <w:pPr>
              <w:spacing w:after="0"/>
              <w:ind w:left="-20" w:right="-20"/>
              <w:rPr>
                <w:sz w:val="22"/>
                <w:szCs w:val="22"/>
              </w:rPr>
            </w:pPr>
            <w:r w:rsidRPr="00576AF8">
              <w:rPr>
                <w:sz w:val="22"/>
                <w:szCs w:val="22"/>
                <w:lang w:val="es-419"/>
              </w:rPr>
              <w:t>Controlador de cliente OPC UA,</w:t>
            </w:r>
          </w:p>
          <w:p w14:paraId="2215FF44" w14:textId="77777777" w:rsidR="009102A7" w:rsidRPr="00576AF8" w:rsidRDefault="009102A7" w:rsidP="009F6B78">
            <w:pPr>
              <w:spacing w:after="0"/>
              <w:ind w:left="-20" w:right="-20"/>
              <w:rPr>
                <w:sz w:val="22"/>
                <w:szCs w:val="22"/>
                <w:lang w:val="es-419"/>
              </w:rPr>
            </w:pPr>
            <w:r w:rsidRPr="00576AF8">
              <w:rPr>
                <w:sz w:val="22"/>
                <w:szCs w:val="22"/>
                <w:lang w:val="es-419"/>
              </w:rPr>
              <w:t>Los controladores de cliente OPC UA se utilizan para el intercambio de datos con dispositivos que admiten el protocolo de comunicación según el estándar OPC. De esta manera se puede realizar el intercambio de datos con cualquier dispositivo independientemente del proveedor de hardware. Los dispositivos pueden ser RTU, IED, dispositivos de protección o cualquier puerta de enlace de comunicación. Los controladores de servidor OPC (UA o DA) se utilizan para el intercambio de datos con dispositivos que admiten el protocolo de comunicación del cliente según el estándar OPC.</w:t>
            </w:r>
          </w:p>
        </w:tc>
      </w:tr>
    </w:tbl>
    <w:bookmarkEnd w:id="1105"/>
    <w:p w14:paraId="1D96156A" w14:textId="77777777" w:rsidR="009102A7" w:rsidRPr="00576AF8" w:rsidRDefault="009102A7" w:rsidP="009102A7">
      <w:pPr>
        <w:spacing w:before="120"/>
        <w:jc w:val="center"/>
        <w:rPr>
          <w:rFonts w:eastAsia="Arial"/>
          <w:b/>
          <w:sz w:val="22"/>
          <w:highlight w:val="yellow"/>
          <w:lang w:val="es-VE"/>
        </w:rPr>
      </w:pPr>
      <w:r w:rsidRPr="00576AF8">
        <w:rPr>
          <w:b/>
          <w:sz w:val="22"/>
        </w:rPr>
        <w:t xml:space="preserve">Tabla </w:t>
      </w:r>
      <w:r w:rsidR="00467979" w:rsidRPr="00576AF8">
        <w:rPr>
          <w:b/>
          <w:sz w:val="22"/>
        </w:rPr>
        <w:t>10</w:t>
      </w:r>
      <w:r w:rsidRPr="00576AF8">
        <w:rPr>
          <w:b/>
          <w:sz w:val="22"/>
        </w:rPr>
        <w:t>. Lista de Protocolos utilizables para el simulador digital en tiempo real Opal-RT</w:t>
      </w:r>
    </w:p>
    <w:p w14:paraId="21C048D2" w14:textId="77777777" w:rsidR="009102A7" w:rsidRPr="00576AF8" w:rsidRDefault="009102A7" w:rsidP="009102A7">
      <w:pPr>
        <w:ind w:left="1440" w:right="41" w:hanging="720"/>
        <w:rPr>
          <w:b/>
          <w:sz w:val="22"/>
          <w:szCs w:val="22"/>
        </w:rPr>
      </w:pPr>
    </w:p>
    <w:p w14:paraId="68B65470" w14:textId="77777777" w:rsidR="009102A7" w:rsidRPr="00576AF8" w:rsidRDefault="009102A7" w:rsidP="009102A7">
      <w:pPr>
        <w:ind w:left="720" w:hanging="720"/>
        <w:jc w:val="left"/>
        <w:outlineLvl w:val="2"/>
        <w:rPr>
          <w:b/>
          <w:sz w:val="22"/>
          <w:szCs w:val="22"/>
        </w:rPr>
      </w:pPr>
      <w:r w:rsidRPr="00576AF8">
        <w:rPr>
          <w:b/>
          <w:sz w:val="22"/>
          <w:szCs w:val="22"/>
        </w:rPr>
        <w:t>2.3.1.4 Integración con el Sistema de Protección Sistémica SPS</w:t>
      </w:r>
    </w:p>
    <w:p w14:paraId="35D236B6" w14:textId="77777777" w:rsidR="009102A7" w:rsidRPr="00576AF8" w:rsidRDefault="009102A7" w:rsidP="009102A7">
      <w:pPr>
        <w:spacing w:after="0" w:line="360" w:lineRule="auto"/>
        <w:ind w:left="708" w:right="-20"/>
        <w:rPr>
          <w:rFonts w:eastAsia="Arial"/>
          <w:sz w:val="22"/>
          <w:szCs w:val="22"/>
          <w:lang w:val="es-VE"/>
        </w:rPr>
      </w:pPr>
      <w:r w:rsidRPr="00576AF8">
        <w:rPr>
          <w:rFonts w:eastAsia="Arial"/>
          <w:sz w:val="22"/>
          <w:szCs w:val="22"/>
          <w:lang w:val="es-VE"/>
        </w:rPr>
        <w:t>El Sistema de Protección Sistémica o Especial (SPS) es un sistema de protección inteligente que, considerando las variables o parámetros fundamentales del sistema, mitiga el riesgo de ocurrencia de colapsos parciales o totales, ante contingencias críticas en el Sistema Nacional Interconectado y ante falla en las interconexiones internacionales.</w:t>
      </w:r>
    </w:p>
    <w:p w14:paraId="5C89BEC7" w14:textId="77777777" w:rsidR="009102A7" w:rsidRPr="00576AF8" w:rsidRDefault="009102A7" w:rsidP="009102A7">
      <w:pPr>
        <w:spacing w:after="0" w:line="360" w:lineRule="auto"/>
        <w:ind w:left="708" w:right="-20"/>
        <w:rPr>
          <w:rFonts w:eastAsia="Arial"/>
          <w:sz w:val="22"/>
          <w:szCs w:val="22"/>
          <w:lang w:val="es-VE"/>
        </w:rPr>
      </w:pPr>
      <w:r w:rsidRPr="00576AF8">
        <w:rPr>
          <w:rFonts w:eastAsia="Arial"/>
          <w:sz w:val="22"/>
          <w:szCs w:val="22"/>
          <w:lang w:val="es-VE"/>
        </w:rPr>
        <w:t>El SPS permite dotar de mayor confiabilidad a la operación del sistema eléctrico ecuatoriano; evalúa de manera permanente condiciones de operación inseguras a través de los elementos del sistema de transmisión, tanto en el anillo troncal de 230 kV como en el sistema de transmisión de 500 kV. En caso de ocurrencia de contingencias, el SPS ejecuta las acciones de mitigación (en menos de 200 ms) previamente implantadas para cada condición.</w:t>
      </w:r>
    </w:p>
    <w:p w14:paraId="2B68D041" w14:textId="77777777" w:rsidR="009102A7" w:rsidRPr="00576AF8" w:rsidRDefault="009102A7" w:rsidP="009102A7">
      <w:pPr>
        <w:spacing w:after="0" w:line="360" w:lineRule="auto"/>
        <w:ind w:left="708" w:right="-20"/>
        <w:rPr>
          <w:rFonts w:eastAsia="Arial"/>
          <w:sz w:val="22"/>
          <w:szCs w:val="22"/>
          <w:lang w:val="es-VE"/>
        </w:rPr>
      </w:pPr>
      <w:r w:rsidRPr="00576AF8">
        <w:rPr>
          <w:rFonts w:eastAsia="Arial"/>
          <w:sz w:val="22"/>
          <w:szCs w:val="22"/>
          <w:lang w:val="es-VE"/>
        </w:rPr>
        <w:t xml:space="preserve">El equipamiento del SPS adquiere información de subestaciones de transmisión, subestaciones de distribución y centrales de generación mediante el protocolo IEC61850. </w:t>
      </w:r>
    </w:p>
    <w:p w14:paraId="6F0A2008" w14:textId="77777777" w:rsidR="009102A7" w:rsidRPr="00576AF8" w:rsidRDefault="009102A7" w:rsidP="009102A7">
      <w:pPr>
        <w:numPr>
          <w:ilvl w:val="0"/>
          <w:numId w:val="170"/>
        </w:numPr>
        <w:spacing w:before="120" w:after="0" w:line="360" w:lineRule="auto"/>
        <w:ind w:left="1060" w:right="-20"/>
        <w:contextualSpacing/>
        <w:rPr>
          <w:rFonts w:eastAsia="Arial"/>
          <w:color w:val="000000"/>
          <w:sz w:val="22"/>
          <w:szCs w:val="22"/>
          <w:lang w:val="es-VE"/>
        </w:rPr>
      </w:pPr>
      <w:r w:rsidRPr="00576AF8">
        <w:rPr>
          <w:rFonts w:eastAsia="Arial"/>
          <w:color w:val="000000"/>
          <w:sz w:val="22"/>
          <w:szCs w:val="22"/>
          <w:lang w:val="es-VE"/>
        </w:rPr>
        <w:t>La información que será integrada por el Proveedor dentro del sistema SCADA/EMS proveniente del sistema SPS se lista a continuación:</w:t>
      </w:r>
    </w:p>
    <w:p w14:paraId="727BCB9D" w14:textId="77777777" w:rsidR="009102A7" w:rsidRPr="00576AF8" w:rsidRDefault="009102A7" w:rsidP="009102A7">
      <w:pPr>
        <w:numPr>
          <w:ilvl w:val="0"/>
          <w:numId w:val="169"/>
        </w:numPr>
        <w:spacing w:before="120" w:after="0" w:line="360" w:lineRule="auto"/>
        <w:ind w:left="1560" w:right="-20" w:hanging="426"/>
        <w:contextualSpacing/>
        <w:rPr>
          <w:rFonts w:eastAsia="Arial"/>
          <w:color w:val="000000"/>
          <w:sz w:val="22"/>
          <w:szCs w:val="22"/>
          <w:lang w:val="es-VE"/>
        </w:rPr>
      </w:pPr>
      <w:r w:rsidRPr="00576AF8">
        <w:rPr>
          <w:rFonts w:eastAsia="Arial"/>
          <w:color w:val="000000"/>
          <w:sz w:val="22"/>
          <w:szCs w:val="22"/>
          <w:lang w:val="es-VE"/>
        </w:rPr>
        <w:t>Estados Operativos de los sistemas centrales del SPS</w:t>
      </w:r>
    </w:p>
    <w:p w14:paraId="123F37DB" w14:textId="77777777" w:rsidR="009102A7" w:rsidRPr="00576AF8" w:rsidRDefault="009102A7" w:rsidP="009102A7">
      <w:pPr>
        <w:numPr>
          <w:ilvl w:val="0"/>
          <w:numId w:val="169"/>
        </w:numPr>
        <w:spacing w:before="120" w:after="0" w:line="360" w:lineRule="auto"/>
        <w:ind w:left="1560" w:right="-20" w:hanging="426"/>
        <w:contextualSpacing/>
        <w:rPr>
          <w:rFonts w:eastAsia="Arial"/>
          <w:color w:val="000000"/>
          <w:sz w:val="22"/>
          <w:szCs w:val="22"/>
          <w:lang w:val="es-VE"/>
        </w:rPr>
      </w:pPr>
      <w:r w:rsidRPr="00576AF8">
        <w:rPr>
          <w:rFonts w:eastAsia="Arial"/>
          <w:color w:val="000000"/>
          <w:sz w:val="22"/>
          <w:szCs w:val="22"/>
          <w:lang w:val="es-VE"/>
        </w:rPr>
        <w:t xml:space="preserve">Información relacionada con las estrategias de operación, tales como: </w:t>
      </w:r>
    </w:p>
    <w:p w14:paraId="1E4E7CBD" w14:textId="77777777" w:rsidR="009102A7" w:rsidRPr="00576AF8" w:rsidRDefault="009102A7" w:rsidP="009102A7">
      <w:pPr>
        <w:numPr>
          <w:ilvl w:val="4"/>
          <w:numId w:val="379"/>
        </w:numPr>
        <w:spacing w:before="120" w:after="0" w:line="360" w:lineRule="auto"/>
        <w:ind w:left="1985" w:right="-20" w:hanging="283"/>
        <w:contextualSpacing/>
        <w:rPr>
          <w:rFonts w:eastAsia="Arial"/>
          <w:color w:val="000000"/>
          <w:sz w:val="22"/>
          <w:szCs w:val="22"/>
          <w:lang w:val="es-VE"/>
        </w:rPr>
      </w:pPr>
      <w:r w:rsidRPr="00576AF8">
        <w:rPr>
          <w:rFonts w:eastAsia="Arial"/>
          <w:color w:val="000000"/>
          <w:sz w:val="22"/>
          <w:szCs w:val="22"/>
          <w:lang w:val="es-VE"/>
        </w:rPr>
        <w:t>Estado Armado o Normal de la Estrategia</w:t>
      </w:r>
    </w:p>
    <w:p w14:paraId="441430A2" w14:textId="77777777" w:rsidR="009102A7" w:rsidRPr="00576AF8" w:rsidRDefault="009102A7" w:rsidP="009102A7">
      <w:pPr>
        <w:numPr>
          <w:ilvl w:val="4"/>
          <w:numId w:val="379"/>
        </w:numPr>
        <w:spacing w:before="120" w:after="0" w:line="360" w:lineRule="auto"/>
        <w:ind w:left="1985" w:right="-20" w:hanging="283"/>
        <w:contextualSpacing/>
        <w:rPr>
          <w:rFonts w:eastAsia="Arial"/>
          <w:color w:val="000000"/>
          <w:sz w:val="22"/>
          <w:szCs w:val="22"/>
          <w:lang w:val="es-VE"/>
        </w:rPr>
      </w:pPr>
      <w:r w:rsidRPr="00576AF8">
        <w:rPr>
          <w:rFonts w:eastAsia="Arial"/>
          <w:color w:val="000000"/>
          <w:sz w:val="22"/>
          <w:szCs w:val="22"/>
          <w:lang w:val="es-VE"/>
        </w:rPr>
        <w:t>Estado Operado o Normal de la Estrategia</w:t>
      </w:r>
    </w:p>
    <w:p w14:paraId="559A85C0" w14:textId="77777777" w:rsidR="009102A7" w:rsidRPr="00576AF8" w:rsidRDefault="009102A7" w:rsidP="009102A7">
      <w:pPr>
        <w:numPr>
          <w:ilvl w:val="4"/>
          <w:numId w:val="379"/>
        </w:numPr>
        <w:spacing w:before="120" w:after="0" w:line="360" w:lineRule="auto"/>
        <w:ind w:left="1985" w:right="-20" w:hanging="283"/>
        <w:contextualSpacing/>
        <w:rPr>
          <w:rFonts w:eastAsia="Arial"/>
          <w:color w:val="000000"/>
          <w:sz w:val="22"/>
          <w:szCs w:val="22"/>
          <w:lang w:val="es-VE"/>
        </w:rPr>
      </w:pPr>
      <w:r w:rsidRPr="00576AF8">
        <w:rPr>
          <w:rFonts w:eastAsia="Arial"/>
          <w:color w:val="000000"/>
          <w:sz w:val="22"/>
          <w:szCs w:val="22"/>
          <w:lang w:val="es-VE"/>
        </w:rPr>
        <w:t>Potencia de Generación seleccionada por la estrategia en caso de activación</w:t>
      </w:r>
    </w:p>
    <w:p w14:paraId="2409FADB" w14:textId="77777777" w:rsidR="009102A7" w:rsidRPr="00576AF8" w:rsidRDefault="009102A7" w:rsidP="009102A7">
      <w:pPr>
        <w:numPr>
          <w:ilvl w:val="4"/>
          <w:numId w:val="379"/>
        </w:numPr>
        <w:spacing w:before="120" w:after="0" w:line="360" w:lineRule="auto"/>
        <w:ind w:left="1985" w:right="-20" w:hanging="283"/>
        <w:contextualSpacing/>
        <w:rPr>
          <w:rFonts w:eastAsia="Arial"/>
          <w:color w:val="000000"/>
          <w:sz w:val="22"/>
          <w:szCs w:val="22"/>
          <w:lang w:val="es-VE"/>
        </w:rPr>
      </w:pPr>
      <w:r w:rsidRPr="00576AF8">
        <w:rPr>
          <w:rFonts w:eastAsia="Arial"/>
          <w:color w:val="000000"/>
          <w:sz w:val="22"/>
          <w:szCs w:val="22"/>
          <w:lang w:val="es-VE"/>
        </w:rPr>
        <w:t>Potencia de Carga seleccionada por la estrategia en caso de activación</w:t>
      </w:r>
    </w:p>
    <w:p w14:paraId="2DE970D0" w14:textId="77777777" w:rsidR="009102A7" w:rsidRPr="00576AF8" w:rsidRDefault="009102A7" w:rsidP="009102A7">
      <w:pPr>
        <w:numPr>
          <w:ilvl w:val="0"/>
          <w:numId w:val="169"/>
        </w:numPr>
        <w:spacing w:before="120" w:after="0" w:line="360" w:lineRule="auto"/>
        <w:ind w:left="1560" w:right="-20"/>
        <w:contextualSpacing/>
        <w:rPr>
          <w:rFonts w:eastAsia="Arial"/>
          <w:color w:val="000000"/>
          <w:sz w:val="22"/>
          <w:szCs w:val="22"/>
          <w:lang w:val="es-VE"/>
        </w:rPr>
      </w:pPr>
      <w:r w:rsidRPr="00576AF8">
        <w:rPr>
          <w:rFonts w:eastAsia="Arial"/>
          <w:color w:val="000000"/>
          <w:sz w:val="22"/>
          <w:szCs w:val="22"/>
          <w:lang w:val="es-VE"/>
        </w:rPr>
        <w:lastRenderedPageBreak/>
        <w:t>Estado Disparo o Normal de Equipos utilizados por el SPS por activación de estrategias, tales como cargas, generadores, líneas de transmisión, etc.</w:t>
      </w:r>
    </w:p>
    <w:p w14:paraId="6F999973" w14:textId="77777777" w:rsidR="009102A7" w:rsidRPr="00576AF8" w:rsidRDefault="009102A7" w:rsidP="009102A7">
      <w:pPr>
        <w:numPr>
          <w:ilvl w:val="0"/>
          <w:numId w:val="169"/>
        </w:numPr>
        <w:spacing w:before="120" w:after="0" w:line="360" w:lineRule="auto"/>
        <w:ind w:left="1560" w:right="-20"/>
        <w:contextualSpacing/>
        <w:rPr>
          <w:rFonts w:eastAsia="Arial"/>
          <w:color w:val="000000"/>
          <w:sz w:val="22"/>
          <w:szCs w:val="22"/>
          <w:lang w:val="es-VE"/>
        </w:rPr>
      </w:pPr>
      <w:r w:rsidRPr="00576AF8">
        <w:rPr>
          <w:rFonts w:eastAsia="Arial"/>
          <w:color w:val="000000"/>
          <w:sz w:val="22"/>
          <w:szCs w:val="22"/>
          <w:lang w:val="es-VE"/>
        </w:rPr>
        <w:t>Información de las Matrices de Mitigación del SPS</w:t>
      </w:r>
    </w:p>
    <w:p w14:paraId="72A0D253" w14:textId="77777777" w:rsidR="009102A7" w:rsidRPr="00576AF8" w:rsidRDefault="009102A7" w:rsidP="009102A7">
      <w:pPr>
        <w:numPr>
          <w:ilvl w:val="0"/>
          <w:numId w:val="169"/>
        </w:numPr>
        <w:spacing w:before="120" w:after="0" w:line="360" w:lineRule="auto"/>
        <w:ind w:left="1560" w:right="-20"/>
        <w:contextualSpacing/>
        <w:rPr>
          <w:rFonts w:eastAsia="Arial"/>
          <w:color w:val="000000"/>
          <w:sz w:val="22"/>
          <w:szCs w:val="22"/>
          <w:lang w:val="es-VE"/>
        </w:rPr>
      </w:pPr>
      <w:r w:rsidRPr="00576AF8">
        <w:rPr>
          <w:rFonts w:eastAsia="Arial"/>
          <w:color w:val="000000"/>
          <w:sz w:val="22"/>
          <w:szCs w:val="22"/>
          <w:lang w:val="es-VE"/>
        </w:rPr>
        <w:t>Adquisición de Eventos y Alarmas provenientes del sistema SPS de CENACE, de la misma forma como se adquieren señales digitales de Alarmas en un SCADA tradicional, o mediante un método provisto por el Proveedor.</w:t>
      </w:r>
    </w:p>
    <w:p w14:paraId="1EB1BC9B" w14:textId="77777777" w:rsidR="009102A7" w:rsidRPr="00576AF8" w:rsidRDefault="009102A7" w:rsidP="009102A7">
      <w:pPr>
        <w:spacing w:before="120" w:after="0" w:line="360" w:lineRule="auto"/>
        <w:ind w:left="700" w:right="-20" w:firstLine="8"/>
        <w:rPr>
          <w:rFonts w:eastAsia="Arial"/>
          <w:color w:val="000000"/>
          <w:sz w:val="22"/>
          <w:szCs w:val="22"/>
          <w:lang w:val="es-VE"/>
        </w:rPr>
      </w:pPr>
      <w:r w:rsidRPr="00576AF8">
        <w:rPr>
          <w:rFonts w:eastAsia="Arial"/>
          <w:sz w:val="22"/>
          <w:szCs w:val="22"/>
          <w:lang w:val="es-VE"/>
        </w:rPr>
        <w:t>Actualmente, el SCADA/EMS de CENACE recibe la información del sistema SPS mediante un enlace ICCP, y la información es presentada en despliegues personalizados creados para el efecto, el Proveedor deberá mantener esta solución para el nuevo SCADA/EMS.</w:t>
      </w:r>
    </w:p>
    <w:p w14:paraId="239D42ED" w14:textId="77777777" w:rsidR="009102A7" w:rsidRPr="00576AF8" w:rsidRDefault="009102A7" w:rsidP="009102A7">
      <w:pPr>
        <w:ind w:right="41"/>
        <w:outlineLvl w:val="1"/>
        <w:rPr>
          <w:sz w:val="22"/>
          <w:szCs w:val="22"/>
        </w:rPr>
      </w:pPr>
      <w:bookmarkStart w:id="1106" w:name="_Toc454958726"/>
      <w:bookmarkStart w:id="1107" w:name="_Toc476310101"/>
      <w:bookmarkStart w:id="1108" w:name="_Toc482896430"/>
      <w:bookmarkStart w:id="1109" w:name="_Toc99868854"/>
      <w:bookmarkStart w:id="1110" w:name="_Toc160706915"/>
      <w:bookmarkStart w:id="1111" w:name="_Toc160707505"/>
      <w:bookmarkStart w:id="1112" w:name="_Toc160707762"/>
    </w:p>
    <w:p w14:paraId="631D55E9" w14:textId="77777777" w:rsidR="009102A7" w:rsidRPr="00576AF8" w:rsidRDefault="009102A7" w:rsidP="009102A7">
      <w:pPr>
        <w:ind w:right="41"/>
        <w:outlineLvl w:val="1"/>
        <w:rPr>
          <w:sz w:val="22"/>
          <w:szCs w:val="22"/>
        </w:rPr>
      </w:pPr>
      <w:r w:rsidRPr="00576AF8">
        <w:rPr>
          <w:b/>
          <w:sz w:val="22"/>
          <w:szCs w:val="22"/>
        </w:rPr>
        <w:t>2.4</w:t>
      </w:r>
      <w:r w:rsidRPr="00576AF8">
        <w:rPr>
          <w:sz w:val="22"/>
          <w:szCs w:val="22"/>
        </w:rPr>
        <w:tab/>
      </w:r>
      <w:r w:rsidRPr="00576AF8">
        <w:rPr>
          <w:b/>
          <w:sz w:val="22"/>
          <w:szCs w:val="22"/>
        </w:rPr>
        <w:t xml:space="preserve">Transferencia de Conocimientos y materiales de </w:t>
      </w:r>
      <w:bookmarkEnd w:id="1106"/>
      <w:bookmarkEnd w:id="1107"/>
      <w:bookmarkEnd w:id="1108"/>
      <w:bookmarkEnd w:id="1109"/>
      <w:bookmarkEnd w:id="1110"/>
      <w:bookmarkEnd w:id="1111"/>
      <w:bookmarkEnd w:id="1112"/>
      <w:r w:rsidRPr="00576AF8">
        <w:rPr>
          <w:b/>
          <w:sz w:val="22"/>
          <w:szCs w:val="22"/>
        </w:rPr>
        <w:t>Transferencia de Conocimientos</w:t>
      </w:r>
    </w:p>
    <w:p w14:paraId="7775C759" w14:textId="77777777" w:rsidR="009102A7" w:rsidRPr="00576AF8" w:rsidRDefault="009102A7" w:rsidP="009102A7">
      <w:pPr>
        <w:rPr>
          <w:sz w:val="22"/>
          <w:szCs w:val="22"/>
        </w:rPr>
      </w:pPr>
      <w:r w:rsidRPr="00576AF8">
        <w:rPr>
          <w:sz w:val="22"/>
          <w:szCs w:val="22"/>
        </w:rPr>
        <w:t>El proveedor DEBERÁ proporcionar los siguientes servicios y materiales de transferencia de conocimientos.</w:t>
      </w:r>
    </w:p>
    <w:p w14:paraId="7C6D9D43" w14:textId="77777777" w:rsidR="009102A7" w:rsidRPr="00576AF8" w:rsidRDefault="009102A7" w:rsidP="009102A7">
      <w:pPr>
        <w:ind w:left="2160" w:right="41" w:hanging="720"/>
        <w:rPr>
          <w:color w:val="4472C4"/>
          <w:sz w:val="22"/>
          <w:szCs w:val="22"/>
        </w:rPr>
      </w:pPr>
      <w:r w:rsidRPr="00576AF8">
        <w:rPr>
          <w:spacing w:val="-2"/>
          <w:sz w:val="22"/>
          <w:szCs w:val="22"/>
        </w:rPr>
        <w:t>2.4.1.1</w:t>
      </w:r>
      <w:r w:rsidRPr="00576AF8">
        <w:rPr>
          <w:spacing w:val="-2"/>
          <w:sz w:val="22"/>
          <w:szCs w:val="22"/>
        </w:rPr>
        <w:tab/>
      </w:r>
      <w:r w:rsidRPr="00576AF8">
        <w:rPr>
          <w:spacing w:val="-2"/>
          <w:sz w:val="22"/>
          <w:szCs w:val="22"/>
          <w:u w:val="single"/>
        </w:rPr>
        <w:t>Usuario</w:t>
      </w:r>
      <w:r w:rsidRPr="00576AF8">
        <w:rPr>
          <w:spacing w:val="-2"/>
          <w:sz w:val="22"/>
          <w:szCs w:val="22"/>
        </w:rPr>
        <w:t>: El proveedor DEBERÁ cumplir con el detalle especificado en este numeral.</w:t>
      </w:r>
    </w:p>
    <w:p w14:paraId="1436FDF7" w14:textId="77777777" w:rsidR="009102A7" w:rsidRPr="00576AF8" w:rsidRDefault="009102A7" w:rsidP="009102A7">
      <w:pPr>
        <w:ind w:left="2160" w:right="41" w:hanging="720"/>
        <w:rPr>
          <w:color w:val="4472C4"/>
          <w:sz w:val="22"/>
          <w:szCs w:val="22"/>
        </w:rPr>
      </w:pPr>
      <w:r w:rsidRPr="00576AF8">
        <w:rPr>
          <w:sz w:val="22"/>
          <w:szCs w:val="22"/>
        </w:rPr>
        <w:t>2.4.1.2</w:t>
      </w:r>
      <w:r w:rsidRPr="00576AF8">
        <w:rPr>
          <w:sz w:val="22"/>
          <w:szCs w:val="22"/>
        </w:rPr>
        <w:tab/>
      </w:r>
      <w:r w:rsidRPr="00576AF8">
        <w:rPr>
          <w:sz w:val="22"/>
          <w:szCs w:val="22"/>
          <w:u w:val="single"/>
        </w:rPr>
        <w:t>Aspectos técnicos</w:t>
      </w:r>
      <w:r w:rsidRPr="00576AF8">
        <w:rPr>
          <w:sz w:val="22"/>
          <w:szCs w:val="22"/>
        </w:rPr>
        <w:t xml:space="preserve">: </w:t>
      </w:r>
      <w:r w:rsidRPr="00576AF8">
        <w:rPr>
          <w:spacing w:val="-2"/>
          <w:sz w:val="22"/>
          <w:szCs w:val="22"/>
        </w:rPr>
        <w:t>El proveedor DEBERÁ cumplir con el detalle especificado en este numeral.</w:t>
      </w:r>
    </w:p>
    <w:p w14:paraId="1CB9B27E" w14:textId="77777777" w:rsidR="009102A7" w:rsidRPr="00576AF8" w:rsidRDefault="009102A7" w:rsidP="009102A7">
      <w:pPr>
        <w:ind w:left="2160" w:right="41" w:hanging="720"/>
        <w:rPr>
          <w:color w:val="4472C4"/>
          <w:sz w:val="22"/>
          <w:szCs w:val="22"/>
        </w:rPr>
      </w:pPr>
      <w:r w:rsidRPr="00576AF8">
        <w:rPr>
          <w:sz w:val="22"/>
          <w:szCs w:val="22"/>
        </w:rPr>
        <w:t>2.4.1.3</w:t>
      </w:r>
      <w:r w:rsidRPr="00576AF8">
        <w:rPr>
          <w:sz w:val="22"/>
          <w:szCs w:val="22"/>
        </w:rPr>
        <w:tab/>
      </w:r>
      <w:r w:rsidRPr="00576AF8">
        <w:rPr>
          <w:sz w:val="22"/>
          <w:szCs w:val="22"/>
          <w:u w:val="single"/>
        </w:rPr>
        <w:t>Gestión</w:t>
      </w:r>
      <w:r w:rsidRPr="00576AF8">
        <w:rPr>
          <w:sz w:val="22"/>
          <w:szCs w:val="22"/>
        </w:rPr>
        <w:t xml:space="preserve">: </w:t>
      </w:r>
      <w:r w:rsidRPr="00576AF8">
        <w:rPr>
          <w:spacing w:val="-2"/>
          <w:sz w:val="22"/>
          <w:szCs w:val="22"/>
        </w:rPr>
        <w:t>El proveedor DEBERÁ cumplir con el detalle especificado en este numeral</w:t>
      </w:r>
      <w:r w:rsidRPr="00576AF8">
        <w:rPr>
          <w:sz w:val="22"/>
          <w:szCs w:val="22"/>
        </w:rPr>
        <w:t>.</w:t>
      </w:r>
    </w:p>
    <w:p w14:paraId="1B01435F" w14:textId="77777777" w:rsidR="009102A7" w:rsidRPr="00576AF8" w:rsidRDefault="009102A7" w:rsidP="009102A7">
      <w:pPr>
        <w:spacing w:line="276" w:lineRule="auto"/>
        <w:ind w:left="1440" w:right="41" w:hanging="720"/>
        <w:rPr>
          <w:sz w:val="22"/>
          <w:szCs w:val="22"/>
        </w:rPr>
      </w:pPr>
      <w:r w:rsidRPr="00576AF8">
        <w:rPr>
          <w:b/>
          <w:sz w:val="22"/>
          <w:szCs w:val="22"/>
        </w:rPr>
        <w:t>Transferencia de Conocimientos Formal:</w:t>
      </w:r>
    </w:p>
    <w:p w14:paraId="1A8264D0" w14:textId="77777777" w:rsidR="009102A7" w:rsidRPr="00576AF8" w:rsidRDefault="009102A7" w:rsidP="009102A7">
      <w:pPr>
        <w:spacing w:after="0" w:line="276" w:lineRule="auto"/>
        <w:ind w:left="720" w:right="41"/>
        <w:rPr>
          <w:sz w:val="22"/>
          <w:szCs w:val="22"/>
        </w:rPr>
      </w:pPr>
      <w:r w:rsidRPr="00576AF8">
        <w:rPr>
          <w:sz w:val="22"/>
          <w:szCs w:val="22"/>
        </w:rPr>
        <w:t>La transferencia de conocimientos estará orientada a proporcionar al personal del CENACE una comprensión precisa de las capacidades del sistema y una instrucción integral en la operación y</w:t>
      </w:r>
      <w:r w:rsidR="00031A14" w:rsidRPr="00576AF8">
        <w:rPr>
          <w:sz w:val="22"/>
          <w:szCs w:val="22"/>
        </w:rPr>
        <w:t xml:space="preserve"> </w:t>
      </w:r>
      <w:proofErr w:type="gramStart"/>
      <w:r w:rsidR="00176DBC" w:rsidRPr="00576AF8">
        <w:rPr>
          <w:sz w:val="22"/>
          <w:szCs w:val="22"/>
        </w:rPr>
        <w:t>administración</w:t>
      </w:r>
      <w:r w:rsidR="00176DBC" w:rsidRPr="00576AF8" w:rsidDel="00176DBC">
        <w:rPr>
          <w:sz w:val="22"/>
          <w:szCs w:val="22"/>
        </w:rPr>
        <w:t xml:space="preserve"> </w:t>
      </w:r>
      <w:r w:rsidRPr="00576AF8">
        <w:rPr>
          <w:sz w:val="22"/>
          <w:szCs w:val="22"/>
        </w:rPr>
        <w:t>.</w:t>
      </w:r>
      <w:proofErr w:type="gramEnd"/>
      <w:r w:rsidRPr="00576AF8">
        <w:rPr>
          <w:sz w:val="22"/>
          <w:szCs w:val="22"/>
        </w:rPr>
        <w:t xml:space="preserve"> </w:t>
      </w:r>
    </w:p>
    <w:p w14:paraId="1762361D" w14:textId="77777777" w:rsidR="009102A7" w:rsidRPr="00576AF8" w:rsidRDefault="009102A7" w:rsidP="009102A7">
      <w:pPr>
        <w:spacing w:after="0" w:line="276" w:lineRule="auto"/>
        <w:ind w:right="41"/>
        <w:rPr>
          <w:sz w:val="22"/>
          <w:szCs w:val="22"/>
        </w:rPr>
      </w:pPr>
    </w:p>
    <w:p w14:paraId="2DC2B301" w14:textId="77777777" w:rsidR="009102A7" w:rsidRPr="00576AF8" w:rsidRDefault="009102A7" w:rsidP="009102A7">
      <w:pPr>
        <w:numPr>
          <w:ilvl w:val="0"/>
          <w:numId w:val="120"/>
        </w:numPr>
        <w:spacing w:line="276" w:lineRule="auto"/>
        <w:ind w:left="1440" w:right="41"/>
        <w:contextualSpacing/>
        <w:rPr>
          <w:sz w:val="22"/>
          <w:szCs w:val="22"/>
        </w:rPr>
      </w:pPr>
      <w:r w:rsidRPr="00576AF8">
        <w:rPr>
          <w:sz w:val="22"/>
          <w:szCs w:val="22"/>
        </w:rPr>
        <w:t>La transferencia de conocimientos será dictada en el lugar y en la modalidad siguiente de acuerdo el tipo:</w:t>
      </w:r>
    </w:p>
    <w:p w14:paraId="2159F73F" w14:textId="77777777" w:rsidR="009102A7" w:rsidRPr="00576AF8" w:rsidRDefault="009102A7" w:rsidP="009102A7">
      <w:pPr>
        <w:numPr>
          <w:ilvl w:val="0"/>
          <w:numId w:val="38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985" w:hanging="425"/>
        <w:contextualSpacing/>
        <w:rPr>
          <w:rFonts w:eastAsia="Calibri"/>
          <w:color w:val="000000"/>
          <w:sz w:val="22"/>
          <w:szCs w:val="22"/>
        </w:rPr>
      </w:pPr>
      <w:r w:rsidRPr="00576AF8">
        <w:rPr>
          <w:rFonts w:eastAsia="Calibri"/>
          <w:color w:val="000000"/>
          <w:sz w:val="22"/>
          <w:szCs w:val="22"/>
        </w:rPr>
        <w:t>Presenciales en el CENACE.</w:t>
      </w:r>
    </w:p>
    <w:p w14:paraId="136EE31D"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560"/>
        <w:rPr>
          <w:rFonts w:eastAsia="Calibri"/>
          <w:color w:val="000000"/>
          <w:sz w:val="22"/>
          <w:szCs w:val="22"/>
        </w:rPr>
      </w:pPr>
      <w:r w:rsidRPr="00576AF8">
        <w:rPr>
          <w:rFonts w:eastAsia="Calibri"/>
          <w:color w:val="000000"/>
          <w:sz w:val="22"/>
          <w:szCs w:val="22"/>
        </w:rPr>
        <w:t xml:space="preserve">El Proveedor podrá apoyarse para la ejecución de las </w:t>
      </w:r>
      <w:r w:rsidRPr="00576AF8">
        <w:rPr>
          <w:sz w:val="22"/>
          <w:szCs w:val="22"/>
        </w:rPr>
        <w:t>transferencias de conocimientos</w:t>
      </w:r>
      <w:r w:rsidR="00121E92" w:rsidRPr="00576AF8">
        <w:rPr>
          <w:sz w:val="22"/>
          <w:szCs w:val="22"/>
        </w:rPr>
        <w:t xml:space="preserve"> presenciales en el sitio del Comprador,</w:t>
      </w:r>
      <w:r w:rsidRPr="00576AF8">
        <w:rPr>
          <w:sz w:val="22"/>
          <w:szCs w:val="22"/>
        </w:rPr>
        <w:t xml:space="preserve"> </w:t>
      </w:r>
      <w:r w:rsidRPr="00576AF8">
        <w:rPr>
          <w:rFonts w:eastAsia="Calibri"/>
          <w:color w:val="000000"/>
          <w:sz w:val="22"/>
          <w:szCs w:val="22"/>
        </w:rPr>
        <w:t>con conexiones remotas</w:t>
      </w:r>
      <w:r w:rsidR="00121E92" w:rsidRPr="00576AF8">
        <w:rPr>
          <w:rFonts w:eastAsia="Calibri"/>
          <w:color w:val="000000"/>
          <w:sz w:val="22"/>
          <w:szCs w:val="22"/>
        </w:rPr>
        <w:t xml:space="preserve"> al equipamiento en fábrica</w:t>
      </w:r>
      <w:r w:rsidRPr="00576AF8">
        <w:rPr>
          <w:rFonts w:eastAsia="Calibri"/>
          <w:color w:val="000000"/>
          <w:sz w:val="22"/>
          <w:szCs w:val="22"/>
        </w:rPr>
        <w:t xml:space="preserve">, accesos remotos a entornos </w:t>
      </w:r>
      <w:r w:rsidR="00121E92" w:rsidRPr="00576AF8">
        <w:rPr>
          <w:rFonts w:eastAsia="Calibri"/>
          <w:color w:val="000000"/>
          <w:sz w:val="22"/>
          <w:szCs w:val="22"/>
        </w:rPr>
        <w:t xml:space="preserve">del Proveedor </w:t>
      </w:r>
      <w:r w:rsidRPr="00576AF8">
        <w:rPr>
          <w:rFonts w:eastAsia="Calibri"/>
          <w:color w:val="000000"/>
          <w:sz w:val="22"/>
          <w:szCs w:val="22"/>
        </w:rPr>
        <w:t xml:space="preserve">que permitan la correcta ejecución de actividades, la interacción puntual con </w:t>
      </w:r>
      <w:r w:rsidR="00121E92" w:rsidRPr="00576AF8">
        <w:rPr>
          <w:rFonts w:eastAsia="Calibri"/>
          <w:color w:val="000000"/>
          <w:sz w:val="22"/>
          <w:szCs w:val="22"/>
        </w:rPr>
        <w:t xml:space="preserve">otros </w:t>
      </w:r>
      <w:r w:rsidRPr="00576AF8">
        <w:rPr>
          <w:rFonts w:eastAsia="Calibri"/>
          <w:color w:val="000000"/>
          <w:sz w:val="22"/>
          <w:szCs w:val="22"/>
        </w:rPr>
        <w:t>especialistas en temas específicos, así como</w:t>
      </w:r>
      <w:r w:rsidR="00121E92" w:rsidRPr="00576AF8">
        <w:rPr>
          <w:rFonts w:eastAsia="Calibri"/>
          <w:color w:val="000000"/>
          <w:sz w:val="22"/>
          <w:szCs w:val="22"/>
        </w:rPr>
        <w:t>,</w:t>
      </w:r>
      <w:r w:rsidRPr="00576AF8">
        <w:rPr>
          <w:rFonts w:eastAsia="Calibri"/>
          <w:color w:val="000000"/>
          <w:sz w:val="22"/>
          <w:szCs w:val="22"/>
        </w:rPr>
        <w:t xml:space="preserve"> con las herramientas y el sistema.</w:t>
      </w:r>
      <w:r w:rsidR="00121E92" w:rsidRPr="00576AF8">
        <w:rPr>
          <w:rFonts w:eastAsia="Calibri"/>
          <w:color w:val="000000"/>
          <w:sz w:val="22"/>
          <w:szCs w:val="22"/>
        </w:rPr>
        <w:t xml:space="preserve"> En todo caso, el instructor deberá estar de forma presencial en el sitio del Comprador.</w:t>
      </w:r>
    </w:p>
    <w:p w14:paraId="200B7DFE"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560"/>
        <w:rPr>
          <w:rFonts w:eastAsia="Calibri"/>
          <w:color w:val="000000"/>
          <w:sz w:val="22"/>
          <w:szCs w:val="22"/>
        </w:rPr>
      </w:pPr>
      <w:r w:rsidRPr="00576AF8">
        <w:rPr>
          <w:rFonts w:eastAsia="Calibri"/>
          <w:color w:val="000000"/>
          <w:sz w:val="22"/>
          <w:szCs w:val="22"/>
        </w:rPr>
        <w:t xml:space="preserve">Independientemente de la modalidad de la </w:t>
      </w:r>
      <w:r w:rsidRPr="00576AF8">
        <w:rPr>
          <w:sz w:val="22"/>
          <w:szCs w:val="22"/>
        </w:rPr>
        <w:t>transferencia de conocimientos</w:t>
      </w:r>
      <w:r w:rsidRPr="00576AF8">
        <w:rPr>
          <w:rFonts w:eastAsia="Calibri"/>
          <w:color w:val="000000"/>
          <w:sz w:val="22"/>
          <w:szCs w:val="22"/>
        </w:rPr>
        <w:t>, estos se impartirán en idioma español</w:t>
      </w:r>
      <w:r w:rsidR="00F71133" w:rsidRPr="00576AF8">
        <w:rPr>
          <w:rFonts w:eastAsia="Calibri"/>
          <w:color w:val="000000"/>
          <w:sz w:val="22"/>
          <w:szCs w:val="22"/>
        </w:rPr>
        <w:t xml:space="preserve"> o inglés. E</w:t>
      </w:r>
      <w:r w:rsidRPr="00576AF8">
        <w:rPr>
          <w:rFonts w:eastAsia="Calibri"/>
          <w:color w:val="000000"/>
          <w:sz w:val="22"/>
          <w:szCs w:val="22"/>
        </w:rPr>
        <w:t>l material didáctico puede proporcionarse en inglés</w:t>
      </w:r>
      <w:r w:rsidR="00F71133" w:rsidRPr="00576AF8">
        <w:rPr>
          <w:rFonts w:eastAsia="Calibri"/>
          <w:color w:val="000000"/>
          <w:sz w:val="22"/>
          <w:szCs w:val="22"/>
        </w:rPr>
        <w:t xml:space="preserve"> o español</w:t>
      </w:r>
      <w:r w:rsidRPr="00576AF8">
        <w:rPr>
          <w:rFonts w:eastAsia="Calibri"/>
          <w:color w:val="000000"/>
          <w:sz w:val="22"/>
          <w:szCs w:val="22"/>
        </w:rPr>
        <w:t xml:space="preserve">. Se exceptúa la </w:t>
      </w:r>
      <w:r w:rsidRPr="00576AF8">
        <w:rPr>
          <w:sz w:val="22"/>
          <w:szCs w:val="22"/>
        </w:rPr>
        <w:t>transferencia de conocimientos</w:t>
      </w:r>
      <w:r w:rsidRPr="00576AF8">
        <w:rPr>
          <w:rFonts w:eastAsia="Calibri"/>
          <w:color w:val="000000"/>
          <w:sz w:val="22"/>
          <w:szCs w:val="22"/>
        </w:rPr>
        <w:t xml:space="preserve"> </w:t>
      </w:r>
      <w:r w:rsidR="00F71133" w:rsidRPr="00576AF8">
        <w:rPr>
          <w:rFonts w:eastAsia="Calibri"/>
          <w:color w:val="000000"/>
          <w:sz w:val="22"/>
          <w:szCs w:val="22"/>
        </w:rPr>
        <w:t xml:space="preserve">específica para los </w:t>
      </w:r>
      <w:r w:rsidRPr="00576AF8">
        <w:rPr>
          <w:rFonts w:eastAsia="Calibri"/>
          <w:color w:val="000000"/>
          <w:sz w:val="22"/>
          <w:szCs w:val="22"/>
        </w:rPr>
        <w:t>operadores</w:t>
      </w:r>
      <w:r w:rsidR="00F71133" w:rsidRPr="00576AF8">
        <w:rPr>
          <w:rFonts w:eastAsia="Calibri"/>
          <w:color w:val="000000"/>
          <w:sz w:val="22"/>
          <w:szCs w:val="22"/>
        </w:rPr>
        <w:t xml:space="preserve"> la cual deberá ser en </w:t>
      </w:r>
      <w:proofErr w:type="gramStart"/>
      <w:r w:rsidR="00F71133" w:rsidRPr="00576AF8">
        <w:rPr>
          <w:rFonts w:eastAsia="Calibri"/>
          <w:color w:val="000000"/>
          <w:sz w:val="22"/>
          <w:szCs w:val="22"/>
        </w:rPr>
        <w:t>español</w:t>
      </w:r>
      <w:proofErr w:type="gramEnd"/>
      <w:r w:rsidR="00F71133" w:rsidRPr="00576AF8">
        <w:rPr>
          <w:rFonts w:eastAsia="Calibri"/>
          <w:color w:val="000000"/>
          <w:sz w:val="22"/>
          <w:szCs w:val="22"/>
        </w:rPr>
        <w:t xml:space="preserve"> así como el</w:t>
      </w:r>
      <w:r w:rsidRPr="00576AF8">
        <w:rPr>
          <w:rFonts w:eastAsia="Calibri"/>
          <w:color w:val="000000"/>
          <w:sz w:val="22"/>
          <w:szCs w:val="22"/>
        </w:rPr>
        <w:t>material didáctico</w:t>
      </w:r>
      <w:r w:rsidR="00F71133" w:rsidRPr="00576AF8">
        <w:rPr>
          <w:rFonts w:eastAsia="Calibri"/>
          <w:color w:val="000000"/>
          <w:sz w:val="22"/>
          <w:szCs w:val="22"/>
        </w:rPr>
        <w:t xml:space="preserve"> entregado</w:t>
      </w:r>
      <w:r w:rsidRPr="00576AF8">
        <w:rPr>
          <w:rFonts w:eastAsia="Calibri"/>
          <w:color w:val="000000"/>
          <w:sz w:val="22"/>
          <w:szCs w:val="22"/>
        </w:rPr>
        <w:t>.</w:t>
      </w:r>
    </w:p>
    <w:p w14:paraId="73ED446C"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560"/>
        <w:rPr>
          <w:rFonts w:eastAsia="Calibri"/>
          <w:color w:val="000000"/>
          <w:sz w:val="22"/>
          <w:szCs w:val="22"/>
        </w:rPr>
      </w:pPr>
      <w:r w:rsidRPr="00576AF8">
        <w:rPr>
          <w:rFonts w:eastAsia="Calibri"/>
          <w:color w:val="000000"/>
          <w:sz w:val="22"/>
          <w:szCs w:val="22"/>
        </w:rPr>
        <w:t xml:space="preserve">El Proveedor diseñará un grupo de </w:t>
      </w:r>
      <w:r w:rsidRPr="00576AF8">
        <w:rPr>
          <w:sz w:val="22"/>
          <w:szCs w:val="22"/>
        </w:rPr>
        <w:t>transferencias de conocimientos</w:t>
      </w:r>
      <w:r w:rsidRPr="00576AF8">
        <w:rPr>
          <w:rFonts w:eastAsia="Calibri"/>
          <w:color w:val="000000"/>
          <w:sz w:val="22"/>
          <w:szCs w:val="22"/>
        </w:rPr>
        <w:t xml:space="preserve"> altamente especializados para el personal del CENACE que realiza la administración del sistema.  Estas transferencias</w:t>
      </w:r>
      <w:r w:rsidRPr="00576AF8">
        <w:rPr>
          <w:sz w:val="22"/>
          <w:szCs w:val="22"/>
        </w:rPr>
        <w:t xml:space="preserve"> de conocimientos</w:t>
      </w:r>
      <w:r w:rsidRPr="00576AF8">
        <w:rPr>
          <w:rFonts w:eastAsia="Calibri"/>
          <w:color w:val="000000"/>
          <w:sz w:val="22"/>
          <w:szCs w:val="22"/>
        </w:rPr>
        <w:t xml:space="preserve"> estarán </w:t>
      </w:r>
      <w:proofErr w:type="gramStart"/>
      <w:r w:rsidRPr="00576AF8">
        <w:rPr>
          <w:rFonts w:eastAsia="Calibri"/>
          <w:color w:val="000000"/>
          <w:sz w:val="22"/>
          <w:szCs w:val="22"/>
        </w:rPr>
        <w:t>enfocados</w:t>
      </w:r>
      <w:proofErr w:type="gramEnd"/>
      <w:r w:rsidRPr="00576AF8">
        <w:rPr>
          <w:rFonts w:eastAsia="Calibri"/>
          <w:color w:val="000000"/>
          <w:sz w:val="22"/>
          <w:szCs w:val="22"/>
        </w:rPr>
        <w:t xml:space="preserve"> a que el personal </w:t>
      </w:r>
      <w:r w:rsidR="00593894" w:rsidRPr="00576AF8">
        <w:rPr>
          <w:rFonts w:eastAsia="Calibri"/>
          <w:color w:val="000000"/>
          <w:sz w:val="22"/>
          <w:szCs w:val="22"/>
        </w:rPr>
        <w:t>del Comprador</w:t>
      </w:r>
      <w:r w:rsidRPr="00576AF8">
        <w:rPr>
          <w:rFonts w:eastAsia="Calibri"/>
          <w:color w:val="000000"/>
          <w:sz w:val="22"/>
          <w:szCs w:val="22"/>
        </w:rPr>
        <w:t xml:space="preserve"> pueda realizar sus propios desarrollos en el sistema SCADA/EMS del Proveedor.  Estas </w:t>
      </w:r>
      <w:r w:rsidRPr="00576AF8">
        <w:rPr>
          <w:sz w:val="22"/>
          <w:szCs w:val="22"/>
        </w:rPr>
        <w:t xml:space="preserve">transferencias de </w:t>
      </w:r>
      <w:r w:rsidRPr="00576AF8">
        <w:rPr>
          <w:sz w:val="22"/>
          <w:szCs w:val="22"/>
        </w:rPr>
        <w:lastRenderedPageBreak/>
        <w:t>conocimientos</w:t>
      </w:r>
      <w:r w:rsidRPr="00576AF8">
        <w:rPr>
          <w:rFonts w:eastAsia="Calibri"/>
          <w:color w:val="000000"/>
          <w:sz w:val="22"/>
          <w:szCs w:val="22"/>
        </w:rPr>
        <w:t xml:space="preserve"> deberán programarse luego de culminadas las pruebas SAT, en común acuerdo con el CENACE.</w:t>
      </w:r>
    </w:p>
    <w:p w14:paraId="7066EA8D"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rPr>
          <w:rFonts w:eastAsia="Calibri"/>
          <w:color w:val="000000"/>
          <w:sz w:val="22"/>
          <w:szCs w:val="22"/>
        </w:rPr>
      </w:pPr>
      <w:r w:rsidRPr="00576AF8">
        <w:rPr>
          <w:rFonts w:eastAsia="Calibri"/>
          <w:color w:val="000000"/>
          <w:sz w:val="22"/>
          <w:szCs w:val="22"/>
        </w:rPr>
        <w:t>La transferencia de conocimientos incluirá, pero no se limitará a, lo siguiente:</w:t>
      </w:r>
    </w:p>
    <w:p w14:paraId="37412539" w14:textId="77777777" w:rsidR="009102A7" w:rsidRPr="00576AF8" w:rsidRDefault="009102A7" w:rsidP="009102A7">
      <w:pPr>
        <w:numPr>
          <w:ilvl w:val="0"/>
          <w:numId w:val="38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268" w:hanging="425"/>
        <w:contextualSpacing/>
        <w:rPr>
          <w:rFonts w:eastAsia="Calibri"/>
          <w:color w:val="000000"/>
          <w:sz w:val="22"/>
          <w:szCs w:val="22"/>
        </w:rPr>
      </w:pPr>
      <w:r w:rsidRPr="00576AF8">
        <w:rPr>
          <w:rFonts w:eastAsia="Calibri"/>
          <w:color w:val="000000"/>
          <w:sz w:val="22"/>
          <w:szCs w:val="22"/>
        </w:rPr>
        <w:t>Material didáctico.</w:t>
      </w:r>
    </w:p>
    <w:p w14:paraId="593DDB3D" w14:textId="77777777" w:rsidR="009102A7" w:rsidRPr="00576AF8" w:rsidRDefault="009102A7" w:rsidP="009102A7">
      <w:pPr>
        <w:numPr>
          <w:ilvl w:val="0"/>
          <w:numId w:val="38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268" w:hanging="425"/>
        <w:contextualSpacing/>
        <w:rPr>
          <w:rFonts w:eastAsia="Calibri"/>
          <w:color w:val="000000"/>
          <w:sz w:val="22"/>
          <w:szCs w:val="22"/>
        </w:rPr>
      </w:pPr>
      <w:r w:rsidRPr="00576AF8">
        <w:rPr>
          <w:rFonts w:eastAsia="Calibri"/>
          <w:color w:val="000000"/>
          <w:sz w:val="22"/>
          <w:szCs w:val="22"/>
        </w:rPr>
        <w:t>Manuales.</w:t>
      </w:r>
    </w:p>
    <w:p w14:paraId="3510A3B4" w14:textId="77777777" w:rsidR="009102A7" w:rsidRPr="00576AF8" w:rsidRDefault="009102A7" w:rsidP="009102A7">
      <w:pPr>
        <w:numPr>
          <w:ilvl w:val="0"/>
          <w:numId w:val="38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268" w:hanging="425"/>
        <w:contextualSpacing/>
        <w:rPr>
          <w:rFonts w:eastAsia="Calibri"/>
          <w:color w:val="000000"/>
          <w:sz w:val="22"/>
          <w:szCs w:val="22"/>
        </w:rPr>
      </w:pPr>
      <w:r w:rsidRPr="00576AF8">
        <w:rPr>
          <w:rFonts w:eastAsia="Calibri"/>
          <w:color w:val="000000"/>
          <w:sz w:val="22"/>
          <w:szCs w:val="22"/>
        </w:rPr>
        <w:t>Herramientas especiales.</w:t>
      </w:r>
    </w:p>
    <w:p w14:paraId="5A65037C" w14:textId="77777777" w:rsidR="009102A7" w:rsidRPr="00576AF8" w:rsidRDefault="009102A7" w:rsidP="009102A7">
      <w:pPr>
        <w:numPr>
          <w:ilvl w:val="0"/>
          <w:numId w:val="38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268" w:hanging="425"/>
        <w:contextualSpacing/>
        <w:rPr>
          <w:rFonts w:eastAsia="Calibri"/>
          <w:color w:val="000000"/>
          <w:sz w:val="22"/>
          <w:szCs w:val="22"/>
        </w:rPr>
      </w:pPr>
      <w:r w:rsidRPr="00576AF8">
        <w:rPr>
          <w:rFonts w:eastAsia="Calibri"/>
          <w:color w:val="000000"/>
          <w:sz w:val="22"/>
          <w:szCs w:val="22"/>
        </w:rPr>
        <w:t>Certificados de asistencia.</w:t>
      </w:r>
    </w:p>
    <w:p w14:paraId="704396BE"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contextualSpacing/>
        <w:rPr>
          <w:rFonts w:eastAsia="Calibri"/>
          <w:color w:val="000000"/>
          <w:sz w:val="22"/>
          <w:szCs w:val="22"/>
        </w:rPr>
      </w:pPr>
    </w:p>
    <w:p w14:paraId="6BFAEA09"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contextualSpacing/>
        <w:rPr>
          <w:rFonts w:eastAsia="Calibri"/>
          <w:color w:val="000000"/>
          <w:sz w:val="22"/>
          <w:szCs w:val="22"/>
        </w:rPr>
      </w:pPr>
      <w:r w:rsidRPr="00576AF8">
        <w:rPr>
          <w:rFonts w:eastAsia="Calibri"/>
          <w:color w:val="000000"/>
          <w:sz w:val="22"/>
          <w:szCs w:val="22"/>
        </w:rPr>
        <w:t xml:space="preserve">Los instructores deberán presentar al CENACE informes confidenciales de evaluación y desempeño técnico del personal que asiste a la </w:t>
      </w:r>
      <w:r w:rsidRPr="00576AF8">
        <w:rPr>
          <w:sz w:val="22"/>
          <w:szCs w:val="22"/>
        </w:rPr>
        <w:t>transferencia de conocimientos</w:t>
      </w:r>
      <w:r w:rsidRPr="00576AF8">
        <w:rPr>
          <w:rFonts w:eastAsia="Calibri"/>
          <w:color w:val="000000"/>
          <w:sz w:val="22"/>
          <w:szCs w:val="22"/>
        </w:rPr>
        <w:t xml:space="preserve">. Una verificación del nivel de comprensión de los participantes del sistema se llevará a cabo al finalizar la parte teórica de la </w:t>
      </w:r>
      <w:r w:rsidRPr="00576AF8">
        <w:rPr>
          <w:sz w:val="22"/>
          <w:szCs w:val="22"/>
        </w:rPr>
        <w:t>transferencia de conocimientos</w:t>
      </w:r>
      <w:r w:rsidRPr="00576AF8">
        <w:rPr>
          <w:rFonts w:eastAsia="Calibri"/>
          <w:color w:val="000000"/>
          <w:sz w:val="22"/>
          <w:szCs w:val="22"/>
        </w:rPr>
        <w:t>.</w:t>
      </w:r>
    </w:p>
    <w:p w14:paraId="13F15495"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rPr>
          <w:rFonts w:eastAsia="Calibri"/>
          <w:color w:val="000000"/>
          <w:sz w:val="22"/>
          <w:szCs w:val="22"/>
        </w:rPr>
      </w:pPr>
      <w:r w:rsidRPr="00576AF8">
        <w:rPr>
          <w:rFonts w:eastAsia="Calibri"/>
          <w:color w:val="000000"/>
          <w:sz w:val="22"/>
          <w:szCs w:val="22"/>
        </w:rPr>
        <w:t>Los diseñadores e instructores de formación deberán estar calificados tanto en su campo técnico como en la formación de adultos;</w:t>
      </w:r>
      <w:r w:rsidR="003565A6" w:rsidRPr="00576AF8">
        <w:rPr>
          <w:rFonts w:eastAsia="Calibri"/>
          <w:color w:val="000000"/>
          <w:sz w:val="22"/>
          <w:szCs w:val="22"/>
        </w:rPr>
        <w:t xml:space="preserve"> para lo cual, deberán presentar</w:t>
      </w:r>
      <w:r w:rsidRPr="00576AF8">
        <w:rPr>
          <w:rFonts w:eastAsia="Calibri"/>
          <w:color w:val="000000"/>
          <w:sz w:val="22"/>
          <w:szCs w:val="22"/>
        </w:rPr>
        <w:t xml:space="preserve"> </w:t>
      </w:r>
      <w:r w:rsidR="003565A6" w:rsidRPr="00576AF8">
        <w:rPr>
          <w:rFonts w:eastAsia="Calibri"/>
          <w:color w:val="000000"/>
          <w:sz w:val="22"/>
          <w:szCs w:val="22"/>
        </w:rPr>
        <w:t xml:space="preserve">antes del comienzo de la formación </w:t>
      </w:r>
      <w:r w:rsidRPr="00576AF8">
        <w:rPr>
          <w:rFonts w:eastAsia="Calibri"/>
          <w:color w:val="000000"/>
          <w:sz w:val="22"/>
          <w:szCs w:val="22"/>
        </w:rPr>
        <w:t xml:space="preserve">los </w:t>
      </w:r>
      <w:r w:rsidRPr="00576AF8">
        <w:rPr>
          <w:rFonts w:eastAsia="Calibri"/>
          <w:i/>
          <w:color w:val="000000"/>
          <w:sz w:val="22"/>
          <w:szCs w:val="22"/>
        </w:rPr>
        <w:t>Currículum Vitae</w:t>
      </w:r>
      <w:r w:rsidRPr="00576AF8">
        <w:rPr>
          <w:rFonts w:eastAsia="Calibri"/>
          <w:color w:val="000000"/>
          <w:sz w:val="22"/>
          <w:szCs w:val="22"/>
        </w:rPr>
        <w:t xml:space="preserve"> de los Instructores</w:t>
      </w:r>
      <w:r w:rsidR="003565A6" w:rsidRPr="00576AF8">
        <w:rPr>
          <w:rFonts w:eastAsia="Calibri"/>
          <w:color w:val="000000"/>
          <w:sz w:val="22"/>
          <w:szCs w:val="22"/>
        </w:rPr>
        <w:t>, un certificado de experiencia en su campo técnico y un certificado que le acredite como instructor en los últimos tres años</w:t>
      </w:r>
      <w:r w:rsidRPr="00576AF8">
        <w:rPr>
          <w:rFonts w:eastAsia="Calibri"/>
          <w:color w:val="000000"/>
          <w:sz w:val="22"/>
          <w:szCs w:val="22"/>
        </w:rPr>
        <w:t xml:space="preserve">. La calificación de los instructores será presentada por el Proveedor antes de la transferencia de conocimientos para su aprobación por el CENACE. </w:t>
      </w:r>
    </w:p>
    <w:p w14:paraId="2C468E9A"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rPr>
          <w:rFonts w:eastAsia="Calibri"/>
          <w:color w:val="000000"/>
          <w:sz w:val="22"/>
          <w:szCs w:val="22"/>
        </w:rPr>
      </w:pPr>
      <w:r w:rsidRPr="00576AF8">
        <w:rPr>
          <w:rFonts w:eastAsia="Calibri"/>
          <w:color w:val="000000"/>
          <w:sz w:val="22"/>
          <w:szCs w:val="22"/>
        </w:rPr>
        <w:t xml:space="preserve">El número final de estudiantes puede variar durante la definición de declaración del Plan de Trabajo. El Proveedor debe presentar </w:t>
      </w:r>
      <w:r w:rsidR="00C727D4" w:rsidRPr="00576AF8">
        <w:rPr>
          <w:rFonts w:eastAsia="Calibri"/>
          <w:color w:val="000000"/>
          <w:sz w:val="22"/>
          <w:szCs w:val="22"/>
        </w:rPr>
        <w:t xml:space="preserve">una </w:t>
      </w:r>
      <w:r w:rsidRPr="00576AF8">
        <w:rPr>
          <w:rFonts w:eastAsia="Calibri"/>
          <w:color w:val="000000"/>
          <w:sz w:val="22"/>
          <w:szCs w:val="22"/>
        </w:rPr>
        <w:t>metodología y requisitos de</w:t>
      </w:r>
      <w:r w:rsidRPr="00576AF8">
        <w:rPr>
          <w:sz w:val="22"/>
          <w:szCs w:val="22"/>
        </w:rPr>
        <w:t xml:space="preserve"> transferencia de conocimientos</w:t>
      </w:r>
      <w:r w:rsidR="00F71133" w:rsidRPr="00576AF8">
        <w:rPr>
          <w:sz w:val="22"/>
          <w:szCs w:val="22"/>
        </w:rPr>
        <w:t xml:space="preserve">, </w:t>
      </w:r>
      <w:r w:rsidR="00C727D4" w:rsidRPr="00576AF8">
        <w:rPr>
          <w:sz w:val="22"/>
          <w:szCs w:val="22"/>
        </w:rPr>
        <w:t>de entre</w:t>
      </w:r>
      <w:r w:rsidR="00F71133" w:rsidRPr="00576AF8">
        <w:rPr>
          <w:sz w:val="22"/>
          <w:szCs w:val="22"/>
        </w:rPr>
        <w:t xml:space="preserve"> las siguientes:</w:t>
      </w:r>
    </w:p>
    <w:p w14:paraId="29D985CF" w14:textId="77777777" w:rsidR="009102A7" w:rsidRPr="00576AF8" w:rsidRDefault="009102A7" w:rsidP="009102A7">
      <w:pPr>
        <w:numPr>
          <w:ilvl w:val="0"/>
          <w:numId w:val="12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 xml:space="preserve">Conferencias cara a cara: a partir del concepto tradicional de transferencia de conocimientos del formador al alumno, la audiencia no se limitará a la escucha pasiva: se alentará a los alumnos a participar haciendo preguntas y buscando ideas. </w:t>
      </w:r>
    </w:p>
    <w:p w14:paraId="18EF2434" w14:textId="77777777" w:rsidR="009102A7" w:rsidRPr="00576AF8" w:rsidRDefault="009102A7" w:rsidP="009102A7">
      <w:pPr>
        <w:numPr>
          <w:ilvl w:val="0"/>
          <w:numId w:val="12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 xml:space="preserve">Ejercicios: para complementar las conferencias presenciales, los ejercicios prácticos se integrarán en el programa de estudios, los alumnos trabajarán individualmente y en grupos. </w:t>
      </w:r>
    </w:p>
    <w:p w14:paraId="294C95BD" w14:textId="77777777" w:rsidR="009102A7" w:rsidRPr="00576AF8" w:rsidRDefault="009102A7" w:rsidP="009102A7">
      <w:pPr>
        <w:numPr>
          <w:ilvl w:val="0"/>
          <w:numId w:val="12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 xml:space="preserve">Estudios de casos: destinados a retratar escenarios de trabajo significativos para ser presentados a la atención de los alumnos. </w:t>
      </w:r>
    </w:p>
    <w:p w14:paraId="7A194BFF" w14:textId="77777777" w:rsidR="009102A7" w:rsidRPr="00576AF8" w:rsidRDefault="009102A7" w:rsidP="009102A7">
      <w:pPr>
        <w:numPr>
          <w:ilvl w:val="0"/>
          <w:numId w:val="12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Simulación: enfoque de entrenamiento práctico en el que se implementarán ejercicios prácticos sobre escenarios significativos mediante simulador de equipos objetivo.</w:t>
      </w:r>
    </w:p>
    <w:p w14:paraId="37857BC2" w14:textId="77777777" w:rsidR="009102A7" w:rsidRPr="00576AF8" w:rsidRDefault="009102A7" w:rsidP="009102A7">
      <w:pPr>
        <w:numPr>
          <w:ilvl w:val="0"/>
          <w:numId w:val="12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410" w:hanging="283"/>
        <w:contextualSpacing/>
        <w:rPr>
          <w:rFonts w:eastAsia="Calibri"/>
          <w:color w:val="000000"/>
          <w:sz w:val="22"/>
          <w:szCs w:val="22"/>
        </w:rPr>
      </w:pPr>
      <w:r w:rsidRPr="00576AF8">
        <w:rPr>
          <w:rFonts w:eastAsia="Calibri"/>
          <w:color w:val="000000"/>
          <w:sz w:val="22"/>
          <w:szCs w:val="22"/>
        </w:rPr>
        <w:t>Talleres: Destinados a que el estudiante pueda reproducir o desarrollar aplicaciones utilizando el conocimiento adquirido en la transferencia de conocimientos y con la asistencia del instructor.</w:t>
      </w:r>
    </w:p>
    <w:p w14:paraId="16E9A0B7" w14:textId="77777777" w:rsidR="009102A7" w:rsidRPr="00576AF8" w:rsidRDefault="009102A7" w:rsidP="009102A7">
      <w:pPr>
        <w:numPr>
          <w:ilvl w:val="0"/>
          <w:numId w:val="1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contextualSpacing/>
        <w:rPr>
          <w:rFonts w:eastAsia="Calibri"/>
          <w:color w:val="000000"/>
          <w:sz w:val="22"/>
          <w:szCs w:val="22"/>
        </w:rPr>
      </w:pPr>
      <w:r w:rsidRPr="00576AF8">
        <w:rPr>
          <w:rFonts w:eastAsia="Calibri"/>
          <w:color w:val="000000"/>
          <w:sz w:val="22"/>
          <w:szCs w:val="22"/>
        </w:rPr>
        <w:t xml:space="preserve">Toda </w:t>
      </w:r>
      <w:r w:rsidRPr="00576AF8">
        <w:rPr>
          <w:sz w:val="22"/>
          <w:szCs w:val="22"/>
        </w:rPr>
        <w:t>la transferencia de conocimientos</w:t>
      </w:r>
      <w:r w:rsidRPr="00576AF8">
        <w:rPr>
          <w:rFonts w:eastAsia="Calibri"/>
          <w:color w:val="000000"/>
          <w:sz w:val="22"/>
          <w:szCs w:val="22"/>
        </w:rPr>
        <w:t xml:space="preserve"> se llevará a cabo durante el período de integración y se completarán al final de las pruebas y la puesta en marcha.  </w:t>
      </w:r>
      <w:r w:rsidRPr="00576AF8">
        <w:rPr>
          <w:sz w:val="22"/>
          <w:szCs w:val="22"/>
        </w:rPr>
        <w:t>La transferencia de conocimientos</w:t>
      </w:r>
      <w:r w:rsidRPr="00576AF8">
        <w:rPr>
          <w:rFonts w:eastAsia="Calibri"/>
          <w:color w:val="000000"/>
          <w:sz w:val="22"/>
          <w:szCs w:val="22"/>
        </w:rPr>
        <w:t xml:space="preserve"> formal, su duración y número estimado de participantes se muestran en la Tabla 1</w:t>
      </w:r>
      <w:r w:rsidR="00D250F3" w:rsidRPr="00576AF8">
        <w:rPr>
          <w:rFonts w:eastAsia="Calibri"/>
          <w:color w:val="000000"/>
          <w:sz w:val="22"/>
          <w:szCs w:val="22"/>
        </w:rPr>
        <w:t>1</w:t>
      </w:r>
      <w:r w:rsidRPr="00576AF8">
        <w:rPr>
          <w:rFonts w:eastAsia="Calibri"/>
          <w:color w:val="000000"/>
          <w:sz w:val="22"/>
          <w:szCs w:val="22"/>
        </w:rPr>
        <w:t xml:space="preserve">. </w:t>
      </w:r>
    </w:p>
    <w:p w14:paraId="1BC73ACA"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080"/>
        <w:rPr>
          <w:rFonts w:eastAsia="Calibri"/>
          <w:color w:val="000000"/>
          <w:sz w:val="22"/>
          <w:szCs w:val="22"/>
        </w:rPr>
      </w:pPr>
      <w:r w:rsidRPr="00576AF8">
        <w:rPr>
          <w:rFonts w:eastAsia="Calibri"/>
          <w:b/>
          <w:color w:val="000000"/>
          <w:sz w:val="22"/>
          <w:szCs w:val="22"/>
        </w:rPr>
        <w:t>Transferencia de Conocimientos en el Trabajo (OJT)</w:t>
      </w:r>
    </w:p>
    <w:p w14:paraId="45271499" w14:textId="77777777" w:rsidR="00E918E7" w:rsidRPr="00576AF8" w:rsidRDefault="009102A7" w:rsidP="008C0D90">
      <w:pPr>
        <w:numPr>
          <w:ilvl w:val="0"/>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contextualSpacing/>
        <w:rPr>
          <w:rFonts w:eastAsia="Calibri"/>
          <w:color w:val="000000"/>
          <w:sz w:val="22"/>
          <w:szCs w:val="22"/>
        </w:rPr>
      </w:pPr>
      <w:r w:rsidRPr="00576AF8">
        <w:rPr>
          <w:rFonts w:eastAsia="Calibri"/>
          <w:color w:val="000000"/>
          <w:sz w:val="22"/>
          <w:szCs w:val="22"/>
        </w:rPr>
        <w:t>La transferencia de conocimientos bajo tareas</w:t>
      </w:r>
      <w:r w:rsidR="00CF43E0" w:rsidRPr="00576AF8">
        <w:rPr>
          <w:rFonts w:eastAsia="Calibri"/>
          <w:color w:val="000000"/>
          <w:sz w:val="22"/>
          <w:szCs w:val="22"/>
        </w:rPr>
        <w:t xml:space="preserve"> - OJT</w:t>
      </w:r>
      <w:r w:rsidRPr="00576AF8">
        <w:rPr>
          <w:rFonts w:eastAsia="Calibri"/>
          <w:color w:val="000000"/>
          <w:sz w:val="22"/>
          <w:szCs w:val="22"/>
        </w:rPr>
        <w:t xml:space="preserve"> </w:t>
      </w:r>
      <w:r w:rsidR="00CF43E0" w:rsidRPr="00576AF8">
        <w:rPr>
          <w:rFonts w:eastAsia="Calibri"/>
          <w:color w:val="000000"/>
          <w:sz w:val="22"/>
          <w:szCs w:val="22"/>
        </w:rPr>
        <w:t xml:space="preserve">se realizará de forma presencial en el sitio del Comprador y </w:t>
      </w:r>
      <w:r w:rsidRPr="00576AF8">
        <w:rPr>
          <w:rFonts w:eastAsia="Calibri"/>
          <w:color w:val="000000"/>
          <w:sz w:val="22"/>
          <w:szCs w:val="22"/>
        </w:rPr>
        <w:t xml:space="preserve">deberá proporcionar al personal del </w:t>
      </w:r>
      <w:r w:rsidR="00CF43E0" w:rsidRPr="00576AF8">
        <w:rPr>
          <w:rFonts w:eastAsia="Calibri"/>
          <w:color w:val="000000"/>
          <w:sz w:val="22"/>
          <w:szCs w:val="22"/>
        </w:rPr>
        <w:t xml:space="preserve">Comprador </w:t>
      </w:r>
      <w:r w:rsidRPr="00576AF8">
        <w:rPr>
          <w:rFonts w:eastAsia="Calibri"/>
          <w:color w:val="000000"/>
          <w:sz w:val="22"/>
          <w:szCs w:val="22"/>
        </w:rPr>
        <w:t xml:space="preserve">asignado el conocimiento práctico de las actividades de instalación e integración </w:t>
      </w:r>
      <w:r w:rsidR="00CF43E0" w:rsidRPr="00576AF8">
        <w:rPr>
          <w:rFonts w:eastAsia="Calibri"/>
          <w:color w:val="000000"/>
          <w:sz w:val="22"/>
          <w:szCs w:val="22"/>
        </w:rPr>
        <w:t>del software y hardware,</w:t>
      </w:r>
      <w:r w:rsidRPr="00576AF8">
        <w:rPr>
          <w:rFonts w:eastAsia="Calibri"/>
          <w:color w:val="000000"/>
          <w:sz w:val="22"/>
          <w:szCs w:val="22"/>
        </w:rPr>
        <w:t xml:space="preserve"> que permita transferir efectivamente el conocimiento (</w:t>
      </w:r>
      <w:r w:rsidRPr="00576AF8">
        <w:rPr>
          <w:rFonts w:eastAsia="Calibri"/>
          <w:i/>
          <w:color w:val="000000"/>
          <w:sz w:val="22"/>
          <w:szCs w:val="22"/>
        </w:rPr>
        <w:t>know-how</w:t>
      </w:r>
      <w:r w:rsidRPr="00576AF8">
        <w:rPr>
          <w:rFonts w:eastAsia="Calibri"/>
          <w:color w:val="000000"/>
          <w:sz w:val="22"/>
          <w:szCs w:val="22"/>
        </w:rPr>
        <w:t xml:space="preserve">) desde el </w:t>
      </w:r>
      <w:r w:rsidRPr="00576AF8">
        <w:rPr>
          <w:rFonts w:eastAsia="Calibri"/>
          <w:color w:val="000000"/>
          <w:sz w:val="22"/>
          <w:szCs w:val="22"/>
        </w:rPr>
        <w:lastRenderedPageBreak/>
        <w:t xml:space="preserve">Proveedor. </w:t>
      </w:r>
      <w:r w:rsidR="00CF43E0" w:rsidRPr="00576AF8">
        <w:rPr>
          <w:rFonts w:eastAsia="Calibri"/>
          <w:color w:val="000000"/>
          <w:sz w:val="22"/>
          <w:szCs w:val="22"/>
        </w:rPr>
        <w:t xml:space="preserve">El Proveedor podrá apoyarse, con conexiones remotas al equipamiento en fábrica, accesos remotos a entornos del Proveedor que permitan la correcta ejecución de actividades, la interacción puntual con otros especialistas en temas específicos, así como, con las herramientas y el sistema. En todo caso, </w:t>
      </w:r>
      <w:r w:rsidR="00E918E7" w:rsidRPr="00576AF8">
        <w:rPr>
          <w:rFonts w:eastAsia="Calibri"/>
          <w:color w:val="000000"/>
          <w:sz w:val="22"/>
          <w:szCs w:val="22"/>
        </w:rPr>
        <w:t>los</w:t>
      </w:r>
      <w:r w:rsidR="00CF43E0" w:rsidRPr="00576AF8">
        <w:rPr>
          <w:rFonts w:eastAsia="Calibri"/>
          <w:color w:val="000000"/>
          <w:sz w:val="22"/>
          <w:szCs w:val="22"/>
        </w:rPr>
        <w:t xml:space="preserve"> instructor</w:t>
      </w:r>
      <w:r w:rsidR="00E918E7" w:rsidRPr="00576AF8">
        <w:rPr>
          <w:rFonts w:eastAsia="Calibri"/>
          <w:color w:val="000000"/>
          <w:sz w:val="22"/>
          <w:szCs w:val="22"/>
        </w:rPr>
        <w:t>es</w:t>
      </w:r>
      <w:r w:rsidR="00CF43E0" w:rsidRPr="00576AF8">
        <w:rPr>
          <w:rFonts w:eastAsia="Calibri"/>
          <w:color w:val="000000"/>
          <w:sz w:val="22"/>
          <w:szCs w:val="22"/>
        </w:rPr>
        <w:t xml:space="preserve"> deberá</w:t>
      </w:r>
      <w:r w:rsidR="00E918E7" w:rsidRPr="00576AF8">
        <w:rPr>
          <w:rFonts w:eastAsia="Calibri"/>
          <w:color w:val="000000"/>
          <w:sz w:val="22"/>
          <w:szCs w:val="22"/>
        </w:rPr>
        <w:t>n</w:t>
      </w:r>
      <w:r w:rsidR="00CF43E0" w:rsidRPr="00576AF8">
        <w:rPr>
          <w:rFonts w:eastAsia="Calibri"/>
          <w:color w:val="000000"/>
          <w:sz w:val="22"/>
          <w:szCs w:val="22"/>
        </w:rPr>
        <w:t xml:space="preserve"> estar de forma presencial en el sitio del Comprador. </w:t>
      </w:r>
    </w:p>
    <w:p w14:paraId="074E1AC9" w14:textId="77777777" w:rsidR="00E918E7" w:rsidRPr="00576AF8" w:rsidRDefault="00CF43E0" w:rsidP="008C0D90">
      <w:pPr>
        <w:numPr>
          <w:ilvl w:val="0"/>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contextualSpacing/>
        <w:rPr>
          <w:rFonts w:eastAsia="Calibri"/>
          <w:color w:val="000000"/>
          <w:sz w:val="22"/>
          <w:szCs w:val="22"/>
        </w:rPr>
      </w:pPr>
      <w:r w:rsidRPr="00576AF8">
        <w:rPr>
          <w:rFonts w:eastAsia="Calibri"/>
          <w:color w:val="000000"/>
          <w:sz w:val="22"/>
          <w:szCs w:val="22"/>
        </w:rPr>
        <w:t xml:space="preserve">La </w:t>
      </w:r>
      <w:r w:rsidR="00E918E7" w:rsidRPr="00576AF8">
        <w:rPr>
          <w:rFonts w:eastAsia="Calibri"/>
          <w:color w:val="000000"/>
          <w:sz w:val="22"/>
          <w:szCs w:val="22"/>
        </w:rPr>
        <w:t xml:space="preserve">transferencia de conocimiento OJT, no interferirá de ninguna manera las actividades de instalación y configuración del hadrware y software ni los plazos establecidos para las mismas. </w:t>
      </w:r>
    </w:p>
    <w:p w14:paraId="5A664565" w14:textId="77777777" w:rsidR="00E918E7" w:rsidRPr="00576AF8" w:rsidRDefault="00E918E7" w:rsidP="00E918E7">
      <w:pPr>
        <w:numPr>
          <w:ilvl w:val="0"/>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contextualSpacing/>
        <w:rPr>
          <w:rFonts w:eastAsia="Calibri"/>
          <w:color w:val="000000"/>
          <w:sz w:val="22"/>
          <w:szCs w:val="22"/>
        </w:rPr>
      </w:pPr>
      <w:r w:rsidRPr="00576AF8">
        <w:rPr>
          <w:rFonts w:eastAsia="Calibri"/>
          <w:color w:val="000000"/>
          <w:sz w:val="22"/>
          <w:szCs w:val="22"/>
        </w:rPr>
        <w:t>Se requiere una fase de OJT de 5 días previo a FAT. Para esta fase se requiere al menos: el especialista de integración, el especialista de funciones de análisis de red y de producción de manera no simultánea.</w:t>
      </w:r>
      <w:r w:rsidR="00960075" w:rsidRPr="00576AF8">
        <w:rPr>
          <w:rFonts w:eastAsia="Calibri"/>
          <w:color w:val="000000"/>
          <w:sz w:val="22"/>
          <w:szCs w:val="22"/>
        </w:rPr>
        <w:t xml:space="preserve"> Previo al inicio de estas actividades el Proveedor y el Comprador de forma conjunta acordarán el alcance de la misma, </w:t>
      </w:r>
      <w:r w:rsidR="007D00B3" w:rsidRPr="00576AF8">
        <w:rPr>
          <w:rFonts w:eastAsia="Calibri"/>
          <w:color w:val="000000"/>
          <w:sz w:val="22"/>
          <w:szCs w:val="22"/>
        </w:rPr>
        <w:t>y estar</w:t>
      </w:r>
      <w:r w:rsidR="00445B13" w:rsidRPr="00576AF8">
        <w:rPr>
          <w:rFonts w:eastAsia="Calibri"/>
          <w:color w:val="000000"/>
          <w:sz w:val="22"/>
          <w:szCs w:val="22"/>
        </w:rPr>
        <w:t>án</w:t>
      </w:r>
      <w:r w:rsidR="007D00B3" w:rsidRPr="00576AF8">
        <w:rPr>
          <w:rFonts w:eastAsia="Calibri"/>
          <w:color w:val="000000"/>
          <w:sz w:val="22"/>
          <w:szCs w:val="22"/>
        </w:rPr>
        <w:t xml:space="preserve"> </w:t>
      </w:r>
      <w:r w:rsidR="000375D0" w:rsidRPr="00576AF8">
        <w:rPr>
          <w:rFonts w:eastAsia="Calibri"/>
          <w:color w:val="000000"/>
          <w:sz w:val="22"/>
          <w:szCs w:val="22"/>
        </w:rPr>
        <w:t>enmarcados en los siguientes temas de</w:t>
      </w:r>
      <w:r w:rsidR="00960075" w:rsidRPr="00576AF8">
        <w:rPr>
          <w:rFonts w:eastAsia="Calibri"/>
          <w:color w:val="000000"/>
          <w:sz w:val="22"/>
          <w:szCs w:val="22"/>
        </w:rPr>
        <w:t xml:space="preserve"> interés del Compador: </w:t>
      </w:r>
    </w:p>
    <w:p w14:paraId="20810C42"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Inventario de hardware y software</w:t>
      </w:r>
    </w:p>
    <w:p w14:paraId="11C00E48" w14:textId="77777777" w:rsidR="00960075" w:rsidRPr="00576AF8" w:rsidRDefault="00960075" w:rsidP="008C0D90">
      <w:pPr>
        <w:numPr>
          <w:ilvl w:val="1"/>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Integración de Front Ends y Gateways</w:t>
      </w:r>
    </w:p>
    <w:p w14:paraId="0FF08C84"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Instalación de software base del Proveedor</w:t>
      </w:r>
    </w:p>
    <w:p w14:paraId="1A4B6BD0"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Secuencia de encendido y apagado</w:t>
      </w:r>
    </w:p>
    <w:p w14:paraId="5A73C574" w14:textId="77777777" w:rsidR="007B4274" w:rsidRPr="00576AF8" w:rsidRDefault="00770FAA" w:rsidP="007B4274">
      <w:pPr>
        <w:numPr>
          <w:ilvl w:val="1"/>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Conversión</w:t>
      </w:r>
      <w:r w:rsidR="007B4274" w:rsidRPr="00576AF8">
        <w:rPr>
          <w:rFonts w:eastAsia="Calibri"/>
          <w:color w:val="000000"/>
          <w:sz w:val="22"/>
          <w:szCs w:val="22"/>
        </w:rPr>
        <w:t xml:space="preserve"> </w:t>
      </w:r>
      <w:r w:rsidR="00445B13" w:rsidRPr="00576AF8">
        <w:rPr>
          <w:rFonts w:eastAsia="Calibri"/>
          <w:color w:val="000000"/>
          <w:sz w:val="22"/>
          <w:szCs w:val="22"/>
        </w:rPr>
        <w:t xml:space="preserve">y elaboración </w:t>
      </w:r>
      <w:r w:rsidR="007B4274" w:rsidRPr="00576AF8">
        <w:rPr>
          <w:rFonts w:eastAsia="Calibri"/>
          <w:color w:val="000000"/>
          <w:sz w:val="22"/>
          <w:szCs w:val="22"/>
        </w:rPr>
        <w:t>de despliegues</w:t>
      </w:r>
    </w:p>
    <w:p w14:paraId="266AEA81" w14:textId="77777777" w:rsidR="007B4274" w:rsidRPr="00576AF8" w:rsidRDefault="00770FAA" w:rsidP="007B4274">
      <w:pPr>
        <w:numPr>
          <w:ilvl w:val="1"/>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Conversión</w:t>
      </w:r>
      <w:r w:rsidR="007B4274" w:rsidRPr="00576AF8">
        <w:rPr>
          <w:rFonts w:eastAsia="Calibri"/>
          <w:color w:val="000000"/>
          <w:sz w:val="22"/>
          <w:szCs w:val="22"/>
        </w:rPr>
        <w:t xml:space="preserve"> de base de datos</w:t>
      </w:r>
      <w:r w:rsidR="00C87ACE" w:rsidRPr="00576AF8">
        <w:rPr>
          <w:rFonts w:eastAsia="Calibri"/>
          <w:color w:val="000000"/>
          <w:sz w:val="22"/>
          <w:szCs w:val="22"/>
        </w:rPr>
        <w:t xml:space="preserve"> SCADA y modelo eléctrico</w:t>
      </w:r>
    </w:p>
    <w:p w14:paraId="6EB317E6" w14:textId="77777777" w:rsidR="00445B13" w:rsidRPr="00576AF8" w:rsidRDefault="00445B13" w:rsidP="007B4274">
      <w:pPr>
        <w:numPr>
          <w:ilvl w:val="1"/>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Configuración de nuevas instalaciones en la base de datos SCADA y modelo eléctrico</w:t>
      </w:r>
    </w:p>
    <w:p w14:paraId="67A8C5DE" w14:textId="77777777" w:rsidR="007B4274" w:rsidRPr="00576AF8" w:rsidRDefault="007B4274"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3576"/>
        <w:contextualSpacing/>
        <w:rPr>
          <w:rFonts w:eastAsia="Calibri"/>
          <w:color w:val="000000"/>
          <w:sz w:val="22"/>
          <w:szCs w:val="22"/>
        </w:rPr>
      </w:pPr>
    </w:p>
    <w:p w14:paraId="50BBC477" w14:textId="77777777" w:rsidR="00960075" w:rsidRPr="00576AF8" w:rsidRDefault="00C13C49" w:rsidP="00960075">
      <w:pPr>
        <w:numPr>
          <w:ilvl w:val="0"/>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contextualSpacing/>
        <w:rPr>
          <w:rFonts w:eastAsia="Calibri"/>
          <w:color w:val="000000"/>
          <w:sz w:val="22"/>
          <w:szCs w:val="22"/>
        </w:rPr>
      </w:pPr>
      <w:r w:rsidRPr="00576AF8">
        <w:rPr>
          <w:rFonts w:eastAsia="Calibri"/>
          <w:color w:val="000000"/>
          <w:sz w:val="22"/>
          <w:szCs w:val="22"/>
        </w:rPr>
        <w:t>Además de la participación del equipo técnico del Comprador</w:t>
      </w:r>
      <w:r w:rsidR="003F1AFB" w:rsidRPr="00576AF8">
        <w:rPr>
          <w:rFonts w:eastAsia="Calibri"/>
          <w:color w:val="000000"/>
          <w:sz w:val="22"/>
          <w:szCs w:val="22"/>
        </w:rPr>
        <w:t xml:space="preserve"> con el equipo técnico del Proveedor durante la instalación en sitio, s</w:t>
      </w:r>
      <w:r w:rsidR="00E918E7" w:rsidRPr="00576AF8">
        <w:rPr>
          <w:rFonts w:eastAsia="Calibri"/>
          <w:color w:val="000000"/>
          <w:sz w:val="22"/>
          <w:szCs w:val="22"/>
        </w:rPr>
        <w:t xml:space="preserve">e requiere una segunda fase de OJT de 8 días previos a SAT. Para esta fase se requiere al menos: el especialista de integración, el especialista de </w:t>
      </w:r>
      <w:proofErr w:type="gramStart"/>
      <w:r w:rsidR="00E918E7" w:rsidRPr="00576AF8">
        <w:rPr>
          <w:rFonts w:eastAsia="Calibri"/>
          <w:color w:val="000000"/>
          <w:sz w:val="22"/>
          <w:szCs w:val="22"/>
        </w:rPr>
        <w:t>hardware  y</w:t>
      </w:r>
      <w:proofErr w:type="gramEnd"/>
      <w:r w:rsidR="00E918E7" w:rsidRPr="00576AF8">
        <w:rPr>
          <w:rFonts w:eastAsia="Calibri"/>
          <w:color w:val="000000"/>
          <w:sz w:val="22"/>
          <w:szCs w:val="22"/>
        </w:rPr>
        <w:t xml:space="preserve"> el especialista </w:t>
      </w:r>
      <w:r w:rsidR="00960075" w:rsidRPr="00576AF8">
        <w:rPr>
          <w:rFonts w:eastAsia="Calibri"/>
          <w:color w:val="000000"/>
          <w:sz w:val="22"/>
          <w:szCs w:val="22"/>
        </w:rPr>
        <w:t>de SCADA</w:t>
      </w:r>
      <w:r w:rsidR="00E918E7" w:rsidRPr="00576AF8">
        <w:rPr>
          <w:rFonts w:eastAsia="Calibri"/>
          <w:color w:val="000000"/>
          <w:sz w:val="22"/>
          <w:szCs w:val="22"/>
        </w:rPr>
        <w:t>.</w:t>
      </w:r>
      <w:r w:rsidR="00960075" w:rsidRPr="00576AF8">
        <w:rPr>
          <w:rFonts w:eastAsia="Calibri"/>
          <w:color w:val="000000"/>
          <w:sz w:val="22"/>
          <w:szCs w:val="22"/>
        </w:rPr>
        <w:t xml:space="preserve"> Previo al inicio de estas actividades el Proveedor y el Comprador de forma conjunta acordarán el alcance de la misma, el cual deben acortarse a 4 funcionalidades de mayor interés del Compador:</w:t>
      </w:r>
    </w:p>
    <w:p w14:paraId="4E6CFBDF"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 xml:space="preserve">Instalación de hardware y software </w:t>
      </w:r>
    </w:p>
    <w:p w14:paraId="46077067"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Configuración de los servidores y consolas</w:t>
      </w:r>
    </w:p>
    <w:p w14:paraId="267009D1"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Configuración de los servidores y consolas</w:t>
      </w:r>
    </w:p>
    <w:p w14:paraId="33356E12" w14:textId="77777777" w:rsidR="007B4274" w:rsidRPr="00576AF8" w:rsidRDefault="007B4274" w:rsidP="008C0D90">
      <w:pPr>
        <w:numPr>
          <w:ilvl w:val="1"/>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Configuración de equipos de red y seguridad</w:t>
      </w:r>
    </w:p>
    <w:p w14:paraId="23CC6588"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Instalación de sistemas operativos</w:t>
      </w:r>
    </w:p>
    <w:p w14:paraId="735FE6B3"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Backup del sistema</w:t>
      </w:r>
    </w:p>
    <w:p w14:paraId="41224821"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Secuencia de encendido y apagado</w:t>
      </w:r>
    </w:p>
    <w:p w14:paraId="5B35F16E" w14:textId="77777777" w:rsidR="007B4274" w:rsidRPr="00576AF8" w:rsidRDefault="007B4274" w:rsidP="007B4274">
      <w:pPr>
        <w:pStyle w:val="Prrafodelista"/>
        <w:numPr>
          <w:ilvl w:val="1"/>
          <w:numId w:val="382"/>
        </w:numPr>
        <w:rPr>
          <w:rFonts w:eastAsia="Calibri"/>
          <w:color w:val="000000"/>
          <w:sz w:val="22"/>
          <w:szCs w:val="22"/>
        </w:rPr>
      </w:pPr>
      <w:r w:rsidRPr="00576AF8">
        <w:rPr>
          <w:rFonts w:eastAsia="Calibri"/>
          <w:color w:val="000000"/>
          <w:sz w:val="22"/>
          <w:szCs w:val="22"/>
        </w:rPr>
        <w:t>Desarrollo de Aplicaciones Personalizadas del CENACE</w:t>
      </w:r>
    </w:p>
    <w:p w14:paraId="3F7BE1D4" w14:textId="77777777" w:rsidR="007B4274" w:rsidRPr="00576AF8" w:rsidRDefault="00373E79" w:rsidP="00960075">
      <w:pPr>
        <w:numPr>
          <w:ilvl w:val="1"/>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Integración de API con variables climáticas</w:t>
      </w:r>
    </w:p>
    <w:p w14:paraId="0E9345D4" w14:textId="77777777" w:rsidR="00960075" w:rsidRPr="00576AF8" w:rsidRDefault="00960075"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contextualSpacing/>
        <w:rPr>
          <w:rFonts w:eastAsia="Calibri"/>
          <w:color w:val="000000"/>
          <w:sz w:val="22"/>
          <w:szCs w:val="22"/>
        </w:rPr>
      </w:pPr>
    </w:p>
    <w:p w14:paraId="42EA9841" w14:textId="77777777" w:rsidR="009102A7" w:rsidRPr="00576AF8" w:rsidRDefault="003F6797" w:rsidP="008C0D9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rPr>
          <w:rFonts w:eastAsia="Calibri"/>
          <w:color w:val="000000"/>
          <w:sz w:val="22"/>
          <w:szCs w:val="22"/>
        </w:rPr>
      </w:pPr>
      <w:r w:rsidRPr="00576AF8">
        <w:rPr>
          <w:rFonts w:eastAsia="Calibri"/>
          <w:color w:val="000000"/>
          <w:sz w:val="22"/>
          <w:szCs w:val="22"/>
        </w:rPr>
        <w:t>La siguiente tabla presenta los requerimientos mínimos de la transferencia de conocimiento para el Comprador:</w:t>
      </w:r>
    </w:p>
    <w:tbl>
      <w:tblPr>
        <w:tblW w:w="10206" w:type="dxa"/>
        <w:tblLayout w:type="fixed"/>
        <w:tblCellMar>
          <w:left w:w="70" w:type="dxa"/>
          <w:right w:w="70" w:type="dxa"/>
        </w:tblCellMar>
        <w:tblLook w:val="04A0" w:firstRow="1" w:lastRow="0" w:firstColumn="1" w:lastColumn="0" w:noHBand="0" w:noVBand="1"/>
      </w:tblPr>
      <w:tblGrid>
        <w:gridCol w:w="426"/>
        <w:gridCol w:w="1842"/>
        <w:gridCol w:w="709"/>
        <w:gridCol w:w="567"/>
        <w:gridCol w:w="567"/>
        <w:gridCol w:w="567"/>
        <w:gridCol w:w="567"/>
        <w:gridCol w:w="709"/>
        <w:gridCol w:w="709"/>
        <w:gridCol w:w="708"/>
        <w:gridCol w:w="709"/>
        <w:gridCol w:w="567"/>
        <w:gridCol w:w="425"/>
        <w:gridCol w:w="651"/>
        <w:gridCol w:w="483"/>
      </w:tblGrid>
      <w:tr w:rsidR="002A6A01" w:rsidRPr="00576AF8" w14:paraId="40018374" w14:textId="77777777" w:rsidTr="00DE0454">
        <w:trPr>
          <w:trHeight w:val="658"/>
        </w:trPr>
        <w:tc>
          <w:tcPr>
            <w:tcW w:w="426" w:type="dxa"/>
            <w:tcBorders>
              <w:top w:val="nil"/>
              <w:left w:val="nil"/>
              <w:bottom w:val="nil"/>
              <w:right w:val="nil"/>
            </w:tcBorders>
            <w:shd w:val="clear" w:color="auto" w:fill="auto"/>
            <w:vAlign w:val="center"/>
            <w:hideMark/>
          </w:tcPr>
          <w:p w14:paraId="3CDFBEF8" w14:textId="77777777" w:rsidR="002A6A01" w:rsidRPr="00576AF8" w:rsidRDefault="002A6A01" w:rsidP="00DE0454">
            <w:pPr>
              <w:rPr>
                <w:sz w:val="12"/>
                <w:szCs w:val="12"/>
                <w:lang w:eastAsia="es-EC"/>
              </w:rPr>
            </w:pPr>
            <w:bookmarkStart w:id="1113" w:name="OLE_LINK3"/>
          </w:p>
        </w:tc>
        <w:tc>
          <w:tcPr>
            <w:tcW w:w="1842" w:type="dxa"/>
            <w:tcBorders>
              <w:top w:val="nil"/>
              <w:left w:val="nil"/>
              <w:bottom w:val="nil"/>
              <w:right w:val="nil"/>
            </w:tcBorders>
            <w:shd w:val="clear" w:color="auto" w:fill="auto"/>
            <w:vAlign w:val="center"/>
            <w:hideMark/>
          </w:tcPr>
          <w:p w14:paraId="6EAE0343" w14:textId="77777777" w:rsidR="002A6A01" w:rsidRPr="00576AF8" w:rsidRDefault="002A6A01" w:rsidP="00DE0454">
            <w:pPr>
              <w:rPr>
                <w:sz w:val="12"/>
                <w:szCs w:val="12"/>
                <w:lang w:eastAsia="es-EC"/>
              </w:rPr>
            </w:pPr>
          </w:p>
        </w:tc>
        <w:tc>
          <w:tcPr>
            <w:tcW w:w="709" w:type="dxa"/>
            <w:tcBorders>
              <w:top w:val="nil"/>
              <w:left w:val="nil"/>
              <w:bottom w:val="nil"/>
              <w:right w:val="nil"/>
            </w:tcBorders>
            <w:shd w:val="clear" w:color="auto" w:fill="auto"/>
            <w:vAlign w:val="center"/>
            <w:hideMark/>
          </w:tcPr>
          <w:p w14:paraId="24C01302" w14:textId="77777777" w:rsidR="002A6A01" w:rsidRPr="00576AF8" w:rsidRDefault="002A6A01" w:rsidP="00DE0454">
            <w:pPr>
              <w:rPr>
                <w:sz w:val="12"/>
                <w:szCs w:val="12"/>
                <w:lang w:eastAsia="es-EC"/>
              </w:rPr>
            </w:pPr>
          </w:p>
        </w:tc>
        <w:tc>
          <w:tcPr>
            <w:tcW w:w="567" w:type="dxa"/>
            <w:tcBorders>
              <w:top w:val="single" w:sz="4" w:space="0" w:color="auto"/>
              <w:left w:val="single" w:sz="4" w:space="0" w:color="auto"/>
              <w:bottom w:val="single" w:sz="4" w:space="0" w:color="auto"/>
              <w:right w:val="single" w:sz="4" w:space="0" w:color="auto"/>
            </w:tcBorders>
            <w:shd w:val="clear" w:color="000000" w:fill="CFECFD"/>
            <w:vAlign w:val="center"/>
            <w:hideMark/>
          </w:tcPr>
          <w:p w14:paraId="77A5FC54" w14:textId="77777777" w:rsidR="002A6A01" w:rsidRPr="00576AF8" w:rsidRDefault="002A6A01" w:rsidP="00DE0454">
            <w:pPr>
              <w:rPr>
                <w:color w:val="000000"/>
                <w:sz w:val="12"/>
                <w:szCs w:val="12"/>
                <w:lang w:eastAsia="es-EC"/>
              </w:rPr>
            </w:pPr>
            <w:r w:rsidRPr="00576AF8">
              <w:rPr>
                <w:color w:val="000000"/>
                <w:sz w:val="12"/>
                <w:szCs w:val="12"/>
                <w:lang w:eastAsia="es-EC"/>
              </w:rPr>
              <w:t>GERENCIA</w:t>
            </w:r>
          </w:p>
        </w:tc>
        <w:tc>
          <w:tcPr>
            <w:tcW w:w="567" w:type="dxa"/>
            <w:tcBorders>
              <w:top w:val="single" w:sz="4" w:space="0" w:color="auto"/>
              <w:left w:val="nil"/>
              <w:bottom w:val="single" w:sz="4" w:space="0" w:color="auto"/>
              <w:right w:val="single" w:sz="4" w:space="0" w:color="auto"/>
            </w:tcBorders>
            <w:shd w:val="clear" w:color="000000" w:fill="CFECFD"/>
            <w:vAlign w:val="center"/>
            <w:hideMark/>
          </w:tcPr>
          <w:p w14:paraId="35CE2318" w14:textId="77777777" w:rsidR="002A6A01" w:rsidRPr="00576AF8" w:rsidRDefault="002A6A01" w:rsidP="00DE0454">
            <w:pPr>
              <w:rPr>
                <w:color w:val="000000"/>
                <w:sz w:val="12"/>
                <w:szCs w:val="12"/>
                <w:lang w:eastAsia="es-EC"/>
              </w:rPr>
            </w:pPr>
            <w:r w:rsidRPr="00576AF8">
              <w:rPr>
                <w:color w:val="000000"/>
                <w:sz w:val="12"/>
                <w:szCs w:val="12"/>
                <w:lang w:eastAsia="es-EC"/>
              </w:rPr>
              <w:t>SCADA</w:t>
            </w:r>
          </w:p>
        </w:tc>
        <w:tc>
          <w:tcPr>
            <w:tcW w:w="567" w:type="dxa"/>
            <w:tcBorders>
              <w:top w:val="single" w:sz="4" w:space="0" w:color="auto"/>
              <w:left w:val="nil"/>
              <w:bottom w:val="single" w:sz="4" w:space="0" w:color="auto"/>
              <w:right w:val="single" w:sz="4" w:space="0" w:color="auto"/>
            </w:tcBorders>
            <w:shd w:val="clear" w:color="000000" w:fill="CFECFD"/>
            <w:vAlign w:val="center"/>
            <w:hideMark/>
          </w:tcPr>
          <w:p w14:paraId="40251DDF" w14:textId="77777777" w:rsidR="002A6A01" w:rsidRPr="00576AF8" w:rsidRDefault="002A6A01" w:rsidP="00DE0454">
            <w:pPr>
              <w:rPr>
                <w:color w:val="000000"/>
                <w:sz w:val="12"/>
                <w:szCs w:val="12"/>
                <w:lang w:eastAsia="es-EC"/>
              </w:rPr>
            </w:pPr>
            <w:r w:rsidRPr="00576AF8">
              <w:rPr>
                <w:color w:val="000000"/>
                <w:sz w:val="12"/>
                <w:szCs w:val="12"/>
                <w:lang w:eastAsia="es-EC"/>
              </w:rPr>
              <w:t>APLICACIONES</w:t>
            </w:r>
          </w:p>
        </w:tc>
        <w:tc>
          <w:tcPr>
            <w:tcW w:w="567" w:type="dxa"/>
            <w:tcBorders>
              <w:top w:val="single" w:sz="4" w:space="0" w:color="auto"/>
              <w:left w:val="nil"/>
              <w:bottom w:val="single" w:sz="4" w:space="0" w:color="auto"/>
              <w:right w:val="single" w:sz="4" w:space="0" w:color="auto"/>
            </w:tcBorders>
            <w:shd w:val="clear" w:color="000000" w:fill="CFECFD"/>
            <w:vAlign w:val="center"/>
            <w:hideMark/>
          </w:tcPr>
          <w:p w14:paraId="6AF7B8CB" w14:textId="77777777" w:rsidR="002A6A01" w:rsidRPr="00576AF8" w:rsidRDefault="002A6A01" w:rsidP="00DE0454">
            <w:pPr>
              <w:rPr>
                <w:color w:val="000000"/>
                <w:sz w:val="12"/>
                <w:szCs w:val="12"/>
                <w:lang w:eastAsia="es-EC"/>
              </w:rPr>
            </w:pPr>
            <w:r w:rsidRPr="00576AF8">
              <w:rPr>
                <w:color w:val="000000"/>
                <w:sz w:val="12"/>
                <w:szCs w:val="12"/>
                <w:lang w:eastAsia="es-EC"/>
              </w:rPr>
              <w:t>COMUNICACIONES</w:t>
            </w:r>
          </w:p>
        </w:tc>
        <w:tc>
          <w:tcPr>
            <w:tcW w:w="709" w:type="dxa"/>
            <w:tcBorders>
              <w:top w:val="single" w:sz="4" w:space="0" w:color="auto"/>
              <w:left w:val="nil"/>
              <w:bottom w:val="single" w:sz="4" w:space="0" w:color="auto"/>
              <w:right w:val="single" w:sz="4" w:space="0" w:color="auto"/>
            </w:tcBorders>
            <w:shd w:val="clear" w:color="000000" w:fill="CFECFD"/>
            <w:vAlign w:val="center"/>
            <w:hideMark/>
          </w:tcPr>
          <w:p w14:paraId="3C793A35" w14:textId="77777777" w:rsidR="002A6A01" w:rsidRPr="00576AF8" w:rsidRDefault="002A6A01" w:rsidP="00DE0454">
            <w:pPr>
              <w:rPr>
                <w:color w:val="000000"/>
                <w:sz w:val="12"/>
                <w:szCs w:val="12"/>
                <w:lang w:eastAsia="es-EC"/>
              </w:rPr>
            </w:pPr>
            <w:r w:rsidRPr="00576AF8">
              <w:rPr>
                <w:color w:val="000000"/>
                <w:sz w:val="12"/>
                <w:szCs w:val="12"/>
                <w:lang w:eastAsia="es-EC"/>
              </w:rPr>
              <w:t>ADMINISTRACIÓNSW</w:t>
            </w:r>
          </w:p>
        </w:tc>
        <w:tc>
          <w:tcPr>
            <w:tcW w:w="709" w:type="dxa"/>
            <w:tcBorders>
              <w:top w:val="single" w:sz="4" w:space="0" w:color="auto"/>
              <w:left w:val="nil"/>
              <w:bottom w:val="single" w:sz="4" w:space="0" w:color="auto"/>
              <w:right w:val="single" w:sz="4" w:space="0" w:color="auto"/>
            </w:tcBorders>
            <w:shd w:val="clear" w:color="000000" w:fill="CFECFD"/>
            <w:vAlign w:val="center"/>
            <w:hideMark/>
          </w:tcPr>
          <w:p w14:paraId="11BAE3D7" w14:textId="77777777" w:rsidR="002A6A01" w:rsidRPr="00576AF8" w:rsidRDefault="002A6A01" w:rsidP="00DE0454">
            <w:pPr>
              <w:rPr>
                <w:color w:val="000000"/>
                <w:sz w:val="12"/>
                <w:szCs w:val="12"/>
                <w:lang w:eastAsia="es-EC"/>
              </w:rPr>
            </w:pPr>
            <w:r w:rsidRPr="00576AF8">
              <w:rPr>
                <w:color w:val="000000"/>
                <w:sz w:val="12"/>
                <w:szCs w:val="12"/>
                <w:lang w:eastAsia="es-EC"/>
              </w:rPr>
              <w:t>ADMINISTRACIÓN HW</w:t>
            </w:r>
          </w:p>
        </w:tc>
        <w:tc>
          <w:tcPr>
            <w:tcW w:w="708" w:type="dxa"/>
            <w:tcBorders>
              <w:top w:val="single" w:sz="4" w:space="0" w:color="auto"/>
              <w:left w:val="nil"/>
              <w:bottom w:val="single" w:sz="4" w:space="0" w:color="auto"/>
              <w:right w:val="single" w:sz="4" w:space="0" w:color="auto"/>
            </w:tcBorders>
            <w:shd w:val="clear" w:color="000000" w:fill="CFECFD"/>
            <w:vAlign w:val="center"/>
            <w:hideMark/>
          </w:tcPr>
          <w:p w14:paraId="49C367C0" w14:textId="77777777" w:rsidR="002A6A01" w:rsidRPr="00576AF8" w:rsidRDefault="002A6A01" w:rsidP="00DE0454">
            <w:pPr>
              <w:rPr>
                <w:color w:val="000000"/>
                <w:sz w:val="12"/>
                <w:szCs w:val="12"/>
                <w:lang w:eastAsia="es-EC"/>
              </w:rPr>
            </w:pPr>
            <w:r w:rsidRPr="00576AF8">
              <w:rPr>
                <w:color w:val="000000"/>
                <w:sz w:val="12"/>
                <w:szCs w:val="12"/>
                <w:lang w:eastAsia="es-EC"/>
              </w:rPr>
              <w:t>CIBERSEGURIDAD</w:t>
            </w:r>
          </w:p>
        </w:tc>
        <w:tc>
          <w:tcPr>
            <w:tcW w:w="709" w:type="dxa"/>
            <w:tcBorders>
              <w:top w:val="single" w:sz="4" w:space="0" w:color="auto"/>
              <w:left w:val="nil"/>
              <w:bottom w:val="single" w:sz="4" w:space="0" w:color="auto"/>
              <w:right w:val="single" w:sz="4" w:space="0" w:color="auto"/>
            </w:tcBorders>
            <w:shd w:val="clear" w:color="000000" w:fill="CFECFD"/>
            <w:vAlign w:val="center"/>
            <w:hideMark/>
          </w:tcPr>
          <w:p w14:paraId="687016E0" w14:textId="77777777" w:rsidR="002A6A01" w:rsidRPr="00576AF8" w:rsidRDefault="002A6A01" w:rsidP="00DE0454">
            <w:pPr>
              <w:rPr>
                <w:color w:val="000000"/>
                <w:sz w:val="12"/>
                <w:szCs w:val="12"/>
                <w:lang w:eastAsia="es-EC"/>
              </w:rPr>
            </w:pPr>
            <w:r w:rsidRPr="00576AF8">
              <w:rPr>
                <w:color w:val="000000"/>
                <w:sz w:val="12"/>
                <w:szCs w:val="12"/>
                <w:lang w:eastAsia="es-EC"/>
              </w:rPr>
              <w:t>OPERADORES</w:t>
            </w:r>
          </w:p>
        </w:tc>
        <w:tc>
          <w:tcPr>
            <w:tcW w:w="567" w:type="dxa"/>
            <w:tcBorders>
              <w:top w:val="single" w:sz="4" w:space="0" w:color="auto"/>
              <w:left w:val="nil"/>
              <w:bottom w:val="single" w:sz="4" w:space="0" w:color="auto"/>
              <w:right w:val="single" w:sz="4" w:space="0" w:color="auto"/>
            </w:tcBorders>
            <w:shd w:val="clear" w:color="000000" w:fill="CFECFD"/>
            <w:vAlign w:val="center"/>
            <w:hideMark/>
          </w:tcPr>
          <w:p w14:paraId="2F2A7F52" w14:textId="77777777" w:rsidR="002A6A01" w:rsidRPr="00576AF8" w:rsidRDefault="002A6A01" w:rsidP="00DE0454">
            <w:pPr>
              <w:rPr>
                <w:color w:val="000000"/>
                <w:sz w:val="12"/>
                <w:szCs w:val="12"/>
                <w:highlight w:val="yellow"/>
                <w:lang w:eastAsia="es-EC"/>
              </w:rPr>
            </w:pPr>
            <w:proofErr w:type="gramStart"/>
            <w:r w:rsidRPr="00576AF8">
              <w:rPr>
                <w:color w:val="000000"/>
                <w:sz w:val="12"/>
                <w:szCs w:val="12"/>
                <w:lang w:eastAsia="es-EC"/>
              </w:rPr>
              <w:t>TOTAL</w:t>
            </w:r>
            <w:proofErr w:type="gramEnd"/>
            <w:r w:rsidRPr="00576AF8">
              <w:rPr>
                <w:color w:val="000000"/>
                <w:sz w:val="12"/>
                <w:szCs w:val="12"/>
                <w:lang w:eastAsia="es-EC"/>
              </w:rPr>
              <w:t xml:space="preserve"> ALUMNOS</w:t>
            </w:r>
          </w:p>
        </w:tc>
        <w:tc>
          <w:tcPr>
            <w:tcW w:w="425" w:type="dxa"/>
            <w:tcBorders>
              <w:top w:val="single" w:sz="4" w:space="0" w:color="auto"/>
              <w:left w:val="nil"/>
              <w:bottom w:val="single" w:sz="4" w:space="0" w:color="auto"/>
              <w:right w:val="single" w:sz="4" w:space="0" w:color="auto"/>
            </w:tcBorders>
            <w:shd w:val="clear" w:color="000000" w:fill="E2EFDA"/>
            <w:vAlign w:val="center"/>
            <w:hideMark/>
          </w:tcPr>
          <w:p w14:paraId="0C632E81" w14:textId="77777777" w:rsidR="002A6A01" w:rsidRPr="00576AF8" w:rsidRDefault="002A6A01" w:rsidP="00DE0454">
            <w:pPr>
              <w:rPr>
                <w:color w:val="000000"/>
                <w:sz w:val="12"/>
                <w:szCs w:val="12"/>
                <w:lang w:eastAsia="es-EC"/>
              </w:rPr>
            </w:pPr>
            <w:r w:rsidRPr="00576AF8">
              <w:rPr>
                <w:color w:val="000000"/>
                <w:sz w:val="12"/>
                <w:szCs w:val="12"/>
                <w:lang w:eastAsia="es-EC"/>
              </w:rPr>
              <w:t>Sesiones</w:t>
            </w:r>
          </w:p>
        </w:tc>
        <w:tc>
          <w:tcPr>
            <w:tcW w:w="651" w:type="dxa"/>
            <w:tcBorders>
              <w:top w:val="single" w:sz="4" w:space="0" w:color="auto"/>
              <w:left w:val="nil"/>
              <w:bottom w:val="single" w:sz="4" w:space="0" w:color="auto"/>
              <w:right w:val="single" w:sz="4" w:space="0" w:color="auto"/>
            </w:tcBorders>
            <w:shd w:val="clear" w:color="000000" w:fill="E2EFDA"/>
            <w:vAlign w:val="center"/>
            <w:hideMark/>
          </w:tcPr>
          <w:p w14:paraId="53FBC9CD" w14:textId="77777777" w:rsidR="002A6A01" w:rsidRPr="00576AF8" w:rsidRDefault="002A6A01" w:rsidP="00DE0454">
            <w:pPr>
              <w:rPr>
                <w:color w:val="000000"/>
                <w:sz w:val="12"/>
                <w:szCs w:val="12"/>
                <w:lang w:eastAsia="es-EC"/>
              </w:rPr>
            </w:pPr>
            <w:r w:rsidRPr="00576AF8">
              <w:rPr>
                <w:color w:val="000000"/>
                <w:sz w:val="12"/>
                <w:szCs w:val="12"/>
                <w:lang w:eastAsia="es-EC"/>
              </w:rPr>
              <w:t>Duración por Sesión (días)</w:t>
            </w:r>
          </w:p>
        </w:tc>
        <w:tc>
          <w:tcPr>
            <w:tcW w:w="483" w:type="dxa"/>
            <w:tcBorders>
              <w:top w:val="single" w:sz="4" w:space="0" w:color="auto"/>
              <w:left w:val="nil"/>
              <w:bottom w:val="single" w:sz="4" w:space="0" w:color="auto"/>
              <w:right w:val="single" w:sz="4" w:space="0" w:color="auto"/>
            </w:tcBorders>
            <w:shd w:val="clear" w:color="000000" w:fill="E2EFDA"/>
            <w:vAlign w:val="center"/>
            <w:hideMark/>
          </w:tcPr>
          <w:p w14:paraId="7D79AD7D" w14:textId="77777777" w:rsidR="002A6A01" w:rsidRPr="00576AF8" w:rsidRDefault="002A6A01" w:rsidP="00DE0454">
            <w:pPr>
              <w:rPr>
                <w:color w:val="000000"/>
                <w:sz w:val="12"/>
                <w:szCs w:val="12"/>
                <w:lang w:eastAsia="es-EC"/>
              </w:rPr>
            </w:pPr>
            <w:r w:rsidRPr="00576AF8">
              <w:rPr>
                <w:color w:val="000000"/>
                <w:sz w:val="12"/>
                <w:szCs w:val="12"/>
                <w:lang w:eastAsia="es-EC"/>
              </w:rPr>
              <w:t>Duración Total (días)</w:t>
            </w:r>
          </w:p>
        </w:tc>
      </w:tr>
      <w:tr w:rsidR="002A6A01" w:rsidRPr="00576AF8" w14:paraId="79F88121" w14:textId="77777777" w:rsidTr="00DE0454">
        <w:trPr>
          <w:trHeight w:val="312"/>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CDA7A"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EF62BED" w14:textId="77777777" w:rsidR="002A6A01" w:rsidRPr="00576AF8" w:rsidRDefault="002A6A01" w:rsidP="00DE0454">
            <w:pPr>
              <w:rPr>
                <w:color w:val="000000"/>
                <w:sz w:val="12"/>
                <w:szCs w:val="12"/>
                <w:lang w:eastAsia="es-EC"/>
              </w:rPr>
            </w:pPr>
            <w:r w:rsidRPr="00576AF8">
              <w:rPr>
                <w:color w:val="000000"/>
                <w:sz w:val="12"/>
                <w:szCs w:val="12"/>
                <w:lang w:eastAsia="es-EC"/>
              </w:rPr>
              <w:t>Introducción al sistema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4FFE004"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3741C6C8"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567" w:type="dxa"/>
            <w:tcBorders>
              <w:top w:val="nil"/>
              <w:left w:val="nil"/>
              <w:bottom w:val="single" w:sz="4" w:space="0" w:color="auto"/>
              <w:right w:val="single" w:sz="4" w:space="0" w:color="auto"/>
            </w:tcBorders>
            <w:shd w:val="clear" w:color="auto" w:fill="auto"/>
            <w:vAlign w:val="center"/>
            <w:hideMark/>
          </w:tcPr>
          <w:p w14:paraId="7173AB83"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7D87BE04"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5B91A25A"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7D0E3D1E"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709" w:type="dxa"/>
            <w:tcBorders>
              <w:top w:val="nil"/>
              <w:left w:val="nil"/>
              <w:bottom w:val="single" w:sz="4" w:space="0" w:color="auto"/>
              <w:right w:val="single" w:sz="4" w:space="0" w:color="auto"/>
            </w:tcBorders>
            <w:shd w:val="clear" w:color="auto" w:fill="auto"/>
            <w:vAlign w:val="center"/>
            <w:hideMark/>
          </w:tcPr>
          <w:p w14:paraId="264BB3B7"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413A4B39"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74649814" w14:textId="77777777" w:rsidR="002A6A01" w:rsidRPr="00576AF8" w:rsidRDefault="002A6A01" w:rsidP="00DE0454">
            <w:pPr>
              <w:rPr>
                <w:color w:val="000000"/>
                <w:sz w:val="12"/>
                <w:szCs w:val="12"/>
                <w:lang w:eastAsia="es-EC"/>
              </w:rPr>
            </w:pPr>
            <w:r w:rsidRPr="00576AF8">
              <w:rPr>
                <w:color w:val="000000"/>
                <w:sz w:val="12"/>
                <w:szCs w:val="12"/>
                <w:lang w:eastAsia="es-EC"/>
              </w:rPr>
              <w:t>38</w:t>
            </w:r>
          </w:p>
        </w:tc>
        <w:tc>
          <w:tcPr>
            <w:tcW w:w="567" w:type="dxa"/>
            <w:tcBorders>
              <w:top w:val="nil"/>
              <w:left w:val="nil"/>
              <w:bottom w:val="single" w:sz="4" w:space="0" w:color="auto"/>
              <w:right w:val="single" w:sz="4" w:space="0" w:color="auto"/>
            </w:tcBorders>
            <w:shd w:val="clear" w:color="auto" w:fill="auto"/>
            <w:vAlign w:val="center"/>
            <w:hideMark/>
          </w:tcPr>
          <w:p w14:paraId="522B3751" w14:textId="77777777" w:rsidR="002A6A01" w:rsidRPr="00576AF8" w:rsidRDefault="002A6A01" w:rsidP="00DE0454">
            <w:pPr>
              <w:rPr>
                <w:sz w:val="12"/>
                <w:szCs w:val="12"/>
              </w:rPr>
            </w:pPr>
            <w:r w:rsidRPr="00576AF8">
              <w:rPr>
                <w:sz w:val="12"/>
                <w:szCs w:val="12"/>
              </w:rPr>
              <w:t>69</w:t>
            </w:r>
          </w:p>
        </w:tc>
        <w:tc>
          <w:tcPr>
            <w:tcW w:w="425" w:type="dxa"/>
            <w:tcBorders>
              <w:top w:val="nil"/>
              <w:left w:val="nil"/>
              <w:bottom w:val="single" w:sz="4" w:space="0" w:color="auto"/>
              <w:right w:val="single" w:sz="4" w:space="0" w:color="auto"/>
            </w:tcBorders>
            <w:shd w:val="clear" w:color="auto" w:fill="auto"/>
            <w:vAlign w:val="center"/>
            <w:hideMark/>
          </w:tcPr>
          <w:p w14:paraId="5EF60899"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651" w:type="dxa"/>
            <w:tcBorders>
              <w:top w:val="nil"/>
              <w:left w:val="nil"/>
              <w:bottom w:val="single" w:sz="4" w:space="0" w:color="auto"/>
              <w:right w:val="single" w:sz="4" w:space="0" w:color="auto"/>
            </w:tcBorders>
            <w:shd w:val="clear" w:color="auto" w:fill="auto"/>
            <w:vAlign w:val="center"/>
            <w:hideMark/>
          </w:tcPr>
          <w:p w14:paraId="1FB4BE2F" w14:textId="77777777" w:rsidR="002A6A01" w:rsidRPr="00576AF8" w:rsidRDefault="002A6A01" w:rsidP="00DE0454">
            <w:pPr>
              <w:rPr>
                <w:color w:val="000000"/>
                <w:sz w:val="12"/>
                <w:szCs w:val="12"/>
                <w:lang w:eastAsia="es-EC"/>
              </w:rPr>
            </w:pPr>
            <w:r w:rsidRPr="00576AF8">
              <w:rPr>
                <w:color w:val="000000"/>
                <w:sz w:val="12"/>
                <w:szCs w:val="12"/>
                <w:lang w:eastAsia="es-EC"/>
              </w:rPr>
              <w:t>2</w:t>
            </w:r>
          </w:p>
        </w:tc>
        <w:tc>
          <w:tcPr>
            <w:tcW w:w="483" w:type="dxa"/>
            <w:tcBorders>
              <w:top w:val="nil"/>
              <w:left w:val="nil"/>
              <w:bottom w:val="single" w:sz="4" w:space="0" w:color="auto"/>
              <w:right w:val="single" w:sz="4" w:space="0" w:color="auto"/>
            </w:tcBorders>
            <w:shd w:val="clear" w:color="auto" w:fill="auto"/>
            <w:vAlign w:val="center"/>
            <w:hideMark/>
          </w:tcPr>
          <w:p w14:paraId="73F0DA6D" w14:textId="77777777" w:rsidR="002A6A01" w:rsidRPr="00576AF8" w:rsidRDefault="002A6A01" w:rsidP="00DE0454">
            <w:pPr>
              <w:rPr>
                <w:color w:val="000000"/>
                <w:sz w:val="12"/>
                <w:szCs w:val="12"/>
                <w:lang w:eastAsia="es-EC"/>
              </w:rPr>
            </w:pPr>
            <w:r w:rsidRPr="00576AF8">
              <w:rPr>
                <w:color w:val="000000"/>
                <w:sz w:val="12"/>
                <w:szCs w:val="12"/>
                <w:lang w:eastAsia="es-EC"/>
              </w:rPr>
              <w:t>2</w:t>
            </w:r>
          </w:p>
        </w:tc>
      </w:tr>
      <w:tr w:rsidR="002A6A01" w:rsidRPr="00576AF8" w14:paraId="00077A3D" w14:textId="77777777" w:rsidTr="00DE0454">
        <w:trPr>
          <w:trHeight w:val="361"/>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D7EC0CE" w14:textId="77777777" w:rsidR="002A6A01" w:rsidRPr="00576AF8" w:rsidRDefault="002A6A01" w:rsidP="00DE0454">
            <w:pPr>
              <w:rPr>
                <w:color w:val="000000"/>
                <w:sz w:val="12"/>
                <w:szCs w:val="12"/>
                <w:lang w:eastAsia="es-EC"/>
              </w:rPr>
            </w:pPr>
            <w:r w:rsidRPr="00576AF8">
              <w:rPr>
                <w:color w:val="000000"/>
                <w:sz w:val="12"/>
                <w:szCs w:val="12"/>
                <w:lang w:eastAsia="es-EC"/>
              </w:rPr>
              <w:t>2</w:t>
            </w:r>
          </w:p>
        </w:tc>
        <w:tc>
          <w:tcPr>
            <w:tcW w:w="1842" w:type="dxa"/>
            <w:tcBorders>
              <w:top w:val="nil"/>
              <w:left w:val="nil"/>
              <w:bottom w:val="single" w:sz="4" w:space="0" w:color="auto"/>
              <w:right w:val="single" w:sz="4" w:space="0" w:color="auto"/>
            </w:tcBorders>
            <w:shd w:val="clear" w:color="auto" w:fill="auto"/>
            <w:vAlign w:val="center"/>
            <w:hideMark/>
          </w:tcPr>
          <w:p w14:paraId="12B77562" w14:textId="77777777" w:rsidR="002A6A01" w:rsidRPr="00576AF8" w:rsidRDefault="003F6797" w:rsidP="00DE0454">
            <w:pPr>
              <w:rPr>
                <w:color w:val="000000"/>
                <w:sz w:val="12"/>
                <w:szCs w:val="12"/>
                <w:lang w:eastAsia="es-EC"/>
              </w:rPr>
            </w:pPr>
            <w:r w:rsidRPr="00576AF8">
              <w:rPr>
                <w:color w:val="000000"/>
                <w:sz w:val="12"/>
                <w:szCs w:val="12"/>
                <w:lang w:eastAsia="es-EC"/>
              </w:rPr>
              <w:t>Administración</w:t>
            </w:r>
            <w:r w:rsidR="002A6A01" w:rsidRPr="00576AF8">
              <w:rPr>
                <w:color w:val="000000"/>
                <w:sz w:val="12"/>
                <w:szCs w:val="12"/>
                <w:lang w:eastAsia="es-EC"/>
              </w:rPr>
              <w:t xml:space="preserve"> de la base de datos y despliegues</w:t>
            </w:r>
          </w:p>
        </w:tc>
        <w:tc>
          <w:tcPr>
            <w:tcW w:w="709" w:type="dxa"/>
            <w:tcBorders>
              <w:top w:val="nil"/>
              <w:left w:val="nil"/>
              <w:bottom w:val="single" w:sz="4" w:space="0" w:color="auto"/>
              <w:right w:val="single" w:sz="4" w:space="0" w:color="auto"/>
            </w:tcBorders>
            <w:shd w:val="clear" w:color="auto" w:fill="auto"/>
            <w:vAlign w:val="center"/>
            <w:hideMark/>
          </w:tcPr>
          <w:p w14:paraId="231EDC36"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71F2D28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B82F610"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3A266AB3"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6ED83947" w14:textId="4BBB8E81"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781A5A57"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709" w:type="dxa"/>
            <w:tcBorders>
              <w:top w:val="nil"/>
              <w:left w:val="nil"/>
              <w:bottom w:val="single" w:sz="4" w:space="0" w:color="auto"/>
              <w:right w:val="single" w:sz="4" w:space="0" w:color="auto"/>
            </w:tcBorders>
            <w:shd w:val="clear" w:color="auto" w:fill="auto"/>
            <w:vAlign w:val="center"/>
            <w:hideMark/>
          </w:tcPr>
          <w:p w14:paraId="2608BE0F"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8" w:type="dxa"/>
            <w:tcBorders>
              <w:top w:val="nil"/>
              <w:left w:val="nil"/>
              <w:bottom w:val="single" w:sz="4" w:space="0" w:color="auto"/>
              <w:right w:val="single" w:sz="4" w:space="0" w:color="auto"/>
            </w:tcBorders>
            <w:shd w:val="clear" w:color="auto" w:fill="auto"/>
            <w:vAlign w:val="center"/>
            <w:hideMark/>
          </w:tcPr>
          <w:p w14:paraId="38700211"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3C0C1DFE" w14:textId="77777777" w:rsidR="002A6A01" w:rsidRPr="00576AF8" w:rsidRDefault="002A6A01" w:rsidP="00DE0454">
            <w:pPr>
              <w:rPr>
                <w:color w:val="000000"/>
                <w:sz w:val="12"/>
                <w:szCs w:val="12"/>
                <w:lang w:eastAsia="es-EC"/>
              </w:rPr>
            </w:pPr>
            <w:r w:rsidRPr="00576AF8">
              <w:rPr>
                <w:color w:val="000000"/>
                <w:sz w:val="12"/>
                <w:szCs w:val="12"/>
                <w:lang w:eastAsia="es-EC"/>
              </w:rPr>
              <w:t> 4</w:t>
            </w:r>
          </w:p>
        </w:tc>
        <w:tc>
          <w:tcPr>
            <w:tcW w:w="567" w:type="dxa"/>
            <w:tcBorders>
              <w:top w:val="nil"/>
              <w:left w:val="nil"/>
              <w:bottom w:val="single" w:sz="4" w:space="0" w:color="auto"/>
              <w:right w:val="single" w:sz="4" w:space="0" w:color="auto"/>
            </w:tcBorders>
            <w:shd w:val="clear" w:color="auto" w:fill="auto"/>
            <w:vAlign w:val="center"/>
            <w:hideMark/>
          </w:tcPr>
          <w:p w14:paraId="37E76E9E" w14:textId="4E0B7832" w:rsidR="002A6A01" w:rsidRPr="00576AF8" w:rsidRDefault="00F40C43" w:rsidP="00DE0454">
            <w:pPr>
              <w:rPr>
                <w:sz w:val="12"/>
                <w:szCs w:val="12"/>
              </w:rPr>
            </w:pPr>
            <w:r>
              <w:rPr>
                <w:sz w:val="12"/>
                <w:szCs w:val="12"/>
              </w:rPr>
              <w:t>30</w:t>
            </w:r>
          </w:p>
        </w:tc>
        <w:tc>
          <w:tcPr>
            <w:tcW w:w="425" w:type="dxa"/>
            <w:tcBorders>
              <w:top w:val="nil"/>
              <w:left w:val="nil"/>
              <w:bottom w:val="single" w:sz="4" w:space="0" w:color="auto"/>
              <w:right w:val="single" w:sz="4" w:space="0" w:color="auto"/>
            </w:tcBorders>
            <w:shd w:val="clear" w:color="auto" w:fill="auto"/>
            <w:vAlign w:val="center"/>
            <w:hideMark/>
          </w:tcPr>
          <w:p w14:paraId="448B78F7"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35AC8634"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36A55700"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2D3D9B03" w14:textId="77777777" w:rsidTr="00DE0454">
        <w:trPr>
          <w:trHeight w:val="381"/>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9E92477" w14:textId="77777777" w:rsidR="002A6A01" w:rsidRPr="00576AF8" w:rsidRDefault="002A6A01" w:rsidP="00DE0454">
            <w:pPr>
              <w:rPr>
                <w:color w:val="000000"/>
                <w:sz w:val="12"/>
                <w:szCs w:val="12"/>
                <w:lang w:eastAsia="es-EC"/>
              </w:rPr>
            </w:pPr>
            <w:r w:rsidRPr="00576AF8">
              <w:rPr>
                <w:color w:val="000000"/>
                <w:sz w:val="12"/>
                <w:szCs w:val="12"/>
                <w:lang w:eastAsia="es-EC"/>
              </w:rPr>
              <w:lastRenderedPageBreak/>
              <w:t>3</w:t>
            </w:r>
          </w:p>
        </w:tc>
        <w:tc>
          <w:tcPr>
            <w:tcW w:w="1842" w:type="dxa"/>
            <w:tcBorders>
              <w:top w:val="nil"/>
              <w:left w:val="nil"/>
              <w:bottom w:val="single" w:sz="4" w:space="0" w:color="auto"/>
              <w:right w:val="single" w:sz="4" w:space="0" w:color="auto"/>
            </w:tcBorders>
            <w:shd w:val="clear" w:color="auto" w:fill="auto"/>
            <w:vAlign w:val="center"/>
            <w:hideMark/>
          </w:tcPr>
          <w:p w14:paraId="4028CCD0" w14:textId="77777777" w:rsidR="002A6A01" w:rsidRPr="00576AF8" w:rsidRDefault="002A6A01" w:rsidP="00DE0454">
            <w:pPr>
              <w:rPr>
                <w:color w:val="000000"/>
                <w:sz w:val="12"/>
                <w:szCs w:val="12"/>
                <w:lang w:eastAsia="es-EC"/>
              </w:rPr>
            </w:pPr>
            <w:r w:rsidRPr="00576AF8">
              <w:rPr>
                <w:color w:val="000000"/>
                <w:sz w:val="12"/>
                <w:szCs w:val="12"/>
                <w:lang w:eastAsia="es-EC"/>
              </w:rPr>
              <w:t>Configuración de las funciones SCADA</w:t>
            </w:r>
          </w:p>
        </w:tc>
        <w:tc>
          <w:tcPr>
            <w:tcW w:w="709" w:type="dxa"/>
            <w:tcBorders>
              <w:top w:val="nil"/>
              <w:left w:val="nil"/>
              <w:bottom w:val="single" w:sz="4" w:space="0" w:color="auto"/>
              <w:right w:val="single" w:sz="4" w:space="0" w:color="auto"/>
            </w:tcBorders>
            <w:shd w:val="clear" w:color="auto" w:fill="auto"/>
            <w:vAlign w:val="center"/>
            <w:hideMark/>
          </w:tcPr>
          <w:p w14:paraId="78461808"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3414EE4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2051D7D"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39491123" w14:textId="290F03F0"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4323458E" w14:textId="3B3DCF46"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3B302A42"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709" w:type="dxa"/>
            <w:tcBorders>
              <w:top w:val="nil"/>
              <w:left w:val="nil"/>
              <w:bottom w:val="single" w:sz="4" w:space="0" w:color="auto"/>
              <w:right w:val="single" w:sz="4" w:space="0" w:color="auto"/>
            </w:tcBorders>
            <w:shd w:val="clear" w:color="auto" w:fill="auto"/>
            <w:vAlign w:val="center"/>
            <w:hideMark/>
          </w:tcPr>
          <w:p w14:paraId="41D1FF5E"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303E876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69DC39A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09BA177" w14:textId="4016C5A2" w:rsidR="002A6A01" w:rsidRPr="00576AF8" w:rsidRDefault="00F40C43" w:rsidP="00DE0454">
            <w:pPr>
              <w:rPr>
                <w:sz w:val="12"/>
                <w:szCs w:val="12"/>
              </w:rPr>
            </w:pPr>
            <w:r>
              <w:rPr>
                <w:sz w:val="12"/>
                <w:szCs w:val="12"/>
              </w:rPr>
              <w:t>20</w:t>
            </w:r>
          </w:p>
        </w:tc>
        <w:tc>
          <w:tcPr>
            <w:tcW w:w="425" w:type="dxa"/>
            <w:tcBorders>
              <w:top w:val="nil"/>
              <w:left w:val="nil"/>
              <w:bottom w:val="single" w:sz="4" w:space="0" w:color="auto"/>
              <w:right w:val="single" w:sz="4" w:space="0" w:color="auto"/>
            </w:tcBorders>
            <w:shd w:val="clear" w:color="auto" w:fill="auto"/>
            <w:vAlign w:val="center"/>
            <w:hideMark/>
          </w:tcPr>
          <w:p w14:paraId="2D8E331D"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434BB40E"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4A4752BB"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3086049D" w14:textId="77777777" w:rsidTr="00DE0454">
        <w:trPr>
          <w:trHeight w:val="624"/>
        </w:trPr>
        <w:tc>
          <w:tcPr>
            <w:tcW w:w="426" w:type="dxa"/>
            <w:tcBorders>
              <w:top w:val="nil"/>
              <w:left w:val="single" w:sz="4" w:space="0" w:color="auto"/>
              <w:bottom w:val="nil"/>
              <w:right w:val="single" w:sz="4" w:space="0" w:color="auto"/>
            </w:tcBorders>
            <w:shd w:val="clear" w:color="auto" w:fill="auto"/>
            <w:vAlign w:val="center"/>
            <w:hideMark/>
          </w:tcPr>
          <w:p w14:paraId="2F709C14"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c>
          <w:tcPr>
            <w:tcW w:w="1842" w:type="dxa"/>
            <w:tcBorders>
              <w:top w:val="nil"/>
              <w:left w:val="nil"/>
              <w:bottom w:val="single" w:sz="4" w:space="0" w:color="auto"/>
              <w:right w:val="single" w:sz="4" w:space="0" w:color="auto"/>
            </w:tcBorders>
            <w:shd w:val="clear" w:color="auto" w:fill="auto"/>
            <w:vAlign w:val="center"/>
            <w:hideMark/>
          </w:tcPr>
          <w:p w14:paraId="0E208AE1" w14:textId="77777777" w:rsidR="002A6A01" w:rsidRPr="00576AF8" w:rsidRDefault="002A6A01" w:rsidP="00DE0454">
            <w:pPr>
              <w:rPr>
                <w:color w:val="000000"/>
                <w:sz w:val="12"/>
                <w:szCs w:val="12"/>
                <w:lang w:eastAsia="es-EC"/>
              </w:rPr>
            </w:pPr>
            <w:r w:rsidRPr="00576AF8">
              <w:rPr>
                <w:color w:val="000000"/>
                <w:sz w:val="12"/>
                <w:szCs w:val="12"/>
                <w:lang w:eastAsia="es-EC"/>
              </w:rPr>
              <w:t>Configuración de Aplicaciones GMS/EMS</w:t>
            </w:r>
          </w:p>
        </w:tc>
        <w:tc>
          <w:tcPr>
            <w:tcW w:w="709" w:type="dxa"/>
            <w:tcBorders>
              <w:top w:val="nil"/>
              <w:left w:val="nil"/>
              <w:bottom w:val="single" w:sz="4" w:space="0" w:color="auto"/>
              <w:right w:val="single" w:sz="4" w:space="0" w:color="auto"/>
            </w:tcBorders>
            <w:shd w:val="clear" w:color="auto" w:fill="auto"/>
            <w:vAlign w:val="center"/>
            <w:hideMark/>
          </w:tcPr>
          <w:p w14:paraId="117C8487"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nil"/>
              <w:right w:val="single" w:sz="4" w:space="0" w:color="auto"/>
            </w:tcBorders>
            <w:shd w:val="clear" w:color="auto" w:fill="auto"/>
            <w:vAlign w:val="center"/>
            <w:hideMark/>
          </w:tcPr>
          <w:p w14:paraId="70F4D7A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nil"/>
              <w:right w:val="single" w:sz="4" w:space="0" w:color="auto"/>
            </w:tcBorders>
            <w:shd w:val="clear" w:color="auto" w:fill="auto"/>
            <w:vAlign w:val="center"/>
            <w:hideMark/>
          </w:tcPr>
          <w:p w14:paraId="7C020CBD" w14:textId="77777777" w:rsidR="002A6A01" w:rsidRPr="00576AF8" w:rsidRDefault="007D5CA5"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nil"/>
              <w:right w:val="single" w:sz="4" w:space="0" w:color="auto"/>
            </w:tcBorders>
            <w:shd w:val="clear" w:color="auto" w:fill="auto"/>
            <w:vAlign w:val="center"/>
            <w:hideMark/>
          </w:tcPr>
          <w:p w14:paraId="75AF9E3A"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nil"/>
              <w:right w:val="single" w:sz="4" w:space="0" w:color="auto"/>
            </w:tcBorders>
            <w:shd w:val="clear" w:color="auto" w:fill="auto"/>
            <w:vAlign w:val="center"/>
            <w:hideMark/>
          </w:tcPr>
          <w:p w14:paraId="6D5602BD"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nil"/>
              <w:right w:val="single" w:sz="4" w:space="0" w:color="auto"/>
            </w:tcBorders>
            <w:shd w:val="clear" w:color="auto" w:fill="auto"/>
            <w:vAlign w:val="center"/>
            <w:hideMark/>
          </w:tcPr>
          <w:p w14:paraId="17B40D9D"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709" w:type="dxa"/>
            <w:tcBorders>
              <w:top w:val="nil"/>
              <w:left w:val="nil"/>
              <w:bottom w:val="nil"/>
              <w:right w:val="single" w:sz="4" w:space="0" w:color="auto"/>
            </w:tcBorders>
            <w:shd w:val="clear" w:color="auto" w:fill="auto"/>
            <w:vAlign w:val="center"/>
            <w:hideMark/>
          </w:tcPr>
          <w:p w14:paraId="717B0AB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nil"/>
              <w:right w:val="single" w:sz="4" w:space="0" w:color="auto"/>
            </w:tcBorders>
            <w:shd w:val="clear" w:color="auto" w:fill="auto"/>
            <w:vAlign w:val="center"/>
            <w:hideMark/>
          </w:tcPr>
          <w:p w14:paraId="1857D22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nil"/>
              <w:right w:val="single" w:sz="4" w:space="0" w:color="auto"/>
            </w:tcBorders>
            <w:shd w:val="clear" w:color="auto" w:fill="auto"/>
            <w:vAlign w:val="center"/>
            <w:hideMark/>
          </w:tcPr>
          <w:p w14:paraId="7C26AFD5" w14:textId="77777777" w:rsidR="002A6A01" w:rsidRPr="00576AF8" w:rsidRDefault="002A6A01" w:rsidP="00DE0454">
            <w:pPr>
              <w:rPr>
                <w:color w:val="000000"/>
                <w:sz w:val="12"/>
                <w:szCs w:val="12"/>
                <w:lang w:eastAsia="es-EC"/>
              </w:rPr>
            </w:pPr>
            <w:r w:rsidRPr="00576AF8">
              <w:rPr>
                <w:color w:val="000000"/>
                <w:sz w:val="12"/>
                <w:szCs w:val="12"/>
                <w:lang w:eastAsia="es-EC"/>
              </w:rPr>
              <w:t> 4</w:t>
            </w:r>
          </w:p>
        </w:tc>
        <w:tc>
          <w:tcPr>
            <w:tcW w:w="567" w:type="dxa"/>
            <w:tcBorders>
              <w:top w:val="nil"/>
              <w:left w:val="nil"/>
              <w:bottom w:val="single" w:sz="4" w:space="0" w:color="auto"/>
              <w:right w:val="single" w:sz="4" w:space="0" w:color="auto"/>
            </w:tcBorders>
            <w:shd w:val="clear" w:color="auto" w:fill="auto"/>
            <w:vAlign w:val="center"/>
            <w:hideMark/>
          </w:tcPr>
          <w:p w14:paraId="73347403" w14:textId="77777777" w:rsidR="002A6A01" w:rsidRPr="00576AF8" w:rsidRDefault="007D5CA5" w:rsidP="00DE0454">
            <w:pPr>
              <w:rPr>
                <w:sz w:val="12"/>
                <w:szCs w:val="12"/>
              </w:rPr>
            </w:pPr>
            <w:r w:rsidRPr="00576AF8">
              <w:rPr>
                <w:sz w:val="12"/>
                <w:szCs w:val="12"/>
              </w:rPr>
              <w:t>21</w:t>
            </w:r>
          </w:p>
        </w:tc>
        <w:tc>
          <w:tcPr>
            <w:tcW w:w="425" w:type="dxa"/>
            <w:tcBorders>
              <w:top w:val="nil"/>
              <w:left w:val="nil"/>
              <w:bottom w:val="nil"/>
              <w:right w:val="single" w:sz="4" w:space="0" w:color="auto"/>
            </w:tcBorders>
            <w:shd w:val="clear" w:color="auto" w:fill="auto"/>
            <w:vAlign w:val="center"/>
            <w:hideMark/>
          </w:tcPr>
          <w:p w14:paraId="3E539E30"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nil"/>
              <w:right w:val="single" w:sz="4" w:space="0" w:color="auto"/>
            </w:tcBorders>
            <w:shd w:val="clear" w:color="auto" w:fill="auto"/>
            <w:vAlign w:val="center"/>
            <w:hideMark/>
          </w:tcPr>
          <w:p w14:paraId="28E85E19" w14:textId="77777777" w:rsidR="002A6A01" w:rsidRPr="00576AF8" w:rsidRDefault="002A6A01" w:rsidP="00DE0454">
            <w:pPr>
              <w:rPr>
                <w:color w:val="000000"/>
                <w:sz w:val="12"/>
                <w:szCs w:val="12"/>
                <w:lang w:eastAsia="es-EC"/>
              </w:rPr>
            </w:pPr>
            <w:r w:rsidRPr="00576AF8">
              <w:rPr>
                <w:color w:val="000000"/>
                <w:sz w:val="12"/>
                <w:szCs w:val="12"/>
                <w:lang w:eastAsia="es-EC"/>
              </w:rPr>
              <w:t>10</w:t>
            </w:r>
          </w:p>
        </w:tc>
        <w:tc>
          <w:tcPr>
            <w:tcW w:w="483" w:type="dxa"/>
            <w:tcBorders>
              <w:top w:val="nil"/>
              <w:left w:val="nil"/>
              <w:bottom w:val="single" w:sz="4" w:space="0" w:color="auto"/>
              <w:right w:val="single" w:sz="4" w:space="0" w:color="auto"/>
            </w:tcBorders>
            <w:shd w:val="clear" w:color="auto" w:fill="auto"/>
            <w:vAlign w:val="center"/>
            <w:hideMark/>
          </w:tcPr>
          <w:p w14:paraId="756EA392" w14:textId="77777777" w:rsidR="002A6A01" w:rsidRPr="00576AF8" w:rsidRDefault="002A6A01" w:rsidP="00DE0454">
            <w:pPr>
              <w:rPr>
                <w:color w:val="000000"/>
                <w:sz w:val="12"/>
                <w:szCs w:val="12"/>
                <w:lang w:eastAsia="es-EC"/>
              </w:rPr>
            </w:pPr>
            <w:r w:rsidRPr="00576AF8">
              <w:rPr>
                <w:color w:val="000000"/>
                <w:sz w:val="12"/>
                <w:szCs w:val="12"/>
                <w:lang w:eastAsia="es-EC"/>
              </w:rPr>
              <w:t>10</w:t>
            </w:r>
          </w:p>
        </w:tc>
      </w:tr>
      <w:tr w:rsidR="002A6A01" w:rsidRPr="00576AF8" w14:paraId="1AD82F8F" w14:textId="77777777" w:rsidTr="00DE0454">
        <w:trPr>
          <w:trHeight w:val="46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BB628"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1842" w:type="dxa"/>
            <w:tcBorders>
              <w:top w:val="nil"/>
              <w:left w:val="nil"/>
              <w:bottom w:val="single" w:sz="4" w:space="0" w:color="auto"/>
              <w:right w:val="single" w:sz="4" w:space="0" w:color="auto"/>
            </w:tcBorders>
            <w:shd w:val="clear" w:color="auto" w:fill="auto"/>
            <w:vAlign w:val="center"/>
            <w:hideMark/>
          </w:tcPr>
          <w:p w14:paraId="5F37DC12" w14:textId="77777777" w:rsidR="002A6A01" w:rsidRPr="00576AF8" w:rsidRDefault="002A6A01" w:rsidP="00DE0454">
            <w:pPr>
              <w:rPr>
                <w:color w:val="000000"/>
                <w:sz w:val="12"/>
                <w:szCs w:val="12"/>
                <w:lang w:eastAsia="es-EC"/>
              </w:rPr>
            </w:pPr>
            <w:r w:rsidRPr="00576AF8">
              <w:rPr>
                <w:color w:val="000000"/>
                <w:sz w:val="12"/>
                <w:szCs w:val="12"/>
                <w:lang w:eastAsia="es-EC"/>
              </w:rPr>
              <w:t xml:space="preserve">Taller para la creación de despliegues y </w:t>
            </w:r>
            <w:r w:rsidR="00AC061A" w:rsidRPr="00576AF8">
              <w:rPr>
                <w:color w:val="000000"/>
                <w:sz w:val="12"/>
                <w:szCs w:val="12"/>
                <w:lang w:eastAsia="es-EC"/>
              </w:rPr>
              <w:t>mantenimiento</w:t>
            </w:r>
            <w:r w:rsidRPr="00576AF8">
              <w:rPr>
                <w:color w:val="000000"/>
                <w:sz w:val="12"/>
                <w:szCs w:val="12"/>
                <w:lang w:eastAsia="es-EC"/>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027993"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FEF0D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96A4C6F"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E03207B"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901E693"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8F771B6"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7D24AED"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99150F2"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DB2EA7" w14:textId="77777777" w:rsidR="002A6A01" w:rsidRPr="00576AF8" w:rsidRDefault="002A6A01" w:rsidP="00DE0454">
            <w:pPr>
              <w:rPr>
                <w:color w:val="000000"/>
                <w:sz w:val="12"/>
                <w:szCs w:val="12"/>
                <w:lang w:eastAsia="es-EC"/>
              </w:rPr>
            </w:pPr>
            <w:r w:rsidRPr="00576AF8">
              <w:rPr>
                <w:color w:val="000000"/>
                <w:sz w:val="12"/>
                <w:szCs w:val="12"/>
                <w:lang w:eastAsia="es-EC"/>
              </w:rPr>
              <w:t> 4</w:t>
            </w:r>
          </w:p>
        </w:tc>
        <w:tc>
          <w:tcPr>
            <w:tcW w:w="567" w:type="dxa"/>
            <w:tcBorders>
              <w:top w:val="nil"/>
              <w:left w:val="nil"/>
              <w:bottom w:val="single" w:sz="4" w:space="0" w:color="auto"/>
              <w:right w:val="single" w:sz="4" w:space="0" w:color="auto"/>
            </w:tcBorders>
            <w:shd w:val="clear" w:color="auto" w:fill="auto"/>
            <w:vAlign w:val="center"/>
            <w:hideMark/>
          </w:tcPr>
          <w:p w14:paraId="1199953D" w14:textId="77777777" w:rsidR="002A6A01" w:rsidRPr="00576AF8" w:rsidRDefault="002A6A01" w:rsidP="00DE0454">
            <w:pPr>
              <w:rPr>
                <w:sz w:val="12"/>
                <w:szCs w:val="12"/>
              </w:rPr>
            </w:pPr>
            <w:r w:rsidRPr="00576AF8">
              <w:rPr>
                <w:sz w:val="12"/>
                <w:szCs w:val="12"/>
              </w:rPr>
              <w:t>27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4BFEED19"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0DDAAACE"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18D768B2"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2ACBB8D5" w14:textId="77777777" w:rsidTr="00DE0454">
        <w:trPr>
          <w:trHeight w:val="418"/>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2A551F2" w14:textId="77777777" w:rsidR="002A6A01" w:rsidRPr="00576AF8" w:rsidRDefault="002A6A01" w:rsidP="00DE0454">
            <w:pPr>
              <w:rPr>
                <w:color w:val="000000"/>
                <w:sz w:val="12"/>
                <w:szCs w:val="12"/>
                <w:lang w:eastAsia="es-EC"/>
              </w:rPr>
            </w:pPr>
            <w:r w:rsidRPr="00576AF8">
              <w:rPr>
                <w:color w:val="000000"/>
                <w:sz w:val="12"/>
                <w:szCs w:val="12"/>
                <w:lang w:eastAsia="es-EC"/>
              </w:rPr>
              <w:t>6</w:t>
            </w:r>
          </w:p>
        </w:tc>
        <w:tc>
          <w:tcPr>
            <w:tcW w:w="1842" w:type="dxa"/>
            <w:tcBorders>
              <w:top w:val="nil"/>
              <w:left w:val="nil"/>
              <w:bottom w:val="single" w:sz="4" w:space="0" w:color="auto"/>
              <w:right w:val="single" w:sz="4" w:space="0" w:color="auto"/>
            </w:tcBorders>
            <w:shd w:val="clear" w:color="auto" w:fill="auto"/>
            <w:vAlign w:val="center"/>
            <w:hideMark/>
          </w:tcPr>
          <w:p w14:paraId="4B459851" w14:textId="77777777" w:rsidR="002A6A01" w:rsidRPr="00576AF8" w:rsidRDefault="002A6A01" w:rsidP="00DE0454">
            <w:pPr>
              <w:rPr>
                <w:color w:val="000000"/>
                <w:sz w:val="12"/>
                <w:szCs w:val="12"/>
                <w:lang w:eastAsia="es-EC"/>
              </w:rPr>
            </w:pPr>
            <w:r w:rsidRPr="00576AF8">
              <w:rPr>
                <w:color w:val="000000"/>
                <w:sz w:val="12"/>
                <w:szCs w:val="12"/>
                <w:lang w:eastAsia="es-EC"/>
              </w:rPr>
              <w:t>Cálculos y programación del Sistema</w:t>
            </w:r>
          </w:p>
        </w:tc>
        <w:tc>
          <w:tcPr>
            <w:tcW w:w="709" w:type="dxa"/>
            <w:tcBorders>
              <w:top w:val="nil"/>
              <w:left w:val="nil"/>
              <w:bottom w:val="single" w:sz="4" w:space="0" w:color="auto"/>
              <w:right w:val="single" w:sz="4" w:space="0" w:color="auto"/>
            </w:tcBorders>
            <w:shd w:val="clear" w:color="auto" w:fill="auto"/>
            <w:vAlign w:val="center"/>
            <w:hideMark/>
          </w:tcPr>
          <w:p w14:paraId="47F12861"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09A6D99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0F76E12"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0F46830E"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1F1E73C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6E4B410C" w14:textId="77777777" w:rsidR="002A6A01" w:rsidRPr="00576AF8" w:rsidRDefault="002A6A01" w:rsidP="00DE0454">
            <w:pPr>
              <w:rPr>
                <w:color w:val="000000"/>
                <w:sz w:val="12"/>
                <w:szCs w:val="12"/>
                <w:lang w:eastAsia="es-EC"/>
              </w:rPr>
            </w:pPr>
            <w:r w:rsidRPr="00576AF8">
              <w:rPr>
                <w:color w:val="000000"/>
                <w:sz w:val="12"/>
                <w:szCs w:val="12"/>
                <w:lang w:eastAsia="es-EC"/>
              </w:rPr>
              <w:t> 2</w:t>
            </w:r>
          </w:p>
        </w:tc>
        <w:tc>
          <w:tcPr>
            <w:tcW w:w="709" w:type="dxa"/>
            <w:tcBorders>
              <w:top w:val="nil"/>
              <w:left w:val="nil"/>
              <w:bottom w:val="single" w:sz="4" w:space="0" w:color="auto"/>
              <w:right w:val="single" w:sz="4" w:space="0" w:color="auto"/>
            </w:tcBorders>
            <w:shd w:val="clear" w:color="auto" w:fill="auto"/>
            <w:vAlign w:val="center"/>
            <w:hideMark/>
          </w:tcPr>
          <w:p w14:paraId="580B615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47A15949"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13EB1ED6" w14:textId="77777777" w:rsidR="002A6A01" w:rsidRPr="00576AF8" w:rsidRDefault="002A6A01" w:rsidP="00DE0454">
            <w:pPr>
              <w:rPr>
                <w:color w:val="000000"/>
                <w:sz w:val="12"/>
                <w:szCs w:val="12"/>
                <w:lang w:eastAsia="es-EC"/>
              </w:rPr>
            </w:pPr>
            <w:r w:rsidRPr="00576AF8">
              <w:rPr>
                <w:color w:val="000000"/>
                <w:sz w:val="12"/>
                <w:szCs w:val="12"/>
                <w:lang w:eastAsia="es-EC"/>
              </w:rPr>
              <w:t> 6</w:t>
            </w:r>
          </w:p>
        </w:tc>
        <w:tc>
          <w:tcPr>
            <w:tcW w:w="567" w:type="dxa"/>
            <w:tcBorders>
              <w:top w:val="nil"/>
              <w:left w:val="nil"/>
              <w:bottom w:val="single" w:sz="4" w:space="0" w:color="auto"/>
              <w:right w:val="single" w:sz="4" w:space="0" w:color="auto"/>
            </w:tcBorders>
            <w:shd w:val="clear" w:color="auto" w:fill="auto"/>
            <w:vAlign w:val="center"/>
            <w:hideMark/>
          </w:tcPr>
          <w:p w14:paraId="3E0ABF00" w14:textId="77777777" w:rsidR="002A6A01" w:rsidRPr="00576AF8" w:rsidRDefault="002A6A01" w:rsidP="00DE0454">
            <w:pPr>
              <w:rPr>
                <w:sz w:val="12"/>
                <w:szCs w:val="12"/>
              </w:rPr>
            </w:pPr>
            <w:r w:rsidRPr="00576AF8">
              <w:rPr>
                <w:sz w:val="12"/>
                <w:szCs w:val="12"/>
              </w:rPr>
              <w:t>20</w:t>
            </w:r>
          </w:p>
        </w:tc>
        <w:tc>
          <w:tcPr>
            <w:tcW w:w="425" w:type="dxa"/>
            <w:tcBorders>
              <w:top w:val="nil"/>
              <w:left w:val="nil"/>
              <w:bottom w:val="single" w:sz="4" w:space="0" w:color="auto"/>
              <w:right w:val="single" w:sz="4" w:space="0" w:color="auto"/>
            </w:tcBorders>
            <w:shd w:val="clear" w:color="auto" w:fill="auto"/>
            <w:vAlign w:val="center"/>
            <w:hideMark/>
          </w:tcPr>
          <w:p w14:paraId="3D4E32E0"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7C0286F9"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0801093A"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30AE584C"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47E9726"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1842" w:type="dxa"/>
            <w:tcBorders>
              <w:top w:val="nil"/>
              <w:left w:val="nil"/>
              <w:bottom w:val="single" w:sz="4" w:space="0" w:color="auto"/>
              <w:right w:val="single" w:sz="4" w:space="0" w:color="auto"/>
            </w:tcBorders>
            <w:shd w:val="clear" w:color="auto" w:fill="auto"/>
            <w:vAlign w:val="center"/>
            <w:hideMark/>
          </w:tcPr>
          <w:p w14:paraId="6779697D" w14:textId="77777777" w:rsidR="002A6A01" w:rsidRPr="00576AF8" w:rsidRDefault="002A6A01" w:rsidP="00DE0454">
            <w:pPr>
              <w:rPr>
                <w:color w:val="000000"/>
                <w:sz w:val="12"/>
                <w:szCs w:val="12"/>
                <w:lang w:eastAsia="es-EC"/>
              </w:rPr>
            </w:pPr>
            <w:r w:rsidRPr="00576AF8">
              <w:rPr>
                <w:color w:val="000000"/>
                <w:sz w:val="12"/>
                <w:szCs w:val="12"/>
                <w:lang w:eastAsia="es-EC"/>
              </w:rPr>
              <w:t>Historiador</w:t>
            </w:r>
          </w:p>
        </w:tc>
        <w:tc>
          <w:tcPr>
            <w:tcW w:w="709" w:type="dxa"/>
            <w:tcBorders>
              <w:top w:val="nil"/>
              <w:left w:val="nil"/>
              <w:bottom w:val="single" w:sz="4" w:space="0" w:color="auto"/>
              <w:right w:val="single" w:sz="4" w:space="0" w:color="auto"/>
            </w:tcBorders>
            <w:shd w:val="clear" w:color="auto" w:fill="auto"/>
            <w:vAlign w:val="center"/>
            <w:hideMark/>
          </w:tcPr>
          <w:p w14:paraId="37D0D4B3"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617CAD4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7100C88"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0DBD766E"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3875163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7EE1A43A"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31662F0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3826A6A9"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3DD4850D" w14:textId="77777777" w:rsidR="002A6A01" w:rsidRPr="00576AF8" w:rsidRDefault="002A6A01" w:rsidP="00DE0454">
            <w:pPr>
              <w:rPr>
                <w:color w:val="000000"/>
                <w:sz w:val="12"/>
                <w:szCs w:val="12"/>
                <w:lang w:eastAsia="es-EC"/>
              </w:rPr>
            </w:pPr>
            <w:r w:rsidRPr="00576AF8">
              <w:rPr>
                <w:color w:val="000000"/>
                <w:sz w:val="12"/>
                <w:szCs w:val="12"/>
                <w:lang w:eastAsia="es-EC"/>
              </w:rPr>
              <w:t> 4</w:t>
            </w:r>
          </w:p>
        </w:tc>
        <w:tc>
          <w:tcPr>
            <w:tcW w:w="567" w:type="dxa"/>
            <w:tcBorders>
              <w:top w:val="nil"/>
              <w:left w:val="nil"/>
              <w:bottom w:val="single" w:sz="4" w:space="0" w:color="auto"/>
              <w:right w:val="single" w:sz="4" w:space="0" w:color="auto"/>
            </w:tcBorders>
            <w:shd w:val="clear" w:color="auto" w:fill="auto"/>
            <w:vAlign w:val="center"/>
            <w:hideMark/>
          </w:tcPr>
          <w:p w14:paraId="1D010D88" w14:textId="77777777" w:rsidR="002A6A01" w:rsidRPr="00576AF8" w:rsidRDefault="002A6A01" w:rsidP="00DE0454">
            <w:pPr>
              <w:rPr>
                <w:sz w:val="12"/>
                <w:szCs w:val="12"/>
              </w:rPr>
            </w:pPr>
            <w:r w:rsidRPr="00576AF8">
              <w:rPr>
                <w:sz w:val="12"/>
                <w:szCs w:val="12"/>
              </w:rPr>
              <w:t>19</w:t>
            </w:r>
          </w:p>
        </w:tc>
        <w:tc>
          <w:tcPr>
            <w:tcW w:w="425" w:type="dxa"/>
            <w:tcBorders>
              <w:top w:val="nil"/>
              <w:left w:val="nil"/>
              <w:bottom w:val="single" w:sz="4" w:space="0" w:color="auto"/>
              <w:right w:val="single" w:sz="4" w:space="0" w:color="auto"/>
            </w:tcBorders>
            <w:shd w:val="clear" w:color="auto" w:fill="auto"/>
            <w:vAlign w:val="center"/>
            <w:hideMark/>
          </w:tcPr>
          <w:p w14:paraId="4C70CAA9"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1E1B8E56"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22304406"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22FD646D"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B7E2557" w14:textId="77777777" w:rsidR="002A6A01" w:rsidRPr="00576AF8" w:rsidRDefault="002A6A01" w:rsidP="00DE0454">
            <w:pPr>
              <w:rPr>
                <w:color w:val="000000"/>
                <w:sz w:val="12"/>
                <w:szCs w:val="12"/>
                <w:lang w:eastAsia="es-EC"/>
              </w:rPr>
            </w:pPr>
            <w:r w:rsidRPr="00576AF8">
              <w:rPr>
                <w:color w:val="000000"/>
                <w:sz w:val="12"/>
                <w:szCs w:val="12"/>
                <w:lang w:eastAsia="es-EC"/>
              </w:rPr>
              <w:t>8</w:t>
            </w:r>
          </w:p>
        </w:tc>
        <w:tc>
          <w:tcPr>
            <w:tcW w:w="1842" w:type="dxa"/>
            <w:tcBorders>
              <w:top w:val="nil"/>
              <w:left w:val="nil"/>
              <w:bottom w:val="single" w:sz="4" w:space="0" w:color="auto"/>
              <w:right w:val="single" w:sz="4" w:space="0" w:color="auto"/>
            </w:tcBorders>
            <w:shd w:val="clear" w:color="auto" w:fill="auto"/>
            <w:vAlign w:val="center"/>
            <w:hideMark/>
          </w:tcPr>
          <w:p w14:paraId="216B4A42" w14:textId="77777777" w:rsidR="002A6A01" w:rsidRPr="00576AF8" w:rsidRDefault="002A6A01" w:rsidP="00DE0454">
            <w:pPr>
              <w:rPr>
                <w:color w:val="000000"/>
                <w:sz w:val="12"/>
                <w:szCs w:val="12"/>
                <w:lang w:eastAsia="es-EC"/>
              </w:rPr>
            </w:pPr>
            <w:r w:rsidRPr="00576AF8">
              <w:rPr>
                <w:color w:val="000000"/>
                <w:sz w:val="12"/>
                <w:szCs w:val="12"/>
                <w:lang w:eastAsia="es-EC"/>
              </w:rPr>
              <w:t>Administración del sistema</w:t>
            </w:r>
          </w:p>
        </w:tc>
        <w:tc>
          <w:tcPr>
            <w:tcW w:w="709" w:type="dxa"/>
            <w:tcBorders>
              <w:top w:val="nil"/>
              <w:left w:val="nil"/>
              <w:bottom w:val="single" w:sz="4" w:space="0" w:color="auto"/>
              <w:right w:val="single" w:sz="4" w:space="0" w:color="auto"/>
            </w:tcBorders>
            <w:shd w:val="clear" w:color="auto" w:fill="auto"/>
            <w:vAlign w:val="center"/>
            <w:hideMark/>
          </w:tcPr>
          <w:p w14:paraId="2C0C7CAD"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7617C34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8AA5641"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09BBB397"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00E54F46"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781ED25E"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51796B3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3A130728"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07064BC6"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17958DED" w14:textId="77777777" w:rsidR="002A6A01" w:rsidRPr="00576AF8" w:rsidRDefault="002A6A01" w:rsidP="00DE0454">
            <w:pPr>
              <w:rPr>
                <w:sz w:val="12"/>
                <w:szCs w:val="12"/>
              </w:rPr>
            </w:pPr>
            <w:r w:rsidRPr="00576AF8">
              <w:rPr>
                <w:sz w:val="12"/>
                <w:szCs w:val="12"/>
              </w:rPr>
              <w:t>15</w:t>
            </w:r>
          </w:p>
        </w:tc>
        <w:tc>
          <w:tcPr>
            <w:tcW w:w="425" w:type="dxa"/>
            <w:tcBorders>
              <w:top w:val="nil"/>
              <w:left w:val="nil"/>
              <w:bottom w:val="single" w:sz="4" w:space="0" w:color="auto"/>
              <w:right w:val="single" w:sz="4" w:space="0" w:color="auto"/>
            </w:tcBorders>
            <w:shd w:val="clear" w:color="auto" w:fill="auto"/>
            <w:vAlign w:val="center"/>
            <w:hideMark/>
          </w:tcPr>
          <w:p w14:paraId="5F7269E7"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4355B496"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49FDA706"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68CE7F96" w14:textId="77777777" w:rsidTr="00DE0454">
        <w:trPr>
          <w:trHeight w:val="456"/>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E027BDE" w14:textId="77777777" w:rsidR="002A6A01" w:rsidRPr="00576AF8" w:rsidRDefault="002A6A01" w:rsidP="00DE0454">
            <w:pPr>
              <w:rPr>
                <w:color w:val="000000"/>
                <w:sz w:val="12"/>
                <w:szCs w:val="12"/>
                <w:lang w:eastAsia="es-EC"/>
              </w:rPr>
            </w:pPr>
            <w:r w:rsidRPr="00576AF8">
              <w:rPr>
                <w:color w:val="000000"/>
                <w:sz w:val="12"/>
                <w:szCs w:val="12"/>
                <w:lang w:eastAsia="es-EC"/>
              </w:rPr>
              <w:t>9</w:t>
            </w:r>
          </w:p>
        </w:tc>
        <w:tc>
          <w:tcPr>
            <w:tcW w:w="1842" w:type="dxa"/>
            <w:tcBorders>
              <w:top w:val="nil"/>
              <w:left w:val="nil"/>
              <w:bottom w:val="single" w:sz="4" w:space="0" w:color="auto"/>
              <w:right w:val="single" w:sz="4" w:space="0" w:color="auto"/>
            </w:tcBorders>
            <w:shd w:val="clear" w:color="auto" w:fill="auto"/>
            <w:vAlign w:val="center"/>
            <w:hideMark/>
          </w:tcPr>
          <w:p w14:paraId="7056DE6B" w14:textId="77777777" w:rsidR="002A6A01" w:rsidRPr="00576AF8" w:rsidRDefault="002A6A01" w:rsidP="00DE0454">
            <w:pPr>
              <w:rPr>
                <w:color w:val="000000"/>
                <w:sz w:val="12"/>
                <w:szCs w:val="12"/>
                <w:lang w:eastAsia="es-EC"/>
              </w:rPr>
            </w:pPr>
            <w:r w:rsidRPr="00576AF8">
              <w:rPr>
                <w:color w:val="000000"/>
                <w:sz w:val="12"/>
                <w:szCs w:val="12"/>
                <w:lang w:eastAsia="es-EC"/>
              </w:rPr>
              <w:t>Uso aplicado de librerías API</w:t>
            </w:r>
          </w:p>
        </w:tc>
        <w:tc>
          <w:tcPr>
            <w:tcW w:w="709" w:type="dxa"/>
            <w:tcBorders>
              <w:top w:val="nil"/>
              <w:left w:val="nil"/>
              <w:bottom w:val="single" w:sz="4" w:space="0" w:color="auto"/>
              <w:right w:val="single" w:sz="4" w:space="0" w:color="auto"/>
            </w:tcBorders>
            <w:shd w:val="clear" w:color="auto" w:fill="auto"/>
            <w:vAlign w:val="center"/>
            <w:hideMark/>
          </w:tcPr>
          <w:p w14:paraId="4F9FA8EE"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3B208841"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A17FEA0"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3590383C"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78CA362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008C66A4"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709" w:type="dxa"/>
            <w:tcBorders>
              <w:top w:val="nil"/>
              <w:left w:val="nil"/>
              <w:bottom w:val="single" w:sz="4" w:space="0" w:color="auto"/>
              <w:right w:val="single" w:sz="4" w:space="0" w:color="auto"/>
            </w:tcBorders>
            <w:shd w:val="clear" w:color="auto" w:fill="auto"/>
            <w:vAlign w:val="center"/>
            <w:hideMark/>
          </w:tcPr>
          <w:p w14:paraId="254A476B"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2DA2A34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535F6E4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F160C1F" w14:textId="77777777" w:rsidR="002A6A01" w:rsidRPr="00576AF8" w:rsidRDefault="002A6A01" w:rsidP="00DE0454">
            <w:pPr>
              <w:rPr>
                <w:sz w:val="12"/>
                <w:szCs w:val="12"/>
              </w:rPr>
            </w:pPr>
            <w:r w:rsidRPr="00576AF8">
              <w:rPr>
                <w:sz w:val="12"/>
                <w:szCs w:val="12"/>
              </w:rPr>
              <w:t>17</w:t>
            </w:r>
          </w:p>
        </w:tc>
        <w:tc>
          <w:tcPr>
            <w:tcW w:w="425" w:type="dxa"/>
            <w:tcBorders>
              <w:top w:val="nil"/>
              <w:left w:val="nil"/>
              <w:bottom w:val="single" w:sz="4" w:space="0" w:color="auto"/>
              <w:right w:val="single" w:sz="4" w:space="0" w:color="auto"/>
            </w:tcBorders>
            <w:shd w:val="clear" w:color="auto" w:fill="auto"/>
            <w:vAlign w:val="center"/>
            <w:hideMark/>
          </w:tcPr>
          <w:p w14:paraId="5BDBC226"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18B4112F"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4F0408B2"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34B4597C" w14:textId="77777777" w:rsidTr="00DE0454">
        <w:trPr>
          <w:trHeight w:val="439"/>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5017F0C" w14:textId="77777777" w:rsidR="002A6A01" w:rsidRPr="00576AF8" w:rsidRDefault="002A6A01" w:rsidP="00DE0454">
            <w:pPr>
              <w:rPr>
                <w:color w:val="000000"/>
                <w:sz w:val="12"/>
                <w:szCs w:val="12"/>
                <w:lang w:eastAsia="es-EC"/>
              </w:rPr>
            </w:pPr>
            <w:r w:rsidRPr="00576AF8">
              <w:rPr>
                <w:color w:val="000000"/>
                <w:sz w:val="12"/>
                <w:szCs w:val="12"/>
                <w:lang w:eastAsia="es-EC"/>
              </w:rPr>
              <w:t>10</w:t>
            </w:r>
          </w:p>
        </w:tc>
        <w:tc>
          <w:tcPr>
            <w:tcW w:w="1842" w:type="dxa"/>
            <w:tcBorders>
              <w:top w:val="nil"/>
              <w:left w:val="nil"/>
              <w:bottom w:val="single" w:sz="4" w:space="0" w:color="auto"/>
              <w:right w:val="single" w:sz="4" w:space="0" w:color="auto"/>
            </w:tcBorders>
            <w:shd w:val="clear" w:color="auto" w:fill="auto"/>
            <w:vAlign w:val="center"/>
            <w:hideMark/>
          </w:tcPr>
          <w:p w14:paraId="3573DC3B" w14:textId="77777777" w:rsidR="002A6A01" w:rsidRPr="00576AF8" w:rsidRDefault="002A6A01" w:rsidP="00DE0454">
            <w:pPr>
              <w:rPr>
                <w:color w:val="000000"/>
                <w:sz w:val="12"/>
                <w:szCs w:val="12"/>
                <w:lang w:eastAsia="es-EC"/>
              </w:rPr>
            </w:pPr>
            <w:r w:rsidRPr="00576AF8">
              <w:rPr>
                <w:color w:val="000000"/>
                <w:sz w:val="12"/>
                <w:szCs w:val="12"/>
                <w:lang w:eastAsia="es-EC"/>
              </w:rPr>
              <w:t>Configuración, Sintonización y Puesta en Marcha de las funciones OTS</w:t>
            </w:r>
          </w:p>
        </w:tc>
        <w:tc>
          <w:tcPr>
            <w:tcW w:w="709" w:type="dxa"/>
            <w:tcBorders>
              <w:top w:val="nil"/>
              <w:left w:val="nil"/>
              <w:bottom w:val="single" w:sz="4" w:space="0" w:color="auto"/>
              <w:right w:val="single" w:sz="4" w:space="0" w:color="auto"/>
            </w:tcBorders>
            <w:shd w:val="clear" w:color="auto" w:fill="auto"/>
            <w:vAlign w:val="center"/>
            <w:hideMark/>
          </w:tcPr>
          <w:p w14:paraId="38D49A5A"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4F323D2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55609519" w14:textId="44A8C193" w:rsidR="002A6A01" w:rsidRPr="00576AF8" w:rsidRDefault="00F40C43" w:rsidP="00DE0454">
            <w:pPr>
              <w:rPr>
                <w:color w:val="000000"/>
                <w:sz w:val="12"/>
                <w:szCs w:val="12"/>
                <w:lang w:eastAsia="es-EC"/>
              </w:rPr>
            </w:pPr>
            <w:r>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7544C60E"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6A6F0F7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41B0C57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3593FE0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0986562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01A3BB56" w14:textId="77777777" w:rsidR="002A6A01" w:rsidRPr="00576AF8" w:rsidRDefault="002A6A01" w:rsidP="00DE0454">
            <w:pPr>
              <w:rPr>
                <w:color w:val="000000"/>
                <w:sz w:val="12"/>
                <w:szCs w:val="12"/>
                <w:lang w:eastAsia="es-EC"/>
              </w:rPr>
            </w:pPr>
            <w:r w:rsidRPr="00576AF8">
              <w:rPr>
                <w:color w:val="000000"/>
                <w:sz w:val="12"/>
                <w:szCs w:val="12"/>
                <w:lang w:eastAsia="es-EC"/>
              </w:rPr>
              <w:t> 8</w:t>
            </w:r>
          </w:p>
        </w:tc>
        <w:tc>
          <w:tcPr>
            <w:tcW w:w="567" w:type="dxa"/>
            <w:tcBorders>
              <w:top w:val="nil"/>
              <w:left w:val="nil"/>
              <w:bottom w:val="single" w:sz="4" w:space="0" w:color="auto"/>
              <w:right w:val="single" w:sz="4" w:space="0" w:color="auto"/>
            </w:tcBorders>
            <w:shd w:val="clear" w:color="auto" w:fill="auto"/>
            <w:vAlign w:val="center"/>
            <w:hideMark/>
          </w:tcPr>
          <w:p w14:paraId="01568952" w14:textId="23D66EAB" w:rsidR="002A6A01" w:rsidRPr="00576AF8" w:rsidRDefault="00F40C43" w:rsidP="003F6797">
            <w:pPr>
              <w:rPr>
                <w:sz w:val="12"/>
                <w:szCs w:val="12"/>
              </w:rPr>
            </w:pPr>
            <w:r>
              <w:rPr>
                <w:sz w:val="12"/>
                <w:szCs w:val="12"/>
              </w:rPr>
              <w:t>20</w:t>
            </w:r>
          </w:p>
        </w:tc>
        <w:tc>
          <w:tcPr>
            <w:tcW w:w="425" w:type="dxa"/>
            <w:tcBorders>
              <w:top w:val="nil"/>
              <w:left w:val="nil"/>
              <w:bottom w:val="single" w:sz="4" w:space="0" w:color="auto"/>
              <w:right w:val="single" w:sz="4" w:space="0" w:color="auto"/>
            </w:tcBorders>
            <w:shd w:val="clear" w:color="auto" w:fill="auto"/>
            <w:vAlign w:val="center"/>
            <w:hideMark/>
          </w:tcPr>
          <w:p w14:paraId="6FDEAF4E"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4CF84898" w14:textId="77777777" w:rsidR="002A6A01" w:rsidRPr="00576AF8" w:rsidRDefault="002A6A01" w:rsidP="00DE0454">
            <w:pPr>
              <w:rPr>
                <w:color w:val="000000"/>
                <w:sz w:val="12"/>
                <w:szCs w:val="12"/>
                <w:lang w:eastAsia="es-EC"/>
              </w:rPr>
            </w:pPr>
            <w:r w:rsidRPr="00576AF8">
              <w:rPr>
                <w:color w:val="000000"/>
                <w:sz w:val="12"/>
                <w:szCs w:val="12"/>
                <w:lang w:eastAsia="es-EC"/>
              </w:rPr>
              <w:t>8</w:t>
            </w:r>
          </w:p>
        </w:tc>
        <w:tc>
          <w:tcPr>
            <w:tcW w:w="483" w:type="dxa"/>
            <w:tcBorders>
              <w:top w:val="nil"/>
              <w:left w:val="nil"/>
              <w:bottom w:val="single" w:sz="4" w:space="0" w:color="auto"/>
              <w:right w:val="single" w:sz="4" w:space="0" w:color="auto"/>
            </w:tcBorders>
            <w:shd w:val="clear" w:color="auto" w:fill="auto"/>
            <w:vAlign w:val="center"/>
            <w:hideMark/>
          </w:tcPr>
          <w:p w14:paraId="6C05C71B" w14:textId="77777777" w:rsidR="002A6A01" w:rsidRPr="00576AF8" w:rsidRDefault="002A6A01" w:rsidP="00DE0454">
            <w:pPr>
              <w:rPr>
                <w:color w:val="000000"/>
                <w:sz w:val="12"/>
                <w:szCs w:val="12"/>
                <w:lang w:eastAsia="es-EC"/>
              </w:rPr>
            </w:pPr>
            <w:r w:rsidRPr="00576AF8">
              <w:rPr>
                <w:color w:val="000000"/>
                <w:sz w:val="12"/>
                <w:szCs w:val="12"/>
                <w:lang w:eastAsia="es-EC"/>
              </w:rPr>
              <w:t>8</w:t>
            </w:r>
          </w:p>
        </w:tc>
      </w:tr>
      <w:tr w:rsidR="002A6A01" w:rsidRPr="00576AF8" w14:paraId="4D3C9541"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5D9BB7F" w14:textId="77777777" w:rsidR="002A6A01" w:rsidRPr="00576AF8" w:rsidRDefault="002A6A01" w:rsidP="00DE0454">
            <w:pPr>
              <w:rPr>
                <w:color w:val="000000"/>
                <w:sz w:val="12"/>
                <w:szCs w:val="12"/>
                <w:lang w:eastAsia="es-EC"/>
              </w:rPr>
            </w:pPr>
            <w:r w:rsidRPr="00576AF8">
              <w:rPr>
                <w:color w:val="000000"/>
                <w:sz w:val="12"/>
                <w:szCs w:val="12"/>
                <w:lang w:eastAsia="es-EC"/>
              </w:rPr>
              <w:t>11</w:t>
            </w:r>
          </w:p>
        </w:tc>
        <w:tc>
          <w:tcPr>
            <w:tcW w:w="1842" w:type="dxa"/>
            <w:tcBorders>
              <w:top w:val="nil"/>
              <w:left w:val="nil"/>
              <w:bottom w:val="single" w:sz="4" w:space="0" w:color="auto"/>
              <w:right w:val="single" w:sz="4" w:space="0" w:color="auto"/>
            </w:tcBorders>
            <w:shd w:val="clear" w:color="auto" w:fill="auto"/>
            <w:vAlign w:val="center"/>
            <w:hideMark/>
          </w:tcPr>
          <w:p w14:paraId="0CFABBA0" w14:textId="77777777" w:rsidR="002A6A01" w:rsidRPr="00576AF8" w:rsidRDefault="002A6A01" w:rsidP="00DE0454">
            <w:pPr>
              <w:rPr>
                <w:color w:val="000000"/>
                <w:sz w:val="12"/>
                <w:szCs w:val="12"/>
                <w:lang w:eastAsia="es-EC"/>
              </w:rPr>
            </w:pPr>
            <w:r w:rsidRPr="00576AF8">
              <w:rPr>
                <w:color w:val="000000"/>
                <w:sz w:val="12"/>
                <w:szCs w:val="12"/>
                <w:lang w:eastAsia="es-EC"/>
              </w:rPr>
              <w:t>OTS para Entrenadores</w:t>
            </w:r>
          </w:p>
        </w:tc>
        <w:tc>
          <w:tcPr>
            <w:tcW w:w="709" w:type="dxa"/>
            <w:tcBorders>
              <w:top w:val="nil"/>
              <w:left w:val="nil"/>
              <w:bottom w:val="single" w:sz="4" w:space="0" w:color="auto"/>
              <w:right w:val="single" w:sz="4" w:space="0" w:color="auto"/>
            </w:tcBorders>
            <w:shd w:val="clear" w:color="auto" w:fill="auto"/>
            <w:vAlign w:val="center"/>
            <w:hideMark/>
          </w:tcPr>
          <w:p w14:paraId="09FC9D5B"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3B2D5053"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546F56B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E5DBCA3"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7D1A881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7DE4A4A3"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478CF4D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05994D59"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65390B1F" w14:textId="77777777" w:rsidR="002A6A01" w:rsidRPr="00576AF8" w:rsidRDefault="002A6A01" w:rsidP="00DE0454">
            <w:pPr>
              <w:rPr>
                <w:color w:val="000000"/>
                <w:sz w:val="12"/>
                <w:szCs w:val="12"/>
                <w:lang w:eastAsia="es-EC"/>
              </w:rPr>
            </w:pPr>
            <w:r w:rsidRPr="00576AF8">
              <w:rPr>
                <w:color w:val="000000"/>
                <w:sz w:val="12"/>
                <w:szCs w:val="12"/>
                <w:lang w:eastAsia="es-EC"/>
              </w:rPr>
              <w:t> 12</w:t>
            </w:r>
          </w:p>
        </w:tc>
        <w:tc>
          <w:tcPr>
            <w:tcW w:w="567" w:type="dxa"/>
            <w:tcBorders>
              <w:top w:val="nil"/>
              <w:left w:val="nil"/>
              <w:bottom w:val="single" w:sz="4" w:space="0" w:color="auto"/>
              <w:right w:val="single" w:sz="4" w:space="0" w:color="auto"/>
            </w:tcBorders>
            <w:shd w:val="clear" w:color="auto" w:fill="auto"/>
            <w:vAlign w:val="center"/>
            <w:hideMark/>
          </w:tcPr>
          <w:p w14:paraId="586CA284" w14:textId="77777777" w:rsidR="002A6A01" w:rsidRPr="00576AF8" w:rsidRDefault="002A6A01" w:rsidP="00DE0454">
            <w:pPr>
              <w:rPr>
                <w:sz w:val="12"/>
                <w:szCs w:val="12"/>
              </w:rPr>
            </w:pPr>
            <w:r w:rsidRPr="00576AF8">
              <w:rPr>
                <w:sz w:val="12"/>
                <w:szCs w:val="12"/>
              </w:rPr>
              <w:t>19</w:t>
            </w:r>
          </w:p>
        </w:tc>
        <w:tc>
          <w:tcPr>
            <w:tcW w:w="425" w:type="dxa"/>
            <w:tcBorders>
              <w:top w:val="nil"/>
              <w:left w:val="nil"/>
              <w:bottom w:val="single" w:sz="4" w:space="0" w:color="auto"/>
              <w:right w:val="single" w:sz="4" w:space="0" w:color="auto"/>
            </w:tcBorders>
            <w:shd w:val="clear" w:color="auto" w:fill="auto"/>
            <w:vAlign w:val="center"/>
            <w:hideMark/>
          </w:tcPr>
          <w:p w14:paraId="5AA37E43"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4D2FC826"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3D1E44A7"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4A9DDA2B" w14:textId="77777777" w:rsidTr="00DE0454">
        <w:trPr>
          <w:trHeight w:val="423"/>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836CF9B" w14:textId="77777777" w:rsidR="002A6A01" w:rsidRPr="00576AF8" w:rsidRDefault="002A6A01" w:rsidP="00DE0454">
            <w:pPr>
              <w:rPr>
                <w:color w:val="000000"/>
                <w:sz w:val="12"/>
                <w:szCs w:val="12"/>
                <w:lang w:eastAsia="es-EC"/>
              </w:rPr>
            </w:pPr>
            <w:r w:rsidRPr="00576AF8">
              <w:rPr>
                <w:color w:val="000000"/>
                <w:sz w:val="12"/>
                <w:szCs w:val="12"/>
                <w:lang w:eastAsia="es-EC"/>
              </w:rPr>
              <w:t>12</w:t>
            </w:r>
          </w:p>
        </w:tc>
        <w:tc>
          <w:tcPr>
            <w:tcW w:w="1842" w:type="dxa"/>
            <w:tcBorders>
              <w:top w:val="nil"/>
              <w:left w:val="nil"/>
              <w:bottom w:val="single" w:sz="4" w:space="0" w:color="auto"/>
              <w:right w:val="single" w:sz="4" w:space="0" w:color="auto"/>
            </w:tcBorders>
            <w:shd w:val="clear" w:color="auto" w:fill="auto"/>
            <w:vAlign w:val="center"/>
            <w:hideMark/>
          </w:tcPr>
          <w:p w14:paraId="59C743D9" w14:textId="77777777" w:rsidR="002A6A01" w:rsidRPr="00576AF8" w:rsidRDefault="002A6A01" w:rsidP="00DE0454">
            <w:pPr>
              <w:rPr>
                <w:color w:val="000000"/>
                <w:sz w:val="12"/>
                <w:szCs w:val="12"/>
                <w:lang w:eastAsia="es-EC"/>
              </w:rPr>
            </w:pPr>
            <w:r w:rsidRPr="00576AF8">
              <w:rPr>
                <w:color w:val="000000"/>
                <w:sz w:val="12"/>
                <w:szCs w:val="12"/>
                <w:lang w:eastAsia="es-EC"/>
              </w:rPr>
              <w:t>Sintonización de aplicaciones GMS/EMS</w:t>
            </w:r>
          </w:p>
        </w:tc>
        <w:tc>
          <w:tcPr>
            <w:tcW w:w="709" w:type="dxa"/>
            <w:tcBorders>
              <w:top w:val="nil"/>
              <w:left w:val="nil"/>
              <w:bottom w:val="single" w:sz="4" w:space="0" w:color="auto"/>
              <w:right w:val="single" w:sz="4" w:space="0" w:color="auto"/>
            </w:tcBorders>
            <w:shd w:val="clear" w:color="auto" w:fill="auto"/>
            <w:vAlign w:val="center"/>
            <w:hideMark/>
          </w:tcPr>
          <w:p w14:paraId="4C82D42B"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5212448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1DB866C" w14:textId="7460670A"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7DC0AA7B"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63593B4D"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7144D44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7891C4A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0B31E82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14A3DD8A"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6D76A18A" w14:textId="315DF16E" w:rsidR="002A6A01" w:rsidRPr="00576AF8" w:rsidRDefault="002A6A01" w:rsidP="00DE0454">
            <w:pPr>
              <w:rPr>
                <w:sz w:val="12"/>
                <w:szCs w:val="12"/>
              </w:rPr>
            </w:pPr>
            <w:r w:rsidRPr="00576AF8">
              <w:rPr>
                <w:sz w:val="12"/>
                <w:szCs w:val="12"/>
              </w:rPr>
              <w:t>1</w:t>
            </w:r>
            <w:r w:rsidR="00F40C43">
              <w:rPr>
                <w:sz w:val="12"/>
                <w:szCs w:val="12"/>
              </w:rPr>
              <w:t>7</w:t>
            </w:r>
          </w:p>
        </w:tc>
        <w:tc>
          <w:tcPr>
            <w:tcW w:w="425" w:type="dxa"/>
            <w:tcBorders>
              <w:top w:val="nil"/>
              <w:left w:val="nil"/>
              <w:bottom w:val="single" w:sz="4" w:space="0" w:color="auto"/>
              <w:right w:val="single" w:sz="4" w:space="0" w:color="auto"/>
            </w:tcBorders>
            <w:shd w:val="clear" w:color="auto" w:fill="auto"/>
            <w:vAlign w:val="center"/>
            <w:hideMark/>
          </w:tcPr>
          <w:p w14:paraId="7B2023FD"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1B11A0AA"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0E4D6810"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2067F3CB" w14:textId="77777777" w:rsidTr="00DE0454">
        <w:trPr>
          <w:trHeight w:val="699"/>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24C791D8" w14:textId="77777777" w:rsidR="002A6A01" w:rsidRPr="00576AF8" w:rsidRDefault="002A6A01" w:rsidP="00DE0454">
            <w:pPr>
              <w:rPr>
                <w:color w:val="000000"/>
                <w:sz w:val="12"/>
                <w:szCs w:val="12"/>
                <w:lang w:eastAsia="es-EC"/>
              </w:rPr>
            </w:pPr>
            <w:r w:rsidRPr="00576AF8">
              <w:rPr>
                <w:color w:val="000000"/>
                <w:sz w:val="12"/>
                <w:szCs w:val="12"/>
                <w:lang w:eastAsia="es-EC"/>
              </w:rPr>
              <w:t>13</w:t>
            </w:r>
          </w:p>
        </w:tc>
        <w:tc>
          <w:tcPr>
            <w:tcW w:w="1842" w:type="dxa"/>
            <w:tcBorders>
              <w:top w:val="nil"/>
              <w:left w:val="nil"/>
              <w:bottom w:val="single" w:sz="4" w:space="0" w:color="auto"/>
              <w:right w:val="single" w:sz="4" w:space="0" w:color="auto"/>
            </w:tcBorders>
            <w:shd w:val="clear" w:color="auto" w:fill="auto"/>
            <w:vAlign w:val="center"/>
            <w:hideMark/>
          </w:tcPr>
          <w:p w14:paraId="1732C65D" w14:textId="77777777" w:rsidR="002A6A01" w:rsidRPr="00576AF8" w:rsidRDefault="002A6A01" w:rsidP="00DE0454">
            <w:pPr>
              <w:rPr>
                <w:color w:val="000000"/>
                <w:sz w:val="12"/>
                <w:szCs w:val="12"/>
                <w:lang w:eastAsia="es-EC"/>
              </w:rPr>
            </w:pPr>
            <w:r w:rsidRPr="00576AF8">
              <w:rPr>
                <w:color w:val="000000"/>
                <w:sz w:val="12"/>
                <w:szCs w:val="12"/>
                <w:lang w:eastAsia="es-EC"/>
              </w:rPr>
              <w:t>Modelación del sistema eléctrico, equipos especiales y Energías Renovables no Convencionales</w:t>
            </w:r>
          </w:p>
        </w:tc>
        <w:tc>
          <w:tcPr>
            <w:tcW w:w="709" w:type="dxa"/>
            <w:tcBorders>
              <w:top w:val="nil"/>
              <w:left w:val="nil"/>
              <w:bottom w:val="single" w:sz="4" w:space="0" w:color="auto"/>
              <w:right w:val="single" w:sz="4" w:space="0" w:color="auto"/>
            </w:tcBorders>
            <w:shd w:val="clear" w:color="auto" w:fill="auto"/>
            <w:vAlign w:val="center"/>
            <w:hideMark/>
          </w:tcPr>
          <w:p w14:paraId="11F0AEC9"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596E160E"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F510A66" w14:textId="7C03DA1B"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1308D9CD"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559852EE"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4FB25CE9"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08A3386E"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78B8890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5A6D02A4" w14:textId="77777777" w:rsidR="002A6A01" w:rsidRPr="00576AF8" w:rsidRDefault="002A6A01" w:rsidP="00DE0454">
            <w:pPr>
              <w:rPr>
                <w:color w:val="000000"/>
                <w:sz w:val="12"/>
                <w:szCs w:val="12"/>
                <w:lang w:eastAsia="es-EC"/>
              </w:rPr>
            </w:pPr>
            <w:r w:rsidRPr="00576AF8">
              <w:rPr>
                <w:color w:val="000000"/>
                <w:sz w:val="12"/>
                <w:szCs w:val="12"/>
                <w:lang w:eastAsia="es-EC"/>
              </w:rPr>
              <w:t> 8</w:t>
            </w:r>
          </w:p>
        </w:tc>
        <w:tc>
          <w:tcPr>
            <w:tcW w:w="567" w:type="dxa"/>
            <w:tcBorders>
              <w:top w:val="nil"/>
              <w:left w:val="nil"/>
              <w:bottom w:val="single" w:sz="4" w:space="0" w:color="auto"/>
              <w:right w:val="single" w:sz="4" w:space="0" w:color="auto"/>
            </w:tcBorders>
            <w:shd w:val="clear" w:color="auto" w:fill="auto"/>
            <w:vAlign w:val="center"/>
            <w:hideMark/>
          </w:tcPr>
          <w:p w14:paraId="230B4398" w14:textId="3AD33326" w:rsidR="002A6A01" w:rsidRPr="00576AF8" w:rsidRDefault="00F40C43" w:rsidP="00DE0454">
            <w:pPr>
              <w:rPr>
                <w:sz w:val="12"/>
                <w:szCs w:val="12"/>
              </w:rPr>
            </w:pPr>
            <w:r>
              <w:rPr>
                <w:sz w:val="12"/>
                <w:szCs w:val="12"/>
              </w:rPr>
              <w:t>20</w:t>
            </w:r>
          </w:p>
        </w:tc>
        <w:tc>
          <w:tcPr>
            <w:tcW w:w="425" w:type="dxa"/>
            <w:tcBorders>
              <w:top w:val="nil"/>
              <w:left w:val="nil"/>
              <w:bottom w:val="single" w:sz="4" w:space="0" w:color="auto"/>
              <w:right w:val="single" w:sz="4" w:space="0" w:color="auto"/>
            </w:tcBorders>
            <w:shd w:val="clear" w:color="auto" w:fill="auto"/>
            <w:vAlign w:val="center"/>
            <w:hideMark/>
          </w:tcPr>
          <w:p w14:paraId="022CD4EC"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0CF105C7"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157764EF"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755221A2"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F006835" w14:textId="77777777" w:rsidR="002A6A01" w:rsidRPr="00576AF8" w:rsidRDefault="002A6A01" w:rsidP="00DE0454">
            <w:pPr>
              <w:rPr>
                <w:color w:val="000000"/>
                <w:sz w:val="12"/>
                <w:szCs w:val="12"/>
                <w:lang w:eastAsia="es-EC"/>
              </w:rPr>
            </w:pPr>
            <w:r w:rsidRPr="00576AF8">
              <w:rPr>
                <w:color w:val="000000"/>
                <w:sz w:val="12"/>
                <w:szCs w:val="12"/>
                <w:lang w:eastAsia="es-EC"/>
              </w:rPr>
              <w:t>14</w:t>
            </w:r>
          </w:p>
        </w:tc>
        <w:tc>
          <w:tcPr>
            <w:tcW w:w="1842" w:type="dxa"/>
            <w:tcBorders>
              <w:top w:val="nil"/>
              <w:left w:val="nil"/>
              <w:bottom w:val="single" w:sz="4" w:space="0" w:color="auto"/>
              <w:right w:val="single" w:sz="4" w:space="0" w:color="auto"/>
            </w:tcBorders>
            <w:shd w:val="clear" w:color="auto" w:fill="auto"/>
            <w:vAlign w:val="center"/>
            <w:hideMark/>
          </w:tcPr>
          <w:p w14:paraId="5DAA96F3" w14:textId="77777777" w:rsidR="002A6A01" w:rsidRPr="00576AF8" w:rsidRDefault="002A6A01" w:rsidP="00DE0454">
            <w:pPr>
              <w:rPr>
                <w:color w:val="000000"/>
                <w:sz w:val="12"/>
                <w:szCs w:val="12"/>
                <w:lang w:eastAsia="es-EC"/>
              </w:rPr>
            </w:pPr>
            <w:r w:rsidRPr="00576AF8">
              <w:rPr>
                <w:color w:val="000000"/>
                <w:sz w:val="12"/>
                <w:szCs w:val="12"/>
                <w:lang w:eastAsia="es-EC"/>
              </w:rPr>
              <w:t>Frontales de comunicaciones RTU</w:t>
            </w:r>
          </w:p>
        </w:tc>
        <w:tc>
          <w:tcPr>
            <w:tcW w:w="709" w:type="dxa"/>
            <w:tcBorders>
              <w:top w:val="nil"/>
              <w:left w:val="nil"/>
              <w:bottom w:val="single" w:sz="4" w:space="0" w:color="auto"/>
              <w:right w:val="single" w:sz="4" w:space="0" w:color="auto"/>
            </w:tcBorders>
            <w:shd w:val="clear" w:color="auto" w:fill="auto"/>
            <w:vAlign w:val="center"/>
            <w:hideMark/>
          </w:tcPr>
          <w:p w14:paraId="746DDAC4"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356E8006"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B323288"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7FC968C3" w14:textId="535DFDAA"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6CC50DA1"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5EA8BF04" w14:textId="77777777" w:rsidR="002A6A01" w:rsidRPr="00576AF8" w:rsidRDefault="002A6A01" w:rsidP="00DE0454">
            <w:pPr>
              <w:rPr>
                <w:color w:val="000000"/>
                <w:sz w:val="12"/>
                <w:szCs w:val="12"/>
                <w:lang w:eastAsia="es-EC"/>
              </w:rPr>
            </w:pPr>
            <w:r w:rsidRPr="00576AF8">
              <w:rPr>
                <w:color w:val="000000"/>
                <w:sz w:val="12"/>
                <w:szCs w:val="12"/>
                <w:lang w:eastAsia="es-EC"/>
              </w:rPr>
              <w:t> 2</w:t>
            </w:r>
          </w:p>
        </w:tc>
        <w:tc>
          <w:tcPr>
            <w:tcW w:w="709" w:type="dxa"/>
            <w:tcBorders>
              <w:top w:val="nil"/>
              <w:left w:val="nil"/>
              <w:bottom w:val="single" w:sz="4" w:space="0" w:color="auto"/>
              <w:right w:val="single" w:sz="4" w:space="0" w:color="auto"/>
            </w:tcBorders>
            <w:shd w:val="clear" w:color="auto" w:fill="auto"/>
            <w:vAlign w:val="center"/>
            <w:hideMark/>
          </w:tcPr>
          <w:p w14:paraId="0AB4DB1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5745C4A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2A95A5C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A05100B" w14:textId="57D939D3" w:rsidR="002A6A01" w:rsidRPr="00576AF8" w:rsidRDefault="002A6A01" w:rsidP="00DE0454">
            <w:pPr>
              <w:rPr>
                <w:sz w:val="12"/>
                <w:szCs w:val="12"/>
              </w:rPr>
            </w:pPr>
            <w:r w:rsidRPr="00576AF8">
              <w:rPr>
                <w:sz w:val="12"/>
                <w:szCs w:val="12"/>
              </w:rPr>
              <w:t>1</w:t>
            </w:r>
            <w:r w:rsidR="00F40C43">
              <w:rPr>
                <w:sz w:val="12"/>
                <w:szCs w:val="12"/>
              </w:rPr>
              <w:t>7</w:t>
            </w:r>
          </w:p>
        </w:tc>
        <w:tc>
          <w:tcPr>
            <w:tcW w:w="425" w:type="dxa"/>
            <w:tcBorders>
              <w:top w:val="nil"/>
              <w:left w:val="nil"/>
              <w:bottom w:val="single" w:sz="4" w:space="0" w:color="auto"/>
              <w:right w:val="single" w:sz="4" w:space="0" w:color="auto"/>
            </w:tcBorders>
            <w:shd w:val="clear" w:color="auto" w:fill="auto"/>
            <w:vAlign w:val="center"/>
            <w:hideMark/>
          </w:tcPr>
          <w:p w14:paraId="3F45468B"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5FB02673"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c>
          <w:tcPr>
            <w:tcW w:w="483" w:type="dxa"/>
            <w:tcBorders>
              <w:top w:val="nil"/>
              <w:left w:val="nil"/>
              <w:bottom w:val="single" w:sz="4" w:space="0" w:color="auto"/>
              <w:right w:val="single" w:sz="4" w:space="0" w:color="auto"/>
            </w:tcBorders>
            <w:shd w:val="clear" w:color="auto" w:fill="auto"/>
            <w:vAlign w:val="center"/>
            <w:hideMark/>
          </w:tcPr>
          <w:p w14:paraId="03BFEF76"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r>
      <w:tr w:rsidR="002A6A01" w:rsidRPr="00576AF8" w14:paraId="0952EA33"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AE144A7" w14:textId="77777777" w:rsidR="002A6A01" w:rsidRPr="00576AF8" w:rsidRDefault="002A6A01" w:rsidP="00DE0454">
            <w:pPr>
              <w:rPr>
                <w:color w:val="000000"/>
                <w:sz w:val="12"/>
                <w:szCs w:val="12"/>
                <w:lang w:eastAsia="es-EC"/>
              </w:rPr>
            </w:pPr>
            <w:r w:rsidRPr="00576AF8">
              <w:rPr>
                <w:color w:val="000000"/>
                <w:sz w:val="12"/>
                <w:szCs w:val="12"/>
                <w:lang w:eastAsia="es-EC"/>
              </w:rPr>
              <w:t>15</w:t>
            </w:r>
          </w:p>
        </w:tc>
        <w:tc>
          <w:tcPr>
            <w:tcW w:w="1842" w:type="dxa"/>
            <w:tcBorders>
              <w:top w:val="nil"/>
              <w:left w:val="nil"/>
              <w:bottom w:val="single" w:sz="4" w:space="0" w:color="auto"/>
              <w:right w:val="single" w:sz="4" w:space="0" w:color="auto"/>
            </w:tcBorders>
            <w:shd w:val="clear" w:color="auto" w:fill="auto"/>
            <w:vAlign w:val="center"/>
            <w:hideMark/>
          </w:tcPr>
          <w:p w14:paraId="5F139DCC" w14:textId="77777777" w:rsidR="002A6A01" w:rsidRPr="00576AF8" w:rsidRDefault="002A6A01" w:rsidP="00DE0454">
            <w:pPr>
              <w:rPr>
                <w:color w:val="000000"/>
                <w:sz w:val="12"/>
                <w:szCs w:val="12"/>
                <w:lang w:eastAsia="es-EC"/>
              </w:rPr>
            </w:pPr>
            <w:r w:rsidRPr="00576AF8">
              <w:rPr>
                <w:color w:val="000000"/>
                <w:sz w:val="12"/>
                <w:szCs w:val="12"/>
                <w:lang w:eastAsia="es-EC"/>
              </w:rPr>
              <w:t>Frontales de comunicaciones ICCP</w:t>
            </w:r>
          </w:p>
        </w:tc>
        <w:tc>
          <w:tcPr>
            <w:tcW w:w="709" w:type="dxa"/>
            <w:tcBorders>
              <w:top w:val="nil"/>
              <w:left w:val="nil"/>
              <w:bottom w:val="single" w:sz="4" w:space="0" w:color="auto"/>
              <w:right w:val="single" w:sz="4" w:space="0" w:color="auto"/>
            </w:tcBorders>
            <w:shd w:val="clear" w:color="auto" w:fill="auto"/>
            <w:vAlign w:val="center"/>
            <w:hideMark/>
          </w:tcPr>
          <w:p w14:paraId="0E9980F1"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31F44B4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3F7F52D"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5A857CCA" w14:textId="438C300A" w:rsidR="002A6A01" w:rsidRPr="00576AF8" w:rsidRDefault="00F40C43" w:rsidP="00DE0454">
            <w:pPr>
              <w:rPr>
                <w:color w:val="000000"/>
                <w:sz w:val="12"/>
                <w:szCs w:val="12"/>
                <w:lang w:eastAsia="es-EC"/>
              </w:rPr>
            </w:pPr>
            <w:r>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4E112920"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03637F01" w14:textId="77777777" w:rsidR="002A6A01" w:rsidRPr="00576AF8" w:rsidRDefault="002A6A01" w:rsidP="00DE0454">
            <w:pPr>
              <w:rPr>
                <w:color w:val="000000"/>
                <w:sz w:val="12"/>
                <w:szCs w:val="12"/>
                <w:lang w:eastAsia="es-EC"/>
              </w:rPr>
            </w:pPr>
            <w:r w:rsidRPr="00576AF8">
              <w:rPr>
                <w:color w:val="000000"/>
                <w:sz w:val="12"/>
                <w:szCs w:val="12"/>
                <w:lang w:eastAsia="es-EC"/>
              </w:rPr>
              <w:t> 2</w:t>
            </w:r>
          </w:p>
        </w:tc>
        <w:tc>
          <w:tcPr>
            <w:tcW w:w="709" w:type="dxa"/>
            <w:tcBorders>
              <w:top w:val="nil"/>
              <w:left w:val="nil"/>
              <w:bottom w:val="single" w:sz="4" w:space="0" w:color="auto"/>
              <w:right w:val="single" w:sz="4" w:space="0" w:color="auto"/>
            </w:tcBorders>
            <w:shd w:val="clear" w:color="auto" w:fill="auto"/>
            <w:vAlign w:val="center"/>
            <w:hideMark/>
          </w:tcPr>
          <w:p w14:paraId="1B0BFCB1"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35E9D609"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66C4F8E6"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D8D8365" w14:textId="741BC80C" w:rsidR="002A6A01" w:rsidRPr="00576AF8" w:rsidRDefault="002A6A01" w:rsidP="00DE0454">
            <w:pPr>
              <w:rPr>
                <w:sz w:val="12"/>
                <w:szCs w:val="12"/>
              </w:rPr>
            </w:pPr>
            <w:r w:rsidRPr="00576AF8">
              <w:rPr>
                <w:sz w:val="12"/>
                <w:szCs w:val="12"/>
              </w:rPr>
              <w:t>1</w:t>
            </w:r>
            <w:r w:rsidR="00F40C43">
              <w:rPr>
                <w:sz w:val="12"/>
                <w:szCs w:val="12"/>
              </w:rPr>
              <w:t>7</w:t>
            </w:r>
          </w:p>
        </w:tc>
        <w:tc>
          <w:tcPr>
            <w:tcW w:w="425" w:type="dxa"/>
            <w:tcBorders>
              <w:top w:val="nil"/>
              <w:left w:val="nil"/>
              <w:bottom w:val="single" w:sz="4" w:space="0" w:color="auto"/>
              <w:right w:val="single" w:sz="4" w:space="0" w:color="auto"/>
            </w:tcBorders>
            <w:shd w:val="clear" w:color="auto" w:fill="auto"/>
            <w:vAlign w:val="center"/>
            <w:hideMark/>
          </w:tcPr>
          <w:p w14:paraId="28F68C7D"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1578663D"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46F6E8EF"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10F08E5A" w14:textId="77777777" w:rsidTr="00DE0454">
        <w:trPr>
          <w:trHeight w:val="62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CEF640B" w14:textId="77777777" w:rsidR="002A6A01" w:rsidRPr="00576AF8" w:rsidRDefault="002A6A01" w:rsidP="00DE0454">
            <w:pPr>
              <w:rPr>
                <w:color w:val="000000"/>
                <w:sz w:val="12"/>
                <w:szCs w:val="12"/>
                <w:lang w:eastAsia="es-EC"/>
              </w:rPr>
            </w:pPr>
            <w:r w:rsidRPr="00576AF8">
              <w:rPr>
                <w:color w:val="000000"/>
                <w:sz w:val="12"/>
                <w:szCs w:val="12"/>
                <w:lang w:eastAsia="es-EC"/>
              </w:rPr>
              <w:t>16</w:t>
            </w:r>
          </w:p>
        </w:tc>
        <w:tc>
          <w:tcPr>
            <w:tcW w:w="1842" w:type="dxa"/>
            <w:tcBorders>
              <w:top w:val="nil"/>
              <w:left w:val="nil"/>
              <w:bottom w:val="single" w:sz="4" w:space="0" w:color="auto"/>
              <w:right w:val="single" w:sz="4" w:space="0" w:color="auto"/>
            </w:tcBorders>
            <w:shd w:val="clear" w:color="auto" w:fill="auto"/>
            <w:vAlign w:val="center"/>
            <w:hideMark/>
          </w:tcPr>
          <w:p w14:paraId="16DDD8B5" w14:textId="77777777" w:rsidR="002A6A01" w:rsidRPr="00576AF8" w:rsidRDefault="002A6A01" w:rsidP="00DE0454">
            <w:pPr>
              <w:rPr>
                <w:color w:val="000000"/>
                <w:sz w:val="12"/>
                <w:szCs w:val="12"/>
                <w:lang w:eastAsia="es-EC"/>
              </w:rPr>
            </w:pPr>
            <w:r w:rsidRPr="00576AF8">
              <w:rPr>
                <w:color w:val="000000"/>
                <w:sz w:val="12"/>
                <w:szCs w:val="12"/>
                <w:lang w:eastAsia="es-EC"/>
              </w:rPr>
              <w:t>Protocolos SCADA (IEC 60870-5-104, IEC 60870-5-101, DNP3 TCP/Ip y serial, C37-</w:t>
            </w:r>
            <w:proofErr w:type="gramStart"/>
            <w:r w:rsidRPr="00576AF8">
              <w:rPr>
                <w:color w:val="000000"/>
                <w:sz w:val="12"/>
                <w:szCs w:val="12"/>
                <w:lang w:eastAsia="es-EC"/>
              </w:rPr>
              <w:t>118,  IEC</w:t>
            </w:r>
            <w:proofErr w:type="gramEnd"/>
            <w:r w:rsidRPr="00576AF8">
              <w:rPr>
                <w:color w:val="000000"/>
                <w:sz w:val="12"/>
                <w:szCs w:val="12"/>
                <w:lang w:eastAsia="es-EC"/>
              </w:rPr>
              <w:t xml:space="preserve"> 61850 MMS, etc.)</w:t>
            </w:r>
          </w:p>
        </w:tc>
        <w:tc>
          <w:tcPr>
            <w:tcW w:w="709" w:type="dxa"/>
            <w:tcBorders>
              <w:top w:val="nil"/>
              <w:left w:val="nil"/>
              <w:bottom w:val="single" w:sz="4" w:space="0" w:color="auto"/>
              <w:right w:val="single" w:sz="4" w:space="0" w:color="auto"/>
            </w:tcBorders>
            <w:shd w:val="clear" w:color="auto" w:fill="auto"/>
            <w:vAlign w:val="center"/>
            <w:hideMark/>
          </w:tcPr>
          <w:p w14:paraId="57CF6202"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49EFC0CA"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DC3EBF7" w14:textId="77777777" w:rsidR="002A6A01" w:rsidRPr="00576AF8" w:rsidRDefault="002A6A01" w:rsidP="00DE0454">
            <w:pPr>
              <w:rPr>
                <w:color w:val="000000"/>
                <w:sz w:val="12"/>
                <w:szCs w:val="12"/>
                <w:lang w:eastAsia="es-EC"/>
              </w:rPr>
            </w:pPr>
            <w:r w:rsidRPr="00576AF8">
              <w:rPr>
                <w:color w:val="000000"/>
                <w:sz w:val="12"/>
                <w:szCs w:val="12"/>
                <w:lang w:eastAsia="es-EC"/>
              </w:rPr>
              <w:t>5 </w:t>
            </w:r>
          </w:p>
        </w:tc>
        <w:tc>
          <w:tcPr>
            <w:tcW w:w="567" w:type="dxa"/>
            <w:tcBorders>
              <w:top w:val="nil"/>
              <w:left w:val="nil"/>
              <w:bottom w:val="single" w:sz="4" w:space="0" w:color="auto"/>
              <w:right w:val="single" w:sz="4" w:space="0" w:color="auto"/>
            </w:tcBorders>
            <w:shd w:val="clear" w:color="auto" w:fill="auto"/>
            <w:vAlign w:val="center"/>
            <w:hideMark/>
          </w:tcPr>
          <w:p w14:paraId="30400965" w14:textId="46B36A07"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23B5370B"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7A0D622E" w14:textId="77777777" w:rsidR="002A6A01" w:rsidRPr="00576AF8" w:rsidRDefault="002A6A01" w:rsidP="00DE0454">
            <w:pPr>
              <w:rPr>
                <w:color w:val="000000"/>
                <w:sz w:val="12"/>
                <w:szCs w:val="12"/>
                <w:lang w:eastAsia="es-EC"/>
              </w:rPr>
            </w:pPr>
            <w:r w:rsidRPr="00576AF8">
              <w:rPr>
                <w:color w:val="000000"/>
                <w:sz w:val="12"/>
                <w:szCs w:val="12"/>
                <w:lang w:eastAsia="es-EC"/>
              </w:rPr>
              <w:t> 2</w:t>
            </w:r>
          </w:p>
        </w:tc>
        <w:tc>
          <w:tcPr>
            <w:tcW w:w="709" w:type="dxa"/>
            <w:tcBorders>
              <w:top w:val="nil"/>
              <w:left w:val="nil"/>
              <w:bottom w:val="single" w:sz="4" w:space="0" w:color="auto"/>
              <w:right w:val="single" w:sz="4" w:space="0" w:color="auto"/>
            </w:tcBorders>
            <w:shd w:val="clear" w:color="auto" w:fill="auto"/>
            <w:vAlign w:val="center"/>
            <w:hideMark/>
          </w:tcPr>
          <w:p w14:paraId="6E7C7FF6"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3945E6F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49B99F0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711632C5" w14:textId="68D65B15" w:rsidR="002A6A01" w:rsidRPr="00576AF8" w:rsidRDefault="00F40C43" w:rsidP="00DE0454">
            <w:pPr>
              <w:rPr>
                <w:sz w:val="12"/>
                <w:szCs w:val="12"/>
              </w:rPr>
            </w:pPr>
            <w:r>
              <w:rPr>
                <w:sz w:val="12"/>
                <w:szCs w:val="12"/>
              </w:rPr>
              <w:t>17</w:t>
            </w:r>
          </w:p>
        </w:tc>
        <w:tc>
          <w:tcPr>
            <w:tcW w:w="425" w:type="dxa"/>
            <w:tcBorders>
              <w:top w:val="nil"/>
              <w:left w:val="nil"/>
              <w:bottom w:val="single" w:sz="4" w:space="0" w:color="auto"/>
              <w:right w:val="single" w:sz="4" w:space="0" w:color="auto"/>
            </w:tcBorders>
            <w:shd w:val="clear" w:color="auto" w:fill="auto"/>
            <w:vAlign w:val="center"/>
            <w:hideMark/>
          </w:tcPr>
          <w:p w14:paraId="7BA692FE"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40621BFA"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483" w:type="dxa"/>
            <w:tcBorders>
              <w:top w:val="nil"/>
              <w:left w:val="nil"/>
              <w:bottom w:val="single" w:sz="4" w:space="0" w:color="auto"/>
              <w:right w:val="single" w:sz="4" w:space="0" w:color="auto"/>
            </w:tcBorders>
            <w:shd w:val="clear" w:color="auto" w:fill="auto"/>
            <w:vAlign w:val="center"/>
            <w:hideMark/>
          </w:tcPr>
          <w:p w14:paraId="0ED8097C"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r>
      <w:tr w:rsidR="002A6A01" w:rsidRPr="00576AF8" w14:paraId="5F7C6809"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791BDED" w14:textId="77777777" w:rsidR="002A6A01" w:rsidRPr="00576AF8" w:rsidRDefault="002A6A01" w:rsidP="00DE0454">
            <w:pPr>
              <w:rPr>
                <w:color w:val="000000"/>
                <w:sz w:val="12"/>
                <w:szCs w:val="12"/>
                <w:lang w:eastAsia="es-EC"/>
              </w:rPr>
            </w:pPr>
            <w:r w:rsidRPr="00576AF8">
              <w:rPr>
                <w:color w:val="000000"/>
                <w:sz w:val="12"/>
                <w:szCs w:val="12"/>
                <w:lang w:eastAsia="es-EC"/>
              </w:rPr>
              <w:t>17</w:t>
            </w:r>
          </w:p>
        </w:tc>
        <w:tc>
          <w:tcPr>
            <w:tcW w:w="1842" w:type="dxa"/>
            <w:tcBorders>
              <w:top w:val="nil"/>
              <w:left w:val="nil"/>
              <w:bottom w:val="single" w:sz="4" w:space="0" w:color="auto"/>
              <w:right w:val="single" w:sz="4" w:space="0" w:color="auto"/>
            </w:tcBorders>
            <w:shd w:val="clear" w:color="auto" w:fill="auto"/>
            <w:vAlign w:val="center"/>
            <w:hideMark/>
          </w:tcPr>
          <w:p w14:paraId="2D3025E2" w14:textId="77777777" w:rsidR="002A6A01" w:rsidRPr="00576AF8" w:rsidRDefault="002A6A01" w:rsidP="00DE0454">
            <w:pPr>
              <w:rPr>
                <w:color w:val="000000"/>
                <w:sz w:val="12"/>
                <w:szCs w:val="12"/>
                <w:lang w:eastAsia="es-EC"/>
              </w:rPr>
            </w:pPr>
            <w:proofErr w:type="gramStart"/>
            <w:r w:rsidRPr="00576AF8">
              <w:rPr>
                <w:color w:val="000000"/>
                <w:sz w:val="12"/>
                <w:szCs w:val="12"/>
                <w:lang w:eastAsia="es-EC"/>
              </w:rPr>
              <w:t>Protocolo  OPC</w:t>
            </w:r>
            <w:proofErr w:type="gramEnd"/>
            <w:r w:rsidRPr="00576AF8">
              <w:rPr>
                <w:color w:val="000000"/>
                <w:sz w:val="12"/>
                <w:szCs w:val="12"/>
                <w:lang w:eastAsia="es-EC"/>
              </w:rPr>
              <w:t xml:space="preserve"> UA</w:t>
            </w:r>
          </w:p>
        </w:tc>
        <w:tc>
          <w:tcPr>
            <w:tcW w:w="709" w:type="dxa"/>
            <w:tcBorders>
              <w:top w:val="nil"/>
              <w:left w:val="nil"/>
              <w:bottom w:val="single" w:sz="4" w:space="0" w:color="auto"/>
              <w:right w:val="single" w:sz="4" w:space="0" w:color="auto"/>
            </w:tcBorders>
            <w:shd w:val="clear" w:color="auto" w:fill="auto"/>
            <w:vAlign w:val="center"/>
            <w:hideMark/>
          </w:tcPr>
          <w:p w14:paraId="2B2A2173"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0A520429"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7764209"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5ECFFC07"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6C04918D"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0650B57A"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614EC87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266E1B9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6925EBFD"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EDB2B37" w14:textId="77777777" w:rsidR="002A6A01" w:rsidRPr="00576AF8" w:rsidRDefault="002A6A01" w:rsidP="00DE0454">
            <w:pPr>
              <w:rPr>
                <w:sz w:val="12"/>
                <w:szCs w:val="12"/>
              </w:rPr>
            </w:pPr>
            <w:r w:rsidRPr="00576AF8">
              <w:rPr>
                <w:sz w:val="12"/>
                <w:szCs w:val="12"/>
              </w:rPr>
              <w:t>18</w:t>
            </w:r>
          </w:p>
        </w:tc>
        <w:tc>
          <w:tcPr>
            <w:tcW w:w="425" w:type="dxa"/>
            <w:tcBorders>
              <w:top w:val="nil"/>
              <w:left w:val="nil"/>
              <w:bottom w:val="single" w:sz="4" w:space="0" w:color="auto"/>
              <w:right w:val="single" w:sz="4" w:space="0" w:color="auto"/>
            </w:tcBorders>
            <w:shd w:val="clear" w:color="auto" w:fill="auto"/>
            <w:vAlign w:val="center"/>
            <w:hideMark/>
          </w:tcPr>
          <w:p w14:paraId="6915C2CE"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02DF5359"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4C8D3022"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13A75A2F"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2B01063" w14:textId="77777777" w:rsidR="002A6A01" w:rsidRPr="00576AF8" w:rsidRDefault="002A6A01" w:rsidP="00DE0454">
            <w:pPr>
              <w:rPr>
                <w:color w:val="000000"/>
                <w:sz w:val="12"/>
                <w:szCs w:val="12"/>
                <w:lang w:eastAsia="es-EC"/>
              </w:rPr>
            </w:pPr>
            <w:r w:rsidRPr="00576AF8">
              <w:rPr>
                <w:color w:val="000000"/>
                <w:sz w:val="12"/>
                <w:szCs w:val="12"/>
                <w:lang w:eastAsia="es-EC"/>
              </w:rPr>
              <w:t>18</w:t>
            </w:r>
          </w:p>
        </w:tc>
        <w:tc>
          <w:tcPr>
            <w:tcW w:w="1842" w:type="dxa"/>
            <w:tcBorders>
              <w:top w:val="nil"/>
              <w:left w:val="nil"/>
              <w:bottom w:val="single" w:sz="4" w:space="0" w:color="auto"/>
              <w:right w:val="single" w:sz="4" w:space="0" w:color="auto"/>
            </w:tcBorders>
            <w:shd w:val="clear" w:color="auto" w:fill="auto"/>
            <w:vAlign w:val="center"/>
            <w:hideMark/>
          </w:tcPr>
          <w:p w14:paraId="77718E1D" w14:textId="77777777" w:rsidR="002A6A01" w:rsidRPr="00576AF8" w:rsidRDefault="002A6A01" w:rsidP="00DE0454">
            <w:pPr>
              <w:rPr>
                <w:color w:val="000000"/>
                <w:sz w:val="12"/>
                <w:szCs w:val="12"/>
                <w:lang w:eastAsia="es-EC"/>
              </w:rPr>
            </w:pPr>
            <w:r w:rsidRPr="00576AF8">
              <w:rPr>
                <w:color w:val="000000"/>
                <w:sz w:val="12"/>
                <w:szCs w:val="12"/>
                <w:lang w:eastAsia="es-EC"/>
              </w:rPr>
              <w:t>Patch Management Software</w:t>
            </w:r>
          </w:p>
        </w:tc>
        <w:tc>
          <w:tcPr>
            <w:tcW w:w="709" w:type="dxa"/>
            <w:tcBorders>
              <w:top w:val="nil"/>
              <w:left w:val="nil"/>
              <w:bottom w:val="single" w:sz="4" w:space="0" w:color="auto"/>
              <w:right w:val="single" w:sz="4" w:space="0" w:color="auto"/>
            </w:tcBorders>
            <w:shd w:val="clear" w:color="auto" w:fill="auto"/>
            <w:vAlign w:val="center"/>
            <w:hideMark/>
          </w:tcPr>
          <w:p w14:paraId="5A65DACE"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1087FCD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BFA6139" w14:textId="02713609" w:rsidR="002A6A01" w:rsidRPr="00576AF8" w:rsidRDefault="00F40C43" w:rsidP="00DE0454">
            <w:pPr>
              <w:rPr>
                <w:color w:val="000000"/>
                <w:sz w:val="12"/>
                <w:szCs w:val="12"/>
                <w:lang w:eastAsia="es-EC"/>
              </w:rPr>
            </w:pPr>
            <w:r>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5F70A13F" w14:textId="3C81B73C"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4</w:t>
            </w:r>
          </w:p>
        </w:tc>
        <w:tc>
          <w:tcPr>
            <w:tcW w:w="567" w:type="dxa"/>
            <w:tcBorders>
              <w:top w:val="nil"/>
              <w:left w:val="nil"/>
              <w:bottom w:val="single" w:sz="4" w:space="0" w:color="auto"/>
              <w:right w:val="single" w:sz="4" w:space="0" w:color="auto"/>
            </w:tcBorders>
            <w:shd w:val="clear" w:color="auto" w:fill="auto"/>
            <w:vAlign w:val="center"/>
            <w:hideMark/>
          </w:tcPr>
          <w:p w14:paraId="7EE6CA0C" w14:textId="5C909000"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76E2183B"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5AC88299" w14:textId="0D9C552A" w:rsidR="002A6A01" w:rsidRPr="00576AF8" w:rsidRDefault="002A6A01" w:rsidP="00DE0454">
            <w:pPr>
              <w:rPr>
                <w:color w:val="000000"/>
                <w:sz w:val="12"/>
                <w:szCs w:val="12"/>
                <w:lang w:eastAsia="es-EC"/>
              </w:rPr>
            </w:pPr>
            <w:r w:rsidRPr="00576AF8">
              <w:rPr>
                <w:color w:val="000000"/>
                <w:sz w:val="12"/>
                <w:szCs w:val="12"/>
                <w:lang w:eastAsia="es-EC"/>
              </w:rPr>
              <w:t> </w:t>
            </w:r>
            <w:r w:rsidR="00AD14C8">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59470877"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151C91C1"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4104866" w14:textId="4D09E75D" w:rsidR="002A6A01" w:rsidRPr="00576AF8" w:rsidRDefault="00AD14C8" w:rsidP="00DE0454">
            <w:pPr>
              <w:rPr>
                <w:sz w:val="12"/>
                <w:szCs w:val="12"/>
              </w:rPr>
            </w:pPr>
            <w:r>
              <w:rPr>
                <w:sz w:val="12"/>
                <w:szCs w:val="12"/>
              </w:rPr>
              <w:t>23</w:t>
            </w:r>
          </w:p>
        </w:tc>
        <w:tc>
          <w:tcPr>
            <w:tcW w:w="425" w:type="dxa"/>
            <w:tcBorders>
              <w:top w:val="nil"/>
              <w:left w:val="nil"/>
              <w:bottom w:val="single" w:sz="4" w:space="0" w:color="auto"/>
              <w:right w:val="single" w:sz="4" w:space="0" w:color="auto"/>
            </w:tcBorders>
            <w:shd w:val="clear" w:color="auto" w:fill="auto"/>
            <w:vAlign w:val="center"/>
            <w:hideMark/>
          </w:tcPr>
          <w:p w14:paraId="7FB615C4"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076E008F"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22182746"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1834DBB7" w14:textId="77777777" w:rsidTr="00DE0454">
        <w:trPr>
          <w:trHeight w:val="62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63B87EE" w14:textId="77777777" w:rsidR="002A6A01" w:rsidRPr="00576AF8" w:rsidRDefault="002A6A01" w:rsidP="00DE0454">
            <w:pPr>
              <w:rPr>
                <w:color w:val="000000"/>
                <w:sz w:val="12"/>
                <w:szCs w:val="12"/>
                <w:lang w:eastAsia="es-EC"/>
              </w:rPr>
            </w:pPr>
            <w:r w:rsidRPr="00576AF8">
              <w:rPr>
                <w:color w:val="000000"/>
                <w:sz w:val="12"/>
                <w:szCs w:val="12"/>
                <w:lang w:eastAsia="es-EC"/>
              </w:rPr>
              <w:t>19</w:t>
            </w:r>
          </w:p>
        </w:tc>
        <w:tc>
          <w:tcPr>
            <w:tcW w:w="1842" w:type="dxa"/>
            <w:tcBorders>
              <w:top w:val="nil"/>
              <w:left w:val="nil"/>
              <w:bottom w:val="single" w:sz="4" w:space="0" w:color="auto"/>
              <w:right w:val="single" w:sz="4" w:space="0" w:color="auto"/>
            </w:tcBorders>
            <w:shd w:val="clear" w:color="auto" w:fill="auto"/>
            <w:vAlign w:val="center"/>
            <w:hideMark/>
          </w:tcPr>
          <w:p w14:paraId="04DA7A8C" w14:textId="77777777" w:rsidR="002A6A01" w:rsidRPr="00576AF8" w:rsidRDefault="002A6A01" w:rsidP="00DE0454">
            <w:pPr>
              <w:rPr>
                <w:color w:val="000000"/>
                <w:sz w:val="12"/>
                <w:szCs w:val="12"/>
                <w:lang w:eastAsia="es-EC"/>
              </w:rPr>
            </w:pPr>
            <w:r w:rsidRPr="00576AF8">
              <w:rPr>
                <w:color w:val="000000"/>
                <w:sz w:val="12"/>
                <w:szCs w:val="12"/>
                <w:lang w:eastAsia="es-EC"/>
              </w:rPr>
              <w:t>Supervisión Independiente del Sistema</w:t>
            </w:r>
          </w:p>
        </w:tc>
        <w:tc>
          <w:tcPr>
            <w:tcW w:w="709" w:type="dxa"/>
            <w:tcBorders>
              <w:top w:val="nil"/>
              <w:left w:val="nil"/>
              <w:bottom w:val="single" w:sz="4" w:space="0" w:color="auto"/>
              <w:right w:val="single" w:sz="4" w:space="0" w:color="auto"/>
            </w:tcBorders>
            <w:shd w:val="clear" w:color="auto" w:fill="auto"/>
            <w:vAlign w:val="center"/>
            <w:hideMark/>
          </w:tcPr>
          <w:p w14:paraId="4C9C1278"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1A7D559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554A67F0" w14:textId="0FFDC603"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22823E5A" w14:textId="15A211CC"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4</w:t>
            </w:r>
          </w:p>
        </w:tc>
        <w:tc>
          <w:tcPr>
            <w:tcW w:w="567" w:type="dxa"/>
            <w:tcBorders>
              <w:top w:val="nil"/>
              <w:left w:val="nil"/>
              <w:bottom w:val="single" w:sz="4" w:space="0" w:color="auto"/>
              <w:right w:val="single" w:sz="4" w:space="0" w:color="auto"/>
            </w:tcBorders>
            <w:shd w:val="clear" w:color="auto" w:fill="auto"/>
            <w:vAlign w:val="center"/>
            <w:hideMark/>
          </w:tcPr>
          <w:p w14:paraId="799EC634" w14:textId="61EB7CBD"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5B26ABFB"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75A09605"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2CA835DA"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4C26C5BC"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67C9976" w14:textId="384771C5" w:rsidR="002A6A01" w:rsidRPr="00576AF8" w:rsidRDefault="00F40C43" w:rsidP="00B32F06">
            <w:pPr>
              <w:rPr>
                <w:sz w:val="12"/>
                <w:szCs w:val="12"/>
              </w:rPr>
            </w:pPr>
            <w:r>
              <w:rPr>
                <w:sz w:val="12"/>
                <w:szCs w:val="12"/>
              </w:rPr>
              <w:t>23</w:t>
            </w:r>
          </w:p>
        </w:tc>
        <w:tc>
          <w:tcPr>
            <w:tcW w:w="425" w:type="dxa"/>
            <w:tcBorders>
              <w:top w:val="nil"/>
              <w:left w:val="nil"/>
              <w:bottom w:val="single" w:sz="4" w:space="0" w:color="auto"/>
              <w:right w:val="single" w:sz="4" w:space="0" w:color="auto"/>
            </w:tcBorders>
            <w:shd w:val="clear" w:color="auto" w:fill="auto"/>
            <w:vAlign w:val="center"/>
            <w:hideMark/>
          </w:tcPr>
          <w:p w14:paraId="75180760"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35DFE0F7"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68C63D91"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74B32D98"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EDDAE82" w14:textId="77777777" w:rsidR="002A6A01" w:rsidRPr="00576AF8" w:rsidRDefault="002A6A01" w:rsidP="00DE0454">
            <w:pPr>
              <w:rPr>
                <w:color w:val="000000"/>
                <w:sz w:val="12"/>
                <w:szCs w:val="12"/>
                <w:lang w:eastAsia="es-EC"/>
              </w:rPr>
            </w:pPr>
            <w:r w:rsidRPr="00576AF8">
              <w:rPr>
                <w:color w:val="000000"/>
                <w:sz w:val="12"/>
                <w:szCs w:val="12"/>
                <w:lang w:eastAsia="es-EC"/>
              </w:rPr>
              <w:t>20</w:t>
            </w:r>
          </w:p>
        </w:tc>
        <w:tc>
          <w:tcPr>
            <w:tcW w:w="1842" w:type="dxa"/>
            <w:tcBorders>
              <w:top w:val="nil"/>
              <w:left w:val="nil"/>
              <w:bottom w:val="single" w:sz="4" w:space="0" w:color="auto"/>
              <w:right w:val="single" w:sz="4" w:space="0" w:color="auto"/>
            </w:tcBorders>
            <w:shd w:val="clear" w:color="auto" w:fill="auto"/>
            <w:vAlign w:val="center"/>
            <w:hideMark/>
          </w:tcPr>
          <w:p w14:paraId="597C7F73" w14:textId="77777777" w:rsidR="002A6A01" w:rsidRPr="00576AF8" w:rsidRDefault="002A6A01" w:rsidP="00DE0454">
            <w:pPr>
              <w:rPr>
                <w:color w:val="000000"/>
                <w:sz w:val="12"/>
                <w:szCs w:val="12"/>
                <w:lang w:eastAsia="es-EC"/>
              </w:rPr>
            </w:pPr>
            <w:r w:rsidRPr="00576AF8">
              <w:rPr>
                <w:color w:val="000000"/>
                <w:sz w:val="12"/>
                <w:szCs w:val="12"/>
                <w:lang w:eastAsia="es-EC"/>
              </w:rPr>
              <w:t>SIEM</w:t>
            </w:r>
          </w:p>
        </w:tc>
        <w:tc>
          <w:tcPr>
            <w:tcW w:w="709" w:type="dxa"/>
            <w:tcBorders>
              <w:top w:val="nil"/>
              <w:left w:val="nil"/>
              <w:bottom w:val="single" w:sz="4" w:space="0" w:color="auto"/>
              <w:right w:val="single" w:sz="4" w:space="0" w:color="auto"/>
            </w:tcBorders>
            <w:shd w:val="clear" w:color="auto" w:fill="auto"/>
            <w:vAlign w:val="center"/>
            <w:hideMark/>
          </w:tcPr>
          <w:p w14:paraId="183250E5"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5D562D2B"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E0FAB81"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567" w:type="dxa"/>
            <w:tcBorders>
              <w:top w:val="nil"/>
              <w:left w:val="nil"/>
              <w:bottom w:val="single" w:sz="4" w:space="0" w:color="auto"/>
              <w:right w:val="single" w:sz="4" w:space="0" w:color="auto"/>
            </w:tcBorders>
            <w:shd w:val="clear" w:color="auto" w:fill="auto"/>
            <w:vAlign w:val="center"/>
            <w:hideMark/>
          </w:tcPr>
          <w:p w14:paraId="4A334862" w14:textId="27E452EE" w:rsidR="002A6A01" w:rsidRPr="00576AF8" w:rsidRDefault="00F40C43" w:rsidP="00DE0454">
            <w:pPr>
              <w:rPr>
                <w:color w:val="000000"/>
                <w:sz w:val="12"/>
                <w:szCs w:val="12"/>
                <w:lang w:eastAsia="es-EC"/>
              </w:rPr>
            </w:pPr>
            <w:r>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2C6CAD3F" w14:textId="552E11DA" w:rsidR="002A6A01" w:rsidRPr="00576AF8" w:rsidRDefault="002A6A01" w:rsidP="00DE0454">
            <w:pPr>
              <w:rPr>
                <w:color w:val="000000"/>
                <w:sz w:val="12"/>
                <w:szCs w:val="12"/>
                <w:lang w:eastAsia="es-EC"/>
              </w:rPr>
            </w:pPr>
            <w:r w:rsidRPr="00576AF8">
              <w:rPr>
                <w:color w:val="000000"/>
                <w:sz w:val="12"/>
                <w:szCs w:val="12"/>
                <w:lang w:eastAsia="es-EC"/>
              </w:rPr>
              <w:t> </w:t>
            </w:r>
            <w:r w:rsidR="00F40C43">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603F14F7"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6F1421B8"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725E6F73"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2BE6864A"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5BA93EF" w14:textId="7D4E4F6C" w:rsidR="002A6A01" w:rsidRPr="00576AF8" w:rsidRDefault="00F40C43" w:rsidP="00DE0454">
            <w:pPr>
              <w:rPr>
                <w:sz w:val="12"/>
                <w:szCs w:val="12"/>
              </w:rPr>
            </w:pPr>
            <w:r>
              <w:rPr>
                <w:sz w:val="12"/>
                <w:szCs w:val="12"/>
              </w:rPr>
              <w:t>23</w:t>
            </w:r>
          </w:p>
        </w:tc>
        <w:tc>
          <w:tcPr>
            <w:tcW w:w="425" w:type="dxa"/>
            <w:tcBorders>
              <w:top w:val="nil"/>
              <w:left w:val="nil"/>
              <w:bottom w:val="single" w:sz="4" w:space="0" w:color="auto"/>
              <w:right w:val="single" w:sz="4" w:space="0" w:color="auto"/>
            </w:tcBorders>
            <w:shd w:val="clear" w:color="auto" w:fill="auto"/>
            <w:vAlign w:val="center"/>
            <w:hideMark/>
          </w:tcPr>
          <w:p w14:paraId="21CA0381"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5DF530DF"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2260C004"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70898B9E"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8E91FC0" w14:textId="77777777" w:rsidR="002A6A01" w:rsidRPr="00576AF8" w:rsidRDefault="002A6A01" w:rsidP="00DE0454">
            <w:pPr>
              <w:rPr>
                <w:color w:val="000000"/>
                <w:sz w:val="12"/>
                <w:szCs w:val="12"/>
                <w:lang w:eastAsia="es-EC"/>
              </w:rPr>
            </w:pPr>
            <w:r w:rsidRPr="00576AF8">
              <w:rPr>
                <w:color w:val="000000"/>
                <w:sz w:val="12"/>
                <w:szCs w:val="12"/>
                <w:lang w:eastAsia="es-EC"/>
              </w:rPr>
              <w:t>21</w:t>
            </w:r>
          </w:p>
        </w:tc>
        <w:tc>
          <w:tcPr>
            <w:tcW w:w="1842" w:type="dxa"/>
            <w:tcBorders>
              <w:top w:val="nil"/>
              <w:left w:val="nil"/>
              <w:bottom w:val="single" w:sz="4" w:space="0" w:color="auto"/>
              <w:right w:val="single" w:sz="4" w:space="0" w:color="auto"/>
            </w:tcBorders>
            <w:shd w:val="clear" w:color="auto" w:fill="auto"/>
            <w:vAlign w:val="center"/>
            <w:hideMark/>
          </w:tcPr>
          <w:p w14:paraId="4273C238" w14:textId="77777777" w:rsidR="002A6A01" w:rsidRPr="00576AF8" w:rsidRDefault="002A6A01" w:rsidP="00DE0454">
            <w:pPr>
              <w:rPr>
                <w:color w:val="000000"/>
                <w:sz w:val="12"/>
                <w:szCs w:val="12"/>
                <w:lang w:eastAsia="es-EC"/>
              </w:rPr>
            </w:pPr>
            <w:r w:rsidRPr="00576AF8">
              <w:rPr>
                <w:color w:val="000000"/>
                <w:sz w:val="12"/>
                <w:szCs w:val="12"/>
                <w:lang w:eastAsia="es-EC"/>
              </w:rPr>
              <w:t>Sistema de Backup</w:t>
            </w:r>
          </w:p>
        </w:tc>
        <w:tc>
          <w:tcPr>
            <w:tcW w:w="709" w:type="dxa"/>
            <w:tcBorders>
              <w:top w:val="nil"/>
              <w:left w:val="nil"/>
              <w:bottom w:val="single" w:sz="4" w:space="0" w:color="auto"/>
              <w:right w:val="single" w:sz="4" w:space="0" w:color="auto"/>
            </w:tcBorders>
            <w:shd w:val="clear" w:color="auto" w:fill="auto"/>
            <w:vAlign w:val="center"/>
            <w:hideMark/>
          </w:tcPr>
          <w:p w14:paraId="6DEEC465"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7BF13FAA"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71244907" w14:textId="4049CFB4"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18127D84" w14:textId="0C1781B6"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4</w:t>
            </w:r>
          </w:p>
        </w:tc>
        <w:tc>
          <w:tcPr>
            <w:tcW w:w="567" w:type="dxa"/>
            <w:tcBorders>
              <w:top w:val="nil"/>
              <w:left w:val="nil"/>
              <w:bottom w:val="single" w:sz="4" w:space="0" w:color="auto"/>
              <w:right w:val="single" w:sz="4" w:space="0" w:color="auto"/>
            </w:tcBorders>
            <w:shd w:val="clear" w:color="auto" w:fill="auto"/>
            <w:vAlign w:val="center"/>
            <w:hideMark/>
          </w:tcPr>
          <w:p w14:paraId="1866010E" w14:textId="76321324"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1C43303C"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589E1F79"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452A4F35"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032D6D76"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0CD0D1B" w14:textId="6AB214C3" w:rsidR="002A6A01" w:rsidRPr="00576AF8" w:rsidRDefault="00D72C5C" w:rsidP="00DE0454">
            <w:pPr>
              <w:rPr>
                <w:sz w:val="12"/>
                <w:szCs w:val="12"/>
              </w:rPr>
            </w:pPr>
            <w:r>
              <w:rPr>
                <w:sz w:val="12"/>
                <w:szCs w:val="12"/>
              </w:rPr>
              <w:t>23</w:t>
            </w:r>
          </w:p>
        </w:tc>
        <w:tc>
          <w:tcPr>
            <w:tcW w:w="425" w:type="dxa"/>
            <w:tcBorders>
              <w:top w:val="nil"/>
              <w:left w:val="nil"/>
              <w:bottom w:val="single" w:sz="4" w:space="0" w:color="auto"/>
              <w:right w:val="single" w:sz="4" w:space="0" w:color="auto"/>
            </w:tcBorders>
            <w:shd w:val="clear" w:color="auto" w:fill="auto"/>
            <w:vAlign w:val="center"/>
            <w:hideMark/>
          </w:tcPr>
          <w:p w14:paraId="557C71FE"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222DFC0E" w14:textId="77777777" w:rsidR="002A6A01" w:rsidRPr="00576AF8" w:rsidRDefault="002A6A01" w:rsidP="00DE0454">
            <w:pPr>
              <w:rPr>
                <w:color w:val="000000"/>
                <w:sz w:val="12"/>
                <w:szCs w:val="12"/>
                <w:lang w:eastAsia="es-EC"/>
              </w:rPr>
            </w:pPr>
            <w:r w:rsidRPr="00576AF8">
              <w:rPr>
                <w:color w:val="000000"/>
                <w:sz w:val="12"/>
                <w:szCs w:val="12"/>
                <w:lang w:eastAsia="es-EC"/>
              </w:rPr>
              <w:t>2</w:t>
            </w:r>
          </w:p>
        </w:tc>
        <w:tc>
          <w:tcPr>
            <w:tcW w:w="483" w:type="dxa"/>
            <w:tcBorders>
              <w:top w:val="nil"/>
              <w:left w:val="nil"/>
              <w:bottom w:val="single" w:sz="4" w:space="0" w:color="auto"/>
              <w:right w:val="single" w:sz="4" w:space="0" w:color="auto"/>
            </w:tcBorders>
            <w:shd w:val="clear" w:color="auto" w:fill="auto"/>
            <w:vAlign w:val="center"/>
            <w:hideMark/>
          </w:tcPr>
          <w:p w14:paraId="592B6333" w14:textId="77777777" w:rsidR="002A6A01" w:rsidRPr="00576AF8" w:rsidRDefault="002A6A01" w:rsidP="00DE0454">
            <w:pPr>
              <w:rPr>
                <w:color w:val="000000"/>
                <w:sz w:val="12"/>
                <w:szCs w:val="12"/>
                <w:lang w:eastAsia="es-EC"/>
              </w:rPr>
            </w:pPr>
            <w:r w:rsidRPr="00576AF8">
              <w:rPr>
                <w:color w:val="000000"/>
                <w:sz w:val="12"/>
                <w:szCs w:val="12"/>
                <w:lang w:eastAsia="es-EC"/>
              </w:rPr>
              <w:t>2</w:t>
            </w:r>
          </w:p>
        </w:tc>
      </w:tr>
      <w:tr w:rsidR="002A6A01" w:rsidRPr="00576AF8" w14:paraId="3A61E0F5"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7BE2269" w14:textId="77777777" w:rsidR="002A6A01" w:rsidRPr="00576AF8" w:rsidRDefault="002A6A01" w:rsidP="00DE0454">
            <w:pPr>
              <w:rPr>
                <w:color w:val="000000"/>
                <w:sz w:val="12"/>
                <w:szCs w:val="12"/>
                <w:lang w:eastAsia="es-EC"/>
              </w:rPr>
            </w:pPr>
            <w:r w:rsidRPr="00576AF8">
              <w:rPr>
                <w:color w:val="000000"/>
                <w:sz w:val="12"/>
                <w:szCs w:val="12"/>
                <w:lang w:eastAsia="es-EC"/>
              </w:rPr>
              <w:t>22</w:t>
            </w:r>
          </w:p>
        </w:tc>
        <w:tc>
          <w:tcPr>
            <w:tcW w:w="1842" w:type="dxa"/>
            <w:tcBorders>
              <w:top w:val="nil"/>
              <w:left w:val="nil"/>
              <w:bottom w:val="single" w:sz="4" w:space="0" w:color="auto"/>
              <w:right w:val="single" w:sz="4" w:space="0" w:color="auto"/>
            </w:tcBorders>
            <w:shd w:val="clear" w:color="auto" w:fill="auto"/>
            <w:vAlign w:val="center"/>
            <w:hideMark/>
          </w:tcPr>
          <w:p w14:paraId="043AF349" w14:textId="77777777" w:rsidR="002A6A01" w:rsidRPr="00576AF8" w:rsidRDefault="002A6A01" w:rsidP="00DE0454">
            <w:pPr>
              <w:rPr>
                <w:color w:val="000000"/>
                <w:sz w:val="12"/>
                <w:szCs w:val="12"/>
                <w:lang w:eastAsia="es-EC"/>
              </w:rPr>
            </w:pPr>
            <w:r w:rsidRPr="00576AF8">
              <w:rPr>
                <w:color w:val="000000"/>
                <w:sz w:val="12"/>
                <w:szCs w:val="12"/>
                <w:lang w:eastAsia="es-EC"/>
              </w:rPr>
              <w:t>Administración</w:t>
            </w:r>
            <w:r w:rsidRPr="00576AF8" w:rsidDel="00176DBC">
              <w:rPr>
                <w:color w:val="000000"/>
                <w:sz w:val="12"/>
                <w:szCs w:val="12"/>
                <w:lang w:eastAsia="es-EC"/>
              </w:rPr>
              <w:t xml:space="preserve"> </w:t>
            </w:r>
            <w:r w:rsidRPr="00576AF8">
              <w:rPr>
                <w:color w:val="000000"/>
                <w:sz w:val="12"/>
                <w:szCs w:val="12"/>
                <w:lang w:eastAsia="es-EC"/>
              </w:rPr>
              <w:t>de Hardware</w:t>
            </w:r>
          </w:p>
        </w:tc>
        <w:tc>
          <w:tcPr>
            <w:tcW w:w="709" w:type="dxa"/>
            <w:tcBorders>
              <w:top w:val="nil"/>
              <w:left w:val="nil"/>
              <w:bottom w:val="single" w:sz="4" w:space="0" w:color="auto"/>
              <w:right w:val="single" w:sz="4" w:space="0" w:color="auto"/>
            </w:tcBorders>
            <w:shd w:val="clear" w:color="auto" w:fill="auto"/>
            <w:vAlign w:val="center"/>
            <w:hideMark/>
          </w:tcPr>
          <w:p w14:paraId="6493E287"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186638ED"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4A29472" w14:textId="4CD37E04"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0C25A3AC" w14:textId="2173D2B6"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1B04B130" w14:textId="08C14AA7"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1E0E3EA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238659B2"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742BD103"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4FFE47A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90F399D" w14:textId="68963EFC" w:rsidR="002A6A01" w:rsidRPr="00576AF8" w:rsidRDefault="00D72C5C" w:rsidP="00DE0454">
            <w:pPr>
              <w:rPr>
                <w:sz w:val="12"/>
                <w:szCs w:val="12"/>
              </w:rPr>
            </w:pPr>
            <w:r>
              <w:rPr>
                <w:sz w:val="12"/>
                <w:szCs w:val="12"/>
              </w:rPr>
              <w:t>19</w:t>
            </w:r>
          </w:p>
        </w:tc>
        <w:tc>
          <w:tcPr>
            <w:tcW w:w="425" w:type="dxa"/>
            <w:tcBorders>
              <w:top w:val="nil"/>
              <w:left w:val="nil"/>
              <w:bottom w:val="single" w:sz="4" w:space="0" w:color="auto"/>
              <w:right w:val="single" w:sz="4" w:space="0" w:color="auto"/>
            </w:tcBorders>
            <w:shd w:val="clear" w:color="auto" w:fill="auto"/>
            <w:vAlign w:val="center"/>
            <w:hideMark/>
          </w:tcPr>
          <w:p w14:paraId="0822307A"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22AA7623"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c>
          <w:tcPr>
            <w:tcW w:w="483" w:type="dxa"/>
            <w:tcBorders>
              <w:top w:val="nil"/>
              <w:left w:val="nil"/>
              <w:bottom w:val="single" w:sz="4" w:space="0" w:color="auto"/>
              <w:right w:val="single" w:sz="4" w:space="0" w:color="auto"/>
            </w:tcBorders>
            <w:shd w:val="clear" w:color="auto" w:fill="auto"/>
            <w:vAlign w:val="center"/>
            <w:hideMark/>
          </w:tcPr>
          <w:p w14:paraId="0082F0F0"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r>
      <w:tr w:rsidR="002A6A01" w:rsidRPr="00576AF8" w14:paraId="237A02D3"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7FFF291" w14:textId="77777777" w:rsidR="002A6A01" w:rsidRPr="00576AF8" w:rsidRDefault="002A6A01" w:rsidP="00DE0454">
            <w:pPr>
              <w:rPr>
                <w:color w:val="000000"/>
                <w:sz w:val="12"/>
                <w:szCs w:val="12"/>
                <w:lang w:eastAsia="es-EC"/>
              </w:rPr>
            </w:pPr>
            <w:r w:rsidRPr="00576AF8">
              <w:rPr>
                <w:color w:val="000000"/>
                <w:sz w:val="12"/>
                <w:szCs w:val="12"/>
                <w:lang w:eastAsia="es-EC"/>
              </w:rPr>
              <w:t>23</w:t>
            </w:r>
          </w:p>
        </w:tc>
        <w:tc>
          <w:tcPr>
            <w:tcW w:w="1842" w:type="dxa"/>
            <w:tcBorders>
              <w:top w:val="nil"/>
              <w:left w:val="nil"/>
              <w:bottom w:val="single" w:sz="4" w:space="0" w:color="auto"/>
              <w:right w:val="single" w:sz="4" w:space="0" w:color="auto"/>
            </w:tcBorders>
            <w:shd w:val="clear" w:color="auto" w:fill="auto"/>
            <w:vAlign w:val="center"/>
            <w:hideMark/>
          </w:tcPr>
          <w:p w14:paraId="110988A2" w14:textId="77777777" w:rsidR="002A6A01" w:rsidRPr="00576AF8" w:rsidRDefault="002A6A01" w:rsidP="00DE0454">
            <w:pPr>
              <w:rPr>
                <w:color w:val="000000"/>
                <w:sz w:val="12"/>
                <w:szCs w:val="12"/>
                <w:lang w:eastAsia="es-EC"/>
              </w:rPr>
            </w:pPr>
            <w:r w:rsidRPr="00576AF8">
              <w:rPr>
                <w:color w:val="000000"/>
                <w:sz w:val="12"/>
                <w:szCs w:val="12"/>
                <w:lang w:eastAsia="es-EC"/>
              </w:rPr>
              <w:t>Administraciónde Software</w:t>
            </w:r>
          </w:p>
        </w:tc>
        <w:tc>
          <w:tcPr>
            <w:tcW w:w="709" w:type="dxa"/>
            <w:tcBorders>
              <w:top w:val="nil"/>
              <w:left w:val="nil"/>
              <w:bottom w:val="single" w:sz="4" w:space="0" w:color="auto"/>
              <w:right w:val="single" w:sz="4" w:space="0" w:color="auto"/>
            </w:tcBorders>
            <w:shd w:val="clear" w:color="auto" w:fill="auto"/>
            <w:vAlign w:val="center"/>
            <w:hideMark/>
          </w:tcPr>
          <w:p w14:paraId="35CB6E2B"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584E2DC1"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A3E1F8D" w14:textId="66FB3A16"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4C4D4747" w14:textId="7D995148" w:rsidR="002A6A01" w:rsidRPr="00576AF8" w:rsidRDefault="002A6A01" w:rsidP="00DE0454">
            <w:pPr>
              <w:rPr>
                <w:color w:val="000000"/>
                <w:sz w:val="12"/>
                <w:szCs w:val="12"/>
                <w:lang w:eastAsia="es-EC"/>
              </w:rPr>
            </w:pPr>
            <w:r w:rsidRPr="00576AF8">
              <w:rPr>
                <w:color w:val="000000"/>
                <w:sz w:val="12"/>
                <w:szCs w:val="12"/>
                <w:lang w:eastAsia="es-EC"/>
              </w:rPr>
              <w:t> </w:t>
            </w:r>
            <w:r w:rsidR="00B32F06">
              <w:rPr>
                <w:color w:val="000000"/>
                <w:sz w:val="12"/>
                <w:szCs w:val="12"/>
                <w:lang w:eastAsia="es-EC"/>
              </w:rPr>
              <w:t>3</w:t>
            </w:r>
          </w:p>
        </w:tc>
        <w:tc>
          <w:tcPr>
            <w:tcW w:w="567" w:type="dxa"/>
            <w:tcBorders>
              <w:top w:val="nil"/>
              <w:left w:val="nil"/>
              <w:bottom w:val="single" w:sz="4" w:space="0" w:color="auto"/>
              <w:right w:val="single" w:sz="4" w:space="0" w:color="auto"/>
            </w:tcBorders>
            <w:shd w:val="clear" w:color="auto" w:fill="auto"/>
            <w:vAlign w:val="center"/>
            <w:hideMark/>
          </w:tcPr>
          <w:p w14:paraId="4BB44D94"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5F10F7FC"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29067ADB"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8" w:type="dxa"/>
            <w:tcBorders>
              <w:top w:val="nil"/>
              <w:left w:val="nil"/>
              <w:bottom w:val="single" w:sz="4" w:space="0" w:color="auto"/>
              <w:right w:val="single" w:sz="4" w:space="0" w:color="auto"/>
            </w:tcBorders>
            <w:shd w:val="clear" w:color="auto" w:fill="auto"/>
            <w:vAlign w:val="center"/>
            <w:hideMark/>
          </w:tcPr>
          <w:p w14:paraId="78A3E425"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42744F4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3136AE3" w14:textId="7557C179" w:rsidR="002A6A01" w:rsidRPr="00576AF8" w:rsidRDefault="00D72C5C" w:rsidP="00B32F06">
            <w:pPr>
              <w:rPr>
                <w:sz w:val="12"/>
                <w:szCs w:val="12"/>
              </w:rPr>
            </w:pPr>
            <w:r>
              <w:rPr>
                <w:sz w:val="12"/>
                <w:szCs w:val="12"/>
              </w:rPr>
              <w:t>22</w:t>
            </w:r>
          </w:p>
        </w:tc>
        <w:tc>
          <w:tcPr>
            <w:tcW w:w="425" w:type="dxa"/>
            <w:tcBorders>
              <w:top w:val="nil"/>
              <w:left w:val="nil"/>
              <w:bottom w:val="single" w:sz="4" w:space="0" w:color="auto"/>
              <w:right w:val="single" w:sz="4" w:space="0" w:color="auto"/>
            </w:tcBorders>
            <w:shd w:val="clear" w:color="auto" w:fill="auto"/>
            <w:vAlign w:val="center"/>
            <w:hideMark/>
          </w:tcPr>
          <w:p w14:paraId="1AF82A22"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3D751F83"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c>
          <w:tcPr>
            <w:tcW w:w="483" w:type="dxa"/>
            <w:tcBorders>
              <w:top w:val="nil"/>
              <w:left w:val="nil"/>
              <w:bottom w:val="single" w:sz="4" w:space="0" w:color="auto"/>
              <w:right w:val="single" w:sz="4" w:space="0" w:color="auto"/>
            </w:tcBorders>
            <w:shd w:val="clear" w:color="auto" w:fill="auto"/>
            <w:vAlign w:val="center"/>
            <w:hideMark/>
          </w:tcPr>
          <w:p w14:paraId="5146C82B" w14:textId="77777777" w:rsidR="002A6A01" w:rsidRPr="00576AF8" w:rsidRDefault="002A6A01" w:rsidP="00DE0454">
            <w:pPr>
              <w:rPr>
                <w:color w:val="000000"/>
                <w:sz w:val="12"/>
                <w:szCs w:val="12"/>
                <w:lang w:eastAsia="es-EC"/>
              </w:rPr>
            </w:pPr>
            <w:r w:rsidRPr="00576AF8">
              <w:rPr>
                <w:color w:val="000000"/>
                <w:sz w:val="12"/>
                <w:szCs w:val="12"/>
                <w:lang w:eastAsia="es-EC"/>
              </w:rPr>
              <w:t>4</w:t>
            </w:r>
          </w:p>
        </w:tc>
      </w:tr>
      <w:tr w:rsidR="002A6A01" w:rsidRPr="00576AF8" w14:paraId="49D06726"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1ACB0D08" w14:textId="77777777" w:rsidR="002A6A01" w:rsidRPr="00576AF8" w:rsidRDefault="002A6A01" w:rsidP="00DE0454">
            <w:pPr>
              <w:rPr>
                <w:color w:val="000000"/>
                <w:sz w:val="12"/>
                <w:szCs w:val="12"/>
                <w:lang w:eastAsia="es-EC"/>
              </w:rPr>
            </w:pPr>
            <w:r w:rsidRPr="00576AF8">
              <w:rPr>
                <w:color w:val="000000"/>
                <w:sz w:val="12"/>
                <w:szCs w:val="12"/>
                <w:lang w:eastAsia="es-EC"/>
              </w:rPr>
              <w:t>24</w:t>
            </w:r>
          </w:p>
        </w:tc>
        <w:tc>
          <w:tcPr>
            <w:tcW w:w="1842" w:type="dxa"/>
            <w:tcBorders>
              <w:top w:val="nil"/>
              <w:left w:val="nil"/>
              <w:bottom w:val="single" w:sz="4" w:space="0" w:color="auto"/>
              <w:right w:val="single" w:sz="4" w:space="0" w:color="auto"/>
            </w:tcBorders>
            <w:shd w:val="clear" w:color="auto" w:fill="auto"/>
            <w:vAlign w:val="center"/>
            <w:hideMark/>
          </w:tcPr>
          <w:p w14:paraId="7ABF9E1B" w14:textId="77777777" w:rsidR="002A6A01" w:rsidRPr="00576AF8" w:rsidRDefault="002A6A01" w:rsidP="00DE0454">
            <w:pPr>
              <w:rPr>
                <w:color w:val="000000"/>
                <w:sz w:val="12"/>
                <w:szCs w:val="12"/>
                <w:lang w:eastAsia="es-EC"/>
              </w:rPr>
            </w:pPr>
            <w:r w:rsidRPr="00576AF8">
              <w:rPr>
                <w:color w:val="000000"/>
                <w:sz w:val="12"/>
                <w:szCs w:val="12"/>
                <w:lang w:eastAsia="es-EC"/>
              </w:rPr>
              <w:t>Seguridad del Sistema</w:t>
            </w:r>
          </w:p>
        </w:tc>
        <w:tc>
          <w:tcPr>
            <w:tcW w:w="709" w:type="dxa"/>
            <w:tcBorders>
              <w:top w:val="nil"/>
              <w:left w:val="nil"/>
              <w:bottom w:val="single" w:sz="4" w:space="0" w:color="auto"/>
              <w:right w:val="single" w:sz="4" w:space="0" w:color="auto"/>
            </w:tcBorders>
            <w:shd w:val="clear" w:color="auto" w:fill="auto"/>
            <w:vAlign w:val="center"/>
            <w:hideMark/>
          </w:tcPr>
          <w:p w14:paraId="24216679"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306502C1"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E2774F0"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3ABDF853"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24EC5987"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1A334D90"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3D3345A9" w14:textId="1BAF0C7B" w:rsidR="002A6A01" w:rsidRPr="00576AF8" w:rsidRDefault="002A6A01" w:rsidP="00DE0454">
            <w:pPr>
              <w:rPr>
                <w:color w:val="000000"/>
                <w:sz w:val="12"/>
                <w:szCs w:val="12"/>
                <w:lang w:eastAsia="es-EC"/>
              </w:rPr>
            </w:pPr>
            <w:r w:rsidRPr="00576AF8">
              <w:rPr>
                <w:color w:val="000000"/>
                <w:sz w:val="12"/>
                <w:szCs w:val="12"/>
                <w:lang w:eastAsia="es-EC"/>
              </w:rPr>
              <w:t> </w:t>
            </w:r>
            <w:r w:rsidR="00265D16">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73042EA5" w14:textId="12ABAA57"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027E705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7A9ACE0" w14:textId="42A631F9" w:rsidR="002A6A01" w:rsidRPr="00576AF8" w:rsidRDefault="002A6A01" w:rsidP="00DE0454">
            <w:pPr>
              <w:rPr>
                <w:sz w:val="12"/>
                <w:szCs w:val="12"/>
              </w:rPr>
            </w:pPr>
            <w:r w:rsidRPr="00576AF8">
              <w:rPr>
                <w:sz w:val="12"/>
                <w:szCs w:val="12"/>
              </w:rPr>
              <w:t>2</w:t>
            </w:r>
            <w:r w:rsidR="00265D16">
              <w:rPr>
                <w:sz w:val="12"/>
                <w:szCs w:val="12"/>
              </w:rPr>
              <w:t>6</w:t>
            </w:r>
          </w:p>
        </w:tc>
        <w:tc>
          <w:tcPr>
            <w:tcW w:w="425" w:type="dxa"/>
            <w:tcBorders>
              <w:top w:val="nil"/>
              <w:left w:val="nil"/>
              <w:bottom w:val="single" w:sz="4" w:space="0" w:color="auto"/>
              <w:right w:val="single" w:sz="4" w:space="0" w:color="auto"/>
            </w:tcBorders>
            <w:shd w:val="clear" w:color="auto" w:fill="auto"/>
            <w:vAlign w:val="center"/>
            <w:hideMark/>
          </w:tcPr>
          <w:p w14:paraId="5359E857"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3B332FB7"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35BA5EB7"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6E867B4F"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B120062" w14:textId="77777777" w:rsidR="002A6A01" w:rsidRPr="00576AF8" w:rsidRDefault="002A6A01" w:rsidP="00DE0454">
            <w:pPr>
              <w:rPr>
                <w:color w:val="000000"/>
                <w:sz w:val="12"/>
                <w:szCs w:val="12"/>
                <w:lang w:eastAsia="es-EC"/>
              </w:rPr>
            </w:pPr>
            <w:r w:rsidRPr="00576AF8">
              <w:rPr>
                <w:color w:val="000000"/>
                <w:sz w:val="12"/>
                <w:szCs w:val="12"/>
                <w:lang w:eastAsia="es-EC"/>
              </w:rPr>
              <w:t>25</w:t>
            </w:r>
          </w:p>
        </w:tc>
        <w:tc>
          <w:tcPr>
            <w:tcW w:w="1842" w:type="dxa"/>
            <w:tcBorders>
              <w:top w:val="nil"/>
              <w:left w:val="nil"/>
              <w:bottom w:val="single" w:sz="4" w:space="0" w:color="auto"/>
              <w:right w:val="single" w:sz="4" w:space="0" w:color="auto"/>
            </w:tcBorders>
            <w:shd w:val="clear" w:color="auto" w:fill="auto"/>
            <w:vAlign w:val="center"/>
            <w:hideMark/>
          </w:tcPr>
          <w:p w14:paraId="5CA598CD" w14:textId="7CD7F066" w:rsidR="002A6A01" w:rsidRPr="00576AF8" w:rsidRDefault="006631C7" w:rsidP="006631C7">
            <w:pPr>
              <w:rPr>
                <w:color w:val="000000"/>
                <w:sz w:val="12"/>
                <w:szCs w:val="12"/>
                <w:lang w:eastAsia="es-EC"/>
              </w:rPr>
            </w:pPr>
            <w:r>
              <w:rPr>
                <w:color w:val="000000"/>
                <w:sz w:val="12"/>
                <w:szCs w:val="12"/>
                <w:lang w:eastAsia="es-EC"/>
              </w:rPr>
              <w:t>Transferencia de Conocimiento</w:t>
            </w:r>
            <w:r w:rsidRPr="00576AF8">
              <w:rPr>
                <w:color w:val="000000"/>
                <w:sz w:val="12"/>
                <w:szCs w:val="12"/>
                <w:lang w:eastAsia="es-EC"/>
              </w:rPr>
              <w:t xml:space="preserve"> </w:t>
            </w:r>
            <w:r w:rsidR="002A6A01" w:rsidRPr="00576AF8">
              <w:rPr>
                <w:color w:val="000000"/>
                <w:sz w:val="12"/>
                <w:szCs w:val="12"/>
                <w:lang w:eastAsia="es-EC"/>
              </w:rPr>
              <w:t>Bajo Tareas (OJT)</w:t>
            </w:r>
          </w:p>
        </w:tc>
        <w:tc>
          <w:tcPr>
            <w:tcW w:w="709" w:type="dxa"/>
            <w:tcBorders>
              <w:top w:val="nil"/>
              <w:left w:val="nil"/>
              <w:bottom w:val="single" w:sz="4" w:space="0" w:color="auto"/>
              <w:right w:val="single" w:sz="4" w:space="0" w:color="auto"/>
            </w:tcBorders>
            <w:shd w:val="clear" w:color="auto" w:fill="auto"/>
            <w:vAlign w:val="center"/>
            <w:hideMark/>
          </w:tcPr>
          <w:p w14:paraId="57E3CB36" w14:textId="77777777" w:rsidR="002A6A01" w:rsidRPr="00576AF8" w:rsidRDefault="002A6A01" w:rsidP="00DE0454">
            <w:pPr>
              <w:rPr>
                <w:color w:val="000000"/>
                <w:sz w:val="12"/>
                <w:szCs w:val="12"/>
                <w:lang w:eastAsia="es-EC"/>
              </w:rPr>
            </w:pPr>
            <w:r w:rsidRPr="00576AF8">
              <w:rPr>
                <w:color w:val="000000"/>
                <w:sz w:val="12"/>
                <w:szCs w:val="12"/>
                <w:lang w:eastAsia="es-EC"/>
              </w:rPr>
              <w:t xml:space="preserve">CENACE </w:t>
            </w:r>
          </w:p>
        </w:tc>
        <w:tc>
          <w:tcPr>
            <w:tcW w:w="567" w:type="dxa"/>
            <w:tcBorders>
              <w:top w:val="nil"/>
              <w:left w:val="nil"/>
              <w:bottom w:val="single" w:sz="4" w:space="0" w:color="auto"/>
              <w:right w:val="single" w:sz="4" w:space="0" w:color="auto"/>
            </w:tcBorders>
            <w:shd w:val="clear" w:color="auto" w:fill="auto"/>
            <w:vAlign w:val="center"/>
            <w:hideMark/>
          </w:tcPr>
          <w:p w14:paraId="58F7AF2E"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31086C60" w14:textId="77777777" w:rsidR="002A6A01" w:rsidRPr="00576AF8" w:rsidRDefault="002A6A01" w:rsidP="00DE0454">
            <w:pPr>
              <w:rPr>
                <w:color w:val="000000"/>
                <w:sz w:val="12"/>
                <w:szCs w:val="12"/>
                <w:lang w:eastAsia="es-EC"/>
              </w:rPr>
            </w:pPr>
            <w:r w:rsidRPr="00576AF8">
              <w:rPr>
                <w:color w:val="000000"/>
                <w:sz w:val="12"/>
                <w:szCs w:val="12"/>
                <w:lang w:eastAsia="es-EC"/>
              </w:rPr>
              <w:t> 5</w:t>
            </w:r>
          </w:p>
        </w:tc>
        <w:tc>
          <w:tcPr>
            <w:tcW w:w="567" w:type="dxa"/>
            <w:tcBorders>
              <w:top w:val="nil"/>
              <w:left w:val="nil"/>
              <w:bottom w:val="single" w:sz="4" w:space="0" w:color="auto"/>
              <w:right w:val="single" w:sz="4" w:space="0" w:color="auto"/>
            </w:tcBorders>
            <w:shd w:val="clear" w:color="auto" w:fill="auto"/>
            <w:vAlign w:val="center"/>
            <w:hideMark/>
          </w:tcPr>
          <w:p w14:paraId="2B327199"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493CC270"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3AFC23F2"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709" w:type="dxa"/>
            <w:tcBorders>
              <w:top w:val="nil"/>
              <w:left w:val="nil"/>
              <w:bottom w:val="single" w:sz="4" w:space="0" w:color="auto"/>
              <w:right w:val="single" w:sz="4" w:space="0" w:color="auto"/>
            </w:tcBorders>
            <w:shd w:val="clear" w:color="auto" w:fill="auto"/>
            <w:vAlign w:val="center"/>
            <w:hideMark/>
          </w:tcPr>
          <w:p w14:paraId="75FBCBE9" w14:textId="77777777" w:rsidR="002A6A01" w:rsidRPr="00576AF8" w:rsidRDefault="002A6A01" w:rsidP="00DE0454">
            <w:pPr>
              <w:rPr>
                <w:color w:val="000000"/>
                <w:sz w:val="12"/>
                <w:szCs w:val="12"/>
                <w:lang w:eastAsia="es-EC"/>
              </w:rPr>
            </w:pPr>
            <w:r w:rsidRPr="00576AF8">
              <w:rPr>
                <w:color w:val="000000"/>
                <w:sz w:val="12"/>
                <w:szCs w:val="12"/>
                <w:lang w:eastAsia="es-EC"/>
              </w:rPr>
              <w:t>2</w:t>
            </w:r>
          </w:p>
        </w:tc>
        <w:tc>
          <w:tcPr>
            <w:tcW w:w="708" w:type="dxa"/>
            <w:tcBorders>
              <w:top w:val="nil"/>
              <w:left w:val="nil"/>
              <w:bottom w:val="single" w:sz="4" w:space="0" w:color="auto"/>
              <w:right w:val="single" w:sz="4" w:space="0" w:color="auto"/>
            </w:tcBorders>
            <w:shd w:val="clear" w:color="auto" w:fill="auto"/>
            <w:vAlign w:val="center"/>
            <w:hideMark/>
          </w:tcPr>
          <w:p w14:paraId="57CA910B" w14:textId="024A3FDE"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112B465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44353371" w14:textId="032E7C2F" w:rsidR="002A6A01" w:rsidRPr="00576AF8" w:rsidRDefault="002A6A01" w:rsidP="00DE0454">
            <w:pPr>
              <w:rPr>
                <w:sz w:val="12"/>
                <w:szCs w:val="12"/>
              </w:rPr>
            </w:pPr>
            <w:r w:rsidRPr="00576AF8">
              <w:rPr>
                <w:sz w:val="12"/>
                <w:szCs w:val="12"/>
              </w:rPr>
              <w:t>2</w:t>
            </w:r>
            <w:r w:rsidR="00D72C5C">
              <w:rPr>
                <w:sz w:val="12"/>
                <w:szCs w:val="12"/>
              </w:rPr>
              <w:t>5</w:t>
            </w:r>
          </w:p>
        </w:tc>
        <w:tc>
          <w:tcPr>
            <w:tcW w:w="425" w:type="dxa"/>
            <w:tcBorders>
              <w:top w:val="nil"/>
              <w:left w:val="nil"/>
              <w:bottom w:val="single" w:sz="4" w:space="0" w:color="auto"/>
              <w:right w:val="single" w:sz="4" w:space="0" w:color="auto"/>
            </w:tcBorders>
            <w:shd w:val="clear" w:color="auto" w:fill="auto"/>
            <w:vAlign w:val="center"/>
            <w:hideMark/>
          </w:tcPr>
          <w:p w14:paraId="480361B9"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44C8D0B8" w14:textId="77777777" w:rsidR="002A6A01" w:rsidRPr="00576AF8" w:rsidRDefault="002A6A01" w:rsidP="00DE0454">
            <w:pPr>
              <w:rPr>
                <w:color w:val="000000"/>
                <w:sz w:val="12"/>
                <w:szCs w:val="12"/>
                <w:lang w:eastAsia="es-EC"/>
              </w:rPr>
            </w:pPr>
            <w:r w:rsidRPr="00576AF8">
              <w:rPr>
                <w:color w:val="000000"/>
                <w:sz w:val="12"/>
                <w:szCs w:val="12"/>
                <w:lang w:eastAsia="es-EC"/>
              </w:rPr>
              <w:t>13</w:t>
            </w:r>
          </w:p>
        </w:tc>
        <w:tc>
          <w:tcPr>
            <w:tcW w:w="483" w:type="dxa"/>
            <w:tcBorders>
              <w:top w:val="nil"/>
              <w:left w:val="nil"/>
              <w:bottom w:val="single" w:sz="4" w:space="0" w:color="auto"/>
              <w:right w:val="single" w:sz="4" w:space="0" w:color="auto"/>
            </w:tcBorders>
            <w:shd w:val="clear" w:color="auto" w:fill="auto"/>
            <w:vAlign w:val="center"/>
            <w:hideMark/>
          </w:tcPr>
          <w:p w14:paraId="66FC0CDD" w14:textId="77777777" w:rsidR="002A6A01" w:rsidRPr="00576AF8" w:rsidRDefault="002A6A01" w:rsidP="00DE0454">
            <w:pPr>
              <w:rPr>
                <w:color w:val="000000"/>
                <w:sz w:val="12"/>
                <w:szCs w:val="12"/>
                <w:lang w:eastAsia="es-EC"/>
              </w:rPr>
            </w:pPr>
            <w:r w:rsidRPr="00576AF8">
              <w:rPr>
                <w:color w:val="000000"/>
                <w:sz w:val="12"/>
                <w:szCs w:val="12"/>
                <w:lang w:eastAsia="es-EC"/>
              </w:rPr>
              <w:t>13</w:t>
            </w:r>
          </w:p>
        </w:tc>
      </w:tr>
      <w:tr w:rsidR="002A6A01" w:rsidRPr="00576AF8" w14:paraId="7C5FA040" w14:textId="77777777" w:rsidTr="00DE0454">
        <w:trPr>
          <w:trHeight w:val="624"/>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8357DA9" w14:textId="77777777" w:rsidR="002A6A01" w:rsidRPr="00576AF8" w:rsidRDefault="002A6A01" w:rsidP="00DE0454">
            <w:pPr>
              <w:rPr>
                <w:color w:val="000000"/>
                <w:sz w:val="12"/>
                <w:szCs w:val="12"/>
                <w:lang w:eastAsia="es-EC"/>
              </w:rPr>
            </w:pPr>
            <w:r w:rsidRPr="00576AF8">
              <w:rPr>
                <w:color w:val="000000"/>
                <w:sz w:val="12"/>
                <w:szCs w:val="12"/>
                <w:lang w:eastAsia="es-EC"/>
              </w:rPr>
              <w:t>26</w:t>
            </w:r>
          </w:p>
        </w:tc>
        <w:tc>
          <w:tcPr>
            <w:tcW w:w="1842" w:type="dxa"/>
            <w:tcBorders>
              <w:top w:val="nil"/>
              <w:left w:val="nil"/>
              <w:bottom w:val="single" w:sz="4" w:space="0" w:color="auto"/>
              <w:right w:val="single" w:sz="4" w:space="0" w:color="auto"/>
            </w:tcBorders>
            <w:shd w:val="clear" w:color="auto" w:fill="auto"/>
            <w:vAlign w:val="center"/>
            <w:hideMark/>
          </w:tcPr>
          <w:p w14:paraId="77228EE3" w14:textId="77777777" w:rsidR="002A6A01" w:rsidRPr="00576AF8" w:rsidRDefault="002A6A01" w:rsidP="00DE0454">
            <w:pPr>
              <w:rPr>
                <w:color w:val="000000"/>
                <w:sz w:val="12"/>
                <w:szCs w:val="12"/>
                <w:lang w:eastAsia="es-EC"/>
              </w:rPr>
            </w:pPr>
            <w:r w:rsidRPr="00576AF8">
              <w:rPr>
                <w:color w:val="000000"/>
                <w:sz w:val="12"/>
                <w:szCs w:val="12"/>
                <w:lang w:eastAsia="es-EC"/>
              </w:rPr>
              <w:t>Operación y Administración del Bus de Datos</w:t>
            </w:r>
          </w:p>
        </w:tc>
        <w:tc>
          <w:tcPr>
            <w:tcW w:w="709" w:type="dxa"/>
            <w:tcBorders>
              <w:top w:val="nil"/>
              <w:left w:val="nil"/>
              <w:bottom w:val="single" w:sz="4" w:space="0" w:color="auto"/>
              <w:right w:val="single" w:sz="4" w:space="0" w:color="auto"/>
            </w:tcBorders>
            <w:shd w:val="clear" w:color="auto" w:fill="auto"/>
            <w:vAlign w:val="center"/>
            <w:hideMark/>
          </w:tcPr>
          <w:p w14:paraId="03D09A26"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74B644B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0F7656E7" w14:textId="7D84D484" w:rsidR="002A6A01" w:rsidRPr="00576AF8" w:rsidRDefault="002A6A01" w:rsidP="00DE0454">
            <w:pPr>
              <w:rPr>
                <w:color w:val="000000"/>
                <w:sz w:val="12"/>
                <w:szCs w:val="12"/>
                <w:lang w:eastAsia="es-EC"/>
              </w:rPr>
            </w:pPr>
            <w:r w:rsidRPr="00576AF8">
              <w:rPr>
                <w:color w:val="000000"/>
                <w:sz w:val="12"/>
                <w:szCs w:val="12"/>
                <w:lang w:eastAsia="es-EC"/>
              </w:rPr>
              <w:t> </w:t>
            </w:r>
            <w:r w:rsidR="00B32F06">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49F0A7AC" w14:textId="5405FB0A"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305D3D77"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040BB8C1"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50BB7245"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421B96B6" w14:textId="77777777" w:rsidR="002A6A01" w:rsidRPr="00576AF8" w:rsidRDefault="002A6A01" w:rsidP="00DE0454">
            <w:pPr>
              <w:rPr>
                <w:color w:val="000000"/>
                <w:sz w:val="12"/>
                <w:szCs w:val="12"/>
                <w:lang w:eastAsia="es-EC"/>
              </w:rPr>
            </w:pPr>
            <w:r w:rsidRPr="00576AF8">
              <w:rPr>
                <w:color w:val="000000"/>
                <w:sz w:val="12"/>
                <w:szCs w:val="12"/>
                <w:lang w:eastAsia="es-EC"/>
              </w:rPr>
              <w:t> 3</w:t>
            </w:r>
          </w:p>
        </w:tc>
        <w:tc>
          <w:tcPr>
            <w:tcW w:w="709" w:type="dxa"/>
            <w:tcBorders>
              <w:top w:val="nil"/>
              <w:left w:val="nil"/>
              <w:bottom w:val="single" w:sz="4" w:space="0" w:color="auto"/>
              <w:right w:val="single" w:sz="4" w:space="0" w:color="auto"/>
            </w:tcBorders>
            <w:shd w:val="clear" w:color="auto" w:fill="auto"/>
            <w:vAlign w:val="center"/>
            <w:hideMark/>
          </w:tcPr>
          <w:p w14:paraId="37718F3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1A8F4B28" w14:textId="33D55D2D" w:rsidR="002A6A01" w:rsidRPr="00576AF8" w:rsidRDefault="00D72C5C" w:rsidP="00B32F06">
            <w:pPr>
              <w:rPr>
                <w:sz w:val="12"/>
                <w:szCs w:val="12"/>
              </w:rPr>
            </w:pPr>
            <w:r>
              <w:rPr>
                <w:sz w:val="12"/>
                <w:szCs w:val="12"/>
              </w:rPr>
              <w:t>26</w:t>
            </w:r>
          </w:p>
        </w:tc>
        <w:tc>
          <w:tcPr>
            <w:tcW w:w="425" w:type="dxa"/>
            <w:tcBorders>
              <w:top w:val="nil"/>
              <w:left w:val="nil"/>
              <w:bottom w:val="single" w:sz="4" w:space="0" w:color="auto"/>
              <w:right w:val="single" w:sz="4" w:space="0" w:color="auto"/>
            </w:tcBorders>
            <w:shd w:val="clear" w:color="auto" w:fill="auto"/>
            <w:vAlign w:val="center"/>
            <w:hideMark/>
          </w:tcPr>
          <w:p w14:paraId="0642F6C8" w14:textId="77777777" w:rsidR="002A6A01" w:rsidRPr="00576AF8" w:rsidRDefault="002A6A01" w:rsidP="00DE0454">
            <w:pPr>
              <w:rPr>
                <w:color w:val="000000"/>
                <w:sz w:val="12"/>
                <w:szCs w:val="12"/>
                <w:lang w:eastAsia="es-EC"/>
              </w:rPr>
            </w:pPr>
            <w:r w:rsidRPr="00576AF8">
              <w:rPr>
                <w:color w:val="000000"/>
                <w:sz w:val="12"/>
                <w:szCs w:val="12"/>
                <w:lang w:eastAsia="es-EC"/>
              </w:rPr>
              <w:t>1</w:t>
            </w:r>
          </w:p>
        </w:tc>
        <w:tc>
          <w:tcPr>
            <w:tcW w:w="651" w:type="dxa"/>
            <w:tcBorders>
              <w:top w:val="nil"/>
              <w:left w:val="nil"/>
              <w:bottom w:val="single" w:sz="4" w:space="0" w:color="auto"/>
              <w:right w:val="single" w:sz="4" w:space="0" w:color="auto"/>
            </w:tcBorders>
            <w:shd w:val="clear" w:color="auto" w:fill="auto"/>
            <w:vAlign w:val="center"/>
            <w:hideMark/>
          </w:tcPr>
          <w:p w14:paraId="52020171"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31FE1B07"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r>
      <w:tr w:rsidR="002A6A01" w:rsidRPr="00576AF8" w14:paraId="3D89981F"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B93A6BD" w14:textId="77777777" w:rsidR="002A6A01" w:rsidRPr="00576AF8" w:rsidRDefault="002A6A01" w:rsidP="00DE0454">
            <w:pPr>
              <w:rPr>
                <w:color w:val="000000"/>
                <w:sz w:val="12"/>
                <w:szCs w:val="12"/>
                <w:lang w:eastAsia="es-EC"/>
              </w:rPr>
            </w:pPr>
            <w:r w:rsidRPr="00576AF8">
              <w:rPr>
                <w:color w:val="000000"/>
                <w:sz w:val="12"/>
                <w:szCs w:val="12"/>
                <w:lang w:eastAsia="es-EC"/>
              </w:rPr>
              <w:t>27</w:t>
            </w:r>
          </w:p>
        </w:tc>
        <w:tc>
          <w:tcPr>
            <w:tcW w:w="1842" w:type="dxa"/>
            <w:tcBorders>
              <w:top w:val="nil"/>
              <w:left w:val="nil"/>
              <w:bottom w:val="single" w:sz="4" w:space="0" w:color="auto"/>
              <w:right w:val="single" w:sz="4" w:space="0" w:color="auto"/>
            </w:tcBorders>
            <w:shd w:val="clear" w:color="auto" w:fill="auto"/>
            <w:vAlign w:val="center"/>
            <w:hideMark/>
          </w:tcPr>
          <w:p w14:paraId="6A70ABA6" w14:textId="77777777" w:rsidR="002A6A01" w:rsidRPr="00576AF8" w:rsidRDefault="002A6A01" w:rsidP="00DE0454">
            <w:pPr>
              <w:rPr>
                <w:color w:val="000000"/>
                <w:sz w:val="12"/>
                <w:szCs w:val="12"/>
                <w:lang w:eastAsia="es-EC"/>
              </w:rPr>
            </w:pPr>
            <w:r w:rsidRPr="00576AF8">
              <w:rPr>
                <w:color w:val="000000"/>
                <w:sz w:val="12"/>
                <w:szCs w:val="12"/>
                <w:lang w:eastAsia="es-EC"/>
              </w:rPr>
              <w:t>Analítica de Datos</w:t>
            </w:r>
          </w:p>
        </w:tc>
        <w:tc>
          <w:tcPr>
            <w:tcW w:w="709" w:type="dxa"/>
            <w:tcBorders>
              <w:top w:val="nil"/>
              <w:left w:val="nil"/>
              <w:bottom w:val="single" w:sz="4" w:space="0" w:color="auto"/>
              <w:right w:val="single" w:sz="4" w:space="0" w:color="auto"/>
            </w:tcBorders>
            <w:shd w:val="clear" w:color="auto" w:fill="auto"/>
            <w:vAlign w:val="center"/>
            <w:hideMark/>
          </w:tcPr>
          <w:p w14:paraId="7F75FD68" w14:textId="77777777" w:rsidR="002A6A01" w:rsidRPr="00576AF8" w:rsidRDefault="002A6A01" w:rsidP="00DE0454">
            <w:pPr>
              <w:rPr>
                <w:color w:val="000000"/>
                <w:sz w:val="12"/>
                <w:szCs w:val="12"/>
                <w:lang w:eastAsia="es-EC"/>
              </w:rPr>
            </w:pPr>
            <w:r w:rsidRPr="00576AF8">
              <w:rPr>
                <w:color w:val="000000"/>
                <w:sz w:val="12"/>
                <w:szCs w:val="12"/>
                <w:lang w:eastAsia="es-EC"/>
              </w:rPr>
              <w:t>CENACE (con apoyo virtual de requerirlo)</w:t>
            </w:r>
          </w:p>
        </w:tc>
        <w:tc>
          <w:tcPr>
            <w:tcW w:w="567" w:type="dxa"/>
            <w:tcBorders>
              <w:top w:val="nil"/>
              <w:left w:val="nil"/>
              <w:bottom w:val="single" w:sz="4" w:space="0" w:color="auto"/>
              <w:right w:val="single" w:sz="4" w:space="0" w:color="auto"/>
            </w:tcBorders>
            <w:shd w:val="clear" w:color="auto" w:fill="auto"/>
            <w:vAlign w:val="center"/>
            <w:hideMark/>
          </w:tcPr>
          <w:p w14:paraId="6C87738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3678F28"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56EBC347"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2DAF5B27" w14:textId="1B644C95" w:rsidR="002A6A01" w:rsidRPr="00576AF8" w:rsidRDefault="002A6A01" w:rsidP="00DE0454">
            <w:pPr>
              <w:rPr>
                <w:color w:val="000000"/>
                <w:sz w:val="12"/>
                <w:szCs w:val="12"/>
                <w:lang w:eastAsia="es-EC"/>
              </w:rPr>
            </w:pPr>
            <w:r w:rsidRPr="00576AF8">
              <w:rPr>
                <w:color w:val="000000"/>
                <w:sz w:val="12"/>
                <w:szCs w:val="12"/>
                <w:lang w:eastAsia="es-EC"/>
              </w:rPr>
              <w:t> </w:t>
            </w:r>
            <w:r w:rsidR="00D72C5C">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3B48B146" w14:textId="77777777" w:rsidR="002A6A01" w:rsidRPr="00576AF8" w:rsidRDefault="002A6A01" w:rsidP="00DE0454">
            <w:pPr>
              <w:rPr>
                <w:color w:val="000000"/>
                <w:sz w:val="12"/>
                <w:szCs w:val="12"/>
                <w:lang w:eastAsia="es-EC"/>
              </w:rPr>
            </w:pPr>
            <w:r w:rsidRPr="00576AF8">
              <w:rPr>
                <w:color w:val="000000"/>
                <w:sz w:val="12"/>
                <w:szCs w:val="12"/>
                <w:lang w:eastAsia="es-EC"/>
              </w:rPr>
              <w:t> 2</w:t>
            </w:r>
          </w:p>
        </w:tc>
        <w:tc>
          <w:tcPr>
            <w:tcW w:w="709" w:type="dxa"/>
            <w:tcBorders>
              <w:top w:val="nil"/>
              <w:left w:val="nil"/>
              <w:bottom w:val="single" w:sz="4" w:space="0" w:color="auto"/>
              <w:right w:val="single" w:sz="4" w:space="0" w:color="auto"/>
            </w:tcBorders>
            <w:shd w:val="clear" w:color="auto" w:fill="auto"/>
            <w:vAlign w:val="center"/>
            <w:hideMark/>
          </w:tcPr>
          <w:p w14:paraId="6EC5968E" w14:textId="336C26BA" w:rsidR="002A6A01" w:rsidRPr="00576AF8" w:rsidRDefault="002A6A01" w:rsidP="00DE0454">
            <w:pPr>
              <w:rPr>
                <w:color w:val="000000"/>
                <w:sz w:val="12"/>
                <w:szCs w:val="12"/>
                <w:lang w:eastAsia="es-EC"/>
              </w:rPr>
            </w:pPr>
            <w:r w:rsidRPr="00576AF8">
              <w:rPr>
                <w:color w:val="000000"/>
                <w:sz w:val="12"/>
                <w:szCs w:val="12"/>
                <w:lang w:eastAsia="es-EC"/>
              </w:rPr>
              <w:t> </w:t>
            </w:r>
            <w:r w:rsidR="00E71956">
              <w:rPr>
                <w:color w:val="000000"/>
                <w:sz w:val="12"/>
                <w:szCs w:val="12"/>
                <w:lang w:eastAsia="es-EC"/>
              </w:rPr>
              <w:t>2</w:t>
            </w:r>
          </w:p>
        </w:tc>
        <w:tc>
          <w:tcPr>
            <w:tcW w:w="708" w:type="dxa"/>
            <w:tcBorders>
              <w:top w:val="nil"/>
              <w:left w:val="nil"/>
              <w:bottom w:val="single" w:sz="4" w:space="0" w:color="auto"/>
              <w:right w:val="single" w:sz="4" w:space="0" w:color="auto"/>
            </w:tcBorders>
            <w:shd w:val="clear" w:color="auto" w:fill="auto"/>
            <w:vAlign w:val="center"/>
            <w:hideMark/>
          </w:tcPr>
          <w:p w14:paraId="2D2DB468" w14:textId="71DAC3AC" w:rsidR="002A6A01" w:rsidRPr="00576AF8" w:rsidRDefault="00D72C5C" w:rsidP="00DE0454">
            <w:pPr>
              <w:rPr>
                <w:color w:val="000000"/>
                <w:sz w:val="12"/>
                <w:szCs w:val="12"/>
                <w:lang w:eastAsia="es-EC"/>
              </w:rPr>
            </w:pPr>
            <w:r>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4D6EC622" w14:textId="77777777" w:rsidR="002A6A01" w:rsidRPr="00576AF8" w:rsidRDefault="002A6A01" w:rsidP="00DE0454">
            <w:pPr>
              <w:rPr>
                <w:color w:val="000000"/>
                <w:sz w:val="12"/>
                <w:szCs w:val="12"/>
                <w:lang w:eastAsia="es-EC"/>
              </w:rPr>
            </w:pPr>
            <w:r w:rsidRPr="00576AF8">
              <w:rPr>
                <w:color w:val="000000"/>
                <w:sz w:val="12"/>
                <w:szCs w:val="12"/>
                <w:lang w:eastAsia="es-EC"/>
              </w:rPr>
              <w:t>38</w:t>
            </w:r>
          </w:p>
        </w:tc>
        <w:tc>
          <w:tcPr>
            <w:tcW w:w="567" w:type="dxa"/>
            <w:tcBorders>
              <w:top w:val="nil"/>
              <w:left w:val="nil"/>
              <w:bottom w:val="single" w:sz="4" w:space="0" w:color="auto"/>
              <w:right w:val="single" w:sz="4" w:space="0" w:color="auto"/>
            </w:tcBorders>
            <w:shd w:val="clear" w:color="auto" w:fill="auto"/>
            <w:vAlign w:val="center"/>
            <w:hideMark/>
          </w:tcPr>
          <w:p w14:paraId="2DB3E3B7" w14:textId="70918BA0" w:rsidR="002A6A01" w:rsidRPr="00576AF8" w:rsidRDefault="00E71956" w:rsidP="00DE0454">
            <w:pPr>
              <w:rPr>
                <w:sz w:val="12"/>
                <w:szCs w:val="12"/>
              </w:rPr>
            </w:pPr>
            <w:r>
              <w:rPr>
                <w:sz w:val="12"/>
                <w:szCs w:val="12"/>
              </w:rPr>
              <w:t>60</w:t>
            </w:r>
          </w:p>
        </w:tc>
        <w:tc>
          <w:tcPr>
            <w:tcW w:w="425" w:type="dxa"/>
            <w:tcBorders>
              <w:top w:val="nil"/>
              <w:left w:val="nil"/>
              <w:bottom w:val="single" w:sz="4" w:space="0" w:color="auto"/>
              <w:right w:val="single" w:sz="4" w:space="0" w:color="auto"/>
            </w:tcBorders>
            <w:shd w:val="clear" w:color="auto" w:fill="auto"/>
            <w:vAlign w:val="center"/>
            <w:hideMark/>
          </w:tcPr>
          <w:p w14:paraId="6933A364"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651" w:type="dxa"/>
            <w:tcBorders>
              <w:top w:val="nil"/>
              <w:left w:val="nil"/>
              <w:bottom w:val="single" w:sz="4" w:space="0" w:color="auto"/>
              <w:right w:val="single" w:sz="4" w:space="0" w:color="auto"/>
            </w:tcBorders>
            <w:shd w:val="clear" w:color="auto" w:fill="auto"/>
            <w:vAlign w:val="center"/>
            <w:hideMark/>
          </w:tcPr>
          <w:p w14:paraId="7D103134"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713C9E16" w14:textId="77777777" w:rsidR="002A6A01" w:rsidRPr="00576AF8" w:rsidRDefault="002A6A01" w:rsidP="00DE0454">
            <w:pPr>
              <w:rPr>
                <w:color w:val="000000"/>
                <w:sz w:val="12"/>
                <w:szCs w:val="12"/>
                <w:lang w:eastAsia="es-EC"/>
              </w:rPr>
            </w:pPr>
            <w:r w:rsidRPr="00576AF8">
              <w:rPr>
                <w:color w:val="000000"/>
                <w:sz w:val="12"/>
                <w:szCs w:val="12"/>
                <w:lang w:eastAsia="es-EC"/>
              </w:rPr>
              <w:t>9</w:t>
            </w:r>
          </w:p>
        </w:tc>
      </w:tr>
      <w:tr w:rsidR="002A6A01" w:rsidRPr="00576AF8" w14:paraId="64A6020B"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29DA6EA" w14:textId="77777777" w:rsidR="002A6A01" w:rsidRPr="00576AF8" w:rsidRDefault="002A6A01" w:rsidP="00DE0454">
            <w:pPr>
              <w:rPr>
                <w:color w:val="000000"/>
                <w:sz w:val="12"/>
                <w:szCs w:val="12"/>
                <w:lang w:eastAsia="es-EC"/>
              </w:rPr>
            </w:pPr>
            <w:r w:rsidRPr="00576AF8">
              <w:rPr>
                <w:color w:val="000000"/>
                <w:sz w:val="12"/>
                <w:szCs w:val="12"/>
                <w:lang w:eastAsia="es-EC"/>
              </w:rPr>
              <w:lastRenderedPageBreak/>
              <w:t>28</w:t>
            </w:r>
          </w:p>
        </w:tc>
        <w:tc>
          <w:tcPr>
            <w:tcW w:w="1842" w:type="dxa"/>
            <w:tcBorders>
              <w:top w:val="nil"/>
              <w:left w:val="nil"/>
              <w:bottom w:val="single" w:sz="4" w:space="0" w:color="auto"/>
              <w:right w:val="single" w:sz="4" w:space="0" w:color="auto"/>
            </w:tcBorders>
            <w:shd w:val="clear" w:color="auto" w:fill="auto"/>
            <w:vAlign w:val="center"/>
            <w:hideMark/>
          </w:tcPr>
          <w:p w14:paraId="55194E0D" w14:textId="77777777" w:rsidR="002A6A01" w:rsidRPr="00576AF8" w:rsidRDefault="002A6A01" w:rsidP="00DE0454">
            <w:pPr>
              <w:rPr>
                <w:color w:val="000000"/>
                <w:sz w:val="12"/>
                <w:szCs w:val="12"/>
                <w:lang w:eastAsia="es-EC"/>
              </w:rPr>
            </w:pPr>
            <w:r w:rsidRPr="00576AF8">
              <w:rPr>
                <w:color w:val="000000"/>
                <w:sz w:val="12"/>
                <w:szCs w:val="12"/>
                <w:lang w:eastAsia="es-EC"/>
              </w:rPr>
              <w:t>Operaciones SCADA</w:t>
            </w:r>
          </w:p>
        </w:tc>
        <w:tc>
          <w:tcPr>
            <w:tcW w:w="709" w:type="dxa"/>
            <w:tcBorders>
              <w:top w:val="nil"/>
              <w:left w:val="nil"/>
              <w:bottom w:val="single" w:sz="4" w:space="0" w:color="auto"/>
              <w:right w:val="single" w:sz="4" w:space="0" w:color="auto"/>
            </w:tcBorders>
            <w:shd w:val="clear" w:color="auto" w:fill="auto"/>
            <w:vAlign w:val="center"/>
            <w:hideMark/>
          </w:tcPr>
          <w:p w14:paraId="46D429E8"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5458734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604C8938" w14:textId="77777777" w:rsidR="002A6A01" w:rsidRPr="00576AF8" w:rsidRDefault="002A6A01"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73391C48" w14:textId="77777777" w:rsidR="002A6A01" w:rsidRPr="00576AF8" w:rsidRDefault="002A6A01" w:rsidP="00DE0454">
            <w:pPr>
              <w:rPr>
                <w:color w:val="000000"/>
                <w:sz w:val="12"/>
                <w:szCs w:val="12"/>
                <w:lang w:eastAsia="es-EC"/>
              </w:rPr>
            </w:pPr>
            <w:r w:rsidRPr="00576AF8">
              <w:rPr>
                <w:color w:val="000000"/>
                <w:sz w:val="12"/>
                <w:szCs w:val="12"/>
                <w:lang w:eastAsia="es-EC"/>
              </w:rPr>
              <w:t> 7</w:t>
            </w:r>
          </w:p>
        </w:tc>
        <w:tc>
          <w:tcPr>
            <w:tcW w:w="567" w:type="dxa"/>
            <w:tcBorders>
              <w:top w:val="nil"/>
              <w:left w:val="nil"/>
              <w:bottom w:val="single" w:sz="4" w:space="0" w:color="auto"/>
              <w:right w:val="single" w:sz="4" w:space="0" w:color="auto"/>
            </w:tcBorders>
            <w:shd w:val="clear" w:color="auto" w:fill="auto"/>
            <w:vAlign w:val="center"/>
            <w:hideMark/>
          </w:tcPr>
          <w:p w14:paraId="70FEE86B" w14:textId="637AC464" w:rsidR="002A6A01" w:rsidRPr="00576AF8" w:rsidRDefault="002A6A01" w:rsidP="00DE0454">
            <w:pPr>
              <w:rPr>
                <w:color w:val="000000"/>
                <w:sz w:val="12"/>
                <w:szCs w:val="12"/>
                <w:lang w:eastAsia="es-EC"/>
              </w:rPr>
            </w:pPr>
            <w:r w:rsidRPr="00576AF8">
              <w:rPr>
                <w:color w:val="000000"/>
                <w:sz w:val="12"/>
                <w:szCs w:val="12"/>
                <w:lang w:eastAsia="es-EC"/>
              </w:rPr>
              <w:t> </w:t>
            </w:r>
            <w:r w:rsidR="00E71956">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7E275138" w14:textId="77DA28EB" w:rsidR="002A6A01" w:rsidRPr="00576AF8" w:rsidRDefault="002A6A01" w:rsidP="00DE0454">
            <w:pPr>
              <w:rPr>
                <w:color w:val="000000"/>
                <w:sz w:val="12"/>
                <w:szCs w:val="12"/>
                <w:lang w:eastAsia="es-EC"/>
              </w:rPr>
            </w:pPr>
            <w:r w:rsidRPr="00576AF8">
              <w:rPr>
                <w:color w:val="000000"/>
                <w:sz w:val="12"/>
                <w:szCs w:val="12"/>
                <w:lang w:eastAsia="es-EC"/>
              </w:rPr>
              <w:t> </w:t>
            </w:r>
            <w:r w:rsidR="00E71956">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4563D764" w14:textId="547D82CC" w:rsidR="002A6A01" w:rsidRPr="00576AF8" w:rsidRDefault="002A6A01" w:rsidP="00DE0454">
            <w:pPr>
              <w:rPr>
                <w:color w:val="000000"/>
                <w:sz w:val="12"/>
                <w:szCs w:val="12"/>
                <w:lang w:eastAsia="es-EC"/>
              </w:rPr>
            </w:pPr>
            <w:r w:rsidRPr="00576AF8">
              <w:rPr>
                <w:color w:val="000000"/>
                <w:sz w:val="12"/>
                <w:szCs w:val="12"/>
                <w:lang w:eastAsia="es-EC"/>
              </w:rPr>
              <w:t> </w:t>
            </w:r>
            <w:r w:rsidR="006B7D83">
              <w:rPr>
                <w:color w:val="000000"/>
                <w:sz w:val="12"/>
                <w:szCs w:val="12"/>
                <w:lang w:eastAsia="es-EC"/>
              </w:rPr>
              <w:t>3</w:t>
            </w:r>
          </w:p>
        </w:tc>
        <w:tc>
          <w:tcPr>
            <w:tcW w:w="708" w:type="dxa"/>
            <w:tcBorders>
              <w:top w:val="nil"/>
              <w:left w:val="nil"/>
              <w:bottom w:val="single" w:sz="4" w:space="0" w:color="auto"/>
              <w:right w:val="single" w:sz="4" w:space="0" w:color="auto"/>
            </w:tcBorders>
            <w:shd w:val="clear" w:color="auto" w:fill="auto"/>
            <w:vAlign w:val="center"/>
            <w:hideMark/>
          </w:tcPr>
          <w:p w14:paraId="224AEF85"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2FD39324" w14:textId="77777777" w:rsidR="002A6A01" w:rsidRPr="00576AF8" w:rsidRDefault="002A6A01" w:rsidP="00DE0454">
            <w:pPr>
              <w:rPr>
                <w:color w:val="000000"/>
                <w:sz w:val="12"/>
                <w:szCs w:val="12"/>
                <w:lang w:eastAsia="es-EC"/>
              </w:rPr>
            </w:pPr>
            <w:r w:rsidRPr="00576AF8">
              <w:rPr>
                <w:color w:val="000000"/>
                <w:sz w:val="12"/>
                <w:szCs w:val="12"/>
                <w:lang w:eastAsia="es-EC"/>
              </w:rPr>
              <w:t>38</w:t>
            </w:r>
          </w:p>
        </w:tc>
        <w:tc>
          <w:tcPr>
            <w:tcW w:w="567" w:type="dxa"/>
            <w:tcBorders>
              <w:top w:val="nil"/>
              <w:left w:val="nil"/>
              <w:bottom w:val="single" w:sz="4" w:space="0" w:color="auto"/>
              <w:right w:val="single" w:sz="4" w:space="0" w:color="auto"/>
            </w:tcBorders>
            <w:shd w:val="clear" w:color="auto" w:fill="auto"/>
            <w:vAlign w:val="center"/>
            <w:hideMark/>
          </w:tcPr>
          <w:p w14:paraId="62C08D0A" w14:textId="1AA679EE" w:rsidR="002A6A01" w:rsidRPr="00576AF8" w:rsidRDefault="002A6A01" w:rsidP="00DE0454">
            <w:pPr>
              <w:rPr>
                <w:sz w:val="12"/>
                <w:szCs w:val="12"/>
              </w:rPr>
            </w:pPr>
            <w:r w:rsidRPr="00576AF8">
              <w:rPr>
                <w:sz w:val="12"/>
                <w:szCs w:val="12"/>
              </w:rPr>
              <w:t>5</w:t>
            </w:r>
            <w:r w:rsidR="006B7D83">
              <w:rPr>
                <w:sz w:val="12"/>
                <w:szCs w:val="12"/>
              </w:rPr>
              <w:t>9</w:t>
            </w:r>
          </w:p>
        </w:tc>
        <w:tc>
          <w:tcPr>
            <w:tcW w:w="425" w:type="dxa"/>
            <w:tcBorders>
              <w:top w:val="nil"/>
              <w:left w:val="nil"/>
              <w:bottom w:val="single" w:sz="4" w:space="0" w:color="auto"/>
              <w:right w:val="single" w:sz="4" w:space="0" w:color="auto"/>
            </w:tcBorders>
            <w:shd w:val="clear" w:color="auto" w:fill="auto"/>
            <w:vAlign w:val="center"/>
            <w:hideMark/>
          </w:tcPr>
          <w:p w14:paraId="0FEFA4FB"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651" w:type="dxa"/>
            <w:tcBorders>
              <w:top w:val="nil"/>
              <w:left w:val="nil"/>
              <w:bottom w:val="single" w:sz="4" w:space="0" w:color="auto"/>
              <w:right w:val="single" w:sz="4" w:space="0" w:color="auto"/>
            </w:tcBorders>
            <w:shd w:val="clear" w:color="auto" w:fill="auto"/>
            <w:vAlign w:val="center"/>
            <w:hideMark/>
          </w:tcPr>
          <w:p w14:paraId="7798FDAF"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43490DDF" w14:textId="77777777" w:rsidR="002A6A01" w:rsidRPr="00576AF8" w:rsidRDefault="002A6A01" w:rsidP="00DE0454">
            <w:pPr>
              <w:rPr>
                <w:color w:val="000000"/>
                <w:sz w:val="12"/>
                <w:szCs w:val="12"/>
                <w:lang w:eastAsia="es-EC"/>
              </w:rPr>
            </w:pPr>
            <w:r w:rsidRPr="00576AF8">
              <w:rPr>
                <w:color w:val="000000"/>
                <w:sz w:val="12"/>
                <w:szCs w:val="12"/>
                <w:lang w:eastAsia="es-EC"/>
              </w:rPr>
              <w:t>9</w:t>
            </w:r>
          </w:p>
        </w:tc>
      </w:tr>
      <w:tr w:rsidR="002A6A01" w:rsidRPr="00576AF8" w14:paraId="0A1EB072"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FA95EA0" w14:textId="77777777" w:rsidR="002A6A01" w:rsidRPr="00576AF8" w:rsidRDefault="002A6A01" w:rsidP="00DE0454">
            <w:pPr>
              <w:rPr>
                <w:color w:val="000000"/>
                <w:sz w:val="12"/>
                <w:szCs w:val="12"/>
                <w:lang w:eastAsia="es-EC"/>
              </w:rPr>
            </w:pPr>
            <w:r w:rsidRPr="00576AF8">
              <w:rPr>
                <w:color w:val="000000"/>
                <w:sz w:val="12"/>
                <w:szCs w:val="12"/>
                <w:lang w:eastAsia="es-EC"/>
              </w:rPr>
              <w:t>29</w:t>
            </w:r>
          </w:p>
        </w:tc>
        <w:tc>
          <w:tcPr>
            <w:tcW w:w="1842" w:type="dxa"/>
            <w:tcBorders>
              <w:top w:val="nil"/>
              <w:left w:val="nil"/>
              <w:bottom w:val="single" w:sz="4" w:space="0" w:color="auto"/>
              <w:right w:val="single" w:sz="4" w:space="0" w:color="auto"/>
            </w:tcBorders>
            <w:shd w:val="clear" w:color="auto" w:fill="auto"/>
            <w:vAlign w:val="center"/>
            <w:hideMark/>
          </w:tcPr>
          <w:p w14:paraId="2F9FF8EB" w14:textId="77777777" w:rsidR="002A6A01" w:rsidRPr="00576AF8" w:rsidRDefault="002A6A01" w:rsidP="00DE0454">
            <w:pPr>
              <w:rPr>
                <w:color w:val="000000"/>
                <w:sz w:val="12"/>
                <w:szCs w:val="12"/>
                <w:lang w:eastAsia="es-EC"/>
              </w:rPr>
            </w:pPr>
            <w:r w:rsidRPr="00576AF8">
              <w:rPr>
                <w:color w:val="000000"/>
                <w:sz w:val="12"/>
                <w:szCs w:val="12"/>
                <w:lang w:eastAsia="es-EC"/>
              </w:rPr>
              <w:t>Operaciones GMS/EMS</w:t>
            </w:r>
          </w:p>
        </w:tc>
        <w:tc>
          <w:tcPr>
            <w:tcW w:w="709" w:type="dxa"/>
            <w:tcBorders>
              <w:top w:val="nil"/>
              <w:left w:val="nil"/>
              <w:bottom w:val="single" w:sz="4" w:space="0" w:color="auto"/>
              <w:right w:val="single" w:sz="4" w:space="0" w:color="auto"/>
            </w:tcBorders>
            <w:shd w:val="clear" w:color="auto" w:fill="auto"/>
            <w:vAlign w:val="center"/>
            <w:hideMark/>
          </w:tcPr>
          <w:p w14:paraId="271D0C37"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206A6057"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2BFEB296" w14:textId="77777777" w:rsidR="002A6A01" w:rsidRPr="00576AF8" w:rsidRDefault="003F6797" w:rsidP="00DE0454">
            <w:pPr>
              <w:rPr>
                <w:color w:val="000000"/>
                <w:sz w:val="12"/>
                <w:szCs w:val="12"/>
                <w:lang w:eastAsia="es-EC"/>
              </w:rPr>
            </w:pPr>
            <w:r w:rsidRPr="00576AF8">
              <w:rPr>
                <w:color w:val="000000"/>
                <w:sz w:val="12"/>
                <w:szCs w:val="12"/>
                <w:lang w:eastAsia="es-EC"/>
              </w:rPr>
              <w:t>5</w:t>
            </w:r>
          </w:p>
        </w:tc>
        <w:tc>
          <w:tcPr>
            <w:tcW w:w="567" w:type="dxa"/>
            <w:tcBorders>
              <w:top w:val="nil"/>
              <w:left w:val="nil"/>
              <w:bottom w:val="single" w:sz="4" w:space="0" w:color="auto"/>
              <w:right w:val="single" w:sz="4" w:space="0" w:color="auto"/>
            </w:tcBorders>
            <w:shd w:val="clear" w:color="auto" w:fill="auto"/>
            <w:vAlign w:val="center"/>
            <w:hideMark/>
          </w:tcPr>
          <w:p w14:paraId="6515FB2F"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175219FC" w14:textId="5C5AEE48" w:rsidR="002A6A01" w:rsidRPr="00576AF8" w:rsidRDefault="002A6A01" w:rsidP="00DE0454">
            <w:pPr>
              <w:rPr>
                <w:color w:val="000000"/>
                <w:sz w:val="12"/>
                <w:szCs w:val="12"/>
                <w:lang w:eastAsia="es-EC"/>
              </w:rPr>
            </w:pPr>
            <w:r w:rsidRPr="00576AF8">
              <w:rPr>
                <w:color w:val="000000"/>
                <w:sz w:val="12"/>
                <w:szCs w:val="12"/>
                <w:lang w:eastAsia="es-EC"/>
              </w:rPr>
              <w:t> </w:t>
            </w:r>
            <w:r w:rsidR="00E71956">
              <w:rPr>
                <w:color w:val="000000"/>
                <w:sz w:val="12"/>
                <w:szCs w:val="12"/>
                <w:lang w:eastAsia="es-EC"/>
              </w:rPr>
              <w:t>2</w:t>
            </w:r>
          </w:p>
        </w:tc>
        <w:tc>
          <w:tcPr>
            <w:tcW w:w="709" w:type="dxa"/>
            <w:tcBorders>
              <w:top w:val="nil"/>
              <w:left w:val="nil"/>
              <w:bottom w:val="single" w:sz="4" w:space="0" w:color="auto"/>
              <w:right w:val="single" w:sz="4" w:space="0" w:color="auto"/>
            </w:tcBorders>
            <w:shd w:val="clear" w:color="auto" w:fill="auto"/>
            <w:vAlign w:val="center"/>
            <w:hideMark/>
          </w:tcPr>
          <w:p w14:paraId="43BB9F34" w14:textId="2A3894CA" w:rsidR="002A6A01" w:rsidRPr="00576AF8" w:rsidRDefault="002A6A01" w:rsidP="00DE0454">
            <w:pPr>
              <w:rPr>
                <w:color w:val="000000"/>
                <w:sz w:val="12"/>
                <w:szCs w:val="12"/>
                <w:lang w:eastAsia="es-EC"/>
              </w:rPr>
            </w:pPr>
            <w:r w:rsidRPr="00576AF8">
              <w:rPr>
                <w:color w:val="000000"/>
                <w:sz w:val="12"/>
                <w:szCs w:val="12"/>
                <w:lang w:eastAsia="es-EC"/>
              </w:rPr>
              <w:t> </w:t>
            </w:r>
            <w:r w:rsidR="00E71956">
              <w:rPr>
                <w:color w:val="000000"/>
                <w:sz w:val="12"/>
                <w:szCs w:val="12"/>
                <w:lang w:eastAsia="es-EC"/>
              </w:rPr>
              <w:t>3</w:t>
            </w:r>
          </w:p>
        </w:tc>
        <w:tc>
          <w:tcPr>
            <w:tcW w:w="709" w:type="dxa"/>
            <w:tcBorders>
              <w:top w:val="nil"/>
              <w:left w:val="nil"/>
              <w:bottom w:val="single" w:sz="4" w:space="0" w:color="auto"/>
              <w:right w:val="single" w:sz="4" w:space="0" w:color="auto"/>
            </w:tcBorders>
            <w:shd w:val="clear" w:color="auto" w:fill="auto"/>
            <w:vAlign w:val="center"/>
            <w:hideMark/>
          </w:tcPr>
          <w:p w14:paraId="0FD772BF"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5759CF98"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2B7DDBA1" w14:textId="77777777" w:rsidR="002A6A01" w:rsidRPr="00576AF8" w:rsidRDefault="002A6A01" w:rsidP="00DE0454">
            <w:pPr>
              <w:rPr>
                <w:color w:val="000000"/>
                <w:sz w:val="12"/>
                <w:szCs w:val="12"/>
                <w:lang w:eastAsia="es-EC"/>
              </w:rPr>
            </w:pPr>
            <w:r w:rsidRPr="00576AF8">
              <w:rPr>
                <w:color w:val="000000"/>
                <w:sz w:val="12"/>
                <w:szCs w:val="12"/>
                <w:lang w:eastAsia="es-EC"/>
              </w:rPr>
              <w:t>38</w:t>
            </w:r>
          </w:p>
        </w:tc>
        <w:tc>
          <w:tcPr>
            <w:tcW w:w="567" w:type="dxa"/>
            <w:tcBorders>
              <w:top w:val="nil"/>
              <w:left w:val="nil"/>
              <w:bottom w:val="single" w:sz="4" w:space="0" w:color="auto"/>
              <w:right w:val="single" w:sz="4" w:space="0" w:color="auto"/>
            </w:tcBorders>
            <w:shd w:val="clear" w:color="auto" w:fill="auto"/>
            <w:vAlign w:val="center"/>
            <w:hideMark/>
          </w:tcPr>
          <w:p w14:paraId="165F6810" w14:textId="7FA05C39" w:rsidR="002A6A01" w:rsidRPr="00576AF8" w:rsidRDefault="003F6797" w:rsidP="00DE0454">
            <w:pPr>
              <w:rPr>
                <w:sz w:val="12"/>
                <w:szCs w:val="12"/>
              </w:rPr>
            </w:pPr>
            <w:r w:rsidRPr="00576AF8">
              <w:rPr>
                <w:sz w:val="12"/>
                <w:szCs w:val="12"/>
              </w:rPr>
              <w:t>5</w:t>
            </w:r>
            <w:r w:rsidR="00E71956">
              <w:rPr>
                <w:sz w:val="12"/>
                <w:szCs w:val="12"/>
              </w:rPr>
              <w:t>5</w:t>
            </w:r>
          </w:p>
        </w:tc>
        <w:tc>
          <w:tcPr>
            <w:tcW w:w="425" w:type="dxa"/>
            <w:tcBorders>
              <w:top w:val="nil"/>
              <w:left w:val="nil"/>
              <w:bottom w:val="single" w:sz="4" w:space="0" w:color="auto"/>
              <w:right w:val="single" w:sz="4" w:space="0" w:color="auto"/>
            </w:tcBorders>
            <w:shd w:val="clear" w:color="auto" w:fill="auto"/>
            <w:vAlign w:val="center"/>
            <w:hideMark/>
          </w:tcPr>
          <w:p w14:paraId="6527E69B"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651" w:type="dxa"/>
            <w:tcBorders>
              <w:top w:val="nil"/>
              <w:left w:val="nil"/>
              <w:bottom w:val="single" w:sz="4" w:space="0" w:color="auto"/>
              <w:right w:val="single" w:sz="4" w:space="0" w:color="auto"/>
            </w:tcBorders>
            <w:shd w:val="clear" w:color="auto" w:fill="auto"/>
            <w:vAlign w:val="center"/>
            <w:hideMark/>
          </w:tcPr>
          <w:p w14:paraId="46C6BC5F"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51357036" w14:textId="77777777" w:rsidR="002A6A01" w:rsidRPr="00576AF8" w:rsidRDefault="002A6A01" w:rsidP="00DE0454">
            <w:pPr>
              <w:rPr>
                <w:color w:val="000000"/>
                <w:sz w:val="12"/>
                <w:szCs w:val="12"/>
                <w:lang w:eastAsia="es-EC"/>
              </w:rPr>
            </w:pPr>
            <w:r w:rsidRPr="00576AF8">
              <w:rPr>
                <w:color w:val="000000"/>
                <w:sz w:val="12"/>
                <w:szCs w:val="12"/>
                <w:lang w:eastAsia="es-EC"/>
              </w:rPr>
              <w:t>9</w:t>
            </w:r>
          </w:p>
        </w:tc>
      </w:tr>
      <w:tr w:rsidR="002A6A01" w:rsidRPr="00576AF8" w14:paraId="2E9714B8" w14:textId="77777777" w:rsidTr="00DE0454">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663BD4F" w14:textId="77777777" w:rsidR="002A6A01" w:rsidRPr="00576AF8" w:rsidRDefault="002A6A01" w:rsidP="00DE0454">
            <w:pPr>
              <w:rPr>
                <w:color w:val="000000"/>
                <w:sz w:val="12"/>
                <w:szCs w:val="12"/>
                <w:lang w:eastAsia="es-EC"/>
              </w:rPr>
            </w:pPr>
            <w:r w:rsidRPr="00576AF8">
              <w:rPr>
                <w:color w:val="000000"/>
                <w:sz w:val="12"/>
                <w:szCs w:val="12"/>
                <w:lang w:eastAsia="es-EC"/>
              </w:rPr>
              <w:t>30</w:t>
            </w:r>
          </w:p>
        </w:tc>
        <w:tc>
          <w:tcPr>
            <w:tcW w:w="1842" w:type="dxa"/>
            <w:tcBorders>
              <w:top w:val="nil"/>
              <w:left w:val="nil"/>
              <w:bottom w:val="single" w:sz="4" w:space="0" w:color="auto"/>
              <w:right w:val="single" w:sz="4" w:space="0" w:color="auto"/>
            </w:tcBorders>
            <w:shd w:val="clear" w:color="auto" w:fill="auto"/>
            <w:vAlign w:val="center"/>
            <w:hideMark/>
          </w:tcPr>
          <w:p w14:paraId="4B626CDF" w14:textId="77777777" w:rsidR="002A6A01" w:rsidRPr="00576AF8" w:rsidRDefault="002A6A01" w:rsidP="00DE0454">
            <w:pPr>
              <w:rPr>
                <w:color w:val="000000"/>
                <w:sz w:val="12"/>
                <w:szCs w:val="12"/>
                <w:lang w:eastAsia="es-EC"/>
              </w:rPr>
            </w:pPr>
            <w:r w:rsidRPr="00576AF8">
              <w:rPr>
                <w:color w:val="000000"/>
                <w:sz w:val="12"/>
                <w:szCs w:val="12"/>
                <w:lang w:eastAsia="es-EC"/>
              </w:rPr>
              <w:t>OTS para Operadores</w:t>
            </w:r>
          </w:p>
        </w:tc>
        <w:tc>
          <w:tcPr>
            <w:tcW w:w="709" w:type="dxa"/>
            <w:tcBorders>
              <w:top w:val="nil"/>
              <w:left w:val="nil"/>
              <w:bottom w:val="single" w:sz="4" w:space="0" w:color="auto"/>
              <w:right w:val="single" w:sz="4" w:space="0" w:color="auto"/>
            </w:tcBorders>
            <w:shd w:val="clear" w:color="auto" w:fill="auto"/>
            <w:vAlign w:val="center"/>
            <w:hideMark/>
          </w:tcPr>
          <w:p w14:paraId="19F77371" w14:textId="77777777" w:rsidR="002A6A01" w:rsidRPr="00576AF8" w:rsidRDefault="002A6A01" w:rsidP="00DE0454">
            <w:pPr>
              <w:rPr>
                <w:color w:val="000000"/>
                <w:sz w:val="12"/>
                <w:szCs w:val="12"/>
                <w:lang w:eastAsia="es-EC"/>
              </w:rPr>
            </w:pPr>
            <w:r w:rsidRPr="00576AF8">
              <w:rPr>
                <w:color w:val="000000"/>
                <w:sz w:val="12"/>
                <w:szCs w:val="12"/>
                <w:lang w:eastAsia="es-EC"/>
              </w:rPr>
              <w:t>CENACE</w:t>
            </w:r>
          </w:p>
        </w:tc>
        <w:tc>
          <w:tcPr>
            <w:tcW w:w="567" w:type="dxa"/>
            <w:tcBorders>
              <w:top w:val="nil"/>
              <w:left w:val="nil"/>
              <w:bottom w:val="single" w:sz="4" w:space="0" w:color="auto"/>
              <w:right w:val="single" w:sz="4" w:space="0" w:color="auto"/>
            </w:tcBorders>
            <w:shd w:val="clear" w:color="auto" w:fill="auto"/>
            <w:vAlign w:val="center"/>
            <w:hideMark/>
          </w:tcPr>
          <w:p w14:paraId="4514740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567" w:type="dxa"/>
            <w:tcBorders>
              <w:top w:val="nil"/>
              <w:left w:val="nil"/>
              <w:bottom w:val="single" w:sz="4" w:space="0" w:color="auto"/>
              <w:right w:val="single" w:sz="4" w:space="0" w:color="auto"/>
            </w:tcBorders>
            <w:shd w:val="clear" w:color="auto" w:fill="auto"/>
            <w:vAlign w:val="center"/>
            <w:hideMark/>
          </w:tcPr>
          <w:p w14:paraId="3CB39F9C" w14:textId="77777777" w:rsidR="002A6A01" w:rsidRPr="00576AF8" w:rsidRDefault="007D5CA5" w:rsidP="00DE0454">
            <w:pPr>
              <w:rPr>
                <w:color w:val="000000"/>
                <w:sz w:val="12"/>
                <w:szCs w:val="12"/>
                <w:lang w:eastAsia="es-EC"/>
              </w:rPr>
            </w:pPr>
            <w:r w:rsidRPr="00576AF8">
              <w:rPr>
                <w:color w:val="000000"/>
                <w:sz w:val="12"/>
                <w:szCs w:val="12"/>
                <w:lang w:eastAsia="es-EC"/>
              </w:rPr>
              <w:t>-</w:t>
            </w:r>
          </w:p>
        </w:tc>
        <w:tc>
          <w:tcPr>
            <w:tcW w:w="567" w:type="dxa"/>
            <w:tcBorders>
              <w:top w:val="nil"/>
              <w:left w:val="nil"/>
              <w:bottom w:val="single" w:sz="4" w:space="0" w:color="auto"/>
              <w:right w:val="single" w:sz="4" w:space="0" w:color="auto"/>
            </w:tcBorders>
            <w:shd w:val="clear" w:color="auto" w:fill="auto"/>
            <w:vAlign w:val="center"/>
            <w:hideMark/>
          </w:tcPr>
          <w:p w14:paraId="51FEFB90" w14:textId="77777777" w:rsidR="002A6A01" w:rsidRPr="00576AF8" w:rsidRDefault="002A6A01" w:rsidP="00DE0454">
            <w:pPr>
              <w:rPr>
                <w:color w:val="000000"/>
                <w:sz w:val="12"/>
                <w:szCs w:val="12"/>
                <w:lang w:eastAsia="es-EC"/>
              </w:rPr>
            </w:pPr>
            <w:r w:rsidRPr="00576AF8">
              <w:rPr>
                <w:color w:val="000000"/>
                <w:sz w:val="12"/>
                <w:szCs w:val="12"/>
                <w:lang w:eastAsia="es-EC"/>
              </w:rPr>
              <w:t>7</w:t>
            </w:r>
          </w:p>
        </w:tc>
        <w:tc>
          <w:tcPr>
            <w:tcW w:w="567" w:type="dxa"/>
            <w:tcBorders>
              <w:top w:val="nil"/>
              <w:left w:val="nil"/>
              <w:bottom w:val="single" w:sz="4" w:space="0" w:color="auto"/>
              <w:right w:val="single" w:sz="4" w:space="0" w:color="auto"/>
            </w:tcBorders>
            <w:shd w:val="clear" w:color="auto" w:fill="auto"/>
            <w:vAlign w:val="center"/>
            <w:hideMark/>
          </w:tcPr>
          <w:p w14:paraId="3E059FA0"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78C98E9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676F61E2"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8" w:type="dxa"/>
            <w:tcBorders>
              <w:top w:val="nil"/>
              <w:left w:val="nil"/>
              <w:bottom w:val="single" w:sz="4" w:space="0" w:color="auto"/>
              <w:right w:val="single" w:sz="4" w:space="0" w:color="auto"/>
            </w:tcBorders>
            <w:shd w:val="clear" w:color="auto" w:fill="auto"/>
            <w:vAlign w:val="center"/>
            <w:hideMark/>
          </w:tcPr>
          <w:p w14:paraId="370B1C34" w14:textId="77777777" w:rsidR="002A6A01" w:rsidRPr="00576AF8" w:rsidRDefault="002A6A01" w:rsidP="00DE0454">
            <w:pPr>
              <w:rPr>
                <w:color w:val="000000"/>
                <w:sz w:val="12"/>
                <w:szCs w:val="12"/>
                <w:lang w:eastAsia="es-EC"/>
              </w:rPr>
            </w:pPr>
            <w:r w:rsidRPr="00576AF8">
              <w:rPr>
                <w:color w:val="000000"/>
                <w:sz w:val="12"/>
                <w:szCs w:val="12"/>
                <w:lang w:eastAsia="es-EC"/>
              </w:rPr>
              <w:t> </w:t>
            </w:r>
          </w:p>
        </w:tc>
        <w:tc>
          <w:tcPr>
            <w:tcW w:w="709" w:type="dxa"/>
            <w:tcBorders>
              <w:top w:val="nil"/>
              <w:left w:val="nil"/>
              <w:bottom w:val="single" w:sz="4" w:space="0" w:color="auto"/>
              <w:right w:val="single" w:sz="4" w:space="0" w:color="auto"/>
            </w:tcBorders>
            <w:shd w:val="clear" w:color="auto" w:fill="auto"/>
            <w:vAlign w:val="center"/>
            <w:hideMark/>
          </w:tcPr>
          <w:p w14:paraId="4045CF75" w14:textId="77777777" w:rsidR="002A6A01" w:rsidRPr="00576AF8" w:rsidRDefault="002A6A01" w:rsidP="00DE0454">
            <w:pPr>
              <w:rPr>
                <w:color w:val="000000"/>
                <w:sz w:val="12"/>
                <w:szCs w:val="12"/>
                <w:lang w:eastAsia="es-EC"/>
              </w:rPr>
            </w:pPr>
            <w:r w:rsidRPr="00576AF8">
              <w:rPr>
                <w:color w:val="000000"/>
                <w:sz w:val="12"/>
                <w:szCs w:val="12"/>
                <w:lang w:eastAsia="es-EC"/>
              </w:rPr>
              <w:t>38</w:t>
            </w:r>
          </w:p>
        </w:tc>
        <w:tc>
          <w:tcPr>
            <w:tcW w:w="567" w:type="dxa"/>
            <w:tcBorders>
              <w:top w:val="nil"/>
              <w:left w:val="nil"/>
              <w:bottom w:val="single" w:sz="4" w:space="0" w:color="auto"/>
              <w:right w:val="single" w:sz="4" w:space="0" w:color="auto"/>
            </w:tcBorders>
            <w:shd w:val="clear" w:color="auto" w:fill="auto"/>
            <w:vAlign w:val="center"/>
            <w:hideMark/>
          </w:tcPr>
          <w:p w14:paraId="513489CE" w14:textId="77777777" w:rsidR="002A6A01" w:rsidRPr="00576AF8" w:rsidRDefault="007D5CA5" w:rsidP="003F6797">
            <w:pPr>
              <w:rPr>
                <w:sz w:val="12"/>
                <w:szCs w:val="12"/>
              </w:rPr>
            </w:pPr>
            <w:r w:rsidRPr="00576AF8">
              <w:rPr>
                <w:sz w:val="12"/>
                <w:szCs w:val="12"/>
              </w:rPr>
              <w:t>45</w:t>
            </w:r>
          </w:p>
        </w:tc>
        <w:tc>
          <w:tcPr>
            <w:tcW w:w="425" w:type="dxa"/>
            <w:tcBorders>
              <w:top w:val="nil"/>
              <w:left w:val="nil"/>
              <w:bottom w:val="single" w:sz="4" w:space="0" w:color="auto"/>
              <w:right w:val="single" w:sz="4" w:space="0" w:color="auto"/>
            </w:tcBorders>
            <w:shd w:val="clear" w:color="auto" w:fill="auto"/>
            <w:vAlign w:val="center"/>
            <w:hideMark/>
          </w:tcPr>
          <w:p w14:paraId="6797768E"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651" w:type="dxa"/>
            <w:tcBorders>
              <w:top w:val="nil"/>
              <w:left w:val="nil"/>
              <w:bottom w:val="single" w:sz="4" w:space="0" w:color="auto"/>
              <w:right w:val="single" w:sz="4" w:space="0" w:color="auto"/>
            </w:tcBorders>
            <w:shd w:val="clear" w:color="auto" w:fill="auto"/>
            <w:vAlign w:val="center"/>
            <w:hideMark/>
          </w:tcPr>
          <w:p w14:paraId="38AC13CE" w14:textId="77777777" w:rsidR="002A6A01" w:rsidRPr="00576AF8" w:rsidRDefault="002A6A01" w:rsidP="00DE0454">
            <w:pPr>
              <w:rPr>
                <w:color w:val="000000"/>
                <w:sz w:val="12"/>
                <w:szCs w:val="12"/>
                <w:lang w:eastAsia="es-EC"/>
              </w:rPr>
            </w:pPr>
            <w:r w:rsidRPr="00576AF8">
              <w:rPr>
                <w:color w:val="000000"/>
                <w:sz w:val="12"/>
                <w:szCs w:val="12"/>
                <w:lang w:eastAsia="es-EC"/>
              </w:rPr>
              <w:t>3</w:t>
            </w:r>
          </w:p>
        </w:tc>
        <w:tc>
          <w:tcPr>
            <w:tcW w:w="483" w:type="dxa"/>
            <w:tcBorders>
              <w:top w:val="nil"/>
              <w:left w:val="nil"/>
              <w:bottom w:val="single" w:sz="4" w:space="0" w:color="auto"/>
              <w:right w:val="single" w:sz="4" w:space="0" w:color="auto"/>
            </w:tcBorders>
            <w:shd w:val="clear" w:color="auto" w:fill="auto"/>
            <w:vAlign w:val="center"/>
            <w:hideMark/>
          </w:tcPr>
          <w:p w14:paraId="3C80A718" w14:textId="77777777" w:rsidR="002A6A01" w:rsidRPr="00576AF8" w:rsidRDefault="002A6A01" w:rsidP="00DE0454">
            <w:pPr>
              <w:rPr>
                <w:color w:val="000000"/>
                <w:sz w:val="12"/>
                <w:szCs w:val="12"/>
                <w:lang w:eastAsia="es-EC"/>
              </w:rPr>
            </w:pPr>
            <w:r w:rsidRPr="00576AF8">
              <w:rPr>
                <w:color w:val="000000"/>
                <w:sz w:val="12"/>
                <w:szCs w:val="12"/>
                <w:lang w:eastAsia="es-EC"/>
              </w:rPr>
              <w:t>9</w:t>
            </w:r>
          </w:p>
        </w:tc>
      </w:tr>
      <w:tr w:rsidR="002A6A01" w:rsidRPr="00576AF8" w14:paraId="78BB4D7C" w14:textId="77777777" w:rsidTr="00DE0454">
        <w:trPr>
          <w:trHeight w:val="312"/>
        </w:trPr>
        <w:tc>
          <w:tcPr>
            <w:tcW w:w="426" w:type="dxa"/>
            <w:tcBorders>
              <w:top w:val="nil"/>
              <w:left w:val="nil"/>
              <w:bottom w:val="nil"/>
              <w:right w:val="nil"/>
            </w:tcBorders>
            <w:shd w:val="clear" w:color="auto" w:fill="auto"/>
            <w:noWrap/>
            <w:vAlign w:val="bottom"/>
            <w:hideMark/>
          </w:tcPr>
          <w:p w14:paraId="750297E1" w14:textId="77777777" w:rsidR="002A6A01" w:rsidRPr="00576AF8" w:rsidRDefault="002A6A01" w:rsidP="00DE0454">
            <w:pPr>
              <w:rPr>
                <w:sz w:val="12"/>
                <w:szCs w:val="12"/>
                <w:lang w:eastAsia="es-EC"/>
              </w:rPr>
            </w:pPr>
          </w:p>
        </w:tc>
        <w:tc>
          <w:tcPr>
            <w:tcW w:w="1842" w:type="dxa"/>
            <w:tcBorders>
              <w:top w:val="nil"/>
              <w:left w:val="nil"/>
              <w:bottom w:val="nil"/>
              <w:right w:val="nil"/>
            </w:tcBorders>
            <w:shd w:val="clear" w:color="auto" w:fill="auto"/>
            <w:noWrap/>
            <w:vAlign w:val="bottom"/>
            <w:hideMark/>
          </w:tcPr>
          <w:p w14:paraId="7F89860D" w14:textId="77777777" w:rsidR="002A6A01" w:rsidRPr="00576AF8" w:rsidRDefault="002A6A01" w:rsidP="00DE0454">
            <w:pPr>
              <w:rPr>
                <w:sz w:val="12"/>
                <w:szCs w:val="12"/>
                <w:lang w:eastAsia="es-EC"/>
              </w:rPr>
            </w:pPr>
          </w:p>
        </w:tc>
        <w:tc>
          <w:tcPr>
            <w:tcW w:w="709" w:type="dxa"/>
            <w:tcBorders>
              <w:top w:val="nil"/>
              <w:left w:val="nil"/>
              <w:bottom w:val="nil"/>
              <w:right w:val="nil"/>
            </w:tcBorders>
            <w:shd w:val="clear" w:color="auto" w:fill="auto"/>
            <w:noWrap/>
            <w:vAlign w:val="bottom"/>
            <w:hideMark/>
          </w:tcPr>
          <w:p w14:paraId="59E88F8A" w14:textId="77777777" w:rsidR="002A6A01" w:rsidRPr="00576AF8" w:rsidRDefault="002A6A01" w:rsidP="00DE0454">
            <w:pPr>
              <w:rPr>
                <w:sz w:val="12"/>
                <w:szCs w:val="12"/>
                <w:lang w:eastAsia="es-EC"/>
              </w:rPr>
            </w:pPr>
          </w:p>
        </w:tc>
        <w:tc>
          <w:tcPr>
            <w:tcW w:w="567" w:type="dxa"/>
            <w:tcBorders>
              <w:top w:val="nil"/>
              <w:left w:val="nil"/>
              <w:bottom w:val="nil"/>
              <w:right w:val="nil"/>
            </w:tcBorders>
            <w:shd w:val="clear" w:color="auto" w:fill="auto"/>
            <w:vAlign w:val="bottom"/>
            <w:hideMark/>
          </w:tcPr>
          <w:p w14:paraId="49D793D9" w14:textId="77777777" w:rsidR="002A6A01" w:rsidRPr="00576AF8" w:rsidRDefault="002A6A01" w:rsidP="00DE0454">
            <w:pPr>
              <w:rPr>
                <w:sz w:val="12"/>
                <w:szCs w:val="12"/>
                <w:lang w:eastAsia="es-EC"/>
              </w:rPr>
            </w:pPr>
          </w:p>
        </w:tc>
        <w:tc>
          <w:tcPr>
            <w:tcW w:w="567" w:type="dxa"/>
            <w:tcBorders>
              <w:top w:val="nil"/>
              <w:left w:val="nil"/>
              <w:bottom w:val="nil"/>
              <w:right w:val="nil"/>
            </w:tcBorders>
            <w:shd w:val="clear" w:color="auto" w:fill="auto"/>
            <w:vAlign w:val="bottom"/>
            <w:hideMark/>
          </w:tcPr>
          <w:p w14:paraId="6E4FC931" w14:textId="77777777" w:rsidR="002A6A01" w:rsidRPr="00576AF8" w:rsidRDefault="002A6A01" w:rsidP="00DE0454">
            <w:pPr>
              <w:rPr>
                <w:sz w:val="12"/>
                <w:szCs w:val="12"/>
                <w:lang w:eastAsia="es-EC"/>
              </w:rPr>
            </w:pPr>
          </w:p>
        </w:tc>
        <w:tc>
          <w:tcPr>
            <w:tcW w:w="567" w:type="dxa"/>
            <w:tcBorders>
              <w:top w:val="nil"/>
              <w:left w:val="nil"/>
              <w:bottom w:val="nil"/>
              <w:right w:val="nil"/>
            </w:tcBorders>
            <w:shd w:val="clear" w:color="auto" w:fill="auto"/>
            <w:vAlign w:val="bottom"/>
            <w:hideMark/>
          </w:tcPr>
          <w:p w14:paraId="05E64315" w14:textId="77777777" w:rsidR="002A6A01" w:rsidRPr="00576AF8" w:rsidRDefault="002A6A01" w:rsidP="00DE0454">
            <w:pPr>
              <w:rPr>
                <w:sz w:val="12"/>
                <w:szCs w:val="12"/>
                <w:lang w:eastAsia="es-EC"/>
              </w:rPr>
            </w:pPr>
          </w:p>
        </w:tc>
        <w:tc>
          <w:tcPr>
            <w:tcW w:w="567" w:type="dxa"/>
            <w:tcBorders>
              <w:top w:val="nil"/>
              <w:left w:val="nil"/>
              <w:bottom w:val="nil"/>
              <w:right w:val="nil"/>
            </w:tcBorders>
            <w:shd w:val="clear" w:color="auto" w:fill="auto"/>
            <w:vAlign w:val="bottom"/>
            <w:hideMark/>
          </w:tcPr>
          <w:p w14:paraId="6DA82DDB" w14:textId="77777777" w:rsidR="002A6A01" w:rsidRPr="00576AF8" w:rsidRDefault="002A6A01" w:rsidP="00DE0454">
            <w:pPr>
              <w:rPr>
                <w:sz w:val="12"/>
                <w:szCs w:val="12"/>
                <w:lang w:eastAsia="es-EC"/>
              </w:rPr>
            </w:pPr>
          </w:p>
        </w:tc>
        <w:tc>
          <w:tcPr>
            <w:tcW w:w="709" w:type="dxa"/>
            <w:tcBorders>
              <w:top w:val="nil"/>
              <w:left w:val="nil"/>
              <w:bottom w:val="nil"/>
              <w:right w:val="nil"/>
            </w:tcBorders>
            <w:shd w:val="clear" w:color="auto" w:fill="auto"/>
            <w:vAlign w:val="bottom"/>
            <w:hideMark/>
          </w:tcPr>
          <w:p w14:paraId="67F4115C" w14:textId="77777777" w:rsidR="002A6A01" w:rsidRPr="00576AF8" w:rsidRDefault="002A6A01" w:rsidP="00DE0454">
            <w:pPr>
              <w:rPr>
                <w:sz w:val="12"/>
                <w:szCs w:val="12"/>
                <w:lang w:eastAsia="es-EC"/>
              </w:rPr>
            </w:pPr>
          </w:p>
        </w:tc>
        <w:tc>
          <w:tcPr>
            <w:tcW w:w="709" w:type="dxa"/>
            <w:tcBorders>
              <w:top w:val="nil"/>
              <w:left w:val="nil"/>
              <w:bottom w:val="nil"/>
              <w:right w:val="nil"/>
            </w:tcBorders>
            <w:shd w:val="clear" w:color="auto" w:fill="auto"/>
            <w:vAlign w:val="bottom"/>
            <w:hideMark/>
          </w:tcPr>
          <w:p w14:paraId="194AD85B" w14:textId="77777777" w:rsidR="002A6A01" w:rsidRPr="00576AF8" w:rsidRDefault="002A6A01" w:rsidP="00DE0454">
            <w:pPr>
              <w:rPr>
                <w:sz w:val="12"/>
                <w:szCs w:val="12"/>
                <w:lang w:eastAsia="es-EC"/>
              </w:rPr>
            </w:pPr>
          </w:p>
        </w:tc>
        <w:tc>
          <w:tcPr>
            <w:tcW w:w="708" w:type="dxa"/>
            <w:tcBorders>
              <w:top w:val="nil"/>
              <w:left w:val="nil"/>
              <w:bottom w:val="nil"/>
              <w:right w:val="nil"/>
            </w:tcBorders>
            <w:shd w:val="clear" w:color="auto" w:fill="auto"/>
            <w:vAlign w:val="bottom"/>
            <w:hideMark/>
          </w:tcPr>
          <w:p w14:paraId="675ADE0B" w14:textId="77777777" w:rsidR="002A6A01" w:rsidRPr="00576AF8" w:rsidRDefault="002A6A01" w:rsidP="00DE0454">
            <w:pPr>
              <w:rPr>
                <w:sz w:val="12"/>
                <w:szCs w:val="12"/>
                <w:lang w:eastAsia="es-EC"/>
              </w:rPr>
            </w:pPr>
          </w:p>
        </w:tc>
        <w:tc>
          <w:tcPr>
            <w:tcW w:w="709" w:type="dxa"/>
            <w:tcBorders>
              <w:top w:val="nil"/>
              <w:left w:val="nil"/>
              <w:bottom w:val="nil"/>
              <w:right w:val="nil"/>
            </w:tcBorders>
            <w:shd w:val="clear" w:color="auto" w:fill="auto"/>
            <w:vAlign w:val="bottom"/>
            <w:hideMark/>
          </w:tcPr>
          <w:p w14:paraId="240534AC" w14:textId="77777777" w:rsidR="002A6A01" w:rsidRPr="00576AF8" w:rsidRDefault="002A6A01" w:rsidP="00DE0454">
            <w:pPr>
              <w:rPr>
                <w:sz w:val="12"/>
                <w:szCs w:val="12"/>
                <w:lang w:eastAsia="es-EC"/>
              </w:rPr>
            </w:pPr>
          </w:p>
        </w:tc>
        <w:tc>
          <w:tcPr>
            <w:tcW w:w="567" w:type="dxa"/>
            <w:tcBorders>
              <w:top w:val="nil"/>
              <w:left w:val="nil"/>
              <w:bottom w:val="nil"/>
              <w:right w:val="nil"/>
            </w:tcBorders>
            <w:shd w:val="clear" w:color="auto" w:fill="auto"/>
            <w:noWrap/>
            <w:vAlign w:val="bottom"/>
            <w:hideMark/>
          </w:tcPr>
          <w:p w14:paraId="76C27ACE" w14:textId="77777777" w:rsidR="002A6A01" w:rsidRPr="00576AF8" w:rsidRDefault="002A6A01" w:rsidP="00DE0454">
            <w:pPr>
              <w:rPr>
                <w:sz w:val="12"/>
                <w:szCs w:val="12"/>
                <w:lang w:eastAsia="es-EC"/>
              </w:rPr>
            </w:pPr>
          </w:p>
        </w:tc>
        <w:tc>
          <w:tcPr>
            <w:tcW w:w="425" w:type="dxa"/>
            <w:tcBorders>
              <w:top w:val="nil"/>
              <w:left w:val="nil"/>
              <w:bottom w:val="nil"/>
              <w:right w:val="nil"/>
            </w:tcBorders>
            <w:shd w:val="clear" w:color="auto" w:fill="auto"/>
            <w:noWrap/>
            <w:vAlign w:val="bottom"/>
            <w:hideMark/>
          </w:tcPr>
          <w:p w14:paraId="1DEE2640" w14:textId="77777777" w:rsidR="002A6A01" w:rsidRPr="00576AF8" w:rsidRDefault="002A6A01" w:rsidP="00DE0454">
            <w:pPr>
              <w:rPr>
                <w:sz w:val="12"/>
                <w:szCs w:val="12"/>
                <w:lang w:eastAsia="es-EC"/>
              </w:rPr>
            </w:pPr>
          </w:p>
        </w:tc>
        <w:tc>
          <w:tcPr>
            <w:tcW w:w="651" w:type="dxa"/>
            <w:tcBorders>
              <w:top w:val="nil"/>
              <w:left w:val="nil"/>
              <w:bottom w:val="nil"/>
              <w:right w:val="nil"/>
            </w:tcBorders>
            <w:shd w:val="clear" w:color="auto" w:fill="auto"/>
            <w:noWrap/>
            <w:vAlign w:val="bottom"/>
            <w:hideMark/>
          </w:tcPr>
          <w:p w14:paraId="543E3100" w14:textId="77777777" w:rsidR="002A6A01" w:rsidRPr="00576AF8" w:rsidRDefault="002A6A01" w:rsidP="00DE0454">
            <w:pPr>
              <w:ind w:firstLineChars="100" w:firstLine="120"/>
              <w:rPr>
                <w:b/>
                <w:bCs/>
                <w:color w:val="000000"/>
                <w:sz w:val="12"/>
                <w:szCs w:val="12"/>
                <w:lang w:eastAsia="es-EC"/>
              </w:rPr>
            </w:pPr>
            <w:proofErr w:type="gramStart"/>
            <w:r w:rsidRPr="00576AF8">
              <w:rPr>
                <w:b/>
                <w:bCs/>
                <w:color w:val="000000"/>
                <w:sz w:val="12"/>
                <w:szCs w:val="12"/>
                <w:lang w:eastAsia="es-EC"/>
              </w:rPr>
              <w:t>Total</w:t>
            </w:r>
            <w:proofErr w:type="gramEnd"/>
            <w:r w:rsidRPr="00576AF8">
              <w:rPr>
                <w:b/>
                <w:bCs/>
                <w:color w:val="000000"/>
                <w:sz w:val="12"/>
                <w:szCs w:val="12"/>
                <w:lang w:eastAsia="es-EC"/>
              </w:rPr>
              <w:t xml:space="preserve"> días de transferencia de conocimiento</w:t>
            </w:r>
          </w:p>
        </w:tc>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70EABF57" w14:textId="77777777" w:rsidR="002A6A01" w:rsidRPr="00576AF8" w:rsidRDefault="002A6A01" w:rsidP="00DE0454">
            <w:pPr>
              <w:rPr>
                <w:b/>
                <w:bCs/>
                <w:color w:val="000000"/>
                <w:sz w:val="12"/>
                <w:szCs w:val="12"/>
                <w:lang w:eastAsia="es-EC"/>
              </w:rPr>
            </w:pPr>
            <w:r w:rsidRPr="00576AF8">
              <w:rPr>
                <w:b/>
                <w:bCs/>
                <w:color w:val="000000"/>
                <w:sz w:val="12"/>
                <w:szCs w:val="12"/>
                <w:lang w:eastAsia="es-EC"/>
              </w:rPr>
              <w:t>151</w:t>
            </w:r>
          </w:p>
        </w:tc>
      </w:tr>
      <w:bookmarkEnd w:id="1113"/>
    </w:tbl>
    <w:p w14:paraId="44988901" w14:textId="77777777" w:rsidR="002A6A01" w:rsidRPr="00576AF8" w:rsidRDefault="002A6A01" w:rsidP="009102A7">
      <w:pPr>
        <w:spacing w:before="120"/>
        <w:jc w:val="center"/>
        <w:rPr>
          <w:b/>
          <w:sz w:val="22"/>
          <w:szCs w:val="22"/>
        </w:rPr>
      </w:pPr>
    </w:p>
    <w:p w14:paraId="2ACCC80D" w14:textId="77777777" w:rsidR="009102A7" w:rsidRPr="00576AF8" w:rsidRDefault="009102A7" w:rsidP="009102A7">
      <w:pPr>
        <w:spacing w:before="120"/>
        <w:jc w:val="center"/>
        <w:rPr>
          <w:b/>
          <w:sz w:val="22"/>
          <w:szCs w:val="22"/>
        </w:rPr>
      </w:pPr>
      <w:r w:rsidRPr="00576AF8">
        <w:rPr>
          <w:b/>
          <w:sz w:val="22"/>
          <w:szCs w:val="22"/>
        </w:rPr>
        <w:t xml:space="preserve">Tabla </w:t>
      </w:r>
      <w:r w:rsidR="00467979" w:rsidRPr="00576AF8">
        <w:rPr>
          <w:b/>
          <w:sz w:val="22"/>
          <w:szCs w:val="22"/>
        </w:rPr>
        <w:t>1</w:t>
      </w:r>
      <w:r w:rsidR="00D250F3" w:rsidRPr="00576AF8">
        <w:rPr>
          <w:b/>
          <w:sz w:val="22"/>
          <w:szCs w:val="22"/>
        </w:rPr>
        <w:t>1</w:t>
      </w:r>
      <w:r w:rsidRPr="00576AF8">
        <w:rPr>
          <w:b/>
          <w:sz w:val="22"/>
          <w:szCs w:val="22"/>
        </w:rPr>
        <w:t>. Lista de Transferencia de Conocimientos, mínima requerida, estimado de participantes y duración</w:t>
      </w:r>
    </w:p>
    <w:p w14:paraId="0D2368A7" w14:textId="77777777" w:rsidR="009102A7" w:rsidRPr="00576AF8" w:rsidRDefault="009102A7" w:rsidP="009102A7">
      <w:pPr>
        <w:rPr>
          <w:sz w:val="22"/>
          <w:szCs w:val="22"/>
        </w:rPr>
      </w:pPr>
    </w:p>
    <w:p w14:paraId="22727E8D" w14:textId="77777777" w:rsidR="009102A7" w:rsidRPr="00576AF8" w:rsidRDefault="009102A7" w:rsidP="009102A7">
      <w:pPr>
        <w:numPr>
          <w:ilvl w:val="0"/>
          <w:numId w:val="38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01" w:hanging="283"/>
        <w:contextualSpacing/>
        <w:rPr>
          <w:rFonts w:eastAsia="Calibri"/>
          <w:color w:val="000000"/>
          <w:sz w:val="22"/>
          <w:szCs w:val="22"/>
        </w:rPr>
      </w:pPr>
      <w:r w:rsidRPr="00576AF8">
        <w:rPr>
          <w:rFonts w:eastAsia="Calibri"/>
          <w:color w:val="000000"/>
          <w:sz w:val="22"/>
          <w:szCs w:val="22"/>
        </w:rPr>
        <w:t>El Proveedor presentará para la aprobación del CENACE, una sinopsis de la transferencia de conocimientos ofrecida al menos dos (2) meses antes del comienzo de la misma. La formación será tal que, al término de la transferencia de conocimientos, el personal del CENACE pueda configurar, operar y mantener toda la infraestructura instalada de manera independiente.</w:t>
      </w:r>
    </w:p>
    <w:p w14:paraId="1D6D9D5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84"/>
        <w:rPr>
          <w:rFonts w:eastAsia="Calibri"/>
          <w:b/>
          <w:color w:val="000000"/>
          <w:sz w:val="22"/>
          <w:szCs w:val="22"/>
        </w:rPr>
      </w:pPr>
      <w:r w:rsidRPr="00576AF8">
        <w:rPr>
          <w:rFonts w:eastAsia="Calibri"/>
          <w:b/>
          <w:color w:val="000000"/>
          <w:sz w:val="22"/>
          <w:szCs w:val="22"/>
        </w:rPr>
        <w:t>Planificación de la Transferencia de Conocimiento</w:t>
      </w:r>
    </w:p>
    <w:p w14:paraId="1139322D"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rPr>
          <w:rFonts w:eastAsia="Calibri"/>
          <w:color w:val="000000"/>
          <w:sz w:val="22"/>
          <w:szCs w:val="22"/>
        </w:rPr>
      </w:pPr>
      <w:r w:rsidRPr="00576AF8">
        <w:rPr>
          <w:rFonts w:eastAsia="Calibri"/>
          <w:color w:val="000000"/>
          <w:sz w:val="22"/>
          <w:szCs w:val="22"/>
        </w:rPr>
        <w:t>El Proveedor presentará un plan de transferencia de conocimiento para su aprobación. Para la transferencia de conocimientos incluida, el plan de formación contendrá la siguiente información:</w:t>
      </w:r>
    </w:p>
    <w:p w14:paraId="5A46A497" w14:textId="77777777" w:rsidR="009102A7" w:rsidRPr="00576AF8" w:rsidRDefault="009102A7" w:rsidP="009102A7">
      <w:pPr>
        <w:numPr>
          <w:ilvl w:val="0"/>
          <w:numId w:val="38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2410" w:hanging="425"/>
        <w:contextualSpacing/>
        <w:rPr>
          <w:rFonts w:eastAsia="Calibri"/>
          <w:color w:val="000000"/>
          <w:sz w:val="22"/>
          <w:szCs w:val="22"/>
        </w:rPr>
      </w:pPr>
      <w:r w:rsidRPr="00576AF8">
        <w:rPr>
          <w:rFonts w:eastAsia="Calibri"/>
          <w:color w:val="000000"/>
          <w:sz w:val="22"/>
          <w:szCs w:val="22"/>
        </w:rPr>
        <w:t>Nombre de la transferencia de conocimientos</w:t>
      </w:r>
    </w:p>
    <w:p w14:paraId="63251031" w14:textId="77777777" w:rsidR="009102A7" w:rsidRPr="00576AF8" w:rsidRDefault="009102A7" w:rsidP="009102A7">
      <w:pPr>
        <w:numPr>
          <w:ilvl w:val="0"/>
          <w:numId w:val="383"/>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hanging="425"/>
        <w:contextualSpacing/>
        <w:rPr>
          <w:rFonts w:eastAsia="Calibri"/>
          <w:color w:val="000000"/>
          <w:sz w:val="22"/>
          <w:szCs w:val="22"/>
        </w:rPr>
      </w:pPr>
      <w:r w:rsidRPr="00576AF8">
        <w:rPr>
          <w:rFonts w:eastAsia="Calibri"/>
          <w:color w:val="000000"/>
          <w:sz w:val="22"/>
          <w:szCs w:val="22"/>
        </w:rPr>
        <w:t>Tipo de formación: teórica o práctica.</w:t>
      </w:r>
    </w:p>
    <w:p w14:paraId="1FEB11C0" w14:textId="77777777" w:rsidR="009102A7" w:rsidRPr="00576AF8" w:rsidRDefault="009102A7" w:rsidP="009102A7">
      <w:pPr>
        <w:numPr>
          <w:ilvl w:val="0"/>
          <w:numId w:val="383"/>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hanging="425"/>
        <w:contextualSpacing/>
        <w:rPr>
          <w:rFonts w:eastAsia="Calibri"/>
          <w:color w:val="000000"/>
          <w:sz w:val="22"/>
          <w:szCs w:val="22"/>
        </w:rPr>
      </w:pPr>
      <w:r w:rsidRPr="00576AF8">
        <w:rPr>
          <w:rFonts w:eastAsia="Calibri"/>
          <w:color w:val="000000"/>
          <w:sz w:val="22"/>
          <w:szCs w:val="22"/>
        </w:rPr>
        <w:t>Número de días de duración</w:t>
      </w:r>
    </w:p>
    <w:p w14:paraId="1814C673"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Número de alumnos</w:t>
      </w:r>
    </w:p>
    <w:p w14:paraId="700DD921"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Objetivos de la transferencia de conocimientos</w:t>
      </w:r>
    </w:p>
    <w:p w14:paraId="5E4FBF66"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Requisitos previos para asistir a la transferencia de conocimientos</w:t>
      </w:r>
    </w:p>
    <w:p w14:paraId="346E8200"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 xml:space="preserve">Ubicación o modalidad de la formación (CENACE). </w:t>
      </w:r>
    </w:p>
    <w:p w14:paraId="0E7DFA97"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Medios y materiales de formación</w:t>
      </w:r>
    </w:p>
    <w:p w14:paraId="12033C5D"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Temas principales de la transferencia de conocimientos</w:t>
      </w:r>
    </w:p>
    <w:p w14:paraId="212F7688" w14:textId="77777777" w:rsidR="009102A7" w:rsidRPr="00576AF8" w:rsidRDefault="009102A7" w:rsidP="009102A7">
      <w:pPr>
        <w:numPr>
          <w:ilvl w:val="0"/>
          <w:numId w:val="384"/>
        </w:numPr>
        <w:pBdr>
          <w:top w:val="none" w:sz="0" w:space="0" w:color="000000"/>
          <w:left w:val="none" w:sz="0" w:space="1" w:color="000000"/>
          <w:bottom w:val="none" w:sz="0" w:space="0" w:color="000000"/>
          <w:right w:val="none" w:sz="0" w:space="0" w:color="000000"/>
          <w:between w:val="none" w:sz="0" w:space="0" w:color="000000"/>
        </w:pBdr>
        <w:suppressAutoHyphens w:val="0"/>
        <w:spacing w:before="120" w:after="0" w:line="276" w:lineRule="auto"/>
        <w:ind w:left="2410"/>
        <w:contextualSpacing/>
        <w:rPr>
          <w:rFonts w:eastAsia="Calibri"/>
          <w:color w:val="000000"/>
          <w:sz w:val="22"/>
          <w:szCs w:val="22"/>
        </w:rPr>
      </w:pPr>
      <w:r w:rsidRPr="00576AF8">
        <w:rPr>
          <w:rFonts w:eastAsia="Calibri"/>
          <w:color w:val="000000"/>
          <w:sz w:val="22"/>
          <w:szCs w:val="22"/>
        </w:rPr>
        <w:t>Requisitos específicos del aula (si corresponde) y equipo/herramientas necesarias para las actividades prácticas.</w:t>
      </w:r>
    </w:p>
    <w:p w14:paraId="34E3027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1777"/>
        <w:contextualSpacing/>
        <w:rPr>
          <w:rFonts w:eastAsia="Calibri"/>
          <w:color w:val="000000"/>
          <w:sz w:val="22"/>
          <w:szCs w:val="22"/>
        </w:rPr>
      </w:pPr>
    </w:p>
    <w:p w14:paraId="03E27EE1"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 xml:space="preserve">El alcance y el contenido de la transferencia de conocimientos garantizará una cobertura sistemática y completa de todas las funciones operativas y los requisitos de </w:t>
      </w:r>
      <w:r w:rsidR="001933C8" w:rsidRPr="00576AF8">
        <w:rPr>
          <w:sz w:val="22"/>
          <w:szCs w:val="22"/>
        </w:rPr>
        <w:t>administración</w:t>
      </w:r>
      <w:r w:rsidR="001933C8" w:rsidRPr="00576AF8" w:rsidDel="001933C8">
        <w:rPr>
          <w:rFonts w:eastAsia="Calibri"/>
          <w:color w:val="000000"/>
          <w:sz w:val="22"/>
          <w:szCs w:val="22"/>
        </w:rPr>
        <w:t xml:space="preserve"> </w:t>
      </w:r>
      <w:r w:rsidRPr="00576AF8">
        <w:rPr>
          <w:rFonts w:eastAsia="Calibri"/>
          <w:color w:val="000000"/>
          <w:sz w:val="22"/>
          <w:szCs w:val="22"/>
        </w:rPr>
        <w:t xml:space="preserve">identificados tanto en el diseño como en la documentación de operaciones y </w:t>
      </w:r>
      <w:r w:rsidR="001933C8" w:rsidRPr="00576AF8">
        <w:rPr>
          <w:sz w:val="22"/>
          <w:szCs w:val="22"/>
        </w:rPr>
        <w:t>administración</w:t>
      </w:r>
      <w:r w:rsidRPr="00576AF8">
        <w:rPr>
          <w:rFonts w:eastAsia="Calibri"/>
          <w:color w:val="000000"/>
          <w:sz w:val="22"/>
          <w:szCs w:val="22"/>
        </w:rPr>
        <w:t xml:space="preserve"> para las instalaciones entregadas en virtud del contrato. </w:t>
      </w:r>
    </w:p>
    <w:p w14:paraId="232A239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810"/>
        <w:contextualSpacing/>
        <w:rPr>
          <w:rFonts w:eastAsia="Calibri"/>
          <w:color w:val="000000"/>
          <w:sz w:val="22"/>
          <w:szCs w:val="22"/>
        </w:rPr>
      </w:pPr>
    </w:p>
    <w:p w14:paraId="22A3B431"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after="0" w:line="276" w:lineRule="auto"/>
        <w:contextualSpacing/>
        <w:rPr>
          <w:rFonts w:eastAsia="Calibri"/>
          <w:color w:val="000000"/>
          <w:sz w:val="22"/>
          <w:szCs w:val="22"/>
        </w:rPr>
      </w:pPr>
      <w:r w:rsidRPr="00576AF8">
        <w:rPr>
          <w:rFonts w:eastAsia="Calibri"/>
          <w:color w:val="000000"/>
          <w:sz w:val="22"/>
          <w:szCs w:val="22"/>
        </w:rPr>
        <w:t xml:space="preserve">También se incluirán todos los productos de terceros, como los sistemas operativos, sus utilidades y diagnósticos asociados. Además de los documentos técnicos pertinentes (es decir, manuales del operador, manuales de </w:t>
      </w:r>
      <w:r w:rsidR="001933C8" w:rsidRPr="00576AF8">
        <w:rPr>
          <w:sz w:val="22"/>
          <w:szCs w:val="22"/>
        </w:rPr>
        <w:t>administración</w:t>
      </w:r>
      <w:r w:rsidRPr="00576AF8">
        <w:rPr>
          <w:rFonts w:eastAsia="Calibri"/>
          <w:color w:val="000000"/>
          <w:sz w:val="22"/>
          <w:szCs w:val="22"/>
        </w:rPr>
        <w:t xml:space="preserve">), el Proveedor proporcionará materiales específicos de la transferencia de conocimientos, como se indica a continuación: </w:t>
      </w:r>
    </w:p>
    <w:p w14:paraId="7D4483F4" w14:textId="77777777" w:rsidR="009102A7" w:rsidRPr="00576AF8" w:rsidRDefault="009102A7" w:rsidP="009102A7">
      <w:pPr>
        <w:numPr>
          <w:ilvl w:val="1"/>
          <w:numId w:val="1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 xml:space="preserve">Diapositivas utilizadas para la transferencia de conocimientos ofrecida. </w:t>
      </w:r>
    </w:p>
    <w:p w14:paraId="488724C5" w14:textId="4FA5361B" w:rsidR="009102A7" w:rsidRPr="00576AF8" w:rsidRDefault="009102A7" w:rsidP="009102A7">
      <w:pPr>
        <w:numPr>
          <w:ilvl w:val="1"/>
          <w:numId w:val="1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 xml:space="preserve">Manual de transferencia de conocimiento para cada ítem de la Tabla </w:t>
      </w:r>
      <w:r w:rsidR="00C741D6" w:rsidRPr="00576AF8">
        <w:rPr>
          <w:rFonts w:eastAsia="Calibri"/>
          <w:color w:val="000000"/>
          <w:sz w:val="22"/>
          <w:szCs w:val="22"/>
        </w:rPr>
        <w:t>1</w:t>
      </w:r>
      <w:r w:rsidR="00C741D6">
        <w:rPr>
          <w:rFonts w:eastAsia="Calibri"/>
          <w:color w:val="000000"/>
          <w:sz w:val="22"/>
          <w:szCs w:val="22"/>
        </w:rPr>
        <w:t>1</w:t>
      </w:r>
      <w:r w:rsidRPr="00576AF8">
        <w:rPr>
          <w:rFonts w:eastAsia="Calibri"/>
          <w:color w:val="000000"/>
          <w:sz w:val="22"/>
          <w:szCs w:val="22"/>
        </w:rPr>
        <w:t xml:space="preserve">. </w:t>
      </w:r>
    </w:p>
    <w:p w14:paraId="039A8099" w14:textId="10198B25" w:rsidR="009102A7" w:rsidRPr="00576AF8" w:rsidRDefault="009102A7" w:rsidP="009102A7">
      <w:pPr>
        <w:numPr>
          <w:ilvl w:val="1"/>
          <w:numId w:val="1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lastRenderedPageBreak/>
        <w:t xml:space="preserve">Evaluación escrita del aprendizaje para cada ítem de la Tabla </w:t>
      </w:r>
      <w:r w:rsidR="00C741D6" w:rsidRPr="00576AF8">
        <w:rPr>
          <w:rFonts w:eastAsia="Calibri"/>
          <w:color w:val="000000"/>
          <w:sz w:val="22"/>
          <w:szCs w:val="22"/>
        </w:rPr>
        <w:t>1</w:t>
      </w:r>
      <w:r w:rsidR="00C741D6">
        <w:rPr>
          <w:rFonts w:eastAsia="Calibri"/>
          <w:color w:val="000000"/>
          <w:sz w:val="22"/>
          <w:szCs w:val="22"/>
        </w:rPr>
        <w:t>1</w:t>
      </w:r>
      <w:r w:rsidR="00C741D6" w:rsidRPr="00576AF8">
        <w:rPr>
          <w:rFonts w:eastAsia="Calibri"/>
          <w:color w:val="000000"/>
          <w:sz w:val="22"/>
          <w:szCs w:val="22"/>
        </w:rPr>
        <w:t xml:space="preserve"> </w:t>
      </w:r>
      <w:r w:rsidRPr="00576AF8">
        <w:rPr>
          <w:rFonts w:eastAsia="Calibri"/>
          <w:color w:val="000000"/>
          <w:sz w:val="22"/>
          <w:szCs w:val="22"/>
        </w:rPr>
        <w:t xml:space="preserve">de la transferencia de conocimientos que se basará al menos en 10 preguntas. </w:t>
      </w:r>
    </w:p>
    <w:p w14:paraId="594417B1" w14:textId="77777777" w:rsidR="009102A7" w:rsidRPr="00576AF8" w:rsidRDefault="009102A7" w:rsidP="009102A7">
      <w:pPr>
        <w:numPr>
          <w:ilvl w:val="1"/>
          <w:numId w:val="1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Una lista de actividades prácticas concebidas para la evaluación práctica de los alumnos.</w:t>
      </w:r>
    </w:p>
    <w:p w14:paraId="244DBE4A"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rPr>
          <w:rFonts w:eastAsia="Calibri"/>
          <w:color w:val="000000"/>
          <w:sz w:val="22"/>
          <w:szCs w:val="22"/>
        </w:rPr>
      </w:pPr>
      <w:r w:rsidRPr="00576AF8">
        <w:rPr>
          <w:rFonts w:eastAsia="Calibri"/>
          <w:color w:val="000000"/>
          <w:sz w:val="22"/>
          <w:szCs w:val="22"/>
        </w:rPr>
        <w:t xml:space="preserve">Para la transferencia de conocimientos, el CENACE proporcionará la documentación administrativa que debe completar el instructor, así como los asistentes. En particular, se proporcionará lo siguiente: </w:t>
      </w:r>
    </w:p>
    <w:p w14:paraId="5589E051" w14:textId="77777777" w:rsidR="009102A7" w:rsidRPr="00576AF8" w:rsidRDefault="009102A7" w:rsidP="009102A7">
      <w:pPr>
        <w:numPr>
          <w:ilvl w:val="0"/>
          <w:numId w:val="1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rPr>
          <w:rFonts w:eastAsia="Calibri"/>
          <w:color w:val="000000"/>
          <w:sz w:val="22"/>
          <w:szCs w:val="22"/>
        </w:rPr>
      </w:pPr>
      <w:r w:rsidRPr="00576AF8">
        <w:rPr>
          <w:rFonts w:eastAsia="Calibri"/>
          <w:color w:val="000000"/>
          <w:sz w:val="22"/>
          <w:szCs w:val="22"/>
          <w:u w:val="single"/>
        </w:rPr>
        <w:t>Registro de asistencia al curso</w:t>
      </w:r>
      <w:r w:rsidRPr="00576AF8">
        <w:rPr>
          <w:rFonts w:eastAsia="Calibri"/>
          <w:color w:val="000000"/>
          <w:sz w:val="22"/>
          <w:szCs w:val="22"/>
        </w:rPr>
        <w:t xml:space="preserve">: será firmado diariamente por los asistentes y llenado por el entrenador. </w:t>
      </w:r>
    </w:p>
    <w:p w14:paraId="256F6F8D" w14:textId="77777777" w:rsidR="009102A7" w:rsidRPr="00576AF8" w:rsidRDefault="009102A7" w:rsidP="009102A7">
      <w:pPr>
        <w:numPr>
          <w:ilvl w:val="0"/>
          <w:numId w:val="1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rPr>
          <w:rFonts w:eastAsia="Calibri"/>
          <w:color w:val="000000"/>
          <w:sz w:val="22"/>
          <w:szCs w:val="22"/>
        </w:rPr>
      </w:pPr>
      <w:r w:rsidRPr="00576AF8">
        <w:rPr>
          <w:rFonts w:eastAsia="Calibri"/>
          <w:color w:val="000000"/>
          <w:sz w:val="22"/>
          <w:szCs w:val="22"/>
          <w:u w:val="single"/>
        </w:rPr>
        <w:t>Cuestionarios de evaluación del curso</w:t>
      </w:r>
      <w:r w:rsidRPr="00576AF8">
        <w:rPr>
          <w:rFonts w:eastAsia="Calibri"/>
          <w:color w:val="000000"/>
          <w:sz w:val="22"/>
          <w:szCs w:val="22"/>
        </w:rPr>
        <w:t>: a través de este formulario de evaluación, los asistentes podrán evaluar el grado de satisfacción del curso, así como el desempeño de los entrenadores.</w:t>
      </w:r>
    </w:p>
    <w:p w14:paraId="3F172BD2"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contextualSpacing/>
        <w:rPr>
          <w:rFonts w:eastAsia="Calibri"/>
          <w:color w:val="000000"/>
          <w:sz w:val="22"/>
          <w:szCs w:val="22"/>
        </w:rPr>
      </w:pPr>
      <w:r w:rsidRPr="00576AF8">
        <w:rPr>
          <w:rFonts w:eastAsia="Calibri"/>
          <w:color w:val="000000"/>
          <w:sz w:val="22"/>
          <w:szCs w:val="22"/>
        </w:rPr>
        <w:t xml:space="preserve">Al final de la transferencia de conocimientos, el Proveedor proporcionará al CENACE las copias originales de la documentación mencionada anteriormente y los formularios de evaluación del curso llenados. El Proveedor realizará la expedición de los certificados de asistencia a la formación. </w:t>
      </w:r>
    </w:p>
    <w:p w14:paraId="76F8E89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ind w:left="810"/>
        <w:contextualSpacing/>
        <w:rPr>
          <w:rFonts w:eastAsia="Calibri"/>
          <w:color w:val="000000"/>
          <w:sz w:val="22"/>
          <w:szCs w:val="22"/>
        </w:rPr>
      </w:pPr>
    </w:p>
    <w:p w14:paraId="45FF9F67"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after="0" w:line="276" w:lineRule="auto"/>
        <w:contextualSpacing/>
        <w:rPr>
          <w:rFonts w:eastAsia="Calibri"/>
          <w:color w:val="000000"/>
          <w:sz w:val="22"/>
          <w:szCs w:val="22"/>
        </w:rPr>
      </w:pPr>
      <w:r w:rsidRPr="00576AF8">
        <w:rPr>
          <w:rFonts w:eastAsia="Calibri"/>
          <w:color w:val="000000"/>
          <w:sz w:val="22"/>
          <w:szCs w:val="22"/>
        </w:rPr>
        <w:t xml:space="preserve">La documentación anterior se proporcionará en inglés o en español. </w:t>
      </w:r>
    </w:p>
    <w:p w14:paraId="7A93153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after="0" w:line="276" w:lineRule="auto"/>
        <w:rPr>
          <w:rFonts w:eastAsia="Calibri"/>
          <w:color w:val="000000"/>
          <w:sz w:val="22"/>
          <w:szCs w:val="22"/>
        </w:rPr>
      </w:pPr>
    </w:p>
    <w:p w14:paraId="77A30220"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after="0" w:line="276" w:lineRule="auto"/>
        <w:contextualSpacing/>
        <w:rPr>
          <w:rFonts w:eastAsia="Calibri"/>
          <w:color w:val="000000"/>
          <w:sz w:val="22"/>
          <w:szCs w:val="22"/>
        </w:rPr>
      </w:pPr>
      <w:r w:rsidRPr="00576AF8">
        <w:rPr>
          <w:rFonts w:eastAsia="Calibri"/>
          <w:color w:val="000000"/>
          <w:sz w:val="22"/>
          <w:szCs w:val="22"/>
        </w:rPr>
        <w:t>El Proveedor proveerá las copias individuales electrónicas del material de transferencia de conocimientos que se entregarán a cada asistente al comienzo de la transferencia de conocimientos. Sobre la base de la información obtenida de la transferencia de conocimientos de formación, dicha documentación será actualizada por el Proveedor.</w:t>
      </w:r>
    </w:p>
    <w:p w14:paraId="439589B9" w14:textId="77777777" w:rsidR="009102A7" w:rsidRPr="00576AF8" w:rsidRDefault="009102A7" w:rsidP="009102A7">
      <w:pPr>
        <w:numPr>
          <w:ilvl w:val="0"/>
          <w:numId w:val="1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276" w:lineRule="auto"/>
        <w:rPr>
          <w:rFonts w:eastAsia="Calibri"/>
          <w:color w:val="000000"/>
          <w:sz w:val="22"/>
          <w:szCs w:val="22"/>
        </w:rPr>
      </w:pPr>
      <w:r w:rsidRPr="00576AF8">
        <w:rPr>
          <w:rFonts w:eastAsia="Calibri"/>
          <w:color w:val="000000"/>
          <w:sz w:val="22"/>
          <w:szCs w:val="22"/>
        </w:rPr>
        <w:t>La lista de la transferencia de conocimientos definitiva será acordada durante la discusión del documento de alcance del Plan de Trabajo.</w:t>
      </w:r>
    </w:p>
    <w:p w14:paraId="5AD16109" w14:textId="77777777" w:rsidR="009102A7" w:rsidRPr="00576AF8" w:rsidRDefault="009102A7" w:rsidP="009102A7">
      <w:pPr>
        <w:ind w:right="41"/>
        <w:rPr>
          <w:color w:val="4472C4"/>
          <w:sz w:val="22"/>
          <w:szCs w:val="22"/>
        </w:rPr>
      </w:pPr>
    </w:p>
    <w:p w14:paraId="2D848683" w14:textId="77777777" w:rsidR="009102A7" w:rsidRPr="00576AF8" w:rsidRDefault="009102A7" w:rsidP="009102A7">
      <w:pPr>
        <w:ind w:right="41"/>
        <w:outlineLvl w:val="1"/>
        <w:rPr>
          <w:b/>
          <w:bCs/>
          <w:sz w:val="22"/>
          <w:szCs w:val="22"/>
        </w:rPr>
      </w:pPr>
      <w:bookmarkStart w:id="1114" w:name="_Toc454958727"/>
      <w:bookmarkStart w:id="1115" w:name="_Toc476310102"/>
      <w:bookmarkStart w:id="1116" w:name="_Toc482896431"/>
      <w:bookmarkStart w:id="1117" w:name="_Toc99868855"/>
      <w:bookmarkStart w:id="1118" w:name="_Toc160706916"/>
      <w:bookmarkStart w:id="1119" w:name="_Toc160707506"/>
      <w:bookmarkStart w:id="1120" w:name="_Toc160707763"/>
      <w:r w:rsidRPr="00576AF8">
        <w:rPr>
          <w:b/>
          <w:bCs/>
          <w:sz w:val="22"/>
          <w:szCs w:val="22"/>
        </w:rPr>
        <w:t>2.5</w:t>
      </w:r>
      <w:r w:rsidRPr="00576AF8">
        <w:rPr>
          <w:b/>
          <w:bCs/>
          <w:sz w:val="22"/>
          <w:szCs w:val="22"/>
        </w:rPr>
        <w:tab/>
        <w:t>Conversión y migración de datos</w:t>
      </w:r>
      <w:bookmarkEnd w:id="1114"/>
      <w:bookmarkEnd w:id="1115"/>
      <w:bookmarkEnd w:id="1116"/>
      <w:bookmarkEnd w:id="1117"/>
      <w:bookmarkEnd w:id="1118"/>
      <w:bookmarkEnd w:id="1119"/>
      <w:bookmarkEnd w:id="1120"/>
    </w:p>
    <w:p w14:paraId="50292D2D" w14:textId="77777777" w:rsidR="009102A7" w:rsidRPr="00576AF8" w:rsidRDefault="009102A7" w:rsidP="009102A7">
      <w:pPr>
        <w:ind w:left="720" w:hanging="720"/>
        <w:jc w:val="left"/>
        <w:outlineLvl w:val="2"/>
        <w:rPr>
          <w:b/>
          <w:i/>
          <w:color w:val="4472C4"/>
          <w:sz w:val="22"/>
          <w:szCs w:val="22"/>
        </w:rPr>
      </w:pPr>
      <w:bookmarkStart w:id="1121" w:name="_Toc163137315"/>
      <w:bookmarkStart w:id="1122" w:name="_Toc160706917"/>
      <w:bookmarkStart w:id="1123" w:name="_Toc160707190"/>
      <w:bookmarkStart w:id="1124" w:name="_Toc160707507"/>
      <w:bookmarkStart w:id="1125" w:name="_Toc160707704"/>
      <w:bookmarkStart w:id="1126" w:name="_Toc160707764"/>
      <w:r w:rsidRPr="00576AF8">
        <w:rPr>
          <w:b/>
          <w:sz w:val="22"/>
          <w:szCs w:val="22"/>
        </w:rPr>
        <w:t>2.5.1</w:t>
      </w:r>
      <w:r w:rsidRPr="00576AF8">
        <w:rPr>
          <w:b/>
          <w:sz w:val="22"/>
          <w:szCs w:val="22"/>
        </w:rPr>
        <w:tab/>
        <w:t>El Proveedor DEBERÁ proporcionar los servicios y herramientas necesarios para llevar a cabo los siguientes servicios de conversión y migración de datos:</w:t>
      </w:r>
      <w:bookmarkEnd w:id="1121"/>
      <w:r w:rsidRPr="00576AF8">
        <w:rPr>
          <w:b/>
          <w:sz w:val="22"/>
          <w:szCs w:val="22"/>
        </w:rPr>
        <w:t xml:space="preserve"> </w:t>
      </w:r>
      <w:bookmarkEnd w:id="1122"/>
      <w:bookmarkEnd w:id="1123"/>
      <w:bookmarkEnd w:id="1124"/>
      <w:bookmarkEnd w:id="1125"/>
      <w:bookmarkEnd w:id="1126"/>
    </w:p>
    <w:p w14:paraId="56B6EC2A" w14:textId="77777777" w:rsidR="009102A7" w:rsidRPr="00576AF8" w:rsidRDefault="009102A7" w:rsidP="009102A7">
      <w:pPr>
        <w:ind w:left="1440" w:right="41" w:hanging="720"/>
        <w:rPr>
          <w:sz w:val="22"/>
          <w:szCs w:val="22"/>
        </w:rPr>
      </w:pPr>
      <w:r w:rsidRPr="00576AF8">
        <w:rPr>
          <w:b/>
          <w:sz w:val="22"/>
          <w:szCs w:val="22"/>
        </w:rPr>
        <w:t>2.5.1.1</w:t>
      </w:r>
      <w:r w:rsidRPr="00576AF8">
        <w:rPr>
          <w:b/>
          <w:sz w:val="22"/>
          <w:szCs w:val="22"/>
        </w:rPr>
        <w:tab/>
        <w:t>Conversión y Migración de Base de Datos y Despliegues</w:t>
      </w:r>
    </w:p>
    <w:p w14:paraId="428EF8C6" w14:textId="77777777" w:rsidR="009102A7" w:rsidRPr="00576AF8" w:rsidRDefault="009102A7" w:rsidP="009102A7">
      <w:pPr>
        <w:numPr>
          <w:ilvl w:val="0"/>
          <w:numId w:val="20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color w:val="000000"/>
          <w:sz w:val="22"/>
          <w:szCs w:val="22"/>
        </w:rPr>
      </w:pPr>
      <w:r w:rsidRPr="00576AF8">
        <w:rPr>
          <w:rFonts w:eastAsia="Calibri"/>
          <w:color w:val="000000"/>
          <w:sz w:val="22"/>
          <w:szCs w:val="22"/>
        </w:rPr>
        <w:t xml:space="preserve">El Proveedor realizará la conversión y migración de la base de datos del SCADA/EMS (sistema central), de la base de datos de los PCU Gateways actuales a los nuevos Gateways, de todos los despliegues unifilares, tabulares y todos los demás existentes en el sistema actual incluyendo el sistema histórico del actual SCADA/EMS, macros y reportes del sistema utilizando las funcionalidades del sistema ofrecido. La conversión y migración de la base de datos será automatizada mediante procedimientos de extracción, transformación y carga para evitar errores por ingresos manuales, mediante una herramienta específica, proporcionada por el Proveedor y aprobada por CENACE. </w:t>
      </w:r>
    </w:p>
    <w:p w14:paraId="01EAA4E4" w14:textId="77777777" w:rsidR="009102A7" w:rsidRPr="00576AF8" w:rsidRDefault="009102A7" w:rsidP="009102A7">
      <w:pPr>
        <w:numPr>
          <w:ilvl w:val="0"/>
          <w:numId w:val="20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sz w:val="22"/>
          <w:szCs w:val="22"/>
        </w:rPr>
      </w:pPr>
      <w:r w:rsidRPr="00576AF8">
        <w:rPr>
          <w:color w:val="000000"/>
          <w:sz w:val="22"/>
          <w:szCs w:val="22"/>
        </w:rPr>
        <w:t xml:space="preserve">Desarrollo de despliegues: </w:t>
      </w:r>
      <w:bookmarkStart w:id="1127" w:name="_Hlk160440293"/>
      <w:r w:rsidRPr="00576AF8">
        <w:rPr>
          <w:color w:val="000000"/>
          <w:sz w:val="22"/>
          <w:szCs w:val="22"/>
        </w:rPr>
        <w:t xml:space="preserve">El Proveedor debe realizar la conversión </w:t>
      </w:r>
      <w:r w:rsidRPr="00576AF8">
        <w:rPr>
          <w:rFonts w:eastAsia="Calibri"/>
          <w:color w:val="000000"/>
          <w:sz w:val="22"/>
          <w:szCs w:val="22"/>
        </w:rPr>
        <w:t>y migración</w:t>
      </w:r>
      <w:r w:rsidRPr="00576AF8">
        <w:rPr>
          <w:color w:val="000000"/>
          <w:sz w:val="22"/>
          <w:szCs w:val="22"/>
        </w:rPr>
        <w:t xml:space="preserve"> de todos los despliegues existentes en el SCADA/EMS a la fecha de la elaboración del Plan de </w:t>
      </w:r>
      <w:r w:rsidRPr="00576AF8">
        <w:rPr>
          <w:color w:val="000000"/>
          <w:sz w:val="22"/>
          <w:szCs w:val="22"/>
        </w:rPr>
        <w:lastRenderedPageBreak/>
        <w:t xml:space="preserve">Trabajo. El Proveedor es el responsable de proponer y desarrollar una Guía de Estilo de Despliegues que aproveche al máximo las características gráficas nativas de las herramientas de edición de despliegues y de la topología de la red. La guía debe contener los estándares bajo los cuales se crearán todos los diagramas unifilares y de visión general durante el proyecto y posteriormente, así como, la convención de nomenclatura de equipos revisada, para garantizar el uso óptimo de la estructura de nomenclatura, sin comprometer las convenciones existentes. La Guía de estilo y su apéndice de nomenclatura deben proponerse y adaptarse durante el taller de creación de despliegues, solicitado como parte de la transferencia de conocimientos. </w:t>
      </w:r>
      <w:bookmarkEnd w:id="1127"/>
      <w:r w:rsidRPr="00576AF8">
        <w:rPr>
          <w:color w:val="000000"/>
          <w:sz w:val="22"/>
          <w:szCs w:val="22"/>
          <w:lang w:val="es-EC" w:eastAsia="es-EC" w:bidi="ar-SA"/>
        </w:rPr>
        <w:t xml:space="preserve">La </w:t>
      </w:r>
      <w:r w:rsidRPr="00576AF8">
        <w:rPr>
          <w:rFonts w:eastAsia="Calibri"/>
          <w:color w:val="000000"/>
          <w:sz w:val="22"/>
          <w:szCs w:val="22"/>
        </w:rPr>
        <w:t>guía de estilo debe ser compatible con aquella utilizada al momento por CENACE</w:t>
      </w:r>
      <w:r w:rsidRPr="00576AF8">
        <w:rPr>
          <w:color w:val="000000"/>
          <w:sz w:val="22"/>
          <w:szCs w:val="22"/>
          <w:lang w:val="es-EC" w:eastAsia="es-EC" w:bidi="ar-SA"/>
        </w:rPr>
        <w:t>.</w:t>
      </w:r>
    </w:p>
    <w:p w14:paraId="21C473F4" w14:textId="77777777" w:rsidR="009102A7" w:rsidRPr="00576AF8" w:rsidRDefault="009102A7" w:rsidP="009102A7">
      <w:pPr>
        <w:numPr>
          <w:ilvl w:val="0"/>
          <w:numId w:val="20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color w:val="000000"/>
          <w:sz w:val="22"/>
          <w:szCs w:val="22"/>
        </w:rPr>
      </w:pPr>
      <w:r w:rsidRPr="00576AF8">
        <w:rPr>
          <w:rFonts w:eastAsia="Calibri"/>
          <w:color w:val="000000"/>
          <w:sz w:val="22"/>
          <w:szCs w:val="22"/>
        </w:rPr>
        <w:t>La conversión de la base de datos se realizará antes de las pruebas SAT y debe ejecutarse una actualización del sistema de producción antes de dichas pruebas.</w:t>
      </w:r>
    </w:p>
    <w:p w14:paraId="08A1292B" w14:textId="77777777" w:rsidR="009102A7" w:rsidRPr="00576AF8" w:rsidRDefault="009102A7" w:rsidP="009102A7">
      <w:pPr>
        <w:ind w:left="708" w:right="41"/>
        <w:rPr>
          <w:sz w:val="22"/>
          <w:szCs w:val="22"/>
        </w:rPr>
      </w:pPr>
    </w:p>
    <w:p w14:paraId="29B512B7" w14:textId="77777777" w:rsidR="009102A7" w:rsidRPr="00576AF8" w:rsidRDefault="009102A7" w:rsidP="009102A7">
      <w:pPr>
        <w:ind w:left="708" w:right="41"/>
        <w:rPr>
          <w:b/>
          <w:sz w:val="22"/>
          <w:szCs w:val="22"/>
        </w:rPr>
      </w:pPr>
      <w:r w:rsidRPr="00576AF8">
        <w:rPr>
          <w:b/>
          <w:sz w:val="22"/>
          <w:szCs w:val="22"/>
        </w:rPr>
        <w:t>2.5.1.2 Conversión de Datos Históricos</w:t>
      </w:r>
    </w:p>
    <w:p w14:paraId="229BC3E2" w14:textId="77777777" w:rsidR="009102A7" w:rsidRPr="00576AF8" w:rsidRDefault="009102A7" w:rsidP="009102A7">
      <w:pPr>
        <w:spacing w:line="360" w:lineRule="auto"/>
        <w:ind w:left="708"/>
        <w:rPr>
          <w:rFonts w:eastAsia="Calibri"/>
          <w:sz w:val="22"/>
          <w:szCs w:val="22"/>
        </w:rPr>
      </w:pPr>
      <w:r w:rsidRPr="00576AF8">
        <w:rPr>
          <w:rFonts w:eastAsia="Calibri"/>
          <w:sz w:val="22"/>
          <w:szCs w:val="22"/>
        </w:rPr>
        <w:t xml:space="preserve">El Proveedor convertirá y migrará los datos históricos almacenados en el sistema existente y para los mismos puntos definidos en la base de datos convertida. Esta conversión cubrirá toda la información histórica disponible en el actual sistema SCADA/EMS de CENACE (2012 hasta la fecha), esto incluye las indicaciones, mediciones y acumuladores con sus respectivas calidades. </w:t>
      </w:r>
    </w:p>
    <w:p w14:paraId="4CB680EE" w14:textId="77777777" w:rsidR="009102A7" w:rsidRPr="00576AF8" w:rsidRDefault="009102A7" w:rsidP="009102A7">
      <w:pPr>
        <w:spacing w:line="360" w:lineRule="auto"/>
        <w:ind w:left="708"/>
        <w:rPr>
          <w:rFonts w:eastAsia="Calibri"/>
          <w:b/>
          <w:sz w:val="22"/>
          <w:szCs w:val="22"/>
        </w:rPr>
      </w:pPr>
      <w:r w:rsidRPr="00576AF8">
        <w:rPr>
          <w:rFonts w:eastAsia="Calibri"/>
          <w:b/>
          <w:sz w:val="22"/>
          <w:szCs w:val="22"/>
        </w:rPr>
        <w:t>2.5.1.3 Dimensionamiento de la base de datos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3254"/>
      </w:tblGrid>
      <w:tr w:rsidR="009102A7" w:rsidRPr="00576AF8" w14:paraId="294EB864" w14:textId="77777777" w:rsidTr="009F6B78">
        <w:trPr>
          <w:trHeight w:val="350"/>
          <w:jc w:val="center"/>
        </w:trPr>
        <w:tc>
          <w:tcPr>
            <w:tcW w:w="4831" w:type="dxa"/>
          </w:tcPr>
          <w:p w14:paraId="107CFD69" w14:textId="77777777" w:rsidR="009102A7" w:rsidRPr="00576AF8" w:rsidRDefault="009102A7" w:rsidP="009F6B78">
            <w:pPr>
              <w:widowControl w:val="0"/>
              <w:suppressAutoHyphens w:val="0"/>
              <w:autoSpaceDE w:val="0"/>
              <w:autoSpaceDN w:val="0"/>
              <w:spacing w:before="114" w:after="0" w:line="215" w:lineRule="exact"/>
              <w:ind w:left="1135"/>
              <w:jc w:val="left"/>
              <w:rPr>
                <w:rFonts w:eastAsia="Calibri"/>
                <w:b/>
                <w:sz w:val="22"/>
                <w:szCs w:val="22"/>
              </w:rPr>
            </w:pPr>
            <w:bookmarkStart w:id="1128" w:name="OLE_LINK5"/>
            <w:bookmarkStart w:id="1129" w:name="OLE_LINK4"/>
            <w:r w:rsidRPr="00576AF8">
              <w:rPr>
                <w:rFonts w:eastAsia="Calibri"/>
                <w:b/>
                <w:spacing w:val="-2"/>
                <w:sz w:val="22"/>
                <w:szCs w:val="22"/>
              </w:rPr>
              <w:t>Dimensionamiento</w:t>
            </w:r>
            <w:r w:rsidRPr="00576AF8">
              <w:rPr>
                <w:rFonts w:eastAsia="Calibri"/>
                <w:b/>
                <w:spacing w:val="10"/>
                <w:sz w:val="22"/>
                <w:szCs w:val="22"/>
              </w:rPr>
              <w:t xml:space="preserve"> </w:t>
            </w:r>
            <w:r w:rsidRPr="00576AF8">
              <w:rPr>
                <w:rFonts w:eastAsia="Calibri"/>
                <w:b/>
                <w:spacing w:val="-4"/>
                <w:sz w:val="22"/>
                <w:szCs w:val="22"/>
              </w:rPr>
              <w:t>SCADA</w:t>
            </w:r>
          </w:p>
        </w:tc>
        <w:tc>
          <w:tcPr>
            <w:tcW w:w="3254" w:type="dxa"/>
          </w:tcPr>
          <w:p w14:paraId="26125B8B" w14:textId="77777777" w:rsidR="009102A7" w:rsidRPr="00576AF8" w:rsidRDefault="009102A7" w:rsidP="009F6B78">
            <w:pPr>
              <w:widowControl w:val="0"/>
              <w:suppressAutoHyphens w:val="0"/>
              <w:autoSpaceDE w:val="0"/>
              <w:autoSpaceDN w:val="0"/>
              <w:spacing w:before="114" w:after="0" w:line="215" w:lineRule="exact"/>
              <w:ind w:left="690"/>
              <w:jc w:val="left"/>
              <w:rPr>
                <w:rFonts w:eastAsia="Calibri"/>
                <w:b/>
                <w:sz w:val="22"/>
                <w:szCs w:val="22"/>
              </w:rPr>
            </w:pPr>
            <w:r w:rsidRPr="00576AF8">
              <w:rPr>
                <w:rFonts w:eastAsia="Calibri"/>
                <w:b/>
                <w:sz w:val="22"/>
                <w:szCs w:val="22"/>
              </w:rPr>
              <w:t>Tamaño</w:t>
            </w:r>
            <w:r w:rsidRPr="00576AF8">
              <w:rPr>
                <w:rFonts w:eastAsia="Calibri"/>
                <w:b/>
                <w:spacing w:val="-7"/>
                <w:sz w:val="22"/>
                <w:szCs w:val="22"/>
              </w:rPr>
              <w:t xml:space="preserve"> </w:t>
            </w:r>
            <w:r w:rsidRPr="00576AF8">
              <w:rPr>
                <w:rFonts w:eastAsia="Calibri"/>
                <w:b/>
                <w:sz w:val="22"/>
                <w:szCs w:val="22"/>
              </w:rPr>
              <w:t>final</w:t>
            </w:r>
          </w:p>
        </w:tc>
      </w:tr>
      <w:tr w:rsidR="009102A7" w:rsidRPr="00576AF8" w14:paraId="64D770E5" w14:textId="77777777" w:rsidTr="009F6B78">
        <w:trPr>
          <w:trHeight w:val="350"/>
          <w:jc w:val="center"/>
        </w:trPr>
        <w:tc>
          <w:tcPr>
            <w:tcW w:w="4831" w:type="dxa"/>
          </w:tcPr>
          <w:p w14:paraId="4C04A673" w14:textId="77777777" w:rsidR="009102A7" w:rsidRPr="00576AF8" w:rsidRDefault="009102A7" w:rsidP="009F6B78">
            <w:pPr>
              <w:widowControl w:val="0"/>
              <w:suppressAutoHyphens w:val="0"/>
              <w:autoSpaceDE w:val="0"/>
              <w:autoSpaceDN w:val="0"/>
              <w:spacing w:before="114" w:after="0" w:line="215" w:lineRule="exact"/>
              <w:ind w:left="107"/>
              <w:jc w:val="left"/>
              <w:rPr>
                <w:rFonts w:eastAsia="Calibri"/>
                <w:b/>
                <w:sz w:val="22"/>
                <w:szCs w:val="22"/>
              </w:rPr>
            </w:pPr>
            <w:r w:rsidRPr="00576AF8">
              <w:rPr>
                <w:rFonts w:eastAsia="Calibri"/>
                <w:b/>
                <w:spacing w:val="-5"/>
                <w:sz w:val="22"/>
                <w:szCs w:val="22"/>
              </w:rPr>
              <w:t>RTU</w:t>
            </w:r>
          </w:p>
        </w:tc>
        <w:tc>
          <w:tcPr>
            <w:tcW w:w="3254" w:type="dxa"/>
          </w:tcPr>
          <w:p w14:paraId="6972669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58ADDB73" w14:textId="77777777" w:rsidTr="009F6B78">
        <w:trPr>
          <w:trHeight w:val="350"/>
          <w:jc w:val="center"/>
        </w:trPr>
        <w:tc>
          <w:tcPr>
            <w:tcW w:w="4831" w:type="dxa"/>
          </w:tcPr>
          <w:p w14:paraId="3812F58E"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5"/>
                <w:sz w:val="22"/>
                <w:szCs w:val="22"/>
              </w:rPr>
              <w:t xml:space="preserve"> </w:t>
            </w:r>
            <w:r w:rsidRPr="00576AF8">
              <w:rPr>
                <w:rFonts w:eastAsia="Calibri"/>
                <w:sz w:val="22"/>
                <w:szCs w:val="22"/>
              </w:rPr>
              <w:t>de</w:t>
            </w:r>
            <w:r w:rsidRPr="00576AF8">
              <w:rPr>
                <w:rFonts w:eastAsia="Calibri"/>
                <w:spacing w:val="-5"/>
                <w:sz w:val="22"/>
                <w:szCs w:val="22"/>
              </w:rPr>
              <w:t xml:space="preserve"> </w:t>
            </w:r>
            <w:r w:rsidRPr="00576AF8">
              <w:rPr>
                <w:rFonts w:eastAsia="Calibri"/>
                <w:spacing w:val="-4"/>
                <w:sz w:val="22"/>
                <w:szCs w:val="22"/>
              </w:rPr>
              <w:t>UTRs</w:t>
            </w:r>
          </w:p>
        </w:tc>
        <w:tc>
          <w:tcPr>
            <w:tcW w:w="3254" w:type="dxa"/>
          </w:tcPr>
          <w:p w14:paraId="4A6325CC" w14:textId="77777777" w:rsidR="009102A7" w:rsidRPr="00576AF8" w:rsidRDefault="009102A7" w:rsidP="009F6B78">
            <w:pPr>
              <w:widowControl w:val="0"/>
              <w:suppressAutoHyphens w:val="0"/>
              <w:autoSpaceDE w:val="0"/>
              <w:autoSpaceDN w:val="0"/>
              <w:spacing w:before="117" w:after="0" w:line="213" w:lineRule="exact"/>
              <w:ind w:right="100"/>
              <w:jc w:val="right"/>
              <w:rPr>
                <w:rFonts w:eastAsia="Calibri"/>
                <w:sz w:val="22"/>
                <w:szCs w:val="22"/>
              </w:rPr>
            </w:pPr>
            <w:r w:rsidRPr="00576AF8">
              <w:rPr>
                <w:rFonts w:eastAsia="Calibri"/>
                <w:spacing w:val="-5"/>
                <w:sz w:val="22"/>
                <w:szCs w:val="22"/>
              </w:rPr>
              <w:t>500</w:t>
            </w:r>
          </w:p>
        </w:tc>
      </w:tr>
      <w:tr w:rsidR="009102A7" w:rsidRPr="00576AF8" w14:paraId="2483204B" w14:textId="77777777" w:rsidTr="009F6B78">
        <w:trPr>
          <w:trHeight w:val="1041"/>
          <w:jc w:val="center"/>
        </w:trPr>
        <w:tc>
          <w:tcPr>
            <w:tcW w:w="4831" w:type="dxa"/>
          </w:tcPr>
          <w:p w14:paraId="20C8AA8A" w14:textId="77777777" w:rsidR="009102A7" w:rsidRPr="00576AF8" w:rsidRDefault="009102A7" w:rsidP="009F6B78">
            <w:pPr>
              <w:widowControl w:val="0"/>
              <w:suppressAutoHyphens w:val="0"/>
              <w:autoSpaceDE w:val="0"/>
              <w:autoSpaceDN w:val="0"/>
              <w:spacing w:before="117" w:after="0"/>
              <w:ind w:left="107"/>
              <w:jc w:val="left"/>
              <w:rPr>
                <w:rFonts w:eastAsia="Calibri"/>
                <w:sz w:val="22"/>
                <w:szCs w:val="22"/>
                <w:lang w:val="es-EC"/>
              </w:rPr>
            </w:pPr>
            <w:r w:rsidRPr="00576AF8">
              <w:rPr>
                <w:rFonts w:eastAsia="Calibri"/>
                <w:sz w:val="22"/>
                <w:szCs w:val="22"/>
                <w:lang w:val="es-EC"/>
              </w:rPr>
              <w:t>No.</w:t>
            </w:r>
            <w:r w:rsidRPr="00576AF8">
              <w:rPr>
                <w:rFonts w:eastAsia="Calibri"/>
                <w:spacing w:val="-6"/>
                <w:sz w:val="22"/>
                <w:szCs w:val="22"/>
                <w:lang w:val="es-EC"/>
              </w:rPr>
              <w:t xml:space="preserve"> </w:t>
            </w:r>
            <w:r w:rsidRPr="00576AF8">
              <w:rPr>
                <w:rFonts w:eastAsia="Calibri"/>
                <w:sz w:val="22"/>
                <w:szCs w:val="22"/>
                <w:lang w:val="es-EC"/>
              </w:rPr>
              <w:t>de</w:t>
            </w:r>
            <w:r w:rsidRPr="00576AF8">
              <w:rPr>
                <w:rFonts w:eastAsia="Calibri"/>
                <w:spacing w:val="-7"/>
                <w:sz w:val="22"/>
                <w:szCs w:val="22"/>
                <w:lang w:val="es-EC"/>
              </w:rPr>
              <w:t xml:space="preserve"> </w:t>
            </w:r>
            <w:r w:rsidRPr="00576AF8">
              <w:rPr>
                <w:rFonts w:eastAsia="Calibri"/>
                <w:sz w:val="22"/>
                <w:szCs w:val="22"/>
                <w:lang w:val="es-EC"/>
              </w:rPr>
              <w:t>líneas</w:t>
            </w:r>
            <w:r w:rsidRPr="00576AF8">
              <w:rPr>
                <w:rFonts w:eastAsia="Calibri"/>
                <w:spacing w:val="-2"/>
                <w:sz w:val="22"/>
                <w:szCs w:val="22"/>
                <w:lang w:val="es-EC"/>
              </w:rPr>
              <w:t xml:space="preserve"> </w:t>
            </w:r>
            <w:r w:rsidRPr="00576AF8">
              <w:rPr>
                <w:rFonts w:eastAsia="Calibri"/>
                <w:sz w:val="22"/>
                <w:szCs w:val="22"/>
                <w:lang w:val="es-EC"/>
              </w:rPr>
              <w:t>de</w:t>
            </w:r>
            <w:r w:rsidRPr="00576AF8">
              <w:rPr>
                <w:rFonts w:eastAsia="Calibri"/>
                <w:spacing w:val="-5"/>
                <w:sz w:val="22"/>
                <w:szCs w:val="22"/>
                <w:lang w:val="es-EC"/>
              </w:rPr>
              <w:t xml:space="preserve"> </w:t>
            </w:r>
            <w:r w:rsidRPr="00576AF8">
              <w:rPr>
                <w:rFonts w:eastAsia="Calibri"/>
                <w:spacing w:val="-2"/>
                <w:sz w:val="22"/>
                <w:szCs w:val="22"/>
                <w:lang w:val="es-EC"/>
              </w:rPr>
              <w:t>comunicación</w:t>
            </w:r>
          </w:p>
        </w:tc>
        <w:tc>
          <w:tcPr>
            <w:tcW w:w="3254" w:type="dxa"/>
          </w:tcPr>
          <w:p w14:paraId="4D4328DA" w14:textId="77777777" w:rsidR="009102A7" w:rsidRPr="00576AF8" w:rsidRDefault="009102A7" w:rsidP="009F6B78">
            <w:pPr>
              <w:widowControl w:val="0"/>
              <w:suppressAutoHyphens w:val="0"/>
              <w:autoSpaceDE w:val="0"/>
              <w:autoSpaceDN w:val="0"/>
              <w:spacing w:before="101" w:after="0" w:line="230" w:lineRule="atLeast"/>
              <w:ind w:left="105" w:right="43"/>
              <w:jc w:val="right"/>
              <w:rPr>
                <w:rFonts w:eastAsia="Calibri"/>
                <w:sz w:val="22"/>
                <w:szCs w:val="22"/>
                <w:lang w:val="es-EC"/>
              </w:rPr>
            </w:pPr>
            <w:r w:rsidRPr="00576AF8">
              <w:rPr>
                <w:rFonts w:eastAsia="Calibri"/>
                <w:sz w:val="22"/>
                <w:szCs w:val="22"/>
                <w:lang w:val="es-EC"/>
              </w:rPr>
              <w:t>Mínimo 250</w:t>
            </w:r>
          </w:p>
        </w:tc>
      </w:tr>
      <w:tr w:rsidR="009102A7" w:rsidRPr="00576AF8" w14:paraId="68F308E2" w14:textId="77777777" w:rsidTr="009F6B78">
        <w:trPr>
          <w:trHeight w:val="350"/>
          <w:jc w:val="center"/>
        </w:trPr>
        <w:tc>
          <w:tcPr>
            <w:tcW w:w="4831" w:type="dxa"/>
          </w:tcPr>
          <w:p w14:paraId="557AA2B4" w14:textId="77777777" w:rsidR="009102A7" w:rsidRPr="00576AF8" w:rsidRDefault="009102A7" w:rsidP="009F6B78">
            <w:pPr>
              <w:widowControl w:val="0"/>
              <w:suppressAutoHyphens w:val="0"/>
              <w:autoSpaceDE w:val="0"/>
              <w:autoSpaceDN w:val="0"/>
              <w:spacing w:before="114" w:after="0" w:line="215" w:lineRule="exact"/>
              <w:ind w:left="107"/>
              <w:jc w:val="left"/>
              <w:rPr>
                <w:rFonts w:eastAsia="Calibri"/>
                <w:b/>
                <w:sz w:val="22"/>
                <w:szCs w:val="22"/>
              </w:rPr>
            </w:pPr>
            <w:r w:rsidRPr="00576AF8">
              <w:rPr>
                <w:rFonts w:eastAsia="Calibri"/>
                <w:b/>
                <w:spacing w:val="-2"/>
                <w:sz w:val="22"/>
                <w:szCs w:val="22"/>
              </w:rPr>
              <w:t>SCADA</w:t>
            </w:r>
          </w:p>
        </w:tc>
        <w:tc>
          <w:tcPr>
            <w:tcW w:w="3254" w:type="dxa"/>
          </w:tcPr>
          <w:p w14:paraId="5CC0BBD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38B885D2" w14:textId="77777777" w:rsidTr="009F6B78">
        <w:trPr>
          <w:trHeight w:val="350"/>
          <w:jc w:val="center"/>
        </w:trPr>
        <w:tc>
          <w:tcPr>
            <w:tcW w:w="4831" w:type="dxa"/>
          </w:tcPr>
          <w:p w14:paraId="4EA8C7E0"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8"/>
                <w:sz w:val="22"/>
                <w:szCs w:val="22"/>
              </w:rPr>
              <w:t xml:space="preserve"> </w:t>
            </w:r>
            <w:r w:rsidRPr="00576AF8">
              <w:rPr>
                <w:rFonts w:eastAsia="Calibri"/>
                <w:spacing w:val="-2"/>
                <w:sz w:val="22"/>
                <w:szCs w:val="22"/>
              </w:rPr>
              <w:t>Analógicos</w:t>
            </w:r>
          </w:p>
        </w:tc>
        <w:tc>
          <w:tcPr>
            <w:tcW w:w="3254" w:type="dxa"/>
          </w:tcPr>
          <w:p w14:paraId="3C08CD4B" w14:textId="77777777" w:rsidR="009102A7" w:rsidRPr="00576AF8" w:rsidRDefault="009102A7" w:rsidP="009F6B78">
            <w:pPr>
              <w:widowControl w:val="0"/>
              <w:suppressAutoHyphens w:val="0"/>
              <w:autoSpaceDE w:val="0"/>
              <w:autoSpaceDN w:val="0"/>
              <w:spacing w:before="117" w:after="0" w:line="213" w:lineRule="exact"/>
              <w:ind w:right="100"/>
              <w:jc w:val="right"/>
              <w:rPr>
                <w:rFonts w:eastAsia="Calibri"/>
                <w:sz w:val="22"/>
                <w:szCs w:val="22"/>
              </w:rPr>
            </w:pPr>
            <w:r w:rsidRPr="00576AF8">
              <w:rPr>
                <w:rFonts w:eastAsia="Calibri"/>
                <w:spacing w:val="-2"/>
                <w:sz w:val="22"/>
                <w:szCs w:val="22"/>
              </w:rPr>
              <w:t>170000</w:t>
            </w:r>
          </w:p>
        </w:tc>
      </w:tr>
      <w:tr w:rsidR="009102A7" w:rsidRPr="00576AF8" w14:paraId="28A45041" w14:textId="77777777" w:rsidTr="009F6B78">
        <w:trPr>
          <w:trHeight w:val="350"/>
          <w:jc w:val="center"/>
        </w:trPr>
        <w:tc>
          <w:tcPr>
            <w:tcW w:w="4831" w:type="dxa"/>
          </w:tcPr>
          <w:p w14:paraId="19F29F62"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8"/>
                <w:sz w:val="22"/>
                <w:szCs w:val="22"/>
              </w:rPr>
              <w:t xml:space="preserve"> </w:t>
            </w:r>
            <w:r w:rsidRPr="00576AF8">
              <w:rPr>
                <w:rFonts w:eastAsia="Calibri"/>
                <w:spacing w:val="-2"/>
                <w:sz w:val="22"/>
                <w:szCs w:val="22"/>
              </w:rPr>
              <w:t>Estados</w:t>
            </w:r>
          </w:p>
        </w:tc>
        <w:tc>
          <w:tcPr>
            <w:tcW w:w="3254" w:type="dxa"/>
          </w:tcPr>
          <w:p w14:paraId="0BD94121" w14:textId="77777777" w:rsidR="009102A7" w:rsidRPr="00576AF8" w:rsidRDefault="009102A7" w:rsidP="009F6B78">
            <w:pPr>
              <w:widowControl w:val="0"/>
              <w:suppressAutoHyphens w:val="0"/>
              <w:autoSpaceDE w:val="0"/>
              <w:autoSpaceDN w:val="0"/>
              <w:spacing w:before="117" w:after="0" w:line="213" w:lineRule="exact"/>
              <w:ind w:right="97"/>
              <w:jc w:val="right"/>
              <w:rPr>
                <w:rFonts w:eastAsia="Calibri"/>
                <w:sz w:val="22"/>
                <w:szCs w:val="22"/>
              </w:rPr>
            </w:pPr>
            <w:r w:rsidRPr="00576AF8">
              <w:rPr>
                <w:rFonts w:eastAsia="Calibri"/>
                <w:spacing w:val="-2"/>
                <w:sz w:val="22"/>
                <w:szCs w:val="22"/>
              </w:rPr>
              <w:t>300000</w:t>
            </w:r>
          </w:p>
        </w:tc>
      </w:tr>
      <w:tr w:rsidR="009102A7" w:rsidRPr="00576AF8" w14:paraId="303E253C" w14:textId="77777777" w:rsidTr="009F6B78">
        <w:trPr>
          <w:trHeight w:val="350"/>
          <w:jc w:val="center"/>
        </w:trPr>
        <w:tc>
          <w:tcPr>
            <w:tcW w:w="4831" w:type="dxa"/>
          </w:tcPr>
          <w:p w14:paraId="42A7891B"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lang w:val="es-EC"/>
              </w:rPr>
            </w:pPr>
            <w:r w:rsidRPr="00576AF8">
              <w:rPr>
                <w:rFonts w:eastAsia="Calibri"/>
                <w:sz w:val="22"/>
                <w:szCs w:val="22"/>
                <w:lang w:val="es-EC"/>
              </w:rPr>
              <w:t>No.</w:t>
            </w:r>
            <w:r w:rsidRPr="00576AF8">
              <w:rPr>
                <w:rFonts w:eastAsia="Calibri"/>
                <w:spacing w:val="-9"/>
                <w:sz w:val="22"/>
                <w:szCs w:val="22"/>
                <w:lang w:val="es-EC"/>
              </w:rPr>
              <w:t xml:space="preserve"> </w:t>
            </w:r>
            <w:r w:rsidRPr="00576AF8">
              <w:rPr>
                <w:rFonts w:eastAsia="Calibri"/>
                <w:sz w:val="22"/>
                <w:szCs w:val="22"/>
                <w:lang w:val="es-EC"/>
              </w:rPr>
              <w:t>objetos</w:t>
            </w:r>
            <w:r w:rsidRPr="00576AF8">
              <w:rPr>
                <w:rFonts w:eastAsia="Calibri"/>
                <w:spacing w:val="-6"/>
                <w:sz w:val="22"/>
                <w:szCs w:val="22"/>
                <w:lang w:val="es-EC"/>
              </w:rPr>
              <w:t xml:space="preserve"> </w:t>
            </w:r>
            <w:r w:rsidRPr="00576AF8">
              <w:rPr>
                <w:rFonts w:eastAsia="Calibri"/>
                <w:sz w:val="22"/>
                <w:szCs w:val="22"/>
                <w:lang w:val="es-EC"/>
              </w:rPr>
              <w:t>de</w:t>
            </w:r>
            <w:r w:rsidRPr="00576AF8">
              <w:rPr>
                <w:rFonts w:eastAsia="Calibri"/>
                <w:spacing w:val="-6"/>
                <w:sz w:val="22"/>
                <w:szCs w:val="22"/>
                <w:lang w:val="es-EC"/>
              </w:rPr>
              <w:t xml:space="preserve"> </w:t>
            </w:r>
            <w:r w:rsidRPr="00576AF8">
              <w:rPr>
                <w:rFonts w:eastAsia="Calibri"/>
                <w:sz w:val="22"/>
                <w:szCs w:val="22"/>
                <w:lang w:val="es-EC"/>
              </w:rPr>
              <w:t>regulación</w:t>
            </w:r>
            <w:r w:rsidRPr="00576AF8">
              <w:rPr>
                <w:rFonts w:eastAsia="Calibri"/>
                <w:spacing w:val="-10"/>
                <w:sz w:val="22"/>
                <w:szCs w:val="22"/>
                <w:lang w:val="es-EC"/>
              </w:rPr>
              <w:t xml:space="preserve"> </w:t>
            </w:r>
            <w:r w:rsidRPr="00576AF8">
              <w:rPr>
                <w:rFonts w:eastAsia="Calibri"/>
                <w:spacing w:val="-2"/>
                <w:sz w:val="22"/>
                <w:szCs w:val="22"/>
                <w:lang w:val="es-EC"/>
              </w:rPr>
              <w:t>(setpoints)</w:t>
            </w:r>
          </w:p>
        </w:tc>
        <w:tc>
          <w:tcPr>
            <w:tcW w:w="3254" w:type="dxa"/>
          </w:tcPr>
          <w:p w14:paraId="3043B331" w14:textId="77777777" w:rsidR="009102A7" w:rsidRPr="00576AF8" w:rsidRDefault="009102A7" w:rsidP="009F6B78">
            <w:pPr>
              <w:widowControl w:val="0"/>
              <w:suppressAutoHyphens w:val="0"/>
              <w:autoSpaceDE w:val="0"/>
              <w:autoSpaceDN w:val="0"/>
              <w:spacing w:before="117" w:after="0" w:line="213" w:lineRule="exact"/>
              <w:ind w:right="99"/>
              <w:jc w:val="right"/>
              <w:rPr>
                <w:rFonts w:eastAsia="Calibri"/>
                <w:sz w:val="22"/>
                <w:szCs w:val="22"/>
              </w:rPr>
            </w:pPr>
            <w:r w:rsidRPr="00576AF8">
              <w:rPr>
                <w:rFonts w:eastAsia="Calibri"/>
                <w:spacing w:val="-2"/>
                <w:sz w:val="22"/>
                <w:szCs w:val="22"/>
              </w:rPr>
              <w:t>15000</w:t>
            </w:r>
          </w:p>
        </w:tc>
      </w:tr>
      <w:tr w:rsidR="009102A7" w:rsidRPr="00576AF8" w14:paraId="6C9B5249" w14:textId="77777777" w:rsidTr="009F6B78">
        <w:trPr>
          <w:trHeight w:val="350"/>
          <w:jc w:val="center"/>
        </w:trPr>
        <w:tc>
          <w:tcPr>
            <w:tcW w:w="4831" w:type="dxa"/>
          </w:tcPr>
          <w:p w14:paraId="5B273EBE"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8"/>
                <w:sz w:val="22"/>
                <w:szCs w:val="22"/>
              </w:rPr>
              <w:t xml:space="preserve"> </w:t>
            </w:r>
            <w:r w:rsidRPr="00576AF8">
              <w:rPr>
                <w:rFonts w:eastAsia="Calibri"/>
                <w:spacing w:val="-2"/>
                <w:sz w:val="22"/>
                <w:szCs w:val="22"/>
              </w:rPr>
              <w:t>Acumuladores</w:t>
            </w:r>
          </w:p>
        </w:tc>
        <w:tc>
          <w:tcPr>
            <w:tcW w:w="3254" w:type="dxa"/>
          </w:tcPr>
          <w:p w14:paraId="0B9EF7F6" w14:textId="77777777" w:rsidR="009102A7" w:rsidRPr="00576AF8" w:rsidRDefault="009102A7" w:rsidP="009F6B78">
            <w:pPr>
              <w:widowControl w:val="0"/>
              <w:suppressAutoHyphens w:val="0"/>
              <w:autoSpaceDE w:val="0"/>
              <w:autoSpaceDN w:val="0"/>
              <w:spacing w:before="117" w:after="0" w:line="213" w:lineRule="exact"/>
              <w:ind w:right="99"/>
              <w:jc w:val="right"/>
              <w:rPr>
                <w:rFonts w:eastAsia="Calibri"/>
                <w:sz w:val="22"/>
                <w:szCs w:val="22"/>
              </w:rPr>
            </w:pPr>
            <w:r w:rsidRPr="00576AF8">
              <w:rPr>
                <w:rFonts w:eastAsia="Calibri"/>
                <w:spacing w:val="-2"/>
                <w:sz w:val="22"/>
                <w:szCs w:val="22"/>
              </w:rPr>
              <w:t>15000</w:t>
            </w:r>
          </w:p>
        </w:tc>
      </w:tr>
      <w:tr w:rsidR="009102A7" w:rsidRPr="00576AF8" w14:paraId="07216843" w14:textId="77777777" w:rsidTr="009F6B78">
        <w:trPr>
          <w:trHeight w:val="350"/>
          <w:jc w:val="center"/>
        </w:trPr>
        <w:tc>
          <w:tcPr>
            <w:tcW w:w="4831" w:type="dxa"/>
          </w:tcPr>
          <w:p w14:paraId="1DB0A405" w14:textId="77777777" w:rsidR="009102A7" w:rsidRPr="00576AF8" w:rsidRDefault="009102A7" w:rsidP="009F6B78">
            <w:pPr>
              <w:widowControl w:val="0"/>
              <w:suppressAutoHyphens w:val="0"/>
              <w:autoSpaceDE w:val="0"/>
              <w:autoSpaceDN w:val="0"/>
              <w:spacing w:before="114" w:after="0" w:line="215" w:lineRule="exact"/>
              <w:ind w:left="107"/>
              <w:jc w:val="left"/>
              <w:rPr>
                <w:rFonts w:eastAsia="Calibri"/>
                <w:b/>
                <w:sz w:val="22"/>
                <w:szCs w:val="22"/>
              </w:rPr>
            </w:pPr>
            <w:r w:rsidRPr="00576AF8">
              <w:rPr>
                <w:rFonts w:eastAsia="Calibri"/>
                <w:b/>
                <w:sz w:val="22"/>
                <w:szCs w:val="22"/>
              </w:rPr>
              <w:t>Enlaces</w:t>
            </w:r>
            <w:r w:rsidRPr="00576AF8">
              <w:rPr>
                <w:rFonts w:eastAsia="Calibri"/>
                <w:b/>
                <w:spacing w:val="-7"/>
                <w:sz w:val="22"/>
                <w:szCs w:val="22"/>
              </w:rPr>
              <w:t xml:space="preserve"> </w:t>
            </w:r>
            <w:r w:rsidRPr="00576AF8">
              <w:rPr>
                <w:rFonts w:eastAsia="Calibri"/>
                <w:b/>
                <w:sz w:val="22"/>
                <w:szCs w:val="22"/>
              </w:rPr>
              <w:t>de</w:t>
            </w:r>
            <w:r w:rsidRPr="00576AF8">
              <w:rPr>
                <w:rFonts w:eastAsia="Calibri"/>
                <w:b/>
                <w:spacing w:val="-5"/>
                <w:sz w:val="22"/>
                <w:szCs w:val="22"/>
              </w:rPr>
              <w:t xml:space="preserve"> </w:t>
            </w:r>
            <w:r w:rsidRPr="00576AF8">
              <w:rPr>
                <w:rFonts w:eastAsia="Calibri"/>
                <w:b/>
                <w:sz w:val="22"/>
                <w:szCs w:val="22"/>
              </w:rPr>
              <w:t>datos</w:t>
            </w:r>
            <w:r w:rsidRPr="00576AF8">
              <w:rPr>
                <w:rFonts w:eastAsia="Calibri"/>
                <w:b/>
                <w:spacing w:val="-7"/>
                <w:sz w:val="22"/>
                <w:szCs w:val="22"/>
              </w:rPr>
              <w:t xml:space="preserve"> </w:t>
            </w:r>
            <w:r w:rsidRPr="00576AF8">
              <w:rPr>
                <w:rFonts w:eastAsia="Calibri"/>
                <w:b/>
                <w:spacing w:val="-2"/>
                <w:sz w:val="22"/>
                <w:szCs w:val="22"/>
              </w:rPr>
              <w:t>(ICCP)</w:t>
            </w:r>
          </w:p>
        </w:tc>
        <w:tc>
          <w:tcPr>
            <w:tcW w:w="3254" w:type="dxa"/>
          </w:tcPr>
          <w:p w14:paraId="1C91241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54CD7D9F" w14:textId="77777777" w:rsidTr="009F6B78">
        <w:trPr>
          <w:trHeight w:val="350"/>
          <w:jc w:val="center"/>
        </w:trPr>
        <w:tc>
          <w:tcPr>
            <w:tcW w:w="4831" w:type="dxa"/>
          </w:tcPr>
          <w:p w14:paraId="27A97BC7"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7"/>
                <w:sz w:val="22"/>
                <w:szCs w:val="22"/>
              </w:rPr>
              <w:t xml:space="preserve"> </w:t>
            </w:r>
            <w:r w:rsidRPr="00576AF8">
              <w:rPr>
                <w:rFonts w:eastAsia="Calibri"/>
                <w:sz w:val="22"/>
                <w:szCs w:val="22"/>
              </w:rPr>
              <w:t>de</w:t>
            </w:r>
            <w:r w:rsidRPr="00576AF8">
              <w:rPr>
                <w:rFonts w:eastAsia="Calibri"/>
                <w:spacing w:val="-6"/>
                <w:sz w:val="22"/>
                <w:szCs w:val="22"/>
              </w:rPr>
              <w:t xml:space="preserve"> </w:t>
            </w:r>
            <w:r w:rsidRPr="00576AF8">
              <w:rPr>
                <w:rFonts w:eastAsia="Calibri"/>
                <w:sz w:val="22"/>
                <w:szCs w:val="22"/>
              </w:rPr>
              <w:t>enlaces</w:t>
            </w:r>
            <w:r w:rsidRPr="00576AF8">
              <w:rPr>
                <w:rFonts w:eastAsia="Calibri"/>
                <w:spacing w:val="-5"/>
                <w:sz w:val="22"/>
                <w:szCs w:val="22"/>
              </w:rPr>
              <w:t xml:space="preserve"> </w:t>
            </w:r>
            <w:r w:rsidRPr="00576AF8">
              <w:rPr>
                <w:rFonts w:eastAsia="Calibri"/>
                <w:spacing w:val="-4"/>
                <w:sz w:val="22"/>
                <w:szCs w:val="22"/>
              </w:rPr>
              <w:t>ICCP</w:t>
            </w:r>
          </w:p>
        </w:tc>
        <w:tc>
          <w:tcPr>
            <w:tcW w:w="3254" w:type="dxa"/>
          </w:tcPr>
          <w:p w14:paraId="2BFE45EE" w14:textId="77777777" w:rsidR="009102A7" w:rsidRPr="00576AF8" w:rsidRDefault="009102A7" w:rsidP="009F6B78">
            <w:pPr>
              <w:widowControl w:val="0"/>
              <w:suppressAutoHyphens w:val="0"/>
              <w:autoSpaceDE w:val="0"/>
              <w:autoSpaceDN w:val="0"/>
              <w:spacing w:before="117" w:after="0" w:line="213" w:lineRule="exact"/>
              <w:ind w:right="100"/>
              <w:jc w:val="right"/>
              <w:rPr>
                <w:rFonts w:eastAsia="Calibri"/>
                <w:sz w:val="22"/>
                <w:szCs w:val="22"/>
              </w:rPr>
            </w:pPr>
            <w:r w:rsidRPr="00576AF8">
              <w:rPr>
                <w:rFonts w:eastAsia="Calibri"/>
                <w:spacing w:val="-5"/>
                <w:sz w:val="22"/>
                <w:szCs w:val="22"/>
              </w:rPr>
              <w:t>64</w:t>
            </w:r>
          </w:p>
        </w:tc>
      </w:tr>
      <w:tr w:rsidR="009102A7" w:rsidRPr="00576AF8" w14:paraId="33194E08" w14:textId="77777777" w:rsidTr="009F6B78">
        <w:trPr>
          <w:trHeight w:val="349"/>
          <w:jc w:val="center"/>
        </w:trPr>
        <w:tc>
          <w:tcPr>
            <w:tcW w:w="4831" w:type="dxa"/>
          </w:tcPr>
          <w:p w14:paraId="6A592582"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10"/>
                <w:sz w:val="22"/>
                <w:szCs w:val="22"/>
              </w:rPr>
              <w:t xml:space="preserve"> </w:t>
            </w:r>
            <w:r w:rsidRPr="00576AF8">
              <w:rPr>
                <w:rFonts w:eastAsia="Calibri"/>
                <w:sz w:val="22"/>
                <w:szCs w:val="22"/>
              </w:rPr>
              <w:t>analógicos</w:t>
            </w:r>
            <w:r w:rsidRPr="00576AF8">
              <w:rPr>
                <w:rFonts w:eastAsia="Calibri"/>
                <w:spacing w:val="-8"/>
                <w:sz w:val="22"/>
                <w:szCs w:val="22"/>
              </w:rPr>
              <w:t xml:space="preserve"> </w:t>
            </w:r>
            <w:r w:rsidRPr="00576AF8">
              <w:rPr>
                <w:rFonts w:eastAsia="Calibri"/>
                <w:spacing w:val="-4"/>
                <w:sz w:val="22"/>
                <w:szCs w:val="22"/>
              </w:rPr>
              <w:t>ICCP</w:t>
            </w:r>
          </w:p>
        </w:tc>
        <w:tc>
          <w:tcPr>
            <w:tcW w:w="3254" w:type="dxa"/>
          </w:tcPr>
          <w:p w14:paraId="7900E9E1" w14:textId="77777777" w:rsidR="009102A7" w:rsidRPr="00576AF8" w:rsidRDefault="009102A7" w:rsidP="009F6B78">
            <w:pPr>
              <w:widowControl w:val="0"/>
              <w:suppressAutoHyphens w:val="0"/>
              <w:autoSpaceDE w:val="0"/>
              <w:autoSpaceDN w:val="0"/>
              <w:spacing w:before="117" w:after="0" w:line="213" w:lineRule="exact"/>
              <w:ind w:right="99"/>
              <w:jc w:val="right"/>
              <w:rPr>
                <w:rFonts w:eastAsia="Calibri"/>
                <w:sz w:val="22"/>
                <w:szCs w:val="22"/>
              </w:rPr>
            </w:pPr>
            <w:r w:rsidRPr="00576AF8">
              <w:rPr>
                <w:rFonts w:eastAsia="Calibri"/>
                <w:spacing w:val="-2"/>
                <w:sz w:val="22"/>
                <w:szCs w:val="22"/>
              </w:rPr>
              <w:t>16000</w:t>
            </w:r>
          </w:p>
        </w:tc>
      </w:tr>
      <w:tr w:rsidR="009102A7" w:rsidRPr="00576AF8" w14:paraId="7C98FC1A" w14:textId="77777777" w:rsidTr="009F6B78">
        <w:trPr>
          <w:trHeight w:val="350"/>
          <w:jc w:val="center"/>
        </w:trPr>
        <w:tc>
          <w:tcPr>
            <w:tcW w:w="4831" w:type="dxa"/>
          </w:tcPr>
          <w:p w14:paraId="6CD354F5"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8"/>
                <w:sz w:val="22"/>
                <w:szCs w:val="22"/>
              </w:rPr>
              <w:t xml:space="preserve"> </w:t>
            </w:r>
            <w:r w:rsidRPr="00576AF8">
              <w:rPr>
                <w:rFonts w:eastAsia="Calibri"/>
                <w:sz w:val="22"/>
                <w:szCs w:val="22"/>
              </w:rPr>
              <w:t>estados</w:t>
            </w:r>
            <w:r w:rsidRPr="00576AF8">
              <w:rPr>
                <w:rFonts w:eastAsia="Calibri"/>
                <w:spacing w:val="-7"/>
                <w:sz w:val="22"/>
                <w:szCs w:val="22"/>
              </w:rPr>
              <w:t xml:space="preserve"> </w:t>
            </w:r>
            <w:r w:rsidRPr="00576AF8">
              <w:rPr>
                <w:rFonts w:eastAsia="Calibri"/>
                <w:spacing w:val="-4"/>
                <w:sz w:val="22"/>
                <w:szCs w:val="22"/>
              </w:rPr>
              <w:t>ICCP</w:t>
            </w:r>
          </w:p>
        </w:tc>
        <w:tc>
          <w:tcPr>
            <w:tcW w:w="3254" w:type="dxa"/>
          </w:tcPr>
          <w:p w14:paraId="026F22DC" w14:textId="77777777" w:rsidR="009102A7" w:rsidRPr="00576AF8" w:rsidRDefault="009102A7" w:rsidP="009F6B78">
            <w:pPr>
              <w:widowControl w:val="0"/>
              <w:suppressAutoHyphens w:val="0"/>
              <w:autoSpaceDE w:val="0"/>
              <w:autoSpaceDN w:val="0"/>
              <w:spacing w:before="117" w:after="0" w:line="213" w:lineRule="exact"/>
              <w:ind w:right="99"/>
              <w:jc w:val="right"/>
              <w:rPr>
                <w:rFonts w:eastAsia="Calibri"/>
                <w:sz w:val="22"/>
                <w:szCs w:val="22"/>
              </w:rPr>
            </w:pPr>
            <w:r w:rsidRPr="00576AF8">
              <w:rPr>
                <w:rFonts w:eastAsia="Calibri"/>
                <w:spacing w:val="-2"/>
                <w:sz w:val="22"/>
                <w:szCs w:val="22"/>
              </w:rPr>
              <w:t>40000</w:t>
            </w:r>
          </w:p>
        </w:tc>
      </w:tr>
      <w:tr w:rsidR="009102A7" w:rsidRPr="00576AF8" w14:paraId="76F2859D" w14:textId="77777777" w:rsidTr="009F6B78">
        <w:trPr>
          <w:trHeight w:val="350"/>
          <w:jc w:val="center"/>
        </w:trPr>
        <w:tc>
          <w:tcPr>
            <w:tcW w:w="4831" w:type="dxa"/>
          </w:tcPr>
          <w:p w14:paraId="140C7BC5"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rPr>
            </w:pPr>
            <w:r w:rsidRPr="00576AF8">
              <w:rPr>
                <w:rFonts w:eastAsia="Calibri"/>
                <w:sz w:val="22"/>
                <w:szCs w:val="22"/>
              </w:rPr>
              <w:t>No.</w:t>
            </w:r>
            <w:r w:rsidRPr="00576AF8">
              <w:rPr>
                <w:rFonts w:eastAsia="Calibri"/>
                <w:spacing w:val="-11"/>
                <w:sz w:val="22"/>
                <w:szCs w:val="22"/>
              </w:rPr>
              <w:t xml:space="preserve"> </w:t>
            </w:r>
            <w:r w:rsidRPr="00576AF8">
              <w:rPr>
                <w:rFonts w:eastAsia="Calibri"/>
                <w:sz w:val="22"/>
                <w:szCs w:val="22"/>
              </w:rPr>
              <w:t>acumuladores</w:t>
            </w:r>
            <w:r w:rsidRPr="00576AF8">
              <w:rPr>
                <w:rFonts w:eastAsia="Calibri"/>
                <w:spacing w:val="-9"/>
                <w:sz w:val="22"/>
                <w:szCs w:val="22"/>
              </w:rPr>
              <w:t xml:space="preserve"> </w:t>
            </w:r>
            <w:r w:rsidRPr="00576AF8">
              <w:rPr>
                <w:rFonts w:eastAsia="Calibri"/>
                <w:spacing w:val="-4"/>
                <w:sz w:val="22"/>
                <w:szCs w:val="22"/>
              </w:rPr>
              <w:t>ICCP</w:t>
            </w:r>
          </w:p>
        </w:tc>
        <w:tc>
          <w:tcPr>
            <w:tcW w:w="3254" w:type="dxa"/>
          </w:tcPr>
          <w:p w14:paraId="3DF4E499" w14:textId="77777777" w:rsidR="009102A7" w:rsidRPr="00576AF8" w:rsidRDefault="009102A7" w:rsidP="009F6B78">
            <w:pPr>
              <w:widowControl w:val="0"/>
              <w:suppressAutoHyphens w:val="0"/>
              <w:autoSpaceDE w:val="0"/>
              <w:autoSpaceDN w:val="0"/>
              <w:spacing w:before="117" w:after="0" w:line="213" w:lineRule="exact"/>
              <w:ind w:right="100"/>
              <w:jc w:val="right"/>
              <w:rPr>
                <w:rFonts w:eastAsia="Calibri"/>
                <w:sz w:val="22"/>
                <w:szCs w:val="22"/>
              </w:rPr>
            </w:pPr>
            <w:r w:rsidRPr="00576AF8">
              <w:rPr>
                <w:rFonts w:eastAsia="Calibri"/>
                <w:spacing w:val="-4"/>
                <w:sz w:val="22"/>
                <w:szCs w:val="22"/>
              </w:rPr>
              <w:t>1000</w:t>
            </w:r>
          </w:p>
        </w:tc>
      </w:tr>
      <w:tr w:rsidR="009102A7" w:rsidRPr="00576AF8" w14:paraId="1C9E5994" w14:textId="77777777" w:rsidTr="009F6B78">
        <w:trPr>
          <w:trHeight w:val="350"/>
          <w:jc w:val="center"/>
        </w:trPr>
        <w:tc>
          <w:tcPr>
            <w:tcW w:w="4831" w:type="dxa"/>
          </w:tcPr>
          <w:p w14:paraId="50FCD58A" w14:textId="77777777" w:rsidR="009102A7" w:rsidRPr="00576AF8" w:rsidRDefault="009102A7" w:rsidP="009F6B78">
            <w:pPr>
              <w:widowControl w:val="0"/>
              <w:suppressAutoHyphens w:val="0"/>
              <w:autoSpaceDE w:val="0"/>
              <w:autoSpaceDN w:val="0"/>
              <w:spacing w:before="117" w:after="0" w:line="213" w:lineRule="exact"/>
              <w:ind w:left="107"/>
              <w:jc w:val="left"/>
              <w:rPr>
                <w:rFonts w:eastAsia="Calibri"/>
                <w:sz w:val="22"/>
                <w:szCs w:val="22"/>
                <w:lang w:val="es-EC"/>
              </w:rPr>
            </w:pPr>
            <w:r w:rsidRPr="00576AF8">
              <w:rPr>
                <w:rFonts w:eastAsia="Calibri"/>
                <w:sz w:val="22"/>
                <w:szCs w:val="22"/>
                <w:lang w:val="es-EC"/>
              </w:rPr>
              <w:lastRenderedPageBreak/>
              <w:t>No.</w:t>
            </w:r>
            <w:r w:rsidRPr="00576AF8">
              <w:rPr>
                <w:rFonts w:eastAsia="Calibri"/>
                <w:spacing w:val="-8"/>
                <w:sz w:val="22"/>
                <w:szCs w:val="22"/>
                <w:lang w:val="es-EC"/>
              </w:rPr>
              <w:t xml:space="preserve"> </w:t>
            </w:r>
            <w:r w:rsidRPr="00576AF8">
              <w:rPr>
                <w:rFonts w:eastAsia="Calibri"/>
                <w:sz w:val="22"/>
                <w:szCs w:val="22"/>
                <w:lang w:val="es-EC"/>
              </w:rPr>
              <w:t>setpoints</w:t>
            </w:r>
            <w:r w:rsidRPr="00576AF8">
              <w:rPr>
                <w:rFonts w:eastAsia="Calibri"/>
                <w:spacing w:val="-5"/>
                <w:sz w:val="22"/>
                <w:szCs w:val="22"/>
                <w:lang w:val="es-EC"/>
              </w:rPr>
              <w:t xml:space="preserve"> </w:t>
            </w:r>
            <w:r w:rsidRPr="00576AF8">
              <w:rPr>
                <w:rFonts w:eastAsia="Calibri"/>
                <w:sz w:val="22"/>
                <w:szCs w:val="22"/>
                <w:lang w:val="es-EC"/>
              </w:rPr>
              <w:t>y</w:t>
            </w:r>
            <w:r w:rsidRPr="00576AF8">
              <w:rPr>
                <w:rFonts w:eastAsia="Calibri"/>
                <w:spacing w:val="-9"/>
                <w:sz w:val="22"/>
                <w:szCs w:val="22"/>
                <w:lang w:val="es-EC"/>
              </w:rPr>
              <w:t xml:space="preserve"> </w:t>
            </w:r>
            <w:r w:rsidRPr="00576AF8">
              <w:rPr>
                <w:rFonts w:eastAsia="Calibri"/>
                <w:sz w:val="22"/>
                <w:szCs w:val="22"/>
                <w:lang w:val="es-EC"/>
              </w:rPr>
              <w:t>comandos</w:t>
            </w:r>
            <w:r w:rsidRPr="00576AF8">
              <w:rPr>
                <w:rFonts w:eastAsia="Calibri"/>
                <w:spacing w:val="-5"/>
                <w:sz w:val="22"/>
                <w:szCs w:val="22"/>
                <w:lang w:val="es-EC"/>
              </w:rPr>
              <w:t xml:space="preserve"> </w:t>
            </w:r>
            <w:r w:rsidRPr="00576AF8">
              <w:rPr>
                <w:rFonts w:eastAsia="Calibri"/>
                <w:spacing w:val="-4"/>
                <w:sz w:val="22"/>
                <w:szCs w:val="22"/>
                <w:lang w:val="es-EC"/>
              </w:rPr>
              <w:t>ICCP</w:t>
            </w:r>
          </w:p>
        </w:tc>
        <w:tc>
          <w:tcPr>
            <w:tcW w:w="3254" w:type="dxa"/>
          </w:tcPr>
          <w:p w14:paraId="0E98F291" w14:textId="77777777" w:rsidR="009102A7" w:rsidRPr="00576AF8" w:rsidRDefault="009102A7" w:rsidP="009F6B78">
            <w:pPr>
              <w:keepNext/>
              <w:widowControl w:val="0"/>
              <w:suppressAutoHyphens w:val="0"/>
              <w:autoSpaceDE w:val="0"/>
              <w:autoSpaceDN w:val="0"/>
              <w:spacing w:before="117" w:after="0" w:line="213" w:lineRule="exact"/>
              <w:ind w:right="100"/>
              <w:jc w:val="right"/>
              <w:rPr>
                <w:rFonts w:eastAsia="Calibri"/>
                <w:sz w:val="22"/>
                <w:szCs w:val="22"/>
              </w:rPr>
            </w:pPr>
            <w:r w:rsidRPr="00576AF8">
              <w:rPr>
                <w:rFonts w:eastAsia="Calibri"/>
                <w:spacing w:val="-5"/>
                <w:sz w:val="22"/>
                <w:szCs w:val="22"/>
              </w:rPr>
              <w:t>800</w:t>
            </w:r>
          </w:p>
        </w:tc>
      </w:tr>
    </w:tbl>
    <w:p w14:paraId="01DF3F63" w14:textId="3EFBBC0B" w:rsidR="009102A7" w:rsidRPr="00576AF8" w:rsidRDefault="009102A7" w:rsidP="009102A7">
      <w:pPr>
        <w:spacing w:before="120"/>
        <w:jc w:val="center"/>
        <w:rPr>
          <w:sz w:val="22"/>
          <w:szCs w:val="22"/>
        </w:rPr>
      </w:pPr>
      <w:r w:rsidRPr="00576AF8">
        <w:rPr>
          <w:b/>
          <w:sz w:val="22"/>
          <w:szCs w:val="22"/>
        </w:rPr>
        <w:t xml:space="preserve">Tabla </w:t>
      </w:r>
      <w:r w:rsidR="000A4430">
        <w:rPr>
          <w:b/>
          <w:sz w:val="22"/>
          <w:szCs w:val="22"/>
        </w:rPr>
        <w:t>12</w:t>
      </w:r>
      <w:r w:rsidRPr="00576AF8">
        <w:rPr>
          <w:b/>
          <w:sz w:val="22"/>
          <w:szCs w:val="22"/>
        </w:rPr>
        <w:t>. Dimensionamiento SCADA</w:t>
      </w:r>
    </w:p>
    <w:bookmarkEnd w:id="1128"/>
    <w:p w14:paraId="6C8F6A6A" w14:textId="77777777" w:rsidR="009102A7" w:rsidRPr="00576AF8" w:rsidRDefault="009102A7" w:rsidP="009102A7">
      <w:pPr>
        <w:spacing w:before="50" w:after="1"/>
        <w:rPr>
          <w:b/>
          <w:sz w:val="22"/>
          <w:szCs w:val="22"/>
        </w:rPr>
      </w:pPr>
    </w:p>
    <w:tbl>
      <w:tblPr>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1564"/>
        <w:gridCol w:w="1564"/>
        <w:gridCol w:w="1562"/>
        <w:gridCol w:w="1564"/>
      </w:tblGrid>
      <w:tr w:rsidR="009102A7" w:rsidRPr="00576AF8" w14:paraId="3DA5F108" w14:textId="77777777" w:rsidTr="009F6B78">
        <w:trPr>
          <w:trHeight w:val="460"/>
        </w:trPr>
        <w:tc>
          <w:tcPr>
            <w:tcW w:w="1550" w:type="dxa"/>
          </w:tcPr>
          <w:p w14:paraId="54F26037" w14:textId="77777777" w:rsidR="009102A7" w:rsidRPr="00576AF8" w:rsidRDefault="009102A7" w:rsidP="009F6B78">
            <w:pPr>
              <w:widowControl w:val="0"/>
              <w:tabs>
                <w:tab w:val="left" w:pos="1202"/>
              </w:tabs>
              <w:suppressAutoHyphens w:val="0"/>
              <w:autoSpaceDE w:val="0"/>
              <w:autoSpaceDN w:val="0"/>
              <w:spacing w:before="97" w:after="0" w:line="225" w:lineRule="exact"/>
              <w:ind w:left="114"/>
              <w:rPr>
                <w:rFonts w:eastAsia="Calibri"/>
                <w:b/>
                <w:sz w:val="22"/>
                <w:szCs w:val="22"/>
              </w:rPr>
            </w:pPr>
            <w:bookmarkStart w:id="1130" w:name="OLE_LINK6"/>
            <w:r w:rsidRPr="00576AF8">
              <w:rPr>
                <w:rFonts w:eastAsia="Calibri"/>
                <w:b/>
                <w:spacing w:val="-2"/>
                <w:sz w:val="22"/>
                <w:szCs w:val="22"/>
              </w:rPr>
              <w:t>Fuente</w:t>
            </w:r>
            <w:r w:rsidRPr="00576AF8">
              <w:rPr>
                <w:rFonts w:eastAsia="Calibri"/>
                <w:b/>
                <w:sz w:val="22"/>
                <w:szCs w:val="22"/>
              </w:rPr>
              <w:tab/>
            </w:r>
            <w:r w:rsidRPr="00576AF8">
              <w:rPr>
                <w:rFonts w:eastAsia="Calibri"/>
                <w:b/>
                <w:spacing w:val="-5"/>
                <w:sz w:val="22"/>
                <w:szCs w:val="22"/>
              </w:rPr>
              <w:t>de</w:t>
            </w:r>
          </w:p>
          <w:p w14:paraId="71620A8D" w14:textId="77777777" w:rsidR="009102A7" w:rsidRPr="00576AF8" w:rsidRDefault="009102A7" w:rsidP="009F6B78">
            <w:pPr>
              <w:widowControl w:val="0"/>
              <w:suppressAutoHyphens w:val="0"/>
              <w:autoSpaceDE w:val="0"/>
              <w:autoSpaceDN w:val="0"/>
              <w:spacing w:before="97" w:after="0" w:line="215" w:lineRule="exact"/>
              <w:ind w:left="115"/>
              <w:jc w:val="left"/>
              <w:rPr>
                <w:rFonts w:eastAsia="Calibri"/>
                <w:b/>
                <w:sz w:val="22"/>
                <w:szCs w:val="22"/>
              </w:rPr>
            </w:pPr>
            <w:r w:rsidRPr="00576AF8">
              <w:rPr>
                <w:rFonts w:eastAsia="Calibri"/>
                <w:b/>
                <w:spacing w:val="-2"/>
                <w:sz w:val="22"/>
                <w:szCs w:val="22"/>
              </w:rPr>
              <w:t>datos</w:t>
            </w:r>
          </w:p>
        </w:tc>
        <w:tc>
          <w:tcPr>
            <w:tcW w:w="1564" w:type="dxa"/>
          </w:tcPr>
          <w:p w14:paraId="593BA4A1" w14:textId="77777777" w:rsidR="009102A7" w:rsidRPr="00576AF8" w:rsidRDefault="009102A7" w:rsidP="009F6B78">
            <w:pPr>
              <w:widowControl w:val="0"/>
              <w:suppressAutoHyphens w:val="0"/>
              <w:autoSpaceDE w:val="0"/>
              <w:autoSpaceDN w:val="0"/>
              <w:spacing w:before="97" w:after="0" w:line="225" w:lineRule="exact"/>
              <w:ind w:left="314"/>
              <w:jc w:val="left"/>
              <w:rPr>
                <w:rFonts w:eastAsia="Calibri"/>
                <w:b/>
                <w:sz w:val="22"/>
                <w:szCs w:val="22"/>
              </w:rPr>
            </w:pPr>
            <w:r w:rsidRPr="00576AF8">
              <w:rPr>
                <w:rFonts w:eastAsia="Calibri"/>
                <w:b/>
                <w:spacing w:val="-2"/>
                <w:sz w:val="22"/>
                <w:szCs w:val="22"/>
              </w:rPr>
              <w:t>Protocolo</w:t>
            </w:r>
          </w:p>
        </w:tc>
        <w:tc>
          <w:tcPr>
            <w:tcW w:w="1564" w:type="dxa"/>
          </w:tcPr>
          <w:p w14:paraId="6027936C" w14:textId="77777777" w:rsidR="009102A7" w:rsidRPr="00576AF8" w:rsidRDefault="009102A7" w:rsidP="009F6B78">
            <w:pPr>
              <w:widowControl w:val="0"/>
              <w:suppressAutoHyphens w:val="0"/>
              <w:autoSpaceDE w:val="0"/>
              <w:autoSpaceDN w:val="0"/>
              <w:spacing w:before="97" w:after="0" w:line="225" w:lineRule="exact"/>
              <w:ind w:left="132"/>
              <w:jc w:val="left"/>
              <w:rPr>
                <w:rFonts w:eastAsia="Calibri"/>
                <w:b/>
                <w:sz w:val="22"/>
                <w:szCs w:val="22"/>
              </w:rPr>
            </w:pPr>
            <w:r w:rsidRPr="00576AF8">
              <w:rPr>
                <w:rFonts w:eastAsia="Calibri"/>
                <w:b/>
                <w:sz w:val="22"/>
                <w:szCs w:val="22"/>
              </w:rPr>
              <w:t>Tipo</w:t>
            </w:r>
            <w:r w:rsidRPr="00576AF8">
              <w:rPr>
                <w:rFonts w:eastAsia="Calibri"/>
                <w:b/>
                <w:spacing w:val="-3"/>
                <w:sz w:val="22"/>
                <w:szCs w:val="22"/>
              </w:rPr>
              <w:t xml:space="preserve"> </w:t>
            </w:r>
            <w:r w:rsidRPr="00576AF8">
              <w:rPr>
                <w:rFonts w:eastAsia="Calibri"/>
                <w:b/>
                <w:sz w:val="22"/>
                <w:szCs w:val="22"/>
              </w:rPr>
              <w:t>de</w:t>
            </w:r>
            <w:r w:rsidRPr="00576AF8">
              <w:rPr>
                <w:rFonts w:eastAsia="Calibri"/>
                <w:b/>
                <w:spacing w:val="-4"/>
                <w:sz w:val="22"/>
                <w:szCs w:val="22"/>
              </w:rPr>
              <w:t xml:space="preserve"> </w:t>
            </w:r>
            <w:r w:rsidRPr="00576AF8">
              <w:rPr>
                <w:rFonts w:eastAsia="Calibri"/>
                <w:b/>
                <w:spacing w:val="-2"/>
                <w:sz w:val="22"/>
                <w:szCs w:val="22"/>
              </w:rPr>
              <w:t>datos</w:t>
            </w:r>
          </w:p>
        </w:tc>
        <w:tc>
          <w:tcPr>
            <w:tcW w:w="1562" w:type="dxa"/>
          </w:tcPr>
          <w:p w14:paraId="694F7564" w14:textId="77777777" w:rsidR="009102A7" w:rsidRPr="00576AF8" w:rsidRDefault="009102A7" w:rsidP="009F6B78">
            <w:pPr>
              <w:widowControl w:val="0"/>
              <w:suppressAutoHyphens w:val="0"/>
              <w:autoSpaceDE w:val="0"/>
              <w:autoSpaceDN w:val="0"/>
              <w:spacing w:before="97" w:after="0" w:line="225" w:lineRule="exact"/>
              <w:ind w:left="11" w:right="4"/>
              <w:jc w:val="center"/>
              <w:rPr>
                <w:rFonts w:eastAsia="Calibri"/>
                <w:b/>
                <w:sz w:val="22"/>
                <w:szCs w:val="22"/>
              </w:rPr>
            </w:pPr>
            <w:r w:rsidRPr="00576AF8">
              <w:rPr>
                <w:rFonts w:eastAsia="Calibri"/>
                <w:b/>
                <w:spacing w:val="-2"/>
                <w:sz w:val="22"/>
                <w:szCs w:val="22"/>
              </w:rPr>
              <w:t>Periodicidad</w:t>
            </w:r>
          </w:p>
        </w:tc>
        <w:tc>
          <w:tcPr>
            <w:tcW w:w="1564" w:type="dxa"/>
          </w:tcPr>
          <w:p w14:paraId="28577165" w14:textId="77777777" w:rsidR="009102A7" w:rsidRPr="00576AF8" w:rsidRDefault="009102A7" w:rsidP="009F6B78">
            <w:pPr>
              <w:widowControl w:val="0"/>
              <w:suppressAutoHyphens w:val="0"/>
              <w:autoSpaceDE w:val="0"/>
              <w:autoSpaceDN w:val="0"/>
              <w:spacing w:before="97" w:after="0" w:line="225" w:lineRule="exact"/>
              <w:ind w:left="14" w:right="5"/>
              <w:jc w:val="center"/>
              <w:rPr>
                <w:rFonts w:eastAsia="Calibri"/>
                <w:b/>
                <w:sz w:val="22"/>
                <w:szCs w:val="22"/>
              </w:rPr>
            </w:pPr>
            <w:r w:rsidRPr="00576AF8">
              <w:rPr>
                <w:rFonts w:eastAsia="Calibri"/>
                <w:b/>
                <w:spacing w:val="-2"/>
                <w:sz w:val="22"/>
                <w:szCs w:val="22"/>
              </w:rPr>
              <w:t>Cantidad</w:t>
            </w:r>
          </w:p>
        </w:tc>
      </w:tr>
      <w:tr w:rsidR="009102A7" w:rsidRPr="00576AF8" w14:paraId="34EF0406" w14:textId="77777777" w:rsidTr="009F6B78">
        <w:trPr>
          <w:trHeight w:val="230"/>
        </w:trPr>
        <w:tc>
          <w:tcPr>
            <w:tcW w:w="1550" w:type="dxa"/>
            <w:tcBorders>
              <w:bottom w:val="nil"/>
            </w:tcBorders>
          </w:tcPr>
          <w:p w14:paraId="221C825F" w14:textId="77777777" w:rsidR="009102A7" w:rsidRPr="00576AF8" w:rsidRDefault="009102A7" w:rsidP="009F6B78">
            <w:pPr>
              <w:widowControl w:val="0"/>
              <w:suppressAutoHyphens w:val="0"/>
              <w:autoSpaceDE w:val="0"/>
              <w:autoSpaceDN w:val="0"/>
              <w:spacing w:before="97" w:after="0" w:line="211" w:lineRule="exact"/>
              <w:ind w:left="115"/>
              <w:jc w:val="left"/>
              <w:rPr>
                <w:rFonts w:eastAsia="Calibri"/>
                <w:sz w:val="22"/>
                <w:szCs w:val="22"/>
              </w:rPr>
            </w:pPr>
            <w:r w:rsidRPr="00576AF8">
              <w:rPr>
                <w:rFonts w:eastAsia="Calibri"/>
                <w:sz w:val="22"/>
                <w:szCs w:val="22"/>
              </w:rPr>
              <w:t>RTU/DC</w:t>
            </w:r>
            <w:r w:rsidRPr="00576AF8">
              <w:rPr>
                <w:rFonts w:eastAsia="Calibri"/>
                <w:spacing w:val="-9"/>
                <w:sz w:val="22"/>
                <w:szCs w:val="22"/>
              </w:rPr>
              <w:t xml:space="preserve"> </w:t>
            </w:r>
            <w:r w:rsidRPr="00576AF8">
              <w:rPr>
                <w:rFonts w:eastAsia="Calibri"/>
                <w:spacing w:val="-4"/>
                <w:sz w:val="22"/>
                <w:szCs w:val="22"/>
              </w:rPr>
              <w:t>(*1)</w:t>
            </w:r>
          </w:p>
        </w:tc>
        <w:tc>
          <w:tcPr>
            <w:tcW w:w="1564" w:type="dxa"/>
            <w:tcBorders>
              <w:bottom w:val="nil"/>
            </w:tcBorders>
          </w:tcPr>
          <w:p w14:paraId="3AC22E6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bottom w:val="nil"/>
            </w:tcBorders>
          </w:tcPr>
          <w:p w14:paraId="467B38F4"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bottom w:val="nil"/>
            </w:tcBorders>
          </w:tcPr>
          <w:p w14:paraId="0044B51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bottom w:val="nil"/>
            </w:tcBorders>
          </w:tcPr>
          <w:p w14:paraId="66E3318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5127C5E5" w14:textId="77777777" w:rsidTr="009F6B78">
        <w:trPr>
          <w:trHeight w:val="230"/>
        </w:trPr>
        <w:tc>
          <w:tcPr>
            <w:tcW w:w="1550" w:type="dxa"/>
            <w:tcBorders>
              <w:top w:val="nil"/>
              <w:bottom w:val="nil"/>
            </w:tcBorders>
          </w:tcPr>
          <w:p w14:paraId="507A1A1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7747E23B" w14:textId="77777777" w:rsidR="009102A7" w:rsidRPr="00576AF8" w:rsidRDefault="009102A7" w:rsidP="009F6B78">
            <w:pPr>
              <w:widowControl w:val="0"/>
              <w:suppressAutoHyphens w:val="0"/>
              <w:autoSpaceDE w:val="0"/>
              <w:autoSpaceDN w:val="0"/>
              <w:spacing w:before="97" w:after="0" w:line="210" w:lineRule="exact"/>
              <w:ind w:left="114"/>
              <w:jc w:val="left"/>
              <w:rPr>
                <w:rFonts w:eastAsia="Calibri"/>
                <w:sz w:val="22"/>
                <w:szCs w:val="22"/>
              </w:rPr>
            </w:pPr>
            <w:r w:rsidRPr="00576AF8">
              <w:rPr>
                <w:rFonts w:eastAsia="Calibri"/>
                <w:sz w:val="22"/>
                <w:szCs w:val="22"/>
              </w:rPr>
              <w:t>RP</w:t>
            </w:r>
            <w:r w:rsidRPr="00576AF8">
              <w:rPr>
                <w:rFonts w:eastAsia="Calibri"/>
                <w:spacing w:val="72"/>
                <w:sz w:val="22"/>
                <w:szCs w:val="22"/>
              </w:rPr>
              <w:t xml:space="preserve"> </w:t>
            </w:r>
            <w:r w:rsidRPr="00576AF8">
              <w:rPr>
                <w:rFonts w:eastAsia="Calibri"/>
                <w:sz w:val="22"/>
                <w:szCs w:val="22"/>
              </w:rPr>
              <w:t>570,</w:t>
            </w:r>
            <w:r w:rsidRPr="00576AF8">
              <w:rPr>
                <w:rFonts w:eastAsia="Calibri"/>
                <w:spacing w:val="72"/>
                <w:sz w:val="22"/>
                <w:szCs w:val="22"/>
              </w:rPr>
              <w:t xml:space="preserve"> </w:t>
            </w:r>
            <w:r w:rsidRPr="00576AF8">
              <w:rPr>
                <w:rFonts w:eastAsia="Calibri"/>
                <w:spacing w:val="-4"/>
                <w:sz w:val="22"/>
                <w:szCs w:val="22"/>
              </w:rPr>
              <w:t>IEC-</w:t>
            </w:r>
          </w:p>
        </w:tc>
        <w:tc>
          <w:tcPr>
            <w:tcW w:w="1564" w:type="dxa"/>
            <w:tcBorders>
              <w:top w:val="nil"/>
              <w:bottom w:val="nil"/>
            </w:tcBorders>
          </w:tcPr>
          <w:p w14:paraId="1BBEF7A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top w:val="nil"/>
              <w:bottom w:val="nil"/>
            </w:tcBorders>
          </w:tcPr>
          <w:p w14:paraId="082EC19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04C693F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516D354C" w14:textId="77777777" w:rsidTr="009F6B78">
        <w:trPr>
          <w:trHeight w:val="230"/>
        </w:trPr>
        <w:tc>
          <w:tcPr>
            <w:tcW w:w="1550" w:type="dxa"/>
            <w:tcBorders>
              <w:top w:val="nil"/>
              <w:bottom w:val="nil"/>
            </w:tcBorders>
          </w:tcPr>
          <w:p w14:paraId="7DDFC77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0CF51CCB"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870-5-</w:t>
            </w:r>
            <w:r w:rsidRPr="00576AF8">
              <w:rPr>
                <w:rFonts w:eastAsia="Calibri"/>
                <w:spacing w:val="-4"/>
                <w:sz w:val="22"/>
                <w:szCs w:val="22"/>
              </w:rPr>
              <w:t>101,</w:t>
            </w:r>
          </w:p>
        </w:tc>
        <w:tc>
          <w:tcPr>
            <w:tcW w:w="1564" w:type="dxa"/>
            <w:tcBorders>
              <w:top w:val="nil"/>
              <w:bottom w:val="nil"/>
            </w:tcBorders>
          </w:tcPr>
          <w:p w14:paraId="325E608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top w:val="nil"/>
              <w:bottom w:val="nil"/>
            </w:tcBorders>
          </w:tcPr>
          <w:p w14:paraId="69A8F6A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20B2A94"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61DCBE86" w14:textId="77777777" w:rsidTr="009F6B78">
        <w:trPr>
          <w:trHeight w:val="229"/>
        </w:trPr>
        <w:tc>
          <w:tcPr>
            <w:tcW w:w="1550" w:type="dxa"/>
            <w:tcBorders>
              <w:top w:val="nil"/>
              <w:bottom w:val="nil"/>
            </w:tcBorders>
          </w:tcPr>
          <w:p w14:paraId="65A2940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2915AE34" w14:textId="77777777" w:rsidR="009102A7" w:rsidRPr="00576AF8" w:rsidRDefault="009102A7" w:rsidP="009F6B78">
            <w:pPr>
              <w:widowControl w:val="0"/>
              <w:suppressAutoHyphens w:val="0"/>
              <w:autoSpaceDE w:val="0"/>
              <w:autoSpaceDN w:val="0"/>
              <w:spacing w:before="97" w:after="0" w:line="209" w:lineRule="exact"/>
              <w:ind w:left="115"/>
              <w:jc w:val="left"/>
              <w:rPr>
                <w:rFonts w:eastAsia="Calibri"/>
                <w:sz w:val="22"/>
                <w:szCs w:val="22"/>
              </w:rPr>
            </w:pPr>
            <w:r w:rsidRPr="00576AF8">
              <w:rPr>
                <w:rFonts w:eastAsia="Calibri"/>
                <w:spacing w:val="-2"/>
                <w:sz w:val="22"/>
                <w:szCs w:val="22"/>
              </w:rPr>
              <w:t>IEC-870-</w:t>
            </w:r>
            <w:r w:rsidRPr="00576AF8">
              <w:rPr>
                <w:rFonts w:eastAsia="Calibri"/>
                <w:spacing w:val="-5"/>
                <w:sz w:val="22"/>
                <w:szCs w:val="22"/>
              </w:rPr>
              <w:t>5-</w:t>
            </w:r>
          </w:p>
        </w:tc>
        <w:tc>
          <w:tcPr>
            <w:tcW w:w="1564" w:type="dxa"/>
            <w:tcBorders>
              <w:top w:val="nil"/>
              <w:bottom w:val="nil"/>
            </w:tcBorders>
          </w:tcPr>
          <w:p w14:paraId="3FC8DCA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top w:val="nil"/>
              <w:bottom w:val="nil"/>
            </w:tcBorders>
          </w:tcPr>
          <w:p w14:paraId="17C6C63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3FB019D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3CF2583D" w14:textId="77777777" w:rsidTr="009F6B78">
        <w:trPr>
          <w:trHeight w:val="229"/>
        </w:trPr>
        <w:tc>
          <w:tcPr>
            <w:tcW w:w="1550" w:type="dxa"/>
            <w:tcBorders>
              <w:top w:val="nil"/>
              <w:bottom w:val="nil"/>
            </w:tcBorders>
          </w:tcPr>
          <w:p w14:paraId="6C85FDF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6B6C93B1" w14:textId="77777777" w:rsidR="009102A7" w:rsidRPr="00576AF8" w:rsidRDefault="009102A7" w:rsidP="009F6B78">
            <w:pPr>
              <w:widowControl w:val="0"/>
              <w:tabs>
                <w:tab w:val="left" w:pos="914"/>
              </w:tabs>
              <w:suppressAutoHyphens w:val="0"/>
              <w:autoSpaceDE w:val="0"/>
              <w:autoSpaceDN w:val="0"/>
              <w:spacing w:before="97" w:after="0" w:line="209" w:lineRule="exact"/>
              <w:ind w:left="115"/>
              <w:jc w:val="left"/>
              <w:rPr>
                <w:rFonts w:eastAsia="Calibri"/>
                <w:sz w:val="22"/>
                <w:szCs w:val="22"/>
              </w:rPr>
            </w:pPr>
            <w:r w:rsidRPr="00576AF8">
              <w:rPr>
                <w:rFonts w:eastAsia="Calibri"/>
                <w:spacing w:val="-4"/>
                <w:sz w:val="22"/>
                <w:szCs w:val="22"/>
              </w:rPr>
              <w:t>104,</w:t>
            </w:r>
            <w:r w:rsidRPr="00576AF8">
              <w:rPr>
                <w:rFonts w:eastAsia="Calibri"/>
                <w:sz w:val="22"/>
                <w:szCs w:val="22"/>
              </w:rPr>
              <w:tab/>
            </w:r>
            <w:r w:rsidRPr="00576AF8">
              <w:rPr>
                <w:rFonts w:eastAsia="Calibri"/>
                <w:spacing w:val="-4"/>
                <w:sz w:val="22"/>
                <w:szCs w:val="22"/>
              </w:rPr>
              <w:t>DNP3</w:t>
            </w:r>
          </w:p>
        </w:tc>
        <w:tc>
          <w:tcPr>
            <w:tcW w:w="1564" w:type="dxa"/>
            <w:tcBorders>
              <w:top w:val="nil"/>
              <w:bottom w:val="nil"/>
            </w:tcBorders>
          </w:tcPr>
          <w:p w14:paraId="3F6AD88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top w:val="nil"/>
              <w:bottom w:val="nil"/>
            </w:tcBorders>
          </w:tcPr>
          <w:p w14:paraId="010163D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2D5F52A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7699D7CC" w14:textId="77777777" w:rsidTr="009F6B78">
        <w:trPr>
          <w:trHeight w:val="230"/>
        </w:trPr>
        <w:tc>
          <w:tcPr>
            <w:tcW w:w="1550" w:type="dxa"/>
            <w:tcBorders>
              <w:top w:val="nil"/>
              <w:bottom w:val="nil"/>
            </w:tcBorders>
          </w:tcPr>
          <w:p w14:paraId="382FE86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20F3771C" w14:textId="77777777" w:rsidR="009102A7" w:rsidRPr="00576AF8" w:rsidRDefault="009102A7" w:rsidP="009F6B78">
            <w:pPr>
              <w:widowControl w:val="0"/>
              <w:tabs>
                <w:tab w:val="left" w:pos="1352"/>
              </w:tabs>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serial</w:t>
            </w:r>
            <w:r w:rsidRPr="00576AF8">
              <w:rPr>
                <w:rFonts w:eastAsia="Calibri"/>
                <w:sz w:val="22"/>
                <w:szCs w:val="22"/>
              </w:rPr>
              <w:tab/>
            </w:r>
            <w:r w:rsidRPr="00576AF8">
              <w:rPr>
                <w:rFonts w:eastAsia="Calibri"/>
                <w:spacing w:val="-10"/>
                <w:sz w:val="22"/>
                <w:szCs w:val="22"/>
              </w:rPr>
              <w:t>y</w:t>
            </w:r>
          </w:p>
        </w:tc>
        <w:tc>
          <w:tcPr>
            <w:tcW w:w="1564" w:type="dxa"/>
            <w:tcBorders>
              <w:top w:val="nil"/>
              <w:bottom w:val="nil"/>
            </w:tcBorders>
          </w:tcPr>
          <w:p w14:paraId="372D2FC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top w:val="nil"/>
              <w:bottom w:val="nil"/>
            </w:tcBorders>
          </w:tcPr>
          <w:p w14:paraId="5B8EF7D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6C74B2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163C0523" w14:textId="77777777" w:rsidTr="009F6B78">
        <w:trPr>
          <w:trHeight w:val="230"/>
        </w:trPr>
        <w:tc>
          <w:tcPr>
            <w:tcW w:w="1550" w:type="dxa"/>
            <w:tcBorders>
              <w:top w:val="nil"/>
              <w:bottom w:val="nil"/>
            </w:tcBorders>
          </w:tcPr>
          <w:p w14:paraId="06F8B0C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0DA1E1DD"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DNP3/TCP/IP</w:t>
            </w:r>
          </w:p>
        </w:tc>
        <w:tc>
          <w:tcPr>
            <w:tcW w:w="1564" w:type="dxa"/>
            <w:tcBorders>
              <w:top w:val="nil"/>
              <w:bottom w:val="nil"/>
            </w:tcBorders>
          </w:tcPr>
          <w:p w14:paraId="1662978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2" w:type="dxa"/>
            <w:tcBorders>
              <w:top w:val="nil"/>
              <w:bottom w:val="nil"/>
            </w:tcBorders>
          </w:tcPr>
          <w:p w14:paraId="5F5BF16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6548002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2BD29F8A" w14:textId="77777777" w:rsidTr="009F6B78">
        <w:trPr>
          <w:trHeight w:val="230"/>
        </w:trPr>
        <w:tc>
          <w:tcPr>
            <w:tcW w:w="1550" w:type="dxa"/>
            <w:tcBorders>
              <w:top w:val="nil"/>
              <w:bottom w:val="nil"/>
            </w:tcBorders>
          </w:tcPr>
          <w:p w14:paraId="179DBF1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9B7E79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3F3C3B5C" w14:textId="77777777" w:rsidR="009102A7" w:rsidRPr="00576AF8" w:rsidRDefault="009102A7" w:rsidP="009F6B78">
            <w:pPr>
              <w:widowControl w:val="0"/>
              <w:suppressAutoHyphens w:val="0"/>
              <w:autoSpaceDE w:val="0"/>
              <w:autoSpaceDN w:val="0"/>
              <w:spacing w:before="97" w:after="0" w:line="210" w:lineRule="exact"/>
              <w:ind w:left="116"/>
              <w:jc w:val="left"/>
              <w:rPr>
                <w:rFonts w:eastAsia="Calibri"/>
                <w:sz w:val="22"/>
                <w:szCs w:val="22"/>
              </w:rPr>
            </w:pPr>
            <w:r w:rsidRPr="00576AF8">
              <w:rPr>
                <w:rFonts w:eastAsia="Calibri"/>
                <w:sz w:val="22"/>
                <w:szCs w:val="22"/>
              </w:rPr>
              <w:t>Estados</w:t>
            </w:r>
            <w:r w:rsidRPr="00576AF8">
              <w:rPr>
                <w:rFonts w:eastAsia="Calibri"/>
                <w:spacing w:val="-13"/>
                <w:sz w:val="22"/>
                <w:szCs w:val="22"/>
              </w:rPr>
              <w:t xml:space="preserve"> </w:t>
            </w:r>
            <w:r w:rsidRPr="00576AF8">
              <w:rPr>
                <w:rFonts w:eastAsia="Calibri"/>
                <w:spacing w:val="-4"/>
                <w:sz w:val="22"/>
                <w:szCs w:val="22"/>
              </w:rPr>
              <w:t>(*2)</w:t>
            </w:r>
          </w:p>
        </w:tc>
        <w:tc>
          <w:tcPr>
            <w:tcW w:w="1562" w:type="dxa"/>
            <w:tcBorders>
              <w:top w:val="nil"/>
              <w:bottom w:val="nil"/>
            </w:tcBorders>
          </w:tcPr>
          <w:p w14:paraId="04BE1869" w14:textId="77777777" w:rsidR="009102A7" w:rsidRPr="00576AF8" w:rsidRDefault="009102A7" w:rsidP="009F6B78">
            <w:pPr>
              <w:widowControl w:val="0"/>
              <w:suppressAutoHyphens w:val="0"/>
              <w:autoSpaceDE w:val="0"/>
              <w:autoSpaceDN w:val="0"/>
              <w:spacing w:before="97" w:after="0" w:line="210" w:lineRule="exact"/>
              <w:ind w:left="11" w:right="3"/>
              <w:jc w:val="center"/>
              <w:rPr>
                <w:rFonts w:eastAsia="Calibri"/>
                <w:sz w:val="22"/>
                <w:szCs w:val="22"/>
              </w:rPr>
            </w:pPr>
            <w:r w:rsidRPr="00576AF8">
              <w:rPr>
                <w:rFonts w:eastAsia="Calibri"/>
                <w:sz w:val="22"/>
                <w:szCs w:val="22"/>
              </w:rPr>
              <w:t xml:space="preserve">Por excepción </w:t>
            </w:r>
          </w:p>
          <w:p w14:paraId="0BBB1B69" w14:textId="77777777" w:rsidR="009102A7" w:rsidRPr="00576AF8" w:rsidRDefault="009102A7" w:rsidP="009F6B78">
            <w:pPr>
              <w:widowControl w:val="0"/>
              <w:suppressAutoHyphens w:val="0"/>
              <w:autoSpaceDE w:val="0"/>
              <w:autoSpaceDN w:val="0"/>
              <w:spacing w:before="97" w:after="0" w:line="210" w:lineRule="exact"/>
              <w:ind w:left="11" w:right="3"/>
              <w:jc w:val="center"/>
              <w:rPr>
                <w:rFonts w:eastAsia="Calibri"/>
                <w:sz w:val="22"/>
                <w:szCs w:val="22"/>
              </w:rPr>
            </w:pPr>
          </w:p>
        </w:tc>
        <w:tc>
          <w:tcPr>
            <w:tcW w:w="1564" w:type="dxa"/>
            <w:tcBorders>
              <w:top w:val="nil"/>
              <w:bottom w:val="nil"/>
            </w:tcBorders>
          </w:tcPr>
          <w:p w14:paraId="24174584" w14:textId="77777777" w:rsidR="009102A7" w:rsidRPr="00576AF8" w:rsidRDefault="009102A7" w:rsidP="009F6B78">
            <w:pPr>
              <w:widowControl w:val="0"/>
              <w:suppressAutoHyphens w:val="0"/>
              <w:autoSpaceDE w:val="0"/>
              <w:autoSpaceDN w:val="0"/>
              <w:spacing w:before="97" w:after="0" w:line="210" w:lineRule="exact"/>
              <w:ind w:left="14" w:right="1"/>
              <w:jc w:val="center"/>
              <w:rPr>
                <w:rFonts w:eastAsia="Calibri"/>
                <w:sz w:val="22"/>
                <w:szCs w:val="22"/>
              </w:rPr>
            </w:pPr>
            <w:r w:rsidRPr="00576AF8">
              <w:rPr>
                <w:rFonts w:eastAsia="Calibri"/>
                <w:spacing w:val="-2"/>
                <w:sz w:val="22"/>
                <w:szCs w:val="22"/>
              </w:rPr>
              <w:t>285000</w:t>
            </w:r>
          </w:p>
        </w:tc>
      </w:tr>
      <w:tr w:rsidR="009102A7" w:rsidRPr="00576AF8" w14:paraId="08753407" w14:textId="77777777" w:rsidTr="009F6B78">
        <w:trPr>
          <w:trHeight w:val="230"/>
        </w:trPr>
        <w:tc>
          <w:tcPr>
            <w:tcW w:w="1550" w:type="dxa"/>
            <w:tcBorders>
              <w:top w:val="nil"/>
              <w:bottom w:val="nil"/>
            </w:tcBorders>
          </w:tcPr>
          <w:p w14:paraId="4A3F28A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74077F5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5EADCD74" w14:textId="77777777" w:rsidR="009102A7" w:rsidRPr="00576AF8" w:rsidRDefault="009102A7" w:rsidP="009F6B78">
            <w:pPr>
              <w:widowControl w:val="0"/>
              <w:suppressAutoHyphens w:val="0"/>
              <w:autoSpaceDE w:val="0"/>
              <w:autoSpaceDN w:val="0"/>
              <w:spacing w:before="97" w:after="0" w:line="210" w:lineRule="exact"/>
              <w:ind w:left="116"/>
              <w:jc w:val="left"/>
              <w:rPr>
                <w:rFonts w:eastAsia="Calibri"/>
                <w:sz w:val="22"/>
                <w:szCs w:val="22"/>
              </w:rPr>
            </w:pPr>
            <w:r w:rsidRPr="00576AF8">
              <w:rPr>
                <w:rFonts w:eastAsia="Calibri"/>
                <w:spacing w:val="-2"/>
                <w:sz w:val="22"/>
                <w:szCs w:val="22"/>
              </w:rPr>
              <w:t>Analógicos</w:t>
            </w:r>
          </w:p>
        </w:tc>
        <w:tc>
          <w:tcPr>
            <w:tcW w:w="1562" w:type="dxa"/>
            <w:tcBorders>
              <w:top w:val="nil"/>
              <w:bottom w:val="nil"/>
            </w:tcBorders>
          </w:tcPr>
          <w:p w14:paraId="4CAFBDAC" w14:textId="77777777" w:rsidR="009102A7" w:rsidRPr="00576AF8" w:rsidRDefault="009102A7" w:rsidP="009F6B78">
            <w:pPr>
              <w:widowControl w:val="0"/>
              <w:suppressAutoHyphens w:val="0"/>
              <w:autoSpaceDE w:val="0"/>
              <w:autoSpaceDN w:val="0"/>
              <w:spacing w:before="97" w:after="0" w:line="210" w:lineRule="exact"/>
              <w:ind w:left="11" w:right="1"/>
              <w:jc w:val="center"/>
              <w:rPr>
                <w:rFonts w:eastAsia="Calibri"/>
                <w:sz w:val="22"/>
                <w:szCs w:val="22"/>
              </w:rPr>
            </w:pPr>
            <w:r w:rsidRPr="00576AF8">
              <w:rPr>
                <w:rFonts w:eastAsia="Calibri"/>
                <w:sz w:val="22"/>
                <w:szCs w:val="22"/>
              </w:rPr>
              <w:t xml:space="preserve">1 a 4 </w:t>
            </w:r>
            <w:r w:rsidRPr="00576AF8">
              <w:rPr>
                <w:rFonts w:eastAsia="Calibri"/>
                <w:spacing w:val="-2"/>
                <w:sz w:val="22"/>
                <w:szCs w:val="22"/>
              </w:rPr>
              <w:t>segundos</w:t>
            </w:r>
          </w:p>
        </w:tc>
        <w:tc>
          <w:tcPr>
            <w:tcW w:w="1564" w:type="dxa"/>
            <w:tcBorders>
              <w:top w:val="nil"/>
              <w:bottom w:val="nil"/>
            </w:tcBorders>
          </w:tcPr>
          <w:p w14:paraId="0D0C43DB" w14:textId="77777777" w:rsidR="009102A7" w:rsidRPr="00576AF8" w:rsidRDefault="009102A7" w:rsidP="009F6B78">
            <w:pPr>
              <w:widowControl w:val="0"/>
              <w:suppressAutoHyphens w:val="0"/>
              <w:autoSpaceDE w:val="0"/>
              <w:autoSpaceDN w:val="0"/>
              <w:spacing w:before="97" w:after="0" w:line="210" w:lineRule="exact"/>
              <w:ind w:left="14" w:right="2"/>
              <w:jc w:val="center"/>
              <w:rPr>
                <w:rFonts w:eastAsia="Calibri"/>
                <w:spacing w:val="-2"/>
                <w:sz w:val="22"/>
                <w:szCs w:val="22"/>
              </w:rPr>
            </w:pPr>
            <w:r w:rsidRPr="00576AF8">
              <w:rPr>
                <w:rFonts w:eastAsia="Calibri"/>
                <w:spacing w:val="-2"/>
                <w:sz w:val="22"/>
                <w:szCs w:val="22"/>
              </w:rPr>
              <w:t>154000</w:t>
            </w:r>
          </w:p>
          <w:p w14:paraId="2A93F044" w14:textId="77777777" w:rsidR="009102A7" w:rsidRPr="00576AF8" w:rsidRDefault="009102A7" w:rsidP="009F6B78">
            <w:pPr>
              <w:widowControl w:val="0"/>
              <w:suppressAutoHyphens w:val="0"/>
              <w:autoSpaceDE w:val="0"/>
              <w:autoSpaceDN w:val="0"/>
              <w:spacing w:before="97" w:after="0" w:line="210" w:lineRule="exact"/>
              <w:ind w:left="14" w:right="2"/>
              <w:jc w:val="center"/>
              <w:rPr>
                <w:rFonts w:eastAsia="Calibri"/>
                <w:sz w:val="22"/>
                <w:szCs w:val="22"/>
              </w:rPr>
            </w:pPr>
          </w:p>
        </w:tc>
      </w:tr>
      <w:tr w:rsidR="009102A7" w:rsidRPr="00576AF8" w14:paraId="0746CC47" w14:textId="77777777" w:rsidTr="009F6B78">
        <w:trPr>
          <w:trHeight w:val="229"/>
        </w:trPr>
        <w:tc>
          <w:tcPr>
            <w:tcW w:w="1550" w:type="dxa"/>
            <w:tcBorders>
              <w:top w:val="nil"/>
              <w:bottom w:val="nil"/>
            </w:tcBorders>
          </w:tcPr>
          <w:p w14:paraId="1359A36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70DF268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3BD5B6AD" w14:textId="77777777" w:rsidR="009102A7" w:rsidRPr="00576AF8" w:rsidRDefault="009102A7" w:rsidP="009F6B78">
            <w:pPr>
              <w:widowControl w:val="0"/>
              <w:suppressAutoHyphens w:val="0"/>
              <w:autoSpaceDE w:val="0"/>
              <w:autoSpaceDN w:val="0"/>
              <w:spacing w:before="97" w:after="0" w:line="209" w:lineRule="exact"/>
              <w:ind w:left="116"/>
              <w:jc w:val="left"/>
              <w:rPr>
                <w:rFonts w:eastAsia="Calibri"/>
                <w:sz w:val="22"/>
                <w:szCs w:val="22"/>
              </w:rPr>
            </w:pPr>
            <w:r w:rsidRPr="00576AF8">
              <w:rPr>
                <w:rFonts w:eastAsia="Calibri"/>
                <w:spacing w:val="-2"/>
                <w:sz w:val="22"/>
                <w:szCs w:val="22"/>
              </w:rPr>
              <w:t>Acumuladores</w:t>
            </w:r>
          </w:p>
        </w:tc>
        <w:tc>
          <w:tcPr>
            <w:tcW w:w="1562" w:type="dxa"/>
            <w:tcBorders>
              <w:top w:val="nil"/>
              <w:bottom w:val="nil"/>
            </w:tcBorders>
          </w:tcPr>
          <w:p w14:paraId="10CDD627" w14:textId="77777777" w:rsidR="009102A7" w:rsidRPr="00576AF8" w:rsidRDefault="009102A7" w:rsidP="009F6B78">
            <w:pPr>
              <w:widowControl w:val="0"/>
              <w:suppressAutoHyphens w:val="0"/>
              <w:autoSpaceDE w:val="0"/>
              <w:autoSpaceDN w:val="0"/>
              <w:spacing w:before="97" w:after="0" w:line="209" w:lineRule="exact"/>
              <w:ind w:left="11" w:right="5"/>
              <w:jc w:val="center"/>
              <w:rPr>
                <w:rFonts w:eastAsia="Calibri"/>
                <w:sz w:val="22"/>
                <w:szCs w:val="22"/>
              </w:rPr>
            </w:pPr>
            <w:r w:rsidRPr="00576AF8">
              <w:rPr>
                <w:rFonts w:eastAsia="Calibri"/>
                <w:sz w:val="22"/>
                <w:szCs w:val="22"/>
              </w:rPr>
              <w:t>15</w:t>
            </w:r>
            <w:r w:rsidRPr="00576AF8">
              <w:rPr>
                <w:rFonts w:eastAsia="Calibri"/>
                <w:spacing w:val="-5"/>
                <w:sz w:val="22"/>
                <w:szCs w:val="22"/>
              </w:rPr>
              <w:t xml:space="preserve"> </w:t>
            </w:r>
            <w:r w:rsidRPr="00576AF8">
              <w:rPr>
                <w:rFonts w:eastAsia="Calibri"/>
                <w:spacing w:val="-2"/>
                <w:sz w:val="22"/>
                <w:szCs w:val="22"/>
              </w:rPr>
              <w:t>minutos</w:t>
            </w:r>
          </w:p>
        </w:tc>
        <w:tc>
          <w:tcPr>
            <w:tcW w:w="1564" w:type="dxa"/>
            <w:tcBorders>
              <w:top w:val="nil"/>
              <w:bottom w:val="nil"/>
            </w:tcBorders>
          </w:tcPr>
          <w:p w14:paraId="439D5EB3" w14:textId="77777777" w:rsidR="009102A7" w:rsidRPr="00576AF8" w:rsidRDefault="009102A7" w:rsidP="009F6B78">
            <w:pPr>
              <w:widowControl w:val="0"/>
              <w:suppressAutoHyphens w:val="0"/>
              <w:autoSpaceDE w:val="0"/>
              <w:autoSpaceDN w:val="0"/>
              <w:spacing w:before="97" w:after="0" w:line="209" w:lineRule="exact"/>
              <w:ind w:left="14"/>
              <w:jc w:val="center"/>
              <w:rPr>
                <w:rFonts w:eastAsia="Calibri"/>
                <w:sz w:val="22"/>
                <w:szCs w:val="22"/>
              </w:rPr>
            </w:pPr>
            <w:r w:rsidRPr="00576AF8">
              <w:rPr>
                <w:rFonts w:eastAsia="Calibri"/>
                <w:spacing w:val="-2"/>
                <w:sz w:val="22"/>
                <w:szCs w:val="22"/>
              </w:rPr>
              <w:t>10000</w:t>
            </w:r>
          </w:p>
        </w:tc>
      </w:tr>
      <w:tr w:rsidR="009102A7" w:rsidRPr="00576AF8" w14:paraId="1345F256" w14:textId="77777777" w:rsidTr="009F6B78">
        <w:trPr>
          <w:trHeight w:val="229"/>
        </w:trPr>
        <w:tc>
          <w:tcPr>
            <w:tcW w:w="1550" w:type="dxa"/>
            <w:tcBorders>
              <w:top w:val="nil"/>
              <w:bottom w:val="nil"/>
            </w:tcBorders>
          </w:tcPr>
          <w:p w14:paraId="42176BB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78B9CC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620B3817" w14:textId="77777777" w:rsidR="009102A7" w:rsidRPr="00576AF8" w:rsidRDefault="009102A7" w:rsidP="009F6B78">
            <w:pPr>
              <w:widowControl w:val="0"/>
              <w:suppressAutoHyphens w:val="0"/>
              <w:autoSpaceDE w:val="0"/>
              <w:autoSpaceDN w:val="0"/>
              <w:spacing w:before="97" w:after="0" w:line="209" w:lineRule="exact"/>
              <w:ind w:left="116"/>
              <w:jc w:val="left"/>
              <w:rPr>
                <w:rFonts w:eastAsia="Calibri"/>
                <w:sz w:val="22"/>
                <w:szCs w:val="22"/>
              </w:rPr>
            </w:pPr>
            <w:r w:rsidRPr="00576AF8">
              <w:rPr>
                <w:rFonts w:eastAsia="Calibri"/>
                <w:spacing w:val="-2"/>
                <w:sz w:val="22"/>
                <w:szCs w:val="22"/>
              </w:rPr>
              <w:t>Control</w:t>
            </w:r>
          </w:p>
        </w:tc>
        <w:tc>
          <w:tcPr>
            <w:tcW w:w="1562" w:type="dxa"/>
            <w:tcBorders>
              <w:top w:val="nil"/>
              <w:bottom w:val="nil"/>
            </w:tcBorders>
          </w:tcPr>
          <w:p w14:paraId="6373BF77" w14:textId="77777777" w:rsidR="009102A7" w:rsidRPr="00576AF8" w:rsidRDefault="009102A7" w:rsidP="009F6B78">
            <w:pPr>
              <w:widowControl w:val="0"/>
              <w:suppressAutoHyphens w:val="0"/>
              <w:autoSpaceDE w:val="0"/>
              <w:autoSpaceDN w:val="0"/>
              <w:spacing w:before="97" w:after="0" w:line="209" w:lineRule="exact"/>
              <w:ind w:left="11" w:right="1"/>
              <w:jc w:val="center"/>
              <w:rPr>
                <w:rFonts w:eastAsia="Calibri"/>
                <w:sz w:val="22"/>
                <w:szCs w:val="22"/>
              </w:rPr>
            </w:pPr>
            <w:r w:rsidRPr="00576AF8">
              <w:rPr>
                <w:rFonts w:eastAsia="Calibri"/>
                <w:spacing w:val="-10"/>
                <w:sz w:val="22"/>
                <w:szCs w:val="22"/>
              </w:rPr>
              <w:t>-</w:t>
            </w:r>
          </w:p>
        </w:tc>
        <w:tc>
          <w:tcPr>
            <w:tcW w:w="1564" w:type="dxa"/>
            <w:tcBorders>
              <w:top w:val="nil"/>
              <w:bottom w:val="nil"/>
            </w:tcBorders>
          </w:tcPr>
          <w:p w14:paraId="6A8534C2" w14:textId="77777777" w:rsidR="009102A7" w:rsidRPr="00576AF8" w:rsidRDefault="009102A7" w:rsidP="009F6B78">
            <w:pPr>
              <w:widowControl w:val="0"/>
              <w:suppressAutoHyphens w:val="0"/>
              <w:autoSpaceDE w:val="0"/>
              <w:autoSpaceDN w:val="0"/>
              <w:spacing w:before="97" w:after="0" w:line="209" w:lineRule="exact"/>
              <w:ind w:left="14" w:right="5"/>
              <w:jc w:val="center"/>
              <w:rPr>
                <w:rFonts w:eastAsia="Calibri"/>
                <w:sz w:val="22"/>
                <w:szCs w:val="22"/>
              </w:rPr>
            </w:pPr>
            <w:r w:rsidRPr="00576AF8">
              <w:rPr>
                <w:rFonts w:eastAsia="Calibri"/>
                <w:spacing w:val="-4"/>
                <w:sz w:val="22"/>
                <w:szCs w:val="22"/>
              </w:rPr>
              <w:t>1000</w:t>
            </w:r>
          </w:p>
        </w:tc>
      </w:tr>
      <w:tr w:rsidR="009102A7" w:rsidRPr="00576AF8" w14:paraId="5714468E" w14:textId="77777777" w:rsidTr="009F6B78">
        <w:trPr>
          <w:trHeight w:val="230"/>
        </w:trPr>
        <w:tc>
          <w:tcPr>
            <w:tcW w:w="1550" w:type="dxa"/>
            <w:tcBorders>
              <w:top w:val="nil"/>
              <w:bottom w:val="nil"/>
            </w:tcBorders>
          </w:tcPr>
          <w:p w14:paraId="7D6E8A6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4BFB3D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962D151" w14:textId="77777777" w:rsidR="009102A7" w:rsidRPr="00576AF8" w:rsidRDefault="009102A7" w:rsidP="009F6B78">
            <w:pPr>
              <w:widowControl w:val="0"/>
              <w:suppressAutoHyphens w:val="0"/>
              <w:autoSpaceDE w:val="0"/>
              <w:autoSpaceDN w:val="0"/>
              <w:spacing w:before="97" w:after="0" w:line="210" w:lineRule="exact"/>
              <w:ind w:left="116"/>
              <w:jc w:val="left"/>
              <w:rPr>
                <w:rFonts w:eastAsia="Calibri"/>
                <w:sz w:val="22"/>
                <w:szCs w:val="22"/>
              </w:rPr>
            </w:pPr>
            <w:r w:rsidRPr="00576AF8">
              <w:rPr>
                <w:rFonts w:eastAsia="Calibri"/>
                <w:spacing w:val="-2"/>
                <w:sz w:val="22"/>
                <w:szCs w:val="22"/>
              </w:rPr>
              <w:t>Supervisorio</w:t>
            </w:r>
          </w:p>
        </w:tc>
        <w:tc>
          <w:tcPr>
            <w:tcW w:w="1562" w:type="dxa"/>
            <w:tcBorders>
              <w:top w:val="nil"/>
              <w:bottom w:val="nil"/>
            </w:tcBorders>
          </w:tcPr>
          <w:p w14:paraId="7F04C93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75A85D6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6EE29F7B" w14:textId="77777777" w:rsidTr="009F6B78">
        <w:trPr>
          <w:trHeight w:val="230"/>
        </w:trPr>
        <w:tc>
          <w:tcPr>
            <w:tcW w:w="1550" w:type="dxa"/>
            <w:tcBorders>
              <w:top w:val="nil"/>
              <w:bottom w:val="nil"/>
            </w:tcBorders>
          </w:tcPr>
          <w:p w14:paraId="3FE3A574"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B4F344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48943E50" w14:textId="77777777" w:rsidR="009102A7" w:rsidRPr="00576AF8" w:rsidRDefault="009102A7" w:rsidP="009F6B78">
            <w:pPr>
              <w:widowControl w:val="0"/>
              <w:tabs>
                <w:tab w:val="left" w:pos="1226"/>
              </w:tabs>
              <w:suppressAutoHyphens w:val="0"/>
              <w:autoSpaceDE w:val="0"/>
              <w:autoSpaceDN w:val="0"/>
              <w:spacing w:before="97" w:after="0" w:line="210" w:lineRule="exact"/>
              <w:ind w:left="116"/>
              <w:jc w:val="left"/>
              <w:rPr>
                <w:rFonts w:eastAsia="Calibri"/>
                <w:sz w:val="22"/>
                <w:szCs w:val="22"/>
              </w:rPr>
            </w:pPr>
            <w:r w:rsidRPr="00576AF8">
              <w:rPr>
                <w:rFonts w:eastAsia="Calibri"/>
                <w:spacing w:val="-2"/>
                <w:sz w:val="22"/>
                <w:szCs w:val="22"/>
              </w:rPr>
              <w:t>Control</w:t>
            </w:r>
            <w:r w:rsidRPr="00576AF8">
              <w:rPr>
                <w:rFonts w:eastAsia="Calibri"/>
                <w:sz w:val="22"/>
                <w:szCs w:val="22"/>
              </w:rPr>
              <w:tab/>
            </w:r>
            <w:r w:rsidRPr="00576AF8">
              <w:rPr>
                <w:rFonts w:eastAsia="Calibri"/>
                <w:spacing w:val="-5"/>
                <w:sz w:val="22"/>
                <w:szCs w:val="22"/>
              </w:rPr>
              <w:t>de</w:t>
            </w:r>
          </w:p>
        </w:tc>
        <w:tc>
          <w:tcPr>
            <w:tcW w:w="1562" w:type="dxa"/>
            <w:tcBorders>
              <w:top w:val="nil"/>
              <w:bottom w:val="nil"/>
            </w:tcBorders>
          </w:tcPr>
          <w:p w14:paraId="7A274C57" w14:textId="77777777" w:rsidR="009102A7" w:rsidRPr="00576AF8" w:rsidRDefault="009102A7" w:rsidP="009F6B78">
            <w:pPr>
              <w:widowControl w:val="0"/>
              <w:suppressAutoHyphens w:val="0"/>
              <w:autoSpaceDE w:val="0"/>
              <w:autoSpaceDN w:val="0"/>
              <w:spacing w:before="97" w:after="0" w:line="210" w:lineRule="exact"/>
              <w:ind w:left="11" w:right="1"/>
              <w:jc w:val="center"/>
              <w:rPr>
                <w:rFonts w:eastAsia="Calibri"/>
                <w:sz w:val="22"/>
                <w:szCs w:val="22"/>
              </w:rPr>
            </w:pPr>
            <w:r w:rsidRPr="00576AF8">
              <w:rPr>
                <w:rFonts w:eastAsia="Calibri"/>
                <w:spacing w:val="-10"/>
                <w:sz w:val="22"/>
                <w:szCs w:val="22"/>
              </w:rPr>
              <w:t>-</w:t>
            </w:r>
          </w:p>
        </w:tc>
        <w:tc>
          <w:tcPr>
            <w:tcW w:w="1564" w:type="dxa"/>
            <w:tcBorders>
              <w:top w:val="nil"/>
              <w:bottom w:val="nil"/>
            </w:tcBorders>
          </w:tcPr>
          <w:p w14:paraId="50A8982C" w14:textId="77777777" w:rsidR="009102A7" w:rsidRPr="00576AF8" w:rsidRDefault="009102A7" w:rsidP="009F6B78">
            <w:pPr>
              <w:widowControl w:val="0"/>
              <w:suppressAutoHyphens w:val="0"/>
              <w:autoSpaceDE w:val="0"/>
              <w:autoSpaceDN w:val="0"/>
              <w:spacing w:before="97" w:after="0" w:line="210" w:lineRule="exact"/>
              <w:ind w:left="14"/>
              <w:jc w:val="center"/>
              <w:rPr>
                <w:rFonts w:eastAsia="Calibri"/>
                <w:sz w:val="22"/>
                <w:szCs w:val="22"/>
              </w:rPr>
            </w:pPr>
            <w:r w:rsidRPr="00576AF8">
              <w:rPr>
                <w:rFonts w:eastAsia="Calibri"/>
                <w:spacing w:val="-2"/>
                <w:sz w:val="22"/>
                <w:szCs w:val="22"/>
              </w:rPr>
              <w:t>10000</w:t>
            </w:r>
          </w:p>
        </w:tc>
      </w:tr>
      <w:tr w:rsidR="009102A7" w:rsidRPr="00576AF8" w14:paraId="2F60788A" w14:textId="77777777" w:rsidTr="009F6B78">
        <w:trPr>
          <w:trHeight w:val="230"/>
        </w:trPr>
        <w:tc>
          <w:tcPr>
            <w:tcW w:w="1550" w:type="dxa"/>
            <w:tcBorders>
              <w:top w:val="nil"/>
              <w:bottom w:val="nil"/>
            </w:tcBorders>
          </w:tcPr>
          <w:p w14:paraId="070D272D"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1EA495A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2B0D28BE" w14:textId="77777777" w:rsidR="009102A7" w:rsidRPr="00576AF8" w:rsidRDefault="009102A7" w:rsidP="009F6B78">
            <w:pPr>
              <w:widowControl w:val="0"/>
              <w:suppressAutoHyphens w:val="0"/>
              <w:autoSpaceDE w:val="0"/>
              <w:autoSpaceDN w:val="0"/>
              <w:spacing w:before="97" w:after="0" w:line="210" w:lineRule="exact"/>
              <w:ind w:left="116"/>
              <w:jc w:val="left"/>
              <w:rPr>
                <w:rFonts w:eastAsia="Calibri"/>
                <w:sz w:val="22"/>
                <w:szCs w:val="22"/>
              </w:rPr>
            </w:pPr>
            <w:r w:rsidRPr="00576AF8">
              <w:rPr>
                <w:rFonts w:eastAsia="Calibri"/>
                <w:spacing w:val="-2"/>
                <w:sz w:val="22"/>
                <w:szCs w:val="22"/>
              </w:rPr>
              <w:t>Generación</w:t>
            </w:r>
          </w:p>
        </w:tc>
        <w:tc>
          <w:tcPr>
            <w:tcW w:w="1562" w:type="dxa"/>
            <w:tcBorders>
              <w:top w:val="nil"/>
              <w:bottom w:val="nil"/>
            </w:tcBorders>
          </w:tcPr>
          <w:p w14:paraId="32E0C00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bottom w:val="nil"/>
            </w:tcBorders>
          </w:tcPr>
          <w:p w14:paraId="7334104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3670C8B2" w14:textId="77777777" w:rsidTr="009F6B78">
        <w:trPr>
          <w:trHeight w:val="229"/>
        </w:trPr>
        <w:tc>
          <w:tcPr>
            <w:tcW w:w="1550" w:type="dxa"/>
            <w:tcBorders>
              <w:top w:val="nil"/>
            </w:tcBorders>
          </w:tcPr>
          <w:p w14:paraId="22FD016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tcBorders>
          </w:tcPr>
          <w:p w14:paraId="5F2B99E4"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tcBorders>
          </w:tcPr>
          <w:p w14:paraId="26BBB8FD" w14:textId="77777777" w:rsidR="009102A7" w:rsidRPr="00576AF8" w:rsidRDefault="009102A7" w:rsidP="009F6B78">
            <w:pPr>
              <w:widowControl w:val="0"/>
              <w:suppressAutoHyphens w:val="0"/>
              <w:autoSpaceDE w:val="0"/>
              <w:autoSpaceDN w:val="0"/>
              <w:spacing w:before="97" w:after="0" w:line="210" w:lineRule="exact"/>
              <w:ind w:left="116"/>
              <w:jc w:val="left"/>
              <w:rPr>
                <w:rFonts w:eastAsia="Calibri"/>
                <w:sz w:val="22"/>
                <w:szCs w:val="22"/>
              </w:rPr>
            </w:pPr>
            <w:r w:rsidRPr="00576AF8">
              <w:rPr>
                <w:rFonts w:eastAsia="Calibri"/>
                <w:spacing w:val="-2"/>
                <w:sz w:val="22"/>
                <w:szCs w:val="22"/>
              </w:rPr>
              <w:t>Control</w:t>
            </w:r>
            <w:r w:rsidRPr="00576AF8">
              <w:rPr>
                <w:rFonts w:eastAsia="Calibri"/>
                <w:spacing w:val="-8"/>
                <w:sz w:val="22"/>
                <w:szCs w:val="22"/>
              </w:rPr>
              <w:t xml:space="preserve"> </w:t>
            </w:r>
            <w:r w:rsidRPr="00576AF8">
              <w:rPr>
                <w:rFonts w:eastAsia="Calibri"/>
                <w:spacing w:val="-2"/>
                <w:sz w:val="22"/>
                <w:szCs w:val="22"/>
              </w:rPr>
              <w:t>de</w:t>
            </w:r>
            <w:r w:rsidRPr="00576AF8">
              <w:rPr>
                <w:rFonts w:eastAsia="Calibri"/>
                <w:spacing w:val="-9"/>
                <w:sz w:val="22"/>
                <w:szCs w:val="22"/>
              </w:rPr>
              <w:t xml:space="preserve"> </w:t>
            </w:r>
            <w:r w:rsidRPr="00576AF8">
              <w:rPr>
                <w:rFonts w:eastAsia="Calibri"/>
                <w:spacing w:val="-5"/>
                <w:sz w:val="22"/>
                <w:szCs w:val="22"/>
              </w:rPr>
              <w:t>LTC</w:t>
            </w:r>
          </w:p>
        </w:tc>
        <w:tc>
          <w:tcPr>
            <w:tcW w:w="1562" w:type="dxa"/>
            <w:tcBorders>
              <w:top w:val="nil"/>
            </w:tcBorders>
          </w:tcPr>
          <w:p w14:paraId="0AB490BD"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tcBorders>
              <w:top w:val="nil"/>
            </w:tcBorders>
          </w:tcPr>
          <w:p w14:paraId="4C21596F" w14:textId="77777777" w:rsidR="009102A7" w:rsidRPr="00576AF8" w:rsidRDefault="009102A7" w:rsidP="009F6B78">
            <w:pPr>
              <w:widowControl w:val="0"/>
              <w:suppressAutoHyphens w:val="0"/>
              <w:autoSpaceDE w:val="0"/>
              <w:autoSpaceDN w:val="0"/>
              <w:spacing w:before="97" w:after="0" w:line="210" w:lineRule="exact"/>
              <w:ind w:left="14" w:right="3"/>
              <w:jc w:val="center"/>
              <w:rPr>
                <w:rFonts w:eastAsia="Calibri"/>
                <w:sz w:val="22"/>
                <w:szCs w:val="22"/>
              </w:rPr>
            </w:pPr>
            <w:r w:rsidRPr="00576AF8">
              <w:rPr>
                <w:rFonts w:eastAsia="Calibri"/>
                <w:spacing w:val="-4"/>
                <w:sz w:val="22"/>
                <w:szCs w:val="22"/>
              </w:rPr>
              <w:t>1000</w:t>
            </w:r>
          </w:p>
        </w:tc>
      </w:tr>
      <w:tr w:rsidR="009102A7" w:rsidRPr="00576AF8" w14:paraId="2B5ECB79" w14:textId="77777777" w:rsidTr="009F6B78">
        <w:trPr>
          <w:trHeight w:val="225"/>
        </w:trPr>
        <w:tc>
          <w:tcPr>
            <w:tcW w:w="1550" w:type="dxa"/>
            <w:tcBorders>
              <w:bottom w:val="nil"/>
            </w:tcBorders>
          </w:tcPr>
          <w:p w14:paraId="1FD0388C" w14:textId="77777777" w:rsidR="009102A7" w:rsidRPr="00576AF8" w:rsidRDefault="009102A7" w:rsidP="009F6B78">
            <w:pPr>
              <w:widowControl w:val="0"/>
              <w:suppressAutoHyphens w:val="0"/>
              <w:autoSpaceDE w:val="0"/>
              <w:autoSpaceDN w:val="0"/>
              <w:spacing w:before="97" w:after="0" w:line="206" w:lineRule="exact"/>
              <w:ind w:left="115"/>
              <w:jc w:val="left"/>
              <w:rPr>
                <w:rFonts w:eastAsia="Calibri"/>
                <w:sz w:val="22"/>
                <w:szCs w:val="22"/>
              </w:rPr>
            </w:pPr>
            <w:r w:rsidRPr="00576AF8">
              <w:rPr>
                <w:rFonts w:eastAsia="Calibri"/>
                <w:spacing w:val="-2"/>
                <w:sz w:val="22"/>
                <w:szCs w:val="22"/>
              </w:rPr>
              <w:t>PDC/PMU</w:t>
            </w:r>
          </w:p>
        </w:tc>
        <w:tc>
          <w:tcPr>
            <w:tcW w:w="1564" w:type="dxa"/>
            <w:vMerge w:val="restart"/>
          </w:tcPr>
          <w:p w14:paraId="12160B35" w14:textId="77777777" w:rsidR="009102A7" w:rsidRPr="00576AF8" w:rsidRDefault="009102A7" w:rsidP="009F6B78">
            <w:pPr>
              <w:widowControl w:val="0"/>
              <w:suppressAutoHyphens w:val="0"/>
              <w:autoSpaceDE w:val="0"/>
              <w:autoSpaceDN w:val="0"/>
              <w:spacing w:before="97" w:after="0" w:line="250" w:lineRule="exact"/>
              <w:ind w:left="115"/>
              <w:jc w:val="left"/>
              <w:rPr>
                <w:rFonts w:eastAsia="Calibri"/>
                <w:spacing w:val="-2"/>
                <w:sz w:val="22"/>
                <w:szCs w:val="22"/>
              </w:rPr>
            </w:pPr>
            <w:r w:rsidRPr="00576AF8">
              <w:rPr>
                <w:rFonts w:eastAsia="Calibri"/>
                <w:spacing w:val="-2"/>
                <w:sz w:val="22"/>
                <w:szCs w:val="22"/>
              </w:rPr>
              <w:t>C37.118</w:t>
            </w:r>
          </w:p>
          <w:p w14:paraId="72B8BA81" w14:textId="77777777" w:rsidR="009102A7" w:rsidRPr="00576AF8" w:rsidRDefault="009102A7" w:rsidP="009F6B78">
            <w:pPr>
              <w:widowControl w:val="0"/>
              <w:suppressAutoHyphens w:val="0"/>
              <w:autoSpaceDE w:val="0"/>
              <w:autoSpaceDN w:val="0"/>
              <w:spacing w:before="97" w:after="0" w:line="250" w:lineRule="exact"/>
              <w:ind w:left="115"/>
              <w:jc w:val="left"/>
              <w:rPr>
                <w:rFonts w:eastAsia="Calibri"/>
                <w:sz w:val="22"/>
                <w:szCs w:val="22"/>
              </w:rPr>
            </w:pPr>
          </w:p>
        </w:tc>
        <w:tc>
          <w:tcPr>
            <w:tcW w:w="1564" w:type="dxa"/>
            <w:tcBorders>
              <w:bottom w:val="nil"/>
            </w:tcBorders>
          </w:tcPr>
          <w:p w14:paraId="33D7E74B" w14:textId="77777777" w:rsidR="009102A7" w:rsidRPr="00576AF8" w:rsidRDefault="009102A7" w:rsidP="009F6B78">
            <w:pPr>
              <w:widowControl w:val="0"/>
              <w:suppressAutoHyphens w:val="0"/>
              <w:autoSpaceDE w:val="0"/>
              <w:autoSpaceDN w:val="0"/>
              <w:spacing w:before="97" w:after="0" w:line="206" w:lineRule="exact"/>
              <w:ind w:left="116"/>
              <w:jc w:val="left"/>
              <w:rPr>
                <w:rFonts w:eastAsia="Calibri"/>
                <w:sz w:val="22"/>
                <w:szCs w:val="22"/>
              </w:rPr>
            </w:pPr>
            <w:r w:rsidRPr="00576AF8">
              <w:rPr>
                <w:rFonts w:eastAsia="Calibri"/>
                <w:spacing w:val="-2"/>
                <w:sz w:val="22"/>
                <w:szCs w:val="22"/>
              </w:rPr>
              <w:t>Estados</w:t>
            </w:r>
          </w:p>
        </w:tc>
        <w:tc>
          <w:tcPr>
            <w:tcW w:w="1562" w:type="dxa"/>
            <w:tcBorders>
              <w:bottom w:val="nil"/>
            </w:tcBorders>
          </w:tcPr>
          <w:p w14:paraId="7CD0E89B" w14:textId="77777777" w:rsidR="009102A7" w:rsidRPr="00576AF8" w:rsidRDefault="009102A7" w:rsidP="009F6B78">
            <w:pPr>
              <w:widowControl w:val="0"/>
              <w:suppressAutoHyphens w:val="0"/>
              <w:autoSpaceDE w:val="0"/>
              <w:autoSpaceDN w:val="0"/>
              <w:spacing w:before="97" w:after="0" w:line="206" w:lineRule="exact"/>
              <w:ind w:left="11"/>
              <w:jc w:val="center"/>
              <w:rPr>
                <w:rFonts w:eastAsia="Calibri"/>
                <w:sz w:val="22"/>
                <w:szCs w:val="22"/>
              </w:rPr>
            </w:pPr>
            <w:r w:rsidRPr="00576AF8">
              <w:rPr>
                <w:rFonts w:eastAsia="Calibri"/>
                <w:sz w:val="22"/>
                <w:szCs w:val="22"/>
              </w:rPr>
              <w:t>1</w:t>
            </w:r>
            <w:r w:rsidRPr="00576AF8">
              <w:rPr>
                <w:rFonts w:eastAsia="Calibri"/>
                <w:spacing w:val="-4"/>
                <w:sz w:val="22"/>
                <w:szCs w:val="22"/>
              </w:rPr>
              <w:t xml:space="preserve"> </w:t>
            </w:r>
            <w:r w:rsidRPr="00576AF8">
              <w:rPr>
                <w:rFonts w:eastAsia="Calibri"/>
                <w:spacing w:val="-2"/>
                <w:sz w:val="22"/>
                <w:szCs w:val="22"/>
              </w:rPr>
              <w:t>segundo</w:t>
            </w:r>
          </w:p>
        </w:tc>
        <w:tc>
          <w:tcPr>
            <w:tcW w:w="1564" w:type="dxa"/>
            <w:tcBorders>
              <w:bottom w:val="nil"/>
            </w:tcBorders>
          </w:tcPr>
          <w:p w14:paraId="757883A2" w14:textId="77777777" w:rsidR="009102A7" w:rsidRPr="00576AF8" w:rsidRDefault="009102A7" w:rsidP="009F6B78">
            <w:pPr>
              <w:widowControl w:val="0"/>
              <w:suppressAutoHyphens w:val="0"/>
              <w:autoSpaceDE w:val="0"/>
              <w:autoSpaceDN w:val="0"/>
              <w:spacing w:before="97" w:after="0" w:line="206" w:lineRule="exact"/>
              <w:ind w:left="14" w:right="4"/>
              <w:jc w:val="center"/>
              <w:rPr>
                <w:rFonts w:eastAsia="Calibri"/>
                <w:sz w:val="22"/>
                <w:szCs w:val="22"/>
              </w:rPr>
            </w:pPr>
            <w:r w:rsidRPr="00576AF8">
              <w:rPr>
                <w:rFonts w:eastAsia="Calibri"/>
                <w:spacing w:val="-4"/>
                <w:sz w:val="22"/>
                <w:szCs w:val="22"/>
              </w:rPr>
              <w:t>1000</w:t>
            </w:r>
          </w:p>
        </w:tc>
      </w:tr>
      <w:tr w:rsidR="009102A7" w:rsidRPr="00576AF8" w14:paraId="14ACD49F" w14:textId="77777777" w:rsidTr="009F6B78">
        <w:trPr>
          <w:trHeight w:val="224"/>
        </w:trPr>
        <w:tc>
          <w:tcPr>
            <w:tcW w:w="1550" w:type="dxa"/>
            <w:tcBorders>
              <w:top w:val="nil"/>
            </w:tcBorders>
          </w:tcPr>
          <w:p w14:paraId="6EB0B0E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4" w:type="dxa"/>
            <w:vMerge/>
            <w:tcBorders>
              <w:top w:val="nil"/>
            </w:tcBorders>
          </w:tcPr>
          <w:p w14:paraId="0B7F86DB" w14:textId="77777777" w:rsidR="009102A7" w:rsidRPr="00576AF8" w:rsidRDefault="009102A7" w:rsidP="009F6B78">
            <w:pPr>
              <w:rPr>
                <w:sz w:val="22"/>
                <w:szCs w:val="22"/>
              </w:rPr>
            </w:pPr>
          </w:p>
        </w:tc>
        <w:tc>
          <w:tcPr>
            <w:tcW w:w="1564" w:type="dxa"/>
            <w:tcBorders>
              <w:top w:val="nil"/>
            </w:tcBorders>
          </w:tcPr>
          <w:p w14:paraId="366539A1" w14:textId="77777777" w:rsidR="009102A7" w:rsidRPr="00576AF8" w:rsidRDefault="009102A7" w:rsidP="009F6B78">
            <w:pPr>
              <w:widowControl w:val="0"/>
              <w:suppressAutoHyphens w:val="0"/>
              <w:autoSpaceDE w:val="0"/>
              <w:autoSpaceDN w:val="0"/>
              <w:spacing w:before="97" w:after="0" w:line="205" w:lineRule="exact"/>
              <w:ind w:left="116"/>
              <w:jc w:val="left"/>
              <w:rPr>
                <w:rFonts w:eastAsia="Calibri"/>
                <w:sz w:val="22"/>
                <w:szCs w:val="22"/>
              </w:rPr>
            </w:pPr>
            <w:r w:rsidRPr="00576AF8">
              <w:rPr>
                <w:rFonts w:eastAsia="Calibri"/>
                <w:spacing w:val="-2"/>
                <w:sz w:val="22"/>
                <w:szCs w:val="22"/>
              </w:rPr>
              <w:t>Analógicos</w:t>
            </w:r>
          </w:p>
        </w:tc>
        <w:tc>
          <w:tcPr>
            <w:tcW w:w="1562" w:type="dxa"/>
            <w:tcBorders>
              <w:top w:val="nil"/>
            </w:tcBorders>
          </w:tcPr>
          <w:p w14:paraId="6460A68F" w14:textId="77777777" w:rsidR="009102A7" w:rsidRPr="00576AF8" w:rsidRDefault="009102A7" w:rsidP="009F6B78">
            <w:pPr>
              <w:widowControl w:val="0"/>
              <w:suppressAutoHyphens w:val="0"/>
              <w:autoSpaceDE w:val="0"/>
              <w:autoSpaceDN w:val="0"/>
              <w:spacing w:before="97" w:after="0" w:line="205" w:lineRule="exact"/>
              <w:ind w:left="11"/>
              <w:jc w:val="center"/>
              <w:rPr>
                <w:rFonts w:eastAsia="Calibri"/>
                <w:sz w:val="22"/>
                <w:szCs w:val="22"/>
              </w:rPr>
            </w:pPr>
            <w:r w:rsidRPr="00576AF8">
              <w:rPr>
                <w:rFonts w:eastAsia="Calibri"/>
                <w:sz w:val="22"/>
                <w:szCs w:val="22"/>
              </w:rPr>
              <w:t>1</w:t>
            </w:r>
            <w:r w:rsidRPr="00576AF8">
              <w:rPr>
                <w:rFonts w:eastAsia="Calibri"/>
                <w:spacing w:val="-4"/>
                <w:sz w:val="22"/>
                <w:szCs w:val="22"/>
              </w:rPr>
              <w:t xml:space="preserve"> </w:t>
            </w:r>
            <w:r w:rsidRPr="00576AF8">
              <w:rPr>
                <w:rFonts w:eastAsia="Calibri"/>
                <w:spacing w:val="-2"/>
                <w:sz w:val="22"/>
                <w:szCs w:val="22"/>
              </w:rPr>
              <w:t>segundo</w:t>
            </w:r>
          </w:p>
        </w:tc>
        <w:tc>
          <w:tcPr>
            <w:tcW w:w="1564" w:type="dxa"/>
            <w:tcBorders>
              <w:top w:val="nil"/>
            </w:tcBorders>
          </w:tcPr>
          <w:p w14:paraId="6AE2AA51" w14:textId="77777777" w:rsidR="009102A7" w:rsidRPr="00576AF8" w:rsidRDefault="009102A7" w:rsidP="009F6B78">
            <w:pPr>
              <w:keepNext/>
              <w:widowControl w:val="0"/>
              <w:suppressAutoHyphens w:val="0"/>
              <w:autoSpaceDE w:val="0"/>
              <w:autoSpaceDN w:val="0"/>
              <w:spacing w:before="97" w:after="0" w:line="205" w:lineRule="exact"/>
              <w:ind w:left="14" w:right="4"/>
              <w:jc w:val="center"/>
              <w:rPr>
                <w:rFonts w:eastAsia="Calibri"/>
                <w:sz w:val="22"/>
                <w:szCs w:val="22"/>
              </w:rPr>
            </w:pPr>
            <w:r w:rsidRPr="00576AF8">
              <w:rPr>
                <w:rFonts w:eastAsia="Calibri"/>
                <w:spacing w:val="-4"/>
                <w:sz w:val="22"/>
                <w:szCs w:val="22"/>
              </w:rPr>
              <w:t>3000</w:t>
            </w:r>
          </w:p>
        </w:tc>
      </w:tr>
    </w:tbl>
    <w:p w14:paraId="4565A084" w14:textId="381A1D9C" w:rsidR="009102A7" w:rsidRPr="00576AF8" w:rsidRDefault="009102A7" w:rsidP="009102A7">
      <w:pPr>
        <w:spacing w:before="120"/>
        <w:jc w:val="center"/>
        <w:rPr>
          <w:b/>
          <w:sz w:val="22"/>
          <w:szCs w:val="22"/>
        </w:rPr>
      </w:pPr>
      <w:r w:rsidRPr="00576AF8">
        <w:rPr>
          <w:b/>
          <w:sz w:val="22"/>
          <w:szCs w:val="22"/>
        </w:rPr>
        <w:t xml:space="preserve">Tabla </w:t>
      </w:r>
      <w:r w:rsidR="000A4430">
        <w:rPr>
          <w:b/>
          <w:sz w:val="22"/>
          <w:szCs w:val="22"/>
        </w:rPr>
        <w:t>1</w:t>
      </w:r>
      <w:r w:rsidR="00467979" w:rsidRPr="00576AF8">
        <w:rPr>
          <w:b/>
          <w:sz w:val="22"/>
          <w:szCs w:val="22"/>
        </w:rPr>
        <w:t>3</w:t>
      </w:r>
      <w:r w:rsidRPr="00576AF8">
        <w:rPr>
          <w:b/>
          <w:sz w:val="22"/>
          <w:szCs w:val="22"/>
        </w:rPr>
        <w:t>. Datos Telemedidos y Comandos</w:t>
      </w:r>
    </w:p>
    <w:bookmarkEnd w:id="1130"/>
    <w:p w14:paraId="66CBD01A" w14:textId="77777777" w:rsidR="009102A7" w:rsidRPr="00576AF8" w:rsidRDefault="009102A7" w:rsidP="009102A7">
      <w:pPr>
        <w:tabs>
          <w:tab w:val="left" w:pos="1981"/>
        </w:tabs>
        <w:spacing w:before="75" w:line="297" w:lineRule="auto"/>
        <w:ind w:left="1261" w:right="2085" w:hanging="720"/>
        <w:rPr>
          <w:sz w:val="22"/>
          <w:szCs w:val="22"/>
          <w:lang w:val="en-US"/>
        </w:rPr>
      </w:pPr>
      <w:r w:rsidRPr="00576AF8">
        <w:rPr>
          <w:sz w:val="22"/>
          <w:szCs w:val="22"/>
          <w:lang w:val="en-US"/>
        </w:rPr>
        <w:t>Notas</w:t>
      </w:r>
      <w:r w:rsidRPr="00576AF8">
        <w:rPr>
          <w:spacing w:val="40"/>
          <w:sz w:val="22"/>
          <w:szCs w:val="22"/>
          <w:lang w:val="en-US"/>
        </w:rPr>
        <w:t xml:space="preserve"> </w:t>
      </w:r>
      <w:r w:rsidRPr="00576AF8">
        <w:rPr>
          <w:sz w:val="22"/>
          <w:szCs w:val="22"/>
          <w:lang w:val="en-US"/>
        </w:rPr>
        <w:t>(*1)</w:t>
      </w:r>
      <w:r w:rsidRPr="00576AF8">
        <w:rPr>
          <w:sz w:val="22"/>
          <w:szCs w:val="22"/>
          <w:lang w:val="en-US"/>
        </w:rPr>
        <w:tab/>
      </w:r>
      <w:r w:rsidRPr="00576AF8">
        <w:rPr>
          <w:spacing w:val="-61"/>
          <w:sz w:val="22"/>
          <w:szCs w:val="22"/>
          <w:lang w:val="en-US"/>
        </w:rPr>
        <w:t xml:space="preserve"> </w:t>
      </w:r>
      <w:r w:rsidRPr="00576AF8">
        <w:rPr>
          <w:sz w:val="22"/>
          <w:szCs w:val="22"/>
          <w:lang w:val="en-US"/>
        </w:rPr>
        <w:t>Point</w:t>
      </w:r>
      <w:r w:rsidRPr="00576AF8">
        <w:rPr>
          <w:spacing w:val="-2"/>
          <w:sz w:val="22"/>
          <w:szCs w:val="22"/>
          <w:lang w:val="en-US"/>
        </w:rPr>
        <w:t xml:space="preserve"> </w:t>
      </w:r>
      <w:r w:rsidRPr="00576AF8">
        <w:rPr>
          <w:sz w:val="22"/>
          <w:szCs w:val="22"/>
          <w:lang w:val="en-US"/>
        </w:rPr>
        <w:t>counts</w:t>
      </w:r>
      <w:r w:rsidRPr="00576AF8">
        <w:rPr>
          <w:spacing w:val="-4"/>
          <w:sz w:val="22"/>
          <w:szCs w:val="22"/>
          <w:lang w:val="en-US"/>
        </w:rPr>
        <w:t xml:space="preserve"> </w:t>
      </w:r>
      <w:r w:rsidRPr="00576AF8">
        <w:rPr>
          <w:sz w:val="22"/>
          <w:szCs w:val="22"/>
          <w:lang w:val="en-US"/>
        </w:rPr>
        <w:t>are</w:t>
      </w:r>
      <w:r w:rsidRPr="00576AF8">
        <w:rPr>
          <w:spacing w:val="-6"/>
          <w:sz w:val="22"/>
          <w:szCs w:val="22"/>
          <w:lang w:val="en-US"/>
        </w:rPr>
        <w:t xml:space="preserve"> </w:t>
      </w:r>
      <w:r w:rsidRPr="00576AF8">
        <w:rPr>
          <w:sz w:val="22"/>
          <w:szCs w:val="22"/>
          <w:lang w:val="en-US"/>
        </w:rPr>
        <w:t>single</w:t>
      </w:r>
      <w:r w:rsidRPr="00576AF8">
        <w:rPr>
          <w:spacing w:val="-4"/>
          <w:sz w:val="22"/>
          <w:szCs w:val="22"/>
          <w:lang w:val="en-US"/>
        </w:rPr>
        <w:t xml:space="preserve"> </w:t>
      </w:r>
      <w:r w:rsidRPr="00576AF8">
        <w:rPr>
          <w:sz w:val="22"/>
          <w:szCs w:val="22"/>
          <w:lang w:val="en-US"/>
        </w:rPr>
        <w:t>status</w:t>
      </w:r>
      <w:r w:rsidRPr="00576AF8">
        <w:rPr>
          <w:spacing w:val="-4"/>
          <w:sz w:val="22"/>
          <w:szCs w:val="22"/>
          <w:lang w:val="en-US"/>
        </w:rPr>
        <w:t xml:space="preserve"> </w:t>
      </w:r>
      <w:r w:rsidRPr="00576AF8">
        <w:rPr>
          <w:sz w:val="22"/>
          <w:szCs w:val="22"/>
          <w:lang w:val="en-US"/>
        </w:rPr>
        <w:t>or</w:t>
      </w:r>
      <w:r w:rsidRPr="00576AF8">
        <w:rPr>
          <w:spacing w:val="-4"/>
          <w:sz w:val="22"/>
          <w:szCs w:val="22"/>
          <w:lang w:val="en-US"/>
        </w:rPr>
        <w:t xml:space="preserve"> </w:t>
      </w:r>
      <w:r w:rsidRPr="00576AF8">
        <w:rPr>
          <w:sz w:val="22"/>
          <w:szCs w:val="22"/>
          <w:lang w:val="en-US"/>
        </w:rPr>
        <w:t>single</w:t>
      </w:r>
      <w:r w:rsidRPr="00576AF8">
        <w:rPr>
          <w:spacing w:val="-4"/>
          <w:sz w:val="22"/>
          <w:szCs w:val="22"/>
          <w:lang w:val="en-US"/>
        </w:rPr>
        <w:t xml:space="preserve"> </w:t>
      </w:r>
      <w:r w:rsidRPr="00576AF8">
        <w:rPr>
          <w:sz w:val="22"/>
          <w:szCs w:val="22"/>
          <w:lang w:val="en-US"/>
        </w:rPr>
        <w:t>supervisory</w:t>
      </w:r>
      <w:r w:rsidRPr="00576AF8">
        <w:rPr>
          <w:spacing w:val="-6"/>
          <w:sz w:val="22"/>
          <w:szCs w:val="22"/>
          <w:lang w:val="en-US"/>
        </w:rPr>
        <w:t xml:space="preserve"> </w:t>
      </w:r>
      <w:r w:rsidRPr="00576AF8">
        <w:rPr>
          <w:sz w:val="22"/>
          <w:szCs w:val="22"/>
          <w:lang w:val="en-US"/>
        </w:rPr>
        <w:t xml:space="preserve">control </w:t>
      </w:r>
      <w:r w:rsidRPr="00576AF8">
        <w:rPr>
          <w:spacing w:val="-4"/>
          <w:sz w:val="22"/>
          <w:szCs w:val="22"/>
          <w:lang w:val="en-US"/>
        </w:rPr>
        <w:t>(*2)</w:t>
      </w:r>
      <w:r w:rsidRPr="00576AF8">
        <w:rPr>
          <w:sz w:val="22"/>
          <w:szCs w:val="22"/>
          <w:lang w:val="en-US"/>
        </w:rPr>
        <w:tab/>
        <w:t>All Status data are SOE</w:t>
      </w:r>
    </w:p>
    <w:p w14:paraId="33FB61B8" w14:textId="77777777" w:rsidR="009102A7" w:rsidRPr="00576AF8" w:rsidRDefault="009102A7" w:rsidP="009102A7">
      <w:pPr>
        <w:rPr>
          <w:b/>
          <w:sz w:val="22"/>
          <w:szCs w:val="22"/>
          <w:lang w:val="en-US"/>
        </w:rPr>
      </w:pP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1"/>
        <w:gridCol w:w="1812"/>
        <w:gridCol w:w="1531"/>
        <w:gridCol w:w="1346"/>
      </w:tblGrid>
      <w:tr w:rsidR="009102A7" w:rsidRPr="00576AF8" w14:paraId="0A204293" w14:textId="77777777" w:rsidTr="009F6B78">
        <w:trPr>
          <w:trHeight w:val="460"/>
        </w:trPr>
        <w:tc>
          <w:tcPr>
            <w:tcW w:w="2861" w:type="dxa"/>
          </w:tcPr>
          <w:p w14:paraId="4DE09560" w14:textId="77777777" w:rsidR="009102A7" w:rsidRPr="00576AF8" w:rsidRDefault="009102A7" w:rsidP="009F6B78">
            <w:pPr>
              <w:widowControl w:val="0"/>
              <w:suppressAutoHyphens w:val="0"/>
              <w:autoSpaceDE w:val="0"/>
              <w:autoSpaceDN w:val="0"/>
              <w:spacing w:before="97" w:after="0" w:line="227" w:lineRule="exact"/>
              <w:ind w:left="115"/>
              <w:jc w:val="left"/>
              <w:rPr>
                <w:rFonts w:eastAsia="Calibri"/>
                <w:b/>
                <w:sz w:val="22"/>
                <w:szCs w:val="22"/>
              </w:rPr>
            </w:pPr>
            <w:bookmarkStart w:id="1131" w:name="OLE_LINK7"/>
            <w:r w:rsidRPr="00576AF8">
              <w:rPr>
                <w:rFonts w:eastAsia="Calibri"/>
                <w:b/>
                <w:sz w:val="22"/>
                <w:szCs w:val="22"/>
              </w:rPr>
              <w:t>Fuente</w:t>
            </w:r>
            <w:r w:rsidRPr="00576AF8">
              <w:rPr>
                <w:rFonts w:eastAsia="Calibri"/>
                <w:b/>
                <w:spacing w:val="-6"/>
                <w:sz w:val="22"/>
                <w:szCs w:val="22"/>
              </w:rPr>
              <w:t xml:space="preserve"> </w:t>
            </w:r>
            <w:r w:rsidRPr="00576AF8">
              <w:rPr>
                <w:rFonts w:eastAsia="Calibri"/>
                <w:b/>
                <w:sz w:val="22"/>
                <w:szCs w:val="22"/>
              </w:rPr>
              <w:t>de</w:t>
            </w:r>
            <w:r w:rsidRPr="00576AF8">
              <w:rPr>
                <w:rFonts w:eastAsia="Calibri"/>
                <w:b/>
                <w:spacing w:val="-5"/>
                <w:sz w:val="22"/>
                <w:szCs w:val="22"/>
              </w:rPr>
              <w:t xml:space="preserve"> </w:t>
            </w:r>
            <w:r w:rsidRPr="00576AF8">
              <w:rPr>
                <w:rFonts w:eastAsia="Calibri"/>
                <w:b/>
                <w:spacing w:val="-2"/>
                <w:sz w:val="22"/>
                <w:szCs w:val="22"/>
              </w:rPr>
              <w:t>datos</w:t>
            </w:r>
          </w:p>
        </w:tc>
        <w:tc>
          <w:tcPr>
            <w:tcW w:w="1812" w:type="dxa"/>
          </w:tcPr>
          <w:p w14:paraId="3BCF734B" w14:textId="77777777" w:rsidR="009102A7" w:rsidRPr="00576AF8" w:rsidRDefault="009102A7" w:rsidP="009F6B78">
            <w:pPr>
              <w:widowControl w:val="0"/>
              <w:suppressAutoHyphens w:val="0"/>
              <w:autoSpaceDE w:val="0"/>
              <w:autoSpaceDN w:val="0"/>
              <w:spacing w:before="97" w:after="0" w:line="227" w:lineRule="exact"/>
              <w:ind w:left="114"/>
              <w:jc w:val="left"/>
              <w:rPr>
                <w:rFonts w:eastAsia="Calibri"/>
                <w:b/>
                <w:sz w:val="22"/>
                <w:szCs w:val="22"/>
              </w:rPr>
            </w:pPr>
            <w:r w:rsidRPr="00576AF8">
              <w:rPr>
                <w:rFonts w:eastAsia="Calibri"/>
                <w:b/>
                <w:sz w:val="22"/>
                <w:szCs w:val="22"/>
              </w:rPr>
              <w:t>Tipo</w:t>
            </w:r>
            <w:r w:rsidRPr="00576AF8">
              <w:rPr>
                <w:rFonts w:eastAsia="Calibri"/>
                <w:b/>
                <w:spacing w:val="-4"/>
                <w:sz w:val="22"/>
                <w:szCs w:val="22"/>
              </w:rPr>
              <w:t xml:space="preserve"> </w:t>
            </w:r>
            <w:r w:rsidRPr="00576AF8">
              <w:rPr>
                <w:rFonts w:eastAsia="Calibri"/>
                <w:b/>
                <w:sz w:val="22"/>
                <w:szCs w:val="22"/>
              </w:rPr>
              <w:t>de</w:t>
            </w:r>
            <w:r w:rsidRPr="00576AF8">
              <w:rPr>
                <w:rFonts w:eastAsia="Calibri"/>
                <w:b/>
                <w:spacing w:val="-3"/>
                <w:sz w:val="22"/>
                <w:szCs w:val="22"/>
              </w:rPr>
              <w:t xml:space="preserve"> </w:t>
            </w:r>
            <w:r w:rsidRPr="00576AF8">
              <w:rPr>
                <w:rFonts w:eastAsia="Calibri"/>
                <w:b/>
                <w:spacing w:val="-2"/>
                <w:sz w:val="22"/>
                <w:szCs w:val="22"/>
              </w:rPr>
              <w:t>datos</w:t>
            </w:r>
          </w:p>
        </w:tc>
        <w:tc>
          <w:tcPr>
            <w:tcW w:w="1531" w:type="dxa"/>
          </w:tcPr>
          <w:p w14:paraId="2086E1E9" w14:textId="77777777" w:rsidR="009102A7" w:rsidRPr="00576AF8" w:rsidRDefault="009102A7" w:rsidP="009F6B78">
            <w:pPr>
              <w:widowControl w:val="0"/>
              <w:suppressAutoHyphens w:val="0"/>
              <w:autoSpaceDE w:val="0"/>
              <w:autoSpaceDN w:val="0"/>
              <w:spacing w:before="97" w:after="0" w:line="228" w:lineRule="exact"/>
              <w:ind w:left="114" w:right="42"/>
              <w:jc w:val="left"/>
              <w:rPr>
                <w:rFonts w:eastAsia="Calibri"/>
                <w:b/>
                <w:sz w:val="22"/>
                <w:szCs w:val="22"/>
              </w:rPr>
            </w:pPr>
            <w:r w:rsidRPr="00576AF8">
              <w:rPr>
                <w:rFonts w:eastAsia="Calibri"/>
                <w:b/>
                <w:spacing w:val="-2"/>
                <w:sz w:val="22"/>
                <w:szCs w:val="22"/>
              </w:rPr>
              <w:t xml:space="preserve">Periodicida </w:t>
            </w:r>
            <w:r w:rsidRPr="00576AF8">
              <w:rPr>
                <w:rFonts w:eastAsia="Calibri"/>
                <w:b/>
                <w:spacing w:val="-10"/>
                <w:sz w:val="22"/>
                <w:szCs w:val="22"/>
              </w:rPr>
              <w:t>d</w:t>
            </w:r>
          </w:p>
        </w:tc>
        <w:tc>
          <w:tcPr>
            <w:tcW w:w="1346" w:type="dxa"/>
          </w:tcPr>
          <w:p w14:paraId="71955D11" w14:textId="77777777" w:rsidR="009102A7" w:rsidRPr="00576AF8" w:rsidRDefault="009102A7" w:rsidP="009F6B78">
            <w:pPr>
              <w:widowControl w:val="0"/>
              <w:suppressAutoHyphens w:val="0"/>
              <w:autoSpaceDE w:val="0"/>
              <w:autoSpaceDN w:val="0"/>
              <w:spacing w:before="97" w:after="0" w:line="227" w:lineRule="exact"/>
              <w:ind w:left="115"/>
              <w:jc w:val="left"/>
              <w:rPr>
                <w:rFonts w:eastAsia="Calibri"/>
                <w:b/>
                <w:sz w:val="22"/>
                <w:szCs w:val="22"/>
              </w:rPr>
            </w:pPr>
            <w:r w:rsidRPr="00576AF8">
              <w:rPr>
                <w:rFonts w:eastAsia="Calibri"/>
                <w:b/>
                <w:spacing w:val="-2"/>
                <w:sz w:val="22"/>
                <w:szCs w:val="22"/>
              </w:rPr>
              <w:t>Cantidad</w:t>
            </w:r>
          </w:p>
        </w:tc>
      </w:tr>
      <w:tr w:rsidR="009102A7" w:rsidRPr="00576AF8" w14:paraId="770321B5" w14:textId="77777777" w:rsidTr="009F6B78">
        <w:trPr>
          <w:trHeight w:val="921"/>
        </w:trPr>
        <w:tc>
          <w:tcPr>
            <w:tcW w:w="2861" w:type="dxa"/>
          </w:tcPr>
          <w:p w14:paraId="12A6BC60" w14:textId="77777777" w:rsidR="009102A7" w:rsidRPr="00576AF8" w:rsidRDefault="009102A7" w:rsidP="009F6B78">
            <w:pPr>
              <w:widowControl w:val="0"/>
              <w:suppressAutoHyphens w:val="0"/>
              <w:autoSpaceDE w:val="0"/>
              <w:autoSpaceDN w:val="0"/>
              <w:spacing w:before="97" w:after="0" w:line="227" w:lineRule="exact"/>
              <w:ind w:left="115"/>
              <w:jc w:val="left"/>
              <w:rPr>
                <w:rFonts w:eastAsia="Calibri"/>
                <w:sz w:val="22"/>
                <w:szCs w:val="22"/>
              </w:rPr>
            </w:pPr>
            <w:r w:rsidRPr="00576AF8">
              <w:rPr>
                <w:rFonts w:eastAsia="Calibri"/>
                <w:sz w:val="22"/>
                <w:szCs w:val="22"/>
              </w:rPr>
              <w:lastRenderedPageBreak/>
              <w:t>Ingresos</w:t>
            </w:r>
            <w:r w:rsidRPr="00576AF8">
              <w:rPr>
                <w:rFonts w:eastAsia="Calibri"/>
                <w:spacing w:val="-10"/>
                <w:sz w:val="22"/>
                <w:szCs w:val="22"/>
              </w:rPr>
              <w:t xml:space="preserve"> </w:t>
            </w:r>
            <w:r w:rsidRPr="00576AF8">
              <w:rPr>
                <w:rFonts w:eastAsia="Calibri"/>
                <w:spacing w:val="-2"/>
                <w:sz w:val="22"/>
                <w:szCs w:val="22"/>
              </w:rPr>
              <w:t>Manuales</w:t>
            </w:r>
          </w:p>
        </w:tc>
        <w:tc>
          <w:tcPr>
            <w:tcW w:w="1812" w:type="dxa"/>
          </w:tcPr>
          <w:p w14:paraId="2195607B" w14:textId="77777777" w:rsidR="009102A7" w:rsidRPr="00576AF8" w:rsidRDefault="009102A7" w:rsidP="009F6B78">
            <w:pPr>
              <w:widowControl w:val="0"/>
              <w:suppressAutoHyphens w:val="0"/>
              <w:autoSpaceDE w:val="0"/>
              <w:autoSpaceDN w:val="0"/>
              <w:spacing w:before="211" w:after="0" w:line="230" w:lineRule="atLeast"/>
              <w:ind w:left="114" w:right="40"/>
              <w:jc w:val="left"/>
              <w:rPr>
                <w:rFonts w:eastAsia="Calibri"/>
                <w:sz w:val="22"/>
                <w:szCs w:val="22"/>
              </w:rPr>
            </w:pPr>
            <w:r w:rsidRPr="00576AF8">
              <w:rPr>
                <w:rFonts w:eastAsia="Calibri"/>
                <w:spacing w:val="-2"/>
                <w:sz w:val="22"/>
                <w:szCs w:val="22"/>
              </w:rPr>
              <w:t>Estados Analógicos Acumuladores</w:t>
            </w:r>
          </w:p>
        </w:tc>
        <w:tc>
          <w:tcPr>
            <w:tcW w:w="1531" w:type="dxa"/>
          </w:tcPr>
          <w:p w14:paraId="7AA30B99" w14:textId="77777777" w:rsidR="009102A7" w:rsidRPr="00576AF8" w:rsidRDefault="009102A7" w:rsidP="009F6B78">
            <w:pPr>
              <w:widowControl w:val="0"/>
              <w:suppressAutoHyphens w:val="0"/>
              <w:autoSpaceDE w:val="0"/>
              <w:autoSpaceDN w:val="0"/>
              <w:spacing w:before="227" w:after="0"/>
              <w:ind w:left="115"/>
              <w:jc w:val="left"/>
              <w:rPr>
                <w:rFonts w:eastAsia="Calibri"/>
                <w:sz w:val="22"/>
                <w:szCs w:val="22"/>
              </w:rPr>
            </w:pPr>
            <w:r w:rsidRPr="00576AF8">
              <w:rPr>
                <w:rFonts w:eastAsia="Calibri"/>
                <w:spacing w:val="-10"/>
                <w:sz w:val="22"/>
                <w:szCs w:val="22"/>
              </w:rPr>
              <w:t>-</w:t>
            </w:r>
          </w:p>
          <w:p w14:paraId="5C00E045" w14:textId="77777777" w:rsidR="009102A7" w:rsidRPr="00576AF8" w:rsidRDefault="009102A7" w:rsidP="009F6B78">
            <w:pPr>
              <w:widowControl w:val="0"/>
              <w:suppressAutoHyphens w:val="0"/>
              <w:autoSpaceDE w:val="0"/>
              <w:autoSpaceDN w:val="0"/>
              <w:spacing w:before="1" w:after="0"/>
              <w:ind w:left="114"/>
              <w:jc w:val="left"/>
              <w:rPr>
                <w:rFonts w:eastAsia="Calibri"/>
                <w:sz w:val="22"/>
                <w:szCs w:val="22"/>
              </w:rPr>
            </w:pPr>
            <w:r w:rsidRPr="00576AF8">
              <w:rPr>
                <w:rFonts w:eastAsia="Calibri"/>
                <w:spacing w:val="-10"/>
                <w:sz w:val="22"/>
                <w:szCs w:val="22"/>
              </w:rPr>
              <w:t>-</w:t>
            </w:r>
          </w:p>
          <w:p w14:paraId="28A8A24A" w14:textId="77777777" w:rsidR="009102A7" w:rsidRPr="00576AF8" w:rsidRDefault="009102A7" w:rsidP="009F6B78">
            <w:pPr>
              <w:widowControl w:val="0"/>
              <w:suppressAutoHyphens w:val="0"/>
              <w:autoSpaceDE w:val="0"/>
              <w:autoSpaceDN w:val="0"/>
              <w:spacing w:before="97" w:after="0" w:line="213" w:lineRule="exact"/>
              <w:ind w:left="114"/>
              <w:jc w:val="left"/>
              <w:rPr>
                <w:rFonts w:eastAsia="Calibri"/>
                <w:sz w:val="22"/>
                <w:szCs w:val="22"/>
              </w:rPr>
            </w:pPr>
            <w:r w:rsidRPr="00576AF8">
              <w:rPr>
                <w:rFonts w:eastAsia="Calibri"/>
                <w:spacing w:val="-10"/>
                <w:sz w:val="22"/>
                <w:szCs w:val="22"/>
              </w:rPr>
              <w:t>-</w:t>
            </w:r>
          </w:p>
        </w:tc>
        <w:tc>
          <w:tcPr>
            <w:tcW w:w="1346" w:type="dxa"/>
          </w:tcPr>
          <w:p w14:paraId="6866C7F3" w14:textId="77777777" w:rsidR="009102A7" w:rsidRPr="00576AF8" w:rsidRDefault="009102A7" w:rsidP="009F6B78">
            <w:pPr>
              <w:widowControl w:val="0"/>
              <w:suppressAutoHyphens w:val="0"/>
              <w:autoSpaceDE w:val="0"/>
              <w:autoSpaceDN w:val="0"/>
              <w:spacing w:before="227" w:after="0"/>
              <w:ind w:left="11" w:right="4"/>
              <w:jc w:val="center"/>
              <w:rPr>
                <w:rFonts w:eastAsia="Calibri"/>
                <w:sz w:val="22"/>
                <w:szCs w:val="22"/>
              </w:rPr>
            </w:pPr>
            <w:r w:rsidRPr="00576AF8">
              <w:rPr>
                <w:rFonts w:eastAsia="Calibri"/>
                <w:spacing w:val="-4"/>
                <w:sz w:val="22"/>
                <w:szCs w:val="22"/>
              </w:rPr>
              <w:t>5000</w:t>
            </w:r>
          </w:p>
          <w:p w14:paraId="4A1191AA" w14:textId="77777777" w:rsidR="009102A7" w:rsidRPr="00576AF8" w:rsidRDefault="009102A7" w:rsidP="009F6B78">
            <w:pPr>
              <w:widowControl w:val="0"/>
              <w:suppressAutoHyphens w:val="0"/>
              <w:autoSpaceDE w:val="0"/>
              <w:autoSpaceDN w:val="0"/>
              <w:spacing w:before="1" w:after="0"/>
              <w:ind w:left="11" w:right="5"/>
              <w:jc w:val="center"/>
              <w:rPr>
                <w:rFonts w:eastAsia="Calibri"/>
                <w:sz w:val="22"/>
                <w:szCs w:val="22"/>
              </w:rPr>
            </w:pPr>
            <w:r w:rsidRPr="00576AF8">
              <w:rPr>
                <w:rFonts w:eastAsia="Calibri"/>
                <w:spacing w:val="-4"/>
                <w:sz w:val="22"/>
                <w:szCs w:val="22"/>
              </w:rPr>
              <w:t>2000</w:t>
            </w:r>
          </w:p>
          <w:p w14:paraId="1F0DFF2D" w14:textId="77777777" w:rsidR="009102A7" w:rsidRPr="00576AF8" w:rsidRDefault="009102A7" w:rsidP="009F6B78">
            <w:pPr>
              <w:widowControl w:val="0"/>
              <w:suppressAutoHyphens w:val="0"/>
              <w:autoSpaceDE w:val="0"/>
              <w:autoSpaceDN w:val="0"/>
              <w:spacing w:before="97" w:after="0" w:line="213" w:lineRule="exact"/>
              <w:ind w:left="11" w:right="5"/>
              <w:jc w:val="center"/>
              <w:rPr>
                <w:rFonts w:eastAsia="Calibri"/>
                <w:sz w:val="22"/>
                <w:szCs w:val="22"/>
              </w:rPr>
            </w:pPr>
            <w:r w:rsidRPr="00576AF8">
              <w:rPr>
                <w:rFonts w:eastAsia="Calibri"/>
                <w:spacing w:val="-4"/>
                <w:sz w:val="22"/>
                <w:szCs w:val="22"/>
              </w:rPr>
              <w:t>1000</w:t>
            </w:r>
          </w:p>
        </w:tc>
      </w:tr>
      <w:tr w:rsidR="009102A7" w:rsidRPr="00576AF8" w14:paraId="5125E57B" w14:textId="77777777" w:rsidTr="009F6B78">
        <w:trPr>
          <w:trHeight w:val="918"/>
        </w:trPr>
        <w:tc>
          <w:tcPr>
            <w:tcW w:w="2861" w:type="dxa"/>
          </w:tcPr>
          <w:p w14:paraId="4E311E14" w14:textId="77777777" w:rsidR="009102A7" w:rsidRPr="00576AF8" w:rsidRDefault="009102A7" w:rsidP="009F6B78">
            <w:pPr>
              <w:widowControl w:val="0"/>
              <w:suppressAutoHyphens w:val="0"/>
              <w:autoSpaceDE w:val="0"/>
              <w:autoSpaceDN w:val="0"/>
              <w:spacing w:before="97" w:after="0" w:line="227" w:lineRule="exact"/>
              <w:ind w:left="115"/>
              <w:jc w:val="left"/>
              <w:rPr>
                <w:rFonts w:eastAsia="Calibri"/>
                <w:sz w:val="22"/>
                <w:szCs w:val="22"/>
              </w:rPr>
            </w:pPr>
            <w:r w:rsidRPr="00576AF8">
              <w:rPr>
                <w:rFonts w:eastAsia="Calibri"/>
                <w:sz w:val="22"/>
                <w:szCs w:val="22"/>
              </w:rPr>
              <w:t>Datos</w:t>
            </w:r>
            <w:r w:rsidRPr="00576AF8">
              <w:rPr>
                <w:rFonts w:eastAsia="Calibri"/>
                <w:spacing w:val="-7"/>
                <w:sz w:val="22"/>
                <w:szCs w:val="22"/>
              </w:rPr>
              <w:t xml:space="preserve"> </w:t>
            </w:r>
            <w:r w:rsidRPr="00576AF8">
              <w:rPr>
                <w:rFonts w:eastAsia="Calibri"/>
                <w:spacing w:val="-2"/>
                <w:sz w:val="22"/>
                <w:szCs w:val="22"/>
              </w:rPr>
              <w:t>calculados</w:t>
            </w:r>
          </w:p>
        </w:tc>
        <w:tc>
          <w:tcPr>
            <w:tcW w:w="1812" w:type="dxa"/>
          </w:tcPr>
          <w:p w14:paraId="4D5BD2E3" w14:textId="77777777" w:rsidR="009102A7" w:rsidRPr="00576AF8" w:rsidRDefault="009102A7" w:rsidP="009F6B78">
            <w:pPr>
              <w:widowControl w:val="0"/>
              <w:suppressAutoHyphens w:val="0"/>
              <w:autoSpaceDE w:val="0"/>
              <w:autoSpaceDN w:val="0"/>
              <w:spacing w:before="227" w:after="0"/>
              <w:ind w:left="114"/>
              <w:jc w:val="left"/>
              <w:rPr>
                <w:rFonts w:eastAsia="Calibri"/>
                <w:sz w:val="22"/>
                <w:szCs w:val="22"/>
              </w:rPr>
            </w:pPr>
            <w:r w:rsidRPr="00576AF8">
              <w:rPr>
                <w:rFonts w:eastAsia="Calibri"/>
                <w:spacing w:val="-2"/>
                <w:sz w:val="22"/>
                <w:szCs w:val="22"/>
              </w:rPr>
              <w:t>Estados</w:t>
            </w:r>
          </w:p>
          <w:p w14:paraId="56B61E56" w14:textId="77777777" w:rsidR="009102A7" w:rsidRPr="00576AF8" w:rsidRDefault="009102A7" w:rsidP="009F6B78">
            <w:pPr>
              <w:widowControl w:val="0"/>
              <w:suppressAutoHyphens w:val="0"/>
              <w:autoSpaceDE w:val="0"/>
              <w:autoSpaceDN w:val="0"/>
              <w:spacing w:before="97" w:after="0" w:line="228" w:lineRule="exact"/>
              <w:ind w:left="114"/>
              <w:jc w:val="left"/>
              <w:rPr>
                <w:rFonts w:eastAsia="Calibri"/>
                <w:spacing w:val="-2"/>
                <w:sz w:val="22"/>
                <w:szCs w:val="22"/>
              </w:rPr>
            </w:pPr>
            <w:r w:rsidRPr="00576AF8">
              <w:rPr>
                <w:rFonts w:eastAsia="Calibri"/>
                <w:spacing w:val="-2"/>
                <w:sz w:val="22"/>
                <w:szCs w:val="22"/>
              </w:rPr>
              <w:t xml:space="preserve">Analog </w:t>
            </w:r>
          </w:p>
          <w:p w14:paraId="23B6BB36" w14:textId="77777777" w:rsidR="009102A7" w:rsidRPr="00576AF8" w:rsidRDefault="009102A7" w:rsidP="009F6B78">
            <w:pPr>
              <w:widowControl w:val="0"/>
              <w:suppressAutoHyphens w:val="0"/>
              <w:autoSpaceDE w:val="0"/>
              <w:autoSpaceDN w:val="0"/>
              <w:spacing w:before="97" w:after="0" w:line="228" w:lineRule="exact"/>
              <w:jc w:val="left"/>
              <w:rPr>
                <w:rFonts w:eastAsia="Calibri"/>
                <w:spacing w:val="-2"/>
                <w:sz w:val="22"/>
                <w:szCs w:val="22"/>
              </w:rPr>
            </w:pPr>
          </w:p>
          <w:p w14:paraId="3438C4A9" w14:textId="77777777" w:rsidR="009102A7" w:rsidRPr="00576AF8" w:rsidRDefault="009102A7" w:rsidP="009F6B78">
            <w:pPr>
              <w:widowControl w:val="0"/>
              <w:suppressAutoHyphens w:val="0"/>
              <w:autoSpaceDE w:val="0"/>
              <w:autoSpaceDN w:val="0"/>
              <w:spacing w:before="97" w:after="0" w:line="228" w:lineRule="exact"/>
              <w:jc w:val="left"/>
              <w:rPr>
                <w:rFonts w:eastAsia="Calibri"/>
                <w:sz w:val="22"/>
                <w:szCs w:val="22"/>
              </w:rPr>
            </w:pPr>
            <w:r w:rsidRPr="00576AF8">
              <w:rPr>
                <w:rFonts w:eastAsia="Calibri"/>
                <w:spacing w:val="-2"/>
                <w:sz w:val="22"/>
                <w:szCs w:val="22"/>
              </w:rPr>
              <w:t>Acumuladores</w:t>
            </w:r>
          </w:p>
        </w:tc>
        <w:tc>
          <w:tcPr>
            <w:tcW w:w="1531" w:type="dxa"/>
          </w:tcPr>
          <w:p w14:paraId="00DD4A29" w14:textId="77777777" w:rsidR="009102A7" w:rsidRPr="00576AF8" w:rsidRDefault="009102A7" w:rsidP="009F6B78">
            <w:pPr>
              <w:widowControl w:val="0"/>
              <w:suppressAutoHyphens w:val="0"/>
              <w:autoSpaceDE w:val="0"/>
              <w:autoSpaceDN w:val="0"/>
              <w:spacing w:before="227" w:after="0"/>
              <w:ind w:left="139"/>
              <w:jc w:val="left"/>
              <w:rPr>
                <w:rFonts w:eastAsia="Calibri"/>
                <w:sz w:val="22"/>
                <w:szCs w:val="22"/>
              </w:rPr>
            </w:pPr>
            <w:r w:rsidRPr="00576AF8">
              <w:rPr>
                <w:rFonts w:eastAsia="Calibri"/>
                <w:sz w:val="22"/>
                <w:szCs w:val="22"/>
              </w:rPr>
              <w:t>1</w:t>
            </w:r>
            <w:r w:rsidRPr="00576AF8">
              <w:rPr>
                <w:rFonts w:eastAsia="Calibri"/>
                <w:spacing w:val="-4"/>
                <w:sz w:val="22"/>
                <w:szCs w:val="22"/>
              </w:rPr>
              <w:t xml:space="preserve"> </w:t>
            </w:r>
            <w:r w:rsidRPr="00576AF8">
              <w:rPr>
                <w:rFonts w:eastAsia="Calibri"/>
                <w:spacing w:val="-2"/>
                <w:sz w:val="22"/>
                <w:szCs w:val="22"/>
              </w:rPr>
              <w:t>segundos</w:t>
            </w:r>
          </w:p>
          <w:p w14:paraId="4472B44D" w14:textId="77777777" w:rsidR="009102A7" w:rsidRPr="00576AF8" w:rsidRDefault="009102A7" w:rsidP="009F6B78">
            <w:pPr>
              <w:widowControl w:val="0"/>
              <w:suppressAutoHyphens w:val="0"/>
              <w:autoSpaceDE w:val="0"/>
              <w:autoSpaceDN w:val="0"/>
              <w:spacing w:before="1" w:after="0" w:line="229" w:lineRule="exact"/>
              <w:ind w:left="138"/>
              <w:jc w:val="left"/>
              <w:rPr>
                <w:rFonts w:eastAsia="Calibri"/>
                <w:sz w:val="22"/>
                <w:szCs w:val="22"/>
              </w:rPr>
            </w:pPr>
            <w:r w:rsidRPr="00576AF8">
              <w:rPr>
                <w:rFonts w:eastAsia="Calibri"/>
                <w:sz w:val="22"/>
                <w:szCs w:val="22"/>
              </w:rPr>
              <w:t>1 a 4</w:t>
            </w:r>
            <w:r w:rsidRPr="00576AF8">
              <w:rPr>
                <w:rFonts w:eastAsia="Calibri"/>
                <w:spacing w:val="-3"/>
                <w:sz w:val="22"/>
                <w:szCs w:val="22"/>
              </w:rPr>
              <w:t xml:space="preserve"> </w:t>
            </w:r>
            <w:r w:rsidRPr="00576AF8">
              <w:rPr>
                <w:rFonts w:eastAsia="Calibri"/>
                <w:spacing w:val="-2"/>
                <w:sz w:val="22"/>
                <w:szCs w:val="22"/>
              </w:rPr>
              <w:t>segundos</w:t>
            </w:r>
          </w:p>
          <w:p w14:paraId="7F7BCAA8" w14:textId="77777777" w:rsidR="009102A7" w:rsidRPr="00576AF8" w:rsidRDefault="009102A7" w:rsidP="009F6B78">
            <w:pPr>
              <w:widowControl w:val="0"/>
              <w:suppressAutoHyphens w:val="0"/>
              <w:autoSpaceDE w:val="0"/>
              <w:autoSpaceDN w:val="0"/>
              <w:spacing w:before="97" w:after="0" w:line="212" w:lineRule="exact"/>
              <w:ind w:left="168"/>
              <w:jc w:val="left"/>
              <w:rPr>
                <w:rFonts w:eastAsia="Calibri"/>
                <w:sz w:val="22"/>
                <w:szCs w:val="22"/>
              </w:rPr>
            </w:pPr>
          </w:p>
          <w:p w14:paraId="4B1A8EC9" w14:textId="77777777" w:rsidR="009102A7" w:rsidRPr="00576AF8" w:rsidRDefault="009102A7" w:rsidP="009F6B78">
            <w:pPr>
              <w:widowControl w:val="0"/>
              <w:suppressAutoHyphens w:val="0"/>
              <w:autoSpaceDE w:val="0"/>
              <w:autoSpaceDN w:val="0"/>
              <w:spacing w:before="97" w:after="0" w:line="212" w:lineRule="exact"/>
              <w:ind w:left="168"/>
              <w:jc w:val="left"/>
              <w:rPr>
                <w:rFonts w:eastAsia="Calibri"/>
                <w:sz w:val="22"/>
                <w:szCs w:val="22"/>
              </w:rPr>
            </w:pPr>
            <w:r w:rsidRPr="00576AF8">
              <w:rPr>
                <w:rFonts w:eastAsia="Calibri"/>
                <w:sz w:val="22"/>
                <w:szCs w:val="22"/>
              </w:rPr>
              <w:t>15</w:t>
            </w:r>
            <w:r w:rsidRPr="00576AF8">
              <w:rPr>
                <w:rFonts w:eastAsia="Calibri"/>
                <w:spacing w:val="-6"/>
                <w:sz w:val="22"/>
                <w:szCs w:val="22"/>
              </w:rPr>
              <w:t xml:space="preserve"> </w:t>
            </w:r>
            <w:r w:rsidRPr="00576AF8">
              <w:rPr>
                <w:rFonts w:eastAsia="Calibri"/>
                <w:spacing w:val="-2"/>
                <w:sz w:val="22"/>
                <w:szCs w:val="22"/>
              </w:rPr>
              <w:t>minutos</w:t>
            </w:r>
          </w:p>
        </w:tc>
        <w:tc>
          <w:tcPr>
            <w:tcW w:w="1346" w:type="dxa"/>
          </w:tcPr>
          <w:p w14:paraId="54E48352" w14:textId="77777777" w:rsidR="009102A7" w:rsidRPr="00576AF8" w:rsidRDefault="009102A7" w:rsidP="009F6B78">
            <w:pPr>
              <w:widowControl w:val="0"/>
              <w:suppressAutoHyphens w:val="0"/>
              <w:autoSpaceDE w:val="0"/>
              <w:autoSpaceDN w:val="0"/>
              <w:spacing w:before="227" w:after="0"/>
              <w:ind w:left="11" w:right="1"/>
              <w:jc w:val="center"/>
              <w:rPr>
                <w:rFonts w:eastAsia="Calibri"/>
                <w:sz w:val="22"/>
                <w:szCs w:val="22"/>
              </w:rPr>
            </w:pPr>
            <w:r w:rsidRPr="00576AF8">
              <w:rPr>
                <w:rFonts w:eastAsia="Calibri"/>
                <w:spacing w:val="-2"/>
                <w:sz w:val="22"/>
                <w:szCs w:val="22"/>
              </w:rPr>
              <w:t>10000</w:t>
            </w:r>
          </w:p>
          <w:p w14:paraId="5D8EB382" w14:textId="77777777" w:rsidR="009102A7" w:rsidRPr="00576AF8" w:rsidRDefault="009102A7" w:rsidP="009F6B78">
            <w:pPr>
              <w:widowControl w:val="0"/>
              <w:suppressAutoHyphens w:val="0"/>
              <w:autoSpaceDE w:val="0"/>
              <w:autoSpaceDN w:val="0"/>
              <w:spacing w:before="1" w:after="0" w:line="229" w:lineRule="exact"/>
              <w:ind w:left="11" w:right="1"/>
              <w:jc w:val="center"/>
              <w:rPr>
                <w:rFonts w:eastAsia="Calibri"/>
                <w:sz w:val="22"/>
                <w:szCs w:val="22"/>
              </w:rPr>
            </w:pPr>
            <w:r w:rsidRPr="00576AF8">
              <w:rPr>
                <w:rFonts w:eastAsia="Calibri"/>
                <w:spacing w:val="-2"/>
                <w:sz w:val="22"/>
                <w:szCs w:val="22"/>
              </w:rPr>
              <w:t>15000</w:t>
            </w:r>
          </w:p>
          <w:p w14:paraId="46897072" w14:textId="77777777" w:rsidR="009102A7" w:rsidRPr="00576AF8" w:rsidRDefault="009102A7" w:rsidP="009F6B78">
            <w:pPr>
              <w:keepNext/>
              <w:widowControl w:val="0"/>
              <w:suppressAutoHyphens w:val="0"/>
              <w:autoSpaceDE w:val="0"/>
              <w:autoSpaceDN w:val="0"/>
              <w:spacing w:before="97" w:after="0" w:line="212" w:lineRule="exact"/>
              <w:ind w:left="11" w:right="5"/>
              <w:jc w:val="center"/>
              <w:rPr>
                <w:rFonts w:eastAsia="Calibri"/>
                <w:spacing w:val="-4"/>
                <w:sz w:val="22"/>
                <w:szCs w:val="22"/>
              </w:rPr>
            </w:pPr>
          </w:p>
          <w:p w14:paraId="21ABA6AC" w14:textId="77777777" w:rsidR="009102A7" w:rsidRPr="00576AF8" w:rsidRDefault="009102A7" w:rsidP="009F6B78">
            <w:pPr>
              <w:keepNext/>
              <w:widowControl w:val="0"/>
              <w:suppressAutoHyphens w:val="0"/>
              <w:autoSpaceDE w:val="0"/>
              <w:autoSpaceDN w:val="0"/>
              <w:spacing w:before="97" w:after="0" w:line="212" w:lineRule="exact"/>
              <w:ind w:left="11" w:right="5"/>
              <w:jc w:val="center"/>
              <w:rPr>
                <w:rFonts w:eastAsia="Calibri"/>
                <w:sz w:val="22"/>
                <w:szCs w:val="22"/>
              </w:rPr>
            </w:pPr>
            <w:r w:rsidRPr="00576AF8">
              <w:rPr>
                <w:rFonts w:eastAsia="Calibri"/>
                <w:spacing w:val="-4"/>
                <w:sz w:val="22"/>
                <w:szCs w:val="22"/>
              </w:rPr>
              <w:t>4000</w:t>
            </w:r>
          </w:p>
        </w:tc>
      </w:tr>
    </w:tbl>
    <w:p w14:paraId="35E18716" w14:textId="464DDE0A" w:rsidR="009102A7" w:rsidRPr="00576AF8" w:rsidRDefault="009102A7" w:rsidP="009102A7">
      <w:pPr>
        <w:spacing w:before="120"/>
        <w:jc w:val="center"/>
        <w:rPr>
          <w:b/>
          <w:sz w:val="22"/>
          <w:szCs w:val="22"/>
        </w:rPr>
      </w:pPr>
      <w:r w:rsidRPr="00576AF8">
        <w:rPr>
          <w:b/>
          <w:sz w:val="22"/>
          <w:szCs w:val="22"/>
        </w:rPr>
        <w:t xml:space="preserve">Tabla </w:t>
      </w:r>
      <w:proofErr w:type="gramStart"/>
      <w:r w:rsidR="000A4430">
        <w:rPr>
          <w:b/>
          <w:sz w:val="22"/>
          <w:szCs w:val="22"/>
        </w:rPr>
        <w:t>1</w:t>
      </w:r>
      <w:r w:rsidR="00467979" w:rsidRPr="00576AF8">
        <w:rPr>
          <w:b/>
          <w:sz w:val="22"/>
          <w:szCs w:val="22"/>
        </w:rPr>
        <w:t>4</w:t>
      </w:r>
      <w:r w:rsidRPr="00576AF8">
        <w:rPr>
          <w:b/>
          <w:sz w:val="22"/>
          <w:szCs w:val="22"/>
        </w:rPr>
        <w:t>.Datos</w:t>
      </w:r>
      <w:proofErr w:type="gramEnd"/>
      <w:r w:rsidRPr="00576AF8">
        <w:rPr>
          <w:b/>
          <w:sz w:val="22"/>
          <w:szCs w:val="22"/>
        </w:rPr>
        <w:t xml:space="preserve"> No Telemedidos</w:t>
      </w:r>
    </w:p>
    <w:bookmarkEnd w:id="1131"/>
    <w:p w14:paraId="280823F2" w14:textId="77777777" w:rsidR="009102A7" w:rsidRPr="00576AF8" w:rsidRDefault="009102A7" w:rsidP="009102A7"/>
    <w:p w14:paraId="5B57C34B" w14:textId="77777777" w:rsidR="009102A7" w:rsidRPr="00576AF8" w:rsidRDefault="009102A7" w:rsidP="009102A7">
      <w:pPr>
        <w:spacing w:before="28" w:after="1"/>
        <w:rPr>
          <w:b/>
          <w:sz w:val="22"/>
          <w:szCs w:val="2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563"/>
        <w:gridCol w:w="1565"/>
        <w:gridCol w:w="1695"/>
        <w:gridCol w:w="1419"/>
        <w:gridCol w:w="1580"/>
      </w:tblGrid>
      <w:tr w:rsidR="009102A7" w:rsidRPr="00576AF8" w14:paraId="6B07CD27" w14:textId="77777777" w:rsidTr="009F6B78">
        <w:trPr>
          <w:trHeight w:val="580"/>
        </w:trPr>
        <w:tc>
          <w:tcPr>
            <w:tcW w:w="1553" w:type="dxa"/>
          </w:tcPr>
          <w:p w14:paraId="50EBFFEB" w14:textId="77777777" w:rsidR="009102A7" w:rsidRPr="00576AF8" w:rsidRDefault="009102A7" w:rsidP="009F6B78">
            <w:pPr>
              <w:widowControl w:val="0"/>
              <w:suppressAutoHyphens w:val="0"/>
              <w:autoSpaceDE w:val="0"/>
              <w:autoSpaceDN w:val="0"/>
              <w:spacing w:before="54" w:after="0"/>
              <w:ind w:left="114"/>
              <w:jc w:val="left"/>
              <w:rPr>
                <w:rFonts w:eastAsia="Calibri"/>
                <w:b/>
                <w:sz w:val="22"/>
                <w:szCs w:val="22"/>
              </w:rPr>
            </w:pPr>
            <w:bookmarkStart w:id="1132" w:name="OLE_LINK8"/>
            <w:r w:rsidRPr="00576AF8">
              <w:rPr>
                <w:rFonts w:eastAsia="Calibri"/>
                <w:b/>
                <w:spacing w:val="-2"/>
                <w:sz w:val="22"/>
                <w:szCs w:val="22"/>
              </w:rPr>
              <w:t>Desde</w:t>
            </w:r>
          </w:p>
        </w:tc>
        <w:tc>
          <w:tcPr>
            <w:tcW w:w="1563" w:type="dxa"/>
          </w:tcPr>
          <w:p w14:paraId="08C5B4E3" w14:textId="77777777" w:rsidR="009102A7" w:rsidRPr="00576AF8" w:rsidRDefault="009102A7" w:rsidP="009F6B78">
            <w:pPr>
              <w:widowControl w:val="0"/>
              <w:suppressAutoHyphens w:val="0"/>
              <w:autoSpaceDE w:val="0"/>
              <w:autoSpaceDN w:val="0"/>
              <w:spacing w:before="54" w:after="0"/>
              <w:ind w:left="114"/>
              <w:jc w:val="left"/>
              <w:rPr>
                <w:rFonts w:eastAsia="Calibri"/>
                <w:b/>
                <w:sz w:val="22"/>
                <w:szCs w:val="22"/>
              </w:rPr>
            </w:pPr>
            <w:r w:rsidRPr="00576AF8">
              <w:rPr>
                <w:rFonts w:eastAsia="Calibri"/>
                <w:b/>
                <w:spacing w:val="-2"/>
                <w:sz w:val="22"/>
                <w:szCs w:val="22"/>
              </w:rPr>
              <w:t>Hasta</w:t>
            </w:r>
          </w:p>
        </w:tc>
        <w:tc>
          <w:tcPr>
            <w:tcW w:w="1565" w:type="dxa"/>
          </w:tcPr>
          <w:p w14:paraId="23B92C21" w14:textId="77777777" w:rsidR="009102A7" w:rsidRPr="00576AF8" w:rsidRDefault="009102A7" w:rsidP="009F6B78">
            <w:pPr>
              <w:widowControl w:val="0"/>
              <w:suppressAutoHyphens w:val="0"/>
              <w:autoSpaceDE w:val="0"/>
              <w:autoSpaceDN w:val="0"/>
              <w:spacing w:before="54" w:after="0"/>
              <w:ind w:left="115"/>
              <w:jc w:val="left"/>
              <w:rPr>
                <w:rFonts w:eastAsia="Calibri"/>
                <w:b/>
                <w:sz w:val="22"/>
                <w:szCs w:val="22"/>
              </w:rPr>
            </w:pPr>
            <w:r w:rsidRPr="00576AF8">
              <w:rPr>
                <w:rFonts w:eastAsia="Calibri"/>
                <w:b/>
                <w:spacing w:val="-2"/>
                <w:sz w:val="22"/>
                <w:szCs w:val="22"/>
              </w:rPr>
              <w:t>Protocolo</w:t>
            </w:r>
          </w:p>
        </w:tc>
        <w:tc>
          <w:tcPr>
            <w:tcW w:w="1695" w:type="dxa"/>
          </w:tcPr>
          <w:p w14:paraId="11DEA24B" w14:textId="77777777" w:rsidR="009102A7" w:rsidRPr="00576AF8" w:rsidRDefault="009102A7" w:rsidP="009F6B78">
            <w:pPr>
              <w:widowControl w:val="0"/>
              <w:suppressAutoHyphens w:val="0"/>
              <w:autoSpaceDE w:val="0"/>
              <w:autoSpaceDN w:val="0"/>
              <w:spacing w:before="54" w:after="0"/>
              <w:ind w:left="114"/>
              <w:jc w:val="left"/>
              <w:rPr>
                <w:rFonts w:eastAsia="Calibri"/>
                <w:b/>
                <w:sz w:val="22"/>
                <w:szCs w:val="22"/>
              </w:rPr>
            </w:pPr>
            <w:r w:rsidRPr="00576AF8">
              <w:rPr>
                <w:rFonts w:eastAsia="Calibri"/>
                <w:b/>
                <w:sz w:val="22"/>
                <w:szCs w:val="22"/>
              </w:rPr>
              <w:t>Tipo</w:t>
            </w:r>
            <w:r w:rsidRPr="00576AF8">
              <w:rPr>
                <w:rFonts w:eastAsia="Calibri"/>
                <w:b/>
                <w:spacing w:val="-4"/>
                <w:sz w:val="22"/>
                <w:szCs w:val="22"/>
              </w:rPr>
              <w:t xml:space="preserve"> </w:t>
            </w:r>
            <w:r w:rsidRPr="00576AF8">
              <w:rPr>
                <w:rFonts w:eastAsia="Calibri"/>
                <w:b/>
                <w:sz w:val="22"/>
                <w:szCs w:val="22"/>
              </w:rPr>
              <w:t>de</w:t>
            </w:r>
            <w:r w:rsidRPr="00576AF8">
              <w:rPr>
                <w:rFonts w:eastAsia="Calibri"/>
                <w:b/>
                <w:spacing w:val="-3"/>
                <w:sz w:val="22"/>
                <w:szCs w:val="22"/>
              </w:rPr>
              <w:t xml:space="preserve"> </w:t>
            </w:r>
            <w:r w:rsidRPr="00576AF8">
              <w:rPr>
                <w:rFonts w:eastAsia="Calibri"/>
                <w:b/>
                <w:spacing w:val="-2"/>
                <w:sz w:val="22"/>
                <w:szCs w:val="22"/>
              </w:rPr>
              <w:t>datos</w:t>
            </w:r>
          </w:p>
        </w:tc>
        <w:tc>
          <w:tcPr>
            <w:tcW w:w="1419" w:type="dxa"/>
          </w:tcPr>
          <w:p w14:paraId="2504C27B" w14:textId="77777777" w:rsidR="009102A7" w:rsidRPr="00576AF8" w:rsidRDefault="009102A7" w:rsidP="009F6B78">
            <w:pPr>
              <w:widowControl w:val="0"/>
              <w:suppressAutoHyphens w:val="0"/>
              <w:autoSpaceDE w:val="0"/>
              <w:autoSpaceDN w:val="0"/>
              <w:spacing w:before="54" w:after="0"/>
              <w:ind w:left="113" w:right="148" w:hanging="1"/>
              <w:jc w:val="left"/>
              <w:rPr>
                <w:rFonts w:eastAsia="Calibri"/>
                <w:b/>
                <w:sz w:val="22"/>
                <w:szCs w:val="22"/>
              </w:rPr>
            </w:pPr>
            <w:r w:rsidRPr="00576AF8">
              <w:rPr>
                <w:rFonts w:eastAsia="Calibri"/>
                <w:b/>
                <w:spacing w:val="-2"/>
                <w:sz w:val="22"/>
                <w:szCs w:val="22"/>
              </w:rPr>
              <w:t xml:space="preserve">Periodicida </w:t>
            </w:r>
            <w:r w:rsidRPr="00576AF8">
              <w:rPr>
                <w:rFonts w:eastAsia="Calibri"/>
                <w:b/>
                <w:spacing w:val="-10"/>
                <w:sz w:val="22"/>
                <w:szCs w:val="22"/>
              </w:rPr>
              <w:t>d</w:t>
            </w:r>
          </w:p>
        </w:tc>
        <w:tc>
          <w:tcPr>
            <w:tcW w:w="1580" w:type="dxa"/>
          </w:tcPr>
          <w:p w14:paraId="42A5BB1B" w14:textId="77777777" w:rsidR="009102A7" w:rsidRPr="00576AF8" w:rsidRDefault="009102A7" w:rsidP="009F6B78">
            <w:pPr>
              <w:widowControl w:val="0"/>
              <w:suppressAutoHyphens w:val="0"/>
              <w:autoSpaceDE w:val="0"/>
              <w:autoSpaceDN w:val="0"/>
              <w:spacing w:before="54" w:after="0"/>
              <w:ind w:left="112"/>
              <w:jc w:val="left"/>
              <w:rPr>
                <w:rFonts w:eastAsia="Calibri"/>
                <w:b/>
                <w:sz w:val="22"/>
                <w:szCs w:val="22"/>
              </w:rPr>
            </w:pPr>
            <w:r w:rsidRPr="00576AF8">
              <w:rPr>
                <w:rFonts w:eastAsia="Calibri"/>
                <w:b/>
                <w:spacing w:val="-2"/>
                <w:sz w:val="22"/>
                <w:szCs w:val="22"/>
              </w:rPr>
              <w:t>Cantidad</w:t>
            </w:r>
          </w:p>
        </w:tc>
      </w:tr>
      <w:tr w:rsidR="009102A7" w:rsidRPr="00576AF8" w14:paraId="3A7972EF" w14:textId="77777777" w:rsidTr="009F6B78">
        <w:trPr>
          <w:trHeight w:val="271"/>
        </w:trPr>
        <w:tc>
          <w:tcPr>
            <w:tcW w:w="1553" w:type="dxa"/>
            <w:tcBorders>
              <w:bottom w:val="nil"/>
            </w:tcBorders>
          </w:tcPr>
          <w:p w14:paraId="255642E9" w14:textId="77777777" w:rsidR="009102A7" w:rsidRPr="00576AF8" w:rsidRDefault="009102A7" w:rsidP="009F6B78">
            <w:pPr>
              <w:widowControl w:val="0"/>
              <w:suppressAutoHyphens w:val="0"/>
              <w:autoSpaceDE w:val="0"/>
              <w:autoSpaceDN w:val="0"/>
              <w:spacing w:before="38" w:after="0" w:line="214" w:lineRule="exact"/>
              <w:ind w:left="114"/>
              <w:jc w:val="left"/>
              <w:rPr>
                <w:rFonts w:eastAsia="Calibri"/>
                <w:sz w:val="22"/>
                <w:szCs w:val="22"/>
              </w:rPr>
            </w:pPr>
            <w:r w:rsidRPr="00576AF8">
              <w:rPr>
                <w:rFonts w:eastAsia="Calibri"/>
                <w:spacing w:val="-2"/>
                <w:sz w:val="22"/>
                <w:szCs w:val="22"/>
              </w:rPr>
              <w:t>SCADA/EMS</w:t>
            </w:r>
          </w:p>
        </w:tc>
        <w:tc>
          <w:tcPr>
            <w:tcW w:w="1563" w:type="dxa"/>
            <w:tcBorders>
              <w:bottom w:val="nil"/>
            </w:tcBorders>
          </w:tcPr>
          <w:p w14:paraId="7951B44A" w14:textId="77777777" w:rsidR="009102A7" w:rsidRPr="00576AF8" w:rsidRDefault="009102A7" w:rsidP="009F6B78">
            <w:pPr>
              <w:widowControl w:val="0"/>
              <w:suppressAutoHyphens w:val="0"/>
              <w:autoSpaceDE w:val="0"/>
              <w:autoSpaceDN w:val="0"/>
              <w:spacing w:before="38" w:after="0" w:line="214" w:lineRule="exact"/>
              <w:ind w:left="115"/>
              <w:jc w:val="left"/>
              <w:rPr>
                <w:rFonts w:eastAsia="Calibri"/>
                <w:sz w:val="22"/>
                <w:szCs w:val="22"/>
              </w:rPr>
            </w:pPr>
            <w:r w:rsidRPr="00576AF8">
              <w:rPr>
                <w:rFonts w:eastAsia="Calibri"/>
                <w:sz w:val="22"/>
                <w:szCs w:val="22"/>
              </w:rPr>
              <w:t>Centro</w:t>
            </w:r>
            <w:r w:rsidRPr="00576AF8">
              <w:rPr>
                <w:rFonts w:eastAsia="Calibri"/>
                <w:spacing w:val="-9"/>
                <w:sz w:val="22"/>
                <w:szCs w:val="22"/>
              </w:rPr>
              <w:t xml:space="preserve"> </w:t>
            </w:r>
            <w:r w:rsidRPr="00576AF8">
              <w:rPr>
                <w:rFonts w:eastAsia="Calibri"/>
                <w:spacing w:val="-5"/>
                <w:sz w:val="22"/>
                <w:szCs w:val="22"/>
              </w:rPr>
              <w:t>de</w:t>
            </w:r>
          </w:p>
        </w:tc>
        <w:tc>
          <w:tcPr>
            <w:tcW w:w="1565" w:type="dxa"/>
            <w:tcBorders>
              <w:bottom w:val="nil"/>
            </w:tcBorders>
          </w:tcPr>
          <w:p w14:paraId="4E7E7E4E" w14:textId="77777777" w:rsidR="009102A7" w:rsidRPr="00576AF8" w:rsidRDefault="009102A7" w:rsidP="009F6B78">
            <w:pPr>
              <w:widowControl w:val="0"/>
              <w:suppressAutoHyphens w:val="0"/>
              <w:autoSpaceDE w:val="0"/>
              <w:autoSpaceDN w:val="0"/>
              <w:spacing w:before="38" w:after="0" w:line="214" w:lineRule="exact"/>
              <w:ind w:left="114"/>
              <w:jc w:val="left"/>
              <w:rPr>
                <w:rFonts w:eastAsia="Calibri"/>
                <w:sz w:val="22"/>
                <w:szCs w:val="22"/>
              </w:rPr>
            </w:pPr>
            <w:r w:rsidRPr="00576AF8">
              <w:rPr>
                <w:rFonts w:eastAsia="Calibri"/>
                <w:spacing w:val="-2"/>
                <w:sz w:val="22"/>
                <w:szCs w:val="22"/>
              </w:rPr>
              <w:t>TASE.2</w:t>
            </w:r>
          </w:p>
        </w:tc>
        <w:tc>
          <w:tcPr>
            <w:tcW w:w="1695" w:type="dxa"/>
            <w:tcBorders>
              <w:bottom w:val="nil"/>
            </w:tcBorders>
          </w:tcPr>
          <w:p w14:paraId="65C0674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419" w:type="dxa"/>
            <w:tcBorders>
              <w:bottom w:val="nil"/>
            </w:tcBorders>
          </w:tcPr>
          <w:p w14:paraId="2145F83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80" w:type="dxa"/>
            <w:tcBorders>
              <w:bottom w:val="nil"/>
            </w:tcBorders>
          </w:tcPr>
          <w:p w14:paraId="144F1F8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141DFA30" w14:textId="77777777" w:rsidTr="009F6B78">
        <w:trPr>
          <w:trHeight w:val="229"/>
        </w:trPr>
        <w:tc>
          <w:tcPr>
            <w:tcW w:w="1553" w:type="dxa"/>
            <w:tcBorders>
              <w:top w:val="nil"/>
              <w:bottom w:val="nil"/>
            </w:tcBorders>
          </w:tcPr>
          <w:p w14:paraId="603AFC1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51E5B9D9" w14:textId="77777777" w:rsidR="009102A7" w:rsidRPr="00576AF8" w:rsidRDefault="009102A7" w:rsidP="009F6B78">
            <w:pPr>
              <w:widowControl w:val="0"/>
              <w:suppressAutoHyphens w:val="0"/>
              <w:autoSpaceDE w:val="0"/>
              <w:autoSpaceDN w:val="0"/>
              <w:spacing w:before="97" w:after="0" w:line="209" w:lineRule="exact"/>
              <w:ind w:left="114"/>
              <w:jc w:val="left"/>
              <w:rPr>
                <w:rFonts w:eastAsia="Calibri"/>
                <w:sz w:val="22"/>
                <w:szCs w:val="22"/>
              </w:rPr>
            </w:pPr>
            <w:r w:rsidRPr="00576AF8">
              <w:rPr>
                <w:rFonts w:eastAsia="Calibri"/>
                <w:spacing w:val="-2"/>
                <w:sz w:val="22"/>
                <w:szCs w:val="22"/>
              </w:rPr>
              <w:t>Control</w:t>
            </w:r>
          </w:p>
        </w:tc>
        <w:tc>
          <w:tcPr>
            <w:tcW w:w="1565" w:type="dxa"/>
            <w:tcBorders>
              <w:top w:val="nil"/>
              <w:bottom w:val="nil"/>
            </w:tcBorders>
          </w:tcPr>
          <w:p w14:paraId="75179C3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25D0B06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419" w:type="dxa"/>
            <w:tcBorders>
              <w:top w:val="nil"/>
              <w:bottom w:val="nil"/>
            </w:tcBorders>
          </w:tcPr>
          <w:p w14:paraId="520CA27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80" w:type="dxa"/>
            <w:tcBorders>
              <w:top w:val="nil"/>
              <w:bottom w:val="nil"/>
            </w:tcBorders>
          </w:tcPr>
          <w:p w14:paraId="49C1351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42E0E561" w14:textId="77777777" w:rsidTr="009F6B78">
        <w:trPr>
          <w:trHeight w:val="270"/>
        </w:trPr>
        <w:tc>
          <w:tcPr>
            <w:tcW w:w="1553" w:type="dxa"/>
            <w:tcBorders>
              <w:top w:val="nil"/>
              <w:bottom w:val="nil"/>
            </w:tcBorders>
          </w:tcPr>
          <w:p w14:paraId="5D13C69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5AB5C5A6" w14:textId="77777777" w:rsidR="009102A7" w:rsidRPr="00576AF8" w:rsidRDefault="009102A7" w:rsidP="009F6B78">
            <w:pPr>
              <w:widowControl w:val="0"/>
              <w:suppressAutoHyphens w:val="0"/>
              <w:autoSpaceDE w:val="0"/>
              <w:autoSpaceDN w:val="0"/>
              <w:spacing w:before="97" w:after="0" w:line="225" w:lineRule="exact"/>
              <w:ind w:left="114"/>
              <w:jc w:val="left"/>
              <w:rPr>
                <w:rFonts w:eastAsia="Calibri"/>
                <w:sz w:val="22"/>
                <w:szCs w:val="22"/>
              </w:rPr>
            </w:pPr>
            <w:r w:rsidRPr="00576AF8">
              <w:rPr>
                <w:rFonts w:eastAsia="Calibri"/>
                <w:spacing w:val="-2"/>
                <w:sz w:val="22"/>
                <w:szCs w:val="22"/>
              </w:rPr>
              <w:t>Remoto</w:t>
            </w:r>
          </w:p>
        </w:tc>
        <w:tc>
          <w:tcPr>
            <w:tcW w:w="1565" w:type="dxa"/>
            <w:tcBorders>
              <w:top w:val="nil"/>
              <w:bottom w:val="nil"/>
            </w:tcBorders>
          </w:tcPr>
          <w:p w14:paraId="0A6C5FC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7AA2188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419" w:type="dxa"/>
            <w:tcBorders>
              <w:top w:val="nil"/>
              <w:bottom w:val="nil"/>
            </w:tcBorders>
          </w:tcPr>
          <w:p w14:paraId="37949DD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80" w:type="dxa"/>
            <w:tcBorders>
              <w:top w:val="nil"/>
              <w:bottom w:val="nil"/>
            </w:tcBorders>
          </w:tcPr>
          <w:p w14:paraId="5B78C31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090C8927" w14:textId="77777777" w:rsidTr="009F6B78">
        <w:trPr>
          <w:trHeight w:val="310"/>
        </w:trPr>
        <w:tc>
          <w:tcPr>
            <w:tcW w:w="1553" w:type="dxa"/>
            <w:tcBorders>
              <w:top w:val="nil"/>
              <w:bottom w:val="nil"/>
            </w:tcBorders>
          </w:tcPr>
          <w:p w14:paraId="48CC918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6AF7D95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4159844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2235192C" w14:textId="77777777" w:rsidR="009102A7" w:rsidRPr="00576AF8" w:rsidRDefault="009102A7" w:rsidP="009F6B78">
            <w:pPr>
              <w:widowControl w:val="0"/>
              <w:suppressAutoHyphens w:val="0"/>
              <w:autoSpaceDE w:val="0"/>
              <w:autoSpaceDN w:val="0"/>
              <w:spacing w:before="37" w:after="0"/>
              <w:ind w:left="113"/>
              <w:jc w:val="left"/>
              <w:rPr>
                <w:rFonts w:eastAsia="Calibri"/>
                <w:sz w:val="22"/>
                <w:szCs w:val="22"/>
              </w:rPr>
            </w:pPr>
            <w:r w:rsidRPr="00576AF8">
              <w:rPr>
                <w:rFonts w:eastAsia="Calibri"/>
                <w:spacing w:val="-2"/>
                <w:sz w:val="22"/>
                <w:szCs w:val="22"/>
              </w:rPr>
              <w:t>Estados</w:t>
            </w:r>
          </w:p>
        </w:tc>
        <w:tc>
          <w:tcPr>
            <w:tcW w:w="1419" w:type="dxa"/>
            <w:tcBorders>
              <w:top w:val="nil"/>
              <w:bottom w:val="nil"/>
            </w:tcBorders>
          </w:tcPr>
          <w:p w14:paraId="6A138459" w14:textId="77777777" w:rsidR="009102A7" w:rsidRPr="00576AF8" w:rsidRDefault="009102A7" w:rsidP="009F6B78">
            <w:pPr>
              <w:widowControl w:val="0"/>
              <w:suppressAutoHyphens w:val="0"/>
              <w:autoSpaceDE w:val="0"/>
              <w:autoSpaceDN w:val="0"/>
              <w:spacing w:before="37" w:after="0"/>
              <w:ind w:left="113"/>
              <w:jc w:val="left"/>
              <w:rPr>
                <w:rFonts w:eastAsia="Calibri"/>
                <w:sz w:val="22"/>
                <w:szCs w:val="22"/>
              </w:rPr>
            </w:pPr>
            <w:r w:rsidRPr="00576AF8">
              <w:rPr>
                <w:rFonts w:eastAsia="Calibri"/>
                <w:sz w:val="22"/>
                <w:szCs w:val="22"/>
              </w:rPr>
              <w:t>1</w:t>
            </w:r>
            <w:r w:rsidRPr="00576AF8">
              <w:rPr>
                <w:rFonts w:eastAsia="Calibri"/>
                <w:spacing w:val="-3"/>
                <w:sz w:val="22"/>
                <w:szCs w:val="22"/>
              </w:rPr>
              <w:t xml:space="preserve"> </w:t>
            </w:r>
            <w:r w:rsidRPr="00576AF8">
              <w:rPr>
                <w:rFonts w:eastAsia="Calibri"/>
                <w:spacing w:val="-2"/>
                <w:sz w:val="22"/>
                <w:szCs w:val="22"/>
              </w:rPr>
              <w:t>segundos</w:t>
            </w:r>
          </w:p>
        </w:tc>
        <w:tc>
          <w:tcPr>
            <w:tcW w:w="1580" w:type="dxa"/>
            <w:tcBorders>
              <w:top w:val="nil"/>
              <w:bottom w:val="nil"/>
            </w:tcBorders>
          </w:tcPr>
          <w:p w14:paraId="09C94298" w14:textId="77777777" w:rsidR="009102A7" w:rsidRPr="00576AF8" w:rsidRDefault="009102A7" w:rsidP="009F6B78">
            <w:pPr>
              <w:widowControl w:val="0"/>
              <w:suppressAutoHyphens w:val="0"/>
              <w:autoSpaceDE w:val="0"/>
              <w:autoSpaceDN w:val="0"/>
              <w:spacing w:before="37" w:after="0"/>
              <w:ind w:right="504"/>
              <w:jc w:val="right"/>
              <w:rPr>
                <w:rFonts w:eastAsia="Calibri"/>
                <w:sz w:val="22"/>
                <w:szCs w:val="22"/>
              </w:rPr>
            </w:pPr>
            <w:r w:rsidRPr="00576AF8">
              <w:rPr>
                <w:rFonts w:eastAsia="Calibri"/>
                <w:spacing w:val="-2"/>
                <w:sz w:val="22"/>
                <w:szCs w:val="22"/>
              </w:rPr>
              <w:t>40000</w:t>
            </w:r>
          </w:p>
        </w:tc>
      </w:tr>
      <w:tr w:rsidR="009102A7" w:rsidRPr="00576AF8" w14:paraId="56B01603" w14:textId="77777777" w:rsidTr="009F6B78">
        <w:trPr>
          <w:trHeight w:val="309"/>
        </w:trPr>
        <w:tc>
          <w:tcPr>
            <w:tcW w:w="1553" w:type="dxa"/>
            <w:tcBorders>
              <w:top w:val="nil"/>
              <w:bottom w:val="nil"/>
            </w:tcBorders>
          </w:tcPr>
          <w:p w14:paraId="40F65F0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46A882C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49AE1A6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3738DDC1" w14:textId="77777777" w:rsidR="009102A7" w:rsidRPr="00576AF8" w:rsidRDefault="009102A7" w:rsidP="009F6B78">
            <w:pPr>
              <w:widowControl w:val="0"/>
              <w:suppressAutoHyphens w:val="0"/>
              <w:autoSpaceDE w:val="0"/>
              <w:autoSpaceDN w:val="0"/>
              <w:spacing w:before="36" w:after="0"/>
              <w:ind w:left="113"/>
              <w:jc w:val="left"/>
              <w:rPr>
                <w:rFonts w:eastAsia="Calibri"/>
                <w:sz w:val="22"/>
                <w:szCs w:val="22"/>
              </w:rPr>
            </w:pPr>
            <w:r w:rsidRPr="00576AF8">
              <w:rPr>
                <w:rFonts w:eastAsia="Calibri"/>
                <w:spacing w:val="-2"/>
                <w:sz w:val="22"/>
                <w:szCs w:val="22"/>
              </w:rPr>
              <w:t>Analógicos</w:t>
            </w:r>
          </w:p>
        </w:tc>
        <w:tc>
          <w:tcPr>
            <w:tcW w:w="1419" w:type="dxa"/>
            <w:tcBorders>
              <w:top w:val="nil"/>
              <w:bottom w:val="nil"/>
            </w:tcBorders>
          </w:tcPr>
          <w:p w14:paraId="1BA00F41" w14:textId="77777777" w:rsidR="009102A7" w:rsidRPr="00576AF8" w:rsidRDefault="009102A7" w:rsidP="009F6B78">
            <w:pPr>
              <w:widowControl w:val="0"/>
              <w:suppressAutoHyphens w:val="0"/>
              <w:autoSpaceDE w:val="0"/>
              <w:autoSpaceDN w:val="0"/>
              <w:spacing w:before="36" w:after="0"/>
              <w:ind w:left="113"/>
              <w:jc w:val="left"/>
              <w:rPr>
                <w:rFonts w:eastAsia="Calibri"/>
                <w:sz w:val="22"/>
                <w:szCs w:val="22"/>
              </w:rPr>
            </w:pPr>
            <w:r w:rsidRPr="00576AF8">
              <w:rPr>
                <w:rFonts w:eastAsia="Calibri"/>
                <w:sz w:val="22"/>
                <w:szCs w:val="22"/>
              </w:rPr>
              <w:t>1 a 4</w:t>
            </w:r>
            <w:r w:rsidRPr="00576AF8">
              <w:rPr>
                <w:rFonts w:eastAsia="Calibri"/>
                <w:spacing w:val="-4"/>
                <w:sz w:val="22"/>
                <w:szCs w:val="22"/>
              </w:rPr>
              <w:t xml:space="preserve"> </w:t>
            </w:r>
            <w:r w:rsidRPr="00576AF8">
              <w:rPr>
                <w:rFonts w:eastAsia="Calibri"/>
                <w:spacing w:val="-2"/>
                <w:sz w:val="22"/>
                <w:szCs w:val="22"/>
              </w:rPr>
              <w:t>segundos</w:t>
            </w:r>
          </w:p>
        </w:tc>
        <w:tc>
          <w:tcPr>
            <w:tcW w:w="1580" w:type="dxa"/>
            <w:tcBorders>
              <w:top w:val="nil"/>
              <w:bottom w:val="nil"/>
            </w:tcBorders>
          </w:tcPr>
          <w:p w14:paraId="6675F7CB" w14:textId="77777777" w:rsidR="009102A7" w:rsidRPr="00576AF8" w:rsidRDefault="009102A7" w:rsidP="009F6B78">
            <w:pPr>
              <w:widowControl w:val="0"/>
              <w:suppressAutoHyphens w:val="0"/>
              <w:autoSpaceDE w:val="0"/>
              <w:autoSpaceDN w:val="0"/>
              <w:spacing w:before="36" w:after="0"/>
              <w:ind w:right="504"/>
              <w:jc w:val="right"/>
              <w:rPr>
                <w:rFonts w:eastAsia="Calibri"/>
                <w:sz w:val="22"/>
                <w:szCs w:val="22"/>
              </w:rPr>
            </w:pPr>
            <w:r w:rsidRPr="00576AF8">
              <w:rPr>
                <w:rFonts w:eastAsia="Calibri"/>
                <w:spacing w:val="-2"/>
                <w:sz w:val="22"/>
                <w:szCs w:val="22"/>
              </w:rPr>
              <w:t>16000</w:t>
            </w:r>
          </w:p>
        </w:tc>
      </w:tr>
      <w:tr w:rsidR="009102A7" w:rsidRPr="00576AF8" w14:paraId="7311B3B7" w14:textId="77777777" w:rsidTr="009F6B78">
        <w:trPr>
          <w:trHeight w:val="289"/>
        </w:trPr>
        <w:tc>
          <w:tcPr>
            <w:tcW w:w="1553" w:type="dxa"/>
            <w:tcBorders>
              <w:top w:val="nil"/>
              <w:bottom w:val="nil"/>
            </w:tcBorders>
          </w:tcPr>
          <w:p w14:paraId="3C49672D"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67080D6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3AF6088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0BB1BEB2" w14:textId="77777777" w:rsidR="009102A7" w:rsidRPr="00576AF8" w:rsidRDefault="009102A7" w:rsidP="009F6B78">
            <w:pPr>
              <w:widowControl w:val="0"/>
              <w:suppressAutoHyphens w:val="0"/>
              <w:autoSpaceDE w:val="0"/>
              <w:autoSpaceDN w:val="0"/>
              <w:spacing w:before="36" w:after="0"/>
              <w:ind w:left="113"/>
              <w:jc w:val="left"/>
              <w:rPr>
                <w:rFonts w:eastAsia="Calibri"/>
                <w:sz w:val="22"/>
                <w:szCs w:val="22"/>
              </w:rPr>
            </w:pPr>
            <w:r w:rsidRPr="00576AF8">
              <w:rPr>
                <w:rFonts w:eastAsia="Calibri"/>
                <w:spacing w:val="-2"/>
                <w:sz w:val="22"/>
                <w:szCs w:val="22"/>
              </w:rPr>
              <w:t>Acumuladores</w:t>
            </w:r>
          </w:p>
        </w:tc>
        <w:tc>
          <w:tcPr>
            <w:tcW w:w="1419" w:type="dxa"/>
            <w:tcBorders>
              <w:top w:val="nil"/>
              <w:bottom w:val="nil"/>
            </w:tcBorders>
          </w:tcPr>
          <w:p w14:paraId="3CED671D" w14:textId="77777777" w:rsidR="009102A7" w:rsidRPr="00576AF8" w:rsidRDefault="009102A7" w:rsidP="009F6B78">
            <w:pPr>
              <w:widowControl w:val="0"/>
              <w:suppressAutoHyphens w:val="0"/>
              <w:autoSpaceDE w:val="0"/>
              <w:autoSpaceDN w:val="0"/>
              <w:spacing w:before="36" w:after="0"/>
              <w:ind w:left="113"/>
              <w:jc w:val="left"/>
              <w:rPr>
                <w:rFonts w:eastAsia="Calibri"/>
                <w:sz w:val="22"/>
                <w:szCs w:val="22"/>
              </w:rPr>
            </w:pPr>
            <w:r w:rsidRPr="00576AF8">
              <w:rPr>
                <w:rFonts w:eastAsia="Calibri"/>
                <w:sz w:val="22"/>
                <w:szCs w:val="22"/>
              </w:rPr>
              <w:t>15</w:t>
            </w:r>
            <w:r w:rsidRPr="00576AF8">
              <w:rPr>
                <w:rFonts w:eastAsia="Calibri"/>
                <w:spacing w:val="-6"/>
                <w:sz w:val="22"/>
                <w:szCs w:val="22"/>
              </w:rPr>
              <w:t xml:space="preserve"> </w:t>
            </w:r>
            <w:r w:rsidRPr="00576AF8">
              <w:rPr>
                <w:rFonts w:eastAsia="Calibri"/>
                <w:spacing w:val="-2"/>
                <w:sz w:val="22"/>
                <w:szCs w:val="22"/>
              </w:rPr>
              <w:t>minutos</w:t>
            </w:r>
          </w:p>
        </w:tc>
        <w:tc>
          <w:tcPr>
            <w:tcW w:w="1580" w:type="dxa"/>
            <w:tcBorders>
              <w:top w:val="nil"/>
              <w:bottom w:val="nil"/>
            </w:tcBorders>
          </w:tcPr>
          <w:p w14:paraId="7A99A311" w14:textId="77777777" w:rsidR="009102A7" w:rsidRPr="00576AF8" w:rsidRDefault="009102A7" w:rsidP="009F6B78">
            <w:pPr>
              <w:widowControl w:val="0"/>
              <w:suppressAutoHyphens w:val="0"/>
              <w:autoSpaceDE w:val="0"/>
              <w:autoSpaceDN w:val="0"/>
              <w:spacing w:before="36" w:after="0"/>
              <w:ind w:left="4" w:right="4"/>
              <w:jc w:val="center"/>
              <w:rPr>
                <w:rFonts w:eastAsia="Calibri"/>
                <w:sz w:val="22"/>
                <w:szCs w:val="22"/>
              </w:rPr>
            </w:pPr>
            <w:r w:rsidRPr="00576AF8">
              <w:rPr>
                <w:rFonts w:eastAsia="Calibri"/>
                <w:spacing w:val="-4"/>
                <w:sz w:val="22"/>
                <w:szCs w:val="22"/>
              </w:rPr>
              <w:t>1000</w:t>
            </w:r>
          </w:p>
        </w:tc>
      </w:tr>
      <w:tr w:rsidR="009102A7" w:rsidRPr="00576AF8" w14:paraId="7C9219CB" w14:textId="77777777" w:rsidTr="009F6B78">
        <w:trPr>
          <w:trHeight w:val="249"/>
        </w:trPr>
        <w:tc>
          <w:tcPr>
            <w:tcW w:w="1553" w:type="dxa"/>
            <w:tcBorders>
              <w:top w:val="nil"/>
              <w:bottom w:val="nil"/>
            </w:tcBorders>
          </w:tcPr>
          <w:p w14:paraId="09286D1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6EEDDDB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365F0DC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77A00E36" w14:textId="77777777" w:rsidR="009102A7" w:rsidRPr="00576AF8" w:rsidRDefault="009102A7" w:rsidP="009F6B78">
            <w:pPr>
              <w:widowControl w:val="0"/>
              <w:suppressAutoHyphens w:val="0"/>
              <w:autoSpaceDE w:val="0"/>
              <w:autoSpaceDN w:val="0"/>
              <w:spacing w:before="16" w:after="0" w:line="214" w:lineRule="exact"/>
              <w:ind w:left="113"/>
              <w:jc w:val="left"/>
              <w:rPr>
                <w:rFonts w:eastAsia="Calibri"/>
                <w:sz w:val="22"/>
                <w:szCs w:val="22"/>
              </w:rPr>
            </w:pPr>
            <w:r w:rsidRPr="00576AF8">
              <w:rPr>
                <w:rFonts w:eastAsia="Calibri"/>
                <w:spacing w:val="-5"/>
                <w:sz w:val="22"/>
                <w:szCs w:val="22"/>
              </w:rPr>
              <w:t>SOE</w:t>
            </w:r>
          </w:p>
        </w:tc>
        <w:tc>
          <w:tcPr>
            <w:tcW w:w="1419" w:type="dxa"/>
            <w:tcBorders>
              <w:top w:val="nil"/>
              <w:bottom w:val="nil"/>
            </w:tcBorders>
          </w:tcPr>
          <w:p w14:paraId="524E310A" w14:textId="77777777" w:rsidR="009102A7" w:rsidRPr="00576AF8" w:rsidRDefault="009102A7" w:rsidP="009F6B78">
            <w:pPr>
              <w:widowControl w:val="0"/>
              <w:suppressAutoHyphens w:val="0"/>
              <w:autoSpaceDE w:val="0"/>
              <w:autoSpaceDN w:val="0"/>
              <w:spacing w:before="16" w:after="0" w:line="214" w:lineRule="exact"/>
              <w:ind w:left="113"/>
              <w:jc w:val="left"/>
              <w:rPr>
                <w:rFonts w:eastAsia="Calibri"/>
                <w:sz w:val="22"/>
                <w:szCs w:val="22"/>
              </w:rPr>
            </w:pPr>
            <w:r w:rsidRPr="00576AF8">
              <w:rPr>
                <w:rFonts w:eastAsia="Calibri"/>
                <w:spacing w:val="-5"/>
                <w:sz w:val="22"/>
                <w:szCs w:val="22"/>
              </w:rPr>
              <w:t>On</w:t>
            </w:r>
          </w:p>
        </w:tc>
        <w:tc>
          <w:tcPr>
            <w:tcW w:w="1580" w:type="dxa"/>
            <w:tcBorders>
              <w:top w:val="nil"/>
              <w:bottom w:val="nil"/>
            </w:tcBorders>
          </w:tcPr>
          <w:p w14:paraId="1CBC3D8D" w14:textId="77777777" w:rsidR="009102A7" w:rsidRPr="00576AF8" w:rsidRDefault="009102A7" w:rsidP="009F6B78">
            <w:pPr>
              <w:widowControl w:val="0"/>
              <w:suppressAutoHyphens w:val="0"/>
              <w:autoSpaceDE w:val="0"/>
              <w:autoSpaceDN w:val="0"/>
              <w:spacing w:before="16" w:after="0" w:line="214" w:lineRule="exact"/>
              <w:ind w:left="4" w:right="4"/>
              <w:jc w:val="center"/>
              <w:rPr>
                <w:rFonts w:eastAsia="Calibri"/>
                <w:sz w:val="22"/>
                <w:szCs w:val="22"/>
              </w:rPr>
            </w:pPr>
            <w:r w:rsidRPr="00576AF8">
              <w:rPr>
                <w:rFonts w:eastAsia="Calibri"/>
                <w:spacing w:val="-4"/>
                <w:sz w:val="22"/>
                <w:szCs w:val="22"/>
              </w:rPr>
              <w:t>8000</w:t>
            </w:r>
          </w:p>
        </w:tc>
      </w:tr>
      <w:tr w:rsidR="009102A7" w:rsidRPr="00576AF8" w14:paraId="6010CB28" w14:textId="77777777" w:rsidTr="009F6B78">
        <w:trPr>
          <w:trHeight w:val="271"/>
        </w:trPr>
        <w:tc>
          <w:tcPr>
            <w:tcW w:w="1553" w:type="dxa"/>
            <w:tcBorders>
              <w:top w:val="nil"/>
              <w:bottom w:val="nil"/>
            </w:tcBorders>
          </w:tcPr>
          <w:p w14:paraId="0BF47D3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3D74027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2690640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0C59581A" w14:textId="77777777" w:rsidR="009102A7" w:rsidRPr="00576AF8" w:rsidRDefault="009102A7" w:rsidP="009F6B78">
            <w:pPr>
              <w:widowControl w:val="0"/>
              <w:suppressAutoHyphens w:val="0"/>
              <w:autoSpaceDE w:val="0"/>
              <w:autoSpaceDN w:val="0"/>
              <w:spacing w:before="37" w:after="0" w:line="214" w:lineRule="exact"/>
              <w:ind w:left="113"/>
              <w:jc w:val="left"/>
              <w:rPr>
                <w:rFonts w:eastAsia="Calibri"/>
                <w:sz w:val="22"/>
                <w:szCs w:val="22"/>
              </w:rPr>
            </w:pPr>
            <w:r w:rsidRPr="00576AF8">
              <w:rPr>
                <w:rFonts w:eastAsia="Calibri"/>
                <w:spacing w:val="-2"/>
                <w:sz w:val="22"/>
                <w:szCs w:val="22"/>
              </w:rPr>
              <w:t>Control</w:t>
            </w:r>
          </w:p>
        </w:tc>
        <w:tc>
          <w:tcPr>
            <w:tcW w:w="1419" w:type="dxa"/>
            <w:tcBorders>
              <w:top w:val="nil"/>
              <w:bottom w:val="nil"/>
            </w:tcBorders>
          </w:tcPr>
          <w:p w14:paraId="5A9599D6"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2"/>
                <w:sz w:val="22"/>
                <w:szCs w:val="22"/>
              </w:rPr>
              <w:t>occurrence</w:t>
            </w:r>
          </w:p>
        </w:tc>
        <w:tc>
          <w:tcPr>
            <w:tcW w:w="1580" w:type="dxa"/>
            <w:tcBorders>
              <w:top w:val="nil"/>
              <w:bottom w:val="nil"/>
            </w:tcBorders>
          </w:tcPr>
          <w:p w14:paraId="383B9004" w14:textId="77777777" w:rsidR="009102A7" w:rsidRPr="00576AF8" w:rsidRDefault="009102A7" w:rsidP="009F6B78">
            <w:pPr>
              <w:widowControl w:val="0"/>
              <w:suppressAutoHyphens w:val="0"/>
              <w:autoSpaceDE w:val="0"/>
              <w:autoSpaceDN w:val="0"/>
              <w:spacing w:before="37" w:after="0" w:line="214" w:lineRule="exact"/>
              <w:ind w:left="4" w:right="4"/>
              <w:jc w:val="center"/>
              <w:rPr>
                <w:rFonts w:eastAsia="Calibri"/>
                <w:sz w:val="22"/>
                <w:szCs w:val="22"/>
              </w:rPr>
            </w:pPr>
            <w:r w:rsidRPr="00576AF8">
              <w:rPr>
                <w:rFonts w:eastAsia="Calibri"/>
                <w:spacing w:val="-5"/>
                <w:sz w:val="22"/>
                <w:szCs w:val="22"/>
              </w:rPr>
              <w:t>600</w:t>
            </w:r>
          </w:p>
        </w:tc>
      </w:tr>
      <w:tr w:rsidR="009102A7" w:rsidRPr="00576AF8" w14:paraId="66C3F338" w14:textId="77777777" w:rsidTr="009F6B78">
        <w:trPr>
          <w:trHeight w:val="249"/>
        </w:trPr>
        <w:tc>
          <w:tcPr>
            <w:tcW w:w="1553" w:type="dxa"/>
            <w:tcBorders>
              <w:top w:val="nil"/>
              <w:bottom w:val="nil"/>
            </w:tcBorders>
          </w:tcPr>
          <w:p w14:paraId="7F4EB85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0A02B04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2431898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1B75016B"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2"/>
                <w:sz w:val="22"/>
                <w:szCs w:val="22"/>
              </w:rPr>
              <w:t>Supervisorio</w:t>
            </w:r>
          </w:p>
        </w:tc>
        <w:tc>
          <w:tcPr>
            <w:tcW w:w="1419" w:type="dxa"/>
            <w:tcBorders>
              <w:top w:val="nil"/>
              <w:bottom w:val="nil"/>
            </w:tcBorders>
          </w:tcPr>
          <w:p w14:paraId="72C41A65"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10"/>
                <w:sz w:val="22"/>
                <w:szCs w:val="22"/>
              </w:rPr>
              <w:t>-</w:t>
            </w:r>
          </w:p>
        </w:tc>
        <w:tc>
          <w:tcPr>
            <w:tcW w:w="1580" w:type="dxa"/>
            <w:tcBorders>
              <w:top w:val="nil"/>
              <w:bottom w:val="nil"/>
            </w:tcBorders>
          </w:tcPr>
          <w:p w14:paraId="68357B3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63C8096D" w14:textId="77777777" w:rsidTr="009F6B78">
        <w:trPr>
          <w:trHeight w:val="519"/>
        </w:trPr>
        <w:tc>
          <w:tcPr>
            <w:tcW w:w="1553" w:type="dxa"/>
            <w:tcBorders>
              <w:top w:val="nil"/>
              <w:bottom w:val="nil"/>
            </w:tcBorders>
          </w:tcPr>
          <w:p w14:paraId="0656A52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450B968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689A711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07F1541A" w14:textId="77777777" w:rsidR="009102A7" w:rsidRPr="00576AF8" w:rsidRDefault="009102A7" w:rsidP="009F6B78">
            <w:pPr>
              <w:widowControl w:val="0"/>
              <w:suppressAutoHyphens w:val="0"/>
              <w:autoSpaceDE w:val="0"/>
              <w:autoSpaceDN w:val="0"/>
              <w:spacing w:before="16" w:after="0"/>
              <w:ind w:left="113"/>
              <w:jc w:val="left"/>
              <w:rPr>
                <w:rFonts w:eastAsia="Calibri"/>
                <w:sz w:val="22"/>
                <w:szCs w:val="22"/>
              </w:rPr>
            </w:pPr>
            <w:r w:rsidRPr="00576AF8">
              <w:rPr>
                <w:rFonts w:eastAsia="Calibri"/>
                <w:sz w:val="22"/>
                <w:szCs w:val="22"/>
              </w:rPr>
              <w:t xml:space="preserve">Control de </w:t>
            </w:r>
            <w:r w:rsidRPr="00576AF8">
              <w:rPr>
                <w:rFonts w:eastAsia="Calibri"/>
                <w:spacing w:val="-2"/>
                <w:sz w:val="22"/>
                <w:szCs w:val="22"/>
              </w:rPr>
              <w:t>Generación</w:t>
            </w:r>
          </w:p>
        </w:tc>
        <w:tc>
          <w:tcPr>
            <w:tcW w:w="1419" w:type="dxa"/>
            <w:tcBorders>
              <w:top w:val="nil"/>
              <w:bottom w:val="nil"/>
            </w:tcBorders>
          </w:tcPr>
          <w:p w14:paraId="50342DA1" w14:textId="77777777" w:rsidR="009102A7" w:rsidRPr="00576AF8" w:rsidRDefault="009102A7" w:rsidP="009F6B78">
            <w:pPr>
              <w:widowControl w:val="0"/>
              <w:suppressAutoHyphens w:val="0"/>
              <w:autoSpaceDE w:val="0"/>
              <w:autoSpaceDN w:val="0"/>
              <w:spacing w:before="57" w:after="0"/>
              <w:jc w:val="left"/>
              <w:rPr>
                <w:rFonts w:eastAsia="Calibri"/>
                <w:b/>
                <w:sz w:val="22"/>
                <w:szCs w:val="22"/>
              </w:rPr>
            </w:pPr>
          </w:p>
          <w:p w14:paraId="7CC75E90" w14:textId="77777777" w:rsidR="009102A7" w:rsidRPr="00576AF8" w:rsidRDefault="009102A7" w:rsidP="009F6B78">
            <w:pPr>
              <w:widowControl w:val="0"/>
              <w:suppressAutoHyphens w:val="0"/>
              <w:autoSpaceDE w:val="0"/>
              <w:autoSpaceDN w:val="0"/>
              <w:spacing w:before="97" w:after="0" w:line="213" w:lineRule="exact"/>
              <w:ind w:left="113"/>
              <w:jc w:val="left"/>
              <w:rPr>
                <w:rFonts w:eastAsia="Calibri"/>
                <w:sz w:val="22"/>
                <w:szCs w:val="22"/>
              </w:rPr>
            </w:pPr>
            <w:r w:rsidRPr="00576AF8">
              <w:rPr>
                <w:rFonts w:eastAsia="Calibri"/>
                <w:spacing w:val="-10"/>
                <w:sz w:val="22"/>
                <w:szCs w:val="22"/>
              </w:rPr>
              <w:t>-</w:t>
            </w:r>
          </w:p>
        </w:tc>
        <w:tc>
          <w:tcPr>
            <w:tcW w:w="1580" w:type="dxa"/>
            <w:tcBorders>
              <w:top w:val="nil"/>
              <w:bottom w:val="nil"/>
            </w:tcBorders>
          </w:tcPr>
          <w:p w14:paraId="0783BBCB" w14:textId="77777777" w:rsidR="009102A7" w:rsidRPr="00576AF8" w:rsidRDefault="009102A7" w:rsidP="009F6B78">
            <w:pPr>
              <w:widowControl w:val="0"/>
              <w:suppressAutoHyphens w:val="0"/>
              <w:autoSpaceDE w:val="0"/>
              <w:autoSpaceDN w:val="0"/>
              <w:spacing w:before="56" w:after="0"/>
              <w:ind w:left="4" w:right="4"/>
              <w:jc w:val="center"/>
              <w:rPr>
                <w:rFonts w:eastAsia="Calibri"/>
                <w:sz w:val="22"/>
                <w:szCs w:val="22"/>
              </w:rPr>
            </w:pPr>
            <w:r w:rsidRPr="00576AF8">
              <w:rPr>
                <w:rFonts w:eastAsia="Calibri"/>
                <w:spacing w:val="-5"/>
                <w:sz w:val="22"/>
                <w:szCs w:val="22"/>
              </w:rPr>
              <w:t>200</w:t>
            </w:r>
          </w:p>
        </w:tc>
      </w:tr>
      <w:tr w:rsidR="009102A7" w:rsidRPr="00576AF8" w14:paraId="3C735B37" w14:textId="77777777" w:rsidTr="009F6B78">
        <w:trPr>
          <w:trHeight w:val="580"/>
        </w:trPr>
        <w:tc>
          <w:tcPr>
            <w:tcW w:w="1553" w:type="dxa"/>
            <w:tcBorders>
              <w:top w:val="nil"/>
              <w:bottom w:val="nil"/>
            </w:tcBorders>
          </w:tcPr>
          <w:p w14:paraId="0C1E7AA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085453A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2618FDBD"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27CB029E" w14:textId="77777777" w:rsidR="009102A7" w:rsidRPr="00576AF8" w:rsidRDefault="009102A7" w:rsidP="009F6B78">
            <w:pPr>
              <w:widowControl w:val="0"/>
              <w:suppressAutoHyphens w:val="0"/>
              <w:autoSpaceDE w:val="0"/>
              <w:autoSpaceDN w:val="0"/>
              <w:spacing w:before="97" w:after="0"/>
              <w:ind w:left="113"/>
              <w:jc w:val="left"/>
              <w:rPr>
                <w:rFonts w:eastAsia="Calibri"/>
                <w:sz w:val="22"/>
                <w:szCs w:val="22"/>
              </w:rPr>
            </w:pPr>
            <w:r w:rsidRPr="00576AF8">
              <w:rPr>
                <w:rFonts w:eastAsia="Calibri"/>
                <w:spacing w:val="-2"/>
                <w:sz w:val="22"/>
                <w:szCs w:val="22"/>
              </w:rPr>
              <w:t>Transaction schedule</w:t>
            </w:r>
          </w:p>
        </w:tc>
        <w:tc>
          <w:tcPr>
            <w:tcW w:w="1419" w:type="dxa"/>
            <w:tcBorders>
              <w:top w:val="nil"/>
              <w:bottom w:val="nil"/>
            </w:tcBorders>
          </w:tcPr>
          <w:p w14:paraId="323041C3" w14:textId="77777777" w:rsidR="009102A7" w:rsidRPr="00576AF8" w:rsidRDefault="009102A7" w:rsidP="009F6B78">
            <w:pPr>
              <w:widowControl w:val="0"/>
              <w:suppressAutoHyphens w:val="0"/>
              <w:autoSpaceDE w:val="0"/>
              <w:autoSpaceDN w:val="0"/>
              <w:spacing w:before="77" w:after="0"/>
              <w:jc w:val="left"/>
              <w:rPr>
                <w:rFonts w:eastAsia="Calibri"/>
                <w:b/>
                <w:sz w:val="22"/>
                <w:szCs w:val="22"/>
              </w:rPr>
            </w:pPr>
          </w:p>
          <w:p w14:paraId="0057B1EE" w14:textId="77777777" w:rsidR="009102A7" w:rsidRPr="00576AF8" w:rsidRDefault="009102A7" w:rsidP="009F6B78">
            <w:pPr>
              <w:widowControl w:val="0"/>
              <w:suppressAutoHyphens w:val="0"/>
              <w:autoSpaceDE w:val="0"/>
              <w:autoSpaceDN w:val="0"/>
              <w:spacing w:before="97" w:after="0"/>
              <w:ind w:left="113"/>
              <w:jc w:val="left"/>
              <w:rPr>
                <w:rFonts w:eastAsia="Calibri"/>
                <w:sz w:val="22"/>
                <w:szCs w:val="22"/>
              </w:rPr>
            </w:pPr>
            <w:r w:rsidRPr="00576AF8">
              <w:rPr>
                <w:rFonts w:eastAsia="Calibri"/>
                <w:spacing w:val="-10"/>
                <w:sz w:val="22"/>
                <w:szCs w:val="22"/>
              </w:rPr>
              <w:t>-</w:t>
            </w:r>
          </w:p>
        </w:tc>
        <w:tc>
          <w:tcPr>
            <w:tcW w:w="1580" w:type="dxa"/>
            <w:tcBorders>
              <w:top w:val="nil"/>
              <w:bottom w:val="nil"/>
            </w:tcBorders>
          </w:tcPr>
          <w:p w14:paraId="3F51B401" w14:textId="77777777" w:rsidR="009102A7" w:rsidRPr="00576AF8" w:rsidRDefault="009102A7" w:rsidP="009F6B78">
            <w:pPr>
              <w:widowControl w:val="0"/>
              <w:suppressAutoHyphens w:val="0"/>
              <w:autoSpaceDE w:val="0"/>
              <w:autoSpaceDN w:val="0"/>
              <w:spacing w:before="77" w:after="0"/>
              <w:ind w:right="444"/>
              <w:jc w:val="right"/>
              <w:rPr>
                <w:rFonts w:eastAsia="Calibri"/>
                <w:sz w:val="22"/>
                <w:szCs w:val="22"/>
              </w:rPr>
            </w:pPr>
            <w:r w:rsidRPr="00576AF8">
              <w:rPr>
                <w:rFonts w:eastAsia="Calibri"/>
                <w:spacing w:val="-2"/>
                <w:sz w:val="22"/>
                <w:szCs w:val="22"/>
              </w:rPr>
              <w:t>20/hora</w:t>
            </w:r>
          </w:p>
        </w:tc>
      </w:tr>
      <w:tr w:rsidR="009102A7" w:rsidRPr="00576AF8" w14:paraId="798A808D" w14:textId="77777777" w:rsidTr="009F6B78">
        <w:trPr>
          <w:trHeight w:val="270"/>
        </w:trPr>
        <w:tc>
          <w:tcPr>
            <w:tcW w:w="1553" w:type="dxa"/>
            <w:tcBorders>
              <w:top w:val="nil"/>
              <w:bottom w:val="nil"/>
            </w:tcBorders>
          </w:tcPr>
          <w:p w14:paraId="307F0E7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155AE1F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5A9CA34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46313BCD" w14:textId="77777777" w:rsidR="009102A7" w:rsidRPr="00576AF8" w:rsidRDefault="009102A7" w:rsidP="009F6B78">
            <w:pPr>
              <w:widowControl w:val="0"/>
              <w:suppressAutoHyphens w:val="0"/>
              <w:autoSpaceDE w:val="0"/>
              <w:autoSpaceDN w:val="0"/>
              <w:spacing w:before="36" w:after="0" w:line="214" w:lineRule="exact"/>
              <w:ind w:left="113"/>
              <w:jc w:val="left"/>
              <w:rPr>
                <w:rFonts w:eastAsia="Calibri"/>
                <w:sz w:val="22"/>
                <w:szCs w:val="22"/>
              </w:rPr>
            </w:pPr>
            <w:r w:rsidRPr="00576AF8">
              <w:rPr>
                <w:rFonts w:eastAsia="Calibri"/>
                <w:sz w:val="22"/>
                <w:szCs w:val="22"/>
              </w:rPr>
              <w:t>Mensajes</w:t>
            </w:r>
            <w:r w:rsidRPr="00576AF8">
              <w:rPr>
                <w:rFonts w:eastAsia="Calibri"/>
                <w:spacing w:val="-10"/>
                <w:sz w:val="22"/>
                <w:szCs w:val="22"/>
              </w:rPr>
              <w:t xml:space="preserve"> </w:t>
            </w:r>
            <w:r w:rsidRPr="00576AF8">
              <w:rPr>
                <w:rFonts w:eastAsia="Calibri"/>
                <w:spacing w:val="-5"/>
                <w:sz w:val="22"/>
                <w:szCs w:val="22"/>
              </w:rPr>
              <w:t>de</w:t>
            </w:r>
          </w:p>
        </w:tc>
        <w:tc>
          <w:tcPr>
            <w:tcW w:w="1419" w:type="dxa"/>
            <w:tcBorders>
              <w:top w:val="nil"/>
              <w:bottom w:val="nil"/>
            </w:tcBorders>
          </w:tcPr>
          <w:p w14:paraId="69D01338" w14:textId="77777777" w:rsidR="009102A7" w:rsidRPr="00576AF8" w:rsidRDefault="009102A7" w:rsidP="009F6B78">
            <w:pPr>
              <w:widowControl w:val="0"/>
              <w:suppressAutoHyphens w:val="0"/>
              <w:autoSpaceDE w:val="0"/>
              <w:autoSpaceDN w:val="0"/>
              <w:spacing w:before="36" w:after="0" w:line="214" w:lineRule="exact"/>
              <w:ind w:left="113"/>
              <w:jc w:val="left"/>
              <w:rPr>
                <w:rFonts w:eastAsia="Calibri"/>
                <w:sz w:val="22"/>
                <w:szCs w:val="22"/>
              </w:rPr>
            </w:pPr>
            <w:r w:rsidRPr="00576AF8">
              <w:rPr>
                <w:rFonts w:eastAsia="Calibri"/>
                <w:spacing w:val="-10"/>
                <w:sz w:val="22"/>
                <w:szCs w:val="22"/>
              </w:rPr>
              <w:t>-</w:t>
            </w:r>
          </w:p>
        </w:tc>
        <w:tc>
          <w:tcPr>
            <w:tcW w:w="1580" w:type="dxa"/>
            <w:tcBorders>
              <w:top w:val="nil"/>
              <w:bottom w:val="nil"/>
            </w:tcBorders>
          </w:tcPr>
          <w:p w14:paraId="6E7E2CD3" w14:textId="77777777" w:rsidR="009102A7" w:rsidRPr="00576AF8" w:rsidRDefault="009102A7" w:rsidP="009F6B78">
            <w:pPr>
              <w:widowControl w:val="0"/>
              <w:suppressAutoHyphens w:val="0"/>
              <w:autoSpaceDE w:val="0"/>
              <w:autoSpaceDN w:val="0"/>
              <w:spacing w:before="36" w:after="0" w:line="214" w:lineRule="exact"/>
              <w:ind w:right="444"/>
              <w:jc w:val="right"/>
              <w:rPr>
                <w:rFonts w:eastAsia="Calibri"/>
                <w:sz w:val="22"/>
                <w:szCs w:val="22"/>
              </w:rPr>
            </w:pPr>
            <w:r w:rsidRPr="00576AF8">
              <w:rPr>
                <w:rFonts w:eastAsia="Calibri"/>
                <w:spacing w:val="-2"/>
                <w:sz w:val="22"/>
                <w:szCs w:val="22"/>
              </w:rPr>
              <w:t>10/hora</w:t>
            </w:r>
          </w:p>
        </w:tc>
      </w:tr>
      <w:tr w:rsidR="009102A7" w:rsidRPr="00576AF8" w14:paraId="7680A144" w14:textId="77777777" w:rsidTr="009F6B78">
        <w:trPr>
          <w:trHeight w:val="268"/>
        </w:trPr>
        <w:tc>
          <w:tcPr>
            <w:tcW w:w="1553" w:type="dxa"/>
            <w:tcBorders>
              <w:top w:val="nil"/>
            </w:tcBorders>
          </w:tcPr>
          <w:p w14:paraId="5172A2A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tcBorders>
          </w:tcPr>
          <w:p w14:paraId="35D5A24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tcBorders>
          </w:tcPr>
          <w:p w14:paraId="5FBF429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tcBorders>
          </w:tcPr>
          <w:p w14:paraId="4769F7DD"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2"/>
                <w:sz w:val="22"/>
                <w:szCs w:val="22"/>
              </w:rPr>
              <w:t>operador</w:t>
            </w:r>
          </w:p>
        </w:tc>
        <w:tc>
          <w:tcPr>
            <w:tcW w:w="1419" w:type="dxa"/>
            <w:tcBorders>
              <w:top w:val="nil"/>
            </w:tcBorders>
          </w:tcPr>
          <w:p w14:paraId="4756B9C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80" w:type="dxa"/>
            <w:tcBorders>
              <w:top w:val="nil"/>
            </w:tcBorders>
          </w:tcPr>
          <w:p w14:paraId="652278C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267020F4" w14:textId="77777777" w:rsidTr="009F6B78">
        <w:trPr>
          <w:trHeight w:val="271"/>
        </w:trPr>
        <w:tc>
          <w:tcPr>
            <w:tcW w:w="1553" w:type="dxa"/>
            <w:tcBorders>
              <w:bottom w:val="nil"/>
            </w:tcBorders>
          </w:tcPr>
          <w:p w14:paraId="3FB79D46" w14:textId="77777777" w:rsidR="009102A7" w:rsidRPr="00576AF8" w:rsidRDefault="009102A7" w:rsidP="009F6B78">
            <w:pPr>
              <w:widowControl w:val="0"/>
              <w:suppressAutoHyphens w:val="0"/>
              <w:autoSpaceDE w:val="0"/>
              <w:autoSpaceDN w:val="0"/>
              <w:spacing w:before="38" w:after="0" w:line="214" w:lineRule="exact"/>
              <w:ind w:left="114"/>
              <w:jc w:val="left"/>
              <w:rPr>
                <w:rFonts w:eastAsia="Calibri"/>
                <w:sz w:val="22"/>
                <w:szCs w:val="22"/>
              </w:rPr>
            </w:pPr>
            <w:r w:rsidRPr="00576AF8">
              <w:rPr>
                <w:rFonts w:eastAsia="Calibri"/>
                <w:sz w:val="22"/>
                <w:szCs w:val="22"/>
              </w:rPr>
              <w:t>Centro</w:t>
            </w:r>
            <w:r w:rsidRPr="00576AF8">
              <w:rPr>
                <w:rFonts w:eastAsia="Calibri"/>
                <w:spacing w:val="-9"/>
                <w:sz w:val="22"/>
                <w:szCs w:val="22"/>
              </w:rPr>
              <w:t xml:space="preserve"> </w:t>
            </w:r>
            <w:r w:rsidRPr="00576AF8">
              <w:rPr>
                <w:rFonts w:eastAsia="Calibri"/>
                <w:spacing w:val="-5"/>
                <w:sz w:val="22"/>
                <w:szCs w:val="22"/>
              </w:rPr>
              <w:t>de</w:t>
            </w:r>
          </w:p>
        </w:tc>
        <w:tc>
          <w:tcPr>
            <w:tcW w:w="1563" w:type="dxa"/>
            <w:tcBorders>
              <w:bottom w:val="nil"/>
            </w:tcBorders>
          </w:tcPr>
          <w:p w14:paraId="02194BBE" w14:textId="77777777" w:rsidR="009102A7" w:rsidRPr="00576AF8" w:rsidRDefault="009102A7" w:rsidP="009F6B78">
            <w:pPr>
              <w:widowControl w:val="0"/>
              <w:suppressAutoHyphens w:val="0"/>
              <w:autoSpaceDE w:val="0"/>
              <w:autoSpaceDN w:val="0"/>
              <w:spacing w:before="38" w:after="0" w:line="214" w:lineRule="exact"/>
              <w:ind w:left="114"/>
              <w:jc w:val="left"/>
              <w:rPr>
                <w:rFonts w:eastAsia="Calibri"/>
                <w:sz w:val="22"/>
                <w:szCs w:val="22"/>
              </w:rPr>
            </w:pPr>
            <w:r w:rsidRPr="00576AF8">
              <w:rPr>
                <w:rFonts w:eastAsia="Calibri"/>
                <w:spacing w:val="-2"/>
                <w:sz w:val="22"/>
                <w:szCs w:val="22"/>
              </w:rPr>
              <w:t>SCADA/EMS</w:t>
            </w:r>
          </w:p>
        </w:tc>
        <w:tc>
          <w:tcPr>
            <w:tcW w:w="1565" w:type="dxa"/>
            <w:tcBorders>
              <w:bottom w:val="nil"/>
            </w:tcBorders>
          </w:tcPr>
          <w:p w14:paraId="1F7B6C2D" w14:textId="77777777" w:rsidR="009102A7" w:rsidRPr="00576AF8" w:rsidRDefault="009102A7" w:rsidP="009F6B78">
            <w:pPr>
              <w:widowControl w:val="0"/>
              <w:suppressAutoHyphens w:val="0"/>
              <w:autoSpaceDE w:val="0"/>
              <w:autoSpaceDN w:val="0"/>
              <w:spacing w:before="38" w:after="0" w:line="214" w:lineRule="exact"/>
              <w:ind w:left="114"/>
              <w:jc w:val="left"/>
              <w:rPr>
                <w:rFonts w:eastAsia="Calibri"/>
                <w:sz w:val="22"/>
                <w:szCs w:val="22"/>
              </w:rPr>
            </w:pPr>
            <w:r w:rsidRPr="00576AF8">
              <w:rPr>
                <w:rFonts w:eastAsia="Calibri"/>
                <w:spacing w:val="-2"/>
                <w:sz w:val="22"/>
                <w:szCs w:val="22"/>
              </w:rPr>
              <w:t>TASE.2</w:t>
            </w:r>
          </w:p>
        </w:tc>
        <w:tc>
          <w:tcPr>
            <w:tcW w:w="1695" w:type="dxa"/>
            <w:tcBorders>
              <w:bottom w:val="nil"/>
            </w:tcBorders>
          </w:tcPr>
          <w:p w14:paraId="5CF1BE0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419" w:type="dxa"/>
            <w:tcBorders>
              <w:bottom w:val="nil"/>
            </w:tcBorders>
          </w:tcPr>
          <w:p w14:paraId="4113446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80" w:type="dxa"/>
            <w:tcBorders>
              <w:bottom w:val="nil"/>
            </w:tcBorders>
          </w:tcPr>
          <w:p w14:paraId="1B339F3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5F8C605D" w14:textId="77777777" w:rsidTr="009F6B78">
        <w:trPr>
          <w:trHeight w:val="559"/>
        </w:trPr>
        <w:tc>
          <w:tcPr>
            <w:tcW w:w="1553" w:type="dxa"/>
            <w:tcBorders>
              <w:top w:val="nil"/>
              <w:bottom w:val="nil"/>
            </w:tcBorders>
          </w:tcPr>
          <w:p w14:paraId="36AD02EA" w14:textId="77777777" w:rsidR="009102A7" w:rsidRPr="00576AF8" w:rsidRDefault="009102A7" w:rsidP="009F6B78">
            <w:pPr>
              <w:widowControl w:val="0"/>
              <w:suppressAutoHyphens w:val="0"/>
              <w:autoSpaceDE w:val="0"/>
              <w:autoSpaceDN w:val="0"/>
              <w:spacing w:before="97" w:after="0"/>
              <w:ind w:left="114" w:right="720"/>
              <w:jc w:val="left"/>
              <w:rPr>
                <w:rFonts w:eastAsia="Calibri"/>
                <w:sz w:val="22"/>
                <w:szCs w:val="22"/>
              </w:rPr>
            </w:pPr>
            <w:r w:rsidRPr="00576AF8">
              <w:rPr>
                <w:rFonts w:eastAsia="Calibri"/>
                <w:spacing w:val="-2"/>
                <w:sz w:val="22"/>
                <w:szCs w:val="22"/>
              </w:rPr>
              <w:t>Control Remoto</w:t>
            </w:r>
          </w:p>
        </w:tc>
        <w:tc>
          <w:tcPr>
            <w:tcW w:w="1563" w:type="dxa"/>
            <w:tcBorders>
              <w:top w:val="nil"/>
              <w:bottom w:val="nil"/>
            </w:tcBorders>
          </w:tcPr>
          <w:p w14:paraId="26558F6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3B6BCF7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3203E386" w14:textId="77777777" w:rsidR="009102A7" w:rsidRPr="00576AF8" w:rsidRDefault="009102A7" w:rsidP="009F6B78">
            <w:pPr>
              <w:widowControl w:val="0"/>
              <w:suppressAutoHyphens w:val="0"/>
              <w:autoSpaceDE w:val="0"/>
              <w:autoSpaceDN w:val="0"/>
              <w:spacing w:before="97" w:after="0" w:line="272" w:lineRule="exact"/>
              <w:ind w:left="113"/>
              <w:jc w:val="left"/>
              <w:rPr>
                <w:rFonts w:eastAsia="Calibri"/>
                <w:spacing w:val="-2"/>
                <w:sz w:val="22"/>
                <w:szCs w:val="22"/>
              </w:rPr>
            </w:pPr>
            <w:r w:rsidRPr="00576AF8">
              <w:rPr>
                <w:rFonts w:eastAsia="Calibri"/>
                <w:spacing w:val="-2"/>
                <w:sz w:val="22"/>
                <w:szCs w:val="22"/>
              </w:rPr>
              <w:t xml:space="preserve">Estados </w:t>
            </w:r>
          </w:p>
          <w:p w14:paraId="5A3C61D9" w14:textId="77777777" w:rsidR="009102A7" w:rsidRPr="00576AF8" w:rsidRDefault="009102A7" w:rsidP="009F6B78">
            <w:pPr>
              <w:widowControl w:val="0"/>
              <w:suppressAutoHyphens w:val="0"/>
              <w:autoSpaceDE w:val="0"/>
              <w:autoSpaceDN w:val="0"/>
              <w:spacing w:before="97" w:after="0" w:line="272" w:lineRule="exact"/>
              <w:ind w:left="113"/>
              <w:jc w:val="left"/>
              <w:rPr>
                <w:rFonts w:eastAsia="Calibri"/>
                <w:spacing w:val="-2"/>
                <w:sz w:val="22"/>
                <w:szCs w:val="22"/>
              </w:rPr>
            </w:pPr>
          </w:p>
          <w:p w14:paraId="59829753" w14:textId="77777777" w:rsidR="009102A7" w:rsidRPr="00576AF8" w:rsidRDefault="009102A7" w:rsidP="009F6B78">
            <w:pPr>
              <w:widowControl w:val="0"/>
              <w:suppressAutoHyphens w:val="0"/>
              <w:autoSpaceDE w:val="0"/>
              <w:autoSpaceDN w:val="0"/>
              <w:spacing w:before="97" w:after="0" w:line="272" w:lineRule="exact"/>
              <w:ind w:left="113"/>
              <w:jc w:val="left"/>
              <w:rPr>
                <w:rFonts w:eastAsia="Calibri"/>
                <w:spacing w:val="-2"/>
                <w:sz w:val="22"/>
                <w:szCs w:val="22"/>
              </w:rPr>
            </w:pPr>
          </w:p>
          <w:p w14:paraId="01F42EA9" w14:textId="77777777" w:rsidR="009102A7" w:rsidRPr="00576AF8" w:rsidRDefault="009102A7" w:rsidP="009F6B78">
            <w:pPr>
              <w:widowControl w:val="0"/>
              <w:suppressAutoHyphens w:val="0"/>
              <w:autoSpaceDE w:val="0"/>
              <w:autoSpaceDN w:val="0"/>
              <w:spacing w:before="97" w:after="0" w:line="272" w:lineRule="exact"/>
              <w:ind w:left="113"/>
              <w:jc w:val="left"/>
              <w:rPr>
                <w:rFonts w:eastAsia="Calibri"/>
                <w:sz w:val="22"/>
                <w:szCs w:val="22"/>
              </w:rPr>
            </w:pPr>
            <w:r w:rsidRPr="00576AF8">
              <w:rPr>
                <w:rFonts w:eastAsia="Calibri"/>
                <w:spacing w:val="-2"/>
                <w:sz w:val="22"/>
                <w:szCs w:val="22"/>
              </w:rPr>
              <w:t>Analógicos</w:t>
            </w:r>
          </w:p>
        </w:tc>
        <w:tc>
          <w:tcPr>
            <w:tcW w:w="1419" w:type="dxa"/>
            <w:tcBorders>
              <w:top w:val="nil"/>
              <w:bottom w:val="nil"/>
            </w:tcBorders>
          </w:tcPr>
          <w:p w14:paraId="0FAEC544" w14:textId="77777777" w:rsidR="009102A7" w:rsidRPr="00576AF8" w:rsidRDefault="009102A7" w:rsidP="009F6B78">
            <w:pPr>
              <w:widowControl w:val="0"/>
              <w:suppressAutoHyphens w:val="0"/>
              <w:autoSpaceDE w:val="0"/>
              <w:autoSpaceDN w:val="0"/>
              <w:spacing w:before="35" w:after="0"/>
              <w:ind w:left="113"/>
              <w:jc w:val="left"/>
              <w:rPr>
                <w:rFonts w:eastAsia="Calibri"/>
                <w:sz w:val="22"/>
                <w:szCs w:val="22"/>
              </w:rPr>
            </w:pPr>
            <w:r w:rsidRPr="00576AF8">
              <w:rPr>
                <w:rFonts w:eastAsia="Calibri"/>
                <w:sz w:val="22"/>
                <w:szCs w:val="22"/>
              </w:rPr>
              <w:t xml:space="preserve">Por excepción </w:t>
            </w:r>
          </w:p>
          <w:p w14:paraId="3ED27A34" w14:textId="77777777" w:rsidR="009102A7" w:rsidRPr="00576AF8" w:rsidRDefault="009102A7" w:rsidP="009F6B78">
            <w:pPr>
              <w:widowControl w:val="0"/>
              <w:suppressAutoHyphens w:val="0"/>
              <w:autoSpaceDE w:val="0"/>
              <w:autoSpaceDN w:val="0"/>
              <w:spacing w:before="41" w:after="0"/>
              <w:ind w:left="113"/>
              <w:jc w:val="left"/>
              <w:rPr>
                <w:rFonts w:eastAsia="Calibri"/>
                <w:spacing w:val="-2"/>
                <w:sz w:val="22"/>
                <w:szCs w:val="22"/>
              </w:rPr>
            </w:pPr>
          </w:p>
          <w:p w14:paraId="2BA6E5B9" w14:textId="77777777" w:rsidR="009102A7" w:rsidRPr="00576AF8" w:rsidRDefault="009102A7" w:rsidP="009F6B78">
            <w:pPr>
              <w:widowControl w:val="0"/>
              <w:suppressAutoHyphens w:val="0"/>
              <w:autoSpaceDE w:val="0"/>
              <w:autoSpaceDN w:val="0"/>
              <w:spacing w:before="41" w:after="0"/>
              <w:ind w:left="113"/>
              <w:jc w:val="left"/>
              <w:rPr>
                <w:rFonts w:eastAsia="Calibri"/>
                <w:sz w:val="22"/>
                <w:szCs w:val="22"/>
              </w:rPr>
            </w:pPr>
            <w:r w:rsidRPr="00576AF8">
              <w:rPr>
                <w:rFonts w:eastAsia="Calibri"/>
                <w:sz w:val="22"/>
                <w:szCs w:val="22"/>
              </w:rPr>
              <w:t>1 a 4</w:t>
            </w:r>
            <w:r w:rsidRPr="00576AF8">
              <w:rPr>
                <w:rFonts w:eastAsia="Calibri"/>
                <w:spacing w:val="-4"/>
                <w:sz w:val="22"/>
                <w:szCs w:val="22"/>
              </w:rPr>
              <w:t xml:space="preserve"> </w:t>
            </w:r>
            <w:r w:rsidRPr="00576AF8">
              <w:rPr>
                <w:rFonts w:eastAsia="Calibri"/>
                <w:spacing w:val="-2"/>
                <w:sz w:val="22"/>
                <w:szCs w:val="22"/>
              </w:rPr>
              <w:t>segundos</w:t>
            </w:r>
          </w:p>
        </w:tc>
        <w:tc>
          <w:tcPr>
            <w:tcW w:w="1580" w:type="dxa"/>
            <w:tcBorders>
              <w:top w:val="nil"/>
              <w:bottom w:val="nil"/>
            </w:tcBorders>
          </w:tcPr>
          <w:p w14:paraId="3CC7B2F7" w14:textId="77777777" w:rsidR="009102A7" w:rsidRPr="00576AF8" w:rsidRDefault="009102A7" w:rsidP="009F6B78">
            <w:pPr>
              <w:widowControl w:val="0"/>
              <w:suppressAutoHyphens w:val="0"/>
              <w:autoSpaceDE w:val="0"/>
              <w:autoSpaceDN w:val="0"/>
              <w:spacing w:before="35" w:after="0"/>
              <w:ind w:left="508"/>
              <w:jc w:val="left"/>
              <w:rPr>
                <w:rFonts w:eastAsia="Calibri"/>
                <w:sz w:val="22"/>
                <w:szCs w:val="22"/>
              </w:rPr>
            </w:pPr>
            <w:r w:rsidRPr="00576AF8">
              <w:rPr>
                <w:rFonts w:eastAsia="Calibri"/>
                <w:spacing w:val="-2"/>
                <w:sz w:val="22"/>
                <w:szCs w:val="22"/>
              </w:rPr>
              <w:t>40000</w:t>
            </w:r>
          </w:p>
          <w:p w14:paraId="54296F84" w14:textId="77777777" w:rsidR="009102A7" w:rsidRPr="00576AF8" w:rsidRDefault="009102A7" w:rsidP="009F6B78">
            <w:pPr>
              <w:widowControl w:val="0"/>
              <w:suppressAutoHyphens w:val="0"/>
              <w:autoSpaceDE w:val="0"/>
              <w:autoSpaceDN w:val="0"/>
              <w:spacing w:before="41" w:after="0"/>
              <w:ind w:left="508"/>
              <w:jc w:val="left"/>
              <w:rPr>
                <w:rFonts w:eastAsia="Calibri"/>
                <w:spacing w:val="-2"/>
                <w:sz w:val="22"/>
                <w:szCs w:val="22"/>
              </w:rPr>
            </w:pPr>
          </w:p>
          <w:p w14:paraId="54A80739" w14:textId="77777777" w:rsidR="009102A7" w:rsidRPr="00576AF8" w:rsidRDefault="009102A7" w:rsidP="009F6B78">
            <w:pPr>
              <w:widowControl w:val="0"/>
              <w:suppressAutoHyphens w:val="0"/>
              <w:autoSpaceDE w:val="0"/>
              <w:autoSpaceDN w:val="0"/>
              <w:spacing w:before="41" w:after="0"/>
              <w:ind w:left="508"/>
              <w:jc w:val="left"/>
              <w:rPr>
                <w:rFonts w:eastAsia="Calibri"/>
                <w:spacing w:val="-2"/>
                <w:sz w:val="22"/>
                <w:szCs w:val="22"/>
              </w:rPr>
            </w:pPr>
          </w:p>
          <w:p w14:paraId="4D2A019A" w14:textId="77777777" w:rsidR="009102A7" w:rsidRPr="00576AF8" w:rsidRDefault="009102A7" w:rsidP="009F6B78">
            <w:pPr>
              <w:widowControl w:val="0"/>
              <w:suppressAutoHyphens w:val="0"/>
              <w:autoSpaceDE w:val="0"/>
              <w:autoSpaceDN w:val="0"/>
              <w:spacing w:before="41" w:after="0"/>
              <w:ind w:left="508"/>
              <w:jc w:val="left"/>
              <w:rPr>
                <w:rFonts w:eastAsia="Calibri"/>
                <w:sz w:val="22"/>
                <w:szCs w:val="22"/>
              </w:rPr>
            </w:pPr>
            <w:r w:rsidRPr="00576AF8">
              <w:rPr>
                <w:rFonts w:eastAsia="Calibri"/>
                <w:spacing w:val="-2"/>
                <w:sz w:val="22"/>
                <w:szCs w:val="22"/>
              </w:rPr>
              <w:t>16000</w:t>
            </w:r>
          </w:p>
        </w:tc>
      </w:tr>
      <w:tr w:rsidR="009102A7" w:rsidRPr="00576AF8" w14:paraId="6846FB0C" w14:textId="77777777" w:rsidTr="009F6B78">
        <w:trPr>
          <w:trHeight w:val="270"/>
        </w:trPr>
        <w:tc>
          <w:tcPr>
            <w:tcW w:w="1553" w:type="dxa"/>
            <w:tcBorders>
              <w:top w:val="nil"/>
              <w:bottom w:val="nil"/>
            </w:tcBorders>
          </w:tcPr>
          <w:p w14:paraId="2759AD7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365FCA34"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13DCF3ED"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1E868612" w14:textId="77777777" w:rsidR="009102A7" w:rsidRPr="00576AF8" w:rsidRDefault="009102A7" w:rsidP="009F6B78">
            <w:pPr>
              <w:widowControl w:val="0"/>
              <w:suppressAutoHyphens w:val="0"/>
              <w:autoSpaceDE w:val="0"/>
              <w:autoSpaceDN w:val="0"/>
              <w:spacing w:before="16" w:after="0"/>
              <w:ind w:left="113"/>
              <w:jc w:val="left"/>
              <w:rPr>
                <w:rFonts w:eastAsia="Calibri"/>
                <w:spacing w:val="-2"/>
                <w:sz w:val="22"/>
                <w:szCs w:val="22"/>
              </w:rPr>
            </w:pPr>
          </w:p>
          <w:p w14:paraId="29D21225" w14:textId="77777777" w:rsidR="009102A7" w:rsidRPr="00576AF8" w:rsidRDefault="009102A7" w:rsidP="009F6B78">
            <w:pPr>
              <w:widowControl w:val="0"/>
              <w:suppressAutoHyphens w:val="0"/>
              <w:autoSpaceDE w:val="0"/>
              <w:autoSpaceDN w:val="0"/>
              <w:spacing w:before="16" w:after="0"/>
              <w:ind w:left="113"/>
              <w:jc w:val="left"/>
              <w:rPr>
                <w:rFonts w:eastAsia="Calibri"/>
                <w:sz w:val="22"/>
                <w:szCs w:val="22"/>
              </w:rPr>
            </w:pPr>
            <w:r w:rsidRPr="00576AF8">
              <w:rPr>
                <w:rFonts w:eastAsia="Calibri"/>
                <w:spacing w:val="-2"/>
                <w:sz w:val="22"/>
                <w:szCs w:val="22"/>
              </w:rPr>
              <w:t>Acumuladores</w:t>
            </w:r>
          </w:p>
        </w:tc>
        <w:tc>
          <w:tcPr>
            <w:tcW w:w="1419" w:type="dxa"/>
            <w:tcBorders>
              <w:top w:val="nil"/>
              <w:bottom w:val="nil"/>
            </w:tcBorders>
          </w:tcPr>
          <w:p w14:paraId="7B0ED25B" w14:textId="77777777" w:rsidR="009102A7" w:rsidRPr="00576AF8" w:rsidRDefault="009102A7" w:rsidP="009F6B78">
            <w:pPr>
              <w:widowControl w:val="0"/>
              <w:suppressAutoHyphens w:val="0"/>
              <w:autoSpaceDE w:val="0"/>
              <w:autoSpaceDN w:val="0"/>
              <w:spacing w:before="16" w:after="0"/>
              <w:ind w:left="113"/>
              <w:jc w:val="left"/>
              <w:rPr>
                <w:rFonts w:eastAsia="Calibri"/>
                <w:sz w:val="22"/>
                <w:szCs w:val="22"/>
              </w:rPr>
            </w:pPr>
          </w:p>
          <w:p w14:paraId="02A8E0C0" w14:textId="77777777" w:rsidR="009102A7" w:rsidRPr="00576AF8" w:rsidRDefault="009102A7" w:rsidP="009F6B78">
            <w:pPr>
              <w:widowControl w:val="0"/>
              <w:suppressAutoHyphens w:val="0"/>
              <w:autoSpaceDE w:val="0"/>
              <w:autoSpaceDN w:val="0"/>
              <w:spacing w:before="16" w:after="0"/>
              <w:ind w:left="113"/>
              <w:jc w:val="left"/>
              <w:rPr>
                <w:rFonts w:eastAsia="Calibri"/>
                <w:sz w:val="22"/>
                <w:szCs w:val="22"/>
              </w:rPr>
            </w:pPr>
            <w:r w:rsidRPr="00576AF8">
              <w:rPr>
                <w:rFonts w:eastAsia="Calibri"/>
                <w:sz w:val="22"/>
                <w:szCs w:val="22"/>
              </w:rPr>
              <w:t>15</w:t>
            </w:r>
            <w:r w:rsidRPr="00576AF8">
              <w:rPr>
                <w:rFonts w:eastAsia="Calibri"/>
                <w:spacing w:val="-6"/>
                <w:sz w:val="22"/>
                <w:szCs w:val="22"/>
              </w:rPr>
              <w:t xml:space="preserve"> </w:t>
            </w:r>
            <w:r w:rsidRPr="00576AF8">
              <w:rPr>
                <w:rFonts w:eastAsia="Calibri"/>
                <w:spacing w:val="-2"/>
                <w:sz w:val="22"/>
                <w:szCs w:val="22"/>
              </w:rPr>
              <w:t>minutos</w:t>
            </w:r>
          </w:p>
        </w:tc>
        <w:tc>
          <w:tcPr>
            <w:tcW w:w="1580" w:type="dxa"/>
            <w:tcBorders>
              <w:top w:val="nil"/>
              <w:bottom w:val="nil"/>
            </w:tcBorders>
          </w:tcPr>
          <w:p w14:paraId="23C2EA9C" w14:textId="77777777" w:rsidR="009102A7" w:rsidRPr="00576AF8" w:rsidRDefault="009102A7" w:rsidP="009F6B78">
            <w:pPr>
              <w:widowControl w:val="0"/>
              <w:suppressAutoHyphens w:val="0"/>
              <w:autoSpaceDE w:val="0"/>
              <w:autoSpaceDN w:val="0"/>
              <w:spacing w:before="16" w:after="0"/>
              <w:ind w:left="4" w:right="4"/>
              <w:jc w:val="center"/>
              <w:rPr>
                <w:rFonts w:eastAsia="Calibri"/>
                <w:spacing w:val="-4"/>
                <w:sz w:val="22"/>
                <w:szCs w:val="22"/>
              </w:rPr>
            </w:pPr>
          </w:p>
          <w:p w14:paraId="07AF39BF" w14:textId="77777777" w:rsidR="009102A7" w:rsidRPr="00576AF8" w:rsidRDefault="009102A7" w:rsidP="009F6B78">
            <w:pPr>
              <w:widowControl w:val="0"/>
              <w:suppressAutoHyphens w:val="0"/>
              <w:autoSpaceDE w:val="0"/>
              <w:autoSpaceDN w:val="0"/>
              <w:spacing w:before="16" w:after="0"/>
              <w:ind w:left="4" w:right="4"/>
              <w:jc w:val="center"/>
              <w:rPr>
                <w:rFonts w:eastAsia="Calibri"/>
                <w:sz w:val="22"/>
                <w:szCs w:val="22"/>
              </w:rPr>
            </w:pPr>
            <w:r w:rsidRPr="00576AF8">
              <w:rPr>
                <w:rFonts w:eastAsia="Calibri"/>
                <w:spacing w:val="-4"/>
                <w:sz w:val="22"/>
                <w:szCs w:val="22"/>
              </w:rPr>
              <w:t>1000</w:t>
            </w:r>
          </w:p>
        </w:tc>
      </w:tr>
      <w:tr w:rsidR="009102A7" w:rsidRPr="00576AF8" w14:paraId="04F1BFD6" w14:textId="77777777" w:rsidTr="009F6B78">
        <w:trPr>
          <w:trHeight w:val="250"/>
        </w:trPr>
        <w:tc>
          <w:tcPr>
            <w:tcW w:w="1553" w:type="dxa"/>
            <w:tcBorders>
              <w:top w:val="nil"/>
              <w:bottom w:val="nil"/>
            </w:tcBorders>
          </w:tcPr>
          <w:p w14:paraId="0619F11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2C42271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00E2783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0B2BC907" w14:textId="77777777" w:rsidR="009102A7" w:rsidRPr="00576AF8" w:rsidRDefault="009102A7" w:rsidP="009F6B78">
            <w:pPr>
              <w:widowControl w:val="0"/>
              <w:suppressAutoHyphens w:val="0"/>
              <w:autoSpaceDE w:val="0"/>
              <w:autoSpaceDN w:val="0"/>
              <w:spacing w:before="17" w:after="0" w:line="214" w:lineRule="exact"/>
              <w:ind w:left="113"/>
              <w:jc w:val="left"/>
              <w:rPr>
                <w:rFonts w:eastAsia="Calibri"/>
                <w:sz w:val="22"/>
                <w:szCs w:val="22"/>
              </w:rPr>
            </w:pPr>
            <w:r w:rsidRPr="00576AF8">
              <w:rPr>
                <w:rFonts w:eastAsia="Calibri"/>
                <w:spacing w:val="-5"/>
                <w:sz w:val="22"/>
                <w:szCs w:val="22"/>
              </w:rPr>
              <w:t>SOE</w:t>
            </w:r>
          </w:p>
        </w:tc>
        <w:tc>
          <w:tcPr>
            <w:tcW w:w="1419" w:type="dxa"/>
            <w:tcBorders>
              <w:top w:val="nil"/>
              <w:bottom w:val="nil"/>
            </w:tcBorders>
          </w:tcPr>
          <w:p w14:paraId="29CBD79B" w14:textId="77777777" w:rsidR="009102A7" w:rsidRPr="00576AF8" w:rsidRDefault="009102A7" w:rsidP="009F6B78">
            <w:pPr>
              <w:widowControl w:val="0"/>
              <w:suppressAutoHyphens w:val="0"/>
              <w:autoSpaceDE w:val="0"/>
              <w:autoSpaceDN w:val="0"/>
              <w:spacing w:before="17" w:after="0" w:line="214" w:lineRule="exact"/>
              <w:ind w:left="113"/>
              <w:jc w:val="left"/>
              <w:rPr>
                <w:rFonts w:eastAsia="Calibri"/>
                <w:sz w:val="22"/>
                <w:szCs w:val="22"/>
              </w:rPr>
            </w:pPr>
            <w:r w:rsidRPr="00576AF8">
              <w:rPr>
                <w:rFonts w:eastAsia="Calibri"/>
                <w:spacing w:val="-5"/>
                <w:sz w:val="22"/>
                <w:szCs w:val="22"/>
              </w:rPr>
              <w:t>On</w:t>
            </w:r>
          </w:p>
        </w:tc>
        <w:tc>
          <w:tcPr>
            <w:tcW w:w="1580" w:type="dxa"/>
            <w:tcBorders>
              <w:top w:val="nil"/>
              <w:bottom w:val="nil"/>
            </w:tcBorders>
          </w:tcPr>
          <w:p w14:paraId="0C1B0DEC" w14:textId="77777777" w:rsidR="009102A7" w:rsidRPr="00576AF8" w:rsidRDefault="009102A7" w:rsidP="009F6B78">
            <w:pPr>
              <w:widowControl w:val="0"/>
              <w:suppressAutoHyphens w:val="0"/>
              <w:autoSpaceDE w:val="0"/>
              <w:autoSpaceDN w:val="0"/>
              <w:spacing w:before="17" w:after="0" w:line="214" w:lineRule="exact"/>
              <w:ind w:left="4" w:right="4"/>
              <w:jc w:val="center"/>
              <w:rPr>
                <w:rFonts w:eastAsia="Calibri"/>
                <w:sz w:val="22"/>
                <w:szCs w:val="22"/>
              </w:rPr>
            </w:pPr>
            <w:r w:rsidRPr="00576AF8">
              <w:rPr>
                <w:rFonts w:eastAsia="Calibri"/>
                <w:spacing w:val="-4"/>
                <w:sz w:val="22"/>
                <w:szCs w:val="22"/>
              </w:rPr>
              <w:t>8000</w:t>
            </w:r>
          </w:p>
        </w:tc>
      </w:tr>
      <w:tr w:rsidR="009102A7" w:rsidRPr="00576AF8" w14:paraId="35C83590" w14:textId="77777777" w:rsidTr="009F6B78">
        <w:trPr>
          <w:trHeight w:val="268"/>
        </w:trPr>
        <w:tc>
          <w:tcPr>
            <w:tcW w:w="1553" w:type="dxa"/>
            <w:tcBorders>
              <w:top w:val="nil"/>
              <w:bottom w:val="nil"/>
            </w:tcBorders>
          </w:tcPr>
          <w:p w14:paraId="49592D33"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7D27E569"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7E98FA9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4DD30A1D" w14:textId="77777777" w:rsidR="009102A7" w:rsidRPr="00576AF8" w:rsidRDefault="009102A7" w:rsidP="009F6B78">
            <w:pPr>
              <w:widowControl w:val="0"/>
              <w:suppressAutoHyphens w:val="0"/>
              <w:autoSpaceDE w:val="0"/>
              <w:autoSpaceDN w:val="0"/>
              <w:spacing w:before="35" w:after="0" w:line="214" w:lineRule="exact"/>
              <w:ind w:left="113"/>
              <w:jc w:val="left"/>
              <w:rPr>
                <w:rFonts w:eastAsia="Calibri"/>
                <w:sz w:val="22"/>
                <w:szCs w:val="22"/>
              </w:rPr>
            </w:pPr>
            <w:r w:rsidRPr="00576AF8">
              <w:rPr>
                <w:rFonts w:eastAsia="Calibri"/>
                <w:spacing w:val="-2"/>
                <w:sz w:val="22"/>
                <w:szCs w:val="22"/>
              </w:rPr>
              <w:t>Control</w:t>
            </w:r>
          </w:p>
        </w:tc>
        <w:tc>
          <w:tcPr>
            <w:tcW w:w="1419" w:type="dxa"/>
            <w:tcBorders>
              <w:top w:val="nil"/>
              <w:bottom w:val="nil"/>
            </w:tcBorders>
          </w:tcPr>
          <w:p w14:paraId="3437D37A"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2"/>
                <w:sz w:val="22"/>
                <w:szCs w:val="22"/>
              </w:rPr>
              <w:t>occurrence</w:t>
            </w:r>
          </w:p>
        </w:tc>
        <w:tc>
          <w:tcPr>
            <w:tcW w:w="1580" w:type="dxa"/>
            <w:tcBorders>
              <w:top w:val="nil"/>
              <w:bottom w:val="nil"/>
            </w:tcBorders>
          </w:tcPr>
          <w:p w14:paraId="5CB8BA19" w14:textId="77777777" w:rsidR="009102A7" w:rsidRPr="00576AF8" w:rsidRDefault="009102A7" w:rsidP="009F6B78">
            <w:pPr>
              <w:widowControl w:val="0"/>
              <w:suppressAutoHyphens w:val="0"/>
              <w:autoSpaceDE w:val="0"/>
              <w:autoSpaceDN w:val="0"/>
              <w:spacing w:before="35" w:after="0" w:line="214" w:lineRule="exact"/>
              <w:ind w:left="4" w:right="4"/>
              <w:jc w:val="center"/>
              <w:rPr>
                <w:rFonts w:eastAsia="Calibri"/>
                <w:sz w:val="22"/>
                <w:szCs w:val="22"/>
              </w:rPr>
            </w:pPr>
            <w:r w:rsidRPr="00576AF8">
              <w:rPr>
                <w:rFonts w:eastAsia="Calibri"/>
                <w:spacing w:val="-5"/>
                <w:sz w:val="22"/>
                <w:szCs w:val="22"/>
              </w:rPr>
              <w:t>600</w:t>
            </w:r>
          </w:p>
        </w:tc>
      </w:tr>
      <w:tr w:rsidR="009102A7" w:rsidRPr="00576AF8" w14:paraId="6D4C71D8" w14:textId="77777777" w:rsidTr="009F6B78">
        <w:trPr>
          <w:trHeight w:val="250"/>
        </w:trPr>
        <w:tc>
          <w:tcPr>
            <w:tcW w:w="1553" w:type="dxa"/>
            <w:tcBorders>
              <w:top w:val="nil"/>
              <w:bottom w:val="nil"/>
            </w:tcBorders>
          </w:tcPr>
          <w:p w14:paraId="5CBB9F0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24D138A6"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0976EF02"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32BBC3C5"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2"/>
                <w:sz w:val="22"/>
                <w:szCs w:val="22"/>
              </w:rPr>
              <w:t>Supervisorio</w:t>
            </w:r>
          </w:p>
        </w:tc>
        <w:tc>
          <w:tcPr>
            <w:tcW w:w="1419" w:type="dxa"/>
            <w:tcBorders>
              <w:top w:val="nil"/>
              <w:bottom w:val="nil"/>
            </w:tcBorders>
          </w:tcPr>
          <w:p w14:paraId="68521E34" w14:textId="77777777" w:rsidR="009102A7" w:rsidRPr="00576AF8" w:rsidRDefault="009102A7" w:rsidP="009F6B78">
            <w:pPr>
              <w:widowControl w:val="0"/>
              <w:suppressAutoHyphens w:val="0"/>
              <w:autoSpaceDE w:val="0"/>
              <w:autoSpaceDN w:val="0"/>
              <w:spacing w:before="97" w:after="0" w:line="227" w:lineRule="exact"/>
              <w:ind w:left="113"/>
              <w:jc w:val="left"/>
              <w:rPr>
                <w:rFonts w:eastAsia="Calibri"/>
                <w:sz w:val="22"/>
                <w:szCs w:val="22"/>
              </w:rPr>
            </w:pPr>
            <w:r w:rsidRPr="00576AF8">
              <w:rPr>
                <w:rFonts w:eastAsia="Calibri"/>
                <w:spacing w:val="-10"/>
                <w:sz w:val="22"/>
                <w:szCs w:val="22"/>
              </w:rPr>
              <w:t>-</w:t>
            </w:r>
          </w:p>
        </w:tc>
        <w:tc>
          <w:tcPr>
            <w:tcW w:w="1580" w:type="dxa"/>
            <w:tcBorders>
              <w:top w:val="nil"/>
              <w:bottom w:val="nil"/>
            </w:tcBorders>
          </w:tcPr>
          <w:p w14:paraId="315D8F3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379B7A51" w14:textId="77777777" w:rsidTr="009F6B78">
        <w:trPr>
          <w:trHeight w:val="598"/>
        </w:trPr>
        <w:tc>
          <w:tcPr>
            <w:tcW w:w="1553" w:type="dxa"/>
            <w:tcBorders>
              <w:top w:val="nil"/>
              <w:bottom w:val="nil"/>
            </w:tcBorders>
          </w:tcPr>
          <w:p w14:paraId="28B85A24"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4366D57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5B192860"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6F2ED066" w14:textId="77777777" w:rsidR="009102A7" w:rsidRPr="00576AF8" w:rsidRDefault="009102A7" w:rsidP="009F6B78">
            <w:pPr>
              <w:widowControl w:val="0"/>
              <w:suppressAutoHyphens w:val="0"/>
              <w:autoSpaceDE w:val="0"/>
              <w:autoSpaceDN w:val="0"/>
              <w:spacing w:before="17" w:after="0"/>
              <w:ind w:left="113"/>
              <w:jc w:val="left"/>
              <w:rPr>
                <w:rFonts w:eastAsia="Calibri"/>
                <w:sz w:val="22"/>
                <w:szCs w:val="22"/>
              </w:rPr>
            </w:pPr>
            <w:r w:rsidRPr="00576AF8">
              <w:rPr>
                <w:rFonts w:eastAsia="Calibri"/>
                <w:sz w:val="22"/>
                <w:szCs w:val="22"/>
              </w:rPr>
              <w:t xml:space="preserve">Control de </w:t>
            </w:r>
            <w:r w:rsidRPr="00576AF8">
              <w:rPr>
                <w:rFonts w:eastAsia="Calibri"/>
                <w:spacing w:val="-2"/>
                <w:sz w:val="22"/>
                <w:szCs w:val="22"/>
              </w:rPr>
              <w:t>Generación</w:t>
            </w:r>
          </w:p>
        </w:tc>
        <w:tc>
          <w:tcPr>
            <w:tcW w:w="1419" w:type="dxa"/>
            <w:tcBorders>
              <w:top w:val="nil"/>
              <w:bottom w:val="nil"/>
            </w:tcBorders>
          </w:tcPr>
          <w:p w14:paraId="71FDDDFA" w14:textId="77777777" w:rsidR="009102A7" w:rsidRPr="00576AF8" w:rsidRDefault="009102A7" w:rsidP="009F6B78">
            <w:pPr>
              <w:widowControl w:val="0"/>
              <w:suppressAutoHyphens w:val="0"/>
              <w:autoSpaceDE w:val="0"/>
              <w:autoSpaceDN w:val="0"/>
              <w:spacing w:before="55" w:after="0"/>
              <w:jc w:val="left"/>
              <w:rPr>
                <w:rFonts w:eastAsia="Calibri"/>
                <w:b/>
                <w:sz w:val="22"/>
                <w:szCs w:val="22"/>
              </w:rPr>
            </w:pPr>
          </w:p>
          <w:p w14:paraId="3339A2A7" w14:textId="77777777" w:rsidR="009102A7" w:rsidRPr="00576AF8" w:rsidRDefault="009102A7" w:rsidP="009F6B78">
            <w:pPr>
              <w:widowControl w:val="0"/>
              <w:suppressAutoHyphens w:val="0"/>
              <w:autoSpaceDE w:val="0"/>
              <w:autoSpaceDN w:val="0"/>
              <w:spacing w:before="1" w:after="0"/>
              <w:ind w:left="113"/>
              <w:jc w:val="left"/>
              <w:rPr>
                <w:rFonts w:eastAsia="Calibri"/>
                <w:sz w:val="22"/>
                <w:szCs w:val="22"/>
              </w:rPr>
            </w:pPr>
            <w:r w:rsidRPr="00576AF8">
              <w:rPr>
                <w:rFonts w:eastAsia="Calibri"/>
                <w:spacing w:val="-10"/>
                <w:sz w:val="22"/>
                <w:szCs w:val="22"/>
              </w:rPr>
              <w:t>-</w:t>
            </w:r>
          </w:p>
        </w:tc>
        <w:tc>
          <w:tcPr>
            <w:tcW w:w="1580" w:type="dxa"/>
            <w:tcBorders>
              <w:top w:val="nil"/>
              <w:bottom w:val="nil"/>
            </w:tcBorders>
          </w:tcPr>
          <w:p w14:paraId="4521AA9F" w14:textId="77777777" w:rsidR="009102A7" w:rsidRPr="00576AF8" w:rsidRDefault="009102A7" w:rsidP="009F6B78">
            <w:pPr>
              <w:keepNext/>
              <w:widowControl w:val="0"/>
              <w:suppressAutoHyphens w:val="0"/>
              <w:autoSpaceDE w:val="0"/>
              <w:autoSpaceDN w:val="0"/>
              <w:spacing w:before="55" w:after="0"/>
              <w:ind w:left="4" w:right="4"/>
              <w:jc w:val="center"/>
              <w:rPr>
                <w:rFonts w:eastAsia="Calibri"/>
                <w:sz w:val="22"/>
                <w:szCs w:val="22"/>
              </w:rPr>
            </w:pPr>
            <w:r w:rsidRPr="00576AF8">
              <w:rPr>
                <w:rFonts w:eastAsia="Calibri"/>
                <w:spacing w:val="-5"/>
                <w:sz w:val="22"/>
                <w:szCs w:val="22"/>
              </w:rPr>
              <w:t>200</w:t>
            </w:r>
          </w:p>
        </w:tc>
      </w:tr>
      <w:tr w:rsidR="009102A7" w:rsidRPr="00576AF8" w14:paraId="09AAAB42" w14:textId="77777777" w:rsidTr="009F6B78">
        <w:trPr>
          <w:trHeight w:val="598"/>
        </w:trPr>
        <w:tc>
          <w:tcPr>
            <w:tcW w:w="1553" w:type="dxa"/>
            <w:tcBorders>
              <w:top w:val="nil"/>
              <w:bottom w:val="nil"/>
            </w:tcBorders>
          </w:tcPr>
          <w:p w14:paraId="62B0461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1F7F052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66F5869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7439AF30" w14:textId="77777777" w:rsidR="009102A7" w:rsidRPr="00576AF8" w:rsidRDefault="009102A7" w:rsidP="009F6B78">
            <w:pPr>
              <w:widowControl w:val="0"/>
              <w:suppressAutoHyphens w:val="0"/>
              <w:autoSpaceDE w:val="0"/>
              <w:autoSpaceDN w:val="0"/>
              <w:spacing w:before="79" w:after="0"/>
              <w:jc w:val="left"/>
              <w:rPr>
                <w:rFonts w:eastAsia="Calibri"/>
                <w:b/>
                <w:sz w:val="22"/>
                <w:szCs w:val="22"/>
              </w:rPr>
            </w:pPr>
          </w:p>
          <w:p w14:paraId="6402BE32" w14:textId="77777777" w:rsidR="009102A7" w:rsidRPr="00576AF8" w:rsidRDefault="009102A7" w:rsidP="009F6B78">
            <w:pPr>
              <w:widowControl w:val="0"/>
              <w:suppressAutoHyphens w:val="0"/>
              <w:autoSpaceDE w:val="0"/>
              <w:autoSpaceDN w:val="0"/>
              <w:spacing w:before="17" w:after="0"/>
              <w:ind w:left="113"/>
              <w:jc w:val="left"/>
              <w:rPr>
                <w:rFonts w:eastAsia="Calibri"/>
                <w:sz w:val="22"/>
                <w:szCs w:val="22"/>
              </w:rPr>
            </w:pPr>
            <w:r w:rsidRPr="00576AF8">
              <w:rPr>
                <w:rFonts w:eastAsia="Calibri"/>
                <w:spacing w:val="-2"/>
                <w:sz w:val="22"/>
                <w:szCs w:val="22"/>
              </w:rPr>
              <w:t>Transaction</w:t>
            </w:r>
          </w:p>
        </w:tc>
        <w:tc>
          <w:tcPr>
            <w:tcW w:w="1419" w:type="dxa"/>
            <w:tcBorders>
              <w:top w:val="nil"/>
              <w:bottom w:val="nil"/>
            </w:tcBorders>
          </w:tcPr>
          <w:p w14:paraId="58476472" w14:textId="77777777" w:rsidR="009102A7" w:rsidRPr="00576AF8" w:rsidRDefault="009102A7" w:rsidP="009F6B78">
            <w:pPr>
              <w:widowControl w:val="0"/>
              <w:suppressAutoHyphens w:val="0"/>
              <w:autoSpaceDE w:val="0"/>
              <w:autoSpaceDN w:val="0"/>
              <w:spacing w:before="55" w:after="0"/>
              <w:jc w:val="left"/>
              <w:rPr>
                <w:rFonts w:eastAsia="Calibri"/>
                <w:b/>
                <w:sz w:val="22"/>
                <w:szCs w:val="22"/>
              </w:rPr>
            </w:pPr>
          </w:p>
        </w:tc>
        <w:tc>
          <w:tcPr>
            <w:tcW w:w="1580" w:type="dxa"/>
            <w:tcBorders>
              <w:top w:val="nil"/>
              <w:bottom w:val="nil"/>
            </w:tcBorders>
          </w:tcPr>
          <w:p w14:paraId="45E552EA" w14:textId="77777777" w:rsidR="009102A7" w:rsidRPr="00576AF8" w:rsidRDefault="009102A7" w:rsidP="009F6B78">
            <w:pPr>
              <w:keepNext/>
              <w:widowControl w:val="0"/>
              <w:suppressAutoHyphens w:val="0"/>
              <w:autoSpaceDE w:val="0"/>
              <w:autoSpaceDN w:val="0"/>
              <w:spacing w:before="55" w:after="0"/>
              <w:ind w:left="4" w:right="4"/>
              <w:jc w:val="center"/>
              <w:rPr>
                <w:rFonts w:eastAsia="Calibri"/>
                <w:spacing w:val="-5"/>
                <w:sz w:val="22"/>
                <w:szCs w:val="22"/>
              </w:rPr>
            </w:pPr>
          </w:p>
        </w:tc>
      </w:tr>
      <w:tr w:rsidR="009102A7" w:rsidRPr="00576AF8" w14:paraId="709D1582" w14:textId="77777777" w:rsidTr="009F6B78">
        <w:trPr>
          <w:trHeight w:val="598"/>
        </w:trPr>
        <w:tc>
          <w:tcPr>
            <w:tcW w:w="1553" w:type="dxa"/>
            <w:tcBorders>
              <w:top w:val="nil"/>
              <w:bottom w:val="nil"/>
            </w:tcBorders>
          </w:tcPr>
          <w:p w14:paraId="7378CB0E"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nil"/>
            </w:tcBorders>
          </w:tcPr>
          <w:p w14:paraId="7C12CE3F"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nil"/>
            </w:tcBorders>
          </w:tcPr>
          <w:p w14:paraId="787F31F5"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nil"/>
            </w:tcBorders>
          </w:tcPr>
          <w:p w14:paraId="42AC7393" w14:textId="77777777" w:rsidR="009102A7" w:rsidRPr="00576AF8" w:rsidRDefault="009102A7" w:rsidP="009F6B78">
            <w:pPr>
              <w:widowControl w:val="0"/>
              <w:suppressAutoHyphens w:val="0"/>
              <w:autoSpaceDE w:val="0"/>
              <w:autoSpaceDN w:val="0"/>
              <w:spacing w:before="79" w:after="0"/>
              <w:jc w:val="left"/>
              <w:rPr>
                <w:rFonts w:eastAsia="Calibri"/>
                <w:b/>
                <w:sz w:val="22"/>
                <w:szCs w:val="22"/>
              </w:rPr>
            </w:pPr>
            <w:r w:rsidRPr="00576AF8">
              <w:rPr>
                <w:rFonts w:eastAsia="Calibri"/>
                <w:spacing w:val="-2"/>
                <w:sz w:val="22"/>
                <w:szCs w:val="22"/>
              </w:rPr>
              <w:t>schedules</w:t>
            </w:r>
          </w:p>
        </w:tc>
        <w:tc>
          <w:tcPr>
            <w:tcW w:w="1419" w:type="dxa"/>
            <w:tcBorders>
              <w:top w:val="nil"/>
              <w:bottom w:val="nil"/>
            </w:tcBorders>
          </w:tcPr>
          <w:p w14:paraId="6CDA93B5" w14:textId="77777777" w:rsidR="009102A7" w:rsidRPr="00576AF8" w:rsidRDefault="009102A7" w:rsidP="009F6B78">
            <w:pPr>
              <w:widowControl w:val="0"/>
              <w:suppressAutoHyphens w:val="0"/>
              <w:autoSpaceDE w:val="0"/>
              <w:autoSpaceDN w:val="0"/>
              <w:spacing w:before="55" w:after="0"/>
              <w:jc w:val="left"/>
              <w:rPr>
                <w:rFonts w:eastAsia="Calibri"/>
                <w:b/>
                <w:sz w:val="22"/>
                <w:szCs w:val="22"/>
              </w:rPr>
            </w:pPr>
            <w:r w:rsidRPr="00576AF8">
              <w:rPr>
                <w:rFonts w:eastAsia="Calibri"/>
                <w:spacing w:val="-10"/>
                <w:sz w:val="22"/>
                <w:szCs w:val="22"/>
              </w:rPr>
              <w:t>-</w:t>
            </w:r>
          </w:p>
        </w:tc>
        <w:tc>
          <w:tcPr>
            <w:tcW w:w="1580" w:type="dxa"/>
            <w:tcBorders>
              <w:top w:val="nil"/>
              <w:bottom w:val="nil"/>
            </w:tcBorders>
          </w:tcPr>
          <w:p w14:paraId="186187A2" w14:textId="77777777" w:rsidR="009102A7" w:rsidRPr="00576AF8" w:rsidRDefault="009102A7" w:rsidP="009F6B78">
            <w:pPr>
              <w:keepNext/>
              <w:widowControl w:val="0"/>
              <w:suppressAutoHyphens w:val="0"/>
              <w:autoSpaceDE w:val="0"/>
              <w:autoSpaceDN w:val="0"/>
              <w:spacing w:before="55" w:after="0"/>
              <w:ind w:left="4" w:right="4"/>
              <w:jc w:val="center"/>
              <w:rPr>
                <w:rFonts w:eastAsia="Calibri"/>
                <w:spacing w:val="-5"/>
                <w:sz w:val="22"/>
                <w:szCs w:val="22"/>
              </w:rPr>
            </w:pPr>
            <w:r w:rsidRPr="00576AF8">
              <w:rPr>
                <w:rFonts w:eastAsia="Calibri"/>
                <w:spacing w:val="-2"/>
                <w:sz w:val="22"/>
                <w:szCs w:val="22"/>
              </w:rPr>
              <w:t>20/hora</w:t>
            </w:r>
          </w:p>
        </w:tc>
      </w:tr>
      <w:tr w:rsidR="009102A7" w:rsidRPr="00576AF8" w14:paraId="480C42C3" w14:textId="77777777" w:rsidTr="009F6B78">
        <w:trPr>
          <w:trHeight w:val="598"/>
        </w:trPr>
        <w:tc>
          <w:tcPr>
            <w:tcW w:w="1553" w:type="dxa"/>
            <w:tcBorders>
              <w:top w:val="nil"/>
              <w:bottom w:val="single" w:sz="4" w:space="0" w:color="auto"/>
            </w:tcBorders>
          </w:tcPr>
          <w:p w14:paraId="554F1D4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3" w:type="dxa"/>
            <w:tcBorders>
              <w:top w:val="nil"/>
              <w:bottom w:val="single" w:sz="4" w:space="0" w:color="auto"/>
            </w:tcBorders>
          </w:tcPr>
          <w:p w14:paraId="5722185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65" w:type="dxa"/>
            <w:tcBorders>
              <w:top w:val="nil"/>
              <w:bottom w:val="single" w:sz="4" w:space="0" w:color="auto"/>
            </w:tcBorders>
          </w:tcPr>
          <w:p w14:paraId="520D61C7"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695" w:type="dxa"/>
            <w:tcBorders>
              <w:top w:val="nil"/>
              <w:bottom w:val="single" w:sz="4" w:space="0" w:color="auto"/>
            </w:tcBorders>
          </w:tcPr>
          <w:p w14:paraId="666CFFC2" w14:textId="77777777" w:rsidR="009102A7" w:rsidRPr="00576AF8" w:rsidRDefault="009102A7" w:rsidP="009F6B78">
            <w:pPr>
              <w:widowControl w:val="0"/>
              <w:suppressAutoHyphens w:val="0"/>
              <w:autoSpaceDE w:val="0"/>
              <w:autoSpaceDN w:val="0"/>
              <w:spacing w:before="79" w:after="0"/>
              <w:jc w:val="left"/>
              <w:rPr>
                <w:rFonts w:eastAsia="Calibri"/>
                <w:spacing w:val="-2"/>
                <w:sz w:val="22"/>
                <w:szCs w:val="22"/>
              </w:rPr>
            </w:pPr>
            <w:r w:rsidRPr="00576AF8">
              <w:rPr>
                <w:rFonts w:eastAsia="Calibri"/>
                <w:sz w:val="22"/>
                <w:szCs w:val="22"/>
              </w:rPr>
              <w:t>Mensajes</w:t>
            </w:r>
            <w:r w:rsidRPr="00576AF8">
              <w:rPr>
                <w:rFonts w:eastAsia="Calibri"/>
                <w:spacing w:val="-10"/>
                <w:sz w:val="22"/>
                <w:szCs w:val="22"/>
              </w:rPr>
              <w:t xml:space="preserve"> </w:t>
            </w:r>
            <w:r w:rsidRPr="00576AF8">
              <w:rPr>
                <w:rFonts w:eastAsia="Calibri"/>
                <w:spacing w:val="-5"/>
                <w:sz w:val="22"/>
                <w:szCs w:val="22"/>
              </w:rPr>
              <w:t>de</w:t>
            </w:r>
            <w:r w:rsidRPr="00576AF8">
              <w:rPr>
                <w:rFonts w:eastAsia="Calibri"/>
                <w:spacing w:val="-2"/>
                <w:sz w:val="22"/>
                <w:szCs w:val="22"/>
              </w:rPr>
              <w:t xml:space="preserve"> operador</w:t>
            </w:r>
          </w:p>
          <w:p w14:paraId="7E9CA7F7" w14:textId="77777777" w:rsidR="009102A7" w:rsidRPr="00576AF8" w:rsidRDefault="009102A7" w:rsidP="009F6B78">
            <w:pPr>
              <w:widowControl w:val="0"/>
              <w:suppressAutoHyphens w:val="0"/>
              <w:autoSpaceDE w:val="0"/>
              <w:autoSpaceDN w:val="0"/>
              <w:spacing w:before="79" w:after="0"/>
              <w:jc w:val="left"/>
              <w:rPr>
                <w:rFonts w:eastAsia="Calibri"/>
                <w:spacing w:val="-2"/>
                <w:sz w:val="22"/>
                <w:szCs w:val="22"/>
              </w:rPr>
            </w:pPr>
          </w:p>
        </w:tc>
        <w:tc>
          <w:tcPr>
            <w:tcW w:w="1419" w:type="dxa"/>
            <w:tcBorders>
              <w:top w:val="nil"/>
              <w:bottom w:val="single" w:sz="4" w:space="0" w:color="auto"/>
            </w:tcBorders>
          </w:tcPr>
          <w:p w14:paraId="5AE49D8C" w14:textId="77777777" w:rsidR="009102A7" w:rsidRPr="00576AF8" w:rsidRDefault="009102A7" w:rsidP="009F6B78">
            <w:pPr>
              <w:widowControl w:val="0"/>
              <w:suppressAutoHyphens w:val="0"/>
              <w:autoSpaceDE w:val="0"/>
              <w:autoSpaceDN w:val="0"/>
              <w:spacing w:before="55" w:after="0"/>
              <w:jc w:val="left"/>
              <w:rPr>
                <w:rFonts w:eastAsia="Calibri"/>
                <w:b/>
                <w:sz w:val="22"/>
                <w:szCs w:val="22"/>
              </w:rPr>
            </w:pPr>
            <w:r w:rsidRPr="00576AF8">
              <w:rPr>
                <w:rFonts w:eastAsia="Calibri"/>
                <w:spacing w:val="-10"/>
                <w:sz w:val="22"/>
                <w:szCs w:val="22"/>
              </w:rPr>
              <w:t>-</w:t>
            </w:r>
          </w:p>
        </w:tc>
        <w:tc>
          <w:tcPr>
            <w:tcW w:w="1580" w:type="dxa"/>
            <w:tcBorders>
              <w:top w:val="nil"/>
              <w:bottom w:val="single" w:sz="4" w:space="0" w:color="auto"/>
            </w:tcBorders>
          </w:tcPr>
          <w:p w14:paraId="0F7CF694" w14:textId="77777777" w:rsidR="009102A7" w:rsidRPr="00576AF8" w:rsidRDefault="009102A7" w:rsidP="009F6B78">
            <w:pPr>
              <w:keepNext/>
              <w:widowControl w:val="0"/>
              <w:suppressAutoHyphens w:val="0"/>
              <w:autoSpaceDE w:val="0"/>
              <w:autoSpaceDN w:val="0"/>
              <w:spacing w:before="55" w:after="0"/>
              <w:ind w:left="4" w:right="4"/>
              <w:jc w:val="center"/>
              <w:rPr>
                <w:rFonts w:eastAsia="Calibri"/>
                <w:spacing w:val="-5"/>
                <w:sz w:val="22"/>
                <w:szCs w:val="22"/>
              </w:rPr>
            </w:pPr>
            <w:r w:rsidRPr="00576AF8">
              <w:rPr>
                <w:rFonts w:eastAsia="Calibri"/>
                <w:spacing w:val="-2"/>
                <w:sz w:val="22"/>
                <w:szCs w:val="22"/>
              </w:rPr>
              <w:t>10/hora</w:t>
            </w:r>
          </w:p>
        </w:tc>
      </w:tr>
    </w:tbl>
    <w:p w14:paraId="196A191F" w14:textId="77777777" w:rsidR="009102A7" w:rsidRPr="00576AF8" w:rsidRDefault="009102A7" w:rsidP="009102A7">
      <w:pPr>
        <w:rPr>
          <w:sz w:val="22"/>
          <w:szCs w:val="22"/>
        </w:rPr>
      </w:pPr>
    </w:p>
    <w:p w14:paraId="16526B6B" w14:textId="4B5D890B" w:rsidR="009102A7" w:rsidRPr="00576AF8" w:rsidRDefault="009102A7" w:rsidP="009102A7">
      <w:pPr>
        <w:spacing w:before="120"/>
        <w:jc w:val="center"/>
        <w:rPr>
          <w:b/>
          <w:sz w:val="22"/>
          <w:szCs w:val="22"/>
        </w:rPr>
      </w:pPr>
      <w:r w:rsidRPr="00576AF8">
        <w:rPr>
          <w:b/>
          <w:sz w:val="22"/>
          <w:szCs w:val="22"/>
        </w:rPr>
        <w:t xml:space="preserve">Tabla </w:t>
      </w:r>
      <w:r w:rsidR="000A4430">
        <w:rPr>
          <w:b/>
          <w:sz w:val="22"/>
          <w:szCs w:val="22"/>
        </w:rPr>
        <w:t>1</w:t>
      </w:r>
      <w:r w:rsidR="00467979" w:rsidRPr="00576AF8">
        <w:rPr>
          <w:b/>
          <w:sz w:val="22"/>
          <w:szCs w:val="22"/>
        </w:rPr>
        <w:t>5</w:t>
      </w:r>
      <w:r w:rsidRPr="00576AF8">
        <w:rPr>
          <w:b/>
          <w:sz w:val="22"/>
          <w:szCs w:val="22"/>
        </w:rPr>
        <w:t>.</w:t>
      </w:r>
      <w:r w:rsidR="00316C5A" w:rsidRPr="00576AF8">
        <w:rPr>
          <w:b/>
          <w:sz w:val="22"/>
          <w:szCs w:val="22"/>
        </w:rPr>
        <w:t xml:space="preserve"> </w:t>
      </w:r>
      <w:r w:rsidRPr="00576AF8">
        <w:rPr>
          <w:b/>
          <w:sz w:val="22"/>
          <w:szCs w:val="22"/>
        </w:rPr>
        <w:t>Datos de Intercambio entre Centros de Control</w:t>
      </w:r>
    </w:p>
    <w:bookmarkEnd w:id="1132"/>
    <w:p w14:paraId="72EFA157" w14:textId="77777777" w:rsidR="009102A7" w:rsidRPr="00576AF8" w:rsidRDefault="009102A7" w:rsidP="009102A7">
      <w:pPr>
        <w:rPr>
          <w:b/>
          <w:sz w:val="22"/>
          <w:szCs w:val="22"/>
        </w:rPr>
      </w:pPr>
    </w:p>
    <w:p w14:paraId="6E0D6CA8" w14:textId="77777777" w:rsidR="009102A7" w:rsidRPr="00576AF8" w:rsidRDefault="009102A7" w:rsidP="009102A7">
      <w:pPr>
        <w:rPr>
          <w:b/>
          <w:sz w:val="22"/>
          <w:szCs w:val="22"/>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2"/>
        <w:gridCol w:w="1574"/>
        <w:gridCol w:w="1574"/>
        <w:gridCol w:w="1574"/>
        <w:gridCol w:w="1576"/>
      </w:tblGrid>
      <w:tr w:rsidR="009102A7" w:rsidRPr="00576AF8" w14:paraId="7F961535" w14:textId="77777777" w:rsidTr="009F6B78">
        <w:trPr>
          <w:trHeight w:val="230"/>
        </w:trPr>
        <w:tc>
          <w:tcPr>
            <w:tcW w:w="3062" w:type="dxa"/>
            <w:vMerge w:val="restart"/>
          </w:tcPr>
          <w:p w14:paraId="140E5229" w14:textId="77777777" w:rsidR="009102A7" w:rsidRPr="00576AF8" w:rsidRDefault="009102A7" w:rsidP="009F6B78">
            <w:pPr>
              <w:widowControl w:val="0"/>
              <w:suppressAutoHyphens w:val="0"/>
              <w:autoSpaceDE w:val="0"/>
              <w:autoSpaceDN w:val="0"/>
              <w:spacing w:before="225" w:after="0"/>
              <w:jc w:val="left"/>
              <w:rPr>
                <w:rFonts w:eastAsia="Calibri"/>
                <w:b/>
                <w:sz w:val="22"/>
                <w:szCs w:val="22"/>
                <w:lang w:val="es-EC"/>
              </w:rPr>
            </w:pPr>
            <w:bookmarkStart w:id="1133" w:name="OLE_LINK9"/>
          </w:p>
          <w:p w14:paraId="04729C61" w14:textId="77777777" w:rsidR="009102A7" w:rsidRPr="00576AF8" w:rsidRDefault="009102A7" w:rsidP="009F6B78">
            <w:pPr>
              <w:widowControl w:val="0"/>
              <w:suppressAutoHyphens w:val="0"/>
              <w:autoSpaceDE w:val="0"/>
              <w:autoSpaceDN w:val="0"/>
              <w:spacing w:before="97" w:after="0" w:line="225" w:lineRule="exact"/>
              <w:ind w:left="115"/>
              <w:jc w:val="left"/>
              <w:rPr>
                <w:rFonts w:eastAsia="Calibri"/>
                <w:b/>
                <w:sz w:val="22"/>
                <w:szCs w:val="22"/>
              </w:rPr>
            </w:pPr>
            <w:r w:rsidRPr="00576AF8">
              <w:rPr>
                <w:rFonts w:eastAsia="Calibri"/>
                <w:b/>
                <w:sz w:val="22"/>
                <w:szCs w:val="22"/>
              </w:rPr>
              <w:t>Power</w:t>
            </w:r>
            <w:r w:rsidRPr="00576AF8">
              <w:rPr>
                <w:rFonts w:eastAsia="Calibri"/>
                <w:b/>
                <w:spacing w:val="-9"/>
                <w:sz w:val="22"/>
                <w:szCs w:val="22"/>
              </w:rPr>
              <w:t xml:space="preserve"> </w:t>
            </w:r>
            <w:r w:rsidRPr="00576AF8">
              <w:rPr>
                <w:rFonts w:eastAsia="Calibri"/>
                <w:b/>
                <w:sz w:val="22"/>
                <w:szCs w:val="22"/>
              </w:rPr>
              <w:t>System</w:t>
            </w:r>
            <w:r w:rsidRPr="00576AF8">
              <w:rPr>
                <w:rFonts w:eastAsia="Calibri"/>
                <w:b/>
                <w:spacing w:val="-8"/>
                <w:sz w:val="22"/>
                <w:szCs w:val="22"/>
              </w:rPr>
              <w:t xml:space="preserve"> </w:t>
            </w:r>
            <w:r w:rsidRPr="00576AF8">
              <w:rPr>
                <w:rFonts w:eastAsia="Calibri"/>
                <w:b/>
                <w:spacing w:val="-2"/>
                <w:sz w:val="22"/>
                <w:szCs w:val="22"/>
              </w:rPr>
              <w:t>Device</w:t>
            </w:r>
          </w:p>
        </w:tc>
        <w:tc>
          <w:tcPr>
            <w:tcW w:w="6298" w:type="dxa"/>
            <w:gridSpan w:val="4"/>
          </w:tcPr>
          <w:p w14:paraId="3BE5F288" w14:textId="77777777" w:rsidR="009102A7" w:rsidRPr="00576AF8" w:rsidRDefault="009102A7" w:rsidP="009F6B78">
            <w:pPr>
              <w:widowControl w:val="0"/>
              <w:suppressAutoHyphens w:val="0"/>
              <w:autoSpaceDE w:val="0"/>
              <w:autoSpaceDN w:val="0"/>
              <w:spacing w:before="97" w:after="0" w:line="210" w:lineRule="exact"/>
              <w:ind w:left="1975"/>
              <w:jc w:val="left"/>
              <w:rPr>
                <w:rFonts w:eastAsia="Calibri"/>
                <w:b/>
                <w:sz w:val="22"/>
                <w:szCs w:val="22"/>
              </w:rPr>
            </w:pPr>
            <w:r w:rsidRPr="00576AF8">
              <w:rPr>
                <w:rFonts w:eastAsia="Calibri"/>
                <w:b/>
                <w:sz w:val="22"/>
                <w:szCs w:val="22"/>
              </w:rPr>
              <w:t>Quantity</w:t>
            </w:r>
            <w:r w:rsidRPr="00576AF8">
              <w:rPr>
                <w:rFonts w:eastAsia="Calibri"/>
                <w:b/>
                <w:spacing w:val="-8"/>
                <w:sz w:val="22"/>
                <w:szCs w:val="22"/>
              </w:rPr>
              <w:t xml:space="preserve"> </w:t>
            </w:r>
            <w:r w:rsidRPr="00576AF8">
              <w:rPr>
                <w:rFonts w:eastAsia="Calibri"/>
                <w:b/>
                <w:sz w:val="22"/>
                <w:szCs w:val="22"/>
              </w:rPr>
              <w:t>(by</w:t>
            </w:r>
            <w:r w:rsidRPr="00576AF8">
              <w:rPr>
                <w:rFonts w:eastAsia="Calibri"/>
                <w:b/>
                <w:spacing w:val="-6"/>
                <w:sz w:val="22"/>
                <w:szCs w:val="22"/>
              </w:rPr>
              <w:t xml:space="preserve"> </w:t>
            </w:r>
            <w:r w:rsidRPr="00576AF8">
              <w:rPr>
                <w:rFonts w:eastAsia="Calibri"/>
                <w:b/>
                <w:spacing w:val="-2"/>
                <w:sz w:val="22"/>
                <w:szCs w:val="22"/>
              </w:rPr>
              <w:t>application)</w:t>
            </w:r>
          </w:p>
        </w:tc>
      </w:tr>
      <w:tr w:rsidR="009102A7" w:rsidRPr="00576AF8" w14:paraId="4A223A58" w14:textId="77777777" w:rsidTr="009F6B78">
        <w:trPr>
          <w:trHeight w:val="460"/>
        </w:trPr>
        <w:tc>
          <w:tcPr>
            <w:tcW w:w="3062" w:type="dxa"/>
            <w:vMerge/>
            <w:tcBorders>
              <w:top w:val="nil"/>
            </w:tcBorders>
          </w:tcPr>
          <w:p w14:paraId="3BB88F3C" w14:textId="77777777" w:rsidR="009102A7" w:rsidRPr="00576AF8" w:rsidRDefault="009102A7" w:rsidP="009F6B78">
            <w:pPr>
              <w:rPr>
                <w:sz w:val="22"/>
                <w:szCs w:val="22"/>
              </w:rPr>
            </w:pPr>
          </w:p>
        </w:tc>
        <w:tc>
          <w:tcPr>
            <w:tcW w:w="1574" w:type="dxa"/>
          </w:tcPr>
          <w:p w14:paraId="325BC9BD" w14:textId="77777777" w:rsidR="009102A7" w:rsidRPr="00576AF8" w:rsidRDefault="009102A7" w:rsidP="009F6B78">
            <w:pPr>
              <w:widowControl w:val="0"/>
              <w:suppressAutoHyphens w:val="0"/>
              <w:autoSpaceDE w:val="0"/>
              <w:autoSpaceDN w:val="0"/>
              <w:spacing w:before="97" w:after="0" w:line="228" w:lineRule="exact"/>
              <w:ind w:left="113" w:right="395"/>
              <w:jc w:val="left"/>
              <w:rPr>
                <w:rFonts w:eastAsia="Calibri"/>
                <w:b/>
                <w:sz w:val="22"/>
                <w:szCs w:val="22"/>
              </w:rPr>
            </w:pPr>
            <w:r w:rsidRPr="00576AF8">
              <w:rPr>
                <w:rFonts w:eastAsia="Calibri"/>
                <w:b/>
                <w:spacing w:val="-2"/>
                <w:sz w:val="22"/>
                <w:szCs w:val="22"/>
              </w:rPr>
              <w:t>Generation Control</w:t>
            </w:r>
          </w:p>
        </w:tc>
        <w:tc>
          <w:tcPr>
            <w:tcW w:w="1574" w:type="dxa"/>
          </w:tcPr>
          <w:p w14:paraId="06572271" w14:textId="77777777" w:rsidR="009102A7" w:rsidRPr="00576AF8" w:rsidRDefault="009102A7" w:rsidP="009F6B78">
            <w:pPr>
              <w:widowControl w:val="0"/>
              <w:suppressAutoHyphens w:val="0"/>
              <w:autoSpaceDE w:val="0"/>
              <w:autoSpaceDN w:val="0"/>
              <w:spacing w:before="97" w:after="0" w:line="228" w:lineRule="exact"/>
              <w:ind w:left="113" w:right="99"/>
              <w:jc w:val="left"/>
              <w:rPr>
                <w:rFonts w:eastAsia="Calibri"/>
                <w:b/>
                <w:sz w:val="22"/>
                <w:szCs w:val="22"/>
              </w:rPr>
            </w:pPr>
            <w:r w:rsidRPr="00576AF8">
              <w:rPr>
                <w:rFonts w:eastAsia="Calibri"/>
                <w:b/>
                <w:spacing w:val="-2"/>
                <w:sz w:val="22"/>
                <w:szCs w:val="22"/>
              </w:rPr>
              <w:t>Generation Scheduling</w:t>
            </w:r>
          </w:p>
        </w:tc>
        <w:tc>
          <w:tcPr>
            <w:tcW w:w="1574" w:type="dxa"/>
          </w:tcPr>
          <w:p w14:paraId="57D1072A" w14:textId="77777777" w:rsidR="009102A7" w:rsidRPr="00576AF8" w:rsidRDefault="009102A7" w:rsidP="009F6B78">
            <w:pPr>
              <w:widowControl w:val="0"/>
              <w:suppressAutoHyphens w:val="0"/>
              <w:autoSpaceDE w:val="0"/>
              <w:autoSpaceDN w:val="0"/>
              <w:spacing w:before="97" w:after="0" w:line="228" w:lineRule="exact"/>
              <w:ind w:left="116" w:right="99"/>
              <w:jc w:val="left"/>
              <w:rPr>
                <w:rFonts w:eastAsia="Calibri"/>
                <w:b/>
                <w:sz w:val="22"/>
                <w:szCs w:val="22"/>
              </w:rPr>
            </w:pPr>
            <w:r w:rsidRPr="00576AF8">
              <w:rPr>
                <w:rFonts w:eastAsia="Calibri"/>
                <w:b/>
                <w:spacing w:val="-4"/>
                <w:sz w:val="22"/>
                <w:szCs w:val="22"/>
              </w:rPr>
              <w:t>Power</w:t>
            </w:r>
            <w:r w:rsidRPr="00576AF8">
              <w:rPr>
                <w:rFonts w:eastAsia="Calibri"/>
                <w:b/>
                <w:spacing w:val="80"/>
                <w:sz w:val="22"/>
                <w:szCs w:val="22"/>
              </w:rPr>
              <w:t xml:space="preserve"> </w:t>
            </w:r>
            <w:r w:rsidRPr="00576AF8">
              <w:rPr>
                <w:rFonts w:eastAsia="Calibri"/>
                <w:b/>
                <w:sz w:val="22"/>
                <w:szCs w:val="22"/>
              </w:rPr>
              <w:t>System</w:t>
            </w:r>
            <w:r w:rsidRPr="00576AF8">
              <w:rPr>
                <w:rFonts w:eastAsia="Calibri"/>
                <w:b/>
                <w:spacing w:val="-14"/>
                <w:sz w:val="22"/>
                <w:szCs w:val="22"/>
              </w:rPr>
              <w:t xml:space="preserve"> </w:t>
            </w:r>
            <w:r w:rsidRPr="00576AF8">
              <w:rPr>
                <w:rFonts w:eastAsia="Calibri"/>
                <w:b/>
                <w:sz w:val="22"/>
                <w:szCs w:val="22"/>
              </w:rPr>
              <w:t>Model</w:t>
            </w:r>
          </w:p>
        </w:tc>
        <w:tc>
          <w:tcPr>
            <w:tcW w:w="1576" w:type="dxa"/>
          </w:tcPr>
          <w:p w14:paraId="090CC65B" w14:textId="77777777" w:rsidR="009102A7" w:rsidRPr="00576AF8" w:rsidRDefault="009102A7" w:rsidP="009F6B78">
            <w:pPr>
              <w:widowControl w:val="0"/>
              <w:suppressAutoHyphens w:val="0"/>
              <w:autoSpaceDE w:val="0"/>
              <w:autoSpaceDN w:val="0"/>
              <w:spacing w:before="97" w:after="0" w:line="227" w:lineRule="exact"/>
              <w:ind w:right="401"/>
              <w:jc w:val="right"/>
              <w:rPr>
                <w:rFonts w:eastAsia="Calibri"/>
                <w:b/>
                <w:sz w:val="22"/>
                <w:szCs w:val="22"/>
              </w:rPr>
            </w:pPr>
            <w:r w:rsidRPr="00576AF8">
              <w:rPr>
                <w:rFonts w:eastAsia="Calibri"/>
                <w:b/>
                <w:sz w:val="22"/>
                <w:szCs w:val="22"/>
              </w:rPr>
              <w:t>OTS</w:t>
            </w:r>
            <w:r w:rsidRPr="00576AF8">
              <w:rPr>
                <w:rFonts w:eastAsia="Calibri"/>
                <w:b/>
                <w:spacing w:val="-6"/>
                <w:sz w:val="22"/>
                <w:szCs w:val="22"/>
              </w:rPr>
              <w:t xml:space="preserve"> </w:t>
            </w:r>
            <w:r w:rsidRPr="00576AF8">
              <w:rPr>
                <w:rFonts w:eastAsia="Calibri"/>
                <w:b/>
                <w:spacing w:val="-2"/>
                <w:sz w:val="22"/>
                <w:szCs w:val="22"/>
              </w:rPr>
              <w:t>Model</w:t>
            </w:r>
          </w:p>
        </w:tc>
      </w:tr>
      <w:tr w:rsidR="009102A7" w:rsidRPr="00576AF8" w14:paraId="2501F49F" w14:textId="77777777" w:rsidTr="009F6B78">
        <w:trPr>
          <w:trHeight w:val="230"/>
        </w:trPr>
        <w:tc>
          <w:tcPr>
            <w:tcW w:w="3062" w:type="dxa"/>
          </w:tcPr>
          <w:p w14:paraId="1E251F08"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Generators</w:t>
            </w:r>
          </w:p>
        </w:tc>
        <w:tc>
          <w:tcPr>
            <w:tcW w:w="1574" w:type="dxa"/>
          </w:tcPr>
          <w:p w14:paraId="11244050" w14:textId="77777777" w:rsidR="009102A7" w:rsidRPr="00576AF8" w:rsidRDefault="009102A7" w:rsidP="009F6B78">
            <w:pPr>
              <w:widowControl w:val="0"/>
              <w:suppressAutoHyphens w:val="0"/>
              <w:autoSpaceDE w:val="0"/>
              <w:autoSpaceDN w:val="0"/>
              <w:spacing w:before="97" w:after="0" w:line="210" w:lineRule="exact"/>
              <w:ind w:left="10" w:right="8"/>
              <w:jc w:val="center"/>
              <w:rPr>
                <w:rFonts w:eastAsia="Calibri"/>
                <w:sz w:val="22"/>
                <w:szCs w:val="22"/>
              </w:rPr>
            </w:pPr>
            <w:r w:rsidRPr="00576AF8">
              <w:rPr>
                <w:rFonts w:eastAsia="Calibri"/>
                <w:spacing w:val="-5"/>
                <w:sz w:val="22"/>
                <w:szCs w:val="22"/>
              </w:rPr>
              <w:t>500</w:t>
            </w:r>
          </w:p>
        </w:tc>
        <w:tc>
          <w:tcPr>
            <w:tcW w:w="1574" w:type="dxa"/>
          </w:tcPr>
          <w:p w14:paraId="36C3FEB3" w14:textId="45FF02D3" w:rsidR="009102A7" w:rsidRPr="00576AF8" w:rsidRDefault="00A22988" w:rsidP="009F6B78">
            <w:pPr>
              <w:widowControl w:val="0"/>
              <w:suppressAutoHyphens w:val="0"/>
              <w:autoSpaceDE w:val="0"/>
              <w:autoSpaceDN w:val="0"/>
              <w:spacing w:before="97" w:after="0" w:line="210" w:lineRule="exact"/>
              <w:ind w:left="10" w:right="9"/>
              <w:jc w:val="center"/>
              <w:rPr>
                <w:rFonts w:eastAsia="Calibri"/>
                <w:sz w:val="22"/>
                <w:szCs w:val="22"/>
              </w:rPr>
            </w:pPr>
            <w:r>
              <w:rPr>
                <w:rFonts w:eastAsia="Calibri"/>
                <w:spacing w:val="-5"/>
                <w:sz w:val="22"/>
                <w:szCs w:val="22"/>
              </w:rPr>
              <w:t>1400</w:t>
            </w:r>
          </w:p>
        </w:tc>
        <w:tc>
          <w:tcPr>
            <w:tcW w:w="1574" w:type="dxa"/>
          </w:tcPr>
          <w:p w14:paraId="180EF75D"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4"/>
                <w:sz w:val="22"/>
                <w:szCs w:val="22"/>
              </w:rPr>
              <w:t>1400</w:t>
            </w:r>
          </w:p>
        </w:tc>
        <w:tc>
          <w:tcPr>
            <w:tcW w:w="1576" w:type="dxa"/>
          </w:tcPr>
          <w:p w14:paraId="11347890"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0FDD81B2" w14:textId="77777777" w:rsidTr="009F6B78">
        <w:trPr>
          <w:trHeight w:val="230"/>
        </w:trPr>
        <w:tc>
          <w:tcPr>
            <w:tcW w:w="3062" w:type="dxa"/>
          </w:tcPr>
          <w:p w14:paraId="5712361A"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Plants</w:t>
            </w:r>
          </w:p>
        </w:tc>
        <w:tc>
          <w:tcPr>
            <w:tcW w:w="1574" w:type="dxa"/>
          </w:tcPr>
          <w:p w14:paraId="70B26214" w14:textId="77777777" w:rsidR="009102A7" w:rsidRPr="00576AF8" w:rsidRDefault="009102A7" w:rsidP="009F6B78">
            <w:pPr>
              <w:widowControl w:val="0"/>
              <w:suppressAutoHyphens w:val="0"/>
              <w:autoSpaceDE w:val="0"/>
              <w:autoSpaceDN w:val="0"/>
              <w:spacing w:before="97" w:after="0" w:line="210" w:lineRule="exact"/>
              <w:ind w:left="10" w:right="9"/>
              <w:jc w:val="center"/>
              <w:rPr>
                <w:rFonts w:eastAsia="Calibri"/>
                <w:sz w:val="22"/>
                <w:szCs w:val="22"/>
              </w:rPr>
            </w:pPr>
            <w:r w:rsidRPr="00576AF8">
              <w:rPr>
                <w:rFonts w:eastAsia="Calibri"/>
                <w:spacing w:val="-5"/>
                <w:sz w:val="22"/>
                <w:szCs w:val="22"/>
              </w:rPr>
              <w:t>100</w:t>
            </w:r>
          </w:p>
        </w:tc>
        <w:tc>
          <w:tcPr>
            <w:tcW w:w="1574" w:type="dxa"/>
          </w:tcPr>
          <w:p w14:paraId="066982EB" w14:textId="77777777" w:rsidR="009102A7" w:rsidRPr="00576AF8" w:rsidRDefault="009102A7" w:rsidP="009F6B78">
            <w:pPr>
              <w:widowControl w:val="0"/>
              <w:suppressAutoHyphens w:val="0"/>
              <w:autoSpaceDE w:val="0"/>
              <w:autoSpaceDN w:val="0"/>
              <w:spacing w:before="97" w:after="0" w:line="210" w:lineRule="exact"/>
              <w:ind w:left="10" w:right="8"/>
              <w:jc w:val="center"/>
              <w:rPr>
                <w:rFonts w:eastAsia="Calibri"/>
                <w:sz w:val="22"/>
                <w:szCs w:val="22"/>
              </w:rPr>
            </w:pPr>
            <w:r w:rsidRPr="00576AF8">
              <w:rPr>
                <w:rFonts w:eastAsia="Calibri"/>
                <w:spacing w:val="-5"/>
                <w:sz w:val="22"/>
                <w:szCs w:val="22"/>
              </w:rPr>
              <w:t>120</w:t>
            </w:r>
          </w:p>
        </w:tc>
        <w:tc>
          <w:tcPr>
            <w:tcW w:w="1574" w:type="dxa"/>
          </w:tcPr>
          <w:p w14:paraId="18D02958"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5"/>
                <w:sz w:val="22"/>
                <w:szCs w:val="22"/>
              </w:rPr>
              <w:t>400</w:t>
            </w:r>
          </w:p>
        </w:tc>
        <w:tc>
          <w:tcPr>
            <w:tcW w:w="1576" w:type="dxa"/>
          </w:tcPr>
          <w:p w14:paraId="04CEE2C0"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743FE4C4" w14:textId="77777777" w:rsidTr="009F6B78">
        <w:trPr>
          <w:trHeight w:val="230"/>
        </w:trPr>
        <w:tc>
          <w:tcPr>
            <w:tcW w:w="3062" w:type="dxa"/>
          </w:tcPr>
          <w:p w14:paraId="3FC54801"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Tie</w:t>
            </w:r>
            <w:r w:rsidRPr="00576AF8">
              <w:rPr>
                <w:rFonts w:eastAsia="Calibri"/>
                <w:spacing w:val="-4"/>
                <w:sz w:val="22"/>
                <w:szCs w:val="22"/>
              </w:rPr>
              <w:t xml:space="preserve"> </w:t>
            </w:r>
            <w:r w:rsidRPr="00576AF8">
              <w:rPr>
                <w:rFonts w:eastAsia="Calibri"/>
                <w:spacing w:val="-2"/>
                <w:sz w:val="22"/>
                <w:szCs w:val="22"/>
              </w:rPr>
              <w:t>Lines</w:t>
            </w:r>
          </w:p>
        </w:tc>
        <w:tc>
          <w:tcPr>
            <w:tcW w:w="1574" w:type="dxa"/>
          </w:tcPr>
          <w:p w14:paraId="0E682D00" w14:textId="77777777" w:rsidR="009102A7" w:rsidRPr="00576AF8" w:rsidRDefault="009102A7" w:rsidP="009F6B78">
            <w:pPr>
              <w:widowControl w:val="0"/>
              <w:suppressAutoHyphens w:val="0"/>
              <w:autoSpaceDE w:val="0"/>
              <w:autoSpaceDN w:val="0"/>
              <w:spacing w:before="97" w:after="0" w:line="210" w:lineRule="exact"/>
              <w:ind w:left="10" w:right="8"/>
              <w:jc w:val="center"/>
              <w:rPr>
                <w:rFonts w:eastAsia="Calibri"/>
                <w:sz w:val="22"/>
                <w:szCs w:val="22"/>
              </w:rPr>
            </w:pPr>
            <w:r w:rsidRPr="00576AF8">
              <w:rPr>
                <w:rFonts w:eastAsia="Calibri"/>
                <w:spacing w:val="-5"/>
                <w:sz w:val="22"/>
                <w:szCs w:val="22"/>
              </w:rPr>
              <w:t>50</w:t>
            </w:r>
          </w:p>
        </w:tc>
        <w:tc>
          <w:tcPr>
            <w:tcW w:w="1574" w:type="dxa"/>
          </w:tcPr>
          <w:p w14:paraId="4D931C49"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1FB0FAB5"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5"/>
                <w:sz w:val="22"/>
                <w:szCs w:val="22"/>
              </w:rPr>
              <w:t>100</w:t>
            </w:r>
          </w:p>
        </w:tc>
        <w:tc>
          <w:tcPr>
            <w:tcW w:w="1576" w:type="dxa"/>
          </w:tcPr>
          <w:p w14:paraId="638EB197"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6"/>
                <w:sz w:val="22"/>
                <w:szCs w:val="22"/>
              </w:rPr>
              <w:t xml:space="preserve"> </w:t>
            </w:r>
            <w:r w:rsidRPr="00576AF8">
              <w:rPr>
                <w:rFonts w:eastAsia="Calibri"/>
                <w:spacing w:val="-5"/>
                <w:sz w:val="22"/>
                <w:szCs w:val="22"/>
              </w:rPr>
              <w:t>PSM</w:t>
            </w:r>
          </w:p>
        </w:tc>
      </w:tr>
      <w:tr w:rsidR="009102A7" w:rsidRPr="00576AF8" w14:paraId="087D134D" w14:textId="77777777" w:rsidTr="009F6B78">
        <w:trPr>
          <w:trHeight w:val="230"/>
        </w:trPr>
        <w:tc>
          <w:tcPr>
            <w:tcW w:w="3062" w:type="dxa"/>
          </w:tcPr>
          <w:p w14:paraId="52381728"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Control</w:t>
            </w:r>
            <w:r w:rsidRPr="00576AF8">
              <w:rPr>
                <w:rFonts w:eastAsia="Calibri"/>
                <w:spacing w:val="-9"/>
                <w:sz w:val="22"/>
                <w:szCs w:val="22"/>
              </w:rPr>
              <w:t xml:space="preserve"> </w:t>
            </w:r>
            <w:r w:rsidRPr="00576AF8">
              <w:rPr>
                <w:rFonts w:eastAsia="Calibri"/>
                <w:spacing w:val="-2"/>
                <w:sz w:val="22"/>
                <w:szCs w:val="22"/>
              </w:rPr>
              <w:t>Areas</w:t>
            </w:r>
          </w:p>
        </w:tc>
        <w:tc>
          <w:tcPr>
            <w:tcW w:w="1574" w:type="dxa"/>
          </w:tcPr>
          <w:p w14:paraId="4CDD3F5C" w14:textId="77777777" w:rsidR="009102A7" w:rsidRPr="00576AF8" w:rsidRDefault="009102A7" w:rsidP="009F6B78">
            <w:pPr>
              <w:widowControl w:val="0"/>
              <w:suppressAutoHyphens w:val="0"/>
              <w:autoSpaceDE w:val="0"/>
              <w:autoSpaceDN w:val="0"/>
              <w:spacing w:before="97" w:after="0" w:line="210" w:lineRule="exact"/>
              <w:ind w:left="10" w:right="9"/>
              <w:jc w:val="center"/>
              <w:rPr>
                <w:rFonts w:eastAsia="Calibri"/>
                <w:sz w:val="22"/>
                <w:szCs w:val="22"/>
              </w:rPr>
            </w:pPr>
            <w:r w:rsidRPr="00576AF8">
              <w:rPr>
                <w:rFonts w:eastAsia="Calibri"/>
                <w:spacing w:val="-5"/>
                <w:sz w:val="22"/>
                <w:szCs w:val="22"/>
              </w:rPr>
              <w:t>10</w:t>
            </w:r>
          </w:p>
        </w:tc>
        <w:tc>
          <w:tcPr>
            <w:tcW w:w="1574" w:type="dxa"/>
          </w:tcPr>
          <w:p w14:paraId="5ED4807D" w14:textId="77777777" w:rsidR="009102A7" w:rsidRPr="00576AF8" w:rsidRDefault="009102A7" w:rsidP="009F6B78">
            <w:pPr>
              <w:widowControl w:val="0"/>
              <w:suppressAutoHyphens w:val="0"/>
              <w:autoSpaceDE w:val="0"/>
              <w:autoSpaceDN w:val="0"/>
              <w:spacing w:before="97" w:after="0" w:line="210" w:lineRule="exact"/>
              <w:ind w:left="10" w:right="8"/>
              <w:jc w:val="center"/>
              <w:rPr>
                <w:rFonts w:eastAsia="Calibri"/>
                <w:sz w:val="22"/>
                <w:szCs w:val="22"/>
              </w:rPr>
            </w:pPr>
            <w:r w:rsidRPr="00576AF8">
              <w:rPr>
                <w:rFonts w:eastAsia="Calibri"/>
                <w:spacing w:val="-5"/>
                <w:sz w:val="22"/>
                <w:szCs w:val="22"/>
              </w:rPr>
              <w:t>10</w:t>
            </w:r>
          </w:p>
        </w:tc>
        <w:tc>
          <w:tcPr>
            <w:tcW w:w="1574" w:type="dxa"/>
          </w:tcPr>
          <w:p w14:paraId="195233F9"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5"/>
                <w:sz w:val="22"/>
                <w:szCs w:val="22"/>
              </w:rPr>
              <w:t>50</w:t>
            </w:r>
          </w:p>
        </w:tc>
        <w:tc>
          <w:tcPr>
            <w:tcW w:w="1576" w:type="dxa"/>
          </w:tcPr>
          <w:p w14:paraId="01A094E7"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6"/>
                <w:sz w:val="22"/>
                <w:szCs w:val="22"/>
              </w:rPr>
              <w:t xml:space="preserve"> </w:t>
            </w:r>
            <w:r w:rsidRPr="00576AF8">
              <w:rPr>
                <w:rFonts w:eastAsia="Calibri"/>
                <w:spacing w:val="-5"/>
                <w:sz w:val="22"/>
                <w:szCs w:val="22"/>
              </w:rPr>
              <w:t>PSM</w:t>
            </w:r>
          </w:p>
        </w:tc>
      </w:tr>
      <w:tr w:rsidR="009102A7" w:rsidRPr="00576AF8" w14:paraId="7FB77606" w14:textId="77777777" w:rsidTr="009F6B78">
        <w:trPr>
          <w:trHeight w:val="230"/>
        </w:trPr>
        <w:tc>
          <w:tcPr>
            <w:tcW w:w="3062" w:type="dxa"/>
          </w:tcPr>
          <w:p w14:paraId="415A18FC"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External</w:t>
            </w:r>
            <w:r w:rsidRPr="00576AF8">
              <w:rPr>
                <w:rFonts w:eastAsia="Calibri"/>
                <w:spacing w:val="-11"/>
                <w:sz w:val="22"/>
                <w:szCs w:val="22"/>
              </w:rPr>
              <w:t xml:space="preserve"> </w:t>
            </w:r>
            <w:r w:rsidRPr="00576AF8">
              <w:rPr>
                <w:rFonts w:eastAsia="Calibri"/>
                <w:spacing w:val="-2"/>
                <w:sz w:val="22"/>
                <w:szCs w:val="22"/>
              </w:rPr>
              <w:t>Companies</w:t>
            </w:r>
          </w:p>
        </w:tc>
        <w:tc>
          <w:tcPr>
            <w:tcW w:w="1574" w:type="dxa"/>
          </w:tcPr>
          <w:p w14:paraId="387D60BD"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3CF50515"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1ED0C8FA"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5"/>
                <w:sz w:val="22"/>
                <w:szCs w:val="22"/>
              </w:rPr>
              <w:t>20</w:t>
            </w:r>
          </w:p>
        </w:tc>
        <w:tc>
          <w:tcPr>
            <w:tcW w:w="1576" w:type="dxa"/>
          </w:tcPr>
          <w:p w14:paraId="4ABAEA33"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6"/>
                <w:sz w:val="22"/>
                <w:szCs w:val="22"/>
              </w:rPr>
              <w:t xml:space="preserve"> </w:t>
            </w:r>
            <w:r w:rsidRPr="00576AF8">
              <w:rPr>
                <w:rFonts w:eastAsia="Calibri"/>
                <w:spacing w:val="-5"/>
                <w:sz w:val="22"/>
                <w:szCs w:val="22"/>
              </w:rPr>
              <w:t>PSM</w:t>
            </w:r>
          </w:p>
        </w:tc>
      </w:tr>
      <w:tr w:rsidR="009102A7" w:rsidRPr="00576AF8" w14:paraId="7CB15C1B" w14:textId="77777777" w:rsidTr="009F6B78">
        <w:trPr>
          <w:trHeight w:val="230"/>
        </w:trPr>
        <w:tc>
          <w:tcPr>
            <w:tcW w:w="3062" w:type="dxa"/>
          </w:tcPr>
          <w:p w14:paraId="3C37B9AB"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Substations</w:t>
            </w:r>
          </w:p>
        </w:tc>
        <w:tc>
          <w:tcPr>
            <w:tcW w:w="1574" w:type="dxa"/>
          </w:tcPr>
          <w:p w14:paraId="40DAA7C4"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10"/>
                <w:sz w:val="22"/>
                <w:szCs w:val="22"/>
              </w:rPr>
              <w:t>-</w:t>
            </w:r>
          </w:p>
        </w:tc>
        <w:tc>
          <w:tcPr>
            <w:tcW w:w="1574" w:type="dxa"/>
          </w:tcPr>
          <w:p w14:paraId="1F62F175"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10"/>
                <w:sz w:val="22"/>
                <w:szCs w:val="22"/>
              </w:rPr>
              <w:t>-</w:t>
            </w:r>
          </w:p>
        </w:tc>
        <w:tc>
          <w:tcPr>
            <w:tcW w:w="1574" w:type="dxa"/>
          </w:tcPr>
          <w:p w14:paraId="31D5D485"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4"/>
                <w:sz w:val="22"/>
                <w:szCs w:val="22"/>
              </w:rPr>
              <w:t>1700</w:t>
            </w:r>
          </w:p>
        </w:tc>
        <w:tc>
          <w:tcPr>
            <w:tcW w:w="1576" w:type="dxa"/>
          </w:tcPr>
          <w:p w14:paraId="7346C2F0" w14:textId="77777777" w:rsidR="009102A7" w:rsidRPr="00576AF8" w:rsidRDefault="009102A7" w:rsidP="009F6B78">
            <w:pPr>
              <w:widowControl w:val="0"/>
              <w:suppressAutoHyphens w:val="0"/>
              <w:autoSpaceDE w:val="0"/>
              <w:autoSpaceDN w:val="0"/>
              <w:spacing w:before="97" w:after="0" w:line="210" w:lineRule="exact"/>
              <w:ind w:right="390"/>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3ECB1D34" w14:textId="77777777" w:rsidTr="009F6B78">
        <w:trPr>
          <w:trHeight w:val="230"/>
        </w:trPr>
        <w:tc>
          <w:tcPr>
            <w:tcW w:w="3062" w:type="dxa"/>
          </w:tcPr>
          <w:p w14:paraId="3B277FCE"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Buses</w:t>
            </w:r>
          </w:p>
        </w:tc>
        <w:tc>
          <w:tcPr>
            <w:tcW w:w="1574" w:type="dxa"/>
          </w:tcPr>
          <w:p w14:paraId="755ECF62"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5146E2BA" w14:textId="77777777" w:rsidR="009102A7" w:rsidRPr="00576AF8" w:rsidRDefault="009102A7" w:rsidP="009F6B78">
            <w:pPr>
              <w:widowControl w:val="0"/>
              <w:suppressAutoHyphens w:val="0"/>
              <w:autoSpaceDE w:val="0"/>
              <w:autoSpaceDN w:val="0"/>
              <w:spacing w:before="97" w:after="0" w:line="210" w:lineRule="exact"/>
              <w:ind w:left="10" w:right="6"/>
              <w:jc w:val="center"/>
              <w:rPr>
                <w:rFonts w:eastAsia="Calibri"/>
                <w:sz w:val="22"/>
                <w:szCs w:val="22"/>
              </w:rPr>
            </w:pPr>
            <w:r w:rsidRPr="00576AF8">
              <w:rPr>
                <w:rFonts w:eastAsia="Calibri"/>
                <w:spacing w:val="-10"/>
                <w:sz w:val="22"/>
                <w:szCs w:val="22"/>
              </w:rPr>
              <w:t>-</w:t>
            </w:r>
          </w:p>
        </w:tc>
        <w:tc>
          <w:tcPr>
            <w:tcW w:w="1574" w:type="dxa"/>
          </w:tcPr>
          <w:p w14:paraId="2774EACA" w14:textId="77777777" w:rsidR="009102A7" w:rsidRPr="00576AF8" w:rsidRDefault="009102A7" w:rsidP="009F6B78">
            <w:pPr>
              <w:widowControl w:val="0"/>
              <w:suppressAutoHyphens w:val="0"/>
              <w:autoSpaceDE w:val="0"/>
              <w:autoSpaceDN w:val="0"/>
              <w:spacing w:before="97" w:after="0" w:line="210" w:lineRule="exact"/>
              <w:ind w:left="10" w:right="2"/>
              <w:jc w:val="center"/>
              <w:rPr>
                <w:rFonts w:eastAsia="Calibri"/>
                <w:sz w:val="22"/>
                <w:szCs w:val="22"/>
              </w:rPr>
            </w:pPr>
            <w:r w:rsidRPr="00576AF8">
              <w:rPr>
                <w:rFonts w:eastAsia="Calibri"/>
                <w:spacing w:val="-4"/>
                <w:sz w:val="22"/>
                <w:szCs w:val="22"/>
              </w:rPr>
              <w:t>6000</w:t>
            </w:r>
          </w:p>
        </w:tc>
        <w:tc>
          <w:tcPr>
            <w:tcW w:w="1576" w:type="dxa"/>
          </w:tcPr>
          <w:p w14:paraId="4B600C77"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389D6262" w14:textId="77777777" w:rsidTr="009F6B78">
        <w:trPr>
          <w:trHeight w:val="230"/>
        </w:trPr>
        <w:tc>
          <w:tcPr>
            <w:tcW w:w="3062" w:type="dxa"/>
          </w:tcPr>
          <w:p w14:paraId="112C23EB"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Switching</w:t>
            </w:r>
            <w:r w:rsidRPr="00576AF8">
              <w:rPr>
                <w:rFonts w:eastAsia="Calibri"/>
                <w:spacing w:val="-10"/>
                <w:sz w:val="22"/>
                <w:szCs w:val="22"/>
              </w:rPr>
              <w:t xml:space="preserve"> </w:t>
            </w:r>
            <w:r w:rsidRPr="00576AF8">
              <w:rPr>
                <w:rFonts w:eastAsia="Calibri"/>
                <w:spacing w:val="-2"/>
                <w:sz w:val="22"/>
                <w:szCs w:val="22"/>
              </w:rPr>
              <w:t>Devices</w:t>
            </w:r>
          </w:p>
        </w:tc>
        <w:tc>
          <w:tcPr>
            <w:tcW w:w="1574" w:type="dxa"/>
          </w:tcPr>
          <w:p w14:paraId="656AA18C"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10"/>
                <w:sz w:val="22"/>
                <w:szCs w:val="22"/>
              </w:rPr>
              <w:t>-</w:t>
            </w:r>
          </w:p>
        </w:tc>
        <w:tc>
          <w:tcPr>
            <w:tcW w:w="1574" w:type="dxa"/>
          </w:tcPr>
          <w:p w14:paraId="46C45405"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74D82DB0" w14:textId="77777777" w:rsidR="009102A7" w:rsidRPr="00576AF8" w:rsidRDefault="009102A7" w:rsidP="009F6B78">
            <w:pPr>
              <w:widowControl w:val="0"/>
              <w:suppressAutoHyphens w:val="0"/>
              <w:autoSpaceDE w:val="0"/>
              <w:autoSpaceDN w:val="0"/>
              <w:spacing w:before="97" w:after="0" w:line="210" w:lineRule="exact"/>
              <w:ind w:left="10"/>
              <w:jc w:val="center"/>
              <w:rPr>
                <w:rFonts w:eastAsia="Calibri"/>
                <w:sz w:val="22"/>
                <w:szCs w:val="22"/>
              </w:rPr>
            </w:pPr>
            <w:r w:rsidRPr="00576AF8">
              <w:rPr>
                <w:rFonts w:eastAsia="Calibri"/>
                <w:spacing w:val="-2"/>
                <w:sz w:val="22"/>
                <w:szCs w:val="22"/>
              </w:rPr>
              <w:t>40000</w:t>
            </w:r>
          </w:p>
        </w:tc>
        <w:tc>
          <w:tcPr>
            <w:tcW w:w="1576" w:type="dxa"/>
          </w:tcPr>
          <w:p w14:paraId="245DAC08"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480B43D1" w14:textId="77777777" w:rsidTr="009F6B78">
        <w:trPr>
          <w:trHeight w:val="230"/>
        </w:trPr>
        <w:tc>
          <w:tcPr>
            <w:tcW w:w="3062" w:type="dxa"/>
          </w:tcPr>
          <w:p w14:paraId="08D41B47"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Transmission</w:t>
            </w:r>
            <w:r w:rsidRPr="00576AF8">
              <w:rPr>
                <w:rFonts w:eastAsia="Calibri"/>
                <w:spacing w:val="-12"/>
                <w:sz w:val="22"/>
                <w:szCs w:val="22"/>
              </w:rPr>
              <w:t xml:space="preserve"> </w:t>
            </w:r>
            <w:r w:rsidRPr="00576AF8">
              <w:rPr>
                <w:rFonts w:eastAsia="Calibri"/>
                <w:spacing w:val="-4"/>
                <w:sz w:val="22"/>
                <w:szCs w:val="22"/>
              </w:rPr>
              <w:t>Lines</w:t>
            </w:r>
          </w:p>
        </w:tc>
        <w:tc>
          <w:tcPr>
            <w:tcW w:w="1574" w:type="dxa"/>
          </w:tcPr>
          <w:p w14:paraId="4C2725D2"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14E2B784"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58A70EB4"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4"/>
                <w:sz w:val="22"/>
                <w:szCs w:val="22"/>
              </w:rPr>
              <w:t>3300</w:t>
            </w:r>
          </w:p>
        </w:tc>
        <w:tc>
          <w:tcPr>
            <w:tcW w:w="1576" w:type="dxa"/>
          </w:tcPr>
          <w:p w14:paraId="1BEC01BC"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6615B660" w14:textId="77777777" w:rsidTr="009F6B78">
        <w:trPr>
          <w:trHeight w:val="230"/>
        </w:trPr>
        <w:tc>
          <w:tcPr>
            <w:tcW w:w="3062" w:type="dxa"/>
          </w:tcPr>
          <w:p w14:paraId="73357D71"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HVDC</w:t>
            </w:r>
            <w:r w:rsidRPr="00576AF8">
              <w:rPr>
                <w:rFonts w:eastAsia="Calibri"/>
                <w:spacing w:val="-5"/>
                <w:sz w:val="22"/>
                <w:szCs w:val="22"/>
              </w:rPr>
              <w:t xml:space="preserve"> </w:t>
            </w:r>
            <w:r w:rsidRPr="00576AF8">
              <w:rPr>
                <w:rFonts w:eastAsia="Calibri"/>
                <w:spacing w:val="-2"/>
                <w:sz w:val="22"/>
                <w:szCs w:val="22"/>
              </w:rPr>
              <w:t>Lines</w:t>
            </w:r>
          </w:p>
        </w:tc>
        <w:tc>
          <w:tcPr>
            <w:tcW w:w="1574" w:type="dxa"/>
          </w:tcPr>
          <w:p w14:paraId="661A540E"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6</w:t>
            </w:r>
          </w:p>
        </w:tc>
        <w:tc>
          <w:tcPr>
            <w:tcW w:w="1574" w:type="dxa"/>
          </w:tcPr>
          <w:p w14:paraId="1B178E9B"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6</w:t>
            </w:r>
          </w:p>
        </w:tc>
        <w:tc>
          <w:tcPr>
            <w:tcW w:w="1574" w:type="dxa"/>
          </w:tcPr>
          <w:p w14:paraId="71C68AE6" w14:textId="77777777" w:rsidR="009102A7" w:rsidRPr="00576AF8" w:rsidRDefault="009102A7" w:rsidP="009F6B78">
            <w:pPr>
              <w:widowControl w:val="0"/>
              <w:suppressAutoHyphens w:val="0"/>
              <w:autoSpaceDE w:val="0"/>
              <w:autoSpaceDN w:val="0"/>
              <w:spacing w:before="97" w:after="0" w:line="210" w:lineRule="exact"/>
              <w:ind w:left="10" w:right="2"/>
              <w:jc w:val="center"/>
              <w:rPr>
                <w:rFonts w:eastAsia="Calibri"/>
                <w:sz w:val="22"/>
                <w:szCs w:val="22"/>
              </w:rPr>
            </w:pPr>
            <w:r w:rsidRPr="00576AF8">
              <w:rPr>
                <w:rFonts w:eastAsia="Calibri"/>
                <w:spacing w:val="-5"/>
                <w:sz w:val="22"/>
                <w:szCs w:val="22"/>
              </w:rPr>
              <w:t>10</w:t>
            </w:r>
          </w:p>
        </w:tc>
        <w:tc>
          <w:tcPr>
            <w:tcW w:w="1576" w:type="dxa"/>
          </w:tcPr>
          <w:p w14:paraId="68CB9B67"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0513F870" w14:textId="77777777" w:rsidTr="009F6B78">
        <w:trPr>
          <w:trHeight w:val="230"/>
        </w:trPr>
        <w:tc>
          <w:tcPr>
            <w:tcW w:w="3062" w:type="dxa"/>
          </w:tcPr>
          <w:p w14:paraId="6A0279A8"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Fixed</w:t>
            </w:r>
            <w:r w:rsidRPr="00576AF8">
              <w:rPr>
                <w:rFonts w:eastAsia="Calibri"/>
                <w:spacing w:val="-5"/>
                <w:sz w:val="22"/>
                <w:szCs w:val="22"/>
              </w:rPr>
              <w:t xml:space="preserve"> </w:t>
            </w:r>
            <w:r w:rsidRPr="00576AF8">
              <w:rPr>
                <w:rFonts w:eastAsia="Calibri"/>
                <w:sz w:val="22"/>
                <w:szCs w:val="22"/>
              </w:rPr>
              <w:t>Tap</w:t>
            </w:r>
            <w:r w:rsidRPr="00576AF8">
              <w:rPr>
                <w:rFonts w:eastAsia="Calibri"/>
                <w:spacing w:val="-6"/>
                <w:sz w:val="22"/>
                <w:szCs w:val="22"/>
              </w:rPr>
              <w:t xml:space="preserve"> </w:t>
            </w:r>
            <w:r w:rsidRPr="00576AF8">
              <w:rPr>
                <w:rFonts w:eastAsia="Calibri"/>
                <w:spacing w:val="-2"/>
                <w:sz w:val="22"/>
                <w:szCs w:val="22"/>
              </w:rPr>
              <w:t>Transformers</w:t>
            </w:r>
          </w:p>
        </w:tc>
        <w:tc>
          <w:tcPr>
            <w:tcW w:w="1574" w:type="dxa"/>
          </w:tcPr>
          <w:p w14:paraId="7C021ABD"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10"/>
                <w:sz w:val="22"/>
                <w:szCs w:val="22"/>
              </w:rPr>
              <w:t>-</w:t>
            </w:r>
          </w:p>
        </w:tc>
        <w:tc>
          <w:tcPr>
            <w:tcW w:w="1574" w:type="dxa"/>
          </w:tcPr>
          <w:p w14:paraId="77C8B666"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6A0A5D11" w14:textId="631C25E7" w:rsidR="009102A7" w:rsidRPr="00576AF8" w:rsidRDefault="00A22988" w:rsidP="009F6B78">
            <w:pPr>
              <w:widowControl w:val="0"/>
              <w:suppressAutoHyphens w:val="0"/>
              <w:autoSpaceDE w:val="0"/>
              <w:autoSpaceDN w:val="0"/>
              <w:spacing w:before="97" w:after="0" w:line="210" w:lineRule="exact"/>
              <w:ind w:left="10" w:right="2"/>
              <w:jc w:val="center"/>
              <w:rPr>
                <w:rFonts w:eastAsia="Calibri"/>
                <w:sz w:val="22"/>
                <w:szCs w:val="22"/>
              </w:rPr>
            </w:pPr>
            <w:r>
              <w:rPr>
                <w:rFonts w:eastAsia="Calibri"/>
                <w:spacing w:val="-4"/>
                <w:sz w:val="22"/>
                <w:szCs w:val="22"/>
              </w:rPr>
              <w:t>1800</w:t>
            </w:r>
          </w:p>
        </w:tc>
        <w:tc>
          <w:tcPr>
            <w:tcW w:w="1576" w:type="dxa"/>
          </w:tcPr>
          <w:p w14:paraId="2AA13250"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235CFD5A" w14:textId="77777777" w:rsidTr="009F6B78">
        <w:trPr>
          <w:trHeight w:val="230"/>
        </w:trPr>
        <w:tc>
          <w:tcPr>
            <w:tcW w:w="3062" w:type="dxa"/>
          </w:tcPr>
          <w:p w14:paraId="6A2E9E34"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TCUL</w:t>
            </w:r>
            <w:r w:rsidRPr="00576AF8">
              <w:rPr>
                <w:rFonts w:eastAsia="Calibri"/>
                <w:spacing w:val="-5"/>
                <w:sz w:val="22"/>
                <w:szCs w:val="22"/>
              </w:rPr>
              <w:t xml:space="preserve"> </w:t>
            </w:r>
            <w:r w:rsidRPr="00576AF8">
              <w:rPr>
                <w:rFonts w:eastAsia="Calibri"/>
                <w:spacing w:val="-2"/>
                <w:sz w:val="22"/>
                <w:szCs w:val="22"/>
              </w:rPr>
              <w:t>Transformers</w:t>
            </w:r>
          </w:p>
        </w:tc>
        <w:tc>
          <w:tcPr>
            <w:tcW w:w="1574" w:type="dxa"/>
          </w:tcPr>
          <w:p w14:paraId="19780F9A"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2DFB5133"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1D66EB98" w14:textId="49E6F32C" w:rsidR="009102A7" w:rsidRPr="00576AF8" w:rsidRDefault="00A22988" w:rsidP="009F6B78">
            <w:pPr>
              <w:widowControl w:val="0"/>
              <w:suppressAutoHyphens w:val="0"/>
              <w:autoSpaceDE w:val="0"/>
              <w:autoSpaceDN w:val="0"/>
              <w:spacing w:before="97" w:after="0" w:line="210" w:lineRule="exact"/>
              <w:ind w:left="10" w:right="2"/>
              <w:jc w:val="center"/>
              <w:rPr>
                <w:rFonts w:eastAsia="Calibri"/>
                <w:sz w:val="22"/>
                <w:szCs w:val="22"/>
              </w:rPr>
            </w:pPr>
            <w:r>
              <w:rPr>
                <w:rFonts w:eastAsia="Calibri"/>
                <w:spacing w:val="-4"/>
                <w:sz w:val="22"/>
                <w:szCs w:val="22"/>
              </w:rPr>
              <w:t>1800</w:t>
            </w:r>
          </w:p>
        </w:tc>
        <w:tc>
          <w:tcPr>
            <w:tcW w:w="1576" w:type="dxa"/>
          </w:tcPr>
          <w:p w14:paraId="1068E66F"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4120CBEF" w14:textId="77777777" w:rsidTr="009F6B78">
        <w:trPr>
          <w:trHeight w:val="230"/>
        </w:trPr>
        <w:tc>
          <w:tcPr>
            <w:tcW w:w="3062" w:type="dxa"/>
          </w:tcPr>
          <w:p w14:paraId="4170350B"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Fixed</w:t>
            </w:r>
            <w:r w:rsidRPr="00576AF8">
              <w:rPr>
                <w:rFonts w:eastAsia="Calibri"/>
                <w:spacing w:val="-3"/>
                <w:sz w:val="22"/>
                <w:szCs w:val="22"/>
              </w:rPr>
              <w:t xml:space="preserve"> </w:t>
            </w:r>
            <w:r w:rsidRPr="00576AF8">
              <w:rPr>
                <w:rFonts w:eastAsia="Calibri"/>
                <w:spacing w:val="-2"/>
                <w:sz w:val="22"/>
                <w:szCs w:val="22"/>
              </w:rPr>
              <w:t>Shunts</w:t>
            </w:r>
          </w:p>
        </w:tc>
        <w:tc>
          <w:tcPr>
            <w:tcW w:w="1574" w:type="dxa"/>
          </w:tcPr>
          <w:p w14:paraId="08AFCE8D"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10"/>
                <w:sz w:val="22"/>
                <w:szCs w:val="22"/>
              </w:rPr>
              <w:t>-</w:t>
            </w:r>
          </w:p>
        </w:tc>
        <w:tc>
          <w:tcPr>
            <w:tcW w:w="1574" w:type="dxa"/>
          </w:tcPr>
          <w:p w14:paraId="5B93ABBF"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4B30A4E3"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5"/>
                <w:sz w:val="22"/>
                <w:szCs w:val="22"/>
              </w:rPr>
              <w:t>300</w:t>
            </w:r>
          </w:p>
        </w:tc>
        <w:tc>
          <w:tcPr>
            <w:tcW w:w="1576" w:type="dxa"/>
          </w:tcPr>
          <w:p w14:paraId="243284E3"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6"/>
                <w:sz w:val="22"/>
                <w:szCs w:val="22"/>
              </w:rPr>
              <w:t xml:space="preserve"> </w:t>
            </w:r>
            <w:r w:rsidRPr="00576AF8">
              <w:rPr>
                <w:rFonts w:eastAsia="Calibri"/>
                <w:spacing w:val="-5"/>
                <w:sz w:val="22"/>
                <w:szCs w:val="22"/>
              </w:rPr>
              <w:t>PSM</w:t>
            </w:r>
          </w:p>
        </w:tc>
      </w:tr>
      <w:tr w:rsidR="009102A7" w:rsidRPr="00576AF8" w14:paraId="3F8924BC" w14:textId="77777777" w:rsidTr="009F6B78">
        <w:trPr>
          <w:trHeight w:val="230"/>
        </w:trPr>
        <w:tc>
          <w:tcPr>
            <w:tcW w:w="3062" w:type="dxa"/>
          </w:tcPr>
          <w:p w14:paraId="223C7701"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Loads-Conforming</w:t>
            </w:r>
          </w:p>
        </w:tc>
        <w:tc>
          <w:tcPr>
            <w:tcW w:w="1574" w:type="dxa"/>
          </w:tcPr>
          <w:p w14:paraId="04AE196A"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2611A5E4" w14:textId="77777777" w:rsidR="009102A7" w:rsidRPr="00576AF8" w:rsidRDefault="009102A7" w:rsidP="009F6B78">
            <w:pPr>
              <w:widowControl w:val="0"/>
              <w:suppressAutoHyphens w:val="0"/>
              <w:autoSpaceDE w:val="0"/>
              <w:autoSpaceDN w:val="0"/>
              <w:spacing w:before="97" w:after="0" w:line="210" w:lineRule="exact"/>
              <w:ind w:left="10" w:right="6"/>
              <w:jc w:val="center"/>
              <w:rPr>
                <w:rFonts w:eastAsia="Calibri"/>
                <w:sz w:val="22"/>
                <w:szCs w:val="22"/>
              </w:rPr>
            </w:pPr>
            <w:r w:rsidRPr="00576AF8">
              <w:rPr>
                <w:rFonts w:eastAsia="Calibri"/>
                <w:spacing w:val="-10"/>
                <w:sz w:val="22"/>
                <w:szCs w:val="22"/>
              </w:rPr>
              <w:t>-</w:t>
            </w:r>
          </w:p>
        </w:tc>
        <w:tc>
          <w:tcPr>
            <w:tcW w:w="1574" w:type="dxa"/>
          </w:tcPr>
          <w:p w14:paraId="0E15E004" w14:textId="77777777" w:rsidR="009102A7" w:rsidRPr="00576AF8" w:rsidRDefault="009102A7" w:rsidP="009F6B78">
            <w:pPr>
              <w:widowControl w:val="0"/>
              <w:suppressAutoHyphens w:val="0"/>
              <w:autoSpaceDE w:val="0"/>
              <w:autoSpaceDN w:val="0"/>
              <w:spacing w:before="97" w:after="0" w:line="210" w:lineRule="exact"/>
              <w:ind w:left="10" w:right="2"/>
              <w:jc w:val="center"/>
              <w:rPr>
                <w:rFonts w:eastAsia="Calibri"/>
                <w:sz w:val="22"/>
                <w:szCs w:val="22"/>
              </w:rPr>
            </w:pPr>
            <w:r w:rsidRPr="00576AF8">
              <w:rPr>
                <w:rFonts w:eastAsia="Calibri"/>
                <w:spacing w:val="-4"/>
                <w:sz w:val="22"/>
                <w:szCs w:val="22"/>
              </w:rPr>
              <w:t>5000</w:t>
            </w:r>
          </w:p>
        </w:tc>
        <w:tc>
          <w:tcPr>
            <w:tcW w:w="1576" w:type="dxa"/>
          </w:tcPr>
          <w:p w14:paraId="783FB82A"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6DB62164" w14:textId="77777777" w:rsidTr="009F6B78">
        <w:trPr>
          <w:trHeight w:val="230"/>
        </w:trPr>
        <w:tc>
          <w:tcPr>
            <w:tcW w:w="3062" w:type="dxa"/>
          </w:tcPr>
          <w:p w14:paraId="0B531558"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Loads-Nonconforming</w:t>
            </w:r>
          </w:p>
        </w:tc>
        <w:tc>
          <w:tcPr>
            <w:tcW w:w="1574" w:type="dxa"/>
          </w:tcPr>
          <w:p w14:paraId="0D668AAB"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31E2705A"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56FD094E"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5"/>
                <w:sz w:val="22"/>
                <w:szCs w:val="22"/>
              </w:rPr>
              <w:t>500</w:t>
            </w:r>
          </w:p>
        </w:tc>
        <w:tc>
          <w:tcPr>
            <w:tcW w:w="1576" w:type="dxa"/>
          </w:tcPr>
          <w:p w14:paraId="445AE2A8" w14:textId="77777777" w:rsidR="009102A7" w:rsidRPr="00576AF8" w:rsidRDefault="009102A7" w:rsidP="009F6B78">
            <w:pPr>
              <w:widowControl w:val="0"/>
              <w:suppressAutoHyphens w:val="0"/>
              <w:autoSpaceDE w:val="0"/>
              <w:autoSpaceDN w:val="0"/>
              <w:spacing w:before="97" w:after="0" w:line="210" w:lineRule="exact"/>
              <w:ind w:right="389"/>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0CAAD6AE" w14:textId="77777777" w:rsidTr="009F6B78">
        <w:trPr>
          <w:trHeight w:val="230"/>
        </w:trPr>
        <w:tc>
          <w:tcPr>
            <w:tcW w:w="3062" w:type="dxa"/>
          </w:tcPr>
          <w:p w14:paraId="7F2BFBC6"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Load</w:t>
            </w:r>
            <w:r w:rsidRPr="00576AF8">
              <w:rPr>
                <w:rFonts w:eastAsia="Calibri"/>
                <w:spacing w:val="-7"/>
                <w:sz w:val="22"/>
                <w:szCs w:val="22"/>
              </w:rPr>
              <w:t xml:space="preserve"> </w:t>
            </w:r>
            <w:r w:rsidRPr="00576AF8">
              <w:rPr>
                <w:rFonts w:eastAsia="Calibri"/>
                <w:spacing w:val="-2"/>
                <w:sz w:val="22"/>
                <w:szCs w:val="22"/>
              </w:rPr>
              <w:t>Areas</w:t>
            </w:r>
          </w:p>
        </w:tc>
        <w:tc>
          <w:tcPr>
            <w:tcW w:w="1574" w:type="dxa"/>
          </w:tcPr>
          <w:p w14:paraId="5566E446" w14:textId="77777777" w:rsidR="009102A7" w:rsidRPr="00576AF8" w:rsidRDefault="009102A7" w:rsidP="009F6B78">
            <w:pPr>
              <w:widowControl w:val="0"/>
              <w:suppressAutoHyphens w:val="0"/>
              <w:autoSpaceDE w:val="0"/>
              <w:autoSpaceDN w:val="0"/>
              <w:spacing w:before="97" w:after="0" w:line="210" w:lineRule="exact"/>
              <w:ind w:left="10" w:right="7"/>
              <w:jc w:val="center"/>
              <w:rPr>
                <w:rFonts w:eastAsia="Calibri"/>
                <w:sz w:val="22"/>
                <w:szCs w:val="22"/>
              </w:rPr>
            </w:pPr>
            <w:r w:rsidRPr="00576AF8">
              <w:rPr>
                <w:rFonts w:eastAsia="Calibri"/>
                <w:spacing w:val="-10"/>
                <w:sz w:val="22"/>
                <w:szCs w:val="22"/>
              </w:rPr>
              <w:t>-</w:t>
            </w:r>
          </w:p>
        </w:tc>
        <w:tc>
          <w:tcPr>
            <w:tcW w:w="1574" w:type="dxa"/>
          </w:tcPr>
          <w:p w14:paraId="67502952"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094E0B1B"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5"/>
                <w:sz w:val="22"/>
                <w:szCs w:val="22"/>
              </w:rPr>
              <w:t>70</w:t>
            </w:r>
          </w:p>
        </w:tc>
        <w:tc>
          <w:tcPr>
            <w:tcW w:w="1576" w:type="dxa"/>
          </w:tcPr>
          <w:p w14:paraId="120CB5E5" w14:textId="77777777" w:rsidR="009102A7" w:rsidRPr="00576AF8" w:rsidRDefault="009102A7" w:rsidP="009F6B78">
            <w:pPr>
              <w:widowControl w:val="0"/>
              <w:suppressAutoHyphens w:val="0"/>
              <w:autoSpaceDE w:val="0"/>
              <w:autoSpaceDN w:val="0"/>
              <w:spacing w:before="97" w:after="0" w:line="210" w:lineRule="exact"/>
              <w:ind w:right="388"/>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309F12E6" w14:textId="77777777" w:rsidTr="009F6B78">
        <w:trPr>
          <w:trHeight w:val="460"/>
        </w:trPr>
        <w:tc>
          <w:tcPr>
            <w:tcW w:w="3062" w:type="dxa"/>
          </w:tcPr>
          <w:p w14:paraId="10FA8570" w14:textId="77777777" w:rsidR="009102A7" w:rsidRPr="00576AF8" w:rsidRDefault="009102A7" w:rsidP="009F6B78">
            <w:pPr>
              <w:widowControl w:val="0"/>
              <w:suppressAutoHyphens w:val="0"/>
              <w:autoSpaceDE w:val="0"/>
              <w:autoSpaceDN w:val="0"/>
              <w:spacing w:before="97" w:after="0" w:line="230" w:lineRule="exact"/>
              <w:ind w:left="115"/>
              <w:jc w:val="left"/>
              <w:rPr>
                <w:rFonts w:eastAsia="Calibri"/>
                <w:sz w:val="22"/>
                <w:szCs w:val="22"/>
                <w:lang w:val="en-US"/>
              </w:rPr>
            </w:pPr>
            <w:r w:rsidRPr="00576AF8">
              <w:rPr>
                <w:rFonts w:eastAsia="Calibri"/>
                <w:sz w:val="22"/>
                <w:szCs w:val="22"/>
                <w:lang w:val="en-US"/>
              </w:rPr>
              <w:t>Network</w:t>
            </w:r>
            <w:r w:rsidRPr="00576AF8">
              <w:rPr>
                <w:rFonts w:eastAsia="Calibri"/>
                <w:spacing w:val="-11"/>
                <w:sz w:val="22"/>
                <w:szCs w:val="22"/>
                <w:lang w:val="en-US"/>
              </w:rPr>
              <w:t xml:space="preserve"> </w:t>
            </w:r>
            <w:r w:rsidRPr="00576AF8">
              <w:rPr>
                <w:rFonts w:eastAsia="Calibri"/>
                <w:sz w:val="22"/>
                <w:szCs w:val="22"/>
                <w:lang w:val="en-US"/>
              </w:rPr>
              <w:t>Islands</w:t>
            </w:r>
            <w:r w:rsidRPr="00576AF8">
              <w:rPr>
                <w:rFonts w:eastAsia="Calibri"/>
                <w:spacing w:val="-12"/>
                <w:sz w:val="22"/>
                <w:szCs w:val="22"/>
                <w:lang w:val="en-US"/>
              </w:rPr>
              <w:t xml:space="preserve"> </w:t>
            </w:r>
            <w:r w:rsidRPr="00576AF8">
              <w:rPr>
                <w:rFonts w:eastAsia="Calibri"/>
                <w:sz w:val="22"/>
                <w:szCs w:val="22"/>
                <w:lang w:val="en-US"/>
              </w:rPr>
              <w:t>(as</w:t>
            </w:r>
            <w:r w:rsidRPr="00576AF8">
              <w:rPr>
                <w:rFonts w:eastAsia="Calibri"/>
                <w:spacing w:val="-9"/>
                <w:sz w:val="22"/>
                <w:szCs w:val="22"/>
                <w:lang w:val="en-US"/>
              </w:rPr>
              <w:t xml:space="preserve"> </w:t>
            </w:r>
            <w:r w:rsidRPr="00576AF8">
              <w:rPr>
                <w:rFonts w:eastAsia="Calibri"/>
                <w:sz w:val="22"/>
                <w:szCs w:val="22"/>
                <w:lang w:val="en-US"/>
              </w:rPr>
              <w:t>a</w:t>
            </w:r>
            <w:r w:rsidRPr="00576AF8">
              <w:rPr>
                <w:rFonts w:eastAsia="Calibri"/>
                <w:spacing w:val="-14"/>
                <w:sz w:val="22"/>
                <w:szCs w:val="22"/>
                <w:lang w:val="en-US"/>
              </w:rPr>
              <w:t xml:space="preserve"> </w:t>
            </w:r>
            <w:r w:rsidRPr="00576AF8">
              <w:rPr>
                <w:rFonts w:eastAsia="Calibri"/>
                <w:sz w:val="22"/>
                <w:szCs w:val="22"/>
                <w:lang w:val="en-US"/>
              </w:rPr>
              <w:t>result</w:t>
            </w:r>
            <w:r w:rsidRPr="00576AF8">
              <w:rPr>
                <w:rFonts w:eastAsia="Calibri"/>
                <w:spacing w:val="-10"/>
                <w:sz w:val="22"/>
                <w:szCs w:val="22"/>
                <w:lang w:val="en-US"/>
              </w:rPr>
              <w:t xml:space="preserve"> </w:t>
            </w:r>
            <w:r w:rsidRPr="00576AF8">
              <w:rPr>
                <w:rFonts w:eastAsia="Calibri"/>
                <w:sz w:val="22"/>
                <w:szCs w:val="22"/>
                <w:lang w:val="en-US"/>
              </w:rPr>
              <w:t>of</w:t>
            </w:r>
            <w:r w:rsidRPr="00576AF8">
              <w:rPr>
                <w:rFonts w:eastAsia="Calibri"/>
                <w:spacing w:val="-12"/>
                <w:sz w:val="22"/>
                <w:szCs w:val="22"/>
                <w:lang w:val="en-US"/>
              </w:rPr>
              <w:t xml:space="preserve"> </w:t>
            </w:r>
            <w:r w:rsidRPr="00576AF8">
              <w:rPr>
                <w:rFonts w:eastAsia="Calibri"/>
                <w:sz w:val="22"/>
                <w:szCs w:val="22"/>
                <w:lang w:val="en-US"/>
              </w:rPr>
              <w:t xml:space="preserve">a </w:t>
            </w:r>
            <w:r w:rsidRPr="00576AF8">
              <w:rPr>
                <w:rFonts w:eastAsia="Calibri"/>
                <w:spacing w:val="-2"/>
                <w:sz w:val="22"/>
                <w:szCs w:val="22"/>
                <w:lang w:val="en-US"/>
              </w:rPr>
              <w:t>disturbance)</w:t>
            </w:r>
          </w:p>
        </w:tc>
        <w:tc>
          <w:tcPr>
            <w:tcW w:w="1574" w:type="dxa"/>
          </w:tcPr>
          <w:p w14:paraId="75DDE450" w14:textId="77777777" w:rsidR="009102A7" w:rsidRPr="00576AF8" w:rsidRDefault="009102A7" w:rsidP="009F6B78">
            <w:pPr>
              <w:widowControl w:val="0"/>
              <w:suppressAutoHyphens w:val="0"/>
              <w:autoSpaceDE w:val="0"/>
              <w:autoSpaceDN w:val="0"/>
              <w:spacing w:before="97" w:after="0" w:line="227" w:lineRule="exact"/>
              <w:ind w:left="10" w:right="5"/>
              <w:jc w:val="center"/>
              <w:rPr>
                <w:rFonts w:eastAsia="Calibri"/>
                <w:sz w:val="22"/>
                <w:szCs w:val="22"/>
              </w:rPr>
            </w:pPr>
            <w:r w:rsidRPr="00576AF8">
              <w:rPr>
                <w:rFonts w:eastAsia="Calibri"/>
                <w:spacing w:val="-10"/>
                <w:sz w:val="22"/>
                <w:szCs w:val="22"/>
              </w:rPr>
              <w:t>-</w:t>
            </w:r>
          </w:p>
        </w:tc>
        <w:tc>
          <w:tcPr>
            <w:tcW w:w="1574" w:type="dxa"/>
          </w:tcPr>
          <w:p w14:paraId="5C8CCDF7" w14:textId="77777777" w:rsidR="009102A7" w:rsidRPr="00576AF8" w:rsidRDefault="009102A7" w:rsidP="009F6B78">
            <w:pPr>
              <w:widowControl w:val="0"/>
              <w:suppressAutoHyphens w:val="0"/>
              <w:autoSpaceDE w:val="0"/>
              <w:autoSpaceDN w:val="0"/>
              <w:spacing w:before="97" w:after="0" w:line="227" w:lineRule="exact"/>
              <w:ind w:left="10" w:right="6"/>
              <w:jc w:val="center"/>
              <w:rPr>
                <w:rFonts w:eastAsia="Calibri"/>
                <w:sz w:val="22"/>
                <w:szCs w:val="22"/>
              </w:rPr>
            </w:pPr>
            <w:r w:rsidRPr="00576AF8">
              <w:rPr>
                <w:rFonts w:eastAsia="Calibri"/>
                <w:spacing w:val="-10"/>
                <w:sz w:val="22"/>
                <w:szCs w:val="22"/>
              </w:rPr>
              <w:t>-</w:t>
            </w:r>
          </w:p>
        </w:tc>
        <w:tc>
          <w:tcPr>
            <w:tcW w:w="1574" w:type="dxa"/>
          </w:tcPr>
          <w:p w14:paraId="20C67524" w14:textId="77777777" w:rsidR="009102A7" w:rsidRPr="00576AF8" w:rsidRDefault="009102A7" w:rsidP="009F6B78">
            <w:pPr>
              <w:widowControl w:val="0"/>
              <w:suppressAutoHyphens w:val="0"/>
              <w:autoSpaceDE w:val="0"/>
              <w:autoSpaceDN w:val="0"/>
              <w:spacing w:before="97" w:after="0" w:line="227" w:lineRule="exact"/>
              <w:ind w:left="10" w:right="3"/>
              <w:jc w:val="center"/>
              <w:rPr>
                <w:rFonts w:eastAsia="Calibri"/>
                <w:sz w:val="22"/>
                <w:szCs w:val="22"/>
              </w:rPr>
            </w:pPr>
            <w:r w:rsidRPr="00576AF8">
              <w:rPr>
                <w:rFonts w:eastAsia="Calibri"/>
                <w:spacing w:val="-5"/>
                <w:sz w:val="22"/>
                <w:szCs w:val="22"/>
              </w:rPr>
              <w:t>15</w:t>
            </w:r>
          </w:p>
        </w:tc>
        <w:tc>
          <w:tcPr>
            <w:tcW w:w="1576" w:type="dxa"/>
          </w:tcPr>
          <w:p w14:paraId="7888BBF1" w14:textId="77777777" w:rsidR="009102A7" w:rsidRPr="00576AF8" w:rsidRDefault="009102A7" w:rsidP="009F6B78">
            <w:pPr>
              <w:widowControl w:val="0"/>
              <w:suppressAutoHyphens w:val="0"/>
              <w:autoSpaceDE w:val="0"/>
              <w:autoSpaceDN w:val="0"/>
              <w:spacing w:before="97" w:after="0" w:line="227" w:lineRule="exact"/>
              <w:ind w:right="388"/>
              <w:jc w:val="right"/>
              <w:rPr>
                <w:rFonts w:eastAsia="Calibri"/>
                <w:sz w:val="22"/>
                <w:szCs w:val="22"/>
              </w:rPr>
            </w:pPr>
            <w:r w:rsidRPr="00576AF8">
              <w:rPr>
                <w:rFonts w:eastAsia="Calibri"/>
                <w:sz w:val="22"/>
                <w:szCs w:val="22"/>
              </w:rPr>
              <w:t>per</w:t>
            </w:r>
            <w:r w:rsidRPr="00576AF8">
              <w:rPr>
                <w:rFonts w:eastAsia="Calibri"/>
                <w:spacing w:val="-4"/>
                <w:sz w:val="22"/>
                <w:szCs w:val="22"/>
              </w:rPr>
              <w:t xml:space="preserve"> </w:t>
            </w:r>
            <w:r w:rsidRPr="00576AF8">
              <w:rPr>
                <w:rFonts w:eastAsia="Calibri"/>
                <w:spacing w:val="-5"/>
                <w:sz w:val="22"/>
                <w:szCs w:val="22"/>
              </w:rPr>
              <w:t>PSM</w:t>
            </w:r>
          </w:p>
        </w:tc>
      </w:tr>
      <w:tr w:rsidR="009102A7" w:rsidRPr="00576AF8" w14:paraId="4708E6AA" w14:textId="77777777" w:rsidTr="009F6B78">
        <w:trPr>
          <w:trHeight w:val="230"/>
        </w:trPr>
        <w:tc>
          <w:tcPr>
            <w:tcW w:w="3062" w:type="dxa"/>
          </w:tcPr>
          <w:p w14:paraId="61A4CF41"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Branch</w:t>
            </w:r>
            <w:r w:rsidRPr="00576AF8">
              <w:rPr>
                <w:rFonts w:eastAsia="Calibri"/>
                <w:spacing w:val="-14"/>
                <w:sz w:val="22"/>
                <w:szCs w:val="22"/>
              </w:rPr>
              <w:t xml:space="preserve"> </w:t>
            </w:r>
            <w:r w:rsidRPr="00576AF8">
              <w:rPr>
                <w:rFonts w:eastAsia="Calibri"/>
                <w:sz w:val="22"/>
                <w:szCs w:val="22"/>
              </w:rPr>
              <w:t>Over-Current</w:t>
            </w:r>
            <w:r w:rsidRPr="00576AF8">
              <w:rPr>
                <w:rFonts w:eastAsia="Calibri"/>
                <w:spacing w:val="-7"/>
                <w:sz w:val="22"/>
                <w:szCs w:val="22"/>
              </w:rPr>
              <w:t xml:space="preserve"> </w:t>
            </w:r>
            <w:r w:rsidRPr="00576AF8">
              <w:rPr>
                <w:rFonts w:eastAsia="Calibri"/>
                <w:spacing w:val="-2"/>
                <w:sz w:val="22"/>
                <w:szCs w:val="22"/>
              </w:rPr>
              <w:t>Relays</w:t>
            </w:r>
          </w:p>
        </w:tc>
        <w:tc>
          <w:tcPr>
            <w:tcW w:w="1574" w:type="dxa"/>
          </w:tcPr>
          <w:p w14:paraId="0AAFD851" w14:textId="77777777" w:rsidR="009102A7" w:rsidRPr="00576AF8" w:rsidRDefault="009102A7" w:rsidP="009F6B78">
            <w:pPr>
              <w:widowControl w:val="0"/>
              <w:suppressAutoHyphens w:val="0"/>
              <w:autoSpaceDE w:val="0"/>
              <w:autoSpaceDN w:val="0"/>
              <w:spacing w:before="97" w:after="0" w:line="210" w:lineRule="exact"/>
              <w:ind w:left="10" w:right="7"/>
              <w:jc w:val="center"/>
              <w:rPr>
                <w:rFonts w:eastAsia="Calibri"/>
                <w:sz w:val="22"/>
                <w:szCs w:val="22"/>
              </w:rPr>
            </w:pPr>
            <w:r w:rsidRPr="00576AF8">
              <w:rPr>
                <w:rFonts w:eastAsia="Calibri"/>
                <w:spacing w:val="-10"/>
                <w:sz w:val="22"/>
                <w:szCs w:val="22"/>
              </w:rPr>
              <w:t>-</w:t>
            </w:r>
          </w:p>
        </w:tc>
        <w:tc>
          <w:tcPr>
            <w:tcW w:w="1574" w:type="dxa"/>
          </w:tcPr>
          <w:p w14:paraId="170A5DE4"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03C0ABB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76" w:type="dxa"/>
          </w:tcPr>
          <w:p w14:paraId="1188C561" w14:textId="77777777" w:rsidR="009102A7" w:rsidRPr="00576AF8" w:rsidRDefault="009102A7" w:rsidP="009F6B78">
            <w:pPr>
              <w:widowControl w:val="0"/>
              <w:suppressAutoHyphens w:val="0"/>
              <w:autoSpaceDE w:val="0"/>
              <w:autoSpaceDN w:val="0"/>
              <w:spacing w:before="97" w:after="0" w:line="210" w:lineRule="exact"/>
              <w:ind w:left="7" w:right="1"/>
              <w:jc w:val="center"/>
              <w:rPr>
                <w:rFonts w:eastAsia="Calibri"/>
                <w:sz w:val="22"/>
                <w:szCs w:val="22"/>
              </w:rPr>
            </w:pPr>
            <w:r w:rsidRPr="00576AF8">
              <w:rPr>
                <w:rFonts w:eastAsia="Calibri"/>
                <w:spacing w:val="-4"/>
                <w:sz w:val="22"/>
                <w:szCs w:val="22"/>
              </w:rPr>
              <w:t>2000</w:t>
            </w:r>
          </w:p>
        </w:tc>
      </w:tr>
      <w:tr w:rsidR="009102A7" w:rsidRPr="00576AF8" w14:paraId="10E4C28E" w14:textId="77777777" w:rsidTr="009F6B78">
        <w:trPr>
          <w:trHeight w:val="230"/>
        </w:trPr>
        <w:tc>
          <w:tcPr>
            <w:tcW w:w="3062" w:type="dxa"/>
          </w:tcPr>
          <w:p w14:paraId="3B85EC16"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pacing w:val="-2"/>
                <w:sz w:val="22"/>
                <w:szCs w:val="22"/>
              </w:rPr>
              <w:t>Under/Over-Frequency</w:t>
            </w:r>
            <w:r w:rsidRPr="00576AF8">
              <w:rPr>
                <w:rFonts w:eastAsia="Calibri"/>
                <w:spacing w:val="18"/>
                <w:sz w:val="22"/>
                <w:szCs w:val="22"/>
              </w:rPr>
              <w:t xml:space="preserve"> </w:t>
            </w:r>
            <w:r w:rsidRPr="00576AF8">
              <w:rPr>
                <w:rFonts w:eastAsia="Calibri"/>
                <w:spacing w:val="-2"/>
                <w:sz w:val="22"/>
                <w:szCs w:val="22"/>
              </w:rPr>
              <w:t>Relays</w:t>
            </w:r>
          </w:p>
        </w:tc>
        <w:tc>
          <w:tcPr>
            <w:tcW w:w="1574" w:type="dxa"/>
          </w:tcPr>
          <w:p w14:paraId="1BBEEA27"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06298BB3" w14:textId="77777777" w:rsidR="009102A7" w:rsidRPr="00576AF8" w:rsidRDefault="009102A7" w:rsidP="009F6B78">
            <w:pPr>
              <w:widowControl w:val="0"/>
              <w:suppressAutoHyphens w:val="0"/>
              <w:autoSpaceDE w:val="0"/>
              <w:autoSpaceDN w:val="0"/>
              <w:spacing w:before="97" w:after="0" w:line="210" w:lineRule="exact"/>
              <w:ind w:left="10" w:right="6"/>
              <w:jc w:val="center"/>
              <w:rPr>
                <w:rFonts w:eastAsia="Calibri"/>
                <w:sz w:val="22"/>
                <w:szCs w:val="22"/>
              </w:rPr>
            </w:pPr>
            <w:r w:rsidRPr="00576AF8">
              <w:rPr>
                <w:rFonts w:eastAsia="Calibri"/>
                <w:spacing w:val="-10"/>
                <w:sz w:val="22"/>
                <w:szCs w:val="22"/>
              </w:rPr>
              <w:t>-</w:t>
            </w:r>
          </w:p>
        </w:tc>
        <w:tc>
          <w:tcPr>
            <w:tcW w:w="1574" w:type="dxa"/>
          </w:tcPr>
          <w:p w14:paraId="02E107F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76" w:type="dxa"/>
          </w:tcPr>
          <w:p w14:paraId="0DFBD345" w14:textId="77777777" w:rsidR="009102A7" w:rsidRPr="00576AF8" w:rsidRDefault="009102A7" w:rsidP="009F6B78">
            <w:pPr>
              <w:widowControl w:val="0"/>
              <w:suppressAutoHyphens w:val="0"/>
              <w:autoSpaceDE w:val="0"/>
              <w:autoSpaceDN w:val="0"/>
              <w:spacing w:before="97" w:after="0" w:line="210" w:lineRule="exact"/>
              <w:ind w:left="7" w:right="1"/>
              <w:jc w:val="center"/>
              <w:rPr>
                <w:rFonts w:eastAsia="Calibri"/>
                <w:sz w:val="22"/>
                <w:szCs w:val="22"/>
              </w:rPr>
            </w:pPr>
            <w:r w:rsidRPr="00576AF8">
              <w:rPr>
                <w:rFonts w:eastAsia="Calibri"/>
                <w:spacing w:val="-4"/>
                <w:sz w:val="22"/>
                <w:szCs w:val="22"/>
              </w:rPr>
              <w:t>5000</w:t>
            </w:r>
          </w:p>
        </w:tc>
      </w:tr>
      <w:tr w:rsidR="009102A7" w:rsidRPr="00576AF8" w14:paraId="19A8EE29" w14:textId="77777777" w:rsidTr="009F6B78">
        <w:trPr>
          <w:trHeight w:val="230"/>
        </w:trPr>
        <w:tc>
          <w:tcPr>
            <w:tcW w:w="3062" w:type="dxa"/>
          </w:tcPr>
          <w:p w14:paraId="33088CD1"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Under/Over</w:t>
            </w:r>
            <w:r w:rsidRPr="00576AF8">
              <w:rPr>
                <w:rFonts w:eastAsia="Calibri"/>
                <w:spacing w:val="-8"/>
                <w:sz w:val="22"/>
                <w:szCs w:val="22"/>
              </w:rPr>
              <w:t xml:space="preserve"> </w:t>
            </w:r>
            <w:r w:rsidRPr="00576AF8">
              <w:rPr>
                <w:rFonts w:eastAsia="Calibri"/>
                <w:sz w:val="22"/>
                <w:szCs w:val="22"/>
              </w:rPr>
              <w:t>Voltage</w:t>
            </w:r>
            <w:r w:rsidRPr="00576AF8">
              <w:rPr>
                <w:rFonts w:eastAsia="Calibri"/>
                <w:spacing w:val="-10"/>
                <w:sz w:val="22"/>
                <w:szCs w:val="22"/>
              </w:rPr>
              <w:t xml:space="preserve"> </w:t>
            </w:r>
            <w:r w:rsidRPr="00576AF8">
              <w:rPr>
                <w:rFonts w:eastAsia="Calibri"/>
                <w:spacing w:val="-2"/>
                <w:sz w:val="22"/>
                <w:szCs w:val="22"/>
              </w:rPr>
              <w:t>Relays</w:t>
            </w:r>
          </w:p>
        </w:tc>
        <w:tc>
          <w:tcPr>
            <w:tcW w:w="1574" w:type="dxa"/>
          </w:tcPr>
          <w:p w14:paraId="6A0EEF7C"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5A0665C6" w14:textId="77777777" w:rsidR="009102A7" w:rsidRPr="00576AF8" w:rsidRDefault="009102A7" w:rsidP="009F6B78">
            <w:pPr>
              <w:widowControl w:val="0"/>
              <w:suppressAutoHyphens w:val="0"/>
              <w:autoSpaceDE w:val="0"/>
              <w:autoSpaceDN w:val="0"/>
              <w:spacing w:before="97" w:after="0" w:line="210" w:lineRule="exact"/>
              <w:ind w:left="10" w:right="6"/>
              <w:jc w:val="center"/>
              <w:rPr>
                <w:rFonts w:eastAsia="Calibri"/>
                <w:sz w:val="22"/>
                <w:szCs w:val="22"/>
              </w:rPr>
            </w:pPr>
            <w:r w:rsidRPr="00576AF8">
              <w:rPr>
                <w:rFonts w:eastAsia="Calibri"/>
                <w:spacing w:val="-10"/>
                <w:sz w:val="22"/>
                <w:szCs w:val="22"/>
              </w:rPr>
              <w:t>-</w:t>
            </w:r>
          </w:p>
        </w:tc>
        <w:tc>
          <w:tcPr>
            <w:tcW w:w="1574" w:type="dxa"/>
          </w:tcPr>
          <w:p w14:paraId="427B553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76" w:type="dxa"/>
          </w:tcPr>
          <w:p w14:paraId="108000BC" w14:textId="77777777" w:rsidR="009102A7" w:rsidRPr="00576AF8" w:rsidRDefault="009102A7" w:rsidP="009F6B78">
            <w:pPr>
              <w:widowControl w:val="0"/>
              <w:suppressAutoHyphens w:val="0"/>
              <w:autoSpaceDE w:val="0"/>
              <w:autoSpaceDN w:val="0"/>
              <w:spacing w:before="97" w:after="0" w:line="210" w:lineRule="exact"/>
              <w:ind w:left="7" w:right="1"/>
              <w:jc w:val="center"/>
              <w:rPr>
                <w:rFonts w:eastAsia="Calibri"/>
                <w:sz w:val="22"/>
                <w:szCs w:val="22"/>
              </w:rPr>
            </w:pPr>
            <w:r w:rsidRPr="00576AF8">
              <w:rPr>
                <w:rFonts w:eastAsia="Calibri"/>
                <w:spacing w:val="-4"/>
                <w:sz w:val="22"/>
                <w:szCs w:val="22"/>
              </w:rPr>
              <w:t>1000</w:t>
            </w:r>
          </w:p>
        </w:tc>
      </w:tr>
      <w:tr w:rsidR="009102A7" w:rsidRPr="00576AF8" w14:paraId="5BCCAE42" w14:textId="77777777" w:rsidTr="009F6B78">
        <w:trPr>
          <w:trHeight w:val="230"/>
        </w:trPr>
        <w:tc>
          <w:tcPr>
            <w:tcW w:w="3062" w:type="dxa"/>
          </w:tcPr>
          <w:p w14:paraId="00C567C6"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Synch</w:t>
            </w:r>
            <w:r w:rsidRPr="00576AF8">
              <w:rPr>
                <w:rFonts w:eastAsia="Calibri"/>
                <w:spacing w:val="-7"/>
                <w:sz w:val="22"/>
                <w:szCs w:val="22"/>
              </w:rPr>
              <w:t xml:space="preserve"> </w:t>
            </w:r>
            <w:r w:rsidRPr="00576AF8">
              <w:rPr>
                <w:rFonts w:eastAsia="Calibri"/>
                <w:sz w:val="22"/>
                <w:szCs w:val="22"/>
              </w:rPr>
              <w:t>Check</w:t>
            </w:r>
            <w:r w:rsidRPr="00576AF8">
              <w:rPr>
                <w:rFonts w:eastAsia="Calibri"/>
                <w:spacing w:val="-4"/>
                <w:sz w:val="22"/>
                <w:szCs w:val="22"/>
              </w:rPr>
              <w:t xml:space="preserve"> </w:t>
            </w:r>
            <w:r w:rsidRPr="00576AF8">
              <w:rPr>
                <w:rFonts w:eastAsia="Calibri"/>
                <w:spacing w:val="-2"/>
                <w:sz w:val="22"/>
                <w:szCs w:val="22"/>
              </w:rPr>
              <w:t>Relays</w:t>
            </w:r>
          </w:p>
        </w:tc>
        <w:tc>
          <w:tcPr>
            <w:tcW w:w="1574" w:type="dxa"/>
          </w:tcPr>
          <w:p w14:paraId="302AD858" w14:textId="77777777" w:rsidR="009102A7" w:rsidRPr="00576AF8" w:rsidRDefault="009102A7" w:rsidP="009F6B78">
            <w:pPr>
              <w:widowControl w:val="0"/>
              <w:suppressAutoHyphens w:val="0"/>
              <w:autoSpaceDE w:val="0"/>
              <w:autoSpaceDN w:val="0"/>
              <w:spacing w:before="97" w:after="0" w:line="210" w:lineRule="exact"/>
              <w:ind w:left="10" w:right="4"/>
              <w:jc w:val="center"/>
              <w:rPr>
                <w:rFonts w:eastAsia="Calibri"/>
                <w:sz w:val="22"/>
                <w:szCs w:val="22"/>
              </w:rPr>
            </w:pPr>
            <w:r w:rsidRPr="00576AF8">
              <w:rPr>
                <w:rFonts w:eastAsia="Calibri"/>
                <w:spacing w:val="-10"/>
                <w:sz w:val="22"/>
                <w:szCs w:val="22"/>
              </w:rPr>
              <w:t>-</w:t>
            </w:r>
          </w:p>
        </w:tc>
        <w:tc>
          <w:tcPr>
            <w:tcW w:w="1574" w:type="dxa"/>
          </w:tcPr>
          <w:p w14:paraId="76BA7166" w14:textId="77777777" w:rsidR="009102A7" w:rsidRPr="00576AF8" w:rsidRDefault="009102A7" w:rsidP="009F6B78">
            <w:pPr>
              <w:widowControl w:val="0"/>
              <w:suppressAutoHyphens w:val="0"/>
              <w:autoSpaceDE w:val="0"/>
              <w:autoSpaceDN w:val="0"/>
              <w:spacing w:before="97" w:after="0" w:line="210" w:lineRule="exact"/>
              <w:ind w:left="10" w:right="3"/>
              <w:jc w:val="center"/>
              <w:rPr>
                <w:rFonts w:eastAsia="Calibri"/>
                <w:sz w:val="22"/>
                <w:szCs w:val="22"/>
              </w:rPr>
            </w:pPr>
            <w:r w:rsidRPr="00576AF8">
              <w:rPr>
                <w:rFonts w:eastAsia="Calibri"/>
                <w:spacing w:val="-10"/>
                <w:sz w:val="22"/>
                <w:szCs w:val="22"/>
              </w:rPr>
              <w:t>-</w:t>
            </w:r>
          </w:p>
        </w:tc>
        <w:tc>
          <w:tcPr>
            <w:tcW w:w="1574" w:type="dxa"/>
          </w:tcPr>
          <w:p w14:paraId="699D3BB1"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76" w:type="dxa"/>
          </w:tcPr>
          <w:p w14:paraId="5007F19B" w14:textId="77777777" w:rsidR="009102A7" w:rsidRPr="00576AF8" w:rsidRDefault="009102A7" w:rsidP="009F6B78">
            <w:pPr>
              <w:widowControl w:val="0"/>
              <w:suppressAutoHyphens w:val="0"/>
              <w:autoSpaceDE w:val="0"/>
              <w:autoSpaceDN w:val="0"/>
              <w:spacing w:before="97" w:after="0" w:line="210" w:lineRule="exact"/>
              <w:ind w:left="7" w:right="1"/>
              <w:jc w:val="center"/>
              <w:rPr>
                <w:rFonts w:eastAsia="Calibri"/>
                <w:sz w:val="22"/>
                <w:szCs w:val="22"/>
              </w:rPr>
            </w:pPr>
            <w:r w:rsidRPr="00576AF8">
              <w:rPr>
                <w:rFonts w:eastAsia="Calibri"/>
                <w:spacing w:val="-4"/>
                <w:sz w:val="22"/>
                <w:szCs w:val="22"/>
              </w:rPr>
              <w:t>1000</w:t>
            </w:r>
          </w:p>
        </w:tc>
      </w:tr>
      <w:tr w:rsidR="009102A7" w:rsidRPr="00576AF8" w14:paraId="09AAFFFD" w14:textId="77777777" w:rsidTr="009F6B78">
        <w:trPr>
          <w:trHeight w:val="230"/>
        </w:trPr>
        <w:tc>
          <w:tcPr>
            <w:tcW w:w="3062" w:type="dxa"/>
          </w:tcPr>
          <w:p w14:paraId="564609D8"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Transfer</w:t>
            </w:r>
            <w:r w:rsidRPr="00576AF8">
              <w:rPr>
                <w:rFonts w:eastAsia="Calibri"/>
                <w:spacing w:val="-8"/>
                <w:sz w:val="22"/>
                <w:szCs w:val="22"/>
              </w:rPr>
              <w:t xml:space="preserve"> </w:t>
            </w:r>
            <w:r w:rsidRPr="00576AF8">
              <w:rPr>
                <w:rFonts w:eastAsia="Calibri"/>
                <w:sz w:val="22"/>
                <w:szCs w:val="22"/>
              </w:rPr>
              <w:t>Trip</w:t>
            </w:r>
            <w:r w:rsidRPr="00576AF8">
              <w:rPr>
                <w:rFonts w:eastAsia="Calibri"/>
                <w:spacing w:val="-5"/>
                <w:sz w:val="22"/>
                <w:szCs w:val="22"/>
              </w:rPr>
              <w:t xml:space="preserve"> </w:t>
            </w:r>
            <w:r w:rsidRPr="00576AF8">
              <w:rPr>
                <w:rFonts w:eastAsia="Calibri"/>
                <w:spacing w:val="-2"/>
                <w:sz w:val="22"/>
                <w:szCs w:val="22"/>
              </w:rPr>
              <w:t>Relays</w:t>
            </w:r>
          </w:p>
        </w:tc>
        <w:tc>
          <w:tcPr>
            <w:tcW w:w="1574" w:type="dxa"/>
          </w:tcPr>
          <w:p w14:paraId="57F48493"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5A8EE4D3"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36ED624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76" w:type="dxa"/>
          </w:tcPr>
          <w:p w14:paraId="4BE0C9D0" w14:textId="77777777" w:rsidR="009102A7" w:rsidRPr="00576AF8" w:rsidRDefault="009102A7" w:rsidP="009F6B78">
            <w:pPr>
              <w:widowControl w:val="0"/>
              <w:suppressAutoHyphens w:val="0"/>
              <w:autoSpaceDE w:val="0"/>
              <w:autoSpaceDN w:val="0"/>
              <w:spacing w:before="97" w:after="0" w:line="210" w:lineRule="exact"/>
              <w:ind w:left="7" w:right="1"/>
              <w:jc w:val="center"/>
              <w:rPr>
                <w:rFonts w:eastAsia="Calibri"/>
                <w:sz w:val="22"/>
                <w:szCs w:val="22"/>
              </w:rPr>
            </w:pPr>
            <w:r w:rsidRPr="00576AF8">
              <w:rPr>
                <w:rFonts w:eastAsia="Calibri"/>
                <w:spacing w:val="-4"/>
                <w:sz w:val="22"/>
                <w:szCs w:val="22"/>
              </w:rPr>
              <w:t>1000</w:t>
            </w:r>
          </w:p>
        </w:tc>
      </w:tr>
      <w:tr w:rsidR="009102A7" w:rsidRPr="00576AF8" w14:paraId="5677EF56" w14:textId="77777777" w:rsidTr="009F6B78">
        <w:trPr>
          <w:trHeight w:val="230"/>
        </w:trPr>
        <w:tc>
          <w:tcPr>
            <w:tcW w:w="3062" w:type="dxa"/>
          </w:tcPr>
          <w:p w14:paraId="002B5512" w14:textId="77777777" w:rsidR="009102A7" w:rsidRPr="00576AF8" w:rsidRDefault="009102A7" w:rsidP="009F6B78">
            <w:pPr>
              <w:widowControl w:val="0"/>
              <w:suppressAutoHyphens w:val="0"/>
              <w:autoSpaceDE w:val="0"/>
              <w:autoSpaceDN w:val="0"/>
              <w:spacing w:before="97" w:after="0" w:line="210" w:lineRule="exact"/>
              <w:ind w:left="115"/>
              <w:jc w:val="left"/>
              <w:rPr>
                <w:rFonts w:eastAsia="Calibri"/>
                <w:sz w:val="22"/>
                <w:szCs w:val="22"/>
              </w:rPr>
            </w:pPr>
            <w:r w:rsidRPr="00576AF8">
              <w:rPr>
                <w:rFonts w:eastAsia="Calibri"/>
                <w:sz w:val="22"/>
                <w:szCs w:val="22"/>
              </w:rPr>
              <w:t>Differential</w:t>
            </w:r>
            <w:r w:rsidRPr="00576AF8">
              <w:rPr>
                <w:rFonts w:eastAsia="Calibri"/>
                <w:spacing w:val="-12"/>
                <w:sz w:val="22"/>
                <w:szCs w:val="22"/>
              </w:rPr>
              <w:t xml:space="preserve"> </w:t>
            </w:r>
            <w:r w:rsidRPr="00576AF8">
              <w:rPr>
                <w:rFonts w:eastAsia="Calibri"/>
                <w:spacing w:val="-2"/>
                <w:sz w:val="22"/>
                <w:szCs w:val="22"/>
              </w:rPr>
              <w:t>Relays</w:t>
            </w:r>
          </w:p>
        </w:tc>
        <w:tc>
          <w:tcPr>
            <w:tcW w:w="1574" w:type="dxa"/>
          </w:tcPr>
          <w:p w14:paraId="196B43F2"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431A5B6E" w14:textId="77777777" w:rsidR="009102A7" w:rsidRPr="00576AF8" w:rsidRDefault="009102A7" w:rsidP="009F6B78">
            <w:pPr>
              <w:widowControl w:val="0"/>
              <w:suppressAutoHyphens w:val="0"/>
              <w:autoSpaceDE w:val="0"/>
              <w:autoSpaceDN w:val="0"/>
              <w:spacing w:before="97" w:after="0" w:line="210" w:lineRule="exact"/>
              <w:ind w:left="10" w:right="5"/>
              <w:jc w:val="center"/>
              <w:rPr>
                <w:rFonts w:eastAsia="Calibri"/>
                <w:sz w:val="22"/>
                <w:szCs w:val="22"/>
              </w:rPr>
            </w:pPr>
            <w:r w:rsidRPr="00576AF8">
              <w:rPr>
                <w:rFonts w:eastAsia="Calibri"/>
                <w:spacing w:val="-10"/>
                <w:sz w:val="22"/>
                <w:szCs w:val="22"/>
              </w:rPr>
              <w:t>-</w:t>
            </w:r>
          </w:p>
        </w:tc>
        <w:tc>
          <w:tcPr>
            <w:tcW w:w="1574" w:type="dxa"/>
          </w:tcPr>
          <w:p w14:paraId="65325BDD"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c>
          <w:tcPr>
            <w:tcW w:w="1576" w:type="dxa"/>
          </w:tcPr>
          <w:p w14:paraId="57FB1596" w14:textId="77777777" w:rsidR="009102A7" w:rsidRPr="00576AF8" w:rsidRDefault="009102A7" w:rsidP="009F6B78">
            <w:pPr>
              <w:keepNext/>
              <w:widowControl w:val="0"/>
              <w:suppressAutoHyphens w:val="0"/>
              <w:autoSpaceDE w:val="0"/>
              <w:autoSpaceDN w:val="0"/>
              <w:spacing w:before="97" w:after="0" w:line="210" w:lineRule="exact"/>
              <w:ind w:left="7"/>
              <w:jc w:val="center"/>
              <w:rPr>
                <w:rFonts w:eastAsia="Calibri"/>
                <w:sz w:val="22"/>
                <w:szCs w:val="22"/>
              </w:rPr>
            </w:pPr>
            <w:r w:rsidRPr="00576AF8">
              <w:rPr>
                <w:rFonts w:eastAsia="Calibri"/>
                <w:spacing w:val="-4"/>
                <w:sz w:val="22"/>
                <w:szCs w:val="22"/>
              </w:rPr>
              <w:t>1000</w:t>
            </w:r>
          </w:p>
        </w:tc>
      </w:tr>
    </w:tbl>
    <w:p w14:paraId="522599E5" w14:textId="5622ECD5" w:rsidR="009102A7" w:rsidRPr="00576AF8" w:rsidRDefault="009102A7" w:rsidP="009102A7">
      <w:pPr>
        <w:spacing w:before="120"/>
        <w:jc w:val="center"/>
        <w:rPr>
          <w:b/>
          <w:sz w:val="22"/>
          <w:szCs w:val="22"/>
        </w:rPr>
        <w:sectPr w:rsidR="009102A7" w:rsidRPr="00576AF8" w:rsidSect="000968D2">
          <w:headerReference w:type="default" r:id="rId56"/>
          <w:footerReference w:type="default" r:id="rId57"/>
          <w:pgSz w:w="11910" w:h="16840"/>
          <w:pgMar w:top="1380" w:right="1000" w:bottom="280" w:left="1160" w:header="720" w:footer="720" w:gutter="0"/>
          <w:cols w:space="720"/>
        </w:sectPr>
      </w:pPr>
      <w:r w:rsidRPr="00576AF8">
        <w:rPr>
          <w:b/>
          <w:sz w:val="22"/>
          <w:szCs w:val="22"/>
        </w:rPr>
        <w:lastRenderedPageBreak/>
        <w:t xml:space="preserve">Tabla </w:t>
      </w:r>
      <w:r w:rsidR="000A4430">
        <w:rPr>
          <w:b/>
          <w:sz w:val="22"/>
          <w:szCs w:val="22"/>
        </w:rPr>
        <w:t>1</w:t>
      </w:r>
      <w:r w:rsidR="00467979" w:rsidRPr="00576AF8">
        <w:rPr>
          <w:b/>
          <w:sz w:val="22"/>
          <w:szCs w:val="22"/>
        </w:rPr>
        <w:t>6</w:t>
      </w:r>
      <w:r w:rsidRPr="00576AF8">
        <w:rPr>
          <w:b/>
          <w:sz w:val="22"/>
          <w:szCs w:val="22"/>
        </w:rPr>
        <w:t>. Datos del Sistema de Potencia</w:t>
      </w:r>
    </w:p>
    <w:p w14:paraId="078DD65D" w14:textId="77777777" w:rsidR="009102A7" w:rsidRPr="00576AF8" w:rsidRDefault="009102A7" w:rsidP="009102A7">
      <w:pPr>
        <w:rPr>
          <w:b/>
          <w:sz w:val="22"/>
          <w:szCs w:val="22"/>
        </w:rPr>
      </w:pPr>
      <w:bookmarkStart w:id="1134" w:name="OLE_LINK10"/>
      <w:bookmarkEnd w:id="1133"/>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1"/>
        <w:gridCol w:w="1843"/>
      </w:tblGrid>
      <w:tr w:rsidR="009102A7" w:rsidRPr="00576AF8" w14:paraId="3765982E" w14:textId="77777777" w:rsidTr="009F6B78">
        <w:trPr>
          <w:trHeight w:val="230"/>
        </w:trPr>
        <w:tc>
          <w:tcPr>
            <w:tcW w:w="5671" w:type="dxa"/>
          </w:tcPr>
          <w:p w14:paraId="67655E09" w14:textId="77777777" w:rsidR="009102A7" w:rsidRPr="00576AF8" w:rsidRDefault="009102A7" w:rsidP="009F6B78">
            <w:pPr>
              <w:widowControl w:val="0"/>
              <w:suppressAutoHyphens w:val="0"/>
              <w:autoSpaceDE w:val="0"/>
              <w:autoSpaceDN w:val="0"/>
              <w:spacing w:before="97" w:after="0" w:line="210" w:lineRule="exact"/>
              <w:ind w:left="1773"/>
              <w:jc w:val="left"/>
              <w:rPr>
                <w:rFonts w:eastAsia="Calibri"/>
                <w:b/>
                <w:sz w:val="22"/>
                <w:szCs w:val="22"/>
              </w:rPr>
            </w:pPr>
            <w:r w:rsidRPr="00576AF8">
              <w:rPr>
                <w:rFonts w:eastAsia="Calibri"/>
                <w:b/>
                <w:spacing w:val="-2"/>
                <w:sz w:val="22"/>
                <w:szCs w:val="22"/>
              </w:rPr>
              <w:t>Application/Parameter</w:t>
            </w:r>
          </w:p>
        </w:tc>
        <w:tc>
          <w:tcPr>
            <w:tcW w:w="1843" w:type="dxa"/>
          </w:tcPr>
          <w:p w14:paraId="36D57E93" w14:textId="77777777" w:rsidR="009102A7" w:rsidRPr="00576AF8" w:rsidRDefault="009102A7" w:rsidP="009F6B78">
            <w:pPr>
              <w:widowControl w:val="0"/>
              <w:suppressAutoHyphens w:val="0"/>
              <w:autoSpaceDE w:val="0"/>
              <w:autoSpaceDN w:val="0"/>
              <w:spacing w:before="97" w:after="0" w:line="210" w:lineRule="exact"/>
              <w:ind w:left="6" w:right="1"/>
              <w:jc w:val="center"/>
              <w:rPr>
                <w:rFonts w:eastAsia="Calibri"/>
                <w:b/>
                <w:sz w:val="22"/>
                <w:szCs w:val="22"/>
              </w:rPr>
            </w:pPr>
            <w:r w:rsidRPr="00576AF8">
              <w:rPr>
                <w:rFonts w:eastAsia="Calibri"/>
                <w:b/>
                <w:spacing w:val="-2"/>
                <w:sz w:val="22"/>
                <w:szCs w:val="22"/>
              </w:rPr>
              <w:t>Quantity</w:t>
            </w:r>
          </w:p>
        </w:tc>
      </w:tr>
      <w:tr w:rsidR="009102A7" w:rsidRPr="00576AF8" w14:paraId="7F00F70D" w14:textId="77777777" w:rsidTr="009F6B78">
        <w:trPr>
          <w:trHeight w:val="290"/>
        </w:trPr>
        <w:tc>
          <w:tcPr>
            <w:tcW w:w="5671" w:type="dxa"/>
          </w:tcPr>
          <w:p w14:paraId="4F8C0130" w14:textId="77777777" w:rsidR="009102A7" w:rsidRPr="00576AF8" w:rsidRDefault="009102A7" w:rsidP="009F6B78">
            <w:pPr>
              <w:widowControl w:val="0"/>
              <w:suppressAutoHyphens w:val="0"/>
              <w:autoSpaceDE w:val="0"/>
              <w:autoSpaceDN w:val="0"/>
              <w:spacing w:before="97" w:after="0" w:line="227" w:lineRule="exact"/>
              <w:ind w:left="115"/>
              <w:jc w:val="left"/>
              <w:rPr>
                <w:rFonts w:eastAsia="Calibri"/>
                <w:b/>
                <w:sz w:val="22"/>
                <w:szCs w:val="22"/>
              </w:rPr>
            </w:pPr>
            <w:r w:rsidRPr="00576AF8">
              <w:rPr>
                <w:rFonts w:eastAsia="Calibri"/>
                <w:b/>
                <w:sz w:val="22"/>
                <w:szCs w:val="22"/>
              </w:rPr>
              <w:t>Network</w:t>
            </w:r>
            <w:r w:rsidRPr="00576AF8">
              <w:rPr>
                <w:rFonts w:eastAsia="Calibri"/>
                <w:b/>
                <w:spacing w:val="-5"/>
                <w:sz w:val="22"/>
                <w:szCs w:val="22"/>
              </w:rPr>
              <w:t xml:space="preserve"> </w:t>
            </w:r>
            <w:r w:rsidRPr="00576AF8">
              <w:rPr>
                <w:rFonts w:eastAsia="Calibri"/>
                <w:b/>
                <w:spacing w:val="-2"/>
                <w:sz w:val="22"/>
                <w:szCs w:val="22"/>
              </w:rPr>
              <w:t>Analysis</w:t>
            </w:r>
          </w:p>
        </w:tc>
        <w:tc>
          <w:tcPr>
            <w:tcW w:w="1843" w:type="dxa"/>
          </w:tcPr>
          <w:p w14:paraId="49167E88"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54939DFF" w14:textId="77777777" w:rsidTr="009F6B78">
        <w:trPr>
          <w:trHeight w:val="261"/>
        </w:trPr>
        <w:tc>
          <w:tcPr>
            <w:tcW w:w="5671" w:type="dxa"/>
            <w:tcBorders>
              <w:bottom w:val="nil"/>
            </w:tcBorders>
          </w:tcPr>
          <w:p w14:paraId="6312B125" w14:textId="77777777" w:rsidR="009102A7" w:rsidRPr="00576AF8" w:rsidRDefault="009102A7" w:rsidP="009F6B78">
            <w:pPr>
              <w:widowControl w:val="0"/>
              <w:suppressAutoHyphens w:val="0"/>
              <w:autoSpaceDE w:val="0"/>
              <w:autoSpaceDN w:val="0"/>
              <w:spacing w:before="97" w:after="0" w:line="229" w:lineRule="exact"/>
              <w:ind w:left="632"/>
              <w:jc w:val="left"/>
              <w:rPr>
                <w:rFonts w:eastAsia="Calibri"/>
                <w:sz w:val="22"/>
                <w:szCs w:val="22"/>
              </w:rPr>
            </w:pPr>
            <w:r w:rsidRPr="00576AF8">
              <w:rPr>
                <w:rFonts w:eastAsia="Calibri"/>
                <w:spacing w:val="-2"/>
                <w:sz w:val="22"/>
                <w:szCs w:val="22"/>
              </w:rPr>
              <w:t>Simultaneous</w:t>
            </w:r>
            <w:r w:rsidRPr="00576AF8">
              <w:rPr>
                <w:rFonts w:eastAsia="Calibri"/>
                <w:spacing w:val="8"/>
                <w:sz w:val="22"/>
                <w:szCs w:val="22"/>
              </w:rPr>
              <w:t xml:space="preserve"> </w:t>
            </w:r>
            <w:r w:rsidRPr="00576AF8">
              <w:rPr>
                <w:rFonts w:eastAsia="Calibri"/>
                <w:spacing w:val="-4"/>
                <w:sz w:val="22"/>
                <w:szCs w:val="22"/>
              </w:rPr>
              <w:t>users</w:t>
            </w:r>
          </w:p>
        </w:tc>
        <w:tc>
          <w:tcPr>
            <w:tcW w:w="1843" w:type="dxa"/>
            <w:tcBorders>
              <w:bottom w:val="nil"/>
            </w:tcBorders>
          </w:tcPr>
          <w:p w14:paraId="5F22C95B" w14:textId="77777777" w:rsidR="009102A7" w:rsidRPr="00576AF8" w:rsidRDefault="009102A7" w:rsidP="009F6B78">
            <w:pPr>
              <w:widowControl w:val="0"/>
              <w:suppressAutoHyphens w:val="0"/>
              <w:autoSpaceDE w:val="0"/>
              <w:autoSpaceDN w:val="0"/>
              <w:spacing w:before="97" w:after="0" w:line="229" w:lineRule="exact"/>
              <w:ind w:left="6" w:right="2"/>
              <w:jc w:val="center"/>
              <w:rPr>
                <w:rFonts w:eastAsia="Calibri"/>
                <w:sz w:val="22"/>
                <w:szCs w:val="22"/>
              </w:rPr>
            </w:pPr>
            <w:r w:rsidRPr="00576AF8">
              <w:rPr>
                <w:rFonts w:eastAsia="Calibri"/>
                <w:spacing w:val="-5"/>
                <w:sz w:val="22"/>
                <w:szCs w:val="22"/>
              </w:rPr>
              <w:t>10</w:t>
            </w:r>
          </w:p>
        </w:tc>
      </w:tr>
      <w:tr w:rsidR="009102A7" w:rsidRPr="00576AF8" w14:paraId="67E5F121" w14:textId="77777777" w:rsidTr="009F6B78">
        <w:trPr>
          <w:trHeight w:val="289"/>
        </w:trPr>
        <w:tc>
          <w:tcPr>
            <w:tcW w:w="5671" w:type="dxa"/>
            <w:tcBorders>
              <w:top w:val="nil"/>
              <w:bottom w:val="nil"/>
            </w:tcBorders>
          </w:tcPr>
          <w:p w14:paraId="3E2115BB" w14:textId="77777777" w:rsidR="009102A7" w:rsidRPr="00576AF8" w:rsidRDefault="009102A7" w:rsidP="009F6B78">
            <w:pPr>
              <w:widowControl w:val="0"/>
              <w:suppressAutoHyphens w:val="0"/>
              <w:autoSpaceDE w:val="0"/>
              <w:autoSpaceDN w:val="0"/>
              <w:spacing w:before="25" w:after="0"/>
              <w:ind w:left="633"/>
              <w:jc w:val="left"/>
              <w:rPr>
                <w:rFonts w:eastAsia="Calibri"/>
                <w:sz w:val="22"/>
                <w:szCs w:val="22"/>
              </w:rPr>
            </w:pPr>
            <w:r w:rsidRPr="00576AF8">
              <w:rPr>
                <w:rFonts w:eastAsia="Calibri"/>
                <w:sz w:val="22"/>
                <w:szCs w:val="22"/>
              </w:rPr>
              <w:t>Contingency</w:t>
            </w:r>
            <w:r w:rsidRPr="00576AF8">
              <w:rPr>
                <w:rFonts w:eastAsia="Calibri"/>
                <w:spacing w:val="-13"/>
                <w:sz w:val="22"/>
                <w:szCs w:val="22"/>
              </w:rPr>
              <w:t xml:space="preserve"> </w:t>
            </w:r>
            <w:r w:rsidRPr="00576AF8">
              <w:rPr>
                <w:rFonts w:eastAsia="Calibri"/>
                <w:sz w:val="22"/>
                <w:szCs w:val="22"/>
              </w:rPr>
              <w:t>cases</w:t>
            </w:r>
            <w:r w:rsidRPr="00576AF8">
              <w:rPr>
                <w:rFonts w:eastAsia="Calibri"/>
                <w:spacing w:val="-7"/>
                <w:sz w:val="22"/>
                <w:szCs w:val="22"/>
              </w:rPr>
              <w:t xml:space="preserve"> </w:t>
            </w:r>
            <w:r w:rsidRPr="00576AF8">
              <w:rPr>
                <w:rFonts w:eastAsia="Calibri"/>
                <w:spacing w:val="-2"/>
                <w:sz w:val="22"/>
                <w:szCs w:val="22"/>
              </w:rPr>
              <w:t>screened</w:t>
            </w:r>
          </w:p>
        </w:tc>
        <w:tc>
          <w:tcPr>
            <w:tcW w:w="1843" w:type="dxa"/>
            <w:tcBorders>
              <w:top w:val="nil"/>
              <w:bottom w:val="nil"/>
            </w:tcBorders>
          </w:tcPr>
          <w:p w14:paraId="164B7576" w14:textId="77777777" w:rsidR="009102A7" w:rsidRPr="00576AF8" w:rsidRDefault="009102A7" w:rsidP="009F6B78">
            <w:pPr>
              <w:widowControl w:val="0"/>
              <w:suppressAutoHyphens w:val="0"/>
              <w:autoSpaceDE w:val="0"/>
              <w:autoSpaceDN w:val="0"/>
              <w:spacing w:before="25" w:after="0"/>
              <w:ind w:left="6" w:right="1"/>
              <w:jc w:val="center"/>
              <w:rPr>
                <w:rFonts w:eastAsia="Calibri"/>
                <w:sz w:val="22"/>
                <w:szCs w:val="22"/>
              </w:rPr>
            </w:pPr>
            <w:r w:rsidRPr="00576AF8">
              <w:rPr>
                <w:rFonts w:eastAsia="Calibri"/>
                <w:spacing w:val="-5"/>
                <w:sz w:val="22"/>
                <w:szCs w:val="22"/>
              </w:rPr>
              <w:t>200</w:t>
            </w:r>
          </w:p>
        </w:tc>
      </w:tr>
      <w:tr w:rsidR="009102A7" w:rsidRPr="00576AF8" w14:paraId="57A911B4" w14:textId="77777777" w:rsidTr="009F6B78">
        <w:trPr>
          <w:trHeight w:val="290"/>
        </w:trPr>
        <w:tc>
          <w:tcPr>
            <w:tcW w:w="5671" w:type="dxa"/>
            <w:tcBorders>
              <w:top w:val="nil"/>
              <w:bottom w:val="nil"/>
            </w:tcBorders>
          </w:tcPr>
          <w:p w14:paraId="7B6060D7" w14:textId="77777777" w:rsidR="009102A7" w:rsidRPr="00576AF8" w:rsidRDefault="009102A7" w:rsidP="009F6B78">
            <w:pPr>
              <w:widowControl w:val="0"/>
              <w:suppressAutoHyphens w:val="0"/>
              <w:autoSpaceDE w:val="0"/>
              <w:autoSpaceDN w:val="0"/>
              <w:spacing w:before="26" w:after="0"/>
              <w:ind w:right="326"/>
              <w:jc w:val="center"/>
              <w:rPr>
                <w:rFonts w:eastAsia="Calibri"/>
                <w:sz w:val="22"/>
                <w:szCs w:val="22"/>
                <w:lang w:val="en-US"/>
              </w:rPr>
            </w:pPr>
            <w:r w:rsidRPr="00576AF8">
              <w:rPr>
                <w:rFonts w:eastAsia="Calibri"/>
                <w:sz w:val="22"/>
                <w:szCs w:val="22"/>
                <w:lang w:val="en-US"/>
              </w:rPr>
              <w:t>Contingency</w:t>
            </w:r>
            <w:r w:rsidRPr="00576AF8">
              <w:rPr>
                <w:rFonts w:eastAsia="Calibri"/>
                <w:spacing w:val="-11"/>
                <w:sz w:val="22"/>
                <w:szCs w:val="22"/>
                <w:lang w:val="en-US"/>
              </w:rPr>
              <w:t xml:space="preserve"> </w:t>
            </w:r>
            <w:r w:rsidRPr="00576AF8">
              <w:rPr>
                <w:rFonts w:eastAsia="Calibri"/>
                <w:sz w:val="22"/>
                <w:szCs w:val="22"/>
                <w:lang w:val="en-US"/>
              </w:rPr>
              <w:t>cases</w:t>
            </w:r>
            <w:r w:rsidRPr="00576AF8">
              <w:rPr>
                <w:rFonts w:eastAsia="Calibri"/>
                <w:spacing w:val="-2"/>
                <w:sz w:val="22"/>
                <w:szCs w:val="22"/>
                <w:lang w:val="en-US"/>
              </w:rPr>
              <w:t xml:space="preserve"> </w:t>
            </w:r>
            <w:r w:rsidRPr="00576AF8">
              <w:rPr>
                <w:rFonts w:eastAsia="Calibri"/>
                <w:sz w:val="22"/>
                <w:szCs w:val="22"/>
                <w:lang w:val="en-US"/>
              </w:rPr>
              <w:t>evaluated</w:t>
            </w:r>
            <w:r w:rsidRPr="00576AF8">
              <w:rPr>
                <w:rFonts w:eastAsia="Calibri"/>
                <w:spacing w:val="-7"/>
                <w:sz w:val="22"/>
                <w:szCs w:val="22"/>
                <w:lang w:val="en-US"/>
              </w:rPr>
              <w:t xml:space="preserve"> </w:t>
            </w:r>
            <w:r w:rsidRPr="00576AF8">
              <w:rPr>
                <w:rFonts w:eastAsia="Calibri"/>
                <w:sz w:val="22"/>
                <w:szCs w:val="22"/>
                <w:lang w:val="en-US"/>
              </w:rPr>
              <w:t>(full</w:t>
            </w:r>
            <w:r w:rsidRPr="00576AF8">
              <w:rPr>
                <w:rFonts w:eastAsia="Calibri"/>
                <w:spacing w:val="-7"/>
                <w:sz w:val="22"/>
                <w:szCs w:val="22"/>
                <w:lang w:val="en-US"/>
              </w:rPr>
              <w:t xml:space="preserve"> </w:t>
            </w:r>
            <w:r w:rsidRPr="00576AF8">
              <w:rPr>
                <w:rFonts w:eastAsia="Calibri"/>
                <w:sz w:val="22"/>
                <w:szCs w:val="22"/>
                <w:lang w:val="en-US"/>
              </w:rPr>
              <w:t>ac</w:t>
            </w:r>
            <w:r w:rsidRPr="00576AF8">
              <w:rPr>
                <w:rFonts w:eastAsia="Calibri"/>
                <w:spacing w:val="-5"/>
                <w:sz w:val="22"/>
                <w:szCs w:val="22"/>
                <w:lang w:val="en-US"/>
              </w:rPr>
              <w:t xml:space="preserve"> </w:t>
            </w:r>
            <w:r w:rsidRPr="00576AF8">
              <w:rPr>
                <w:rFonts w:eastAsia="Calibri"/>
                <w:spacing w:val="-2"/>
                <w:sz w:val="22"/>
                <w:szCs w:val="22"/>
                <w:lang w:val="en-US"/>
              </w:rPr>
              <w:t>solution)</w:t>
            </w:r>
          </w:p>
        </w:tc>
        <w:tc>
          <w:tcPr>
            <w:tcW w:w="1843" w:type="dxa"/>
            <w:tcBorders>
              <w:top w:val="nil"/>
              <w:bottom w:val="nil"/>
            </w:tcBorders>
          </w:tcPr>
          <w:p w14:paraId="3B7020DA" w14:textId="77777777" w:rsidR="009102A7" w:rsidRPr="00576AF8" w:rsidRDefault="009102A7" w:rsidP="009F6B78">
            <w:pPr>
              <w:widowControl w:val="0"/>
              <w:suppressAutoHyphens w:val="0"/>
              <w:autoSpaceDE w:val="0"/>
              <w:autoSpaceDN w:val="0"/>
              <w:spacing w:before="26" w:after="0"/>
              <w:ind w:left="6" w:right="2"/>
              <w:jc w:val="center"/>
              <w:rPr>
                <w:rFonts w:eastAsia="Calibri"/>
                <w:sz w:val="22"/>
                <w:szCs w:val="22"/>
              </w:rPr>
            </w:pPr>
            <w:r w:rsidRPr="00576AF8">
              <w:rPr>
                <w:rFonts w:eastAsia="Calibri"/>
                <w:spacing w:val="-5"/>
                <w:sz w:val="22"/>
                <w:szCs w:val="22"/>
              </w:rPr>
              <w:t>25</w:t>
            </w:r>
          </w:p>
        </w:tc>
      </w:tr>
      <w:tr w:rsidR="009102A7" w:rsidRPr="00576AF8" w14:paraId="50EC2876" w14:textId="77777777" w:rsidTr="009F6B78">
        <w:trPr>
          <w:trHeight w:val="290"/>
        </w:trPr>
        <w:tc>
          <w:tcPr>
            <w:tcW w:w="5671" w:type="dxa"/>
            <w:tcBorders>
              <w:top w:val="nil"/>
              <w:bottom w:val="nil"/>
            </w:tcBorders>
          </w:tcPr>
          <w:p w14:paraId="0C18FD50" w14:textId="77777777" w:rsidR="009102A7" w:rsidRPr="00576AF8" w:rsidRDefault="009102A7" w:rsidP="009F6B78">
            <w:pPr>
              <w:widowControl w:val="0"/>
              <w:suppressAutoHyphens w:val="0"/>
              <w:autoSpaceDE w:val="0"/>
              <w:autoSpaceDN w:val="0"/>
              <w:spacing w:before="26" w:after="0"/>
              <w:ind w:left="633"/>
              <w:jc w:val="left"/>
              <w:rPr>
                <w:rFonts w:eastAsia="Calibri"/>
                <w:sz w:val="22"/>
                <w:szCs w:val="22"/>
                <w:lang w:val="en-US"/>
              </w:rPr>
            </w:pPr>
            <w:r w:rsidRPr="00576AF8">
              <w:rPr>
                <w:rFonts w:eastAsia="Calibri"/>
                <w:sz w:val="22"/>
                <w:szCs w:val="22"/>
                <w:lang w:val="en-US"/>
              </w:rPr>
              <w:t>Equipment</w:t>
            </w:r>
            <w:r w:rsidRPr="00576AF8">
              <w:rPr>
                <w:rFonts w:eastAsia="Calibri"/>
                <w:spacing w:val="-9"/>
                <w:sz w:val="22"/>
                <w:szCs w:val="22"/>
                <w:lang w:val="en-US"/>
              </w:rPr>
              <w:t xml:space="preserve"> </w:t>
            </w:r>
            <w:r w:rsidRPr="00576AF8">
              <w:rPr>
                <w:rFonts w:eastAsia="Calibri"/>
                <w:sz w:val="22"/>
                <w:szCs w:val="22"/>
                <w:lang w:val="en-US"/>
              </w:rPr>
              <w:t>outages</w:t>
            </w:r>
            <w:r w:rsidRPr="00576AF8">
              <w:rPr>
                <w:rFonts w:eastAsia="Calibri"/>
                <w:spacing w:val="-7"/>
                <w:sz w:val="22"/>
                <w:szCs w:val="22"/>
                <w:lang w:val="en-US"/>
              </w:rPr>
              <w:t xml:space="preserve"> </w:t>
            </w:r>
            <w:r w:rsidRPr="00576AF8">
              <w:rPr>
                <w:rFonts w:eastAsia="Calibri"/>
                <w:sz w:val="22"/>
                <w:szCs w:val="22"/>
                <w:lang w:val="en-US"/>
              </w:rPr>
              <w:t>per</w:t>
            </w:r>
            <w:r w:rsidRPr="00576AF8">
              <w:rPr>
                <w:rFonts w:eastAsia="Calibri"/>
                <w:spacing w:val="-7"/>
                <w:sz w:val="22"/>
                <w:szCs w:val="22"/>
                <w:lang w:val="en-US"/>
              </w:rPr>
              <w:t xml:space="preserve"> </w:t>
            </w:r>
            <w:r w:rsidRPr="00576AF8">
              <w:rPr>
                <w:rFonts w:eastAsia="Calibri"/>
                <w:sz w:val="22"/>
                <w:szCs w:val="22"/>
                <w:lang w:val="en-US"/>
              </w:rPr>
              <w:t>contingency</w:t>
            </w:r>
            <w:r w:rsidRPr="00576AF8">
              <w:rPr>
                <w:rFonts w:eastAsia="Calibri"/>
                <w:spacing w:val="-13"/>
                <w:sz w:val="22"/>
                <w:szCs w:val="22"/>
                <w:lang w:val="en-US"/>
              </w:rPr>
              <w:t xml:space="preserve"> </w:t>
            </w:r>
            <w:r w:rsidRPr="00576AF8">
              <w:rPr>
                <w:rFonts w:eastAsia="Calibri"/>
                <w:spacing w:val="-4"/>
                <w:sz w:val="22"/>
                <w:szCs w:val="22"/>
                <w:lang w:val="en-US"/>
              </w:rPr>
              <w:t>case</w:t>
            </w:r>
          </w:p>
        </w:tc>
        <w:tc>
          <w:tcPr>
            <w:tcW w:w="1843" w:type="dxa"/>
            <w:tcBorders>
              <w:top w:val="nil"/>
              <w:bottom w:val="nil"/>
            </w:tcBorders>
          </w:tcPr>
          <w:p w14:paraId="35BA8E26" w14:textId="77777777" w:rsidR="009102A7" w:rsidRPr="00576AF8" w:rsidRDefault="009102A7" w:rsidP="009F6B78">
            <w:pPr>
              <w:widowControl w:val="0"/>
              <w:suppressAutoHyphens w:val="0"/>
              <w:autoSpaceDE w:val="0"/>
              <w:autoSpaceDN w:val="0"/>
              <w:spacing w:before="26" w:after="0"/>
              <w:ind w:left="6" w:right="2"/>
              <w:jc w:val="center"/>
              <w:rPr>
                <w:rFonts w:eastAsia="Calibri"/>
                <w:sz w:val="22"/>
                <w:szCs w:val="22"/>
              </w:rPr>
            </w:pPr>
            <w:r w:rsidRPr="00576AF8">
              <w:rPr>
                <w:rFonts w:eastAsia="Calibri"/>
                <w:spacing w:val="-5"/>
                <w:sz w:val="22"/>
                <w:szCs w:val="22"/>
              </w:rPr>
              <w:t>15</w:t>
            </w:r>
          </w:p>
        </w:tc>
      </w:tr>
      <w:tr w:rsidR="009102A7" w:rsidRPr="00576AF8" w14:paraId="08324E47" w14:textId="77777777" w:rsidTr="009F6B78">
        <w:trPr>
          <w:trHeight w:val="290"/>
        </w:trPr>
        <w:tc>
          <w:tcPr>
            <w:tcW w:w="5671" w:type="dxa"/>
            <w:tcBorders>
              <w:top w:val="nil"/>
              <w:bottom w:val="nil"/>
            </w:tcBorders>
          </w:tcPr>
          <w:p w14:paraId="0ED91CD9" w14:textId="77777777" w:rsidR="009102A7" w:rsidRPr="00576AF8" w:rsidRDefault="009102A7" w:rsidP="009F6B78">
            <w:pPr>
              <w:widowControl w:val="0"/>
              <w:suppressAutoHyphens w:val="0"/>
              <w:autoSpaceDE w:val="0"/>
              <w:autoSpaceDN w:val="0"/>
              <w:spacing w:before="26" w:after="0"/>
              <w:ind w:left="633"/>
              <w:jc w:val="left"/>
              <w:rPr>
                <w:rFonts w:eastAsia="Calibri"/>
                <w:sz w:val="22"/>
                <w:szCs w:val="22"/>
                <w:lang w:val="en-US"/>
              </w:rPr>
            </w:pPr>
            <w:r w:rsidRPr="00576AF8">
              <w:rPr>
                <w:rFonts w:eastAsia="Calibri"/>
                <w:sz w:val="22"/>
                <w:szCs w:val="22"/>
                <w:lang w:val="en-US"/>
              </w:rPr>
              <w:t>Power</w:t>
            </w:r>
            <w:r w:rsidRPr="00576AF8">
              <w:rPr>
                <w:rFonts w:eastAsia="Calibri"/>
                <w:spacing w:val="-3"/>
                <w:sz w:val="22"/>
                <w:szCs w:val="22"/>
                <w:lang w:val="en-US"/>
              </w:rPr>
              <w:t xml:space="preserve"> </w:t>
            </w:r>
            <w:r w:rsidRPr="00576AF8">
              <w:rPr>
                <w:rFonts w:eastAsia="Calibri"/>
                <w:sz w:val="22"/>
                <w:szCs w:val="22"/>
                <w:lang w:val="en-US"/>
              </w:rPr>
              <w:t>flow</w:t>
            </w:r>
            <w:r w:rsidRPr="00576AF8">
              <w:rPr>
                <w:rFonts w:eastAsia="Calibri"/>
                <w:spacing w:val="-5"/>
                <w:sz w:val="22"/>
                <w:szCs w:val="22"/>
                <w:lang w:val="en-US"/>
              </w:rPr>
              <w:t xml:space="preserve"> </w:t>
            </w:r>
            <w:r w:rsidRPr="00576AF8">
              <w:rPr>
                <w:rFonts w:eastAsia="Calibri"/>
                <w:sz w:val="22"/>
                <w:szCs w:val="22"/>
                <w:lang w:val="en-US"/>
              </w:rPr>
              <w:t>study</w:t>
            </w:r>
            <w:r w:rsidRPr="00576AF8">
              <w:rPr>
                <w:rFonts w:eastAsia="Calibri"/>
                <w:spacing w:val="-9"/>
                <w:sz w:val="22"/>
                <w:szCs w:val="22"/>
                <w:lang w:val="en-US"/>
              </w:rPr>
              <w:t xml:space="preserve"> </w:t>
            </w:r>
            <w:r w:rsidRPr="00576AF8">
              <w:rPr>
                <w:rFonts w:eastAsia="Calibri"/>
                <w:sz w:val="22"/>
                <w:szCs w:val="22"/>
                <w:lang w:val="en-US"/>
              </w:rPr>
              <w:t>save</w:t>
            </w:r>
            <w:r w:rsidRPr="00576AF8">
              <w:rPr>
                <w:rFonts w:eastAsia="Calibri"/>
                <w:spacing w:val="-6"/>
                <w:sz w:val="22"/>
                <w:szCs w:val="22"/>
                <w:lang w:val="en-US"/>
              </w:rPr>
              <w:t xml:space="preserve"> </w:t>
            </w:r>
            <w:r w:rsidRPr="00576AF8">
              <w:rPr>
                <w:rFonts w:eastAsia="Calibri"/>
                <w:spacing w:val="-2"/>
                <w:sz w:val="22"/>
                <w:szCs w:val="22"/>
                <w:lang w:val="en-US"/>
              </w:rPr>
              <w:t>cases</w:t>
            </w:r>
          </w:p>
        </w:tc>
        <w:tc>
          <w:tcPr>
            <w:tcW w:w="1843" w:type="dxa"/>
            <w:tcBorders>
              <w:top w:val="nil"/>
              <w:bottom w:val="nil"/>
            </w:tcBorders>
          </w:tcPr>
          <w:p w14:paraId="3A346C7A" w14:textId="77777777" w:rsidR="009102A7" w:rsidRPr="00576AF8" w:rsidRDefault="009102A7" w:rsidP="009F6B78">
            <w:pPr>
              <w:widowControl w:val="0"/>
              <w:suppressAutoHyphens w:val="0"/>
              <w:autoSpaceDE w:val="0"/>
              <w:autoSpaceDN w:val="0"/>
              <w:spacing w:before="26" w:after="0"/>
              <w:ind w:left="6" w:right="1"/>
              <w:jc w:val="center"/>
              <w:rPr>
                <w:rFonts w:eastAsia="Calibri"/>
                <w:sz w:val="22"/>
                <w:szCs w:val="22"/>
              </w:rPr>
            </w:pPr>
            <w:r w:rsidRPr="00576AF8">
              <w:rPr>
                <w:rFonts w:eastAsia="Calibri"/>
                <w:spacing w:val="-4"/>
                <w:sz w:val="22"/>
                <w:szCs w:val="22"/>
              </w:rPr>
              <w:t>1000</w:t>
            </w:r>
          </w:p>
        </w:tc>
      </w:tr>
      <w:tr w:rsidR="009102A7" w:rsidRPr="00576AF8" w14:paraId="2551AF6B" w14:textId="77777777" w:rsidTr="009F6B78">
        <w:trPr>
          <w:trHeight w:val="319"/>
        </w:trPr>
        <w:tc>
          <w:tcPr>
            <w:tcW w:w="5671" w:type="dxa"/>
            <w:tcBorders>
              <w:top w:val="nil"/>
            </w:tcBorders>
          </w:tcPr>
          <w:p w14:paraId="0CF1B7FD" w14:textId="77777777" w:rsidR="009102A7" w:rsidRPr="00576AF8" w:rsidRDefault="009102A7" w:rsidP="009F6B78">
            <w:pPr>
              <w:widowControl w:val="0"/>
              <w:suppressAutoHyphens w:val="0"/>
              <w:autoSpaceDE w:val="0"/>
              <w:autoSpaceDN w:val="0"/>
              <w:spacing w:before="26" w:after="0"/>
              <w:ind w:left="633"/>
              <w:jc w:val="left"/>
              <w:rPr>
                <w:rFonts w:eastAsia="Calibri"/>
                <w:sz w:val="22"/>
                <w:szCs w:val="22"/>
              </w:rPr>
            </w:pPr>
            <w:r w:rsidRPr="00576AF8">
              <w:rPr>
                <w:rFonts w:eastAsia="Calibri"/>
                <w:sz w:val="22"/>
                <w:szCs w:val="22"/>
              </w:rPr>
              <w:t>Contingency</w:t>
            </w:r>
            <w:r w:rsidRPr="00576AF8">
              <w:rPr>
                <w:rFonts w:eastAsia="Calibri"/>
                <w:spacing w:val="-9"/>
                <w:sz w:val="22"/>
                <w:szCs w:val="22"/>
              </w:rPr>
              <w:t xml:space="preserve"> </w:t>
            </w:r>
            <w:r w:rsidRPr="00576AF8">
              <w:rPr>
                <w:rFonts w:eastAsia="Calibri"/>
                <w:sz w:val="22"/>
                <w:szCs w:val="22"/>
              </w:rPr>
              <w:t>study</w:t>
            </w:r>
            <w:r w:rsidRPr="00576AF8">
              <w:rPr>
                <w:rFonts w:eastAsia="Calibri"/>
                <w:spacing w:val="-9"/>
                <w:sz w:val="22"/>
                <w:szCs w:val="22"/>
              </w:rPr>
              <w:t xml:space="preserve"> </w:t>
            </w:r>
            <w:r w:rsidRPr="00576AF8">
              <w:rPr>
                <w:rFonts w:eastAsia="Calibri"/>
                <w:sz w:val="22"/>
                <w:szCs w:val="22"/>
              </w:rPr>
              <w:t>save</w:t>
            </w:r>
            <w:r w:rsidRPr="00576AF8">
              <w:rPr>
                <w:rFonts w:eastAsia="Calibri"/>
                <w:spacing w:val="-6"/>
                <w:sz w:val="22"/>
                <w:szCs w:val="22"/>
              </w:rPr>
              <w:t xml:space="preserve"> </w:t>
            </w:r>
            <w:r w:rsidRPr="00576AF8">
              <w:rPr>
                <w:rFonts w:eastAsia="Calibri"/>
                <w:spacing w:val="-2"/>
                <w:sz w:val="22"/>
                <w:szCs w:val="22"/>
              </w:rPr>
              <w:t>cases</w:t>
            </w:r>
          </w:p>
        </w:tc>
        <w:tc>
          <w:tcPr>
            <w:tcW w:w="1843" w:type="dxa"/>
            <w:tcBorders>
              <w:top w:val="nil"/>
            </w:tcBorders>
          </w:tcPr>
          <w:p w14:paraId="302C0F3F" w14:textId="77777777" w:rsidR="009102A7" w:rsidRPr="00576AF8" w:rsidRDefault="009102A7" w:rsidP="009F6B78">
            <w:pPr>
              <w:widowControl w:val="0"/>
              <w:suppressAutoHyphens w:val="0"/>
              <w:autoSpaceDE w:val="0"/>
              <w:autoSpaceDN w:val="0"/>
              <w:spacing w:before="26" w:after="0"/>
              <w:ind w:left="6" w:right="1"/>
              <w:jc w:val="center"/>
              <w:rPr>
                <w:rFonts w:eastAsia="Calibri"/>
                <w:sz w:val="22"/>
                <w:szCs w:val="22"/>
              </w:rPr>
            </w:pPr>
            <w:r w:rsidRPr="00576AF8">
              <w:rPr>
                <w:rFonts w:eastAsia="Calibri"/>
                <w:spacing w:val="-4"/>
                <w:sz w:val="22"/>
                <w:szCs w:val="22"/>
              </w:rPr>
              <w:t>1000</w:t>
            </w:r>
          </w:p>
        </w:tc>
      </w:tr>
      <w:tr w:rsidR="009102A7" w:rsidRPr="00576AF8" w14:paraId="0F5D6982" w14:textId="77777777" w:rsidTr="009F6B78">
        <w:trPr>
          <w:trHeight w:val="290"/>
        </w:trPr>
        <w:tc>
          <w:tcPr>
            <w:tcW w:w="5671" w:type="dxa"/>
          </w:tcPr>
          <w:p w14:paraId="49C352F1" w14:textId="77777777" w:rsidR="009102A7" w:rsidRPr="00576AF8" w:rsidRDefault="009102A7" w:rsidP="009F6B78">
            <w:pPr>
              <w:widowControl w:val="0"/>
              <w:suppressAutoHyphens w:val="0"/>
              <w:autoSpaceDE w:val="0"/>
              <w:autoSpaceDN w:val="0"/>
              <w:spacing w:before="97" w:after="0" w:line="225" w:lineRule="exact"/>
              <w:ind w:left="115"/>
              <w:jc w:val="left"/>
              <w:rPr>
                <w:rFonts w:eastAsia="Calibri"/>
                <w:b/>
                <w:sz w:val="22"/>
                <w:szCs w:val="22"/>
              </w:rPr>
            </w:pPr>
            <w:r w:rsidRPr="00576AF8">
              <w:rPr>
                <w:rFonts w:eastAsia="Calibri"/>
                <w:b/>
                <w:sz w:val="22"/>
                <w:szCs w:val="22"/>
              </w:rPr>
              <w:t>Historical</w:t>
            </w:r>
            <w:r w:rsidRPr="00576AF8">
              <w:rPr>
                <w:rFonts w:eastAsia="Calibri"/>
                <w:b/>
                <w:spacing w:val="-10"/>
                <w:sz w:val="22"/>
                <w:szCs w:val="22"/>
              </w:rPr>
              <w:t xml:space="preserve"> </w:t>
            </w:r>
            <w:r w:rsidRPr="00576AF8">
              <w:rPr>
                <w:rFonts w:eastAsia="Calibri"/>
                <w:b/>
                <w:spacing w:val="-2"/>
                <w:sz w:val="22"/>
                <w:szCs w:val="22"/>
              </w:rPr>
              <w:t>System</w:t>
            </w:r>
          </w:p>
        </w:tc>
        <w:tc>
          <w:tcPr>
            <w:tcW w:w="1843" w:type="dxa"/>
          </w:tcPr>
          <w:p w14:paraId="6551D4CB"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301C51E9" w14:textId="77777777" w:rsidTr="009F6B78">
        <w:trPr>
          <w:trHeight w:val="260"/>
        </w:trPr>
        <w:tc>
          <w:tcPr>
            <w:tcW w:w="5671" w:type="dxa"/>
            <w:tcBorders>
              <w:bottom w:val="nil"/>
            </w:tcBorders>
          </w:tcPr>
          <w:p w14:paraId="0DA55A13" w14:textId="77777777" w:rsidR="009102A7" w:rsidRPr="00576AF8" w:rsidRDefault="009102A7" w:rsidP="009F6B78">
            <w:pPr>
              <w:widowControl w:val="0"/>
              <w:suppressAutoHyphens w:val="0"/>
              <w:autoSpaceDE w:val="0"/>
              <w:autoSpaceDN w:val="0"/>
              <w:spacing w:before="97" w:after="0" w:line="227" w:lineRule="exact"/>
              <w:ind w:left="632"/>
              <w:jc w:val="left"/>
              <w:rPr>
                <w:rFonts w:eastAsia="Calibri"/>
                <w:sz w:val="22"/>
                <w:szCs w:val="22"/>
              </w:rPr>
            </w:pPr>
            <w:r w:rsidRPr="00576AF8">
              <w:rPr>
                <w:rFonts w:eastAsia="Calibri"/>
                <w:sz w:val="22"/>
                <w:szCs w:val="22"/>
              </w:rPr>
              <w:t>Simultaneous</w:t>
            </w:r>
            <w:r w:rsidRPr="00576AF8">
              <w:rPr>
                <w:rFonts w:eastAsia="Calibri"/>
                <w:spacing w:val="-7"/>
                <w:sz w:val="22"/>
                <w:szCs w:val="22"/>
              </w:rPr>
              <w:t xml:space="preserve"> </w:t>
            </w:r>
            <w:r w:rsidRPr="00576AF8">
              <w:rPr>
                <w:rFonts w:eastAsia="Calibri"/>
                <w:sz w:val="22"/>
                <w:szCs w:val="22"/>
              </w:rPr>
              <w:t>EMS</w:t>
            </w:r>
            <w:r w:rsidRPr="00576AF8">
              <w:rPr>
                <w:rFonts w:eastAsia="Calibri"/>
                <w:spacing w:val="-11"/>
                <w:sz w:val="22"/>
                <w:szCs w:val="22"/>
              </w:rPr>
              <w:t xml:space="preserve"> </w:t>
            </w:r>
            <w:r w:rsidRPr="00576AF8">
              <w:rPr>
                <w:rFonts w:eastAsia="Calibri"/>
                <w:spacing w:val="-4"/>
                <w:sz w:val="22"/>
                <w:szCs w:val="22"/>
              </w:rPr>
              <w:t>users</w:t>
            </w:r>
          </w:p>
        </w:tc>
        <w:tc>
          <w:tcPr>
            <w:tcW w:w="1843" w:type="dxa"/>
            <w:tcBorders>
              <w:bottom w:val="nil"/>
            </w:tcBorders>
          </w:tcPr>
          <w:p w14:paraId="1B7D4713" w14:textId="77777777" w:rsidR="009102A7" w:rsidRPr="00576AF8" w:rsidRDefault="009102A7" w:rsidP="009F6B78">
            <w:pPr>
              <w:widowControl w:val="0"/>
              <w:suppressAutoHyphens w:val="0"/>
              <w:autoSpaceDE w:val="0"/>
              <w:autoSpaceDN w:val="0"/>
              <w:spacing w:before="97" w:after="0" w:line="227" w:lineRule="exact"/>
              <w:ind w:left="6" w:right="2"/>
              <w:jc w:val="center"/>
              <w:rPr>
                <w:rFonts w:eastAsia="Calibri"/>
                <w:sz w:val="22"/>
                <w:szCs w:val="22"/>
              </w:rPr>
            </w:pPr>
            <w:r w:rsidRPr="00576AF8">
              <w:rPr>
                <w:rFonts w:eastAsia="Calibri"/>
                <w:spacing w:val="-5"/>
                <w:sz w:val="22"/>
                <w:szCs w:val="22"/>
              </w:rPr>
              <w:t>50</w:t>
            </w:r>
          </w:p>
        </w:tc>
      </w:tr>
      <w:tr w:rsidR="009102A7" w:rsidRPr="00576AF8" w14:paraId="0B2ED9B2" w14:textId="77777777" w:rsidTr="009F6B78">
        <w:trPr>
          <w:trHeight w:val="289"/>
        </w:trPr>
        <w:tc>
          <w:tcPr>
            <w:tcW w:w="5671" w:type="dxa"/>
            <w:tcBorders>
              <w:top w:val="nil"/>
              <w:bottom w:val="nil"/>
            </w:tcBorders>
          </w:tcPr>
          <w:p w14:paraId="497F1F5A" w14:textId="77777777" w:rsidR="009102A7" w:rsidRPr="00576AF8" w:rsidRDefault="009102A7" w:rsidP="009F6B78">
            <w:pPr>
              <w:widowControl w:val="0"/>
              <w:suppressAutoHyphens w:val="0"/>
              <w:autoSpaceDE w:val="0"/>
              <w:autoSpaceDN w:val="0"/>
              <w:spacing w:before="26" w:after="0"/>
              <w:ind w:left="633"/>
              <w:jc w:val="left"/>
              <w:rPr>
                <w:rFonts w:eastAsia="Calibri"/>
                <w:sz w:val="22"/>
                <w:szCs w:val="22"/>
              </w:rPr>
            </w:pPr>
            <w:r w:rsidRPr="00576AF8">
              <w:rPr>
                <w:rFonts w:eastAsia="Calibri"/>
                <w:sz w:val="22"/>
                <w:szCs w:val="22"/>
              </w:rPr>
              <w:t>Simultaneous</w:t>
            </w:r>
            <w:r w:rsidRPr="00576AF8">
              <w:rPr>
                <w:rFonts w:eastAsia="Calibri"/>
                <w:spacing w:val="-9"/>
                <w:sz w:val="22"/>
                <w:szCs w:val="22"/>
              </w:rPr>
              <w:t xml:space="preserve"> </w:t>
            </w:r>
            <w:r w:rsidRPr="00576AF8">
              <w:rPr>
                <w:rFonts w:eastAsia="Calibri"/>
                <w:sz w:val="22"/>
                <w:szCs w:val="22"/>
              </w:rPr>
              <w:t>non-EMS</w:t>
            </w:r>
            <w:r w:rsidRPr="00576AF8">
              <w:rPr>
                <w:rFonts w:eastAsia="Calibri"/>
                <w:spacing w:val="-11"/>
                <w:sz w:val="22"/>
                <w:szCs w:val="22"/>
              </w:rPr>
              <w:t xml:space="preserve"> </w:t>
            </w:r>
            <w:r w:rsidRPr="00576AF8">
              <w:rPr>
                <w:rFonts w:eastAsia="Calibri"/>
                <w:spacing w:val="-4"/>
                <w:sz w:val="22"/>
                <w:szCs w:val="22"/>
              </w:rPr>
              <w:t>users</w:t>
            </w:r>
          </w:p>
        </w:tc>
        <w:tc>
          <w:tcPr>
            <w:tcW w:w="1843" w:type="dxa"/>
            <w:tcBorders>
              <w:top w:val="nil"/>
              <w:bottom w:val="nil"/>
            </w:tcBorders>
          </w:tcPr>
          <w:p w14:paraId="2CE29304" w14:textId="77777777" w:rsidR="009102A7" w:rsidRPr="00576AF8" w:rsidRDefault="009102A7" w:rsidP="009F6B78">
            <w:pPr>
              <w:widowControl w:val="0"/>
              <w:suppressAutoHyphens w:val="0"/>
              <w:autoSpaceDE w:val="0"/>
              <w:autoSpaceDN w:val="0"/>
              <w:spacing w:before="26" w:after="0"/>
              <w:ind w:left="6" w:right="2"/>
              <w:jc w:val="center"/>
              <w:rPr>
                <w:rFonts w:eastAsia="Calibri"/>
                <w:sz w:val="22"/>
                <w:szCs w:val="22"/>
              </w:rPr>
            </w:pPr>
            <w:r w:rsidRPr="00576AF8">
              <w:rPr>
                <w:rFonts w:eastAsia="Calibri"/>
                <w:spacing w:val="-5"/>
                <w:sz w:val="22"/>
                <w:szCs w:val="22"/>
              </w:rPr>
              <w:t>15</w:t>
            </w:r>
          </w:p>
        </w:tc>
      </w:tr>
      <w:tr w:rsidR="009102A7" w:rsidRPr="00576AF8" w14:paraId="7E109570" w14:textId="77777777" w:rsidTr="009F6B78">
        <w:trPr>
          <w:trHeight w:val="289"/>
        </w:trPr>
        <w:tc>
          <w:tcPr>
            <w:tcW w:w="5671" w:type="dxa"/>
            <w:tcBorders>
              <w:top w:val="nil"/>
              <w:bottom w:val="nil"/>
            </w:tcBorders>
          </w:tcPr>
          <w:p w14:paraId="1F6241F4" w14:textId="77777777" w:rsidR="009102A7" w:rsidRPr="00576AF8" w:rsidRDefault="009102A7" w:rsidP="009F6B78">
            <w:pPr>
              <w:widowControl w:val="0"/>
              <w:suppressAutoHyphens w:val="0"/>
              <w:autoSpaceDE w:val="0"/>
              <w:autoSpaceDN w:val="0"/>
              <w:spacing w:before="25" w:after="0"/>
              <w:ind w:left="633"/>
              <w:jc w:val="left"/>
              <w:rPr>
                <w:rFonts w:eastAsia="Calibri"/>
                <w:sz w:val="22"/>
                <w:szCs w:val="22"/>
              </w:rPr>
            </w:pPr>
            <w:r w:rsidRPr="00576AF8">
              <w:rPr>
                <w:rFonts w:eastAsia="Calibri"/>
                <w:sz w:val="22"/>
                <w:szCs w:val="22"/>
              </w:rPr>
              <w:t>Maximum</w:t>
            </w:r>
            <w:r w:rsidRPr="00576AF8">
              <w:rPr>
                <w:rFonts w:eastAsia="Calibri"/>
                <w:spacing w:val="-4"/>
                <w:sz w:val="22"/>
                <w:szCs w:val="22"/>
              </w:rPr>
              <w:t xml:space="preserve"> </w:t>
            </w:r>
            <w:r w:rsidRPr="00576AF8">
              <w:rPr>
                <w:rFonts w:eastAsia="Calibri"/>
                <w:sz w:val="22"/>
                <w:szCs w:val="22"/>
              </w:rPr>
              <w:t>user</w:t>
            </w:r>
            <w:r w:rsidRPr="00576AF8">
              <w:rPr>
                <w:rFonts w:eastAsia="Calibri"/>
                <w:spacing w:val="-6"/>
                <w:sz w:val="22"/>
                <w:szCs w:val="22"/>
              </w:rPr>
              <w:t xml:space="preserve"> </w:t>
            </w:r>
            <w:r w:rsidRPr="00576AF8">
              <w:rPr>
                <w:rFonts w:eastAsia="Calibri"/>
                <w:spacing w:val="-2"/>
                <w:sz w:val="22"/>
                <w:szCs w:val="22"/>
              </w:rPr>
              <w:t>accounts</w:t>
            </w:r>
          </w:p>
        </w:tc>
        <w:tc>
          <w:tcPr>
            <w:tcW w:w="1843" w:type="dxa"/>
            <w:tcBorders>
              <w:top w:val="nil"/>
              <w:bottom w:val="nil"/>
            </w:tcBorders>
          </w:tcPr>
          <w:p w14:paraId="178901A3" w14:textId="77777777" w:rsidR="009102A7" w:rsidRPr="00576AF8" w:rsidRDefault="009102A7" w:rsidP="009F6B78">
            <w:pPr>
              <w:widowControl w:val="0"/>
              <w:suppressAutoHyphens w:val="0"/>
              <w:autoSpaceDE w:val="0"/>
              <w:autoSpaceDN w:val="0"/>
              <w:spacing w:before="25" w:after="0"/>
              <w:ind w:left="6" w:right="2"/>
              <w:jc w:val="center"/>
              <w:rPr>
                <w:rFonts w:eastAsia="Calibri"/>
                <w:sz w:val="22"/>
                <w:szCs w:val="22"/>
              </w:rPr>
            </w:pPr>
            <w:r w:rsidRPr="00576AF8">
              <w:rPr>
                <w:rFonts w:eastAsia="Calibri"/>
                <w:spacing w:val="-5"/>
                <w:sz w:val="22"/>
                <w:szCs w:val="22"/>
              </w:rPr>
              <w:t>50</w:t>
            </w:r>
          </w:p>
        </w:tc>
      </w:tr>
      <w:tr w:rsidR="009102A7" w:rsidRPr="00576AF8" w14:paraId="29172835" w14:textId="77777777" w:rsidTr="009F6B78">
        <w:trPr>
          <w:trHeight w:val="319"/>
        </w:trPr>
        <w:tc>
          <w:tcPr>
            <w:tcW w:w="5671" w:type="dxa"/>
            <w:tcBorders>
              <w:top w:val="nil"/>
            </w:tcBorders>
          </w:tcPr>
          <w:p w14:paraId="5D41F7FA" w14:textId="77777777" w:rsidR="009102A7" w:rsidRPr="00576AF8" w:rsidRDefault="009102A7" w:rsidP="009F6B78">
            <w:pPr>
              <w:widowControl w:val="0"/>
              <w:suppressAutoHyphens w:val="0"/>
              <w:autoSpaceDE w:val="0"/>
              <w:autoSpaceDN w:val="0"/>
              <w:spacing w:before="26" w:after="0"/>
              <w:ind w:left="633"/>
              <w:jc w:val="left"/>
              <w:rPr>
                <w:rFonts w:eastAsia="Calibri"/>
                <w:sz w:val="22"/>
                <w:szCs w:val="22"/>
              </w:rPr>
            </w:pPr>
            <w:r w:rsidRPr="00576AF8">
              <w:rPr>
                <w:rFonts w:eastAsia="Calibri"/>
                <w:sz w:val="22"/>
                <w:szCs w:val="22"/>
              </w:rPr>
              <w:t>Development</w:t>
            </w:r>
            <w:r w:rsidRPr="00576AF8">
              <w:rPr>
                <w:rFonts w:eastAsia="Calibri"/>
                <w:spacing w:val="-10"/>
                <w:sz w:val="22"/>
                <w:szCs w:val="22"/>
              </w:rPr>
              <w:t xml:space="preserve"> </w:t>
            </w:r>
            <w:r w:rsidRPr="00576AF8">
              <w:rPr>
                <w:rFonts w:eastAsia="Calibri"/>
                <w:spacing w:val="-4"/>
                <w:sz w:val="22"/>
                <w:szCs w:val="22"/>
              </w:rPr>
              <w:t>users</w:t>
            </w:r>
          </w:p>
        </w:tc>
        <w:tc>
          <w:tcPr>
            <w:tcW w:w="1843" w:type="dxa"/>
            <w:tcBorders>
              <w:top w:val="nil"/>
            </w:tcBorders>
          </w:tcPr>
          <w:p w14:paraId="46D30943" w14:textId="77777777" w:rsidR="009102A7" w:rsidRPr="00576AF8" w:rsidRDefault="009102A7" w:rsidP="009F6B78">
            <w:pPr>
              <w:widowControl w:val="0"/>
              <w:suppressAutoHyphens w:val="0"/>
              <w:autoSpaceDE w:val="0"/>
              <w:autoSpaceDN w:val="0"/>
              <w:spacing w:before="26" w:after="0"/>
              <w:ind w:left="6" w:right="2"/>
              <w:jc w:val="center"/>
              <w:rPr>
                <w:rFonts w:eastAsia="Calibri"/>
                <w:sz w:val="22"/>
                <w:szCs w:val="22"/>
              </w:rPr>
            </w:pPr>
            <w:r w:rsidRPr="00576AF8">
              <w:rPr>
                <w:rFonts w:eastAsia="Calibri"/>
                <w:spacing w:val="-5"/>
                <w:sz w:val="22"/>
                <w:szCs w:val="22"/>
              </w:rPr>
              <w:t>10</w:t>
            </w:r>
          </w:p>
        </w:tc>
      </w:tr>
      <w:tr w:rsidR="009102A7" w:rsidRPr="00576AF8" w14:paraId="29D6E6DD" w14:textId="77777777" w:rsidTr="009F6B78">
        <w:trPr>
          <w:trHeight w:val="366"/>
        </w:trPr>
        <w:tc>
          <w:tcPr>
            <w:tcW w:w="5671" w:type="dxa"/>
          </w:tcPr>
          <w:p w14:paraId="786E3D10" w14:textId="77777777" w:rsidR="009102A7" w:rsidRPr="00576AF8" w:rsidRDefault="009102A7" w:rsidP="009F6B78">
            <w:pPr>
              <w:widowControl w:val="0"/>
              <w:suppressAutoHyphens w:val="0"/>
              <w:autoSpaceDE w:val="0"/>
              <w:autoSpaceDN w:val="0"/>
              <w:spacing w:before="35" w:after="0"/>
              <w:ind w:left="115"/>
              <w:jc w:val="left"/>
              <w:rPr>
                <w:rFonts w:eastAsia="Calibri"/>
                <w:b/>
                <w:sz w:val="22"/>
                <w:szCs w:val="22"/>
              </w:rPr>
            </w:pPr>
            <w:r w:rsidRPr="00576AF8">
              <w:rPr>
                <w:rFonts w:eastAsia="Calibri"/>
                <w:b/>
                <w:sz w:val="22"/>
                <w:szCs w:val="22"/>
              </w:rPr>
              <w:t>Operator</w:t>
            </w:r>
            <w:r w:rsidRPr="00576AF8">
              <w:rPr>
                <w:rFonts w:eastAsia="Calibri"/>
                <w:b/>
                <w:spacing w:val="-11"/>
                <w:sz w:val="22"/>
                <w:szCs w:val="22"/>
              </w:rPr>
              <w:t xml:space="preserve"> </w:t>
            </w:r>
            <w:r w:rsidRPr="00576AF8">
              <w:rPr>
                <w:rFonts w:eastAsia="Calibri"/>
                <w:b/>
                <w:sz w:val="22"/>
                <w:szCs w:val="22"/>
              </w:rPr>
              <w:t>Training</w:t>
            </w:r>
            <w:r w:rsidRPr="00576AF8">
              <w:rPr>
                <w:rFonts w:eastAsia="Calibri"/>
                <w:b/>
                <w:spacing w:val="-6"/>
                <w:sz w:val="22"/>
                <w:szCs w:val="22"/>
              </w:rPr>
              <w:t xml:space="preserve"> </w:t>
            </w:r>
            <w:r w:rsidRPr="00576AF8">
              <w:rPr>
                <w:rFonts w:eastAsia="Calibri"/>
                <w:b/>
                <w:spacing w:val="-2"/>
                <w:sz w:val="22"/>
                <w:szCs w:val="22"/>
              </w:rPr>
              <w:t>Simulator</w:t>
            </w:r>
          </w:p>
        </w:tc>
        <w:tc>
          <w:tcPr>
            <w:tcW w:w="1843" w:type="dxa"/>
          </w:tcPr>
          <w:p w14:paraId="3829776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4D63ABBB" w14:textId="77777777" w:rsidTr="009F6B78">
        <w:trPr>
          <w:trHeight w:val="320"/>
        </w:trPr>
        <w:tc>
          <w:tcPr>
            <w:tcW w:w="5671" w:type="dxa"/>
            <w:tcBorders>
              <w:bottom w:val="nil"/>
            </w:tcBorders>
          </w:tcPr>
          <w:p w14:paraId="34637F75" w14:textId="77777777" w:rsidR="009102A7" w:rsidRPr="00576AF8" w:rsidRDefault="009102A7" w:rsidP="009F6B78">
            <w:pPr>
              <w:widowControl w:val="0"/>
              <w:suppressAutoHyphens w:val="0"/>
              <w:autoSpaceDE w:val="0"/>
              <w:autoSpaceDN w:val="0"/>
              <w:spacing w:before="38" w:after="0"/>
              <w:ind w:left="632"/>
              <w:jc w:val="left"/>
              <w:rPr>
                <w:rFonts w:eastAsia="Calibri"/>
                <w:sz w:val="22"/>
                <w:szCs w:val="22"/>
              </w:rPr>
            </w:pPr>
            <w:r w:rsidRPr="00576AF8">
              <w:rPr>
                <w:rFonts w:eastAsia="Calibri"/>
                <w:spacing w:val="-2"/>
                <w:sz w:val="22"/>
                <w:szCs w:val="22"/>
              </w:rPr>
              <w:t>Scenarios</w:t>
            </w:r>
          </w:p>
        </w:tc>
        <w:tc>
          <w:tcPr>
            <w:tcW w:w="1843" w:type="dxa"/>
            <w:tcBorders>
              <w:bottom w:val="nil"/>
            </w:tcBorders>
          </w:tcPr>
          <w:p w14:paraId="681D76CE" w14:textId="77777777" w:rsidR="009102A7" w:rsidRPr="00576AF8" w:rsidRDefault="009102A7" w:rsidP="009F6B78">
            <w:pPr>
              <w:widowControl w:val="0"/>
              <w:suppressAutoHyphens w:val="0"/>
              <w:autoSpaceDE w:val="0"/>
              <w:autoSpaceDN w:val="0"/>
              <w:spacing w:before="38" w:after="0"/>
              <w:ind w:left="6" w:right="1"/>
              <w:jc w:val="center"/>
              <w:rPr>
                <w:rFonts w:eastAsia="Calibri"/>
                <w:sz w:val="22"/>
                <w:szCs w:val="22"/>
              </w:rPr>
            </w:pPr>
            <w:r w:rsidRPr="00576AF8">
              <w:rPr>
                <w:rFonts w:eastAsia="Calibri"/>
                <w:spacing w:val="-5"/>
                <w:sz w:val="22"/>
                <w:szCs w:val="22"/>
              </w:rPr>
              <w:t>100</w:t>
            </w:r>
          </w:p>
        </w:tc>
      </w:tr>
      <w:tr w:rsidR="009102A7" w:rsidRPr="00576AF8" w14:paraId="12315DF6" w14:textId="77777777" w:rsidTr="009F6B78">
        <w:trPr>
          <w:trHeight w:val="327"/>
        </w:trPr>
        <w:tc>
          <w:tcPr>
            <w:tcW w:w="5671" w:type="dxa"/>
            <w:tcBorders>
              <w:top w:val="nil"/>
              <w:bottom w:val="nil"/>
            </w:tcBorders>
          </w:tcPr>
          <w:p w14:paraId="03BFF82F" w14:textId="77777777" w:rsidR="009102A7" w:rsidRPr="00576AF8" w:rsidRDefault="009102A7" w:rsidP="009F6B78">
            <w:pPr>
              <w:widowControl w:val="0"/>
              <w:suppressAutoHyphens w:val="0"/>
              <w:autoSpaceDE w:val="0"/>
              <w:autoSpaceDN w:val="0"/>
              <w:spacing w:before="46" w:after="0"/>
              <w:ind w:left="633"/>
              <w:jc w:val="left"/>
              <w:rPr>
                <w:rFonts w:eastAsia="Calibri"/>
                <w:sz w:val="22"/>
                <w:szCs w:val="22"/>
              </w:rPr>
            </w:pPr>
            <w:r w:rsidRPr="00576AF8">
              <w:rPr>
                <w:rFonts w:eastAsia="Calibri"/>
                <w:sz w:val="22"/>
                <w:szCs w:val="22"/>
              </w:rPr>
              <w:t>Events</w:t>
            </w:r>
            <w:r w:rsidRPr="00576AF8">
              <w:rPr>
                <w:rFonts w:eastAsia="Calibri"/>
                <w:spacing w:val="-8"/>
                <w:sz w:val="22"/>
                <w:szCs w:val="22"/>
              </w:rPr>
              <w:t xml:space="preserve"> </w:t>
            </w:r>
            <w:r w:rsidRPr="00576AF8">
              <w:rPr>
                <w:rFonts w:eastAsia="Calibri"/>
                <w:sz w:val="22"/>
                <w:szCs w:val="22"/>
              </w:rPr>
              <w:t>per</w:t>
            </w:r>
            <w:r w:rsidRPr="00576AF8">
              <w:rPr>
                <w:rFonts w:eastAsia="Calibri"/>
                <w:spacing w:val="-4"/>
                <w:sz w:val="22"/>
                <w:szCs w:val="22"/>
              </w:rPr>
              <w:t xml:space="preserve"> </w:t>
            </w:r>
            <w:r w:rsidRPr="00576AF8">
              <w:rPr>
                <w:rFonts w:eastAsia="Calibri"/>
                <w:spacing w:val="-2"/>
                <w:sz w:val="22"/>
                <w:szCs w:val="22"/>
              </w:rPr>
              <w:t>Scenario</w:t>
            </w:r>
          </w:p>
        </w:tc>
        <w:tc>
          <w:tcPr>
            <w:tcW w:w="1843" w:type="dxa"/>
            <w:tcBorders>
              <w:top w:val="nil"/>
              <w:bottom w:val="nil"/>
            </w:tcBorders>
          </w:tcPr>
          <w:p w14:paraId="76A0CEFB" w14:textId="77777777" w:rsidR="009102A7" w:rsidRPr="00576AF8" w:rsidRDefault="009102A7" w:rsidP="009F6B78">
            <w:pPr>
              <w:widowControl w:val="0"/>
              <w:suppressAutoHyphens w:val="0"/>
              <w:autoSpaceDE w:val="0"/>
              <w:autoSpaceDN w:val="0"/>
              <w:spacing w:before="46" w:after="0"/>
              <w:ind w:left="6" w:right="1"/>
              <w:jc w:val="center"/>
              <w:rPr>
                <w:rFonts w:eastAsia="Calibri"/>
                <w:sz w:val="22"/>
                <w:szCs w:val="22"/>
              </w:rPr>
            </w:pPr>
            <w:r w:rsidRPr="00576AF8">
              <w:rPr>
                <w:rFonts w:eastAsia="Calibri"/>
                <w:spacing w:val="-5"/>
                <w:sz w:val="22"/>
                <w:szCs w:val="22"/>
              </w:rPr>
              <w:t>100</w:t>
            </w:r>
          </w:p>
        </w:tc>
      </w:tr>
      <w:tr w:rsidR="009102A7" w:rsidRPr="00576AF8" w14:paraId="50E7A46F" w14:textId="77777777" w:rsidTr="009F6B78">
        <w:trPr>
          <w:trHeight w:val="326"/>
        </w:trPr>
        <w:tc>
          <w:tcPr>
            <w:tcW w:w="5671" w:type="dxa"/>
            <w:tcBorders>
              <w:top w:val="nil"/>
              <w:bottom w:val="nil"/>
            </w:tcBorders>
          </w:tcPr>
          <w:p w14:paraId="0AEE53B4" w14:textId="77777777" w:rsidR="009102A7" w:rsidRPr="00576AF8" w:rsidRDefault="009102A7" w:rsidP="009F6B78">
            <w:pPr>
              <w:widowControl w:val="0"/>
              <w:suppressAutoHyphens w:val="0"/>
              <w:autoSpaceDE w:val="0"/>
              <w:autoSpaceDN w:val="0"/>
              <w:spacing w:before="44" w:after="0"/>
              <w:ind w:left="633"/>
              <w:jc w:val="left"/>
              <w:rPr>
                <w:rFonts w:eastAsia="Calibri"/>
                <w:sz w:val="22"/>
                <w:szCs w:val="22"/>
              </w:rPr>
            </w:pPr>
            <w:r w:rsidRPr="00576AF8">
              <w:rPr>
                <w:rFonts w:eastAsia="Calibri"/>
                <w:sz w:val="22"/>
                <w:szCs w:val="22"/>
              </w:rPr>
              <w:t>Power</w:t>
            </w:r>
            <w:r w:rsidRPr="00576AF8">
              <w:rPr>
                <w:rFonts w:eastAsia="Calibri"/>
                <w:spacing w:val="-6"/>
                <w:sz w:val="22"/>
                <w:szCs w:val="22"/>
              </w:rPr>
              <w:t xml:space="preserve"> </w:t>
            </w:r>
            <w:r w:rsidRPr="00576AF8">
              <w:rPr>
                <w:rFonts w:eastAsia="Calibri"/>
                <w:sz w:val="22"/>
                <w:szCs w:val="22"/>
              </w:rPr>
              <w:t>Flow</w:t>
            </w:r>
            <w:r w:rsidRPr="00576AF8">
              <w:rPr>
                <w:rFonts w:eastAsia="Calibri"/>
                <w:spacing w:val="-8"/>
                <w:sz w:val="22"/>
                <w:szCs w:val="22"/>
              </w:rPr>
              <w:t xml:space="preserve"> </w:t>
            </w:r>
            <w:r w:rsidRPr="00576AF8">
              <w:rPr>
                <w:rFonts w:eastAsia="Calibri"/>
                <w:sz w:val="22"/>
                <w:szCs w:val="22"/>
              </w:rPr>
              <w:t>Periodicity</w:t>
            </w:r>
            <w:r w:rsidRPr="00576AF8">
              <w:rPr>
                <w:rFonts w:eastAsia="Calibri"/>
                <w:spacing w:val="-11"/>
                <w:sz w:val="22"/>
                <w:szCs w:val="22"/>
              </w:rPr>
              <w:t xml:space="preserve"> </w:t>
            </w:r>
            <w:r w:rsidRPr="00576AF8">
              <w:rPr>
                <w:rFonts w:eastAsia="Calibri"/>
                <w:spacing w:val="-2"/>
                <w:sz w:val="22"/>
                <w:szCs w:val="22"/>
              </w:rPr>
              <w:t>(seconds)</w:t>
            </w:r>
          </w:p>
        </w:tc>
        <w:tc>
          <w:tcPr>
            <w:tcW w:w="1843" w:type="dxa"/>
            <w:tcBorders>
              <w:top w:val="nil"/>
              <w:bottom w:val="nil"/>
            </w:tcBorders>
          </w:tcPr>
          <w:p w14:paraId="740DCFBE" w14:textId="77777777" w:rsidR="009102A7" w:rsidRPr="00576AF8" w:rsidRDefault="009102A7" w:rsidP="009F6B78">
            <w:pPr>
              <w:widowControl w:val="0"/>
              <w:suppressAutoHyphens w:val="0"/>
              <w:autoSpaceDE w:val="0"/>
              <w:autoSpaceDN w:val="0"/>
              <w:spacing w:before="44" w:after="0"/>
              <w:ind w:left="6"/>
              <w:jc w:val="center"/>
              <w:rPr>
                <w:rFonts w:eastAsia="Calibri"/>
                <w:sz w:val="22"/>
                <w:szCs w:val="22"/>
              </w:rPr>
            </w:pPr>
            <w:r w:rsidRPr="00576AF8">
              <w:rPr>
                <w:rFonts w:eastAsia="Calibri"/>
                <w:sz w:val="22"/>
                <w:szCs w:val="22"/>
              </w:rPr>
              <w:t>&lt;</w:t>
            </w:r>
            <w:r w:rsidRPr="00576AF8">
              <w:rPr>
                <w:rFonts w:eastAsia="Calibri"/>
                <w:spacing w:val="-4"/>
                <w:sz w:val="22"/>
                <w:szCs w:val="22"/>
              </w:rPr>
              <w:t xml:space="preserve"> </w:t>
            </w:r>
            <w:r w:rsidRPr="00576AF8">
              <w:rPr>
                <w:rFonts w:eastAsia="Calibri"/>
                <w:spacing w:val="-5"/>
                <w:sz w:val="22"/>
                <w:szCs w:val="22"/>
              </w:rPr>
              <w:t>10</w:t>
            </w:r>
          </w:p>
        </w:tc>
      </w:tr>
      <w:tr w:rsidR="009102A7" w:rsidRPr="00576AF8" w14:paraId="2C54BD8A" w14:textId="77777777" w:rsidTr="009F6B78">
        <w:trPr>
          <w:trHeight w:val="327"/>
        </w:trPr>
        <w:tc>
          <w:tcPr>
            <w:tcW w:w="5671" w:type="dxa"/>
            <w:tcBorders>
              <w:top w:val="nil"/>
              <w:bottom w:val="nil"/>
            </w:tcBorders>
          </w:tcPr>
          <w:p w14:paraId="619C0C44" w14:textId="77777777" w:rsidR="009102A7" w:rsidRPr="00576AF8" w:rsidRDefault="009102A7" w:rsidP="009F6B78">
            <w:pPr>
              <w:widowControl w:val="0"/>
              <w:suppressAutoHyphens w:val="0"/>
              <w:autoSpaceDE w:val="0"/>
              <w:autoSpaceDN w:val="0"/>
              <w:spacing w:before="44" w:after="0"/>
              <w:ind w:left="633"/>
              <w:jc w:val="left"/>
              <w:rPr>
                <w:rFonts w:eastAsia="Calibri"/>
                <w:sz w:val="22"/>
                <w:szCs w:val="22"/>
              </w:rPr>
            </w:pPr>
            <w:r w:rsidRPr="00576AF8">
              <w:rPr>
                <w:rFonts w:eastAsia="Calibri"/>
                <w:sz w:val="22"/>
                <w:szCs w:val="22"/>
              </w:rPr>
              <w:t>Dynamics</w:t>
            </w:r>
            <w:r w:rsidRPr="00576AF8">
              <w:rPr>
                <w:rFonts w:eastAsia="Calibri"/>
                <w:spacing w:val="-8"/>
                <w:sz w:val="22"/>
                <w:szCs w:val="22"/>
              </w:rPr>
              <w:t xml:space="preserve"> </w:t>
            </w:r>
            <w:r w:rsidRPr="00576AF8">
              <w:rPr>
                <w:rFonts w:eastAsia="Calibri"/>
                <w:sz w:val="22"/>
                <w:szCs w:val="22"/>
              </w:rPr>
              <w:t>Calculation</w:t>
            </w:r>
            <w:r w:rsidRPr="00576AF8">
              <w:rPr>
                <w:rFonts w:eastAsia="Calibri"/>
                <w:spacing w:val="-6"/>
                <w:sz w:val="22"/>
                <w:szCs w:val="22"/>
              </w:rPr>
              <w:t xml:space="preserve"> </w:t>
            </w:r>
            <w:r w:rsidRPr="00576AF8">
              <w:rPr>
                <w:rFonts w:eastAsia="Calibri"/>
                <w:sz w:val="22"/>
                <w:szCs w:val="22"/>
              </w:rPr>
              <w:t>Periodicity</w:t>
            </w:r>
            <w:r w:rsidRPr="00576AF8">
              <w:rPr>
                <w:rFonts w:eastAsia="Calibri"/>
                <w:spacing w:val="-12"/>
                <w:sz w:val="22"/>
                <w:szCs w:val="22"/>
              </w:rPr>
              <w:t xml:space="preserve"> </w:t>
            </w:r>
            <w:r w:rsidRPr="00576AF8">
              <w:rPr>
                <w:rFonts w:eastAsia="Calibri"/>
                <w:spacing w:val="-2"/>
                <w:sz w:val="22"/>
                <w:szCs w:val="22"/>
              </w:rPr>
              <w:t>(seconds)</w:t>
            </w:r>
          </w:p>
        </w:tc>
        <w:tc>
          <w:tcPr>
            <w:tcW w:w="1843" w:type="dxa"/>
            <w:tcBorders>
              <w:top w:val="nil"/>
              <w:bottom w:val="nil"/>
            </w:tcBorders>
          </w:tcPr>
          <w:p w14:paraId="3A8F73A8" w14:textId="77777777" w:rsidR="009102A7" w:rsidRPr="00576AF8" w:rsidRDefault="009102A7" w:rsidP="009F6B78">
            <w:pPr>
              <w:widowControl w:val="0"/>
              <w:suppressAutoHyphens w:val="0"/>
              <w:autoSpaceDE w:val="0"/>
              <w:autoSpaceDN w:val="0"/>
              <w:spacing w:before="44" w:after="0"/>
              <w:ind w:left="6" w:right="3"/>
              <w:jc w:val="center"/>
              <w:rPr>
                <w:rFonts w:eastAsia="Calibri"/>
                <w:sz w:val="22"/>
                <w:szCs w:val="22"/>
              </w:rPr>
            </w:pPr>
            <w:r w:rsidRPr="00576AF8">
              <w:rPr>
                <w:rFonts w:eastAsia="Calibri"/>
                <w:sz w:val="22"/>
                <w:szCs w:val="22"/>
              </w:rPr>
              <w:t>&lt;</w:t>
            </w:r>
            <w:r w:rsidRPr="00576AF8">
              <w:rPr>
                <w:rFonts w:eastAsia="Calibri"/>
                <w:spacing w:val="-4"/>
                <w:sz w:val="22"/>
                <w:szCs w:val="22"/>
              </w:rPr>
              <w:t xml:space="preserve"> </w:t>
            </w:r>
            <w:r w:rsidRPr="00576AF8">
              <w:rPr>
                <w:rFonts w:eastAsia="Calibri"/>
                <w:spacing w:val="-10"/>
                <w:sz w:val="22"/>
                <w:szCs w:val="22"/>
              </w:rPr>
              <w:t>1</w:t>
            </w:r>
          </w:p>
        </w:tc>
      </w:tr>
      <w:tr w:rsidR="009102A7" w:rsidRPr="00576AF8" w14:paraId="487C2CC1" w14:textId="77777777" w:rsidTr="009F6B78">
        <w:trPr>
          <w:trHeight w:val="374"/>
        </w:trPr>
        <w:tc>
          <w:tcPr>
            <w:tcW w:w="5671" w:type="dxa"/>
            <w:tcBorders>
              <w:top w:val="nil"/>
            </w:tcBorders>
          </w:tcPr>
          <w:p w14:paraId="49F811E0" w14:textId="77777777" w:rsidR="009102A7" w:rsidRPr="00576AF8" w:rsidRDefault="009102A7" w:rsidP="009F6B78">
            <w:pPr>
              <w:widowControl w:val="0"/>
              <w:suppressAutoHyphens w:val="0"/>
              <w:autoSpaceDE w:val="0"/>
              <w:autoSpaceDN w:val="0"/>
              <w:spacing w:before="46" w:after="0"/>
              <w:ind w:left="633"/>
              <w:jc w:val="left"/>
              <w:rPr>
                <w:rFonts w:eastAsia="Calibri"/>
                <w:sz w:val="22"/>
                <w:szCs w:val="22"/>
                <w:lang w:val="en-US"/>
              </w:rPr>
            </w:pPr>
            <w:r w:rsidRPr="00576AF8">
              <w:rPr>
                <w:rFonts w:eastAsia="Calibri"/>
                <w:sz w:val="22"/>
                <w:szCs w:val="22"/>
                <w:lang w:val="en-US"/>
              </w:rPr>
              <w:t>Duration</w:t>
            </w:r>
            <w:r w:rsidRPr="00576AF8">
              <w:rPr>
                <w:rFonts w:eastAsia="Calibri"/>
                <w:spacing w:val="-5"/>
                <w:sz w:val="22"/>
                <w:szCs w:val="22"/>
                <w:lang w:val="en-US"/>
              </w:rPr>
              <w:t xml:space="preserve"> </w:t>
            </w:r>
            <w:r w:rsidRPr="00576AF8">
              <w:rPr>
                <w:rFonts w:eastAsia="Calibri"/>
                <w:sz w:val="22"/>
                <w:szCs w:val="22"/>
                <w:lang w:val="en-US"/>
              </w:rPr>
              <w:t>of</w:t>
            </w:r>
            <w:r w:rsidRPr="00576AF8">
              <w:rPr>
                <w:rFonts w:eastAsia="Calibri"/>
                <w:spacing w:val="-5"/>
                <w:sz w:val="22"/>
                <w:szCs w:val="22"/>
                <w:lang w:val="en-US"/>
              </w:rPr>
              <w:t xml:space="preserve"> </w:t>
            </w:r>
            <w:r w:rsidRPr="00576AF8">
              <w:rPr>
                <w:rFonts w:eastAsia="Calibri"/>
                <w:sz w:val="22"/>
                <w:szCs w:val="22"/>
                <w:lang w:val="en-US"/>
              </w:rPr>
              <w:t>Longest</w:t>
            </w:r>
            <w:r w:rsidRPr="00576AF8">
              <w:rPr>
                <w:rFonts w:eastAsia="Calibri"/>
                <w:spacing w:val="-7"/>
                <w:sz w:val="22"/>
                <w:szCs w:val="22"/>
                <w:lang w:val="en-US"/>
              </w:rPr>
              <w:t xml:space="preserve"> </w:t>
            </w:r>
            <w:r w:rsidRPr="00576AF8">
              <w:rPr>
                <w:rFonts w:eastAsia="Calibri"/>
                <w:sz w:val="22"/>
                <w:szCs w:val="22"/>
                <w:lang w:val="en-US"/>
              </w:rPr>
              <w:t>Scenario</w:t>
            </w:r>
            <w:r w:rsidRPr="00576AF8">
              <w:rPr>
                <w:rFonts w:eastAsia="Calibri"/>
                <w:spacing w:val="-8"/>
                <w:sz w:val="22"/>
                <w:szCs w:val="22"/>
                <w:lang w:val="en-US"/>
              </w:rPr>
              <w:t xml:space="preserve"> </w:t>
            </w:r>
            <w:r w:rsidRPr="00576AF8">
              <w:rPr>
                <w:rFonts w:eastAsia="Calibri"/>
                <w:spacing w:val="-2"/>
                <w:sz w:val="22"/>
                <w:szCs w:val="22"/>
                <w:lang w:val="en-US"/>
              </w:rPr>
              <w:t>(hours)</w:t>
            </w:r>
          </w:p>
        </w:tc>
        <w:tc>
          <w:tcPr>
            <w:tcW w:w="1843" w:type="dxa"/>
            <w:tcBorders>
              <w:top w:val="nil"/>
            </w:tcBorders>
          </w:tcPr>
          <w:p w14:paraId="4CD2A7CC" w14:textId="77777777" w:rsidR="009102A7" w:rsidRPr="00576AF8" w:rsidRDefault="009102A7" w:rsidP="009F6B78">
            <w:pPr>
              <w:widowControl w:val="0"/>
              <w:suppressAutoHyphens w:val="0"/>
              <w:autoSpaceDE w:val="0"/>
              <w:autoSpaceDN w:val="0"/>
              <w:spacing w:before="46" w:after="0"/>
              <w:ind w:left="6" w:right="2"/>
              <w:jc w:val="center"/>
              <w:rPr>
                <w:rFonts w:eastAsia="Calibri"/>
                <w:sz w:val="22"/>
                <w:szCs w:val="22"/>
              </w:rPr>
            </w:pPr>
            <w:r w:rsidRPr="00576AF8">
              <w:rPr>
                <w:rFonts w:eastAsia="Calibri"/>
                <w:spacing w:val="-5"/>
                <w:sz w:val="22"/>
                <w:szCs w:val="22"/>
              </w:rPr>
              <w:t>48</w:t>
            </w:r>
          </w:p>
        </w:tc>
      </w:tr>
      <w:tr w:rsidR="009102A7" w:rsidRPr="00576AF8" w14:paraId="408FB15A" w14:textId="77777777" w:rsidTr="009F6B78">
        <w:trPr>
          <w:trHeight w:val="369"/>
        </w:trPr>
        <w:tc>
          <w:tcPr>
            <w:tcW w:w="5671" w:type="dxa"/>
          </w:tcPr>
          <w:p w14:paraId="5ECDB450" w14:textId="77777777" w:rsidR="009102A7" w:rsidRPr="00576AF8" w:rsidRDefault="009102A7" w:rsidP="009F6B78">
            <w:pPr>
              <w:widowControl w:val="0"/>
              <w:suppressAutoHyphens w:val="0"/>
              <w:autoSpaceDE w:val="0"/>
              <w:autoSpaceDN w:val="0"/>
              <w:spacing w:before="38" w:after="0"/>
              <w:ind w:left="115"/>
              <w:jc w:val="left"/>
              <w:rPr>
                <w:rFonts w:eastAsia="Calibri"/>
                <w:b/>
                <w:sz w:val="22"/>
                <w:szCs w:val="22"/>
              </w:rPr>
            </w:pPr>
            <w:r w:rsidRPr="00576AF8">
              <w:rPr>
                <w:rFonts w:eastAsia="Calibri"/>
                <w:b/>
                <w:sz w:val="22"/>
                <w:szCs w:val="22"/>
              </w:rPr>
              <w:t>CIM</w:t>
            </w:r>
            <w:r w:rsidRPr="00576AF8">
              <w:rPr>
                <w:rFonts w:eastAsia="Calibri"/>
                <w:b/>
                <w:spacing w:val="-5"/>
                <w:sz w:val="22"/>
                <w:szCs w:val="22"/>
              </w:rPr>
              <w:t xml:space="preserve"> </w:t>
            </w:r>
            <w:r w:rsidRPr="00576AF8">
              <w:rPr>
                <w:rFonts w:eastAsia="Calibri"/>
                <w:b/>
                <w:sz w:val="22"/>
                <w:szCs w:val="22"/>
              </w:rPr>
              <w:t>Data</w:t>
            </w:r>
            <w:r w:rsidRPr="00576AF8">
              <w:rPr>
                <w:rFonts w:eastAsia="Calibri"/>
                <w:b/>
                <w:spacing w:val="-9"/>
                <w:sz w:val="22"/>
                <w:szCs w:val="22"/>
              </w:rPr>
              <w:t xml:space="preserve"> </w:t>
            </w:r>
            <w:r w:rsidRPr="00576AF8">
              <w:rPr>
                <w:rFonts w:eastAsia="Calibri"/>
                <w:b/>
                <w:sz w:val="22"/>
                <w:szCs w:val="22"/>
              </w:rPr>
              <w:t>Engineering</w:t>
            </w:r>
            <w:r w:rsidRPr="00576AF8">
              <w:rPr>
                <w:rFonts w:eastAsia="Calibri"/>
                <w:b/>
                <w:spacing w:val="-8"/>
                <w:sz w:val="22"/>
                <w:szCs w:val="22"/>
              </w:rPr>
              <w:t xml:space="preserve"> </w:t>
            </w:r>
            <w:r w:rsidRPr="00576AF8">
              <w:rPr>
                <w:rFonts w:eastAsia="Calibri"/>
                <w:b/>
                <w:spacing w:val="-2"/>
                <w:sz w:val="22"/>
                <w:szCs w:val="22"/>
              </w:rPr>
              <w:t>Toolkit</w:t>
            </w:r>
          </w:p>
        </w:tc>
        <w:tc>
          <w:tcPr>
            <w:tcW w:w="1843" w:type="dxa"/>
          </w:tcPr>
          <w:p w14:paraId="148B56DA"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0B6C22ED" w14:textId="77777777" w:rsidTr="009F6B78">
        <w:trPr>
          <w:trHeight w:val="319"/>
        </w:trPr>
        <w:tc>
          <w:tcPr>
            <w:tcW w:w="5671" w:type="dxa"/>
            <w:tcBorders>
              <w:bottom w:val="nil"/>
            </w:tcBorders>
          </w:tcPr>
          <w:p w14:paraId="6393A076" w14:textId="77777777" w:rsidR="009102A7" w:rsidRPr="00576AF8" w:rsidRDefault="009102A7" w:rsidP="009F6B78">
            <w:pPr>
              <w:widowControl w:val="0"/>
              <w:suppressAutoHyphens w:val="0"/>
              <w:autoSpaceDE w:val="0"/>
              <w:autoSpaceDN w:val="0"/>
              <w:spacing w:before="38" w:after="0"/>
              <w:ind w:left="632"/>
              <w:jc w:val="left"/>
              <w:rPr>
                <w:rFonts w:eastAsia="Calibri"/>
                <w:sz w:val="22"/>
                <w:szCs w:val="22"/>
              </w:rPr>
            </w:pPr>
            <w:r w:rsidRPr="00576AF8">
              <w:rPr>
                <w:rFonts w:eastAsia="Calibri"/>
                <w:sz w:val="22"/>
                <w:szCs w:val="22"/>
              </w:rPr>
              <w:t>Toolkit</w:t>
            </w:r>
            <w:r w:rsidRPr="00576AF8">
              <w:rPr>
                <w:rFonts w:eastAsia="Calibri"/>
                <w:spacing w:val="-5"/>
                <w:sz w:val="22"/>
                <w:szCs w:val="22"/>
              </w:rPr>
              <w:t xml:space="preserve"> </w:t>
            </w:r>
            <w:r w:rsidRPr="00576AF8">
              <w:rPr>
                <w:rFonts w:eastAsia="Calibri"/>
                <w:spacing w:val="-2"/>
                <w:sz w:val="22"/>
                <w:szCs w:val="22"/>
              </w:rPr>
              <w:t>License</w:t>
            </w:r>
          </w:p>
        </w:tc>
        <w:tc>
          <w:tcPr>
            <w:tcW w:w="1843" w:type="dxa"/>
            <w:tcBorders>
              <w:bottom w:val="nil"/>
            </w:tcBorders>
          </w:tcPr>
          <w:p w14:paraId="317FB5BF" w14:textId="77777777" w:rsidR="009102A7" w:rsidRPr="00576AF8" w:rsidRDefault="009102A7" w:rsidP="009F6B78">
            <w:pPr>
              <w:widowControl w:val="0"/>
              <w:suppressAutoHyphens w:val="0"/>
              <w:autoSpaceDE w:val="0"/>
              <w:autoSpaceDN w:val="0"/>
              <w:spacing w:before="38" w:after="0"/>
              <w:ind w:left="6" w:right="1"/>
              <w:jc w:val="center"/>
              <w:rPr>
                <w:rFonts w:eastAsia="Calibri"/>
                <w:sz w:val="22"/>
                <w:szCs w:val="22"/>
              </w:rPr>
            </w:pPr>
            <w:r w:rsidRPr="00576AF8">
              <w:rPr>
                <w:rFonts w:eastAsia="Calibri"/>
                <w:spacing w:val="-10"/>
                <w:sz w:val="22"/>
                <w:szCs w:val="22"/>
              </w:rPr>
              <w:t>1</w:t>
            </w:r>
          </w:p>
        </w:tc>
      </w:tr>
      <w:tr w:rsidR="009102A7" w:rsidRPr="00576AF8" w14:paraId="50E03FAC" w14:textId="77777777" w:rsidTr="009F6B78">
        <w:trPr>
          <w:trHeight w:val="373"/>
        </w:trPr>
        <w:tc>
          <w:tcPr>
            <w:tcW w:w="5671" w:type="dxa"/>
            <w:tcBorders>
              <w:top w:val="nil"/>
            </w:tcBorders>
          </w:tcPr>
          <w:p w14:paraId="4E849CF6" w14:textId="77777777" w:rsidR="009102A7" w:rsidRPr="00576AF8" w:rsidRDefault="009102A7" w:rsidP="009F6B78">
            <w:pPr>
              <w:widowControl w:val="0"/>
              <w:suppressAutoHyphens w:val="0"/>
              <w:autoSpaceDE w:val="0"/>
              <w:autoSpaceDN w:val="0"/>
              <w:spacing w:before="44" w:after="0"/>
              <w:ind w:left="633"/>
              <w:jc w:val="left"/>
              <w:rPr>
                <w:rFonts w:eastAsia="Calibri"/>
                <w:sz w:val="22"/>
                <w:szCs w:val="22"/>
              </w:rPr>
            </w:pPr>
            <w:r w:rsidRPr="00576AF8">
              <w:rPr>
                <w:rFonts w:eastAsia="Calibri"/>
                <w:sz w:val="22"/>
                <w:szCs w:val="22"/>
              </w:rPr>
              <w:t>User</w:t>
            </w:r>
            <w:r w:rsidRPr="00576AF8">
              <w:rPr>
                <w:rFonts w:eastAsia="Calibri"/>
                <w:spacing w:val="-4"/>
                <w:sz w:val="22"/>
                <w:szCs w:val="22"/>
              </w:rPr>
              <w:t xml:space="preserve"> </w:t>
            </w:r>
            <w:r w:rsidRPr="00576AF8">
              <w:rPr>
                <w:rFonts w:eastAsia="Calibri"/>
                <w:spacing w:val="-2"/>
                <w:sz w:val="22"/>
                <w:szCs w:val="22"/>
              </w:rPr>
              <w:t>License</w:t>
            </w:r>
          </w:p>
        </w:tc>
        <w:tc>
          <w:tcPr>
            <w:tcW w:w="1843" w:type="dxa"/>
            <w:tcBorders>
              <w:top w:val="nil"/>
            </w:tcBorders>
          </w:tcPr>
          <w:p w14:paraId="5086726A" w14:textId="77777777" w:rsidR="009102A7" w:rsidRPr="00576AF8" w:rsidRDefault="009102A7" w:rsidP="009F6B78">
            <w:pPr>
              <w:widowControl w:val="0"/>
              <w:suppressAutoHyphens w:val="0"/>
              <w:autoSpaceDE w:val="0"/>
              <w:autoSpaceDN w:val="0"/>
              <w:spacing w:before="44" w:after="0"/>
              <w:ind w:left="6" w:right="2"/>
              <w:jc w:val="center"/>
              <w:rPr>
                <w:rFonts w:eastAsia="Calibri"/>
                <w:sz w:val="22"/>
                <w:szCs w:val="22"/>
              </w:rPr>
            </w:pPr>
            <w:r w:rsidRPr="00576AF8">
              <w:rPr>
                <w:rFonts w:eastAsia="Calibri"/>
                <w:spacing w:val="-5"/>
                <w:sz w:val="22"/>
                <w:szCs w:val="22"/>
              </w:rPr>
              <w:t>10</w:t>
            </w:r>
          </w:p>
        </w:tc>
      </w:tr>
      <w:tr w:rsidR="009102A7" w:rsidRPr="00576AF8" w14:paraId="2AA067E0" w14:textId="77777777" w:rsidTr="009F6B78">
        <w:trPr>
          <w:trHeight w:val="290"/>
        </w:trPr>
        <w:tc>
          <w:tcPr>
            <w:tcW w:w="5671" w:type="dxa"/>
          </w:tcPr>
          <w:p w14:paraId="45F78A4B" w14:textId="77777777" w:rsidR="009102A7" w:rsidRPr="00576AF8" w:rsidRDefault="009102A7" w:rsidP="009F6B78">
            <w:pPr>
              <w:widowControl w:val="0"/>
              <w:suppressAutoHyphens w:val="0"/>
              <w:autoSpaceDE w:val="0"/>
              <w:autoSpaceDN w:val="0"/>
              <w:spacing w:before="97" w:after="0" w:line="227" w:lineRule="exact"/>
              <w:ind w:left="115"/>
              <w:jc w:val="left"/>
              <w:rPr>
                <w:rFonts w:eastAsia="Calibri"/>
                <w:b/>
                <w:sz w:val="22"/>
                <w:szCs w:val="22"/>
              </w:rPr>
            </w:pPr>
            <w:r w:rsidRPr="00576AF8">
              <w:rPr>
                <w:rFonts w:eastAsia="Calibri"/>
                <w:b/>
                <w:sz w:val="22"/>
                <w:szCs w:val="22"/>
              </w:rPr>
              <w:t>Web</w:t>
            </w:r>
            <w:r w:rsidRPr="00576AF8">
              <w:rPr>
                <w:rFonts w:eastAsia="Calibri"/>
                <w:b/>
                <w:spacing w:val="-4"/>
                <w:sz w:val="22"/>
                <w:szCs w:val="22"/>
              </w:rPr>
              <w:t xml:space="preserve"> </w:t>
            </w:r>
            <w:r w:rsidRPr="00576AF8">
              <w:rPr>
                <w:rFonts w:eastAsia="Calibri"/>
                <w:b/>
                <w:sz w:val="22"/>
                <w:szCs w:val="22"/>
              </w:rPr>
              <w:t>Server</w:t>
            </w:r>
            <w:r w:rsidRPr="00576AF8">
              <w:rPr>
                <w:rFonts w:eastAsia="Calibri"/>
                <w:b/>
                <w:spacing w:val="-4"/>
                <w:sz w:val="22"/>
                <w:szCs w:val="22"/>
              </w:rPr>
              <w:t xml:space="preserve"> </w:t>
            </w:r>
            <w:r w:rsidRPr="00576AF8">
              <w:rPr>
                <w:rFonts w:eastAsia="Calibri"/>
                <w:b/>
                <w:sz w:val="22"/>
                <w:szCs w:val="22"/>
              </w:rPr>
              <w:t>–</w:t>
            </w:r>
            <w:r w:rsidRPr="00576AF8">
              <w:rPr>
                <w:rFonts w:eastAsia="Calibri"/>
                <w:b/>
                <w:spacing w:val="-4"/>
                <w:sz w:val="22"/>
                <w:szCs w:val="22"/>
              </w:rPr>
              <w:t xml:space="preserve"> </w:t>
            </w:r>
            <w:r w:rsidRPr="00576AF8">
              <w:rPr>
                <w:rFonts w:eastAsia="Calibri"/>
                <w:b/>
                <w:sz w:val="22"/>
                <w:szCs w:val="22"/>
              </w:rPr>
              <w:t>Thin</w:t>
            </w:r>
            <w:r w:rsidRPr="00576AF8">
              <w:rPr>
                <w:rFonts w:eastAsia="Calibri"/>
                <w:b/>
                <w:spacing w:val="-4"/>
                <w:sz w:val="22"/>
                <w:szCs w:val="22"/>
              </w:rPr>
              <w:t xml:space="preserve"> </w:t>
            </w:r>
            <w:r w:rsidRPr="00576AF8">
              <w:rPr>
                <w:rFonts w:eastAsia="Calibri"/>
                <w:b/>
                <w:spacing w:val="-2"/>
                <w:sz w:val="22"/>
                <w:szCs w:val="22"/>
              </w:rPr>
              <w:t>Client</w:t>
            </w:r>
          </w:p>
        </w:tc>
        <w:tc>
          <w:tcPr>
            <w:tcW w:w="1843" w:type="dxa"/>
          </w:tcPr>
          <w:p w14:paraId="44812CCC" w14:textId="77777777" w:rsidR="009102A7" w:rsidRPr="00576AF8" w:rsidRDefault="009102A7" w:rsidP="009F6B78">
            <w:pPr>
              <w:widowControl w:val="0"/>
              <w:suppressAutoHyphens w:val="0"/>
              <w:autoSpaceDE w:val="0"/>
              <w:autoSpaceDN w:val="0"/>
              <w:spacing w:before="97" w:after="0"/>
              <w:jc w:val="left"/>
              <w:rPr>
                <w:rFonts w:eastAsia="Calibri"/>
                <w:sz w:val="22"/>
                <w:szCs w:val="22"/>
              </w:rPr>
            </w:pPr>
          </w:p>
        </w:tc>
      </w:tr>
      <w:tr w:rsidR="009102A7" w:rsidRPr="00576AF8" w14:paraId="0A81CB26" w14:textId="77777777" w:rsidTr="009F6B78">
        <w:trPr>
          <w:trHeight w:val="261"/>
        </w:trPr>
        <w:tc>
          <w:tcPr>
            <w:tcW w:w="5671" w:type="dxa"/>
            <w:tcBorders>
              <w:bottom w:val="nil"/>
            </w:tcBorders>
          </w:tcPr>
          <w:p w14:paraId="66BDC714" w14:textId="77777777" w:rsidR="009102A7" w:rsidRPr="00576AF8" w:rsidRDefault="009102A7" w:rsidP="009F6B78">
            <w:pPr>
              <w:widowControl w:val="0"/>
              <w:suppressAutoHyphens w:val="0"/>
              <w:autoSpaceDE w:val="0"/>
              <w:autoSpaceDN w:val="0"/>
              <w:spacing w:before="97" w:after="0" w:line="229" w:lineRule="exact"/>
              <w:ind w:left="632"/>
              <w:jc w:val="left"/>
              <w:rPr>
                <w:rFonts w:eastAsia="Calibri"/>
                <w:sz w:val="22"/>
                <w:szCs w:val="22"/>
                <w:lang w:val="en-US"/>
              </w:rPr>
            </w:pPr>
            <w:r w:rsidRPr="00576AF8">
              <w:rPr>
                <w:rFonts w:eastAsia="Calibri"/>
                <w:sz w:val="22"/>
                <w:szCs w:val="22"/>
                <w:lang w:val="en-US"/>
              </w:rPr>
              <w:t>Simultaneous</w:t>
            </w:r>
            <w:r w:rsidRPr="00576AF8">
              <w:rPr>
                <w:rFonts w:eastAsia="Calibri"/>
                <w:spacing w:val="-10"/>
                <w:sz w:val="22"/>
                <w:szCs w:val="22"/>
                <w:lang w:val="en-US"/>
              </w:rPr>
              <w:t xml:space="preserve"> </w:t>
            </w:r>
            <w:r w:rsidRPr="00576AF8">
              <w:rPr>
                <w:rFonts w:eastAsia="Calibri"/>
                <w:sz w:val="22"/>
                <w:szCs w:val="22"/>
                <w:lang w:val="en-US"/>
              </w:rPr>
              <w:t>access</w:t>
            </w:r>
            <w:r w:rsidRPr="00576AF8">
              <w:rPr>
                <w:rFonts w:eastAsia="Calibri"/>
                <w:spacing w:val="-9"/>
                <w:sz w:val="22"/>
                <w:szCs w:val="22"/>
                <w:lang w:val="en-US"/>
              </w:rPr>
              <w:t xml:space="preserve"> </w:t>
            </w:r>
            <w:r w:rsidRPr="00576AF8">
              <w:rPr>
                <w:rFonts w:eastAsia="Calibri"/>
                <w:sz w:val="22"/>
                <w:szCs w:val="22"/>
                <w:lang w:val="en-US"/>
              </w:rPr>
              <w:t>from</w:t>
            </w:r>
            <w:r w:rsidRPr="00576AF8">
              <w:rPr>
                <w:rFonts w:eastAsia="Calibri"/>
                <w:spacing w:val="-8"/>
                <w:sz w:val="22"/>
                <w:szCs w:val="22"/>
                <w:lang w:val="en-US"/>
              </w:rPr>
              <w:t xml:space="preserve"> </w:t>
            </w:r>
            <w:r w:rsidRPr="00576AF8">
              <w:rPr>
                <w:rFonts w:eastAsia="Calibri"/>
                <w:sz w:val="22"/>
                <w:szCs w:val="22"/>
                <w:lang w:val="en-US"/>
              </w:rPr>
              <w:t>remote/external</w:t>
            </w:r>
            <w:r w:rsidRPr="00576AF8">
              <w:rPr>
                <w:rFonts w:eastAsia="Calibri"/>
                <w:spacing w:val="-8"/>
                <w:sz w:val="22"/>
                <w:szCs w:val="22"/>
                <w:lang w:val="en-US"/>
              </w:rPr>
              <w:t xml:space="preserve"> </w:t>
            </w:r>
            <w:r w:rsidRPr="00576AF8">
              <w:rPr>
                <w:rFonts w:eastAsia="Calibri"/>
                <w:spacing w:val="-4"/>
                <w:sz w:val="22"/>
                <w:szCs w:val="22"/>
                <w:lang w:val="en-US"/>
              </w:rPr>
              <w:t>users</w:t>
            </w:r>
          </w:p>
        </w:tc>
        <w:tc>
          <w:tcPr>
            <w:tcW w:w="1843" w:type="dxa"/>
            <w:tcBorders>
              <w:bottom w:val="nil"/>
            </w:tcBorders>
          </w:tcPr>
          <w:p w14:paraId="198B27C7" w14:textId="77777777" w:rsidR="009102A7" w:rsidRPr="00576AF8" w:rsidRDefault="009102A7" w:rsidP="009F6B78">
            <w:pPr>
              <w:widowControl w:val="0"/>
              <w:suppressAutoHyphens w:val="0"/>
              <w:autoSpaceDE w:val="0"/>
              <w:autoSpaceDN w:val="0"/>
              <w:spacing w:before="97" w:after="0" w:line="229" w:lineRule="exact"/>
              <w:ind w:left="6" w:right="2"/>
              <w:jc w:val="center"/>
              <w:rPr>
                <w:rFonts w:eastAsia="Calibri"/>
                <w:sz w:val="22"/>
                <w:szCs w:val="22"/>
              </w:rPr>
            </w:pPr>
            <w:r w:rsidRPr="00576AF8">
              <w:rPr>
                <w:rFonts w:eastAsia="Calibri"/>
                <w:spacing w:val="-5"/>
                <w:sz w:val="22"/>
                <w:szCs w:val="22"/>
              </w:rPr>
              <w:t>50</w:t>
            </w:r>
          </w:p>
        </w:tc>
      </w:tr>
      <w:tr w:rsidR="009102A7" w:rsidRPr="00576AF8" w14:paraId="541CDED2" w14:textId="77777777" w:rsidTr="009F6B78">
        <w:trPr>
          <w:trHeight w:val="318"/>
        </w:trPr>
        <w:tc>
          <w:tcPr>
            <w:tcW w:w="5671" w:type="dxa"/>
            <w:tcBorders>
              <w:top w:val="nil"/>
            </w:tcBorders>
          </w:tcPr>
          <w:p w14:paraId="305B19B8" w14:textId="77777777" w:rsidR="009102A7" w:rsidRPr="00576AF8" w:rsidRDefault="009102A7" w:rsidP="009F6B78">
            <w:pPr>
              <w:widowControl w:val="0"/>
              <w:suppressAutoHyphens w:val="0"/>
              <w:autoSpaceDE w:val="0"/>
              <w:autoSpaceDN w:val="0"/>
              <w:spacing w:before="25" w:after="0"/>
              <w:ind w:left="633"/>
              <w:jc w:val="left"/>
              <w:rPr>
                <w:rFonts w:eastAsia="Calibri"/>
                <w:sz w:val="22"/>
                <w:szCs w:val="22"/>
              </w:rPr>
            </w:pPr>
            <w:proofErr w:type="gramStart"/>
            <w:r w:rsidRPr="00576AF8">
              <w:rPr>
                <w:rFonts w:eastAsia="Calibri"/>
                <w:sz w:val="22"/>
                <w:szCs w:val="22"/>
              </w:rPr>
              <w:t>Total</w:t>
            </w:r>
            <w:proofErr w:type="gramEnd"/>
            <w:r w:rsidRPr="00576AF8">
              <w:rPr>
                <w:rFonts w:eastAsia="Calibri"/>
                <w:spacing w:val="-7"/>
                <w:sz w:val="22"/>
                <w:szCs w:val="22"/>
              </w:rPr>
              <w:t xml:space="preserve"> </w:t>
            </w:r>
            <w:r w:rsidRPr="00576AF8">
              <w:rPr>
                <w:rFonts w:eastAsia="Calibri"/>
                <w:sz w:val="22"/>
                <w:szCs w:val="22"/>
              </w:rPr>
              <w:t>number</w:t>
            </w:r>
            <w:r w:rsidRPr="00576AF8">
              <w:rPr>
                <w:rFonts w:eastAsia="Calibri"/>
                <w:spacing w:val="-5"/>
                <w:sz w:val="22"/>
                <w:szCs w:val="22"/>
              </w:rPr>
              <w:t xml:space="preserve"> </w:t>
            </w:r>
            <w:r w:rsidRPr="00576AF8">
              <w:rPr>
                <w:rFonts w:eastAsia="Calibri"/>
                <w:sz w:val="22"/>
                <w:szCs w:val="22"/>
              </w:rPr>
              <w:t>of</w:t>
            </w:r>
            <w:r w:rsidRPr="00576AF8">
              <w:rPr>
                <w:rFonts w:eastAsia="Calibri"/>
                <w:spacing w:val="-3"/>
                <w:sz w:val="22"/>
                <w:szCs w:val="22"/>
              </w:rPr>
              <w:t xml:space="preserve"> </w:t>
            </w:r>
            <w:r w:rsidRPr="00576AF8">
              <w:rPr>
                <w:rFonts w:eastAsia="Calibri"/>
                <w:spacing w:val="-2"/>
                <w:sz w:val="22"/>
                <w:szCs w:val="22"/>
              </w:rPr>
              <w:t>accounts</w:t>
            </w:r>
          </w:p>
        </w:tc>
        <w:tc>
          <w:tcPr>
            <w:tcW w:w="1843" w:type="dxa"/>
            <w:tcBorders>
              <w:top w:val="nil"/>
            </w:tcBorders>
          </w:tcPr>
          <w:p w14:paraId="31F66210" w14:textId="77777777" w:rsidR="009102A7" w:rsidRPr="00576AF8" w:rsidRDefault="009102A7" w:rsidP="009F6B78">
            <w:pPr>
              <w:keepNext/>
              <w:widowControl w:val="0"/>
              <w:suppressAutoHyphens w:val="0"/>
              <w:autoSpaceDE w:val="0"/>
              <w:autoSpaceDN w:val="0"/>
              <w:spacing w:before="25" w:after="0"/>
              <w:ind w:left="6" w:right="1"/>
              <w:jc w:val="center"/>
              <w:rPr>
                <w:rFonts w:eastAsia="Calibri"/>
                <w:sz w:val="22"/>
                <w:szCs w:val="22"/>
              </w:rPr>
            </w:pPr>
            <w:r w:rsidRPr="00576AF8">
              <w:rPr>
                <w:rFonts w:eastAsia="Calibri"/>
                <w:spacing w:val="-5"/>
                <w:sz w:val="22"/>
                <w:szCs w:val="22"/>
              </w:rPr>
              <w:t>300</w:t>
            </w:r>
          </w:p>
        </w:tc>
      </w:tr>
    </w:tbl>
    <w:p w14:paraId="729D046A" w14:textId="0B7F9421" w:rsidR="009102A7" w:rsidRPr="00576AF8" w:rsidRDefault="009102A7" w:rsidP="009102A7">
      <w:pPr>
        <w:spacing w:before="120"/>
        <w:jc w:val="center"/>
        <w:rPr>
          <w:b/>
          <w:sz w:val="22"/>
          <w:szCs w:val="22"/>
        </w:rPr>
        <w:sectPr w:rsidR="009102A7" w:rsidRPr="00576AF8" w:rsidSect="000968D2">
          <w:headerReference w:type="default" r:id="rId58"/>
          <w:footerReference w:type="default" r:id="rId59"/>
          <w:pgSz w:w="11910" w:h="16840"/>
          <w:pgMar w:top="1920" w:right="1000" w:bottom="280" w:left="1160" w:header="720" w:footer="720" w:gutter="0"/>
          <w:cols w:space="720"/>
        </w:sectPr>
      </w:pPr>
      <w:r w:rsidRPr="00576AF8">
        <w:rPr>
          <w:b/>
          <w:sz w:val="22"/>
          <w:szCs w:val="22"/>
        </w:rPr>
        <w:t xml:space="preserve">Tabla </w:t>
      </w:r>
      <w:r w:rsidR="00E715F6" w:rsidRPr="00576AF8">
        <w:rPr>
          <w:b/>
          <w:sz w:val="22"/>
          <w:szCs w:val="22"/>
        </w:rPr>
        <w:t>17</w:t>
      </w:r>
      <w:r w:rsidRPr="00576AF8">
        <w:rPr>
          <w:b/>
          <w:sz w:val="22"/>
          <w:szCs w:val="22"/>
        </w:rPr>
        <w:t>.</w:t>
      </w:r>
      <w:r w:rsidR="000A4430">
        <w:rPr>
          <w:b/>
          <w:sz w:val="22"/>
          <w:szCs w:val="22"/>
        </w:rPr>
        <w:t xml:space="preserve"> </w:t>
      </w:r>
      <w:r w:rsidRPr="00576AF8">
        <w:rPr>
          <w:b/>
          <w:sz w:val="22"/>
          <w:szCs w:val="22"/>
        </w:rPr>
        <w:t>Capacidad de Aplicaciones</w:t>
      </w:r>
    </w:p>
    <w:bookmarkEnd w:id="1134"/>
    <w:p w14:paraId="0CBF4674" w14:textId="77777777" w:rsidR="009102A7" w:rsidRPr="00576AF8" w:rsidRDefault="009102A7" w:rsidP="009102A7">
      <w:pPr>
        <w:rPr>
          <w:b/>
          <w:sz w:val="22"/>
          <w:szCs w:val="22"/>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4346"/>
        <w:gridCol w:w="1813"/>
      </w:tblGrid>
      <w:tr w:rsidR="009102A7" w:rsidRPr="00576AF8" w14:paraId="31BA0451" w14:textId="77777777" w:rsidTr="009F6B78">
        <w:trPr>
          <w:trHeight w:val="765"/>
        </w:trPr>
        <w:tc>
          <w:tcPr>
            <w:tcW w:w="1200" w:type="dxa"/>
          </w:tcPr>
          <w:p w14:paraId="20FE9201" w14:textId="77777777" w:rsidR="009102A7" w:rsidRPr="00576AF8" w:rsidRDefault="009102A7" w:rsidP="009F6B78">
            <w:pPr>
              <w:widowControl w:val="0"/>
              <w:suppressAutoHyphens w:val="0"/>
              <w:autoSpaceDE w:val="0"/>
              <w:autoSpaceDN w:val="0"/>
              <w:spacing w:before="33" w:after="0"/>
              <w:jc w:val="left"/>
              <w:rPr>
                <w:rFonts w:eastAsia="Calibri"/>
                <w:b/>
                <w:sz w:val="22"/>
                <w:szCs w:val="22"/>
                <w:lang w:val="es-EC"/>
              </w:rPr>
            </w:pPr>
            <w:bookmarkStart w:id="1135" w:name="OLE_LINK11"/>
          </w:p>
          <w:p w14:paraId="6133FD3D" w14:textId="77777777" w:rsidR="009102A7" w:rsidRPr="00576AF8" w:rsidRDefault="009102A7" w:rsidP="009F6B78">
            <w:pPr>
              <w:widowControl w:val="0"/>
              <w:suppressAutoHyphens w:val="0"/>
              <w:autoSpaceDE w:val="0"/>
              <w:autoSpaceDN w:val="0"/>
              <w:spacing w:before="97" w:after="0"/>
              <w:ind w:left="15" w:right="9"/>
              <w:jc w:val="center"/>
              <w:rPr>
                <w:rFonts w:eastAsia="Calibri"/>
                <w:b/>
                <w:sz w:val="22"/>
                <w:szCs w:val="22"/>
              </w:rPr>
            </w:pPr>
            <w:r w:rsidRPr="00576AF8">
              <w:rPr>
                <w:rFonts w:eastAsia="Calibri"/>
                <w:b/>
                <w:spacing w:val="-5"/>
                <w:sz w:val="22"/>
                <w:szCs w:val="22"/>
              </w:rPr>
              <w:t>No</w:t>
            </w:r>
          </w:p>
        </w:tc>
        <w:tc>
          <w:tcPr>
            <w:tcW w:w="4346" w:type="dxa"/>
          </w:tcPr>
          <w:p w14:paraId="2286F4F0" w14:textId="77777777" w:rsidR="009102A7" w:rsidRPr="00576AF8" w:rsidRDefault="009102A7" w:rsidP="009F6B78">
            <w:pPr>
              <w:widowControl w:val="0"/>
              <w:suppressAutoHyphens w:val="0"/>
              <w:autoSpaceDE w:val="0"/>
              <w:autoSpaceDN w:val="0"/>
              <w:spacing w:before="33" w:after="0"/>
              <w:jc w:val="left"/>
              <w:rPr>
                <w:rFonts w:eastAsia="Calibri"/>
                <w:b/>
                <w:sz w:val="22"/>
                <w:szCs w:val="22"/>
              </w:rPr>
            </w:pPr>
          </w:p>
          <w:p w14:paraId="2E6F649E" w14:textId="77777777" w:rsidR="009102A7" w:rsidRPr="00576AF8" w:rsidRDefault="009102A7" w:rsidP="009F6B78">
            <w:pPr>
              <w:widowControl w:val="0"/>
              <w:suppressAutoHyphens w:val="0"/>
              <w:autoSpaceDE w:val="0"/>
              <w:autoSpaceDN w:val="0"/>
              <w:spacing w:before="97" w:after="0"/>
              <w:ind w:left="7"/>
              <w:jc w:val="center"/>
              <w:rPr>
                <w:rFonts w:eastAsia="Calibri"/>
                <w:b/>
                <w:sz w:val="22"/>
                <w:szCs w:val="22"/>
              </w:rPr>
            </w:pPr>
            <w:r w:rsidRPr="00576AF8">
              <w:rPr>
                <w:rFonts w:eastAsia="Calibri"/>
                <w:b/>
                <w:spacing w:val="-2"/>
                <w:sz w:val="22"/>
                <w:szCs w:val="22"/>
              </w:rPr>
              <w:t>Descripción</w:t>
            </w:r>
          </w:p>
        </w:tc>
        <w:tc>
          <w:tcPr>
            <w:tcW w:w="1813" w:type="dxa"/>
          </w:tcPr>
          <w:p w14:paraId="0273DB8B" w14:textId="77777777" w:rsidR="009102A7" w:rsidRPr="00576AF8" w:rsidRDefault="009102A7" w:rsidP="009F6B78">
            <w:pPr>
              <w:widowControl w:val="0"/>
              <w:suppressAutoHyphens w:val="0"/>
              <w:autoSpaceDE w:val="0"/>
              <w:autoSpaceDN w:val="0"/>
              <w:spacing w:before="33" w:after="0"/>
              <w:ind w:left="177" w:right="167" w:firstLine="1"/>
              <w:jc w:val="center"/>
              <w:rPr>
                <w:rFonts w:eastAsia="Calibri"/>
                <w:b/>
                <w:sz w:val="22"/>
                <w:szCs w:val="22"/>
              </w:rPr>
            </w:pPr>
            <w:r w:rsidRPr="00576AF8">
              <w:rPr>
                <w:rFonts w:eastAsia="Calibri"/>
                <w:b/>
                <w:spacing w:val="-2"/>
                <w:sz w:val="22"/>
                <w:szCs w:val="22"/>
              </w:rPr>
              <w:t xml:space="preserve">Tamaño </w:t>
            </w:r>
            <w:r w:rsidRPr="00576AF8">
              <w:rPr>
                <w:rFonts w:eastAsia="Calibri"/>
                <w:b/>
                <w:sz w:val="22"/>
                <w:szCs w:val="22"/>
              </w:rPr>
              <w:t>final</w:t>
            </w:r>
            <w:r w:rsidRPr="00576AF8">
              <w:rPr>
                <w:rFonts w:eastAsia="Calibri"/>
                <w:b/>
                <w:spacing w:val="-14"/>
                <w:sz w:val="22"/>
                <w:szCs w:val="22"/>
              </w:rPr>
              <w:t xml:space="preserve"> </w:t>
            </w:r>
            <w:r w:rsidRPr="00576AF8">
              <w:rPr>
                <w:rFonts w:eastAsia="Calibri"/>
                <w:b/>
                <w:sz w:val="22"/>
                <w:szCs w:val="22"/>
              </w:rPr>
              <w:t xml:space="preserve">(Dic </w:t>
            </w:r>
            <w:r w:rsidRPr="00576AF8">
              <w:rPr>
                <w:rFonts w:eastAsia="Calibri"/>
                <w:b/>
                <w:spacing w:val="-2"/>
                <w:sz w:val="22"/>
                <w:szCs w:val="22"/>
              </w:rPr>
              <w:t>2032)</w:t>
            </w:r>
          </w:p>
        </w:tc>
      </w:tr>
      <w:tr w:rsidR="009102A7" w:rsidRPr="00576AF8" w14:paraId="181EC08B" w14:textId="77777777" w:rsidTr="009F6B78">
        <w:trPr>
          <w:trHeight w:val="765"/>
        </w:trPr>
        <w:tc>
          <w:tcPr>
            <w:tcW w:w="5546" w:type="dxa"/>
            <w:gridSpan w:val="2"/>
          </w:tcPr>
          <w:p w14:paraId="48446055" w14:textId="77777777" w:rsidR="009102A7" w:rsidRPr="00576AF8" w:rsidRDefault="009102A7" w:rsidP="009F6B78">
            <w:pPr>
              <w:widowControl w:val="0"/>
              <w:suppressAutoHyphens w:val="0"/>
              <w:autoSpaceDE w:val="0"/>
              <w:autoSpaceDN w:val="0"/>
              <w:spacing w:before="35" w:after="0"/>
              <w:jc w:val="left"/>
              <w:rPr>
                <w:rFonts w:eastAsia="Calibri"/>
                <w:b/>
                <w:sz w:val="22"/>
                <w:szCs w:val="22"/>
                <w:lang w:val="es-EC"/>
              </w:rPr>
            </w:pPr>
          </w:p>
          <w:p w14:paraId="0230839C" w14:textId="77777777" w:rsidR="009102A7" w:rsidRPr="00576AF8" w:rsidRDefault="009102A7" w:rsidP="009F6B78">
            <w:pPr>
              <w:widowControl w:val="0"/>
              <w:suppressAutoHyphens w:val="0"/>
              <w:autoSpaceDE w:val="0"/>
              <w:autoSpaceDN w:val="0"/>
              <w:spacing w:before="1" w:after="0"/>
              <w:ind w:left="235"/>
              <w:jc w:val="left"/>
              <w:rPr>
                <w:rFonts w:eastAsia="Calibri"/>
                <w:sz w:val="22"/>
                <w:szCs w:val="22"/>
                <w:lang w:val="es-EC"/>
              </w:rPr>
            </w:pPr>
            <w:r w:rsidRPr="00576AF8">
              <w:rPr>
                <w:rFonts w:eastAsia="Calibri"/>
                <w:sz w:val="22"/>
                <w:szCs w:val="22"/>
                <w:lang w:val="es-EC"/>
              </w:rPr>
              <w:t>Análisis</w:t>
            </w:r>
            <w:r w:rsidRPr="00576AF8">
              <w:rPr>
                <w:rFonts w:eastAsia="Calibri"/>
                <w:spacing w:val="-5"/>
                <w:sz w:val="22"/>
                <w:szCs w:val="22"/>
                <w:lang w:val="es-EC"/>
              </w:rPr>
              <w:t xml:space="preserve"> </w:t>
            </w:r>
            <w:r w:rsidRPr="00576AF8">
              <w:rPr>
                <w:rFonts w:eastAsia="Calibri"/>
                <w:sz w:val="22"/>
                <w:szCs w:val="22"/>
                <w:lang w:val="es-EC"/>
              </w:rPr>
              <w:t>de</w:t>
            </w:r>
            <w:r w:rsidRPr="00576AF8">
              <w:rPr>
                <w:rFonts w:eastAsia="Calibri"/>
                <w:spacing w:val="-2"/>
                <w:sz w:val="22"/>
                <w:szCs w:val="22"/>
                <w:lang w:val="es-EC"/>
              </w:rPr>
              <w:t xml:space="preserve"> </w:t>
            </w:r>
            <w:r w:rsidRPr="00576AF8">
              <w:rPr>
                <w:rFonts w:eastAsia="Calibri"/>
                <w:sz w:val="22"/>
                <w:szCs w:val="22"/>
                <w:lang w:val="es-EC"/>
              </w:rPr>
              <w:t>red</w:t>
            </w:r>
            <w:r w:rsidRPr="00576AF8">
              <w:rPr>
                <w:rFonts w:eastAsia="Calibri"/>
                <w:spacing w:val="-2"/>
                <w:sz w:val="22"/>
                <w:szCs w:val="22"/>
                <w:lang w:val="es-EC"/>
              </w:rPr>
              <w:t xml:space="preserve"> </w:t>
            </w:r>
            <w:r w:rsidRPr="00576AF8">
              <w:rPr>
                <w:rFonts w:eastAsia="Calibri"/>
                <w:sz w:val="22"/>
                <w:szCs w:val="22"/>
                <w:lang w:val="es-EC"/>
              </w:rPr>
              <w:t>en</w:t>
            </w:r>
            <w:r w:rsidRPr="00576AF8">
              <w:rPr>
                <w:rFonts w:eastAsia="Calibri"/>
                <w:spacing w:val="-5"/>
                <w:sz w:val="22"/>
                <w:szCs w:val="22"/>
                <w:lang w:val="es-EC"/>
              </w:rPr>
              <w:t xml:space="preserve"> </w:t>
            </w:r>
            <w:r w:rsidRPr="00576AF8">
              <w:rPr>
                <w:rFonts w:eastAsia="Calibri"/>
                <w:sz w:val="22"/>
                <w:szCs w:val="22"/>
                <w:lang w:val="es-EC"/>
              </w:rPr>
              <w:t>tiempo</w:t>
            </w:r>
            <w:r w:rsidRPr="00576AF8">
              <w:rPr>
                <w:rFonts w:eastAsia="Calibri"/>
                <w:spacing w:val="-5"/>
                <w:sz w:val="22"/>
                <w:szCs w:val="22"/>
                <w:lang w:val="es-EC"/>
              </w:rPr>
              <w:t xml:space="preserve"> </w:t>
            </w:r>
            <w:r w:rsidRPr="00576AF8">
              <w:rPr>
                <w:rFonts w:eastAsia="Calibri"/>
                <w:sz w:val="22"/>
                <w:szCs w:val="22"/>
                <w:lang w:val="es-EC"/>
              </w:rPr>
              <w:t>real</w:t>
            </w:r>
            <w:r w:rsidRPr="00576AF8">
              <w:rPr>
                <w:rFonts w:eastAsia="Calibri"/>
                <w:spacing w:val="-2"/>
                <w:sz w:val="22"/>
                <w:szCs w:val="22"/>
                <w:lang w:val="es-EC"/>
              </w:rPr>
              <w:t xml:space="preserve"> </w:t>
            </w:r>
            <w:r w:rsidRPr="00576AF8">
              <w:rPr>
                <w:rFonts w:eastAsia="Calibri"/>
                <w:sz w:val="22"/>
                <w:szCs w:val="22"/>
                <w:lang w:val="es-EC"/>
              </w:rPr>
              <w:t>y</w:t>
            </w:r>
            <w:r w:rsidRPr="00576AF8">
              <w:rPr>
                <w:rFonts w:eastAsia="Calibri"/>
                <w:spacing w:val="-7"/>
                <w:sz w:val="22"/>
                <w:szCs w:val="22"/>
                <w:lang w:val="es-EC"/>
              </w:rPr>
              <w:t xml:space="preserve"> </w:t>
            </w:r>
            <w:r w:rsidRPr="00576AF8">
              <w:rPr>
                <w:rFonts w:eastAsia="Calibri"/>
                <w:sz w:val="22"/>
                <w:szCs w:val="22"/>
                <w:lang w:val="es-EC"/>
              </w:rPr>
              <w:t>modo</w:t>
            </w:r>
            <w:r w:rsidRPr="00576AF8">
              <w:rPr>
                <w:rFonts w:eastAsia="Calibri"/>
                <w:spacing w:val="-5"/>
                <w:sz w:val="22"/>
                <w:szCs w:val="22"/>
                <w:lang w:val="es-EC"/>
              </w:rPr>
              <w:t xml:space="preserve"> </w:t>
            </w:r>
            <w:r w:rsidRPr="00576AF8">
              <w:rPr>
                <w:rFonts w:eastAsia="Calibri"/>
                <w:sz w:val="22"/>
                <w:szCs w:val="22"/>
                <w:lang w:val="es-EC"/>
              </w:rPr>
              <w:t>de</w:t>
            </w:r>
            <w:r w:rsidRPr="00576AF8">
              <w:rPr>
                <w:rFonts w:eastAsia="Calibri"/>
                <w:spacing w:val="-2"/>
                <w:sz w:val="22"/>
                <w:szCs w:val="22"/>
                <w:lang w:val="es-EC"/>
              </w:rPr>
              <w:t xml:space="preserve"> estudio</w:t>
            </w:r>
          </w:p>
        </w:tc>
        <w:tc>
          <w:tcPr>
            <w:tcW w:w="1813" w:type="dxa"/>
          </w:tcPr>
          <w:p w14:paraId="1A35AC46" w14:textId="77777777" w:rsidR="009102A7" w:rsidRPr="00576AF8" w:rsidRDefault="009102A7" w:rsidP="009F6B78">
            <w:pPr>
              <w:widowControl w:val="0"/>
              <w:suppressAutoHyphens w:val="0"/>
              <w:autoSpaceDE w:val="0"/>
              <w:autoSpaceDN w:val="0"/>
              <w:spacing w:before="97" w:after="0"/>
              <w:jc w:val="left"/>
              <w:rPr>
                <w:rFonts w:eastAsia="Calibri"/>
                <w:sz w:val="22"/>
                <w:szCs w:val="22"/>
                <w:lang w:val="es-EC"/>
              </w:rPr>
            </w:pPr>
          </w:p>
        </w:tc>
      </w:tr>
      <w:tr w:rsidR="009102A7" w:rsidRPr="00576AF8" w14:paraId="371728C6" w14:textId="77777777" w:rsidTr="009F6B78">
        <w:trPr>
          <w:trHeight w:val="299"/>
        </w:trPr>
        <w:tc>
          <w:tcPr>
            <w:tcW w:w="1200" w:type="dxa"/>
          </w:tcPr>
          <w:p w14:paraId="6ECD4712"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1</w:t>
            </w:r>
          </w:p>
        </w:tc>
        <w:tc>
          <w:tcPr>
            <w:tcW w:w="4346" w:type="dxa"/>
          </w:tcPr>
          <w:p w14:paraId="542C6EAE"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pacing w:val="-2"/>
                <w:sz w:val="22"/>
                <w:szCs w:val="22"/>
              </w:rPr>
              <w:t>Subestaciones</w:t>
            </w:r>
          </w:p>
        </w:tc>
        <w:tc>
          <w:tcPr>
            <w:tcW w:w="1813" w:type="dxa"/>
          </w:tcPr>
          <w:p w14:paraId="479EEDD7" w14:textId="77777777" w:rsidR="009102A7" w:rsidRPr="00576AF8" w:rsidRDefault="009102A7" w:rsidP="009F6B78">
            <w:pPr>
              <w:widowControl w:val="0"/>
              <w:suppressAutoHyphens w:val="0"/>
              <w:autoSpaceDE w:val="0"/>
              <w:autoSpaceDN w:val="0"/>
              <w:spacing w:before="33" w:after="0"/>
              <w:ind w:left="15" w:right="10"/>
              <w:jc w:val="center"/>
              <w:rPr>
                <w:rFonts w:eastAsia="Calibri"/>
                <w:sz w:val="22"/>
                <w:szCs w:val="22"/>
              </w:rPr>
            </w:pPr>
            <w:r w:rsidRPr="00576AF8">
              <w:rPr>
                <w:rFonts w:eastAsia="Calibri"/>
                <w:spacing w:val="-4"/>
                <w:sz w:val="22"/>
                <w:szCs w:val="22"/>
              </w:rPr>
              <w:t>1700</w:t>
            </w:r>
          </w:p>
        </w:tc>
      </w:tr>
      <w:tr w:rsidR="009102A7" w:rsidRPr="00576AF8" w14:paraId="338D56A5" w14:textId="77777777" w:rsidTr="009F6B78">
        <w:trPr>
          <w:trHeight w:val="299"/>
        </w:trPr>
        <w:tc>
          <w:tcPr>
            <w:tcW w:w="1200" w:type="dxa"/>
          </w:tcPr>
          <w:p w14:paraId="0E83FB57"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2</w:t>
            </w:r>
          </w:p>
        </w:tc>
        <w:tc>
          <w:tcPr>
            <w:tcW w:w="4346" w:type="dxa"/>
          </w:tcPr>
          <w:p w14:paraId="784DF00D"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pacing w:val="-2"/>
                <w:sz w:val="22"/>
                <w:szCs w:val="22"/>
              </w:rPr>
              <w:t>Generadores</w:t>
            </w:r>
          </w:p>
        </w:tc>
        <w:tc>
          <w:tcPr>
            <w:tcW w:w="1813" w:type="dxa"/>
          </w:tcPr>
          <w:p w14:paraId="60FF0C72" w14:textId="77777777" w:rsidR="009102A7" w:rsidRPr="00576AF8" w:rsidRDefault="009102A7" w:rsidP="009F6B78">
            <w:pPr>
              <w:widowControl w:val="0"/>
              <w:suppressAutoHyphens w:val="0"/>
              <w:autoSpaceDE w:val="0"/>
              <w:autoSpaceDN w:val="0"/>
              <w:spacing w:before="33" w:after="0"/>
              <w:ind w:left="15" w:right="11"/>
              <w:jc w:val="center"/>
              <w:rPr>
                <w:rFonts w:eastAsia="Calibri"/>
                <w:sz w:val="22"/>
                <w:szCs w:val="22"/>
              </w:rPr>
            </w:pPr>
            <w:r w:rsidRPr="00576AF8">
              <w:rPr>
                <w:rFonts w:eastAsia="Calibri"/>
                <w:spacing w:val="-4"/>
                <w:sz w:val="22"/>
                <w:szCs w:val="22"/>
              </w:rPr>
              <w:t>1400</w:t>
            </w:r>
          </w:p>
        </w:tc>
      </w:tr>
      <w:tr w:rsidR="009102A7" w:rsidRPr="00576AF8" w14:paraId="2015C5DB" w14:textId="77777777" w:rsidTr="009F6B78">
        <w:trPr>
          <w:trHeight w:val="299"/>
        </w:trPr>
        <w:tc>
          <w:tcPr>
            <w:tcW w:w="1200" w:type="dxa"/>
          </w:tcPr>
          <w:p w14:paraId="5041BAA0"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3</w:t>
            </w:r>
          </w:p>
        </w:tc>
        <w:tc>
          <w:tcPr>
            <w:tcW w:w="4346" w:type="dxa"/>
          </w:tcPr>
          <w:p w14:paraId="04A17F4B"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Líneas</w:t>
            </w:r>
            <w:r w:rsidRPr="00576AF8">
              <w:rPr>
                <w:rFonts w:eastAsia="Calibri"/>
                <w:spacing w:val="-6"/>
                <w:sz w:val="22"/>
                <w:szCs w:val="22"/>
              </w:rPr>
              <w:t xml:space="preserve"> </w:t>
            </w:r>
            <w:r w:rsidRPr="00576AF8">
              <w:rPr>
                <w:rFonts w:eastAsia="Calibri"/>
                <w:sz w:val="22"/>
                <w:szCs w:val="22"/>
              </w:rPr>
              <w:t>de</w:t>
            </w:r>
            <w:r w:rsidRPr="00576AF8">
              <w:rPr>
                <w:rFonts w:eastAsia="Calibri"/>
                <w:spacing w:val="-6"/>
                <w:sz w:val="22"/>
                <w:szCs w:val="22"/>
              </w:rPr>
              <w:t xml:space="preserve"> </w:t>
            </w:r>
            <w:r w:rsidRPr="00576AF8">
              <w:rPr>
                <w:rFonts w:eastAsia="Calibri"/>
                <w:spacing w:val="-2"/>
                <w:sz w:val="22"/>
                <w:szCs w:val="22"/>
              </w:rPr>
              <w:t>transmisión</w:t>
            </w:r>
          </w:p>
        </w:tc>
        <w:tc>
          <w:tcPr>
            <w:tcW w:w="1813" w:type="dxa"/>
          </w:tcPr>
          <w:p w14:paraId="429D1AB1" w14:textId="77777777" w:rsidR="009102A7" w:rsidRPr="00576AF8" w:rsidRDefault="009102A7" w:rsidP="009F6B78">
            <w:pPr>
              <w:widowControl w:val="0"/>
              <w:suppressAutoHyphens w:val="0"/>
              <w:autoSpaceDE w:val="0"/>
              <w:autoSpaceDN w:val="0"/>
              <w:spacing w:before="33" w:after="0"/>
              <w:ind w:left="15" w:right="11"/>
              <w:jc w:val="center"/>
              <w:rPr>
                <w:rFonts w:eastAsia="Calibri"/>
                <w:sz w:val="22"/>
                <w:szCs w:val="22"/>
              </w:rPr>
            </w:pPr>
            <w:r w:rsidRPr="00576AF8">
              <w:rPr>
                <w:rFonts w:eastAsia="Calibri"/>
                <w:spacing w:val="-4"/>
                <w:sz w:val="22"/>
                <w:szCs w:val="22"/>
              </w:rPr>
              <w:t>3300</w:t>
            </w:r>
          </w:p>
        </w:tc>
      </w:tr>
      <w:tr w:rsidR="009102A7" w:rsidRPr="00576AF8" w14:paraId="112A4186" w14:textId="77777777" w:rsidTr="009F6B78">
        <w:trPr>
          <w:trHeight w:val="302"/>
        </w:trPr>
        <w:tc>
          <w:tcPr>
            <w:tcW w:w="1200" w:type="dxa"/>
          </w:tcPr>
          <w:p w14:paraId="7E5415F5"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4</w:t>
            </w:r>
          </w:p>
        </w:tc>
        <w:tc>
          <w:tcPr>
            <w:tcW w:w="4346" w:type="dxa"/>
          </w:tcPr>
          <w:p w14:paraId="7ADB4911"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Transformadores</w:t>
            </w:r>
            <w:r w:rsidRPr="00576AF8">
              <w:rPr>
                <w:rFonts w:eastAsia="Calibri"/>
                <w:spacing w:val="-9"/>
                <w:sz w:val="22"/>
                <w:szCs w:val="22"/>
              </w:rPr>
              <w:t xml:space="preserve"> </w:t>
            </w:r>
            <w:r w:rsidRPr="00576AF8">
              <w:rPr>
                <w:rFonts w:eastAsia="Calibri"/>
                <w:sz w:val="22"/>
                <w:szCs w:val="22"/>
              </w:rPr>
              <w:t>2</w:t>
            </w:r>
            <w:r w:rsidRPr="00576AF8">
              <w:rPr>
                <w:rFonts w:eastAsia="Calibri"/>
                <w:spacing w:val="-9"/>
                <w:sz w:val="22"/>
                <w:szCs w:val="22"/>
              </w:rPr>
              <w:t xml:space="preserve"> </w:t>
            </w:r>
            <w:r w:rsidRPr="00576AF8">
              <w:rPr>
                <w:rFonts w:eastAsia="Calibri"/>
                <w:spacing w:val="-2"/>
                <w:sz w:val="22"/>
                <w:szCs w:val="22"/>
              </w:rPr>
              <w:t>arrollados</w:t>
            </w:r>
          </w:p>
        </w:tc>
        <w:tc>
          <w:tcPr>
            <w:tcW w:w="1813" w:type="dxa"/>
          </w:tcPr>
          <w:p w14:paraId="498F1520" w14:textId="77777777" w:rsidR="009102A7" w:rsidRPr="00576AF8" w:rsidRDefault="009102A7" w:rsidP="009F6B78">
            <w:pPr>
              <w:widowControl w:val="0"/>
              <w:suppressAutoHyphens w:val="0"/>
              <w:autoSpaceDE w:val="0"/>
              <w:autoSpaceDN w:val="0"/>
              <w:spacing w:before="33" w:after="0"/>
              <w:ind w:left="15" w:right="10"/>
              <w:jc w:val="center"/>
              <w:rPr>
                <w:rFonts w:eastAsia="Calibri"/>
                <w:sz w:val="22"/>
                <w:szCs w:val="22"/>
              </w:rPr>
            </w:pPr>
            <w:r w:rsidRPr="00576AF8">
              <w:rPr>
                <w:rFonts w:eastAsia="Calibri"/>
                <w:spacing w:val="-4"/>
                <w:sz w:val="22"/>
                <w:szCs w:val="22"/>
              </w:rPr>
              <w:t>1288</w:t>
            </w:r>
          </w:p>
        </w:tc>
      </w:tr>
      <w:tr w:rsidR="009102A7" w:rsidRPr="00576AF8" w14:paraId="231A30A6" w14:textId="77777777" w:rsidTr="009F6B78">
        <w:trPr>
          <w:trHeight w:val="299"/>
        </w:trPr>
        <w:tc>
          <w:tcPr>
            <w:tcW w:w="1200" w:type="dxa"/>
          </w:tcPr>
          <w:p w14:paraId="1D205D71"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10"/>
                <w:sz w:val="22"/>
                <w:szCs w:val="22"/>
              </w:rPr>
              <w:t>5</w:t>
            </w:r>
          </w:p>
        </w:tc>
        <w:tc>
          <w:tcPr>
            <w:tcW w:w="4346" w:type="dxa"/>
          </w:tcPr>
          <w:p w14:paraId="7DAD6E85" w14:textId="77777777" w:rsidR="009102A7" w:rsidRPr="00576AF8" w:rsidRDefault="009102A7" w:rsidP="009F6B78">
            <w:pPr>
              <w:widowControl w:val="0"/>
              <w:suppressAutoHyphens w:val="0"/>
              <w:autoSpaceDE w:val="0"/>
              <w:autoSpaceDN w:val="0"/>
              <w:spacing w:before="30" w:after="0"/>
              <w:ind w:left="69"/>
              <w:jc w:val="left"/>
              <w:rPr>
                <w:rFonts w:eastAsia="Calibri"/>
                <w:sz w:val="22"/>
                <w:szCs w:val="22"/>
              </w:rPr>
            </w:pPr>
            <w:r w:rsidRPr="00576AF8">
              <w:rPr>
                <w:rFonts w:eastAsia="Calibri"/>
                <w:sz w:val="22"/>
                <w:szCs w:val="22"/>
              </w:rPr>
              <w:t>Transformadores</w:t>
            </w:r>
            <w:r w:rsidRPr="00576AF8">
              <w:rPr>
                <w:rFonts w:eastAsia="Calibri"/>
                <w:spacing w:val="-9"/>
                <w:sz w:val="22"/>
                <w:szCs w:val="22"/>
              </w:rPr>
              <w:t xml:space="preserve"> </w:t>
            </w:r>
            <w:r w:rsidRPr="00576AF8">
              <w:rPr>
                <w:rFonts w:eastAsia="Calibri"/>
                <w:sz w:val="22"/>
                <w:szCs w:val="22"/>
              </w:rPr>
              <w:t>3</w:t>
            </w:r>
            <w:r w:rsidRPr="00576AF8">
              <w:rPr>
                <w:rFonts w:eastAsia="Calibri"/>
                <w:spacing w:val="-9"/>
                <w:sz w:val="22"/>
                <w:szCs w:val="22"/>
              </w:rPr>
              <w:t xml:space="preserve"> </w:t>
            </w:r>
            <w:r w:rsidRPr="00576AF8">
              <w:rPr>
                <w:rFonts w:eastAsia="Calibri"/>
                <w:spacing w:val="-2"/>
                <w:sz w:val="22"/>
                <w:szCs w:val="22"/>
              </w:rPr>
              <w:t>arrollados</w:t>
            </w:r>
          </w:p>
        </w:tc>
        <w:tc>
          <w:tcPr>
            <w:tcW w:w="1813" w:type="dxa"/>
          </w:tcPr>
          <w:p w14:paraId="0175E68C" w14:textId="77777777" w:rsidR="009102A7" w:rsidRPr="00576AF8" w:rsidRDefault="009102A7" w:rsidP="009F6B78">
            <w:pPr>
              <w:widowControl w:val="0"/>
              <w:suppressAutoHyphens w:val="0"/>
              <w:autoSpaceDE w:val="0"/>
              <w:autoSpaceDN w:val="0"/>
              <w:spacing w:before="30" w:after="0"/>
              <w:ind w:left="15" w:right="9"/>
              <w:jc w:val="center"/>
              <w:rPr>
                <w:rFonts w:eastAsia="Calibri"/>
                <w:sz w:val="22"/>
                <w:szCs w:val="22"/>
              </w:rPr>
            </w:pPr>
            <w:r w:rsidRPr="00576AF8">
              <w:rPr>
                <w:rFonts w:eastAsia="Calibri"/>
                <w:spacing w:val="-5"/>
                <w:sz w:val="22"/>
                <w:szCs w:val="22"/>
              </w:rPr>
              <w:t>508</w:t>
            </w:r>
          </w:p>
        </w:tc>
      </w:tr>
      <w:tr w:rsidR="009102A7" w:rsidRPr="00576AF8" w14:paraId="31FCDB80" w14:textId="77777777" w:rsidTr="009F6B78">
        <w:trPr>
          <w:trHeight w:val="299"/>
        </w:trPr>
        <w:tc>
          <w:tcPr>
            <w:tcW w:w="1200" w:type="dxa"/>
          </w:tcPr>
          <w:p w14:paraId="3EC91517"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10"/>
                <w:sz w:val="22"/>
                <w:szCs w:val="22"/>
              </w:rPr>
              <w:t>6</w:t>
            </w:r>
          </w:p>
        </w:tc>
        <w:tc>
          <w:tcPr>
            <w:tcW w:w="4346" w:type="dxa"/>
          </w:tcPr>
          <w:p w14:paraId="433AEEF5" w14:textId="77777777" w:rsidR="009102A7" w:rsidRPr="00576AF8" w:rsidRDefault="009102A7" w:rsidP="009F6B78">
            <w:pPr>
              <w:widowControl w:val="0"/>
              <w:suppressAutoHyphens w:val="0"/>
              <w:autoSpaceDE w:val="0"/>
              <w:autoSpaceDN w:val="0"/>
              <w:spacing w:before="30" w:after="0"/>
              <w:ind w:left="69"/>
              <w:jc w:val="left"/>
              <w:rPr>
                <w:rFonts w:eastAsia="Calibri"/>
                <w:sz w:val="22"/>
                <w:szCs w:val="22"/>
              </w:rPr>
            </w:pPr>
            <w:r w:rsidRPr="00576AF8">
              <w:rPr>
                <w:rFonts w:eastAsia="Calibri"/>
                <w:spacing w:val="-2"/>
                <w:sz w:val="22"/>
                <w:szCs w:val="22"/>
              </w:rPr>
              <w:t>Compensadores</w:t>
            </w:r>
            <w:r w:rsidRPr="00576AF8">
              <w:rPr>
                <w:rFonts w:eastAsia="Calibri"/>
                <w:spacing w:val="10"/>
                <w:sz w:val="22"/>
                <w:szCs w:val="22"/>
              </w:rPr>
              <w:t xml:space="preserve"> </w:t>
            </w:r>
            <w:r w:rsidRPr="00576AF8">
              <w:rPr>
                <w:rFonts w:eastAsia="Calibri"/>
                <w:spacing w:val="-2"/>
                <w:sz w:val="22"/>
                <w:szCs w:val="22"/>
              </w:rPr>
              <w:t>reactivos</w:t>
            </w:r>
          </w:p>
        </w:tc>
        <w:tc>
          <w:tcPr>
            <w:tcW w:w="1813" w:type="dxa"/>
          </w:tcPr>
          <w:p w14:paraId="46EDF5D6" w14:textId="77777777" w:rsidR="009102A7" w:rsidRPr="00576AF8" w:rsidRDefault="009102A7" w:rsidP="009F6B78">
            <w:pPr>
              <w:widowControl w:val="0"/>
              <w:suppressAutoHyphens w:val="0"/>
              <w:autoSpaceDE w:val="0"/>
              <w:autoSpaceDN w:val="0"/>
              <w:spacing w:before="30" w:after="0"/>
              <w:ind w:left="15" w:right="10"/>
              <w:jc w:val="center"/>
              <w:rPr>
                <w:rFonts w:eastAsia="Calibri"/>
                <w:sz w:val="22"/>
                <w:szCs w:val="22"/>
              </w:rPr>
            </w:pPr>
            <w:r w:rsidRPr="00576AF8">
              <w:rPr>
                <w:rFonts w:eastAsia="Calibri"/>
                <w:spacing w:val="-5"/>
                <w:sz w:val="22"/>
                <w:szCs w:val="22"/>
              </w:rPr>
              <w:t>516</w:t>
            </w:r>
          </w:p>
        </w:tc>
      </w:tr>
      <w:tr w:rsidR="009102A7" w:rsidRPr="00576AF8" w14:paraId="20E19737" w14:textId="77777777" w:rsidTr="009F6B78">
        <w:trPr>
          <w:trHeight w:val="299"/>
        </w:trPr>
        <w:tc>
          <w:tcPr>
            <w:tcW w:w="1200" w:type="dxa"/>
          </w:tcPr>
          <w:p w14:paraId="4C7D7F49"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7</w:t>
            </w:r>
          </w:p>
        </w:tc>
        <w:tc>
          <w:tcPr>
            <w:tcW w:w="4346" w:type="dxa"/>
          </w:tcPr>
          <w:p w14:paraId="0588FFCB"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FACTS</w:t>
            </w:r>
            <w:r w:rsidRPr="00576AF8">
              <w:rPr>
                <w:rFonts w:eastAsia="Calibri"/>
                <w:spacing w:val="-9"/>
                <w:sz w:val="22"/>
                <w:szCs w:val="22"/>
              </w:rPr>
              <w:t xml:space="preserve"> </w:t>
            </w:r>
            <w:r w:rsidRPr="00576AF8">
              <w:rPr>
                <w:rFonts w:eastAsia="Calibri"/>
                <w:sz w:val="22"/>
                <w:szCs w:val="22"/>
              </w:rPr>
              <w:t>(STATCOM,</w:t>
            </w:r>
            <w:r w:rsidRPr="00576AF8">
              <w:rPr>
                <w:rFonts w:eastAsia="Calibri"/>
                <w:spacing w:val="-9"/>
                <w:sz w:val="22"/>
                <w:szCs w:val="22"/>
              </w:rPr>
              <w:t xml:space="preserve"> </w:t>
            </w:r>
            <w:r w:rsidRPr="00576AF8">
              <w:rPr>
                <w:rFonts w:eastAsia="Calibri"/>
                <w:spacing w:val="-4"/>
                <w:sz w:val="22"/>
                <w:szCs w:val="22"/>
              </w:rPr>
              <w:t>SVC)</w:t>
            </w:r>
          </w:p>
        </w:tc>
        <w:tc>
          <w:tcPr>
            <w:tcW w:w="1813" w:type="dxa"/>
          </w:tcPr>
          <w:p w14:paraId="73C9D447" w14:textId="77777777" w:rsidR="009102A7" w:rsidRPr="00576AF8" w:rsidRDefault="009102A7" w:rsidP="009F6B78">
            <w:pPr>
              <w:widowControl w:val="0"/>
              <w:suppressAutoHyphens w:val="0"/>
              <w:autoSpaceDE w:val="0"/>
              <w:autoSpaceDN w:val="0"/>
              <w:spacing w:before="33" w:after="0"/>
              <w:ind w:left="15" w:right="10"/>
              <w:jc w:val="center"/>
              <w:rPr>
                <w:rFonts w:eastAsia="Calibri"/>
                <w:sz w:val="22"/>
                <w:szCs w:val="22"/>
              </w:rPr>
            </w:pPr>
            <w:r w:rsidRPr="00576AF8">
              <w:rPr>
                <w:rFonts w:eastAsia="Calibri"/>
                <w:spacing w:val="-5"/>
                <w:sz w:val="22"/>
                <w:szCs w:val="22"/>
              </w:rPr>
              <w:t>12</w:t>
            </w:r>
          </w:p>
        </w:tc>
      </w:tr>
      <w:tr w:rsidR="009102A7" w:rsidRPr="00576AF8" w14:paraId="6115EC6D" w14:textId="77777777" w:rsidTr="009F6B78">
        <w:trPr>
          <w:trHeight w:val="299"/>
        </w:trPr>
        <w:tc>
          <w:tcPr>
            <w:tcW w:w="1200" w:type="dxa"/>
          </w:tcPr>
          <w:p w14:paraId="0972D05B"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8</w:t>
            </w:r>
          </w:p>
        </w:tc>
        <w:tc>
          <w:tcPr>
            <w:tcW w:w="4346" w:type="dxa"/>
          </w:tcPr>
          <w:p w14:paraId="14AFEF74"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lang w:val="es-EC"/>
              </w:rPr>
            </w:pPr>
            <w:r w:rsidRPr="00576AF8">
              <w:rPr>
                <w:rFonts w:eastAsia="Calibri"/>
                <w:sz w:val="22"/>
                <w:szCs w:val="22"/>
                <w:lang w:val="es-EC"/>
              </w:rPr>
              <w:t>Barras</w:t>
            </w:r>
            <w:r w:rsidRPr="00576AF8">
              <w:rPr>
                <w:rFonts w:eastAsia="Calibri"/>
                <w:spacing w:val="-3"/>
                <w:sz w:val="22"/>
                <w:szCs w:val="22"/>
                <w:lang w:val="es-EC"/>
              </w:rPr>
              <w:t xml:space="preserve"> </w:t>
            </w:r>
            <w:r w:rsidRPr="00576AF8">
              <w:rPr>
                <w:rFonts w:eastAsia="Calibri"/>
                <w:sz w:val="22"/>
                <w:szCs w:val="22"/>
                <w:lang w:val="es-EC"/>
              </w:rPr>
              <w:t>en</w:t>
            </w:r>
            <w:r w:rsidRPr="00576AF8">
              <w:rPr>
                <w:rFonts w:eastAsia="Calibri"/>
                <w:spacing w:val="-3"/>
                <w:sz w:val="22"/>
                <w:szCs w:val="22"/>
                <w:lang w:val="es-EC"/>
              </w:rPr>
              <w:t xml:space="preserve"> </w:t>
            </w:r>
            <w:r w:rsidRPr="00576AF8">
              <w:rPr>
                <w:rFonts w:eastAsia="Calibri"/>
                <w:sz w:val="22"/>
                <w:szCs w:val="22"/>
                <w:lang w:val="es-EC"/>
              </w:rPr>
              <w:t>el</w:t>
            </w:r>
            <w:r w:rsidRPr="00576AF8">
              <w:rPr>
                <w:rFonts w:eastAsia="Calibri"/>
                <w:spacing w:val="-5"/>
                <w:sz w:val="22"/>
                <w:szCs w:val="22"/>
                <w:lang w:val="es-EC"/>
              </w:rPr>
              <w:t xml:space="preserve"> </w:t>
            </w:r>
            <w:r w:rsidRPr="00576AF8">
              <w:rPr>
                <w:rFonts w:eastAsia="Calibri"/>
                <w:sz w:val="22"/>
                <w:szCs w:val="22"/>
                <w:lang w:val="es-EC"/>
              </w:rPr>
              <w:t>modelo</w:t>
            </w:r>
            <w:r w:rsidRPr="00576AF8">
              <w:rPr>
                <w:rFonts w:eastAsia="Calibri"/>
                <w:spacing w:val="-5"/>
                <w:sz w:val="22"/>
                <w:szCs w:val="22"/>
                <w:lang w:val="es-EC"/>
              </w:rPr>
              <w:t xml:space="preserve"> </w:t>
            </w:r>
            <w:r w:rsidRPr="00576AF8">
              <w:rPr>
                <w:rFonts w:eastAsia="Calibri"/>
                <w:sz w:val="22"/>
                <w:szCs w:val="22"/>
                <w:lang w:val="es-EC"/>
              </w:rPr>
              <w:t>de</w:t>
            </w:r>
            <w:r w:rsidRPr="00576AF8">
              <w:rPr>
                <w:rFonts w:eastAsia="Calibri"/>
                <w:spacing w:val="-6"/>
                <w:sz w:val="22"/>
                <w:szCs w:val="22"/>
                <w:lang w:val="es-EC"/>
              </w:rPr>
              <w:t xml:space="preserve"> </w:t>
            </w:r>
            <w:r w:rsidRPr="00576AF8">
              <w:rPr>
                <w:rFonts w:eastAsia="Calibri"/>
                <w:spacing w:val="-5"/>
                <w:sz w:val="22"/>
                <w:szCs w:val="22"/>
                <w:lang w:val="es-EC"/>
              </w:rPr>
              <w:t>red</w:t>
            </w:r>
          </w:p>
        </w:tc>
        <w:tc>
          <w:tcPr>
            <w:tcW w:w="1813" w:type="dxa"/>
          </w:tcPr>
          <w:p w14:paraId="3C81F80D" w14:textId="77777777" w:rsidR="009102A7" w:rsidRPr="00576AF8" w:rsidRDefault="009102A7" w:rsidP="009F6B78">
            <w:pPr>
              <w:widowControl w:val="0"/>
              <w:suppressAutoHyphens w:val="0"/>
              <w:autoSpaceDE w:val="0"/>
              <w:autoSpaceDN w:val="0"/>
              <w:spacing w:before="33" w:after="0"/>
              <w:ind w:left="15" w:right="9"/>
              <w:jc w:val="center"/>
              <w:rPr>
                <w:rFonts w:eastAsia="Calibri"/>
                <w:sz w:val="22"/>
                <w:szCs w:val="22"/>
              </w:rPr>
            </w:pPr>
            <w:r w:rsidRPr="00576AF8">
              <w:rPr>
                <w:rFonts w:eastAsia="Calibri"/>
                <w:spacing w:val="-4"/>
                <w:sz w:val="22"/>
                <w:szCs w:val="22"/>
              </w:rPr>
              <w:t>6000</w:t>
            </w:r>
          </w:p>
        </w:tc>
      </w:tr>
      <w:tr w:rsidR="009102A7" w:rsidRPr="00576AF8" w14:paraId="44222E01" w14:textId="77777777" w:rsidTr="009F6B78">
        <w:trPr>
          <w:trHeight w:val="299"/>
        </w:trPr>
        <w:tc>
          <w:tcPr>
            <w:tcW w:w="1200" w:type="dxa"/>
          </w:tcPr>
          <w:p w14:paraId="211C0C68"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9</w:t>
            </w:r>
          </w:p>
        </w:tc>
        <w:tc>
          <w:tcPr>
            <w:tcW w:w="4346" w:type="dxa"/>
          </w:tcPr>
          <w:p w14:paraId="4C14C075"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Interruptores</w:t>
            </w:r>
            <w:r w:rsidRPr="00576AF8">
              <w:rPr>
                <w:rFonts w:eastAsia="Calibri"/>
                <w:spacing w:val="-9"/>
                <w:sz w:val="22"/>
                <w:szCs w:val="22"/>
              </w:rPr>
              <w:t xml:space="preserve"> </w:t>
            </w:r>
            <w:r w:rsidRPr="00576AF8">
              <w:rPr>
                <w:rFonts w:eastAsia="Calibri"/>
                <w:sz w:val="22"/>
                <w:szCs w:val="22"/>
              </w:rPr>
              <w:t>(disyuntores</w:t>
            </w:r>
            <w:r w:rsidRPr="00576AF8">
              <w:rPr>
                <w:rFonts w:eastAsia="Calibri"/>
                <w:spacing w:val="-5"/>
                <w:sz w:val="22"/>
                <w:szCs w:val="22"/>
              </w:rPr>
              <w:t xml:space="preserve"> </w:t>
            </w:r>
            <w:r w:rsidRPr="00576AF8">
              <w:rPr>
                <w:rFonts w:eastAsia="Calibri"/>
                <w:sz w:val="22"/>
                <w:szCs w:val="22"/>
              </w:rPr>
              <w:t>y</w:t>
            </w:r>
            <w:r w:rsidRPr="00576AF8">
              <w:rPr>
                <w:rFonts w:eastAsia="Calibri"/>
                <w:spacing w:val="-12"/>
                <w:sz w:val="22"/>
                <w:szCs w:val="22"/>
              </w:rPr>
              <w:t xml:space="preserve"> </w:t>
            </w:r>
            <w:r w:rsidRPr="00576AF8">
              <w:rPr>
                <w:rFonts w:eastAsia="Calibri"/>
                <w:spacing w:val="-2"/>
                <w:sz w:val="22"/>
                <w:szCs w:val="22"/>
              </w:rPr>
              <w:t>aisladores)</w:t>
            </w:r>
          </w:p>
        </w:tc>
        <w:tc>
          <w:tcPr>
            <w:tcW w:w="1813" w:type="dxa"/>
          </w:tcPr>
          <w:p w14:paraId="532817B4" w14:textId="77777777" w:rsidR="009102A7" w:rsidRPr="00576AF8" w:rsidRDefault="009102A7" w:rsidP="009F6B78">
            <w:pPr>
              <w:widowControl w:val="0"/>
              <w:suppressAutoHyphens w:val="0"/>
              <w:autoSpaceDE w:val="0"/>
              <w:autoSpaceDN w:val="0"/>
              <w:spacing w:before="33" w:after="0"/>
              <w:ind w:left="15" w:right="7"/>
              <w:jc w:val="center"/>
              <w:rPr>
                <w:rFonts w:eastAsia="Calibri"/>
                <w:sz w:val="22"/>
                <w:szCs w:val="22"/>
              </w:rPr>
            </w:pPr>
            <w:r w:rsidRPr="00576AF8">
              <w:rPr>
                <w:rFonts w:eastAsia="Calibri"/>
                <w:spacing w:val="-2"/>
                <w:sz w:val="22"/>
                <w:szCs w:val="22"/>
              </w:rPr>
              <w:t>40000</w:t>
            </w:r>
          </w:p>
        </w:tc>
      </w:tr>
      <w:tr w:rsidR="009102A7" w:rsidRPr="00576AF8" w14:paraId="59D90393" w14:textId="77777777" w:rsidTr="009F6B78">
        <w:trPr>
          <w:trHeight w:val="510"/>
        </w:trPr>
        <w:tc>
          <w:tcPr>
            <w:tcW w:w="1200" w:type="dxa"/>
          </w:tcPr>
          <w:p w14:paraId="6E4BBF7E" w14:textId="77777777" w:rsidR="009102A7" w:rsidRPr="00576AF8" w:rsidRDefault="009102A7" w:rsidP="009F6B78">
            <w:pPr>
              <w:widowControl w:val="0"/>
              <w:suppressAutoHyphens w:val="0"/>
              <w:autoSpaceDE w:val="0"/>
              <w:autoSpaceDN w:val="0"/>
              <w:spacing w:before="138" w:after="0"/>
              <w:ind w:left="15" w:right="11"/>
              <w:jc w:val="center"/>
              <w:rPr>
                <w:rFonts w:eastAsia="Calibri"/>
                <w:sz w:val="22"/>
                <w:szCs w:val="22"/>
              </w:rPr>
            </w:pPr>
            <w:r w:rsidRPr="00576AF8">
              <w:rPr>
                <w:rFonts w:eastAsia="Calibri"/>
                <w:spacing w:val="-5"/>
                <w:sz w:val="22"/>
                <w:szCs w:val="22"/>
              </w:rPr>
              <w:t>10</w:t>
            </w:r>
          </w:p>
        </w:tc>
        <w:tc>
          <w:tcPr>
            <w:tcW w:w="4346" w:type="dxa"/>
          </w:tcPr>
          <w:p w14:paraId="6AFE2A86" w14:textId="77777777" w:rsidR="009102A7" w:rsidRPr="00576AF8" w:rsidRDefault="009102A7" w:rsidP="009F6B78">
            <w:pPr>
              <w:widowControl w:val="0"/>
              <w:suppressAutoHyphens w:val="0"/>
              <w:autoSpaceDE w:val="0"/>
              <w:autoSpaceDN w:val="0"/>
              <w:spacing w:before="23" w:after="0"/>
              <w:ind w:left="69"/>
              <w:jc w:val="left"/>
              <w:rPr>
                <w:rFonts w:eastAsia="Calibri"/>
                <w:sz w:val="22"/>
                <w:szCs w:val="22"/>
                <w:lang w:val="es-EC"/>
              </w:rPr>
            </w:pPr>
            <w:r w:rsidRPr="00576AF8">
              <w:rPr>
                <w:rFonts w:eastAsia="Calibri"/>
                <w:sz w:val="22"/>
                <w:szCs w:val="22"/>
                <w:lang w:val="es-EC"/>
              </w:rPr>
              <w:t>Número</w:t>
            </w:r>
            <w:r w:rsidRPr="00576AF8">
              <w:rPr>
                <w:rFonts w:eastAsia="Calibri"/>
                <w:spacing w:val="-7"/>
                <w:sz w:val="22"/>
                <w:szCs w:val="22"/>
                <w:lang w:val="es-EC"/>
              </w:rPr>
              <w:t xml:space="preserve"> </w:t>
            </w:r>
            <w:r w:rsidRPr="00576AF8">
              <w:rPr>
                <w:rFonts w:eastAsia="Calibri"/>
                <w:sz w:val="22"/>
                <w:szCs w:val="22"/>
                <w:lang w:val="es-EC"/>
              </w:rPr>
              <w:t>de</w:t>
            </w:r>
            <w:r w:rsidRPr="00576AF8">
              <w:rPr>
                <w:rFonts w:eastAsia="Calibri"/>
                <w:spacing w:val="-7"/>
                <w:sz w:val="22"/>
                <w:szCs w:val="22"/>
                <w:lang w:val="es-EC"/>
              </w:rPr>
              <w:t xml:space="preserve"> </w:t>
            </w:r>
            <w:r w:rsidRPr="00576AF8">
              <w:rPr>
                <w:rFonts w:eastAsia="Calibri"/>
                <w:sz w:val="22"/>
                <w:szCs w:val="22"/>
                <w:lang w:val="es-EC"/>
              </w:rPr>
              <w:t>áreas</w:t>
            </w:r>
            <w:r w:rsidRPr="00576AF8">
              <w:rPr>
                <w:rFonts w:eastAsia="Calibri"/>
                <w:spacing w:val="-5"/>
                <w:sz w:val="22"/>
                <w:szCs w:val="22"/>
                <w:lang w:val="es-EC"/>
              </w:rPr>
              <w:t xml:space="preserve"> </w:t>
            </w:r>
            <w:r w:rsidRPr="00576AF8">
              <w:rPr>
                <w:rFonts w:eastAsia="Calibri"/>
                <w:sz w:val="22"/>
                <w:szCs w:val="22"/>
                <w:lang w:val="es-EC"/>
              </w:rPr>
              <w:t>de</w:t>
            </w:r>
            <w:r w:rsidRPr="00576AF8">
              <w:rPr>
                <w:rFonts w:eastAsia="Calibri"/>
                <w:spacing w:val="-8"/>
                <w:sz w:val="22"/>
                <w:szCs w:val="22"/>
                <w:lang w:val="es-EC"/>
              </w:rPr>
              <w:t xml:space="preserve"> </w:t>
            </w:r>
            <w:r w:rsidRPr="00576AF8">
              <w:rPr>
                <w:rFonts w:eastAsia="Calibri"/>
                <w:sz w:val="22"/>
                <w:szCs w:val="22"/>
                <w:lang w:val="es-EC"/>
              </w:rPr>
              <w:t>modo</w:t>
            </w:r>
            <w:r w:rsidRPr="00576AF8">
              <w:rPr>
                <w:rFonts w:eastAsia="Calibri"/>
                <w:spacing w:val="-4"/>
                <w:sz w:val="22"/>
                <w:szCs w:val="22"/>
                <w:lang w:val="es-EC"/>
              </w:rPr>
              <w:t xml:space="preserve"> </w:t>
            </w:r>
            <w:r w:rsidRPr="00576AF8">
              <w:rPr>
                <w:rFonts w:eastAsia="Calibri"/>
                <w:sz w:val="22"/>
                <w:szCs w:val="22"/>
                <w:lang w:val="es-EC"/>
              </w:rPr>
              <w:t>estudio</w:t>
            </w:r>
            <w:r w:rsidRPr="00576AF8">
              <w:rPr>
                <w:rFonts w:eastAsia="Calibri"/>
                <w:spacing w:val="-8"/>
                <w:sz w:val="22"/>
                <w:szCs w:val="22"/>
                <w:lang w:val="es-EC"/>
              </w:rPr>
              <w:t xml:space="preserve"> </w:t>
            </w:r>
            <w:r w:rsidRPr="00576AF8">
              <w:rPr>
                <w:rFonts w:eastAsia="Calibri"/>
                <w:sz w:val="22"/>
                <w:szCs w:val="22"/>
                <w:lang w:val="es-EC"/>
              </w:rPr>
              <w:t>para aplicaciones de seguridad</w:t>
            </w:r>
          </w:p>
        </w:tc>
        <w:tc>
          <w:tcPr>
            <w:tcW w:w="1813" w:type="dxa"/>
          </w:tcPr>
          <w:p w14:paraId="33B24A4C" w14:textId="77777777" w:rsidR="009102A7" w:rsidRPr="00576AF8" w:rsidRDefault="009102A7" w:rsidP="009F6B78">
            <w:pPr>
              <w:widowControl w:val="0"/>
              <w:suppressAutoHyphens w:val="0"/>
              <w:autoSpaceDE w:val="0"/>
              <w:autoSpaceDN w:val="0"/>
              <w:spacing w:before="138" w:after="0"/>
              <w:ind w:left="15" w:right="10"/>
              <w:jc w:val="center"/>
              <w:rPr>
                <w:rFonts w:eastAsia="Calibri"/>
                <w:sz w:val="22"/>
                <w:szCs w:val="22"/>
              </w:rPr>
            </w:pPr>
            <w:r w:rsidRPr="00576AF8">
              <w:rPr>
                <w:rFonts w:eastAsia="Calibri"/>
                <w:spacing w:val="-5"/>
                <w:sz w:val="22"/>
                <w:szCs w:val="22"/>
              </w:rPr>
              <w:t>20</w:t>
            </w:r>
          </w:p>
        </w:tc>
      </w:tr>
      <w:tr w:rsidR="009102A7" w:rsidRPr="00576AF8" w14:paraId="7F78A138" w14:textId="77777777" w:rsidTr="009F6B78">
        <w:trPr>
          <w:trHeight w:val="765"/>
        </w:trPr>
        <w:tc>
          <w:tcPr>
            <w:tcW w:w="1200" w:type="dxa"/>
          </w:tcPr>
          <w:p w14:paraId="756B008E" w14:textId="77777777" w:rsidR="009102A7" w:rsidRPr="00576AF8" w:rsidRDefault="009102A7" w:rsidP="009F6B78">
            <w:pPr>
              <w:widowControl w:val="0"/>
              <w:suppressAutoHyphens w:val="0"/>
              <w:autoSpaceDE w:val="0"/>
              <w:autoSpaceDN w:val="0"/>
              <w:spacing w:before="35" w:after="0"/>
              <w:jc w:val="left"/>
              <w:rPr>
                <w:rFonts w:eastAsia="Calibri"/>
                <w:b/>
                <w:sz w:val="22"/>
                <w:szCs w:val="22"/>
              </w:rPr>
            </w:pPr>
          </w:p>
          <w:p w14:paraId="250145D8" w14:textId="77777777" w:rsidR="009102A7" w:rsidRPr="00576AF8" w:rsidRDefault="009102A7" w:rsidP="009F6B78">
            <w:pPr>
              <w:widowControl w:val="0"/>
              <w:suppressAutoHyphens w:val="0"/>
              <w:autoSpaceDE w:val="0"/>
              <w:autoSpaceDN w:val="0"/>
              <w:spacing w:before="1" w:after="0"/>
              <w:ind w:left="15" w:right="11"/>
              <w:jc w:val="center"/>
              <w:rPr>
                <w:rFonts w:eastAsia="Calibri"/>
                <w:sz w:val="22"/>
                <w:szCs w:val="22"/>
              </w:rPr>
            </w:pPr>
            <w:r w:rsidRPr="00576AF8">
              <w:rPr>
                <w:rFonts w:eastAsia="Calibri"/>
                <w:spacing w:val="-5"/>
                <w:sz w:val="22"/>
                <w:szCs w:val="22"/>
              </w:rPr>
              <w:t>11</w:t>
            </w:r>
          </w:p>
        </w:tc>
        <w:tc>
          <w:tcPr>
            <w:tcW w:w="4346" w:type="dxa"/>
          </w:tcPr>
          <w:p w14:paraId="3CE1257E" w14:textId="77777777" w:rsidR="009102A7" w:rsidRPr="00576AF8" w:rsidRDefault="009102A7" w:rsidP="009F6B78">
            <w:pPr>
              <w:widowControl w:val="0"/>
              <w:suppressAutoHyphens w:val="0"/>
              <w:autoSpaceDE w:val="0"/>
              <w:autoSpaceDN w:val="0"/>
              <w:spacing w:before="150" w:after="0"/>
              <w:ind w:left="69"/>
              <w:jc w:val="left"/>
              <w:rPr>
                <w:rFonts w:eastAsia="Calibri"/>
                <w:sz w:val="22"/>
                <w:szCs w:val="22"/>
                <w:lang w:val="es-EC"/>
              </w:rPr>
            </w:pPr>
            <w:r w:rsidRPr="00576AF8">
              <w:rPr>
                <w:rFonts w:eastAsia="Calibri"/>
                <w:sz w:val="22"/>
                <w:szCs w:val="22"/>
                <w:lang w:val="es-EC"/>
              </w:rPr>
              <w:t>Número</w:t>
            </w:r>
            <w:r w:rsidRPr="00576AF8">
              <w:rPr>
                <w:rFonts w:eastAsia="Calibri"/>
                <w:spacing w:val="-7"/>
                <w:sz w:val="22"/>
                <w:szCs w:val="22"/>
                <w:lang w:val="es-EC"/>
              </w:rPr>
              <w:t xml:space="preserve"> </w:t>
            </w:r>
            <w:r w:rsidRPr="00576AF8">
              <w:rPr>
                <w:rFonts w:eastAsia="Calibri"/>
                <w:sz w:val="22"/>
                <w:szCs w:val="22"/>
                <w:lang w:val="es-EC"/>
              </w:rPr>
              <w:t>de</w:t>
            </w:r>
            <w:r w:rsidRPr="00576AF8">
              <w:rPr>
                <w:rFonts w:eastAsia="Calibri"/>
                <w:spacing w:val="-7"/>
                <w:sz w:val="22"/>
                <w:szCs w:val="22"/>
                <w:lang w:val="es-EC"/>
              </w:rPr>
              <w:t xml:space="preserve"> </w:t>
            </w:r>
            <w:r w:rsidRPr="00576AF8">
              <w:rPr>
                <w:rFonts w:eastAsia="Calibri"/>
                <w:sz w:val="22"/>
                <w:szCs w:val="22"/>
                <w:lang w:val="es-EC"/>
              </w:rPr>
              <w:t>casos</w:t>
            </w:r>
            <w:r w:rsidRPr="00576AF8">
              <w:rPr>
                <w:rFonts w:eastAsia="Calibri"/>
                <w:spacing w:val="-6"/>
                <w:sz w:val="22"/>
                <w:szCs w:val="22"/>
                <w:lang w:val="es-EC"/>
              </w:rPr>
              <w:t xml:space="preserve"> </w:t>
            </w:r>
            <w:r w:rsidRPr="00576AF8">
              <w:rPr>
                <w:rFonts w:eastAsia="Calibri"/>
                <w:sz w:val="22"/>
                <w:szCs w:val="22"/>
                <w:lang w:val="es-EC"/>
              </w:rPr>
              <w:t>guardados</w:t>
            </w:r>
            <w:r w:rsidRPr="00576AF8">
              <w:rPr>
                <w:rFonts w:eastAsia="Calibri"/>
                <w:spacing w:val="-5"/>
                <w:sz w:val="22"/>
                <w:szCs w:val="22"/>
                <w:lang w:val="es-EC"/>
              </w:rPr>
              <w:t xml:space="preserve"> </w:t>
            </w:r>
            <w:r w:rsidRPr="00576AF8">
              <w:rPr>
                <w:rFonts w:eastAsia="Calibri"/>
                <w:sz w:val="22"/>
                <w:szCs w:val="22"/>
                <w:lang w:val="es-EC"/>
              </w:rPr>
              <w:t>de</w:t>
            </w:r>
            <w:r w:rsidRPr="00576AF8">
              <w:rPr>
                <w:rFonts w:eastAsia="Calibri"/>
                <w:spacing w:val="-4"/>
                <w:sz w:val="22"/>
                <w:szCs w:val="22"/>
                <w:lang w:val="es-EC"/>
              </w:rPr>
              <w:t xml:space="preserve"> </w:t>
            </w:r>
            <w:r w:rsidRPr="00576AF8">
              <w:rPr>
                <w:rFonts w:eastAsia="Calibri"/>
                <w:sz w:val="22"/>
                <w:szCs w:val="22"/>
                <w:lang w:val="es-EC"/>
              </w:rPr>
              <w:t>SE</w:t>
            </w:r>
            <w:r w:rsidRPr="00576AF8">
              <w:rPr>
                <w:rFonts w:eastAsia="Calibri"/>
                <w:spacing w:val="-6"/>
                <w:sz w:val="22"/>
                <w:szCs w:val="22"/>
                <w:lang w:val="es-EC"/>
              </w:rPr>
              <w:t xml:space="preserve"> </w:t>
            </w:r>
            <w:r w:rsidRPr="00576AF8">
              <w:rPr>
                <w:rFonts w:eastAsia="Calibri"/>
                <w:sz w:val="22"/>
                <w:szCs w:val="22"/>
                <w:lang w:val="es-EC"/>
              </w:rPr>
              <w:t>en</w:t>
            </w:r>
            <w:r w:rsidRPr="00576AF8">
              <w:rPr>
                <w:rFonts w:eastAsia="Calibri"/>
                <w:spacing w:val="-7"/>
                <w:sz w:val="22"/>
                <w:szCs w:val="22"/>
                <w:lang w:val="es-EC"/>
              </w:rPr>
              <w:t xml:space="preserve"> </w:t>
            </w:r>
            <w:r w:rsidRPr="00576AF8">
              <w:rPr>
                <w:rFonts w:eastAsia="Calibri"/>
                <w:sz w:val="22"/>
                <w:szCs w:val="22"/>
                <w:lang w:val="es-EC"/>
              </w:rPr>
              <w:t xml:space="preserve">tiempo </w:t>
            </w:r>
            <w:r w:rsidRPr="00576AF8">
              <w:rPr>
                <w:rFonts w:eastAsia="Calibri"/>
                <w:spacing w:val="-4"/>
                <w:sz w:val="22"/>
                <w:szCs w:val="22"/>
                <w:lang w:val="es-EC"/>
              </w:rPr>
              <w:t>real</w:t>
            </w:r>
          </w:p>
        </w:tc>
        <w:tc>
          <w:tcPr>
            <w:tcW w:w="1813" w:type="dxa"/>
          </w:tcPr>
          <w:p w14:paraId="24682B31" w14:textId="77777777" w:rsidR="009102A7" w:rsidRPr="00576AF8" w:rsidRDefault="009102A7" w:rsidP="009F6B78">
            <w:pPr>
              <w:widowControl w:val="0"/>
              <w:suppressAutoHyphens w:val="0"/>
              <w:autoSpaceDE w:val="0"/>
              <w:autoSpaceDN w:val="0"/>
              <w:spacing w:before="35" w:after="0"/>
              <w:jc w:val="left"/>
              <w:rPr>
                <w:rFonts w:eastAsia="Calibri"/>
                <w:b/>
                <w:sz w:val="22"/>
                <w:szCs w:val="22"/>
                <w:lang w:val="es-EC"/>
              </w:rPr>
            </w:pPr>
          </w:p>
          <w:p w14:paraId="4B4DB72A" w14:textId="77777777" w:rsidR="009102A7" w:rsidRPr="00576AF8" w:rsidRDefault="009102A7" w:rsidP="009F6B78">
            <w:pPr>
              <w:widowControl w:val="0"/>
              <w:suppressAutoHyphens w:val="0"/>
              <w:autoSpaceDE w:val="0"/>
              <w:autoSpaceDN w:val="0"/>
              <w:spacing w:before="1" w:after="0"/>
              <w:ind w:left="15" w:right="6"/>
              <w:jc w:val="center"/>
              <w:rPr>
                <w:rFonts w:eastAsia="Calibri"/>
                <w:sz w:val="22"/>
                <w:szCs w:val="22"/>
              </w:rPr>
            </w:pPr>
            <w:r w:rsidRPr="00576AF8">
              <w:rPr>
                <w:rFonts w:eastAsia="Calibri"/>
                <w:spacing w:val="-2"/>
                <w:sz w:val="22"/>
                <w:szCs w:val="22"/>
              </w:rPr>
              <w:t>10000</w:t>
            </w:r>
          </w:p>
        </w:tc>
      </w:tr>
      <w:tr w:rsidR="009102A7" w:rsidRPr="00576AF8" w14:paraId="76841485" w14:textId="77777777" w:rsidTr="009F6B78">
        <w:trPr>
          <w:trHeight w:val="765"/>
        </w:trPr>
        <w:tc>
          <w:tcPr>
            <w:tcW w:w="1200" w:type="dxa"/>
          </w:tcPr>
          <w:p w14:paraId="51CDCED0" w14:textId="77777777" w:rsidR="009102A7" w:rsidRPr="00576AF8" w:rsidRDefault="009102A7" w:rsidP="009F6B78">
            <w:pPr>
              <w:widowControl w:val="0"/>
              <w:suppressAutoHyphens w:val="0"/>
              <w:autoSpaceDE w:val="0"/>
              <w:autoSpaceDN w:val="0"/>
              <w:spacing w:before="35" w:after="0"/>
              <w:jc w:val="left"/>
              <w:rPr>
                <w:rFonts w:eastAsia="Calibri"/>
                <w:b/>
                <w:sz w:val="22"/>
                <w:szCs w:val="22"/>
              </w:rPr>
            </w:pPr>
          </w:p>
          <w:p w14:paraId="5F83E9F0" w14:textId="77777777" w:rsidR="009102A7" w:rsidRPr="00576AF8" w:rsidRDefault="009102A7" w:rsidP="009F6B78">
            <w:pPr>
              <w:widowControl w:val="0"/>
              <w:suppressAutoHyphens w:val="0"/>
              <w:autoSpaceDE w:val="0"/>
              <w:autoSpaceDN w:val="0"/>
              <w:spacing w:before="1" w:after="0"/>
              <w:ind w:left="15" w:right="11"/>
              <w:jc w:val="center"/>
              <w:rPr>
                <w:rFonts w:eastAsia="Calibri"/>
                <w:sz w:val="22"/>
                <w:szCs w:val="22"/>
              </w:rPr>
            </w:pPr>
            <w:r w:rsidRPr="00576AF8">
              <w:rPr>
                <w:rFonts w:eastAsia="Calibri"/>
                <w:spacing w:val="-5"/>
                <w:sz w:val="22"/>
                <w:szCs w:val="22"/>
              </w:rPr>
              <w:t>12</w:t>
            </w:r>
          </w:p>
        </w:tc>
        <w:tc>
          <w:tcPr>
            <w:tcW w:w="4346" w:type="dxa"/>
          </w:tcPr>
          <w:p w14:paraId="62B27700" w14:textId="77777777" w:rsidR="009102A7" w:rsidRPr="00576AF8" w:rsidRDefault="009102A7" w:rsidP="009F6B78">
            <w:pPr>
              <w:widowControl w:val="0"/>
              <w:suppressAutoHyphens w:val="0"/>
              <w:autoSpaceDE w:val="0"/>
              <w:autoSpaceDN w:val="0"/>
              <w:spacing w:before="150" w:after="0"/>
              <w:ind w:left="69"/>
              <w:jc w:val="left"/>
              <w:rPr>
                <w:rFonts w:eastAsia="Calibri"/>
                <w:sz w:val="22"/>
                <w:szCs w:val="22"/>
                <w:lang w:val="es-EC"/>
              </w:rPr>
            </w:pPr>
            <w:r w:rsidRPr="00576AF8">
              <w:rPr>
                <w:rFonts w:eastAsia="Calibri"/>
                <w:sz w:val="22"/>
                <w:szCs w:val="22"/>
                <w:lang w:val="es-EC"/>
              </w:rPr>
              <w:t>Número</w:t>
            </w:r>
            <w:r w:rsidRPr="00576AF8">
              <w:rPr>
                <w:rFonts w:eastAsia="Calibri"/>
                <w:spacing w:val="-7"/>
                <w:sz w:val="22"/>
                <w:szCs w:val="22"/>
                <w:lang w:val="es-EC"/>
              </w:rPr>
              <w:t xml:space="preserve"> </w:t>
            </w:r>
            <w:r w:rsidRPr="00576AF8">
              <w:rPr>
                <w:rFonts w:eastAsia="Calibri"/>
                <w:sz w:val="22"/>
                <w:szCs w:val="22"/>
                <w:lang w:val="es-EC"/>
              </w:rPr>
              <w:t>de</w:t>
            </w:r>
            <w:r w:rsidRPr="00576AF8">
              <w:rPr>
                <w:rFonts w:eastAsia="Calibri"/>
                <w:spacing w:val="-7"/>
                <w:sz w:val="22"/>
                <w:szCs w:val="22"/>
                <w:lang w:val="es-EC"/>
              </w:rPr>
              <w:t xml:space="preserve"> </w:t>
            </w:r>
            <w:r w:rsidRPr="00576AF8">
              <w:rPr>
                <w:rFonts w:eastAsia="Calibri"/>
                <w:sz w:val="22"/>
                <w:szCs w:val="22"/>
                <w:lang w:val="es-EC"/>
              </w:rPr>
              <w:t>casos</w:t>
            </w:r>
            <w:r w:rsidRPr="00576AF8">
              <w:rPr>
                <w:rFonts w:eastAsia="Calibri"/>
                <w:spacing w:val="-6"/>
                <w:sz w:val="22"/>
                <w:szCs w:val="22"/>
                <w:lang w:val="es-EC"/>
              </w:rPr>
              <w:t xml:space="preserve"> </w:t>
            </w:r>
            <w:r w:rsidRPr="00576AF8">
              <w:rPr>
                <w:rFonts w:eastAsia="Calibri"/>
                <w:sz w:val="22"/>
                <w:szCs w:val="22"/>
                <w:lang w:val="es-EC"/>
              </w:rPr>
              <w:t>guardados</w:t>
            </w:r>
            <w:r w:rsidRPr="00576AF8">
              <w:rPr>
                <w:rFonts w:eastAsia="Calibri"/>
                <w:spacing w:val="-5"/>
                <w:sz w:val="22"/>
                <w:szCs w:val="22"/>
                <w:lang w:val="es-EC"/>
              </w:rPr>
              <w:t xml:space="preserve"> </w:t>
            </w:r>
            <w:r w:rsidRPr="00576AF8">
              <w:rPr>
                <w:rFonts w:eastAsia="Calibri"/>
                <w:sz w:val="22"/>
                <w:szCs w:val="22"/>
                <w:lang w:val="es-EC"/>
              </w:rPr>
              <w:t>del</w:t>
            </w:r>
            <w:r w:rsidRPr="00576AF8">
              <w:rPr>
                <w:rFonts w:eastAsia="Calibri"/>
                <w:spacing w:val="-5"/>
                <w:sz w:val="22"/>
                <w:szCs w:val="22"/>
                <w:lang w:val="es-EC"/>
              </w:rPr>
              <w:t xml:space="preserve"> </w:t>
            </w:r>
            <w:r w:rsidRPr="00576AF8">
              <w:rPr>
                <w:rFonts w:eastAsia="Calibri"/>
                <w:sz w:val="22"/>
                <w:szCs w:val="22"/>
                <w:lang w:val="es-EC"/>
              </w:rPr>
              <w:t>flujo</w:t>
            </w:r>
            <w:r w:rsidRPr="00576AF8">
              <w:rPr>
                <w:rFonts w:eastAsia="Calibri"/>
                <w:spacing w:val="-7"/>
                <w:sz w:val="22"/>
                <w:szCs w:val="22"/>
                <w:lang w:val="es-EC"/>
              </w:rPr>
              <w:t xml:space="preserve"> </w:t>
            </w:r>
            <w:r w:rsidRPr="00576AF8">
              <w:rPr>
                <w:rFonts w:eastAsia="Calibri"/>
                <w:sz w:val="22"/>
                <w:szCs w:val="22"/>
                <w:lang w:val="es-EC"/>
              </w:rPr>
              <w:t>de</w:t>
            </w:r>
            <w:r w:rsidRPr="00576AF8">
              <w:rPr>
                <w:rFonts w:eastAsia="Calibri"/>
                <w:spacing w:val="-7"/>
                <w:sz w:val="22"/>
                <w:szCs w:val="22"/>
                <w:lang w:val="es-EC"/>
              </w:rPr>
              <w:t xml:space="preserve"> </w:t>
            </w:r>
            <w:r w:rsidRPr="00576AF8">
              <w:rPr>
                <w:rFonts w:eastAsia="Calibri"/>
                <w:sz w:val="22"/>
                <w:szCs w:val="22"/>
                <w:lang w:val="es-EC"/>
              </w:rPr>
              <w:t>carga del despachador</w:t>
            </w:r>
          </w:p>
        </w:tc>
        <w:tc>
          <w:tcPr>
            <w:tcW w:w="1813" w:type="dxa"/>
          </w:tcPr>
          <w:p w14:paraId="738C1A88" w14:textId="77777777" w:rsidR="009102A7" w:rsidRPr="00576AF8" w:rsidRDefault="009102A7" w:rsidP="009F6B78">
            <w:pPr>
              <w:widowControl w:val="0"/>
              <w:suppressAutoHyphens w:val="0"/>
              <w:autoSpaceDE w:val="0"/>
              <w:autoSpaceDN w:val="0"/>
              <w:spacing w:before="35" w:after="0"/>
              <w:jc w:val="left"/>
              <w:rPr>
                <w:rFonts w:eastAsia="Calibri"/>
                <w:b/>
                <w:sz w:val="22"/>
                <w:szCs w:val="22"/>
                <w:lang w:val="es-EC"/>
              </w:rPr>
            </w:pPr>
          </w:p>
          <w:p w14:paraId="60E2C3F2" w14:textId="77777777" w:rsidR="009102A7" w:rsidRPr="00576AF8" w:rsidRDefault="009102A7" w:rsidP="009F6B78">
            <w:pPr>
              <w:widowControl w:val="0"/>
              <w:suppressAutoHyphens w:val="0"/>
              <w:autoSpaceDE w:val="0"/>
              <w:autoSpaceDN w:val="0"/>
              <w:spacing w:before="1" w:after="0"/>
              <w:ind w:left="15" w:right="10"/>
              <w:jc w:val="center"/>
              <w:rPr>
                <w:rFonts w:eastAsia="Calibri"/>
                <w:sz w:val="22"/>
                <w:szCs w:val="22"/>
              </w:rPr>
            </w:pPr>
            <w:r w:rsidRPr="00576AF8">
              <w:rPr>
                <w:rFonts w:eastAsia="Calibri"/>
                <w:spacing w:val="-4"/>
                <w:sz w:val="22"/>
                <w:szCs w:val="22"/>
              </w:rPr>
              <w:t>1000</w:t>
            </w:r>
          </w:p>
        </w:tc>
      </w:tr>
      <w:tr w:rsidR="009102A7" w:rsidRPr="00576AF8" w14:paraId="611A4F7F" w14:textId="77777777" w:rsidTr="009F6B78">
        <w:trPr>
          <w:trHeight w:val="510"/>
        </w:trPr>
        <w:tc>
          <w:tcPr>
            <w:tcW w:w="1200" w:type="dxa"/>
          </w:tcPr>
          <w:p w14:paraId="44142AF3" w14:textId="77777777" w:rsidR="009102A7" w:rsidRPr="00576AF8" w:rsidRDefault="009102A7" w:rsidP="009F6B78">
            <w:pPr>
              <w:widowControl w:val="0"/>
              <w:suppressAutoHyphens w:val="0"/>
              <w:autoSpaceDE w:val="0"/>
              <w:autoSpaceDN w:val="0"/>
              <w:spacing w:before="136" w:after="0"/>
              <w:ind w:left="15" w:right="11"/>
              <w:jc w:val="center"/>
              <w:rPr>
                <w:rFonts w:eastAsia="Calibri"/>
                <w:sz w:val="22"/>
                <w:szCs w:val="22"/>
              </w:rPr>
            </w:pPr>
            <w:r w:rsidRPr="00576AF8">
              <w:rPr>
                <w:rFonts w:eastAsia="Calibri"/>
                <w:spacing w:val="-5"/>
                <w:sz w:val="22"/>
                <w:szCs w:val="22"/>
              </w:rPr>
              <w:t>13</w:t>
            </w:r>
          </w:p>
        </w:tc>
        <w:tc>
          <w:tcPr>
            <w:tcW w:w="4346" w:type="dxa"/>
          </w:tcPr>
          <w:p w14:paraId="54C09733" w14:textId="77777777" w:rsidR="009102A7" w:rsidRPr="00576AF8" w:rsidRDefault="009102A7" w:rsidP="009F6B78">
            <w:pPr>
              <w:widowControl w:val="0"/>
              <w:suppressAutoHyphens w:val="0"/>
              <w:autoSpaceDE w:val="0"/>
              <w:autoSpaceDN w:val="0"/>
              <w:spacing w:before="21" w:after="0"/>
              <w:ind w:left="69"/>
              <w:jc w:val="left"/>
              <w:rPr>
                <w:rFonts w:eastAsia="Calibri"/>
                <w:sz w:val="22"/>
                <w:szCs w:val="22"/>
                <w:lang w:val="es-EC"/>
              </w:rPr>
            </w:pPr>
            <w:r w:rsidRPr="00576AF8">
              <w:rPr>
                <w:rFonts w:eastAsia="Calibri"/>
                <w:sz w:val="22"/>
                <w:szCs w:val="22"/>
                <w:lang w:val="es-EC"/>
              </w:rPr>
              <w:t>Número</w:t>
            </w:r>
            <w:r w:rsidRPr="00576AF8">
              <w:rPr>
                <w:rFonts w:eastAsia="Calibri"/>
                <w:spacing w:val="-10"/>
                <w:sz w:val="22"/>
                <w:szCs w:val="22"/>
                <w:lang w:val="es-EC"/>
              </w:rPr>
              <w:t xml:space="preserve"> </w:t>
            </w:r>
            <w:r w:rsidRPr="00576AF8">
              <w:rPr>
                <w:rFonts w:eastAsia="Calibri"/>
                <w:sz w:val="22"/>
                <w:szCs w:val="22"/>
                <w:lang w:val="es-EC"/>
              </w:rPr>
              <w:t>máximo</w:t>
            </w:r>
            <w:r w:rsidRPr="00576AF8">
              <w:rPr>
                <w:rFonts w:eastAsia="Calibri"/>
                <w:spacing w:val="-9"/>
                <w:sz w:val="22"/>
                <w:szCs w:val="22"/>
                <w:lang w:val="es-EC"/>
              </w:rPr>
              <w:t xml:space="preserve"> </w:t>
            </w:r>
            <w:r w:rsidRPr="00576AF8">
              <w:rPr>
                <w:rFonts w:eastAsia="Calibri"/>
                <w:sz w:val="22"/>
                <w:szCs w:val="22"/>
                <w:lang w:val="es-EC"/>
              </w:rPr>
              <w:t>de</w:t>
            </w:r>
            <w:r w:rsidRPr="00576AF8">
              <w:rPr>
                <w:rFonts w:eastAsia="Calibri"/>
                <w:spacing w:val="-8"/>
                <w:sz w:val="22"/>
                <w:szCs w:val="22"/>
                <w:lang w:val="es-EC"/>
              </w:rPr>
              <w:t xml:space="preserve"> </w:t>
            </w:r>
            <w:r w:rsidRPr="00576AF8">
              <w:rPr>
                <w:rFonts w:eastAsia="Calibri"/>
                <w:sz w:val="22"/>
                <w:szCs w:val="22"/>
                <w:lang w:val="es-EC"/>
              </w:rPr>
              <w:t>contingencias</w:t>
            </w:r>
            <w:r w:rsidRPr="00576AF8">
              <w:rPr>
                <w:rFonts w:eastAsia="Calibri"/>
                <w:spacing w:val="-7"/>
                <w:sz w:val="22"/>
                <w:szCs w:val="22"/>
                <w:lang w:val="es-EC"/>
              </w:rPr>
              <w:t xml:space="preserve"> </w:t>
            </w:r>
            <w:r w:rsidRPr="00576AF8">
              <w:rPr>
                <w:rFonts w:eastAsia="Calibri"/>
                <w:sz w:val="22"/>
                <w:szCs w:val="22"/>
                <w:lang w:val="es-EC"/>
              </w:rPr>
              <w:t>simple</w:t>
            </w:r>
            <w:r w:rsidRPr="00576AF8">
              <w:rPr>
                <w:rFonts w:eastAsia="Calibri"/>
                <w:spacing w:val="-5"/>
                <w:sz w:val="22"/>
                <w:szCs w:val="22"/>
                <w:lang w:val="es-EC"/>
              </w:rPr>
              <w:t xml:space="preserve"> </w:t>
            </w:r>
            <w:r w:rsidRPr="00576AF8">
              <w:rPr>
                <w:rFonts w:eastAsia="Calibri"/>
                <w:sz w:val="22"/>
                <w:szCs w:val="22"/>
                <w:lang w:val="es-EC"/>
              </w:rPr>
              <w:t xml:space="preserve">y </w:t>
            </w:r>
            <w:r w:rsidRPr="00576AF8">
              <w:rPr>
                <w:rFonts w:eastAsia="Calibri"/>
                <w:spacing w:val="-2"/>
                <w:sz w:val="22"/>
                <w:szCs w:val="22"/>
                <w:lang w:val="es-EC"/>
              </w:rPr>
              <w:t>múltiple</w:t>
            </w:r>
          </w:p>
        </w:tc>
        <w:tc>
          <w:tcPr>
            <w:tcW w:w="1813" w:type="dxa"/>
          </w:tcPr>
          <w:p w14:paraId="7B756115" w14:textId="77777777" w:rsidR="009102A7" w:rsidRPr="00576AF8" w:rsidRDefault="009102A7" w:rsidP="009F6B78">
            <w:pPr>
              <w:keepNext/>
              <w:widowControl w:val="0"/>
              <w:suppressAutoHyphens w:val="0"/>
              <w:autoSpaceDE w:val="0"/>
              <w:autoSpaceDN w:val="0"/>
              <w:spacing w:before="136" w:after="0"/>
              <w:ind w:left="15" w:right="10"/>
              <w:jc w:val="center"/>
              <w:rPr>
                <w:rFonts w:eastAsia="Calibri"/>
                <w:sz w:val="22"/>
                <w:szCs w:val="22"/>
              </w:rPr>
            </w:pPr>
            <w:r w:rsidRPr="00576AF8">
              <w:rPr>
                <w:rFonts w:eastAsia="Calibri"/>
                <w:spacing w:val="-4"/>
                <w:sz w:val="22"/>
                <w:szCs w:val="22"/>
              </w:rPr>
              <w:t>1000</w:t>
            </w:r>
          </w:p>
        </w:tc>
      </w:tr>
    </w:tbl>
    <w:p w14:paraId="4968B87E" w14:textId="77777777" w:rsidR="009102A7" w:rsidRPr="00576AF8" w:rsidRDefault="009102A7" w:rsidP="009102A7">
      <w:pPr>
        <w:spacing w:before="120"/>
        <w:jc w:val="center"/>
        <w:rPr>
          <w:b/>
          <w:bCs/>
          <w:sz w:val="22"/>
        </w:rPr>
      </w:pPr>
      <w:r w:rsidRPr="00576AF8">
        <w:rPr>
          <w:b/>
          <w:bCs/>
          <w:sz w:val="22"/>
        </w:rPr>
        <w:t xml:space="preserve">Tabla </w:t>
      </w:r>
      <w:r w:rsidR="00E715F6" w:rsidRPr="00576AF8">
        <w:rPr>
          <w:b/>
          <w:sz w:val="22"/>
        </w:rPr>
        <w:t>18</w:t>
      </w:r>
      <w:r w:rsidRPr="00576AF8">
        <w:rPr>
          <w:b/>
          <w:bCs/>
          <w:sz w:val="22"/>
        </w:rPr>
        <w:t>. Dimensionamiento de Aplicaciones de Transmisión</w:t>
      </w:r>
    </w:p>
    <w:bookmarkEnd w:id="1135"/>
    <w:p w14:paraId="517A8F31" w14:textId="77777777" w:rsidR="009102A7" w:rsidRPr="00576AF8" w:rsidRDefault="009102A7" w:rsidP="009102A7">
      <w:pPr>
        <w:spacing w:before="28"/>
        <w:rPr>
          <w:b/>
          <w:sz w:val="22"/>
          <w:szCs w:val="22"/>
        </w:rPr>
      </w:pP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4339"/>
        <w:gridCol w:w="1818"/>
      </w:tblGrid>
      <w:tr w:rsidR="009102A7" w:rsidRPr="00576AF8" w14:paraId="2783B977" w14:textId="77777777" w:rsidTr="009F6B78">
        <w:trPr>
          <w:trHeight w:val="765"/>
        </w:trPr>
        <w:tc>
          <w:tcPr>
            <w:tcW w:w="1200" w:type="dxa"/>
          </w:tcPr>
          <w:p w14:paraId="65D42756" w14:textId="77777777" w:rsidR="009102A7" w:rsidRPr="00576AF8" w:rsidRDefault="009102A7" w:rsidP="009F6B78">
            <w:pPr>
              <w:widowControl w:val="0"/>
              <w:suppressAutoHyphens w:val="0"/>
              <w:autoSpaceDE w:val="0"/>
              <w:autoSpaceDN w:val="0"/>
              <w:spacing w:before="33" w:after="0"/>
              <w:jc w:val="left"/>
              <w:rPr>
                <w:rFonts w:eastAsia="Calibri"/>
                <w:b/>
                <w:sz w:val="22"/>
                <w:szCs w:val="22"/>
                <w:lang w:val="es-EC"/>
              </w:rPr>
            </w:pPr>
            <w:bookmarkStart w:id="1136" w:name="OLE_LINK12"/>
          </w:p>
          <w:p w14:paraId="16F5F499" w14:textId="77777777" w:rsidR="009102A7" w:rsidRPr="00576AF8" w:rsidRDefault="009102A7" w:rsidP="009F6B78">
            <w:pPr>
              <w:widowControl w:val="0"/>
              <w:suppressAutoHyphens w:val="0"/>
              <w:autoSpaceDE w:val="0"/>
              <w:autoSpaceDN w:val="0"/>
              <w:spacing w:before="97" w:after="0"/>
              <w:ind w:left="15" w:right="9"/>
              <w:jc w:val="center"/>
              <w:rPr>
                <w:rFonts w:eastAsia="Calibri"/>
                <w:b/>
                <w:sz w:val="22"/>
                <w:szCs w:val="22"/>
              </w:rPr>
            </w:pPr>
            <w:r w:rsidRPr="00576AF8">
              <w:rPr>
                <w:rFonts w:eastAsia="Calibri"/>
                <w:b/>
                <w:spacing w:val="-5"/>
                <w:sz w:val="22"/>
                <w:szCs w:val="22"/>
              </w:rPr>
              <w:t>No</w:t>
            </w:r>
          </w:p>
        </w:tc>
        <w:tc>
          <w:tcPr>
            <w:tcW w:w="4339" w:type="dxa"/>
          </w:tcPr>
          <w:p w14:paraId="74B549B3" w14:textId="77777777" w:rsidR="009102A7" w:rsidRPr="00576AF8" w:rsidRDefault="009102A7" w:rsidP="009F6B78">
            <w:pPr>
              <w:widowControl w:val="0"/>
              <w:suppressAutoHyphens w:val="0"/>
              <w:autoSpaceDE w:val="0"/>
              <w:autoSpaceDN w:val="0"/>
              <w:spacing w:before="33" w:after="0"/>
              <w:jc w:val="left"/>
              <w:rPr>
                <w:rFonts w:eastAsia="Calibri"/>
                <w:b/>
                <w:sz w:val="22"/>
                <w:szCs w:val="22"/>
              </w:rPr>
            </w:pPr>
          </w:p>
          <w:p w14:paraId="69D95A1A" w14:textId="77777777" w:rsidR="009102A7" w:rsidRPr="00576AF8" w:rsidRDefault="009102A7" w:rsidP="009F6B78">
            <w:pPr>
              <w:widowControl w:val="0"/>
              <w:suppressAutoHyphens w:val="0"/>
              <w:autoSpaceDE w:val="0"/>
              <w:autoSpaceDN w:val="0"/>
              <w:spacing w:before="97" w:after="0"/>
              <w:ind w:left="5"/>
              <w:jc w:val="center"/>
              <w:rPr>
                <w:rFonts w:eastAsia="Calibri"/>
                <w:b/>
                <w:sz w:val="22"/>
                <w:szCs w:val="22"/>
              </w:rPr>
            </w:pPr>
            <w:r w:rsidRPr="00576AF8">
              <w:rPr>
                <w:rFonts w:eastAsia="Calibri"/>
                <w:b/>
                <w:spacing w:val="-2"/>
                <w:sz w:val="22"/>
                <w:szCs w:val="22"/>
              </w:rPr>
              <w:t>Descripción</w:t>
            </w:r>
          </w:p>
        </w:tc>
        <w:tc>
          <w:tcPr>
            <w:tcW w:w="1818" w:type="dxa"/>
          </w:tcPr>
          <w:p w14:paraId="52627DDF" w14:textId="77777777" w:rsidR="009102A7" w:rsidRPr="00576AF8" w:rsidRDefault="009102A7" w:rsidP="009F6B78">
            <w:pPr>
              <w:widowControl w:val="0"/>
              <w:suppressAutoHyphens w:val="0"/>
              <w:autoSpaceDE w:val="0"/>
              <w:autoSpaceDN w:val="0"/>
              <w:spacing w:before="33" w:after="0"/>
              <w:ind w:left="180" w:right="166" w:firstLine="1"/>
              <w:jc w:val="center"/>
              <w:rPr>
                <w:rFonts w:eastAsia="Calibri"/>
                <w:b/>
                <w:sz w:val="22"/>
                <w:szCs w:val="22"/>
              </w:rPr>
            </w:pPr>
            <w:r w:rsidRPr="00576AF8">
              <w:rPr>
                <w:rFonts w:eastAsia="Calibri"/>
                <w:b/>
                <w:spacing w:val="-2"/>
                <w:sz w:val="22"/>
                <w:szCs w:val="22"/>
              </w:rPr>
              <w:t xml:space="preserve">Tamaño </w:t>
            </w:r>
            <w:r w:rsidRPr="00576AF8">
              <w:rPr>
                <w:rFonts w:eastAsia="Calibri"/>
                <w:b/>
                <w:sz w:val="22"/>
                <w:szCs w:val="22"/>
              </w:rPr>
              <w:t>final</w:t>
            </w:r>
            <w:r w:rsidRPr="00576AF8">
              <w:rPr>
                <w:rFonts w:eastAsia="Calibri"/>
                <w:b/>
                <w:spacing w:val="-14"/>
                <w:sz w:val="22"/>
                <w:szCs w:val="22"/>
              </w:rPr>
              <w:t xml:space="preserve"> </w:t>
            </w:r>
            <w:r w:rsidRPr="00576AF8">
              <w:rPr>
                <w:rFonts w:eastAsia="Calibri"/>
                <w:b/>
                <w:sz w:val="22"/>
                <w:szCs w:val="22"/>
              </w:rPr>
              <w:t xml:space="preserve">(Dic </w:t>
            </w:r>
            <w:r w:rsidRPr="00576AF8">
              <w:rPr>
                <w:rFonts w:eastAsia="Calibri"/>
                <w:b/>
                <w:spacing w:val="-2"/>
                <w:sz w:val="22"/>
                <w:szCs w:val="22"/>
              </w:rPr>
              <w:t>2032)</w:t>
            </w:r>
          </w:p>
        </w:tc>
      </w:tr>
      <w:tr w:rsidR="009102A7" w:rsidRPr="00576AF8" w14:paraId="796A59DE" w14:textId="77777777" w:rsidTr="009F6B78">
        <w:trPr>
          <w:trHeight w:val="299"/>
        </w:trPr>
        <w:tc>
          <w:tcPr>
            <w:tcW w:w="1200" w:type="dxa"/>
          </w:tcPr>
          <w:p w14:paraId="036EE1D3"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1</w:t>
            </w:r>
          </w:p>
        </w:tc>
        <w:tc>
          <w:tcPr>
            <w:tcW w:w="4339" w:type="dxa"/>
          </w:tcPr>
          <w:p w14:paraId="4FDA1C17"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Áreas</w:t>
            </w:r>
            <w:r w:rsidRPr="00576AF8">
              <w:rPr>
                <w:rFonts w:eastAsia="Calibri"/>
                <w:spacing w:val="-5"/>
                <w:sz w:val="22"/>
                <w:szCs w:val="22"/>
              </w:rPr>
              <w:t xml:space="preserve"> </w:t>
            </w:r>
            <w:r w:rsidRPr="00576AF8">
              <w:rPr>
                <w:rFonts w:eastAsia="Calibri"/>
                <w:sz w:val="22"/>
                <w:szCs w:val="22"/>
              </w:rPr>
              <w:t>de</w:t>
            </w:r>
            <w:r w:rsidRPr="00576AF8">
              <w:rPr>
                <w:rFonts w:eastAsia="Calibri"/>
                <w:spacing w:val="-6"/>
                <w:sz w:val="22"/>
                <w:szCs w:val="22"/>
              </w:rPr>
              <w:t xml:space="preserve"> </w:t>
            </w:r>
            <w:r w:rsidRPr="00576AF8">
              <w:rPr>
                <w:rFonts w:eastAsia="Calibri"/>
                <w:spacing w:val="-2"/>
                <w:sz w:val="22"/>
                <w:szCs w:val="22"/>
              </w:rPr>
              <w:t>control</w:t>
            </w:r>
          </w:p>
        </w:tc>
        <w:tc>
          <w:tcPr>
            <w:tcW w:w="1818" w:type="dxa"/>
          </w:tcPr>
          <w:p w14:paraId="7D748049" w14:textId="77777777" w:rsidR="009102A7" w:rsidRPr="00576AF8" w:rsidRDefault="009102A7" w:rsidP="009F6B78">
            <w:pPr>
              <w:widowControl w:val="0"/>
              <w:suppressAutoHyphens w:val="0"/>
              <w:autoSpaceDE w:val="0"/>
              <w:autoSpaceDN w:val="0"/>
              <w:spacing w:before="33" w:after="0"/>
              <w:ind w:left="15" w:right="4"/>
              <w:jc w:val="center"/>
              <w:rPr>
                <w:rFonts w:eastAsia="Calibri"/>
                <w:sz w:val="22"/>
                <w:szCs w:val="22"/>
              </w:rPr>
            </w:pPr>
            <w:r w:rsidRPr="00576AF8">
              <w:rPr>
                <w:rFonts w:eastAsia="Calibri"/>
                <w:spacing w:val="-5"/>
                <w:sz w:val="22"/>
                <w:szCs w:val="22"/>
              </w:rPr>
              <w:t>10</w:t>
            </w:r>
          </w:p>
        </w:tc>
      </w:tr>
      <w:tr w:rsidR="009102A7" w:rsidRPr="00576AF8" w14:paraId="6E734523" w14:textId="77777777" w:rsidTr="009F6B78">
        <w:trPr>
          <w:trHeight w:val="299"/>
        </w:trPr>
        <w:tc>
          <w:tcPr>
            <w:tcW w:w="1200" w:type="dxa"/>
          </w:tcPr>
          <w:p w14:paraId="0006827A"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2</w:t>
            </w:r>
          </w:p>
        </w:tc>
        <w:tc>
          <w:tcPr>
            <w:tcW w:w="4339" w:type="dxa"/>
          </w:tcPr>
          <w:p w14:paraId="14C83A4B"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Generadores</w:t>
            </w:r>
            <w:r w:rsidRPr="00576AF8">
              <w:rPr>
                <w:rFonts w:eastAsia="Calibri"/>
                <w:spacing w:val="-14"/>
                <w:sz w:val="22"/>
                <w:szCs w:val="22"/>
              </w:rPr>
              <w:t xml:space="preserve"> </w:t>
            </w:r>
            <w:r w:rsidRPr="00576AF8">
              <w:rPr>
                <w:rFonts w:eastAsia="Calibri"/>
                <w:spacing w:val="-2"/>
                <w:sz w:val="22"/>
                <w:szCs w:val="22"/>
              </w:rPr>
              <w:t>(monitoreados)</w:t>
            </w:r>
          </w:p>
        </w:tc>
        <w:tc>
          <w:tcPr>
            <w:tcW w:w="1818" w:type="dxa"/>
          </w:tcPr>
          <w:p w14:paraId="60711D05" w14:textId="77777777" w:rsidR="009102A7" w:rsidRPr="00576AF8" w:rsidRDefault="009102A7" w:rsidP="009F6B78">
            <w:pPr>
              <w:widowControl w:val="0"/>
              <w:suppressAutoHyphens w:val="0"/>
              <w:autoSpaceDE w:val="0"/>
              <w:autoSpaceDN w:val="0"/>
              <w:spacing w:before="33" w:after="0"/>
              <w:ind w:left="15" w:right="5"/>
              <w:jc w:val="center"/>
              <w:rPr>
                <w:rFonts w:eastAsia="Calibri"/>
                <w:sz w:val="22"/>
                <w:szCs w:val="22"/>
              </w:rPr>
            </w:pPr>
            <w:r w:rsidRPr="00576AF8">
              <w:rPr>
                <w:rFonts w:eastAsia="Calibri"/>
                <w:spacing w:val="-4"/>
                <w:sz w:val="22"/>
                <w:szCs w:val="22"/>
              </w:rPr>
              <w:t>1400</w:t>
            </w:r>
          </w:p>
        </w:tc>
      </w:tr>
      <w:tr w:rsidR="009102A7" w:rsidRPr="00576AF8" w14:paraId="0063BB47" w14:textId="77777777" w:rsidTr="009F6B78">
        <w:trPr>
          <w:trHeight w:val="299"/>
        </w:trPr>
        <w:tc>
          <w:tcPr>
            <w:tcW w:w="1200" w:type="dxa"/>
          </w:tcPr>
          <w:p w14:paraId="57305529"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3</w:t>
            </w:r>
          </w:p>
        </w:tc>
        <w:tc>
          <w:tcPr>
            <w:tcW w:w="4339" w:type="dxa"/>
          </w:tcPr>
          <w:p w14:paraId="743FF310"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Generadores</w:t>
            </w:r>
            <w:r w:rsidRPr="00576AF8">
              <w:rPr>
                <w:rFonts w:eastAsia="Calibri"/>
                <w:spacing w:val="-11"/>
                <w:sz w:val="22"/>
                <w:szCs w:val="22"/>
              </w:rPr>
              <w:t xml:space="preserve"> </w:t>
            </w:r>
            <w:r w:rsidRPr="00576AF8">
              <w:rPr>
                <w:rFonts w:eastAsia="Calibri"/>
                <w:sz w:val="22"/>
                <w:szCs w:val="22"/>
              </w:rPr>
              <w:t>(controlados</w:t>
            </w:r>
            <w:r w:rsidRPr="00576AF8">
              <w:rPr>
                <w:rFonts w:eastAsia="Calibri"/>
                <w:spacing w:val="-9"/>
                <w:sz w:val="22"/>
                <w:szCs w:val="22"/>
              </w:rPr>
              <w:t xml:space="preserve"> </w:t>
            </w:r>
            <w:r w:rsidRPr="00576AF8">
              <w:rPr>
                <w:rFonts w:eastAsia="Calibri"/>
                <w:sz w:val="22"/>
                <w:szCs w:val="22"/>
              </w:rPr>
              <w:t>por</w:t>
            </w:r>
            <w:r w:rsidRPr="00576AF8">
              <w:rPr>
                <w:rFonts w:eastAsia="Calibri"/>
                <w:spacing w:val="-9"/>
                <w:sz w:val="22"/>
                <w:szCs w:val="22"/>
              </w:rPr>
              <w:t xml:space="preserve"> </w:t>
            </w:r>
            <w:r w:rsidRPr="00576AF8">
              <w:rPr>
                <w:rFonts w:eastAsia="Calibri"/>
                <w:spacing w:val="-4"/>
                <w:sz w:val="22"/>
                <w:szCs w:val="22"/>
              </w:rPr>
              <w:t>AGC)</w:t>
            </w:r>
          </w:p>
        </w:tc>
        <w:tc>
          <w:tcPr>
            <w:tcW w:w="1818" w:type="dxa"/>
          </w:tcPr>
          <w:p w14:paraId="545C9F9A"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5"/>
                <w:sz w:val="22"/>
                <w:szCs w:val="22"/>
              </w:rPr>
              <w:t>500</w:t>
            </w:r>
          </w:p>
        </w:tc>
      </w:tr>
      <w:tr w:rsidR="009102A7" w:rsidRPr="00576AF8" w14:paraId="0595D49E" w14:textId="77777777" w:rsidTr="009F6B78">
        <w:trPr>
          <w:trHeight w:val="301"/>
        </w:trPr>
        <w:tc>
          <w:tcPr>
            <w:tcW w:w="1200" w:type="dxa"/>
          </w:tcPr>
          <w:p w14:paraId="0D144E97" w14:textId="77777777" w:rsidR="009102A7" w:rsidRPr="00576AF8" w:rsidRDefault="009102A7" w:rsidP="009F6B78">
            <w:pPr>
              <w:widowControl w:val="0"/>
              <w:suppressAutoHyphens w:val="0"/>
              <w:autoSpaceDE w:val="0"/>
              <w:autoSpaceDN w:val="0"/>
              <w:spacing w:before="33" w:after="0"/>
              <w:ind w:left="15" w:right="6"/>
              <w:jc w:val="center"/>
              <w:rPr>
                <w:rFonts w:eastAsia="Calibri"/>
                <w:sz w:val="22"/>
                <w:szCs w:val="22"/>
              </w:rPr>
            </w:pPr>
            <w:r w:rsidRPr="00576AF8">
              <w:rPr>
                <w:rFonts w:eastAsia="Calibri"/>
                <w:spacing w:val="-10"/>
                <w:sz w:val="22"/>
                <w:szCs w:val="22"/>
              </w:rPr>
              <w:t>4</w:t>
            </w:r>
          </w:p>
        </w:tc>
        <w:tc>
          <w:tcPr>
            <w:tcW w:w="4339" w:type="dxa"/>
          </w:tcPr>
          <w:p w14:paraId="5F17A862" w14:textId="77777777" w:rsidR="009102A7" w:rsidRPr="00576AF8" w:rsidRDefault="009102A7" w:rsidP="009F6B78">
            <w:pPr>
              <w:widowControl w:val="0"/>
              <w:suppressAutoHyphens w:val="0"/>
              <w:autoSpaceDE w:val="0"/>
              <w:autoSpaceDN w:val="0"/>
              <w:spacing w:before="33" w:after="0"/>
              <w:ind w:left="69"/>
              <w:jc w:val="left"/>
              <w:rPr>
                <w:rFonts w:eastAsia="Calibri"/>
                <w:sz w:val="22"/>
                <w:szCs w:val="22"/>
              </w:rPr>
            </w:pPr>
            <w:r w:rsidRPr="00576AF8">
              <w:rPr>
                <w:rFonts w:eastAsia="Calibri"/>
                <w:sz w:val="22"/>
                <w:szCs w:val="22"/>
              </w:rPr>
              <w:t>Líneas</w:t>
            </w:r>
            <w:r w:rsidRPr="00576AF8">
              <w:rPr>
                <w:rFonts w:eastAsia="Calibri"/>
                <w:spacing w:val="-6"/>
                <w:sz w:val="22"/>
                <w:szCs w:val="22"/>
              </w:rPr>
              <w:t xml:space="preserve"> </w:t>
            </w:r>
            <w:r w:rsidRPr="00576AF8">
              <w:rPr>
                <w:rFonts w:eastAsia="Calibri"/>
                <w:sz w:val="22"/>
                <w:szCs w:val="22"/>
              </w:rPr>
              <w:t>de</w:t>
            </w:r>
            <w:r w:rsidRPr="00576AF8">
              <w:rPr>
                <w:rFonts w:eastAsia="Calibri"/>
                <w:spacing w:val="-4"/>
                <w:sz w:val="22"/>
                <w:szCs w:val="22"/>
              </w:rPr>
              <w:t xml:space="preserve"> </w:t>
            </w:r>
            <w:r w:rsidRPr="00576AF8">
              <w:rPr>
                <w:rFonts w:eastAsia="Calibri"/>
                <w:sz w:val="22"/>
                <w:szCs w:val="22"/>
              </w:rPr>
              <w:t>enlace</w:t>
            </w:r>
            <w:r w:rsidRPr="00576AF8">
              <w:rPr>
                <w:rFonts w:eastAsia="Calibri"/>
                <w:spacing w:val="-8"/>
                <w:sz w:val="22"/>
                <w:szCs w:val="22"/>
              </w:rPr>
              <w:t xml:space="preserve"> </w:t>
            </w:r>
            <w:r w:rsidRPr="00576AF8">
              <w:rPr>
                <w:rFonts w:eastAsia="Calibri"/>
                <w:spacing w:val="-2"/>
                <w:sz w:val="22"/>
                <w:szCs w:val="22"/>
              </w:rPr>
              <w:t>(interconexión)</w:t>
            </w:r>
          </w:p>
        </w:tc>
        <w:tc>
          <w:tcPr>
            <w:tcW w:w="1818" w:type="dxa"/>
          </w:tcPr>
          <w:p w14:paraId="29A3A24B" w14:textId="3C0BBA2C" w:rsidR="009102A7" w:rsidRPr="00576AF8" w:rsidRDefault="00A22988" w:rsidP="009F6B78">
            <w:pPr>
              <w:widowControl w:val="0"/>
              <w:suppressAutoHyphens w:val="0"/>
              <w:autoSpaceDE w:val="0"/>
              <w:autoSpaceDN w:val="0"/>
              <w:spacing w:before="33" w:after="0"/>
              <w:ind w:left="15" w:right="5"/>
              <w:jc w:val="center"/>
              <w:rPr>
                <w:rFonts w:eastAsia="Calibri"/>
                <w:sz w:val="22"/>
                <w:szCs w:val="22"/>
              </w:rPr>
            </w:pPr>
            <w:r>
              <w:rPr>
                <w:rFonts w:eastAsia="Calibri"/>
                <w:spacing w:val="-5"/>
                <w:sz w:val="22"/>
                <w:szCs w:val="22"/>
              </w:rPr>
              <w:t>100</w:t>
            </w:r>
          </w:p>
        </w:tc>
      </w:tr>
      <w:tr w:rsidR="009102A7" w:rsidRPr="00576AF8" w14:paraId="6ABE4B70" w14:textId="77777777" w:rsidTr="009F6B78">
        <w:trPr>
          <w:trHeight w:val="299"/>
        </w:trPr>
        <w:tc>
          <w:tcPr>
            <w:tcW w:w="1200" w:type="dxa"/>
          </w:tcPr>
          <w:p w14:paraId="600A5BCE"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10"/>
                <w:sz w:val="22"/>
                <w:szCs w:val="22"/>
              </w:rPr>
              <w:t>5</w:t>
            </w:r>
          </w:p>
        </w:tc>
        <w:tc>
          <w:tcPr>
            <w:tcW w:w="4339" w:type="dxa"/>
          </w:tcPr>
          <w:p w14:paraId="0870E6B3" w14:textId="77777777" w:rsidR="009102A7" w:rsidRPr="00576AF8" w:rsidRDefault="009102A7" w:rsidP="009F6B78">
            <w:pPr>
              <w:widowControl w:val="0"/>
              <w:suppressAutoHyphens w:val="0"/>
              <w:autoSpaceDE w:val="0"/>
              <w:autoSpaceDN w:val="0"/>
              <w:spacing w:before="30" w:after="0"/>
              <w:ind w:left="69"/>
              <w:jc w:val="left"/>
              <w:rPr>
                <w:rFonts w:eastAsia="Calibri"/>
                <w:sz w:val="22"/>
                <w:szCs w:val="22"/>
              </w:rPr>
            </w:pPr>
            <w:r w:rsidRPr="00576AF8">
              <w:rPr>
                <w:rFonts w:eastAsia="Calibri"/>
                <w:sz w:val="22"/>
                <w:szCs w:val="22"/>
              </w:rPr>
              <w:t>Tipos</w:t>
            </w:r>
            <w:r w:rsidRPr="00576AF8">
              <w:rPr>
                <w:rFonts w:eastAsia="Calibri"/>
                <w:spacing w:val="-5"/>
                <w:sz w:val="22"/>
                <w:szCs w:val="22"/>
              </w:rPr>
              <w:t xml:space="preserve"> </w:t>
            </w:r>
            <w:r w:rsidRPr="00576AF8">
              <w:rPr>
                <w:rFonts w:eastAsia="Calibri"/>
                <w:sz w:val="22"/>
                <w:szCs w:val="22"/>
              </w:rPr>
              <w:t>de</w:t>
            </w:r>
            <w:r w:rsidRPr="00576AF8">
              <w:rPr>
                <w:rFonts w:eastAsia="Calibri"/>
                <w:spacing w:val="-5"/>
                <w:sz w:val="22"/>
                <w:szCs w:val="22"/>
              </w:rPr>
              <w:t xml:space="preserve"> </w:t>
            </w:r>
            <w:r w:rsidRPr="00576AF8">
              <w:rPr>
                <w:rFonts w:eastAsia="Calibri"/>
                <w:spacing w:val="-2"/>
                <w:sz w:val="22"/>
                <w:szCs w:val="22"/>
              </w:rPr>
              <w:t>combustible</w:t>
            </w:r>
          </w:p>
        </w:tc>
        <w:tc>
          <w:tcPr>
            <w:tcW w:w="1818" w:type="dxa"/>
          </w:tcPr>
          <w:p w14:paraId="6E4F13FA"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5"/>
                <w:sz w:val="22"/>
                <w:szCs w:val="22"/>
              </w:rPr>
              <w:t>20</w:t>
            </w:r>
          </w:p>
        </w:tc>
      </w:tr>
      <w:tr w:rsidR="009102A7" w:rsidRPr="00576AF8" w14:paraId="48CF284A" w14:textId="77777777" w:rsidTr="009F6B78">
        <w:trPr>
          <w:trHeight w:val="299"/>
        </w:trPr>
        <w:tc>
          <w:tcPr>
            <w:tcW w:w="1200" w:type="dxa"/>
          </w:tcPr>
          <w:p w14:paraId="2160FE00"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10"/>
                <w:sz w:val="22"/>
                <w:szCs w:val="22"/>
              </w:rPr>
              <w:t>6</w:t>
            </w:r>
          </w:p>
        </w:tc>
        <w:tc>
          <w:tcPr>
            <w:tcW w:w="4339" w:type="dxa"/>
          </w:tcPr>
          <w:p w14:paraId="20FD1893" w14:textId="77777777" w:rsidR="009102A7" w:rsidRPr="00576AF8" w:rsidRDefault="009102A7" w:rsidP="009F6B78">
            <w:pPr>
              <w:widowControl w:val="0"/>
              <w:suppressAutoHyphens w:val="0"/>
              <w:autoSpaceDE w:val="0"/>
              <w:autoSpaceDN w:val="0"/>
              <w:spacing w:before="30" w:after="0"/>
              <w:ind w:left="69"/>
              <w:jc w:val="left"/>
              <w:rPr>
                <w:rFonts w:eastAsia="Calibri"/>
                <w:sz w:val="22"/>
                <w:szCs w:val="22"/>
                <w:lang w:val="es-EC"/>
              </w:rPr>
            </w:pPr>
            <w:r w:rsidRPr="00576AF8">
              <w:rPr>
                <w:rFonts w:eastAsia="Calibri"/>
                <w:sz w:val="22"/>
                <w:szCs w:val="22"/>
                <w:lang w:val="es-EC"/>
              </w:rPr>
              <w:t>Curvas</w:t>
            </w:r>
            <w:r w:rsidRPr="00576AF8">
              <w:rPr>
                <w:rFonts w:eastAsia="Calibri"/>
                <w:spacing w:val="-5"/>
                <w:sz w:val="22"/>
                <w:szCs w:val="22"/>
                <w:lang w:val="es-EC"/>
              </w:rPr>
              <w:t xml:space="preserve"> </w:t>
            </w:r>
            <w:r w:rsidRPr="00576AF8">
              <w:rPr>
                <w:rFonts w:eastAsia="Calibri"/>
                <w:sz w:val="22"/>
                <w:szCs w:val="22"/>
                <w:lang w:val="es-EC"/>
              </w:rPr>
              <w:t>de</w:t>
            </w:r>
            <w:r w:rsidRPr="00576AF8">
              <w:rPr>
                <w:rFonts w:eastAsia="Calibri"/>
                <w:spacing w:val="-1"/>
                <w:sz w:val="22"/>
                <w:szCs w:val="22"/>
                <w:lang w:val="es-EC"/>
              </w:rPr>
              <w:t xml:space="preserve"> </w:t>
            </w:r>
            <w:r w:rsidRPr="00576AF8">
              <w:rPr>
                <w:rFonts w:eastAsia="Calibri"/>
                <w:sz w:val="22"/>
                <w:szCs w:val="22"/>
                <w:lang w:val="es-EC"/>
              </w:rPr>
              <w:t>E/S</w:t>
            </w:r>
            <w:r w:rsidRPr="00576AF8">
              <w:rPr>
                <w:rFonts w:eastAsia="Calibri"/>
                <w:spacing w:val="-6"/>
                <w:sz w:val="22"/>
                <w:szCs w:val="22"/>
                <w:lang w:val="es-EC"/>
              </w:rPr>
              <w:t xml:space="preserve"> </w:t>
            </w:r>
            <w:r w:rsidRPr="00576AF8">
              <w:rPr>
                <w:rFonts w:eastAsia="Calibri"/>
                <w:sz w:val="22"/>
                <w:szCs w:val="22"/>
                <w:lang w:val="es-EC"/>
              </w:rPr>
              <w:t>por</w:t>
            </w:r>
            <w:r w:rsidRPr="00576AF8">
              <w:rPr>
                <w:rFonts w:eastAsia="Calibri"/>
                <w:spacing w:val="-4"/>
                <w:sz w:val="22"/>
                <w:szCs w:val="22"/>
                <w:lang w:val="es-EC"/>
              </w:rPr>
              <w:t xml:space="preserve"> </w:t>
            </w:r>
            <w:r w:rsidRPr="00576AF8">
              <w:rPr>
                <w:rFonts w:eastAsia="Calibri"/>
                <w:sz w:val="22"/>
                <w:szCs w:val="22"/>
                <w:lang w:val="es-EC"/>
              </w:rPr>
              <w:t>unidad</w:t>
            </w:r>
            <w:r w:rsidRPr="00576AF8">
              <w:rPr>
                <w:rFonts w:eastAsia="Calibri"/>
                <w:spacing w:val="-3"/>
                <w:sz w:val="22"/>
                <w:szCs w:val="22"/>
                <w:lang w:val="es-EC"/>
              </w:rPr>
              <w:t xml:space="preserve"> </w:t>
            </w:r>
            <w:r w:rsidRPr="00576AF8">
              <w:rPr>
                <w:rFonts w:eastAsia="Calibri"/>
                <w:spacing w:val="-2"/>
                <w:sz w:val="22"/>
                <w:szCs w:val="22"/>
                <w:lang w:val="es-EC"/>
              </w:rPr>
              <w:t>generadora</w:t>
            </w:r>
          </w:p>
        </w:tc>
        <w:tc>
          <w:tcPr>
            <w:tcW w:w="1818" w:type="dxa"/>
          </w:tcPr>
          <w:p w14:paraId="28A47953" w14:textId="77777777" w:rsidR="009102A7" w:rsidRPr="00576AF8" w:rsidRDefault="009102A7" w:rsidP="009F6B78">
            <w:pPr>
              <w:widowControl w:val="0"/>
              <w:suppressAutoHyphens w:val="0"/>
              <w:autoSpaceDE w:val="0"/>
              <w:autoSpaceDN w:val="0"/>
              <w:spacing w:before="30" w:after="0"/>
              <w:ind w:left="15" w:right="1"/>
              <w:jc w:val="center"/>
              <w:rPr>
                <w:rFonts w:eastAsia="Calibri"/>
                <w:sz w:val="22"/>
                <w:szCs w:val="22"/>
              </w:rPr>
            </w:pPr>
            <w:r w:rsidRPr="00576AF8">
              <w:rPr>
                <w:rFonts w:eastAsia="Calibri"/>
                <w:spacing w:val="-10"/>
                <w:sz w:val="22"/>
                <w:szCs w:val="22"/>
              </w:rPr>
              <w:t>4</w:t>
            </w:r>
          </w:p>
        </w:tc>
      </w:tr>
      <w:tr w:rsidR="009102A7" w:rsidRPr="00576AF8" w14:paraId="4A400555" w14:textId="77777777" w:rsidTr="009F6B78">
        <w:trPr>
          <w:trHeight w:val="510"/>
        </w:trPr>
        <w:tc>
          <w:tcPr>
            <w:tcW w:w="1200" w:type="dxa"/>
          </w:tcPr>
          <w:p w14:paraId="4E496F21" w14:textId="77777777" w:rsidR="009102A7" w:rsidRPr="00576AF8" w:rsidRDefault="009102A7" w:rsidP="009F6B78">
            <w:pPr>
              <w:widowControl w:val="0"/>
              <w:suppressAutoHyphens w:val="0"/>
              <w:autoSpaceDE w:val="0"/>
              <w:autoSpaceDN w:val="0"/>
              <w:spacing w:before="136" w:after="0"/>
              <w:ind w:left="15" w:right="6"/>
              <w:jc w:val="center"/>
              <w:rPr>
                <w:rFonts w:eastAsia="Calibri"/>
                <w:sz w:val="22"/>
                <w:szCs w:val="22"/>
              </w:rPr>
            </w:pPr>
            <w:r w:rsidRPr="00576AF8">
              <w:rPr>
                <w:rFonts w:eastAsia="Calibri"/>
                <w:spacing w:val="-10"/>
                <w:sz w:val="22"/>
                <w:szCs w:val="22"/>
              </w:rPr>
              <w:t>7</w:t>
            </w:r>
          </w:p>
        </w:tc>
        <w:tc>
          <w:tcPr>
            <w:tcW w:w="4339" w:type="dxa"/>
          </w:tcPr>
          <w:p w14:paraId="7239336E" w14:textId="77777777" w:rsidR="009102A7" w:rsidRPr="00576AF8" w:rsidRDefault="009102A7" w:rsidP="009F6B78">
            <w:pPr>
              <w:widowControl w:val="0"/>
              <w:suppressAutoHyphens w:val="0"/>
              <w:autoSpaceDE w:val="0"/>
              <w:autoSpaceDN w:val="0"/>
              <w:spacing w:before="21" w:after="0"/>
              <w:ind w:left="69" w:right="10"/>
              <w:jc w:val="left"/>
              <w:rPr>
                <w:rFonts w:eastAsia="Calibri"/>
                <w:sz w:val="22"/>
                <w:szCs w:val="22"/>
                <w:lang w:val="es-EC"/>
              </w:rPr>
            </w:pPr>
            <w:r w:rsidRPr="00576AF8">
              <w:rPr>
                <w:rFonts w:eastAsia="Calibri"/>
                <w:sz w:val="22"/>
                <w:szCs w:val="22"/>
                <w:lang w:val="es-EC"/>
              </w:rPr>
              <w:t>Curvas</w:t>
            </w:r>
            <w:r w:rsidRPr="00576AF8">
              <w:rPr>
                <w:rFonts w:eastAsia="Calibri"/>
                <w:spacing w:val="-8"/>
                <w:sz w:val="22"/>
                <w:szCs w:val="22"/>
                <w:lang w:val="es-EC"/>
              </w:rPr>
              <w:t xml:space="preserve"> </w:t>
            </w:r>
            <w:r w:rsidRPr="00576AF8">
              <w:rPr>
                <w:rFonts w:eastAsia="Calibri"/>
                <w:sz w:val="22"/>
                <w:szCs w:val="22"/>
                <w:lang w:val="es-EC"/>
              </w:rPr>
              <w:t>de</w:t>
            </w:r>
            <w:r w:rsidRPr="00576AF8">
              <w:rPr>
                <w:rFonts w:eastAsia="Calibri"/>
                <w:spacing w:val="-10"/>
                <w:sz w:val="22"/>
                <w:szCs w:val="22"/>
                <w:lang w:val="es-EC"/>
              </w:rPr>
              <w:t xml:space="preserve"> </w:t>
            </w:r>
            <w:r w:rsidRPr="00576AF8">
              <w:rPr>
                <w:rFonts w:eastAsia="Calibri"/>
                <w:sz w:val="22"/>
                <w:szCs w:val="22"/>
                <w:lang w:val="es-EC"/>
              </w:rPr>
              <w:t>operación</w:t>
            </w:r>
            <w:r w:rsidRPr="00576AF8">
              <w:rPr>
                <w:rFonts w:eastAsia="Calibri"/>
                <w:spacing w:val="-4"/>
                <w:sz w:val="22"/>
                <w:szCs w:val="22"/>
                <w:lang w:val="es-EC"/>
              </w:rPr>
              <w:t xml:space="preserve"> </w:t>
            </w:r>
            <w:r w:rsidRPr="00576AF8">
              <w:rPr>
                <w:rFonts w:eastAsia="Calibri"/>
                <w:sz w:val="22"/>
                <w:szCs w:val="22"/>
                <w:lang w:val="es-EC"/>
              </w:rPr>
              <w:t>y</w:t>
            </w:r>
            <w:r w:rsidRPr="00576AF8">
              <w:rPr>
                <w:rFonts w:eastAsia="Calibri"/>
                <w:spacing w:val="-12"/>
                <w:sz w:val="22"/>
                <w:szCs w:val="22"/>
                <w:lang w:val="es-EC"/>
              </w:rPr>
              <w:t xml:space="preserve"> </w:t>
            </w:r>
            <w:r w:rsidRPr="00576AF8">
              <w:rPr>
                <w:rFonts w:eastAsia="Calibri"/>
                <w:sz w:val="22"/>
                <w:szCs w:val="22"/>
                <w:lang w:val="es-EC"/>
              </w:rPr>
              <w:t>mantenimiento</w:t>
            </w:r>
            <w:r w:rsidRPr="00576AF8">
              <w:rPr>
                <w:rFonts w:eastAsia="Calibri"/>
                <w:spacing w:val="-10"/>
                <w:sz w:val="22"/>
                <w:szCs w:val="22"/>
                <w:lang w:val="es-EC"/>
              </w:rPr>
              <w:t xml:space="preserve"> </w:t>
            </w:r>
            <w:r w:rsidRPr="00576AF8">
              <w:rPr>
                <w:rFonts w:eastAsia="Calibri"/>
                <w:sz w:val="22"/>
                <w:szCs w:val="22"/>
                <w:lang w:val="es-EC"/>
              </w:rPr>
              <w:t>por unidad generadora</w:t>
            </w:r>
          </w:p>
        </w:tc>
        <w:tc>
          <w:tcPr>
            <w:tcW w:w="1818" w:type="dxa"/>
          </w:tcPr>
          <w:p w14:paraId="1776F920" w14:textId="77777777" w:rsidR="009102A7" w:rsidRPr="00576AF8" w:rsidRDefault="009102A7" w:rsidP="009F6B78">
            <w:pPr>
              <w:widowControl w:val="0"/>
              <w:suppressAutoHyphens w:val="0"/>
              <w:autoSpaceDE w:val="0"/>
              <w:autoSpaceDN w:val="0"/>
              <w:spacing w:before="136" w:after="0"/>
              <w:ind w:left="15"/>
              <w:jc w:val="center"/>
              <w:rPr>
                <w:rFonts w:eastAsia="Calibri"/>
                <w:sz w:val="22"/>
                <w:szCs w:val="22"/>
              </w:rPr>
            </w:pPr>
            <w:r w:rsidRPr="00576AF8">
              <w:rPr>
                <w:rFonts w:eastAsia="Calibri"/>
                <w:spacing w:val="-10"/>
                <w:sz w:val="22"/>
                <w:szCs w:val="22"/>
              </w:rPr>
              <w:t>4</w:t>
            </w:r>
          </w:p>
        </w:tc>
      </w:tr>
      <w:tr w:rsidR="009102A7" w:rsidRPr="00576AF8" w14:paraId="6E828CCA" w14:textId="77777777" w:rsidTr="009F6B78">
        <w:trPr>
          <w:trHeight w:val="299"/>
        </w:trPr>
        <w:tc>
          <w:tcPr>
            <w:tcW w:w="1200" w:type="dxa"/>
          </w:tcPr>
          <w:p w14:paraId="15197D60"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10"/>
                <w:sz w:val="22"/>
                <w:szCs w:val="22"/>
              </w:rPr>
              <w:lastRenderedPageBreak/>
              <w:t>8</w:t>
            </w:r>
          </w:p>
        </w:tc>
        <w:tc>
          <w:tcPr>
            <w:tcW w:w="4339" w:type="dxa"/>
          </w:tcPr>
          <w:p w14:paraId="0DEB8A25" w14:textId="77777777" w:rsidR="009102A7" w:rsidRPr="00576AF8" w:rsidRDefault="009102A7" w:rsidP="009F6B78">
            <w:pPr>
              <w:widowControl w:val="0"/>
              <w:suppressAutoHyphens w:val="0"/>
              <w:autoSpaceDE w:val="0"/>
              <w:autoSpaceDN w:val="0"/>
              <w:spacing w:before="30" w:after="0"/>
              <w:ind w:left="69"/>
              <w:jc w:val="left"/>
              <w:rPr>
                <w:rFonts w:eastAsia="Calibri"/>
                <w:sz w:val="22"/>
                <w:szCs w:val="22"/>
                <w:lang w:val="es-EC"/>
              </w:rPr>
            </w:pPr>
            <w:r w:rsidRPr="00576AF8">
              <w:rPr>
                <w:rFonts w:eastAsia="Calibri"/>
                <w:sz w:val="22"/>
                <w:szCs w:val="22"/>
                <w:lang w:val="es-EC"/>
              </w:rPr>
              <w:t>Puntos</w:t>
            </w:r>
            <w:r w:rsidRPr="00576AF8">
              <w:rPr>
                <w:rFonts w:eastAsia="Calibri"/>
                <w:spacing w:val="-4"/>
                <w:sz w:val="22"/>
                <w:szCs w:val="22"/>
                <w:lang w:val="es-EC"/>
              </w:rPr>
              <w:t xml:space="preserve"> </w:t>
            </w:r>
            <w:r w:rsidRPr="00576AF8">
              <w:rPr>
                <w:rFonts w:eastAsia="Calibri"/>
                <w:sz w:val="22"/>
                <w:szCs w:val="22"/>
                <w:lang w:val="es-EC"/>
              </w:rPr>
              <w:t>de</w:t>
            </w:r>
            <w:r w:rsidRPr="00576AF8">
              <w:rPr>
                <w:rFonts w:eastAsia="Calibri"/>
                <w:spacing w:val="-4"/>
                <w:sz w:val="22"/>
                <w:szCs w:val="22"/>
                <w:lang w:val="es-EC"/>
              </w:rPr>
              <w:t xml:space="preserve"> </w:t>
            </w:r>
            <w:r w:rsidRPr="00576AF8">
              <w:rPr>
                <w:rFonts w:eastAsia="Calibri"/>
                <w:sz w:val="22"/>
                <w:szCs w:val="22"/>
                <w:lang w:val="es-EC"/>
              </w:rPr>
              <w:t>curvas</w:t>
            </w:r>
            <w:r w:rsidRPr="00576AF8">
              <w:rPr>
                <w:rFonts w:eastAsia="Calibri"/>
                <w:spacing w:val="-3"/>
                <w:sz w:val="22"/>
                <w:szCs w:val="22"/>
                <w:lang w:val="es-EC"/>
              </w:rPr>
              <w:t xml:space="preserve"> </w:t>
            </w:r>
            <w:r w:rsidRPr="00576AF8">
              <w:rPr>
                <w:rFonts w:eastAsia="Calibri"/>
                <w:sz w:val="22"/>
                <w:szCs w:val="22"/>
                <w:lang w:val="es-EC"/>
              </w:rPr>
              <w:t>de</w:t>
            </w:r>
            <w:r w:rsidRPr="00576AF8">
              <w:rPr>
                <w:rFonts w:eastAsia="Calibri"/>
                <w:spacing w:val="-4"/>
                <w:sz w:val="22"/>
                <w:szCs w:val="22"/>
                <w:lang w:val="es-EC"/>
              </w:rPr>
              <w:t xml:space="preserve"> </w:t>
            </w:r>
            <w:r w:rsidRPr="00576AF8">
              <w:rPr>
                <w:rFonts w:eastAsia="Calibri"/>
                <w:sz w:val="22"/>
                <w:szCs w:val="22"/>
                <w:lang w:val="es-EC"/>
              </w:rPr>
              <w:t>E/S</w:t>
            </w:r>
            <w:r w:rsidRPr="00576AF8">
              <w:rPr>
                <w:rFonts w:eastAsia="Calibri"/>
                <w:spacing w:val="-1"/>
                <w:sz w:val="22"/>
                <w:szCs w:val="22"/>
                <w:lang w:val="es-EC"/>
              </w:rPr>
              <w:t xml:space="preserve"> </w:t>
            </w:r>
            <w:r w:rsidRPr="00576AF8">
              <w:rPr>
                <w:rFonts w:eastAsia="Calibri"/>
                <w:sz w:val="22"/>
                <w:szCs w:val="22"/>
                <w:lang w:val="es-EC"/>
              </w:rPr>
              <w:t>y</w:t>
            </w:r>
            <w:r w:rsidRPr="00576AF8">
              <w:rPr>
                <w:rFonts w:eastAsia="Calibri"/>
                <w:spacing w:val="-5"/>
                <w:sz w:val="22"/>
                <w:szCs w:val="22"/>
                <w:lang w:val="es-EC"/>
              </w:rPr>
              <w:t xml:space="preserve"> O&amp;M</w:t>
            </w:r>
          </w:p>
        </w:tc>
        <w:tc>
          <w:tcPr>
            <w:tcW w:w="1818" w:type="dxa"/>
          </w:tcPr>
          <w:p w14:paraId="201F5EBF" w14:textId="77777777" w:rsidR="009102A7" w:rsidRPr="00576AF8" w:rsidRDefault="009102A7" w:rsidP="009F6B78">
            <w:pPr>
              <w:widowControl w:val="0"/>
              <w:suppressAutoHyphens w:val="0"/>
              <w:autoSpaceDE w:val="0"/>
              <w:autoSpaceDN w:val="0"/>
              <w:spacing w:before="30" w:after="0"/>
              <w:ind w:left="15" w:right="4"/>
              <w:jc w:val="center"/>
              <w:rPr>
                <w:rFonts w:eastAsia="Calibri"/>
                <w:sz w:val="22"/>
                <w:szCs w:val="22"/>
              </w:rPr>
            </w:pPr>
            <w:r w:rsidRPr="00576AF8">
              <w:rPr>
                <w:rFonts w:eastAsia="Calibri"/>
                <w:spacing w:val="-5"/>
                <w:sz w:val="22"/>
                <w:szCs w:val="22"/>
              </w:rPr>
              <w:t>36</w:t>
            </w:r>
          </w:p>
        </w:tc>
      </w:tr>
      <w:tr w:rsidR="009102A7" w:rsidRPr="00576AF8" w14:paraId="7CB9AE46" w14:textId="77777777" w:rsidTr="009F6B78">
        <w:trPr>
          <w:trHeight w:val="299"/>
        </w:trPr>
        <w:tc>
          <w:tcPr>
            <w:tcW w:w="1200" w:type="dxa"/>
          </w:tcPr>
          <w:p w14:paraId="2160258F" w14:textId="77777777" w:rsidR="009102A7" w:rsidRPr="00576AF8" w:rsidRDefault="009102A7" w:rsidP="009F6B78">
            <w:pPr>
              <w:widowControl w:val="0"/>
              <w:suppressAutoHyphens w:val="0"/>
              <w:autoSpaceDE w:val="0"/>
              <w:autoSpaceDN w:val="0"/>
              <w:spacing w:before="30" w:after="0"/>
              <w:ind w:left="15" w:right="6"/>
              <w:jc w:val="center"/>
              <w:rPr>
                <w:rFonts w:eastAsia="Calibri"/>
                <w:sz w:val="22"/>
                <w:szCs w:val="22"/>
              </w:rPr>
            </w:pPr>
            <w:r w:rsidRPr="00576AF8">
              <w:rPr>
                <w:rFonts w:eastAsia="Calibri"/>
                <w:spacing w:val="-10"/>
                <w:sz w:val="22"/>
                <w:szCs w:val="22"/>
              </w:rPr>
              <w:t>9</w:t>
            </w:r>
          </w:p>
        </w:tc>
        <w:tc>
          <w:tcPr>
            <w:tcW w:w="4339" w:type="dxa"/>
          </w:tcPr>
          <w:p w14:paraId="008DA250" w14:textId="77777777" w:rsidR="009102A7" w:rsidRPr="00576AF8" w:rsidRDefault="009102A7" w:rsidP="009F6B78">
            <w:pPr>
              <w:widowControl w:val="0"/>
              <w:suppressAutoHyphens w:val="0"/>
              <w:autoSpaceDE w:val="0"/>
              <w:autoSpaceDN w:val="0"/>
              <w:spacing w:before="30" w:after="0"/>
              <w:ind w:left="69"/>
              <w:jc w:val="left"/>
              <w:rPr>
                <w:rFonts w:eastAsia="Calibri"/>
                <w:sz w:val="22"/>
                <w:szCs w:val="22"/>
              </w:rPr>
            </w:pPr>
            <w:r w:rsidRPr="00576AF8">
              <w:rPr>
                <w:rFonts w:eastAsia="Calibri"/>
                <w:sz w:val="22"/>
                <w:szCs w:val="22"/>
              </w:rPr>
              <w:t>Tecnologías</w:t>
            </w:r>
            <w:r w:rsidRPr="00576AF8">
              <w:rPr>
                <w:rFonts w:eastAsia="Calibri"/>
                <w:spacing w:val="-6"/>
                <w:sz w:val="22"/>
                <w:szCs w:val="22"/>
              </w:rPr>
              <w:t xml:space="preserve"> </w:t>
            </w:r>
            <w:r w:rsidRPr="00576AF8">
              <w:rPr>
                <w:rFonts w:eastAsia="Calibri"/>
                <w:sz w:val="22"/>
                <w:szCs w:val="22"/>
              </w:rPr>
              <w:t>de</w:t>
            </w:r>
            <w:r w:rsidRPr="00576AF8">
              <w:rPr>
                <w:rFonts w:eastAsia="Calibri"/>
                <w:spacing w:val="-10"/>
                <w:sz w:val="22"/>
                <w:szCs w:val="22"/>
              </w:rPr>
              <w:t xml:space="preserve"> </w:t>
            </w:r>
            <w:r w:rsidRPr="00576AF8">
              <w:rPr>
                <w:rFonts w:eastAsia="Calibri"/>
                <w:spacing w:val="-2"/>
                <w:sz w:val="22"/>
                <w:szCs w:val="22"/>
              </w:rPr>
              <w:t>generación</w:t>
            </w:r>
          </w:p>
        </w:tc>
        <w:tc>
          <w:tcPr>
            <w:tcW w:w="1818" w:type="dxa"/>
          </w:tcPr>
          <w:p w14:paraId="549895DA" w14:textId="77777777" w:rsidR="009102A7" w:rsidRPr="00576AF8" w:rsidRDefault="009102A7" w:rsidP="009F6B78">
            <w:pPr>
              <w:keepNext/>
              <w:widowControl w:val="0"/>
              <w:suppressAutoHyphens w:val="0"/>
              <w:autoSpaceDE w:val="0"/>
              <w:autoSpaceDN w:val="0"/>
              <w:spacing w:before="30" w:after="0"/>
              <w:ind w:left="15" w:right="6"/>
              <w:jc w:val="center"/>
              <w:rPr>
                <w:rFonts w:eastAsia="Calibri"/>
                <w:sz w:val="22"/>
                <w:szCs w:val="22"/>
              </w:rPr>
            </w:pPr>
            <w:r w:rsidRPr="00576AF8">
              <w:rPr>
                <w:rFonts w:eastAsia="Calibri"/>
                <w:spacing w:val="-5"/>
                <w:sz w:val="22"/>
                <w:szCs w:val="22"/>
              </w:rPr>
              <w:t>12</w:t>
            </w:r>
          </w:p>
        </w:tc>
      </w:tr>
    </w:tbl>
    <w:p w14:paraId="7A5FB62D" w14:textId="61EEACD9" w:rsidR="009102A7" w:rsidRDefault="009102A7" w:rsidP="009102A7">
      <w:pPr>
        <w:spacing w:before="120"/>
        <w:jc w:val="center"/>
        <w:rPr>
          <w:b/>
          <w:bCs/>
          <w:sz w:val="22"/>
        </w:rPr>
      </w:pPr>
      <w:r w:rsidRPr="00576AF8">
        <w:rPr>
          <w:b/>
          <w:bCs/>
          <w:sz w:val="22"/>
        </w:rPr>
        <w:t xml:space="preserve">Tabla </w:t>
      </w:r>
      <w:proofErr w:type="gramStart"/>
      <w:r w:rsidR="00E715F6" w:rsidRPr="00576AF8">
        <w:rPr>
          <w:b/>
          <w:sz w:val="22"/>
        </w:rPr>
        <w:t>19</w:t>
      </w:r>
      <w:r w:rsidRPr="00576AF8">
        <w:rPr>
          <w:b/>
          <w:bCs/>
          <w:sz w:val="22"/>
        </w:rPr>
        <w:t>.Dimensionamiento</w:t>
      </w:r>
      <w:proofErr w:type="gramEnd"/>
      <w:r w:rsidRPr="00576AF8">
        <w:rPr>
          <w:b/>
          <w:bCs/>
          <w:sz w:val="22"/>
        </w:rPr>
        <w:t xml:space="preserve"> de Aplicaciones de Generación</w:t>
      </w:r>
    </w:p>
    <w:p w14:paraId="1C69DF65" w14:textId="77777777" w:rsidR="001504CB" w:rsidRPr="00576AF8" w:rsidRDefault="001504CB" w:rsidP="009102A7">
      <w:pPr>
        <w:spacing w:before="120"/>
        <w:jc w:val="center"/>
        <w:rPr>
          <w:b/>
          <w:sz w:val="22"/>
          <w:szCs w:val="22"/>
        </w:rPr>
      </w:pP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4692"/>
        <w:gridCol w:w="1676"/>
      </w:tblGrid>
      <w:tr w:rsidR="009102A7" w:rsidRPr="00576AF8" w14:paraId="7411E998" w14:textId="77777777" w:rsidTr="009F6B78">
        <w:trPr>
          <w:trHeight w:val="765"/>
        </w:trPr>
        <w:tc>
          <w:tcPr>
            <w:tcW w:w="847" w:type="dxa"/>
          </w:tcPr>
          <w:p w14:paraId="44DCDB34" w14:textId="77777777" w:rsidR="009102A7" w:rsidRPr="00576AF8" w:rsidRDefault="009102A7" w:rsidP="009F6B78">
            <w:pPr>
              <w:widowControl w:val="0"/>
              <w:suppressAutoHyphens w:val="0"/>
              <w:autoSpaceDE w:val="0"/>
              <w:autoSpaceDN w:val="0"/>
              <w:spacing w:before="33" w:after="0"/>
              <w:jc w:val="left"/>
              <w:rPr>
                <w:rFonts w:eastAsia="Calibri"/>
                <w:b/>
                <w:sz w:val="22"/>
                <w:szCs w:val="22"/>
              </w:rPr>
            </w:pPr>
          </w:p>
          <w:p w14:paraId="67D2214C" w14:textId="77777777" w:rsidR="009102A7" w:rsidRPr="00576AF8" w:rsidRDefault="009102A7" w:rsidP="009F6B78">
            <w:pPr>
              <w:widowControl w:val="0"/>
              <w:suppressAutoHyphens w:val="0"/>
              <w:autoSpaceDE w:val="0"/>
              <w:autoSpaceDN w:val="0"/>
              <w:spacing w:before="97" w:after="0"/>
              <w:ind w:left="8"/>
              <w:jc w:val="center"/>
              <w:rPr>
                <w:rFonts w:eastAsia="Calibri"/>
                <w:b/>
                <w:sz w:val="22"/>
                <w:szCs w:val="22"/>
              </w:rPr>
            </w:pPr>
            <w:r w:rsidRPr="00576AF8">
              <w:rPr>
                <w:rFonts w:eastAsia="Calibri"/>
                <w:b/>
                <w:spacing w:val="-5"/>
                <w:sz w:val="22"/>
                <w:szCs w:val="22"/>
              </w:rPr>
              <w:t>No</w:t>
            </w:r>
          </w:p>
        </w:tc>
        <w:tc>
          <w:tcPr>
            <w:tcW w:w="4692" w:type="dxa"/>
          </w:tcPr>
          <w:p w14:paraId="03543E6C" w14:textId="77777777" w:rsidR="009102A7" w:rsidRPr="00576AF8" w:rsidRDefault="009102A7" w:rsidP="009F6B78">
            <w:pPr>
              <w:widowControl w:val="0"/>
              <w:suppressAutoHyphens w:val="0"/>
              <w:autoSpaceDE w:val="0"/>
              <w:autoSpaceDN w:val="0"/>
              <w:spacing w:before="33" w:after="0"/>
              <w:jc w:val="left"/>
              <w:rPr>
                <w:rFonts w:eastAsia="Calibri"/>
                <w:b/>
                <w:sz w:val="22"/>
                <w:szCs w:val="22"/>
              </w:rPr>
            </w:pPr>
          </w:p>
          <w:p w14:paraId="51EB7898" w14:textId="77777777" w:rsidR="009102A7" w:rsidRPr="00576AF8" w:rsidRDefault="009102A7" w:rsidP="009F6B78">
            <w:pPr>
              <w:widowControl w:val="0"/>
              <w:suppressAutoHyphens w:val="0"/>
              <w:autoSpaceDE w:val="0"/>
              <w:autoSpaceDN w:val="0"/>
              <w:spacing w:before="97" w:after="0"/>
              <w:ind w:left="8"/>
              <w:jc w:val="center"/>
              <w:rPr>
                <w:rFonts w:eastAsia="Calibri"/>
                <w:b/>
                <w:sz w:val="22"/>
                <w:szCs w:val="22"/>
              </w:rPr>
            </w:pPr>
            <w:r w:rsidRPr="00576AF8">
              <w:rPr>
                <w:rFonts w:eastAsia="Calibri"/>
                <w:b/>
                <w:spacing w:val="-2"/>
                <w:sz w:val="22"/>
                <w:szCs w:val="22"/>
              </w:rPr>
              <w:t>Descripción</w:t>
            </w:r>
          </w:p>
        </w:tc>
        <w:tc>
          <w:tcPr>
            <w:tcW w:w="1676" w:type="dxa"/>
          </w:tcPr>
          <w:p w14:paraId="517E4460" w14:textId="77777777" w:rsidR="009102A7" w:rsidRPr="00576AF8" w:rsidRDefault="009102A7" w:rsidP="009F6B78">
            <w:pPr>
              <w:widowControl w:val="0"/>
              <w:suppressAutoHyphens w:val="0"/>
              <w:autoSpaceDE w:val="0"/>
              <w:autoSpaceDN w:val="0"/>
              <w:spacing w:before="33" w:after="0"/>
              <w:ind w:left="180" w:right="166" w:firstLine="1"/>
              <w:jc w:val="center"/>
              <w:rPr>
                <w:rFonts w:eastAsia="Calibri"/>
                <w:b/>
                <w:sz w:val="22"/>
                <w:szCs w:val="22"/>
              </w:rPr>
            </w:pPr>
            <w:r w:rsidRPr="00576AF8">
              <w:rPr>
                <w:rFonts w:eastAsia="Calibri"/>
                <w:b/>
                <w:spacing w:val="-2"/>
                <w:sz w:val="22"/>
                <w:szCs w:val="22"/>
              </w:rPr>
              <w:t xml:space="preserve">Tamaño </w:t>
            </w:r>
            <w:r w:rsidRPr="00576AF8">
              <w:rPr>
                <w:rFonts w:eastAsia="Calibri"/>
                <w:b/>
                <w:sz w:val="22"/>
                <w:szCs w:val="22"/>
              </w:rPr>
              <w:t>final</w:t>
            </w:r>
            <w:r w:rsidRPr="00576AF8">
              <w:rPr>
                <w:rFonts w:eastAsia="Calibri"/>
                <w:b/>
                <w:spacing w:val="-14"/>
                <w:sz w:val="22"/>
                <w:szCs w:val="22"/>
              </w:rPr>
              <w:t xml:space="preserve"> </w:t>
            </w:r>
            <w:r w:rsidRPr="00576AF8">
              <w:rPr>
                <w:rFonts w:eastAsia="Calibri"/>
                <w:b/>
                <w:sz w:val="22"/>
                <w:szCs w:val="22"/>
              </w:rPr>
              <w:t xml:space="preserve">(Dic </w:t>
            </w:r>
            <w:r w:rsidRPr="00576AF8">
              <w:rPr>
                <w:rFonts w:eastAsia="Calibri"/>
                <w:b/>
                <w:spacing w:val="-2"/>
                <w:sz w:val="22"/>
                <w:szCs w:val="22"/>
              </w:rPr>
              <w:t>2032)</w:t>
            </w:r>
          </w:p>
        </w:tc>
      </w:tr>
      <w:tr w:rsidR="009102A7" w:rsidRPr="00576AF8" w14:paraId="2DCCD2E2" w14:textId="77777777" w:rsidTr="009F6B78">
        <w:trPr>
          <w:trHeight w:val="299"/>
        </w:trPr>
        <w:tc>
          <w:tcPr>
            <w:tcW w:w="847" w:type="dxa"/>
          </w:tcPr>
          <w:p w14:paraId="6E3B5A70" w14:textId="77777777" w:rsidR="009102A7" w:rsidRPr="00576AF8" w:rsidRDefault="009102A7" w:rsidP="009F6B78">
            <w:pPr>
              <w:widowControl w:val="0"/>
              <w:suppressAutoHyphens w:val="0"/>
              <w:autoSpaceDE w:val="0"/>
              <w:autoSpaceDN w:val="0"/>
              <w:spacing w:before="33" w:after="0"/>
              <w:ind w:left="8" w:right="1"/>
              <w:jc w:val="center"/>
              <w:rPr>
                <w:rFonts w:eastAsia="Calibri"/>
                <w:sz w:val="22"/>
                <w:szCs w:val="22"/>
              </w:rPr>
            </w:pPr>
            <w:r w:rsidRPr="00576AF8">
              <w:rPr>
                <w:rFonts w:eastAsia="Calibri"/>
                <w:spacing w:val="-10"/>
                <w:sz w:val="22"/>
                <w:szCs w:val="22"/>
              </w:rPr>
              <w:t>1</w:t>
            </w:r>
          </w:p>
        </w:tc>
        <w:tc>
          <w:tcPr>
            <w:tcW w:w="4692" w:type="dxa"/>
          </w:tcPr>
          <w:p w14:paraId="76095C04" w14:textId="77777777" w:rsidR="009102A7" w:rsidRPr="00576AF8" w:rsidRDefault="009102A7" w:rsidP="009F6B78">
            <w:pPr>
              <w:widowControl w:val="0"/>
              <w:suppressAutoHyphens w:val="0"/>
              <w:autoSpaceDE w:val="0"/>
              <w:autoSpaceDN w:val="0"/>
              <w:spacing w:before="33" w:after="0"/>
              <w:ind w:left="107"/>
              <w:jc w:val="left"/>
              <w:rPr>
                <w:rFonts w:eastAsia="Calibri"/>
                <w:sz w:val="22"/>
                <w:szCs w:val="22"/>
                <w:lang w:val="es-EC"/>
              </w:rPr>
            </w:pPr>
            <w:r w:rsidRPr="00576AF8">
              <w:rPr>
                <w:rFonts w:eastAsia="Calibri"/>
                <w:sz w:val="22"/>
                <w:szCs w:val="22"/>
                <w:lang w:val="es-EC"/>
              </w:rPr>
              <w:t>Diagramas</w:t>
            </w:r>
            <w:r w:rsidRPr="00576AF8">
              <w:rPr>
                <w:rFonts w:eastAsia="Calibri"/>
                <w:spacing w:val="-8"/>
                <w:sz w:val="22"/>
                <w:szCs w:val="22"/>
                <w:lang w:val="es-EC"/>
              </w:rPr>
              <w:t xml:space="preserve"> </w:t>
            </w:r>
            <w:r w:rsidRPr="00576AF8">
              <w:rPr>
                <w:rFonts w:eastAsia="Calibri"/>
                <w:sz w:val="22"/>
                <w:szCs w:val="22"/>
                <w:lang w:val="es-EC"/>
              </w:rPr>
              <w:t>Unifilares</w:t>
            </w:r>
            <w:r w:rsidRPr="00576AF8">
              <w:rPr>
                <w:rFonts w:eastAsia="Calibri"/>
                <w:spacing w:val="-7"/>
                <w:sz w:val="22"/>
                <w:szCs w:val="22"/>
                <w:lang w:val="es-EC"/>
              </w:rPr>
              <w:t xml:space="preserve"> </w:t>
            </w:r>
            <w:r w:rsidRPr="00576AF8">
              <w:rPr>
                <w:rFonts w:eastAsia="Calibri"/>
                <w:sz w:val="22"/>
                <w:szCs w:val="22"/>
                <w:lang w:val="es-EC"/>
              </w:rPr>
              <w:t>de</w:t>
            </w:r>
            <w:r w:rsidRPr="00576AF8">
              <w:rPr>
                <w:rFonts w:eastAsia="Calibri"/>
                <w:spacing w:val="-6"/>
                <w:sz w:val="22"/>
                <w:szCs w:val="22"/>
                <w:lang w:val="es-EC"/>
              </w:rPr>
              <w:t xml:space="preserve"> </w:t>
            </w:r>
            <w:r w:rsidRPr="00576AF8">
              <w:rPr>
                <w:rFonts w:eastAsia="Calibri"/>
                <w:sz w:val="22"/>
                <w:szCs w:val="22"/>
                <w:lang w:val="es-EC"/>
              </w:rPr>
              <w:t>Subestaciones</w:t>
            </w:r>
            <w:r w:rsidRPr="00576AF8">
              <w:rPr>
                <w:rFonts w:eastAsia="Calibri"/>
                <w:spacing w:val="-3"/>
                <w:sz w:val="22"/>
                <w:szCs w:val="22"/>
                <w:lang w:val="es-EC"/>
              </w:rPr>
              <w:t xml:space="preserve"> </w:t>
            </w:r>
            <w:r w:rsidRPr="00576AF8">
              <w:rPr>
                <w:rFonts w:eastAsia="Calibri"/>
                <w:sz w:val="22"/>
                <w:szCs w:val="22"/>
                <w:lang w:val="es-EC"/>
              </w:rPr>
              <w:t>y</w:t>
            </w:r>
            <w:r w:rsidRPr="00576AF8">
              <w:rPr>
                <w:rFonts w:eastAsia="Calibri"/>
                <w:spacing w:val="-12"/>
                <w:sz w:val="22"/>
                <w:szCs w:val="22"/>
                <w:lang w:val="es-EC"/>
              </w:rPr>
              <w:t xml:space="preserve"> </w:t>
            </w:r>
            <w:r w:rsidRPr="00576AF8">
              <w:rPr>
                <w:rFonts w:eastAsia="Calibri"/>
                <w:spacing w:val="-2"/>
                <w:sz w:val="22"/>
                <w:szCs w:val="22"/>
                <w:lang w:val="es-EC"/>
              </w:rPr>
              <w:t>Plantas</w:t>
            </w:r>
          </w:p>
        </w:tc>
        <w:tc>
          <w:tcPr>
            <w:tcW w:w="1676" w:type="dxa"/>
          </w:tcPr>
          <w:p w14:paraId="601C03DB" w14:textId="77777777" w:rsidR="009102A7" w:rsidRPr="00576AF8" w:rsidRDefault="009102A7" w:rsidP="009F6B78">
            <w:pPr>
              <w:widowControl w:val="0"/>
              <w:suppressAutoHyphens w:val="0"/>
              <w:autoSpaceDE w:val="0"/>
              <w:autoSpaceDN w:val="0"/>
              <w:spacing w:before="33" w:after="0"/>
              <w:ind w:left="379"/>
              <w:jc w:val="left"/>
              <w:rPr>
                <w:rFonts w:eastAsia="Calibri"/>
                <w:sz w:val="22"/>
                <w:szCs w:val="22"/>
              </w:rPr>
            </w:pPr>
            <w:r w:rsidRPr="00576AF8">
              <w:rPr>
                <w:rFonts w:eastAsia="Calibri"/>
                <w:spacing w:val="-4"/>
                <w:sz w:val="22"/>
                <w:szCs w:val="22"/>
              </w:rPr>
              <w:t>3000</w:t>
            </w:r>
          </w:p>
        </w:tc>
      </w:tr>
      <w:tr w:rsidR="009102A7" w:rsidRPr="00576AF8" w14:paraId="28AF2327" w14:textId="77777777" w:rsidTr="009F6B78">
        <w:trPr>
          <w:trHeight w:val="299"/>
        </w:trPr>
        <w:tc>
          <w:tcPr>
            <w:tcW w:w="847" w:type="dxa"/>
          </w:tcPr>
          <w:p w14:paraId="25C2F847" w14:textId="77777777" w:rsidR="009102A7" w:rsidRPr="00576AF8" w:rsidRDefault="009102A7" w:rsidP="009F6B78">
            <w:pPr>
              <w:widowControl w:val="0"/>
              <w:suppressAutoHyphens w:val="0"/>
              <w:autoSpaceDE w:val="0"/>
              <w:autoSpaceDN w:val="0"/>
              <w:spacing w:before="33" w:after="0"/>
              <w:ind w:left="8" w:right="1"/>
              <w:jc w:val="center"/>
              <w:rPr>
                <w:rFonts w:eastAsia="Calibri"/>
                <w:sz w:val="22"/>
                <w:szCs w:val="22"/>
              </w:rPr>
            </w:pPr>
            <w:r w:rsidRPr="00576AF8">
              <w:rPr>
                <w:rFonts w:eastAsia="Calibri"/>
                <w:spacing w:val="-10"/>
                <w:sz w:val="22"/>
                <w:szCs w:val="22"/>
              </w:rPr>
              <w:t>2</w:t>
            </w:r>
          </w:p>
        </w:tc>
        <w:tc>
          <w:tcPr>
            <w:tcW w:w="4692" w:type="dxa"/>
          </w:tcPr>
          <w:p w14:paraId="43BB7CE8" w14:textId="77777777" w:rsidR="009102A7" w:rsidRPr="00576AF8" w:rsidRDefault="009102A7" w:rsidP="009F6B78">
            <w:pPr>
              <w:widowControl w:val="0"/>
              <w:suppressAutoHyphens w:val="0"/>
              <w:autoSpaceDE w:val="0"/>
              <w:autoSpaceDN w:val="0"/>
              <w:spacing w:before="33" w:after="0"/>
              <w:ind w:left="107"/>
              <w:jc w:val="left"/>
              <w:rPr>
                <w:rFonts w:eastAsia="Calibri"/>
                <w:sz w:val="22"/>
                <w:szCs w:val="22"/>
              </w:rPr>
            </w:pPr>
            <w:r w:rsidRPr="00576AF8">
              <w:rPr>
                <w:rFonts w:eastAsia="Calibri"/>
                <w:sz w:val="22"/>
                <w:szCs w:val="22"/>
              </w:rPr>
              <w:t>Diagramas</w:t>
            </w:r>
            <w:r w:rsidRPr="00576AF8">
              <w:rPr>
                <w:rFonts w:eastAsia="Calibri"/>
                <w:spacing w:val="-7"/>
                <w:sz w:val="22"/>
                <w:szCs w:val="22"/>
              </w:rPr>
              <w:t xml:space="preserve"> </w:t>
            </w:r>
            <w:r w:rsidRPr="00576AF8">
              <w:rPr>
                <w:rFonts w:eastAsia="Calibri"/>
                <w:spacing w:val="-2"/>
                <w:sz w:val="22"/>
                <w:szCs w:val="22"/>
              </w:rPr>
              <w:t>Zonales</w:t>
            </w:r>
          </w:p>
        </w:tc>
        <w:tc>
          <w:tcPr>
            <w:tcW w:w="1676" w:type="dxa"/>
          </w:tcPr>
          <w:p w14:paraId="0AB3A434" w14:textId="77777777" w:rsidR="009102A7" w:rsidRPr="00576AF8" w:rsidRDefault="009102A7" w:rsidP="009F6B78">
            <w:pPr>
              <w:widowControl w:val="0"/>
              <w:suppressAutoHyphens w:val="0"/>
              <w:autoSpaceDE w:val="0"/>
              <w:autoSpaceDN w:val="0"/>
              <w:spacing w:before="33" w:after="0"/>
              <w:ind w:left="434"/>
              <w:jc w:val="left"/>
              <w:rPr>
                <w:rFonts w:eastAsia="Calibri"/>
                <w:sz w:val="22"/>
                <w:szCs w:val="22"/>
              </w:rPr>
            </w:pPr>
            <w:r w:rsidRPr="00576AF8">
              <w:rPr>
                <w:rFonts w:eastAsia="Calibri"/>
                <w:spacing w:val="-5"/>
                <w:sz w:val="22"/>
                <w:szCs w:val="22"/>
              </w:rPr>
              <w:t>300</w:t>
            </w:r>
          </w:p>
        </w:tc>
      </w:tr>
      <w:tr w:rsidR="009102A7" w:rsidRPr="00576AF8" w14:paraId="5F229218" w14:textId="77777777" w:rsidTr="009F6B78">
        <w:trPr>
          <w:trHeight w:val="301"/>
        </w:trPr>
        <w:tc>
          <w:tcPr>
            <w:tcW w:w="847" w:type="dxa"/>
          </w:tcPr>
          <w:p w14:paraId="61E454D9" w14:textId="77777777" w:rsidR="009102A7" w:rsidRPr="00576AF8" w:rsidRDefault="009102A7" w:rsidP="009F6B78">
            <w:pPr>
              <w:widowControl w:val="0"/>
              <w:suppressAutoHyphens w:val="0"/>
              <w:autoSpaceDE w:val="0"/>
              <w:autoSpaceDN w:val="0"/>
              <w:spacing w:before="33" w:after="0"/>
              <w:ind w:left="8" w:right="1"/>
              <w:jc w:val="center"/>
              <w:rPr>
                <w:rFonts w:eastAsia="Calibri"/>
                <w:sz w:val="22"/>
                <w:szCs w:val="22"/>
              </w:rPr>
            </w:pPr>
            <w:r w:rsidRPr="00576AF8">
              <w:rPr>
                <w:rFonts w:eastAsia="Calibri"/>
                <w:spacing w:val="-10"/>
                <w:sz w:val="22"/>
                <w:szCs w:val="22"/>
              </w:rPr>
              <w:t>3</w:t>
            </w:r>
          </w:p>
        </w:tc>
        <w:tc>
          <w:tcPr>
            <w:tcW w:w="4692" w:type="dxa"/>
          </w:tcPr>
          <w:p w14:paraId="0F980631" w14:textId="77777777" w:rsidR="009102A7" w:rsidRPr="00576AF8" w:rsidRDefault="009102A7" w:rsidP="009F6B78">
            <w:pPr>
              <w:widowControl w:val="0"/>
              <w:suppressAutoHyphens w:val="0"/>
              <w:autoSpaceDE w:val="0"/>
              <w:autoSpaceDN w:val="0"/>
              <w:spacing w:before="33" w:after="0"/>
              <w:ind w:left="107"/>
              <w:jc w:val="left"/>
              <w:rPr>
                <w:rFonts w:eastAsia="Calibri"/>
                <w:sz w:val="22"/>
                <w:szCs w:val="22"/>
              </w:rPr>
            </w:pPr>
            <w:r w:rsidRPr="00576AF8">
              <w:rPr>
                <w:rFonts w:eastAsia="Calibri"/>
                <w:sz w:val="22"/>
                <w:szCs w:val="22"/>
              </w:rPr>
              <w:t>Diagramas</w:t>
            </w:r>
            <w:r w:rsidRPr="00576AF8">
              <w:rPr>
                <w:rFonts w:eastAsia="Calibri"/>
                <w:spacing w:val="-7"/>
                <w:sz w:val="22"/>
                <w:szCs w:val="22"/>
              </w:rPr>
              <w:t xml:space="preserve"> </w:t>
            </w:r>
            <w:r w:rsidRPr="00576AF8">
              <w:rPr>
                <w:rFonts w:eastAsia="Calibri"/>
                <w:spacing w:val="-2"/>
                <w:sz w:val="22"/>
                <w:szCs w:val="22"/>
              </w:rPr>
              <w:t>Regionales</w:t>
            </w:r>
          </w:p>
        </w:tc>
        <w:tc>
          <w:tcPr>
            <w:tcW w:w="1676" w:type="dxa"/>
          </w:tcPr>
          <w:p w14:paraId="563234DB" w14:textId="77777777" w:rsidR="009102A7" w:rsidRPr="00576AF8" w:rsidRDefault="009102A7" w:rsidP="009F6B78">
            <w:pPr>
              <w:widowControl w:val="0"/>
              <w:suppressAutoHyphens w:val="0"/>
              <w:autoSpaceDE w:val="0"/>
              <w:autoSpaceDN w:val="0"/>
              <w:spacing w:before="33" w:after="0"/>
              <w:ind w:left="433"/>
              <w:jc w:val="left"/>
              <w:rPr>
                <w:rFonts w:eastAsia="Calibri"/>
                <w:sz w:val="22"/>
                <w:szCs w:val="22"/>
              </w:rPr>
            </w:pPr>
            <w:r w:rsidRPr="00576AF8">
              <w:rPr>
                <w:rFonts w:eastAsia="Calibri"/>
                <w:spacing w:val="-5"/>
                <w:sz w:val="22"/>
                <w:szCs w:val="22"/>
              </w:rPr>
              <w:t>100</w:t>
            </w:r>
          </w:p>
        </w:tc>
      </w:tr>
      <w:tr w:rsidR="009102A7" w:rsidRPr="00576AF8" w14:paraId="519BB441" w14:textId="77777777" w:rsidTr="009F6B78">
        <w:trPr>
          <w:trHeight w:val="299"/>
        </w:trPr>
        <w:tc>
          <w:tcPr>
            <w:tcW w:w="847" w:type="dxa"/>
          </w:tcPr>
          <w:p w14:paraId="4C4B8912" w14:textId="77777777" w:rsidR="009102A7" w:rsidRPr="00576AF8" w:rsidRDefault="009102A7" w:rsidP="009F6B78">
            <w:pPr>
              <w:widowControl w:val="0"/>
              <w:suppressAutoHyphens w:val="0"/>
              <w:autoSpaceDE w:val="0"/>
              <w:autoSpaceDN w:val="0"/>
              <w:spacing w:before="30" w:after="0"/>
              <w:ind w:left="8" w:right="1"/>
              <w:jc w:val="center"/>
              <w:rPr>
                <w:rFonts w:eastAsia="Calibri"/>
                <w:sz w:val="22"/>
                <w:szCs w:val="22"/>
              </w:rPr>
            </w:pPr>
            <w:r w:rsidRPr="00576AF8">
              <w:rPr>
                <w:rFonts w:eastAsia="Calibri"/>
                <w:spacing w:val="-10"/>
                <w:sz w:val="22"/>
                <w:szCs w:val="22"/>
              </w:rPr>
              <w:t>4</w:t>
            </w:r>
          </w:p>
        </w:tc>
        <w:tc>
          <w:tcPr>
            <w:tcW w:w="4692" w:type="dxa"/>
          </w:tcPr>
          <w:p w14:paraId="08D65607" w14:textId="77777777" w:rsidR="009102A7" w:rsidRPr="00576AF8" w:rsidRDefault="009102A7" w:rsidP="009F6B78">
            <w:pPr>
              <w:widowControl w:val="0"/>
              <w:suppressAutoHyphens w:val="0"/>
              <w:autoSpaceDE w:val="0"/>
              <w:autoSpaceDN w:val="0"/>
              <w:spacing w:before="30" w:after="0"/>
              <w:ind w:left="107"/>
              <w:jc w:val="left"/>
              <w:rPr>
                <w:rFonts w:eastAsia="Calibri"/>
                <w:sz w:val="22"/>
                <w:szCs w:val="22"/>
              </w:rPr>
            </w:pPr>
            <w:r w:rsidRPr="00576AF8">
              <w:rPr>
                <w:rFonts w:eastAsia="Calibri"/>
                <w:sz w:val="22"/>
                <w:szCs w:val="22"/>
              </w:rPr>
              <w:t>Diagramas</w:t>
            </w:r>
            <w:r w:rsidRPr="00576AF8">
              <w:rPr>
                <w:rFonts w:eastAsia="Calibri"/>
                <w:spacing w:val="-7"/>
                <w:sz w:val="22"/>
                <w:szCs w:val="22"/>
              </w:rPr>
              <w:t xml:space="preserve"> </w:t>
            </w:r>
            <w:r w:rsidRPr="00576AF8">
              <w:rPr>
                <w:rFonts w:eastAsia="Calibri"/>
                <w:spacing w:val="-2"/>
                <w:sz w:val="22"/>
                <w:szCs w:val="22"/>
              </w:rPr>
              <w:t>Generales</w:t>
            </w:r>
          </w:p>
        </w:tc>
        <w:tc>
          <w:tcPr>
            <w:tcW w:w="1676" w:type="dxa"/>
          </w:tcPr>
          <w:p w14:paraId="21AEFFE5" w14:textId="77777777" w:rsidR="009102A7" w:rsidRPr="00576AF8" w:rsidRDefault="009102A7" w:rsidP="009F6B78">
            <w:pPr>
              <w:widowControl w:val="0"/>
              <w:suppressAutoHyphens w:val="0"/>
              <w:autoSpaceDE w:val="0"/>
              <w:autoSpaceDN w:val="0"/>
              <w:spacing w:before="30" w:after="0"/>
              <w:ind w:left="380"/>
              <w:jc w:val="left"/>
              <w:rPr>
                <w:rFonts w:eastAsia="Calibri"/>
                <w:sz w:val="22"/>
                <w:szCs w:val="22"/>
              </w:rPr>
            </w:pPr>
            <w:r w:rsidRPr="00576AF8">
              <w:rPr>
                <w:rFonts w:eastAsia="Calibri"/>
                <w:spacing w:val="-4"/>
                <w:sz w:val="22"/>
                <w:szCs w:val="22"/>
              </w:rPr>
              <w:t>3200</w:t>
            </w:r>
          </w:p>
        </w:tc>
      </w:tr>
      <w:tr w:rsidR="009102A7" w:rsidRPr="00576AF8" w14:paraId="0D4B544C" w14:textId="77777777" w:rsidTr="009F6B78">
        <w:trPr>
          <w:trHeight w:val="299"/>
        </w:trPr>
        <w:tc>
          <w:tcPr>
            <w:tcW w:w="847" w:type="dxa"/>
          </w:tcPr>
          <w:p w14:paraId="5D5F0711" w14:textId="77777777" w:rsidR="009102A7" w:rsidRPr="00576AF8" w:rsidRDefault="009102A7" w:rsidP="009F6B78">
            <w:pPr>
              <w:widowControl w:val="0"/>
              <w:suppressAutoHyphens w:val="0"/>
              <w:autoSpaceDE w:val="0"/>
              <w:autoSpaceDN w:val="0"/>
              <w:spacing w:before="33" w:after="0"/>
              <w:ind w:left="8" w:right="1"/>
              <w:jc w:val="center"/>
              <w:rPr>
                <w:rFonts w:eastAsia="Calibri"/>
                <w:sz w:val="22"/>
                <w:szCs w:val="22"/>
              </w:rPr>
            </w:pPr>
            <w:r w:rsidRPr="00576AF8">
              <w:rPr>
                <w:rFonts w:eastAsia="Calibri"/>
                <w:spacing w:val="-10"/>
                <w:sz w:val="22"/>
                <w:szCs w:val="22"/>
              </w:rPr>
              <w:t>5</w:t>
            </w:r>
          </w:p>
        </w:tc>
        <w:tc>
          <w:tcPr>
            <w:tcW w:w="4692" w:type="dxa"/>
          </w:tcPr>
          <w:p w14:paraId="219EEEC5" w14:textId="77777777" w:rsidR="009102A7" w:rsidRPr="00576AF8" w:rsidRDefault="009102A7" w:rsidP="009F6B78">
            <w:pPr>
              <w:widowControl w:val="0"/>
              <w:suppressAutoHyphens w:val="0"/>
              <w:autoSpaceDE w:val="0"/>
              <w:autoSpaceDN w:val="0"/>
              <w:spacing w:before="33" w:after="0"/>
              <w:ind w:left="107"/>
              <w:jc w:val="left"/>
              <w:rPr>
                <w:rFonts w:eastAsia="Calibri"/>
                <w:sz w:val="22"/>
                <w:szCs w:val="22"/>
              </w:rPr>
            </w:pPr>
            <w:r w:rsidRPr="00576AF8">
              <w:rPr>
                <w:rFonts w:eastAsia="Calibri"/>
                <w:sz w:val="22"/>
                <w:szCs w:val="22"/>
              </w:rPr>
              <w:t>Diagramas</w:t>
            </w:r>
            <w:r w:rsidRPr="00576AF8">
              <w:rPr>
                <w:rFonts w:eastAsia="Calibri"/>
                <w:spacing w:val="-7"/>
                <w:sz w:val="22"/>
                <w:szCs w:val="22"/>
              </w:rPr>
              <w:t xml:space="preserve"> </w:t>
            </w:r>
            <w:r w:rsidRPr="00576AF8">
              <w:rPr>
                <w:rFonts w:eastAsia="Calibri"/>
                <w:spacing w:val="-2"/>
                <w:sz w:val="22"/>
                <w:szCs w:val="22"/>
              </w:rPr>
              <w:t>Especiales</w:t>
            </w:r>
          </w:p>
        </w:tc>
        <w:tc>
          <w:tcPr>
            <w:tcW w:w="1676" w:type="dxa"/>
          </w:tcPr>
          <w:p w14:paraId="693ABC01" w14:textId="77777777" w:rsidR="009102A7" w:rsidRPr="00576AF8" w:rsidRDefault="009102A7" w:rsidP="009F6B78">
            <w:pPr>
              <w:widowControl w:val="0"/>
              <w:suppressAutoHyphens w:val="0"/>
              <w:autoSpaceDE w:val="0"/>
              <w:autoSpaceDN w:val="0"/>
              <w:spacing w:before="33" w:after="0"/>
              <w:ind w:left="434"/>
              <w:jc w:val="left"/>
              <w:rPr>
                <w:rFonts w:eastAsia="Calibri"/>
                <w:sz w:val="22"/>
                <w:szCs w:val="22"/>
              </w:rPr>
            </w:pPr>
            <w:r w:rsidRPr="00576AF8">
              <w:rPr>
                <w:rFonts w:eastAsia="Calibri"/>
                <w:spacing w:val="-5"/>
                <w:sz w:val="22"/>
                <w:szCs w:val="22"/>
              </w:rPr>
              <w:t>200</w:t>
            </w:r>
          </w:p>
        </w:tc>
      </w:tr>
      <w:tr w:rsidR="009102A7" w:rsidRPr="00576AF8" w14:paraId="12D14D01" w14:textId="77777777" w:rsidTr="009F6B78">
        <w:trPr>
          <w:trHeight w:val="299"/>
        </w:trPr>
        <w:tc>
          <w:tcPr>
            <w:tcW w:w="847" w:type="dxa"/>
          </w:tcPr>
          <w:p w14:paraId="1DEDAA99" w14:textId="77777777" w:rsidR="009102A7" w:rsidRPr="00576AF8" w:rsidRDefault="009102A7" w:rsidP="009F6B78">
            <w:pPr>
              <w:widowControl w:val="0"/>
              <w:suppressAutoHyphens w:val="0"/>
              <w:autoSpaceDE w:val="0"/>
              <w:autoSpaceDN w:val="0"/>
              <w:spacing w:before="33" w:after="0"/>
              <w:ind w:left="8" w:right="1"/>
              <w:jc w:val="center"/>
              <w:rPr>
                <w:rFonts w:eastAsia="Calibri"/>
                <w:sz w:val="22"/>
                <w:szCs w:val="22"/>
              </w:rPr>
            </w:pPr>
            <w:r w:rsidRPr="00576AF8">
              <w:rPr>
                <w:rFonts w:eastAsia="Calibri"/>
                <w:spacing w:val="-10"/>
                <w:sz w:val="22"/>
                <w:szCs w:val="22"/>
              </w:rPr>
              <w:t>4</w:t>
            </w:r>
          </w:p>
        </w:tc>
        <w:tc>
          <w:tcPr>
            <w:tcW w:w="4692" w:type="dxa"/>
          </w:tcPr>
          <w:p w14:paraId="41B671E5" w14:textId="77777777" w:rsidR="009102A7" w:rsidRPr="00576AF8" w:rsidRDefault="009102A7" w:rsidP="009F6B78">
            <w:pPr>
              <w:widowControl w:val="0"/>
              <w:suppressAutoHyphens w:val="0"/>
              <w:autoSpaceDE w:val="0"/>
              <w:autoSpaceDN w:val="0"/>
              <w:spacing w:before="33" w:after="0"/>
              <w:ind w:left="107"/>
              <w:jc w:val="left"/>
              <w:rPr>
                <w:rFonts w:eastAsia="Calibri"/>
                <w:sz w:val="22"/>
                <w:szCs w:val="22"/>
              </w:rPr>
            </w:pPr>
            <w:r w:rsidRPr="00576AF8">
              <w:rPr>
                <w:rFonts w:eastAsia="Calibri"/>
                <w:sz w:val="22"/>
                <w:szCs w:val="22"/>
              </w:rPr>
              <w:t>Diagramas</w:t>
            </w:r>
            <w:r w:rsidRPr="00576AF8">
              <w:rPr>
                <w:rFonts w:eastAsia="Calibri"/>
                <w:spacing w:val="-10"/>
                <w:sz w:val="22"/>
                <w:szCs w:val="22"/>
              </w:rPr>
              <w:t xml:space="preserve"> </w:t>
            </w:r>
            <w:r w:rsidRPr="00576AF8">
              <w:rPr>
                <w:rFonts w:eastAsia="Calibri"/>
                <w:spacing w:val="-2"/>
                <w:sz w:val="22"/>
                <w:szCs w:val="22"/>
              </w:rPr>
              <w:t>Tabulares</w:t>
            </w:r>
          </w:p>
        </w:tc>
        <w:tc>
          <w:tcPr>
            <w:tcW w:w="1676" w:type="dxa"/>
          </w:tcPr>
          <w:p w14:paraId="0F3C2E85" w14:textId="77777777" w:rsidR="009102A7" w:rsidRPr="00576AF8" w:rsidRDefault="009102A7" w:rsidP="009F6B78">
            <w:pPr>
              <w:widowControl w:val="0"/>
              <w:suppressAutoHyphens w:val="0"/>
              <w:autoSpaceDE w:val="0"/>
              <w:autoSpaceDN w:val="0"/>
              <w:spacing w:before="33" w:after="0"/>
              <w:ind w:left="379"/>
              <w:jc w:val="left"/>
              <w:rPr>
                <w:rFonts w:eastAsia="Calibri"/>
                <w:sz w:val="22"/>
                <w:szCs w:val="22"/>
              </w:rPr>
            </w:pPr>
            <w:r w:rsidRPr="00576AF8">
              <w:rPr>
                <w:rFonts w:eastAsia="Calibri"/>
                <w:spacing w:val="-4"/>
                <w:sz w:val="22"/>
                <w:szCs w:val="22"/>
              </w:rPr>
              <w:t>4500</w:t>
            </w:r>
          </w:p>
        </w:tc>
      </w:tr>
      <w:tr w:rsidR="009102A7" w:rsidRPr="00576AF8" w14:paraId="63F69A4B" w14:textId="77777777" w:rsidTr="009F6B78">
        <w:trPr>
          <w:trHeight w:val="299"/>
        </w:trPr>
        <w:tc>
          <w:tcPr>
            <w:tcW w:w="847" w:type="dxa"/>
          </w:tcPr>
          <w:p w14:paraId="0283EB0C" w14:textId="77777777" w:rsidR="009102A7" w:rsidRPr="00576AF8" w:rsidRDefault="009102A7" w:rsidP="009F6B78">
            <w:pPr>
              <w:widowControl w:val="0"/>
              <w:suppressAutoHyphens w:val="0"/>
              <w:autoSpaceDE w:val="0"/>
              <w:autoSpaceDN w:val="0"/>
              <w:spacing w:before="33" w:after="0"/>
              <w:ind w:left="8" w:right="1"/>
              <w:jc w:val="center"/>
              <w:rPr>
                <w:rFonts w:eastAsia="Calibri"/>
                <w:sz w:val="22"/>
                <w:szCs w:val="22"/>
              </w:rPr>
            </w:pPr>
            <w:r w:rsidRPr="00576AF8">
              <w:rPr>
                <w:rFonts w:eastAsia="Calibri"/>
                <w:spacing w:val="-10"/>
                <w:sz w:val="22"/>
                <w:szCs w:val="22"/>
              </w:rPr>
              <w:t>4</w:t>
            </w:r>
          </w:p>
        </w:tc>
        <w:tc>
          <w:tcPr>
            <w:tcW w:w="4692" w:type="dxa"/>
          </w:tcPr>
          <w:p w14:paraId="19DCCA02" w14:textId="77777777" w:rsidR="009102A7" w:rsidRPr="00576AF8" w:rsidRDefault="009102A7" w:rsidP="009F6B78">
            <w:pPr>
              <w:widowControl w:val="0"/>
              <w:suppressAutoHyphens w:val="0"/>
              <w:autoSpaceDE w:val="0"/>
              <w:autoSpaceDN w:val="0"/>
              <w:spacing w:before="33" w:after="0"/>
              <w:ind w:left="107"/>
              <w:jc w:val="left"/>
              <w:rPr>
                <w:rFonts w:eastAsia="Calibri"/>
                <w:sz w:val="22"/>
                <w:szCs w:val="22"/>
              </w:rPr>
            </w:pPr>
            <w:r w:rsidRPr="00576AF8">
              <w:rPr>
                <w:rFonts w:eastAsia="Calibri"/>
                <w:sz w:val="22"/>
                <w:szCs w:val="22"/>
              </w:rPr>
              <w:t>Diagramas</w:t>
            </w:r>
            <w:r w:rsidRPr="00576AF8">
              <w:rPr>
                <w:rFonts w:eastAsia="Calibri"/>
                <w:spacing w:val="-6"/>
                <w:sz w:val="22"/>
                <w:szCs w:val="22"/>
              </w:rPr>
              <w:t xml:space="preserve"> </w:t>
            </w:r>
            <w:r w:rsidRPr="00576AF8">
              <w:rPr>
                <w:rFonts w:eastAsia="Calibri"/>
                <w:sz w:val="22"/>
                <w:szCs w:val="22"/>
              </w:rPr>
              <w:t>de</w:t>
            </w:r>
            <w:r w:rsidRPr="00576AF8">
              <w:rPr>
                <w:rFonts w:eastAsia="Calibri"/>
                <w:spacing w:val="-6"/>
                <w:sz w:val="22"/>
                <w:szCs w:val="22"/>
              </w:rPr>
              <w:t xml:space="preserve"> </w:t>
            </w:r>
            <w:r w:rsidRPr="00576AF8">
              <w:rPr>
                <w:rFonts w:eastAsia="Calibri"/>
                <w:spacing w:val="-2"/>
                <w:sz w:val="22"/>
                <w:szCs w:val="22"/>
              </w:rPr>
              <w:t>Tendencias</w:t>
            </w:r>
          </w:p>
        </w:tc>
        <w:tc>
          <w:tcPr>
            <w:tcW w:w="1676" w:type="dxa"/>
          </w:tcPr>
          <w:p w14:paraId="463E6D5E" w14:textId="77777777" w:rsidR="009102A7" w:rsidRPr="00576AF8" w:rsidRDefault="009102A7" w:rsidP="009F6B78">
            <w:pPr>
              <w:keepNext/>
              <w:widowControl w:val="0"/>
              <w:suppressAutoHyphens w:val="0"/>
              <w:autoSpaceDE w:val="0"/>
              <w:autoSpaceDN w:val="0"/>
              <w:spacing w:before="33" w:after="0"/>
              <w:ind w:left="379"/>
              <w:jc w:val="left"/>
              <w:rPr>
                <w:rFonts w:eastAsia="Calibri"/>
                <w:sz w:val="22"/>
                <w:szCs w:val="22"/>
              </w:rPr>
            </w:pPr>
            <w:r w:rsidRPr="00576AF8">
              <w:rPr>
                <w:rFonts w:eastAsia="Calibri"/>
                <w:spacing w:val="-4"/>
                <w:sz w:val="22"/>
                <w:szCs w:val="22"/>
              </w:rPr>
              <w:t>1500</w:t>
            </w:r>
          </w:p>
        </w:tc>
      </w:tr>
    </w:tbl>
    <w:p w14:paraId="068A25B6" w14:textId="77777777" w:rsidR="009102A7" w:rsidRPr="00576AF8" w:rsidRDefault="009102A7" w:rsidP="009102A7">
      <w:pPr>
        <w:spacing w:before="120"/>
        <w:jc w:val="center"/>
        <w:rPr>
          <w:b/>
          <w:sz w:val="22"/>
          <w:szCs w:val="22"/>
        </w:rPr>
      </w:pPr>
      <w:r w:rsidRPr="00576AF8">
        <w:rPr>
          <w:b/>
          <w:sz w:val="22"/>
        </w:rPr>
        <w:t xml:space="preserve">Tabla </w:t>
      </w:r>
      <w:proofErr w:type="gramStart"/>
      <w:r w:rsidR="00E715F6" w:rsidRPr="00576AF8">
        <w:rPr>
          <w:b/>
          <w:sz w:val="22"/>
        </w:rPr>
        <w:t>20</w:t>
      </w:r>
      <w:r w:rsidRPr="00576AF8">
        <w:rPr>
          <w:b/>
          <w:sz w:val="22"/>
        </w:rPr>
        <w:t>.Dimensionamiento</w:t>
      </w:r>
      <w:proofErr w:type="gramEnd"/>
      <w:r w:rsidRPr="00576AF8">
        <w:rPr>
          <w:b/>
          <w:sz w:val="22"/>
        </w:rPr>
        <w:t xml:space="preserve"> de Despliegues EMS</w:t>
      </w:r>
    </w:p>
    <w:bookmarkEnd w:id="1129"/>
    <w:bookmarkEnd w:id="1136"/>
    <w:p w14:paraId="7CD57142" w14:textId="77777777" w:rsidR="009102A7" w:rsidRPr="00576AF8" w:rsidRDefault="009102A7" w:rsidP="009102A7"/>
    <w:p w14:paraId="2366EF62" w14:textId="77777777" w:rsidR="009102A7" w:rsidRPr="00576AF8" w:rsidRDefault="009102A7" w:rsidP="009102A7">
      <w:pPr>
        <w:spacing w:line="276" w:lineRule="auto"/>
        <w:ind w:right="41"/>
        <w:outlineLvl w:val="1"/>
        <w:rPr>
          <w:b/>
          <w:bCs/>
          <w:sz w:val="22"/>
          <w:szCs w:val="22"/>
        </w:rPr>
      </w:pPr>
      <w:bookmarkStart w:id="1137" w:name="_Toc454958728"/>
      <w:bookmarkStart w:id="1138" w:name="_Toc476310103"/>
      <w:bookmarkStart w:id="1139" w:name="_Toc482896432"/>
      <w:bookmarkStart w:id="1140" w:name="_Toc99868856"/>
      <w:bookmarkStart w:id="1141" w:name="_Toc160706918"/>
      <w:bookmarkStart w:id="1142" w:name="_Toc160707508"/>
      <w:bookmarkStart w:id="1143" w:name="_Toc160707765"/>
      <w:r w:rsidRPr="00576AF8">
        <w:rPr>
          <w:b/>
          <w:bCs/>
          <w:sz w:val="22"/>
          <w:szCs w:val="22"/>
        </w:rPr>
        <w:t>2.6</w:t>
      </w:r>
      <w:r w:rsidRPr="00576AF8">
        <w:rPr>
          <w:b/>
          <w:bCs/>
          <w:sz w:val="22"/>
          <w:szCs w:val="22"/>
        </w:rPr>
        <w:tab/>
        <w:t>Requisitos de documentación</w:t>
      </w:r>
      <w:bookmarkEnd w:id="1137"/>
      <w:bookmarkEnd w:id="1138"/>
      <w:bookmarkEnd w:id="1139"/>
      <w:bookmarkEnd w:id="1140"/>
      <w:bookmarkEnd w:id="1141"/>
      <w:bookmarkEnd w:id="1142"/>
      <w:bookmarkEnd w:id="1143"/>
    </w:p>
    <w:p w14:paraId="3EFA4690" w14:textId="77777777" w:rsidR="009102A7" w:rsidRPr="00576AF8" w:rsidRDefault="009102A7" w:rsidP="009102A7">
      <w:pPr>
        <w:ind w:left="720" w:hanging="720"/>
        <w:jc w:val="left"/>
        <w:outlineLvl w:val="2"/>
        <w:rPr>
          <w:b/>
          <w:sz w:val="22"/>
          <w:szCs w:val="22"/>
        </w:rPr>
      </w:pPr>
      <w:bookmarkStart w:id="1144" w:name="_Toc160706919"/>
      <w:bookmarkStart w:id="1145" w:name="_Toc160707191"/>
      <w:bookmarkStart w:id="1146" w:name="_Toc160707509"/>
      <w:bookmarkStart w:id="1147" w:name="_Toc160707705"/>
      <w:bookmarkStart w:id="1148" w:name="_Toc160707766"/>
      <w:bookmarkStart w:id="1149" w:name="_Toc163137316"/>
      <w:r w:rsidRPr="00576AF8">
        <w:rPr>
          <w:b/>
          <w:sz w:val="22"/>
          <w:szCs w:val="22"/>
        </w:rPr>
        <w:t>2.6.1</w:t>
      </w:r>
      <w:r w:rsidRPr="00576AF8">
        <w:rPr>
          <w:b/>
          <w:sz w:val="22"/>
          <w:szCs w:val="22"/>
        </w:rPr>
        <w:tab/>
        <w:t xml:space="preserve">El Proveedor DEBERÁ preparar y presentar </w:t>
      </w:r>
      <w:r w:rsidR="00843403" w:rsidRPr="00576AF8">
        <w:rPr>
          <w:b/>
          <w:sz w:val="22"/>
          <w:szCs w:val="22"/>
        </w:rPr>
        <w:t xml:space="preserve">el Plan de Documentación, que deberá contener al menos lo </w:t>
      </w:r>
      <w:r w:rsidRPr="00576AF8">
        <w:rPr>
          <w:b/>
          <w:sz w:val="22"/>
          <w:szCs w:val="22"/>
        </w:rPr>
        <w:t>siguiente:</w:t>
      </w:r>
      <w:bookmarkEnd w:id="1144"/>
      <w:bookmarkEnd w:id="1145"/>
      <w:bookmarkEnd w:id="1146"/>
      <w:bookmarkEnd w:id="1147"/>
      <w:bookmarkEnd w:id="1148"/>
      <w:bookmarkEnd w:id="1149"/>
    </w:p>
    <w:p w14:paraId="2271D27D" w14:textId="77777777" w:rsidR="009102A7" w:rsidRPr="00576AF8" w:rsidRDefault="009102A7" w:rsidP="009102A7">
      <w:pPr>
        <w:ind w:right="41"/>
        <w:rPr>
          <w:sz w:val="22"/>
          <w:szCs w:val="22"/>
        </w:rPr>
      </w:pPr>
    </w:p>
    <w:p w14:paraId="03A4C687" w14:textId="77777777" w:rsidR="009102A7" w:rsidRPr="00576AF8" w:rsidRDefault="009102A7" w:rsidP="009102A7">
      <w:pPr>
        <w:ind w:left="2160" w:right="41" w:hanging="720"/>
        <w:rPr>
          <w:color w:val="4472C4"/>
          <w:sz w:val="22"/>
          <w:szCs w:val="22"/>
        </w:rPr>
      </w:pPr>
      <w:r w:rsidRPr="00576AF8">
        <w:rPr>
          <w:sz w:val="22"/>
          <w:szCs w:val="22"/>
        </w:rPr>
        <w:t>2.6.1.1</w:t>
      </w:r>
      <w:r w:rsidRPr="00576AF8">
        <w:rPr>
          <w:sz w:val="22"/>
          <w:szCs w:val="22"/>
        </w:rPr>
        <w:tab/>
      </w:r>
      <w:r w:rsidRPr="00576AF8">
        <w:rPr>
          <w:sz w:val="22"/>
          <w:szCs w:val="22"/>
          <w:u w:val="single"/>
        </w:rPr>
        <w:t>Documentos para usuarios finales</w:t>
      </w:r>
      <w:r w:rsidRPr="00576AF8">
        <w:rPr>
          <w:sz w:val="22"/>
          <w:szCs w:val="22"/>
        </w:rPr>
        <w:t xml:space="preserve">: </w:t>
      </w:r>
      <w:r w:rsidRPr="00576AF8">
        <w:rPr>
          <w:spacing w:val="-2"/>
          <w:sz w:val="22"/>
          <w:szCs w:val="22"/>
        </w:rPr>
        <w:t>El proveedor DEBERÁ cumplir con el detalle especificado en este numeral.</w:t>
      </w:r>
    </w:p>
    <w:p w14:paraId="6360D699" w14:textId="77777777" w:rsidR="009102A7" w:rsidRPr="00576AF8" w:rsidRDefault="009102A7" w:rsidP="009102A7">
      <w:pPr>
        <w:ind w:left="2160" w:right="41" w:hanging="720"/>
        <w:rPr>
          <w:color w:val="4472C4"/>
          <w:sz w:val="22"/>
          <w:szCs w:val="22"/>
        </w:rPr>
      </w:pPr>
      <w:r w:rsidRPr="00576AF8">
        <w:rPr>
          <w:sz w:val="22"/>
          <w:szCs w:val="22"/>
        </w:rPr>
        <w:t>2.6.1.2</w:t>
      </w:r>
      <w:r w:rsidRPr="00576AF8">
        <w:rPr>
          <w:sz w:val="22"/>
          <w:szCs w:val="22"/>
        </w:rPr>
        <w:tab/>
      </w:r>
      <w:r w:rsidRPr="00576AF8">
        <w:rPr>
          <w:sz w:val="22"/>
          <w:szCs w:val="22"/>
          <w:u w:val="single"/>
        </w:rPr>
        <w:t>Documentos técnicos</w:t>
      </w:r>
      <w:r w:rsidRPr="00576AF8">
        <w:rPr>
          <w:sz w:val="22"/>
          <w:szCs w:val="22"/>
        </w:rPr>
        <w:t xml:space="preserve">: </w:t>
      </w:r>
      <w:r w:rsidRPr="00576AF8">
        <w:rPr>
          <w:spacing w:val="-2"/>
          <w:sz w:val="22"/>
          <w:szCs w:val="22"/>
        </w:rPr>
        <w:t>El proveedor DEBERÁ cumplir con el detalle especificado en este numeral.</w:t>
      </w:r>
    </w:p>
    <w:p w14:paraId="15159635" w14:textId="77777777" w:rsidR="009102A7" w:rsidRPr="00576AF8" w:rsidRDefault="009102A7" w:rsidP="009102A7">
      <w:pPr>
        <w:ind w:left="2160" w:right="41" w:hanging="720"/>
        <w:rPr>
          <w:sz w:val="22"/>
          <w:szCs w:val="22"/>
        </w:rPr>
      </w:pPr>
      <w:r w:rsidRPr="00576AF8">
        <w:rPr>
          <w:sz w:val="22"/>
          <w:szCs w:val="22"/>
        </w:rPr>
        <w:t xml:space="preserve">2.6.1.3 </w:t>
      </w:r>
      <w:r w:rsidRPr="00576AF8">
        <w:rPr>
          <w:sz w:val="22"/>
          <w:szCs w:val="22"/>
          <w:u w:val="single"/>
        </w:rPr>
        <w:t>Documentos de Parametrización e inventario:</w:t>
      </w:r>
      <w:r w:rsidRPr="00576AF8">
        <w:rPr>
          <w:sz w:val="22"/>
          <w:szCs w:val="22"/>
        </w:rPr>
        <w:t xml:space="preserve"> </w:t>
      </w:r>
      <w:r w:rsidRPr="00576AF8">
        <w:rPr>
          <w:spacing w:val="-2"/>
          <w:sz w:val="22"/>
          <w:szCs w:val="22"/>
        </w:rPr>
        <w:t>El proveedor DEBERÁ cumplir con el detalle especificado en este numeral.</w:t>
      </w:r>
    </w:p>
    <w:p w14:paraId="783034EF" w14:textId="77777777" w:rsidR="009102A7" w:rsidRPr="00576AF8" w:rsidRDefault="009102A7" w:rsidP="009102A7">
      <w:pPr>
        <w:ind w:left="2160" w:right="41" w:hanging="720"/>
        <w:rPr>
          <w:sz w:val="22"/>
          <w:szCs w:val="22"/>
        </w:rPr>
      </w:pPr>
      <w:r w:rsidRPr="00576AF8">
        <w:rPr>
          <w:sz w:val="22"/>
          <w:szCs w:val="22"/>
        </w:rPr>
        <w:t xml:space="preserve"> 2.6.1.4 </w:t>
      </w:r>
      <w:r w:rsidRPr="00576AF8">
        <w:rPr>
          <w:sz w:val="22"/>
          <w:szCs w:val="22"/>
          <w:u w:val="single"/>
        </w:rPr>
        <w:t>Respaldos Técnicos:</w:t>
      </w:r>
      <w:r w:rsidRPr="00576AF8">
        <w:rPr>
          <w:sz w:val="22"/>
          <w:szCs w:val="22"/>
        </w:rPr>
        <w:t xml:space="preserve"> </w:t>
      </w:r>
      <w:r w:rsidRPr="00576AF8">
        <w:rPr>
          <w:spacing w:val="-2"/>
          <w:sz w:val="22"/>
          <w:szCs w:val="22"/>
        </w:rPr>
        <w:t>El proveedor DEBERÁ cumplir con el detalle especificado en este numeral.</w:t>
      </w:r>
    </w:p>
    <w:p w14:paraId="6C6BB22D" w14:textId="77777777" w:rsidR="009102A7" w:rsidRPr="00576AF8" w:rsidRDefault="009102A7" w:rsidP="009102A7">
      <w:pPr>
        <w:ind w:left="1440" w:right="41" w:hanging="720"/>
        <w:rPr>
          <w:b/>
          <w:bCs/>
          <w:sz w:val="22"/>
          <w:szCs w:val="22"/>
        </w:rPr>
      </w:pPr>
      <w:r w:rsidRPr="00576AF8">
        <w:rPr>
          <w:b/>
          <w:bCs/>
          <w:sz w:val="22"/>
          <w:szCs w:val="22"/>
        </w:rPr>
        <w:t>Generalidades:</w:t>
      </w:r>
    </w:p>
    <w:p w14:paraId="7A9F6433"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rPr>
          <w:rFonts w:eastAsia="Calibri"/>
          <w:color w:val="000000"/>
          <w:sz w:val="22"/>
          <w:szCs w:val="22"/>
        </w:rPr>
      </w:pPr>
      <w:r w:rsidRPr="00576AF8">
        <w:rPr>
          <w:rFonts w:eastAsia="Calibri"/>
          <w:color w:val="000000"/>
          <w:sz w:val="22"/>
          <w:szCs w:val="22"/>
        </w:rPr>
        <w:t xml:space="preserve">La documentación será una parte relevante del suministro que se considerará "en revisión" hasta que se otorgue la aprobación por escrito del </w:t>
      </w:r>
      <w:r w:rsidR="00843403" w:rsidRPr="00576AF8">
        <w:rPr>
          <w:rFonts w:eastAsia="Calibri"/>
          <w:color w:val="000000"/>
          <w:sz w:val="22"/>
          <w:szCs w:val="22"/>
        </w:rPr>
        <w:t xml:space="preserve">Comprador en un plazo máximo de </w:t>
      </w:r>
      <w:r w:rsidR="000B591A" w:rsidRPr="00576AF8">
        <w:rPr>
          <w:rFonts w:eastAsia="Calibri"/>
          <w:color w:val="000000"/>
          <w:sz w:val="22"/>
          <w:szCs w:val="22"/>
        </w:rPr>
        <w:t>30</w:t>
      </w:r>
      <w:r w:rsidR="00843403" w:rsidRPr="00576AF8">
        <w:rPr>
          <w:rFonts w:eastAsia="Calibri"/>
          <w:color w:val="000000"/>
          <w:sz w:val="22"/>
          <w:szCs w:val="22"/>
        </w:rPr>
        <w:t xml:space="preserve"> días luego de </w:t>
      </w:r>
      <w:r w:rsidR="000B591A" w:rsidRPr="00576AF8">
        <w:rPr>
          <w:rFonts w:eastAsia="Calibri"/>
          <w:color w:val="000000"/>
          <w:sz w:val="22"/>
          <w:szCs w:val="22"/>
        </w:rPr>
        <w:t>la entrega formal por parte del Proveedor</w:t>
      </w:r>
      <w:r w:rsidRPr="00576AF8">
        <w:rPr>
          <w:rFonts w:eastAsia="Calibri"/>
          <w:color w:val="000000"/>
          <w:sz w:val="22"/>
          <w:szCs w:val="22"/>
        </w:rPr>
        <w:t xml:space="preserve">. </w:t>
      </w:r>
    </w:p>
    <w:p w14:paraId="4FD40278"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rPr>
          <w:rFonts w:eastAsia="Calibri"/>
          <w:color w:val="000000"/>
          <w:sz w:val="22"/>
          <w:szCs w:val="22"/>
        </w:rPr>
      </w:pPr>
      <w:r w:rsidRPr="00576AF8">
        <w:rPr>
          <w:rFonts w:eastAsia="Calibri"/>
          <w:color w:val="000000"/>
          <w:sz w:val="22"/>
          <w:szCs w:val="22"/>
        </w:rPr>
        <w:t xml:space="preserve">En este estado "en revisión" se podrá solicitar cualquier cambio razonable en el contenido o el diseño de un documento. Cada requisito en este documento y en cada anexo será aplicable tanto al Proveedor como a sus subcontratistas (si los hubiera). El Proveedor tendrá responsabilidad de verificar cada documento emitido por su subcontratista antes de la entrega al </w:t>
      </w:r>
      <w:r w:rsidR="000B591A" w:rsidRPr="00576AF8">
        <w:rPr>
          <w:rFonts w:eastAsia="Calibri"/>
          <w:color w:val="000000"/>
          <w:sz w:val="22"/>
          <w:szCs w:val="22"/>
        </w:rPr>
        <w:t>Comprador</w:t>
      </w:r>
      <w:r w:rsidRPr="00576AF8">
        <w:rPr>
          <w:rFonts w:eastAsia="Calibri"/>
          <w:color w:val="000000"/>
          <w:sz w:val="22"/>
          <w:szCs w:val="22"/>
        </w:rPr>
        <w:t xml:space="preserve">. La emisión de documentos estará regulada por la Documentación Contractual; el Proveedor informará inmediatamente al </w:t>
      </w:r>
      <w:r w:rsidR="000B591A" w:rsidRPr="00576AF8">
        <w:rPr>
          <w:rFonts w:eastAsia="Calibri"/>
          <w:color w:val="000000"/>
          <w:sz w:val="22"/>
          <w:szCs w:val="22"/>
        </w:rPr>
        <w:t xml:space="preserve">Comprador </w:t>
      </w:r>
      <w:r w:rsidRPr="00576AF8">
        <w:rPr>
          <w:rFonts w:eastAsia="Calibri"/>
          <w:color w:val="000000"/>
          <w:sz w:val="22"/>
          <w:szCs w:val="22"/>
        </w:rPr>
        <w:t>en caso de que estos documentos no sean suficientes o inadecuados para el alcance del trabajo.</w:t>
      </w:r>
    </w:p>
    <w:p w14:paraId="136F9EDF" w14:textId="1B3EA2FB" w:rsidR="009102A7" w:rsidRPr="00576AF8" w:rsidRDefault="0064596A"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rPr>
          <w:rFonts w:eastAsia="Calibri"/>
          <w:color w:val="000000"/>
          <w:sz w:val="22"/>
          <w:szCs w:val="22"/>
        </w:rPr>
      </w:pPr>
      <w:r>
        <w:rPr>
          <w:rFonts w:eastAsia="Calibri"/>
          <w:color w:val="000000"/>
          <w:sz w:val="22"/>
          <w:szCs w:val="22"/>
        </w:rPr>
        <w:lastRenderedPageBreak/>
        <w:t>L</w:t>
      </w:r>
      <w:r w:rsidR="009102A7" w:rsidRPr="00576AF8">
        <w:rPr>
          <w:rFonts w:eastAsia="Calibri"/>
          <w:color w:val="000000"/>
          <w:sz w:val="22"/>
          <w:szCs w:val="22"/>
        </w:rPr>
        <w:t>a documentación deberá estar disponible en el repositorio NAS del SCADA/EMS y accesible en línea en la opción de ayuda de las consolas, con las licencias y software necesarios para su visualización, en el sistema SCADA/EMS y sus réplicas, QAS, PDS, OTS además de las copias digitales de seguridad en formato estándar.</w:t>
      </w:r>
    </w:p>
    <w:p w14:paraId="3C2E8C5B"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rPr>
          <w:rFonts w:eastAsia="Calibri"/>
          <w:color w:val="000000"/>
          <w:sz w:val="22"/>
          <w:szCs w:val="22"/>
        </w:rPr>
      </w:pPr>
      <w:r w:rsidRPr="00576AF8">
        <w:rPr>
          <w:rFonts w:eastAsia="Calibri"/>
          <w:color w:val="000000"/>
          <w:sz w:val="22"/>
          <w:szCs w:val="22"/>
        </w:rPr>
        <w:t>Todos los planos, manuales, especificaciones, listas de componentes, etc., deberán tener un código de identificación de documento único que se ajuste a un esquema de numeración junto con un número de emisión o revisión y un registro de modificación. La documentación del sistema cumplirá con las secciones pertinentes en las normas ISO 26514 (2008), ISO 6592 o normas equivalentes.  Al principio de la documentación debe definirse claramente la tabla de contenido, la versión de revisión del documento, el propósito del manual y los documentos asociados o referenciados.</w:t>
      </w:r>
    </w:p>
    <w:p w14:paraId="60CB538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rPr>
          <w:rFonts w:eastAsia="Calibri"/>
          <w:color w:val="000000"/>
          <w:sz w:val="22"/>
          <w:szCs w:val="22"/>
        </w:rPr>
      </w:pPr>
    </w:p>
    <w:p w14:paraId="734F4A8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rPr>
          <w:rFonts w:eastAsia="Calibri"/>
          <w:sz w:val="22"/>
          <w:szCs w:val="22"/>
        </w:rPr>
      </w:pPr>
      <w:r w:rsidRPr="00576AF8">
        <w:rPr>
          <w:rFonts w:eastAsia="Calibri"/>
          <w:sz w:val="22"/>
          <w:szCs w:val="22"/>
        </w:rPr>
        <w:t>La documentación consta principalmente de las siguientes partes:</w:t>
      </w:r>
    </w:p>
    <w:p w14:paraId="43EB5F5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rPr>
          <w:rFonts w:eastAsia="Calibri"/>
          <w:color w:val="000000"/>
          <w:sz w:val="22"/>
          <w:szCs w:val="22"/>
        </w:rPr>
      </w:pPr>
    </w:p>
    <w:p w14:paraId="37B51992"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contextualSpacing/>
        <w:rPr>
          <w:rFonts w:eastAsia="Calibri"/>
          <w:color w:val="000000"/>
          <w:sz w:val="22"/>
          <w:szCs w:val="22"/>
        </w:rPr>
      </w:pPr>
      <w:r w:rsidRPr="00576AF8">
        <w:rPr>
          <w:rFonts w:eastAsia="Calibri"/>
          <w:color w:val="000000"/>
          <w:sz w:val="22"/>
          <w:szCs w:val="22"/>
          <w:u w:val="single"/>
        </w:rPr>
        <w:t>Documentación de fabricación</w:t>
      </w:r>
      <w:r w:rsidRPr="00576AF8">
        <w:rPr>
          <w:rFonts w:eastAsia="Calibri"/>
          <w:color w:val="000000"/>
          <w:sz w:val="22"/>
          <w:szCs w:val="22"/>
        </w:rPr>
        <w:t>: Esta documentación incluirá todos los documentos necesarios para especificar todo el equipamiento y la descripción del diseño del software contenido en el sistema y procedimientos de instalación.</w:t>
      </w:r>
    </w:p>
    <w:p w14:paraId="39A2B9C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p>
    <w:p w14:paraId="32BDC290"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r w:rsidRPr="00576AF8">
        <w:rPr>
          <w:rFonts w:eastAsia="Calibri"/>
          <w:color w:val="000000"/>
          <w:sz w:val="22"/>
          <w:szCs w:val="22"/>
          <w:u w:val="single"/>
        </w:rPr>
        <w:t>Documentación Funcional</w:t>
      </w:r>
      <w:r w:rsidRPr="00576AF8">
        <w:rPr>
          <w:rFonts w:eastAsia="Calibri"/>
          <w:color w:val="000000"/>
          <w:sz w:val="22"/>
          <w:szCs w:val="22"/>
        </w:rPr>
        <w:t>: Esta documentación incluirá Documentos de Diseño y Documentos de Descripción Funcional del Software.</w:t>
      </w:r>
    </w:p>
    <w:p w14:paraId="34DDDBCA"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rPr>
          <w:rFonts w:eastAsia="Calibri"/>
          <w:color w:val="000000"/>
          <w:sz w:val="22"/>
          <w:szCs w:val="22"/>
        </w:rPr>
      </w:pPr>
    </w:p>
    <w:p w14:paraId="3E45A72E"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r w:rsidRPr="00576AF8">
        <w:rPr>
          <w:rFonts w:eastAsia="Calibri"/>
          <w:color w:val="000000"/>
          <w:sz w:val="22"/>
          <w:szCs w:val="22"/>
          <w:u w:val="single"/>
        </w:rPr>
        <w:t>Documentación de terceros</w:t>
      </w:r>
      <w:r w:rsidRPr="00576AF8">
        <w:rPr>
          <w:rFonts w:eastAsia="Calibri"/>
          <w:color w:val="000000"/>
          <w:sz w:val="22"/>
          <w:szCs w:val="22"/>
        </w:rPr>
        <w:t>: Esta documentación incluirá Documentos de hardware y software de terceros.</w:t>
      </w:r>
    </w:p>
    <w:p w14:paraId="112B5E8A"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contextualSpacing/>
        <w:rPr>
          <w:rFonts w:eastAsia="Calibri"/>
          <w:color w:val="000000"/>
          <w:sz w:val="22"/>
          <w:szCs w:val="22"/>
        </w:rPr>
      </w:pPr>
    </w:p>
    <w:p w14:paraId="47D68AE8"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r w:rsidRPr="00576AF8">
        <w:rPr>
          <w:rFonts w:eastAsia="Calibri"/>
          <w:color w:val="000000"/>
          <w:sz w:val="22"/>
          <w:szCs w:val="22"/>
          <w:u w:val="single"/>
        </w:rPr>
        <w:t>Documentación de las pruebas</w:t>
      </w:r>
      <w:r w:rsidRPr="00576AF8">
        <w:rPr>
          <w:rFonts w:eastAsia="Calibri"/>
          <w:color w:val="000000"/>
          <w:sz w:val="22"/>
          <w:szCs w:val="22"/>
        </w:rPr>
        <w:t xml:space="preserve">: Incluirá todos los procedimientos de ensayo a realizar en las diferentes fases del proyecto. </w:t>
      </w:r>
    </w:p>
    <w:p w14:paraId="0C9BB7A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rPr>
          <w:rFonts w:eastAsia="Calibri"/>
          <w:color w:val="000000"/>
          <w:sz w:val="22"/>
          <w:szCs w:val="22"/>
        </w:rPr>
      </w:pPr>
    </w:p>
    <w:p w14:paraId="4CE1658C"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r w:rsidRPr="00576AF8">
        <w:rPr>
          <w:rFonts w:eastAsia="Calibri"/>
          <w:color w:val="000000"/>
          <w:sz w:val="22"/>
          <w:szCs w:val="22"/>
          <w:u w:val="single"/>
        </w:rPr>
        <w:t>Documentación operativa</w:t>
      </w:r>
      <w:r w:rsidRPr="00576AF8">
        <w:rPr>
          <w:rFonts w:eastAsia="Calibri"/>
          <w:color w:val="000000"/>
          <w:sz w:val="22"/>
          <w:szCs w:val="22"/>
        </w:rPr>
        <w:t>: Incluirá todos los manuales necesarios para realizar la operación del sistema eléctrico mediante la solución del Proveedor, así como los manuales de operación de los sistemas de ingeniería y soporte.</w:t>
      </w:r>
    </w:p>
    <w:p w14:paraId="7E018A9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before="120" w:after="0"/>
        <w:ind w:left="1418" w:hanging="425"/>
        <w:contextualSpacing/>
        <w:rPr>
          <w:rFonts w:eastAsia="Calibri"/>
          <w:color w:val="000000"/>
          <w:sz w:val="22"/>
          <w:szCs w:val="22"/>
        </w:rPr>
      </w:pPr>
    </w:p>
    <w:p w14:paraId="1C2DCD4C"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r w:rsidRPr="00576AF8">
        <w:rPr>
          <w:rFonts w:eastAsia="Calibri"/>
          <w:color w:val="000000"/>
          <w:sz w:val="22"/>
          <w:szCs w:val="22"/>
          <w:u w:val="single"/>
        </w:rPr>
        <w:t xml:space="preserve">Documentación de </w:t>
      </w:r>
      <w:r w:rsidR="001933C8" w:rsidRPr="00576AF8">
        <w:rPr>
          <w:sz w:val="22"/>
          <w:szCs w:val="22"/>
        </w:rPr>
        <w:t>administración</w:t>
      </w:r>
      <w:r w:rsidRPr="00576AF8">
        <w:rPr>
          <w:rFonts w:eastAsia="Calibri"/>
          <w:color w:val="000000"/>
          <w:sz w:val="22"/>
          <w:szCs w:val="22"/>
        </w:rPr>
        <w:t xml:space="preserve">: Este conjunto de documentos estará destinado al personal del </w:t>
      </w:r>
      <w:r w:rsidR="000B591A" w:rsidRPr="00576AF8">
        <w:rPr>
          <w:rFonts w:eastAsia="Calibri"/>
          <w:color w:val="000000"/>
          <w:sz w:val="22"/>
          <w:szCs w:val="22"/>
        </w:rPr>
        <w:t xml:space="preserve">Comprador </w:t>
      </w:r>
      <w:r w:rsidRPr="00576AF8">
        <w:rPr>
          <w:rFonts w:eastAsia="Calibri"/>
          <w:color w:val="000000"/>
          <w:sz w:val="22"/>
          <w:szCs w:val="22"/>
        </w:rPr>
        <w:t xml:space="preserve">que estará a cargo </w:t>
      </w:r>
      <w:r w:rsidR="001933C8" w:rsidRPr="00576AF8">
        <w:rPr>
          <w:rFonts w:eastAsia="Calibri"/>
          <w:color w:val="000000"/>
          <w:sz w:val="22"/>
          <w:szCs w:val="22"/>
        </w:rPr>
        <w:t>de la administración</w:t>
      </w:r>
      <w:r w:rsidRPr="00576AF8">
        <w:rPr>
          <w:rFonts w:eastAsia="Calibri"/>
          <w:color w:val="000000"/>
          <w:sz w:val="22"/>
          <w:szCs w:val="22"/>
        </w:rPr>
        <w:t xml:space="preserve"> del equipo al final del período de garantía del Proveedor.</w:t>
      </w:r>
    </w:p>
    <w:p w14:paraId="2429906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t xml:space="preserve"> </w:t>
      </w:r>
    </w:p>
    <w:p w14:paraId="6994ED2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after="0"/>
        <w:ind w:left="708" w:firstLine="285"/>
        <w:rPr>
          <w:rFonts w:eastAsia="Calibri"/>
          <w:color w:val="000000"/>
          <w:sz w:val="22"/>
          <w:szCs w:val="22"/>
        </w:rPr>
      </w:pPr>
      <w:r w:rsidRPr="00576AF8">
        <w:rPr>
          <w:rFonts w:eastAsia="Calibri"/>
          <w:color w:val="000000"/>
          <w:sz w:val="22"/>
          <w:szCs w:val="22"/>
        </w:rPr>
        <w:t xml:space="preserve">La documentación de </w:t>
      </w:r>
      <w:r w:rsidR="001933C8" w:rsidRPr="00576AF8">
        <w:rPr>
          <w:sz w:val="22"/>
          <w:szCs w:val="22"/>
        </w:rPr>
        <w:t>administración</w:t>
      </w:r>
      <w:r w:rsidRPr="00576AF8">
        <w:rPr>
          <w:rFonts w:eastAsia="Calibri"/>
          <w:color w:val="000000"/>
          <w:sz w:val="22"/>
          <w:szCs w:val="22"/>
        </w:rPr>
        <w:t xml:space="preserve"> incluirá, en particular: </w:t>
      </w:r>
    </w:p>
    <w:p w14:paraId="115A93B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after="0"/>
        <w:ind w:left="1984"/>
        <w:rPr>
          <w:rFonts w:eastAsia="Calibri"/>
          <w:color w:val="000000"/>
          <w:sz w:val="22"/>
          <w:szCs w:val="22"/>
        </w:rPr>
      </w:pPr>
    </w:p>
    <w:p w14:paraId="5AE17CD7" w14:textId="77777777" w:rsidR="009102A7" w:rsidRPr="00576AF8" w:rsidRDefault="009102A7" w:rsidP="009102A7">
      <w:pPr>
        <w:numPr>
          <w:ilvl w:val="0"/>
          <w:numId w:val="357"/>
        </w:numPr>
        <w:pBdr>
          <w:top w:val="none" w:sz="0" w:space="0" w:color="000000"/>
          <w:left w:val="none" w:sz="0" w:space="0" w:color="000000"/>
          <w:bottom w:val="none" w:sz="0" w:space="0" w:color="000000"/>
          <w:right w:val="none" w:sz="0" w:space="0" w:color="000000"/>
          <w:between w:val="none" w:sz="0" w:space="0" w:color="000000"/>
        </w:pBdr>
        <w:suppressAutoHyphens w:val="0"/>
        <w:spacing w:after="0"/>
        <w:contextualSpacing/>
        <w:rPr>
          <w:rFonts w:eastAsia="Calibri"/>
          <w:color w:val="000000"/>
          <w:sz w:val="22"/>
          <w:szCs w:val="22"/>
        </w:rPr>
      </w:pPr>
      <w:r w:rsidRPr="00576AF8">
        <w:rPr>
          <w:rFonts w:eastAsia="Calibri"/>
          <w:color w:val="000000"/>
          <w:sz w:val="22"/>
          <w:szCs w:val="22"/>
        </w:rPr>
        <w:t>Toda la documentación del sistema instalado y actualizado como construido (</w:t>
      </w:r>
      <w:r w:rsidRPr="00576AF8">
        <w:rPr>
          <w:rFonts w:eastAsia="Calibri"/>
          <w:i/>
          <w:iCs/>
          <w:color w:val="000000"/>
          <w:sz w:val="22"/>
          <w:szCs w:val="22"/>
        </w:rPr>
        <w:t>as-built)</w:t>
      </w:r>
      <w:r w:rsidRPr="00576AF8">
        <w:rPr>
          <w:rFonts w:eastAsia="Calibri"/>
          <w:color w:val="000000"/>
          <w:sz w:val="22"/>
          <w:szCs w:val="22"/>
        </w:rPr>
        <w:t>.</w:t>
      </w:r>
    </w:p>
    <w:p w14:paraId="177F282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after="0"/>
        <w:ind w:left="2770"/>
        <w:contextualSpacing/>
        <w:rPr>
          <w:rFonts w:eastAsia="Calibri"/>
          <w:color w:val="000000"/>
          <w:sz w:val="22"/>
          <w:szCs w:val="22"/>
        </w:rPr>
      </w:pPr>
    </w:p>
    <w:p w14:paraId="04338D00" w14:textId="77777777" w:rsidR="009102A7" w:rsidRPr="00576AF8" w:rsidRDefault="009102A7" w:rsidP="009102A7">
      <w:pPr>
        <w:numPr>
          <w:ilvl w:val="0"/>
          <w:numId w:val="357"/>
        </w:numPr>
        <w:pBdr>
          <w:top w:val="none" w:sz="0" w:space="0" w:color="000000"/>
          <w:left w:val="none" w:sz="0" w:space="0" w:color="000000"/>
          <w:bottom w:val="none" w:sz="0" w:space="0" w:color="000000"/>
          <w:right w:val="none" w:sz="0" w:space="0" w:color="000000"/>
          <w:between w:val="none" w:sz="0" w:space="0" w:color="000000"/>
        </w:pBdr>
        <w:suppressAutoHyphens w:val="0"/>
        <w:spacing w:after="0"/>
        <w:contextualSpacing/>
        <w:rPr>
          <w:rFonts w:eastAsia="Calibri"/>
          <w:color w:val="000000"/>
          <w:sz w:val="22"/>
          <w:szCs w:val="22"/>
        </w:rPr>
      </w:pPr>
      <w:r w:rsidRPr="00576AF8">
        <w:rPr>
          <w:rFonts w:eastAsia="Calibri"/>
          <w:color w:val="000000"/>
          <w:sz w:val="22"/>
          <w:szCs w:val="22"/>
        </w:rPr>
        <w:t xml:space="preserve">Documentación para </w:t>
      </w:r>
      <w:r w:rsidR="001933C8" w:rsidRPr="00576AF8">
        <w:rPr>
          <w:rFonts w:eastAsia="Calibri"/>
          <w:color w:val="000000"/>
          <w:sz w:val="22"/>
          <w:szCs w:val="22"/>
        </w:rPr>
        <w:t xml:space="preserve">la </w:t>
      </w:r>
      <w:r w:rsidR="001933C8" w:rsidRPr="00576AF8">
        <w:rPr>
          <w:sz w:val="22"/>
          <w:szCs w:val="22"/>
        </w:rPr>
        <w:t>administración</w:t>
      </w:r>
      <w:r w:rsidRPr="00576AF8">
        <w:rPr>
          <w:rFonts w:eastAsia="Calibri"/>
          <w:color w:val="000000"/>
          <w:sz w:val="22"/>
          <w:szCs w:val="22"/>
        </w:rPr>
        <w:t xml:space="preserve"> habitual: donde se definan las reglas de reparación (descripción de las fallas más probables y sus síntomas, detección, actividades a realizar, procedimiento de reparación propiamente dicho). </w:t>
      </w:r>
    </w:p>
    <w:p w14:paraId="48B4FB0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20"/>
        <w:contextualSpacing/>
        <w:rPr>
          <w:rFonts w:eastAsia="Calibri"/>
          <w:color w:val="000000"/>
          <w:sz w:val="22"/>
          <w:szCs w:val="22"/>
        </w:rPr>
      </w:pPr>
    </w:p>
    <w:p w14:paraId="620E7CE7"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tabs>
          <w:tab w:val="left" w:pos="1418"/>
        </w:tabs>
        <w:suppressAutoHyphens w:val="0"/>
        <w:spacing w:after="0"/>
        <w:ind w:left="1418" w:hanging="425"/>
        <w:contextualSpacing/>
        <w:rPr>
          <w:rFonts w:eastAsia="Calibri"/>
          <w:color w:val="000000"/>
          <w:sz w:val="22"/>
          <w:szCs w:val="22"/>
        </w:rPr>
      </w:pPr>
      <w:r w:rsidRPr="00576AF8">
        <w:rPr>
          <w:rFonts w:eastAsia="Calibri"/>
          <w:color w:val="000000"/>
          <w:sz w:val="22"/>
          <w:szCs w:val="22"/>
          <w:u w:val="single"/>
        </w:rPr>
        <w:t>Documentación de aceptación</w:t>
      </w:r>
      <w:r w:rsidRPr="00576AF8">
        <w:rPr>
          <w:rFonts w:eastAsia="Calibri"/>
          <w:color w:val="000000"/>
          <w:sz w:val="22"/>
          <w:szCs w:val="22"/>
        </w:rPr>
        <w:t>: La documentación de aceptación incluirá</w:t>
      </w:r>
      <w:r w:rsidR="000B591A" w:rsidRPr="00576AF8">
        <w:rPr>
          <w:rFonts w:eastAsia="Calibri"/>
          <w:color w:val="000000"/>
          <w:sz w:val="22"/>
          <w:szCs w:val="22"/>
        </w:rPr>
        <w:t xml:space="preserve"> al menos lo siguientes, conforme lo establecido en la sección 4.1</w:t>
      </w:r>
      <w:r w:rsidRPr="00576AF8">
        <w:rPr>
          <w:rFonts w:eastAsia="Calibri"/>
          <w:color w:val="000000"/>
          <w:sz w:val="22"/>
          <w:szCs w:val="22"/>
        </w:rPr>
        <w:t>:</w:t>
      </w:r>
    </w:p>
    <w:p w14:paraId="60DA897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after="0"/>
        <w:ind w:left="2770"/>
        <w:contextualSpacing/>
        <w:rPr>
          <w:rFonts w:eastAsia="Calibri"/>
          <w:color w:val="000000"/>
          <w:sz w:val="22"/>
          <w:szCs w:val="22"/>
        </w:rPr>
      </w:pPr>
    </w:p>
    <w:p w14:paraId="3AD7F152" w14:textId="77777777" w:rsidR="009102A7" w:rsidRPr="00576AF8" w:rsidRDefault="009102A7" w:rsidP="009102A7">
      <w:pPr>
        <w:numPr>
          <w:ilvl w:val="0"/>
          <w:numId w:val="357"/>
        </w:numPr>
        <w:pBdr>
          <w:top w:val="none" w:sz="0" w:space="0" w:color="000000"/>
          <w:left w:val="none" w:sz="0" w:space="0" w:color="000000"/>
          <w:bottom w:val="none" w:sz="0" w:space="0" w:color="000000"/>
          <w:right w:val="none" w:sz="0" w:space="0" w:color="000000"/>
          <w:between w:val="none" w:sz="0" w:space="0" w:color="000000"/>
        </w:pBdr>
        <w:suppressAutoHyphens w:val="0"/>
        <w:spacing w:after="0"/>
        <w:contextualSpacing/>
        <w:rPr>
          <w:rFonts w:eastAsia="Calibri"/>
          <w:color w:val="000000"/>
          <w:sz w:val="22"/>
          <w:szCs w:val="22"/>
        </w:rPr>
      </w:pPr>
      <w:r w:rsidRPr="00576AF8">
        <w:rPr>
          <w:rFonts w:eastAsia="Calibri"/>
          <w:color w:val="000000"/>
          <w:sz w:val="22"/>
          <w:szCs w:val="22"/>
        </w:rPr>
        <w:t>El procedimiento de prueba y la hoja de pruebas.</w:t>
      </w:r>
    </w:p>
    <w:p w14:paraId="0951A9E3" w14:textId="77777777" w:rsidR="009102A7" w:rsidRPr="00576AF8" w:rsidRDefault="009102A7" w:rsidP="009102A7">
      <w:pPr>
        <w:numPr>
          <w:ilvl w:val="0"/>
          <w:numId w:val="357"/>
        </w:numPr>
        <w:pBdr>
          <w:top w:val="none" w:sz="0" w:space="0" w:color="000000"/>
          <w:left w:val="none" w:sz="0" w:space="0" w:color="000000"/>
          <w:bottom w:val="none" w:sz="0" w:space="0" w:color="000000"/>
          <w:right w:val="none" w:sz="0" w:space="0" w:color="000000"/>
          <w:between w:val="none" w:sz="0" w:space="0" w:color="000000"/>
        </w:pBdr>
        <w:suppressAutoHyphens w:val="0"/>
        <w:spacing w:after="0"/>
        <w:contextualSpacing/>
        <w:rPr>
          <w:rFonts w:eastAsia="Calibri"/>
          <w:color w:val="000000"/>
          <w:sz w:val="22"/>
          <w:szCs w:val="22"/>
        </w:rPr>
      </w:pPr>
      <w:r w:rsidRPr="00576AF8">
        <w:rPr>
          <w:rFonts w:eastAsia="Calibri"/>
          <w:color w:val="000000"/>
          <w:sz w:val="22"/>
          <w:szCs w:val="22"/>
        </w:rPr>
        <w:lastRenderedPageBreak/>
        <w:t>Los certificados de pruebas y mediciones realizadas antes del montaje en los distintos fabricantes y proveedores de equipo.</w:t>
      </w:r>
    </w:p>
    <w:p w14:paraId="1CEF2DCD" w14:textId="77777777" w:rsidR="009102A7" w:rsidRPr="00576AF8" w:rsidRDefault="009102A7" w:rsidP="009102A7">
      <w:pPr>
        <w:numPr>
          <w:ilvl w:val="0"/>
          <w:numId w:val="357"/>
        </w:numPr>
        <w:pBdr>
          <w:top w:val="none" w:sz="0" w:space="0" w:color="000000"/>
          <w:left w:val="none" w:sz="0" w:space="0" w:color="000000"/>
          <w:bottom w:val="none" w:sz="0" w:space="0" w:color="000000"/>
          <w:right w:val="none" w:sz="0" w:space="0" w:color="000000"/>
          <w:between w:val="none" w:sz="0" w:space="0" w:color="000000"/>
        </w:pBdr>
        <w:suppressAutoHyphens w:val="0"/>
        <w:spacing w:after="0"/>
        <w:contextualSpacing/>
        <w:rPr>
          <w:rFonts w:eastAsia="Calibri"/>
          <w:color w:val="000000"/>
          <w:sz w:val="22"/>
          <w:szCs w:val="22"/>
        </w:rPr>
      </w:pPr>
      <w:r w:rsidRPr="00576AF8">
        <w:rPr>
          <w:rFonts w:eastAsia="Calibri"/>
          <w:color w:val="000000"/>
          <w:sz w:val="22"/>
          <w:szCs w:val="22"/>
        </w:rPr>
        <w:t>Los resultados de las pruebas y controles realizados durante la instalación.</w:t>
      </w:r>
    </w:p>
    <w:p w14:paraId="1EBCDE20" w14:textId="77777777" w:rsidR="009102A7" w:rsidRPr="00576AF8" w:rsidRDefault="009102A7" w:rsidP="009102A7">
      <w:pPr>
        <w:numPr>
          <w:ilvl w:val="0"/>
          <w:numId w:val="357"/>
        </w:numPr>
        <w:pBdr>
          <w:top w:val="none" w:sz="0" w:space="0" w:color="000000"/>
          <w:left w:val="none" w:sz="0" w:space="0" w:color="000000"/>
          <w:bottom w:val="none" w:sz="0" w:space="0" w:color="000000"/>
          <w:right w:val="none" w:sz="0" w:space="0" w:color="000000"/>
          <w:between w:val="none" w:sz="0" w:space="0" w:color="000000"/>
        </w:pBdr>
        <w:suppressAutoHyphens w:val="0"/>
        <w:spacing w:after="0"/>
        <w:contextualSpacing/>
        <w:rPr>
          <w:rFonts w:eastAsia="Calibri"/>
          <w:color w:val="000000"/>
          <w:sz w:val="22"/>
          <w:szCs w:val="22"/>
        </w:rPr>
      </w:pPr>
      <w:r w:rsidRPr="00576AF8">
        <w:rPr>
          <w:rFonts w:eastAsia="Calibri"/>
          <w:color w:val="000000"/>
          <w:sz w:val="22"/>
          <w:szCs w:val="22"/>
        </w:rPr>
        <w:t xml:space="preserve">Los resultados de las pruebas y controles realizados después de la instalación: pruebas generales de funcionamiento. </w:t>
      </w:r>
    </w:p>
    <w:p w14:paraId="4EA2447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704"/>
        <w:contextualSpacing/>
        <w:rPr>
          <w:rFonts w:eastAsia="Calibri"/>
          <w:color w:val="000000"/>
          <w:sz w:val="22"/>
          <w:szCs w:val="22"/>
        </w:rPr>
      </w:pPr>
    </w:p>
    <w:p w14:paraId="422A91EE" w14:textId="77777777" w:rsidR="009102A7" w:rsidRPr="00576AF8" w:rsidRDefault="009102A7" w:rsidP="009102A7">
      <w:pPr>
        <w:numPr>
          <w:ilvl w:val="0"/>
          <w:numId w:val="1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contextualSpacing/>
        <w:rPr>
          <w:rFonts w:eastAsia="Calibri"/>
          <w:color w:val="000000"/>
          <w:sz w:val="22"/>
          <w:szCs w:val="22"/>
        </w:rPr>
      </w:pPr>
      <w:r w:rsidRPr="00576AF8">
        <w:rPr>
          <w:rFonts w:eastAsia="Calibri"/>
          <w:color w:val="000000"/>
          <w:sz w:val="22"/>
          <w:szCs w:val="22"/>
        </w:rPr>
        <w:t>Se adjuntará a esta documentación de aceptación un expediente en el que se recogerán los resultados de las pruebas de aceptación. El Proveedor presentará, antes de las pruebas, los borradores del documento. El documento será complementado y aprobado por el CENACE.</w:t>
      </w:r>
    </w:p>
    <w:p w14:paraId="762D307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b/>
          <w:bCs/>
          <w:sz w:val="22"/>
          <w:szCs w:val="22"/>
        </w:rPr>
        <w:t>Idioma</w:t>
      </w:r>
    </w:p>
    <w:p w14:paraId="3EA98A11" w14:textId="77777777" w:rsidR="009102A7" w:rsidRPr="00576AF8" w:rsidRDefault="009102A7" w:rsidP="009102A7">
      <w:pPr>
        <w:numPr>
          <w:ilvl w:val="0"/>
          <w:numId w:val="13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60"/>
        <w:rPr>
          <w:rFonts w:eastAsia="Calibri"/>
          <w:color w:val="000000"/>
          <w:sz w:val="22"/>
          <w:szCs w:val="22"/>
        </w:rPr>
      </w:pPr>
      <w:r w:rsidRPr="00576AF8">
        <w:rPr>
          <w:rFonts w:eastAsia="Calibri"/>
          <w:color w:val="000000"/>
          <w:sz w:val="22"/>
          <w:szCs w:val="22"/>
        </w:rPr>
        <w:t>A menos que se indique lo contrario en los documentos del contrato, todo tipo de documento técnico</w:t>
      </w:r>
      <w:r w:rsidR="00FB40BE" w:rsidRPr="00576AF8">
        <w:rPr>
          <w:rFonts w:eastAsia="Calibri"/>
          <w:color w:val="000000"/>
          <w:sz w:val="22"/>
          <w:szCs w:val="22"/>
        </w:rPr>
        <w:t>, entregado en la etapa contractual,</w:t>
      </w:r>
      <w:r w:rsidRPr="00576AF8">
        <w:rPr>
          <w:rFonts w:eastAsia="Calibri"/>
          <w:color w:val="000000"/>
          <w:sz w:val="22"/>
          <w:szCs w:val="22"/>
        </w:rPr>
        <w:t xml:space="preserve"> (incluidas las hojas de datos del equipo) que se envíen al </w:t>
      </w:r>
      <w:r w:rsidR="00FB40BE" w:rsidRPr="00576AF8">
        <w:rPr>
          <w:rFonts w:eastAsia="Calibri"/>
          <w:color w:val="000000"/>
          <w:sz w:val="22"/>
          <w:szCs w:val="22"/>
        </w:rPr>
        <w:t xml:space="preserve">Comprador </w:t>
      </w:r>
      <w:r w:rsidRPr="00576AF8">
        <w:rPr>
          <w:rFonts w:eastAsia="Calibri"/>
          <w:color w:val="000000"/>
          <w:sz w:val="22"/>
          <w:szCs w:val="22"/>
        </w:rPr>
        <w:t xml:space="preserve">serán emitidos por el Proveedor en idioma </w:t>
      </w:r>
      <w:r w:rsidR="00FB40BE" w:rsidRPr="00576AF8">
        <w:rPr>
          <w:rFonts w:eastAsia="Calibri"/>
          <w:color w:val="000000"/>
          <w:sz w:val="22"/>
          <w:szCs w:val="22"/>
        </w:rPr>
        <w:t>inglés o español</w:t>
      </w:r>
      <w:r w:rsidRPr="00576AF8">
        <w:rPr>
          <w:rFonts w:eastAsia="Calibri"/>
          <w:color w:val="000000"/>
          <w:sz w:val="22"/>
          <w:szCs w:val="22"/>
        </w:rPr>
        <w:t xml:space="preserve">. </w:t>
      </w:r>
    </w:p>
    <w:p w14:paraId="09228E9D" w14:textId="77777777" w:rsidR="009102A7" w:rsidRPr="00576AF8" w:rsidRDefault="009102A7" w:rsidP="009102A7">
      <w:pPr>
        <w:numPr>
          <w:ilvl w:val="0"/>
          <w:numId w:val="13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360"/>
        <w:rPr>
          <w:rFonts w:eastAsia="Calibri"/>
          <w:color w:val="000000"/>
          <w:sz w:val="22"/>
          <w:szCs w:val="22"/>
        </w:rPr>
      </w:pPr>
      <w:r w:rsidRPr="00576AF8">
        <w:rPr>
          <w:rFonts w:eastAsia="Calibri"/>
          <w:color w:val="000000"/>
          <w:sz w:val="22"/>
          <w:szCs w:val="22"/>
        </w:rPr>
        <w:t xml:space="preserve">Los manuales y toda la documentación de transferencia de conocimientos serán entregados en inglés o español como se especifica en </w:t>
      </w:r>
      <w:r w:rsidR="001D36EB" w:rsidRPr="00576AF8">
        <w:rPr>
          <w:rFonts w:eastAsia="Calibri"/>
          <w:color w:val="000000"/>
          <w:sz w:val="22"/>
          <w:szCs w:val="22"/>
        </w:rPr>
        <w:t>la sección 2.4</w:t>
      </w:r>
      <w:r w:rsidRPr="00576AF8">
        <w:rPr>
          <w:rFonts w:eastAsia="Calibri"/>
          <w:color w:val="000000"/>
          <w:sz w:val="22"/>
          <w:szCs w:val="22"/>
        </w:rPr>
        <w:t>.</w:t>
      </w:r>
    </w:p>
    <w:p w14:paraId="0DC5C7B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b/>
          <w:bCs/>
          <w:color w:val="000000"/>
          <w:sz w:val="22"/>
          <w:szCs w:val="22"/>
        </w:rPr>
        <w:t>Reporte de Visita al Sitio</w:t>
      </w:r>
    </w:p>
    <w:p w14:paraId="778CB26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 xml:space="preserve">Dentro de 60 días desde la fecha de inicio del Contrato, el Proveedor llevará a cabo un estudio del sitio del Centro de Control SCADA/EMS de CENACE y la ubicación final del QAS para establecer todos los requisitos de las interfaces, las ubicaciones de equipos, verificación de la disponibilidad y cantidades de señales, alimentación eléctrica y condiciones medioambientales y lo organizará en un reporte que deberá ser revisado y aprobado por </w:t>
      </w:r>
      <w:r w:rsidR="00593894" w:rsidRPr="00576AF8">
        <w:rPr>
          <w:rFonts w:eastAsia="Calibri"/>
          <w:color w:val="000000"/>
          <w:sz w:val="22"/>
          <w:szCs w:val="22"/>
        </w:rPr>
        <w:t>cenace</w:t>
      </w:r>
      <w:r w:rsidRPr="00576AF8">
        <w:rPr>
          <w:rFonts w:eastAsia="Calibri"/>
          <w:color w:val="000000"/>
          <w:sz w:val="22"/>
          <w:szCs w:val="22"/>
        </w:rPr>
        <w:t xml:space="preserve">. </w:t>
      </w:r>
    </w:p>
    <w:p w14:paraId="6BA4958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b/>
          <w:bCs/>
          <w:color w:val="000000"/>
          <w:sz w:val="22"/>
          <w:szCs w:val="22"/>
        </w:rPr>
      </w:pPr>
      <w:r w:rsidRPr="00576AF8">
        <w:rPr>
          <w:rFonts w:eastAsia="Calibri"/>
          <w:b/>
          <w:bCs/>
          <w:color w:val="000000"/>
          <w:sz w:val="22"/>
          <w:szCs w:val="22"/>
        </w:rPr>
        <w:t>Descripción Funcional del Software</w:t>
      </w:r>
    </w:p>
    <w:p w14:paraId="2408FE7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En estos documentos, el Proveedor realizará una descripción detallada del funcionamiento de cada subsistema que forma parte de la solución SCADA/EMS. Estos documentos deben contener al menos los siguientes puntos:</w:t>
      </w:r>
    </w:p>
    <w:p w14:paraId="0815D08E"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Introducción a la funcionalidad</w:t>
      </w:r>
    </w:p>
    <w:p w14:paraId="47EE7E19"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Descripción funcional</w:t>
      </w:r>
    </w:p>
    <w:p w14:paraId="23686CDC"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Entradas y salidas</w:t>
      </w:r>
    </w:p>
    <w:p w14:paraId="7824FD59"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Despliegues asociados de ingeniería, sintonización y operación</w:t>
      </w:r>
    </w:p>
    <w:p w14:paraId="3E183FD6"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Ingeniería de configuración</w:t>
      </w:r>
    </w:p>
    <w:p w14:paraId="4355BC00"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Interfaces con otros subsistemas</w:t>
      </w:r>
    </w:p>
    <w:p w14:paraId="4B1A1BE0"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 xml:space="preserve">Descripción de los componentes de datos utilizados </w:t>
      </w:r>
    </w:p>
    <w:p w14:paraId="43AC2BFA" w14:textId="77777777" w:rsidR="009102A7" w:rsidRPr="00576AF8" w:rsidRDefault="009102A7" w:rsidP="009102A7">
      <w:pPr>
        <w:numPr>
          <w:ilvl w:val="0"/>
          <w:numId w:val="13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45"/>
        <w:contextualSpacing/>
        <w:rPr>
          <w:rFonts w:eastAsia="Calibri"/>
          <w:color w:val="000000"/>
          <w:sz w:val="22"/>
          <w:szCs w:val="22"/>
        </w:rPr>
      </w:pPr>
      <w:r w:rsidRPr="00576AF8">
        <w:rPr>
          <w:rFonts w:eastAsia="Calibri"/>
          <w:color w:val="000000"/>
          <w:sz w:val="22"/>
          <w:szCs w:val="22"/>
        </w:rPr>
        <w:t>Diagramas de flujo de datos</w:t>
      </w:r>
    </w:p>
    <w:p w14:paraId="3F1FFA3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b/>
          <w:bCs/>
          <w:color w:val="000000"/>
          <w:sz w:val="22"/>
          <w:szCs w:val="22"/>
        </w:rPr>
      </w:pPr>
      <w:r w:rsidRPr="00576AF8">
        <w:rPr>
          <w:rFonts w:eastAsia="Calibri"/>
          <w:b/>
          <w:bCs/>
          <w:color w:val="000000"/>
          <w:sz w:val="22"/>
          <w:szCs w:val="22"/>
        </w:rPr>
        <w:t>Descripción del Diseño</w:t>
      </w:r>
    </w:p>
    <w:p w14:paraId="48CF45D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b/>
          <w:bCs/>
          <w:color w:val="000000"/>
          <w:sz w:val="22"/>
          <w:szCs w:val="22"/>
        </w:rPr>
      </w:pPr>
      <w:r w:rsidRPr="00576AF8">
        <w:rPr>
          <w:rFonts w:eastAsia="Calibri"/>
          <w:color w:val="000000"/>
          <w:sz w:val="22"/>
          <w:szCs w:val="22"/>
        </w:rPr>
        <w:t>En estos documentos, el Proveedor realizará una descripción del diseño de cada subsistema que forma parte de la solución SCADA/EMS. Estos documentos deben contener al menos los siguientes puntos:</w:t>
      </w:r>
    </w:p>
    <w:p w14:paraId="52B6D026" w14:textId="77777777" w:rsidR="009102A7" w:rsidRPr="00576AF8" w:rsidRDefault="009102A7" w:rsidP="009102A7">
      <w:pPr>
        <w:numPr>
          <w:ilvl w:val="0"/>
          <w:numId w:val="1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contextualSpacing/>
        <w:rPr>
          <w:rFonts w:eastAsia="Calibri"/>
          <w:color w:val="000000"/>
          <w:sz w:val="22"/>
          <w:szCs w:val="22"/>
        </w:rPr>
      </w:pPr>
      <w:r w:rsidRPr="00576AF8">
        <w:rPr>
          <w:rFonts w:eastAsia="Calibri"/>
          <w:color w:val="000000"/>
          <w:sz w:val="22"/>
          <w:szCs w:val="22"/>
        </w:rPr>
        <w:t>Diagramas de diseño</w:t>
      </w:r>
    </w:p>
    <w:p w14:paraId="4A5C1E7E" w14:textId="77777777" w:rsidR="009102A7" w:rsidRPr="00576AF8" w:rsidRDefault="009102A7" w:rsidP="009102A7">
      <w:pPr>
        <w:numPr>
          <w:ilvl w:val="0"/>
          <w:numId w:val="1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contextualSpacing/>
        <w:rPr>
          <w:rFonts w:eastAsia="Calibri"/>
          <w:color w:val="000000"/>
          <w:sz w:val="22"/>
          <w:szCs w:val="22"/>
        </w:rPr>
      </w:pPr>
      <w:r w:rsidRPr="00576AF8">
        <w:rPr>
          <w:rFonts w:eastAsia="Calibri"/>
          <w:color w:val="000000"/>
          <w:sz w:val="22"/>
          <w:szCs w:val="22"/>
        </w:rPr>
        <w:t>Descripción de módulos o programas utilizados</w:t>
      </w:r>
    </w:p>
    <w:p w14:paraId="4B0A95B3" w14:textId="77777777" w:rsidR="009102A7" w:rsidRPr="00576AF8" w:rsidRDefault="009102A7" w:rsidP="009102A7">
      <w:pPr>
        <w:numPr>
          <w:ilvl w:val="0"/>
          <w:numId w:val="1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contextualSpacing/>
        <w:rPr>
          <w:rFonts w:eastAsia="Calibri"/>
          <w:color w:val="000000"/>
          <w:sz w:val="22"/>
          <w:szCs w:val="22"/>
        </w:rPr>
      </w:pPr>
      <w:r w:rsidRPr="00576AF8">
        <w:rPr>
          <w:rFonts w:eastAsia="Calibri"/>
          <w:color w:val="000000"/>
          <w:sz w:val="22"/>
          <w:szCs w:val="22"/>
        </w:rPr>
        <w:t>Referencias a tablas de la base de datos correspondiente</w:t>
      </w:r>
    </w:p>
    <w:p w14:paraId="701DCA44" w14:textId="77777777" w:rsidR="009102A7" w:rsidRPr="00576AF8" w:rsidRDefault="009102A7" w:rsidP="009102A7">
      <w:pPr>
        <w:numPr>
          <w:ilvl w:val="0"/>
          <w:numId w:val="13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contextualSpacing/>
        <w:rPr>
          <w:rFonts w:eastAsia="Calibri"/>
          <w:color w:val="000000"/>
          <w:sz w:val="22"/>
          <w:szCs w:val="22"/>
        </w:rPr>
      </w:pPr>
      <w:r w:rsidRPr="00576AF8">
        <w:rPr>
          <w:rFonts w:eastAsia="Calibri"/>
          <w:color w:val="000000"/>
          <w:sz w:val="22"/>
          <w:szCs w:val="22"/>
        </w:rPr>
        <w:t>Dependencias de otras funciones</w:t>
      </w:r>
    </w:p>
    <w:p w14:paraId="41E5958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1FA63B9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Documento de Definición de Interfaces</w:t>
      </w:r>
    </w:p>
    <w:p w14:paraId="474866F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color w:val="000000"/>
          <w:sz w:val="22"/>
          <w:szCs w:val="22"/>
        </w:rPr>
        <w:t xml:space="preserve">Para asegurar que todas las interfaces requeridas estén identificadas y que los requerimientos de diseño estén completamente encaminados en una etapa temprana del proyecto, el Proveedor preparará un informe </w:t>
      </w:r>
      <w:r w:rsidRPr="00576AF8">
        <w:rPr>
          <w:rFonts w:eastAsia="Calibri"/>
          <w:color w:val="000000"/>
          <w:sz w:val="22"/>
          <w:szCs w:val="22"/>
        </w:rPr>
        <w:lastRenderedPageBreak/>
        <w:t>que detalle los requisitos, y donde sea necesario, las responsabilidades de terceros en la coordinación y suministro de la información requerida.</w:t>
      </w:r>
    </w:p>
    <w:p w14:paraId="3FA2250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Manual de Implementación</w:t>
      </w:r>
    </w:p>
    <w:p w14:paraId="4A72A86D"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color w:val="000000"/>
          <w:sz w:val="22"/>
          <w:szCs w:val="22"/>
        </w:rPr>
        <w:t>Este manual contendrá los procedimientos utilizados por el Proveedor para instalar el hardware o software, configurar y probar la funcionalidad del equipo o subsistema que ha sido instalado. Se requiere que este documento contenga al menos los siguientes puntos:</w:t>
      </w:r>
    </w:p>
    <w:p w14:paraId="2BB42A40" w14:textId="77777777" w:rsidR="009102A7" w:rsidRPr="00576AF8" w:rsidRDefault="009102A7" w:rsidP="009102A7">
      <w:pPr>
        <w:numPr>
          <w:ilvl w:val="0"/>
          <w:numId w:val="1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Introducción</w:t>
      </w:r>
    </w:p>
    <w:p w14:paraId="39C5AC1F" w14:textId="77777777" w:rsidR="009102A7" w:rsidRPr="00576AF8" w:rsidRDefault="009102A7" w:rsidP="009102A7">
      <w:pPr>
        <w:numPr>
          <w:ilvl w:val="0"/>
          <w:numId w:val="1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Descripción de las funciones del equipo o subsistema</w:t>
      </w:r>
    </w:p>
    <w:p w14:paraId="6F68F70D" w14:textId="77777777" w:rsidR="009102A7" w:rsidRPr="00576AF8" w:rsidRDefault="009102A7" w:rsidP="009102A7">
      <w:pPr>
        <w:numPr>
          <w:ilvl w:val="0"/>
          <w:numId w:val="1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Prerrequisitos de hardware y software</w:t>
      </w:r>
    </w:p>
    <w:p w14:paraId="28DAAD1A" w14:textId="77777777" w:rsidR="009102A7" w:rsidRPr="00576AF8" w:rsidRDefault="009102A7" w:rsidP="009102A7">
      <w:pPr>
        <w:numPr>
          <w:ilvl w:val="0"/>
          <w:numId w:val="1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Paquetes de programas a instalar</w:t>
      </w:r>
    </w:p>
    <w:p w14:paraId="682F9031" w14:textId="77777777" w:rsidR="009102A7" w:rsidRPr="00576AF8" w:rsidRDefault="009102A7" w:rsidP="009102A7">
      <w:pPr>
        <w:numPr>
          <w:ilvl w:val="0"/>
          <w:numId w:val="1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Procedimiento de Instalación</w:t>
      </w:r>
    </w:p>
    <w:p w14:paraId="03BB882A" w14:textId="77777777" w:rsidR="009102A7" w:rsidRPr="00576AF8" w:rsidRDefault="009102A7" w:rsidP="009102A7">
      <w:pPr>
        <w:numPr>
          <w:ilvl w:val="0"/>
          <w:numId w:val="13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Pruebas preliminares</w:t>
      </w:r>
    </w:p>
    <w:p w14:paraId="4C63570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1A0D672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Manual de la Aplicación</w:t>
      </w:r>
    </w:p>
    <w:p w14:paraId="0F3A257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color w:val="000000"/>
          <w:sz w:val="22"/>
          <w:szCs w:val="22"/>
        </w:rPr>
      </w:pPr>
      <w:r w:rsidRPr="00576AF8">
        <w:rPr>
          <w:rFonts w:eastAsia="Calibri"/>
          <w:color w:val="000000"/>
          <w:sz w:val="22"/>
          <w:szCs w:val="22"/>
        </w:rPr>
        <w:t>Para aquellas aplicaciones o grupos de aplicaciones que por su complejidad requieren una descripción detallada de los parámetros, selección de algoritmos, opciones de solución etc. El Proveedor proporcionará un manual específico para estas aplicaciones.</w:t>
      </w:r>
    </w:p>
    <w:p w14:paraId="44BB52B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p>
    <w:p w14:paraId="616026B1"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Manual de Ingeniería de Datos</w:t>
      </w:r>
    </w:p>
    <w:p w14:paraId="40B93EB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color w:val="000000"/>
          <w:sz w:val="22"/>
          <w:szCs w:val="22"/>
        </w:rPr>
        <w:t>Debido a que todas las aplicaciones SCADA/EMS requieren la configuración de ingeniería para representar el sistema del CENACE, se requiere de un manual que explique en detalle los datos y la secuencia en la que serán incluidos en la base de datos fuente (SDB). Como mínimo se requieren los siguientes datos:</w:t>
      </w:r>
    </w:p>
    <w:p w14:paraId="1DA7302C"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Subsistema.</w:t>
      </w:r>
    </w:p>
    <w:p w14:paraId="31EFC4FA"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Nombre del formulario de entrada.</w:t>
      </w:r>
    </w:p>
    <w:p w14:paraId="56647F1D"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Tablas fuente asociadas al formulario (SDB).</w:t>
      </w:r>
    </w:p>
    <w:p w14:paraId="686D62A2"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Tablas destino en tiempo real (RDB).</w:t>
      </w:r>
    </w:p>
    <w:p w14:paraId="476DDEA8"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Descripción de cada uno de los campos de entrada o propiedades.</w:t>
      </w:r>
    </w:p>
    <w:p w14:paraId="5D03ABE5"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Valores de entrada posibles.</w:t>
      </w:r>
    </w:p>
    <w:p w14:paraId="70E65A5D" w14:textId="77777777" w:rsidR="009102A7" w:rsidRPr="00576AF8" w:rsidRDefault="009102A7" w:rsidP="009102A7">
      <w:pPr>
        <w:numPr>
          <w:ilvl w:val="0"/>
          <w:numId w:val="13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Secuencia de carga.</w:t>
      </w:r>
    </w:p>
    <w:p w14:paraId="50258A6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4B3AC152"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 xml:space="preserve">Manual de Operación y </w:t>
      </w:r>
      <w:r w:rsidR="001933C8" w:rsidRPr="00576AF8">
        <w:rPr>
          <w:b/>
          <w:sz w:val="22"/>
          <w:szCs w:val="22"/>
        </w:rPr>
        <w:t>Administración</w:t>
      </w:r>
    </w:p>
    <w:p w14:paraId="281739F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color w:val="000000"/>
          <w:sz w:val="22"/>
          <w:szCs w:val="22"/>
        </w:rPr>
        <w:t xml:space="preserve">Estos manuales deberán incluir instrucciones completas para la operación y </w:t>
      </w:r>
      <w:r w:rsidR="001933C8" w:rsidRPr="00576AF8">
        <w:rPr>
          <w:rFonts w:eastAsia="Calibri"/>
          <w:color w:val="000000"/>
          <w:sz w:val="22"/>
          <w:szCs w:val="22"/>
        </w:rPr>
        <w:t>la</w:t>
      </w:r>
      <w:r w:rsidRPr="00576AF8">
        <w:rPr>
          <w:rFonts w:eastAsia="Calibri"/>
          <w:color w:val="000000"/>
          <w:sz w:val="22"/>
          <w:szCs w:val="22"/>
        </w:rPr>
        <w:t xml:space="preserve"> </w:t>
      </w:r>
      <w:r w:rsidR="001933C8" w:rsidRPr="00576AF8">
        <w:rPr>
          <w:sz w:val="22"/>
          <w:szCs w:val="22"/>
        </w:rPr>
        <w:t>administración</w:t>
      </w:r>
      <w:r w:rsidR="001933C8" w:rsidRPr="00576AF8">
        <w:rPr>
          <w:rFonts w:eastAsia="Calibri"/>
          <w:color w:val="000000"/>
          <w:sz w:val="22"/>
          <w:szCs w:val="22"/>
        </w:rPr>
        <w:t>-</w:t>
      </w:r>
      <w:r w:rsidRPr="00576AF8">
        <w:rPr>
          <w:rFonts w:eastAsia="Calibri"/>
          <w:color w:val="000000"/>
          <w:sz w:val="22"/>
          <w:szCs w:val="22"/>
        </w:rPr>
        <w:t xml:space="preserve"> de todo el hardware y software suministrado bajo el Contrato. Los manuales estarán sujetos a modificaciones según lo requiera CENACE.</w:t>
      </w:r>
    </w:p>
    <w:p w14:paraId="1E175DAC" w14:textId="77777777" w:rsidR="009102A7" w:rsidRPr="00576AF8" w:rsidRDefault="009102A7" w:rsidP="009102A7">
      <w:pPr>
        <w:numPr>
          <w:ilvl w:val="0"/>
          <w:numId w:val="1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Para los programas:</w:t>
      </w:r>
    </w:p>
    <w:p w14:paraId="01715805"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Descripción general del programa, incluyendo sus características y capacidades.</w:t>
      </w:r>
    </w:p>
    <w:p w14:paraId="744A64B2"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Instrucciones de sintonización y uso del programa.</w:t>
      </w:r>
    </w:p>
    <w:p w14:paraId="6505F94C"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Procedimientos de mantenimiento preventivo y correctivo del programa.</w:t>
      </w:r>
    </w:p>
    <w:p w14:paraId="3139CEEC"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Lista de problemas comunes y soluciones.</w:t>
      </w:r>
    </w:p>
    <w:p w14:paraId="11C4064F"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 xml:space="preserve">En el repositorio NAS del sistema SCADA/EMS deberá contener los instaladores y medios de instalación del software del fabricante y de terceros, en las versiones finales con que el sistema queda operativo al momento de su entrega </w:t>
      </w:r>
    </w:p>
    <w:p w14:paraId="2832BE9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p>
    <w:p w14:paraId="3DC79CE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p>
    <w:p w14:paraId="2DDAF3CE" w14:textId="77777777" w:rsidR="009102A7" w:rsidRPr="00576AF8" w:rsidRDefault="009102A7" w:rsidP="009102A7">
      <w:pPr>
        <w:numPr>
          <w:ilvl w:val="0"/>
          <w:numId w:val="13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Para los equipos:</w:t>
      </w:r>
    </w:p>
    <w:p w14:paraId="43C7EDEB"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lastRenderedPageBreak/>
        <w:t>Una descripción general del equipo, incluyendo sus características y capacidades.</w:t>
      </w:r>
    </w:p>
    <w:p w14:paraId="67FF202B"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Instrucciones de instalación, configuración y uso del equipo.</w:t>
      </w:r>
    </w:p>
    <w:p w14:paraId="4181FC9E"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Procedimientos con descripción paso a paso del mantenimiento preventivo y correctivo del equipo.</w:t>
      </w:r>
    </w:p>
    <w:p w14:paraId="32C521ED"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Lista de piezas de repuesto y accesorios.</w:t>
      </w:r>
    </w:p>
    <w:p w14:paraId="4FB3437C"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Guía de resolución con descripción paso a paso de problemas.</w:t>
      </w:r>
    </w:p>
    <w:p w14:paraId="2B30C357" w14:textId="77777777" w:rsidR="009102A7" w:rsidRPr="00576AF8" w:rsidRDefault="009102A7" w:rsidP="009102A7">
      <w:pPr>
        <w:numPr>
          <w:ilvl w:val="0"/>
          <w:numId w:val="13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11"/>
        <w:contextualSpacing/>
        <w:rPr>
          <w:rFonts w:eastAsia="Calibri"/>
          <w:color w:val="000000"/>
          <w:sz w:val="22"/>
          <w:szCs w:val="22"/>
        </w:rPr>
      </w:pPr>
      <w:r w:rsidRPr="00576AF8">
        <w:rPr>
          <w:rFonts w:eastAsia="Calibri"/>
          <w:color w:val="000000"/>
          <w:sz w:val="22"/>
          <w:szCs w:val="22"/>
        </w:rPr>
        <w:t>Información de contacto del fabricante o proveedor del equipo, incluyendo el registro de las garantías de hardware y software de terceros.</w:t>
      </w:r>
    </w:p>
    <w:p w14:paraId="08C2AB8A"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pacing w:before="120" w:after="0"/>
        <w:rPr>
          <w:rFonts w:eastAsia="Calibri"/>
          <w:b/>
          <w:bCs/>
          <w:color w:val="000000"/>
          <w:sz w:val="22"/>
          <w:szCs w:val="22"/>
        </w:rPr>
      </w:pPr>
    </w:p>
    <w:p w14:paraId="2F3B72D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b/>
          <w:bCs/>
          <w:color w:val="000000"/>
          <w:sz w:val="22"/>
          <w:szCs w:val="22"/>
        </w:rPr>
        <w:t>Manual de Programación</w:t>
      </w:r>
    </w:p>
    <w:p w14:paraId="16B0CA24" w14:textId="77777777" w:rsidR="009102A7" w:rsidRPr="00576AF8" w:rsidRDefault="009102A7" w:rsidP="009102A7">
      <w:pPr>
        <w:numPr>
          <w:ilvl w:val="0"/>
          <w:numId w:val="13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851" w:hanging="425"/>
        <w:contextualSpacing/>
        <w:rPr>
          <w:rFonts w:eastAsia="Calibri"/>
          <w:color w:val="000000"/>
          <w:sz w:val="22"/>
          <w:szCs w:val="22"/>
        </w:rPr>
      </w:pPr>
      <w:r w:rsidRPr="00576AF8">
        <w:rPr>
          <w:rFonts w:eastAsia="Calibri"/>
          <w:color w:val="000000"/>
          <w:sz w:val="22"/>
          <w:szCs w:val="22"/>
        </w:rPr>
        <w:t>El Manual del Programador está destinado principalmente a apoyar el desarrollo y depuración de software. Este proporcionará al usuario las instrucciones necesarias para utilizar los recursos del SCADA/EMS como las librerías API, scripts, utilitarios, depuradores, compiladores y la documentación de las tablas de la base de datos en tiempo real (RDB) y de la histórica (HDB) para el desarrollo de software por parte del CENACE. Su contenido deberá incluir:</w:t>
      </w:r>
    </w:p>
    <w:p w14:paraId="1747977B" w14:textId="77777777" w:rsidR="009102A7" w:rsidRPr="00576AF8" w:rsidRDefault="009102A7" w:rsidP="009102A7">
      <w:pPr>
        <w:numPr>
          <w:ilvl w:val="0"/>
          <w:numId w:val="38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hanging="425"/>
        <w:contextualSpacing/>
        <w:rPr>
          <w:rFonts w:eastAsia="Calibri"/>
          <w:color w:val="000000"/>
          <w:sz w:val="22"/>
          <w:szCs w:val="22"/>
        </w:rPr>
      </w:pPr>
      <w:r w:rsidRPr="00576AF8">
        <w:rPr>
          <w:rFonts w:eastAsia="Calibri"/>
          <w:color w:val="000000"/>
          <w:sz w:val="22"/>
          <w:szCs w:val="22"/>
        </w:rPr>
        <w:t>Estructura de las librerías, incluyendo su ubicación o lugar de descarga.</w:t>
      </w:r>
    </w:p>
    <w:p w14:paraId="308AF957" w14:textId="77777777" w:rsidR="009102A7" w:rsidRPr="00576AF8" w:rsidRDefault="009102A7" w:rsidP="009102A7">
      <w:pPr>
        <w:numPr>
          <w:ilvl w:val="0"/>
          <w:numId w:val="38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hanging="425"/>
        <w:contextualSpacing/>
        <w:rPr>
          <w:rFonts w:eastAsia="Calibri"/>
          <w:color w:val="000000"/>
          <w:sz w:val="22"/>
          <w:szCs w:val="22"/>
        </w:rPr>
      </w:pPr>
      <w:r w:rsidRPr="00576AF8">
        <w:rPr>
          <w:rFonts w:eastAsia="Calibri"/>
          <w:color w:val="000000"/>
          <w:sz w:val="22"/>
          <w:szCs w:val="22"/>
        </w:rPr>
        <w:t>Parámetros de las funciones</w:t>
      </w:r>
    </w:p>
    <w:p w14:paraId="5E8C4629" w14:textId="77777777" w:rsidR="009102A7" w:rsidRPr="00576AF8" w:rsidRDefault="009102A7" w:rsidP="009102A7">
      <w:pPr>
        <w:numPr>
          <w:ilvl w:val="0"/>
          <w:numId w:val="38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hanging="425"/>
        <w:contextualSpacing/>
        <w:rPr>
          <w:rFonts w:eastAsia="Calibri"/>
          <w:color w:val="000000"/>
          <w:sz w:val="22"/>
          <w:szCs w:val="22"/>
        </w:rPr>
      </w:pPr>
      <w:r w:rsidRPr="00576AF8">
        <w:rPr>
          <w:rFonts w:eastAsia="Calibri"/>
          <w:color w:val="000000"/>
          <w:sz w:val="22"/>
          <w:szCs w:val="22"/>
        </w:rPr>
        <w:t>Errores y excepciones</w:t>
      </w:r>
    </w:p>
    <w:p w14:paraId="466C7EA4" w14:textId="77777777" w:rsidR="009102A7" w:rsidRPr="00576AF8" w:rsidRDefault="009102A7" w:rsidP="009102A7">
      <w:pPr>
        <w:numPr>
          <w:ilvl w:val="0"/>
          <w:numId w:val="38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hanging="425"/>
        <w:contextualSpacing/>
        <w:rPr>
          <w:rFonts w:eastAsia="Calibri"/>
          <w:color w:val="000000"/>
          <w:sz w:val="22"/>
          <w:szCs w:val="22"/>
        </w:rPr>
      </w:pPr>
      <w:r w:rsidRPr="00576AF8">
        <w:rPr>
          <w:rFonts w:eastAsia="Calibri"/>
          <w:color w:val="000000"/>
          <w:sz w:val="22"/>
          <w:szCs w:val="22"/>
        </w:rPr>
        <w:t>Ejemplos de código</w:t>
      </w:r>
    </w:p>
    <w:p w14:paraId="4B433B0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95"/>
        <w:contextualSpacing/>
        <w:rPr>
          <w:rFonts w:eastAsia="Calibri"/>
          <w:color w:val="000000"/>
          <w:sz w:val="22"/>
          <w:szCs w:val="22"/>
        </w:rPr>
      </w:pPr>
    </w:p>
    <w:p w14:paraId="6D3D9459"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6E711BBB"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Procedimientos de Pruebas</w:t>
      </w:r>
    </w:p>
    <w:p w14:paraId="0441C97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color w:val="000000"/>
          <w:sz w:val="22"/>
          <w:szCs w:val="22"/>
        </w:rPr>
      </w:pPr>
      <w:r w:rsidRPr="00576AF8">
        <w:rPr>
          <w:rFonts w:eastAsia="Calibri"/>
          <w:color w:val="000000"/>
          <w:sz w:val="22"/>
          <w:szCs w:val="22"/>
        </w:rPr>
        <w:t>Se deberá suministrar un procedimiento sujeto a la aprobación del CENACE, el cual, se utilizará para las pruebas en fábrica, las pruebas en sitio y cualquier prueba futura requerida como resultado de una actualización de software o instalación de parches de seguridad que requieran pruebas de regresión. Estos procedimientos tendrán al menos la siguiente información:</w:t>
      </w:r>
    </w:p>
    <w:p w14:paraId="6ADA05A2"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Objetivo de las pruebas</w:t>
      </w:r>
    </w:p>
    <w:p w14:paraId="49171548"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Alcance de las pruebas</w:t>
      </w:r>
    </w:p>
    <w:p w14:paraId="159847B2"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Metodología</w:t>
      </w:r>
    </w:p>
    <w:p w14:paraId="0E0337A8"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Escenarios de prueba</w:t>
      </w:r>
    </w:p>
    <w:p w14:paraId="2C7AE027"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Datos de entrada para las pruebas</w:t>
      </w:r>
    </w:p>
    <w:p w14:paraId="00F613E2"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Resultados esperados</w:t>
      </w:r>
    </w:p>
    <w:p w14:paraId="7B658529"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Resultados de las pruebas</w:t>
      </w:r>
    </w:p>
    <w:p w14:paraId="00B281B7" w14:textId="77777777" w:rsidR="009102A7" w:rsidRPr="00576AF8" w:rsidRDefault="009102A7" w:rsidP="009102A7">
      <w:pPr>
        <w:numPr>
          <w:ilvl w:val="0"/>
          <w:numId w:val="38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134" w:hanging="425"/>
        <w:contextualSpacing/>
        <w:rPr>
          <w:rFonts w:eastAsia="Calibri"/>
          <w:color w:val="000000"/>
          <w:sz w:val="22"/>
          <w:szCs w:val="22"/>
        </w:rPr>
      </w:pPr>
      <w:r w:rsidRPr="00576AF8">
        <w:rPr>
          <w:rFonts w:eastAsia="Calibri"/>
          <w:color w:val="000000"/>
          <w:sz w:val="22"/>
          <w:szCs w:val="22"/>
        </w:rPr>
        <w:t>Formulario de reporte de eventos observados durante las pruebas.</w:t>
      </w:r>
    </w:p>
    <w:p w14:paraId="5B27063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032784A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Bases de Datos</w:t>
      </w:r>
    </w:p>
    <w:p w14:paraId="1E186025"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color w:val="000000"/>
          <w:sz w:val="22"/>
          <w:szCs w:val="22"/>
        </w:rPr>
      </w:pPr>
      <w:r w:rsidRPr="00576AF8">
        <w:rPr>
          <w:rFonts w:eastAsia="Calibri"/>
          <w:color w:val="000000"/>
          <w:sz w:val="22"/>
          <w:szCs w:val="22"/>
        </w:rPr>
        <w:t>El Proveedor suministrará la siguiente documentación sobre las diferentes bases de datos existentes en el sistema:</w:t>
      </w:r>
    </w:p>
    <w:p w14:paraId="282D39BF" w14:textId="77777777" w:rsidR="009102A7" w:rsidRPr="00576AF8" w:rsidRDefault="009102A7" w:rsidP="009102A7">
      <w:pPr>
        <w:numPr>
          <w:ilvl w:val="0"/>
          <w:numId w:val="1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Diagramas de la estructura de la base de datos, que mostrará las tablas, columnas y relaciones entre ellas.</w:t>
      </w:r>
    </w:p>
    <w:p w14:paraId="6A0D17B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1354DF8B" w14:textId="77777777" w:rsidR="009102A7" w:rsidRPr="00576AF8" w:rsidRDefault="009102A7" w:rsidP="009102A7">
      <w:pPr>
        <w:numPr>
          <w:ilvl w:val="0"/>
          <w:numId w:val="1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Una descripción de los datos almacenados en cada tabla, incluyendo los tipos de datos, las longitudes y cualquier otra restricción.</w:t>
      </w:r>
    </w:p>
    <w:p w14:paraId="3A10933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28EC75E8" w14:textId="77777777" w:rsidR="009102A7" w:rsidRPr="00576AF8" w:rsidRDefault="009102A7" w:rsidP="009102A7">
      <w:pPr>
        <w:numPr>
          <w:ilvl w:val="0"/>
          <w:numId w:val="1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Una descripción de los índices utilizados en la base de datos, que mejorarán el rendimiento de las consultas.</w:t>
      </w:r>
    </w:p>
    <w:p w14:paraId="1273FF5B" w14:textId="77777777" w:rsidR="009102A7" w:rsidRPr="00576AF8" w:rsidRDefault="009102A7" w:rsidP="009102A7">
      <w:pPr>
        <w:numPr>
          <w:ilvl w:val="0"/>
          <w:numId w:val="1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lastRenderedPageBreak/>
        <w:t>Una descripción de las reglas de validación y normalización aplicadas a la base de datos, que aseguran la integridad y coherencia de los datos.</w:t>
      </w:r>
    </w:p>
    <w:p w14:paraId="0717F0C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3C7C7D93" w14:textId="77777777" w:rsidR="009102A7" w:rsidRPr="00576AF8" w:rsidRDefault="009102A7" w:rsidP="009102A7">
      <w:pPr>
        <w:numPr>
          <w:ilvl w:val="0"/>
          <w:numId w:val="1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Una descripción de los procedimientos almacenados y funciones utilizadas en la base de datos, que automatizan tareas y mejorarán la seguridad.</w:t>
      </w:r>
    </w:p>
    <w:p w14:paraId="0EEA393C"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4AA27B8D" w14:textId="77777777" w:rsidR="009102A7" w:rsidRPr="00576AF8" w:rsidRDefault="009102A7" w:rsidP="009102A7">
      <w:pPr>
        <w:numPr>
          <w:ilvl w:val="0"/>
          <w:numId w:val="13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Una descripción de los procedimientos de copia de seguridad y recuperación utilizados para proteger los datos de la base de datos.</w:t>
      </w:r>
    </w:p>
    <w:p w14:paraId="566AB85F"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573000C8"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66"/>
        <w:rPr>
          <w:rFonts w:eastAsia="Calibri"/>
          <w:b/>
          <w:bCs/>
          <w:color w:val="000000"/>
          <w:sz w:val="22"/>
          <w:szCs w:val="22"/>
        </w:rPr>
      </w:pPr>
      <w:r w:rsidRPr="00576AF8">
        <w:rPr>
          <w:rFonts w:eastAsia="Calibri"/>
          <w:b/>
          <w:bCs/>
          <w:color w:val="000000"/>
          <w:sz w:val="22"/>
          <w:szCs w:val="22"/>
        </w:rPr>
        <w:t>Diagramas</w:t>
      </w:r>
    </w:p>
    <w:p w14:paraId="679AE48D" w14:textId="77777777" w:rsidR="009102A7" w:rsidRPr="00576AF8" w:rsidRDefault="009102A7" w:rsidP="009102A7">
      <w:pPr>
        <w:numPr>
          <w:ilvl w:val="0"/>
          <w:numId w:val="13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Todos los diagramas que se realicen en virtud del Contrato cumplirán las normas internacionales como la ISO/IEC 5807, IEC 61082-1, IEEE 315 entre otras.</w:t>
      </w:r>
    </w:p>
    <w:p w14:paraId="3C3EE4A4"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p>
    <w:p w14:paraId="53D6453D" w14:textId="77777777" w:rsidR="009102A7" w:rsidRPr="00576AF8" w:rsidRDefault="009102A7" w:rsidP="009102A7">
      <w:pPr>
        <w:numPr>
          <w:ilvl w:val="0"/>
          <w:numId w:val="13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786"/>
        <w:contextualSpacing/>
        <w:rPr>
          <w:rFonts w:eastAsia="Calibri"/>
          <w:color w:val="000000"/>
          <w:sz w:val="22"/>
          <w:szCs w:val="22"/>
        </w:rPr>
      </w:pPr>
      <w:r w:rsidRPr="00576AF8">
        <w:rPr>
          <w:rFonts w:eastAsia="Calibri"/>
          <w:color w:val="000000"/>
          <w:sz w:val="22"/>
          <w:szCs w:val="22"/>
        </w:rPr>
        <w:t>Los diagramas requeridos como mínimo son los siguientes:</w:t>
      </w:r>
    </w:p>
    <w:p w14:paraId="5E2B10F2" w14:textId="77777777" w:rsidR="009102A7" w:rsidRPr="00576AF8" w:rsidRDefault="009102A7" w:rsidP="009102A7">
      <w:pPr>
        <w:numPr>
          <w:ilvl w:val="0"/>
          <w:numId w:val="38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contextualSpacing/>
        <w:rPr>
          <w:rFonts w:eastAsia="Calibri"/>
          <w:color w:val="000000"/>
          <w:sz w:val="22"/>
          <w:szCs w:val="22"/>
        </w:rPr>
      </w:pPr>
      <w:r w:rsidRPr="00576AF8">
        <w:rPr>
          <w:rFonts w:eastAsia="Calibri"/>
          <w:color w:val="000000"/>
          <w:sz w:val="22"/>
          <w:szCs w:val="22"/>
        </w:rPr>
        <w:t>Arquitectura del Sistema, incluyendo los servidores físicos y virtuales provistos.</w:t>
      </w:r>
    </w:p>
    <w:p w14:paraId="3536014F" w14:textId="77777777" w:rsidR="009102A7" w:rsidRPr="00576AF8" w:rsidRDefault="009102A7" w:rsidP="009102A7">
      <w:pPr>
        <w:numPr>
          <w:ilvl w:val="0"/>
          <w:numId w:val="38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contextualSpacing/>
        <w:rPr>
          <w:rFonts w:eastAsia="Calibri"/>
          <w:color w:val="000000"/>
          <w:sz w:val="22"/>
          <w:szCs w:val="22"/>
        </w:rPr>
      </w:pPr>
      <w:r w:rsidRPr="00576AF8">
        <w:rPr>
          <w:rFonts w:eastAsia="Calibri"/>
          <w:color w:val="000000"/>
          <w:sz w:val="22"/>
          <w:szCs w:val="22"/>
        </w:rPr>
        <w:t>Diagrama de interfaces.</w:t>
      </w:r>
    </w:p>
    <w:p w14:paraId="73DD1507" w14:textId="77777777" w:rsidR="009102A7" w:rsidRPr="00576AF8" w:rsidRDefault="009102A7" w:rsidP="009102A7">
      <w:pPr>
        <w:numPr>
          <w:ilvl w:val="0"/>
          <w:numId w:val="38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contextualSpacing/>
        <w:rPr>
          <w:rFonts w:eastAsia="Calibri"/>
          <w:color w:val="000000"/>
          <w:sz w:val="22"/>
          <w:szCs w:val="22"/>
        </w:rPr>
      </w:pPr>
      <w:r w:rsidRPr="00576AF8">
        <w:rPr>
          <w:rFonts w:eastAsia="Calibri"/>
          <w:color w:val="000000"/>
          <w:sz w:val="22"/>
          <w:szCs w:val="22"/>
        </w:rPr>
        <w:t>Disposición de los gabinetes en la sala de servidores.</w:t>
      </w:r>
    </w:p>
    <w:p w14:paraId="037CABE0" w14:textId="77777777" w:rsidR="009102A7" w:rsidRPr="00576AF8" w:rsidRDefault="009102A7" w:rsidP="009102A7">
      <w:pPr>
        <w:numPr>
          <w:ilvl w:val="0"/>
          <w:numId w:val="38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contextualSpacing/>
        <w:rPr>
          <w:rFonts w:eastAsia="Calibri"/>
          <w:color w:val="000000"/>
          <w:sz w:val="22"/>
          <w:szCs w:val="22"/>
        </w:rPr>
      </w:pPr>
      <w:r w:rsidRPr="00576AF8">
        <w:rPr>
          <w:rFonts w:eastAsia="Calibri"/>
          <w:color w:val="000000"/>
          <w:sz w:val="22"/>
          <w:szCs w:val="22"/>
        </w:rPr>
        <w:t>Alimentación eléctrica de los gabinetes.</w:t>
      </w:r>
    </w:p>
    <w:p w14:paraId="60DA6D71" w14:textId="77777777" w:rsidR="009102A7" w:rsidRPr="00576AF8" w:rsidRDefault="009102A7" w:rsidP="009102A7">
      <w:pPr>
        <w:numPr>
          <w:ilvl w:val="0"/>
          <w:numId w:val="38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contextualSpacing/>
        <w:rPr>
          <w:rFonts w:eastAsia="Calibri"/>
          <w:color w:val="000000"/>
          <w:sz w:val="22"/>
          <w:szCs w:val="22"/>
        </w:rPr>
      </w:pPr>
      <w:r w:rsidRPr="00576AF8">
        <w:rPr>
          <w:rFonts w:eastAsia="Calibri"/>
          <w:color w:val="000000"/>
          <w:sz w:val="22"/>
          <w:szCs w:val="22"/>
        </w:rPr>
        <w:t>Ubicación física de los equipos dentro de los gabinetes.</w:t>
      </w:r>
    </w:p>
    <w:p w14:paraId="36A56350" w14:textId="77777777" w:rsidR="009102A7" w:rsidRPr="00576AF8" w:rsidRDefault="009102A7" w:rsidP="009102A7">
      <w:pPr>
        <w:numPr>
          <w:ilvl w:val="0"/>
          <w:numId w:val="38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276"/>
        <w:contextualSpacing/>
        <w:rPr>
          <w:rFonts w:eastAsia="Calibri"/>
          <w:color w:val="000000"/>
          <w:sz w:val="22"/>
          <w:szCs w:val="22"/>
        </w:rPr>
      </w:pPr>
      <w:r w:rsidRPr="00576AF8">
        <w:rPr>
          <w:rFonts w:eastAsia="Calibri"/>
          <w:color w:val="000000"/>
          <w:sz w:val="22"/>
          <w:szCs w:val="22"/>
        </w:rPr>
        <w:t>Diagramas de cableados as build de red e instalaciones eléctricas</w:t>
      </w:r>
    </w:p>
    <w:p w14:paraId="01DFD70C"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Otra documentación</w:t>
      </w:r>
    </w:p>
    <w:p w14:paraId="034998D1" w14:textId="77777777" w:rsidR="009102A7" w:rsidRPr="00576AF8" w:rsidRDefault="009102A7" w:rsidP="009102A7">
      <w:pPr>
        <w:numPr>
          <w:ilvl w:val="0"/>
          <w:numId w:val="4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8" w:hanging="425"/>
        <w:contextualSpacing/>
        <w:rPr>
          <w:rFonts w:eastAsia="Calibri"/>
          <w:color w:val="000000"/>
          <w:sz w:val="22"/>
          <w:szCs w:val="22"/>
        </w:rPr>
      </w:pPr>
      <w:r w:rsidRPr="00576AF8">
        <w:t>Listados de servidores, consolas y equipos de red con sus nombres, IPs, puertos, VLAN, etc</w:t>
      </w:r>
      <w:r w:rsidRPr="00576AF8">
        <w:rPr>
          <w:rFonts w:eastAsia="Calibri"/>
          <w:color w:val="000000"/>
          <w:sz w:val="22"/>
          <w:szCs w:val="22"/>
        </w:rPr>
        <w:t>.</w:t>
      </w:r>
    </w:p>
    <w:p w14:paraId="397838E9" w14:textId="77777777" w:rsidR="009102A7" w:rsidRPr="00576AF8" w:rsidRDefault="009102A7" w:rsidP="009102A7">
      <w:pPr>
        <w:numPr>
          <w:ilvl w:val="0"/>
          <w:numId w:val="42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418" w:hanging="425"/>
        <w:contextualSpacing/>
        <w:rPr>
          <w:rFonts w:eastAsia="Calibri"/>
          <w:color w:val="000000"/>
          <w:sz w:val="22"/>
          <w:szCs w:val="22"/>
        </w:rPr>
      </w:pPr>
      <w:r w:rsidRPr="00576AF8">
        <w:t>Listado de los usuarios de administración tanto a nivel de aplicación (con su función), como de equipamiento (servidores, red, almacenamiento, seguridad, etc.)</w:t>
      </w:r>
    </w:p>
    <w:p w14:paraId="542C08D9" w14:textId="77777777" w:rsidR="009102A7" w:rsidRPr="00576AF8" w:rsidRDefault="009102A7" w:rsidP="009102A7">
      <w:pPr>
        <w:ind w:right="41"/>
        <w:rPr>
          <w:sz w:val="22"/>
          <w:szCs w:val="22"/>
        </w:rPr>
      </w:pPr>
    </w:p>
    <w:p w14:paraId="385C4699" w14:textId="77777777" w:rsidR="009102A7" w:rsidRPr="00576AF8" w:rsidRDefault="009102A7" w:rsidP="009102A7">
      <w:pPr>
        <w:ind w:right="41"/>
        <w:outlineLvl w:val="1"/>
        <w:rPr>
          <w:b/>
          <w:sz w:val="22"/>
          <w:szCs w:val="22"/>
        </w:rPr>
      </w:pPr>
      <w:bookmarkStart w:id="1150" w:name="_Toc454958729"/>
      <w:bookmarkStart w:id="1151" w:name="_Toc476310104"/>
      <w:bookmarkStart w:id="1152" w:name="_Toc482896433"/>
      <w:bookmarkStart w:id="1153" w:name="_Toc99868857"/>
      <w:bookmarkStart w:id="1154" w:name="_Toc160706920"/>
      <w:bookmarkStart w:id="1155" w:name="_Toc160707510"/>
      <w:bookmarkStart w:id="1156" w:name="_Toc160707767"/>
      <w:r w:rsidRPr="00576AF8">
        <w:rPr>
          <w:b/>
          <w:sz w:val="22"/>
          <w:szCs w:val="22"/>
        </w:rPr>
        <w:t>2.7</w:t>
      </w:r>
      <w:r w:rsidRPr="00576AF8">
        <w:rPr>
          <w:b/>
          <w:sz w:val="22"/>
          <w:szCs w:val="22"/>
        </w:rPr>
        <w:tab/>
        <w:t>Requisitos del equipo técnico del Proveedor</w:t>
      </w:r>
      <w:bookmarkEnd w:id="1150"/>
      <w:bookmarkEnd w:id="1151"/>
      <w:bookmarkEnd w:id="1152"/>
      <w:bookmarkEnd w:id="1153"/>
      <w:bookmarkEnd w:id="1154"/>
      <w:bookmarkEnd w:id="1155"/>
      <w:bookmarkEnd w:id="1156"/>
    </w:p>
    <w:p w14:paraId="470D2649" w14:textId="77777777" w:rsidR="009102A7" w:rsidRPr="00576AF8" w:rsidRDefault="009102A7" w:rsidP="009102A7">
      <w:pPr>
        <w:ind w:left="720" w:hanging="720"/>
        <w:outlineLvl w:val="2"/>
        <w:rPr>
          <w:b/>
          <w:sz w:val="22"/>
          <w:szCs w:val="22"/>
        </w:rPr>
      </w:pPr>
      <w:bookmarkStart w:id="1157" w:name="_Toc160706921"/>
      <w:bookmarkStart w:id="1158" w:name="_Toc160707192"/>
      <w:bookmarkStart w:id="1159" w:name="_Toc160707511"/>
      <w:bookmarkStart w:id="1160" w:name="_Toc160707706"/>
      <w:bookmarkStart w:id="1161" w:name="_Toc160707768"/>
      <w:bookmarkStart w:id="1162" w:name="_Toc163137317"/>
      <w:r w:rsidRPr="00576AF8">
        <w:rPr>
          <w:b/>
          <w:sz w:val="22"/>
          <w:szCs w:val="22"/>
        </w:rPr>
        <w:t>2.7.1</w:t>
      </w:r>
      <w:r w:rsidRPr="00576AF8">
        <w:rPr>
          <w:b/>
          <w:sz w:val="22"/>
          <w:szCs w:val="22"/>
        </w:rPr>
        <w:tab/>
        <w:t xml:space="preserve">El Proveedor DEBERÁ mantener un equipo técnico que cuente con las funciones y niveles de aptitud durante las </w:t>
      </w:r>
      <w:r w:rsidRPr="00576AF8">
        <w:rPr>
          <w:b/>
          <w:sz w:val="22"/>
          <w:szCs w:val="22"/>
          <w:u w:val="single"/>
        </w:rPr>
        <w:t>actividades de suministro e instalación</w:t>
      </w:r>
      <w:r w:rsidRPr="00576AF8">
        <w:rPr>
          <w:b/>
          <w:sz w:val="22"/>
          <w:szCs w:val="22"/>
        </w:rPr>
        <w:t xml:space="preserve"> en el marco del Contrato</w:t>
      </w:r>
      <w:r w:rsidR="00B74C62" w:rsidRPr="00576AF8">
        <w:rPr>
          <w:b/>
          <w:sz w:val="22"/>
          <w:szCs w:val="22"/>
        </w:rPr>
        <w:t>, conforme al numeral 6.5 de la Sección III de este documento.</w:t>
      </w:r>
      <w:bookmarkEnd w:id="1157"/>
      <w:bookmarkEnd w:id="1158"/>
      <w:bookmarkEnd w:id="1159"/>
      <w:bookmarkEnd w:id="1160"/>
      <w:bookmarkEnd w:id="1161"/>
      <w:bookmarkEnd w:id="1162"/>
    </w:p>
    <w:p w14:paraId="5E829C07" w14:textId="77777777" w:rsidR="009102A7" w:rsidRPr="00576AF8" w:rsidRDefault="009102A7" w:rsidP="009102A7">
      <w:pPr>
        <w:spacing w:before="480"/>
        <w:jc w:val="left"/>
        <w:outlineLvl w:val="0"/>
        <w:rPr>
          <w:b/>
          <w:smallCaps/>
          <w:sz w:val="22"/>
          <w:szCs w:val="22"/>
          <w:lang w:val="es-EC" w:eastAsia="en-US" w:bidi="ar-SA"/>
        </w:rPr>
      </w:pPr>
      <w:bookmarkStart w:id="1163" w:name="_Toc521498256"/>
      <w:bookmarkStart w:id="1164" w:name="_Toc454958730"/>
      <w:bookmarkStart w:id="1165" w:name="_Toc476310105"/>
      <w:bookmarkStart w:id="1166" w:name="_Toc482896434"/>
      <w:bookmarkStart w:id="1167" w:name="_Toc99868858"/>
      <w:bookmarkStart w:id="1168" w:name="_Toc160268966"/>
      <w:bookmarkStart w:id="1169" w:name="_Toc160456031"/>
      <w:bookmarkStart w:id="1170" w:name="_Toc160706922"/>
      <w:bookmarkStart w:id="1171" w:name="_Toc160707193"/>
      <w:bookmarkStart w:id="1172" w:name="_Toc160707512"/>
      <w:bookmarkStart w:id="1173" w:name="_Toc160707707"/>
      <w:bookmarkStart w:id="1174" w:name="_Toc160707769"/>
      <w:bookmarkStart w:id="1175" w:name="_Toc163137318"/>
      <w:bookmarkEnd w:id="705"/>
      <w:r w:rsidRPr="00576AF8">
        <w:rPr>
          <w:b/>
          <w:smallCaps/>
          <w:sz w:val="22"/>
          <w:szCs w:val="22"/>
          <w:lang w:val="es-EC" w:eastAsia="en-US" w:bidi="ar-SA"/>
        </w:rPr>
        <w:t xml:space="preserve">D.  </w:t>
      </w:r>
      <w:bookmarkStart w:id="1176" w:name="_Hlk167365942"/>
      <w:r w:rsidRPr="00576AF8">
        <w:rPr>
          <w:b/>
          <w:smallCaps/>
          <w:sz w:val="22"/>
          <w:szCs w:val="22"/>
          <w:lang w:val="es-EC" w:eastAsia="en-US" w:bidi="ar-SA"/>
        </w:rPr>
        <w:t>Especificaciones de tecnología</w:t>
      </w:r>
      <w:bookmarkEnd w:id="1163"/>
      <w:r w:rsidRPr="00576AF8">
        <w:rPr>
          <w:b/>
          <w:smallCaps/>
          <w:sz w:val="22"/>
          <w:szCs w:val="22"/>
          <w:lang w:val="es-EC" w:eastAsia="en-US" w:bidi="ar-SA"/>
        </w:rPr>
        <w:t>: Artículos de suministro e instalación</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53A8ACC2" w14:textId="77777777" w:rsidR="009102A7" w:rsidRPr="00576AF8" w:rsidRDefault="009102A7" w:rsidP="009102A7">
      <w:pPr>
        <w:ind w:right="41"/>
        <w:outlineLvl w:val="1"/>
        <w:rPr>
          <w:sz w:val="22"/>
          <w:szCs w:val="22"/>
        </w:rPr>
      </w:pPr>
      <w:bookmarkStart w:id="1177" w:name="_Toc521498257"/>
      <w:bookmarkStart w:id="1178" w:name="_Toc454958731"/>
      <w:bookmarkStart w:id="1179" w:name="_Toc476310106"/>
      <w:bookmarkStart w:id="1180" w:name="_Toc482896435"/>
      <w:bookmarkStart w:id="1181" w:name="_Toc99868859"/>
      <w:bookmarkStart w:id="1182" w:name="_Toc160706923"/>
      <w:bookmarkStart w:id="1183" w:name="_Toc160707513"/>
      <w:bookmarkStart w:id="1184" w:name="_Toc160707770"/>
      <w:r w:rsidRPr="00576AF8">
        <w:rPr>
          <w:b/>
          <w:sz w:val="22"/>
          <w:szCs w:val="22"/>
        </w:rPr>
        <w:t>3.0</w:t>
      </w:r>
      <w:r w:rsidRPr="00576AF8">
        <w:rPr>
          <w:sz w:val="22"/>
          <w:szCs w:val="22"/>
        </w:rPr>
        <w:tab/>
      </w:r>
      <w:r w:rsidRPr="00576AF8">
        <w:rPr>
          <w:b/>
          <w:sz w:val="22"/>
          <w:szCs w:val="22"/>
        </w:rPr>
        <w:t xml:space="preserve">Requisitos Técnicos </w:t>
      </w:r>
      <w:bookmarkEnd w:id="1177"/>
      <w:bookmarkEnd w:id="1178"/>
      <w:bookmarkEnd w:id="1179"/>
      <w:bookmarkEnd w:id="1180"/>
      <w:r w:rsidRPr="00576AF8">
        <w:rPr>
          <w:b/>
          <w:sz w:val="22"/>
          <w:szCs w:val="22"/>
        </w:rPr>
        <w:t>Generales</w:t>
      </w:r>
      <w:bookmarkEnd w:id="1181"/>
      <w:bookmarkEnd w:id="1182"/>
      <w:bookmarkEnd w:id="1183"/>
      <w:bookmarkEnd w:id="1184"/>
    </w:p>
    <w:p w14:paraId="08F85DC1" w14:textId="77777777" w:rsidR="009102A7" w:rsidRPr="00576AF8" w:rsidRDefault="009102A7" w:rsidP="009102A7">
      <w:pPr>
        <w:rPr>
          <w:sz w:val="22"/>
          <w:szCs w:val="22"/>
        </w:rPr>
      </w:pPr>
      <w:r w:rsidRPr="00576AF8">
        <w:rPr>
          <w:sz w:val="22"/>
          <w:szCs w:val="22"/>
        </w:rPr>
        <w:t xml:space="preserve">La infraestructura tecnológica para el presente proyecto será implementada en el Centro de Datos del edificio sede del Operador Nacional de Electricidad – CENACE, a excepción del componente QAS que estará ubicado fuera de las instalaciones de CENACE. </w:t>
      </w:r>
    </w:p>
    <w:p w14:paraId="3B316F55" w14:textId="77777777" w:rsidR="009102A7" w:rsidRPr="00576AF8" w:rsidRDefault="009102A7" w:rsidP="008C0D90">
      <w:pPr>
        <w:ind w:right="41"/>
        <w:outlineLvl w:val="1"/>
        <w:rPr>
          <w:color w:val="4472C4"/>
          <w:sz w:val="22"/>
          <w:szCs w:val="22"/>
        </w:rPr>
      </w:pPr>
      <w:r w:rsidRPr="00576AF8">
        <w:rPr>
          <w:b/>
          <w:sz w:val="22"/>
          <w:szCs w:val="22"/>
        </w:rPr>
        <w:t>3.0.1</w:t>
      </w:r>
      <w:r w:rsidRPr="00576AF8">
        <w:rPr>
          <w:b/>
          <w:sz w:val="22"/>
          <w:szCs w:val="22"/>
        </w:rPr>
        <w:tab/>
        <w:t>Compatibilidad de idioma:</w:t>
      </w:r>
      <w:r w:rsidRPr="00576AF8">
        <w:rPr>
          <w:sz w:val="22"/>
          <w:szCs w:val="22"/>
        </w:rPr>
        <w:t xml:space="preserve"> Todas las tecnologías de la información deben ser compatibles con los idiomas inglés y/o español. </w:t>
      </w:r>
      <w:r w:rsidRPr="00576AF8">
        <w:rPr>
          <w:color w:val="4472C4"/>
          <w:sz w:val="22"/>
          <w:szCs w:val="22"/>
        </w:rPr>
        <w:t xml:space="preserve"> </w:t>
      </w:r>
    </w:p>
    <w:p w14:paraId="7288EEE3" w14:textId="77777777" w:rsidR="009102A7" w:rsidRPr="00576AF8" w:rsidRDefault="009102A7" w:rsidP="008C0D90">
      <w:pPr>
        <w:ind w:right="41"/>
        <w:outlineLvl w:val="1"/>
        <w:rPr>
          <w:i/>
          <w:spacing w:val="-4"/>
          <w:sz w:val="22"/>
          <w:szCs w:val="22"/>
        </w:rPr>
      </w:pPr>
      <w:r w:rsidRPr="00576AF8">
        <w:rPr>
          <w:b/>
          <w:spacing w:val="-4"/>
          <w:sz w:val="22"/>
          <w:szCs w:val="22"/>
        </w:rPr>
        <w:t>3.0.2</w:t>
      </w:r>
      <w:r w:rsidRPr="00576AF8">
        <w:rPr>
          <w:b/>
          <w:spacing w:val="-4"/>
          <w:sz w:val="22"/>
          <w:szCs w:val="22"/>
        </w:rPr>
        <w:tab/>
        <w:t>Alimentación eléctrica:</w:t>
      </w:r>
      <w:r w:rsidRPr="00576AF8">
        <w:rPr>
          <w:spacing w:val="-4"/>
          <w:sz w:val="22"/>
          <w:szCs w:val="22"/>
        </w:rPr>
        <w:t xml:space="preserve"> El cableado de alimentación eléctrica deberá cumplir la norma IEC 60364-5-53, UL 1363 y el Código de Práctica Ecuatoriano CPE INEN 19:2001.</w:t>
      </w:r>
    </w:p>
    <w:p w14:paraId="0A416099" w14:textId="77777777" w:rsidR="009102A7" w:rsidRPr="00576AF8" w:rsidRDefault="009102A7" w:rsidP="008C0D90">
      <w:pPr>
        <w:ind w:right="41"/>
        <w:outlineLvl w:val="1"/>
        <w:rPr>
          <w:spacing w:val="-4"/>
          <w:sz w:val="22"/>
          <w:szCs w:val="22"/>
        </w:rPr>
      </w:pPr>
      <w:r w:rsidRPr="00576AF8">
        <w:rPr>
          <w:spacing w:val="-4"/>
          <w:sz w:val="22"/>
          <w:szCs w:val="22"/>
          <w:lang w:val="es-ES_tradnl"/>
        </w:rPr>
        <w:t xml:space="preserve"> </w:t>
      </w:r>
      <w:r w:rsidRPr="00576AF8">
        <w:rPr>
          <w:b/>
          <w:spacing w:val="-4"/>
          <w:sz w:val="22"/>
          <w:szCs w:val="22"/>
        </w:rPr>
        <w:t>3.0.3   Aterramiento eléctrico:</w:t>
      </w:r>
      <w:r w:rsidRPr="00576AF8">
        <w:rPr>
          <w:spacing w:val="-4"/>
          <w:sz w:val="22"/>
          <w:szCs w:val="22"/>
        </w:rPr>
        <w:t xml:space="preserve"> El Centro de Datos de CENACE cumple con todas las normas de seguridad incluyendo el aterramiento eléctrico. </w:t>
      </w:r>
    </w:p>
    <w:p w14:paraId="092370E0" w14:textId="77777777" w:rsidR="009102A7" w:rsidRPr="00576AF8" w:rsidRDefault="009102A7" w:rsidP="008C0D90">
      <w:pPr>
        <w:ind w:right="41"/>
        <w:outlineLvl w:val="1"/>
        <w:rPr>
          <w:spacing w:val="-4"/>
          <w:sz w:val="22"/>
          <w:szCs w:val="22"/>
        </w:rPr>
      </w:pPr>
      <w:r w:rsidRPr="00576AF8">
        <w:rPr>
          <w:b/>
          <w:sz w:val="22"/>
          <w:szCs w:val="22"/>
        </w:rPr>
        <w:t>3.0.4</w:t>
      </w:r>
      <w:r w:rsidRPr="00576AF8">
        <w:rPr>
          <w:b/>
          <w:sz w:val="22"/>
          <w:szCs w:val="22"/>
        </w:rPr>
        <w:tab/>
      </w:r>
      <w:r w:rsidRPr="00576AF8">
        <w:rPr>
          <w:b/>
          <w:spacing w:val="-4"/>
          <w:sz w:val="22"/>
          <w:szCs w:val="22"/>
        </w:rPr>
        <w:t>Condiciones ambientales:</w:t>
      </w:r>
      <w:r w:rsidRPr="00576AF8">
        <w:rPr>
          <w:spacing w:val="-4"/>
          <w:sz w:val="22"/>
          <w:szCs w:val="22"/>
        </w:rPr>
        <w:t xml:space="preserve"> Salvo que se especifique otra cosa, todos los equipos DEBERÁN funcionar en las siguientes condiciones: De acuerdo a la norma ANSI/TIA-942, los parámetros operacionales del sistema </w:t>
      </w:r>
      <w:r w:rsidRPr="00576AF8">
        <w:rPr>
          <w:spacing w:val="-4"/>
          <w:sz w:val="22"/>
          <w:szCs w:val="22"/>
        </w:rPr>
        <w:lastRenderedPageBreak/>
        <w:t xml:space="preserve">de climatización deben oscilar para temperatura de 20 a 25 grados centígrados, la humedad relativa de 40% a 55 % y el contenido de polvo de 0 a 40 gramos de polvo por metro cúbico. </w:t>
      </w:r>
    </w:p>
    <w:p w14:paraId="2FAE0A0F" w14:textId="77777777" w:rsidR="009102A7" w:rsidRPr="00576AF8" w:rsidRDefault="009102A7" w:rsidP="008C0D90">
      <w:pPr>
        <w:ind w:right="41"/>
        <w:outlineLvl w:val="1"/>
        <w:rPr>
          <w:b/>
          <w:spacing w:val="-4"/>
          <w:sz w:val="22"/>
          <w:szCs w:val="22"/>
        </w:rPr>
      </w:pPr>
      <w:r w:rsidRPr="00576AF8">
        <w:rPr>
          <w:b/>
          <w:spacing w:val="-4"/>
          <w:sz w:val="22"/>
          <w:szCs w:val="22"/>
        </w:rPr>
        <w:t>3.0.5</w:t>
      </w:r>
      <w:r w:rsidRPr="00576AF8">
        <w:rPr>
          <w:b/>
          <w:spacing w:val="-4"/>
          <w:sz w:val="22"/>
          <w:szCs w:val="22"/>
        </w:rPr>
        <w:tab/>
        <w:t xml:space="preserve">Seguridad: </w:t>
      </w:r>
    </w:p>
    <w:p w14:paraId="42C49C45" w14:textId="77777777" w:rsidR="009102A7" w:rsidRPr="00576AF8" w:rsidRDefault="009102A7" w:rsidP="009102A7">
      <w:pPr>
        <w:ind w:left="2160" w:right="41" w:hanging="720"/>
        <w:rPr>
          <w:spacing w:val="-4"/>
          <w:sz w:val="22"/>
          <w:szCs w:val="22"/>
        </w:rPr>
      </w:pPr>
      <w:r w:rsidRPr="00576AF8">
        <w:rPr>
          <w:b/>
          <w:spacing w:val="-4"/>
          <w:sz w:val="22"/>
          <w:szCs w:val="22"/>
        </w:rPr>
        <w:t>3.0.5.1</w:t>
      </w:r>
      <w:r w:rsidRPr="00576AF8">
        <w:rPr>
          <w:spacing w:val="-4"/>
          <w:sz w:val="22"/>
          <w:szCs w:val="22"/>
        </w:rPr>
        <w:tab/>
        <w:t>Salvo que se especifique otra cosa, el nivel de ruido del equipo en funcionamiento NO DEBERÁ superar los 46 decibelios.</w:t>
      </w:r>
    </w:p>
    <w:p w14:paraId="0BABCD19" w14:textId="77777777" w:rsidR="009102A7" w:rsidRPr="00576AF8" w:rsidRDefault="009102A7" w:rsidP="009102A7">
      <w:pPr>
        <w:ind w:left="2160" w:right="41" w:hanging="720"/>
        <w:rPr>
          <w:spacing w:val="-4"/>
          <w:sz w:val="22"/>
          <w:szCs w:val="22"/>
        </w:rPr>
      </w:pPr>
      <w:r w:rsidRPr="00576AF8">
        <w:rPr>
          <w:b/>
          <w:spacing w:val="-4"/>
          <w:sz w:val="22"/>
          <w:szCs w:val="22"/>
        </w:rPr>
        <w:t>3.0.5.2</w:t>
      </w:r>
      <w:r w:rsidRPr="00576AF8">
        <w:rPr>
          <w:spacing w:val="-4"/>
          <w:sz w:val="22"/>
          <w:szCs w:val="22"/>
        </w:rPr>
        <w:tab/>
        <w:t>El Proveedor DEBERÁ certificar que todo equipo electrónico que emita energía electromagnética cumple con las normas de emisión US FCC clase B o END 55022 y END 50082-1</w:t>
      </w:r>
      <w:r w:rsidRPr="00576AF8">
        <w:rPr>
          <w:i/>
          <w:spacing w:val="-4"/>
          <w:sz w:val="22"/>
          <w:szCs w:val="22"/>
        </w:rPr>
        <w:t>,</w:t>
      </w:r>
      <w:r w:rsidRPr="00576AF8">
        <w:rPr>
          <w:spacing w:val="-4"/>
          <w:sz w:val="22"/>
          <w:szCs w:val="22"/>
        </w:rPr>
        <w:t xml:space="preserve"> o su equivalente.</w:t>
      </w:r>
    </w:p>
    <w:p w14:paraId="58E7FD3D" w14:textId="77777777" w:rsidR="009102A7" w:rsidRPr="00576AF8" w:rsidRDefault="009102A7" w:rsidP="009102A7">
      <w:pPr>
        <w:ind w:left="2160" w:right="41" w:hanging="720"/>
        <w:rPr>
          <w:rFonts w:eastAsia="Arial"/>
          <w:sz w:val="22"/>
          <w:szCs w:val="22"/>
          <w:lang w:val="es"/>
        </w:rPr>
      </w:pPr>
    </w:p>
    <w:p w14:paraId="56EB0019" w14:textId="77777777" w:rsidR="009102A7" w:rsidRPr="00576AF8" w:rsidRDefault="009102A7" w:rsidP="009102A7">
      <w:pPr>
        <w:ind w:right="41"/>
        <w:outlineLvl w:val="1"/>
        <w:rPr>
          <w:sz w:val="22"/>
          <w:szCs w:val="22"/>
        </w:rPr>
      </w:pPr>
      <w:bookmarkStart w:id="1185" w:name="_Toc521498258"/>
      <w:bookmarkStart w:id="1186" w:name="_Toc454958732"/>
      <w:bookmarkStart w:id="1187" w:name="_Toc476310107"/>
      <w:bookmarkStart w:id="1188" w:name="_Toc482896436"/>
      <w:bookmarkStart w:id="1189" w:name="_Toc99868860"/>
      <w:bookmarkStart w:id="1190" w:name="_Toc160706924"/>
      <w:bookmarkStart w:id="1191" w:name="_Toc160707514"/>
      <w:bookmarkStart w:id="1192" w:name="_Toc160707771"/>
      <w:r w:rsidRPr="00576AF8">
        <w:rPr>
          <w:b/>
          <w:sz w:val="22"/>
          <w:szCs w:val="22"/>
        </w:rPr>
        <w:t>3.1</w:t>
      </w:r>
      <w:r w:rsidRPr="00576AF8">
        <w:rPr>
          <w:sz w:val="22"/>
          <w:szCs w:val="22"/>
        </w:rPr>
        <w:tab/>
      </w:r>
      <w:r w:rsidRPr="00576AF8">
        <w:rPr>
          <w:b/>
          <w:sz w:val="22"/>
          <w:szCs w:val="22"/>
        </w:rPr>
        <w:t xml:space="preserve">Especificaciones de los </w:t>
      </w:r>
      <w:bookmarkEnd w:id="1185"/>
      <w:bookmarkEnd w:id="1186"/>
      <w:bookmarkEnd w:id="1187"/>
      <w:bookmarkEnd w:id="1188"/>
      <w:r w:rsidRPr="00576AF8">
        <w:rPr>
          <w:b/>
          <w:sz w:val="22"/>
          <w:szCs w:val="22"/>
        </w:rPr>
        <w:t>Equipos</w:t>
      </w:r>
      <w:bookmarkEnd w:id="1189"/>
      <w:bookmarkEnd w:id="1190"/>
      <w:bookmarkEnd w:id="1191"/>
      <w:bookmarkEnd w:id="1192"/>
    </w:p>
    <w:p w14:paraId="106FB15A" w14:textId="77777777" w:rsidR="009102A7" w:rsidRPr="00576AF8" w:rsidRDefault="009102A7" w:rsidP="009102A7">
      <w:pPr>
        <w:ind w:left="720" w:hanging="720"/>
        <w:jc w:val="left"/>
        <w:outlineLvl w:val="2"/>
        <w:rPr>
          <w:b/>
          <w:sz w:val="22"/>
          <w:szCs w:val="22"/>
        </w:rPr>
      </w:pPr>
      <w:bookmarkStart w:id="1193" w:name="_Toc160706925"/>
      <w:bookmarkStart w:id="1194" w:name="_Toc160707194"/>
      <w:bookmarkStart w:id="1195" w:name="_Toc160707515"/>
      <w:bookmarkStart w:id="1196" w:name="_Toc160707708"/>
      <w:bookmarkStart w:id="1197" w:name="_Toc160707772"/>
      <w:bookmarkStart w:id="1198" w:name="_Toc163137319"/>
      <w:r w:rsidRPr="00576AF8">
        <w:rPr>
          <w:b/>
          <w:sz w:val="22"/>
          <w:szCs w:val="22"/>
        </w:rPr>
        <w:t>3.1.1</w:t>
      </w:r>
      <w:r w:rsidRPr="00576AF8">
        <w:rPr>
          <w:b/>
          <w:sz w:val="22"/>
          <w:szCs w:val="22"/>
        </w:rPr>
        <w:tab/>
        <w:t>Tipo de unidad de procesamiento: Hardware</w:t>
      </w:r>
      <w:bookmarkEnd w:id="1193"/>
      <w:bookmarkEnd w:id="1194"/>
      <w:bookmarkEnd w:id="1195"/>
      <w:bookmarkEnd w:id="1196"/>
      <w:bookmarkEnd w:id="1197"/>
      <w:bookmarkEnd w:id="1198"/>
      <w:r w:rsidRPr="00576AF8">
        <w:rPr>
          <w:b/>
          <w:sz w:val="22"/>
          <w:szCs w:val="22"/>
        </w:rPr>
        <w:t xml:space="preserve"> </w:t>
      </w:r>
    </w:p>
    <w:p w14:paraId="27F37D3F" w14:textId="77777777" w:rsidR="009102A7" w:rsidRPr="00576AF8" w:rsidRDefault="009102A7" w:rsidP="009102A7">
      <w:pPr>
        <w:numPr>
          <w:ilvl w:val="0"/>
          <w:numId w:val="389"/>
        </w:numPr>
        <w:tabs>
          <w:tab w:val="num" w:pos="1560"/>
        </w:tabs>
        <w:ind w:left="1985" w:right="41" w:hanging="425"/>
        <w:contextualSpacing/>
        <w:rPr>
          <w:sz w:val="22"/>
          <w:szCs w:val="22"/>
        </w:rPr>
      </w:pPr>
      <w:r w:rsidRPr="00576AF8">
        <w:rPr>
          <w:sz w:val="22"/>
          <w:szCs w:val="22"/>
        </w:rPr>
        <w:t>Todos los equipos de Hardware HW a ser suministrados serán apropiados para su uso en sistemas de misión crítica en régimen de operación 24/7</w:t>
      </w:r>
      <w:r w:rsidR="001F03E5" w:rsidRPr="00576AF8">
        <w:rPr>
          <w:sz w:val="22"/>
          <w:szCs w:val="22"/>
        </w:rPr>
        <w:t xml:space="preserve">, cumpliendo </w:t>
      </w:r>
      <w:r w:rsidR="000B7E5C" w:rsidRPr="00576AF8">
        <w:rPr>
          <w:sz w:val="22"/>
          <w:szCs w:val="22"/>
        </w:rPr>
        <w:t>con el etiquetado d</w:t>
      </w:r>
      <w:r w:rsidR="001F03E5" w:rsidRPr="00576AF8">
        <w:rPr>
          <w:sz w:val="22"/>
          <w:szCs w:val="22"/>
        </w:rPr>
        <w:t xml:space="preserve">el estándar </w:t>
      </w:r>
      <w:r w:rsidR="00C73694" w:rsidRPr="00576AF8">
        <w:rPr>
          <w:sz w:val="22"/>
          <w:szCs w:val="22"/>
        </w:rPr>
        <w:t>EnergyStart</w:t>
      </w:r>
      <w:r w:rsidR="001F03E5" w:rsidRPr="00576AF8">
        <w:rPr>
          <w:sz w:val="22"/>
          <w:szCs w:val="22"/>
        </w:rPr>
        <w:t xml:space="preserve"> de eficiencia energética</w:t>
      </w:r>
      <w:r w:rsidR="00C73694" w:rsidRPr="00576AF8">
        <w:rPr>
          <w:sz w:val="22"/>
          <w:szCs w:val="22"/>
        </w:rPr>
        <w:t xml:space="preserve"> para equipos informáticos</w:t>
      </w:r>
      <w:r w:rsidRPr="00576AF8">
        <w:rPr>
          <w:sz w:val="22"/>
          <w:szCs w:val="22"/>
        </w:rPr>
        <w:t xml:space="preserve">. </w:t>
      </w:r>
    </w:p>
    <w:p w14:paraId="4318B287" w14:textId="77777777" w:rsidR="009102A7" w:rsidRPr="00576AF8" w:rsidRDefault="009102A7" w:rsidP="009102A7">
      <w:pPr>
        <w:numPr>
          <w:ilvl w:val="0"/>
          <w:numId w:val="389"/>
        </w:numPr>
        <w:tabs>
          <w:tab w:val="num" w:pos="1560"/>
        </w:tabs>
        <w:ind w:left="1985" w:right="41" w:hanging="425"/>
        <w:contextualSpacing/>
        <w:rPr>
          <w:sz w:val="22"/>
          <w:szCs w:val="22"/>
        </w:rPr>
      </w:pPr>
      <w:r w:rsidRPr="00576AF8">
        <w:rPr>
          <w:sz w:val="22"/>
          <w:szCs w:val="22"/>
        </w:rPr>
        <w:t>La solución de hardware del Proveedor puede ser implementada mediante servidores físicos independientes, hipervisores con software de virtualización o una combinación de las dos soluciones anteriores.</w:t>
      </w:r>
    </w:p>
    <w:p w14:paraId="2585BA50" w14:textId="77777777" w:rsidR="009102A7" w:rsidRPr="00576AF8" w:rsidRDefault="009102A7" w:rsidP="009102A7">
      <w:pPr>
        <w:numPr>
          <w:ilvl w:val="0"/>
          <w:numId w:val="389"/>
        </w:numPr>
        <w:tabs>
          <w:tab w:val="num" w:pos="1560"/>
        </w:tabs>
        <w:ind w:left="1985" w:right="41" w:hanging="425"/>
        <w:contextualSpacing/>
        <w:rPr>
          <w:sz w:val="22"/>
          <w:szCs w:val="22"/>
        </w:rPr>
      </w:pPr>
      <w:r w:rsidRPr="00576AF8">
        <w:rPr>
          <w:sz w:val="22"/>
          <w:szCs w:val="22"/>
        </w:rPr>
        <w:t>En esta sección y en las secciones posteriores, se presentan las características principales de los equipos de HW que, al momento de publicar esta especificación, ofrecen las mejores prestaciones disponibles.  Sin embargo, es importante destacar que el Proveedor tiene la libertad de proponer soluciones actualizadas que superen las prestaciones detalladas en esta sección.</w:t>
      </w:r>
    </w:p>
    <w:p w14:paraId="16495DAA" w14:textId="77777777" w:rsidR="009102A7" w:rsidRPr="00576AF8" w:rsidRDefault="009102A7" w:rsidP="008C0D90">
      <w:pPr>
        <w:ind w:right="41"/>
        <w:outlineLvl w:val="1"/>
        <w:rPr>
          <w:rFonts w:eastAsia="Arial"/>
          <w:bCs/>
          <w:color w:val="000000"/>
          <w:sz w:val="22"/>
          <w:szCs w:val="22"/>
        </w:rPr>
      </w:pPr>
      <w:r w:rsidRPr="00576AF8">
        <w:rPr>
          <w:b/>
          <w:sz w:val="22"/>
          <w:szCs w:val="22"/>
        </w:rPr>
        <w:t xml:space="preserve">3.1.1.1 </w:t>
      </w:r>
      <w:r w:rsidRPr="00576AF8">
        <w:rPr>
          <w:b/>
          <w:spacing w:val="-4"/>
          <w:sz w:val="22"/>
          <w:szCs w:val="22"/>
        </w:rPr>
        <w:t>Rendimiento de la unidad de procesamiento:</w:t>
      </w:r>
      <w:r w:rsidRPr="00576AF8">
        <w:rPr>
          <w:spacing w:val="-4"/>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179B0AFE" w14:textId="77777777" w:rsidR="009102A7" w:rsidRPr="00576AF8" w:rsidRDefault="009102A7" w:rsidP="008C0D90">
      <w:pPr>
        <w:ind w:right="41"/>
        <w:outlineLvl w:val="1"/>
        <w:rPr>
          <w:rFonts w:eastAsia="Arial"/>
          <w:bCs/>
          <w:color w:val="000000"/>
          <w:sz w:val="22"/>
          <w:szCs w:val="22"/>
        </w:rPr>
      </w:pPr>
      <w:r w:rsidRPr="00576AF8">
        <w:rPr>
          <w:b/>
          <w:sz w:val="22"/>
          <w:szCs w:val="22"/>
        </w:rPr>
        <w:t>3.1.1.2</w:t>
      </w:r>
      <w:r w:rsidRPr="00576AF8">
        <w:rPr>
          <w:b/>
          <w:sz w:val="22"/>
          <w:szCs w:val="22"/>
        </w:rPr>
        <w:tab/>
        <w:t>Extensibilidad del procesador:</w:t>
      </w:r>
      <w:r w:rsidRPr="00576AF8">
        <w:rPr>
          <w:color w:val="4472C4"/>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320169A6" w14:textId="77777777" w:rsidR="009102A7" w:rsidRPr="00576AF8" w:rsidRDefault="009102A7" w:rsidP="008C0D90">
      <w:pPr>
        <w:ind w:right="41"/>
        <w:outlineLvl w:val="1"/>
        <w:rPr>
          <w:rFonts w:eastAsia="Arial"/>
          <w:bCs/>
          <w:color w:val="000000"/>
          <w:sz w:val="22"/>
          <w:szCs w:val="22"/>
        </w:rPr>
      </w:pPr>
      <w:r w:rsidRPr="00576AF8">
        <w:rPr>
          <w:b/>
          <w:sz w:val="22"/>
          <w:szCs w:val="22"/>
        </w:rPr>
        <w:t>3.1.1.3</w:t>
      </w:r>
      <w:r w:rsidRPr="00576AF8">
        <w:rPr>
          <w:b/>
          <w:sz w:val="22"/>
          <w:szCs w:val="22"/>
        </w:rPr>
        <w:tab/>
        <w:t>Memoria del procesador y otros tipos de memoria:</w:t>
      </w:r>
      <w:r w:rsidRPr="00576AF8">
        <w:rPr>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7B3EC1B2" w14:textId="77777777" w:rsidR="009102A7" w:rsidRPr="00576AF8" w:rsidRDefault="009102A7" w:rsidP="008C0D90">
      <w:pPr>
        <w:ind w:right="41"/>
        <w:outlineLvl w:val="1"/>
        <w:rPr>
          <w:rFonts w:eastAsia="Arial"/>
          <w:bCs/>
          <w:color w:val="000000"/>
          <w:sz w:val="22"/>
          <w:szCs w:val="22"/>
        </w:rPr>
      </w:pPr>
      <w:r w:rsidRPr="00576AF8">
        <w:rPr>
          <w:b/>
          <w:sz w:val="22"/>
          <w:szCs w:val="22"/>
        </w:rPr>
        <w:t>3.1.1.4</w:t>
      </w:r>
      <w:r w:rsidRPr="00576AF8">
        <w:rPr>
          <w:b/>
          <w:sz w:val="22"/>
          <w:szCs w:val="22"/>
        </w:rPr>
        <w:tab/>
        <w:t>Tolerancia de la unidad de procesamiento a las fallas:</w:t>
      </w:r>
      <w:r w:rsidRPr="00576AF8">
        <w:rPr>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3199B2F1" w14:textId="77777777" w:rsidR="009102A7" w:rsidRPr="00576AF8" w:rsidRDefault="009102A7" w:rsidP="008C0D90">
      <w:pPr>
        <w:ind w:right="41"/>
        <w:outlineLvl w:val="1"/>
        <w:rPr>
          <w:rFonts w:eastAsia="Arial"/>
          <w:bCs/>
          <w:color w:val="000000"/>
          <w:sz w:val="22"/>
          <w:szCs w:val="22"/>
        </w:rPr>
      </w:pPr>
      <w:r w:rsidRPr="00576AF8">
        <w:rPr>
          <w:b/>
          <w:spacing w:val="-2"/>
          <w:sz w:val="22"/>
          <w:szCs w:val="22"/>
        </w:rPr>
        <w:t>3.1.1.5</w:t>
      </w:r>
      <w:r w:rsidRPr="00576AF8">
        <w:rPr>
          <w:b/>
          <w:spacing w:val="-2"/>
          <w:sz w:val="22"/>
          <w:szCs w:val="22"/>
        </w:rPr>
        <w:tab/>
        <w:t>Características de administración de la unidad de procesamiento:</w:t>
      </w:r>
      <w:r w:rsidRPr="00576AF8">
        <w:rPr>
          <w:spacing w:val="-2"/>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707282F7" w14:textId="77777777" w:rsidR="009102A7" w:rsidRPr="00576AF8" w:rsidRDefault="009102A7" w:rsidP="008C0D90">
      <w:pPr>
        <w:ind w:right="41"/>
        <w:outlineLvl w:val="1"/>
        <w:rPr>
          <w:rFonts w:eastAsia="Arial"/>
          <w:bCs/>
          <w:color w:val="000000"/>
          <w:sz w:val="22"/>
          <w:szCs w:val="22"/>
        </w:rPr>
      </w:pPr>
      <w:r w:rsidRPr="00576AF8">
        <w:rPr>
          <w:b/>
          <w:sz w:val="22"/>
          <w:szCs w:val="22"/>
        </w:rPr>
        <w:t>3.1.1.6</w:t>
      </w:r>
      <w:r w:rsidRPr="00576AF8">
        <w:rPr>
          <w:b/>
          <w:sz w:val="22"/>
          <w:szCs w:val="22"/>
        </w:rPr>
        <w:tab/>
        <w:t>Dispositivos de entrada y salida de la unidad de procesamiento:</w:t>
      </w:r>
      <w:r w:rsidRPr="00576AF8">
        <w:rPr>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w:t>
      </w:r>
      <w:r w:rsidRPr="00576AF8">
        <w:rPr>
          <w:color w:val="000000"/>
          <w:sz w:val="22"/>
          <w:szCs w:val="22"/>
          <w:shd w:val="clear" w:color="auto" w:fill="FFFFFF"/>
        </w:rPr>
        <w:lastRenderedPageBreak/>
        <w:t xml:space="preserve">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74173F81" w14:textId="77777777" w:rsidR="009102A7" w:rsidRPr="00576AF8" w:rsidRDefault="009102A7" w:rsidP="008C0D90">
      <w:pPr>
        <w:ind w:right="41"/>
        <w:outlineLvl w:val="1"/>
        <w:rPr>
          <w:rFonts w:eastAsia="Arial"/>
          <w:bCs/>
          <w:color w:val="000000"/>
          <w:sz w:val="22"/>
          <w:szCs w:val="22"/>
        </w:rPr>
      </w:pPr>
      <w:r w:rsidRPr="00576AF8">
        <w:rPr>
          <w:b/>
          <w:sz w:val="22"/>
          <w:szCs w:val="22"/>
        </w:rPr>
        <w:t>3.1.1.7</w:t>
      </w:r>
      <w:r w:rsidRPr="00576AF8">
        <w:rPr>
          <w:b/>
          <w:sz w:val="22"/>
          <w:szCs w:val="22"/>
        </w:rPr>
        <w:tab/>
        <w:t>Otras características de la unidad de procesamiento:</w:t>
      </w:r>
      <w:r w:rsidRPr="00576AF8">
        <w:rPr>
          <w:sz w:val="22"/>
          <w:szCs w:val="22"/>
        </w:rPr>
        <w:t xml:space="preserve"> </w:t>
      </w:r>
      <w:r w:rsidRPr="00576AF8">
        <w:rPr>
          <w:color w:val="000000"/>
          <w:sz w:val="22"/>
          <w:szCs w:val="22"/>
          <w:shd w:val="clear" w:color="auto" w:fill="FFFFFF"/>
        </w:rPr>
        <w:t xml:space="preserve">El Proveedor PROPONDRÁ los equipos que se adapten a su respectivo producto siempre que se respeten los criterios de rendimiento, seguridad, confiabilidad, alta disponibilidad, y seguridad requeridos para el nuevo sistema SCADA/EMS </w:t>
      </w:r>
      <w:r w:rsidR="00593894" w:rsidRPr="00576AF8">
        <w:rPr>
          <w:color w:val="000000"/>
          <w:sz w:val="22"/>
          <w:szCs w:val="22"/>
          <w:shd w:val="clear" w:color="auto" w:fill="FFFFFF"/>
        </w:rPr>
        <w:t>del Comprador</w:t>
      </w:r>
      <w:r w:rsidRPr="00576AF8">
        <w:rPr>
          <w:color w:val="000000"/>
          <w:sz w:val="22"/>
          <w:szCs w:val="22"/>
          <w:shd w:val="clear" w:color="auto" w:fill="FFFFFF"/>
        </w:rPr>
        <w:t>.  </w:t>
      </w:r>
      <w:r w:rsidRPr="00576AF8">
        <w:rPr>
          <w:rFonts w:eastAsia="Arial"/>
          <w:bCs/>
          <w:color w:val="000000"/>
          <w:sz w:val="22"/>
          <w:szCs w:val="22"/>
        </w:rPr>
        <w:t xml:space="preserve"> </w:t>
      </w:r>
    </w:p>
    <w:p w14:paraId="3AEC28C8" w14:textId="77777777" w:rsidR="009102A7" w:rsidRPr="00576AF8" w:rsidRDefault="009102A7" w:rsidP="008C0D90">
      <w:pPr>
        <w:ind w:right="41"/>
        <w:outlineLvl w:val="1"/>
        <w:rPr>
          <w:rFonts w:eastAsia="Arial"/>
          <w:b/>
          <w:bCs/>
          <w:color w:val="000000"/>
          <w:sz w:val="22"/>
          <w:szCs w:val="22"/>
        </w:rPr>
      </w:pPr>
      <w:r w:rsidRPr="00576AF8">
        <w:rPr>
          <w:b/>
          <w:sz w:val="22"/>
          <w:szCs w:val="22"/>
        </w:rPr>
        <w:t>3.</w:t>
      </w:r>
      <w:r w:rsidRPr="00576AF8">
        <w:rPr>
          <w:rFonts w:eastAsia="Arial"/>
          <w:b/>
          <w:bCs/>
          <w:color w:val="000000"/>
          <w:sz w:val="22"/>
          <w:szCs w:val="22"/>
        </w:rPr>
        <w:t xml:space="preserve">1.1.8 </w:t>
      </w:r>
      <w:r w:rsidRPr="00576AF8">
        <w:rPr>
          <w:b/>
          <w:sz w:val="22"/>
          <w:szCs w:val="22"/>
        </w:rPr>
        <w:t>Servidores</w:t>
      </w:r>
    </w:p>
    <w:p w14:paraId="10E5504F" w14:textId="77777777" w:rsidR="009102A7" w:rsidRPr="00576AF8" w:rsidRDefault="009102A7" w:rsidP="009102A7">
      <w:pPr>
        <w:ind w:left="2160" w:right="41" w:hanging="720"/>
        <w:rPr>
          <w:sz w:val="22"/>
          <w:szCs w:val="22"/>
        </w:rPr>
      </w:pPr>
      <w:r w:rsidRPr="00576AF8">
        <w:rPr>
          <w:sz w:val="22"/>
          <w:szCs w:val="22"/>
        </w:rPr>
        <w:t>Los servidores propuestos cumplirán con las siguientes características mínimas:</w:t>
      </w:r>
    </w:p>
    <w:p w14:paraId="48469D66" w14:textId="77777777" w:rsidR="009102A7" w:rsidRPr="00576AF8" w:rsidRDefault="009102A7" w:rsidP="009102A7">
      <w:pPr>
        <w:numPr>
          <w:ilvl w:val="0"/>
          <w:numId w:val="390"/>
        </w:numPr>
        <w:ind w:right="41"/>
        <w:contextualSpacing/>
        <w:rPr>
          <w:sz w:val="22"/>
          <w:szCs w:val="22"/>
        </w:rPr>
      </w:pPr>
      <w:r w:rsidRPr="00576AF8">
        <w:rPr>
          <w:sz w:val="22"/>
          <w:szCs w:val="22"/>
        </w:rPr>
        <w:t>Deberán estar certificados para el sistema operativo a ser desplegados en servidores físicos independientes o para hipervisores con software de virtualización.</w:t>
      </w:r>
    </w:p>
    <w:p w14:paraId="58111C75" w14:textId="77777777" w:rsidR="009102A7" w:rsidRPr="00576AF8" w:rsidRDefault="009102A7" w:rsidP="009102A7">
      <w:pPr>
        <w:numPr>
          <w:ilvl w:val="0"/>
          <w:numId w:val="390"/>
        </w:numPr>
        <w:ind w:right="41"/>
        <w:contextualSpacing/>
        <w:rPr>
          <w:sz w:val="22"/>
          <w:szCs w:val="22"/>
        </w:rPr>
      </w:pPr>
      <w:r w:rsidRPr="00576AF8">
        <w:rPr>
          <w:sz w:val="22"/>
          <w:szCs w:val="22"/>
        </w:rPr>
        <w:t xml:space="preserve">Procesador: El procesador será lo suficientemente potente como para manejar las tareas de procesamiento del sistema SCADA/EMS, como la recopilación y análisis de datos, ejecución de aplicaciones en tiempo real, modo de estudio y en simulación para entrenamiento. Entre los procesadores que se pueden proponer están:  Intel Xeon Scalable (quinta generación o superior), AMD o equivalentes con una velocidad mayor o igual a 2.1 GHz.  </w:t>
      </w:r>
    </w:p>
    <w:p w14:paraId="237D9C82" w14:textId="77777777" w:rsidR="009102A7" w:rsidRPr="00576AF8" w:rsidRDefault="009102A7" w:rsidP="009102A7">
      <w:pPr>
        <w:numPr>
          <w:ilvl w:val="0"/>
          <w:numId w:val="390"/>
        </w:numPr>
        <w:ind w:right="41"/>
        <w:contextualSpacing/>
        <w:rPr>
          <w:sz w:val="22"/>
          <w:szCs w:val="22"/>
        </w:rPr>
      </w:pPr>
      <w:r w:rsidRPr="00576AF8">
        <w:rPr>
          <w:sz w:val="22"/>
          <w:szCs w:val="22"/>
        </w:rPr>
        <w:t>Memoria RAM: La cantidad de memoria RAM necesaria dependerá del tamaño y la complejidad del sistema SCADA/EMS propuesto por el Proveedor. No deberá ser menor a 16 GB para servidores individuales y con una utilización máxima del 50 %. En el caso de hipervisores, la memoria total deberá ser la soportada por todas las máquinas virtuales VMs que aloje el clúster o nodo conforme cada entorno del SCADA/EMS, y se deberá considerar que al menos un nodo del clúster pueda soportar todas las máquinas virtuales en caso de falla de uno o más nodos del clúster y el nodo no debe superar el 50% de utilización.</w:t>
      </w:r>
    </w:p>
    <w:p w14:paraId="24E9DF33" w14:textId="77777777" w:rsidR="009102A7" w:rsidRPr="00576AF8" w:rsidRDefault="009102A7" w:rsidP="009102A7">
      <w:pPr>
        <w:numPr>
          <w:ilvl w:val="0"/>
          <w:numId w:val="390"/>
        </w:numPr>
        <w:ind w:right="41"/>
        <w:contextualSpacing/>
        <w:rPr>
          <w:sz w:val="22"/>
          <w:szCs w:val="22"/>
        </w:rPr>
      </w:pPr>
      <w:r w:rsidRPr="00576AF8">
        <w:rPr>
          <w:sz w:val="22"/>
          <w:szCs w:val="22"/>
        </w:rPr>
        <w:t xml:space="preserve">Almacenamiento: El servidor SCADA/EMS provisto deberá tener suficiente espacio para almacenar datos, como datos de proceso, datos históricos y datos de configuración. Estará constituidos por discos de estado sólidos SSD de igual o mayor velocidad y su utilización inicial no debe exceder el 20% de su capacidad. Los discos y partes serán del tipo removible en caliente (Hot plug) usando un arreglo de discos que permita la falla de hasta 2 discos de manera simultánea y cuente con por lo menos 2 discos en spare. Los discos deben estar en arreglo redundante RAID 6. </w:t>
      </w:r>
    </w:p>
    <w:p w14:paraId="3B24754E" w14:textId="77777777" w:rsidR="009102A7" w:rsidRPr="00576AF8" w:rsidRDefault="009102A7" w:rsidP="009102A7">
      <w:pPr>
        <w:numPr>
          <w:ilvl w:val="1"/>
          <w:numId w:val="391"/>
        </w:numPr>
        <w:ind w:right="41"/>
        <w:contextualSpacing/>
        <w:rPr>
          <w:sz w:val="22"/>
          <w:szCs w:val="22"/>
        </w:rPr>
      </w:pPr>
      <w:r w:rsidRPr="00576AF8">
        <w:rPr>
          <w:sz w:val="22"/>
          <w:szCs w:val="22"/>
        </w:rPr>
        <w:t>Red LAN: Los servidores SCADA/EMS tendrán una conexión de red redundante de alta velocidad 1/10 Gbps para comunicarse con los dispositivos de campo y otros sistemas.</w:t>
      </w:r>
    </w:p>
    <w:p w14:paraId="00B4F9A5" w14:textId="77777777" w:rsidR="009102A7" w:rsidRPr="00576AF8" w:rsidRDefault="009102A7" w:rsidP="009102A7">
      <w:pPr>
        <w:numPr>
          <w:ilvl w:val="1"/>
          <w:numId w:val="391"/>
        </w:numPr>
        <w:ind w:right="41"/>
        <w:contextualSpacing/>
        <w:rPr>
          <w:sz w:val="22"/>
          <w:szCs w:val="22"/>
        </w:rPr>
      </w:pPr>
      <w:r w:rsidRPr="00576AF8">
        <w:rPr>
          <w:sz w:val="22"/>
          <w:szCs w:val="22"/>
        </w:rPr>
        <w:t>Red SAN: los servidores SCADA/EMS de acuerdo a la solución del Proveedor tendrán una conexión de red redundante de al menos 16GB para la comunicación de los equipos con el almacenamiento.</w:t>
      </w:r>
    </w:p>
    <w:p w14:paraId="39D9ED48" w14:textId="77777777" w:rsidR="009102A7" w:rsidRPr="00576AF8" w:rsidRDefault="009102A7" w:rsidP="009102A7">
      <w:pPr>
        <w:numPr>
          <w:ilvl w:val="1"/>
          <w:numId w:val="391"/>
        </w:numPr>
        <w:ind w:right="41"/>
        <w:contextualSpacing/>
        <w:rPr>
          <w:sz w:val="22"/>
          <w:szCs w:val="22"/>
        </w:rPr>
      </w:pPr>
      <w:r w:rsidRPr="00576AF8">
        <w:rPr>
          <w:sz w:val="22"/>
          <w:szCs w:val="22"/>
        </w:rPr>
        <w:t>Fuente de alimentación: redundante y reemplazable en caliente</w:t>
      </w:r>
    </w:p>
    <w:p w14:paraId="7870C1CA" w14:textId="77777777" w:rsidR="009102A7" w:rsidRPr="00576AF8" w:rsidRDefault="009102A7" w:rsidP="009102A7">
      <w:pPr>
        <w:numPr>
          <w:ilvl w:val="1"/>
          <w:numId w:val="391"/>
        </w:numPr>
        <w:ind w:right="41"/>
        <w:contextualSpacing/>
        <w:rPr>
          <w:sz w:val="22"/>
          <w:szCs w:val="22"/>
        </w:rPr>
      </w:pPr>
      <w:r w:rsidRPr="00576AF8">
        <w:rPr>
          <w:sz w:val="22"/>
          <w:szCs w:val="22"/>
        </w:rPr>
        <w:t>Ventilador: redundante y reemplazable en caliente</w:t>
      </w:r>
    </w:p>
    <w:p w14:paraId="18C75780" w14:textId="77777777" w:rsidR="009102A7" w:rsidRPr="00576AF8" w:rsidRDefault="009102A7" w:rsidP="009102A7">
      <w:pPr>
        <w:numPr>
          <w:ilvl w:val="1"/>
          <w:numId w:val="391"/>
        </w:numPr>
        <w:ind w:right="41"/>
        <w:contextualSpacing/>
        <w:rPr>
          <w:sz w:val="22"/>
          <w:szCs w:val="22"/>
        </w:rPr>
      </w:pPr>
      <w:r w:rsidRPr="00576AF8">
        <w:rPr>
          <w:sz w:val="22"/>
          <w:szCs w:val="22"/>
        </w:rPr>
        <w:t>Supervisión, monitoreo y gestión independiente de Hardware</w:t>
      </w:r>
    </w:p>
    <w:p w14:paraId="32747961" w14:textId="77777777" w:rsidR="009102A7" w:rsidRPr="00576AF8" w:rsidRDefault="009102A7" w:rsidP="009102A7">
      <w:pPr>
        <w:numPr>
          <w:ilvl w:val="1"/>
          <w:numId w:val="391"/>
        </w:numPr>
        <w:ind w:right="41"/>
        <w:contextualSpacing/>
        <w:rPr>
          <w:sz w:val="22"/>
          <w:szCs w:val="22"/>
        </w:rPr>
      </w:pPr>
      <w:r w:rsidRPr="00576AF8">
        <w:rPr>
          <w:sz w:val="22"/>
          <w:szCs w:val="22"/>
        </w:rPr>
        <w:t xml:space="preserve">Controladora de discos y del almacenamiento redundante </w:t>
      </w:r>
    </w:p>
    <w:p w14:paraId="39615AB3" w14:textId="77777777" w:rsidR="009102A7" w:rsidRPr="00576AF8" w:rsidRDefault="009102A7" w:rsidP="009102A7">
      <w:pPr>
        <w:numPr>
          <w:ilvl w:val="1"/>
          <w:numId w:val="391"/>
        </w:numPr>
        <w:ind w:right="41"/>
        <w:contextualSpacing/>
        <w:rPr>
          <w:sz w:val="22"/>
          <w:lang w:val="pt-BR"/>
        </w:rPr>
      </w:pPr>
      <w:r w:rsidRPr="00576AF8">
        <w:rPr>
          <w:sz w:val="22"/>
          <w:lang w:val="pt-BR"/>
        </w:rPr>
        <w:t xml:space="preserve">Voltaje nominal: 100-240 V AC (50/60 Hz) </w:t>
      </w:r>
    </w:p>
    <w:p w14:paraId="66E16469" w14:textId="77777777" w:rsidR="009102A7" w:rsidRPr="00576AF8" w:rsidRDefault="009102A7" w:rsidP="009102A7">
      <w:pPr>
        <w:numPr>
          <w:ilvl w:val="1"/>
          <w:numId w:val="391"/>
        </w:numPr>
        <w:ind w:right="41"/>
        <w:contextualSpacing/>
        <w:rPr>
          <w:sz w:val="22"/>
          <w:szCs w:val="22"/>
        </w:rPr>
      </w:pPr>
      <w:r w:rsidRPr="00576AF8">
        <w:rPr>
          <w:sz w:val="22"/>
          <w:szCs w:val="22"/>
        </w:rPr>
        <w:t xml:space="preserve">Temperatura de Operación: 0 - 50 °C (32 - 122 °F) </w:t>
      </w:r>
    </w:p>
    <w:p w14:paraId="6FD5F2BF" w14:textId="77777777" w:rsidR="009102A7" w:rsidRPr="00576AF8" w:rsidRDefault="009102A7" w:rsidP="009102A7">
      <w:pPr>
        <w:numPr>
          <w:ilvl w:val="1"/>
          <w:numId w:val="391"/>
        </w:numPr>
        <w:ind w:right="41"/>
        <w:contextualSpacing/>
        <w:rPr>
          <w:sz w:val="22"/>
          <w:szCs w:val="22"/>
        </w:rPr>
      </w:pPr>
      <w:r w:rsidRPr="00576AF8">
        <w:rPr>
          <w:sz w:val="22"/>
          <w:szCs w:val="22"/>
        </w:rPr>
        <w:t>Humedad Máx. 85 % (non-condensante) a 40 °C</w:t>
      </w:r>
    </w:p>
    <w:p w14:paraId="7DCE8B16" w14:textId="77777777" w:rsidR="009102A7" w:rsidRPr="00576AF8" w:rsidRDefault="009102A7" w:rsidP="008C0D90">
      <w:pPr>
        <w:ind w:right="41"/>
        <w:outlineLvl w:val="1"/>
        <w:rPr>
          <w:b/>
          <w:sz w:val="22"/>
          <w:szCs w:val="22"/>
        </w:rPr>
      </w:pPr>
      <w:r w:rsidRPr="00576AF8">
        <w:rPr>
          <w:b/>
          <w:sz w:val="22"/>
          <w:szCs w:val="22"/>
        </w:rPr>
        <w:t>3.1.1.9 Sincronización de Tiempo</w:t>
      </w:r>
    </w:p>
    <w:p w14:paraId="77BAB503" w14:textId="77777777" w:rsidR="009102A7" w:rsidRPr="00576AF8" w:rsidRDefault="009102A7" w:rsidP="009102A7">
      <w:pPr>
        <w:ind w:left="1416" w:right="41"/>
        <w:contextualSpacing/>
        <w:rPr>
          <w:sz w:val="22"/>
          <w:szCs w:val="22"/>
        </w:rPr>
      </w:pPr>
      <w:r w:rsidRPr="00576AF8">
        <w:rPr>
          <w:sz w:val="22"/>
          <w:szCs w:val="22"/>
        </w:rPr>
        <w:lastRenderedPageBreak/>
        <w:t xml:space="preserve">Todos los servidores deben estar sincronizados con base a un servidor NTP basado en GPS. El servidor GPS provisto para el SCADA/EMS </w:t>
      </w:r>
      <w:r w:rsidR="00593894" w:rsidRPr="00576AF8">
        <w:rPr>
          <w:sz w:val="22"/>
          <w:szCs w:val="22"/>
        </w:rPr>
        <w:t>del Comprador</w:t>
      </w:r>
      <w:r w:rsidRPr="00576AF8">
        <w:rPr>
          <w:sz w:val="22"/>
          <w:szCs w:val="22"/>
        </w:rPr>
        <w:t xml:space="preserve"> será redundante, de montaje en rack de 19” y tendrá las siguientes características:</w:t>
      </w:r>
    </w:p>
    <w:p w14:paraId="50BF3531" w14:textId="77777777" w:rsidR="009102A7" w:rsidRPr="00576AF8" w:rsidRDefault="009102A7" w:rsidP="009102A7">
      <w:pPr>
        <w:numPr>
          <w:ilvl w:val="0"/>
          <w:numId w:val="392"/>
        </w:numPr>
        <w:ind w:right="41"/>
        <w:contextualSpacing/>
        <w:rPr>
          <w:sz w:val="22"/>
          <w:szCs w:val="22"/>
        </w:rPr>
      </w:pPr>
      <w:r w:rsidRPr="00576AF8">
        <w:rPr>
          <w:sz w:val="22"/>
          <w:szCs w:val="22"/>
        </w:rPr>
        <w:t>Red redundante de 100/1000 Base T</w:t>
      </w:r>
    </w:p>
    <w:p w14:paraId="52687171" w14:textId="77777777" w:rsidR="009102A7" w:rsidRPr="00576AF8" w:rsidRDefault="009102A7" w:rsidP="009102A7">
      <w:pPr>
        <w:numPr>
          <w:ilvl w:val="0"/>
          <w:numId w:val="392"/>
        </w:numPr>
        <w:ind w:right="41"/>
        <w:contextualSpacing/>
        <w:rPr>
          <w:sz w:val="22"/>
          <w:szCs w:val="22"/>
        </w:rPr>
      </w:pPr>
      <w:r w:rsidRPr="00576AF8">
        <w:rPr>
          <w:sz w:val="22"/>
          <w:szCs w:val="22"/>
        </w:rPr>
        <w:t>Fuente de alimentación redundante</w:t>
      </w:r>
    </w:p>
    <w:p w14:paraId="0BD4D153" w14:textId="77777777" w:rsidR="001A4D94" w:rsidRPr="00602598" w:rsidRDefault="000F3EB2" w:rsidP="009102A7">
      <w:pPr>
        <w:numPr>
          <w:ilvl w:val="0"/>
          <w:numId w:val="392"/>
        </w:numPr>
        <w:ind w:right="41"/>
        <w:contextualSpacing/>
        <w:rPr>
          <w:sz w:val="22"/>
          <w:szCs w:val="22"/>
        </w:rPr>
      </w:pPr>
      <w:r w:rsidRPr="00602598">
        <w:rPr>
          <w:sz w:val="22"/>
          <w:szCs w:val="22"/>
        </w:rPr>
        <w:t xml:space="preserve">SNTP, NTP, IRIG-B, PPS y PTP (IEEE 1588) </w:t>
      </w:r>
    </w:p>
    <w:p w14:paraId="042E9590" w14:textId="77777777" w:rsidR="009102A7" w:rsidRPr="00154F88" w:rsidRDefault="009102A7" w:rsidP="009102A7">
      <w:pPr>
        <w:numPr>
          <w:ilvl w:val="0"/>
          <w:numId w:val="392"/>
        </w:numPr>
        <w:ind w:right="41"/>
        <w:contextualSpacing/>
        <w:rPr>
          <w:sz w:val="22"/>
          <w:szCs w:val="22"/>
        </w:rPr>
      </w:pPr>
      <w:r w:rsidRPr="00154F88">
        <w:rPr>
          <w:sz w:val="22"/>
          <w:szCs w:val="22"/>
        </w:rPr>
        <w:t>Display frontal para configuración y status</w:t>
      </w:r>
    </w:p>
    <w:p w14:paraId="0A2C6CB0" w14:textId="77777777" w:rsidR="009102A7" w:rsidRPr="00154F88" w:rsidRDefault="009102A7" w:rsidP="009102A7">
      <w:pPr>
        <w:numPr>
          <w:ilvl w:val="0"/>
          <w:numId w:val="392"/>
        </w:numPr>
        <w:ind w:right="41"/>
        <w:contextualSpacing/>
        <w:rPr>
          <w:sz w:val="22"/>
          <w:szCs w:val="22"/>
        </w:rPr>
      </w:pPr>
      <w:r w:rsidRPr="00154F88">
        <w:rPr>
          <w:sz w:val="22"/>
          <w:szCs w:val="22"/>
        </w:rPr>
        <w:t>Configuración vía interfaz web, ssh o a través del panel frontal</w:t>
      </w:r>
    </w:p>
    <w:p w14:paraId="65525854" w14:textId="77777777" w:rsidR="009102A7" w:rsidRPr="00154F88" w:rsidRDefault="009102A7" w:rsidP="009102A7">
      <w:pPr>
        <w:numPr>
          <w:ilvl w:val="0"/>
          <w:numId w:val="392"/>
        </w:numPr>
        <w:ind w:right="41"/>
        <w:contextualSpacing/>
        <w:rPr>
          <w:sz w:val="22"/>
          <w:szCs w:val="22"/>
        </w:rPr>
      </w:pPr>
      <w:r w:rsidRPr="00154F88">
        <w:rPr>
          <w:sz w:val="22"/>
          <w:szCs w:val="22"/>
        </w:rPr>
        <w:t>Configuración de displays externos para presentar la fecha, la hora y la frecuencia del sistema</w:t>
      </w:r>
    </w:p>
    <w:p w14:paraId="231377CB" w14:textId="77777777" w:rsidR="009102A7" w:rsidRPr="00154F88" w:rsidRDefault="009102A7" w:rsidP="009102A7">
      <w:pPr>
        <w:numPr>
          <w:ilvl w:val="0"/>
          <w:numId w:val="392"/>
        </w:numPr>
        <w:ind w:right="41"/>
        <w:contextualSpacing/>
        <w:rPr>
          <w:sz w:val="22"/>
          <w:szCs w:val="22"/>
        </w:rPr>
      </w:pPr>
      <w:r w:rsidRPr="00154F88">
        <w:rPr>
          <w:sz w:val="22"/>
          <w:szCs w:val="22"/>
        </w:rPr>
        <w:t>Tarjeta adicional para la medición de la frecuencia de la red medida obtenida desde la subestación más cercana.</w:t>
      </w:r>
    </w:p>
    <w:p w14:paraId="3CE76217" w14:textId="77777777" w:rsidR="009102A7" w:rsidRPr="00154F88" w:rsidRDefault="009102A7" w:rsidP="009102A7">
      <w:pPr>
        <w:numPr>
          <w:ilvl w:val="0"/>
          <w:numId w:val="392"/>
        </w:numPr>
        <w:ind w:right="41"/>
        <w:contextualSpacing/>
        <w:rPr>
          <w:sz w:val="22"/>
          <w:lang w:val="pt-BR"/>
        </w:rPr>
      </w:pPr>
      <w:r w:rsidRPr="00154F88">
        <w:rPr>
          <w:sz w:val="22"/>
          <w:lang w:val="pt-BR"/>
        </w:rPr>
        <w:t xml:space="preserve">Voltaje nominal: 100-240 V AC (50/60 Hz) </w:t>
      </w:r>
    </w:p>
    <w:p w14:paraId="13AAE0CD" w14:textId="77777777" w:rsidR="009102A7" w:rsidRPr="00154F88" w:rsidRDefault="009102A7" w:rsidP="009102A7">
      <w:pPr>
        <w:numPr>
          <w:ilvl w:val="0"/>
          <w:numId w:val="392"/>
        </w:numPr>
        <w:ind w:right="41"/>
        <w:contextualSpacing/>
        <w:rPr>
          <w:sz w:val="22"/>
          <w:szCs w:val="22"/>
        </w:rPr>
      </w:pPr>
      <w:r w:rsidRPr="00154F88">
        <w:rPr>
          <w:sz w:val="22"/>
          <w:szCs w:val="22"/>
        </w:rPr>
        <w:t xml:space="preserve">Temperatura de Operación: 0 - 50 °C (32 - 122 °F) </w:t>
      </w:r>
    </w:p>
    <w:p w14:paraId="1D7EE726" w14:textId="77777777" w:rsidR="000F3EB2" w:rsidRPr="00154F88" w:rsidRDefault="009102A7" w:rsidP="00351C62">
      <w:pPr>
        <w:numPr>
          <w:ilvl w:val="0"/>
          <w:numId w:val="392"/>
        </w:numPr>
        <w:ind w:right="41"/>
        <w:contextualSpacing/>
        <w:rPr>
          <w:sz w:val="22"/>
          <w:szCs w:val="22"/>
        </w:rPr>
      </w:pPr>
      <w:r w:rsidRPr="00154F88">
        <w:rPr>
          <w:sz w:val="22"/>
          <w:szCs w:val="22"/>
        </w:rPr>
        <w:t>Humedad Máx. 85 % (non-condensante) a 40 °C</w:t>
      </w:r>
    </w:p>
    <w:p w14:paraId="28766C01" w14:textId="77777777" w:rsidR="000F3EB2" w:rsidRPr="00602598" w:rsidRDefault="000F3EB2" w:rsidP="000F3EB2">
      <w:pPr>
        <w:numPr>
          <w:ilvl w:val="0"/>
          <w:numId w:val="392"/>
        </w:numPr>
        <w:suppressAutoHyphens w:val="0"/>
        <w:spacing w:after="0"/>
        <w:contextualSpacing/>
        <w:rPr>
          <w:color w:val="000000"/>
          <w:sz w:val="22"/>
          <w:szCs w:val="22"/>
          <w:lang w:val="es-EC" w:eastAsia="es-EC" w:bidi="ar-SA"/>
        </w:rPr>
      </w:pPr>
      <w:r w:rsidRPr="00602598">
        <w:rPr>
          <w:color w:val="000000"/>
          <w:sz w:val="22"/>
          <w:szCs w:val="22"/>
          <w:lang w:val="es-EC" w:eastAsia="es-EC" w:bidi="ar-SA"/>
        </w:rPr>
        <w:t>En caso de pérdidas de señal con los satélites debe tener un tiempo de mantenimiento con un oscilador local (holdover)</w:t>
      </w:r>
    </w:p>
    <w:p w14:paraId="237BC8F4" w14:textId="77777777" w:rsidR="009102A7" w:rsidRPr="00576AF8" w:rsidRDefault="009102A7" w:rsidP="008C0D90">
      <w:pPr>
        <w:ind w:right="41"/>
        <w:outlineLvl w:val="1"/>
        <w:rPr>
          <w:b/>
          <w:sz w:val="22"/>
          <w:szCs w:val="22"/>
        </w:rPr>
      </w:pPr>
      <w:r w:rsidRPr="00576AF8">
        <w:rPr>
          <w:b/>
          <w:sz w:val="22"/>
          <w:szCs w:val="22"/>
        </w:rPr>
        <w:t>3.1.1.10 Consolas</w:t>
      </w:r>
    </w:p>
    <w:p w14:paraId="5ED8F807" w14:textId="77777777" w:rsidR="009102A7" w:rsidRPr="00576AF8" w:rsidRDefault="009102A7" w:rsidP="009102A7">
      <w:pPr>
        <w:ind w:left="1416" w:right="41"/>
        <w:rPr>
          <w:sz w:val="22"/>
          <w:szCs w:val="22"/>
        </w:rPr>
      </w:pPr>
      <w:r w:rsidRPr="00576AF8">
        <w:rPr>
          <w:sz w:val="22"/>
          <w:szCs w:val="22"/>
        </w:rPr>
        <w:t>a. El Proveedor deberá proporcionar el siguiente número de consolas conformadas por los PC con el sistema operativo propuesto por el Proveedor y con la cantidad de monitores indicados a continuación:</w:t>
      </w:r>
    </w:p>
    <w:p w14:paraId="44B01802" w14:textId="77777777" w:rsidR="009102A7" w:rsidRPr="00576AF8" w:rsidRDefault="003A1367" w:rsidP="009102A7">
      <w:pPr>
        <w:numPr>
          <w:ilvl w:val="0"/>
          <w:numId w:val="210"/>
        </w:numPr>
        <w:ind w:right="41"/>
        <w:contextualSpacing/>
        <w:rPr>
          <w:sz w:val="22"/>
          <w:szCs w:val="22"/>
        </w:rPr>
      </w:pPr>
      <w:r w:rsidRPr="00576AF8">
        <w:rPr>
          <w:sz w:val="22"/>
          <w:szCs w:val="22"/>
        </w:rPr>
        <w:t xml:space="preserve">12 </w:t>
      </w:r>
      <w:r w:rsidR="009102A7" w:rsidRPr="00576AF8">
        <w:rPr>
          <w:sz w:val="22"/>
          <w:szCs w:val="22"/>
        </w:rPr>
        <w:t>Consolas de operadores:</w:t>
      </w:r>
      <w:r w:rsidR="009102A7" w:rsidRPr="00576AF8">
        <w:rPr>
          <w:sz w:val="22"/>
          <w:szCs w:val="22"/>
        </w:rPr>
        <w:tab/>
        <w:t>4 monitores</w:t>
      </w:r>
      <w:r w:rsidR="009102A7" w:rsidRPr="00576AF8">
        <w:rPr>
          <w:sz w:val="22"/>
          <w:szCs w:val="22"/>
        </w:rPr>
        <w:tab/>
      </w:r>
    </w:p>
    <w:p w14:paraId="3295DB0C" w14:textId="77777777" w:rsidR="009102A7" w:rsidRPr="00576AF8" w:rsidRDefault="009102A7" w:rsidP="009102A7">
      <w:pPr>
        <w:numPr>
          <w:ilvl w:val="0"/>
          <w:numId w:val="210"/>
        </w:numPr>
        <w:ind w:right="41"/>
        <w:contextualSpacing/>
        <w:rPr>
          <w:sz w:val="22"/>
          <w:szCs w:val="22"/>
        </w:rPr>
      </w:pPr>
      <w:r w:rsidRPr="00576AF8">
        <w:rPr>
          <w:sz w:val="22"/>
          <w:szCs w:val="22"/>
        </w:rPr>
        <w:t>22 Consolas de ingeniería:</w:t>
      </w:r>
      <w:r w:rsidRPr="00576AF8">
        <w:rPr>
          <w:sz w:val="22"/>
          <w:szCs w:val="22"/>
        </w:rPr>
        <w:tab/>
        <w:t>2 monitores</w:t>
      </w:r>
    </w:p>
    <w:p w14:paraId="3A01186D" w14:textId="77777777" w:rsidR="009102A7" w:rsidRPr="00576AF8" w:rsidRDefault="009102A7" w:rsidP="009102A7">
      <w:pPr>
        <w:numPr>
          <w:ilvl w:val="0"/>
          <w:numId w:val="210"/>
        </w:numPr>
        <w:ind w:right="41"/>
        <w:contextualSpacing/>
        <w:rPr>
          <w:sz w:val="22"/>
          <w:szCs w:val="22"/>
        </w:rPr>
      </w:pPr>
      <w:r w:rsidRPr="00576AF8">
        <w:rPr>
          <w:sz w:val="22"/>
          <w:szCs w:val="22"/>
        </w:rPr>
        <w:t>6 Consolas de OTS:</w:t>
      </w:r>
      <w:r w:rsidRPr="00576AF8">
        <w:rPr>
          <w:sz w:val="22"/>
          <w:szCs w:val="22"/>
        </w:rPr>
        <w:tab/>
      </w:r>
      <w:r w:rsidRPr="00576AF8">
        <w:rPr>
          <w:sz w:val="22"/>
          <w:szCs w:val="22"/>
        </w:rPr>
        <w:tab/>
        <w:t>3 monitores</w:t>
      </w:r>
    </w:p>
    <w:p w14:paraId="5712E8DC" w14:textId="77777777" w:rsidR="009102A7" w:rsidRPr="00576AF8" w:rsidRDefault="009102A7" w:rsidP="009102A7">
      <w:pPr>
        <w:numPr>
          <w:ilvl w:val="0"/>
          <w:numId w:val="210"/>
        </w:numPr>
        <w:ind w:right="41"/>
        <w:contextualSpacing/>
        <w:rPr>
          <w:sz w:val="22"/>
          <w:szCs w:val="22"/>
        </w:rPr>
      </w:pPr>
      <w:r w:rsidRPr="00576AF8">
        <w:rPr>
          <w:sz w:val="22"/>
          <w:szCs w:val="22"/>
        </w:rPr>
        <w:t>4 Consolas de QAS:</w:t>
      </w:r>
      <w:r w:rsidRPr="00576AF8">
        <w:rPr>
          <w:sz w:val="22"/>
          <w:szCs w:val="22"/>
        </w:rPr>
        <w:tab/>
      </w:r>
      <w:r w:rsidRPr="00576AF8">
        <w:rPr>
          <w:sz w:val="22"/>
          <w:szCs w:val="22"/>
        </w:rPr>
        <w:tab/>
        <w:t>2 monitores</w:t>
      </w:r>
      <w:r w:rsidRPr="00576AF8">
        <w:rPr>
          <w:sz w:val="22"/>
          <w:szCs w:val="22"/>
        </w:rPr>
        <w:tab/>
      </w:r>
    </w:p>
    <w:p w14:paraId="0B7C22E8" w14:textId="77777777" w:rsidR="009102A7" w:rsidRPr="00576AF8" w:rsidRDefault="009102A7" w:rsidP="009102A7">
      <w:pPr>
        <w:numPr>
          <w:ilvl w:val="0"/>
          <w:numId w:val="210"/>
        </w:numPr>
        <w:ind w:right="41"/>
        <w:contextualSpacing/>
        <w:rPr>
          <w:sz w:val="22"/>
          <w:szCs w:val="22"/>
        </w:rPr>
      </w:pPr>
      <w:r w:rsidRPr="00576AF8">
        <w:rPr>
          <w:sz w:val="22"/>
          <w:szCs w:val="22"/>
        </w:rPr>
        <w:t>3 Consolas de PDS:</w:t>
      </w:r>
      <w:r w:rsidRPr="00576AF8">
        <w:rPr>
          <w:sz w:val="22"/>
          <w:szCs w:val="22"/>
        </w:rPr>
        <w:tab/>
      </w:r>
      <w:r w:rsidRPr="00576AF8">
        <w:rPr>
          <w:sz w:val="22"/>
          <w:szCs w:val="22"/>
        </w:rPr>
        <w:tab/>
        <w:t>2 monitores</w:t>
      </w:r>
    </w:p>
    <w:p w14:paraId="3453CFBC" w14:textId="77777777" w:rsidR="009102A7" w:rsidRPr="00576AF8" w:rsidRDefault="009102A7" w:rsidP="009102A7">
      <w:pPr>
        <w:ind w:left="1416" w:right="41"/>
        <w:rPr>
          <w:sz w:val="22"/>
          <w:szCs w:val="22"/>
        </w:rPr>
      </w:pPr>
      <w:r w:rsidRPr="00576AF8">
        <w:rPr>
          <w:sz w:val="22"/>
          <w:szCs w:val="22"/>
        </w:rPr>
        <w:t>b.</w:t>
      </w:r>
      <w:r w:rsidRPr="00576AF8">
        <w:rPr>
          <w:sz w:val="22"/>
          <w:szCs w:val="22"/>
        </w:rPr>
        <w:tab/>
        <w:t>Las consolas provistas deberán cumplir las siguientes características mínimas:</w:t>
      </w:r>
    </w:p>
    <w:p w14:paraId="0E5534A5" w14:textId="77777777" w:rsidR="009102A7" w:rsidRPr="00576AF8" w:rsidRDefault="009102A7" w:rsidP="009102A7">
      <w:pPr>
        <w:numPr>
          <w:ilvl w:val="0"/>
          <w:numId w:val="211"/>
        </w:numPr>
        <w:ind w:right="41"/>
        <w:contextualSpacing/>
        <w:rPr>
          <w:sz w:val="22"/>
          <w:szCs w:val="22"/>
        </w:rPr>
      </w:pPr>
      <w:r w:rsidRPr="00576AF8">
        <w:rPr>
          <w:sz w:val="22"/>
          <w:szCs w:val="22"/>
        </w:rPr>
        <w:t>Estar certificadas para el sistema operativo</w:t>
      </w:r>
    </w:p>
    <w:p w14:paraId="75D14D25" w14:textId="77777777" w:rsidR="009102A7" w:rsidRPr="00576AF8" w:rsidRDefault="009102A7" w:rsidP="009102A7">
      <w:pPr>
        <w:numPr>
          <w:ilvl w:val="0"/>
          <w:numId w:val="211"/>
        </w:numPr>
        <w:ind w:right="41"/>
        <w:contextualSpacing/>
        <w:rPr>
          <w:sz w:val="22"/>
          <w:szCs w:val="22"/>
        </w:rPr>
      </w:pPr>
      <w:r w:rsidRPr="00576AF8">
        <w:rPr>
          <w:sz w:val="22"/>
          <w:szCs w:val="22"/>
        </w:rPr>
        <w:t>Procesador: de última generación lo suficientemente potente como para manejar las tareas de procesamiento de las interfaces de ingeniería y de IHM del sistema SCADA, entre estos pueden ser Intel, AMD o equivalentes con una velocidad mayor o igual a 2.4 GHz, mayor de 10 cores.</w:t>
      </w:r>
    </w:p>
    <w:p w14:paraId="79896EE9" w14:textId="77777777" w:rsidR="009102A7" w:rsidRPr="00576AF8" w:rsidRDefault="009102A7" w:rsidP="009102A7">
      <w:pPr>
        <w:numPr>
          <w:ilvl w:val="0"/>
          <w:numId w:val="211"/>
        </w:numPr>
        <w:ind w:right="41"/>
        <w:contextualSpacing/>
        <w:rPr>
          <w:sz w:val="22"/>
          <w:szCs w:val="22"/>
        </w:rPr>
      </w:pPr>
      <w:r w:rsidRPr="00576AF8">
        <w:rPr>
          <w:sz w:val="22"/>
          <w:szCs w:val="22"/>
        </w:rPr>
        <w:t>GPU: La consola debe incluir un GPU independiente que al menos tenga 4 salidas de video, que garantice los requerimientos de desempeño en el manejo de los gráficos utilizados por el software de ingeniería y de operación del sistema mediante el IHM.</w:t>
      </w:r>
    </w:p>
    <w:p w14:paraId="2870E532" w14:textId="77777777" w:rsidR="009102A7" w:rsidRPr="00576AF8" w:rsidRDefault="009102A7" w:rsidP="009102A7">
      <w:pPr>
        <w:numPr>
          <w:ilvl w:val="0"/>
          <w:numId w:val="211"/>
        </w:numPr>
        <w:ind w:right="41"/>
        <w:contextualSpacing/>
        <w:rPr>
          <w:sz w:val="22"/>
          <w:szCs w:val="22"/>
        </w:rPr>
      </w:pPr>
      <w:r w:rsidRPr="00576AF8">
        <w:rPr>
          <w:sz w:val="22"/>
          <w:szCs w:val="22"/>
        </w:rPr>
        <w:t>Memoria RAM: La cantidad de memoria RAM necesaria dependerá del tamaño y la complejidad del sistema SCADA propuesto por el Proveedor. No deberá ser menor a 32GB.</w:t>
      </w:r>
    </w:p>
    <w:p w14:paraId="0E156F15" w14:textId="77777777" w:rsidR="009102A7" w:rsidRPr="00576AF8" w:rsidRDefault="009102A7" w:rsidP="009102A7">
      <w:pPr>
        <w:numPr>
          <w:ilvl w:val="0"/>
          <w:numId w:val="211"/>
        </w:numPr>
        <w:ind w:right="41"/>
        <w:contextualSpacing/>
        <w:rPr>
          <w:sz w:val="22"/>
          <w:szCs w:val="22"/>
        </w:rPr>
      </w:pPr>
      <w:r w:rsidRPr="00576AF8">
        <w:rPr>
          <w:sz w:val="22"/>
          <w:szCs w:val="22"/>
        </w:rPr>
        <w:t xml:space="preserve">Almacenamiento: Las consolas dispondrán de discos de estado sólido SSD NVMe de capacidad mínima de 1 TB y su utilización inicial no debe exceder del 20%. </w:t>
      </w:r>
    </w:p>
    <w:p w14:paraId="675329C8" w14:textId="77777777" w:rsidR="009102A7" w:rsidRPr="00576AF8" w:rsidRDefault="009102A7" w:rsidP="009102A7">
      <w:pPr>
        <w:numPr>
          <w:ilvl w:val="0"/>
          <w:numId w:val="211"/>
        </w:numPr>
        <w:ind w:right="41"/>
        <w:contextualSpacing/>
        <w:rPr>
          <w:sz w:val="22"/>
          <w:szCs w:val="22"/>
        </w:rPr>
      </w:pPr>
      <w:r w:rsidRPr="00576AF8">
        <w:rPr>
          <w:sz w:val="22"/>
          <w:szCs w:val="22"/>
        </w:rPr>
        <w:t>Monitores con resolución 4k es decir de al menos 27”.</w:t>
      </w:r>
    </w:p>
    <w:p w14:paraId="7C76BD7C" w14:textId="77777777" w:rsidR="009102A7" w:rsidRPr="00576AF8" w:rsidRDefault="009102A7" w:rsidP="009102A7">
      <w:pPr>
        <w:numPr>
          <w:ilvl w:val="0"/>
          <w:numId w:val="211"/>
        </w:numPr>
        <w:ind w:right="41"/>
        <w:contextualSpacing/>
        <w:rPr>
          <w:sz w:val="22"/>
          <w:szCs w:val="22"/>
        </w:rPr>
      </w:pPr>
      <w:r w:rsidRPr="00576AF8">
        <w:rPr>
          <w:sz w:val="22"/>
          <w:szCs w:val="22"/>
        </w:rPr>
        <w:t>Red: las consolas deberán tener una conexión de red redundante mediante dos tarjertas de red de alta velocidad 1/ Gbps.</w:t>
      </w:r>
    </w:p>
    <w:p w14:paraId="72504A76" w14:textId="77777777" w:rsidR="009102A7" w:rsidRPr="00576AF8" w:rsidRDefault="009102A7" w:rsidP="009102A7">
      <w:pPr>
        <w:numPr>
          <w:ilvl w:val="0"/>
          <w:numId w:val="211"/>
        </w:numPr>
        <w:ind w:right="41"/>
        <w:contextualSpacing/>
        <w:rPr>
          <w:sz w:val="22"/>
          <w:lang w:val="pt-BR"/>
        </w:rPr>
      </w:pPr>
      <w:r w:rsidRPr="00576AF8">
        <w:rPr>
          <w:sz w:val="22"/>
          <w:lang w:val="pt-BR"/>
        </w:rPr>
        <w:t xml:space="preserve">Voltaje nominal: 100-240 V AC (50/60 Hz) </w:t>
      </w:r>
    </w:p>
    <w:p w14:paraId="0D4579FF" w14:textId="77777777" w:rsidR="009102A7" w:rsidRPr="00576AF8" w:rsidRDefault="009102A7" w:rsidP="009102A7">
      <w:pPr>
        <w:numPr>
          <w:ilvl w:val="0"/>
          <w:numId w:val="211"/>
        </w:numPr>
        <w:ind w:right="41"/>
        <w:contextualSpacing/>
        <w:rPr>
          <w:sz w:val="22"/>
          <w:szCs w:val="22"/>
        </w:rPr>
      </w:pPr>
      <w:r w:rsidRPr="00576AF8">
        <w:rPr>
          <w:sz w:val="22"/>
          <w:szCs w:val="22"/>
        </w:rPr>
        <w:t xml:space="preserve">Temperatura de Operación: 0 - 50 °C (32 - 122 °F) </w:t>
      </w:r>
    </w:p>
    <w:p w14:paraId="3D65D91E" w14:textId="77777777" w:rsidR="009102A7" w:rsidRPr="00576AF8" w:rsidRDefault="009102A7" w:rsidP="009102A7">
      <w:pPr>
        <w:numPr>
          <w:ilvl w:val="0"/>
          <w:numId w:val="211"/>
        </w:numPr>
        <w:ind w:right="41"/>
        <w:contextualSpacing/>
        <w:rPr>
          <w:sz w:val="22"/>
          <w:szCs w:val="22"/>
        </w:rPr>
      </w:pPr>
      <w:r w:rsidRPr="00576AF8">
        <w:rPr>
          <w:sz w:val="22"/>
          <w:szCs w:val="22"/>
        </w:rPr>
        <w:t>Humedad Máx. 85 % (non-condensante) a 40 °C</w:t>
      </w:r>
    </w:p>
    <w:p w14:paraId="0747378F" w14:textId="77777777" w:rsidR="009102A7" w:rsidRPr="00576AF8" w:rsidRDefault="009102A7" w:rsidP="009102A7">
      <w:pPr>
        <w:numPr>
          <w:ilvl w:val="0"/>
          <w:numId w:val="211"/>
        </w:numPr>
        <w:ind w:right="41"/>
        <w:contextualSpacing/>
        <w:rPr>
          <w:sz w:val="22"/>
          <w:szCs w:val="22"/>
        </w:rPr>
      </w:pPr>
      <w:r w:rsidRPr="00576AF8">
        <w:rPr>
          <w:sz w:val="22"/>
          <w:szCs w:val="22"/>
        </w:rPr>
        <w:lastRenderedPageBreak/>
        <w:t>Pantallas de alta resolución con una resolución mínima de 4K diseñadas para operación ininterrumpida 24/7.</w:t>
      </w:r>
    </w:p>
    <w:p w14:paraId="522B0C64" w14:textId="77777777" w:rsidR="009102A7" w:rsidRPr="00576AF8" w:rsidRDefault="009102A7" w:rsidP="009102A7">
      <w:pPr>
        <w:numPr>
          <w:ilvl w:val="0"/>
          <w:numId w:val="211"/>
        </w:numPr>
        <w:ind w:right="41"/>
        <w:contextualSpacing/>
        <w:rPr>
          <w:sz w:val="22"/>
          <w:szCs w:val="22"/>
        </w:rPr>
      </w:pPr>
      <w:r w:rsidRPr="00576AF8">
        <w:rPr>
          <w:sz w:val="22"/>
          <w:szCs w:val="22"/>
        </w:rPr>
        <w:t>Estaciones de trabajo de alto rendimiento con procesadores multinúcleo y procesadores gráficos con suficiente memoria RAM para ejecutar aplicaciones en tiempo real y software de visualización de datos de alta calidad, con teclados ergonómicos y dispositivos de puntero.</w:t>
      </w:r>
    </w:p>
    <w:p w14:paraId="58872EF2" w14:textId="77777777" w:rsidR="009102A7" w:rsidRPr="00576AF8" w:rsidRDefault="009102A7" w:rsidP="009102A7">
      <w:pPr>
        <w:ind w:left="1416" w:right="41"/>
        <w:rPr>
          <w:sz w:val="22"/>
          <w:szCs w:val="22"/>
        </w:rPr>
      </w:pPr>
      <w:r w:rsidRPr="00576AF8">
        <w:rPr>
          <w:sz w:val="22"/>
          <w:szCs w:val="22"/>
        </w:rPr>
        <w:t>Las consolas de operadores y OTS ofrecidas deberán ser de montaje centralizado en brazos de las mesas de la sala de control y sala de OTS de CENACE, por lo que el Proveedor deberá entregar e instalar dichos elementos para estas consolas.</w:t>
      </w:r>
      <w:r w:rsidR="003A1367" w:rsidRPr="00576AF8">
        <w:rPr>
          <w:sz w:val="22"/>
          <w:szCs w:val="22"/>
        </w:rPr>
        <w:t xml:space="preserve">  Los detalles respectivos se presentan en el Anexo 4.</w:t>
      </w:r>
    </w:p>
    <w:p w14:paraId="5520D2DA" w14:textId="77777777" w:rsidR="009102A7" w:rsidRPr="00576AF8" w:rsidRDefault="009102A7" w:rsidP="008C0D90">
      <w:pPr>
        <w:ind w:right="41"/>
        <w:outlineLvl w:val="1"/>
        <w:rPr>
          <w:b/>
          <w:sz w:val="22"/>
          <w:szCs w:val="22"/>
        </w:rPr>
      </w:pPr>
      <w:r w:rsidRPr="00576AF8">
        <w:rPr>
          <w:b/>
          <w:sz w:val="22"/>
          <w:szCs w:val="22"/>
        </w:rPr>
        <w:t>3.1.1.11 Sistema de Respaldo y Recuperación de Datos</w:t>
      </w:r>
    </w:p>
    <w:p w14:paraId="6745E656" w14:textId="77777777" w:rsidR="009102A7" w:rsidRPr="00576AF8" w:rsidRDefault="009102A7" w:rsidP="009102A7">
      <w:pPr>
        <w:numPr>
          <w:ilvl w:val="0"/>
          <w:numId w:val="147"/>
        </w:numPr>
        <w:ind w:left="1843" w:right="41"/>
        <w:contextualSpacing/>
        <w:rPr>
          <w:sz w:val="22"/>
          <w:szCs w:val="22"/>
        </w:rPr>
      </w:pPr>
      <w:r w:rsidRPr="00576AF8">
        <w:rPr>
          <w:sz w:val="22"/>
          <w:szCs w:val="22"/>
        </w:rPr>
        <w:t>El Proveedor debe entregar una solución que permita el almacenamiento seguro de los respaldos de información y recuperación mediante un sistema de copias de seguridad programadas de los datos críticos</w:t>
      </w:r>
      <w:r w:rsidR="000B7E5C" w:rsidRPr="00576AF8">
        <w:rPr>
          <w:sz w:val="22"/>
          <w:szCs w:val="22"/>
        </w:rPr>
        <w:t>, correspondientes a la información del sistema eléctrico ecuatoriano generada en los ambientes de producción y QAS,</w:t>
      </w:r>
      <w:r w:rsidRPr="00576AF8">
        <w:rPr>
          <w:sz w:val="22"/>
          <w:szCs w:val="22"/>
        </w:rPr>
        <w:t xml:space="preserve"> en medios de almacenamiento, como cintas, discos duros o la combinación de ambos. El dimensionamiento será suficiente para almacenar la información crítica sugerida por el Proveedor, con un programa de respaldos totales e incrementales con retención de al menos dos (2) años.</w:t>
      </w:r>
    </w:p>
    <w:p w14:paraId="7FA255B8" w14:textId="77777777" w:rsidR="009102A7" w:rsidRPr="00576AF8" w:rsidRDefault="009102A7" w:rsidP="009102A7">
      <w:pPr>
        <w:numPr>
          <w:ilvl w:val="0"/>
          <w:numId w:val="147"/>
        </w:numPr>
        <w:ind w:left="1843" w:right="41"/>
        <w:contextualSpacing/>
        <w:rPr>
          <w:sz w:val="22"/>
          <w:szCs w:val="22"/>
        </w:rPr>
      </w:pPr>
      <w:r w:rsidRPr="00576AF8">
        <w:rPr>
          <w:sz w:val="22"/>
          <w:szCs w:val="22"/>
        </w:rPr>
        <w:t>La solución de respaldo y recuperación de información del Proveedor será compatible tanto para sistemas físicos como virtualizados. Si la solución SCADA/EMS del Proveedor utiliza virtualización, la solución de backup ofrecerá características avanzadas como recuperación instantánea de máquinas virtuales VM, recuperación granular a nivel de archivo y que permita restauración en una ubicación alterna.</w:t>
      </w:r>
    </w:p>
    <w:p w14:paraId="11BF63F1" w14:textId="77777777" w:rsidR="009102A7" w:rsidRPr="00576AF8" w:rsidRDefault="009102A7" w:rsidP="009102A7">
      <w:pPr>
        <w:numPr>
          <w:ilvl w:val="0"/>
          <w:numId w:val="147"/>
        </w:numPr>
        <w:ind w:left="1843" w:right="41"/>
        <w:contextualSpacing/>
        <w:rPr>
          <w:sz w:val="22"/>
          <w:szCs w:val="22"/>
        </w:rPr>
      </w:pPr>
      <w:r w:rsidRPr="00576AF8">
        <w:rPr>
          <w:sz w:val="22"/>
          <w:szCs w:val="22"/>
        </w:rPr>
        <w:t>La solución entregada deberá contar con un servidor dedicado e independiente que proveerá capacidades centralizadas de gestión y monitorización, a través de una consola, que permita a los administradores configurar, monitorizar, e informar fácilmente, los trabajos de backup y de replicación en toda la infraestructura.</w:t>
      </w:r>
    </w:p>
    <w:p w14:paraId="7669BDD5" w14:textId="77777777" w:rsidR="009102A7" w:rsidRPr="00576AF8" w:rsidRDefault="009102A7" w:rsidP="009102A7">
      <w:pPr>
        <w:numPr>
          <w:ilvl w:val="0"/>
          <w:numId w:val="147"/>
        </w:numPr>
        <w:ind w:left="1843" w:right="41"/>
        <w:contextualSpacing/>
        <w:rPr>
          <w:sz w:val="22"/>
          <w:szCs w:val="22"/>
        </w:rPr>
      </w:pPr>
      <w:r w:rsidRPr="00576AF8">
        <w:rPr>
          <w:sz w:val="22"/>
          <w:szCs w:val="22"/>
        </w:rPr>
        <w:t>La solución de backup y recuperación permitirá escalar fácilmente para adaptarse a las crecientes necesidades de respaldo y recuperación.</w:t>
      </w:r>
    </w:p>
    <w:p w14:paraId="51A497CD" w14:textId="77777777" w:rsidR="009102A7" w:rsidRPr="00576AF8" w:rsidRDefault="009102A7" w:rsidP="009102A7">
      <w:pPr>
        <w:numPr>
          <w:ilvl w:val="0"/>
          <w:numId w:val="147"/>
        </w:numPr>
        <w:ind w:left="1843" w:right="41"/>
        <w:contextualSpacing/>
        <w:rPr>
          <w:sz w:val="22"/>
          <w:szCs w:val="22"/>
        </w:rPr>
      </w:pPr>
      <w:r w:rsidRPr="00576AF8">
        <w:rPr>
          <w:sz w:val="22"/>
          <w:szCs w:val="22"/>
        </w:rPr>
        <w:t>La solución a ofrecer permitirá la posibilidad de utilizar almacenamiento en una ubicación alterna como parte de la estrategia de respaldo.</w:t>
      </w:r>
    </w:p>
    <w:p w14:paraId="32608464" w14:textId="77777777" w:rsidR="009102A7" w:rsidRPr="00576AF8" w:rsidRDefault="009102A7" w:rsidP="008C0D90">
      <w:pPr>
        <w:ind w:right="41"/>
        <w:outlineLvl w:val="1"/>
        <w:rPr>
          <w:b/>
          <w:sz w:val="22"/>
          <w:szCs w:val="22"/>
        </w:rPr>
      </w:pPr>
      <w:r w:rsidRPr="00576AF8">
        <w:rPr>
          <w:b/>
          <w:sz w:val="22"/>
          <w:szCs w:val="22"/>
        </w:rPr>
        <w:t>3.1.1.12 Simuladores de Protocolos</w:t>
      </w:r>
    </w:p>
    <w:p w14:paraId="3BC3BFE7" w14:textId="77777777" w:rsidR="009102A7" w:rsidRPr="00576AF8" w:rsidRDefault="009102A7" w:rsidP="009102A7">
      <w:pPr>
        <w:numPr>
          <w:ilvl w:val="0"/>
          <w:numId w:val="160"/>
        </w:numPr>
        <w:ind w:right="41"/>
        <w:contextualSpacing/>
        <w:rPr>
          <w:sz w:val="22"/>
          <w:szCs w:val="22"/>
        </w:rPr>
      </w:pPr>
      <w:r w:rsidRPr="00576AF8">
        <w:rPr>
          <w:sz w:val="22"/>
          <w:szCs w:val="22"/>
        </w:rPr>
        <w:t xml:space="preserve">El Proveedor deberá entregar a CENACE 4 simuladores de protocolos de comunicaciones con licencia para todos los protocolos establecidos para la adquisición de datos del nuevo SCADA/EMS, herramientas que serán utilizadas en caso de requerirse para la ejecución de pruebas. </w:t>
      </w:r>
    </w:p>
    <w:p w14:paraId="5FA5D702" w14:textId="77777777" w:rsidR="009102A7" w:rsidRPr="00576AF8" w:rsidRDefault="009102A7" w:rsidP="009102A7">
      <w:pPr>
        <w:numPr>
          <w:ilvl w:val="0"/>
          <w:numId w:val="160"/>
        </w:numPr>
        <w:ind w:right="41"/>
        <w:contextualSpacing/>
        <w:rPr>
          <w:sz w:val="22"/>
          <w:szCs w:val="22"/>
        </w:rPr>
      </w:pPr>
      <w:r w:rsidRPr="00576AF8">
        <w:rPr>
          <w:sz w:val="22"/>
          <w:szCs w:val="22"/>
        </w:rPr>
        <w:t>Estos simuladores soportarán los protocolos de comunicaciones referidos en este documento tanto seriales como TCP/IP</w:t>
      </w:r>
    </w:p>
    <w:p w14:paraId="78365C9D" w14:textId="77777777" w:rsidR="009102A7" w:rsidRPr="00576AF8" w:rsidRDefault="009102A7" w:rsidP="009102A7">
      <w:pPr>
        <w:numPr>
          <w:ilvl w:val="0"/>
          <w:numId w:val="160"/>
        </w:numPr>
        <w:ind w:right="41"/>
        <w:contextualSpacing/>
        <w:rPr>
          <w:sz w:val="22"/>
          <w:szCs w:val="22"/>
        </w:rPr>
      </w:pPr>
      <w:r w:rsidRPr="00576AF8">
        <w:rPr>
          <w:sz w:val="22"/>
          <w:szCs w:val="22"/>
        </w:rPr>
        <w:t xml:space="preserve">Estos simuladores tendrán la capacidad de ser configurado como maestro/ esclavo, RTU/FE, y/o Cliente Servidor o en modo escucha, dependiendo del protocolo de comunicaciones. </w:t>
      </w:r>
    </w:p>
    <w:p w14:paraId="588BDAA9" w14:textId="77777777" w:rsidR="009102A7" w:rsidRPr="00576AF8" w:rsidRDefault="009102A7" w:rsidP="009102A7">
      <w:pPr>
        <w:ind w:right="41"/>
        <w:outlineLvl w:val="1"/>
        <w:rPr>
          <w:sz w:val="22"/>
          <w:szCs w:val="22"/>
        </w:rPr>
      </w:pPr>
      <w:bookmarkStart w:id="1199" w:name="_Toc521498259"/>
      <w:bookmarkStart w:id="1200" w:name="_Toc454958733"/>
      <w:bookmarkStart w:id="1201" w:name="_Toc476310108"/>
      <w:bookmarkStart w:id="1202" w:name="_Toc482896437"/>
      <w:bookmarkStart w:id="1203" w:name="_Toc99868861"/>
      <w:bookmarkStart w:id="1204" w:name="_Toc160706926"/>
      <w:bookmarkStart w:id="1205" w:name="_Toc160707516"/>
      <w:bookmarkStart w:id="1206" w:name="_Toc160707773"/>
      <w:r w:rsidRPr="00576AF8">
        <w:rPr>
          <w:b/>
          <w:bCs/>
          <w:sz w:val="22"/>
          <w:szCs w:val="22"/>
        </w:rPr>
        <w:t>3.2</w:t>
      </w:r>
      <w:r w:rsidRPr="00576AF8">
        <w:tab/>
      </w:r>
      <w:r w:rsidRPr="00576AF8">
        <w:rPr>
          <w:b/>
          <w:bCs/>
          <w:sz w:val="22"/>
          <w:szCs w:val="22"/>
        </w:rPr>
        <w:t xml:space="preserve">Especificaciones de Redes y </w:t>
      </w:r>
      <w:bookmarkEnd w:id="1199"/>
      <w:bookmarkEnd w:id="1200"/>
      <w:bookmarkEnd w:id="1201"/>
      <w:bookmarkEnd w:id="1202"/>
      <w:r w:rsidRPr="00576AF8">
        <w:rPr>
          <w:b/>
          <w:bCs/>
          <w:sz w:val="22"/>
          <w:szCs w:val="22"/>
        </w:rPr>
        <w:t>Comunicaciones</w:t>
      </w:r>
      <w:bookmarkEnd w:id="1203"/>
      <w:bookmarkEnd w:id="1204"/>
      <w:bookmarkEnd w:id="1205"/>
      <w:bookmarkEnd w:id="1206"/>
    </w:p>
    <w:p w14:paraId="08506754" w14:textId="77777777" w:rsidR="009102A7" w:rsidRPr="00576AF8" w:rsidRDefault="009102A7" w:rsidP="009102A7">
      <w:pPr>
        <w:ind w:right="41"/>
        <w:rPr>
          <w:b/>
          <w:sz w:val="22"/>
          <w:szCs w:val="22"/>
        </w:rPr>
      </w:pPr>
      <w:r w:rsidRPr="00576AF8">
        <w:rPr>
          <w:sz w:val="22"/>
          <w:szCs w:val="22"/>
        </w:rPr>
        <w:t xml:space="preserve">El Proveedor deberá entregar todos los equipos de red para el SCADA/EMS que garanticen su buen funcionamiento, considerando que los mismos a lo largo de todo el sistema sean redundantes, tendrán además conexiones cruzadas de alta redundancia y disponibilidad, para la red; a excepción del sistema QAS que dispondrá de equipos sin redundancia; y todos los equipos de red a lo largo de todo el sistema tendrán la capacidad suficiente para conectar equipos de red dejando al menos un 20 % de reserva. El </w:t>
      </w:r>
      <w:r w:rsidRPr="00576AF8">
        <w:rPr>
          <w:sz w:val="22"/>
          <w:szCs w:val="22"/>
        </w:rPr>
        <w:lastRenderedPageBreak/>
        <w:t>proveedor deberá proporcionar un servidor físico o virtual que permita almacenar los logs de los equipos de red por al menos 3 meses.</w:t>
      </w:r>
    </w:p>
    <w:p w14:paraId="0F98C481" w14:textId="77777777" w:rsidR="009102A7" w:rsidRPr="00576AF8" w:rsidRDefault="009102A7" w:rsidP="009102A7">
      <w:pPr>
        <w:ind w:left="720" w:hanging="720"/>
        <w:jc w:val="left"/>
        <w:outlineLvl w:val="2"/>
        <w:rPr>
          <w:b/>
          <w:sz w:val="22"/>
          <w:szCs w:val="22"/>
        </w:rPr>
      </w:pPr>
      <w:bookmarkStart w:id="1207" w:name="_Toc160706927"/>
      <w:bookmarkStart w:id="1208" w:name="_Toc160707195"/>
      <w:bookmarkStart w:id="1209" w:name="_Toc160707517"/>
      <w:bookmarkStart w:id="1210" w:name="_Toc160707709"/>
      <w:bookmarkStart w:id="1211" w:name="_Toc160707774"/>
      <w:bookmarkStart w:id="1212" w:name="_Toc163137320"/>
      <w:r w:rsidRPr="00576AF8">
        <w:rPr>
          <w:b/>
          <w:sz w:val="22"/>
          <w:szCs w:val="22"/>
        </w:rPr>
        <w:t>3.2.1</w:t>
      </w:r>
      <w:r w:rsidRPr="00576AF8">
        <w:rPr>
          <w:b/>
          <w:sz w:val="22"/>
          <w:szCs w:val="22"/>
        </w:rPr>
        <w:tab/>
        <w:t>Red de área local:</w:t>
      </w:r>
      <w:bookmarkEnd w:id="1207"/>
      <w:bookmarkEnd w:id="1208"/>
      <w:bookmarkEnd w:id="1209"/>
      <w:bookmarkEnd w:id="1210"/>
      <w:bookmarkEnd w:id="1211"/>
      <w:bookmarkEnd w:id="1212"/>
    </w:p>
    <w:p w14:paraId="72B74B2C" w14:textId="77777777" w:rsidR="009102A7" w:rsidRPr="00576AF8" w:rsidRDefault="009102A7" w:rsidP="008C0D90">
      <w:pPr>
        <w:ind w:right="41"/>
        <w:outlineLvl w:val="1"/>
        <w:rPr>
          <w:sz w:val="22"/>
          <w:szCs w:val="22"/>
        </w:rPr>
      </w:pPr>
      <w:r w:rsidRPr="00576AF8">
        <w:rPr>
          <w:b/>
          <w:bCs/>
          <w:sz w:val="22"/>
          <w:szCs w:val="22"/>
        </w:rPr>
        <w:t>3.2.1.1</w:t>
      </w:r>
      <w:r w:rsidRPr="00576AF8">
        <w:tab/>
      </w:r>
      <w:r w:rsidRPr="00576AF8">
        <w:rPr>
          <w:b/>
          <w:bCs/>
          <w:sz w:val="22"/>
          <w:szCs w:val="22"/>
        </w:rPr>
        <w:t xml:space="preserve">Equipos y software: </w:t>
      </w:r>
    </w:p>
    <w:p w14:paraId="7CCBCDAB" w14:textId="77777777" w:rsidR="009102A7" w:rsidRPr="00576AF8" w:rsidRDefault="009102A7" w:rsidP="009102A7">
      <w:pPr>
        <w:ind w:left="2160" w:right="41" w:hanging="720"/>
        <w:rPr>
          <w:b/>
          <w:sz w:val="22"/>
          <w:szCs w:val="22"/>
        </w:rPr>
      </w:pPr>
      <w:r w:rsidRPr="00576AF8">
        <w:rPr>
          <w:b/>
          <w:sz w:val="22"/>
          <w:szCs w:val="22"/>
        </w:rPr>
        <w:t>Switches</w:t>
      </w:r>
    </w:p>
    <w:p w14:paraId="319E0E89" w14:textId="77777777" w:rsidR="009102A7" w:rsidRPr="00576AF8" w:rsidRDefault="009102A7" w:rsidP="009102A7">
      <w:pPr>
        <w:ind w:left="2160" w:right="41" w:hanging="720"/>
        <w:rPr>
          <w:sz w:val="22"/>
          <w:szCs w:val="22"/>
        </w:rPr>
      </w:pPr>
      <w:r w:rsidRPr="00576AF8">
        <w:rPr>
          <w:sz w:val="22"/>
          <w:szCs w:val="22"/>
        </w:rPr>
        <w:t>Todos los switches deberán disponerlas siguientes características:</w:t>
      </w:r>
    </w:p>
    <w:p w14:paraId="17A06986" w14:textId="77777777" w:rsidR="009102A7" w:rsidRPr="00576AF8" w:rsidRDefault="009102A7" w:rsidP="009102A7">
      <w:pPr>
        <w:numPr>
          <w:ilvl w:val="0"/>
          <w:numId w:val="393"/>
        </w:numPr>
        <w:ind w:right="41"/>
        <w:contextualSpacing/>
        <w:rPr>
          <w:sz w:val="22"/>
          <w:szCs w:val="22"/>
        </w:rPr>
      </w:pPr>
      <w:r w:rsidRPr="00576AF8">
        <w:rPr>
          <w:sz w:val="22"/>
          <w:szCs w:val="22"/>
        </w:rPr>
        <w:t>Administración remota</w:t>
      </w:r>
    </w:p>
    <w:p w14:paraId="7FFD05A7" w14:textId="77777777" w:rsidR="009102A7" w:rsidRPr="00576AF8" w:rsidRDefault="009102A7" w:rsidP="009102A7">
      <w:pPr>
        <w:numPr>
          <w:ilvl w:val="0"/>
          <w:numId w:val="393"/>
        </w:numPr>
        <w:ind w:right="41"/>
        <w:contextualSpacing/>
        <w:rPr>
          <w:sz w:val="22"/>
          <w:szCs w:val="22"/>
        </w:rPr>
      </w:pPr>
      <w:r w:rsidRPr="00576AF8">
        <w:rPr>
          <w:sz w:val="22"/>
          <w:szCs w:val="22"/>
        </w:rPr>
        <w:t>Consola de administración y logs</w:t>
      </w:r>
    </w:p>
    <w:p w14:paraId="28CEDEEA" w14:textId="77777777" w:rsidR="009102A7" w:rsidRPr="00576AF8" w:rsidRDefault="009102A7" w:rsidP="009102A7">
      <w:pPr>
        <w:numPr>
          <w:ilvl w:val="0"/>
          <w:numId w:val="393"/>
        </w:numPr>
        <w:ind w:right="41"/>
        <w:contextualSpacing/>
        <w:rPr>
          <w:sz w:val="22"/>
          <w:szCs w:val="22"/>
        </w:rPr>
      </w:pPr>
      <w:r w:rsidRPr="00576AF8">
        <w:rPr>
          <w:sz w:val="22"/>
          <w:szCs w:val="22"/>
        </w:rPr>
        <w:t>Configuración redundante</w:t>
      </w:r>
    </w:p>
    <w:p w14:paraId="234A8B9B" w14:textId="77777777" w:rsidR="009102A7" w:rsidRPr="00576AF8" w:rsidRDefault="009102A7" w:rsidP="009102A7">
      <w:pPr>
        <w:numPr>
          <w:ilvl w:val="0"/>
          <w:numId w:val="393"/>
        </w:numPr>
        <w:ind w:right="41"/>
        <w:contextualSpacing/>
        <w:rPr>
          <w:sz w:val="22"/>
          <w:szCs w:val="22"/>
        </w:rPr>
      </w:pPr>
      <w:r w:rsidRPr="00576AF8">
        <w:rPr>
          <w:sz w:val="22"/>
          <w:szCs w:val="22"/>
        </w:rPr>
        <w:t xml:space="preserve">Procesamiento de Capa 3  </w:t>
      </w:r>
    </w:p>
    <w:p w14:paraId="7DDA6F8E" w14:textId="77777777" w:rsidR="009102A7" w:rsidRPr="00576AF8" w:rsidRDefault="009102A7" w:rsidP="009102A7">
      <w:pPr>
        <w:numPr>
          <w:ilvl w:val="0"/>
          <w:numId w:val="393"/>
        </w:numPr>
        <w:ind w:right="41"/>
        <w:contextualSpacing/>
        <w:rPr>
          <w:sz w:val="22"/>
          <w:szCs w:val="22"/>
        </w:rPr>
      </w:pPr>
      <w:r w:rsidRPr="00576AF8">
        <w:rPr>
          <w:sz w:val="22"/>
          <w:szCs w:val="22"/>
        </w:rPr>
        <w:t>Latencia &lt; 10μs</w:t>
      </w:r>
    </w:p>
    <w:p w14:paraId="3FF687E8" w14:textId="77777777" w:rsidR="009102A7" w:rsidRPr="00576AF8" w:rsidRDefault="009102A7" w:rsidP="009102A7">
      <w:pPr>
        <w:numPr>
          <w:ilvl w:val="0"/>
          <w:numId w:val="393"/>
        </w:numPr>
        <w:ind w:right="41"/>
        <w:contextualSpacing/>
        <w:rPr>
          <w:sz w:val="22"/>
          <w:szCs w:val="22"/>
        </w:rPr>
      </w:pPr>
      <w:r w:rsidRPr="00576AF8">
        <w:rPr>
          <w:sz w:val="22"/>
          <w:szCs w:val="22"/>
        </w:rPr>
        <w:t>Puertos de 10/100/1000 Base-T RJ-45 y/o fibra óptica. En caso de que la solución del Proveedor requiera conexiones a 10 Gbps deberán ser consideradas en el equipamiento ofertado.</w:t>
      </w:r>
    </w:p>
    <w:p w14:paraId="6FC8A9B8" w14:textId="77777777" w:rsidR="009102A7" w:rsidRPr="00576AF8" w:rsidRDefault="009102A7" w:rsidP="009102A7">
      <w:pPr>
        <w:numPr>
          <w:ilvl w:val="0"/>
          <w:numId w:val="393"/>
        </w:numPr>
        <w:ind w:right="41"/>
        <w:contextualSpacing/>
        <w:rPr>
          <w:sz w:val="22"/>
          <w:szCs w:val="22"/>
        </w:rPr>
      </w:pPr>
      <w:r w:rsidRPr="00576AF8">
        <w:rPr>
          <w:sz w:val="22"/>
          <w:szCs w:val="22"/>
        </w:rPr>
        <w:t>Montaje en rack de 19”</w:t>
      </w:r>
    </w:p>
    <w:p w14:paraId="0023DAE7" w14:textId="77777777" w:rsidR="009102A7" w:rsidRPr="00576AF8" w:rsidRDefault="009102A7" w:rsidP="009102A7">
      <w:pPr>
        <w:numPr>
          <w:ilvl w:val="0"/>
          <w:numId w:val="393"/>
        </w:numPr>
        <w:ind w:right="41"/>
        <w:contextualSpacing/>
        <w:rPr>
          <w:sz w:val="22"/>
          <w:szCs w:val="22"/>
        </w:rPr>
      </w:pPr>
      <w:r w:rsidRPr="00576AF8">
        <w:rPr>
          <w:sz w:val="22"/>
          <w:szCs w:val="22"/>
        </w:rPr>
        <w:t>Alimentación redundante intercambiable en línea</w:t>
      </w:r>
    </w:p>
    <w:p w14:paraId="7A91887C" w14:textId="77777777" w:rsidR="009102A7" w:rsidRPr="00576AF8" w:rsidRDefault="009102A7" w:rsidP="009102A7">
      <w:pPr>
        <w:numPr>
          <w:ilvl w:val="0"/>
          <w:numId w:val="393"/>
        </w:numPr>
        <w:ind w:right="41"/>
        <w:contextualSpacing/>
        <w:rPr>
          <w:sz w:val="22"/>
          <w:szCs w:val="22"/>
        </w:rPr>
      </w:pPr>
      <w:r w:rsidRPr="00576AF8">
        <w:rPr>
          <w:sz w:val="22"/>
          <w:szCs w:val="22"/>
        </w:rPr>
        <w:t>Ventilación redundante</w:t>
      </w:r>
    </w:p>
    <w:p w14:paraId="3C2E0292" w14:textId="77777777" w:rsidR="009102A7" w:rsidRPr="00576AF8" w:rsidRDefault="009102A7" w:rsidP="009102A7">
      <w:pPr>
        <w:numPr>
          <w:ilvl w:val="0"/>
          <w:numId w:val="393"/>
        </w:numPr>
        <w:ind w:right="41"/>
        <w:contextualSpacing/>
        <w:rPr>
          <w:sz w:val="22"/>
          <w:szCs w:val="22"/>
        </w:rPr>
      </w:pPr>
      <w:r w:rsidRPr="00576AF8">
        <w:rPr>
          <w:sz w:val="22"/>
          <w:szCs w:val="22"/>
        </w:rPr>
        <w:t>Voltaje de operación AC 100-240V 50/60 Hz</w:t>
      </w:r>
    </w:p>
    <w:p w14:paraId="4C257720" w14:textId="77777777" w:rsidR="009102A7" w:rsidRPr="00576AF8" w:rsidRDefault="009102A7" w:rsidP="009102A7">
      <w:pPr>
        <w:numPr>
          <w:ilvl w:val="0"/>
          <w:numId w:val="393"/>
        </w:numPr>
        <w:ind w:right="41"/>
        <w:contextualSpacing/>
        <w:rPr>
          <w:sz w:val="22"/>
          <w:szCs w:val="22"/>
        </w:rPr>
      </w:pPr>
      <w:r w:rsidRPr="00576AF8">
        <w:rPr>
          <w:sz w:val="22"/>
          <w:szCs w:val="22"/>
        </w:rPr>
        <w:t xml:space="preserve">Temperatura de Operación: 0 - 50 °C (32 - 122 °F) </w:t>
      </w:r>
    </w:p>
    <w:p w14:paraId="5457E988" w14:textId="77777777" w:rsidR="007362E8" w:rsidRPr="00576AF8" w:rsidRDefault="009102A7" w:rsidP="007362E8">
      <w:pPr>
        <w:numPr>
          <w:ilvl w:val="0"/>
          <w:numId w:val="393"/>
        </w:numPr>
        <w:ind w:right="41"/>
        <w:contextualSpacing/>
        <w:rPr>
          <w:sz w:val="22"/>
          <w:szCs w:val="22"/>
        </w:rPr>
      </w:pPr>
      <w:r w:rsidRPr="00576AF8">
        <w:rPr>
          <w:sz w:val="22"/>
          <w:szCs w:val="22"/>
        </w:rPr>
        <w:t>Humedad Max. 85 % (no-condensante) a 40 °C</w:t>
      </w:r>
    </w:p>
    <w:p w14:paraId="4BA6D741" w14:textId="77777777" w:rsidR="007362E8" w:rsidRPr="00576AF8" w:rsidRDefault="007362E8" w:rsidP="008C0D90">
      <w:pPr>
        <w:ind w:left="1776" w:right="41"/>
        <w:contextualSpacing/>
        <w:rPr>
          <w:sz w:val="22"/>
          <w:szCs w:val="22"/>
        </w:rPr>
      </w:pPr>
    </w:p>
    <w:p w14:paraId="5A9CB214" w14:textId="77777777" w:rsidR="007362E8" w:rsidRPr="00576AF8" w:rsidRDefault="007362E8" w:rsidP="008C0D90">
      <w:pPr>
        <w:ind w:left="1776" w:right="41"/>
        <w:contextualSpacing/>
        <w:rPr>
          <w:sz w:val="22"/>
          <w:szCs w:val="22"/>
        </w:rPr>
      </w:pPr>
      <w:r w:rsidRPr="00576AF8">
        <w:rPr>
          <w:sz w:val="22"/>
          <w:szCs w:val="22"/>
        </w:rPr>
        <w:t xml:space="preserve">El proveedor debe considerar </w:t>
      </w:r>
      <w:r w:rsidR="005037DC" w:rsidRPr="00576AF8">
        <w:rPr>
          <w:sz w:val="22"/>
          <w:szCs w:val="22"/>
        </w:rPr>
        <w:t>los</w:t>
      </w:r>
      <w:r w:rsidRPr="00576AF8">
        <w:rPr>
          <w:sz w:val="22"/>
          <w:szCs w:val="22"/>
        </w:rPr>
        <w:t xml:space="preserve"> switches </w:t>
      </w:r>
      <w:r w:rsidR="005037DC" w:rsidRPr="00576AF8">
        <w:rPr>
          <w:sz w:val="22"/>
          <w:szCs w:val="22"/>
        </w:rPr>
        <w:t xml:space="preserve">necesarios para </w:t>
      </w:r>
      <w:proofErr w:type="gramStart"/>
      <w:r w:rsidR="0076654B" w:rsidRPr="00576AF8">
        <w:rPr>
          <w:sz w:val="22"/>
          <w:szCs w:val="22"/>
        </w:rPr>
        <w:t xml:space="preserve">todas </w:t>
      </w:r>
      <w:r w:rsidR="005037DC" w:rsidRPr="00576AF8">
        <w:rPr>
          <w:sz w:val="22"/>
          <w:szCs w:val="22"/>
        </w:rPr>
        <w:t>la conexiones</w:t>
      </w:r>
      <w:proofErr w:type="gramEnd"/>
      <w:r w:rsidR="005037DC" w:rsidRPr="00576AF8">
        <w:rPr>
          <w:sz w:val="22"/>
          <w:szCs w:val="22"/>
        </w:rPr>
        <w:t xml:space="preserve"> de red del sistema SCADA/EMS</w:t>
      </w:r>
      <w:r w:rsidRPr="00576AF8">
        <w:rPr>
          <w:sz w:val="22"/>
          <w:szCs w:val="22"/>
        </w:rPr>
        <w:t xml:space="preserve"> </w:t>
      </w:r>
      <w:r w:rsidR="005037DC" w:rsidRPr="00576AF8">
        <w:rPr>
          <w:sz w:val="22"/>
          <w:szCs w:val="22"/>
        </w:rPr>
        <w:t xml:space="preserve">y consolas ubicados en el edificio principal del CENACE; así como </w:t>
      </w:r>
      <w:r w:rsidR="00307C11" w:rsidRPr="00576AF8">
        <w:rPr>
          <w:sz w:val="22"/>
          <w:szCs w:val="22"/>
        </w:rPr>
        <w:t xml:space="preserve">también </w:t>
      </w:r>
      <w:r w:rsidR="005037DC" w:rsidRPr="00576AF8">
        <w:rPr>
          <w:sz w:val="22"/>
          <w:szCs w:val="22"/>
        </w:rPr>
        <w:t xml:space="preserve">para las consolas ubicadas en </w:t>
      </w:r>
      <w:r w:rsidRPr="00576AF8">
        <w:rPr>
          <w:sz w:val="22"/>
          <w:szCs w:val="22"/>
        </w:rPr>
        <w:t>el edifico de la Gerencia de Operaciones</w:t>
      </w:r>
      <w:r w:rsidR="005037DC" w:rsidRPr="00576AF8">
        <w:rPr>
          <w:sz w:val="22"/>
          <w:szCs w:val="22"/>
        </w:rPr>
        <w:t xml:space="preserve"> para lo cual deberán estar equipados con todas las interfaces (fibra óptica y cobre) necesarias</w:t>
      </w:r>
      <w:r w:rsidR="00307C11" w:rsidRPr="00576AF8">
        <w:rPr>
          <w:sz w:val="22"/>
          <w:szCs w:val="22"/>
        </w:rPr>
        <w:t>.</w:t>
      </w:r>
    </w:p>
    <w:p w14:paraId="48687E75" w14:textId="77777777" w:rsidR="00307C11" w:rsidRPr="00576AF8" w:rsidRDefault="00307C11" w:rsidP="008C0D90">
      <w:pPr>
        <w:ind w:left="1776" w:right="41"/>
        <w:contextualSpacing/>
        <w:rPr>
          <w:sz w:val="22"/>
          <w:szCs w:val="22"/>
        </w:rPr>
      </w:pPr>
      <w:r w:rsidRPr="00576AF8">
        <w:rPr>
          <w:sz w:val="22"/>
          <w:szCs w:val="22"/>
        </w:rPr>
        <w:t>El proveedor debe considerar los switches para las conexiones de red de:</w:t>
      </w:r>
    </w:p>
    <w:p w14:paraId="6BC83C7F" w14:textId="77777777" w:rsidR="00307C11" w:rsidRPr="00576AF8" w:rsidRDefault="00307C11" w:rsidP="008C0D90">
      <w:pPr>
        <w:pStyle w:val="Prrafodelista"/>
        <w:numPr>
          <w:ilvl w:val="0"/>
          <w:numId w:val="440"/>
        </w:numPr>
        <w:ind w:right="41"/>
        <w:rPr>
          <w:sz w:val="22"/>
          <w:szCs w:val="22"/>
        </w:rPr>
      </w:pPr>
      <w:r w:rsidRPr="00576AF8">
        <w:rPr>
          <w:sz w:val="22"/>
          <w:szCs w:val="22"/>
        </w:rPr>
        <w:t>Entorno del QAS (sin redundancia)</w:t>
      </w:r>
    </w:p>
    <w:p w14:paraId="7BC5C6D9" w14:textId="77777777" w:rsidR="00307C11" w:rsidRPr="00576AF8" w:rsidRDefault="00307C11" w:rsidP="008C0D90">
      <w:pPr>
        <w:pStyle w:val="Prrafodelista"/>
        <w:numPr>
          <w:ilvl w:val="0"/>
          <w:numId w:val="440"/>
        </w:numPr>
        <w:ind w:right="41"/>
        <w:rPr>
          <w:sz w:val="22"/>
          <w:szCs w:val="22"/>
        </w:rPr>
      </w:pPr>
      <w:r w:rsidRPr="00576AF8">
        <w:rPr>
          <w:sz w:val="22"/>
          <w:szCs w:val="22"/>
        </w:rPr>
        <w:t>Gateways de comunicaciones</w:t>
      </w:r>
      <w:r w:rsidR="0076654B" w:rsidRPr="00576AF8">
        <w:rPr>
          <w:sz w:val="22"/>
          <w:szCs w:val="22"/>
        </w:rPr>
        <w:t xml:space="preserve"> </w:t>
      </w:r>
      <w:r w:rsidR="0076654B" w:rsidRPr="00576AF8">
        <w:rPr>
          <w:color w:val="000000"/>
          <w:sz w:val="22"/>
          <w:szCs w:val="22"/>
          <w:lang w:val="es-EC" w:eastAsia="es-EC" w:bidi="ar-SA"/>
        </w:rPr>
        <w:t>a ser instalados en las subestaciones de CELEC EP TRANSELECTRIC de Santa Rosa y Pascuales (redundantes)</w:t>
      </w:r>
    </w:p>
    <w:p w14:paraId="6D6A76A1" w14:textId="77777777" w:rsidR="007362E8" w:rsidRPr="00576AF8" w:rsidRDefault="007362E8" w:rsidP="009102A7">
      <w:pPr>
        <w:ind w:left="2160" w:right="41" w:hanging="720"/>
        <w:rPr>
          <w:b/>
          <w:sz w:val="22"/>
          <w:szCs w:val="22"/>
        </w:rPr>
      </w:pPr>
    </w:p>
    <w:p w14:paraId="2855EBCF" w14:textId="77777777" w:rsidR="009102A7" w:rsidRPr="00576AF8" w:rsidRDefault="009102A7" w:rsidP="009102A7">
      <w:pPr>
        <w:ind w:left="2160" w:right="41" w:hanging="720"/>
        <w:rPr>
          <w:b/>
          <w:sz w:val="22"/>
          <w:szCs w:val="22"/>
        </w:rPr>
      </w:pPr>
      <w:r w:rsidRPr="00576AF8">
        <w:rPr>
          <w:b/>
          <w:sz w:val="22"/>
          <w:szCs w:val="22"/>
        </w:rPr>
        <w:t>Cortafuegos (Firewall)</w:t>
      </w:r>
    </w:p>
    <w:p w14:paraId="03443EA4" w14:textId="77777777" w:rsidR="009102A7" w:rsidRPr="00576AF8" w:rsidRDefault="009102A7" w:rsidP="009102A7">
      <w:pPr>
        <w:numPr>
          <w:ilvl w:val="0"/>
          <w:numId w:val="1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268" w:hanging="426"/>
        <w:rPr>
          <w:rFonts w:eastAsia="Calibri"/>
          <w:color w:val="000000"/>
          <w:sz w:val="22"/>
          <w:szCs w:val="22"/>
        </w:rPr>
      </w:pPr>
      <w:r w:rsidRPr="00576AF8">
        <w:rPr>
          <w:rFonts w:eastAsia="Calibri"/>
          <w:color w:val="000000"/>
          <w:sz w:val="22"/>
          <w:szCs w:val="22"/>
        </w:rPr>
        <w:t>El Proveedor entregará firewalls redundantes apropiados para sistemas de control industrial (ICS) con capacidad suficiente para realizar la zonificación de la red de acuerdo con la arquitectura indicada en esta especificación.  Esta arquitectura se basa en la combinación de zonificación y VLAN, lo cual proporciona el máximo nivel de seguridad, flexibilidad y escalabilidad. Para el sistema QAS se proveerá un firewall dedicado, sin redundancia y con todas las características con capacidad suficiente para realizar la zonificación de la red de acuerdo con la arquitectura indicada en esta especificación.</w:t>
      </w:r>
    </w:p>
    <w:p w14:paraId="6C23D645" w14:textId="77777777" w:rsidR="009102A7" w:rsidRPr="00576AF8" w:rsidRDefault="009102A7" w:rsidP="009102A7">
      <w:pPr>
        <w:numPr>
          <w:ilvl w:val="0"/>
          <w:numId w:val="1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268" w:hanging="426"/>
        <w:rPr>
          <w:rFonts w:eastAsia="Calibri"/>
          <w:color w:val="000000"/>
          <w:sz w:val="22"/>
          <w:szCs w:val="22"/>
        </w:rPr>
      </w:pPr>
      <w:r w:rsidRPr="00576AF8">
        <w:rPr>
          <w:rFonts w:eastAsia="Calibri"/>
          <w:color w:val="000000"/>
          <w:sz w:val="22"/>
          <w:szCs w:val="22"/>
        </w:rPr>
        <w:t xml:space="preserve">Los firewalls contarán con funciones para la prevención de amenazas y bloqueo de ataques en zonas externas a los sistemas OT críticos, evitando de esta manera que los sistemas OT críticos sufran ataques directos. En los firewalls permitirán crear políticas automáticamente para minimizar la exposición al riesgo, permitir </w:t>
      </w:r>
      <w:r w:rsidRPr="00576AF8">
        <w:rPr>
          <w:rFonts w:eastAsia="Calibri"/>
          <w:color w:val="000000"/>
          <w:sz w:val="22"/>
          <w:szCs w:val="22"/>
        </w:rPr>
        <w:lastRenderedPageBreak/>
        <w:t>la segmentación de redes IT/OT, y ofrecer información para un análisis integral de riesgos.</w:t>
      </w:r>
    </w:p>
    <w:p w14:paraId="35DFF3DB" w14:textId="77777777" w:rsidR="009102A7" w:rsidRPr="00576AF8" w:rsidRDefault="009102A7" w:rsidP="009102A7">
      <w:pPr>
        <w:numPr>
          <w:ilvl w:val="0"/>
          <w:numId w:val="15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268" w:hanging="426"/>
        <w:rPr>
          <w:rFonts w:eastAsia="Calibri"/>
          <w:color w:val="000000"/>
          <w:sz w:val="22"/>
          <w:szCs w:val="22"/>
        </w:rPr>
      </w:pPr>
      <w:r w:rsidRPr="00576AF8">
        <w:rPr>
          <w:rFonts w:eastAsia="Calibri"/>
          <w:color w:val="000000"/>
          <w:sz w:val="22"/>
          <w:szCs w:val="22"/>
        </w:rPr>
        <w:t>Las características de seguridad de los firewalls se detallan en el numeral 1.4.1.4.21 Cortafuegos (firewalls). A continuación, se presentan otras características mínimas que deben tener estos equipos:</w:t>
      </w:r>
    </w:p>
    <w:p w14:paraId="6B9ADA6B"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Redundantes, a excepción del equipo provisto para el QAS</w:t>
      </w:r>
    </w:p>
    <w:p w14:paraId="2EBA2E1D"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Administración remota</w:t>
      </w:r>
    </w:p>
    <w:p w14:paraId="3787D019"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Consola de administración y logs</w:t>
      </w:r>
    </w:p>
    <w:p w14:paraId="70472672"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Rendimiento Firewall (</w:t>
      </w:r>
      <w:r w:rsidRPr="00576AF8">
        <w:rPr>
          <w:rFonts w:eastAsia="Calibri"/>
          <w:i/>
          <w:color w:val="000000"/>
          <w:sz w:val="22"/>
          <w:szCs w:val="22"/>
        </w:rPr>
        <w:t>Throughput</w:t>
      </w:r>
      <w:r w:rsidRPr="00576AF8">
        <w:rPr>
          <w:rFonts w:eastAsia="Calibri"/>
          <w:color w:val="000000"/>
          <w:sz w:val="22"/>
          <w:szCs w:val="22"/>
        </w:rPr>
        <w:t>) &gt; 5000 Mbps</w:t>
      </w:r>
    </w:p>
    <w:p w14:paraId="749ADBAC"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Conexiones concurrentes &gt; 2 MM</w:t>
      </w:r>
    </w:p>
    <w:p w14:paraId="73EA43DA"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VPN de acceso remoto de sitio a sitio y de usuarios móviles</w:t>
      </w:r>
    </w:p>
    <w:p w14:paraId="7D39F176"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 xml:space="preserve">Control de aplicaciones y filtrado web </w:t>
      </w:r>
    </w:p>
    <w:p w14:paraId="32F13208"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 xml:space="preserve">Prevención de intrusiones </w:t>
      </w:r>
    </w:p>
    <w:p w14:paraId="6A19219D"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 xml:space="preserve">Antivirus y Anti-Bot </w:t>
      </w:r>
    </w:p>
    <w:p w14:paraId="612B7387"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 xml:space="preserve">Puertos LAN de 10/100/1000Base-T RJ-45 ports con reserva del 20%. </w:t>
      </w:r>
      <w:r w:rsidRPr="00576AF8">
        <w:rPr>
          <w:sz w:val="22"/>
          <w:szCs w:val="22"/>
        </w:rPr>
        <w:t>En caso de que la solución del Proveedor requiera conexiones a 10 Gbps deberán ser consideradas en el equipamiento ofertado.</w:t>
      </w:r>
    </w:p>
    <w:p w14:paraId="5AFBE6AC"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Puertos WAN de 10/100/1000Base-T RJ-45 / 1000BaseF SFP</w:t>
      </w:r>
    </w:p>
    <w:p w14:paraId="0CCD2C27"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Capacidad de almacenamiento mínimo 64 GB</w:t>
      </w:r>
    </w:p>
    <w:p w14:paraId="36239B93"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Montado en rack de 19”</w:t>
      </w:r>
    </w:p>
    <w:p w14:paraId="0F143437"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Alimentación redundante</w:t>
      </w:r>
    </w:p>
    <w:p w14:paraId="1523E558"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Voltaje de operación AC 100-240V 50/60 Hz</w:t>
      </w:r>
    </w:p>
    <w:p w14:paraId="1D221FC3"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 xml:space="preserve">Temperatura de Operación: 0 - 50 °C (32 - 122 °F) </w:t>
      </w:r>
    </w:p>
    <w:p w14:paraId="4129378F" w14:textId="77777777" w:rsidR="009102A7" w:rsidRPr="00576AF8" w:rsidRDefault="009102A7" w:rsidP="009102A7">
      <w:pPr>
        <w:numPr>
          <w:ilvl w:val="0"/>
          <w:numId w:val="15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977" w:hanging="425"/>
        <w:contextualSpacing/>
        <w:rPr>
          <w:rFonts w:eastAsia="Calibri"/>
          <w:color w:val="000000"/>
          <w:sz w:val="22"/>
          <w:szCs w:val="22"/>
        </w:rPr>
      </w:pPr>
      <w:r w:rsidRPr="00576AF8">
        <w:rPr>
          <w:rFonts w:eastAsia="Calibri"/>
          <w:color w:val="000000"/>
          <w:sz w:val="22"/>
          <w:szCs w:val="22"/>
        </w:rPr>
        <w:t>Humedad Max. 85 % (no-condensante) a 40 °C</w:t>
      </w:r>
    </w:p>
    <w:p w14:paraId="654539DF" w14:textId="77777777" w:rsidR="009102A7" w:rsidRPr="00576AF8" w:rsidRDefault="009102A7" w:rsidP="009102A7">
      <w:pPr>
        <w:ind w:left="2160" w:right="41" w:hanging="720"/>
        <w:rPr>
          <w:sz w:val="22"/>
          <w:szCs w:val="22"/>
        </w:rPr>
      </w:pPr>
    </w:p>
    <w:p w14:paraId="2BCA0072" w14:textId="77777777" w:rsidR="009102A7" w:rsidRPr="00576AF8" w:rsidRDefault="009102A7" w:rsidP="008C0D90">
      <w:pPr>
        <w:ind w:right="41"/>
        <w:outlineLvl w:val="1"/>
        <w:rPr>
          <w:sz w:val="22"/>
          <w:szCs w:val="22"/>
        </w:rPr>
      </w:pPr>
      <w:r w:rsidRPr="00576AF8">
        <w:rPr>
          <w:b/>
          <w:bCs/>
          <w:sz w:val="22"/>
          <w:szCs w:val="22"/>
        </w:rPr>
        <w:t>3.2.1.2</w:t>
      </w:r>
      <w:r w:rsidRPr="00576AF8">
        <w:tab/>
      </w:r>
      <w:r w:rsidRPr="00576AF8">
        <w:rPr>
          <w:b/>
          <w:bCs/>
          <w:sz w:val="22"/>
          <w:szCs w:val="22"/>
        </w:rPr>
        <w:t>Cableado:</w:t>
      </w:r>
      <w:r w:rsidRPr="00576AF8">
        <w:rPr>
          <w:sz w:val="22"/>
          <w:szCs w:val="22"/>
        </w:rPr>
        <w:t xml:space="preserve"> </w:t>
      </w:r>
    </w:p>
    <w:p w14:paraId="7F7FE67C"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596"/>
        <w:rPr>
          <w:rFonts w:eastAsia="Calibri"/>
          <w:color w:val="000000"/>
          <w:sz w:val="22"/>
          <w:szCs w:val="22"/>
        </w:rPr>
      </w:pPr>
      <w:r w:rsidRPr="00576AF8">
        <w:rPr>
          <w:rFonts w:eastAsia="Calibri"/>
          <w:color w:val="000000"/>
          <w:sz w:val="22"/>
          <w:szCs w:val="22"/>
        </w:rPr>
        <w:t>El Proveedor será responsable de suministrar todos los cables (UTP, fibra óptica), accesorios, ductos, perforaciones de piso falso, escalerillas, etc.; requeridos para la instalación y conexiones de red de todos los equipos nuevos y existentes del SCADA/EMS, en el edificio sede de CENACE, en el edificio de la Gerencia de Operaciones y en las ubicaciones externas donde serán instalados el QAS y los Gateways de comunicaciones.</w:t>
      </w:r>
    </w:p>
    <w:p w14:paraId="68BA116A" w14:textId="77777777" w:rsidR="009102A7" w:rsidRPr="00576AF8" w:rsidRDefault="009102A7" w:rsidP="009102A7">
      <w:pPr>
        <w:numPr>
          <w:ilvl w:val="0"/>
          <w:numId w:val="14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Los cables de red serán del tipo UTP nivel 6 o superior, los cuales cumplirán con las normas EIA-568-C.2, IEEE 802.3, ISO/IEC 11801. Los conectores requeridos cumplirán las normas IEC 60603-7.</w:t>
      </w:r>
    </w:p>
    <w:p w14:paraId="453AFEC7" w14:textId="77777777" w:rsidR="009102A7" w:rsidRPr="00576AF8" w:rsidRDefault="009102A7" w:rsidP="009102A7">
      <w:pPr>
        <w:numPr>
          <w:ilvl w:val="0"/>
          <w:numId w:val="39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835" w:hanging="425"/>
        <w:contextualSpacing/>
        <w:rPr>
          <w:rFonts w:eastAsia="Calibri"/>
          <w:color w:val="000000"/>
          <w:sz w:val="22"/>
          <w:szCs w:val="22"/>
        </w:rPr>
      </w:pPr>
      <w:r w:rsidRPr="00576AF8">
        <w:rPr>
          <w:rFonts w:eastAsia="Calibri"/>
          <w:color w:val="000000"/>
          <w:sz w:val="22"/>
          <w:szCs w:val="22"/>
        </w:rPr>
        <w:t xml:space="preserve">Se deberán utilizar todos los accesorios necesarios para el manejo adecuado del cableado dentro y fuera de los gabinetes. </w:t>
      </w:r>
    </w:p>
    <w:p w14:paraId="034CE805" w14:textId="77777777" w:rsidR="009102A7" w:rsidRPr="00576AF8" w:rsidRDefault="009102A7" w:rsidP="009102A7">
      <w:pPr>
        <w:numPr>
          <w:ilvl w:val="0"/>
          <w:numId w:val="39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835" w:hanging="425"/>
        <w:contextualSpacing/>
        <w:rPr>
          <w:rFonts w:eastAsia="Calibri"/>
          <w:color w:val="000000"/>
          <w:sz w:val="22"/>
          <w:szCs w:val="22"/>
        </w:rPr>
      </w:pPr>
      <w:r w:rsidRPr="00576AF8">
        <w:rPr>
          <w:rFonts w:eastAsia="Calibri"/>
          <w:color w:val="000000"/>
          <w:sz w:val="22"/>
          <w:szCs w:val="22"/>
        </w:rPr>
        <w:t>Se deberán utilizar canales horizontales y verticales para realizar el cableado dentro de los gabinetes y a través de bandejas portacables o ductos fuera de los mismos.</w:t>
      </w:r>
    </w:p>
    <w:p w14:paraId="386DC57C" w14:textId="77777777" w:rsidR="009102A7" w:rsidRPr="00576AF8" w:rsidRDefault="009102A7" w:rsidP="009102A7">
      <w:pPr>
        <w:numPr>
          <w:ilvl w:val="0"/>
          <w:numId w:val="39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835" w:hanging="425"/>
        <w:contextualSpacing/>
        <w:rPr>
          <w:rFonts w:eastAsia="Calibri"/>
          <w:color w:val="000000"/>
          <w:sz w:val="22"/>
          <w:szCs w:val="22"/>
        </w:rPr>
      </w:pPr>
      <w:r w:rsidRPr="00576AF8">
        <w:rPr>
          <w:rFonts w:eastAsia="Calibri"/>
          <w:color w:val="000000"/>
          <w:sz w:val="22"/>
          <w:szCs w:val="22"/>
        </w:rPr>
        <w:t>Se deberá utilizar paneles de conexión (</w:t>
      </w:r>
      <w:r w:rsidRPr="00576AF8">
        <w:rPr>
          <w:rFonts w:eastAsia="Calibri"/>
          <w:i/>
          <w:color w:val="000000"/>
          <w:sz w:val="22"/>
          <w:szCs w:val="22"/>
        </w:rPr>
        <w:t>patch panels</w:t>
      </w:r>
      <w:r w:rsidRPr="00576AF8">
        <w:rPr>
          <w:rFonts w:eastAsia="Calibri"/>
          <w:color w:val="000000"/>
          <w:sz w:val="22"/>
          <w:szCs w:val="22"/>
        </w:rPr>
        <w:t>) entre las consolas y los gabinetes.</w:t>
      </w:r>
    </w:p>
    <w:p w14:paraId="663DEC54" w14:textId="77777777" w:rsidR="009102A7" w:rsidRPr="00576AF8" w:rsidRDefault="009102A7" w:rsidP="009102A7">
      <w:pPr>
        <w:numPr>
          <w:ilvl w:val="0"/>
          <w:numId w:val="39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835" w:hanging="425"/>
        <w:contextualSpacing/>
        <w:rPr>
          <w:rFonts w:eastAsia="Calibri"/>
          <w:color w:val="000000"/>
          <w:sz w:val="22"/>
          <w:szCs w:val="22"/>
        </w:rPr>
      </w:pPr>
      <w:r w:rsidRPr="00576AF8">
        <w:rPr>
          <w:rFonts w:eastAsia="Calibri"/>
          <w:color w:val="000000"/>
          <w:sz w:val="22"/>
          <w:szCs w:val="22"/>
        </w:rPr>
        <w:t>El cableado deberá estar identificado en cada uno de sus extremos para fácil lectura y con los terminales apropiados, así como el etiquetado del hardware (servidores, equipos de red, GPS, etc) a ser suministrado como parte de este proyecto.</w:t>
      </w:r>
    </w:p>
    <w:p w14:paraId="70A051E4" w14:textId="77777777" w:rsidR="009102A7" w:rsidRPr="00576AF8" w:rsidRDefault="009102A7" w:rsidP="009102A7">
      <w:pPr>
        <w:numPr>
          <w:ilvl w:val="0"/>
          <w:numId w:val="39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2835" w:hanging="425"/>
        <w:contextualSpacing/>
        <w:rPr>
          <w:rFonts w:eastAsia="Calibri"/>
          <w:color w:val="000000"/>
          <w:sz w:val="22"/>
          <w:szCs w:val="22"/>
        </w:rPr>
      </w:pPr>
      <w:r w:rsidRPr="00576AF8">
        <w:rPr>
          <w:rFonts w:eastAsia="Calibri"/>
          <w:color w:val="000000"/>
          <w:sz w:val="22"/>
          <w:szCs w:val="22"/>
        </w:rPr>
        <w:lastRenderedPageBreak/>
        <w:t>La instalación de red deberá estar certificada para el cumplimiento de la norma EIA-568-C.2</w:t>
      </w:r>
    </w:p>
    <w:p w14:paraId="51728FF0" w14:textId="77777777" w:rsidR="009102A7" w:rsidRPr="00576AF8" w:rsidRDefault="009102A7" w:rsidP="009102A7">
      <w:pPr>
        <w:numPr>
          <w:ilvl w:val="0"/>
          <w:numId w:val="14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El cableado de alimentación eléctrica deberá cumplir la norma IEC 60364-5-53 y UL 1363 y el Código de Práctica Ecuatoriano CPE INEN 19:2001.</w:t>
      </w:r>
    </w:p>
    <w:p w14:paraId="3308CA9F" w14:textId="77777777" w:rsidR="007362E8" w:rsidRPr="00576AF8" w:rsidRDefault="00D10CD1" w:rsidP="009102A7">
      <w:pPr>
        <w:numPr>
          <w:ilvl w:val="0"/>
          <w:numId w:val="14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La fibra óptica para el enlace entre el data center del edificio sede de CENACE y el edificio de la Gerencia de Operaciones serán del tipo OM4 o superior de 6 hilos para exteriores, incluyendo todos accesorios necesarios como bandejas, patchcords, pig tails, etc.</w:t>
      </w:r>
    </w:p>
    <w:p w14:paraId="735206D5" w14:textId="77777777" w:rsidR="009102A7" w:rsidRPr="00576AF8" w:rsidRDefault="009102A7" w:rsidP="009102A7">
      <w:pPr>
        <w:ind w:left="2160" w:right="41" w:hanging="720"/>
        <w:rPr>
          <w:i/>
          <w:color w:val="4472C4"/>
          <w:sz w:val="22"/>
          <w:szCs w:val="22"/>
        </w:rPr>
      </w:pPr>
    </w:p>
    <w:p w14:paraId="2CDD07C0" w14:textId="77777777" w:rsidR="009102A7" w:rsidRPr="00576AF8" w:rsidRDefault="009102A7" w:rsidP="009102A7">
      <w:pPr>
        <w:ind w:left="720" w:hanging="720"/>
        <w:jc w:val="left"/>
        <w:outlineLvl w:val="2"/>
        <w:rPr>
          <w:b/>
          <w:sz w:val="22"/>
          <w:szCs w:val="22"/>
        </w:rPr>
      </w:pPr>
      <w:bookmarkStart w:id="1213" w:name="_Toc160706928"/>
      <w:bookmarkStart w:id="1214" w:name="_Toc160707196"/>
      <w:bookmarkStart w:id="1215" w:name="_Toc160707518"/>
      <w:bookmarkStart w:id="1216" w:name="_Toc160707710"/>
      <w:bookmarkStart w:id="1217" w:name="_Toc160707775"/>
      <w:bookmarkStart w:id="1218" w:name="_Toc163137321"/>
      <w:r w:rsidRPr="00576AF8">
        <w:rPr>
          <w:b/>
          <w:sz w:val="22"/>
          <w:szCs w:val="22"/>
        </w:rPr>
        <w:t>3.2.2</w:t>
      </w:r>
      <w:r w:rsidRPr="00576AF8">
        <w:rPr>
          <w:b/>
          <w:sz w:val="22"/>
          <w:szCs w:val="22"/>
        </w:rPr>
        <w:tab/>
        <w:t>Red de área extensa:</w:t>
      </w:r>
      <w:bookmarkEnd w:id="1213"/>
      <w:bookmarkEnd w:id="1214"/>
      <w:bookmarkEnd w:id="1215"/>
      <w:bookmarkEnd w:id="1216"/>
      <w:bookmarkEnd w:id="1217"/>
      <w:bookmarkEnd w:id="1218"/>
    </w:p>
    <w:p w14:paraId="367F19A8" w14:textId="77777777" w:rsidR="009102A7" w:rsidRPr="00576AF8" w:rsidRDefault="009102A7" w:rsidP="008C0D90">
      <w:pPr>
        <w:ind w:left="2160" w:hanging="720"/>
        <w:jc w:val="left"/>
        <w:outlineLvl w:val="2"/>
        <w:rPr>
          <w:sz w:val="22"/>
          <w:szCs w:val="22"/>
        </w:rPr>
      </w:pPr>
      <w:r w:rsidRPr="00576AF8">
        <w:rPr>
          <w:b/>
          <w:bCs/>
          <w:sz w:val="22"/>
          <w:szCs w:val="22"/>
        </w:rPr>
        <w:t>3.2.2.1</w:t>
      </w:r>
      <w:r w:rsidRPr="00576AF8">
        <w:tab/>
      </w:r>
      <w:r w:rsidRPr="00576AF8">
        <w:rPr>
          <w:b/>
          <w:bCs/>
          <w:sz w:val="22"/>
          <w:szCs w:val="22"/>
        </w:rPr>
        <w:t>Equipos y software:</w:t>
      </w:r>
      <w:r w:rsidRPr="00576AF8">
        <w:rPr>
          <w:sz w:val="22"/>
          <w:szCs w:val="22"/>
        </w:rPr>
        <w:t xml:space="preserve"> </w:t>
      </w:r>
    </w:p>
    <w:p w14:paraId="450811C1" w14:textId="77777777" w:rsidR="009102A7" w:rsidRPr="00576AF8" w:rsidRDefault="009102A7" w:rsidP="009102A7">
      <w:pPr>
        <w:ind w:left="2160" w:right="41" w:hanging="720"/>
        <w:rPr>
          <w:b/>
          <w:bCs/>
          <w:sz w:val="22"/>
          <w:szCs w:val="22"/>
        </w:rPr>
      </w:pPr>
      <w:r w:rsidRPr="00576AF8">
        <w:rPr>
          <w:b/>
          <w:bCs/>
          <w:sz w:val="22"/>
          <w:szCs w:val="22"/>
        </w:rPr>
        <w:t xml:space="preserve">Routers </w:t>
      </w:r>
    </w:p>
    <w:p w14:paraId="619DFD24" w14:textId="77777777" w:rsidR="009102A7" w:rsidRPr="00576AF8" w:rsidRDefault="009102A7" w:rsidP="009102A7">
      <w:pPr>
        <w:ind w:left="1418" w:right="41"/>
      </w:pPr>
      <w:r w:rsidRPr="00576AF8">
        <w:rPr>
          <w:rFonts w:eastAsia="Arial"/>
          <w:color w:val="000000"/>
          <w:sz w:val="22"/>
          <w:szCs w:val="22"/>
          <w:lang w:val="es"/>
        </w:rPr>
        <w:t xml:space="preserve">El Proveedor suministrará estos equipos en caso que se requieran para la solución de su producto y arquitectura, siempre que se respeten los criterios de rendimiento, seguridad, confiabilidad, alta disponibilidad, y seguridad requeridos para el nuevo sistema SCADA/EMS </w:t>
      </w:r>
      <w:r w:rsidR="00593894" w:rsidRPr="00576AF8">
        <w:rPr>
          <w:rFonts w:eastAsia="Arial"/>
          <w:color w:val="000000"/>
          <w:sz w:val="22"/>
          <w:szCs w:val="22"/>
          <w:lang w:val="es"/>
        </w:rPr>
        <w:t>del Comprador</w:t>
      </w:r>
      <w:r w:rsidRPr="00576AF8">
        <w:rPr>
          <w:rFonts w:eastAsia="Arial"/>
          <w:color w:val="000000"/>
          <w:sz w:val="22"/>
          <w:szCs w:val="22"/>
          <w:lang w:val="es"/>
        </w:rPr>
        <w:t>. Deberá considerar al menos los protocos de enrutamiento EIGRP y OSPF para establecer las conexiones WAN sin requerir modificar configuraciones en los sitos remotos.</w:t>
      </w:r>
    </w:p>
    <w:p w14:paraId="05053ABA" w14:textId="77777777" w:rsidR="009102A7" w:rsidRPr="00576AF8" w:rsidRDefault="009102A7" w:rsidP="008C0D90">
      <w:pPr>
        <w:ind w:left="2160" w:hanging="720"/>
        <w:jc w:val="left"/>
        <w:outlineLvl w:val="2"/>
        <w:rPr>
          <w:spacing w:val="-2"/>
          <w:sz w:val="22"/>
          <w:szCs w:val="22"/>
        </w:rPr>
      </w:pPr>
      <w:r w:rsidRPr="00576AF8">
        <w:rPr>
          <w:b/>
          <w:bCs/>
          <w:spacing w:val="-2"/>
          <w:sz w:val="22"/>
          <w:szCs w:val="22"/>
        </w:rPr>
        <w:t>3.2.2.2</w:t>
      </w:r>
      <w:r w:rsidRPr="00576AF8">
        <w:rPr>
          <w:spacing w:val="-2"/>
          <w:sz w:val="22"/>
          <w:szCs w:val="22"/>
        </w:rPr>
        <w:tab/>
      </w:r>
      <w:r w:rsidRPr="00576AF8">
        <w:rPr>
          <w:b/>
          <w:bCs/>
          <w:spacing w:val="-2"/>
          <w:sz w:val="22"/>
          <w:szCs w:val="22"/>
        </w:rPr>
        <w:t xml:space="preserve"> Servicios de telecomunicaciones:</w:t>
      </w:r>
      <w:r w:rsidRPr="00576AF8">
        <w:rPr>
          <w:spacing w:val="-2"/>
          <w:sz w:val="22"/>
          <w:szCs w:val="22"/>
        </w:rPr>
        <w:t xml:space="preserve"> </w:t>
      </w:r>
    </w:p>
    <w:p w14:paraId="34AAB395" w14:textId="77777777" w:rsidR="009102A7" w:rsidRPr="00576AF8" w:rsidRDefault="009102A7" w:rsidP="009102A7">
      <w:pPr>
        <w:ind w:left="1418" w:right="41"/>
        <w:rPr>
          <w:color w:val="4472C4"/>
          <w:sz w:val="22"/>
          <w:szCs w:val="22"/>
          <w:lang w:eastAsia="en-US" w:bidi="ar-SA"/>
        </w:rPr>
      </w:pPr>
      <w:r w:rsidRPr="00576AF8">
        <w:rPr>
          <w:rFonts w:eastAsia="Arial"/>
          <w:color w:val="000000"/>
          <w:sz w:val="22"/>
          <w:szCs w:val="22"/>
          <w:lang w:val="es"/>
        </w:rPr>
        <w:t xml:space="preserve">El Proveedor cumplirá con los requrimientos que aseguren que todos los equipos y solución provista garanticen los criterios de rendimiento, seguridad, confiabilidad, alta disponibilidad, y seguridad requeridos para el nuevo sistema SCADA/EMS </w:t>
      </w:r>
      <w:r w:rsidR="00593894" w:rsidRPr="00576AF8">
        <w:rPr>
          <w:rFonts w:eastAsia="Arial"/>
          <w:color w:val="000000"/>
          <w:sz w:val="22"/>
          <w:szCs w:val="22"/>
          <w:lang w:val="es"/>
        </w:rPr>
        <w:t>del Comprador</w:t>
      </w:r>
      <w:r w:rsidRPr="00576AF8">
        <w:rPr>
          <w:rFonts w:eastAsia="Arial"/>
          <w:color w:val="000000"/>
          <w:sz w:val="22"/>
          <w:szCs w:val="22"/>
          <w:lang w:val="es"/>
        </w:rPr>
        <w:t>. Deberá considerar al menos los protocos de enrutamiento EIGRP y OSPF para establecer conexiones WAN sin requerir modificar parámetros ni configuraciones en los equipos de los sitios remotos o de otras empresas con quienes existen enlaces de comunicaciones con el SCADA/EMS de CENACE.</w:t>
      </w:r>
    </w:p>
    <w:p w14:paraId="13B835F2" w14:textId="77777777" w:rsidR="009102A7" w:rsidRPr="00576AF8" w:rsidRDefault="009102A7" w:rsidP="009102A7">
      <w:pPr>
        <w:ind w:left="2160" w:right="41" w:hanging="720"/>
        <w:rPr>
          <w:color w:val="4472C4"/>
          <w:sz w:val="22"/>
          <w:szCs w:val="22"/>
          <w:lang w:eastAsia="en-US" w:bidi="ar-SA"/>
        </w:rPr>
      </w:pPr>
    </w:p>
    <w:p w14:paraId="1CFA3E16" w14:textId="77777777" w:rsidR="009102A7" w:rsidRPr="00576AF8" w:rsidRDefault="009102A7" w:rsidP="008C0D90">
      <w:pPr>
        <w:ind w:left="720" w:hanging="720"/>
        <w:jc w:val="left"/>
        <w:outlineLvl w:val="2"/>
        <w:rPr>
          <w:color w:val="4472C4"/>
          <w:sz w:val="22"/>
          <w:szCs w:val="22"/>
          <w:u w:val="single"/>
          <w:lang w:eastAsia="en-US" w:bidi="ar-SA"/>
        </w:rPr>
      </w:pPr>
      <w:r w:rsidRPr="00576AF8">
        <w:rPr>
          <w:b/>
          <w:sz w:val="22"/>
          <w:szCs w:val="22"/>
          <w:lang w:eastAsia="en-US" w:bidi="ar-SA"/>
        </w:rPr>
        <w:t xml:space="preserve">3.2.3 </w:t>
      </w:r>
      <w:r w:rsidRPr="00576AF8">
        <w:rPr>
          <w:b/>
        </w:rPr>
        <w:tab/>
      </w:r>
      <w:r w:rsidRPr="00576AF8">
        <w:rPr>
          <w:b/>
          <w:sz w:val="22"/>
          <w:szCs w:val="22"/>
          <w:lang w:eastAsia="en-US" w:bidi="ar-SA"/>
        </w:rPr>
        <w:t>Data Centers:</w:t>
      </w:r>
      <w:r w:rsidRPr="00576AF8">
        <w:rPr>
          <w:sz w:val="22"/>
          <w:szCs w:val="22"/>
          <w:u w:val="single"/>
          <w:lang w:eastAsia="en-US" w:bidi="ar-SA"/>
        </w:rPr>
        <w:t xml:space="preserve"> </w:t>
      </w:r>
      <w:r w:rsidRPr="00576AF8">
        <w:rPr>
          <w:i/>
          <w:iCs/>
          <w:sz w:val="22"/>
          <w:szCs w:val="22"/>
          <w:u w:val="single"/>
          <w:lang w:eastAsia="en-US" w:bidi="ar-SA"/>
        </w:rPr>
        <w:t>NO APLICA</w:t>
      </w:r>
    </w:p>
    <w:p w14:paraId="472C9C2C" w14:textId="77777777" w:rsidR="009102A7" w:rsidRPr="00576AF8" w:rsidRDefault="009102A7" w:rsidP="008C0D90">
      <w:pPr>
        <w:ind w:left="720" w:hanging="720"/>
        <w:jc w:val="left"/>
        <w:outlineLvl w:val="2"/>
        <w:rPr>
          <w:b/>
          <w:sz w:val="22"/>
          <w:szCs w:val="22"/>
        </w:rPr>
      </w:pPr>
      <w:r w:rsidRPr="00576AF8">
        <w:rPr>
          <w:b/>
          <w:sz w:val="22"/>
          <w:szCs w:val="22"/>
        </w:rPr>
        <w:t>3.2.4</w:t>
      </w:r>
      <w:r w:rsidRPr="00576AF8">
        <w:rPr>
          <w:b/>
          <w:sz w:val="22"/>
          <w:szCs w:val="22"/>
        </w:rPr>
        <w:tab/>
        <w:t xml:space="preserve">Otros equipos de comunicaciones: </w:t>
      </w:r>
    </w:p>
    <w:p w14:paraId="15701715" w14:textId="77777777" w:rsidR="009102A7" w:rsidRPr="00576AF8" w:rsidRDefault="009102A7" w:rsidP="009102A7">
      <w:pPr>
        <w:ind w:left="1134" w:right="41"/>
        <w:rPr>
          <w:b/>
          <w:sz w:val="22"/>
          <w:szCs w:val="22"/>
        </w:rPr>
      </w:pPr>
      <w:r w:rsidRPr="00576AF8">
        <w:rPr>
          <w:b/>
          <w:sz w:val="22"/>
          <w:szCs w:val="22"/>
        </w:rPr>
        <w:t>Gabinetes</w:t>
      </w:r>
    </w:p>
    <w:p w14:paraId="083244F8" w14:textId="77777777" w:rsidR="009102A7" w:rsidRPr="00576AF8" w:rsidRDefault="009102A7" w:rsidP="009102A7">
      <w:pPr>
        <w:ind w:left="2160" w:right="41" w:hanging="720"/>
        <w:rPr>
          <w:sz w:val="22"/>
          <w:szCs w:val="22"/>
        </w:rPr>
      </w:pPr>
      <w:r w:rsidRPr="00576AF8">
        <w:rPr>
          <w:sz w:val="22"/>
          <w:szCs w:val="22"/>
        </w:rPr>
        <w:t>Los gabinetes provistos contarán al menos con las siguientes características:</w:t>
      </w:r>
    </w:p>
    <w:p w14:paraId="0B8C8463"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Altura útil 42U</w:t>
      </w:r>
    </w:p>
    <w:p w14:paraId="28BF7679"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Ancho estándar de 19” EIA de profundidad ajustable</w:t>
      </w:r>
    </w:p>
    <w:p w14:paraId="5430D5C0"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Capacidad de reserva del 30%</w:t>
      </w:r>
    </w:p>
    <w:p w14:paraId="7084FFC3"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Todos los espacios vacíos deben incluir tapas protectoras</w:t>
      </w:r>
    </w:p>
    <w:p w14:paraId="3954D3F3"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Montaje de equipos utilizando rieles</w:t>
      </w:r>
    </w:p>
    <w:p w14:paraId="0653F1B7"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Diseño adecuado para el correcto flujo de aire</w:t>
      </w:r>
    </w:p>
    <w:p w14:paraId="5D6CA430"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Acceso frontal y trasero con puertas removibles</w:t>
      </w:r>
    </w:p>
    <w:p w14:paraId="2BE3B3CF"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Manejadores de cable verticales y horizontales</w:t>
      </w:r>
    </w:p>
    <w:p w14:paraId="5975D507"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lastRenderedPageBreak/>
        <w:t>Cada gabinete con servidores debe contar con un KVM con monitor de al menos 19 pulgadas para el acceso local a todos los equipos instalados en el mismo.</w:t>
      </w:r>
    </w:p>
    <w:p w14:paraId="187A5CAA"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La alimentación será mediante PDU redundantes debidamente protegidos.</w:t>
      </w:r>
    </w:p>
    <w:p w14:paraId="2941A78C"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De anclaje al suelo y protegido contra vibraciones</w:t>
      </w:r>
    </w:p>
    <w:p w14:paraId="56C56BC4"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Cada gabinete debe estar debidamente identificado</w:t>
      </w:r>
    </w:p>
    <w:p w14:paraId="6EC42A19"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La estructura del gabinete debe estar debidamente conectada a la tierra de sala de servidores de acuerdo con el estándar ANSI/TIA/EIA-607</w:t>
      </w:r>
    </w:p>
    <w:p w14:paraId="768FF07F" w14:textId="77777777" w:rsidR="009102A7" w:rsidRPr="00576AF8" w:rsidRDefault="009102A7" w:rsidP="009102A7">
      <w:pPr>
        <w:numPr>
          <w:ilvl w:val="0"/>
          <w:numId w:val="15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ind w:left="1843" w:hanging="283"/>
        <w:rPr>
          <w:rFonts w:eastAsia="Calibri"/>
          <w:color w:val="000000"/>
          <w:sz w:val="22"/>
          <w:szCs w:val="22"/>
        </w:rPr>
      </w:pPr>
      <w:r w:rsidRPr="00576AF8">
        <w:rPr>
          <w:rFonts w:eastAsia="Calibri"/>
          <w:color w:val="000000"/>
          <w:sz w:val="22"/>
          <w:szCs w:val="22"/>
        </w:rPr>
        <w:t>Protegido con llave de acceso</w:t>
      </w:r>
    </w:p>
    <w:p w14:paraId="0B0A3C3D" w14:textId="77777777" w:rsidR="009102A7" w:rsidRPr="00576AF8" w:rsidRDefault="009102A7" w:rsidP="009102A7">
      <w:pPr>
        <w:ind w:right="41"/>
        <w:rPr>
          <w:i/>
          <w:sz w:val="22"/>
          <w:szCs w:val="22"/>
          <w:u w:val="single"/>
        </w:rPr>
      </w:pPr>
    </w:p>
    <w:p w14:paraId="22B5ACA1" w14:textId="77777777" w:rsidR="009102A7" w:rsidRPr="00576AF8" w:rsidRDefault="009102A7" w:rsidP="009102A7">
      <w:pPr>
        <w:ind w:right="41"/>
        <w:outlineLvl w:val="1"/>
        <w:rPr>
          <w:sz w:val="22"/>
          <w:szCs w:val="22"/>
        </w:rPr>
      </w:pPr>
      <w:bookmarkStart w:id="1219" w:name="_Toc521498260"/>
      <w:bookmarkStart w:id="1220" w:name="_Toc454958734"/>
      <w:bookmarkStart w:id="1221" w:name="_Toc476310109"/>
      <w:bookmarkStart w:id="1222" w:name="_Toc482896438"/>
      <w:bookmarkStart w:id="1223" w:name="_Toc99868862"/>
      <w:bookmarkStart w:id="1224" w:name="_Toc160706929"/>
      <w:bookmarkStart w:id="1225" w:name="_Toc160707519"/>
      <w:bookmarkStart w:id="1226" w:name="_Toc160707776"/>
      <w:r w:rsidRPr="00576AF8">
        <w:rPr>
          <w:b/>
          <w:bCs/>
          <w:sz w:val="22"/>
          <w:szCs w:val="22"/>
        </w:rPr>
        <w:t>3.3</w:t>
      </w:r>
      <w:r w:rsidRPr="00576AF8">
        <w:tab/>
      </w:r>
      <w:bookmarkEnd w:id="1219"/>
      <w:r w:rsidRPr="00576AF8">
        <w:rPr>
          <w:b/>
          <w:bCs/>
          <w:sz w:val="22"/>
          <w:szCs w:val="22"/>
        </w:rPr>
        <w:t xml:space="preserve">Especificaciones de los Equipos </w:t>
      </w:r>
      <w:bookmarkEnd w:id="1220"/>
      <w:bookmarkEnd w:id="1221"/>
      <w:bookmarkEnd w:id="1222"/>
      <w:r w:rsidRPr="00576AF8">
        <w:rPr>
          <w:b/>
          <w:bCs/>
          <w:sz w:val="22"/>
          <w:szCs w:val="22"/>
        </w:rPr>
        <w:t>Secundarios</w:t>
      </w:r>
      <w:bookmarkEnd w:id="1223"/>
      <w:bookmarkEnd w:id="1224"/>
      <w:bookmarkEnd w:id="1225"/>
      <w:bookmarkEnd w:id="1226"/>
    </w:p>
    <w:p w14:paraId="2EAC665E" w14:textId="77777777" w:rsidR="009102A7" w:rsidRPr="00576AF8" w:rsidRDefault="009102A7" w:rsidP="009102A7">
      <w:pPr>
        <w:ind w:hanging="153"/>
        <w:jc w:val="left"/>
        <w:outlineLvl w:val="2"/>
        <w:rPr>
          <w:b/>
          <w:sz w:val="22"/>
          <w:szCs w:val="22"/>
        </w:rPr>
      </w:pPr>
      <w:bookmarkStart w:id="1227" w:name="_Toc160706930"/>
      <w:bookmarkStart w:id="1228" w:name="_Toc160707197"/>
      <w:bookmarkStart w:id="1229" w:name="_Toc160707520"/>
      <w:bookmarkStart w:id="1230" w:name="_Toc160707711"/>
      <w:bookmarkStart w:id="1231" w:name="_Toc160707777"/>
      <w:bookmarkStart w:id="1232" w:name="_Toc163137322"/>
      <w:r w:rsidRPr="00576AF8">
        <w:rPr>
          <w:b/>
          <w:sz w:val="22"/>
          <w:szCs w:val="22"/>
        </w:rPr>
        <w:t>3.3.1</w:t>
      </w:r>
      <w:r w:rsidRPr="00576AF8">
        <w:rPr>
          <w:b/>
          <w:sz w:val="22"/>
          <w:szCs w:val="22"/>
        </w:rPr>
        <w:tab/>
        <w:t>Dispositivos de almacenamiento de datos compartidos:</w:t>
      </w:r>
      <w:bookmarkEnd w:id="1227"/>
      <w:bookmarkEnd w:id="1228"/>
      <w:bookmarkEnd w:id="1229"/>
      <w:bookmarkEnd w:id="1230"/>
      <w:bookmarkEnd w:id="1231"/>
      <w:bookmarkEnd w:id="1232"/>
      <w:r w:rsidRPr="00576AF8">
        <w:rPr>
          <w:b/>
          <w:sz w:val="22"/>
          <w:szCs w:val="22"/>
        </w:rPr>
        <w:t xml:space="preserve"> </w:t>
      </w:r>
    </w:p>
    <w:p w14:paraId="26E001BC" w14:textId="77777777" w:rsidR="009102A7" w:rsidRPr="00576AF8" w:rsidRDefault="009102A7" w:rsidP="008C0D90">
      <w:pPr>
        <w:ind w:left="720" w:hanging="720"/>
        <w:jc w:val="left"/>
        <w:outlineLvl w:val="2"/>
        <w:rPr>
          <w:b/>
          <w:bCs/>
          <w:sz w:val="22"/>
          <w:szCs w:val="22"/>
        </w:rPr>
      </w:pPr>
      <w:r w:rsidRPr="00576AF8">
        <w:rPr>
          <w:color w:val="4472C4"/>
          <w:sz w:val="22"/>
          <w:szCs w:val="22"/>
        </w:rPr>
        <w:tab/>
      </w:r>
      <w:r w:rsidRPr="00576AF8">
        <w:rPr>
          <w:b/>
          <w:bCs/>
          <w:sz w:val="22"/>
          <w:szCs w:val="22"/>
        </w:rPr>
        <w:t>3.3.1.1 Sistemas de Almacenamiento de información Online-Standby</w:t>
      </w:r>
    </w:p>
    <w:p w14:paraId="7AAF5E1D" w14:textId="77777777" w:rsidR="009102A7" w:rsidRPr="00576AF8" w:rsidRDefault="009102A7" w:rsidP="009102A7">
      <w:pPr>
        <w:numPr>
          <w:ilvl w:val="0"/>
          <w:numId w:val="385"/>
        </w:numPr>
        <w:ind w:right="41"/>
        <w:contextualSpacing/>
        <w:rPr>
          <w:sz w:val="22"/>
          <w:szCs w:val="22"/>
        </w:rPr>
      </w:pPr>
      <w:r w:rsidRPr="00576AF8">
        <w:rPr>
          <w:sz w:val="22"/>
          <w:szCs w:val="22"/>
        </w:rPr>
        <w:t>El Proveedor DEBERÁ implementar un sistema de almacenamiento de información online-standby completamente independiente para cada entorno del SCADA/EMS para garantizar la continuidad operativa y la integridad de los datos críticos. Esta estrategia ayuda a minimizar el riesgo de pérdida de datos y de tiempos de inactividad, lo que es especialmente importante en entornos donde la disponibilidad y la confiabilidad son fundamentales.</w:t>
      </w:r>
    </w:p>
    <w:p w14:paraId="34BA700D" w14:textId="77777777" w:rsidR="009102A7" w:rsidRPr="00576AF8" w:rsidRDefault="009102A7" w:rsidP="009102A7">
      <w:pPr>
        <w:ind w:left="1452" w:right="41"/>
        <w:contextualSpacing/>
        <w:rPr>
          <w:sz w:val="22"/>
          <w:szCs w:val="22"/>
        </w:rPr>
      </w:pPr>
    </w:p>
    <w:p w14:paraId="6F6983C1" w14:textId="77777777" w:rsidR="009102A7" w:rsidRPr="00576AF8" w:rsidRDefault="009102A7" w:rsidP="009102A7">
      <w:pPr>
        <w:numPr>
          <w:ilvl w:val="0"/>
          <w:numId w:val="385"/>
        </w:numPr>
        <w:ind w:right="41"/>
        <w:contextualSpacing/>
        <w:rPr>
          <w:sz w:val="22"/>
          <w:szCs w:val="22"/>
        </w:rPr>
      </w:pPr>
      <w:r w:rsidRPr="00576AF8">
        <w:rPr>
          <w:sz w:val="22"/>
          <w:szCs w:val="22"/>
        </w:rPr>
        <w:t xml:space="preserve">El Proveedor proveerá una solución que garantice la disponibilidad continua de datos esenciales en caso de fallas, interrupciones o situaciones de emergencia. A continuación, se establecen los componentes y consideraciones clave que debe cumplir el sistema de almacenamiento y recuperación de información </w:t>
      </w:r>
      <w:r w:rsidRPr="00576AF8">
        <w:rPr>
          <w:i/>
          <w:sz w:val="22"/>
          <w:szCs w:val="22"/>
        </w:rPr>
        <w:t>online-standby</w:t>
      </w:r>
      <w:r w:rsidRPr="00576AF8">
        <w:rPr>
          <w:sz w:val="22"/>
          <w:szCs w:val="22"/>
        </w:rPr>
        <w:t>:</w:t>
      </w:r>
    </w:p>
    <w:p w14:paraId="3DF06592" w14:textId="77777777" w:rsidR="009102A7" w:rsidRPr="00576AF8" w:rsidRDefault="009102A7" w:rsidP="009102A7">
      <w:pPr>
        <w:numPr>
          <w:ilvl w:val="0"/>
          <w:numId w:val="126"/>
        </w:numPr>
        <w:contextualSpacing/>
        <w:rPr>
          <w:sz w:val="22"/>
          <w:szCs w:val="22"/>
        </w:rPr>
      </w:pPr>
      <w:r w:rsidRPr="00576AF8">
        <w:rPr>
          <w:sz w:val="22"/>
          <w:szCs w:val="22"/>
          <w:u w:val="single"/>
        </w:rPr>
        <w:t>Almacenamiento Redundante:</w:t>
      </w:r>
      <w:r w:rsidRPr="00576AF8">
        <w:rPr>
          <w:sz w:val="22"/>
          <w:szCs w:val="22"/>
        </w:rPr>
        <w:t xml:space="preserve"> Implementar un almacenamiento de datos redundante es esencial. Esto implica utilizar sistemas de almacenamiento en RAID 6 o configuraciones equivalentes de almacenamiento que permitan duplicar y distribuir los datos en varios discos duros o matrices de almacenamiento, adicionalmente deberá contar con tecnología que permita disponer de discos de spare (repuesto de espera).</w:t>
      </w:r>
    </w:p>
    <w:p w14:paraId="4A755F97" w14:textId="77777777" w:rsidR="009102A7" w:rsidRPr="00576AF8" w:rsidRDefault="009102A7" w:rsidP="009102A7">
      <w:pPr>
        <w:numPr>
          <w:ilvl w:val="0"/>
          <w:numId w:val="126"/>
        </w:numPr>
        <w:ind w:right="41"/>
        <w:contextualSpacing/>
        <w:rPr>
          <w:sz w:val="22"/>
          <w:szCs w:val="22"/>
        </w:rPr>
      </w:pPr>
      <w:r w:rsidRPr="00576AF8">
        <w:rPr>
          <w:sz w:val="22"/>
          <w:szCs w:val="22"/>
          <w:u w:val="single"/>
        </w:rPr>
        <w:t>Réplicas de Datos:</w:t>
      </w:r>
      <w:r w:rsidRPr="00576AF8">
        <w:rPr>
          <w:sz w:val="22"/>
          <w:szCs w:val="22"/>
        </w:rPr>
        <w:t xml:space="preserve"> Mantener réplicas exactas de los datos críticos en tiempo real o con una frecuencia de actualización constante. Esto garantiza que, si falla uno de los sistemas de almacenamiento, el otro puede tomar el relevo sin pérdida de datos.</w:t>
      </w:r>
    </w:p>
    <w:p w14:paraId="13E0FD9F" w14:textId="77777777" w:rsidR="009102A7" w:rsidRPr="00576AF8" w:rsidRDefault="009102A7" w:rsidP="009102A7">
      <w:pPr>
        <w:numPr>
          <w:ilvl w:val="0"/>
          <w:numId w:val="126"/>
        </w:numPr>
        <w:ind w:right="41"/>
        <w:contextualSpacing/>
        <w:rPr>
          <w:sz w:val="22"/>
          <w:szCs w:val="22"/>
        </w:rPr>
      </w:pPr>
      <w:r w:rsidRPr="00576AF8">
        <w:rPr>
          <w:sz w:val="22"/>
          <w:szCs w:val="22"/>
          <w:u w:val="single"/>
        </w:rPr>
        <w:t>Conmutación Automática por Errores:</w:t>
      </w:r>
      <w:r w:rsidRPr="00576AF8">
        <w:rPr>
          <w:sz w:val="22"/>
          <w:szCs w:val="22"/>
        </w:rPr>
        <w:t xml:space="preserve"> Configurar mecanismos automáticos de conmutación por error, que permitan al sistema SCADA/EMS cambiar de manera transparente al sistema de almacenamiento redundante, en caso de detectar una falla en el sistema principal.</w:t>
      </w:r>
    </w:p>
    <w:p w14:paraId="396E8777" w14:textId="77777777" w:rsidR="009102A7" w:rsidRPr="00576AF8" w:rsidRDefault="009102A7" w:rsidP="009102A7">
      <w:pPr>
        <w:numPr>
          <w:ilvl w:val="0"/>
          <w:numId w:val="126"/>
        </w:numPr>
        <w:ind w:right="41"/>
        <w:contextualSpacing/>
        <w:rPr>
          <w:sz w:val="22"/>
          <w:szCs w:val="22"/>
        </w:rPr>
      </w:pPr>
      <w:r w:rsidRPr="00576AF8">
        <w:rPr>
          <w:sz w:val="22"/>
          <w:szCs w:val="22"/>
          <w:u w:val="single"/>
        </w:rPr>
        <w:t>Sincronización de Datos:</w:t>
      </w:r>
      <w:r w:rsidRPr="00576AF8">
        <w:rPr>
          <w:sz w:val="22"/>
          <w:szCs w:val="22"/>
        </w:rPr>
        <w:t xml:space="preserve"> Asegurarse de que los datos se sincronicen adecuadamente entre los sistemas de almacenamiento primario y redundante. El sistema debe garantizar que todos los datos sean coherentes, mismos que deben actualizarse y reflejarse en cada almacenamiento en tiempo real sin modificaciones, evitando errores y violaciones de la privacidad y manteniendo la disponibilidad de los datos actualizados.</w:t>
      </w:r>
    </w:p>
    <w:p w14:paraId="604FBDBD" w14:textId="77777777" w:rsidR="009102A7" w:rsidRPr="00576AF8" w:rsidRDefault="009102A7" w:rsidP="009102A7">
      <w:pPr>
        <w:ind w:right="41"/>
        <w:rPr>
          <w:szCs w:val="24"/>
        </w:rPr>
      </w:pPr>
    </w:p>
    <w:p w14:paraId="6E2EEFDF" w14:textId="77777777" w:rsidR="009102A7" w:rsidRPr="00576AF8" w:rsidRDefault="009102A7" w:rsidP="008C0D90">
      <w:pPr>
        <w:ind w:left="2160" w:hanging="720"/>
        <w:jc w:val="left"/>
        <w:outlineLvl w:val="2"/>
        <w:rPr>
          <w:b/>
          <w:bCs/>
          <w:sz w:val="22"/>
          <w:szCs w:val="22"/>
        </w:rPr>
      </w:pPr>
      <w:r w:rsidRPr="00576AF8">
        <w:rPr>
          <w:b/>
          <w:bCs/>
          <w:sz w:val="22"/>
          <w:szCs w:val="22"/>
        </w:rPr>
        <w:t>3.3.1.2 Sistema de Respaldo y Recuperación de Datos</w:t>
      </w:r>
    </w:p>
    <w:p w14:paraId="19B533A7" w14:textId="77777777" w:rsidR="009102A7" w:rsidRPr="00576AF8" w:rsidRDefault="009102A7" w:rsidP="009102A7">
      <w:pPr>
        <w:numPr>
          <w:ilvl w:val="0"/>
          <w:numId w:val="127"/>
        </w:numPr>
        <w:ind w:right="41"/>
        <w:contextualSpacing/>
        <w:rPr>
          <w:sz w:val="22"/>
          <w:szCs w:val="22"/>
        </w:rPr>
      </w:pPr>
      <w:r w:rsidRPr="00576AF8">
        <w:rPr>
          <w:sz w:val="22"/>
          <w:szCs w:val="22"/>
        </w:rPr>
        <w:lastRenderedPageBreak/>
        <w:t>El Proveedor debe proveer una solución que permita el almacenamiento seguro de los respaldos de información y recuperación mediante un sistema de copias de seguridad programadas de los datos críticos en medios de almacenamiento, como una combinación de cintas y discos duros. El dimensionamiento será suficiente para almacenar la información crítica sugerida por el Proveedor, con un programa de respaldos totales e incrementales con retención de al menos dos (2) años.</w:t>
      </w:r>
    </w:p>
    <w:p w14:paraId="578B4809" w14:textId="77777777" w:rsidR="009102A7" w:rsidRPr="00576AF8" w:rsidRDefault="009102A7" w:rsidP="009102A7">
      <w:pPr>
        <w:numPr>
          <w:ilvl w:val="0"/>
          <w:numId w:val="127"/>
        </w:numPr>
        <w:ind w:right="41"/>
        <w:contextualSpacing/>
        <w:rPr>
          <w:sz w:val="22"/>
          <w:szCs w:val="22"/>
        </w:rPr>
      </w:pPr>
      <w:r w:rsidRPr="00576AF8">
        <w:rPr>
          <w:sz w:val="22"/>
          <w:szCs w:val="22"/>
        </w:rPr>
        <w:t>La solución de respaldo y recuperación de información del Proveedor será compatible tanto para sistemas físicos como virtualizados. Si la solución SCADA/EMS del Proveedor utiliza virtualización, la solución de backup ofrecerá características avanzadas como recuperación instantánea de máquinas virtuales VM, recuperación granular a nivel de archivo y que permita restauración en una ubicación alterna.</w:t>
      </w:r>
    </w:p>
    <w:p w14:paraId="15576E38" w14:textId="77777777" w:rsidR="009102A7" w:rsidRPr="00576AF8" w:rsidRDefault="009102A7" w:rsidP="009102A7">
      <w:pPr>
        <w:numPr>
          <w:ilvl w:val="0"/>
          <w:numId w:val="127"/>
        </w:numPr>
        <w:ind w:right="41"/>
        <w:contextualSpacing/>
        <w:rPr>
          <w:sz w:val="22"/>
          <w:szCs w:val="22"/>
        </w:rPr>
      </w:pPr>
      <w:r w:rsidRPr="00576AF8">
        <w:rPr>
          <w:sz w:val="22"/>
          <w:szCs w:val="22"/>
        </w:rPr>
        <w:t>La solución propuesta deberá contar con un servidor dedicado e independiente que proveerá capacidades centralizadas de gestión y monitorización, a través de una consola, que permita a los administradores configurar, monitorizar, e informar fácilmente, los trabajos de backup y de replicación en toda la infraestructura.</w:t>
      </w:r>
    </w:p>
    <w:p w14:paraId="562C11DD" w14:textId="77777777" w:rsidR="009102A7" w:rsidRPr="00576AF8" w:rsidRDefault="009102A7" w:rsidP="009102A7">
      <w:pPr>
        <w:numPr>
          <w:ilvl w:val="0"/>
          <w:numId w:val="127"/>
        </w:numPr>
        <w:ind w:right="41"/>
        <w:contextualSpacing/>
        <w:rPr>
          <w:sz w:val="22"/>
          <w:szCs w:val="22"/>
        </w:rPr>
      </w:pPr>
      <w:r w:rsidRPr="00576AF8">
        <w:rPr>
          <w:sz w:val="22"/>
          <w:szCs w:val="22"/>
        </w:rPr>
        <w:t>La solución de backup y recuperación, debe permitir escalar fácilmente para adaptarse a las crecientes necesidades de respaldo y recuperación.</w:t>
      </w:r>
    </w:p>
    <w:p w14:paraId="73B63BF9" w14:textId="77777777" w:rsidR="009102A7" w:rsidRPr="00576AF8" w:rsidRDefault="009102A7" w:rsidP="009102A7">
      <w:pPr>
        <w:numPr>
          <w:ilvl w:val="0"/>
          <w:numId w:val="127"/>
        </w:numPr>
        <w:ind w:right="41"/>
        <w:contextualSpacing/>
        <w:rPr>
          <w:sz w:val="22"/>
          <w:szCs w:val="22"/>
        </w:rPr>
      </w:pPr>
      <w:r w:rsidRPr="00576AF8">
        <w:rPr>
          <w:sz w:val="22"/>
          <w:szCs w:val="22"/>
        </w:rPr>
        <w:t>La solución a ofrecer permitirá la posibilidad de utilizar almacenamiento en una ubicación alterna como parte de la estrategia de respaldo.</w:t>
      </w:r>
    </w:p>
    <w:p w14:paraId="3127C6DB" w14:textId="77777777" w:rsidR="009102A7" w:rsidRPr="00576AF8" w:rsidRDefault="009102A7" w:rsidP="009102A7">
      <w:pPr>
        <w:ind w:right="41"/>
        <w:rPr>
          <w:szCs w:val="24"/>
        </w:rPr>
      </w:pPr>
    </w:p>
    <w:p w14:paraId="5E047BB9" w14:textId="77777777" w:rsidR="009102A7" w:rsidRPr="00576AF8" w:rsidRDefault="009102A7" w:rsidP="008C0D90">
      <w:pPr>
        <w:ind w:left="2160" w:hanging="720"/>
        <w:jc w:val="left"/>
        <w:outlineLvl w:val="2"/>
        <w:rPr>
          <w:sz w:val="22"/>
          <w:szCs w:val="22"/>
        </w:rPr>
      </w:pPr>
      <w:r w:rsidRPr="00576AF8">
        <w:rPr>
          <w:b/>
          <w:bCs/>
          <w:sz w:val="22"/>
          <w:szCs w:val="22"/>
        </w:rPr>
        <w:t>3.3.1.3 Almacenamiento SCADA/EMS</w:t>
      </w:r>
    </w:p>
    <w:p w14:paraId="6D0B62F0" w14:textId="77777777" w:rsidR="009102A7" w:rsidRPr="00576AF8" w:rsidRDefault="009102A7" w:rsidP="009102A7">
      <w:pPr>
        <w:ind w:left="1416" w:right="41"/>
        <w:rPr>
          <w:sz w:val="22"/>
          <w:szCs w:val="22"/>
        </w:rPr>
      </w:pPr>
      <w:r w:rsidRPr="00576AF8">
        <w:rPr>
          <w:sz w:val="22"/>
          <w:szCs w:val="22"/>
        </w:rPr>
        <w:t xml:space="preserve">El servidor SCADA/EMS deberá tener suficiente espacio para almacenar datos, como datos de proceso, datos históricos y datos de configuración. Estará constituidos por discos de estado sólidos SSD o equivalentes en velocidad y su utilización inicial no debe exceder el 20% de su capacidad. Los discos y partes serán del tipo removible en caliente (Hot plug). Los discos deben estar en arreglo redundante RAID 6. </w:t>
      </w:r>
    </w:p>
    <w:p w14:paraId="68DF7F41" w14:textId="77777777" w:rsidR="009102A7" w:rsidRPr="00576AF8" w:rsidRDefault="009102A7" w:rsidP="009102A7">
      <w:pPr>
        <w:numPr>
          <w:ilvl w:val="0"/>
          <w:numId w:val="395"/>
        </w:numPr>
        <w:ind w:right="41"/>
        <w:contextualSpacing/>
        <w:rPr>
          <w:sz w:val="22"/>
          <w:szCs w:val="22"/>
        </w:rPr>
      </w:pPr>
      <w:r w:rsidRPr="00576AF8">
        <w:rPr>
          <w:sz w:val="22"/>
          <w:szCs w:val="22"/>
        </w:rPr>
        <w:t>Red LAN: Los servidores SCADA/EMS tendrán una conexión de red redundante de alta velocidad 1/10 Gbps para comunicarse con todos los elementos de la red, los dispositivos de campo y otros sistemas.</w:t>
      </w:r>
    </w:p>
    <w:p w14:paraId="6121DA5F" w14:textId="77777777" w:rsidR="009102A7" w:rsidRPr="00576AF8" w:rsidRDefault="009102A7" w:rsidP="009102A7">
      <w:pPr>
        <w:numPr>
          <w:ilvl w:val="0"/>
          <w:numId w:val="395"/>
        </w:numPr>
        <w:ind w:right="41"/>
        <w:contextualSpacing/>
        <w:rPr>
          <w:sz w:val="22"/>
          <w:szCs w:val="22"/>
        </w:rPr>
      </w:pPr>
      <w:r w:rsidRPr="00576AF8">
        <w:rPr>
          <w:sz w:val="22"/>
          <w:szCs w:val="22"/>
        </w:rPr>
        <w:t>Red SAN: los servidores SCADA/EMS de acuerdo a la solución del Proveedor tendrán una conexión de red redundante de al menos 16GB para la comunicación de los equipos con el almacenamiento.</w:t>
      </w:r>
    </w:p>
    <w:p w14:paraId="6AC34EB8" w14:textId="77777777" w:rsidR="009102A7" w:rsidRPr="00576AF8" w:rsidRDefault="009102A7" w:rsidP="009102A7">
      <w:pPr>
        <w:numPr>
          <w:ilvl w:val="0"/>
          <w:numId w:val="39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sz w:val="22"/>
          <w:szCs w:val="22"/>
        </w:rPr>
      </w:pPr>
      <w:r w:rsidRPr="00576AF8">
        <w:rPr>
          <w:sz w:val="22"/>
          <w:szCs w:val="22"/>
        </w:rPr>
        <w:t>Fuente de alimentación: redundante y reemplazable en caliente</w:t>
      </w:r>
    </w:p>
    <w:p w14:paraId="61AFCB5F" w14:textId="77777777" w:rsidR="009102A7" w:rsidRPr="00576AF8" w:rsidRDefault="009102A7" w:rsidP="009102A7">
      <w:pPr>
        <w:numPr>
          <w:ilvl w:val="0"/>
          <w:numId w:val="39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sz w:val="22"/>
          <w:szCs w:val="22"/>
        </w:rPr>
      </w:pPr>
      <w:r w:rsidRPr="00576AF8">
        <w:rPr>
          <w:sz w:val="22"/>
          <w:szCs w:val="22"/>
        </w:rPr>
        <w:t>Ventilador: redundante y reemplazable en caliente</w:t>
      </w:r>
    </w:p>
    <w:p w14:paraId="3019F63F" w14:textId="77777777" w:rsidR="009102A7" w:rsidRPr="00576AF8" w:rsidRDefault="009102A7" w:rsidP="009102A7">
      <w:pPr>
        <w:numPr>
          <w:ilvl w:val="0"/>
          <w:numId w:val="39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sz w:val="22"/>
          <w:szCs w:val="22"/>
        </w:rPr>
      </w:pPr>
      <w:r w:rsidRPr="00576AF8">
        <w:rPr>
          <w:sz w:val="22"/>
          <w:szCs w:val="22"/>
        </w:rPr>
        <w:t xml:space="preserve">Supervisión, monitoreo y gestión independiente de Hardware </w:t>
      </w:r>
    </w:p>
    <w:p w14:paraId="6F089697" w14:textId="77777777" w:rsidR="009102A7" w:rsidRPr="00576AF8" w:rsidRDefault="009102A7" w:rsidP="009102A7">
      <w:pPr>
        <w:numPr>
          <w:ilvl w:val="0"/>
          <w:numId w:val="395"/>
        </w:numPr>
        <w:ind w:right="41"/>
        <w:contextualSpacing/>
        <w:rPr>
          <w:sz w:val="22"/>
          <w:lang w:val="pt-BR"/>
        </w:rPr>
      </w:pPr>
      <w:r w:rsidRPr="00576AF8">
        <w:rPr>
          <w:sz w:val="22"/>
          <w:lang w:val="pt-BR"/>
        </w:rPr>
        <w:t>Voltaje nominal: 100-240 V AC (50/60 Hz)</w:t>
      </w:r>
    </w:p>
    <w:p w14:paraId="3786188A" w14:textId="77777777" w:rsidR="009102A7" w:rsidRPr="00576AF8" w:rsidRDefault="009102A7" w:rsidP="009102A7">
      <w:pPr>
        <w:ind w:left="2160" w:right="41"/>
        <w:contextualSpacing/>
        <w:rPr>
          <w:sz w:val="22"/>
          <w:lang w:val="pt-BR"/>
        </w:rPr>
      </w:pPr>
    </w:p>
    <w:p w14:paraId="2E683F60" w14:textId="77777777" w:rsidR="009102A7" w:rsidRPr="00576AF8" w:rsidRDefault="009102A7" w:rsidP="008C0D90">
      <w:pPr>
        <w:ind w:hanging="153"/>
        <w:jc w:val="left"/>
        <w:outlineLvl w:val="2"/>
        <w:rPr>
          <w:b/>
          <w:sz w:val="22"/>
          <w:lang w:val="pt-BR"/>
        </w:rPr>
      </w:pPr>
      <w:r w:rsidRPr="00576AF8">
        <w:rPr>
          <w:b/>
          <w:sz w:val="22"/>
          <w:lang w:val="pt-BR"/>
        </w:rPr>
        <w:t>3.3.2</w:t>
      </w:r>
      <w:r w:rsidRPr="00576AF8">
        <w:rPr>
          <w:lang w:val="pt-BR"/>
        </w:rPr>
        <w:tab/>
      </w:r>
      <w:r w:rsidRPr="00576AF8">
        <w:rPr>
          <w:b/>
          <w:sz w:val="22"/>
          <w:lang w:val="pt-BR"/>
        </w:rPr>
        <w:t>Dispositivos compartidos de entrada y salida:</w:t>
      </w:r>
    </w:p>
    <w:p w14:paraId="70540629" w14:textId="77777777" w:rsidR="009102A7" w:rsidRPr="00576AF8" w:rsidRDefault="009102A7" w:rsidP="008C0D90">
      <w:pPr>
        <w:ind w:left="720" w:hanging="720"/>
        <w:jc w:val="left"/>
        <w:outlineLvl w:val="2"/>
        <w:rPr>
          <w:sz w:val="22"/>
          <w:lang w:val="pt-BR"/>
        </w:rPr>
      </w:pPr>
      <w:r w:rsidRPr="00576AF8">
        <w:rPr>
          <w:b/>
          <w:sz w:val="22"/>
          <w:lang w:val="pt-BR"/>
        </w:rPr>
        <w:t>3.3.2.1</w:t>
      </w:r>
      <w:r w:rsidRPr="00576AF8">
        <w:rPr>
          <w:lang w:val="pt-BR"/>
        </w:rPr>
        <w:tab/>
      </w:r>
      <w:r w:rsidRPr="00576AF8">
        <w:rPr>
          <w:b/>
          <w:sz w:val="22"/>
          <w:u w:val="single"/>
          <w:lang w:val="pt-BR"/>
        </w:rPr>
        <w:t>Requisitos generales</w:t>
      </w:r>
      <w:r w:rsidRPr="00576AF8">
        <w:rPr>
          <w:b/>
          <w:sz w:val="22"/>
          <w:lang w:val="pt-BR"/>
        </w:rPr>
        <w:t xml:space="preserve">: </w:t>
      </w:r>
    </w:p>
    <w:p w14:paraId="627D4D40" w14:textId="77777777" w:rsidR="009102A7" w:rsidRPr="00576AF8" w:rsidRDefault="009102A7" w:rsidP="009102A7">
      <w:pPr>
        <w:ind w:left="2160" w:right="41" w:hanging="720"/>
        <w:rPr>
          <w:sz w:val="22"/>
          <w:lang w:val="pt-BR"/>
        </w:rPr>
      </w:pPr>
      <w:r w:rsidRPr="00576AF8">
        <w:rPr>
          <w:i/>
          <w:sz w:val="22"/>
          <w:lang w:val="pt-BR"/>
        </w:rPr>
        <w:t>NO APLICA</w:t>
      </w:r>
    </w:p>
    <w:p w14:paraId="7C0981EA" w14:textId="77777777" w:rsidR="009102A7" w:rsidRPr="00576AF8" w:rsidRDefault="009102A7" w:rsidP="008C0D90">
      <w:pPr>
        <w:ind w:left="720" w:hanging="720"/>
        <w:jc w:val="left"/>
        <w:outlineLvl w:val="2"/>
        <w:rPr>
          <w:i/>
          <w:color w:val="4472C4"/>
          <w:sz w:val="22"/>
          <w:lang w:val="pt-BR"/>
        </w:rPr>
      </w:pPr>
      <w:r w:rsidRPr="00576AF8">
        <w:rPr>
          <w:b/>
          <w:sz w:val="22"/>
          <w:lang w:val="pt-BR"/>
        </w:rPr>
        <w:t>3.3.2.2</w:t>
      </w:r>
      <w:r w:rsidRPr="00576AF8">
        <w:rPr>
          <w:lang w:val="pt-BR"/>
        </w:rPr>
        <w:tab/>
      </w:r>
      <w:r w:rsidRPr="00576AF8">
        <w:rPr>
          <w:b/>
          <w:sz w:val="22"/>
          <w:u w:val="single"/>
          <w:lang w:val="pt-BR"/>
        </w:rPr>
        <w:t>Impresoras</w:t>
      </w:r>
      <w:r w:rsidRPr="00576AF8">
        <w:rPr>
          <w:b/>
          <w:sz w:val="22"/>
          <w:lang w:val="pt-BR"/>
        </w:rPr>
        <w:t xml:space="preserve">: </w:t>
      </w:r>
    </w:p>
    <w:p w14:paraId="13C9DCE8" w14:textId="77777777" w:rsidR="009102A7" w:rsidRPr="00576AF8" w:rsidRDefault="009102A7" w:rsidP="009102A7">
      <w:pPr>
        <w:ind w:left="2160" w:right="41" w:hanging="720"/>
        <w:rPr>
          <w:i/>
          <w:sz w:val="22"/>
          <w:lang w:val="pt-BR"/>
        </w:rPr>
      </w:pPr>
      <w:r w:rsidRPr="00576AF8">
        <w:rPr>
          <w:i/>
          <w:sz w:val="22"/>
          <w:lang w:val="pt-BR"/>
        </w:rPr>
        <w:t>NO APLICA</w:t>
      </w:r>
    </w:p>
    <w:p w14:paraId="422C5D2A" w14:textId="77777777" w:rsidR="009102A7" w:rsidRPr="00576AF8" w:rsidRDefault="009102A7" w:rsidP="008C0D90">
      <w:pPr>
        <w:ind w:left="720" w:hanging="720"/>
        <w:jc w:val="left"/>
        <w:outlineLvl w:val="2"/>
        <w:rPr>
          <w:i/>
          <w:color w:val="4472C4"/>
          <w:sz w:val="22"/>
          <w:lang w:val="pt-BR"/>
        </w:rPr>
      </w:pPr>
      <w:r w:rsidRPr="00576AF8">
        <w:rPr>
          <w:b/>
          <w:sz w:val="22"/>
          <w:lang w:val="pt-BR"/>
        </w:rPr>
        <w:t>3.3.2.3</w:t>
      </w:r>
      <w:r w:rsidRPr="00576AF8">
        <w:rPr>
          <w:lang w:val="pt-BR"/>
        </w:rPr>
        <w:tab/>
      </w:r>
      <w:r w:rsidRPr="00576AF8">
        <w:rPr>
          <w:b/>
          <w:sz w:val="22"/>
          <w:u w:val="single"/>
          <w:lang w:val="pt-BR"/>
        </w:rPr>
        <w:t>Escáneres</w:t>
      </w:r>
      <w:r w:rsidRPr="00576AF8">
        <w:rPr>
          <w:b/>
          <w:sz w:val="22"/>
          <w:lang w:val="pt-BR"/>
        </w:rPr>
        <w:t xml:space="preserve">: </w:t>
      </w:r>
    </w:p>
    <w:p w14:paraId="3AFEE688" w14:textId="77777777" w:rsidR="009102A7" w:rsidRPr="00576AF8" w:rsidRDefault="009102A7" w:rsidP="009102A7">
      <w:pPr>
        <w:ind w:left="2160" w:right="41" w:hanging="720"/>
        <w:rPr>
          <w:sz w:val="22"/>
          <w:lang w:val="pt-BR"/>
        </w:rPr>
      </w:pPr>
      <w:r w:rsidRPr="00576AF8">
        <w:rPr>
          <w:i/>
          <w:sz w:val="22"/>
          <w:lang w:val="pt-BR"/>
        </w:rPr>
        <w:lastRenderedPageBreak/>
        <w:t>NO APLICA</w:t>
      </w:r>
    </w:p>
    <w:p w14:paraId="5FDEB3D0" w14:textId="77777777" w:rsidR="009102A7" w:rsidRPr="00576AF8" w:rsidRDefault="009102A7" w:rsidP="009102A7">
      <w:pPr>
        <w:ind w:left="2160" w:right="41" w:hanging="720"/>
        <w:rPr>
          <w:i/>
          <w:sz w:val="22"/>
          <w:lang w:val="pt-BR"/>
        </w:rPr>
      </w:pPr>
    </w:p>
    <w:p w14:paraId="7DA52C8B" w14:textId="77777777" w:rsidR="009102A7" w:rsidRPr="00576AF8" w:rsidRDefault="009102A7" w:rsidP="008C0D90">
      <w:pPr>
        <w:ind w:hanging="153"/>
        <w:jc w:val="left"/>
        <w:outlineLvl w:val="2"/>
        <w:rPr>
          <w:b/>
          <w:sz w:val="22"/>
          <w:lang w:val="pt-BR"/>
        </w:rPr>
      </w:pPr>
      <w:r w:rsidRPr="00576AF8">
        <w:rPr>
          <w:b/>
          <w:sz w:val="22"/>
          <w:lang w:val="pt-BR"/>
        </w:rPr>
        <w:t>3.3.3</w:t>
      </w:r>
      <w:r w:rsidRPr="00576AF8">
        <w:rPr>
          <w:lang w:val="pt-BR"/>
        </w:rPr>
        <w:tab/>
      </w:r>
      <w:r w:rsidRPr="00576AF8">
        <w:rPr>
          <w:b/>
          <w:sz w:val="22"/>
          <w:lang w:val="pt-BR"/>
        </w:rPr>
        <w:t>Dispositivos de acondicionamiento de potencia:</w:t>
      </w:r>
    </w:p>
    <w:p w14:paraId="44AAC59C" w14:textId="77777777" w:rsidR="009102A7" w:rsidRPr="00576AF8" w:rsidRDefault="009102A7" w:rsidP="008C0D90">
      <w:pPr>
        <w:ind w:left="720" w:hanging="720"/>
        <w:jc w:val="left"/>
        <w:outlineLvl w:val="2"/>
        <w:rPr>
          <w:i/>
          <w:color w:val="4472C4"/>
          <w:spacing w:val="-4"/>
          <w:sz w:val="22"/>
          <w:szCs w:val="22"/>
        </w:rPr>
      </w:pPr>
      <w:r w:rsidRPr="00576AF8">
        <w:rPr>
          <w:b/>
          <w:bCs/>
          <w:spacing w:val="-4"/>
          <w:sz w:val="22"/>
          <w:szCs w:val="22"/>
        </w:rPr>
        <w:t>3.3.3.1</w:t>
      </w:r>
      <w:r w:rsidRPr="00576AF8">
        <w:rPr>
          <w:spacing w:val="-4"/>
          <w:sz w:val="22"/>
          <w:szCs w:val="22"/>
        </w:rPr>
        <w:tab/>
      </w:r>
      <w:r w:rsidRPr="00576AF8">
        <w:rPr>
          <w:b/>
          <w:bCs/>
          <w:spacing w:val="-4"/>
          <w:sz w:val="22"/>
          <w:szCs w:val="22"/>
          <w:u w:val="single"/>
        </w:rPr>
        <w:t>Fuentes de alimentación eléctrica ininterrumpibles</w:t>
      </w:r>
      <w:r w:rsidRPr="00576AF8">
        <w:rPr>
          <w:b/>
          <w:bCs/>
          <w:spacing w:val="-4"/>
          <w:sz w:val="22"/>
          <w:szCs w:val="22"/>
        </w:rPr>
        <w:t>:</w:t>
      </w:r>
      <w:r w:rsidRPr="00576AF8">
        <w:rPr>
          <w:spacing w:val="-4"/>
          <w:sz w:val="22"/>
          <w:szCs w:val="22"/>
        </w:rPr>
        <w:t xml:space="preserve"> </w:t>
      </w:r>
    </w:p>
    <w:p w14:paraId="666BC7EA" w14:textId="77777777" w:rsidR="009102A7" w:rsidRPr="00576AF8" w:rsidRDefault="009102A7" w:rsidP="008C0D90">
      <w:pPr>
        <w:ind w:left="1476" w:right="41" w:hanging="36"/>
        <w:rPr>
          <w:sz w:val="22"/>
          <w:szCs w:val="22"/>
        </w:rPr>
      </w:pPr>
      <w:r w:rsidRPr="00576AF8">
        <w:rPr>
          <w:sz w:val="22"/>
          <w:szCs w:val="22"/>
        </w:rPr>
        <w:t>El Proveedor debe suministrar sistemas de UPS redundantes modulares de al menos 50 kVA por bus (equipo) y con una autonomía mínima de 40 minutos, para la dotación del suministro eléctrico del nuevo SCADA/EMS a ser instalados en el Centro de Datos, y otro sistema de UPS de la misma capacidad indicada anteriormente para el equipamiento nuevo y existente del SCADA/EMS del edificio de la Gerencia Nacional de Operaciones de CENACE.</w:t>
      </w:r>
    </w:p>
    <w:p w14:paraId="4FE13878" w14:textId="77777777" w:rsidR="009102A7" w:rsidRPr="00576AF8" w:rsidRDefault="009102A7" w:rsidP="008C0D90">
      <w:pPr>
        <w:ind w:left="1512" w:right="41" w:hanging="36"/>
        <w:rPr>
          <w:sz w:val="22"/>
          <w:szCs w:val="22"/>
        </w:rPr>
      </w:pPr>
      <w:r w:rsidRPr="00576AF8">
        <w:rPr>
          <w:sz w:val="22"/>
          <w:szCs w:val="22"/>
        </w:rPr>
        <w:t>Se deben considerar todas las adecuaciones físicas (ductos, escalerillas, perforaciones de piso, etc.) y las instalaciones en el Centro de Datos y en el edificio de la Gerencia Nacional de Operaciones de CENACE, necesarias para la instalación y puesta en marcha de los equipos a ser entregados por el Proveedor.</w:t>
      </w:r>
      <w:r w:rsidR="005025BE" w:rsidRPr="00576AF8">
        <w:rPr>
          <w:sz w:val="22"/>
          <w:szCs w:val="22"/>
        </w:rPr>
        <w:t xml:space="preserve"> Así como, el desmontaje y desinstalación de los equipos UPS actualmente en funcionamiento, con un plan adecuado de transición que evite la indisponibilidad de la operación del centro de datos.</w:t>
      </w:r>
    </w:p>
    <w:p w14:paraId="0E4032FB" w14:textId="77777777" w:rsidR="009102A7" w:rsidRPr="00576AF8" w:rsidRDefault="009102A7" w:rsidP="008C0D90">
      <w:pPr>
        <w:ind w:left="720" w:hanging="720"/>
        <w:jc w:val="left"/>
        <w:outlineLvl w:val="2"/>
        <w:rPr>
          <w:spacing w:val="-4"/>
          <w:sz w:val="22"/>
          <w:szCs w:val="22"/>
        </w:rPr>
      </w:pPr>
      <w:r w:rsidRPr="00576AF8">
        <w:rPr>
          <w:b/>
          <w:bCs/>
          <w:spacing w:val="-4"/>
          <w:sz w:val="22"/>
          <w:szCs w:val="22"/>
        </w:rPr>
        <w:t xml:space="preserve">3.3.3.2 </w:t>
      </w:r>
      <w:r w:rsidRPr="00576AF8">
        <w:rPr>
          <w:b/>
          <w:bCs/>
          <w:spacing w:val="-4"/>
          <w:sz w:val="22"/>
          <w:szCs w:val="22"/>
          <w:u w:val="single"/>
        </w:rPr>
        <w:t>Sistema eléctrico</w:t>
      </w:r>
      <w:r w:rsidRPr="00576AF8">
        <w:rPr>
          <w:b/>
          <w:bCs/>
          <w:spacing w:val="-4"/>
          <w:sz w:val="22"/>
          <w:szCs w:val="22"/>
        </w:rPr>
        <w:t>:</w:t>
      </w:r>
      <w:r w:rsidRPr="00576AF8">
        <w:rPr>
          <w:spacing w:val="-4"/>
          <w:sz w:val="22"/>
          <w:szCs w:val="22"/>
        </w:rPr>
        <w:t xml:space="preserve"> El proveedor debe considerar el número de accesos, puntos de fallo, cargas críticas, redundancia de UPS y topología de UPS, puesta a tierra, EPO (Emergency Power Off- sistemas de corte de emergencia), baterías, monitorización, sistemas de transferencia, entre otros.</w:t>
      </w:r>
    </w:p>
    <w:p w14:paraId="4FF0836D" w14:textId="77777777" w:rsidR="009102A7" w:rsidRPr="00576AF8" w:rsidRDefault="009102A7" w:rsidP="008C0D90">
      <w:pPr>
        <w:ind w:left="1440" w:right="41" w:hanging="720"/>
        <w:rPr>
          <w:spacing w:val="-4"/>
          <w:sz w:val="22"/>
          <w:szCs w:val="22"/>
        </w:rPr>
      </w:pPr>
      <w:r w:rsidRPr="00576AF8">
        <w:rPr>
          <w:spacing w:val="-4"/>
          <w:sz w:val="22"/>
          <w:szCs w:val="22"/>
        </w:rPr>
        <w:t xml:space="preserve"> </w:t>
      </w:r>
      <w:r w:rsidRPr="00576AF8">
        <w:rPr>
          <w:spacing w:val="-4"/>
          <w:sz w:val="22"/>
          <w:szCs w:val="22"/>
        </w:rPr>
        <w:tab/>
        <w:t>Especificar las baterías utilizadas en sistemas de alimentación eléctrica ininterrumpida, tipos de batería especificaciones eléctricas, tiempo de vida útil, fecha de fabricación y normas de fabricación por ejemplo baterias VLRA gel certificadas IEC60896, UL94 o equivalentes, respaldadas por documentación.</w:t>
      </w:r>
    </w:p>
    <w:p w14:paraId="58EEC7EF" w14:textId="77777777" w:rsidR="009102A7" w:rsidRPr="00576AF8" w:rsidRDefault="009102A7" w:rsidP="008C0D90">
      <w:pPr>
        <w:ind w:left="1476" w:right="41" w:hanging="36"/>
        <w:rPr>
          <w:sz w:val="22"/>
          <w:szCs w:val="22"/>
        </w:rPr>
      </w:pPr>
      <w:r w:rsidRPr="00576AF8">
        <w:rPr>
          <w:sz w:val="22"/>
          <w:szCs w:val="22"/>
        </w:rPr>
        <w:t xml:space="preserve">El Proveedor debe suministrar el cableado / tendido y acometidas eléctricas reguladas (mano de obra y materiales) desde los sistemas UPS para todo equipamiento que forme parte de este proyecto, tanto para los racks dentro del Centro de Datos de CENACE, como para el equipamiento ubicado en el edificio principal y en el edificio de la Gerencia Nacional de Operaciones CENACE. Adicionalmente, para el equipamiento ha ser instalado fuera de CENACE, el Proveedor es el responsable de suministrar el cableado / tendido y acometidas eléctricas (mano de obra y materiales) de fuentes ininterrumpidas. </w:t>
      </w:r>
    </w:p>
    <w:p w14:paraId="5B7905C5" w14:textId="77777777" w:rsidR="005D33A7" w:rsidRPr="00576AF8" w:rsidRDefault="005D33A7" w:rsidP="008C0D90">
      <w:pPr>
        <w:ind w:left="1512" w:right="41" w:hanging="36"/>
        <w:rPr>
          <w:sz w:val="22"/>
          <w:szCs w:val="22"/>
        </w:rPr>
      </w:pPr>
      <w:r w:rsidRPr="00576AF8">
        <w:rPr>
          <w:sz w:val="22"/>
          <w:szCs w:val="22"/>
        </w:rPr>
        <w:t>La alimentación eléctrica desde los tableros de distribución de los sistemas UPS a los</w:t>
      </w:r>
      <w:r w:rsidR="001A353D" w:rsidRPr="00576AF8">
        <w:rPr>
          <w:sz w:val="22"/>
          <w:szCs w:val="22"/>
        </w:rPr>
        <w:t xml:space="preserve"> </w:t>
      </w:r>
      <w:r w:rsidRPr="00576AF8">
        <w:rPr>
          <w:sz w:val="22"/>
          <w:szCs w:val="22"/>
        </w:rPr>
        <w:t>racks deberá contemplar todos los materiales y accesorios, incluidos los conectores L30-P y L30-R</w:t>
      </w:r>
      <w:r w:rsidR="008134E7" w:rsidRPr="00576AF8">
        <w:rPr>
          <w:sz w:val="22"/>
          <w:szCs w:val="22"/>
        </w:rPr>
        <w:t>.</w:t>
      </w:r>
    </w:p>
    <w:p w14:paraId="4CDF50A0" w14:textId="77777777" w:rsidR="009102A7" w:rsidRPr="00576AF8" w:rsidRDefault="009102A7" w:rsidP="008C0D90">
      <w:pPr>
        <w:ind w:left="1512" w:right="41" w:hanging="36"/>
        <w:rPr>
          <w:spacing w:val="-4"/>
          <w:sz w:val="22"/>
          <w:szCs w:val="22"/>
        </w:rPr>
      </w:pPr>
      <w:r w:rsidRPr="00576AF8">
        <w:rPr>
          <w:sz w:val="22"/>
          <w:szCs w:val="22"/>
        </w:rPr>
        <w:t>El equipamiento alojado en cada rack debe incluir doble fuente de alimentación eléctrica provista desde PDUs de acuerdo a las capacidades individuales.</w:t>
      </w:r>
    </w:p>
    <w:p w14:paraId="2E24DFD8" w14:textId="77777777" w:rsidR="009102A7" w:rsidRPr="00576AF8" w:rsidRDefault="009102A7" w:rsidP="009102A7">
      <w:pPr>
        <w:ind w:left="2160" w:right="41" w:hanging="720"/>
        <w:rPr>
          <w:spacing w:val="-4"/>
          <w:sz w:val="22"/>
          <w:szCs w:val="22"/>
        </w:rPr>
      </w:pPr>
      <w:r w:rsidRPr="00576AF8">
        <w:rPr>
          <w:spacing w:val="-4"/>
          <w:sz w:val="22"/>
          <w:szCs w:val="22"/>
        </w:rPr>
        <w:t xml:space="preserve"> </w:t>
      </w:r>
      <w:r w:rsidRPr="00576AF8">
        <w:rPr>
          <w:b/>
          <w:bCs/>
          <w:spacing w:val="-4"/>
          <w:sz w:val="22"/>
          <w:szCs w:val="22"/>
        </w:rPr>
        <w:t xml:space="preserve">3.3.3.3 </w:t>
      </w:r>
      <w:r w:rsidRPr="00576AF8">
        <w:rPr>
          <w:b/>
          <w:bCs/>
          <w:spacing w:val="-4"/>
          <w:sz w:val="22"/>
          <w:szCs w:val="22"/>
          <w:u w:val="single"/>
        </w:rPr>
        <w:t>Grupo Electrógeno</w:t>
      </w:r>
      <w:r w:rsidRPr="00576AF8">
        <w:rPr>
          <w:b/>
          <w:bCs/>
          <w:spacing w:val="-4"/>
          <w:sz w:val="22"/>
          <w:szCs w:val="22"/>
        </w:rPr>
        <w:t>:</w:t>
      </w:r>
      <w:r w:rsidRPr="00576AF8">
        <w:rPr>
          <w:spacing w:val="-4"/>
          <w:sz w:val="22"/>
          <w:szCs w:val="22"/>
        </w:rPr>
        <w:t xml:space="preserve"> </w:t>
      </w:r>
    </w:p>
    <w:p w14:paraId="57AC3384" w14:textId="77777777" w:rsidR="009102A7" w:rsidRPr="00576AF8" w:rsidRDefault="009102A7" w:rsidP="009102A7">
      <w:pPr>
        <w:ind w:left="2160" w:right="41" w:hanging="720"/>
        <w:rPr>
          <w:spacing w:val="-4"/>
          <w:sz w:val="22"/>
          <w:szCs w:val="22"/>
        </w:rPr>
      </w:pPr>
      <w:r w:rsidRPr="00576AF8">
        <w:rPr>
          <w:spacing w:val="-4"/>
          <w:sz w:val="22"/>
          <w:szCs w:val="22"/>
        </w:rPr>
        <w:t>NO APLICA.</w:t>
      </w:r>
    </w:p>
    <w:p w14:paraId="044124D3" w14:textId="77777777" w:rsidR="009102A7" w:rsidRPr="00576AF8" w:rsidRDefault="009102A7" w:rsidP="009102A7">
      <w:pPr>
        <w:ind w:left="2160" w:right="41" w:hanging="720"/>
        <w:rPr>
          <w:sz w:val="22"/>
          <w:szCs w:val="22"/>
        </w:rPr>
      </w:pPr>
    </w:p>
    <w:p w14:paraId="522E6C45" w14:textId="77777777" w:rsidR="009102A7" w:rsidRPr="00576AF8" w:rsidRDefault="009102A7" w:rsidP="008C0D90">
      <w:pPr>
        <w:ind w:hanging="153"/>
        <w:jc w:val="left"/>
        <w:outlineLvl w:val="2"/>
        <w:rPr>
          <w:b/>
          <w:bCs/>
          <w:sz w:val="22"/>
          <w:szCs w:val="22"/>
        </w:rPr>
      </w:pPr>
      <w:r w:rsidRPr="00576AF8">
        <w:rPr>
          <w:b/>
          <w:bCs/>
          <w:sz w:val="22"/>
          <w:szCs w:val="22"/>
        </w:rPr>
        <w:t>3.3.4</w:t>
      </w:r>
      <w:r w:rsidRPr="00576AF8">
        <w:tab/>
      </w:r>
      <w:r w:rsidRPr="00576AF8">
        <w:rPr>
          <w:b/>
          <w:bCs/>
          <w:sz w:val="22"/>
          <w:szCs w:val="22"/>
        </w:rPr>
        <w:t>Equipos y muebles especiales:</w:t>
      </w:r>
    </w:p>
    <w:p w14:paraId="59FC870E" w14:textId="77777777" w:rsidR="009102A7" w:rsidRPr="00576AF8" w:rsidRDefault="009102A7" w:rsidP="008C0D90">
      <w:pPr>
        <w:ind w:left="720" w:hanging="720"/>
        <w:jc w:val="left"/>
        <w:outlineLvl w:val="2"/>
        <w:rPr>
          <w:b/>
          <w:bCs/>
          <w:sz w:val="22"/>
          <w:szCs w:val="22"/>
        </w:rPr>
      </w:pPr>
      <w:r w:rsidRPr="00576AF8">
        <w:rPr>
          <w:b/>
          <w:bCs/>
          <w:sz w:val="22"/>
          <w:szCs w:val="22"/>
        </w:rPr>
        <w:t>3.3.4.1</w:t>
      </w:r>
      <w:r w:rsidRPr="00576AF8">
        <w:tab/>
      </w:r>
      <w:r w:rsidRPr="00576AF8">
        <w:rPr>
          <w:b/>
          <w:bCs/>
          <w:sz w:val="22"/>
          <w:szCs w:val="22"/>
          <w:u w:val="single"/>
        </w:rPr>
        <w:t>Armarios y estanterías para equipos</w:t>
      </w:r>
      <w:r w:rsidRPr="00576AF8">
        <w:rPr>
          <w:b/>
          <w:bCs/>
          <w:sz w:val="22"/>
          <w:szCs w:val="22"/>
        </w:rPr>
        <w:t xml:space="preserve">: </w:t>
      </w:r>
    </w:p>
    <w:p w14:paraId="47D604D1" w14:textId="77777777" w:rsidR="009102A7" w:rsidRPr="00576AF8" w:rsidRDefault="009102A7" w:rsidP="009102A7">
      <w:pPr>
        <w:ind w:left="2160" w:right="41"/>
        <w:rPr>
          <w:sz w:val="22"/>
          <w:szCs w:val="22"/>
        </w:rPr>
      </w:pPr>
      <w:r w:rsidRPr="00576AF8">
        <w:rPr>
          <w:b/>
          <w:bCs/>
          <w:sz w:val="22"/>
          <w:szCs w:val="22"/>
        </w:rPr>
        <w:t>Cableado:</w:t>
      </w:r>
      <w:r w:rsidRPr="00576AF8">
        <w:rPr>
          <w:sz w:val="22"/>
          <w:szCs w:val="22"/>
        </w:rPr>
        <w:t xml:space="preserve"> refiérase a puntos anteriores</w:t>
      </w:r>
    </w:p>
    <w:p w14:paraId="7883B2DE" w14:textId="77777777" w:rsidR="009102A7" w:rsidRPr="00576AF8" w:rsidRDefault="009102A7" w:rsidP="009102A7">
      <w:pPr>
        <w:suppressAutoHyphens w:val="0"/>
        <w:spacing w:after="0"/>
        <w:ind w:left="2160" w:right="41"/>
        <w:rPr>
          <w:color w:val="000000"/>
          <w:szCs w:val="24"/>
          <w:lang w:val="es-EC" w:eastAsia="es-EC" w:bidi="ar-SA"/>
        </w:rPr>
      </w:pPr>
      <w:r w:rsidRPr="00576AF8">
        <w:rPr>
          <w:b/>
          <w:bCs/>
          <w:sz w:val="22"/>
          <w:szCs w:val="22"/>
        </w:rPr>
        <w:lastRenderedPageBreak/>
        <w:t>Gabinetes</w:t>
      </w:r>
      <w:r w:rsidR="008134E7" w:rsidRPr="00576AF8">
        <w:rPr>
          <w:b/>
          <w:bCs/>
          <w:sz w:val="22"/>
          <w:szCs w:val="22"/>
        </w:rPr>
        <w:t xml:space="preserve"> a instalarse en el Centro de Datos o fuera de las Instalaciones de CENACE</w:t>
      </w:r>
      <w:r w:rsidRPr="00576AF8">
        <w:rPr>
          <w:b/>
          <w:bCs/>
          <w:sz w:val="22"/>
          <w:szCs w:val="22"/>
        </w:rPr>
        <w:t>:</w:t>
      </w:r>
      <w:r w:rsidRPr="00576AF8">
        <w:rPr>
          <w:sz w:val="22"/>
          <w:szCs w:val="22"/>
        </w:rPr>
        <w:t xml:space="preserve"> </w:t>
      </w:r>
      <w:r w:rsidRPr="00576AF8">
        <w:rPr>
          <w:color w:val="000000"/>
          <w:sz w:val="22"/>
          <w:szCs w:val="22"/>
          <w:lang w:val="es-EC" w:eastAsia="es-EC" w:bidi="ar-SA"/>
        </w:rPr>
        <w:t>Los gabinetes contarán al menos con las siguientes características:</w:t>
      </w:r>
    </w:p>
    <w:p w14:paraId="6F71F2E5"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Altura útil 42U</w:t>
      </w:r>
    </w:p>
    <w:p w14:paraId="01802BF6"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Ancho estándar de 19” EIA de profundidad ajustable</w:t>
      </w:r>
    </w:p>
    <w:p w14:paraId="2D233E15"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de reserva del 30%</w:t>
      </w:r>
    </w:p>
    <w:p w14:paraId="3C116A92"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Todos los espacios vacíos deben incluir tapas protectoras</w:t>
      </w:r>
    </w:p>
    <w:p w14:paraId="03323833"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Montaje de equipos utilizando rieles</w:t>
      </w:r>
    </w:p>
    <w:p w14:paraId="38A2AD88"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Diseño adecuado para el correcto flujo de aire</w:t>
      </w:r>
    </w:p>
    <w:p w14:paraId="53E80C4E"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Acceso frontal y trasero con puertas removibles</w:t>
      </w:r>
    </w:p>
    <w:p w14:paraId="082CEB46"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Manejadores de cable verticales y horizontales</w:t>
      </w:r>
    </w:p>
    <w:p w14:paraId="3E4A953A"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gabinete con servidores debe contar con un KVM con monitor de 19 pulgadas para el acceso local a todos los equipos instalados en el mismo.</w:t>
      </w:r>
    </w:p>
    <w:p w14:paraId="4E4B9FC5"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alimentación será mediante PDU redundantes debidamente protegidos.</w:t>
      </w:r>
    </w:p>
    <w:p w14:paraId="463D3044"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 anclaje al suelo y protegido contra vibraciones</w:t>
      </w:r>
    </w:p>
    <w:p w14:paraId="34718987"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gabinete debe estar debidamente identificado</w:t>
      </w:r>
    </w:p>
    <w:p w14:paraId="02B5DE4F"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estructura del gabinete debe estar debidamente conectada a la tierra de sala de servidores de acuerdo con el estándar ANSI/TIA/EIA-607</w:t>
      </w:r>
    </w:p>
    <w:p w14:paraId="161E1D25" w14:textId="77777777" w:rsidR="009102A7" w:rsidRPr="00576AF8" w:rsidRDefault="009102A7" w:rsidP="009102A7">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Protegido con llave de acceso</w:t>
      </w:r>
    </w:p>
    <w:p w14:paraId="1C50E0E0" w14:textId="77777777" w:rsidR="008134E7" w:rsidRPr="00576AF8" w:rsidRDefault="008134E7" w:rsidP="008C0D90">
      <w:pPr>
        <w:ind w:right="41"/>
        <w:rPr>
          <w:b/>
          <w:bCs/>
          <w:sz w:val="22"/>
          <w:szCs w:val="22"/>
        </w:rPr>
      </w:pPr>
    </w:p>
    <w:p w14:paraId="65CF9FFA" w14:textId="77777777" w:rsidR="008134E7" w:rsidRPr="00576AF8" w:rsidRDefault="008134E7">
      <w:pPr>
        <w:suppressAutoHyphens w:val="0"/>
        <w:spacing w:after="0"/>
        <w:ind w:left="2160" w:right="41"/>
        <w:rPr>
          <w:b/>
          <w:bCs/>
          <w:sz w:val="22"/>
          <w:szCs w:val="22"/>
        </w:rPr>
      </w:pPr>
      <w:r w:rsidRPr="00576AF8">
        <w:rPr>
          <w:b/>
          <w:bCs/>
          <w:sz w:val="22"/>
          <w:szCs w:val="22"/>
        </w:rPr>
        <w:t xml:space="preserve">Gabinete a instalarse en el </w:t>
      </w:r>
      <w:r w:rsidRPr="00576AF8">
        <w:rPr>
          <w:b/>
          <w:bCs/>
          <w:sz w:val="22"/>
          <w:szCs w:val="22"/>
          <w:u w:val="single"/>
        </w:rPr>
        <w:t>Edificio de la Gerencia de Operaciones</w:t>
      </w:r>
      <w:r w:rsidRPr="00576AF8">
        <w:rPr>
          <w:b/>
          <w:bCs/>
          <w:sz w:val="22"/>
          <w:szCs w:val="22"/>
        </w:rPr>
        <w:t>:</w:t>
      </w:r>
    </w:p>
    <w:p w14:paraId="69393945" w14:textId="77777777" w:rsidR="00124C69" w:rsidRPr="00576AF8" w:rsidRDefault="00124C69" w:rsidP="00124C69">
      <w:pPr>
        <w:suppressAutoHyphens w:val="0"/>
        <w:spacing w:after="0"/>
        <w:ind w:left="2160" w:right="41"/>
        <w:rPr>
          <w:color w:val="000000"/>
          <w:szCs w:val="24"/>
          <w:lang w:val="es-EC" w:eastAsia="es-EC" w:bidi="ar-SA"/>
        </w:rPr>
      </w:pPr>
      <w:r w:rsidRPr="00576AF8">
        <w:rPr>
          <w:color w:val="000000"/>
          <w:sz w:val="22"/>
          <w:szCs w:val="22"/>
          <w:lang w:val="es-EC" w:eastAsia="es-EC" w:bidi="ar-SA"/>
        </w:rPr>
        <w:t>El gabinete contará al menos con las siguientes características:</w:t>
      </w:r>
    </w:p>
    <w:p w14:paraId="53570B25"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Altura útil 42U</w:t>
      </w:r>
    </w:p>
    <w:p w14:paraId="4D5366AD"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Ancho estándar de 19” EIA de profundidad ajustable</w:t>
      </w:r>
    </w:p>
    <w:p w14:paraId="1396EBB1"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Capacidad de reserva del 30%</w:t>
      </w:r>
    </w:p>
    <w:p w14:paraId="1FDCADE9"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Todos los espacios vacíos deben incluir tapas protectoras</w:t>
      </w:r>
    </w:p>
    <w:p w14:paraId="7008777E"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Montaje de equipos utilizando rieles</w:t>
      </w:r>
    </w:p>
    <w:p w14:paraId="0FDD114A"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Diseño adecuado para el correcto flujo de aire</w:t>
      </w:r>
    </w:p>
    <w:p w14:paraId="2EED08BE"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Acceso frontal y trasero con puertas removibles</w:t>
      </w:r>
    </w:p>
    <w:p w14:paraId="56753817"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Manejadores de cable verticales y horizontales</w:t>
      </w:r>
    </w:p>
    <w:p w14:paraId="69F5A6BD"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gabinete con servidores debe contar con un KVM con monitor de 19 pulgadas para el acceso local a todos los equipos instalados en el mismo.</w:t>
      </w:r>
    </w:p>
    <w:p w14:paraId="100A9F71"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alimentación será mediante PDU redundantes debidamente protegidos.</w:t>
      </w:r>
    </w:p>
    <w:p w14:paraId="0293726B"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 anclaje al suelo y protegido contra vibraciones</w:t>
      </w:r>
    </w:p>
    <w:p w14:paraId="6D992778"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Cada gabinete debe estar debidamente identificado</w:t>
      </w:r>
    </w:p>
    <w:p w14:paraId="278C1411"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estructura del gabinete debe estar debidamente conectada a la tierra de sala de servidores de acuerdo con el estándar ANSI/TIA/EIA-607</w:t>
      </w:r>
    </w:p>
    <w:p w14:paraId="43EAA91E"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Protegido con llave de acceso</w:t>
      </w:r>
    </w:p>
    <w:p w14:paraId="1C66AEAE" w14:textId="77777777" w:rsidR="00124C69" w:rsidRPr="00576AF8" w:rsidRDefault="00124C69" w:rsidP="00124C69">
      <w:pPr>
        <w:numPr>
          <w:ilvl w:val="0"/>
          <w:numId w:val="128"/>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Deberá incluir un sistema autocontenido de climatización</w:t>
      </w:r>
    </w:p>
    <w:p w14:paraId="2A480754" w14:textId="77777777" w:rsidR="00124C69" w:rsidRPr="00576AF8" w:rsidRDefault="00124C69" w:rsidP="00124C69">
      <w:pPr>
        <w:suppressAutoHyphens w:val="0"/>
        <w:spacing w:after="0"/>
        <w:ind w:left="2484"/>
        <w:contextualSpacing/>
        <w:rPr>
          <w:color w:val="000000"/>
          <w:sz w:val="22"/>
          <w:szCs w:val="22"/>
          <w:lang w:val="es-EC" w:eastAsia="es-EC" w:bidi="ar-SA"/>
        </w:rPr>
      </w:pPr>
    </w:p>
    <w:p w14:paraId="284DEB3F" w14:textId="77777777" w:rsidR="00124C69" w:rsidRPr="00576AF8" w:rsidRDefault="00124C69" w:rsidP="008C0D90">
      <w:pPr>
        <w:suppressAutoHyphens w:val="0"/>
        <w:spacing w:after="0"/>
        <w:ind w:left="2160" w:right="41"/>
        <w:rPr>
          <w:b/>
          <w:bCs/>
          <w:sz w:val="22"/>
          <w:szCs w:val="22"/>
        </w:rPr>
      </w:pPr>
    </w:p>
    <w:p w14:paraId="50469F89" w14:textId="77777777" w:rsidR="009102A7" w:rsidRPr="00576AF8" w:rsidRDefault="009102A7" w:rsidP="009102A7">
      <w:pPr>
        <w:suppressAutoHyphens w:val="0"/>
        <w:spacing w:after="0"/>
        <w:rPr>
          <w:color w:val="000000"/>
          <w:sz w:val="22"/>
          <w:szCs w:val="22"/>
          <w:lang w:eastAsia="es-EC" w:bidi="ar-SA"/>
        </w:rPr>
      </w:pPr>
    </w:p>
    <w:p w14:paraId="406327D5" w14:textId="77777777" w:rsidR="009102A7" w:rsidRPr="00576AF8" w:rsidRDefault="009102A7" w:rsidP="008C0D90">
      <w:pPr>
        <w:ind w:left="720" w:hanging="720"/>
        <w:jc w:val="left"/>
        <w:outlineLvl w:val="2"/>
        <w:rPr>
          <w:color w:val="4472C4"/>
          <w:sz w:val="22"/>
          <w:szCs w:val="22"/>
        </w:rPr>
      </w:pPr>
      <w:r w:rsidRPr="00576AF8">
        <w:rPr>
          <w:b/>
          <w:bCs/>
          <w:sz w:val="22"/>
          <w:szCs w:val="22"/>
        </w:rPr>
        <w:t>3.3.4.2</w:t>
      </w:r>
      <w:r w:rsidRPr="00576AF8">
        <w:tab/>
      </w:r>
      <w:r w:rsidRPr="00576AF8">
        <w:rPr>
          <w:b/>
          <w:bCs/>
          <w:sz w:val="22"/>
          <w:szCs w:val="22"/>
          <w:u w:val="single"/>
        </w:rPr>
        <w:t>Equipo de control ambiental</w:t>
      </w:r>
      <w:r w:rsidRPr="00576AF8">
        <w:rPr>
          <w:b/>
          <w:bCs/>
          <w:sz w:val="22"/>
          <w:szCs w:val="22"/>
        </w:rPr>
        <w:t xml:space="preserve">: </w:t>
      </w:r>
      <w:r w:rsidRPr="00576AF8">
        <w:rPr>
          <w:i/>
          <w:sz w:val="22"/>
          <w:szCs w:val="22"/>
        </w:rPr>
        <w:t>NO APLICA</w:t>
      </w:r>
    </w:p>
    <w:p w14:paraId="36FBE0C9" w14:textId="77777777" w:rsidR="009102A7" w:rsidRPr="00576AF8" w:rsidRDefault="009102A7" w:rsidP="008C0D90">
      <w:pPr>
        <w:ind w:left="720" w:hanging="720"/>
        <w:jc w:val="left"/>
        <w:outlineLvl w:val="2"/>
        <w:rPr>
          <w:i/>
          <w:color w:val="4472C4"/>
          <w:sz w:val="22"/>
          <w:szCs w:val="22"/>
        </w:rPr>
      </w:pPr>
      <w:r w:rsidRPr="00576AF8">
        <w:rPr>
          <w:b/>
          <w:bCs/>
          <w:sz w:val="22"/>
          <w:szCs w:val="22"/>
        </w:rPr>
        <w:t>3.3.4.3</w:t>
      </w:r>
      <w:r w:rsidRPr="00576AF8">
        <w:tab/>
      </w:r>
      <w:r w:rsidRPr="00576AF8">
        <w:rPr>
          <w:b/>
          <w:bCs/>
          <w:sz w:val="22"/>
          <w:szCs w:val="22"/>
          <w:u w:val="single"/>
        </w:rPr>
        <w:t>Equipo de control del acceso físico</w:t>
      </w:r>
      <w:r w:rsidRPr="00576AF8">
        <w:rPr>
          <w:b/>
          <w:bCs/>
          <w:sz w:val="22"/>
          <w:szCs w:val="22"/>
        </w:rPr>
        <w:t xml:space="preserve">: </w:t>
      </w:r>
      <w:r w:rsidRPr="00576AF8">
        <w:rPr>
          <w:i/>
          <w:sz w:val="22"/>
          <w:szCs w:val="22"/>
        </w:rPr>
        <w:t xml:space="preserve">NO APLICA </w:t>
      </w:r>
    </w:p>
    <w:p w14:paraId="77EB40A7" w14:textId="77777777" w:rsidR="009102A7" w:rsidRPr="00576AF8" w:rsidRDefault="009102A7" w:rsidP="008C0D90">
      <w:pPr>
        <w:ind w:left="720" w:hanging="720"/>
        <w:jc w:val="left"/>
        <w:outlineLvl w:val="2"/>
        <w:rPr>
          <w:i/>
          <w:sz w:val="22"/>
          <w:szCs w:val="22"/>
        </w:rPr>
      </w:pPr>
      <w:r w:rsidRPr="00576AF8">
        <w:rPr>
          <w:b/>
          <w:bCs/>
          <w:sz w:val="22"/>
          <w:szCs w:val="22"/>
        </w:rPr>
        <w:t>3.3.4.4</w:t>
      </w:r>
      <w:r w:rsidRPr="00576AF8">
        <w:tab/>
      </w:r>
      <w:r w:rsidRPr="00576AF8">
        <w:rPr>
          <w:b/>
          <w:bCs/>
          <w:sz w:val="22"/>
          <w:szCs w:val="22"/>
          <w:u w:val="single"/>
        </w:rPr>
        <w:t>Equipo de control del acceso lógico</w:t>
      </w:r>
      <w:r w:rsidRPr="00576AF8">
        <w:rPr>
          <w:b/>
          <w:bCs/>
          <w:sz w:val="22"/>
          <w:szCs w:val="22"/>
        </w:rPr>
        <w:t>:</w:t>
      </w:r>
      <w:r w:rsidRPr="00576AF8">
        <w:rPr>
          <w:sz w:val="22"/>
          <w:szCs w:val="22"/>
        </w:rPr>
        <w:t xml:space="preserve"> </w:t>
      </w:r>
      <w:r w:rsidRPr="00576AF8">
        <w:rPr>
          <w:i/>
          <w:sz w:val="22"/>
          <w:szCs w:val="22"/>
        </w:rPr>
        <w:t>NO APLICA</w:t>
      </w:r>
    </w:p>
    <w:p w14:paraId="171C4B5E" w14:textId="77777777" w:rsidR="009102A7" w:rsidRPr="00576AF8" w:rsidRDefault="009102A7" w:rsidP="009102A7">
      <w:pPr>
        <w:ind w:right="41"/>
        <w:rPr>
          <w:sz w:val="22"/>
          <w:szCs w:val="22"/>
        </w:rPr>
      </w:pPr>
    </w:p>
    <w:p w14:paraId="33842300" w14:textId="77777777" w:rsidR="009102A7" w:rsidRPr="00576AF8" w:rsidRDefault="009102A7" w:rsidP="008C0D90">
      <w:pPr>
        <w:ind w:right="41"/>
        <w:outlineLvl w:val="1"/>
        <w:rPr>
          <w:b/>
          <w:bCs/>
          <w:sz w:val="22"/>
          <w:szCs w:val="22"/>
        </w:rPr>
      </w:pPr>
      <w:bookmarkStart w:id="1233" w:name="_Toc454958735"/>
      <w:bookmarkStart w:id="1234" w:name="_Toc476310110"/>
      <w:bookmarkStart w:id="1235" w:name="_Toc482896439"/>
      <w:bookmarkStart w:id="1236" w:name="_Toc99868863"/>
      <w:bookmarkStart w:id="1237" w:name="_Toc160706931"/>
      <w:bookmarkStart w:id="1238" w:name="_Toc160707521"/>
      <w:bookmarkStart w:id="1239" w:name="_Toc160707778"/>
      <w:r w:rsidRPr="00576AF8">
        <w:rPr>
          <w:b/>
          <w:bCs/>
          <w:sz w:val="22"/>
          <w:szCs w:val="22"/>
        </w:rPr>
        <w:t>3.4</w:t>
      </w:r>
      <w:r w:rsidRPr="00576AF8">
        <w:tab/>
      </w:r>
      <w:r w:rsidRPr="00576AF8">
        <w:rPr>
          <w:b/>
          <w:bCs/>
          <w:sz w:val="22"/>
          <w:szCs w:val="22"/>
        </w:rPr>
        <w:t xml:space="preserve">Especificaciones de Software </w:t>
      </w:r>
      <w:bookmarkEnd w:id="1233"/>
      <w:bookmarkEnd w:id="1234"/>
      <w:bookmarkEnd w:id="1235"/>
      <w:r w:rsidRPr="00576AF8">
        <w:rPr>
          <w:b/>
          <w:bCs/>
          <w:sz w:val="22"/>
          <w:szCs w:val="22"/>
        </w:rPr>
        <w:t>Estándar</w:t>
      </w:r>
      <w:bookmarkEnd w:id="1236"/>
      <w:bookmarkEnd w:id="1237"/>
      <w:bookmarkEnd w:id="1238"/>
      <w:bookmarkEnd w:id="1239"/>
    </w:p>
    <w:p w14:paraId="6F3F8646" w14:textId="77777777" w:rsidR="009102A7" w:rsidRPr="00576AF8" w:rsidRDefault="009102A7" w:rsidP="009102A7">
      <w:pPr>
        <w:ind w:right="41"/>
        <w:rPr>
          <w:b/>
          <w:bCs/>
          <w:sz w:val="22"/>
          <w:szCs w:val="22"/>
        </w:rPr>
      </w:pPr>
    </w:p>
    <w:p w14:paraId="730F0C02" w14:textId="77777777" w:rsidR="009102A7" w:rsidRPr="00576AF8" w:rsidRDefault="009102A7" w:rsidP="009102A7">
      <w:pPr>
        <w:ind w:right="41"/>
        <w:rPr>
          <w:sz w:val="22"/>
          <w:szCs w:val="22"/>
        </w:rPr>
      </w:pPr>
      <w:r w:rsidRPr="00576AF8">
        <w:rPr>
          <w:b/>
          <w:bCs/>
          <w:sz w:val="22"/>
          <w:szCs w:val="22"/>
        </w:rPr>
        <w:t>Licenciamiento</w:t>
      </w:r>
      <w:r w:rsidRPr="00576AF8">
        <w:rPr>
          <w:sz w:val="22"/>
          <w:szCs w:val="22"/>
        </w:rPr>
        <w:t xml:space="preserve"> </w:t>
      </w:r>
    </w:p>
    <w:p w14:paraId="234CAE2D" w14:textId="77777777" w:rsidR="009102A7" w:rsidRPr="00576AF8" w:rsidRDefault="009102A7" w:rsidP="009102A7">
      <w:pPr>
        <w:suppressAutoHyphens w:val="0"/>
        <w:spacing w:before="100" w:beforeAutospacing="1" w:after="100" w:afterAutospacing="1"/>
        <w:rPr>
          <w:sz w:val="22"/>
          <w:szCs w:val="22"/>
          <w:lang w:val="es-EC" w:eastAsia="es-EC" w:bidi="ar-SA"/>
        </w:rPr>
      </w:pPr>
      <w:r w:rsidRPr="00576AF8">
        <w:rPr>
          <w:color w:val="000000"/>
          <w:sz w:val="22"/>
          <w:szCs w:val="22"/>
          <w:lang w:val="es-EC" w:eastAsia="es-EC" w:bidi="ar-SA"/>
        </w:rPr>
        <w:t>El Proveedor incluirá en su propuesta el tipo del licenciamiento de su producto y de los productos de terceros.  </w:t>
      </w:r>
    </w:p>
    <w:p w14:paraId="4FC2BB27" w14:textId="77777777" w:rsidR="009102A7" w:rsidRPr="00576AF8" w:rsidRDefault="009102A7" w:rsidP="009102A7">
      <w:pPr>
        <w:spacing w:before="100" w:beforeAutospacing="1" w:after="100" w:afterAutospacing="1"/>
        <w:rPr>
          <w:sz w:val="22"/>
          <w:szCs w:val="22"/>
          <w:lang w:val="es-419"/>
        </w:rPr>
      </w:pPr>
      <w:r w:rsidRPr="00576AF8">
        <w:rPr>
          <w:sz w:val="22"/>
          <w:szCs w:val="22"/>
          <w:lang w:val="es-419"/>
        </w:rPr>
        <w:t>El CENACE requiere que el tipo de licenciamiento del producto SCADA/EMS del Proveedor sea perpetuo, es decir; que su valor se incluya dentro del contrato y no se requiera realizar pagos adicionales por este concepto.  En todo caso, en ningún escenario será admisible que el CENACE, una vez finalizado el período de Garantía, tenga la figura de utilizar un sistema SCADA/EMS con licenciamiento caducado del producto del Proveedor.</w:t>
      </w:r>
    </w:p>
    <w:p w14:paraId="7C92B9F4" w14:textId="77777777" w:rsidR="009102A7" w:rsidRPr="00576AF8" w:rsidRDefault="009102A7" w:rsidP="009102A7">
      <w:pPr>
        <w:spacing w:before="100" w:beforeAutospacing="1" w:after="100" w:afterAutospacing="1"/>
        <w:rPr>
          <w:sz w:val="22"/>
          <w:szCs w:val="22"/>
        </w:rPr>
      </w:pPr>
      <w:r w:rsidRPr="00576AF8">
        <w:rPr>
          <w:sz w:val="22"/>
          <w:szCs w:val="22"/>
          <w:lang w:val="es-419"/>
        </w:rPr>
        <w:t xml:space="preserve">Para el caso de licencias de terceros al no depender del Proveedor del SCADA/EMS, se podrá admitir tipos de licencia a término o perpetuo; considerando que la vigencia de este licenciamiento deberá estar cubierto hasta la finalización del período de Garantía del contrato por parte del fabricante del software de terceros o mediante una empresa local de Ecuador.  </w:t>
      </w:r>
      <w:r w:rsidRPr="00576AF8">
        <w:rPr>
          <w:sz w:val="22"/>
          <w:szCs w:val="22"/>
        </w:rPr>
        <w:t xml:space="preserve">El Proveedor del SCADA/EMS debe garantizar que en ningún escenario el software de terceros del SCADA/EMS deje de funcionar una vez finalizada la Garantía, para lo cual deberá entregar una carta del fabricante del software de terceros que certifique esto. </w:t>
      </w:r>
      <w:r w:rsidRPr="00576AF8">
        <w:rPr>
          <w:sz w:val="22"/>
          <w:szCs w:val="22"/>
          <w:lang w:val="es-419"/>
        </w:rPr>
        <w:t xml:space="preserve">El Proveedor del SCADA/EMS deberá entregar a nombre del </w:t>
      </w:r>
      <w:r w:rsidR="00DC1E3D" w:rsidRPr="00576AF8">
        <w:rPr>
          <w:sz w:val="22"/>
          <w:szCs w:val="22"/>
          <w:lang w:val="es-419"/>
        </w:rPr>
        <w:t xml:space="preserve">Comprador </w:t>
      </w:r>
      <w:r w:rsidRPr="00576AF8">
        <w:rPr>
          <w:sz w:val="22"/>
          <w:szCs w:val="22"/>
          <w:lang w:val="es-419"/>
        </w:rPr>
        <w:t>todas las licencias del software de terceros.</w:t>
      </w:r>
      <w:r w:rsidR="00213146" w:rsidRPr="00576AF8">
        <w:rPr>
          <w:sz w:val="22"/>
          <w:szCs w:val="22"/>
          <w:lang w:val="es-419"/>
        </w:rPr>
        <w:t xml:space="preserve"> El Comprador no aceptará software libre.</w:t>
      </w:r>
    </w:p>
    <w:p w14:paraId="23F4D056" w14:textId="77777777" w:rsidR="009102A7" w:rsidRPr="00576AF8" w:rsidRDefault="009102A7" w:rsidP="008C0D90">
      <w:pPr>
        <w:ind w:hanging="153"/>
        <w:jc w:val="left"/>
        <w:outlineLvl w:val="2"/>
        <w:rPr>
          <w:b/>
          <w:bCs/>
          <w:sz w:val="22"/>
          <w:szCs w:val="22"/>
        </w:rPr>
      </w:pPr>
      <w:r w:rsidRPr="00576AF8">
        <w:rPr>
          <w:b/>
          <w:bCs/>
          <w:sz w:val="22"/>
          <w:szCs w:val="22"/>
        </w:rPr>
        <w:t>3.4.1</w:t>
      </w:r>
      <w:r w:rsidRPr="00576AF8">
        <w:tab/>
      </w:r>
      <w:r w:rsidRPr="00576AF8">
        <w:rPr>
          <w:b/>
          <w:bCs/>
          <w:sz w:val="22"/>
          <w:szCs w:val="22"/>
        </w:rPr>
        <w:t>Software del sistema y utilitarios para administración del sistema:</w:t>
      </w:r>
    </w:p>
    <w:p w14:paraId="01E92F1D" w14:textId="77777777" w:rsidR="009102A7" w:rsidRPr="00576AF8" w:rsidRDefault="009102A7" w:rsidP="008C0D90">
      <w:pPr>
        <w:ind w:left="720" w:hanging="720"/>
        <w:jc w:val="left"/>
        <w:outlineLvl w:val="2"/>
        <w:rPr>
          <w:sz w:val="22"/>
          <w:szCs w:val="22"/>
        </w:rPr>
      </w:pPr>
      <w:r w:rsidRPr="00576AF8">
        <w:rPr>
          <w:b/>
          <w:bCs/>
          <w:sz w:val="22"/>
          <w:szCs w:val="22"/>
        </w:rPr>
        <w:t>3.4.1.1</w:t>
      </w:r>
      <w:r w:rsidRPr="00576AF8">
        <w:tab/>
      </w:r>
      <w:r w:rsidRPr="00576AF8">
        <w:rPr>
          <w:b/>
          <w:bCs/>
          <w:sz w:val="22"/>
          <w:szCs w:val="22"/>
        </w:rPr>
        <w:t>Sistema de gestión de virtualización:</w:t>
      </w:r>
      <w:r w:rsidRPr="00576AF8">
        <w:rPr>
          <w:sz w:val="22"/>
          <w:szCs w:val="22"/>
        </w:rPr>
        <w:t xml:space="preserve"> El Proveedor deberá proporcionar si aplica para su solución, el sistema de gestión de virtualización desplegado </w:t>
      </w:r>
      <w:r w:rsidRPr="00576AF8">
        <w:rPr>
          <w:strike/>
          <w:sz w:val="22"/>
          <w:szCs w:val="22"/>
        </w:rPr>
        <w:t>en</w:t>
      </w:r>
      <w:r w:rsidRPr="00576AF8">
        <w:rPr>
          <w:sz w:val="22"/>
          <w:szCs w:val="22"/>
        </w:rPr>
        <w:t xml:space="preserve"> de manera local.</w:t>
      </w:r>
    </w:p>
    <w:p w14:paraId="69C12407" w14:textId="77777777" w:rsidR="009102A7" w:rsidRPr="00576AF8" w:rsidRDefault="009102A7" w:rsidP="008C0D90">
      <w:pPr>
        <w:ind w:left="720" w:hanging="720"/>
        <w:jc w:val="left"/>
        <w:outlineLvl w:val="2"/>
        <w:rPr>
          <w:sz w:val="22"/>
          <w:szCs w:val="22"/>
        </w:rPr>
      </w:pPr>
      <w:r w:rsidRPr="00576AF8">
        <w:rPr>
          <w:b/>
          <w:bCs/>
          <w:sz w:val="22"/>
          <w:szCs w:val="22"/>
        </w:rPr>
        <w:t>3.4.1.2 Sistema de monitoreo del rendimiento de la red (NPM):</w:t>
      </w:r>
      <w:r w:rsidRPr="00576AF8">
        <w:rPr>
          <w:sz w:val="22"/>
          <w:szCs w:val="22"/>
        </w:rPr>
        <w:t xml:space="preserve"> el Proveedor deberá proporcionar un sistema de monitoreo del rendimiento de la red con herramientas que aprovechan una combinación de fuentes de datos para proporcionar una visión holística del rendimiento de las redes. Los orígenes de datos deberán incluir el tráfico generado por el dispositivo de red, los paquetes de red sin procesar de datos, los dispositivos de red generados, las métricas de estado y los eventos. Las herramientas de NPM proporcionarán flujos de trabajo de diagnóstico y datos forenses para identificar las causas fundamentales de las degradaciones del rendimiento, cada vez más a través de la adopción de tecnología avanzada, como la inteligencia artificial (IA) o los algoritmos de aprendizaje automático (ML). Por último, sobre la base de los datos de rendimiento derivados de la red, las herramientas NPM proporcionarán información sobre la calidad de la experiencia del usuario final.  El sistema debe incluir una interfaz gráfica GUI, licenciamiento para todos los componentes del sistema con una reserva del 20%. Asimismo, se requiere que pueda enviar notificaciones a teléfonos inteligentes y disponer de un aplicativo para dispositivos móviles.</w:t>
      </w:r>
    </w:p>
    <w:p w14:paraId="31901F1A" w14:textId="77777777" w:rsidR="009102A7" w:rsidRPr="00576AF8" w:rsidRDefault="009102A7" w:rsidP="009102A7">
      <w:pPr>
        <w:ind w:left="2160" w:right="41" w:hanging="720"/>
        <w:rPr>
          <w:sz w:val="22"/>
          <w:szCs w:val="22"/>
        </w:rPr>
      </w:pPr>
    </w:p>
    <w:p w14:paraId="0105EAE9" w14:textId="77777777" w:rsidR="009102A7" w:rsidRPr="00576AF8" w:rsidRDefault="009102A7" w:rsidP="008C0D90">
      <w:pPr>
        <w:ind w:left="720" w:hanging="720"/>
        <w:jc w:val="left"/>
        <w:outlineLvl w:val="2"/>
        <w:rPr>
          <w:sz w:val="22"/>
          <w:szCs w:val="22"/>
        </w:rPr>
      </w:pPr>
      <w:r w:rsidRPr="00576AF8">
        <w:rPr>
          <w:b/>
          <w:bCs/>
          <w:sz w:val="22"/>
          <w:szCs w:val="22"/>
        </w:rPr>
        <w:t>3.4.1.3 Servidor de registro:</w:t>
      </w:r>
      <w:r w:rsidRPr="00576AF8">
        <w:rPr>
          <w:sz w:val="22"/>
          <w:szCs w:val="22"/>
        </w:rPr>
        <w:t xml:space="preserve"> el Proveedor deberá proporcionar un servidor de registro para recuperar la información sobre las actividades tanto en el sistema operativo como a nivel de aplicación. Se puede utilizar un análisis estadístico del registro del servidor para examinar los patrones de tráfico por hora del día, día de la semana, referente o agente de usuario.</w:t>
      </w:r>
    </w:p>
    <w:p w14:paraId="5B11A48A" w14:textId="77777777" w:rsidR="009102A7" w:rsidRPr="00576AF8" w:rsidRDefault="009102A7" w:rsidP="008C0D90">
      <w:pPr>
        <w:ind w:left="720" w:hanging="720"/>
        <w:jc w:val="left"/>
        <w:outlineLvl w:val="2"/>
        <w:rPr>
          <w:sz w:val="22"/>
          <w:szCs w:val="22"/>
        </w:rPr>
      </w:pPr>
      <w:r w:rsidRPr="00576AF8">
        <w:rPr>
          <w:b/>
          <w:bCs/>
          <w:sz w:val="22"/>
          <w:szCs w:val="22"/>
        </w:rPr>
        <w:t>3.4.1.4 Software antivirus:</w:t>
      </w:r>
      <w:r w:rsidRPr="00576AF8">
        <w:rPr>
          <w:sz w:val="22"/>
          <w:szCs w:val="22"/>
        </w:rPr>
        <w:t xml:space="preserve"> el Proveedor deberá proporcionar un sistema antivirus del tipo centralizado con la distribución de agentes en cada uno de los servidores y consolas del sistema (endpoints). Estos tomarán las medidas de seguridad para proteger a estos dispositivos de los ciberataques. Pueden incluir una variedad de tecnologías, como:</w:t>
      </w:r>
    </w:p>
    <w:p w14:paraId="4EE22F4E" w14:textId="77777777" w:rsidR="009102A7" w:rsidRPr="00576AF8" w:rsidRDefault="009102A7" w:rsidP="001A353D">
      <w:pPr>
        <w:numPr>
          <w:ilvl w:val="0"/>
          <w:numId w:val="167"/>
        </w:numPr>
        <w:ind w:left="1701" w:right="41" w:hanging="425"/>
        <w:contextualSpacing/>
        <w:rPr>
          <w:sz w:val="22"/>
          <w:szCs w:val="22"/>
        </w:rPr>
      </w:pPr>
      <w:r w:rsidRPr="00576AF8">
        <w:rPr>
          <w:sz w:val="22"/>
          <w:szCs w:val="22"/>
        </w:rPr>
        <w:lastRenderedPageBreak/>
        <w:t>Software antivirus: para escanear los dispositivos en busca de malware y otras amenazas.</w:t>
      </w:r>
    </w:p>
    <w:p w14:paraId="563D9B3A" w14:textId="77777777" w:rsidR="009102A7" w:rsidRPr="00576AF8" w:rsidRDefault="009102A7" w:rsidP="001A353D">
      <w:pPr>
        <w:numPr>
          <w:ilvl w:val="0"/>
          <w:numId w:val="167"/>
        </w:numPr>
        <w:ind w:left="1701" w:right="41" w:hanging="425"/>
        <w:contextualSpacing/>
        <w:rPr>
          <w:sz w:val="22"/>
          <w:szCs w:val="22"/>
        </w:rPr>
      </w:pPr>
      <w:r w:rsidRPr="00576AF8">
        <w:rPr>
          <w:sz w:val="22"/>
          <w:szCs w:val="22"/>
        </w:rPr>
        <w:t>Detección de intrusiones IDS/IPS: medidas para detectar y bloquear la actividad sospechosa.</w:t>
      </w:r>
    </w:p>
    <w:p w14:paraId="1478DC63" w14:textId="77777777" w:rsidR="009102A7" w:rsidRPr="00576AF8" w:rsidRDefault="009102A7" w:rsidP="001A353D">
      <w:pPr>
        <w:numPr>
          <w:ilvl w:val="0"/>
          <w:numId w:val="167"/>
        </w:numPr>
        <w:ind w:left="1701" w:right="41" w:hanging="425"/>
        <w:contextualSpacing/>
        <w:rPr>
          <w:sz w:val="22"/>
          <w:szCs w:val="22"/>
        </w:rPr>
      </w:pPr>
      <w:r w:rsidRPr="00576AF8">
        <w:rPr>
          <w:sz w:val="22"/>
          <w:szCs w:val="22"/>
        </w:rPr>
        <w:t>Sistemas de prevención de pérdida de datos (DLP): para evitar que los datos confidenciales se filtren o se roben.</w:t>
      </w:r>
    </w:p>
    <w:p w14:paraId="7BAB6D0C" w14:textId="77777777" w:rsidR="009102A7" w:rsidRPr="00576AF8" w:rsidRDefault="009102A7" w:rsidP="001A353D">
      <w:pPr>
        <w:numPr>
          <w:ilvl w:val="0"/>
          <w:numId w:val="167"/>
        </w:numPr>
        <w:ind w:left="1701" w:right="41" w:hanging="425"/>
        <w:contextualSpacing/>
        <w:rPr>
          <w:sz w:val="22"/>
          <w:szCs w:val="22"/>
        </w:rPr>
      </w:pPr>
      <w:r w:rsidRPr="00576AF8">
        <w:rPr>
          <w:sz w:val="22"/>
          <w:szCs w:val="22"/>
        </w:rPr>
        <w:t>Sistemas de detección y respuesta de puntos finales (EDR): en busca de actividad sospechosa y respondan a los incidentes automáticamente.</w:t>
      </w:r>
    </w:p>
    <w:p w14:paraId="7A835034" w14:textId="77777777" w:rsidR="009102A7" w:rsidRPr="00576AF8" w:rsidRDefault="009102A7" w:rsidP="009102A7">
      <w:pPr>
        <w:ind w:left="2124" w:right="41"/>
        <w:rPr>
          <w:sz w:val="22"/>
          <w:szCs w:val="22"/>
        </w:rPr>
      </w:pPr>
    </w:p>
    <w:p w14:paraId="1AA8DBFF" w14:textId="77777777" w:rsidR="009102A7" w:rsidRPr="00576AF8" w:rsidRDefault="009102A7" w:rsidP="008C0D90">
      <w:pPr>
        <w:ind w:left="720" w:hanging="720"/>
        <w:jc w:val="left"/>
        <w:outlineLvl w:val="2"/>
        <w:rPr>
          <w:sz w:val="22"/>
          <w:szCs w:val="22"/>
        </w:rPr>
      </w:pPr>
      <w:r w:rsidRPr="00576AF8">
        <w:rPr>
          <w:b/>
          <w:bCs/>
          <w:sz w:val="22"/>
          <w:szCs w:val="22"/>
        </w:rPr>
        <w:t>3.4.1.5 Actualizaciones de software y sistema de gestión de parches:</w:t>
      </w:r>
      <w:r w:rsidRPr="00576AF8">
        <w:rPr>
          <w:sz w:val="22"/>
          <w:szCs w:val="22"/>
        </w:rPr>
        <w:t xml:space="preserve"> </w:t>
      </w:r>
    </w:p>
    <w:p w14:paraId="5B0C77EA" w14:textId="77777777" w:rsidR="009102A7" w:rsidRPr="00576AF8" w:rsidRDefault="009102A7" w:rsidP="001A353D">
      <w:pPr>
        <w:numPr>
          <w:ilvl w:val="0"/>
          <w:numId w:val="397"/>
        </w:numPr>
        <w:ind w:right="41" w:hanging="718"/>
        <w:contextualSpacing/>
        <w:rPr>
          <w:sz w:val="22"/>
          <w:szCs w:val="22"/>
        </w:rPr>
      </w:pPr>
      <w:r w:rsidRPr="00576AF8">
        <w:rPr>
          <w:sz w:val="22"/>
          <w:szCs w:val="22"/>
        </w:rPr>
        <w:t xml:space="preserve">Como parte de las actividades de endurecimiento del sistema, el Proveedor deberá garantizar que se lleven a cabo actualizaciones periódicas del sistema operativo y del software de aplicación. </w:t>
      </w:r>
    </w:p>
    <w:p w14:paraId="08612148" w14:textId="77777777" w:rsidR="009102A7" w:rsidRPr="00576AF8" w:rsidRDefault="009102A7" w:rsidP="001A353D">
      <w:pPr>
        <w:numPr>
          <w:ilvl w:val="0"/>
          <w:numId w:val="397"/>
        </w:numPr>
        <w:ind w:right="41" w:hanging="718"/>
        <w:contextualSpacing/>
        <w:rPr>
          <w:sz w:val="22"/>
          <w:szCs w:val="22"/>
        </w:rPr>
      </w:pPr>
      <w:r w:rsidRPr="00576AF8">
        <w:rPr>
          <w:sz w:val="22"/>
          <w:szCs w:val="22"/>
        </w:rPr>
        <w:t>El Proveedor debe establecer un programa interno de administración de parches para proporcionar la validación inicial de todos los parches de seguridad antes de su liberación. El software de gestión de parches debe abarcar las cuatro tareas críticas:</w:t>
      </w:r>
    </w:p>
    <w:p w14:paraId="11466F65" w14:textId="77777777" w:rsidR="009102A7" w:rsidRPr="00576AF8" w:rsidRDefault="009102A7" w:rsidP="001A353D">
      <w:pPr>
        <w:numPr>
          <w:ilvl w:val="0"/>
          <w:numId w:val="141"/>
        </w:numPr>
        <w:ind w:left="2694" w:right="41" w:hanging="718"/>
        <w:contextualSpacing/>
        <w:rPr>
          <w:sz w:val="22"/>
          <w:szCs w:val="22"/>
        </w:rPr>
      </w:pPr>
      <w:r w:rsidRPr="00576AF8">
        <w:rPr>
          <w:sz w:val="22"/>
          <w:szCs w:val="22"/>
        </w:rPr>
        <w:t>Inventario de software y versiones.</w:t>
      </w:r>
    </w:p>
    <w:p w14:paraId="562C3DEC" w14:textId="77777777" w:rsidR="009102A7" w:rsidRPr="00576AF8" w:rsidRDefault="009102A7" w:rsidP="001A353D">
      <w:pPr>
        <w:numPr>
          <w:ilvl w:val="0"/>
          <w:numId w:val="141"/>
        </w:numPr>
        <w:ind w:left="2694" w:right="41" w:hanging="718"/>
        <w:contextualSpacing/>
        <w:rPr>
          <w:sz w:val="22"/>
          <w:szCs w:val="22"/>
        </w:rPr>
      </w:pPr>
      <w:r w:rsidRPr="00576AF8">
        <w:rPr>
          <w:sz w:val="22"/>
          <w:szCs w:val="22"/>
        </w:rPr>
        <w:t xml:space="preserve">Identificar a qué dispositivos le faltan parches. </w:t>
      </w:r>
    </w:p>
    <w:p w14:paraId="7A506477" w14:textId="77777777" w:rsidR="009102A7" w:rsidRPr="00576AF8" w:rsidRDefault="009102A7" w:rsidP="001A353D">
      <w:pPr>
        <w:numPr>
          <w:ilvl w:val="0"/>
          <w:numId w:val="141"/>
        </w:numPr>
        <w:ind w:left="2694" w:right="41" w:hanging="718"/>
        <w:contextualSpacing/>
        <w:rPr>
          <w:sz w:val="22"/>
          <w:szCs w:val="22"/>
        </w:rPr>
      </w:pPr>
      <w:r w:rsidRPr="00576AF8">
        <w:rPr>
          <w:sz w:val="22"/>
          <w:szCs w:val="22"/>
        </w:rPr>
        <w:t xml:space="preserve">Recopilación automática de parches de proveedores. </w:t>
      </w:r>
    </w:p>
    <w:p w14:paraId="792B3259" w14:textId="77777777" w:rsidR="009102A7" w:rsidRPr="00576AF8" w:rsidRDefault="009102A7" w:rsidP="001A353D">
      <w:pPr>
        <w:numPr>
          <w:ilvl w:val="0"/>
          <w:numId w:val="141"/>
        </w:numPr>
        <w:ind w:left="2694" w:right="41" w:hanging="718"/>
        <w:contextualSpacing/>
        <w:rPr>
          <w:sz w:val="22"/>
          <w:szCs w:val="22"/>
        </w:rPr>
      </w:pPr>
      <w:r w:rsidRPr="00576AF8">
        <w:rPr>
          <w:sz w:val="22"/>
          <w:szCs w:val="22"/>
        </w:rPr>
        <w:t xml:space="preserve">Implementación de parches en dispositivos. </w:t>
      </w:r>
    </w:p>
    <w:p w14:paraId="093769C3" w14:textId="77777777" w:rsidR="009102A7" w:rsidRPr="00576AF8" w:rsidRDefault="009102A7" w:rsidP="001A353D">
      <w:pPr>
        <w:numPr>
          <w:ilvl w:val="0"/>
          <w:numId w:val="141"/>
        </w:numPr>
        <w:ind w:left="2694" w:right="41" w:hanging="718"/>
        <w:contextualSpacing/>
        <w:rPr>
          <w:sz w:val="22"/>
          <w:szCs w:val="22"/>
        </w:rPr>
      </w:pPr>
      <w:r w:rsidRPr="00576AF8">
        <w:rPr>
          <w:sz w:val="22"/>
          <w:szCs w:val="22"/>
        </w:rPr>
        <w:t>Proporcionar informes para ayudarle a tomar decisiones empresariales informadas.</w:t>
      </w:r>
    </w:p>
    <w:p w14:paraId="2DE100D5" w14:textId="77777777" w:rsidR="009102A7" w:rsidRPr="00576AF8" w:rsidRDefault="009102A7" w:rsidP="001A353D">
      <w:pPr>
        <w:ind w:left="2694" w:right="41" w:hanging="718"/>
        <w:contextualSpacing/>
        <w:rPr>
          <w:sz w:val="22"/>
          <w:szCs w:val="22"/>
        </w:rPr>
      </w:pPr>
    </w:p>
    <w:p w14:paraId="2BE9BE8D" w14:textId="77777777" w:rsidR="009102A7" w:rsidRPr="00576AF8" w:rsidRDefault="009102A7" w:rsidP="001A353D">
      <w:pPr>
        <w:numPr>
          <w:ilvl w:val="0"/>
          <w:numId w:val="397"/>
        </w:numPr>
        <w:ind w:right="41" w:hanging="718"/>
        <w:contextualSpacing/>
        <w:rPr>
          <w:sz w:val="22"/>
          <w:szCs w:val="22"/>
        </w:rPr>
      </w:pPr>
      <w:r w:rsidRPr="00576AF8">
        <w:rPr>
          <w:sz w:val="22"/>
          <w:szCs w:val="22"/>
        </w:rPr>
        <w:t>La aplicación de actualizaciones y parches al sistema SCADA/EMS se realizará sin afectar al funcionamiento normal del sistema. Las actualizaciones se aplicarán en primer lugar a un entorno de ensayo (QAS) y, posteriormente, una vez verificadas, se desplegarán en otros entornos.</w:t>
      </w:r>
    </w:p>
    <w:p w14:paraId="413FF287" w14:textId="77777777" w:rsidR="009102A7" w:rsidRPr="00576AF8" w:rsidRDefault="009102A7" w:rsidP="009102A7">
      <w:pPr>
        <w:ind w:left="1418" w:right="41" w:hanging="2"/>
        <w:rPr>
          <w:sz w:val="22"/>
          <w:szCs w:val="22"/>
        </w:rPr>
      </w:pPr>
    </w:p>
    <w:p w14:paraId="4D47ED93" w14:textId="77777777" w:rsidR="009102A7" w:rsidRPr="00576AF8" w:rsidRDefault="009102A7" w:rsidP="008C0D90">
      <w:pPr>
        <w:ind w:left="720" w:hanging="720"/>
        <w:jc w:val="left"/>
        <w:outlineLvl w:val="2"/>
        <w:rPr>
          <w:sz w:val="22"/>
          <w:szCs w:val="22"/>
        </w:rPr>
      </w:pPr>
      <w:r w:rsidRPr="00576AF8">
        <w:rPr>
          <w:b/>
          <w:bCs/>
          <w:sz w:val="22"/>
          <w:szCs w:val="22"/>
        </w:rPr>
        <w:t>3.4.1.6 Integración con herramientas de Ofimática</w:t>
      </w:r>
    </w:p>
    <w:p w14:paraId="5B71F3A5" w14:textId="77777777" w:rsidR="009102A7" w:rsidRPr="00576AF8" w:rsidRDefault="009102A7" w:rsidP="009102A7">
      <w:pPr>
        <w:numPr>
          <w:ilvl w:val="0"/>
          <w:numId w:val="398"/>
        </w:numPr>
        <w:ind w:right="41"/>
        <w:contextualSpacing/>
        <w:rPr>
          <w:sz w:val="22"/>
          <w:szCs w:val="22"/>
        </w:rPr>
      </w:pPr>
      <w:r w:rsidRPr="00576AF8">
        <w:rPr>
          <w:sz w:val="22"/>
          <w:szCs w:val="22"/>
        </w:rPr>
        <w:t xml:space="preserve">El Proveedor deberá proporcionar la integración con herramientas de ofimática o equivalente para realizar consultas a la información histórica de forma ágil y sencilla ofreciendo al usuario un asistente para utilizar las funciones disponibles para preparar reportes de los tipos de datos almacenados en el historiador del sistema. </w:t>
      </w:r>
    </w:p>
    <w:p w14:paraId="3D9CF994" w14:textId="77777777" w:rsidR="009102A7" w:rsidRPr="00576AF8" w:rsidRDefault="009102A7" w:rsidP="009102A7">
      <w:pPr>
        <w:numPr>
          <w:ilvl w:val="0"/>
          <w:numId w:val="398"/>
        </w:numPr>
        <w:ind w:right="41"/>
        <w:contextualSpacing/>
        <w:rPr>
          <w:sz w:val="22"/>
          <w:szCs w:val="22"/>
        </w:rPr>
      </w:pPr>
      <w:r w:rsidRPr="00576AF8">
        <w:rPr>
          <w:sz w:val="22"/>
          <w:szCs w:val="22"/>
        </w:rPr>
        <w:t>Asimismo, el sistema provisto por el Proveedor permitirá el desarrollo de aplicaciones, en cualquier leguaje de programación como por ejemplo VBA, Python, C#, etc. utilizando librerías API o mediante ODBC.</w:t>
      </w:r>
    </w:p>
    <w:p w14:paraId="4A1F672D" w14:textId="77777777" w:rsidR="009102A7" w:rsidRPr="00576AF8" w:rsidRDefault="009102A7" w:rsidP="009102A7">
      <w:pPr>
        <w:ind w:left="2160" w:right="41" w:hanging="720"/>
        <w:rPr>
          <w:sz w:val="22"/>
          <w:szCs w:val="22"/>
        </w:rPr>
      </w:pPr>
    </w:p>
    <w:p w14:paraId="31C5FCF8" w14:textId="77777777" w:rsidR="009102A7" w:rsidRPr="00576AF8" w:rsidRDefault="009102A7" w:rsidP="008C0D90">
      <w:pPr>
        <w:ind w:hanging="153"/>
        <w:jc w:val="left"/>
        <w:outlineLvl w:val="2"/>
        <w:rPr>
          <w:color w:val="4472C4"/>
          <w:sz w:val="22"/>
          <w:szCs w:val="22"/>
        </w:rPr>
      </w:pPr>
      <w:r w:rsidRPr="00576AF8">
        <w:rPr>
          <w:b/>
          <w:bCs/>
          <w:sz w:val="22"/>
          <w:szCs w:val="22"/>
        </w:rPr>
        <w:t>3.4.2</w:t>
      </w:r>
      <w:r w:rsidRPr="00576AF8">
        <w:tab/>
      </w:r>
      <w:r w:rsidRPr="00576AF8">
        <w:rPr>
          <w:b/>
          <w:bCs/>
          <w:sz w:val="22"/>
          <w:szCs w:val="22"/>
        </w:rPr>
        <w:t>Software para creación de redes y comunicaciones:</w:t>
      </w:r>
      <w:r w:rsidRPr="00576AF8">
        <w:rPr>
          <w:sz w:val="22"/>
          <w:szCs w:val="22"/>
        </w:rPr>
        <w:t xml:space="preserve"> El </w:t>
      </w:r>
      <w:r w:rsidRPr="00576AF8">
        <w:rPr>
          <w:rFonts w:eastAsia="Arial"/>
          <w:color w:val="000000"/>
          <w:sz w:val="22"/>
          <w:szCs w:val="22"/>
          <w:lang w:val="es"/>
        </w:rPr>
        <w:t xml:space="preserve">Proveedor proporcionará el software que se adapte a los equipos que formen parte de la solución propuesta que se adapten a su respectivo producto siempre que se respeten los criterios de rendimiento, seguridad, confiabilidad, alta disponibilidad, y seguridad requeridos para el nuevo sistema SCADA/EMS </w:t>
      </w:r>
      <w:r w:rsidR="00593894" w:rsidRPr="00576AF8">
        <w:rPr>
          <w:rFonts w:eastAsia="Arial"/>
          <w:color w:val="000000"/>
          <w:sz w:val="22"/>
          <w:szCs w:val="22"/>
          <w:lang w:val="es"/>
        </w:rPr>
        <w:t>del Comprador</w:t>
      </w:r>
      <w:r w:rsidRPr="00576AF8">
        <w:rPr>
          <w:rFonts w:eastAsia="Arial"/>
          <w:color w:val="000000"/>
          <w:sz w:val="22"/>
          <w:szCs w:val="22"/>
          <w:lang w:val="es"/>
        </w:rPr>
        <w:t>.</w:t>
      </w:r>
    </w:p>
    <w:p w14:paraId="138684D9" w14:textId="77777777" w:rsidR="009102A7" w:rsidRPr="00576AF8" w:rsidRDefault="009102A7" w:rsidP="008C0D90">
      <w:pPr>
        <w:ind w:hanging="153"/>
        <w:jc w:val="left"/>
        <w:outlineLvl w:val="2"/>
        <w:rPr>
          <w:color w:val="4472C4"/>
          <w:sz w:val="22"/>
          <w:szCs w:val="22"/>
        </w:rPr>
      </w:pPr>
      <w:r w:rsidRPr="00576AF8">
        <w:rPr>
          <w:b/>
          <w:bCs/>
          <w:sz w:val="22"/>
          <w:szCs w:val="22"/>
        </w:rPr>
        <w:t>3.4.3</w:t>
      </w:r>
      <w:r w:rsidRPr="00576AF8">
        <w:tab/>
      </w:r>
      <w:r w:rsidRPr="00576AF8">
        <w:rPr>
          <w:b/>
          <w:bCs/>
          <w:sz w:val="22"/>
          <w:szCs w:val="22"/>
        </w:rPr>
        <w:t>Software de propósito general:</w:t>
      </w:r>
      <w:r w:rsidRPr="00576AF8">
        <w:rPr>
          <w:sz w:val="22"/>
          <w:szCs w:val="22"/>
        </w:rPr>
        <w:t xml:space="preserve"> </w:t>
      </w:r>
      <w:r w:rsidRPr="00576AF8">
        <w:rPr>
          <w:i/>
          <w:sz w:val="22"/>
          <w:szCs w:val="22"/>
        </w:rPr>
        <w:t>NO APLICA.</w:t>
      </w:r>
    </w:p>
    <w:p w14:paraId="2AA328A3" w14:textId="77777777" w:rsidR="009102A7" w:rsidRPr="00576AF8" w:rsidRDefault="009102A7" w:rsidP="008C0D90">
      <w:pPr>
        <w:ind w:hanging="153"/>
        <w:jc w:val="left"/>
        <w:outlineLvl w:val="2"/>
        <w:rPr>
          <w:b/>
          <w:bCs/>
          <w:sz w:val="22"/>
          <w:szCs w:val="22"/>
        </w:rPr>
      </w:pPr>
      <w:r w:rsidRPr="00576AF8">
        <w:rPr>
          <w:b/>
          <w:bCs/>
          <w:sz w:val="22"/>
          <w:szCs w:val="22"/>
        </w:rPr>
        <w:t>3.4.3.1 Software de ofimática y herramientas de gestión de archivos</w:t>
      </w:r>
    </w:p>
    <w:p w14:paraId="505ACAB5" w14:textId="77777777" w:rsidR="009102A7" w:rsidRPr="00576AF8" w:rsidRDefault="009102A7" w:rsidP="009102A7">
      <w:pPr>
        <w:tabs>
          <w:tab w:val="left" w:pos="1418"/>
        </w:tabs>
        <w:ind w:left="1440" w:right="41" w:hanging="24"/>
        <w:rPr>
          <w:color w:val="4472C4"/>
          <w:sz w:val="22"/>
          <w:szCs w:val="22"/>
        </w:rPr>
      </w:pPr>
      <w:r w:rsidRPr="00576AF8">
        <w:rPr>
          <w:sz w:val="22"/>
          <w:szCs w:val="22"/>
        </w:rPr>
        <w:t xml:space="preserve">El Proveedor deberá entregar, instalar y configurar software de ofimática que incluya procesador de texto, hoja de cálculo, captura de pantallas y desarrollo de presentaciones; además, de otras herramientas que permitan la gestión adecuada de la solución de </w:t>
      </w:r>
      <w:r w:rsidRPr="00576AF8">
        <w:rPr>
          <w:sz w:val="22"/>
          <w:szCs w:val="22"/>
        </w:rPr>
        <w:lastRenderedPageBreak/>
        <w:t>SCADA/EMS propuesta, como son visores de documentación en formato pdf, compresores de información, herramientas de acceso remoto, entre otras que puedan ser usadas en las consolas y dicho software debe ser del tipo perpetuo.</w:t>
      </w:r>
    </w:p>
    <w:p w14:paraId="461F6542" w14:textId="77777777" w:rsidR="009102A7" w:rsidRPr="00576AF8" w:rsidRDefault="009102A7" w:rsidP="009102A7">
      <w:pPr>
        <w:ind w:left="1440" w:right="41" w:hanging="720"/>
        <w:rPr>
          <w:color w:val="4472C4"/>
          <w:sz w:val="22"/>
          <w:szCs w:val="22"/>
        </w:rPr>
      </w:pPr>
      <w:r w:rsidRPr="00576AF8">
        <w:rPr>
          <w:color w:val="4472C4"/>
          <w:sz w:val="22"/>
          <w:szCs w:val="22"/>
        </w:rPr>
        <w:tab/>
      </w:r>
    </w:p>
    <w:p w14:paraId="3D7C7735" w14:textId="77777777" w:rsidR="009102A7" w:rsidRPr="00576AF8" w:rsidRDefault="009102A7" w:rsidP="008C0D90">
      <w:pPr>
        <w:ind w:hanging="153"/>
        <w:jc w:val="left"/>
        <w:outlineLvl w:val="2"/>
        <w:rPr>
          <w:sz w:val="22"/>
          <w:szCs w:val="22"/>
        </w:rPr>
      </w:pPr>
      <w:r w:rsidRPr="00576AF8">
        <w:rPr>
          <w:b/>
          <w:bCs/>
          <w:sz w:val="22"/>
          <w:szCs w:val="22"/>
        </w:rPr>
        <w:t>3.4.4</w:t>
      </w:r>
      <w:r w:rsidRPr="00576AF8">
        <w:tab/>
      </w:r>
      <w:r w:rsidRPr="00576AF8">
        <w:rPr>
          <w:b/>
          <w:bCs/>
          <w:sz w:val="22"/>
          <w:szCs w:val="22"/>
        </w:rPr>
        <w:t>Software e instrumentos para desarrollo de bases de datos:</w:t>
      </w:r>
      <w:r w:rsidRPr="00576AF8">
        <w:rPr>
          <w:sz w:val="22"/>
          <w:szCs w:val="22"/>
        </w:rPr>
        <w:t xml:space="preserve"> </w:t>
      </w:r>
    </w:p>
    <w:p w14:paraId="6AF60B1C" w14:textId="77777777" w:rsidR="009102A7" w:rsidRPr="00576AF8" w:rsidRDefault="009102A7" w:rsidP="008C0D90">
      <w:pPr>
        <w:ind w:hanging="153"/>
        <w:jc w:val="left"/>
        <w:outlineLvl w:val="2"/>
        <w:rPr>
          <w:b/>
          <w:i/>
          <w:color w:val="4472C4"/>
          <w:sz w:val="22"/>
          <w:szCs w:val="22"/>
        </w:rPr>
      </w:pPr>
      <w:r w:rsidRPr="00576AF8">
        <w:rPr>
          <w:b/>
          <w:sz w:val="22"/>
          <w:szCs w:val="22"/>
        </w:rPr>
        <w:t>3.</w:t>
      </w:r>
      <w:r w:rsidRPr="00576AF8">
        <w:rPr>
          <w:rFonts w:eastAsia="Arial"/>
          <w:b/>
          <w:sz w:val="22"/>
          <w:szCs w:val="22"/>
        </w:rPr>
        <w:t>4.4.1. Requisitos Generales</w:t>
      </w:r>
    </w:p>
    <w:p w14:paraId="7C152FB9" w14:textId="77777777" w:rsidR="009102A7" w:rsidRPr="00576AF8" w:rsidRDefault="009102A7" w:rsidP="009102A7">
      <w:pPr>
        <w:numPr>
          <w:ilvl w:val="0"/>
          <w:numId w:val="399"/>
        </w:numPr>
        <w:contextualSpacing/>
        <w:rPr>
          <w:rFonts w:eastAsia="Arial"/>
          <w:sz w:val="22"/>
          <w:szCs w:val="22"/>
        </w:rPr>
      </w:pPr>
      <w:r w:rsidRPr="00576AF8">
        <w:rPr>
          <w:sz w:val="22"/>
          <w:szCs w:val="22"/>
        </w:rPr>
        <w:t xml:space="preserve">El </w:t>
      </w:r>
      <w:r w:rsidRPr="00576AF8">
        <w:rPr>
          <w:rFonts w:eastAsia="Arial"/>
          <w:color w:val="000000"/>
          <w:sz w:val="22"/>
          <w:szCs w:val="22"/>
          <w:lang w:val="es"/>
        </w:rPr>
        <w:t xml:space="preserve">Proveedor proporcionará para el </w:t>
      </w:r>
      <w:r w:rsidRPr="00576AF8">
        <w:rPr>
          <w:rFonts w:eastAsia="Arial"/>
          <w:sz w:val="22"/>
          <w:szCs w:val="22"/>
        </w:rPr>
        <w:t>funcionamiento del nuevo Sistema la disponibilidad de un entorno de datos eficiente y fiable que garantice:</w:t>
      </w:r>
    </w:p>
    <w:p w14:paraId="53D4C477" w14:textId="77777777" w:rsidR="009102A7" w:rsidRPr="00576AF8" w:rsidRDefault="009102A7" w:rsidP="009102A7">
      <w:pPr>
        <w:numPr>
          <w:ilvl w:val="0"/>
          <w:numId w:val="400"/>
        </w:numPr>
        <w:tabs>
          <w:tab w:val="left" w:pos="1560"/>
        </w:tabs>
        <w:ind w:left="1985" w:hanging="283"/>
        <w:contextualSpacing/>
        <w:rPr>
          <w:color w:val="000000"/>
          <w:sz w:val="22"/>
          <w:szCs w:val="22"/>
        </w:rPr>
      </w:pPr>
      <w:r w:rsidRPr="00576AF8">
        <w:rPr>
          <w:sz w:val="22"/>
          <w:szCs w:val="22"/>
        </w:rPr>
        <w:t>Tiempos de respuesta consistentes con el rendimiento funcional especificado.</w:t>
      </w:r>
    </w:p>
    <w:p w14:paraId="2481F79A" w14:textId="77777777" w:rsidR="009102A7" w:rsidRPr="00576AF8" w:rsidRDefault="009102A7" w:rsidP="009102A7">
      <w:pPr>
        <w:numPr>
          <w:ilvl w:val="0"/>
          <w:numId w:val="400"/>
        </w:numPr>
        <w:tabs>
          <w:tab w:val="left" w:pos="1560"/>
        </w:tabs>
        <w:ind w:left="1985" w:hanging="283"/>
        <w:contextualSpacing/>
        <w:rPr>
          <w:color w:val="000000"/>
          <w:sz w:val="22"/>
          <w:szCs w:val="22"/>
        </w:rPr>
      </w:pPr>
      <w:r w:rsidRPr="00576AF8">
        <w:rPr>
          <w:sz w:val="22"/>
          <w:szCs w:val="22"/>
        </w:rPr>
        <w:t xml:space="preserve">Independencia de los datos de los módulos de software de aplicación. </w:t>
      </w:r>
    </w:p>
    <w:p w14:paraId="290497C7" w14:textId="77777777" w:rsidR="009102A7" w:rsidRPr="00576AF8" w:rsidRDefault="009102A7" w:rsidP="009102A7">
      <w:pPr>
        <w:numPr>
          <w:ilvl w:val="0"/>
          <w:numId w:val="400"/>
        </w:numPr>
        <w:tabs>
          <w:tab w:val="left" w:pos="1560"/>
        </w:tabs>
        <w:ind w:left="1985" w:hanging="283"/>
        <w:contextualSpacing/>
        <w:rPr>
          <w:color w:val="000000"/>
          <w:sz w:val="22"/>
          <w:szCs w:val="22"/>
        </w:rPr>
      </w:pPr>
      <w:r w:rsidRPr="00576AF8">
        <w:rPr>
          <w:sz w:val="22"/>
          <w:szCs w:val="22"/>
        </w:rPr>
        <w:t xml:space="preserve">Fiabilidad del entorno en términos de integridad y consistencia de los datos. </w:t>
      </w:r>
    </w:p>
    <w:p w14:paraId="303F760D" w14:textId="77777777" w:rsidR="009102A7" w:rsidRPr="00576AF8" w:rsidRDefault="009102A7" w:rsidP="009102A7">
      <w:pPr>
        <w:numPr>
          <w:ilvl w:val="0"/>
          <w:numId w:val="400"/>
        </w:numPr>
        <w:tabs>
          <w:tab w:val="left" w:pos="1560"/>
        </w:tabs>
        <w:ind w:left="1985" w:hanging="283"/>
        <w:contextualSpacing/>
        <w:rPr>
          <w:color w:val="000000"/>
          <w:sz w:val="22"/>
          <w:szCs w:val="22"/>
        </w:rPr>
      </w:pPr>
      <w:r w:rsidRPr="00576AF8">
        <w:rPr>
          <w:sz w:val="22"/>
          <w:szCs w:val="22"/>
        </w:rPr>
        <w:t>Control de acceso, tanto en términos de autorización como de prioridad.</w:t>
      </w:r>
    </w:p>
    <w:p w14:paraId="0DA09283" w14:textId="77777777" w:rsidR="009102A7" w:rsidRPr="00576AF8" w:rsidRDefault="009102A7" w:rsidP="009102A7">
      <w:pPr>
        <w:numPr>
          <w:ilvl w:val="0"/>
          <w:numId w:val="400"/>
        </w:numPr>
        <w:tabs>
          <w:tab w:val="left" w:pos="1560"/>
        </w:tabs>
        <w:ind w:left="1985" w:hanging="283"/>
        <w:contextualSpacing/>
        <w:rPr>
          <w:color w:val="000000"/>
          <w:sz w:val="22"/>
          <w:szCs w:val="22"/>
        </w:rPr>
      </w:pPr>
      <w:r w:rsidRPr="00576AF8">
        <w:rPr>
          <w:sz w:val="22"/>
          <w:szCs w:val="22"/>
        </w:rPr>
        <w:t xml:space="preserve">Disponibilidad de funciones de recuperación automática eficientes tanto en términos de rendimiento como de fiabilidad. </w:t>
      </w:r>
    </w:p>
    <w:p w14:paraId="6421717F" w14:textId="77777777" w:rsidR="009102A7" w:rsidRPr="00576AF8" w:rsidRDefault="009102A7" w:rsidP="009102A7">
      <w:pPr>
        <w:numPr>
          <w:ilvl w:val="0"/>
          <w:numId w:val="400"/>
        </w:numPr>
        <w:tabs>
          <w:tab w:val="left" w:pos="1560"/>
        </w:tabs>
        <w:ind w:left="1985" w:hanging="283"/>
        <w:contextualSpacing/>
        <w:rPr>
          <w:color w:val="000000"/>
          <w:sz w:val="22"/>
          <w:szCs w:val="22"/>
        </w:rPr>
      </w:pPr>
      <w:r w:rsidRPr="00576AF8">
        <w:rPr>
          <w:sz w:val="22"/>
          <w:szCs w:val="22"/>
        </w:rPr>
        <w:t xml:space="preserve">Disponibilidad de funciones de generación y actualización de datos con un alto nivel de automatización, fácil de usar, segura y confiable. </w:t>
      </w:r>
    </w:p>
    <w:p w14:paraId="720C0108" w14:textId="77777777" w:rsidR="009102A7" w:rsidRPr="00576AF8" w:rsidRDefault="009102A7" w:rsidP="009102A7">
      <w:pPr>
        <w:tabs>
          <w:tab w:val="left" w:pos="1560"/>
        </w:tabs>
        <w:ind w:left="1985"/>
        <w:contextualSpacing/>
        <w:rPr>
          <w:color w:val="000000"/>
          <w:sz w:val="22"/>
          <w:szCs w:val="22"/>
        </w:rPr>
      </w:pPr>
    </w:p>
    <w:p w14:paraId="51907F53" w14:textId="77777777" w:rsidR="009102A7" w:rsidRPr="00576AF8" w:rsidRDefault="009102A7" w:rsidP="009102A7">
      <w:pPr>
        <w:numPr>
          <w:ilvl w:val="0"/>
          <w:numId w:val="399"/>
        </w:numPr>
        <w:contextualSpacing/>
        <w:rPr>
          <w:sz w:val="22"/>
          <w:szCs w:val="22"/>
        </w:rPr>
      </w:pPr>
      <w:r w:rsidRPr="00576AF8">
        <w:rPr>
          <w:sz w:val="22"/>
          <w:szCs w:val="22"/>
        </w:rPr>
        <w:t xml:space="preserve">De acuerdo con el esquema estándar presente en los sistemas SCADA/EMS, el </w:t>
      </w:r>
      <w:r w:rsidRPr="00576AF8">
        <w:rPr>
          <w:rFonts w:eastAsia="Arial"/>
          <w:color w:val="000000"/>
          <w:sz w:val="22"/>
          <w:szCs w:val="22"/>
          <w:lang w:val="es"/>
        </w:rPr>
        <w:t xml:space="preserve">Proveedor proporcionará </w:t>
      </w:r>
      <w:r w:rsidRPr="00576AF8">
        <w:rPr>
          <w:sz w:val="22"/>
          <w:szCs w:val="22"/>
        </w:rPr>
        <w:t xml:space="preserve">el contexto de datos estructurado en las siguientes tres (3) bases de datos, cada una de las cuales tiene su propio sistema de gestión (DBMS): </w:t>
      </w:r>
    </w:p>
    <w:p w14:paraId="2F7170E4" w14:textId="77777777" w:rsidR="009102A7" w:rsidRPr="00576AF8" w:rsidRDefault="009102A7" w:rsidP="009102A7">
      <w:pPr>
        <w:numPr>
          <w:ilvl w:val="0"/>
          <w:numId w:val="207"/>
        </w:numPr>
        <w:ind w:left="1985" w:hanging="284"/>
        <w:contextualSpacing/>
        <w:rPr>
          <w:color w:val="000000"/>
          <w:sz w:val="22"/>
          <w:szCs w:val="22"/>
        </w:rPr>
      </w:pPr>
      <w:r w:rsidRPr="00576AF8">
        <w:rPr>
          <w:sz w:val="22"/>
          <w:szCs w:val="22"/>
        </w:rPr>
        <w:t xml:space="preserve">La base de datos fuente (SDB) </w:t>
      </w:r>
    </w:p>
    <w:p w14:paraId="2E049739" w14:textId="77777777" w:rsidR="009102A7" w:rsidRPr="00576AF8" w:rsidRDefault="009102A7" w:rsidP="009102A7">
      <w:pPr>
        <w:numPr>
          <w:ilvl w:val="0"/>
          <w:numId w:val="207"/>
        </w:numPr>
        <w:ind w:left="1985" w:hanging="284"/>
        <w:contextualSpacing/>
        <w:rPr>
          <w:color w:val="000000"/>
          <w:sz w:val="22"/>
          <w:szCs w:val="22"/>
        </w:rPr>
      </w:pPr>
      <w:r w:rsidRPr="00576AF8">
        <w:rPr>
          <w:sz w:val="22"/>
          <w:szCs w:val="22"/>
        </w:rPr>
        <w:t xml:space="preserve">La base de datos en tiempo real (RDB) </w:t>
      </w:r>
    </w:p>
    <w:p w14:paraId="012A289F" w14:textId="77777777" w:rsidR="009102A7" w:rsidRPr="00576AF8" w:rsidRDefault="009102A7" w:rsidP="009102A7">
      <w:pPr>
        <w:numPr>
          <w:ilvl w:val="0"/>
          <w:numId w:val="207"/>
        </w:numPr>
        <w:ind w:left="1985" w:hanging="284"/>
        <w:contextualSpacing/>
        <w:rPr>
          <w:color w:val="000000"/>
          <w:sz w:val="22"/>
          <w:szCs w:val="22"/>
        </w:rPr>
      </w:pPr>
      <w:r w:rsidRPr="00576AF8">
        <w:rPr>
          <w:sz w:val="22"/>
          <w:szCs w:val="22"/>
        </w:rPr>
        <w:t xml:space="preserve">La base de datos histórica (HDB) </w:t>
      </w:r>
    </w:p>
    <w:p w14:paraId="4965171B" w14:textId="77777777" w:rsidR="009102A7" w:rsidRPr="00576AF8" w:rsidRDefault="009102A7" w:rsidP="009102A7">
      <w:pPr>
        <w:ind w:left="1440"/>
        <w:contextualSpacing/>
        <w:rPr>
          <w:color w:val="000000"/>
          <w:sz w:val="22"/>
          <w:szCs w:val="22"/>
        </w:rPr>
      </w:pPr>
    </w:p>
    <w:p w14:paraId="46343B41" w14:textId="77777777" w:rsidR="009102A7" w:rsidRPr="00576AF8" w:rsidRDefault="009102A7" w:rsidP="009102A7">
      <w:pPr>
        <w:numPr>
          <w:ilvl w:val="0"/>
          <w:numId w:val="399"/>
        </w:numPr>
        <w:contextualSpacing/>
        <w:rPr>
          <w:sz w:val="22"/>
          <w:szCs w:val="22"/>
        </w:rPr>
      </w:pPr>
      <w:r w:rsidRPr="00576AF8">
        <w:rPr>
          <w:sz w:val="22"/>
          <w:szCs w:val="22"/>
        </w:rPr>
        <w:t>Aunque cada base de datos tiene su propia estructura, a nivel funcional deben estar conectadas, tanto en lo que respecta a las actividades de generación, población y actualización, como en lo que respecta a su alineación progresiva con el estado de la red, con el almacenamiento de datos procedentes del campo y con los valores procesados por las diversas funciones de aplicación.</w:t>
      </w:r>
    </w:p>
    <w:p w14:paraId="5CD206C0" w14:textId="77777777" w:rsidR="009102A7" w:rsidRPr="00576AF8" w:rsidRDefault="009102A7" w:rsidP="009102A7">
      <w:pPr>
        <w:numPr>
          <w:ilvl w:val="0"/>
          <w:numId w:val="399"/>
        </w:numPr>
        <w:contextualSpacing/>
        <w:rPr>
          <w:sz w:val="22"/>
          <w:szCs w:val="22"/>
        </w:rPr>
      </w:pPr>
      <w:r w:rsidRPr="00576AF8">
        <w:rPr>
          <w:sz w:val="22"/>
          <w:szCs w:val="22"/>
        </w:rPr>
        <w:t xml:space="preserve">En su totalidad, el sistema de gestión de datos debe constituir un conjunto integrado de datos y funciones, capaz de gestionar todas las actualizaciones relacionadas con la evolución de la red del sistema eléctrico y sus necesidades funcionales y, por lo tanto, será capaz de gestionar todos los tipos de datos necesarios para satisfacer las funciones de aplicación típicas de un sistema moderno de supervisión y control de una red de transmisión eléctrica. </w:t>
      </w:r>
    </w:p>
    <w:p w14:paraId="0059E14D" w14:textId="77777777" w:rsidR="009102A7" w:rsidRPr="00576AF8" w:rsidRDefault="009102A7" w:rsidP="009102A7">
      <w:pPr>
        <w:numPr>
          <w:ilvl w:val="0"/>
          <w:numId w:val="399"/>
        </w:numPr>
        <w:contextualSpacing/>
        <w:rPr>
          <w:sz w:val="22"/>
          <w:szCs w:val="22"/>
        </w:rPr>
      </w:pPr>
      <w:r w:rsidRPr="00576AF8">
        <w:rPr>
          <w:sz w:val="22"/>
          <w:szCs w:val="22"/>
        </w:rPr>
        <w:t xml:space="preserve">El Proveedor realizará todas las actividades de conversión, generación, población y actualización de bases de datos, despliegues y reportes durante el desarrollo del proyecto.  Estas acciones se realizarán en estrecha participación, colaboración y coordinación con el personal </w:t>
      </w:r>
      <w:r w:rsidR="00593894" w:rsidRPr="00576AF8">
        <w:rPr>
          <w:sz w:val="22"/>
          <w:szCs w:val="22"/>
        </w:rPr>
        <w:t>del Comprador</w:t>
      </w:r>
      <w:r w:rsidRPr="00576AF8">
        <w:rPr>
          <w:sz w:val="22"/>
          <w:szCs w:val="22"/>
        </w:rPr>
        <w:t xml:space="preserve">.  Este enfoque busca asegurar que el producto final se ajuste a las expectativas </w:t>
      </w:r>
      <w:r w:rsidR="00593894" w:rsidRPr="00576AF8">
        <w:rPr>
          <w:sz w:val="22"/>
          <w:szCs w:val="22"/>
        </w:rPr>
        <w:t>del Comprador</w:t>
      </w:r>
      <w:r w:rsidRPr="00576AF8">
        <w:rPr>
          <w:sz w:val="22"/>
          <w:szCs w:val="22"/>
        </w:rPr>
        <w:t xml:space="preserve"> y permitirá que su personal adquiera el conocimiento y las habilidades necesarias para realizar las actividades de </w:t>
      </w:r>
      <w:r w:rsidR="001933C8" w:rsidRPr="00576AF8">
        <w:rPr>
          <w:sz w:val="22"/>
          <w:szCs w:val="22"/>
        </w:rPr>
        <w:t>administración</w:t>
      </w:r>
      <w:r w:rsidRPr="00576AF8">
        <w:rPr>
          <w:sz w:val="22"/>
          <w:szCs w:val="22"/>
        </w:rPr>
        <w:t xml:space="preserve"> a lo largo de la vida del sistema, asegurando así que las bases de datos se mantengan alineadas con la red eléctrica a supervisar y con sus requerimientos funcionales.</w:t>
      </w:r>
    </w:p>
    <w:p w14:paraId="1324E985" w14:textId="77777777" w:rsidR="009102A7" w:rsidRPr="00576AF8" w:rsidRDefault="009102A7" w:rsidP="008C0D90">
      <w:pPr>
        <w:ind w:hanging="153"/>
        <w:jc w:val="left"/>
        <w:outlineLvl w:val="2"/>
        <w:rPr>
          <w:b/>
          <w:bCs/>
          <w:sz w:val="22"/>
          <w:szCs w:val="22"/>
        </w:rPr>
      </w:pPr>
      <w:bookmarkStart w:id="1240" w:name="_Toc148955228"/>
      <w:bookmarkStart w:id="1241" w:name="_Toc157424142"/>
      <w:bookmarkStart w:id="1242" w:name="_Toc159847044"/>
      <w:r w:rsidRPr="00576AF8">
        <w:rPr>
          <w:b/>
          <w:bCs/>
          <w:sz w:val="22"/>
          <w:szCs w:val="22"/>
        </w:rPr>
        <w:t>3.4.4.2. Base de Datos Fuente (SDB)</w:t>
      </w:r>
      <w:bookmarkEnd w:id="1240"/>
      <w:bookmarkEnd w:id="1241"/>
      <w:bookmarkEnd w:id="1242"/>
    </w:p>
    <w:p w14:paraId="0A1F3CAF" w14:textId="77777777" w:rsidR="009102A7" w:rsidRPr="00576AF8" w:rsidRDefault="009102A7" w:rsidP="009102A7">
      <w:pPr>
        <w:ind w:left="851"/>
        <w:rPr>
          <w:sz w:val="22"/>
          <w:szCs w:val="22"/>
        </w:rPr>
      </w:pPr>
      <w:r w:rsidRPr="00576AF8">
        <w:rPr>
          <w:rFonts w:eastAsia="Arial"/>
          <w:color w:val="000000"/>
          <w:sz w:val="22"/>
          <w:szCs w:val="22"/>
          <w:lang w:val="es"/>
        </w:rPr>
        <w:t>El Proveedor debe cumplir con los siguientes requerimientos para el SCADA/EMS:</w:t>
      </w:r>
    </w:p>
    <w:p w14:paraId="6B67AB3E" w14:textId="77777777" w:rsidR="009102A7" w:rsidRPr="00576AF8" w:rsidRDefault="009102A7" w:rsidP="009102A7">
      <w:pPr>
        <w:numPr>
          <w:ilvl w:val="0"/>
          <w:numId w:val="401"/>
        </w:numPr>
        <w:ind w:left="1418" w:hanging="284"/>
        <w:contextualSpacing/>
        <w:rPr>
          <w:sz w:val="22"/>
          <w:szCs w:val="22"/>
        </w:rPr>
      </w:pPr>
      <w:r w:rsidRPr="00576AF8">
        <w:rPr>
          <w:sz w:val="22"/>
          <w:szCs w:val="22"/>
        </w:rPr>
        <w:t xml:space="preserve">La base de datos fuente constituye el repositorio de datos estáticos de ingeniería.  La SDB define la estructura del sistema eléctrico sujeto a control y está organizada acorde con un </w:t>
      </w:r>
      <w:r w:rsidRPr="00576AF8">
        <w:rPr>
          <w:sz w:val="22"/>
          <w:szCs w:val="22"/>
        </w:rPr>
        <w:lastRenderedPageBreak/>
        <w:t xml:space="preserve">modelo jerárquico que representa la configuración de la red, incluyendo sus elementos y conexiones.  Además, almacenará los datos que se intercambiarán con el campo, como son: mediciones, indicaciones, señales, comandos y </w:t>
      </w:r>
      <w:r w:rsidRPr="00576AF8">
        <w:rPr>
          <w:i/>
          <w:sz w:val="22"/>
          <w:szCs w:val="22"/>
        </w:rPr>
        <w:t>Set Points</w:t>
      </w:r>
      <w:r w:rsidRPr="00576AF8">
        <w:rPr>
          <w:sz w:val="22"/>
          <w:szCs w:val="22"/>
        </w:rPr>
        <w:t xml:space="preserve">.  También comprenderá los despliegues de la red eléctrica y del sistema, tablas, listas de verificación, entre otros. </w:t>
      </w:r>
    </w:p>
    <w:p w14:paraId="0321593A" w14:textId="77777777" w:rsidR="009102A7" w:rsidRPr="00576AF8" w:rsidRDefault="009102A7" w:rsidP="009102A7">
      <w:pPr>
        <w:numPr>
          <w:ilvl w:val="0"/>
          <w:numId w:val="401"/>
        </w:numPr>
        <w:ind w:left="1418" w:hanging="284"/>
        <w:contextualSpacing/>
        <w:rPr>
          <w:sz w:val="22"/>
          <w:szCs w:val="22"/>
        </w:rPr>
      </w:pPr>
      <w:r w:rsidRPr="00576AF8">
        <w:rPr>
          <w:sz w:val="22"/>
          <w:szCs w:val="22"/>
        </w:rPr>
        <w:t>Los datos se ingresarán en la SDB durante la fase de desarrollo del proyecto, siendo esencial que esta información se mantenga actualizada continuamente durante toda la vida útil del sistema de control.  Esto asegura que se considere la evolución histórica de la red eléctrica y permite la adaptación del entorno de datos a los nuevos requisitos funcionales que emergen gradualmente a lo largo del tiempo.</w:t>
      </w:r>
    </w:p>
    <w:p w14:paraId="3168BABF" w14:textId="77777777" w:rsidR="009102A7" w:rsidRPr="00576AF8" w:rsidRDefault="009102A7" w:rsidP="009102A7">
      <w:pPr>
        <w:rPr>
          <w:b/>
          <w:sz w:val="22"/>
          <w:szCs w:val="22"/>
        </w:rPr>
      </w:pPr>
      <w:bookmarkStart w:id="1243" w:name="_Toc148955229"/>
      <w:bookmarkStart w:id="1244" w:name="_Toc157424143"/>
      <w:bookmarkStart w:id="1245" w:name="_Toc159847045"/>
      <w:r w:rsidRPr="00576AF8">
        <w:rPr>
          <w:b/>
          <w:i/>
          <w:sz w:val="22"/>
          <w:szCs w:val="22"/>
        </w:rPr>
        <w:t xml:space="preserve"> Requerimientos generales de la base de datos fuente</w:t>
      </w:r>
      <w:bookmarkEnd w:id="1243"/>
      <w:bookmarkEnd w:id="1244"/>
      <w:bookmarkEnd w:id="1245"/>
    </w:p>
    <w:p w14:paraId="19D0FF78" w14:textId="77777777" w:rsidR="009102A7" w:rsidRPr="00576AF8" w:rsidRDefault="009102A7" w:rsidP="009102A7">
      <w:pPr>
        <w:ind w:left="1134" w:hanging="425"/>
        <w:rPr>
          <w:i/>
          <w:iCs/>
          <w:sz w:val="22"/>
          <w:szCs w:val="22"/>
        </w:rPr>
      </w:pPr>
      <w:r w:rsidRPr="00576AF8">
        <w:rPr>
          <w:rFonts w:eastAsia="Arial"/>
          <w:color w:val="000000"/>
          <w:sz w:val="22"/>
          <w:szCs w:val="22"/>
          <w:lang w:val="es"/>
        </w:rPr>
        <w:t>El Proveedor debe cumplir con los siguientes requerimientos para el SCADA/EMS:</w:t>
      </w:r>
    </w:p>
    <w:p w14:paraId="01E54D0E" w14:textId="77777777" w:rsidR="009102A7" w:rsidRPr="00576AF8" w:rsidRDefault="009102A7" w:rsidP="009102A7">
      <w:pPr>
        <w:numPr>
          <w:ilvl w:val="1"/>
          <w:numId w:val="238"/>
        </w:numPr>
        <w:ind w:left="1134" w:hanging="425"/>
        <w:contextualSpacing/>
        <w:rPr>
          <w:i/>
          <w:iCs/>
          <w:sz w:val="22"/>
          <w:szCs w:val="22"/>
        </w:rPr>
      </w:pPr>
      <w:r w:rsidRPr="00576AF8">
        <w:rPr>
          <w:sz w:val="22"/>
          <w:szCs w:val="22"/>
        </w:rPr>
        <w:t xml:space="preserve">El sistema debe proporcionar solo una SDB como repositorio de fuente única de datos estáticos que describen la red eléctrica que se va a controlar. El sistema proporcionado tendrá todas las funciones de la tecnología relacional y será utilizado por múltiples usuarios simultáneos para la creación y actualización de la SDB durante el desarrollo del proyecto y posteriormente como una "herramienta" de </w:t>
      </w:r>
      <w:r w:rsidR="001933C8" w:rsidRPr="00576AF8">
        <w:rPr>
          <w:sz w:val="22"/>
          <w:szCs w:val="22"/>
        </w:rPr>
        <w:t>administración</w:t>
      </w:r>
      <w:r w:rsidR="001933C8" w:rsidRPr="00576AF8" w:rsidDel="001933C8">
        <w:rPr>
          <w:sz w:val="22"/>
          <w:szCs w:val="22"/>
        </w:rPr>
        <w:t xml:space="preserve"> </w:t>
      </w:r>
      <w:r w:rsidRPr="00576AF8">
        <w:rPr>
          <w:sz w:val="22"/>
          <w:szCs w:val="22"/>
        </w:rPr>
        <w:t xml:space="preserve">durante toda la vida útil del sistema. </w:t>
      </w:r>
    </w:p>
    <w:p w14:paraId="54C9B6E0" w14:textId="77777777" w:rsidR="009102A7" w:rsidRPr="00576AF8" w:rsidRDefault="009102A7" w:rsidP="009102A7">
      <w:pPr>
        <w:numPr>
          <w:ilvl w:val="1"/>
          <w:numId w:val="238"/>
        </w:numPr>
        <w:ind w:left="1134" w:hanging="425"/>
        <w:contextualSpacing/>
        <w:rPr>
          <w:sz w:val="22"/>
          <w:szCs w:val="22"/>
        </w:rPr>
      </w:pPr>
      <w:r w:rsidRPr="00576AF8">
        <w:rPr>
          <w:sz w:val="22"/>
          <w:szCs w:val="22"/>
        </w:rPr>
        <w:t xml:space="preserve">La SDB será utilizada por los usuarios del CENACE para definir el modelo y actualizar el sistema eléctrico y será la única fuente de datos que se utilizará para generar, poblar y actualizar toda la base de datos en tiempo real que comprende la red eléctrica, la red de comunicaciones, datos a intercambiar con el campo, despliegues, entre otros.  Estas actividades se realizarán independientemente de donde residan los datos, esto es, servidores, estaciones de trabajo, frontales de comunicaciones, etc. Este sistema de creación, población y actualización del modelo de datos del sistema debe realizarse con un motor de base de datos relacional.  Este motor, además de gestionar las entradas de datos de forma controlada, debe garantizar la integridad, consistencia y almacenamiento de datos, incluyendo todas las acciones necesarias de "guardar" y "recuperar". Para evitar discrepancias, el sistema debe proporcionar de la manera más absoluta, un único punto de referencia para cada objeto (elementos de red, datos a adquirir, visualización, etc.).  Este enfoque contribuye a la representación estática, tanto del sistema a controlar como del propio sistema de control. </w:t>
      </w:r>
    </w:p>
    <w:p w14:paraId="59799055" w14:textId="77777777" w:rsidR="009102A7" w:rsidRPr="00576AF8" w:rsidRDefault="009102A7" w:rsidP="009102A7">
      <w:pPr>
        <w:numPr>
          <w:ilvl w:val="1"/>
          <w:numId w:val="238"/>
        </w:numPr>
        <w:ind w:left="1134" w:hanging="425"/>
        <w:contextualSpacing/>
        <w:rPr>
          <w:sz w:val="22"/>
          <w:szCs w:val="22"/>
        </w:rPr>
      </w:pPr>
      <w:r w:rsidRPr="00576AF8">
        <w:rPr>
          <w:sz w:val="22"/>
          <w:szCs w:val="22"/>
        </w:rPr>
        <w:t xml:space="preserve">Con el fin de permitir la generación, población y actualización del SDB, el proveedor deberá garantizar la provisión de las siguientes herramientas listadas.  Estas herramientas son necesarias para definir completamente las entidades, eventos, atributos y relaciones en una visión de representación del sistema del tipo "orientado a objetos": </w:t>
      </w:r>
    </w:p>
    <w:p w14:paraId="27A2FF5F" w14:textId="77777777" w:rsidR="009102A7" w:rsidRPr="00576AF8" w:rsidRDefault="009102A7" w:rsidP="009102A7">
      <w:pPr>
        <w:numPr>
          <w:ilvl w:val="0"/>
          <w:numId w:val="208"/>
        </w:numPr>
        <w:ind w:left="1701" w:hanging="425"/>
        <w:contextualSpacing/>
        <w:rPr>
          <w:sz w:val="22"/>
          <w:szCs w:val="22"/>
        </w:rPr>
      </w:pPr>
      <w:r w:rsidRPr="00576AF8">
        <w:rPr>
          <w:sz w:val="22"/>
          <w:szCs w:val="22"/>
        </w:rPr>
        <w:t xml:space="preserve">Un editor alfanumérico específico del DBMS utilizado. </w:t>
      </w:r>
    </w:p>
    <w:p w14:paraId="332BA7F8" w14:textId="77777777" w:rsidR="009102A7" w:rsidRPr="00576AF8" w:rsidRDefault="009102A7" w:rsidP="009102A7">
      <w:pPr>
        <w:numPr>
          <w:ilvl w:val="0"/>
          <w:numId w:val="208"/>
        </w:numPr>
        <w:ind w:left="1701" w:hanging="425"/>
        <w:contextualSpacing/>
        <w:rPr>
          <w:sz w:val="22"/>
          <w:szCs w:val="22"/>
        </w:rPr>
      </w:pPr>
      <w:r w:rsidRPr="00576AF8">
        <w:rPr>
          <w:sz w:val="22"/>
          <w:szCs w:val="22"/>
        </w:rPr>
        <w:t xml:space="preserve">Un conjunto de "formularios" específicos, para cada tipo de entidad, como son elementos de red eléctrica, mediciones, indicaciones, etc. previstos en la estructura SDB, con todos los atributos que se requieren para una definición descriptiva y funcional completa de la entidad relativa, para el ingreso de los datos requeridos por un sistema SCADA/EMS. </w:t>
      </w:r>
    </w:p>
    <w:p w14:paraId="2CD7A15F" w14:textId="77777777" w:rsidR="009102A7" w:rsidRPr="00576AF8" w:rsidRDefault="009102A7" w:rsidP="009102A7">
      <w:pPr>
        <w:numPr>
          <w:ilvl w:val="0"/>
          <w:numId w:val="208"/>
        </w:numPr>
        <w:ind w:left="1701" w:hanging="425"/>
        <w:contextualSpacing/>
        <w:rPr>
          <w:sz w:val="22"/>
          <w:szCs w:val="22"/>
        </w:rPr>
      </w:pPr>
      <w:r w:rsidRPr="00576AF8">
        <w:rPr>
          <w:sz w:val="22"/>
          <w:szCs w:val="22"/>
        </w:rPr>
        <w:t xml:space="preserve">Un editor gráfico para definir todos los tipos de despliegues solicitados por el CENACE, tanto en el desarrollo del proyecto, como en una fase futura con la presencia de nuevos requisitos funcionales. En otras palabras, el producto solicitado será del tipo universal para garantizar la máxima flexibilidad en la definición del diseño y contenido de los despliegues. </w:t>
      </w:r>
    </w:p>
    <w:p w14:paraId="67568FE7" w14:textId="77777777" w:rsidR="009102A7" w:rsidRPr="00576AF8" w:rsidRDefault="009102A7" w:rsidP="009102A7">
      <w:pPr>
        <w:numPr>
          <w:ilvl w:val="0"/>
          <w:numId w:val="208"/>
        </w:numPr>
        <w:ind w:left="1701" w:hanging="425"/>
        <w:contextualSpacing/>
        <w:rPr>
          <w:sz w:val="22"/>
          <w:szCs w:val="22"/>
        </w:rPr>
      </w:pPr>
      <w:r w:rsidRPr="00576AF8">
        <w:rPr>
          <w:sz w:val="22"/>
          <w:szCs w:val="22"/>
        </w:rPr>
        <w:t xml:space="preserve">Herramientas para ingresar datos en la SDB con procedimientos </w:t>
      </w:r>
      <w:r w:rsidRPr="00576AF8">
        <w:rPr>
          <w:i/>
          <w:iCs/>
          <w:sz w:val="22"/>
          <w:szCs w:val="22"/>
        </w:rPr>
        <w:t>batch</w:t>
      </w:r>
      <w:r w:rsidRPr="00576AF8">
        <w:rPr>
          <w:sz w:val="22"/>
          <w:szCs w:val="22"/>
        </w:rPr>
        <w:t xml:space="preserve"> expresados en lenguaje SQL, o mediante la importación desde archivos MS Excel. </w:t>
      </w:r>
    </w:p>
    <w:p w14:paraId="7EDB7B50" w14:textId="77777777" w:rsidR="009102A7" w:rsidRPr="00576AF8" w:rsidRDefault="009102A7" w:rsidP="009102A7">
      <w:pPr>
        <w:numPr>
          <w:ilvl w:val="0"/>
          <w:numId w:val="208"/>
        </w:numPr>
        <w:ind w:left="1701" w:hanging="425"/>
        <w:contextualSpacing/>
        <w:rPr>
          <w:sz w:val="22"/>
          <w:szCs w:val="22"/>
        </w:rPr>
      </w:pPr>
      <w:r w:rsidRPr="00576AF8">
        <w:rPr>
          <w:sz w:val="22"/>
          <w:szCs w:val="22"/>
        </w:rPr>
        <w:t xml:space="preserve">En consecuencia, es fundamental que se dispongan de funciones de importación y exportación que sean de fácil uso y compatibles con otros entornos de bases de datos. </w:t>
      </w:r>
      <w:r w:rsidRPr="00576AF8">
        <w:rPr>
          <w:sz w:val="22"/>
          <w:szCs w:val="22"/>
        </w:rPr>
        <w:lastRenderedPageBreak/>
        <w:t xml:space="preserve">El acceso a la SDB debe implementarse mediante interfaces gráficas, permitiendo así aprovechar plenamente las capacidades visuales y multimagen del entorno. </w:t>
      </w:r>
    </w:p>
    <w:p w14:paraId="4516A991" w14:textId="77777777" w:rsidR="009102A7" w:rsidRPr="00576AF8" w:rsidRDefault="009102A7" w:rsidP="009102A7">
      <w:pPr>
        <w:numPr>
          <w:ilvl w:val="1"/>
          <w:numId w:val="238"/>
        </w:numPr>
        <w:ind w:left="1134" w:hanging="425"/>
        <w:contextualSpacing/>
        <w:rPr>
          <w:sz w:val="22"/>
          <w:szCs w:val="22"/>
        </w:rPr>
      </w:pPr>
      <w:r w:rsidRPr="00576AF8">
        <w:rPr>
          <w:sz w:val="22"/>
          <w:szCs w:val="22"/>
        </w:rPr>
        <w:t>El sistema debe incorporar todos los controles necesarios para garantizar la seguridad, consistencia e integridad de la totalidad del entorno.  Estos controles estarán bajo la responsabilidad directa del Administrador de la Base de Datos, quien está a cargo de la creación de los modelos eléctricos del sistema y quien será responsable de definir los permisos necesarios para acceder a la base de datos, permitiendo ejecutar el ingreso de datos, realizar consultas y consumir la información ingresada. Todos los cambios en la base de datos serán auditados y los registros resultantes estarán disponibles para cualquier usuario autorizado.</w:t>
      </w:r>
    </w:p>
    <w:p w14:paraId="1174031C" w14:textId="77777777" w:rsidR="009102A7" w:rsidRPr="00576AF8" w:rsidRDefault="009102A7" w:rsidP="009102A7">
      <w:pPr>
        <w:ind w:left="1134" w:hanging="425"/>
        <w:rPr>
          <w:sz w:val="22"/>
          <w:szCs w:val="22"/>
        </w:rPr>
      </w:pPr>
      <w:r w:rsidRPr="00576AF8">
        <w:rPr>
          <w:sz w:val="22"/>
          <w:szCs w:val="22"/>
        </w:rPr>
        <w:t>e. El Proveedor debe incluir aplicaciones y/o procedimientos de respaldo de la SDB</w:t>
      </w:r>
    </w:p>
    <w:p w14:paraId="2AA7FE13" w14:textId="77777777" w:rsidR="009102A7" w:rsidRPr="00576AF8" w:rsidRDefault="009102A7" w:rsidP="008C0D90">
      <w:pPr>
        <w:ind w:hanging="153"/>
        <w:jc w:val="left"/>
        <w:outlineLvl w:val="2"/>
        <w:rPr>
          <w:b/>
          <w:sz w:val="22"/>
          <w:szCs w:val="22"/>
        </w:rPr>
      </w:pPr>
      <w:bookmarkStart w:id="1246" w:name="_Toc148955230"/>
      <w:bookmarkStart w:id="1247" w:name="_Toc157424144"/>
      <w:bookmarkStart w:id="1248" w:name="_Toc159847046"/>
      <w:r w:rsidRPr="00576AF8">
        <w:rPr>
          <w:b/>
          <w:sz w:val="22"/>
          <w:szCs w:val="22"/>
        </w:rPr>
        <w:t>3.4.4.3. Base de Datos de Tiempo Real (RDB)</w:t>
      </w:r>
      <w:bookmarkEnd w:id="1246"/>
      <w:bookmarkEnd w:id="1247"/>
      <w:bookmarkEnd w:id="1248"/>
    </w:p>
    <w:p w14:paraId="09CADB86" w14:textId="77777777" w:rsidR="009102A7" w:rsidRPr="00576AF8" w:rsidRDefault="009102A7" w:rsidP="009102A7">
      <w:pPr>
        <w:ind w:left="708"/>
        <w:rPr>
          <w:sz w:val="22"/>
          <w:szCs w:val="22"/>
        </w:rPr>
      </w:pPr>
      <w:r w:rsidRPr="00576AF8">
        <w:rPr>
          <w:sz w:val="22"/>
          <w:szCs w:val="22"/>
        </w:rPr>
        <w:t>La Base de Datos en Tiempo Real es el conjunto de bases de datos que operan en los distintos nodos de procesamiento.  Estas bases de datos se actualizan continuamente con los datos adquiridos provenientes de los equipos remotos, por el procesamiento realizado por las funciones de aplicación que generan valores procesados y por las acciones de ingresos manuales de datos realizadas por los operadores.</w:t>
      </w:r>
    </w:p>
    <w:p w14:paraId="46545522" w14:textId="77777777" w:rsidR="009102A7" w:rsidRPr="00576AF8" w:rsidRDefault="009102A7" w:rsidP="009102A7">
      <w:pPr>
        <w:ind w:left="1495"/>
        <w:contextualSpacing/>
        <w:rPr>
          <w:sz w:val="22"/>
          <w:szCs w:val="22"/>
        </w:rPr>
      </w:pPr>
    </w:p>
    <w:p w14:paraId="2C52CEB2" w14:textId="77777777" w:rsidR="009102A7" w:rsidRPr="00576AF8" w:rsidRDefault="009102A7" w:rsidP="009102A7">
      <w:pPr>
        <w:numPr>
          <w:ilvl w:val="0"/>
          <w:numId w:val="402"/>
        </w:numPr>
        <w:contextualSpacing/>
        <w:rPr>
          <w:sz w:val="22"/>
          <w:szCs w:val="22"/>
        </w:rPr>
      </w:pPr>
      <w:r w:rsidRPr="00576AF8">
        <w:rPr>
          <w:sz w:val="22"/>
          <w:szCs w:val="22"/>
        </w:rPr>
        <w:t>La RDB debe cumplir los siguientes requisitos básicos:</w:t>
      </w:r>
    </w:p>
    <w:p w14:paraId="7FD0583B" w14:textId="77777777" w:rsidR="009102A7" w:rsidRPr="00576AF8" w:rsidRDefault="009102A7" w:rsidP="009102A7">
      <w:pPr>
        <w:numPr>
          <w:ilvl w:val="0"/>
          <w:numId w:val="253"/>
        </w:numPr>
        <w:ind w:left="1701" w:hanging="283"/>
        <w:contextualSpacing/>
        <w:rPr>
          <w:sz w:val="22"/>
          <w:szCs w:val="22"/>
        </w:rPr>
      </w:pPr>
      <w:r w:rsidRPr="00576AF8">
        <w:rPr>
          <w:sz w:val="22"/>
          <w:szCs w:val="22"/>
        </w:rPr>
        <w:t>Garantizar la independencia total entre datos y programas.  En esta línea, el entorno operativo provisto facilitará la gestión de la evolución de la red eléctrica a controlar y la gestión de las funciones de aplicación derivadas de nuevos requisitos y necesidades operativas.</w:t>
      </w:r>
    </w:p>
    <w:p w14:paraId="76D5B9E7" w14:textId="77777777" w:rsidR="009102A7" w:rsidRPr="00576AF8" w:rsidRDefault="009102A7" w:rsidP="009102A7">
      <w:pPr>
        <w:numPr>
          <w:ilvl w:val="0"/>
          <w:numId w:val="253"/>
        </w:numPr>
        <w:ind w:left="1701" w:hanging="283"/>
        <w:contextualSpacing/>
        <w:rPr>
          <w:sz w:val="22"/>
          <w:szCs w:val="22"/>
        </w:rPr>
      </w:pPr>
      <w:r w:rsidRPr="00576AF8">
        <w:rPr>
          <w:sz w:val="22"/>
          <w:szCs w:val="22"/>
        </w:rPr>
        <w:t>Tener una arquitectura capaz de optimizar la ejecución de los distintos módulos de software.</w:t>
      </w:r>
    </w:p>
    <w:p w14:paraId="0049D778" w14:textId="77777777" w:rsidR="009102A7" w:rsidRPr="00576AF8" w:rsidRDefault="009102A7" w:rsidP="009102A7">
      <w:pPr>
        <w:numPr>
          <w:ilvl w:val="0"/>
          <w:numId w:val="253"/>
        </w:numPr>
        <w:ind w:left="1701" w:hanging="283"/>
        <w:contextualSpacing/>
        <w:rPr>
          <w:sz w:val="22"/>
          <w:szCs w:val="22"/>
        </w:rPr>
      </w:pPr>
      <w:r w:rsidRPr="00576AF8">
        <w:rPr>
          <w:sz w:val="22"/>
          <w:szCs w:val="22"/>
        </w:rPr>
        <w:t xml:space="preserve">Garantizar tiempos de acceso </w:t>
      </w:r>
      <w:r w:rsidR="00B04003" w:rsidRPr="00576AF8">
        <w:rPr>
          <w:sz w:val="22"/>
          <w:szCs w:val="22"/>
        </w:rPr>
        <w:t xml:space="preserve">menores a 1 segundo </w:t>
      </w:r>
      <w:r w:rsidRPr="00576AF8">
        <w:rPr>
          <w:sz w:val="22"/>
          <w:szCs w:val="22"/>
        </w:rPr>
        <w:t>para responder a las necesidades de los procesos "en tiempo real".</w:t>
      </w:r>
    </w:p>
    <w:p w14:paraId="2BDBD682" w14:textId="77777777" w:rsidR="009102A7" w:rsidRPr="00576AF8" w:rsidRDefault="009102A7" w:rsidP="009102A7">
      <w:pPr>
        <w:numPr>
          <w:ilvl w:val="0"/>
          <w:numId w:val="253"/>
        </w:numPr>
        <w:ind w:left="1701" w:hanging="283"/>
        <w:contextualSpacing/>
        <w:rPr>
          <w:sz w:val="22"/>
          <w:szCs w:val="22"/>
        </w:rPr>
      </w:pPr>
      <w:r w:rsidRPr="00576AF8">
        <w:rPr>
          <w:sz w:val="22"/>
          <w:szCs w:val="22"/>
        </w:rPr>
        <w:t>Mantener los datos distribuidos en los distintos nodos de procesamiento alineados entre sí y con la realidad de la red eléctrica controlada, para garantizar su validez de manera determinista y no condicionada por retrasos en las actualizaciones u otras causas de "desajuste".</w:t>
      </w:r>
    </w:p>
    <w:p w14:paraId="2BC110BF" w14:textId="77777777" w:rsidR="009102A7" w:rsidRPr="00576AF8" w:rsidRDefault="009102A7" w:rsidP="009102A7">
      <w:pPr>
        <w:numPr>
          <w:ilvl w:val="0"/>
          <w:numId w:val="253"/>
        </w:numPr>
        <w:ind w:left="1701" w:hanging="283"/>
        <w:contextualSpacing/>
        <w:rPr>
          <w:sz w:val="22"/>
          <w:szCs w:val="22"/>
        </w:rPr>
      </w:pPr>
      <w:r w:rsidRPr="00576AF8">
        <w:rPr>
          <w:sz w:val="22"/>
          <w:szCs w:val="22"/>
        </w:rPr>
        <w:t>Garantizar la seguridad y consistencia de los datos.</w:t>
      </w:r>
    </w:p>
    <w:p w14:paraId="28AC373F" w14:textId="77777777" w:rsidR="009102A7" w:rsidRPr="00576AF8" w:rsidRDefault="009102A7" w:rsidP="009102A7">
      <w:pPr>
        <w:numPr>
          <w:ilvl w:val="0"/>
          <w:numId w:val="253"/>
        </w:numPr>
        <w:ind w:left="1701" w:hanging="283"/>
        <w:contextualSpacing/>
        <w:rPr>
          <w:sz w:val="22"/>
          <w:szCs w:val="22"/>
        </w:rPr>
      </w:pPr>
      <w:r w:rsidRPr="00576AF8">
        <w:rPr>
          <w:sz w:val="22"/>
          <w:szCs w:val="22"/>
        </w:rPr>
        <w:t>Realizar un control de acceso estricto y disponer funciones de recuperación eficientes.</w:t>
      </w:r>
    </w:p>
    <w:p w14:paraId="71D026C7" w14:textId="77777777" w:rsidR="009102A7" w:rsidRPr="00576AF8" w:rsidRDefault="009102A7" w:rsidP="009102A7">
      <w:pPr>
        <w:ind w:left="1494"/>
        <w:contextualSpacing/>
        <w:rPr>
          <w:sz w:val="22"/>
          <w:szCs w:val="22"/>
        </w:rPr>
      </w:pPr>
    </w:p>
    <w:p w14:paraId="596C97A7" w14:textId="77777777" w:rsidR="009102A7" w:rsidRPr="00576AF8" w:rsidRDefault="009102A7" w:rsidP="009102A7">
      <w:pPr>
        <w:numPr>
          <w:ilvl w:val="0"/>
          <w:numId w:val="402"/>
        </w:numPr>
        <w:contextualSpacing/>
        <w:rPr>
          <w:sz w:val="22"/>
          <w:szCs w:val="22"/>
        </w:rPr>
      </w:pPr>
      <w:r w:rsidRPr="00576AF8">
        <w:rPr>
          <w:sz w:val="22"/>
          <w:szCs w:val="22"/>
        </w:rPr>
        <w:t>La RDB debe implementarse de manera que minimice el mantenimiento y la actualización en términos de tiempo y recursos humanos durante la vida útil del sistema.</w:t>
      </w:r>
    </w:p>
    <w:p w14:paraId="3602C925" w14:textId="77777777" w:rsidR="009102A7" w:rsidRPr="00576AF8" w:rsidRDefault="009102A7" w:rsidP="009102A7">
      <w:pPr>
        <w:numPr>
          <w:ilvl w:val="0"/>
          <w:numId w:val="402"/>
        </w:numPr>
        <w:contextualSpacing/>
        <w:rPr>
          <w:sz w:val="22"/>
          <w:szCs w:val="22"/>
        </w:rPr>
      </w:pPr>
      <w:r w:rsidRPr="00576AF8">
        <w:rPr>
          <w:sz w:val="22"/>
          <w:szCs w:val="22"/>
        </w:rPr>
        <w:t>Para lograr independencia de los datos de las funciones de aplicación, los módulos de software deben considerar la RDB como un entorno virtual, al que accederán a través de servicios comunes y compartidos por todas las funciones.</w:t>
      </w:r>
    </w:p>
    <w:p w14:paraId="23EB645D" w14:textId="77777777" w:rsidR="009102A7" w:rsidRPr="00576AF8" w:rsidRDefault="009102A7" w:rsidP="009102A7">
      <w:pPr>
        <w:numPr>
          <w:ilvl w:val="0"/>
          <w:numId w:val="402"/>
        </w:numPr>
        <w:contextualSpacing/>
        <w:rPr>
          <w:sz w:val="22"/>
          <w:szCs w:val="22"/>
        </w:rPr>
      </w:pPr>
      <w:r w:rsidRPr="00576AF8">
        <w:rPr>
          <w:sz w:val="22"/>
          <w:szCs w:val="22"/>
        </w:rPr>
        <w:t>La RDB debe estar equipada con una serie de funciones de utilidad para permitir al Administrador de la Base de Datos lo siguiente:</w:t>
      </w:r>
    </w:p>
    <w:p w14:paraId="1876080C" w14:textId="77777777" w:rsidR="009102A7" w:rsidRPr="00576AF8" w:rsidRDefault="009102A7" w:rsidP="009102A7">
      <w:pPr>
        <w:numPr>
          <w:ilvl w:val="0"/>
          <w:numId w:val="403"/>
        </w:numPr>
        <w:ind w:left="1843"/>
        <w:contextualSpacing/>
        <w:rPr>
          <w:sz w:val="22"/>
          <w:szCs w:val="22"/>
        </w:rPr>
      </w:pPr>
      <w:r w:rsidRPr="00576AF8">
        <w:rPr>
          <w:sz w:val="22"/>
          <w:szCs w:val="22"/>
        </w:rPr>
        <w:t>Distribuir las nuevas versiones de la RDB generadas en el sistema central a todos los nodos de procesamiento.</w:t>
      </w:r>
    </w:p>
    <w:p w14:paraId="031F7A0C" w14:textId="77777777" w:rsidR="009102A7" w:rsidRPr="00576AF8" w:rsidRDefault="009102A7" w:rsidP="009102A7">
      <w:pPr>
        <w:numPr>
          <w:ilvl w:val="0"/>
          <w:numId w:val="403"/>
        </w:numPr>
        <w:ind w:left="1843"/>
        <w:contextualSpacing/>
        <w:rPr>
          <w:sz w:val="22"/>
          <w:szCs w:val="22"/>
        </w:rPr>
      </w:pPr>
      <w:r w:rsidRPr="00576AF8">
        <w:rPr>
          <w:sz w:val="22"/>
          <w:szCs w:val="22"/>
        </w:rPr>
        <w:t>Activar simultáneamente en todos los nodos de procesamiento la nueva versión de la RDB a través de una única función de "conmutación".</w:t>
      </w:r>
    </w:p>
    <w:p w14:paraId="6999CEFC" w14:textId="77777777" w:rsidR="009102A7" w:rsidRPr="00576AF8" w:rsidRDefault="009102A7" w:rsidP="009102A7">
      <w:pPr>
        <w:numPr>
          <w:ilvl w:val="0"/>
          <w:numId w:val="403"/>
        </w:numPr>
        <w:ind w:left="1843"/>
        <w:contextualSpacing/>
        <w:rPr>
          <w:sz w:val="22"/>
          <w:szCs w:val="22"/>
        </w:rPr>
      </w:pPr>
      <w:r w:rsidRPr="00576AF8">
        <w:rPr>
          <w:sz w:val="22"/>
          <w:szCs w:val="22"/>
        </w:rPr>
        <w:t>Realizar parches correctivos directamente en los datos estáticos contenidos en los diversos campos de la RDB en condiciones de "ejecución".</w:t>
      </w:r>
    </w:p>
    <w:p w14:paraId="4CA69555" w14:textId="77777777" w:rsidR="009102A7" w:rsidRPr="00576AF8" w:rsidRDefault="009102A7" w:rsidP="009102A7">
      <w:pPr>
        <w:numPr>
          <w:ilvl w:val="0"/>
          <w:numId w:val="403"/>
        </w:numPr>
        <w:ind w:left="1843"/>
        <w:contextualSpacing/>
        <w:rPr>
          <w:sz w:val="22"/>
          <w:szCs w:val="22"/>
        </w:rPr>
      </w:pPr>
      <w:r w:rsidRPr="00576AF8">
        <w:rPr>
          <w:sz w:val="22"/>
          <w:szCs w:val="22"/>
        </w:rPr>
        <w:t>Transferir a la nueva versión de la RDB toda la información ingresada manualmente por los operadores en la versión anterior de la RDB.</w:t>
      </w:r>
    </w:p>
    <w:p w14:paraId="2DBBAB0E" w14:textId="77777777" w:rsidR="009102A7" w:rsidRPr="00576AF8" w:rsidRDefault="009102A7" w:rsidP="009102A7">
      <w:pPr>
        <w:numPr>
          <w:ilvl w:val="0"/>
          <w:numId w:val="403"/>
        </w:numPr>
        <w:ind w:left="1843"/>
        <w:contextualSpacing/>
        <w:rPr>
          <w:sz w:val="22"/>
          <w:szCs w:val="22"/>
        </w:rPr>
      </w:pPr>
      <w:r w:rsidRPr="00576AF8">
        <w:rPr>
          <w:sz w:val="22"/>
          <w:szCs w:val="22"/>
        </w:rPr>
        <w:lastRenderedPageBreak/>
        <w:t>Mantener actualizados todos los nodos.</w:t>
      </w:r>
    </w:p>
    <w:p w14:paraId="139E1560" w14:textId="77777777" w:rsidR="009102A7" w:rsidRPr="00576AF8" w:rsidRDefault="009102A7" w:rsidP="009102A7">
      <w:pPr>
        <w:numPr>
          <w:ilvl w:val="0"/>
          <w:numId w:val="403"/>
        </w:numPr>
        <w:ind w:left="1843"/>
        <w:contextualSpacing/>
        <w:rPr>
          <w:sz w:val="22"/>
          <w:szCs w:val="22"/>
        </w:rPr>
      </w:pPr>
      <w:r w:rsidRPr="00576AF8">
        <w:rPr>
          <w:sz w:val="22"/>
          <w:szCs w:val="22"/>
        </w:rPr>
        <w:t>Guardar y restaurar.</w:t>
      </w:r>
    </w:p>
    <w:p w14:paraId="32A6BCD2" w14:textId="77777777" w:rsidR="009102A7" w:rsidRPr="00576AF8" w:rsidRDefault="009102A7" w:rsidP="009102A7">
      <w:pPr>
        <w:ind w:left="709"/>
        <w:rPr>
          <w:sz w:val="22"/>
          <w:szCs w:val="22"/>
        </w:rPr>
      </w:pPr>
      <w:r w:rsidRPr="00576AF8">
        <w:rPr>
          <w:sz w:val="22"/>
          <w:szCs w:val="22"/>
        </w:rPr>
        <w:t>Los servicios anteriores y las funciones de utilidad relacionadas constituyen el Sistema de Gestión de la Base de Datos (DBMS). La distribución de nuevas versiones de la RDB en los diferentes nodos de procesamiento del sistema utilizará la red de comunicaciones, tanto local como remota, con una actividad básica (en segundo plano) que no debe comprometer el rendimiento del sistema operativo.</w:t>
      </w:r>
    </w:p>
    <w:p w14:paraId="41A69FED" w14:textId="77777777" w:rsidR="009102A7" w:rsidRPr="00576AF8" w:rsidRDefault="009102A7" w:rsidP="009102A7">
      <w:pPr>
        <w:numPr>
          <w:ilvl w:val="0"/>
          <w:numId w:val="404"/>
        </w:numPr>
        <w:contextualSpacing/>
        <w:rPr>
          <w:sz w:val="22"/>
          <w:szCs w:val="22"/>
        </w:rPr>
      </w:pPr>
      <w:r w:rsidRPr="00576AF8">
        <w:rPr>
          <w:sz w:val="22"/>
          <w:szCs w:val="22"/>
        </w:rPr>
        <w:t>La RDB debe ofrecer a los usuarios las herramientas necesarias para consultar los datos contenidos en las diferentes tablas del sistema, a través de herramientas gráficas GUI o mediante la interfaz de línea de comandos, utilizando instrucciones tipo SQL</w:t>
      </w:r>
    </w:p>
    <w:p w14:paraId="3052268F" w14:textId="77777777" w:rsidR="009102A7" w:rsidRPr="00576AF8" w:rsidRDefault="009102A7" w:rsidP="009102A7">
      <w:pPr>
        <w:numPr>
          <w:ilvl w:val="0"/>
          <w:numId w:val="404"/>
        </w:numPr>
        <w:contextualSpacing/>
        <w:rPr>
          <w:sz w:val="22"/>
          <w:szCs w:val="22"/>
        </w:rPr>
      </w:pPr>
      <w:r w:rsidRPr="00576AF8">
        <w:rPr>
          <w:sz w:val="22"/>
          <w:szCs w:val="22"/>
        </w:rPr>
        <w:t xml:space="preserve">Durante la transición entre la versión anterior y la nueva de la RDB, el Sistema de Control no experimentará indisponibilidad para el Operador por un período que exceda el tiempo especificado en la sección </w:t>
      </w:r>
      <w:r w:rsidR="00B05D9C" w:rsidRPr="00576AF8">
        <w:rPr>
          <w:sz w:val="22"/>
          <w:szCs w:val="22"/>
        </w:rPr>
        <w:t>B, numeral 1.5.1.8</w:t>
      </w:r>
      <w:r w:rsidRPr="00576AF8">
        <w:rPr>
          <w:sz w:val="22"/>
          <w:szCs w:val="22"/>
        </w:rPr>
        <w:t>.</w:t>
      </w:r>
    </w:p>
    <w:p w14:paraId="5A9DFF29" w14:textId="77777777" w:rsidR="009102A7" w:rsidRPr="00576AF8" w:rsidRDefault="009102A7" w:rsidP="008C0D90">
      <w:pPr>
        <w:ind w:hanging="153"/>
        <w:jc w:val="left"/>
        <w:outlineLvl w:val="2"/>
        <w:rPr>
          <w:b/>
          <w:sz w:val="22"/>
          <w:szCs w:val="22"/>
        </w:rPr>
      </w:pPr>
      <w:bookmarkStart w:id="1249" w:name="_Ref148043317"/>
      <w:bookmarkStart w:id="1250" w:name="_Ref148043319"/>
      <w:bookmarkStart w:id="1251" w:name="_Toc148955231"/>
      <w:bookmarkStart w:id="1252" w:name="_Toc157424145"/>
      <w:bookmarkStart w:id="1253" w:name="_Toc159847047"/>
      <w:r w:rsidRPr="00576AF8">
        <w:rPr>
          <w:b/>
          <w:sz w:val="22"/>
          <w:szCs w:val="22"/>
        </w:rPr>
        <w:t>3.4.4.4. Base de datos Histórica (HDB)</w:t>
      </w:r>
      <w:bookmarkEnd w:id="1249"/>
      <w:bookmarkEnd w:id="1250"/>
      <w:bookmarkEnd w:id="1251"/>
      <w:bookmarkEnd w:id="1252"/>
      <w:bookmarkEnd w:id="1253"/>
    </w:p>
    <w:p w14:paraId="7A529F1C" w14:textId="77777777" w:rsidR="009102A7" w:rsidRPr="00576AF8" w:rsidRDefault="009102A7" w:rsidP="009102A7">
      <w:pPr>
        <w:numPr>
          <w:ilvl w:val="0"/>
          <w:numId w:val="405"/>
        </w:numPr>
        <w:ind w:left="1418"/>
        <w:contextualSpacing/>
        <w:rPr>
          <w:sz w:val="22"/>
          <w:szCs w:val="22"/>
        </w:rPr>
      </w:pPr>
      <w:r w:rsidRPr="00576AF8">
        <w:rPr>
          <w:sz w:val="22"/>
          <w:szCs w:val="22"/>
        </w:rPr>
        <w:t xml:space="preserve">El sistema dispondrá de una base de datos histórica con un período de </w:t>
      </w:r>
      <w:proofErr w:type="gramStart"/>
      <w:r w:rsidRPr="00576AF8">
        <w:rPr>
          <w:sz w:val="22"/>
          <w:szCs w:val="22"/>
        </w:rPr>
        <w:t>operación  en</w:t>
      </w:r>
      <w:proofErr w:type="gramEnd"/>
      <w:r w:rsidRPr="00576AF8">
        <w:rPr>
          <w:sz w:val="22"/>
          <w:szCs w:val="22"/>
        </w:rPr>
        <w:t xml:space="preserve"> línea de 2 años y un período fuera de línea a largo plazo mínimo de siete (7) años limitado al espacio de almacenamiento. </w:t>
      </w:r>
    </w:p>
    <w:p w14:paraId="4EAEDF7F" w14:textId="77777777" w:rsidR="009102A7" w:rsidRPr="00576AF8" w:rsidRDefault="009102A7" w:rsidP="009102A7">
      <w:pPr>
        <w:numPr>
          <w:ilvl w:val="0"/>
          <w:numId w:val="405"/>
        </w:numPr>
        <w:ind w:left="1418"/>
        <w:contextualSpacing/>
        <w:rPr>
          <w:sz w:val="22"/>
          <w:szCs w:val="22"/>
        </w:rPr>
      </w:pPr>
      <w:r w:rsidRPr="00576AF8">
        <w:rPr>
          <w:sz w:val="22"/>
          <w:szCs w:val="22"/>
        </w:rPr>
        <w:t>El Proveedor proveerá una solución que incluya servidores redundantes dedicados para la red de producción.  También incluirá servidores sincronizados distribuidos para usuarios ubicados en la DMZ, así como en el QAS, PDS y OTS</w:t>
      </w:r>
    </w:p>
    <w:p w14:paraId="25C0DB63" w14:textId="77777777" w:rsidR="009102A7" w:rsidRPr="00576AF8" w:rsidRDefault="009102A7" w:rsidP="009102A7">
      <w:pPr>
        <w:numPr>
          <w:ilvl w:val="0"/>
          <w:numId w:val="405"/>
        </w:numPr>
        <w:ind w:left="1418"/>
        <w:contextualSpacing/>
        <w:rPr>
          <w:sz w:val="22"/>
          <w:szCs w:val="22"/>
        </w:rPr>
      </w:pPr>
      <w:r w:rsidRPr="00576AF8">
        <w:rPr>
          <w:sz w:val="22"/>
          <w:szCs w:val="22"/>
        </w:rPr>
        <w:t>La HDB debe estar basada en una base de datos relacional o en una base de datos NoSQL siempre y cuando se suministren conexiones ODBC, JDBC y librerías API que permitan el acceso a los datos de forma ágil y sencilla para la elaboración de reportes y aplicaciones externas a la medida.</w:t>
      </w:r>
    </w:p>
    <w:p w14:paraId="72AD2D0B" w14:textId="77777777" w:rsidR="009102A7" w:rsidRPr="00576AF8" w:rsidRDefault="009102A7" w:rsidP="009102A7">
      <w:pPr>
        <w:numPr>
          <w:ilvl w:val="0"/>
          <w:numId w:val="405"/>
        </w:numPr>
        <w:ind w:left="1418"/>
        <w:contextualSpacing/>
        <w:rPr>
          <w:sz w:val="22"/>
          <w:szCs w:val="22"/>
        </w:rPr>
      </w:pPr>
      <w:r w:rsidRPr="00576AF8">
        <w:rPr>
          <w:sz w:val="22"/>
          <w:szCs w:val="22"/>
        </w:rPr>
        <w:t>La HDB almacenará datos provenientes de muestreos a intervalos fijos (cíclico), y por excepción, activado por una violación de banda muerta, cambio de estado o calidad o datos recibidos con una marca de tiempo externa. El HDB admitirá técnicas de compresión para la optimización del almacenamiento de datos.</w:t>
      </w:r>
    </w:p>
    <w:p w14:paraId="78A5F528" w14:textId="77777777" w:rsidR="009102A7" w:rsidRPr="00576AF8" w:rsidRDefault="009102A7" w:rsidP="009102A7">
      <w:pPr>
        <w:numPr>
          <w:ilvl w:val="0"/>
          <w:numId w:val="405"/>
        </w:numPr>
        <w:ind w:left="1418"/>
        <w:contextualSpacing/>
        <w:rPr>
          <w:sz w:val="22"/>
          <w:szCs w:val="22"/>
        </w:rPr>
      </w:pPr>
      <w:r w:rsidRPr="00576AF8">
        <w:rPr>
          <w:sz w:val="22"/>
          <w:szCs w:val="22"/>
        </w:rPr>
        <w:t>Los archivos históricos reportados en el HDB se pueden dividir en archivos sincrónicos y archivos asíncronos. En los primeros, los datos se almacenan sistemáticamente a intervalos de tiempo predefinidos. El tamaño de estos archivos se puede predefinir con precisión de forma determinista. Los archivos asíncronos, por otro lado, contienen datos que indican los cambios, las evoluciones de la red controlada y del sistema de adquisición de datos, por lo que sus dimensiones se definirán con métodos probabilísticos.</w:t>
      </w:r>
    </w:p>
    <w:p w14:paraId="11BAEA9B" w14:textId="77777777" w:rsidR="009102A7" w:rsidRPr="00576AF8" w:rsidRDefault="009102A7" w:rsidP="009102A7">
      <w:pPr>
        <w:numPr>
          <w:ilvl w:val="0"/>
          <w:numId w:val="405"/>
        </w:numPr>
        <w:ind w:left="1418"/>
        <w:contextualSpacing/>
        <w:rPr>
          <w:sz w:val="22"/>
          <w:szCs w:val="22"/>
        </w:rPr>
      </w:pPr>
      <w:r w:rsidRPr="00576AF8">
        <w:rPr>
          <w:sz w:val="22"/>
          <w:szCs w:val="22"/>
        </w:rPr>
        <w:t>La HDB debe estar totalmente integrada y disponible para todas las funciones del sistema SCADA/EMS y utilizará la misma herramienta de ingeniería de datos SDB para su configuración, incluso si es una solución de terceros.</w:t>
      </w:r>
    </w:p>
    <w:p w14:paraId="4AC70583" w14:textId="77777777" w:rsidR="009102A7" w:rsidRPr="00576AF8" w:rsidRDefault="009102A7" w:rsidP="009102A7">
      <w:pPr>
        <w:numPr>
          <w:ilvl w:val="0"/>
          <w:numId w:val="405"/>
        </w:numPr>
        <w:ind w:left="1418"/>
        <w:contextualSpacing/>
        <w:rPr>
          <w:sz w:val="22"/>
          <w:szCs w:val="22"/>
        </w:rPr>
      </w:pPr>
      <w:r w:rsidRPr="00576AF8">
        <w:rPr>
          <w:sz w:val="22"/>
          <w:szCs w:val="22"/>
        </w:rPr>
        <w:t>Los siguientes tipos de objetos serán historizados:</w:t>
      </w:r>
    </w:p>
    <w:p w14:paraId="502B5E30"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Mediciones y calidad.</w:t>
      </w:r>
    </w:p>
    <w:p w14:paraId="2AC92AFC"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Indicaciones y calidad.</w:t>
      </w:r>
    </w:p>
    <w:p w14:paraId="0282CD55"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Secuencias de eventos SOE.</w:t>
      </w:r>
    </w:p>
    <w:p w14:paraId="6F0BE9CD"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Acumuladores de energía y calidad.</w:t>
      </w:r>
    </w:p>
    <w:p w14:paraId="371558F5"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Valores estimados y calidad.</w:t>
      </w:r>
    </w:p>
    <w:p w14:paraId="490286BF"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Alarmas y eventos.</w:t>
      </w:r>
    </w:p>
    <w:p w14:paraId="00F81BC4"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Topología dinámica de redes (para reproducir el coloreo de la red)</w:t>
      </w:r>
    </w:p>
    <w:p w14:paraId="494DE187" w14:textId="77777777" w:rsidR="009102A7" w:rsidRPr="00576AF8" w:rsidRDefault="009102A7" w:rsidP="009102A7">
      <w:pPr>
        <w:numPr>
          <w:ilvl w:val="0"/>
          <w:numId w:val="406"/>
        </w:numPr>
        <w:ind w:left="1701" w:hanging="283"/>
        <w:contextualSpacing/>
        <w:rPr>
          <w:color w:val="000000"/>
          <w:sz w:val="22"/>
          <w:szCs w:val="22"/>
        </w:rPr>
      </w:pPr>
      <w:r w:rsidRPr="00576AF8">
        <w:rPr>
          <w:sz w:val="22"/>
          <w:szCs w:val="22"/>
        </w:rPr>
        <w:t>Cualquier columna de tabla o propiedad de la base de datos en tiempo real RDB y de cualquier aplicación del sistema como SE, AGC, etc.</w:t>
      </w:r>
    </w:p>
    <w:p w14:paraId="4BD1E224" w14:textId="77777777" w:rsidR="009102A7" w:rsidRPr="00576AF8" w:rsidRDefault="009102A7" w:rsidP="009102A7">
      <w:pPr>
        <w:numPr>
          <w:ilvl w:val="0"/>
          <w:numId w:val="405"/>
        </w:numPr>
        <w:ind w:left="1418"/>
        <w:contextualSpacing/>
        <w:rPr>
          <w:sz w:val="22"/>
          <w:szCs w:val="22"/>
        </w:rPr>
      </w:pPr>
      <w:r w:rsidRPr="00576AF8">
        <w:rPr>
          <w:sz w:val="22"/>
          <w:szCs w:val="22"/>
        </w:rPr>
        <w:t>La HDB admitirá la marca de tiempo con resolución de milisegundos.</w:t>
      </w:r>
    </w:p>
    <w:p w14:paraId="4DDD6C2C" w14:textId="77777777" w:rsidR="009102A7" w:rsidRPr="00576AF8" w:rsidRDefault="009102A7" w:rsidP="009102A7">
      <w:pPr>
        <w:numPr>
          <w:ilvl w:val="0"/>
          <w:numId w:val="405"/>
        </w:numPr>
        <w:ind w:left="1418"/>
        <w:contextualSpacing/>
        <w:rPr>
          <w:sz w:val="22"/>
          <w:szCs w:val="22"/>
        </w:rPr>
      </w:pPr>
      <w:r w:rsidRPr="00576AF8">
        <w:rPr>
          <w:sz w:val="22"/>
          <w:szCs w:val="22"/>
        </w:rPr>
        <w:lastRenderedPageBreak/>
        <w:t xml:space="preserve">La HDB admitirá el cálculo automático para diferentes períodos derivados de los datos almacenados y debe estar listo para solicitarlo por cualquier aplicación cliente. Por ejemplo, las funciones de aplicación podrán correr casos de estudio en base a información histórica y también se podrá visualizar los unifilares con información histórica. </w:t>
      </w:r>
    </w:p>
    <w:p w14:paraId="428BBFCE" w14:textId="77777777" w:rsidR="009102A7" w:rsidRPr="00576AF8" w:rsidRDefault="009102A7" w:rsidP="009102A7">
      <w:pPr>
        <w:numPr>
          <w:ilvl w:val="0"/>
          <w:numId w:val="405"/>
        </w:numPr>
        <w:ind w:left="1418"/>
        <w:contextualSpacing/>
        <w:rPr>
          <w:sz w:val="22"/>
          <w:szCs w:val="22"/>
        </w:rPr>
      </w:pPr>
      <w:r w:rsidRPr="00576AF8">
        <w:rPr>
          <w:sz w:val="22"/>
          <w:szCs w:val="22"/>
        </w:rPr>
        <w:t>Al menos, las siguientes funciones de agregación serán compatibles:</w:t>
      </w:r>
    </w:p>
    <w:p w14:paraId="064A2A4A" w14:textId="77777777" w:rsidR="009102A7" w:rsidRPr="00576AF8" w:rsidRDefault="009102A7" w:rsidP="009102A7">
      <w:pPr>
        <w:numPr>
          <w:ilvl w:val="0"/>
          <w:numId w:val="407"/>
        </w:numPr>
        <w:ind w:left="1843"/>
        <w:contextualSpacing/>
        <w:rPr>
          <w:color w:val="000000"/>
          <w:sz w:val="22"/>
          <w:szCs w:val="22"/>
        </w:rPr>
      </w:pPr>
      <w:r w:rsidRPr="00576AF8">
        <w:rPr>
          <w:sz w:val="22"/>
          <w:szCs w:val="22"/>
        </w:rPr>
        <w:t>Máximo y mínimo.</w:t>
      </w:r>
    </w:p>
    <w:p w14:paraId="6645144D" w14:textId="77777777" w:rsidR="009102A7" w:rsidRPr="00576AF8" w:rsidRDefault="009102A7" w:rsidP="009102A7">
      <w:pPr>
        <w:numPr>
          <w:ilvl w:val="0"/>
          <w:numId w:val="407"/>
        </w:numPr>
        <w:ind w:left="1843"/>
        <w:contextualSpacing/>
        <w:rPr>
          <w:color w:val="000000"/>
          <w:sz w:val="22"/>
          <w:szCs w:val="22"/>
        </w:rPr>
      </w:pPr>
      <w:r w:rsidRPr="00576AF8">
        <w:rPr>
          <w:sz w:val="22"/>
          <w:szCs w:val="22"/>
        </w:rPr>
        <w:t>Promedio ponderado por tiempo.</w:t>
      </w:r>
    </w:p>
    <w:p w14:paraId="0328A964" w14:textId="77777777" w:rsidR="009102A7" w:rsidRPr="00576AF8" w:rsidRDefault="009102A7" w:rsidP="009102A7">
      <w:pPr>
        <w:numPr>
          <w:ilvl w:val="0"/>
          <w:numId w:val="407"/>
        </w:numPr>
        <w:ind w:left="1843"/>
        <w:contextualSpacing/>
        <w:rPr>
          <w:color w:val="000000"/>
          <w:sz w:val="22"/>
          <w:szCs w:val="22"/>
        </w:rPr>
      </w:pPr>
      <w:r w:rsidRPr="00576AF8">
        <w:rPr>
          <w:sz w:val="22"/>
          <w:szCs w:val="22"/>
        </w:rPr>
        <w:t>Media.</w:t>
      </w:r>
    </w:p>
    <w:p w14:paraId="49F70585" w14:textId="77777777" w:rsidR="009102A7" w:rsidRPr="00576AF8" w:rsidRDefault="009102A7" w:rsidP="009102A7">
      <w:pPr>
        <w:numPr>
          <w:ilvl w:val="0"/>
          <w:numId w:val="407"/>
        </w:numPr>
        <w:ind w:left="1843"/>
        <w:contextualSpacing/>
        <w:rPr>
          <w:color w:val="000000"/>
          <w:sz w:val="22"/>
          <w:szCs w:val="22"/>
        </w:rPr>
      </w:pPr>
      <w:r w:rsidRPr="00576AF8">
        <w:rPr>
          <w:sz w:val="22"/>
          <w:szCs w:val="22"/>
        </w:rPr>
        <w:t>Desviación estándar.</w:t>
      </w:r>
    </w:p>
    <w:p w14:paraId="249B8EE5" w14:textId="77777777" w:rsidR="009102A7" w:rsidRPr="00576AF8" w:rsidRDefault="009102A7" w:rsidP="009102A7">
      <w:pPr>
        <w:numPr>
          <w:ilvl w:val="0"/>
          <w:numId w:val="405"/>
        </w:numPr>
        <w:ind w:left="1418"/>
        <w:contextualSpacing/>
        <w:rPr>
          <w:sz w:val="22"/>
          <w:szCs w:val="22"/>
        </w:rPr>
      </w:pPr>
      <w:r w:rsidRPr="00576AF8">
        <w:rPr>
          <w:sz w:val="22"/>
          <w:szCs w:val="22"/>
        </w:rPr>
        <w:t>Los cálculos agregados incluirán un índice de calidad que represente el porcentaje de valores de buena calidad del período.</w:t>
      </w:r>
    </w:p>
    <w:p w14:paraId="7EC5ADEC" w14:textId="77777777" w:rsidR="009102A7" w:rsidRPr="00576AF8" w:rsidRDefault="009102A7" w:rsidP="009102A7">
      <w:pPr>
        <w:numPr>
          <w:ilvl w:val="0"/>
          <w:numId w:val="405"/>
        </w:numPr>
        <w:ind w:left="1418"/>
        <w:contextualSpacing/>
        <w:rPr>
          <w:sz w:val="22"/>
          <w:szCs w:val="22"/>
        </w:rPr>
      </w:pPr>
      <w:r w:rsidRPr="00576AF8">
        <w:rPr>
          <w:sz w:val="22"/>
          <w:szCs w:val="22"/>
        </w:rPr>
        <w:t>La supervisión y control de los servidores HDB deberá ser centralizada en el SCADA/EMS mediante despliegues específicos que sean accesibles para los usuarios autorizados.</w:t>
      </w:r>
    </w:p>
    <w:p w14:paraId="00AE228F" w14:textId="77777777" w:rsidR="009102A7" w:rsidRPr="00576AF8" w:rsidRDefault="009102A7" w:rsidP="009102A7">
      <w:pPr>
        <w:ind w:left="1440" w:right="41" w:hanging="720"/>
        <w:rPr>
          <w:color w:val="4472C4"/>
          <w:sz w:val="22"/>
          <w:szCs w:val="22"/>
        </w:rPr>
      </w:pPr>
    </w:p>
    <w:p w14:paraId="33708A1D" w14:textId="77777777" w:rsidR="009102A7" w:rsidRPr="00576AF8" w:rsidRDefault="009102A7" w:rsidP="008C0D90">
      <w:pPr>
        <w:ind w:hanging="153"/>
        <w:jc w:val="left"/>
        <w:outlineLvl w:val="2"/>
        <w:rPr>
          <w:b/>
          <w:i/>
          <w:color w:val="4472C4"/>
          <w:sz w:val="22"/>
          <w:szCs w:val="22"/>
        </w:rPr>
      </w:pPr>
      <w:r w:rsidRPr="00576AF8">
        <w:rPr>
          <w:b/>
          <w:sz w:val="22"/>
          <w:szCs w:val="22"/>
        </w:rPr>
        <w:t xml:space="preserve">Software de aplicación operacional: </w:t>
      </w:r>
    </w:p>
    <w:p w14:paraId="7F6F3CEB" w14:textId="77777777" w:rsidR="009102A7" w:rsidRPr="00576AF8" w:rsidRDefault="009102A7" w:rsidP="009102A7">
      <w:pPr>
        <w:ind w:left="708" w:right="41"/>
        <w:rPr>
          <w:sz w:val="22"/>
          <w:szCs w:val="22"/>
        </w:rPr>
      </w:pPr>
      <w:r w:rsidRPr="00576AF8">
        <w:rPr>
          <w:sz w:val="22"/>
          <w:szCs w:val="22"/>
        </w:rPr>
        <w:t xml:space="preserve">El Proveedor deberá suministrar para el sistema SCADA/EMS </w:t>
      </w:r>
      <w:r w:rsidR="00593894" w:rsidRPr="00576AF8">
        <w:rPr>
          <w:sz w:val="22"/>
          <w:szCs w:val="22"/>
        </w:rPr>
        <w:t>del Comprador</w:t>
      </w:r>
      <w:r w:rsidRPr="00576AF8">
        <w:rPr>
          <w:sz w:val="22"/>
          <w:szCs w:val="22"/>
        </w:rPr>
        <w:t xml:space="preserve"> el siguiente software de aplicación operacional:</w:t>
      </w:r>
    </w:p>
    <w:p w14:paraId="69810C86" w14:textId="77777777" w:rsidR="009102A7" w:rsidRPr="00576AF8" w:rsidRDefault="009102A7" w:rsidP="009102A7">
      <w:pPr>
        <w:ind w:left="708" w:right="41"/>
        <w:rPr>
          <w:b/>
          <w:sz w:val="22"/>
          <w:szCs w:val="22"/>
        </w:rPr>
      </w:pPr>
    </w:p>
    <w:p w14:paraId="16CA70BC" w14:textId="77777777" w:rsidR="009102A7" w:rsidRPr="00576AF8" w:rsidRDefault="009102A7" w:rsidP="009102A7">
      <w:pPr>
        <w:ind w:left="708" w:right="41"/>
        <w:rPr>
          <w:sz w:val="22"/>
          <w:szCs w:val="22"/>
        </w:rPr>
      </w:pPr>
      <w:r w:rsidRPr="00576AF8">
        <w:rPr>
          <w:b/>
          <w:sz w:val="22"/>
          <w:szCs w:val="22"/>
        </w:rPr>
        <w:t>Aplicaciones Operacionales de SCADA</w:t>
      </w:r>
    </w:p>
    <w:p w14:paraId="6F53A008"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Tipos de Datos: Numeral 2.1.1.1.1.1</w:t>
      </w:r>
    </w:p>
    <w:p w14:paraId="762F3489" w14:textId="77777777" w:rsidR="009102A7" w:rsidRPr="00576AF8" w:rsidRDefault="009102A7" w:rsidP="009102A7">
      <w:pPr>
        <w:numPr>
          <w:ilvl w:val="0"/>
          <w:numId w:val="365"/>
        </w:numPr>
        <w:spacing w:after="0" w:line="276" w:lineRule="auto"/>
        <w:ind w:left="1418" w:right="41" w:hanging="338"/>
      </w:pPr>
      <w:bookmarkStart w:id="1254" w:name="_Toc148955059"/>
      <w:bookmarkStart w:id="1255" w:name="_Toc158396534"/>
      <w:bookmarkStart w:id="1256" w:name="_Toc160012774"/>
      <w:r w:rsidRPr="00576AF8">
        <w:rPr>
          <w:sz w:val="22"/>
          <w:szCs w:val="22"/>
        </w:rPr>
        <w:t>Gestión de las Comunicaciones en el SCADA</w:t>
      </w:r>
      <w:bookmarkEnd w:id="1254"/>
      <w:bookmarkEnd w:id="1255"/>
      <w:bookmarkEnd w:id="1256"/>
      <w:r w:rsidRPr="00576AF8">
        <w:rPr>
          <w:sz w:val="22"/>
          <w:szCs w:val="22"/>
        </w:rPr>
        <w:t>: Numeral 2.1.1.1.1.2</w:t>
      </w:r>
    </w:p>
    <w:p w14:paraId="0BFF5FB0" w14:textId="77777777" w:rsidR="009102A7" w:rsidRPr="00576AF8" w:rsidRDefault="009102A7" w:rsidP="009102A7">
      <w:pPr>
        <w:numPr>
          <w:ilvl w:val="0"/>
          <w:numId w:val="365"/>
        </w:numPr>
        <w:spacing w:after="0" w:line="276" w:lineRule="auto"/>
        <w:ind w:left="1418" w:right="41" w:hanging="338"/>
      </w:pPr>
      <w:bookmarkStart w:id="1257" w:name="_Toc148955060"/>
      <w:bookmarkStart w:id="1258" w:name="_Toc158396535"/>
      <w:bookmarkStart w:id="1259" w:name="_Toc160012775"/>
      <w:r w:rsidRPr="00576AF8">
        <w:rPr>
          <w:sz w:val="22"/>
          <w:szCs w:val="22"/>
        </w:rPr>
        <w:t>Escaneo de Datos</w:t>
      </w:r>
      <w:bookmarkEnd w:id="1257"/>
      <w:bookmarkEnd w:id="1258"/>
      <w:bookmarkEnd w:id="1259"/>
      <w:r w:rsidRPr="00576AF8">
        <w:rPr>
          <w:sz w:val="22"/>
          <w:szCs w:val="22"/>
        </w:rPr>
        <w:t>: Numeral 2.1.1.1.1.3</w:t>
      </w:r>
    </w:p>
    <w:p w14:paraId="5F069669" w14:textId="77777777" w:rsidR="009102A7" w:rsidRPr="00576AF8" w:rsidRDefault="009102A7" w:rsidP="009102A7">
      <w:pPr>
        <w:numPr>
          <w:ilvl w:val="0"/>
          <w:numId w:val="365"/>
        </w:numPr>
        <w:spacing w:after="0" w:line="276" w:lineRule="auto"/>
        <w:ind w:left="1418" w:right="41" w:hanging="338"/>
      </w:pPr>
      <w:bookmarkStart w:id="1260" w:name="_Toc148955061"/>
      <w:bookmarkStart w:id="1261" w:name="_Toc158396536"/>
      <w:bookmarkStart w:id="1262" w:name="_Toc160012776"/>
      <w:r w:rsidRPr="00576AF8">
        <w:rPr>
          <w:sz w:val="22"/>
          <w:szCs w:val="22"/>
        </w:rPr>
        <w:t>Procesamiento de Datos</w:t>
      </w:r>
      <w:bookmarkEnd w:id="1260"/>
      <w:bookmarkEnd w:id="1261"/>
      <w:bookmarkEnd w:id="1262"/>
      <w:r w:rsidRPr="00576AF8">
        <w:rPr>
          <w:sz w:val="22"/>
          <w:szCs w:val="22"/>
        </w:rPr>
        <w:t>: Numeral 2.1.1.1.1.4</w:t>
      </w:r>
    </w:p>
    <w:p w14:paraId="1AC5322F" w14:textId="77777777" w:rsidR="009102A7" w:rsidRPr="00576AF8" w:rsidRDefault="009102A7" w:rsidP="009102A7">
      <w:pPr>
        <w:numPr>
          <w:ilvl w:val="0"/>
          <w:numId w:val="365"/>
        </w:numPr>
        <w:spacing w:after="0" w:line="276" w:lineRule="auto"/>
        <w:ind w:left="1418" w:right="41" w:hanging="338"/>
        <w:rPr>
          <w:sz w:val="22"/>
          <w:szCs w:val="22"/>
        </w:rPr>
      </w:pPr>
      <w:bookmarkStart w:id="1263" w:name="_Toc148955069"/>
      <w:bookmarkStart w:id="1264" w:name="_Toc158396544"/>
      <w:bookmarkStart w:id="1265" w:name="_Toc160012784"/>
      <w:r w:rsidRPr="00576AF8">
        <w:rPr>
          <w:sz w:val="22"/>
          <w:szCs w:val="22"/>
        </w:rPr>
        <w:t>Control Remoto</w:t>
      </w:r>
      <w:bookmarkEnd w:id="1263"/>
      <w:bookmarkEnd w:id="1264"/>
      <w:bookmarkEnd w:id="1265"/>
      <w:r w:rsidRPr="00576AF8">
        <w:rPr>
          <w:sz w:val="22"/>
          <w:szCs w:val="22"/>
        </w:rPr>
        <w:t>: Numeral 2.1.1.1.1.5</w:t>
      </w:r>
    </w:p>
    <w:p w14:paraId="1A22E81A"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Procesador de Alarmas y Eventos: Numeral 2.1.1.1.1.6</w:t>
      </w:r>
    </w:p>
    <w:p w14:paraId="482EFBAC"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Gestión de Alarmas: Numeral 2.1.1.1.1.7</w:t>
      </w:r>
    </w:p>
    <w:p w14:paraId="4D79C13D"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Procesamiento Avanzado de Alarmas: Numeral 2.1.1.1.1.8</w:t>
      </w:r>
    </w:p>
    <w:p w14:paraId="52F70D23" w14:textId="77777777" w:rsidR="009102A7" w:rsidRPr="00576AF8" w:rsidRDefault="009102A7" w:rsidP="009102A7">
      <w:pPr>
        <w:numPr>
          <w:ilvl w:val="0"/>
          <w:numId w:val="365"/>
        </w:numPr>
        <w:spacing w:after="0" w:line="276" w:lineRule="auto"/>
        <w:ind w:left="1418" w:right="41" w:hanging="338"/>
        <w:rPr>
          <w:sz w:val="22"/>
          <w:szCs w:val="22"/>
        </w:rPr>
      </w:pPr>
      <w:bookmarkStart w:id="1266" w:name="_Toc148955073"/>
      <w:bookmarkStart w:id="1267" w:name="_Toc158396548"/>
      <w:bookmarkStart w:id="1268" w:name="_Toc160012788"/>
      <w:r w:rsidRPr="00576AF8">
        <w:rPr>
          <w:sz w:val="22"/>
          <w:szCs w:val="22"/>
        </w:rPr>
        <w:t>Gestión de Eventos</w:t>
      </w:r>
      <w:bookmarkEnd w:id="1266"/>
      <w:bookmarkEnd w:id="1267"/>
      <w:bookmarkEnd w:id="1268"/>
      <w:r w:rsidRPr="00576AF8">
        <w:rPr>
          <w:sz w:val="22"/>
          <w:szCs w:val="22"/>
        </w:rPr>
        <w:t>: Numeral 2.1.1.1.1.9</w:t>
      </w:r>
    </w:p>
    <w:p w14:paraId="6ABFD898"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Interfaz de Usuario (IHM): Numeral 2.1.1.1.1.10</w:t>
      </w:r>
    </w:p>
    <w:p w14:paraId="5CE53A1A" w14:textId="77777777" w:rsidR="009102A7" w:rsidRPr="00576AF8" w:rsidRDefault="009102A7" w:rsidP="009102A7">
      <w:pPr>
        <w:numPr>
          <w:ilvl w:val="0"/>
          <w:numId w:val="365"/>
        </w:numPr>
        <w:spacing w:after="0" w:line="276" w:lineRule="auto"/>
        <w:ind w:left="1418" w:right="41" w:hanging="338"/>
        <w:rPr>
          <w:sz w:val="22"/>
          <w:szCs w:val="22"/>
        </w:rPr>
      </w:pPr>
      <w:bookmarkStart w:id="1269" w:name="_Toc148955094"/>
      <w:bookmarkStart w:id="1270" w:name="_Toc158396569"/>
      <w:bookmarkStart w:id="1271" w:name="_Toc160012809"/>
      <w:r w:rsidRPr="00576AF8">
        <w:rPr>
          <w:sz w:val="22"/>
          <w:szCs w:val="22"/>
        </w:rPr>
        <w:t>Sincronización Horaria</w:t>
      </w:r>
      <w:bookmarkEnd w:id="1269"/>
      <w:bookmarkEnd w:id="1270"/>
      <w:bookmarkEnd w:id="1271"/>
      <w:r w:rsidRPr="00576AF8">
        <w:rPr>
          <w:sz w:val="22"/>
          <w:szCs w:val="22"/>
        </w:rPr>
        <w:t>: Numeral 2.1.1.1.1.11</w:t>
      </w:r>
    </w:p>
    <w:p w14:paraId="60F2CD16"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Cálculos Avanzados en Tiempo Real: Numeral 2.1.1.1.1.12</w:t>
      </w:r>
    </w:p>
    <w:p w14:paraId="5DB2B66F" w14:textId="77777777" w:rsidR="009102A7" w:rsidRPr="00576AF8" w:rsidRDefault="009102A7" w:rsidP="009102A7">
      <w:pPr>
        <w:numPr>
          <w:ilvl w:val="0"/>
          <w:numId w:val="365"/>
        </w:numPr>
        <w:spacing w:after="0" w:line="276" w:lineRule="auto"/>
        <w:ind w:left="1418" w:right="41" w:hanging="338"/>
        <w:rPr>
          <w:sz w:val="22"/>
          <w:szCs w:val="22"/>
        </w:rPr>
      </w:pPr>
      <w:bookmarkStart w:id="1272" w:name="_Toc148955100"/>
      <w:bookmarkStart w:id="1273" w:name="_Toc158396575"/>
      <w:bookmarkStart w:id="1274" w:name="_Toc160012815"/>
      <w:r w:rsidRPr="00576AF8">
        <w:rPr>
          <w:sz w:val="22"/>
          <w:szCs w:val="22"/>
        </w:rPr>
        <w:t>Modo de Prueba</w:t>
      </w:r>
      <w:bookmarkEnd w:id="1272"/>
      <w:bookmarkEnd w:id="1273"/>
      <w:bookmarkEnd w:id="1274"/>
      <w:r w:rsidRPr="00576AF8">
        <w:rPr>
          <w:sz w:val="22"/>
          <w:szCs w:val="22"/>
        </w:rPr>
        <w:t>: Numeral 2.1.1.1.1.13</w:t>
      </w:r>
    </w:p>
    <w:p w14:paraId="2C0D9A51"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Datos de Fuentes Redundantes: Numeral 2.1.1.1.1.14</w:t>
      </w:r>
    </w:p>
    <w:p w14:paraId="20E5CEAC"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Detección de Puntos Congelados: Numeral 2.1.1.1.1.15</w:t>
      </w:r>
    </w:p>
    <w:p w14:paraId="2B366DA2"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Detección de Violación de Tasa de Cambio: Numeral 2.1.1.1.1.16</w:t>
      </w:r>
    </w:p>
    <w:p w14:paraId="6218AED3" w14:textId="77777777" w:rsidR="009102A7" w:rsidRPr="00576AF8" w:rsidRDefault="009102A7" w:rsidP="009102A7">
      <w:pPr>
        <w:numPr>
          <w:ilvl w:val="0"/>
          <w:numId w:val="365"/>
        </w:numPr>
        <w:spacing w:after="0" w:line="276" w:lineRule="auto"/>
        <w:ind w:left="1418" w:right="41" w:hanging="338"/>
        <w:rPr>
          <w:sz w:val="22"/>
          <w:szCs w:val="22"/>
        </w:rPr>
      </w:pPr>
      <w:bookmarkStart w:id="1275" w:name="_Toc148955108"/>
      <w:bookmarkStart w:id="1276" w:name="_Toc158396583"/>
      <w:bookmarkStart w:id="1277" w:name="_Toc160012823"/>
      <w:r w:rsidRPr="00576AF8">
        <w:rPr>
          <w:sz w:val="22"/>
          <w:szCs w:val="22"/>
        </w:rPr>
        <w:t>Integrado e Interactivo con Aplicaciones de Sistemas de Información Geográfica</w:t>
      </w:r>
      <w:bookmarkEnd w:id="1275"/>
      <w:bookmarkEnd w:id="1276"/>
      <w:bookmarkEnd w:id="1277"/>
      <w:r w:rsidRPr="00576AF8">
        <w:rPr>
          <w:sz w:val="22"/>
          <w:szCs w:val="22"/>
        </w:rPr>
        <w:t>: Numeral 2.1.1.1.1.17</w:t>
      </w:r>
    </w:p>
    <w:p w14:paraId="67F7BFB9"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Deslastre y Recuperación de Carga: Numeral 2.1.1.1.1.18</w:t>
      </w:r>
    </w:p>
    <w:p w14:paraId="26830BB4"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Reducción de Generación (Curtailment): Numeral 2.1.1.1.1.19</w:t>
      </w:r>
    </w:p>
    <w:p w14:paraId="0C64B6A9"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Control Secuencial de Maniobras: Numeral 2.1.1.1.1.20</w:t>
      </w:r>
    </w:p>
    <w:p w14:paraId="0EC022B3" w14:textId="77777777" w:rsidR="009102A7" w:rsidRPr="00576AF8" w:rsidRDefault="009102A7" w:rsidP="009102A7">
      <w:pPr>
        <w:numPr>
          <w:ilvl w:val="0"/>
          <w:numId w:val="365"/>
        </w:numPr>
        <w:spacing w:after="0" w:line="276" w:lineRule="auto"/>
        <w:ind w:left="1418" w:right="41" w:hanging="338"/>
        <w:rPr>
          <w:sz w:val="22"/>
          <w:szCs w:val="22"/>
        </w:rPr>
      </w:pPr>
      <w:bookmarkStart w:id="1278" w:name="_Toc148955112"/>
      <w:bookmarkStart w:id="1279" w:name="_Toc158396587"/>
      <w:bookmarkStart w:id="1280" w:name="_Toc160012827"/>
      <w:r w:rsidRPr="00576AF8">
        <w:rPr>
          <w:sz w:val="22"/>
          <w:szCs w:val="22"/>
        </w:rPr>
        <w:t>Monitor de Errores de Medición de Energía</w:t>
      </w:r>
      <w:bookmarkEnd w:id="1278"/>
      <w:bookmarkEnd w:id="1279"/>
      <w:bookmarkEnd w:id="1280"/>
      <w:r w:rsidRPr="00576AF8">
        <w:rPr>
          <w:sz w:val="22"/>
          <w:szCs w:val="22"/>
        </w:rPr>
        <w:t>: Numeral 2.1.1.1.1.21</w:t>
      </w:r>
    </w:p>
    <w:p w14:paraId="7BFFF46E"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Herramientas de Generación de Reportes: Numeral 2.1.1.1.1.22</w:t>
      </w:r>
    </w:p>
    <w:p w14:paraId="25512423"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Integración con Herramientas de Ofimática: Numeral 2.1.1.1.1.23</w:t>
      </w:r>
    </w:p>
    <w:p w14:paraId="34E41614" w14:textId="77777777" w:rsidR="009102A7" w:rsidRPr="00576AF8" w:rsidRDefault="009102A7" w:rsidP="009102A7">
      <w:pPr>
        <w:numPr>
          <w:ilvl w:val="0"/>
          <w:numId w:val="365"/>
        </w:numPr>
        <w:spacing w:after="0" w:line="276" w:lineRule="auto"/>
        <w:ind w:left="1418" w:right="41" w:hanging="338"/>
      </w:pPr>
      <w:r w:rsidRPr="00576AF8">
        <w:rPr>
          <w:sz w:val="22"/>
          <w:szCs w:val="22"/>
        </w:rPr>
        <w:lastRenderedPageBreak/>
        <w:t>Front Ends de Comunicaciones: Numeral 2.1.1.1.2.3</w:t>
      </w:r>
    </w:p>
    <w:p w14:paraId="2D2FBC0F" w14:textId="77777777" w:rsidR="009102A7" w:rsidRPr="00576AF8" w:rsidRDefault="009102A7" w:rsidP="009102A7">
      <w:pPr>
        <w:numPr>
          <w:ilvl w:val="0"/>
          <w:numId w:val="365"/>
        </w:numPr>
        <w:spacing w:after="0" w:line="276" w:lineRule="auto"/>
        <w:ind w:left="1418" w:right="41" w:hanging="338"/>
      </w:pPr>
      <w:r w:rsidRPr="00576AF8">
        <w:rPr>
          <w:sz w:val="22"/>
          <w:szCs w:val="22"/>
        </w:rPr>
        <w:t>Gateways: Numeral 2.1.1.1.2.4</w:t>
      </w:r>
    </w:p>
    <w:p w14:paraId="1B4E472B" w14:textId="77777777" w:rsidR="009102A7" w:rsidRPr="00576AF8" w:rsidRDefault="009102A7" w:rsidP="009102A7">
      <w:pPr>
        <w:numPr>
          <w:ilvl w:val="0"/>
          <w:numId w:val="365"/>
        </w:numPr>
        <w:spacing w:after="0" w:line="276" w:lineRule="auto"/>
        <w:ind w:left="1418" w:right="41" w:hanging="338"/>
      </w:pPr>
      <w:bookmarkStart w:id="1281" w:name="_Toc148955120"/>
      <w:bookmarkStart w:id="1282" w:name="_Toc158396595"/>
      <w:bookmarkStart w:id="1283" w:name="_Toc160012835"/>
      <w:r w:rsidRPr="00576AF8">
        <w:rPr>
          <w:sz w:val="22"/>
          <w:szCs w:val="22"/>
        </w:rPr>
        <w:t>Herramientas de Análisis y Registro</w:t>
      </w:r>
      <w:bookmarkEnd w:id="1281"/>
      <w:bookmarkEnd w:id="1282"/>
      <w:bookmarkEnd w:id="1283"/>
      <w:r w:rsidRPr="00576AF8">
        <w:rPr>
          <w:sz w:val="22"/>
          <w:szCs w:val="22"/>
        </w:rPr>
        <w:t>: Numeral 2.1.1.1.2.5</w:t>
      </w:r>
    </w:p>
    <w:p w14:paraId="250D0D8C" w14:textId="77777777" w:rsidR="009102A7" w:rsidRPr="00576AF8" w:rsidRDefault="009102A7" w:rsidP="009102A7">
      <w:pPr>
        <w:numPr>
          <w:ilvl w:val="0"/>
          <w:numId w:val="365"/>
        </w:numPr>
        <w:spacing w:after="0" w:line="276" w:lineRule="auto"/>
        <w:ind w:left="1418" w:right="41" w:hanging="338"/>
      </w:pPr>
      <w:bookmarkStart w:id="1284" w:name="_Ref148002439"/>
      <w:bookmarkStart w:id="1285" w:name="_Toc148955121"/>
      <w:bookmarkStart w:id="1286" w:name="_Toc158396596"/>
      <w:bookmarkStart w:id="1287" w:name="_Toc160012836"/>
      <w:r w:rsidRPr="00576AF8">
        <w:rPr>
          <w:sz w:val="22"/>
          <w:szCs w:val="22"/>
        </w:rPr>
        <w:t>Protocolos de Comunicaciones</w:t>
      </w:r>
      <w:bookmarkEnd w:id="1284"/>
      <w:bookmarkEnd w:id="1285"/>
      <w:bookmarkEnd w:id="1286"/>
      <w:bookmarkEnd w:id="1287"/>
      <w:r w:rsidRPr="00576AF8">
        <w:rPr>
          <w:sz w:val="22"/>
          <w:szCs w:val="22"/>
        </w:rPr>
        <w:t>: Numeral 2.1.1.1.2.6</w:t>
      </w:r>
    </w:p>
    <w:p w14:paraId="00CD6DEF" w14:textId="77777777" w:rsidR="009102A7" w:rsidRPr="00576AF8" w:rsidRDefault="009102A7" w:rsidP="009102A7">
      <w:pPr>
        <w:numPr>
          <w:ilvl w:val="0"/>
          <w:numId w:val="365"/>
        </w:numPr>
        <w:spacing w:after="0" w:line="276" w:lineRule="auto"/>
        <w:ind w:left="1418" w:right="41" w:hanging="338"/>
        <w:rPr>
          <w:sz w:val="22"/>
          <w:szCs w:val="22"/>
        </w:rPr>
      </w:pPr>
      <w:bookmarkStart w:id="1288" w:name="_Toc148955125"/>
      <w:bookmarkStart w:id="1289" w:name="_Toc158396600"/>
      <w:bookmarkStart w:id="1290" w:name="_Toc160012839"/>
      <w:r w:rsidRPr="00576AF8">
        <w:rPr>
          <w:sz w:val="22"/>
          <w:szCs w:val="22"/>
        </w:rPr>
        <w:t>Comunicaciones Seguras</w:t>
      </w:r>
      <w:bookmarkEnd w:id="1288"/>
      <w:bookmarkEnd w:id="1289"/>
      <w:bookmarkEnd w:id="1290"/>
      <w:r w:rsidRPr="00576AF8">
        <w:rPr>
          <w:sz w:val="22"/>
          <w:szCs w:val="22"/>
        </w:rPr>
        <w:t>: Numeral 2.1.1.1.2.7</w:t>
      </w:r>
    </w:p>
    <w:p w14:paraId="63FF1488"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t>Interfaces con sistemas externos: Numeral 2.1.1.1.3</w:t>
      </w:r>
    </w:p>
    <w:p w14:paraId="4BC393C7" w14:textId="77777777" w:rsidR="009102A7" w:rsidRPr="00576AF8" w:rsidRDefault="009102A7" w:rsidP="009102A7">
      <w:pPr>
        <w:spacing w:after="0"/>
        <w:ind w:right="41"/>
        <w:rPr>
          <w:sz w:val="22"/>
          <w:szCs w:val="22"/>
        </w:rPr>
      </w:pPr>
    </w:p>
    <w:p w14:paraId="29090D97" w14:textId="77777777" w:rsidR="009102A7" w:rsidRPr="00576AF8" w:rsidRDefault="009102A7" w:rsidP="009102A7">
      <w:pPr>
        <w:spacing w:after="0"/>
        <w:ind w:right="41"/>
        <w:rPr>
          <w:sz w:val="22"/>
          <w:szCs w:val="22"/>
        </w:rPr>
      </w:pPr>
    </w:p>
    <w:p w14:paraId="5B5B1A98" w14:textId="77777777" w:rsidR="009102A7" w:rsidRPr="00576AF8" w:rsidRDefault="009102A7" w:rsidP="009102A7">
      <w:pPr>
        <w:spacing w:after="0"/>
        <w:ind w:left="1440" w:right="41" w:hanging="720"/>
        <w:rPr>
          <w:b/>
          <w:bCs/>
          <w:sz w:val="22"/>
          <w:szCs w:val="22"/>
        </w:rPr>
      </w:pPr>
      <w:r w:rsidRPr="00576AF8">
        <w:rPr>
          <w:b/>
          <w:bCs/>
          <w:sz w:val="22"/>
          <w:szCs w:val="22"/>
        </w:rPr>
        <w:t>Aplicaciones Operacionales de Análisis de Red Eléctrica</w:t>
      </w:r>
    </w:p>
    <w:p w14:paraId="511810A9" w14:textId="77777777" w:rsidR="009102A7" w:rsidRPr="00576AF8" w:rsidRDefault="009102A7" w:rsidP="009102A7">
      <w:pPr>
        <w:spacing w:after="0"/>
        <w:ind w:left="1440" w:right="41" w:hanging="720"/>
        <w:rPr>
          <w:b/>
          <w:bCs/>
          <w:color w:val="4472C4"/>
          <w:sz w:val="22"/>
          <w:szCs w:val="22"/>
        </w:rPr>
      </w:pPr>
    </w:p>
    <w:p w14:paraId="2343FC43" w14:textId="77777777" w:rsidR="009102A7" w:rsidRPr="00576AF8" w:rsidRDefault="009102A7" w:rsidP="009102A7">
      <w:pPr>
        <w:numPr>
          <w:ilvl w:val="0"/>
          <w:numId w:val="365"/>
        </w:numPr>
        <w:spacing w:after="0" w:line="276" w:lineRule="auto"/>
        <w:ind w:left="1418" w:right="41" w:hanging="338"/>
        <w:rPr>
          <w:sz w:val="22"/>
          <w:szCs w:val="22"/>
        </w:rPr>
      </w:pPr>
      <w:r w:rsidRPr="00576AF8">
        <w:rPr>
          <w:sz w:val="22"/>
          <w:szCs w:val="22"/>
        </w:rPr>
        <w:fldChar w:fldCharType="begin"/>
      </w:r>
      <w:r w:rsidRPr="00576AF8">
        <w:rPr>
          <w:sz w:val="22"/>
          <w:szCs w:val="22"/>
        </w:rPr>
        <w:instrText xml:space="preserve"> HYPERLINK  \l "A1" </w:instrText>
      </w:r>
      <w:r w:rsidRPr="00576AF8">
        <w:rPr>
          <w:sz w:val="22"/>
          <w:szCs w:val="22"/>
        </w:rPr>
        <w:fldChar w:fldCharType="separate"/>
      </w:r>
      <w:r w:rsidRPr="00576AF8">
        <w:rPr>
          <w:sz w:val="22"/>
          <w:szCs w:val="22"/>
        </w:rPr>
        <w:t>Recuperación de Valores de Estados y Analógicos (Status and Analog Retrieval and Telemetry Snapshot): Numeral 2.1.1.1.4.1</w:t>
      </w:r>
    </w:p>
    <w:p w14:paraId="02315A27" w14:textId="77777777" w:rsidR="009102A7" w:rsidRPr="00576AF8" w:rsidRDefault="009102A7" w:rsidP="009102A7">
      <w:pPr>
        <w:numPr>
          <w:ilvl w:val="0"/>
          <w:numId w:val="365"/>
        </w:numPr>
        <w:spacing w:after="0" w:line="276" w:lineRule="auto"/>
        <w:ind w:right="41"/>
        <w:rPr>
          <w:bCs/>
          <w:sz w:val="22"/>
          <w:szCs w:val="22"/>
        </w:rPr>
      </w:pPr>
      <w:r w:rsidRPr="00576AF8">
        <w:rPr>
          <w:sz w:val="22"/>
          <w:szCs w:val="22"/>
        </w:rPr>
        <w:fldChar w:fldCharType="end"/>
      </w:r>
      <w:r w:rsidRPr="00576AF8">
        <w:rPr>
          <w:bCs/>
          <w:sz w:val="22"/>
          <w:szCs w:val="22"/>
          <w:lang w:val="es-EC"/>
        </w:rPr>
        <w:fldChar w:fldCharType="begin"/>
      </w:r>
      <w:r w:rsidRPr="00576AF8">
        <w:rPr>
          <w:bCs/>
          <w:sz w:val="22"/>
          <w:szCs w:val="22"/>
          <w:lang w:val="es-EC"/>
        </w:rPr>
        <w:instrText xml:space="preserve"> HYPERLINK  \l "A2" </w:instrText>
      </w:r>
      <w:r w:rsidRPr="00576AF8">
        <w:rPr>
          <w:bCs/>
          <w:sz w:val="22"/>
          <w:szCs w:val="22"/>
          <w:lang w:val="es-EC"/>
        </w:rPr>
        <w:fldChar w:fldCharType="separate"/>
      </w:r>
      <w:r w:rsidRPr="00576AF8">
        <w:rPr>
          <w:bCs/>
          <w:sz w:val="22"/>
          <w:szCs w:val="22"/>
          <w:lang w:val="es-EC"/>
        </w:rPr>
        <w:t xml:space="preserve">Gestor de Límites: </w:t>
      </w:r>
      <w:r w:rsidRPr="00576AF8">
        <w:rPr>
          <w:sz w:val="22"/>
          <w:szCs w:val="22"/>
        </w:rPr>
        <w:t>Numeral 2.1.1.1.4.2</w:t>
      </w:r>
    </w:p>
    <w:p w14:paraId="3A5C4C68"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lang w:val="es-EC"/>
        </w:rPr>
        <w:fldChar w:fldCharType="end"/>
      </w:r>
      <w:r w:rsidRPr="00576AF8">
        <w:rPr>
          <w:bCs/>
          <w:sz w:val="22"/>
          <w:szCs w:val="22"/>
          <w:lang w:val="es-EC"/>
        </w:rPr>
        <w:fldChar w:fldCharType="begin"/>
      </w:r>
      <w:r w:rsidRPr="00576AF8">
        <w:rPr>
          <w:bCs/>
          <w:sz w:val="22"/>
          <w:szCs w:val="22"/>
          <w:lang w:val="es-EC"/>
        </w:rPr>
        <w:instrText xml:space="preserve"> HYPERLINK  \l "A3" </w:instrText>
      </w:r>
      <w:r w:rsidRPr="00576AF8">
        <w:rPr>
          <w:bCs/>
          <w:sz w:val="22"/>
          <w:szCs w:val="22"/>
          <w:lang w:val="es-EC"/>
        </w:rPr>
        <w:fldChar w:fldCharType="separate"/>
      </w:r>
      <w:r w:rsidRPr="00576AF8">
        <w:rPr>
          <w:bCs/>
          <w:sz w:val="22"/>
          <w:szCs w:val="22"/>
          <w:lang w:val="es-EC"/>
        </w:rPr>
        <w:t>Configurador de Topología de la Red (Network Model Builder): Numeral 2.1.1.1.4.3</w:t>
      </w:r>
    </w:p>
    <w:p w14:paraId="01EBFB24"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lang w:val="es-EC"/>
        </w:rPr>
        <w:fldChar w:fldCharType="end"/>
      </w:r>
      <w:r w:rsidRPr="00576AF8">
        <w:rPr>
          <w:bCs/>
          <w:sz w:val="22"/>
          <w:szCs w:val="22"/>
          <w:lang w:val="es-EC"/>
        </w:rPr>
        <w:t>Configurador de Datos de Carga, Intercambio y de Regulación de Voltaje (Bus Scheduler): Numeral 2.1.1.1.4.4</w:t>
      </w:r>
    </w:p>
    <w:p w14:paraId="550E57E3" w14:textId="77777777" w:rsidR="009102A7" w:rsidRPr="00576AF8" w:rsidRDefault="009102A7" w:rsidP="009102A7">
      <w:pPr>
        <w:numPr>
          <w:ilvl w:val="0"/>
          <w:numId w:val="365"/>
        </w:numPr>
        <w:spacing w:after="0" w:line="276" w:lineRule="auto"/>
        <w:ind w:left="1418" w:right="41" w:hanging="338"/>
        <w:rPr>
          <w:bCs/>
          <w:sz w:val="22"/>
          <w:szCs w:val="22"/>
        </w:rPr>
      </w:pPr>
      <w:r w:rsidRPr="00576AF8">
        <w:rPr>
          <w:sz w:val="22"/>
          <w:szCs w:val="22"/>
          <w:lang w:val="es-EC"/>
        </w:rPr>
        <w:t xml:space="preserve">Detector de Topología Errónea (Bad Topology Detection): </w:t>
      </w:r>
      <w:r w:rsidRPr="00576AF8">
        <w:rPr>
          <w:bCs/>
          <w:sz w:val="22"/>
          <w:szCs w:val="22"/>
          <w:lang w:val="es-EC"/>
        </w:rPr>
        <w:t>Numeral 2.1.1.1.4.5</w:t>
      </w:r>
      <w:r w:rsidRPr="00576AF8">
        <w:rPr>
          <w:sz w:val="22"/>
          <w:szCs w:val="22"/>
          <w:lang w:val="es-EC"/>
        </w:rPr>
        <w:t xml:space="preserve"> </w:t>
      </w:r>
    </w:p>
    <w:p w14:paraId="224E8812"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Estimador de Estado (State Estimator SE): </w:t>
      </w:r>
      <w:r w:rsidRPr="00576AF8">
        <w:rPr>
          <w:bCs/>
          <w:sz w:val="22"/>
          <w:szCs w:val="22"/>
          <w:lang w:val="es-EC"/>
        </w:rPr>
        <w:t>Numeral 2.1.1.1.4.6</w:t>
      </w:r>
      <w:r w:rsidRPr="00576AF8">
        <w:rPr>
          <w:bCs/>
          <w:sz w:val="22"/>
          <w:szCs w:val="22"/>
        </w:rPr>
        <w:tab/>
      </w:r>
    </w:p>
    <w:p w14:paraId="39C6D489"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Análisis de Contingencias (Contingency Analysis CA): </w:t>
      </w:r>
      <w:r w:rsidRPr="00576AF8">
        <w:rPr>
          <w:bCs/>
          <w:sz w:val="22"/>
          <w:szCs w:val="22"/>
          <w:lang w:val="es-EC"/>
        </w:rPr>
        <w:t>Numeral 2.1.1.1.4.7</w:t>
      </w:r>
    </w:p>
    <w:p w14:paraId="1BD455E0"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Flujo de Potencia del Operador (Dispatcher Power Flow DPF): </w:t>
      </w:r>
      <w:r w:rsidRPr="00576AF8">
        <w:rPr>
          <w:bCs/>
          <w:sz w:val="22"/>
          <w:szCs w:val="22"/>
          <w:lang w:val="es-EC"/>
        </w:rPr>
        <w:t>Numeral 2.1.1.1.4.8</w:t>
      </w:r>
    </w:p>
    <w:p w14:paraId="3BEF3E81"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Flujo de Potencia Óptimo (Optimal Power Flow OPF): </w:t>
      </w:r>
      <w:r w:rsidRPr="00576AF8">
        <w:rPr>
          <w:bCs/>
          <w:sz w:val="22"/>
          <w:szCs w:val="22"/>
          <w:lang w:val="es-EC"/>
        </w:rPr>
        <w:t>Numeral 2.1.1.1.4.9</w:t>
      </w:r>
    </w:p>
    <w:p w14:paraId="643DA351"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Actualización de los Parámetros de Red (Adapting Parameters): </w:t>
      </w:r>
      <w:r w:rsidRPr="00576AF8">
        <w:rPr>
          <w:bCs/>
          <w:sz w:val="22"/>
          <w:szCs w:val="22"/>
          <w:lang w:val="es-EC"/>
        </w:rPr>
        <w:t>Numeral 2.1.1.1.4.10</w:t>
      </w:r>
    </w:p>
    <w:p w14:paraId="2BAF4D11"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Reporte de Desconexiones de Carga: </w:t>
      </w:r>
      <w:r w:rsidRPr="00576AF8">
        <w:rPr>
          <w:bCs/>
          <w:sz w:val="22"/>
          <w:szCs w:val="22"/>
          <w:lang w:val="es-EC"/>
        </w:rPr>
        <w:t>Numeral 2.1.1.1.4.11</w:t>
      </w:r>
    </w:p>
    <w:p w14:paraId="7F2C5B91" w14:textId="77777777" w:rsidR="009102A7" w:rsidRPr="00576AF8" w:rsidRDefault="009102A7" w:rsidP="009102A7">
      <w:pPr>
        <w:numPr>
          <w:ilvl w:val="0"/>
          <w:numId w:val="365"/>
        </w:numPr>
        <w:spacing w:after="0" w:line="276" w:lineRule="auto"/>
        <w:ind w:right="41"/>
        <w:rPr>
          <w:bCs/>
          <w:sz w:val="22"/>
          <w:szCs w:val="22"/>
          <w:lang w:val="en-US"/>
        </w:rPr>
      </w:pPr>
      <w:r w:rsidRPr="00576AF8">
        <w:rPr>
          <w:bCs/>
          <w:sz w:val="22"/>
          <w:szCs w:val="22"/>
          <w:lang w:val="en-US"/>
        </w:rPr>
        <w:t>Validación de Maniobras (Interlock Builder, Power Flow and Security Analysis): Numeral 2.1.1.1.4.12</w:t>
      </w:r>
    </w:p>
    <w:p w14:paraId="63C1B412"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Sensibilidad de la Red (Network Sensitivity): </w:t>
      </w:r>
      <w:r w:rsidRPr="00576AF8">
        <w:rPr>
          <w:bCs/>
          <w:sz w:val="22"/>
          <w:szCs w:val="22"/>
          <w:lang w:val="es-EC"/>
        </w:rPr>
        <w:t>Numeral 2.1.1.1.4.13</w:t>
      </w:r>
    </w:p>
    <w:p w14:paraId="1926140C"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Programador de Salida de Servicio de Equipos (Outage Scheduler OUS): </w:t>
      </w:r>
      <w:r w:rsidRPr="00576AF8">
        <w:rPr>
          <w:bCs/>
          <w:sz w:val="22"/>
          <w:szCs w:val="22"/>
          <w:lang w:val="es-EC"/>
        </w:rPr>
        <w:t>Numeral 2.1.1.1.4.14</w:t>
      </w:r>
    </w:p>
    <w:p w14:paraId="64DBCD59" w14:textId="77777777" w:rsidR="009102A7" w:rsidRPr="00576AF8" w:rsidRDefault="009102A7" w:rsidP="009102A7">
      <w:pPr>
        <w:numPr>
          <w:ilvl w:val="0"/>
          <w:numId w:val="365"/>
        </w:numPr>
        <w:spacing w:after="0" w:line="276" w:lineRule="auto"/>
        <w:ind w:right="41"/>
        <w:rPr>
          <w:bCs/>
          <w:sz w:val="22"/>
          <w:szCs w:val="22"/>
        </w:rPr>
      </w:pPr>
      <w:r w:rsidRPr="00576AF8">
        <w:rPr>
          <w:bCs/>
          <w:sz w:val="22"/>
          <w:szCs w:val="22"/>
        </w:rPr>
        <w:t xml:space="preserve">Análisis de Estabilidad de Voltaje en Estado Estacionario - (Steady State Voltage Stability Assessment VSA): </w:t>
      </w:r>
      <w:r w:rsidRPr="00576AF8">
        <w:rPr>
          <w:bCs/>
          <w:sz w:val="22"/>
          <w:szCs w:val="22"/>
          <w:lang w:val="es-EC"/>
        </w:rPr>
        <w:t>Numeral 2.1.1.1.4.15</w:t>
      </w:r>
    </w:p>
    <w:p w14:paraId="5F61C9FD" w14:textId="77777777" w:rsidR="009102A7" w:rsidRPr="00576AF8" w:rsidRDefault="009102A7" w:rsidP="009102A7">
      <w:pPr>
        <w:spacing w:after="0" w:line="276" w:lineRule="auto"/>
        <w:ind w:left="1440" w:right="41"/>
        <w:rPr>
          <w:bCs/>
          <w:sz w:val="22"/>
          <w:szCs w:val="22"/>
        </w:rPr>
      </w:pPr>
    </w:p>
    <w:p w14:paraId="458ED603" w14:textId="77777777" w:rsidR="009102A7" w:rsidRPr="00576AF8" w:rsidRDefault="009102A7" w:rsidP="009102A7">
      <w:pPr>
        <w:spacing w:after="0"/>
        <w:ind w:left="1440" w:right="41" w:hanging="720"/>
        <w:rPr>
          <w:b/>
          <w:sz w:val="22"/>
          <w:szCs w:val="22"/>
        </w:rPr>
      </w:pPr>
      <w:r w:rsidRPr="00576AF8">
        <w:rPr>
          <w:b/>
          <w:sz w:val="22"/>
          <w:szCs w:val="22"/>
        </w:rPr>
        <w:t>Aplicaciones Operacionales de Producción</w:t>
      </w:r>
    </w:p>
    <w:p w14:paraId="13B50889" w14:textId="77777777" w:rsidR="009102A7" w:rsidRPr="00576AF8" w:rsidRDefault="009102A7" w:rsidP="009102A7">
      <w:pPr>
        <w:spacing w:after="0"/>
        <w:ind w:left="1440" w:right="41" w:hanging="720"/>
        <w:rPr>
          <w:color w:val="4472C4"/>
          <w:sz w:val="22"/>
          <w:szCs w:val="22"/>
        </w:rPr>
      </w:pPr>
    </w:p>
    <w:p w14:paraId="23152246" w14:textId="77777777" w:rsidR="009102A7" w:rsidRPr="00576AF8" w:rsidRDefault="009102A7" w:rsidP="009102A7">
      <w:pPr>
        <w:numPr>
          <w:ilvl w:val="0"/>
          <w:numId w:val="365"/>
        </w:numPr>
        <w:spacing w:after="0" w:line="276" w:lineRule="auto"/>
        <w:ind w:left="1418" w:right="41" w:hanging="338"/>
      </w:pPr>
      <w:r w:rsidRPr="00576AF8">
        <w:rPr>
          <w:sz w:val="22"/>
          <w:szCs w:val="22"/>
        </w:rPr>
        <w:t xml:space="preserve">Control Automático de Generación AGC: </w:t>
      </w:r>
      <w:r w:rsidRPr="00576AF8">
        <w:rPr>
          <w:bCs/>
          <w:sz w:val="22"/>
          <w:szCs w:val="22"/>
          <w:lang w:val="es-EC"/>
        </w:rPr>
        <w:t>Numeral 2.1.1.1.5.1</w:t>
      </w:r>
    </w:p>
    <w:p w14:paraId="7CD09B3D" w14:textId="77777777" w:rsidR="009102A7" w:rsidRPr="00576AF8" w:rsidRDefault="009102A7" w:rsidP="009102A7">
      <w:pPr>
        <w:numPr>
          <w:ilvl w:val="0"/>
          <w:numId w:val="365"/>
        </w:numPr>
        <w:spacing w:after="0" w:line="276" w:lineRule="auto"/>
        <w:ind w:left="1418" w:right="41" w:hanging="338"/>
      </w:pPr>
      <w:r w:rsidRPr="00576AF8">
        <w:rPr>
          <w:sz w:val="22"/>
          <w:szCs w:val="22"/>
        </w:rPr>
        <w:t xml:space="preserve">Simulador de Control Automático de Generación: </w:t>
      </w:r>
      <w:r w:rsidRPr="00576AF8">
        <w:rPr>
          <w:bCs/>
          <w:sz w:val="22"/>
          <w:szCs w:val="22"/>
          <w:lang w:val="es-EC"/>
        </w:rPr>
        <w:t>Numeral 2.1.1.1.5.1.3</w:t>
      </w:r>
      <w:r w:rsidRPr="00576AF8">
        <w:t xml:space="preserve"> </w:t>
      </w:r>
    </w:p>
    <w:p w14:paraId="69E05BC2" w14:textId="77777777" w:rsidR="009102A7" w:rsidRPr="00576AF8" w:rsidRDefault="009102A7" w:rsidP="009102A7">
      <w:pPr>
        <w:numPr>
          <w:ilvl w:val="0"/>
          <w:numId w:val="365"/>
        </w:numPr>
        <w:spacing w:after="0" w:line="276" w:lineRule="auto"/>
        <w:ind w:left="1418" w:right="41" w:hanging="338"/>
        <w:rPr>
          <w:lang w:val="pt-BR"/>
        </w:rPr>
      </w:pPr>
      <w:r w:rsidRPr="00576AF8">
        <w:rPr>
          <w:sz w:val="22"/>
          <w:lang w:val="pt-BR"/>
        </w:rPr>
        <w:t>Monitor de Reserva Reactiva (RRM): Numeral 2.1.1.1.5.2</w:t>
      </w:r>
    </w:p>
    <w:p w14:paraId="5F2D1131" w14:textId="77777777" w:rsidR="009102A7" w:rsidRPr="00576AF8" w:rsidRDefault="009102A7" w:rsidP="009102A7">
      <w:pPr>
        <w:numPr>
          <w:ilvl w:val="0"/>
          <w:numId w:val="365"/>
        </w:numPr>
        <w:spacing w:after="0" w:line="276" w:lineRule="auto"/>
        <w:ind w:left="1418" w:right="41" w:hanging="338"/>
      </w:pPr>
      <w:r w:rsidRPr="00576AF8">
        <w:rPr>
          <w:sz w:val="22"/>
          <w:szCs w:val="22"/>
        </w:rPr>
        <w:t xml:space="preserve">Cálculo de Reservas: </w:t>
      </w:r>
      <w:r w:rsidRPr="00576AF8">
        <w:rPr>
          <w:bCs/>
          <w:sz w:val="22"/>
          <w:szCs w:val="22"/>
          <w:lang w:val="es-EC"/>
        </w:rPr>
        <w:t>Numeral 2.1.1.1.5.3</w:t>
      </w:r>
    </w:p>
    <w:p w14:paraId="5EF97E55" w14:textId="77777777" w:rsidR="009102A7" w:rsidRPr="00576AF8" w:rsidRDefault="009102A7" w:rsidP="009102A7">
      <w:pPr>
        <w:spacing w:after="0"/>
        <w:ind w:right="41"/>
        <w:rPr>
          <w:bCs/>
          <w:sz w:val="22"/>
          <w:szCs w:val="22"/>
        </w:rPr>
      </w:pPr>
    </w:p>
    <w:p w14:paraId="2470748C" w14:textId="77777777" w:rsidR="009102A7" w:rsidRPr="00576AF8" w:rsidRDefault="009102A7" w:rsidP="009102A7">
      <w:pPr>
        <w:spacing w:after="0"/>
        <w:ind w:left="1440" w:right="41" w:hanging="720"/>
        <w:rPr>
          <w:b/>
          <w:bCs/>
          <w:sz w:val="22"/>
          <w:szCs w:val="22"/>
        </w:rPr>
      </w:pPr>
      <w:r w:rsidRPr="00576AF8">
        <w:rPr>
          <w:b/>
          <w:sz w:val="22"/>
          <w:szCs w:val="22"/>
        </w:rPr>
        <w:t xml:space="preserve">Aplicaciones Operacionales de </w:t>
      </w:r>
      <w:r w:rsidRPr="00576AF8">
        <w:rPr>
          <w:b/>
          <w:bCs/>
          <w:sz w:val="22"/>
          <w:szCs w:val="22"/>
        </w:rPr>
        <w:t>Pronóstico</w:t>
      </w:r>
    </w:p>
    <w:p w14:paraId="0933E765" w14:textId="77777777" w:rsidR="009102A7" w:rsidRPr="00576AF8" w:rsidRDefault="009102A7" w:rsidP="009102A7">
      <w:pPr>
        <w:spacing w:after="0"/>
        <w:ind w:left="1440" w:right="41" w:hanging="720"/>
        <w:rPr>
          <w:bCs/>
          <w:sz w:val="22"/>
          <w:szCs w:val="22"/>
        </w:rPr>
      </w:pPr>
    </w:p>
    <w:p w14:paraId="2740BA93" w14:textId="77777777" w:rsidR="009102A7" w:rsidRPr="00576AF8" w:rsidRDefault="009102A7" w:rsidP="009102A7">
      <w:pPr>
        <w:numPr>
          <w:ilvl w:val="0"/>
          <w:numId w:val="365"/>
        </w:numPr>
        <w:spacing w:after="0" w:line="276" w:lineRule="auto"/>
        <w:ind w:left="1418" w:right="41" w:hanging="338"/>
      </w:pPr>
      <w:r w:rsidRPr="00576AF8">
        <w:rPr>
          <w:sz w:val="22"/>
          <w:szCs w:val="22"/>
        </w:rPr>
        <w:t xml:space="preserve">Pronósticos de Demanda de Corto Plazo: </w:t>
      </w:r>
      <w:r w:rsidRPr="00576AF8">
        <w:rPr>
          <w:bCs/>
          <w:sz w:val="22"/>
          <w:szCs w:val="22"/>
          <w:lang w:val="es-EC"/>
        </w:rPr>
        <w:t>Numeral 2.1.1.1.6.1</w:t>
      </w:r>
    </w:p>
    <w:p w14:paraId="79426BAC" w14:textId="77777777" w:rsidR="009102A7" w:rsidRPr="00576AF8" w:rsidRDefault="009102A7" w:rsidP="009102A7">
      <w:pPr>
        <w:numPr>
          <w:ilvl w:val="0"/>
          <w:numId w:val="365"/>
        </w:numPr>
        <w:spacing w:after="0" w:line="276" w:lineRule="auto"/>
        <w:ind w:left="1418" w:right="41" w:hanging="338"/>
      </w:pPr>
      <w:r w:rsidRPr="00576AF8">
        <w:rPr>
          <w:sz w:val="22"/>
          <w:szCs w:val="22"/>
        </w:rPr>
        <w:t xml:space="preserve">Pronóstico a Corto y Mediano Plazo de la Generación de Energía Solar Fotovoltaica (PV) (OPCIONAL): </w:t>
      </w:r>
      <w:r w:rsidRPr="00576AF8">
        <w:rPr>
          <w:bCs/>
          <w:sz w:val="22"/>
          <w:szCs w:val="22"/>
          <w:lang w:val="es-EC"/>
        </w:rPr>
        <w:t>Numeral 2.1.1.1.6.2</w:t>
      </w:r>
    </w:p>
    <w:p w14:paraId="04299043" w14:textId="77777777" w:rsidR="009102A7" w:rsidRPr="00576AF8" w:rsidRDefault="009102A7" w:rsidP="009102A7">
      <w:pPr>
        <w:spacing w:after="0"/>
        <w:ind w:right="41" w:firstLine="708"/>
        <w:rPr>
          <w:sz w:val="22"/>
          <w:szCs w:val="22"/>
        </w:rPr>
      </w:pPr>
    </w:p>
    <w:p w14:paraId="499007AC" w14:textId="77777777" w:rsidR="009102A7" w:rsidRPr="00576AF8" w:rsidRDefault="009102A7" w:rsidP="009102A7">
      <w:pPr>
        <w:spacing w:after="0"/>
        <w:ind w:right="41" w:firstLine="708"/>
        <w:rPr>
          <w:b/>
          <w:bCs/>
          <w:sz w:val="22"/>
          <w:szCs w:val="22"/>
        </w:rPr>
      </w:pPr>
      <w:r w:rsidRPr="00576AF8">
        <w:rPr>
          <w:b/>
          <w:sz w:val="22"/>
          <w:szCs w:val="22"/>
        </w:rPr>
        <w:t xml:space="preserve">Aplicaciones Operacionales de </w:t>
      </w:r>
      <w:r w:rsidRPr="00576AF8">
        <w:rPr>
          <w:b/>
          <w:bCs/>
          <w:sz w:val="22"/>
          <w:szCs w:val="22"/>
        </w:rPr>
        <w:t>Simulación</w:t>
      </w:r>
    </w:p>
    <w:p w14:paraId="35832734" w14:textId="77777777" w:rsidR="009102A7" w:rsidRPr="00576AF8" w:rsidRDefault="009102A7" w:rsidP="009102A7">
      <w:pPr>
        <w:spacing w:after="0"/>
        <w:ind w:left="1440" w:right="41" w:hanging="720"/>
        <w:rPr>
          <w:sz w:val="22"/>
          <w:szCs w:val="22"/>
        </w:rPr>
      </w:pPr>
    </w:p>
    <w:p w14:paraId="0383C7F1" w14:textId="77777777" w:rsidR="009102A7" w:rsidRPr="00576AF8" w:rsidRDefault="009102A7" w:rsidP="009102A7">
      <w:pPr>
        <w:numPr>
          <w:ilvl w:val="0"/>
          <w:numId w:val="365"/>
        </w:numPr>
        <w:spacing w:after="0" w:line="276" w:lineRule="auto"/>
        <w:ind w:left="1418" w:right="41" w:hanging="338"/>
      </w:pPr>
      <w:r w:rsidRPr="00576AF8">
        <w:rPr>
          <w:bCs/>
          <w:sz w:val="22"/>
          <w:szCs w:val="22"/>
        </w:rPr>
        <w:t xml:space="preserve">Simulador de Entrenamiento de Operadores (OTS): </w:t>
      </w:r>
      <w:r w:rsidRPr="00576AF8">
        <w:rPr>
          <w:bCs/>
          <w:sz w:val="22"/>
          <w:szCs w:val="22"/>
          <w:lang w:val="es-EC"/>
        </w:rPr>
        <w:t>Numeral 2.1.1.1.7</w:t>
      </w:r>
    </w:p>
    <w:p w14:paraId="719A180D" w14:textId="77777777" w:rsidR="009102A7" w:rsidRPr="00576AF8" w:rsidRDefault="009102A7" w:rsidP="009102A7">
      <w:pPr>
        <w:ind w:right="41"/>
        <w:rPr>
          <w:b/>
          <w:sz w:val="22"/>
          <w:szCs w:val="22"/>
        </w:rPr>
      </w:pPr>
    </w:p>
    <w:p w14:paraId="3F99B112" w14:textId="77777777" w:rsidR="009102A7" w:rsidRPr="00576AF8" w:rsidRDefault="009102A7" w:rsidP="008C0D90">
      <w:pPr>
        <w:ind w:hanging="153"/>
        <w:jc w:val="left"/>
        <w:outlineLvl w:val="2"/>
        <w:rPr>
          <w:sz w:val="22"/>
          <w:szCs w:val="22"/>
        </w:rPr>
      </w:pPr>
      <w:bookmarkStart w:id="1291" w:name="_Toc521498264"/>
      <w:bookmarkStart w:id="1292" w:name="_Toc454958736"/>
      <w:bookmarkStart w:id="1293" w:name="_Toc476310111"/>
      <w:bookmarkStart w:id="1294" w:name="_Toc482896440"/>
      <w:bookmarkStart w:id="1295" w:name="_Toc99868864"/>
      <w:r w:rsidRPr="00576AF8">
        <w:rPr>
          <w:b/>
          <w:bCs/>
          <w:sz w:val="22"/>
          <w:szCs w:val="22"/>
        </w:rPr>
        <w:t>3.5</w:t>
      </w:r>
      <w:r w:rsidRPr="00576AF8">
        <w:tab/>
      </w:r>
      <w:r w:rsidRPr="00576AF8">
        <w:rPr>
          <w:b/>
          <w:bCs/>
          <w:sz w:val="22"/>
          <w:szCs w:val="22"/>
        </w:rPr>
        <w:t xml:space="preserve">Bienes </w:t>
      </w:r>
      <w:bookmarkEnd w:id="1291"/>
      <w:bookmarkEnd w:id="1292"/>
      <w:bookmarkEnd w:id="1293"/>
      <w:bookmarkEnd w:id="1294"/>
      <w:r w:rsidRPr="00576AF8">
        <w:rPr>
          <w:b/>
          <w:bCs/>
          <w:sz w:val="22"/>
          <w:szCs w:val="22"/>
        </w:rPr>
        <w:t>Fungibles</w:t>
      </w:r>
      <w:bookmarkEnd w:id="1295"/>
    </w:p>
    <w:p w14:paraId="062ACD3E" w14:textId="77777777" w:rsidR="009102A7" w:rsidRPr="00576AF8" w:rsidRDefault="009102A7" w:rsidP="009102A7">
      <w:pPr>
        <w:ind w:left="1440" w:right="41" w:hanging="720"/>
        <w:rPr>
          <w:sz w:val="22"/>
          <w:szCs w:val="22"/>
        </w:rPr>
      </w:pPr>
      <w:bookmarkStart w:id="1296" w:name="_Toc521498265"/>
      <w:r w:rsidRPr="00576AF8">
        <w:rPr>
          <w:sz w:val="22"/>
          <w:szCs w:val="22"/>
        </w:rPr>
        <w:t>3.5.1</w:t>
      </w:r>
      <w:r w:rsidRPr="00576AF8">
        <w:tab/>
      </w:r>
      <w:r w:rsidRPr="00576AF8">
        <w:rPr>
          <w:sz w:val="22"/>
          <w:szCs w:val="22"/>
        </w:rPr>
        <w:t>Tinta para impresoras/tóner: NO APLICA</w:t>
      </w:r>
    </w:p>
    <w:p w14:paraId="331084DD" w14:textId="77777777" w:rsidR="009102A7" w:rsidRPr="00576AF8" w:rsidRDefault="009102A7" w:rsidP="009102A7">
      <w:pPr>
        <w:ind w:left="1440" w:right="41" w:hanging="720"/>
        <w:rPr>
          <w:sz w:val="22"/>
          <w:szCs w:val="22"/>
        </w:rPr>
      </w:pPr>
    </w:p>
    <w:p w14:paraId="1BC5D4C0" w14:textId="77777777" w:rsidR="009102A7" w:rsidRPr="00576AF8" w:rsidRDefault="009102A7" w:rsidP="008C0D90">
      <w:pPr>
        <w:ind w:hanging="153"/>
        <w:jc w:val="left"/>
        <w:outlineLvl w:val="2"/>
        <w:rPr>
          <w:sz w:val="22"/>
          <w:szCs w:val="22"/>
        </w:rPr>
      </w:pPr>
      <w:bookmarkStart w:id="1297" w:name="_Toc454958737"/>
      <w:bookmarkStart w:id="1298" w:name="_Toc476310112"/>
      <w:bookmarkStart w:id="1299" w:name="_Toc482896441"/>
      <w:bookmarkStart w:id="1300" w:name="_Toc99868865"/>
      <w:r w:rsidRPr="00576AF8">
        <w:rPr>
          <w:b/>
          <w:bCs/>
          <w:sz w:val="22"/>
          <w:szCs w:val="22"/>
        </w:rPr>
        <w:t>3.6</w:t>
      </w:r>
      <w:r w:rsidRPr="00576AF8">
        <w:tab/>
      </w:r>
      <w:r w:rsidRPr="00576AF8">
        <w:rPr>
          <w:b/>
          <w:bCs/>
          <w:sz w:val="22"/>
          <w:szCs w:val="22"/>
        </w:rPr>
        <w:t xml:space="preserve">Otros Bienes No </w:t>
      </w:r>
      <w:bookmarkEnd w:id="1296"/>
      <w:bookmarkEnd w:id="1297"/>
      <w:bookmarkEnd w:id="1298"/>
      <w:bookmarkEnd w:id="1299"/>
      <w:r w:rsidRPr="00576AF8">
        <w:rPr>
          <w:b/>
          <w:bCs/>
          <w:sz w:val="22"/>
          <w:szCs w:val="22"/>
        </w:rPr>
        <w:t>Informáticos</w:t>
      </w:r>
      <w:bookmarkEnd w:id="1300"/>
    </w:p>
    <w:p w14:paraId="0F7F81A6" w14:textId="77777777" w:rsidR="009102A7" w:rsidRPr="00576AF8" w:rsidRDefault="009102A7" w:rsidP="009102A7">
      <w:pPr>
        <w:ind w:right="41"/>
        <w:rPr>
          <w:b/>
          <w:sz w:val="22"/>
          <w:szCs w:val="22"/>
        </w:rPr>
      </w:pPr>
      <w:r w:rsidRPr="00576AF8">
        <w:rPr>
          <w:sz w:val="22"/>
          <w:szCs w:val="22"/>
        </w:rPr>
        <w:tab/>
      </w:r>
      <w:r w:rsidRPr="00576AF8">
        <w:rPr>
          <w:b/>
          <w:sz w:val="22"/>
          <w:szCs w:val="22"/>
        </w:rPr>
        <w:t>3.6.1 Escritorios de estaciones de trabajo:</w:t>
      </w:r>
      <w:r w:rsidRPr="00576AF8">
        <w:rPr>
          <w:sz w:val="22"/>
          <w:szCs w:val="22"/>
        </w:rPr>
        <w:t xml:space="preserve"> NO APLICA</w:t>
      </w:r>
    </w:p>
    <w:p w14:paraId="299D841D" w14:textId="77777777" w:rsidR="009102A7" w:rsidRPr="00576AF8" w:rsidRDefault="009102A7" w:rsidP="009102A7">
      <w:pPr>
        <w:ind w:left="1440" w:right="41" w:hanging="720"/>
        <w:rPr>
          <w:sz w:val="22"/>
          <w:szCs w:val="22"/>
        </w:rPr>
      </w:pPr>
      <w:r w:rsidRPr="00576AF8">
        <w:rPr>
          <w:b/>
          <w:sz w:val="22"/>
          <w:szCs w:val="22"/>
        </w:rPr>
        <w:t>3.6.2 Fotocopiadoras:</w:t>
      </w:r>
      <w:r w:rsidRPr="00576AF8">
        <w:rPr>
          <w:sz w:val="22"/>
          <w:szCs w:val="22"/>
        </w:rPr>
        <w:t xml:space="preserve"> NO APLICA</w:t>
      </w:r>
    </w:p>
    <w:p w14:paraId="1AE218F7" w14:textId="77777777" w:rsidR="009102A7" w:rsidRPr="00576AF8" w:rsidRDefault="009102A7" w:rsidP="009102A7">
      <w:pPr>
        <w:ind w:left="1440" w:right="41" w:hanging="720"/>
        <w:rPr>
          <w:sz w:val="22"/>
          <w:szCs w:val="22"/>
        </w:rPr>
      </w:pPr>
      <w:r w:rsidRPr="00576AF8">
        <w:rPr>
          <w:b/>
          <w:sz w:val="22"/>
          <w:szCs w:val="22"/>
        </w:rPr>
        <w:t>3.6.3 Sistemas mecánicos especializados:</w:t>
      </w:r>
      <w:r w:rsidRPr="00576AF8">
        <w:rPr>
          <w:sz w:val="22"/>
          <w:szCs w:val="22"/>
        </w:rPr>
        <w:t xml:space="preserve"> NO APLICA</w:t>
      </w:r>
    </w:p>
    <w:p w14:paraId="6EE479B2" w14:textId="77777777" w:rsidR="009102A7" w:rsidRPr="00576AF8" w:rsidRDefault="009102A7" w:rsidP="009102A7">
      <w:pPr>
        <w:ind w:left="1276" w:right="41" w:hanging="556"/>
        <w:rPr>
          <w:sz w:val="22"/>
          <w:szCs w:val="22"/>
        </w:rPr>
      </w:pPr>
      <w:r w:rsidRPr="00576AF8">
        <w:rPr>
          <w:b/>
          <w:sz w:val="22"/>
          <w:szCs w:val="22"/>
        </w:rPr>
        <w:t>3.6.4</w:t>
      </w:r>
      <w:r w:rsidRPr="00576AF8">
        <w:rPr>
          <w:b/>
          <w:sz w:val="22"/>
          <w:szCs w:val="22"/>
        </w:rPr>
        <w:tab/>
        <w:t>Herramientas:</w:t>
      </w:r>
      <w:r w:rsidRPr="00576AF8">
        <w:rPr>
          <w:sz w:val="22"/>
          <w:szCs w:val="22"/>
        </w:rPr>
        <w:t xml:space="preserve"> El Proveedor suministrará las herramientas que considere necesarias para las actividades de </w:t>
      </w:r>
      <w:r w:rsidR="001933C8" w:rsidRPr="00576AF8">
        <w:rPr>
          <w:sz w:val="22"/>
          <w:szCs w:val="22"/>
        </w:rPr>
        <w:t>administración</w:t>
      </w:r>
      <w:r w:rsidRPr="00576AF8">
        <w:rPr>
          <w:sz w:val="22"/>
          <w:szCs w:val="22"/>
        </w:rPr>
        <w:t xml:space="preserve"> de hardware del sistema.  Como mínimo se requerirán dos (2) maletines con un juego de herramientas completo para actividades IT/OT que incluya un multímetro digital y equipos de prueba de cableados de redes.</w:t>
      </w:r>
    </w:p>
    <w:p w14:paraId="4E1D83D2" w14:textId="77777777" w:rsidR="009102A7" w:rsidRPr="00576AF8" w:rsidRDefault="009102A7" w:rsidP="009102A7">
      <w:pPr>
        <w:spacing w:before="480"/>
        <w:ind w:left="432" w:hanging="432"/>
        <w:jc w:val="left"/>
        <w:outlineLvl w:val="0"/>
        <w:rPr>
          <w:rFonts w:eastAsia="Arial"/>
          <w:b/>
          <w:smallCaps/>
          <w:sz w:val="22"/>
          <w:szCs w:val="22"/>
          <w:lang w:eastAsia="en-US" w:bidi="ar-SA"/>
        </w:rPr>
      </w:pPr>
      <w:bookmarkStart w:id="1301" w:name="_Toc99868866"/>
      <w:bookmarkStart w:id="1302" w:name="_Toc160268967"/>
      <w:bookmarkStart w:id="1303" w:name="_Toc160456032"/>
      <w:bookmarkStart w:id="1304" w:name="_Toc160706932"/>
      <w:bookmarkStart w:id="1305" w:name="_Toc160707198"/>
      <w:bookmarkStart w:id="1306" w:name="_Toc160707522"/>
      <w:bookmarkStart w:id="1307" w:name="_Toc160707712"/>
      <w:bookmarkStart w:id="1308" w:name="_Toc160707779"/>
      <w:bookmarkStart w:id="1309" w:name="_Toc163137323"/>
      <w:r w:rsidRPr="00576AF8">
        <w:rPr>
          <w:rFonts w:eastAsia="Arial"/>
          <w:b/>
          <w:smallCaps/>
          <w:sz w:val="22"/>
          <w:szCs w:val="22"/>
          <w:lang w:val="es-EC" w:eastAsia="en-US" w:bidi="ar-SA"/>
        </w:rPr>
        <w:t>E.  Requisitos de las pruebas y la garantía de calidad</w:t>
      </w:r>
      <w:bookmarkEnd w:id="1301"/>
      <w:bookmarkEnd w:id="1302"/>
      <w:bookmarkEnd w:id="1303"/>
      <w:bookmarkEnd w:id="1304"/>
      <w:bookmarkEnd w:id="1305"/>
      <w:bookmarkEnd w:id="1306"/>
      <w:bookmarkEnd w:id="1307"/>
      <w:bookmarkEnd w:id="1308"/>
      <w:bookmarkEnd w:id="1309"/>
    </w:p>
    <w:p w14:paraId="5D56E754" w14:textId="77777777" w:rsidR="009102A7" w:rsidRPr="00576AF8" w:rsidRDefault="009102A7" w:rsidP="009102A7">
      <w:pPr>
        <w:ind w:right="41"/>
        <w:outlineLvl w:val="1"/>
        <w:rPr>
          <w:b/>
          <w:bCs/>
          <w:sz w:val="22"/>
          <w:szCs w:val="22"/>
        </w:rPr>
      </w:pPr>
      <w:bookmarkStart w:id="1310" w:name="_Toc99868867"/>
      <w:bookmarkStart w:id="1311" w:name="_Toc160706933"/>
      <w:bookmarkStart w:id="1312" w:name="_Toc160707523"/>
      <w:bookmarkStart w:id="1313" w:name="_Toc160707780"/>
      <w:r w:rsidRPr="00576AF8">
        <w:rPr>
          <w:b/>
          <w:sz w:val="22"/>
          <w:szCs w:val="22"/>
        </w:rPr>
        <w:t>4.1</w:t>
      </w:r>
      <w:r w:rsidRPr="00576AF8">
        <w:tab/>
      </w:r>
      <w:r w:rsidRPr="00576AF8">
        <w:rPr>
          <w:b/>
          <w:bCs/>
          <w:sz w:val="22"/>
          <w:szCs w:val="22"/>
        </w:rPr>
        <w:t>Inspecciones</w:t>
      </w:r>
      <w:bookmarkEnd w:id="1310"/>
      <w:bookmarkEnd w:id="1311"/>
      <w:bookmarkEnd w:id="1312"/>
      <w:bookmarkEnd w:id="1313"/>
    </w:p>
    <w:p w14:paraId="69F56BC3" w14:textId="77777777" w:rsidR="009102A7" w:rsidRPr="00576AF8" w:rsidRDefault="009102A7" w:rsidP="009102A7">
      <w:pPr>
        <w:ind w:left="720" w:hanging="720"/>
        <w:jc w:val="left"/>
        <w:outlineLvl w:val="2"/>
        <w:rPr>
          <w:spacing w:val="-2"/>
          <w:sz w:val="22"/>
          <w:szCs w:val="22"/>
        </w:rPr>
      </w:pPr>
      <w:bookmarkStart w:id="1314" w:name="_Toc160706934"/>
      <w:bookmarkStart w:id="1315" w:name="_Toc160707199"/>
      <w:bookmarkStart w:id="1316" w:name="_Toc160707524"/>
      <w:bookmarkStart w:id="1317" w:name="_Toc160707713"/>
      <w:bookmarkStart w:id="1318" w:name="_Toc160707781"/>
      <w:bookmarkStart w:id="1319" w:name="_Toc163137324"/>
      <w:r w:rsidRPr="00576AF8">
        <w:rPr>
          <w:b/>
          <w:sz w:val="22"/>
          <w:szCs w:val="22"/>
        </w:rPr>
        <w:t>4.1.1</w:t>
      </w:r>
      <w:r w:rsidRPr="00576AF8">
        <w:rPr>
          <w:b/>
          <w:sz w:val="22"/>
          <w:szCs w:val="22"/>
        </w:rPr>
        <w:tab/>
        <w:t>Inspecciones en fábrica:</w:t>
      </w:r>
      <w:bookmarkEnd w:id="1314"/>
      <w:bookmarkEnd w:id="1315"/>
      <w:bookmarkEnd w:id="1316"/>
      <w:bookmarkEnd w:id="1317"/>
      <w:bookmarkEnd w:id="1318"/>
      <w:r w:rsidRPr="00576AF8">
        <w:rPr>
          <w:b/>
          <w:sz w:val="22"/>
          <w:szCs w:val="22"/>
        </w:rPr>
        <w:t xml:space="preserve"> </w:t>
      </w:r>
      <w:r w:rsidRPr="00576AF8">
        <w:rPr>
          <w:spacing w:val="-2"/>
          <w:sz w:val="22"/>
          <w:szCs w:val="22"/>
        </w:rPr>
        <w:t>El proveedor DEBERÁ cumplir con todo el detalle especificado en este numeral (4.1).</w:t>
      </w:r>
      <w:bookmarkEnd w:id="1319"/>
    </w:p>
    <w:p w14:paraId="07340769" w14:textId="77777777" w:rsidR="009102A7" w:rsidRPr="00576AF8" w:rsidRDefault="009102A7" w:rsidP="009102A7">
      <w:pPr>
        <w:ind w:left="708" w:hanging="708"/>
        <w:rPr>
          <w:spacing w:val="-2"/>
          <w:sz w:val="22"/>
          <w:szCs w:val="22"/>
        </w:rPr>
      </w:pPr>
      <w:r w:rsidRPr="00576AF8">
        <w:rPr>
          <w:b/>
          <w:sz w:val="22"/>
          <w:szCs w:val="22"/>
        </w:rPr>
        <w:t>4.1.2</w:t>
      </w:r>
      <w:r w:rsidRPr="00576AF8">
        <w:rPr>
          <w:b/>
          <w:sz w:val="22"/>
          <w:szCs w:val="22"/>
        </w:rPr>
        <w:tab/>
        <w:t>Inspecciones posteriores a la entrega:</w:t>
      </w:r>
      <w:r w:rsidRPr="00576AF8">
        <w:rPr>
          <w:b/>
          <w:spacing w:val="-2"/>
          <w:sz w:val="22"/>
          <w:szCs w:val="22"/>
        </w:rPr>
        <w:t xml:space="preserve"> </w:t>
      </w:r>
      <w:r w:rsidRPr="00576AF8">
        <w:rPr>
          <w:spacing w:val="-2"/>
          <w:sz w:val="22"/>
          <w:szCs w:val="22"/>
        </w:rPr>
        <w:t xml:space="preserve">El proveedor DEBERÁ cumplir con </w:t>
      </w:r>
      <w:r w:rsidRPr="00576AF8">
        <w:rPr>
          <w:spacing w:val="-2"/>
          <w:szCs w:val="22"/>
        </w:rPr>
        <w:t xml:space="preserve">todo </w:t>
      </w:r>
      <w:r w:rsidRPr="00576AF8">
        <w:rPr>
          <w:spacing w:val="-2"/>
          <w:sz w:val="22"/>
          <w:szCs w:val="22"/>
        </w:rPr>
        <w:t>el detalle especificado en este numeral (4.1).</w:t>
      </w:r>
      <w:bookmarkStart w:id="1320" w:name="_Toc148955286"/>
      <w:bookmarkStart w:id="1321" w:name="_Toc158396743"/>
      <w:bookmarkStart w:id="1322" w:name="_Toc160012946"/>
    </w:p>
    <w:p w14:paraId="720D0C60" w14:textId="77777777" w:rsidR="009102A7" w:rsidRPr="00576AF8" w:rsidRDefault="009102A7" w:rsidP="009102A7">
      <w:pPr>
        <w:rPr>
          <w:sz w:val="22"/>
          <w:szCs w:val="22"/>
        </w:rPr>
      </w:pPr>
      <w:r w:rsidRPr="00576AF8">
        <w:rPr>
          <w:sz w:val="22"/>
          <w:szCs w:val="22"/>
        </w:rPr>
        <w:t>El proveedor DEBERÁ proporcionar los siguientes servicios para las inspecciones (pruebas) del sistema SCADA/EMS de</w:t>
      </w:r>
      <w:r w:rsidR="00593894" w:rsidRPr="00576AF8">
        <w:rPr>
          <w:sz w:val="22"/>
          <w:szCs w:val="22"/>
        </w:rPr>
        <w:t>l</w:t>
      </w:r>
      <w:r w:rsidRPr="00576AF8">
        <w:rPr>
          <w:sz w:val="22"/>
          <w:szCs w:val="22"/>
        </w:rPr>
        <w:t xml:space="preserve"> </w:t>
      </w:r>
      <w:r w:rsidR="00593894" w:rsidRPr="00576AF8">
        <w:rPr>
          <w:sz w:val="22"/>
          <w:szCs w:val="22"/>
        </w:rPr>
        <w:t xml:space="preserve">Comprador </w:t>
      </w:r>
      <w:r w:rsidR="00FC05E6" w:rsidRPr="00576AF8">
        <w:rPr>
          <w:sz w:val="22"/>
          <w:szCs w:val="22"/>
        </w:rPr>
        <w:t>dentro del precio de su oferta</w:t>
      </w:r>
      <w:r w:rsidRPr="00576AF8">
        <w:rPr>
          <w:sz w:val="22"/>
          <w:szCs w:val="22"/>
        </w:rPr>
        <w:t>:</w:t>
      </w:r>
    </w:p>
    <w:p w14:paraId="79A0B8C8" w14:textId="77777777" w:rsidR="009102A7" w:rsidRPr="00576AF8" w:rsidRDefault="009102A7" w:rsidP="009102A7">
      <w:pPr>
        <w:numPr>
          <w:ilvl w:val="0"/>
          <w:numId w:val="408"/>
        </w:numPr>
        <w:contextualSpacing/>
        <w:rPr>
          <w:sz w:val="22"/>
          <w:szCs w:val="22"/>
          <w:lang w:val="es-EC" w:eastAsia="en-US"/>
        </w:rPr>
      </w:pPr>
      <w:r w:rsidRPr="00576AF8">
        <w:rPr>
          <w:sz w:val="22"/>
          <w:szCs w:val="22"/>
        </w:rPr>
        <w:t>El sistema SCADA/EMS se probará e inspeccionará completamente en la fábrica del Proveedo</w:t>
      </w:r>
      <w:r w:rsidR="00FC05E6" w:rsidRPr="00576AF8">
        <w:rPr>
          <w:sz w:val="22"/>
          <w:szCs w:val="22"/>
        </w:rPr>
        <w:t>r</w:t>
      </w:r>
      <w:r w:rsidRPr="00576AF8">
        <w:rPr>
          <w:sz w:val="22"/>
          <w:szCs w:val="22"/>
        </w:rPr>
        <w:t>.</w:t>
      </w:r>
    </w:p>
    <w:p w14:paraId="25DDBEE1" w14:textId="77777777" w:rsidR="009102A7" w:rsidRPr="00576AF8" w:rsidRDefault="009102A7" w:rsidP="009102A7">
      <w:pPr>
        <w:numPr>
          <w:ilvl w:val="0"/>
          <w:numId w:val="408"/>
        </w:numPr>
        <w:contextualSpacing/>
        <w:rPr>
          <w:sz w:val="22"/>
          <w:szCs w:val="22"/>
          <w:lang w:val="es-EC" w:eastAsia="en-US"/>
        </w:rPr>
      </w:pPr>
      <w:r w:rsidRPr="00576AF8">
        <w:rPr>
          <w:sz w:val="22"/>
          <w:szCs w:val="22"/>
          <w:lang w:val="es-EC" w:eastAsia="en-US"/>
        </w:rPr>
        <w:t xml:space="preserve">El Proveedor es el responsable de proponer y desarrollar entre otras, con la participación del personal especializado </w:t>
      </w:r>
      <w:r w:rsidR="00593894" w:rsidRPr="00576AF8">
        <w:rPr>
          <w:sz w:val="22"/>
          <w:szCs w:val="22"/>
          <w:lang w:val="es-EC" w:eastAsia="en-US"/>
        </w:rPr>
        <w:t>del Comprador</w:t>
      </w:r>
      <w:r w:rsidRPr="00576AF8">
        <w:rPr>
          <w:sz w:val="22"/>
          <w:szCs w:val="22"/>
          <w:lang w:val="es-EC" w:eastAsia="en-US"/>
        </w:rPr>
        <w:t>, las pruebas en fábrica FAT, pruebas punto a punto, pruebas de conexión en modo listening con el SCADA/EMS actual, pruebas de aceptación en sitio SAT y pruebas de disponibilidad descritas en este documento.</w:t>
      </w:r>
    </w:p>
    <w:p w14:paraId="46F078B5" w14:textId="77777777" w:rsidR="009102A7" w:rsidRPr="00576AF8" w:rsidRDefault="009102A7" w:rsidP="009102A7">
      <w:pPr>
        <w:numPr>
          <w:ilvl w:val="0"/>
          <w:numId w:val="408"/>
        </w:numPr>
        <w:rPr>
          <w:sz w:val="22"/>
          <w:szCs w:val="22"/>
          <w:lang w:val="es-EC" w:eastAsia="en-US"/>
        </w:rPr>
      </w:pPr>
      <w:r w:rsidRPr="00576AF8">
        <w:rPr>
          <w:sz w:val="22"/>
          <w:szCs w:val="22"/>
          <w:lang w:val="es-EC" w:eastAsia="en-US"/>
        </w:rPr>
        <w:t xml:space="preserve">El Proveedor deberá preparar y presentar los procedimientos detallados de pruebas de aceptación en fábrica FAT, pruebas de aceptación sitio SAT y las hojas de registro de las pruebas para la aprobación por el CENACE. Estos procedimientos también podrían considerar la posibilidad de realizar pruebas remotas para algunos componentes, lo cual estará sujeto a aprobación </w:t>
      </w:r>
      <w:r w:rsidR="00593894" w:rsidRPr="00576AF8">
        <w:rPr>
          <w:sz w:val="22"/>
          <w:szCs w:val="22"/>
          <w:lang w:val="es-EC" w:eastAsia="en-US"/>
        </w:rPr>
        <w:t>del Comprador</w:t>
      </w:r>
      <w:r w:rsidRPr="00576AF8">
        <w:rPr>
          <w:sz w:val="22"/>
          <w:szCs w:val="22"/>
          <w:lang w:val="es-EC" w:eastAsia="en-US"/>
        </w:rPr>
        <w:t>. </w:t>
      </w:r>
    </w:p>
    <w:p w14:paraId="12538FB9" w14:textId="77777777" w:rsidR="009102A7" w:rsidRPr="00576AF8" w:rsidRDefault="009102A7" w:rsidP="009102A7">
      <w:pPr>
        <w:numPr>
          <w:ilvl w:val="0"/>
          <w:numId w:val="408"/>
        </w:numPr>
        <w:rPr>
          <w:sz w:val="22"/>
          <w:szCs w:val="22"/>
          <w:lang w:val="es-EC" w:eastAsia="en-US"/>
        </w:rPr>
      </w:pPr>
      <w:r w:rsidRPr="00576AF8">
        <w:rPr>
          <w:sz w:val="22"/>
          <w:szCs w:val="22"/>
          <w:lang w:val="es-EC" w:eastAsia="en-US"/>
        </w:rPr>
        <w:t>Los procedimientos de pruebas FAT cubrirán el 100 % del total de las funcionalidades.</w:t>
      </w:r>
    </w:p>
    <w:p w14:paraId="2ABD6920" w14:textId="77777777" w:rsidR="009102A7" w:rsidRPr="00576AF8" w:rsidRDefault="009102A7" w:rsidP="009102A7">
      <w:pPr>
        <w:numPr>
          <w:ilvl w:val="0"/>
          <w:numId w:val="408"/>
        </w:numPr>
        <w:rPr>
          <w:sz w:val="22"/>
          <w:szCs w:val="22"/>
          <w:lang w:val="es-EC" w:eastAsia="en-US"/>
        </w:rPr>
      </w:pPr>
      <w:r w:rsidRPr="00576AF8">
        <w:rPr>
          <w:sz w:val="22"/>
          <w:szCs w:val="22"/>
          <w:lang w:val="es-EC" w:eastAsia="en-US"/>
        </w:rPr>
        <w:t xml:space="preserve">En los casos que no se disponga los datos </w:t>
      </w:r>
      <w:r w:rsidR="00593894" w:rsidRPr="00576AF8">
        <w:rPr>
          <w:sz w:val="22"/>
          <w:szCs w:val="22"/>
          <w:lang w:val="es-EC" w:eastAsia="en-US"/>
        </w:rPr>
        <w:t>del Comprador</w:t>
      </w:r>
      <w:r w:rsidRPr="00576AF8">
        <w:rPr>
          <w:sz w:val="22"/>
          <w:szCs w:val="22"/>
          <w:lang w:val="es-EC" w:eastAsia="en-US"/>
        </w:rPr>
        <w:t>, se debe probar la funcionalidad con la base de datos baseline.</w:t>
      </w:r>
    </w:p>
    <w:p w14:paraId="3F76BDF4" w14:textId="77777777" w:rsidR="009102A7" w:rsidRPr="00576AF8" w:rsidRDefault="009102A7" w:rsidP="009102A7">
      <w:pPr>
        <w:numPr>
          <w:ilvl w:val="0"/>
          <w:numId w:val="408"/>
        </w:numPr>
        <w:rPr>
          <w:sz w:val="22"/>
          <w:szCs w:val="22"/>
          <w:lang w:val="es-EC" w:eastAsia="en-US"/>
        </w:rPr>
      </w:pPr>
      <w:r w:rsidRPr="00576AF8">
        <w:rPr>
          <w:sz w:val="22"/>
          <w:szCs w:val="22"/>
          <w:lang w:val="es-EC" w:eastAsia="en-US"/>
        </w:rPr>
        <w:t xml:space="preserve">El Proveedor deberá ejecutar un programa de pruebas adecuado durante todas las etapas de fabricación. Antes de informar al </w:t>
      </w:r>
      <w:r w:rsidR="005F386B" w:rsidRPr="00576AF8">
        <w:rPr>
          <w:sz w:val="22"/>
          <w:szCs w:val="22"/>
          <w:lang w:val="es-EC" w:eastAsia="en-US"/>
        </w:rPr>
        <w:t xml:space="preserve">Comprador </w:t>
      </w:r>
      <w:r w:rsidRPr="00576AF8">
        <w:rPr>
          <w:sz w:val="22"/>
          <w:szCs w:val="22"/>
          <w:lang w:val="es-EC" w:eastAsia="en-US"/>
        </w:rPr>
        <w:t xml:space="preserve">que el sistema está listo para la prueba de aceptación de fábrica FAT, el Proveedor deberá culminar exitosamente sus pruebas </w:t>
      </w:r>
      <w:r w:rsidRPr="00576AF8">
        <w:rPr>
          <w:sz w:val="22"/>
          <w:szCs w:val="22"/>
          <w:lang w:val="es-EC" w:eastAsia="en-US" w:bidi="ar-SA"/>
        </w:rPr>
        <w:t>funcionales</w:t>
      </w:r>
      <w:r w:rsidRPr="00576AF8">
        <w:rPr>
          <w:sz w:val="22"/>
          <w:szCs w:val="22"/>
          <w:lang w:val="es-EC" w:eastAsia="en-US"/>
        </w:rPr>
        <w:t xml:space="preserve"> </w:t>
      </w:r>
      <w:r w:rsidRPr="00576AF8">
        <w:rPr>
          <w:sz w:val="22"/>
          <w:szCs w:val="22"/>
          <w:lang w:val="es-EC" w:eastAsia="en-US"/>
        </w:rPr>
        <w:lastRenderedPageBreak/>
        <w:t xml:space="preserve">(preFAT). El Proveedor será el responsable de realizar estas pruebas y proporcionar todas las instalaciones, equipos, personal y facilidades necesarias. La responsabilidad de especificar, realizar y registrar las pruebas recaerá en el Proveedor, pero todos los aspectos serán a satisfacción del </w:t>
      </w:r>
      <w:r w:rsidR="005F386B" w:rsidRPr="00576AF8">
        <w:rPr>
          <w:sz w:val="22"/>
          <w:szCs w:val="22"/>
          <w:lang w:val="es-EC" w:eastAsia="en-US"/>
        </w:rPr>
        <w:t>Comprador</w:t>
      </w:r>
      <w:r w:rsidRPr="00576AF8">
        <w:rPr>
          <w:sz w:val="22"/>
          <w:szCs w:val="22"/>
          <w:lang w:val="es-EC" w:eastAsia="en-US"/>
        </w:rPr>
        <w:t xml:space="preserve">. Los resultados de las pruebas anteriores se pondrán a disposición del </w:t>
      </w:r>
      <w:r w:rsidR="005F386B" w:rsidRPr="00576AF8">
        <w:rPr>
          <w:sz w:val="22"/>
          <w:szCs w:val="22"/>
          <w:lang w:val="es-EC" w:eastAsia="en-US"/>
        </w:rPr>
        <w:t>Comprador</w:t>
      </w:r>
      <w:r w:rsidRPr="00576AF8">
        <w:rPr>
          <w:sz w:val="22"/>
          <w:szCs w:val="22"/>
          <w:lang w:val="es-EC" w:eastAsia="en-US"/>
        </w:rPr>
        <w:t xml:space="preserve"> cuando lo solicite. </w:t>
      </w:r>
    </w:p>
    <w:p w14:paraId="4961FE80" w14:textId="77777777" w:rsidR="009102A7" w:rsidRPr="00576AF8" w:rsidRDefault="009102A7" w:rsidP="009102A7">
      <w:pPr>
        <w:numPr>
          <w:ilvl w:val="0"/>
          <w:numId w:val="408"/>
        </w:numPr>
        <w:rPr>
          <w:sz w:val="22"/>
          <w:szCs w:val="22"/>
          <w:lang w:val="es-EC" w:eastAsia="en-US"/>
        </w:rPr>
      </w:pPr>
      <w:r w:rsidRPr="00576AF8">
        <w:rPr>
          <w:sz w:val="22"/>
          <w:szCs w:val="22"/>
          <w:lang w:val="es-EC" w:eastAsia="en-US"/>
        </w:rPr>
        <w:t xml:space="preserve">En general, cualquier revisión de los documentos de pruebas que </w:t>
      </w:r>
      <w:r w:rsidR="00FC05E6" w:rsidRPr="00576AF8">
        <w:rPr>
          <w:sz w:val="22"/>
          <w:szCs w:val="22"/>
          <w:lang w:val="es-EC" w:eastAsia="en-US"/>
        </w:rPr>
        <w:t>el Comprador</w:t>
      </w:r>
      <w:r w:rsidRPr="00576AF8">
        <w:rPr>
          <w:sz w:val="22"/>
          <w:szCs w:val="22"/>
          <w:lang w:val="es-EC" w:eastAsia="en-US"/>
        </w:rPr>
        <w:t xml:space="preserve"> considere necesaria, se efectuará antes del comienzo de las pruebas formales.</w:t>
      </w:r>
    </w:p>
    <w:p w14:paraId="4F6D4B91" w14:textId="77777777" w:rsidR="009102A7" w:rsidRPr="00576AF8" w:rsidRDefault="009102A7" w:rsidP="009102A7">
      <w:pPr>
        <w:numPr>
          <w:ilvl w:val="0"/>
          <w:numId w:val="408"/>
        </w:numPr>
        <w:rPr>
          <w:sz w:val="22"/>
          <w:szCs w:val="22"/>
          <w:lang w:val="es-EC" w:eastAsia="en-US"/>
        </w:rPr>
      </w:pPr>
      <w:r w:rsidRPr="00576AF8">
        <w:rPr>
          <w:sz w:val="22"/>
          <w:szCs w:val="22"/>
          <w:lang w:val="es-EC" w:eastAsia="en-US"/>
        </w:rPr>
        <w:t>La metodología de prueba complementará la metodología de diseño y ambas serán desarrolladas en paralelo. Como principio general se establece que, en las diferentes etapas de pruebas, se realizarán las pruebas formales y se registrarán como cumplimiento de las especificaciones escritas de estas pruebas, para proporcionar un alto nivel de confianza al Proveedor y al CENACE (o a su representante designado y autorizado) de que las etapas posteriores pueden continuar. Toda la documentación de pruebas será escrita por el Proveedor y presentada al CENACE para su aprobación al menos dos (2) meses antes de que se utilicen por primera vez. </w:t>
      </w:r>
    </w:p>
    <w:p w14:paraId="2EF8D610" w14:textId="77777777" w:rsidR="009102A7" w:rsidRPr="00576AF8" w:rsidRDefault="009102A7" w:rsidP="004C4901">
      <w:pPr>
        <w:numPr>
          <w:ilvl w:val="0"/>
          <w:numId w:val="408"/>
        </w:numPr>
        <w:rPr>
          <w:sz w:val="22"/>
          <w:szCs w:val="22"/>
          <w:lang w:val="es-EC" w:eastAsia="en-US"/>
        </w:rPr>
      </w:pPr>
      <w:r w:rsidRPr="00576AF8">
        <w:rPr>
          <w:sz w:val="22"/>
          <w:szCs w:val="22"/>
          <w:lang w:val="es-EC" w:eastAsia="en-US"/>
        </w:rPr>
        <w:t xml:space="preserve">La inspección y las pruebas será realizadas por el Proveedor de acuerdo con los procedimientos establecidos en el Plan de </w:t>
      </w:r>
      <w:r w:rsidR="004C4901" w:rsidRPr="00576AF8">
        <w:rPr>
          <w:sz w:val="22"/>
          <w:szCs w:val="22"/>
          <w:lang w:val="es-EC" w:eastAsia="en-US"/>
        </w:rPr>
        <w:t xml:space="preserve">Inspecciones y Pruebas y Aseguramiento de la </w:t>
      </w:r>
      <w:r w:rsidRPr="00576AF8">
        <w:rPr>
          <w:sz w:val="22"/>
          <w:szCs w:val="22"/>
          <w:lang w:val="es-EC" w:eastAsia="en-US"/>
        </w:rPr>
        <w:t>Calidad.</w:t>
      </w:r>
    </w:p>
    <w:p w14:paraId="1B38FC3B" w14:textId="77777777" w:rsidR="00AF70AD" w:rsidRPr="00576AF8" w:rsidRDefault="00AF70AD" w:rsidP="009102A7">
      <w:pPr>
        <w:numPr>
          <w:ilvl w:val="0"/>
          <w:numId w:val="408"/>
        </w:numPr>
        <w:rPr>
          <w:sz w:val="22"/>
          <w:szCs w:val="22"/>
          <w:lang w:val="es-EC" w:eastAsia="en-US"/>
        </w:rPr>
      </w:pPr>
      <w:r w:rsidRPr="00576AF8">
        <w:rPr>
          <w:sz w:val="22"/>
          <w:szCs w:val="22"/>
          <w:lang w:val="es-EC" w:eastAsia="en-US"/>
        </w:rPr>
        <w:t>Todos los protocolos de pruebas descritos en los literales anteriores se realizarán previa aprobación del Comprador.</w:t>
      </w:r>
    </w:p>
    <w:p w14:paraId="743123CB" w14:textId="77777777" w:rsidR="009102A7" w:rsidRPr="00576AF8" w:rsidRDefault="009102A7" w:rsidP="009102A7">
      <w:pPr>
        <w:rPr>
          <w:sz w:val="22"/>
          <w:szCs w:val="22"/>
          <w:lang w:val="es-EC" w:eastAsia="en-US"/>
        </w:rPr>
      </w:pPr>
      <w:r w:rsidRPr="00576AF8">
        <w:rPr>
          <w:sz w:val="22"/>
          <w:szCs w:val="22"/>
          <w:lang w:val="es-EC" w:eastAsia="en-US"/>
        </w:rPr>
        <w:t>Esta especificación cubrirá los niveles más altos de complejidad, a saber:</w:t>
      </w:r>
    </w:p>
    <w:p w14:paraId="1C372413" w14:textId="77777777" w:rsidR="009102A7" w:rsidRPr="00576AF8" w:rsidRDefault="009102A7" w:rsidP="009102A7">
      <w:pPr>
        <w:numPr>
          <w:ilvl w:val="0"/>
          <w:numId w:val="142"/>
        </w:numPr>
        <w:ind w:left="1134" w:hanging="283"/>
        <w:rPr>
          <w:sz w:val="22"/>
          <w:szCs w:val="22"/>
          <w:lang w:val="es-EC" w:eastAsia="en-US"/>
        </w:rPr>
      </w:pPr>
      <w:r w:rsidRPr="00576AF8">
        <w:rPr>
          <w:sz w:val="22"/>
          <w:szCs w:val="22"/>
          <w:lang w:val="es-EC" w:eastAsia="en-US"/>
        </w:rPr>
        <w:t>Pruebas de tipo (aplicable a hardware)</w:t>
      </w:r>
    </w:p>
    <w:p w14:paraId="0A6FB42A" w14:textId="77777777" w:rsidR="009102A7" w:rsidRPr="00576AF8" w:rsidRDefault="009102A7" w:rsidP="009102A7">
      <w:pPr>
        <w:numPr>
          <w:ilvl w:val="0"/>
          <w:numId w:val="142"/>
        </w:numPr>
        <w:ind w:left="1134" w:hanging="283"/>
        <w:rPr>
          <w:sz w:val="22"/>
          <w:szCs w:val="22"/>
          <w:lang w:val="es-EC" w:eastAsia="en-US"/>
        </w:rPr>
      </w:pPr>
      <w:r w:rsidRPr="00576AF8">
        <w:rPr>
          <w:sz w:val="22"/>
          <w:szCs w:val="22"/>
          <w:lang w:val="es-EC" w:eastAsia="en-US"/>
        </w:rPr>
        <w:t>Pruebas de subsistemas</w:t>
      </w:r>
    </w:p>
    <w:p w14:paraId="7A5F58C4" w14:textId="77777777" w:rsidR="009102A7" w:rsidRPr="00576AF8" w:rsidRDefault="009102A7" w:rsidP="009102A7">
      <w:pPr>
        <w:numPr>
          <w:ilvl w:val="0"/>
          <w:numId w:val="142"/>
        </w:numPr>
        <w:ind w:left="1134" w:hanging="283"/>
        <w:rPr>
          <w:sz w:val="22"/>
          <w:szCs w:val="22"/>
          <w:lang w:val="es-EC" w:eastAsia="en-US"/>
        </w:rPr>
      </w:pPr>
      <w:r w:rsidRPr="00576AF8">
        <w:rPr>
          <w:sz w:val="22"/>
          <w:szCs w:val="22"/>
          <w:lang w:val="es-EC" w:eastAsia="en-US"/>
        </w:rPr>
        <w:t>Pruebas del sistema</w:t>
      </w:r>
    </w:p>
    <w:p w14:paraId="36DD492C" w14:textId="77777777" w:rsidR="009102A7" w:rsidRPr="00576AF8" w:rsidRDefault="009102A7" w:rsidP="009102A7">
      <w:pPr>
        <w:numPr>
          <w:ilvl w:val="0"/>
          <w:numId w:val="408"/>
        </w:numPr>
        <w:rPr>
          <w:sz w:val="22"/>
          <w:szCs w:val="22"/>
          <w:lang w:val="es-EC" w:eastAsia="en-US"/>
        </w:rPr>
      </w:pPr>
      <w:r w:rsidRPr="00576AF8">
        <w:rPr>
          <w:sz w:val="22"/>
          <w:szCs w:val="22"/>
          <w:u w:val="single"/>
          <w:lang w:val="es-EC" w:eastAsia="en-US"/>
        </w:rPr>
        <w:t>Las pruebas de tipo</w:t>
      </w:r>
      <w:r w:rsidRPr="00576AF8">
        <w:rPr>
          <w:sz w:val="22"/>
          <w:szCs w:val="22"/>
          <w:lang w:val="es-EC" w:eastAsia="en-US"/>
        </w:rPr>
        <w:t xml:space="preserve"> deberán demostrar que el equipo propuesto cumple con las regulaciones técnicas y ambientales requeridas. Las pruebas de este tipo estarán representadas por la verificación de las hojas de datos de los dispositivos y las certificaciones relativas.</w:t>
      </w:r>
    </w:p>
    <w:p w14:paraId="624CDB19" w14:textId="77777777" w:rsidR="009102A7" w:rsidRPr="00576AF8" w:rsidRDefault="009102A7" w:rsidP="009102A7">
      <w:pPr>
        <w:numPr>
          <w:ilvl w:val="0"/>
          <w:numId w:val="408"/>
        </w:numPr>
        <w:rPr>
          <w:sz w:val="22"/>
          <w:szCs w:val="22"/>
          <w:lang w:val="es-EC" w:eastAsia="en-US"/>
        </w:rPr>
      </w:pPr>
      <w:r w:rsidRPr="00576AF8">
        <w:rPr>
          <w:sz w:val="22"/>
          <w:szCs w:val="22"/>
          <w:u w:val="single"/>
          <w:lang w:val="es-EC" w:eastAsia="en-US"/>
        </w:rPr>
        <w:t>Los "subsistemas"</w:t>
      </w:r>
      <w:r w:rsidRPr="00576AF8">
        <w:rPr>
          <w:sz w:val="22"/>
          <w:szCs w:val="22"/>
          <w:lang w:val="es-EC" w:eastAsia="en-US"/>
        </w:rPr>
        <w:t xml:space="preserve"> se definen como elementos individuales o pequeños grupos de equipos estrechamente relacionados (incluido el software), como estaciones de trabajo, consolas de operador, etc. </w:t>
      </w:r>
    </w:p>
    <w:p w14:paraId="397E3E2D" w14:textId="77777777" w:rsidR="009102A7" w:rsidRPr="00576AF8" w:rsidRDefault="009102A7" w:rsidP="009102A7">
      <w:pPr>
        <w:numPr>
          <w:ilvl w:val="0"/>
          <w:numId w:val="408"/>
        </w:numPr>
        <w:rPr>
          <w:sz w:val="22"/>
          <w:szCs w:val="22"/>
          <w:lang w:val="es-EC" w:eastAsia="en-US"/>
        </w:rPr>
      </w:pPr>
      <w:r w:rsidRPr="00576AF8">
        <w:rPr>
          <w:sz w:val="22"/>
          <w:szCs w:val="22"/>
          <w:u w:val="single"/>
          <w:lang w:val="es-EC" w:eastAsia="en-US"/>
        </w:rPr>
        <w:t>El "Sistema"</w:t>
      </w:r>
      <w:r w:rsidRPr="00576AF8">
        <w:rPr>
          <w:sz w:val="22"/>
          <w:szCs w:val="22"/>
          <w:lang w:val="es-EC" w:eastAsia="en-US"/>
        </w:rPr>
        <w:t xml:space="preserve"> se define como la interconexión de todos los subsistemas y cualquier otro equipo que eventualmente comprende todos los equipos suministrados y el software en virtud de este proyecto (con la excepción de los repuestos).</w:t>
      </w:r>
    </w:p>
    <w:p w14:paraId="3B2413FF" w14:textId="77777777" w:rsidR="009102A7" w:rsidRPr="00576AF8" w:rsidRDefault="00992BD7" w:rsidP="008C0D90">
      <w:pPr>
        <w:ind w:left="1068"/>
        <w:rPr>
          <w:b/>
          <w:sz w:val="22"/>
          <w:lang w:val="es-EC"/>
        </w:rPr>
      </w:pPr>
      <w:r w:rsidRPr="00576AF8">
        <w:rPr>
          <w:sz w:val="22"/>
          <w:szCs w:val="22"/>
          <w:u w:val="single"/>
          <w:lang w:val="es-EC" w:eastAsia="en-US"/>
        </w:rPr>
        <w:t>*</w:t>
      </w:r>
    </w:p>
    <w:p w14:paraId="721FFAB2" w14:textId="77777777" w:rsidR="009102A7" w:rsidRPr="00576AF8" w:rsidRDefault="009102A7" w:rsidP="009102A7">
      <w:pPr>
        <w:ind w:left="284"/>
        <w:rPr>
          <w:b/>
          <w:sz w:val="22"/>
          <w:szCs w:val="22"/>
          <w:lang w:val="es-EC" w:eastAsia="en-US"/>
        </w:rPr>
      </w:pPr>
      <w:r w:rsidRPr="00576AF8">
        <w:rPr>
          <w:b/>
          <w:sz w:val="22"/>
          <w:szCs w:val="22"/>
          <w:lang w:val="es-EC" w:eastAsia="en-US"/>
        </w:rPr>
        <w:t>Responsabilidades</w:t>
      </w:r>
    </w:p>
    <w:p w14:paraId="4FE16F6E" w14:textId="77777777" w:rsidR="009102A7" w:rsidRPr="00576AF8" w:rsidRDefault="009102A7" w:rsidP="009102A7">
      <w:pPr>
        <w:ind w:firstLine="708"/>
        <w:rPr>
          <w:sz w:val="22"/>
          <w:szCs w:val="22"/>
          <w:lang w:val="es-EC" w:eastAsia="es-EC"/>
        </w:rPr>
      </w:pPr>
      <w:r w:rsidRPr="00576AF8">
        <w:rPr>
          <w:sz w:val="22"/>
          <w:szCs w:val="22"/>
          <w:lang w:val="es-EC" w:eastAsia="en-US"/>
        </w:rPr>
        <w:t>Las principales responsabilidades del Proveedor son: </w:t>
      </w:r>
    </w:p>
    <w:p w14:paraId="167CB70A"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 xml:space="preserve">Presentar toda la documentación de pruebas asociadas con un subsistema o sistema para la aprobación </w:t>
      </w:r>
      <w:r w:rsidR="00593894" w:rsidRPr="00576AF8">
        <w:rPr>
          <w:sz w:val="22"/>
          <w:szCs w:val="22"/>
          <w:lang w:val="es-EC" w:eastAsia="en-US"/>
        </w:rPr>
        <w:t>del Comprador</w:t>
      </w:r>
      <w:r w:rsidRPr="00576AF8">
        <w:rPr>
          <w:sz w:val="22"/>
          <w:szCs w:val="22"/>
          <w:lang w:val="es-EC" w:eastAsia="en-US"/>
        </w:rPr>
        <w:t>, al menos dos (2) meses antes del comienzo de la prueba asociada. </w:t>
      </w:r>
    </w:p>
    <w:p w14:paraId="4986B993"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Crear planes de prueba escritos, cronogramas, procedimientos, declaraciones de métodos, hojas de registro de pruebas y procedimientos para el informe de fallas, para todas las pruebas. </w:t>
      </w:r>
    </w:p>
    <w:p w14:paraId="508A060E"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lastRenderedPageBreak/>
        <w:t>Asegurarse de que toda la documentación de la prueba asociada haya sido revisada y aprobada por CENACE, antes del comienzo de la prueba correspondiente. </w:t>
      </w:r>
    </w:p>
    <w:p w14:paraId="5A173621"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Proporcionar el equipo de prueba, el software de prueba, el personal y las instalaciones para realizar las pruebas.</w:t>
      </w:r>
    </w:p>
    <w:p w14:paraId="4784712C"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Proporcionar facilidades en sus instalaciones para que el personal del CENACE pueda presenciar cualquier prueba en fábrica (PRE-FAT o FAT). </w:t>
      </w:r>
    </w:p>
    <w:p w14:paraId="3EF66F04"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Producir registros permanentes del avance y resultados de las pruebas, de manera sistemática y formal. </w:t>
      </w:r>
    </w:p>
    <w:p w14:paraId="0F0DB19E"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Llevar a cabo todos los trabajos de reparación y volver a realizar las pruebas necesarias para que el equipo o subsistema pase las pruebas exitosamente. </w:t>
      </w:r>
    </w:p>
    <w:p w14:paraId="1B63A09D" w14:textId="77777777" w:rsidR="009102A7" w:rsidRPr="00576AF8" w:rsidRDefault="009102A7" w:rsidP="009102A7">
      <w:pPr>
        <w:numPr>
          <w:ilvl w:val="0"/>
          <w:numId w:val="409"/>
        </w:numPr>
        <w:ind w:left="1276" w:hanging="434"/>
        <w:rPr>
          <w:sz w:val="22"/>
          <w:szCs w:val="22"/>
          <w:lang w:val="es-EC" w:eastAsia="en-US"/>
        </w:rPr>
      </w:pPr>
      <w:r w:rsidRPr="00576AF8">
        <w:rPr>
          <w:sz w:val="22"/>
          <w:szCs w:val="22"/>
          <w:lang w:val="es-EC" w:eastAsia="en-US"/>
        </w:rPr>
        <w:t>Llevar a cabo con éxito todas las pruebas de acuerdo con los procedimientos de prueba aprobados y corregir cualquier error antes de las pruebas de aceptación en sitio.</w:t>
      </w:r>
    </w:p>
    <w:p w14:paraId="581572F0" w14:textId="77777777" w:rsidR="009102A7" w:rsidRPr="00576AF8" w:rsidRDefault="009102A7" w:rsidP="009102A7">
      <w:pPr>
        <w:numPr>
          <w:ilvl w:val="0"/>
          <w:numId w:val="409"/>
        </w:numPr>
        <w:ind w:left="1276" w:hanging="434"/>
        <w:rPr>
          <w:sz w:val="22"/>
          <w:szCs w:val="22"/>
          <w:lang w:val="es-EC" w:eastAsia="en-US" w:bidi="ar-SA"/>
        </w:rPr>
      </w:pPr>
      <w:r w:rsidRPr="00576AF8">
        <w:rPr>
          <w:sz w:val="22"/>
          <w:szCs w:val="22"/>
          <w:lang w:val="es-EC" w:eastAsia="en-US" w:bidi="ar-SA"/>
        </w:rPr>
        <w:t>Será responsabilidad exclusiva del Proveedor asegurarse de que los equipos y software de terceros estén en condiciones adecuadas para que se realicen las pruebas del Proveedor.</w:t>
      </w:r>
    </w:p>
    <w:p w14:paraId="49E73B1A" w14:textId="77777777" w:rsidR="009102A7" w:rsidRPr="00576AF8" w:rsidRDefault="009102A7" w:rsidP="009102A7">
      <w:pPr>
        <w:numPr>
          <w:ilvl w:val="0"/>
          <w:numId w:val="409"/>
        </w:numPr>
        <w:ind w:left="1276" w:hanging="434"/>
        <w:rPr>
          <w:sz w:val="22"/>
          <w:szCs w:val="22"/>
          <w:lang w:val="es-EC" w:eastAsia="en-US" w:bidi="ar-SA"/>
        </w:rPr>
      </w:pPr>
      <w:r w:rsidRPr="00576AF8">
        <w:rPr>
          <w:sz w:val="22"/>
          <w:szCs w:val="22"/>
          <w:lang w:val="es-EC" w:eastAsia="en-US" w:bidi="ar-SA"/>
        </w:rPr>
        <w:t>El Proveedor proporcionará todo el equipo y los servicios necesarios para las pruebas, incluidos los emuladores, simuladores de protocolos, software de prueba y cualquier recurso requerido, para permitir pruebas completas de las funciones y el rendimiento del Sistema. </w:t>
      </w:r>
    </w:p>
    <w:p w14:paraId="46D32D16" w14:textId="77777777" w:rsidR="009102A7" w:rsidRPr="00576AF8" w:rsidRDefault="009102A7" w:rsidP="009102A7">
      <w:pPr>
        <w:numPr>
          <w:ilvl w:val="0"/>
          <w:numId w:val="409"/>
        </w:numPr>
        <w:ind w:left="1276" w:hanging="434"/>
        <w:rPr>
          <w:sz w:val="22"/>
          <w:szCs w:val="22"/>
          <w:lang w:val="es-EC" w:eastAsia="en-US" w:bidi="ar-SA"/>
        </w:rPr>
      </w:pPr>
      <w:r w:rsidRPr="00576AF8">
        <w:rPr>
          <w:sz w:val="22"/>
          <w:szCs w:val="22"/>
          <w:lang w:val="es-EC" w:eastAsia="en-US"/>
        </w:rPr>
        <w:t>Todo</w:t>
      </w:r>
      <w:r w:rsidRPr="00576AF8">
        <w:rPr>
          <w:sz w:val="22"/>
          <w:szCs w:val="22"/>
          <w:lang w:val="es-EC" w:eastAsia="en-US" w:bidi="ar-SA"/>
        </w:rPr>
        <w:t xml:space="preserve"> el software de prueba estará sujeto a los requisitos formales de garantía de calidad.</w:t>
      </w:r>
    </w:p>
    <w:p w14:paraId="2E757A43" w14:textId="77777777" w:rsidR="009102A7" w:rsidRPr="00576AF8" w:rsidRDefault="009102A7" w:rsidP="009102A7">
      <w:pPr>
        <w:ind w:left="709"/>
        <w:rPr>
          <w:sz w:val="22"/>
          <w:szCs w:val="22"/>
          <w:lang w:val="es-EC" w:eastAsia="en-US"/>
        </w:rPr>
      </w:pPr>
      <w:r w:rsidRPr="00576AF8">
        <w:rPr>
          <w:sz w:val="22"/>
          <w:szCs w:val="22"/>
          <w:lang w:val="es-EC" w:eastAsia="en-US"/>
        </w:rPr>
        <w:t>Cada una de las responsabilidades anteriores se cumplirá a satisfacción del CENACE y su aprobación no implicará ninguna disminución de las responsabilidades del Proveedor. </w:t>
      </w:r>
    </w:p>
    <w:p w14:paraId="6BE02AF0" w14:textId="77777777" w:rsidR="009102A7" w:rsidRPr="00576AF8" w:rsidRDefault="009102A7" w:rsidP="009102A7">
      <w:pPr>
        <w:ind w:left="708" w:firstLine="1"/>
        <w:rPr>
          <w:b/>
          <w:sz w:val="22"/>
          <w:szCs w:val="22"/>
        </w:rPr>
      </w:pPr>
      <w:r w:rsidRPr="00576AF8">
        <w:rPr>
          <w:sz w:val="22"/>
          <w:szCs w:val="22"/>
          <w:lang w:val="es-EC"/>
        </w:rPr>
        <w:t>Será responsabilidad exclusiva del Proveedor asegurarse de que los equipos y software de terceros estén en condiciones adecuadas para que se realicen las pruebas del Proveedor.</w:t>
      </w:r>
    </w:p>
    <w:p w14:paraId="11DC27C9" w14:textId="77777777" w:rsidR="009102A7" w:rsidRPr="00576AF8" w:rsidRDefault="009102A7" w:rsidP="009102A7">
      <w:pPr>
        <w:ind w:left="284"/>
        <w:rPr>
          <w:b/>
        </w:rPr>
      </w:pPr>
      <w:r w:rsidRPr="00576AF8">
        <w:rPr>
          <w:b/>
          <w:sz w:val="22"/>
          <w:szCs w:val="22"/>
        </w:rPr>
        <w:t xml:space="preserve">Etapas de las Inspecciones </w:t>
      </w:r>
      <w:bookmarkEnd w:id="1320"/>
      <w:bookmarkEnd w:id="1321"/>
      <w:bookmarkEnd w:id="1322"/>
      <w:r w:rsidRPr="00576AF8">
        <w:rPr>
          <w:b/>
          <w:sz w:val="22"/>
          <w:szCs w:val="22"/>
        </w:rPr>
        <w:t>(Pruebas)</w:t>
      </w:r>
    </w:p>
    <w:p w14:paraId="45EF0164" w14:textId="77777777" w:rsidR="009102A7" w:rsidRPr="00576AF8" w:rsidRDefault="009102A7" w:rsidP="009102A7">
      <w:pPr>
        <w:spacing w:line="360" w:lineRule="auto"/>
        <w:ind w:left="284"/>
        <w:rPr>
          <w:sz w:val="22"/>
          <w:szCs w:val="22"/>
          <w:lang w:val="es-EC"/>
        </w:rPr>
      </w:pPr>
      <w:r w:rsidRPr="00576AF8">
        <w:rPr>
          <w:sz w:val="22"/>
          <w:szCs w:val="22"/>
          <w:lang w:val="es-EC"/>
        </w:rPr>
        <w:t>El Proveedor debe proporcionar los servicios para la inspección (pruebas) de los equipos</w:t>
      </w:r>
      <w:r w:rsidRPr="00576AF8">
        <w:rPr>
          <w:color w:val="000000"/>
          <w:sz w:val="22"/>
          <w:szCs w:val="22"/>
          <w:lang w:val="es-EC" w:eastAsia="es-EC" w:bidi="ar-SA"/>
        </w:rPr>
        <w:t>, componentes, accesorios</w:t>
      </w:r>
      <w:r w:rsidRPr="00576AF8">
        <w:rPr>
          <w:sz w:val="22"/>
          <w:szCs w:val="22"/>
          <w:lang w:val="es-EC"/>
        </w:rPr>
        <w:t xml:space="preserve"> y del sistema SCADA/EMS adquirido. </w:t>
      </w:r>
      <w:r w:rsidRPr="00576AF8">
        <w:rPr>
          <w:color w:val="000000"/>
          <w:sz w:val="22"/>
          <w:szCs w:val="22"/>
          <w:lang w:val="es-EC" w:eastAsia="es-EC" w:bidi="ar-SA"/>
        </w:rPr>
        <w:t xml:space="preserve">Las inspecciones (pruebas) se realizarán de acuerdo con el Plan de </w:t>
      </w:r>
      <w:r w:rsidR="004C4901" w:rsidRPr="00576AF8">
        <w:rPr>
          <w:color w:val="000000"/>
          <w:sz w:val="22"/>
          <w:szCs w:val="22"/>
          <w:lang w:val="es-EC" w:eastAsia="es-EC" w:bidi="ar-SA"/>
        </w:rPr>
        <w:t xml:space="preserve">Inspecciones y Pruebas y Aseguramiento de la </w:t>
      </w:r>
      <w:r w:rsidRPr="00576AF8">
        <w:rPr>
          <w:color w:val="000000"/>
          <w:sz w:val="22"/>
          <w:szCs w:val="22"/>
          <w:lang w:val="es-EC" w:eastAsia="es-EC" w:bidi="ar-SA"/>
        </w:rPr>
        <w:t xml:space="preserve">Calidad del Proveedor. Las inspecciones (pruebas) de producción e integración de software se realizarán de acuerdo con los requisitos de software de esta especificación y el </w:t>
      </w:r>
      <w:r w:rsidR="004C4901" w:rsidRPr="00576AF8">
        <w:rPr>
          <w:color w:val="000000"/>
          <w:sz w:val="22"/>
          <w:szCs w:val="22"/>
          <w:lang w:val="es-EC" w:eastAsia="es-EC" w:bidi="ar-SA"/>
        </w:rPr>
        <w:t>Plan de Inspecciones y Pruebas y Aseguramiento de la Calidad del Proveedor</w:t>
      </w:r>
      <w:r w:rsidRPr="00576AF8">
        <w:rPr>
          <w:color w:val="000000"/>
          <w:sz w:val="22"/>
          <w:szCs w:val="22"/>
          <w:lang w:val="es-EC" w:eastAsia="es-EC" w:bidi="ar-SA"/>
        </w:rPr>
        <w:t>. </w:t>
      </w:r>
    </w:p>
    <w:p w14:paraId="7D153C15" w14:textId="77777777" w:rsidR="009102A7" w:rsidRPr="00576AF8" w:rsidRDefault="009102A7" w:rsidP="009102A7">
      <w:pPr>
        <w:suppressAutoHyphens w:val="0"/>
        <w:spacing w:after="0"/>
        <w:rPr>
          <w:color w:val="000000"/>
          <w:sz w:val="22"/>
          <w:szCs w:val="22"/>
          <w:lang w:val="es-EC" w:eastAsia="es-EC" w:bidi="ar-SA"/>
        </w:rPr>
      </w:pPr>
    </w:p>
    <w:p w14:paraId="32AEDAE8" w14:textId="77777777" w:rsidR="009102A7" w:rsidRPr="00576AF8" w:rsidRDefault="009102A7" w:rsidP="009102A7">
      <w:pPr>
        <w:suppressAutoHyphens w:val="0"/>
        <w:spacing w:after="0"/>
        <w:ind w:left="284"/>
        <w:rPr>
          <w:color w:val="000000"/>
          <w:sz w:val="22"/>
          <w:szCs w:val="22"/>
          <w:lang w:val="es-EC" w:eastAsia="es-EC" w:bidi="ar-SA"/>
        </w:rPr>
      </w:pPr>
      <w:r w:rsidRPr="00576AF8">
        <w:rPr>
          <w:color w:val="000000"/>
          <w:sz w:val="22"/>
          <w:szCs w:val="22"/>
          <w:lang w:val="es-EC" w:eastAsia="es-EC" w:bidi="ar-SA"/>
        </w:rPr>
        <w:t>Las etapas de prueba (inspecciones) que deberán realizarse</w:t>
      </w:r>
      <w:r w:rsidR="004C4901" w:rsidRPr="00576AF8">
        <w:rPr>
          <w:color w:val="000000"/>
          <w:sz w:val="22"/>
          <w:szCs w:val="22"/>
          <w:lang w:val="es-EC" w:eastAsia="es-EC" w:bidi="ar-SA"/>
        </w:rPr>
        <w:t xml:space="preserve"> y que deben constar en el Plan de Inspecciones y Pruebas y Aseguramiento de la Calidad del Proveedor</w:t>
      </w:r>
      <w:r w:rsidRPr="00576AF8">
        <w:rPr>
          <w:color w:val="000000"/>
          <w:sz w:val="22"/>
          <w:szCs w:val="22"/>
          <w:lang w:val="es-EC" w:eastAsia="es-EC" w:bidi="ar-SA"/>
        </w:rPr>
        <w:t>, a nivel general, son:</w:t>
      </w:r>
    </w:p>
    <w:p w14:paraId="7910B1B2"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de tipo:</w:t>
      </w:r>
      <w:r w:rsidRPr="00576AF8">
        <w:rPr>
          <w:color w:val="000000"/>
          <w:sz w:val="22"/>
          <w:szCs w:val="22"/>
          <w:lang w:val="es-EC" w:eastAsia="es-EC" w:bidi="ar-SA"/>
        </w:rPr>
        <w:t xml:space="preserve"> </w:t>
      </w:r>
      <w:bookmarkStart w:id="1323" w:name="_Hlk160112435"/>
      <w:r w:rsidRPr="00576AF8">
        <w:rPr>
          <w:color w:val="000000"/>
          <w:sz w:val="22"/>
          <w:szCs w:val="22"/>
          <w:lang w:val="es-EC" w:eastAsia="es-EC" w:bidi="ar-SA"/>
        </w:rPr>
        <w:t>para demostrar que el equipo recibido para su integración en fábrica cumple con las especificaciones.</w:t>
      </w:r>
    </w:p>
    <w:p w14:paraId="107DFB71"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pre-FAT:</w:t>
      </w:r>
      <w:r w:rsidRPr="00576AF8">
        <w:rPr>
          <w:color w:val="000000"/>
          <w:sz w:val="22"/>
          <w:szCs w:val="22"/>
          <w:lang w:val="es-EC" w:eastAsia="es-EC" w:bidi="ar-SA"/>
        </w:rPr>
        <w:t xml:space="preserve"> para probar el diseño de los sistemas antes de que el mismo sea utilizado en el Sistema FAT. </w:t>
      </w:r>
    </w:p>
    <w:p w14:paraId="4C23E89B"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FAT:</w:t>
      </w:r>
      <w:r w:rsidRPr="00576AF8">
        <w:rPr>
          <w:color w:val="000000"/>
          <w:sz w:val="22"/>
          <w:szCs w:val="22"/>
          <w:lang w:val="es-EC" w:eastAsia="es-EC" w:bidi="ar-SA"/>
        </w:rPr>
        <w:t xml:space="preserve"> para comprobar que la totalidad de los equipos y sistemas suministrados para este proyecto, funcionan de acuerdo con los requerimientos técnicos establecidos. </w:t>
      </w:r>
    </w:p>
    <w:p w14:paraId="189F51E3"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de instalación en el sitio:</w:t>
      </w:r>
      <w:r w:rsidRPr="00576AF8">
        <w:rPr>
          <w:color w:val="000000"/>
          <w:sz w:val="22"/>
          <w:szCs w:val="22"/>
          <w:lang w:val="es-EC" w:eastAsia="es-EC" w:bidi="ar-SA"/>
        </w:rPr>
        <w:t xml:space="preserve"> para verificar el funcionamiento de equipos, subsistemas y sistemas después de la instalación </w:t>
      </w:r>
    </w:p>
    <w:p w14:paraId="33152132"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color w:val="000000"/>
          <w:sz w:val="22"/>
          <w:szCs w:val="22"/>
          <w:lang w:val="es-EC" w:eastAsia="es-EC" w:bidi="ar-SA"/>
        </w:rPr>
        <w:lastRenderedPageBreak/>
        <w:t>Período de actualización en el sitio:</w:t>
      </w:r>
      <w:r w:rsidRPr="00576AF8">
        <w:rPr>
          <w:color w:val="000000"/>
          <w:sz w:val="22"/>
          <w:szCs w:val="22"/>
          <w:lang w:val="es-EC" w:eastAsia="es-EC" w:bidi="ar-SA"/>
        </w:rPr>
        <w:t xml:space="preserve"> para actualizar y verificar la base de datos SCADA/EMS. </w:t>
      </w:r>
    </w:p>
    <w:p w14:paraId="4CA749B0"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punto a punto:</w:t>
      </w:r>
      <w:r w:rsidRPr="00576AF8">
        <w:rPr>
          <w:color w:val="000000"/>
          <w:sz w:val="22"/>
          <w:szCs w:val="22"/>
          <w:lang w:val="es-EC" w:eastAsia="es-EC" w:bidi="ar-SA"/>
        </w:rPr>
        <w:t xml:space="preserve"> de los puntos telemedidos del SCADA.</w:t>
      </w:r>
    </w:p>
    <w:p w14:paraId="48C2CC90"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de aceptación en sitio SAT:</w:t>
      </w:r>
      <w:r w:rsidRPr="00576AF8">
        <w:rPr>
          <w:color w:val="000000"/>
          <w:sz w:val="22"/>
          <w:szCs w:val="22"/>
          <w:lang w:val="es-EC" w:eastAsia="es-EC" w:bidi="ar-SA"/>
        </w:rPr>
        <w:t xml:space="preserve"> estas pruebas demuestran que el diseño general del sistema funciona de acuerdo con los requerimientos técnicos establecidos en este documento e interactúa correctamente con otros sistemas o equipos.</w:t>
      </w:r>
    </w:p>
    <w:p w14:paraId="742E922A" w14:textId="77777777" w:rsidR="009102A7" w:rsidRPr="00576AF8" w:rsidRDefault="009102A7" w:rsidP="009102A7">
      <w:pPr>
        <w:numPr>
          <w:ilvl w:val="1"/>
          <w:numId w:val="410"/>
        </w:numPr>
        <w:suppressAutoHyphens w:val="0"/>
        <w:spacing w:before="120" w:after="0"/>
        <w:ind w:left="1134" w:hanging="567"/>
        <w:textAlignment w:val="baseline"/>
        <w:rPr>
          <w:color w:val="000000"/>
          <w:sz w:val="22"/>
          <w:szCs w:val="22"/>
          <w:lang w:val="es-EC" w:eastAsia="es-EC" w:bidi="ar-SA"/>
        </w:rPr>
      </w:pPr>
      <w:r w:rsidRPr="00576AF8">
        <w:rPr>
          <w:b/>
          <w:sz w:val="22"/>
          <w:szCs w:val="22"/>
        </w:rPr>
        <w:t>Inspecciones (Pruebas)</w:t>
      </w:r>
      <w:r w:rsidRPr="00576AF8">
        <w:rPr>
          <w:b/>
          <w:color w:val="000000"/>
          <w:sz w:val="22"/>
          <w:szCs w:val="22"/>
          <w:lang w:val="es-EC" w:eastAsia="es-EC" w:bidi="ar-SA"/>
        </w:rPr>
        <w:t xml:space="preserve"> de desempeño:</w:t>
      </w:r>
      <w:r w:rsidRPr="00576AF8">
        <w:rPr>
          <w:color w:val="000000"/>
          <w:sz w:val="22"/>
          <w:szCs w:val="22"/>
          <w:lang w:val="es-EC" w:eastAsia="es-EC" w:bidi="ar-SA"/>
        </w:rPr>
        <w:t xml:space="preserve"> </w:t>
      </w:r>
      <w:r w:rsidRPr="00576AF8">
        <w:rPr>
          <w:sz w:val="22"/>
          <w:szCs w:val="22"/>
        </w:rPr>
        <w:t>Tienen el propósito de demostrar los requerimientos</w:t>
      </w:r>
      <w:r w:rsidRPr="00576AF8">
        <w:rPr>
          <w:color w:val="000000"/>
          <w:sz w:val="22"/>
          <w:szCs w:val="22"/>
          <w:lang w:val="es-EC" w:eastAsia="es-EC" w:bidi="ar-SA"/>
        </w:rPr>
        <w:t xml:space="preserve"> de rendimiento del sistema y deben ser ejecutadas tanto en fábrica (FAT) como en sitio (SAT), los conceptos generales de estas pruebas están indicados en el literal 1.5 Requisitos de rendimiento del sistema SCADA/EMS </w:t>
      </w:r>
      <w:r w:rsidR="00593894" w:rsidRPr="00576AF8">
        <w:rPr>
          <w:color w:val="000000"/>
          <w:sz w:val="22"/>
          <w:szCs w:val="22"/>
          <w:lang w:val="es-EC" w:eastAsia="es-EC" w:bidi="ar-SA"/>
        </w:rPr>
        <w:t>del Comprador</w:t>
      </w:r>
      <w:r w:rsidRPr="00576AF8">
        <w:rPr>
          <w:color w:val="000000"/>
          <w:sz w:val="22"/>
          <w:szCs w:val="22"/>
          <w:lang w:val="es-EC" w:eastAsia="es-EC" w:bidi="ar-SA"/>
        </w:rPr>
        <w:t>.</w:t>
      </w:r>
    </w:p>
    <w:p w14:paraId="39AA5E01" w14:textId="77777777" w:rsidR="009102A7" w:rsidRPr="00576AF8" w:rsidRDefault="009102A7" w:rsidP="009102A7">
      <w:pPr>
        <w:numPr>
          <w:ilvl w:val="1"/>
          <w:numId w:val="410"/>
        </w:numPr>
        <w:suppressAutoHyphens w:val="0"/>
        <w:spacing w:before="120" w:after="0"/>
        <w:ind w:left="1134" w:hanging="567"/>
        <w:textAlignment w:val="baseline"/>
        <w:rPr>
          <w:sz w:val="22"/>
          <w:szCs w:val="22"/>
          <w:lang w:val="es-419" w:eastAsia="en-US" w:bidi="ar-SA"/>
        </w:rPr>
      </w:pPr>
      <w:r w:rsidRPr="00576AF8">
        <w:rPr>
          <w:b/>
          <w:color w:val="000000"/>
          <w:sz w:val="22"/>
          <w:szCs w:val="22"/>
          <w:lang w:val="es-EC" w:eastAsia="es-EC" w:bidi="ar-SA"/>
        </w:rPr>
        <w:t>Periodo de prueba o disponibilidad:</w:t>
      </w:r>
      <w:r w:rsidRPr="00576AF8">
        <w:rPr>
          <w:color w:val="000000"/>
          <w:sz w:val="22"/>
          <w:szCs w:val="22"/>
          <w:lang w:val="es-EC" w:eastAsia="es-EC" w:bidi="ar-SA"/>
        </w:rPr>
        <w:t xml:space="preserve"> una vez realizado el cutover del sistema actual al nuevo SCADA/EMS, se inicia un período de prueba de funcionamiento en tiempo real, para demostrar la confiabilidad, disponibilidad, estabilidad y robustez del sistema por un período de 500 Horas.</w:t>
      </w:r>
      <w:bookmarkEnd w:id="1323"/>
    </w:p>
    <w:p w14:paraId="57E512DF" w14:textId="77777777" w:rsidR="009102A7" w:rsidRPr="00576AF8" w:rsidRDefault="009102A7" w:rsidP="009102A7">
      <w:pPr>
        <w:ind w:left="1440" w:right="41" w:hanging="720"/>
        <w:rPr>
          <w:color w:val="4472C4"/>
          <w:sz w:val="22"/>
          <w:szCs w:val="22"/>
          <w:lang w:val="es-EC"/>
        </w:rPr>
      </w:pPr>
    </w:p>
    <w:p w14:paraId="0A11CBEF" w14:textId="77777777" w:rsidR="009102A7" w:rsidRPr="00576AF8" w:rsidRDefault="00A9321D" w:rsidP="009102A7">
      <w:pPr>
        <w:ind w:left="284"/>
        <w:jc w:val="left"/>
        <w:outlineLvl w:val="2"/>
        <w:rPr>
          <w:b/>
          <w:sz w:val="22"/>
          <w:szCs w:val="22"/>
        </w:rPr>
      </w:pPr>
      <w:r w:rsidRPr="00576AF8">
        <w:rPr>
          <w:b/>
          <w:sz w:val="22"/>
          <w:szCs w:val="22"/>
        </w:rPr>
        <w:t>Plan de Inspecciones y Pruebas y Aseguramiento de la Calidad del Proveedor</w:t>
      </w:r>
    </w:p>
    <w:p w14:paraId="67C937E9"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Como parte de la documentación del </w:t>
      </w:r>
      <w:r w:rsidR="00A9321D" w:rsidRPr="00576AF8">
        <w:rPr>
          <w:color w:val="000000"/>
          <w:sz w:val="22"/>
          <w:szCs w:val="22"/>
          <w:lang w:val="es-EC" w:eastAsia="es-EC" w:bidi="ar-SA"/>
        </w:rPr>
        <w:t xml:space="preserve">Plan </w:t>
      </w:r>
      <w:r w:rsidRPr="00576AF8">
        <w:rPr>
          <w:color w:val="000000"/>
          <w:sz w:val="22"/>
          <w:szCs w:val="22"/>
          <w:lang w:val="es-EC" w:eastAsia="es-EC" w:bidi="ar-SA"/>
        </w:rPr>
        <w:t xml:space="preserve">de Trabajo, el Proveedor proporcionará </w:t>
      </w:r>
      <w:r w:rsidR="00996873" w:rsidRPr="00576AF8">
        <w:rPr>
          <w:color w:val="000000"/>
          <w:sz w:val="22"/>
          <w:szCs w:val="22"/>
          <w:lang w:val="es-EC" w:eastAsia="es-EC" w:bidi="ar-SA"/>
        </w:rPr>
        <w:t xml:space="preserve">para aprobación del Comprador, </w:t>
      </w:r>
      <w:r w:rsidRPr="00576AF8">
        <w:rPr>
          <w:color w:val="000000"/>
          <w:sz w:val="22"/>
          <w:szCs w:val="22"/>
          <w:lang w:val="es-EC" w:eastAsia="es-EC" w:bidi="ar-SA"/>
        </w:rPr>
        <w:t>un plan maestro en el que se indiquen las fechas previstas de las pruebas y realizará actualizaciones de este plan, cuando se conozcan cambios, al menos 30 días calendarios antes del comienzo. </w:t>
      </w:r>
    </w:p>
    <w:p w14:paraId="2D72C64E"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Todo el software y el equipo proporcionado por el Proveedor se probará de acuerdo con los requerimientos técnicos del CENACE, las normas aplicables y </w:t>
      </w:r>
      <w:r w:rsidR="00340B75" w:rsidRPr="00576AF8">
        <w:rPr>
          <w:color w:val="000000"/>
          <w:sz w:val="22"/>
          <w:szCs w:val="22"/>
          <w:lang w:val="es-EC" w:eastAsia="es-EC" w:bidi="ar-SA"/>
        </w:rPr>
        <w:t>los protocolos</w:t>
      </w:r>
      <w:r w:rsidRPr="00576AF8">
        <w:rPr>
          <w:color w:val="000000"/>
          <w:sz w:val="22"/>
          <w:szCs w:val="22"/>
          <w:lang w:val="es-EC" w:eastAsia="es-EC" w:bidi="ar-SA"/>
        </w:rPr>
        <w:t xml:space="preserve"> de prueba</w:t>
      </w:r>
      <w:r w:rsidR="00340B75" w:rsidRPr="00576AF8">
        <w:rPr>
          <w:color w:val="000000"/>
          <w:sz w:val="22"/>
          <w:szCs w:val="22"/>
          <w:lang w:val="es-EC" w:eastAsia="es-EC" w:bidi="ar-SA"/>
        </w:rPr>
        <w:t xml:space="preserve"> presentados por el </w:t>
      </w:r>
      <w:r w:rsidR="00996873" w:rsidRPr="00576AF8">
        <w:rPr>
          <w:color w:val="000000"/>
          <w:sz w:val="22"/>
          <w:szCs w:val="22"/>
          <w:lang w:val="es-EC" w:eastAsia="es-EC" w:bidi="ar-SA"/>
        </w:rPr>
        <w:t>P</w:t>
      </w:r>
      <w:r w:rsidR="00340B75" w:rsidRPr="00576AF8">
        <w:rPr>
          <w:color w:val="000000"/>
          <w:sz w:val="22"/>
          <w:szCs w:val="22"/>
          <w:lang w:val="es-EC" w:eastAsia="es-EC" w:bidi="ar-SA"/>
        </w:rPr>
        <w:t>roveedor y aprobados por el Comprador</w:t>
      </w:r>
      <w:r w:rsidRPr="00576AF8">
        <w:rPr>
          <w:color w:val="000000"/>
          <w:sz w:val="22"/>
          <w:szCs w:val="22"/>
          <w:lang w:val="es-EC" w:eastAsia="es-EC" w:bidi="ar-SA"/>
        </w:rPr>
        <w:t>. El CENACE tendrá derecho a realizar pruebas, ensayos e inspecciones durante el desarrollo e integración del software en la fábrica. </w:t>
      </w:r>
    </w:p>
    <w:p w14:paraId="272E5DF4"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Antes de declarar cualquier equipo/software listo para la prueba, el Proveedor se asegurará de que se cumplan al menos las siguientes condiciones: </w:t>
      </w:r>
    </w:p>
    <w:p w14:paraId="38D71549" w14:textId="77777777" w:rsidR="009102A7" w:rsidRPr="00576AF8" w:rsidRDefault="009102A7" w:rsidP="009102A7">
      <w:pPr>
        <w:numPr>
          <w:ilvl w:val="0"/>
          <w:numId w:val="412"/>
        </w:numPr>
        <w:suppressAutoHyphens w:val="0"/>
        <w:spacing w:after="0"/>
        <w:ind w:left="1134"/>
        <w:contextualSpacing/>
        <w:rPr>
          <w:color w:val="000000"/>
          <w:sz w:val="22"/>
          <w:szCs w:val="22"/>
          <w:lang w:val="es-EC" w:eastAsia="es-EC" w:bidi="ar-SA"/>
        </w:rPr>
      </w:pPr>
      <w:r w:rsidRPr="00576AF8">
        <w:rPr>
          <w:color w:val="000000"/>
          <w:sz w:val="22"/>
          <w:szCs w:val="22"/>
          <w:lang w:val="es-EC" w:eastAsia="es-EC" w:bidi="ar-SA"/>
        </w:rPr>
        <w:t>Los documentos de diseño relacionados han sido presentados y aprobados por el CENACE. </w:t>
      </w:r>
    </w:p>
    <w:p w14:paraId="2E585B7A" w14:textId="77777777" w:rsidR="009102A7" w:rsidRPr="00576AF8" w:rsidRDefault="009102A7" w:rsidP="009102A7">
      <w:pPr>
        <w:numPr>
          <w:ilvl w:val="0"/>
          <w:numId w:val="412"/>
        </w:numPr>
        <w:suppressAutoHyphens w:val="0"/>
        <w:spacing w:after="0"/>
        <w:ind w:left="1134"/>
        <w:contextualSpacing/>
        <w:rPr>
          <w:color w:val="000000"/>
          <w:sz w:val="22"/>
          <w:szCs w:val="22"/>
          <w:lang w:val="es-EC" w:eastAsia="es-EC" w:bidi="ar-SA"/>
        </w:rPr>
      </w:pPr>
      <w:r w:rsidRPr="00576AF8">
        <w:rPr>
          <w:color w:val="000000"/>
          <w:sz w:val="22"/>
          <w:szCs w:val="22"/>
          <w:lang w:val="es-EC" w:eastAsia="es-EC" w:bidi="ar-SA"/>
        </w:rPr>
        <w:t>El plan de pruebas y los procedimientos para las pruebas han sido presentados y aprobados por el CENACE. </w:t>
      </w:r>
    </w:p>
    <w:p w14:paraId="0EBA1584" w14:textId="77777777" w:rsidR="009102A7" w:rsidRPr="00576AF8" w:rsidRDefault="009102A7" w:rsidP="009102A7">
      <w:pPr>
        <w:numPr>
          <w:ilvl w:val="0"/>
          <w:numId w:val="412"/>
        </w:numPr>
        <w:suppressAutoHyphens w:val="0"/>
        <w:spacing w:after="0"/>
        <w:ind w:left="1134"/>
        <w:contextualSpacing/>
        <w:rPr>
          <w:color w:val="000000"/>
          <w:sz w:val="22"/>
          <w:szCs w:val="22"/>
          <w:lang w:val="es-EC" w:eastAsia="es-EC" w:bidi="ar-SA"/>
        </w:rPr>
      </w:pPr>
      <w:r w:rsidRPr="00576AF8">
        <w:rPr>
          <w:color w:val="000000"/>
          <w:sz w:val="22"/>
          <w:szCs w:val="22"/>
          <w:lang w:val="es-EC" w:eastAsia="es-EC" w:bidi="ar-SA"/>
        </w:rPr>
        <w:t>Se han considerado todos los requisitos aplicables a la prueba. No hay problemas pendientes que puedan tener impacto en el equipo y/o software a probar. </w:t>
      </w:r>
    </w:p>
    <w:p w14:paraId="13D8134A" w14:textId="77777777" w:rsidR="009102A7" w:rsidRPr="00576AF8" w:rsidRDefault="009102A7" w:rsidP="009102A7">
      <w:pPr>
        <w:numPr>
          <w:ilvl w:val="0"/>
          <w:numId w:val="412"/>
        </w:numPr>
        <w:suppressAutoHyphens w:val="0"/>
        <w:spacing w:after="0"/>
        <w:ind w:left="1134"/>
        <w:contextualSpacing/>
        <w:rPr>
          <w:color w:val="000000"/>
          <w:sz w:val="22"/>
          <w:szCs w:val="22"/>
          <w:lang w:val="es-EC" w:eastAsia="es-EC" w:bidi="ar-SA"/>
        </w:rPr>
      </w:pPr>
      <w:r w:rsidRPr="00576AF8">
        <w:rPr>
          <w:color w:val="000000"/>
          <w:sz w:val="22"/>
          <w:szCs w:val="22"/>
          <w:lang w:val="es-EC" w:eastAsia="es-EC" w:bidi="ar-SA"/>
        </w:rPr>
        <w:t>Las interfaces se han resuelto correctamente. </w:t>
      </w:r>
    </w:p>
    <w:p w14:paraId="6368C969"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La revisión y aceptación de las pruebas realizadas en el software y los equipos, como parte del suministro completo, no eximirá al Proveedor de sus responsabilidades generales de satisfacer las funciones y requisitos del sistema de acuerdo con la especificación y el Contrato. </w:t>
      </w:r>
    </w:p>
    <w:p w14:paraId="46039E94"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Por lo tanto, si después de las fases de prueba y aceptación se produce algún incumplimiento entre los equipos y software suministrados y las especificaciones de diseño de referencia o defectos de cualquier tipo y naturaleza, el Proveedor tendrá la obligación de llevar a cabo las correcciones necesarias y repetir las pruebas</w:t>
      </w:r>
      <w:r w:rsidR="00E43C53" w:rsidRPr="00576AF8">
        <w:rPr>
          <w:color w:val="000000"/>
          <w:sz w:val="22"/>
          <w:szCs w:val="22"/>
          <w:lang w:val="es-EC" w:eastAsia="es-EC" w:bidi="ar-SA"/>
        </w:rPr>
        <w:t xml:space="preserve"> sin costo adicional para el Comprador</w:t>
      </w:r>
      <w:r w:rsidRPr="00576AF8">
        <w:rPr>
          <w:color w:val="000000"/>
          <w:sz w:val="22"/>
          <w:szCs w:val="22"/>
          <w:lang w:val="es-EC" w:eastAsia="es-EC" w:bidi="ar-SA"/>
        </w:rPr>
        <w:t>. </w:t>
      </w:r>
    </w:p>
    <w:p w14:paraId="13E78104"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t xml:space="preserve">El Proveedor dispondrá todo el equipo y las herramientas necesarias para realizar todas las pruebas durante el FAT. La organización del FAT contará con la asistencia de al menos </w:t>
      </w:r>
      <w:r w:rsidR="00862CC7" w:rsidRPr="00576AF8">
        <w:rPr>
          <w:color w:val="000000"/>
          <w:sz w:val="22"/>
          <w:szCs w:val="22"/>
          <w:lang w:val="es-EC" w:eastAsia="es-EC" w:bidi="ar-SA"/>
        </w:rPr>
        <w:t xml:space="preserve">ocho </w:t>
      </w:r>
      <w:r w:rsidRPr="00576AF8">
        <w:rPr>
          <w:color w:val="000000"/>
          <w:sz w:val="22"/>
          <w:szCs w:val="22"/>
          <w:lang w:val="es-EC" w:eastAsia="es-EC" w:bidi="ar-SA"/>
        </w:rPr>
        <w:t>(</w:t>
      </w:r>
      <w:r w:rsidR="00862CC7" w:rsidRPr="00576AF8">
        <w:rPr>
          <w:color w:val="000000"/>
          <w:sz w:val="22"/>
          <w:szCs w:val="22"/>
          <w:lang w:val="es-EC" w:eastAsia="es-EC" w:bidi="ar-SA"/>
        </w:rPr>
        <w:t>8</w:t>
      </w:r>
      <w:r w:rsidRPr="00576AF8">
        <w:rPr>
          <w:color w:val="000000"/>
          <w:sz w:val="22"/>
          <w:szCs w:val="22"/>
          <w:lang w:val="es-EC" w:eastAsia="es-EC" w:bidi="ar-SA"/>
        </w:rPr>
        <w:t xml:space="preserve">) funcionarios del CENACE durante un tiempo estimado de al menos un (1) mes continuo a confirmar durante la definición del Plan de Trabajo. La Gerencia y el </w:t>
      </w:r>
      <w:r w:rsidRPr="00576AF8">
        <w:rPr>
          <w:sz w:val="22"/>
          <w:szCs w:val="22"/>
        </w:rPr>
        <w:t xml:space="preserve">responsable de la gestión de los temas relacionados con el contrato en </w:t>
      </w:r>
      <w:proofErr w:type="gramStart"/>
      <w:r w:rsidRPr="00576AF8">
        <w:rPr>
          <w:sz w:val="22"/>
          <w:szCs w:val="22"/>
        </w:rPr>
        <w:t>CENACE</w:t>
      </w:r>
      <w:r w:rsidRPr="00576AF8">
        <w:rPr>
          <w:color w:val="000000"/>
          <w:sz w:val="22"/>
          <w:szCs w:val="22"/>
          <w:lang w:val="es-EC" w:eastAsia="es-EC" w:bidi="ar-SA"/>
        </w:rPr>
        <w:t xml:space="preserve">  se</w:t>
      </w:r>
      <w:proofErr w:type="gramEnd"/>
      <w:r w:rsidRPr="00576AF8">
        <w:rPr>
          <w:color w:val="000000"/>
          <w:sz w:val="22"/>
          <w:szCs w:val="22"/>
          <w:lang w:val="es-EC" w:eastAsia="es-EC" w:bidi="ar-SA"/>
        </w:rPr>
        <w:t xml:space="preserve"> reservará también el derecho de presenciar el FAT.</w:t>
      </w:r>
    </w:p>
    <w:p w14:paraId="334D237C" w14:textId="77777777" w:rsidR="009102A7" w:rsidRPr="00576AF8" w:rsidRDefault="009102A7" w:rsidP="009102A7">
      <w:pPr>
        <w:numPr>
          <w:ilvl w:val="0"/>
          <w:numId w:val="411"/>
        </w:numPr>
        <w:suppressAutoHyphens w:val="0"/>
        <w:spacing w:after="0"/>
        <w:contextualSpacing/>
        <w:rPr>
          <w:color w:val="000000"/>
          <w:sz w:val="22"/>
          <w:szCs w:val="22"/>
          <w:lang w:val="es-EC" w:eastAsia="es-EC" w:bidi="ar-SA"/>
        </w:rPr>
      </w:pPr>
      <w:r w:rsidRPr="00576AF8">
        <w:rPr>
          <w:color w:val="000000"/>
          <w:sz w:val="22"/>
          <w:szCs w:val="22"/>
          <w:lang w:val="es-EC" w:eastAsia="es-EC" w:bidi="ar-SA"/>
        </w:rPr>
        <w:lastRenderedPageBreak/>
        <w:t>Los gastos incurridos para asistir al FAT (alojamiento, alimentación y transporte) del personal del Ministerio de Energía y Minas/CENACE serán de responsabilidad del Proveedor, así como también, el costo de llevar a cabo todas las actividades en fábrica.</w:t>
      </w:r>
    </w:p>
    <w:p w14:paraId="31572C42" w14:textId="77777777" w:rsidR="009102A7" w:rsidRPr="00576AF8" w:rsidRDefault="009102A7" w:rsidP="009102A7">
      <w:pPr>
        <w:suppressAutoHyphens w:val="0"/>
        <w:spacing w:after="0"/>
        <w:ind w:left="1068"/>
        <w:contextualSpacing/>
        <w:rPr>
          <w:color w:val="000000"/>
          <w:sz w:val="22"/>
          <w:szCs w:val="22"/>
          <w:lang w:val="es-EC" w:eastAsia="es-EC" w:bidi="ar-SA"/>
        </w:rPr>
      </w:pPr>
    </w:p>
    <w:p w14:paraId="78499C24" w14:textId="77777777" w:rsidR="009102A7" w:rsidRPr="00576AF8" w:rsidRDefault="009102A7" w:rsidP="009102A7">
      <w:pPr>
        <w:ind w:left="284"/>
        <w:jc w:val="left"/>
        <w:outlineLvl w:val="2"/>
        <w:rPr>
          <w:b/>
          <w:sz w:val="22"/>
        </w:rPr>
      </w:pPr>
      <w:bookmarkStart w:id="1324" w:name="_Toc160706937"/>
      <w:bookmarkStart w:id="1325" w:name="_Toc160707202"/>
      <w:bookmarkStart w:id="1326" w:name="_Toc160707527"/>
      <w:bookmarkStart w:id="1327" w:name="_Toc160707716"/>
      <w:bookmarkStart w:id="1328" w:name="_Toc160707784"/>
      <w:bookmarkStart w:id="1329" w:name="_Toc163137326"/>
      <w:r w:rsidRPr="00576AF8">
        <w:rPr>
          <w:b/>
          <w:sz w:val="22"/>
        </w:rPr>
        <w:t>Procedimientos de Pruebas</w:t>
      </w:r>
      <w:bookmarkEnd w:id="1324"/>
      <w:bookmarkEnd w:id="1325"/>
      <w:bookmarkEnd w:id="1326"/>
      <w:bookmarkEnd w:id="1327"/>
      <w:bookmarkEnd w:id="1328"/>
      <w:bookmarkEnd w:id="1329"/>
    </w:p>
    <w:p w14:paraId="3AF80BD0" w14:textId="77777777" w:rsidR="009102A7" w:rsidRPr="00576AF8" w:rsidRDefault="009102A7" w:rsidP="009102A7">
      <w:pPr>
        <w:suppressAutoHyphens w:val="0"/>
        <w:spacing w:after="0"/>
        <w:ind w:left="284"/>
        <w:rPr>
          <w:color w:val="000000"/>
          <w:sz w:val="22"/>
          <w:szCs w:val="22"/>
          <w:lang w:val="es-EC" w:eastAsia="es-EC" w:bidi="ar-SA"/>
        </w:rPr>
      </w:pPr>
      <w:r w:rsidRPr="00576AF8">
        <w:rPr>
          <w:color w:val="000000"/>
          <w:sz w:val="22"/>
          <w:szCs w:val="22"/>
          <w:lang w:val="es-EC" w:eastAsia="es-EC" w:bidi="ar-SA"/>
        </w:rPr>
        <w:t xml:space="preserve">El Proveedor deberá preparar los procedimientos de prueba y hojas de resultados para todas las pruebas y una lista de referencias cruzadas (matriz de trazabilidad), para demostrar que todos los requisitos de la especificación de diseño funcional se han incluido en las pruebas. El Proveedor debe proporcionar los procedimientos de prueba y hojas de resultados separados para las pruebas FAT y SAT. Todos los procedimientos de prueba y hojas de resultados deberán estar sujetos a revisión y aprobación por parte del </w:t>
      </w:r>
      <w:r w:rsidR="00996873" w:rsidRPr="00576AF8">
        <w:rPr>
          <w:color w:val="000000"/>
          <w:sz w:val="22"/>
          <w:szCs w:val="22"/>
          <w:lang w:val="es-EC" w:eastAsia="es-EC" w:bidi="ar-SA"/>
        </w:rPr>
        <w:t>Comprador</w:t>
      </w:r>
      <w:r w:rsidRPr="00576AF8">
        <w:rPr>
          <w:color w:val="000000"/>
          <w:sz w:val="22"/>
          <w:szCs w:val="22"/>
          <w:lang w:val="es-EC" w:eastAsia="es-EC" w:bidi="ar-SA"/>
        </w:rPr>
        <w:t>.</w:t>
      </w:r>
    </w:p>
    <w:p w14:paraId="58E9F26B" w14:textId="77777777" w:rsidR="009102A7" w:rsidRPr="00576AF8" w:rsidRDefault="009102A7" w:rsidP="009102A7">
      <w:pPr>
        <w:spacing w:after="0"/>
        <w:rPr>
          <w:rFonts w:eastAsia="Arial Unicode MS"/>
          <w:sz w:val="22"/>
          <w:szCs w:val="22"/>
        </w:rPr>
      </w:pPr>
    </w:p>
    <w:p w14:paraId="2205D421" w14:textId="77777777" w:rsidR="009102A7" w:rsidRPr="00576AF8" w:rsidRDefault="009102A7" w:rsidP="009102A7">
      <w:pPr>
        <w:ind w:left="284"/>
        <w:jc w:val="left"/>
        <w:outlineLvl w:val="2"/>
        <w:rPr>
          <w:b/>
          <w:sz w:val="22"/>
          <w:szCs w:val="22"/>
        </w:rPr>
      </w:pPr>
      <w:bookmarkStart w:id="1330" w:name="_Toc160706938"/>
      <w:bookmarkStart w:id="1331" w:name="_Toc160707203"/>
      <w:bookmarkStart w:id="1332" w:name="_Toc160707528"/>
      <w:bookmarkStart w:id="1333" w:name="_Toc160707717"/>
      <w:bookmarkStart w:id="1334" w:name="_Toc160707785"/>
      <w:bookmarkStart w:id="1335" w:name="_Toc163137327"/>
      <w:r w:rsidRPr="00576AF8">
        <w:rPr>
          <w:b/>
          <w:sz w:val="22"/>
          <w:szCs w:val="22"/>
        </w:rPr>
        <w:t>Ejecución de las Inspecciones (Pruebas</w:t>
      </w:r>
      <w:bookmarkEnd w:id="1330"/>
      <w:bookmarkEnd w:id="1331"/>
      <w:bookmarkEnd w:id="1332"/>
      <w:bookmarkEnd w:id="1333"/>
      <w:bookmarkEnd w:id="1334"/>
      <w:r w:rsidRPr="00576AF8">
        <w:rPr>
          <w:b/>
          <w:sz w:val="22"/>
          <w:szCs w:val="22"/>
        </w:rPr>
        <w:t>)</w:t>
      </w:r>
      <w:bookmarkEnd w:id="1335"/>
    </w:p>
    <w:p w14:paraId="54A7C6FC" w14:textId="77777777" w:rsidR="009102A7" w:rsidRPr="00576AF8" w:rsidRDefault="009102A7" w:rsidP="009102A7">
      <w:pPr>
        <w:numPr>
          <w:ilvl w:val="0"/>
          <w:numId w:val="140"/>
        </w:numPr>
        <w:suppressAutoHyphens w:val="0"/>
        <w:spacing w:after="0"/>
        <w:ind w:left="1350" w:hanging="450"/>
        <w:contextualSpacing/>
        <w:rPr>
          <w:color w:val="000000"/>
          <w:sz w:val="22"/>
          <w:szCs w:val="22"/>
          <w:lang w:val="es-EC" w:eastAsia="es-EC" w:bidi="ar-SA"/>
        </w:rPr>
      </w:pPr>
      <w:r w:rsidRPr="00576AF8">
        <w:rPr>
          <w:color w:val="000000"/>
          <w:sz w:val="22"/>
          <w:szCs w:val="22"/>
          <w:lang w:val="es-EC" w:eastAsia="es-EC" w:bidi="ar-SA"/>
        </w:rPr>
        <w:t xml:space="preserve">Durante las pruebas, se utilizarán los manuales de operación, </w:t>
      </w:r>
      <w:r w:rsidR="001933C8" w:rsidRPr="00576AF8">
        <w:rPr>
          <w:sz w:val="22"/>
          <w:szCs w:val="22"/>
        </w:rPr>
        <w:t>administración</w:t>
      </w:r>
      <w:r w:rsidRPr="00576AF8">
        <w:rPr>
          <w:color w:val="000000"/>
          <w:sz w:val="22"/>
          <w:szCs w:val="22"/>
          <w:lang w:val="es-EC" w:eastAsia="es-EC" w:bidi="ar-SA"/>
        </w:rPr>
        <w:t xml:space="preserve"> del sistema y otra documentación entregada por el Proveedor, para proporcionar una serie de pruebas de su exactitud. </w:t>
      </w:r>
    </w:p>
    <w:p w14:paraId="438998F3" w14:textId="77777777" w:rsidR="009102A7" w:rsidRPr="00576AF8" w:rsidRDefault="009102A7" w:rsidP="009102A7">
      <w:pPr>
        <w:numPr>
          <w:ilvl w:val="0"/>
          <w:numId w:val="140"/>
        </w:numPr>
        <w:suppressAutoHyphens w:val="0"/>
        <w:spacing w:after="0"/>
        <w:ind w:left="1416" w:hanging="606"/>
        <w:contextualSpacing/>
        <w:rPr>
          <w:color w:val="000000"/>
          <w:sz w:val="22"/>
          <w:szCs w:val="22"/>
          <w:lang w:val="es-EC" w:eastAsia="es-EC" w:bidi="ar-SA"/>
        </w:rPr>
      </w:pPr>
      <w:r w:rsidRPr="00576AF8">
        <w:rPr>
          <w:color w:val="000000"/>
          <w:sz w:val="22"/>
          <w:szCs w:val="22"/>
          <w:lang w:val="es-EC" w:eastAsia="es-EC" w:bidi="ar-SA"/>
        </w:rPr>
        <w:t>El Proveedor realizará las pruebas de conformidad con los procedimientos de prueba aprobados y registrará los resultados en las hojas de resultados. Para cada Inspección (Prueba), el CENACE determinará si la Inspección (Prueba) fue exitosa o fallida. </w:t>
      </w:r>
    </w:p>
    <w:p w14:paraId="10BD6F3B" w14:textId="77777777" w:rsidR="009102A7" w:rsidRPr="00576AF8" w:rsidRDefault="009102A7" w:rsidP="009102A7">
      <w:pPr>
        <w:numPr>
          <w:ilvl w:val="0"/>
          <w:numId w:val="140"/>
        </w:numPr>
        <w:suppressAutoHyphens w:val="0"/>
        <w:spacing w:after="0"/>
        <w:ind w:left="1440" w:hanging="540"/>
        <w:contextualSpacing/>
        <w:rPr>
          <w:color w:val="000000"/>
          <w:sz w:val="22"/>
          <w:szCs w:val="22"/>
          <w:lang w:val="es-EC" w:eastAsia="es-EC" w:bidi="ar-SA"/>
        </w:rPr>
      </w:pPr>
      <w:r w:rsidRPr="00576AF8">
        <w:rPr>
          <w:color w:val="000000"/>
          <w:sz w:val="22"/>
          <w:szCs w:val="22"/>
          <w:lang w:val="es-EC" w:eastAsia="es-EC" w:bidi="ar-SA"/>
        </w:rPr>
        <w:t>En general, se considerará que la Inspección (Prueba) ha fallado si: </w:t>
      </w:r>
    </w:p>
    <w:p w14:paraId="4E60F2D0" w14:textId="77777777" w:rsidR="009102A7" w:rsidRPr="00576AF8" w:rsidRDefault="009102A7" w:rsidP="009102A7">
      <w:pPr>
        <w:numPr>
          <w:ilvl w:val="0"/>
          <w:numId w:val="143"/>
        </w:numPr>
        <w:suppressAutoHyphens w:val="0"/>
        <w:spacing w:after="0"/>
        <w:ind w:left="2250" w:hanging="270"/>
        <w:contextualSpacing/>
        <w:rPr>
          <w:color w:val="000000"/>
          <w:sz w:val="22"/>
          <w:szCs w:val="22"/>
          <w:lang w:val="es-EC" w:eastAsia="es-EC" w:bidi="ar-SA"/>
        </w:rPr>
      </w:pPr>
      <w:r w:rsidRPr="00576AF8">
        <w:rPr>
          <w:color w:val="000000"/>
          <w:sz w:val="22"/>
          <w:szCs w:val="22"/>
          <w:lang w:val="es-EC" w:eastAsia="es-EC" w:bidi="ar-SA"/>
        </w:rPr>
        <w:t>El resultado de la Inspección (Prueba) no se ajusta al resultado esperado descrito en el procedimiento de Inspección (Prueba), o </w:t>
      </w:r>
    </w:p>
    <w:p w14:paraId="7850013B" w14:textId="77777777" w:rsidR="009102A7" w:rsidRPr="00576AF8" w:rsidRDefault="009102A7" w:rsidP="009102A7">
      <w:pPr>
        <w:numPr>
          <w:ilvl w:val="0"/>
          <w:numId w:val="143"/>
        </w:numPr>
        <w:suppressAutoHyphens w:val="0"/>
        <w:spacing w:after="0"/>
        <w:ind w:left="2250" w:hanging="270"/>
        <w:contextualSpacing/>
        <w:rPr>
          <w:color w:val="000000"/>
          <w:sz w:val="22"/>
          <w:szCs w:val="22"/>
          <w:lang w:val="es-EC" w:eastAsia="es-EC" w:bidi="ar-SA"/>
        </w:rPr>
      </w:pPr>
      <w:r w:rsidRPr="00576AF8">
        <w:rPr>
          <w:color w:val="000000"/>
          <w:sz w:val="22"/>
          <w:szCs w:val="22"/>
          <w:lang w:val="es-EC" w:eastAsia="es-EC" w:bidi="ar-SA"/>
        </w:rPr>
        <w:t>El resultado de la Inspección (Prueba) está de acuerdo con el resultado esperado descrito en el procedimiento de Inspección (Prueba), pero ocurrió algún otro evento inesperado o inexplicable que el CENACE considera una falla.</w:t>
      </w:r>
    </w:p>
    <w:p w14:paraId="304C3550" w14:textId="77777777" w:rsidR="009102A7" w:rsidRPr="00576AF8" w:rsidRDefault="009102A7" w:rsidP="009102A7">
      <w:pPr>
        <w:suppressAutoHyphens w:val="0"/>
        <w:spacing w:after="0"/>
        <w:ind w:left="1428"/>
        <w:contextualSpacing/>
        <w:rPr>
          <w:color w:val="000000"/>
          <w:sz w:val="22"/>
          <w:szCs w:val="22"/>
          <w:lang w:val="es-EC" w:eastAsia="es-EC" w:bidi="ar-SA"/>
        </w:rPr>
      </w:pPr>
    </w:p>
    <w:p w14:paraId="76A601B8" w14:textId="77777777" w:rsidR="009102A7" w:rsidRPr="00576AF8" w:rsidRDefault="009102A7" w:rsidP="009102A7">
      <w:pPr>
        <w:ind w:left="284"/>
        <w:jc w:val="left"/>
        <w:outlineLvl w:val="2"/>
        <w:rPr>
          <w:b/>
          <w:sz w:val="22"/>
          <w:szCs w:val="22"/>
        </w:rPr>
      </w:pPr>
      <w:bookmarkStart w:id="1336" w:name="_Toc160706939"/>
      <w:bookmarkStart w:id="1337" w:name="_Toc160707204"/>
      <w:bookmarkStart w:id="1338" w:name="_Toc160707529"/>
      <w:bookmarkStart w:id="1339" w:name="_Toc160707718"/>
      <w:bookmarkStart w:id="1340" w:name="_Toc160707786"/>
      <w:bookmarkStart w:id="1341" w:name="_Toc163137328"/>
      <w:r w:rsidRPr="00576AF8">
        <w:rPr>
          <w:b/>
          <w:sz w:val="22"/>
          <w:szCs w:val="22"/>
        </w:rPr>
        <w:t>Fallas o Defectos</w:t>
      </w:r>
      <w:bookmarkEnd w:id="1336"/>
      <w:bookmarkEnd w:id="1337"/>
      <w:bookmarkEnd w:id="1338"/>
      <w:bookmarkEnd w:id="1339"/>
      <w:bookmarkEnd w:id="1340"/>
      <w:bookmarkEnd w:id="1341"/>
    </w:p>
    <w:p w14:paraId="599CF0DE" w14:textId="77777777" w:rsidR="009102A7" w:rsidRPr="00576AF8" w:rsidRDefault="009102A7" w:rsidP="009102A7">
      <w:pPr>
        <w:numPr>
          <w:ilvl w:val="0"/>
          <w:numId w:val="413"/>
        </w:numPr>
        <w:suppressAutoHyphens w:val="0"/>
        <w:spacing w:after="0"/>
        <w:ind w:left="1134" w:hanging="425"/>
        <w:contextualSpacing/>
        <w:rPr>
          <w:color w:val="000000"/>
          <w:sz w:val="22"/>
          <w:szCs w:val="22"/>
          <w:lang w:val="es-EC" w:eastAsia="es-EC" w:bidi="ar-SA"/>
        </w:rPr>
      </w:pPr>
      <w:r w:rsidRPr="00576AF8">
        <w:rPr>
          <w:color w:val="000000"/>
          <w:sz w:val="22"/>
          <w:szCs w:val="22"/>
          <w:lang w:val="es-EC" w:eastAsia="es-EC" w:bidi="ar-SA"/>
        </w:rPr>
        <w:t>El Proveedor corregirá todas las fallas encontradas durante las Inspecciones (Pruebas) y dispondrá que se repita la misma</w:t>
      </w:r>
      <w:r w:rsidR="00E43C53" w:rsidRPr="00576AF8">
        <w:rPr>
          <w:color w:val="000000"/>
          <w:sz w:val="22"/>
          <w:szCs w:val="22"/>
          <w:lang w:val="es-EC" w:eastAsia="es-EC" w:bidi="ar-SA"/>
        </w:rPr>
        <w:t xml:space="preserve"> sin costo adicional para el Comprador</w:t>
      </w:r>
      <w:r w:rsidRPr="00576AF8">
        <w:rPr>
          <w:color w:val="000000"/>
          <w:sz w:val="22"/>
          <w:szCs w:val="22"/>
          <w:lang w:val="es-EC" w:eastAsia="es-EC" w:bidi="ar-SA"/>
        </w:rPr>
        <w:t>. La Inspección (Prueba) fallida, solo se repetirá cuando se haya subsanado el problema y se haya demostrado que el equipo o subsistema funciona correctamente</w:t>
      </w:r>
      <w:r w:rsidR="00E43C53" w:rsidRPr="00576AF8">
        <w:rPr>
          <w:color w:val="000000"/>
          <w:sz w:val="22"/>
          <w:szCs w:val="22"/>
          <w:lang w:val="es-EC" w:eastAsia="es-EC" w:bidi="ar-SA"/>
        </w:rPr>
        <w:t xml:space="preserve"> a satisfacción del Comprador</w:t>
      </w:r>
      <w:r w:rsidRPr="00576AF8">
        <w:rPr>
          <w:color w:val="000000"/>
          <w:sz w:val="22"/>
          <w:szCs w:val="22"/>
          <w:lang w:val="es-EC" w:eastAsia="es-EC" w:bidi="ar-SA"/>
        </w:rPr>
        <w:t>. </w:t>
      </w:r>
    </w:p>
    <w:p w14:paraId="74D16CC1" w14:textId="77777777" w:rsidR="009102A7" w:rsidRPr="00576AF8" w:rsidRDefault="009102A7" w:rsidP="009102A7">
      <w:pPr>
        <w:numPr>
          <w:ilvl w:val="0"/>
          <w:numId w:val="413"/>
        </w:numPr>
        <w:suppressAutoHyphens w:val="0"/>
        <w:spacing w:after="0"/>
        <w:ind w:left="1134" w:hanging="425"/>
        <w:contextualSpacing/>
        <w:rPr>
          <w:color w:val="000000"/>
          <w:sz w:val="22"/>
          <w:szCs w:val="22"/>
          <w:lang w:val="es-EC" w:eastAsia="es-EC" w:bidi="ar-SA"/>
        </w:rPr>
      </w:pPr>
      <w:r w:rsidRPr="00576AF8">
        <w:rPr>
          <w:color w:val="000000"/>
          <w:sz w:val="22"/>
          <w:szCs w:val="22"/>
          <w:lang w:val="es-EC" w:eastAsia="es-EC" w:bidi="ar-SA"/>
        </w:rPr>
        <w:t>Cuando las medidas correctivas impliquen modificaciones significativas que, en opinión del CENACE, puedan afectar la validez de las Inspecciones (Pruebas) anteriores, el Proveedor repetirá todas las Inspecciones (Pruebas) anteriores y obtendrá resultados satisfactorios, antes de repetir la Inspección (Prueba) en la que se identificó por primera vez la falla. </w:t>
      </w:r>
    </w:p>
    <w:p w14:paraId="21462ED6" w14:textId="77777777" w:rsidR="009102A7" w:rsidRPr="00576AF8" w:rsidRDefault="009102A7" w:rsidP="009102A7">
      <w:pPr>
        <w:numPr>
          <w:ilvl w:val="0"/>
          <w:numId w:val="413"/>
        </w:numPr>
        <w:suppressAutoHyphens w:val="0"/>
        <w:spacing w:after="0"/>
        <w:ind w:left="1134" w:hanging="425"/>
        <w:contextualSpacing/>
        <w:rPr>
          <w:color w:val="000000"/>
          <w:sz w:val="22"/>
          <w:szCs w:val="22"/>
          <w:lang w:val="es-EC" w:eastAsia="es-EC" w:bidi="ar-SA"/>
        </w:rPr>
      </w:pPr>
      <w:r w:rsidRPr="00576AF8">
        <w:rPr>
          <w:color w:val="000000"/>
          <w:sz w:val="22"/>
          <w:szCs w:val="22"/>
          <w:lang w:val="es-EC" w:eastAsia="es-EC" w:bidi="ar-SA"/>
        </w:rPr>
        <w:t>El CENACE tendrá derecho a ordenar la repetición o el abandono de cualquier Inspección (Prueba), si los resultados demuestran que el equipo no cumple significativamente con los requerimientos técnicos solicitados. El CENACE tendrá derecho a suspender cualquier Inspección (Prueba) si los errores o fallas se han vuelto inaceptables. </w:t>
      </w:r>
    </w:p>
    <w:p w14:paraId="1C7F9200" w14:textId="77777777" w:rsidR="009102A7" w:rsidRPr="00576AF8" w:rsidRDefault="009102A7" w:rsidP="00996873">
      <w:pPr>
        <w:numPr>
          <w:ilvl w:val="0"/>
          <w:numId w:val="413"/>
        </w:numPr>
        <w:suppressAutoHyphens w:val="0"/>
        <w:spacing w:after="0"/>
        <w:ind w:left="1134" w:hanging="425"/>
        <w:contextualSpacing/>
        <w:rPr>
          <w:color w:val="000000"/>
          <w:sz w:val="22"/>
          <w:szCs w:val="22"/>
          <w:lang w:val="es-EC" w:eastAsia="es-EC" w:bidi="ar-SA"/>
        </w:rPr>
      </w:pPr>
      <w:r w:rsidRPr="00576AF8">
        <w:rPr>
          <w:color w:val="000000"/>
          <w:sz w:val="22"/>
          <w:szCs w:val="22"/>
          <w:lang w:val="es-EC" w:eastAsia="es-EC" w:bidi="ar-SA"/>
        </w:rPr>
        <w:t>El CENACE también tendrá derecho a suspender cualquier Inspección (Prueba) en caso de que el Proveedor detecte una falla, pero no se informe al CENACE dentro de las 24 horas.</w:t>
      </w:r>
      <w:r w:rsidR="00E43C53" w:rsidRPr="00576AF8">
        <w:rPr>
          <w:color w:val="000000"/>
          <w:sz w:val="22"/>
          <w:szCs w:val="22"/>
          <w:lang w:val="es-EC" w:eastAsia="es-EC" w:bidi="ar-SA"/>
        </w:rPr>
        <w:t xml:space="preserve"> </w:t>
      </w:r>
      <w:r w:rsidRPr="00576AF8">
        <w:rPr>
          <w:color w:val="000000"/>
          <w:sz w:val="22"/>
          <w:szCs w:val="22"/>
          <w:lang w:val="es-EC" w:eastAsia="es-EC" w:bidi="ar-SA"/>
        </w:rPr>
        <w:t>En este caso, la suspensión permanecerá vigente hasta que se haya actualizado la presentación de informes a satisfacción del CENACE.</w:t>
      </w:r>
    </w:p>
    <w:p w14:paraId="6510BDB3" w14:textId="77777777" w:rsidR="009102A7" w:rsidRPr="00576AF8" w:rsidRDefault="009102A7" w:rsidP="009102A7">
      <w:pPr>
        <w:ind w:left="1440" w:right="41" w:hanging="720"/>
        <w:rPr>
          <w:sz w:val="22"/>
          <w:szCs w:val="22"/>
        </w:rPr>
      </w:pPr>
    </w:p>
    <w:p w14:paraId="4E4A629B" w14:textId="77777777" w:rsidR="009102A7" w:rsidRPr="00576AF8" w:rsidRDefault="009102A7" w:rsidP="009102A7">
      <w:pPr>
        <w:ind w:left="284"/>
        <w:jc w:val="left"/>
        <w:outlineLvl w:val="2"/>
        <w:rPr>
          <w:b/>
          <w:sz w:val="22"/>
          <w:szCs w:val="22"/>
        </w:rPr>
      </w:pPr>
      <w:bookmarkStart w:id="1342" w:name="_Toc160706940"/>
      <w:bookmarkStart w:id="1343" w:name="_Toc160707205"/>
      <w:bookmarkStart w:id="1344" w:name="_Toc160707530"/>
      <w:bookmarkStart w:id="1345" w:name="_Toc160707719"/>
      <w:bookmarkStart w:id="1346" w:name="_Toc160707787"/>
      <w:bookmarkStart w:id="1347" w:name="_Toc163137329"/>
      <w:r w:rsidRPr="00576AF8">
        <w:rPr>
          <w:b/>
          <w:sz w:val="22"/>
          <w:szCs w:val="22"/>
        </w:rPr>
        <w:t>Categorías de Fallas</w:t>
      </w:r>
      <w:bookmarkEnd w:id="1342"/>
      <w:bookmarkEnd w:id="1343"/>
      <w:bookmarkEnd w:id="1344"/>
      <w:bookmarkEnd w:id="1345"/>
      <w:bookmarkEnd w:id="1346"/>
      <w:bookmarkEnd w:id="1347"/>
    </w:p>
    <w:p w14:paraId="16B5A156" w14:textId="77777777" w:rsidR="009102A7" w:rsidRPr="00576AF8" w:rsidRDefault="009102A7" w:rsidP="009102A7">
      <w:pPr>
        <w:suppressAutoHyphens w:val="0"/>
        <w:spacing w:after="0"/>
        <w:ind w:left="284"/>
        <w:rPr>
          <w:color w:val="000000"/>
          <w:sz w:val="22"/>
          <w:szCs w:val="22"/>
          <w:lang w:val="es-EC" w:eastAsia="es-EC" w:bidi="ar-SA"/>
        </w:rPr>
      </w:pPr>
      <w:r w:rsidRPr="00576AF8">
        <w:rPr>
          <w:color w:val="000000"/>
          <w:sz w:val="22"/>
          <w:szCs w:val="22"/>
          <w:lang w:val="es-EC" w:eastAsia="es-EC" w:bidi="ar-SA"/>
        </w:rPr>
        <w:t>El CENACE asignará una categoría a cada falla, que determinará la realización futura de la Inspección (Prueba): </w:t>
      </w:r>
    </w:p>
    <w:p w14:paraId="50FB2F97" w14:textId="77777777" w:rsidR="009102A7" w:rsidRPr="00576AF8" w:rsidRDefault="009102A7" w:rsidP="009102A7">
      <w:pPr>
        <w:numPr>
          <w:ilvl w:val="0"/>
          <w:numId w:val="414"/>
        </w:numPr>
        <w:suppressAutoHyphens w:val="0"/>
        <w:spacing w:after="0"/>
        <w:ind w:left="1276" w:hanging="425"/>
        <w:contextualSpacing/>
        <w:rPr>
          <w:color w:val="000000"/>
          <w:sz w:val="22"/>
          <w:szCs w:val="22"/>
          <w:lang w:val="es-EC" w:eastAsia="es-EC" w:bidi="ar-SA"/>
        </w:rPr>
      </w:pPr>
      <w:r w:rsidRPr="00576AF8">
        <w:rPr>
          <w:color w:val="000000"/>
          <w:sz w:val="22"/>
          <w:szCs w:val="22"/>
          <w:lang w:val="es-EC" w:eastAsia="es-EC" w:bidi="ar-SA"/>
        </w:rPr>
        <w:lastRenderedPageBreak/>
        <w:t>Crítica: bloqueo, aborto o pérdida de datos. La secuencia de Inspección (Prueba) no puede avanzar dentro del caso de Inspección (Prueba). </w:t>
      </w:r>
    </w:p>
    <w:p w14:paraId="4F5D9B68" w14:textId="77777777" w:rsidR="009102A7" w:rsidRPr="00576AF8" w:rsidRDefault="009102A7" w:rsidP="009102A7">
      <w:pPr>
        <w:numPr>
          <w:ilvl w:val="0"/>
          <w:numId w:val="414"/>
        </w:numPr>
        <w:suppressAutoHyphens w:val="0"/>
        <w:spacing w:after="0"/>
        <w:ind w:left="1276" w:hanging="425"/>
        <w:contextualSpacing/>
        <w:rPr>
          <w:color w:val="000000"/>
          <w:sz w:val="22"/>
          <w:szCs w:val="22"/>
          <w:lang w:val="es-EC" w:eastAsia="es-EC" w:bidi="ar-SA"/>
        </w:rPr>
      </w:pPr>
      <w:r w:rsidRPr="00576AF8">
        <w:rPr>
          <w:color w:val="000000"/>
          <w:sz w:val="22"/>
          <w:szCs w:val="22"/>
          <w:lang w:val="es-EC" w:eastAsia="es-EC" w:bidi="ar-SA"/>
        </w:rPr>
        <w:t>Alta: Error funcional o error de cálculo. El caso de Inspección (Prueba) se puede completar, pero la salida de la aplicación es incorrecta. </w:t>
      </w:r>
    </w:p>
    <w:p w14:paraId="551FBFAB" w14:textId="77777777" w:rsidR="009102A7" w:rsidRPr="00576AF8" w:rsidRDefault="009102A7" w:rsidP="009102A7">
      <w:pPr>
        <w:numPr>
          <w:ilvl w:val="0"/>
          <w:numId w:val="414"/>
        </w:numPr>
        <w:suppressAutoHyphens w:val="0"/>
        <w:spacing w:after="0"/>
        <w:ind w:left="1276" w:hanging="425"/>
        <w:contextualSpacing/>
        <w:rPr>
          <w:color w:val="000000"/>
          <w:sz w:val="22"/>
          <w:szCs w:val="22"/>
          <w:lang w:val="es-EC" w:eastAsia="es-EC" w:bidi="ar-SA"/>
        </w:rPr>
      </w:pPr>
      <w:r w:rsidRPr="00576AF8">
        <w:rPr>
          <w:color w:val="000000"/>
          <w:sz w:val="22"/>
          <w:szCs w:val="22"/>
          <w:lang w:val="es-EC" w:eastAsia="es-EC" w:bidi="ar-SA"/>
        </w:rPr>
        <w:t>Baja: Error estético o accidental. La Inspección (Prueba) se puede completar, pero algunos de los resultados no se cumplen. </w:t>
      </w:r>
    </w:p>
    <w:p w14:paraId="3E08E9A0" w14:textId="77777777" w:rsidR="009102A7" w:rsidRPr="00576AF8" w:rsidRDefault="009102A7" w:rsidP="009102A7">
      <w:pPr>
        <w:numPr>
          <w:ilvl w:val="0"/>
          <w:numId w:val="414"/>
        </w:numPr>
        <w:suppressAutoHyphens w:val="0"/>
        <w:spacing w:after="0"/>
        <w:ind w:left="1276" w:hanging="425"/>
        <w:contextualSpacing/>
        <w:rPr>
          <w:color w:val="000000"/>
          <w:sz w:val="22"/>
          <w:szCs w:val="22"/>
          <w:lang w:val="es-EC" w:eastAsia="es-EC" w:bidi="ar-SA"/>
        </w:rPr>
      </w:pPr>
      <w:r w:rsidRPr="00576AF8">
        <w:rPr>
          <w:color w:val="000000"/>
          <w:sz w:val="22"/>
          <w:szCs w:val="22"/>
          <w:lang w:val="es-EC" w:eastAsia="es-EC" w:bidi="ar-SA"/>
        </w:rPr>
        <w:t>No aplicable: Se utiliza para cualquier solicitud de cambio y normalmente acompañado de un resultado positivo.</w:t>
      </w:r>
    </w:p>
    <w:p w14:paraId="76F7652E" w14:textId="77777777" w:rsidR="009102A7" w:rsidRPr="00576AF8" w:rsidRDefault="009102A7" w:rsidP="009102A7">
      <w:pPr>
        <w:ind w:left="1440" w:right="41" w:hanging="720"/>
        <w:rPr>
          <w:sz w:val="22"/>
          <w:szCs w:val="22"/>
        </w:rPr>
      </w:pPr>
    </w:p>
    <w:p w14:paraId="0BF18F8C" w14:textId="77777777" w:rsidR="009102A7" w:rsidRPr="00576AF8" w:rsidRDefault="009102A7" w:rsidP="009102A7">
      <w:pPr>
        <w:ind w:left="284"/>
        <w:jc w:val="left"/>
        <w:outlineLvl w:val="2"/>
        <w:rPr>
          <w:b/>
          <w:sz w:val="22"/>
          <w:szCs w:val="22"/>
        </w:rPr>
      </w:pPr>
      <w:bookmarkStart w:id="1348" w:name="_Toc160706941"/>
      <w:bookmarkStart w:id="1349" w:name="_Toc160707206"/>
      <w:bookmarkStart w:id="1350" w:name="_Toc160707531"/>
      <w:bookmarkStart w:id="1351" w:name="_Toc160707720"/>
      <w:bookmarkStart w:id="1352" w:name="_Toc160707788"/>
      <w:bookmarkStart w:id="1353" w:name="_Toc163137330"/>
      <w:r w:rsidRPr="00576AF8">
        <w:rPr>
          <w:b/>
          <w:sz w:val="22"/>
          <w:szCs w:val="22"/>
        </w:rPr>
        <w:t xml:space="preserve">Repetición de las </w:t>
      </w:r>
      <w:r w:rsidRPr="00576AF8">
        <w:rPr>
          <w:b/>
          <w:color w:val="000000"/>
          <w:sz w:val="22"/>
          <w:szCs w:val="22"/>
          <w:lang w:val="es-EC" w:eastAsia="es-EC" w:bidi="ar-SA"/>
        </w:rPr>
        <w:t>Inspecciones (Pruebas)</w:t>
      </w:r>
      <w:bookmarkEnd w:id="1348"/>
      <w:bookmarkEnd w:id="1349"/>
      <w:bookmarkEnd w:id="1350"/>
      <w:bookmarkEnd w:id="1351"/>
      <w:bookmarkEnd w:id="1352"/>
      <w:bookmarkEnd w:id="1353"/>
    </w:p>
    <w:p w14:paraId="4D1CAED2" w14:textId="77777777" w:rsidR="009102A7" w:rsidRPr="00576AF8" w:rsidRDefault="009102A7" w:rsidP="009102A7">
      <w:pPr>
        <w:suppressAutoHyphens w:val="0"/>
        <w:spacing w:after="0"/>
        <w:ind w:left="284"/>
        <w:rPr>
          <w:color w:val="000000"/>
          <w:sz w:val="22"/>
          <w:szCs w:val="22"/>
          <w:lang w:val="es-EC" w:eastAsia="es-EC" w:bidi="ar-SA"/>
        </w:rPr>
      </w:pPr>
      <w:r w:rsidRPr="00576AF8">
        <w:rPr>
          <w:color w:val="000000"/>
          <w:sz w:val="22"/>
          <w:szCs w:val="22"/>
          <w:lang w:val="es-EC" w:eastAsia="es-EC" w:bidi="ar-SA"/>
        </w:rPr>
        <w:t>El Proveedor corregirá y volverá a probar cada falla detectada durante las Inspecciones (Pruebas) a sus expensas.</w:t>
      </w:r>
    </w:p>
    <w:p w14:paraId="606B9AA2" w14:textId="77777777" w:rsidR="009102A7" w:rsidRPr="00576AF8" w:rsidRDefault="009102A7" w:rsidP="009102A7">
      <w:pPr>
        <w:suppressAutoHyphens w:val="0"/>
        <w:spacing w:after="0"/>
        <w:rPr>
          <w:color w:val="000000"/>
          <w:sz w:val="22"/>
          <w:szCs w:val="22"/>
          <w:lang w:val="es-EC" w:eastAsia="es-EC" w:bidi="ar-SA"/>
        </w:rPr>
      </w:pPr>
    </w:p>
    <w:p w14:paraId="1B182BB8" w14:textId="77777777" w:rsidR="009102A7" w:rsidRPr="00576AF8" w:rsidRDefault="009102A7" w:rsidP="009102A7">
      <w:pPr>
        <w:keepNext/>
        <w:numPr>
          <w:ilvl w:val="1"/>
          <w:numId w:val="0"/>
        </w:numPr>
        <w:suppressAutoHyphens w:val="0"/>
        <w:spacing w:before="240" w:after="60" w:line="360" w:lineRule="auto"/>
        <w:ind w:left="284"/>
        <w:outlineLvl w:val="1"/>
        <w:rPr>
          <w:b/>
          <w:sz w:val="22"/>
          <w:szCs w:val="22"/>
          <w:lang w:val="es-EC"/>
        </w:rPr>
      </w:pPr>
      <w:bookmarkStart w:id="1354" w:name="_Toc148955293"/>
      <w:bookmarkStart w:id="1355" w:name="_Toc158396750"/>
      <w:bookmarkStart w:id="1356" w:name="_Toc160012953"/>
      <w:bookmarkStart w:id="1357" w:name="_Toc163137331"/>
      <w:r w:rsidRPr="00576AF8">
        <w:rPr>
          <w:b/>
          <w:color w:val="000000"/>
          <w:sz w:val="22"/>
          <w:szCs w:val="22"/>
          <w:lang w:val="es-EC" w:eastAsia="es-EC" w:bidi="ar-SA"/>
        </w:rPr>
        <w:t>Inspección (Prueba)</w:t>
      </w:r>
      <w:r w:rsidRPr="00576AF8">
        <w:rPr>
          <w:b/>
          <w:sz w:val="22"/>
          <w:szCs w:val="22"/>
          <w:lang w:val="es-EC"/>
        </w:rPr>
        <w:t xml:space="preserve"> de Aceptación en Fábrica FAT</w:t>
      </w:r>
      <w:bookmarkEnd w:id="1354"/>
      <w:bookmarkEnd w:id="1355"/>
      <w:bookmarkEnd w:id="1356"/>
      <w:bookmarkEnd w:id="1357"/>
    </w:p>
    <w:p w14:paraId="0951F6C8"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El alcance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 aceptación en fábrica (FAT) es la demostración en fábrica, de la correcta funcionalidad del software suministrado por el Proveedor y sus componentes, de conformidad con el diseño, los requerimientos técnicos del proyecto y las normas aplicables, antes del envío a la sede del CENACE.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FAT se realizarán en la fábrica de la sede del Proveedor donde se desarrolló el software del sistema SCADA/EMS a ser entregado y sobre el hardware adquirido para este proyecto con la participación de los especialistas del Proveedor en cada subsistema a ser probado.</w:t>
      </w:r>
    </w:p>
    <w:p w14:paraId="28750E54"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Las pruebas FAT se realizarán con la Base de Datos Baseline del Proveedor con la finalidad de probar todas las funcionalidades sin excepciones por no disponer de los datos. El Proveedor realizará una sesión de inducción al personal del CENACE sobre las características de dicha base de datos, o en su defecto proporcionará documentación sobre la misma.</w:t>
      </w:r>
    </w:p>
    <w:p w14:paraId="2DB384C8"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Las pruebas FAT se iniciarán después de que el Proveedor haya informado a CENACE sobre la finalización exitosa de las pruebas PREFAT, y entregado las hojas de resultados correspondientes.</w:t>
      </w:r>
    </w:p>
    <w:p w14:paraId="5AF9C572"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Durante las pruebas FAT, se realizarán las pruebas de aceptación funcional que corresponden a las pruebas de validación funcional del cumplimiento del hardware y software suministrado, a los requerimientos técnicos del proyecto. </w:t>
      </w:r>
    </w:p>
    <w:p w14:paraId="3B18899F"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Las pruebas de aceptación funcional se realizarán en un entorno de prueba representativo, configurado en la fábrica del Proveedor con el objetivo de probar el software tan profundamente como sea razonablemente posible en el entorno de fábrica. </w:t>
      </w:r>
    </w:p>
    <w:p w14:paraId="37645F1F"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lastRenderedPageBreak/>
        <w:t xml:space="preserve">Las pruebas FAT del sistema deberán combinar todos los subsistemas e incluir otros equipos que representen, emulen o simulen las partes del sistema que finalmente se suministren, incluyendo simuladores de protocolos de comunicaciones. </w:t>
      </w:r>
    </w:p>
    <w:p w14:paraId="20A1F13E"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El Sistema será inspeccionado para asegurar que todas las interfaces se acoplan correctamente y que el Sistema está completo. </w:t>
      </w:r>
    </w:p>
    <w:p w14:paraId="7FB0AE36"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El Proveedor probará el sistema para demostrar que cumple la especificación técnica en todos los aspectos de función, rendimiento, capacidad, mantenibilidad y operatividad. </w:t>
      </w:r>
    </w:p>
    <w:p w14:paraId="381853E4"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Se requiere que los resultados de la prueba demuestren la confiabilidad y disponibilidad del Sistema consistentes con los valores especificados y los garantizados por el Proveedor. </w:t>
      </w:r>
    </w:p>
    <w:p w14:paraId="1857187D"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El Proveedor preparará un plan detallado de pruebas de aceptación con procedimientos de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detallados antes de la ejecución de la prueba.  En este plan de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se incluirán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que sean solicitadas por el CENACE, en común acuerdo con el Proveedor.  Estas pruebas se denominarán como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No Estructuradas de FAT y tendrán la misma validez que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FAT diseñadas por el Proveedor.</w:t>
      </w:r>
    </w:p>
    <w:p w14:paraId="605331E6"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rPr>
          <w:rFonts w:eastAsia="Calibri"/>
          <w:sz w:val="22"/>
          <w:szCs w:val="22"/>
          <w:lang w:val="es-419" w:eastAsia="en-US" w:bidi="ar-SA"/>
        </w:rPr>
      </w:pPr>
      <w:r w:rsidRPr="00576AF8">
        <w:rPr>
          <w:rFonts w:eastAsia="Calibri"/>
          <w:sz w:val="22"/>
          <w:szCs w:val="22"/>
          <w:lang w:val="es-419" w:eastAsia="en-US" w:bidi="ar-SA"/>
        </w:rPr>
        <w:t xml:space="preserve">Estos documentos incluirán al menos los siguientes elementos: </w:t>
      </w:r>
    </w:p>
    <w:p w14:paraId="72AE311F"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Título y Fecha</w:t>
      </w:r>
    </w:p>
    <w:p w14:paraId="1F9F7A09"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Alcance y objetivos de la prueba. </w:t>
      </w:r>
    </w:p>
    <w:p w14:paraId="441963D7"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Descripción del equipo o sistema a probar. </w:t>
      </w:r>
    </w:p>
    <w:p w14:paraId="1D180E44"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Lista de documentos que deben utilizarse durante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(especificaciones técnicas, fichas técnicas, etc.). </w:t>
      </w:r>
    </w:p>
    <w:p w14:paraId="3EE81467"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Requisitos aplicables. </w:t>
      </w:r>
    </w:p>
    <w:p w14:paraId="68639B1E"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Condiciones previas y prescripción para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w:t>
      </w:r>
    </w:p>
    <w:p w14:paraId="5042B6B9"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Condiciones ambientales que podrían afectar los resultados de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(cuando corresponda). </w:t>
      </w:r>
    </w:p>
    <w:p w14:paraId="2A68B578"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Descripción del entorno de prueba de fábrica en el que se realizará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w:t>
      </w:r>
    </w:p>
    <w:p w14:paraId="0E068368"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Especificación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a realizar. </w:t>
      </w:r>
    </w:p>
    <w:p w14:paraId="2AEBD2D9"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Secuencia paso a paso de actividades e instrucciones para cada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w:t>
      </w:r>
    </w:p>
    <w:p w14:paraId="34048CCC"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lastRenderedPageBreak/>
        <w:t xml:space="preserve">Instrumentos, herramientas de configuración, cualificaciones profesionales necesarias para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w:t>
      </w:r>
    </w:p>
    <w:p w14:paraId="2D9A5044"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Instrucciones sobre cómo tomar las medidas y gestionar los datos recopilados. </w:t>
      </w:r>
    </w:p>
    <w:p w14:paraId="14061899"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Criterios de aceptación (Pass/Fail) y tolerancias relevantes. </w:t>
      </w:r>
    </w:p>
    <w:p w14:paraId="48EA5B88" w14:textId="77777777" w:rsidR="009102A7" w:rsidRPr="00576AF8" w:rsidRDefault="009102A7" w:rsidP="009102A7">
      <w:pPr>
        <w:numPr>
          <w:ilvl w:val="0"/>
          <w:numId w:val="41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Espacio para firmas y comentarios del personal involucrado presente en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w:t>
      </w:r>
    </w:p>
    <w:p w14:paraId="61C641DA"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Después de completar las pruebas FAT, todos los resultados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y la documentación relacionada se recopilará en los documentos de informes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de fábrica, que incluirán al menos: </w:t>
      </w:r>
    </w:p>
    <w:p w14:paraId="0DD9330C"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Lugar y fecha de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w:t>
      </w:r>
    </w:p>
    <w:p w14:paraId="60880795"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Lista de los equipos o subsistemas probados. </w:t>
      </w:r>
    </w:p>
    <w:p w14:paraId="5D97D01F"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Referencia a las especificaciones y procedimientos de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del software con la descripción del entorno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y los detalles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s realizadas. </w:t>
      </w:r>
    </w:p>
    <w:p w14:paraId="24180BCE"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Documentos aplicables (fichas técnicas de equipos, certificación de instrumentos, etc.). </w:t>
      </w:r>
    </w:p>
    <w:p w14:paraId="4989AFCF"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Lecturas y mediciones tomadas durante los ensayos, según proceda, para demostrar el resultado (cuando proceda). </w:t>
      </w:r>
    </w:p>
    <w:p w14:paraId="422A6719"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Definición e identificación de equipos, herramientas e instrumentos utilizados con certificación de calibración pertinente. </w:t>
      </w:r>
    </w:p>
    <w:p w14:paraId="6FC20E2F"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Resultados de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con firmas del personal y las partes involucradas presentes durante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w:t>
      </w:r>
    </w:p>
    <w:p w14:paraId="02A714B1" w14:textId="77777777" w:rsidR="009102A7" w:rsidRPr="00576AF8" w:rsidRDefault="009102A7" w:rsidP="009102A7">
      <w:pPr>
        <w:numPr>
          <w:ilvl w:val="0"/>
          <w:numId w:val="417"/>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Eventos o anomalías detectadas durante la realización de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con indicación de severidad</w:t>
      </w:r>
    </w:p>
    <w:p w14:paraId="5ED18844"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El Proveedor mantendrá un registro completo de todos los procedimientos y resultados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 fábrica. </w:t>
      </w:r>
    </w:p>
    <w:p w14:paraId="27657ADD"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El FAT se considerará aprobado con éxito cuando todas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realizadas se han completado con éxito. El sistema no podrá ser despachado si quedan pendientes fallas “Críticas”. </w:t>
      </w:r>
    </w:p>
    <w:p w14:paraId="7B2738D0" w14:textId="77777777" w:rsidR="009102A7" w:rsidRPr="00576AF8" w:rsidRDefault="009102A7" w:rsidP="009102A7">
      <w:pPr>
        <w:numPr>
          <w:ilvl w:val="0"/>
          <w:numId w:val="41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lastRenderedPageBreak/>
        <w:t xml:space="preserve">Registro de Eventos: Si durante una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se detecta algún error o problema, éste se documentará en un formulario independiente, donde se indique al menos la siguiente información:</w:t>
      </w:r>
    </w:p>
    <w:p w14:paraId="2ABB7D2C" w14:textId="77777777" w:rsidR="009102A7" w:rsidRPr="00576AF8" w:rsidRDefault="009102A7" w:rsidP="009102A7">
      <w:pPr>
        <w:numPr>
          <w:ilvl w:val="0"/>
          <w:numId w:val="4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Número de Evento y fecha</w:t>
      </w:r>
    </w:p>
    <w:p w14:paraId="75BDD354" w14:textId="77777777" w:rsidR="009102A7" w:rsidRPr="00576AF8" w:rsidRDefault="009102A7" w:rsidP="009102A7">
      <w:pPr>
        <w:numPr>
          <w:ilvl w:val="0"/>
          <w:numId w:val="4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Subsistema asociado</w:t>
      </w:r>
    </w:p>
    <w:p w14:paraId="0E612F43" w14:textId="77777777" w:rsidR="009102A7" w:rsidRPr="00576AF8" w:rsidRDefault="009102A7" w:rsidP="009102A7">
      <w:pPr>
        <w:numPr>
          <w:ilvl w:val="0"/>
          <w:numId w:val="4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Procedimiento asociado</w:t>
      </w:r>
    </w:p>
    <w:p w14:paraId="415EC6A0" w14:textId="77777777" w:rsidR="009102A7" w:rsidRPr="00576AF8" w:rsidRDefault="009102A7" w:rsidP="009102A7">
      <w:pPr>
        <w:numPr>
          <w:ilvl w:val="0"/>
          <w:numId w:val="4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Número de instrucción del procedimiento donde se detecta la anomalía</w:t>
      </w:r>
    </w:p>
    <w:p w14:paraId="6BF6C52F" w14:textId="77777777" w:rsidR="009102A7" w:rsidRPr="00576AF8" w:rsidRDefault="009102A7" w:rsidP="009102A7">
      <w:pPr>
        <w:numPr>
          <w:ilvl w:val="0"/>
          <w:numId w:val="4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Calificación de severidad del evento</w:t>
      </w:r>
    </w:p>
    <w:p w14:paraId="74F78CD7" w14:textId="77777777" w:rsidR="009102A7" w:rsidRPr="00576AF8" w:rsidRDefault="009102A7" w:rsidP="009102A7">
      <w:pPr>
        <w:numPr>
          <w:ilvl w:val="0"/>
          <w:numId w:val="4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color w:val="000000"/>
          <w:sz w:val="22"/>
          <w:szCs w:val="22"/>
          <w:lang w:val="es-419" w:eastAsia="en-US" w:bidi="ar-SA"/>
        </w:rPr>
      </w:pPr>
      <w:r w:rsidRPr="00576AF8">
        <w:rPr>
          <w:rFonts w:eastAsia="Calibri"/>
          <w:sz w:val="22"/>
          <w:szCs w:val="22"/>
          <w:lang w:val="es-419" w:eastAsia="en-US" w:bidi="ar-SA"/>
        </w:rPr>
        <w:t>Firmas de Responsabilidad</w:t>
      </w:r>
    </w:p>
    <w:p w14:paraId="57E2FC2E" w14:textId="77777777" w:rsidR="009102A7" w:rsidRPr="00576AF8" w:rsidRDefault="009102A7" w:rsidP="009102A7">
      <w:pPr>
        <w:keepNext/>
        <w:numPr>
          <w:ilvl w:val="1"/>
          <w:numId w:val="0"/>
        </w:numPr>
        <w:suppressAutoHyphens w:val="0"/>
        <w:spacing w:before="240" w:after="60" w:line="360" w:lineRule="auto"/>
        <w:ind w:left="284"/>
        <w:outlineLvl w:val="1"/>
        <w:rPr>
          <w:b/>
          <w:sz w:val="22"/>
          <w:szCs w:val="22"/>
        </w:rPr>
      </w:pPr>
      <w:bookmarkStart w:id="1358" w:name="_Toc148955294"/>
      <w:bookmarkStart w:id="1359" w:name="_Toc158396751"/>
      <w:bookmarkStart w:id="1360" w:name="_Toc160012954"/>
      <w:bookmarkStart w:id="1361" w:name="_Toc163137332"/>
      <w:r w:rsidRPr="00576AF8">
        <w:rPr>
          <w:b/>
          <w:color w:val="000000"/>
          <w:sz w:val="22"/>
          <w:szCs w:val="22"/>
          <w:lang w:val="es-EC" w:eastAsia="es-EC"/>
        </w:rPr>
        <w:t>Inspecciones (Pruebas)</w:t>
      </w:r>
      <w:r w:rsidRPr="00576AF8">
        <w:rPr>
          <w:b/>
          <w:sz w:val="22"/>
          <w:szCs w:val="22"/>
        </w:rPr>
        <w:t xml:space="preserve"> Punto a Punto</w:t>
      </w:r>
      <w:bookmarkEnd w:id="1358"/>
      <w:bookmarkEnd w:id="1359"/>
      <w:bookmarkEnd w:id="1360"/>
      <w:bookmarkEnd w:id="1361"/>
    </w:p>
    <w:p w14:paraId="39F15617" w14:textId="77777777" w:rsidR="009102A7" w:rsidRPr="00576AF8" w:rsidRDefault="009102A7" w:rsidP="009102A7">
      <w:pPr>
        <w:numPr>
          <w:ilvl w:val="0"/>
          <w:numId w:val="4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134" w:hanging="425"/>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punto a punto se realizarán después de que el QAS se haya actualizado con los mismos programas ejecutables verificados desde la finalización del FAT y debe completarse antes de las pruebas de aceptación del sitio (SAT). </w:t>
      </w:r>
    </w:p>
    <w:p w14:paraId="7A8080FA" w14:textId="77777777" w:rsidR="009102A7" w:rsidRPr="00576AF8" w:rsidRDefault="009102A7" w:rsidP="009102A7">
      <w:pPr>
        <w:numPr>
          <w:ilvl w:val="0"/>
          <w:numId w:val="4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134" w:hanging="425"/>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punto a punto serán realizadas por el CENACE con la asistencia del Proveedor. Estas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se realizarán para verificar la validez de la base de datos y los despliegues. Además, estas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permiten verificar el correcto funcionamiento de todo el sistema, comenzando desde el proceso en el campo y subiendo a través de la red de telecomunicaciones hasta el SCADA para lo relacionado con las señales y viceversa comenzando desde el SCADA y bajando a través de la red de telecomunicaciones hasta el proceso para lo relacionado con los controles. </w:t>
      </w:r>
    </w:p>
    <w:p w14:paraId="2EE0E1BF" w14:textId="77777777" w:rsidR="009102A7" w:rsidRPr="00576AF8" w:rsidRDefault="009102A7" w:rsidP="009102A7">
      <w:pPr>
        <w:numPr>
          <w:ilvl w:val="0"/>
          <w:numId w:val="4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134" w:hanging="425"/>
        <w:rPr>
          <w:rFonts w:eastAsia="Calibri"/>
          <w:sz w:val="22"/>
          <w:szCs w:val="22"/>
          <w:lang w:val="es-419" w:eastAsia="en-US" w:bidi="ar-SA"/>
        </w:rPr>
      </w:pPr>
      <w:r w:rsidRPr="00576AF8">
        <w:rPr>
          <w:rFonts w:eastAsia="Calibri"/>
          <w:sz w:val="22"/>
          <w:szCs w:val="22"/>
          <w:lang w:val="es-419" w:eastAsia="en-US" w:bidi="ar-SA"/>
        </w:rPr>
        <w:t xml:space="preserve">Esta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deberá realizarse tanto desde el sistema de aseguramiento de calidad (QAS) como desde el SCADA de producción tomando dentro de lo posible previsiones para no afectar el entorno de producción con el sistema existente. Los procedimientos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para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punto a punto se acordarán detalladamente con el Proveedor y deben incluir un plan para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en modo escucha, es decir sin interrumpir el intercambio bidireccional entre el sistema actual y el equipo remoto. Asimismo, dicho plan incluirá el cambio para la desconexión temporal de la comunicación entre el SCADA actual y el equipo remoto, para conectar directamente el SCADA del Proveedor al equipo remoto, minimizando la interrupción de la capacidad operativa del CENACE.  En el caso de que, para el momento de estas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la arquitectura </w:t>
      </w:r>
      <w:r w:rsidRPr="00576AF8">
        <w:rPr>
          <w:rFonts w:eastAsia="Calibri"/>
          <w:sz w:val="22"/>
          <w:szCs w:val="22"/>
          <w:lang w:val="es-419" w:eastAsia="en-US" w:bidi="ar-SA"/>
        </w:rPr>
        <w:lastRenderedPageBreak/>
        <w:t>de comunicaciones del CENACE permita la conexión simultánea de dos estaciones maestras SCADA, se preferirá esta metodología.</w:t>
      </w:r>
    </w:p>
    <w:p w14:paraId="044117A9" w14:textId="77777777" w:rsidR="009102A7" w:rsidRPr="00576AF8" w:rsidRDefault="009102A7" w:rsidP="009102A7">
      <w:pPr>
        <w:numPr>
          <w:ilvl w:val="0"/>
          <w:numId w:val="41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134" w:hanging="425"/>
        <w:rPr>
          <w:rFonts w:eastAsia="Calibri"/>
          <w:sz w:val="22"/>
          <w:szCs w:val="22"/>
          <w:lang w:val="es-419" w:eastAsia="en-US" w:bidi="ar-SA"/>
        </w:rPr>
      </w:pPr>
      <w:r w:rsidRPr="00576AF8">
        <w:rPr>
          <w:rFonts w:eastAsia="Calibri"/>
          <w:sz w:val="22"/>
          <w:szCs w:val="22"/>
          <w:lang w:val="es-419" w:eastAsia="en-US" w:bidi="ar-SA"/>
        </w:rPr>
        <w:t xml:space="preserve">El método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dependerá de la condición de la estación remota de la subestación. La operación paralela entre el sistema antiguo y el nuevo debe permanecer hasta se cumplan las siguientes pruebas: </w:t>
      </w:r>
    </w:p>
    <w:p w14:paraId="50355582"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100% de las telemedidas (indicaciones, mediciones y acumuladores) </w:t>
      </w:r>
    </w:p>
    <w:p w14:paraId="291E2F06"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100% de los puntos de consigna para la generación </w:t>
      </w:r>
    </w:p>
    <w:p w14:paraId="05FEC802"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20% de los puntos de control digital seleccionados por el CENACE</w:t>
      </w:r>
    </w:p>
    <w:p w14:paraId="1A4BAB80" w14:textId="77777777" w:rsidR="009102A7" w:rsidRPr="00576AF8" w:rsidRDefault="009102A7" w:rsidP="009102A7">
      <w:pPr>
        <w:keepNext/>
        <w:numPr>
          <w:ilvl w:val="1"/>
          <w:numId w:val="0"/>
        </w:numPr>
        <w:suppressAutoHyphens w:val="0"/>
        <w:spacing w:before="240" w:after="60" w:line="360" w:lineRule="auto"/>
        <w:ind w:left="284"/>
        <w:outlineLvl w:val="1"/>
        <w:rPr>
          <w:b/>
          <w:sz w:val="22"/>
          <w:szCs w:val="22"/>
          <w:lang w:val="es-EC"/>
        </w:rPr>
      </w:pPr>
      <w:bookmarkStart w:id="1362" w:name="_Toc148955295"/>
      <w:bookmarkStart w:id="1363" w:name="_Toc158396752"/>
      <w:bookmarkStart w:id="1364" w:name="_Toc160012955"/>
      <w:bookmarkStart w:id="1365" w:name="_Toc163137333"/>
      <w:r w:rsidRPr="00576AF8">
        <w:rPr>
          <w:b/>
          <w:color w:val="000000"/>
          <w:sz w:val="22"/>
          <w:szCs w:val="22"/>
          <w:lang w:val="es-EC" w:eastAsia="es-EC"/>
        </w:rPr>
        <w:t>Inspección (Prueba)</w:t>
      </w:r>
      <w:r w:rsidRPr="00576AF8">
        <w:rPr>
          <w:b/>
          <w:sz w:val="22"/>
          <w:szCs w:val="22"/>
          <w:lang w:val="es-EC"/>
        </w:rPr>
        <w:t xml:space="preserve"> de Aceptación en Sitio SAT</w:t>
      </w:r>
      <w:bookmarkEnd w:id="1362"/>
      <w:bookmarkEnd w:id="1363"/>
      <w:bookmarkEnd w:id="1364"/>
      <w:bookmarkEnd w:id="1365"/>
    </w:p>
    <w:p w14:paraId="63FF1EDF" w14:textId="77777777" w:rsidR="009102A7" w:rsidRPr="00576AF8" w:rsidRDefault="009102A7" w:rsidP="009102A7">
      <w:pPr>
        <w:numPr>
          <w:ilvl w:val="0"/>
          <w:numId w:val="4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Al final de la fase de instalación del sistema SCADA/EMS en la sede del CENACE, se ejecutarán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w:t>
      </w:r>
      <w:r w:rsidRPr="00576AF8">
        <w:rPr>
          <w:rFonts w:eastAsia="Calibri"/>
          <w:i/>
          <w:iCs/>
          <w:sz w:val="22"/>
          <w:szCs w:val="22"/>
          <w:lang w:val="es-419" w:eastAsia="en-US" w:bidi="ar-SA"/>
        </w:rPr>
        <w:t>in situ</w:t>
      </w:r>
      <w:r w:rsidRPr="00576AF8">
        <w:rPr>
          <w:rFonts w:eastAsia="Calibri"/>
          <w:sz w:val="22"/>
          <w:szCs w:val="22"/>
          <w:lang w:val="es-419" w:eastAsia="en-US" w:bidi="ar-SA"/>
        </w:rPr>
        <w:t xml:space="preserve"> de todo el hardware y software. </w:t>
      </w:r>
    </w:p>
    <w:p w14:paraId="4D5034E4" w14:textId="77777777" w:rsidR="009102A7" w:rsidRPr="00576AF8" w:rsidRDefault="009102A7" w:rsidP="009102A7">
      <w:pPr>
        <w:numPr>
          <w:ilvl w:val="0"/>
          <w:numId w:val="4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SAT se realizarán con la Base de Datos del CENACE y las mismas serán completas y exhaustivas siguiendo los mismos protocolos de prueba utilizados para el FAT con las personalizaciones aplicables.</w:t>
      </w:r>
    </w:p>
    <w:p w14:paraId="1909ED8A" w14:textId="77777777" w:rsidR="009102A7" w:rsidRPr="00576AF8" w:rsidRDefault="009102A7" w:rsidP="009102A7">
      <w:pPr>
        <w:numPr>
          <w:ilvl w:val="0"/>
          <w:numId w:val="420"/>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51" w:hanging="425"/>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SAT serán ejecutadas por CENACE con la presencia del Proveedor y deben realizarse de conformidad con la documentación de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SAT desarrollada y los requisitos y regulaciones aplicables. </w:t>
      </w:r>
    </w:p>
    <w:p w14:paraId="2CEA9163"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720" w:firstLine="131"/>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 aceptación en sitio comprenden las siguientes etapas: </w:t>
      </w:r>
    </w:p>
    <w:p w14:paraId="3DD85D07"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Pruebas de instalación en sitio. </w:t>
      </w:r>
    </w:p>
    <w:p w14:paraId="3075BC1F"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Período de actualización en sitio. </w:t>
      </w:r>
    </w:p>
    <w:p w14:paraId="2FBEBE4A"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Pruebas integradas del sistema. </w:t>
      </w:r>
    </w:p>
    <w:p w14:paraId="4396EC3B"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Pruebas de rendimiento del sistema. </w:t>
      </w:r>
    </w:p>
    <w:p w14:paraId="0FF17AFD"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Pruebas de disponibilidad. </w:t>
      </w:r>
    </w:p>
    <w:p w14:paraId="3E07F06F"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10"/>
        <w:rPr>
          <w:rFonts w:eastAsia="Calibri"/>
          <w:sz w:val="22"/>
          <w:szCs w:val="22"/>
          <w:lang w:val="es-419" w:eastAsia="en-US" w:bidi="ar-SA"/>
        </w:rPr>
      </w:pPr>
      <w:r w:rsidRPr="00576AF8">
        <w:rPr>
          <w:rFonts w:eastAsia="Calibri"/>
          <w:sz w:val="22"/>
          <w:szCs w:val="22"/>
          <w:lang w:val="es-419" w:eastAsia="en-US" w:bidi="ar-SA"/>
        </w:rPr>
        <w:t xml:space="preserve">El Proveedor preparará un plan general que cubra todas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que se deben ejecutar en sitio. Este plan incluirá las pruebas que sean solicitadas por el CENACE, en común acuerdo con el Proveedor.  Estas pruebas se denominarán como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No Estructuradas de SAT y tendrán la misma validez que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SAT diseñadas por el Proveedor. El plan de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en sitio estará sujeto a la aprobación del </w:t>
      </w:r>
      <w:r w:rsidRPr="00576AF8">
        <w:rPr>
          <w:rFonts w:eastAsia="Calibri"/>
          <w:sz w:val="22"/>
          <w:szCs w:val="22"/>
          <w:lang w:val="es-419" w:eastAsia="en-US" w:bidi="ar-SA"/>
        </w:rPr>
        <w:lastRenderedPageBreak/>
        <w:t xml:space="preserve">CENACE y se coordinará estrechamente en términos de la disponibilidad de las subestaciones y plantas para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y la provisión oportuna de los permisos y consignaciones requeridas para estas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w:t>
      </w:r>
    </w:p>
    <w:p w14:paraId="519FB8D3"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10"/>
        <w:rPr>
          <w:rFonts w:eastAsia="Calibri"/>
          <w:sz w:val="22"/>
          <w:szCs w:val="22"/>
          <w:lang w:val="es-419" w:eastAsia="en-US" w:bidi="ar-SA"/>
        </w:rPr>
      </w:pPr>
      <w:r w:rsidRPr="00576AF8">
        <w:rPr>
          <w:rFonts w:eastAsia="Calibri"/>
          <w:sz w:val="22"/>
          <w:szCs w:val="22"/>
          <w:lang w:val="es-419" w:eastAsia="en-US" w:bidi="ar-SA"/>
        </w:rPr>
        <w:t xml:space="preserve">Cada </w:t>
      </w:r>
      <w:r w:rsidRPr="00576AF8">
        <w:rPr>
          <w:rFonts w:eastAsia="Calibri"/>
          <w:color w:val="000000"/>
          <w:sz w:val="22"/>
          <w:szCs w:val="22"/>
          <w:lang w:val="es-EC" w:eastAsia="es-EC" w:bidi="ar-SA"/>
        </w:rPr>
        <w:t>Inspección (Prueba)</w:t>
      </w:r>
      <w:r w:rsidRPr="00576AF8">
        <w:rPr>
          <w:rFonts w:eastAsia="Calibri"/>
          <w:i/>
          <w:iCs/>
          <w:sz w:val="22"/>
          <w:szCs w:val="22"/>
          <w:lang w:val="es-419" w:eastAsia="en-US" w:bidi="ar-SA"/>
        </w:rPr>
        <w:t xml:space="preserve"> </w:t>
      </w:r>
      <w:r w:rsidRPr="00576AF8">
        <w:rPr>
          <w:rFonts w:eastAsia="Calibri"/>
          <w:sz w:val="22"/>
          <w:szCs w:val="22"/>
          <w:lang w:val="es-419" w:eastAsia="en-US" w:bidi="ar-SA"/>
        </w:rPr>
        <w:t xml:space="preserve">in situ se ejecutará sin ningún impacto en el sistema eléctrico. Al final de cada sesión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se realizarán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específicas para garantizar que todos los subsistemas existentes funcionan correctamente. </w:t>
      </w:r>
    </w:p>
    <w:p w14:paraId="77826312" w14:textId="77777777" w:rsidR="009102A7" w:rsidRPr="00576AF8" w:rsidRDefault="009102A7" w:rsidP="009102A7">
      <w:pPr>
        <w:numPr>
          <w:ilvl w:val="0"/>
          <w:numId w:val="269"/>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810"/>
        <w:rPr>
          <w:rFonts w:eastAsia="Calibri"/>
          <w:sz w:val="22"/>
          <w:szCs w:val="22"/>
          <w:lang w:val="es-419" w:eastAsia="en-US" w:bidi="ar-SA"/>
        </w:rPr>
      </w:pPr>
      <w:r w:rsidRPr="00576AF8">
        <w:rPr>
          <w:rFonts w:eastAsia="Calibri"/>
          <w:sz w:val="22"/>
          <w:szCs w:val="22"/>
          <w:lang w:val="es-419" w:eastAsia="en-US" w:bidi="ar-SA"/>
        </w:rPr>
        <w:t xml:space="preserve">El Proveedor garantizará la presencia del personal calificado conforme la prueba a realizarse en sitio, el cual será propuesto para aceptación por parte </w:t>
      </w:r>
      <w:r w:rsidR="00593894" w:rsidRPr="00576AF8">
        <w:rPr>
          <w:rFonts w:eastAsia="Calibri"/>
          <w:sz w:val="22"/>
          <w:szCs w:val="22"/>
          <w:lang w:val="es-419" w:eastAsia="en-US" w:bidi="ar-SA"/>
        </w:rPr>
        <w:t>del Comprador</w:t>
      </w:r>
      <w:r w:rsidRPr="00576AF8">
        <w:rPr>
          <w:rFonts w:eastAsia="Calibri"/>
          <w:sz w:val="22"/>
          <w:szCs w:val="22"/>
          <w:lang w:val="es-419" w:eastAsia="en-US" w:bidi="ar-SA"/>
        </w:rPr>
        <w:t xml:space="preserve">, con el objetivo de realizar con éxito todas las actividades de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en sitio hasta la aceptación operacional.</w:t>
      </w:r>
    </w:p>
    <w:p w14:paraId="601FA35F" w14:textId="77777777" w:rsidR="009102A7" w:rsidRPr="00576AF8" w:rsidRDefault="009102A7" w:rsidP="009102A7">
      <w:pPr>
        <w:keepNext/>
        <w:numPr>
          <w:ilvl w:val="1"/>
          <w:numId w:val="0"/>
        </w:numPr>
        <w:suppressAutoHyphens w:val="0"/>
        <w:spacing w:before="240" w:after="60" w:line="360" w:lineRule="auto"/>
        <w:ind w:left="284"/>
        <w:outlineLvl w:val="1"/>
        <w:rPr>
          <w:b/>
          <w:sz w:val="22"/>
          <w:szCs w:val="22"/>
          <w:lang w:val="es-EC"/>
        </w:rPr>
      </w:pPr>
      <w:bookmarkStart w:id="1366" w:name="_Toc148955296"/>
      <w:bookmarkStart w:id="1367" w:name="_Toc158396753"/>
      <w:bookmarkStart w:id="1368" w:name="_Toc160012956"/>
      <w:bookmarkStart w:id="1369" w:name="_Toc163137334"/>
      <w:r w:rsidRPr="00576AF8">
        <w:rPr>
          <w:b/>
          <w:sz w:val="22"/>
          <w:szCs w:val="22"/>
          <w:lang w:val="es-EC"/>
        </w:rPr>
        <w:t xml:space="preserve">Reportes de Fallas en las </w:t>
      </w:r>
      <w:bookmarkEnd w:id="1366"/>
      <w:bookmarkEnd w:id="1367"/>
      <w:bookmarkEnd w:id="1368"/>
      <w:r w:rsidRPr="00576AF8">
        <w:rPr>
          <w:b/>
          <w:color w:val="000000"/>
          <w:sz w:val="22"/>
          <w:szCs w:val="22"/>
          <w:lang w:val="es-EC" w:eastAsia="es-EC"/>
        </w:rPr>
        <w:t>Inspecciones (Pruebas)</w:t>
      </w:r>
      <w:bookmarkEnd w:id="1369"/>
    </w:p>
    <w:p w14:paraId="38CB5AD7" w14:textId="77777777" w:rsidR="009102A7" w:rsidRPr="00576AF8" w:rsidRDefault="009102A7" w:rsidP="009102A7">
      <w:pPr>
        <w:keepNext/>
        <w:numPr>
          <w:ilvl w:val="2"/>
          <w:numId w:val="0"/>
        </w:numPr>
        <w:suppressAutoHyphens w:val="0"/>
        <w:spacing w:before="240" w:after="60" w:line="360" w:lineRule="auto"/>
        <w:ind w:left="720" w:hanging="153"/>
        <w:outlineLvl w:val="2"/>
        <w:rPr>
          <w:b/>
          <w:sz w:val="22"/>
          <w:szCs w:val="22"/>
        </w:rPr>
      </w:pPr>
      <w:bookmarkStart w:id="1370" w:name="_Toc148955297"/>
      <w:bookmarkStart w:id="1371" w:name="_Toc158396754"/>
      <w:bookmarkStart w:id="1372" w:name="_Toc160012957"/>
      <w:bookmarkStart w:id="1373" w:name="_Toc163137335"/>
      <w:r w:rsidRPr="00576AF8">
        <w:rPr>
          <w:b/>
          <w:sz w:val="22"/>
          <w:szCs w:val="22"/>
        </w:rPr>
        <w:t>Reportes de Fallas de Hardware</w:t>
      </w:r>
      <w:bookmarkEnd w:id="1370"/>
      <w:bookmarkEnd w:id="1371"/>
      <w:bookmarkEnd w:id="1372"/>
      <w:bookmarkEnd w:id="1373"/>
    </w:p>
    <w:p w14:paraId="6C68B016" w14:textId="77777777" w:rsidR="009102A7" w:rsidRPr="00576AF8" w:rsidRDefault="009102A7" w:rsidP="009102A7">
      <w:pPr>
        <w:numPr>
          <w:ilvl w:val="0"/>
          <w:numId w:val="421"/>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Para cada falla de hardware que ocurra en cualquier etapa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el Proveedor investigará la falla y preparará un informe sobre su(s) causa(s) e implicaciones de diseño. El informe indicará claramente lo siguiente: </w:t>
      </w:r>
    </w:p>
    <w:p w14:paraId="07382EDC"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La causa más probable del error. </w:t>
      </w:r>
    </w:p>
    <w:p w14:paraId="116A72EF"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Un análisis de componentes o equipos afectados por la falla</w:t>
      </w:r>
    </w:p>
    <w:p w14:paraId="3BC7F977"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Si la falla es el resultado de algún componente que opera fuera de su rango de diseño. </w:t>
      </w:r>
    </w:p>
    <w:p w14:paraId="01BA1E61"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Si se deben realizar cambios en el diseño para evitar más fallas</w:t>
      </w:r>
    </w:p>
    <w:p w14:paraId="5C2C220A"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720"/>
        <w:rPr>
          <w:rFonts w:eastAsia="Calibri"/>
          <w:sz w:val="22"/>
          <w:szCs w:val="22"/>
          <w:lang w:val="es-419" w:eastAsia="en-US" w:bidi="ar-SA"/>
        </w:rPr>
      </w:pPr>
      <w:r w:rsidRPr="00576AF8">
        <w:rPr>
          <w:rFonts w:eastAsia="Calibri"/>
          <w:sz w:val="22"/>
          <w:szCs w:val="22"/>
          <w:lang w:val="es-419" w:eastAsia="en-US" w:bidi="ar-SA"/>
        </w:rPr>
        <w:t>Como resultado, el Proveedor reemplazará el componente o equipo dañado.</w:t>
      </w:r>
    </w:p>
    <w:p w14:paraId="2422B952" w14:textId="77777777" w:rsidR="009102A7" w:rsidRPr="00576AF8" w:rsidRDefault="009102A7" w:rsidP="009102A7">
      <w:pPr>
        <w:keepNext/>
        <w:numPr>
          <w:ilvl w:val="2"/>
          <w:numId w:val="0"/>
        </w:numPr>
        <w:suppressAutoHyphens w:val="0"/>
        <w:spacing w:before="240" w:after="60" w:line="360" w:lineRule="auto"/>
        <w:ind w:left="720" w:hanging="153"/>
        <w:outlineLvl w:val="2"/>
        <w:rPr>
          <w:b/>
          <w:sz w:val="22"/>
          <w:szCs w:val="22"/>
        </w:rPr>
      </w:pPr>
      <w:bookmarkStart w:id="1374" w:name="_Toc148955298"/>
      <w:bookmarkStart w:id="1375" w:name="_Toc158396755"/>
      <w:bookmarkStart w:id="1376" w:name="_Toc160012958"/>
      <w:bookmarkStart w:id="1377" w:name="_Toc163137336"/>
      <w:r w:rsidRPr="00576AF8">
        <w:rPr>
          <w:b/>
          <w:sz w:val="22"/>
          <w:szCs w:val="22"/>
        </w:rPr>
        <w:t>Reportes de Fallas de Software</w:t>
      </w:r>
      <w:bookmarkEnd w:id="1374"/>
      <w:bookmarkEnd w:id="1375"/>
      <w:bookmarkEnd w:id="1376"/>
      <w:bookmarkEnd w:id="1377"/>
    </w:p>
    <w:p w14:paraId="632C478B" w14:textId="77777777" w:rsidR="009102A7" w:rsidRPr="00576AF8" w:rsidRDefault="009102A7" w:rsidP="009102A7">
      <w:pPr>
        <w:numPr>
          <w:ilvl w:val="0"/>
          <w:numId w:val="4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Para cada falla del software que ocurra, una vez que el software haya sido aprobado para su inclusión en el sistema y esté sujeto al control de configuración, el Proveedor generará un informe de fallas del software. El informe indicará claramente: </w:t>
      </w:r>
    </w:p>
    <w:p w14:paraId="34C187A6"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Los síntomas observados</w:t>
      </w:r>
    </w:p>
    <w:p w14:paraId="7F7DB136"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La causa probable</w:t>
      </w:r>
    </w:p>
    <w:p w14:paraId="14045084"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La categoría de error</w:t>
      </w:r>
    </w:p>
    <w:p w14:paraId="0491A103" w14:textId="77777777" w:rsidR="009102A7" w:rsidRPr="00576AF8" w:rsidRDefault="009102A7" w:rsidP="009102A7">
      <w:pPr>
        <w:numPr>
          <w:ilvl w:val="0"/>
          <w:numId w:val="42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lastRenderedPageBreak/>
        <w:t xml:space="preserve">El informe también indicará claramente la siguiente información, cuando se haya investigado el incumplimiento: </w:t>
      </w:r>
    </w:p>
    <w:p w14:paraId="61DAA763"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La causa real del error</w:t>
      </w:r>
    </w:p>
    <w:p w14:paraId="1C545CC1"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Las medidas correctivas adoptadas</w:t>
      </w:r>
    </w:p>
    <w:p w14:paraId="6B771F25"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Todos los módulos de software afectados</w:t>
      </w:r>
    </w:p>
    <w:p w14:paraId="53F2AFC6" w14:textId="77777777" w:rsidR="009102A7" w:rsidRPr="00576AF8" w:rsidRDefault="009102A7" w:rsidP="009102A7">
      <w:pPr>
        <w:keepNext/>
        <w:numPr>
          <w:ilvl w:val="1"/>
          <w:numId w:val="0"/>
        </w:numPr>
        <w:suppressAutoHyphens w:val="0"/>
        <w:spacing w:before="240" w:after="60" w:line="360" w:lineRule="auto"/>
        <w:ind w:left="709" w:hanging="142"/>
        <w:outlineLvl w:val="1"/>
        <w:rPr>
          <w:b/>
          <w:sz w:val="22"/>
          <w:szCs w:val="22"/>
        </w:rPr>
      </w:pPr>
      <w:bookmarkStart w:id="1378" w:name="_Toc148955299"/>
      <w:bookmarkStart w:id="1379" w:name="_Toc158396756"/>
      <w:bookmarkStart w:id="1380" w:name="_Toc160012959"/>
      <w:bookmarkStart w:id="1381" w:name="_Toc163137337"/>
      <w:r w:rsidRPr="00576AF8">
        <w:rPr>
          <w:b/>
          <w:color w:val="000000"/>
          <w:sz w:val="22"/>
          <w:szCs w:val="22"/>
          <w:lang w:val="es-EC" w:eastAsia="es-EC"/>
        </w:rPr>
        <w:t xml:space="preserve">Inspecciones (Pruebas) de </w:t>
      </w:r>
      <w:r w:rsidRPr="00576AF8">
        <w:rPr>
          <w:b/>
          <w:sz w:val="22"/>
          <w:szCs w:val="22"/>
        </w:rPr>
        <w:t>Rendimiento</w:t>
      </w:r>
      <w:bookmarkEnd w:id="1378"/>
      <w:bookmarkEnd w:id="1379"/>
      <w:bookmarkEnd w:id="1380"/>
      <w:r w:rsidRPr="00576AF8">
        <w:rPr>
          <w:b/>
          <w:sz w:val="22"/>
          <w:szCs w:val="22"/>
        </w:rPr>
        <w:t xml:space="preserve"> o Desempeño</w:t>
      </w:r>
      <w:bookmarkEnd w:id="1381"/>
    </w:p>
    <w:p w14:paraId="204E16F9" w14:textId="4AC86942" w:rsidR="009102A7" w:rsidRPr="00576AF8" w:rsidRDefault="009102A7" w:rsidP="009102A7">
      <w:pPr>
        <w:numPr>
          <w:ilvl w:val="0"/>
          <w:numId w:val="4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 desempeño o de rendimiento tienen el propósito de demostrar los requerimientos especificados en el </w:t>
      </w:r>
      <w:r w:rsidR="00BD56C1">
        <w:rPr>
          <w:rFonts w:ascii="Calibri" w:hAnsi="Calibri" w:cs="Calibri"/>
          <w:sz w:val="22"/>
          <w:szCs w:val="22"/>
          <w:lang w:eastAsia="en-US"/>
        </w:rPr>
        <w:t>numeral 1.5</w:t>
      </w:r>
      <w:r w:rsidRPr="00576AF8">
        <w:rPr>
          <w:rFonts w:eastAsia="Calibri"/>
          <w:sz w:val="22"/>
          <w:szCs w:val="22"/>
          <w:lang w:val="es-419" w:eastAsia="en-US" w:bidi="ar-SA"/>
        </w:rPr>
        <w:t>.</w:t>
      </w:r>
    </w:p>
    <w:p w14:paraId="6ED41257"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418"/>
        <w:rPr>
          <w:rFonts w:eastAsia="Calibri"/>
          <w:sz w:val="22"/>
          <w:szCs w:val="22"/>
          <w:lang w:val="es-419" w:eastAsia="en-US" w:bidi="ar-SA"/>
        </w:rPr>
      </w:pPr>
      <w:r w:rsidRPr="00576AF8">
        <w:rPr>
          <w:rFonts w:eastAsia="Calibri"/>
          <w:sz w:val="22"/>
          <w:szCs w:val="22"/>
          <w:lang w:val="es-419" w:eastAsia="en-US" w:bidi="ar-SA"/>
        </w:rPr>
        <w:t xml:space="preserve">El propósito de estas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será, </w:t>
      </w:r>
    </w:p>
    <w:p w14:paraId="58D0832C"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hanging="426"/>
        <w:rPr>
          <w:rFonts w:eastAsia="Calibri"/>
          <w:color w:val="000000"/>
          <w:sz w:val="22"/>
          <w:szCs w:val="22"/>
          <w:lang w:val="es-419" w:eastAsia="en-US" w:bidi="ar-SA"/>
        </w:rPr>
      </w:pPr>
      <w:r w:rsidRPr="00576AF8">
        <w:rPr>
          <w:rFonts w:eastAsia="Calibri"/>
          <w:sz w:val="22"/>
          <w:szCs w:val="22"/>
          <w:lang w:val="es-419" w:eastAsia="en-US" w:bidi="ar-SA"/>
        </w:rPr>
        <w:t>Medir la carga de CPU y el consumo de memoria en los servidores principales definidos conjuntamente con CENACE</w:t>
      </w:r>
    </w:p>
    <w:p w14:paraId="52451AA8"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hanging="426"/>
        <w:rPr>
          <w:rFonts w:eastAsia="Calibri"/>
          <w:color w:val="000000"/>
          <w:sz w:val="22"/>
          <w:szCs w:val="22"/>
          <w:lang w:val="es-419" w:eastAsia="en-US" w:bidi="ar-SA"/>
        </w:rPr>
      </w:pPr>
      <w:r w:rsidRPr="00576AF8">
        <w:rPr>
          <w:rFonts w:eastAsia="Calibri"/>
          <w:sz w:val="22"/>
          <w:szCs w:val="22"/>
          <w:lang w:val="es-419" w:eastAsia="en-US" w:bidi="ar-SA"/>
        </w:rPr>
        <w:t>Medir la carga LAN midiendo los tiempos de respuesta de la interacción del usuario</w:t>
      </w:r>
    </w:p>
    <w:p w14:paraId="401C798C"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hanging="426"/>
        <w:rPr>
          <w:rFonts w:eastAsia="Calibri"/>
          <w:color w:val="000000"/>
          <w:sz w:val="22"/>
          <w:szCs w:val="22"/>
          <w:lang w:val="es-419" w:eastAsia="en-US" w:bidi="ar-SA"/>
        </w:rPr>
      </w:pPr>
      <w:r w:rsidRPr="00576AF8">
        <w:rPr>
          <w:rFonts w:eastAsia="Calibri"/>
          <w:sz w:val="22"/>
          <w:szCs w:val="22"/>
          <w:lang w:val="es-419" w:eastAsia="en-US" w:bidi="ar-SA"/>
        </w:rPr>
        <w:t xml:space="preserve">Medir los tiempos de respuesta de adquisición de datos </w:t>
      </w:r>
    </w:p>
    <w:p w14:paraId="1F6FB386"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hanging="426"/>
        <w:rPr>
          <w:rFonts w:eastAsia="Calibri"/>
          <w:color w:val="000000"/>
          <w:sz w:val="22"/>
          <w:szCs w:val="22"/>
          <w:lang w:val="es-419" w:eastAsia="en-US" w:bidi="ar-SA"/>
        </w:rPr>
      </w:pPr>
      <w:r w:rsidRPr="00576AF8">
        <w:rPr>
          <w:rFonts w:eastAsia="Calibri"/>
          <w:sz w:val="22"/>
          <w:szCs w:val="22"/>
          <w:lang w:val="es-419" w:eastAsia="en-US" w:bidi="ar-SA"/>
        </w:rPr>
        <w:t xml:space="preserve">Medir el tiempo de ejecución para las funciones de ingeniería de datos </w:t>
      </w:r>
    </w:p>
    <w:p w14:paraId="1B46CFFB"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2127" w:hanging="426"/>
        <w:rPr>
          <w:rFonts w:eastAsia="Calibri"/>
          <w:color w:val="000000"/>
          <w:sz w:val="22"/>
          <w:szCs w:val="22"/>
          <w:lang w:val="es-419" w:eastAsia="en-US" w:bidi="ar-SA"/>
        </w:rPr>
      </w:pPr>
      <w:r w:rsidRPr="00576AF8">
        <w:rPr>
          <w:rFonts w:eastAsia="Calibri"/>
          <w:sz w:val="22"/>
          <w:szCs w:val="22"/>
          <w:lang w:val="es-419" w:eastAsia="en-US" w:bidi="ar-SA"/>
        </w:rPr>
        <w:t xml:space="preserve">Medir los tiempos de diferentes aplicaciones del sistema </w:t>
      </w:r>
    </w:p>
    <w:p w14:paraId="06A5A1C9" w14:textId="77777777" w:rsidR="009102A7" w:rsidRPr="00576AF8" w:rsidRDefault="009102A7" w:rsidP="009102A7">
      <w:pPr>
        <w:numPr>
          <w:ilvl w:val="0"/>
          <w:numId w:val="4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Se definirán dos escenarios de rendimiento para diferentes condiciones y duración de carga del sistema. Los dos escenarios son: </w:t>
      </w:r>
    </w:p>
    <w:p w14:paraId="1B3C4814"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hanging="99"/>
        <w:rPr>
          <w:rFonts w:eastAsia="Calibri"/>
          <w:color w:val="000000"/>
          <w:sz w:val="22"/>
          <w:szCs w:val="22"/>
          <w:lang w:val="es-419" w:eastAsia="en-US" w:bidi="ar-SA"/>
        </w:rPr>
      </w:pPr>
      <w:r w:rsidRPr="00576AF8">
        <w:rPr>
          <w:rFonts w:eastAsia="Calibri"/>
          <w:sz w:val="22"/>
          <w:szCs w:val="22"/>
          <w:lang w:val="es-419" w:eastAsia="en-US" w:bidi="ar-SA"/>
        </w:rPr>
        <w:t>Estado Normal con una duración de 60 minutos</w:t>
      </w:r>
    </w:p>
    <w:p w14:paraId="72A5F99C"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hanging="99"/>
        <w:rPr>
          <w:rFonts w:eastAsia="Calibri"/>
          <w:color w:val="000000"/>
          <w:sz w:val="22"/>
          <w:szCs w:val="22"/>
          <w:lang w:val="es-419" w:eastAsia="en-US" w:bidi="ar-SA"/>
        </w:rPr>
      </w:pPr>
      <w:r w:rsidRPr="00576AF8">
        <w:rPr>
          <w:rFonts w:eastAsia="Calibri"/>
          <w:sz w:val="22"/>
          <w:szCs w:val="22"/>
          <w:lang w:val="es-419" w:eastAsia="en-US" w:bidi="ar-SA"/>
        </w:rPr>
        <w:t>Estado de Alta actividad con una duración de 15 minutos</w:t>
      </w:r>
    </w:p>
    <w:p w14:paraId="6465C769" w14:textId="77777777" w:rsidR="009102A7" w:rsidRPr="00576AF8" w:rsidRDefault="009102A7" w:rsidP="009102A7">
      <w:pPr>
        <w:numPr>
          <w:ilvl w:val="0"/>
          <w:numId w:val="4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El escenario de estado de alta actividad representa las condiciones operativas del campo que podrían experimentarse durante una perturbación del sistema eléctrico. </w:t>
      </w:r>
    </w:p>
    <w:p w14:paraId="2F9FFD28" w14:textId="77777777" w:rsidR="009102A7" w:rsidRPr="00576AF8" w:rsidRDefault="009102A7" w:rsidP="009102A7">
      <w:pPr>
        <w:numPr>
          <w:ilvl w:val="0"/>
          <w:numId w:val="4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se realizarán mediante la simulación de datos en los frontales de comunicaciones. </w:t>
      </w:r>
    </w:p>
    <w:p w14:paraId="27BFC498" w14:textId="77777777" w:rsidR="009102A7" w:rsidRPr="00576AF8" w:rsidRDefault="009102A7" w:rsidP="009102A7">
      <w:pPr>
        <w:numPr>
          <w:ilvl w:val="0"/>
          <w:numId w:val="4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Para la simulación de alta actividad se requiere un programa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del Proveedor que permita abrir y cerrar automáticamente despliegues en las consolas del sistema de forma cíclica.</w:t>
      </w:r>
    </w:p>
    <w:p w14:paraId="02E5C5A0" w14:textId="77777777" w:rsidR="009102A7" w:rsidRPr="00576AF8" w:rsidRDefault="009102A7" w:rsidP="009102A7">
      <w:pPr>
        <w:numPr>
          <w:ilvl w:val="0"/>
          <w:numId w:val="423"/>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lastRenderedPageBreak/>
        <w:t>El Proveedor instalará las herramientas o scripts necesarios para registrar los porcentajes de usos de CPU y memoria en los servidores principales y consolas.</w:t>
      </w:r>
    </w:p>
    <w:p w14:paraId="43DB4CC3" w14:textId="77777777" w:rsidR="009102A7" w:rsidRPr="00576AF8" w:rsidRDefault="009102A7" w:rsidP="009102A7">
      <w:pPr>
        <w:ind w:left="1440" w:right="41" w:hanging="720"/>
        <w:rPr>
          <w:sz w:val="22"/>
          <w:szCs w:val="22"/>
        </w:rPr>
      </w:pPr>
    </w:p>
    <w:p w14:paraId="4F1CB32D" w14:textId="77777777" w:rsidR="009102A7" w:rsidRPr="00576AF8" w:rsidRDefault="009102A7" w:rsidP="009102A7">
      <w:pPr>
        <w:ind w:right="41"/>
        <w:outlineLvl w:val="1"/>
        <w:rPr>
          <w:sz w:val="22"/>
          <w:szCs w:val="22"/>
          <w:lang w:val="es-EC"/>
        </w:rPr>
      </w:pPr>
      <w:bookmarkStart w:id="1382" w:name="_Toc99868868"/>
      <w:bookmarkStart w:id="1383" w:name="_Toc160706942"/>
      <w:bookmarkStart w:id="1384" w:name="_Toc160707532"/>
      <w:bookmarkStart w:id="1385" w:name="_Toc160707789"/>
      <w:r w:rsidRPr="00576AF8">
        <w:rPr>
          <w:b/>
          <w:sz w:val="22"/>
          <w:szCs w:val="22"/>
        </w:rPr>
        <w:t>4.2</w:t>
      </w:r>
      <w:r w:rsidRPr="00576AF8">
        <w:tab/>
      </w:r>
      <w:r w:rsidRPr="00576AF8">
        <w:rPr>
          <w:b/>
          <w:bCs/>
          <w:sz w:val="22"/>
          <w:szCs w:val="22"/>
        </w:rPr>
        <w:t>Ensayos previos a la puesta en servicio</w:t>
      </w:r>
      <w:bookmarkEnd w:id="1382"/>
      <w:bookmarkEnd w:id="1383"/>
      <w:bookmarkEnd w:id="1384"/>
      <w:bookmarkEnd w:id="1385"/>
    </w:p>
    <w:p w14:paraId="1B12AA21" w14:textId="77777777" w:rsidR="009102A7" w:rsidRPr="00576AF8" w:rsidRDefault="009102A7" w:rsidP="009102A7">
      <w:pPr>
        <w:keepNext/>
        <w:numPr>
          <w:ilvl w:val="1"/>
          <w:numId w:val="0"/>
        </w:numPr>
        <w:suppressAutoHyphens w:val="0"/>
        <w:spacing w:before="240" w:after="60" w:line="360" w:lineRule="auto"/>
        <w:ind w:left="576" w:hanging="9"/>
        <w:outlineLvl w:val="1"/>
        <w:rPr>
          <w:b/>
          <w:sz w:val="22"/>
          <w:szCs w:val="22"/>
        </w:rPr>
      </w:pPr>
      <w:bookmarkStart w:id="1386" w:name="_Toc148955300"/>
      <w:bookmarkStart w:id="1387" w:name="_Toc158396757"/>
      <w:bookmarkStart w:id="1388" w:name="_Toc160012960"/>
      <w:bookmarkStart w:id="1389" w:name="_Toc163137338"/>
      <w:r w:rsidRPr="00576AF8">
        <w:rPr>
          <w:b/>
          <w:color w:val="000000"/>
          <w:sz w:val="22"/>
          <w:szCs w:val="22"/>
          <w:lang w:val="es-EC" w:eastAsia="es-EC"/>
        </w:rPr>
        <w:t>4.2.1 Inspección (Prueba)</w:t>
      </w:r>
      <w:r w:rsidRPr="00576AF8">
        <w:rPr>
          <w:b/>
          <w:sz w:val="22"/>
          <w:szCs w:val="22"/>
        </w:rPr>
        <w:t xml:space="preserve"> de Disponibilidad</w:t>
      </w:r>
      <w:bookmarkEnd w:id="1386"/>
      <w:bookmarkEnd w:id="1387"/>
      <w:bookmarkEnd w:id="1388"/>
      <w:bookmarkEnd w:id="1389"/>
    </w:p>
    <w:p w14:paraId="3615733B" w14:textId="77777777" w:rsidR="009102A7" w:rsidRPr="00576AF8" w:rsidRDefault="009102A7" w:rsidP="009102A7">
      <w:pPr>
        <w:numPr>
          <w:ilvl w:val="0"/>
          <w:numId w:val="4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El Proveedor solicitará el inicio de las </w:t>
      </w:r>
      <w:r w:rsidRPr="00576AF8">
        <w:rPr>
          <w:rFonts w:eastAsia="Calibri"/>
          <w:color w:val="000000"/>
          <w:sz w:val="22"/>
          <w:szCs w:val="22"/>
          <w:lang w:val="es-EC" w:eastAsia="es-EC" w:bidi="ar-SA"/>
        </w:rPr>
        <w:t>Inspecciones (Pruebas)</w:t>
      </w:r>
      <w:r w:rsidRPr="00576AF8">
        <w:rPr>
          <w:rFonts w:eastAsia="Calibri"/>
          <w:sz w:val="22"/>
          <w:szCs w:val="22"/>
          <w:lang w:val="es-419" w:eastAsia="en-US" w:bidi="ar-SA"/>
        </w:rPr>
        <w:t xml:space="preserve"> de disponibilidad una vez que el CENACE haya aprobado los resultados de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SAT. La duración de esta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será de 500 horas, período durante el cual, el Sistema deberá desempeñarse de acuerdo con las especificaciones técnicas.</w:t>
      </w:r>
    </w:p>
    <w:p w14:paraId="6FF25D98" w14:textId="77777777" w:rsidR="009102A7" w:rsidRPr="00576AF8" w:rsidRDefault="009102A7" w:rsidP="009102A7">
      <w:pPr>
        <w:numPr>
          <w:ilvl w:val="0"/>
          <w:numId w:val="4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Con esta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se demostrará que el sistema puede ser operado y mantenido de manera segura en los escenarios operativos reales con características de confiabilidad, estabilidad y robustez. </w:t>
      </w:r>
    </w:p>
    <w:p w14:paraId="3FFD9524" w14:textId="77777777" w:rsidR="009102A7" w:rsidRPr="00576AF8" w:rsidRDefault="009102A7" w:rsidP="009102A7">
      <w:pPr>
        <w:numPr>
          <w:ilvl w:val="0"/>
          <w:numId w:val="4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El Proveedor participará en toda la fase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y será el responsable del correcto funcionamiento del sistema. Si ocurre alguna falla o evento inesperado durante el período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de 500 horas, el CENACE determinará si constituye una falla menor o mayor. Si el CENACE determina que se ha producido una falla grave, entonces el Contratista rectificará la falla a satisfacción del CENACE y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de 500 horas deberá reiniciarse. </w:t>
      </w:r>
    </w:p>
    <w:p w14:paraId="7E4F68E8" w14:textId="77777777" w:rsidR="009102A7" w:rsidRPr="00576AF8" w:rsidRDefault="009102A7" w:rsidP="009102A7">
      <w:pPr>
        <w:numPr>
          <w:ilvl w:val="0"/>
          <w:numId w:val="42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La nueva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considerará todos los aspectos del rendimiento y la funcionalidad del sistema que puedan verse afectados por los trabajos de reparación. Las fallas menores que no impidan el funcionamiento del sistema en su conjunto serán subsanadas según procedimientos y cronogramas acordados con el CENACE. Si el Sistema en su conjunto no está disponible para el funcionamiento normal debido a una falla, pero el CENACE aún considera que la falla es menor, el período de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se reanudará desde el punto en que se interrumpió, tan pronto como el Proveedor haya resuelto la falla a satisfacción del CENACE.</w:t>
      </w:r>
    </w:p>
    <w:p w14:paraId="47787C86" w14:textId="77777777" w:rsidR="009102A7" w:rsidRPr="00576AF8" w:rsidRDefault="009102A7" w:rsidP="009102A7">
      <w:pPr>
        <w:keepNext/>
        <w:numPr>
          <w:ilvl w:val="2"/>
          <w:numId w:val="0"/>
        </w:numPr>
        <w:suppressAutoHyphens w:val="0"/>
        <w:spacing w:before="240" w:after="60" w:line="360" w:lineRule="auto"/>
        <w:ind w:left="1134"/>
        <w:outlineLvl w:val="2"/>
        <w:rPr>
          <w:sz w:val="22"/>
          <w:szCs w:val="22"/>
        </w:rPr>
      </w:pPr>
      <w:bookmarkStart w:id="1390" w:name="_Toc148955301"/>
      <w:bookmarkStart w:id="1391" w:name="_Toc158396758"/>
      <w:bookmarkStart w:id="1392" w:name="_Toc160012961"/>
      <w:bookmarkStart w:id="1393" w:name="_Toc163137339"/>
      <w:r w:rsidRPr="00576AF8">
        <w:rPr>
          <w:b/>
          <w:color w:val="000000"/>
          <w:sz w:val="22"/>
          <w:szCs w:val="22"/>
          <w:lang w:val="es-EC" w:eastAsia="es-EC"/>
        </w:rPr>
        <w:t>Verificación de la Disponibilidad</w:t>
      </w:r>
      <w:bookmarkEnd w:id="1390"/>
      <w:bookmarkEnd w:id="1391"/>
      <w:bookmarkEnd w:id="1392"/>
      <w:bookmarkEnd w:id="1393"/>
    </w:p>
    <w:p w14:paraId="744DFE6A" w14:textId="77777777" w:rsidR="009102A7" w:rsidRPr="00576AF8" w:rsidRDefault="009102A7" w:rsidP="009102A7">
      <w:pPr>
        <w:numPr>
          <w:ilvl w:val="0"/>
          <w:numId w:val="4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La verificación de la disponibilidad del sistema se realizará manteniendo un registro de todas las fallas y tiempos de restauración que se comparará con las características garantizadas para MTBF/MTTR y los criterios especificados. El método que se aplicará para la disponibilidad definida del sistema incluirá: </w:t>
      </w:r>
    </w:p>
    <w:p w14:paraId="6F260B43"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lastRenderedPageBreak/>
        <w:t>Comparación de la disponibilidad del sistema con los requisitos especificados: todas las fallas que causan la pérdida de las funciones esenciales definidas se considerarán fallas independientemente de su naturaleza (por ejemplo, hardware aleatorio, software sistemático, causas no identificadas inducidas por el medio ambiente).</w:t>
      </w:r>
    </w:p>
    <w:p w14:paraId="218AF2C4"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Los defectos se clasificarán según su naturaleza. </w:t>
      </w:r>
    </w:p>
    <w:p w14:paraId="6A90128E" w14:textId="77777777" w:rsidR="009102A7" w:rsidRPr="00576AF8" w:rsidRDefault="009102A7" w:rsidP="009102A7">
      <w:pPr>
        <w:numPr>
          <w:ilvl w:val="0"/>
          <w:numId w:val="272"/>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800"/>
        <w:rPr>
          <w:rFonts w:eastAsia="Calibri"/>
          <w:color w:val="000000"/>
          <w:sz w:val="22"/>
          <w:szCs w:val="22"/>
          <w:lang w:val="es-419" w:eastAsia="en-US" w:bidi="ar-SA"/>
        </w:rPr>
      </w:pPr>
      <w:r w:rsidRPr="00576AF8">
        <w:rPr>
          <w:rFonts w:eastAsia="Calibri"/>
          <w:sz w:val="22"/>
          <w:szCs w:val="22"/>
          <w:lang w:val="es-419" w:eastAsia="en-US" w:bidi="ar-SA"/>
        </w:rPr>
        <w:t xml:space="preserve">Las fallas no reveladas que causen la pérdida de funciones esenciales (una vez identificados) se considerarán un incumplimiento grave. </w:t>
      </w:r>
    </w:p>
    <w:p w14:paraId="3424CB1F" w14:textId="77777777" w:rsidR="009102A7" w:rsidRPr="00576AF8" w:rsidRDefault="009102A7" w:rsidP="009102A7">
      <w:pPr>
        <w:numPr>
          <w:ilvl w:val="0"/>
          <w:numId w:val="4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El cálculo de la disponibilidad de las funciones esenciales será la suma de los tiempos no disponibles para una o varias de estas funciones dividida por el tiempo total expresado en porcentaje. Este método se adoptará para controlar la confiabilidad y disponibilidad durante los procedimientos de aceptación del sitio y hasta el final del período de responsabilidad por defectos. </w:t>
      </w:r>
    </w:p>
    <w:p w14:paraId="02912F92" w14:textId="77777777" w:rsidR="009102A7" w:rsidRPr="00576AF8" w:rsidRDefault="009102A7" w:rsidP="009102A7">
      <w:pPr>
        <w:numPr>
          <w:ilvl w:val="0"/>
          <w:numId w:val="4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 xml:space="preserve">Los valores de disponibilidad obtenidos serán mayores al 99.99%, para considerar que la </w:t>
      </w:r>
      <w:r w:rsidRPr="00576AF8">
        <w:rPr>
          <w:rFonts w:eastAsia="Calibri"/>
          <w:color w:val="000000"/>
          <w:sz w:val="22"/>
          <w:szCs w:val="22"/>
          <w:lang w:val="es-EC" w:eastAsia="es-EC" w:bidi="ar-SA"/>
        </w:rPr>
        <w:t>Inspección (Prueba)</w:t>
      </w:r>
      <w:r w:rsidRPr="00576AF8">
        <w:rPr>
          <w:rFonts w:eastAsia="Calibri"/>
          <w:sz w:val="22"/>
          <w:szCs w:val="22"/>
          <w:lang w:val="es-419" w:eastAsia="en-US" w:bidi="ar-SA"/>
        </w:rPr>
        <w:t xml:space="preserve"> ha sido exitosa.</w:t>
      </w:r>
    </w:p>
    <w:p w14:paraId="16DA9636" w14:textId="77777777" w:rsidR="009102A7" w:rsidRPr="00576AF8" w:rsidRDefault="009102A7" w:rsidP="009102A7">
      <w:pPr>
        <w:numPr>
          <w:ilvl w:val="0"/>
          <w:numId w:val="425"/>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rPr>
          <w:rFonts w:eastAsia="Calibri"/>
          <w:sz w:val="22"/>
          <w:szCs w:val="22"/>
          <w:lang w:val="es-419" w:eastAsia="en-US" w:bidi="ar-SA"/>
        </w:rPr>
      </w:pPr>
      <w:r w:rsidRPr="00576AF8">
        <w:rPr>
          <w:rFonts w:eastAsia="Calibri"/>
          <w:sz w:val="22"/>
          <w:szCs w:val="22"/>
          <w:lang w:val="es-419" w:eastAsia="en-US" w:bidi="ar-SA"/>
        </w:rPr>
        <w:t>Se reconoce que, debido a la naturaleza estadística de las fallas aleatorias, la evaluación de la confiabilidad considerará el período de funcionamiento y el número de elementos supervisados. Por lo tanto, la verificación a corto plazo se tratará como una evaluación de estabilidad y consistencia con alta confiabilidad. Durante este período, el Proveedor también llevará un registro y presentará informes escritos de todas las fallas identificados (ya sea que causen la pérdida de funciones esenciales o no) que expliquen sus causas, las medidas adoptadas y las posibles consecuencias para el funcionamiento futuro del sistema.</w:t>
      </w:r>
    </w:p>
    <w:p w14:paraId="5AC14280" w14:textId="77777777" w:rsidR="009102A7" w:rsidRPr="00576AF8" w:rsidRDefault="009102A7" w:rsidP="009102A7">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495"/>
        <w:rPr>
          <w:rFonts w:eastAsia="Calibri"/>
          <w:sz w:val="22"/>
          <w:szCs w:val="22"/>
          <w:lang w:val="es-419" w:eastAsia="en-US" w:bidi="ar-SA"/>
        </w:rPr>
      </w:pPr>
    </w:p>
    <w:p w14:paraId="432111C6" w14:textId="77777777" w:rsidR="009102A7" w:rsidRPr="00576AF8" w:rsidRDefault="009102A7" w:rsidP="009102A7">
      <w:pPr>
        <w:numPr>
          <w:ilvl w:val="12"/>
          <w:numId w:val="28"/>
        </w:numPr>
        <w:tabs>
          <w:tab w:val="clear" w:pos="360"/>
        </w:tabs>
        <w:suppressAutoHyphens w:val="0"/>
        <w:jc w:val="left"/>
        <w:outlineLvl w:val="2"/>
        <w:rPr>
          <w:b/>
          <w:color w:val="000000"/>
          <w:sz w:val="22"/>
          <w:szCs w:val="22"/>
          <w:lang w:val="es-EC" w:eastAsia="es-EC" w:bidi="ar-SA"/>
        </w:rPr>
      </w:pPr>
      <w:bookmarkStart w:id="1394" w:name="_Toc160706943"/>
      <w:bookmarkStart w:id="1395" w:name="_Toc160707533"/>
      <w:bookmarkStart w:id="1396" w:name="_Toc160707790"/>
      <w:r w:rsidRPr="00576AF8">
        <w:rPr>
          <w:b/>
          <w:sz w:val="22"/>
          <w:szCs w:val="22"/>
        </w:rPr>
        <w:t xml:space="preserve">4.3 </w:t>
      </w:r>
      <w:bookmarkStart w:id="1397" w:name="_Toc99868869"/>
      <w:bookmarkStart w:id="1398" w:name="_Toc160706947"/>
      <w:bookmarkStart w:id="1399" w:name="_Toc160707537"/>
      <w:bookmarkStart w:id="1400" w:name="_Toc160707794"/>
      <w:bookmarkEnd w:id="1394"/>
      <w:bookmarkEnd w:id="1395"/>
      <w:bookmarkEnd w:id="1396"/>
      <w:r w:rsidRPr="00576AF8">
        <w:rPr>
          <w:b/>
          <w:bCs/>
          <w:sz w:val="22"/>
          <w:szCs w:val="22"/>
        </w:rPr>
        <w:t>Pruebas de aceptación operativa</w:t>
      </w:r>
      <w:bookmarkEnd w:id="1397"/>
      <w:bookmarkEnd w:id="1398"/>
      <w:bookmarkEnd w:id="1399"/>
      <w:bookmarkEnd w:id="1400"/>
    </w:p>
    <w:p w14:paraId="66B3BAA2" w14:textId="77777777" w:rsidR="009102A7" w:rsidRPr="00576AF8" w:rsidRDefault="009102A7" w:rsidP="009102A7">
      <w:pPr>
        <w:numPr>
          <w:ilvl w:val="0"/>
          <w:numId w:val="42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El CENACE aceptará el sistema si: </w:t>
      </w:r>
    </w:p>
    <w:p w14:paraId="180BD3A9" w14:textId="77777777" w:rsidR="009102A7" w:rsidRPr="00576AF8" w:rsidRDefault="009102A7" w:rsidP="009102A7">
      <w:pPr>
        <w:suppressAutoHyphens w:val="0"/>
        <w:spacing w:before="120" w:after="0"/>
        <w:ind w:left="1288"/>
        <w:contextualSpacing/>
        <w:textAlignment w:val="baseline"/>
        <w:rPr>
          <w:color w:val="000000"/>
          <w:sz w:val="22"/>
          <w:szCs w:val="22"/>
          <w:lang w:val="es-EC" w:eastAsia="es-EC" w:bidi="ar-SA"/>
        </w:rPr>
      </w:pPr>
    </w:p>
    <w:p w14:paraId="18C3C912" w14:textId="77777777" w:rsidR="009102A7" w:rsidRPr="00576AF8" w:rsidRDefault="009102A7" w:rsidP="009102A7">
      <w:pPr>
        <w:numPr>
          <w:ilvl w:val="0"/>
          <w:numId w:val="427"/>
        </w:numPr>
        <w:suppressAutoHyphens w:val="0"/>
        <w:spacing w:before="120" w:after="0"/>
        <w:ind w:left="1843" w:hanging="425"/>
        <w:contextualSpacing/>
        <w:textAlignment w:val="baseline"/>
        <w:rPr>
          <w:color w:val="000000"/>
          <w:sz w:val="22"/>
          <w:szCs w:val="22"/>
          <w:lang w:val="es-EC" w:eastAsia="es-EC" w:bidi="ar-SA"/>
        </w:rPr>
      </w:pPr>
      <w:r w:rsidRPr="00576AF8">
        <w:rPr>
          <w:color w:val="000000"/>
          <w:sz w:val="22"/>
          <w:szCs w:val="22"/>
          <w:lang w:val="es-EC" w:eastAsia="es-EC" w:bidi="ar-SA"/>
        </w:rPr>
        <w:t xml:space="preserve">Todas las fallas, problemas y reservas observadas durante las </w:t>
      </w:r>
      <w:r w:rsidRPr="00576AF8">
        <w:rPr>
          <w:color w:val="000000"/>
          <w:sz w:val="22"/>
          <w:szCs w:val="22"/>
          <w:lang w:val="es-EC" w:eastAsia="es-EC"/>
        </w:rPr>
        <w:t>Inspecciones (Pruebas)</w:t>
      </w:r>
      <w:r w:rsidRPr="00576AF8">
        <w:rPr>
          <w:color w:val="000000"/>
          <w:sz w:val="22"/>
          <w:szCs w:val="22"/>
          <w:lang w:val="es-EC" w:eastAsia="es-EC" w:bidi="ar-SA"/>
        </w:rPr>
        <w:t xml:space="preserve"> anteriormente descritas, han sido corregidos a satisfacción del CENACE. </w:t>
      </w:r>
    </w:p>
    <w:p w14:paraId="2A0586BD" w14:textId="77777777" w:rsidR="009102A7" w:rsidRPr="00576AF8" w:rsidRDefault="009102A7" w:rsidP="009102A7">
      <w:pPr>
        <w:numPr>
          <w:ilvl w:val="0"/>
          <w:numId w:val="427"/>
        </w:numPr>
        <w:suppressAutoHyphens w:val="0"/>
        <w:spacing w:before="120" w:after="0"/>
        <w:ind w:left="1843" w:hanging="425"/>
        <w:contextualSpacing/>
        <w:textAlignment w:val="baseline"/>
        <w:rPr>
          <w:color w:val="000000"/>
          <w:sz w:val="22"/>
          <w:szCs w:val="22"/>
          <w:lang w:val="es-EC" w:eastAsia="es-EC" w:bidi="ar-SA"/>
        </w:rPr>
      </w:pPr>
      <w:r w:rsidRPr="00576AF8">
        <w:rPr>
          <w:color w:val="000000"/>
          <w:sz w:val="22"/>
          <w:szCs w:val="22"/>
          <w:lang w:val="es-EC" w:eastAsia="es-EC" w:bidi="ar-SA"/>
        </w:rPr>
        <w:t xml:space="preserve">El sistema y todos los equipos han completado con éxito todas las </w:t>
      </w:r>
      <w:r w:rsidRPr="00576AF8">
        <w:rPr>
          <w:color w:val="000000"/>
          <w:sz w:val="22"/>
          <w:szCs w:val="22"/>
          <w:lang w:val="es-EC" w:eastAsia="es-EC"/>
        </w:rPr>
        <w:t>Inspecciones (Pruebas)</w:t>
      </w:r>
      <w:r w:rsidRPr="00576AF8">
        <w:rPr>
          <w:color w:val="000000"/>
          <w:sz w:val="22"/>
          <w:szCs w:val="22"/>
          <w:lang w:val="es-EC" w:eastAsia="es-EC" w:bidi="ar-SA"/>
        </w:rPr>
        <w:t xml:space="preserve"> especificadas en este numeral. </w:t>
      </w:r>
    </w:p>
    <w:p w14:paraId="310EDA47" w14:textId="77777777" w:rsidR="009102A7" w:rsidRPr="00576AF8" w:rsidRDefault="009102A7" w:rsidP="009102A7">
      <w:pPr>
        <w:suppressAutoHyphens w:val="0"/>
        <w:spacing w:before="120" w:after="0"/>
        <w:ind w:left="1843"/>
        <w:contextualSpacing/>
        <w:textAlignment w:val="baseline"/>
        <w:rPr>
          <w:color w:val="000000"/>
          <w:sz w:val="22"/>
          <w:szCs w:val="22"/>
          <w:lang w:val="es-EC" w:eastAsia="es-EC" w:bidi="ar-SA"/>
        </w:rPr>
      </w:pPr>
    </w:p>
    <w:p w14:paraId="21D89290" w14:textId="77777777" w:rsidR="009102A7" w:rsidRPr="00576AF8" w:rsidRDefault="009102A7" w:rsidP="009102A7">
      <w:pPr>
        <w:numPr>
          <w:ilvl w:val="0"/>
          <w:numId w:val="426"/>
        </w:numPr>
        <w:suppressAutoHyphens w:val="0"/>
        <w:spacing w:before="120" w:after="0"/>
        <w:contextualSpacing/>
        <w:textAlignment w:val="baseline"/>
        <w:rPr>
          <w:color w:val="000000"/>
          <w:sz w:val="22"/>
          <w:szCs w:val="22"/>
          <w:lang w:val="es-EC" w:eastAsia="es-EC" w:bidi="ar-SA"/>
        </w:rPr>
      </w:pPr>
      <w:r w:rsidRPr="00576AF8">
        <w:rPr>
          <w:color w:val="000000"/>
          <w:sz w:val="22"/>
          <w:szCs w:val="22"/>
          <w:lang w:val="es-EC" w:eastAsia="es-EC" w:bidi="ar-SA"/>
        </w:rPr>
        <w:t>Si alguna de estas condiciones no se ha cumplido, entonces la acción correctiva necesaria será acordada entre el Proveedor y el CENACE.</w:t>
      </w:r>
    </w:p>
    <w:p w14:paraId="0C7B5DB5" w14:textId="77777777" w:rsidR="00901F0A" w:rsidRPr="00576AF8" w:rsidRDefault="009102A7" w:rsidP="00901F0A">
      <w:pPr>
        <w:spacing w:before="480"/>
        <w:ind w:left="432" w:hanging="432"/>
        <w:jc w:val="left"/>
        <w:outlineLvl w:val="0"/>
        <w:rPr>
          <w:b/>
          <w:smallCaps/>
          <w:sz w:val="22"/>
          <w:szCs w:val="22"/>
          <w:lang w:val="es-EC" w:eastAsia="en-US" w:bidi="ar-SA"/>
        </w:rPr>
      </w:pPr>
      <w:bookmarkStart w:id="1401" w:name="_Toc454958742"/>
      <w:bookmarkStart w:id="1402" w:name="_Toc99868870"/>
      <w:bookmarkStart w:id="1403" w:name="_Toc160268968"/>
      <w:bookmarkStart w:id="1404" w:name="_Toc160456033"/>
      <w:bookmarkStart w:id="1405" w:name="_Toc160706948"/>
      <w:bookmarkStart w:id="1406" w:name="_Toc160707207"/>
      <w:bookmarkStart w:id="1407" w:name="_Toc160707538"/>
      <w:bookmarkStart w:id="1408" w:name="_Toc160707721"/>
      <w:bookmarkStart w:id="1409" w:name="_Toc160707795"/>
      <w:bookmarkStart w:id="1410" w:name="_Toc163137340"/>
      <w:r w:rsidRPr="00576AF8">
        <w:rPr>
          <w:b/>
          <w:smallCaps/>
          <w:sz w:val="22"/>
          <w:szCs w:val="22"/>
          <w:lang w:val="es-EC" w:eastAsia="en-US" w:bidi="ar-SA"/>
        </w:rPr>
        <w:t>F.  Especificaciones de los servicios</w:t>
      </w:r>
      <w:bookmarkEnd w:id="1401"/>
      <w:bookmarkEnd w:id="1402"/>
      <w:bookmarkEnd w:id="1403"/>
      <w:bookmarkEnd w:id="1404"/>
      <w:bookmarkEnd w:id="1405"/>
      <w:bookmarkEnd w:id="1406"/>
      <w:bookmarkEnd w:id="1407"/>
      <w:bookmarkEnd w:id="1408"/>
      <w:bookmarkEnd w:id="1409"/>
      <w:bookmarkEnd w:id="1410"/>
      <w:r w:rsidR="000A4C4C" w:rsidRPr="00576AF8">
        <w:rPr>
          <w:b/>
          <w:smallCaps/>
          <w:sz w:val="22"/>
          <w:szCs w:val="22"/>
          <w:lang w:val="es-EC" w:eastAsia="en-US" w:bidi="ar-SA"/>
        </w:rPr>
        <w:t xml:space="preserve"> DE GARANTÍA</w:t>
      </w:r>
      <w:r w:rsidRPr="00576AF8">
        <w:rPr>
          <w:b/>
          <w:smallCaps/>
          <w:sz w:val="22"/>
          <w:szCs w:val="22"/>
          <w:lang w:val="es-EC" w:eastAsia="en-US" w:bidi="ar-SA"/>
        </w:rPr>
        <w:t xml:space="preserve"> </w:t>
      </w:r>
    </w:p>
    <w:p w14:paraId="73C68F7D" w14:textId="77777777" w:rsidR="009102A7" w:rsidRPr="00576AF8" w:rsidRDefault="009102A7" w:rsidP="009102A7">
      <w:pPr>
        <w:ind w:right="41"/>
        <w:outlineLvl w:val="1"/>
        <w:rPr>
          <w:b/>
          <w:bCs/>
          <w:sz w:val="22"/>
          <w:szCs w:val="22"/>
        </w:rPr>
      </w:pPr>
      <w:bookmarkStart w:id="1411" w:name="_Toc454958743"/>
      <w:bookmarkStart w:id="1412" w:name="_Toc99868871"/>
      <w:bookmarkStart w:id="1413" w:name="_Toc160706949"/>
      <w:bookmarkStart w:id="1414" w:name="_Toc160707539"/>
      <w:bookmarkStart w:id="1415" w:name="_Toc160707796"/>
      <w:bookmarkStart w:id="1416" w:name="_Toc454958744"/>
      <w:bookmarkStart w:id="1417" w:name="_Toc99868872"/>
      <w:bookmarkStart w:id="1418" w:name="_Toc160706950"/>
      <w:bookmarkStart w:id="1419" w:name="_Toc160707540"/>
      <w:bookmarkStart w:id="1420" w:name="_Toc160707797"/>
      <w:r w:rsidRPr="00576AF8">
        <w:rPr>
          <w:b/>
          <w:sz w:val="22"/>
          <w:szCs w:val="22"/>
        </w:rPr>
        <w:lastRenderedPageBreak/>
        <w:t>5.1</w:t>
      </w:r>
      <w:r w:rsidRPr="00576AF8">
        <w:tab/>
      </w:r>
      <w:r w:rsidRPr="00576AF8">
        <w:rPr>
          <w:b/>
          <w:bCs/>
          <w:sz w:val="22"/>
          <w:szCs w:val="22"/>
        </w:rPr>
        <w:t>Reparación de los defectos en garantía</w:t>
      </w:r>
      <w:bookmarkEnd w:id="1411"/>
      <w:bookmarkEnd w:id="1412"/>
      <w:bookmarkEnd w:id="1413"/>
      <w:bookmarkEnd w:id="1414"/>
      <w:bookmarkEnd w:id="1415"/>
    </w:p>
    <w:p w14:paraId="237BAB18" w14:textId="77777777" w:rsidR="009102A7" w:rsidRPr="00576AF8" w:rsidRDefault="009102A7" w:rsidP="009102A7">
      <w:pPr>
        <w:ind w:left="1440" w:right="41" w:hanging="720"/>
        <w:rPr>
          <w:sz w:val="22"/>
          <w:szCs w:val="22"/>
        </w:rPr>
      </w:pPr>
      <w:r w:rsidRPr="00576AF8">
        <w:rPr>
          <w:b/>
          <w:sz w:val="22"/>
          <w:szCs w:val="22"/>
        </w:rPr>
        <w:t>5.1.1</w:t>
      </w:r>
      <w:r w:rsidRPr="00576AF8">
        <w:rPr>
          <w:sz w:val="22"/>
          <w:szCs w:val="22"/>
        </w:rPr>
        <w:tab/>
        <w:t>El Proveedor DEBERÁ prestar los siguientes servicios en el marco del Contrato.</w:t>
      </w:r>
    </w:p>
    <w:p w14:paraId="5A5F74C9" w14:textId="77777777" w:rsidR="009102A7" w:rsidRPr="00576AF8" w:rsidRDefault="009102A7" w:rsidP="009102A7">
      <w:pPr>
        <w:ind w:left="2160" w:right="41" w:hanging="720"/>
        <w:rPr>
          <w:sz w:val="22"/>
          <w:szCs w:val="22"/>
        </w:rPr>
      </w:pPr>
      <w:r w:rsidRPr="00576AF8">
        <w:rPr>
          <w:b/>
          <w:bCs/>
          <w:sz w:val="22"/>
          <w:szCs w:val="22"/>
        </w:rPr>
        <w:t>5.1.1.1</w:t>
      </w:r>
      <w:r w:rsidRPr="00576AF8">
        <w:tab/>
      </w:r>
      <w:r w:rsidRPr="00576AF8">
        <w:rPr>
          <w:b/>
          <w:bCs/>
          <w:sz w:val="22"/>
          <w:szCs w:val="22"/>
          <w:u w:val="single"/>
        </w:rPr>
        <w:t>Servicio de reparación de defectos en garantía</w:t>
      </w:r>
      <w:r w:rsidRPr="00576AF8">
        <w:rPr>
          <w:b/>
          <w:bCs/>
          <w:sz w:val="22"/>
          <w:szCs w:val="22"/>
        </w:rPr>
        <w:t>:</w:t>
      </w:r>
      <w:r w:rsidRPr="00576AF8">
        <w:rPr>
          <w:sz w:val="22"/>
          <w:szCs w:val="22"/>
        </w:rPr>
        <w:t xml:space="preserve">  </w:t>
      </w:r>
    </w:p>
    <w:p w14:paraId="1B101E49" w14:textId="77777777" w:rsidR="009102A7" w:rsidRPr="00576AF8" w:rsidRDefault="009102A7" w:rsidP="009102A7">
      <w:pPr>
        <w:ind w:left="2832" w:right="41" w:hanging="1392"/>
        <w:rPr>
          <w:sz w:val="22"/>
          <w:szCs w:val="22"/>
        </w:rPr>
      </w:pPr>
      <w:r w:rsidRPr="00576AF8">
        <w:rPr>
          <w:b/>
          <w:bCs/>
          <w:sz w:val="22"/>
          <w:szCs w:val="22"/>
        </w:rPr>
        <w:t>General</w:t>
      </w:r>
    </w:p>
    <w:p w14:paraId="54669323" w14:textId="77777777" w:rsidR="00963897" w:rsidRPr="00576AF8" w:rsidRDefault="009102A7" w:rsidP="00963897">
      <w:pPr>
        <w:numPr>
          <w:ilvl w:val="0"/>
          <w:numId w:val="428"/>
        </w:numPr>
        <w:spacing w:before="59" w:after="0"/>
        <w:ind w:left="2127" w:right="140" w:hanging="426"/>
        <w:contextualSpacing/>
        <w:rPr>
          <w:rFonts w:eastAsia="Arial"/>
          <w:color w:val="000000"/>
          <w:sz w:val="22"/>
          <w:szCs w:val="22"/>
        </w:rPr>
      </w:pPr>
      <w:r w:rsidRPr="00576AF8">
        <w:rPr>
          <w:rFonts w:eastAsia="Arial"/>
          <w:color w:val="000000"/>
          <w:sz w:val="22"/>
          <w:szCs w:val="22"/>
        </w:rPr>
        <w:t xml:space="preserve">La garantía técnica de todos los servicios y bienes materia del contrato, será </w:t>
      </w:r>
      <w:r w:rsidR="00B04003" w:rsidRPr="00576AF8">
        <w:rPr>
          <w:rFonts w:eastAsia="Arial"/>
          <w:color w:val="000000"/>
          <w:sz w:val="22"/>
          <w:szCs w:val="22"/>
        </w:rPr>
        <w:t xml:space="preserve">mínimo </w:t>
      </w:r>
      <w:r w:rsidRPr="00576AF8">
        <w:rPr>
          <w:rFonts w:eastAsia="Arial"/>
          <w:color w:val="000000"/>
          <w:sz w:val="22"/>
          <w:szCs w:val="22"/>
        </w:rPr>
        <w:t>de treinta y seis (36) meses contados a partir de la</w:t>
      </w:r>
      <w:r w:rsidRPr="00576AF8">
        <w:rPr>
          <w:sz w:val="22"/>
          <w:szCs w:val="22"/>
        </w:rPr>
        <w:t xml:space="preserve"> Aceptación Operacional del sistema, incluyendo todo el hardware, software propietario, software de base y de terceros, etc</w:t>
      </w:r>
      <w:r w:rsidRPr="00576AF8">
        <w:rPr>
          <w:rFonts w:eastAsia="Arial"/>
          <w:color w:val="000000"/>
          <w:sz w:val="22"/>
          <w:szCs w:val="22"/>
        </w:rPr>
        <w:t xml:space="preserve">. Durante el período de garantía técnica, el Proveedor tendrá la obligación de corregir, reconfigurar o reemplazar, sin costo adicional para </w:t>
      </w:r>
      <w:r w:rsidR="00963897" w:rsidRPr="00576AF8">
        <w:rPr>
          <w:rFonts w:eastAsia="Arial"/>
          <w:color w:val="000000"/>
          <w:sz w:val="22"/>
          <w:szCs w:val="22"/>
        </w:rPr>
        <w:t>El Comprador</w:t>
      </w:r>
      <w:r w:rsidRPr="00576AF8">
        <w:rPr>
          <w:rFonts w:eastAsia="Arial"/>
          <w:color w:val="000000"/>
          <w:sz w:val="22"/>
          <w:szCs w:val="22"/>
        </w:rPr>
        <w:t>, los servicios y/o bienes provistos por el Proveedor y que resulten defectuosos o como producto de la normal operación, inclusión de nuevas instalaciones del sistema eléctrico y/o administración del SCADA/EMS, de acuerdo a la documentación y transferencia de conocimientos realizada por el proveedor.</w:t>
      </w:r>
      <w:r w:rsidR="00B04003" w:rsidRPr="00576AF8">
        <w:rPr>
          <w:rFonts w:eastAsia="Arial"/>
          <w:color w:val="000000"/>
          <w:sz w:val="22"/>
          <w:szCs w:val="22"/>
        </w:rPr>
        <w:t xml:space="preserve"> </w:t>
      </w:r>
    </w:p>
    <w:p w14:paraId="7E277D87" w14:textId="77777777" w:rsidR="009102A7" w:rsidRPr="00576AF8" w:rsidRDefault="00963897" w:rsidP="009102A7">
      <w:pPr>
        <w:numPr>
          <w:ilvl w:val="0"/>
          <w:numId w:val="428"/>
        </w:numPr>
        <w:spacing w:before="2" w:after="0"/>
        <w:ind w:left="2127" w:right="4" w:hanging="426"/>
        <w:contextualSpacing/>
        <w:rPr>
          <w:rFonts w:eastAsia="Calibri"/>
          <w:color w:val="000000"/>
          <w:sz w:val="22"/>
          <w:szCs w:val="22"/>
        </w:rPr>
      </w:pPr>
      <w:r w:rsidRPr="00576AF8">
        <w:rPr>
          <w:rFonts w:eastAsia="Arial"/>
          <w:color w:val="000000"/>
          <w:sz w:val="22"/>
          <w:szCs w:val="22"/>
        </w:rPr>
        <w:t>Para el caso del software core</w:t>
      </w:r>
      <w:r w:rsidR="00EE7DE0" w:rsidRPr="00576AF8">
        <w:rPr>
          <w:rStyle w:val="Refdenotaalpie"/>
          <w:rFonts w:eastAsia="Arial"/>
          <w:color w:val="000000"/>
          <w:szCs w:val="22"/>
        </w:rPr>
        <w:footnoteReference w:id="14"/>
      </w:r>
      <w:r w:rsidRPr="00576AF8">
        <w:rPr>
          <w:rFonts w:eastAsia="Arial"/>
          <w:color w:val="000000"/>
          <w:sz w:val="22"/>
          <w:szCs w:val="22"/>
        </w:rPr>
        <w:t xml:space="preserve"> y servicios </w:t>
      </w:r>
      <w:proofErr w:type="gramStart"/>
      <w:r w:rsidRPr="00576AF8">
        <w:rPr>
          <w:rFonts w:eastAsia="Arial"/>
          <w:color w:val="000000"/>
          <w:sz w:val="22"/>
          <w:szCs w:val="22"/>
        </w:rPr>
        <w:t>asociados,  d</w:t>
      </w:r>
      <w:r w:rsidR="009102A7" w:rsidRPr="00576AF8">
        <w:rPr>
          <w:rFonts w:eastAsia="Arial"/>
          <w:color w:val="000000"/>
          <w:sz w:val="22"/>
          <w:szCs w:val="22"/>
        </w:rPr>
        <w:t>urante</w:t>
      </w:r>
      <w:proofErr w:type="gramEnd"/>
      <w:r w:rsidR="009102A7" w:rsidRPr="00576AF8">
        <w:rPr>
          <w:rFonts w:eastAsia="Arial"/>
          <w:color w:val="000000"/>
          <w:sz w:val="22"/>
          <w:szCs w:val="22"/>
        </w:rPr>
        <w:t xml:space="preserve"> todo este periodo, el Proveedor responderá y tomará las acciones correctivas necesarias ante cualquier eventualidad relacionada con la presente contratación. </w:t>
      </w:r>
      <w:r w:rsidR="009102A7" w:rsidRPr="00576AF8">
        <w:rPr>
          <w:rFonts w:eastAsia="Calibri"/>
          <w:color w:val="000000"/>
          <w:sz w:val="22"/>
          <w:szCs w:val="22"/>
        </w:rPr>
        <w:t>Todas las fallas críticas</w:t>
      </w:r>
      <w:r w:rsidR="00EE7DE0" w:rsidRPr="00576AF8">
        <w:rPr>
          <w:rStyle w:val="Refdenotaalpie"/>
          <w:rFonts w:eastAsia="Calibri"/>
          <w:color w:val="000000"/>
          <w:szCs w:val="22"/>
        </w:rPr>
        <w:footnoteReference w:id="15"/>
      </w:r>
      <w:r w:rsidR="009102A7" w:rsidRPr="00576AF8">
        <w:rPr>
          <w:rFonts w:eastAsia="Calibri"/>
          <w:color w:val="000000"/>
          <w:sz w:val="22"/>
          <w:szCs w:val="22"/>
        </w:rPr>
        <w:t xml:space="preserve">  deberán ser atendidas </w:t>
      </w:r>
      <w:r w:rsidR="005E59DC" w:rsidRPr="00576AF8">
        <w:rPr>
          <w:rFonts w:eastAsia="Calibri"/>
          <w:color w:val="000000"/>
          <w:sz w:val="22"/>
          <w:szCs w:val="22"/>
        </w:rPr>
        <w:t xml:space="preserve">y solucionadas </w:t>
      </w:r>
      <w:r w:rsidR="009102A7" w:rsidRPr="00576AF8">
        <w:rPr>
          <w:rFonts w:eastAsia="Calibri"/>
          <w:color w:val="000000"/>
          <w:sz w:val="22"/>
          <w:szCs w:val="22"/>
        </w:rPr>
        <w:t xml:space="preserve">en un lapso </w:t>
      </w:r>
      <w:r w:rsidR="001A2464" w:rsidRPr="00576AF8">
        <w:rPr>
          <w:rFonts w:eastAsia="Calibri"/>
          <w:color w:val="000000"/>
          <w:sz w:val="22"/>
          <w:szCs w:val="22"/>
        </w:rPr>
        <w:t xml:space="preserve">máximo </w:t>
      </w:r>
      <w:r w:rsidR="009102A7" w:rsidRPr="00576AF8">
        <w:rPr>
          <w:rFonts w:eastAsia="Calibri"/>
          <w:color w:val="000000"/>
          <w:sz w:val="22"/>
          <w:szCs w:val="22"/>
        </w:rPr>
        <w:t xml:space="preserve">de 2 horas a partir de la notificación del defecto </w:t>
      </w:r>
      <w:r w:rsidR="005E59DC" w:rsidRPr="00576AF8">
        <w:rPr>
          <w:rFonts w:eastAsia="Calibri"/>
          <w:color w:val="000000"/>
          <w:sz w:val="22"/>
          <w:szCs w:val="22"/>
        </w:rPr>
        <w:t xml:space="preserve">por parte del Comprador </w:t>
      </w:r>
      <w:r w:rsidR="009102A7" w:rsidRPr="00576AF8">
        <w:rPr>
          <w:rFonts w:eastAsia="Calibri"/>
          <w:color w:val="000000"/>
          <w:sz w:val="22"/>
          <w:szCs w:val="22"/>
        </w:rPr>
        <w:t>al Proveedor.  Las fallas menos críticas serán atendidas dentro de un plazo de 24 horas</w:t>
      </w:r>
      <w:r w:rsidR="005E59DC" w:rsidRPr="00576AF8">
        <w:rPr>
          <w:rFonts w:eastAsia="Calibri"/>
          <w:color w:val="000000"/>
          <w:sz w:val="22"/>
          <w:szCs w:val="22"/>
        </w:rPr>
        <w:t xml:space="preserve"> y su solución no podrá ser superior a </w:t>
      </w:r>
      <w:r w:rsidR="00C36EDA" w:rsidRPr="00576AF8">
        <w:rPr>
          <w:rFonts w:eastAsia="Calibri"/>
          <w:color w:val="000000"/>
          <w:sz w:val="22"/>
          <w:szCs w:val="22"/>
        </w:rPr>
        <w:t>2</w:t>
      </w:r>
      <w:r w:rsidR="005E59DC" w:rsidRPr="00576AF8">
        <w:rPr>
          <w:rFonts w:eastAsia="Calibri"/>
          <w:color w:val="000000"/>
          <w:sz w:val="22"/>
          <w:szCs w:val="22"/>
        </w:rPr>
        <w:t xml:space="preserve"> semana</w:t>
      </w:r>
      <w:r w:rsidR="00C36EDA" w:rsidRPr="00576AF8">
        <w:rPr>
          <w:rFonts w:eastAsia="Calibri"/>
          <w:color w:val="000000"/>
          <w:sz w:val="22"/>
          <w:szCs w:val="22"/>
        </w:rPr>
        <w:t>s</w:t>
      </w:r>
      <w:r w:rsidR="009102A7" w:rsidRPr="00576AF8">
        <w:rPr>
          <w:rFonts w:eastAsia="Calibri"/>
          <w:color w:val="000000"/>
          <w:sz w:val="22"/>
          <w:szCs w:val="22"/>
        </w:rPr>
        <w:t>.</w:t>
      </w:r>
    </w:p>
    <w:p w14:paraId="4C079FC0" w14:textId="77777777" w:rsidR="00963897" w:rsidRPr="00576AF8" w:rsidRDefault="00963897" w:rsidP="00963897">
      <w:pPr>
        <w:numPr>
          <w:ilvl w:val="0"/>
          <w:numId w:val="428"/>
        </w:numPr>
        <w:spacing w:before="59" w:after="0"/>
        <w:ind w:left="2127" w:right="140" w:hanging="426"/>
        <w:contextualSpacing/>
        <w:rPr>
          <w:rFonts w:eastAsia="Arial"/>
          <w:color w:val="000000"/>
          <w:sz w:val="22"/>
          <w:szCs w:val="22"/>
        </w:rPr>
      </w:pPr>
      <w:r w:rsidRPr="00576AF8">
        <w:rPr>
          <w:rFonts w:eastAsia="Arial"/>
          <w:color w:val="000000"/>
          <w:sz w:val="22"/>
          <w:szCs w:val="22"/>
        </w:rPr>
        <w:t xml:space="preserve">Para el caso del hardware, </w:t>
      </w:r>
      <w:r w:rsidR="00067279" w:rsidRPr="00576AF8">
        <w:rPr>
          <w:rFonts w:eastAsia="Arial"/>
          <w:color w:val="000000"/>
          <w:sz w:val="22"/>
          <w:szCs w:val="22"/>
        </w:rPr>
        <w:t xml:space="preserve">el Proveedor deberá dar respuesta a los </w:t>
      </w:r>
      <w:r w:rsidR="00FB7C10" w:rsidRPr="00576AF8">
        <w:rPr>
          <w:rFonts w:eastAsia="Arial"/>
          <w:color w:val="000000"/>
          <w:sz w:val="22"/>
          <w:szCs w:val="22"/>
        </w:rPr>
        <w:t>eventos</w:t>
      </w:r>
      <w:r w:rsidR="00067279" w:rsidRPr="00576AF8">
        <w:rPr>
          <w:rFonts w:eastAsia="Arial"/>
          <w:color w:val="000000"/>
          <w:sz w:val="22"/>
          <w:szCs w:val="22"/>
        </w:rPr>
        <w:t xml:space="preserve"> dentro </w:t>
      </w:r>
      <w:r w:rsidR="002C6CC7" w:rsidRPr="00576AF8">
        <w:rPr>
          <w:rFonts w:eastAsia="Arial"/>
          <w:color w:val="000000"/>
          <w:sz w:val="22"/>
          <w:szCs w:val="22"/>
        </w:rPr>
        <w:t>de las 2 primeras horas</w:t>
      </w:r>
      <w:r w:rsidR="00067279" w:rsidRPr="00576AF8">
        <w:rPr>
          <w:rFonts w:eastAsia="Arial"/>
          <w:color w:val="000000"/>
          <w:sz w:val="22"/>
          <w:szCs w:val="22"/>
        </w:rPr>
        <w:t xml:space="preserve">, 24 horas al día, los 7 días </w:t>
      </w:r>
      <w:r w:rsidR="00EE7DE0" w:rsidRPr="00576AF8">
        <w:rPr>
          <w:rFonts w:eastAsia="Arial"/>
          <w:color w:val="000000"/>
          <w:sz w:val="22"/>
          <w:szCs w:val="22"/>
        </w:rPr>
        <w:t>de</w:t>
      </w:r>
      <w:r w:rsidR="00067279" w:rsidRPr="00576AF8">
        <w:rPr>
          <w:rFonts w:eastAsia="Arial"/>
          <w:color w:val="000000"/>
          <w:sz w:val="22"/>
          <w:szCs w:val="22"/>
        </w:rPr>
        <w:t xml:space="preserve"> la semana y el </w:t>
      </w:r>
      <w:r w:rsidRPr="00576AF8">
        <w:rPr>
          <w:rFonts w:eastAsia="Arial"/>
          <w:color w:val="000000"/>
          <w:sz w:val="22"/>
          <w:szCs w:val="22"/>
        </w:rPr>
        <w:t>tiempo máximo de reemplazo de u</w:t>
      </w:r>
      <w:r w:rsidR="00067279" w:rsidRPr="00576AF8">
        <w:rPr>
          <w:rFonts w:eastAsia="Arial"/>
          <w:color w:val="000000"/>
          <w:sz w:val="22"/>
          <w:szCs w:val="22"/>
        </w:rPr>
        <w:t>n componente de hardware será de</w:t>
      </w:r>
      <w:r w:rsidRPr="00576AF8">
        <w:rPr>
          <w:rFonts w:eastAsia="Arial"/>
          <w:color w:val="000000"/>
          <w:sz w:val="22"/>
          <w:szCs w:val="22"/>
        </w:rPr>
        <w:t xml:space="preserve"> 4 horas.</w:t>
      </w:r>
      <w:r w:rsidR="002C6CC7" w:rsidRPr="00576AF8">
        <w:rPr>
          <w:rFonts w:eastAsia="Arial"/>
          <w:color w:val="000000"/>
          <w:sz w:val="22"/>
          <w:szCs w:val="22"/>
        </w:rPr>
        <w:t xml:space="preserve"> El Proveedor deberá registrar el hardware en el domicilio del Comprador para efectos de la creación, seguimiento y solución de los </w:t>
      </w:r>
      <w:r w:rsidR="00FB7C10" w:rsidRPr="00576AF8">
        <w:rPr>
          <w:rFonts w:eastAsia="Arial"/>
          <w:color w:val="000000"/>
          <w:sz w:val="22"/>
          <w:szCs w:val="22"/>
        </w:rPr>
        <w:t>eventos</w:t>
      </w:r>
      <w:r w:rsidR="002C6CC7" w:rsidRPr="00576AF8">
        <w:rPr>
          <w:rFonts w:eastAsia="Arial"/>
          <w:color w:val="000000"/>
          <w:sz w:val="22"/>
          <w:szCs w:val="22"/>
        </w:rPr>
        <w:t>.</w:t>
      </w:r>
    </w:p>
    <w:p w14:paraId="5B885E64" w14:textId="77777777" w:rsidR="002C6CC7" w:rsidRPr="00576AF8" w:rsidRDefault="00067279" w:rsidP="002C6CC7">
      <w:pPr>
        <w:numPr>
          <w:ilvl w:val="0"/>
          <w:numId w:val="428"/>
        </w:numPr>
        <w:spacing w:before="59" w:after="0"/>
        <w:ind w:left="2127" w:right="140" w:hanging="426"/>
        <w:contextualSpacing/>
        <w:rPr>
          <w:rFonts w:eastAsia="Arial"/>
          <w:color w:val="000000"/>
          <w:sz w:val="22"/>
          <w:szCs w:val="22"/>
        </w:rPr>
      </w:pPr>
      <w:r w:rsidRPr="00576AF8">
        <w:rPr>
          <w:rFonts w:eastAsia="Arial"/>
          <w:color w:val="000000"/>
          <w:sz w:val="22"/>
          <w:szCs w:val="22"/>
        </w:rPr>
        <w:t>Para el caso del software de terceros y servicios asociados</w:t>
      </w:r>
      <w:r w:rsidR="002C6CC7" w:rsidRPr="00576AF8">
        <w:rPr>
          <w:rFonts w:eastAsia="Arial"/>
          <w:color w:val="000000"/>
          <w:sz w:val="22"/>
          <w:szCs w:val="22"/>
        </w:rPr>
        <w:t>,</w:t>
      </w:r>
      <w:r w:rsidR="00963897" w:rsidRPr="00576AF8">
        <w:rPr>
          <w:rFonts w:eastAsia="Arial"/>
          <w:color w:val="000000"/>
          <w:sz w:val="22"/>
          <w:szCs w:val="22"/>
        </w:rPr>
        <w:t xml:space="preserve"> </w:t>
      </w:r>
      <w:r w:rsidRPr="00576AF8">
        <w:rPr>
          <w:rFonts w:eastAsia="Arial"/>
          <w:color w:val="000000"/>
          <w:sz w:val="22"/>
          <w:szCs w:val="22"/>
        </w:rPr>
        <w:t>el Proveedor deberá dar respuesta</w:t>
      </w:r>
      <w:r w:rsidR="002C6CC7" w:rsidRPr="00576AF8">
        <w:rPr>
          <w:rFonts w:eastAsia="Arial"/>
          <w:color w:val="000000"/>
          <w:sz w:val="22"/>
          <w:szCs w:val="22"/>
        </w:rPr>
        <w:t xml:space="preserve"> </w:t>
      </w:r>
      <w:r w:rsidR="00FB7C10" w:rsidRPr="00576AF8">
        <w:rPr>
          <w:rFonts w:eastAsia="Arial"/>
          <w:color w:val="000000"/>
          <w:sz w:val="22"/>
          <w:szCs w:val="22"/>
        </w:rPr>
        <w:t xml:space="preserve">a los eventos </w:t>
      </w:r>
      <w:r w:rsidR="002C6CC7" w:rsidRPr="00576AF8">
        <w:rPr>
          <w:rFonts w:eastAsia="Arial"/>
          <w:color w:val="000000"/>
          <w:sz w:val="22"/>
          <w:szCs w:val="22"/>
        </w:rPr>
        <w:t>l</w:t>
      </w:r>
      <w:r w:rsidR="00FB7C10" w:rsidRPr="00576AF8">
        <w:rPr>
          <w:rFonts w:eastAsia="Arial"/>
          <w:color w:val="000000"/>
          <w:sz w:val="22"/>
          <w:szCs w:val="22"/>
        </w:rPr>
        <w:t>a</w:t>
      </w:r>
      <w:r w:rsidR="002C6CC7" w:rsidRPr="00576AF8">
        <w:rPr>
          <w:rFonts w:eastAsia="Arial"/>
          <w:color w:val="000000"/>
          <w:sz w:val="22"/>
          <w:szCs w:val="22"/>
        </w:rPr>
        <w:t xml:space="preserve">s 24 horas al día, los 7 días </w:t>
      </w:r>
      <w:r w:rsidR="00EE7DE0" w:rsidRPr="00576AF8">
        <w:rPr>
          <w:rFonts w:eastAsia="Arial"/>
          <w:color w:val="000000"/>
          <w:sz w:val="22"/>
          <w:szCs w:val="22"/>
        </w:rPr>
        <w:t>de</w:t>
      </w:r>
      <w:r w:rsidR="002C6CC7" w:rsidRPr="00576AF8">
        <w:rPr>
          <w:rFonts w:eastAsia="Arial"/>
          <w:color w:val="000000"/>
          <w:sz w:val="22"/>
          <w:szCs w:val="22"/>
        </w:rPr>
        <w:t xml:space="preserve"> la semana</w:t>
      </w:r>
      <w:r w:rsidR="00963897" w:rsidRPr="00576AF8">
        <w:rPr>
          <w:rFonts w:eastAsia="Arial"/>
          <w:color w:val="000000"/>
          <w:sz w:val="22"/>
          <w:szCs w:val="22"/>
        </w:rPr>
        <w:t>.</w:t>
      </w:r>
      <w:r w:rsidR="002C6CC7" w:rsidRPr="00576AF8">
        <w:rPr>
          <w:rFonts w:eastAsia="Arial"/>
          <w:color w:val="000000"/>
          <w:sz w:val="22"/>
          <w:szCs w:val="22"/>
        </w:rPr>
        <w:t xml:space="preserve"> El Proveedor deberá registrar el software de terceros en el domicilio del Comprador para efectos de la creación, seguimiento y solución de los </w:t>
      </w:r>
      <w:r w:rsidR="00FB7C10" w:rsidRPr="00576AF8">
        <w:rPr>
          <w:rFonts w:eastAsia="Arial"/>
          <w:color w:val="000000"/>
          <w:sz w:val="22"/>
          <w:szCs w:val="22"/>
        </w:rPr>
        <w:t>eventos</w:t>
      </w:r>
      <w:r w:rsidR="002C6CC7" w:rsidRPr="00576AF8">
        <w:rPr>
          <w:rFonts w:eastAsia="Arial"/>
          <w:color w:val="000000"/>
          <w:sz w:val="22"/>
          <w:szCs w:val="22"/>
        </w:rPr>
        <w:t xml:space="preserve">. El tiempo de solución de </w:t>
      </w:r>
      <w:r w:rsidR="00FB7C10" w:rsidRPr="00576AF8">
        <w:rPr>
          <w:rFonts w:eastAsia="Arial"/>
          <w:color w:val="000000"/>
          <w:sz w:val="22"/>
          <w:szCs w:val="22"/>
        </w:rPr>
        <w:t>eventos</w:t>
      </w:r>
      <w:r w:rsidR="002C6CC7" w:rsidRPr="00576AF8">
        <w:rPr>
          <w:rFonts w:eastAsia="Arial"/>
          <w:color w:val="000000"/>
          <w:sz w:val="22"/>
          <w:szCs w:val="22"/>
        </w:rPr>
        <w:t xml:space="preserve"> no podrá ser superior a una semana, posterior al reporte por parte de</w:t>
      </w:r>
      <w:r w:rsidR="00FB7C10" w:rsidRPr="00576AF8">
        <w:rPr>
          <w:rFonts w:eastAsia="Arial"/>
          <w:color w:val="000000"/>
          <w:sz w:val="22"/>
          <w:szCs w:val="22"/>
        </w:rPr>
        <w:t>l Comprador</w:t>
      </w:r>
      <w:r w:rsidR="00EE7DE0" w:rsidRPr="00576AF8">
        <w:rPr>
          <w:rFonts w:eastAsia="Arial"/>
          <w:color w:val="000000"/>
          <w:sz w:val="22"/>
          <w:szCs w:val="22"/>
        </w:rPr>
        <w:t>.</w:t>
      </w:r>
    </w:p>
    <w:p w14:paraId="199A13C6" w14:textId="59B4D70F" w:rsidR="009102A7" w:rsidRPr="00576AF8" w:rsidRDefault="009102A7" w:rsidP="009102A7">
      <w:pPr>
        <w:numPr>
          <w:ilvl w:val="0"/>
          <w:numId w:val="428"/>
        </w:numPr>
        <w:spacing w:after="0"/>
        <w:ind w:left="2127" w:right="4" w:hanging="426"/>
        <w:contextualSpacing/>
        <w:rPr>
          <w:rFonts w:eastAsia="Arial"/>
          <w:color w:val="000000"/>
          <w:sz w:val="22"/>
          <w:szCs w:val="22"/>
        </w:rPr>
      </w:pPr>
      <w:r w:rsidRPr="00576AF8">
        <w:rPr>
          <w:rFonts w:eastAsia="Arial"/>
          <w:color w:val="000000"/>
          <w:sz w:val="22"/>
          <w:szCs w:val="22"/>
        </w:rPr>
        <w:t xml:space="preserve">En caso de que se active la garantía técnica de algún bien o servicio durante el periodo de garantía técnica, se realizará una coordinación directa entre </w:t>
      </w:r>
      <w:r w:rsidR="005E59DC" w:rsidRPr="00576AF8">
        <w:rPr>
          <w:rFonts w:eastAsia="Arial"/>
          <w:color w:val="000000"/>
          <w:sz w:val="22"/>
          <w:szCs w:val="22"/>
        </w:rPr>
        <w:t xml:space="preserve">El Comprador </w:t>
      </w:r>
      <w:r w:rsidRPr="00576AF8">
        <w:rPr>
          <w:rFonts w:eastAsia="Arial"/>
          <w:color w:val="000000"/>
          <w:sz w:val="22"/>
          <w:szCs w:val="22"/>
        </w:rPr>
        <w:t>y el Proveedor para establecer el mecanismo de corrección a cargo del Proveedor</w:t>
      </w:r>
      <w:r w:rsidR="006C68C5" w:rsidRPr="00576AF8">
        <w:rPr>
          <w:rFonts w:eastAsia="Arial"/>
          <w:color w:val="000000"/>
          <w:sz w:val="22"/>
          <w:szCs w:val="22"/>
        </w:rPr>
        <w:t>, conforme lo indicado en los párrafos anteriores y previa aprobación por parte del Comprador</w:t>
      </w:r>
      <w:r w:rsidRPr="00576AF8">
        <w:rPr>
          <w:rFonts w:eastAsia="Arial"/>
          <w:color w:val="000000"/>
          <w:sz w:val="22"/>
          <w:szCs w:val="22"/>
        </w:rPr>
        <w:t>.</w:t>
      </w:r>
    </w:p>
    <w:p w14:paraId="46F5468E" w14:textId="77777777" w:rsidR="009102A7" w:rsidRPr="00576AF8" w:rsidRDefault="009102A7" w:rsidP="009102A7">
      <w:pPr>
        <w:ind w:left="2127" w:right="4" w:hanging="426"/>
        <w:rPr>
          <w:b/>
          <w:bCs/>
          <w:sz w:val="22"/>
          <w:szCs w:val="22"/>
        </w:rPr>
      </w:pPr>
    </w:p>
    <w:p w14:paraId="4AA09532" w14:textId="77777777" w:rsidR="009102A7" w:rsidRPr="00576AF8" w:rsidRDefault="009102A7" w:rsidP="009102A7">
      <w:pPr>
        <w:numPr>
          <w:ilvl w:val="0"/>
          <w:numId w:val="428"/>
        </w:numPr>
        <w:spacing w:after="0"/>
        <w:ind w:left="2127" w:right="4" w:hanging="426"/>
        <w:contextualSpacing/>
        <w:rPr>
          <w:rFonts w:eastAsia="Arial"/>
          <w:color w:val="000000"/>
          <w:sz w:val="22"/>
          <w:szCs w:val="22"/>
        </w:rPr>
      </w:pPr>
      <w:r w:rsidRPr="00576AF8">
        <w:rPr>
          <w:rFonts w:eastAsia="Arial"/>
          <w:color w:val="000000"/>
          <w:sz w:val="22"/>
          <w:szCs w:val="22"/>
        </w:rPr>
        <w:lastRenderedPageBreak/>
        <w:t>El Proveedor garantizará que todos los suministros incluidos en el contrato sean</w:t>
      </w:r>
      <w:r w:rsidR="0076678F" w:rsidRPr="00576AF8">
        <w:rPr>
          <w:rFonts w:eastAsia="Arial"/>
          <w:color w:val="000000"/>
          <w:sz w:val="22"/>
          <w:szCs w:val="22"/>
        </w:rPr>
        <w:t xml:space="preserve"> nuevos</w:t>
      </w:r>
      <w:r w:rsidRPr="00576AF8">
        <w:rPr>
          <w:rFonts w:eastAsia="Arial"/>
          <w:color w:val="000000"/>
          <w:sz w:val="22"/>
          <w:szCs w:val="22"/>
        </w:rPr>
        <w:t xml:space="preserve"> y estén exentos de cualquier defecto en términos de materiales, equipos, trabajo o mano de obra defectuosos.</w:t>
      </w:r>
    </w:p>
    <w:p w14:paraId="0D887051" w14:textId="77777777" w:rsidR="009102A7" w:rsidRPr="00576AF8" w:rsidRDefault="009102A7" w:rsidP="009102A7">
      <w:pPr>
        <w:spacing w:after="0"/>
        <w:ind w:left="2127" w:right="4" w:hanging="426"/>
        <w:rPr>
          <w:rFonts w:eastAsia="Arial"/>
          <w:color w:val="000000"/>
          <w:sz w:val="22"/>
          <w:szCs w:val="22"/>
        </w:rPr>
      </w:pPr>
    </w:p>
    <w:p w14:paraId="46497C09" w14:textId="77777777" w:rsidR="009102A7" w:rsidRPr="00576AF8" w:rsidRDefault="009102A7" w:rsidP="009102A7">
      <w:pPr>
        <w:numPr>
          <w:ilvl w:val="0"/>
          <w:numId w:val="428"/>
        </w:numPr>
        <w:spacing w:after="0"/>
        <w:ind w:left="2127" w:right="4" w:hanging="426"/>
        <w:contextualSpacing/>
        <w:rPr>
          <w:rFonts w:eastAsia="Arial"/>
          <w:color w:val="000000"/>
          <w:sz w:val="22"/>
          <w:szCs w:val="22"/>
        </w:rPr>
      </w:pPr>
      <w:r w:rsidRPr="00576AF8">
        <w:rPr>
          <w:rFonts w:eastAsia="Arial"/>
          <w:color w:val="000000"/>
          <w:sz w:val="22"/>
          <w:szCs w:val="22"/>
        </w:rPr>
        <w:t>El Proveedor acepta que comenzará y procesará, con la debida diligencia, todas las labores necesarias, incluido el rediseño, la reparación o el reemplazo, para cumplir con los términos de la garantía asumiendo los costos correspondientes.</w:t>
      </w:r>
    </w:p>
    <w:p w14:paraId="0C285058" w14:textId="77777777" w:rsidR="009102A7" w:rsidRPr="00576AF8" w:rsidRDefault="009102A7" w:rsidP="009102A7">
      <w:pPr>
        <w:spacing w:after="0"/>
        <w:ind w:left="2127" w:right="4" w:hanging="426"/>
        <w:rPr>
          <w:rFonts w:eastAsia="Arial"/>
          <w:color w:val="000000"/>
          <w:sz w:val="22"/>
          <w:szCs w:val="22"/>
        </w:rPr>
      </w:pPr>
    </w:p>
    <w:p w14:paraId="019F091A" w14:textId="09AB3365" w:rsidR="009102A7" w:rsidRPr="00576AF8" w:rsidRDefault="009102A7" w:rsidP="009102A7">
      <w:pPr>
        <w:numPr>
          <w:ilvl w:val="0"/>
          <w:numId w:val="428"/>
        </w:numPr>
        <w:spacing w:after="0"/>
        <w:ind w:left="2127" w:right="4" w:hanging="426"/>
        <w:contextualSpacing/>
        <w:rPr>
          <w:rFonts w:eastAsia="Arial"/>
          <w:color w:val="000000"/>
          <w:sz w:val="22"/>
          <w:szCs w:val="22"/>
        </w:rPr>
      </w:pPr>
      <w:r w:rsidRPr="00576AF8">
        <w:rPr>
          <w:rFonts w:eastAsia="Arial"/>
          <w:color w:val="000000"/>
          <w:sz w:val="22"/>
          <w:szCs w:val="22"/>
        </w:rPr>
        <w:t xml:space="preserve">El Proveedor realizará las pruebas que el </w:t>
      </w:r>
      <w:r w:rsidR="00E86B5F">
        <w:rPr>
          <w:rFonts w:eastAsia="Arial"/>
          <w:color w:val="000000"/>
          <w:sz w:val="22"/>
          <w:szCs w:val="22"/>
        </w:rPr>
        <w:t>Comprador</w:t>
      </w:r>
      <w:r w:rsidR="00E86B5F" w:rsidRPr="00576AF8">
        <w:rPr>
          <w:rFonts w:eastAsia="Arial"/>
          <w:color w:val="000000"/>
          <w:sz w:val="22"/>
          <w:szCs w:val="22"/>
        </w:rPr>
        <w:t xml:space="preserve"> </w:t>
      </w:r>
      <w:r w:rsidRPr="00576AF8">
        <w:rPr>
          <w:rFonts w:eastAsia="Arial"/>
          <w:color w:val="000000"/>
          <w:sz w:val="22"/>
          <w:szCs w:val="22"/>
        </w:rPr>
        <w:t>requiera para verificar que dichas acciones correctivas, incluidos, entre otros, el rediseño, las reparaciones y los reemplazos, cumplan con los términos y condiciones establecidos en el contrato.</w:t>
      </w:r>
    </w:p>
    <w:p w14:paraId="4D2CE8B6" w14:textId="77777777" w:rsidR="009102A7" w:rsidRPr="00576AF8" w:rsidRDefault="009102A7" w:rsidP="009102A7">
      <w:pPr>
        <w:spacing w:after="0"/>
        <w:ind w:left="2127" w:right="4" w:hanging="426"/>
        <w:rPr>
          <w:rFonts w:eastAsia="Arial"/>
          <w:color w:val="000000"/>
          <w:sz w:val="22"/>
          <w:szCs w:val="22"/>
        </w:rPr>
      </w:pPr>
    </w:p>
    <w:p w14:paraId="4EE865C9" w14:textId="77777777" w:rsidR="009102A7" w:rsidRPr="00576AF8" w:rsidRDefault="009102A7" w:rsidP="009102A7">
      <w:pPr>
        <w:numPr>
          <w:ilvl w:val="0"/>
          <w:numId w:val="428"/>
        </w:numPr>
        <w:spacing w:after="0"/>
        <w:ind w:left="2127" w:right="4" w:hanging="426"/>
        <w:contextualSpacing/>
        <w:rPr>
          <w:rFonts w:eastAsia="Arial"/>
          <w:color w:val="000000"/>
          <w:sz w:val="22"/>
          <w:szCs w:val="22"/>
        </w:rPr>
      </w:pPr>
      <w:r w:rsidRPr="00576AF8">
        <w:rPr>
          <w:rFonts w:eastAsia="Arial"/>
          <w:color w:val="000000"/>
          <w:sz w:val="22"/>
          <w:szCs w:val="22"/>
        </w:rPr>
        <w:t>Los daños ocasionados a la propiedad del CENACE causados por representantes del Proveedor serán de responsabilidad exclusiva del Proveedor y se corregirán a expensas del Proveedor. No obstante, de lo anterior, en situaciones de emergencia que constituyan un peligro inminente para la salud o la seguridad de los empleados del CENACE y su propiedad, el CENACE podrá realizar, a expensas del Proveedor y sin previo aviso, todos los trabajos necesarios para corregir dicha condición peligrosa cuando ésta haya sido causada por el Trabajo realizado por el Proveedor.</w:t>
      </w:r>
    </w:p>
    <w:p w14:paraId="4495A2E4" w14:textId="77777777" w:rsidR="009102A7" w:rsidRPr="00576AF8" w:rsidRDefault="009102A7" w:rsidP="009102A7">
      <w:pPr>
        <w:spacing w:after="0"/>
        <w:ind w:left="2127" w:right="4" w:hanging="426"/>
        <w:rPr>
          <w:rFonts w:eastAsia="Arial"/>
          <w:color w:val="000000"/>
          <w:sz w:val="22"/>
          <w:szCs w:val="22"/>
        </w:rPr>
      </w:pPr>
    </w:p>
    <w:p w14:paraId="3B96DA9F" w14:textId="07DF4E1C" w:rsidR="009102A7" w:rsidRPr="00576AF8" w:rsidRDefault="009102A7" w:rsidP="009102A7">
      <w:pPr>
        <w:numPr>
          <w:ilvl w:val="0"/>
          <w:numId w:val="428"/>
        </w:numPr>
        <w:spacing w:after="0"/>
        <w:ind w:left="2127" w:right="4" w:hanging="426"/>
        <w:contextualSpacing/>
        <w:rPr>
          <w:b/>
          <w:bCs/>
          <w:sz w:val="22"/>
          <w:szCs w:val="22"/>
        </w:rPr>
      </w:pPr>
      <w:r w:rsidRPr="00576AF8">
        <w:rPr>
          <w:rFonts w:eastAsia="Arial"/>
          <w:color w:val="000000"/>
          <w:sz w:val="22"/>
          <w:szCs w:val="22"/>
        </w:rPr>
        <w:t xml:space="preserve">Las correcciones realizadas por el Proveedor durante el período de garantía no tendrán costo para </w:t>
      </w:r>
      <w:r w:rsidR="00E86B5F">
        <w:rPr>
          <w:rFonts w:eastAsia="Arial"/>
          <w:color w:val="000000"/>
          <w:sz w:val="22"/>
          <w:szCs w:val="22"/>
        </w:rPr>
        <w:t>el Comprador</w:t>
      </w:r>
      <w:r w:rsidRPr="00576AF8">
        <w:rPr>
          <w:rFonts w:eastAsia="Calibri"/>
          <w:color w:val="000000"/>
          <w:sz w:val="22"/>
          <w:szCs w:val="22"/>
        </w:rPr>
        <w:t>.</w:t>
      </w:r>
    </w:p>
    <w:p w14:paraId="254DDEC7" w14:textId="77777777" w:rsidR="009102A7" w:rsidRPr="00576AF8" w:rsidRDefault="009102A7" w:rsidP="009102A7">
      <w:pPr>
        <w:ind w:left="2160" w:right="41" w:hanging="720"/>
        <w:rPr>
          <w:b/>
          <w:sz w:val="22"/>
          <w:szCs w:val="22"/>
        </w:rPr>
      </w:pPr>
    </w:p>
    <w:p w14:paraId="37684A0A" w14:textId="77777777" w:rsidR="009102A7" w:rsidRPr="00576AF8" w:rsidRDefault="009102A7" w:rsidP="009102A7">
      <w:pPr>
        <w:ind w:left="2160" w:right="41" w:hanging="720"/>
        <w:rPr>
          <w:b/>
          <w:sz w:val="22"/>
          <w:szCs w:val="22"/>
        </w:rPr>
      </w:pPr>
      <w:r w:rsidRPr="00576AF8">
        <w:rPr>
          <w:b/>
          <w:sz w:val="22"/>
          <w:szCs w:val="22"/>
        </w:rPr>
        <w:t>Duración</w:t>
      </w:r>
    </w:p>
    <w:p w14:paraId="36ED41FE" w14:textId="77777777" w:rsidR="009102A7" w:rsidRPr="00576AF8" w:rsidRDefault="009102A7" w:rsidP="009102A7">
      <w:pPr>
        <w:ind w:left="1440" w:right="41"/>
        <w:rPr>
          <w:b/>
          <w:sz w:val="22"/>
          <w:szCs w:val="22"/>
        </w:rPr>
      </w:pPr>
      <w:r w:rsidRPr="00576AF8">
        <w:rPr>
          <w:sz w:val="22"/>
          <w:szCs w:val="22"/>
        </w:rPr>
        <w:t xml:space="preserve">La duración de la garantía será </w:t>
      </w:r>
      <w:proofErr w:type="gramStart"/>
      <w:r w:rsidR="00964D20" w:rsidRPr="00576AF8">
        <w:rPr>
          <w:sz w:val="22"/>
          <w:szCs w:val="22"/>
        </w:rPr>
        <w:t>mínimo</w:t>
      </w:r>
      <w:proofErr w:type="gramEnd"/>
      <w:r w:rsidR="00964D20" w:rsidRPr="00576AF8">
        <w:rPr>
          <w:sz w:val="22"/>
          <w:szCs w:val="22"/>
        </w:rPr>
        <w:t xml:space="preserve"> </w:t>
      </w:r>
      <w:r w:rsidRPr="00576AF8">
        <w:rPr>
          <w:sz w:val="22"/>
          <w:szCs w:val="22"/>
        </w:rPr>
        <w:t>de tre</w:t>
      </w:r>
      <w:r w:rsidR="00964D20" w:rsidRPr="00576AF8">
        <w:rPr>
          <w:sz w:val="22"/>
          <w:szCs w:val="22"/>
        </w:rPr>
        <w:t>inta y seis</w:t>
      </w:r>
      <w:r w:rsidRPr="00576AF8">
        <w:rPr>
          <w:sz w:val="22"/>
          <w:szCs w:val="22"/>
        </w:rPr>
        <w:t xml:space="preserve"> (3</w:t>
      </w:r>
      <w:r w:rsidR="00964D20" w:rsidRPr="00576AF8">
        <w:rPr>
          <w:sz w:val="22"/>
          <w:szCs w:val="22"/>
        </w:rPr>
        <w:t>6</w:t>
      </w:r>
      <w:r w:rsidRPr="00576AF8">
        <w:rPr>
          <w:sz w:val="22"/>
          <w:szCs w:val="22"/>
        </w:rPr>
        <w:t xml:space="preserve">) </w:t>
      </w:r>
      <w:r w:rsidR="00964D20" w:rsidRPr="00576AF8">
        <w:rPr>
          <w:sz w:val="22"/>
          <w:szCs w:val="22"/>
        </w:rPr>
        <w:t xml:space="preserve">meses </w:t>
      </w:r>
      <w:r w:rsidRPr="00576AF8">
        <w:rPr>
          <w:sz w:val="22"/>
          <w:szCs w:val="22"/>
        </w:rPr>
        <w:t>contados a partir de la Aceptación Operacional del sistema</w:t>
      </w:r>
      <w:r w:rsidRPr="00576AF8">
        <w:rPr>
          <w:b/>
          <w:sz w:val="22"/>
          <w:szCs w:val="22"/>
        </w:rPr>
        <w:t>.</w:t>
      </w:r>
    </w:p>
    <w:p w14:paraId="47097761" w14:textId="77777777" w:rsidR="009102A7" w:rsidRPr="00576AF8" w:rsidRDefault="009102A7" w:rsidP="009102A7">
      <w:pPr>
        <w:ind w:left="2160" w:right="41" w:hanging="720"/>
        <w:rPr>
          <w:b/>
          <w:sz w:val="22"/>
          <w:szCs w:val="22"/>
        </w:rPr>
      </w:pPr>
    </w:p>
    <w:p w14:paraId="5135905D" w14:textId="77777777" w:rsidR="009102A7" w:rsidRPr="00576AF8" w:rsidRDefault="009102A7" w:rsidP="009102A7">
      <w:pPr>
        <w:ind w:left="2160" w:right="41" w:hanging="720"/>
        <w:rPr>
          <w:b/>
          <w:sz w:val="22"/>
          <w:szCs w:val="22"/>
        </w:rPr>
      </w:pPr>
      <w:r w:rsidRPr="00576AF8">
        <w:rPr>
          <w:b/>
          <w:sz w:val="22"/>
          <w:szCs w:val="22"/>
        </w:rPr>
        <w:t>Asistencia</w:t>
      </w:r>
    </w:p>
    <w:p w14:paraId="0EF02E9B" w14:textId="1CC4464A" w:rsidR="009102A7" w:rsidRPr="00576AF8" w:rsidRDefault="009102A7" w:rsidP="009102A7">
      <w:pPr>
        <w:numPr>
          <w:ilvl w:val="0"/>
          <w:numId w:val="1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 xml:space="preserve">Durante el período de garantía, el Proveedor asistirá y arreglará todos los defectos dentro de un margen de tiempo </w:t>
      </w:r>
      <w:r w:rsidR="00964D20" w:rsidRPr="00576AF8">
        <w:rPr>
          <w:rFonts w:eastAsia="Calibri"/>
          <w:color w:val="000000"/>
          <w:sz w:val="22"/>
          <w:szCs w:val="22"/>
        </w:rPr>
        <w:t>predefinido en el literal a de</w:t>
      </w:r>
      <w:r w:rsidR="009D33AB" w:rsidRPr="00576AF8">
        <w:rPr>
          <w:rFonts w:eastAsia="Calibri"/>
          <w:color w:val="000000"/>
          <w:sz w:val="22"/>
          <w:szCs w:val="22"/>
        </w:rPr>
        <w:t>l numeral 5.1.1.1</w:t>
      </w:r>
      <w:r w:rsidRPr="00576AF8">
        <w:rPr>
          <w:rFonts w:eastAsia="Calibri"/>
          <w:color w:val="000000"/>
          <w:sz w:val="22"/>
          <w:szCs w:val="22"/>
        </w:rPr>
        <w:t xml:space="preserve">, una vez que se haya notificado el defecto por escrito por parte </w:t>
      </w:r>
      <w:r w:rsidR="00593894" w:rsidRPr="00576AF8">
        <w:rPr>
          <w:rFonts w:eastAsia="Calibri"/>
          <w:color w:val="000000"/>
          <w:sz w:val="22"/>
          <w:szCs w:val="22"/>
        </w:rPr>
        <w:t>del Comprador</w:t>
      </w:r>
      <w:r w:rsidRPr="00576AF8">
        <w:rPr>
          <w:rFonts w:eastAsia="Calibri"/>
          <w:color w:val="000000"/>
          <w:sz w:val="22"/>
          <w:szCs w:val="22"/>
        </w:rPr>
        <w:t>.</w:t>
      </w:r>
    </w:p>
    <w:p w14:paraId="2F38BC96" w14:textId="77777777" w:rsidR="009102A7" w:rsidRPr="00576AF8" w:rsidRDefault="009102A7" w:rsidP="009102A7">
      <w:pPr>
        <w:numPr>
          <w:ilvl w:val="0"/>
          <w:numId w:val="144"/>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 xml:space="preserve">El personal del Proveedor tendrá derecho al acceso a las instalaciones del CENACE para realizar trabajos de garantía, siempre que dicho trabajo se coordine con el personal responsable </w:t>
      </w:r>
      <w:r w:rsidR="00593894" w:rsidRPr="00576AF8">
        <w:rPr>
          <w:rFonts w:eastAsia="Calibri"/>
          <w:color w:val="000000"/>
          <w:sz w:val="22"/>
          <w:szCs w:val="22"/>
        </w:rPr>
        <w:t>del Comprador</w:t>
      </w:r>
      <w:r w:rsidRPr="00576AF8">
        <w:rPr>
          <w:rFonts w:eastAsia="Calibri"/>
          <w:color w:val="000000"/>
          <w:sz w:val="22"/>
          <w:szCs w:val="22"/>
        </w:rPr>
        <w:t xml:space="preserve">, se realice durante las horas laborales (temas no críticos), no interfiera con otras actividades del CENACE y se realice de acuerdo con las políticas e instrucciones del CENACE. </w:t>
      </w:r>
    </w:p>
    <w:p w14:paraId="6F3A747F" w14:textId="77777777" w:rsidR="009102A7" w:rsidRPr="00576AF8" w:rsidRDefault="009102A7" w:rsidP="009102A7">
      <w:pPr>
        <w:ind w:left="2160" w:right="41" w:hanging="720"/>
        <w:rPr>
          <w:b/>
          <w:sz w:val="22"/>
          <w:szCs w:val="22"/>
        </w:rPr>
      </w:pPr>
    </w:p>
    <w:p w14:paraId="309429A5" w14:textId="77777777" w:rsidR="009102A7" w:rsidRPr="00576AF8" w:rsidRDefault="009102A7" w:rsidP="009102A7">
      <w:pPr>
        <w:ind w:left="2160" w:right="41" w:hanging="720"/>
        <w:rPr>
          <w:b/>
          <w:sz w:val="22"/>
          <w:szCs w:val="22"/>
        </w:rPr>
      </w:pPr>
      <w:r w:rsidRPr="00576AF8">
        <w:rPr>
          <w:b/>
          <w:sz w:val="22"/>
          <w:szCs w:val="22"/>
        </w:rPr>
        <w:t>Control de Calidad</w:t>
      </w:r>
    </w:p>
    <w:p w14:paraId="3F0E5C02" w14:textId="77777777" w:rsidR="009102A7" w:rsidRPr="00576AF8" w:rsidRDefault="009102A7" w:rsidP="009102A7">
      <w:pPr>
        <w:spacing w:after="0"/>
        <w:ind w:left="1440" w:right="41"/>
        <w:rPr>
          <w:sz w:val="22"/>
          <w:szCs w:val="22"/>
        </w:rPr>
      </w:pPr>
      <w:r w:rsidRPr="00576AF8">
        <w:rPr>
          <w:sz w:val="22"/>
          <w:szCs w:val="22"/>
        </w:rPr>
        <w:t>Las acciones del Proveedor durante la Garantía estarán sujetas al control de calidad y se llevarán los siguientes registros:</w:t>
      </w:r>
    </w:p>
    <w:p w14:paraId="24EC93FE" w14:textId="77777777" w:rsidR="009102A7" w:rsidRPr="00576AF8" w:rsidRDefault="009102A7" w:rsidP="009102A7">
      <w:pPr>
        <w:spacing w:after="0"/>
        <w:ind w:left="1440" w:right="41"/>
        <w:rPr>
          <w:sz w:val="22"/>
          <w:szCs w:val="22"/>
        </w:rPr>
      </w:pPr>
    </w:p>
    <w:p w14:paraId="22F633E4" w14:textId="77777777" w:rsidR="009102A7" w:rsidRPr="00576AF8" w:rsidRDefault="009102A7" w:rsidP="009102A7">
      <w:pPr>
        <w:numPr>
          <w:ilvl w:val="0"/>
          <w:numId w:val="145"/>
        </w:num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t>Fechas de notificación de defectos y de la asistencia</w:t>
      </w:r>
    </w:p>
    <w:p w14:paraId="5A3189A5" w14:textId="77777777" w:rsidR="009102A7" w:rsidRPr="00576AF8" w:rsidRDefault="009102A7" w:rsidP="009102A7">
      <w:pPr>
        <w:numPr>
          <w:ilvl w:val="0"/>
          <w:numId w:val="145"/>
        </w:num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t>Descripción detallada del defecto</w:t>
      </w:r>
    </w:p>
    <w:p w14:paraId="397A5449" w14:textId="77777777" w:rsidR="009102A7" w:rsidRPr="00576AF8" w:rsidRDefault="009102A7" w:rsidP="009102A7">
      <w:pPr>
        <w:numPr>
          <w:ilvl w:val="0"/>
          <w:numId w:val="145"/>
        </w:num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t>Causas del defecto</w:t>
      </w:r>
    </w:p>
    <w:p w14:paraId="25004A17" w14:textId="77777777" w:rsidR="009102A7" w:rsidRPr="00576AF8" w:rsidRDefault="009102A7" w:rsidP="009102A7">
      <w:pPr>
        <w:numPr>
          <w:ilvl w:val="0"/>
          <w:numId w:val="145"/>
        </w:num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t>Recomendación de acciones de remediación</w:t>
      </w:r>
    </w:p>
    <w:p w14:paraId="17271878" w14:textId="77777777" w:rsidR="009102A7" w:rsidRPr="00576AF8" w:rsidRDefault="009102A7" w:rsidP="009102A7">
      <w:pPr>
        <w:numPr>
          <w:ilvl w:val="0"/>
          <w:numId w:val="145"/>
        </w:num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lastRenderedPageBreak/>
        <w:t>Coordinación con CENACE para las acciones recomendadas, así como la verificación por parte del Proveedor para probar la eficacia de las acciones de remediación y el programa para su implementación.</w:t>
      </w:r>
    </w:p>
    <w:p w14:paraId="51E26B57" w14:textId="77777777" w:rsidR="009102A7" w:rsidRPr="00576AF8" w:rsidRDefault="009102A7" w:rsidP="009102A7">
      <w:pPr>
        <w:numPr>
          <w:ilvl w:val="0"/>
          <w:numId w:val="145"/>
        </w:numPr>
        <w:pBdr>
          <w:top w:val="none" w:sz="0" w:space="0" w:color="000000"/>
          <w:left w:val="none" w:sz="0" w:space="0" w:color="000000"/>
          <w:bottom w:val="none" w:sz="0" w:space="0" w:color="000000"/>
          <w:right w:val="none" w:sz="0" w:space="0" w:color="000000"/>
          <w:between w:val="none" w:sz="0" w:space="0" w:color="000000"/>
        </w:pBdr>
        <w:suppressAutoHyphens w:val="0"/>
        <w:spacing w:after="0"/>
        <w:rPr>
          <w:rFonts w:eastAsia="Calibri"/>
          <w:color w:val="000000"/>
          <w:sz w:val="22"/>
          <w:szCs w:val="22"/>
        </w:rPr>
      </w:pPr>
      <w:r w:rsidRPr="00576AF8">
        <w:rPr>
          <w:rFonts w:eastAsia="Calibri"/>
          <w:color w:val="000000"/>
          <w:sz w:val="22"/>
          <w:szCs w:val="22"/>
        </w:rPr>
        <w:t>Los resultados de las acciones correctivas y de cualquier prueba asociada.</w:t>
      </w:r>
    </w:p>
    <w:p w14:paraId="763CC7D6" w14:textId="77777777" w:rsidR="009102A7" w:rsidRPr="00576AF8" w:rsidRDefault="009102A7" w:rsidP="009102A7">
      <w:pPr>
        <w:ind w:left="1440" w:right="41"/>
        <w:rPr>
          <w:sz w:val="22"/>
          <w:szCs w:val="22"/>
        </w:rPr>
      </w:pPr>
    </w:p>
    <w:p w14:paraId="14CB57C7" w14:textId="77777777" w:rsidR="009102A7" w:rsidRPr="00576AF8" w:rsidRDefault="009102A7" w:rsidP="009102A7">
      <w:pPr>
        <w:ind w:left="2160" w:right="41" w:hanging="720"/>
        <w:rPr>
          <w:b/>
          <w:sz w:val="22"/>
          <w:szCs w:val="22"/>
        </w:rPr>
      </w:pPr>
      <w:r w:rsidRPr="00576AF8">
        <w:rPr>
          <w:b/>
          <w:sz w:val="22"/>
          <w:szCs w:val="22"/>
        </w:rPr>
        <w:t>Repuestos</w:t>
      </w:r>
    </w:p>
    <w:p w14:paraId="57F32AA8" w14:textId="77777777" w:rsidR="009102A7" w:rsidRPr="00576AF8" w:rsidRDefault="009102A7" w:rsidP="009102A7">
      <w:pPr>
        <w:numPr>
          <w:ilvl w:val="0"/>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El Proveedor garantizará la disponibilidad de las piezas y equipos de repuesto para reparar fallas y defectos justificables</w:t>
      </w:r>
      <w:r w:rsidR="00376CA5" w:rsidRPr="00576AF8">
        <w:rPr>
          <w:rFonts w:eastAsia="Calibri"/>
          <w:color w:val="000000"/>
          <w:sz w:val="22"/>
          <w:szCs w:val="22"/>
        </w:rPr>
        <w:t xml:space="preserve"> durante el período de vigencia de garantía</w:t>
      </w:r>
      <w:r w:rsidRPr="00576AF8">
        <w:rPr>
          <w:rFonts w:eastAsia="Calibri"/>
          <w:color w:val="000000"/>
          <w:sz w:val="22"/>
          <w:szCs w:val="22"/>
        </w:rPr>
        <w:t xml:space="preserve">. La seguridad, el control, el envío de las piezas y equipos de repuesto serán responsabilidad del Proveedor. </w:t>
      </w:r>
    </w:p>
    <w:p w14:paraId="26B8662B" w14:textId="77777777" w:rsidR="00DC1E3D" w:rsidRPr="00576AF8" w:rsidRDefault="00DC1E3D" w:rsidP="009102A7">
      <w:pPr>
        <w:numPr>
          <w:ilvl w:val="0"/>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El Proveedor deberá entregar como parte del suministro los siguientes equipos como repuesto:</w:t>
      </w:r>
    </w:p>
    <w:p w14:paraId="0B34521F" w14:textId="77777777" w:rsidR="00DC1E3D" w:rsidRPr="00576AF8" w:rsidRDefault="00DC1E3D" w:rsidP="008C0D90">
      <w:pPr>
        <w:numPr>
          <w:ilvl w:val="3"/>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1 servidor físico</w:t>
      </w:r>
    </w:p>
    <w:p w14:paraId="713F2236" w14:textId="77777777" w:rsidR="009A24F6" w:rsidRPr="00576AF8" w:rsidRDefault="009A24F6" w:rsidP="008C0D90">
      <w:pPr>
        <w:numPr>
          <w:ilvl w:val="3"/>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1 servidor físico para Gateway de Comunicaciones</w:t>
      </w:r>
    </w:p>
    <w:p w14:paraId="1E105F3D" w14:textId="77777777" w:rsidR="00DC1E3D" w:rsidRPr="00576AF8" w:rsidRDefault="00DC1E3D" w:rsidP="008C0D90">
      <w:pPr>
        <w:numPr>
          <w:ilvl w:val="3"/>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1 consola con 4 monitores</w:t>
      </w:r>
    </w:p>
    <w:p w14:paraId="7522771B" w14:textId="77777777" w:rsidR="00DC1E3D" w:rsidRPr="00576AF8" w:rsidRDefault="00DC1E3D" w:rsidP="008C0D90">
      <w:pPr>
        <w:numPr>
          <w:ilvl w:val="3"/>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1 GPS</w:t>
      </w:r>
    </w:p>
    <w:p w14:paraId="46403FBE" w14:textId="77777777" w:rsidR="00DC1E3D" w:rsidRPr="00576AF8" w:rsidRDefault="00DC1E3D" w:rsidP="008C0D90">
      <w:pPr>
        <w:numPr>
          <w:ilvl w:val="3"/>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1 switch de red</w:t>
      </w:r>
    </w:p>
    <w:p w14:paraId="29DA3C75" w14:textId="77777777" w:rsidR="00DC1E3D" w:rsidRPr="00576AF8" w:rsidRDefault="00DC1E3D" w:rsidP="008C0D90">
      <w:pPr>
        <w:numPr>
          <w:ilvl w:val="3"/>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1 firewall</w:t>
      </w:r>
    </w:p>
    <w:p w14:paraId="344E2594" w14:textId="77777777" w:rsidR="009102A7" w:rsidRPr="00576AF8" w:rsidRDefault="009102A7" w:rsidP="009102A7">
      <w:pPr>
        <w:numPr>
          <w:ilvl w:val="0"/>
          <w:numId w:val="146"/>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rPr>
          <w:rFonts w:eastAsia="Calibri"/>
          <w:color w:val="000000"/>
          <w:sz w:val="22"/>
          <w:szCs w:val="22"/>
        </w:rPr>
      </w:pPr>
      <w:r w:rsidRPr="00576AF8">
        <w:rPr>
          <w:rFonts w:eastAsia="Calibri"/>
          <w:color w:val="000000"/>
          <w:sz w:val="22"/>
          <w:szCs w:val="22"/>
        </w:rPr>
        <w:t>L</w:t>
      </w:r>
      <w:r w:rsidR="00DC1E3D" w:rsidRPr="00576AF8">
        <w:rPr>
          <w:rFonts w:eastAsia="Calibri"/>
          <w:color w:val="000000"/>
          <w:sz w:val="22"/>
          <w:szCs w:val="22"/>
        </w:rPr>
        <w:t xml:space="preserve">os </w:t>
      </w:r>
      <w:r w:rsidRPr="00576AF8">
        <w:rPr>
          <w:rFonts w:eastAsia="Calibri"/>
          <w:color w:val="000000"/>
          <w:sz w:val="22"/>
          <w:szCs w:val="22"/>
        </w:rPr>
        <w:t xml:space="preserve">equipos de repuesto </w:t>
      </w:r>
      <w:r w:rsidR="00DC1E3D" w:rsidRPr="00576AF8">
        <w:rPr>
          <w:rFonts w:eastAsia="Calibri"/>
          <w:color w:val="000000"/>
          <w:sz w:val="22"/>
          <w:szCs w:val="22"/>
        </w:rPr>
        <w:t>entregados al Comprador</w:t>
      </w:r>
      <w:r w:rsidRPr="00576AF8">
        <w:rPr>
          <w:rFonts w:eastAsia="Calibri"/>
          <w:color w:val="000000"/>
          <w:sz w:val="22"/>
          <w:szCs w:val="22"/>
        </w:rPr>
        <w:t xml:space="preserve"> no se utilizarán para propósitos de garantía.  No obstante, en caso de una emergencia que demande su utilización, el Proveedor realizará las acciones necesarias para reponer </w:t>
      </w:r>
      <w:r w:rsidR="00DC1E3D" w:rsidRPr="00576AF8">
        <w:rPr>
          <w:rFonts w:eastAsia="Calibri"/>
          <w:color w:val="000000"/>
          <w:sz w:val="22"/>
          <w:szCs w:val="22"/>
        </w:rPr>
        <w:t>los</w:t>
      </w:r>
      <w:r w:rsidRPr="00576AF8">
        <w:rPr>
          <w:rFonts w:eastAsia="Calibri"/>
          <w:color w:val="000000"/>
          <w:sz w:val="22"/>
          <w:szCs w:val="22"/>
        </w:rPr>
        <w:t xml:space="preserve"> equipos utilizados.</w:t>
      </w:r>
    </w:p>
    <w:p w14:paraId="350466C6" w14:textId="77777777" w:rsidR="009102A7" w:rsidRPr="00576AF8" w:rsidRDefault="009102A7" w:rsidP="009102A7">
      <w:pPr>
        <w:ind w:right="41"/>
        <w:rPr>
          <w:color w:val="4472C4"/>
          <w:sz w:val="22"/>
          <w:szCs w:val="22"/>
        </w:rPr>
      </w:pPr>
    </w:p>
    <w:p w14:paraId="04E782C4" w14:textId="77777777" w:rsidR="009102A7" w:rsidRPr="00576AF8" w:rsidRDefault="009102A7" w:rsidP="009102A7">
      <w:pPr>
        <w:ind w:right="41"/>
        <w:outlineLvl w:val="1"/>
        <w:rPr>
          <w:b/>
          <w:bCs/>
          <w:sz w:val="22"/>
          <w:szCs w:val="22"/>
        </w:rPr>
      </w:pPr>
      <w:r w:rsidRPr="00576AF8">
        <w:rPr>
          <w:b/>
          <w:bCs/>
          <w:sz w:val="22"/>
          <w:szCs w:val="22"/>
        </w:rPr>
        <w:t>5.2</w:t>
      </w:r>
      <w:r w:rsidRPr="00576AF8">
        <w:tab/>
      </w:r>
      <w:r w:rsidRPr="00576AF8">
        <w:rPr>
          <w:b/>
          <w:bCs/>
          <w:sz w:val="22"/>
          <w:szCs w:val="22"/>
        </w:rPr>
        <w:t>Apoyo técnico</w:t>
      </w:r>
      <w:bookmarkEnd w:id="1416"/>
      <w:bookmarkEnd w:id="1417"/>
      <w:bookmarkEnd w:id="1418"/>
      <w:bookmarkEnd w:id="1419"/>
      <w:bookmarkEnd w:id="1420"/>
    </w:p>
    <w:p w14:paraId="40903B98" w14:textId="77777777" w:rsidR="009102A7" w:rsidRPr="00576AF8" w:rsidRDefault="009102A7" w:rsidP="008C0D90">
      <w:pPr>
        <w:numPr>
          <w:ilvl w:val="12"/>
          <w:numId w:val="28"/>
        </w:numPr>
        <w:tabs>
          <w:tab w:val="clear" w:pos="360"/>
        </w:tabs>
        <w:suppressAutoHyphens w:val="0"/>
        <w:ind w:left="426" w:hanging="426"/>
        <w:jc w:val="left"/>
        <w:outlineLvl w:val="2"/>
        <w:rPr>
          <w:sz w:val="22"/>
          <w:szCs w:val="22"/>
        </w:rPr>
      </w:pPr>
      <w:r w:rsidRPr="00576AF8">
        <w:rPr>
          <w:sz w:val="22"/>
          <w:szCs w:val="22"/>
        </w:rPr>
        <w:t>5.2.1</w:t>
      </w:r>
      <w:r w:rsidRPr="00576AF8">
        <w:rPr>
          <w:sz w:val="22"/>
          <w:szCs w:val="22"/>
        </w:rPr>
        <w:tab/>
        <w:t xml:space="preserve">El Proveedor DEBERÁ prestar los siguientes servicios en el marco del Contrato </w:t>
      </w:r>
    </w:p>
    <w:p w14:paraId="784B1E5E" w14:textId="77777777" w:rsidR="009102A7" w:rsidRPr="00576AF8" w:rsidRDefault="009102A7" w:rsidP="008C0D90">
      <w:pPr>
        <w:numPr>
          <w:ilvl w:val="12"/>
          <w:numId w:val="28"/>
        </w:numPr>
        <w:tabs>
          <w:tab w:val="clear" w:pos="360"/>
        </w:tabs>
        <w:suppressAutoHyphens w:val="0"/>
        <w:ind w:left="709" w:hanging="142"/>
        <w:jc w:val="left"/>
        <w:outlineLvl w:val="2"/>
        <w:rPr>
          <w:sz w:val="22"/>
          <w:szCs w:val="22"/>
        </w:rPr>
      </w:pPr>
      <w:r w:rsidRPr="00576AF8">
        <w:rPr>
          <w:sz w:val="22"/>
          <w:szCs w:val="22"/>
        </w:rPr>
        <w:t xml:space="preserve">5.2.1.1 </w:t>
      </w:r>
      <w:r w:rsidRPr="00576AF8">
        <w:rPr>
          <w:sz w:val="22"/>
          <w:szCs w:val="22"/>
          <w:u w:val="single"/>
        </w:rPr>
        <w:t>Asistencia a los usuarios/línea directa</w:t>
      </w:r>
      <w:r w:rsidRPr="00576AF8">
        <w:rPr>
          <w:sz w:val="22"/>
          <w:szCs w:val="22"/>
        </w:rPr>
        <w:t xml:space="preserve">: </w:t>
      </w:r>
    </w:p>
    <w:p w14:paraId="74D8E86B" w14:textId="77777777" w:rsidR="009102A7" w:rsidRPr="00576AF8" w:rsidRDefault="009102A7" w:rsidP="009102A7">
      <w:pPr>
        <w:widowControl w:val="0"/>
        <w:tabs>
          <w:tab w:val="left" w:pos="840"/>
        </w:tabs>
        <w:autoSpaceDE w:val="0"/>
        <w:autoSpaceDN w:val="0"/>
        <w:spacing w:before="3"/>
        <w:ind w:left="1418"/>
        <w:rPr>
          <w:color w:val="000000"/>
          <w:sz w:val="22"/>
          <w:szCs w:val="22"/>
        </w:rPr>
      </w:pPr>
      <w:r w:rsidRPr="00576AF8">
        <w:rPr>
          <w:color w:val="000000"/>
          <w:sz w:val="22"/>
          <w:szCs w:val="22"/>
        </w:rPr>
        <w:t>Durante todas las fases de prueba de la plataforma SCADA/EMS y las aplicaciones de terceros, el Proveedor proporcionará un medio para registrar errores. Un registro de errores de prueba del SCADA/EMS es un registro que documenta cualquier error o problema encontrado durante las fases de prueba del mismo. Ayuda a rastrear y gestionar los problemas identificados, garantizando que se aborden y resuelvan adecuadamente.</w:t>
      </w:r>
    </w:p>
    <w:p w14:paraId="40593CD8" w14:textId="77777777" w:rsidR="009102A7" w:rsidRPr="00576AF8" w:rsidRDefault="009102A7" w:rsidP="009102A7">
      <w:pPr>
        <w:spacing w:before="16" w:after="0"/>
        <w:ind w:left="1418" w:right="140"/>
        <w:textAlignment w:val="baseline"/>
        <w:rPr>
          <w:rFonts w:eastAsia="Arial Unicode MS"/>
          <w:sz w:val="22"/>
          <w:szCs w:val="22"/>
        </w:rPr>
      </w:pPr>
      <w:r w:rsidRPr="00576AF8">
        <w:rPr>
          <w:rFonts w:eastAsia="Arial Unicode MS"/>
          <w:sz w:val="22"/>
          <w:szCs w:val="22"/>
        </w:rPr>
        <w:t xml:space="preserve">Durante el período de garantía, el Proveedor asistirá y arreglará todos los defectos </w:t>
      </w:r>
      <w:r w:rsidR="006E022A" w:rsidRPr="00576AF8">
        <w:rPr>
          <w:rFonts w:eastAsia="Arial Unicode MS"/>
          <w:sz w:val="22"/>
          <w:szCs w:val="22"/>
        </w:rPr>
        <w:t>conforme a los plazos establecidos en el numeral 5.1.1.1</w:t>
      </w:r>
      <w:r w:rsidRPr="00576AF8">
        <w:rPr>
          <w:rFonts w:eastAsia="Arial Unicode MS"/>
          <w:sz w:val="22"/>
          <w:szCs w:val="22"/>
        </w:rPr>
        <w:t xml:space="preserve">, una vez que se haya notificado el defecto por escrito por parte </w:t>
      </w:r>
      <w:r w:rsidR="00593894" w:rsidRPr="00576AF8">
        <w:rPr>
          <w:rFonts w:eastAsia="Arial Unicode MS"/>
          <w:sz w:val="22"/>
          <w:szCs w:val="22"/>
        </w:rPr>
        <w:t xml:space="preserve">del </w:t>
      </w:r>
      <w:proofErr w:type="gramStart"/>
      <w:r w:rsidR="00593894" w:rsidRPr="00576AF8">
        <w:rPr>
          <w:rFonts w:eastAsia="Arial Unicode MS"/>
          <w:sz w:val="22"/>
          <w:szCs w:val="22"/>
        </w:rPr>
        <w:t>Comprador</w:t>
      </w:r>
      <w:r w:rsidRPr="00576AF8">
        <w:rPr>
          <w:rFonts w:eastAsia="Arial Unicode MS"/>
          <w:sz w:val="22"/>
          <w:szCs w:val="22"/>
        </w:rPr>
        <w:t xml:space="preserve"> .</w:t>
      </w:r>
      <w:proofErr w:type="gramEnd"/>
    </w:p>
    <w:p w14:paraId="3A7FFA91" w14:textId="77777777" w:rsidR="009102A7" w:rsidRPr="00576AF8" w:rsidRDefault="009102A7" w:rsidP="009102A7">
      <w:pPr>
        <w:ind w:right="41"/>
        <w:rPr>
          <w:i/>
          <w:iCs/>
          <w:sz w:val="22"/>
          <w:szCs w:val="22"/>
          <w:highlight w:val="yellow"/>
        </w:rPr>
      </w:pPr>
    </w:p>
    <w:p w14:paraId="5ABC6D2F" w14:textId="77777777" w:rsidR="009102A7" w:rsidRPr="00576AF8" w:rsidRDefault="009102A7" w:rsidP="008C0D90">
      <w:pPr>
        <w:numPr>
          <w:ilvl w:val="12"/>
          <w:numId w:val="28"/>
        </w:numPr>
        <w:tabs>
          <w:tab w:val="clear" w:pos="360"/>
        </w:tabs>
        <w:suppressAutoHyphens w:val="0"/>
        <w:ind w:left="709" w:hanging="142"/>
        <w:jc w:val="left"/>
        <w:outlineLvl w:val="2"/>
        <w:rPr>
          <w:i/>
          <w:color w:val="4472C4"/>
          <w:sz w:val="22"/>
          <w:szCs w:val="22"/>
        </w:rPr>
      </w:pPr>
      <w:r w:rsidRPr="00576AF8">
        <w:rPr>
          <w:sz w:val="22"/>
          <w:szCs w:val="22"/>
        </w:rPr>
        <w:t>5.2.1.2</w:t>
      </w:r>
      <w:r w:rsidRPr="00576AF8">
        <w:tab/>
      </w:r>
      <w:r w:rsidRPr="00576AF8">
        <w:rPr>
          <w:sz w:val="22"/>
          <w:szCs w:val="22"/>
          <w:u w:val="single"/>
        </w:rPr>
        <w:t>Asistencia técnica</w:t>
      </w:r>
      <w:r w:rsidRPr="00576AF8">
        <w:rPr>
          <w:sz w:val="22"/>
          <w:szCs w:val="22"/>
        </w:rPr>
        <w:t>: El Proveedor deberá realizar las siguientes actividades de asistencia técnica:</w:t>
      </w:r>
    </w:p>
    <w:p w14:paraId="09B57C1E" w14:textId="77777777" w:rsidR="009102A7" w:rsidRPr="00576AF8" w:rsidRDefault="009102A7" w:rsidP="009102A7">
      <w:pPr>
        <w:spacing w:after="0"/>
        <w:ind w:left="2160" w:right="41" w:hanging="720"/>
        <w:rPr>
          <w:b/>
          <w:bCs/>
          <w:color w:val="000000"/>
          <w:sz w:val="22"/>
          <w:szCs w:val="22"/>
        </w:rPr>
      </w:pPr>
      <w:bookmarkStart w:id="1421" w:name="_Toc160268969"/>
      <w:bookmarkStart w:id="1422" w:name="_Toc160456034"/>
    </w:p>
    <w:p w14:paraId="12674EC9" w14:textId="77777777" w:rsidR="009102A7" w:rsidRPr="00576AF8" w:rsidRDefault="009102A7" w:rsidP="008C0D90">
      <w:pPr>
        <w:numPr>
          <w:ilvl w:val="12"/>
          <w:numId w:val="28"/>
        </w:numPr>
        <w:tabs>
          <w:tab w:val="clear" w:pos="360"/>
        </w:tabs>
        <w:suppressAutoHyphens w:val="0"/>
        <w:ind w:left="1418" w:hanging="567"/>
        <w:jc w:val="left"/>
        <w:outlineLvl w:val="2"/>
        <w:rPr>
          <w:b/>
          <w:bCs/>
          <w:color w:val="000000"/>
          <w:sz w:val="22"/>
          <w:szCs w:val="22"/>
        </w:rPr>
      </w:pPr>
      <w:r w:rsidRPr="00576AF8">
        <w:rPr>
          <w:b/>
          <w:bCs/>
          <w:color w:val="000000"/>
          <w:sz w:val="22"/>
          <w:szCs w:val="22"/>
        </w:rPr>
        <w:t>Integración</w:t>
      </w:r>
      <w:bookmarkEnd w:id="1421"/>
      <w:bookmarkEnd w:id="1422"/>
    </w:p>
    <w:p w14:paraId="20463E3A" w14:textId="77777777" w:rsidR="009102A7" w:rsidRPr="00576AF8" w:rsidRDefault="009102A7" w:rsidP="009102A7">
      <w:pPr>
        <w:spacing w:after="0"/>
        <w:ind w:left="1620"/>
        <w:rPr>
          <w:rFonts w:eastAsia="Arial Unicode MS"/>
          <w:sz w:val="22"/>
          <w:szCs w:val="22"/>
        </w:rPr>
      </w:pPr>
      <w:r w:rsidRPr="00576AF8">
        <w:rPr>
          <w:rFonts w:eastAsia="Arial Unicode MS"/>
          <w:color w:val="000000"/>
          <w:sz w:val="22"/>
          <w:szCs w:val="22"/>
        </w:rPr>
        <w:t>Se refiere a las actividades del Proveedor relacionadas con la instalación, configuración y pruebas preliminares de todo el hardware y software del sistema a realizar en las instalaciones del Proveedor.</w:t>
      </w:r>
    </w:p>
    <w:p w14:paraId="41CDFC4E" w14:textId="77777777" w:rsidR="009102A7" w:rsidRPr="00576AF8" w:rsidRDefault="009102A7" w:rsidP="009102A7">
      <w:pPr>
        <w:spacing w:after="0"/>
        <w:ind w:left="708" w:firstLine="708"/>
        <w:rPr>
          <w:rFonts w:eastAsia="Arial Unicode MS"/>
          <w:b/>
          <w:bCs/>
          <w:color w:val="000000"/>
          <w:sz w:val="22"/>
          <w:szCs w:val="22"/>
        </w:rPr>
      </w:pPr>
    </w:p>
    <w:p w14:paraId="16550FE2"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bookmarkStart w:id="1423" w:name="_Toc160268970"/>
      <w:bookmarkStart w:id="1424" w:name="_Toc160456035"/>
      <w:r w:rsidRPr="00576AF8">
        <w:rPr>
          <w:rFonts w:eastAsia="Arial Unicode MS"/>
          <w:b/>
          <w:bCs/>
          <w:color w:val="000000"/>
          <w:sz w:val="22"/>
          <w:szCs w:val="22"/>
        </w:rPr>
        <w:lastRenderedPageBreak/>
        <w:t>Conversión de Base de Datos y Despliegues</w:t>
      </w:r>
      <w:bookmarkEnd w:id="1423"/>
      <w:bookmarkEnd w:id="1424"/>
    </w:p>
    <w:p w14:paraId="584F18E2" w14:textId="33B0102E" w:rsidR="009102A7" w:rsidRPr="00576AF8" w:rsidRDefault="00E86B5F" w:rsidP="009102A7">
      <w:pPr>
        <w:numPr>
          <w:ilvl w:val="0"/>
          <w:numId w:val="155"/>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E</w:t>
      </w:r>
      <w:r>
        <w:rPr>
          <w:rFonts w:eastAsia="Arial Unicode MS"/>
          <w:color w:val="000000"/>
          <w:sz w:val="22"/>
          <w:szCs w:val="22"/>
        </w:rPr>
        <w:t>l</w:t>
      </w:r>
      <w:r w:rsidRPr="00576AF8">
        <w:rPr>
          <w:rFonts w:eastAsia="Arial Unicode MS"/>
          <w:color w:val="000000"/>
          <w:sz w:val="22"/>
          <w:szCs w:val="22"/>
        </w:rPr>
        <w:t xml:space="preserve"> </w:t>
      </w:r>
      <w:r w:rsidR="009102A7" w:rsidRPr="00576AF8">
        <w:rPr>
          <w:rFonts w:eastAsia="Arial Unicode MS"/>
          <w:color w:val="000000"/>
          <w:sz w:val="22"/>
          <w:szCs w:val="22"/>
        </w:rPr>
        <w:t>Proveedor realizará la conversión y migración de la base de datos del SCADA/EMS (sistema central), de la base de datos de los PCU Gateways actuales a los nuevos Gateways, de todos los despliegues unifilares, tabulares y todos los demás existentes en el sistema actual incluyendo el sistema histórico del actual SCADA/EMS, y reportes del sistema utilizando las funcionalidades del sistema ofrecido. La conversión de la base de datos será automatizada mediante procedimientos de extracción, transformación y carga para evitar errores por ingresos manuales. </w:t>
      </w:r>
    </w:p>
    <w:p w14:paraId="6D7A7063" w14:textId="77777777" w:rsidR="009102A7" w:rsidRPr="00576AF8" w:rsidRDefault="009102A7" w:rsidP="009102A7">
      <w:pPr>
        <w:numPr>
          <w:ilvl w:val="0"/>
          <w:numId w:val="155"/>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La conversión de la base de datos se realizará antes de las pruebas SAT y debe ejecutarse una actualización del sistema de producción antes de dichas pruebas.</w:t>
      </w:r>
    </w:p>
    <w:p w14:paraId="0D368173" w14:textId="77777777" w:rsidR="009102A7" w:rsidRPr="00576AF8" w:rsidRDefault="009102A7" w:rsidP="009102A7">
      <w:pPr>
        <w:numPr>
          <w:ilvl w:val="0"/>
          <w:numId w:val="155"/>
        </w:numPr>
        <w:suppressAutoHyphens w:val="0"/>
        <w:spacing w:before="120" w:after="0"/>
        <w:ind w:left="1800"/>
        <w:textAlignment w:val="baseline"/>
        <w:rPr>
          <w:rFonts w:eastAsia="Arial Unicode MS"/>
          <w:color w:val="000000"/>
          <w:sz w:val="22"/>
          <w:szCs w:val="22"/>
        </w:rPr>
      </w:pPr>
      <w:r w:rsidRPr="00576AF8">
        <w:rPr>
          <w:rFonts w:eastAsia="Arial Unicode MS"/>
          <w:color w:val="000000"/>
          <w:sz w:val="22"/>
          <w:szCs w:val="22"/>
        </w:rPr>
        <w:t>El Proveedor será el responsable de proponer y desarrollar una Guía de estilo compatible con la Guía de Estilo que al momento dispone CENACE.</w:t>
      </w:r>
    </w:p>
    <w:p w14:paraId="7F10D970" w14:textId="77777777" w:rsidR="009102A7" w:rsidRPr="00576AF8" w:rsidRDefault="009102A7" w:rsidP="009102A7">
      <w:pPr>
        <w:spacing w:after="0"/>
        <w:ind w:left="708" w:firstLine="708"/>
        <w:rPr>
          <w:rFonts w:eastAsia="Arial Unicode MS"/>
          <w:b/>
          <w:bCs/>
          <w:color w:val="000000"/>
          <w:sz w:val="22"/>
          <w:szCs w:val="22"/>
        </w:rPr>
      </w:pPr>
    </w:p>
    <w:p w14:paraId="44729486"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bookmarkStart w:id="1425" w:name="_Toc160268971"/>
      <w:bookmarkStart w:id="1426" w:name="_Toc160456036"/>
      <w:r w:rsidRPr="00576AF8">
        <w:rPr>
          <w:rFonts w:eastAsia="Arial Unicode MS"/>
          <w:b/>
          <w:bCs/>
          <w:color w:val="000000"/>
          <w:sz w:val="22"/>
          <w:szCs w:val="22"/>
        </w:rPr>
        <w:t>Conversión de Datos Históricos</w:t>
      </w:r>
      <w:bookmarkEnd w:id="1425"/>
      <w:bookmarkEnd w:id="1426"/>
    </w:p>
    <w:p w14:paraId="7AB8B5D0" w14:textId="77777777" w:rsidR="009102A7" w:rsidRPr="00576AF8" w:rsidRDefault="009102A7" w:rsidP="009102A7">
      <w:pPr>
        <w:spacing w:after="0"/>
        <w:ind w:left="1530"/>
        <w:rPr>
          <w:rFonts w:eastAsia="Arial Unicode MS"/>
          <w:sz w:val="22"/>
          <w:szCs w:val="22"/>
        </w:rPr>
      </w:pPr>
      <w:r w:rsidRPr="00576AF8">
        <w:rPr>
          <w:rFonts w:eastAsia="Arial Unicode MS"/>
          <w:color w:val="000000"/>
          <w:sz w:val="22"/>
          <w:szCs w:val="22"/>
        </w:rPr>
        <w:t>El Proveedor convertirá y migrará los datos históricos almacenados en el sistema existente y para los mismos puntos definidos en la base de datos convertida. Esta conversión será al menos por los 2 últimos años, esto incluye las indicaciones, mediciones y acumuladores con sus respectivas calidades. </w:t>
      </w:r>
    </w:p>
    <w:p w14:paraId="1B23E44D" w14:textId="77777777" w:rsidR="009102A7" w:rsidRPr="00576AF8" w:rsidRDefault="009102A7" w:rsidP="009102A7">
      <w:pPr>
        <w:spacing w:after="0"/>
        <w:ind w:left="708" w:firstLine="708"/>
        <w:rPr>
          <w:rFonts w:eastAsia="Arial Unicode MS"/>
          <w:b/>
          <w:bCs/>
          <w:color w:val="000000"/>
          <w:sz w:val="22"/>
          <w:szCs w:val="22"/>
        </w:rPr>
      </w:pPr>
    </w:p>
    <w:p w14:paraId="4AFA1BA3"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bookmarkStart w:id="1427" w:name="_Toc160268972"/>
      <w:bookmarkStart w:id="1428" w:name="_Toc160456037"/>
      <w:r w:rsidRPr="00576AF8">
        <w:rPr>
          <w:rFonts w:eastAsia="Arial Unicode MS"/>
          <w:b/>
          <w:bCs/>
          <w:color w:val="000000"/>
          <w:sz w:val="22"/>
          <w:szCs w:val="22"/>
        </w:rPr>
        <w:t>Integración del SCADA/EMS con sistemas externos de CENACE</w:t>
      </w:r>
      <w:bookmarkEnd w:id="1427"/>
      <w:bookmarkEnd w:id="1428"/>
    </w:p>
    <w:p w14:paraId="780328DC" w14:textId="3042F58E" w:rsidR="009102A7" w:rsidRPr="00576AF8" w:rsidRDefault="009102A7" w:rsidP="009102A7">
      <w:pPr>
        <w:spacing w:after="240"/>
        <w:ind w:left="1530"/>
        <w:rPr>
          <w:rFonts w:eastAsia="Arial Unicode MS"/>
          <w:color w:val="000000"/>
          <w:sz w:val="22"/>
          <w:szCs w:val="22"/>
        </w:rPr>
      </w:pPr>
      <w:r w:rsidRPr="00576AF8">
        <w:rPr>
          <w:rFonts w:eastAsia="Arial Unicode MS"/>
          <w:color w:val="000000"/>
          <w:sz w:val="22"/>
          <w:szCs w:val="22"/>
        </w:rPr>
        <w:t xml:space="preserve">Conforme lo detallado en el </w:t>
      </w:r>
      <w:r w:rsidR="00BD56C1">
        <w:rPr>
          <w:rFonts w:ascii="Calibri" w:hAnsi="Calibri" w:cs="Calibri"/>
          <w:sz w:val="22"/>
          <w:szCs w:val="22"/>
          <w:lang w:eastAsia="en-US"/>
        </w:rPr>
        <w:t>numeral 2.1.1.1.3</w:t>
      </w:r>
      <w:r w:rsidRPr="00576AF8">
        <w:rPr>
          <w:rFonts w:eastAsia="Arial Unicode MS"/>
          <w:color w:val="000000"/>
          <w:sz w:val="22"/>
          <w:szCs w:val="22"/>
        </w:rPr>
        <w:t xml:space="preserve"> INTERFACES CON SISTEMAS EXTERNOS, El Proveedor estará encargado de implementar las interfaces necesarias con todos los sistemas externos del CENACE que reciben o envían información al sistema SCADA/EMS actual.   Estos sistemas externos al SCADA/EMS son: el Programa de Producción BMS - ePSR, El sistema de integración de información corporativa denominado PI Institucional, el Sistema de Información del Mercado Eléctrico Mayorista SIMEM, el Sistema de Medición Comercial – SIMEC, el Sistema WAMS, el Sistema de Protección Sistémica SPS, el Simulador en tiempo real OPAL-RT, el Sistema de Monitoreo de la Distribución y sistemas de seguimiento de la demanda.</w:t>
      </w:r>
    </w:p>
    <w:p w14:paraId="2C43684C" w14:textId="77777777" w:rsidR="009102A7" w:rsidRPr="00576AF8" w:rsidRDefault="009102A7" w:rsidP="009102A7">
      <w:pPr>
        <w:spacing w:after="0"/>
        <w:ind w:left="708" w:firstLine="708"/>
        <w:rPr>
          <w:rFonts w:eastAsia="Arial Unicode MS"/>
          <w:b/>
          <w:bCs/>
          <w:color w:val="000000"/>
          <w:sz w:val="22"/>
          <w:szCs w:val="22"/>
        </w:rPr>
      </w:pPr>
    </w:p>
    <w:p w14:paraId="31050680"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r w:rsidRPr="00576AF8">
        <w:rPr>
          <w:rFonts w:eastAsia="Arial Unicode MS"/>
          <w:b/>
          <w:bCs/>
          <w:color w:val="000000"/>
          <w:sz w:val="22"/>
          <w:szCs w:val="22"/>
        </w:rPr>
        <w:t>Inspección y Pruebas </w:t>
      </w:r>
    </w:p>
    <w:p w14:paraId="28D71CA4" w14:textId="77777777" w:rsidR="009102A7" w:rsidRPr="00576AF8" w:rsidRDefault="009102A7" w:rsidP="008C0D90">
      <w:pPr>
        <w:spacing w:after="0"/>
        <w:ind w:left="1530"/>
        <w:rPr>
          <w:rFonts w:eastAsia="Arial Unicode MS"/>
          <w:sz w:val="22"/>
          <w:szCs w:val="22"/>
        </w:rPr>
      </w:pPr>
      <w:r w:rsidRPr="00576AF8">
        <w:rPr>
          <w:rFonts w:eastAsia="Arial Unicode MS"/>
          <w:color w:val="000000"/>
          <w:sz w:val="22"/>
          <w:szCs w:val="22"/>
        </w:rPr>
        <w:t xml:space="preserve">El Proveedor incluirá los servicios para </w:t>
      </w:r>
      <w:r w:rsidR="006E022A" w:rsidRPr="00576AF8">
        <w:rPr>
          <w:rFonts w:eastAsia="Arial Unicode MS"/>
          <w:color w:val="000000"/>
          <w:sz w:val="22"/>
          <w:szCs w:val="22"/>
        </w:rPr>
        <w:t xml:space="preserve">inspecciones y pruebas conforme </w:t>
      </w:r>
      <w:r w:rsidRPr="00576AF8">
        <w:rPr>
          <w:rFonts w:eastAsia="Arial Unicode MS"/>
          <w:color w:val="000000"/>
          <w:sz w:val="22"/>
          <w:szCs w:val="22"/>
        </w:rPr>
        <w:t>al numeral 4.1.</w:t>
      </w:r>
    </w:p>
    <w:p w14:paraId="5F7285A2" w14:textId="77777777" w:rsidR="009102A7" w:rsidRPr="00576AF8" w:rsidRDefault="009102A7" w:rsidP="009102A7">
      <w:pPr>
        <w:spacing w:after="0"/>
        <w:jc w:val="center"/>
        <w:rPr>
          <w:rFonts w:eastAsia="Arial Unicode MS"/>
          <w:color w:val="000000"/>
          <w:sz w:val="22"/>
          <w:szCs w:val="22"/>
          <w:highlight w:val="cyan"/>
        </w:rPr>
      </w:pPr>
    </w:p>
    <w:p w14:paraId="477D91AF"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bookmarkStart w:id="1429" w:name="_Toc160268973"/>
      <w:bookmarkStart w:id="1430" w:name="_Toc160456038"/>
      <w:r w:rsidRPr="00576AF8">
        <w:rPr>
          <w:rFonts w:eastAsia="Arial Unicode MS"/>
          <w:b/>
          <w:bCs/>
          <w:color w:val="000000"/>
          <w:sz w:val="22"/>
          <w:szCs w:val="22"/>
        </w:rPr>
        <w:t>Modo Escucha</w:t>
      </w:r>
      <w:bookmarkEnd w:id="1429"/>
      <w:bookmarkEnd w:id="1430"/>
    </w:p>
    <w:p w14:paraId="374ACDC0" w14:textId="77777777" w:rsidR="009102A7" w:rsidRPr="00576AF8" w:rsidRDefault="009102A7" w:rsidP="009102A7">
      <w:pPr>
        <w:spacing w:after="0"/>
        <w:ind w:left="1530"/>
        <w:rPr>
          <w:rFonts w:eastAsia="Arial Unicode MS"/>
          <w:b/>
          <w:bCs/>
          <w:color w:val="000000"/>
          <w:sz w:val="22"/>
          <w:szCs w:val="22"/>
        </w:rPr>
      </w:pPr>
      <w:bookmarkStart w:id="1431" w:name="_Toc160268974"/>
      <w:bookmarkStart w:id="1432" w:name="_Toc160456039"/>
      <w:r w:rsidRPr="00576AF8">
        <w:rPr>
          <w:rFonts w:eastAsia="Arial Unicode MS"/>
          <w:color w:val="000000"/>
          <w:sz w:val="22"/>
          <w:szCs w:val="22"/>
        </w:rPr>
        <w:t xml:space="preserve">El Proveedor propondrá las características de los equipos y realizará las conexiones y configuraciones necesarias de sus sistemas para permitir la conexión del sistema propuesto en modo escucha, así como, determinará conjuntamente con </w:t>
      </w:r>
      <w:r w:rsidR="00593894" w:rsidRPr="00576AF8">
        <w:rPr>
          <w:rFonts w:eastAsia="Arial Unicode MS"/>
          <w:color w:val="000000"/>
          <w:sz w:val="22"/>
          <w:szCs w:val="22"/>
        </w:rPr>
        <w:t xml:space="preserve">el Comprador </w:t>
      </w:r>
      <w:r w:rsidRPr="00576AF8">
        <w:rPr>
          <w:rFonts w:eastAsia="Arial Unicode MS"/>
          <w:color w:val="000000"/>
          <w:sz w:val="22"/>
          <w:szCs w:val="22"/>
        </w:rPr>
        <w:t>de ser necesario la mejor solución técnica para conexión del modo escucha con el sistema SCADA/EMS actual de CENACE, es decir para la decodificación de las comunicaciones entre SCADA/EMS actual y las RTU sin afectar las mismas.  Esto con la finalidad de validar la base de datos y los despliegues del sistema convertido al sistema ofrecido. CENACE realizará las configuraciones necesarias en sus equipos de redes para esta actividad.</w:t>
      </w:r>
      <w:bookmarkEnd w:id="1431"/>
      <w:bookmarkEnd w:id="1432"/>
    </w:p>
    <w:p w14:paraId="4BC41D29" w14:textId="77777777" w:rsidR="009102A7" w:rsidRPr="00576AF8" w:rsidRDefault="009102A7" w:rsidP="009102A7">
      <w:pPr>
        <w:spacing w:after="0"/>
        <w:ind w:left="1080"/>
        <w:rPr>
          <w:rFonts w:eastAsia="Arial Unicode MS"/>
          <w:color w:val="000000"/>
          <w:sz w:val="22"/>
          <w:szCs w:val="22"/>
        </w:rPr>
      </w:pPr>
    </w:p>
    <w:p w14:paraId="3D9F82A4"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r w:rsidRPr="00576AF8">
        <w:rPr>
          <w:rFonts w:eastAsia="Arial Unicode MS"/>
          <w:b/>
          <w:bCs/>
          <w:color w:val="000000"/>
          <w:sz w:val="22"/>
          <w:szCs w:val="22"/>
        </w:rPr>
        <w:t>Soporte Pruebas Punto-Punto</w:t>
      </w:r>
    </w:p>
    <w:p w14:paraId="2B6391C4" w14:textId="77777777" w:rsidR="009102A7" w:rsidRPr="00576AF8" w:rsidRDefault="009102A7" w:rsidP="009102A7">
      <w:pPr>
        <w:ind w:left="1530"/>
        <w:rPr>
          <w:b/>
          <w:bCs/>
          <w:color w:val="000000"/>
          <w:sz w:val="22"/>
          <w:szCs w:val="22"/>
        </w:rPr>
      </w:pPr>
      <w:r w:rsidRPr="00576AF8">
        <w:rPr>
          <w:sz w:val="22"/>
          <w:szCs w:val="22"/>
        </w:rPr>
        <w:lastRenderedPageBreak/>
        <w:t xml:space="preserve">El Proveedor proveerá el soporte remoto especializado durante las pruebas punto a punto estimadas en 60 días </w:t>
      </w:r>
      <w:r w:rsidRPr="00576AF8">
        <w:rPr>
          <w:color w:val="000000"/>
          <w:sz w:val="22"/>
          <w:szCs w:val="22"/>
        </w:rPr>
        <w:t>hábiles. Sin embargo, al inicio de las pruebas proveerá recurso especializado en sitio por al menos dos (2) semanas para resolver problemas de configuración y capacitar al personal del CENACE que realizará las pruebas bajo la modalidad de tareas.</w:t>
      </w:r>
    </w:p>
    <w:p w14:paraId="25DBCAEC" w14:textId="77777777" w:rsidR="009102A7" w:rsidRPr="00576AF8" w:rsidRDefault="009102A7" w:rsidP="009102A7">
      <w:pPr>
        <w:spacing w:after="0"/>
        <w:ind w:left="708" w:firstLine="708"/>
        <w:rPr>
          <w:rFonts w:eastAsia="Arial Unicode MS"/>
          <w:b/>
          <w:bCs/>
          <w:color w:val="000000"/>
          <w:sz w:val="22"/>
          <w:szCs w:val="22"/>
        </w:rPr>
      </w:pPr>
    </w:p>
    <w:p w14:paraId="7C04747B" w14:textId="77777777" w:rsidR="009102A7" w:rsidRPr="00576AF8" w:rsidRDefault="009102A7" w:rsidP="008C0D90">
      <w:pPr>
        <w:numPr>
          <w:ilvl w:val="12"/>
          <w:numId w:val="28"/>
        </w:numPr>
        <w:tabs>
          <w:tab w:val="clear" w:pos="360"/>
        </w:tabs>
        <w:suppressAutoHyphens w:val="0"/>
        <w:ind w:left="1418" w:hanging="567"/>
        <w:jc w:val="left"/>
        <w:outlineLvl w:val="2"/>
        <w:rPr>
          <w:rFonts w:eastAsia="Arial Unicode MS"/>
          <w:b/>
          <w:bCs/>
          <w:color w:val="000000"/>
          <w:sz w:val="22"/>
          <w:szCs w:val="22"/>
        </w:rPr>
      </w:pPr>
      <w:r w:rsidRPr="00576AF8">
        <w:rPr>
          <w:rFonts w:eastAsia="Arial Unicode MS"/>
          <w:b/>
          <w:bCs/>
          <w:color w:val="000000"/>
          <w:sz w:val="22"/>
          <w:szCs w:val="22"/>
        </w:rPr>
        <w:t>Corte y Transferencia (Cutover)</w:t>
      </w:r>
    </w:p>
    <w:p w14:paraId="51F58E17" w14:textId="77777777" w:rsidR="00981D91" w:rsidRPr="00576AF8" w:rsidRDefault="00981D91" w:rsidP="008C0D90">
      <w:pPr>
        <w:numPr>
          <w:ilvl w:val="0"/>
          <w:numId w:val="439"/>
        </w:numPr>
        <w:ind w:left="1800" w:hanging="450"/>
        <w:contextualSpacing/>
        <w:rPr>
          <w:sz w:val="22"/>
          <w:szCs w:val="22"/>
        </w:rPr>
      </w:pPr>
      <w:r w:rsidRPr="00576AF8">
        <w:rPr>
          <w:sz w:val="22"/>
          <w:szCs w:val="22"/>
        </w:rPr>
        <w:t>El "cutover" es una fase crucial en el ciclo de vida del proyecto, ya que implica la transferencia de la responsabilidad de control y monitoreo del sistema antiguo al nuevo</w:t>
      </w:r>
      <w:r w:rsidR="00A97280" w:rsidRPr="00576AF8">
        <w:rPr>
          <w:sz w:val="22"/>
          <w:szCs w:val="22"/>
        </w:rPr>
        <w:t xml:space="preserve">, </w:t>
      </w:r>
      <w:r w:rsidRPr="00576AF8">
        <w:rPr>
          <w:sz w:val="22"/>
          <w:szCs w:val="22"/>
        </w:rPr>
        <w:t>para asegurar que la transición se realice de manera suave y efectiva, minimizando los tiempos de inactividad y los riesgos operativos.</w:t>
      </w:r>
      <w:r w:rsidR="00A97280" w:rsidRPr="00576AF8">
        <w:rPr>
          <w:sz w:val="22"/>
          <w:szCs w:val="22"/>
        </w:rPr>
        <w:t xml:space="preserve"> </w:t>
      </w:r>
      <w:r w:rsidRPr="00576AF8">
        <w:rPr>
          <w:sz w:val="22"/>
          <w:szCs w:val="22"/>
        </w:rPr>
        <w:t>En esta estapa los Operadores ten</w:t>
      </w:r>
      <w:r w:rsidR="00A97280" w:rsidRPr="00576AF8">
        <w:rPr>
          <w:sz w:val="22"/>
          <w:szCs w:val="22"/>
        </w:rPr>
        <w:t>d</w:t>
      </w:r>
      <w:r w:rsidRPr="00576AF8">
        <w:rPr>
          <w:sz w:val="22"/>
          <w:szCs w:val="22"/>
        </w:rPr>
        <w:t>ran acceso a los dos sistemas de forma simultánea. Al final de esta etapa se apaga el actual SCADA/EMS y queda operativo el nuevo sistema.</w:t>
      </w:r>
    </w:p>
    <w:p w14:paraId="5458E87D" w14:textId="77777777" w:rsidR="009102A7" w:rsidRPr="00576AF8" w:rsidRDefault="009102A7" w:rsidP="008C0D90">
      <w:pPr>
        <w:numPr>
          <w:ilvl w:val="0"/>
          <w:numId w:val="439"/>
        </w:numPr>
        <w:ind w:left="1800" w:hanging="450"/>
        <w:contextualSpacing/>
        <w:rPr>
          <w:sz w:val="22"/>
          <w:szCs w:val="22"/>
          <w:lang w:eastAsia="es-EC" w:bidi="ar-SA"/>
        </w:rPr>
      </w:pPr>
      <w:r w:rsidRPr="00576AF8">
        <w:rPr>
          <w:sz w:val="22"/>
          <w:szCs w:val="22"/>
        </w:rPr>
        <w:t xml:space="preserve">El Proveedor garantizará la presencia del especialista en integración del sistema </w:t>
      </w:r>
      <w:r w:rsidR="00E241E6" w:rsidRPr="00576AF8">
        <w:rPr>
          <w:sz w:val="22"/>
          <w:szCs w:val="22"/>
        </w:rPr>
        <w:t xml:space="preserve">y del especialista en aplicaciones EMS </w:t>
      </w:r>
      <w:r w:rsidRPr="00576AF8">
        <w:rPr>
          <w:sz w:val="22"/>
          <w:szCs w:val="22"/>
        </w:rPr>
        <w:t xml:space="preserve">por al menos dos (2) semanas en sitio para la preparación y </w:t>
      </w:r>
      <w:r w:rsidR="006E022A" w:rsidRPr="00576AF8">
        <w:rPr>
          <w:sz w:val="22"/>
          <w:szCs w:val="22"/>
        </w:rPr>
        <w:t xml:space="preserve">asistencia técnica </w:t>
      </w:r>
      <w:r w:rsidRPr="00576AF8">
        <w:rPr>
          <w:sz w:val="22"/>
          <w:szCs w:val="22"/>
        </w:rPr>
        <w:t>durante el proceso de cutover</w:t>
      </w:r>
      <w:r w:rsidR="00964D20" w:rsidRPr="00576AF8">
        <w:rPr>
          <w:sz w:val="22"/>
          <w:szCs w:val="22"/>
        </w:rPr>
        <w:t>, las cuales son independientes y con posterioridad a las pruebas punto a punto</w:t>
      </w:r>
      <w:r w:rsidRPr="00576AF8">
        <w:rPr>
          <w:sz w:val="22"/>
          <w:szCs w:val="22"/>
        </w:rPr>
        <w:t>. </w:t>
      </w:r>
    </w:p>
    <w:p w14:paraId="71DBDEF8" w14:textId="77777777" w:rsidR="009102A7" w:rsidRPr="00576AF8" w:rsidRDefault="009102A7" w:rsidP="008C0D90">
      <w:pPr>
        <w:numPr>
          <w:ilvl w:val="0"/>
          <w:numId w:val="439"/>
        </w:numPr>
        <w:ind w:left="1800" w:hanging="450"/>
        <w:contextualSpacing/>
        <w:rPr>
          <w:sz w:val="22"/>
          <w:szCs w:val="22"/>
          <w:lang w:eastAsia="es-EC" w:bidi="ar-SA"/>
        </w:rPr>
      </w:pPr>
      <w:r w:rsidRPr="00576AF8">
        <w:rPr>
          <w:sz w:val="22"/>
          <w:szCs w:val="22"/>
        </w:rPr>
        <w:t xml:space="preserve">Asimismo, asegurará </w:t>
      </w:r>
      <w:r w:rsidR="00964D20" w:rsidRPr="00576AF8">
        <w:rPr>
          <w:sz w:val="22"/>
          <w:szCs w:val="22"/>
        </w:rPr>
        <w:t>la participación</w:t>
      </w:r>
      <w:r w:rsidRPr="00576AF8">
        <w:rPr>
          <w:sz w:val="22"/>
          <w:szCs w:val="22"/>
        </w:rPr>
        <w:t xml:space="preserve"> </w:t>
      </w:r>
      <w:r w:rsidR="00964D20" w:rsidRPr="00576AF8">
        <w:rPr>
          <w:sz w:val="22"/>
          <w:szCs w:val="22"/>
        </w:rPr>
        <w:t xml:space="preserve">y asistencia remota de </w:t>
      </w:r>
      <w:r w:rsidRPr="00576AF8">
        <w:rPr>
          <w:sz w:val="22"/>
          <w:szCs w:val="22"/>
        </w:rPr>
        <w:t>sus especialistas en las diferentes áreas críticas</w:t>
      </w:r>
      <w:r w:rsidR="009B7568" w:rsidRPr="00576AF8">
        <w:rPr>
          <w:sz w:val="22"/>
          <w:szCs w:val="22"/>
        </w:rPr>
        <w:t>,</w:t>
      </w:r>
      <w:r w:rsidRPr="00576AF8">
        <w:rPr>
          <w:sz w:val="22"/>
          <w:szCs w:val="22"/>
        </w:rPr>
        <w:t xml:space="preserve"> a saber:</w:t>
      </w:r>
    </w:p>
    <w:p w14:paraId="1B05CEF3" w14:textId="77777777" w:rsidR="009102A7" w:rsidRPr="00576AF8" w:rsidRDefault="009102A7" w:rsidP="009102A7">
      <w:pPr>
        <w:ind w:left="2977" w:hanging="907"/>
        <w:rPr>
          <w:bCs/>
          <w:iCs/>
          <w:sz w:val="22"/>
          <w:szCs w:val="22"/>
          <w:lang w:val="es-EC" w:eastAsia="es-EC" w:bidi="ar-SA"/>
        </w:rPr>
      </w:pPr>
      <w:r w:rsidRPr="00576AF8">
        <w:rPr>
          <w:bCs/>
          <w:iCs/>
          <w:sz w:val="22"/>
          <w:szCs w:val="22"/>
          <w:lang w:val="es-EC"/>
        </w:rPr>
        <w:t>Hardware y software base</w:t>
      </w:r>
    </w:p>
    <w:p w14:paraId="48E107AF" w14:textId="77777777" w:rsidR="009102A7" w:rsidRPr="00576AF8" w:rsidRDefault="009102A7" w:rsidP="009102A7">
      <w:pPr>
        <w:ind w:left="2977" w:hanging="907"/>
        <w:rPr>
          <w:bCs/>
          <w:iCs/>
          <w:sz w:val="22"/>
          <w:szCs w:val="22"/>
          <w:lang w:val="es-EC" w:eastAsia="es-EC" w:bidi="ar-SA"/>
        </w:rPr>
      </w:pPr>
      <w:r w:rsidRPr="00576AF8">
        <w:rPr>
          <w:bCs/>
          <w:iCs/>
          <w:sz w:val="22"/>
          <w:szCs w:val="22"/>
          <w:lang w:val="es-EC"/>
        </w:rPr>
        <w:t>SCADA</w:t>
      </w:r>
    </w:p>
    <w:p w14:paraId="7BF0A262" w14:textId="77777777" w:rsidR="009102A7" w:rsidRPr="00576AF8" w:rsidRDefault="009102A7" w:rsidP="009102A7">
      <w:pPr>
        <w:ind w:left="2977" w:hanging="907"/>
        <w:rPr>
          <w:bCs/>
          <w:iCs/>
          <w:sz w:val="22"/>
          <w:szCs w:val="22"/>
          <w:lang w:eastAsia="es-EC" w:bidi="ar-SA"/>
        </w:rPr>
      </w:pPr>
      <w:r w:rsidRPr="00576AF8">
        <w:rPr>
          <w:bCs/>
          <w:iCs/>
          <w:sz w:val="22"/>
          <w:szCs w:val="22"/>
        </w:rPr>
        <w:t>Comunicaciones</w:t>
      </w:r>
      <w:r w:rsidRPr="00576AF8">
        <w:rPr>
          <w:bCs/>
          <w:iCs/>
          <w:sz w:val="22"/>
          <w:szCs w:val="22"/>
          <w:lang w:eastAsia="es-EC" w:bidi="ar-SA"/>
        </w:rPr>
        <w:t xml:space="preserve"> </w:t>
      </w:r>
    </w:p>
    <w:p w14:paraId="59927353" w14:textId="77777777" w:rsidR="009102A7" w:rsidRPr="00576AF8" w:rsidRDefault="009102A7" w:rsidP="009102A7">
      <w:pPr>
        <w:ind w:left="2977" w:hanging="907"/>
        <w:rPr>
          <w:bCs/>
          <w:iCs/>
          <w:sz w:val="22"/>
          <w:szCs w:val="22"/>
          <w:lang w:eastAsia="es-EC" w:bidi="ar-SA"/>
        </w:rPr>
      </w:pPr>
      <w:r w:rsidRPr="00576AF8">
        <w:rPr>
          <w:bCs/>
          <w:iCs/>
          <w:sz w:val="22"/>
          <w:szCs w:val="22"/>
        </w:rPr>
        <w:t>AGC</w:t>
      </w:r>
    </w:p>
    <w:p w14:paraId="625F1C61" w14:textId="77777777" w:rsidR="009102A7" w:rsidRPr="00576AF8" w:rsidRDefault="009102A7" w:rsidP="009102A7">
      <w:pPr>
        <w:ind w:left="2977" w:hanging="907"/>
        <w:rPr>
          <w:bCs/>
          <w:iCs/>
          <w:sz w:val="22"/>
          <w:szCs w:val="22"/>
          <w:lang w:eastAsia="es-EC" w:bidi="ar-SA"/>
        </w:rPr>
      </w:pPr>
      <w:r w:rsidRPr="00576AF8">
        <w:rPr>
          <w:bCs/>
          <w:iCs/>
          <w:sz w:val="22"/>
          <w:szCs w:val="22"/>
        </w:rPr>
        <w:t>Aplicaciones EMS</w:t>
      </w:r>
    </w:p>
    <w:p w14:paraId="75D09E49" w14:textId="77777777" w:rsidR="009102A7" w:rsidRPr="00576AF8" w:rsidRDefault="009102A7" w:rsidP="009102A7">
      <w:pPr>
        <w:ind w:left="2977" w:hanging="907"/>
        <w:rPr>
          <w:bCs/>
          <w:iCs/>
          <w:sz w:val="22"/>
          <w:szCs w:val="22"/>
          <w:lang w:eastAsia="es-EC" w:bidi="ar-SA"/>
        </w:rPr>
      </w:pPr>
      <w:r w:rsidRPr="00576AF8">
        <w:rPr>
          <w:bCs/>
          <w:iCs/>
          <w:sz w:val="22"/>
          <w:szCs w:val="22"/>
        </w:rPr>
        <w:t>Sistema Histórico</w:t>
      </w:r>
    </w:p>
    <w:p w14:paraId="65F89F74" w14:textId="77777777" w:rsidR="009102A7" w:rsidRPr="00576AF8" w:rsidRDefault="009102A7" w:rsidP="009102A7">
      <w:pPr>
        <w:ind w:right="41"/>
        <w:outlineLvl w:val="1"/>
        <w:rPr>
          <w:sz w:val="22"/>
          <w:szCs w:val="22"/>
        </w:rPr>
      </w:pPr>
      <w:bookmarkStart w:id="1433" w:name="_Toc454958745"/>
      <w:bookmarkStart w:id="1434" w:name="_Toc99868873"/>
      <w:bookmarkStart w:id="1435" w:name="_Toc160706951"/>
      <w:bookmarkStart w:id="1436" w:name="_Toc160707541"/>
      <w:bookmarkStart w:id="1437" w:name="_Toc160707798"/>
      <w:r w:rsidRPr="00576AF8">
        <w:rPr>
          <w:sz w:val="22"/>
          <w:szCs w:val="22"/>
        </w:rPr>
        <w:t>5.3</w:t>
      </w:r>
      <w:r w:rsidRPr="00576AF8">
        <w:tab/>
      </w:r>
      <w:r w:rsidRPr="00576AF8">
        <w:rPr>
          <w:b/>
          <w:bCs/>
          <w:sz w:val="22"/>
          <w:szCs w:val="22"/>
        </w:rPr>
        <w:t>Requisitos del equipo técnico del Proveedor</w:t>
      </w:r>
      <w:bookmarkEnd w:id="1433"/>
      <w:bookmarkEnd w:id="1434"/>
      <w:bookmarkEnd w:id="1435"/>
      <w:bookmarkEnd w:id="1436"/>
      <w:bookmarkEnd w:id="1437"/>
    </w:p>
    <w:p w14:paraId="0E0A2007" w14:textId="77777777" w:rsidR="006E4BE0" w:rsidRPr="00576AF8" w:rsidRDefault="009102A7" w:rsidP="008C0D90">
      <w:pPr>
        <w:numPr>
          <w:ilvl w:val="12"/>
          <w:numId w:val="28"/>
        </w:numPr>
        <w:tabs>
          <w:tab w:val="clear" w:pos="360"/>
        </w:tabs>
        <w:suppressAutoHyphens w:val="0"/>
        <w:ind w:left="709" w:hanging="142"/>
        <w:jc w:val="left"/>
        <w:outlineLvl w:val="2"/>
        <w:rPr>
          <w:rStyle w:val="Preparersnotenobold"/>
          <w:i w:val="0"/>
        </w:rPr>
      </w:pPr>
      <w:r w:rsidRPr="00576AF8">
        <w:rPr>
          <w:spacing w:val="-2"/>
          <w:sz w:val="22"/>
          <w:szCs w:val="22"/>
        </w:rPr>
        <w:t>5.3.1</w:t>
      </w:r>
      <w:r w:rsidRPr="00576AF8">
        <w:rPr>
          <w:spacing w:val="-2"/>
          <w:sz w:val="22"/>
          <w:szCs w:val="22"/>
        </w:rPr>
        <w:tab/>
        <w:t xml:space="preserve">El Proveedor DEBERÁ proporcionar un equipo técnico que cumpla con los requisitos </w:t>
      </w:r>
      <w:r w:rsidR="00E46FB0" w:rsidRPr="00576AF8">
        <w:rPr>
          <w:spacing w:val="-2"/>
          <w:sz w:val="22"/>
          <w:szCs w:val="22"/>
        </w:rPr>
        <w:t xml:space="preserve">establecidos en la sección 6.5 de la sección III. </w:t>
      </w:r>
    </w:p>
    <w:p w14:paraId="357B5BD3" w14:textId="77777777" w:rsidR="00A20832" w:rsidRPr="00576AF8" w:rsidRDefault="00A20832" w:rsidP="00420588">
      <w:pPr>
        <w:ind w:right="41"/>
        <w:rPr>
          <w:b/>
          <w:sz w:val="32"/>
          <w:szCs w:val="32"/>
        </w:rPr>
        <w:sectPr w:rsidR="00A20832" w:rsidRPr="00576AF8" w:rsidSect="000968D2">
          <w:headerReference w:type="even" r:id="rId60"/>
          <w:headerReference w:type="default" r:id="rId61"/>
          <w:headerReference w:type="first" r:id="rId62"/>
          <w:pgSz w:w="12240" w:h="15840" w:code="1"/>
          <w:pgMar w:top="1440" w:right="1440" w:bottom="1440" w:left="1440" w:header="720" w:footer="720" w:gutter="0"/>
          <w:cols w:space="720"/>
          <w:titlePg/>
          <w:docGrid w:linePitch="360"/>
        </w:sectPr>
      </w:pPr>
    </w:p>
    <w:p w14:paraId="587E78BB" w14:textId="77777777" w:rsidR="00A20832" w:rsidRPr="00576AF8" w:rsidRDefault="00A20832" w:rsidP="00420588">
      <w:pPr>
        <w:ind w:right="41"/>
        <w:jc w:val="center"/>
        <w:rPr>
          <w:b/>
          <w:sz w:val="36"/>
          <w:szCs w:val="36"/>
        </w:rPr>
      </w:pPr>
      <w:bookmarkStart w:id="1438" w:name="_Toc454641237"/>
      <w:bookmarkStart w:id="1439" w:name="_Toc433161260"/>
      <w:bookmarkStart w:id="1440" w:name="_Toc521498271"/>
      <w:bookmarkStart w:id="1441" w:name="_Toc207771479"/>
      <w:r w:rsidRPr="00576AF8">
        <w:rPr>
          <w:b/>
          <w:sz w:val="36"/>
          <w:szCs w:val="36"/>
        </w:rPr>
        <w:lastRenderedPageBreak/>
        <w:t>Programa de ejecución</w:t>
      </w:r>
      <w:bookmarkEnd w:id="1438"/>
    </w:p>
    <w:p w14:paraId="06EA77ED" w14:textId="77777777" w:rsidR="00A20832" w:rsidRPr="00576AF8" w:rsidRDefault="00A20832" w:rsidP="00420588">
      <w:pPr>
        <w:ind w:right="41"/>
      </w:pPr>
    </w:p>
    <w:p w14:paraId="6C077857" w14:textId="77777777" w:rsidR="00A20832" w:rsidRPr="00576AF8" w:rsidRDefault="00A20832" w:rsidP="00420588">
      <w:pPr>
        <w:pStyle w:val="Ttulo2"/>
        <w:ind w:right="41"/>
        <w:rPr>
          <w:rFonts w:ascii="Times New Roman" w:hAnsi="Times New Roman"/>
        </w:rPr>
      </w:pPr>
      <w:r w:rsidRPr="00576AF8">
        <w:rPr>
          <w:rFonts w:ascii="Times New Roman" w:hAnsi="Times New Roman"/>
        </w:rPr>
        <w:t>Índice: Programa de ejecución</w:t>
      </w:r>
    </w:p>
    <w:p w14:paraId="75A0991D" w14:textId="77777777" w:rsidR="00465DCE" w:rsidRPr="00576AF8" w:rsidRDefault="009C3FBF">
      <w:pPr>
        <w:pStyle w:val="TDC1"/>
        <w:tabs>
          <w:tab w:val="left" w:pos="900"/>
        </w:tabs>
        <w:rPr>
          <w:rFonts w:ascii="Times New Roman" w:eastAsiaTheme="minorEastAsia" w:hAnsi="Times New Roman"/>
          <w:b w:val="0"/>
          <w:noProof/>
          <w:sz w:val="22"/>
          <w:szCs w:val="22"/>
          <w:lang w:eastAsia="zh-CN" w:bidi="ar-SA"/>
        </w:rPr>
      </w:pPr>
      <w:r w:rsidRPr="00576AF8">
        <w:rPr>
          <w:rFonts w:ascii="Times New Roman" w:hAnsi="Times New Roman"/>
        </w:rPr>
        <w:fldChar w:fldCharType="begin"/>
      </w:r>
      <w:r w:rsidRPr="00576AF8">
        <w:rPr>
          <w:rFonts w:ascii="Times New Roman" w:hAnsi="Times New Roman"/>
        </w:rPr>
        <w:instrText xml:space="preserve"> TOC \h \z \t "Head 5b.1;1" </w:instrText>
      </w:r>
      <w:r w:rsidRPr="00576AF8">
        <w:rPr>
          <w:rFonts w:ascii="Times New Roman" w:hAnsi="Times New Roman"/>
        </w:rPr>
        <w:fldChar w:fldCharType="separate"/>
      </w:r>
      <w:hyperlink w:anchor="_Toc488944474" w:history="1">
        <w:r w:rsidR="00465DCE" w:rsidRPr="00576AF8">
          <w:rPr>
            <w:rStyle w:val="Hipervnculo"/>
            <w:rFonts w:ascii="Times New Roman" w:hAnsi="Times New Roman"/>
            <w:noProof/>
          </w:rPr>
          <w:t>A.</w:t>
        </w:r>
        <w:r w:rsidR="00465DCE" w:rsidRPr="00576AF8">
          <w:rPr>
            <w:rFonts w:ascii="Times New Roman" w:eastAsiaTheme="minorEastAsia" w:hAnsi="Times New Roman"/>
            <w:b w:val="0"/>
            <w:noProof/>
            <w:sz w:val="22"/>
            <w:szCs w:val="22"/>
            <w:lang w:eastAsia="zh-CN" w:bidi="ar-SA"/>
          </w:rPr>
          <w:tab/>
        </w:r>
        <w:r w:rsidR="00465DCE" w:rsidRPr="00576AF8">
          <w:rPr>
            <w:rStyle w:val="Hipervnculo"/>
            <w:rFonts w:ascii="Times New Roman" w:hAnsi="Times New Roman"/>
            <w:noProof/>
          </w:rPr>
          <w:t>Cuadro del programa de ejecución</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_Toc488944474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150</w:t>
        </w:r>
        <w:r w:rsidR="00465DCE" w:rsidRPr="00576AF8">
          <w:rPr>
            <w:rFonts w:ascii="Times New Roman" w:hAnsi="Times New Roman"/>
            <w:noProof/>
            <w:webHidden/>
          </w:rPr>
          <w:fldChar w:fldCharType="end"/>
        </w:r>
      </w:hyperlink>
    </w:p>
    <w:p w14:paraId="2D1EE2F3" w14:textId="77777777" w:rsidR="00465DCE" w:rsidRPr="00576AF8" w:rsidRDefault="006334E7">
      <w:pPr>
        <w:pStyle w:val="TDC1"/>
        <w:tabs>
          <w:tab w:val="left" w:pos="900"/>
        </w:tabs>
        <w:rPr>
          <w:rFonts w:ascii="Times New Roman" w:eastAsiaTheme="minorEastAsia" w:hAnsi="Times New Roman"/>
          <w:b w:val="0"/>
          <w:noProof/>
          <w:sz w:val="22"/>
          <w:szCs w:val="22"/>
          <w:lang w:eastAsia="zh-CN" w:bidi="ar-SA"/>
        </w:rPr>
      </w:pPr>
      <w:hyperlink w:anchor="_Toc488944475" w:history="1">
        <w:r w:rsidR="00465DCE" w:rsidRPr="00576AF8">
          <w:rPr>
            <w:rStyle w:val="Hipervnculo"/>
            <w:rFonts w:ascii="Times New Roman" w:hAnsi="Times New Roman"/>
            <w:noProof/>
          </w:rPr>
          <w:t>B.</w:t>
        </w:r>
        <w:r w:rsidR="00465DCE" w:rsidRPr="00576AF8">
          <w:rPr>
            <w:rFonts w:ascii="Times New Roman" w:eastAsiaTheme="minorEastAsia" w:hAnsi="Times New Roman"/>
            <w:b w:val="0"/>
            <w:noProof/>
            <w:sz w:val="22"/>
            <w:szCs w:val="22"/>
            <w:lang w:eastAsia="zh-CN" w:bidi="ar-SA"/>
          </w:rPr>
          <w:tab/>
        </w:r>
        <w:r w:rsidR="00465DCE" w:rsidRPr="00576AF8">
          <w:rPr>
            <w:rStyle w:val="Hipervnculo"/>
            <w:rFonts w:ascii="Times New Roman" w:hAnsi="Times New Roman"/>
            <w:noProof/>
          </w:rPr>
          <w:t>Cuadro(s) de información sobre los sitios del proyecto</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_Toc488944475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151</w:t>
        </w:r>
        <w:r w:rsidR="00465DCE" w:rsidRPr="00576AF8">
          <w:rPr>
            <w:rFonts w:ascii="Times New Roman" w:hAnsi="Times New Roman"/>
            <w:noProof/>
            <w:webHidden/>
          </w:rPr>
          <w:fldChar w:fldCharType="end"/>
        </w:r>
      </w:hyperlink>
    </w:p>
    <w:p w14:paraId="14F55008" w14:textId="77777777" w:rsidR="00465DCE" w:rsidRPr="00576AF8" w:rsidRDefault="006334E7">
      <w:pPr>
        <w:pStyle w:val="TDC1"/>
        <w:tabs>
          <w:tab w:val="left" w:pos="900"/>
        </w:tabs>
        <w:rPr>
          <w:rFonts w:ascii="Times New Roman" w:eastAsiaTheme="minorEastAsia" w:hAnsi="Times New Roman"/>
          <w:b w:val="0"/>
          <w:noProof/>
          <w:sz w:val="22"/>
          <w:szCs w:val="22"/>
          <w:lang w:eastAsia="zh-CN" w:bidi="ar-SA"/>
        </w:rPr>
      </w:pPr>
      <w:hyperlink w:anchor="_Toc488944476" w:history="1">
        <w:r w:rsidR="00465DCE" w:rsidRPr="00576AF8">
          <w:rPr>
            <w:rStyle w:val="Hipervnculo"/>
            <w:rFonts w:ascii="Times New Roman" w:hAnsi="Times New Roman"/>
            <w:noProof/>
          </w:rPr>
          <w:t>C.</w:t>
        </w:r>
        <w:r w:rsidR="00465DCE" w:rsidRPr="00576AF8">
          <w:rPr>
            <w:rFonts w:ascii="Times New Roman" w:eastAsiaTheme="minorEastAsia" w:hAnsi="Times New Roman"/>
            <w:b w:val="0"/>
            <w:noProof/>
            <w:sz w:val="22"/>
            <w:szCs w:val="22"/>
            <w:lang w:eastAsia="zh-CN" w:bidi="ar-SA"/>
          </w:rPr>
          <w:tab/>
        </w:r>
        <w:r w:rsidR="00465DCE" w:rsidRPr="00576AF8">
          <w:rPr>
            <w:rStyle w:val="Hipervnculo"/>
            <w:rFonts w:ascii="Times New Roman" w:hAnsi="Times New Roman"/>
            <w:noProof/>
          </w:rPr>
          <w:t>Cuadro de días feriados y otros no laborables</w:t>
        </w:r>
        <w:r w:rsidR="00465DCE" w:rsidRPr="00576AF8">
          <w:rPr>
            <w:rFonts w:ascii="Times New Roman" w:hAnsi="Times New Roman"/>
            <w:noProof/>
            <w:webHidden/>
          </w:rPr>
          <w:tab/>
        </w:r>
        <w:r w:rsidR="00465DCE" w:rsidRPr="00576AF8">
          <w:rPr>
            <w:rFonts w:ascii="Times New Roman" w:hAnsi="Times New Roman"/>
            <w:noProof/>
            <w:webHidden/>
          </w:rPr>
          <w:fldChar w:fldCharType="begin"/>
        </w:r>
        <w:r w:rsidR="00465DCE" w:rsidRPr="00576AF8">
          <w:rPr>
            <w:rFonts w:ascii="Times New Roman" w:hAnsi="Times New Roman"/>
            <w:noProof/>
            <w:webHidden/>
          </w:rPr>
          <w:instrText xml:space="preserve"> PAGEREF _Toc488944476 \h </w:instrText>
        </w:r>
        <w:r w:rsidR="00465DCE" w:rsidRPr="00576AF8">
          <w:rPr>
            <w:rFonts w:ascii="Times New Roman" w:hAnsi="Times New Roman"/>
            <w:noProof/>
            <w:webHidden/>
          </w:rPr>
        </w:r>
        <w:r w:rsidR="00465DCE" w:rsidRPr="00576AF8">
          <w:rPr>
            <w:rFonts w:ascii="Times New Roman" w:hAnsi="Times New Roman"/>
            <w:noProof/>
            <w:webHidden/>
          </w:rPr>
          <w:fldChar w:fldCharType="separate"/>
        </w:r>
        <w:r w:rsidR="000071E3" w:rsidRPr="00576AF8">
          <w:rPr>
            <w:rFonts w:ascii="Times New Roman" w:hAnsi="Times New Roman"/>
            <w:noProof/>
            <w:webHidden/>
          </w:rPr>
          <w:t>152</w:t>
        </w:r>
        <w:r w:rsidR="00465DCE" w:rsidRPr="00576AF8">
          <w:rPr>
            <w:rFonts w:ascii="Times New Roman" w:hAnsi="Times New Roman"/>
            <w:noProof/>
            <w:webHidden/>
          </w:rPr>
          <w:fldChar w:fldCharType="end"/>
        </w:r>
      </w:hyperlink>
    </w:p>
    <w:p w14:paraId="220C0EE3" w14:textId="77777777" w:rsidR="00A20832" w:rsidRPr="00576AF8" w:rsidRDefault="009C3FBF" w:rsidP="00E00078">
      <w:pPr>
        <w:pStyle w:val="TDC2"/>
        <w:rPr>
          <w:szCs w:val="24"/>
        </w:rPr>
      </w:pPr>
      <w:r w:rsidRPr="00576AF8">
        <w:fldChar w:fldCharType="end"/>
      </w:r>
      <w:r w:rsidR="00F772EC" w:rsidRPr="00576AF8">
        <w:fldChar w:fldCharType="begin"/>
      </w:r>
      <w:r w:rsidR="00A20832" w:rsidRPr="00576AF8">
        <w:instrText xml:space="preserve"> TOC \h \z \t "Head 5a.1,1,Head 5a.2,2" </w:instrText>
      </w:r>
      <w:r w:rsidR="00F772EC" w:rsidRPr="00576AF8">
        <w:fldChar w:fldCharType="separate"/>
      </w:r>
    </w:p>
    <w:p w14:paraId="43A3D4FC" w14:textId="77777777" w:rsidR="00A20832" w:rsidRPr="00576AF8" w:rsidRDefault="00F772EC" w:rsidP="00A20832">
      <w:pPr>
        <w:rPr>
          <w:sz w:val="32"/>
        </w:rPr>
        <w:sectPr w:rsidR="00A20832" w:rsidRPr="00576AF8" w:rsidSect="000968D2">
          <w:headerReference w:type="first" r:id="rId63"/>
          <w:footnotePr>
            <w:numRestart w:val="eachPage"/>
          </w:footnotePr>
          <w:endnotePr>
            <w:numRestart w:val="eachSect"/>
          </w:endnotePr>
          <w:pgSz w:w="12240" w:h="15840" w:code="1"/>
          <w:pgMar w:top="1440" w:right="1440" w:bottom="1440" w:left="1440" w:header="720" w:footer="431" w:gutter="0"/>
          <w:cols w:space="720"/>
          <w:formProt w:val="0"/>
        </w:sectPr>
      </w:pPr>
      <w:r w:rsidRPr="00576AF8">
        <w:rPr>
          <w:b/>
        </w:rPr>
        <w:fldChar w:fldCharType="end"/>
      </w:r>
    </w:p>
    <w:p w14:paraId="7F2E9C10" w14:textId="77777777" w:rsidR="00A20832" w:rsidRPr="00576AF8" w:rsidRDefault="00A20832" w:rsidP="008C0D90">
      <w:pPr>
        <w:pStyle w:val="Ttulo2"/>
        <w:ind w:right="41"/>
        <w:rPr>
          <w:rFonts w:ascii="Times New Roman" w:hAnsi="Times New Roman"/>
        </w:rPr>
      </w:pPr>
      <w:bookmarkStart w:id="1442" w:name="_Toc483815388"/>
      <w:bookmarkStart w:id="1443" w:name="_Toc488944474"/>
      <w:r w:rsidRPr="00576AF8">
        <w:rPr>
          <w:rFonts w:ascii="Times New Roman" w:hAnsi="Times New Roman"/>
        </w:rPr>
        <w:lastRenderedPageBreak/>
        <w:t>A.</w:t>
      </w:r>
      <w:r w:rsidRPr="00576AF8">
        <w:rPr>
          <w:rFonts w:ascii="Times New Roman" w:hAnsi="Times New Roman"/>
        </w:rPr>
        <w:tab/>
        <w:t>Cuadro del programa de ejecución</w:t>
      </w:r>
      <w:bookmarkEnd w:id="1439"/>
      <w:bookmarkEnd w:id="1440"/>
      <w:bookmarkEnd w:id="1441"/>
      <w:bookmarkEnd w:id="1442"/>
      <w:bookmarkEnd w:id="1443"/>
    </w:p>
    <w:p w14:paraId="3A260DD2" w14:textId="77777777" w:rsidR="00E241E6" w:rsidRPr="00576AF8" w:rsidRDefault="00E241E6" w:rsidP="004F5C4C">
      <w:pPr>
        <w:tabs>
          <w:tab w:val="left" w:pos="9900"/>
        </w:tabs>
        <w:spacing w:before="240"/>
        <w:ind w:left="1260" w:hanging="1260"/>
        <w:rPr>
          <w:b/>
          <w:sz w:val="22"/>
        </w:rPr>
      </w:pPr>
    </w:p>
    <w:tbl>
      <w:tblPr>
        <w:tblW w:w="0" w:type="auto"/>
        <w:tblLayout w:type="fixed"/>
        <w:tblCellMar>
          <w:left w:w="70" w:type="dxa"/>
          <w:right w:w="70" w:type="dxa"/>
        </w:tblCellMar>
        <w:tblLook w:val="04A0" w:firstRow="1" w:lastRow="0" w:firstColumn="1" w:lastColumn="0" w:noHBand="0" w:noVBand="1"/>
      </w:tblPr>
      <w:tblGrid>
        <w:gridCol w:w="650"/>
        <w:gridCol w:w="1862"/>
        <w:gridCol w:w="1411"/>
        <w:gridCol w:w="1601"/>
        <w:gridCol w:w="1800"/>
        <w:gridCol w:w="1341"/>
        <w:gridCol w:w="1377"/>
        <w:gridCol w:w="1638"/>
        <w:gridCol w:w="1270"/>
      </w:tblGrid>
      <w:tr w:rsidR="00E241E6" w:rsidRPr="00576AF8" w14:paraId="3BD5D1AC" w14:textId="77777777" w:rsidTr="009F6B78">
        <w:trPr>
          <w:trHeight w:val="1056"/>
        </w:trPr>
        <w:tc>
          <w:tcPr>
            <w:tcW w:w="650" w:type="dxa"/>
            <w:tcBorders>
              <w:top w:val="single" w:sz="4" w:space="0" w:color="auto"/>
              <w:left w:val="single" w:sz="4" w:space="0" w:color="auto"/>
              <w:bottom w:val="single" w:sz="4" w:space="0" w:color="auto"/>
              <w:right w:val="single" w:sz="4" w:space="0" w:color="auto"/>
            </w:tcBorders>
            <w:shd w:val="clear" w:color="auto" w:fill="auto"/>
            <w:hideMark/>
          </w:tcPr>
          <w:p w14:paraId="60ECFC71"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t>N.</w:t>
            </w:r>
            <w:r w:rsidRPr="00576AF8">
              <w:rPr>
                <w:b/>
                <w:bCs/>
                <w:sz w:val="20"/>
                <w:vertAlign w:val="superscript"/>
              </w:rPr>
              <w:t>o</w:t>
            </w:r>
            <w:r w:rsidRPr="00576AF8">
              <w:rPr>
                <w:b/>
                <w:bCs/>
                <w:sz w:val="20"/>
              </w:rPr>
              <w:t xml:space="preserve"> de rubro</w:t>
            </w:r>
            <w:r w:rsidRPr="00576AF8">
              <w:rPr>
                <w:b/>
                <w:bCs/>
                <w:sz w:val="20"/>
                <w:vertAlign w:val="superscript"/>
              </w:rPr>
              <w:t xml:space="preserve"> </w:t>
            </w:r>
          </w:p>
        </w:tc>
        <w:tc>
          <w:tcPr>
            <w:tcW w:w="1862" w:type="dxa"/>
            <w:tcBorders>
              <w:top w:val="single" w:sz="4" w:space="0" w:color="auto"/>
              <w:left w:val="nil"/>
              <w:bottom w:val="single" w:sz="4" w:space="0" w:color="auto"/>
              <w:right w:val="single" w:sz="4" w:space="0" w:color="auto"/>
            </w:tcBorders>
            <w:shd w:val="clear" w:color="auto" w:fill="auto"/>
            <w:hideMark/>
          </w:tcPr>
          <w:p w14:paraId="7E9D5C01"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br/>
            </w:r>
            <w:r w:rsidRPr="00576AF8">
              <w:rPr>
                <w:b/>
                <w:bCs/>
                <w:sz w:val="20"/>
              </w:rPr>
              <w:br/>
              <w:t>Subsistema/rubro</w:t>
            </w:r>
          </w:p>
        </w:tc>
        <w:tc>
          <w:tcPr>
            <w:tcW w:w="1411" w:type="dxa"/>
            <w:tcBorders>
              <w:top w:val="single" w:sz="4" w:space="0" w:color="auto"/>
              <w:left w:val="nil"/>
              <w:bottom w:val="single" w:sz="4" w:space="0" w:color="auto"/>
              <w:right w:val="single" w:sz="4" w:space="0" w:color="auto"/>
            </w:tcBorders>
            <w:shd w:val="clear" w:color="auto" w:fill="auto"/>
            <w:hideMark/>
          </w:tcPr>
          <w:p w14:paraId="75DF9436"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br/>
              <w:t xml:space="preserve">N.º del </w:t>
            </w:r>
            <w:r w:rsidRPr="00576AF8">
              <w:rPr>
                <w:b/>
                <w:bCs/>
                <w:sz w:val="20"/>
              </w:rPr>
              <w:br/>
              <w:t xml:space="preserve">cuadro de configuración </w:t>
            </w:r>
          </w:p>
        </w:tc>
        <w:tc>
          <w:tcPr>
            <w:tcW w:w="1601" w:type="dxa"/>
            <w:tcBorders>
              <w:top w:val="single" w:sz="4" w:space="0" w:color="auto"/>
              <w:left w:val="nil"/>
              <w:bottom w:val="single" w:sz="4" w:space="0" w:color="auto"/>
              <w:right w:val="single" w:sz="4" w:space="0" w:color="auto"/>
            </w:tcBorders>
            <w:shd w:val="clear" w:color="auto" w:fill="auto"/>
            <w:hideMark/>
          </w:tcPr>
          <w:p w14:paraId="1D45D394"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br/>
              <w:t>Lugar/</w:t>
            </w:r>
            <w:r w:rsidRPr="00576AF8">
              <w:rPr>
                <w:b/>
                <w:bCs/>
                <w:sz w:val="20"/>
              </w:rPr>
              <w:br/>
              <w:t xml:space="preserve">código </w:t>
            </w:r>
            <w:r w:rsidRPr="00576AF8">
              <w:rPr>
                <w:b/>
                <w:bCs/>
                <w:sz w:val="20"/>
              </w:rPr>
              <w:br/>
              <w:t>del lugar</w:t>
            </w:r>
          </w:p>
        </w:tc>
        <w:tc>
          <w:tcPr>
            <w:tcW w:w="1800" w:type="dxa"/>
            <w:tcBorders>
              <w:top w:val="single" w:sz="4" w:space="0" w:color="auto"/>
              <w:left w:val="nil"/>
              <w:bottom w:val="single" w:sz="4" w:space="0" w:color="auto"/>
              <w:right w:val="single" w:sz="4" w:space="0" w:color="auto"/>
            </w:tcBorders>
            <w:shd w:val="clear" w:color="auto" w:fill="auto"/>
            <w:hideMark/>
          </w:tcPr>
          <w:p w14:paraId="1AD2A744"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t>Entrega (El licitante deberá especificar el plan preliminar del Proyecto)</w:t>
            </w:r>
          </w:p>
        </w:tc>
        <w:tc>
          <w:tcPr>
            <w:tcW w:w="1341" w:type="dxa"/>
            <w:tcBorders>
              <w:top w:val="single" w:sz="4" w:space="0" w:color="auto"/>
              <w:left w:val="nil"/>
              <w:bottom w:val="single" w:sz="4" w:space="0" w:color="auto"/>
              <w:right w:val="single" w:sz="4" w:space="0" w:color="auto"/>
            </w:tcBorders>
            <w:shd w:val="clear" w:color="auto" w:fill="auto"/>
            <w:hideMark/>
          </w:tcPr>
          <w:p w14:paraId="1E678EA8"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t>Instalación (semanas a partir de la fecha de entrada en vigor)</w:t>
            </w:r>
          </w:p>
        </w:tc>
        <w:tc>
          <w:tcPr>
            <w:tcW w:w="1377" w:type="dxa"/>
            <w:tcBorders>
              <w:top w:val="single" w:sz="4" w:space="0" w:color="auto"/>
              <w:left w:val="nil"/>
              <w:bottom w:val="single" w:sz="4" w:space="0" w:color="auto"/>
              <w:right w:val="single" w:sz="4" w:space="0" w:color="auto"/>
            </w:tcBorders>
            <w:shd w:val="clear" w:color="auto" w:fill="auto"/>
            <w:hideMark/>
          </w:tcPr>
          <w:p w14:paraId="05D88A4B"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t>Aceptación (semanas a partir de la fecha de entrada en vigor)</w:t>
            </w:r>
          </w:p>
        </w:tc>
        <w:tc>
          <w:tcPr>
            <w:tcW w:w="1638" w:type="dxa"/>
            <w:tcBorders>
              <w:top w:val="single" w:sz="4" w:space="0" w:color="auto"/>
              <w:left w:val="nil"/>
              <w:bottom w:val="single" w:sz="4" w:space="0" w:color="auto"/>
              <w:right w:val="single" w:sz="4" w:space="0" w:color="auto"/>
            </w:tcBorders>
            <w:shd w:val="clear" w:color="auto" w:fill="auto"/>
            <w:hideMark/>
          </w:tcPr>
          <w:p w14:paraId="5F3E08C1"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t>Etapa fijada para la indemnización por daños y perjuicios</w:t>
            </w:r>
          </w:p>
        </w:tc>
        <w:tc>
          <w:tcPr>
            <w:tcW w:w="1270" w:type="dxa"/>
            <w:tcBorders>
              <w:top w:val="single" w:sz="4" w:space="0" w:color="auto"/>
              <w:left w:val="nil"/>
              <w:bottom w:val="single" w:sz="4" w:space="0" w:color="auto"/>
              <w:right w:val="single" w:sz="4" w:space="0" w:color="auto"/>
            </w:tcBorders>
            <w:shd w:val="clear" w:color="auto" w:fill="auto"/>
            <w:hideMark/>
          </w:tcPr>
          <w:p w14:paraId="69E2C614" w14:textId="77777777" w:rsidR="00E241E6" w:rsidRPr="00576AF8" w:rsidRDefault="00E241E6" w:rsidP="009F6B78">
            <w:pPr>
              <w:suppressAutoHyphens w:val="0"/>
              <w:spacing w:after="0"/>
              <w:jc w:val="center"/>
              <w:rPr>
                <w:b/>
                <w:bCs/>
                <w:color w:val="000000"/>
                <w:sz w:val="20"/>
                <w:lang w:val="es-EC" w:eastAsia="es-EC" w:bidi="ar-SA"/>
              </w:rPr>
            </w:pPr>
            <w:r w:rsidRPr="00576AF8">
              <w:rPr>
                <w:b/>
                <w:bCs/>
                <w:sz w:val="20"/>
              </w:rPr>
              <w:t>Actividades Post-Instalación</w:t>
            </w:r>
          </w:p>
        </w:tc>
      </w:tr>
      <w:tr w:rsidR="00E241E6" w:rsidRPr="00576AF8" w14:paraId="6AB83BCD"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4D97640"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w:t>
            </w:r>
          </w:p>
        </w:tc>
        <w:tc>
          <w:tcPr>
            <w:tcW w:w="1862" w:type="dxa"/>
            <w:tcBorders>
              <w:top w:val="nil"/>
              <w:left w:val="nil"/>
              <w:bottom w:val="single" w:sz="4" w:space="0" w:color="auto"/>
              <w:right w:val="single" w:sz="4" w:space="0" w:color="auto"/>
            </w:tcBorders>
            <w:shd w:val="clear" w:color="auto" w:fill="auto"/>
            <w:vAlign w:val="center"/>
            <w:hideMark/>
          </w:tcPr>
          <w:p w14:paraId="759A22A7"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Planificación del Proyecto</w:t>
            </w:r>
          </w:p>
        </w:tc>
        <w:tc>
          <w:tcPr>
            <w:tcW w:w="1411" w:type="dxa"/>
            <w:tcBorders>
              <w:top w:val="nil"/>
              <w:left w:val="nil"/>
              <w:bottom w:val="single" w:sz="4" w:space="0" w:color="auto"/>
              <w:right w:val="single" w:sz="4" w:space="0" w:color="auto"/>
            </w:tcBorders>
            <w:shd w:val="clear" w:color="auto" w:fill="auto"/>
            <w:noWrap/>
            <w:vAlign w:val="bottom"/>
            <w:hideMark/>
          </w:tcPr>
          <w:p w14:paraId="353063B8"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1C6E57D9"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CEN/PR</w:t>
            </w:r>
          </w:p>
        </w:tc>
        <w:tc>
          <w:tcPr>
            <w:tcW w:w="1800" w:type="dxa"/>
            <w:tcBorders>
              <w:top w:val="nil"/>
              <w:left w:val="nil"/>
              <w:bottom w:val="single" w:sz="4" w:space="0" w:color="auto"/>
              <w:right w:val="single" w:sz="4" w:space="0" w:color="auto"/>
            </w:tcBorders>
            <w:shd w:val="clear" w:color="auto" w:fill="auto"/>
            <w:vAlign w:val="center"/>
            <w:hideMark/>
          </w:tcPr>
          <w:p w14:paraId="502CD6AE"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6334A98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765965F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2 sem</w:t>
            </w:r>
          </w:p>
        </w:tc>
        <w:tc>
          <w:tcPr>
            <w:tcW w:w="1638" w:type="dxa"/>
            <w:tcBorders>
              <w:top w:val="nil"/>
              <w:left w:val="nil"/>
              <w:bottom w:val="single" w:sz="4" w:space="0" w:color="auto"/>
              <w:right w:val="single" w:sz="4" w:space="0" w:color="auto"/>
            </w:tcBorders>
            <w:shd w:val="clear" w:color="auto" w:fill="auto"/>
            <w:hideMark/>
          </w:tcPr>
          <w:p w14:paraId="5EAA2D4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419776E0"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635E7172"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8DB0BC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2</w:t>
            </w:r>
          </w:p>
        </w:tc>
        <w:tc>
          <w:tcPr>
            <w:tcW w:w="1862" w:type="dxa"/>
            <w:tcBorders>
              <w:top w:val="nil"/>
              <w:left w:val="nil"/>
              <w:bottom w:val="single" w:sz="4" w:space="0" w:color="auto"/>
              <w:right w:val="single" w:sz="4" w:space="0" w:color="auto"/>
            </w:tcBorders>
            <w:shd w:val="clear" w:color="auto" w:fill="auto"/>
            <w:vAlign w:val="center"/>
            <w:hideMark/>
          </w:tcPr>
          <w:p w14:paraId="466099A1"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Revisión de Ingeniería</w:t>
            </w:r>
          </w:p>
        </w:tc>
        <w:tc>
          <w:tcPr>
            <w:tcW w:w="1411" w:type="dxa"/>
            <w:tcBorders>
              <w:top w:val="nil"/>
              <w:left w:val="nil"/>
              <w:bottom w:val="single" w:sz="4" w:space="0" w:color="auto"/>
              <w:right w:val="single" w:sz="4" w:space="0" w:color="auto"/>
            </w:tcBorders>
            <w:shd w:val="clear" w:color="auto" w:fill="auto"/>
            <w:noWrap/>
            <w:vAlign w:val="bottom"/>
            <w:hideMark/>
          </w:tcPr>
          <w:p w14:paraId="02F28D62"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2E269E8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CEN/PR</w:t>
            </w:r>
          </w:p>
        </w:tc>
        <w:tc>
          <w:tcPr>
            <w:tcW w:w="1800" w:type="dxa"/>
            <w:tcBorders>
              <w:top w:val="nil"/>
              <w:left w:val="nil"/>
              <w:bottom w:val="single" w:sz="4" w:space="0" w:color="auto"/>
              <w:right w:val="single" w:sz="4" w:space="0" w:color="auto"/>
            </w:tcBorders>
            <w:shd w:val="clear" w:color="auto" w:fill="auto"/>
            <w:vAlign w:val="center"/>
            <w:hideMark/>
          </w:tcPr>
          <w:p w14:paraId="1A9D58A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215F99F9"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6BA2B6FA" w14:textId="77777777" w:rsidR="00E241E6" w:rsidRPr="00576AF8" w:rsidRDefault="00E241E6" w:rsidP="003941E7">
            <w:pPr>
              <w:suppressAutoHyphens w:val="0"/>
              <w:spacing w:after="0"/>
              <w:jc w:val="center"/>
              <w:rPr>
                <w:color w:val="000000"/>
                <w:sz w:val="20"/>
                <w:lang w:val="es-EC" w:eastAsia="es-EC" w:bidi="ar-SA"/>
              </w:rPr>
            </w:pPr>
            <w:r w:rsidRPr="00576AF8">
              <w:rPr>
                <w:color w:val="000000"/>
                <w:sz w:val="20"/>
                <w:lang w:val="es-EC" w:eastAsia="es-EC" w:bidi="ar-SA"/>
              </w:rPr>
              <w:t> </w:t>
            </w:r>
            <w:r w:rsidR="003941E7" w:rsidRPr="00576AF8">
              <w:rPr>
                <w:color w:val="000000"/>
                <w:sz w:val="20"/>
                <w:lang w:val="es-EC" w:eastAsia="es-EC" w:bidi="ar-SA"/>
              </w:rPr>
              <w:t xml:space="preserve">8 </w:t>
            </w:r>
            <w:r w:rsidRPr="00576AF8">
              <w:rPr>
                <w:color w:val="000000"/>
                <w:sz w:val="20"/>
                <w:lang w:val="es-EC" w:eastAsia="es-EC" w:bidi="ar-SA"/>
              </w:rPr>
              <w:t>sem</w:t>
            </w:r>
          </w:p>
        </w:tc>
        <w:tc>
          <w:tcPr>
            <w:tcW w:w="1638" w:type="dxa"/>
            <w:tcBorders>
              <w:top w:val="nil"/>
              <w:left w:val="nil"/>
              <w:bottom w:val="single" w:sz="4" w:space="0" w:color="auto"/>
              <w:right w:val="single" w:sz="4" w:space="0" w:color="auto"/>
            </w:tcBorders>
            <w:shd w:val="clear" w:color="auto" w:fill="auto"/>
            <w:hideMark/>
          </w:tcPr>
          <w:p w14:paraId="5C5286A3"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6503F1C1"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2EE9DD4F" w14:textId="77777777" w:rsidTr="009F6B78">
        <w:trPr>
          <w:trHeight w:val="792"/>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93317A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3</w:t>
            </w:r>
          </w:p>
        </w:tc>
        <w:tc>
          <w:tcPr>
            <w:tcW w:w="1862" w:type="dxa"/>
            <w:tcBorders>
              <w:top w:val="nil"/>
              <w:left w:val="nil"/>
              <w:bottom w:val="single" w:sz="4" w:space="0" w:color="auto"/>
              <w:right w:val="single" w:sz="4" w:space="0" w:color="auto"/>
            </w:tcBorders>
            <w:shd w:val="clear" w:color="auto" w:fill="auto"/>
            <w:vAlign w:val="center"/>
            <w:hideMark/>
          </w:tcPr>
          <w:p w14:paraId="78202BF3"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Adquisición de Hardware y Software e Instalación en Fábrica</w:t>
            </w:r>
          </w:p>
        </w:tc>
        <w:tc>
          <w:tcPr>
            <w:tcW w:w="1411" w:type="dxa"/>
            <w:tcBorders>
              <w:top w:val="nil"/>
              <w:left w:val="nil"/>
              <w:bottom w:val="single" w:sz="4" w:space="0" w:color="auto"/>
              <w:right w:val="single" w:sz="4" w:space="0" w:color="auto"/>
            </w:tcBorders>
            <w:shd w:val="clear" w:color="auto" w:fill="auto"/>
            <w:noWrap/>
            <w:vAlign w:val="bottom"/>
            <w:hideMark/>
          </w:tcPr>
          <w:p w14:paraId="0542FCE5"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75EC9B27"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1800" w:type="dxa"/>
            <w:tcBorders>
              <w:top w:val="nil"/>
              <w:left w:val="nil"/>
              <w:bottom w:val="single" w:sz="4" w:space="0" w:color="auto"/>
              <w:right w:val="single" w:sz="4" w:space="0" w:color="auto"/>
            </w:tcBorders>
            <w:shd w:val="clear" w:color="auto" w:fill="auto"/>
            <w:vAlign w:val="center"/>
            <w:hideMark/>
          </w:tcPr>
          <w:p w14:paraId="11092FB1"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28774AF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03844313" w14:textId="77777777" w:rsidR="00E241E6" w:rsidRPr="00576AF8" w:rsidRDefault="003941E7"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38 </w:t>
            </w:r>
            <w:r w:rsidR="00E241E6" w:rsidRPr="00576AF8">
              <w:rPr>
                <w:color w:val="000000"/>
                <w:sz w:val="20"/>
                <w:lang w:val="es-EC" w:eastAsia="es-EC" w:bidi="ar-SA"/>
              </w:rPr>
              <w:t>sem</w:t>
            </w:r>
          </w:p>
        </w:tc>
        <w:tc>
          <w:tcPr>
            <w:tcW w:w="1638" w:type="dxa"/>
            <w:tcBorders>
              <w:top w:val="nil"/>
              <w:left w:val="nil"/>
              <w:bottom w:val="single" w:sz="4" w:space="0" w:color="auto"/>
              <w:right w:val="single" w:sz="4" w:space="0" w:color="auto"/>
            </w:tcBorders>
            <w:shd w:val="clear" w:color="auto" w:fill="auto"/>
            <w:hideMark/>
          </w:tcPr>
          <w:p w14:paraId="040DD2BF"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215AAE9F"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7A339E7B"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CDBE77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4</w:t>
            </w:r>
          </w:p>
        </w:tc>
        <w:tc>
          <w:tcPr>
            <w:tcW w:w="1862" w:type="dxa"/>
            <w:tcBorders>
              <w:top w:val="nil"/>
              <w:left w:val="nil"/>
              <w:bottom w:val="single" w:sz="4" w:space="0" w:color="auto"/>
              <w:right w:val="single" w:sz="4" w:space="0" w:color="auto"/>
            </w:tcBorders>
            <w:shd w:val="clear" w:color="auto" w:fill="auto"/>
            <w:vAlign w:val="center"/>
            <w:hideMark/>
          </w:tcPr>
          <w:p w14:paraId="7B4C33F8"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Integración Básica de Fábrica de Hardware y Software</w:t>
            </w:r>
          </w:p>
        </w:tc>
        <w:tc>
          <w:tcPr>
            <w:tcW w:w="1411" w:type="dxa"/>
            <w:tcBorders>
              <w:top w:val="nil"/>
              <w:left w:val="nil"/>
              <w:bottom w:val="single" w:sz="4" w:space="0" w:color="auto"/>
              <w:right w:val="single" w:sz="4" w:space="0" w:color="auto"/>
            </w:tcBorders>
            <w:shd w:val="clear" w:color="auto" w:fill="auto"/>
            <w:noWrap/>
            <w:vAlign w:val="bottom"/>
            <w:hideMark/>
          </w:tcPr>
          <w:p w14:paraId="3572AC94"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0B536A6F"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1800" w:type="dxa"/>
            <w:tcBorders>
              <w:top w:val="nil"/>
              <w:left w:val="nil"/>
              <w:bottom w:val="single" w:sz="4" w:space="0" w:color="auto"/>
              <w:right w:val="single" w:sz="4" w:space="0" w:color="auto"/>
            </w:tcBorders>
            <w:shd w:val="clear" w:color="auto" w:fill="auto"/>
            <w:vAlign w:val="center"/>
            <w:hideMark/>
          </w:tcPr>
          <w:p w14:paraId="1A26CE70"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5DCA554F"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3637A180" w14:textId="77777777" w:rsidR="00E241E6" w:rsidRPr="00576AF8" w:rsidRDefault="003941E7" w:rsidP="009F6B78">
            <w:pPr>
              <w:suppressAutoHyphens w:val="0"/>
              <w:spacing w:after="0"/>
              <w:jc w:val="center"/>
              <w:rPr>
                <w:color w:val="000000"/>
                <w:sz w:val="20"/>
                <w:lang w:val="es-EC" w:eastAsia="es-EC" w:bidi="ar-SA"/>
              </w:rPr>
            </w:pPr>
            <w:r w:rsidRPr="00576AF8">
              <w:rPr>
                <w:color w:val="000000"/>
                <w:sz w:val="20"/>
                <w:lang w:val="es-EC" w:eastAsia="es-EC" w:bidi="ar-SA"/>
              </w:rPr>
              <w:t>42</w:t>
            </w:r>
            <w:r w:rsidR="00E241E6" w:rsidRPr="00576AF8">
              <w:rPr>
                <w:color w:val="000000"/>
                <w:sz w:val="20"/>
                <w:lang w:val="es-EC" w:eastAsia="es-EC" w:bidi="ar-SA"/>
              </w:rPr>
              <w:t xml:space="preserve"> sem</w:t>
            </w:r>
          </w:p>
        </w:tc>
        <w:tc>
          <w:tcPr>
            <w:tcW w:w="1638" w:type="dxa"/>
            <w:tcBorders>
              <w:top w:val="nil"/>
              <w:left w:val="nil"/>
              <w:bottom w:val="single" w:sz="4" w:space="0" w:color="auto"/>
              <w:right w:val="single" w:sz="4" w:space="0" w:color="auto"/>
            </w:tcBorders>
            <w:shd w:val="clear" w:color="auto" w:fill="auto"/>
            <w:hideMark/>
          </w:tcPr>
          <w:p w14:paraId="0F3B7143"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7674CEEF"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77E18147"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953D809"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5</w:t>
            </w:r>
          </w:p>
        </w:tc>
        <w:tc>
          <w:tcPr>
            <w:tcW w:w="1862" w:type="dxa"/>
            <w:tcBorders>
              <w:top w:val="nil"/>
              <w:left w:val="nil"/>
              <w:bottom w:val="single" w:sz="4" w:space="0" w:color="auto"/>
              <w:right w:val="single" w:sz="4" w:space="0" w:color="auto"/>
            </w:tcBorders>
            <w:shd w:val="clear" w:color="auto" w:fill="auto"/>
            <w:vAlign w:val="center"/>
            <w:hideMark/>
          </w:tcPr>
          <w:p w14:paraId="109394C8"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Conversión de Base de Datos y Visualización</w:t>
            </w:r>
          </w:p>
        </w:tc>
        <w:tc>
          <w:tcPr>
            <w:tcW w:w="1411" w:type="dxa"/>
            <w:tcBorders>
              <w:top w:val="nil"/>
              <w:left w:val="nil"/>
              <w:bottom w:val="single" w:sz="4" w:space="0" w:color="auto"/>
              <w:right w:val="single" w:sz="4" w:space="0" w:color="auto"/>
            </w:tcBorders>
            <w:shd w:val="clear" w:color="auto" w:fill="auto"/>
            <w:noWrap/>
            <w:vAlign w:val="bottom"/>
            <w:hideMark/>
          </w:tcPr>
          <w:p w14:paraId="08BF8963"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37064E71"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1800" w:type="dxa"/>
            <w:tcBorders>
              <w:top w:val="nil"/>
              <w:left w:val="nil"/>
              <w:bottom w:val="single" w:sz="4" w:space="0" w:color="auto"/>
              <w:right w:val="single" w:sz="4" w:space="0" w:color="auto"/>
            </w:tcBorders>
            <w:shd w:val="clear" w:color="auto" w:fill="auto"/>
            <w:vAlign w:val="center"/>
            <w:hideMark/>
          </w:tcPr>
          <w:p w14:paraId="07FC16B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6D00909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49B80BCF" w14:textId="77777777" w:rsidR="00E241E6" w:rsidRPr="00576AF8" w:rsidRDefault="003941E7"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34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34A9CFF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719B8F9D"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5F749593"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1297BC1"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6</w:t>
            </w:r>
          </w:p>
        </w:tc>
        <w:tc>
          <w:tcPr>
            <w:tcW w:w="1862" w:type="dxa"/>
            <w:tcBorders>
              <w:top w:val="nil"/>
              <w:left w:val="nil"/>
              <w:bottom w:val="single" w:sz="4" w:space="0" w:color="auto"/>
              <w:right w:val="single" w:sz="4" w:space="0" w:color="auto"/>
            </w:tcBorders>
            <w:shd w:val="clear" w:color="auto" w:fill="auto"/>
            <w:vAlign w:val="center"/>
            <w:hideMark/>
          </w:tcPr>
          <w:p w14:paraId="4F7D5170"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Desarrollo e Integración de Software</w:t>
            </w:r>
          </w:p>
        </w:tc>
        <w:tc>
          <w:tcPr>
            <w:tcW w:w="1411" w:type="dxa"/>
            <w:tcBorders>
              <w:top w:val="nil"/>
              <w:left w:val="nil"/>
              <w:bottom w:val="single" w:sz="4" w:space="0" w:color="auto"/>
              <w:right w:val="single" w:sz="4" w:space="0" w:color="auto"/>
            </w:tcBorders>
            <w:shd w:val="clear" w:color="auto" w:fill="auto"/>
            <w:noWrap/>
            <w:vAlign w:val="bottom"/>
            <w:hideMark/>
          </w:tcPr>
          <w:p w14:paraId="15AA039E"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36597447"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1800" w:type="dxa"/>
            <w:tcBorders>
              <w:top w:val="nil"/>
              <w:left w:val="nil"/>
              <w:bottom w:val="single" w:sz="4" w:space="0" w:color="auto"/>
              <w:right w:val="single" w:sz="4" w:space="0" w:color="auto"/>
            </w:tcBorders>
            <w:shd w:val="clear" w:color="auto" w:fill="auto"/>
            <w:vAlign w:val="center"/>
            <w:hideMark/>
          </w:tcPr>
          <w:p w14:paraId="20CEA442"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32803100"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7AE4893D" w14:textId="77777777" w:rsidR="00E241E6" w:rsidRPr="00576AF8" w:rsidRDefault="00E241E6" w:rsidP="003941E7">
            <w:pPr>
              <w:suppressAutoHyphens w:val="0"/>
              <w:spacing w:after="0"/>
              <w:jc w:val="center"/>
              <w:rPr>
                <w:color w:val="000000"/>
                <w:sz w:val="20"/>
                <w:lang w:val="es-EC" w:eastAsia="es-EC" w:bidi="ar-SA"/>
              </w:rPr>
            </w:pPr>
            <w:r w:rsidRPr="00576AF8">
              <w:rPr>
                <w:color w:val="000000"/>
                <w:sz w:val="20"/>
                <w:lang w:val="es-EC" w:eastAsia="es-EC" w:bidi="ar-SA"/>
              </w:rPr>
              <w:t> </w:t>
            </w:r>
            <w:r w:rsidR="003941E7" w:rsidRPr="00576AF8">
              <w:rPr>
                <w:color w:val="000000"/>
                <w:sz w:val="20"/>
                <w:lang w:val="es-EC" w:eastAsia="es-EC" w:bidi="ar-SA"/>
              </w:rPr>
              <w:t xml:space="preserve">40 </w:t>
            </w:r>
            <w:r w:rsidRPr="00576AF8">
              <w:rPr>
                <w:color w:val="000000"/>
                <w:sz w:val="20"/>
                <w:lang w:val="es-EC" w:eastAsia="es-EC" w:bidi="ar-SA"/>
              </w:rPr>
              <w:t xml:space="preserve">sem </w:t>
            </w:r>
          </w:p>
        </w:tc>
        <w:tc>
          <w:tcPr>
            <w:tcW w:w="1638" w:type="dxa"/>
            <w:tcBorders>
              <w:top w:val="nil"/>
              <w:left w:val="nil"/>
              <w:bottom w:val="single" w:sz="4" w:space="0" w:color="auto"/>
              <w:right w:val="single" w:sz="4" w:space="0" w:color="auto"/>
            </w:tcBorders>
            <w:shd w:val="clear" w:color="auto" w:fill="auto"/>
            <w:hideMark/>
          </w:tcPr>
          <w:p w14:paraId="2C71EADD"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294BE3F2"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25745424"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169B205E"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7</w:t>
            </w:r>
          </w:p>
        </w:tc>
        <w:tc>
          <w:tcPr>
            <w:tcW w:w="1862" w:type="dxa"/>
            <w:tcBorders>
              <w:top w:val="nil"/>
              <w:left w:val="nil"/>
              <w:bottom w:val="single" w:sz="4" w:space="0" w:color="auto"/>
              <w:right w:val="single" w:sz="4" w:space="0" w:color="auto"/>
            </w:tcBorders>
            <w:shd w:val="clear" w:color="auto" w:fill="auto"/>
            <w:vAlign w:val="center"/>
            <w:hideMark/>
          </w:tcPr>
          <w:p w14:paraId="58356235"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Pruebas de Aceptación en Fábrica</w:t>
            </w:r>
          </w:p>
        </w:tc>
        <w:tc>
          <w:tcPr>
            <w:tcW w:w="1411" w:type="dxa"/>
            <w:tcBorders>
              <w:top w:val="nil"/>
              <w:left w:val="nil"/>
              <w:bottom w:val="single" w:sz="4" w:space="0" w:color="auto"/>
              <w:right w:val="single" w:sz="4" w:space="0" w:color="auto"/>
            </w:tcBorders>
            <w:shd w:val="clear" w:color="auto" w:fill="auto"/>
            <w:noWrap/>
            <w:vAlign w:val="bottom"/>
            <w:hideMark/>
          </w:tcPr>
          <w:p w14:paraId="13055D9A"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4FE4A853"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1800" w:type="dxa"/>
            <w:tcBorders>
              <w:top w:val="nil"/>
              <w:left w:val="nil"/>
              <w:bottom w:val="single" w:sz="4" w:space="0" w:color="auto"/>
              <w:right w:val="single" w:sz="4" w:space="0" w:color="auto"/>
            </w:tcBorders>
            <w:shd w:val="clear" w:color="auto" w:fill="auto"/>
            <w:vAlign w:val="center"/>
            <w:hideMark/>
          </w:tcPr>
          <w:p w14:paraId="121A47A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153BA0CC"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2B945E65"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48 sem </w:t>
            </w:r>
          </w:p>
        </w:tc>
        <w:tc>
          <w:tcPr>
            <w:tcW w:w="1638" w:type="dxa"/>
            <w:tcBorders>
              <w:top w:val="nil"/>
              <w:left w:val="nil"/>
              <w:bottom w:val="single" w:sz="4" w:space="0" w:color="auto"/>
              <w:right w:val="single" w:sz="4" w:space="0" w:color="auto"/>
            </w:tcBorders>
            <w:shd w:val="clear" w:color="auto" w:fill="auto"/>
            <w:hideMark/>
          </w:tcPr>
          <w:p w14:paraId="75F6099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7ADA582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04AD1E9E"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7ACCB4A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8</w:t>
            </w:r>
          </w:p>
        </w:tc>
        <w:tc>
          <w:tcPr>
            <w:tcW w:w="1862" w:type="dxa"/>
            <w:tcBorders>
              <w:top w:val="nil"/>
              <w:left w:val="nil"/>
              <w:bottom w:val="single" w:sz="4" w:space="0" w:color="auto"/>
              <w:right w:val="single" w:sz="4" w:space="0" w:color="auto"/>
            </w:tcBorders>
            <w:shd w:val="clear" w:color="auto" w:fill="auto"/>
            <w:vAlign w:val="center"/>
            <w:hideMark/>
          </w:tcPr>
          <w:p w14:paraId="1A3C5B9E"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Envío y Entrega de Equipos al CENACE</w:t>
            </w:r>
          </w:p>
        </w:tc>
        <w:tc>
          <w:tcPr>
            <w:tcW w:w="1411" w:type="dxa"/>
            <w:tcBorders>
              <w:top w:val="nil"/>
              <w:left w:val="nil"/>
              <w:bottom w:val="single" w:sz="4" w:space="0" w:color="auto"/>
              <w:right w:val="single" w:sz="4" w:space="0" w:color="auto"/>
            </w:tcBorders>
            <w:shd w:val="clear" w:color="auto" w:fill="auto"/>
            <w:noWrap/>
            <w:vAlign w:val="bottom"/>
            <w:hideMark/>
          </w:tcPr>
          <w:p w14:paraId="18937F2A"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6D821BA9"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336C2572"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56E5546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36E443B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60 sem </w:t>
            </w:r>
          </w:p>
        </w:tc>
        <w:tc>
          <w:tcPr>
            <w:tcW w:w="1638" w:type="dxa"/>
            <w:tcBorders>
              <w:top w:val="nil"/>
              <w:left w:val="nil"/>
              <w:bottom w:val="single" w:sz="4" w:space="0" w:color="auto"/>
              <w:right w:val="single" w:sz="4" w:space="0" w:color="auto"/>
            </w:tcBorders>
            <w:shd w:val="clear" w:color="auto" w:fill="auto"/>
            <w:hideMark/>
          </w:tcPr>
          <w:p w14:paraId="6E06C22F"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145464D6"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344B8240" w14:textId="77777777" w:rsidTr="009F6B78">
        <w:trPr>
          <w:trHeight w:val="792"/>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07C41B5"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9</w:t>
            </w:r>
          </w:p>
        </w:tc>
        <w:tc>
          <w:tcPr>
            <w:tcW w:w="1862" w:type="dxa"/>
            <w:tcBorders>
              <w:top w:val="nil"/>
              <w:left w:val="nil"/>
              <w:bottom w:val="single" w:sz="4" w:space="0" w:color="auto"/>
              <w:right w:val="single" w:sz="4" w:space="0" w:color="auto"/>
            </w:tcBorders>
            <w:shd w:val="clear" w:color="auto" w:fill="auto"/>
            <w:vAlign w:val="center"/>
            <w:hideMark/>
          </w:tcPr>
          <w:p w14:paraId="39F179F9"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Instalación de Hardware y Software en Sitio</w:t>
            </w:r>
          </w:p>
        </w:tc>
        <w:tc>
          <w:tcPr>
            <w:tcW w:w="1411" w:type="dxa"/>
            <w:tcBorders>
              <w:top w:val="nil"/>
              <w:left w:val="nil"/>
              <w:bottom w:val="single" w:sz="4" w:space="0" w:color="auto"/>
              <w:right w:val="single" w:sz="4" w:space="0" w:color="auto"/>
            </w:tcBorders>
            <w:shd w:val="clear" w:color="auto" w:fill="auto"/>
            <w:noWrap/>
            <w:vAlign w:val="bottom"/>
            <w:hideMark/>
          </w:tcPr>
          <w:p w14:paraId="7FE1084A"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77080B72"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CEN/CEN-GOP/QAS/GW1/GW2</w:t>
            </w:r>
          </w:p>
        </w:tc>
        <w:tc>
          <w:tcPr>
            <w:tcW w:w="1800" w:type="dxa"/>
            <w:tcBorders>
              <w:top w:val="nil"/>
              <w:left w:val="nil"/>
              <w:bottom w:val="single" w:sz="4" w:space="0" w:color="auto"/>
              <w:right w:val="single" w:sz="4" w:space="0" w:color="auto"/>
            </w:tcBorders>
            <w:shd w:val="clear" w:color="auto" w:fill="auto"/>
            <w:vAlign w:val="center"/>
            <w:hideMark/>
          </w:tcPr>
          <w:p w14:paraId="0AAC0B54"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053B532F"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4FF2F85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72 sem </w:t>
            </w:r>
          </w:p>
        </w:tc>
        <w:tc>
          <w:tcPr>
            <w:tcW w:w="1638" w:type="dxa"/>
            <w:tcBorders>
              <w:top w:val="nil"/>
              <w:left w:val="nil"/>
              <w:bottom w:val="single" w:sz="4" w:space="0" w:color="auto"/>
              <w:right w:val="single" w:sz="4" w:space="0" w:color="auto"/>
            </w:tcBorders>
            <w:shd w:val="clear" w:color="auto" w:fill="auto"/>
            <w:hideMark/>
          </w:tcPr>
          <w:p w14:paraId="372EA36F"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1340B42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13AEE7C0"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FD09B6E"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10</w:t>
            </w:r>
          </w:p>
        </w:tc>
        <w:tc>
          <w:tcPr>
            <w:tcW w:w="1862" w:type="dxa"/>
            <w:tcBorders>
              <w:top w:val="nil"/>
              <w:left w:val="nil"/>
              <w:bottom w:val="single" w:sz="4" w:space="0" w:color="auto"/>
              <w:right w:val="single" w:sz="4" w:space="0" w:color="auto"/>
            </w:tcBorders>
            <w:shd w:val="clear" w:color="auto" w:fill="auto"/>
            <w:vAlign w:val="center"/>
            <w:hideMark/>
          </w:tcPr>
          <w:p w14:paraId="10E79E0F"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Integración de Modificaciones e Interfaces</w:t>
            </w:r>
          </w:p>
        </w:tc>
        <w:tc>
          <w:tcPr>
            <w:tcW w:w="1411" w:type="dxa"/>
            <w:tcBorders>
              <w:top w:val="nil"/>
              <w:left w:val="nil"/>
              <w:bottom w:val="single" w:sz="4" w:space="0" w:color="auto"/>
              <w:right w:val="single" w:sz="4" w:space="0" w:color="auto"/>
            </w:tcBorders>
            <w:shd w:val="clear" w:color="auto" w:fill="auto"/>
            <w:noWrap/>
            <w:vAlign w:val="bottom"/>
            <w:hideMark/>
          </w:tcPr>
          <w:p w14:paraId="20A769C9"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519210AC"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6B96695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04549DD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3D388D49"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76 sem </w:t>
            </w:r>
          </w:p>
        </w:tc>
        <w:tc>
          <w:tcPr>
            <w:tcW w:w="1638" w:type="dxa"/>
            <w:tcBorders>
              <w:top w:val="nil"/>
              <w:left w:val="nil"/>
              <w:bottom w:val="single" w:sz="4" w:space="0" w:color="auto"/>
              <w:right w:val="single" w:sz="4" w:space="0" w:color="auto"/>
            </w:tcBorders>
            <w:shd w:val="clear" w:color="auto" w:fill="auto"/>
            <w:hideMark/>
          </w:tcPr>
          <w:p w14:paraId="3D91023C"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7F0F9408"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1275F5E8"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7FD7982"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lastRenderedPageBreak/>
              <w:t>11</w:t>
            </w:r>
          </w:p>
        </w:tc>
        <w:tc>
          <w:tcPr>
            <w:tcW w:w="1862" w:type="dxa"/>
            <w:tcBorders>
              <w:top w:val="nil"/>
              <w:left w:val="nil"/>
              <w:bottom w:val="single" w:sz="4" w:space="0" w:color="auto"/>
              <w:right w:val="single" w:sz="4" w:space="0" w:color="auto"/>
            </w:tcBorders>
            <w:shd w:val="clear" w:color="auto" w:fill="auto"/>
            <w:vAlign w:val="center"/>
            <w:hideMark/>
          </w:tcPr>
          <w:p w14:paraId="122B3204"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Pruebas Punto a Punto</w:t>
            </w:r>
          </w:p>
        </w:tc>
        <w:tc>
          <w:tcPr>
            <w:tcW w:w="1411" w:type="dxa"/>
            <w:tcBorders>
              <w:top w:val="nil"/>
              <w:left w:val="nil"/>
              <w:bottom w:val="single" w:sz="4" w:space="0" w:color="auto"/>
              <w:right w:val="single" w:sz="4" w:space="0" w:color="auto"/>
            </w:tcBorders>
            <w:shd w:val="clear" w:color="auto" w:fill="auto"/>
            <w:noWrap/>
            <w:vAlign w:val="bottom"/>
            <w:hideMark/>
          </w:tcPr>
          <w:p w14:paraId="1E2A895D"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60E47A51"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383564D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736A9020"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5A281DC6" w14:textId="77777777" w:rsidR="00E241E6" w:rsidRPr="00576AF8" w:rsidRDefault="00FD6F9F" w:rsidP="00FD6F9F">
            <w:pPr>
              <w:suppressAutoHyphens w:val="0"/>
              <w:spacing w:after="0"/>
              <w:jc w:val="center"/>
              <w:rPr>
                <w:color w:val="000000"/>
                <w:sz w:val="20"/>
                <w:lang w:val="es-EC" w:eastAsia="es-EC" w:bidi="ar-SA"/>
              </w:rPr>
            </w:pPr>
            <w:r w:rsidRPr="00576AF8">
              <w:rPr>
                <w:color w:val="000000"/>
                <w:sz w:val="20"/>
                <w:lang w:val="es-EC" w:eastAsia="es-EC" w:bidi="ar-SA"/>
              </w:rPr>
              <w:t xml:space="preserve">80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500B2266"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56338B5B"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27A71DAF"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2678292"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12</w:t>
            </w:r>
          </w:p>
        </w:tc>
        <w:tc>
          <w:tcPr>
            <w:tcW w:w="1862" w:type="dxa"/>
            <w:tcBorders>
              <w:top w:val="nil"/>
              <w:left w:val="nil"/>
              <w:bottom w:val="single" w:sz="4" w:space="0" w:color="auto"/>
              <w:right w:val="single" w:sz="4" w:space="0" w:color="auto"/>
            </w:tcBorders>
            <w:shd w:val="clear" w:color="auto" w:fill="auto"/>
            <w:vAlign w:val="center"/>
            <w:hideMark/>
          </w:tcPr>
          <w:p w14:paraId="68090B34"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Sintonización de Aplicaciones</w:t>
            </w:r>
          </w:p>
        </w:tc>
        <w:tc>
          <w:tcPr>
            <w:tcW w:w="1411" w:type="dxa"/>
            <w:tcBorders>
              <w:top w:val="nil"/>
              <w:left w:val="nil"/>
              <w:bottom w:val="single" w:sz="4" w:space="0" w:color="auto"/>
              <w:right w:val="single" w:sz="4" w:space="0" w:color="auto"/>
            </w:tcBorders>
            <w:shd w:val="clear" w:color="auto" w:fill="auto"/>
            <w:noWrap/>
            <w:vAlign w:val="bottom"/>
            <w:hideMark/>
          </w:tcPr>
          <w:p w14:paraId="3DFFC6DF"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187D31F4"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15F2286C"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0605755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1A73C76D" w14:textId="77777777" w:rsidR="00E241E6" w:rsidRPr="00576AF8" w:rsidRDefault="00FD6F9F" w:rsidP="00FD6F9F">
            <w:pPr>
              <w:suppressAutoHyphens w:val="0"/>
              <w:spacing w:after="0"/>
              <w:jc w:val="center"/>
              <w:rPr>
                <w:color w:val="000000"/>
                <w:sz w:val="20"/>
                <w:lang w:val="es-EC" w:eastAsia="es-EC" w:bidi="ar-SA"/>
              </w:rPr>
            </w:pPr>
            <w:r w:rsidRPr="00576AF8">
              <w:rPr>
                <w:color w:val="000000"/>
                <w:sz w:val="20"/>
                <w:lang w:val="es-EC" w:eastAsia="es-EC" w:bidi="ar-SA"/>
              </w:rPr>
              <w:t xml:space="preserve">84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66B6703F"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7FFCFDF2"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2B034AB9"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12A8449"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13</w:t>
            </w:r>
          </w:p>
        </w:tc>
        <w:tc>
          <w:tcPr>
            <w:tcW w:w="1862" w:type="dxa"/>
            <w:tcBorders>
              <w:top w:val="nil"/>
              <w:left w:val="nil"/>
              <w:bottom w:val="single" w:sz="4" w:space="0" w:color="auto"/>
              <w:right w:val="single" w:sz="4" w:space="0" w:color="auto"/>
            </w:tcBorders>
            <w:shd w:val="clear" w:color="auto" w:fill="auto"/>
            <w:vAlign w:val="center"/>
            <w:hideMark/>
          </w:tcPr>
          <w:p w14:paraId="6721C9D2"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Pruebas de Aceptación en Sitio</w:t>
            </w:r>
          </w:p>
        </w:tc>
        <w:tc>
          <w:tcPr>
            <w:tcW w:w="1411" w:type="dxa"/>
            <w:tcBorders>
              <w:top w:val="nil"/>
              <w:left w:val="nil"/>
              <w:bottom w:val="single" w:sz="4" w:space="0" w:color="auto"/>
              <w:right w:val="single" w:sz="4" w:space="0" w:color="auto"/>
            </w:tcBorders>
            <w:shd w:val="clear" w:color="auto" w:fill="auto"/>
            <w:noWrap/>
            <w:vAlign w:val="bottom"/>
            <w:hideMark/>
          </w:tcPr>
          <w:p w14:paraId="16486D4F"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73963860"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64FDC26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76187356"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230D9CBC" w14:textId="77777777" w:rsidR="00E241E6" w:rsidRPr="00576AF8" w:rsidRDefault="00FD6F9F"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88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5C42A0C0"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031DD865"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6B6AEF5F"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8565F3F"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14</w:t>
            </w:r>
          </w:p>
        </w:tc>
        <w:tc>
          <w:tcPr>
            <w:tcW w:w="1862" w:type="dxa"/>
            <w:tcBorders>
              <w:top w:val="nil"/>
              <w:left w:val="nil"/>
              <w:bottom w:val="single" w:sz="4" w:space="0" w:color="auto"/>
              <w:right w:val="single" w:sz="4" w:space="0" w:color="auto"/>
            </w:tcBorders>
            <w:shd w:val="clear" w:color="auto" w:fill="auto"/>
            <w:vAlign w:val="center"/>
            <w:hideMark/>
          </w:tcPr>
          <w:p w14:paraId="6490BBAB"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Pruebas de Disponibilidad</w:t>
            </w:r>
          </w:p>
        </w:tc>
        <w:tc>
          <w:tcPr>
            <w:tcW w:w="1411" w:type="dxa"/>
            <w:tcBorders>
              <w:top w:val="nil"/>
              <w:left w:val="nil"/>
              <w:bottom w:val="single" w:sz="4" w:space="0" w:color="auto"/>
              <w:right w:val="single" w:sz="4" w:space="0" w:color="auto"/>
            </w:tcBorders>
            <w:shd w:val="clear" w:color="auto" w:fill="auto"/>
            <w:noWrap/>
            <w:vAlign w:val="bottom"/>
            <w:hideMark/>
          </w:tcPr>
          <w:p w14:paraId="1F7C6969"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02E4B644"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1B310F5E"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442759A0"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34A61CC0" w14:textId="77777777" w:rsidR="00E241E6" w:rsidRPr="00576AF8" w:rsidRDefault="00FD6F9F" w:rsidP="00FD6F9F">
            <w:pPr>
              <w:suppressAutoHyphens w:val="0"/>
              <w:spacing w:after="0"/>
              <w:jc w:val="center"/>
              <w:rPr>
                <w:color w:val="000000"/>
                <w:sz w:val="20"/>
                <w:lang w:val="es-EC" w:eastAsia="es-EC" w:bidi="ar-SA"/>
              </w:rPr>
            </w:pPr>
            <w:r w:rsidRPr="00576AF8">
              <w:rPr>
                <w:color w:val="000000"/>
                <w:sz w:val="20"/>
                <w:lang w:val="es-EC" w:eastAsia="es-EC" w:bidi="ar-SA"/>
              </w:rPr>
              <w:t xml:space="preserve">92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63A9D27B"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04FCA5A2"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022AB270" w14:textId="77777777" w:rsidTr="009F6B78">
        <w:trPr>
          <w:trHeight w:val="52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06E0035"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15</w:t>
            </w:r>
          </w:p>
        </w:tc>
        <w:tc>
          <w:tcPr>
            <w:tcW w:w="1862" w:type="dxa"/>
            <w:tcBorders>
              <w:top w:val="nil"/>
              <w:left w:val="nil"/>
              <w:bottom w:val="single" w:sz="4" w:space="0" w:color="auto"/>
              <w:right w:val="single" w:sz="4" w:space="0" w:color="auto"/>
            </w:tcBorders>
            <w:shd w:val="clear" w:color="auto" w:fill="auto"/>
            <w:vAlign w:val="center"/>
            <w:hideMark/>
          </w:tcPr>
          <w:p w14:paraId="170AABED"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Resolución de Problemas Críticos y de Alta Gravedad</w:t>
            </w:r>
          </w:p>
        </w:tc>
        <w:tc>
          <w:tcPr>
            <w:tcW w:w="1411" w:type="dxa"/>
            <w:tcBorders>
              <w:top w:val="nil"/>
              <w:left w:val="nil"/>
              <w:bottom w:val="single" w:sz="4" w:space="0" w:color="auto"/>
              <w:right w:val="single" w:sz="4" w:space="0" w:color="auto"/>
            </w:tcBorders>
            <w:shd w:val="clear" w:color="auto" w:fill="auto"/>
            <w:noWrap/>
            <w:vAlign w:val="bottom"/>
            <w:hideMark/>
          </w:tcPr>
          <w:p w14:paraId="0F725F32"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31BAB3B4"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628CDADD"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50B54A01"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55E4F84E" w14:textId="77777777" w:rsidR="00E241E6" w:rsidRPr="00576AF8" w:rsidRDefault="00FD6F9F"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96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4C16B069"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1D7A9173"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4DD614F2"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3B0C1501"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16</w:t>
            </w:r>
          </w:p>
        </w:tc>
        <w:tc>
          <w:tcPr>
            <w:tcW w:w="1862" w:type="dxa"/>
            <w:tcBorders>
              <w:top w:val="nil"/>
              <w:left w:val="nil"/>
              <w:bottom w:val="single" w:sz="4" w:space="0" w:color="auto"/>
              <w:right w:val="single" w:sz="4" w:space="0" w:color="auto"/>
            </w:tcBorders>
            <w:shd w:val="clear" w:color="auto" w:fill="auto"/>
            <w:vAlign w:val="center"/>
            <w:hideMark/>
          </w:tcPr>
          <w:p w14:paraId="598EA88C"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Cutover</w:t>
            </w:r>
          </w:p>
        </w:tc>
        <w:tc>
          <w:tcPr>
            <w:tcW w:w="1411" w:type="dxa"/>
            <w:tcBorders>
              <w:top w:val="nil"/>
              <w:left w:val="nil"/>
              <w:bottom w:val="single" w:sz="4" w:space="0" w:color="auto"/>
              <w:right w:val="single" w:sz="4" w:space="0" w:color="auto"/>
            </w:tcBorders>
            <w:shd w:val="clear" w:color="auto" w:fill="auto"/>
            <w:noWrap/>
            <w:vAlign w:val="bottom"/>
            <w:hideMark/>
          </w:tcPr>
          <w:p w14:paraId="50E4E3E4"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7807844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CEN/CEN-GOP </w:t>
            </w:r>
          </w:p>
        </w:tc>
        <w:tc>
          <w:tcPr>
            <w:tcW w:w="1800" w:type="dxa"/>
            <w:tcBorders>
              <w:top w:val="nil"/>
              <w:left w:val="nil"/>
              <w:bottom w:val="single" w:sz="4" w:space="0" w:color="auto"/>
              <w:right w:val="single" w:sz="4" w:space="0" w:color="auto"/>
            </w:tcBorders>
            <w:shd w:val="clear" w:color="auto" w:fill="auto"/>
            <w:vAlign w:val="center"/>
            <w:hideMark/>
          </w:tcPr>
          <w:p w14:paraId="536AB1E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3F3876A3"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742C2520" w14:textId="77777777" w:rsidR="00E241E6" w:rsidRPr="00576AF8" w:rsidRDefault="00FD6F9F"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94 </w:t>
            </w:r>
            <w:r w:rsidR="00E241E6" w:rsidRPr="00576AF8">
              <w:rPr>
                <w:color w:val="000000"/>
                <w:sz w:val="20"/>
                <w:lang w:val="es-EC" w:eastAsia="es-EC" w:bidi="ar-SA"/>
              </w:rPr>
              <w:t>sem</w:t>
            </w:r>
          </w:p>
        </w:tc>
        <w:tc>
          <w:tcPr>
            <w:tcW w:w="1638" w:type="dxa"/>
            <w:tcBorders>
              <w:top w:val="nil"/>
              <w:left w:val="nil"/>
              <w:bottom w:val="single" w:sz="4" w:space="0" w:color="auto"/>
              <w:right w:val="single" w:sz="4" w:space="0" w:color="auto"/>
            </w:tcBorders>
            <w:shd w:val="clear" w:color="auto" w:fill="auto"/>
            <w:hideMark/>
          </w:tcPr>
          <w:p w14:paraId="5C993BA1"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7D9164D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188532D0"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28EE728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17</w:t>
            </w:r>
          </w:p>
        </w:tc>
        <w:tc>
          <w:tcPr>
            <w:tcW w:w="1862" w:type="dxa"/>
            <w:tcBorders>
              <w:top w:val="nil"/>
              <w:left w:val="nil"/>
              <w:bottom w:val="single" w:sz="4" w:space="0" w:color="auto"/>
              <w:right w:val="single" w:sz="4" w:space="0" w:color="auto"/>
            </w:tcBorders>
            <w:shd w:val="clear" w:color="auto" w:fill="auto"/>
            <w:vAlign w:val="center"/>
            <w:hideMark/>
          </w:tcPr>
          <w:p w14:paraId="5EACDDD1"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Transferencia de conocimientos</w:t>
            </w:r>
          </w:p>
        </w:tc>
        <w:tc>
          <w:tcPr>
            <w:tcW w:w="1411" w:type="dxa"/>
            <w:tcBorders>
              <w:top w:val="nil"/>
              <w:left w:val="nil"/>
              <w:bottom w:val="single" w:sz="4" w:space="0" w:color="auto"/>
              <w:right w:val="single" w:sz="4" w:space="0" w:color="auto"/>
            </w:tcBorders>
            <w:shd w:val="clear" w:color="auto" w:fill="auto"/>
            <w:noWrap/>
            <w:vAlign w:val="bottom"/>
            <w:hideMark/>
          </w:tcPr>
          <w:p w14:paraId="28C671EB"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600D19C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CEN/PR</w:t>
            </w:r>
          </w:p>
        </w:tc>
        <w:tc>
          <w:tcPr>
            <w:tcW w:w="1800" w:type="dxa"/>
            <w:tcBorders>
              <w:top w:val="nil"/>
              <w:left w:val="nil"/>
              <w:bottom w:val="single" w:sz="4" w:space="0" w:color="auto"/>
              <w:right w:val="single" w:sz="4" w:space="0" w:color="auto"/>
            </w:tcBorders>
            <w:shd w:val="clear" w:color="auto" w:fill="auto"/>
            <w:vAlign w:val="center"/>
            <w:hideMark/>
          </w:tcPr>
          <w:p w14:paraId="71A336EB"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1D7EBBBA"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21F486D8" w14:textId="77777777" w:rsidR="00E241E6" w:rsidRPr="00576AF8" w:rsidRDefault="00FD6F9F" w:rsidP="009F6B78">
            <w:pPr>
              <w:suppressAutoHyphens w:val="0"/>
              <w:spacing w:after="0"/>
              <w:jc w:val="center"/>
              <w:rPr>
                <w:color w:val="000000"/>
                <w:sz w:val="20"/>
                <w:lang w:val="es-EC" w:eastAsia="es-EC" w:bidi="ar-SA"/>
              </w:rPr>
            </w:pPr>
            <w:r w:rsidRPr="00576AF8">
              <w:rPr>
                <w:color w:val="000000"/>
                <w:sz w:val="20"/>
                <w:lang w:val="es-EC" w:eastAsia="es-EC" w:bidi="ar-SA"/>
              </w:rPr>
              <w:t>64 </w:t>
            </w:r>
            <w:r w:rsidR="00E241E6" w:rsidRPr="00576AF8">
              <w:rPr>
                <w:color w:val="000000"/>
                <w:sz w:val="20"/>
                <w:lang w:val="es-EC" w:eastAsia="es-EC" w:bidi="ar-SA"/>
              </w:rPr>
              <w:t xml:space="preserve">sem </w:t>
            </w:r>
          </w:p>
        </w:tc>
        <w:tc>
          <w:tcPr>
            <w:tcW w:w="1638" w:type="dxa"/>
            <w:tcBorders>
              <w:top w:val="nil"/>
              <w:left w:val="nil"/>
              <w:bottom w:val="single" w:sz="4" w:space="0" w:color="auto"/>
              <w:right w:val="single" w:sz="4" w:space="0" w:color="auto"/>
            </w:tcBorders>
            <w:shd w:val="clear" w:color="auto" w:fill="auto"/>
            <w:hideMark/>
          </w:tcPr>
          <w:p w14:paraId="3CE5CFC1"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575FFD4C"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r w:rsidR="00E241E6" w:rsidRPr="00576AF8" w14:paraId="1C1F9705" w14:textId="77777777" w:rsidTr="009F6B78">
        <w:trPr>
          <w:trHeight w:val="28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8FB261C"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18</w:t>
            </w:r>
          </w:p>
        </w:tc>
        <w:tc>
          <w:tcPr>
            <w:tcW w:w="1862" w:type="dxa"/>
            <w:tcBorders>
              <w:top w:val="nil"/>
              <w:left w:val="nil"/>
              <w:bottom w:val="single" w:sz="4" w:space="0" w:color="auto"/>
              <w:right w:val="single" w:sz="4" w:space="0" w:color="auto"/>
            </w:tcBorders>
            <w:shd w:val="clear" w:color="auto" w:fill="auto"/>
            <w:vAlign w:val="center"/>
            <w:hideMark/>
          </w:tcPr>
          <w:p w14:paraId="65F1E420"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Aceptación Operacional</w:t>
            </w:r>
          </w:p>
        </w:tc>
        <w:tc>
          <w:tcPr>
            <w:tcW w:w="1411" w:type="dxa"/>
            <w:tcBorders>
              <w:top w:val="nil"/>
              <w:left w:val="nil"/>
              <w:bottom w:val="single" w:sz="4" w:space="0" w:color="auto"/>
              <w:right w:val="single" w:sz="4" w:space="0" w:color="auto"/>
            </w:tcBorders>
            <w:shd w:val="clear" w:color="auto" w:fill="auto"/>
            <w:noWrap/>
            <w:vAlign w:val="bottom"/>
            <w:hideMark/>
          </w:tcPr>
          <w:p w14:paraId="0BC9854E" w14:textId="77777777" w:rsidR="00E241E6" w:rsidRPr="00576AF8" w:rsidRDefault="00E241E6"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1601" w:type="dxa"/>
            <w:tcBorders>
              <w:top w:val="nil"/>
              <w:left w:val="nil"/>
              <w:bottom w:val="single" w:sz="4" w:space="0" w:color="auto"/>
              <w:right w:val="single" w:sz="4" w:space="0" w:color="auto"/>
            </w:tcBorders>
            <w:shd w:val="clear" w:color="auto" w:fill="auto"/>
            <w:vAlign w:val="center"/>
            <w:hideMark/>
          </w:tcPr>
          <w:p w14:paraId="4D0BC77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CEN </w:t>
            </w:r>
          </w:p>
        </w:tc>
        <w:tc>
          <w:tcPr>
            <w:tcW w:w="1800" w:type="dxa"/>
            <w:tcBorders>
              <w:top w:val="nil"/>
              <w:left w:val="nil"/>
              <w:bottom w:val="single" w:sz="4" w:space="0" w:color="auto"/>
              <w:right w:val="single" w:sz="4" w:space="0" w:color="auto"/>
            </w:tcBorders>
            <w:shd w:val="clear" w:color="auto" w:fill="auto"/>
            <w:vAlign w:val="center"/>
            <w:hideMark/>
          </w:tcPr>
          <w:p w14:paraId="57F02108"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41" w:type="dxa"/>
            <w:tcBorders>
              <w:top w:val="nil"/>
              <w:left w:val="nil"/>
              <w:bottom w:val="single" w:sz="4" w:space="0" w:color="auto"/>
              <w:right w:val="single" w:sz="4" w:space="0" w:color="auto"/>
            </w:tcBorders>
            <w:shd w:val="clear" w:color="auto" w:fill="auto"/>
            <w:vAlign w:val="center"/>
            <w:hideMark/>
          </w:tcPr>
          <w:p w14:paraId="323012F6" w14:textId="77777777" w:rsidR="00E241E6" w:rsidRPr="00576AF8" w:rsidRDefault="00E241E6" w:rsidP="009F6B78">
            <w:pPr>
              <w:suppressAutoHyphens w:val="0"/>
              <w:spacing w:after="0"/>
              <w:jc w:val="center"/>
              <w:rPr>
                <w:color w:val="000000"/>
                <w:sz w:val="20"/>
                <w:lang w:val="es-EC" w:eastAsia="es-EC" w:bidi="ar-SA"/>
              </w:rPr>
            </w:pPr>
            <w:r w:rsidRPr="00576AF8">
              <w:rPr>
                <w:color w:val="000000"/>
                <w:sz w:val="20"/>
                <w:lang w:val="es-EC" w:eastAsia="es-EC" w:bidi="ar-SA"/>
              </w:rPr>
              <w:t> </w:t>
            </w:r>
          </w:p>
        </w:tc>
        <w:tc>
          <w:tcPr>
            <w:tcW w:w="1377" w:type="dxa"/>
            <w:tcBorders>
              <w:top w:val="nil"/>
              <w:left w:val="nil"/>
              <w:bottom w:val="single" w:sz="4" w:space="0" w:color="auto"/>
              <w:right w:val="single" w:sz="4" w:space="0" w:color="auto"/>
            </w:tcBorders>
            <w:shd w:val="clear" w:color="auto" w:fill="auto"/>
            <w:vAlign w:val="center"/>
            <w:hideMark/>
          </w:tcPr>
          <w:p w14:paraId="79544626" w14:textId="77777777" w:rsidR="00E241E6" w:rsidRPr="00576AF8" w:rsidRDefault="00FD6F9F" w:rsidP="009F6B78">
            <w:pPr>
              <w:suppressAutoHyphens w:val="0"/>
              <w:spacing w:after="0"/>
              <w:jc w:val="center"/>
              <w:rPr>
                <w:color w:val="000000"/>
                <w:sz w:val="20"/>
                <w:lang w:val="es-EC" w:eastAsia="es-EC" w:bidi="ar-SA"/>
              </w:rPr>
            </w:pPr>
            <w:r w:rsidRPr="00576AF8">
              <w:rPr>
                <w:color w:val="000000"/>
                <w:sz w:val="20"/>
                <w:lang w:val="es-EC" w:eastAsia="es-EC" w:bidi="ar-SA"/>
              </w:rPr>
              <w:t xml:space="preserve">96 </w:t>
            </w:r>
            <w:r w:rsidR="00E241E6" w:rsidRPr="00576AF8">
              <w:rPr>
                <w:color w:val="000000"/>
                <w:sz w:val="20"/>
                <w:lang w:val="es-EC" w:eastAsia="es-EC" w:bidi="ar-SA"/>
              </w:rPr>
              <w:t>sem </w:t>
            </w:r>
          </w:p>
        </w:tc>
        <w:tc>
          <w:tcPr>
            <w:tcW w:w="1638" w:type="dxa"/>
            <w:tcBorders>
              <w:top w:val="nil"/>
              <w:left w:val="nil"/>
              <w:bottom w:val="single" w:sz="4" w:space="0" w:color="auto"/>
              <w:right w:val="single" w:sz="4" w:space="0" w:color="auto"/>
            </w:tcBorders>
            <w:shd w:val="clear" w:color="auto" w:fill="auto"/>
            <w:hideMark/>
          </w:tcPr>
          <w:p w14:paraId="31141764"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c>
          <w:tcPr>
            <w:tcW w:w="1270" w:type="dxa"/>
            <w:tcBorders>
              <w:top w:val="nil"/>
              <w:left w:val="nil"/>
              <w:bottom w:val="single" w:sz="4" w:space="0" w:color="auto"/>
              <w:right w:val="single" w:sz="4" w:space="0" w:color="auto"/>
            </w:tcBorders>
            <w:shd w:val="clear" w:color="auto" w:fill="auto"/>
            <w:hideMark/>
          </w:tcPr>
          <w:p w14:paraId="6AD22D45" w14:textId="77777777" w:rsidR="00E241E6" w:rsidRPr="00576AF8" w:rsidRDefault="00E241E6" w:rsidP="009F6B78">
            <w:pPr>
              <w:suppressAutoHyphens w:val="0"/>
              <w:spacing w:after="0"/>
              <w:jc w:val="center"/>
              <w:rPr>
                <w:color w:val="000000"/>
                <w:sz w:val="20"/>
                <w:lang w:val="es-EC" w:eastAsia="es-EC" w:bidi="ar-SA"/>
              </w:rPr>
            </w:pPr>
            <w:r w:rsidRPr="00576AF8">
              <w:rPr>
                <w:sz w:val="20"/>
              </w:rPr>
              <w:t>- -</w:t>
            </w:r>
          </w:p>
        </w:tc>
      </w:tr>
    </w:tbl>
    <w:p w14:paraId="02F1647A" w14:textId="77777777" w:rsidR="003E534B" w:rsidRPr="00576AF8" w:rsidRDefault="003E534B" w:rsidP="003E534B">
      <w:pPr>
        <w:tabs>
          <w:tab w:val="left" w:pos="9900"/>
        </w:tabs>
        <w:spacing w:before="240"/>
        <w:ind w:left="1260" w:hanging="1260"/>
        <w:rPr>
          <w:sz w:val="22"/>
        </w:rPr>
      </w:pPr>
      <w:r w:rsidRPr="00576AF8">
        <w:rPr>
          <w:sz w:val="22"/>
        </w:rPr>
        <w:t xml:space="preserve">El detalle del Programa de Ejecución referencial, incluyendo un diagrama Gantt se presenta en el Anexo 5. </w:t>
      </w:r>
    </w:p>
    <w:p w14:paraId="01A83EA4" w14:textId="77777777" w:rsidR="00E241E6" w:rsidRPr="00576AF8" w:rsidRDefault="00E241E6" w:rsidP="004F5C4C">
      <w:pPr>
        <w:tabs>
          <w:tab w:val="left" w:pos="9900"/>
        </w:tabs>
        <w:spacing w:before="240"/>
        <w:ind w:left="1260" w:hanging="1260"/>
        <w:rPr>
          <w:b/>
          <w:sz w:val="22"/>
        </w:rPr>
      </w:pPr>
    </w:p>
    <w:p w14:paraId="2E77D467" w14:textId="77777777" w:rsidR="00E241E6" w:rsidRPr="00576AF8" w:rsidRDefault="00E241E6" w:rsidP="004F5C4C">
      <w:pPr>
        <w:tabs>
          <w:tab w:val="left" w:pos="9900"/>
        </w:tabs>
        <w:spacing w:before="240"/>
        <w:ind w:left="1260" w:hanging="1260"/>
        <w:rPr>
          <w:b/>
          <w:sz w:val="22"/>
        </w:rPr>
      </w:pPr>
    </w:p>
    <w:p w14:paraId="461C2E15" w14:textId="77777777" w:rsidR="00E241E6" w:rsidRPr="00576AF8" w:rsidRDefault="00E241E6" w:rsidP="004F5C4C">
      <w:pPr>
        <w:tabs>
          <w:tab w:val="left" w:pos="9900"/>
        </w:tabs>
        <w:spacing w:before="240"/>
        <w:ind w:left="1260" w:hanging="1260"/>
        <w:rPr>
          <w:b/>
          <w:sz w:val="22"/>
        </w:rPr>
      </w:pPr>
    </w:p>
    <w:p w14:paraId="4220AAF1" w14:textId="77777777" w:rsidR="00A20832" w:rsidRPr="00576AF8" w:rsidRDefault="00A20832" w:rsidP="004F5C4C">
      <w:pPr>
        <w:tabs>
          <w:tab w:val="left" w:pos="9900"/>
        </w:tabs>
        <w:spacing w:before="240"/>
        <w:ind w:left="1260" w:hanging="1260"/>
        <w:rPr>
          <w:sz w:val="22"/>
        </w:rPr>
      </w:pPr>
      <w:r w:rsidRPr="00576AF8">
        <w:rPr>
          <w:b/>
          <w:sz w:val="22"/>
        </w:rPr>
        <w:t>Nota:</w:t>
      </w:r>
      <w:r w:rsidRPr="00576AF8">
        <w:rPr>
          <w:sz w:val="22"/>
        </w:rPr>
        <w:tab/>
        <w:t xml:space="preserve">Véanse en los cuadros del inventario del Sistema los elementos y componentes específicos que conforman los Subsistemas o rubros. Véanse en los cuadros de información sobre los </w:t>
      </w:r>
      <w:r w:rsidR="009B1340" w:rsidRPr="00576AF8">
        <w:rPr>
          <w:sz w:val="22"/>
        </w:rPr>
        <w:t xml:space="preserve">sitios del Proyecto </w:t>
      </w:r>
      <w:r w:rsidRPr="00576AF8">
        <w:rPr>
          <w:sz w:val="22"/>
        </w:rPr>
        <w:t xml:space="preserve">que figuran a continuación los detalles sobre </w:t>
      </w:r>
      <w:r w:rsidR="009B1340" w:rsidRPr="00576AF8">
        <w:rPr>
          <w:sz w:val="22"/>
        </w:rPr>
        <w:t xml:space="preserve">ese </w:t>
      </w:r>
      <w:r w:rsidRPr="00576AF8">
        <w:rPr>
          <w:sz w:val="22"/>
        </w:rPr>
        <w:t>lugar y el código del lugar.</w:t>
      </w:r>
    </w:p>
    <w:p w14:paraId="7A4AB078" w14:textId="77777777" w:rsidR="00A20832" w:rsidRPr="00576AF8" w:rsidRDefault="00A20832" w:rsidP="00A20832">
      <w:pPr>
        <w:tabs>
          <w:tab w:val="left" w:pos="9900"/>
        </w:tabs>
        <w:ind w:left="1267" w:hanging="1267"/>
        <w:jc w:val="left"/>
        <w:rPr>
          <w:sz w:val="22"/>
        </w:rPr>
      </w:pPr>
      <w:r w:rsidRPr="00576AF8">
        <w:rPr>
          <w:b/>
          <w:sz w:val="22"/>
        </w:rPr>
        <w:tab/>
      </w:r>
      <w:r w:rsidRPr="00576AF8">
        <w:rPr>
          <w:sz w:val="22"/>
        </w:rPr>
        <w:t xml:space="preserve">“- -” indica “no se aplica”. Las comillas (“) indican la repetición de lo consignado arriba. </w:t>
      </w:r>
    </w:p>
    <w:p w14:paraId="1E60F264" w14:textId="77777777" w:rsidR="00A20832" w:rsidRPr="00576AF8" w:rsidRDefault="00A20832" w:rsidP="00A20832">
      <w:pPr>
        <w:tabs>
          <w:tab w:val="left" w:pos="9900"/>
        </w:tabs>
        <w:ind w:left="1267" w:hanging="1267"/>
        <w:jc w:val="left"/>
        <w:rPr>
          <w:sz w:val="22"/>
        </w:rPr>
        <w:sectPr w:rsidR="00A20832" w:rsidRPr="00576AF8" w:rsidSect="000968D2">
          <w:headerReference w:type="even" r:id="rId64"/>
          <w:headerReference w:type="default" r:id="rId65"/>
          <w:footnotePr>
            <w:numRestart w:val="eachPage"/>
          </w:footnotePr>
          <w:endnotePr>
            <w:numRestart w:val="eachSect"/>
          </w:endnotePr>
          <w:pgSz w:w="15840" w:h="12240" w:orient="landscape" w:code="1"/>
          <w:pgMar w:top="1440" w:right="1440" w:bottom="1440" w:left="1440" w:header="720" w:footer="431" w:gutter="0"/>
          <w:cols w:space="720"/>
          <w:formProt w:val="0"/>
        </w:sectPr>
      </w:pPr>
    </w:p>
    <w:p w14:paraId="083FB77B" w14:textId="77777777" w:rsidR="00A20832" w:rsidRPr="00576AF8" w:rsidRDefault="00A20832" w:rsidP="008C0D90">
      <w:pPr>
        <w:pStyle w:val="Ttulo2"/>
        <w:ind w:right="41"/>
        <w:rPr>
          <w:rFonts w:ascii="Times New Roman" w:hAnsi="Times New Roman"/>
        </w:rPr>
      </w:pPr>
      <w:bookmarkStart w:id="1444" w:name="_Toc483815389"/>
      <w:bookmarkStart w:id="1445" w:name="_Toc433161263"/>
      <w:bookmarkStart w:id="1446" w:name="_Toc521498274"/>
      <w:bookmarkStart w:id="1447" w:name="_Toc207771482"/>
      <w:bookmarkStart w:id="1448" w:name="_Toc488944475"/>
      <w:r w:rsidRPr="00576AF8">
        <w:rPr>
          <w:rFonts w:ascii="Times New Roman" w:hAnsi="Times New Roman"/>
        </w:rPr>
        <w:lastRenderedPageBreak/>
        <w:t>B.</w:t>
      </w:r>
      <w:r w:rsidRPr="00576AF8">
        <w:rPr>
          <w:rFonts w:ascii="Times New Roman" w:hAnsi="Times New Roman"/>
        </w:rPr>
        <w:tab/>
        <w:t xml:space="preserve">Cuadro(s) de información sobre los </w:t>
      </w:r>
      <w:r w:rsidR="009B1340" w:rsidRPr="00576AF8">
        <w:rPr>
          <w:rFonts w:ascii="Times New Roman" w:hAnsi="Times New Roman"/>
        </w:rPr>
        <w:t>sitios del proyecto</w:t>
      </w:r>
      <w:bookmarkEnd w:id="1444"/>
      <w:bookmarkEnd w:id="1445"/>
      <w:bookmarkEnd w:id="1446"/>
      <w:bookmarkEnd w:id="1447"/>
      <w:bookmarkEnd w:id="1448"/>
    </w:p>
    <w:tbl>
      <w:tblPr>
        <w:tblW w:w="5000" w:type="pct"/>
        <w:shd w:val="clear" w:color="auto" w:fill="FFFFFF"/>
        <w:tblCellMar>
          <w:left w:w="0" w:type="dxa"/>
          <w:right w:w="0" w:type="dxa"/>
        </w:tblCellMar>
        <w:tblLook w:val="04A0" w:firstRow="1" w:lastRow="0" w:firstColumn="1" w:lastColumn="0" w:noHBand="0" w:noVBand="1"/>
      </w:tblPr>
      <w:tblGrid>
        <w:gridCol w:w="1269"/>
        <w:gridCol w:w="3949"/>
        <w:gridCol w:w="1863"/>
        <w:gridCol w:w="4187"/>
        <w:gridCol w:w="1672"/>
      </w:tblGrid>
      <w:tr w:rsidR="00B67F29" w:rsidRPr="00576AF8" w14:paraId="1B1FAA88" w14:textId="77777777" w:rsidTr="00C53B16">
        <w:trPr>
          <w:trHeight w:val="552"/>
        </w:trPr>
        <w:tc>
          <w:tcPr>
            <w:tcW w:w="490"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F6E924C" w14:textId="77777777" w:rsidR="00B67F29" w:rsidRPr="00576AF8" w:rsidRDefault="00B67F29" w:rsidP="009F6B78">
            <w:pPr>
              <w:spacing w:after="160" w:line="259" w:lineRule="auto"/>
              <w:jc w:val="left"/>
              <w:rPr>
                <w:lang w:val="es-EC"/>
              </w:rPr>
            </w:pPr>
            <w:r w:rsidRPr="00576AF8">
              <w:rPr>
                <w:b/>
                <w:bCs/>
                <w:lang w:val="es-EC"/>
              </w:rPr>
              <w:t>Código del lugar</w:t>
            </w:r>
          </w:p>
        </w:tc>
        <w:tc>
          <w:tcPr>
            <w:tcW w:w="1526"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FEF3252" w14:textId="77777777" w:rsidR="00B67F29" w:rsidRPr="00576AF8" w:rsidRDefault="00B67F29" w:rsidP="009F6B78">
            <w:pPr>
              <w:spacing w:after="160" w:line="259" w:lineRule="auto"/>
              <w:jc w:val="left"/>
              <w:rPr>
                <w:lang w:val="es-EC"/>
              </w:rPr>
            </w:pPr>
            <w:r w:rsidRPr="00576AF8">
              <w:rPr>
                <w:b/>
                <w:bCs/>
                <w:lang w:val="es-EC"/>
              </w:rPr>
              <w:t>Lugar</w:t>
            </w:r>
          </w:p>
        </w:tc>
        <w:tc>
          <w:tcPr>
            <w:tcW w:w="720"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6A3CEC" w14:textId="77777777" w:rsidR="00B67F29" w:rsidRPr="00576AF8" w:rsidRDefault="00B67F29" w:rsidP="009F6B78">
            <w:pPr>
              <w:spacing w:after="160" w:line="259" w:lineRule="auto"/>
              <w:jc w:val="left"/>
              <w:rPr>
                <w:lang w:val="es-EC"/>
              </w:rPr>
            </w:pPr>
            <w:r w:rsidRPr="00576AF8">
              <w:rPr>
                <w:b/>
                <w:bCs/>
                <w:lang w:val="es-EC"/>
              </w:rPr>
              <w:t>Ciudad/País</w:t>
            </w:r>
          </w:p>
        </w:tc>
        <w:tc>
          <w:tcPr>
            <w:tcW w:w="1618"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AFE800" w14:textId="77777777" w:rsidR="00B67F29" w:rsidRPr="00576AF8" w:rsidRDefault="00B67F29" w:rsidP="009F6B78">
            <w:pPr>
              <w:spacing w:after="160" w:line="259" w:lineRule="auto"/>
              <w:jc w:val="left"/>
              <w:rPr>
                <w:lang w:val="es-EC"/>
              </w:rPr>
            </w:pPr>
            <w:r w:rsidRPr="00576AF8">
              <w:rPr>
                <w:b/>
                <w:bCs/>
                <w:lang w:val="es-EC"/>
              </w:rPr>
              <w:t>Dirección principal (calle/número)</w:t>
            </w:r>
          </w:p>
        </w:tc>
        <w:tc>
          <w:tcPr>
            <w:tcW w:w="646"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B641FAB" w14:textId="77777777" w:rsidR="00B67F29" w:rsidRPr="00576AF8" w:rsidRDefault="00B67F29" w:rsidP="009F6B78">
            <w:pPr>
              <w:spacing w:after="160" w:line="259" w:lineRule="auto"/>
              <w:rPr>
                <w:lang w:val="es-EC"/>
              </w:rPr>
            </w:pPr>
            <w:r w:rsidRPr="00576AF8">
              <w:rPr>
                <w:b/>
                <w:bCs/>
                <w:lang w:val="es-EC"/>
              </w:rPr>
              <w:t>No. de referencia del plano (si lo hubiera)</w:t>
            </w:r>
          </w:p>
        </w:tc>
      </w:tr>
      <w:tr w:rsidR="00B67F29" w:rsidRPr="00576AF8" w14:paraId="0951B647" w14:textId="77777777" w:rsidTr="00C53B16">
        <w:trPr>
          <w:trHeight w:val="1232"/>
        </w:trPr>
        <w:tc>
          <w:tcPr>
            <w:tcW w:w="49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8DDDADB" w14:textId="77777777" w:rsidR="00B67F29" w:rsidRPr="00576AF8" w:rsidRDefault="00B67F29" w:rsidP="009F6B78">
            <w:pPr>
              <w:spacing w:after="160" w:line="259" w:lineRule="auto"/>
              <w:jc w:val="left"/>
              <w:rPr>
                <w:lang w:val="es-EC"/>
              </w:rPr>
            </w:pPr>
            <w:r w:rsidRPr="00576AF8">
              <w:rPr>
                <w:lang w:val="es-EC"/>
              </w:rPr>
              <w:t>CEN</w:t>
            </w:r>
          </w:p>
        </w:tc>
        <w:tc>
          <w:tcPr>
            <w:tcW w:w="15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21C6EB" w14:textId="77777777" w:rsidR="00B67F29" w:rsidRPr="00576AF8" w:rsidRDefault="00B67F29" w:rsidP="009F6B78">
            <w:pPr>
              <w:spacing w:after="160" w:line="259" w:lineRule="auto"/>
              <w:rPr>
                <w:lang w:val="es-EC"/>
              </w:rPr>
            </w:pPr>
            <w:r w:rsidRPr="00576AF8">
              <w:rPr>
                <w:lang w:val="es-EC"/>
              </w:rPr>
              <w:t>Edificio principal del Operador Nacional de Electricidad CENACE (Incluye centro de datos, cuartos de comunicaciones, estaciones de trabajo del OTS, de Ingeniería y de usuarios)</w:t>
            </w:r>
          </w:p>
        </w:tc>
        <w:tc>
          <w:tcPr>
            <w:tcW w:w="7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4D90A86" w14:textId="77777777" w:rsidR="00B67F29" w:rsidRPr="00576AF8" w:rsidRDefault="00B67F29" w:rsidP="009F6B78">
            <w:pPr>
              <w:spacing w:after="160" w:line="259" w:lineRule="auto"/>
              <w:jc w:val="left"/>
              <w:rPr>
                <w:lang w:val="es-EC"/>
              </w:rPr>
            </w:pPr>
            <w:r w:rsidRPr="00576AF8">
              <w:rPr>
                <w:lang w:val="es-EC"/>
              </w:rPr>
              <w:t>Quito – Ecuador</w:t>
            </w:r>
          </w:p>
        </w:tc>
        <w:tc>
          <w:tcPr>
            <w:tcW w:w="161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57598C3" w14:textId="77777777" w:rsidR="00B67F29" w:rsidRPr="00576AF8" w:rsidRDefault="00B67F29" w:rsidP="009F6B78">
            <w:pPr>
              <w:spacing w:after="160" w:line="259" w:lineRule="auto"/>
              <w:jc w:val="left"/>
              <w:rPr>
                <w:lang w:val="es-EC"/>
              </w:rPr>
            </w:pPr>
            <w:r w:rsidRPr="00576AF8">
              <w:rPr>
                <w:lang w:val="es-EC"/>
              </w:rPr>
              <w:t>Av. Atacazo y Panamericana Sur Km 0</w:t>
            </w:r>
          </w:p>
        </w:tc>
        <w:tc>
          <w:tcPr>
            <w:tcW w:w="6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B7241C4" w14:textId="77777777" w:rsidR="00B67F29" w:rsidRPr="00576AF8" w:rsidRDefault="00B67F29" w:rsidP="00FD6F9F">
            <w:pPr>
              <w:spacing w:after="160" w:line="259" w:lineRule="auto"/>
              <w:jc w:val="left"/>
              <w:rPr>
                <w:lang w:val="pt-BR"/>
              </w:rPr>
            </w:pPr>
            <w:r w:rsidRPr="00576AF8">
              <w:rPr>
                <w:lang w:val="pt-BR"/>
              </w:rPr>
              <w:t xml:space="preserve">Anexo </w:t>
            </w:r>
            <w:r w:rsidR="00FD6F9F" w:rsidRPr="00576AF8">
              <w:rPr>
                <w:lang w:val="pt-BR"/>
              </w:rPr>
              <w:t xml:space="preserve">3 </w:t>
            </w:r>
            <w:r w:rsidRPr="00576AF8">
              <w:rPr>
                <w:lang w:val="pt-BR"/>
              </w:rPr>
              <w:t>(Plano centro de control)</w:t>
            </w:r>
          </w:p>
        </w:tc>
      </w:tr>
      <w:tr w:rsidR="00B67F29" w:rsidRPr="00576AF8" w14:paraId="30157DC7" w14:textId="77777777" w:rsidTr="00C53B16">
        <w:trPr>
          <w:trHeight w:val="1411"/>
        </w:trPr>
        <w:tc>
          <w:tcPr>
            <w:tcW w:w="49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ECA6C81" w14:textId="77777777" w:rsidR="00B67F29" w:rsidRPr="00576AF8" w:rsidRDefault="00B67F29" w:rsidP="009F6B78">
            <w:pPr>
              <w:spacing w:after="160" w:line="259" w:lineRule="auto"/>
              <w:jc w:val="left"/>
              <w:rPr>
                <w:lang w:val="es-EC"/>
              </w:rPr>
            </w:pPr>
            <w:r w:rsidRPr="00576AF8">
              <w:rPr>
                <w:lang w:val="es-EC"/>
              </w:rPr>
              <w:t>CEN-GOP</w:t>
            </w:r>
          </w:p>
        </w:tc>
        <w:tc>
          <w:tcPr>
            <w:tcW w:w="15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B158DE" w14:textId="77777777" w:rsidR="00B67F29" w:rsidRPr="00576AF8" w:rsidRDefault="00B67F29" w:rsidP="009F6B78">
            <w:pPr>
              <w:spacing w:after="160" w:line="259" w:lineRule="auto"/>
              <w:rPr>
                <w:lang w:val="es-EC"/>
              </w:rPr>
            </w:pPr>
            <w:r w:rsidRPr="00576AF8">
              <w:rPr>
                <w:lang w:val="es-EC"/>
              </w:rPr>
              <w:t>Oficinas de la Gerencia de Operaciones del Operador Nacional de Electricidad CENACE (incluye cuarto de equipos, Sala de control de operaciones, estaciones de operación, de Ingeniería y de usuarios)</w:t>
            </w:r>
          </w:p>
        </w:tc>
        <w:tc>
          <w:tcPr>
            <w:tcW w:w="7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AB2BD7" w14:textId="77777777" w:rsidR="00B67F29" w:rsidRPr="00576AF8" w:rsidRDefault="00B67F29" w:rsidP="009F6B78">
            <w:pPr>
              <w:spacing w:after="160" w:line="259" w:lineRule="auto"/>
              <w:jc w:val="left"/>
              <w:rPr>
                <w:lang w:val="es-EC"/>
              </w:rPr>
            </w:pPr>
            <w:r w:rsidRPr="00576AF8">
              <w:rPr>
                <w:lang w:val="es-EC"/>
              </w:rPr>
              <w:t>Quito – Ecuador</w:t>
            </w:r>
          </w:p>
        </w:tc>
        <w:tc>
          <w:tcPr>
            <w:tcW w:w="161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DBDC638" w14:textId="77777777" w:rsidR="00B67F29" w:rsidRPr="00576AF8" w:rsidRDefault="00B67F29" w:rsidP="009F6B78">
            <w:pPr>
              <w:spacing w:after="160" w:line="259" w:lineRule="auto"/>
              <w:jc w:val="left"/>
              <w:rPr>
                <w:lang w:val="es-EC"/>
              </w:rPr>
            </w:pPr>
            <w:r w:rsidRPr="00576AF8">
              <w:rPr>
                <w:lang w:val="es-EC"/>
              </w:rPr>
              <w:t>Av. Atacazo y Panamericana Sur Km 0</w:t>
            </w:r>
          </w:p>
        </w:tc>
        <w:tc>
          <w:tcPr>
            <w:tcW w:w="6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6A60EE" w14:textId="77777777" w:rsidR="00B67F29" w:rsidRPr="00576AF8" w:rsidRDefault="00B67F29" w:rsidP="00FD6F9F">
            <w:pPr>
              <w:spacing w:after="160" w:line="259" w:lineRule="auto"/>
              <w:jc w:val="left"/>
              <w:rPr>
                <w:lang w:val="pt-BR"/>
              </w:rPr>
            </w:pPr>
            <w:r w:rsidRPr="00576AF8">
              <w:rPr>
                <w:lang w:val="pt-BR"/>
              </w:rPr>
              <w:t xml:space="preserve">Anexo </w:t>
            </w:r>
            <w:r w:rsidR="00FD6F9F" w:rsidRPr="00576AF8">
              <w:rPr>
                <w:lang w:val="pt-BR"/>
              </w:rPr>
              <w:t xml:space="preserve">3 </w:t>
            </w:r>
            <w:r w:rsidRPr="00576AF8">
              <w:rPr>
                <w:lang w:val="pt-BR"/>
              </w:rPr>
              <w:t>(Plano centro de control)</w:t>
            </w:r>
          </w:p>
        </w:tc>
      </w:tr>
      <w:tr w:rsidR="00B67F29" w:rsidRPr="00576AF8" w14:paraId="775EDB2F" w14:textId="77777777" w:rsidTr="00C53B16">
        <w:trPr>
          <w:trHeight w:val="528"/>
        </w:trPr>
        <w:tc>
          <w:tcPr>
            <w:tcW w:w="49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8703C0" w14:textId="77777777" w:rsidR="00B67F29" w:rsidRPr="00576AF8" w:rsidRDefault="00B67F29" w:rsidP="009F6B78">
            <w:pPr>
              <w:spacing w:after="160" w:line="259" w:lineRule="auto"/>
              <w:jc w:val="left"/>
              <w:rPr>
                <w:lang w:val="es-EC"/>
              </w:rPr>
            </w:pPr>
            <w:r w:rsidRPr="00576AF8">
              <w:rPr>
                <w:lang w:val="es-EC"/>
              </w:rPr>
              <w:t>QAS</w:t>
            </w:r>
          </w:p>
        </w:tc>
        <w:tc>
          <w:tcPr>
            <w:tcW w:w="15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A7A907" w14:textId="77777777" w:rsidR="00B67F29" w:rsidRPr="00576AF8" w:rsidRDefault="00B67F29" w:rsidP="009F6B78">
            <w:pPr>
              <w:spacing w:after="160" w:line="259" w:lineRule="auto"/>
              <w:rPr>
                <w:lang w:val="es-EC"/>
              </w:rPr>
            </w:pPr>
            <w:r w:rsidRPr="00576AF8">
              <w:rPr>
                <w:lang w:val="es-EC"/>
              </w:rPr>
              <w:t>CENTRO DE OPERACIONES DE CELEC EP TRANSELECTRIC (COT)</w:t>
            </w:r>
          </w:p>
        </w:tc>
        <w:tc>
          <w:tcPr>
            <w:tcW w:w="7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0C47F0" w14:textId="77777777" w:rsidR="00B67F29" w:rsidRPr="00576AF8" w:rsidRDefault="00B67F29" w:rsidP="009F6B78">
            <w:pPr>
              <w:spacing w:after="160" w:line="259" w:lineRule="auto"/>
              <w:jc w:val="left"/>
              <w:rPr>
                <w:lang w:val="es-EC"/>
              </w:rPr>
            </w:pPr>
            <w:r w:rsidRPr="00576AF8">
              <w:rPr>
                <w:lang w:val="es-EC"/>
              </w:rPr>
              <w:t>Quito – Ecuador</w:t>
            </w:r>
          </w:p>
        </w:tc>
        <w:tc>
          <w:tcPr>
            <w:tcW w:w="161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308639" w14:textId="77777777" w:rsidR="00B67F29" w:rsidRPr="00576AF8" w:rsidRDefault="00B67F29" w:rsidP="009F6B78">
            <w:pPr>
              <w:spacing w:after="160" w:line="259" w:lineRule="auto"/>
              <w:jc w:val="left"/>
              <w:rPr>
                <w:lang w:val="es-EC"/>
              </w:rPr>
            </w:pPr>
            <w:r w:rsidRPr="00576AF8">
              <w:rPr>
                <w:lang w:val="es-EC"/>
              </w:rPr>
              <w:t>Av. Giovanni Calles Oe12-202 y Av. Padre Luis Vaccari (Carapungo)</w:t>
            </w:r>
          </w:p>
        </w:tc>
        <w:tc>
          <w:tcPr>
            <w:tcW w:w="6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E9A0FD8" w14:textId="77777777" w:rsidR="00B67F29" w:rsidRPr="00576AF8" w:rsidRDefault="00B67F29" w:rsidP="009F6B78">
            <w:pPr>
              <w:spacing w:after="160" w:line="259" w:lineRule="auto"/>
              <w:jc w:val="left"/>
              <w:rPr>
                <w:lang w:val="es-EC"/>
              </w:rPr>
            </w:pPr>
            <w:r w:rsidRPr="00576AF8">
              <w:rPr>
                <w:lang w:val="es-EC"/>
              </w:rPr>
              <w:t> N/A</w:t>
            </w:r>
          </w:p>
        </w:tc>
      </w:tr>
      <w:tr w:rsidR="00B67F29" w:rsidRPr="00576AF8" w14:paraId="0385F2D8" w14:textId="77777777" w:rsidTr="00C53B16">
        <w:trPr>
          <w:trHeight w:val="624"/>
        </w:trPr>
        <w:tc>
          <w:tcPr>
            <w:tcW w:w="49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D0B94E3" w14:textId="77777777" w:rsidR="00B67F29" w:rsidRPr="00576AF8" w:rsidRDefault="00B67F29" w:rsidP="009F6B78">
            <w:pPr>
              <w:spacing w:after="160" w:line="259" w:lineRule="auto"/>
              <w:jc w:val="left"/>
              <w:rPr>
                <w:lang w:val="es-EC"/>
              </w:rPr>
            </w:pPr>
            <w:r w:rsidRPr="00576AF8">
              <w:rPr>
                <w:lang w:val="es-EC"/>
              </w:rPr>
              <w:t>GW1</w:t>
            </w:r>
          </w:p>
        </w:tc>
        <w:tc>
          <w:tcPr>
            <w:tcW w:w="15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5B70DB" w14:textId="77777777" w:rsidR="00B67F29" w:rsidRPr="00576AF8" w:rsidRDefault="00B67F29" w:rsidP="009F6B78">
            <w:pPr>
              <w:spacing w:after="160" w:line="259" w:lineRule="auto"/>
              <w:rPr>
                <w:lang w:val="es-EC"/>
              </w:rPr>
            </w:pPr>
            <w:r w:rsidRPr="00576AF8">
              <w:rPr>
                <w:lang w:val="es-EC"/>
              </w:rPr>
              <w:t>Subestación Santa Rosa de CELEC EP TRANSELECTRIC</w:t>
            </w:r>
          </w:p>
        </w:tc>
        <w:tc>
          <w:tcPr>
            <w:tcW w:w="7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F05315D" w14:textId="77777777" w:rsidR="00B67F29" w:rsidRPr="00576AF8" w:rsidRDefault="00B67F29" w:rsidP="009F6B78">
            <w:pPr>
              <w:spacing w:after="160" w:line="259" w:lineRule="auto"/>
              <w:jc w:val="left"/>
              <w:rPr>
                <w:lang w:val="es-EC"/>
              </w:rPr>
            </w:pPr>
            <w:r w:rsidRPr="00576AF8">
              <w:rPr>
                <w:lang w:val="es-EC"/>
              </w:rPr>
              <w:t>Quito – Ecuador</w:t>
            </w:r>
          </w:p>
        </w:tc>
        <w:tc>
          <w:tcPr>
            <w:tcW w:w="161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5439248" w14:textId="77777777" w:rsidR="00B67F29" w:rsidRPr="00576AF8" w:rsidRDefault="00B67F29" w:rsidP="009F6B78">
            <w:pPr>
              <w:spacing w:after="160" w:line="259" w:lineRule="auto"/>
              <w:jc w:val="left"/>
              <w:rPr>
                <w:lang w:val="es-EC"/>
              </w:rPr>
            </w:pPr>
            <w:r w:rsidRPr="00576AF8">
              <w:rPr>
                <w:lang w:val="es-EC"/>
              </w:rPr>
              <w:t>KM. 00; PANAMERICA SUR, BARRIO SANTA CATALINA, AV. ATACAZO </w:t>
            </w:r>
          </w:p>
        </w:tc>
        <w:tc>
          <w:tcPr>
            <w:tcW w:w="6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F914D" w14:textId="77777777" w:rsidR="00B67F29" w:rsidRPr="00576AF8" w:rsidRDefault="00B67F29" w:rsidP="009F6B78">
            <w:pPr>
              <w:spacing w:after="160" w:line="259" w:lineRule="auto"/>
              <w:jc w:val="left"/>
              <w:rPr>
                <w:lang w:val="es-EC"/>
              </w:rPr>
            </w:pPr>
            <w:r w:rsidRPr="00576AF8">
              <w:rPr>
                <w:lang w:val="es-EC"/>
              </w:rPr>
              <w:t> N/A</w:t>
            </w:r>
          </w:p>
        </w:tc>
      </w:tr>
      <w:tr w:rsidR="00B67F29" w:rsidRPr="00576AF8" w14:paraId="1D376EC7" w14:textId="77777777" w:rsidTr="00C53B16">
        <w:trPr>
          <w:trHeight w:val="624"/>
        </w:trPr>
        <w:tc>
          <w:tcPr>
            <w:tcW w:w="49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4C200F7" w14:textId="77777777" w:rsidR="00B67F29" w:rsidRPr="00576AF8" w:rsidRDefault="00B67F29" w:rsidP="009F6B78">
            <w:pPr>
              <w:spacing w:after="160" w:line="259" w:lineRule="auto"/>
              <w:jc w:val="left"/>
              <w:rPr>
                <w:lang w:val="es-EC"/>
              </w:rPr>
            </w:pPr>
            <w:r w:rsidRPr="00576AF8">
              <w:rPr>
                <w:lang w:val="es-EC"/>
              </w:rPr>
              <w:t>GW2</w:t>
            </w:r>
          </w:p>
        </w:tc>
        <w:tc>
          <w:tcPr>
            <w:tcW w:w="15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ABDBEB" w14:textId="77777777" w:rsidR="00B67F29" w:rsidRPr="00576AF8" w:rsidRDefault="00B67F29" w:rsidP="009F6B78">
            <w:pPr>
              <w:spacing w:after="160" w:line="259" w:lineRule="auto"/>
              <w:rPr>
                <w:lang w:val="es-EC"/>
              </w:rPr>
            </w:pPr>
            <w:r w:rsidRPr="00576AF8">
              <w:rPr>
                <w:lang w:val="es-EC"/>
              </w:rPr>
              <w:t>Subestación Pascuales de CELEC EP TRANSELECTRIC</w:t>
            </w:r>
          </w:p>
        </w:tc>
        <w:tc>
          <w:tcPr>
            <w:tcW w:w="7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20BE8F" w14:textId="77777777" w:rsidR="00B67F29" w:rsidRPr="00576AF8" w:rsidRDefault="00B67F29" w:rsidP="009F6B78">
            <w:pPr>
              <w:spacing w:after="160" w:line="259" w:lineRule="auto"/>
              <w:jc w:val="left"/>
              <w:rPr>
                <w:lang w:val="es-EC"/>
              </w:rPr>
            </w:pPr>
            <w:r w:rsidRPr="00576AF8">
              <w:rPr>
                <w:lang w:val="es-EC"/>
              </w:rPr>
              <w:t>Guayaquil – Ecuador</w:t>
            </w:r>
          </w:p>
        </w:tc>
        <w:tc>
          <w:tcPr>
            <w:tcW w:w="161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83B34EA" w14:textId="333055AB" w:rsidR="00B67F29" w:rsidRPr="00576AF8" w:rsidRDefault="00B67F29" w:rsidP="009F6B78">
            <w:pPr>
              <w:spacing w:after="160" w:line="259" w:lineRule="auto"/>
              <w:jc w:val="left"/>
              <w:rPr>
                <w:lang w:val="es-EC"/>
              </w:rPr>
            </w:pPr>
            <w:r w:rsidRPr="00576AF8">
              <w:rPr>
                <w:lang w:val="es-EC"/>
              </w:rPr>
              <w:t xml:space="preserve">KM. 16.5 VÍA A DAULE (Av. Cobre y Calle Acero) (ingresa </w:t>
            </w:r>
            <w:r w:rsidR="002B54F6">
              <w:rPr>
                <w:lang w:val="es-EC"/>
              </w:rPr>
              <w:t>por</w:t>
            </w:r>
            <w:r w:rsidRPr="00576AF8">
              <w:rPr>
                <w:lang w:val="es-EC"/>
              </w:rPr>
              <w:t xml:space="preserve"> INTACO 1ra entrada a mano derecha hasta el fondo)</w:t>
            </w:r>
          </w:p>
        </w:tc>
        <w:tc>
          <w:tcPr>
            <w:tcW w:w="6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269BAFE" w14:textId="77777777" w:rsidR="00B67F29" w:rsidRPr="00576AF8" w:rsidRDefault="00B67F29" w:rsidP="009F6B78">
            <w:pPr>
              <w:spacing w:after="160" w:line="259" w:lineRule="auto"/>
              <w:jc w:val="left"/>
              <w:rPr>
                <w:lang w:val="es-EC"/>
              </w:rPr>
            </w:pPr>
            <w:r w:rsidRPr="00576AF8">
              <w:rPr>
                <w:lang w:val="es-EC"/>
              </w:rPr>
              <w:t>N/A </w:t>
            </w:r>
          </w:p>
        </w:tc>
      </w:tr>
      <w:tr w:rsidR="00C53B16" w:rsidRPr="00576AF8" w14:paraId="6B161E76" w14:textId="77777777" w:rsidTr="00C53B16">
        <w:trPr>
          <w:trHeight w:val="624"/>
        </w:trPr>
        <w:tc>
          <w:tcPr>
            <w:tcW w:w="490"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1FCCA8DD" w14:textId="19F549E3" w:rsidR="00C53B16" w:rsidRPr="00576AF8" w:rsidRDefault="00C53B16" w:rsidP="00C53B16">
            <w:pPr>
              <w:spacing w:after="160" w:line="259" w:lineRule="auto"/>
              <w:jc w:val="left"/>
              <w:rPr>
                <w:lang w:val="es-EC"/>
              </w:rPr>
            </w:pPr>
            <w:r>
              <w:rPr>
                <w:lang w:val="es-EC"/>
              </w:rPr>
              <w:t>TS1</w:t>
            </w:r>
            <w:r w:rsidR="005C5E07">
              <w:rPr>
                <w:lang w:val="es-EC"/>
              </w:rPr>
              <w:t xml:space="preserve"> y TS5</w:t>
            </w:r>
          </w:p>
        </w:tc>
        <w:tc>
          <w:tcPr>
            <w:tcW w:w="152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976DF29" w14:textId="24A5B048" w:rsidR="00C53B16" w:rsidRPr="00576AF8" w:rsidRDefault="00C53B16" w:rsidP="002B65F4">
            <w:pPr>
              <w:spacing w:after="160" w:line="259" w:lineRule="auto"/>
              <w:rPr>
                <w:lang w:val="es-EC"/>
              </w:rPr>
            </w:pPr>
            <w:r w:rsidRPr="00576AF8">
              <w:rPr>
                <w:lang w:val="es-EC"/>
              </w:rPr>
              <w:t xml:space="preserve">Subestación </w:t>
            </w:r>
            <w:r w:rsidR="002B65F4">
              <w:rPr>
                <w:lang w:val="es-EC"/>
              </w:rPr>
              <w:t>Santa Rosa</w:t>
            </w:r>
            <w:r w:rsidRPr="00576AF8">
              <w:rPr>
                <w:lang w:val="es-EC"/>
              </w:rPr>
              <w:t xml:space="preserve"> de CELEC EP TRANSELECTRIC</w:t>
            </w:r>
          </w:p>
        </w:tc>
        <w:tc>
          <w:tcPr>
            <w:tcW w:w="7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05BD634" w14:textId="19D3896E" w:rsidR="00C53B16" w:rsidRPr="00576AF8" w:rsidRDefault="007A62E6" w:rsidP="00C53B16">
            <w:pPr>
              <w:spacing w:after="160" w:line="259" w:lineRule="auto"/>
              <w:jc w:val="left"/>
              <w:rPr>
                <w:lang w:val="es-EC"/>
              </w:rPr>
            </w:pPr>
            <w:r>
              <w:rPr>
                <w:lang w:val="es-EC"/>
              </w:rPr>
              <w:t>Quito</w:t>
            </w:r>
          </w:p>
        </w:tc>
        <w:tc>
          <w:tcPr>
            <w:tcW w:w="161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E35461B" w14:textId="40C9E43E" w:rsidR="00C53B16" w:rsidRPr="00576AF8" w:rsidRDefault="002B65F4" w:rsidP="00C53B16">
            <w:pPr>
              <w:spacing w:after="160" w:line="259" w:lineRule="auto"/>
              <w:jc w:val="left"/>
              <w:rPr>
                <w:lang w:val="es-EC"/>
              </w:rPr>
            </w:pPr>
            <w:r w:rsidRPr="002B65F4">
              <w:rPr>
                <w:lang w:val="es-EC"/>
              </w:rPr>
              <w:t>KM. 00; PANAMERICA SUR, BARRIO SANTA CATALINA, AV. ATACAZO</w:t>
            </w:r>
          </w:p>
        </w:tc>
        <w:tc>
          <w:tcPr>
            <w:tcW w:w="6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CCF6301" w14:textId="5AE64A75" w:rsidR="00C53B16" w:rsidRPr="00576AF8" w:rsidRDefault="00C53B16" w:rsidP="00C53B16">
            <w:pPr>
              <w:spacing w:after="160" w:line="259" w:lineRule="auto"/>
              <w:jc w:val="left"/>
              <w:rPr>
                <w:lang w:val="es-EC"/>
              </w:rPr>
            </w:pPr>
            <w:r w:rsidRPr="00576AF8">
              <w:rPr>
                <w:lang w:val="es-EC"/>
              </w:rPr>
              <w:t>N/A</w:t>
            </w:r>
          </w:p>
        </w:tc>
      </w:tr>
      <w:tr w:rsidR="00C53B16" w:rsidRPr="00576AF8" w14:paraId="21056BDD" w14:textId="77777777" w:rsidTr="00602598">
        <w:trPr>
          <w:trHeight w:val="624"/>
        </w:trPr>
        <w:tc>
          <w:tcPr>
            <w:tcW w:w="490" w:type="pct"/>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hideMark/>
          </w:tcPr>
          <w:p w14:paraId="72A18D39" w14:textId="77777777" w:rsidR="00C53B16" w:rsidRPr="00576AF8" w:rsidRDefault="00C53B16" w:rsidP="00C53B16">
            <w:pPr>
              <w:spacing w:after="160" w:line="259" w:lineRule="auto"/>
              <w:jc w:val="left"/>
              <w:rPr>
                <w:lang w:val="es-EC"/>
              </w:rPr>
            </w:pPr>
            <w:r w:rsidRPr="00576AF8">
              <w:rPr>
                <w:lang w:val="es-EC"/>
              </w:rPr>
              <w:lastRenderedPageBreak/>
              <w:t>TS2</w:t>
            </w:r>
          </w:p>
        </w:tc>
        <w:tc>
          <w:tcPr>
            <w:tcW w:w="1526" w:type="pct"/>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14:paraId="3AB3C81B" w14:textId="77777777" w:rsidR="00C53B16" w:rsidRPr="00576AF8" w:rsidRDefault="00C53B16" w:rsidP="00C53B16">
            <w:pPr>
              <w:spacing w:after="160" w:line="259" w:lineRule="auto"/>
              <w:rPr>
                <w:lang w:val="es-EC"/>
              </w:rPr>
            </w:pPr>
            <w:r w:rsidRPr="00576AF8">
              <w:rPr>
                <w:lang w:val="es-EC"/>
              </w:rPr>
              <w:t>Subestación Quevedo de CELEC EP TRANSELECTRIC</w:t>
            </w:r>
          </w:p>
        </w:tc>
        <w:tc>
          <w:tcPr>
            <w:tcW w:w="720" w:type="pct"/>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14:paraId="1E108C27" w14:textId="77777777" w:rsidR="00C53B16" w:rsidRPr="00576AF8" w:rsidRDefault="00C53B16" w:rsidP="00C53B16">
            <w:pPr>
              <w:spacing w:after="160" w:line="259" w:lineRule="auto"/>
              <w:jc w:val="left"/>
              <w:rPr>
                <w:lang w:val="es-EC"/>
              </w:rPr>
            </w:pPr>
            <w:r w:rsidRPr="00576AF8">
              <w:rPr>
                <w:lang w:val="es-EC"/>
              </w:rPr>
              <w:t>Quevedo</w:t>
            </w:r>
          </w:p>
        </w:tc>
        <w:tc>
          <w:tcPr>
            <w:tcW w:w="1618" w:type="pct"/>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14:paraId="7BDD6D8F" w14:textId="77777777" w:rsidR="00C53B16" w:rsidRPr="00576AF8" w:rsidRDefault="00C53B16" w:rsidP="00C53B16">
            <w:pPr>
              <w:spacing w:after="160" w:line="259" w:lineRule="auto"/>
              <w:jc w:val="left"/>
              <w:rPr>
                <w:lang w:val="es-EC"/>
              </w:rPr>
            </w:pPr>
            <w:r w:rsidRPr="00576AF8">
              <w:rPr>
                <w:lang w:val="es-EC"/>
              </w:rPr>
              <w:t>Km. 1 ½ vía al Empalme, Junto al CLUB DE TROPAS (Cercano al Complejo de la Policía)</w:t>
            </w:r>
          </w:p>
        </w:tc>
        <w:tc>
          <w:tcPr>
            <w:tcW w:w="646" w:type="pct"/>
            <w:tcBorders>
              <w:top w:val="nil"/>
              <w:left w:val="nil"/>
              <w:bottom w:val="single" w:sz="4" w:space="0" w:color="auto"/>
              <w:right w:val="single" w:sz="8" w:space="0" w:color="auto"/>
            </w:tcBorders>
            <w:shd w:val="clear" w:color="auto" w:fill="FFFFFF"/>
            <w:tcMar>
              <w:top w:w="0" w:type="dxa"/>
              <w:left w:w="70" w:type="dxa"/>
              <w:bottom w:w="0" w:type="dxa"/>
              <w:right w:w="70" w:type="dxa"/>
            </w:tcMar>
            <w:vAlign w:val="center"/>
            <w:hideMark/>
          </w:tcPr>
          <w:p w14:paraId="78C10C65" w14:textId="77777777" w:rsidR="00C53B16" w:rsidRPr="00576AF8" w:rsidRDefault="00C53B16" w:rsidP="00C53B16">
            <w:pPr>
              <w:spacing w:after="160" w:line="259" w:lineRule="auto"/>
              <w:jc w:val="left"/>
              <w:rPr>
                <w:lang w:val="es-EC"/>
              </w:rPr>
            </w:pPr>
            <w:r w:rsidRPr="00576AF8">
              <w:rPr>
                <w:lang w:val="es-EC"/>
              </w:rPr>
              <w:t>N/A</w:t>
            </w:r>
          </w:p>
        </w:tc>
      </w:tr>
      <w:tr w:rsidR="00C53B16" w:rsidRPr="00576AF8" w14:paraId="34DF3A1F" w14:textId="77777777" w:rsidTr="00602598">
        <w:trPr>
          <w:trHeight w:val="624"/>
        </w:trPr>
        <w:tc>
          <w:tcPr>
            <w:tcW w:w="49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C1DF05C" w14:textId="611C72C3" w:rsidR="00C53B16" w:rsidRPr="00576AF8" w:rsidRDefault="00C53B16" w:rsidP="00C53B16">
            <w:pPr>
              <w:spacing w:after="160" w:line="259" w:lineRule="auto"/>
              <w:jc w:val="left"/>
              <w:rPr>
                <w:lang w:val="es-EC"/>
              </w:rPr>
            </w:pPr>
            <w:r>
              <w:rPr>
                <w:lang w:val="es-EC"/>
              </w:rPr>
              <w:t>TS3</w:t>
            </w:r>
          </w:p>
        </w:tc>
        <w:tc>
          <w:tcPr>
            <w:tcW w:w="1526"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39ABA03" w14:textId="1B61950A" w:rsidR="00C53B16" w:rsidRPr="00576AF8" w:rsidRDefault="007A62E6" w:rsidP="00C53B16">
            <w:pPr>
              <w:spacing w:after="160" w:line="259" w:lineRule="auto"/>
              <w:rPr>
                <w:lang w:val="es-EC"/>
              </w:rPr>
            </w:pPr>
            <w:r>
              <w:rPr>
                <w:lang w:val="es-EC"/>
              </w:rPr>
              <w:t>Subestación Pascuales</w:t>
            </w:r>
            <w:r w:rsidR="00C53B16" w:rsidRPr="00576AF8">
              <w:rPr>
                <w:lang w:val="es-EC"/>
              </w:rPr>
              <w:t xml:space="preserve"> de CELEC EP TRANSELECTRIC</w:t>
            </w:r>
          </w:p>
        </w:tc>
        <w:tc>
          <w:tcPr>
            <w:tcW w:w="72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1DECE99" w14:textId="56EAFE92" w:rsidR="00C53B16" w:rsidRPr="00576AF8" w:rsidRDefault="007A62E6" w:rsidP="00C53B16">
            <w:pPr>
              <w:spacing w:after="160" w:line="259" w:lineRule="auto"/>
              <w:jc w:val="left"/>
              <w:rPr>
                <w:lang w:val="es-EC"/>
              </w:rPr>
            </w:pPr>
            <w:r>
              <w:rPr>
                <w:lang w:val="es-EC"/>
              </w:rPr>
              <w:t>Guayaquil</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BA87E53" w14:textId="4FB5E82F" w:rsidR="00C53B16" w:rsidRPr="00576AF8" w:rsidRDefault="007A62E6" w:rsidP="00C53B16">
            <w:pPr>
              <w:spacing w:after="160" w:line="259" w:lineRule="auto"/>
              <w:jc w:val="left"/>
              <w:rPr>
                <w:lang w:val="es-EC"/>
              </w:rPr>
            </w:pPr>
            <w:r w:rsidRPr="007A62E6">
              <w:rPr>
                <w:lang w:val="es-EC"/>
              </w:rPr>
              <w:t>KM. 16.5 VÍA A DAULE (Av.</w:t>
            </w:r>
            <w:r w:rsidR="002B54F6">
              <w:rPr>
                <w:lang w:val="es-EC"/>
              </w:rPr>
              <w:t xml:space="preserve"> Cobre y Calle Acero) (ingresa por</w:t>
            </w:r>
            <w:r w:rsidRPr="007A62E6">
              <w:rPr>
                <w:lang w:val="es-EC"/>
              </w:rPr>
              <w:t xml:space="preserve"> INTACO 1ra entrada a mano derecha hasta el fondo)</w:t>
            </w:r>
          </w:p>
        </w:tc>
        <w:tc>
          <w:tcPr>
            <w:tcW w:w="646"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A031F94" w14:textId="3288E191" w:rsidR="00C53B16" w:rsidRPr="00576AF8" w:rsidRDefault="00C53B16" w:rsidP="00C53B16">
            <w:pPr>
              <w:spacing w:after="160" w:line="259" w:lineRule="auto"/>
              <w:jc w:val="left"/>
              <w:rPr>
                <w:lang w:val="es-EC"/>
              </w:rPr>
            </w:pPr>
            <w:r w:rsidRPr="00576AF8">
              <w:rPr>
                <w:lang w:val="es-EC"/>
              </w:rPr>
              <w:t>N/A</w:t>
            </w:r>
          </w:p>
        </w:tc>
      </w:tr>
      <w:tr w:rsidR="00C53B16" w:rsidRPr="00576AF8" w14:paraId="6F3F1848" w14:textId="77777777" w:rsidTr="00602598">
        <w:trPr>
          <w:trHeight w:val="624"/>
        </w:trPr>
        <w:tc>
          <w:tcPr>
            <w:tcW w:w="49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807C9C9" w14:textId="77777777" w:rsidR="00C53B16" w:rsidRPr="00576AF8" w:rsidRDefault="00C53B16" w:rsidP="00C53B16">
            <w:pPr>
              <w:spacing w:after="160" w:line="259" w:lineRule="auto"/>
              <w:jc w:val="left"/>
              <w:rPr>
                <w:lang w:val="es-EC"/>
              </w:rPr>
            </w:pPr>
            <w:r w:rsidRPr="00576AF8">
              <w:rPr>
                <w:lang w:val="es-EC"/>
              </w:rPr>
              <w:t>TS4</w:t>
            </w:r>
          </w:p>
        </w:tc>
        <w:tc>
          <w:tcPr>
            <w:tcW w:w="1526"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DD50F52" w14:textId="77777777" w:rsidR="00C53B16" w:rsidRPr="00576AF8" w:rsidRDefault="00C53B16" w:rsidP="00C53B16">
            <w:pPr>
              <w:spacing w:after="160" w:line="259" w:lineRule="auto"/>
              <w:rPr>
                <w:lang w:val="es-EC"/>
              </w:rPr>
            </w:pPr>
            <w:r w:rsidRPr="00576AF8">
              <w:rPr>
                <w:lang w:val="es-EC"/>
              </w:rPr>
              <w:t>Subestación Zhoray de CELEC EP TRANSELECTRIC</w:t>
            </w:r>
          </w:p>
        </w:tc>
        <w:tc>
          <w:tcPr>
            <w:tcW w:w="720"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B97476" w14:textId="77777777" w:rsidR="00C53B16" w:rsidRPr="00576AF8" w:rsidRDefault="00C53B16" w:rsidP="00C53B16">
            <w:pPr>
              <w:spacing w:after="160" w:line="259" w:lineRule="auto"/>
              <w:jc w:val="left"/>
              <w:rPr>
                <w:lang w:val="es-EC"/>
              </w:rPr>
            </w:pPr>
            <w:r w:rsidRPr="00576AF8">
              <w:rPr>
                <w:lang w:val="es-EC"/>
              </w:rPr>
              <w:t>Azogues</w:t>
            </w:r>
          </w:p>
        </w:tc>
        <w:tc>
          <w:tcPr>
            <w:tcW w:w="1618"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B5AB23" w14:textId="77777777" w:rsidR="00C53B16" w:rsidRPr="00576AF8" w:rsidRDefault="00C53B16" w:rsidP="00C53B16">
            <w:pPr>
              <w:spacing w:after="160" w:line="259" w:lineRule="auto"/>
              <w:jc w:val="left"/>
              <w:rPr>
                <w:lang w:val="pt-BR"/>
              </w:rPr>
            </w:pPr>
            <w:r w:rsidRPr="00576AF8">
              <w:rPr>
                <w:lang w:val="pt-BR"/>
              </w:rPr>
              <w:t>KM 41 VIA AZOGUES-ZHORAY / ZHORAY</w:t>
            </w:r>
          </w:p>
        </w:tc>
        <w:tc>
          <w:tcPr>
            <w:tcW w:w="646"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E731025" w14:textId="77777777" w:rsidR="00C53B16" w:rsidRPr="00576AF8" w:rsidRDefault="00C53B16" w:rsidP="00C53B16">
            <w:pPr>
              <w:spacing w:after="160" w:line="259" w:lineRule="auto"/>
              <w:jc w:val="left"/>
              <w:rPr>
                <w:lang w:val="es-EC"/>
              </w:rPr>
            </w:pPr>
            <w:r w:rsidRPr="00576AF8">
              <w:rPr>
                <w:lang w:val="es-EC"/>
              </w:rPr>
              <w:t>N/A</w:t>
            </w:r>
          </w:p>
        </w:tc>
      </w:tr>
    </w:tbl>
    <w:p w14:paraId="629385E1" w14:textId="77777777" w:rsidR="00A20832" w:rsidRPr="00576AF8" w:rsidRDefault="00A20832" w:rsidP="008C0D90">
      <w:pPr>
        <w:pStyle w:val="Ttulo2"/>
        <w:ind w:right="41"/>
        <w:rPr>
          <w:rFonts w:ascii="Times New Roman" w:hAnsi="Times New Roman"/>
        </w:rPr>
      </w:pPr>
      <w:r w:rsidRPr="00576AF8">
        <w:rPr>
          <w:rFonts w:ascii="Times New Roman" w:hAnsi="Times New Roman"/>
        </w:rPr>
        <w:br w:type="page"/>
      </w:r>
      <w:bookmarkStart w:id="1449" w:name="_Toc521498275"/>
      <w:bookmarkStart w:id="1450" w:name="_Toc207771483"/>
      <w:bookmarkStart w:id="1451" w:name="_Toc483815390"/>
      <w:bookmarkStart w:id="1452" w:name="_Toc488944476"/>
      <w:r w:rsidRPr="00576AF8">
        <w:rPr>
          <w:rFonts w:ascii="Times New Roman" w:hAnsi="Times New Roman"/>
        </w:rPr>
        <w:lastRenderedPageBreak/>
        <w:t>C.</w:t>
      </w:r>
      <w:r w:rsidRPr="00576AF8">
        <w:rPr>
          <w:rFonts w:ascii="Times New Roman" w:hAnsi="Times New Roman"/>
        </w:rPr>
        <w:tab/>
        <w:t>Cuadro de días feriados y otros no laborables</w:t>
      </w:r>
      <w:bookmarkEnd w:id="1449"/>
      <w:bookmarkEnd w:id="1450"/>
      <w:bookmarkEnd w:id="1451"/>
      <w:bookmarkEnd w:id="1452"/>
    </w:p>
    <w:p w14:paraId="5083EF2A" w14:textId="77777777" w:rsidR="00A20832" w:rsidRPr="00576AF8" w:rsidRDefault="00A20832" w:rsidP="00A20832">
      <w:pPr>
        <w:jc w:val="center"/>
        <w:rPr>
          <w:sz w:val="22"/>
        </w:rPr>
      </w:pPr>
    </w:p>
    <w:tbl>
      <w:tblPr>
        <w:tblW w:w="8680" w:type="dxa"/>
        <w:jc w:val="center"/>
        <w:tblCellMar>
          <w:left w:w="70" w:type="dxa"/>
          <w:right w:w="70" w:type="dxa"/>
        </w:tblCellMar>
        <w:tblLook w:val="04A0" w:firstRow="1" w:lastRow="0" w:firstColumn="1" w:lastColumn="0" w:noHBand="0" w:noVBand="1"/>
      </w:tblPr>
      <w:tblGrid>
        <w:gridCol w:w="1736"/>
        <w:gridCol w:w="1736"/>
        <w:gridCol w:w="1736"/>
        <w:gridCol w:w="1736"/>
        <w:gridCol w:w="1736"/>
      </w:tblGrid>
      <w:tr w:rsidR="006E3126" w:rsidRPr="00576AF8" w14:paraId="209AD2DA" w14:textId="77777777" w:rsidTr="006E3126">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B03B5" w14:textId="77777777" w:rsidR="006E3126" w:rsidRPr="00576AF8" w:rsidRDefault="006E3126" w:rsidP="006E3126">
            <w:pPr>
              <w:suppressAutoHyphens w:val="0"/>
              <w:spacing w:after="0"/>
              <w:jc w:val="center"/>
              <w:rPr>
                <w:b/>
                <w:bCs/>
                <w:color w:val="000000"/>
                <w:sz w:val="20"/>
                <w:lang w:val="es-EC" w:eastAsia="es-EC" w:bidi="ar-SA"/>
              </w:rPr>
            </w:pPr>
            <w:r w:rsidRPr="00576AF8">
              <w:rPr>
                <w:b/>
                <w:bCs/>
                <w:color w:val="000000"/>
                <w:sz w:val="20"/>
                <w:lang w:val="es-EC" w:eastAsia="es-EC" w:bidi="ar-SA"/>
              </w:rPr>
              <w:t>Mes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A4A34B6" w14:textId="77777777" w:rsidR="006E3126" w:rsidRPr="00576AF8" w:rsidRDefault="006E3126" w:rsidP="006E3126">
            <w:pPr>
              <w:suppressAutoHyphens w:val="0"/>
              <w:spacing w:after="0"/>
              <w:jc w:val="center"/>
              <w:rPr>
                <w:b/>
                <w:bCs/>
                <w:color w:val="000000"/>
                <w:sz w:val="20"/>
                <w:lang w:val="es-EC" w:eastAsia="es-EC" w:bidi="ar-SA"/>
              </w:rPr>
            </w:pPr>
            <w:r w:rsidRPr="00576AF8">
              <w:rPr>
                <w:b/>
                <w:bCs/>
                <w:color w:val="000000"/>
                <w:sz w:val="20"/>
                <w:lang w:val="es-EC" w:eastAsia="es-EC" w:bidi="ar-SA"/>
              </w:rPr>
              <w:t>2024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BD4EAA1" w14:textId="77777777" w:rsidR="006E3126" w:rsidRPr="00576AF8" w:rsidRDefault="006E3126" w:rsidP="006E3126">
            <w:pPr>
              <w:suppressAutoHyphens w:val="0"/>
              <w:spacing w:after="0"/>
              <w:jc w:val="center"/>
              <w:rPr>
                <w:b/>
                <w:bCs/>
                <w:color w:val="000000"/>
                <w:sz w:val="20"/>
                <w:lang w:val="es-EC" w:eastAsia="es-EC" w:bidi="ar-SA"/>
              </w:rPr>
            </w:pPr>
            <w:r w:rsidRPr="00576AF8">
              <w:rPr>
                <w:b/>
                <w:bCs/>
                <w:color w:val="000000"/>
                <w:sz w:val="20"/>
                <w:lang w:val="es-EC" w:eastAsia="es-EC" w:bidi="ar-SA"/>
              </w:rPr>
              <w:t>2025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23A0B63" w14:textId="77777777" w:rsidR="006E3126" w:rsidRPr="00576AF8" w:rsidRDefault="006E3126" w:rsidP="006E3126">
            <w:pPr>
              <w:suppressAutoHyphens w:val="0"/>
              <w:spacing w:after="0"/>
              <w:jc w:val="center"/>
              <w:rPr>
                <w:b/>
                <w:bCs/>
                <w:color w:val="000000"/>
                <w:sz w:val="20"/>
                <w:lang w:val="es-EC" w:eastAsia="es-EC" w:bidi="ar-SA"/>
              </w:rPr>
            </w:pPr>
            <w:r w:rsidRPr="00576AF8">
              <w:rPr>
                <w:b/>
                <w:bCs/>
                <w:color w:val="000000"/>
                <w:sz w:val="20"/>
                <w:lang w:val="es-EC" w:eastAsia="es-EC" w:bidi="ar-SA"/>
              </w:rPr>
              <w:t>2026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7D3BA31" w14:textId="77777777" w:rsidR="006E3126" w:rsidRPr="00576AF8" w:rsidRDefault="006E3126" w:rsidP="006E3126">
            <w:pPr>
              <w:suppressAutoHyphens w:val="0"/>
              <w:spacing w:after="0"/>
              <w:jc w:val="center"/>
              <w:rPr>
                <w:b/>
                <w:bCs/>
                <w:color w:val="000000"/>
                <w:sz w:val="20"/>
                <w:lang w:val="es-EC" w:eastAsia="es-EC" w:bidi="ar-SA"/>
              </w:rPr>
            </w:pPr>
            <w:r w:rsidRPr="00576AF8">
              <w:rPr>
                <w:b/>
                <w:bCs/>
                <w:color w:val="000000"/>
                <w:sz w:val="20"/>
                <w:lang w:val="es-EC" w:eastAsia="es-EC" w:bidi="ar-SA"/>
              </w:rPr>
              <w:t>2027</w:t>
            </w:r>
          </w:p>
        </w:tc>
      </w:tr>
      <w:tr w:rsidR="006E3126" w:rsidRPr="00576AF8" w14:paraId="07938270"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E97C1FF"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1</w:t>
            </w:r>
          </w:p>
        </w:tc>
        <w:tc>
          <w:tcPr>
            <w:tcW w:w="1240" w:type="dxa"/>
            <w:tcBorders>
              <w:top w:val="nil"/>
              <w:left w:val="nil"/>
              <w:bottom w:val="single" w:sz="4" w:space="0" w:color="auto"/>
              <w:right w:val="single" w:sz="4" w:space="0" w:color="auto"/>
            </w:tcBorders>
            <w:shd w:val="clear" w:color="auto" w:fill="auto"/>
            <w:vAlign w:val="center"/>
            <w:hideMark/>
          </w:tcPr>
          <w:p w14:paraId="4EFA3472"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6FBAC6F6"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w:t>
            </w:r>
          </w:p>
        </w:tc>
        <w:tc>
          <w:tcPr>
            <w:tcW w:w="1240" w:type="dxa"/>
            <w:tcBorders>
              <w:top w:val="nil"/>
              <w:left w:val="nil"/>
              <w:bottom w:val="single" w:sz="4" w:space="0" w:color="auto"/>
              <w:right w:val="single" w:sz="4" w:space="0" w:color="auto"/>
            </w:tcBorders>
            <w:shd w:val="clear" w:color="auto" w:fill="auto"/>
            <w:vAlign w:val="center"/>
            <w:hideMark/>
          </w:tcPr>
          <w:p w14:paraId="6B6FCB7E"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1 </w:t>
            </w:r>
          </w:p>
        </w:tc>
        <w:tc>
          <w:tcPr>
            <w:tcW w:w="1240" w:type="dxa"/>
            <w:tcBorders>
              <w:top w:val="nil"/>
              <w:left w:val="nil"/>
              <w:bottom w:val="single" w:sz="4" w:space="0" w:color="auto"/>
              <w:right w:val="single" w:sz="4" w:space="0" w:color="auto"/>
            </w:tcBorders>
            <w:shd w:val="clear" w:color="auto" w:fill="auto"/>
            <w:vAlign w:val="center"/>
            <w:hideMark/>
          </w:tcPr>
          <w:p w14:paraId="3ADE91FE"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w:t>
            </w:r>
          </w:p>
        </w:tc>
      </w:tr>
      <w:tr w:rsidR="006E3126" w:rsidRPr="00576AF8" w14:paraId="3FB62F73"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0FFA8E7"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2</w:t>
            </w:r>
          </w:p>
        </w:tc>
        <w:tc>
          <w:tcPr>
            <w:tcW w:w="1240" w:type="dxa"/>
            <w:tcBorders>
              <w:top w:val="nil"/>
              <w:left w:val="nil"/>
              <w:bottom w:val="single" w:sz="4" w:space="0" w:color="auto"/>
              <w:right w:val="single" w:sz="4" w:space="0" w:color="auto"/>
            </w:tcBorders>
            <w:shd w:val="clear" w:color="auto" w:fill="auto"/>
            <w:vAlign w:val="center"/>
            <w:hideMark/>
          </w:tcPr>
          <w:p w14:paraId="2AFF71D2"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24BE5F34" w14:textId="77777777" w:rsidR="006E3126" w:rsidRPr="00576AF8" w:rsidRDefault="006E3126" w:rsidP="006E3126">
            <w:pPr>
              <w:suppressAutoHyphens w:val="0"/>
              <w:spacing w:after="0"/>
              <w:jc w:val="left"/>
              <w:rPr>
                <w:color w:val="000000"/>
                <w:sz w:val="20"/>
                <w:lang w:val="es-EC" w:eastAsia="es-EC" w:bidi="ar-SA"/>
              </w:rPr>
            </w:pPr>
          </w:p>
        </w:tc>
        <w:tc>
          <w:tcPr>
            <w:tcW w:w="1240" w:type="dxa"/>
            <w:tcBorders>
              <w:top w:val="nil"/>
              <w:left w:val="nil"/>
              <w:bottom w:val="single" w:sz="4" w:space="0" w:color="auto"/>
              <w:right w:val="single" w:sz="4" w:space="0" w:color="auto"/>
            </w:tcBorders>
            <w:shd w:val="clear" w:color="auto" w:fill="auto"/>
            <w:vAlign w:val="center"/>
            <w:hideMark/>
          </w:tcPr>
          <w:p w14:paraId="36572688"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16, 17 </w:t>
            </w:r>
          </w:p>
        </w:tc>
        <w:tc>
          <w:tcPr>
            <w:tcW w:w="1240" w:type="dxa"/>
            <w:tcBorders>
              <w:top w:val="nil"/>
              <w:left w:val="nil"/>
              <w:bottom w:val="single" w:sz="4" w:space="0" w:color="auto"/>
              <w:right w:val="single" w:sz="4" w:space="0" w:color="auto"/>
            </w:tcBorders>
            <w:shd w:val="clear" w:color="auto" w:fill="auto"/>
            <w:vAlign w:val="center"/>
            <w:hideMark/>
          </w:tcPr>
          <w:p w14:paraId="486E04AD"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8,9</w:t>
            </w:r>
          </w:p>
        </w:tc>
      </w:tr>
      <w:tr w:rsidR="006E3126" w:rsidRPr="00576AF8" w14:paraId="154E6861"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B471702"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3</w:t>
            </w:r>
          </w:p>
        </w:tc>
        <w:tc>
          <w:tcPr>
            <w:tcW w:w="1240" w:type="dxa"/>
            <w:tcBorders>
              <w:top w:val="nil"/>
              <w:left w:val="nil"/>
              <w:bottom w:val="single" w:sz="4" w:space="0" w:color="auto"/>
              <w:right w:val="single" w:sz="4" w:space="0" w:color="auto"/>
            </w:tcBorders>
            <w:shd w:val="clear" w:color="auto" w:fill="auto"/>
            <w:vAlign w:val="center"/>
            <w:hideMark/>
          </w:tcPr>
          <w:p w14:paraId="014A8577"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22EEE2A0"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3, 4 </w:t>
            </w:r>
          </w:p>
        </w:tc>
        <w:tc>
          <w:tcPr>
            <w:tcW w:w="1240" w:type="dxa"/>
            <w:tcBorders>
              <w:top w:val="nil"/>
              <w:left w:val="nil"/>
              <w:bottom w:val="single" w:sz="4" w:space="0" w:color="auto"/>
              <w:right w:val="single" w:sz="4" w:space="0" w:color="auto"/>
            </w:tcBorders>
            <w:shd w:val="clear" w:color="auto" w:fill="auto"/>
            <w:vAlign w:val="center"/>
            <w:hideMark/>
          </w:tcPr>
          <w:p w14:paraId="4178D70A"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53DE617A"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26</w:t>
            </w:r>
          </w:p>
        </w:tc>
      </w:tr>
      <w:tr w:rsidR="006E3126" w:rsidRPr="00576AF8" w14:paraId="2D16B5FE"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C0709A8"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4</w:t>
            </w:r>
          </w:p>
        </w:tc>
        <w:tc>
          <w:tcPr>
            <w:tcW w:w="1240" w:type="dxa"/>
            <w:tcBorders>
              <w:top w:val="nil"/>
              <w:left w:val="nil"/>
              <w:bottom w:val="single" w:sz="4" w:space="0" w:color="auto"/>
              <w:right w:val="single" w:sz="4" w:space="0" w:color="auto"/>
            </w:tcBorders>
            <w:shd w:val="clear" w:color="auto" w:fill="auto"/>
            <w:vAlign w:val="center"/>
            <w:hideMark/>
          </w:tcPr>
          <w:p w14:paraId="350A699E"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6B82A857"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18 </w:t>
            </w:r>
          </w:p>
        </w:tc>
        <w:tc>
          <w:tcPr>
            <w:tcW w:w="1240" w:type="dxa"/>
            <w:tcBorders>
              <w:top w:val="nil"/>
              <w:left w:val="nil"/>
              <w:bottom w:val="single" w:sz="4" w:space="0" w:color="auto"/>
              <w:right w:val="single" w:sz="4" w:space="0" w:color="auto"/>
            </w:tcBorders>
            <w:shd w:val="clear" w:color="auto" w:fill="auto"/>
            <w:vAlign w:val="center"/>
            <w:hideMark/>
          </w:tcPr>
          <w:p w14:paraId="0E80F88F"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3 </w:t>
            </w:r>
          </w:p>
        </w:tc>
        <w:tc>
          <w:tcPr>
            <w:tcW w:w="1240" w:type="dxa"/>
            <w:tcBorders>
              <w:top w:val="nil"/>
              <w:left w:val="nil"/>
              <w:bottom w:val="single" w:sz="4" w:space="0" w:color="auto"/>
              <w:right w:val="single" w:sz="4" w:space="0" w:color="auto"/>
            </w:tcBorders>
            <w:shd w:val="clear" w:color="auto" w:fill="auto"/>
            <w:vAlign w:val="center"/>
            <w:hideMark/>
          </w:tcPr>
          <w:p w14:paraId="04CC4F9C"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r>
      <w:tr w:rsidR="006E3126" w:rsidRPr="00576AF8" w14:paraId="3A0F3754"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5B508C17"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5</w:t>
            </w:r>
          </w:p>
        </w:tc>
        <w:tc>
          <w:tcPr>
            <w:tcW w:w="1240" w:type="dxa"/>
            <w:tcBorders>
              <w:top w:val="nil"/>
              <w:left w:val="nil"/>
              <w:bottom w:val="single" w:sz="4" w:space="0" w:color="auto"/>
              <w:right w:val="single" w:sz="4" w:space="0" w:color="auto"/>
            </w:tcBorders>
            <w:shd w:val="clear" w:color="auto" w:fill="auto"/>
            <w:vAlign w:val="center"/>
            <w:hideMark/>
          </w:tcPr>
          <w:p w14:paraId="3C1B3EC0"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 24</w:t>
            </w:r>
          </w:p>
        </w:tc>
        <w:tc>
          <w:tcPr>
            <w:tcW w:w="1240" w:type="dxa"/>
            <w:tcBorders>
              <w:top w:val="nil"/>
              <w:left w:val="nil"/>
              <w:bottom w:val="single" w:sz="4" w:space="0" w:color="auto"/>
              <w:right w:val="single" w:sz="4" w:space="0" w:color="auto"/>
            </w:tcBorders>
            <w:shd w:val="clear" w:color="auto" w:fill="auto"/>
            <w:vAlign w:val="center"/>
            <w:hideMark/>
          </w:tcPr>
          <w:p w14:paraId="7C4310E8"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 24</w:t>
            </w:r>
          </w:p>
        </w:tc>
        <w:tc>
          <w:tcPr>
            <w:tcW w:w="1240" w:type="dxa"/>
            <w:tcBorders>
              <w:top w:val="nil"/>
              <w:left w:val="nil"/>
              <w:bottom w:val="single" w:sz="4" w:space="0" w:color="auto"/>
              <w:right w:val="single" w:sz="4" w:space="0" w:color="auto"/>
            </w:tcBorders>
            <w:shd w:val="clear" w:color="auto" w:fill="auto"/>
            <w:vAlign w:val="center"/>
            <w:hideMark/>
          </w:tcPr>
          <w:p w14:paraId="33EC8739"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 24</w:t>
            </w:r>
          </w:p>
        </w:tc>
        <w:tc>
          <w:tcPr>
            <w:tcW w:w="1240" w:type="dxa"/>
            <w:tcBorders>
              <w:top w:val="nil"/>
              <w:left w:val="nil"/>
              <w:bottom w:val="single" w:sz="4" w:space="0" w:color="auto"/>
              <w:right w:val="single" w:sz="4" w:space="0" w:color="auto"/>
            </w:tcBorders>
            <w:shd w:val="clear" w:color="auto" w:fill="auto"/>
            <w:vAlign w:val="center"/>
            <w:hideMark/>
          </w:tcPr>
          <w:p w14:paraId="140C61C3"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 24</w:t>
            </w:r>
          </w:p>
        </w:tc>
      </w:tr>
      <w:tr w:rsidR="006E3126" w:rsidRPr="00576AF8" w14:paraId="141D3E0B"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4CA61E9"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6</w:t>
            </w:r>
          </w:p>
        </w:tc>
        <w:tc>
          <w:tcPr>
            <w:tcW w:w="1240" w:type="dxa"/>
            <w:tcBorders>
              <w:top w:val="nil"/>
              <w:left w:val="nil"/>
              <w:bottom w:val="single" w:sz="4" w:space="0" w:color="auto"/>
              <w:right w:val="single" w:sz="4" w:space="0" w:color="auto"/>
            </w:tcBorders>
            <w:shd w:val="clear" w:color="auto" w:fill="auto"/>
            <w:vAlign w:val="center"/>
            <w:hideMark/>
          </w:tcPr>
          <w:p w14:paraId="131B2407"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1341E81A"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6271F2D4"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487D907F"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r>
      <w:tr w:rsidR="006E3126" w:rsidRPr="00576AF8" w14:paraId="7236E286"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40E1E0AC"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7</w:t>
            </w:r>
          </w:p>
        </w:tc>
        <w:tc>
          <w:tcPr>
            <w:tcW w:w="1240" w:type="dxa"/>
            <w:tcBorders>
              <w:top w:val="nil"/>
              <w:left w:val="nil"/>
              <w:bottom w:val="single" w:sz="4" w:space="0" w:color="auto"/>
              <w:right w:val="single" w:sz="4" w:space="0" w:color="auto"/>
            </w:tcBorders>
            <w:shd w:val="clear" w:color="auto" w:fill="auto"/>
            <w:vAlign w:val="center"/>
            <w:hideMark/>
          </w:tcPr>
          <w:p w14:paraId="3474F490"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05D6F622"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22AD2436"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6752E563"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r>
      <w:tr w:rsidR="006E3126" w:rsidRPr="00576AF8" w14:paraId="725A7748"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E9D2D89"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8</w:t>
            </w:r>
          </w:p>
        </w:tc>
        <w:tc>
          <w:tcPr>
            <w:tcW w:w="1240" w:type="dxa"/>
            <w:tcBorders>
              <w:top w:val="nil"/>
              <w:left w:val="nil"/>
              <w:bottom w:val="single" w:sz="4" w:space="0" w:color="auto"/>
              <w:right w:val="single" w:sz="4" w:space="0" w:color="auto"/>
            </w:tcBorders>
            <w:shd w:val="clear" w:color="auto" w:fill="auto"/>
            <w:vAlign w:val="center"/>
            <w:hideMark/>
          </w:tcPr>
          <w:p w14:paraId="2EE8A82D"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10</w:t>
            </w:r>
          </w:p>
        </w:tc>
        <w:tc>
          <w:tcPr>
            <w:tcW w:w="1240" w:type="dxa"/>
            <w:tcBorders>
              <w:top w:val="nil"/>
              <w:left w:val="nil"/>
              <w:bottom w:val="single" w:sz="4" w:space="0" w:color="auto"/>
              <w:right w:val="single" w:sz="4" w:space="0" w:color="auto"/>
            </w:tcBorders>
            <w:shd w:val="clear" w:color="auto" w:fill="auto"/>
            <w:vAlign w:val="center"/>
            <w:hideMark/>
          </w:tcPr>
          <w:p w14:paraId="2E88A429"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10</w:t>
            </w:r>
          </w:p>
        </w:tc>
        <w:tc>
          <w:tcPr>
            <w:tcW w:w="1240" w:type="dxa"/>
            <w:tcBorders>
              <w:top w:val="nil"/>
              <w:left w:val="nil"/>
              <w:bottom w:val="single" w:sz="4" w:space="0" w:color="auto"/>
              <w:right w:val="single" w:sz="4" w:space="0" w:color="auto"/>
            </w:tcBorders>
            <w:shd w:val="clear" w:color="auto" w:fill="auto"/>
            <w:vAlign w:val="center"/>
            <w:hideMark/>
          </w:tcPr>
          <w:p w14:paraId="4B0E7C41"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10</w:t>
            </w:r>
          </w:p>
        </w:tc>
        <w:tc>
          <w:tcPr>
            <w:tcW w:w="1240" w:type="dxa"/>
            <w:tcBorders>
              <w:top w:val="nil"/>
              <w:left w:val="nil"/>
              <w:bottom w:val="single" w:sz="4" w:space="0" w:color="auto"/>
              <w:right w:val="single" w:sz="4" w:space="0" w:color="auto"/>
            </w:tcBorders>
            <w:shd w:val="clear" w:color="auto" w:fill="auto"/>
            <w:vAlign w:val="center"/>
            <w:hideMark/>
          </w:tcPr>
          <w:p w14:paraId="05C1AEC5"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10</w:t>
            </w:r>
          </w:p>
        </w:tc>
      </w:tr>
      <w:tr w:rsidR="006E3126" w:rsidRPr="00576AF8" w14:paraId="28826150"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139EFC72"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9</w:t>
            </w:r>
          </w:p>
        </w:tc>
        <w:tc>
          <w:tcPr>
            <w:tcW w:w="1240" w:type="dxa"/>
            <w:tcBorders>
              <w:top w:val="nil"/>
              <w:left w:val="nil"/>
              <w:bottom w:val="single" w:sz="4" w:space="0" w:color="auto"/>
              <w:right w:val="single" w:sz="4" w:space="0" w:color="auto"/>
            </w:tcBorders>
            <w:shd w:val="clear" w:color="auto" w:fill="auto"/>
            <w:vAlign w:val="center"/>
            <w:hideMark/>
          </w:tcPr>
          <w:p w14:paraId="55475B7C"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2D8D751F"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26D2EE45"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c>
          <w:tcPr>
            <w:tcW w:w="1240" w:type="dxa"/>
            <w:tcBorders>
              <w:top w:val="nil"/>
              <w:left w:val="nil"/>
              <w:bottom w:val="single" w:sz="4" w:space="0" w:color="auto"/>
              <w:right w:val="single" w:sz="4" w:space="0" w:color="auto"/>
            </w:tcBorders>
            <w:shd w:val="clear" w:color="auto" w:fill="auto"/>
            <w:vAlign w:val="center"/>
            <w:hideMark/>
          </w:tcPr>
          <w:p w14:paraId="050B95E7"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w:t>
            </w:r>
          </w:p>
        </w:tc>
      </w:tr>
      <w:tr w:rsidR="006E3126" w:rsidRPr="00576AF8" w14:paraId="698020E4"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2CDBFBDA"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10</w:t>
            </w:r>
          </w:p>
        </w:tc>
        <w:tc>
          <w:tcPr>
            <w:tcW w:w="1240" w:type="dxa"/>
            <w:tcBorders>
              <w:top w:val="nil"/>
              <w:left w:val="nil"/>
              <w:bottom w:val="single" w:sz="4" w:space="0" w:color="auto"/>
              <w:right w:val="single" w:sz="4" w:space="0" w:color="auto"/>
            </w:tcBorders>
            <w:shd w:val="clear" w:color="auto" w:fill="auto"/>
            <w:vAlign w:val="center"/>
            <w:hideMark/>
          </w:tcPr>
          <w:p w14:paraId="0E59A01B"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9</w:t>
            </w:r>
          </w:p>
        </w:tc>
        <w:tc>
          <w:tcPr>
            <w:tcW w:w="1240" w:type="dxa"/>
            <w:tcBorders>
              <w:top w:val="nil"/>
              <w:left w:val="nil"/>
              <w:bottom w:val="single" w:sz="4" w:space="0" w:color="auto"/>
              <w:right w:val="single" w:sz="4" w:space="0" w:color="auto"/>
            </w:tcBorders>
            <w:shd w:val="clear" w:color="auto" w:fill="auto"/>
            <w:vAlign w:val="center"/>
            <w:hideMark/>
          </w:tcPr>
          <w:p w14:paraId="1F5FF158"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9</w:t>
            </w:r>
          </w:p>
        </w:tc>
        <w:tc>
          <w:tcPr>
            <w:tcW w:w="1240" w:type="dxa"/>
            <w:tcBorders>
              <w:top w:val="nil"/>
              <w:left w:val="nil"/>
              <w:bottom w:val="single" w:sz="4" w:space="0" w:color="auto"/>
              <w:right w:val="single" w:sz="4" w:space="0" w:color="auto"/>
            </w:tcBorders>
            <w:shd w:val="clear" w:color="auto" w:fill="auto"/>
            <w:vAlign w:val="center"/>
            <w:hideMark/>
          </w:tcPr>
          <w:p w14:paraId="3EBA8606"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9</w:t>
            </w:r>
          </w:p>
        </w:tc>
        <w:tc>
          <w:tcPr>
            <w:tcW w:w="1240" w:type="dxa"/>
            <w:tcBorders>
              <w:top w:val="nil"/>
              <w:left w:val="nil"/>
              <w:bottom w:val="single" w:sz="4" w:space="0" w:color="auto"/>
              <w:right w:val="single" w:sz="4" w:space="0" w:color="auto"/>
            </w:tcBorders>
            <w:shd w:val="clear" w:color="auto" w:fill="auto"/>
            <w:vAlign w:val="center"/>
            <w:hideMark/>
          </w:tcPr>
          <w:p w14:paraId="14B471D8"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9</w:t>
            </w:r>
          </w:p>
        </w:tc>
      </w:tr>
      <w:tr w:rsidR="006E3126" w:rsidRPr="00576AF8" w14:paraId="019C821A"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737AB838"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11</w:t>
            </w:r>
          </w:p>
        </w:tc>
        <w:tc>
          <w:tcPr>
            <w:tcW w:w="1240" w:type="dxa"/>
            <w:tcBorders>
              <w:top w:val="nil"/>
              <w:left w:val="nil"/>
              <w:bottom w:val="single" w:sz="4" w:space="0" w:color="auto"/>
              <w:right w:val="single" w:sz="4" w:space="0" w:color="auto"/>
            </w:tcBorders>
            <w:shd w:val="clear" w:color="auto" w:fill="auto"/>
            <w:vAlign w:val="center"/>
            <w:hideMark/>
          </w:tcPr>
          <w:p w14:paraId="45FA440A"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2, 3 </w:t>
            </w:r>
          </w:p>
        </w:tc>
        <w:tc>
          <w:tcPr>
            <w:tcW w:w="1240" w:type="dxa"/>
            <w:tcBorders>
              <w:top w:val="nil"/>
              <w:left w:val="nil"/>
              <w:bottom w:val="single" w:sz="4" w:space="0" w:color="auto"/>
              <w:right w:val="single" w:sz="4" w:space="0" w:color="auto"/>
            </w:tcBorders>
            <w:shd w:val="clear" w:color="auto" w:fill="auto"/>
            <w:vAlign w:val="center"/>
            <w:hideMark/>
          </w:tcPr>
          <w:p w14:paraId="2D110BAD"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2, 3 </w:t>
            </w:r>
          </w:p>
        </w:tc>
        <w:tc>
          <w:tcPr>
            <w:tcW w:w="1240" w:type="dxa"/>
            <w:tcBorders>
              <w:top w:val="nil"/>
              <w:left w:val="nil"/>
              <w:bottom w:val="single" w:sz="4" w:space="0" w:color="auto"/>
              <w:right w:val="single" w:sz="4" w:space="0" w:color="auto"/>
            </w:tcBorders>
            <w:shd w:val="clear" w:color="auto" w:fill="auto"/>
            <w:vAlign w:val="center"/>
            <w:hideMark/>
          </w:tcPr>
          <w:p w14:paraId="01F9AFBD"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2, 3 </w:t>
            </w:r>
          </w:p>
        </w:tc>
        <w:tc>
          <w:tcPr>
            <w:tcW w:w="1240" w:type="dxa"/>
            <w:tcBorders>
              <w:top w:val="nil"/>
              <w:left w:val="nil"/>
              <w:bottom w:val="single" w:sz="4" w:space="0" w:color="auto"/>
              <w:right w:val="single" w:sz="4" w:space="0" w:color="auto"/>
            </w:tcBorders>
            <w:shd w:val="clear" w:color="auto" w:fill="auto"/>
            <w:vAlign w:val="center"/>
            <w:hideMark/>
          </w:tcPr>
          <w:p w14:paraId="62D78880"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2, 3 </w:t>
            </w:r>
          </w:p>
        </w:tc>
      </w:tr>
      <w:tr w:rsidR="006E3126" w:rsidRPr="00576AF8" w14:paraId="64A0610D" w14:textId="77777777" w:rsidTr="006E3126">
        <w:trPr>
          <w:trHeight w:val="288"/>
          <w:jc w:val="center"/>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6C37E3A1" w14:textId="77777777" w:rsidR="006E3126" w:rsidRPr="00576AF8" w:rsidRDefault="006E3126" w:rsidP="006E3126">
            <w:pPr>
              <w:suppressAutoHyphens w:val="0"/>
              <w:spacing w:after="0"/>
              <w:jc w:val="center"/>
              <w:rPr>
                <w:color w:val="000000"/>
                <w:sz w:val="20"/>
                <w:lang w:val="es-EC" w:eastAsia="es-EC" w:bidi="ar-SA"/>
              </w:rPr>
            </w:pPr>
            <w:r w:rsidRPr="00576AF8">
              <w:rPr>
                <w:color w:val="000000"/>
                <w:sz w:val="20"/>
                <w:lang w:val="es-EC" w:eastAsia="es-EC" w:bidi="ar-SA"/>
              </w:rPr>
              <w:t>12</w:t>
            </w:r>
          </w:p>
        </w:tc>
        <w:tc>
          <w:tcPr>
            <w:tcW w:w="1240" w:type="dxa"/>
            <w:tcBorders>
              <w:top w:val="nil"/>
              <w:left w:val="nil"/>
              <w:bottom w:val="single" w:sz="4" w:space="0" w:color="auto"/>
              <w:right w:val="single" w:sz="4" w:space="0" w:color="auto"/>
            </w:tcBorders>
            <w:shd w:val="clear" w:color="auto" w:fill="auto"/>
            <w:vAlign w:val="center"/>
            <w:hideMark/>
          </w:tcPr>
          <w:p w14:paraId="37247C92"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6, 25</w:t>
            </w:r>
          </w:p>
        </w:tc>
        <w:tc>
          <w:tcPr>
            <w:tcW w:w="1240" w:type="dxa"/>
            <w:tcBorders>
              <w:top w:val="nil"/>
              <w:left w:val="nil"/>
              <w:bottom w:val="single" w:sz="4" w:space="0" w:color="auto"/>
              <w:right w:val="single" w:sz="4" w:space="0" w:color="auto"/>
            </w:tcBorders>
            <w:shd w:val="clear" w:color="auto" w:fill="auto"/>
            <w:vAlign w:val="center"/>
            <w:hideMark/>
          </w:tcPr>
          <w:p w14:paraId="0DCBAD68"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6, 25</w:t>
            </w:r>
          </w:p>
        </w:tc>
        <w:tc>
          <w:tcPr>
            <w:tcW w:w="1240" w:type="dxa"/>
            <w:tcBorders>
              <w:top w:val="nil"/>
              <w:left w:val="nil"/>
              <w:bottom w:val="single" w:sz="4" w:space="0" w:color="auto"/>
              <w:right w:val="single" w:sz="4" w:space="0" w:color="auto"/>
            </w:tcBorders>
            <w:shd w:val="clear" w:color="auto" w:fill="auto"/>
            <w:vAlign w:val="center"/>
            <w:hideMark/>
          </w:tcPr>
          <w:p w14:paraId="59C82361"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6, 25</w:t>
            </w:r>
          </w:p>
        </w:tc>
        <w:tc>
          <w:tcPr>
            <w:tcW w:w="1240" w:type="dxa"/>
            <w:tcBorders>
              <w:top w:val="nil"/>
              <w:left w:val="nil"/>
              <w:bottom w:val="single" w:sz="4" w:space="0" w:color="auto"/>
              <w:right w:val="single" w:sz="4" w:space="0" w:color="auto"/>
            </w:tcBorders>
            <w:shd w:val="clear" w:color="auto" w:fill="auto"/>
            <w:vAlign w:val="center"/>
            <w:hideMark/>
          </w:tcPr>
          <w:p w14:paraId="6E022DB5" w14:textId="77777777" w:rsidR="006E3126" w:rsidRPr="00576AF8" w:rsidRDefault="006E3126" w:rsidP="006E3126">
            <w:pPr>
              <w:suppressAutoHyphens w:val="0"/>
              <w:spacing w:after="0"/>
              <w:jc w:val="left"/>
              <w:rPr>
                <w:color w:val="000000"/>
                <w:sz w:val="20"/>
                <w:lang w:val="es-EC" w:eastAsia="es-EC" w:bidi="ar-SA"/>
              </w:rPr>
            </w:pPr>
            <w:r w:rsidRPr="00576AF8">
              <w:rPr>
                <w:color w:val="000000"/>
                <w:sz w:val="20"/>
                <w:lang w:val="es-EC" w:eastAsia="es-EC" w:bidi="ar-SA"/>
              </w:rPr>
              <w:t> 6, 25</w:t>
            </w:r>
          </w:p>
        </w:tc>
      </w:tr>
    </w:tbl>
    <w:p w14:paraId="77B829ED" w14:textId="77777777" w:rsidR="006E3126" w:rsidRPr="00576AF8" w:rsidRDefault="006E3126" w:rsidP="00A20832">
      <w:pPr>
        <w:jc w:val="center"/>
        <w:rPr>
          <w:sz w:val="22"/>
        </w:rPr>
      </w:pPr>
    </w:p>
    <w:p w14:paraId="6F2D731D" w14:textId="77777777" w:rsidR="00A20832" w:rsidRPr="00576AF8" w:rsidRDefault="00A20832" w:rsidP="00A20832"/>
    <w:p w14:paraId="3DA60FDA" w14:textId="77777777" w:rsidR="00A20832" w:rsidRPr="00576AF8" w:rsidRDefault="00A20832" w:rsidP="00A20832">
      <w:pPr>
        <w:tabs>
          <w:tab w:val="left" w:pos="8640"/>
        </w:tabs>
        <w:rPr>
          <w:b/>
          <w:sz w:val="32"/>
          <w:szCs w:val="32"/>
        </w:rPr>
      </w:pPr>
    </w:p>
    <w:p w14:paraId="26BB02D3" w14:textId="77777777" w:rsidR="00A20832" w:rsidRPr="00576AF8" w:rsidRDefault="00A20832" w:rsidP="00A20832">
      <w:pPr>
        <w:tabs>
          <w:tab w:val="left" w:pos="8640"/>
        </w:tabs>
        <w:rPr>
          <w:b/>
          <w:sz w:val="32"/>
          <w:szCs w:val="32"/>
        </w:rPr>
        <w:sectPr w:rsidR="00A20832" w:rsidRPr="00576AF8" w:rsidSect="000968D2">
          <w:pgSz w:w="15840" w:h="12240" w:orient="landscape" w:code="1"/>
          <w:pgMar w:top="1440" w:right="1440" w:bottom="1440" w:left="1440" w:header="720" w:footer="720" w:gutter="0"/>
          <w:cols w:space="720"/>
          <w:docGrid w:linePitch="360"/>
        </w:sectPr>
      </w:pPr>
    </w:p>
    <w:p w14:paraId="6F683051" w14:textId="77777777" w:rsidR="00A20832" w:rsidRPr="00576AF8" w:rsidRDefault="00A20832" w:rsidP="00A20832">
      <w:pPr>
        <w:jc w:val="center"/>
        <w:rPr>
          <w:b/>
          <w:sz w:val="36"/>
          <w:szCs w:val="36"/>
        </w:rPr>
      </w:pPr>
      <w:bookmarkStart w:id="1453" w:name="_Toc454641238"/>
      <w:r w:rsidRPr="00576AF8">
        <w:rPr>
          <w:b/>
          <w:sz w:val="36"/>
          <w:szCs w:val="36"/>
        </w:rPr>
        <w:lastRenderedPageBreak/>
        <w:t xml:space="preserve">Cuadros del </w:t>
      </w:r>
      <w:r w:rsidR="00682368" w:rsidRPr="00576AF8">
        <w:rPr>
          <w:b/>
          <w:sz w:val="36"/>
          <w:szCs w:val="36"/>
        </w:rPr>
        <w:t xml:space="preserve">Inventario </w:t>
      </w:r>
      <w:r w:rsidRPr="00576AF8">
        <w:rPr>
          <w:b/>
          <w:sz w:val="36"/>
          <w:szCs w:val="36"/>
        </w:rPr>
        <w:t>del Sistema</w:t>
      </w:r>
      <w:bookmarkEnd w:id="1453"/>
    </w:p>
    <w:p w14:paraId="0B128133" w14:textId="77777777" w:rsidR="00A20832" w:rsidRPr="00576AF8" w:rsidRDefault="00A20832" w:rsidP="00A20832">
      <w:pPr>
        <w:pStyle w:val="explanatorynotes"/>
        <w:rPr>
          <w:rFonts w:ascii="Times New Roman" w:hAnsi="Times New Roman"/>
        </w:rPr>
      </w:pPr>
    </w:p>
    <w:p w14:paraId="5FF3390C" w14:textId="77777777" w:rsidR="00A20832" w:rsidRPr="00576AF8" w:rsidRDefault="00A20832" w:rsidP="00A20832">
      <w:pPr>
        <w:pStyle w:val="Ttulo2"/>
        <w:rPr>
          <w:rFonts w:ascii="Times New Roman" w:hAnsi="Times New Roman"/>
        </w:rPr>
      </w:pPr>
      <w:r w:rsidRPr="00576AF8">
        <w:rPr>
          <w:rFonts w:ascii="Times New Roman" w:hAnsi="Times New Roman"/>
        </w:rPr>
        <w:t>Índice: Cuadros del inventario del Sistema</w:t>
      </w:r>
    </w:p>
    <w:p w14:paraId="10E0720E" w14:textId="77777777" w:rsidR="00231587" w:rsidRPr="00576AF8" w:rsidRDefault="001D53E9">
      <w:pPr>
        <w:pStyle w:val="TDC1"/>
        <w:rPr>
          <w:rFonts w:ascii="Times New Roman" w:eastAsiaTheme="minorEastAsia" w:hAnsi="Times New Roman"/>
          <w:b w:val="0"/>
          <w:noProof/>
          <w:sz w:val="22"/>
          <w:szCs w:val="22"/>
          <w:lang w:eastAsia="zh-CN" w:bidi="ar-SA"/>
        </w:rPr>
      </w:pPr>
      <w:r w:rsidRPr="00576AF8">
        <w:rPr>
          <w:rFonts w:ascii="Times New Roman" w:hAnsi="Times New Roman"/>
        </w:rPr>
        <w:fldChar w:fldCharType="begin"/>
      </w:r>
      <w:r w:rsidRPr="00576AF8">
        <w:rPr>
          <w:rFonts w:ascii="Times New Roman" w:hAnsi="Times New Roman"/>
        </w:rPr>
        <w:instrText xml:space="preserve"> TOC \h \z \t "Head 5c.1;1" </w:instrText>
      </w:r>
      <w:r w:rsidRPr="00576AF8">
        <w:rPr>
          <w:rFonts w:ascii="Times New Roman" w:hAnsi="Times New Roman"/>
        </w:rPr>
        <w:fldChar w:fldCharType="separate"/>
      </w:r>
      <w:hyperlink w:anchor="_Toc488946935" w:history="1">
        <w:r w:rsidR="00231587" w:rsidRPr="00576AF8">
          <w:rPr>
            <w:rStyle w:val="Hipervnculo"/>
            <w:rFonts w:ascii="Times New Roman" w:hAnsi="Times New Roman"/>
            <w:noProof/>
          </w:rPr>
          <w:t xml:space="preserve">Cuadro del inventario del Sistema (rubros de costos relativos al suministro </w:t>
        </w:r>
        <w:r w:rsidR="00231587" w:rsidRPr="00576AF8">
          <w:rPr>
            <w:rStyle w:val="Hipervnculo"/>
            <w:rFonts w:ascii="Times New Roman" w:hAnsi="Times New Roman"/>
            <w:noProof/>
          </w:rPr>
          <w:br/>
          <w:t xml:space="preserve">y la instalación) </w:t>
        </w:r>
        <w:r w:rsidR="00231587" w:rsidRPr="00576AF8">
          <w:rPr>
            <w:rStyle w:val="Hipervnculo"/>
            <w:rFonts w:ascii="Times New Roman" w:hAnsi="Times New Roman"/>
            <w:i/>
            <w:iCs/>
            <w:noProof/>
          </w:rPr>
          <w:t>[inserte: número de identificación]</w:t>
        </w:r>
        <w:r w:rsidR="00231587" w:rsidRPr="00576AF8">
          <w:rPr>
            <w:rFonts w:ascii="Times New Roman" w:hAnsi="Times New Roman"/>
            <w:noProof/>
            <w:webHidden/>
          </w:rPr>
          <w:tab/>
        </w:r>
        <w:r w:rsidR="00231587" w:rsidRPr="00576AF8">
          <w:rPr>
            <w:rFonts w:ascii="Times New Roman" w:hAnsi="Times New Roman"/>
            <w:noProof/>
            <w:webHidden/>
          </w:rPr>
          <w:fldChar w:fldCharType="begin"/>
        </w:r>
        <w:r w:rsidR="00231587" w:rsidRPr="00576AF8">
          <w:rPr>
            <w:rFonts w:ascii="Times New Roman" w:hAnsi="Times New Roman"/>
            <w:noProof/>
            <w:webHidden/>
          </w:rPr>
          <w:instrText xml:space="preserve"> PAGEREF _Toc488946935 \h </w:instrText>
        </w:r>
        <w:r w:rsidR="00231587" w:rsidRPr="00576AF8">
          <w:rPr>
            <w:rFonts w:ascii="Times New Roman" w:hAnsi="Times New Roman"/>
            <w:noProof/>
            <w:webHidden/>
          </w:rPr>
        </w:r>
        <w:r w:rsidR="00231587" w:rsidRPr="00576AF8">
          <w:rPr>
            <w:rFonts w:ascii="Times New Roman" w:hAnsi="Times New Roman"/>
            <w:noProof/>
            <w:webHidden/>
          </w:rPr>
          <w:fldChar w:fldCharType="separate"/>
        </w:r>
        <w:r w:rsidR="00A264B5" w:rsidRPr="00576AF8">
          <w:rPr>
            <w:rFonts w:ascii="Times New Roman" w:hAnsi="Times New Roman"/>
            <w:noProof/>
            <w:webHidden/>
          </w:rPr>
          <w:t>153</w:t>
        </w:r>
        <w:r w:rsidR="00231587" w:rsidRPr="00576AF8">
          <w:rPr>
            <w:rFonts w:ascii="Times New Roman" w:hAnsi="Times New Roman"/>
            <w:noProof/>
            <w:webHidden/>
          </w:rPr>
          <w:fldChar w:fldCharType="end"/>
        </w:r>
      </w:hyperlink>
    </w:p>
    <w:p w14:paraId="0D843DC2" w14:textId="77777777" w:rsidR="00231587" w:rsidRPr="00576AF8" w:rsidRDefault="006334E7">
      <w:pPr>
        <w:pStyle w:val="TDC1"/>
        <w:rPr>
          <w:rFonts w:ascii="Times New Roman" w:eastAsiaTheme="minorEastAsia" w:hAnsi="Times New Roman"/>
          <w:b w:val="0"/>
          <w:noProof/>
          <w:sz w:val="22"/>
          <w:szCs w:val="22"/>
          <w:lang w:eastAsia="zh-CN" w:bidi="ar-SA"/>
        </w:rPr>
      </w:pPr>
      <w:hyperlink w:anchor="_Toc488946936" w:history="1">
        <w:r w:rsidR="00231587" w:rsidRPr="00576AF8">
          <w:rPr>
            <w:rStyle w:val="Hipervnculo"/>
            <w:rFonts w:ascii="Times New Roman" w:hAnsi="Times New Roman"/>
            <w:noProof/>
          </w:rPr>
          <w:t xml:space="preserve">Cuadro del inventario del Sistema (rubros de gastos recurrentes) </w:t>
        </w:r>
        <w:r w:rsidR="00231587" w:rsidRPr="00576AF8">
          <w:rPr>
            <w:rStyle w:val="Hipervnculo"/>
            <w:rFonts w:ascii="Times New Roman" w:hAnsi="Times New Roman"/>
            <w:i/>
            <w:iCs/>
            <w:noProof/>
          </w:rPr>
          <w:t xml:space="preserve">[inserte: número </w:t>
        </w:r>
        <w:r w:rsidR="00231587" w:rsidRPr="00576AF8">
          <w:rPr>
            <w:rStyle w:val="Hipervnculo"/>
            <w:rFonts w:ascii="Times New Roman" w:hAnsi="Times New Roman"/>
            <w:i/>
            <w:iCs/>
            <w:noProof/>
          </w:rPr>
          <w:br/>
          <w:t>de identificación]</w:t>
        </w:r>
        <w:r w:rsidR="00231587" w:rsidRPr="00576AF8">
          <w:rPr>
            <w:rFonts w:ascii="Times New Roman" w:hAnsi="Times New Roman"/>
            <w:noProof/>
            <w:webHidden/>
          </w:rPr>
          <w:tab/>
        </w:r>
        <w:r w:rsidR="00231587" w:rsidRPr="00576AF8">
          <w:rPr>
            <w:rFonts w:ascii="Times New Roman" w:hAnsi="Times New Roman"/>
            <w:noProof/>
            <w:webHidden/>
          </w:rPr>
          <w:fldChar w:fldCharType="begin"/>
        </w:r>
        <w:r w:rsidR="00231587" w:rsidRPr="00576AF8">
          <w:rPr>
            <w:rFonts w:ascii="Times New Roman" w:hAnsi="Times New Roman"/>
            <w:noProof/>
            <w:webHidden/>
          </w:rPr>
          <w:instrText xml:space="preserve"> PAGEREF _Toc488946936 \h </w:instrText>
        </w:r>
        <w:r w:rsidR="00231587" w:rsidRPr="00576AF8">
          <w:rPr>
            <w:rFonts w:ascii="Times New Roman" w:hAnsi="Times New Roman"/>
            <w:noProof/>
            <w:webHidden/>
          </w:rPr>
        </w:r>
        <w:r w:rsidR="00231587" w:rsidRPr="00576AF8">
          <w:rPr>
            <w:rFonts w:ascii="Times New Roman" w:hAnsi="Times New Roman"/>
            <w:noProof/>
            <w:webHidden/>
          </w:rPr>
          <w:fldChar w:fldCharType="separate"/>
        </w:r>
        <w:r w:rsidR="00A264B5" w:rsidRPr="00576AF8">
          <w:rPr>
            <w:rFonts w:ascii="Times New Roman" w:hAnsi="Times New Roman"/>
            <w:noProof/>
            <w:webHidden/>
          </w:rPr>
          <w:t>154</w:t>
        </w:r>
        <w:r w:rsidR="00231587" w:rsidRPr="00576AF8">
          <w:rPr>
            <w:rFonts w:ascii="Times New Roman" w:hAnsi="Times New Roman"/>
            <w:noProof/>
            <w:webHidden/>
          </w:rPr>
          <w:fldChar w:fldCharType="end"/>
        </w:r>
      </w:hyperlink>
    </w:p>
    <w:p w14:paraId="2541F792" w14:textId="77777777" w:rsidR="00A20832" w:rsidRPr="00576AF8" w:rsidRDefault="001D53E9" w:rsidP="00A20832">
      <w:pPr>
        <w:pStyle w:val="explanatorynotes"/>
        <w:jc w:val="left"/>
        <w:rPr>
          <w:rFonts w:ascii="Times New Roman" w:hAnsi="Times New Roman"/>
        </w:rPr>
      </w:pPr>
      <w:r w:rsidRPr="00576AF8">
        <w:rPr>
          <w:rFonts w:ascii="Times New Roman" w:hAnsi="Times New Roman"/>
        </w:rPr>
        <w:fldChar w:fldCharType="end"/>
      </w:r>
    </w:p>
    <w:p w14:paraId="6EC36970" w14:textId="77777777" w:rsidR="001D53E9" w:rsidRPr="00576AF8" w:rsidRDefault="001D53E9" w:rsidP="00A20832">
      <w:pPr>
        <w:pStyle w:val="explanatorynotes"/>
        <w:jc w:val="left"/>
        <w:rPr>
          <w:rFonts w:ascii="Times New Roman" w:hAnsi="Times New Roman"/>
        </w:rPr>
      </w:pPr>
    </w:p>
    <w:p w14:paraId="59B0DFE1" w14:textId="77777777" w:rsidR="00A20832" w:rsidRPr="00576AF8" w:rsidRDefault="00A20832" w:rsidP="00A20832">
      <w:pPr>
        <w:rPr>
          <w:sz w:val="32"/>
        </w:rPr>
        <w:sectPr w:rsidR="00A20832" w:rsidRPr="00576AF8" w:rsidSect="000968D2">
          <w:headerReference w:type="even" r:id="rId66"/>
          <w:headerReference w:type="default" r:id="rId67"/>
          <w:headerReference w:type="first" r:id="rId68"/>
          <w:footnotePr>
            <w:numRestart w:val="eachPage"/>
          </w:footnotePr>
          <w:endnotePr>
            <w:numRestart w:val="eachSect"/>
          </w:endnotePr>
          <w:pgSz w:w="12240" w:h="15840" w:code="1"/>
          <w:pgMar w:top="1440" w:right="1440" w:bottom="1440" w:left="1440" w:header="720" w:footer="431" w:gutter="0"/>
          <w:cols w:space="720"/>
          <w:formProt w:val="0"/>
        </w:sectPr>
      </w:pPr>
    </w:p>
    <w:p w14:paraId="71898DAE" w14:textId="77777777" w:rsidR="00A20832" w:rsidRPr="00576AF8" w:rsidRDefault="00A20832" w:rsidP="008C0D90">
      <w:pPr>
        <w:pStyle w:val="Ttulo2"/>
        <w:ind w:right="41"/>
        <w:rPr>
          <w:rFonts w:ascii="Times New Roman" w:hAnsi="Times New Roman"/>
          <w:i/>
        </w:rPr>
      </w:pPr>
      <w:bookmarkStart w:id="1454" w:name="_Toc433161261"/>
      <w:bookmarkStart w:id="1455" w:name="_Toc521498272"/>
      <w:bookmarkStart w:id="1456" w:name="_Toc207771480"/>
      <w:bookmarkStart w:id="1457" w:name="_Toc488946935"/>
      <w:r w:rsidRPr="00576AF8">
        <w:rPr>
          <w:rFonts w:ascii="Times New Roman" w:hAnsi="Times New Roman"/>
        </w:rPr>
        <w:lastRenderedPageBreak/>
        <w:t>Cuadro del inventario del Sistema (rubro</w:t>
      </w:r>
      <w:r w:rsidR="00C97768" w:rsidRPr="00576AF8">
        <w:rPr>
          <w:rFonts w:ascii="Times New Roman" w:hAnsi="Times New Roman"/>
          <w:u w:val="single"/>
        </w:rPr>
        <w:t>s</w:t>
      </w:r>
      <w:r w:rsidRPr="00576AF8">
        <w:rPr>
          <w:rFonts w:ascii="Times New Roman" w:hAnsi="Times New Roman"/>
        </w:rPr>
        <w:t xml:space="preserve"> de costos relativos al suministro </w:t>
      </w:r>
      <w:r w:rsidR="00231587" w:rsidRPr="00576AF8">
        <w:rPr>
          <w:rFonts w:ascii="Times New Roman" w:hAnsi="Times New Roman"/>
        </w:rPr>
        <w:br/>
      </w:r>
      <w:r w:rsidRPr="00576AF8">
        <w:rPr>
          <w:rFonts w:ascii="Times New Roman" w:hAnsi="Times New Roman"/>
        </w:rPr>
        <w:t xml:space="preserve">y la instalación) </w:t>
      </w:r>
      <w:bookmarkEnd w:id="1454"/>
      <w:bookmarkEnd w:id="1455"/>
      <w:bookmarkEnd w:id="1456"/>
      <w:bookmarkEnd w:id="1457"/>
      <w:r w:rsidR="00AC6115" w:rsidRPr="00576AF8">
        <w:rPr>
          <w:rFonts w:ascii="Times New Roman" w:hAnsi="Times New Roman"/>
          <w:i/>
        </w:rPr>
        <w:t>EC-L1257-P00015</w:t>
      </w:r>
    </w:p>
    <w:p w14:paraId="450D4F56" w14:textId="77777777" w:rsidR="00A20832" w:rsidRPr="00576AF8" w:rsidRDefault="00A20832" w:rsidP="00A20832">
      <w:pPr>
        <w:jc w:val="center"/>
        <w:rPr>
          <w:rStyle w:val="preparersnote"/>
        </w:rPr>
      </w:pPr>
      <w:r w:rsidRPr="00576AF8">
        <w:t>Número de partida:</w:t>
      </w:r>
      <w:r w:rsidR="00543CA2" w:rsidRPr="00576AF8">
        <w:t xml:space="preserve"> 1</w:t>
      </w:r>
    </w:p>
    <w:p w14:paraId="2AA96B4A" w14:textId="77777777" w:rsidR="006E3126" w:rsidRPr="00576AF8" w:rsidRDefault="006E3126" w:rsidP="00337EE8">
      <w:pPr>
        <w:ind w:left="1267" w:hanging="1267"/>
        <w:rPr>
          <w:b/>
          <w:sz w:val="22"/>
        </w:rPr>
      </w:pPr>
    </w:p>
    <w:tbl>
      <w:tblPr>
        <w:tblW w:w="0" w:type="auto"/>
        <w:tblCellMar>
          <w:left w:w="70" w:type="dxa"/>
          <w:right w:w="70" w:type="dxa"/>
        </w:tblCellMar>
        <w:tblLook w:val="04A0" w:firstRow="1" w:lastRow="0" w:firstColumn="1" w:lastColumn="0" w:noHBand="0" w:noVBand="1"/>
      </w:tblPr>
      <w:tblGrid>
        <w:gridCol w:w="1363"/>
        <w:gridCol w:w="4178"/>
        <w:gridCol w:w="2497"/>
        <w:gridCol w:w="3971"/>
        <w:gridCol w:w="941"/>
      </w:tblGrid>
      <w:tr w:rsidR="00896CDE" w:rsidRPr="00576AF8" w14:paraId="33290090" w14:textId="77777777" w:rsidTr="009F6B78">
        <w:trPr>
          <w:trHeight w:val="111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85AF94" w14:textId="77777777" w:rsidR="00896CDE" w:rsidRPr="00576AF8" w:rsidRDefault="00896CDE" w:rsidP="009F6B78">
            <w:pPr>
              <w:suppressAutoHyphens w:val="0"/>
              <w:spacing w:after="0"/>
              <w:jc w:val="center"/>
              <w:rPr>
                <w:b/>
                <w:bCs/>
                <w:color w:val="000000"/>
                <w:sz w:val="20"/>
                <w:lang w:val="es-EC" w:eastAsia="es-EC" w:bidi="ar-SA"/>
              </w:rPr>
            </w:pPr>
            <w:r w:rsidRPr="00576AF8">
              <w:rPr>
                <w:b/>
                <w:bCs/>
                <w:color w:val="000000"/>
                <w:sz w:val="20"/>
                <w:lang w:val="es-EC" w:eastAsia="es-EC" w:bidi="ar-SA"/>
              </w:rPr>
              <w:t>Componente n.º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AD955C" w14:textId="77777777" w:rsidR="00896CDE" w:rsidRPr="00576AF8" w:rsidRDefault="00896CDE" w:rsidP="009F6B78">
            <w:pPr>
              <w:suppressAutoHyphens w:val="0"/>
              <w:spacing w:after="0"/>
              <w:jc w:val="center"/>
              <w:rPr>
                <w:b/>
                <w:bCs/>
                <w:color w:val="000000"/>
                <w:sz w:val="20"/>
                <w:lang w:val="es-EC" w:eastAsia="es-EC" w:bidi="ar-SA"/>
              </w:rPr>
            </w:pPr>
            <w:r w:rsidRPr="00576AF8">
              <w:rPr>
                <w:b/>
                <w:bCs/>
                <w:color w:val="000000"/>
                <w:sz w:val="20"/>
                <w:lang w:val="es-EC" w:eastAsia="es-EC" w:bidi="ar-SA"/>
              </w:rPr>
              <w:t>Componente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47C709" w14:textId="77777777" w:rsidR="00896CDE" w:rsidRPr="00576AF8" w:rsidRDefault="00896CDE" w:rsidP="009F6B78">
            <w:pPr>
              <w:suppressAutoHyphens w:val="0"/>
              <w:spacing w:after="0"/>
              <w:jc w:val="center"/>
              <w:rPr>
                <w:b/>
                <w:bCs/>
                <w:color w:val="000000"/>
                <w:sz w:val="20"/>
                <w:lang w:val="es-EC" w:eastAsia="es-EC" w:bidi="ar-SA"/>
              </w:rPr>
            </w:pPr>
            <w:r w:rsidRPr="00576AF8">
              <w:rPr>
                <w:b/>
                <w:bCs/>
                <w:color w:val="000000"/>
                <w:sz w:val="20"/>
                <w:lang w:val="es-EC" w:eastAsia="es-EC" w:bidi="ar-SA"/>
              </w:rPr>
              <w:t>Especificaciones técnicas pertinentes n.º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AB6B39" w14:textId="77777777" w:rsidR="00896CDE" w:rsidRPr="00576AF8" w:rsidRDefault="00896CDE" w:rsidP="009F6B78">
            <w:pPr>
              <w:suppressAutoHyphens w:val="0"/>
              <w:spacing w:after="0"/>
              <w:jc w:val="center"/>
              <w:rPr>
                <w:b/>
                <w:bCs/>
                <w:color w:val="000000"/>
                <w:sz w:val="20"/>
                <w:lang w:val="es-EC" w:eastAsia="es-EC" w:bidi="ar-SA"/>
              </w:rPr>
            </w:pPr>
            <w:r w:rsidRPr="00576AF8">
              <w:rPr>
                <w:b/>
                <w:bCs/>
                <w:color w:val="000000"/>
                <w:sz w:val="20"/>
                <w:lang w:val="es-EC" w:eastAsia="es-EC" w:bidi="ar-SA"/>
              </w:rPr>
              <w:t>Información adicional sobre el sitio (p. ej., edificio, piso, departamento, etc.)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3D6A6F" w14:textId="77777777" w:rsidR="00896CDE" w:rsidRPr="00576AF8" w:rsidRDefault="00896CDE" w:rsidP="009F6B78">
            <w:pPr>
              <w:suppressAutoHyphens w:val="0"/>
              <w:spacing w:after="0"/>
              <w:jc w:val="center"/>
              <w:rPr>
                <w:b/>
                <w:bCs/>
                <w:color w:val="000000"/>
                <w:sz w:val="20"/>
                <w:lang w:val="es-EC" w:eastAsia="es-EC" w:bidi="ar-SA"/>
              </w:rPr>
            </w:pPr>
            <w:r w:rsidRPr="00576AF8">
              <w:rPr>
                <w:b/>
                <w:bCs/>
                <w:color w:val="000000"/>
                <w:sz w:val="20"/>
                <w:lang w:val="es-EC" w:eastAsia="es-EC" w:bidi="ar-SA"/>
              </w:rPr>
              <w:t>Cantidad</w:t>
            </w:r>
          </w:p>
        </w:tc>
      </w:tr>
      <w:tr w:rsidR="00896CDE" w:rsidRPr="00576AF8" w14:paraId="6177CB81"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075ECB"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1</w:t>
            </w:r>
          </w:p>
        </w:tc>
        <w:tc>
          <w:tcPr>
            <w:tcW w:w="0" w:type="auto"/>
            <w:tcBorders>
              <w:top w:val="nil"/>
              <w:left w:val="nil"/>
              <w:bottom w:val="single" w:sz="4" w:space="0" w:color="auto"/>
              <w:right w:val="single" w:sz="4" w:space="0" w:color="auto"/>
            </w:tcBorders>
            <w:shd w:val="clear" w:color="auto" w:fill="auto"/>
            <w:vAlign w:val="center"/>
            <w:hideMark/>
          </w:tcPr>
          <w:p w14:paraId="00CC5A5B"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 xml:space="preserve">BIENES </w:t>
            </w:r>
          </w:p>
        </w:tc>
        <w:tc>
          <w:tcPr>
            <w:tcW w:w="0" w:type="auto"/>
            <w:tcBorders>
              <w:top w:val="nil"/>
              <w:left w:val="nil"/>
              <w:bottom w:val="single" w:sz="4" w:space="0" w:color="auto"/>
              <w:right w:val="single" w:sz="4" w:space="0" w:color="auto"/>
            </w:tcBorders>
            <w:shd w:val="clear" w:color="auto" w:fill="auto"/>
            <w:vAlign w:val="center"/>
            <w:hideMark/>
          </w:tcPr>
          <w:p w14:paraId="3AB308E9"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0169A0CD"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4C4A825B"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 </w:t>
            </w:r>
          </w:p>
        </w:tc>
      </w:tr>
      <w:tr w:rsidR="00896CDE" w:rsidRPr="00576AF8" w14:paraId="3F052BDE" w14:textId="77777777" w:rsidTr="009F6B78">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C6EF20"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1.1</w:t>
            </w:r>
          </w:p>
        </w:tc>
        <w:tc>
          <w:tcPr>
            <w:tcW w:w="0" w:type="auto"/>
            <w:tcBorders>
              <w:top w:val="nil"/>
              <w:left w:val="nil"/>
              <w:bottom w:val="single" w:sz="4" w:space="0" w:color="auto"/>
              <w:right w:val="single" w:sz="4" w:space="0" w:color="auto"/>
            </w:tcBorders>
            <w:shd w:val="clear" w:color="auto" w:fill="auto"/>
            <w:vAlign w:val="center"/>
            <w:hideMark/>
          </w:tcPr>
          <w:p w14:paraId="29D0819B"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SCADA/EMS DEL CENTRO DE CONTROL DE CENACE</w:t>
            </w:r>
          </w:p>
        </w:tc>
        <w:tc>
          <w:tcPr>
            <w:tcW w:w="0" w:type="auto"/>
            <w:tcBorders>
              <w:top w:val="nil"/>
              <w:left w:val="nil"/>
              <w:bottom w:val="single" w:sz="4" w:space="0" w:color="auto"/>
              <w:right w:val="single" w:sz="4" w:space="0" w:color="auto"/>
            </w:tcBorders>
            <w:shd w:val="clear" w:color="auto" w:fill="auto"/>
            <w:vAlign w:val="center"/>
            <w:hideMark/>
          </w:tcPr>
          <w:p w14:paraId="3F08EF20"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nil"/>
              <w:right w:val="nil"/>
            </w:tcBorders>
            <w:shd w:val="clear" w:color="auto" w:fill="auto"/>
            <w:noWrap/>
            <w:vAlign w:val="bottom"/>
            <w:hideMark/>
          </w:tcPr>
          <w:p w14:paraId="54CA73F8" w14:textId="77777777" w:rsidR="00896CDE" w:rsidRPr="00576AF8" w:rsidRDefault="00896CDE" w:rsidP="009F6B78">
            <w:pPr>
              <w:suppressAutoHyphens w:val="0"/>
              <w:spacing w:after="0"/>
              <w:jc w:val="left"/>
              <w:rPr>
                <w:color w:val="000000"/>
                <w:sz w:val="20"/>
                <w:lang w:val="es-EC" w:eastAsia="es-EC" w:bidi="ar-SA"/>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5CFC6A9"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 </w:t>
            </w:r>
          </w:p>
        </w:tc>
      </w:tr>
      <w:tr w:rsidR="00896CDE" w:rsidRPr="00576AF8" w14:paraId="7404564C"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0C1D5"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1.1.1</w:t>
            </w:r>
          </w:p>
        </w:tc>
        <w:tc>
          <w:tcPr>
            <w:tcW w:w="0" w:type="auto"/>
            <w:tcBorders>
              <w:top w:val="nil"/>
              <w:left w:val="nil"/>
              <w:bottom w:val="single" w:sz="4" w:space="0" w:color="000000"/>
              <w:right w:val="single" w:sz="4" w:space="0" w:color="000000"/>
            </w:tcBorders>
            <w:shd w:val="clear" w:color="auto" w:fill="auto"/>
            <w:hideMark/>
          </w:tcPr>
          <w:p w14:paraId="34C8EE95"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Sistema SCADA de Producción</w:t>
            </w:r>
          </w:p>
        </w:tc>
        <w:tc>
          <w:tcPr>
            <w:tcW w:w="0" w:type="auto"/>
            <w:tcBorders>
              <w:top w:val="nil"/>
              <w:left w:val="nil"/>
              <w:bottom w:val="single" w:sz="4" w:space="0" w:color="auto"/>
              <w:right w:val="single" w:sz="4" w:space="0" w:color="auto"/>
            </w:tcBorders>
            <w:shd w:val="clear" w:color="auto" w:fill="auto"/>
            <w:vAlign w:val="center"/>
            <w:hideMark/>
          </w:tcPr>
          <w:p w14:paraId="1B759AAE"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BBC2CE"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CEN/CEN-GOP</w:t>
            </w:r>
          </w:p>
        </w:tc>
        <w:tc>
          <w:tcPr>
            <w:tcW w:w="0" w:type="auto"/>
            <w:tcBorders>
              <w:top w:val="nil"/>
              <w:left w:val="nil"/>
              <w:bottom w:val="single" w:sz="4" w:space="0" w:color="auto"/>
              <w:right w:val="single" w:sz="4" w:space="0" w:color="auto"/>
            </w:tcBorders>
            <w:shd w:val="clear" w:color="auto" w:fill="auto"/>
            <w:vAlign w:val="center"/>
            <w:hideMark/>
          </w:tcPr>
          <w:p w14:paraId="032D1828"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41FDE040" w14:textId="77777777" w:rsidTr="009F6B78">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6FA269"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1.1.2</w:t>
            </w:r>
          </w:p>
        </w:tc>
        <w:tc>
          <w:tcPr>
            <w:tcW w:w="0" w:type="auto"/>
            <w:tcBorders>
              <w:top w:val="nil"/>
              <w:left w:val="nil"/>
              <w:bottom w:val="single" w:sz="4" w:space="0" w:color="000000"/>
              <w:right w:val="single" w:sz="4" w:space="0" w:color="000000"/>
            </w:tcBorders>
            <w:shd w:val="clear" w:color="auto" w:fill="auto"/>
            <w:hideMark/>
          </w:tcPr>
          <w:p w14:paraId="06B69035"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Sistema de Aseguramiento de Calidad QAS</w:t>
            </w:r>
          </w:p>
        </w:tc>
        <w:tc>
          <w:tcPr>
            <w:tcW w:w="0" w:type="auto"/>
            <w:tcBorders>
              <w:top w:val="nil"/>
              <w:left w:val="nil"/>
              <w:bottom w:val="single" w:sz="4" w:space="0" w:color="auto"/>
              <w:right w:val="single" w:sz="4" w:space="0" w:color="auto"/>
            </w:tcBorders>
            <w:shd w:val="clear" w:color="auto" w:fill="auto"/>
            <w:vAlign w:val="center"/>
            <w:hideMark/>
          </w:tcPr>
          <w:p w14:paraId="24C6F09C"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7F0962B7"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COT</w:t>
            </w:r>
          </w:p>
        </w:tc>
        <w:tc>
          <w:tcPr>
            <w:tcW w:w="0" w:type="auto"/>
            <w:tcBorders>
              <w:top w:val="nil"/>
              <w:left w:val="nil"/>
              <w:bottom w:val="single" w:sz="4" w:space="0" w:color="auto"/>
              <w:right w:val="single" w:sz="4" w:space="0" w:color="auto"/>
            </w:tcBorders>
            <w:shd w:val="clear" w:color="auto" w:fill="auto"/>
            <w:vAlign w:val="center"/>
            <w:hideMark/>
          </w:tcPr>
          <w:p w14:paraId="261D02B7"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39CC6E26"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0D2D0"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1.1.3</w:t>
            </w:r>
          </w:p>
        </w:tc>
        <w:tc>
          <w:tcPr>
            <w:tcW w:w="0" w:type="auto"/>
            <w:tcBorders>
              <w:top w:val="nil"/>
              <w:left w:val="nil"/>
              <w:bottom w:val="single" w:sz="4" w:space="0" w:color="000000"/>
              <w:right w:val="single" w:sz="4" w:space="0" w:color="000000"/>
            </w:tcBorders>
            <w:shd w:val="clear" w:color="auto" w:fill="auto"/>
            <w:hideMark/>
          </w:tcPr>
          <w:p w14:paraId="25F44E0E"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Sistema de Programación y Desarrollo PDS</w:t>
            </w:r>
          </w:p>
        </w:tc>
        <w:tc>
          <w:tcPr>
            <w:tcW w:w="0" w:type="auto"/>
            <w:tcBorders>
              <w:top w:val="nil"/>
              <w:left w:val="nil"/>
              <w:bottom w:val="single" w:sz="4" w:space="0" w:color="auto"/>
              <w:right w:val="single" w:sz="4" w:space="0" w:color="auto"/>
            </w:tcBorders>
            <w:shd w:val="clear" w:color="auto" w:fill="auto"/>
            <w:vAlign w:val="center"/>
            <w:hideMark/>
          </w:tcPr>
          <w:p w14:paraId="2863366B"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012B7DB8"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CEN/CEN-GOP</w:t>
            </w:r>
          </w:p>
        </w:tc>
        <w:tc>
          <w:tcPr>
            <w:tcW w:w="0" w:type="auto"/>
            <w:tcBorders>
              <w:top w:val="nil"/>
              <w:left w:val="nil"/>
              <w:bottom w:val="single" w:sz="4" w:space="0" w:color="auto"/>
              <w:right w:val="single" w:sz="4" w:space="0" w:color="auto"/>
            </w:tcBorders>
            <w:shd w:val="clear" w:color="auto" w:fill="auto"/>
            <w:vAlign w:val="center"/>
            <w:hideMark/>
          </w:tcPr>
          <w:p w14:paraId="7C829CF5"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364581E0"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A72A8"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1.1.4</w:t>
            </w:r>
          </w:p>
        </w:tc>
        <w:tc>
          <w:tcPr>
            <w:tcW w:w="0" w:type="auto"/>
            <w:tcBorders>
              <w:top w:val="nil"/>
              <w:left w:val="nil"/>
              <w:bottom w:val="single" w:sz="4" w:space="0" w:color="000000"/>
              <w:right w:val="single" w:sz="4" w:space="0" w:color="000000"/>
            </w:tcBorders>
            <w:shd w:val="clear" w:color="auto" w:fill="auto"/>
            <w:hideMark/>
          </w:tcPr>
          <w:p w14:paraId="0FFD827B"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Sistema Simulador de Entrenamiento de Operadores OTS</w:t>
            </w:r>
          </w:p>
        </w:tc>
        <w:tc>
          <w:tcPr>
            <w:tcW w:w="0" w:type="auto"/>
            <w:tcBorders>
              <w:top w:val="nil"/>
              <w:left w:val="nil"/>
              <w:bottom w:val="single" w:sz="4" w:space="0" w:color="auto"/>
              <w:right w:val="single" w:sz="4" w:space="0" w:color="auto"/>
            </w:tcBorders>
            <w:shd w:val="clear" w:color="auto" w:fill="auto"/>
            <w:vAlign w:val="center"/>
            <w:hideMark/>
          </w:tcPr>
          <w:p w14:paraId="0B836E7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4C30C303"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CEN/CEN-GOP</w:t>
            </w:r>
          </w:p>
        </w:tc>
        <w:tc>
          <w:tcPr>
            <w:tcW w:w="0" w:type="auto"/>
            <w:tcBorders>
              <w:top w:val="nil"/>
              <w:left w:val="nil"/>
              <w:bottom w:val="single" w:sz="4" w:space="0" w:color="auto"/>
              <w:right w:val="single" w:sz="4" w:space="0" w:color="auto"/>
            </w:tcBorders>
            <w:shd w:val="clear" w:color="auto" w:fill="auto"/>
            <w:vAlign w:val="center"/>
            <w:hideMark/>
          </w:tcPr>
          <w:p w14:paraId="05B61B64"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2EFC90B2"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945135"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1.1.5</w:t>
            </w:r>
          </w:p>
        </w:tc>
        <w:tc>
          <w:tcPr>
            <w:tcW w:w="0" w:type="auto"/>
            <w:tcBorders>
              <w:top w:val="nil"/>
              <w:left w:val="nil"/>
              <w:bottom w:val="single" w:sz="4" w:space="0" w:color="000000"/>
              <w:right w:val="single" w:sz="4" w:space="0" w:color="000000"/>
            </w:tcBorders>
            <w:shd w:val="clear" w:color="auto" w:fill="auto"/>
            <w:hideMark/>
          </w:tcPr>
          <w:p w14:paraId="0BFC2823"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Sistema de Soporte de Infrastructura (incluyendo HW y SW)</w:t>
            </w:r>
          </w:p>
        </w:tc>
        <w:tc>
          <w:tcPr>
            <w:tcW w:w="0" w:type="auto"/>
            <w:tcBorders>
              <w:top w:val="nil"/>
              <w:left w:val="nil"/>
              <w:bottom w:val="single" w:sz="4" w:space="0" w:color="auto"/>
              <w:right w:val="single" w:sz="4" w:space="0" w:color="auto"/>
            </w:tcBorders>
            <w:shd w:val="clear" w:color="auto" w:fill="auto"/>
            <w:vAlign w:val="center"/>
            <w:hideMark/>
          </w:tcPr>
          <w:p w14:paraId="639C7DEF"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05983503"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CEN/CEN-GOP</w:t>
            </w:r>
          </w:p>
        </w:tc>
        <w:tc>
          <w:tcPr>
            <w:tcW w:w="0" w:type="auto"/>
            <w:tcBorders>
              <w:top w:val="nil"/>
              <w:left w:val="nil"/>
              <w:bottom w:val="single" w:sz="4" w:space="0" w:color="auto"/>
              <w:right w:val="single" w:sz="4" w:space="0" w:color="auto"/>
            </w:tcBorders>
            <w:shd w:val="clear" w:color="auto" w:fill="auto"/>
            <w:vAlign w:val="center"/>
            <w:hideMark/>
          </w:tcPr>
          <w:p w14:paraId="3B3658E1"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08DC0660"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47D827"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1.1.6</w:t>
            </w:r>
          </w:p>
        </w:tc>
        <w:tc>
          <w:tcPr>
            <w:tcW w:w="0" w:type="auto"/>
            <w:tcBorders>
              <w:top w:val="nil"/>
              <w:left w:val="nil"/>
              <w:bottom w:val="single" w:sz="4" w:space="0" w:color="000000"/>
              <w:right w:val="single" w:sz="4" w:space="0" w:color="000000"/>
            </w:tcBorders>
            <w:shd w:val="clear" w:color="auto" w:fill="auto"/>
            <w:hideMark/>
          </w:tcPr>
          <w:p w14:paraId="213C21B1"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xml:space="preserve">Sistema de </w:t>
            </w:r>
            <w:proofErr w:type="gramStart"/>
            <w:r w:rsidRPr="00576AF8">
              <w:rPr>
                <w:color w:val="000000"/>
                <w:sz w:val="20"/>
                <w:lang w:val="es-EC" w:eastAsia="es-EC" w:bidi="ar-SA"/>
              </w:rPr>
              <w:t>Seguridad  (</w:t>
            </w:r>
            <w:proofErr w:type="gramEnd"/>
            <w:r w:rsidRPr="00576AF8">
              <w:rPr>
                <w:color w:val="000000"/>
                <w:sz w:val="20"/>
                <w:lang w:val="es-EC" w:eastAsia="es-EC" w:bidi="ar-SA"/>
              </w:rPr>
              <w:t>incluyendo HW y SW)</w:t>
            </w:r>
          </w:p>
        </w:tc>
        <w:tc>
          <w:tcPr>
            <w:tcW w:w="0" w:type="auto"/>
            <w:tcBorders>
              <w:top w:val="nil"/>
              <w:left w:val="nil"/>
              <w:bottom w:val="single" w:sz="4" w:space="0" w:color="auto"/>
              <w:right w:val="single" w:sz="4" w:space="0" w:color="auto"/>
            </w:tcBorders>
            <w:shd w:val="clear" w:color="auto" w:fill="auto"/>
            <w:vAlign w:val="center"/>
            <w:hideMark/>
          </w:tcPr>
          <w:p w14:paraId="1AE54EC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6A0B1894"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CEN/CEN-GOP</w:t>
            </w:r>
          </w:p>
        </w:tc>
        <w:tc>
          <w:tcPr>
            <w:tcW w:w="0" w:type="auto"/>
            <w:tcBorders>
              <w:top w:val="nil"/>
              <w:left w:val="nil"/>
              <w:bottom w:val="single" w:sz="4" w:space="0" w:color="auto"/>
              <w:right w:val="single" w:sz="4" w:space="0" w:color="auto"/>
            </w:tcBorders>
            <w:shd w:val="clear" w:color="auto" w:fill="auto"/>
            <w:vAlign w:val="center"/>
            <w:hideMark/>
          </w:tcPr>
          <w:p w14:paraId="46BAD722"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00BB3420"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D4E3D"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1.1.7</w:t>
            </w:r>
          </w:p>
        </w:tc>
        <w:tc>
          <w:tcPr>
            <w:tcW w:w="0" w:type="auto"/>
            <w:tcBorders>
              <w:top w:val="nil"/>
              <w:left w:val="nil"/>
              <w:bottom w:val="single" w:sz="4" w:space="0" w:color="000000"/>
              <w:right w:val="single" w:sz="4" w:space="0" w:color="000000"/>
            </w:tcBorders>
            <w:shd w:val="clear" w:color="auto" w:fill="auto"/>
            <w:hideMark/>
          </w:tcPr>
          <w:p w14:paraId="59DF714B"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xml:space="preserve">DMZ de Servicios </w:t>
            </w:r>
            <w:proofErr w:type="gramStart"/>
            <w:r w:rsidRPr="00576AF8">
              <w:rPr>
                <w:color w:val="000000"/>
                <w:sz w:val="20"/>
                <w:lang w:val="es-EC" w:eastAsia="es-EC" w:bidi="ar-SA"/>
              </w:rPr>
              <w:t>Corporativos  (</w:t>
            </w:r>
            <w:proofErr w:type="gramEnd"/>
            <w:r w:rsidRPr="00576AF8">
              <w:rPr>
                <w:color w:val="000000"/>
                <w:sz w:val="20"/>
                <w:lang w:val="es-EC" w:eastAsia="es-EC" w:bidi="ar-SA"/>
              </w:rPr>
              <w:t>incluyendo HW y SW)</w:t>
            </w:r>
          </w:p>
        </w:tc>
        <w:tc>
          <w:tcPr>
            <w:tcW w:w="0" w:type="auto"/>
            <w:tcBorders>
              <w:top w:val="nil"/>
              <w:left w:val="nil"/>
              <w:bottom w:val="single" w:sz="4" w:space="0" w:color="auto"/>
              <w:right w:val="single" w:sz="4" w:space="0" w:color="auto"/>
            </w:tcBorders>
            <w:shd w:val="clear" w:color="auto" w:fill="auto"/>
            <w:vAlign w:val="center"/>
            <w:hideMark/>
          </w:tcPr>
          <w:p w14:paraId="6C0A4341"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60C2FBDD"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CEN/CEN-GOP</w:t>
            </w:r>
          </w:p>
        </w:tc>
        <w:tc>
          <w:tcPr>
            <w:tcW w:w="0" w:type="auto"/>
            <w:tcBorders>
              <w:top w:val="nil"/>
              <w:left w:val="nil"/>
              <w:bottom w:val="single" w:sz="4" w:space="0" w:color="auto"/>
              <w:right w:val="single" w:sz="4" w:space="0" w:color="auto"/>
            </w:tcBorders>
            <w:shd w:val="clear" w:color="auto" w:fill="auto"/>
            <w:vAlign w:val="center"/>
            <w:hideMark/>
          </w:tcPr>
          <w:p w14:paraId="334532D0"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0D7D4A61"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CB6BF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000000"/>
              <w:right w:val="single" w:sz="4" w:space="0" w:color="000000"/>
            </w:tcBorders>
            <w:shd w:val="clear" w:color="auto" w:fill="auto"/>
            <w:hideMark/>
          </w:tcPr>
          <w:p w14:paraId="1EF8DEDC"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GATEWAYS DE COMUNICACIONES</w:t>
            </w:r>
          </w:p>
        </w:tc>
        <w:tc>
          <w:tcPr>
            <w:tcW w:w="0" w:type="auto"/>
            <w:tcBorders>
              <w:top w:val="nil"/>
              <w:left w:val="nil"/>
              <w:bottom w:val="single" w:sz="4" w:space="0" w:color="auto"/>
              <w:right w:val="single" w:sz="4" w:space="0" w:color="auto"/>
            </w:tcBorders>
            <w:shd w:val="clear" w:color="auto" w:fill="auto"/>
            <w:vAlign w:val="center"/>
            <w:hideMark/>
          </w:tcPr>
          <w:p w14:paraId="4C8A68E3"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74E6AF2E"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50DB70A5"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 </w:t>
            </w:r>
          </w:p>
        </w:tc>
      </w:tr>
      <w:tr w:rsidR="00896CDE" w:rsidRPr="00576AF8" w14:paraId="2A2B3485"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B15F3"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1.1.8</w:t>
            </w:r>
          </w:p>
        </w:tc>
        <w:tc>
          <w:tcPr>
            <w:tcW w:w="0" w:type="auto"/>
            <w:tcBorders>
              <w:top w:val="nil"/>
              <w:left w:val="nil"/>
              <w:bottom w:val="single" w:sz="4" w:space="0" w:color="000000"/>
              <w:right w:val="single" w:sz="4" w:space="0" w:color="000000"/>
            </w:tcBorders>
            <w:shd w:val="clear" w:color="auto" w:fill="auto"/>
            <w:hideMark/>
          </w:tcPr>
          <w:p w14:paraId="4AA5D348" w14:textId="6053503E" w:rsidR="00896CDE" w:rsidRPr="00576AF8" w:rsidRDefault="00DF4A37" w:rsidP="009F6B78">
            <w:pPr>
              <w:suppressAutoHyphens w:val="0"/>
              <w:spacing w:after="0"/>
              <w:jc w:val="left"/>
              <w:rPr>
                <w:color w:val="000000"/>
                <w:sz w:val="20"/>
                <w:lang w:val="es-EC" w:eastAsia="es-EC" w:bidi="ar-SA"/>
              </w:rPr>
            </w:pPr>
            <w:r>
              <w:rPr>
                <w:color w:val="000000"/>
                <w:sz w:val="20"/>
                <w:lang w:val="es-EC" w:eastAsia="es-EC" w:bidi="ar-SA"/>
              </w:rPr>
              <w:t xml:space="preserve">Sistema de adquisición de datos - </w:t>
            </w:r>
            <w:r w:rsidR="003901F4">
              <w:rPr>
                <w:color w:val="000000"/>
                <w:sz w:val="20"/>
                <w:lang w:val="es-EC" w:eastAsia="es-EC" w:bidi="ar-SA"/>
              </w:rPr>
              <w:t>Gateways</w:t>
            </w:r>
          </w:p>
        </w:tc>
        <w:tc>
          <w:tcPr>
            <w:tcW w:w="0" w:type="auto"/>
            <w:tcBorders>
              <w:top w:val="nil"/>
              <w:left w:val="nil"/>
              <w:bottom w:val="single" w:sz="4" w:space="0" w:color="auto"/>
              <w:right w:val="single" w:sz="4" w:space="0" w:color="auto"/>
            </w:tcBorders>
            <w:shd w:val="clear" w:color="auto" w:fill="auto"/>
            <w:vAlign w:val="center"/>
            <w:hideMark/>
          </w:tcPr>
          <w:p w14:paraId="56A76059"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6E282573"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TRN-SE</w:t>
            </w:r>
          </w:p>
        </w:tc>
        <w:tc>
          <w:tcPr>
            <w:tcW w:w="0" w:type="auto"/>
            <w:tcBorders>
              <w:top w:val="nil"/>
              <w:left w:val="nil"/>
              <w:bottom w:val="single" w:sz="4" w:space="0" w:color="auto"/>
              <w:right w:val="single" w:sz="4" w:space="0" w:color="auto"/>
            </w:tcBorders>
            <w:shd w:val="clear" w:color="auto" w:fill="auto"/>
            <w:vAlign w:val="center"/>
            <w:hideMark/>
          </w:tcPr>
          <w:p w14:paraId="153194EE"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294F36BB"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5A88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1.1.11</w:t>
            </w:r>
          </w:p>
        </w:tc>
        <w:tc>
          <w:tcPr>
            <w:tcW w:w="0" w:type="auto"/>
            <w:tcBorders>
              <w:top w:val="nil"/>
              <w:left w:val="nil"/>
              <w:bottom w:val="single" w:sz="4" w:space="0" w:color="000000"/>
              <w:right w:val="single" w:sz="4" w:space="0" w:color="000000"/>
            </w:tcBorders>
            <w:shd w:val="clear" w:color="auto" w:fill="auto"/>
            <w:hideMark/>
          </w:tcPr>
          <w:p w14:paraId="3A9E8620"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Repuestos, herramientas y equipos para el SCADA/EMS</w:t>
            </w:r>
          </w:p>
        </w:tc>
        <w:tc>
          <w:tcPr>
            <w:tcW w:w="0" w:type="auto"/>
            <w:tcBorders>
              <w:top w:val="nil"/>
              <w:left w:val="nil"/>
              <w:bottom w:val="single" w:sz="4" w:space="0" w:color="auto"/>
              <w:right w:val="single" w:sz="4" w:space="0" w:color="auto"/>
            </w:tcBorders>
            <w:shd w:val="clear" w:color="auto" w:fill="auto"/>
            <w:vAlign w:val="center"/>
            <w:hideMark/>
          </w:tcPr>
          <w:p w14:paraId="6E8C600D"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1A4DB82E"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w:t>
            </w:r>
          </w:p>
        </w:tc>
        <w:tc>
          <w:tcPr>
            <w:tcW w:w="0" w:type="auto"/>
            <w:tcBorders>
              <w:top w:val="nil"/>
              <w:left w:val="nil"/>
              <w:bottom w:val="single" w:sz="4" w:space="0" w:color="auto"/>
              <w:right w:val="single" w:sz="4" w:space="0" w:color="auto"/>
            </w:tcBorders>
            <w:shd w:val="clear" w:color="auto" w:fill="auto"/>
            <w:vAlign w:val="center"/>
            <w:hideMark/>
          </w:tcPr>
          <w:p w14:paraId="329F6E17"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46F2073D"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37D9F"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2</w:t>
            </w:r>
          </w:p>
        </w:tc>
        <w:tc>
          <w:tcPr>
            <w:tcW w:w="0" w:type="auto"/>
            <w:tcBorders>
              <w:top w:val="nil"/>
              <w:left w:val="nil"/>
              <w:bottom w:val="single" w:sz="4" w:space="0" w:color="000000"/>
              <w:right w:val="single" w:sz="4" w:space="0" w:color="000000"/>
            </w:tcBorders>
            <w:shd w:val="clear" w:color="auto" w:fill="auto"/>
            <w:hideMark/>
          </w:tcPr>
          <w:p w14:paraId="3E2726DC" w14:textId="77777777" w:rsidR="00896CDE" w:rsidRPr="00576AF8" w:rsidRDefault="00896CDE" w:rsidP="009F6B78">
            <w:pPr>
              <w:suppressAutoHyphens w:val="0"/>
              <w:spacing w:after="0"/>
              <w:jc w:val="left"/>
              <w:rPr>
                <w:b/>
                <w:bCs/>
                <w:color w:val="000000"/>
                <w:sz w:val="20"/>
                <w:lang w:val="es-EC" w:eastAsia="es-EC" w:bidi="ar-SA"/>
              </w:rPr>
            </w:pPr>
            <w:r w:rsidRPr="00576AF8">
              <w:rPr>
                <w:b/>
                <w:bCs/>
                <w:color w:val="000000"/>
                <w:sz w:val="20"/>
                <w:lang w:val="es-EC" w:eastAsia="es-EC" w:bidi="ar-SA"/>
              </w:rPr>
              <w:t>SERVICIOS</w:t>
            </w:r>
          </w:p>
        </w:tc>
        <w:tc>
          <w:tcPr>
            <w:tcW w:w="0" w:type="auto"/>
            <w:tcBorders>
              <w:top w:val="nil"/>
              <w:left w:val="nil"/>
              <w:bottom w:val="single" w:sz="4" w:space="0" w:color="auto"/>
              <w:right w:val="single" w:sz="4" w:space="0" w:color="auto"/>
            </w:tcBorders>
            <w:shd w:val="clear" w:color="auto" w:fill="auto"/>
            <w:vAlign w:val="center"/>
            <w:hideMark/>
          </w:tcPr>
          <w:p w14:paraId="7F0AA78D"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56CAC010"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3B36F8C2"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 </w:t>
            </w:r>
          </w:p>
        </w:tc>
      </w:tr>
      <w:tr w:rsidR="00896CDE" w:rsidRPr="00576AF8" w14:paraId="47358A2E"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C840E"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2.1</w:t>
            </w:r>
          </w:p>
        </w:tc>
        <w:tc>
          <w:tcPr>
            <w:tcW w:w="0" w:type="auto"/>
            <w:tcBorders>
              <w:top w:val="nil"/>
              <w:left w:val="nil"/>
              <w:bottom w:val="single" w:sz="4" w:space="0" w:color="000000"/>
              <w:right w:val="single" w:sz="4" w:space="0" w:color="000000"/>
            </w:tcBorders>
            <w:shd w:val="clear" w:color="auto" w:fill="auto"/>
            <w:hideMark/>
          </w:tcPr>
          <w:p w14:paraId="5132DF35"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Conversión de la Base de Datos y Despliegues</w:t>
            </w:r>
          </w:p>
        </w:tc>
        <w:tc>
          <w:tcPr>
            <w:tcW w:w="0" w:type="auto"/>
            <w:tcBorders>
              <w:top w:val="nil"/>
              <w:left w:val="nil"/>
              <w:bottom w:val="single" w:sz="4" w:space="0" w:color="auto"/>
              <w:right w:val="single" w:sz="4" w:space="0" w:color="auto"/>
            </w:tcBorders>
            <w:shd w:val="clear" w:color="auto" w:fill="auto"/>
            <w:vAlign w:val="center"/>
            <w:hideMark/>
          </w:tcPr>
          <w:p w14:paraId="27A9D118"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38C73B38"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0" w:type="auto"/>
            <w:tcBorders>
              <w:top w:val="nil"/>
              <w:left w:val="nil"/>
              <w:bottom w:val="single" w:sz="4" w:space="0" w:color="auto"/>
              <w:right w:val="single" w:sz="4" w:space="0" w:color="auto"/>
            </w:tcBorders>
            <w:shd w:val="clear" w:color="auto" w:fill="auto"/>
            <w:vAlign w:val="center"/>
            <w:hideMark/>
          </w:tcPr>
          <w:p w14:paraId="4E37A158"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4464898F"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2DF0D"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2.2</w:t>
            </w:r>
          </w:p>
        </w:tc>
        <w:tc>
          <w:tcPr>
            <w:tcW w:w="0" w:type="auto"/>
            <w:tcBorders>
              <w:top w:val="nil"/>
              <w:left w:val="nil"/>
              <w:bottom w:val="single" w:sz="4" w:space="0" w:color="000000"/>
              <w:right w:val="single" w:sz="4" w:space="0" w:color="000000"/>
            </w:tcBorders>
            <w:shd w:val="clear" w:color="auto" w:fill="auto"/>
            <w:hideMark/>
          </w:tcPr>
          <w:p w14:paraId="4533D57B"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Transferencia de Conocimientos</w:t>
            </w:r>
          </w:p>
        </w:tc>
        <w:tc>
          <w:tcPr>
            <w:tcW w:w="0" w:type="auto"/>
            <w:tcBorders>
              <w:top w:val="nil"/>
              <w:left w:val="nil"/>
              <w:bottom w:val="single" w:sz="4" w:space="0" w:color="auto"/>
              <w:right w:val="single" w:sz="4" w:space="0" w:color="auto"/>
            </w:tcBorders>
            <w:shd w:val="clear" w:color="auto" w:fill="auto"/>
            <w:vAlign w:val="center"/>
            <w:hideMark/>
          </w:tcPr>
          <w:p w14:paraId="7091AEEA"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1FF0420B"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w:t>
            </w:r>
          </w:p>
        </w:tc>
        <w:tc>
          <w:tcPr>
            <w:tcW w:w="0" w:type="auto"/>
            <w:tcBorders>
              <w:top w:val="nil"/>
              <w:left w:val="nil"/>
              <w:bottom w:val="single" w:sz="4" w:space="0" w:color="auto"/>
              <w:right w:val="single" w:sz="4" w:space="0" w:color="auto"/>
            </w:tcBorders>
            <w:shd w:val="clear" w:color="auto" w:fill="auto"/>
            <w:vAlign w:val="center"/>
            <w:hideMark/>
          </w:tcPr>
          <w:p w14:paraId="5F225D5C"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11188742"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E057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2.3</w:t>
            </w:r>
          </w:p>
        </w:tc>
        <w:tc>
          <w:tcPr>
            <w:tcW w:w="0" w:type="auto"/>
            <w:tcBorders>
              <w:top w:val="nil"/>
              <w:left w:val="nil"/>
              <w:bottom w:val="single" w:sz="4" w:space="0" w:color="000000"/>
              <w:right w:val="single" w:sz="4" w:space="0" w:color="000000"/>
            </w:tcBorders>
            <w:shd w:val="clear" w:color="auto" w:fill="auto"/>
            <w:hideMark/>
          </w:tcPr>
          <w:p w14:paraId="2F23BFBB"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Integración en Fábrica de Hardware y Software</w:t>
            </w:r>
          </w:p>
        </w:tc>
        <w:tc>
          <w:tcPr>
            <w:tcW w:w="0" w:type="auto"/>
            <w:tcBorders>
              <w:top w:val="nil"/>
              <w:left w:val="nil"/>
              <w:bottom w:val="single" w:sz="4" w:space="0" w:color="auto"/>
              <w:right w:val="single" w:sz="4" w:space="0" w:color="auto"/>
            </w:tcBorders>
            <w:shd w:val="clear" w:color="auto" w:fill="auto"/>
            <w:vAlign w:val="center"/>
            <w:hideMark/>
          </w:tcPr>
          <w:p w14:paraId="097F303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6F6897AC"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PR</w:t>
            </w:r>
          </w:p>
        </w:tc>
        <w:tc>
          <w:tcPr>
            <w:tcW w:w="0" w:type="auto"/>
            <w:tcBorders>
              <w:top w:val="nil"/>
              <w:left w:val="nil"/>
              <w:bottom w:val="single" w:sz="4" w:space="0" w:color="auto"/>
              <w:right w:val="single" w:sz="4" w:space="0" w:color="auto"/>
            </w:tcBorders>
            <w:shd w:val="clear" w:color="auto" w:fill="auto"/>
            <w:vAlign w:val="center"/>
            <w:hideMark/>
          </w:tcPr>
          <w:p w14:paraId="1A8F9374"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2B5C79D0" w14:textId="77777777" w:rsidTr="009F6B78">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9B8B4"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2.4</w:t>
            </w:r>
          </w:p>
        </w:tc>
        <w:tc>
          <w:tcPr>
            <w:tcW w:w="0" w:type="auto"/>
            <w:tcBorders>
              <w:top w:val="nil"/>
              <w:left w:val="nil"/>
              <w:bottom w:val="single" w:sz="4" w:space="0" w:color="000000"/>
              <w:right w:val="single" w:sz="4" w:space="0" w:color="000000"/>
            </w:tcBorders>
            <w:shd w:val="clear" w:color="auto" w:fill="auto"/>
            <w:hideMark/>
          </w:tcPr>
          <w:p w14:paraId="10FFC768"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Pruebas pre-</w:t>
            </w:r>
            <w:proofErr w:type="gramStart"/>
            <w:r w:rsidRPr="00576AF8">
              <w:rPr>
                <w:color w:val="000000"/>
                <w:sz w:val="20"/>
                <w:lang w:val="es-EC" w:eastAsia="es-EC" w:bidi="ar-SA"/>
              </w:rPr>
              <w:t>FAT,FAT</w:t>
            </w:r>
            <w:proofErr w:type="gramEnd"/>
            <w:r w:rsidRPr="00576AF8">
              <w:rPr>
                <w:color w:val="000000"/>
                <w:sz w:val="20"/>
                <w:lang w:val="es-EC" w:eastAsia="es-EC" w:bidi="ar-SA"/>
              </w:rPr>
              <w:t xml:space="preserve"> y SAT</w:t>
            </w:r>
          </w:p>
        </w:tc>
        <w:tc>
          <w:tcPr>
            <w:tcW w:w="0" w:type="auto"/>
            <w:tcBorders>
              <w:top w:val="nil"/>
              <w:left w:val="nil"/>
              <w:bottom w:val="single" w:sz="4" w:space="0" w:color="auto"/>
              <w:right w:val="single" w:sz="4" w:space="0" w:color="auto"/>
            </w:tcBorders>
            <w:shd w:val="clear" w:color="auto" w:fill="auto"/>
            <w:vAlign w:val="center"/>
            <w:hideMark/>
          </w:tcPr>
          <w:p w14:paraId="3F91978E"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4F6FF3F5"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PR/CEN</w:t>
            </w:r>
          </w:p>
        </w:tc>
        <w:tc>
          <w:tcPr>
            <w:tcW w:w="0" w:type="auto"/>
            <w:tcBorders>
              <w:top w:val="nil"/>
              <w:left w:val="nil"/>
              <w:bottom w:val="single" w:sz="4" w:space="0" w:color="auto"/>
              <w:right w:val="single" w:sz="4" w:space="0" w:color="auto"/>
            </w:tcBorders>
            <w:shd w:val="clear" w:color="auto" w:fill="auto"/>
            <w:vAlign w:val="center"/>
            <w:hideMark/>
          </w:tcPr>
          <w:p w14:paraId="14EEE1E3"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3</w:t>
            </w:r>
          </w:p>
        </w:tc>
      </w:tr>
      <w:tr w:rsidR="00896CDE" w:rsidRPr="00576AF8" w14:paraId="14580DD3"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9EAD2"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lastRenderedPageBreak/>
              <w:t>2.5</w:t>
            </w:r>
          </w:p>
        </w:tc>
        <w:tc>
          <w:tcPr>
            <w:tcW w:w="0" w:type="auto"/>
            <w:tcBorders>
              <w:top w:val="nil"/>
              <w:left w:val="nil"/>
              <w:bottom w:val="single" w:sz="4" w:space="0" w:color="000000"/>
              <w:right w:val="single" w:sz="4" w:space="0" w:color="000000"/>
            </w:tcBorders>
            <w:shd w:val="clear" w:color="auto" w:fill="auto"/>
            <w:hideMark/>
          </w:tcPr>
          <w:p w14:paraId="18722DFE"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Instalación del sistema SCADA/EMS en la sede de CENACE</w:t>
            </w:r>
          </w:p>
        </w:tc>
        <w:tc>
          <w:tcPr>
            <w:tcW w:w="0" w:type="auto"/>
            <w:tcBorders>
              <w:top w:val="nil"/>
              <w:left w:val="nil"/>
              <w:bottom w:val="single" w:sz="4" w:space="0" w:color="auto"/>
              <w:right w:val="single" w:sz="4" w:space="0" w:color="auto"/>
            </w:tcBorders>
            <w:shd w:val="clear" w:color="auto" w:fill="auto"/>
            <w:vAlign w:val="center"/>
            <w:hideMark/>
          </w:tcPr>
          <w:p w14:paraId="6F5B297C"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17536D70"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w:t>
            </w:r>
          </w:p>
        </w:tc>
        <w:tc>
          <w:tcPr>
            <w:tcW w:w="0" w:type="auto"/>
            <w:tcBorders>
              <w:top w:val="nil"/>
              <w:left w:val="nil"/>
              <w:bottom w:val="single" w:sz="4" w:space="0" w:color="auto"/>
              <w:right w:val="single" w:sz="4" w:space="0" w:color="auto"/>
            </w:tcBorders>
            <w:shd w:val="clear" w:color="auto" w:fill="auto"/>
            <w:vAlign w:val="center"/>
            <w:hideMark/>
          </w:tcPr>
          <w:p w14:paraId="769A3109"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13AFAD10" w14:textId="77777777" w:rsidTr="009F6B78">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170C55"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2.6</w:t>
            </w:r>
          </w:p>
        </w:tc>
        <w:tc>
          <w:tcPr>
            <w:tcW w:w="0" w:type="auto"/>
            <w:tcBorders>
              <w:top w:val="nil"/>
              <w:left w:val="nil"/>
              <w:bottom w:val="single" w:sz="4" w:space="0" w:color="000000"/>
              <w:right w:val="single" w:sz="4" w:space="0" w:color="000000"/>
            </w:tcBorders>
            <w:shd w:val="clear" w:color="auto" w:fill="auto"/>
            <w:hideMark/>
          </w:tcPr>
          <w:p w14:paraId="3C40C097"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Instalación del QAS y GATEWAYS fuera de las instalaciones CENACE</w:t>
            </w:r>
          </w:p>
        </w:tc>
        <w:tc>
          <w:tcPr>
            <w:tcW w:w="0" w:type="auto"/>
            <w:tcBorders>
              <w:top w:val="nil"/>
              <w:left w:val="nil"/>
              <w:bottom w:val="single" w:sz="4" w:space="0" w:color="auto"/>
              <w:right w:val="single" w:sz="4" w:space="0" w:color="auto"/>
            </w:tcBorders>
            <w:shd w:val="clear" w:color="auto" w:fill="auto"/>
            <w:vAlign w:val="center"/>
            <w:hideMark/>
          </w:tcPr>
          <w:p w14:paraId="1B29450A"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194A3E7E"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COT / TRN-SE</w:t>
            </w:r>
          </w:p>
        </w:tc>
        <w:tc>
          <w:tcPr>
            <w:tcW w:w="0" w:type="auto"/>
            <w:tcBorders>
              <w:top w:val="nil"/>
              <w:left w:val="nil"/>
              <w:bottom w:val="single" w:sz="4" w:space="0" w:color="auto"/>
              <w:right w:val="single" w:sz="4" w:space="0" w:color="auto"/>
            </w:tcBorders>
            <w:shd w:val="clear" w:color="auto" w:fill="auto"/>
            <w:vAlign w:val="center"/>
            <w:hideMark/>
          </w:tcPr>
          <w:p w14:paraId="504C218B"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3</w:t>
            </w:r>
          </w:p>
        </w:tc>
      </w:tr>
      <w:tr w:rsidR="00896CDE" w:rsidRPr="00576AF8" w14:paraId="6DBBFE32" w14:textId="77777777" w:rsidTr="009F6B78">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EF0F0"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2.7</w:t>
            </w:r>
          </w:p>
        </w:tc>
        <w:tc>
          <w:tcPr>
            <w:tcW w:w="0" w:type="auto"/>
            <w:tcBorders>
              <w:top w:val="nil"/>
              <w:left w:val="nil"/>
              <w:bottom w:val="single" w:sz="4" w:space="0" w:color="000000"/>
              <w:right w:val="single" w:sz="4" w:space="0" w:color="000000"/>
            </w:tcBorders>
            <w:shd w:val="clear" w:color="auto" w:fill="auto"/>
            <w:hideMark/>
          </w:tcPr>
          <w:p w14:paraId="67BE14E1"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Puesta en Servicio del sistema SCADA/EMS incluyendo QAS y GATEWAYS</w:t>
            </w:r>
          </w:p>
        </w:tc>
        <w:tc>
          <w:tcPr>
            <w:tcW w:w="0" w:type="auto"/>
            <w:tcBorders>
              <w:top w:val="nil"/>
              <w:left w:val="nil"/>
              <w:bottom w:val="single" w:sz="4" w:space="0" w:color="auto"/>
              <w:right w:val="single" w:sz="4" w:space="0" w:color="auto"/>
            </w:tcBorders>
            <w:shd w:val="clear" w:color="auto" w:fill="auto"/>
            <w:vAlign w:val="center"/>
            <w:hideMark/>
          </w:tcPr>
          <w:p w14:paraId="0233F8F3"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1EE22366"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CEN/COT/TRN-SE</w:t>
            </w:r>
          </w:p>
        </w:tc>
        <w:tc>
          <w:tcPr>
            <w:tcW w:w="0" w:type="auto"/>
            <w:tcBorders>
              <w:top w:val="nil"/>
              <w:left w:val="nil"/>
              <w:bottom w:val="single" w:sz="4" w:space="0" w:color="auto"/>
              <w:right w:val="single" w:sz="4" w:space="0" w:color="auto"/>
            </w:tcBorders>
            <w:shd w:val="clear" w:color="auto" w:fill="auto"/>
            <w:vAlign w:val="center"/>
            <w:hideMark/>
          </w:tcPr>
          <w:p w14:paraId="6474BE78"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r w:rsidR="00896CDE" w:rsidRPr="00576AF8" w14:paraId="798B7045"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3C6FD"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2.8</w:t>
            </w:r>
          </w:p>
        </w:tc>
        <w:tc>
          <w:tcPr>
            <w:tcW w:w="0" w:type="auto"/>
            <w:tcBorders>
              <w:top w:val="nil"/>
              <w:left w:val="nil"/>
              <w:bottom w:val="single" w:sz="4" w:space="0" w:color="000000"/>
              <w:right w:val="single" w:sz="4" w:space="0" w:color="000000"/>
            </w:tcBorders>
            <w:shd w:val="clear" w:color="auto" w:fill="auto"/>
            <w:hideMark/>
          </w:tcPr>
          <w:p w14:paraId="71C5B771"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Pruebas Punto a Punto, Desempeño y Disponibilidad</w:t>
            </w:r>
          </w:p>
        </w:tc>
        <w:tc>
          <w:tcPr>
            <w:tcW w:w="0" w:type="auto"/>
            <w:tcBorders>
              <w:top w:val="nil"/>
              <w:left w:val="nil"/>
              <w:bottom w:val="single" w:sz="4" w:space="0" w:color="auto"/>
              <w:right w:val="single" w:sz="4" w:space="0" w:color="auto"/>
            </w:tcBorders>
            <w:shd w:val="clear" w:color="auto" w:fill="auto"/>
            <w:vAlign w:val="center"/>
            <w:hideMark/>
          </w:tcPr>
          <w:p w14:paraId="491B5A98"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396F4C77"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w:t>
            </w:r>
          </w:p>
        </w:tc>
        <w:tc>
          <w:tcPr>
            <w:tcW w:w="0" w:type="auto"/>
            <w:tcBorders>
              <w:top w:val="nil"/>
              <w:left w:val="nil"/>
              <w:bottom w:val="single" w:sz="4" w:space="0" w:color="auto"/>
              <w:right w:val="single" w:sz="4" w:space="0" w:color="auto"/>
            </w:tcBorders>
            <w:shd w:val="clear" w:color="auto" w:fill="auto"/>
            <w:vAlign w:val="center"/>
            <w:hideMark/>
          </w:tcPr>
          <w:p w14:paraId="7DD54380"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3</w:t>
            </w:r>
          </w:p>
        </w:tc>
      </w:tr>
      <w:tr w:rsidR="00896CDE" w:rsidRPr="00576AF8" w14:paraId="1EBE1534" w14:textId="77777777" w:rsidTr="009F6B78">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5F011F"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2.9</w:t>
            </w:r>
          </w:p>
        </w:tc>
        <w:tc>
          <w:tcPr>
            <w:tcW w:w="0" w:type="auto"/>
            <w:tcBorders>
              <w:top w:val="nil"/>
              <w:left w:val="nil"/>
              <w:bottom w:val="single" w:sz="4" w:space="0" w:color="000000"/>
              <w:right w:val="single" w:sz="4" w:space="0" w:color="000000"/>
            </w:tcBorders>
            <w:shd w:val="clear" w:color="auto" w:fill="auto"/>
            <w:hideMark/>
          </w:tcPr>
          <w:p w14:paraId="58BAFE6B"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Cutover</w:t>
            </w:r>
          </w:p>
        </w:tc>
        <w:tc>
          <w:tcPr>
            <w:tcW w:w="0" w:type="auto"/>
            <w:tcBorders>
              <w:top w:val="nil"/>
              <w:left w:val="nil"/>
              <w:bottom w:val="single" w:sz="4" w:space="0" w:color="auto"/>
              <w:right w:val="single" w:sz="4" w:space="0" w:color="auto"/>
            </w:tcBorders>
            <w:shd w:val="clear" w:color="auto" w:fill="auto"/>
            <w:vAlign w:val="center"/>
            <w:hideMark/>
          </w:tcPr>
          <w:p w14:paraId="18BF27F7" w14:textId="77777777" w:rsidR="00896CDE" w:rsidRPr="00576AF8" w:rsidRDefault="00896CDE" w:rsidP="009F6B78">
            <w:pPr>
              <w:suppressAutoHyphens w:val="0"/>
              <w:spacing w:after="0"/>
              <w:jc w:val="left"/>
              <w:rPr>
                <w:color w:val="000000"/>
                <w:sz w:val="20"/>
                <w:lang w:val="es-EC" w:eastAsia="es-EC" w:bidi="ar-SA"/>
              </w:rPr>
            </w:pPr>
            <w:r w:rsidRPr="00576AF8">
              <w:rPr>
                <w:color w:val="000000"/>
                <w:sz w:val="20"/>
                <w:lang w:val="es-EC" w:eastAsia="es-EC" w:bidi="ar-SA"/>
              </w:rPr>
              <w:t> </w:t>
            </w:r>
          </w:p>
        </w:tc>
        <w:tc>
          <w:tcPr>
            <w:tcW w:w="0" w:type="auto"/>
            <w:tcBorders>
              <w:top w:val="nil"/>
              <w:left w:val="nil"/>
              <w:bottom w:val="single" w:sz="4" w:space="0" w:color="auto"/>
              <w:right w:val="single" w:sz="4" w:space="0" w:color="auto"/>
            </w:tcBorders>
            <w:shd w:val="clear" w:color="auto" w:fill="auto"/>
            <w:vAlign w:val="center"/>
            <w:hideMark/>
          </w:tcPr>
          <w:p w14:paraId="786CE114"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CEN</w:t>
            </w:r>
          </w:p>
        </w:tc>
        <w:tc>
          <w:tcPr>
            <w:tcW w:w="0" w:type="auto"/>
            <w:tcBorders>
              <w:top w:val="nil"/>
              <w:left w:val="nil"/>
              <w:bottom w:val="single" w:sz="4" w:space="0" w:color="auto"/>
              <w:right w:val="single" w:sz="4" w:space="0" w:color="auto"/>
            </w:tcBorders>
            <w:shd w:val="clear" w:color="auto" w:fill="auto"/>
            <w:vAlign w:val="center"/>
            <w:hideMark/>
          </w:tcPr>
          <w:p w14:paraId="0403BEDF" w14:textId="77777777" w:rsidR="00896CDE" w:rsidRPr="00576AF8" w:rsidRDefault="00896CDE" w:rsidP="009F6B78">
            <w:pPr>
              <w:suppressAutoHyphens w:val="0"/>
              <w:spacing w:after="0"/>
              <w:jc w:val="center"/>
              <w:rPr>
                <w:color w:val="000000"/>
                <w:sz w:val="20"/>
                <w:lang w:val="es-EC" w:eastAsia="es-EC" w:bidi="ar-SA"/>
              </w:rPr>
            </w:pPr>
            <w:r w:rsidRPr="00576AF8">
              <w:rPr>
                <w:color w:val="000000"/>
                <w:sz w:val="20"/>
                <w:lang w:val="es-EC" w:eastAsia="es-EC" w:bidi="ar-SA"/>
              </w:rPr>
              <w:t>1</w:t>
            </w:r>
          </w:p>
        </w:tc>
      </w:tr>
    </w:tbl>
    <w:p w14:paraId="7D403B76" w14:textId="77777777" w:rsidR="00896CDE" w:rsidRPr="00576AF8" w:rsidRDefault="00896CDE" w:rsidP="00337EE8">
      <w:pPr>
        <w:ind w:left="1267" w:hanging="1267"/>
        <w:rPr>
          <w:b/>
          <w:sz w:val="22"/>
        </w:rPr>
      </w:pPr>
    </w:p>
    <w:p w14:paraId="24361A53" w14:textId="77777777" w:rsidR="006E3126" w:rsidRPr="00576AF8" w:rsidRDefault="006E3126" w:rsidP="00337EE8">
      <w:pPr>
        <w:ind w:left="1267" w:hanging="1267"/>
        <w:rPr>
          <w:b/>
          <w:sz w:val="22"/>
        </w:rPr>
      </w:pPr>
    </w:p>
    <w:p w14:paraId="4A9CB0C0" w14:textId="77777777" w:rsidR="006E3126" w:rsidRPr="00576AF8" w:rsidRDefault="006E3126" w:rsidP="00337EE8">
      <w:pPr>
        <w:ind w:left="1267" w:hanging="1267"/>
        <w:rPr>
          <w:b/>
          <w:sz w:val="22"/>
        </w:rPr>
      </w:pPr>
    </w:p>
    <w:p w14:paraId="7835A457" w14:textId="77777777" w:rsidR="006E3126" w:rsidRPr="00576AF8" w:rsidRDefault="006E3126" w:rsidP="00337EE8">
      <w:pPr>
        <w:ind w:left="1267" w:hanging="1267"/>
        <w:rPr>
          <w:b/>
          <w:sz w:val="22"/>
        </w:rPr>
      </w:pPr>
    </w:p>
    <w:p w14:paraId="3CEEA1B4" w14:textId="77777777" w:rsidR="00A20832" w:rsidRPr="00576AF8" w:rsidRDefault="00A20832" w:rsidP="00337EE8">
      <w:pPr>
        <w:ind w:left="1267" w:hanging="1267"/>
        <w:rPr>
          <w:sz w:val="22"/>
        </w:rPr>
      </w:pPr>
      <w:r w:rsidRPr="00576AF8">
        <w:rPr>
          <w:b/>
          <w:sz w:val="22"/>
        </w:rPr>
        <w:t>Nota:</w:t>
      </w:r>
      <w:r w:rsidRPr="00576AF8">
        <w:rPr>
          <w:sz w:val="22"/>
        </w:rPr>
        <w:tab/>
        <w:t xml:space="preserve">“- -” indica “no se aplica”. </w:t>
      </w:r>
      <w:r w:rsidR="00D3244A" w:rsidRPr="00576AF8">
        <w:rPr>
          <w:sz w:val="22"/>
        </w:rPr>
        <w:t>Las comillas (“) indican la repetición de lo consignado arriba</w:t>
      </w:r>
      <w:r w:rsidRPr="00576AF8">
        <w:rPr>
          <w:sz w:val="22"/>
        </w:rPr>
        <w:t>.</w:t>
      </w:r>
    </w:p>
    <w:p w14:paraId="29BE5939" w14:textId="77777777" w:rsidR="00A20832" w:rsidRPr="00576AF8" w:rsidRDefault="00A20832" w:rsidP="008C0D90">
      <w:pPr>
        <w:pStyle w:val="Ttulo2"/>
        <w:ind w:right="41"/>
        <w:rPr>
          <w:rFonts w:ascii="Times New Roman" w:hAnsi="Times New Roman"/>
          <w:i/>
        </w:rPr>
      </w:pPr>
      <w:r w:rsidRPr="00576AF8">
        <w:rPr>
          <w:rFonts w:ascii="Times New Roman" w:hAnsi="Times New Roman"/>
        </w:rPr>
        <w:br w:type="page"/>
      </w:r>
      <w:bookmarkStart w:id="1458" w:name="_Toc521498273"/>
      <w:bookmarkStart w:id="1459" w:name="_Toc207771481"/>
      <w:bookmarkStart w:id="1460" w:name="_Toc488946936"/>
      <w:r w:rsidR="00087DEF" w:rsidRPr="00576AF8">
        <w:rPr>
          <w:rFonts w:ascii="Times New Roman" w:hAnsi="Times New Roman"/>
        </w:rPr>
        <w:lastRenderedPageBreak/>
        <w:t>Cuadro de</w:t>
      </w:r>
      <w:r w:rsidRPr="00576AF8">
        <w:rPr>
          <w:rFonts w:ascii="Times New Roman" w:hAnsi="Times New Roman"/>
        </w:rPr>
        <w:t>l</w:t>
      </w:r>
      <w:r w:rsidR="00087DEF" w:rsidRPr="00576AF8">
        <w:rPr>
          <w:rFonts w:ascii="Times New Roman" w:hAnsi="Times New Roman"/>
        </w:rPr>
        <w:t xml:space="preserve"> inventario</w:t>
      </w:r>
      <w:r w:rsidRPr="00576AF8">
        <w:rPr>
          <w:rFonts w:ascii="Times New Roman" w:hAnsi="Times New Roman"/>
        </w:rPr>
        <w:t xml:space="preserve"> del Sistema (rubros de gastos </w:t>
      </w:r>
      <w:r w:rsidR="00AF5510" w:rsidRPr="00576AF8">
        <w:rPr>
          <w:rFonts w:ascii="Times New Roman" w:hAnsi="Times New Roman"/>
        </w:rPr>
        <w:t>recurrentes</w:t>
      </w:r>
      <w:r w:rsidRPr="00576AF8">
        <w:rPr>
          <w:rFonts w:ascii="Times New Roman" w:hAnsi="Times New Roman"/>
        </w:rPr>
        <w:t xml:space="preserve">) </w:t>
      </w:r>
      <w:r w:rsidR="00231587" w:rsidRPr="00576AF8">
        <w:rPr>
          <w:rFonts w:ascii="Times New Roman" w:hAnsi="Times New Roman"/>
        </w:rPr>
        <w:br/>
      </w:r>
      <w:bookmarkEnd w:id="1458"/>
      <w:bookmarkEnd w:id="1459"/>
      <w:bookmarkEnd w:id="1460"/>
      <w:r w:rsidR="00AC6115" w:rsidRPr="00576AF8">
        <w:rPr>
          <w:rFonts w:ascii="Times New Roman" w:hAnsi="Times New Roman"/>
          <w:i/>
        </w:rPr>
        <w:t>EC-L1257-P00015</w:t>
      </w:r>
    </w:p>
    <w:p w14:paraId="0671A997" w14:textId="77777777" w:rsidR="00AC6115" w:rsidRPr="00576AF8" w:rsidRDefault="00AC6115" w:rsidP="00231587">
      <w:pPr>
        <w:pStyle w:val="Head5c1"/>
        <w:spacing w:before="120"/>
        <w:rPr>
          <w:rFonts w:ascii="Times New Roman" w:hAnsi="Times New Roman"/>
          <w:iCs/>
        </w:rPr>
      </w:pPr>
      <w:r w:rsidRPr="00576AF8">
        <w:rPr>
          <w:rFonts w:ascii="Times New Roman" w:hAnsi="Times New Roman"/>
          <w:iCs/>
        </w:rPr>
        <w:t>NO APLICA</w:t>
      </w:r>
    </w:p>
    <w:p w14:paraId="5183BD14" w14:textId="77777777" w:rsidR="00A20832" w:rsidRPr="00576AF8" w:rsidRDefault="00A20832" w:rsidP="00231587">
      <w:pPr>
        <w:spacing w:after="480"/>
        <w:jc w:val="center"/>
      </w:pPr>
      <w:r w:rsidRPr="00576AF8">
        <w:t xml:space="preserve">Número de partida: </w:t>
      </w:r>
      <w:r w:rsidRPr="00576AF8">
        <w:rPr>
          <w:rStyle w:val="Preparersnotenobold"/>
        </w:rPr>
        <w:t xml:space="preserve">[especifique: </w:t>
      </w:r>
      <w:r w:rsidRPr="00576AF8">
        <w:rPr>
          <w:rStyle w:val="Preparersnotenobold"/>
          <w:b/>
        </w:rPr>
        <w:t>número de partida pertinente del programa de ejecución (p. ej., a.1)</w:t>
      </w:r>
      <w:r w:rsidRPr="00576AF8">
        <w:rPr>
          <w:rStyle w:val="Preparersnotenobold"/>
        </w:rPr>
        <w:t>]</w:t>
      </w:r>
    </w:p>
    <w:tbl>
      <w:tblPr>
        <w:tblW w:w="130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797"/>
        <w:gridCol w:w="1559"/>
        <w:gridCol w:w="2127"/>
        <w:gridCol w:w="2126"/>
        <w:gridCol w:w="2019"/>
      </w:tblGrid>
      <w:tr w:rsidR="00A20832" w:rsidRPr="00576AF8" w14:paraId="207F6289" w14:textId="77777777" w:rsidTr="00231587">
        <w:trPr>
          <w:cantSplit/>
          <w:tblHeader/>
        </w:trPr>
        <w:tc>
          <w:tcPr>
            <w:tcW w:w="1440" w:type="dxa"/>
            <w:vAlign w:val="bottom"/>
          </w:tcPr>
          <w:p w14:paraId="45F97D16" w14:textId="77777777" w:rsidR="00A20832" w:rsidRPr="00576AF8" w:rsidRDefault="00A20832" w:rsidP="00231587">
            <w:pPr>
              <w:spacing w:before="100" w:after="100"/>
              <w:jc w:val="center"/>
              <w:rPr>
                <w:sz w:val="22"/>
              </w:rPr>
            </w:pPr>
            <w:r w:rsidRPr="00576AF8">
              <w:rPr>
                <w:sz w:val="22"/>
              </w:rPr>
              <w:t>Componente n.º</w:t>
            </w:r>
          </w:p>
        </w:tc>
        <w:tc>
          <w:tcPr>
            <w:tcW w:w="3797" w:type="dxa"/>
            <w:vAlign w:val="bottom"/>
          </w:tcPr>
          <w:p w14:paraId="0F408026" w14:textId="77777777" w:rsidR="00A20832" w:rsidRPr="00576AF8" w:rsidRDefault="00A20832" w:rsidP="00231587">
            <w:pPr>
              <w:spacing w:before="100" w:after="100"/>
              <w:jc w:val="center"/>
              <w:rPr>
                <w:sz w:val="22"/>
              </w:rPr>
            </w:pPr>
            <w:r w:rsidRPr="00576AF8">
              <w:rPr>
                <w:sz w:val="22"/>
              </w:rPr>
              <w:t>Componente</w:t>
            </w:r>
          </w:p>
        </w:tc>
        <w:tc>
          <w:tcPr>
            <w:tcW w:w="1559" w:type="dxa"/>
            <w:vAlign w:val="bottom"/>
          </w:tcPr>
          <w:p w14:paraId="3880EC66" w14:textId="77777777" w:rsidR="00A20832" w:rsidRPr="00576AF8" w:rsidRDefault="00A20832" w:rsidP="00231587">
            <w:pPr>
              <w:spacing w:before="100" w:after="100"/>
              <w:jc w:val="center"/>
              <w:rPr>
                <w:sz w:val="22"/>
              </w:rPr>
            </w:pPr>
            <w:r w:rsidRPr="00576AF8">
              <w:rPr>
                <w:sz w:val="22"/>
              </w:rPr>
              <w:t>Especificaciones técnicas pertinentes n.º</w:t>
            </w:r>
          </w:p>
        </w:tc>
        <w:tc>
          <w:tcPr>
            <w:tcW w:w="2127" w:type="dxa"/>
            <w:vAlign w:val="bottom"/>
          </w:tcPr>
          <w:p w14:paraId="44F9E08B" w14:textId="77777777" w:rsidR="00A20832" w:rsidRPr="00576AF8" w:rsidRDefault="00A20832" w:rsidP="00231587">
            <w:pPr>
              <w:spacing w:before="100" w:after="100"/>
              <w:jc w:val="center"/>
              <w:rPr>
                <w:sz w:val="22"/>
              </w:rPr>
            </w:pPr>
            <w:r w:rsidRPr="00576AF8">
              <w:rPr>
                <w:sz w:val="22"/>
              </w:rPr>
              <w:t>A1</w:t>
            </w:r>
          </w:p>
        </w:tc>
        <w:tc>
          <w:tcPr>
            <w:tcW w:w="2126" w:type="dxa"/>
            <w:vAlign w:val="bottom"/>
          </w:tcPr>
          <w:p w14:paraId="41280605" w14:textId="77777777" w:rsidR="00A20832" w:rsidRPr="00576AF8" w:rsidRDefault="00A20832" w:rsidP="00231587">
            <w:pPr>
              <w:spacing w:before="100" w:after="100"/>
              <w:jc w:val="center"/>
              <w:rPr>
                <w:sz w:val="22"/>
              </w:rPr>
            </w:pPr>
            <w:r w:rsidRPr="00576AF8">
              <w:rPr>
                <w:sz w:val="22"/>
              </w:rPr>
              <w:t>A2</w:t>
            </w:r>
          </w:p>
        </w:tc>
        <w:tc>
          <w:tcPr>
            <w:tcW w:w="2019" w:type="dxa"/>
            <w:vAlign w:val="bottom"/>
          </w:tcPr>
          <w:p w14:paraId="377BB945" w14:textId="77777777" w:rsidR="00A20832" w:rsidRPr="00576AF8" w:rsidRDefault="00A20832" w:rsidP="00231587">
            <w:pPr>
              <w:spacing w:before="100" w:after="100"/>
              <w:jc w:val="center"/>
              <w:rPr>
                <w:sz w:val="22"/>
              </w:rPr>
            </w:pPr>
            <w:r w:rsidRPr="00576AF8">
              <w:rPr>
                <w:sz w:val="22"/>
              </w:rPr>
              <w:t>A3</w:t>
            </w:r>
          </w:p>
        </w:tc>
      </w:tr>
      <w:tr w:rsidR="00A20832" w:rsidRPr="00576AF8" w14:paraId="3F14BBE6" w14:textId="77777777" w:rsidTr="00231587">
        <w:trPr>
          <w:cantSplit/>
        </w:trPr>
        <w:tc>
          <w:tcPr>
            <w:tcW w:w="1440" w:type="dxa"/>
          </w:tcPr>
          <w:p w14:paraId="51F3ECC6" w14:textId="77777777" w:rsidR="00A20832" w:rsidRPr="00576AF8" w:rsidRDefault="00A20832" w:rsidP="00A35BE3">
            <w:pPr>
              <w:spacing w:before="100" w:after="100"/>
              <w:jc w:val="center"/>
              <w:rPr>
                <w:sz w:val="22"/>
              </w:rPr>
            </w:pPr>
            <w:r w:rsidRPr="00576AF8">
              <w:rPr>
                <w:sz w:val="22"/>
              </w:rPr>
              <w:br/>
              <w:t>1.</w:t>
            </w:r>
          </w:p>
        </w:tc>
        <w:tc>
          <w:tcPr>
            <w:tcW w:w="3797" w:type="dxa"/>
          </w:tcPr>
          <w:p w14:paraId="15CF3AF4" w14:textId="77777777" w:rsidR="00A20832" w:rsidRPr="00576AF8" w:rsidRDefault="00A20832" w:rsidP="00A35BE3">
            <w:pPr>
              <w:spacing w:before="100" w:after="100"/>
              <w:jc w:val="left"/>
              <w:rPr>
                <w:sz w:val="22"/>
              </w:rPr>
            </w:pPr>
          </w:p>
        </w:tc>
        <w:tc>
          <w:tcPr>
            <w:tcW w:w="1559" w:type="dxa"/>
          </w:tcPr>
          <w:p w14:paraId="4A156002" w14:textId="77777777" w:rsidR="00A20832" w:rsidRPr="00576AF8" w:rsidRDefault="00A20832" w:rsidP="00A35BE3">
            <w:pPr>
              <w:spacing w:before="100" w:after="100"/>
              <w:jc w:val="center"/>
              <w:rPr>
                <w:sz w:val="22"/>
              </w:rPr>
            </w:pPr>
          </w:p>
        </w:tc>
        <w:tc>
          <w:tcPr>
            <w:tcW w:w="2127" w:type="dxa"/>
          </w:tcPr>
          <w:p w14:paraId="3110FD80" w14:textId="77777777" w:rsidR="00A20832" w:rsidRPr="00576AF8" w:rsidRDefault="00A20832" w:rsidP="00A35BE3">
            <w:pPr>
              <w:spacing w:before="100" w:after="100"/>
              <w:jc w:val="center"/>
              <w:rPr>
                <w:sz w:val="22"/>
              </w:rPr>
            </w:pPr>
          </w:p>
        </w:tc>
        <w:tc>
          <w:tcPr>
            <w:tcW w:w="2126" w:type="dxa"/>
          </w:tcPr>
          <w:p w14:paraId="73D9E9FE" w14:textId="77777777" w:rsidR="00A20832" w:rsidRPr="00576AF8" w:rsidRDefault="00A20832" w:rsidP="00A35BE3">
            <w:pPr>
              <w:spacing w:before="100" w:after="100"/>
              <w:jc w:val="center"/>
              <w:rPr>
                <w:sz w:val="22"/>
              </w:rPr>
            </w:pPr>
          </w:p>
        </w:tc>
        <w:tc>
          <w:tcPr>
            <w:tcW w:w="2019" w:type="dxa"/>
          </w:tcPr>
          <w:p w14:paraId="09F2B4F4" w14:textId="77777777" w:rsidR="00A20832" w:rsidRPr="00576AF8" w:rsidRDefault="00A20832" w:rsidP="00A35BE3">
            <w:pPr>
              <w:spacing w:before="100" w:after="100"/>
              <w:jc w:val="center"/>
              <w:rPr>
                <w:sz w:val="22"/>
              </w:rPr>
            </w:pPr>
          </w:p>
        </w:tc>
      </w:tr>
      <w:tr w:rsidR="00A20832" w:rsidRPr="00576AF8" w14:paraId="2BAD8DA4" w14:textId="77777777" w:rsidTr="00231587">
        <w:trPr>
          <w:cantSplit/>
        </w:trPr>
        <w:tc>
          <w:tcPr>
            <w:tcW w:w="1440" w:type="dxa"/>
          </w:tcPr>
          <w:p w14:paraId="1979366E" w14:textId="77777777" w:rsidR="00A20832" w:rsidRPr="00576AF8" w:rsidRDefault="00A20832" w:rsidP="00A35BE3">
            <w:pPr>
              <w:spacing w:before="100" w:after="100"/>
              <w:jc w:val="center"/>
              <w:rPr>
                <w:sz w:val="22"/>
              </w:rPr>
            </w:pPr>
            <w:r w:rsidRPr="00576AF8">
              <w:rPr>
                <w:sz w:val="22"/>
              </w:rPr>
              <w:t>2.</w:t>
            </w:r>
          </w:p>
        </w:tc>
        <w:tc>
          <w:tcPr>
            <w:tcW w:w="3797" w:type="dxa"/>
          </w:tcPr>
          <w:p w14:paraId="5A29E590" w14:textId="77777777" w:rsidR="00A20832" w:rsidRPr="00576AF8" w:rsidRDefault="00A20832" w:rsidP="00A35BE3">
            <w:pPr>
              <w:spacing w:before="100" w:after="100"/>
              <w:jc w:val="left"/>
              <w:rPr>
                <w:sz w:val="22"/>
              </w:rPr>
            </w:pPr>
          </w:p>
        </w:tc>
        <w:tc>
          <w:tcPr>
            <w:tcW w:w="1559" w:type="dxa"/>
          </w:tcPr>
          <w:p w14:paraId="1458A9B8" w14:textId="77777777" w:rsidR="00A20832" w:rsidRPr="00576AF8" w:rsidRDefault="00A20832" w:rsidP="00A35BE3">
            <w:pPr>
              <w:spacing w:before="100" w:after="100"/>
              <w:jc w:val="center"/>
              <w:rPr>
                <w:sz w:val="22"/>
              </w:rPr>
            </w:pPr>
          </w:p>
        </w:tc>
        <w:tc>
          <w:tcPr>
            <w:tcW w:w="2127" w:type="dxa"/>
          </w:tcPr>
          <w:p w14:paraId="2873BA9B" w14:textId="77777777" w:rsidR="00A20832" w:rsidRPr="00576AF8" w:rsidRDefault="00A20832" w:rsidP="00A35BE3">
            <w:pPr>
              <w:spacing w:before="100" w:after="100"/>
              <w:jc w:val="center"/>
              <w:rPr>
                <w:sz w:val="22"/>
              </w:rPr>
            </w:pPr>
          </w:p>
        </w:tc>
        <w:tc>
          <w:tcPr>
            <w:tcW w:w="2126" w:type="dxa"/>
          </w:tcPr>
          <w:p w14:paraId="7ACAA013" w14:textId="77777777" w:rsidR="00A20832" w:rsidRPr="00576AF8" w:rsidRDefault="00A20832" w:rsidP="00A35BE3">
            <w:pPr>
              <w:spacing w:before="100" w:after="100"/>
              <w:jc w:val="center"/>
              <w:rPr>
                <w:sz w:val="22"/>
              </w:rPr>
            </w:pPr>
          </w:p>
        </w:tc>
        <w:tc>
          <w:tcPr>
            <w:tcW w:w="2019" w:type="dxa"/>
          </w:tcPr>
          <w:p w14:paraId="4A6BFBF4" w14:textId="77777777" w:rsidR="00A20832" w:rsidRPr="00576AF8" w:rsidRDefault="00A20832" w:rsidP="00A35BE3">
            <w:pPr>
              <w:spacing w:before="100" w:after="100"/>
              <w:jc w:val="center"/>
              <w:rPr>
                <w:sz w:val="22"/>
              </w:rPr>
            </w:pPr>
          </w:p>
        </w:tc>
      </w:tr>
      <w:tr w:rsidR="00A20832" w:rsidRPr="00576AF8" w14:paraId="1E5DFFA6" w14:textId="77777777" w:rsidTr="00231587">
        <w:trPr>
          <w:cantSplit/>
        </w:trPr>
        <w:tc>
          <w:tcPr>
            <w:tcW w:w="1440" w:type="dxa"/>
          </w:tcPr>
          <w:p w14:paraId="3C1FA9CA" w14:textId="77777777" w:rsidR="00A20832" w:rsidRPr="00576AF8" w:rsidRDefault="00A20832" w:rsidP="00A35BE3">
            <w:pPr>
              <w:spacing w:before="100" w:after="100"/>
              <w:jc w:val="center"/>
              <w:rPr>
                <w:sz w:val="22"/>
              </w:rPr>
            </w:pPr>
            <w:r w:rsidRPr="00576AF8">
              <w:rPr>
                <w:sz w:val="22"/>
              </w:rPr>
              <w:t>3.</w:t>
            </w:r>
          </w:p>
        </w:tc>
        <w:tc>
          <w:tcPr>
            <w:tcW w:w="3797" w:type="dxa"/>
          </w:tcPr>
          <w:p w14:paraId="25C182BA" w14:textId="77777777" w:rsidR="00A20832" w:rsidRPr="00576AF8" w:rsidRDefault="00A20832" w:rsidP="00A35BE3">
            <w:pPr>
              <w:spacing w:before="100" w:after="100"/>
              <w:jc w:val="left"/>
              <w:rPr>
                <w:sz w:val="22"/>
              </w:rPr>
            </w:pPr>
          </w:p>
        </w:tc>
        <w:tc>
          <w:tcPr>
            <w:tcW w:w="1559" w:type="dxa"/>
          </w:tcPr>
          <w:p w14:paraId="0BC0D2F8" w14:textId="77777777" w:rsidR="00A20832" w:rsidRPr="00576AF8" w:rsidRDefault="00A20832" w:rsidP="00A35BE3">
            <w:pPr>
              <w:spacing w:before="100" w:after="100"/>
              <w:jc w:val="center"/>
              <w:rPr>
                <w:sz w:val="22"/>
              </w:rPr>
            </w:pPr>
          </w:p>
        </w:tc>
        <w:tc>
          <w:tcPr>
            <w:tcW w:w="2127" w:type="dxa"/>
          </w:tcPr>
          <w:p w14:paraId="7F6A2CD0" w14:textId="77777777" w:rsidR="00A20832" w:rsidRPr="00576AF8" w:rsidRDefault="00A20832" w:rsidP="00A35BE3">
            <w:pPr>
              <w:spacing w:before="100" w:after="100"/>
              <w:jc w:val="center"/>
              <w:rPr>
                <w:sz w:val="22"/>
              </w:rPr>
            </w:pPr>
          </w:p>
        </w:tc>
        <w:tc>
          <w:tcPr>
            <w:tcW w:w="2126" w:type="dxa"/>
          </w:tcPr>
          <w:p w14:paraId="274614A9" w14:textId="77777777" w:rsidR="00A20832" w:rsidRPr="00576AF8" w:rsidRDefault="00A20832" w:rsidP="00A35BE3">
            <w:pPr>
              <w:spacing w:before="100" w:after="100"/>
              <w:jc w:val="center"/>
              <w:rPr>
                <w:sz w:val="22"/>
              </w:rPr>
            </w:pPr>
          </w:p>
        </w:tc>
        <w:tc>
          <w:tcPr>
            <w:tcW w:w="2019" w:type="dxa"/>
          </w:tcPr>
          <w:p w14:paraId="46935CDA" w14:textId="77777777" w:rsidR="00A20832" w:rsidRPr="00576AF8" w:rsidRDefault="00A20832" w:rsidP="00A35BE3">
            <w:pPr>
              <w:spacing w:before="100" w:after="100"/>
              <w:jc w:val="center"/>
              <w:rPr>
                <w:sz w:val="22"/>
              </w:rPr>
            </w:pPr>
          </w:p>
        </w:tc>
      </w:tr>
      <w:tr w:rsidR="00A20832" w:rsidRPr="00576AF8" w14:paraId="540445EE" w14:textId="77777777" w:rsidTr="00231587">
        <w:trPr>
          <w:cantSplit/>
        </w:trPr>
        <w:tc>
          <w:tcPr>
            <w:tcW w:w="1440" w:type="dxa"/>
          </w:tcPr>
          <w:p w14:paraId="17253EBA" w14:textId="77777777" w:rsidR="00A20832" w:rsidRPr="00576AF8" w:rsidRDefault="00A20832" w:rsidP="00A35BE3">
            <w:pPr>
              <w:spacing w:before="100" w:after="100"/>
              <w:jc w:val="center"/>
              <w:rPr>
                <w:sz w:val="22"/>
              </w:rPr>
            </w:pPr>
            <w:r w:rsidRPr="00576AF8">
              <w:rPr>
                <w:sz w:val="22"/>
              </w:rPr>
              <w:t>3</w:t>
            </w:r>
            <w:r w:rsidR="00231587" w:rsidRPr="00576AF8">
              <w:rPr>
                <w:sz w:val="22"/>
              </w:rPr>
              <w:t>.</w:t>
            </w:r>
            <w:r w:rsidRPr="00576AF8">
              <w:rPr>
                <w:sz w:val="22"/>
              </w:rPr>
              <w:t>1</w:t>
            </w:r>
          </w:p>
        </w:tc>
        <w:tc>
          <w:tcPr>
            <w:tcW w:w="3797" w:type="dxa"/>
          </w:tcPr>
          <w:p w14:paraId="0AE41AA0" w14:textId="77777777" w:rsidR="00A20832" w:rsidRPr="00576AF8" w:rsidRDefault="00A20832" w:rsidP="00A35BE3">
            <w:pPr>
              <w:spacing w:before="100" w:after="100"/>
              <w:ind w:left="450"/>
              <w:jc w:val="left"/>
              <w:rPr>
                <w:sz w:val="22"/>
              </w:rPr>
            </w:pPr>
          </w:p>
        </w:tc>
        <w:tc>
          <w:tcPr>
            <w:tcW w:w="1559" w:type="dxa"/>
          </w:tcPr>
          <w:p w14:paraId="6BDE1050" w14:textId="77777777" w:rsidR="00A20832" w:rsidRPr="00576AF8" w:rsidRDefault="00A20832" w:rsidP="00A35BE3">
            <w:pPr>
              <w:spacing w:before="100" w:after="100"/>
              <w:jc w:val="center"/>
              <w:rPr>
                <w:sz w:val="22"/>
              </w:rPr>
            </w:pPr>
          </w:p>
        </w:tc>
        <w:tc>
          <w:tcPr>
            <w:tcW w:w="2127" w:type="dxa"/>
          </w:tcPr>
          <w:p w14:paraId="4124C300" w14:textId="77777777" w:rsidR="00A20832" w:rsidRPr="00576AF8" w:rsidRDefault="00A20832" w:rsidP="00A35BE3">
            <w:pPr>
              <w:spacing w:before="100" w:after="100"/>
              <w:jc w:val="center"/>
              <w:rPr>
                <w:sz w:val="22"/>
              </w:rPr>
            </w:pPr>
          </w:p>
        </w:tc>
        <w:tc>
          <w:tcPr>
            <w:tcW w:w="2126" w:type="dxa"/>
          </w:tcPr>
          <w:p w14:paraId="3A59AD3E" w14:textId="77777777" w:rsidR="00A20832" w:rsidRPr="00576AF8" w:rsidRDefault="00A20832" w:rsidP="00A35BE3">
            <w:pPr>
              <w:spacing w:before="100" w:after="100"/>
              <w:jc w:val="center"/>
              <w:rPr>
                <w:sz w:val="22"/>
              </w:rPr>
            </w:pPr>
          </w:p>
        </w:tc>
        <w:tc>
          <w:tcPr>
            <w:tcW w:w="2019" w:type="dxa"/>
          </w:tcPr>
          <w:p w14:paraId="1D57FFFD" w14:textId="77777777" w:rsidR="00A20832" w:rsidRPr="00576AF8" w:rsidRDefault="00A20832" w:rsidP="00A35BE3">
            <w:pPr>
              <w:spacing w:before="100" w:after="100"/>
              <w:jc w:val="center"/>
              <w:rPr>
                <w:sz w:val="22"/>
              </w:rPr>
            </w:pPr>
          </w:p>
        </w:tc>
      </w:tr>
      <w:tr w:rsidR="00A20832" w:rsidRPr="00576AF8" w14:paraId="3B7668BA" w14:textId="77777777" w:rsidTr="00231587">
        <w:trPr>
          <w:cantSplit/>
        </w:trPr>
        <w:tc>
          <w:tcPr>
            <w:tcW w:w="1440" w:type="dxa"/>
          </w:tcPr>
          <w:p w14:paraId="42FB9E11" w14:textId="77777777" w:rsidR="00A20832" w:rsidRPr="00576AF8" w:rsidRDefault="00A20832" w:rsidP="00A35BE3">
            <w:pPr>
              <w:spacing w:before="100" w:after="100"/>
              <w:jc w:val="center"/>
              <w:rPr>
                <w:sz w:val="22"/>
              </w:rPr>
            </w:pPr>
            <w:r w:rsidRPr="00576AF8">
              <w:rPr>
                <w:sz w:val="22"/>
              </w:rPr>
              <w:t>3</w:t>
            </w:r>
            <w:r w:rsidR="00231587" w:rsidRPr="00576AF8">
              <w:rPr>
                <w:sz w:val="22"/>
              </w:rPr>
              <w:t>.</w:t>
            </w:r>
            <w:r w:rsidRPr="00576AF8">
              <w:rPr>
                <w:sz w:val="22"/>
              </w:rPr>
              <w:t>2</w:t>
            </w:r>
          </w:p>
        </w:tc>
        <w:tc>
          <w:tcPr>
            <w:tcW w:w="3797" w:type="dxa"/>
          </w:tcPr>
          <w:p w14:paraId="49EBCD83" w14:textId="77777777" w:rsidR="00A20832" w:rsidRPr="00576AF8" w:rsidRDefault="00A20832" w:rsidP="00A35BE3">
            <w:pPr>
              <w:spacing w:before="100" w:after="100"/>
              <w:ind w:left="450"/>
              <w:jc w:val="left"/>
              <w:rPr>
                <w:sz w:val="22"/>
              </w:rPr>
            </w:pPr>
          </w:p>
        </w:tc>
        <w:tc>
          <w:tcPr>
            <w:tcW w:w="1559" w:type="dxa"/>
          </w:tcPr>
          <w:p w14:paraId="76380489" w14:textId="77777777" w:rsidR="00A20832" w:rsidRPr="00576AF8" w:rsidRDefault="00A20832" w:rsidP="00A35BE3">
            <w:pPr>
              <w:spacing w:before="100" w:after="100"/>
              <w:jc w:val="center"/>
              <w:rPr>
                <w:sz w:val="22"/>
              </w:rPr>
            </w:pPr>
          </w:p>
        </w:tc>
        <w:tc>
          <w:tcPr>
            <w:tcW w:w="2127" w:type="dxa"/>
          </w:tcPr>
          <w:p w14:paraId="5E12F5D4" w14:textId="77777777" w:rsidR="00A20832" w:rsidRPr="00576AF8" w:rsidRDefault="00A20832" w:rsidP="00A35BE3">
            <w:pPr>
              <w:spacing w:before="100" w:after="100"/>
              <w:jc w:val="center"/>
              <w:rPr>
                <w:sz w:val="22"/>
              </w:rPr>
            </w:pPr>
          </w:p>
        </w:tc>
        <w:tc>
          <w:tcPr>
            <w:tcW w:w="2126" w:type="dxa"/>
          </w:tcPr>
          <w:p w14:paraId="186D9BD0" w14:textId="77777777" w:rsidR="00A20832" w:rsidRPr="00576AF8" w:rsidRDefault="00A20832" w:rsidP="00A35BE3">
            <w:pPr>
              <w:spacing w:before="100" w:after="100"/>
              <w:jc w:val="center"/>
              <w:rPr>
                <w:sz w:val="22"/>
              </w:rPr>
            </w:pPr>
          </w:p>
        </w:tc>
        <w:tc>
          <w:tcPr>
            <w:tcW w:w="2019" w:type="dxa"/>
          </w:tcPr>
          <w:p w14:paraId="3FFF2D37" w14:textId="77777777" w:rsidR="00A20832" w:rsidRPr="00576AF8" w:rsidRDefault="00A20832" w:rsidP="00A35BE3">
            <w:pPr>
              <w:spacing w:before="100" w:after="100"/>
              <w:jc w:val="center"/>
              <w:rPr>
                <w:sz w:val="22"/>
              </w:rPr>
            </w:pPr>
          </w:p>
        </w:tc>
      </w:tr>
      <w:tr w:rsidR="00A20832" w:rsidRPr="00576AF8" w14:paraId="1621B2D5" w14:textId="77777777" w:rsidTr="00AC6115">
        <w:trPr>
          <w:cantSplit/>
          <w:trHeight w:val="49"/>
        </w:trPr>
        <w:tc>
          <w:tcPr>
            <w:tcW w:w="1440" w:type="dxa"/>
          </w:tcPr>
          <w:p w14:paraId="489C87EE" w14:textId="77777777" w:rsidR="00A20832" w:rsidRPr="00576AF8" w:rsidRDefault="00A20832" w:rsidP="00A35BE3">
            <w:pPr>
              <w:spacing w:before="100" w:after="100"/>
              <w:jc w:val="center"/>
              <w:rPr>
                <w:sz w:val="22"/>
              </w:rPr>
            </w:pPr>
            <w:r w:rsidRPr="00576AF8">
              <w:rPr>
                <w:sz w:val="22"/>
              </w:rPr>
              <w:t>3</w:t>
            </w:r>
            <w:r w:rsidR="00231587" w:rsidRPr="00576AF8">
              <w:rPr>
                <w:sz w:val="22"/>
              </w:rPr>
              <w:t>.</w:t>
            </w:r>
            <w:r w:rsidRPr="00576AF8">
              <w:rPr>
                <w:sz w:val="22"/>
              </w:rPr>
              <w:t>3</w:t>
            </w:r>
          </w:p>
        </w:tc>
        <w:tc>
          <w:tcPr>
            <w:tcW w:w="3797" w:type="dxa"/>
          </w:tcPr>
          <w:p w14:paraId="38177F91" w14:textId="77777777" w:rsidR="00A20832" w:rsidRPr="00576AF8" w:rsidRDefault="00A20832" w:rsidP="00A35BE3">
            <w:pPr>
              <w:spacing w:before="100" w:after="100"/>
              <w:ind w:left="450"/>
              <w:jc w:val="left"/>
              <w:rPr>
                <w:sz w:val="22"/>
              </w:rPr>
            </w:pPr>
          </w:p>
        </w:tc>
        <w:tc>
          <w:tcPr>
            <w:tcW w:w="1559" w:type="dxa"/>
          </w:tcPr>
          <w:p w14:paraId="7885A9CD" w14:textId="77777777" w:rsidR="00A20832" w:rsidRPr="00576AF8" w:rsidRDefault="00A20832" w:rsidP="00A35BE3">
            <w:pPr>
              <w:spacing w:before="100" w:after="100"/>
              <w:jc w:val="center"/>
              <w:rPr>
                <w:sz w:val="22"/>
              </w:rPr>
            </w:pPr>
          </w:p>
        </w:tc>
        <w:tc>
          <w:tcPr>
            <w:tcW w:w="2127" w:type="dxa"/>
          </w:tcPr>
          <w:p w14:paraId="3AD00C4B" w14:textId="77777777" w:rsidR="00A20832" w:rsidRPr="00576AF8" w:rsidRDefault="00A20832" w:rsidP="00A35BE3">
            <w:pPr>
              <w:spacing w:before="100" w:after="100"/>
              <w:jc w:val="center"/>
              <w:rPr>
                <w:sz w:val="22"/>
              </w:rPr>
            </w:pPr>
          </w:p>
        </w:tc>
        <w:tc>
          <w:tcPr>
            <w:tcW w:w="2126" w:type="dxa"/>
          </w:tcPr>
          <w:p w14:paraId="5A746599" w14:textId="77777777" w:rsidR="00A20832" w:rsidRPr="00576AF8" w:rsidRDefault="00A20832" w:rsidP="00A35BE3">
            <w:pPr>
              <w:spacing w:before="100" w:after="100"/>
              <w:jc w:val="center"/>
              <w:rPr>
                <w:sz w:val="22"/>
              </w:rPr>
            </w:pPr>
          </w:p>
        </w:tc>
        <w:tc>
          <w:tcPr>
            <w:tcW w:w="2019" w:type="dxa"/>
          </w:tcPr>
          <w:p w14:paraId="3E6A7BF1" w14:textId="77777777" w:rsidR="00A20832" w:rsidRPr="00576AF8" w:rsidRDefault="00A20832" w:rsidP="00A35BE3">
            <w:pPr>
              <w:spacing w:before="100" w:after="100"/>
              <w:jc w:val="center"/>
              <w:rPr>
                <w:sz w:val="22"/>
              </w:rPr>
            </w:pPr>
          </w:p>
        </w:tc>
      </w:tr>
      <w:tr w:rsidR="00A20832" w:rsidRPr="00576AF8" w14:paraId="6F35D0EB" w14:textId="77777777" w:rsidTr="00231587">
        <w:trPr>
          <w:cantSplit/>
        </w:trPr>
        <w:tc>
          <w:tcPr>
            <w:tcW w:w="1440" w:type="dxa"/>
          </w:tcPr>
          <w:p w14:paraId="25D64689" w14:textId="77777777" w:rsidR="00A20832" w:rsidRPr="00576AF8" w:rsidRDefault="00A20832" w:rsidP="00A35BE3">
            <w:pPr>
              <w:spacing w:before="100" w:after="100"/>
              <w:jc w:val="center"/>
              <w:rPr>
                <w:sz w:val="22"/>
              </w:rPr>
            </w:pPr>
          </w:p>
        </w:tc>
        <w:tc>
          <w:tcPr>
            <w:tcW w:w="3797" w:type="dxa"/>
          </w:tcPr>
          <w:p w14:paraId="285CAF3E" w14:textId="77777777" w:rsidR="00A20832" w:rsidRPr="00576AF8" w:rsidRDefault="00A20832" w:rsidP="00A35BE3">
            <w:pPr>
              <w:rPr>
                <w:sz w:val="22"/>
                <w:szCs w:val="22"/>
              </w:rPr>
            </w:pPr>
          </w:p>
        </w:tc>
        <w:tc>
          <w:tcPr>
            <w:tcW w:w="1559" w:type="dxa"/>
          </w:tcPr>
          <w:p w14:paraId="06BB9D37" w14:textId="77777777" w:rsidR="00A20832" w:rsidRPr="00576AF8" w:rsidRDefault="00A20832" w:rsidP="00A35BE3">
            <w:pPr>
              <w:spacing w:before="100" w:after="100"/>
              <w:jc w:val="center"/>
              <w:rPr>
                <w:sz w:val="22"/>
              </w:rPr>
            </w:pPr>
          </w:p>
        </w:tc>
        <w:tc>
          <w:tcPr>
            <w:tcW w:w="2127" w:type="dxa"/>
          </w:tcPr>
          <w:p w14:paraId="668B0997" w14:textId="77777777" w:rsidR="00A20832" w:rsidRPr="00576AF8" w:rsidRDefault="00A20832" w:rsidP="00A35BE3">
            <w:pPr>
              <w:spacing w:before="100" w:after="100"/>
              <w:jc w:val="center"/>
              <w:rPr>
                <w:sz w:val="22"/>
              </w:rPr>
            </w:pPr>
          </w:p>
        </w:tc>
        <w:tc>
          <w:tcPr>
            <w:tcW w:w="2126" w:type="dxa"/>
          </w:tcPr>
          <w:p w14:paraId="7EFBD20C" w14:textId="77777777" w:rsidR="00A20832" w:rsidRPr="00576AF8" w:rsidRDefault="00A20832" w:rsidP="00A35BE3">
            <w:pPr>
              <w:spacing w:before="100" w:after="100"/>
              <w:jc w:val="center"/>
              <w:rPr>
                <w:sz w:val="22"/>
              </w:rPr>
            </w:pPr>
          </w:p>
        </w:tc>
        <w:tc>
          <w:tcPr>
            <w:tcW w:w="2019" w:type="dxa"/>
          </w:tcPr>
          <w:p w14:paraId="1DB621A7" w14:textId="77777777" w:rsidR="00A20832" w:rsidRPr="00576AF8" w:rsidRDefault="00A20832" w:rsidP="00A35BE3">
            <w:pPr>
              <w:spacing w:before="100" w:after="100"/>
              <w:jc w:val="center"/>
              <w:rPr>
                <w:sz w:val="22"/>
              </w:rPr>
            </w:pPr>
          </w:p>
        </w:tc>
      </w:tr>
    </w:tbl>
    <w:p w14:paraId="7E9CAB9F" w14:textId="77777777" w:rsidR="00A20832" w:rsidRPr="00576AF8" w:rsidRDefault="00A20832" w:rsidP="00231587">
      <w:pPr>
        <w:spacing w:before="120"/>
        <w:ind w:left="1260" w:hanging="1260"/>
        <w:jc w:val="left"/>
        <w:rPr>
          <w:b/>
          <w:sz w:val="32"/>
          <w:szCs w:val="32"/>
        </w:rPr>
      </w:pPr>
      <w:r w:rsidRPr="00576AF8">
        <w:rPr>
          <w:b/>
          <w:sz w:val="22"/>
        </w:rPr>
        <w:t>Nota:</w:t>
      </w:r>
      <w:r w:rsidRPr="00576AF8">
        <w:rPr>
          <w:sz w:val="22"/>
        </w:rPr>
        <w:t xml:space="preserve"> “- -” indica “no aplicable”. Las comillas (“) indican la repetición de la entrada del cuadro anterior.</w:t>
      </w:r>
    </w:p>
    <w:p w14:paraId="5B70F476" w14:textId="77777777" w:rsidR="00A20832" w:rsidRPr="00576AF8" w:rsidRDefault="00A20832" w:rsidP="00A20832">
      <w:pPr>
        <w:tabs>
          <w:tab w:val="left" w:pos="8640"/>
        </w:tabs>
        <w:rPr>
          <w:b/>
          <w:sz w:val="32"/>
          <w:szCs w:val="32"/>
        </w:rPr>
        <w:sectPr w:rsidR="00A20832" w:rsidRPr="00576AF8" w:rsidSect="000968D2">
          <w:headerReference w:type="even" r:id="rId69"/>
          <w:headerReference w:type="default" r:id="rId70"/>
          <w:pgSz w:w="15840" w:h="12240" w:orient="landscape" w:code="1"/>
          <w:pgMar w:top="1440" w:right="1440" w:bottom="1440" w:left="1440" w:header="720" w:footer="720" w:gutter="0"/>
          <w:cols w:space="720"/>
          <w:docGrid w:linePitch="360"/>
        </w:sectPr>
      </w:pPr>
    </w:p>
    <w:p w14:paraId="175F3CE5" w14:textId="77777777" w:rsidR="00A20832" w:rsidRPr="00576AF8" w:rsidRDefault="00A20832" w:rsidP="00A20832">
      <w:pPr>
        <w:tabs>
          <w:tab w:val="left" w:pos="8640"/>
        </w:tabs>
        <w:rPr>
          <w:b/>
          <w:sz w:val="32"/>
          <w:szCs w:val="32"/>
        </w:rPr>
      </w:pPr>
    </w:p>
    <w:p w14:paraId="3BAFD17E" w14:textId="77777777" w:rsidR="00A20832" w:rsidRPr="00576AF8" w:rsidRDefault="00A20832" w:rsidP="00A20832">
      <w:pPr>
        <w:jc w:val="center"/>
        <w:rPr>
          <w:b/>
          <w:sz w:val="36"/>
          <w:szCs w:val="36"/>
        </w:rPr>
      </w:pPr>
      <w:bookmarkStart w:id="1461" w:name="_Toc454641241"/>
      <w:r w:rsidRPr="00576AF8">
        <w:rPr>
          <w:b/>
          <w:sz w:val="36"/>
          <w:szCs w:val="36"/>
        </w:rPr>
        <w:t>Información de referencia y material informativo</w:t>
      </w:r>
      <w:bookmarkEnd w:id="1461"/>
    </w:p>
    <w:p w14:paraId="6304A05E" w14:textId="77777777" w:rsidR="00AC6115" w:rsidRPr="00576AF8" w:rsidRDefault="00AC6115" w:rsidP="003749BF">
      <w:pPr>
        <w:pStyle w:val="Ttulo2"/>
        <w:rPr>
          <w:rFonts w:ascii="Times New Roman" w:hAnsi="Times New Roman"/>
        </w:rPr>
      </w:pPr>
    </w:p>
    <w:p w14:paraId="43892EEF" w14:textId="77777777" w:rsidR="00A20832" w:rsidRPr="00576AF8" w:rsidRDefault="00A20832" w:rsidP="003749BF">
      <w:pPr>
        <w:pStyle w:val="Ttulo2"/>
        <w:rPr>
          <w:rFonts w:ascii="Times New Roman" w:hAnsi="Times New Roman"/>
        </w:rPr>
      </w:pPr>
      <w:r w:rsidRPr="00576AF8">
        <w:rPr>
          <w:rFonts w:ascii="Times New Roman" w:hAnsi="Times New Roman"/>
        </w:rPr>
        <w:t>Índice: Información de referencia y material informativo</w:t>
      </w:r>
    </w:p>
    <w:p w14:paraId="00DA592D" w14:textId="77777777" w:rsidR="003749BF" w:rsidRPr="00576AF8" w:rsidRDefault="00231587">
      <w:pPr>
        <w:pStyle w:val="TDC1"/>
        <w:rPr>
          <w:rFonts w:ascii="Times New Roman" w:eastAsiaTheme="minorEastAsia" w:hAnsi="Times New Roman"/>
          <w:b w:val="0"/>
          <w:noProof/>
          <w:sz w:val="22"/>
          <w:szCs w:val="22"/>
          <w:lang w:eastAsia="zh-CN" w:bidi="ar-SA"/>
        </w:rPr>
      </w:pPr>
      <w:r w:rsidRPr="00576AF8">
        <w:rPr>
          <w:rFonts w:ascii="Times New Roman" w:hAnsi="Times New Roman"/>
        </w:rPr>
        <w:fldChar w:fldCharType="begin"/>
      </w:r>
      <w:r w:rsidRPr="00576AF8">
        <w:rPr>
          <w:rFonts w:ascii="Times New Roman" w:hAnsi="Times New Roman"/>
        </w:rPr>
        <w:instrText xml:space="preserve"> TOC \h \z \t "Head 5d.1;1;Head 5d.2;2" </w:instrText>
      </w:r>
      <w:r w:rsidRPr="00576AF8">
        <w:rPr>
          <w:rFonts w:ascii="Times New Roman" w:hAnsi="Times New Roman"/>
        </w:rPr>
        <w:fldChar w:fldCharType="separate"/>
      </w:r>
      <w:hyperlink w:anchor="_Toc488947810" w:history="1">
        <w:r w:rsidR="003749BF" w:rsidRPr="00576AF8">
          <w:rPr>
            <w:rStyle w:val="Hipervnculo"/>
            <w:rFonts w:ascii="Times New Roman" w:hAnsi="Times New Roman"/>
            <w:noProof/>
          </w:rPr>
          <w:t>A.  Información de referencia</w:t>
        </w:r>
        <w:r w:rsidR="003749BF" w:rsidRPr="00576AF8">
          <w:rPr>
            <w:rFonts w:ascii="Times New Roman" w:hAnsi="Times New Roman"/>
            <w:noProof/>
            <w:webHidden/>
          </w:rPr>
          <w:tab/>
        </w:r>
        <w:r w:rsidR="003749BF" w:rsidRPr="00576AF8">
          <w:rPr>
            <w:rFonts w:ascii="Times New Roman" w:hAnsi="Times New Roman"/>
            <w:noProof/>
            <w:webHidden/>
          </w:rPr>
          <w:fldChar w:fldCharType="begin"/>
        </w:r>
        <w:r w:rsidR="003749BF" w:rsidRPr="00576AF8">
          <w:rPr>
            <w:rFonts w:ascii="Times New Roman" w:hAnsi="Times New Roman"/>
            <w:noProof/>
            <w:webHidden/>
          </w:rPr>
          <w:instrText xml:space="preserve"> PAGEREF _Toc488947810 \h </w:instrText>
        </w:r>
        <w:r w:rsidR="003749BF" w:rsidRPr="00576AF8">
          <w:rPr>
            <w:rFonts w:ascii="Times New Roman" w:hAnsi="Times New Roman"/>
            <w:noProof/>
            <w:webHidden/>
          </w:rPr>
        </w:r>
        <w:r w:rsidR="003749BF" w:rsidRPr="00576AF8">
          <w:rPr>
            <w:rFonts w:ascii="Times New Roman" w:hAnsi="Times New Roman"/>
            <w:noProof/>
            <w:webHidden/>
          </w:rPr>
          <w:fldChar w:fldCharType="separate"/>
        </w:r>
        <w:r w:rsidR="00A264B5" w:rsidRPr="00576AF8">
          <w:rPr>
            <w:rFonts w:ascii="Times New Roman" w:hAnsi="Times New Roman"/>
            <w:noProof/>
            <w:webHidden/>
          </w:rPr>
          <w:t>157</w:t>
        </w:r>
        <w:r w:rsidR="003749BF" w:rsidRPr="00576AF8">
          <w:rPr>
            <w:rFonts w:ascii="Times New Roman" w:hAnsi="Times New Roman"/>
            <w:noProof/>
            <w:webHidden/>
          </w:rPr>
          <w:fldChar w:fldCharType="end"/>
        </w:r>
      </w:hyperlink>
    </w:p>
    <w:p w14:paraId="539BB85D" w14:textId="77777777" w:rsidR="003749BF" w:rsidRPr="00576AF8" w:rsidRDefault="006334E7">
      <w:pPr>
        <w:pStyle w:val="TDC2"/>
        <w:rPr>
          <w:rFonts w:eastAsiaTheme="minorEastAsia"/>
          <w:sz w:val="22"/>
          <w:szCs w:val="22"/>
          <w:lang w:eastAsia="zh-CN" w:bidi="ar-SA"/>
        </w:rPr>
      </w:pPr>
      <w:hyperlink w:anchor="_Toc488947811" w:history="1">
        <w:r w:rsidR="003749BF" w:rsidRPr="00576AF8">
          <w:rPr>
            <w:rStyle w:val="Hipervnculo"/>
          </w:rPr>
          <w:t>0.1</w:t>
        </w:r>
        <w:r w:rsidR="003749BF" w:rsidRPr="00576AF8">
          <w:rPr>
            <w:rFonts w:eastAsiaTheme="minorEastAsia"/>
            <w:sz w:val="22"/>
            <w:szCs w:val="22"/>
            <w:lang w:eastAsia="zh-CN" w:bidi="ar-SA"/>
          </w:rPr>
          <w:tab/>
        </w:r>
        <w:r w:rsidR="003749BF" w:rsidRPr="00576AF8">
          <w:rPr>
            <w:rStyle w:val="Hipervnculo"/>
          </w:rPr>
          <w:t>El Comprador</w:t>
        </w:r>
        <w:r w:rsidR="003749BF" w:rsidRPr="00576AF8">
          <w:rPr>
            <w:webHidden/>
          </w:rPr>
          <w:tab/>
        </w:r>
        <w:r w:rsidR="003749BF" w:rsidRPr="00576AF8">
          <w:rPr>
            <w:webHidden/>
          </w:rPr>
          <w:fldChar w:fldCharType="begin"/>
        </w:r>
        <w:r w:rsidR="003749BF" w:rsidRPr="00576AF8">
          <w:rPr>
            <w:webHidden/>
          </w:rPr>
          <w:instrText xml:space="preserve"> PAGEREF _Toc488947811 \h </w:instrText>
        </w:r>
        <w:r w:rsidR="003749BF" w:rsidRPr="00576AF8">
          <w:rPr>
            <w:webHidden/>
          </w:rPr>
        </w:r>
        <w:r w:rsidR="003749BF" w:rsidRPr="00576AF8">
          <w:rPr>
            <w:webHidden/>
          </w:rPr>
          <w:fldChar w:fldCharType="separate"/>
        </w:r>
        <w:r w:rsidR="00A264B5" w:rsidRPr="00576AF8">
          <w:rPr>
            <w:webHidden/>
          </w:rPr>
          <w:t>157</w:t>
        </w:r>
        <w:r w:rsidR="003749BF" w:rsidRPr="00576AF8">
          <w:rPr>
            <w:webHidden/>
          </w:rPr>
          <w:fldChar w:fldCharType="end"/>
        </w:r>
      </w:hyperlink>
    </w:p>
    <w:p w14:paraId="17FC974A" w14:textId="77777777" w:rsidR="003749BF" w:rsidRPr="00576AF8" w:rsidRDefault="006334E7">
      <w:pPr>
        <w:pStyle w:val="TDC2"/>
        <w:rPr>
          <w:rFonts w:eastAsiaTheme="minorEastAsia"/>
          <w:sz w:val="22"/>
          <w:szCs w:val="22"/>
          <w:lang w:eastAsia="zh-CN" w:bidi="ar-SA"/>
        </w:rPr>
      </w:pPr>
      <w:hyperlink w:anchor="_Toc488947812" w:history="1">
        <w:r w:rsidR="003749BF" w:rsidRPr="00576AF8">
          <w:rPr>
            <w:rStyle w:val="Hipervnculo"/>
          </w:rPr>
          <w:t>0.2</w:t>
        </w:r>
        <w:r w:rsidR="003749BF" w:rsidRPr="00576AF8">
          <w:rPr>
            <w:rFonts w:eastAsiaTheme="minorEastAsia"/>
            <w:sz w:val="22"/>
            <w:szCs w:val="22"/>
            <w:lang w:eastAsia="zh-CN" w:bidi="ar-SA"/>
          </w:rPr>
          <w:tab/>
        </w:r>
        <w:r w:rsidR="003749BF" w:rsidRPr="00576AF8">
          <w:rPr>
            <w:rStyle w:val="Hipervnculo"/>
          </w:rPr>
          <w:t>Los objetivos comerciales para el Sistema Informático</w:t>
        </w:r>
        <w:r w:rsidR="003749BF" w:rsidRPr="00576AF8">
          <w:rPr>
            <w:webHidden/>
          </w:rPr>
          <w:tab/>
        </w:r>
        <w:r w:rsidR="003749BF" w:rsidRPr="00576AF8">
          <w:rPr>
            <w:webHidden/>
          </w:rPr>
          <w:fldChar w:fldCharType="begin"/>
        </w:r>
        <w:r w:rsidR="003749BF" w:rsidRPr="00576AF8">
          <w:rPr>
            <w:webHidden/>
          </w:rPr>
          <w:instrText xml:space="preserve"> PAGEREF _Toc488947812 \h </w:instrText>
        </w:r>
        <w:r w:rsidR="003749BF" w:rsidRPr="00576AF8">
          <w:rPr>
            <w:webHidden/>
          </w:rPr>
        </w:r>
        <w:r w:rsidR="003749BF" w:rsidRPr="00576AF8">
          <w:rPr>
            <w:webHidden/>
          </w:rPr>
          <w:fldChar w:fldCharType="separate"/>
        </w:r>
        <w:r w:rsidR="00A264B5" w:rsidRPr="00576AF8">
          <w:rPr>
            <w:webHidden/>
          </w:rPr>
          <w:t>157</w:t>
        </w:r>
        <w:r w:rsidR="003749BF" w:rsidRPr="00576AF8">
          <w:rPr>
            <w:webHidden/>
          </w:rPr>
          <w:fldChar w:fldCharType="end"/>
        </w:r>
      </w:hyperlink>
    </w:p>
    <w:p w14:paraId="5044A61B" w14:textId="77777777" w:rsidR="003749BF" w:rsidRPr="00576AF8" w:rsidRDefault="006334E7">
      <w:pPr>
        <w:pStyle w:val="TDC1"/>
        <w:rPr>
          <w:rFonts w:ascii="Times New Roman" w:eastAsiaTheme="minorEastAsia" w:hAnsi="Times New Roman"/>
          <w:b w:val="0"/>
          <w:noProof/>
          <w:sz w:val="22"/>
          <w:szCs w:val="22"/>
          <w:lang w:eastAsia="zh-CN" w:bidi="ar-SA"/>
        </w:rPr>
      </w:pPr>
      <w:hyperlink w:anchor="_Toc488947813" w:history="1">
        <w:r w:rsidR="003749BF" w:rsidRPr="00576AF8">
          <w:rPr>
            <w:rStyle w:val="Hipervnculo"/>
            <w:rFonts w:ascii="Times New Roman" w:hAnsi="Times New Roman"/>
            <w:noProof/>
          </w:rPr>
          <w:t>B.  Material informativo</w:t>
        </w:r>
        <w:r w:rsidR="003749BF" w:rsidRPr="00576AF8">
          <w:rPr>
            <w:rFonts w:ascii="Times New Roman" w:hAnsi="Times New Roman"/>
            <w:noProof/>
            <w:webHidden/>
          </w:rPr>
          <w:tab/>
        </w:r>
        <w:r w:rsidR="003749BF" w:rsidRPr="00576AF8">
          <w:rPr>
            <w:rFonts w:ascii="Times New Roman" w:hAnsi="Times New Roman"/>
            <w:noProof/>
            <w:webHidden/>
          </w:rPr>
          <w:fldChar w:fldCharType="begin"/>
        </w:r>
        <w:r w:rsidR="003749BF" w:rsidRPr="00576AF8">
          <w:rPr>
            <w:rFonts w:ascii="Times New Roman" w:hAnsi="Times New Roman"/>
            <w:noProof/>
            <w:webHidden/>
          </w:rPr>
          <w:instrText xml:space="preserve"> PAGEREF _Toc488947813 \h </w:instrText>
        </w:r>
        <w:r w:rsidR="003749BF" w:rsidRPr="00576AF8">
          <w:rPr>
            <w:rFonts w:ascii="Times New Roman" w:hAnsi="Times New Roman"/>
            <w:noProof/>
            <w:webHidden/>
          </w:rPr>
        </w:r>
        <w:r w:rsidR="003749BF" w:rsidRPr="00576AF8">
          <w:rPr>
            <w:rFonts w:ascii="Times New Roman" w:hAnsi="Times New Roman"/>
            <w:noProof/>
            <w:webHidden/>
          </w:rPr>
          <w:fldChar w:fldCharType="separate"/>
        </w:r>
        <w:r w:rsidR="00A264B5" w:rsidRPr="00576AF8">
          <w:rPr>
            <w:rFonts w:ascii="Times New Roman" w:hAnsi="Times New Roman"/>
            <w:noProof/>
            <w:webHidden/>
          </w:rPr>
          <w:t>157</w:t>
        </w:r>
        <w:r w:rsidR="003749BF" w:rsidRPr="00576AF8">
          <w:rPr>
            <w:rFonts w:ascii="Times New Roman" w:hAnsi="Times New Roman"/>
            <w:noProof/>
            <w:webHidden/>
          </w:rPr>
          <w:fldChar w:fldCharType="end"/>
        </w:r>
      </w:hyperlink>
    </w:p>
    <w:p w14:paraId="74A54ACC" w14:textId="77777777" w:rsidR="003749BF" w:rsidRPr="00576AF8" w:rsidRDefault="006334E7">
      <w:pPr>
        <w:pStyle w:val="TDC2"/>
        <w:rPr>
          <w:rFonts w:eastAsiaTheme="minorEastAsia"/>
          <w:sz w:val="22"/>
          <w:szCs w:val="22"/>
          <w:lang w:eastAsia="zh-CN" w:bidi="ar-SA"/>
        </w:rPr>
      </w:pPr>
      <w:hyperlink w:anchor="_Toc488947814" w:history="1">
        <w:r w:rsidR="003749BF" w:rsidRPr="00576AF8">
          <w:rPr>
            <w:rStyle w:val="Hipervnculo"/>
          </w:rPr>
          <w:t>0.3</w:t>
        </w:r>
        <w:r w:rsidR="003749BF" w:rsidRPr="00576AF8">
          <w:rPr>
            <w:rFonts w:eastAsiaTheme="minorEastAsia"/>
            <w:sz w:val="22"/>
            <w:szCs w:val="22"/>
            <w:lang w:eastAsia="zh-CN" w:bidi="ar-SA"/>
          </w:rPr>
          <w:tab/>
        </w:r>
        <w:r w:rsidR="003749BF" w:rsidRPr="00576AF8">
          <w:rPr>
            <w:rStyle w:val="Hipervnculo"/>
          </w:rPr>
          <w:t>El contexto jurídico, regulatorio y normativo del Sistema Informático</w:t>
        </w:r>
        <w:r w:rsidR="003749BF" w:rsidRPr="00576AF8">
          <w:rPr>
            <w:webHidden/>
          </w:rPr>
          <w:tab/>
        </w:r>
        <w:r w:rsidR="003749BF" w:rsidRPr="00576AF8">
          <w:rPr>
            <w:webHidden/>
          </w:rPr>
          <w:fldChar w:fldCharType="begin"/>
        </w:r>
        <w:r w:rsidR="003749BF" w:rsidRPr="00576AF8">
          <w:rPr>
            <w:webHidden/>
          </w:rPr>
          <w:instrText xml:space="preserve"> PAGEREF _Toc488947814 \h </w:instrText>
        </w:r>
        <w:r w:rsidR="003749BF" w:rsidRPr="00576AF8">
          <w:rPr>
            <w:webHidden/>
          </w:rPr>
        </w:r>
        <w:r w:rsidR="003749BF" w:rsidRPr="00576AF8">
          <w:rPr>
            <w:webHidden/>
          </w:rPr>
          <w:fldChar w:fldCharType="separate"/>
        </w:r>
        <w:r w:rsidR="00A264B5" w:rsidRPr="00576AF8">
          <w:rPr>
            <w:webHidden/>
          </w:rPr>
          <w:t>157</w:t>
        </w:r>
        <w:r w:rsidR="003749BF" w:rsidRPr="00576AF8">
          <w:rPr>
            <w:webHidden/>
          </w:rPr>
          <w:fldChar w:fldCharType="end"/>
        </w:r>
      </w:hyperlink>
    </w:p>
    <w:p w14:paraId="04337105" w14:textId="77777777" w:rsidR="003749BF" w:rsidRPr="00576AF8" w:rsidRDefault="006334E7">
      <w:pPr>
        <w:pStyle w:val="TDC2"/>
        <w:rPr>
          <w:rFonts w:eastAsiaTheme="minorEastAsia"/>
          <w:sz w:val="22"/>
          <w:szCs w:val="22"/>
          <w:lang w:eastAsia="zh-CN" w:bidi="ar-SA"/>
        </w:rPr>
      </w:pPr>
      <w:hyperlink w:anchor="_Toc488947815" w:history="1">
        <w:r w:rsidR="003749BF" w:rsidRPr="00576AF8">
          <w:rPr>
            <w:rStyle w:val="Hipervnculo"/>
          </w:rPr>
          <w:t>0.4</w:t>
        </w:r>
        <w:r w:rsidR="003749BF" w:rsidRPr="00576AF8">
          <w:rPr>
            <w:rFonts w:eastAsiaTheme="minorEastAsia"/>
            <w:sz w:val="22"/>
            <w:szCs w:val="22"/>
            <w:lang w:eastAsia="zh-CN" w:bidi="ar-SA"/>
          </w:rPr>
          <w:tab/>
        </w:r>
        <w:r w:rsidR="003749BF" w:rsidRPr="00576AF8">
          <w:rPr>
            <w:rStyle w:val="Hipervnculo"/>
          </w:rPr>
          <w:t xml:space="preserve">Sistemas de información existentes/tecnologías de la información pertinentes </w:t>
        </w:r>
        <w:r w:rsidR="003749BF" w:rsidRPr="00576AF8">
          <w:rPr>
            <w:rStyle w:val="Hipervnculo"/>
          </w:rPr>
          <w:br/>
          <w:t>para el Sistema Informático</w:t>
        </w:r>
        <w:r w:rsidR="003749BF" w:rsidRPr="00576AF8">
          <w:rPr>
            <w:webHidden/>
          </w:rPr>
          <w:tab/>
        </w:r>
        <w:r w:rsidR="003749BF" w:rsidRPr="00576AF8">
          <w:rPr>
            <w:webHidden/>
          </w:rPr>
          <w:fldChar w:fldCharType="begin"/>
        </w:r>
        <w:r w:rsidR="003749BF" w:rsidRPr="00576AF8">
          <w:rPr>
            <w:webHidden/>
          </w:rPr>
          <w:instrText xml:space="preserve"> PAGEREF _Toc488947815 \h </w:instrText>
        </w:r>
        <w:r w:rsidR="003749BF" w:rsidRPr="00576AF8">
          <w:rPr>
            <w:webHidden/>
          </w:rPr>
        </w:r>
        <w:r w:rsidR="003749BF" w:rsidRPr="00576AF8">
          <w:rPr>
            <w:webHidden/>
          </w:rPr>
          <w:fldChar w:fldCharType="separate"/>
        </w:r>
        <w:r w:rsidR="00A264B5" w:rsidRPr="00576AF8">
          <w:rPr>
            <w:webHidden/>
          </w:rPr>
          <w:t>157</w:t>
        </w:r>
        <w:r w:rsidR="003749BF" w:rsidRPr="00576AF8">
          <w:rPr>
            <w:webHidden/>
          </w:rPr>
          <w:fldChar w:fldCharType="end"/>
        </w:r>
      </w:hyperlink>
    </w:p>
    <w:p w14:paraId="44837880" w14:textId="77777777" w:rsidR="003749BF" w:rsidRPr="00576AF8" w:rsidRDefault="006334E7">
      <w:pPr>
        <w:pStyle w:val="TDC2"/>
        <w:rPr>
          <w:rFonts w:eastAsiaTheme="minorEastAsia"/>
          <w:sz w:val="22"/>
          <w:szCs w:val="22"/>
          <w:lang w:eastAsia="zh-CN" w:bidi="ar-SA"/>
        </w:rPr>
      </w:pPr>
      <w:hyperlink w:anchor="_Toc488947816" w:history="1">
        <w:r w:rsidR="003749BF" w:rsidRPr="00576AF8">
          <w:rPr>
            <w:rStyle w:val="Hipervnculo"/>
          </w:rPr>
          <w:t>0.5</w:t>
        </w:r>
        <w:r w:rsidR="003749BF" w:rsidRPr="00576AF8">
          <w:rPr>
            <w:rFonts w:eastAsiaTheme="minorEastAsia"/>
            <w:sz w:val="22"/>
            <w:szCs w:val="22"/>
            <w:lang w:eastAsia="zh-CN" w:bidi="ar-SA"/>
          </w:rPr>
          <w:tab/>
        </w:r>
        <w:r w:rsidR="003749BF" w:rsidRPr="00576AF8">
          <w:rPr>
            <w:rStyle w:val="Hipervnculo"/>
          </w:rPr>
          <w:t xml:space="preserve">Instalaciones de capacitación disponibles para respaldar la implementación </w:t>
        </w:r>
        <w:r w:rsidR="003749BF" w:rsidRPr="00576AF8">
          <w:rPr>
            <w:rStyle w:val="Hipervnculo"/>
          </w:rPr>
          <w:br/>
          <w:t>del Sistema Informático</w:t>
        </w:r>
        <w:r w:rsidR="003749BF" w:rsidRPr="00576AF8">
          <w:rPr>
            <w:webHidden/>
          </w:rPr>
          <w:tab/>
        </w:r>
        <w:r w:rsidR="003749BF" w:rsidRPr="00576AF8">
          <w:rPr>
            <w:webHidden/>
          </w:rPr>
          <w:fldChar w:fldCharType="begin"/>
        </w:r>
        <w:r w:rsidR="003749BF" w:rsidRPr="00576AF8">
          <w:rPr>
            <w:webHidden/>
          </w:rPr>
          <w:instrText xml:space="preserve"> PAGEREF _Toc488947816 \h </w:instrText>
        </w:r>
        <w:r w:rsidR="003749BF" w:rsidRPr="00576AF8">
          <w:rPr>
            <w:webHidden/>
          </w:rPr>
        </w:r>
        <w:r w:rsidR="003749BF" w:rsidRPr="00576AF8">
          <w:rPr>
            <w:webHidden/>
          </w:rPr>
          <w:fldChar w:fldCharType="separate"/>
        </w:r>
        <w:r w:rsidR="00A264B5" w:rsidRPr="00576AF8">
          <w:rPr>
            <w:webHidden/>
          </w:rPr>
          <w:t>158</w:t>
        </w:r>
        <w:r w:rsidR="003749BF" w:rsidRPr="00576AF8">
          <w:rPr>
            <w:webHidden/>
          </w:rPr>
          <w:fldChar w:fldCharType="end"/>
        </w:r>
      </w:hyperlink>
    </w:p>
    <w:p w14:paraId="02B29C5F" w14:textId="77777777" w:rsidR="003749BF" w:rsidRPr="00576AF8" w:rsidRDefault="006334E7">
      <w:pPr>
        <w:pStyle w:val="TDC2"/>
        <w:rPr>
          <w:rFonts w:eastAsiaTheme="minorEastAsia"/>
          <w:sz w:val="22"/>
          <w:szCs w:val="22"/>
          <w:lang w:eastAsia="zh-CN" w:bidi="ar-SA"/>
        </w:rPr>
      </w:pPr>
      <w:hyperlink w:anchor="_Toc488947817" w:history="1">
        <w:r w:rsidR="003749BF" w:rsidRPr="00576AF8">
          <w:rPr>
            <w:rStyle w:val="Hipervnculo"/>
          </w:rPr>
          <w:t>0.6</w:t>
        </w:r>
        <w:r w:rsidR="003749BF" w:rsidRPr="00576AF8">
          <w:rPr>
            <w:rFonts w:eastAsiaTheme="minorEastAsia"/>
            <w:sz w:val="22"/>
            <w:szCs w:val="22"/>
            <w:lang w:eastAsia="zh-CN" w:bidi="ar-SA"/>
          </w:rPr>
          <w:tab/>
        </w:r>
        <w:r w:rsidR="003749BF" w:rsidRPr="00576AF8">
          <w:rPr>
            <w:rStyle w:val="Hipervnculo"/>
          </w:rPr>
          <w:t>Planos del sitio e información del sitio recabada mediante encuestas que resultan pertinentes para el Sistema Informático</w:t>
        </w:r>
        <w:r w:rsidR="003749BF" w:rsidRPr="00576AF8">
          <w:rPr>
            <w:webHidden/>
          </w:rPr>
          <w:tab/>
        </w:r>
        <w:r w:rsidR="003749BF" w:rsidRPr="00576AF8">
          <w:rPr>
            <w:webHidden/>
          </w:rPr>
          <w:fldChar w:fldCharType="begin"/>
        </w:r>
        <w:r w:rsidR="003749BF" w:rsidRPr="00576AF8">
          <w:rPr>
            <w:webHidden/>
          </w:rPr>
          <w:instrText xml:space="preserve"> PAGEREF _Toc488947817 \h </w:instrText>
        </w:r>
        <w:r w:rsidR="003749BF" w:rsidRPr="00576AF8">
          <w:rPr>
            <w:webHidden/>
          </w:rPr>
        </w:r>
        <w:r w:rsidR="003749BF" w:rsidRPr="00576AF8">
          <w:rPr>
            <w:webHidden/>
          </w:rPr>
          <w:fldChar w:fldCharType="separate"/>
        </w:r>
        <w:r w:rsidR="00A264B5" w:rsidRPr="00576AF8">
          <w:rPr>
            <w:webHidden/>
          </w:rPr>
          <w:t>158</w:t>
        </w:r>
        <w:r w:rsidR="003749BF" w:rsidRPr="00576AF8">
          <w:rPr>
            <w:webHidden/>
          </w:rPr>
          <w:fldChar w:fldCharType="end"/>
        </w:r>
      </w:hyperlink>
    </w:p>
    <w:p w14:paraId="1925A222" w14:textId="77777777" w:rsidR="00A20832" w:rsidRPr="00576AF8" w:rsidRDefault="00231587" w:rsidP="00A20832">
      <w:r w:rsidRPr="00576AF8">
        <w:fldChar w:fldCharType="end"/>
      </w:r>
    </w:p>
    <w:p w14:paraId="53C9BFFB" w14:textId="77777777" w:rsidR="00A20832" w:rsidRPr="00576AF8" w:rsidRDefault="00A20832" w:rsidP="00A20832">
      <w:pPr>
        <w:jc w:val="center"/>
        <w:rPr>
          <w:b/>
          <w:sz w:val="36"/>
        </w:rPr>
      </w:pPr>
      <w:r w:rsidRPr="00576AF8">
        <w:br w:type="page"/>
      </w:r>
      <w:r w:rsidRPr="00576AF8">
        <w:rPr>
          <w:b/>
          <w:sz w:val="36"/>
        </w:rPr>
        <w:lastRenderedPageBreak/>
        <w:t>Información de referencia y material informativo</w:t>
      </w:r>
    </w:p>
    <w:p w14:paraId="7DD6D18D" w14:textId="77777777" w:rsidR="00A20832" w:rsidRPr="00576AF8" w:rsidRDefault="00A20832" w:rsidP="00A20832">
      <w:pPr>
        <w:pStyle w:val="explanatorynotes"/>
        <w:rPr>
          <w:rFonts w:ascii="Times New Roman" w:hAnsi="Times New Roman"/>
        </w:rPr>
      </w:pPr>
    </w:p>
    <w:p w14:paraId="35321877" w14:textId="77777777" w:rsidR="00AC6115" w:rsidRPr="00576AF8" w:rsidRDefault="00AC6115" w:rsidP="00AC6115">
      <w:pPr>
        <w:numPr>
          <w:ilvl w:val="12"/>
          <w:numId w:val="0"/>
        </w:numPr>
        <w:suppressAutoHyphens w:val="0"/>
        <w:ind w:left="720" w:hanging="720"/>
        <w:rPr>
          <w:b/>
          <w:sz w:val="22"/>
          <w:szCs w:val="22"/>
        </w:rPr>
      </w:pPr>
      <w:bookmarkStart w:id="1462" w:name="_Toc483815672"/>
      <w:bookmarkStart w:id="1463" w:name="_Toc488947811"/>
      <w:bookmarkStart w:id="1464" w:name="_Toc125874276"/>
      <w:bookmarkStart w:id="1465" w:name="_Toc190498605"/>
      <w:r w:rsidRPr="00576AF8">
        <w:rPr>
          <w:b/>
          <w:sz w:val="22"/>
          <w:szCs w:val="22"/>
        </w:rPr>
        <w:t>0.1</w:t>
      </w:r>
      <w:r w:rsidRPr="00576AF8">
        <w:rPr>
          <w:b/>
          <w:sz w:val="22"/>
          <w:szCs w:val="22"/>
        </w:rPr>
        <w:tab/>
        <w:t>El Comprador</w:t>
      </w:r>
      <w:bookmarkEnd w:id="1462"/>
      <w:bookmarkEnd w:id="1463"/>
      <w:r w:rsidRPr="00576AF8">
        <w:rPr>
          <w:b/>
          <w:color w:val="4472C4"/>
          <w:sz w:val="22"/>
          <w:szCs w:val="22"/>
        </w:rPr>
        <w:t xml:space="preserve"> </w:t>
      </w:r>
    </w:p>
    <w:p w14:paraId="5DE16C03" w14:textId="77777777" w:rsidR="00AC6115" w:rsidRPr="00576AF8" w:rsidRDefault="00AC6115" w:rsidP="00AC6115">
      <w:pPr>
        <w:rPr>
          <w:rFonts w:eastAsia="Arial"/>
          <w:color w:val="000000"/>
          <w:sz w:val="22"/>
          <w:szCs w:val="22"/>
        </w:rPr>
      </w:pPr>
      <w:r w:rsidRPr="00576AF8">
        <w:rPr>
          <w:rFonts w:eastAsia="Arial"/>
          <w:color w:val="000000"/>
          <w:sz w:val="22"/>
          <w:szCs w:val="22"/>
        </w:rPr>
        <w:t xml:space="preserve">El Contrato de Préstamo No. 4989/OC-EC fue suscrito el 22 de diciembre de 2020 entre la República del Ecuador, en calidad de Prestataria, y el Banco Interamericano de Desarrollo (BID), en calidad de Prestamista por un monto de USD 78.400.000,00, (setenta y ocho millones cuatrocientos mil Dólares de los Estados Unidos de América), para el financiamiento de programas y/o proyectos de inversión en el marco del “Programa de Gestión Sostenible de Recursos del Subsuelo e Infraestructura Asociada”. </w:t>
      </w:r>
    </w:p>
    <w:p w14:paraId="2BF9A6AD" w14:textId="77777777" w:rsidR="00AC6115" w:rsidRPr="00576AF8" w:rsidRDefault="00AC6115" w:rsidP="00AC6115">
      <w:pPr>
        <w:rPr>
          <w:rFonts w:eastAsia="Arial"/>
          <w:color w:val="000000"/>
          <w:sz w:val="22"/>
          <w:szCs w:val="22"/>
        </w:rPr>
      </w:pPr>
    </w:p>
    <w:p w14:paraId="237C10CB" w14:textId="77777777" w:rsidR="00AC6115" w:rsidRPr="00576AF8" w:rsidRDefault="00AC6115" w:rsidP="00AC6115">
      <w:pPr>
        <w:rPr>
          <w:rFonts w:eastAsia="Arial"/>
          <w:color w:val="000000"/>
          <w:sz w:val="22"/>
          <w:szCs w:val="22"/>
        </w:rPr>
      </w:pPr>
      <w:r w:rsidRPr="00576AF8">
        <w:rPr>
          <w:rFonts w:eastAsia="Arial"/>
          <w:color w:val="000000"/>
          <w:sz w:val="22"/>
          <w:szCs w:val="22"/>
        </w:rPr>
        <w:t xml:space="preserve">El Convenio Subsidiario, suscrito por una parte por el Ministerio de Economía y Finanzas, por otra el Ministerio de Energía y Recursos Naturales No Renovables, transfirió los derechos y obligaciones especificadas en el Contrato de Préstamo No. 4989/OC-EC para la ejecución de los Componentes 1 y 3 del “Programa de Gestión Sostenible de Recursos del Subsuelo e Infraestructura Asociada”, por un monto de hasta USD 51.868.320,00 (Cincuenta y un mil millones ochocientos sesenta y ocho mil trescientos veinte dólares de los Estados Unidos de América), que incluyen el IVA. </w:t>
      </w:r>
    </w:p>
    <w:p w14:paraId="699CFC55" w14:textId="77777777" w:rsidR="00AC6115" w:rsidRPr="00576AF8" w:rsidRDefault="00AC6115" w:rsidP="00AC6115">
      <w:pPr>
        <w:rPr>
          <w:rFonts w:eastAsia="Arial"/>
          <w:color w:val="000000"/>
          <w:sz w:val="22"/>
          <w:szCs w:val="22"/>
        </w:rPr>
      </w:pPr>
    </w:p>
    <w:p w14:paraId="468938BF" w14:textId="77777777" w:rsidR="00AC6115" w:rsidRPr="00576AF8" w:rsidRDefault="00AC6115" w:rsidP="00AC6115">
      <w:pPr>
        <w:rPr>
          <w:rFonts w:eastAsia="Arial"/>
          <w:color w:val="000000"/>
          <w:sz w:val="22"/>
          <w:szCs w:val="22"/>
        </w:rPr>
      </w:pPr>
      <w:r w:rsidRPr="00576AF8">
        <w:rPr>
          <w:rFonts w:eastAsia="Arial"/>
          <w:color w:val="000000"/>
          <w:sz w:val="22"/>
          <w:szCs w:val="22"/>
        </w:rPr>
        <w:t xml:space="preserve">El Reglamento Operativo establece en su numeral 1.6 Los Componentes del Programa:  </w:t>
      </w:r>
    </w:p>
    <w:p w14:paraId="1952D87F" w14:textId="77777777" w:rsidR="00AC6115" w:rsidRPr="00576AF8" w:rsidRDefault="00AC6115" w:rsidP="00AC6115">
      <w:pPr>
        <w:rPr>
          <w:rFonts w:eastAsia="Arial"/>
          <w:color w:val="000000"/>
          <w:sz w:val="22"/>
          <w:szCs w:val="22"/>
        </w:rPr>
      </w:pPr>
      <w:r w:rsidRPr="00576AF8">
        <w:rPr>
          <w:rFonts w:eastAsia="Arial"/>
          <w:color w:val="000000"/>
          <w:sz w:val="22"/>
          <w:szCs w:val="22"/>
        </w:rPr>
        <w:t xml:space="preserve">COMPONENTE 1: Fortalecimiento de la gestión estratégica sectorial </w:t>
      </w:r>
    </w:p>
    <w:p w14:paraId="1A484333" w14:textId="77777777" w:rsidR="00AC6115" w:rsidRPr="00576AF8" w:rsidRDefault="00AC6115" w:rsidP="00AC6115">
      <w:pPr>
        <w:rPr>
          <w:rFonts w:eastAsia="Arial"/>
          <w:color w:val="000000"/>
          <w:sz w:val="22"/>
          <w:szCs w:val="22"/>
        </w:rPr>
      </w:pPr>
      <w:r w:rsidRPr="00576AF8">
        <w:rPr>
          <w:rFonts w:eastAsia="Arial"/>
          <w:color w:val="000000"/>
          <w:sz w:val="22"/>
          <w:szCs w:val="22"/>
        </w:rPr>
        <w:t xml:space="preserve">Organismo ejecutor: Ministerio de Energía y Recursos Naturales No Renovables – MERNNR hoy Ministerio de Energía y Minas – MEM. </w:t>
      </w:r>
    </w:p>
    <w:p w14:paraId="6146C4CE" w14:textId="77777777" w:rsidR="00AC6115" w:rsidRPr="00576AF8" w:rsidRDefault="00AC6115" w:rsidP="00AC6115">
      <w:pPr>
        <w:rPr>
          <w:rFonts w:eastAsia="Arial"/>
          <w:color w:val="000000"/>
          <w:sz w:val="22"/>
          <w:szCs w:val="22"/>
        </w:rPr>
      </w:pPr>
      <w:r w:rsidRPr="00576AF8">
        <w:rPr>
          <w:rFonts w:eastAsia="Arial"/>
          <w:color w:val="000000"/>
          <w:sz w:val="22"/>
          <w:szCs w:val="22"/>
        </w:rPr>
        <w:t xml:space="preserve">Objetivo: Financiar el fortalecimiento de las capacidades de planificación, regulación y fiscalización e implementación de la política pública sectorial. </w:t>
      </w:r>
    </w:p>
    <w:p w14:paraId="72F90566" w14:textId="77777777" w:rsidR="00AC6115" w:rsidRPr="00576AF8" w:rsidRDefault="00AC6115" w:rsidP="00AC6115">
      <w:pPr>
        <w:rPr>
          <w:rFonts w:eastAsia="Arial"/>
          <w:color w:val="000000"/>
          <w:sz w:val="22"/>
          <w:szCs w:val="22"/>
        </w:rPr>
      </w:pPr>
    </w:p>
    <w:p w14:paraId="56510FD7" w14:textId="77777777" w:rsidR="00AC6115" w:rsidRPr="00576AF8" w:rsidRDefault="00AC6115" w:rsidP="00AC6115">
      <w:pPr>
        <w:rPr>
          <w:rFonts w:eastAsia="Arial"/>
          <w:color w:val="000000"/>
          <w:sz w:val="22"/>
          <w:szCs w:val="22"/>
        </w:rPr>
      </w:pPr>
      <w:r w:rsidRPr="00576AF8">
        <w:rPr>
          <w:rFonts w:eastAsia="Arial"/>
          <w:color w:val="000000"/>
          <w:sz w:val="22"/>
          <w:szCs w:val="22"/>
        </w:rPr>
        <w:t>El Operador Nacional de Electricidad, CENACE es el ente responsable de la operación técnica y administración técnico-comercial del Sistema Nacional Interconectado SNI.</w:t>
      </w:r>
    </w:p>
    <w:p w14:paraId="7ED9999F" w14:textId="77777777" w:rsidR="00AC6115" w:rsidRPr="00576AF8" w:rsidRDefault="00AC6115" w:rsidP="00AC6115">
      <w:pPr>
        <w:rPr>
          <w:rFonts w:eastAsia="Arial"/>
          <w:color w:val="000000"/>
          <w:sz w:val="22"/>
          <w:szCs w:val="22"/>
        </w:rPr>
      </w:pPr>
      <w:r w:rsidRPr="00576AF8">
        <w:rPr>
          <w:rFonts w:eastAsia="Arial"/>
          <w:color w:val="000000"/>
          <w:sz w:val="22"/>
          <w:szCs w:val="22"/>
        </w:rPr>
        <w:t>El SNI está conformado por la interconexión entre los activos de generación, transmisión y distribución de energía eléctrica incluyendo las interconexiones con Colombia y Perú.</w:t>
      </w:r>
    </w:p>
    <w:p w14:paraId="7CE765E3"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CENACE para la ejecución de sus operaciones cuenta con un sistema SCADA/EMS provisto por la empresa Hitachi Energy versión NM9.2.  </w:t>
      </w:r>
    </w:p>
    <w:p w14:paraId="543CC2DB" w14:textId="77777777" w:rsidR="00AC6115" w:rsidRPr="00576AF8" w:rsidRDefault="00AC6115" w:rsidP="00AC6115">
      <w:pPr>
        <w:spacing w:after="0"/>
        <w:ind w:left="-20" w:right="-20"/>
        <w:rPr>
          <w:rFonts w:eastAsia="Arial"/>
          <w:color w:val="000000"/>
          <w:sz w:val="22"/>
          <w:szCs w:val="22"/>
        </w:rPr>
      </w:pPr>
    </w:p>
    <w:p w14:paraId="3A0C1C1B"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SCADA/EMS del CENACE es considerado un sistema tecnológico estratégico de misión crítica y como tal será diseñado con los estándares internacionales para garantizar la disponibilidad, desempeño, seguridad y flexibilidad de crecimiento, de tal manera que le permita continuar con la operación segura, confiable y económica del SNI; afrontando los nuevos requerimientos técnicos, asociados a la penetración de recursos de generación de energía renovable no convencional ERNC y operar en el nuevo contexto del Mercado Andino Eléctrico Regional de Corto Plazo MAERCP tanto en el rol de Operador como de Coordinador Regional. </w:t>
      </w:r>
    </w:p>
    <w:p w14:paraId="7D9F1BC2" w14:textId="77777777" w:rsidR="00AC6115" w:rsidRPr="00576AF8" w:rsidRDefault="00AC6115" w:rsidP="00AC6115">
      <w:pPr>
        <w:spacing w:after="0"/>
        <w:ind w:left="-20" w:right="-20"/>
        <w:rPr>
          <w:rFonts w:eastAsia="Calibri"/>
          <w:color w:val="000000"/>
        </w:rPr>
      </w:pPr>
    </w:p>
    <w:p w14:paraId="5BF8ED84" w14:textId="77777777" w:rsidR="00AC6115" w:rsidRPr="00576AF8" w:rsidRDefault="00AC6115" w:rsidP="00AC6115">
      <w:pPr>
        <w:numPr>
          <w:ilvl w:val="12"/>
          <w:numId w:val="0"/>
        </w:numPr>
        <w:suppressAutoHyphens w:val="0"/>
        <w:ind w:left="720" w:hanging="720"/>
        <w:rPr>
          <w:b/>
          <w:sz w:val="22"/>
          <w:szCs w:val="22"/>
        </w:rPr>
      </w:pPr>
      <w:bookmarkStart w:id="1466" w:name="_Toc521498250"/>
      <w:bookmarkStart w:id="1467" w:name="_Toc483815673"/>
      <w:bookmarkStart w:id="1468" w:name="_Toc488947812"/>
      <w:r w:rsidRPr="00576AF8">
        <w:rPr>
          <w:b/>
          <w:sz w:val="22"/>
          <w:szCs w:val="22"/>
        </w:rPr>
        <w:t>0.2</w:t>
      </w:r>
      <w:r w:rsidRPr="00576AF8">
        <w:rPr>
          <w:b/>
          <w:sz w:val="22"/>
          <w:szCs w:val="22"/>
        </w:rPr>
        <w:tab/>
        <w:t xml:space="preserve">Los objetivos comerciales </w:t>
      </w:r>
      <w:bookmarkEnd w:id="1466"/>
      <w:r w:rsidRPr="00576AF8">
        <w:rPr>
          <w:b/>
          <w:sz w:val="22"/>
          <w:szCs w:val="22"/>
        </w:rPr>
        <w:t xml:space="preserve">para el Sistema </w:t>
      </w:r>
      <w:bookmarkEnd w:id="1467"/>
      <w:bookmarkEnd w:id="1468"/>
      <w:r w:rsidRPr="00576AF8">
        <w:rPr>
          <w:b/>
          <w:sz w:val="22"/>
          <w:szCs w:val="22"/>
        </w:rPr>
        <w:t>SCADA/EMS</w:t>
      </w:r>
    </w:p>
    <w:p w14:paraId="77BCCD85"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CENACE administra un área de control con una carga máxima interna actual de más de 4.800 MW. El panorama cambiante del sector eléctrico y las inversiones gubernamentales destinadas al crecimiento económico ecuatoriano presentan desafíos no solamente para Ecuador, sino también para toda la región andina.</w:t>
      </w:r>
    </w:p>
    <w:p w14:paraId="21256F17" w14:textId="77777777" w:rsidR="00AC6115" w:rsidRPr="00576AF8" w:rsidRDefault="00AC6115" w:rsidP="00AC6115">
      <w:pPr>
        <w:spacing w:after="0"/>
        <w:ind w:left="-20" w:right="-20"/>
        <w:rPr>
          <w:rFonts w:eastAsia="Arial"/>
          <w:color w:val="000000"/>
          <w:sz w:val="22"/>
          <w:szCs w:val="22"/>
        </w:rPr>
      </w:pPr>
    </w:p>
    <w:p w14:paraId="34237DED"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CENACE enfrenta varios desafíos como operador y coordinador del sistema. Ecuador busca mejorar su infraestructura eléctrica a través de proyectos de expansión de la red de 500 kV y la adición de generación, principalmente plantas hidroeléctricas renovables, pero también grandes cantidades de energías renovables no convencionales como la eólica y la solar. Los esfuerzos internacionales dirigidos a la reducción de las emisiones de carbono aumentarán el uso de vehículos eléctricos y las tecnologías DER, introducirán complejidades adicionales.</w:t>
      </w:r>
    </w:p>
    <w:p w14:paraId="50A2CC42" w14:textId="77777777" w:rsidR="00AC6115" w:rsidRPr="00576AF8" w:rsidRDefault="00AC6115" w:rsidP="00AC6115">
      <w:pPr>
        <w:spacing w:after="0"/>
        <w:ind w:left="-20" w:right="-20"/>
        <w:rPr>
          <w:rFonts w:eastAsia="Arial"/>
          <w:color w:val="000000"/>
          <w:sz w:val="22"/>
          <w:szCs w:val="22"/>
        </w:rPr>
      </w:pPr>
    </w:p>
    <w:p w14:paraId="1082CDAE"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La creación de un mercado energético regional que incluya a Ecuador, Colombia, y Perú requerirá que el CENACE modernice sus tecnologías y procesos de sala de control no solo como participante del mercado, sino también como operador y coordinador regional.</w:t>
      </w:r>
    </w:p>
    <w:p w14:paraId="05194D8D"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Los sistemas de transmisión y distribución en Ecuador son 100% propiedad del gobierno estatal o local. Solo el 10% de los productores de energía en Ecuador son propiedad de pequeñas empresas privadas. Todo el sector eléctrico se rige por los mismos requisitos normativos estatales y la Agencia Reguladora vela por el cumplimiento de todas las entidades.</w:t>
      </w:r>
    </w:p>
    <w:p w14:paraId="36C0DCAF" w14:textId="77777777" w:rsidR="00AC6115" w:rsidRPr="00576AF8" w:rsidRDefault="00AC6115" w:rsidP="00AC6115">
      <w:pPr>
        <w:rPr>
          <w:rFonts w:eastAsia="Arial"/>
          <w:i/>
          <w:color w:val="4472C4"/>
          <w:sz w:val="22"/>
          <w:szCs w:val="22"/>
        </w:rPr>
      </w:pPr>
    </w:p>
    <w:p w14:paraId="1FDF03D6"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Se espera que el crecimiento de la carga en Ecuador sea de alrededor del 6% anual, principalmente en las zonas urbanas de Quito y Guayaquil. También hay dos futuros centros de crecimiento de carga en la región costera de Ecuador, a saber, el Puerto de Posorja y el Puerto de Manta. Además, se espera que la región andina ampliada que incluye Colombia, Perú y Chile experimente un crecimiento de la carga.</w:t>
      </w:r>
    </w:p>
    <w:p w14:paraId="49A2EF8D" w14:textId="77777777" w:rsidR="00AC6115" w:rsidRPr="00576AF8" w:rsidRDefault="00AC6115" w:rsidP="00AC6115">
      <w:pPr>
        <w:spacing w:after="0"/>
        <w:ind w:left="-20" w:right="-20"/>
        <w:rPr>
          <w:rFonts w:eastAsia="Arial"/>
          <w:color w:val="000000"/>
          <w:sz w:val="22"/>
          <w:szCs w:val="22"/>
        </w:rPr>
      </w:pPr>
    </w:p>
    <w:p w14:paraId="0ACCC0A7"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Hay un área en la cuenca alta del Amazonas de Ecuador que actualmente está conectada a la red ecuatoriana. Este sistema es propiedad de PETROECUADOR EP.</w:t>
      </w:r>
    </w:p>
    <w:p w14:paraId="6C0784A2" w14:textId="77777777" w:rsidR="00AC6115" w:rsidRPr="00576AF8" w:rsidRDefault="00AC6115" w:rsidP="00AC6115">
      <w:pPr>
        <w:spacing w:after="0"/>
        <w:ind w:left="-20" w:right="-20"/>
        <w:rPr>
          <w:rFonts w:eastAsia="Arial"/>
          <w:color w:val="000000"/>
          <w:sz w:val="22"/>
          <w:szCs w:val="22"/>
        </w:rPr>
      </w:pPr>
    </w:p>
    <w:p w14:paraId="77781D01"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Actualmente existen interconexiones internacionales con Colombia en el norte, y una interconexión normalmente abierta con Perú en el sur. En los próximos años se tiene previsto planes futuros para construir una interconexión de 500 kV con Perú.</w:t>
      </w:r>
    </w:p>
    <w:p w14:paraId="55FDADC4" w14:textId="77777777" w:rsidR="00AC6115" w:rsidRPr="00576AF8" w:rsidRDefault="00AC6115" w:rsidP="00AC6115">
      <w:pPr>
        <w:pBdr>
          <w:bottom w:val="single" w:sz="24" w:space="3" w:color="C0C0C0"/>
        </w:pBdr>
        <w:spacing w:before="240" w:after="60"/>
        <w:ind w:left="-20" w:right="-20" w:hanging="576"/>
        <w:outlineLvl w:val="1"/>
        <w:rPr>
          <w:rFonts w:eastAsia="Arial"/>
          <w:b/>
          <w:i/>
          <w:color w:val="000000"/>
          <w:sz w:val="28"/>
        </w:rPr>
      </w:pPr>
      <w:r w:rsidRPr="00576AF8">
        <w:rPr>
          <w:b/>
          <w:i/>
          <w:iCs/>
          <w:color w:val="000000"/>
          <w:sz w:val="28"/>
        </w:rPr>
        <w:t xml:space="preserve">         </w:t>
      </w:r>
      <w:bookmarkStart w:id="1469" w:name="_Toc160991318"/>
      <w:r w:rsidRPr="00576AF8">
        <w:rPr>
          <w:rFonts w:eastAsia="Arial"/>
          <w:b/>
          <w:i/>
          <w:color w:val="000000"/>
          <w:sz w:val="28"/>
        </w:rPr>
        <w:t>Producción de Energía</w:t>
      </w:r>
      <w:bookmarkEnd w:id="1469"/>
    </w:p>
    <w:p w14:paraId="00002288"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Actualmente hay planes para instalar 6.000 MW adicionales de generación en Ecuador para 2031 y se compone principalmente de generación hidroeléctrica. Este aumento en la generación es necesario para servir no solo al crecimiento anticipado de la carga ecuatoriana, sino también para aprovechar la capacidad de Ecuador para exportar energía renovable barata y limpia en el próximo mercado regional de energía andina. Además, se tiene planificado la instalación de 1.000 MW de Energía Renovable No Convencional, principalmente eólica y solar, para lo cual se debe analizar la variabilidad del recurso para no disminuir la seguridad del sistema eléctrico.</w:t>
      </w:r>
    </w:p>
    <w:p w14:paraId="20396538" w14:textId="77777777" w:rsidR="00AC6115" w:rsidRPr="00576AF8" w:rsidRDefault="00AC6115" w:rsidP="00AC6115">
      <w:pPr>
        <w:pBdr>
          <w:bottom w:val="single" w:sz="24" w:space="3" w:color="C0C0C0"/>
        </w:pBdr>
        <w:spacing w:before="240" w:after="60"/>
        <w:ind w:left="-20" w:right="-20" w:hanging="576"/>
        <w:outlineLvl w:val="1"/>
        <w:rPr>
          <w:b/>
          <w:sz w:val="28"/>
        </w:rPr>
      </w:pPr>
      <w:r w:rsidRPr="00576AF8">
        <w:rPr>
          <w:b/>
          <w:i/>
          <w:iCs/>
          <w:color w:val="000000"/>
          <w:sz w:val="28"/>
        </w:rPr>
        <w:t xml:space="preserve">       </w:t>
      </w:r>
      <w:r w:rsidRPr="00576AF8">
        <w:rPr>
          <w:rFonts w:eastAsia="Arial"/>
          <w:b/>
          <w:i/>
          <w:color w:val="000000"/>
          <w:sz w:val="28"/>
        </w:rPr>
        <w:t xml:space="preserve"> </w:t>
      </w:r>
      <w:bookmarkStart w:id="1470" w:name="_Toc160991319"/>
      <w:r w:rsidRPr="00576AF8">
        <w:rPr>
          <w:rFonts w:eastAsia="Arial"/>
          <w:b/>
          <w:i/>
          <w:color w:val="000000"/>
          <w:sz w:val="28"/>
        </w:rPr>
        <w:t>Mercado Andino Eléctrico Regional</w:t>
      </w:r>
      <w:bookmarkEnd w:id="1470"/>
    </w:p>
    <w:p w14:paraId="54ECD675"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Se está trabajando para crear un mercado andino eléctrico regional, y está documentado en una Regulación Andina de Operación. Una vez que el mercado esté activo, los países miembros Ecuador, Perú y Colombia alternarán como coordinador de mercado y operadores de mercado en turnos rotativos de dos años.</w:t>
      </w:r>
    </w:p>
    <w:p w14:paraId="1CEC2836" w14:textId="77777777" w:rsidR="00AC6115" w:rsidRPr="00576AF8" w:rsidRDefault="00AC6115" w:rsidP="00AC6115">
      <w:pPr>
        <w:rPr>
          <w:color w:val="4472C4"/>
          <w:sz w:val="22"/>
          <w:szCs w:val="22"/>
        </w:rPr>
      </w:pPr>
    </w:p>
    <w:p w14:paraId="2ACF7410" w14:textId="77777777" w:rsidR="00AC6115" w:rsidRPr="00576AF8" w:rsidRDefault="00AC6115" w:rsidP="00AC6115">
      <w:pPr>
        <w:rPr>
          <w:i/>
          <w:color w:val="4472C4"/>
          <w:sz w:val="22"/>
          <w:szCs w:val="22"/>
        </w:rPr>
      </w:pPr>
    </w:p>
    <w:p w14:paraId="73A4587C" w14:textId="77777777" w:rsidR="00AC6115" w:rsidRPr="00576AF8" w:rsidRDefault="00AC6115" w:rsidP="00AC6115">
      <w:pPr>
        <w:keepNext/>
        <w:numPr>
          <w:ilvl w:val="12"/>
          <w:numId w:val="0"/>
        </w:numPr>
        <w:pBdr>
          <w:bottom w:val="single" w:sz="24" w:space="1" w:color="auto"/>
        </w:pBdr>
        <w:suppressAutoHyphens w:val="0"/>
        <w:spacing w:before="360"/>
        <w:jc w:val="center"/>
        <w:rPr>
          <w:b/>
          <w:smallCaps/>
          <w:sz w:val="22"/>
          <w:szCs w:val="22"/>
        </w:rPr>
      </w:pPr>
      <w:bookmarkStart w:id="1471" w:name="_Toc483815674"/>
      <w:bookmarkStart w:id="1472" w:name="_Toc488947813"/>
      <w:r w:rsidRPr="00576AF8">
        <w:rPr>
          <w:b/>
          <w:smallCaps/>
          <w:sz w:val="22"/>
          <w:szCs w:val="22"/>
        </w:rPr>
        <w:t>B.  Material informativo</w:t>
      </w:r>
      <w:bookmarkEnd w:id="1471"/>
      <w:bookmarkEnd w:id="1472"/>
    </w:p>
    <w:p w14:paraId="02E3829D" w14:textId="77777777" w:rsidR="00AC6115" w:rsidRPr="00576AF8" w:rsidRDefault="00AC6115" w:rsidP="00AC6115">
      <w:pPr>
        <w:numPr>
          <w:ilvl w:val="12"/>
          <w:numId w:val="0"/>
        </w:numPr>
        <w:suppressAutoHyphens w:val="0"/>
        <w:ind w:left="720" w:hanging="720"/>
        <w:rPr>
          <w:b/>
          <w:sz w:val="22"/>
          <w:szCs w:val="22"/>
        </w:rPr>
      </w:pPr>
      <w:bookmarkStart w:id="1473" w:name="_Toc483815675"/>
      <w:bookmarkStart w:id="1474" w:name="_Toc488947814"/>
      <w:r w:rsidRPr="00576AF8">
        <w:rPr>
          <w:b/>
          <w:sz w:val="22"/>
          <w:szCs w:val="22"/>
        </w:rPr>
        <w:t>0.3</w:t>
      </w:r>
      <w:r w:rsidRPr="00576AF8">
        <w:rPr>
          <w:b/>
          <w:sz w:val="22"/>
          <w:szCs w:val="22"/>
        </w:rPr>
        <w:tab/>
        <w:t xml:space="preserve">El contexto jurídico, regulatorio y normativo del </w:t>
      </w:r>
      <w:bookmarkEnd w:id="1473"/>
      <w:bookmarkEnd w:id="1474"/>
      <w:r w:rsidRPr="00576AF8">
        <w:rPr>
          <w:b/>
          <w:sz w:val="22"/>
          <w:szCs w:val="22"/>
        </w:rPr>
        <w:t>Sistema SCADA/EMS</w:t>
      </w:r>
    </w:p>
    <w:p w14:paraId="6D16745C" w14:textId="77777777" w:rsidR="00AC6115" w:rsidRPr="00576AF8" w:rsidRDefault="00AC6115" w:rsidP="00AC6115">
      <w:pPr>
        <w:rPr>
          <w:i/>
          <w:color w:val="4472C4"/>
          <w:sz w:val="22"/>
          <w:szCs w:val="22"/>
        </w:rPr>
      </w:pPr>
      <w:r w:rsidRPr="00576AF8">
        <w:rPr>
          <w:rFonts w:eastAsia="Arial"/>
          <w:color w:val="000000"/>
          <w:sz w:val="22"/>
          <w:szCs w:val="22"/>
        </w:rPr>
        <w:lastRenderedPageBreak/>
        <w:t>La Asamblea Nacional, de conformidad con las atribuciones que le confiere la Constitución de la República del Ecuador y la Ley Orgánica de la Función Legislativa, discutió y aprobó el PROYECTO DE LEY ORGÁNICA DEL SERVICIO PÚBLICO DE ENERGÍA ELÉCTRICA, cuyo contenido fue promulgado en el Tercer Suplemento del Registro Oficial No. 418 del 16 de enero de 2015. Como parte de la estructura del sector eléctrico consta el Operador Nacional de Electricidad, CENACE, como entidad técnica y estratégica adscrita al Ministerio de Electricidad y Energía Renovable, ahora Ministerio de Energía y Recursos Naturales no Renovables.</w:t>
      </w:r>
    </w:p>
    <w:p w14:paraId="117AD787" w14:textId="77777777" w:rsidR="00AC6115" w:rsidRPr="00576AF8" w:rsidRDefault="00AC6115" w:rsidP="00AC6115">
      <w:pPr>
        <w:rPr>
          <w:rFonts w:eastAsia="Arial"/>
          <w:color w:val="000000"/>
          <w:sz w:val="22"/>
          <w:szCs w:val="22"/>
        </w:rPr>
      </w:pPr>
    </w:p>
    <w:p w14:paraId="30AB0207" w14:textId="77777777" w:rsidR="00AC6115" w:rsidRPr="00576AF8" w:rsidRDefault="00AC6115" w:rsidP="00AC6115">
      <w:pPr>
        <w:rPr>
          <w:i/>
          <w:color w:val="4472C4"/>
          <w:sz w:val="22"/>
          <w:szCs w:val="22"/>
        </w:rPr>
      </w:pPr>
      <w:r w:rsidRPr="00576AF8">
        <w:rPr>
          <w:rFonts w:eastAsia="Arial"/>
          <w:color w:val="000000"/>
          <w:sz w:val="22"/>
          <w:szCs w:val="22"/>
        </w:rPr>
        <w:t>El artículo 20 de la Ley Orgánica del Servicio Público de Energía Eléctrica establece que: "El Operador Nacional de Electricidad, CENACE, constituye un órgano técnico estratégico adscrito al Ministerio rector de energía y electricidad. Actuará como operador técnico del Sistema Nacional Interconectado (S.N.I.) y administrador comercial de las transacciones de bloques energéticos, responsable del abastecimiento continuo de energía eléctrica al mínimo costo posible, preservando la eficiencia global del sector".</w:t>
      </w:r>
    </w:p>
    <w:p w14:paraId="2B7991EC" w14:textId="77777777" w:rsidR="00AC6115" w:rsidRPr="00576AF8" w:rsidRDefault="00AC6115" w:rsidP="00AC6115">
      <w:pPr>
        <w:rPr>
          <w:rFonts w:eastAsia="Arial"/>
          <w:sz w:val="22"/>
          <w:szCs w:val="22"/>
        </w:rPr>
      </w:pPr>
    </w:p>
    <w:p w14:paraId="71DFDA3B" w14:textId="77777777" w:rsidR="00AC6115" w:rsidRPr="00576AF8" w:rsidRDefault="00AC6115" w:rsidP="00AC6115">
      <w:pPr>
        <w:rPr>
          <w:color w:val="4472C4"/>
          <w:sz w:val="22"/>
          <w:szCs w:val="22"/>
        </w:rPr>
      </w:pPr>
      <w:r w:rsidRPr="00576AF8">
        <w:rPr>
          <w:rFonts w:eastAsia="Arial"/>
          <w:sz w:val="22"/>
          <w:szCs w:val="22"/>
        </w:rPr>
        <w:t>La Ley Orgánica del Servicio Público de Energía Eléctrica, dentro de su artículo 21, numeral 3, señala: “</w:t>
      </w:r>
      <w:r w:rsidRPr="00576AF8">
        <w:rPr>
          <w:rFonts w:eastAsia="Arial"/>
          <w:i/>
          <w:sz w:val="22"/>
          <w:szCs w:val="22"/>
        </w:rPr>
        <w:t>Artículo 21.- Atribuciones y deberes. - Son atribuciones y deberes del Operador Nacional de Electricidad, CENACE: (…) 3. Coordinar la operación en tiempo real del S.N.I., considerando condiciones de seguridad, calidad y economía;</w:t>
      </w:r>
      <w:r w:rsidRPr="00576AF8">
        <w:rPr>
          <w:rFonts w:eastAsia="Arial"/>
          <w:sz w:val="22"/>
          <w:szCs w:val="22"/>
        </w:rPr>
        <w:t>”</w:t>
      </w:r>
    </w:p>
    <w:p w14:paraId="33C3FEEC" w14:textId="77777777" w:rsidR="00AC6115" w:rsidRPr="00576AF8" w:rsidRDefault="00AC6115" w:rsidP="00AC6115">
      <w:pPr>
        <w:contextualSpacing/>
        <w:rPr>
          <w:rFonts w:eastAsia="Arial"/>
          <w:i/>
          <w:sz w:val="22"/>
          <w:szCs w:val="22"/>
        </w:rPr>
      </w:pPr>
      <w:r w:rsidRPr="00576AF8">
        <w:rPr>
          <w:rFonts w:eastAsia="Arial"/>
          <w:sz w:val="22"/>
          <w:szCs w:val="22"/>
        </w:rPr>
        <w:t xml:space="preserve">La Regulación ARCONEL 003/16 “Requerimientos para la supervisión y control en tiempo real del Sistema Nacional Interconectado”, en su numeral 5 establece lo siguiente: </w:t>
      </w:r>
      <w:r w:rsidRPr="00576AF8">
        <w:rPr>
          <w:rFonts w:eastAsia="Arial"/>
          <w:i/>
          <w:iCs/>
          <w:sz w:val="22"/>
          <w:szCs w:val="22"/>
        </w:rPr>
        <w:t>“El Centro del Control del SNI o Centro de Control Nacional, integra todos los equipos y sistemas necesarios para la operación, supervisión y control en tiempo real del SNI y los intercambios internacionales de electricidad.</w:t>
      </w:r>
    </w:p>
    <w:p w14:paraId="01177662" w14:textId="77777777" w:rsidR="00AC6115" w:rsidRPr="00576AF8" w:rsidRDefault="00AC6115" w:rsidP="00AC6115">
      <w:pPr>
        <w:contextualSpacing/>
        <w:rPr>
          <w:rFonts w:eastAsia="Arial"/>
          <w:i/>
          <w:iCs/>
          <w:sz w:val="22"/>
          <w:szCs w:val="22"/>
        </w:rPr>
      </w:pPr>
    </w:p>
    <w:p w14:paraId="7C254E7C" w14:textId="77777777" w:rsidR="00AC6115" w:rsidRPr="00576AF8" w:rsidRDefault="00AC6115" w:rsidP="00AC6115">
      <w:pPr>
        <w:contextualSpacing/>
      </w:pPr>
      <w:r w:rsidRPr="00576AF8">
        <w:rPr>
          <w:rFonts w:eastAsia="Arial"/>
          <w:sz w:val="22"/>
          <w:szCs w:val="22"/>
        </w:rPr>
        <w:t xml:space="preserve">En cumplimiento de las Leyes y Normativas existentes, CENACE constituye el nivel superior (1) en la estructura jerárquica de los centros de control del sector eléctrico (Regulación ARCONEL 003/16), teniendo el carácter de </w:t>
      </w:r>
      <w:r w:rsidRPr="00576AF8">
        <w:rPr>
          <w:rFonts w:eastAsia="Arial"/>
          <w:i/>
          <w:iCs/>
          <w:sz w:val="22"/>
          <w:szCs w:val="22"/>
        </w:rPr>
        <w:t>“Nacional: Responsable de la operación integral del Sistema Nacional Interconectado del Ecuador incluyendo las interconexiones internacionales.”</w:t>
      </w:r>
      <w:r w:rsidRPr="00576AF8">
        <w:rPr>
          <w:rFonts w:eastAsia="Arial"/>
          <w:sz w:val="22"/>
          <w:szCs w:val="22"/>
        </w:rPr>
        <w:t xml:space="preserve"> y, con la responsabilidad de </w:t>
      </w:r>
      <w:r w:rsidRPr="00576AF8">
        <w:rPr>
          <w:rFonts w:eastAsia="Arial"/>
          <w:i/>
          <w:iCs/>
          <w:sz w:val="22"/>
          <w:szCs w:val="22"/>
        </w:rPr>
        <w:t>“Coordinar la operación del SNI en tiempo real, conforme la estructura jerárquica de los centros de control del sector eléctrico”</w:t>
      </w:r>
      <w:r w:rsidRPr="00576AF8">
        <w:rPr>
          <w:rFonts w:eastAsia="Arial"/>
          <w:sz w:val="22"/>
          <w:szCs w:val="22"/>
        </w:rPr>
        <w:t>, por lo cual la disponibilidad y normal funcionamiento de su sistema especializado SCADA/EMS, principal herramienta utilizada para coordinar la operación del sistema eléctrico del Ecuador es de vital importancia para el cumplimiento de las responsabilidades de la institución, así como para garantizar la gobernanza y operación de todo el sector eléctrico. Es así, que la afectación al funcionamiento y disponibilidad del sistema SCADA/EMS en CENACE impacta directamente en la operación técnica del Sistema Eléctrico e Interconexiones Internacionales y, por tanto, en el suministro del servicio público de energía eléctrica del país, con el consecuente impacto a nivel social, económico y político en el Ecuador.</w:t>
      </w:r>
    </w:p>
    <w:p w14:paraId="3E40F6CA" w14:textId="77777777" w:rsidR="00AC6115" w:rsidRPr="00576AF8" w:rsidRDefault="00AC6115" w:rsidP="00AC6115">
      <w:pPr>
        <w:contextualSpacing/>
        <w:rPr>
          <w:rFonts w:eastAsia="Arial"/>
          <w:i/>
          <w:sz w:val="22"/>
          <w:szCs w:val="22"/>
        </w:rPr>
      </w:pPr>
    </w:p>
    <w:p w14:paraId="5D487F9E" w14:textId="77777777" w:rsidR="00AC6115" w:rsidRPr="00576AF8" w:rsidRDefault="00AC6115" w:rsidP="00AC6115">
      <w:pPr>
        <w:contextualSpacing/>
        <w:rPr>
          <w:rFonts w:eastAsia="Arial"/>
          <w:sz w:val="22"/>
          <w:szCs w:val="22"/>
        </w:rPr>
      </w:pPr>
      <w:r w:rsidRPr="00576AF8">
        <w:rPr>
          <w:rFonts w:eastAsia="Arial"/>
          <w:sz w:val="22"/>
          <w:szCs w:val="22"/>
        </w:rPr>
        <w:t>La Regulación Nro. ARCERNNR-004/20 (Codificada) indica en el Capítulo IV Operación articulo 19, que CENACE supervisará, controlará y coordinará la operación en tiempo real con los centros de operación de los PMSE, con las cargas especiales y con los operadores de los sistemas de los países vecinos, para mantener las condiciones de calidad, seguridad, confiabilidad y economía en la operación del SEP, conforme los procedimientos de aplicación, en los distintos estados operativos del SEP.</w:t>
      </w:r>
    </w:p>
    <w:p w14:paraId="4154C13E" w14:textId="77777777" w:rsidR="00AC6115" w:rsidRPr="00576AF8" w:rsidRDefault="00AC6115" w:rsidP="00AC6115">
      <w:pPr>
        <w:ind w:left="720"/>
        <w:contextualSpacing/>
        <w:rPr>
          <w:rFonts w:eastAsia="Arial"/>
          <w:i/>
          <w:sz w:val="22"/>
          <w:szCs w:val="22"/>
        </w:rPr>
      </w:pPr>
    </w:p>
    <w:p w14:paraId="6B863020" w14:textId="77777777" w:rsidR="00AC6115" w:rsidRPr="00576AF8" w:rsidRDefault="00AC6115" w:rsidP="00AC6115">
      <w:pPr>
        <w:rPr>
          <w:color w:val="4472C4"/>
          <w:sz w:val="22"/>
          <w:szCs w:val="22"/>
        </w:rPr>
      </w:pPr>
      <w:r w:rsidRPr="00576AF8">
        <w:rPr>
          <w:rFonts w:eastAsia="Arial"/>
          <w:i/>
          <w:sz w:val="22"/>
          <w:szCs w:val="22"/>
        </w:rPr>
        <w:t>El Centro de Control Nacional es operado por el CENACE, por lo tanto, es este el responsable de supervisar y controlar la operación en tiempo real de las instalaciones de generación, transmisión y distribución y de coordinar la función operativa a nivel nacional y los intercambios internacionales de electricidad, a fin de garantizar el suministro de energía eléctrica bajo criterios de confiabilidad, seguridad, calidad y economía.</w:t>
      </w:r>
    </w:p>
    <w:p w14:paraId="15F13C34" w14:textId="77777777" w:rsidR="00AC6115" w:rsidRPr="00576AF8" w:rsidRDefault="00AC6115" w:rsidP="00AC6115">
      <w:pPr>
        <w:numPr>
          <w:ilvl w:val="12"/>
          <w:numId w:val="0"/>
        </w:numPr>
        <w:suppressAutoHyphens w:val="0"/>
        <w:ind w:left="720" w:hanging="720"/>
        <w:rPr>
          <w:b/>
          <w:sz w:val="22"/>
          <w:szCs w:val="22"/>
        </w:rPr>
      </w:pPr>
      <w:bookmarkStart w:id="1475" w:name="_Toc483815676"/>
      <w:bookmarkStart w:id="1476" w:name="_Toc488947815"/>
      <w:r w:rsidRPr="00576AF8">
        <w:rPr>
          <w:b/>
          <w:sz w:val="22"/>
          <w:szCs w:val="22"/>
        </w:rPr>
        <w:lastRenderedPageBreak/>
        <w:t>0.4</w:t>
      </w:r>
      <w:r w:rsidRPr="00576AF8">
        <w:rPr>
          <w:b/>
          <w:sz w:val="22"/>
          <w:szCs w:val="22"/>
        </w:rPr>
        <w:tab/>
        <w:t xml:space="preserve">Sistemas de información existentes/tecnologías de la información pertinentes para el </w:t>
      </w:r>
      <w:bookmarkEnd w:id="1475"/>
      <w:bookmarkEnd w:id="1476"/>
      <w:r w:rsidRPr="00576AF8">
        <w:rPr>
          <w:b/>
          <w:sz w:val="22"/>
          <w:szCs w:val="22"/>
        </w:rPr>
        <w:t>Sistema SCADA/EMS</w:t>
      </w:r>
    </w:p>
    <w:p w14:paraId="629F650A"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CENACE dispone un sistema SCADA/EMS provisto por Hitachi, cuya actualización del software a la versión NM9.2 se realizó en 2019. La infraestructura de hardware SCADA/EMS consta de 30 servidores con niveles de obsolescencia a la fecha actual (2023), así como con algunos componentes de la plataforma de almacenamiento y algunos equipos de red, que ya no disponen de soporte del fabricante, ya que el mismo caducó en diciembre de 2021.</w:t>
      </w:r>
    </w:p>
    <w:p w14:paraId="17F41BC8"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CENACE dispone de 25 consolas de operador con diferentes tiempos de operación.</w:t>
      </w:r>
    </w:p>
    <w:p w14:paraId="0ADA97C2" w14:textId="77777777" w:rsidR="00AC6115" w:rsidRPr="00576AF8" w:rsidRDefault="00AC6115" w:rsidP="00AC6115">
      <w:pPr>
        <w:spacing w:after="0"/>
        <w:ind w:left="-20" w:right="-20"/>
        <w:rPr>
          <w:rFonts w:eastAsia="Arial"/>
          <w:color w:val="000000"/>
          <w:sz w:val="22"/>
          <w:szCs w:val="22"/>
        </w:rPr>
      </w:pPr>
    </w:p>
    <w:p w14:paraId="7EFCA79E"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Existen 137 RTU operables en el campo, clasificadas de la siguiente manera:</w:t>
      </w:r>
    </w:p>
    <w:p w14:paraId="3DB756CE" w14:textId="77777777" w:rsidR="00AC6115" w:rsidRPr="00576AF8" w:rsidRDefault="00AC6115">
      <w:pPr>
        <w:numPr>
          <w:ilvl w:val="0"/>
          <w:numId w:val="364"/>
        </w:numPr>
        <w:spacing w:after="0"/>
        <w:ind w:right="-20"/>
        <w:contextualSpacing/>
        <w:rPr>
          <w:rFonts w:eastAsia="Arial"/>
          <w:color w:val="000000"/>
          <w:sz w:val="22"/>
          <w:szCs w:val="22"/>
        </w:rPr>
      </w:pPr>
      <w:r w:rsidRPr="00576AF8">
        <w:rPr>
          <w:rFonts w:eastAsia="Arial"/>
          <w:color w:val="000000"/>
          <w:sz w:val="22"/>
          <w:szCs w:val="22"/>
        </w:rPr>
        <w:t>(23) RTUs ABB400 propiedad de CENACE, las cuales utilizan el protocolo RP570.</w:t>
      </w:r>
    </w:p>
    <w:p w14:paraId="3D89E0CC" w14:textId="77777777" w:rsidR="00AC6115" w:rsidRPr="00576AF8" w:rsidRDefault="00AC6115">
      <w:pPr>
        <w:numPr>
          <w:ilvl w:val="0"/>
          <w:numId w:val="364"/>
        </w:numPr>
        <w:spacing w:after="0"/>
        <w:ind w:right="-20"/>
        <w:contextualSpacing/>
        <w:rPr>
          <w:rFonts w:eastAsia="Arial"/>
          <w:color w:val="000000"/>
          <w:sz w:val="22"/>
          <w:szCs w:val="22"/>
        </w:rPr>
      </w:pPr>
      <w:r w:rsidRPr="00576AF8">
        <w:rPr>
          <w:rFonts w:eastAsia="Arial"/>
          <w:color w:val="000000"/>
          <w:sz w:val="22"/>
          <w:szCs w:val="22"/>
        </w:rPr>
        <w:t>(37) RTUs con protocolo DNP 3.0, de las cuales 12 son sobre TCP/IP y 25 son seriales</w:t>
      </w:r>
    </w:p>
    <w:p w14:paraId="6D81C248" w14:textId="77777777" w:rsidR="00AC6115" w:rsidRPr="00576AF8" w:rsidRDefault="00AC6115">
      <w:pPr>
        <w:numPr>
          <w:ilvl w:val="0"/>
          <w:numId w:val="364"/>
        </w:numPr>
        <w:spacing w:after="0"/>
        <w:ind w:right="-20"/>
        <w:contextualSpacing/>
        <w:rPr>
          <w:rFonts w:eastAsia="Arial"/>
          <w:color w:val="000000"/>
          <w:sz w:val="22"/>
          <w:szCs w:val="22"/>
        </w:rPr>
      </w:pPr>
      <w:r w:rsidRPr="00576AF8">
        <w:rPr>
          <w:rFonts w:eastAsia="Arial"/>
          <w:color w:val="000000"/>
          <w:sz w:val="22"/>
          <w:szCs w:val="22"/>
        </w:rPr>
        <w:t>(45) RTUs con el protocolo IEC 870 5 101.</w:t>
      </w:r>
    </w:p>
    <w:p w14:paraId="26072BA2" w14:textId="77777777" w:rsidR="00AC6115" w:rsidRPr="00576AF8" w:rsidRDefault="00AC6115">
      <w:pPr>
        <w:numPr>
          <w:ilvl w:val="0"/>
          <w:numId w:val="364"/>
        </w:numPr>
        <w:spacing w:after="0"/>
        <w:ind w:right="-20"/>
        <w:contextualSpacing/>
        <w:rPr>
          <w:rFonts w:eastAsia="Arial"/>
          <w:color w:val="000000"/>
          <w:sz w:val="22"/>
          <w:szCs w:val="22"/>
        </w:rPr>
      </w:pPr>
      <w:r w:rsidRPr="00576AF8">
        <w:rPr>
          <w:rFonts w:eastAsia="Arial"/>
          <w:color w:val="000000"/>
          <w:sz w:val="22"/>
          <w:szCs w:val="22"/>
        </w:rPr>
        <w:t>(32) RTUs con el protocolo IEC 870 5 104.</w:t>
      </w:r>
    </w:p>
    <w:p w14:paraId="7C21B9D8" w14:textId="77777777" w:rsidR="00AC6115" w:rsidRPr="00576AF8" w:rsidRDefault="00AC6115" w:rsidP="00AC6115">
      <w:pPr>
        <w:spacing w:after="0"/>
        <w:ind w:right="-20"/>
        <w:rPr>
          <w:rFonts w:eastAsia="Arial"/>
          <w:color w:val="000000"/>
          <w:sz w:val="22"/>
          <w:szCs w:val="22"/>
        </w:rPr>
      </w:pPr>
    </w:p>
    <w:p w14:paraId="34E38510"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La infraestructura de comunicación para todos los dispositivos de campo está conformada por 128 canales que usan la red de Fibra Óptica (SDH y MPLS) propiedad de la empresa de transmisión ecuatoriana CELEC EP Transelectric. También dispone de 12 enlaces de datos ICCP.</w:t>
      </w:r>
    </w:p>
    <w:p w14:paraId="17747861" w14:textId="77777777" w:rsidR="00AC6115" w:rsidRPr="00576AF8" w:rsidRDefault="00AC6115" w:rsidP="00AC6115">
      <w:pPr>
        <w:spacing w:after="0"/>
        <w:ind w:left="-20" w:right="-20"/>
        <w:rPr>
          <w:rFonts w:eastAsia="Arial"/>
          <w:color w:val="000000"/>
          <w:sz w:val="22"/>
          <w:szCs w:val="22"/>
        </w:rPr>
      </w:pPr>
    </w:p>
    <w:p w14:paraId="6A3AD23D"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Para las RTU de protocolo serial (RP 570, DNP 3.0, IEC 101) se dispone de una solución de conexión distribuida a través de servidores de comunicación llamados PCU Gateway, los cuales permiten la conexión de estos protocolos seriales aguas abajo (hacia las RTUs) y aguas arriba la comunicación con los sistemas SCADA/EMS de CENACE y CELEC EP TRANSELECTRIC, es mediante protocolo DNP 3.0 sobre TCP/IP. Adicionalmente, estos servidores PCU GW permiten establecer la comunicación de RTUs seriales antiguas que disponen de un solo puerto, con los dos centros de control (CENACE y CELEC EP TRANSELECTRIC) simultáneamente, tanto para la supervisión de instalaciones, así como para la ejecución de controles.</w:t>
      </w:r>
    </w:p>
    <w:p w14:paraId="6DA0666B" w14:textId="77777777" w:rsidR="00AC6115" w:rsidRPr="00576AF8" w:rsidRDefault="00AC6115" w:rsidP="00AC6115">
      <w:pPr>
        <w:spacing w:after="0"/>
        <w:ind w:left="-20" w:right="-20"/>
        <w:rPr>
          <w:rFonts w:eastAsia="Arial"/>
          <w:color w:val="000000"/>
          <w:sz w:val="22"/>
          <w:szCs w:val="22"/>
        </w:rPr>
      </w:pPr>
    </w:p>
    <w:p w14:paraId="3D86052A"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Las prácticas de seguridad cibernética de CENACE se basan en las normas ISO-27001 y el Esquema Gubernamental de Seguridad de la Información EGSl establecido por el gobierno de Ecuador. </w:t>
      </w:r>
    </w:p>
    <w:p w14:paraId="5981047B" w14:textId="77777777" w:rsidR="00AC6115" w:rsidRPr="00576AF8" w:rsidRDefault="00AC6115" w:rsidP="00AC6115">
      <w:pPr>
        <w:pBdr>
          <w:bottom w:val="single" w:sz="24" w:space="3" w:color="C0C0C0"/>
        </w:pBdr>
        <w:spacing w:before="240" w:after="60"/>
        <w:ind w:left="-20" w:right="-20" w:hanging="576"/>
        <w:outlineLvl w:val="1"/>
        <w:rPr>
          <w:rFonts w:eastAsia="Arial"/>
          <w:b/>
          <w:bCs/>
          <w:i/>
          <w:iCs/>
          <w:color w:val="000000"/>
          <w:sz w:val="22"/>
          <w:szCs w:val="22"/>
        </w:rPr>
      </w:pPr>
      <w:bookmarkStart w:id="1477" w:name="_Toc160991320"/>
      <w:r w:rsidRPr="00576AF8">
        <w:rPr>
          <w:rFonts w:eastAsia="Arial"/>
          <w:b/>
          <w:bCs/>
          <w:i/>
          <w:iCs/>
          <w:color w:val="000000"/>
          <w:sz w:val="22"/>
          <w:szCs w:val="22"/>
        </w:rPr>
        <w:t>Sistema de Medición Comercial</w:t>
      </w:r>
      <w:bookmarkEnd w:id="1477"/>
    </w:p>
    <w:p w14:paraId="4595D5EC"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SIMEC es el Sistema de Medición Comercial que procesa mediciones de energía almacenadas en los medidores de energía ubicados en puntos de generación y entrega a través de toda la red de Ecuador, así como los consumos propios, grandes consumidores e interconexiones internacionales de electricidad con Colombia y Perú, en intervalos de 15 minutos, en aplicación de la normativa vigente establecida por el ente regulador. El SIMEC también tiene como fuente de información los datos de potencia instantánea de los diferentes dispositivos IEDs que forman parte del EMS. La arquitectura funcional de SIMEC incluye adquisición, recuperación, administración, procesamiento y entrega de información energética, los cuales están integrados en plataformas de sistemas operativos, bases de datos y software de administración de redes.</w:t>
      </w:r>
    </w:p>
    <w:p w14:paraId="203CA683" w14:textId="77777777" w:rsidR="00AC6115" w:rsidRPr="00576AF8" w:rsidRDefault="00AC6115" w:rsidP="00AC6115">
      <w:pPr>
        <w:pBdr>
          <w:bottom w:val="single" w:sz="24" w:space="3" w:color="C0C0C0"/>
        </w:pBdr>
        <w:spacing w:before="240" w:after="60"/>
        <w:ind w:left="-20" w:right="-20" w:hanging="576"/>
        <w:outlineLvl w:val="1"/>
        <w:rPr>
          <w:rFonts w:eastAsia="Arial"/>
          <w:b/>
          <w:bCs/>
          <w:i/>
          <w:iCs/>
          <w:color w:val="000000"/>
          <w:sz w:val="22"/>
          <w:szCs w:val="22"/>
        </w:rPr>
      </w:pPr>
      <w:bookmarkStart w:id="1478" w:name="_Toc160991321"/>
      <w:r w:rsidRPr="00576AF8">
        <w:rPr>
          <w:rFonts w:eastAsia="Arial"/>
          <w:b/>
          <w:bCs/>
          <w:i/>
          <w:iCs/>
          <w:color w:val="000000"/>
          <w:sz w:val="22"/>
          <w:szCs w:val="22"/>
        </w:rPr>
        <w:t>Sistema de Información para el Mercado Mayorista</w:t>
      </w:r>
      <w:bookmarkEnd w:id="1478"/>
    </w:p>
    <w:p w14:paraId="51CCB905"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SIMEM es el Sistema de Información para el Mercado Mayorista, que utiliza la información energética procesada por el Sistema de Información de Medición Comercial SIMEC, para efectuar las liquidaciones transaccionales de energía. SIMEM está diseñado para cumplir con los requisitos reglamentarios de los procesos de gestión comercial, integrando la información producida por otros sistemas en un entorno transaccional seguro y flexible. Este sistema presenta la liquidación diaria y mensual de las transacciones de energía.</w:t>
      </w:r>
    </w:p>
    <w:p w14:paraId="35E2CEF5"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lastRenderedPageBreak/>
        <w:t xml:space="preserve">Al momento existe una interfaz desarrollada por Hitachi Energy para CENACE, basada en </w:t>
      </w:r>
      <w:r w:rsidRPr="00576AF8">
        <w:rPr>
          <w:rFonts w:eastAsia="Arial"/>
          <w:i/>
          <w:iCs/>
          <w:color w:val="000000"/>
          <w:sz w:val="22"/>
          <w:szCs w:val="22"/>
        </w:rPr>
        <w:t>Store Procedures</w:t>
      </w:r>
      <w:r w:rsidRPr="00576AF8">
        <w:rPr>
          <w:rFonts w:eastAsia="Arial"/>
          <w:color w:val="000000"/>
          <w:sz w:val="22"/>
          <w:szCs w:val="22"/>
        </w:rPr>
        <w:t xml:space="preserve"> y tablas de ORACLE que permite la entrega de información operativa desde el SCADA/EMS en períodos de 15 y 60 minutos.</w:t>
      </w:r>
    </w:p>
    <w:p w14:paraId="592A542F"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79" w:name="_Toc160991322"/>
      <w:r w:rsidRPr="00576AF8">
        <w:rPr>
          <w:rFonts w:eastAsia="Arial"/>
          <w:b/>
          <w:bCs/>
          <w:i/>
          <w:iCs/>
          <w:color w:val="000000"/>
          <w:sz w:val="22"/>
          <w:szCs w:val="22"/>
        </w:rPr>
        <w:t>El Sistema de Salida de Equipos EOS</w:t>
      </w:r>
      <w:bookmarkEnd w:id="1479"/>
    </w:p>
    <w:p w14:paraId="47EC7E58"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Sistema de Salida de Equipos EOS es una funcionalidad del EMS y debería considerar el programa de mantenimiento de equipos de CENACE.</w:t>
      </w:r>
    </w:p>
    <w:p w14:paraId="56B7C5B1"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Área de Planificación del Sistema de CENACE realiza estudios semanales considerando las indisponibilidades de equipos indicadas en las consignaciones del plan de mantenimiento.</w:t>
      </w:r>
    </w:p>
    <w:p w14:paraId="6327FB54"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80" w:name="_Toc160991326"/>
      <w:r w:rsidRPr="00576AF8">
        <w:rPr>
          <w:rFonts w:eastAsia="Arial"/>
          <w:b/>
          <w:bCs/>
          <w:i/>
          <w:iCs/>
          <w:color w:val="000000"/>
          <w:sz w:val="22"/>
          <w:szCs w:val="22"/>
        </w:rPr>
        <w:t>Sistema de Monitoreo de la Distribución</w:t>
      </w:r>
      <w:bookmarkEnd w:id="1480"/>
    </w:p>
    <w:p w14:paraId="0FE1B22A"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centro nacional de distribución de Ecuador dispone del Sistema Integrado para la Gestión de la Distribución Eléctrica denominado SIGDE también llamado CND Centro Nacional de Distribución.  Es un sistema redundante ADMS de Schneider Electric para la gestión de distribución. El centro nacional de distribución concentra información de todas las empresas distribuidoras. CENACE se interconecta con este sistema a través de enlaces redundantes ICCP.  Adicionalmente, la sala de control de CENACE dispone de una consola del sistema nacional de distribución, para la coordinación de la operación del sistema de distribución. La información a nivel de los alimentadores del sistema de distribución se visualiza en un </w:t>
      </w:r>
      <w:r w:rsidRPr="00576AF8">
        <w:rPr>
          <w:rFonts w:eastAsia="Arial"/>
          <w:i/>
          <w:iCs/>
          <w:color w:val="000000"/>
          <w:sz w:val="22"/>
          <w:szCs w:val="22"/>
        </w:rPr>
        <w:t>Videowall</w:t>
      </w:r>
      <w:r w:rsidRPr="00576AF8">
        <w:rPr>
          <w:rFonts w:eastAsia="Arial"/>
          <w:color w:val="000000"/>
          <w:sz w:val="22"/>
          <w:szCs w:val="22"/>
        </w:rPr>
        <w:t xml:space="preserve"> ubicado en la sala de control del CENACE.</w:t>
      </w:r>
    </w:p>
    <w:p w14:paraId="607CB745"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81" w:name="_Toc160991327"/>
      <w:r w:rsidRPr="00576AF8">
        <w:rPr>
          <w:rFonts w:eastAsia="Arial"/>
          <w:b/>
          <w:bCs/>
          <w:i/>
          <w:iCs/>
          <w:color w:val="000000"/>
          <w:sz w:val="22"/>
          <w:szCs w:val="22"/>
        </w:rPr>
        <w:t>Simulador de Entrenamiento de Operadores OTS</w:t>
      </w:r>
      <w:bookmarkEnd w:id="1481"/>
    </w:p>
    <w:p w14:paraId="2B8FACE2"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Simulador de Entrenamiento de Operadores (</w:t>
      </w:r>
      <w:r w:rsidRPr="00576AF8">
        <w:rPr>
          <w:rFonts w:eastAsia="Arial"/>
          <w:i/>
          <w:iCs/>
          <w:color w:val="000000"/>
          <w:sz w:val="22"/>
          <w:szCs w:val="22"/>
        </w:rPr>
        <w:t>Operator Training Simulator</w:t>
      </w:r>
      <w:r w:rsidRPr="00576AF8">
        <w:rPr>
          <w:rFonts w:eastAsia="Arial"/>
          <w:color w:val="000000"/>
          <w:sz w:val="22"/>
          <w:szCs w:val="22"/>
        </w:rPr>
        <w:t xml:space="preserve"> </w:t>
      </w:r>
      <w:r w:rsidRPr="00576AF8">
        <w:rPr>
          <w:rFonts w:eastAsia="Arial"/>
          <w:i/>
          <w:iCs/>
          <w:color w:val="000000"/>
          <w:sz w:val="22"/>
          <w:szCs w:val="22"/>
        </w:rPr>
        <w:t>OTS</w:t>
      </w:r>
      <w:r w:rsidRPr="00576AF8">
        <w:rPr>
          <w:rFonts w:eastAsia="Arial"/>
          <w:color w:val="000000"/>
          <w:sz w:val="22"/>
          <w:szCs w:val="22"/>
        </w:rPr>
        <w:t xml:space="preserve">) es parte del sistema SCADA/EMS de CENACE, utiliza el algoritmo OTS de EPRI y es un entorno para entrenar a los operadores del sistema en condiciones normales, de emergencia y de restauración del sistema. El OTS utiliza el historiador </w:t>
      </w:r>
      <w:r w:rsidR="00643DD7" w:rsidRPr="00576AF8">
        <w:rPr>
          <w:rFonts w:eastAsia="Arial"/>
          <w:color w:val="000000"/>
          <w:sz w:val="22"/>
          <w:szCs w:val="22"/>
        </w:rPr>
        <w:t xml:space="preserve">nativo de Hitachi </w:t>
      </w:r>
      <w:r w:rsidR="00FF0D31" w:rsidRPr="00576AF8">
        <w:rPr>
          <w:rFonts w:eastAsia="Arial"/>
          <w:color w:val="000000"/>
          <w:sz w:val="22"/>
          <w:szCs w:val="22"/>
        </w:rPr>
        <w:t>Utility</w:t>
      </w:r>
      <w:r w:rsidR="00643DD7" w:rsidRPr="00576AF8">
        <w:rPr>
          <w:rFonts w:eastAsia="Arial"/>
          <w:color w:val="000000"/>
          <w:sz w:val="22"/>
          <w:szCs w:val="22"/>
        </w:rPr>
        <w:t xml:space="preserve"> Data Warehouse - </w:t>
      </w:r>
      <w:r w:rsidRPr="00576AF8">
        <w:rPr>
          <w:rFonts w:eastAsia="Arial"/>
          <w:color w:val="000000"/>
          <w:sz w:val="22"/>
          <w:szCs w:val="22"/>
        </w:rPr>
        <w:t xml:space="preserve">UDW. La interacción del OTS y los operadores, busca que estos ganen destrezas en la operación, mediante un aumento de la consciencia situacional basado en análisis y respuesta de situaciones particulares del sistema en estado estacionario.  </w:t>
      </w:r>
    </w:p>
    <w:p w14:paraId="41E81346"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82" w:name="_Toc160991328"/>
      <w:r w:rsidRPr="00576AF8">
        <w:rPr>
          <w:rFonts w:eastAsia="Arial"/>
          <w:b/>
          <w:bCs/>
          <w:i/>
          <w:iCs/>
          <w:color w:val="000000"/>
          <w:sz w:val="22"/>
          <w:szCs w:val="22"/>
        </w:rPr>
        <w:t>Sistema de Planeamiento Energético - Programa de Producción</w:t>
      </w:r>
      <w:bookmarkEnd w:id="1482"/>
    </w:p>
    <w:p w14:paraId="7F382E9B"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Sistema de Planeamiento Energético de CENACE corresponde a la suite de aplicaciones ePSR de planificación energética de corto, mediano y largo plazo desarrolladas por la empresa PSR de Brasil. Este sistema permite realizar la programación semanal y el despacho económico diario, en etapas horarias, para el Sistema Nacional Interconectado y las Interconexiones Internacionales. </w:t>
      </w:r>
    </w:p>
    <w:p w14:paraId="2960E9C5"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83" w:name="_Toc160991329"/>
      <w:r w:rsidRPr="00576AF8">
        <w:rPr>
          <w:rFonts w:eastAsia="Arial"/>
          <w:b/>
          <w:bCs/>
          <w:i/>
          <w:iCs/>
          <w:color w:val="000000"/>
          <w:sz w:val="22"/>
          <w:szCs w:val="22"/>
        </w:rPr>
        <w:t>Sistema de Monitoreo de Área Extendida WAMS</w:t>
      </w:r>
      <w:bookmarkEnd w:id="1483"/>
    </w:p>
    <w:p w14:paraId="05F4EEFB"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Sistema de Monitoreo de Área Extendida (WAMS) del proveedor ELPROS facilita el monitoreo y la supervisión dinámica en tiempo real del Sistema Nacional Interconectado (SNI) a partir de estimaciones sincrofasoriales. El sistema WAMS, además de aumentar la conciencia situacional en la operación del SNI, facilita la realización de análisis dinámicos que permiten la determinación de recomendaciones operativas sobre cómo actuar en presencia de ciertos eventos en el SNI, con el objetivo de mejorar considerablemente los criterios y la forma de planificar y operar el sistema eléctrico y con ello la seguridad del suministro eléctrico en Ecuador.</w:t>
      </w:r>
    </w:p>
    <w:p w14:paraId="2080C071"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software y base de datos del WAMS está alojado en dos servidores en arquitectura </w:t>
      </w:r>
      <w:r w:rsidRPr="00576AF8">
        <w:rPr>
          <w:rFonts w:eastAsia="Arial"/>
          <w:i/>
          <w:iCs/>
          <w:color w:val="000000"/>
          <w:sz w:val="22"/>
          <w:szCs w:val="22"/>
        </w:rPr>
        <w:t>hot</w:t>
      </w:r>
      <w:r w:rsidRPr="00576AF8">
        <w:rPr>
          <w:rFonts w:eastAsia="Arial"/>
          <w:color w:val="000000"/>
          <w:sz w:val="22"/>
          <w:szCs w:val="22"/>
        </w:rPr>
        <w:t>-</w:t>
      </w:r>
      <w:r w:rsidRPr="00576AF8">
        <w:rPr>
          <w:rFonts w:eastAsia="Arial"/>
          <w:i/>
          <w:iCs/>
          <w:color w:val="000000"/>
          <w:sz w:val="22"/>
          <w:szCs w:val="22"/>
        </w:rPr>
        <w:t>stand by</w:t>
      </w:r>
      <w:r w:rsidRPr="00576AF8">
        <w:rPr>
          <w:rFonts w:eastAsia="Arial"/>
          <w:color w:val="000000"/>
          <w:sz w:val="22"/>
          <w:szCs w:val="22"/>
        </w:rPr>
        <w:t xml:space="preserve"> que se encuentran sincronizados con señales de reloj de 2 GPS a través de conexión IRIG-B. El WAMS adquiere datos de 30 PMUs propiedad del CENACE y 30 PMUs propiedad de los agentes. Los equipos PMUs son de diferentes marcas que se encuentran certificados bajo el estándar IEEE C</w:t>
      </w:r>
      <w:proofErr w:type="gramStart"/>
      <w:r w:rsidRPr="00576AF8">
        <w:rPr>
          <w:rFonts w:eastAsia="Arial"/>
          <w:color w:val="000000"/>
          <w:sz w:val="22"/>
          <w:szCs w:val="22"/>
        </w:rPr>
        <w:t>37.118.1a</w:t>
      </w:r>
      <w:proofErr w:type="gramEnd"/>
      <w:r w:rsidRPr="00576AF8">
        <w:rPr>
          <w:rFonts w:eastAsia="Arial"/>
          <w:color w:val="000000"/>
          <w:sz w:val="22"/>
          <w:szCs w:val="22"/>
        </w:rPr>
        <w:t xml:space="preserve">-2014. Las PMUs estiman los fasores de voltaje y corriente por fase y los transmite a una tasa de muestreo de 60 muestras/seg, y están certificadas como clase M. Las mediciones de PMU se almacenan en una base de datos circular cuya duración es de 45 días. Las PMUs se instalan en terminales de generadores, transformadores, líneas de transmisión y subestaciones de alto y medio voltaje (22.8 kV, 69 kV, 138 kV, 230 kV y 500 kV). Los datos sincrofasoriales de cada PMU se transmiten a los concentradores de datos fasoriales (PDC) centrales que se </w:t>
      </w:r>
      <w:r w:rsidRPr="00576AF8">
        <w:rPr>
          <w:rFonts w:eastAsia="Arial"/>
          <w:color w:val="000000"/>
          <w:sz w:val="22"/>
          <w:szCs w:val="22"/>
        </w:rPr>
        <w:lastRenderedPageBreak/>
        <w:t xml:space="preserve">ubican en CENACE a través de 4 PDC regionales propiedad de la unidad de negocio de transmisión de CELEC EP.  Estos concentradores se encuentran en varias subestaciones de esta empresa. El PDC del CENACE también está conectado al PDC de XM (Colombia) que recibe mediciones de las PMU de las subestaciones frontera. </w:t>
      </w:r>
    </w:p>
    <w:p w14:paraId="06637DCE"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CENACE utiliza el sistema WAMS, principalmente para supervisión del estado dinámico del sistema eléctrico, para el monitoreo de oscilaciones y diferencias angulares y para el monitoreo de congestión del sistema. </w:t>
      </w:r>
    </w:p>
    <w:p w14:paraId="31DDF7A4"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84" w:name="_Toc160991330"/>
      <w:r w:rsidRPr="00576AF8">
        <w:rPr>
          <w:rFonts w:eastAsia="Arial"/>
          <w:b/>
          <w:bCs/>
          <w:i/>
          <w:iCs/>
          <w:color w:val="000000"/>
          <w:sz w:val="22"/>
          <w:szCs w:val="22"/>
        </w:rPr>
        <w:t>Simulador Digital en Tiempo Real</w:t>
      </w:r>
      <w:bookmarkEnd w:id="1484"/>
    </w:p>
    <w:p w14:paraId="2B722413"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 xml:space="preserve">El propósito principal del simulador digital en tiempo real de OPAL-RT (HYPERsim y RT-LAB), actualmente instalado en CENACE, es realizar estudios y pruebas de integración de generación, transmisión y distribución de energía mediante la explotación de las opciones de simulación tipo </w:t>
      </w:r>
      <w:r w:rsidRPr="00576AF8">
        <w:rPr>
          <w:rFonts w:eastAsia="Arial"/>
          <w:i/>
          <w:iCs/>
          <w:color w:val="000000"/>
          <w:sz w:val="22"/>
          <w:szCs w:val="22"/>
        </w:rPr>
        <w:t>Software in-the-loop</w:t>
      </w:r>
      <w:r w:rsidRPr="00576AF8">
        <w:rPr>
          <w:rFonts w:eastAsia="Arial"/>
          <w:color w:val="000000"/>
          <w:sz w:val="22"/>
          <w:szCs w:val="22"/>
        </w:rPr>
        <w:t xml:space="preserve"> (SIL) y tipo </w:t>
      </w:r>
      <w:r w:rsidRPr="00576AF8">
        <w:rPr>
          <w:rFonts w:eastAsia="Arial"/>
          <w:i/>
          <w:iCs/>
          <w:color w:val="000000"/>
          <w:sz w:val="22"/>
          <w:szCs w:val="22"/>
        </w:rPr>
        <w:t>Hardware in-the-Loop</w:t>
      </w:r>
      <w:r w:rsidRPr="00576AF8">
        <w:rPr>
          <w:rFonts w:eastAsia="Arial"/>
          <w:color w:val="000000"/>
          <w:sz w:val="22"/>
          <w:szCs w:val="22"/>
        </w:rPr>
        <w:t xml:space="preserve"> (HIL). </w:t>
      </w:r>
    </w:p>
    <w:p w14:paraId="54DEAA0B"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En este sentido, el simulador es utilizado por estudiantes, operadores,  investigadores y profesores de CENACE y de otras instituciones ecuatorianas para realizar estudios generales de sistemas de potencia, simular la integración e interacción de fuentes de energía renovables, sistemas de almacenamiento distribuido de energía, FACTS, SCADA/EMS y sistemas de comunicación multi-terminal / multi-alimentados, y controles (distribuidos), sistemas de monitoreo, protección y control WAMPAC, todos conectados con el sistema AC de la red eléctrica incluso en tiempo real (simulación hardware o software en el lazo: HIL, SIL). También se utiliza para realizar pruebas de integración de equipos reales (</w:t>
      </w:r>
      <w:r w:rsidRPr="00576AF8">
        <w:rPr>
          <w:rFonts w:eastAsia="Arial"/>
          <w:i/>
          <w:iCs/>
          <w:color w:val="000000"/>
          <w:sz w:val="22"/>
          <w:szCs w:val="22"/>
        </w:rPr>
        <w:t>Power Hardware in-the-loop</w:t>
      </w:r>
      <w:r w:rsidRPr="00576AF8">
        <w:rPr>
          <w:rFonts w:eastAsia="Arial"/>
          <w:color w:val="000000"/>
          <w:sz w:val="22"/>
          <w:szCs w:val="22"/>
        </w:rPr>
        <w:t>, PHIL) a través de canales de entrada / salida (analógicos, digitales, ópticos) y protocolos de comunicación apropiados (GPS, IEC 61850 SV, y GOOSE, DNP 3.0, ICCP, IEEE C37.118).</w:t>
      </w:r>
    </w:p>
    <w:p w14:paraId="7D2E4A39" w14:textId="77777777" w:rsidR="00AC6115" w:rsidRPr="00576AF8" w:rsidRDefault="00AC6115" w:rsidP="00AC6115">
      <w:pPr>
        <w:pBdr>
          <w:bottom w:val="single" w:sz="24" w:space="3" w:color="C0C0C0"/>
        </w:pBdr>
        <w:spacing w:before="120" w:after="0"/>
        <w:ind w:left="-20" w:right="-20" w:hanging="576"/>
        <w:outlineLvl w:val="1"/>
        <w:rPr>
          <w:rFonts w:eastAsia="Arial"/>
          <w:b/>
          <w:bCs/>
          <w:i/>
          <w:iCs/>
          <w:color w:val="000000"/>
          <w:sz w:val="22"/>
          <w:szCs w:val="22"/>
        </w:rPr>
      </w:pPr>
      <w:bookmarkStart w:id="1485" w:name="_Toc160991331"/>
      <w:r w:rsidRPr="00576AF8">
        <w:rPr>
          <w:rFonts w:eastAsia="Arial"/>
          <w:b/>
          <w:bCs/>
          <w:i/>
          <w:iCs/>
          <w:color w:val="000000"/>
          <w:sz w:val="22"/>
          <w:szCs w:val="22"/>
        </w:rPr>
        <w:t>Sistema de Protección Sistémica</w:t>
      </w:r>
      <w:bookmarkEnd w:id="1485"/>
    </w:p>
    <w:p w14:paraId="73E271ED"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SPS (Systemic Protection Scheme) es un sistema independiente (relés y comunicaciones dedicados), redundante que considera dos sistemas centrales uno en CENACE (redundante) y otro en CELEC (redundate), con tablas pre-rellenadas (actualizadas según sea necesario cada 6 meses por la gerencia de planificación del CENACE) que contienen diversos escenarios de inestabilidad, basados en estudios para contingencias N-2 del sistema de transmisión de 230 kV y en contingencias críticas del sistema de 500 kV. El SPS normalmente calcula las acciones de mitigación (disparo de generación y/o demanda); de tal forma que, de presentarse una contingencia, envía los comandos a los relés de las subestaciones de mitigación. El ciclo completo (cálculos, definición de estrategias, envío de comandos, ejecución de comandos en instalaciones de campo, recepción de información en sistemas centrales) está dentro de los 200 ms. Actualmente utiliza un enlace ICCP con el SCADA/EMS para proporcionar a los operadores la información relevante de este sistema en las consolas del SCADA/EMS. Las variables SPS medidas y calculadas se almacenan en el historiador del SPS.</w:t>
      </w:r>
    </w:p>
    <w:p w14:paraId="51398FCD" w14:textId="77777777" w:rsidR="00AC6115" w:rsidRPr="00576AF8" w:rsidRDefault="00AC6115" w:rsidP="00AC6115">
      <w:pPr>
        <w:spacing w:after="0"/>
        <w:ind w:left="-20" w:right="-20"/>
        <w:rPr>
          <w:rFonts w:eastAsia="Arial"/>
          <w:color w:val="000000"/>
          <w:sz w:val="22"/>
          <w:szCs w:val="22"/>
        </w:rPr>
      </w:pPr>
      <w:r w:rsidRPr="00576AF8">
        <w:rPr>
          <w:rFonts w:eastAsia="Arial"/>
          <w:color w:val="000000"/>
          <w:sz w:val="22"/>
          <w:szCs w:val="22"/>
        </w:rPr>
        <w:t>El SPS usa el protocolo IEC 61850 y los canales de comunicación son dedicados y redundantes con todas las subestaciones, para asegurar los tiempos requeridos para la operación de este sistema, usando la red de fibra óptica (SDH) de CELEC.</w:t>
      </w:r>
    </w:p>
    <w:p w14:paraId="284E8B4F" w14:textId="77777777" w:rsidR="00AC6115" w:rsidRPr="00576AF8" w:rsidRDefault="00AC6115" w:rsidP="00AC6115">
      <w:pPr>
        <w:rPr>
          <w:rFonts w:eastAsia="Arial"/>
          <w:sz w:val="22"/>
          <w:szCs w:val="22"/>
        </w:rPr>
      </w:pPr>
    </w:p>
    <w:p w14:paraId="68431563" w14:textId="77777777" w:rsidR="00AC6115" w:rsidRPr="00576AF8" w:rsidRDefault="00AC6115" w:rsidP="00AC6115">
      <w:pPr>
        <w:numPr>
          <w:ilvl w:val="12"/>
          <w:numId w:val="0"/>
        </w:numPr>
        <w:suppressAutoHyphens w:val="0"/>
        <w:ind w:left="720" w:hanging="720"/>
        <w:rPr>
          <w:b/>
          <w:sz w:val="22"/>
          <w:szCs w:val="22"/>
        </w:rPr>
      </w:pPr>
      <w:bookmarkStart w:id="1486" w:name="_Toc483815677"/>
      <w:bookmarkStart w:id="1487" w:name="_Toc488947816"/>
      <w:r w:rsidRPr="00576AF8">
        <w:rPr>
          <w:b/>
          <w:sz w:val="22"/>
          <w:szCs w:val="22"/>
        </w:rPr>
        <w:t>0.5</w:t>
      </w:r>
      <w:r w:rsidRPr="00576AF8">
        <w:rPr>
          <w:b/>
          <w:sz w:val="22"/>
          <w:szCs w:val="22"/>
        </w:rPr>
        <w:tab/>
        <w:t xml:space="preserve">Instalaciones para transferencia de conocimientos disponibles para respaldar la implementación del </w:t>
      </w:r>
      <w:bookmarkEnd w:id="1486"/>
      <w:bookmarkEnd w:id="1487"/>
      <w:r w:rsidRPr="00576AF8">
        <w:rPr>
          <w:b/>
          <w:sz w:val="22"/>
          <w:szCs w:val="22"/>
        </w:rPr>
        <w:t>Sistema SCADA/EMS</w:t>
      </w:r>
    </w:p>
    <w:p w14:paraId="70985FF0" w14:textId="77777777" w:rsidR="00AC6115" w:rsidRPr="00576AF8" w:rsidRDefault="00AC6115" w:rsidP="00AC6115">
      <w:pPr>
        <w:numPr>
          <w:ilvl w:val="12"/>
          <w:numId w:val="0"/>
        </w:numPr>
        <w:suppressAutoHyphens w:val="0"/>
        <w:ind w:left="720" w:hanging="12"/>
        <w:rPr>
          <w:sz w:val="22"/>
          <w:szCs w:val="22"/>
        </w:rPr>
      </w:pPr>
      <w:bookmarkStart w:id="1488" w:name="_Toc483815678"/>
      <w:bookmarkStart w:id="1489" w:name="_Toc488947817"/>
      <w:r w:rsidRPr="00576AF8">
        <w:rPr>
          <w:sz w:val="22"/>
          <w:szCs w:val="22"/>
        </w:rPr>
        <w:t>El CENACE dispone de un Auditorio con capacidad de 50 personas y equipado con pantallas de proyección, sillas, micrófono. Adicionalmente, existen 2 salas de reuniones en la Gerencia Nacional de Desarrollo Técnico y en la Gerencia Nacional de Operaciones; así como, la sala del Simulador de Entrenamiento de Operadores OTS.</w:t>
      </w:r>
    </w:p>
    <w:p w14:paraId="20A56663" w14:textId="77777777" w:rsidR="00AC6115" w:rsidRPr="00576AF8" w:rsidRDefault="00AC6115" w:rsidP="00AC6115">
      <w:pPr>
        <w:numPr>
          <w:ilvl w:val="12"/>
          <w:numId w:val="0"/>
        </w:numPr>
        <w:suppressAutoHyphens w:val="0"/>
        <w:ind w:left="720" w:hanging="720"/>
        <w:rPr>
          <w:b/>
          <w:sz w:val="22"/>
          <w:szCs w:val="22"/>
        </w:rPr>
      </w:pPr>
      <w:r w:rsidRPr="00576AF8">
        <w:rPr>
          <w:b/>
          <w:sz w:val="22"/>
          <w:szCs w:val="22"/>
        </w:rPr>
        <w:t>0.6</w:t>
      </w:r>
      <w:r w:rsidRPr="00576AF8">
        <w:rPr>
          <w:b/>
          <w:sz w:val="22"/>
          <w:szCs w:val="22"/>
        </w:rPr>
        <w:tab/>
        <w:t xml:space="preserve">Planos del sitio e información del sitio para el </w:t>
      </w:r>
      <w:bookmarkEnd w:id="1488"/>
      <w:bookmarkEnd w:id="1489"/>
      <w:r w:rsidRPr="00576AF8">
        <w:rPr>
          <w:b/>
          <w:sz w:val="22"/>
          <w:szCs w:val="22"/>
        </w:rPr>
        <w:t>Sistema SCADA/EMS</w:t>
      </w:r>
    </w:p>
    <w:p w14:paraId="0455A289" w14:textId="77777777" w:rsidR="00AC6115" w:rsidRPr="00576AF8" w:rsidRDefault="00AC6115" w:rsidP="00AC6115">
      <w:pPr>
        <w:ind w:left="720"/>
        <w:rPr>
          <w:sz w:val="22"/>
          <w:szCs w:val="22"/>
        </w:rPr>
      </w:pPr>
      <w:r w:rsidRPr="00576AF8">
        <w:rPr>
          <w:sz w:val="22"/>
          <w:szCs w:val="22"/>
        </w:rPr>
        <w:t xml:space="preserve">El </w:t>
      </w:r>
      <w:r w:rsidR="00593894" w:rsidRPr="00576AF8">
        <w:rPr>
          <w:sz w:val="22"/>
          <w:szCs w:val="22"/>
        </w:rPr>
        <w:t>Comprador</w:t>
      </w:r>
      <w:r w:rsidRPr="00576AF8">
        <w:rPr>
          <w:sz w:val="22"/>
          <w:szCs w:val="22"/>
        </w:rPr>
        <w:t xml:space="preserve"> recibirá el Sistema SCADA/EMS en la Sede de CENACE ubicado en la siguiente dirección:</w:t>
      </w:r>
    </w:p>
    <w:p w14:paraId="64490895" w14:textId="77777777" w:rsidR="00AC6115" w:rsidRPr="00576AF8" w:rsidRDefault="00AC6115" w:rsidP="00AC6115">
      <w:pPr>
        <w:ind w:left="720"/>
        <w:rPr>
          <w:sz w:val="22"/>
          <w:szCs w:val="22"/>
        </w:rPr>
      </w:pPr>
      <w:r w:rsidRPr="00576AF8">
        <w:rPr>
          <w:sz w:val="22"/>
          <w:szCs w:val="22"/>
        </w:rPr>
        <w:lastRenderedPageBreak/>
        <w:t>País: Ecuador</w:t>
      </w:r>
    </w:p>
    <w:p w14:paraId="60DB196A" w14:textId="77777777" w:rsidR="00AC6115" w:rsidRPr="00576AF8" w:rsidRDefault="00AC6115" w:rsidP="00AC6115">
      <w:pPr>
        <w:ind w:left="720"/>
        <w:rPr>
          <w:sz w:val="22"/>
          <w:szCs w:val="22"/>
        </w:rPr>
      </w:pPr>
      <w:r w:rsidRPr="00576AF8">
        <w:rPr>
          <w:sz w:val="22"/>
          <w:szCs w:val="22"/>
        </w:rPr>
        <w:t>Provincia: Pichincha</w:t>
      </w:r>
    </w:p>
    <w:p w14:paraId="506AD6D1" w14:textId="77777777" w:rsidR="00AC6115" w:rsidRPr="00576AF8" w:rsidRDefault="00AC6115" w:rsidP="00AC6115">
      <w:pPr>
        <w:ind w:left="720"/>
        <w:rPr>
          <w:sz w:val="22"/>
          <w:szCs w:val="22"/>
        </w:rPr>
      </w:pPr>
      <w:r w:rsidRPr="00576AF8">
        <w:rPr>
          <w:sz w:val="22"/>
          <w:szCs w:val="22"/>
        </w:rPr>
        <w:t xml:space="preserve">Cantón: Mejía </w:t>
      </w:r>
    </w:p>
    <w:p w14:paraId="2DBFEB91" w14:textId="77777777" w:rsidR="00AC6115" w:rsidRPr="00576AF8" w:rsidRDefault="00AC6115" w:rsidP="00AC6115">
      <w:pPr>
        <w:ind w:left="720"/>
        <w:rPr>
          <w:sz w:val="22"/>
          <w:szCs w:val="22"/>
        </w:rPr>
      </w:pPr>
      <w:r w:rsidRPr="00576AF8">
        <w:rPr>
          <w:sz w:val="22"/>
          <w:szCs w:val="22"/>
        </w:rPr>
        <w:t>Parroquia: Cutuglahua</w:t>
      </w:r>
    </w:p>
    <w:p w14:paraId="36BCD2C6" w14:textId="77777777" w:rsidR="00AC6115" w:rsidRPr="00576AF8" w:rsidRDefault="00AC6115" w:rsidP="00AC6115">
      <w:pPr>
        <w:ind w:left="720"/>
        <w:rPr>
          <w:sz w:val="22"/>
          <w:szCs w:val="22"/>
        </w:rPr>
      </w:pPr>
      <w:r w:rsidRPr="00576AF8">
        <w:rPr>
          <w:sz w:val="22"/>
          <w:szCs w:val="22"/>
        </w:rPr>
        <w:t>Dirección: Av. Atacazo y Vía Colectora Quito – Tambillo E28A – km. 0</w:t>
      </w:r>
    </w:p>
    <w:p w14:paraId="04EEB925" w14:textId="77777777" w:rsidR="00D107EC" w:rsidRPr="00576AF8" w:rsidRDefault="00D107EC" w:rsidP="00A20832">
      <w:pPr>
        <w:suppressAutoHyphens w:val="0"/>
        <w:spacing w:after="0"/>
        <w:jc w:val="left"/>
      </w:pPr>
    </w:p>
    <w:p w14:paraId="5541714B" w14:textId="77777777" w:rsidR="001229AA" w:rsidRPr="00576AF8" w:rsidRDefault="001229AA" w:rsidP="00A20832">
      <w:pPr>
        <w:suppressAutoHyphens w:val="0"/>
        <w:spacing w:after="0"/>
        <w:jc w:val="left"/>
      </w:pPr>
    </w:p>
    <w:p w14:paraId="4AA43492" w14:textId="77777777" w:rsidR="001229AA" w:rsidRPr="00576AF8" w:rsidRDefault="001229AA" w:rsidP="001229AA">
      <w:pPr>
        <w:ind w:left="720"/>
        <w:rPr>
          <w:b/>
          <w:sz w:val="22"/>
          <w:szCs w:val="22"/>
        </w:rPr>
      </w:pPr>
      <w:r w:rsidRPr="00576AF8">
        <w:rPr>
          <w:b/>
          <w:sz w:val="22"/>
          <w:szCs w:val="22"/>
        </w:rPr>
        <w:t>ANEXOS</w:t>
      </w:r>
    </w:p>
    <w:p w14:paraId="18819537" w14:textId="77777777" w:rsidR="001229AA" w:rsidRPr="00576AF8" w:rsidRDefault="001229AA" w:rsidP="001229AA">
      <w:pPr>
        <w:suppressAutoHyphens w:val="0"/>
        <w:spacing w:after="0"/>
        <w:jc w:val="left"/>
      </w:pPr>
      <w:r w:rsidRPr="00576AF8">
        <w:tab/>
        <w:t>Los siguientes Anexos forman parte de las Especificaciones Técnicas:</w:t>
      </w:r>
    </w:p>
    <w:p w14:paraId="3E462018" w14:textId="77777777" w:rsidR="001229AA" w:rsidRPr="00576AF8" w:rsidRDefault="001229AA" w:rsidP="001229AA">
      <w:pPr>
        <w:pStyle w:val="Prrafodelista"/>
        <w:numPr>
          <w:ilvl w:val="0"/>
          <w:numId w:val="441"/>
        </w:numPr>
        <w:suppressAutoHyphens w:val="0"/>
        <w:spacing w:after="0"/>
        <w:jc w:val="left"/>
      </w:pPr>
      <w:r w:rsidRPr="00576AF8">
        <w:t>Anexo 1 Declaración de Interoperabilidad de Protocolos y Perfiles</w:t>
      </w:r>
    </w:p>
    <w:p w14:paraId="234A0CA4" w14:textId="77777777" w:rsidR="001229AA" w:rsidRPr="00576AF8" w:rsidRDefault="001229AA" w:rsidP="001229AA">
      <w:pPr>
        <w:pStyle w:val="Prrafodelista"/>
        <w:numPr>
          <w:ilvl w:val="0"/>
          <w:numId w:val="441"/>
        </w:numPr>
        <w:suppressAutoHyphens w:val="0"/>
        <w:spacing w:after="0"/>
        <w:jc w:val="left"/>
      </w:pPr>
      <w:r w:rsidRPr="00576AF8">
        <w:t>Anexo 2 Inventario de equipos remotos de adquisición de datos</w:t>
      </w:r>
    </w:p>
    <w:p w14:paraId="6AD3B3D6" w14:textId="77777777" w:rsidR="001229AA" w:rsidRPr="00576AF8" w:rsidRDefault="001229AA" w:rsidP="001229AA">
      <w:pPr>
        <w:pStyle w:val="Prrafodelista"/>
        <w:numPr>
          <w:ilvl w:val="0"/>
          <w:numId w:val="441"/>
        </w:numPr>
        <w:suppressAutoHyphens w:val="0"/>
        <w:spacing w:after="0"/>
        <w:jc w:val="left"/>
      </w:pPr>
      <w:r w:rsidRPr="00576AF8">
        <w:rPr>
          <w:lang w:val="pt-BR"/>
        </w:rPr>
        <w:t>Anexo 3 Planos del centro de control</w:t>
      </w:r>
    </w:p>
    <w:p w14:paraId="56A704CA" w14:textId="77777777" w:rsidR="001229AA" w:rsidRPr="00576AF8" w:rsidRDefault="001229AA" w:rsidP="001229AA">
      <w:pPr>
        <w:pStyle w:val="Prrafodelista"/>
        <w:numPr>
          <w:ilvl w:val="0"/>
          <w:numId w:val="441"/>
        </w:numPr>
        <w:suppressAutoHyphens w:val="0"/>
        <w:spacing w:after="0"/>
        <w:jc w:val="left"/>
      </w:pPr>
      <w:r w:rsidRPr="00576AF8">
        <w:rPr>
          <w:lang w:val="pt-BR"/>
        </w:rPr>
        <w:t>Anexo 4 Características de las mesas de la Sala de Control</w:t>
      </w:r>
    </w:p>
    <w:p w14:paraId="3F18C63D" w14:textId="70C7602A" w:rsidR="001229AA" w:rsidRPr="00782B36" w:rsidRDefault="001229AA" w:rsidP="00A20832">
      <w:pPr>
        <w:pStyle w:val="Prrafodelista"/>
        <w:numPr>
          <w:ilvl w:val="0"/>
          <w:numId w:val="441"/>
        </w:numPr>
        <w:suppressAutoHyphens w:val="0"/>
        <w:spacing w:after="0"/>
        <w:jc w:val="left"/>
      </w:pPr>
      <w:r w:rsidRPr="00576AF8">
        <w:rPr>
          <w:lang w:val="pt-BR"/>
        </w:rPr>
        <w:t>Anexo 5 Programa de Ejecución</w:t>
      </w:r>
    </w:p>
    <w:p w14:paraId="2BC12205" w14:textId="57248F87" w:rsidR="00782B36" w:rsidRPr="00782B36" w:rsidRDefault="00782B36" w:rsidP="00A20832">
      <w:pPr>
        <w:pStyle w:val="Prrafodelista"/>
        <w:numPr>
          <w:ilvl w:val="0"/>
          <w:numId w:val="441"/>
        </w:numPr>
        <w:suppressAutoHyphens w:val="0"/>
        <w:spacing w:after="0"/>
        <w:jc w:val="left"/>
      </w:pPr>
      <w:r>
        <w:t>Lista de Comprobación Técnica (Tabla de cumplimiento)</w:t>
      </w:r>
      <w:bookmarkStart w:id="1490" w:name="_GoBack"/>
      <w:bookmarkEnd w:id="1490"/>
    </w:p>
    <w:p w14:paraId="3F2D7C10" w14:textId="77777777" w:rsidR="00782B36" w:rsidRDefault="00782B36" w:rsidP="00782B36">
      <w:pPr>
        <w:suppressAutoHyphens w:val="0"/>
        <w:spacing w:after="0"/>
        <w:jc w:val="left"/>
      </w:pPr>
    </w:p>
    <w:p w14:paraId="652CA445" w14:textId="77777777" w:rsidR="00782B36" w:rsidRDefault="00782B36" w:rsidP="00782B36">
      <w:pPr>
        <w:suppressAutoHyphens w:val="0"/>
        <w:spacing w:after="0"/>
        <w:jc w:val="left"/>
      </w:pPr>
    </w:p>
    <w:p w14:paraId="33084809" w14:textId="07841286" w:rsidR="00782B36" w:rsidRPr="00576AF8" w:rsidRDefault="00782B36" w:rsidP="00782B36">
      <w:pPr>
        <w:suppressAutoHyphens w:val="0"/>
        <w:spacing w:after="0"/>
        <w:jc w:val="left"/>
        <w:sectPr w:rsidR="00782B36" w:rsidRPr="00576AF8" w:rsidSect="000968D2">
          <w:headerReference w:type="default" r:id="rId71"/>
          <w:footnotePr>
            <w:numRestart w:val="eachPage"/>
          </w:footnotePr>
          <w:endnotePr>
            <w:numRestart w:val="eachSect"/>
          </w:endnotePr>
          <w:type w:val="oddPage"/>
          <w:pgSz w:w="12240" w:h="15840" w:code="1"/>
          <w:pgMar w:top="1440" w:right="1440" w:bottom="1440" w:left="1440" w:header="720" w:footer="432" w:gutter="0"/>
          <w:cols w:space="720"/>
          <w:formProt w:val="0"/>
        </w:sectPr>
      </w:pPr>
      <w:r>
        <w:t xml:space="preserve">Los Anexos descritos y demás información complementaria se pueden encontrar en el siguiente link:  </w:t>
      </w:r>
      <w:r w:rsidRPr="00782B36">
        <w:t>https://drive.google.com/drive/folders/1_JQI1NUo-L4TOybiP7F8y_sCmwibc5h1?usp=drive_link</w:t>
      </w:r>
    </w:p>
    <w:p w14:paraId="5FC05590" w14:textId="77777777" w:rsidR="00A20832" w:rsidRPr="00576AF8" w:rsidRDefault="00A20832" w:rsidP="007D2846">
      <w:pPr>
        <w:pStyle w:val="Head0"/>
        <w:spacing w:before="4320"/>
        <w:rPr>
          <w:rFonts w:ascii="Times New Roman" w:hAnsi="Times New Roman"/>
        </w:rPr>
      </w:pPr>
      <w:bookmarkStart w:id="1491" w:name="_Toc521498739"/>
      <w:bookmarkStart w:id="1492" w:name="_Toc215902363"/>
      <w:bookmarkEnd w:id="1464"/>
      <w:bookmarkEnd w:id="1465"/>
      <w:r w:rsidRPr="00576AF8">
        <w:rPr>
          <w:rFonts w:ascii="Times New Roman" w:hAnsi="Times New Roman"/>
        </w:rPr>
        <w:lastRenderedPageBreak/>
        <w:t xml:space="preserve">PARTE 3: Condiciones </w:t>
      </w:r>
      <w:r w:rsidR="00B17F30" w:rsidRPr="00576AF8">
        <w:rPr>
          <w:rFonts w:ascii="Times New Roman" w:hAnsi="Times New Roman"/>
        </w:rPr>
        <w:t>c</w:t>
      </w:r>
      <w:r w:rsidRPr="00576AF8">
        <w:rPr>
          <w:rFonts w:ascii="Times New Roman" w:hAnsi="Times New Roman"/>
        </w:rPr>
        <w:t>ontractuales y Formularios del Contrato</w:t>
      </w:r>
    </w:p>
    <w:p w14:paraId="709F5C69" w14:textId="77777777" w:rsidR="00A20832" w:rsidRPr="00576AF8" w:rsidRDefault="00A20832" w:rsidP="00A20832"/>
    <w:p w14:paraId="2CA925F3" w14:textId="77777777" w:rsidR="003749BF" w:rsidRPr="00576AF8" w:rsidRDefault="003749BF" w:rsidP="00A20832">
      <w:pPr>
        <w:sectPr w:rsidR="003749BF" w:rsidRPr="00576AF8" w:rsidSect="000968D2">
          <w:headerReference w:type="default" r:id="rId72"/>
          <w:footnotePr>
            <w:numRestart w:val="eachPage"/>
          </w:footnotePr>
          <w:endnotePr>
            <w:numRestart w:val="eachSect"/>
          </w:endnotePr>
          <w:pgSz w:w="12240" w:h="15840" w:code="1"/>
          <w:pgMar w:top="1440" w:right="1440" w:bottom="1440" w:left="1440" w:header="720" w:footer="432" w:gutter="0"/>
          <w:cols w:space="720"/>
          <w:formProt w:val="0"/>
        </w:sectPr>
      </w:pPr>
    </w:p>
    <w:p w14:paraId="7021B437" w14:textId="77777777" w:rsidR="00A20832" w:rsidRPr="00576AF8" w:rsidRDefault="00A20832" w:rsidP="007D2846">
      <w:pPr>
        <w:spacing w:before="120"/>
        <w:jc w:val="center"/>
      </w:pPr>
    </w:p>
    <w:p w14:paraId="580B931F" w14:textId="6891B65C" w:rsidR="00A20832" w:rsidRPr="00576AF8" w:rsidRDefault="00A20832" w:rsidP="003B1CB5">
      <w:pPr>
        <w:pStyle w:val="TDC11"/>
      </w:pPr>
      <w:bookmarkStart w:id="1493" w:name="_Toc445567388"/>
      <w:bookmarkStart w:id="1494" w:name="_Toc454907535"/>
      <w:bookmarkStart w:id="1495" w:name="_Toc28242433"/>
      <w:r w:rsidRPr="00576AF8">
        <w:t>Sección VII</w:t>
      </w:r>
      <w:r w:rsidR="001F46ED" w:rsidRPr="00576AF8">
        <w:t xml:space="preserve">. </w:t>
      </w:r>
      <w:r w:rsidRPr="00576AF8">
        <w:t>Condiciones Generales del Contrato</w:t>
      </w:r>
      <w:bookmarkEnd w:id="1491"/>
      <w:bookmarkEnd w:id="1492"/>
      <w:bookmarkEnd w:id="1493"/>
      <w:bookmarkEnd w:id="1494"/>
      <w:bookmarkEnd w:id="1495"/>
      <w:r w:rsidRPr="00576AF8">
        <w:t xml:space="preserve"> </w:t>
      </w:r>
    </w:p>
    <w:p w14:paraId="4F17F0E4" w14:textId="77777777" w:rsidR="00A20832" w:rsidRPr="00576AF8" w:rsidRDefault="00A20832" w:rsidP="00A20832">
      <w:pPr>
        <w:jc w:val="left"/>
        <w:rPr>
          <w:sz w:val="22"/>
        </w:rPr>
      </w:pPr>
    </w:p>
    <w:p w14:paraId="6481327E" w14:textId="77777777" w:rsidR="00A20832" w:rsidRPr="00576AF8" w:rsidRDefault="00A20832" w:rsidP="00A20832">
      <w:pPr>
        <w:pStyle w:val="Ttulo2"/>
        <w:rPr>
          <w:rFonts w:ascii="Times New Roman" w:hAnsi="Times New Roman"/>
        </w:rPr>
      </w:pPr>
      <w:r w:rsidRPr="00576AF8">
        <w:rPr>
          <w:rFonts w:ascii="Times New Roman" w:hAnsi="Times New Roman"/>
        </w:rPr>
        <w:br w:type="page"/>
      </w:r>
      <w:bookmarkStart w:id="1496" w:name="_Hlt490858395"/>
      <w:bookmarkStart w:id="1497" w:name="_Ref324794501"/>
      <w:bookmarkStart w:id="1498" w:name="_Toc352140248"/>
      <w:bookmarkStart w:id="1499" w:name="_Toc521498741"/>
      <w:bookmarkStart w:id="1500" w:name="_Toc215902365"/>
      <w:bookmarkStart w:id="1501" w:name="_Toc445567389"/>
      <w:bookmarkEnd w:id="1496"/>
      <w:r w:rsidRPr="00576AF8">
        <w:rPr>
          <w:rFonts w:ascii="Times New Roman" w:hAnsi="Times New Roman"/>
        </w:rPr>
        <w:lastRenderedPageBreak/>
        <w:t>Índice</w:t>
      </w:r>
      <w:bookmarkEnd w:id="1497"/>
      <w:bookmarkEnd w:id="1498"/>
      <w:bookmarkEnd w:id="1499"/>
      <w:bookmarkEnd w:id="1500"/>
      <w:bookmarkEnd w:id="1501"/>
    </w:p>
    <w:p w14:paraId="4B7AF98B" w14:textId="77777777" w:rsidR="006803FC" w:rsidRPr="00576AF8" w:rsidRDefault="00F24849">
      <w:pPr>
        <w:pStyle w:val="TDC1"/>
        <w:rPr>
          <w:rFonts w:ascii="Times New Roman" w:eastAsiaTheme="minorEastAsia" w:hAnsi="Times New Roman"/>
          <w:b w:val="0"/>
          <w:noProof/>
          <w:sz w:val="22"/>
          <w:szCs w:val="22"/>
          <w:lang w:eastAsia="zh-CN" w:bidi="ar-SA"/>
        </w:rPr>
      </w:pPr>
      <w:r w:rsidRPr="00576AF8">
        <w:rPr>
          <w:rFonts w:ascii="Times New Roman" w:hAnsi="Times New Roman"/>
        </w:rPr>
        <w:fldChar w:fldCharType="begin"/>
      </w:r>
      <w:r w:rsidRPr="00576AF8">
        <w:rPr>
          <w:rFonts w:ascii="Times New Roman" w:hAnsi="Times New Roman"/>
        </w:rPr>
        <w:instrText xml:space="preserve"> TOC \h \z \t "Head 6.1;1;Head 6.2;2" </w:instrText>
      </w:r>
      <w:r w:rsidRPr="00576AF8">
        <w:rPr>
          <w:rFonts w:ascii="Times New Roman" w:hAnsi="Times New Roman"/>
        </w:rPr>
        <w:fldChar w:fldCharType="separate"/>
      </w:r>
      <w:hyperlink w:anchor="_Toc488959016" w:history="1">
        <w:r w:rsidR="006803FC" w:rsidRPr="00576AF8">
          <w:rPr>
            <w:rStyle w:val="Hipervnculo"/>
            <w:rFonts w:ascii="Times New Roman" w:hAnsi="Times New Roman"/>
            <w:noProof/>
          </w:rPr>
          <w:t>A.  Contrato e interpretación</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_Toc488959016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165</w:t>
        </w:r>
        <w:r w:rsidR="006803FC" w:rsidRPr="00576AF8">
          <w:rPr>
            <w:rFonts w:ascii="Times New Roman" w:hAnsi="Times New Roman"/>
            <w:noProof/>
            <w:webHidden/>
          </w:rPr>
          <w:fldChar w:fldCharType="end"/>
        </w:r>
      </w:hyperlink>
    </w:p>
    <w:p w14:paraId="47C4274E" w14:textId="77777777" w:rsidR="006803FC" w:rsidRPr="00576AF8" w:rsidRDefault="006334E7">
      <w:pPr>
        <w:pStyle w:val="TDC2"/>
        <w:rPr>
          <w:rFonts w:eastAsiaTheme="minorEastAsia"/>
          <w:sz w:val="22"/>
          <w:szCs w:val="22"/>
          <w:lang w:eastAsia="zh-CN" w:bidi="ar-SA"/>
        </w:rPr>
      </w:pPr>
      <w:hyperlink w:anchor="_Toc488959017" w:history="1">
        <w:r w:rsidR="006803FC" w:rsidRPr="00576AF8">
          <w:rPr>
            <w:rStyle w:val="Hipervnculo"/>
          </w:rPr>
          <w:t>1.</w:t>
        </w:r>
        <w:r w:rsidR="006803FC" w:rsidRPr="00576AF8">
          <w:rPr>
            <w:rFonts w:eastAsiaTheme="minorEastAsia"/>
            <w:sz w:val="22"/>
            <w:szCs w:val="22"/>
            <w:lang w:eastAsia="zh-CN" w:bidi="ar-SA"/>
          </w:rPr>
          <w:tab/>
        </w:r>
        <w:r w:rsidR="006803FC" w:rsidRPr="00576AF8">
          <w:rPr>
            <w:rStyle w:val="Hipervnculo"/>
          </w:rPr>
          <w:t>Definiciones</w:t>
        </w:r>
        <w:r w:rsidR="006803FC" w:rsidRPr="00576AF8">
          <w:rPr>
            <w:webHidden/>
          </w:rPr>
          <w:tab/>
        </w:r>
        <w:r w:rsidR="006803FC" w:rsidRPr="00576AF8">
          <w:rPr>
            <w:webHidden/>
          </w:rPr>
          <w:fldChar w:fldCharType="begin"/>
        </w:r>
        <w:r w:rsidR="006803FC" w:rsidRPr="00576AF8">
          <w:rPr>
            <w:webHidden/>
          </w:rPr>
          <w:instrText xml:space="preserve"> PAGEREF _Toc488959017 \h </w:instrText>
        </w:r>
        <w:r w:rsidR="006803FC" w:rsidRPr="00576AF8">
          <w:rPr>
            <w:webHidden/>
          </w:rPr>
        </w:r>
        <w:r w:rsidR="006803FC" w:rsidRPr="00576AF8">
          <w:rPr>
            <w:webHidden/>
          </w:rPr>
          <w:fldChar w:fldCharType="separate"/>
        </w:r>
        <w:r w:rsidR="000071E3" w:rsidRPr="00576AF8">
          <w:rPr>
            <w:webHidden/>
          </w:rPr>
          <w:t>165</w:t>
        </w:r>
        <w:r w:rsidR="006803FC" w:rsidRPr="00576AF8">
          <w:rPr>
            <w:webHidden/>
          </w:rPr>
          <w:fldChar w:fldCharType="end"/>
        </w:r>
      </w:hyperlink>
    </w:p>
    <w:p w14:paraId="4B24C50F" w14:textId="77777777" w:rsidR="006803FC" w:rsidRPr="00576AF8" w:rsidRDefault="006334E7">
      <w:pPr>
        <w:pStyle w:val="TDC2"/>
        <w:rPr>
          <w:rFonts w:eastAsiaTheme="minorEastAsia"/>
          <w:sz w:val="22"/>
          <w:szCs w:val="22"/>
          <w:lang w:eastAsia="zh-CN" w:bidi="ar-SA"/>
        </w:rPr>
      </w:pPr>
      <w:hyperlink w:anchor="_Toc488959018" w:history="1">
        <w:r w:rsidR="006803FC" w:rsidRPr="00576AF8">
          <w:rPr>
            <w:rStyle w:val="Hipervnculo"/>
          </w:rPr>
          <w:t>2.</w:t>
        </w:r>
        <w:r w:rsidR="006803FC" w:rsidRPr="00576AF8">
          <w:rPr>
            <w:rFonts w:eastAsiaTheme="minorEastAsia"/>
            <w:sz w:val="22"/>
            <w:szCs w:val="22"/>
            <w:lang w:eastAsia="zh-CN" w:bidi="ar-SA"/>
          </w:rPr>
          <w:tab/>
        </w:r>
        <w:r w:rsidR="006803FC" w:rsidRPr="00576AF8">
          <w:rPr>
            <w:rStyle w:val="Hipervnculo"/>
          </w:rPr>
          <w:t>Documentos del Contrato</w:t>
        </w:r>
        <w:r w:rsidR="006803FC" w:rsidRPr="00576AF8">
          <w:rPr>
            <w:webHidden/>
          </w:rPr>
          <w:tab/>
        </w:r>
        <w:r w:rsidR="006803FC" w:rsidRPr="00576AF8">
          <w:rPr>
            <w:webHidden/>
          </w:rPr>
          <w:fldChar w:fldCharType="begin"/>
        </w:r>
        <w:r w:rsidR="006803FC" w:rsidRPr="00576AF8">
          <w:rPr>
            <w:webHidden/>
          </w:rPr>
          <w:instrText xml:space="preserve"> PAGEREF _Toc488959018 \h </w:instrText>
        </w:r>
        <w:r w:rsidR="006803FC" w:rsidRPr="00576AF8">
          <w:rPr>
            <w:webHidden/>
          </w:rPr>
        </w:r>
        <w:r w:rsidR="006803FC" w:rsidRPr="00576AF8">
          <w:rPr>
            <w:webHidden/>
          </w:rPr>
          <w:fldChar w:fldCharType="separate"/>
        </w:r>
        <w:r w:rsidR="000071E3" w:rsidRPr="00576AF8">
          <w:rPr>
            <w:webHidden/>
          </w:rPr>
          <w:t>175</w:t>
        </w:r>
        <w:r w:rsidR="006803FC" w:rsidRPr="00576AF8">
          <w:rPr>
            <w:webHidden/>
          </w:rPr>
          <w:fldChar w:fldCharType="end"/>
        </w:r>
      </w:hyperlink>
    </w:p>
    <w:p w14:paraId="5CA8B59A" w14:textId="77777777" w:rsidR="006803FC" w:rsidRPr="00576AF8" w:rsidRDefault="006334E7">
      <w:pPr>
        <w:pStyle w:val="TDC2"/>
        <w:rPr>
          <w:rFonts w:eastAsiaTheme="minorEastAsia"/>
          <w:sz w:val="22"/>
          <w:szCs w:val="22"/>
          <w:lang w:eastAsia="zh-CN" w:bidi="ar-SA"/>
        </w:rPr>
      </w:pPr>
      <w:hyperlink w:anchor="_Toc488959019" w:history="1">
        <w:r w:rsidR="006803FC" w:rsidRPr="00576AF8">
          <w:rPr>
            <w:rStyle w:val="Hipervnculo"/>
          </w:rPr>
          <w:t>3.</w:t>
        </w:r>
        <w:r w:rsidR="006803FC" w:rsidRPr="00576AF8">
          <w:rPr>
            <w:rFonts w:eastAsiaTheme="minorEastAsia"/>
            <w:sz w:val="22"/>
            <w:szCs w:val="22"/>
            <w:lang w:eastAsia="zh-CN" w:bidi="ar-SA"/>
          </w:rPr>
          <w:tab/>
        </w:r>
        <w:r w:rsidR="006803FC" w:rsidRPr="00576AF8">
          <w:rPr>
            <w:rStyle w:val="Hipervnculo"/>
          </w:rPr>
          <w:t>Interpretación</w:t>
        </w:r>
        <w:r w:rsidR="006803FC" w:rsidRPr="00576AF8">
          <w:rPr>
            <w:webHidden/>
          </w:rPr>
          <w:tab/>
        </w:r>
        <w:r w:rsidR="006803FC" w:rsidRPr="00576AF8">
          <w:rPr>
            <w:webHidden/>
          </w:rPr>
          <w:fldChar w:fldCharType="begin"/>
        </w:r>
        <w:r w:rsidR="006803FC" w:rsidRPr="00576AF8">
          <w:rPr>
            <w:webHidden/>
          </w:rPr>
          <w:instrText xml:space="preserve"> PAGEREF _Toc488959019 \h </w:instrText>
        </w:r>
        <w:r w:rsidR="006803FC" w:rsidRPr="00576AF8">
          <w:rPr>
            <w:webHidden/>
          </w:rPr>
        </w:r>
        <w:r w:rsidR="006803FC" w:rsidRPr="00576AF8">
          <w:rPr>
            <w:webHidden/>
          </w:rPr>
          <w:fldChar w:fldCharType="separate"/>
        </w:r>
        <w:r w:rsidR="000071E3" w:rsidRPr="00576AF8">
          <w:rPr>
            <w:webHidden/>
          </w:rPr>
          <w:t>175</w:t>
        </w:r>
        <w:r w:rsidR="006803FC" w:rsidRPr="00576AF8">
          <w:rPr>
            <w:webHidden/>
          </w:rPr>
          <w:fldChar w:fldCharType="end"/>
        </w:r>
      </w:hyperlink>
    </w:p>
    <w:p w14:paraId="4F4BB707" w14:textId="77777777" w:rsidR="006803FC" w:rsidRPr="00576AF8" w:rsidRDefault="006334E7">
      <w:pPr>
        <w:pStyle w:val="TDC2"/>
        <w:rPr>
          <w:rFonts w:eastAsiaTheme="minorEastAsia"/>
          <w:sz w:val="22"/>
          <w:szCs w:val="22"/>
          <w:lang w:eastAsia="zh-CN" w:bidi="ar-SA"/>
        </w:rPr>
      </w:pPr>
      <w:hyperlink w:anchor="_Toc488959020" w:history="1">
        <w:r w:rsidR="006803FC" w:rsidRPr="00576AF8">
          <w:rPr>
            <w:rStyle w:val="Hipervnculo"/>
          </w:rPr>
          <w:t>4.</w:t>
        </w:r>
        <w:r w:rsidR="006803FC" w:rsidRPr="00576AF8">
          <w:rPr>
            <w:rFonts w:eastAsiaTheme="minorEastAsia"/>
            <w:sz w:val="22"/>
            <w:szCs w:val="22"/>
            <w:lang w:eastAsia="zh-CN" w:bidi="ar-SA"/>
          </w:rPr>
          <w:tab/>
        </w:r>
        <w:r w:rsidR="006803FC" w:rsidRPr="00576AF8">
          <w:rPr>
            <w:rStyle w:val="Hipervnculo"/>
          </w:rPr>
          <w:t>Notificaciones</w:t>
        </w:r>
        <w:r w:rsidR="006803FC" w:rsidRPr="00576AF8">
          <w:rPr>
            <w:webHidden/>
          </w:rPr>
          <w:tab/>
        </w:r>
        <w:r w:rsidR="006803FC" w:rsidRPr="00576AF8">
          <w:rPr>
            <w:webHidden/>
          </w:rPr>
          <w:fldChar w:fldCharType="begin"/>
        </w:r>
        <w:r w:rsidR="006803FC" w:rsidRPr="00576AF8">
          <w:rPr>
            <w:webHidden/>
          </w:rPr>
          <w:instrText xml:space="preserve"> PAGEREF _Toc488959020 \h </w:instrText>
        </w:r>
        <w:r w:rsidR="006803FC" w:rsidRPr="00576AF8">
          <w:rPr>
            <w:webHidden/>
          </w:rPr>
        </w:r>
        <w:r w:rsidR="006803FC" w:rsidRPr="00576AF8">
          <w:rPr>
            <w:webHidden/>
          </w:rPr>
          <w:fldChar w:fldCharType="separate"/>
        </w:r>
        <w:r w:rsidR="000071E3" w:rsidRPr="00576AF8">
          <w:rPr>
            <w:webHidden/>
          </w:rPr>
          <w:t>178</w:t>
        </w:r>
        <w:r w:rsidR="006803FC" w:rsidRPr="00576AF8">
          <w:rPr>
            <w:webHidden/>
          </w:rPr>
          <w:fldChar w:fldCharType="end"/>
        </w:r>
      </w:hyperlink>
    </w:p>
    <w:p w14:paraId="26B95878" w14:textId="77777777" w:rsidR="006803FC" w:rsidRPr="00576AF8" w:rsidRDefault="006334E7">
      <w:pPr>
        <w:pStyle w:val="TDC2"/>
        <w:rPr>
          <w:rFonts w:eastAsiaTheme="minorEastAsia"/>
          <w:sz w:val="22"/>
          <w:szCs w:val="22"/>
          <w:lang w:eastAsia="zh-CN" w:bidi="ar-SA"/>
        </w:rPr>
      </w:pPr>
      <w:hyperlink w:anchor="_Toc488959021" w:history="1">
        <w:r w:rsidR="006803FC" w:rsidRPr="00576AF8">
          <w:rPr>
            <w:rStyle w:val="Hipervnculo"/>
          </w:rPr>
          <w:t>5.</w:t>
        </w:r>
        <w:r w:rsidR="006803FC" w:rsidRPr="00576AF8">
          <w:rPr>
            <w:rFonts w:eastAsiaTheme="minorEastAsia"/>
            <w:sz w:val="22"/>
            <w:szCs w:val="22"/>
            <w:lang w:eastAsia="zh-CN" w:bidi="ar-SA"/>
          </w:rPr>
          <w:tab/>
        </w:r>
        <w:r w:rsidR="006803FC" w:rsidRPr="00576AF8">
          <w:rPr>
            <w:rStyle w:val="Hipervnculo"/>
          </w:rPr>
          <w:t>Ley aplicable</w:t>
        </w:r>
        <w:r w:rsidR="006803FC" w:rsidRPr="00576AF8">
          <w:rPr>
            <w:webHidden/>
          </w:rPr>
          <w:tab/>
        </w:r>
        <w:r w:rsidR="006803FC" w:rsidRPr="00576AF8">
          <w:rPr>
            <w:webHidden/>
          </w:rPr>
          <w:fldChar w:fldCharType="begin"/>
        </w:r>
        <w:r w:rsidR="006803FC" w:rsidRPr="00576AF8">
          <w:rPr>
            <w:webHidden/>
          </w:rPr>
          <w:instrText xml:space="preserve"> PAGEREF _Toc488959021 \h </w:instrText>
        </w:r>
        <w:r w:rsidR="006803FC" w:rsidRPr="00576AF8">
          <w:rPr>
            <w:webHidden/>
          </w:rPr>
        </w:r>
        <w:r w:rsidR="006803FC" w:rsidRPr="00576AF8">
          <w:rPr>
            <w:webHidden/>
          </w:rPr>
          <w:fldChar w:fldCharType="separate"/>
        </w:r>
        <w:r w:rsidR="000071E3" w:rsidRPr="00576AF8">
          <w:rPr>
            <w:webHidden/>
          </w:rPr>
          <w:t>180</w:t>
        </w:r>
        <w:r w:rsidR="006803FC" w:rsidRPr="00576AF8">
          <w:rPr>
            <w:webHidden/>
          </w:rPr>
          <w:fldChar w:fldCharType="end"/>
        </w:r>
      </w:hyperlink>
    </w:p>
    <w:p w14:paraId="2F83ADAA" w14:textId="77777777" w:rsidR="006803FC" w:rsidRPr="00576AF8" w:rsidRDefault="006334E7">
      <w:pPr>
        <w:pStyle w:val="TDC2"/>
        <w:rPr>
          <w:rFonts w:eastAsiaTheme="minorEastAsia"/>
          <w:sz w:val="22"/>
          <w:szCs w:val="22"/>
          <w:lang w:eastAsia="zh-CN" w:bidi="ar-SA"/>
        </w:rPr>
      </w:pPr>
      <w:hyperlink w:anchor="_Toc488959022" w:history="1">
        <w:r w:rsidR="006803FC" w:rsidRPr="00576AF8">
          <w:rPr>
            <w:rStyle w:val="Hipervnculo"/>
          </w:rPr>
          <w:t>6.</w:t>
        </w:r>
        <w:r w:rsidR="006803FC" w:rsidRPr="00576AF8">
          <w:rPr>
            <w:rFonts w:eastAsiaTheme="minorEastAsia"/>
            <w:sz w:val="22"/>
            <w:szCs w:val="22"/>
            <w:lang w:eastAsia="zh-CN" w:bidi="ar-SA"/>
          </w:rPr>
          <w:tab/>
        </w:r>
        <w:r w:rsidR="006803FC" w:rsidRPr="00576AF8">
          <w:rPr>
            <w:rStyle w:val="Hipervnculo"/>
          </w:rPr>
          <w:t>Fraude y corrupción</w:t>
        </w:r>
        <w:r w:rsidR="006803FC" w:rsidRPr="00576AF8">
          <w:rPr>
            <w:webHidden/>
          </w:rPr>
          <w:tab/>
        </w:r>
        <w:r w:rsidR="006803FC" w:rsidRPr="00576AF8">
          <w:rPr>
            <w:webHidden/>
          </w:rPr>
          <w:fldChar w:fldCharType="begin"/>
        </w:r>
        <w:r w:rsidR="006803FC" w:rsidRPr="00576AF8">
          <w:rPr>
            <w:webHidden/>
          </w:rPr>
          <w:instrText xml:space="preserve"> PAGEREF _Toc488959022 \h </w:instrText>
        </w:r>
        <w:r w:rsidR="006803FC" w:rsidRPr="00576AF8">
          <w:rPr>
            <w:webHidden/>
          </w:rPr>
        </w:r>
        <w:r w:rsidR="006803FC" w:rsidRPr="00576AF8">
          <w:rPr>
            <w:webHidden/>
          </w:rPr>
          <w:fldChar w:fldCharType="separate"/>
        </w:r>
        <w:r w:rsidR="000071E3" w:rsidRPr="00576AF8">
          <w:rPr>
            <w:webHidden/>
          </w:rPr>
          <w:t>180</w:t>
        </w:r>
        <w:r w:rsidR="006803FC" w:rsidRPr="00576AF8">
          <w:rPr>
            <w:webHidden/>
          </w:rPr>
          <w:fldChar w:fldCharType="end"/>
        </w:r>
      </w:hyperlink>
    </w:p>
    <w:p w14:paraId="69AA23D4"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23" w:history="1">
        <w:r w:rsidR="006803FC" w:rsidRPr="00576AF8">
          <w:rPr>
            <w:rStyle w:val="Hipervnculo"/>
            <w:rFonts w:ascii="Times New Roman" w:hAnsi="Times New Roman"/>
            <w:noProof/>
          </w:rPr>
          <w:t>B.  Objeto del Contrato</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_Toc488959023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180</w:t>
        </w:r>
        <w:r w:rsidR="006803FC" w:rsidRPr="00576AF8">
          <w:rPr>
            <w:rFonts w:ascii="Times New Roman" w:hAnsi="Times New Roman"/>
            <w:noProof/>
            <w:webHidden/>
          </w:rPr>
          <w:fldChar w:fldCharType="end"/>
        </w:r>
      </w:hyperlink>
    </w:p>
    <w:p w14:paraId="3F2D6A63" w14:textId="77777777" w:rsidR="006803FC" w:rsidRPr="00576AF8" w:rsidRDefault="006334E7">
      <w:pPr>
        <w:pStyle w:val="TDC2"/>
        <w:rPr>
          <w:rFonts w:eastAsiaTheme="minorEastAsia"/>
          <w:sz w:val="22"/>
          <w:szCs w:val="22"/>
          <w:lang w:eastAsia="zh-CN" w:bidi="ar-SA"/>
        </w:rPr>
      </w:pPr>
      <w:hyperlink w:anchor="_Toc488959024" w:history="1">
        <w:r w:rsidR="006803FC" w:rsidRPr="00576AF8">
          <w:rPr>
            <w:rStyle w:val="Hipervnculo"/>
          </w:rPr>
          <w:t>7.</w:t>
        </w:r>
        <w:r w:rsidR="006803FC" w:rsidRPr="00576AF8">
          <w:rPr>
            <w:rFonts w:eastAsiaTheme="minorEastAsia"/>
            <w:sz w:val="22"/>
            <w:szCs w:val="22"/>
            <w:lang w:eastAsia="zh-CN" w:bidi="ar-SA"/>
          </w:rPr>
          <w:tab/>
        </w:r>
        <w:r w:rsidR="006803FC" w:rsidRPr="00576AF8">
          <w:rPr>
            <w:rStyle w:val="Hipervnculo"/>
          </w:rPr>
          <w:t>Alcance del Sistema</w:t>
        </w:r>
        <w:r w:rsidR="006803FC" w:rsidRPr="00576AF8">
          <w:rPr>
            <w:webHidden/>
          </w:rPr>
          <w:tab/>
        </w:r>
        <w:r w:rsidR="006803FC" w:rsidRPr="00576AF8">
          <w:rPr>
            <w:webHidden/>
          </w:rPr>
          <w:fldChar w:fldCharType="begin"/>
        </w:r>
        <w:r w:rsidR="006803FC" w:rsidRPr="00576AF8">
          <w:rPr>
            <w:webHidden/>
          </w:rPr>
          <w:instrText xml:space="preserve"> PAGEREF _Toc488959024 \h </w:instrText>
        </w:r>
        <w:r w:rsidR="006803FC" w:rsidRPr="00576AF8">
          <w:rPr>
            <w:webHidden/>
          </w:rPr>
        </w:r>
        <w:r w:rsidR="006803FC" w:rsidRPr="00576AF8">
          <w:rPr>
            <w:webHidden/>
          </w:rPr>
          <w:fldChar w:fldCharType="separate"/>
        </w:r>
        <w:r w:rsidR="000071E3" w:rsidRPr="00576AF8">
          <w:rPr>
            <w:webHidden/>
          </w:rPr>
          <w:t>180</w:t>
        </w:r>
        <w:r w:rsidR="006803FC" w:rsidRPr="00576AF8">
          <w:rPr>
            <w:webHidden/>
          </w:rPr>
          <w:fldChar w:fldCharType="end"/>
        </w:r>
      </w:hyperlink>
    </w:p>
    <w:p w14:paraId="4C5720CB" w14:textId="77777777" w:rsidR="006803FC" w:rsidRPr="00576AF8" w:rsidRDefault="006334E7">
      <w:pPr>
        <w:pStyle w:val="TDC2"/>
        <w:rPr>
          <w:rFonts w:eastAsiaTheme="minorEastAsia"/>
          <w:sz w:val="22"/>
          <w:szCs w:val="22"/>
          <w:lang w:eastAsia="zh-CN" w:bidi="ar-SA"/>
        </w:rPr>
      </w:pPr>
      <w:hyperlink w:anchor="_Toc488959025" w:history="1">
        <w:r w:rsidR="006803FC" w:rsidRPr="00576AF8">
          <w:rPr>
            <w:rStyle w:val="Hipervnculo"/>
          </w:rPr>
          <w:t>8.</w:t>
        </w:r>
        <w:r w:rsidR="006803FC" w:rsidRPr="00576AF8">
          <w:rPr>
            <w:rFonts w:eastAsiaTheme="minorEastAsia"/>
            <w:sz w:val="22"/>
            <w:szCs w:val="22"/>
            <w:lang w:eastAsia="zh-CN" w:bidi="ar-SA"/>
          </w:rPr>
          <w:tab/>
        </w:r>
        <w:r w:rsidR="006803FC" w:rsidRPr="00576AF8">
          <w:rPr>
            <w:rStyle w:val="Hipervnculo"/>
          </w:rPr>
          <w:t>Plazo de inicio y aceptación operativa</w:t>
        </w:r>
        <w:r w:rsidR="006803FC" w:rsidRPr="00576AF8">
          <w:rPr>
            <w:webHidden/>
          </w:rPr>
          <w:tab/>
        </w:r>
        <w:r w:rsidR="006803FC" w:rsidRPr="00576AF8">
          <w:rPr>
            <w:webHidden/>
          </w:rPr>
          <w:fldChar w:fldCharType="begin"/>
        </w:r>
        <w:r w:rsidR="006803FC" w:rsidRPr="00576AF8">
          <w:rPr>
            <w:webHidden/>
          </w:rPr>
          <w:instrText xml:space="preserve"> PAGEREF _Toc488959025 \h </w:instrText>
        </w:r>
        <w:r w:rsidR="006803FC" w:rsidRPr="00576AF8">
          <w:rPr>
            <w:webHidden/>
          </w:rPr>
        </w:r>
        <w:r w:rsidR="006803FC" w:rsidRPr="00576AF8">
          <w:rPr>
            <w:webHidden/>
          </w:rPr>
          <w:fldChar w:fldCharType="separate"/>
        </w:r>
        <w:r w:rsidR="000071E3" w:rsidRPr="00576AF8">
          <w:rPr>
            <w:webHidden/>
          </w:rPr>
          <w:t>181</w:t>
        </w:r>
        <w:r w:rsidR="006803FC" w:rsidRPr="00576AF8">
          <w:rPr>
            <w:webHidden/>
          </w:rPr>
          <w:fldChar w:fldCharType="end"/>
        </w:r>
      </w:hyperlink>
    </w:p>
    <w:p w14:paraId="4591FADD" w14:textId="77777777" w:rsidR="006803FC" w:rsidRPr="00576AF8" w:rsidRDefault="006334E7">
      <w:pPr>
        <w:pStyle w:val="TDC2"/>
        <w:rPr>
          <w:rFonts w:eastAsiaTheme="minorEastAsia"/>
          <w:sz w:val="22"/>
          <w:szCs w:val="22"/>
          <w:lang w:eastAsia="zh-CN" w:bidi="ar-SA"/>
        </w:rPr>
      </w:pPr>
      <w:hyperlink w:anchor="_Toc488959026" w:history="1">
        <w:r w:rsidR="006803FC" w:rsidRPr="00576AF8">
          <w:rPr>
            <w:rStyle w:val="Hipervnculo"/>
          </w:rPr>
          <w:t>9.</w:t>
        </w:r>
        <w:r w:rsidR="006803FC" w:rsidRPr="00576AF8">
          <w:rPr>
            <w:rFonts w:eastAsiaTheme="minorEastAsia"/>
            <w:sz w:val="22"/>
            <w:szCs w:val="22"/>
            <w:lang w:eastAsia="zh-CN" w:bidi="ar-SA"/>
          </w:rPr>
          <w:tab/>
        </w:r>
        <w:r w:rsidR="006803FC" w:rsidRPr="00576AF8">
          <w:rPr>
            <w:rStyle w:val="Hipervnculo"/>
          </w:rPr>
          <w:t>Responsabilidades del Proveedor</w:t>
        </w:r>
        <w:r w:rsidR="006803FC" w:rsidRPr="00576AF8">
          <w:rPr>
            <w:webHidden/>
          </w:rPr>
          <w:tab/>
        </w:r>
        <w:r w:rsidR="006803FC" w:rsidRPr="00576AF8">
          <w:rPr>
            <w:webHidden/>
          </w:rPr>
          <w:fldChar w:fldCharType="begin"/>
        </w:r>
        <w:r w:rsidR="006803FC" w:rsidRPr="00576AF8">
          <w:rPr>
            <w:webHidden/>
          </w:rPr>
          <w:instrText xml:space="preserve"> PAGEREF _Toc488959026 \h </w:instrText>
        </w:r>
        <w:r w:rsidR="006803FC" w:rsidRPr="00576AF8">
          <w:rPr>
            <w:webHidden/>
          </w:rPr>
        </w:r>
        <w:r w:rsidR="006803FC" w:rsidRPr="00576AF8">
          <w:rPr>
            <w:webHidden/>
          </w:rPr>
          <w:fldChar w:fldCharType="separate"/>
        </w:r>
        <w:r w:rsidR="000071E3" w:rsidRPr="00576AF8">
          <w:rPr>
            <w:webHidden/>
          </w:rPr>
          <w:t>182</w:t>
        </w:r>
        <w:r w:rsidR="006803FC" w:rsidRPr="00576AF8">
          <w:rPr>
            <w:webHidden/>
          </w:rPr>
          <w:fldChar w:fldCharType="end"/>
        </w:r>
      </w:hyperlink>
    </w:p>
    <w:p w14:paraId="0C51D870" w14:textId="77777777" w:rsidR="006803FC" w:rsidRPr="00576AF8" w:rsidRDefault="006334E7">
      <w:pPr>
        <w:pStyle w:val="TDC2"/>
        <w:rPr>
          <w:rFonts w:eastAsiaTheme="minorEastAsia"/>
          <w:sz w:val="22"/>
          <w:szCs w:val="22"/>
          <w:lang w:eastAsia="zh-CN" w:bidi="ar-SA"/>
        </w:rPr>
      </w:pPr>
      <w:hyperlink w:anchor="_Toc488959027" w:history="1">
        <w:r w:rsidR="006803FC" w:rsidRPr="00576AF8">
          <w:rPr>
            <w:rStyle w:val="Hipervnculo"/>
          </w:rPr>
          <w:t>10.</w:t>
        </w:r>
        <w:r w:rsidR="006803FC" w:rsidRPr="00576AF8">
          <w:rPr>
            <w:rFonts w:eastAsiaTheme="minorEastAsia"/>
            <w:sz w:val="22"/>
            <w:szCs w:val="22"/>
            <w:lang w:eastAsia="zh-CN" w:bidi="ar-SA"/>
          </w:rPr>
          <w:tab/>
        </w:r>
        <w:r w:rsidR="006803FC" w:rsidRPr="00576AF8">
          <w:rPr>
            <w:rStyle w:val="Hipervnculo"/>
            <w:spacing w:val="-4"/>
          </w:rPr>
          <w:t>Responsabilidades del Comprador</w:t>
        </w:r>
        <w:r w:rsidR="006803FC" w:rsidRPr="00576AF8">
          <w:rPr>
            <w:webHidden/>
          </w:rPr>
          <w:tab/>
        </w:r>
        <w:r w:rsidR="006803FC" w:rsidRPr="00576AF8">
          <w:rPr>
            <w:webHidden/>
          </w:rPr>
          <w:fldChar w:fldCharType="begin"/>
        </w:r>
        <w:r w:rsidR="006803FC" w:rsidRPr="00576AF8">
          <w:rPr>
            <w:webHidden/>
          </w:rPr>
          <w:instrText xml:space="preserve"> PAGEREF _Toc488959027 \h </w:instrText>
        </w:r>
        <w:r w:rsidR="006803FC" w:rsidRPr="00576AF8">
          <w:rPr>
            <w:webHidden/>
          </w:rPr>
        </w:r>
        <w:r w:rsidR="006803FC" w:rsidRPr="00576AF8">
          <w:rPr>
            <w:webHidden/>
          </w:rPr>
          <w:fldChar w:fldCharType="separate"/>
        </w:r>
        <w:r w:rsidR="000071E3" w:rsidRPr="00576AF8">
          <w:rPr>
            <w:webHidden/>
          </w:rPr>
          <w:t>184</w:t>
        </w:r>
        <w:r w:rsidR="006803FC" w:rsidRPr="00576AF8">
          <w:rPr>
            <w:webHidden/>
          </w:rPr>
          <w:fldChar w:fldCharType="end"/>
        </w:r>
      </w:hyperlink>
    </w:p>
    <w:p w14:paraId="3AE90699"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28" w:history="1">
        <w:r w:rsidR="006803FC" w:rsidRPr="00576AF8">
          <w:rPr>
            <w:rStyle w:val="Hipervnculo"/>
            <w:rFonts w:ascii="Times New Roman" w:hAnsi="Times New Roman"/>
            <w:noProof/>
          </w:rPr>
          <w:t>C.  Pago</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_Toc488959028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186</w:t>
        </w:r>
        <w:r w:rsidR="006803FC" w:rsidRPr="00576AF8">
          <w:rPr>
            <w:rFonts w:ascii="Times New Roman" w:hAnsi="Times New Roman"/>
            <w:noProof/>
            <w:webHidden/>
          </w:rPr>
          <w:fldChar w:fldCharType="end"/>
        </w:r>
      </w:hyperlink>
    </w:p>
    <w:p w14:paraId="18AEE11E" w14:textId="77777777" w:rsidR="006803FC" w:rsidRPr="00576AF8" w:rsidRDefault="006334E7">
      <w:pPr>
        <w:pStyle w:val="TDC2"/>
        <w:rPr>
          <w:rFonts w:eastAsiaTheme="minorEastAsia"/>
          <w:sz w:val="22"/>
          <w:szCs w:val="22"/>
          <w:lang w:eastAsia="zh-CN" w:bidi="ar-SA"/>
        </w:rPr>
      </w:pPr>
      <w:hyperlink w:anchor="_Toc488959029" w:history="1">
        <w:r w:rsidR="006803FC" w:rsidRPr="00576AF8">
          <w:rPr>
            <w:rStyle w:val="Hipervnculo"/>
          </w:rPr>
          <w:t>11.</w:t>
        </w:r>
        <w:r w:rsidR="006803FC" w:rsidRPr="00576AF8">
          <w:rPr>
            <w:rFonts w:eastAsiaTheme="minorEastAsia"/>
            <w:sz w:val="22"/>
            <w:szCs w:val="22"/>
            <w:lang w:eastAsia="zh-CN" w:bidi="ar-SA"/>
          </w:rPr>
          <w:tab/>
        </w:r>
        <w:r w:rsidR="006803FC" w:rsidRPr="00576AF8">
          <w:rPr>
            <w:rStyle w:val="Hipervnculo"/>
          </w:rPr>
          <w:t>Precio del Contrato</w:t>
        </w:r>
        <w:r w:rsidR="006803FC" w:rsidRPr="00576AF8">
          <w:rPr>
            <w:webHidden/>
          </w:rPr>
          <w:tab/>
        </w:r>
        <w:r w:rsidR="006803FC" w:rsidRPr="00576AF8">
          <w:rPr>
            <w:webHidden/>
          </w:rPr>
          <w:fldChar w:fldCharType="begin"/>
        </w:r>
        <w:r w:rsidR="006803FC" w:rsidRPr="00576AF8">
          <w:rPr>
            <w:webHidden/>
          </w:rPr>
          <w:instrText xml:space="preserve"> PAGEREF _Toc488959029 \h </w:instrText>
        </w:r>
        <w:r w:rsidR="006803FC" w:rsidRPr="00576AF8">
          <w:rPr>
            <w:webHidden/>
          </w:rPr>
        </w:r>
        <w:r w:rsidR="006803FC" w:rsidRPr="00576AF8">
          <w:rPr>
            <w:webHidden/>
          </w:rPr>
          <w:fldChar w:fldCharType="separate"/>
        </w:r>
        <w:r w:rsidR="000071E3" w:rsidRPr="00576AF8">
          <w:rPr>
            <w:webHidden/>
          </w:rPr>
          <w:t>186</w:t>
        </w:r>
        <w:r w:rsidR="006803FC" w:rsidRPr="00576AF8">
          <w:rPr>
            <w:webHidden/>
          </w:rPr>
          <w:fldChar w:fldCharType="end"/>
        </w:r>
      </w:hyperlink>
    </w:p>
    <w:p w14:paraId="07FF04F5" w14:textId="77777777" w:rsidR="006803FC" w:rsidRPr="00576AF8" w:rsidRDefault="006334E7">
      <w:pPr>
        <w:pStyle w:val="TDC2"/>
        <w:rPr>
          <w:rFonts w:eastAsiaTheme="minorEastAsia"/>
          <w:sz w:val="22"/>
          <w:szCs w:val="22"/>
          <w:lang w:eastAsia="zh-CN" w:bidi="ar-SA"/>
        </w:rPr>
      </w:pPr>
      <w:hyperlink w:anchor="_Toc488959030" w:history="1">
        <w:r w:rsidR="006803FC" w:rsidRPr="00576AF8">
          <w:rPr>
            <w:rStyle w:val="Hipervnculo"/>
          </w:rPr>
          <w:t>12.</w:t>
        </w:r>
        <w:r w:rsidR="006803FC" w:rsidRPr="00576AF8">
          <w:rPr>
            <w:rFonts w:eastAsiaTheme="minorEastAsia"/>
            <w:sz w:val="22"/>
            <w:szCs w:val="22"/>
            <w:lang w:eastAsia="zh-CN" w:bidi="ar-SA"/>
          </w:rPr>
          <w:tab/>
        </w:r>
        <w:r w:rsidR="006803FC" w:rsidRPr="00576AF8">
          <w:rPr>
            <w:rStyle w:val="Hipervnculo"/>
          </w:rPr>
          <w:t>Condiciones de pago</w:t>
        </w:r>
        <w:r w:rsidR="006803FC" w:rsidRPr="00576AF8">
          <w:rPr>
            <w:webHidden/>
          </w:rPr>
          <w:tab/>
        </w:r>
        <w:r w:rsidR="006803FC" w:rsidRPr="00576AF8">
          <w:rPr>
            <w:webHidden/>
          </w:rPr>
          <w:fldChar w:fldCharType="begin"/>
        </w:r>
        <w:r w:rsidR="006803FC" w:rsidRPr="00576AF8">
          <w:rPr>
            <w:webHidden/>
          </w:rPr>
          <w:instrText xml:space="preserve"> PAGEREF _Toc488959030 \h </w:instrText>
        </w:r>
        <w:r w:rsidR="006803FC" w:rsidRPr="00576AF8">
          <w:rPr>
            <w:webHidden/>
          </w:rPr>
        </w:r>
        <w:r w:rsidR="006803FC" w:rsidRPr="00576AF8">
          <w:rPr>
            <w:webHidden/>
          </w:rPr>
          <w:fldChar w:fldCharType="separate"/>
        </w:r>
        <w:r w:rsidR="000071E3" w:rsidRPr="00576AF8">
          <w:rPr>
            <w:webHidden/>
          </w:rPr>
          <w:t>186</w:t>
        </w:r>
        <w:r w:rsidR="006803FC" w:rsidRPr="00576AF8">
          <w:rPr>
            <w:webHidden/>
          </w:rPr>
          <w:fldChar w:fldCharType="end"/>
        </w:r>
      </w:hyperlink>
    </w:p>
    <w:p w14:paraId="5D6DE24D" w14:textId="77777777" w:rsidR="006803FC" w:rsidRPr="00576AF8" w:rsidRDefault="006334E7">
      <w:pPr>
        <w:pStyle w:val="TDC2"/>
        <w:rPr>
          <w:rFonts w:eastAsiaTheme="minorEastAsia"/>
          <w:sz w:val="22"/>
          <w:szCs w:val="22"/>
          <w:lang w:eastAsia="zh-CN" w:bidi="ar-SA"/>
        </w:rPr>
      </w:pPr>
      <w:hyperlink w:anchor="_Toc488959031" w:history="1">
        <w:r w:rsidR="006803FC" w:rsidRPr="00576AF8">
          <w:rPr>
            <w:rStyle w:val="Hipervnculo"/>
          </w:rPr>
          <w:t>13.</w:t>
        </w:r>
        <w:r w:rsidR="006803FC" w:rsidRPr="00576AF8">
          <w:rPr>
            <w:rFonts w:eastAsiaTheme="minorEastAsia"/>
            <w:sz w:val="22"/>
            <w:szCs w:val="22"/>
            <w:lang w:eastAsia="zh-CN" w:bidi="ar-SA"/>
          </w:rPr>
          <w:tab/>
        </w:r>
        <w:r w:rsidR="006803FC" w:rsidRPr="00576AF8">
          <w:rPr>
            <w:rStyle w:val="Hipervnculo"/>
          </w:rPr>
          <w:t>Garantías</w:t>
        </w:r>
        <w:r w:rsidR="006803FC" w:rsidRPr="00576AF8">
          <w:rPr>
            <w:webHidden/>
          </w:rPr>
          <w:tab/>
        </w:r>
        <w:r w:rsidR="006803FC" w:rsidRPr="00576AF8">
          <w:rPr>
            <w:webHidden/>
          </w:rPr>
          <w:fldChar w:fldCharType="begin"/>
        </w:r>
        <w:r w:rsidR="006803FC" w:rsidRPr="00576AF8">
          <w:rPr>
            <w:webHidden/>
          </w:rPr>
          <w:instrText xml:space="preserve"> PAGEREF _Toc488959031 \h </w:instrText>
        </w:r>
        <w:r w:rsidR="006803FC" w:rsidRPr="00576AF8">
          <w:rPr>
            <w:webHidden/>
          </w:rPr>
        </w:r>
        <w:r w:rsidR="006803FC" w:rsidRPr="00576AF8">
          <w:rPr>
            <w:webHidden/>
          </w:rPr>
          <w:fldChar w:fldCharType="separate"/>
        </w:r>
        <w:r w:rsidR="000071E3" w:rsidRPr="00576AF8">
          <w:rPr>
            <w:webHidden/>
          </w:rPr>
          <w:t>187</w:t>
        </w:r>
        <w:r w:rsidR="006803FC" w:rsidRPr="00576AF8">
          <w:rPr>
            <w:webHidden/>
          </w:rPr>
          <w:fldChar w:fldCharType="end"/>
        </w:r>
      </w:hyperlink>
    </w:p>
    <w:p w14:paraId="5B8F7FC2" w14:textId="77777777" w:rsidR="006803FC" w:rsidRPr="00576AF8" w:rsidRDefault="006334E7">
      <w:pPr>
        <w:pStyle w:val="TDC2"/>
        <w:rPr>
          <w:rFonts w:eastAsiaTheme="minorEastAsia"/>
          <w:sz w:val="22"/>
          <w:szCs w:val="22"/>
          <w:lang w:eastAsia="zh-CN" w:bidi="ar-SA"/>
        </w:rPr>
      </w:pPr>
      <w:hyperlink w:anchor="_Toc488959032" w:history="1">
        <w:r w:rsidR="006803FC" w:rsidRPr="00576AF8">
          <w:rPr>
            <w:rStyle w:val="Hipervnculo"/>
          </w:rPr>
          <w:t>14.</w:t>
        </w:r>
        <w:r w:rsidR="006803FC" w:rsidRPr="00576AF8">
          <w:rPr>
            <w:rFonts w:eastAsiaTheme="minorEastAsia"/>
            <w:sz w:val="22"/>
            <w:szCs w:val="22"/>
            <w:lang w:eastAsia="zh-CN" w:bidi="ar-SA"/>
          </w:rPr>
          <w:tab/>
        </w:r>
        <w:r w:rsidR="006803FC" w:rsidRPr="00576AF8">
          <w:rPr>
            <w:rStyle w:val="Hipervnculo"/>
          </w:rPr>
          <w:t>Impuestos y derechos</w:t>
        </w:r>
        <w:r w:rsidR="006803FC" w:rsidRPr="00576AF8">
          <w:rPr>
            <w:webHidden/>
          </w:rPr>
          <w:tab/>
        </w:r>
        <w:r w:rsidR="006803FC" w:rsidRPr="00576AF8">
          <w:rPr>
            <w:webHidden/>
          </w:rPr>
          <w:fldChar w:fldCharType="begin"/>
        </w:r>
        <w:r w:rsidR="006803FC" w:rsidRPr="00576AF8">
          <w:rPr>
            <w:webHidden/>
          </w:rPr>
          <w:instrText xml:space="preserve"> PAGEREF _Toc488959032 \h </w:instrText>
        </w:r>
        <w:r w:rsidR="006803FC" w:rsidRPr="00576AF8">
          <w:rPr>
            <w:webHidden/>
          </w:rPr>
        </w:r>
        <w:r w:rsidR="006803FC" w:rsidRPr="00576AF8">
          <w:rPr>
            <w:webHidden/>
          </w:rPr>
          <w:fldChar w:fldCharType="separate"/>
        </w:r>
        <w:r w:rsidR="000071E3" w:rsidRPr="00576AF8">
          <w:rPr>
            <w:webHidden/>
          </w:rPr>
          <w:t>188</w:t>
        </w:r>
        <w:r w:rsidR="006803FC" w:rsidRPr="00576AF8">
          <w:rPr>
            <w:webHidden/>
          </w:rPr>
          <w:fldChar w:fldCharType="end"/>
        </w:r>
      </w:hyperlink>
    </w:p>
    <w:p w14:paraId="2B2522E0"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33" w:history="1">
        <w:r w:rsidR="006803FC" w:rsidRPr="00576AF8">
          <w:rPr>
            <w:rStyle w:val="Hipervnculo"/>
            <w:rFonts w:ascii="Times New Roman" w:hAnsi="Times New Roman"/>
            <w:noProof/>
          </w:rPr>
          <w:t>D.  Propiedad intelectual</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_Toc488959033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190</w:t>
        </w:r>
        <w:r w:rsidR="006803FC" w:rsidRPr="00576AF8">
          <w:rPr>
            <w:rFonts w:ascii="Times New Roman" w:hAnsi="Times New Roman"/>
            <w:noProof/>
            <w:webHidden/>
          </w:rPr>
          <w:fldChar w:fldCharType="end"/>
        </w:r>
      </w:hyperlink>
    </w:p>
    <w:p w14:paraId="4AB7A658" w14:textId="77777777" w:rsidR="006803FC" w:rsidRPr="00576AF8" w:rsidRDefault="006334E7">
      <w:pPr>
        <w:pStyle w:val="TDC2"/>
        <w:rPr>
          <w:rFonts w:eastAsiaTheme="minorEastAsia"/>
          <w:sz w:val="22"/>
          <w:szCs w:val="22"/>
          <w:lang w:eastAsia="zh-CN" w:bidi="ar-SA"/>
        </w:rPr>
      </w:pPr>
      <w:hyperlink w:anchor="_Toc488959034" w:history="1">
        <w:r w:rsidR="006803FC" w:rsidRPr="00576AF8">
          <w:rPr>
            <w:rStyle w:val="Hipervnculo"/>
          </w:rPr>
          <w:t>15.</w:t>
        </w:r>
        <w:r w:rsidR="006803FC" w:rsidRPr="00576AF8">
          <w:rPr>
            <w:rFonts w:eastAsiaTheme="minorEastAsia"/>
            <w:sz w:val="22"/>
            <w:szCs w:val="22"/>
            <w:lang w:eastAsia="zh-CN" w:bidi="ar-SA"/>
          </w:rPr>
          <w:tab/>
        </w:r>
        <w:r w:rsidR="006803FC" w:rsidRPr="00576AF8">
          <w:rPr>
            <w:rStyle w:val="Hipervnculo"/>
          </w:rPr>
          <w:t>Derechos de autor</w:t>
        </w:r>
        <w:r w:rsidR="006803FC" w:rsidRPr="00576AF8">
          <w:rPr>
            <w:webHidden/>
          </w:rPr>
          <w:tab/>
        </w:r>
        <w:r w:rsidR="006803FC" w:rsidRPr="00576AF8">
          <w:rPr>
            <w:webHidden/>
          </w:rPr>
          <w:fldChar w:fldCharType="begin"/>
        </w:r>
        <w:r w:rsidR="006803FC" w:rsidRPr="00576AF8">
          <w:rPr>
            <w:webHidden/>
          </w:rPr>
          <w:instrText xml:space="preserve"> PAGEREF _Toc488959034 \h </w:instrText>
        </w:r>
        <w:r w:rsidR="006803FC" w:rsidRPr="00576AF8">
          <w:rPr>
            <w:webHidden/>
          </w:rPr>
        </w:r>
        <w:r w:rsidR="006803FC" w:rsidRPr="00576AF8">
          <w:rPr>
            <w:webHidden/>
          </w:rPr>
          <w:fldChar w:fldCharType="separate"/>
        </w:r>
        <w:r w:rsidR="000071E3" w:rsidRPr="00576AF8">
          <w:rPr>
            <w:webHidden/>
          </w:rPr>
          <w:t>190</w:t>
        </w:r>
        <w:r w:rsidR="006803FC" w:rsidRPr="00576AF8">
          <w:rPr>
            <w:webHidden/>
          </w:rPr>
          <w:fldChar w:fldCharType="end"/>
        </w:r>
      </w:hyperlink>
    </w:p>
    <w:p w14:paraId="027555F0" w14:textId="77777777" w:rsidR="006803FC" w:rsidRPr="00576AF8" w:rsidRDefault="006334E7">
      <w:pPr>
        <w:pStyle w:val="TDC2"/>
        <w:rPr>
          <w:rFonts w:eastAsiaTheme="minorEastAsia"/>
          <w:sz w:val="22"/>
          <w:szCs w:val="22"/>
          <w:lang w:eastAsia="zh-CN" w:bidi="ar-SA"/>
        </w:rPr>
      </w:pPr>
      <w:hyperlink w:anchor="_Toc488959035" w:history="1">
        <w:r w:rsidR="006803FC" w:rsidRPr="00576AF8">
          <w:rPr>
            <w:rStyle w:val="Hipervnculo"/>
          </w:rPr>
          <w:t>16.</w:t>
        </w:r>
        <w:r w:rsidR="006803FC" w:rsidRPr="00576AF8">
          <w:rPr>
            <w:rFonts w:eastAsiaTheme="minorEastAsia"/>
            <w:sz w:val="22"/>
            <w:szCs w:val="22"/>
            <w:lang w:eastAsia="zh-CN" w:bidi="ar-SA"/>
          </w:rPr>
          <w:tab/>
        </w:r>
        <w:r w:rsidR="006803FC" w:rsidRPr="00576AF8">
          <w:rPr>
            <w:rStyle w:val="Hipervnculo"/>
          </w:rPr>
          <w:t>Acuerdos de licencia de software</w:t>
        </w:r>
        <w:r w:rsidR="006803FC" w:rsidRPr="00576AF8">
          <w:rPr>
            <w:webHidden/>
          </w:rPr>
          <w:tab/>
        </w:r>
        <w:r w:rsidR="006803FC" w:rsidRPr="00576AF8">
          <w:rPr>
            <w:webHidden/>
          </w:rPr>
          <w:fldChar w:fldCharType="begin"/>
        </w:r>
        <w:r w:rsidR="006803FC" w:rsidRPr="00576AF8">
          <w:rPr>
            <w:webHidden/>
          </w:rPr>
          <w:instrText xml:space="preserve"> PAGEREF _Toc488959035 \h </w:instrText>
        </w:r>
        <w:r w:rsidR="006803FC" w:rsidRPr="00576AF8">
          <w:rPr>
            <w:webHidden/>
          </w:rPr>
        </w:r>
        <w:r w:rsidR="006803FC" w:rsidRPr="00576AF8">
          <w:rPr>
            <w:webHidden/>
          </w:rPr>
          <w:fldChar w:fldCharType="separate"/>
        </w:r>
        <w:r w:rsidR="000071E3" w:rsidRPr="00576AF8">
          <w:rPr>
            <w:webHidden/>
          </w:rPr>
          <w:t>191</w:t>
        </w:r>
        <w:r w:rsidR="006803FC" w:rsidRPr="00576AF8">
          <w:rPr>
            <w:webHidden/>
          </w:rPr>
          <w:fldChar w:fldCharType="end"/>
        </w:r>
      </w:hyperlink>
    </w:p>
    <w:p w14:paraId="6A6E951A" w14:textId="77777777" w:rsidR="006803FC" w:rsidRPr="00576AF8" w:rsidRDefault="006334E7">
      <w:pPr>
        <w:pStyle w:val="TDC2"/>
        <w:rPr>
          <w:rFonts w:eastAsiaTheme="minorEastAsia"/>
          <w:sz w:val="22"/>
          <w:szCs w:val="22"/>
          <w:lang w:eastAsia="zh-CN" w:bidi="ar-SA"/>
        </w:rPr>
      </w:pPr>
      <w:hyperlink w:anchor="_Toc488959036" w:history="1">
        <w:r w:rsidR="006803FC" w:rsidRPr="00576AF8">
          <w:rPr>
            <w:rStyle w:val="Hipervnculo"/>
          </w:rPr>
          <w:t>17.</w:t>
        </w:r>
        <w:r w:rsidR="006803FC" w:rsidRPr="00576AF8">
          <w:rPr>
            <w:rFonts w:eastAsiaTheme="minorEastAsia"/>
            <w:sz w:val="22"/>
            <w:szCs w:val="22"/>
            <w:lang w:eastAsia="zh-CN" w:bidi="ar-SA"/>
          </w:rPr>
          <w:tab/>
        </w:r>
        <w:r w:rsidR="006803FC" w:rsidRPr="00576AF8">
          <w:rPr>
            <w:rStyle w:val="Hipervnculo"/>
          </w:rPr>
          <w:t>Confidencialidad de la información</w:t>
        </w:r>
        <w:r w:rsidR="006803FC" w:rsidRPr="00576AF8">
          <w:rPr>
            <w:webHidden/>
          </w:rPr>
          <w:tab/>
        </w:r>
        <w:r w:rsidR="006803FC" w:rsidRPr="00576AF8">
          <w:rPr>
            <w:webHidden/>
          </w:rPr>
          <w:fldChar w:fldCharType="begin"/>
        </w:r>
        <w:r w:rsidR="006803FC" w:rsidRPr="00576AF8">
          <w:rPr>
            <w:webHidden/>
          </w:rPr>
          <w:instrText xml:space="preserve"> PAGEREF _Toc488959036 \h </w:instrText>
        </w:r>
        <w:r w:rsidR="006803FC" w:rsidRPr="00576AF8">
          <w:rPr>
            <w:webHidden/>
          </w:rPr>
        </w:r>
        <w:r w:rsidR="006803FC" w:rsidRPr="00576AF8">
          <w:rPr>
            <w:webHidden/>
          </w:rPr>
          <w:fldChar w:fldCharType="separate"/>
        </w:r>
        <w:r w:rsidR="000071E3" w:rsidRPr="00576AF8">
          <w:rPr>
            <w:webHidden/>
          </w:rPr>
          <w:t>194</w:t>
        </w:r>
        <w:r w:rsidR="006803FC" w:rsidRPr="00576AF8">
          <w:rPr>
            <w:webHidden/>
          </w:rPr>
          <w:fldChar w:fldCharType="end"/>
        </w:r>
      </w:hyperlink>
    </w:p>
    <w:p w14:paraId="2F5AFA23"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37" w:history="1">
        <w:r w:rsidR="006803FC" w:rsidRPr="00576AF8">
          <w:rPr>
            <w:rStyle w:val="Hipervnculo"/>
            <w:rFonts w:ascii="Times New Roman" w:hAnsi="Times New Roman"/>
            <w:noProof/>
          </w:rPr>
          <w:t>E.  Suministro, instalación, prueba, puesta en servicio y aceptación del Sistema</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_Toc488959037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195</w:t>
        </w:r>
        <w:r w:rsidR="006803FC" w:rsidRPr="00576AF8">
          <w:rPr>
            <w:rFonts w:ascii="Times New Roman" w:hAnsi="Times New Roman"/>
            <w:noProof/>
            <w:webHidden/>
          </w:rPr>
          <w:fldChar w:fldCharType="end"/>
        </w:r>
      </w:hyperlink>
    </w:p>
    <w:p w14:paraId="503AEC94" w14:textId="77777777" w:rsidR="006803FC" w:rsidRPr="00576AF8" w:rsidRDefault="006334E7">
      <w:pPr>
        <w:pStyle w:val="TDC2"/>
        <w:rPr>
          <w:rFonts w:eastAsiaTheme="minorEastAsia"/>
          <w:sz w:val="22"/>
          <w:szCs w:val="22"/>
          <w:lang w:eastAsia="zh-CN" w:bidi="ar-SA"/>
        </w:rPr>
      </w:pPr>
      <w:hyperlink w:anchor="_Toc488959038" w:history="1">
        <w:r w:rsidR="006803FC" w:rsidRPr="00576AF8">
          <w:rPr>
            <w:rStyle w:val="Hipervnculo"/>
          </w:rPr>
          <w:t>18.</w:t>
        </w:r>
        <w:r w:rsidR="006803FC" w:rsidRPr="00576AF8">
          <w:rPr>
            <w:rFonts w:eastAsiaTheme="minorEastAsia"/>
            <w:sz w:val="22"/>
            <w:szCs w:val="22"/>
            <w:lang w:eastAsia="zh-CN" w:bidi="ar-SA"/>
          </w:rPr>
          <w:tab/>
        </w:r>
        <w:r w:rsidR="006803FC" w:rsidRPr="00576AF8">
          <w:rPr>
            <w:rStyle w:val="Hipervnculo"/>
          </w:rPr>
          <w:t>Representantes</w:t>
        </w:r>
        <w:r w:rsidR="006803FC" w:rsidRPr="00576AF8">
          <w:rPr>
            <w:webHidden/>
          </w:rPr>
          <w:tab/>
        </w:r>
        <w:r w:rsidR="006803FC" w:rsidRPr="00576AF8">
          <w:rPr>
            <w:webHidden/>
          </w:rPr>
          <w:fldChar w:fldCharType="begin"/>
        </w:r>
        <w:r w:rsidR="006803FC" w:rsidRPr="00576AF8">
          <w:rPr>
            <w:webHidden/>
          </w:rPr>
          <w:instrText xml:space="preserve"> PAGEREF _Toc488959038 \h </w:instrText>
        </w:r>
        <w:r w:rsidR="006803FC" w:rsidRPr="00576AF8">
          <w:rPr>
            <w:webHidden/>
          </w:rPr>
        </w:r>
        <w:r w:rsidR="006803FC" w:rsidRPr="00576AF8">
          <w:rPr>
            <w:webHidden/>
          </w:rPr>
          <w:fldChar w:fldCharType="separate"/>
        </w:r>
        <w:r w:rsidR="000071E3" w:rsidRPr="00576AF8">
          <w:rPr>
            <w:webHidden/>
          </w:rPr>
          <w:t>195</w:t>
        </w:r>
        <w:r w:rsidR="006803FC" w:rsidRPr="00576AF8">
          <w:rPr>
            <w:webHidden/>
          </w:rPr>
          <w:fldChar w:fldCharType="end"/>
        </w:r>
      </w:hyperlink>
    </w:p>
    <w:p w14:paraId="7F92B7C3" w14:textId="77777777" w:rsidR="006803FC" w:rsidRPr="00576AF8" w:rsidRDefault="006334E7">
      <w:pPr>
        <w:pStyle w:val="TDC2"/>
        <w:rPr>
          <w:rFonts w:eastAsiaTheme="minorEastAsia"/>
          <w:sz w:val="22"/>
          <w:szCs w:val="22"/>
          <w:lang w:eastAsia="zh-CN" w:bidi="ar-SA"/>
        </w:rPr>
      </w:pPr>
      <w:hyperlink w:anchor="_Toc488959039" w:history="1">
        <w:r w:rsidR="006803FC" w:rsidRPr="00576AF8">
          <w:rPr>
            <w:rStyle w:val="Hipervnculo"/>
          </w:rPr>
          <w:t>19.</w:t>
        </w:r>
        <w:r w:rsidR="006803FC" w:rsidRPr="00576AF8">
          <w:rPr>
            <w:rFonts w:eastAsiaTheme="minorEastAsia"/>
            <w:sz w:val="22"/>
            <w:szCs w:val="22"/>
            <w:lang w:eastAsia="zh-CN" w:bidi="ar-SA"/>
          </w:rPr>
          <w:tab/>
        </w:r>
        <w:r w:rsidR="006803FC" w:rsidRPr="00576AF8">
          <w:rPr>
            <w:rStyle w:val="Hipervnculo"/>
          </w:rPr>
          <w:t>Plan del Proyecto</w:t>
        </w:r>
        <w:r w:rsidR="006803FC" w:rsidRPr="00576AF8">
          <w:rPr>
            <w:webHidden/>
          </w:rPr>
          <w:tab/>
        </w:r>
        <w:r w:rsidR="006803FC" w:rsidRPr="00576AF8">
          <w:rPr>
            <w:webHidden/>
          </w:rPr>
          <w:fldChar w:fldCharType="begin"/>
        </w:r>
        <w:r w:rsidR="006803FC" w:rsidRPr="00576AF8">
          <w:rPr>
            <w:webHidden/>
          </w:rPr>
          <w:instrText xml:space="preserve"> PAGEREF _Toc488959039 \h </w:instrText>
        </w:r>
        <w:r w:rsidR="006803FC" w:rsidRPr="00576AF8">
          <w:rPr>
            <w:webHidden/>
          </w:rPr>
        </w:r>
        <w:r w:rsidR="006803FC" w:rsidRPr="00576AF8">
          <w:rPr>
            <w:webHidden/>
          </w:rPr>
          <w:fldChar w:fldCharType="separate"/>
        </w:r>
        <w:r w:rsidR="000071E3" w:rsidRPr="00576AF8">
          <w:rPr>
            <w:webHidden/>
          </w:rPr>
          <w:t>198</w:t>
        </w:r>
        <w:r w:rsidR="006803FC" w:rsidRPr="00576AF8">
          <w:rPr>
            <w:webHidden/>
          </w:rPr>
          <w:fldChar w:fldCharType="end"/>
        </w:r>
      </w:hyperlink>
    </w:p>
    <w:p w14:paraId="3AA0B76A" w14:textId="77777777" w:rsidR="006803FC" w:rsidRPr="00576AF8" w:rsidRDefault="006334E7">
      <w:pPr>
        <w:pStyle w:val="TDC2"/>
        <w:rPr>
          <w:rFonts w:eastAsiaTheme="minorEastAsia"/>
          <w:sz w:val="22"/>
          <w:szCs w:val="22"/>
          <w:lang w:eastAsia="zh-CN" w:bidi="ar-SA"/>
        </w:rPr>
      </w:pPr>
      <w:hyperlink w:anchor="_Toc488959040" w:history="1">
        <w:r w:rsidR="006803FC" w:rsidRPr="00576AF8">
          <w:rPr>
            <w:rStyle w:val="Hipervnculo"/>
          </w:rPr>
          <w:t>20.</w:t>
        </w:r>
        <w:r w:rsidR="006803FC" w:rsidRPr="00576AF8">
          <w:rPr>
            <w:rFonts w:eastAsiaTheme="minorEastAsia"/>
            <w:sz w:val="22"/>
            <w:szCs w:val="22"/>
            <w:lang w:eastAsia="zh-CN" w:bidi="ar-SA"/>
          </w:rPr>
          <w:tab/>
        </w:r>
        <w:r w:rsidR="006803FC" w:rsidRPr="00576AF8">
          <w:rPr>
            <w:rStyle w:val="Hipervnculo"/>
          </w:rPr>
          <w:t>Subcontratación</w:t>
        </w:r>
        <w:r w:rsidR="006803FC" w:rsidRPr="00576AF8">
          <w:rPr>
            <w:webHidden/>
          </w:rPr>
          <w:tab/>
        </w:r>
        <w:r w:rsidR="006803FC" w:rsidRPr="00576AF8">
          <w:rPr>
            <w:webHidden/>
          </w:rPr>
          <w:fldChar w:fldCharType="begin"/>
        </w:r>
        <w:r w:rsidR="006803FC" w:rsidRPr="00576AF8">
          <w:rPr>
            <w:webHidden/>
          </w:rPr>
          <w:instrText xml:space="preserve"> PAGEREF _Toc488959040 \h </w:instrText>
        </w:r>
        <w:r w:rsidR="006803FC" w:rsidRPr="00576AF8">
          <w:rPr>
            <w:webHidden/>
          </w:rPr>
        </w:r>
        <w:r w:rsidR="006803FC" w:rsidRPr="00576AF8">
          <w:rPr>
            <w:webHidden/>
          </w:rPr>
          <w:fldChar w:fldCharType="separate"/>
        </w:r>
        <w:r w:rsidR="000071E3" w:rsidRPr="00576AF8">
          <w:rPr>
            <w:webHidden/>
          </w:rPr>
          <w:t>199</w:t>
        </w:r>
        <w:r w:rsidR="006803FC" w:rsidRPr="00576AF8">
          <w:rPr>
            <w:webHidden/>
          </w:rPr>
          <w:fldChar w:fldCharType="end"/>
        </w:r>
      </w:hyperlink>
    </w:p>
    <w:p w14:paraId="42A935D9" w14:textId="77777777" w:rsidR="006803FC" w:rsidRPr="00576AF8" w:rsidRDefault="006334E7">
      <w:pPr>
        <w:pStyle w:val="TDC2"/>
        <w:rPr>
          <w:rFonts w:eastAsiaTheme="minorEastAsia"/>
          <w:sz w:val="22"/>
          <w:szCs w:val="22"/>
          <w:lang w:eastAsia="zh-CN" w:bidi="ar-SA"/>
        </w:rPr>
      </w:pPr>
      <w:hyperlink w:anchor="_Toc488959041" w:history="1">
        <w:r w:rsidR="006803FC" w:rsidRPr="00576AF8">
          <w:rPr>
            <w:rStyle w:val="Hipervnculo"/>
          </w:rPr>
          <w:t>21.</w:t>
        </w:r>
        <w:r w:rsidR="006803FC" w:rsidRPr="00576AF8">
          <w:rPr>
            <w:rFonts w:eastAsiaTheme="minorEastAsia"/>
            <w:sz w:val="22"/>
            <w:szCs w:val="22"/>
            <w:lang w:eastAsia="zh-CN" w:bidi="ar-SA"/>
          </w:rPr>
          <w:tab/>
        </w:r>
        <w:r w:rsidR="006803FC" w:rsidRPr="00576AF8">
          <w:rPr>
            <w:rStyle w:val="Hipervnculo"/>
          </w:rPr>
          <w:t>Diseño e ingeniería</w:t>
        </w:r>
        <w:r w:rsidR="006803FC" w:rsidRPr="00576AF8">
          <w:rPr>
            <w:webHidden/>
          </w:rPr>
          <w:tab/>
        </w:r>
        <w:r w:rsidR="006803FC" w:rsidRPr="00576AF8">
          <w:rPr>
            <w:webHidden/>
          </w:rPr>
          <w:fldChar w:fldCharType="begin"/>
        </w:r>
        <w:r w:rsidR="006803FC" w:rsidRPr="00576AF8">
          <w:rPr>
            <w:webHidden/>
          </w:rPr>
          <w:instrText xml:space="preserve"> PAGEREF _Toc488959041 \h </w:instrText>
        </w:r>
        <w:r w:rsidR="006803FC" w:rsidRPr="00576AF8">
          <w:rPr>
            <w:webHidden/>
          </w:rPr>
        </w:r>
        <w:r w:rsidR="006803FC" w:rsidRPr="00576AF8">
          <w:rPr>
            <w:webHidden/>
          </w:rPr>
          <w:fldChar w:fldCharType="separate"/>
        </w:r>
        <w:r w:rsidR="000071E3" w:rsidRPr="00576AF8">
          <w:rPr>
            <w:webHidden/>
          </w:rPr>
          <w:t>200</w:t>
        </w:r>
        <w:r w:rsidR="006803FC" w:rsidRPr="00576AF8">
          <w:rPr>
            <w:webHidden/>
          </w:rPr>
          <w:fldChar w:fldCharType="end"/>
        </w:r>
      </w:hyperlink>
    </w:p>
    <w:p w14:paraId="7083A596" w14:textId="77777777" w:rsidR="006803FC" w:rsidRPr="00576AF8" w:rsidRDefault="006334E7">
      <w:pPr>
        <w:pStyle w:val="TDC2"/>
        <w:rPr>
          <w:rFonts w:eastAsiaTheme="minorEastAsia"/>
          <w:sz w:val="22"/>
          <w:szCs w:val="22"/>
          <w:lang w:eastAsia="zh-CN" w:bidi="ar-SA"/>
        </w:rPr>
      </w:pPr>
      <w:hyperlink w:anchor="_Toc488959042" w:history="1">
        <w:r w:rsidR="006803FC" w:rsidRPr="00576AF8">
          <w:rPr>
            <w:rStyle w:val="Hipervnculo"/>
          </w:rPr>
          <w:t>22.</w:t>
        </w:r>
        <w:r w:rsidR="006803FC" w:rsidRPr="00576AF8">
          <w:rPr>
            <w:rFonts w:eastAsiaTheme="minorEastAsia"/>
            <w:sz w:val="22"/>
            <w:szCs w:val="22"/>
            <w:lang w:eastAsia="zh-CN" w:bidi="ar-SA"/>
          </w:rPr>
          <w:tab/>
        </w:r>
        <w:r w:rsidR="006803FC" w:rsidRPr="00576AF8">
          <w:rPr>
            <w:rStyle w:val="Hipervnculo"/>
          </w:rPr>
          <w:t>Adquisiciones, entrega y transporte</w:t>
        </w:r>
        <w:r w:rsidR="006803FC" w:rsidRPr="00576AF8">
          <w:rPr>
            <w:webHidden/>
          </w:rPr>
          <w:tab/>
        </w:r>
        <w:r w:rsidR="006803FC" w:rsidRPr="00576AF8">
          <w:rPr>
            <w:webHidden/>
          </w:rPr>
          <w:fldChar w:fldCharType="begin"/>
        </w:r>
        <w:r w:rsidR="006803FC" w:rsidRPr="00576AF8">
          <w:rPr>
            <w:webHidden/>
          </w:rPr>
          <w:instrText xml:space="preserve"> PAGEREF _Toc488959042 \h </w:instrText>
        </w:r>
        <w:r w:rsidR="006803FC" w:rsidRPr="00576AF8">
          <w:rPr>
            <w:webHidden/>
          </w:rPr>
        </w:r>
        <w:r w:rsidR="006803FC" w:rsidRPr="00576AF8">
          <w:rPr>
            <w:webHidden/>
          </w:rPr>
          <w:fldChar w:fldCharType="separate"/>
        </w:r>
        <w:r w:rsidR="000071E3" w:rsidRPr="00576AF8">
          <w:rPr>
            <w:webHidden/>
          </w:rPr>
          <w:t>203</w:t>
        </w:r>
        <w:r w:rsidR="006803FC" w:rsidRPr="00576AF8">
          <w:rPr>
            <w:webHidden/>
          </w:rPr>
          <w:fldChar w:fldCharType="end"/>
        </w:r>
      </w:hyperlink>
    </w:p>
    <w:p w14:paraId="057470F2" w14:textId="77777777" w:rsidR="006803FC" w:rsidRPr="00576AF8" w:rsidRDefault="006334E7">
      <w:pPr>
        <w:pStyle w:val="TDC2"/>
        <w:rPr>
          <w:rFonts w:eastAsiaTheme="minorEastAsia"/>
          <w:sz w:val="22"/>
          <w:szCs w:val="22"/>
          <w:lang w:eastAsia="zh-CN" w:bidi="ar-SA"/>
        </w:rPr>
      </w:pPr>
      <w:hyperlink w:anchor="_Toc488959043" w:history="1">
        <w:r w:rsidR="006803FC" w:rsidRPr="00576AF8">
          <w:rPr>
            <w:rStyle w:val="Hipervnculo"/>
          </w:rPr>
          <w:t>23.</w:t>
        </w:r>
        <w:r w:rsidR="006803FC" w:rsidRPr="00576AF8">
          <w:rPr>
            <w:rFonts w:eastAsiaTheme="minorEastAsia"/>
            <w:sz w:val="22"/>
            <w:szCs w:val="22"/>
            <w:lang w:eastAsia="zh-CN" w:bidi="ar-SA"/>
          </w:rPr>
          <w:tab/>
        </w:r>
        <w:r w:rsidR="006803FC" w:rsidRPr="00576AF8">
          <w:rPr>
            <w:rStyle w:val="Hipervnculo"/>
          </w:rPr>
          <w:t>Versiones mejoradas de los producto</w:t>
        </w:r>
        <w:r w:rsidR="006803FC" w:rsidRPr="00576AF8">
          <w:rPr>
            <w:webHidden/>
          </w:rPr>
          <w:tab/>
        </w:r>
        <w:r w:rsidR="006803FC" w:rsidRPr="00576AF8">
          <w:rPr>
            <w:webHidden/>
          </w:rPr>
          <w:fldChar w:fldCharType="begin"/>
        </w:r>
        <w:r w:rsidR="006803FC" w:rsidRPr="00576AF8">
          <w:rPr>
            <w:webHidden/>
          </w:rPr>
          <w:instrText xml:space="preserve"> PAGEREF _Toc488959043 \h </w:instrText>
        </w:r>
        <w:r w:rsidR="006803FC" w:rsidRPr="00576AF8">
          <w:rPr>
            <w:webHidden/>
          </w:rPr>
        </w:r>
        <w:r w:rsidR="006803FC" w:rsidRPr="00576AF8">
          <w:rPr>
            <w:webHidden/>
          </w:rPr>
          <w:fldChar w:fldCharType="separate"/>
        </w:r>
        <w:r w:rsidR="000071E3" w:rsidRPr="00576AF8">
          <w:rPr>
            <w:webHidden/>
          </w:rPr>
          <w:t>206</w:t>
        </w:r>
        <w:r w:rsidR="006803FC" w:rsidRPr="00576AF8">
          <w:rPr>
            <w:webHidden/>
          </w:rPr>
          <w:fldChar w:fldCharType="end"/>
        </w:r>
      </w:hyperlink>
    </w:p>
    <w:p w14:paraId="5F1D945B" w14:textId="77777777" w:rsidR="006803FC" w:rsidRPr="00576AF8" w:rsidRDefault="006334E7">
      <w:pPr>
        <w:pStyle w:val="TDC2"/>
        <w:rPr>
          <w:rFonts w:eastAsiaTheme="minorEastAsia"/>
          <w:sz w:val="22"/>
          <w:szCs w:val="22"/>
          <w:lang w:eastAsia="zh-CN" w:bidi="ar-SA"/>
        </w:rPr>
      </w:pPr>
      <w:hyperlink w:anchor="_Toc488959044" w:history="1">
        <w:r w:rsidR="006803FC" w:rsidRPr="00576AF8">
          <w:rPr>
            <w:rStyle w:val="Hipervnculo"/>
          </w:rPr>
          <w:t>24.</w:t>
        </w:r>
        <w:r w:rsidR="006803FC" w:rsidRPr="00576AF8">
          <w:rPr>
            <w:rFonts w:eastAsiaTheme="minorEastAsia"/>
            <w:sz w:val="22"/>
            <w:szCs w:val="22"/>
            <w:lang w:eastAsia="zh-CN" w:bidi="ar-SA"/>
          </w:rPr>
          <w:tab/>
        </w:r>
        <w:r w:rsidR="006803FC" w:rsidRPr="00576AF8">
          <w:rPr>
            <w:rStyle w:val="Hipervnculo"/>
          </w:rPr>
          <w:t>Implementación, instalación y otros servicios</w:t>
        </w:r>
        <w:r w:rsidR="006803FC" w:rsidRPr="00576AF8">
          <w:rPr>
            <w:webHidden/>
          </w:rPr>
          <w:tab/>
        </w:r>
        <w:r w:rsidR="006803FC" w:rsidRPr="00576AF8">
          <w:rPr>
            <w:webHidden/>
          </w:rPr>
          <w:fldChar w:fldCharType="begin"/>
        </w:r>
        <w:r w:rsidR="006803FC" w:rsidRPr="00576AF8">
          <w:rPr>
            <w:webHidden/>
          </w:rPr>
          <w:instrText xml:space="preserve"> PAGEREF _Toc488959044 \h </w:instrText>
        </w:r>
        <w:r w:rsidR="006803FC" w:rsidRPr="00576AF8">
          <w:rPr>
            <w:webHidden/>
          </w:rPr>
        </w:r>
        <w:r w:rsidR="006803FC" w:rsidRPr="00576AF8">
          <w:rPr>
            <w:webHidden/>
          </w:rPr>
          <w:fldChar w:fldCharType="separate"/>
        </w:r>
        <w:r w:rsidR="000071E3" w:rsidRPr="00576AF8">
          <w:rPr>
            <w:webHidden/>
          </w:rPr>
          <w:t>207</w:t>
        </w:r>
        <w:r w:rsidR="006803FC" w:rsidRPr="00576AF8">
          <w:rPr>
            <w:webHidden/>
          </w:rPr>
          <w:fldChar w:fldCharType="end"/>
        </w:r>
      </w:hyperlink>
    </w:p>
    <w:p w14:paraId="0CD159DA" w14:textId="77777777" w:rsidR="006803FC" w:rsidRPr="00576AF8" w:rsidRDefault="006334E7">
      <w:pPr>
        <w:pStyle w:val="TDC2"/>
        <w:rPr>
          <w:rFonts w:eastAsiaTheme="minorEastAsia"/>
          <w:sz w:val="22"/>
          <w:szCs w:val="22"/>
          <w:lang w:eastAsia="zh-CN" w:bidi="ar-SA"/>
        </w:rPr>
      </w:pPr>
      <w:hyperlink w:anchor="_Toc488959045" w:history="1">
        <w:r w:rsidR="006803FC" w:rsidRPr="00576AF8">
          <w:rPr>
            <w:rStyle w:val="Hipervnculo"/>
          </w:rPr>
          <w:t>25.</w:t>
        </w:r>
        <w:r w:rsidR="006803FC" w:rsidRPr="00576AF8">
          <w:rPr>
            <w:rFonts w:eastAsiaTheme="minorEastAsia"/>
            <w:sz w:val="22"/>
            <w:szCs w:val="22"/>
            <w:lang w:eastAsia="zh-CN" w:bidi="ar-SA"/>
          </w:rPr>
          <w:tab/>
        </w:r>
        <w:r w:rsidR="006803FC" w:rsidRPr="00576AF8">
          <w:rPr>
            <w:rStyle w:val="Hipervnculo"/>
          </w:rPr>
          <w:t>Pruebas e inspecciones</w:t>
        </w:r>
        <w:r w:rsidR="006803FC" w:rsidRPr="00576AF8">
          <w:rPr>
            <w:webHidden/>
          </w:rPr>
          <w:tab/>
        </w:r>
        <w:r w:rsidR="006803FC" w:rsidRPr="00576AF8">
          <w:rPr>
            <w:webHidden/>
          </w:rPr>
          <w:fldChar w:fldCharType="begin"/>
        </w:r>
        <w:r w:rsidR="006803FC" w:rsidRPr="00576AF8">
          <w:rPr>
            <w:webHidden/>
          </w:rPr>
          <w:instrText xml:space="preserve"> PAGEREF _Toc488959045 \h </w:instrText>
        </w:r>
        <w:r w:rsidR="006803FC" w:rsidRPr="00576AF8">
          <w:rPr>
            <w:webHidden/>
          </w:rPr>
        </w:r>
        <w:r w:rsidR="006803FC" w:rsidRPr="00576AF8">
          <w:rPr>
            <w:webHidden/>
          </w:rPr>
          <w:fldChar w:fldCharType="separate"/>
        </w:r>
        <w:r w:rsidR="000071E3" w:rsidRPr="00576AF8">
          <w:rPr>
            <w:webHidden/>
          </w:rPr>
          <w:t>207</w:t>
        </w:r>
        <w:r w:rsidR="006803FC" w:rsidRPr="00576AF8">
          <w:rPr>
            <w:webHidden/>
          </w:rPr>
          <w:fldChar w:fldCharType="end"/>
        </w:r>
      </w:hyperlink>
    </w:p>
    <w:p w14:paraId="5670BE29" w14:textId="77777777" w:rsidR="006803FC" w:rsidRPr="00576AF8" w:rsidRDefault="006334E7">
      <w:pPr>
        <w:pStyle w:val="TDC2"/>
        <w:rPr>
          <w:rFonts w:eastAsiaTheme="minorEastAsia"/>
          <w:sz w:val="22"/>
          <w:szCs w:val="22"/>
          <w:lang w:eastAsia="zh-CN" w:bidi="ar-SA"/>
        </w:rPr>
      </w:pPr>
      <w:hyperlink w:anchor="_Toc488959046" w:history="1">
        <w:r w:rsidR="006803FC" w:rsidRPr="00576AF8">
          <w:rPr>
            <w:rStyle w:val="Hipervnculo"/>
          </w:rPr>
          <w:t>26.</w:t>
        </w:r>
        <w:r w:rsidR="006803FC" w:rsidRPr="00576AF8">
          <w:rPr>
            <w:rFonts w:eastAsiaTheme="minorEastAsia"/>
            <w:sz w:val="22"/>
            <w:szCs w:val="22"/>
            <w:lang w:eastAsia="zh-CN" w:bidi="ar-SA"/>
          </w:rPr>
          <w:tab/>
        </w:r>
        <w:r w:rsidR="006803FC" w:rsidRPr="00576AF8">
          <w:rPr>
            <w:rStyle w:val="Hipervnculo"/>
          </w:rPr>
          <w:t>Instalación del Sistema</w:t>
        </w:r>
        <w:r w:rsidR="006803FC" w:rsidRPr="00576AF8">
          <w:rPr>
            <w:webHidden/>
          </w:rPr>
          <w:tab/>
        </w:r>
        <w:r w:rsidR="006803FC" w:rsidRPr="00576AF8">
          <w:rPr>
            <w:webHidden/>
          </w:rPr>
          <w:fldChar w:fldCharType="begin"/>
        </w:r>
        <w:r w:rsidR="006803FC" w:rsidRPr="00576AF8">
          <w:rPr>
            <w:webHidden/>
          </w:rPr>
          <w:instrText xml:space="preserve"> PAGEREF _Toc488959046 \h </w:instrText>
        </w:r>
        <w:r w:rsidR="006803FC" w:rsidRPr="00576AF8">
          <w:rPr>
            <w:webHidden/>
          </w:rPr>
        </w:r>
        <w:r w:rsidR="006803FC" w:rsidRPr="00576AF8">
          <w:rPr>
            <w:webHidden/>
          </w:rPr>
          <w:fldChar w:fldCharType="separate"/>
        </w:r>
        <w:r w:rsidR="000071E3" w:rsidRPr="00576AF8">
          <w:rPr>
            <w:webHidden/>
          </w:rPr>
          <w:t>208</w:t>
        </w:r>
        <w:r w:rsidR="006803FC" w:rsidRPr="00576AF8">
          <w:rPr>
            <w:webHidden/>
          </w:rPr>
          <w:fldChar w:fldCharType="end"/>
        </w:r>
      </w:hyperlink>
    </w:p>
    <w:p w14:paraId="3E3C0D0D" w14:textId="77777777" w:rsidR="006803FC" w:rsidRPr="00576AF8" w:rsidRDefault="006334E7">
      <w:pPr>
        <w:pStyle w:val="TDC2"/>
        <w:rPr>
          <w:rFonts w:eastAsiaTheme="minorEastAsia"/>
          <w:sz w:val="22"/>
          <w:szCs w:val="22"/>
          <w:lang w:eastAsia="zh-CN" w:bidi="ar-SA"/>
        </w:rPr>
      </w:pPr>
      <w:hyperlink w:anchor="_Toc488959047" w:history="1">
        <w:r w:rsidR="006803FC" w:rsidRPr="00576AF8">
          <w:rPr>
            <w:rStyle w:val="Hipervnculo"/>
          </w:rPr>
          <w:t>27.</w:t>
        </w:r>
        <w:r w:rsidR="006803FC" w:rsidRPr="00576AF8">
          <w:rPr>
            <w:rFonts w:eastAsiaTheme="minorEastAsia"/>
            <w:sz w:val="22"/>
            <w:szCs w:val="22"/>
            <w:lang w:eastAsia="zh-CN" w:bidi="ar-SA"/>
          </w:rPr>
          <w:tab/>
        </w:r>
        <w:r w:rsidR="006803FC" w:rsidRPr="00576AF8">
          <w:rPr>
            <w:rStyle w:val="Hipervnculo"/>
          </w:rPr>
          <w:t>Puesta en servicio y aceptación operativa</w:t>
        </w:r>
        <w:r w:rsidR="006803FC" w:rsidRPr="00576AF8">
          <w:rPr>
            <w:webHidden/>
          </w:rPr>
          <w:tab/>
        </w:r>
        <w:r w:rsidR="006803FC" w:rsidRPr="00576AF8">
          <w:rPr>
            <w:webHidden/>
          </w:rPr>
          <w:fldChar w:fldCharType="begin"/>
        </w:r>
        <w:r w:rsidR="006803FC" w:rsidRPr="00576AF8">
          <w:rPr>
            <w:webHidden/>
          </w:rPr>
          <w:instrText xml:space="preserve"> PAGEREF _Toc488959047 \h </w:instrText>
        </w:r>
        <w:r w:rsidR="006803FC" w:rsidRPr="00576AF8">
          <w:rPr>
            <w:webHidden/>
          </w:rPr>
        </w:r>
        <w:r w:rsidR="006803FC" w:rsidRPr="00576AF8">
          <w:rPr>
            <w:webHidden/>
          </w:rPr>
          <w:fldChar w:fldCharType="separate"/>
        </w:r>
        <w:r w:rsidR="000071E3" w:rsidRPr="00576AF8">
          <w:rPr>
            <w:webHidden/>
          </w:rPr>
          <w:t>209</w:t>
        </w:r>
        <w:r w:rsidR="006803FC" w:rsidRPr="00576AF8">
          <w:rPr>
            <w:webHidden/>
          </w:rPr>
          <w:fldChar w:fldCharType="end"/>
        </w:r>
      </w:hyperlink>
    </w:p>
    <w:p w14:paraId="20CD839E"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48" w:history="1">
        <w:r w:rsidR="006803FC" w:rsidRPr="00576AF8">
          <w:rPr>
            <w:rStyle w:val="Hipervnculo"/>
            <w:rFonts w:ascii="Times New Roman" w:hAnsi="Times New Roman"/>
            <w:noProof/>
          </w:rPr>
          <w:t>F.  Garantías y responsabilidades</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_Toc488959048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214</w:t>
        </w:r>
        <w:r w:rsidR="006803FC" w:rsidRPr="00576AF8">
          <w:rPr>
            <w:rFonts w:ascii="Times New Roman" w:hAnsi="Times New Roman"/>
            <w:noProof/>
            <w:webHidden/>
          </w:rPr>
          <w:fldChar w:fldCharType="end"/>
        </w:r>
      </w:hyperlink>
    </w:p>
    <w:p w14:paraId="073EFA5A" w14:textId="77777777" w:rsidR="006803FC" w:rsidRPr="00576AF8" w:rsidRDefault="006334E7">
      <w:pPr>
        <w:pStyle w:val="TDC2"/>
        <w:rPr>
          <w:rFonts w:eastAsiaTheme="minorEastAsia"/>
          <w:sz w:val="22"/>
          <w:szCs w:val="22"/>
          <w:lang w:eastAsia="zh-CN" w:bidi="ar-SA"/>
        </w:rPr>
      </w:pPr>
      <w:hyperlink w:anchor="_Toc488959049" w:history="1">
        <w:r w:rsidR="006803FC" w:rsidRPr="00576AF8">
          <w:rPr>
            <w:rStyle w:val="Hipervnculo"/>
          </w:rPr>
          <w:t>28.</w:t>
        </w:r>
        <w:r w:rsidR="006803FC" w:rsidRPr="00576AF8">
          <w:rPr>
            <w:rFonts w:eastAsiaTheme="minorEastAsia"/>
            <w:sz w:val="22"/>
            <w:szCs w:val="22"/>
            <w:lang w:eastAsia="zh-CN" w:bidi="ar-SA"/>
          </w:rPr>
          <w:tab/>
        </w:r>
        <w:r w:rsidR="006803FC" w:rsidRPr="00576AF8">
          <w:rPr>
            <w:rStyle w:val="Hipervnculo"/>
          </w:rPr>
          <w:t>Garantía relativa al plazo para obtener la aceptación operativa</w:t>
        </w:r>
        <w:r w:rsidR="006803FC" w:rsidRPr="00576AF8">
          <w:rPr>
            <w:webHidden/>
          </w:rPr>
          <w:tab/>
        </w:r>
        <w:r w:rsidR="006803FC" w:rsidRPr="00576AF8">
          <w:rPr>
            <w:webHidden/>
          </w:rPr>
          <w:fldChar w:fldCharType="begin"/>
        </w:r>
        <w:r w:rsidR="006803FC" w:rsidRPr="00576AF8">
          <w:rPr>
            <w:webHidden/>
          </w:rPr>
          <w:instrText xml:space="preserve"> PAGEREF _Toc488959049 \h </w:instrText>
        </w:r>
        <w:r w:rsidR="006803FC" w:rsidRPr="00576AF8">
          <w:rPr>
            <w:webHidden/>
          </w:rPr>
        </w:r>
        <w:r w:rsidR="006803FC" w:rsidRPr="00576AF8">
          <w:rPr>
            <w:webHidden/>
          </w:rPr>
          <w:fldChar w:fldCharType="separate"/>
        </w:r>
        <w:r w:rsidR="000071E3" w:rsidRPr="00576AF8">
          <w:rPr>
            <w:webHidden/>
          </w:rPr>
          <w:t>214</w:t>
        </w:r>
        <w:r w:rsidR="006803FC" w:rsidRPr="00576AF8">
          <w:rPr>
            <w:webHidden/>
          </w:rPr>
          <w:fldChar w:fldCharType="end"/>
        </w:r>
      </w:hyperlink>
    </w:p>
    <w:p w14:paraId="1616F9C8" w14:textId="77777777" w:rsidR="006803FC" w:rsidRPr="00576AF8" w:rsidRDefault="006334E7">
      <w:pPr>
        <w:pStyle w:val="TDC2"/>
        <w:rPr>
          <w:rFonts w:eastAsiaTheme="minorEastAsia"/>
          <w:sz w:val="22"/>
          <w:szCs w:val="22"/>
          <w:lang w:eastAsia="zh-CN" w:bidi="ar-SA"/>
        </w:rPr>
      </w:pPr>
      <w:hyperlink w:anchor="_Toc488959050" w:history="1">
        <w:r w:rsidR="006803FC" w:rsidRPr="00576AF8">
          <w:rPr>
            <w:rStyle w:val="Hipervnculo"/>
          </w:rPr>
          <w:t>29.</w:t>
        </w:r>
        <w:r w:rsidR="006803FC" w:rsidRPr="00576AF8">
          <w:rPr>
            <w:rFonts w:eastAsiaTheme="minorEastAsia"/>
            <w:sz w:val="22"/>
            <w:szCs w:val="22"/>
            <w:lang w:eastAsia="zh-CN" w:bidi="ar-SA"/>
          </w:rPr>
          <w:tab/>
        </w:r>
        <w:r w:rsidR="006803FC" w:rsidRPr="00576AF8">
          <w:rPr>
            <w:rStyle w:val="Hipervnculo"/>
          </w:rPr>
          <w:t>Responsabilidad por defectos</w:t>
        </w:r>
        <w:r w:rsidR="006803FC" w:rsidRPr="00576AF8">
          <w:rPr>
            <w:webHidden/>
          </w:rPr>
          <w:tab/>
        </w:r>
        <w:r w:rsidR="006803FC" w:rsidRPr="00576AF8">
          <w:rPr>
            <w:webHidden/>
          </w:rPr>
          <w:fldChar w:fldCharType="begin"/>
        </w:r>
        <w:r w:rsidR="006803FC" w:rsidRPr="00576AF8">
          <w:rPr>
            <w:webHidden/>
          </w:rPr>
          <w:instrText xml:space="preserve"> PAGEREF _Toc488959050 \h </w:instrText>
        </w:r>
        <w:r w:rsidR="006803FC" w:rsidRPr="00576AF8">
          <w:rPr>
            <w:webHidden/>
          </w:rPr>
        </w:r>
        <w:r w:rsidR="006803FC" w:rsidRPr="00576AF8">
          <w:rPr>
            <w:webHidden/>
          </w:rPr>
          <w:fldChar w:fldCharType="separate"/>
        </w:r>
        <w:r w:rsidR="000071E3" w:rsidRPr="00576AF8">
          <w:rPr>
            <w:webHidden/>
          </w:rPr>
          <w:t>215</w:t>
        </w:r>
        <w:r w:rsidR="006803FC" w:rsidRPr="00576AF8">
          <w:rPr>
            <w:webHidden/>
          </w:rPr>
          <w:fldChar w:fldCharType="end"/>
        </w:r>
      </w:hyperlink>
    </w:p>
    <w:p w14:paraId="0A793225" w14:textId="77777777" w:rsidR="006803FC" w:rsidRPr="00576AF8" w:rsidRDefault="006334E7">
      <w:pPr>
        <w:pStyle w:val="TDC2"/>
        <w:rPr>
          <w:rFonts w:eastAsiaTheme="minorEastAsia"/>
          <w:sz w:val="22"/>
          <w:szCs w:val="22"/>
          <w:lang w:eastAsia="zh-CN" w:bidi="ar-SA"/>
        </w:rPr>
      </w:pPr>
      <w:hyperlink w:anchor="_Toc488959051" w:history="1">
        <w:r w:rsidR="006803FC" w:rsidRPr="00576AF8">
          <w:rPr>
            <w:rStyle w:val="Hipervnculo"/>
          </w:rPr>
          <w:t>30.</w:t>
        </w:r>
        <w:r w:rsidR="006803FC" w:rsidRPr="00576AF8">
          <w:rPr>
            <w:rFonts w:eastAsiaTheme="minorEastAsia"/>
            <w:sz w:val="22"/>
            <w:szCs w:val="22"/>
            <w:lang w:eastAsia="zh-CN" w:bidi="ar-SA"/>
          </w:rPr>
          <w:tab/>
        </w:r>
        <w:r w:rsidR="006803FC" w:rsidRPr="00576AF8">
          <w:rPr>
            <w:rStyle w:val="Hipervnculo"/>
          </w:rPr>
          <w:t>Garantías de funcionamiento</w:t>
        </w:r>
        <w:r w:rsidR="006803FC" w:rsidRPr="00576AF8">
          <w:rPr>
            <w:webHidden/>
          </w:rPr>
          <w:tab/>
        </w:r>
        <w:r w:rsidR="006803FC" w:rsidRPr="00576AF8">
          <w:rPr>
            <w:webHidden/>
          </w:rPr>
          <w:fldChar w:fldCharType="begin"/>
        </w:r>
        <w:r w:rsidR="006803FC" w:rsidRPr="00576AF8">
          <w:rPr>
            <w:webHidden/>
          </w:rPr>
          <w:instrText xml:space="preserve"> PAGEREF _Toc488959051 \h </w:instrText>
        </w:r>
        <w:r w:rsidR="006803FC" w:rsidRPr="00576AF8">
          <w:rPr>
            <w:webHidden/>
          </w:rPr>
        </w:r>
        <w:r w:rsidR="006803FC" w:rsidRPr="00576AF8">
          <w:rPr>
            <w:webHidden/>
          </w:rPr>
          <w:fldChar w:fldCharType="separate"/>
        </w:r>
        <w:r w:rsidR="000071E3" w:rsidRPr="00576AF8">
          <w:rPr>
            <w:webHidden/>
          </w:rPr>
          <w:t>218</w:t>
        </w:r>
        <w:r w:rsidR="006803FC" w:rsidRPr="00576AF8">
          <w:rPr>
            <w:webHidden/>
          </w:rPr>
          <w:fldChar w:fldCharType="end"/>
        </w:r>
      </w:hyperlink>
    </w:p>
    <w:p w14:paraId="668569AA" w14:textId="77777777" w:rsidR="006803FC" w:rsidRPr="00576AF8" w:rsidRDefault="006334E7">
      <w:pPr>
        <w:pStyle w:val="TDC2"/>
        <w:rPr>
          <w:rFonts w:eastAsiaTheme="minorEastAsia"/>
          <w:sz w:val="22"/>
          <w:szCs w:val="22"/>
          <w:lang w:eastAsia="zh-CN" w:bidi="ar-SA"/>
        </w:rPr>
      </w:pPr>
      <w:hyperlink w:anchor="_Toc488959052" w:history="1">
        <w:r w:rsidR="006803FC" w:rsidRPr="00576AF8">
          <w:rPr>
            <w:rStyle w:val="Hipervnculo"/>
          </w:rPr>
          <w:t>31.</w:t>
        </w:r>
        <w:r w:rsidR="006803FC" w:rsidRPr="00576AF8">
          <w:rPr>
            <w:rFonts w:eastAsiaTheme="minorEastAsia"/>
            <w:sz w:val="22"/>
            <w:szCs w:val="22"/>
            <w:lang w:eastAsia="zh-CN" w:bidi="ar-SA"/>
          </w:rPr>
          <w:tab/>
        </w:r>
        <w:r w:rsidR="006803FC" w:rsidRPr="00576AF8">
          <w:rPr>
            <w:rStyle w:val="Hipervnculo"/>
          </w:rPr>
          <w:t>Garantía sobre derechos de propiedad intelectual</w:t>
        </w:r>
        <w:r w:rsidR="006803FC" w:rsidRPr="00576AF8">
          <w:rPr>
            <w:webHidden/>
          </w:rPr>
          <w:tab/>
        </w:r>
        <w:r w:rsidR="006803FC" w:rsidRPr="00576AF8">
          <w:rPr>
            <w:webHidden/>
          </w:rPr>
          <w:fldChar w:fldCharType="begin"/>
        </w:r>
        <w:r w:rsidR="006803FC" w:rsidRPr="00576AF8">
          <w:rPr>
            <w:webHidden/>
          </w:rPr>
          <w:instrText xml:space="preserve"> PAGEREF _Toc488959052 \h </w:instrText>
        </w:r>
        <w:r w:rsidR="006803FC" w:rsidRPr="00576AF8">
          <w:rPr>
            <w:webHidden/>
          </w:rPr>
        </w:r>
        <w:r w:rsidR="006803FC" w:rsidRPr="00576AF8">
          <w:rPr>
            <w:webHidden/>
          </w:rPr>
          <w:fldChar w:fldCharType="separate"/>
        </w:r>
        <w:r w:rsidR="000071E3" w:rsidRPr="00576AF8">
          <w:rPr>
            <w:webHidden/>
          </w:rPr>
          <w:t>219</w:t>
        </w:r>
        <w:r w:rsidR="006803FC" w:rsidRPr="00576AF8">
          <w:rPr>
            <w:webHidden/>
          </w:rPr>
          <w:fldChar w:fldCharType="end"/>
        </w:r>
      </w:hyperlink>
    </w:p>
    <w:p w14:paraId="27338FC0" w14:textId="77777777" w:rsidR="006803FC" w:rsidRPr="00576AF8" w:rsidRDefault="006334E7">
      <w:pPr>
        <w:pStyle w:val="TDC2"/>
        <w:rPr>
          <w:rFonts w:eastAsiaTheme="minorEastAsia"/>
          <w:sz w:val="22"/>
          <w:szCs w:val="22"/>
          <w:lang w:eastAsia="zh-CN" w:bidi="ar-SA"/>
        </w:rPr>
      </w:pPr>
      <w:hyperlink w:anchor="_Toc488959053" w:history="1">
        <w:r w:rsidR="006803FC" w:rsidRPr="00576AF8">
          <w:rPr>
            <w:rStyle w:val="Hipervnculo"/>
          </w:rPr>
          <w:t>32.</w:t>
        </w:r>
        <w:r w:rsidR="006803FC" w:rsidRPr="00576AF8">
          <w:rPr>
            <w:rFonts w:eastAsiaTheme="minorEastAsia"/>
            <w:sz w:val="22"/>
            <w:szCs w:val="22"/>
            <w:lang w:eastAsia="zh-CN" w:bidi="ar-SA"/>
          </w:rPr>
          <w:tab/>
        </w:r>
        <w:r w:rsidR="00682368" w:rsidRPr="00576AF8">
          <w:t>I</w:t>
        </w:r>
        <w:r w:rsidR="00EA03EE" w:rsidRPr="00576AF8">
          <w:t>ndemnización</w:t>
        </w:r>
        <w:r w:rsidR="006803FC" w:rsidRPr="00576AF8">
          <w:rPr>
            <w:rStyle w:val="Hipervnculo"/>
          </w:rPr>
          <w:t xml:space="preserve"> relacionada con los derechos de propiedad intelectual</w:t>
        </w:r>
        <w:r w:rsidR="006803FC" w:rsidRPr="00576AF8">
          <w:rPr>
            <w:webHidden/>
          </w:rPr>
          <w:tab/>
        </w:r>
        <w:r w:rsidR="006803FC" w:rsidRPr="00576AF8">
          <w:rPr>
            <w:webHidden/>
          </w:rPr>
          <w:fldChar w:fldCharType="begin"/>
        </w:r>
        <w:r w:rsidR="006803FC" w:rsidRPr="00576AF8">
          <w:rPr>
            <w:webHidden/>
          </w:rPr>
          <w:instrText xml:space="preserve"> PAGEREF _Toc488959053 \h </w:instrText>
        </w:r>
        <w:r w:rsidR="006803FC" w:rsidRPr="00576AF8">
          <w:rPr>
            <w:webHidden/>
          </w:rPr>
        </w:r>
        <w:r w:rsidR="006803FC" w:rsidRPr="00576AF8">
          <w:rPr>
            <w:webHidden/>
          </w:rPr>
          <w:fldChar w:fldCharType="separate"/>
        </w:r>
        <w:r w:rsidR="000071E3" w:rsidRPr="00576AF8">
          <w:rPr>
            <w:webHidden/>
          </w:rPr>
          <w:t>219</w:t>
        </w:r>
        <w:r w:rsidR="006803FC" w:rsidRPr="00576AF8">
          <w:rPr>
            <w:webHidden/>
          </w:rPr>
          <w:fldChar w:fldCharType="end"/>
        </w:r>
      </w:hyperlink>
    </w:p>
    <w:p w14:paraId="001E8F4C" w14:textId="77777777" w:rsidR="006803FC" w:rsidRPr="00576AF8" w:rsidRDefault="006334E7">
      <w:pPr>
        <w:pStyle w:val="TDC2"/>
        <w:rPr>
          <w:rFonts w:eastAsiaTheme="minorEastAsia"/>
          <w:sz w:val="22"/>
          <w:szCs w:val="22"/>
          <w:lang w:eastAsia="zh-CN" w:bidi="ar-SA"/>
        </w:rPr>
      </w:pPr>
      <w:hyperlink w:anchor="_Toc488959054" w:history="1">
        <w:r w:rsidR="006803FC" w:rsidRPr="00576AF8">
          <w:rPr>
            <w:rStyle w:val="Hipervnculo"/>
          </w:rPr>
          <w:t>33.</w:t>
        </w:r>
        <w:r w:rsidR="006803FC" w:rsidRPr="00576AF8">
          <w:rPr>
            <w:rFonts w:eastAsiaTheme="minorEastAsia"/>
            <w:sz w:val="22"/>
            <w:szCs w:val="22"/>
            <w:lang w:eastAsia="zh-CN" w:bidi="ar-SA"/>
          </w:rPr>
          <w:tab/>
        </w:r>
        <w:r w:rsidR="006803FC" w:rsidRPr="00576AF8">
          <w:rPr>
            <w:rStyle w:val="Hipervnculo"/>
          </w:rPr>
          <w:t>Limitación de responsabilidad</w:t>
        </w:r>
        <w:r w:rsidR="006803FC" w:rsidRPr="00576AF8">
          <w:rPr>
            <w:webHidden/>
          </w:rPr>
          <w:tab/>
        </w:r>
        <w:r w:rsidR="006803FC" w:rsidRPr="00576AF8">
          <w:rPr>
            <w:webHidden/>
          </w:rPr>
          <w:fldChar w:fldCharType="begin"/>
        </w:r>
        <w:r w:rsidR="006803FC" w:rsidRPr="00576AF8">
          <w:rPr>
            <w:webHidden/>
          </w:rPr>
          <w:instrText xml:space="preserve"> PAGEREF _Toc488959054 \h </w:instrText>
        </w:r>
        <w:r w:rsidR="006803FC" w:rsidRPr="00576AF8">
          <w:rPr>
            <w:webHidden/>
          </w:rPr>
        </w:r>
        <w:r w:rsidR="006803FC" w:rsidRPr="00576AF8">
          <w:rPr>
            <w:webHidden/>
          </w:rPr>
          <w:fldChar w:fldCharType="separate"/>
        </w:r>
        <w:r w:rsidR="000071E3" w:rsidRPr="00576AF8">
          <w:rPr>
            <w:webHidden/>
          </w:rPr>
          <w:t>222</w:t>
        </w:r>
        <w:r w:rsidR="006803FC" w:rsidRPr="00576AF8">
          <w:rPr>
            <w:webHidden/>
          </w:rPr>
          <w:fldChar w:fldCharType="end"/>
        </w:r>
      </w:hyperlink>
    </w:p>
    <w:p w14:paraId="2F6C0238"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55" w:history="1">
        <w:r w:rsidR="006803FC" w:rsidRPr="00576AF8">
          <w:rPr>
            <w:rStyle w:val="Hipervnculo"/>
            <w:rFonts w:ascii="Times New Roman" w:hAnsi="Times New Roman"/>
            <w:noProof/>
          </w:rPr>
          <w:t>G.  Distribución de los riesgos</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_Toc488959055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222</w:t>
        </w:r>
        <w:r w:rsidR="006803FC" w:rsidRPr="00576AF8">
          <w:rPr>
            <w:rFonts w:ascii="Times New Roman" w:hAnsi="Times New Roman"/>
            <w:noProof/>
            <w:webHidden/>
          </w:rPr>
          <w:fldChar w:fldCharType="end"/>
        </w:r>
      </w:hyperlink>
    </w:p>
    <w:p w14:paraId="5D9DED3E" w14:textId="77777777" w:rsidR="006803FC" w:rsidRPr="00576AF8" w:rsidRDefault="006334E7">
      <w:pPr>
        <w:pStyle w:val="TDC2"/>
        <w:rPr>
          <w:rFonts w:eastAsiaTheme="minorEastAsia"/>
          <w:sz w:val="22"/>
          <w:szCs w:val="22"/>
          <w:lang w:eastAsia="zh-CN" w:bidi="ar-SA"/>
        </w:rPr>
      </w:pPr>
      <w:hyperlink w:anchor="_Toc488959056" w:history="1">
        <w:r w:rsidR="006803FC" w:rsidRPr="00576AF8">
          <w:rPr>
            <w:rStyle w:val="Hipervnculo"/>
          </w:rPr>
          <w:t>34.</w:t>
        </w:r>
        <w:r w:rsidR="006803FC" w:rsidRPr="00576AF8">
          <w:rPr>
            <w:rFonts w:eastAsiaTheme="minorEastAsia"/>
            <w:sz w:val="22"/>
            <w:szCs w:val="22"/>
            <w:lang w:eastAsia="zh-CN" w:bidi="ar-SA"/>
          </w:rPr>
          <w:tab/>
        </w:r>
        <w:r w:rsidR="006803FC" w:rsidRPr="00576AF8">
          <w:rPr>
            <w:rStyle w:val="Hipervnculo"/>
          </w:rPr>
          <w:t>Traspaso de la propiedad</w:t>
        </w:r>
        <w:r w:rsidR="006803FC" w:rsidRPr="00576AF8">
          <w:rPr>
            <w:webHidden/>
          </w:rPr>
          <w:tab/>
        </w:r>
        <w:r w:rsidR="006803FC" w:rsidRPr="00576AF8">
          <w:rPr>
            <w:webHidden/>
          </w:rPr>
          <w:fldChar w:fldCharType="begin"/>
        </w:r>
        <w:r w:rsidR="006803FC" w:rsidRPr="00576AF8">
          <w:rPr>
            <w:webHidden/>
          </w:rPr>
          <w:instrText xml:space="preserve"> PAGEREF _Toc488959056 \h </w:instrText>
        </w:r>
        <w:r w:rsidR="006803FC" w:rsidRPr="00576AF8">
          <w:rPr>
            <w:webHidden/>
          </w:rPr>
        </w:r>
        <w:r w:rsidR="006803FC" w:rsidRPr="00576AF8">
          <w:rPr>
            <w:webHidden/>
          </w:rPr>
          <w:fldChar w:fldCharType="separate"/>
        </w:r>
        <w:r w:rsidR="000071E3" w:rsidRPr="00576AF8">
          <w:rPr>
            <w:webHidden/>
          </w:rPr>
          <w:t>222</w:t>
        </w:r>
        <w:r w:rsidR="006803FC" w:rsidRPr="00576AF8">
          <w:rPr>
            <w:webHidden/>
          </w:rPr>
          <w:fldChar w:fldCharType="end"/>
        </w:r>
      </w:hyperlink>
    </w:p>
    <w:p w14:paraId="0EA35604" w14:textId="77777777" w:rsidR="006803FC" w:rsidRPr="00576AF8" w:rsidRDefault="006334E7">
      <w:pPr>
        <w:pStyle w:val="TDC2"/>
        <w:rPr>
          <w:rFonts w:eastAsiaTheme="minorEastAsia"/>
          <w:sz w:val="22"/>
          <w:szCs w:val="22"/>
          <w:lang w:eastAsia="zh-CN" w:bidi="ar-SA"/>
        </w:rPr>
      </w:pPr>
      <w:hyperlink w:anchor="_Toc488959057" w:history="1">
        <w:r w:rsidR="006803FC" w:rsidRPr="00576AF8">
          <w:rPr>
            <w:rStyle w:val="Hipervnculo"/>
          </w:rPr>
          <w:t>35.</w:t>
        </w:r>
        <w:r w:rsidR="006803FC" w:rsidRPr="00576AF8">
          <w:rPr>
            <w:rFonts w:eastAsiaTheme="minorEastAsia"/>
            <w:sz w:val="22"/>
            <w:szCs w:val="22"/>
            <w:lang w:eastAsia="zh-CN" w:bidi="ar-SA"/>
          </w:rPr>
          <w:tab/>
        </w:r>
        <w:r w:rsidR="006803FC" w:rsidRPr="00576AF8">
          <w:rPr>
            <w:rStyle w:val="Hipervnculo"/>
          </w:rPr>
          <w:t>Cuidado del Sistema</w:t>
        </w:r>
        <w:r w:rsidR="006803FC" w:rsidRPr="00576AF8">
          <w:rPr>
            <w:webHidden/>
          </w:rPr>
          <w:tab/>
        </w:r>
        <w:r w:rsidR="006803FC" w:rsidRPr="00576AF8">
          <w:rPr>
            <w:webHidden/>
          </w:rPr>
          <w:fldChar w:fldCharType="begin"/>
        </w:r>
        <w:r w:rsidR="006803FC" w:rsidRPr="00576AF8">
          <w:rPr>
            <w:webHidden/>
          </w:rPr>
          <w:instrText xml:space="preserve"> PAGEREF _Toc488959057 \h </w:instrText>
        </w:r>
        <w:r w:rsidR="006803FC" w:rsidRPr="00576AF8">
          <w:rPr>
            <w:webHidden/>
          </w:rPr>
        </w:r>
        <w:r w:rsidR="006803FC" w:rsidRPr="00576AF8">
          <w:rPr>
            <w:webHidden/>
          </w:rPr>
          <w:fldChar w:fldCharType="separate"/>
        </w:r>
        <w:r w:rsidR="000071E3" w:rsidRPr="00576AF8">
          <w:rPr>
            <w:webHidden/>
          </w:rPr>
          <w:t>223</w:t>
        </w:r>
        <w:r w:rsidR="006803FC" w:rsidRPr="00576AF8">
          <w:rPr>
            <w:webHidden/>
          </w:rPr>
          <w:fldChar w:fldCharType="end"/>
        </w:r>
      </w:hyperlink>
    </w:p>
    <w:p w14:paraId="2B279FE9" w14:textId="77777777" w:rsidR="006803FC" w:rsidRPr="00576AF8" w:rsidRDefault="006334E7">
      <w:pPr>
        <w:pStyle w:val="TDC2"/>
        <w:rPr>
          <w:rFonts w:eastAsiaTheme="minorEastAsia"/>
          <w:sz w:val="22"/>
          <w:szCs w:val="22"/>
          <w:lang w:eastAsia="zh-CN" w:bidi="ar-SA"/>
        </w:rPr>
      </w:pPr>
      <w:hyperlink w:anchor="_Toc488959058" w:history="1">
        <w:r w:rsidR="006803FC" w:rsidRPr="00576AF8">
          <w:rPr>
            <w:rStyle w:val="Hipervnculo"/>
          </w:rPr>
          <w:t>36.</w:t>
        </w:r>
        <w:r w:rsidR="006803FC" w:rsidRPr="00576AF8">
          <w:rPr>
            <w:rFonts w:eastAsiaTheme="minorEastAsia"/>
            <w:sz w:val="22"/>
            <w:szCs w:val="22"/>
            <w:lang w:eastAsia="zh-CN" w:bidi="ar-SA"/>
          </w:rPr>
          <w:tab/>
        </w:r>
        <w:r w:rsidR="006803FC" w:rsidRPr="00576AF8">
          <w:rPr>
            <w:rStyle w:val="Hipervnculo"/>
          </w:rPr>
          <w:t>Pérdidas o daños materiales; lesiones o accidentes laborales; exenciones de responsabilidad</w:t>
        </w:r>
        <w:r w:rsidR="006803FC" w:rsidRPr="00576AF8">
          <w:rPr>
            <w:webHidden/>
          </w:rPr>
          <w:tab/>
        </w:r>
        <w:r w:rsidR="006803FC" w:rsidRPr="00576AF8">
          <w:rPr>
            <w:webHidden/>
          </w:rPr>
          <w:fldChar w:fldCharType="begin"/>
        </w:r>
        <w:r w:rsidR="006803FC" w:rsidRPr="00576AF8">
          <w:rPr>
            <w:webHidden/>
          </w:rPr>
          <w:instrText xml:space="preserve"> PAGEREF _Toc488959058 \h </w:instrText>
        </w:r>
        <w:r w:rsidR="006803FC" w:rsidRPr="00576AF8">
          <w:rPr>
            <w:webHidden/>
          </w:rPr>
        </w:r>
        <w:r w:rsidR="006803FC" w:rsidRPr="00576AF8">
          <w:rPr>
            <w:webHidden/>
          </w:rPr>
          <w:fldChar w:fldCharType="separate"/>
        </w:r>
        <w:r w:rsidR="000071E3" w:rsidRPr="00576AF8">
          <w:rPr>
            <w:webHidden/>
          </w:rPr>
          <w:t>225</w:t>
        </w:r>
        <w:r w:rsidR="006803FC" w:rsidRPr="00576AF8">
          <w:rPr>
            <w:webHidden/>
          </w:rPr>
          <w:fldChar w:fldCharType="end"/>
        </w:r>
      </w:hyperlink>
    </w:p>
    <w:p w14:paraId="2A2E79EC" w14:textId="77777777" w:rsidR="006803FC" w:rsidRPr="00576AF8" w:rsidRDefault="006334E7">
      <w:pPr>
        <w:pStyle w:val="TDC2"/>
        <w:rPr>
          <w:rFonts w:eastAsiaTheme="minorEastAsia"/>
          <w:sz w:val="22"/>
          <w:szCs w:val="22"/>
          <w:lang w:eastAsia="zh-CN" w:bidi="ar-SA"/>
        </w:rPr>
      </w:pPr>
      <w:hyperlink w:anchor="_Toc488959059" w:history="1">
        <w:r w:rsidR="006803FC" w:rsidRPr="00576AF8">
          <w:rPr>
            <w:rStyle w:val="Hipervnculo"/>
          </w:rPr>
          <w:t>37.</w:t>
        </w:r>
        <w:r w:rsidR="006803FC" w:rsidRPr="00576AF8">
          <w:rPr>
            <w:rFonts w:eastAsiaTheme="minorEastAsia"/>
            <w:sz w:val="22"/>
            <w:szCs w:val="22"/>
            <w:lang w:eastAsia="zh-CN" w:bidi="ar-SA"/>
          </w:rPr>
          <w:tab/>
        </w:r>
        <w:r w:rsidR="006803FC" w:rsidRPr="00576AF8">
          <w:rPr>
            <w:rStyle w:val="Hipervnculo"/>
          </w:rPr>
          <w:t>Seguros</w:t>
        </w:r>
        <w:r w:rsidR="006803FC" w:rsidRPr="00576AF8">
          <w:rPr>
            <w:webHidden/>
          </w:rPr>
          <w:tab/>
        </w:r>
        <w:r w:rsidR="006803FC" w:rsidRPr="00576AF8">
          <w:rPr>
            <w:webHidden/>
          </w:rPr>
          <w:fldChar w:fldCharType="begin"/>
        </w:r>
        <w:r w:rsidR="006803FC" w:rsidRPr="00576AF8">
          <w:rPr>
            <w:webHidden/>
          </w:rPr>
          <w:instrText xml:space="preserve"> PAGEREF _Toc488959059 \h </w:instrText>
        </w:r>
        <w:r w:rsidR="006803FC" w:rsidRPr="00576AF8">
          <w:rPr>
            <w:webHidden/>
          </w:rPr>
        </w:r>
        <w:r w:rsidR="006803FC" w:rsidRPr="00576AF8">
          <w:rPr>
            <w:webHidden/>
          </w:rPr>
          <w:fldChar w:fldCharType="separate"/>
        </w:r>
        <w:r w:rsidR="000071E3" w:rsidRPr="00576AF8">
          <w:rPr>
            <w:webHidden/>
          </w:rPr>
          <w:t>226</w:t>
        </w:r>
        <w:r w:rsidR="006803FC" w:rsidRPr="00576AF8">
          <w:rPr>
            <w:webHidden/>
          </w:rPr>
          <w:fldChar w:fldCharType="end"/>
        </w:r>
      </w:hyperlink>
    </w:p>
    <w:p w14:paraId="54082920" w14:textId="77777777" w:rsidR="006803FC" w:rsidRPr="00576AF8" w:rsidRDefault="006334E7">
      <w:pPr>
        <w:pStyle w:val="TDC2"/>
        <w:rPr>
          <w:rFonts w:eastAsiaTheme="minorEastAsia"/>
          <w:sz w:val="22"/>
          <w:szCs w:val="22"/>
          <w:lang w:eastAsia="zh-CN" w:bidi="ar-SA"/>
        </w:rPr>
      </w:pPr>
      <w:hyperlink w:anchor="_Toc488959060" w:history="1">
        <w:r w:rsidR="006803FC" w:rsidRPr="00576AF8">
          <w:rPr>
            <w:rStyle w:val="Hipervnculo"/>
          </w:rPr>
          <w:t>38.</w:t>
        </w:r>
        <w:r w:rsidR="006803FC" w:rsidRPr="00576AF8">
          <w:rPr>
            <w:rFonts w:eastAsiaTheme="minorEastAsia"/>
            <w:sz w:val="22"/>
            <w:szCs w:val="22"/>
            <w:lang w:eastAsia="zh-CN" w:bidi="ar-SA"/>
          </w:rPr>
          <w:tab/>
        </w:r>
        <w:r w:rsidR="006803FC" w:rsidRPr="00576AF8">
          <w:rPr>
            <w:rStyle w:val="Hipervnculo"/>
          </w:rPr>
          <w:t>Fuerza mayor</w:t>
        </w:r>
        <w:r w:rsidR="006803FC" w:rsidRPr="00576AF8">
          <w:rPr>
            <w:webHidden/>
          </w:rPr>
          <w:tab/>
        </w:r>
        <w:r w:rsidR="006803FC" w:rsidRPr="00576AF8">
          <w:rPr>
            <w:webHidden/>
          </w:rPr>
          <w:fldChar w:fldCharType="begin"/>
        </w:r>
        <w:r w:rsidR="006803FC" w:rsidRPr="00576AF8">
          <w:rPr>
            <w:webHidden/>
          </w:rPr>
          <w:instrText xml:space="preserve"> PAGEREF _Toc488959060 \h </w:instrText>
        </w:r>
        <w:r w:rsidR="006803FC" w:rsidRPr="00576AF8">
          <w:rPr>
            <w:webHidden/>
          </w:rPr>
        </w:r>
        <w:r w:rsidR="006803FC" w:rsidRPr="00576AF8">
          <w:rPr>
            <w:webHidden/>
          </w:rPr>
          <w:fldChar w:fldCharType="separate"/>
        </w:r>
        <w:r w:rsidR="000071E3" w:rsidRPr="00576AF8">
          <w:rPr>
            <w:webHidden/>
          </w:rPr>
          <w:t>229</w:t>
        </w:r>
        <w:r w:rsidR="006803FC" w:rsidRPr="00576AF8">
          <w:rPr>
            <w:webHidden/>
          </w:rPr>
          <w:fldChar w:fldCharType="end"/>
        </w:r>
      </w:hyperlink>
    </w:p>
    <w:p w14:paraId="581E9B06"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61" w:history="1">
        <w:r w:rsidR="006803FC" w:rsidRPr="00576AF8">
          <w:rPr>
            <w:rStyle w:val="Hipervnculo"/>
            <w:rFonts w:ascii="Times New Roman" w:hAnsi="Times New Roman"/>
            <w:noProof/>
          </w:rPr>
          <w:t>H.  Cambio en los elementos del Contrato</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_Toc488959061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231</w:t>
        </w:r>
        <w:r w:rsidR="006803FC" w:rsidRPr="00576AF8">
          <w:rPr>
            <w:rFonts w:ascii="Times New Roman" w:hAnsi="Times New Roman"/>
            <w:noProof/>
            <w:webHidden/>
          </w:rPr>
          <w:fldChar w:fldCharType="end"/>
        </w:r>
      </w:hyperlink>
    </w:p>
    <w:p w14:paraId="292E0C53" w14:textId="77777777" w:rsidR="006803FC" w:rsidRPr="00576AF8" w:rsidRDefault="006334E7">
      <w:pPr>
        <w:pStyle w:val="TDC2"/>
        <w:rPr>
          <w:rFonts w:eastAsiaTheme="minorEastAsia"/>
          <w:sz w:val="22"/>
          <w:szCs w:val="22"/>
          <w:lang w:eastAsia="zh-CN" w:bidi="ar-SA"/>
        </w:rPr>
      </w:pPr>
      <w:hyperlink w:anchor="_Toc488959062" w:history="1">
        <w:r w:rsidR="006803FC" w:rsidRPr="00576AF8">
          <w:rPr>
            <w:rStyle w:val="Hipervnculo"/>
          </w:rPr>
          <w:t>39.</w:t>
        </w:r>
        <w:r w:rsidR="006803FC" w:rsidRPr="00576AF8">
          <w:rPr>
            <w:rFonts w:eastAsiaTheme="minorEastAsia"/>
            <w:sz w:val="22"/>
            <w:szCs w:val="22"/>
            <w:lang w:eastAsia="zh-CN" w:bidi="ar-SA"/>
          </w:rPr>
          <w:tab/>
        </w:r>
        <w:r w:rsidR="006803FC" w:rsidRPr="00576AF8">
          <w:rPr>
            <w:rStyle w:val="Hipervnculo"/>
          </w:rPr>
          <w:t>Cambios en el Sistema</w:t>
        </w:r>
        <w:r w:rsidR="006803FC" w:rsidRPr="00576AF8">
          <w:rPr>
            <w:webHidden/>
          </w:rPr>
          <w:tab/>
        </w:r>
        <w:r w:rsidR="006803FC" w:rsidRPr="00576AF8">
          <w:rPr>
            <w:webHidden/>
          </w:rPr>
          <w:fldChar w:fldCharType="begin"/>
        </w:r>
        <w:r w:rsidR="006803FC" w:rsidRPr="00576AF8">
          <w:rPr>
            <w:webHidden/>
          </w:rPr>
          <w:instrText xml:space="preserve"> PAGEREF _Toc488959062 \h </w:instrText>
        </w:r>
        <w:r w:rsidR="006803FC" w:rsidRPr="00576AF8">
          <w:rPr>
            <w:webHidden/>
          </w:rPr>
        </w:r>
        <w:r w:rsidR="006803FC" w:rsidRPr="00576AF8">
          <w:rPr>
            <w:webHidden/>
          </w:rPr>
          <w:fldChar w:fldCharType="separate"/>
        </w:r>
        <w:r w:rsidR="000071E3" w:rsidRPr="00576AF8">
          <w:rPr>
            <w:webHidden/>
          </w:rPr>
          <w:t>231</w:t>
        </w:r>
        <w:r w:rsidR="006803FC" w:rsidRPr="00576AF8">
          <w:rPr>
            <w:webHidden/>
          </w:rPr>
          <w:fldChar w:fldCharType="end"/>
        </w:r>
      </w:hyperlink>
    </w:p>
    <w:p w14:paraId="669B8924" w14:textId="77777777" w:rsidR="006803FC" w:rsidRPr="00576AF8" w:rsidRDefault="006334E7">
      <w:pPr>
        <w:pStyle w:val="TDC2"/>
        <w:rPr>
          <w:rFonts w:eastAsiaTheme="minorEastAsia"/>
          <w:sz w:val="22"/>
          <w:szCs w:val="22"/>
          <w:lang w:eastAsia="zh-CN" w:bidi="ar-SA"/>
        </w:rPr>
      </w:pPr>
      <w:hyperlink w:anchor="_Toc488959063" w:history="1">
        <w:r w:rsidR="006803FC" w:rsidRPr="00576AF8">
          <w:rPr>
            <w:rStyle w:val="Hipervnculo"/>
          </w:rPr>
          <w:t>40.</w:t>
        </w:r>
        <w:r w:rsidR="006803FC" w:rsidRPr="00576AF8">
          <w:rPr>
            <w:rFonts w:eastAsiaTheme="minorEastAsia"/>
            <w:sz w:val="22"/>
            <w:szCs w:val="22"/>
            <w:lang w:eastAsia="zh-CN" w:bidi="ar-SA"/>
          </w:rPr>
          <w:tab/>
        </w:r>
        <w:r w:rsidR="006803FC" w:rsidRPr="00576AF8">
          <w:rPr>
            <w:rStyle w:val="Hipervnculo"/>
          </w:rPr>
          <w:t>Prórroga del plazo para obtener la aceptación operativa</w:t>
        </w:r>
        <w:r w:rsidR="006803FC" w:rsidRPr="00576AF8">
          <w:rPr>
            <w:webHidden/>
          </w:rPr>
          <w:tab/>
        </w:r>
        <w:r w:rsidR="006803FC" w:rsidRPr="00576AF8">
          <w:rPr>
            <w:webHidden/>
          </w:rPr>
          <w:fldChar w:fldCharType="begin"/>
        </w:r>
        <w:r w:rsidR="006803FC" w:rsidRPr="00576AF8">
          <w:rPr>
            <w:webHidden/>
          </w:rPr>
          <w:instrText xml:space="preserve"> PAGEREF _Toc488959063 \h </w:instrText>
        </w:r>
        <w:r w:rsidR="006803FC" w:rsidRPr="00576AF8">
          <w:rPr>
            <w:webHidden/>
          </w:rPr>
        </w:r>
        <w:r w:rsidR="006803FC" w:rsidRPr="00576AF8">
          <w:rPr>
            <w:webHidden/>
          </w:rPr>
          <w:fldChar w:fldCharType="separate"/>
        </w:r>
        <w:r w:rsidR="000071E3" w:rsidRPr="00576AF8">
          <w:rPr>
            <w:webHidden/>
          </w:rPr>
          <w:t>236</w:t>
        </w:r>
        <w:r w:rsidR="006803FC" w:rsidRPr="00576AF8">
          <w:rPr>
            <w:webHidden/>
          </w:rPr>
          <w:fldChar w:fldCharType="end"/>
        </w:r>
      </w:hyperlink>
    </w:p>
    <w:p w14:paraId="77E924BC" w14:textId="77777777" w:rsidR="006803FC" w:rsidRPr="00576AF8" w:rsidRDefault="006334E7">
      <w:pPr>
        <w:pStyle w:val="TDC2"/>
        <w:rPr>
          <w:rFonts w:eastAsiaTheme="minorEastAsia"/>
          <w:sz w:val="22"/>
          <w:szCs w:val="22"/>
          <w:lang w:eastAsia="zh-CN" w:bidi="ar-SA"/>
        </w:rPr>
      </w:pPr>
      <w:hyperlink w:anchor="_Toc488959064" w:history="1">
        <w:r w:rsidR="006803FC" w:rsidRPr="00576AF8">
          <w:rPr>
            <w:rStyle w:val="Hipervnculo"/>
          </w:rPr>
          <w:t>41.</w:t>
        </w:r>
        <w:r w:rsidR="006803FC" w:rsidRPr="00576AF8">
          <w:rPr>
            <w:rFonts w:eastAsiaTheme="minorEastAsia"/>
            <w:sz w:val="22"/>
            <w:szCs w:val="22"/>
            <w:lang w:eastAsia="zh-CN" w:bidi="ar-SA"/>
          </w:rPr>
          <w:tab/>
        </w:r>
        <w:r w:rsidR="006803FC" w:rsidRPr="00576AF8">
          <w:rPr>
            <w:rStyle w:val="Hipervnculo"/>
          </w:rPr>
          <w:t>Rescisión</w:t>
        </w:r>
        <w:r w:rsidR="006803FC" w:rsidRPr="00576AF8">
          <w:rPr>
            <w:webHidden/>
          </w:rPr>
          <w:tab/>
        </w:r>
        <w:r w:rsidR="006803FC" w:rsidRPr="00576AF8">
          <w:rPr>
            <w:webHidden/>
          </w:rPr>
          <w:fldChar w:fldCharType="begin"/>
        </w:r>
        <w:r w:rsidR="006803FC" w:rsidRPr="00576AF8">
          <w:rPr>
            <w:webHidden/>
          </w:rPr>
          <w:instrText xml:space="preserve"> PAGEREF _Toc488959064 \h </w:instrText>
        </w:r>
        <w:r w:rsidR="006803FC" w:rsidRPr="00576AF8">
          <w:rPr>
            <w:webHidden/>
          </w:rPr>
        </w:r>
        <w:r w:rsidR="006803FC" w:rsidRPr="00576AF8">
          <w:rPr>
            <w:webHidden/>
          </w:rPr>
          <w:fldChar w:fldCharType="separate"/>
        </w:r>
        <w:r w:rsidR="000071E3" w:rsidRPr="00576AF8">
          <w:rPr>
            <w:webHidden/>
          </w:rPr>
          <w:t>237</w:t>
        </w:r>
        <w:r w:rsidR="006803FC" w:rsidRPr="00576AF8">
          <w:rPr>
            <w:webHidden/>
          </w:rPr>
          <w:fldChar w:fldCharType="end"/>
        </w:r>
      </w:hyperlink>
    </w:p>
    <w:p w14:paraId="46332766" w14:textId="77777777" w:rsidR="006803FC" w:rsidRPr="00576AF8" w:rsidRDefault="006334E7">
      <w:pPr>
        <w:pStyle w:val="TDC2"/>
        <w:rPr>
          <w:rFonts w:eastAsiaTheme="minorEastAsia"/>
          <w:sz w:val="22"/>
          <w:szCs w:val="22"/>
          <w:lang w:eastAsia="zh-CN" w:bidi="ar-SA"/>
        </w:rPr>
      </w:pPr>
      <w:hyperlink w:anchor="_Toc488959065" w:history="1">
        <w:r w:rsidR="006803FC" w:rsidRPr="00576AF8">
          <w:rPr>
            <w:rStyle w:val="Hipervnculo"/>
          </w:rPr>
          <w:t>42.</w:t>
        </w:r>
        <w:r w:rsidR="006803FC" w:rsidRPr="00576AF8">
          <w:rPr>
            <w:rFonts w:eastAsiaTheme="minorEastAsia"/>
            <w:sz w:val="22"/>
            <w:szCs w:val="22"/>
            <w:lang w:eastAsia="zh-CN" w:bidi="ar-SA"/>
          </w:rPr>
          <w:tab/>
        </w:r>
        <w:r w:rsidR="006803FC" w:rsidRPr="00576AF8">
          <w:rPr>
            <w:rStyle w:val="Hipervnculo"/>
          </w:rPr>
          <w:t>Cesión</w:t>
        </w:r>
        <w:r w:rsidR="006803FC" w:rsidRPr="00576AF8">
          <w:rPr>
            <w:webHidden/>
          </w:rPr>
          <w:tab/>
        </w:r>
        <w:r w:rsidR="006803FC" w:rsidRPr="00576AF8">
          <w:rPr>
            <w:webHidden/>
          </w:rPr>
          <w:fldChar w:fldCharType="begin"/>
        </w:r>
        <w:r w:rsidR="006803FC" w:rsidRPr="00576AF8">
          <w:rPr>
            <w:webHidden/>
          </w:rPr>
          <w:instrText xml:space="preserve"> PAGEREF _Toc488959065 \h </w:instrText>
        </w:r>
        <w:r w:rsidR="006803FC" w:rsidRPr="00576AF8">
          <w:rPr>
            <w:webHidden/>
          </w:rPr>
        </w:r>
        <w:r w:rsidR="006803FC" w:rsidRPr="00576AF8">
          <w:rPr>
            <w:webHidden/>
          </w:rPr>
          <w:fldChar w:fldCharType="separate"/>
        </w:r>
        <w:r w:rsidR="000071E3" w:rsidRPr="00576AF8">
          <w:rPr>
            <w:webHidden/>
          </w:rPr>
          <w:t>245</w:t>
        </w:r>
        <w:r w:rsidR="006803FC" w:rsidRPr="00576AF8">
          <w:rPr>
            <w:webHidden/>
          </w:rPr>
          <w:fldChar w:fldCharType="end"/>
        </w:r>
      </w:hyperlink>
    </w:p>
    <w:p w14:paraId="337B4B7F" w14:textId="77777777" w:rsidR="006803FC" w:rsidRPr="00576AF8" w:rsidRDefault="006334E7">
      <w:pPr>
        <w:pStyle w:val="TDC1"/>
        <w:rPr>
          <w:rFonts w:ascii="Times New Roman" w:eastAsiaTheme="minorEastAsia" w:hAnsi="Times New Roman"/>
          <w:b w:val="0"/>
          <w:noProof/>
          <w:sz w:val="22"/>
          <w:szCs w:val="22"/>
          <w:lang w:eastAsia="zh-CN" w:bidi="ar-SA"/>
        </w:rPr>
      </w:pPr>
      <w:hyperlink w:anchor="_Toc488959066" w:history="1">
        <w:r w:rsidR="006803FC" w:rsidRPr="00576AF8">
          <w:rPr>
            <w:rStyle w:val="Hipervnculo"/>
            <w:rFonts w:ascii="Times New Roman" w:hAnsi="Times New Roman"/>
            <w:noProof/>
          </w:rPr>
          <w:t>I.  Solución de controversias</w:t>
        </w:r>
        <w:r w:rsidR="006803FC" w:rsidRPr="00576AF8">
          <w:rPr>
            <w:rFonts w:ascii="Times New Roman" w:hAnsi="Times New Roman"/>
            <w:noProof/>
            <w:webHidden/>
          </w:rPr>
          <w:tab/>
        </w:r>
        <w:r w:rsidR="006803FC" w:rsidRPr="00576AF8">
          <w:rPr>
            <w:rFonts w:ascii="Times New Roman" w:hAnsi="Times New Roman"/>
            <w:noProof/>
            <w:webHidden/>
          </w:rPr>
          <w:fldChar w:fldCharType="begin"/>
        </w:r>
        <w:r w:rsidR="006803FC" w:rsidRPr="00576AF8">
          <w:rPr>
            <w:rFonts w:ascii="Times New Roman" w:hAnsi="Times New Roman"/>
            <w:noProof/>
            <w:webHidden/>
          </w:rPr>
          <w:instrText xml:space="preserve"> PAGEREF _Toc488959066 \h </w:instrText>
        </w:r>
        <w:r w:rsidR="006803FC" w:rsidRPr="00576AF8">
          <w:rPr>
            <w:rFonts w:ascii="Times New Roman" w:hAnsi="Times New Roman"/>
            <w:noProof/>
            <w:webHidden/>
          </w:rPr>
        </w:r>
        <w:r w:rsidR="006803FC" w:rsidRPr="00576AF8">
          <w:rPr>
            <w:rFonts w:ascii="Times New Roman" w:hAnsi="Times New Roman"/>
            <w:noProof/>
            <w:webHidden/>
          </w:rPr>
          <w:fldChar w:fldCharType="separate"/>
        </w:r>
        <w:r w:rsidR="000071E3" w:rsidRPr="00576AF8">
          <w:rPr>
            <w:rFonts w:ascii="Times New Roman" w:hAnsi="Times New Roman"/>
            <w:noProof/>
            <w:webHidden/>
          </w:rPr>
          <w:t>245</w:t>
        </w:r>
        <w:r w:rsidR="006803FC" w:rsidRPr="00576AF8">
          <w:rPr>
            <w:rFonts w:ascii="Times New Roman" w:hAnsi="Times New Roman"/>
            <w:noProof/>
            <w:webHidden/>
          </w:rPr>
          <w:fldChar w:fldCharType="end"/>
        </w:r>
      </w:hyperlink>
    </w:p>
    <w:p w14:paraId="1C0C2001" w14:textId="77777777" w:rsidR="006803FC" w:rsidRPr="00576AF8" w:rsidRDefault="006334E7">
      <w:pPr>
        <w:pStyle w:val="TDC2"/>
        <w:rPr>
          <w:rFonts w:eastAsiaTheme="minorEastAsia"/>
          <w:sz w:val="22"/>
          <w:szCs w:val="22"/>
          <w:lang w:eastAsia="zh-CN" w:bidi="ar-SA"/>
        </w:rPr>
      </w:pPr>
      <w:hyperlink w:anchor="_Toc488959067" w:history="1">
        <w:r w:rsidR="006803FC" w:rsidRPr="00576AF8">
          <w:rPr>
            <w:rStyle w:val="Hipervnculo"/>
          </w:rPr>
          <w:t>43.</w:t>
        </w:r>
        <w:r w:rsidR="006803FC" w:rsidRPr="00576AF8">
          <w:rPr>
            <w:rFonts w:eastAsiaTheme="minorEastAsia"/>
            <w:sz w:val="22"/>
            <w:szCs w:val="22"/>
            <w:lang w:eastAsia="zh-CN" w:bidi="ar-SA"/>
          </w:rPr>
          <w:tab/>
        </w:r>
        <w:r w:rsidR="006803FC" w:rsidRPr="00576AF8">
          <w:rPr>
            <w:rStyle w:val="Hipervnculo"/>
          </w:rPr>
          <w:t>Solución de controversias</w:t>
        </w:r>
        <w:r w:rsidR="006803FC" w:rsidRPr="00576AF8">
          <w:rPr>
            <w:webHidden/>
          </w:rPr>
          <w:tab/>
        </w:r>
        <w:r w:rsidR="006803FC" w:rsidRPr="00576AF8">
          <w:rPr>
            <w:webHidden/>
          </w:rPr>
          <w:fldChar w:fldCharType="begin"/>
        </w:r>
        <w:r w:rsidR="006803FC" w:rsidRPr="00576AF8">
          <w:rPr>
            <w:webHidden/>
          </w:rPr>
          <w:instrText xml:space="preserve"> PAGEREF _Toc488959067 \h </w:instrText>
        </w:r>
        <w:r w:rsidR="006803FC" w:rsidRPr="00576AF8">
          <w:rPr>
            <w:webHidden/>
          </w:rPr>
        </w:r>
        <w:r w:rsidR="006803FC" w:rsidRPr="00576AF8">
          <w:rPr>
            <w:webHidden/>
          </w:rPr>
          <w:fldChar w:fldCharType="separate"/>
        </w:r>
        <w:r w:rsidR="000071E3" w:rsidRPr="00576AF8">
          <w:rPr>
            <w:webHidden/>
          </w:rPr>
          <w:t>245</w:t>
        </w:r>
        <w:r w:rsidR="006803FC" w:rsidRPr="00576AF8">
          <w:rPr>
            <w:webHidden/>
          </w:rPr>
          <w:fldChar w:fldCharType="end"/>
        </w:r>
      </w:hyperlink>
    </w:p>
    <w:p w14:paraId="18348A2D" w14:textId="77777777" w:rsidR="00F24849" w:rsidRPr="00576AF8" w:rsidRDefault="00F24849" w:rsidP="00A20832">
      <w:pPr>
        <w:jc w:val="center"/>
      </w:pPr>
      <w:r w:rsidRPr="00576AF8">
        <w:fldChar w:fldCharType="end"/>
      </w:r>
    </w:p>
    <w:p w14:paraId="32A5A296" w14:textId="77777777" w:rsidR="00F24849" w:rsidRPr="00576AF8" w:rsidRDefault="00F24849" w:rsidP="00A20832">
      <w:pPr>
        <w:jc w:val="center"/>
      </w:pPr>
    </w:p>
    <w:p w14:paraId="175B1DDA" w14:textId="77777777" w:rsidR="00A20832" w:rsidRPr="00576AF8" w:rsidRDefault="00A20832" w:rsidP="00A20832">
      <w:pPr>
        <w:jc w:val="center"/>
        <w:rPr>
          <w:b/>
          <w:sz w:val="36"/>
          <w:szCs w:val="36"/>
        </w:rPr>
      </w:pPr>
      <w:r w:rsidRPr="00576AF8">
        <w:br w:type="page"/>
      </w:r>
    </w:p>
    <w:p w14:paraId="1D94E101" w14:textId="77777777" w:rsidR="00A20832" w:rsidRPr="00576AF8" w:rsidRDefault="00A20832" w:rsidP="00A20832">
      <w:pPr>
        <w:jc w:val="center"/>
        <w:rPr>
          <w:b/>
          <w:sz w:val="36"/>
          <w:szCs w:val="36"/>
        </w:rPr>
      </w:pPr>
      <w:r w:rsidRPr="00576AF8">
        <w:rPr>
          <w:b/>
          <w:sz w:val="36"/>
          <w:szCs w:val="36"/>
        </w:rPr>
        <w:lastRenderedPageBreak/>
        <w:t>Condiciones Generales del Contrato</w:t>
      </w:r>
    </w:p>
    <w:p w14:paraId="7388AEAA" w14:textId="77777777" w:rsidR="00A20832" w:rsidRPr="00576AF8" w:rsidRDefault="00A20832" w:rsidP="00A20832">
      <w:pPr>
        <w:pStyle w:val="Head61"/>
        <w:rPr>
          <w:rFonts w:ascii="Times New Roman" w:hAnsi="Times New Roman"/>
        </w:rPr>
      </w:pPr>
      <w:bookmarkStart w:id="1502" w:name="_Toc277233317"/>
      <w:bookmarkStart w:id="1503" w:name="_Toc488959016"/>
      <w:r w:rsidRPr="00576AF8">
        <w:rPr>
          <w:rFonts w:ascii="Times New Roman" w:hAnsi="Times New Roman"/>
        </w:rPr>
        <w:t xml:space="preserve">A. </w:t>
      </w:r>
      <w:r w:rsidR="00C92CE6" w:rsidRPr="00576AF8">
        <w:rPr>
          <w:rFonts w:ascii="Times New Roman" w:hAnsi="Times New Roman"/>
        </w:rPr>
        <w:t xml:space="preserve"> </w:t>
      </w:r>
      <w:r w:rsidRPr="00576AF8">
        <w:rPr>
          <w:rFonts w:ascii="Times New Roman" w:hAnsi="Times New Roman"/>
        </w:rPr>
        <w:t>Contrato e interpretación</w:t>
      </w:r>
      <w:bookmarkEnd w:id="1502"/>
      <w:bookmarkEnd w:id="1503"/>
    </w:p>
    <w:tbl>
      <w:tblPr>
        <w:tblW w:w="0" w:type="auto"/>
        <w:tblLayout w:type="fixed"/>
        <w:tblCellMar>
          <w:left w:w="115" w:type="dxa"/>
          <w:right w:w="115" w:type="dxa"/>
        </w:tblCellMar>
        <w:tblLook w:val="0000" w:firstRow="0" w:lastRow="0" w:firstColumn="0" w:lastColumn="0" w:noHBand="0" w:noVBand="0"/>
      </w:tblPr>
      <w:tblGrid>
        <w:gridCol w:w="2242"/>
        <w:gridCol w:w="6804"/>
      </w:tblGrid>
      <w:tr w:rsidR="00A20832" w:rsidRPr="00576AF8" w14:paraId="4DB0C647" w14:textId="77777777" w:rsidTr="004313F3">
        <w:trPr>
          <w:cantSplit/>
        </w:trPr>
        <w:tc>
          <w:tcPr>
            <w:tcW w:w="2242" w:type="dxa"/>
          </w:tcPr>
          <w:p w14:paraId="5DA19EA6" w14:textId="77777777" w:rsidR="00A20832" w:rsidRPr="00576AF8" w:rsidRDefault="00A20832" w:rsidP="00A35BE3">
            <w:pPr>
              <w:pStyle w:val="Head62"/>
            </w:pPr>
            <w:bookmarkStart w:id="1504" w:name="_Toc277233318"/>
            <w:bookmarkStart w:id="1505" w:name="_Toc488959017"/>
            <w:r w:rsidRPr="00576AF8">
              <w:t>1.</w:t>
            </w:r>
            <w:r w:rsidRPr="00576AF8">
              <w:tab/>
              <w:t>Definiciones</w:t>
            </w:r>
            <w:bookmarkEnd w:id="1504"/>
            <w:bookmarkEnd w:id="1505"/>
          </w:p>
        </w:tc>
        <w:tc>
          <w:tcPr>
            <w:tcW w:w="6804" w:type="dxa"/>
          </w:tcPr>
          <w:p w14:paraId="1C503FEA" w14:textId="77777777" w:rsidR="00A20832" w:rsidRPr="00576AF8" w:rsidRDefault="00A20832" w:rsidP="00B40BFC">
            <w:pPr>
              <w:keepNext/>
              <w:keepLines/>
              <w:spacing w:before="240" w:after="200"/>
              <w:ind w:left="540" w:hanging="540"/>
              <w:outlineLvl w:val="4"/>
            </w:pPr>
            <w:r w:rsidRPr="00576AF8">
              <w:t>1.1</w:t>
            </w:r>
            <w:r w:rsidRPr="00576AF8">
              <w:tab/>
              <w:t xml:space="preserve">En el presente </w:t>
            </w:r>
            <w:r w:rsidR="000D2934" w:rsidRPr="00576AF8">
              <w:t>C</w:t>
            </w:r>
            <w:r w:rsidRPr="00576AF8">
              <w:t>ontrato, los siguientes términos se interpretarán según se indica a continuación.</w:t>
            </w:r>
          </w:p>
        </w:tc>
      </w:tr>
      <w:tr w:rsidR="00A20832" w:rsidRPr="00576AF8" w14:paraId="6FDE54F7" w14:textId="77777777" w:rsidTr="004313F3">
        <w:tc>
          <w:tcPr>
            <w:tcW w:w="2242" w:type="dxa"/>
          </w:tcPr>
          <w:p w14:paraId="11B37C92" w14:textId="77777777" w:rsidR="00A20832" w:rsidRPr="00576AF8" w:rsidRDefault="00A20832" w:rsidP="00A35BE3">
            <w:pPr>
              <w:spacing w:after="0"/>
              <w:jc w:val="left"/>
            </w:pPr>
          </w:p>
        </w:tc>
        <w:tc>
          <w:tcPr>
            <w:tcW w:w="6804" w:type="dxa"/>
          </w:tcPr>
          <w:p w14:paraId="2DBE9A4C" w14:textId="77777777" w:rsidR="00A20832" w:rsidRPr="00576AF8" w:rsidRDefault="001F46ED" w:rsidP="00B40BFC">
            <w:pPr>
              <w:keepNext/>
              <w:keepLines/>
              <w:spacing w:before="240" w:after="200"/>
              <w:ind w:left="1080" w:hanging="540"/>
              <w:outlineLvl w:val="4"/>
            </w:pPr>
            <w:r w:rsidRPr="00576AF8">
              <w:t>(</w:t>
            </w:r>
            <w:r w:rsidR="00A20832" w:rsidRPr="00576AF8">
              <w:t>a)</w:t>
            </w:r>
            <w:r w:rsidR="00A20832" w:rsidRPr="00576AF8">
              <w:tab/>
              <w:t xml:space="preserve">Elementos del </w:t>
            </w:r>
            <w:r w:rsidR="00D960FC" w:rsidRPr="00576AF8">
              <w:t>C</w:t>
            </w:r>
            <w:r w:rsidR="00A20832" w:rsidRPr="00576AF8">
              <w:t>ontrato</w:t>
            </w:r>
          </w:p>
          <w:p w14:paraId="0432245D"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 xml:space="preserve">Por “Contrato” se entiende el </w:t>
            </w:r>
            <w:r w:rsidR="00682589" w:rsidRPr="00576AF8">
              <w:t>Convenio Contractual</w:t>
            </w:r>
            <w:r w:rsidRPr="00576AF8">
              <w:t xml:space="preserve"> celebrado entre el Comprador y el Proveedor, junto con los documentos del Contrato a los que allí se haga referencia. El Convenio </w:t>
            </w:r>
            <w:r w:rsidR="00F358DC" w:rsidRPr="00576AF8">
              <w:t xml:space="preserve">Contractual </w:t>
            </w:r>
            <w:r w:rsidRPr="00576AF8">
              <w:t>y los documentos del Contrato constituirán el Contrato, y la expresión “el Contrato” se interpretará de tal manera en dichos documentos.</w:t>
            </w:r>
          </w:p>
          <w:p w14:paraId="12A9B398"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 xml:space="preserve">Por “documentos del Contrato” se entiende los documentos especificados en el artículo 1.1 (Documentos del Contrato) del Convenio </w:t>
            </w:r>
            <w:r w:rsidR="00F358DC" w:rsidRPr="00576AF8">
              <w:t xml:space="preserve">Contractual </w:t>
            </w:r>
            <w:r w:rsidRPr="00576AF8">
              <w:t>(incluidas todas las enmiendas</w:t>
            </w:r>
            <w:r w:rsidR="00F358DC" w:rsidRPr="00576AF8">
              <w:t xml:space="preserve"> a </w:t>
            </w:r>
            <w:r w:rsidR="00B40BFC" w:rsidRPr="00576AF8">
              <w:br/>
            </w:r>
            <w:r w:rsidR="00F358DC" w:rsidRPr="00576AF8">
              <w:t>estos documentos</w:t>
            </w:r>
            <w:r w:rsidRPr="00576AF8">
              <w:t>).</w:t>
            </w:r>
          </w:p>
          <w:p w14:paraId="135B7D5A"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Por “Convenio</w:t>
            </w:r>
            <w:r w:rsidR="00F358DC" w:rsidRPr="00576AF8">
              <w:t xml:space="preserve"> Contractual</w:t>
            </w:r>
            <w:r w:rsidRPr="00576AF8">
              <w:t xml:space="preserve">” se entiende el acuerdo celebrado entre el Comprador y el Proveedor utilizando el formulario de Convenio </w:t>
            </w:r>
            <w:r w:rsidR="00F358DC" w:rsidRPr="00576AF8">
              <w:t xml:space="preserve">Contractual </w:t>
            </w:r>
            <w:r w:rsidRPr="00576AF8">
              <w:t xml:space="preserve">que figura en la sección </w:t>
            </w:r>
            <w:r w:rsidR="00CB706D" w:rsidRPr="00576AF8">
              <w:t xml:space="preserve">de </w:t>
            </w:r>
            <w:r w:rsidRPr="00576AF8">
              <w:t>formularios de</w:t>
            </w:r>
            <w:r w:rsidR="00CB706D" w:rsidRPr="00576AF8">
              <w:t>l</w:t>
            </w:r>
            <w:r w:rsidRPr="00576AF8">
              <w:t xml:space="preserve"> </w:t>
            </w:r>
            <w:r w:rsidR="00CB706D" w:rsidRPr="00576AF8">
              <w:t>C</w:t>
            </w:r>
            <w:r w:rsidRPr="00576AF8">
              <w:t xml:space="preserve">ontrato </w:t>
            </w:r>
            <w:r w:rsidR="00A83F3E" w:rsidRPr="00576AF8">
              <w:t xml:space="preserve">del </w:t>
            </w:r>
            <w:r w:rsidR="00807C34" w:rsidRPr="00576AF8">
              <w:t>documento de licitación</w:t>
            </w:r>
            <w:r w:rsidR="00A83F3E" w:rsidRPr="00576AF8">
              <w:t xml:space="preserve"> </w:t>
            </w:r>
            <w:r w:rsidRPr="00576AF8">
              <w:t xml:space="preserve">y las modificaciones a dicho formulario acordadas entre el Comprador y el Proveedor. La fecha del Convenio </w:t>
            </w:r>
            <w:r w:rsidR="00F358DC" w:rsidRPr="00576AF8">
              <w:t xml:space="preserve">Contractual </w:t>
            </w:r>
            <w:r w:rsidRPr="00576AF8">
              <w:t xml:space="preserve">se registrará en el formulario firmado. </w:t>
            </w:r>
          </w:p>
          <w:p w14:paraId="37E4A2D6"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Por “CGC” se entiende las Condiciones Generales del Contrato.</w:t>
            </w:r>
          </w:p>
          <w:p w14:paraId="5947CDF9"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Por “CEC” se entiende las Condiciones Especiales del Contrato.</w:t>
            </w:r>
          </w:p>
          <w:p w14:paraId="32B5A851"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 xml:space="preserve">Por “requisitos técnicos” se entiende los requisitos técnicos establecidos en la </w:t>
            </w:r>
            <w:r w:rsidR="005E641B" w:rsidRPr="00576AF8">
              <w:t>Sección </w:t>
            </w:r>
            <w:r w:rsidRPr="00576AF8">
              <w:t xml:space="preserve">VI </w:t>
            </w:r>
            <w:r w:rsidR="005E641B" w:rsidRPr="00576AF8">
              <w:t xml:space="preserve">del </w:t>
            </w:r>
            <w:r w:rsidR="00807C34" w:rsidRPr="00576AF8">
              <w:t>documento de licitación</w:t>
            </w:r>
            <w:r w:rsidRPr="00576AF8">
              <w:t>.</w:t>
            </w:r>
          </w:p>
          <w:p w14:paraId="7E07039D"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 xml:space="preserve">Por “programa de ejecución” se entiende el programa de ejecución establecido en la </w:t>
            </w:r>
            <w:r w:rsidR="005E641B" w:rsidRPr="00576AF8">
              <w:t>Sección </w:t>
            </w:r>
            <w:r w:rsidRPr="00576AF8">
              <w:t xml:space="preserve">VI </w:t>
            </w:r>
            <w:r w:rsidR="005E641B" w:rsidRPr="00576AF8">
              <w:t xml:space="preserve">del </w:t>
            </w:r>
            <w:r w:rsidR="00807C34" w:rsidRPr="00576AF8">
              <w:t>documento de licitación</w:t>
            </w:r>
            <w:r w:rsidRPr="00576AF8">
              <w:t>.</w:t>
            </w:r>
          </w:p>
          <w:p w14:paraId="6E229638"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 xml:space="preserve">Por “precio </w:t>
            </w:r>
            <w:r w:rsidR="00672C5C" w:rsidRPr="00576AF8">
              <w:t>d</w:t>
            </w:r>
            <w:r w:rsidRPr="00576AF8">
              <w:t xml:space="preserve">el Contrato” se entiende el precio </w:t>
            </w:r>
            <w:r w:rsidR="00B40BFC" w:rsidRPr="00576AF8">
              <w:br/>
            </w:r>
            <w:r w:rsidRPr="00576AF8">
              <w:t xml:space="preserve">o los precios definidos en el artículo 2 (Precio </w:t>
            </w:r>
            <w:r w:rsidR="00B40BFC" w:rsidRPr="00576AF8">
              <w:br/>
            </w:r>
            <w:r w:rsidRPr="00576AF8">
              <w:t xml:space="preserve">del Contrato y </w:t>
            </w:r>
            <w:r w:rsidR="007B7187" w:rsidRPr="00576AF8">
              <w:t>c</w:t>
            </w:r>
            <w:r w:rsidRPr="00576AF8">
              <w:t xml:space="preserve">ondiciones de </w:t>
            </w:r>
            <w:r w:rsidR="007B7187" w:rsidRPr="00576AF8">
              <w:t>p</w:t>
            </w:r>
            <w:r w:rsidRPr="00576AF8">
              <w:t xml:space="preserve">ago) del </w:t>
            </w:r>
            <w:r w:rsidR="00B40BFC" w:rsidRPr="00576AF8">
              <w:br/>
            </w:r>
            <w:r w:rsidRPr="00576AF8">
              <w:t>Convenio</w:t>
            </w:r>
            <w:r w:rsidR="007B7187" w:rsidRPr="00576AF8">
              <w:t xml:space="preserve"> Contractual</w:t>
            </w:r>
            <w:r w:rsidRPr="00576AF8">
              <w:t>.</w:t>
            </w:r>
          </w:p>
          <w:p w14:paraId="3FE9C9AC"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lastRenderedPageBreak/>
              <w:t>Por “</w:t>
            </w:r>
            <w:r w:rsidR="00BD18BF" w:rsidRPr="00576AF8">
              <w:t>Política de Adquisiciones</w:t>
            </w:r>
            <w:r w:rsidRPr="00576AF8">
              <w:t xml:space="preserve">” se entiende </w:t>
            </w:r>
            <w:r w:rsidR="00B40BFC" w:rsidRPr="00576AF8">
              <w:br/>
            </w:r>
            <w:r w:rsidRPr="00576AF8">
              <w:t xml:space="preserve">la </w:t>
            </w:r>
            <w:r w:rsidR="00BD18BF" w:rsidRPr="00576AF8">
              <w:t xml:space="preserve">Política de Adquisiciones del BID </w:t>
            </w:r>
            <w:r w:rsidRPr="00576AF8">
              <w:rPr>
                <w:b/>
              </w:rPr>
              <w:t>especificada en las CEC</w:t>
            </w:r>
            <w:r w:rsidRPr="00576AF8">
              <w:t>.</w:t>
            </w:r>
          </w:p>
          <w:p w14:paraId="06EA918C" w14:textId="77777777" w:rsidR="00A20832" w:rsidRPr="00576AF8" w:rsidRDefault="00A20832">
            <w:pPr>
              <w:pStyle w:val="Prrafodelista"/>
              <w:keepNext/>
              <w:keepLines/>
              <w:numPr>
                <w:ilvl w:val="0"/>
                <w:numId w:val="46"/>
              </w:numPr>
              <w:spacing w:before="240" w:after="200"/>
              <w:ind w:left="1584" w:hanging="504"/>
              <w:contextualSpacing w:val="0"/>
              <w:outlineLvl w:val="4"/>
            </w:pPr>
            <w:r w:rsidRPr="00576AF8">
              <w:t>Por “</w:t>
            </w:r>
            <w:r w:rsidR="00A83F3E" w:rsidRPr="00576AF8">
              <w:t>D</w:t>
            </w:r>
            <w:r w:rsidRPr="00576AF8">
              <w:t xml:space="preserve">ocumentos de </w:t>
            </w:r>
            <w:r w:rsidR="00A83F3E" w:rsidRPr="00576AF8">
              <w:t>L</w:t>
            </w:r>
            <w:r w:rsidRPr="00576AF8">
              <w:t xml:space="preserve">icitación” se entiende el conjunto de documentos emitidos por el Comprador para instruir e informar a los posibles proveedores sobre los procesos de licitación, la selección de la </w:t>
            </w:r>
            <w:r w:rsidR="00BC72E3" w:rsidRPr="00576AF8">
              <w:t>O</w:t>
            </w:r>
            <w:r w:rsidRPr="00576AF8">
              <w:t xml:space="preserve">ferta ganadora y la formación del Contrato, así como las condiciones contractuales que rigen la relación entre el Comprador y el Proveedor. Las CEC, los requisitos técnicos y todos los demás documentos incluidos en </w:t>
            </w:r>
            <w:r w:rsidR="00A83F3E" w:rsidRPr="00576AF8">
              <w:t xml:space="preserve">el </w:t>
            </w:r>
            <w:r w:rsidR="00807C34" w:rsidRPr="00576AF8">
              <w:t>documento de licitación</w:t>
            </w:r>
            <w:r w:rsidRPr="00576AF8">
              <w:t xml:space="preserve"> constituyen las Regulaciones de Adquisiciones que el Comprador está obligado a seguir durante las adquisiciones realizadas en el marco del presente Contrato y la administración de dicho instrumento.</w:t>
            </w:r>
          </w:p>
        </w:tc>
      </w:tr>
      <w:tr w:rsidR="00A20832" w:rsidRPr="00576AF8" w14:paraId="614FFE5E" w14:textId="77777777" w:rsidTr="004313F3">
        <w:tc>
          <w:tcPr>
            <w:tcW w:w="2242" w:type="dxa"/>
          </w:tcPr>
          <w:p w14:paraId="3F6E6EE8" w14:textId="77777777" w:rsidR="00A20832" w:rsidRPr="00576AF8" w:rsidRDefault="00A20832" w:rsidP="00A35BE3">
            <w:pPr>
              <w:spacing w:after="0"/>
              <w:jc w:val="left"/>
            </w:pPr>
          </w:p>
        </w:tc>
        <w:tc>
          <w:tcPr>
            <w:tcW w:w="6804" w:type="dxa"/>
          </w:tcPr>
          <w:p w14:paraId="0AA198C5" w14:textId="77777777" w:rsidR="00A20832" w:rsidRPr="00576AF8" w:rsidRDefault="001F46ED" w:rsidP="00B40BFC">
            <w:pPr>
              <w:keepNext/>
              <w:keepLines/>
              <w:spacing w:before="240" w:after="200"/>
              <w:ind w:left="1080" w:hanging="547"/>
              <w:outlineLvl w:val="4"/>
            </w:pPr>
            <w:r w:rsidRPr="00576AF8">
              <w:t>(</w:t>
            </w:r>
            <w:r w:rsidR="00A20832" w:rsidRPr="00576AF8">
              <w:t>b)</w:t>
            </w:r>
            <w:r w:rsidR="00A20832" w:rsidRPr="00576AF8">
              <w:tab/>
              <w:t>Entidades</w:t>
            </w:r>
          </w:p>
          <w:p w14:paraId="746E72EA"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 xml:space="preserve">Por “Comprador” se entiende la entidad que compra el Sistema Informático, según </w:t>
            </w:r>
            <w:r w:rsidRPr="00576AF8">
              <w:rPr>
                <w:b/>
              </w:rPr>
              <w:t>se especifica en las</w:t>
            </w:r>
            <w:r w:rsidRPr="00576AF8">
              <w:t xml:space="preserve"> </w:t>
            </w:r>
            <w:r w:rsidRPr="00576AF8">
              <w:rPr>
                <w:b/>
              </w:rPr>
              <w:t>CEC</w:t>
            </w:r>
            <w:r w:rsidRPr="00576AF8">
              <w:t>.</w:t>
            </w:r>
          </w:p>
          <w:p w14:paraId="4C3B616F"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Por “</w:t>
            </w:r>
            <w:r w:rsidR="00F50D13" w:rsidRPr="00576AF8">
              <w:t xml:space="preserve">Gerente </w:t>
            </w:r>
            <w:r w:rsidRPr="00576AF8">
              <w:t xml:space="preserve">de </w:t>
            </w:r>
            <w:r w:rsidR="00F50D13" w:rsidRPr="00576AF8">
              <w:t>Proyecto</w:t>
            </w:r>
            <w:r w:rsidRPr="00576AF8">
              <w:t xml:space="preserve">” se entiende la persona designada como tal en las CEC o que el Comprador designe de la manera prevista en la cláusula 18.1 </w:t>
            </w:r>
            <w:r w:rsidR="00B40BFC" w:rsidRPr="00576AF8">
              <w:br/>
            </w:r>
            <w:r w:rsidRPr="00576AF8">
              <w:t xml:space="preserve">de las CGC (Gerente de </w:t>
            </w:r>
            <w:r w:rsidR="009C47D4" w:rsidRPr="00576AF8">
              <w:t>p</w:t>
            </w:r>
            <w:r w:rsidRPr="00576AF8">
              <w:t xml:space="preserve">royecto) para </w:t>
            </w:r>
            <w:r w:rsidR="00B40BFC" w:rsidRPr="00576AF8">
              <w:br/>
            </w:r>
            <w:r w:rsidRPr="00576AF8">
              <w:t>desempeñar las funciones que le han sido delegadas por el Comprador.</w:t>
            </w:r>
          </w:p>
          <w:p w14:paraId="1D15C4DB"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 xml:space="preserve">Por “Proveedor” se entiende la </w:t>
            </w:r>
            <w:r w:rsidR="003023FB" w:rsidRPr="00576AF8">
              <w:t xml:space="preserve">firma o </w:t>
            </w:r>
            <w:r w:rsidR="00682368" w:rsidRPr="00576AF8">
              <w:t>la Asociación en Participación, Consorcio o Asociación ("</w:t>
            </w:r>
            <w:r w:rsidR="000107E9" w:rsidRPr="00576AF8">
              <w:t>APCA</w:t>
            </w:r>
            <w:r w:rsidR="00682368" w:rsidRPr="00576AF8">
              <w:t>")</w:t>
            </w:r>
            <w:r w:rsidRPr="00576AF8">
              <w:t xml:space="preserve"> cuya </w:t>
            </w:r>
            <w:r w:rsidR="00BC72E3" w:rsidRPr="00576AF8">
              <w:t>O</w:t>
            </w:r>
            <w:r w:rsidRPr="00576AF8">
              <w:t xml:space="preserve">ferta para ejecutar el Contrato ha sido aceptada por el Comprador y aparece denominada como tal en el </w:t>
            </w:r>
            <w:r w:rsidR="00682589" w:rsidRPr="00576AF8">
              <w:t>Convenio Contractual</w:t>
            </w:r>
            <w:r w:rsidRPr="00576AF8">
              <w:t>.</w:t>
            </w:r>
          </w:p>
          <w:p w14:paraId="672DBDC1"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Por “</w:t>
            </w:r>
            <w:r w:rsidR="009C47D4" w:rsidRPr="00576AF8">
              <w:t>r</w:t>
            </w:r>
            <w:r w:rsidRPr="00576AF8">
              <w:t xml:space="preserve">epresentante del Proveedor” se entiende la persona designada por el Proveedor o designada como tal en el Convenio </w:t>
            </w:r>
            <w:r w:rsidR="00771E19" w:rsidRPr="00576AF8">
              <w:t xml:space="preserve">Contractual </w:t>
            </w:r>
            <w:r w:rsidRPr="00576AF8">
              <w:t>o aprobada por el Proveedor de la manera prevista en la cláusula 18.2 (Representante del Proveedor) para desempeñar las funciones que le han sido delegadas por el Proveedor.</w:t>
            </w:r>
          </w:p>
          <w:p w14:paraId="60D577CB"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Por “</w:t>
            </w:r>
            <w:r w:rsidR="00A07C8B" w:rsidRPr="00576AF8">
              <w:t>s</w:t>
            </w:r>
            <w:r w:rsidRPr="00576AF8">
              <w:t xml:space="preserve">ubcontratista” se entiende cualquier empresa subcontratada directa o indirectamente por el Proveedor para cumplir obligaciones de este </w:t>
            </w:r>
            <w:r w:rsidR="00B40BFC" w:rsidRPr="00576AF8">
              <w:br/>
            </w:r>
            <w:r w:rsidRPr="00576AF8">
              <w:t>último, incluida la preparación de diseños o el suministro de tecnologías de la información u otros bienes o servicios.</w:t>
            </w:r>
          </w:p>
          <w:p w14:paraId="7861890D"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Por “conciliador” se entiende la persona mencionada en el apéndice 2 del Convenio</w:t>
            </w:r>
            <w:r w:rsidR="00375CC2" w:rsidRPr="00576AF8">
              <w:t xml:space="preserve"> Contractual</w:t>
            </w:r>
            <w:r w:rsidRPr="00576AF8">
              <w:t>, designada de común acuerdo por el Comprador y el Proveedor para adoptar una decisión sobre cualquier controversia que surja entre ambos y que le sea remitida por dichas partes, así como para resolver dicha controversia, conforme a lo dispuesto en la cláusula </w:t>
            </w:r>
            <w:r w:rsidR="00DC4A8C" w:rsidRPr="00576AF8">
              <w:t>44</w:t>
            </w:r>
            <w:r w:rsidRPr="00576AF8">
              <w:t xml:space="preserve"> de las CGC (Conciliación).</w:t>
            </w:r>
          </w:p>
          <w:p w14:paraId="50D39D8D" w14:textId="77777777" w:rsidR="00A20832" w:rsidRPr="00576AF8" w:rsidRDefault="00A20832">
            <w:pPr>
              <w:pStyle w:val="Prrafodelista"/>
              <w:keepNext/>
              <w:keepLines/>
              <w:numPr>
                <w:ilvl w:val="0"/>
                <w:numId w:val="47"/>
              </w:numPr>
              <w:spacing w:before="240" w:after="200"/>
              <w:ind w:left="1584" w:hanging="504"/>
              <w:contextualSpacing w:val="0"/>
              <w:outlineLvl w:val="4"/>
            </w:pPr>
            <w:r w:rsidRPr="00576AF8">
              <w:t>Por “</w:t>
            </w:r>
            <w:r w:rsidR="00BD18BF" w:rsidRPr="00576AF8">
              <w:t>BID</w:t>
            </w:r>
            <w:r w:rsidRPr="00576AF8">
              <w:t xml:space="preserve">” (también denominado “el Banco”) se entiende el Banco </w:t>
            </w:r>
            <w:r w:rsidR="00BD18BF" w:rsidRPr="00576AF8">
              <w:t>Interamericano de Desarrollo</w:t>
            </w:r>
            <w:r w:rsidRPr="00576AF8">
              <w:t xml:space="preserve">. </w:t>
            </w:r>
          </w:p>
        </w:tc>
      </w:tr>
      <w:tr w:rsidR="00A20832" w:rsidRPr="00576AF8" w14:paraId="4C1BEF6C" w14:textId="77777777" w:rsidTr="004313F3">
        <w:tc>
          <w:tcPr>
            <w:tcW w:w="2242" w:type="dxa"/>
          </w:tcPr>
          <w:p w14:paraId="54DE3550" w14:textId="77777777" w:rsidR="00A20832" w:rsidRPr="00576AF8" w:rsidRDefault="00A20832" w:rsidP="00A35BE3">
            <w:pPr>
              <w:spacing w:after="0"/>
              <w:jc w:val="left"/>
            </w:pPr>
          </w:p>
        </w:tc>
        <w:tc>
          <w:tcPr>
            <w:tcW w:w="6804" w:type="dxa"/>
          </w:tcPr>
          <w:p w14:paraId="6BB01DBE" w14:textId="77777777" w:rsidR="00A20832" w:rsidRPr="00576AF8" w:rsidRDefault="001F46ED" w:rsidP="00B40BFC">
            <w:pPr>
              <w:keepNext/>
              <w:keepLines/>
              <w:spacing w:before="240" w:after="200"/>
              <w:ind w:left="1080" w:hanging="540"/>
              <w:outlineLvl w:val="4"/>
            </w:pPr>
            <w:r w:rsidRPr="00576AF8">
              <w:t>(</w:t>
            </w:r>
            <w:r w:rsidR="00A20832" w:rsidRPr="00576AF8">
              <w:t>c)</w:t>
            </w:r>
            <w:r w:rsidR="00A20832" w:rsidRPr="00576AF8">
              <w:tab/>
              <w:t>Alcance</w:t>
            </w:r>
          </w:p>
          <w:p w14:paraId="5E720080"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 xml:space="preserve">Por “Sistema </w:t>
            </w:r>
            <w:r w:rsidR="000D2934" w:rsidRPr="00576AF8">
              <w:t>Informático</w:t>
            </w:r>
            <w:r w:rsidRPr="00576AF8">
              <w:t xml:space="preserve">”, también denominado “el Sistema”, se entiende las tecnologías de la información, el material y otros bienes que se suministrarán, instalarán, integrarán y pondrán en funcionamiento (con exclusión del equipamiento del Proveedor), junto con los servicios que prestará el Proveedor en el marco del Contrato. </w:t>
            </w:r>
          </w:p>
          <w:p w14:paraId="568A1FB7"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 xml:space="preserve">Por “Subsistema” se entiende cualquier subconjunto del Sistema identificado como tal en el Contrato que pueda suministrarse, instalarse, probarse y </w:t>
            </w:r>
            <w:r w:rsidR="00C0629E" w:rsidRPr="00576AF8">
              <w:t xml:space="preserve">ponerse en servicio </w:t>
            </w:r>
            <w:r w:rsidRPr="00576AF8">
              <w:t xml:space="preserve">de forma individual antes de </w:t>
            </w:r>
            <w:r w:rsidR="00C0629E" w:rsidRPr="00576AF8">
              <w:t xml:space="preserve">poner en servicio </w:t>
            </w:r>
            <w:r w:rsidRPr="00576AF8">
              <w:t>el Sistema completo.</w:t>
            </w:r>
          </w:p>
          <w:p w14:paraId="0BEF9AEE"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w:t>
            </w:r>
            <w:r w:rsidR="0025326B" w:rsidRPr="00576AF8">
              <w:t>t</w:t>
            </w:r>
            <w:r w:rsidRPr="00576AF8">
              <w:t xml:space="preserve">ecnologías de la </w:t>
            </w:r>
            <w:r w:rsidR="0025326B" w:rsidRPr="00576AF8">
              <w:t>i</w:t>
            </w:r>
            <w:r w:rsidRPr="00576AF8">
              <w:t xml:space="preserve">nformación” se entiende todo el procesamiento de información y los equipos, </w:t>
            </w:r>
            <w:r w:rsidR="00F772EC" w:rsidRPr="00576AF8">
              <w:t>software</w:t>
            </w:r>
            <w:r w:rsidRPr="00576AF8">
              <w:t xml:space="preserve">, insumos y </w:t>
            </w:r>
            <w:r w:rsidR="00634D0C" w:rsidRPr="00576AF8">
              <w:t xml:space="preserve">bienes fungibles </w:t>
            </w:r>
            <w:r w:rsidRPr="00576AF8">
              <w:t>relacionados con las comunicaciones que el Proveedor debe proporcionar e instalar en el marco del Contrato.</w:t>
            </w:r>
          </w:p>
          <w:p w14:paraId="02176213"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w:t>
            </w:r>
            <w:r w:rsidR="003203B4" w:rsidRPr="00576AF8">
              <w:t>b</w:t>
            </w:r>
            <w:r w:rsidRPr="00576AF8">
              <w:t xml:space="preserve">ienes” se entiende todo el equipamiento, la maquinaria, los muebles, los materiales y otros artículos tangibles que el Proveedor debe proporcionar o proporcionar e instalar en el marco del Contrato, incluidos, de modo no taxativo, </w:t>
            </w:r>
            <w:r w:rsidR="0025326B" w:rsidRPr="00576AF8">
              <w:t>t</w:t>
            </w:r>
            <w:r w:rsidRPr="00576AF8">
              <w:t xml:space="preserve">ecnologías de la </w:t>
            </w:r>
            <w:r w:rsidR="0025326B" w:rsidRPr="00576AF8">
              <w:t>i</w:t>
            </w:r>
            <w:r w:rsidRPr="00576AF8">
              <w:t>nformación y materiales, pero sin incluir el equip</w:t>
            </w:r>
            <w:r w:rsidR="00C0629E" w:rsidRPr="00576AF8">
              <w:t>amiento</w:t>
            </w:r>
            <w:r w:rsidRPr="00576AF8">
              <w:t xml:space="preserve"> del Proveedor.</w:t>
            </w:r>
          </w:p>
          <w:p w14:paraId="561A1C90" w14:textId="77777777" w:rsidR="00A20832" w:rsidRPr="00576AF8" w:rsidRDefault="00A20832">
            <w:pPr>
              <w:pStyle w:val="Prrafodelista"/>
              <w:numPr>
                <w:ilvl w:val="0"/>
                <w:numId w:val="45"/>
              </w:numPr>
              <w:spacing w:after="200"/>
              <w:ind w:left="1674" w:hanging="594"/>
              <w:contextualSpacing w:val="0"/>
              <w:rPr>
                <w:spacing w:val="-2"/>
              </w:rPr>
            </w:pPr>
            <w:r w:rsidRPr="00576AF8">
              <w:rPr>
                <w:spacing w:val="-2"/>
              </w:rPr>
              <w:t>Por “</w:t>
            </w:r>
            <w:r w:rsidR="00C01517" w:rsidRPr="00576AF8">
              <w:rPr>
                <w:spacing w:val="-2"/>
              </w:rPr>
              <w:t>s</w:t>
            </w:r>
            <w:r w:rsidRPr="00576AF8">
              <w:rPr>
                <w:spacing w:val="-2"/>
              </w:rPr>
              <w:t>ervicios” se entiende todos los servicios técnicos, logísticos, de gestión y de otro tipo que prestará el Proveedor en el marco del Contrato para suministrar, instalar, adaptar, integrar y poner en funcionamiento el Sistema.</w:t>
            </w:r>
            <w:r w:rsidR="00D310A5" w:rsidRPr="00576AF8">
              <w:rPr>
                <w:spacing w:val="-2"/>
              </w:rPr>
              <w:t xml:space="preserve"> </w:t>
            </w:r>
            <w:r w:rsidRPr="00576AF8">
              <w:rPr>
                <w:spacing w:val="-2"/>
              </w:rPr>
              <w:t xml:space="preserve">Dichos </w:t>
            </w:r>
            <w:r w:rsidR="00C01517" w:rsidRPr="00576AF8">
              <w:rPr>
                <w:spacing w:val="-2"/>
              </w:rPr>
              <w:t>s</w:t>
            </w:r>
            <w:r w:rsidRPr="00576AF8">
              <w:rPr>
                <w:spacing w:val="-2"/>
              </w:rPr>
              <w:t xml:space="preserve">ervicios </w:t>
            </w:r>
            <w:r w:rsidR="00B40BFC" w:rsidRPr="00576AF8">
              <w:rPr>
                <w:spacing w:val="-2"/>
              </w:rPr>
              <w:br/>
            </w:r>
            <w:r w:rsidRPr="00576AF8">
              <w:rPr>
                <w:spacing w:val="-2"/>
              </w:rPr>
              <w:t xml:space="preserve">podrán incluir, entre otras cosas, gestión de actividades y garantía de calidad, diseño, desarrollo, adaptación, documentación, transporte, seguro, inspección, agilización, preparación de sitios, instalación, integración, capacitación, migración de datos, </w:t>
            </w:r>
            <w:r w:rsidR="009110CB" w:rsidRPr="00576AF8">
              <w:rPr>
                <w:spacing w:val="-2"/>
              </w:rPr>
              <w:t>ensayos previos a la puesta en servicio</w:t>
            </w:r>
            <w:r w:rsidRPr="00576AF8">
              <w:rPr>
                <w:spacing w:val="-2"/>
              </w:rPr>
              <w:t xml:space="preserve">, </w:t>
            </w:r>
            <w:r w:rsidR="00B40BFC" w:rsidRPr="00576AF8">
              <w:rPr>
                <w:spacing w:val="-2"/>
              </w:rPr>
              <w:br/>
            </w:r>
            <w:r w:rsidR="00056B1E" w:rsidRPr="00576AF8">
              <w:rPr>
                <w:spacing w:val="-2"/>
              </w:rPr>
              <w:t>puesta en servicio</w:t>
            </w:r>
            <w:r w:rsidRPr="00576AF8">
              <w:rPr>
                <w:spacing w:val="-2"/>
              </w:rPr>
              <w:t>, mantenimiento y apoyo técnico.</w:t>
            </w:r>
          </w:p>
          <w:p w14:paraId="42C699DB" w14:textId="77777777" w:rsidR="00A20832" w:rsidRPr="00576AF8" w:rsidRDefault="00A20832">
            <w:pPr>
              <w:pStyle w:val="Prrafodelista"/>
              <w:numPr>
                <w:ilvl w:val="0"/>
                <w:numId w:val="45"/>
              </w:numPr>
              <w:spacing w:after="200"/>
              <w:ind w:left="1674" w:hanging="594"/>
              <w:contextualSpacing w:val="0"/>
              <w:rPr>
                <w:spacing w:val="-4"/>
              </w:rPr>
            </w:pPr>
            <w:r w:rsidRPr="00576AF8">
              <w:rPr>
                <w:spacing w:val="-4"/>
              </w:rPr>
              <w:t xml:space="preserve">Por “el </w:t>
            </w:r>
            <w:r w:rsidR="00E011C3" w:rsidRPr="00576AF8">
              <w:rPr>
                <w:spacing w:val="-4"/>
              </w:rPr>
              <w:t>p</w:t>
            </w:r>
            <w:r w:rsidRPr="00576AF8">
              <w:rPr>
                <w:spacing w:val="-4"/>
              </w:rPr>
              <w:t xml:space="preserve">lan de Proyecto” se entiende el documento que será elaborado por el Proveedor y aprobado por </w:t>
            </w:r>
            <w:r w:rsidRPr="00576AF8">
              <w:rPr>
                <w:spacing w:val="-4"/>
              </w:rPr>
              <w:lastRenderedPageBreak/>
              <w:t xml:space="preserve">el Comprador, conforme a lo dispuesto en la cláusula 19 de las CGC, sobre la base de los requisitos del Contrato y el </w:t>
            </w:r>
            <w:r w:rsidR="00E011C3" w:rsidRPr="00576AF8">
              <w:rPr>
                <w:spacing w:val="-4"/>
              </w:rPr>
              <w:t>p</w:t>
            </w:r>
            <w:r w:rsidRPr="00576AF8">
              <w:rPr>
                <w:spacing w:val="-4"/>
              </w:rPr>
              <w:t xml:space="preserve">lan </w:t>
            </w:r>
            <w:r w:rsidR="003732B5" w:rsidRPr="00576AF8">
              <w:rPr>
                <w:spacing w:val="-4"/>
              </w:rPr>
              <w:t xml:space="preserve">preliminar </w:t>
            </w:r>
            <w:r w:rsidRPr="00576AF8">
              <w:rPr>
                <w:spacing w:val="-4"/>
              </w:rPr>
              <w:t>de</w:t>
            </w:r>
            <w:r w:rsidR="003732B5" w:rsidRPr="00576AF8">
              <w:rPr>
                <w:spacing w:val="-4"/>
              </w:rPr>
              <w:t>l</w:t>
            </w:r>
            <w:r w:rsidRPr="00576AF8">
              <w:rPr>
                <w:spacing w:val="-4"/>
              </w:rPr>
              <w:t xml:space="preserve"> Proyecto incluido en la </w:t>
            </w:r>
            <w:r w:rsidR="00BC72E3" w:rsidRPr="00576AF8">
              <w:rPr>
                <w:spacing w:val="-4"/>
              </w:rPr>
              <w:t>O</w:t>
            </w:r>
            <w:r w:rsidRPr="00576AF8">
              <w:rPr>
                <w:spacing w:val="-4"/>
              </w:rPr>
              <w:t>ferta del Proveedor. El “</w:t>
            </w:r>
            <w:r w:rsidR="00E011C3" w:rsidRPr="00576AF8">
              <w:rPr>
                <w:spacing w:val="-4"/>
              </w:rPr>
              <w:t>p</w:t>
            </w:r>
            <w:r w:rsidRPr="00576AF8">
              <w:rPr>
                <w:spacing w:val="-4"/>
              </w:rPr>
              <w:t xml:space="preserve">lan </w:t>
            </w:r>
            <w:r w:rsidR="00E011C3" w:rsidRPr="00576AF8">
              <w:rPr>
                <w:spacing w:val="-4"/>
              </w:rPr>
              <w:t xml:space="preserve">acordado para el </w:t>
            </w:r>
            <w:r w:rsidRPr="00576AF8">
              <w:rPr>
                <w:spacing w:val="-4"/>
              </w:rPr>
              <w:t xml:space="preserve">Proyecto” es la versión del </w:t>
            </w:r>
            <w:r w:rsidR="00E011C3" w:rsidRPr="00576AF8">
              <w:rPr>
                <w:spacing w:val="-4"/>
              </w:rPr>
              <w:t>p</w:t>
            </w:r>
            <w:r w:rsidRPr="00576AF8">
              <w:rPr>
                <w:spacing w:val="-4"/>
              </w:rPr>
              <w:t xml:space="preserve">lan de Proyecto aprobada por el Comprador conforme </w:t>
            </w:r>
            <w:r w:rsidR="00B40BFC" w:rsidRPr="00576AF8">
              <w:rPr>
                <w:spacing w:val="-4"/>
              </w:rPr>
              <w:br/>
            </w:r>
            <w:r w:rsidRPr="00576AF8">
              <w:rPr>
                <w:spacing w:val="-4"/>
              </w:rPr>
              <w:t xml:space="preserve">a lo establecido en la cláusula 19.2 de la CGC. En caso de conflicto entre el </w:t>
            </w:r>
            <w:r w:rsidR="00E011C3" w:rsidRPr="00576AF8">
              <w:rPr>
                <w:spacing w:val="-4"/>
              </w:rPr>
              <w:t>p</w:t>
            </w:r>
            <w:r w:rsidRPr="00576AF8">
              <w:rPr>
                <w:spacing w:val="-4"/>
              </w:rPr>
              <w:t>lan de Proyecto y el Contrato, prevalecerán las disposiciones pertinentes del Contrato, incluidas las enmiendas del caso.</w:t>
            </w:r>
          </w:p>
          <w:p w14:paraId="5809335C"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w:t>
            </w:r>
            <w:r w:rsidR="00F772EC" w:rsidRPr="00576AF8">
              <w:t>software</w:t>
            </w:r>
            <w:r w:rsidRPr="00576AF8">
              <w:t>” se entiende la parte del Sistema compuesta por instrucciones mediante las cuales los Subsistemas de procesamiento de información funcionan de una manera específica o ejecutan operaciones específicas.</w:t>
            </w:r>
          </w:p>
          <w:p w14:paraId="7404313A" w14:textId="77777777" w:rsidR="00A20832" w:rsidRPr="00576AF8" w:rsidRDefault="00A20832">
            <w:pPr>
              <w:pStyle w:val="Prrafodelista"/>
              <w:numPr>
                <w:ilvl w:val="0"/>
                <w:numId w:val="45"/>
              </w:numPr>
              <w:tabs>
                <w:tab w:val="left" w:pos="1710"/>
              </w:tabs>
              <w:spacing w:after="200"/>
              <w:ind w:left="1674" w:hanging="594"/>
              <w:contextualSpacing w:val="0"/>
            </w:pPr>
            <w:r w:rsidRPr="00576AF8">
              <w:t>Por “</w:t>
            </w:r>
            <w:r w:rsidR="00F772EC" w:rsidRPr="00576AF8">
              <w:t>software</w:t>
            </w:r>
            <w:r w:rsidRPr="00576AF8">
              <w:t xml:space="preserve"> del Sistema” se entiende el </w:t>
            </w:r>
            <w:r w:rsidR="00F772EC" w:rsidRPr="00576AF8">
              <w:t>software</w:t>
            </w:r>
            <w:r w:rsidRPr="00576AF8">
              <w:t xml:space="preserve"> que proporciona las instrucciones de operación y gestión para el equipo subyacente y otros componentes, y </w:t>
            </w:r>
            <w:r w:rsidR="00056B1E" w:rsidRPr="00576AF8">
              <w:t xml:space="preserve">que </w:t>
            </w:r>
            <w:r w:rsidRPr="00576AF8">
              <w:t>aparece identificado como tal en el apéndice 4 del Convenio</w:t>
            </w:r>
            <w:r w:rsidR="00F53216" w:rsidRPr="00576AF8">
              <w:t xml:space="preserve"> Contractual</w:t>
            </w:r>
            <w:r w:rsidRPr="00576AF8">
              <w:t xml:space="preserve">, así como cualquier otro </w:t>
            </w:r>
            <w:r w:rsidR="00F772EC" w:rsidRPr="00576AF8">
              <w:t>software</w:t>
            </w:r>
            <w:r w:rsidRPr="00576AF8">
              <w:t xml:space="preserve"> que las partes acuerden por escrito considerar </w:t>
            </w:r>
            <w:r w:rsidR="00F772EC" w:rsidRPr="00576AF8">
              <w:t>software</w:t>
            </w:r>
            <w:r w:rsidRPr="00576AF8">
              <w:t xml:space="preserve"> del Sistema. </w:t>
            </w:r>
            <w:proofErr w:type="gramStart"/>
            <w:r w:rsidRPr="00576AF8">
              <w:t xml:space="preserve">Dichos </w:t>
            </w:r>
            <w:r w:rsidR="00F772EC" w:rsidRPr="00576AF8">
              <w:t>software</w:t>
            </w:r>
            <w:proofErr w:type="gramEnd"/>
            <w:r w:rsidRPr="00576AF8">
              <w:t xml:space="preserve"> del Sistema incluyen, entre otras cosas, microcódigos integrados en el equipo (es decir, </w:t>
            </w:r>
            <w:r w:rsidR="001C1A03" w:rsidRPr="00576AF8">
              <w:rPr>
                <w:i/>
              </w:rPr>
              <w:t>firmware</w:t>
            </w:r>
            <w:r w:rsidRPr="00576AF8">
              <w:t xml:space="preserve">), sistemas operativos, comunicaciones, gestión de redes y sistemas, y </w:t>
            </w:r>
            <w:r w:rsidR="00F772EC" w:rsidRPr="00576AF8">
              <w:t>software</w:t>
            </w:r>
            <w:r w:rsidR="00F53216" w:rsidRPr="00576AF8">
              <w:t xml:space="preserve"> </w:t>
            </w:r>
            <w:r w:rsidRPr="00576AF8">
              <w:t>de utilidad.</w:t>
            </w:r>
            <w:r w:rsidR="00D310A5" w:rsidRPr="00576AF8">
              <w:t xml:space="preserve"> </w:t>
            </w:r>
          </w:p>
          <w:p w14:paraId="5FE171FC"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lastRenderedPageBreak/>
              <w:t>Por “</w:t>
            </w:r>
            <w:r w:rsidR="00F772EC" w:rsidRPr="00576AF8">
              <w:t>software</w:t>
            </w:r>
            <w:r w:rsidRPr="00576AF8">
              <w:t xml:space="preserve"> de uso general” se entiende el </w:t>
            </w:r>
            <w:r w:rsidR="00F772EC" w:rsidRPr="00576AF8">
              <w:t>software</w:t>
            </w:r>
            <w:r w:rsidRPr="00576AF8">
              <w:t xml:space="preserve"> que respalda actividades de oficina y de desarrollo de </w:t>
            </w:r>
            <w:r w:rsidR="00F772EC" w:rsidRPr="00576AF8">
              <w:t>software</w:t>
            </w:r>
            <w:r w:rsidRPr="00576AF8">
              <w:t xml:space="preserve"> de uso general, y que aparece identificado como tal en el apéndice 4 del Convenio</w:t>
            </w:r>
            <w:r w:rsidR="00F53216" w:rsidRPr="00576AF8">
              <w:t xml:space="preserve"> Contractual</w:t>
            </w:r>
            <w:r w:rsidRPr="00576AF8">
              <w:t xml:space="preserve">, así como cualquier otro </w:t>
            </w:r>
            <w:r w:rsidR="00F772EC" w:rsidRPr="00576AF8">
              <w:t>software</w:t>
            </w:r>
            <w:r w:rsidRPr="00576AF8">
              <w:t xml:space="preserve"> que las partes acuerden por escrito considerar </w:t>
            </w:r>
            <w:r w:rsidR="00F772EC" w:rsidRPr="00576AF8">
              <w:t>software</w:t>
            </w:r>
            <w:r w:rsidRPr="00576AF8">
              <w:t xml:space="preserve"> de uso general. </w:t>
            </w:r>
            <w:r w:rsidR="001F46ED" w:rsidRPr="00576AF8">
              <w:t>Dichos softwares</w:t>
            </w:r>
            <w:r w:rsidRPr="00576AF8">
              <w:t xml:space="preserve"> de uso general podrán incluir, entre otras cosas, procesador de texto, hoja de cálculo, gestión de bases de datos genéricas y </w:t>
            </w:r>
            <w:r w:rsidR="00F772EC" w:rsidRPr="00576AF8">
              <w:t>software</w:t>
            </w:r>
            <w:r w:rsidRPr="00576AF8">
              <w:t xml:space="preserve"> de desarrollo de aplicaciones.</w:t>
            </w:r>
          </w:p>
          <w:p w14:paraId="66DEAA62"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w:t>
            </w:r>
            <w:r w:rsidR="00F772EC" w:rsidRPr="00576AF8">
              <w:t>software</w:t>
            </w:r>
            <w:r w:rsidRPr="00576AF8">
              <w:t xml:space="preserve"> de aplicación” se entiende el </w:t>
            </w:r>
            <w:r w:rsidR="00F772EC" w:rsidRPr="00576AF8">
              <w:t>software</w:t>
            </w:r>
            <w:r w:rsidRPr="00576AF8">
              <w:t xml:space="preserve"> programado para desempeñar funciones comerciales o técnicas específicas e interactuar con los usuarios comerciales o técnicos del Sistema, y que aparece identificado como tal en el apéndice 4 del Convenio</w:t>
            </w:r>
            <w:r w:rsidR="00411BE9" w:rsidRPr="00576AF8">
              <w:t xml:space="preserve"> Contractual</w:t>
            </w:r>
            <w:r w:rsidRPr="00576AF8">
              <w:t xml:space="preserve">, así como cualquier otro </w:t>
            </w:r>
            <w:r w:rsidR="00F772EC" w:rsidRPr="00576AF8">
              <w:t>software</w:t>
            </w:r>
            <w:r w:rsidRPr="00576AF8">
              <w:t xml:space="preserve"> que las partes acuerden por escrito considerar </w:t>
            </w:r>
            <w:r w:rsidR="00F772EC" w:rsidRPr="00576AF8">
              <w:t>software</w:t>
            </w:r>
            <w:r w:rsidRPr="00576AF8">
              <w:t xml:space="preserve"> de aplicación.</w:t>
            </w:r>
          </w:p>
          <w:p w14:paraId="073B69A4"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w:t>
            </w:r>
            <w:r w:rsidR="00F772EC" w:rsidRPr="00576AF8">
              <w:t>software</w:t>
            </w:r>
            <w:r w:rsidRPr="00576AF8">
              <w:t xml:space="preserve"> estándar” se entiende el </w:t>
            </w:r>
            <w:r w:rsidR="00F772EC" w:rsidRPr="00576AF8">
              <w:t>software</w:t>
            </w:r>
            <w:r w:rsidRPr="00576AF8">
              <w:t xml:space="preserve"> identificado como tal en el apéndice 4 del Convenio </w:t>
            </w:r>
            <w:r w:rsidR="008D1A69" w:rsidRPr="00576AF8">
              <w:t xml:space="preserve">Contractual </w:t>
            </w:r>
            <w:r w:rsidRPr="00576AF8">
              <w:t xml:space="preserve">y cualquier otro </w:t>
            </w:r>
            <w:r w:rsidR="00F772EC" w:rsidRPr="00576AF8">
              <w:t>software</w:t>
            </w:r>
            <w:r w:rsidRPr="00576AF8">
              <w:t xml:space="preserve"> que las partes acuerden por escrito considerar </w:t>
            </w:r>
            <w:r w:rsidR="00F772EC" w:rsidRPr="00576AF8">
              <w:t>software</w:t>
            </w:r>
            <w:r w:rsidRPr="00576AF8">
              <w:t xml:space="preserve"> estándar.</w:t>
            </w:r>
          </w:p>
          <w:p w14:paraId="0D506B9C" w14:textId="77777777" w:rsidR="00A44EB2" w:rsidRPr="00576AF8" w:rsidRDefault="00A20832">
            <w:pPr>
              <w:pStyle w:val="Prrafodelista"/>
              <w:keepNext/>
              <w:keepLines/>
              <w:numPr>
                <w:ilvl w:val="0"/>
                <w:numId w:val="45"/>
              </w:numPr>
              <w:spacing w:before="240" w:after="200"/>
              <w:ind w:left="1674" w:hanging="594"/>
              <w:contextualSpacing w:val="0"/>
              <w:outlineLvl w:val="4"/>
            </w:pPr>
            <w:r w:rsidRPr="00576AF8">
              <w:t>Por “</w:t>
            </w:r>
            <w:r w:rsidR="00F772EC" w:rsidRPr="00576AF8">
              <w:t>software</w:t>
            </w:r>
            <w:r w:rsidRPr="00576AF8">
              <w:t xml:space="preserve"> personalizado” se entiende el </w:t>
            </w:r>
            <w:r w:rsidR="00F772EC" w:rsidRPr="00576AF8">
              <w:t>software</w:t>
            </w:r>
            <w:r w:rsidRPr="00576AF8">
              <w:t xml:space="preserve"> identificado como tal en el apéndice 4 </w:t>
            </w:r>
            <w:r w:rsidR="00B40BFC" w:rsidRPr="00576AF8">
              <w:br/>
            </w:r>
            <w:r w:rsidRPr="00576AF8">
              <w:t xml:space="preserve">del Convenio </w:t>
            </w:r>
            <w:r w:rsidR="008D1A69" w:rsidRPr="00576AF8">
              <w:t xml:space="preserve">Contractual </w:t>
            </w:r>
            <w:r w:rsidRPr="00576AF8">
              <w:t xml:space="preserve">y cualquier otro </w:t>
            </w:r>
            <w:r w:rsidR="00F772EC" w:rsidRPr="00576AF8">
              <w:t>software</w:t>
            </w:r>
            <w:r w:rsidRPr="00576AF8">
              <w:t xml:space="preserve"> que las partes acuerden por escrito considerar </w:t>
            </w:r>
            <w:r w:rsidR="00F772EC" w:rsidRPr="00576AF8">
              <w:t>software</w:t>
            </w:r>
            <w:r w:rsidRPr="00576AF8">
              <w:t xml:space="preserve"> personalizado.</w:t>
            </w:r>
          </w:p>
          <w:p w14:paraId="613CE788"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 xml:space="preserve">Por “código fuente” se entiende las estructuras de bases de datos, los diccionarios, las definiciones, los archivos fuente de programas y cualquier otra representación simbólica necesaria para la compilación, la ejecución y el mantenimiento subsiguiente del </w:t>
            </w:r>
            <w:r w:rsidR="00F772EC" w:rsidRPr="00576AF8">
              <w:t>software</w:t>
            </w:r>
            <w:r w:rsidRPr="00576AF8">
              <w:t xml:space="preserve"> (</w:t>
            </w:r>
            <w:proofErr w:type="gramStart"/>
            <w:r w:rsidRPr="00576AF8">
              <w:t>que</w:t>
            </w:r>
            <w:proofErr w:type="gramEnd"/>
            <w:r w:rsidRPr="00576AF8">
              <w:t xml:space="preserve"> con frecuencia, aunque no exclusivamente, se necesita para el </w:t>
            </w:r>
            <w:r w:rsidR="00F772EC" w:rsidRPr="00576AF8">
              <w:t>software</w:t>
            </w:r>
            <w:r w:rsidRPr="00576AF8">
              <w:t xml:space="preserve"> personalizado).</w:t>
            </w:r>
            <w:r w:rsidR="00D310A5" w:rsidRPr="00576AF8">
              <w:t xml:space="preserve"> </w:t>
            </w:r>
          </w:p>
          <w:p w14:paraId="788B3E85"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“materiales” se entiende toda la documentación en formato impreso o imprimible, y todas las herramientas informativas y de instrucción en cualquier formato (incluido audio, video y texto) y en cualquier medio que se suministren al Proveedor en el marco del Contrato.</w:t>
            </w:r>
          </w:p>
          <w:p w14:paraId="10EA66A9"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lastRenderedPageBreak/>
              <w:t xml:space="preserve">Por “materiales estándar” se entiende todos </w:t>
            </w:r>
            <w:r w:rsidR="00B40BFC" w:rsidRPr="00576AF8">
              <w:br/>
            </w:r>
            <w:r w:rsidRPr="00576AF8">
              <w:t xml:space="preserve">los materiales no especificados como </w:t>
            </w:r>
            <w:r w:rsidR="00B40BFC" w:rsidRPr="00576AF8">
              <w:br/>
            </w:r>
            <w:r w:rsidRPr="00576AF8">
              <w:t>materiales personalizados.</w:t>
            </w:r>
            <w:r w:rsidR="00D310A5" w:rsidRPr="00576AF8">
              <w:t xml:space="preserve"> </w:t>
            </w:r>
          </w:p>
          <w:p w14:paraId="0B711C11" w14:textId="77777777" w:rsidR="00A20832" w:rsidRPr="00576AF8" w:rsidRDefault="00A20832">
            <w:pPr>
              <w:pStyle w:val="Prrafodelista"/>
              <w:keepNext/>
              <w:keepLines/>
              <w:numPr>
                <w:ilvl w:val="0"/>
                <w:numId w:val="45"/>
              </w:numPr>
              <w:spacing w:before="240" w:after="200"/>
              <w:ind w:left="1674" w:hanging="594"/>
              <w:contextualSpacing w:val="0"/>
              <w:outlineLvl w:val="4"/>
            </w:pPr>
            <w:r w:rsidRPr="00576AF8">
              <w:t>Por “materiales personalizado</w:t>
            </w:r>
            <w:r w:rsidR="008D1A69" w:rsidRPr="00576AF8">
              <w:t>s</w:t>
            </w:r>
            <w:r w:rsidRPr="00576AF8">
              <w:t xml:space="preserve">” se entiende los materiales elaborados por </w:t>
            </w:r>
            <w:r w:rsidR="008D1A69" w:rsidRPr="00576AF8">
              <w:t xml:space="preserve">el </w:t>
            </w:r>
            <w:r w:rsidRPr="00576AF8">
              <w:t>Proveedor a expensas del Comprador en el marco del Contrato e identificados como tales en el apéndice 5 del Convenio</w:t>
            </w:r>
            <w:r w:rsidR="008D1A69" w:rsidRPr="00576AF8">
              <w:t xml:space="preserve"> Contractual</w:t>
            </w:r>
            <w:r w:rsidRPr="00576AF8">
              <w:t xml:space="preserve">, y otros materiales que las partes acuerden por escrito considerar materiales personalizados. </w:t>
            </w:r>
            <w:r w:rsidR="009110CB" w:rsidRPr="00576AF8">
              <w:t>Incluyen materiales creados a partir de materiales estándar.</w:t>
            </w:r>
          </w:p>
          <w:p w14:paraId="0D4E7446" w14:textId="77777777" w:rsidR="00A20832" w:rsidRPr="00576AF8" w:rsidRDefault="00A20832">
            <w:pPr>
              <w:pStyle w:val="Prrafodelista"/>
              <w:keepNext/>
              <w:keepLines/>
              <w:numPr>
                <w:ilvl w:val="0"/>
                <w:numId w:val="45"/>
              </w:numPr>
              <w:spacing w:before="240" w:after="200"/>
              <w:ind w:left="1444" w:hanging="452"/>
              <w:contextualSpacing w:val="0"/>
              <w:outlineLvl w:val="4"/>
            </w:pPr>
            <w:r w:rsidRPr="00576AF8">
              <w:t xml:space="preserve">Por “derechos de propiedad intelectual” se entiende todos los derechos de autor, derechos morales, marcas registradas, patentes, y otros derechos intelectuales y de propiedad, títulos e intereses en todo el mundo, ya sea adquiridos, contingentes o futuros, incluidos, entre otras cosas, todos los derechos económicos y todos los derechos de reproducir, reparar, adaptar, modificar, traducir, crear obras derivadas, extraer o reutilizar datos, manufacturar, poner en circulación, publicar, distribuir, vender, licenciar, otorgar una licencia secundaria, transferir, alquilar, arrendar o brindar acceso electrónico, difundir, exhibir, ingresar en memorias de computadoras, o utilizar una parte, o copiar, total o parcialmente, en cualquier forma, directa o indirectamente, o autorizar o asignar a otros a hacerlo. </w:t>
            </w:r>
          </w:p>
          <w:p w14:paraId="15CF4878" w14:textId="77777777" w:rsidR="00A20832" w:rsidRPr="00576AF8" w:rsidRDefault="00A20832">
            <w:pPr>
              <w:pStyle w:val="Prrafodelista"/>
              <w:keepNext/>
              <w:keepLines/>
              <w:numPr>
                <w:ilvl w:val="0"/>
                <w:numId w:val="45"/>
              </w:numPr>
              <w:tabs>
                <w:tab w:val="left" w:pos="1721"/>
              </w:tabs>
              <w:spacing w:before="240" w:after="200"/>
              <w:ind w:left="1674" w:hanging="594"/>
              <w:contextualSpacing w:val="0"/>
              <w:outlineLvl w:val="4"/>
            </w:pPr>
            <w:r w:rsidRPr="00576AF8">
              <w:t xml:space="preserve">Por “equipos del Proveedor” se entiende todos los equipos, herramientas, aparatos u objetos de cualquier tipo necesarios para la instalación, </w:t>
            </w:r>
            <w:r w:rsidR="00C92CE6" w:rsidRPr="00576AF8">
              <w:br/>
            </w:r>
            <w:r w:rsidRPr="00576AF8">
              <w:t>la terminación y el mantenimiento del Sistema que ha de suministrar el Proveedor</w:t>
            </w:r>
            <w:r w:rsidR="009110CB" w:rsidRPr="00576AF8">
              <w:t>, o durante esas actividades</w:t>
            </w:r>
            <w:r w:rsidRPr="00576AF8">
              <w:t xml:space="preserve">, pero que no incluyen las tecnologías </w:t>
            </w:r>
            <w:r w:rsidR="00C92CE6" w:rsidRPr="00576AF8">
              <w:br/>
            </w:r>
            <w:r w:rsidRPr="00576AF8">
              <w:t xml:space="preserve">de la información ni otros artículos que integran </w:t>
            </w:r>
            <w:r w:rsidR="00C92CE6" w:rsidRPr="00576AF8">
              <w:br/>
            </w:r>
            <w:r w:rsidRPr="00576AF8">
              <w:t>el Sistema.</w:t>
            </w:r>
          </w:p>
        </w:tc>
      </w:tr>
      <w:tr w:rsidR="00A20832" w:rsidRPr="00576AF8" w14:paraId="29692BA5" w14:textId="77777777" w:rsidTr="004313F3">
        <w:tc>
          <w:tcPr>
            <w:tcW w:w="2242" w:type="dxa"/>
          </w:tcPr>
          <w:p w14:paraId="66BCD52E" w14:textId="77777777" w:rsidR="00A20832" w:rsidRPr="00576AF8" w:rsidRDefault="00A20832" w:rsidP="00B40BFC">
            <w:pPr>
              <w:pageBreakBefore/>
              <w:spacing w:after="0"/>
              <w:jc w:val="left"/>
            </w:pPr>
          </w:p>
        </w:tc>
        <w:tc>
          <w:tcPr>
            <w:tcW w:w="6804" w:type="dxa"/>
          </w:tcPr>
          <w:p w14:paraId="754B2278" w14:textId="77777777" w:rsidR="00A20832" w:rsidRPr="00576AF8" w:rsidRDefault="00B40BFC" w:rsidP="00B40BFC">
            <w:pPr>
              <w:keepNext/>
              <w:keepLines/>
              <w:pageBreakBefore/>
              <w:spacing w:before="240" w:after="200"/>
              <w:ind w:left="1080" w:hanging="547"/>
              <w:outlineLvl w:val="4"/>
            </w:pPr>
            <w:r w:rsidRPr="00576AF8">
              <w:t>(</w:t>
            </w:r>
            <w:r w:rsidR="00A20832" w:rsidRPr="00576AF8">
              <w:t>d)</w:t>
            </w:r>
            <w:r w:rsidR="00A20832" w:rsidRPr="00576AF8">
              <w:tab/>
              <w:t>Actividades</w:t>
            </w:r>
          </w:p>
          <w:p w14:paraId="5E7650D9" w14:textId="77777777" w:rsidR="00A20832" w:rsidRPr="00576AF8" w:rsidRDefault="00B40BFC" w:rsidP="00B40BFC">
            <w:pPr>
              <w:keepNext/>
              <w:keepLines/>
              <w:pageBreakBefore/>
              <w:spacing w:before="240" w:after="200"/>
              <w:ind w:left="1710" w:hanging="547"/>
              <w:outlineLvl w:val="4"/>
            </w:pPr>
            <w:r w:rsidRPr="00576AF8">
              <w:t>(</w:t>
            </w:r>
            <w:r w:rsidR="00A20832" w:rsidRPr="00576AF8">
              <w:t>i)</w:t>
            </w:r>
            <w:r w:rsidR="00A20832" w:rsidRPr="00576AF8">
              <w:tab/>
              <w:t>Por “entrega” se entiende la transferencia de los bienes del Proveedor al Comprador de conformidad con la edición más reciente de los Incoterms especificada en el Contrato.</w:t>
            </w:r>
            <w:r w:rsidR="00D310A5" w:rsidRPr="00576AF8">
              <w:t xml:space="preserve"> </w:t>
            </w:r>
          </w:p>
          <w:p w14:paraId="7C088D63" w14:textId="77777777" w:rsidR="00A20832" w:rsidRPr="00576AF8" w:rsidRDefault="00B40BFC" w:rsidP="00B40BFC">
            <w:pPr>
              <w:keepNext/>
              <w:keepLines/>
              <w:pageBreakBefore/>
              <w:spacing w:before="240" w:after="200"/>
              <w:ind w:left="1620" w:hanging="547"/>
              <w:outlineLvl w:val="4"/>
            </w:pPr>
            <w:r w:rsidRPr="00576AF8">
              <w:t>(</w:t>
            </w:r>
            <w:r w:rsidR="00A20832" w:rsidRPr="00576AF8">
              <w:t>ii)</w:t>
            </w:r>
            <w:r w:rsidR="00A20832" w:rsidRPr="00576AF8">
              <w:tab/>
              <w:t xml:space="preserve">Por “instalación” se entiende que el Sistema o un Subsistema especificado en el Contrato está listo para </w:t>
            </w:r>
            <w:r w:rsidR="009110CB" w:rsidRPr="00576AF8">
              <w:t xml:space="preserve">su puesta en </w:t>
            </w:r>
            <w:r w:rsidR="00A43D61" w:rsidRPr="00576AF8">
              <w:t>servicio</w:t>
            </w:r>
            <w:r w:rsidR="00A20832" w:rsidRPr="00576AF8">
              <w:t>, tal como se dispone en la cláusula 26 de las CGC (</w:t>
            </w:r>
            <w:r w:rsidR="00A43D61" w:rsidRPr="00576AF8">
              <w:t>“</w:t>
            </w:r>
            <w:r w:rsidR="00A20832" w:rsidRPr="00576AF8">
              <w:t>Instalación</w:t>
            </w:r>
            <w:r w:rsidR="00A43D61" w:rsidRPr="00576AF8">
              <w:t>”</w:t>
            </w:r>
            <w:r w:rsidR="00A20832" w:rsidRPr="00576AF8">
              <w:t>).</w:t>
            </w:r>
          </w:p>
          <w:p w14:paraId="6F251921" w14:textId="77777777" w:rsidR="00A20832" w:rsidRPr="00576AF8" w:rsidRDefault="00B40BFC" w:rsidP="00B40BFC">
            <w:pPr>
              <w:keepNext/>
              <w:keepLines/>
              <w:pageBreakBefore/>
              <w:spacing w:before="240" w:after="200"/>
              <w:ind w:left="1620" w:hanging="547"/>
              <w:outlineLvl w:val="4"/>
            </w:pPr>
            <w:r w:rsidRPr="00576AF8">
              <w:t>(</w:t>
            </w:r>
            <w:r w:rsidR="00A20832" w:rsidRPr="00576AF8">
              <w:t>iii)</w:t>
            </w:r>
            <w:r w:rsidR="00A20832" w:rsidRPr="00576AF8">
              <w:tab/>
              <w:t xml:space="preserve">Por “ensayos previos a la puesta en servicio” se entiende las pruebas, verificaciones y otras actividades requeridas que pueden aparecer especificadas en los requisitos técnicos que ha </w:t>
            </w:r>
            <w:r w:rsidRPr="00576AF8">
              <w:br/>
            </w:r>
            <w:r w:rsidR="00A20832" w:rsidRPr="00576AF8">
              <w:t xml:space="preserve">de llevar a cabo el Proveedor en preparación </w:t>
            </w:r>
            <w:r w:rsidRPr="00576AF8">
              <w:br/>
            </w:r>
            <w:r w:rsidR="00A20832" w:rsidRPr="00576AF8">
              <w:t xml:space="preserve">para la puesta en servicio del Sistema, conforme </w:t>
            </w:r>
            <w:r w:rsidRPr="00576AF8">
              <w:br/>
            </w:r>
            <w:r w:rsidR="00A20832" w:rsidRPr="00576AF8">
              <w:t>a lo dispuesto en la cláusula 26 de las CGC (</w:t>
            </w:r>
            <w:r w:rsidR="00A43D61" w:rsidRPr="00576AF8">
              <w:t>“</w:t>
            </w:r>
            <w:r w:rsidR="00A20832" w:rsidRPr="00576AF8">
              <w:t>Instalación</w:t>
            </w:r>
            <w:r w:rsidR="00A43D61" w:rsidRPr="00576AF8">
              <w:t>”</w:t>
            </w:r>
            <w:r w:rsidR="00A20832" w:rsidRPr="00576AF8">
              <w:t>).</w:t>
            </w:r>
          </w:p>
          <w:p w14:paraId="7D420517" w14:textId="77777777" w:rsidR="00A20832" w:rsidRPr="00576AF8" w:rsidRDefault="00B40BFC" w:rsidP="00B40BFC">
            <w:pPr>
              <w:keepNext/>
              <w:keepLines/>
              <w:pageBreakBefore/>
              <w:spacing w:before="240" w:after="200"/>
              <w:ind w:left="1620" w:hanging="547"/>
              <w:outlineLvl w:val="4"/>
            </w:pPr>
            <w:r w:rsidRPr="00576AF8">
              <w:t>(</w:t>
            </w:r>
            <w:r w:rsidR="00A20832" w:rsidRPr="00576AF8">
              <w:t>iv)</w:t>
            </w:r>
            <w:r w:rsidR="00A20832" w:rsidRPr="00576AF8">
              <w:tab/>
              <w:t xml:space="preserve"> Por “puesta en servicio” se entiende la operación del Sistema o </w:t>
            </w:r>
            <w:r w:rsidR="009110CB" w:rsidRPr="00576AF8">
              <w:t xml:space="preserve">de </w:t>
            </w:r>
            <w:r w:rsidR="00A20832" w:rsidRPr="00576AF8">
              <w:t xml:space="preserve">cualquier Subsistema por el </w:t>
            </w:r>
            <w:r w:rsidR="00086489" w:rsidRPr="00576AF8">
              <w:t xml:space="preserve">Proveedor </w:t>
            </w:r>
            <w:r w:rsidR="00A20832" w:rsidRPr="00576AF8">
              <w:t xml:space="preserve">después de la instalación, operación </w:t>
            </w:r>
            <w:r w:rsidRPr="00576AF8">
              <w:br/>
            </w:r>
            <w:r w:rsidR="00A20832" w:rsidRPr="00576AF8">
              <w:t>que ha de realizar el Proveedor de conformidad con lo dispuesto en la cláusula 27.1 (</w:t>
            </w:r>
            <w:r w:rsidR="00A43D61" w:rsidRPr="00576AF8">
              <w:t>“</w:t>
            </w:r>
            <w:r w:rsidR="00A20832" w:rsidRPr="00576AF8">
              <w:t xml:space="preserve">Puesta en </w:t>
            </w:r>
            <w:r w:rsidR="009110CB" w:rsidRPr="00576AF8">
              <w:t>s</w:t>
            </w:r>
            <w:r w:rsidR="00A20832" w:rsidRPr="00576AF8">
              <w:t>ervicio</w:t>
            </w:r>
            <w:r w:rsidR="00A43D61" w:rsidRPr="00576AF8">
              <w:t>”</w:t>
            </w:r>
            <w:r w:rsidR="00A20832" w:rsidRPr="00576AF8">
              <w:t>) con el fin de realizar las pruebas de aceptación operativa.</w:t>
            </w:r>
          </w:p>
          <w:p w14:paraId="68CA382B" w14:textId="77777777" w:rsidR="00A20832" w:rsidRPr="00576AF8" w:rsidRDefault="00B40BFC" w:rsidP="00B40BFC">
            <w:pPr>
              <w:pageBreakBefore/>
              <w:spacing w:after="200"/>
              <w:ind w:left="1620" w:hanging="547"/>
              <w:rPr>
                <w:spacing w:val="-2"/>
              </w:rPr>
            </w:pPr>
            <w:r w:rsidRPr="00576AF8">
              <w:rPr>
                <w:spacing w:val="-2"/>
              </w:rPr>
              <w:t>(</w:t>
            </w:r>
            <w:r w:rsidR="00A20832" w:rsidRPr="00576AF8">
              <w:rPr>
                <w:spacing w:val="-2"/>
              </w:rPr>
              <w:t>v)</w:t>
            </w:r>
            <w:r w:rsidR="00A20832" w:rsidRPr="00576AF8">
              <w:rPr>
                <w:spacing w:val="-2"/>
              </w:rPr>
              <w:tab/>
              <w:t>Por “pruebas de aceptación operativa” se entiende las pruebas especificadas en los requisitos técnicos y</w:t>
            </w:r>
            <w:r w:rsidR="00FA0218" w:rsidRPr="00576AF8">
              <w:rPr>
                <w:spacing w:val="-2"/>
              </w:rPr>
              <w:t xml:space="preserve"> </w:t>
            </w:r>
            <w:r w:rsidRPr="00576AF8">
              <w:rPr>
                <w:spacing w:val="-2"/>
              </w:rPr>
              <w:br/>
            </w:r>
            <w:r w:rsidR="00FA0218" w:rsidRPr="00576AF8">
              <w:rPr>
                <w:spacing w:val="-2"/>
              </w:rPr>
              <w:t>en</w:t>
            </w:r>
            <w:r w:rsidR="00A20832" w:rsidRPr="00576AF8">
              <w:rPr>
                <w:spacing w:val="-2"/>
              </w:rPr>
              <w:t xml:space="preserve"> el </w:t>
            </w:r>
            <w:r w:rsidR="00FA0218" w:rsidRPr="00576AF8">
              <w:rPr>
                <w:spacing w:val="-2"/>
              </w:rPr>
              <w:t>p</w:t>
            </w:r>
            <w:r w:rsidR="00A20832" w:rsidRPr="00576AF8">
              <w:rPr>
                <w:spacing w:val="-2"/>
              </w:rPr>
              <w:t xml:space="preserve">lan </w:t>
            </w:r>
            <w:r w:rsidR="00FA0218" w:rsidRPr="00576AF8">
              <w:rPr>
                <w:spacing w:val="-2"/>
              </w:rPr>
              <w:t>acordado para el</w:t>
            </w:r>
            <w:r w:rsidR="00A20832" w:rsidRPr="00576AF8">
              <w:rPr>
                <w:spacing w:val="-2"/>
              </w:rPr>
              <w:t xml:space="preserve"> Proyecto que han de llevarse a cabo a cabo para determinar si el Sistema, o un Subsistema especificado puede cumplir los requisitos funcionales y de desempeño especificados en los requisitos técnicos y </w:t>
            </w:r>
            <w:r w:rsidR="00FA0218" w:rsidRPr="00576AF8">
              <w:rPr>
                <w:spacing w:val="-2"/>
              </w:rPr>
              <w:t xml:space="preserve">en </w:t>
            </w:r>
            <w:r w:rsidR="00A20832" w:rsidRPr="00576AF8">
              <w:rPr>
                <w:spacing w:val="-2"/>
              </w:rPr>
              <w:t xml:space="preserve">el </w:t>
            </w:r>
            <w:r w:rsidR="00FA0218" w:rsidRPr="00576AF8">
              <w:rPr>
                <w:spacing w:val="-2"/>
              </w:rPr>
              <w:t>p</w:t>
            </w:r>
            <w:r w:rsidR="00A20832" w:rsidRPr="00576AF8">
              <w:rPr>
                <w:spacing w:val="-2"/>
              </w:rPr>
              <w:t xml:space="preserve">lan </w:t>
            </w:r>
            <w:r w:rsidR="00FA0218" w:rsidRPr="00576AF8">
              <w:rPr>
                <w:spacing w:val="-2"/>
              </w:rPr>
              <w:t xml:space="preserve">acordado para el </w:t>
            </w:r>
            <w:r w:rsidR="00A20832" w:rsidRPr="00576AF8">
              <w:rPr>
                <w:spacing w:val="-2"/>
              </w:rPr>
              <w:t xml:space="preserve">Proyecto, de conformidad con lo </w:t>
            </w:r>
            <w:proofErr w:type="gramStart"/>
            <w:r w:rsidR="00A20832" w:rsidRPr="00576AF8">
              <w:rPr>
                <w:spacing w:val="-2"/>
              </w:rPr>
              <w:t xml:space="preserve">dispuesto </w:t>
            </w:r>
            <w:r w:rsidR="001C3361" w:rsidRPr="00576AF8">
              <w:rPr>
                <w:spacing w:val="-2"/>
              </w:rPr>
              <w:t xml:space="preserve"> </w:t>
            </w:r>
            <w:r w:rsidR="00A20832" w:rsidRPr="00576AF8">
              <w:rPr>
                <w:spacing w:val="-2"/>
              </w:rPr>
              <w:t>en</w:t>
            </w:r>
            <w:proofErr w:type="gramEnd"/>
            <w:r w:rsidR="00A20832" w:rsidRPr="00576AF8">
              <w:rPr>
                <w:spacing w:val="-2"/>
              </w:rPr>
              <w:t xml:space="preserve"> la cláusula 27.2 de las CGC (</w:t>
            </w:r>
            <w:r w:rsidR="00A43D61" w:rsidRPr="00576AF8">
              <w:rPr>
                <w:spacing w:val="-2"/>
              </w:rPr>
              <w:t>“</w:t>
            </w:r>
            <w:r w:rsidR="00A20832" w:rsidRPr="00576AF8">
              <w:rPr>
                <w:spacing w:val="-2"/>
              </w:rPr>
              <w:t>Prueba de aceptación operativa</w:t>
            </w:r>
            <w:r w:rsidR="00A43D61" w:rsidRPr="00576AF8">
              <w:rPr>
                <w:spacing w:val="-2"/>
              </w:rPr>
              <w:t>”</w:t>
            </w:r>
            <w:r w:rsidR="00A20832" w:rsidRPr="00576AF8">
              <w:rPr>
                <w:spacing w:val="-2"/>
              </w:rPr>
              <w:t>).</w:t>
            </w:r>
          </w:p>
          <w:p w14:paraId="30D9AA5B" w14:textId="77777777" w:rsidR="00A20832" w:rsidRPr="00576AF8" w:rsidRDefault="00B40BFC">
            <w:pPr>
              <w:keepNext/>
              <w:keepLines/>
              <w:pageBreakBefore/>
              <w:spacing w:before="240" w:after="200"/>
              <w:ind w:left="1620" w:hanging="547"/>
              <w:outlineLvl w:val="4"/>
            </w:pPr>
            <w:r w:rsidRPr="00576AF8">
              <w:t>(</w:t>
            </w:r>
            <w:r w:rsidR="00A20832" w:rsidRPr="00576AF8">
              <w:t>vi)</w:t>
            </w:r>
            <w:r w:rsidR="00A20832" w:rsidRPr="00576AF8">
              <w:tab/>
              <w:t xml:space="preserve">Por “aceptación operativa” </w:t>
            </w:r>
            <w:r w:rsidR="001C3361" w:rsidRPr="00576AF8">
              <w:t>(“Aceptación operativa”).</w:t>
            </w:r>
            <w:r w:rsidR="00A20832" w:rsidRPr="00576AF8">
              <w:t xml:space="preserve">se entiende la aceptación del Sistema (o cualquier Subsistema cuando en el Contrato se prevea la aceptación del Sistema en partes) por el </w:t>
            </w:r>
            <w:r w:rsidR="00FA0218" w:rsidRPr="00576AF8">
              <w:t>Comprador</w:t>
            </w:r>
            <w:r w:rsidR="00A20832" w:rsidRPr="00576AF8">
              <w:t>, de conformidad con la </w:t>
            </w:r>
            <w:r w:rsidR="001C3361" w:rsidRPr="00576AF8">
              <w:t>CGC 27.3</w:t>
            </w:r>
          </w:p>
        </w:tc>
      </w:tr>
      <w:tr w:rsidR="00A20832" w:rsidRPr="00576AF8" w14:paraId="5ACD0EB1" w14:textId="77777777" w:rsidTr="004313F3">
        <w:tc>
          <w:tcPr>
            <w:tcW w:w="2242" w:type="dxa"/>
          </w:tcPr>
          <w:p w14:paraId="42BC1077" w14:textId="77777777" w:rsidR="00A20832" w:rsidRPr="00576AF8" w:rsidRDefault="00A20832" w:rsidP="00B40BFC">
            <w:pPr>
              <w:pageBreakBefore/>
              <w:spacing w:after="0"/>
              <w:jc w:val="left"/>
            </w:pPr>
          </w:p>
        </w:tc>
        <w:tc>
          <w:tcPr>
            <w:tcW w:w="6804" w:type="dxa"/>
          </w:tcPr>
          <w:p w14:paraId="43D06F8F" w14:textId="77777777" w:rsidR="00A20832" w:rsidRPr="00576AF8" w:rsidRDefault="00B40BFC" w:rsidP="00B40BFC">
            <w:pPr>
              <w:keepNext/>
              <w:keepLines/>
              <w:pageBreakBefore/>
              <w:spacing w:before="240" w:after="200"/>
              <w:ind w:left="1080" w:hanging="547"/>
              <w:outlineLvl w:val="4"/>
            </w:pPr>
            <w:r w:rsidRPr="00576AF8">
              <w:t>(</w:t>
            </w:r>
            <w:r w:rsidR="00A20832" w:rsidRPr="00576AF8">
              <w:t>e)</w:t>
            </w:r>
            <w:r w:rsidR="00A20832" w:rsidRPr="00576AF8">
              <w:tab/>
              <w:t>Lugar y tiempo</w:t>
            </w:r>
          </w:p>
          <w:p w14:paraId="2E54A1FC" w14:textId="77777777" w:rsidR="00A20832" w:rsidRPr="00576AF8" w:rsidRDefault="00106ADE" w:rsidP="00B40BFC">
            <w:pPr>
              <w:pageBreakBefore/>
              <w:spacing w:after="200"/>
              <w:ind w:left="1620" w:hanging="547"/>
              <w:rPr>
                <w:b/>
              </w:rPr>
            </w:pPr>
            <w:r w:rsidRPr="00576AF8">
              <w:t>(</w:t>
            </w:r>
            <w:r w:rsidR="00A20832" w:rsidRPr="00576AF8">
              <w:t>i)</w:t>
            </w:r>
            <w:r w:rsidR="00A20832" w:rsidRPr="00576AF8">
              <w:tab/>
              <w:t xml:space="preserve">El “país del Comprador” es el </w:t>
            </w:r>
            <w:r w:rsidR="00A20832" w:rsidRPr="00576AF8">
              <w:rPr>
                <w:b/>
              </w:rPr>
              <w:t>país mencionado en las CEC</w:t>
            </w:r>
            <w:r w:rsidR="00A20832" w:rsidRPr="00576AF8">
              <w:t>.</w:t>
            </w:r>
          </w:p>
          <w:p w14:paraId="7FD6FCA3" w14:textId="77777777" w:rsidR="00A20832" w:rsidRPr="00576AF8" w:rsidRDefault="00106ADE" w:rsidP="00B40BFC">
            <w:pPr>
              <w:keepNext/>
              <w:keepLines/>
              <w:pageBreakBefore/>
              <w:spacing w:before="240" w:after="200"/>
              <w:ind w:left="1620" w:hanging="547"/>
              <w:outlineLvl w:val="4"/>
            </w:pPr>
            <w:r w:rsidRPr="00576AF8">
              <w:lastRenderedPageBreak/>
              <w:t>(</w:t>
            </w:r>
            <w:r w:rsidR="00A20832" w:rsidRPr="00576AF8">
              <w:t>ii)</w:t>
            </w:r>
            <w:r w:rsidR="00A20832" w:rsidRPr="00576AF8">
              <w:tab/>
              <w:t xml:space="preserve">El “país del Proveedor” es el país en el que el Proveedor está legalmente constituido, según se menciona en el </w:t>
            </w:r>
            <w:r w:rsidR="00682589" w:rsidRPr="00576AF8">
              <w:t>Convenio Contractual</w:t>
            </w:r>
            <w:r w:rsidR="00A20832" w:rsidRPr="00576AF8">
              <w:t>.</w:t>
            </w:r>
          </w:p>
          <w:p w14:paraId="75A6ECFA" w14:textId="77777777" w:rsidR="00A20832" w:rsidRPr="00576AF8" w:rsidRDefault="00106ADE" w:rsidP="00B40BFC">
            <w:pPr>
              <w:keepNext/>
              <w:keepLines/>
              <w:pageBreakBefore/>
              <w:spacing w:before="240" w:after="200"/>
              <w:ind w:left="1620" w:hanging="547"/>
              <w:outlineLvl w:val="4"/>
            </w:pPr>
            <w:r w:rsidRPr="00576AF8">
              <w:t>(</w:t>
            </w:r>
            <w:r w:rsidR="00A20832" w:rsidRPr="00576AF8">
              <w:t>iii)</w:t>
            </w:r>
            <w:r w:rsidR="00A20832" w:rsidRPr="00576AF8">
              <w:tab/>
            </w:r>
            <w:r w:rsidR="00A20832" w:rsidRPr="00576AF8">
              <w:rPr>
                <w:b/>
              </w:rPr>
              <w:t>A menos que en las CEC se especifique lo contrario</w:t>
            </w:r>
            <w:r w:rsidR="00A20832" w:rsidRPr="00576AF8">
              <w:t>, por “sitio del Proyecto” se entiende el/</w:t>
            </w:r>
            <w:proofErr w:type="gramStart"/>
            <w:r w:rsidR="00A20832" w:rsidRPr="00576AF8">
              <w:t>los lugar</w:t>
            </w:r>
            <w:proofErr w:type="gramEnd"/>
            <w:r w:rsidR="00A20832" w:rsidRPr="00576AF8">
              <w:t xml:space="preserve">/es enumerado/s en el cuadro de </w:t>
            </w:r>
            <w:r w:rsidR="00741F39" w:rsidRPr="00576AF8">
              <w:t xml:space="preserve">información sobre los </w:t>
            </w:r>
            <w:r w:rsidR="00A20832" w:rsidRPr="00576AF8">
              <w:t xml:space="preserve">sitios </w:t>
            </w:r>
            <w:r w:rsidR="00741F39" w:rsidRPr="00576AF8">
              <w:t>del Proyecto incluido en</w:t>
            </w:r>
            <w:r w:rsidR="00A20832" w:rsidRPr="00576AF8">
              <w:t xml:space="preserve"> la sección de requisitos técnicos</w:t>
            </w:r>
            <w:r w:rsidR="00741F39" w:rsidRPr="00576AF8">
              <w:t>,</w:t>
            </w:r>
            <w:r w:rsidR="00A20832" w:rsidRPr="00576AF8">
              <w:t xml:space="preserve"> en los que se suministrará e instalará el Sistema.</w:t>
            </w:r>
          </w:p>
          <w:p w14:paraId="1FDE2517" w14:textId="77777777" w:rsidR="00A20832" w:rsidRPr="00576AF8" w:rsidRDefault="00106ADE" w:rsidP="00B40BFC">
            <w:pPr>
              <w:keepNext/>
              <w:keepLines/>
              <w:pageBreakBefore/>
              <w:spacing w:before="240" w:after="200"/>
              <w:ind w:left="1620" w:hanging="547"/>
              <w:outlineLvl w:val="4"/>
            </w:pPr>
            <w:r w:rsidRPr="00576AF8">
              <w:t>(</w:t>
            </w:r>
            <w:r w:rsidR="00A20832" w:rsidRPr="00576AF8">
              <w:t>iv)</w:t>
            </w:r>
            <w:r w:rsidR="00A20832" w:rsidRPr="00576AF8">
              <w:tab/>
              <w:t xml:space="preserve">Por “país elegible” se entiende los países y territorios elegibles para participar en adquisiciones financiadas por el </w:t>
            </w:r>
            <w:r w:rsidR="00BD18BF" w:rsidRPr="00576AF8">
              <w:t>BID.</w:t>
            </w:r>
          </w:p>
          <w:p w14:paraId="284196FC" w14:textId="77777777" w:rsidR="00A20832" w:rsidRPr="00576AF8" w:rsidRDefault="00106ADE" w:rsidP="00B40BFC">
            <w:pPr>
              <w:keepNext/>
              <w:keepLines/>
              <w:pageBreakBefore/>
              <w:spacing w:before="240" w:after="200"/>
              <w:ind w:left="1620" w:hanging="547"/>
              <w:outlineLvl w:val="4"/>
            </w:pPr>
            <w:r w:rsidRPr="00576AF8">
              <w:t>(</w:t>
            </w:r>
            <w:r w:rsidR="00A20832" w:rsidRPr="00576AF8">
              <w:t>v)</w:t>
            </w:r>
            <w:r w:rsidR="00A20832" w:rsidRPr="00576AF8">
              <w:tab/>
              <w:t>Por “día” se entiende día corrido del calendario gregoriano.</w:t>
            </w:r>
          </w:p>
          <w:p w14:paraId="7749FACA" w14:textId="77777777" w:rsidR="00A20832" w:rsidRPr="00576AF8" w:rsidRDefault="00106ADE" w:rsidP="00B40BFC">
            <w:pPr>
              <w:keepNext/>
              <w:keepLines/>
              <w:pageBreakBefore/>
              <w:spacing w:before="240" w:after="200"/>
              <w:ind w:left="1620" w:hanging="547"/>
              <w:outlineLvl w:val="4"/>
            </w:pPr>
            <w:r w:rsidRPr="00576AF8">
              <w:t>(</w:t>
            </w:r>
            <w:r w:rsidR="00A20832" w:rsidRPr="00576AF8">
              <w:t xml:space="preserve">vi) </w:t>
            </w:r>
            <w:r w:rsidR="00A20832" w:rsidRPr="00576AF8">
              <w:tab/>
              <w:t>Por “semana” se entiende siete (7) días consecutivos a partir del día en que comienza la semana en el país del Proveedor.</w:t>
            </w:r>
          </w:p>
          <w:p w14:paraId="6C270EE4" w14:textId="77777777" w:rsidR="00A20832" w:rsidRPr="00576AF8" w:rsidRDefault="00106ADE" w:rsidP="00B40BFC">
            <w:pPr>
              <w:keepNext/>
              <w:keepLines/>
              <w:pageBreakBefore/>
              <w:spacing w:before="240" w:after="200"/>
              <w:ind w:left="1620" w:hanging="547"/>
              <w:outlineLvl w:val="4"/>
            </w:pPr>
            <w:r w:rsidRPr="00576AF8">
              <w:t>(</w:t>
            </w:r>
            <w:r w:rsidR="00A20832" w:rsidRPr="00576AF8">
              <w:t>vii)</w:t>
            </w:r>
            <w:r w:rsidR="00A20832" w:rsidRPr="00576AF8">
              <w:tab/>
              <w:t>Por “mes” se entiende el mes calendario del calendario gregoriano.</w:t>
            </w:r>
          </w:p>
          <w:p w14:paraId="3173363E" w14:textId="77777777" w:rsidR="00A20832" w:rsidRPr="00576AF8" w:rsidRDefault="00106ADE" w:rsidP="00B40BFC">
            <w:pPr>
              <w:keepNext/>
              <w:keepLines/>
              <w:pageBreakBefore/>
              <w:spacing w:before="240" w:after="200"/>
              <w:ind w:left="1620" w:hanging="547"/>
              <w:outlineLvl w:val="4"/>
            </w:pPr>
            <w:r w:rsidRPr="00576AF8">
              <w:t>(</w:t>
            </w:r>
            <w:r w:rsidR="00A20832" w:rsidRPr="00576AF8">
              <w:t>viii)</w:t>
            </w:r>
            <w:r w:rsidR="00A20832" w:rsidRPr="00576AF8">
              <w:tab/>
              <w:t>Por “año” se entiende doce (12) meses consecutivos.</w:t>
            </w:r>
          </w:p>
          <w:p w14:paraId="2BF4B447" w14:textId="77777777" w:rsidR="00A20832" w:rsidRPr="00576AF8" w:rsidRDefault="00106ADE" w:rsidP="00B40BFC">
            <w:pPr>
              <w:keepNext/>
              <w:keepLines/>
              <w:pageBreakBefore/>
              <w:spacing w:before="240" w:after="200"/>
              <w:ind w:left="1620" w:hanging="547"/>
              <w:outlineLvl w:val="4"/>
            </w:pPr>
            <w:r w:rsidRPr="00576AF8">
              <w:t>(</w:t>
            </w:r>
            <w:r w:rsidR="00A20832" w:rsidRPr="00576AF8">
              <w:t>ix)</w:t>
            </w:r>
            <w:r w:rsidR="00A20832" w:rsidRPr="00576AF8">
              <w:tab/>
              <w:t xml:space="preserve">Por “fecha </w:t>
            </w:r>
            <w:r w:rsidR="008B6E41" w:rsidRPr="00576AF8">
              <w:t>de entrada en vigor</w:t>
            </w:r>
            <w:r w:rsidR="00A20832" w:rsidRPr="00576AF8">
              <w:t xml:space="preserve">” se entiende la fecha en la que se cumplen todas las condiciones especificadas en el artículo 3 (Fecha </w:t>
            </w:r>
            <w:r w:rsidR="008B6E41" w:rsidRPr="00576AF8">
              <w:t xml:space="preserve">de entrada en vigor </w:t>
            </w:r>
            <w:r w:rsidR="00A20832" w:rsidRPr="00576AF8">
              <w:t xml:space="preserve">para determinar el plazo para </w:t>
            </w:r>
            <w:r w:rsidR="00413A3A" w:rsidRPr="00576AF8">
              <w:t xml:space="preserve">obtener </w:t>
            </w:r>
            <w:r w:rsidR="00A20832" w:rsidRPr="00576AF8">
              <w:t xml:space="preserve">la aceptación operativa) del Convenio </w:t>
            </w:r>
            <w:r w:rsidR="008B6E41" w:rsidRPr="00576AF8">
              <w:t xml:space="preserve">Contractual </w:t>
            </w:r>
            <w:r w:rsidR="00A20832" w:rsidRPr="00576AF8">
              <w:t>con el propósito de determinar las fechas entrega, instalación y aceptación operativa para el Sistema o los Subsistemas.</w:t>
            </w:r>
          </w:p>
          <w:p w14:paraId="65B4D3C5" w14:textId="77777777" w:rsidR="00A20832" w:rsidRPr="00576AF8" w:rsidRDefault="00106ADE" w:rsidP="00B40BFC">
            <w:pPr>
              <w:keepNext/>
              <w:keepLines/>
              <w:pageBreakBefore/>
              <w:spacing w:before="240" w:after="200"/>
              <w:ind w:left="1620" w:hanging="547"/>
              <w:outlineLvl w:val="4"/>
            </w:pPr>
            <w:r w:rsidRPr="00576AF8">
              <w:t>(</w:t>
            </w:r>
            <w:r w:rsidR="00A20832" w:rsidRPr="00576AF8">
              <w:t>x)</w:t>
            </w:r>
            <w:r w:rsidR="00A20832" w:rsidRPr="00576AF8">
              <w:tab/>
              <w:t xml:space="preserve">Por “período del Contrato” se entiende el período durante el cual este Contrato rige las relaciones y obligaciones del Comprador y </w:t>
            </w:r>
            <w:r w:rsidR="008B6E41" w:rsidRPr="00576AF8">
              <w:t>d</w:t>
            </w:r>
            <w:r w:rsidR="00A20832" w:rsidRPr="00576AF8">
              <w:t xml:space="preserve">el Proveedor con respecto al Sistema. </w:t>
            </w:r>
            <w:r w:rsidR="00A20832" w:rsidRPr="00576AF8">
              <w:rPr>
                <w:b/>
              </w:rPr>
              <w:t>A menos que en las CEC</w:t>
            </w:r>
            <w:r w:rsidR="00997CAB" w:rsidRPr="00576AF8">
              <w:rPr>
                <w:b/>
              </w:rPr>
              <w:t xml:space="preserve"> se especifique otra cosa</w:t>
            </w:r>
            <w:r w:rsidR="00A20832" w:rsidRPr="00576AF8">
              <w:t>, el Contrato seguirá en vigencia hasta que el Sistema Informático y todos los servicios se hayan suministrado, salvo que el Contrato se rescinda anticipadamente conforme a lo dispuesto en sus cláusulas.</w:t>
            </w:r>
          </w:p>
          <w:p w14:paraId="652D0D72" w14:textId="77777777" w:rsidR="00A20832" w:rsidRPr="00576AF8" w:rsidRDefault="00106ADE" w:rsidP="00B40BFC">
            <w:pPr>
              <w:keepNext/>
              <w:keepLines/>
              <w:pageBreakBefore/>
              <w:spacing w:before="240" w:after="200"/>
              <w:ind w:left="1620" w:hanging="547"/>
              <w:outlineLvl w:val="4"/>
            </w:pPr>
            <w:r w:rsidRPr="00576AF8">
              <w:lastRenderedPageBreak/>
              <w:t>(</w:t>
            </w:r>
            <w:r w:rsidR="00A20832" w:rsidRPr="00576AF8">
              <w:t>xi)</w:t>
            </w:r>
            <w:r w:rsidR="00A20832" w:rsidRPr="00576AF8">
              <w:tab/>
              <w:t xml:space="preserve">Por “período de responsabilidad por defectos” (también denominado “período de garantía”) se entiende el período de validez de las garantías proporcionadas por el Proveedor a partir de la fecha del certificado de aceptación operativa del Sistema o </w:t>
            </w:r>
            <w:r w:rsidR="00997CAB" w:rsidRPr="00576AF8">
              <w:t xml:space="preserve">de </w:t>
            </w:r>
            <w:r w:rsidR="00A20832" w:rsidRPr="00576AF8">
              <w:t xml:space="preserve">los Subsistemas, durante el cual el Proveedor es responsable de los defectos con respecto al Sistema (o </w:t>
            </w:r>
            <w:r w:rsidR="00997CAB" w:rsidRPr="00576AF8">
              <w:t xml:space="preserve">a </w:t>
            </w:r>
            <w:r w:rsidR="00A20832" w:rsidRPr="00576AF8">
              <w:t>los Subsistemas que corresponda</w:t>
            </w:r>
            <w:r w:rsidR="00997CAB" w:rsidRPr="00576AF8">
              <w:t>n</w:t>
            </w:r>
            <w:r w:rsidR="00A20832" w:rsidRPr="00576AF8">
              <w:t>), de conformidad con lo dispuesto en la cláusula 29 de las CGC (Responsabilidad por defectos).</w:t>
            </w:r>
          </w:p>
          <w:p w14:paraId="0C69C94D" w14:textId="77777777" w:rsidR="00A20832" w:rsidRPr="00576AF8" w:rsidRDefault="00106ADE" w:rsidP="00B40BFC">
            <w:pPr>
              <w:keepNext/>
              <w:keepLines/>
              <w:pageBreakBefore/>
              <w:spacing w:before="240" w:after="200"/>
              <w:ind w:left="1620" w:hanging="547"/>
              <w:outlineLvl w:val="4"/>
            </w:pPr>
            <w:r w:rsidRPr="00576AF8">
              <w:t>(</w:t>
            </w:r>
            <w:r w:rsidR="00A20832" w:rsidRPr="00576AF8">
              <w:t>xii)</w:t>
            </w:r>
            <w:r w:rsidR="00A20832" w:rsidRPr="00576AF8">
              <w:tab/>
              <w:t>Por “período de cobertura” se entiende los días de la semana y las horas de esos días durante los cuales deben prestarse servicios operacionales, de mantenimiento o de apoyo técnico (si los hubiera).</w:t>
            </w:r>
          </w:p>
          <w:p w14:paraId="515C3E40" w14:textId="77777777" w:rsidR="00A20832" w:rsidRPr="00576AF8" w:rsidRDefault="00106ADE" w:rsidP="00B40BFC">
            <w:pPr>
              <w:keepNext/>
              <w:keepLines/>
              <w:pageBreakBefore/>
              <w:spacing w:before="240" w:after="200"/>
              <w:ind w:left="1620" w:hanging="547"/>
              <w:outlineLvl w:val="4"/>
            </w:pPr>
            <w:r w:rsidRPr="00576AF8">
              <w:t>(</w:t>
            </w:r>
            <w:r w:rsidR="00A20832" w:rsidRPr="00576AF8">
              <w:t xml:space="preserve">xiii) Por “período de servicios posgarantía” se entiende la cantidad de años </w:t>
            </w:r>
            <w:r w:rsidR="00F772EC" w:rsidRPr="00576AF8">
              <w:rPr>
                <w:b/>
              </w:rPr>
              <w:t>definidos en las CEC</w:t>
            </w:r>
            <w:r w:rsidR="00A20832" w:rsidRPr="00576AF8">
              <w:t xml:space="preserve"> (si los hubiera), a partir del vencimiento del período de garantía, durante el cual el proveedor podrá estar obligado a proporcionar licencias de software, mantenimiento o servicios de apoyo técnico para el Sistema, ya sea en el marco de este Contrato o de contratos separados.</w:t>
            </w:r>
            <w:r w:rsidR="00D310A5" w:rsidRPr="00576AF8">
              <w:t xml:space="preserve"> </w:t>
            </w:r>
          </w:p>
        </w:tc>
      </w:tr>
      <w:tr w:rsidR="00A20832" w:rsidRPr="00576AF8" w14:paraId="0813B6ED" w14:textId="77777777" w:rsidTr="004313F3">
        <w:tc>
          <w:tcPr>
            <w:tcW w:w="2242" w:type="dxa"/>
          </w:tcPr>
          <w:p w14:paraId="07B9764B" w14:textId="77777777" w:rsidR="00A20832" w:rsidRPr="00576AF8" w:rsidRDefault="00A20832" w:rsidP="00A35BE3">
            <w:pPr>
              <w:pStyle w:val="Head62"/>
            </w:pPr>
            <w:bookmarkStart w:id="1506" w:name="_Toc277233319"/>
            <w:bookmarkStart w:id="1507" w:name="_Toc488959018"/>
            <w:r w:rsidRPr="00576AF8">
              <w:lastRenderedPageBreak/>
              <w:t>2.</w:t>
            </w:r>
            <w:r w:rsidRPr="00576AF8">
              <w:tab/>
              <w:t>Documentos del</w:t>
            </w:r>
            <w:r w:rsidR="00106ADE" w:rsidRPr="00576AF8">
              <w:t> </w:t>
            </w:r>
            <w:r w:rsidRPr="00576AF8">
              <w:t>Contrato</w:t>
            </w:r>
            <w:bookmarkEnd w:id="1506"/>
            <w:bookmarkEnd w:id="1507"/>
          </w:p>
        </w:tc>
        <w:tc>
          <w:tcPr>
            <w:tcW w:w="6804" w:type="dxa"/>
          </w:tcPr>
          <w:p w14:paraId="70FBD47D" w14:textId="77777777" w:rsidR="00A20832" w:rsidRPr="00576AF8" w:rsidRDefault="00A20832" w:rsidP="00B40BFC">
            <w:pPr>
              <w:keepNext/>
              <w:keepLines/>
              <w:spacing w:before="240" w:after="200"/>
              <w:ind w:left="547" w:hanging="547"/>
              <w:outlineLvl w:val="4"/>
            </w:pPr>
            <w:r w:rsidRPr="00576AF8">
              <w:t>2.1</w:t>
            </w:r>
            <w:r w:rsidRPr="00576AF8">
              <w:tab/>
              <w:t xml:space="preserve">Con sujeción al artículo 1.2 (Orden de precedencia) del </w:t>
            </w:r>
            <w:r w:rsidR="00971857" w:rsidRPr="00576AF8">
              <w:t>Convenio Contractual</w:t>
            </w:r>
            <w:r w:rsidRPr="00576AF8">
              <w:t>, todos los documentos que forman parte del Contrato (y todas las partes de esos documentos) deberán ser correlativos y complementarios, y explicarse mutuamente. El Contrato deberá leerse como un todo.</w:t>
            </w:r>
          </w:p>
        </w:tc>
      </w:tr>
      <w:tr w:rsidR="00A20832" w:rsidRPr="00576AF8" w14:paraId="265BB430" w14:textId="77777777" w:rsidTr="004313F3">
        <w:trPr>
          <w:cantSplit/>
        </w:trPr>
        <w:tc>
          <w:tcPr>
            <w:tcW w:w="2242" w:type="dxa"/>
          </w:tcPr>
          <w:p w14:paraId="775D4AC8" w14:textId="77777777" w:rsidR="00A20832" w:rsidRPr="00576AF8" w:rsidRDefault="00A20832" w:rsidP="00A35BE3">
            <w:pPr>
              <w:pStyle w:val="Head62"/>
            </w:pPr>
            <w:r w:rsidRPr="00576AF8">
              <w:t>3.</w:t>
            </w:r>
            <w:r w:rsidRPr="00576AF8">
              <w:tab/>
              <w:t>Interpretación</w:t>
            </w:r>
          </w:p>
        </w:tc>
        <w:tc>
          <w:tcPr>
            <w:tcW w:w="6804" w:type="dxa"/>
          </w:tcPr>
          <w:p w14:paraId="510ACCB2" w14:textId="77777777" w:rsidR="00A20832" w:rsidRPr="00576AF8" w:rsidRDefault="00A20832" w:rsidP="00B40BFC">
            <w:pPr>
              <w:keepNext/>
              <w:keepLines/>
              <w:spacing w:before="240" w:after="200"/>
              <w:ind w:left="547" w:hanging="547"/>
              <w:outlineLvl w:val="4"/>
            </w:pPr>
            <w:r w:rsidRPr="00576AF8">
              <w:t>3.1</w:t>
            </w:r>
            <w:r w:rsidRPr="00576AF8">
              <w:tab/>
              <w:t>Idioma obligatorio</w:t>
            </w:r>
          </w:p>
        </w:tc>
      </w:tr>
      <w:tr w:rsidR="00A20832" w:rsidRPr="00576AF8" w14:paraId="66CB6A57" w14:textId="77777777" w:rsidTr="004313F3">
        <w:tc>
          <w:tcPr>
            <w:tcW w:w="2242" w:type="dxa"/>
          </w:tcPr>
          <w:p w14:paraId="271C6204" w14:textId="77777777" w:rsidR="00A20832" w:rsidRPr="00576AF8" w:rsidRDefault="00A20832" w:rsidP="00A35BE3">
            <w:pPr>
              <w:spacing w:after="0"/>
              <w:jc w:val="left"/>
            </w:pPr>
          </w:p>
        </w:tc>
        <w:tc>
          <w:tcPr>
            <w:tcW w:w="6804" w:type="dxa"/>
          </w:tcPr>
          <w:p w14:paraId="06E8FF5C" w14:textId="77777777" w:rsidR="00A20832" w:rsidRPr="00576AF8" w:rsidRDefault="00A20832" w:rsidP="00B40BFC">
            <w:pPr>
              <w:keepNext/>
              <w:keepLines/>
              <w:spacing w:before="240" w:after="200"/>
              <w:ind w:left="1080" w:hanging="540"/>
              <w:outlineLvl w:val="4"/>
            </w:pPr>
            <w:r w:rsidRPr="00576AF8">
              <w:t>3.1.1</w:t>
            </w:r>
            <w:r w:rsidRPr="00576AF8">
              <w:tab/>
            </w:r>
            <w:r w:rsidRPr="00576AF8">
              <w:rPr>
                <w:b/>
              </w:rPr>
              <w:t xml:space="preserve"> A menos que en las CEC</w:t>
            </w:r>
            <w:r w:rsidR="00997CAB" w:rsidRPr="00576AF8">
              <w:rPr>
                <w:b/>
              </w:rPr>
              <w:t xml:space="preserve"> se especifique </w:t>
            </w:r>
            <w:r w:rsidR="00971857" w:rsidRPr="00576AF8">
              <w:rPr>
                <w:b/>
              </w:rPr>
              <w:t>otra cosa</w:t>
            </w:r>
            <w:r w:rsidRPr="00576AF8">
              <w:t xml:space="preserve">, todos los documentos del Contrato y la correspondencia relacionada que intercambien el Comprador y el Proveedor </w:t>
            </w:r>
            <w:r w:rsidR="00971857" w:rsidRPr="00576AF8">
              <w:t xml:space="preserve">deberá </w:t>
            </w:r>
            <w:r w:rsidRPr="00576AF8">
              <w:t>redactar</w:t>
            </w:r>
            <w:r w:rsidR="00971857" w:rsidRPr="00576AF8">
              <w:t>se</w:t>
            </w:r>
            <w:r w:rsidRPr="00576AF8">
              <w:t xml:space="preserve"> en el idioma de es</w:t>
            </w:r>
            <w:r w:rsidR="00971857" w:rsidRPr="00576AF8">
              <w:t>t</w:t>
            </w:r>
            <w:r w:rsidRPr="00576AF8">
              <w:t>os documentos de la licitación (</w:t>
            </w:r>
            <w:r w:rsidR="003023FB" w:rsidRPr="00576AF8">
              <w:t>español</w:t>
            </w:r>
            <w:r w:rsidRPr="00576AF8">
              <w:t>), y el Contrato se interpretará de conformidad con dicho idioma.</w:t>
            </w:r>
          </w:p>
          <w:p w14:paraId="33991FF9" w14:textId="77777777" w:rsidR="00A20832" w:rsidRPr="00576AF8" w:rsidRDefault="00A20832" w:rsidP="00B40BFC">
            <w:pPr>
              <w:keepNext/>
              <w:keepLines/>
              <w:spacing w:before="240" w:after="200"/>
              <w:ind w:left="1080" w:hanging="540"/>
              <w:outlineLvl w:val="4"/>
            </w:pPr>
            <w:r w:rsidRPr="00576AF8">
              <w:t>3.1.2</w:t>
            </w:r>
            <w:r w:rsidRPr="00576AF8">
              <w:tab/>
              <w:t xml:space="preserve">Si </w:t>
            </w:r>
            <w:proofErr w:type="gramStart"/>
            <w:r w:rsidRPr="00576AF8">
              <w:t xml:space="preserve">alguno de los documentos </w:t>
            </w:r>
            <w:r w:rsidR="00971857" w:rsidRPr="00576AF8">
              <w:t xml:space="preserve">del Contrato </w:t>
            </w:r>
            <w:r w:rsidRPr="00576AF8">
              <w:t>o la correspondencia relacionada están</w:t>
            </w:r>
            <w:proofErr w:type="gramEnd"/>
            <w:r w:rsidRPr="00576AF8">
              <w:t xml:space="preserve"> preparados en un idioma distinto del idioma obligatorio conforme a lo dispuesto en la cláusula 3.1.1 de las CEC, la traducción de dichos documentos al idioma obligatorio prevalecerá para las cuestiones relativas a la interpretación. La parte que haya originado dichos documentos sufragará los costos y asumirá los riesgos vinculados con la traducción.</w:t>
            </w:r>
          </w:p>
          <w:p w14:paraId="146C6C1A" w14:textId="77777777" w:rsidR="00A20832" w:rsidRPr="00576AF8" w:rsidRDefault="00A20832" w:rsidP="00B40BFC">
            <w:pPr>
              <w:keepNext/>
              <w:keepLines/>
              <w:spacing w:before="240" w:after="200"/>
              <w:ind w:left="547" w:hanging="547"/>
              <w:outlineLvl w:val="4"/>
            </w:pPr>
            <w:r w:rsidRPr="00576AF8">
              <w:t>3.2</w:t>
            </w:r>
            <w:r w:rsidRPr="00576AF8">
              <w:tab/>
              <w:t>Singular y plural</w:t>
            </w:r>
          </w:p>
          <w:p w14:paraId="1E7BD05A" w14:textId="77777777" w:rsidR="00A20832" w:rsidRPr="00576AF8" w:rsidRDefault="00A20832" w:rsidP="00B40BFC">
            <w:pPr>
              <w:keepNext/>
              <w:keepLines/>
              <w:spacing w:before="240" w:after="200"/>
              <w:ind w:left="540"/>
              <w:outlineLvl w:val="4"/>
            </w:pPr>
            <w:r w:rsidRPr="00576AF8">
              <w:t xml:space="preserve">El singular incluirá el plural y viceversa, salvo </w:t>
            </w:r>
            <w:r w:rsidR="00971857" w:rsidRPr="00576AF8">
              <w:t xml:space="preserve">cuando </w:t>
            </w:r>
            <w:r w:rsidRPr="00576AF8">
              <w:t>el contexto exija otra cosa.</w:t>
            </w:r>
          </w:p>
          <w:p w14:paraId="0EF4DB4C" w14:textId="77777777" w:rsidR="00A20832" w:rsidRPr="00576AF8" w:rsidRDefault="00A20832" w:rsidP="00B40BFC">
            <w:pPr>
              <w:keepNext/>
              <w:keepLines/>
              <w:spacing w:before="240" w:after="200"/>
              <w:ind w:left="547" w:hanging="547"/>
              <w:outlineLvl w:val="4"/>
            </w:pPr>
            <w:r w:rsidRPr="00576AF8">
              <w:t>3.3</w:t>
            </w:r>
            <w:r w:rsidRPr="00576AF8">
              <w:tab/>
              <w:t>Encabezados</w:t>
            </w:r>
          </w:p>
          <w:p w14:paraId="628DBAD7" w14:textId="77777777" w:rsidR="00A20832" w:rsidRPr="00576AF8" w:rsidRDefault="00A20832" w:rsidP="00B40BFC">
            <w:pPr>
              <w:keepNext/>
              <w:keepLines/>
              <w:spacing w:before="240" w:after="200"/>
              <w:ind w:left="540"/>
              <w:outlineLvl w:val="4"/>
            </w:pPr>
            <w:r w:rsidRPr="00576AF8">
              <w:t>Los encabezados y las notas marginales de las CGC se incluyen para facilitar la referencia, pero no formarán parte del Contrato ni afectarán su interpretación.</w:t>
            </w:r>
          </w:p>
          <w:p w14:paraId="7245A7D7" w14:textId="77777777" w:rsidR="00A20832" w:rsidRPr="00576AF8" w:rsidRDefault="00A20832" w:rsidP="00B40BFC">
            <w:pPr>
              <w:keepNext/>
              <w:keepLines/>
              <w:spacing w:before="240" w:after="200"/>
              <w:ind w:left="547" w:hanging="547"/>
              <w:outlineLvl w:val="4"/>
            </w:pPr>
            <w:r w:rsidRPr="00576AF8">
              <w:t>3.4</w:t>
            </w:r>
            <w:r w:rsidRPr="00576AF8">
              <w:tab/>
              <w:t>Personas</w:t>
            </w:r>
          </w:p>
          <w:p w14:paraId="7544C5DC" w14:textId="77777777" w:rsidR="00A20832" w:rsidRPr="00576AF8" w:rsidRDefault="00A20832" w:rsidP="00B40BFC">
            <w:pPr>
              <w:keepNext/>
              <w:keepLines/>
              <w:spacing w:before="240" w:after="200"/>
              <w:ind w:left="540"/>
              <w:outlineLvl w:val="4"/>
            </w:pPr>
            <w:r w:rsidRPr="00576AF8">
              <w:t>Las palabras referidas a personas o partes incluirán a empresas, corporaciones y entidades gubernamentales.</w:t>
            </w:r>
          </w:p>
          <w:p w14:paraId="6A677258" w14:textId="77777777" w:rsidR="00A20832" w:rsidRPr="00576AF8" w:rsidRDefault="00A20832" w:rsidP="00B40BFC">
            <w:pPr>
              <w:keepNext/>
              <w:keepLines/>
              <w:tabs>
                <w:tab w:val="left" w:pos="540"/>
              </w:tabs>
              <w:spacing w:before="240" w:after="200"/>
              <w:outlineLvl w:val="4"/>
            </w:pPr>
            <w:r w:rsidRPr="00576AF8">
              <w:t>3.5</w:t>
            </w:r>
            <w:r w:rsidRPr="00576AF8">
              <w:tab/>
              <w:t>Incoterms</w:t>
            </w:r>
          </w:p>
          <w:p w14:paraId="1D9A89B0" w14:textId="77777777" w:rsidR="00A20832" w:rsidRPr="00576AF8" w:rsidRDefault="00A20832" w:rsidP="00B40BFC">
            <w:pPr>
              <w:keepNext/>
              <w:keepLines/>
              <w:spacing w:before="240" w:after="200"/>
              <w:ind w:left="547" w:hanging="7"/>
              <w:outlineLvl w:val="4"/>
            </w:pPr>
            <w:r w:rsidRPr="00576AF8">
              <w:t>A menos que sea</w:t>
            </w:r>
            <w:r w:rsidR="00971857" w:rsidRPr="00576AF8">
              <w:t>n</w:t>
            </w:r>
            <w:r w:rsidRPr="00576AF8">
              <w:t xml:space="preserve"> incompatible</w:t>
            </w:r>
            <w:r w:rsidR="00971857" w:rsidRPr="00576AF8">
              <w:t>s</w:t>
            </w:r>
            <w:r w:rsidRPr="00576AF8">
              <w:t xml:space="preserve"> con alguna disposición del Contrato, el significado de los términos comerciales y los derechos y obligaciones de las partes serán los que se establecen en los Incoterms. </w:t>
            </w:r>
          </w:p>
          <w:p w14:paraId="4CA0F81C" w14:textId="77777777" w:rsidR="00A20832" w:rsidRPr="00576AF8" w:rsidRDefault="00A20832" w:rsidP="00B40BFC">
            <w:pPr>
              <w:keepNext/>
              <w:keepLines/>
              <w:spacing w:before="240" w:after="200"/>
              <w:ind w:left="547" w:hanging="7"/>
              <w:outlineLvl w:val="4"/>
            </w:pPr>
            <w:r w:rsidRPr="00576AF8">
              <w:rPr>
                <w:i/>
                <w:szCs w:val="24"/>
              </w:rPr>
              <w:tab/>
            </w:r>
            <w:r w:rsidRPr="00576AF8">
              <w:t xml:space="preserve">Los Incoterms son las normas internacionales para la interpretación de los términos comerciales publicadas por la Cámara de Comercio Internacional </w:t>
            </w:r>
            <w:r w:rsidR="00EB6598" w:rsidRPr="00576AF8">
              <w:t xml:space="preserve">(CCI) </w:t>
            </w:r>
            <w:r w:rsidRPr="00576AF8">
              <w:t>(última edición), 38 Cours Albert 1</w:t>
            </w:r>
            <w:r w:rsidRPr="00576AF8">
              <w:rPr>
                <w:szCs w:val="24"/>
                <w:vertAlign w:val="superscript"/>
              </w:rPr>
              <w:t>er</w:t>
            </w:r>
            <w:r w:rsidRPr="00576AF8">
              <w:t>, 75008 París, Francia.</w:t>
            </w:r>
          </w:p>
          <w:p w14:paraId="565B1579" w14:textId="77777777" w:rsidR="00A20832" w:rsidRPr="00576AF8" w:rsidRDefault="00A20832" w:rsidP="00B40BFC">
            <w:pPr>
              <w:keepNext/>
              <w:keepLines/>
              <w:spacing w:before="240" w:after="200"/>
              <w:ind w:left="547" w:hanging="547"/>
              <w:outlineLvl w:val="4"/>
            </w:pPr>
            <w:r w:rsidRPr="00576AF8">
              <w:t>3.6</w:t>
            </w:r>
            <w:r w:rsidRPr="00576AF8">
              <w:tab/>
              <w:t>Totalidad del acuerdo</w:t>
            </w:r>
          </w:p>
          <w:p w14:paraId="7F53B1D9" w14:textId="77777777" w:rsidR="00A20832" w:rsidRPr="00576AF8" w:rsidRDefault="00A20832" w:rsidP="00B40BFC">
            <w:pPr>
              <w:keepNext/>
              <w:keepLines/>
              <w:spacing w:before="240" w:after="200"/>
              <w:ind w:left="540"/>
              <w:outlineLvl w:val="4"/>
            </w:pPr>
            <w:r w:rsidRPr="00576AF8">
              <w:lastRenderedPageBreak/>
              <w:t xml:space="preserve">El Contrato constituye la totalidad de lo acordado entre el Comprador y el Proveedor con respecto al objeto del Contrato y prevalece sobre todas las comunicaciones, negociaciones y acuerdos (escritos o verbales) que hayan tenido lugar entre las partes con respecto al objeto del Contrato antes de la fecha </w:t>
            </w:r>
            <w:r w:rsidR="00106ADE" w:rsidRPr="00576AF8">
              <w:br/>
            </w:r>
            <w:r w:rsidRPr="00576AF8">
              <w:t>de este último.</w:t>
            </w:r>
          </w:p>
          <w:p w14:paraId="48DACB71" w14:textId="77777777" w:rsidR="00A20832" w:rsidRPr="00576AF8" w:rsidRDefault="00A20832" w:rsidP="00B40BFC">
            <w:pPr>
              <w:keepNext/>
              <w:keepLines/>
              <w:spacing w:before="240" w:after="200"/>
              <w:ind w:left="547" w:hanging="547"/>
              <w:outlineLvl w:val="4"/>
            </w:pPr>
            <w:r w:rsidRPr="00576AF8">
              <w:t>3.7</w:t>
            </w:r>
            <w:r w:rsidRPr="00576AF8">
              <w:tab/>
              <w:t>Enmiendas</w:t>
            </w:r>
          </w:p>
          <w:p w14:paraId="0CBB8067" w14:textId="77777777" w:rsidR="00A20832" w:rsidRPr="00576AF8" w:rsidRDefault="00A20832" w:rsidP="00B40BFC">
            <w:pPr>
              <w:keepNext/>
              <w:keepLines/>
              <w:spacing w:before="240" w:after="200"/>
              <w:ind w:left="540"/>
              <w:outlineLvl w:val="4"/>
            </w:pPr>
            <w:r w:rsidRPr="00576AF8">
              <w:t>Ninguna enmienda u otra variación introducida en el Contrato será válida, a menos que se realice por escrito, esté fechada, se refiera expresamente al Contrato, y esté firmada por un representante debidamente autorizado de cada una de las partes.</w:t>
            </w:r>
          </w:p>
          <w:p w14:paraId="10399470" w14:textId="77777777" w:rsidR="00A20832" w:rsidRPr="00576AF8" w:rsidRDefault="00A20832" w:rsidP="00B40BFC">
            <w:pPr>
              <w:keepNext/>
              <w:keepLines/>
              <w:spacing w:before="240" w:after="200"/>
              <w:ind w:left="547" w:hanging="547"/>
              <w:outlineLvl w:val="4"/>
            </w:pPr>
            <w:r w:rsidRPr="00576AF8">
              <w:t>3.8</w:t>
            </w:r>
            <w:r w:rsidRPr="00576AF8">
              <w:tab/>
              <w:t>Proveedor independiente</w:t>
            </w:r>
          </w:p>
          <w:p w14:paraId="0C0035D4" w14:textId="77777777" w:rsidR="00A20832" w:rsidRPr="00576AF8" w:rsidRDefault="00A20832" w:rsidP="00B40BFC">
            <w:pPr>
              <w:keepNext/>
              <w:keepLines/>
              <w:spacing w:before="240" w:after="200"/>
              <w:ind w:left="547"/>
              <w:outlineLvl w:val="4"/>
            </w:pPr>
            <w:r w:rsidRPr="00576AF8">
              <w:t xml:space="preserve">El Proveedor será un proveedor independiente encargado </w:t>
            </w:r>
            <w:r w:rsidR="00106ADE" w:rsidRPr="00576AF8">
              <w:br/>
            </w:r>
            <w:r w:rsidRPr="00576AF8">
              <w:t xml:space="preserve">de dar cumplimiento al Contrato. El Contrato no crea </w:t>
            </w:r>
            <w:r w:rsidR="00106ADE" w:rsidRPr="00576AF8">
              <w:br/>
            </w:r>
            <w:r w:rsidRPr="00576AF8">
              <w:t xml:space="preserve">ningún organismo, </w:t>
            </w:r>
            <w:r w:rsidR="000107E9" w:rsidRPr="00576AF8">
              <w:t>APCA</w:t>
            </w:r>
            <w:r w:rsidRPr="00576AF8">
              <w:t xml:space="preserve"> ni otra relación conjunta entre las partes contratantes.</w:t>
            </w:r>
          </w:p>
          <w:p w14:paraId="7F1DAEC6" w14:textId="77777777" w:rsidR="00A20832" w:rsidRPr="00576AF8" w:rsidRDefault="00A20832" w:rsidP="00B40BFC">
            <w:pPr>
              <w:spacing w:after="200"/>
              <w:ind w:left="547"/>
              <w:rPr>
                <w:spacing w:val="-4"/>
              </w:rPr>
            </w:pPr>
            <w:r w:rsidRPr="00576AF8">
              <w:rPr>
                <w:spacing w:val="-4"/>
              </w:rPr>
              <w:t xml:space="preserve">Con sujeción a las disposiciones del Contrato, el Proveedor será exclusivamente responsable de la forma en que se cumpla el Contrato. Todos los empleados, representantes o subcontratistas cuyos servicios utilice el </w:t>
            </w:r>
            <w:r w:rsidR="00971857" w:rsidRPr="00576AF8">
              <w:rPr>
                <w:spacing w:val="-4"/>
              </w:rPr>
              <w:t xml:space="preserve">Proveedor </w:t>
            </w:r>
            <w:r w:rsidRPr="00576AF8">
              <w:rPr>
                <w:spacing w:val="-4"/>
              </w:rPr>
              <w:t xml:space="preserve">para dar cumplimiento al Contrato estarán bajo el pleno control del Proveedor y no serán considerados empleados del Comprador, y en ningún caso se entenderá que el Contrato o cualquier subcontrato adjudicado </w:t>
            </w:r>
            <w:r w:rsidR="00106ADE" w:rsidRPr="00576AF8">
              <w:rPr>
                <w:spacing w:val="-4"/>
              </w:rPr>
              <w:br/>
            </w:r>
            <w:r w:rsidRPr="00576AF8">
              <w:rPr>
                <w:spacing w:val="-4"/>
              </w:rPr>
              <w:t>por el Proveedor crea relaciones contractuales entre esos empleados, representantes o subcontratistas y el Comprador.</w:t>
            </w:r>
          </w:p>
          <w:p w14:paraId="30C6DAF1" w14:textId="77777777" w:rsidR="00A20832" w:rsidRPr="00576AF8" w:rsidRDefault="00A20832" w:rsidP="00B40BFC">
            <w:pPr>
              <w:keepNext/>
              <w:keepLines/>
              <w:spacing w:before="240" w:after="200"/>
              <w:ind w:left="547" w:hanging="547"/>
              <w:outlineLvl w:val="4"/>
            </w:pPr>
            <w:r w:rsidRPr="00576AF8">
              <w:t>3.9</w:t>
            </w:r>
            <w:r w:rsidRPr="00576AF8">
              <w:tab/>
              <w:t xml:space="preserve">Asociaciones </w:t>
            </w:r>
            <w:r w:rsidR="000107E9" w:rsidRPr="00576AF8">
              <w:t>en participación, consorcios o asociaciones (“APCA”)</w:t>
            </w:r>
          </w:p>
          <w:p w14:paraId="57CA1083" w14:textId="77777777" w:rsidR="00A20832" w:rsidRPr="00576AF8" w:rsidRDefault="00A20832" w:rsidP="00B40BFC">
            <w:pPr>
              <w:keepNext/>
              <w:keepLines/>
              <w:spacing w:before="240" w:after="200"/>
              <w:ind w:left="547"/>
              <w:outlineLvl w:val="4"/>
            </w:pPr>
            <w:r w:rsidRPr="00576AF8">
              <w:t xml:space="preserve">Si el Proveedor es una </w:t>
            </w:r>
            <w:r w:rsidR="000107E9" w:rsidRPr="00576AF8">
              <w:t xml:space="preserve">APCA </w:t>
            </w:r>
            <w:r w:rsidRPr="00576AF8">
              <w:t xml:space="preserve">de dos o más empresas, dichas empresas serán solidariamente responsables frente al Comprador por el cumplimiento de las disposiciones del Contrato y deberán designar a una de ellas para que actúe como representante con facultades para obligar a la </w:t>
            </w:r>
            <w:r w:rsidR="000107E9" w:rsidRPr="00576AF8">
              <w:t>APCA</w:t>
            </w:r>
            <w:r w:rsidRPr="00576AF8">
              <w:t xml:space="preserve">. La composición o constitución de la </w:t>
            </w:r>
            <w:r w:rsidR="000107E9" w:rsidRPr="00576AF8">
              <w:t>APCA</w:t>
            </w:r>
            <w:r w:rsidRPr="00576AF8">
              <w:t xml:space="preserve"> no podrá modificarse sin el consentimiento previo del Comprador.</w:t>
            </w:r>
          </w:p>
          <w:p w14:paraId="7DE85DEF" w14:textId="77777777" w:rsidR="00A20832" w:rsidRPr="00576AF8" w:rsidRDefault="00A20832" w:rsidP="00B40BFC">
            <w:pPr>
              <w:keepNext/>
              <w:keepLines/>
              <w:spacing w:before="240" w:after="200"/>
              <w:ind w:left="547" w:hanging="547"/>
              <w:outlineLvl w:val="4"/>
            </w:pPr>
            <w:r w:rsidRPr="00576AF8">
              <w:t>3.10</w:t>
            </w:r>
            <w:r w:rsidRPr="00576AF8">
              <w:tab/>
              <w:t>Limitación de dispensas</w:t>
            </w:r>
          </w:p>
          <w:p w14:paraId="56688CB0" w14:textId="77777777" w:rsidR="00A20832" w:rsidRPr="00576AF8" w:rsidRDefault="00A20832" w:rsidP="00B40BFC">
            <w:pPr>
              <w:spacing w:after="200"/>
              <w:ind w:left="1267" w:hanging="720"/>
            </w:pPr>
            <w:r w:rsidRPr="00576AF8">
              <w:t>3.10.1</w:t>
            </w:r>
            <w:r w:rsidRPr="00576AF8">
              <w:tab/>
              <w:t xml:space="preserve">Con sujeción a lo dispuesto en la cláusula 3.10.2, ninguna relajación, abstención, demora o indulgencia por una de las partes en exigir el cumplimiento de </w:t>
            </w:r>
            <w:r w:rsidRPr="00576AF8">
              <w:lastRenderedPageBreak/>
              <w:t>cualquiera de las condiciones del Contrato, ni la concesión de tiempo por una de las partes a la otra parte menoscabará, afectará o limitará los derechos de esa parte en virtud del Contrato; asimismo, la dispensa de un incumplimiento del Contrato concedida por una de las partes no servirá como dispensa de un incumplimiento posterior o continuado del Contrato.</w:t>
            </w:r>
          </w:p>
          <w:p w14:paraId="03EA2750" w14:textId="77777777" w:rsidR="00A20832" w:rsidRPr="00576AF8" w:rsidRDefault="00A20832" w:rsidP="00B40BFC">
            <w:pPr>
              <w:spacing w:after="200"/>
              <w:ind w:left="1267" w:hanging="720"/>
              <w:rPr>
                <w:spacing w:val="-2"/>
              </w:rPr>
            </w:pPr>
            <w:r w:rsidRPr="00576AF8">
              <w:rPr>
                <w:spacing w:val="-2"/>
              </w:rPr>
              <w:t>3.10.2</w:t>
            </w:r>
            <w:r w:rsidRPr="00576AF8">
              <w:rPr>
                <w:spacing w:val="-2"/>
              </w:rPr>
              <w:tab/>
              <w:t>La renuncia a los derechos, facultades o recursos de una parte en virtud del Contrato deberá hacerse por escrito, fecharse y llevar la firma de un representante autorizado de la parte renunciante; asimismo, deberán especificarse en ella los derechos en cuestión y la medida en que se renuncia a ellos.</w:t>
            </w:r>
          </w:p>
          <w:p w14:paraId="48F2E6B4" w14:textId="77777777" w:rsidR="00A20832" w:rsidRPr="00576AF8" w:rsidRDefault="00A20832" w:rsidP="00B40BFC">
            <w:pPr>
              <w:keepNext/>
              <w:keepLines/>
              <w:spacing w:before="240" w:after="200"/>
              <w:ind w:left="547" w:hanging="547"/>
              <w:outlineLvl w:val="4"/>
            </w:pPr>
            <w:r w:rsidRPr="00576AF8">
              <w:t>3.11</w:t>
            </w:r>
            <w:r w:rsidRPr="00576AF8">
              <w:tab/>
              <w:t>Divisibilidad del Contrato</w:t>
            </w:r>
          </w:p>
          <w:p w14:paraId="29895B89" w14:textId="77777777" w:rsidR="00A20832" w:rsidRPr="00576AF8" w:rsidRDefault="00A20832" w:rsidP="00B40BFC">
            <w:pPr>
              <w:keepNext/>
              <w:keepLines/>
              <w:spacing w:before="240" w:after="200"/>
              <w:ind w:left="540"/>
              <w:outlineLvl w:val="4"/>
            </w:pPr>
            <w:r w:rsidRPr="00576AF8">
              <w:t xml:space="preserve">Si una disposición o condición del Contrato </w:t>
            </w:r>
            <w:r w:rsidR="00CC008E" w:rsidRPr="00576AF8">
              <w:t xml:space="preserve">se prohíbe </w:t>
            </w:r>
            <w:r w:rsidRPr="00576AF8">
              <w:t>o resulta inválida o inejecutable, dicha prohibición, invalidez o falta de ejecución no afectará la validez ni la exigibilidad de las otras disposiciones o condiciones del Contrato.</w:t>
            </w:r>
          </w:p>
          <w:p w14:paraId="15896FF0" w14:textId="77777777" w:rsidR="00A20832" w:rsidRPr="00576AF8" w:rsidRDefault="00A20832" w:rsidP="00B40BFC">
            <w:pPr>
              <w:keepNext/>
              <w:keepLines/>
              <w:spacing w:before="240" w:after="200"/>
              <w:ind w:left="547" w:hanging="547"/>
              <w:outlineLvl w:val="4"/>
            </w:pPr>
            <w:r w:rsidRPr="00576AF8">
              <w:t>3.12</w:t>
            </w:r>
            <w:r w:rsidRPr="00576AF8">
              <w:tab/>
              <w:t>País de origen</w:t>
            </w:r>
          </w:p>
          <w:p w14:paraId="54980382" w14:textId="77777777" w:rsidR="00A20832" w:rsidRPr="00576AF8" w:rsidRDefault="00A20832" w:rsidP="00B40BFC">
            <w:pPr>
              <w:spacing w:after="200"/>
              <w:ind w:left="540" w:hanging="540"/>
              <w:rPr>
                <w:spacing w:val="-2"/>
              </w:rPr>
            </w:pPr>
            <w:r w:rsidRPr="00576AF8">
              <w:tab/>
            </w:r>
            <w:r w:rsidRPr="00576AF8">
              <w:rPr>
                <w:spacing w:val="-2"/>
              </w:rPr>
              <w:t xml:space="preserve">Por “origen” se entiende el lugar en que las tecnologías de la información, los materiales y otros bienes destinados al Sistema fueron fabricados o desde los cuales se prestan los </w:t>
            </w:r>
            <w:r w:rsidR="00C85A18" w:rsidRPr="00576AF8">
              <w:rPr>
                <w:spacing w:val="-2"/>
              </w:rPr>
              <w:t>s</w:t>
            </w:r>
            <w:r w:rsidRPr="00576AF8">
              <w:rPr>
                <w:spacing w:val="-2"/>
              </w:rPr>
              <w:t>ervicios.</w:t>
            </w:r>
            <w:r w:rsidR="00F05ACB" w:rsidRPr="00576AF8">
              <w:rPr>
                <w:spacing w:val="-2"/>
              </w:rPr>
              <w:t xml:space="preserve"> </w:t>
            </w:r>
            <w:r w:rsidRPr="00576AF8">
              <w:rPr>
                <w:spacing w:val="-2"/>
              </w:rPr>
              <w:t xml:space="preserve">Se producen bienes cuando, mediante un proceso de fabricación, desarrollo de </w:t>
            </w:r>
            <w:r w:rsidR="00F772EC" w:rsidRPr="00576AF8">
              <w:rPr>
                <w:spacing w:val="-2"/>
              </w:rPr>
              <w:t>software</w:t>
            </w:r>
            <w:r w:rsidRPr="00576AF8">
              <w:rPr>
                <w:spacing w:val="-2"/>
              </w:rPr>
              <w:t xml:space="preserve">, o elaboración e integración sustancial o significativa se obtiene un producto reconocido comercialmente que difiere sustancialmente de sus componentes en lo que respecta a sus características básicas o a sus fines o usos. El origen de los bienes y servicios es independiente de la nacionalidad del Proveedor y puede no coincidir con esta. </w:t>
            </w:r>
          </w:p>
        </w:tc>
      </w:tr>
      <w:tr w:rsidR="00A20832" w:rsidRPr="00576AF8" w14:paraId="56BB6B44" w14:textId="77777777" w:rsidTr="004313F3">
        <w:trPr>
          <w:cantSplit/>
        </w:trPr>
        <w:tc>
          <w:tcPr>
            <w:tcW w:w="2242" w:type="dxa"/>
          </w:tcPr>
          <w:p w14:paraId="24BB7CD3" w14:textId="77777777" w:rsidR="00A20832" w:rsidRPr="00576AF8" w:rsidRDefault="00A20832" w:rsidP="00A35BE3">
            <w:pPr>
              <w:pStyle w:val="Head62"/>
            </w:pPr>
            <w:bookmarkStart w:id="1508" w:name="_Toc277233321"/>
            <w:bookmarkStart w:id="1509" w:name="_Toc488959020"/>
            <w:r w:rsidRPr="00576AF8">
              <w:lastRenderedPageBreak/>
              <w:t>4.</w:t>
            </w:r>
            <w:r w:rsidRPr="00576AF8">
              <w:tab/>
              <w:t>Notificaciones</w:t>
            </w:r>
            <w:bookmarkEnd w:id="1508"/>
            <w:bookmarkEnd w:id="1509"/>
          </w:p>
        </w:tc>
        <w:tc>
          <w:tcPr>
            <w:tcW w:w="6804" w:type="dxa"/>
          </w:tcPr>
          <w:p w14:paraId="47B06FBC" w14:textId="77777777" w:rsidR="00A20832" w:rsidRPr="00576AF8" w:rsidRDefault="00A20832" w:rsidP="00B40BFC">
            <w:pPr>
              <w:keepNext/>
              <w:keepLines/>
              <w:spacing w:before="240" w:after="200"/>
              <w:ind w:left="540" w:hanging="540"/>
              <w:outlineLvl w:val="4"/>
            </w:pPr>
            <w:r w:rsidRPr="00576AF8">
              <w:t>4.1</w:t>
            </w:r>
            <w:r w:rsidRPr="00576AF8">
              <w:tab/>
              <w:t xml:space="preserve">A menos que se disponga lo contrario en el Contrato, todas las notificaciones previstas en este deberán hacerse por escrito y, conforme a lo dispuesto en la cláusula 4.3, </w:t>
            </w:r>
            <w:r w:rsidRPr="00576AF8">
              <w:rPr>
                <w:i/>
              </w:rPr>
              <w:t>infra</w:t>
            </w:r>
            <w:r w:rsidRPr="00576AF8">
              <w:t>, entregarse personalmente o enviarse por correo aéreo, servicio especial de mensajería, correo electrónico o intercambio electrónico de datos con arreglo a las siguientes disposiciones.</w:t>
            </w:r>
          </w:p>
        </w:tc>
      </w:tr>
      <w:tr w:rsidR="00A20832" w:rsidRPr="00576AF8" w14:paraId="1775D97F" w14:textId="77777777" w:rsidTr="004313F3">
        <w:tc>
          <w:tcPr>
            <w:tcW w:w="2242" w:type="dxa"/>
          </w:tcPr>
          <w:p w14:paraId="6F0F0616" w14:textId="77777777" w:rsidR="00A20832" w:rsidRPr="00576AF8" w:rsidRDefault="00A20832" w:rsidP="00A35BE3">
            <w:pPr>
              <w:spacing w:after="0"/>
              <w:jc w:val="left"/>
            </w:pPr>
          </w:p>
        </w:tc>
        <w:tc>
          <w:tcPr>
            <w:tcW w:w="6804" w:type="dxa"/>
          </w:tcPr>
          <w:p w14:paraId="2E6979E5" w14:textId="77777777" w:rsidR="00A20832" w:rsidRPr="00576AF8" w:rsidRDefault="00A20832" w:rsidP="00B40BFC">
            <w:pPr>
              <w:spacing w:after="200"/>
              <w:ind w:left="1080" w:hanging="540"/>
            </w:pPr>
            <w:r w:rsidRPr="00576AF8">
              <w:t>4.1.1</w:t>
            </w:r>
            <w:r w:rsidRPr="00576AF8">
              <w:tab/>
              <w:t xml:space="preserve">Las notificaciones enviadas por correo electrónico o intercambio electrónico de datos deberán confirmarse dentro de los dos (2) días posteriores al </w:t>
            </w:r>
            <w:r w:rsidR="00CC008E" w:rsidRPr="00576AF8">
              <w:t xml:space="preserve">despacho </w:t>
            </w:r>
            <w:r w:rsidRPr="00576AF8">
              <w:t xml:space="preserve">mediante notificación enviada por correo aéreo o servicio </w:t>
            </w:r>
            <w:r w:rsidRPr="00576AF8">
              <w:lastRenderedPageBreak/>
              <w:t>especial de mensajería, salvo que se disponga lo contrario en el Contrato.</w:t>
            </w:r>
          </w:p>
          <w:p w14:paraId="1F76226E" w14:textId="77777777" w:rsidR="00A20832" w:rsidRPr="00576AF8" w:rsidRDefault="00A20832" w:rsidP="00B40BFC">
            <w:pPr>
              <w:spacing w:after="200"/>
              <w:ind w:left="1080" w:hanging="540"/>
              <w:rPr>
                <w:spacing w:val="-2"/>
              </w:rPr>
            </w:pPr>
            <w:r w:rsidRPr="00576AF8">
              <w:rPr>
                <w:spacing w:val="-2"/>
              </w:rPr>
              <w:t>4.1.2</w:t>
            </w:r>
            <w:r w:rsidRPr="00576AF8">
              <w:rPr>
                <w:spacing w:val="-2"/>
              </w:rPr>
              <w:tab/>
              <w:t>Se considerará que las notificaciones enviadas por correo aéreo o servicio especial de mensajería han sido entregadas diez (10) días después del despacho (a falta de pruebas de recepción en fecha anterior). Para probar el despacho, bastará con mostrar que en el sobre de la notificación se colocó la dirección correcta y que dicho sobre fue debidamente sellado y remitido a las autoridades postales o al servicio de mensajería para su envío.</w:t>
            </w:r>
          </w:p>
          <w:p w14:paraId="1213A071" w14:textId="77777777" w:rsidR="00A20832" w:rsidRPr="00576AF8" w:rsidRDefault="00A20832" w:rsidP="00B40BFC">
            <w:pPr>
              <w:keepNext/>
              <w:keepLines/>
              <w:spacing w:before="240" w:after="200"/>
              <w:ind w:left="1080" w:hanging="540"/>
              <w:outlineLvl w:val="4"/>
            </w:pPr>
            <w:r w:rsidRPr="00576AF8">
              <w:t>4.1.3</w:t>
            </w:r>
            <w:r w:rsidRPr="00576AF8">
              <w:tab/>
              <w:t>Se considerará que las notificaciones entregadas personalmente o enviadas por correo electrónico o intercambio electrónico de datos han sido entregadas en la fecha de su despacho.</w:t>
            </w:r>
          </w:p>
          <w:p w14:paraId="15FED7A9" w14:textId="77777777" w:rsidR="00A20832" w:rsidRPr="00576AF8" w:rsidRDefault="00A20832" w:rsidP="00B40BFC">
            <w:pPr>
              <w:spacing w:after="200"/>
              <w:ind w:left="1080" w:hanging="540"/>
            </w:pPr>
            <w:r w:rsidRPr="00576AF8">
              <w:t>4.1.4</w:t>
            </w:r>
            <w:r w:rsidRPr="00576AF8">
              <w:tab/>
              <w:t>Cualquiera de las partes podrá modificar sus direcciones postales, de correo electrónico o de intercambio electrónico de datos</w:t>
            </w:r>
            <w:r w:rsidR="00CC008E" w:rsidRPr="00576AF8">
              <w:t>,</w:t>
            </w:r>
            <w:r w:rsidR="00F32294" w:rsidRPr="00576AF8">
              <w:t xml:space="preserve"> </w:t>
            </w:r>
            <w:r w:rsidRPr="00576AF8">
              <w:t>para la recepción de dichas notificaciones, previo aviso por escrito enviado a la otra parte con diez (10) días de antelación.</w:t>
            </w:r>
          </w:p>
          <w:p w14:paraId="6CA4223E" w14:textId="77777777" w:rsidR="00A20832" w:rsidRPr="00576AF8" w:rsidRDefault="00A20832" w:rsidP="00B40BFC">
            <w:pPr>
              <w:keepNext/>
              <w:keepLines/>
              <w:spacing w:before="240" w:after="200"/>
              <w:ind w:left="547" w:hanging="547"/>
              <w:outlineLvl w:val="4"/>
            </w:pPr>
            <w:r w:rsidRPr="00576AF8">
              <w:lastRenderedPageBreak/>
              <w:t>4.2</w:t>
            </w:r>
            <w:r w:rsidRPr="00576AF8">
              <w:tab/>
              <w:t>Se considerará que las notificaciones incluirán las aprobaciones, los consentimientos, las instrucciones, las órdenes, los certificados, la información y otras comunicaciones que se prevean en virtud del Contrato.</w:t>
            </w:r>
          </w:p>
          <w:p w14:paraId="6FC29909" w14:textId="77777777" w:rsidR="00A20832" w:rsidRPr="00576AF8" w:rsidRDefault="00A20832" w:rsidP="00B40BFC">
            <w:pPr>
              <w:keepNext/>
              <w:keepLines/>
              <w:spacing w:before="240" w:after="200"/>
              <w:ind w:left="547" w:hanging="547"/>
              <w:outlineLvl w:val="4"/>
            </w:pPr>
            <w:r w:rsidRPr="00576AF8">
              <w:t>4.3</w:t>
            </w:r>
            <w:r w:rsidRPr="00576AF8">
              <w:tab/>
              <w:t xml:space="preserve">Conforme a lo dispuesto a la cláusula 18 de las CGC, las notificaciones enviadas por el Comprador o dirigidas a este normalmente son emitidas por el gerente de proyecto o están dirigidas a este, mientras que las notificaciones enviadas por el Proveedor o dirigidas a este normalmente son emitidas por el representante del Proveedor o están dirigidas a este, o, en caso de ausencia, su suplente, si lo hubiera. En el caso de que no haya un gerente de proyecto ni un representante del Proveedor (o suplente), o que su autoridad relacionada se vea limitada por las cláusulas 18.1 o 18.2.2 de las CEC y las CGC, o por alguna otra razón, el Comprador o el Proveedor podrá enviar notificaciones a sus direcciones alternativas y recibir notificaciones en tales direcciones. La dirección del gerente de proyecto y la dirección alternativa del Comprador serán las </w:t>
            </w:r>
            <w:r w:rsidRPr="00576AF8">
              <w:rPr>
                <w:b/>
              </w:rPr>
              <w:t>especificadas en las CEC</w:t>
            </w:r>
            <w:r w:rsidRPr="00576AF8">
              <w:t xml:space="preserve"> o las que se establezcan o modifiquen posteriormente. La dirección del representante del Proveedor y la dirección alternativa del Proveedor serán las que se especifican en el apéndice 1 del Convenio </w:t>
            </w:r>
            <w:r w:rsidR="00CC008E" w:rsidRPr="00576AF8">
              <w:t xml:space="preserve">Contractual </w:t>
            </w:r>
            <w:r w:rsidRPr="00576AF8">
              <w:t xml:space="preserve">o las que se establezcan o modifiquen posteriormente. </w:t>
            </w:r>
          </w:p>
        </w:tc>
      </w:tr>
      <w:tr w:rsidR="00A20832" w:rsidRPr="00576AF8" w14:paraId="30F4037C" w14:textId="77777777" w:rsidTr="00866570">
        <w:trPr>
          <w:cantSplit/>
        </w:trPr>
        <w:tc>
          <w:tcPr>
            <w:tcW w:w="2242" w:type="dxa"/>
          </w:tcPr>
          <w:p w14:paraId="1F258DEB" w14:textId="77777777" w:rsidR="00A20832" w:rsidRPr="00576AF8" w:rsidRDefault="00A20832" w:rsidP="00A35BE3">
            <w:pPr>
              <w:pStyle w:val="Head62"/>
            </w:pPr>
            <w:bookmarkStart w:id="1510" w:name="_Toc277233322"/>
            <w:bookmarkStart w:id="1511" w:name="_Toc488959021"/>
            <w:r w:rsidRPr="00576AF8">
              <w:lastRenderedPageBreak/>
              <w:t>5.</w:t>
            </w:r>
            <w:r w:rsidRPr="00576AF8">
              <w:tab/>
              <w:t>Ley aplicable</w:t>
            </w:r>
            <w:bookmarkEnd w:id="1510"/>
            <w:bookmarkEnd w:id="1511"/>
          </w:p>
        </w:tc>
        <w:tc>
          <w:tcPr>
            <w:tcW w:w="6804" w:type="dxa"/>
          </w:tcPr>
          <w:p w14:paraId="7EC22D5C" w14:textId="77777777" w:rsidR="00A20832" w:rsidRPr="00576AF8" w:rsidRDefault="00A20832" w:rsidP="00C92CE6">
            <w:pPr>
              <w:keepNext/>
              <w:keepLines/>
              <w:spacing w:before="240" w:after="200"/>
              <w:ind w:left="540" w:hanging="540"/>
              <w:outlineLvl w:val="4"/>
            </w:pPr>
            <w:r w:rsidRPr="00576AF8">
              <w:t>5.1</w:t>
            </w:r>
            <w:r w:rsidRPr="00576AF8">
              <w:tab/>
              <w:t xml:space="preserve">El Contrato se regirá por las leyes del país que </w:t>
            </w:r>
            <w:r w:rsidRPr="00576AF8">
              <w:rPr>
                <w:b/>
              </w:rPr>
              <w:t>se indica en las CEC</w:t>
            </w:r>
            <w:r w:rsidRPr="00576AF8">
              <w:t xml:space="preserve"> y se interpretará de conformidad con dichas leyes.</w:t>
            </w:r>
          </w:p>
          <w:p w14:paraId="7A531D14" w14:textId="77777777" w:rsidR="00A20832" w:rsidRPr="00576AF8" w:rsidRDefault="00A20832" w:rsidP="00C92CE6">
            <w:pPr>
              <w:keepNext/>
              <w:keepLines/>
              <w:spacing w:before="240" w:after="200"/>
              <w:ind w:left="540" w:hanging="540"/>
              <w:outlineLvl w:val="4"/>
            </w:pPr>
            <w:r w:rsidRPr="00576AF8">
              <w:t xml:space="preserve">5.2 </w:t>
            </w:r>
            <w:r w:rsidR="00F05ACB" w:rsidRPr="00576AF8">
              <w:tab/>
            </w:r>
            <w:r w:rsidRPr="00576AF8">
              <w:t>Durante la ejecución del Contrato, el Proveedor deberá cumplir con las prohibiciones relativas a la importación de bienes y servicios del país del Comprador cuando:</w:t>
            </w:r>
          </w:p>
          <w:p w14:paraId="618F6F71" w14:textId="77777777" w:rsidR="00A20832" w:rsidRPr="00576AF8" w:rsidRDefault="00C92CE6" w:rsidP="00C92CE6">
            <w:pPr>
              <w:keepNext/>
              <w:keepLines/>
              <w:overflowPunct w:val="0"/>
              <w:autoSpaceDE w:val="0"/>
              <w:autoSpaceDN w:val="0"/>
              <w:adjustRightInd w:val="0"/>
              <w:spacing w:before="240" w:after="200"/>
              <w:ind w:left="540"/>
              <w:textAlignment w:val="baseline"/>
              <w:outlineLvl w:val="4"/>
            </w:pPr>
            <w:r w:rsidRPr="00576AF8">
              <w:t>(</w:t>
            </w:r>
            <w:r w:rsidR="00A20832" w:rsidRPr="00576AF8">
              <w:t>a) las leyes o normas oficiales del país del Prestatario prohíb</w:t>
            </w:r>
            <w:r w:rsidR="00D3066D" w:rsidRPr="00576AF8">
              <w:t>a</w:t>
            </w:r>
            <w:r w:rsidR="00A20832" w:rsidRPr="00576AF8">
              <w:t xml:space="preserve">n las relaciones comerciales con dicho aquel país, o </w:t>
            </w:r>
          </w:p>
          <w:p w14:paraId="56B32089" w14:textId="77777777" w:rsidR="00A20832" w:rsidRPr="00576AF8" w:rsidRDefault="00C92CE6" w:rsidP="00C92CE6">
            <w:pPr>
              <w:keepNext/>
              <w:keepLines/>
              <w:spacing w:before="240" w:after="200"/>
              <w:ind w:left="540" w:hanging="540"/>
              <w:outlineLvl w:val="4"/>
            </w:pPr>
            <w:r w:rsidRPr="00576AF8">
              <w:t>5.3</w:t>
            </w:r>
            <w:r w:rsidR="00D3066D" w:rsidRPr="00576AF8">
              <w:tab/>
            </w:r>
            <w:r w:rsidR="00A20832" w:rsidRPr="00576AF8">
              <w:t xml:space="preserve">en cumplimiento de una decisión del Consejo de Seguridad de las Naciones Unidas adoptada en virtud del </w:t>
            </w:r>
            <w:r w:rsidR="00D3066D" w:rsidRPr="00576AF8">
              <w:t>c</w:t>
            </w:r>
            <w:r w:rsidR="00A20832" w:rsidRPr="00576AF8">
              <w:t>apítulo VII de la Carta de dicho organismo, el país del Prestatario prohíba la importación de productos de ese país o los pagos a un país, o a una persona o entidad de ese país.</w:t>
            </w:r>
          </w:p>
        </w:tc>
      </w:tr>
      <w:tr w:rsidR="00644875" w:rsidRPr="00576AF8" w14:paraId="2703491D" w14:textId="77777777" w:rsidTr="00866570">
        <w:tblPrEx>
          <w:tblCellMar>
            <w:left w:w="108" w:type="dxa"/>
            <w:right w:w="108" w:type="dxa"/>
          </w:tblCellMar>
        </w:tblPrEx>
        <w:tc>
          <w:tcPr>
            <w:tcW w:w="2242" w:type="dxa"/>
          </w:tcPr>
          <w:p w14:paraId="1C366C1D" w14:textId="77777777" w:rsidR="00644875" w:rsidRPr="00576AF8" w:rsidRDefault="00644875" w:rsidP="00644875">
            <w:pPr>
              <w:pStyle w:val="Head62"/>
            </w:pPr>
            <w:bookmarkStart w:id="1512" w:name="_Toc347824633"/>
            <w:bookmarkStart w:id="1513" w:name="_Toc210804464"/>
            <w:bookmarkStart w:id="1514" w:name="_Toc277233323"/>
            <w:bookmarkStart w:id="1515" w:name="_Toc488959022"/>
            <w:r w:rsidRPr="00576AF8">
              <w:t>6.</w:t>
            </w:r>
            <w:r w:rsidRPr="00576AF8">
              <w:tab/>
            </w:r>
            <w:bookmarkEnd w:id="1512"/>
            <w:bookmarkEnd w:id="1513"/>
            <w:bookmarkEnd w:id="1514"/>
            <w:bookmarkEnd w:id="1515"/>
            <w:r w:rsidRPr="00576AF8">
              <w:t xml:space="preserve">Prácticas Prohibidas </w:t>
            </w:r>
          </w:p>
        </w:tc>
        <w:tc>
          <w:tcPr>
            <w:tcW w:w="6804" w:type="dxa"/>
          </w:tcPr>
          <w:p w14:paraId="6EDE539F" w14:textId="77777777" w:rsidR="00976451" w:rsidRPr="00576AF8" w:rsidRDefault="00976451">
            <w:pPr>
              <w:pStyle w:val="Prrafodelista"/>
              <w:numPr>
                <w:ilvl w:val="0"/>
                <w:numId w:val="108"/>
              </w:numPr>
              <w:suppressAutoHyphens w:val="0"/>
              <w:spacing w:after="200"/>
              <w:ind w:left="635" w:hanging="567"/>
            </w:pPr>
            <w:r w:rsidRPr="00576AF8">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w:t>
            </w:r>
            <w:r w:rsidRPr="00576AF8">
              <w:lastRenderedPageBreak/>
              <w:t>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576AF8">
              <w:rPr>
                <w:vertAlign w:val="superscript"/>
              </w:rPr>
              <w:footnoteReference w:id="16"/>
            </w:r>
            <w:r w:rsidRPr="00576AF8">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623AF8B7" w14:textId="77777777" w:rsidR="00976451" w:rsidRPr="00576AF8" w:rsidRDefault="00976451">
            <w:pPr>
              <w:numPr>
                <w:ilvl w:val="0"/>
                <w:numId w:val="105"/>
              </w:numPr>
              <w:suppressAutoHyphens w:val="0"/>
              <w:spacing w:after="200"/>
              <w:ind w:left="1202" w:hanging="425"/>
            </w:pPr>
            <w:r w:rsidRPr="00576AF8">
              <w:t xml:space="preserve">A los efectos de esta disposición, las definiciones de las Prácticas Prohibidas son las siguientes: </w:t>
            </w:r>
          </w:p>
          <w:p w14:paraId="0B646B5C" w14:textId="77777777" w:rsidR="00976451" w:rsidRPr="00576AF8" w:rsidRDefault="00976451" w:rsidP="00976451">
            <w:pPr>
              <w:ind w:left="1990" w:hanging="430"/>
              <w:rPr>
                <w:bCs/>
              </w:rPr>
            </w:pPr>
            <w:r w:rsidRPr="00576AF8">
              <w:rPr>
                <w:bCs/>
              </w:rPr>
              <w:t xml:space="preserve">(i)  Una </w:t>
            </w:r>
            <w:r w:rsidRPr="00576AF8">
              <w:rPr>
                <w:bCs/>
                <w:i/>
                <w:iCs/>
              </w:rPr>
              <w:t>práctica corrupta</w:t>
            </w:r>
            <w:r w:rsidRPr="00576AF8">
              <w:rPr>
                <w:bCs/>
              </w:rPr>
              <w:t xml:space="preserve"> consiste en ofrecer, dar, recibir o solicitar, directa o indirectamente, cualquier cosa de valor para influenciar indebidamente las acciones de otra parte;</w:t>
            </w:r>
          </w:p>
          <w:p w14:paraId="26776AF6" w14:textId="77777777" w:rsidR="00976451" w:rsidRPr="00576AF8" w:rsidRDefault="00976451" w:rsidP="00976451">
            <w:pPr>
              <w:ind w:left="1990" w:hanging="430"/>
              <w:rPr>
                <w:bCs/>
              </w:rPr>
            </w:pPr>
            <w:r w:rsidRPr="00576AF8">
              <w:rPr>
                <w:bCs/>
              </w:rPr>
              <w:t xml:space="preserve">(ii) Una </w:t>
            </w:r>
            <w:r w:rsidRPr="00576AF8">
              <w:rPr>
                <w:bCs/>
                <w:i/>
                <w:iCs/>
              </w:rPr>
              <w:t>práctica fraudulenta</w:t>
            </w:r>
            <w:r w:rsidRPr="00576AF8">
              <w:rPr>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E4F1E3B" w14:textId="77777777" w:rsidR="00976451" w:rsidRPr="00576AF8" w:rsidRDefault="00976451" w:rsidP="00976451">
            <w:pPr>
              <w:ind w:left="1990" w:hanging="430"/>
              <w:rPr>
                <w:bCs/>
              </w:rPr>
            </w:pPr>
            <w:r w:rsidRPr="00576AF8">
              <w:rPr>
                <w:bCs/>
              </w:rPr>
              <w:t xml:space="preserve">(iii) Una </w:t>
            </w:r>
            <w:r w:rsidRPr="00576AF8">
              <w:rPr>
                <w:bCs/>
                <w:i/>
                <w:iCs/>
              </w:rPr>
              <w:t>práctica coercitiva</w:t>
            </w:r>
            <w:r w:rsidRPr="00576AF8">
              <w:rPr>
                <w:bCs/>
              </w:rPr>
              <w:t xml:space="preserve"> consiste en perjudicar o causar daño, o amenazar con perjudicar o causar daño, directa o indirectamente, a cualquier parte o a sus bienes para influenciar indebidamente las acciones de una parte;</w:t>
            </w:r>
          </w:p>
          <w:p w14:paraId="4C47A67C" w14:textId="77777777" w:rsidR="00976451" w:rsidRPr="00576AF8" w:rsidRDefault="00976451" w:rsidP="00976451">
            <w:pPr>
              <w:ind w:left="1990" w:hanging="430"/>
              <w:rPr>
                <w:bCs/>
              </w:rPr>
            </w:pPr>
            <w:r w:rsidRPr="00576AF8">
              <w:rPr>
                <w:bCs/>
              </w:rPr>
              <w:lastRenderedPageBreak/>
              <w:t xml:space="preserve">(iv) Una </w:t>
            </w:r>
            <w:r w:rsidRPr="00576AF8">
              <w:rPr>
                <w:bCs/>
                <w:i/>
                <w:iCs/>
              </w:rPr>
              <w:t>práctica colusoria</w:t>
            </w:r>
            <w:r w:rsidRPr="00576AF8">
              <w:rPr>
                <w:bCs/>
              </w:rPr>
              <w:t xml:space="preserve"> es un acuerdo entre dos o más partes realizado con la intención de alcanzar un propósito inapropiado, lo que incluye influenciar en forma inapropiada las acciones de otra parte; </w:t>
            </w:r>
          </w:p>
          <w:p w14:paraId="73CAAFD8" w14:textId="77777777" w:rsidR="00976451" w:rsidRPr="00576AF8" w:rsidRDefault="00976451" w:rsidP="00976451">
            <w:pPr>
              <w:ind w:left="1560"/>
              <w:rPr>
                <w:bCs/>
              </w:rPr>
            </w:pPr>
            <w:r w:rsidRPr="00576AF8">
              <w:rPr>
                <w:bCs/>
              </w:rPr>
              <w:t xml:space="preserve">(v) Una </w:t>
            </w:r>
            <w:r w:rsidRPr="00576AF8">
              <w:rPr>
                <w:bCs/>
                <w:i/>
                <w:iCs/>
              </w:rPr>
              <w:t>práctica obstructiva</w:t>
            </w:r>
            <w:r w:rsidRPr="00576AF8">
              <w:rPr>
                <w:bCs/>
              </w:rPr>
              <w:t xml:space="preserve"> consiste en:</w:t>
            </w:r>
          </w:p>
          <w:p w14:paraId="41C8F8A4" w14:textId="77777777" w:rsidR="00976451" w:rsidRPr="00576AF8" w:rsidRDefault="00976451">
            <w:pPr>
              <w:numPr>
                <w:ilvl w:val="0"/>
                <w:numId w:val="107"/>
              </w:numPr>
              <w:suppressAutoHyphens w:val="0"/>
              <w:spacing w:after="200"/>
              <w:ind w:left="2640"/>
              <w:rPr>
                <w:bCs/>
              </w:rPr>
            </w:pPr>
            <w:r w:rsidRPr="00576AF8">
              <w:rPr>
                <w:bCs/>
              </w:rPr>
              <w:t xml:space="preserve">destruir, falsificar, alterar u ocultar evidencia significativa para una investigación del Grupo BID, o realizar declaraciones falsas ante los investigadores con la intención de impedir una investigación del Grupo BID; </w:t>
            </w:r>
          </w:p>
          <w:p w14:paraId="55F77921" w14:textId="77777777" w:rsidR="00976451" w:rsidRPr="00576AF8" w:rsidRDefault="00976451">
            <w:pPr>
              <w:numPr>
                <w:ilvl w:val="0"/>
                <w:numId w:val="107"/>
              </w:numPr>
              <w:suppressAutoHyphens w:val="0"/>
              <w:spacing w:after="200"/>
              <w:ind w:left="2640"/>
              <w:rPr>
                <w:bCs/>
              </w:rPr>
            </w:pPr>
            <w:r w:rsidRPr="00576AF8">
              <w:rPr>
                <w:bCs/>
              </w:rPr>
              <w:t xml:space="preserve">amenazar, hostigar o intimidar a cualquier parte para impedir que divulgue su conocimiento de asuntos que son importantes para una investigación del Grupo BID o que prosiga con la investigación; o </w:t>
            </w:r>
          </w:p>
          <w:p w14:paraId="11EEC0C1" w14:textId="77777777" w:rsidR="00976451" w:rsidRPr="00576AF8" w:rsidRDefault="00976451">
            <w:pPr>
              <w:numPr>
                <w:ilvl w:val="0"/>
                <w:numId w:val="107"/>
              </w:numPr>
              <w:suppressAutoHyphens w:val="0"/>
              <w:spacing w:after="200"/>
              <w:ind w:left="2640"/>
              <w:rPr>
                <w:bCs/>
              </w:rPr>
            </w:pPr>
            <w:r w:rsidRPr="00576AF8">
              <w:rPr>
                <w:bCs/>
              </w:rPr>
              <w:t xml:space="preserve">actos realizados con la intención de impedir el ejercicio de los derechos contractuales de auditoría e inspección del Grupo BID previstos en la </w:t>
            </w:r>
            <w:r w:rsidR="009616B9" w:rsidRPr="00576AF8">
              <w:rPr>
                <w:bCs/>
              </w:rPr>
              <w:t>cláusula</w:t>
            </w:r>
            <w:r w:rsidRPr="00576AF8">
              <w:rPr>
                <w:bCs/>
              </w:rPr>
              <w:t xml:space="preserve"> </w:t>
            </w:r>
            <w:r w:rsidR="009616B9" w:rsidRPr="00576AF8">
              <w:rPr>
                <w:bCs/>
              </w:rPr>
              <w:t>6</w:t>
            </w:r>
            <w:r w:rsidRPr="00576AF8">
              <w:rPr>
                <w:bCs/>
              </w:rPr>
              <w:t xml:space="preserve">.1 (f) abajo, o sus derechos de acceso a la información; </w:t>
            </w:r>
          </w:p>
          <w:p w14:paraId="0F6576D2" w14:textId="77777777" w:rsidR="00976451" w:rsidRPr="00576AF8" w:rsidRDefault="00976451" w:rsidP="00976451">
            <w:pPr>
              <w:spacing w:before="120"/>
              <w:ind w:left="1990" w:hanging="430"/>
              <w:rPr>
                <w:bCs/>
              </w:rPr>
            </w:pPr>
            <w:r w:rsidRPr="00576AF8">
              <w:rPr>
                <w:bCs/>
              </w:rPr>
              <w:t xml:space="preserve">(vi) Una </w:t>
            </w:r>
            <w:r w:rsidRPr="00576AF8">
              <w:rPr>
                <w:bCs/>
                <w:i/>
                <w:iCs/>
              </w:rPr>
              <w:t>apropiación indebida</w:t>
            </w:r>
            <w:r w:rsidRPr="00576AF8">
              <w:rPr>
                <w:bCs/>
              </w:rPr>
              <w:t xml:space="preserve"> consiste en el uso de fondos o recursos del Grupo BID para un </w:t>
            </w:r>
            <w:r w:rsidRPr="00576AF8">
              <w:rPr>
                <w:bCs/>
                <w:i/>
                <w:iCs/>
              </w:rPr>
              <w:t>propósito</w:t>
            </w:r>
            <w:r w:rsidRPr="00576AF8">
              <w:rPr>
                <w:bCs/>
              </w:rPr>
              <w:t xml:space="preserve"> indebido o para un propósito no autorizado, cometido de forma intencional o por negligencia grave.</w:t>
            </w:r>
          </w:p>
          <w:p w14:paraId="428C0D70" w14:textId="77777777" w:rsidR="00976451" w:rsidRPr="00576AF8" w:rsidRDefault="00976451">
            <w:pPr>
              <w:numPr>
                <w:ilvl w:val="0"/>
                <w:numId w:val="105"/>
              </w:numPr>
              <w:suppressAutoHyphens w:val="0"/>
              <w:spacing w:after="200"/>
              <w:ind w:left="1202" w:hanging="425"/>
              <w:rPr>
                <w:bCs/>
              </w:rPr>
            </w:pPr>
            <w:r w:rsidRPr="00576AF8">
              <w:rPr>
                <w:bCs/>
              </w:rPr>
              <w:t xml:space="preserve">Si se determina que, de conformidad con los Procedimientos de Sanciones del Banco, que los Prestatarios (incluyendo los beneficiarios de donaciones), organismos ejecutores y organismos Compradores incluyendo miembros de su personal, </w:t>
            </w:r>
            <w:r w:rsidRPr="00576AF8">
              <w:t>cualquier</w:t>
            </w:r>
            <w:r w:rsidRPr="00576AF8">
              <w:rPr>
                <w:bC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w:t>
            </w:r>
            <w:r w:rsidRPr="00576AF8">
              <w:rPr>
                <w:bCs/>
              </w:rPr>
              <w:lastRenderedPageBreak/>
              <w:t>sean sus atribuciones expresas o implícitas) ha cometido una Práctica Prohibida en cualquier etapa de la adjudicación o ejecución de un contrato, el Banco podrá:</w:t>
            </w:r>
          </w:p>
          <w:p w14:paraId="11EC4F8B" w14:textId="77777777" w:rsidR="00976451" w:rsidRPr="00576AF8" w:rsidRDefault="00976451">
            <w:pPr>
              <w:numPr>
                <w:ilvl w:val="0"/>
                <w:numId w:val="104"/>
              </w:numPr>
              <w:suppressAutoHyphens w:val="0"/>
              <w:spacing w:after="200"/>
              <w:ind w:left="2311"/>
              <w:rPr>
                <w:bCs/>
              </w:rPr>
            </w:pPr>
            <w:r w:rsidRPr="00576AF8">
              <w:rPr>
                <w:bCs/>
              </w:rPr>
              <w:t>no financiar ninguna propuesta de adjudicación de un contrato para la adquisición de bienes o servicios, la contratación de obras, o servicios de consultoría;</w:t>
            </w:r>
          </w:p>
          <w:p w14:paraId="31B43068" w14:textId="77777777" w:rsidR="00976451" w:rsidRPr="00576AF8" w:rsidRDefault="00976451">
            <w:pPr>
              <w:numPr>
                <w:ilvl w:val="0"/>
                <w:numId w:val="104"/>
              </w:numPr>
              <w:suppressAutoHyphens w:val="0"/>
              <w:spacing w:after="200"/>
              <w:ind w:left="2311"/>
              <w:rPr>
                <w:bCs/>
              </w:rPr>
            </w:pPr>
            <w:r w:rsidRPr="00576AF8">
              <w:rPr>
                <w:bCs/>
              </w:rPr>
              <w:t>suspender los desembolsos de la operación si se determina, en cualquier etapa, que un empleado, agencia o representante del Prestatario, el Organismo Ejecutor o el Organismo Comprador ha cometido una Práctica Prohibida;</w:t>
            </w:r>
          </w:p>
          <w:p w14:paraId="68B1E65D" w14:textId="77777777" w:rsidR="00976451" w:rsidRPr="00576AF8" w:rsidRDefault="00976451">
            <w:pPr>
              <w:numPr>
                <w:ilvl w:val="0"/>
                <w:numId w:val="104"/>
              </w:numPr>
              <w:suppressAutoHyphens w:val="0"/>
              <w:spacing w:after="200"/>
              <w:ind w:left="2311"/>
              <w:rPr>
                <w:bCs/>
              </w:rPr>
            </w:pPr>
            <w:r w:rsidRPr="00576AF8">
              <w:rPr>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BDF5CCC" w14:textId="77777777" w:rsidR="00976451" w:rsidRPr="00576AF8" w:rsidRDefault="00976451">
            <w:pPr>
              <w:numPr>
                <w:ilvl w:val="0"/>
                <w:numId w:val="104"/>
              </w:numPr>
              <w:suppressAutoHyphens w:val="0"/>
              <w:spacing w:after="200"/>
              <w:ind w:left="2311"/>
              <w:rPr>
                <w:bCs/>
              </w:rPr>
            </w:pPr>
            <w:r w:rsidRPr="00576AF8">
              <w:rPr>
                <w:bCs/>
              </w:rPr>
              <w:t>emitir una amonestación a la firma, entidad o individuo en el formato de una carta oficial de censura por su conducta;</w:t>
            </w:r>
          </w:p>
          <w:p w14:paraId="12F7BDE0" w14:textId="77777777" w:rsidR="00976451" w:rsidRPr="00576AF8" w:rsidRDefault="00976451">
            <w:pPr>
              <w:numPr>
                <w:ilvl w:val="0"/>
                <w:numId w:val="104"/>
              </w:numPr>
              <w:suppressAutoHyphens w:val="0"/>
              <w:spacing w:after="200"/>
              <w:ind w:left="2311"/>
              <w:rPr>
                <w:bCs/>
              </w:rPr>
            </w:pPr>
            <w:r w:rsidRPr="00576AF8">
              <w:rPr>
                <w:bCs/>
              </w:rPr>
              <w:t xml:space="preserve">declarar a una firma, entidad o individuo </w:t>
            </w:r>
            <w:proofErr w:type="gramStart"/>
            <w:r w:rsidRPr="00576AF8">
              <w:rPr>
                <w:bCs/>
              </w:rPr>
              <w:t>inelegible,  en</w:t>
            </w:r>
            <w:proofErr w:type="gramEnd"/>
            <w:r w:rsidRPr="00576AF8">
              <w:rPr>
                <w:bCs/>
              </w:rPr>
              <w:t xml:space="preserve"> forma permanente o por un período determinado de tiempo, para la participación y/o la adjudicación de contratos adicionales financiados con recursos del Grupo BID;</w:t>
            </w:r>
          </w:p>
          <w:p w14:paraId="453C03F4" w14:textId="77777777" w:rsidR="00976451" w:rsidRPr="00576AF8" w:rsidRDefault="00976451">
            <w:pPr>
              <w:numPr>
                <w:ilvl w:val="0"/>
                <w:numId w:val="104"/>
              </w:numPr>
              <w:suppressAutoHyphens w:val="0"/>
              <w:spacing w:after="200"/>
              <w:ind w:left="2311"/>
              <w:rPr>
                <w:bCs/>
              </w:rPr>
            </w:pPr>
            <w:r w:rsidRPr="00576AF8">
              <w:rPr>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w:t>
            </w:r>
            <w:r w:rsidRPr="00576AF8">
              <w:rPr>
                <w:bCs/>
              </w:rPr>
              <w:lastRenderedPageBreak/>
              <w:t xml:space="preserve">sustitución de las sanciones arriba referidas" (las sanciones “arriba referidas” son la amonestación y la inhabilitación/inelegibilidad). </w:t>
            </w:r>
          </w:p>
          <w:p w14:paraId="2A708FB8" w14:textId="77777777" w:rsidR="00976451" w:rsidRPr="00576AF8" w:rsidRDefault="00976451">
            <w:pPr>
              <w:numPr>
                <w:ilvl w:val="0"/>
                <w:numId w:val="104"/>
              </w:numPr>
              <w:suppressAutoHyphens w:val="0"/>
              <w:spacing w:after="200"/>
              <w:ind w:left="2311"/>
              <w:rPr>
                <w:bCs/>
              </w:rPr>
            </w:pPr>
            <w:r w:rsidRPr="00576AF8">
              <w:rPr>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3B4644C9" w14:textId="77777777" w:rsidR="00976451" w:rsidRPr="00576AF8" w:rsidRDefault="00976451">
            <w:pPr>
              <w:numPr>
                <w:ilvl w:val="0"/>
                <w:numId w:val="104"/>
              </w:numPr>
              <w:suppressAutoHyphens w:val="0"/>
              <w:spacing w:after="200"/>
              <w:ind w:left="2311"/>
              <w:rPr>
                <w:bCs/>
              </w:rPr>
            </w:pPr>
            <w:r w:rsidRPr="00576AF8">
              <w:rPr>
                <w:bCs/>
              </w:rPr>
              <w:t>remitir el tema a las autoridades nacionales pertinentes encargadas de hacer cumplir las leyes.</w:t>
            </w:r>
          </w:p>
          <w:p w14:paraId="11C99CAD" w14:textId="77777777" w:rsidR="00976451" w:rsidRPr="00576AF8" w:rsidRDefault="00976451">
            <w:pPr>
              <w:numPr>
                <w:ilvl w:val="0"/>
                <w:numId w:val="105"/>
              </w:numPr>
              <w:suppressAutoHyphens w:val="0"/>
              <w:spacing w:after="200"/>
              <w:ind w:left="1069"/>
            </w:pPr>
            <w:r w:rsidRPr="00576AF8">
              <w:t xml:space="preserve">Lo dispuesto en los incisos (i) y (ii) de la cláusula </w:t>
            </w:r>
            <w:r w:rsidR="009616B9" w:rsidRPr="00576AF8">
              <w:t>6</w:t>
            </w:r>
            <w:r w:rsidRPr="00576AF8">
              <w:t xml:space="preserve">.1 (b) se aplicará también en los casos en que las </w:t>
            </w:r>
            <w:r w:rsidRPr="00576AF8">
              <w:rPr>
                <w:bCs/>
              </w:rPr>
              <w:t>partes</w:t>
            </w:r>
            <w:r w:rsidRPr="00576AF8">
              <w:t xml:space="preserve"> hayan sido declaradas temporalmente inelegibles para la adjudicación de nuevos contratos en espera de que se adopte una decisión definitiva en un proceso de sanción, u otra resolución.</w:t>
            </w:r>
          </w:p>
          <w:p w14:paraId="7E8C6186" w14:textId="77777777" w:rsidR="00976451" w:rsidRPr="00576AF8" w:rsidRDefault="00976451">
            <w:pPr>
              <w:numPr>
                <w:ilvl w:val="0"/>
                <w:numId w:val="105"/>
              </w:numPr>
              <w:suppressAutoHyphens w:val="0"/>
              <w:spacing w:after="200"/>
              <w:ind w:left="1069"/>
            </w:pPr>
            <w:r w:rsidRPr="00576AF8">
              <w:t xml:space="preserve">La </w:t>
            </w:r>
            <w:r w:rsidRPr="00576AF8">
              <w:rPr>
                <w:bCs/>
              </w:rPr>
              <w:t>imposición</w:t>
            </w:r>
            <w:r w:rsidRPr="00576AF8">
              <w:t xml:space="preserve"> de cualquier medida definitiva que sea tomada por el Banco de conformidad con las provisiones referidas anteriormente será de carácter público.</w:t>
            </w:r>
          </w:p>
          <w:p w14:paraId="6A865939" w14:textId="77777777" w:rsidR="00976451" w:rsidRPr="00576AF8" w:rsidRDefault="00976451">
            <w:pPr>
              <w:numPr>
                <w:ilvl w:val="0"/>
                <w:numId w:val="105"/>
              </w:numPr>
              <w:suppressAutoHyphens w:val="0"/>
              <w:spacing w:after="200"/>
              <w:ind w:left="1069"/>
            </w:pPr>
            <w:r w:rsidRPr="00576AF8">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576AF8">
              <w:rPr>
                <w:bCs/>
              </w:rPr>
              <w:t>subcontratistas</w:t>
            </w:r>
            <w:r w:rsidRPr="00576AF8">
              <w:t xml:space="preserve">,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w:t>
            </w:r>
            <w:r w:rsidRPr="00576AF8">
              <w:lastRenderedPageBreak/>
              <w:t>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F19D02D" w14:textId="77777777" w:rsidR="00976451" w:rsidRPr="00576AF8" w:rsidRDefault="00976451">
            <w:pPr>
              <w:numPr>
                <w:ilvl w:val="0"/>
                <w:numId w:val="105"/>
              </w:numPr>
              <w:suppressAutoHyphens w:val="0"/>
              <w:spacing w:after="200"/>
              <w:ind w:left="1069"/>
            </w:pPr>
            <w:r w:rsidRPr="00576AF8">
              <w:t xml:space="preserve">El Banco exige que los licitantes, oferentes, proponentes, solicitantes, proveedores de </w:t>
            </w:r>
            <w:r w:rsidRPr="00576AF8">
              <w:rPr>
                <w:bCs/>
              </w:rPr>
              <w:t>bienes</w:t>
            </w:r>
            <w:r w:rsidRPr="00576AF8">
              <w:t xml:space="preserve"> y sus representantes o agentes, contratistas, consultores, funcionarios o </w:t>
            </w:r>
            <w:proofErr w:type="gramStart"/>
            <w:r w:rsidRPr="00576AF8">
              <w:t>empleados,  subcontratistas</w:t>
            </w:r>
            <w:proofErr w:type="gramEnd"/>
            <w:r w:rsidRPr="00576AF8">
              <w:t xml:space="preserve">,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w:t>
            </w:r>
            <w:r w:rsidRPr="00576AF8">
              <w:lastRenderedPageBreak/>
              <w:t>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5C541A79" w14:textId="77777777" w:rsidR="00976451" w:rsidRPr="00576AF8" w:rsidRDefault="00976451">
            <w:pPr>
              <w:numPr>
                <w:ilvl w:val="0"/>
                <w:numId w:val="105"/>
              </w:numPr>
              <w:suppressAutoHyphens w:val="0"/>
              <w:spacing w:after="200"/>
              <w:ind w:left="1069"/>
            </w:pPr>
            <w:r w:rsidRPr="00576AF8">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18882C7" w14:textId="77777777" w:rsidR="009616B9" w:rsidRPr="00576AF8" w:rsidRDefault="00976451">
            <w:pPr>
              <w:pStyle w:val="Prrafodelista"/>
              <w:numPr>
                <w:ilvl w:val="0"/>
                <w:numId w:val="108"/>
              </w:numPr>
              <w:suppressAutoHyphens w:val="0"/>
              <w:spacing w:before="120" w:after="200"/>
              <w:ind w:left="635" w:hanging="567"/>
              <w:contextualSpacing w:val="0"/>
            </w:pPr>
            <w:r w:rsidRPr="00576AF8">
              <w:t>El Proveedor declara y garantiza:</w:t>
            </w:r>
          </w:p>
          <w:p w14:paraId="0D0DD893" w14:textId="77777777" w:rsidR="00976451" w:rsidRPr="00576AF8" w:rsidRDefault="00976451">
            <w:pPr>
              <w:pStyle w:val="Prrafodelista"/>
              <w:numPr>
                <w:ilvl w:val="0"/>
                <w:numId w:val="106"/>
              </w:numPr>
              <w:suppressAutoHyphens w:val="0"/>
              <w:spacing w:before="120" w:after="0"/>
              <w:ind w:left="1431" w:hanging="357"/>
              <w:contextualSpacing w:val="0"/>
            </w:pPr>
            <w:r w:rsidRPr="00576AF8">
              <w:t>que ha leído y entendido las definiciones de Prácticas Prohibidas del Banco y las sanciones aplicables de conformidad con los Procedimientos de Sanciones;</w:t>
            </w:r>
          </w:p>
          <w:p w14:paraId="673A2F6E" w14:textId="77777777" w:rsidR="00976451" w:rsidRPr="00576AF8" w:rsidRDefault="00976451">
            <w:pPr>
              <w:pStyle w:val="Prrafodelista"/>
              <w:numPr>
                <w:ilvl w:val="0"/>
                <w:numId w:val="106"/>
              </w:numPr>
              <w:suppressAutoHyphens w:val="0"/>
              <w:spacing w:before="120" w:after="0"/>
              <w:ind w:left="1425" w:hanging="357"/>
              <w:contextualSpacing w:val="0"/>
            </w:pPr>
            <w:r w:rsidRPr="00576AF8">
              <w:t>que no ha incurrido o no incurrirán en ninguna Práctica Prohibida descrita en este documento durante los procesos de selección, negociación, adjudicación o ejecución de este contrato;</w:t>
            </w:r>
          </w:p>
          <w:p w14:paraId="3E3A795C" w14:textId="77777777" w:rsidR="00976451" w:rsidRPr="00576AF8" w:rsidRDefault="00976451">
            <w:pPr>
              <w:pStyle w:val="Prrafodelista"/>
              <w:numPr>
                <w:ilvl w:val="0"/>
                <w:numId w:val="106"/>
              </w:numPr>
              <w:suppressAutoHyphens w:val="0"/>
              <w:spacing w:before="120" w:after="0"/>
              <w:ind w:left="1425" w:hanging="357"/>
              <w:contextualSpacing w:val="0"/>
            </w:pPr>
            <w:r w:rsidRPr="00576AF8">
              <w:t xml:space="preserve">que no ha tergiversado ni ocultado ningún hecho sustancial durante los procesos de selección, </w:t>
            </w:r>
            <w:r w:rsidRPr="00576AF8">
              <w:lastRenderedPageBreak/>
              <w:t>negociación, adjudicación o ejecución de este contrato;</w:t>
            </w:r>
          </w:p>
          <w:p w14:paraId="644E9590" w14:textId="77777777" w:rsidR="00976451" w:rsidRPr="00576AF8" w:rsidRDefault="00976451">
            <w:pPr>
              <w:pStyle w:val="Prrafodelista"/>
              <w:numPr>
                <w:ilvl w:val="0"/>
                <w:numId w:val="106"/>
              </w:numPr>
              <w:suppressAutoHyphens w:val="0"/>
              <w:spacing w:before="120" w:after="0"/>
              <w:ind w:left="1425" w:hanging="357"/>
              <w:contextualSpacing w:val="0"/>
            </w:pPr>
            <w:r w:rsidRPr="00576AF8">
              <w:t xml:space="preserve">que ni ellos ni sus agentes, subcontratistas, subconsultores, directores, personal clave o accionistas principales son inelegibles para la adjudicación de contratos financiados por el Banco; </w:t>
            </w:r>
          </w:p>
          <w:p w14:paraId="35CC98AB" w14:textId="77777777" w:rsidR="00976451" w:rsidRPr="00576AF8" w:rsidRDefault="00976451">
            <w:pPr>
              <w:pStyle w:val="Prrafodelista"/>
              <w:numPr>
                <w:ilvl w:val="0"/>
                <w:numId w:val="106"/>
              </w:numPr>
              <w:suppressAutoHyphens w:val="0"/>
              <w:spacing w:before="120" w:after="0"/>
              <w:ind w:left="1425" w:hanging="357"/>
              <w:contextualSpacing w:val="0"/>
            </w:pPr>
            <w:r w:rsidRPr="00576AF8">
              <w:t>que ha declarado todas las comisiones, honorarios de representantes o agentes, pagos por servicios de facilitación o acuerdos para compartir ingresos relacionados con actividades financiadas por el Banco; y</w:t>
            </w:r>
          </w:p>
          <w:p w14:paraId="0509AC6B" w14:textId="77777777" w:rsidR="00976451" w:rsidRPr="00576AF8" w:rsidRDefault="00976451">
            <w:pPr>
              <w:pStyle w:val="Prrafodelista"/>
              <w:numPr>
                <w:ilvl w:val="0"/>
                <w:numId w:val="106"/>
              </w:numPr>
              <w:suppressAutoHyphens w:val="0"/>
              <w:spacing w:before="120" w:after="0"/>
              <w:ind w:left="1425" w:hanging="357"/>
              <w:contextualSpacing w:val="0"/>
            </w:pPr>
            <w:r w:rsidRPr="00576AF8">
              <w:t xml:space="preserve">que reconocen que el incumplimiento de cualquiera de estas garantías podrá dar lugar a la imposición por el Banco de una o más de las medidas descritas en la cláusula </w:t>
            </w:r>
            <w:r w:rsidR="009616B9" w:rsidRPr="00576AF8">
              <w:t>6</w:t>
            </w:r>
            <w:r w:rsidRPr="00576AF8">
              <w:t>.1 (b).</w:t>
            </w:r>
          </w:p>
          <w:p w14:paraId="5F28459C" w14:textId="77777777" w:rsidR="00644875" w:rsidRPr="00576AF8" w:rsidRDefault="00644875" w:rsidP="004313F3">
            <w:pPr>
              <w:tabs>
                <w:tab w:val="num" w:pos="792"/>
              </w:tabs>
              <w:spacing w:after="200"/>
              <w:ind w:left="882" w:hanging="360"/>
            </w:pPr>
          </w:p>
        </w:tc>
      </w:tr>
    </w:tbl>
    <w:p w14:paraId="4418B666" w14:textId="77777777" w:rsidR="00A20832" w:rsidRPr="00576AF8" w:rsidRDefault="00A20832" w:rsidP="00A20832">
      <w:pPr>
        <w:pStyle w:val="Head61"/>
        <w:rPr>
          <w:rFonts w:ascii="Times New Roman" w:hAnsi="Times New Roman"/>
        </w:rPr>
      </w:pPr>
      <w:bookmarkStart w:id="1516" w:name="_Toc277233324"/>
      <w:bookmarkStart w:id="1517" w:name="_Toc488959023"/>
      <w:r w:rsidRPr="00576AF8">
        <w:rPr>
          <w:rFonts w:ascii="Times New Roman" w:hAnsi="Times New Roman"/>
        </w:rPr>
        <w:lastRenderedPageBreak/>
        <w:t xml:space="preserve">B. </w:t>
      </w:r>
      <w:r w:rsidR="00157A4B" w:rsidRPr="00576AF8">
        <w:rPr>
          <w:rFonts w:ascii="Times New Roman" w:hAnsi="Times New Roman"/>
        </w:rPr>
        <w:t xml:space="preserve"> </w:t>
      </w:r>
      <w:r w:rsidRPr="00576AF8">
        <w:rPr>
          <w:rFonts w:ascii="Times New Roman" w:hAnsi="Times New Roman"/>
        </w:rPr>
        <w:t>Objeto del Contrato</w:t>
      </w:r>
      <w:bookmarkEnd w:id="1516"/>
      <w:bookmarkEnd w:id="1517"/>
    </w:p>
    <w:tbl>
      <w:tblPr>
        <w:tblW w:w="0" w:type="auto"/>
        <w:tblLayout w:type="fixed"/>
        <w:tblLook w:val="0000" w:firstRow="0" w:lastRow="0" w:firstColumn="0" w:lastColumn="0" w:noHBand="0" w:noVBand="0"/>
      </w:tblPr>
      <w:tblGrid>
        <w:gridCol w:w="2552"/>
        <w:gridCol w:w="6804"/>
      </w:tblGrid>
      <w:tr w:rsidR="00A20832" w:rsidRPr="00576AF8" w14:paraId="732BBDD7" w14:textId="77777777" w:rsidTr="00906F54">
        <w:tc>
          <w:tcPr>
            <w:tcW w:w="2552" w:type="dxa"/>
          </w:tcPr>
          <w:p w14:paraId="031A513B" w14:textId="77777777" w:rsidR="00A20832" w:rsidRPr="00576AF8" w:rsidRDefault="00A20832" w:rsidP="00A35BE3">
            <w:pPr>
              <w:pStyle w:val="Head62"/>
            </w:pPr>
            <w:bookmarkStart w:id="1518" w:name="_Toc277233325"/>
            <w:bookmarkStart w:id="1519" w:name="_Toc488959024"/>
            <w:r w:rsidRPr="00576AF8">
              <w:t>7.</w:t>
            </w:r>
            <w:r w:rsidRPr="00576AF8">
              <w:tab/>
              <w:t>Alcance del Sistema</w:t>
            </w:r>
            <w:bookmarkEnd w:id="1518"/>
            <w:bookmarkEnd w:id="1519"/>
          </w:p>
        </w:tc>
        <w:tc>
          <w:tcPr>
            <w:tcW w:w="6804" w:type="dxa"/>
          </w:tcPr>
          <w:p w14:paraId="23AB06AC" w14:textId="77777777" w:rsidR="00A20832" w:rsidRPr="00576AF8" w:rsidRDefault="00A20832" w:rsidP="00906F54">
            <w:pPr>
              <w:keepNext/>
              <w:keepLines/>
              <w:spacing w:before="240" w:after="200"/>
              <w:ind w:left="547" w:right="-19" w:hanging="547"/>
              <w:outlineLvl w:val="4"/>
            </w:pPr>
            <w:r w:rsidRPr="00576AF8">
              <w:t>7.1</w:t>
            </w:r>
            <w:r w:rsidRPr="00576AF8">
              <w:tab/>
              <w:t xml:space="preserve">A menos que estén expresamente </w:t>
            </w:r>
            <w:r w:rsidRPr="00576AF8">
              <w:rPr>
                <w:b/>
              </w:rPr>
              <w:t>limitadas en las CEC</w:t>
            </w:r>
            <w:r w:rsidRPr="00576AF8">
              <w:t xml:space="preserve"> o los requisitos técnicos, las obligaciones del Proveedor incluyen el suministro de la totalidad de las tecnologías de la información, los materiales y otros bienes, así como la prestación de todos los servicios necesarios para el diseño, el desarrollo y la implementación (incluidas las adquisiciones, </w:t>
            </w:r>
            <w:r w:rsidR="00D3066D" w:rsidRPr="00576AF8">
              <w:t xml:space="preserve">las </w:t>
            </w:r>
            <w:r w:rsidRPr="00576AF8">
              <w:t xml:space="preserve">garantías de calidad, </w:t>
            </w:r>
            <w:r w:rsidR="00D3066D" w:rsidRPr="00576AF8">
              <w:t xml:space="preserve">el </w:t>
            </w:r>
            <w:r w:rsidRPr="00576AF8">
              <w:t xml:space="preserve">ensamblaje, </w:t>
            </w:r>
            <w:r w:rsidR="00D3066D" w:rsidRPr="00576AF8">
              <w:t xml:space="preserve">la </w:t>
            </w:r>
            <w:r w:rsidRPr="00576AF8">
              <w:t xml:space="preserve">preparación del sitio conexa, </w:t>
            </w:r>
            <w:r w:rsidR="00D3066D" w:rsidRPr="00576AF8">
              <w:t xml:space="preserve">la </w:t>
            </w:r>
            <w:r w:rsidRPr="00576AF8">
              <w:t xml:space="preserve">entrega, </w:t>
            </w:r>
            <w:r w:rsidR="00D3066D" w:rsidRPr="00576AF8">
              <w:t xml:space="preserve">los </w:t>
            </w:r>
            <w:r w:rsidRPr="00576AF8">
              <w:t xml:space="preserve">ensayos previos a la puesta en servicio, </w:t>
            </w:r>
            <w:r w:rsidR="00D3066D" w:rsidRPr="00576AF8">
              <w:t xml:space="preserve">la </w:t>
            </w:r>
            <w:r w:rsidRPr="00576AF8">
              <w:t xml:space="preserve">instalación, </w:t>
            </w:r>
            <w:r w:rsidR="00D3066D" w:rsidRPr="00576AF8">
              <w:t xml:space="preserve">las </w:t>
            </w:r>
            <w:r w:rsidRPr="00576AF8">
              <w:t xml:space="preserve">pruebas, y </w:t>
            </w:r>
            <w:r w:rsidR="00D3066D" w:rsidRPr="00576AF8">
              <w:t xml:space="preserve">la </w:t>
            </w:r>
            <w:r w:rsidRPr="00576AF8">
              <w:t xml:space="preserve">puesta en servicio) del Sistema, conforme a los planes, procedimientos, especificaciones, planos, códigos y otros documentos señalados en el Contrato y </w:t>
            </w:r>
            <w:r w:rsidR="008C496B" w:rsidRPr="00576AF8">
              <w:t xml:space="preserve">en </w:t>
            </w:r>
            <w:r w:rsidRPr="00576AF8">
              <w:t xml:space="preserve">el plan </w:t>
            </w:r>
            <w:r w:rsidR="002034C3" w:rsidRPr="00576AF8">
              <w:t>acordado para el P</w:t>
            </w:r>
            <w:r w:rsidRPr="00576AF8">
              <w:t>royecto.</w:t>
            </w:r>
          </w:p>
        </w:tc>
      </w:tr>
      <w:tr w:rsidR="00A20832" w:rsidRPr="00576AF8" w14:paraId="338F884B" w14:textId="77777777" w:rsidTr="00906F54">
        <w:tc>
          <w:tcPr>
            <w:tcW w:w="2552" w:type="dxa"/>
          </w:tcPr>
          <w:p w14:paraId="701ECB47" w14:textId="77777777" w:rsidR="00A20832" w:rsidRPr="00576AF8" w:rsidRDefault="00A20832" w:rsidP="00A35BE3">
            <w:pPr>
              <w:spacing w:after="0"/>
              <w:jc w:val="left"/>
            </w:pPr>
          </w:p>
        </w:tc>
        <w:tc>
          <w:tcPr>
            <w:tcW w:w="6804" w:type="dxa"/>
          </w:tcPr>
          <w:p w14:paraId="68694B77" w14:textId="77777777" w:rsidR="00A20832" w:rsidRPr="00576AF8" w:rsidRDefault="00A20832" w:rsidP="00906F54">
            <w:pPr>
              <w:keepNext/>
              <w:keepLines/>
              <w:spacing w:before="240" w:after="200"/>
              <w:ind w:left="547" w:right="-19" w:hanging="547"/>
              <w:outlineLvl w:val="4"/>
            </w:pPr>
            <w:r w:rsidRPr="00576AF8">
              <w:t>7.2</w:t>
            </w:r>
            <w:r w:rsidRPr="00576AF8">
              <w:tab/>
              <w:t xml:space="preserve">El Proveedor, salvo que el Contrato lo excluya específicamente, deberá realizar todos los trabajos o suministrar todos los artículos y materiales que no se mencionen </w:t>
            </w:r>
            <w:r w:rsidR="00634D0C" w:rsidRPr="00576AF8">
              <w:t xml:space="preserve">de manera específica </w:t>
            </w:r>
            <w:r w:rsidRPr="00576AF8">
              <w:t xml:space="preserve">en el Contrato, pero cuya necesidad para lograr la aceptación operativa del Sistema pueda inferirse </w:t>
            </w:r>
            <w:r w:rsidR="00634D0C" w:rsidRPr="00576AF8">
              <w:t xml:space="preserve">de modo </w:t>
            </w:r>
            <w:r w:rsidRPr="00576AF8">
              <w:t xml:space="preserve">razonable a partir de las disposiciones del Contrato como si tales trabajos o artículos y materiales estuviesen mencionados </w:t>
            </w:r>
            <w:r w:rsidR="00634D0C" w:rsidRPr="00576AF8">
              <w:t xml:space="preserve">de forma expresa </w:t>
            </w:r>
            <w:r w:rsidRPr="00576AF8">
              <w:t>en el Contrato.</w:t>
            </w:r>
          </w:p>
          <w:p w14:paraId="2A810AFE" w14:textId="77777777" w:rsidR="00A20832" w:rsidRPr="00576AF8" w:rsidRDefault="00A20832" w:rsidP="00906F54">
            <w:pPr>
              <w:keepNext/>
              <w:keepLines/>
              <w:spacing w:before="240" w:after="200"/>
              <w:ind w:left="547" w:right="-19" w:hanging="547"/>
              <w:outlineLvl w:val="4"/>
            </w:pPr>
            <w:r w:rsidRPr="00576AF8">
              <w:t>7.3</w:t>
            </w:r>
            <w:r w:rsidRPr="00576AF8">
              <w:tab/>
              <w:t xml:space="preserve">Las obligaciones del Proveedor (si las hubiera) de proveer los bienes y servicios que figuran en los cuadros de </w:t>
            </w:r>
            <w:r w:rsidR="00634D0C" w:rsidRPr="00576AF8">
              <w:t xml:space="preserve">gastos </w:t>
            </w:r>
            <w:r w:rsidR="00AF5510" w:rsidRPr="00576AF8">
              <w:t>recurrentes</w:t>
            </w:r>
            <w:r w:rsidR="00634D0C" w:rsidRPr="00576AF8">
              <w:t xml:space="preserve"> </w:t>
            </w:r>
            <w:r w:rsidRPr="00576AF8">
              <w:t xml:space="preserve">de la </w:t>
            </w:r>
            <w:r w:rsidR="00BC72E3" w:rsidRPr="00576AF8">
              <w:t>O</w:t>
            </w:r>
            <w:r w:rsidRPr="00576AF8">
              <w:t xml:space="preserve">ferta del Proveedor, como bienes fungibles, repuestos y servicios técnicos (por ejemplo, mantenimiento, asistencia técnica y apoyo operacional) son los </w:t>
            </w:r>
            <w:r w:rsidRPr="00576AF8">
              <w:rPr>
                <w:b/>
              </w:rPr>
              <w:t>especificados en las CEC</w:t>
            </w:r>
            <w:r w:rsidRPr="00576AF8">
              <w:t>, incluidos los términos, las características y los horarios pertinentes.</w:t>
            </w:r>
          </w:p>
        </w:tc>
      </w:tr>
      <w:tr w:rsidR="00A20832" w:rsidRPr="00576AF8" w14:paraId="2D24A5D4" w14:textId="77777777" w:rsidTr="00906F54">
        <w:trPr>
          <w:cantSplit/>
        </w:trPr>
        <w:tc>
          <w:tcPr>
            <w:tcW w:w="2552" w:type="dxa"/>
          </w:tcPr>
          <w:p w14:paraId="246C6CCE" w14:textId="77777777" w:rsidR="00A20832" w:rsidRPr="00576AF8" w:rsidRDefault="00A20832" w:rsidP="00A35BE3">
            <w:pPr>
              <w:pStyle w:val="Head62"/>
            </w:pPr>
            <w:bookmarkStart w:id="1520" w:name="_Toc277233326"/>
            <w:bookmarkStart w:id="1521" w:name="_Toc488959025"/>
            <w:r w:rsidRPr="00576AF8">
              <w:t>8.</w:t>
            </w:r>
            <w:r w:rsidRPr="00576AF8">
              <w:tab/>
              <w:t>Plazo de inicio y</w:t>
            </w:r>
            <w:r w:rsidR="00906F54" w:rsidRPr="00576AF8">
              <w:t> </w:t>
            </w:r>
            <w:r w:rsidRPr="00576AF8">
              <w:t>aceptación operativa</w:t>
            </w:r>
            <w:bookmarkEnd w:id="1520"/>
            <w:bookmarkEnd w:id="1521"/>
          </w:p>
        </w:tc>
        <w:tc>
          <w:tcPr>
            <w:tcW w:w="6804" w:type="dxa"/>
          </w:tcPr>
          <w:p w14:paraId="6E96E038" w14:textId="77777777" w:rsidR="00A20832" w:rsidRPr="00576AF8" w:rsidRDefault="00A20832" w:rsidP="00906F54">
            <w:pPr>
              <w:keepNext/>
              <w:keepLines/>
              <w:spacing w:before="240" w:after="200"/>
              <w:ind w:left="547" w:right="-19" w:hanging="547"/>
              <w:outlineLvl w:val="4"/>
            </w:pPr>
            <w:r w:rsidRPr="00576AF8">
              <w:t>8.1</w:t>
            </w:r>
            <w:r w:rsidRPr="00576AF8">
              <w:tab/>
              <w:t xml:space="preserve">El Proveedor iniciará los trabajos en el Sistema dentro del </w:t>
            </w:r>
            <w:r w:rsidR="00906F54" w:rsidRPr="00576AF8">
              <w:br/>
            </w:r>
            <w:r w:rsidRPr="00576AF8">
              <w:t xml:space="preserve">plazo </w:t>
            </w:r>
            <w:r w:rsidRPr="00576AF8">
              <w:rPr>
                <w:b/>
              </w:rPr>
              <w:t>especificado en las CEC</w:t>
            </w:r>
            <w:r w:rsidRPr="00576AF8">
              <w:t xml:space="preserve"> y, sin pe</w:t>
            </w:r>
            <w:r w:rsidR="00AF6B24" w:rsidRPr="00576AF8">
              <w:t>r</w:t>
            </w:r>
            <w:r w:rsidRPr="00576AF8">
              <w:t xml:space="preserve">juicio de lo dispuesto en la cláusula 28.2 de las CGC, procederá luego a completar la labor según el cronograma especificado en el programa de ejecución y las modificaciones introducidas en el </w:t>
            </w:r>
            <w:r w:rsidR="002034C3" w:rsidRPr="00576AF8">
              <w:t>p</w:t>
            </w:r>
            <w:r w:rsidRPr="00576AF8">
              <w:t xml:space="preserve">lan </w:t>
            </w:r>
            <w:r w:rsidR="002034C3" w:rsidRPr="00576AF8">
              <w:t>acordado para el</w:t>
            </w:r>
            <w:r w:rsidRPr="00576AF8">
              <w:t xml:space="preserve"> Proyecto.</w:t>
            </w:r>
          </w:p>
        </w:tc>
      </w:tr>
      <w:tr w:rsidR="00A20832" w:rsidRPr="00576AF8" w14:paraId="26E46918" w14:textId="77777777" w:rsidTr="00906F54">
        <w:tc>
          <w:tcPr>
            <w:tcW w:w="2552" w:type="dxa"/>
          </w:tcPr>
          <w:p w14:paraId="71FA75A1" w14:textId="77777777" w:rsidR="00A20832" w:rsidRPr="00576AF8" w:rsidRDefault="00A20832" w:rsidP="00A35BE3">
            <w:pPr>
              <w:spacing w:after="0"/>
              <w:jc w:val="left"/>
            </w:pPr>
          </w:p>
        </w:tc>
        <w:tc>
          <w:tcPr>
            <w:tcW w:w="6804" w:type="dxa"/>
          </w:tcPr>
          <w:p w14:paraId="307F837F" w14:textId="77777777" w:rsidR="00A20832" w:rsidRPr="00576AF8" w:rsidRDefault="00A20832" w:rsidP="00906F54">
            <w:pPr>
              <w:spacing w:after="200"/>
              <w:ind w:left="547" w:right="-19" w:hanging="547"/>
              <w:rPr>
                <w:spacing w:val="-2"/>
              </w:rPr>
            </w:pPr>
            <w:r w:rsidRPr="00576AF8">
              <w:rPr>
                <w:spacing w:val="-2"/>
              </w:rPr>
              <w:t>8.2</w:t>
            </w:r>
            <w:r w:rsidRPr="00576AF8">
              <w:rPr>
                <w:spacing w:val="-2"/>
              </w:rPr>
              <w:tab/>
              <w:t xml:space="preserve">El Proveedor logrará la aceptación operativa del Sistema (o </w:t>
            </w:r>
            <w:r w:rsidR="00B26E1B" w:rsidRPr="00576AF8">
              <w:rPr>
                <w:spacing w:val="-2"/>
              </w:rPr>
              <w:t xml:space="preserve">de </w:t>
            </w:r>
            <w:r w:rsidRPr="00576AF8">
              <w:rPr>
                <w:spacing w:val="-2"/>
              </w:rPr>
              <w:t xml:space="preserve">los Subsistemas cuando en el Contrato se especifique un plazo separado para la aceptación operativa de dichos Subsistemas) de acuerdo con el cronograma especificado en el programa de ejecución y las modificaciones introducidas en el </w:t>
            </w:r>
            <w:r w:rsidR="002034C3" w:rsidRPr="00576AF8">
              <w:rPr>
                <w:spacing w:val="-2"/>
              </w:rPr>
              <w:t>p</w:t>
            </w:r>
            <w:r w:rsidRPr="00576AF8">
              <w:rPr>
                <w:spacing w:val="-2"/>
              </w:rPr>
              <w:t xml:space="preserve">lan </w:t>
            </w:r>
            <w:r w:rsidR="002034C3" w:rsidRPr="00576AF8">
              <w:rPr>
                <w:spacing w:val="-2"/>
              </w:rPr>
              <w:t>acordado para el</w:t>
            </w:r>
            <w:r w:rsidRPr="00576AF8">
              <w:rPr>
                <w:spacing w:val="-2"/>
              </w:rPr>
              <w:t xml:space="preserve"> Proyecto, o dentro del plazo extendido al que el Proveedor tendrá derecho en virtud de la cláusula 40 de las CGC (</w:t>
            </w:r>
            <w:r w:rsidR="00EA50A5" w:rsidRPr="00576AF8">
              <w:rPr>
                <w:spacing w:val="-2"/>
              </w:rPr>
              <w:t>“</w:t>
            </w:r>
            <w:r w:rsidR="0016293D" w:rsidRPr="00576AF8">
              <w:rPr>
                <w:spacing w:val="-2"/>
              </w:rPr>
              <w:t>Prórroga</w:t>
            </w:r>
            <w:r w:rsidRPr="00576AF8">
              <w:rPr>
                <w:spacing w:val="-2"/>
              </w:rPr>
              <w:t xml:space="preserve"> del plazo para </w:t>
            </w:r>
            <w:r w:rsidR="00413A3A" w:rsidRPr="00576AF8">
              <w:rPr>
                <w:spacing w:val="-2"/>
              </w:rPr>
              <w:t xml:space="preserve">obtener </w:t>
            </w:r>
            <w:r w:rsidRPr="00576AF8">
              <w:rPr>
                <w:spacing w:val="-2"/>
              </w:rPr>
              <w:t>la aceptación operativa</w:t>
            </w:r>
            <w:r w:rsidR="00EA50A5" w:rsidRPr="00576AF8">
              <w:rPr>
                <w:spacing w:val="-2"/>
              </w:rPr>
              <w:t>”</w:t>
            </w:r>
            <w:r w:rsidRPr="00576AF8">
              <w:rPr>
                <w:spacing w:val="-2"/>
              </w:rPr>
              <w:t>).</w:t>
            </w:r>
          </w:p>
        </w:tc>
      </w:tr>
      <w:tr w:rsidR="00A20832" w:rsidRPr="00576AF8" w14:paraId="4A027D7F" w14:textId="77777777" w:rsidTr="00906F54">
        <w:trPr>
          <w:cantSplit/>
        </w:trPr>
        <w:tc>
          <w:tcPr>
            <w:tcW w:w="2552" w:type="dxa"/>
          </w:tcPr>
          <w:p w14:paraId="23A07BE9" w14:textId="77777777" w:rsidR="00A20832" w:rsidRPr="00576AF8" w:rsidRDefault="00A20832" w:rsidP="00B26E1B">
            <w:pPr>
              <w:pStyle w:val="Head62"/>
            </w:pPr>
            <w:bookmarkStart w:id="1522" w:name="_Toc277233327"/>
            <w:bookmarkStart w:id="1523" w:name="_Toc488959026"/>
            <w:r w:rsidRPr="00576AF8">
              <w:lastRenderedPageBreak/>
              <w:t>9.</w:t>
            </w:r>
            <w:r w:rsidR="00651050" w:rsidRPr="00576AF8">
              <w:tab/>
            </w:r>
            <w:r w:rsidRPr="00576AF8">
              <w:t>Responsabilidades del Proveedor</w:t>
            </w:r>
            <w:bookmarkEnd w:id="1522"/>
            <w:bookmarkEnd w:id="1523"/>
          </w:p>
        </w:tc>
        <w:tc>
          <w:tcPr>
            <w:tcW w:w="6804" w:type="dxa"/>
          </w:tcPr>
          <w:p w14:paraId="5EBE6A57" w14:textId="77777777" w:rsidR="00A20832" w:rsidRPr="00576AF8" w:rsidRDefault="00A20832" w:rsidP="00906F54">
            <w:pPr>
              <w:keepNext/>
              <w:keepLines/>
              <w:spacing w:before="240" w:after="200"/>
              <w:ind w:left="547" w:right="-19" w:hanging="547"/>
              <w:outlineLvl w:val="4"/>
            </w:pPr>
            <w:r w:rsidRPr="00576AF8">
              <w:t>9.1</w:t>
            </w:r>
            <w:r w:rsidRPr="00576AF8">
              <w:tab/>
              <w:t xml:space="preserve">El Proveedor realizará todas las actividades con la debida atención y diligencia, conforme a lo dispuesto en el Contrato y con la habilidad y el cuidado que cabe esperar de un proveedor competente de tecnologías de la información, sistemas </w:t>
            </w:r>
            <w:r w:rsidR="00B26E1B" w:rsidRPr="00576AF8">
              <w:t>informáticos</w:t>
            </w:r>
            <w:r w:rsidRPr="00576AF8">
              <w:t xml:space="preserve">, apoyo, mantenimiento, capacitación y otros servicios relacionados, o de acuerdo con las mejores prácticas del sector. En particular, el Proveedor suministrará y empleará </w:t>
            </w:r>
            <w:r w:rsidR="00B26E1B" w:rsidRPr="00576AF8">
              <w:t xml:space="preserve">solo </w:t>
            </w:r>
            <w:r w:rsidRPr="00576AF8">
              <w:t>personal técnico calificado y experimentado en su respectiva actividad, y personal de supervisión competente para vigilar adecuadamente los trabajos.</w:t>
            </w:r>
            <w:r w:rsidR="009D643F" w:rsidRPr="00576AF8">
              <w:t xml:space="preserve"> El Proveedor deberá mantener el representante del Proveedor y el personal clave identificado en la Oferta durante la duración del Contrato. Cualquier cambio en este personal requiere la aprobación previa por escrito del Comrpador.</w:t>
            </w:r>
          </w:p>
        </w:tc>
      </w:tr>
      <w:tr w:rsidR="00A20832" w:rsidRPr="00576AF8" w14:paraId="6A080C37" w14:textId="77777777" w:rsidTr="00906F54">
        <w:tc>
          <w:tcPr>
            <w:tcW w:w="2552" w:type="dxa"/>
          </w:tcPr>
          <w:p w14:paraId="5C954E92" w14:textId="77777777" w:rsidR="00A20832" w:rsidRPr="00576AF8" w:rsidRDefault="00A20832" w:rsidP="00A35BE3">
            <w:pPr>
              <w:spacing w:after="0"/>
              <w:jc w:val="left"/>
              <w:rPr>
                <w:b/>
                <w:spacing w:val="-4"/>
              </w:rPr>
            </w:pPr>
          </w:p>
        </w:tc>
        <w:tc>
          <w:tcPr>
            <w:tcW w:w="6804" w:type="dxa"/>
          </w:tcPr>
          <w:p w14:paraId="66F42448" w14:textId="77777777" w:rsidR="00A20832" w:rsidRPr="00576AF8" w:rsidRDefault="00A20832" w:rsidP="00906F54">
            <w:pPr>
              <w:keepNext/>
              <w:keepLines/>
              <w:spacing w:before="240" w:after="200"/>
              <w:ind w:left="547" w:right="-19" w:hanging="547"/>
              <w:outlineLvl w:val="4"/>
            </w:pPr>
            <w:r w:rsidRPr="00576AF8">
              <w:t>9.2</w:t>
            </w:r>
            <w:r w:rsidRPr="00576AF8">
              <w:tab/>
              <w:t xml:space="preserve">El Proveedor confirma que ha celebrado el presente Contrato tras haber examinado debidamente los datos relacionados con el Sistema que le proporcionó el Comprador y tomando como base información que podría haber obtenido de una inspección ocular del sitio (si hubiera tenido acceso a él) y en otros datos sobre el Sistema que estaban a su disposición veintiocho (28) días antes de la fecha de presentación de la </w:t>
            </w:r>
            <w:r w:rsidR="00BC72E3" w:rsidRPr="00576AF8">
              <w:t>O</w:t>
            </w:r>
            <w:r w:rsidRPr="00576AF8">
              <w:t>ferta. El Proveedor reconoce que el hecho de no haberse familiarizado con esos datos y esa información no lo exime de su responsabilidad de estimar debidamente la dificultad o el costo de la ejecución satisfactoria del Contrato</w:t>
            </w:r>
          </w:p>
          <w:p w14:paraId="3F20D7EA" w14:textId="77777777" w:rsidR="00A20832" w:rsidRPr="00576AF8" w:rsidRDefault="00A20832" w:rsidP="00906F54">
            <w:pPr>
              <w:keepNext/>
              <w:keepLines/>
              <w:spacing w:before="240" w:after="200"/>
              <w:ind w:left="547" w:right="-19" w:hanging="547"/>
              <w:outlineLvl w:val="4"/>
            </w:pPr>
            <w:r w:rsidRPr="00576AF8">
              <w:t>9.3</w:t>
            </w:r>
            <w:r w:rsidRPr="00576AF8">
              <w:tab/>
            </w:r>
            <w:r w:rsidRPr="00576AF8">
              <w:rPr>
                <w:spacing w:val="-2"/>
              </w:rPr>
              <w:t xml:space="preserve">El Proveedor será responsable de proporcionar puntualmente todos los recursos, la información y las decisiones sometidos a su control que sean necesarios para alcanzar un plan </w:t>
            </w:r>
            <w:r w:rsidR="002034C3" w:rsidRPr="00576AF8">
              <w:rPr>
                <w:spacing w:val="-2"/>
              </w:rPr>
              <w:t xml:space="preserve">acordado </w:t>
            </w:r>
            <w:r w:rsidRPr="00576AF8">
              <w:rPr>
                <w:spacing w:val="-2"/>
              </w:rPr>
              <w:t xml:space="preserve">mutuamente </w:t>
            </w:r>
            <w:r w:rsidR="002034C3" w:rsidRPr="00576AF8">
              <w:rPr>
                <w:spacing w:val="-2"/>
              </w:rPr>
              <w:t xml:space="preserve">para el Proyecto </w:t>
            </w:r>
            <w:r w:rsidRPr="00576AF8">
              <w:rPr>
                <w:spacing w:val="-2"/>
              </w:rPr>
              <w:t>(conforme a la cláusula 19.2 de las CGC) dentro del cronograma especificado en el programa de ejecución. El hecho de no proporcionar tales recursos, información y decisiones podrá constituir una causa de rescisión conforme a lo dispuesto en la cláusula 41.2 de las CGC.</w:t>
            </w:r>
          </w:p>
        </w:tc>
      </w:tr>
      <w:tr w:rsidR="00A20832" w:rsidRPr="00576AF8" w14:paraId="1E42E63A" w14:textId="77777777" w:rsidTr="00906F54">
        <w:tc>
          <w:tcPr>
            <w:tcW w:w="2552" w:type="dxa"/>
          </w:tcPr>
          <w:p w14:paraId="51C97C83" w14:textId="77777777" w:rsidR="00A20832" w:rsidRPr="00576AF8" w:rsidRDefault="00A20832" w:rsidP="00A35BE3">
            <w:pPr>
              <w:spacing w:after="0"/>
              <w:jc w:val="left"/>
            </w:pPr>
          </w:p>
        </w:tc>
        <w:tc>
          <w:tcPr>
            <w:tcW w:w="6804" w:type="dxa"/>
          </w:tcPr>
          <w:p w14:paraId="39BA81F6" w14:textId="77777777" w:rsidR="00A20832" w:rsidRPr="00576AF8" w:rsidRDefault="00A20832" w:rsidP="00906F54">
            <w:pPr>
              <w:keepNext/>
              <w:keepLines/>
              <w:spacing w:before="240" w:after="200"/>
              <w:ind w:left="547" w:right="-19" w:hanging="547"/>
              <w:outlineLvl w:val="4"/>
            </w:pPr>
            <w:r w:rsidRPr="00576AF8">
              <w:t>9.4</w:t>
            </w:r>
            <w:r w:rsidRPr="00576AF8">
              <w:tab/>
              <w:t xml:space="preserve">El Proveedor obtendrá a su nombre todos los permisos, aprobaciones o licencias expedidos por todas las autoridades gubernamentales del ámbito local, estatal o nacional o las empresas de servicios públicos del país del Comprador que sean necesarios para el cumplimiento del Contrato, incluidos, sin carácter limitativo, los visados para el personal del </w:t>
            </w:r>
            <w:r w:rsidR="00682368" w:rsidRPr="00576AF8">
              <w:t>Proveedor y</w:t>
            </w:r>
            <w:r w:rsidRPr="00576AF8">
              <w:t xml:space="preserve"> </w:t>
            </w:r>
            <w:r w:rsidR="009C6AB9" w:rsidRPr="00576AF8">
              <w:t>d</w:t>
            </w:r>
            <w:r w:rsidRPr="00576AF8">
              <w:t xml:space="preserve">el </w:t>
            </w:r>
            <w:r w:rsidR="00A07C8B" w:rsidRPr="00576AF8">
              <w:t>s</w:t>
            </w:r>
            <w:r w:rsidRPr="00576AF8">
              <w:t>ubcontratista y los permisos de entrada de todos los equipos importados del Proveedor. El Proveedor obtendrá todos los demás permisos, aprobaciones o licencias que no sean de responsabilidad del Comprador conforme a lo dispuesto en la cláusula 10.4 de las CGC y que sean necesarios para el cumplimiento del Contrato.</w:t>
            </w:r>
          </w:p>
          <w:p w14:paraId="43188213" w14:textId="77777777" w:rsidR="00A20832" w:rsidRPr="00576AF8" w:rsidRDefault="00A20832" w:rsidP="00906F54">
            <w:pPr>
              <w:keepNext/>
              <w:keepLines/>
              <w:spacing w:before="240" w:after="200"/>
              <w:ind w:left="547" w:right="-19" w:hanging="547"/>
              <w:outlineLvl w:val="4"/>
            </w:pPr>
            <w:r w:rsidRPr="00576AF8">
              <w:t>9.5</w:t>
            </w:r>
            <w:r w:rsidRPr="00576AF8">
              <w:tab/>
              <w:t xml:space="preserve">El Proveedor cumplirá con todas las leyes vigentes en el país del Comprador. Esas leyes incluirán todas las leyes nacionales, provinciales, municipales o de otra índole que afecten el cumplimiento del Contrato y sean obligatorias para el Proveedor. El Proveedor eximirá al Comprador de toda responsabilidad por daños y perjuicios, demandas, multas, sanciones y gastos de cualquier índole que surjan o sean consecuencia de la violación de esas leyes por parte del Proveedor o su personal, incluidos los </w:t>
            </w:r>
            <w:r w:rsidR="00A07C8B" w:rsidRPr="00576AF8">
              <w:t>s</w:t>
            </w:r>
            <w:r w:rsidRPr="00576AF8">
              <w:t xml:space="preserve">ubcontratistas y su personal, pero sin perjuicio de lo dispuesto en la cláusula 10.1 de las CGC. El Proveedor no eximirá de responsabilidad al Comprador cuando dicha responsabilidad, daños y perjuicios, </w:t>
            </w:r>
            <w:r w:rsidR="00485749" w:rsidRPr="00576AF8">
              <w:t>reclamacione</w:t>
            </w:r>
            <w:r w:rsidR="009C6AB9" w:rsidRPr="00576AF8">
              <w:t xml:space="preserve">s, </w:t>
            </w:r>
            <w:r w:rsidRPr="00576AF8">
              <w:t xml:space="preserve">multas, sanciones y gastos hayan sido causados por una falta del Comprador o </w:t>
            </w:r>
            <w:r w:rsidR="009C6AB9" w:rsidRPr="00576AF8">
              <w:t xml:space="preserve">si </w:t>
            </w:r>
            <w:r w:rsidRPr="00576AF8">
              <w:t>est</w:t>
            </w:r>
            <w:r w:rsidR="009C6AB9" w:rsidRPr="00576AF8">
              <w:t>e</w:t>
            </w:r>
            <w:r w:rsidRPr="00576AF8">
              <w:t xml:space="preserve"> ha contribuido a causarlos.</w:t>
            </w:r>
          </w:p>
        </w:tc>
      </w:tr>
      <w:tr w:rsidR="00A20832" w:rsidRPr="00576AF8" w14:paraId="135F395E" w14:textId="77777777" w:rsidTr="00906F54">
        <w:tc>
          <w:tcPr>
            <w:tcW w:w="2552" w:type="dxa"/>
          </w:tcPr>
          <w:p w14:paraId="0786F1F3" w14:textId="77777777" w:rsidR="00A20832" w:rsidRPr="00576AF8" w:rsidRDefault="00A20832" w:rsidP="00A35BE3">
            <w:pPr>
              <w:spacing w:after="0"/>
              <w:jc w:val="left"/>
            </w:pPr>
          </w:p>
        </w:tc>
        <w:tc>
          <w:tcPr>
            <w:tcW w:w="6804" w:type="dxa"/>
          </w:tcPr>
          <w:p w14:paraId="5EFCB790" w14:textId="77777777" w:rsidR="00A20832" w:rsidRPr="00576AF8" w:rsidRDefault="00A20832" w:rsidP="00906F54">
            <w:pPr>
              <w:spacing w:after="200"/>
              <w:ind w:left="540" w:right="-19" w:hanging="540"/>
              <w:rPr>
                <w:spacing w:val="-4"/>
              </w:rPr>
            </w:pPr>
            <w:r w:rsidRPr="00576AF8">
              <w:t>9.6</w:t>
            </w:r>
            <w:r w:rsidRPr="00576AF8">
              <w:tab/>
            </w:r>
            <w:r w:rsidRPr="00576AF8">
              <w:rPr>
                <w:spacing w:val="-4"/>
              </w:rPr>
              <w:t xml:space="preserve">En todos sus tratos con sus trabajadores y los de sus </w:t>
            </w:r>
            <w:r w:rsidR="00A07C8B" w:rsidRPr="00576AF8">
              <w:rPr>
                <w:spacing w:val="-4"/>
              </w:rPr>
              <w:t>s</w:t>
            </w:r>
            <w:r w:rsidRPr="00576AF8">
              <w:rPr>
                <w:spacing w:val="-4"/>
              </w:rPr>
              <w:t xml:space="preserve">ubcontratistas que </w:t>
            </w:r>
            <w:r w:rsidR="009C6AB9" w:rsidRPr="00576AF8">
              <w:rPr>
                <w:spacing w:val="-4"/>
              </w:rPr>
              <w:t xml:space="preserve">en la actualidad </w:t>
            </w:r>
            <w:r w:rsidRPr="00576AF8">
              <w:rPr>
                <w:spacing w:val="-4"/>
              </w:rPr>
              <w:t xml:space="preserve">estén empleados en virtud del Contrato o vinculados con este, el Proveedor deberá respetar </w:t>
            </w:r>
            <w:r w:rsidR="00A63C78" w:rsidRPr="00576AF8">
              <w:rPr>
                <w:spacing w:val="-4"/>
              </w:rPr>
              <w:t>debida</w:t>
            </w:r>
            <w:r w:rsidRPr="00576AF8">
              <w:rPr>
                <w:spacing w:val="-4"/>
              </w:rPr>
              <w:t>mente todas las festividades reconocidas, los feriados oficiales, las costumbres religiosas o de otra índole, y todas las leyes y reglamentos locales relativos al empleo de mano de obra.</w:t>
            </w:r>
          </w:p>
          <w:p w14:paraId="201B09AC" w14:textId="77777777" w:rsidR="00A20832" w:rsidRPr="00576AF8" w:rsidRDefault="00A20832" w:rsidP="00906F54">
            <w:pPr>
              <w:keepNext/>
              <w:keepLines/>
              <w:spacing w:before="240" w:after="200"/>
              <w:ind w:left="540" w:right="-19" w:hanging="540"/>
              <w:outlineLvl w:val="4"/>
            </w:pPr>
            <w:r w:rsidRPr="00576AF8">
              <w:t>9.7</w:t>
            </w:r>
            <w:r w:rsidRPr="00576AF8">
              <w:tab/>
              <w:t xml:space="preserve">Todas las tecnologías de la información u otros bienes y servicios que hayan de incorporarse en el Sistema o sean necesarios para este, y otros suministros, tendrán como origen, conforme se define en la cláusula 3.12 de las CGC, en un país que </w:t>
            </w:r>
            <w:r w:rsidR="00A63C78" w:rsidRPr="00576AF8">
              <w:t xml:space="preserve">deberá </w:t>
            </w:r>
            <w:r w:rsidRPr="00576AF8">
              <w:t xml:space="preserve">ser un país elegible, conforme se define en la cláusula 1.1 </w:t>
            </w:r>
            <w:r w:rsidR="00651050" w:rsidRPr="00576AF8">
              <w:t>(</w:t>
            </w:r>
            <w:r w:rsidRPr="00576AF8">
              <w:t xml:space="preserve">e) </w:t>
            </w:r>
            <w:r w:rsidR="00651050" w:rsidRPr="00576AF8">
              <w:t>(</w:t>
            </w:r>
            <w:r w:rsidRPr="00576AF8">
              <w:t>iv).</w:t>
            </w:r>
          </w:p>
          <w:p w14:paraId="484ED6B6" w14:textId="77777777" w:rsidR="00A20832" w:rsidRPr="00576AF8" w:rsidRDefault="00A20832" w:rsidP="00906F54">
            <w:pPr>
              <w:spacing w:after="200"/>
              <w:ind w:left="540" w:right="-19" w:hanging="540"/>
              <w:rPr>
                <w:bCs/>
                <w:color w:val="000000"/>
                <w:szCs w:val="24"/>
              </w:rPr>
            </w:pPr>
            <w:r w:rsidRPr="00576AF8">
              <w:t>9.8</w:t>
            </w:r>
            <w:r w:rsidRPr="00576AF8">
              <w:tab/>
              <w:t xml:space="preserve">De conformidad con el párrafo 2.2 e. del apéndice B de las Condiciones Generales, el Proveedor permitirá, y procurará que sus subcontratistas y subconsultores permitan, que el Banco o las personas designadas por este inspeccionen </w:t>
            </w:r>
            <w:r w:rsidR="00A63C78" w:rsidRPr="00576AF8">
              <w:t xml:space="preserve">el Sitio </w:t>
            </w:r>
            <w:r w:rsidRPr="00576AF8">
              <w:t xml:space="preserve">o las </w:t>
            </w:r>
            <w:r w:rsidRPr="00576AF8">
              <w:lastRenderedPageBreak/>
              <w:t xml:space="preserve">cuentas y los registros relacionados con la ejecución del Contrato y la presentación de la </w:t>
            </w:r>
            <w:r w:rsidR="00A63C78" w:rsidRPr="00576AF8">
              <w:t>O</w:t>
            </w:r>
            <w:r w:rsidRPr="00576AF8">
              <w:t xml:space="preserve">ferta, y realicen auditorías </w:t>
            </w:r>
            <w:r w:rsidR="00A63C78" w:rsidRPr="00576AF8">
              <w:t xml:space="preserve">de esas cuentas y registros </w:t>
            </w:r>
            <w:r w:rsidRPr="00576AF8">
              <w:t xml:space="preserve">por medio de auditores designados por el Banco, si así lo requiere este último. El Proveedor y sus </w:t>
            </w:r>
            <w:r w:rsidR="00A07C8B" w:rsidRPr="00576AF8">
              <w:t>s</w:t>
            </w:r>
            <w:r w:rsidRPr="00576AF8">
              <w:t xml:space="preserve">ubcontratistas y subconsultores deberán prestar atención a lo </w:t>
            </w:r>
            <w:r w:rsidR="00A63C78" w:rsidRPr="00576AF8">
              <w:t xml:space="preserve">establecido </w:t>
            </w:r>
            <w:r w:rsidRPr="00576AF8">
              <w:t xml:space="preserve">en la subcláusula 6.1, que establece, entre otros puntos, que </w:t>
            </w:r>
            <w:r w:rsidRPr="00576AF8">
              <w:rPr>
                <w:bCs/>
                <w:color w:val="000000"/>
              </w:rPr>
              <w:t>las acciones destinadas a impedir sustancialmente el ejercicio de los derechos del Banco de realizar inspecciones y auditorías constituyen una práctica prohibida que puede dar lugar a la rescisión del contrato (así como a la determinación de inelegibilidad con arreglo a</w:t>
            </w:r>
            <w:r w:rsidRPr="00576AF8">
              <w:t xml:space="preserve"> los procedimientos de sanciones vigentes del Banco</w:t>
            </w:r>
            <w:r w:rsidRPr="00576AF8">
              <w:rPr>
                <w:bCs/>
                <w:color w:val="000000"/>
              </w:rPr>
              <w:t>)</w:t>
            </w:r>
            <w:r w:rsidRPr="00576AF8">
              <w:t>.</w:t>
            </w:r>
          </w:p>
          <w:p w14:paraId="138FEC0C" w14:textId="77777777" w:rsidR="00A20832" w:rsidRPr="00576AF8" w:rsidRDefault="00A20832" w:rsidP="00906F54">
            <w:pPr>
              <w:keepNext/>
              <w:keepLines/>
              <w:spacing w:before="240" w:after="200"/>
              <w:ind w:left="540" w:right="-19" w:hanging="540"/>
              <w:outlineLvl w:val="4"/>
            </w:pPr>
            <w:r w:rsidRPr="00576AF8">
              <w:rPr>
                <w:bCs/>
                <w:color w:val="000000"/>
                <w:szCs w:val="24"/>
              </w:rPr>
              <w:t xml:space="preserve">9.9 </w:t>
            </w:r>
            <w:r w:rsidR="00F05ACB" w:rsidRPr="00576AF8">
              <w:rPr>
                <w:bCs/>
                <w:color w:val="000000"/>
                <w:szCs w:val="24"/>
              </w:rPr>
              <w:tab/>
            </w:r>
            <w:r w:rsidRPr="00576AF8">
              <w:rPr>
                <w:spacing w:val="-2"/>
              </w:rPr>
              <w:t xml:space="preserve">El Proveedor deberá cumplir con las disposiciones </w:t>
            </w:r>
            <w:r w:rsidR="00A63C78" w:rsidRPr="00576AF8">
              <w:rPr>
                <w:spacing w:val="-2"/>
              </w:rPr>
              <w:t xml:space="preserve">contractuales </w:t>
            </w:r>
            <w:r w:rsidRPr="00576AF8">
              <w:rPr>
                <w:spacing w:val="-2"/>
              </w:rPr>
              <w:t xml:space="preserve">sobre adquisiciones sostenibles si así </w:t>
            </w:r>
            <w:r w:rsidRPr="00576AF8">
              <w:rPr>
                <w:b/>
                <w:spacing w:val="-2"/>
              </w:rPr>
              <w:t>se especifica en las CEC</w:t>
            </w:r>
            <w:r w:rsidRPr="00576AF8">
              <w:rPr>
                <w:spacing w:val="-2"/>
              </w:rPr>
              <w:t xml:space="preserve"> y, en tal caso, conforme a lo allí </w:t>
            </w:r>
            <w:r w:rsidR="00A63C78" w:rsidRPr="00576AF8">
              <w:rPr>
                <w:spacing w:val="-2"/>
              </w:rPr>
              <w:t>establecido</w:t>
            </w:r>
            <w:r w:rsidRPr="00576AF8">
              <w:rPr>
                <w:spacing w:val="-2"/>
              </w:rPr>
              <w:t>.</w:t>
            </w:r>
            <w:r w:rsidR="00D310A5" w:rsidRPr="00576AF8">
              <w:rPr>
                <w:spacing w:val="-2"/>
              </w:rPr>
              <w:t xml:space="preserve"> </w:t>
            </w:r>
          </w:p>
        </w:tc>
      </w:tr>
      <w:tr w:rsidR="00A20832" w:rsidRPr="00576AF8" w14:paraId="0A544018" w14:textId="77777777" w:rsidTr="00906F54">
        <w:tc>
          <w:tcPr>
            <w:tcW w:w="2552" w:type="dxa"/>
          </w:tcPr>
          <w:p w14:paraId="472876AF" w14:textId="77777777" w:rsidR="00A20832" w:rsidRPr="00576AF8" w:rsidRDefault="00A20832" w:rsidP="00A35BE3">
            <w:pPr>
              <w:spacing w:after="0"/>
              <w:jc w:val="left"/>
            </w:pPr>
          </w:p>
        </w:tc>
        <w:tc>
          <w:tcPr>
            <w:tcW w:w="6804" w:type="dxa"/>
          </w:tcPr>
          <w:p w14:paraId="765DDF81" w14:textId="77777777" w:rsidR="00A20832" w:rsidRPr="00576AF8" w:rsidRDefault="00A20832" w:rsidP="00906F54">
            <w:pPr>
              <w:keepNext/>
              <w:keepLines/>
              <w:spacing w:before="240" w:after="200"/>
              <w:ind w:left="547" w:right="-19" w:hanging="547"/>
              <w:outlineLvl w:val="4"/>
            </w:pPr>
            <w:r w:rsidRPr="00576AF8">
              <w:t>9.10</w:t>
            </w:r>
            <w:r w:rsidRPr="00576AF8">
              <w:tab/>
            </w:r>
            <w:r w:rsidR="00997CAB" w:rsidRPr="00576AF8">
              <w:rPr>
                <w:b/>
              </w:rPr>
              <w:t xml:space="preserve">A menos </w:t>
            </w:r>
            <w:r w:rsidRPr="00576AF8">
              <w:rPr>
                <w:b/>
              </w:rPr>
              <w:t>que en las CEC se especifique otra cosa</w:t>
            </w:r>
            <w:r w:rsidRPr="00576AF8">
              <w:t>, el Proveedor no tendrá otras responsabilidades en calidad de tal.</w:t>
            </w:r>
          </w:p>
        </w:tc>
      </w:tr>
      <w:tr w:rsidR="00A20832" w:rsidRPr="00576AF8" w14:paraId="1F8564F1" w14:textId="77777777" w:rsidTr="00906F54">
        <w:trPr>
          <w:cantSplit/>
        </w:trPr>
        <w:tc>
          <w:tcPr>
            <w:tcW w:w="2552" w:type="dxa"/>
          </w:tcPr>
          <w:p w14:paraId="5D2B7F4E" w14:textId="77777777" w:rsidR="00A20832" w:rsidRPr="00576AF8" w:rsidRDefault="00A20832" w:rsidP="00A63C78">
            <w:pPr>
              <w:pStyle w:val="Head62"/>
            </w:pPr>
            <w:bookmarkStart w:id="1524" w:name="_Toc277233328"/>
            <w:bookmarkStart w:id="1525" w:name="_Toc488959027"/>
            <w:r w:rsidRPr="00576AF8">
              <w:t>10.</w:t>
            </w:r>
            <w:r w:rsidR="00651050" w:rsidRPr="00576AF8">
              <w:tab/>
            </w:r>
            <w:r w:rsidR="00F772EC" w:rsidRPr="00576AF8">
              <w:rPr>
                <w:spacing w:val="-4"/>
              </w:rPr>
              <w:t>Responsabilidades del Comprador</w:t>
            </w:r>
            <w:bookmarkEnd w:id="1524"/>
            <w:bookmarkEnd w:id="1525"/>
          </w:p>
        </w:tc>
        <w:tc>
          <w:tcPr>
            <w:tcW w:w="6804" w:type="dxa"/>
          </w:tcPr>
          <w:p w14:paraId="68BFC214" w14:textId="77777777" w:rsidR="00A20832" w:rsidRPr="00576AF8" w:rsidRDefault="00A20832" w:rsidP="00906F54">
            <w:pPr>
              <w:keepNext/>
              <w:keepLines/>
              <w:spacing w:before="240" w:after="200"/>
              <w:ind w:left="540" w:right="-19" w:hanging="540"/>
              <w:outlineLvl w:val="4"/>
            </w:pPr>
            <w:r w:rsidRPr="00576AF8">
              <w:t>10.1</w:t>
            </w:r>
            <w:r w:rsidRPr="00576AF8">
              <w:tab/>
              <w:t>El Comprador garantizará la exactitud de toda la información o los datos que deba suministrar al Proveedor, excepto cuando se disponga expresamente lo contrario en el Contrato.</w:t>
            </w:r>
          </w:p>
        </w:tc>
      </w:tr>
      <w:tr w:rsidR="00A20832" w:rsidRPr="00576AF8" w14:paraId="2073B923" w14:textId="77777777" w:rsidTr="00906F54">
        <w:tc>
          <w:tcPr>
            <w:tcW w:w="2552" w:type="dxa"/>
          </w:tcPr>
          <w:p w14:paraId="5B7E25B3" w14:textId="77777777" w:rsidR="00A20832" w:rsidRPr="00576AF8" w:rsidRDefault="00A20832" w:rsidP="00A35BE3">
            <w:pPr>
              <w:spacing w:after="0"/>
              <w:jc w:val="left"/>
            </w:pPr>
          </w:p>
        </w:tc>
        <w:tc>
          <w:tcPr>
            <w:tcW w:w="6804" w:type="dxa"/>
          </w:tcPr>
          <w:p w14:paraId="11792E0E" w14:textId="77777777" w:rsidR="00A20832" w:rsidRPr="00576AF8" w:rsidRDefault="00A20832" w:rsidP="00906F54">
            <w:pPr>
              <w:keepNext/>
              <w:keepLines/>
              <w:spacing w:before="240" w:after="200"/>
              <w:ind w:left="540" w:right="-19" w:hanging="540"/>
              <w:outlineLvl w:val="4"/>
            </w:pPr>
            <w:r w:rsidRPr="00576AF8">
              <w:t>10.2</w:t>
            </w:r>
            <w:r w:rsidRPr="00576AF8">
              <w:tab/>
              <w:t xml:space="preserve">El Comprador será responsable de proporcionar puntualmente todos los recursos, la información y las decisiones sometidos a su control que sean necesarios para alcanzar un plan </w:t>
            </w:r>
            <w:r w:rsidR="002034C3" w:rsidRPr="00576AF8">
              <w:t>acordado para el P</w:t>
            </w:r>
            <w:r w:rsidRPr="00576AF8">
              <w:t xml:space="preserve">royecto (conforme a la cláusula 19.2 de las CGC) dentro del cronograma especificado en el programa de ejecución. El hecho de no proporcionar tales recursos, información y decisiones podrá constituir una causa de rescisión conforme a lo dispuesto en la cláusula 41.3.1 </w:t>
            </w:r>
            <w:r w:rsidR="00651050" w:rsidRPr="00576AF8">
              <w:t>(</w:t>
            </w:r>
            <w:r w:rsidRPr="00576AF8">
              <w:t>b) de las CGC.</w:t>
            </w:r>
          </w:p>
          <w:p w14:paraId="70E88362" w14:textId="77777777" w:rsidR="00A20832" w:rsidRPr="00576AF8" w:rsidRDefault="00A20832" w:rsidP="00906F54">
            <w:pPr>
              <w:spacing w:after="200"/>
              <w:ind w:left="540" w:right="-19" w:hanging="540"/>
              <w:rPr>
                <w:spacing w:val="-4"/>
              </w:rPr>
            </w:pPr>
            <w:r w:rsidRPr="00576AF8">
              <w:rPr>
                <w:spacing w:val="-4"/>
              </w:rPr>
              <w:t>10.3</w:t>
            </w:r>
            <w:r w:rsidRPr="00576AF8">
              <w:rPr>
                <w:spacing w:val="-4"/>
              </w:rPr>
              <w:tab/>
              <w:t>El Comprador será responsable de obtener y dar la posesión jurídica y física del sitio y el acceso a este, y de brindar la posesión y el acceso a todas las demás áreas que sean razonablemente necesarias para la adecuada ejecución del Contrato</w:t>
            </w:r>
          </w:p>
          <w:p w14:paraId="23053E90" w14:textId="77777777" w:rsidR="00A20832" w:rsidRPr="00576AF8" w:rsidRDefault="00A20832" w:rsidP="00906F54">
            <w:pPr>
              <w:keepNext/>
              <w:keepLines/>
              <w:spacing w:before="240" w:after="200"/>
              <w:ind w:left="540" w:right="-19" w:hanging="540"/>
              <w:outlineLvl w:val="4"/>
            </w:pPr>
            <w:r w:rsidRPr="00576AF8">
              <w:lastRenderedPageBreak/>
              <w:t>10.4</w:t>
            </w:r>
            <w:r w:rsidRPr="00576AF8">
              <w:tab/>
              <w:t xml:space="preserve">Si el Proveedor así lo solicita, el Comprador hará todo lo posible por ayudarlo a tramitar en forma ágil y oportuna ante </w:t>
            </w:r>
            <w:r w:rsidR="00A63C78" w:rsidRPr="00576AF8">
              <w:t xml:space="preserve">todas </w:t>
            </w:r>
            <w:r w:rsidRPr="00576AF8">
              <w:t xml:space="preserve">las autoridades gubernamentales del ámbito local, estatal o nacional o las empresas de servicios públicos todos los permisos, aprobaciones o licencias necesarios para la ejecución del Contrato, cuya obtención dichas autoridades o empresas exijan al Proveedor o </w:t>
            </w:r>
            <w:r w:rsidR="001F6942" w:rsidRPr="00576AF8">
              <w:t xml:space="preserve">a </w:t>
            </w:r>
            <w:r w:rsidRPr="00576AF8">
              <w:t xml:space="preserve">los </w:t>
            </w:r>
            <w:r w:rsidR="00A07C8B" w:rsidRPr="00576AF8">
              <w:t>s</w:t>
            </w:r>
            <w:r w:rsidRPr="00576AF8">
              <w:t xml:space="preserve">ubcontratistas o al personal del Proveedor o de los </w:t>
            </w:r>
            <w:r w:rsidR="00A07C8B" w:rsidRPr="00576AF8">
              <w:t>s</w:t>
            </w:r>
            <w:r w:rsidRPr="00576AF8">
              <w:t>ubcontratistas, según sea el caso.</w:t>
            </w:r>
            <w:r w:rsidR="00D310A5" w:rsidRPr="00576AF8">
              <w:t xml:space="preserve"> </w:t>
            </w:r>
          </w:p>
          <w:p w14:paraId="1B3DECD0" w14:textId="77777777" w:rsidR="00A20832" w:rsidRPr="00576AF8" w:rsidRDefault="00A20832" w:rsidP="00906F54">
            <w:pPr>
              <w:keepNext/>
              <w:keepLines/>
              <w:spacing w:before="240" w:after="200"/>
              <w:ind w:left="540" w:right="-19" w:hanging="540"/>
              <w:outlineLvl w:val="4"/>
            </w:pPr>
            <w:r w:rsidRPr="00576AF8">
              <w:t>10.5</w:t>
            </w:r>
            <w:r w:rsidRPr="00576AF8">
              <w:tab/>
              <w:t>En los casos en que la responsabilidad de especificar y adquirir o actualizar los servicios de telecomunicaciones o electricidad rec</w:t>
            </w:r>
            <w:r w:rsidR="001F6942" w:rsidRPr="00576AF8">
              <w:t>aiga</w:t>
            </w:r>
            <w:r w:rsidRPr="00576AF8">
              <w:t xml:space="preserve"> sobre el Proveedor, conforme a lo especificado en los requisitos técnicos, las CEC, el </w:t>
            </w:r>
            <w:r w:rsidR="001F6942" w:rsidRPr="00576AF8">
              <w:t>p</w:t>
            </w:r>
            <w:r w:rsidRPr="00576AF8">
              <w:t xml:space="preserve">lan </w:t>
            </w:r>
            <w:r w:rsidR="002034C3" w:rsidRPr="00576AF8">
              <w:t xml:space="preserve">acordado para el </w:t>
            </w:r>
            <w:r w:rsidRPr="00576AF8">
              <w:t>Proyecto u otras partes del Contrato, el Comprador hará todo lo posible por ayudar al Proveedor a obtener dichos servicios de manera oportuna y expeditiva.</w:t>
            </w:r>
          </w:p>
          <w:p w14:paraId="31B29A84" w14:textId="77777777" w:rsidR="00A20832" w:rsidRPr="00576AF8" w:rsidRDefault="00A20832" w:rsidP="00906F54">
            <w:pPr>
              <w:keepNext/>
              <w:keepLines/>
              <w:spacing w:before="240" w:after="200"/>
              <w:ind w:left="540" w:right="-19" w:hanging="540"/>
              <w:outlineLvl w:val="4"/>
            </w:pPr>
            <w:r w:rsidRPr="00576AF8">
              <w:t>10.6</w:t>
            </w:r>
            <w:r w:rsidRPr="00576AF8">
              <w:tab/>
              <w:t xml:space="preserve">El Comprador será responsable de suministrar oportunamente todos los recursos, el acceso y la información necesarios para la instalación y aceptación operativa del Sistema (incluidos, entre otras cosas, los servicios de telecomunicaciones o </w:t>
            </w:r>
            <w:r w:rsidR="001F6942" w:rsidRPr="00576AF8">
              <w:t xml:space="preserve">de </w:t>
            </w:r>
            <w:r w:rsidRPr="00576AF8">
              <w:t xml:space="preserve">electricidad que se requieran), tal como se identifica en el </w:t>
            </w:r>
            <w:r w:rsidR="002034C3" w:rsidRPr="00576AF8">
              <w:t>p</w:t>
            </w:r>
            <w:r w:rsidRPr="00576AF8">
              <w:t xml:space="preserve">lan </w:t>
            </w:r>
            <w:r w:rsidR="002034C3" w:rsidRPr="00576AF8">
              <w:t>acordado para el</w:t>
            </w:r>
            <w:r w:rsidRPr="00576AF8">
              <w:t xml:space="preserve"> Proyecto, salvo cuando en el Contrato se estipule expresamente que la responsabilidad de suministrar dichos elementos recaerá en el Proveedor. La demora del Comprador podrá, a discreción del Proveedor, dar lugar a una </w:t>
            </w:r>
            <w:r w:rsidR="0016293D" w:rsidRPr="00576AF8">
              <w:t xml:space="preserve">prórroga </w:t>
            </w:r>
            <w:r w:rsidRPr="00576AF8">
              <w:t xml:space="preserve">del plazo para </w:t>
            </w:r>
            <w:r w:rsidR="00413A3A" w:rsidRPr="00576AF8">
              <w:t xml:space="preserve">obtener </w:t>
            </w:r>
            <w:r w:rsidRPr="00576AF8">
              <w:t>la aceptación operativa.</w:t>
            </w:r>
          </w:p>
          <w:p w14:paraId="2BDE8136" w14:textId="77777777" w:rsidR="00A20832" w:rsidRPr="00576AF8" w:rsidRDefault="00A20832" w:rsidP="00906F54">
            <w:pPr>
              <w:keepNext/>
              <w:keepLines/>
              <w:spacing w:before="240" w:after="200"/>
              <w:ind w:left="540" w:right="-19" w:hanging="540"/>
              <w:outlineLvl w:val="4"/>
            </w:pPr>
            <w:r w:rsidRPr="00576AF8">
              <w:t>10.7</w:t>
            </w:r>
            <w:r w:rsidRPr="00576AF8">
              <w:tab/>
              <w:t xml:space="preserve">A menos que se especifique otra cosa en el Contrato o que el Comprador y el Proveedor convengan otra cosa, el Comprador proporcionará personal técnico y de operaciones debidamente calificado y en número suficiente, conforme lo requiera el Proveedor para llevar a cabo </w:t>
            </w:r>
            <w:r w:rsidR="001F6942" w:rsidRPr="00576AF8">
              <w:t xml:space="preserve">de manera </w:t>
            </w:r>
            <w:r w:rsidRPr="00576AF8">
              <w:t>adecuada la entrega, los ensayos previos a la puesta en servicio, la instalaci</w:t>
            </w:r>
            <w:r w:rsidR="001F6942" w:rsidRPr="00576AF8">
              <w:t>ón</w:t>
            </w:r>
            <w:r w:rsidRPr="00576AF8">
              <w:t xml:space="preserve">, la puesta en servicio y la aceptación operativa en la fecha prevista en el programa de ejecución y el plan </w:t>
            </w:r>
            <w:r w:rsidR="002034C3" w:rsidRPr="00576AF8">
              <w:t>acordado para el P</w:t>
            </w:r>
            <w:r w:rsidRPr="00576AF8">
              <w:t xml:space="preserve">royecto, o antes de esa fecha. </w:t>
            </w:r>
          </w:p>
          <w:p w14:paraId="120FC47E" w14:textId="77777777" w:rsidR="00A20832" w:rsidRPr="00576AF8" w:rsidRDefault="00A20832" w:rsidP="00906F54">
            <w:pPr>
              <w:keepNext/>
              <w:keepLines/>
              <w:spacing w:before="240" w:after="200"/>
              <w:ind w:left="540" w:right="-19" w:hanging="540"/>
              <w:outlineLvl w:val="4"/>
            </w:pPr>
            <w:r w:rsidRPr="00576AF8">
              <w:t>10.8</w:t>
            </w:r>
            <w:r w:rsidRPr="00576AF8">
              <w:tab/>
              <w:t xml:space="preserve">El Comprador designará personal apropiado para los cursos de capacitación que dictará el Proveedor y hará todos los arreglos logísticos para dichos cursos conforme a lo especificado en los requisitos técnicos, las CEC, el plan </w:t>
            </w:r>
            <w:r w:rsidR="002034C3" w:rsidRPr="00576AF8">
              <w:t>acordado para el P</w:t>
            </w:r>
            <w:r w:rsidRPr="00576AF8">
              <w:t>royecto u otras partes del Contrato.</w:t>
            </w:r>
          </w:p>
          <w:p w14:paraId="01F1E161" w14:textId="77777777" w:rsidR="00A20832" w:rsidRPr="00576AF8" w:rsidRDefault="00A20832" w:rsidP="00906F54">
            <w:pPr>
              <w:keepNext/>
              <w:keepLines/>
              <w:spacing w:before="240" w:after="200"/>
              <w:ind w:left="540" w:right="-19" w:hanging="540"/>
              <w:outlineLvl w:val="4"/>
            </w:pPr>
            <w:r w:rsidRPr="00576AF8">
              <w:t>10.9</w:t>
            </w:r>
            <w:r w:rsidRPr="00576AF8">
              <w:tab/>
              <w:t xml:space="preserve">El Comprador será el principal responsable de las pruebas de aceptación operativa del Sistema, conforme a lo dispuesto en la </w:t>
            </w:r>
            <w:r w:rsidRPr="00576AF8">
              <w:lastRenderedPageBreak/>
              <w:t>cláusula 27.2 de las CGC y será responsable del funcionamiento continuado del Sistema después de la aceptación operativa. Sin embargo, esto no limitará de ningún modo las responsabilidades del proveedor luego de la fecha de aceptación operativa especificada en el Contrato.</w:t>
            </w:r>
          </w:p>
          <w:p w14:paraId="37600448" w14:textId="77777777" w:rsidR="00A20832" w:rsidRPr="00576AF8" w:rsidRDefault="00A20832" w:rsidP="00906F54">
            <w:pPr>
              <w:keepNext/>
              <w:keepLines/>
              <w:tabs>
                <w:tab w:val="left" w:pos="540"/>
              </w:tabs>
              <w:spacing w:before="240" w:after="200"/>
              <w:ind w:left="540" w:right="-19" w:hanging="540"/>
              <w:outlineLvl w:val="4"/>
            </w:pPr>
            <w:r w:rsidRPr="00576AF8">
              <w:t>10.10</w:t>
            </w:r>
            <w:r w:rsidRPr="00576AF8">
              <w:tab/>
              <w:t xml:space="preserve">El Comprador es responsable de realizar y guardar de manera segura copias de seguridad periódicas y oportunas de sus datos y </w:t>
            </w:r>
            <w:r w:rsidR="00F772EC" w:rsidRPr="00576AF8">
              <w:t>software</w:t>
            </w:r>
            <w:r w:rsidRPr="00576AF8">
              <w:t xml:space="preserve"> de conformidad con los principios aceptados de gestión de datos, salvo cuando dicha responsabilidad se asigne claramente al Proveedor en otra parte del Contrato.</w:t>
            </w:r>
          </w:p>
          <w:p w14:paraId="799100EB" w14:textId="298AE75E" w:rsidR="00A20832" w:rsidRPr="00576AF8" w:rsidRDefault="00A20832" w:rsidP="00906F54">
            <w:pPr>
              <w:keepNext/>
              <w:keepLines/>
              <w:tabs>
                <w:tab w:val="left" w:pos="540"/>
              </w:tabs>
              <w:spacing w:before="240" w:after="200"/>
              <w:ind w:left="540" w:right="-19" w:hanging="540"/>
              <w:outlineLvl w:val="4"/>
            </w:pPr>
            <w:r w:rsidRPr="00576AF8">
              <w:t>10.11</w:t>
            </w:r>
            <w:r w:rsidRPr="00576AF8">
              <w:tab/>
              <w:t>Todos los costos y gastos relacionados con el cumplimiento de las obligaciones en virtud de la cláusula 10 de las CGC correrán por cuenta del Comprador salvo aquellos que deba efectuar el Proveedor con respecto d</w:t>
            </w:r>
            <w:r w:rsidR="005432F2">
              <w:t>e</w:t>
            </w:r>
            <w:r w:rsidRPr="00576AF8">
              <w:t xml:space="preserve"> la realización de las pruebas de aceptación operativa, de conformidad con la cláusula 2</w:t>
            </w:r>
            <w:r w:rsidR="001F6942" w:rsidRPr="00576AF8">
              <w:t>7</w:t>
            </w:r>
            <w:r w:rsidRPr="00576AF8">
              <w:t>.2 de las CGC.</w:t>
            </w:r>
          </w:p>
          <w:p w14:paraId="4ADD2225" w14:textId="77777777" w:rsidR="00A20832" w:rsidRPr="00576AF8" w:rsidRDefault="00A20832" w:rsidP="00906F54">
            <w:pPr>
              <w:keepNext/>
              <w:keepLines/>
              <w:spacing w:before="240" w:after="200"/>
              <w:ind w:left="547" w:right="-19" w:hanging="547"/>
              <w:outlineLvl w:val="4"/>
            </w:pPr>
            <w:r w:rsidRPr="00576AF8">
              <w:t>10.12</w:t>
            </w:r>
            <w:r w:rsidR="00651050" w:rsidRPr="00576AF8">
              <w:tab/>
            </w:r>
            <w:r w:rsidRPr="00576AF8">
              <w:tab/>
            </w:r>
            <w:r w:rsidR="00997CAB" w:rsidRPr="00576AF8">
              <w:rPr>
                <w:b/>
              </w:rPr>
              <w:t xml:space="preserve">A menos </w:t>
            </w:r>
            <w:r w:rsidRPr="00576AF8">
              <w:rPr>
                <w:b/>
              </w:rPr>
              <w:t>que en las CEC se especifique otra cosa</w:t>
            </w:r>
            <w:r w:rsidRPr="00576AF8">
              <w:t>, el Comprador no tendrá otras responsabilidades en calidad de tal.</w:t>
            </w:r>
          </w:p>
        </w:tc>
      </w:tr>
    </w:tbl>
    <w:p w14:paraId="12924970" w14:textId="77777777" w:rsidR="00A20832" w:rsidRPr="00576AF8" w:rsidRDefault="00A20832" w:rsidP="00A20832">
      <w:pPr>
        <w:pStyle w:val="Head61"/>
        <w:rPr>
          <w:rFonts w:ascii="Times New Roman" w:hAnsi="Times New Roman"/>
        </w:rPr>
      </w:pPr>
      <w:bookmarkStart w:id="1526" w:name="_Toc277233329"/>
      <w:bookmarkStart w:id="1527" w:name="_Toc488959028"/>
      <w:r w:rsidRPr="00576AF8">
        <w:rPr>
          <w:rFonts w:ascii="Times New Roman" w:hAnsi="Times New Roman"/>
        </w:rPr>
        <w:lastRenderedPageBreak/>
        <w:t>C.</w:t>
      </w:r>
      <w:r w:rsidR="00157A4B" w:rsidRPr="00576AF8">
        <w:rPr>
          <w:rFonts w:ascii="Times New Roman" w:hAnsi="Times New Roman"/>
        </w:rPr>
        <w:t xml:space="preserve"> </w:t>
      </w:r>
      <w:r w:rsidRPr="00576AF8">
        <w:rPr>
          <w:rFonts w:ascii="Times New Roman" w:hAnsi="Times New Roman"/>
        </w:rPr>
        <w:t xml:space="preserve"> Pago</w:t>
      </w:r>
      <w:bookmarkEnd w:id="1526"/>
      <w:bookmarkEnd w:id="1527"/>
    </w:p>
    <w:tbl>
      <w:tblPr>
        <w:tblW w:w="0" w:type="auto"/>
        <w:tblLayout w:type="fixed"/>
        <w:tblLook w:val="0000" w:firstRow="0" w:lastRow="0" w:firstColumn="0" w:lastColumn="0" w:noHBand="0" w:noVBand="0"/>
      </w:tblPr>
      <w:tblGrid>
        <w:gridCol w:w="2552"/>
        <w:gridCol w:w="6804"/>
      </w:tblGrid>
      <w:tr w:rsidR="00A20832" w:rsidRPr="00576AF8" w14:paraId="5E447438" w14:textId="77777777" w:rsidTr="00651050">
        <w:trPr>
          <w:cantSplit/>
        </w:trPr>
        <w:tc>
          <w:tcPr>
            <w:tcW w:w="2552" w:type="dxa"/>
          </w:tcPr>
          <w:p w14:paraId="1117F960" w14:textId="77777777" w:rsidR="00A20832" w:rsidRPr="00576AF8" w:rsidRDefault="00A20832" w:rsidP="00A35BE3">
            <w:pPr>
              <w:pStyle w:val="Head62"/>
              <w:jc w:val="both"/>
            </w:pPr>
            <w:bookmarkStart w:id="1528" w:name="_Toc277233330"/>
            <w:bookmarkStart w:id="1529" w:name="_Toc488959029"/>
            <w:r w:rsidRPr="00576AF8">
              <w:t>11.</w:t>
            </w:r>
            <w:r w:rsidRPr="00576AF8">
              <w:tab/>
              <w:t>Precio del Contrato</w:t>
            </w:r>
            <w:bookmarkEnd w:id="1528"/>
            <w:bookmarkEnd w:id="1529"/>
          </w:p>
        </w:tc>
        <w:tc>
          <w:tcPr>
            <w:tcW w:w="6804" w:type="dxa"/>
          </w:tcPr>
          <w:p w14:paraId="5FC68761" w14:textId="77777777" w:rsidR="00A20832" w:rsidRPr="00576AF8" w:rsidRDefault="00A20832" w:rsidP="00651050">
            <w:pPr>
              <w:keepNext/>
              <w:keepLines/>
              <w:spacing w:before="240" w:after="200"/>
              <w:ind w:left="547" w:right="-19" w:hanging="547"/>
              <w:outlineLvl w:val="4"/>
            </w:pPr>
            <w:r w:rsidRPr="00576AF8">
              <w:t>11.1</w:t>
            </w:r>
            <w:r w:rsidRPr="00576AF8">
              <w:tab/>
              <w:t xml:space="preserve">El precio del Contrato será el que se especifique en el </w:t>
            </w:r>
            <w:r w:rsidR="00651050" w:rsidRPr="00576AF8">
              <w:br/>
            </w:r>
            <w:r w:rsidRPr="00576AF8">
              <w:t>artículo 2 (Precio del Contrato y condiciones de pago) del Convenio</w:t>
            </w:r>
            <w:r w:rsidR="000270FF" w:rsidRPr="00576AF8">
              <w:t xml:space="preserve"> Contractual</w:t>
            </w:r>
            <w:r w:rsidRPr="00576AF8">
              <w:t>.</w:t>
            </w:r>
          </w:p>
        </w:tc>
      </w:tr>
      <w:tr w:rsidR="00A20832" w:rsidRPr="00576AF8" w14:paraId="5C70B29E" w14:textId="77777777" w:rsidTr="00651050">
        <w:tc>
          <w:tcPr>
            <w:tcW w:w="2552" w:type="dxa"/>
          </w:tcPr>
          <w:p w14:paraId="032B7C56" w14:textId="77777777" w:rsidR="00A20832" w:rsidRPr="00576AF8" w:rsidRDefault="00A20832" w:rsidP="00A35BE3">
            <w:pPr>
              <w:spacing w:after="0"/>
              <w:jc w:val="left"/>
            </w:pPr>
          </w:p>
        </w:tc>
        <w:tc>
          <w:tcPr>
            <w:tcW w:w="6804" w:type="dxa"/>
          </w:tcPr>
          <w:p w14:paraId="364DA99D" w14:textId="77777777" w:rsidR="00A20832" w:rsidRPr="00576AF8" w:rsidRDefault="00A20832" w:rsidP="00651050">
            <w:pPr>
              <w:spacing w:after="200"/>
              <w:ind w:left="540" w:right="-19" w:hanging="540"/>
              <w:rPr>
                <w:spacing w:val="-2"/>
              </w:rPr>
            </w:pPr>
            <w:r w:rsidRPr="00576AF8">
              <w:rPr>
                <w:spacing w:val="-2"/>
              </w:rPr>
              <w:t>11.2</w:t>
            </w:r>
            <w:r w:rsidRPr="00576AF8">
              <w:rPr>
                <w:spacing w:val="-2"/>
              </w:rPr>
              <w:tab/>
              <w:t>El precio del Contrato será una suma fija que no podrá modificarse, salvo:</w:t>
            </w:r>
            <w:r w:rsidR="00651050" w:rsidRPr="00576AF8">
              <w:rPr>
                <w:spacing w:val="-2"/>
              </w:rPr>
              <w:t xml:space="preserve"> </w:t>
            </w:r>
            <w:r w:rsidRPr="00576AF8">
              <w:rPr>
                <w:spacing w:val="-2"/>
              </w:rPr>
              <w:t>en el caso de que se introduzca un cambio en el Sistema conforme a lo dispuesto en la cláusula 39 de las CGC o en otras cláusulas del Contrato;</w:t>
            </w:r>
            <w:r w:rsidR="00651050" w:rsidRPr="00576AF8">
              <w:rPr>
                <w:spacing w:val="-2"/>
              </w:rPr>
              <w:t xml:space="preserve"> o </w:t>
            </w:r>
            <w:r w:rsidRPr="00576AF8">
              <w:rPr>
                <w:spacing w:val="-2"/>
              </w:rPr>
              <w:t>en el caso de la fórmula de ajuste de precios especificada en las CEC (si la hubiera).</w:t>
            </w:r>
            <w:r w:rsidRPr="00576AF8">
              <w:rPr>
                <w:b/>
                <w:spacing w:val="-2"/>
              </w:rPr>
              <w:t xml:space="preserve"> </w:t>
            </w:r>
          </w:p>
        </w:tc>
      </w:tr>
      <w:tr w:rsidR="00A20832" w:rsidRPr="00576AF8" w14:paraId="456C914C" w14:textId="77777777" w:rsidTr="00651050">
        <w:tc>
          <w:tcPr>
            <w:tcW w:w="2552" w:type="dxa"/>
          </w:tcPr>
          <w:p w14:paraId="6A814C49" w14:textId="77777777" w:rsidR="00A20832" w:rsidRPr="00576AF8" w:rsidRDefault="00A20832" w:rsidP="00A35BE3">
            <w:pPr>
              <w:spacing w:after="0"/>
              <w:jc w:val="left"/>
            </w:pPr>
          </w:p>
        </w:tc>
        <w:tc>
          <w:tcPr>
            <w:tcW w:w="6804" w:type="dxa"/>
          </w:tcPr>
          <w:p w14:paraId="7D587424" w14:textId="77777777" w:rsidR="00A20832" w:rsidRPr="00576AF8" w:rsidRDefault="00A20832" w:rsidP="00651050">
            <w:pPr>
              <w:spacing w:after="200"/>
              <w:ind w:left="547" w:right="-19" w:hanging="547"/>
            </w:pPr>
            <w:r w:rsidRPr="00576AF8">
              <w:t>11.3</w:t>
            </w:r>
            <w:r w:rsidRPr="00576AF8">
              <w:tab/>
              <w:t xml:space="preserve">Se considerará que el Proveedor ha aceptado como correcto y suficiente el precio del Contrato, el cual, salvo que se disponga otra cosa en el Contrato, deberá cubrir todas </w:t>
            </w:r>
            <w:r w:rsidR="000270FF" w:rsidRPr="00576AF8">
              <w:t>su</w:t>
            </w:r>
            <w:r w:rsidRPr="00576AF8">
              <w:t xml:space="preserve">s obligaciones </w:t>
            </w:r>
            <w:r w:rsidR="00086489" w:rsidRPr="00576AF8">
              <w:t xml:space="preserve">en virtud del </w:t>
            </w:r>
            <w:r w:rsidRPr="00576AF8">
              <w:t>Contrat</w:t>
            </w:r>
            <w:r w:rsidR="00086489" w:rsidRPr="00576AF8">
              <w:t>o</w:t>
            </w:r>
            <w:r w:rsidRPr="00576AF8">
              <w:t xml:space="preserve">. </w:t>
            </w:r>
          </w:p>
        </w:tc>
      </w:tr>
      <w:tr w:rsidR="00A20832" w:rsidRPr="00576AF8" w14:paraId="5204BF1C" w14:textId="77777777" w:rsidTr="00651050">
        <w:trPr>
          <w:cantSplit/>
        </w:trPr>
        <w:tc>
          <w:tcPr>
            <w:tcW w:w="2552" w:type="dxa"/>
          </w:tcPr>
          <w:p w14:paraId="710EF323" w14:textId="77777777" w:rsidR="00A20832" w:rsidRPr="00576AF8" w:rsidRDefault="00A20832" w:rsidP="003F60CA">
            <w:pPr>
              <w:pStyle w:val="Head62"/>
              <w:jc w:val="both"/>
            </w:pPr>
            <w:bookmarkStart w:id="1530" w:name="_Toc277233331"/>
            <w:bookmarkStart w:id="1531" w:name="_Toc488959030"/>
            <w:r w:rsidRPr="00576AF8">
              <w:lastRenderedPageBreak/>
              <w:t>12.</w:t>
            </w:r>
            <w:r w:rsidRPr="00576AF8">
              <w:tab/>
              <w:t>Condiciones de</w:t>
            </w:r>
            <w:r w:rsidR="00C51F82" w:rsidRPr="00576AF8">
              <w:t> </w:t>
            </w:r>
            <w:r w:rsidR="003F60CA" w:rsidRPr="00576AF8">
              <w:t>p</w:t>
            </w:r>
            <w:r w:rsidRPr="00576AF8">
              <w:t>ago</w:t>
            </w:r>
            <w:bookmarkEnd w:id="1530"/>
            <w:bookmarkEnd w:id="1531"/>
          </w:p>
        </w:tc>
        <w:tc>
          <w:tcPr>
            <w:tcW w:w="6804" w:type="dxa"/>
          </w:tcPr>
          <w:p w14:paraId="65928072" w14:textId="77777777" w:rsidR="00A20832" w:rsidRPr="00576AF8" w:rsidRDefault="00A20832" w:rsidP="00651050">
            <w:pPr>
              <w:keepNext/>
              <w:keepLines/>
              <w:spacing w:before="240" w:after="200"/>
              <w:ind w:left="547" w:right="-19" w:hanging="547"/>
              <w:outlineLvl w:val="4"/>
            </w:pPr>
            <w:r w:rsidRPr="00576AF8">
              <w:t>12.1</w:t>
            </w:r>
            <w:r w:rsidRPr="00576AF8">
              <w:tab/>
              <w:t xml:space="preserve">La solicitud de pago del Proveedor al Comprador deberá hacerse por escrito y estar acompañada de una factura en </w:t>
            </w:r>
            <w:r w:rsidR="00C51F82" w:rsidRPr="00576AF8">
              <w:br/>
            </w:r>
            <w:r w:rsidRPr="00576AF8">
              <w:t>la que se describa, según corresponda, el Sistema o los Subsistemas entregados, sometidos a ensayos previos a la puesta en servicio, instalados y que hayan recibido la aceptación operativa, y de los documentos presentados de conformidad con la cláusula 22.5 y en cumplimiento de las demás obligaciones estipuladas en el Contrato.</w:t>
            </w:r>
            <w:r w:rsidR="00D310A5" w:rsidRPr="00576AF8">
              <w:t xml:space="preserve"> </w:t>
            </w:r>
          </w:p>
          <w:p w14:paraId="405683A2" w14:textId="77777777" w:rsidR="00A20832" w:rsidRPr="00576AF8" w:rsidRDefault="00A20832" w:rsidP="00651050">
            <w:pPr>
              <w:keepNext/>
              <w:keepLines/>
              <w:spacing w:before="240" w:after="200"/>
              <w:ind w:left="547" w:right="-19" w:hanging="547"/>
              <w:outlineLvl w:val="4"/>
            </w:pPr>
            <w:r w:rsidRPr="00576AF8">
              <w:tab/>
              <w:t xml:space="preserve">El precio del contrato se pagará según </w:t>
            </w:r>
            <w:r w:rsidRPr="00576AF8">
              <w:rPr>
                <w:b/>
              </w:rPr>
              <w:t xml:space="preserve">lo establecido en </w:t>
            </w:r>
            <w:r w:rsidR="00C51F82" w:rsidRPr="00576AF8">
              <w:rPr>
                <w:b/>
              </w:rPr>
              <w:br/>
            </w:r>
            <w:r w:rsidRPr="00576AF8">
              <w:rPr>
                <w:b/>
              </w:rPr>
              <w:t>las CEC</w:t>
            </w:r>
            <w:r w:rsidRPr="00576AF8">
              <w:t>.</w:t>
            </w:r>
          </w:p>
        </w:tc>
      </w:tr>
      <w:tr w:rsidR="00A20832" w:rsidRPr="00576AF8" w14:paraId="178417E6" w14:textId="77777777" w:rsidTr="00651050">
        <w:tc>
          <w:tcPr>
            <w:tcW w:w="2552" w:type="dxa"/>
          </w:tcPr>
          <w:p w14:paraId="1B24662C" w14:textId="77777777" w:rsidR="00A20832" w:rsidRPr="00576AF8" w:rsidRDefault="00A20832" w:rsidP="00A35BE3">
            <w:pPr>
              <w:spacing w:after="0"/>
              <w:jc w:val="left"/>
            </w:pPr>
          </w:p>
        </w:tc>
        <w:tc>
          <w:tcPr>
            <w:tcW w:w="6804" w:type="dxa"/>
          </w:tcPr>
          <w:p w14:paraId="5E706705" w14:textId="77777777" w:rsidR="00A20832" w:rsidRPr="00576AF8" w:rsidRDefault="00A20832" w:rsidP="00651050">
            <w:pPr>
              <w:keepNext/>
              <w:keepLines/>
              <w:spacing w:before="240" w:after="200"/>
              <w:ind w:left="547" w:right="-19" w:hanging="547"/>
              <w:outlineLvl w:val="4"/>
            </w:pPr>
            <w:r w:rsidRPr="00576AF8">
              <w:t>12.2</w:t>
            </w:r>
            <w:r w:rsidRPr="00576AF8">
              <w:tab/>
              <w:t xml:space="preserve">Ningún pago efectuado por el Comprador </w:t>
            </w:r>
            <w:r w:rsidR="00EA03EE" w:rsidRPr="00576AF8">
              <w:t xml:space="preserve">de conformidad con la cláusula 12.1 </w:t>
            </w:r>
            <w:r w:rsidRPr="00576AF8">
              <w:t xml:space="preserve">implicará </w:t>
            </w:r>
            <w:r w:rsidR="003F60CA" w:rsidRPr="00576AF8">
              <w:t xml:space="preserve">su </w:t>
            </w:r>
            <w:r w:rsidRPr="00576AF8">
              <w:t>aceptación del Sistema o los Subsistemas.</w:t>
            </w:r>
          </w:p>
          <w:p w14:paraId="192D1E22" w14:textId="77777777" w:rsidR="00A20832" w:rsidRPr="00576AF8" w:rsidRDefault="00A20832" w:rsidP="00651050">
            <w:pPr>
              <w:spacing w:after="200"/>
              <w:ind w:left="540" w:right="-19" w:hanging="540"/>
              <w:rPr>
                <w:spacing w:val="-2"/>
              </w:rPr>
            </w:pPr>
            <w:r w:rsidRPr="00576AF8">
              <w:rPr>
                <w:spacing w:val="-2"/>
              </w:rPr>
              <w:t>12.3</w:t>
            </w:r>
            <w:r w:rsidRPr="00576AF8">
              <w:rPr>
                <w:spacing w:val="-2"/>
              </w:rPr>
              <w:tab/>
              <w:t xml:space="preserve">El Comprador efectuará los pagos prontamente y en ningún caso podrá hacerlo una vez transcurridos cuarenta y cinco (45) días desde el momento en que Proveedor haya presentado una factura válida. En el caso de que el Comprador no efectúe alguno de los pagos en las fechas de vencimiento correspondientes o dentro del plazo establecido en </w:t>
            </w:r>
            <w:r w:rsidR="003F60CA" w:rsidRPr="00576AF8">
              <w:rPr>
                <w:spacing w:val="-2"/>
              </w:rPr>
              <w:t xml:space="preserve">el </w:t>
            </w:r>
            <w:r w:rsidRPr="00576AF8">
              <w:rPr>
                <w:spacing w:val="-2"/>
              </w:rPr>
              <w:t xml:space="preserve">Contrato, el Comprador pagará al Proveedor intereses sobre el monto del pago en mora a la tasa </w:t>
            </w:r>
            <w:r w:rsidRPr="00576AF8">
              <w:rPr>
                <w:b/>
                <w:spacing w:val="-2"/>
              </w:rPr>
              <w:t>establecida en las CEC</w:t>
            </w:r>
            <w:r w:rsidRPr="00576AF8">
              <w:rPr>
                <w:spacing w:val="-2"/>
              </w:rPr>
              <w:t>, por el período de la demora y hasta que haya efectuado el pago completo, ya sea antes o después de cualquier sentencia judicial o laudo arbitral.</w:t>
            </w:r>
          </w:p>
          <w:p w14:paraId="72E9C6BB" w14:textId="77777777" w:rsidR="00A20832" w:rsidRPr="00576AF8" w:rsidRDefault="00A20832" w:rsidP="00651050">
            <w:pPr>
              <w:spacing w:after="200"/>
              <w:ind w:left="540" w:right="-19" w:hanging="540"/>
              <w:rPr>
                <w:spacing w:val="-2"/>
              </w:rPr>
            </w:pPr>
            <w:r w:rsidRPr="00576AF8">
              <w:rPr>
                <w:spacing w:val="-2"/>
              </w:rPr>
              <w:t>12.4</w:t>
            </w:r>
            <w:r w:rsidRPr="00576AF8">
              <w:rPr>
                <w:spacing w:val="-2"/>
              </w:rPr>
              <w:tab/>
              <w:t xml:space="preserve">Los pagos se efectuarán en las monedas especificadas en el </w:t>
            </w:r>
            <w:r w:rsidR="00682589" w:rsidRPr="00576AF8">
              <w:rPr>
                <w:spacing w:val="-2"/>
              </w:rPr>
              <w:t>Convenio Contractual</w:t>
            </w:r>
            <w:r w:rsidRPr="00576AF8">
              <w:rPr>
                <w:spacing w:val="-2"/>
              </w:rPr>
              <w:t xml:space="preserve">, conforme a lo dispuesto en la cláusula 11 de las CGC. En el caso de los bienes y servicios suministrados a nivel local, los pagos se efectuarán </w:t>
            </w:r>
            <w:r w:rsidRPr="00576AF8">
              <w:rPr>
                <w:b/>
                <w:spacing w:val="-2"/>
              </w:rPr>
              <w:t>según lo especificado en las CEC</w:t>
            </w:r>
            <w:r w:rsidRPr="00576AF8">
              <w:rPr>
                <w:spacing w:val="-2"/>
              </w:rPr>
              <w:t>.</w:t>
            </w:r>
          </w:p>
          <w:p w14:paraId="0D79DF9C" w14:textId="77777777" w:rsidR="00A20832" w:rsidRPr="00576AF8" w:rsidRDefault="00A20832" w:rsidP="00651050">
            <w:pPr>
              <w:keepNext/>
              <w:keepLines/>
              <w:spacing w:before="240" w:after="200"/>
              <w:ind w:left="540" w:right="-19" w:hanging="540"/>
              <w:outlineLvl w:val="4"/>
            </w:pPr>
            <w:r w:rsidRPr="00576AF8">
              <w:t>12.5</w:t>
            </w:r>
            <w:r w:rsidRPr="00576AF8">
              <w:tab/>
            </w:r>
            <w:r w:rsidRPr="00576AF8">
              <w:rPr>
                <w:b/>
              </w:rPr>
              <w:t>A menos que en las CEC</w:t>
            </w:r>
            <w:r w:rsidR="00997CAB" w:rsidRPr="00576AF8">
              <w:rPr>
                <w:b/>
              </w:rPr>
              <w:t xml:space="preserve"> se especifique otra cosa</w:t>
            </w:r>
            <w:r w:rsidRPr="00576AF8">
              <w:t xml:space="preserve">, el pago de la parte en moneda extranjera del precio contractual de los bienes suministrados desde fuera del país del Comprador se efectuará al Proveedor contra presentación de los documentos que correspondan, a través de una carta de crédito irrevocable que será abierta por un banco autorizado en el país del Proveedor. Se acuerda que la carta de crédito estará sujeta al artículo 10 de la última revisión de las </w:t>
            </w:r>
            <w:r w:rsidRPr="00576AF8">
              <w:rPr>
                <w:i/>
              </w:rPr>
              <w:t>Reglas y usos uniformes para créditos documentarios</w:t>
            </w:r>
            <w:r w:rsidRPr="00576AF8">
              <w:t>, publicada por la Cámara de Comercio Internacional, París.</w:t>
            </w:r>
          </w:p>
        </w:tc>
      </w:tr>
      <w:tr w:rsidR="00A20832" w:rsidRPr="00576AF8" w14:paraId="4283E869" w14:textId="77777777" w:rsidTr="00651050">
        <w:trPr>
          <w:cantSplit/>
        </w:trPr>
        <w:tc>
          <w:tcPr>
            <w:tcW w:w="2552" w:type="dxa"/>
          </w:tcPr>
          <w:p w14:paraId="41959D2F" w14:textId="77777777" w:rsidR="00A20832" w:rsidRPr="00576AF8" w:rsidRDefault="00A20832" w:rsidP="00A35BE3">
            <w:pPr>
              <w:pStyle w:val="Head62"/>
            </w:pPr>
            <w:bookmarkStart w:id="1532" w:name="_Toc277233332"/>
            <w:bookmarkStart w:id="1533" w:name="_Toc488959031"/>
            <w:r w:rsidRPr="00576AF8">
              <w:lastRenderedPageBreak/>
              <w:t>13.</w:t>
            </w:r>
            <w:r w:rsidRPr="00576AF8">
              <w:tab/>
              <w:t>Garantías</w:t>
            </w:r>
            <w:bookmarkEnd w:id="1532"/>
            <w:bookmarkEnd w:id="1533"/>
          </w:p>
        </w:tc>
        <w:tc>
          <w:tcPr>
            <w:tcW w:w="6804" w:type="dxa"/>
          </w:tcPr>
          <w:p w14:paraId="23BBEA9E" w14:textId="77777777" w:rsidR="00A20832" w:rsidRPr="00576AF8" w:rsidRDefault="00A20832" w:rsidP="00651050">
            <w:pPr>
              <w:keepNext/>
              <w:keepLines/>
              <w:spacing w:before="240" w:after="200"/>
              <w:ind w:left="547" w:right="-19" w:hanging="547"/>
              <w:outlineLvl w:val="4"/>
            </w:pPr>
            <w:r w:rsidRPr="00576AF8">
              <w:t>13.1</w:t>
            </w:r>
            <w:r w:rsidRPr="00576AF8">
              <w:tab/>
              <w:t>Emisión de garantías</w:t>
            </w:r>
          </w:p>
          <w:p w14:paraId="7B24815E" w14:textId="77777777" w:rsidR="00A20832" w:rsidRPr="00576AF8" w:rsidRDefault="00A20832" w:rsidP="00651050">
            <w:pPr>
              <w:keepNext/>
              <w:keepLines/>
              <w:widowControl w:val="0"/>
              <w:spacing w:before="240" w:after="200"/>
              <w:ind w:left="547" w:right="-19"/>
              <w:outlineLvl w:val="4"/>
            </w:pPr>
            <w:r w:rsidRPr="00576AF8">
              <w:t>El Proveedor proporcionará al Comprador las garantías que se especifican a continuación en el plazo, por el monto y en la forma que se especifican a continuación.</w:t>
            </w:r>
          </w:p>
        </w:tc>
      </w:tr>
      <w:tr w:rsidR="00A20832" w:rsidRPr="00576AF8" w14:paraId="4A000B2B" w14:textId="77777777" w:rsidTr="00651050">
        <w:tc>
          <w:tcPr>
            <w:tcW w:w="2552" w:type="dxa"/>
          </w:tcPr>
          <w:p w14:paraId="5977E853" w14:textId="77777777" w:rsidR="00A20832" w:rsidRPr="00576AF8" w:rsidRDefault="00A20832" w:rsidP="00A35BE3">
            <w:pPr>
              <w:spacing w:after="0"/>
              <w:jc w:val="left"/>
            </w:pPr>
          </w:p>
        </w:tc>
        <w:tc>
          <w:tcPr>
            <w:tcW w:w="6804" w:type="dxa"/>
          </w:tcPr>
          <w:p w14:paraId="68188C5F" w14:textId="77777777" w:rsidR="00A20832" w:rsidRPr="00576AF8" w:rsidRDefault="00A20832" w:rsidP="00651050">
            <w:pPr>
              <w:keepNext/>
              <w:keepLines/>
              <w:widowControl w:val="0"/>
              <w:spacing w:before="240" w:after="200"/>
              <w:ind w:left="547" w:right="-19" w:hanging="547"/>
              <w:outlineLvl w:val="4"/>
            </w:pPr>
            <w:r w:rsidRPr="00576AF8">
              <w:t>13.2</w:t>
            </w:r>
            <w:r w:rsidRPr="00576AF8">
              <w:tab/>
              <w:t xml:space="preserve">Garantía por pago </w:t>
            </w:r>
            <w:r w:rsidR="00C63C23" w:rsidRPr="00576AF8">
              <w:t xml:space="preserve">de </w:t>
            </w:r>
            <w:r w:rsidRPr="00576AF8">
              <w:t>anticip</w:t>
            </w:r>
            <w:r w:rsidR="00C63C23" w:rsidRPr="00576AF8">
              <w:t>o</w:t>
            </w:r>
          </w:p>
          <w:p w14:paraId="10CDF8A6" w14:textId="77777777" w:rsidR="00A20832" w:rsidRPr="00576AF8" w:rsidRDefault="00A20832" w:rsidP="00651050">
            <w:pPr>
              <w:spacing w:after="200"/>
              <w:ind w:left="1181" w:right="-19" w:hanging="634"/>
              <w:rPr>
                <w:spacing w:val="-4"/>
              </w:rPr>
            </w:pPr>
            <w:r w:rsidRPr="00576AF8">
              <w:rPr>
                <w:spacing w:val="-4"/>
              </w:rPr>
              <w:t>13.2.1</w:t>
            </w:r>
            <w:r w:rsidRPr="00576AF8">
              <w:rPr>
                <w:spacing w:val="-4"/>
              </w:rPr>
              <w:tab/>
              <w:t xml:space="preserve">El Proveedor proporcionará, dentro de los veintiocho (28) días posteriores a la notificación de la adjudicación del Contrato, una garantía por pago </w:t>
            </w:r>
            <w:r w:rsidR="00C63C23" w:rsidRPr="00576AF8">
              <w:rPr>
                <w:spacing w:val="-4"/>
              </w:rPr>
              <w:t xml:space="preserve">de </w:t>
            </w:r>
            <w:r w:rsidRPr="00576AF8">
              <w:rPr>
                <w:spacing w:val="-4"/>
              </w:rPr>
              <w:t>anticipo</w:t>
            </w:r>
            <w:r w:rsidR="003F60CA" w:rsidRPr="00576AF8">
              <w:rPr>
                <w:spacing w:val="-4"/>
              </w:rPr>
              <w:t>,</w:t>
            </w:r>
            <w:r w:rsidRPr="00576AF8">
              <w:rPr>
                <w:spacing w:val="-4"/>
              </w:rPr>
              <w:t xml:space="preserve"> por el monto y en la moneda del pago anticipado que se especifica en las CEC para la cláusula 12.1, </w:t>
            </w:r>
            <w:r w:rsidRPr="00576AF8">
              <w:rPr>
                <w:i/>
                <w:spacing w:val="-4"/>
              </w:rPr>
              <w:t>supra</w:t>
            </w:r>
            <w:r w:rsidRPr="00576AF8">
              <w:rPr>
                <w:spacing w:val="-4"/>
              </w:rPr>
              <w:t xml:space="preserve">. Dicha garantía será válida hasta que el Sistema </w:t>
            </w:r>
            <w:r w:rsidR="003F60CA" w:rsidRPr="00576AF8">
              <w:rPr>
                <w:spacing w:val="-4"/>
              </w:rPr>
              <w:t>reciba la aceptación operativa</w:t>
            </w:r>
            <w:r w:rsidRPr="00576AF8">
              <w:rPr>
                <w:spacing w:val="-4"/>
              </w:rPr>
              <w:t>.</w:t>
            </w:r>
          </w:p>
          <w:p w14:paraId="48C8AD81" w14:textId="77777777" w:rsidR="00A20832" w:rsidRPr="00576AF8" w:rsidRDefault="00A20832" w:rsidP="00651050">
            <w:pPr>
              <w:keepNext/>
              <w:keepLines/>
              <w:widowControl w:val="0"/>
              <w:spacing w:before="240" w:after="200"/>
              <w:ind w:left="1181" w:right="-19" w:hanging="634"/>
              <w:outlineLvl w:val="4"/>
            </w:pPr>
            <w:r w:rsidRPr="00576AF8">
              <w:t>13.2.2</w:t>
            </w:r>
            <w:r w:rsidRPr="00576AF8">
              <w:tab/>
              <w:t xml:space="preserve">La garantía se otorgará en la forma prevista en </w:t>
            </w:r>
            <w:r w:rsidR="00A83F3E" w:rsidRPr="00576AF8">
              <w:t xml:space="preserve">el </w:t>
            </w:r>
            <w:r w:rsidR="00807C34" w:rsidRPr="00576AF8">
              <w:t>documento de licitación</w:t>
            </w:r>
            <w:r w:rsidRPr="00576AF8">
              <w:t xml:space="preserve"> o en otra forma que el Comprador considere aceptable. El monto de la garantía se reducirá en proporción al valor del Sistema ejecutado por el Proveedor y pagadas oportunamente a este, y se anulará </w:t>
            </w:r>
            <w:r w:rsidR="00841EC6" w:rsidRPr="00576AF8">
              <w:t xml:space="preserve">de manera </w:t>
            </w:r>
            <w:r w:rsidRPr="00576AF8">
              <w:t xml:space="preserve">automática cuando el </w:t>
            </w:r>
            <w:r w:rsidR="00841EC6" w:rsidRPr="00576AF8">
              <w:t xml:space="preserve">Comprador </w:t>
            </w:r>
            <w:r w:rsidRPr="00576AF8">
              <w:t xml:space="preserve">haya recuperado la totalidad del monto del anticipo. </w:t>
            </w:r>
            <w:r w:rsidRPr="00576AF8">
              <w:rPr>
                <w:b/>
              </w:rPr>
              <w:t>A menos que en las CEC</w:t>
            </w:r>
            <w:r w:rsidR="00997CAB" w:rsidRPr="00576AF8">
              <w:rPr>
                <w:b/>
              </w:rPr>
              <w:t xml:space="preserve"> se especifique otra cosa</w:t>
            </w:r>
            <w:r w:rsidRPr="00576AF8">
              <w:t xml:space="preserve">, la reducción del valor de la garantía por pago </w:t>
            </w:r>
            <w:r w:rsidR="00C63C23" w:rsidRPr="00576AF8">
              <w:t xml:space="preserve">de </w:t>
            </w:r>
            <w:r w:rsidRPr="00576AF8">
              <w:t>anticip</w:t>
            </w:r>
            <w:r w:rsidR="00C63C23" w:rsidRPr="00576AF8">
              <w:t xml:space="preserve">o </w:t>
            </w:r>
            <w:r w:rsidRPr="00576AF8">
              <w:t>y su vencimiento se calculan de la siguiente manera:</w:t>
            </w:r>
            <w:r w:rsidR="00D310A5" w:rsidRPr="00576AF8">
              <w:t xml:space="preserve"> </w:t>
            </w:r>
          </w:p>
          <w:p w14:paraId="55B5065A" w14:textId="77777777" w:rsidR="00A20832" w:rsidRPr="00576AF8" w:rsidRDefault="00A20832" w:rsidP="00651050">
            <w:pPr>
              <w:widowControl w:val="0"/>
              <w:spacing w:after="200"/>
              <w:ind w:left="1181" w:right="-19" w:hanging="634"/>
              <w:rPr>
                <w:b/>
              </w:rPr>
            </w:pPr>
            <w:r w:rsidRPr="00576AF8">
              <w:tab/>
              <w:t xml:space="preserve">P*a/(100-a), donde “P” es la suma de todos los </w:t>
            </w:r>
            <w:r w:rsidR="00C51F82" w:rsidRPr="00576AF8">
              <w:br/>
            </w:r>
            <w:r w:rsidRPr="00576AF8">
              <w:t>pagos efectuados hasta el momento al Proveedor (con exclusión del pago adelantado) y “a” es el pago adelantado expresado como porcentaje del precio del Contrato de conformidad con lo dispuesto en las CEC para la cláusula 12.1 de las CGC.</w:t>
            </w:r>
          </w:p>
          <w:p w14:paraId="1CC19865" w14:textId="77777777" w:rsidR="00A20832" w:rsidRPr="00576AF8" w:rsidRDefault="00A20832" w:rsidP="00651050">
            <w:pPr>
              <w:keepNext/>
              <w:keepLines/>
              <w:widowControl w:val="0"/>
              <w:spacing w:before="240" w:after="200"/>
              <w:ind w:left="1181" w:right="-19" w:hanging="634"/>
              <w:outlineLvl w:val="4"/>
            </w:pPr>
            <w:r w:rsidRPr="00576AF8">
              <w:tab/>
              <w:t xml:space="preserve">La garantía se devolverá al Proveedor inmediatamente después de su vencimiento. </w:t>
            </w:r>
          </w:p>
        </w:tc>
      </w:tr>
      <w:tr w:rsidR="00A20832" w:rsidRPr="00576AF8" w14:paraId="36B63A98" w14:textId="77777777" w:rsidTr="00651050">
        <w:tc>
          <w:tcPr>
            <w:tcW w:w="2552" w:type="dxa"/>
          </w:tcPr>
          <w:p w14:paraId="7EB95E76" w14:textId="77777777" w:rsidR="00A20832" w:rsidRPr="00576AF8" w:rsidRDefault="00A20832" w:rsidP="00A35BE3">
            <w:pPr>
              <w:spacing w:after="0"/>
              <w:jc w:val="left"/>
            </w:pPr>
          </w:p>
        </w:tc>
        <w:tc>
          <w:tcPr>
            <w:tcW w:w="6804" w:type="dxa"/>
          </w:tcPr>
          <w:p w14:paraId="2869E003" w14:textId="77777777" w:rsidR="00A20832" w:rsidRPr="00576AF8" w:rsidRDefault="00A20832" w:rsidP="00651050">
            <w:pPr>
              <w:keepNext/>
              <w:keepLines/>
              <w:spacing w:before="240" w:after="200"/>
              <w:ind w:left="547" w:right="-19" w:hanging="547"/>
              <w:outlineLvl w:val="4"/>
            </w:pPr>
            <w:r w:rsidRPr="00576AF8">
              <w:t>13.3</w:t>
            </w:r>
            <w:r w:rsidRPr="00576AF8">
              <w:tab/>
              <w:t>Garantía de cumplimiento</w:t>
            </w:r>
          </w:p>
          <w:p w14:paraId="00C39269" w14:textId="77777777" w:rsidR="00A20832" w:rsidRPr="00576AF8" w:rsidRDefault="00A20832" w:rsidP="00651050">
            <w:pPr>
              <w:keepNext/>
              <w:keepLines/>
              <w:spacing w:before="240" w:after="200"/>
              <w:ind w:left="1170" w:right="-19" w:hanging="630"/>
              <w:outlineLvl w:val="4"/>
            </w:pPr>
            <w:r w:rsidRPr="00576AF8">
              <w:t>13.3.1</w:t>
            </w:r>
            <w:r w:rsidRPr="00576AF8">
              <w:tab/>
              <w:t>El Proveedor deberá, dentro de los veintiocho (28) días posteriores a la notificación de la adjudicación del Contrato, otorgar una garantía de fiel cumplimiento del Contrato por el monto</w:t>
            </w:r>
            <w:r w:rsidR="00841EC6" w:rsidRPr="00576AF8">
              <w:t xml:space="preserve"> y en la moneda</w:t>
            </w:r>
            <w:r w:rsidRPr="00576AF8">
              <w:t xml:space="preserve"> </w:t>
            </w:r>
            <w:r w:rsidRPr="00576AF8">
              <w:rPr>
                <w:b/>
              </w:rPr>
              <w:t>especificado</w:t>
            </w:r>
            <w:r w:rsidR="00841EC6" w:rsidRPr="00576AF8">
              <w:rPr>
                <w:b/>
              </w:rPr>
              <w:t>s</w:t>
            </w:r>
            <w:r w:rsidRPr="00576AF8">
              <w:rPr>
                <w:b/>
              </w:rPr>
              <w:t xml:space="preserve"> en las CEC</w:t>
            </w:r>
            <w:r w:rsidRPr="00576AF8">
              <w:t>.</w:t>
            </w:r>
          </w:p>
          <w:p w14:paraId="69D465E9" w14:textId="77777777" w:rsidR="00A20832" w:rsidRPr="00576AF8" w:rsidRDefault="00A20832" w:rsidP="00651050">
            <w:pPr>
              <w:keepNext/>
              <w:keepLines/>
              <w:spacing w:before="240" w:after="200"/>
              <w:ind w:left="1170" w:right="-19" w:hanging="630"/>
              <w:outlineLvl w:val="4"/>
            </w:pPr>
            <w:r w:rsidRPr="00576AF8">
              <w:t>13.3.2</w:t>
            </w:r>
            <w:r w:rsidRPr="00576AF8">
              <w:tab/>
              <w:t xml:space="preserve">La garantía se otorgará en la forma de garantía bancaria </w:t>
            </w:r>
            <w:r w:rsidR="00841EC6" w:rsidRPr="00576AF8">
              <w:t xml:space="preserve">según el modelo </w:t>
            </w:r>
            <w:r w:rsidRPr="00576AF8">
              <w:t>previst</w:t>
            </w:r>
            <w:r w:rsidR="00841EC6" w:rsidRPr="00576AF8">
              <w:t>o</w:t>
            </w:r>
            <w:r w:rsidRPr="00576AF8">
              <w:t xml:space="preserve"> en la sección de </w:t>
            </w:r>
            <w:r w:rsidR="00D86C23" w:rsidRPr="00576AF8">
              <w:t>f</w:t>
            </w:r>
            <w:r w:rsidRPr="00576AF8">
              <w:t xml:space="preserve">ormularios </w:t>
            </w:r>
            <w:r w:rsidR="00EB7BE3" w:rsidRPr="00576AF8">
              <w:t>de</w:t>
            </w:r>
            <w:r w:rsidR="00CB706D" w:rsidRPr="00576AF8">
              <w:t>l</w:t>
            </w:r>
            <w:r w:rsidR="00EB7BE3" w:rsidRPr="00576AF8">
              <w:t xml:space="preserve"> </w:t>
            </w:r>
            <w:r w:rsidR="00CB706D" w:rsidRPr="00576AF8">
              <w:t>C</w:t>
            </w:r>
            <w:r w:rsidR="00EB7BE3" w:rsidRPr="00576AF8">
              <w:t xml:space="preserve">ontrato </w:t>
            </w:r>
            <w:r w:rsidRPr="00576AF8">
              <w:t>de</w:t>
            </w:r>
            <w:r w:rsidR="00A83F3E" w:rsidRPr="00576AF8">
              <w:t xml:space="preserve">l </w:t>
            </w:r>
            <w:r w:rsidR="00807C34" w:rsidRPr="00576AF8">
              <w:t>documento de licitación</w:t>
            </w:r>
            <w:r w:rsidR="00A83F3E" w:rsidRPr="00576AF8">
              <w:t xml:space="preserve"> </w:t>
            </w:r>
            <w:r w:rsidRPr="00576AF8">
              <w:t>o en otra forma que el Comprador considere aceptable.</w:t>
            </w:r>
          </w:p>
          <w:p w14:paraId="14569C73" w14:textId="77777777" w:rsidR="00A20832" w:rsidRPr="00576AF8" w:rsidRDefault="00A20832" w:rsidP="00651050">
            <w:pPr>
              <w:keepNext/>
              <w:keepLines/>
              <w:spacing w:before="240" w:after="200"/>
              <w:ind w:left="1170" w:right="-19" w:hanging="630"/>
              <w:outlineLvl w:val="4"/>
            </w:pPr>
            <w:r w:rsidRPr="00576AF8">
              <w:t>13.3.3</w:t>
            </w:r>
            <w:r w:rsidRPr="00576AF8">
              <w:tab/>
              <w:t xml:space="preserve">La garantía se anulará automáticamente una vez cumplidas todas las obligaciones del Proveedor derivadas del Contrato, incluidas, entre otras, las obligaciones </w:t>
            </w:r>
            <w:r w:rsidR="00841EC6" w:rsidRPr="00576AF8">
              <w:t xml:space="preserve">que deben cumplirse </w:t>
            </w:r>
            <w:r w:rsidRPr="00576AF8">
              <w:t xml:space="preserve">durante el período de garantía y las extensiones de dicho período. La garantía </w:t>
            </w:r>
            <w:r w:rsidR="00841EC6" w:rsidRPr="00576AF8">
              <w:t xml:space="preserve">se devolverá </w:t>
            </w:r>
            <w:r w:rsidRPr="00576AF8">
              <w:t xml:space="preserve">al Proveedor a más tardar veintiocho (28) días </w:t>
            </w:r>
            <w:r w:rsidR="00841EC6" w:rsidRPr="00576AF8">
              <w:t xml:space="preserve">después </w:t>
            </w:r>
            <w:r w:rsidRPr="00576AF8">
              <w:t>de su vencimiento.</w:t>
            </w:r>
          </w:p>
          <w:p w14:paraId="59BCAFEF" w14:textId="77777777" w:rsidR="00A20832" w:rsidRPr="00576AF8" w:rsidRDefault="00A20832" w:rsidP="00651050">
            <w:pPr>
              <w:keepNext/>
              <w:keepLines/>
              <w:spacing w:before="240" w:after="200"/>
              <w:ind w:left="1181" w:right="-19" w:hanging="634"/>
              <w:outlineLvl w:val="4"/>
            </w:pPr>
            <w:r w:rsidRPr="00576AF8">
              <w:t>13.3.4</w:t>
            </w:r>
            <w:r w:rsidRPr="00576AF8">
              <w:tab/>
              <w:t xml:space="preserve">Cuando tenga lugar la aceptación operativa de todo el Sistema, la garantía se reducirá al monto </w:t>
            </w:r>
            <w:r w:rsidRPr="00576AF8">
              <w:rPr>
                <w:b/>
              </w:rPr>
              <w:t>especificado en las CEC</w:t>
            </w:r>
            <w:r w:rsidRPr="00576AF8">
              <w:t>, en la fecha de dicha aceptación operativa, de manera que la garantía reducida cubrirá solo las demás obligaciones del Proveedor relacionadas con la garantía de los bienes.</w:t>
            </w:r>
          </w:p>
        </w:tc>
      </w:tr>
      <w:tr w:rsidR="00A20832" w:rsidRPr="00576AF8" w14:paraId="0BCE679C" w14:textId="77777777" w:rsidTr="00651050">
        <w:tc>
          <w:tcPr>
            <w:tcW w:w="2552" w:type="dxa"/>
          </w:tcPr>
          <w:p w14:paraId="07F299BC" w14:textId="77777777" w:rsidR="00A20832" w:rsidRPr="00576AF8" w:rsidRDefault="00A20832" w:rsidP="00A35BE3">
            <w:pPr>
              <w:pStyle w:val="Head62"/>
            </w:pPr>
            <w:bookmarkStart w:id="1534" w:name="_Toc277233333"/>
            <w:bookmarkStart w:id="1535" w:name="_Toc488959032"/>
            <w:r w:rsidRPr="00576AF8">
              <w:t>14.</w:t>
            </w:r>
            <w:r w:rsidRPr="00576AF8">
              <w:tab/>
              <w:t>Impuestos y derechos</w:t>
            </w:r>
            <w:bookmarkEnd w:id="1534"/>
            <w:bookmarkEnd w:id="1535"/>
          </w:p>
        </w:tc>
        <w:tc>
          <w:tcPr>
            <w:tcW w:w="6804" w:type="dxa"/>
          </w:tcPr>
          <w:p w14:paraId="010083D6" w14:textId="77777777" w:rsidR="00A20832" w:rsidRPr="00576AF8" w:rsidRDefault="00A20832" w:rsidP="00651050">
            <w:pPr>
              <w:spacing w:after="200"/>
              <w:ind w:left="547" w:right="-19" w:hanging="540"/>
              <w:rPr>
                <w:spacing w:val="-2"/>
              </w:rPr>
            </w:pPr>
            <w:r w:rsidRPr="00576AF8">
              <w:rPr>
                <w:spacing w:val="-2"/>
              </w:rPr>
              <w:t>14.1</w:t>
            </w:r>
            <w:r w:rsidRPr="00576AF8">
              <w:rPr>
                <w:spacing w:val="-2"/>
              </w:rPr>
              <w:tab/>
              <w:t xml:space="preserve">En el caso de bienes y servicios suministrados desde fuera del </w:t>
            </w:r>
            <w:r w:rsidR="008D2F5B" w:rsidRPr="00576AF8">
              <w:rPr>
                <w:spacing w:val="-2"/>
              </w:rPr>
              <w:t>p</w:t>
            </w:r>
            <w:r w:rsidRPr="00576AF8">
              <w:rPr>
                <w:spacing w:val="-2"/>
              </w:rPr>
              <w:t xml:space="preserve">aís del Comprador, el Proveedor será totalmente responsable por todos los impuestos, timbres, comisiones por licencias y otros cargos similares impuestos fuera del </w:t>
            </w:r>
            <w:r w:rsidR="008D2F5B" w:rsidRPr="00576AF8">
              <w:rPr>
                <w:spacing w:val="-2"/>
              </w:rPr>
              <w:t>p</w:t>
            </w:r>
            <w:r w:rsidRPr="00576AF8">
              <w:rPr>
                <w:spacing w:val="-2"/>
              </w:rPr>
              <w:t xml:space="preserve">aís del Comprador. Todos los derechos, como los aduaneros y de importación, y los impuestos y otros gravámenes, pagaderos en el país del Comprador por el suministro de bienes y servicios desde fuera del país del </w:t>
            </w:r>
            <w:r w:rsidR="00841EC6" w:rsidRPr="00576AF8">
              <w:rPr>
                <w:spacing w:val="-2"/>
              </w:rPr>
              <w:t xml:space="preserve">Comprador </w:t>
            </w:r>
            <w:r w:rsidRPr="00576AF8">
              <w:rPr>
                <w:spacing w:val="-2"/>
              </w:rPr>
              <w:t>correrán por cuenta del Comprador, a menos que dichos derechos o impuestos hayan pasado a forma</w:t>
            </w:r>
            <w:r w:rsidR="00B26E1B" w:rsidRPr="00576AF8">
              <w:rPr>
                <w:spacing w:val="-2"/>
              </w:rPr>
              <w:t>r</w:t>
            </w:r>
            <w:r w:rsidRPr="00576AF8">
              <w:rPr>
                <w:spacing w:val="-2"/>
              </w:rPr>
              <w:t xml:space="preserve"> parte del precio del Contrato en el artículo 2 del Convenio </w:t>
            </w:r>
            <w:r w:rsidR="00B26E1B" w:rsidRPr="00576AF8">
              <w:rPr>
                <w:spacing w:val="-2"/>
              </w:rPr>
              <w:t xml:space="preserve">Contractual </w:t>
            </w:r>
            <w:r w:rsidRPr="00576AF8">
              <w:rPr>
                <w:spacing w:val="-2"/>
              </w:rPr>
              <w:t xml:space="preserve">y </w:t>
            </w:r>
            <w:r w:rsidR="00BA738B" w:rsidRPr="00576AF8">
              <w:rPr>
                <w:spacing w:val="-2"/>
              </w:rPr>
              <w:t xml:space="preserve">de </w:t>
            </w:r>
            <w:r w:rsidR="00B26E1B" w:rsidRPr="00576AF8">
              <w:rPr>
                <w:spacing w:val="-2"/>
              </w:rPr>
              <w:t xml:space="preserve">la lista </w:t>
            </w:r>
            <w:r w:rsidRPr="00576AF8">
              <w:rPr>
                <w:spacing w:val="-2"/>
              </w:rPr>
              <w:t>de precios a</w:t>
            </w:r>
            <w:r w:rsidR="00BA738B" w:rsidRPr="00576AF8">
              <w:rPr>
                <w:spacing w:val="-2"/>
              </w:rPr>
              <w:t xml:space="preserve"> </w:t>
            </w:r>
            <w:r w:rsidRPr="00576AF8">
              <w:rPr>
                <w:spacing w:val="-2"/>
              </w:rPr>
              <w:t>l</w:t>
            </w:r>
            <w:r w:rsidR="00BA738B" w:rsidRPr="00576AF8">
              <w:rPr>
                <w:spacing w:val="-2"/>
              </w:rPr>
              <w:t>a</w:t>
            </w:r>
            <w:r w:rsidRPr="00576AF8">
              <w:rPr>
                <w:spacing w:val="-2"/>
              </w:rPr>
              <w:t xml:space="preserve"> que este remite, en cuyo caso los derechos e impuestos correrán por cuenta del Proveedor.</w:t>
            </w:r>
          </w:p>
        </w:tc>
      </w:tr>
      <w:tr w:rsidR="00A20832" w:rsidRPr="00576AF8" w14:paraId="7428D5D0" w14:textId="77777777" w:rsidTr="00651050">
        <w:tc>
          <w:tcPr>
            <w:tcW w:w="2552" w:type="dxa"/>
          </w:tcPr>
          <w:p w14:paraId="08698E5D" w14:textId="77777777" w:rsidR="00A20832" w:rsidRPr="00576AF8" w:rsidRDefault="00A20832" w:rsidP="00A35BE3">
            <w:pPr>
              <w:spacing w:after="0"/>
              <w:jc w:val="left"/>
            </w:pPr>
          </w:p>
        </w:tc>
        <w:tc>
          <w:tcPr>
            <w:tcW w:w="6804" w:type="dxa"/>
          </w:tcPr>
          <w:p w14:paraId="548737B9" w14:textId="77777777" w:rsidR="00A20832" w:rsidRPr="00576AF8" w:rsidRDefault="00A20832" w:rsidP="00651050">
            <w:pPr>
              <w:keepNext/>
              <w:keepLines/>
              <w:spacing w:before="240" w:after="200"/>
              <w:ind w:left="547" w:right="-19" w:hanging="486"/>
              <w:outlineLvl w:val="4"/>
            </w:pPr>
            <w:r w:rsidRPr="00576AF8">
              <w:t>14.2</w:t>
            </w:r>
            <w:r w:rsidRPr="00576AF8">
              <w:tab/>
              <w:t xml:space="preserve">En el caso de bienes y servicios suministrados </w:t>
            </w:r>
            <w:r w:rsidR="00BA738B" w:rsidRPr="00576AF8">
              <w:t xml:space="preserve">desde el ámbito </w:t>
            </w:r>
            <w:r w:rsidRPr="00576AF8">
              <w:t>local, el Proveedor será totalmente responsable por todos los impuestos, gravámenes, comisiones por licencias y otros cargos similares en que se incurra hasta la entrega de los bienes y servicios contratados al Comprador. La única excepción son los impuestos o derechos, como el impuesto al valor agregado o a las ventas</w:t>
            </w:r>
            <w:r w:rsidR="00BA738B" w:rsidRPr="00576AF8">
              <w:t>,</w:t>
            </w:r>
            <w:r w:rsidRPr="00576AF8">
              <w:t xml:space="preserve"> o el impuesto de timbre </w:t>
            </w:r>
            <w:r w:rsidR="00BA738B" w:rsidRPr="00576AF8">
              <w:t>que se aplique</w:t>
            </w:r>
            <w:r w:rsidRPr="00576AF8">
              <w:t xml:space="preserve">, o que pueden identificarse claramente, sobre las facturas, siempre que se apliquen en el país del Comprador, y solo si dichos impuestos, gravámenes o derechos también están excluidos del precio del Contrato que figura en el artículo 2 del </w:t>
            </w:r>
            <w:r w:rsidR="00682589" w:rsidRPr="00576AF8">
              <w:t>Convenio Contractual</w:t>
            </w:r>
            <w:r w:rsidRPr="00576AF8">
              <w:t xml:space="preserve"> y </w:t>
            </w:r>
            <w:r w:rsidR="00BA738B" w:rsidRPr="00576AF8">
              <w:t xml:space="preserve">en </w:t>
            </w:r>
            <w:r w:rsidR="00B26E1B" w:rsidRPr="00576AF8">
              <w:t xml:space="preserve">la lista </w:t>
            </w:r>
            <w:r w:rsidRPr="00576AF8">
              <w:t>de precios a</w:t>
            </w:r>
            <w:r w:rsidR="00BA738B" w:rsidRPr="00576AF8">
              <w:t xml:space="preserve"> </w:t>
            </w:r>
            <w:r w:rsidRPr="00576AF8">
              <w:t>l</w:t>
            </w:r>
            <w:r w:rsidR="00BA738B" w:rsidRPr="00576AF8">
              <w:t>a</w:t>
            </w:r>
            <w:r w:rsidRPr="00576AF8">
              <w:t xml:space="preserve"> que este remite.</w:t>
            </w:r>
          </w:p>
          <w:p w14:paraId="6271A3A9" w14:textId="77777777" w:rsidR="00A20832" w:rsidRPr="00576AF8" w:rsidRDefault="00A20832" w:rsidP="00651050">
            <w:pPr>
              <w:keepNext/>
              <w:keepLines/>
              <w:spacing w:before="240" w:after="200"/>
              <w:ind w:left="547" w:right="-19" w:hanging="540"/>
              <w:outlineLvl w:val="4"/>
            </w:pPr>
            <w:r w:rsidRPr="00576AF8">
              <w:t>14.3</w:t>
            </w:r>
            <w:r w:rsidRPr="00576AF8">
              <w:tab/>
              <w:t xml:space="preserve">En caso de que el Proveedor tenga derecho a exenciones impositivas, </w:t>
            </w:r>
            <w:r w:rsidR="00BA738B" w:rsidRPr="00576AF8">
              <w:t xml:space="preserve">reducciones, </w:t>
            </w:r>
            <w:r w:rsidRPr="00576AF8">
              <w:t xml:space="preserve">concesiones o privilegios en el país del Comprador, este último arbitrará todos los medios a su alcance para que el Proveedor se beneficie en la mayor medida posible de dichos ahorros tributarios. </w:t>
            </w:r>
          </w:p>
          <w:p w14:paraId="3CA07EAF" w14:textId="77777777" w:rsidR="00A20832" w:rsidRPr="00576AF8" w:rsidRDefault="00A20832" w:rsidP="00651050">
            <w:pPr>
              <w:keepNext/>
              <w:keepLines/>
              <w:spacing w:before="240" w:after="200"/>
              <w:ind w:left="547" w:right="-19" w:hanging="540"/>
              <w:outlineLvl w:val="4"/>
            </w:pPr>
            <w:r w:rsidRPr="00576AF8">
              <w:t>14.4</w:t>
            </w:r>
            <w:r w:rsidRPr="00576AF8">
              <w:tab/>
              <w:t xml:space="preserve">A los fines del Contrato, se acuerda que el precio del Contrato que se especifica en el artículo 2 (Precio del Contrato y condiciones de pago) del Convenio </w:t>
            </w:r>
            <w:r w:rsidR="00BA738B" w:rsidRPr="00576AF8">
              <w:t xml:space="preserve">Contractual </w:t>
            </w:r>
            <w:r w:rsidRPr="00576AF8">
              <w:t xml:space="preserve">se basa en los impuestos, derechos, gravámenes y cargos vigentes veintiocho (28) días antes de la fecha de presentación de la </w:t>
            </w:r>
            <w:r w:rsidR="00BC72E3" w:rsidRPr="00576AF8">
              <w:t>O</w:t>
            </w:r>
            <w:r w:rsidRPr="00576AF8">
              <w:t xml:space="preserve">ferta en el país del Comprador (también denominado “Impuesto” en </w:t>
            </w:r>
            <w:r w:rsidR="00BA738B" w:rsidRPr="00576AF8">
              <w:t>est</w:t>
            </w:r>
            <w:r w:rsidRPr="00576AF8">
              <w:t xml:space="preserve">a cláusula 14.4 de las CGC). Si las tasas impositivas aumentan o disminuyen, si se introducen nuevos impuestos o se elimina un impuesto existente, o si durante la ejecución del Contrato se produce algún cambio en la interpretación o la aplicación de un impuesto que se haya cobrado o haya de cobrarse al Proveedor, a </w:t>
            </w:r>
            <w:r w:rsidR="004874AA" w:rsidRPr="00576AF8">
              <w:t>su</w:t>
            </w:r>
            <w:r w:rsidRPr="00576AF8">
              <w:t xml:space="preserve">s </w:t>
            </w:r>
            <w:r w:rsidR="00BA738B" w:rsidRPr="00576AF8">
              <w:t>s</w:t>
            </w:r>
            <w:r w:rsidRPr="00576AF8">
              <w:t>ubcontratistas o a sus empleados en relación con el cumplimiento del Contrato, el precio del Contrato se ajustará de manera equitativa para tener plenamente en cuenta dicho cambio mediante una adición o reducción con respecto al precio del Contrato, según sea el caso.</w:t>
            </w:r>
          </w:p>
        </w:tc>
      </w:tr>
    </w:tbl>
    <w:p w14:paraId="5D9F8F63" w14:textId="77777777" w:rsidR="00A20832" w:rsidRPr="00576AF8" w:rsidRDefault="00A20832" w:rsidP="00C51F82">
      <w:pPr>
        <w:pStyle w:val="Head61"/>
        <w:keepNext w:val="0"/>
        <w:rPr>
          <w:rFonts w:ascii="Times New Roman" w:hAnsi="Times New Roman"/>
        </w:rPr>
      </w:pPr>
      <w:bookmarkStart w:id="1536" w:name="_Toc277233334"/>
      <w:bookmarkStart w:id="1537" w:name="_Toc488959033"/>
      <w:r w:rsidRPr="00576AF8">
        <w:rPr>
          <w:rFonts w:ascii="Times New Roman" w:hAnsi="Times New Roman"/>
        </w:rPr>
        <w:t xml:space="preserve">D. </w:t>
      </w:r>
      <w:r w:rsidR="00157A4B" w:rsidRPr="00576AF8">
        <w:rPr>
          <w:rFonts w:ascii="Times New Roman" w:hAnsi="Times New Roman"/>
        </w:rPr>
        <w:t xml:space="preserve"> </w:t>
      </w:r>
      <w:r w:rsidRPr="00576AF8">
        <w:rPr>
          <w:rFonts w:ascii="Times New Roman" w:hAnsi="Times New Roman"/>
        </w:rPr>
        <w:t>Propiedad intelectual</w:t>
      </w:r>
      <w:bookmarkEnd w:id="1536"/>
      <w:bookmarkEnd w:id="1537"/>
    </w:p>
    <w:tbl>
      <w:tblPr>
        <w:tblW w:w="0" w:type="auto"/>
        <w:tblLayout w:type="fixed"/>
        <w:tblLook w:val="0000" w:firstRow="0" w:lastRow="0" w:firstColumn="0" w:lastColumn="0" w:noHBand="0" w:noVBand="0"/>
      </w:tblPr>
      <w:tblGrid>
        <w:gridCol w:w="2552"/>
        <w:gridCol w:w="6804"/>
      </w:tblGrid>
      <w:tr w:rsidR="00A20832" w:rsidRPr="00576AF8" w14:paraId="55CBE64E" w14:textId="77777777" w:rsidTr="00C51F82">
        <w:tc>
          <w:tcPr>
            <w:tcW w:w="2552" w:type="dxa"/>
          </w:tcPr>
          <w:p w14:paraId="4D4CA87F" w14:textId="77777777" w:rsidR="00A20832" w:rsidRPr="00576AF8" w:rsidRDefault="00A20832" w:rsidP="00C51F82">
            <w:pPr>
              <w:pStyle w:val="Head62"/>
              <w:ind w:right="183"/>
            </w:pPr>
            <w:bookmarkStart w:id="1538" w:name="_Toc277233335"/>
            <w:bookmarkStart w:id="1539" w:name="_Toc488959034"/>
            <w:r w:rsidRPr="00576AF8">
              <w:t>15.</w:t>
            </w:r>
            <w:r w:rsidRPr="00576AF8">
              <w:tab/>
              <w:t>Derechos de</w:t>
            </w:r>
            <w:r w:rsidR="00C51F82" w:rsidRPr="00576AF8">
              <w:t> </w:t>
            </w:r>
            <w:r w:rsidRPr="00576AF8">
              <w:t>autor</w:t>
            </w:r>
            <w:bookmarkEnd w:id="1538"/>
            <w:bookmarkEnd w:id="1539"/>
          </w:p>
        </w:tc>
        <w:tc>
          <w:tcPr>
            <w:tcW w:w="6804" w:type="dxa"/>
          </w:tcPr>
          <w:p w14:paraId="10E900AF" w14:textId="77777777" w:rsidR="00A20832" w:rsidRPr="00576AF8" w:rsidRDefault="00A20832" w:rsidP="00C51F82">
            <w:pPr>
              <w:keepNext/>
              <w:keepLines/>
              <w:spacing w:before="240" w:after="200"/>
              <w:ind w:left="547" w:right="-19" w:hanging="547"/>
              <w:outlineLvl w:val="4"/>
            </w:pPr>
            <w:r w:rsidRPr="00576AF8">
              <w:t>15.1</w:t>
            </w:r>
            <w:r w:rsidRPr="00576AF8">
              <w:tab/>
              <w:t xml:space="preserve">Los derechos de propiedad intelectual sobre todo el </w:t>
            </w:r>
            <w:r w:rsidR="00F772EC" w:rsidRPr="00576AF8">
              <w:t>software</w:t>
            </w:r>
            <w:r w:rsidRPr="00576AF8">
              <w:t xml:space="preserve"> estándar y los materiales estándar seguirán perteneciendo al titular de esos derechos.</w:t>
            </w:r>
          </w:p>
        </w:tc>
      </w:tr>
      <w:tr w:rsidR="00A20832" w:rsidRPr="00576AF8" w14:paraId="051E7077" w14:textId="77777777" w:rsidTr="00C51F82">
        <w:tc>
          <w:tcPr>
            <w:tcW w:w="2552" w:type="dxa"/>
          </w:tcPr>
          <w:p w14:paraId="0A4F290A" w14:textId="77777777" w:rsidR="00A20832" w:rsidRPr="00576AF8" w:rsidRDefault="00A20832" w:rsidP="00A35BE3">
            <w:pPr>
              <w:spacing w:after="0"/>
              <w:jc w:val="left"/>
            </w:pPr>
          </w:p>
        </w:tc>
        <w:tc>
          <w:tcPr>
            <w:tcW w:w="6804" w:type="dxa"/>
          </w:tcPr>
          <w:p w14:paraId="19E60AEC" w14:textId="77777777" w:rsidR="00A20832" w:rsidRPr="00576AF8" w:rsidRDefault="00A20832" w:rsidP="00C51F82">
            <w:pPr>
              <w:keepNext/>
              <w:keepLines/>
              <w:spacing w:before="240" w:after="200"/>
              <w:ind w:left="547" w:right="-19" w:hanging="547"/>
              <w:outlineLvl w:val="4"/>
            </w:pPr>
            <w:r w:rsidRPr="00576AF8">
              <w:t>15.2</w:t>
            </w:r>
            <w:r w:rsidRPr="00576AF8">
              <w:tab/>
              <w:t xml:space="preserve">El Comprador acuerda restringir el uso, </w:t>
            </w:r>
            <w:r w:rsidR="00C77CF9" w:rsidRPr="00576AF8">
              <w:t xml:space="preserve">la </w:t>
            </w:r>
            <w:r w:rsidRPr="00576AF8">
              <w:t xml:space="preserve">copia y la duplicación del </w:t>
            </w:r>
            <w:r w:rsidR="00F772EC" w:rsidRPr="00576AF8">
              <w:t>software</w:t>
            </w:r>
            <w:r w:rsidRPr="00576AF8">
              <w:t xml:space="preserve"> estándar y de los materiales </w:t>
            </w:r>
            <w:r w:rsidR="00C51F82" w:rsidRPr="00576AF8">
              <w:br/>
            </w:r>
            <w:r w:rsidRPr="00576AF8">
              <w:t xml:space="preserve">estándar en virtud de dispuesto en la cláusula 16 de las </w:t>
            </w:r>
            <w:r w:rsidR="00C51F82" w:rsidRPr="00576AF8">
              <w:br/>
            </w:r>
            <w:r w:rsidRPr="00576AF8">
              <w:t>CGC, salvo en los casos en que deba realizar copias adicionales de los materiales estándar para utilizarlos dentro del alcance del proyecto del que forma parte el Sistema cuando el Proveedor no entregue las copias de los materiales estándar dentro de los treinta (30) días posteriores a la recepción del pedido correspondiente.</w:t>
            </w:r>
          </w:p>
          <w:p w14:paraId="293DD29B" w14:textId="77777777" w:rsidR="00A20832" w:rsidRPr="00576AF8" w:rsidRDefault="00A20832" w:rsidP="00C51F82">
            <w:pPr>
              <w:keepNext/>
              <w:keepLines/>
              <w:spacing w:before="240" w:after="200"/>
              <w:ind w:left="547" w:right="-19" w:hanging="547"/>
              <w:outlineLvl w:val="4"/>
            </w:pPr>
            <w:r w:rsidRPr="00576AF8">
              <w:t>15.3</w:t>
            </w:r>
            <w:r w:rsidRPr="00576AF8">
              <w:tab/>
              <w:t xml:space="preserve">Los derechos contractuales del Comprador de utilizar el </w:t>
            </w:r>
            <w:r w:rsidR="00F772EC" w:rsidRPr="00576AF8">
              <w:t>software</w:t>
            </w:r>
            <w:r w:rsidRPr="00576AF8">
              <w:rPr>
                <w:i/>
              </w:rPr>
              <w:t xml:space="preserve"> </w:t>
            </w:r>
            <w:r w:rsidRPr="00576AF8">
              <w:t xml:space="preserve">estándar o elementos de dicho </w:t>
            </w:r>
            <w:r w:rsidR="00F772EC" w:rsidRPr="00576AF8">
              <w:t>software</w:t>
            </w:r>
            <w:r w:rsidRPr="00576AF8">
              <w:rPr>
                <w:i/>
              </w:rPr>
              <w:t xml:space="preserve"> </w:t>
            </w:r>
            <w:r w:rsidRPr="00576AF8">
              <w:t xml:space="preserve">no podrán ser objeto de cesión, licencia ni transferencia voluntaria, salvo en virtud de un acuerdo de licencia pertinente o a menos que, </w:t>
            </w:r>
            <w:r w:rsidRPr="00576AF8">
              <w:rPr>
                <w:b/>
              </w:rPr>
              <w:t>según se especifique en las CEC</w:t>
            </w:r>
            <w:r w:rsidRPr="00576AF8">
              <w:t xml:space="preserve">, dichos actos se realicen a una organización sucesora </w:t>
            </w:r>
            <w:r w:rsidR="00C77CF9" w:rsidRPr="00576AF8">
              <w:t xml:space="preserve">constituida de manera legal </w:t>
            </w:r>
            <w:r w:rsidRPr="00576AF8">
              <w:t>(por ejemplo, la reorganización de una entidad pública autorizada formalmente por el Gobierno o a través de una fusión o adquisición de una entidad privada).</w:t>
            </w:r>
          </w:p>
          <w:p w14:paraId="43C55A1A" w14:textId="77777777" w:rsidR="00A20832" w:rsidRPr="00576AF8" w:rsidRDefault="00A20832" w:rsidP="00C51F82">
            <w:pPr>
              <w:keepNext/>
              <w:keepLines/>
              <w:spacing w:before="240" w:after="200"/>
              <w:ind w:left="547" w:right="-19" w:hanging="547"/>
              <w:outlineLvl w:val="4"/>
            </w:pPr>
            <w:r w:rsidRPr="00576AF8">
              <w:t xml:space="preserve">15.4 </w:t>
            </w:r>
            <w:r w:rsidRPr="00576AF8">
              <w:rPr>
                <w:spacing w:val="-2"/>
              </w:rPr>
              <w:tab/>
            </w:r>
            <w:r w:rsidRPr="00576AF8">
              <w:rPr>
                <w:b/>
                <w:spacing w:val="-2"/>
              </w:rPr>
              <w:t>A menos que en las CEC</w:t>
            </w:r>
            <w:r w:rsidR="00997CAB" w:rsidRPr="00576AF8">
              <w:rPr>
                <w:b/>
                <w:spacing w:val="-2"/>
              </w:rPr>
              <w:t xml:space="preserve"> se especifique otra cosa</w:t>
            </w:r>
            <w:r w:rsidRPr="00576AF8">
              <w:rPr>
                <w:spacing w:val="-2"/>
              </w:rPr>
              <w:t xml:space="preserve">, la titularidad de los derechos de propiedad intelectual sobre todo el </w:t>
            </w:r>
            <w:r w:rsidR="00F772EC" w:rsidRPr="00576AF8">
              <w:rPr>
                <w:spacing w:val="-2"/>
              </w:rPr>
              <w:t>software</w:t>
            </w:r>
            <w:r w:rsidRPr="00576AF8">
              <w:rPr>
                <w:i/>
                <w:spacing w:val="-2"/>
              </w:rPr>
              <w:t xml:space="preserve"> </w:t>
            </w:r>
            <w:r w:rsidRPr="00576AF8">
              <w:rPr>
                <w:spacing w:val="-2"/>
              </w:rPr>
              <w:t xml:space="preserve">personalizado y los materiales personalizados que se especifican en los apéndices 4 y 5 del Convenio </w:t>
            </w:r>
            <w:r w:rsidR="00C77CF9" w:rsidRPr="00576AF8">
              <w:rPr>
                <w:spacing w:val="-2"/>
              </w:rPr>
              <w:t xml:space="preserve">Contractual </w:t>
            </w:r>
            <w:r w:rsidRPr="00576AF8">
              <w:rPr>
                <w:spacing w:val="-2"/>
              </w:rPr>
              <w:t xml:space="preserve">(si los hubiera), en la fecha de este Contrato o en el momento de la creación de tales derechos (si fuera posterior a esa fecha), corresponderá al Comprador. El Proveedor realizará o ejecutará, o arbitrará los medios para que se realice o ejecute, entre otras cosas, cada acto o documento que el Comprador pueda considerar necesario o conveniente para perfeccionar su título o interés en esos derechos. Respecto del </w:t>
            </w:r>
            <w:r w:rsidR="00F772EC" w:rsidRPr="00576AF8">
              <w:rPr>
                <w:spacing w:val="-2"/>
              </w:rPr>
              <w:t>software</w:t>
            </w:r>
            <w:r w:rsidRPr="00576AF8">
              <w:rPr>
                <w:spacing w:val="-2"/>
              </w:rPr>
              <w:t xml:space="preserve"> personalizado o los materiales personalizados, el Proveedor garantizará que el titular de un derecho moral sobre cualquier de ellos no lo reivindique y se asegurará, si así se lo solicitara el Comprador y cuando ello estuviera permitido por la ley aplicable, de que el titular de ese derecho moral renuncie a él. </w:t>
            </w:r>
          </w:p>
        </w:tc>
      </w:tr>
      <w:tr w:rsidR="00A20832" w:rsidRPr="00576AF8" w14:paraId="5F2A07F2" w14:textId="77777777" w:rsidTr="00C51F82">
        <w:trPr>
          <w:cantSplit/>
        </w:trPr>
        <w:tc>
          <w:tcPr>
            <w:tcW w:w="2552" w:type="dxa"/>
          </w:tcPr>
          <w:p w14:paraId="7BCD309C" w14:textId="77777777" w:rsidR="00A20832" w:rsidRPr="00576AF8" w:rsidRDefault="00A20832" w:rsidP="00A35BE3">
            <w:pPr>
              <w:spacing w:after="0"/>
              <w:jc w:val="left"/>
            </w:pPr>
          </w:p>
        </w:tc>
        <w:tc>
          <w:tcPr>
            <w:tcW w:w="6804" w:type="dxa"/>
          </w:tcPr>
          <w:p w14:paraId="09CED766" w14:textId="77777777" w:rsidR="00A20832" w:rsidRPr="00576AF8" w:rsidRDefault="00A20832" w:rsidP="00C51F82">
            <w:pPr>
              <w:keepNext/>
              <w:keepLines/>
              <w:spacing w:before="240" w:after="200"/>
              <w:ind w:left="540" w:right="-19" w:hanging="540"/>
              <w:outlineLvl w:val="4"/>
            </w:pPr>
            <w:r w:rsidRPr="00576AF8">
              <w:t>15.5</w:t>
            </w:r>
            <w:r w:rsidRPr="00576AF8">
              <w:tab/>
            </w:r>
            <w:r w:rsidRPr="00576AF8">
              <w:rPr>
                <w:b/>
              </w:rPr>
              <w:t>A menos que en las CEC</w:t>
            </w:r>
            <w:r w:rsidR="00997CAB" w:rsidRPr="00576AF8">
              <w:rPr>
                <w:b/>
              </w:rPr>
              <w:t xml:space="preserve"> se especifique otra cosa</w:t>
            </w:r>
            <w:r w:rsidRPr="00576AF8">
              <w:t>, NO se requerirá</w:t>
            </w:r>
            <w:r w:rsidR="00C77CF9" w:rsidRPr="00576AF8">
              <w:t xml:space="preserve"> un</w:t>
            </w:r>
            <w:r w:rsidRPr="00576AF8">
              <w:t xml:space="preserve"> acuerdo de depósito.</w:t>
            </w:r>
          </w:p>
        </w:tc>
      </w:tr>
      <w:tr w:rsidR="00A20832" w:rsidRPr="00576AF8" w14:paraId="2B78C715" w14:textId="77777777" w:rsidTr="00C51F82">
        <w:trPr>
          <w:cantSplit/>
        </w:trPr>
        <w:tc>
          <w:tcPr>
            <w:tcW w:w="2552" w:type="dxa"/>
          </w:tcPr>
          <w:p w14:paraId="6A7FA8FA" w14:textId="77777777" w:rsidR="00A20832" w:rsidRPr="00576AF8" w:rsidRDefault="00A20832" w:rsidP="00A35BE3">
            <w:pPr>
              <w:pStyle w:val="Head62"/>
            </w:pPr>
            <w:bookmarkStart w:id="1540" w:name="_Toc277233336"/>
            <w:bookmarkStart w:id="1541" w:name="_Toc488959035"/>
            <w:r w:rsidRPr="00576AF8">
              <w:lastRenderedPageBreak/>
              <w:t>16.</w:t>
            </w:r>
            <w:r w:rsidRPr="00576AF8">
              <w:tab/>
              <w:t xml:space="preserve">Acuerdos de licencia de </w:t>
            </w:r>
            <w:r w:rsidR="00F772EC" w:rsidRPr="00576AF8">
              <w:t>software</w:t>
            </w:r>
            <w:bookmarkEnd w:id="1540"/>
            <w:bookmarkEnd w:id="1541"/>
          </w:p>
        </w:tc>
        <w:tc>
          <w:tcPr>
            <w:tcW w:w="6804" w:type="dxa"/>
          </w:tcPr>
          <w:p w14:paraId="3E826566" w14:textId="77777777" w:rsidR="00A20832" w:rsidRPr="00576AF8" w:rsidRDefault="00A20832" w:rsidP="00C51F82">
            <w:pPr>
              <w:keepNext/>
              <w:keepLines/>
              <w:spacing w:before="240" w:after="200"/>
              <w:ind w:left="540" w:right="-19" w:hanging="540"/>
              <w:outlineLvl w:val="4"/>
            </w:pPr>
            <w:r w:rsidRPr="00576AF8">
              <w:t>16.1</w:t>
            </w:r>
            <w:r w:rsidRPr="00576AF8">
              <w:tab/>
              <w:t xml:space="preserve">Excepto en la medida en que los derechos de propiedad intelectual sobre el </w:t>
            </w:r>
            <w:r w:rsidR="00F772EC" w:rsidRPr="00576AF8">
              <w:t>software</w:t>
            </w:r>
            <w:r w:rsidRPr="00576AF8">
              <w:rPr>
                <w:i/>
              </w:rPr>
              <w:t xml:space="preserve"> </w:t>
            </w:r>
            <w:r w:rsidRPr="00576AF8">
              <w:t xml:space="preserve">correspondan al Comprador, el Proveedor concede por el presente a este último una licencia para acceder y utilizar el </w:t>
            </w:r>
            <w:r w:rsidR="00F772EC" w:rsidRPr="00576AF8">
              <w:t>software</w:t>
            </w:r>
            <w:r w:rsidRPr="00576AF8">
              <w:t>, incluidas todas las invenciones, diseños y marcas que lo integran.</w:t>
            </w:r>
          </w:p>
        </w:tc>
      </w:tr>
      <w:tr w:rsidR="00A20832" w:rsidRPr="00576AF8" w14:paraId="5F2A7E95" w14:textId="77777777" w:rsidTr="00C51F82">
        <w:tc>
          <w:tcPr>
            <w:tcW w:w="2552" w:type="dxa"/>
          </w:tcPr>
          <w:p w14:paraId="537A3FFA" w14:textId="77777777" w:rsidR="00A20832" w:rsidRPr="00576AF8" w:rsidRDefault="00A20832" w:rsidP="008F4C93">
            <w:pPr>
              <w:pageBreakBefore/>
              <w:spacing w:after="0"/>
              <w:jc w:val="left"/>
            </w:pPr>
          </w:p>
        </w:tc>
        <w:tc>
          <w:tcPr>
            <w:tcW w:w="6804" w:type="dxa"/>
          </w:tcPr>
          <w:p w14:paraId="13F54160" w14:textId="77777777" w:rsidR="00A20832" w:rsidRPr="00576AF8" w:rsidRDefault="00A20832" w:rsidP="008F4C93">
            <w:pPr>
              <w:keepNext/>
              <w:keepLines/>
              <w:pageBreakBefore/>
              <w:spacing w:before="240" w:after="200"/>
              <w:ind w:left="539" w:right="-17" w:hanging="539"/>
              <w:outlineLvl w:val="4"/>
            </w:pPr>
            <w:r w:rsidRPr="00576AF8">
              <w:tab/>
              <w:t xml:space="preserve">Dicha licencia para acceder y utilizar el </w:t>
            </w:r>
            <w:r w:rsidR="00F772EC" w:rsidRPr="00576AF8">
              <w:t>software</w:t>
            </w:r>
            <w:r w:rsidRPr="00576AF8">
              <w:t xml:space="preserve">: </w:t>
            </w:r>
          </w:p>
          <w:p w14:paraId="42D9B466" w14:textId="77777777" w:rsidR="00A20832" w:rsidRPr="00576AF8" w:rsidRDefault="008F4C93" w:rsidP="008F4C93">
            <w:pPr>
              <w:pageBreakBefore/>
              <w:spacing w:after="200"/>
              <w:ind w:left="1080" w:right="-19" w:hanging="540"/>
              <w:rPr>
                <w:lang w:val="pt-BR"/>
              </w:rPr>
            </w:pPr>
            <w:r w:rsidRPr="00576AF8">
              <w:rPr>
                <w:lang w:val="pt-BR"/>
              </w:rPr>
              <w:t>(</w:t>
            </w:r>
            <w:r w:rsidR="00A20832" w:rsidRPr="00576AF8">
              <w:rPr>
                <w:lang w:val="pt-BR"/>
              </w:rPr>
              <w:t>a)</w:t>
            </w:r>
            <w:r w:rsidR="00A20832" w:rsidRPr="00576AF8">
              <w:rPr>
                <w:lang w:val="pt-BR"/>
              </w:rPr>
              <w:tab/>
              <w:t>deberá:</w:t>
            </w:r>
          </w:p>
          <w:p w14:paraId="34EA938F" w14:textId="77777777" w:rsidR="00A20832" w:rsidRPr="00576AF8" w:rsidRDefault="008F4C93" w:rsidP="008F4C93">
            <w:pPr>
              <w:pageBreakBefore/>
              <w:spacing w:after="200"/>
              <w:ind w:left="1620" w:right="-19" w:hanging="540"/>
              <w:rPr>
                <w:lang w:val="pt-BR"/>
              </w:rPr>
            </w:pPr>
            <w:r w:rsidRPr="00576AF8">
              <w:rPr>
                <w:lang w:val="pt-BR"/>
              </w:rPr>
              <w:t>(</w:t>
            </w:r>
            <w:r w:rsidR="00A20832" w:rsidRPr="00576AF8">
              <w:rPr>
                <w:lang w:val="pt-BR"/>
              </w:rPr>
              <w:t>i)</w:t>
            </w:r>
            <w:r w:rsidR="00A20832" w:rsidRPr="00576AF8">
              <w:rPr>
                <w:lang w:val="pt-BR"/>
              </w:rPr>
              <w:tab/>
              <w:t>ser no exclusiva;</w:t>
            </w:r>
          </w:p>
          <w:p w14:paraId="262B9B02" w14:textId="77777777" w:rsidR="00A20832" w:rsidRPr="00576AF8" w:rsidRDefault="008F4C93" w:rsidP="008F4C93">
            <w:pPr>
              <w:keepNext/>
              <w:keepLines/>
              <w:pageBreakBefore/>
              <w:spacing w:before="240" w:after="200"/>
              <w:ind w:left="1620" w:right="-19" w:hanging="540"/>
              <w:outlineLvl w:val="4"/>
            </w:pPr>
            <w:r w:rsidRPr="00576AF8">
              <w:t>(</w:t>
            </w:r>
            <w:r w:rsidR="00A20832" w:rsidRPr="00576AF8">
              <w:t>ii)</w:t>
            </w:r>
            <w:r w:rsidR="00A20832" w:rsidRPr="00576AF8">
              <w:tab/>
              <w:t>estar completamente pagada y ser irrevocable (excepcionalmente quedará cancelada si el Contrato se rescinde conforme a lo dispuesto en las cláusulas 41.1 o 41.</w:t>
            </w:r>
            <w:r w:rsidR="00C77CF9" w:rsidRPr="00576AF8">
              <w:t>3</w:t>
            </w:r>
            <w:r w:rsidR="00A20832" w:rsidRPr="00576AF8">
              <w:t xml:space="preserve"> de las CGC); </w:t>
            </w:r>
          </w:p>
          <w:p w14:paraId="71E66F32" w14:textId="77777777" w:rsidR="00A20832" w:rsidRPr="00576AF8" w:rsidRDefault="008F4C93" w:rsidP="008F4C93">
            <w:pPr>
              <w:pageBreakBefore/>
              <w:spacing w:after="200"/>
              <w:ind w:left="1620" w:right="-19" w:hanging="540"/>
              <w:rPr>
                <w:spacing w:val="-2"/>
              </w:rPr>
            </w:pPr>
            <w:r w:rsidRPr="00576AF8">
              <w:rPr>
                <w:spacing w:val="-2"/>
              </w:rPr>
              <w:t>(</w:t>
            </w:r>
            <w:r w:rsidR="00A20832" w:rsidRPr="00576AF8">
              <w:rPr>
                <w:spacing w:val="-2"/>
              </w:rPr>
              <w:t>iii)</w:t>
            </w:r>
            <w:r w:rsidR="00A20832" w:rsidRPr="00576AF8">
              <w:rPr>
                <w:spacing w:val="-2"/>
              </w:rPr>
              <w:tab/>
              <w:t xml:space="preserve">ser válida en todo el territorio del país del Comprador, </w:t>
            </w:r>
            <w:r w:rsidR="00A20832" w:rsidRPr="00576AF8">
              <w:rPr>
                <w:b/>
                <w:spacing w:val="-2"/>
              </w:rPr>
              <w:t>a menos que en las CEC</w:t>
            </w:r>
            <w:r w:rsidR="00997CAB" w:rsidRPr="00576AF8">
              <w:rPr>
                <w:b/>
                <w:spacing w:val="-2"/>
              </w:rPr>
              <w:t xml:space="preserve"> se especifique otra cosa</w:t>
            </w:r>
            <w:r w:rsidR="00A20832" w:rsidRPr="00576AF8">
              <w:rPr>
                <w:spacing w:val="-2"/>
              </w:rPr>
              <w:t xml:space="preserve">; </w:t>
            </w:r>
          </w:p>
          <w:p w14:paraId="3044B857" w14:textId="77777777" w:rsidR="00A20832" w:rsidRPr="00576AF8" w:rsidRDefault="008F4C93" w:rsidP="008F4C93">
            <w:pPr>
              <w:keepNext/>
              <w:keepLines/>
              <w:pageBreakBefore/>
              <w:spacing w:before="240" w:after="200"/>
              <w:ind w:left="1620" w:right="-19" w:hanging="540"/>
              <w:outlineLvl w:val="4"/>
            </w:pPr>
            <w:r w:rsidRPr="00576AF8">
              <w:t>(</w:t>
            </w:r>
            <w:r w:rsidR="00A20832" w:rsidRPr="00576AF8">
              <w:t>iv)</w:t>
            </w:r>
            <w:r w:rsidR="00A20832" w:rsidRPr="00576AF8">
              <w:tab/>
              <w:t>estar exenta de CUALQUIER restricción adicional,</w:t>
            </w:r>
            <w:r w:rsidR="00A20832" w:rsidRPr="00576AF8">
              <w:rPr>
                <w:b/>
              </w:rPr>
              <w:t xml:space="preserve"> a menos que en las CEC</w:t>
            </w:r>
            <w:r w:rsidR="00997CAB" w:rsidRPr="00576AF8">
              <w:rPr>
                <w:b/>
              </w:rPr>
              <w:t xml:space="preserve"> se especifique otra cosa</w:t>
            </w:r>
            <w:r w:rsidR="00A20832" w:rsidRPr="00576AF8">
              <w:t>;</w:t>
            </w:r>
          </w:p>
          <w:p w14:paraId="5760C017" w14:textId="77777777" w:rsidR="00A20832" w:rsidRPr="00576AF8" w:rsidRDefault="008F4C93" w:rsidP="008F4C93">
            <w:pPr>
              <w:keepNext/>
              <w:keepLines/>
              <w:pageBreakBefore/>
              <w:spacing w:before="240" w:after="200"/>
              <w:ind w:left="1080" w:right="-19" w:hanging="540"/>
              <w:outlineLvl w:val="4"/>
            </w:pPr>
            <w:r w:rsidRPr="00576AF8">
              <w:t>(</w:t>
            </w:r>
            <w:r w:rsidR="00A20832" w:rsidRPr="00576AF8">
              <w:t>b)</w:t>
            </w:r>
            <w:r w:rsidR="00A20832" w:rsidRPr="00576AF8">
              <w:tab/>
              <w:t xml:space="preserve">permitir que el </w:t>
            </w:r>
            <w:r w:rsidR="00F772EC" w:rsidRPr="00576AF8">
              <w:t>software</w:t>
            </w:r>
            <w:r w:rsidR="00A20832" w:rsidRPr="00576AF8">
              <w:t>:</w:t>
            </w:r>
          </w:p>
          <w:p w14:paraId="35B60E12" w14:textId="77777777" w:rsidR="00A20832" w:rsidRPr="00576AF8" w:rsidRDefault="008F4C93" w:rsidP="008F4C93">
            <w:pPr>
              <w:keepNext/>
              <w:keepLines/>
              <w:pageBreakBefore/>
              <w:spacing w:before="240" w:after="200"/>
              <w:ind w:left="1620" w:right="-19" w:hanging="540"/>
              <w:outlineLvl w:val="4"/>
            </w:pPr>
            <w:r w:rsidRPr="00576AF8">
              <w:t>(</w:t>
            </w:r>
            <w:r w:rsidR="00A20832" w:rsidRPr="00576AF8">
              <w:t>i)</w:t>
            </w:r>
            <w:r w:rsidR="00A20832" w:rsidRPr="00576AF8">
              <w:tab/>
              <w:t xml:space="preserve">se utilice o se copie para ser utilizado en la computadora para la cual fue adquirido </w:t>
            </w:r>
            <w:r w:rsidR="0004719E" w:rsidRPr="00576AF8">
              <w:t xml:space="preserve">o con esa computadora </w:t>
            </w:r>
            <w:r w:rsidR="00A20832" w:rsidRPr="00576AF8">
              <w:t xml:space="preserve">(si ello estuviese especificado en los requisitos técnicos o en la </w:t>
            </w:r>
            <w:r w:rsidR="00BC72E3" w:rsidRPr="00576AF8">
              <w:t>O</w:t>
            </w:r>
            <w:r w:rsidR="00A20832" w:rsidRPr="00576AF8">
              <w:t>ferta del Proveedor), y en una computadora de seguridad de la misma o similar capacidad, si la principal no funciona, y durante un período transitorio razonable en que se transfiera el uso entre la principal y la de seguridad;</w:t>
            </w:r>
          </w:p>
          <w:p w14:paraId="2446889B" w14:textId="77777777" w:rsidR="00A20832" w:rsidRPr="00576AF8" w:rsidRDefault="008F4C93" w:rsidP="008F4C93">
            <w:pPr>
              <w:keepNext/>
              <w:keepLines/>
              <w:pageBreakBefore/>
              <w:spacing w:before="240" w:after="200"/>
              <w:ind w:left="1620" w:right="-19" w:hanging="540"/>
              <w:outlineLvl w:val="4"/>
            </w:pPr>
            <w:r w:rsidRPr="00576AF8">
              <w:t>(</w:t>
            </w:r>
            <w:r w:rsidR="00A20832" w:rsidRPr="00576AF8">
              <w:t>ii)</w:t>
            </w:r>
            <w:r w:rsidR="00A20832" w:rsidRPr="00576AF8">
              <w:tab/>
              <w:t xml:space="preserve">se utilice o se copie para ser utilizado en una computadora de reemplazo o transferido a dicha computadora (el uso en la computadora original y la de reemplazo podrá ser simultáneo durante un período transitorio razonable), siempre que la computadora de reemplazo se encuentre dentro de la clase de computadora a la que se encuentra limitada la licencia según lo especificado en los requisitos técnicos o en la </w:t>
            </w:r>
            <w:r w:rsidR="00BC72E3" w:rsidRPr="00576AF8">
              <w:t>O</w:t>
            </w:r>
            <w:r w:rsidR="00A20832" w:rsidRPr="00576AF8">
              <w:t>ferta del Proveedor;</w:t>
            </w:r>
          </w:p>
          <w:p w14:paraId="40F36166" w14:textId="77777777" w:rsidR="00A20832" w:rsidRPr="00576AF8" w:rsidRDefault="008F4C93" w:rsidP="008F4C93">
            <w:pPr>
              <w:pageBreakBefore/>
              <w:spacing w:after="200"/>
              <w:ind w:left="1620" w:right="-19" w:hanging="540"/>
              <w:rPr>
                <w:spacing w:val="-4"/>
              </w:rPr>
            </w:pPr>
            <w:r w:rsidRPr="00576AF8">
              <w:t>(</w:t>
            </w:r>
            <w:r w:rsidR="00A20832" w:rsidRPr="00576AF8">
              <w:t>iii)</w:t>
            </w:r>
            <w:r w:rsidR="00A20832" w:rsidRPr="00576AF8">
              <w:tab/>
            </w:r>
            <w:r w:rsidR="00A20832" w:rsidRPr="00576AF8">
              <w:rPr>
                <w:spacing w:val="-4"/>
              </w:rPr>
              <w:t xml:space="preserve">si la naturaleza del Sistema lo permite, sea accesible desde otras computadoras conectadas a la primaria o </w:t>
            </w:r>
            <w:r w:rsidR="00B17DA4" w:rsidRPr="00576AF8">
              <w:rPr>
                <w:spacing w:val="-4"/>
              </w:rPr>
              <w:t xml:space="preserve">a </w:t>
            </w:r>
            <w:r w:rsidR="00A20832" w:rsidRPr="00576AF8">
              <w:rPr>
                <w:spacing w:val="-4"/>
              </w:rPr>
              <w:t xml:space="preserve">la de seguridad mediante una red local o de área extendida o mecanismo similar, y pueda utilizarse o copiarse para ser utilizado en </w:t>
            </w:r>
            <w:r w:rsidR="00D86C23" w:rsidRPr="00576AF8">
              <w:rPr>
                <w:spacing w:val="-4"/>
              </w:rPr>
              <w:t>esas</w:t>
            </w:r>
            <w:r w:rsidR="00A20832" w:rsidRPr="00576AF8">
              <w:rPr>
                <w:spacing w:val="-4"/>
              </w:rPr>
              <w:t xml:space="preserve"> </w:t>
            </w:r>
            <w:r w:rsidR="00B17DA4" w:rsidRPr="00576AF8">
              <w:rPr>
                <w:spacing w:val="-4"/>
              </w:rPr>
              <w:t xml:space="preserve">otras </w:t>
            </w:r>
            <w:r w:rsidR="00A20832" w:rsidRPr="00576AF8">
              <w:rPr>
                <w:spacing w:val="-4"/>
              </w:rPr>
              <w:t>computadoras en la medida en que lo requiera dicho acceso;</w:t>
            </w:r>
          </w:p>
          <w:p w14:paraId="53EC5DA5" w14:textId="77777777" w:rsidR="00A20832" w:rsidRPr="00576AF8" w:rsidRDefault="008F4C93" w:rsidP="008F4C93">
            <w:pPr>
              <w:keepNext/>
              <w:keepLines/>
              <w:pageBreakBefore/>
              <w:spacing w:before="240" w:after="200"/>
              <w:ind w:left="1620" w:right="-19" w:hanging="540"/>
              <w:outlineLvl w:val="4"/>
            </w:pPr>
            <w:r w:rsidRPr="00576AF8">
              <w:lastRenderedPageBreak/>
              <w:t>(</w:t>
            </w:r>
            <w:r w:rsidR="00A20832" w:rsidRPr="00576AF8">
              <w:t>iv)</w:t>
            </w:r>
            <w:r w:rsidR="00A20832" w:rsidRPr="00576AF8">
              <w:tab/>
              <w:t>se reproduzca para fines de custodia o respaldo;</w:t>
            </w:r>
          </w:p>
          <w:p w14:paraId="2DD169BF" w14:textId="77777777" w:rsidR="00A20832" w:rsidRPr="00576AF8" w:rsidRDefault="008F4C93" w:rsidP="008F4C93">
            <w:pPr>
              <w:keepNext/>
              <w:keepLines/>
              <w:pageBreakBefore/>
              <w:spacing w:before="240" w:after="200"/>
              <w:ind w:left="1620" w:right="-19" w:hanging="540"/>
              <w:outlineLvl w:val="4"/>
            </w:pPr>
            <w:r w:rsidRPr="00576AF8">
              <w:t>(</w:t>
            </w:r>
            <w:r w:rsidR="00A20832" w:rsidRPr="00576AF8">
              <w:t>v)</w:t>
            </w:r>
            <w:r w:rsidR="00A20832" w:rsidRPr="00576AF8">
              <w:tab/>
              <w:t xml:space="preserve">se personalice, adapte y combine con otro </w:t>
            </w:r>
            <w:r w:rsidR="00F772EC" w:rsidRPr="00576AF8">
              <w:t>software</w:t>
            </w:r>
            <w:r w:rsidR="00A20832" w:rsidRPr="00576AF8">
              <w:t xml:space="preserve"> para uso del Comprador, siempre que </w:t>
            </w:r>
            <w:proofErr w:type="gramStart"/>
            <w:r w:rsidR="00A20832" w:rsidRPr="00576AF8">
              <w:t xml:space="preserve">los </w:t>
            </w:r>
            <w:r w:rsidR="00F772EC" w:rsidRPr="00576AF8">
              <w:t>software</w:t>
            </w:r>
            <w:proofErr w:type="gramEnd"/>
            <w:r w:rsidR="00A20832" w:rsidRPr="00576AF8">
              <w:t xml:space="preserve"> derivados que incorporan una parte sustancial del </w:t>
            </w:r>
            <w:r w:rsidR="00F772EC" w:rsidRPr="00576AF8">
              <w:t>software</w:t>
            </w:r>
            <w:r w:rsidR="00A20832" w:rsidRPr="00576AF8">
              <w:t xml:space="preserve"> de uso restringido entregado estén sujetos a las mismas restricciones que las establecidas en este Contrato;</w:t>
            </w:r>
          </w:p>
          <w:p w14:paraId="55D27FF4" w14:textId="77777777" w:rsidR="00A20832" w:rsidRPr="00576AF8" w:rsidRDefault="008F4C93" w:rsidP="008F4C93">
            <w:pPr>
              <w:keepNext/>
              <w:keepLines/>
              <w:pageBreakBefore/>
              <w:spacing w:before="240" w:after="200"/>
              <w:ind w:left="1627" w:right="-19" w:hanging="547"/>
              <w:outlineLvl w:val="4"/>
            </w:pPr>
            <w:r w:rsidRPr="00576AF8">
              <w:t>(</w:t>
            </w:r>
            <w:r w:rsidR="00A20832" w:rsidRPr="00576AF8">
              <w:t>vi)</w:t>
            </w:r>
            <w:r w:rsidR="00A20832" w:rsidRPr="00576AF8">
              <w:tab/>
            </w:r>
            <w:r w:rsidR="00A20832" w:rsidRPr="00576AF8">
              <w:rPr>
                <w:b/>
              </w:rPr>
              <w:t>a menos que en las CEC</w:t>
            </w:r>
            <w:r w:rsidR="00997CAB" w:rsidRPr="00576AF8">
              <w:rPr>
                <w:b/>
              </w:rPr>
              <w:t xml:space="preserve"> se especifique otra cosa</w:t>
            </w:r>
            <w:r w:rsidR="00A20832" w:rsidRPr="00576AF8">
              <w:t xml:space="preserve">, se dé a conocer a los prestadores de servicio técnico y sus subcontratistas, y se reproduzca para que estos lo utilicen (el Comprador podrá conceder una licencia </w:t>
            </w:r>
            <w:r w:rsidR="00B17DA4" w:rsidRPr="00576AF8">
              <w:t xml:space="preserve">secundaria </w:t>
            </w:r>
            <w:r w:rsidR="00A20832" w:rsidRPr="00576AF8">
              <w:t xml:space="preserve">a dichas personas para que utilicen el </w:t>
            </w:r>
            <w:r w:rsidR="00F772EC" w:rsidRPr="00576AF8">
              <w:t>software</w:t>
            </w:r>
            <w:r w:rsidR="00A20832" w:rsidRPr="00576AF8">
              <w:rPr>
                <w:i/>
              </w:rPr>
              <w:t xml:space="preserve"> </w:t>
            </w:r>
            <w:r w:rsidR="00A20832" w:rsidRPr="00576AF8">
              <w:t>y lo copien para utilizarlo), en la medida razonablemente necesaria para que puedan cumplir con su contrato de prestación de servicio técnico, con sujeción a las mismas restricciones establecidas en este Contrato;</w:t>
            </w:r>
          </w:p>
          <w:p w14:paraId="07839CFE" w14:textId="77777777" w:rsidR="00A20832" w:rsidRPr="00576AF8" w:rsidRDefault="008F4C93" w:rsidP="008F4C93">
            <w:pPr>
              <w:keepNext/>
              <w:keepLines/>
              <w:pageBreakBefore/>
              <w:spacing w:before="240" w:after="200"/>
              <w:ind w:left="1620" w:right="-19" w:hanging="540"/>
              <w:outlineLvl w:val="4"/>
            </w:pPr>
            <w:r w:rsidRPr="00576AF8">
              <w:t>(</w:t>
            </w:r>
            <w:r w:rsidR="00A20832" w:rsidRPr="00576AF8">
              <w:t>vii)</w:t>
            </w:r>
            <w:r w:rsidR="00A20832" w:rsidRPr="00576AF8">
              <w:tab/>
            </w:r>
            <w:r w:rsidR="00A20832" w:rsidRPr="00576AF8">
              <w:rPr>
                <w:b/>
              </w:rPr>
              <w:t>a menos que en las CEC</w:t>
            </w:r>
            <w:r w:rsidR="00997CAB" w:rsidRPr="00576AF8">
              <w:rPr>
                <w:b/>
              </w:rPr>
              <w:t xml:space="preserve"> se especifique otra cosa</w:t>
            </w:r>
            <w:r w:rsidR="00A20832" w:rsidRPr="00576AF8">
              <w:t>, SOLO se dé a conocer a las partes mencionadas y sea reproducido por estas para su uso.</w:t>
            </w:r>
            <w:r w:rsidR="00D310A5" w:rsidRPr="00576AF8">
              <w:t xml:space="preserve"> </w:t>
            </w:r>
          </w:p>
        </w:tc>
      </w:tr>
      <w:tr w:rsidR="00A20832" w:rsidRPr="00576AF8" w14:paraId="01957294" w14:textId="77777777" w:rsidTr="00C51F82">
        <w:tc>
          <w:tcPr>
            <w:tcW w:w="2552" w:type="dxa"/>
          </w:tcPr>
          <w:p w14:paraId="7C4710D0" w14:textId="77777777" w:rsidR="00A20832" w:rsidRPr="00576AF8" w:rsidRDefault="00A20832" w:rsidP="00A35BE3">
            <w:pPr>
              <w:spacing w:after="0"/>
              <w:jc w:val="left"/>
            </w:pPr>
          </w:p>
        </w:tc>
        <w:tc>
          <w:tcPr>
            <w:tcW w:w="6804" w:type="dxa"/>
          </w:tcPr>
          <w:p w14:paraId="4D5CF0FA" w14:textId="77777777" w:rsidR="00A20832" w:rsidRPr="00576AF8" w:rsidRDefault="00A20832" w:rsidP="00C51F82">
            <w:pPr>
              <w:keepNext/>
              <w:keepLines/>
              <w:spacing w:before="240" w:after="200"/>
              <w:ind w:left="540" w:right="-19" w:hanging="540"/>
              <w:outlineLvl w:val="4"/>
            </w:pPr>
            <w:r w:rsidRPr="00576AF8">
              <w:t>16.2</w:t>
            </w:r>
            <w:r w:rsidRPr="00576AF8">
              <w:tab/>
              <w:t xml:space="preserve">El Proveedor tiene derecho a inspeccionar el </w:t>
            </w:r>
            <w:r w:rsidR="00F772EC" w:rsidRPr="00576AF8">
              <w:t>software</w:t>
            </w:r>
            <w:r w:rsidRPr="00576AF8">
              <w:rPr>
                <w:i/>
              </w:rPr>
              <w:t xml:space="preserve"> </w:t>
            </w:r>
            <w:r w:rsidRPr="00576AF8">
              <w:t xml:space="preserve">estándar para verificar que cumpla con los acuerdos de licencia mencionados. </w:t>
            </w:r>
            <w:r w:rsidRPr="00576AF8">
              <w:rPr>
                <w:b/>
              </w:rPr>
              <w:t>A menos que en las CEC</w:t>
            </w:r>
            <w:r w:rsidR="00997CAB" w:rsidRPr="00576AF8">
              <w:rPr>
                <w:b/>
              </w:rPr>
              <w:t xml:space="preserve"> se especifique otra cosa</w:t>
            </w:r>
            <w:r w:rsidRPr="00576AF8">
              <w:t xml:space="preserve">, el Comprador pondrá a disposición del Proveedor, dentro de los siete (7) </w:t>
            </w:r>
            <w:r w:rsidR="00EA03EE" w:rsidRPr="00576AF8">
              <w:t xml:space="preserve">días </w:t>
            </w:r>
            <w:r w:rsidRPr="00576AF8">
              <w:t xml:space="preserve">posteriores a la fecha de la correspondiente solicitud por escrito, registros precisos y actualizados del número de copias y su ubicación, el número de usuarios autorizados o cualquier otro dato pertinente que sea necesario para demostrar que el uso del </w:t>
            </w:r>
            <w:r w:rsidR="00F772EC" w:rsidRPr="00576AF8">
              <w:t>software</w:t>
            </w:r>
            <w:r w:rsidRPr="00576AF8">
              <w:rPr>
                <w:i/>
              </w:rPr>
              <w:t xml:space="preserve"> </w:t>
            </w:r>
            <w:r w:rsidRPr="00576AF8">
              <w:t xml:space="preserve">estándar se ajusta al acuerdo de licencia. Únicamente en el caso de que el Comprador y el Proveedor lo acuerden expresamente por escrito, el Comprador permitirá, en el marco de un proceso previamente acordado y especificado, la ejecución de funciones integradas del </w:t>
            </w:r>
            <w:r w:rsidR="00F772EC" w:rsidRPr="00576AF8">
              <w:t>software</w:t>
            </w:r>
            <w:r w:rsidRPr="00576AF8">
              <w:rPr>
                <w:i/>
              </w:rPr>
              <w:t xml:space="preserve"> </w:t>
            </w:r>
            <w:r w:rsidRPr="00576AF8">
              <w:t xml:space="preserve">bajo el control del Proveedor, y la transmisión sin restricciones de la información resultante sobre el uso del </w:t>
            </w:r>
            <w:r w:rsidR="00F772EC" w:rsidRPr="00576AF8">
              <w:t>software</w:t>
            </w:r>
            <w:r w:rsidRPr="00576AF8">
              <w:rPr>
                <w:i/>
              </w:rPr>
              <w:t>.</w:t>
            </w:r>
          </w:p>
        </w:tc>
      </w:tr>
      <w:tr w:rsidR="00A20832" w:rsidRPr="00576AF8" w14:paraId="35DCEC3F" w14:textId="77777777" w:rsidTr="00C51F82">
        <w:trPr>
          <w:cantSplit/>
        </w:trPr>
        <w:tc>
          <w:tcPr>
            <w:tcW w:w="2552" w:type="dxa"/>
          </w:tcPr>
          <w:p w14:paraId="5D593D61" w14:textId="77777777" w:rsidR="00A20832" w:rsidRPr="00576AF8" w:rsidRDefault="00A20832" w:rsidP="00A35BE3">
            <w:pPr>
              <w:pStyle w:val="Head62"/>
            </w:pPr>
            <w:bookmarkStart w:id="1542" w:name="_Toc277233337"/>
            <w:bookmarkStart w:id="1543" w:name="_Toc488959036"/>
            <w:r w:rsidRPr="00576AF8">
              <w:lastRenderedPageBreak/>
              <w:t>17.</w:t>
            </w:r>
            <w:r w:rsidRPr="00576AF8">
              <w:tab/>
              <w:t>Confidencialidad de la información</w:t>
            </w:r>
            <w:bookmarkEnd w:id="1542"/>
            <w:bookmarkEnd w:id="1543"/>
          </w:p>
        </w:tc>
        <w:tc>
          <w:tcPr>
            <w:tcW w:w="6804" w:type="dxa"/>
          </w:tcPr>
          <w:p w14:paraId="4394931F" w14:textId="77777777" w:rsidR="00A20832" w:rsidRPr="00576AF8" w:rsidRDefault="00A20832" w:rsidP="00C51F82">
            <w:pPr>
              <w:keepNext/>
              <w:keepLines/>
              <w:spacing w:before="240" w:after="200"/>
              <w:ind w:left="540" w:right="-19" w:hanging="540"/>
              <w:outlineLvl w:val="4"/>
            </w:pPr>
            <w:r w:rsidRPr="00576AF8">
              <w:t>17.1</w:t>
            </w:r>
            <w:r w:rsidRPr="00576AF8">
              <w:tab/>
            </w:r>
            <w:r w:rsidRPr="00576AF8">
              <w:rPr>
                <w:b/>
              </w:rPr>
              <w:t>A menos que en las CEC</w:t>
            </w:r>
            <w:r w:rsidR="00997CAB" w:rsidRPr="00576AF8">
              <w:rPr>
                <w:b/>
              </w:rPr>
              <w:t xml:space="preserve"> se especifique otra cosa</w:t>
            </w:r>
            <w:r w:rsidRPr="00576AF8">
              <w:t xml:space="preserve">, la “Parte Receptora” (ya sea el Comprador o el Proveedor) mantendrá en estricta confidencialidad y no divulgará a terceros sin el consentimiento de la otra parte </w:t>
            </w:r>
            <w:r w:rsidR="002132B8" w:rsidRPr="00576AF8">
              <w:t xml:space="preserve">de este Contrato </w:t>
            </w:r>
            <w:r w:rsidRPr="00576AF8">
              <w:t xml:space="preserve">(la “Parte Reveladora”) documentos, datos u otra información de naturaleza confidencial (“información confidencial”) relacionada con este Contrato y proporcionada directa o indirectamente por la Parte Reveladora antes de su ejecución, durante dicho proceso </w:t>
            </w:r>
            <w:r w:rsidR="002132B8" w:rsidRPr="00576AF8">
              <w:t>o</w:t>
            </w:r>
            <w:r w:rsidRPr="00576AF8">
              <w:t xml:space="preserve"> luego de su </w:t>
            </w:r>
            <w:r w:rsidR="002132B8" w:rsidRPr="00576AF8">
              <w:t>extinción</w:t>
            </w:r>
            <w:r w:rsidRPr="00576AF8">
              <w:t>.</w:t>
            </w:r>
          </w:p>
        </w:tc>
      </w:tr>
      <w:tr w:rsidR="00A20832" w:rsidRPr="00576AF8" w14:paraId="38B74E9A" w14:textId="77777777" w:rsidTr="00C51F82">
        <w:tc>
          <w:tcPr>
            <w:tcW w:w="2552" w:type="dxa"/>
          </w:tcPr>
          <w:p w14:paraId="775FFA82" w14:textId="77777777" w:rsidR="00A20832" w:rsidRPr="00576AF8" w:rsidRDefault="00A20832" w:rsidP="00A35BE3">
            <w:pPr>
              <w:spacing w:after="0"/>
              <w:jc w:val="left"/>
            </w:pPr>
          </w:p>
        </w:tc>
        <w:tc>
          <w:tcPr>
            <w:tcW w:w="6804" w:type="dxa"/>
          </w:tcPr>
          <w:p w14:paraId="381A5453" w14:textId="77777777" w:rsidR="00A20832" w:rsidRPr="00576AF8" w:rsidRDefault="00A20832" w:rsidP="00C51F82">
            <w:pPr>
              <w:keepNext/>
              <w:keepLines/>
              <w:spacing w:before="240" w:after="200"/>
              <w:ind w:left="547" w:right="-19" w:hanging="547"/>
              <w:outlineLvl w:val="4"/>
            </w:pPr>
            <w:r w:rsidRPr="00576AF8">
              <w:t>17.2</w:t>
            </w:r>
            <w:r w:rsidRPr="00576AF8">
              <w:tab/>
              <w:t xml:space="preserve">A los fines de lo dispuesto en la cláusula 17.1 de las CGC, se considerará que el Proveedor es la Parte Receptora de información confidencial generada por él mismo durante el cumplimiento de sus obligaciones derivadas del Contrato y relacionada con las </w:t>
            </w:r>
            <w:r w:rsidR="00E83983" w:rsidRPr="00576AF8">
              <w:t>actividades comerciales</w:t>
            </w:r>
            <w:r w:rsidRPr="00576AF8">
              <w:t>, las finanzas, los proveedores, los empleados y otros contactos del Comprador o el uso del Sistema por parte del Comprador.</w:t>
            </w:r>
          </w:p>
          <w:p w14:paraId="6521BACF" w14:textId="77777777" w:rsidR="00A20832" w:rsidRPr="00576AF8" w:rsidRDefault="00A20832" w:rsidP="00C51F82">
            <w:pPr>
              <w:keepNext/>
              <w:keepLines/>
              <w:spacing w:before="240" w:after="200"/>
              <w:ind w:left="540" w:right="-19" w:hanging="540"/>
              <w:outlineLvl w:val="4"/>
            </w:pPr>
            <w:r w:rsidRPr="00576AF8">
              <w:t>17.3</w:t>
            </w:r>
            <w:r w:rsidRPr="00576AF8">
              <w:tab/>
              <w:t xml:space="preserve">No obstante lo dispuesto en las cláusulas 17.1 y 17.2 de </w:t>
            </w:r>
            <w:r w:rsidR="00227FC3" w:rsidRPr="00576AF8">
              <w:br/>
            </w:r>
            <w:r w:rsidRPr="00576AF8">
              <w:t>las CGC:</w:t>
            </w:r>
          </w:p>
          <w:p w14:paraId="5A087C0D" w14:textId="77777777" w:rsidR="00A20832" w:rsidRPr="00576AF8" w:rsidRDefault="00227FC3" w:rsidP="00C51F82">
            <w:pPr>
              <w:keepNext/>
              <w:keepLines/>
              <w:spacing w:before="240" w:after="200"/>
              <w:ind w:left="1094" w:right="-19" w:hanging="547"/>
              <w:outlineLvl w:val="4"/>
            </w:pPr>
            <w:r w:rsidRPr="00576AF8">
              <w:t>(</w:t>
            </w:r>
            <w:r w:rsidR="00A20832" w:rsidRPr="00576AF8">
              <w:t>a)</w:t>
            </w:r>
            <w:r w:rsidR="00A20832" w:rsidRPr="00576AF8">
              <w:tab/>
              <w:t xml:space="preserve">el Proveedor podrá proporcionar a su </w:t>
            </w:r>
            <w:r w:rsidR="00A07C8B" w:rsidRPr="00576AF8">
              <w:t>s</w:t>
            </w:r>
            <w:r w:rsidR="00A20832" w:rsidRPr="00576AF8">
              <w:t>ubcontratista información confidencial del Comprador en la medida en que esta sea razonablemente necesaria para que pueda cumplir con el trabajo asignado en el marco del Contrato;</w:t>
            </w:r>
          </w:p>
          <w:p w14:paraId="128BEB4C" w14:textId="77777777" w:rsidR="00A20832" w:rsidRPr="00576AF8" w:rsidRDefault="00227FC3" w:rsidP="00C51F82">
            <w:pPr>
              <w:spacing w:after="200"/>
              <w:ind w:left="1080" w:right="-19" w:hanging="540"/>
              <w:rPr>
                <w:spacing w:val="-2"/>
              </w:rPr>
            </w:pPr>
            <w:r w:rsidRPr="00576AF8">
              <w:rPr>
                <w:spacing w:val="-2"/>
              </w:rPr>
              <w:t>(</w:t>
            </w:r>
            <w:r w:rsidR="00A20832" w:rsidRPr="00576AF8">
              <w:rPr>
                <w:spacing w:val="-2"/>
              </w:rPr>
              <w:t>b)</w:t>
            </w:r>
            <w:r w:rsidR="00A20832" w:rsidRPr="00576AF8">
              <w:rPr>
                <w:spacing w:val="-2"/>
              </w:rPr>
              <w:tab/>
              <w:t xml:space="preserve">el Comprador podrá proporcionar información confidencial </w:t>
            </w:r>
            <w:r w:rsidR="00E83983" w:rsidRPr="00576AF8">
              <w:rPr>
                <w:spacing w:val="-2"/>
              </w:rPr>
              <w:t>de</w:t>
            </w:r>
            <w:r w:rsidR="00A20832" w:rsidRPr="00576AF8">
              <w:rPr>
                <w:spacing w:val="-2"/>
              </w:rPr>
              <w:t xml:space="preserve">l Proveedor: </w:t>
            </w:r>
            <w:r w:rsidRPr="00576AF8">
              <w:rPr>
                <w:spacing w:val="-2"/>
              </w:rPr>
              <w:t>(</w:t>
            </w:r>
            <w:r w:rsidR="00A20832" w:rsidRPr="00576AF8">
              <w:rPr>
                <w:spacing w:val="-2"/>
              </w:rPr>
              <w:t xml:space="preserve">i) a sus prestadores de apoyo técnico y sus subcontratistas en la medida en que dicha información sea razonablemente necesaria para que estos puedan cumplir con su trabajo en el marco de los contratos de prestación de apoyo técnico, y </w:t>
            </w:r>
            <w:r w:rsidRPr="00576AF8">
              <w:rPr>
                <w:spacing w:val="-2"/>
              </w:rPr>
              <w:t>(</w:t>
            </w:r>
            <w:r w:rsidR="00A20832" w:rsidRPr="00576AF8">
              <w:rPr>
                <w:spacing w:val="-2"/>
              </w:rPr>
              <w:t>ii) a sus filiales y subsidiarias,</w:t>
            </w:r>
          </w:p>
          <w:p w14:paraId="1CCE7DA8" w14:textId="77777777" w:rsidR="00A20832" w:rsidRPr="00576AF8" w:rsidRDefault="00A20832" w:rsidP="00C51F82">
            <w:pPr>
              <w:keepNext/>
              <w:keepLines/>
              <w:spacing w:before="240" w:after="200"/>
              <w:ind w:left="540" w:right="-19"/>
              <w:outlineLvl w:val="4"/>
            </w:pPr>
            <w:r w:rsidRPr="00576AF8">
              <w:t xml:space="preserve">en cuyo caso la Parte Receptora garantizará que la persona a la que proporcione información confidencial de la Parte Reveladora conozca las obligaciones de la Parte Receptora en virtud de lo dispuesto en </w:t>
            </w:r>
            <w:r w:rsidR="00CE1976" w:rsidRPr="00576AF8">
              <w:t xml:space="preserve">esta </w:t>
            </w:r>
            <w:r w:rsidRPr="00576AF8">
              <w:t xml:space="preserve">cláusula 17 de </w:t>
            </w:r>
            <w:r w:rsidR="00CE1976" w:rsidRPr="00576AF8">
              <w:t xml:space="preserve">las </w:t>
            </w:r>
            <w:r w:rsidRPr="00576AF8">
              <w:t>CGC, y cumpla con dichas obligaciones, como si reemplazara a la Parte Receptora en el marco del Contrato.</w:t>
            </w:r>
          </w:p>
        </w:tc>
      </w:tr>
      <w:tr w:rsidR="00A20832" w:rsidRPr="00576AF8" w14:paraId="70CF79A2" w14:textId="77777777" w:rsidTr="00C51F82">
        <w:tc>
          <w:tcPr>
            <w:tcW w:w="2552" w:type="dxa"/>
          </w:tcPr>
          <w:p w14:paraId="6B4F491A" w14:textId="77777777" w:rsidR="00A20832" w:rsidRPr="00576AF8" w:rsidRDefault="00A20832" w:rsidP="00A35BE3">
            <w:pPr>
              <w:spacing w:after="0"/>
              <w:jc w:val="left"/>
            </w:pPr>
          </w:p>
        </w:tc>
        <w:tc>
          <w:tcPr>
            <w:tcW w:w="6804" w:type="dxa"/>
          </w:tcPr>
          <w:p w14:paraId="5BB45E82" w14:textId="77777777" w:rsidR="00A20832" w:rsidRPr="00576AF8" w:rsidRDefault="00A20832" w:rsidP="00C51F82">
            <w:pPr>
              <w:keepNext/>
              <w:keepLines/>
              <w:spacing w:before="240" w:after="200"/>
              <w:ind w:left="540" w:right="-19" w:hanging="540"/>
              <w:outlineLvl w:val="4"/>
            </w:pPr>
            <w:r w:rsidRPr="00576AF8">
              <w:t>17.4</w:t>
            </w:r>
            <w:r w:rsidRPr="00576AF8">
              <w:tab/>
              <w:t xml:space="preserve">El Comprador no podrá, sin obtener previamente el consentimiento escrito del Proveedor, utilizar la información confidencial recibida de este para ningún otro fin que no sea la operación, el mantenimiento y el desarrollo ulterior del Sistema. </w:t>
            </w:r>
            <w:r w:rsidR="00CE1976" w:rsidRPr="00576AF8">
              <w:t>Por su parte</w:t>
            </w:r>
            <w:r w:rsidRPr="00576AF8">
              <w:t>, el Proveedor no podrá, sin obtener previamente el consentimiento del Comprador, utilizar la información confidencial recibida de este para ningún otro fin que no sean los requeridos para el cumplimiento del Contrato.</w:t>
            </w:r>
            <w:r w:rsidR="00D310A5" w:rsidRPr="00576AF8">
              <w:t xml:space="preserve"> </w:t>
            </w:r>
          </w:p>
          <w:p w14:paraId="319A8901" w14:textId="77777777" w:rsidR="00A20832" w:rsidRPr="00576AF8" w:rsidRDefault="00A20832" w:rsidP="00C51F82">
            <w:pPr>
              <w:spacing w:after="200"/>
              <w:ind w:left="540" w:right="-19" w:hanging="540"/>
            </w:pPr>
            <w:r w:rsidRPr="00576AF8">
              <w:t>17.5</w:t>
            </w:r>
            <w:r w:rsidRPr="00576AF8">
              <w:tab/>
              <w:t xml:space="preserve">Sin embargo, la obligación de una de las partes conforme a </w:t>
            </w:r>
            <w:r w:rsidR="00227FC3" w:rsidRPr="00576AF8">
              <w:br/>
            </w:r>
            <w:r w:rsidRPr="00576AF8">
              <w:t>las cláusulas 17.1 a 17.4 precedentes no se aplicará a la información que:</w:t>
            </w:r>
          </w:p>
          <w:p w14:paraId="1086B4CC" w14:textId="77777777" w:rsidR="00A20832" w:rsidRPr="00576AF8" w:rsidRDefault="00227FC3" w:rsidP="00C51F82">
            <w:pPr>
              <w:keepNext/>
              <w:keepLines/>
              <w:spacing w:before="240" w:after="200"/>
              <w:ind w:left="1080" w:right="-19" w:hanging="536"/>
              <w:outlineLvl w:val="4"/>
            </w:pPr>
            <w:r w:rsidRPr="00576AF8">
              <w:t>(</w:t>
            </w:r>
            <w:r w:rsidR="00A20832" w:rsidRPr="00576AF8">
              <w:t>a)</w:t>
            </w:r>
            <w:r w:rsidR="00A20832" w:rsidRPr="00576AF8">
              <w:tab/>
            </w:r>
            <w:r w:rsidR="00CE1976" w:rsidRPr="00576AF8">
              <w:t>a</w:t>
            </w:r>
            <w:r w:rsidR="00A20832" w:rsidRPr="00576AF8">
              <w:t>hora o más adelante pase a ser de dominio público sin que medie falta de la Parte Receptora;</w:t>
            </w:r>
          </w:p>
          <w:p w14:paraId="1AD2A9E3" w14:textId="77777777" w:rsidR="00A20832" w:rsidRPr="00576AF8" w:rsidRDefault="00227FC3" w:rsidP="00C51F82">
            <w:pPr>
              <w:keepNext/>
              <w:keepLines/>
              <w:spacing w:before="240" w:after="200"/>
              <w:ind w:left="1080" w:right="-19" w:hanging="536"/>
              <w:outlineLvl w:val="4"/>
            </w:pPr>
            <w:r w:rsidRPr="00576AF8">
              <w:t>(</w:t>
            </w:r>
            <w:r w:rsidR="00A20832" w:rsidRPr="00576AF8">
              <w:t>b)</w:t>
            </w:r>
            <w:r w:rsidR="00A20832" w:rsidRPr="00576AF8">
              <w:tab/>
              <w:t>pued</w:t>
            </w:r>
            <w:r w:rsidR="00CE1976" w:rsidRPr="00576AF8">
              <w:t>a</w:t>
            </w:r>
            <w:r w:rsidR="00A20832" w:rsidRPr="00576AF8">
              <w:t xml:space="preserve"> comprobarse que estaba en posesión de la Parte Receptora en el momento en que fue divulgada y </w:t>
            </w:r>
            <w:r w:rsidR="00CE1976" w:rsidRPr="00576AF8">
              <w:t xml:space="preserve">que </w:t>
            </w:r>
            <w:r w:rsidR="00A20832" w:rsidRPr="00576AF8">
              <w:t>no fue obtenida previamente directa o indirectamente de la Parte Reveladora;</w:t>
            </w:r>
          </w:p>
          <w:p w14:paraId="1ECC30A6" w14:textId="77777777" w:rsidR="00A20832" w:rsidRPr="00576AF8" w:rsidRDefault="00227FC3" w:rsidP="00C51F82">
            <w:pPr>
              <w:keepNext/>
              <w:keepLines/>
              <w:spacing w:before="240" w:after="200"/>
              <w:ind w:left="1080" w:right="-19" w:hanging="536"/>
              <w:outlineLvl w:val="4"/>
            </w:pPr>
            <w:r w:rsidRPr="00576AF8">
              <w:t>(</w:t>
            </w:r>
            <w:r w:rsidR="00A20832" w:rsidRPr="00576AF8">
              <w:t>c)</w:t>
            </w:r>
            <w:r w:rsidR="00A20832" w:rsidRPr="00576AF8">
              <w:tab/>
              <w:t>pase a estar legítimamente a disposición de la Parte Receptora por obra de un tercero no sujeto a ninguna obligación de confidencialidad.</w:t>
            </w:r>
          </w:p>
          <w:p w14:paraId="1A731936" w14:textId="77777777" w:rsidR="00A20832" w:rsidRPr="00576AF8" w:rsidRDefault="00A20832" w:rsidP="00C51F82">
            <w:pPr>
              <w:keepNext/>
              <w:keepLines/>
              <w:spacing w:before="240" w:after="200"/>
              <w:ind w:left="540" w:right="-19" w:hanging="540"/>
              <w:outlineLvl w:val="4"/>
            </w:pPr>
            <w:r w:rsidRPr="00576AF8">
              <w:t>17.6</w:t>
            </w:r>
            <w:r w:rsidRPr="00576AF8">
              <w:tab/>
              <w:t>Las disposiciones precedentes de esta cláusula 17 de las CGC no modificarán de modo alguno ningún compromiso de confidencialidad asumido por cualquiera de las partes antes de la fecha del Contrato con respecto al Sistema o a cualquier parte de este.</w:t>
            </w:r>
          </w:p>
          <w:p w14:paraId="4C9AFC57" w14:textId="77777777" w:rsidR="00A20832" w:rsidRPr="00576AF8" w:rsidRDefault="00A20832" w:rsidP="00C51F82">
            <w:pPr>
              <w:keepNext/>
              <w:keepLines/>
              <w:spacing w:before="240" w:after="200"/>
              <w:ind w:left="540" w:right="-19" w:hanging="540"/>
              <w:outlineLvl w:val="4"/>
            </w:pPr>
            <w:r w:rsidRPr="00576AF8">
              <w:t>17.7</w:t>
            </w:r>
            <w:r w:rsidRPr="00576AF8">
              <w:tab/>
            </w:r>
            <w:r w:rsidRPr="00576AF8">
              <w:rPr>
                <w:b/>
              </w:rPr>
              <w:t>A menos que en las CEC</w:t>
            </w:r>
            <w:r w:rsidR="00997CAB" w:rsidRPr="00576AF8">
              <w:rPr>
                <w:b/>
              </w:rPr>
              <w:t xml:space="preserve"> se especifique otra cosa</w:t>
            </w:r>
            <w:r w:rsidRPr="00576AF8">
              <w:rPr>
                <w:b/>
              </w:rPr>
              <w:t>,</w:t>
            </w:r>
            <w:r w:rsidRPr="00576AF8">
              <w:t xml:space="preserve"> las disposiciones de </w:t>
            </w:r>
            <w:r w:rsidR="00CE1976" w:rsidRPr="00576AF8">
              <w:t xml:space="preserve">esta </w:t>
            </w:r>
            <w:r w:rsidRPr="00576AF8">
              <w:t xml:space="preserve">cláusula 17 de </w:t>
            </w:r>
            <w:r w:rsidR="00CE1976" w:rsidRPr="00576AF8">
              <w:t xml:space="preserve">las </w:t>
            </w:r>
            <w:r w:rsidRPr="00576AF8">
              <w:t xml:space="preserve">CGC seguirán vigentes durante tres (3) años luego de la </w:t>
            </w:r>
            <w:r w:rsidR="00CE1976" w:rsidRPr="00576AF8">
              <w:t>extinción</w:t>
            </w:r>
            <w:r w:rsidRPr="00576AF8">
              <w:t>, por la razón que sea, del Contrato.</w:t>
            </w:r>
          </w:p>
        </w:tc>
      </w:tr>
    </w:tbl>
    <w:p w14:paraId="627A287F" w14:textId="77777777" w:rsidR="00A20832" w:rsidRPr="00576AF8" w:rsidRDefault="00A20832" w:rsidP="00A20832">
      <w:pPr>
        <w:pStyle w:val="Head61"/>
        <w:rPr>
          <w:rFonts w:ascii="Times New Roman" w:hAnsi="Times New Roman"/>
        </w:rPr>
      </w:pPr>
      <w:bookmarkStart w:id="1544" w:name="_Toc277233338"/>
      <w:bookmarkStart w:id="1545" w:name="_Toc488959037"/>
      <w:r w:rsidRPr="00576AF8">
        <w:rPr>
          <w:rFonts w:ascii="Times New Roman" w:hAnsi="Times New Roman"/>
        </w:rPr>
        <w:lastRenderedPageBreak/>
        <w:t xml:space="preserve">E. </w:t>
      </w:r>
      <w:r w:rsidR="00157A4B" w:rsidRPr="00576AF8">
        <w:rPr>
          <w:rFonts w:ascii="Times New Roman" w:hAnsi="Times New Roman"/>
        </w:rPr>
        <w:t xml:space="preserve"> </w:t>
      </w:r>
      <w:r w:rsidRPr="00576AF8">
        <w:rPr>
          <w:rFonts w:ascii="Times New Roman" w:hAnsi="Times New Roman"/>
        </w:rPr>
        <w:t>Suministro, instalación, prueba, puesta en servicio y aceptación del Sistema</w:t>
      </w:r>
      <w:bookmarkEnd w:id="1544"/>
      <w:bookmarkEnd w:id="1545"/>
    </w:p>
    <w:tbl>
      <w:tblPr>
        <w:tblW w:w="0" w:type="auto"/>
        <w:tblLayout w:type="fixed"/>
        <w:tblLook w:val="0000" w:firstRow="0" w:lastRow="0" w:firstColumn="0" w:lastColumn="0" w:noHBand="0" w:noVBand="0"/>
      </w:tblPr>
      <w:tblGrid>
        <w:gridCol w:w="2552"/>
        <w:gridCol w:w="6804"/>
      </w:tblGrid>
      <w:tr w:rsidR="00A20832" w:rsidRPr="00576AF8" w14:paraId="51A60539" w14:textId="77777777" w:rsidTr="00227FC3">
        <w:tc>
          <w:tcPr>
            <w:tcW w:w="2552" w:type="dxa"/>
          </w:tcPr>
          <w:p w14:paraId="037078AA" w14:textId="77777777" w:rsidR="00A20832" w:rsidRPr="00576AF8" w:rsidRDefault="00A20832" w:rsidP="00A35BE3">
            <w:pPr>
              <w:pStyle w:val="Head62"/>
            </w:pPr>
            <w:bookmarkStart w:id="1546" w:name="_Toc277233339"/>
            <w:bookmarkStart w:id="1547" w:name="_Toc488959038"/>
            <w:r w:rsidRPr="00576AF8">
              <w:t>18.</w:t>
            </w:r>
            <w:r w:rsidRPr="00576AF8">
              <w:tab/>
              <w:t>Representantes</w:t>
            </w:r>
            <w:bookmarkEnd w:id="1546"/>
            <w:bookmarkEnd w:id="1547"/>
          </w:p>
        </w:tc>
        <w:tc>
          <w:tcPr>
            <w:tcW w:w="6804" w:type="dxa"/>
          </w:tcPr>
          <w:p w14:paraId="0CD1D426" w14:textId="77777777" w:rsidR="00A20832" w:rsidRPr="00576AF8" w:rsidRDefault="00A20832" w:rsidP="00227FC3">
            <w:pPr>
              <w:keepNext/>
              <w:keepLines/>
              <w:spacing w:before="240" w:after="200"/>
              <w:ind w:left="547" w:right="-19" w:hanging="547"/>
              <w:outlineLvl w:val="4"/>
            </w:pPr>
            <w:r w:rsidRPr="00576AF8">
              <w:t>18.1</w:t>
            </w:r>
            <w:r w:rsidRPr="00576AF8">
              <w:tab/>
              <w:t>Gerente de proyecto</w:t>
            </w:r>
          </w:p>
          <w:p w14:paraId="68C466BB" w14:textId="77777777" w:rsidR="00A20832" w:rsidRPr="00576AF8" w:rsidRDefault="00A20832" w:rsidP="00227FC3">
            <w:pPr>
              <w:keepNext/>
              <w:keepLines/>
              <w:spacing w:before="240" w:after="200"/>
              <w:ind w:left="540" w:right="-19"/>
              <w:outlineLvl w:val="4"/>
            </w:pPr>
            <w:r w:rsidRPr="00576AF8">
              <w:t xml:space="preserve">Si el gerente de proyecto no ha sido designado en el Contrato, el Comprador procederá a su nombramiento dentro de los catorce (14) días posteriores a la fecha </w:t>
            </w:r>
            <w:r w:rsidR="008B6E41" w:rsidRPr="00576AF8">
              <w:t xml:space="preserve">de entrada en vigor </w:t>
            </w:r>
            <w:r w:rsidRPr="00576AF8">
              <w:t xml:space="preserve">y notificará su nombre por escrito al Proveedor. El </w:t>
            </w:r>
            <w:r w:rsidR="00BC60BC" w:rsidRPr="00576AF8">
              <w:t xml:space="preserve">Comprador </w:t>
            </w:r>
            <w:r w:rsidRPr="00576AF8">
              <w:t xml:space="preserve">podrá oportunamente designar gerente de proyecto a otra persona en sustitución de la persona designada </w:t>
            </w:r>
            <w:r w:rsidR="00CE1976" w:rsidRPr="00576AF8">
              <w:t>con anterioridad</w:t>
            </w:r>
            <w:r w:rsidRPr="00576AF8">
              <w:t xml:space="preserve">, y comunicará sin demora el nombre de esa persona al Proveedor. Tal nombramiento no se hará en un momento o de un modo que perjudique el progreso de los trabajos en el Sistema. El nombramiento solo será efectivo cuando el </w:t>
            </w:r>
            <w:r w:rsidR="00086489" w:rsidRPr="00576AF8">
              <w:t xml:space="preserve">Proveedor </w:t>
            </w:r>
            <w:r w:rsidRPr="00576AF8">
              <w:t xml:space="preserve">reciba la notificación correspondiente. </w:t>
            </w:r>
            <w:r w:rsidRPr="00576AF8">
              <w:rPr>
                <w:b/>
              </w:rPr>
              <w:t>A menos que en las CEC</w:t>
            </w:r>
            <w:r w:rsidRPr="00576AF8">
              <w:t xml:space="preserve"> </w:t>
            </w:r>
            <w:r w:rsidR="00997CAB" w:rsidRPr="00576AF8">
              <w:rPr>
                <w:b/>
              </w:rPr>
              <w:t xml:space="preserve">se especifique otra cosa </w:t>
            </w:r>
            <w:r w:rsidRPr="00576AF8">
              <w:t>(si las hubiera), el gerente de proyecto tendrá la autoridad de representar al Comprador en todos los asuntos diarios relacionados con el Sistema o derivados del Contrato, y será normalmente la persona que dé y reciba notificaciones en nombre del Comprador de acuerdo con lo dispuesto en la cláusula 4 de las CGC.</w:t>
            </w:r>
          </w:p>
        </w:tc>
      </w:tr>
      <w:tr w:rsidR="00A20832" w:rsidRPr="00576AF8" w14:paraId="1A6C64BA" w14:textId="77777777" w:rsidTr="00227FC3">
        <w:tc>
          <w:tcPr>
            <w:tcW w:w="2552" w:type="dxa"/>
          </w:tcPr>
          <w:p w14:paraId="69234E1F" w14:textId="77777777" w:rsidR="00A20832" w:rsidRPr="00576AF8" w:rsidRDefault="00A20832" w:rsidP="00A35BE3">
            <w:pPr>
              <w:spacing w:after="0"/>
              <w:jc w:val="left"/>
            </w:pPr>
          </w:p>
        </w:tc>
        <w:tc>
          <w:tcPr>
            <w:tcW w:w="6804" w:type="dxa"/>
          </w:tcPr>
          <w:p w14:paraId="0A78E31E" w14:textId="77777777" w:rsidR="00A20832" w:rsidRPr="00576AF8" w:rsidRDefault="00A20832" w:rsidP="00227FC3">
            <w:pPr>
              <w:keepNext/>
              <w:keepLines/>
              <w:spacing w:before="240" w:after="200"/>
              <w:ind w:left="540" w:right="-19" w:hanging="540"/>
              <w:outlineLvl w:val="4"/>
            </w:pPr>
            <w:r w:rsidRPr="00576AF8">
              <w:t>18.2</w:t>
            </w:r>
            <w:r w:rsidRPr="00576AF8">
              <w:tab/>
              <w:t>Representante del Proveedor</w:t>
            </w:r>
          </w:p>
          <w:p w14:paraId="5AAD9FEF" w14:textId="77777777" w:rsidR="00A20832" w:rsidRPr="00576AF8" w:rsidRDefault="00A20832" w:rsidP="00227FC3">
            <w:pPr>
              <w:keepNext/>
              <w:keepLines/>
              <w:spacing w:before="240" w:after="200"/>
              <w:ind w:left="1170" w:right="-19" w:hanging="630"/>
              <w:outlineLvl w:val="4"/>
            </w:pPr>
            <w:r w:rsidRPr="00576AF8">
              <w:t>18.2.1</w:t>
            </w:r>
            <w:r w:rsidRPr="00576AF8">
              <w:tab/>
              <w:t xml:space="preserve">Si el representante del Proveedor no ha sido designado en el Contrato, el Proveedor procederá a </w:t>
            </w:r>
            <w:r w:rsidR="00086489" w:rsidRPr="00576AF8">
              <w:t xml:space="preserve">nombrarlo </w:t>
            </w:r>
            <w:r w:rsidRPr="00576AF8">
              <w:t xml:space="preserve">dentro de los catorce (14) días posteriores a la fecha </w:t>
            </w:r>
            <w:r w:rsidR="008B6E41" w:rsidRPr="00576AF8">
              <w:t xml:space="preserve">de entrada en vigor </w:t>
            </w:r>
            <w:r w:rsidRPr="00576AF8">
              <w:t xml:space="preserve">y pedirá por escrito al </w:t>
            </w:r>
            <w:r w:rsidR="00086489" w:rsidRPr="00576AF8">
              <w:t xml:space="preserve">Comprador </w:t>
            </w:r>
            <w:r w:rsidRPr="00576AF8">
              <w:t xml:space="preserve">que apruebe dicho nombramiento. La solicitud deberá ir acompañada de un currículum vítae </w:t>
            </w:r>
            <w:r w:rsidR="00086489" w:rsidRPr="00576AF8">
              <w:t xml:space="preserve">detallado </w:t>
            </w:r>
            <w:r w:rsidRPr="00576AF8">
              <w:t xml:space="preserve">del candidato, así como </w:t>
            </w:r>
            <w:r w:rsidR="00086489" w:rsidRPr="00576AF8">
              <w:t xml:space="preserve">de </w:t>
            </w:r>
            <w:r w:rsidRPr="00576AF8">
              <w:t>una descripción de cualquier otra responsabilidad relacionada o no con el Sistema que dicho candidato seguiría cumpliendo mientras cumple las funciones de representante del Proveedor.</w:t>
            </w:r>
            <w:r w:rsidR="00D310A5" w:rsidRPr="00576AF8">
              <w:t xml:space="preserve"> </w:t>
            </w:r>
            <w:r w:rsidRPr="00576AF8">
              <w:t xml:space="preserve">Si el Comprador no presenta objeciones al nombramiento dentro de un plazo de catorce (14) días, se considerará que el representante del Proveedor ha sido aprobado. Si el Comprador presenta objeciones dentro del plazo de catorce (14) días, </w:t>
            </w:r>
            <w:r w:rsidR="00086489" w:rsidRPr="00576AF8">
              <w:t xml:space="preserve">y expresa </w:t>
            </w:r>
            <w:r w:rsidRPr="00576AF8">
              <w:t xml:space="preserve">las razones correspondientes, el Proveedor designará un sustituto dentro de los catorce (14) días posteriores a dicha presentación de conformidad con lo dispuesto en </w:t>
            </w:r>
            <w:r w:rsidR="00086489" w:rsidRPr="00576AF8">
              <w:t xml:space="preserve">esta </w:t>
            </w:r>
            <w:r w:rsidRPr="00576AF8">
              <w:t>cláusula 18.2.1 de las CGC.</w:t>
            </w:r>
          </w:p>
          <w:p w14:paraId="51DD69D7" w14:textId="77777777" w:rsidR="00A20832" w:rsidRPr="00576AF8" w:rsidRDefault="00A20832" w:rsidP="00227FC3">
            <w:pPr>
              <w:keepNext/>
              <w:keepLines/>
              <w:spacing w:before="240" w:after="200"/>
              <w:ind w:left="1170" w:right="-19" w:hanging="630"/>
              <w:outlineLvl w:val="4"/>
            </w:pPr>
            <w:r w:rsidRPr="00576AF8">
              <w:t>18.2.2</w:t>
            </w:r>
            <w:r w:rsidRPr="00576AF8">
              <w:rPr>
                <w:b/>
              </w:rPr>
              <w:t>A menos que en las CEC</w:t>
            </w:r>
            <w:r w:rsidRPr="00576AF8">
              <w:t xml:space="preserve"> </w:t>
            </w:r>
            <w:r w:rsidR="00997CAB" w:rsidRPr="00576AF8">
              <w:rPr>
                <w:b/>
              </w:rPr>
              <w:t xml:space="preserve">se especifique otra cosa </w:t>
            </w:r>
            <w:r w:rsidRPr="00576AF8">
              <w:t>(si las hubiera), el representante del Proveedor estará autorizado para representar al Proveedor en todos los asuntos diarios relacionados con el Sistema o derivados del Contrato, y será normalmente la persona que dé y reciba notificaciones en nombre del Proveedor de acuerdo con lo dispuesto en la cláusula 4 de las CGC.</w:t>
            </w:r>
          </w:p>
          <w:p w14:paraId="36324B07" w14:textId="77777777" w:rsidR="00A20832" w:rsidRPr="00576AF8" w:rsidRDefault="00A20832" w:rsidP="00227FC3">
            <w:pPr>
              <w:spacing w:after="200"/>
              <w:ind w:left="1170" w:right="-19" w:hanging="630"/>
              <w:rPr>
                <w:spacing w:val="-4"/>
              </w:rPr>
            </w:pPr>
            <w:r w:rsidRPr="00576AF8">
              <w:rPr>
                <w:spacing w:val="-4"/>
              </w:rPr>
              <w:t>18.2.3</w:t>
            </w:r>
            <w:r w:rsidRPr="00576AF8">
              <w:rPr>
                <w:spacing w:val="-4"/>
              </w:rPr>
              <w:tab/>
              <w:t xml:space="preserve">El Proveedor no podrá revocar el nombramiento de su representante sin el consentimiento previo por escrito del Comprador, el cual no podrá negarse sin motivos razonables. Si el Comprador consiente en ello, el </w:t>
            </w:r>
            <w:r w:rsidR="00300FAF" w:rsidRPr="00576AF8">
              <w:rPr>
                <w:spacing w:val="-4"/>
              </w:rPr>
              <w:br/>
            </w:r>
            <w:r w:rsidRPr="00576AF8">
              <w:rPr>
                <w:spacing w:val="-4"/>
              </w:rPr>
              <w:t>Proveedor designará otra persona con iguales o mejores calificaciones que su representante, según el procedimiento estipulado en la cláusula 18.2.1 de las CGC.</w:t>
            </w:r>
          </w:p>
          <w:p w14:paraId="427510ED" w14:textId="77777777" w:rsidR="00A20832" w:rsidRPr="00576AF8" w:rsidRDefault="00A20832" w:rsidP="00227FC3">
            <w:pPr>
              <w:keepNext/>
              <w:keepLines/>
              <w:spacing w:before="240" w:after="200"/>
              <w:ind w:left="1170" w:right="-19" w:hanging="630"/>
              <w:outlineLvl w:val="4"/>
            </w:pPr>
            <w:r w:rsidRPr="00576AF8">
              <w:lastRenderedPageBreak/>
              <w:t>18.2.4</w:t>
            </w:r>
            <w:r w:rsidRPr="00576AF8">
              <w:tab/>
              <w:t>El representante y el personal del Proveedor están obligados a trabajar en estrecha colaboración con el gerente de proyecto y el personal del Comprador, actuar dentro de su propio mandato y respetar las directivas emitidas por el Comprador que sean congruentes con las condiciones del Contrato. El representante del Proveedor es responsable de dirigir las actividades de su personal y del personal subcontratado.</w:t>
            </w:r>
          </w:p>
          <w:p w14:paraId="20173595" w14:textId="77777777" w:rsidR="00A20832" w:rsidRPr="00576AF8" w:rsidRDefault="00A20832" w:rsidP="00227FC3">
            <w:pPr>
              <w:spacing w:after="200"/>
              <w:ind w:left="1170" w:right="-19" w:hanging="630"/>
              <w:rPr>
                <w:spacing w:val="-4"/>
              </w:rPr>
            </w:pPr>
            <w:r w:rsidRPr="00576AF8">
              <w:rPr>
                <w:spacing w:val="-4"/>
              </w:rPr>
              <w:t>18.2.5</w:t>
            </w:r>
            <w:r w:rsidRPr="00576AF8">
              <w:rPr>
                <w:spacing w:val="-4"/>
              </w:rPr>
              <w:tab/>
              <w:t xml:space="preserve">Con sujeción a la aprobación del Comprador (que no podrá negarse sin </w:t>
            </w:r>
            <w:r w:rsidR="003732B5" w:rsidRPr="00576AF8">
              <w:rPr>
                <w:spacing w:val="-4"/>
              </w:rPr>
              <w:t>motivos razonables</w:t>
            </w:r>
            <w:r w:rsidRPr="00576AF8">
              <w:rPr>
                <w:spacing w:val="-4"/>
              </w:rPr>
              <w:t>), el representante del Proveedor podrá en todo momento delegar en cualquier persona cualquier facultad, función y poder que le hayan sido conferidos. Esa delegación podrá revocarse en cualquier momento. Toda delegación o revocación estará sujeta a una notificación previa firmada por el representante del Proveedor, en la que se especificarán las facultades, funciones y poderes que se delegan o revocan en virtud de ella. La delegación o revocación no tendrá efecto hasta que se haya entregado la notificación pertinente.</w:t>
            </w:r>
            <w:r w:rsidR="00D310A5" w:rsidRPr="00576AF8">
              <w:rPr>
                <w:spacing w:val="-4"/>
              </w:rPr>
              <w:t xml:space="preserve"> </w:t>
            </w:r>
          </w:p>
          <w:p w14:paraId="356F54AB" w14:textId="77777777" w:rsidR="00A20832" w:rsidRPr="00576AF8" w:rsidRDefault="00A20832" w:rsidP="00227FC3">
            <w:pPr>
              <w:keepNext/>
              <w:keepLines/>
              <w:spacing w:before="240" w:after="200"/>
              <w:ind w:left="1170" w:right="-19" w:hanging="630"/>
              <w:outlineLvl w:val="4"/>
            </w:pPr>
            <w:r w:rsidRPr="00576AF8">
              <w:t>18.2.6</w:t>
            </w:r>
            <w:r w:rsidRPr="00576AF8">
              <w:tab/>
              <w:t>Todo acto o ejercicio por una persona de las facultades, funciones y poderes delegados en ella de conformidad con lo dispuesto en la cláusula 18.2.5 de las CGC se considerará como un acto o ejercicio del representante del Proveedor.</w:t>
            </w:r>
          </w:p>
          <w:p w14:paraId="0B0FFF2A" w14:textId="77777777" w:rsidR="00A20832" w:rsidRPr="00576AF8" w:rsidRDefault="00A20832" w:rsidP="00227FC3">
            <w:pPr>
              <w:keepNext/>
              <w:keepLines/>
              <w:spacing w:before="240" w:after="200"/>
              <w:ind w:left="630" w:right="-19" w:hanging="630"/>
              <w:outlineLvl w:val="4"/>
            </w:pPr>
            <w:r w:rsidRPr="00576AF8">
              <w:t>18.3</w:t>
            </w:r>
            <w:r w:rsidRPr="00576AF8">
              <w:tab/>
              <w:t>Objeciones y remociones</w:t>
            </w:r>
          </w:p>
          <w:p w14:paraId="7FBC95F7" w14:textId="77777777" w:rsidR="00A20832" w:rsidRPr="00576AF8" w:rsidRDefault="00A20832" w:rsidP="00227FC3">
            <w:pPr>
              <w:keepNext/>
              <w:keepLines/>
              <w:spacing w:before="240" w:after="200"/>
              <w:ind w:left="1170" w:right="-19" w:hanging="630"/>
              <w:outlineLvl w:val="4"/>
            </w:pPr>
            <w:r w:rsidRPr="00576AF8">
              <w:t>18.3.1</w:t>
            </w:r>
            <w:r w:rsidRPr="00576AF8">
              <w:tab/>
              <w:t xml:space="preserve">El Comprador podrá, mediante notificación al Proveedor, oponer objeciones a cualquier representante o persona empleada por este último en la ejecución del Contrato que, en su opinión razonable, </w:t>
            </w:r>
            <w:r w:rsidR="003732B5" w:rsidRPr="00576AF8">
              <w:t xml:space="preserve">pueda </w:t>
            </w:r>
            <w:r w:rsidRPr="00576AF8">
              <w:t>haberse comportado de manera inapropiada, ser incompetente o ser negligente. El Comprador aportará pruebas de ello, tras lo cual el Proveedor ordenará que esa persona deje de trabajar en el Sistema.</w:t>
            </w:r>
          </w:p>
          <w:p w14:paraId="00D22F47" w14:textId="77777777" w:rsidR="00A20832" w:rsidRPr="00576AF8" w:rsidRDefault="00A20832" w:rsidP="004D686D">
            <w:pPr>
              <w:keepNext/>
              <w:keepLines/>
              <w:tabs>
                <w:tab w:val="left" w:pos="1314"/>
              </w:tabs>
              <w:spacing w:before="240" w:after="200"/>
              <w:ind w:left="1170" w:right="-19" w:hanging="540"/>
              <w:outlineLvl w:val="4"/>
            </w:pPr>
            <w:r w:rsidRPr="00576AF8">
              <w:t>18.3.2</w:t>
            </w:r>
            <w:r w:rsidRPr="00576AF8">
              <w:tab/>
              <w:t xml:space="preserve">Si un representante o persona empleada por el Proveedor es removida conforme a lo dispuesto en la cláusula 18.3.1 de las CGC, el </w:t>
            </w:r>
            <w:r w:rsidR="00086489" w:rsidRPr="00576AF8">
              <w:t xml:space="preserve">Proveedor </w:t>
            </w:r>
            <w:r w:rsidRPr="00576AF8">
              <w:t>nombrará sin demora, cuando sea necesario, un sustituto.</w:t>
            </w:r>
          </w:p>
        </w:tc>
      </w:tr>
      <w:tr w:rsidR="00A20832" w:rsidRPr="00576AF8" w14:paraId="6DDA4420" w14:textId="77777777" w:rsidTr="00227FC3">
        <w:tc>
          <w:tcPr>
            <w:tcW w:w="2552" w:type="dxa"/>
          </w:tcPr>
          <w:p w14:paraId="4B60F44F" w14:textId="77777777" w:rsidR="00A20832" w:rsidRPr="00576AF8" w:rsidRDefault="00A20832" w:rsidP="00A35BE3">
            <w:pPr>
              <w:pStyle w:val="Head62"/>
              <w:jc w:val="both"/>
            </w:pPr>
            <w:bookmarkStart w:id="1548" w:name="_Toc277233340"/>
            <w:bookmarkStart w:id="1549" w:name="_Toc488959039"/>
            <w:r w:rsidRPr="00576AF8">
              <w:lastRenderedPageBreak/>
              <w:t>19.</w:t>
            </w:r>
            <w:r w:rsidRPr="00576AF8">
              <w:tab/>
              <w:t>Plan del Proyecto</w:t>
            </w:r>
            <w:bookmarkEnd w:id="1548"/>
            <w:bookmarkEnd w:id="1549"/>
          </w:p>
        </w:tc>
        <w:tc>
          <w:tcPr>
            <w:tcW w:w="6804" w:type="dxa"/>
          </w:tcPr>
          <w:p w14:paraId="61895DA4" w14:textId="77777777" w:rsidR="00A20832" w:rsidRPr="00576AF8" w:rsidRDefault="003732B5" w:rsidP="00227FC3">
            <w:pPr>
              <w:keepNext/>
              <w:keepLines/>
              <w:spacing w:before="240" w:after="200"/>
              <w:ind w:left="540" w:right="-19" w:hanging="540"/>
              <w:outlineLvl w:val="4"/>
            </w:pPr>
            <w:r w:rsidRPr="00576AF8">
              <w:t>19.1</w:t>
            </w:r>
            <w:r w:rsidRPr="00576AF8">
              <w:tab/>
            </w:r>
            <w:r w:rsidR="00A20832" w:rsidRPr="00576AF8">
              <w:t xml:space="preserve">En estrecha colaboración con el Comprador y a partir del plan preliminar </w:t>
            </w:r>
            <w:r w:rsidRPr="00576AF8">
              <w:t xml:space="preserve">del Proyecto </w:t>
            </w:r>
            <w:r w:rsidR="00A20832" w:rsidRPr="00576AF8">
              <w:t xml:space="preserve">incluido en la </w:t>
            </w:r>
            <w:r w:rsidR="00BC72E3" w:rsidRPr="00576AF8">
              <w:t>O</w:t>
            </w:r>
            <w:r w:rsidR="00A20832" w:rsidRPr="00576AF8">
              <w:t xml:space="preserve">ferta del Proveedor, este último elaborará un plan de proyecto que abarcará las actividades especificadas en el Contrato. El contenido de dicho plan será el </w:t>
            </w:r>
            <w:r w:rsidR="00A20832" w:rsidRPr="00576AF8">
              <w:rPr>
                <w:b/>
              </w:rPr>
              <w:t>especificado en las CEC</w:t>
            </w:r>
            <w:r w:rsidR="00A20832" w:rsidRPr="00576AF8">
              <w:t xml:space="preserve"> o los requisitos técnicos.</w:t>
            </w:r>
            <w:r w:rsidR="00D310A5" w:rsidRPr="00576AF8">
              <w:t xml:space="preserve"> </w:t>
            </w:r>
          </w:p>
        </w:tc>
      </w:tr>
      <w:tr w:rsidR="00A20832" w:rsidRPr="00576AF8" w14:paraId="65E2AE79" w14:textId="77777777" w:rsidTr="00227FC3">
        <w:tc>
          <w:tcPr>
            <w:tcW w:w="2552" w:type="dxa"/>
          </w:tcPr>
          <w:p w14:paraId="697480E0" w14:textId="77777777" w:rsidR="00A20832" w:rsidRPr="00576AF8" w:rsidRDefault="00A20832" w:rsidP="00A35BE3">
            <w:pPr>
              <w:spacing w:after="0"/>
              <w:jc w:val="left"/>
            </w:pPr>
          </w:p>
        </w:tc>
        <w:tc>
          <w:tcPr>
            <w:tcW w:w="6804" w:type="dxa"/>
          </w:tcPr>
          <w:p w14:paraId="3580F7F4" w14:textId="77777777" w:rsidR="00A20832" w:rsidRPr="00576AF8" w:rsidRDefault="00A20832" w:rsidP="00227FC3">
            <w:pPr>
              <w:keepNext/>
              <w:keepLines/>
              <w:spacing w:before="240" w:after="200"/>
              <w:ind w:left="547" w:right="-19" w:hanging="547"/>
              <w:outlineLvl w:val="4"/>
            </w:pPr>
            <w:r w:rsidRPr="00576AF8">
              <w:t>19.2</w:t>
            </w:r>
            <w:r w:rsidRPr="00576AF8">
              <w:tab/>
            </w:r>
            <w:r w:rsidRPr="00576AF8">
              <w:rPr>
                <w:b/>
              </w:rPr>
              <w:t>A menos que en las CEC</w:t>
            </w:r>
            <w:r w:rsidR="00997CAB" w:rsidRPr="00576AF8">
              <w:rPr>
                <w:b/>
              </w:rPr>
              <w:t xml:space="preserve"> se especifique otra cosa</w:t>
            </w:r>
            <w:r w:rsidRPr="00576AF8">
              <w:t xml:space="preserve">, dentro de un plazo de </w:t>
            </w:r>
            <w:r w:rsidRPr="00576AF8">
              <w:rPr>
                <w:rStyle w:val="preparersnote"/>
                <w:b w:val="0"/>
                <w:i w:val="0"/>
              </w:rPr>
              <w:t>treinta (30)</w:t>
            </w:r>
            <w:r w:rsidRPr="00576AF8">
              <w:t xml:space="preserve"> días de la fecha </w:t>
            </w:r>
            <w:r w:rsidR="008B6E41" w:rsidRPr="00576AF8">
              <w:t xml:space="preserve">de entrada en vigor </w:t>
            </w:r>
            <w:r w:rsidRPr="00576AF8">
              <w:t>del Contrato, el Proveedor deberá presentar un plan de</w:t>
            </w:r>
            <w:r w:rsidR="00282902" w:rsidRPr="00576AF8">
              <w:t>l</w:t>
            </w:r>
            <w:r w:rsidRPr="00576AF8">
              <w:t xml:space="preserve"> </w:t>
            </w:r>
            <w:r w:rsidR="00282902" w:rsidRPr="00576AF8">
              <w:t>P</w:t>
            </w:r>
            <w:r w:rsidRPr="00576AF8">
              <w:t xml:space="preserve">royecto al Comprador. El comprador deberá, dentro de los </w:t>
            </w:r>
            <w:r w:rsidRPr="00576AF8">
              <w:rPr>
                <w:rStyle w:val="preparersnote"/>
                <w:b w:val="0"/>
                <w:i w:val="0"/>
              </w:rPr>
              <w:t>catorce (14)</w:t>
            </w:r>
            <w:r w:rsidRPr="00576AF8">
              <w:rPr>
                <w:b/>
              </w:rPr>
              <w:t xml:space="preserve"> </w:t>
            </w:r>
            <w:r w:rsidRPr="00576AF8">
              <w:t>días posteriores a la recepción de</w:t>
            </w:r>
            <w:r w:rsidR="00282902" w:rsidRPr="00576AF8">
              <w:t xml:space="preserve"> dicho</w:t>
            </w:r>
            <w:r w:rsidRPr="00576AF8">
              <w:t xml:space="preserve"> plan, notificar al Proveedor de los aspectos en </w:t>
            </w:r>
            <w:r w:rsidR="00282902" w:rsidRPr="00576AF8">
              <w:t xml:space="preserve">los </w:t>
            </w:r>
            <w:r w:rsidRPr="00576AF8">
              <w:t>que considera que el plan de</w:t>
            </w:r>
            <w:r w:rsidR="00282902" w:rsidRPr="00576AF8">
              <w:t>l P</w:t>
            </w:r>
            <w:r w:rsidRPr="00576AF8">
              <w:t>royecto no garantiza adecuadamente que el programa de trabajo propuesto, los métodos propuestos o las tecnologías de la información propuestas cumplirán los requisitos técnicos o las CEC (denominados “no conformidades” más adelante en esta cláusula). El Proveedor deberá, dentro de los</w:t>
            </w:r>
            <w:r w:rsidRPr="00576AF8">
              <w:rPr>
                <w:rStyle w:val="preparersnote"/>
                <w:b w:val="0"/>
                <w:i w:val="0"/>
              </w:rPr>
              <w:t xml:space="preserve"> cinco (5)</w:t>
            </w:r>
            <w:r w:rsidRPr="00576AF8">
              <w:t xml:space="preserve"> días posteriores a dicha notificación, corregir el plan de</w:t>
            </w:r>
            <w:r w:rsidR="00282902" w:rsidRPr="00576AF8">
              <w:t>l</w:t>
            </w:r>
            <w:r w:rsidRPr="00576AF8">
              <w:t xml:space="preserve"> </w:t>
            </w:r>
            <w:r w:rsidR="00282902" w:rsidRPr="00576AF8">
              <w:t>P</w:t>
            </w:r>
            <w:r w:rsidRPr="00576AF8">
              <w:t xml:space="preserve">royecto y presentarlo nuevamente al Comprador. El Comprador deberá, dentro de los </w:t>
            </w:r>
            <w:r w:rsidRPr="00576AF8">
              <w:rPr>
                <w:rStyle w:val="preparersnote"/>
                <w:b w:val="0"/>
                <w:i w:val="0"/>
              </w:rPr>
              <w:t>cinco (5)</w:t>
            </w:r>
            <w:r w:rsidRPr="00576AF8">
              <w:t xml:space="preserve"> días posteriores a la nueva presentación del plan de proyecto, notificar al Proveedor de las no conformidades que subsistan. Este procedimiento deberá repetirse cuantas veces sean necesarias hasta que ya no queden más no conformidades relacionadas con el plan de</w:t>
            </w:r>
            <w:r w:rsidR="00282902" w:rsidRPr="00576AF8">
              <w:t>l</w:t>
            </w:r>
            <w:r w:rsidRPr="00576AF8">
              <w:t xml:space="preserve"> </w:t>
            </w:r>
            <w:r w:rsidR="00282902" w:rsidRPr="00576AF8">
              <w:t>P</w:t>
            </w:r>
            <w:r w:rsidRPr="00576AF8">
              <w:t>royecto. Cuando ya no queden más no conformidades relacionadas con el plan de</w:t>
            </w:r>
            <w:r w:rsidR="00282902" w:rsidRPr="00576AF8">
              <w:t>l</w:t>
            </w:r>
            <w:r w:rsidRPr="00576AF8">
              <w:t xml:space="preserve"> </w:t>
            </w:r>
            <w:r w:rsidR="00282902" w:rsidRPr="00576AF8">
              <w:t>P</w:t>
            </w:r>
            <w:r w:rsidRPr="00576AF8">
              <w:t>royecto, el Comprador deberá enviar la confirmación por escrito al Proveedor. Este plan de</w:t>
            </w:r>
            <w:r w:rsidR="00282902" w:rsidRPr="00576AF8">
              <w:t>l</w:t>
            </w:r>
            <w:r w:rsidRPr="00576AF8">
              <w:t xml:space="preserve"> </w:t>
            </w:r>
            <w:r w:rsidR="00282902" w:rsidRPr="00576AF8">
              <w:t>P</w:t>
            </w:r>
            <w:r w:rsidRPr="00576AF8">
              <w:t xml:space="preserve">royecto aprobado (el “plan </w:t>
            </w:r>
            <w:r w:rsidR="002034C3" w:rsidRPr="00576AF8">
              <w:t>acordado para el P</w:t>
            </w:r>
            <w:r w:rsidRPr="00576AF8">
              <w:t xml:space="preserve">royecto”) será contractualmente obligatorio para el Comprador y el Proveedor. </w:t>
            </w:r>
          </w:p>
          <w:p w14:paraId="2FB518AB" w14:textId="77777777" w:rsidR="00A20832" w:rsidRPr="00576AF8" w:rsidRDefault="00A20832" w:rsidP="00227FC3">
            <w:pPr>
              <w:keepNext/>
              <w:keepLines/>
              <w:spacing w:before="240" w:after="200"/>
              <w:ind w:left="547" w:right="-19" w:hanging="547"/>
              <w:outlineLvl w:val="4"/>
            </w:pPr>
            <w:r w:rsidRPr="00576AF8">
              <w:t xml:space="preserve">19.3 Si así se solicita, el impacto en el programa de ejecución de las modificaciones convenidas durante la finalización del plan </w:t>
            </w:r>
            <w:r w:rsidR="002034C3" w:rsidRPr="00576AF8">
              <w:t xml:space="preserve">acordado para el </w:t>
            </w:r>
            <w:r w:rsidR="00D86C23" w:rsidRPr="00576AF8">
              <w:t>P</w:t>
            </w:r>
            <w:r w:rsidRPr="00576AF8">
              <w:t>royecto se incorporará en el Contrato en forma de enmienda, conforme a lo dispuesto en las cláusulas 39 y 40.</w:t>
            </w:r>
          </w:p>
          <w:p w14:paraId="51802778" w14:textId="77777777" w:rsidR="00A20832" w:rsidRPr="00576AF8" w:rsidRDefault="00A20832" w:rsidP="00227FC3">
            <w:pPr>
              <w:keepNext/>
              <w:keepLines/>
              <w:spacing w:before="240" w:after="200"/>
              <w:ind w:left="547" w:right="-19" w:hanging="547"/>
              <w:outlineLvl w:val="4"/>
            </w:pPr>
            <w:r w:rsidRPr="00576AF8">
              <w:t>19.4</w:t>
            </w:r>
            <w:r w:rsidRPr="00576AF8">
              <w:tab/>
              <w:t xml:space="preserve">El Proveedor se encargará de proveer, instalar, probar y poner en servicio el Sistema de conformidad con lo dispuesto en el plan </w:t>
            </w:r>
            <w:r w:rsidR="002034C3" w:rsidRPr="00576AF8">
              <w:t>acordado para el P</w:t>
            </w:r>
            <w:r w:rsidRPr="00576AF8">
              <w:t>royecto y en el Contrato.</w:t>
            </w:r>
          </w:p>
          <w:p w14:paraId="3C770E25" w14:textId="77777777" w:rsidR="00A20832" w:rsidRPr="00576AF8" w:rsidRDefault="00A20832" w:rsidP="00227FC3">
            <w:pPr>
              <w:keepNext/>
              <w:keepLines/>
              <w:spacing w:before="240" w:after="200"/>
              <w:ind w:left="547" w:right="-19" w:hanging="547"/>
              <w:outlineLvl w:val="4"/>
            </w:pPr>
            <w:r w:rsidRPr="00576AF8">
              <w:t>19.5</w:t>
            </w:r>
            <w:r w:rsidRPr="00576AF8">
              <w:tab/>
            </w:r>
            <w:r w:rsidRPr="00576AF8">
              <w:rPr>
                <w:b/>
              </w:rPr>
              <w:t>A menos que en las CEC</w:t>
            </w:r>
            <w:r w:rsidR="00997CAB" w:rsidRPr="00576AF8">
              <w:rPr>
                <w:b/>
              </w:rPr>
              <w:t xml:space="preserve"> se especifique otra cosa</w:t>
            </w:r>
            <w:r w:rsidRPr="00576AF8">
              <w:t>, el Proveedor presentará al Comprador informes de situación mensuales en los que resumirá:</w:t>
            </w:r>
          </w:p>
          <w:p w14:paraId="3E667C54" w14:textId="77777777" w:rsidR="00A20832" w:rsidRPr="00576AF8" w:rsidRDefault="004D686D" w:rsidP="00227FC3">
            <w:pPr>
              <w:keepNext/>
              <w:keepLines/>
              <w:spacing w:before="240" w:after="200"/>
              <w:ind w:left="1080" w:right="-19" w:hanging="547"/>
              <w:outlineLvl w:val="4"/>
            </w:pPr>
            <w:r w:rsidRPr="00576AF8">
              <w:t>(</w:t>
            </w:r>
            <w:r w:rsidR="00A20832" w:rsidRPr="00576AF8">
              <w:t xml:space="preserve">i) </w:t>
            </w:r>
            <w:r w:rsidR="00A20832" w:rsidRPr="00576AF8">
              <w:tab/>
              <w:t>los resultados logrados durante el período anterior;</w:t>
            </w:r>
          </w:p>
          <w:p w14:paraId="7CBC8904" w14:textId="77777777" w:rsidR="00A20832" w:rsidRPr="00576AF8" w:rsidRDefault="004D686D" w:rsidP="00227FC3">
            <w:pPr>
              <w:keepNext/>
              <w:keepLines/>
              <w:spacing w:before="240" w:after="200"/>
              <w:ind w:left="1080" w:right="-19" w:hanging="547"/>
              <w:outlineLvl w:val="4"/>
            </w:pPr>
            <w:r w:rsidRPr="00576AF8">
              <w:t>(</w:t>
            </w:r>
            <w:r w:rsidR="00A20832" w:rsidRPr="00576AF8">
              <w:t xml:space="preserve">ii) </w:t>
            </w:r>
            <w:r w:rsidR="00A20832" w:rsidRPr="00576AF8">
              <w:tab/>
              <w:t xml:space="preserve">las deviaciones acumuladas hasta la fecha de los hitos del </w:t>
            </w:r>
            <w:r w:rsidR="00282902" w:rsidRPr="00576AF8">
              <w:t xml:space="preserve">cronograma </w:t>
            </w:r>
            <w:r w:rsidR="00A20832" w:rsidRPr="00576AF8">
              <w:t xml:space="preserve">de progresos, según lo especificado en el plan </w:t>
            </w:r>
            <w:r w:rsidR="002034C3" w:rsidRPr="00576AF8">
              <w:t>acordado para el P</w:t>
            </w:r>
            <w:r w:rsidR="00A20832" w:rsidRPr="00576AF8">
              <w:t>royecto;</w:t>
            </w:r>
          </w:p>
          <w:p w14:paraId="67E14ADF" w14:textId="77777777" w:rsidR="00A20832" w:rsidRPr="00576AF8" w:rsidRDefault="004D686D" w:rsidP="00227FC3">
            <w:pPr>
              <w:keepNext/>
              <w:keepLines/>
              <w:spacing w:before="240" w:after="200"/>
              <w:ind w:left="1080" w:right="-19" w:hanging="547"/>
              <w:outlineLvl w:val="4"/>
            </w:pPr>
            <w:r w:rsidRPr="00576AF8">
              <w:lastRenderedPageBreak/>
              <w:t>(</w:t>
            </w:r>
            <w:r w:rsidR="00A20832" w:rsidRPr="00576AF8">
              <w:t xml:space="preserve">iii) </w:t>
            </w:r>
            <w:r w:rsidR="00A20832" w:rsidRPr="00576AF8">
              <w:tab/>
              <w:t xml:space="preserve">las medidas correctivas que se tomarán para volver al </w:t>
            </w:r>
            <w:r w:rsidR="00282902" w:rsidRPr="00576AF8">
              <w:t xml:space="preserve">cronograma </w:t>
            </w:r>
            <w:r w:rsidR="00A20832" w:rsidRPr="00576AF8">
              <w:t xml:space="preserve">de progresos, revisiones propuestas al </w:t>
            </w:r>
            <w:r w:rsidR="00282902" w:rsidRPr="00576AF8">
              <w:t xml:space="preserve">cronograma </w:t>
            </w:r>
            <w:r w:rsidR="00A20832" w:rsidRPr="00576AF8">
              <w:t>previsto;</w:t>
            </w:r>
          </w:p>
          <w:p w14:paraId="490246EB" w14:textId="77777777" w:rsidR="00A20832" w:rsidRPr="00576AF8" w:rsidRDefault="004D686D" w:rsidP="00227FC3">
            <w:pPr>
              <w:keepNext/>
              <w:keepLines/>
              <w:spacing w:before="240" w:after="200"/>
              <w:ind w:left="1080" w:right="-19" w:hanging="547"/>
              <w:outlineLvl w:val="4"/>
            </w:pPr>
            <w:r w:rsidRPr="00576AF8">
              <w:t>(</w:t>
            </w:r>
            <w:r w:rsidR="00A20832" w:rsidRPr="00576AF8">
              <w:t xml:space="preserve">iv) </w:t>
            </w:r>
            <w:r w:rsidR="00A20832" w:rsidRPr="00576AF8">
              <w:tab/>
              <w:t>otras cuestiones y problemas destacados, las medidas que se propone adoptar;</w:t>
            </w:r>
          </w:p>
          <w:p w14:paraId="77679383" w14:textId="77777777" w:rsidR="00A20832" w:rsidRPr="00576AF8" w:rsidRDefault="004D686D" w:rsidP="00227FC3">
            <w:pPr>
              <w:keepNext/>
              <w:keepLines/>
              <w:spacing w:before="240" w:after="200"/>
              <w:ind w:left="1080" w:right="-19" w:hanging="547"/>
              <w:outlineLvl w:val="4"/>
            </w:pPr>
            <w:r w:rsidRPr="00576AF8">
              <w:t>(</w:t>
            </w:r>
            <w:r w:rsidR="00A20832" w:rsidRPr="00576AF8">
              <w:t xml:space="preserve">v) </w:t>
            </w:r>
            <w:r w:rsidR="00A20832" w:rsidRPr="00576AF8">
              <w:tab/>
              <w:t xml:space="preserve">los recursos que el Proveedor espera que el </w:t>
            </w:r>
            <w:r w:rsidR="00282902" w:rsidRPr="00576AF8">
              <w:t xml:space="preserve">Comprador </w:t>
            </w:r>
            <w:r w:rsidR="00A20832" w:rsidRPr="00576AF8">
              <w:t>proporcione o las medidas que el Comprador adoptará en el período que abarcará el próximo informe;</w:t>
            </w:r>
          </w:p>
          <w:p w14:paraId="5B93093E" w14:textId="77777777" w:rsidR="00A20832" w:rsidRPr="00576AF8" w:rsidRDefault="004D686D" w:rsidP="00227FC3">
            <w:pPr>
              <w:keepNext/>
              <w:keepLines/>
              <w:spacing w:before="240" w:after="200"/>
              <w:ind w:left="1080" w:right="-19" w:hanging="547"/>
              <w:outlineLvl w:val="4"/>
            </w:pPr>
            <w:r w:rsidRPr="00576AF8">
              <w:t>(</w:t>
            </w:r>
            <w:r w:rsidR="00A20832" w:rsidRPr="00576AF8">
              <w:t xml:space="preserve">vi) </w:t>
            </w:r>
            <w:r w:rsidR="00A20832" w:rsidRPr="00576AF8">
              <w:tab/>
              <w:t xml:space="preserve">otras cuestiones </w:t>
            </w:r>
            <w:r w:rsidR="00282902" w:rsidRPr="00576AF8">
              <w:t>o</w:t>
            </w:r>
            <w:r w:rsidR="00A20832" w:rsidRPr="00576AF8">
              <w:t xml:space="preserve"> posibles problemas que el Proveedor anticipa que podrían incidir en los avances o la eficacia del proyecto.</w:t>
            </w:r>
          </w:p>
          <w:p w14:paraId="32D664B8" w14:textId="77777777" w:rsidR="00A20832" w:rsidRPr="00576AF8" w:rsidRDefault="00A20832" w:rsidP="004D686D">
            <w:pPr>
              <w:keepNext/>
              <w:keepLines/>
              <w:spacing w:before="240" w:after="200"/>
              <w:ind w:left="547" w:right="-19" w:hanging="547"/>
              <w:outlineLvl w:val="4"/>
            </w:pPr>
            <w:r w:rsidRPr="00576AF8">
              <w:t>19.6</w:t>
            </w:r>
            <w:r w:rsidRPr="00576AF8">
              <w:tab/>
              <w:t xml:space="preserve">El Proveedor deberá presentar al Comprador otros informes (periódicos), </w:t>
            </w:r>
            <w:r w:rsidR="00F772EC" w:rsidRPr="00576AF8">
              <w:rPr>
                <w:b/>
              </w:rPr>
              <w:t>conforme se especifica en las CEC</w:t>
            </w:r>
            <w:r w:rsidRPr="00576AF8">
              <w:t>.</w:t>
            </w:r>
          </w:p>
        </w:tc>
      </w:tr>
      <w:tr w:rsidR="00A20832" w:rsidRPr="00576AF8" w14:paraId="5CF095BF" w14:textId="77777777" w:rsidTr="00227FC3">
        <w:tc>
          <w:tcPr>
            <w:tcW w:w="2552" w:type="dxa"/>
          </w:tcPr>
          <w:p w14:paraId="444C4AAC" w14:textId="77777777" w:rsidR="00A20832" w:rsidRPr="00576AF8" w:rsidRDefault="00A20832" w:rsidP="00A35BE3">
            <w:pPr>
              <w:pStyle w:val="Head62"/>
            </w:pPr>
            <w:bookmarkStart w:id="1550" w:name="_Toc277233341"/>
            <w:bookmarkStart w:id="1551" w:name="_Toc488959040"/>
            <w:r w:rsidRPr="00576AF8">
              <w:lastRenderedPageBreak/>
              <w:t>20.</w:t>
            </w:r>
            <w:r w:rsidRPr="00576AF8">
              <w:tab/>
              <w:t>Subcontratación</w:t>
            </w:r>
            <w:bookmarkEnd w:id="1550"/>
            <w:bookmarkEnd w:id="1551"/>
          </w:p>
        </w:tc>
        <w:tc>
          <w:tcPr>
            <w:tcW w:w="6804" w:type="dxa"/>
          </w:tcPr>
          <w:p w14:paraId="3DD985D8" w14:textId="77777777" w:rsidR="00A20832" w:rsidRPr="00576AF8" w:rsidRDefault="00A20832" w:rsidP="00227FC3">
            <w:pPr>
              <w:keepNext/>
              <w:keepLines/>
              <w:spacing w:before="240" w:after="200"/>
              <w:ind w:left="547" w:right="-19" w:hanging="547"/>
              <w:outlineLvl w:val="4"/>
            </w:pPr>
            <w:r w:rsidRPr="00576AF8">
              <w:t>20.1</w:t>
            </w:r>
            <w:r w:rsidRPr="00576AF8">
              <w:tab/>
              <w:t xml:space="preserve">En el apéndice 3 (Lista de </w:t>
            </w:r>
            <w:r w:rsidR="00A07C8B" w:rsidRPr="00576AF8">
              <w:t>s</w:t>
            </w:r>
            <w:r w:rsidRPr="00576AF8">
              <w:t xml:space="preserve">ubcontratistas aprobados) del Convenio </w:t>
            </w:r>
            <w:r w:rsidR="00282902" w:rsidRPr="00576AF8">
              <w:t xml:space="preserve">Contractual </w:t>
            </w:r>
            <w:r w:rsidRPr="00576AF8">
              <w:t xml:space="preserve">se especifican los elementos críticos de suministro o de servicios, y se incluye una lista de </w:t>
            </w:r>
            <w:r w:rsidR="00A07C8B" w:rsidRPr="00576AF8">
              <w:t>s</w:t>
            </w:r>
            <w:r w:rsidRPr="00576AF8">
              <w:t xml:space="preserve">ubcontratistas para cada elemento considerados aceptables por el Comprador. En el caso de que no se enumeren </w:t>
            </w:r>
            <w:r w:rsidR="00A07C8B" w:rsidRPr="00576AF8">
              <w:t>s</w:t>
            </w:r>
            <w:r w:rsidRPr="00576AF8">
              <w:t xml:space="preserve">ubcontratistas para un elemento, el Proveedor preparará una lista de </w:t>
            </w:r>
            <w:r w:rsidR="00A07C8B" w:rsidRPr="00576AF8">
              <w:t>s</w:t>
            </w:r>
            <w:r w:rsidRPr="00576AF8">
              <w:t xml:space="preserve">ubcontratistas que considera calificados y desea que se agreguen a la lista correspondiente a dichos elementos. El Proveedor podrá proponer ocasionalmente que se agreguen o supriman </w:t>
            </w:r>
            <w:r w:rsidR="00A07C8B" w:rsidRPr="00576AF8">
              <w:t>s</w:t>
            </w:r>
            <w:r w:rsidRPr="00576AF8">
              <w:t xml:space="preserve">ubcontratistas de esa lista. El Proveedor presentará al Comprador, para que este la apruebe, la lista o las modificaciones introducidas en </w:t>
            </w:r>
            <w:r w:rsidR="00282902" w:rsidRPr="00576AF8">
              <w:t>e</w:t>
            </w:r>
            <w:r w:rsidRPr="00576AF8">
              <w:t xml:space="preserve">sta con tiempo suficiente para no obstaculizar la marcha de los trabajos en el Sistema. El Comprador no podrá negar dicha aprobación sin un motivo razonable. La aprobación por el Comprador de un </w:t>
            </w:r>
            <w:r w:rsidR="00A07C8B" w:rsidRPr="00576AF8">
              <w:t>s</w:t>
            </w:r>
            <w:r w:rsidRPr="00576AF8">
              <w:t>ubcontratista no eximirá al Proveedor de ninguna de sus obligaciones, deberes o responsabilidades contraídos en virtud del Contrato.</w:t>
            </w:r>
          </w:p>
        </w:tc>
      </w:tr>
      <w:tr w:rsidR="00A20832" w:rsidRPr="00576AF8" w14:paraId="4D9ED872" w14:textId="77777777" w:rsidTr="00227FC3">
        <w:tc>
          <w:tcPr>
            <w:tcW w:w="2552" w:type="dxa"/>
          </w:tcPr>
          <w:p w14:paraId="14AD97E8" w14:textId="77777777" w:rsidR="00A20832" w:rsidRPr="00576AF8" w:rsidRDefault="00A20832" w:rsidP="00A35BE3">
            <w:pPr>
              <w:spacing w:after="0"/>
              <w:jc w:val="left"/>
            </w:pPr>
          </w:p>
        </w:tc>
        <w:tc>
          <w:tcPr>
            <w:tcW w:w="6804" w:type="dxa"/>
          </w:tcPr>
          <w:p w14:paraId="62A958C0" w14:textId="77777777" w:rsidR="00A20832" w:rsidRPr="00576AF8" w:rsidRDefault="00A20832" w:rsidP="00227FC3">
            <w:pPr>
              <w:spacing w:after="200"/>
              <w:ind w:left="547" w:right="-19" w:hanging="547"/>
              <w:rPr>
                <w:spacing w:val="-4"/>
              </w:rPr>
            </w:pPr>
            <w:r w:rsidRPr="00576AF8">
              <w:rPr>
                <w:spacing w:val="-4"/>
              </w:rPr>
              <w:t>20.2</w:t>
            </w:r>
            <w:r w:rsidRPr="00576AF8">
              <w:rPr>
                <w:spacing w:val="-4"/>
              </w:rPr>
              <w:tab/>
              <w:t xml:space="preserve">El Proveedor, podrá, a su discreción, seleccionar y utilizar a </w:t>
            </w:r>
            <w:r w:rsidR="00A07C8B" w:rsidRPr="00576AF8">
              <w:rPr>
                <w:spacing w:val="-4"/>
              </w:rPr>
              <w:t>s</w:t>
            </w:r>
            <w:r w:rsidRPr="00576AF8">
              <w:rPr>
                <w:spacing w:val="-4"/>
              </w:rPr>
              <w:t xml:space="preserve">ubcontratistas para esos elementos críticos a partir de la lista de </w:t>
            </w:r>
            <w:r w:rsidR="00A07C8B" w:rsidRPr="00576AF8">
              <w:rPr>
                <w:spacing w:val="-4"/>
              </w:rPr>
              <w:t>s</w:t>
            </w:r>
            <w:r w:rsidRPr="00576AF8">
              <w:rPr>
                <w:spacing w:val="-4"/>
              </w:rPr>
              <w:t xml:space="preserve">ubcontratistas elaborada conforme a lo dispuesto en la cláusula 20.1 de las CGC. Si el Proveedor desea recurrir a un </w:t>
            </w:r>
            <w:r w:rsidR="00A07C8B" w:rsidRPr="00576AF8">
              <w:rPr>
                <w:spacing w:val="-4"/>
              </w:rPr>
              <w:t>s</w:t>
            </w:r>
            <w:r w:rsidRPr="00576AF8">
              <w:rPr>
                <w:spacing w:val="-4"/>
              </w:rPr>
              <w:t>ubcontratista no incluido en la lista o subcontratar un elemento no incluido en la lista, deberá obtener la aprobación del Comprador de conformidad con lo dispuesto en la cláusula 20.3 de las CGC.</w:t>
            </w:r>
          </w:p>
          <w:p w14:paraId="15BEA3CE" w14:textId="77777777" w:rsidR="00A20832" w:rsidRPr="00576AF8" w:rsidRDefault="00A20832" w:rsidP="00227FC3">
            <w:pPr>
              <w:keepNext/>
              <w:keepLines/>
              <w:spacing w:before="240" w:after="200"/>
              <w:ind w:left="547" w:right="-19" w:hanging="547"/>
              <w:outlineLvl w:val="4"/>
            </w:pPr>
            <w:r w:rsidRPr="00576AF8">
              <w:lastRenderedPageBreak/>
              <w:t>20.3</w:t>
            </w:r>
            <w:r w:rsidRPr="00576AF8">
              <w:tab/>
              <w:t xml:space="preserve">En el caso de que los elementos para los cuales no se hayan especificado listas de </w:t>
            </w:r>
            <w:r w:rsidR="00A07C8B" w:rsidRPr="00576AF8">
              <w:t>s</w:t>
            </w:r>
            <w:r w:rsidRPr="00576AF8">
              <w:t>ubcontratistas preaprobados en el apéndice 3 del Convenio</w:t>
            </w:r>
            <w:r w:rsidR="00282902" w:rsidRPr="00576AF8">
              <w:t xml:space="preserve"> Contractual</w:t>
            </w:r>
            <w:r w:rsidRPr="00576AF8">
              <w:t xml:space="preserve">, el Proveedor podrá recurrir a los </w:t>
            </w:r>
            <w:r w:rsidR="00A07C8B" w:rsidRPr="00576AF8">
              <w:t>s</w:t>
            </w:r>
            <w:r w:rsidRPr="00576AF8">
              <w:t xml:space="preserve">ubcontratistas que seleccione, siempre que: </w:t>
            </w:r>
            <w:r w:rsidR="00934AA4" w:rsidRPr="00576AF8">
              <w:t>(</w:t>
            </w:r>
            <w:r w:rsidRPr="00576AF8">
              <w:t xml:space="preserve">i) notifique al Comprador por escrito como mínimo veintiocho (28) días antes de la fecha de movilización propuesta para dicho </w:t>
            </w:r>
            <w:r w:rsidR="00A07C8B" w:rsidRPr="00576AF8">
              <w:t>s</w:t>
            </w:r>
            <w:r w:rsidRPr="00576AF8">
              <w:t xml:space="preserve">ubcontratista, y </w:t>
            </w:r>
            <w:r w:rsidR="00934AA4" w:rsidRPr="00576AF8">
              <w:t>(</w:t>
            </w:r>
            <w:r w:rsidRPr="00576AF8">
              <w:t xml:space="preserve">ii) al término de ese período, el Comprador haya otorgado la aprobación por escrito o no </w:t>
            </w:r>
            <w:r w:rsidR="000A38C7" w:rsidRPr="00576AF8">
              <w:t xml:space="preserve">haya </w:t>
            </w:r>
            <w:r w:rsidRPr="00576AF8">
              <w:t>respond</w:t>
            </w:r>
            <w:r w:rsidR="000A38C7" w:rsidRPr="00576AF8">
              <w:t>ido</w:t>
            </w:r>
            <w:r w:rsidRPr="00576AF8">
              <w:t xml:space="preserve">. El Proveedor no podrá recurrir a ningún </w:t>
            </w:r>
            <w:r w:rsidR="00A07C8B" w:rsidRPr="00576AF8">
              <w:t>s</w:t>
            </w:r>
            <w:r w:rsidRPr="00576AF8">
              <w:t xml:space="preserve">ubcontratista respecto del cual el Comprador haya presentado objeciones por escrito durante el período de notificaciones. En el caso de que el Comprador no presente ninguna objeción por escrito durante el período especificado arriba, se considerará que el </w:t>
            </w:r>
            <w:r w:rsidR="00A07C8B" w:rsidRPr="00576AF8">
              <w:t>s</w:t>
            </w:r>
            <w:r w:rsidRPr="00576AF8">
              <w:t>ubcontratista propuesto ha sido aceptado formalmente. Sin embargo, nada de lo dispuesto en esta cláusula limitará los derechos y obligaciones del Comprador ni del Proveedor especificadas en las cláusulas 20.1 y 20.2 de las CGC o en el apéndice 3 del Convenio</w:t>
            </w:r>
            <w:r w:rsidR="00B95AEC" w:rsidRPr="00576AF8">
              <w:t xml:space="preserve"> Contractual</w:t>
            </w:r>
            <w:r w:rsidRPr="00576AF8">
              <w:t xml:space="preserve">, salvo en la medida en que ello permita la aprobación </w:t>
            </w:r>
            <w:r w:rsidR="00B95AEC" w:rsidRPr="00576AF8">
              <w:t xml:space="preserve">implícita por parte </w:t>
            </w:r>
            <w:r w:rsidRPr="00576AF8">
              <w:t xml:space="preserve">del Comprador de </w:t>
            </w:r>
            <w:r w:rsidR="00A07C8B" w:rsidRPr="00576AF8">
              <w:t>s</w:t>
            </w:r>
            <w:r w:rsidRPr="00576AF8">
              <w:t xml:space="preserve">ubcontratistas no </w:t>
            </w:r>
            <w:r w:rsidR="00B95AEC" w:rsidRPr="00576AF8">
              <w:t xml:space="preserve">mencionados </w:t>
            </w:r>
            <w:r w:rsidRPr="00576AF8">
              <w:t>en el Convenio</w:t>
            </w:r>
            <w:r w:rsidR="00B95AEC" w:rsidRPr="00576AF8">
              <w:t xml:space="preserve"> Contractual</w:t>
            </w:r>
            <w:r w:rsidRPr="00576AF8">
              <w:t>.</w:t>
            </w:r>
          </w:p>
        </w:tc>
      </w:tr>
      <w:tr w:rsidR="00A20832" w:rsidRPr="00576AF8" w14:paraId="6EDFC98B" w14:textId="77777777" w:rsidTr="00227FC3">
        <w:trPr>
          <w:cantSplit/>
        </w:trPr>
        <w:tc>
          <w:tcPr>
            <w:tcW w:w="2552" w:type="dxa"/>
          </w:tcPr>
          <w:p w14:paraId="61E2799C" w14:textId="77777777" w:rsidR="00A20832" w:rsidRPr="00576AF8" w:rsidRDefault="00A20832" w:rsidP="00A35BE3">
            <w:pPr>
              <w:pStyle w:val="Head62"/>
              <w:jc w:val="both"/>
            </w:pPr>
            <w:bookmarkStart w:id="1552" w:name="_Toc277233342"/>
            <w:bookmarkStart w:id="1553" w:name="_Toc488959041"/>
            <w:r w:rsidRPr="00576AF8">
              <w:lastRenderedPageBreak/>
              <w:t>21.</w:t>
            </w:r>
            <w:r w:rsidRPr="00576AF8">
              <w:tab/>
              <w:t>Diseño e ingeniería</w:t>
            </w:r>
            <w:bookmarkEnd w:id="1552"/>
            <w:bookmarkEnd w:id="1553"/>
          </w:p>
        </w:tc>
        <w:tc>
          <w:tcPr>
            <w:tcW w:w="6804" w:type="dxa"/>
          </w:tcPr>
          <w:p w14:paraId="48603A9A" w14:textId="77777777" w:rsidR="00A20832" w:rsidRPr="00576AF8" w:rsidRDefault="00A20832" w:rsidP="00227FC3">
            <w:pPr>
              <w:keepNext/>
              <w:keepLines/>
              <w:spacing w:before="240" w:after="200"/>
              <w:ind w:left="547" w:right="-19" w:hanging="547"/>
              <w:outlineLvl w:val="4"/>
            </w:pPr>
            <w:r w:rsidRPr="00576AF8">
              <w:t>21.1</w:t>
            </w:r>
            <w:r w:rsidRPr="00576AF8">
              <w:tab/>
              <w:t>Especificaciones técnicas y planos</w:t>
            </w:r>
          </w:p>
          <w:p w14:paraId="2EB4F31F" w14:textId="77777777" w:rsidR="00A20832" w:rsidRPr="00576AF8" w:rsidRDefault="00A20832" w:rsidP="00227FC3">
            <w:pPr>
              <w:keepNext/>
              <w:keepLines/>
              <w:spacing w:before="240" w:after="200"/>
              <w:ind w:left="1181" w:right="-19" w:hanging="634"/>
              <w:outlineLvl w:val="4"/>
            </w:pPr>
            <w:r w:rsidRPr="00576AF8">
              <w:t>21.1.1</w:t>
            </w:r>
            <w:r w:rsidRPr="00576AF8">
              <w:tab/>
            </w:r>
            <w:r w:rsidRPr="00576AF8">
              <w:rPr>
                <w:spacing w:val="-4"/>
              </w:rPr>
              <w:t xml:space="preserve">El Proveedor realizará el diseño básico y detallado, y las actividades de implementación necesarios para la </w:t>
            </w:r>
            <w:r w:rsidR="00934AA4" w:rsidRPr="00576AF8">
              <w:rPr>
                <w:spacing w:val="-4"/>
              </w:rPr>
              <w:br/>
            </w:r>
            <w:r w:rsidRPr="00576AF8">
              <w:rPr>
                <w:spacing w:val="-4"/>
              </w:rPr>
              <w:t>exitosa instalación del Sistema en cumplimiento de las disposiciones del Contrato o, cuando ello no se especifique, de conformidad con las buenas prácticas del sector.</w:t>
            </w:r>
          </w:p>
        </w:tc>
      </w:tr>
      <w:tr w:rsidR="00A20832" w:rsidRPr="00576AF8" w14:paraId="07BBBE5D" w14:textId="77777777" w:rsidTr="00227FC3">
        <w:tc>
          <w:tcPr>
            <w:tcW w:w="2552" w:type="dxa"/>
          </w:tcPr>
          <w:p w14:paraId="1A43DF2C" w14:textId="77777777" w:rsidR="00A20832" w:rsidRPr="00576AF8" w:rsidRDefault="00A20832" w:rsidP="00A35BE3">
            <w:pPr>
              <w:spacing w:after="0"/>
              <w:jc w:val="left"/>
            </w:pPr>
          </w:p>
        </w:tc>
        <w:tc>
          <w:tcPr>
            <w:tcW w:w="6804" w:type="dxa"/>
          </w:tcPr>
          <w:p w14:paraId="38D55042" w14:textId="77777777" w:rsidR="00A20832" w:rsidRPr="00576AF8" w:rsidRDefault="00A20832" w:rsidP="00227FC3">
            <w:pPr>
              <w:keepNext/>
              <w:keepLines/>
              <w:spacing w:before="240" w:after="200"/>
              <w:ind w:left="1166" w:right="-19"/>
              <w:outlineLvl w:val="4"/>
            </w:pPr>
            <w:r w:rsidRPr="00576AF8">
              <w:t>El Proveedor será responsable de todas las discrepancias, errores u omisiones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Proveedor por el Comprador o en su nombre.</w:t>
            </w:r>
          </w:p>
          <w:p w14:paraId="6A74D36F" w14:textId="77777777" w:rsidR="00A20832" w:rsidRPr="00576AF8" w:rsidRDefault="00A20832" w:rsidP="00227FC3">
            <w:pPr>
              <w:spacing w:after="200"/>
              <w:ind w:left="1181" w:right="-19" w:hanging="634"/>
              <w:rPr>
                <w:spacing w:val="-2"/>
              </w:rPr>
            </w:pPr>
            <w:r w:rsidRPr="00576AF8">
              <w:rPr>
                <w:spacing w:val="-2"/>
              </w:rPr>
              <w:t>21.1.2</w:t>
            </w:r>
            <w:r w:rsidRPr="00576AF8">
              <w:rPr>
                <w:spacing w:val="-2"/>
              </w:rPr>
              <w:tab/>
              <w:t>El Proveedor tendrá derecho a que se le exima de responsabilidad por los diseños, datos, planos, especificaciones u otro</w:t>
            </w:r>
            <w:r w:rsidR="00B95AEC" w:rsidRPr="00576AF8">
              <w:rPr>
                <w:spacing w:val="-2"/>
              </w:rPr>
              <w:t>s</w:t>
            </w:r>
            <w:r w:rsidRPr="00576AF8">
              <w:rPr>
                <w:spacing w:val="-2"/>
              </w:rPr>
              <w:t xml:space="preserve"> documento</w:t>
            </w:r>
            <w:r w:rsidR="00B95AEC" w:rsidRPr="00576AF8">
              <w:rPr>
                <w:spacing w:val="-2"/>
              </w:rPr>
              <w:t>s</w:t>
            </w:r>
            <w:r w:rsidRPr="00576AF8">
              <w:rPr>
                <w:spacing w:val="-2"/>
              </w:rPr>
              <w:t xml:space="preserve">, o </w:t>
            </w:r>
            <w:r w:rsidR="00B95AEC" w:rsidRPr="00576AF8">
              <w:rPr>
                <w:spacing w:val="-2"/>
              </w:rPr>
              <w:t xml:space="preserve">por cualquier </w:t>
            </w:r>
            <w:r w:rsidRPr="00576AF8">
              <w:rPr>
                <w:spacing w:val="-2"/>
              </w:rPr>
              <w:t xml:space="preserve">modificación de dichos diseños, datos, planos, especificaciones u otros documentos, proporcionados o </w:t>
            </w:r>
            <w:r w:rsidRPr="00576AF8">
              <w:rPr>
                <w:spacing w:val="-2"/>
              </w:rPr>
              <w:lastRenderedPageBreak/>
              <w:t xml:space="preserve">designados por el </w:t>
            </w:r>
            <w:r w:rsidR="00BC60BC" w:rsidRPr="00576AF8">
              <w:rPr>
                <w:spacing w:val="-2"/>
              </w:rPr>
              <w:t xml:space="preserve">Comprador </w:t>
            </w:r>
            <w:r w:rsidRPr="00576AF8">
              <w:rPr>
                <w:spacing w:val="-2"/>
              </w:rPr>
              <w:t>o en su nombre notificando de ese descargo de responsabilidad al gerente de proyecto.</w:t>
            </w:r>
          </w:p>
          <w:p w14:paraId="1EE032E7" w14:textId="77777777" w:rsidR="00A20832" w:rsidRPr="00576AF8" w:rsidRDefault="00A20832" w:rsidP="00227FC3">
            <w:pPr>
              <w:keepNext/>
              <w:keepLines/>
              <w:spacing w:before="240" w:after="200"/>
              <w:ind w:left="547" w:right="-19" w:hanging="547"/>
              <w:outlineLvl w:val="4"/>
            </w:pPr>
            <w:r w:rsidRPr="00576AF8">
              <w:t>21.2</w:t>
            </w:r>
            <w:r w:rsidRPr="00576AF8">
              <w:tab/>
              <w:t>Códigos y normas</w:t>
            </w:r>
          </w:p>
          <w:p w14:paraId="1A0D78C6" w14:textId="77777777" w:rsidR="00A20832" w:rsidRPr="00576AF8" w:rsidRDefault="00A20832" w:rsidP="00227FC3">
            <w:pPr>
              <w:keepNext/>
              <w:keepLines/>
              <w:spacing w:before="240" w:after="200"/>
              <w:ind w:left="540" w:right="-19"/>
              <w:outlineLvl w:val="4"/>
            </w:pPr>
            <w:r w:rsidRPr="00576AF8">
              <w:t>Cuando en el Contrato se haga referencia a códigos y normas conforme a los cuales este deba ejecutarse, se aplicará la edición o la versión revisada de esos códigos y normas que esté vigente veintiocho (28) días antes de la fecha de presentación de la Oferta. Los cambios de dichos códigos o normas durante la ejecución del Contrato se aplicarán con la aprobación previa del Comprador y se regirán por lo dispuesto en la cláusula 39</w:t>
            </w:r>
            <w:r w:rsidR="00B95AEC" w:rsidRPr="00576AF8">
              <w:t>.</w:t>
            </w:r>
            <w:r w:rsidRPr="00576AF8">
              <w:t xml:space="preserve">3 </w:t>
            </w:r>
            <w:r w:rsidR="00934AA4" w:rsidRPr="00576AF8">
              <w:br/>
            </w:r>
            <w:r w:rsidRPr="00576AF8">
              <w:t>de las CGC.</w:t>
            </w:r>
          </w:p>
          <w:p w14:paraId="11DF07E5" w14:textId="77777777" w:rsidR="00A20832" w:rsidRPr="00576AF8" w:rsidRDefault="00A20832" w:rsidP="00227FC3">
            <w:pPr>
              <w:keepNext/>
              <w:keepLines/>
              <w:spacing w:before="240" w:after="200"/>
              <w:ind w:left="540" w:right="-19" w:hanging="540"/>
              <w:outlineLvl w:val="4"/>
            </w:pPr>
            <w:r w:rsidRPr="00576AF8">
              <w:t>21.3</w:t>
            </w:r>
            <w:r w:rsidRPr="00576AF8">
              <w:tab/>
              <w:t>Aprobación/examen de los documentos técnicos de control por el gerente de proyecto</w:t>
            </w:r>
          </w:p>
          <w:p w14:paraId="343E8601" w14:textId="77777777" w:rsidR="00A20832" w:rsidRPr="00576AF8" w:rsidRDefault="00A20832" w:rsidP="00227FC3">
            <w:pPr>
              <w:keepNext/>
              <w:keepLines/>
              <w:spacing w:before="240" w:after="200"/>
              <w:ind w:left="1170" w:right="-19" w:hanging="630"/>
              <w:outlineLvl w:val="4"/>
            </w:pPr>
            <w:r w:rsidRPr="00576AF8">
              <w:t>21.3.1</w:t>
            </w:r>
            <w:r w:rsidRPr="00576AF8">
              <w:tab/>
            </w:r>
            <w:r w:rsidRPr="00576AF8">
              <w:rPr>
                <w:b/>
              </w:rPr>
              <w:t>A menos que en las CEC</w:t>
            </w:r>
            <w:r w:rsidR="00997CAB" w:rsidRPr="00576AF8">
              <w:rPr>
                <w:b/>
              </w:rPr>
              <w:t xml:space="preserve"> se especifique otra cosa</w:t>
            </w:r>
            <w:r w:rsidRPr="00576AF8">
              <w:t xml:space="preserve">, </w:t>
            </w:r>
            <w:r w:rsidR="00934AA4" w:rsidRPr="00576AF8">
              <w:br/>
            </w:r>
            <w:r w:rsidRPr="00576AF8">
              <w:t xml:space="preserve">NO se requerirán documentos técnicos de control. Sin embargo, </w:t>
            </w:r>
            <w:r w:rsidRPr="00576AF8">
              <w:rPr>
                <w:b/>
              </w:rPr>
              <w:t>si en las CEC se especificaran</w:t>
            </w:r>
            <w:r w:rsidRPr="00576AF8">
              <w:t xml:space="preserve"> documentos técnicos de control, el Proveedor preparará y suministrará dichos documentos para que el gerente de proyecto los apruebe o examine.</w:t>
            </w:r>
          </w:p>
          <w:p w14:paraId="5DA79579" w14:textId="77777777" w:rsidR="00A20832" w:rsidRPr="00576AF8" w:rsidRDefault="00A20832" w:rsidP="00227FC3">
            <w:pPr>
              <w:spacing w:after="200"/>
              <w:ind w:left="1170" w:right="-19"/>
              <w:rPr>
                <w:spacing w:val="-2"/>
              </w:rPr>
            </w:pPr>
            <w:r w:rsidRPr="00576AF8">
              <w:rPr>
                <w:spacing w:val="-2"/>
              </w:rPr>
              <w:t>Las partes del Sistema incluidas en los documentos que deban ser aprobados por el gerente de proyecto, o relacionadas con ellos, solo se llevarán a cabo una vez que el gerente de proyecto haya aprobado dichos documentos.</w:t>
            </w:r>
          </w:p>
          <w:p w14:paraId="011E3D3F" w14:textId="77777777" w:rsidR="00A20832" w:rsidRPr="00576AF8" w:rsidRDefault="00A20832" w:rsidP="00227FC3">
            <w:pPr>
              <w:keepNext/>
              <w:keepLines/>
              <w:spacing w:before="240" w:after="200"/>
              <w:ind w:left="1170" w:right="-19"/>
              <w:outlineLvl w:val="4"/>
            </w:pPr>
            <w:r w:rsidRPr="00576AF8">
              <w:lastRenderedPageBreak/>
              <w:t>Las cláusulas 21.3.2 a 21.3.7 de las CGC se aplicarán a los documentos que requieran la aprobación del gerente de proyecto, pero no a aquellos que se suministren al gerente de proyecto exclusivamente para su examen.</w:t>
            </w:r>
          </w:p>
          <w:p w14:paraId="002037CA" w14:textId="77777777" w:rsidR="00A20832" w:rsidRPr="00576AF8" w:rsidRDefault="00A20832" w:rsidP="00227FC3">
            <w:pPr>
              <w:keepNext/>
              <w:keepLines/>
              <w:spacing w:before="240" w:after="200"/>
              <w:ind w:left="1170" w:right="-19" w:hanging="630"/>
              <w:outlineLvl w:val="4"/>
            </w:pPr>
            <w:r w:rsidRPr="00576AF8">
              <w:t>21.3.2</w:t>
            </w:r>
            <w:r w:rsidRPr="00576AF8">
              <w:tab/>
              <w:t xml:space="preserve">Dentro de los catorce (14) días posteriores a la fecha en que el gerente de proyecto reciba cualquier documento que requiera su aprobación de conformidad con la cláusula 21.3.1 de las CGC, </w:t>
            </w:r>
            <w:r w:rsidR="00D525BD" w:rsidRPr="00576AF8">
              <w:t xml:space="preserve">dicho gerente </w:t>
            </w:r>
            <w:r w:rsidRPr="00576AF8">
              <w:t xml:space="preserve">devolverá al Proveedor una copia del documento con su aprobación o bien le notificará por escrito su desaprobación y las razones de ella, así como las modificaciones que propone introducir. En el caso de que el gerente de proyecto no tome ninguna medida dentro de </w:t>
            </w:r>
            <w:r w:rsidR="00D525BD" w:rsidRPr="00576AF8">
              <w:t xml:space="preserve">ese plazo de </w:t>
            </w:r>
            <w:r w:rsidRPr="00576AF8">
              <w:t>catorce (14) días, el documento se considerará aprobado.</w:t>
            </w:r>
          </w:p>
          <w:p w14:paraId="6F08DFB4" w14:textId="77777777" w:rsidR="00A20832" w:rsidRPr="00576AF8" w:rsidRDefault="00A20832" w:rsidP="00227FC3">
            <w:pPr>
              <w:keepNext/>
              <w:keepLines/>
              <w:spacing w:before="240" w:after="200"/>
              <w:ind w:left="1170" w:right="-19" w:hanging="630"/>
              <w:outlineLvl w:val="4"/>
            </w:pPr>
            <w:r w:rsidRPr="00576AF8">
              <w:t>21.3.3</w:t>
            </w:r>
            <w:r w:rsidRPr="00576AF8">
              <w:tab/>
              <w:t xml:space="preserve">El gerente de proyecto no desaprobará ningún documento, salvo cuando considere que el documento en cuestión no se ajusta a alguna disposición del Contrato o </w:t>
            </w:r>
            <w:r w:rsidR="00D525BD" w:rsidRPr="00576AF8">
              <w:t xml:space="preserve">que </w:t>
            </w:r>
            <w:r w:rsidRPr="00576AF8">
              <w:t>es contrario a las buenas prácticas del sector.</w:t>
            </w:r>
          </w:p>
          <w:p w14:paraId="427ADEE2" w14:textId="77777777" w:rsidR="00A20832" w:rsidRPr="00576AF8" w:rsidRDefault="00A20832" w:rsidP="00227FC3">
            <w:pPr>
              <w:keepNext/>
              <w:keepLines/>
              <w:spacing w:before="240" w:after="200"/>
              <w:ind w:left="1170" w:right="-19" w:hanging="630"/>
              <w:outlineLvl w:val="4"/>
            </w:pPr>
            <w:r w:rsidRPr="00576AF8">
              <w:t>21.3.4</w:t>
            </w:r>
            <w:r w:rsidRPr="00576AF8">
              <w:tab/>
              <w:t>Si el gerente de proyecto no aprueba el documento, el Proveedor lo modificará y volverá a presentarlo para su aprobación de conformidad con lo dispuesto en la cláusula 21.3.2 de las CGC. Si el gerente de proyecto aprueba el documento a condición de que se introduzcan modificaciones, el Proveedor hará las modificaciones exigidas, tras lo cual el documento se considerará aprobado, con sujeción a lo dispuesto en la cláusula 21.3.5. El procedimiento establecido en las cláusulas 21.3.2 a 21.3.4 se repetirá, según corresponda, hasta que el gerente de proyecto apruebe los documentos.</w:t>
            </w:r>
          </w:p>
          <w:p w14:paraId="7EC5540C" w14:textId="77777777" w:rsidR="00A20832" w:rsidRPr="00576AF8" w:rsidRDefault="00A20832" w:rsidP="00227FC3">
            <w:pPr>
              <w:keepNext/>
              <w:keepLines/>
              <w:spacing w:before="240" w:after="200"/>
              <w:ind w:left="1181" w:right="-19" w:hanging="634"/>
              <w:outlineLvl w:val="4"/>
            </w:pPr>
            <w:r w:rsidRPr="00576AF8">
              <w:t>21.3.5</w:t>
            </w:r>
            <w:r w:rsidRPr="00576AF8">
              <w:tab/>
              <w:t>En caso de que surja una controversia entre el Comprador y el Proveedor relacionada con la desaprobación por el gerente de proyecto de un documento o cualquier modificación de este, o como resultado de dicha desaprobación, que las partes no puedan resolver dentro de un plazo razonable, en caso de que en el Convenio</w:t>
            </w:r>
            <w:r w:rsidR="00B95AEC" w:rsidRPr="00576AF8">
              <w:t xml:space="preserve"> Contractual</w:t>
            </w:r>
            <w:r w:rsidRPr="00576AF8">
              <w:t xml:space="preserve"> se incluya y designe un conciliador, dicha controversia podrá remitirse al </w:t>
            </w:r>
            <w:r w:rsidR="00D525BD" w:rsidRPr="00576AF8">
              <w:t xml:space="preserve">conciliador </w:t>
            </w:r>
            <w:r w:rsidRPr="00576AF8">
              <w:t xml:space="preserve">para que este se expida al respecto de acuerdo con lo dispuesto en la cláusula 6.1 (Conciliador). Si dicha controversia se remite a un conciliador, el gerente de proyecto dará instrucciones sobre si se debe continuar con la ejecución del Contrato y, en tal caso, de qué forma. El Proveedor </w:t>
            </w:r>
            <w:r w:rsidRPr="00576AF8">
              <w:lastRenderedPageBreak/>
              <w:t xml:space="preserve">seguirá adelante con el Contrato de conformidad con las instrucciones del gerente de proyecto; no obstante, si el conciliador apoya el parecer del Proveedor en la controversia y el Comprador no ha dado aviso conforme a lo dispuesto en la cláusula 6.1.2 de las CGC, el Comprador </w:t>
            </w:r>
            <w:r w:rsidR="00D525BD" w:rsidRPr="00576AF8">
              <w:t xml:space="preserve">deberá </w:t>
            </w:r>
            <w:r w:rsidRPr="00576AF8">
              <w:t xml:space="preserve">reembolsar al Proveedor todos los gastos adicionales que este haya efectuado en cumplimiento de tales instrucciones, y </w:t>
            </w:r>
            <w:r w:rsidR="00D525BD" w:rsidRPr="00576AF8">
              <w:t xml:space="preserve">el Proveedor </w:t>
            </w:r>
            <w:r w:rsidRPr="00576AF8">
              <w:t>quedará exento de las responsabilidades u obligaciones relacionadas con la controversia y la ejecución de las instrucciones que determine el conciliador, y se prorrogará el plazo para obtener la aceptación operativa.</w:t>
            </w:r>
          </w:p>
          <w:p w14:paraId="7336494A" w14:textId="77777777" w:rsidR="00A20832" w:rsidRPr="00576AF8" w:rsidRDefault="00A20832" w:rsidP="00227FC3">
            <w:pPr>
              <w:keepNext/>
              <w:keepLines/>
              <w:spacing w:before="240" w:after="200"/>
              <w:ind w:left="1181" w:right="-19" w:hanging="634"/>
              <w:outlineLvl w:val="4"/>
            </w:pPr>
            <w:r w:rsidRPr="00576AF8">
              <w:t>21.3.6</w:t>
            </w:r>
            <w:r w:rsidRPr="00576AF8">
              <w:tab/>
              <w:t>La aprobación del gerente de proyecto, con o sin modificación, del documento proporcionado por el Proveedor no eximirá a este de ninguna responsabilidad u obligación que le corresponda en virtud de las disposiciones del Contrato, excepto en la medida en que el incumplimiento posterior se</w:t>
            </w:r>
            <w:r w:rsidR="00D525BD" w:rsidRPr="00576AF8">
              <w:t>a</w:t>
            </w:r>
            <w:r w:rsidRPr="00576AF8">
              <w:t xml:space="preserve"> producto de las modificaciones exigidas por el gerente de proyecto o de información inexacta suministrada por escrito al Proveedor por el Comprador o en su nombre.</w:t>
            </w:r>
          </w:p>
          <w:p w14:paraId="04A6A2AF" w14:textId="77777777" w:rsidR="00A20832" w:rsidRPr="00576AF8" w:rsidRDefault="00A20832" w:rsidP="00227FC3">
            <w:pPr>
              <w:keepNext/>
              <w:keepLines/>
              <w:spacing w:before="240" w:after="200"/>
              <w:ind w:left="1181" w:right="-19" w:hanging="634"/>
              <w:outlineLvl w:val="4"/>
            </w:pPr>
            <w:r w:rsidRPr="00576AF8">
              <w:t>21.3.7</w:t>
            </w:r>
            <w:r w:rsidRPr="00576AF8">
              <w:tab/>
              <w:t>El Proveedor se atendrá estrictamente a los documentos aprobados, a menos que haya presentado primero al gerente de proyecto un documento modificado y obtenido la correspondiente aprobación de este con arreglo a las disposiciones de la presente cláusula 21.3 de las CGC. Si el gerente de proyecto solicita una modificación de un documento ya aprobado o de un documento basado en este último, se aplicarán a esa solicitud las disposiciones de la cláusula 39 de las CGC (Cambios en el Sistema).</w:t>
            </w:r>
          </w:p>
        </w:tc>
      </w:tr>
      <w:tr w:rsidR="00A20832" w:rsidRPr="00576AF8" w14:paraId="5D7CEF55" w14:textId="77777777" w:rsidTr="00227FC3">
        <w:tc>
          <w:tcPr>
            <w:tcW w:w="2552" w:type="dxa"/>
          </w:tcPr>
          <w:p w14:paraId="48829E65" w14:textId="77777777" w:rsidR="00A20832" w:rsidRPr="00576AF8" w:rsidRDefault="00A20832" w:rsidP="00A35BE3">
            <w:pPr>
              <w:pStyle w:val="Head62"/>
            </w:pPr>
            <w:bookmarkStart w:id="1554" w:name="_Toc277233343"/>
            <w:bookmarkStart w:id="1555" w:name="_Toc488959042"/>
            <w:r w:rsidRPr="00576AF8">
              <w:lastRenderedPageBreak/>
              <w:t>22.</w:t>
            </w:r>
            <w:r w:rsidRPr="00576AF8">
              <w:tab/>
              <w:t>Adquisiciones, entrega y transporte</w:t>
            </w:r>
            <w:bookmarkEnd w:id="1554"/>
            <w:bookmarkEnd w:id="1555"/>
          </w:p>
        </w:tc>
        <w:tc>
          <w:tcPr>
            <w:tcW w:w="6804" w:type="dxa"/>
          </w:tcPr>
          <w:p w14:paraId="560373C3" w14:textId="77777777" w:rsidR="00A20832" w:rsidRPr="00576AF8" w:rsidRDefault="00A20832" w:rsidP="00227FC3">
            <w:pPr>
              <w:keepNext/>
              <w:keepLines/>
              <w:spacing w:before="240" w:after="200"/>
              <w:ind w:left="547" w:right="-19" w:hanging="547"/>
              <w:outlineLvl w:val="4"/>
            </w:pPr>
            <w:r w:rsidRPr="00576AF8">
              <w:t>22.1</w:t>
            </w:r>
            <w:r w:rsidRPr="00576AF8">
              <w:tab/>
              <w:t xml:space="preserve">Con sujeción a las responsabilidades del Comprador relacionadas conforme a lo </w:t>
            </w:r>
            <w:r w:rsidR="00101607" w:rsidRPr="00576AF8">
              <w:t xml:space="preserve">establecido </w:t>
            </w:r>
            <w:r w:rsidRPr="00576AF8">
              <w:t xml:space="preserve">en las cláusulas 10 y 14 de las CGC, el Proveedor fabricará o adquirirá y transportará todas las tecnologías de la información, materiales y otros bienes de forma expeditiva y ordenada al </w:t>
            </w:r>
            <w:r w:rsidR="00101607" w:rsidRPr="00576AF8">
              <w:t xml:space="preserve">sitio </w:t>
            </w:r>
            <w:r w:rsidRPr="00576AF8">
              <w:t xml:space="preserve">del </w:t>
            </w:r>
            <w:r w:rsidR="002401C7" w:rsidRPr="00576AF8">
              <w:t>P</w:t>
            </w:r>
            <w:r w:rsidRPr="00576AF8">
              <w:t>royecto.</w:t>
            </w:r>
          </w:p>
        </w:tc>
      </w:tr>
      <w:tr w:rsidR="00A20832" w:rsidRPr="00576AF8" w14:paraId="7AA1E828" w14:textId="77777777" w:rsidTr="00227FC3">
        <w:tc>
          <w:tcPr>
            <w:tcW w:w="2552" w:type="dxa"/>
          </w:tcPr>
          <w:p w14:paraId="1CF67483" w14:textId="77777777" w:rsidR="00A20832" w:rsidRPr="00576AF8" w:rsidRDefault="00A20832" w:rsidP="00A35BE3">
            <w:pPr>
              <w:spacing w:after="0"/>
              <w:jc w:val="left"/>
            </w:pPr>
          </w:p>
        </w:tc>
        <w:tc>
          <w:tcPr>
            <w:tcW w:w="6804" w:type="dxa"/>
          </w:tcPr>
          <w:p w14:paraId="35E076E5" w14:textId="77777777" w:rsidR="00A20832" w:rsidRPr="00576AF8" w:rsidRDefault="00A20832" w:rsidP="00227FC3">
            <w:pPr>
              <w:keepNext/>
              <w:keepLines/>
              <w:spacing w:before="240" w:after="200"/>
              <w:ind w:left="547" w:right="-19" w:hanging="547"/>
              <w:outlineLvl w:val="4"/>
            </w:pPr>
            <w:r w:rsidRPr="00576AF8">
              <w:t>22.2</w:t>
            </w:r>
            <w:r w:rsidRPr="00576AF8">
              <w:tab/>
              <w:t xml:space="preserve">La entrega de tecnologías de la información, materiales y </w:t>
            </w:r>
            <w:r w:rsidR="00934AA4" w:rsidRPr="00576AF8">
              <w:br/>
            </w:r>
            <w:proofErr w:type="gramStart"/>
            <w:r w:rsidRPr="00576AF8">
              <w:t>otros bienes se hará</w:t>
            </w:r>
            <w:proofErr w:type="gramEnd"/>
            <w:r w:rsidRPr="00576AF8">
              <w:t xml:space="preserve"> al Proveedor de conformidad con los requisitos técnicos.</w:t>
            </w:r>
          </w:p>
          <w:p w14:paraId="7F3DF698" w14:textId="77777777" w:rsidR="00A20832" w:rsidRPr="00576AF8" w:rsidRDefault="00A20832" w:rsidP="00227FC3">
            <w:pPr>
              <w:keepNext/>
              <w:keepLines/>
              <w:spacing w:before="240" w:after="200"/>
              <w:ind w:left="547" w:right="-19" w:hanging="547"/>
              <w:outlineLvl w:val="4"/>
            </w:pPr>
            <w:r w:rsidRPr="00576AF8">
              <w:t>22.3</w:t>
            </w:r>
            <w:r w:rsidRPr="00576AF8">
              <w:tab/>
              <w:t>Las entregas tempranas o parciales requerirán el consentimiento explícito por escrito del Comprador, el cual que no podrá negarse sin motivos razonables.</w:t>
            </w:r>
          </w:p>
          <w:p w14:paraId="072A2965" w14:textId="77777777" w:rsidR="00A20832" w:rsidRPr="00576AF8" w:rsidRDefault="00A20832" w:rsidP="00227FC3">
            <w:pPr>
              <w:keepNext/>
              <w:keepLines/>
              <w:spacing w:before="240" w:after="200"/>
              <w:ind w:left="540" w:right="-19" w:hanging="540"/>
              <w:outlineLvl w:val="4"/>
            </w:pPr>
            <w:r w:rsidRPr="00576AF8">
              <w:t>22.4</w:t>
            </w:r>
            <w:r w:rsidRPr="00576AF8">
              <w:tab/>
              <w:t>Transporte</w:t>
            </w:r>
          </w:p>
          <w:p w14:paraId="7782CB0D" w14:textId="77777777" w:rsidR="00A20832" w:rsidRPr="00576AF8" w:rsidRDefault="00A20832" w:rsidP="00227FC3">
            <w:pPr>
              <w:keepNext/>
              <w:keepLines/>
              <w:spacing w:before="240" w:after="200"/>
              <w:ind w:left="1209" w:right="-19" w:hanging="662"/>
              <w:outlineLvl w:val="4"/>
            </w:pPr>
            <w:r w:rsidRPr="00576AF8">
              <w:t>22.4.1</w:t>
            </w:r>
            <w:r w:rsidRPr="00576AF8">
              <w:tab/>
              <w:t xml:space="preserve">El Proveedor embalará los bienes en la forma necesaria para impedir que estos </w:t>
            </w:r>
            <w:r w:rsidR="00101607" w:rsidRPr="00576AF8">
              <w:t xml:space="preserve">se </w:t>
            </w:r>
            <w:r w:rsidRPr="00576AF8">
              <w:t xml:space="preserve">dañen o deterioren durante el traslado. El embalaje, las identificaciones y los documentos que se coloquen dentro y fuera de los </w:t>
            </w:r>
            <w:r w:rsidR="00101607" w:rsidRPr="00576AF8">
              <w:t xml:space="preserve">embalajes </w:t>
            </w:r>
            <w:r w:rsidRPr="00576AF8">
              <w:t>deberán cumplir estrictamente con las instrucciones del Comprador al Proveedor.</w:t>
            </w:r>
          </w:p>
          <w:p w14:paraId="6FB496E0" w14:textId="77777777" w:rsidR="00A20832" w:rsidRPr="00576AF8" w:rsidRDefault="00A20832">
            <w:pPr>
              <w:keepNext/>
              <w:keepLines/>
              <w:numPr>
                <w:ilvl w:val="2"/>
                <w:numId w:val="1"/>
              </w:numPr>
              <w:spacing w:before="240" w:after="200"/>
              <w:ind w:left="1209" w:right="-19" w:hanging="662"/>
              <w:outlineLvl w:val="4"/>
            </w:pPr>
            <w:r w:rsidRPr="00576AF8">
              <w:t xml:space="preserve">El Proveedor asumirá la responsabilidad y los costos del transporte hasta </w:t>
            </w:r>
            <w:r w:rsidR="002401C7" w:rsidRPr="00576AF8">
              <w:t xml:space="preserve">los sitios </w:t>
            </w:r>
            <w:r w:rsidRPr="00576AF8">
              <w:t xml:space="preserve">del </w:t>
            </w:r>
            <w:r w:rsidR="002401C7" w:rsidRPr="00576AF8">
              <w:t>P</w:t>
            </w:r>
            <w:r w:rsidRPr="00576AF8">
              <w:t>royecto de conformidad con los términos y condiciones utilizados en la especificación de los precios que figuran en las listas de precios, incluidos los términos y condiciones de los Incoterms asociados.</w:t>
            </w:r>
          </w:p>
          <w:p w14:paraId="7E0CF19A" w14:textId="77777777" w:rsidR="00A20832" w:rsidRPr="00576AF8" w:rsidRDefault="00A20832">
            <w:pPr>
              <w:keepNext/>
              <w:keepLines/>
              <w:numPr>
                <w:ilvl w:val="2"/>
                <w:numId w:val="1"/>
              </w:numPr>
              <w:spacing w:before="240" w:after="200"/>
              <w:ind w:left="1209" w:right="-19" w:hanging="662"/>
              <w:outlineLvl w:val="4"/>
            </w:pPr>
            <w:r w:rsidRPr="00576AF8">
              <w:rPr>
                <w:b/>
              </w:rPr>
              <w:t>A menos que en las CEC</w:t>
            </w:r>
            <w:r w:rsidR="00997CAB" w:rsidRPr="00576AF8">
              <w:rPr>
                <w:b/>
              </w:rPr>
              <w:t xml:space="preserve"> se especifique otra cosa</w:t>
            </w:r>
            <w:r w:rsidRPr="00576AF8">
              <w:t xml:space="preserve">, el Proveedor tendrá la libertad de usar para el transporte empresas transportadoras registradas en cualquier país elegible y </w:t>
            </w:r>
            <w:r w:rsidR="002401C7" w:rsidRPr="00576AF8">
              <w:t xml:space="preserve">de </w:t>
            </w:r>
            <w:r w:rsidRPr="00576AF8">
              <w:t>obtener una cobertura de seguro de cualquier país de origen elegible.</w:t>
            </w:r>
          </w:p>
          <w:p w14:paraId="519DA63E" w14:textId="77777777" w:rsidR="00A20832" w:rsidRPr="00576AF8" w:rsidRDefault="00A20832" w:rsidP="00227FC3">
            <w:pPr>
              <w:keepNext/>
              <w:keepLines/>
              <w:spacing w:before="240" w:after="200"/>
              <w:ind w:left="547" w:right="-19" w:hanging="547"/>
              <w:outlineLvl w:val="4"/>
            </w:pPr>
            <w:r w:rsidRPr="00576AF8">
              <w:t>22.5</w:t>
            </w:r>
            <w:r w:rsidRPr="00576AF8">
              <w:tab/>
            </w:r>
            <w:r w:rsidRPr="00576AF8">
              <w:rPr>
                <w:b/>
              </w:rPr>
              <w:t>A menos que en las CEC</w:t>
            </w:r>
            <w:r w:rsidR="00997CAB" w:rsidRPr="00576AF8">
              <w:rPr>
                <w:b/>
              </w:rPr>
              <w:t xml:space="preserve"> se especifique otra cosa</w:t>
            </w:r>
            <w:r w:rsidRPr="00576AF8">
              <w:t>, el Proveedor proporcionará al Comprador los documentos de embarque y de otra índole, según se especifica a continuación.</w:t>
            </w:r>
          </w:p>
          <w:p w14:paraId="27FF77C2" w14:textId="77777777" w:rsidR="00A20832" w:rsidRPr="00576AF8" w:rsidRDefault="00A20832" w:rsidP="00934AA4">
            <w:pPr>
              <w:keepNext/>
              <w:keepLines/>
              <w:spacing w:before="240" w:after="200"/>
              <w:ind w:left="1080" w:right="-19" w:hanging="540"/>
              <w:outlineLvl w:val="4"/>
            </w:pPr>
            <w:r w:rsidRPr="00576AF8">
              <w:t>22.5.1</w:t>
            </w:r>
            <w:r w:rsidRPr="00576AF8">
              <w:tab/>
              <w:t>En el caso de bienes suministrado</w:t>
            </w:r>
            <w:r w:rsidR="009B0E42" w:rsidRPr="00576AF8">
              <w:t>s</w:t>
            </w:r>
            <w:r w:rsidRPr="00576AF8">
              <w:t xml:space="preserve"> desde fuera del país del Comprador: </w:t>
            </w:r>
          </w:p>
          <w:p w14:paraId="0EA22226" w14:textId="77777777" w:rsidR="00A20832" w:rsidRPr="00576AF8" w:rsidRDefault="00A20832" w:rsidP="00227FC3">
            <w:pPr>
              <w:keepNext/>
              <w:keepLines/>
              <w:spacing w:before="240" w:after="200"/>
              <w:ind w:left="1080" w:right="-19"/>
              <w:outlineLvl w:val="4"/>
            </w:pPr>
            <w:r w:rsidRPr="00576AF8">
              <w:t>En el momento del embarque, el Proveedor informará al Comprador y a la compañía de seguro de carga que haya contratado, ya sea por correo electrónico o intercambio electrónico de datos, de todos los detalles del caso. El Proveedor enviará de inmediato al Comprador por correo o por servicio especial de mensajería</w:t>
            </w:r>
            <w:r w:rsidR="009B0E42" w:rsidRPr="00576AF8">
              <w:t>, según corresponda,</w:t>
            </w:r>
            <w:r w:rsidRPr="00576AF8">
              <w:t xml:space="preserve"> los siguientes documentos, con copia a la compañía de seguros:</w:t>
            </w:r>
          </w:p>
          <w:p w14:paraId="7D04C905" w14:textId="77777777" w:rsidR="00A20832" w:rsidRPr="00576AF8" w:rsidRDefault="00934AA4" w:rsidP="00227FC3">
            <w:pPr>
              <w:keepNext/>
              <w:keepLines/>
              <w:spacing w:before="240" w:after="200"/>
              <w:ind w:left="1627" w:right="-19" w:hanging="547"/>
              <w:outlineLvl w:val="4"/>
            </w:pPr>
            <w:r w:rsidRPr="00576AF8">
              <w:lastRenderedPageBreak/>
              <w:t>(</w:t>
            </w:r>
            <w:r w:rsidR="00A20832" w:rsidRPr="00576AF8">
              <w:t>a)</w:t>
            </w:r>
            <w:r w:rsidR="00A20832" w:rsidRPr="00576AF8">
              <w:tab/>
              <w:t xml:space="preserve">dos copias de la factura del Proveedor en la que conste una descripción de los bienes, </w:t>
            </w:r>
            <w:r w:rsidR="009B0E42" w:rsidRPr="00576AF8">
              <w:t xml:space="preserve">incluida la </w:t>
            </w:r>
            <w:r w:rsidR="00A20832" w:rsidRPr="00576AF8">
              <w:t xml:space="preserve">cantidad, </w:t>
            </w:r>
            <w:r w:rsidR="009B0E42" w:rsidRPr="00576AF8">
              <w:t xml:space="preserve">el </w:t>
            </w:r>
            <w:r w:rsidR="00A20832" w:rsidRPr="00576AF8">
              <w:t xml:space="preserve">precio unitario y </w:t>
            </w:r>
            <w:r w:rsidR="009B0E42" w:rsidRPr="00576AF8">
              <w:t xml:space="preserve">el </w:t>
            </w:r>
            <w:r w:rsidR="00A20832" w:rsidRPr="00576AF8">
              <w:t>monto total;</w:t>
            </w:r>
          </w:p>
          <w:p w14:paraId="3BA0AE04" w14:textId="77777777" w:rsidR="00A20832" w:rsidRPr="00576AF8" w:rsidRDefault="00934AA4" w:rsidP="00227FC3">
            <w:pPr>
              <w:keepNext/>
              <w:keepLines/>
              <w:spacing w:before="240" w:after="200"/>
              <w:ind w:left="1620" w:right="-19" w:hanging="540"/>
              <w:outlineLvl w:val="4"/>
            </w:pPr>
            <w:r w:rsidRPr="00576AF8">
              <w:t>(</w:t>
            </w:r>
            <w:r w:rsidR="00A20832" w:rsidRPr="00576AF8">
              <w:t>b)</w:t>
            </w:r>
            <w:r w:rsidR="00A20832" w:rsidRPr="00576AF8">
              <w:tab/>
              <w:t>documentos de transporte habituales;</w:t>
            </w:r>
          </w:p>
          <w:p w14:paraId="1E40AA32" w14:textId="77777777" w:rsidR="00A20832" w:rsidRPr="00576AF8" w:rsidRDefault="00934AA4" w:rsidP="00227FC3">
            <w:pPr>
              <w:keepNext/>
              <w:keepLines/>
              <w:spacing w:before="240" w:after="200"/>
              <w:ind w:left="1620" w:right="-19" w:hanging="540"/>
              <w:outlineLvl w:val="4"/>
            </w:pPr>
            <w:r w:rsidRPr="00576AF8">
              <w:t>(</w:t>
            </w:r>
            <w:r w:rsidR="00A20832" w:rsidRPr="00576AF8">
              <w:t>c)</w:t>
            </w:r>
            <w:r w:rsidR="00A20832" w:rsidRPr="00576AF8">
              <w:tab/>
              <w:t xml:space="preserve">certificado de la cobertura de seguro; </w:t>
            </w:r>
          </w:p>
          <w:p w14:paraId="31CDF25E" w14:textId="77777777" w:rsidR="00A20832" w:rsidRPr="00576AF8" w:rsidRDefault="00934AA4" w:rsidP="00227FC3">
            <w:pPr>
              <w:keepNext/>
              <w:keepLines/>
              <w:spacing w:before="240" w:after="200"/>
              <w:ind w:left="1620" w:right="-19" w:hanging="540"/>
              <w:outlineLvl w:val="4"/>
            </w:pPr>
            <w:r w:rsidRPr="00576AF8">
              <w:t>(</w:t>
            </w:r>
            <w:r w:rsidR="00A20832" w:rsidRPr="00576AF8">
              <w:t>d)</w:t>
            </w:r>
            <w:r w:rsidR="00A20832" w:rsidRPr="00576AF8">
              <w:tab/>
              <w:t>certificado(s) de origen;</w:t>
            </w:r>
          </w:p>
          <w:p w14:paraId="44D7CE73" w14:textId="77777777" w:rsidR="00A20832" w:rsidRPr="00576AF8" w:rsidRDefault="00934AA4" w:rsidP="00227FC3">
            <w:pPr>
              <w:keepNext/>
              <w:keepLines/>
              <w:spacing w:before="240" w:after="200"/>
              <w:ind w:left="1620" w:right="-19" w:hanging="540"/>
              <w:outlineLvl w:val="4"/>
            </w:pPr>
            <w:r w:rsidRPr="00576AF8">
              <w:t>(</w:t>
            </w:r>
            <w:r w:rsidR="00A20832" w:rsidRPr="00576AF8">
              <w:t xml:space="preserve">e) </w:t>
            </w:r>
            <w:r w:rsidR="00A20832" w:rsidRPr="00576AF8">
              <w:tab/>
              <w:t>lugar y fecha estimados de llegada al país del Comprador y al emplazamiento.</w:t>
            </w:r>
          </w:p>
          <w:p w14:paraId="2617E480" w14:textId="77777777" w:rsidR="00A20832" w:rsidRPr="00576AF8" w:rsidRDefault="00A20832" w:rsidP="00227FC3">
            <w:pPr>
              <w:keepNext/>
              <w:keepLines/>
              <w:spacing w:before="240" w:after="200"/>
              <w:ind w:left="1080" w:right="-19" w:hanging="540"/>
              <w:outlineLvl w:val="4"/>
            </w:pPr>
            <w:r w:rsidRPr="00576AF8">
              <w:t>22.5.2</w:t>
            </w:r>
            <w:r w:rsidRPr="00576AF8">
              <w:tab/>
              <w:t xml:space="preserve">En el caso de los bienes suministrados localmente </w:t>
            </w:r>
            <w:r w:rsidR="00934AA4" w:rsidRPr="00576AF8">
              <w:br/>
            </w:r>
            <w:r w:rsidRPr="00576AF8">
              <w:t>(es decir, desde el país del Comprador):</w:t>
            </w:r>
          </w:p>
          <w:p w14:paraId="7DA5CA5A" w14:textId="77777777" w:rsidR="00A20832" w:rsidRPr="00576AF8" w:rsidRDefault="00A20832" w:rsidP="00227FC3">
            <w:pPr>
              <w:keepNext/>
              <w:keepLines/>
              <w:spacing w:before="240" w:after="200"/>
              <w:ind w:left="1080" w:right="-19"/>
              <w:outlineLvl w:val="4"/>
            </w:pPr>
            <w:r w:rsidRPr="00576AF8">
              <w:t>En el momento del embarque, el Proveedor informará al Comprador, ya sea por correo electrónico o intercambio electrónico de datos, de todos los detalles del caso. El Proveedor enviará de inmediato al Comprador por correo o por servicio especial de mensajería los siguientes documentos, según corresponda:</w:t>
            </w:r>
          </w:p>
          <w:p w14:paraId="5C50E650" w14:textId="77777777" w:rsidR="00A20832" w:rsidRPr="00576AF8" w:rsidRDefault="00934AA4" w:rsidP="00227FC3">
            <w:pPr>
              <w:keepNext/>
              <w:keepLines/>
              <w:spacing w:before="240" w:after="200"/>
              <w:ind w:left="1620" w:right="-19" w:hanging="540"/>
              <w:outlineLvl w:val="4"/>
            </w:pPr>
            <w:r w:rsidRPr="00576AF8">
              <w:t>(a</w:t>
            </w:r>
            <w:r w:rsidR="00A20832" w:rsidRPr="00576AF8">
              <w:t>)</w:t>
            </w:r>
            <w:r w:rsidR="00A20832" w:rsidRPr="00576AF8">
              <w:tab/>
              <w:t xml:space="preserve">dos copias de la factura del Proveedor en la que conste una descripción de los bienes, </w:t>
            </w:r>
            <w:r w:rsidR="009B0E42" w:rsidRPr="00576AF8">
              <w:t xml:space="preserve">incluida la </w:t>
            </w:r>
            <w:r w:rsidR="00A20832" w:rsidRPr="00576AF8">
              <w:t xml:space="preserve">cantidad, </w:t>
            </w:r>
            <w:r w:rsidR="009B0E42" w:rsidRPr="00576AF8">
              <w:t xml:space="preserve">el </w:t>
            </w:r>
            <w:r w:rsidR="00A20832" w:rsidRPr="00576AF8">
              <w:t xml:space="preserve">precio unitario y </w:t>
            </w:r>
            <w:r w:rsidR="009B0E42" w:rsidRPr="00576AF8">
              <w:t xml:space="preserve">el </w:t>
            </w:r>
            <w:r w:rsidR="00A20832" w:rsidRPr="00576AF8">
              <w:t>monto total;</w:t>
            </w:r>
          </w:p>
          <w:p w14:paraId="26A08293" w14:textId="77777777" w:rsidR="00A20832" w:rsidRPr="00576AF8" w:rsidRDefault="00934AA4" w:rsidP="00227FC3">
            <w:pPr>
              <w:keepNext/>
              <w:keepLines/>
              <w:spacing w:before="240" w:after="200"/>
              <w:ind w:left="1620" w:right="-19" w:hanging="540"/>
              <w:outlineLvl w:val="4"/>
            </w:pPr>
            <w:r w:rsidRPr="00576AF8">
              <w:t>(</w:t>
            </w:r>
            <w:r w:rsidR="00A20832" w:rsidRPr="00576AF8">
              <w:t>b)</w:t>
            </w:r>
            <w:r w:rsidR="00A20832" w:rsidRPr="00576AF8">
              <w:tab/>
              <w:t xml:space="preserve">orden de entrega, recibo de envío por transporte ferroviario o recibo de envío en camión; </w:t>
            </w:r>
          </w:p>
          <w:p w14:paraId="76BE1060" w14:textId="77777777" w:rsidR="00A20832" w:rsidRPr="00576AF8" w:rsidRDefault="00934AA4" w:rsidP="00227FC3">
            <w:pPr>
              <w:keepNext/>
              <w:keepLines/>
              <w:spacing w:before="240" w:after="200"/>
              <w:ind w:left="1620" w:right="-19" w:hanging="540"/>
              <w:outlineLvl w:val="4"/>
            </w:pPr>
            <w:r w:rsidRPr="00576AF8">
              <w:t>(</w:t>
            </w:r>
            <w:r w:rsidR="00A20832" w:rsidRPr="00576AF8">
              <w:t>c)</w:t>
            </w:r>
            <w:r w:rsidR="00A20832" w:rsidRPr="00576AF8">
              <w:tab/>
              <w:t xml:space="preserve">certificado de la cobertura de seguro; </w:t>
            </w:r>
          </w:p>
          <w:p w14:paraId="74871DF2" w14:textId="77777777" w:rsidR="00A20832" w:rsidRPr="00576AF8" w:rsidRDefault="00934AA4" w:rsidP="00227FC3">
            <w:pPr>
              <w:keepNext/>
              <w:keepLines/>
              <w:spacing w:before="240" w:after="200"/>
              <w:ind w:left="1620" w:right="-19" w:hanging="540"/>
              <w:outlineLvl w:val="4"/>
            </w:pPr>
            <w:r w:rsidRPr="00576AF8">
              <w:t>(</w:t>
            </w:r>
            <w:r w:rsidR="00A20832" w:rsidRPr="00576AF8">
              <w:t>d)</w:t>
            </w:r>
            <w:r w:rsidR="00A20832" w:rsidRPr="00576AF8">
              <w:tab/>
              <w:t>certificado(s) de origen;</w:t>
            </w:r>
          </w:p>
          <w:p w14:paraId="7E94BC7B" w14:textId="77777777" w:rsidR="00A20832" w:rsidRPr="00576AF8" w:rsidRDefault="00934AA4" w:rsidP="00227FC3">
            <w:pPr>
              <w:keepNext/>
              <w:keepLines/>
              <w:spacing w:before="240" w:after="200"/>
              <w:ind w:left="1620" w:right="-19" w:hanging="540"/>
              <w:outlineLvl w:val="4"/>
            </w:pPr>
            <w:r w:rsidRPr="00576AF8">
              <w:t>(</w:t>
            </w:r>
            <w:r w:rsidR="00A20832" w:rsidRPr="00576AF8">
              <w:t>e)</w:t>
            </w:r>
            <w:r w:rsidR="00A20832" w:rsidRPr="00576AF8">
              <w:tab/>
              <w:t>fecha estimada de llegada al emplazamiento.</w:t>
            </w:r>
          </w:p>
          <w:p w14:paraId="2B0FA65B" w14:textId="77777777" w:rsidR="00A20832" w:rsidRPr="00576AF8" w:rsidRDefault="00A20832" w:rsidP="00227FC3">
            <w:pPr>
              <w:keepNext/>
              <w:keepLines/>
              <w:spacing w:before="240" w:after="200"/>
              <w:ind w:left="540" w:right="-19" w:hanging="540"/>
              <w:outlineLvl w:val="4"/>
            </w:pPr>
            <w:r w:rsidRPr="00576AF8">
              <w:t>22.6</w:t>
            </w:r>
            <w:r w:rsidRPr="00576AF8">
              <w:tab/>
              <w:t>Despacho aduanero</w:t>
            </w:r>
          </w:p>
          <w:p w14:paraId="126DCBA6" w14:textId="77777777" w:rsidR="00A20832" w:rsidRPr="00576AF8" w:rsidRDefault="00934AA4" w:rsidP="00227FC3">
            <w:pPr>
              <w:keepNext/>
              <w:keepLines/>
              <w:spacing w:before="240" w:after="200"/>
              <w:ind w:left="1080" w:right="-19" w:hanging="540"/>
              <w:outlineLvl w:val="4"/>
            </w:pPr>
            <w:r w:rsidRPr="00576AF8">
              <w:t>(</w:t>
            </w:r>
            <w:r w:rsidR="00A20832" w:rsidRPr="00576AF8">
              <w:t>a)</w:t>
            </w:r>
            <w:r w:rsidR="00A20832" w:rsidRPr="00576AF8">
              <w:tab/>
              <w:t xml:space="preserve">El Comprador asumirá la responsabilidad y el costo del despacho aduanero necesario para ingresar en su país según los Incoterms específicos utilizados para los bienes suministrados desde fuera del país del Comprador en </w:t>
            </w:r>
            <w:r w:rsidRPr="00576AF8">
              <w:br/>
            </w:r>
            <w:r w:rsidR="00A20832" w:rsidRPr="00576AF8">
              <w:t>las listas de precios a las que remite el artículo 2 del Convenio</w:t>
            </w:r>
            <w:r w:rsidR="00B95AEC" w:rsidRPr="00576AF8">
              <w:t xml:space="preserve"> Contractual</w:t>
            </w:r>
            <w:r w:rsidR="00A20832" w:rsidRPr="00576AF8">
              <w:t xml:space="preserve">. </w:t>
            </w:r>
          </w:p>
          <w:p w14:paraId="192A69F0" w14:textId="77777777" w:rsidR="00A20832" w:rsidRPr="00576AF8" w:rsidRDefault="00934AA4" w:rsidP="00227FC3">
            <w:pPr>
              <w:keepNext/>
              <w:keepLines/>
              <w:spacing w:before="240" w:after="200"/>
              <w:ind w:left="1080" w:right="-19" w:hanging="540"/>
              <w:outlineLvl w:val="4"/>
            </w:pPr>
            <w:r w:rsidRPr="00576AF8">
              <w:t>(</w:t>
            </w:r>
            <w:r w:rsidR="00A20832" w:rsidRPr="00576AF8">
              <w:t>b)</w:t>
            </w:r>
            <w:r w:rsidR="00A20832" w:rsidRPr="00576AF8">
              <w:tab/>
              <w:t xml:space="preserve">A solicitud del Comprador, el Proveedor pondrá a disposición un agente o representante durante el proceso de despacho aduanero en el país del Comprador para los </w:t>
            </w:r>
            <w:r w:rsidR="00A20832" w:rsidRPr="00576AF8">
              <w:lastRenderedPageBreak/>
              <w:t>bienes suministrados desde fuera de dicho país. En caso de que se produzcan demoras en el despacho aduanero que no sean atribuibles al Proveedor:</w:t>
            </w:r>
          </w:p>
          <w:p w14:paraId="0B2ECC5F" w14:textId="77777777" w:rsidR="00A20832" w:rsidRPr="00576AF8" w:rsidRDefault="00934AA4" w:rsidP="00227FC3">
            <w:pPr>
              <w:keepNext/>
              <w:keepLines/>
              <w:spacing w:before="240" w:after="200"/>
              <w:ind w:left="1620" w:right="-19" w:hanging="540"/>
              <w:outlineLvl w:val="4"/>
            </w:pPr>
            <w:r w:rsidRPr="00576AF8">
              <w:t>(</w:t>
            </w:r>
            <w:r w:rsidR="00A20832" w:rsidRPr="00576AF8">
              <w:t>i)</w:t>
            </w:r>
            <w:r w:rsidR="00A20832" w:rsidRPr="00576AF8">
              <w:tab/>
              <w:t xml:space="preserve">el Proveedor tendrá derecho a una </w:t>
            </w:r>
            <w:r w:rsidR="0016293D" w:rsidRPr="00576AF8">
              <w:t xml:space="preserve">prórroga </w:t>
            </w:r>
            <w:r w:rsidR="00A20832" w:rsidRPr="00576AF8">
              <w:t xml:space="preserve">del plazo para </w:t>
            </w:r>
            <w:r w:rsidR="00413A3A" w:rsidRPr="00576AF8">
              <w:t xml:space="preserve">obtener </w:t>
            </w:r>
            <w:r w:rsidR="00A20832" w:rsidRPr="00576AF8">
              <w:t>la aceptación operativa en virtud de lo dispuesto en la cláusula 40</w:t>
            </w:r>
            <w:r w:rsidR="00B37C9C" w:rsidRPr="00576AF8">
              <w:t xml:space="preserve"> de las CGC</w:t>
            </w:r>
            <w:r w:rsidR="00A20832" w:rsidRPr="00576AF8">
              <w:t>;</w:t>
            </w:r>
          </w:p>
          <w:p w14:paraId="1D63041F" w14:textId="77777777" w:rsidR="00A20832" w:rsidRPr="00576AF8" w:rsidRDefault="00934AA4" w:rsidP="00227FC3">
            <w:pPr>
              <w:keepNext/>
              <w:keepLines/>
              <w:spacing w:before="240" w:after="200"/>
              <w:ind w:left="1714" w:right="-19" w:hanging="634"/>
              <w:outlineLvl w:val="4"/>
            </w:pPr>
            <w:r w:rsidRPr="00576AF8">
              <w:t>(</w:t>
            </w:r>
            <w:r w:rsidR="00A20832" w:rsidRPr="00576AF8">
              <w:t>ii)</w:t>
            </w:r>
            <w:r w:rsidR="00A20832" w:rsidRPr="00576AF8">
              <w:tab/>
              <w:t>el precio del contrato deberá ajustarse para compensar al Proveedor por los cargos de depósito adicionales que este pueda sufragar como resultado de la demora.</w:t>
            </w:r>
          </w:p>
        </w:tc>
      </w:tr>
      <w:tr w:rsidR="00A20832" w:rsidRPr="00576AF8" w14:paraId="762B8D80" w14:textId="77777777" w:rsidTr="00227FC3">
        <w:tc>
          <w:tcPr>
            <w:tcW w:w="2552" w:type="dxa"/>
          </w:tcPr>
          <w:p w14:paraId="30545100" w14:textId="77777777" w:rsidR="00A20832" w:rsidRPr="00576AF8" w:rsidRDefault="00A20832" w:rsidP="00384B9B">
            <w:pPr>
              <w:pStyle w:val="Head62"/>
            </w:pPr>
            <w:bookmarkStart w:id="1556" w:name="_Toc277233344"/>
            <w:bookmarkStart w:id="1557" w:name="_Toc488959043"/>
            <w:r w:rsidRPr="00576AF8">
              <w:lastRenderedPageBreak/>
              <w:t>23.</w:t>
            </w:r>
            <w:r w:rsidRPr="00576AF8">
              <w:tab/>
            </w:r>
            <w:r w:rsidR="00384B9B" w:rsidRPr="00576AF8">
              <w:t>Versiones m</w:t>
            </w:r>
            <w:r w:rsidRPr="00576AF8">
              <w:t>ejora</w:t>
            </w:r>
            <w:r w:rsidR="00384B9B" w:rsidRPr="00576AF8">
              <w:t>das</w:t>
            </w:r>
            <w:r w:rsidRPr="00576AF8">
              <w:t xml:space="preserve"> </w:t>
            </w:r>
            <w:proofErr w:type="gramStart"/>
            <w:r w:rsidRPr="00576AF8">
              <w:t>de</w:t>
            </w:r>
            <w:r w:rsidR="00384B9B" w:rsidRPr="00576AF8">
              <w:t xml:space="preserve"> </w:t>
            </w:r>
            <w:r w:rsidRPr="00576AF8">
              <w:t>l</w:t>
            </w:r>
            <w:r w:rsidR="00384B9B" w:rsidRPr="00576AF8">
              <w:t>os</w:t>
            </w:r>
            <w:r w:rsidR="00934AA4" w:rsidRPr="00576AF8">
              <w:t> </w:t>
            </w:r>
            <w:r w:rsidRPr="00576AF8">
              <w:t>producto</w:t>
            </w:r>
            <w:bookmarkEnd w:id="1556"/>
            <w:bookmarkEnd w:id="1557"/>
            <w:proofErr w:type="gramEnd"/>
          </w:p>
        </w:tc>
        <w:tc>
          <w:tcPr>
            <w:tcW w:w="6804" w:type="dxa"/>
          </w:tcPr>
          <w:p w14:paraId="2DB43A41" w14:textId="77777777" w:rsidR="00A20832" w:rsidRPr="00576AF8" w:rsidRDefault="00A20832" w:rsidP="00227FC3">
            <w:pPr>
              <w:keepNext/>
              <w:keepLines/>
              <w:spacing w:before="240" w:after="200"/>
              <w:ind w:left="547" w:right="-19" w:hanging="547"/>
              <w:outlineLvl w:val="4"/>
            </w:pPr>
            <w:r w:rsidRPr="00576AF8">
              <w:t>23.1</w:t>
            </w:r>
            <w:r w:rsidRPr="00576AF8">
              <w:tab/>
              <w:t xml:space="preserve">Si en algún momento durante la ejecución del Contrato el Proveedor introdujese avances tecnológicos en las tecnologías de la información que hubiera ofrecido originalmente en su </w:t>
            </w:r>
            <w:r w:rsidR="00BC72E3" w:rsidRPr="00576AF8">
              <w:t>O</w:t>
            </w:r>
            <w:r w:rsidRPr="00576AF8">
              <w:t>ferta y que estuvieran pendiente</w:t>
            </w:r>
            <w:r w:rsidR="00323E6F" w:rsidRPr="00576AF8">
              <w:t>s</w:t>
            </w:r>
            <w:r w:rsidRPr="00576AF8">
              <w:t xml:space="preserve"> de entrega, </w:t>
            </w:r>
            <w:r w:rsidR="00323E6F" w:rsidRPr="00576AF8">
              <w:t xml:space="preserve">deberá </w:t>
            </w:r>
            <w:r w:rsidRPr="00576AF8">
              <w:t>ofrecer al Comprador las versiones más recientes de las tecnologías de la información disponibles que tengan igual o mejor desempeño o funcionalidad al mismo precio unitario</w:t>
            </w:r>
            <w:r w:rsidR="00323E6F" w:rsidRPr="00576AF8">
              <w:t xml:space="preserve"> o a uno menor</w:t>
            </w:r>
            <w:r w:rsidRPr="00576AF8">
              <w:t xml:space="preserve">, conforme a lo dispuesto en la cláusula 39 </w:t>
            </w:r>
            <w:r w:rsidR="00323E6F" w:rsidRPr="00576AF8">
              <w:t xml:space="preserve">de las CGC </w:t>
            </w:r>
            <w:r w:rsidRPr="00576AF8">
              <w:t>(Cambios al Sistema).</w:t>
            </w:r>
          </w:p>
        </w:tc>
      </w:tr>
      <w:tr w:rsidR="00A20832" w:rsidRPr="00576AF8" w14:paraId="5DBA0288" w14:textId="77777777" w:rsidTr="00227FC3">
        <w:tc>
          <w:tcPr>
            <w:tcW w:w="2552" w:type="dxa"/>
          </w:tcPr>
          <w:p w14:paraId="7FE0690C" w14:textId="77777777" w:rsidR="00A20832" w:rsidRPr="00576AF8" w:rsidRDefault="00A20832" w:rsidP="00A35BE3">
            <w:pPr>
              <w:spacing w:after="0"/>
              <w:jc w:val="left"/>
            </w:pPr>
          </w:p>
        </w:tc>
        <w:tc>
          <w:tcPr>
            <w:tcW w:w="6804" w:type="dxa"/>
          </w:tcPr>
          <w:p w14:paraId="5F2AF3CF" w14:textId="77777777" w:rsidR="00A20832" w:rsidRPr="00576AF8" w:rsidRDefault="00A20832" w:rsidP="00227FC3">
            <w:pPr>
              <w:keepNext/>
              <w:keepLines/>
              <w:spacing w:before="240" w:after="200"/>
              <w:ind w:left="540" w:right="-19" w:hanging="540"/>
              <w:outlineLvl w:val="4"/>
            </w:pPr>
            <w:r w:rsidRPr="00576AF8">
              <w:t>23.2</w:t>
            </w:r>
            <w:r w:rsidRPr="00576AF8">
              <w:tab/>
              <w:t>En cualquier momento durante la ejecución del Contrato, en el caso de las tecnologías de la información pendientes de entrega, el Proveedor también trasladará al Comprador las reducciones de costo, y el apoyo y las facilidades adicionales o mejorados que ofre</w:t>
            </w:r>
            <w:r w:rsidR="00323E6F" w:rsidRPr="00576AF8">
              <w:t>zca</w:t>
            </w:r>
            <w:r w:rsidRPr="00576AF8">
              <w:t xml:space="preserve"> a otros clientes en el país de</w:t>
            </w:r>
            <w:r w:rsidR="008957B3" w:rsidRPr="00576AF8">
              <w:t>l</w:t>
            </w:r>
            <w:r w:rsidRPr="00576AF8">
              <w:t xml:space="preserve"> </w:t>
            </w:r>
            <w:r w:rsidR="008957B3" w:rsidRPr="00576AF8">
              <w:t>Comprador</w:t>
            </w:r>
            <w:r w:rsidRPr="00576AF8">
              <w:t xml:space="preserve">, conforme a la cláusula 39 </w:t>
            </w:r>
            <w:r w:rsidR="008957B3" w:rsidRPr="00576AF8">
              <w:t xml:space="preserve">de las CGC </w:t>
            </w:r>
            <w:r w:rsidRPr="00576AF8">
              <w:t>(Cambios al Sistema).</w:t>
            </w:r>
          </w:p>
          <w:p w14:paraId="0DD82F2F" w14:textId="77777777" w:rsidR="00A20832" w:rsidRPr="00576AF8" w:rsidRDefault="00A20832" w:rsidP="00227FC3">
            <w:pPr>
              <w:keepNext/>
              <w:keepLines/>
              <w:spacing w:before="240" w:after="200"/>
              <w:ind w:left="547" w:right="-19" w:hanging="547"/>
              <w:outlineLvl w:val="4"/>
            </w:pPr>
            <w:r w:rsidRPr="00576AF8">
              <w:t>23.3</w:t>
            </w:r>
            <w:r w:rsidRPr="00576AF8">
              <w:tab/>
              <w:t xml:space="preserve">Durante la ejecución del Contrato, el Proveedor ofrecerá al Comprador todas las nuevas versiones, publicaciones y actualizaciones del </w:t>
            </w:r>
            <w:r w:rsidR="00F772EC" w:rsidRPr="00576AF8">
              <w:t>software</w:t>
            </w:r>
            <w:r w:rsidRPr="00576AF8">
              <w:rPr>
                <w:i/>
              </w:rPr>
              <w:t xml:space="preserve"> </w:t>
            </w:r>
            <w:r w:rsidRPr="00576AF8">
              <w:t xml:space="preserve">estándar, así como la documentación y los servicios técnicos relacionados, dentro de los treinta (30) días posteriores a la fecha en que los haya puesto a disposición de otros clientes en el país del Comprador y, a más tardar, doce (12) meses después de que hayan salido a la venta en el país de origen. Los precios de </w:t>
            </w:r>
            <w:proofErr w:type="gramStart"/>
            <w:r w:rsidRPr="00576AF8">
              <w:t xml:space="preserve">dichos </w:t>
            </w:r>
            <w:r w:rsidR="00F772EC" w:rsidRPr="00576AF8">
              <w:t>software</w:t>
            </w:r>
            <w:proofErr w:type="gramEnd"/>
            <w:r w:rsidRPr="00576AF8">
              <w:rPr>
                <w:i/>
              </w:rPr>
              <w:t xml:space="preserve"> </w:t>
            </w:r>
            <w:r w:rsidRPr="00576AF8">
              <w:t xml:space="preserve">en ningún caso superarán lo que haya cotizado el Proveedor en los cuadros de </w:t>
            </w:r>
            <w:r w:rsidR="00634D0C" w:rsidRPr="00576AF8">
              <w:t xml:space="preserve">gastos </w:t>
            </w:r>
            <w:r w:rsidR="00AF5510" w:rsidRPr="00576AF8">
              <w:t>recurrentes</w:t>
            </w:r>
            <w:r w:rsidRPr="00576AF8">
              <w:t xml:space="preserve"> de su </w:t>
            </w:r>
            <w:r w:rsidR="00BC72E3" w:rsidRPr="00576AF8">
              <w:t>O</w:t>
            </w:r>
            <w:r w:rsidRPr="00576AF8">
              <w:t>ferta.</w:t>
            </w:r>
            <w:r w:rsidR="00D310A5" w:rsidRPr="00576AF8">
              <w:t xml:space="preserve"> </w:t>
            </w:r>
          </w:p>
          <w:p w14:paraId="3996CF87" w14:textId="77777777" w:rsidR="00A20832" w:rsidRPr="00576AF8" w:rsidRDefault="00A20832" w:rsidP="00227FC3">
            <w:pPr>
              <w:keepNext/>
              <w:keepLines/>
              <w:spacing w:before="240" w:after="200"/>
              <w:ind w:left="547" w:right="-19" w:hanging="547"/>
              <w:outlineLvl w:val="4"/>
            </w:pPr>
            <w:r w:rsidRPr="00576AF8">
              <w:t>23.4</w:t>
            </w:r>
            <w:r w:rsidRPr="00576AF8">
              <w:tab/>
            </w:r>
            <w:r w:rsidRPr="00576AF8">
              <w:rPr>
                <w:b/>
              </w:rPr>
              <w:t>A menos que en las CEC</w:t>
            </w:r>
            <w:r w:rsidR="00997CAB" w:rsidRPr="00576AF8">
              <w:rPr>
                <w:b/>
              </w:rPr>
              <w:t xml:space="preserve"> se especifique otra cosa</w:t>
            </w:r>
            <w:r w:rsidRPr="00576AF8">
              <w:t xml:space="preserve">, durante el período de garantía, el Proveedor proporcionará sin ningún costo adicional al Comprador todas las nuevas versiones, publicaciones y actualizaciones de todos los </w:t>
            </w:r>
            <w:r w:rsidR="00F772EC" w:rsidRPr="00576AF8">
              <w:t>software</w:t>
            </w:r>
            <w:r w:rsidRPr="00576AF8">
              <w:rPr>
                <w:i/>
              </w:rPr>
              <w:t xml:space="preserve"> </w:t>
            </w:r>
            <w:r w:rsidRPr="00576AF8">
              <w:t>estándar que se utilicen en el Sistema dentro de los treinta (30) días posteriores a la fecha en que los haya puesto a disposición de otros clientes en el país del Comprador y, a más tardar, doce (12) después de que hayan salido a la venta en el país de origen.</w:t>
            </w:r>
            <w:r w:rsidR="00D310A5" w:rsidRPr="00576AF8">
              <w:t xml:space="preserve"> </w:t>
            </w:r>
          </w:p>
          <w:p w14:paraId="69A44362" w14:textId="77777777" w:rsidR="00A20832" w:rsidRPr="00576AF8" w:rsidRDefault="00A20832" w:rsidP="00227FC3">
            <w:pPr>
              <w:keepNext/>
              <w:keepLines/>
              <w:spacing w:before="240" w:after="200"/>
              <w:ind w:left="540" w:right="-19" w:hanging="540"/>
              <w:outlineLvl w:val="4"/>
            </w:pPr>
            <w:r w:rsidRPr="00576AF8">
              <w:t>23.5</w:t>
            </w:r>
            <w:r w:rsidRPr="00576AF8">
              <w:tab/>
              <w:t xml:space="preserve">El Proveedor introducirá todas la nuevas versiones, publicaciones o actualizaciones del </w:t>
            </w:r>
            <w:r w:rsidR="00F772EC" w:rsidRPr="00576AF8">
              <w:t>software</w:t>
            </w:r>
            <w:r w:rsidRPr="00576AF8">
              <w:rPr>
                <w:i/>
              </w:rPr>
              <w:t xml:space="preserve"> </w:t>
            </w:r>
            <w:r w:rsidRPr="00576AF8">
              <w:t>dentro de los dieciocho (18) meses posteriores a la fecha en que haya recibido una copia lista para la producción de la nueva versión, publicación o actualización, siempre que esta no afecte negativamente la operación o el desempeño del Sistema ni requiera una reformulación exhaustiva de este.</w:t>
            </w:r>
            <w:r w:rsidR="00D310A5" w:rsidRPr="00576AF8">
              <w:t xml:space="preserve"> </w:t>
            </w:r>
            <w:r w:rsidRPr="00576AF8">
              <w:t xml:space="preserve">En los casos en que la nueva versión, publicación o actualización afecte negativamente la operación o el desempeño del Sistema, o requiera una reformulación exhaustiva de este, el Proveedor seguirá respaldando y manteniendo la versión o publicación anterior durante el tiempo que sea necesario para que se pueda introducir la nueva versión, publicación o actualización. El </w:t>
            </w:r>
            <w:r w:rsidR="008957B3" w:rsidRPr="00576AF8">
              <w:t>P</w:t>
            </w:r>
            <w:r w:rsidRPr="00576AF8">
              <w:t xml:space="preserve">roveedor en ningún caso dejará de respaldar o mantener una versión o publicación del </w:t>
            </w:r>
            <w:r w:rsidR="00F772EC" w:rsidRPr="00576AF8">
              <w:t>software</w:t>
            </w:r>
            <w:r w:rsidRPr="00576AF8">
              <w:rPr>
                <w:i/>
              </w:rPr>
              <w:t xml:space="preserve"> </w:t>
            </w:r>
            <w:r w:rsidRPr="00576AF8">
              <w:t xml:space="preserve">durante menos de veinticuatro (24) meses a partir de la fecha en que el Comprador reciba una copia lista para la producción de una versión, publicación o actualización posterior. El Comprador hará </w:t>
            </w:r>
            <w:proofErr w:type="gramStart"/>
            <w:r w:rsidRPr="00576AF8">
              <w:t xml:space="preserve">todo </w:t>
            </w:r>
            <w:r w:rsidRPr="00576AF8">
              <w:lastRenderedPageBreak/>
              <w:t>los esfuerzos razonables</w:t>
            </w:r>
            <w:proofErr w:type="gramEnd"/>
            <w:r w:rsidRPr="00576AF8">
              <w:t xml:space="preserve"> para poner en funcionamiento la nueva versión, publicación o actualización tan pronto como sea posible, con sujeción a la fecha que dará lugar la prohibición de 24 meses mencionada.</w:t>
            </w:r>
          </w:p>
        </w:tc>
      </w:tr>
      <w:tr w:rsidR="00A20832" w:rsidRPr="00576AF8" w14:paraId="07EC7212" w14:textId="77777777" w:rsidTr="00227FC3">
        <w:trPr>
          <w:cantSplit/>
        </w:trPr>
        <w:tc>
          <w:tcPr>
            <w:tcW w:w="2552" w:type="dxa"/>
          </w:tcPr>
          <w:p w14:paraId="440005E1" w14:textId="77777777" w:rsidR="00A20832" w:rsidRPr="00576AF8" w:rsidRDefault="00A20832" w:rsidP="00A35BE3">
            <w:pPr>
              <w:pStyle w:val="Head62"/>
            </w:pPr>
            <w:bookmarkStart w:id="1558" w:name="_Toc277233345"/>
            <w:bookmarkStart w:id="1559" w:name="_Toc488959044"/>
            <w:r w:rsidRPr="00576AF8">
              <w:lastRenderedPageBreak/>
              <w:t>24.</w:t>
            </w:r>
            <w:r w:rsidRPr="00576AF8">
              <w:tab/>
              <w:t>Implementación, instalación y otros</w:t>
            </w:r>
            <w:r w:rsidR="005B1ABA" w:rsidRPr="00576AF8">
              <w:t> </w:t>
            </w:r>
            <w:r w:rsidRPr="00576AF8">
              <w:t>servicios</w:t>
            </w:r>
            <w:bookmarkEnd w:id="1558"/>
            <w:bookmarkEnd w:id="1559"/>
          </w:p>
        </w:tc>
        <w:tc>
          <w:tcPr>
            <w:tcW w:w="6804" w:type="dxa"/>
          </w:tcPr>
          <w:p w14:paraId="4FEE66D9" w14:textId="77777777" w:rsidR="00A20832" w:rsidRPr="00576AF8" w:rsidRDefault="00A20832" w:rsidP="00227FC3">
            <w:pPr>
              <w:keepNext/>
              <w:keepLines/>
              <w:spacing w:before="240" w:after="200"/>
              <w:ind w:left="540" w:right="-19" w:hanging="540"/>
              <w:outlineLvl w:val="4"/>
            </w:pPr>
            <w:r w:rsidRPr="00576AF8">
              <w:t>24.1</w:t>
            </w:r>
            <w:r w:rsidRPr="00576AF8">
              <w:tab/>
              <w:t xml:space="preserve">El Proveedor prestará todos los servicios especificados </w:t>
            </w:r>
            <w:r w:rsidR="000C6345" w:rsidRPr="00576AF8">
              <w:br/>
            </w:r>
            <w:r w:rsidRPr="00576AF8">
              <w:t xml:space="preserve">en el Contrato y en el plan </w:t>
            </w:r>
            <w:r w:rsidR="002034C3" w:rsidRPr="00576AF8">
              <w:t>acordado para el P</w:t>
            </w:r>
            <w:r w:rsidRPr="00576AF8">
              <w:t>royecto de conformidad con los más altos niveles de competencia e integridad profesionales.</w:t>
            </w:r>
            <w:r w:rsidR="00D310A5" w:rsidRPr="00576AF8">
              <w:t xml:space="preserve"> </w:t>
            </w:r>
          </w:p>
        </w:tc>
      </w:tr>
      <w:tr w:rsidR="00A20832" w:rsidRPr="00576AF8" w14:paraId="41EC498F" w14:textId="77777777" w:rsidTr="00227FC3">
        <w:tc>
          <w:tcPr>
            <w:tcW w:w="2552" w:type="dxa"/>
          </w:tcPr>
          <w:p w14:paraId="14E0CAD9" w14:textId="77777777" w:rsidR="00A20832" w:rsidRPr="00576AF8" w:rsidRDefault="00A20832" w:rsidP="00A35BE3">
            <w:pPr>
              <w:spacing w:after="0"/>
              <w:jc w:val="left"/>
            </w:pPr>
          </w:p>
        </w:tc>
        <w:tc>
          <w:tcPr>
            <w:tcW w:w="6804" w:type="dxa"/>
          </w:tcPr>
          <w:p w14:paraId="0ED2A40D" w14:textId="77777777" w:rsidR="00A20832" w:rsidRPr="00576AF8" w:rsidRDefault="00A20832" w:rsidP="00227FC3">
            <w:pPr>
              <w:keepNext/>
              <w:keepLines/>
              <w:spacing w:before="240" w:after="200"/>
              <w:ind w:left="547" w:right="-19" w:hanging="547"/>
              <w:outlineLvl w:val="4"/>
            </w:pPr>
            <w:r w:rsidRPr="00576AF8">
              <w:t>24.2</w:t>
            </w:r>
            <w:r w:rsidRPr="00576AF8">
              <w:tab/>
              <w:t xml:space="preserve">Los precios que cobre el Proveedor por los servicios, si no estuvieran incluidos en el Contrato, serán acordados de antemano por las partes (incluidos, entre otros, los precios presentados por el Proveedor en las listas de gastos </w:t>
            </w:r>
            <w:r w:rsidR="00AF5510" w:rsidRPr="00576AF8">
              <w:t>recurrentes</w:t>
            </w:r>
            <w:r w:rsidRPr="00576AF8">
              <w:t xml:space="preserve"> de su </w:t>
            </w:r>
            <w:r w:rsidR="00BC72E3" w:rsidRPr="00576AF8">
              <w:t>O</w:t>
            </w:r>
            <w:r w:rsidRPr="00576AF8">
              <w:t>ferta) y no podrán exceder las tarifas predominantes que el Proveedor cobre a otros compradores en el país del Comprador por servicios similares.</w:t>
            </w:r>
          </w:p>
        </w:tc>
      </w:tr>
      <w:tr w:rsidR="00A20832" w:rsidRPr="00576AF8" w14:paraId="2D67702A" w14:textId="77777777" w:rsidTr="00227FC3">
        <w:trPr>
          <w:cantSplit/>
        </w:trPr>
        <w:tc>
          <w:tcPr>
            <w:tcW w:w="2552" w:type="dxa"/>
          </w:tcPr>
          <w:p w14:paraId="20CECDB1" w14:textId="77777777" w:rsidR="00A20832" w:rsidRPr="00576AF8" w:rsidRDefault="00A20832" w:rsidP="00A35BE3">
            <w:pPr>
              <w:pStyle w:val="Head62"/>
            </w:pPr>
            <w:bookmarkStart w:id="1560" w:name="_Toc277233346"/>
            <w:bookmarkStart w:id="1561" w:name="_Toc488959045"/>
            <w:r w:rsidRPr="00576AF8">
              <w:t>25.</w:t>
            </w:r>
            <w:r w:rsidRPr="00576AF8">
              <w:tab/>
              <w:t>Pruebas e inspecciones</w:t>
            </w:r>
            <w:bookmarkEnd w:id="1560"/>
            <w:bookmarkEnd w:id="1561"/>
          </w:p>
        </w:tc>
        <w:tc>
          <w:tcPr>
            <w:tcW w:w="6804" w:type="dxa"/>
          </w:tcPr>
          <w:p w14:paraId="38B5B181" w14:textId="77777777" w:rsidR="00A20832" w:rsidRPr="00576AF8" w:rsidRDefault="00A20832" w:rsidP="00227FC3">
            <w:pPr>
              <w:keepNext/>
              <w:keepLines/>
              <w:spacing w:before="240" w:after="200"/>
              <w:ind w:left="547" w:right="-19" w:hanging="547"/>
              <w:outlineLvl w:val="4"/>
            </w:pPr>
            <w:r w:rsidRPr="00576AF8">
              <w:t>25.1</w:t>
            </w:r>
            <w:r w:rsidRPr="00576AF8">
              <w:tab/>
              <w:t xml:space="preserve">El Comprador o su representante tendrán derecho a inspeccionar o poner a prueba todos los componentes del Sistema, tal como se especifica en los requisitos técnicos, para confirmar que funcionan correctamente y </w:t>
            </w:r>
            <w:r w:rsidR="008957B3" w:rsidRPr="00576AF8">
              <w:t xml:space="preserve">que </w:t>
            </w:r>
            <w:r w:rsidRPr="00576AF8">
              <w:t xml:space="preserve">se ajustan al Contrato en el punto de entrega o en el </w:t>
            </w:r>
            <w:r w:rsidR="008957B3" w:rsidRPr="00576AF8">
              <w:t xml:space="preserve">sitio </w:t>
            </w:r>
            <w:r w:rsidRPr="00576AF8">
              <w:t xml:space="preserve">del </w:t>
            </w:r>
            <w:r w:rsidR="008957B3" w:rsidRPr="00576AF8">
              <w:t>P</w:t>
            </w:r>
            <w:r w:rsidRPr="00576AF8">
              <w:t>royecto.</w:t>
            </w:r>
            <w:r w:rsidR="00D310A5" w:rsidRPr="00576AF8">
              <w:t xml:space="preserve"> </w:t>
            </w:r>
          </w:p>
        </w:tc>
      </w:tr>
      <w:tr w:rsidR="00A20832" w:rsidRPr="00576AF8" w14:paraId="6C598429" w14:textId="77777777" w:rsidTr="00227FC3">
        <w:tc>
          <w:tcPr>
            <w:tcW w:w="2552" w:type="dxa"/>
          </w:tcPr>
          <w:p w14:paraId="7446CDFA" w14:textId="77777777" w:rsidR="00A20832" w:rsidRPr="00576AF8" w:rsidRDefault="00A20832" w:rsidP="00A35BE3">
            <w:pPr>
              <w:spacing w:after="0"/>
              <w:jc w:val="left"/>
            </w:pPr>
          </w:p>
        </w:tc>
        <w:tc>
          <w:tcPr>
            <w:tcW w:w="6804" w:type="dxa"/>
          </w:tcPr>
          <w:p w14:paraId="5B58DE0A" w14:textId="77777777" w:rsidR="00E72680" w:rsidRPr="00576AF8" w:rsidRDefault="00A20832" w:rsidP="00E72680">
            <w:pPr>
              <w:keepNext/>
              <w:keepLines/>
              <w:spacing w:before="240" w:after="200"/>
              <w:ind w:left="547" w:right="-19" w:hanging="547"/>
              <w:outlineLvl w:val="4"/>
            </w:pPr>
            <w:r w:rsidRPr="00576AF8">
              <w:rPr>
                <w:spacing w:val="-4"/>
              </w:rPr>
              <w:t>25.2</w:t>
            </w:r>
            <w:r w:rsidRPr="00576AF8">
              <w:rPr>
                <w:spacing w:val="-4"/>
              </w:rPr>
              <w:tab/>
              <w:t xml:space="preserve">El Comprador o su representante tendrán derecho a presenciar las pruebas o inspecciones de los componentes, siempre y cuando </w:t>
            </w:r>
            <w:r w:rsidR="00970958" w:rsidRPr="00576AF8">
              <w:rPr>
                <w:spacing w:val="-4"/>
              </w:rPr>
              <w:t xml:space="preserve">el Comprador </w:t>
            </w:r>
            <w:r w:rsidRPr="00576AF8">
              <w:rPr>
                <w:spacing w:val="-4"/>
              </w:rPr>
              <w:t>asuma todos los costos y gastos que ocasione su participación, incluidos, entre otros, los honorarios del agente de inspección, los gastos de viaje y gastos relacionados.</w:t>
            </w:r>
            <w:r w:rsidR="00E72680" w:rsidRPr="00576AF8">
              <w:t xml:space="preserve"> </w:t>
            </w:r>
          </w:p>
          <w:p w14:paraId="7B4B06F6" w14:textId="77777777" w:rsidR="00E72680" w:rsidRPr="00576AF8" w:rsidRDefault="00E72680" w:rsidP="00E72680">
            <w:pPr>
              <w:keepNext/>
              <w:keepLines/>
              <w:spacing w:before="240" w:after="200"/>
              <w:ind w:left="547" w:right="-19" w:hanging="547"/>
              <w:outlineLvl w:val="4"/>
            </w:pPr>
            <w:r w:rsidRPr="00576AF8">
              <w:t>25.3</w:t>
            </w:r>
            <w:r w:rsidRPr="00576AF8">
              <w:tab/>
              <w:t>Si los componentes examinados o puestos a prueba no se ajustaran al Contrato, el Comprador podrá rechazarlos, y el Proveedor deberá reemplazar los componentes rechazados o realizar, sin costo alguno para el Comprador, las modificaciones necesarias para que cumplan con los requisitos del Contrato.</w:t>
            </w:r>
          </w:p>
          <w:p w14:paraId="085709B3" w14:textId="77777777" w:rsidR="00A20832" w:rsidRPr="00576AF8" w:rsidRDefault="00A20832" w:rsidP="00227FC3">
            <w:pPr>
              <w:spacing w:after="200"/>
              <w:ind w:left="547" w:right="-19" w:hanging="547"/>
              <w:rPr>
                <w:spacing w:val="-4"/>
              </w:rPr>
            </w:pPr>
          </w:p>
          <w:p w14:paraId="0E1BD519" w14:textId="77777777" w:rsidR="00A20832" w:rsidRPr="00576AF8" w:rsidRDefault="00A20832" w:rsidP="00227FC3">
            <w:pPr>
              <w:keepNext/>
              <w:keepLines/>
              <w:spacing w:before="240" w:after="200"/>
              <w:ind w:left="547" w:right="-19" w:hanging="547"/>
              <w:outlineLvl w:val="4"/>
            </w:pPr>
            <w:r w:rsidRPr="00576AF8">
              <w:lastRenderedPageBreak/>
              <w:t>25.4</w:t>
            </w:r>
            <w:r w:rsidRPr="00576AF8">
              <w:tab/>
              <w:t xml:space="preserve">El gerente de proyecto podrá exigir que el Proveedor realice </w:t>
            </w:r>
            <w:r w:rsidR="00DC145E" w:rsidRPr="00576AF8">
              <w:t xml:space="preserve">alguna </w:t>
            </w:r>
            <w:r w:rsidRPr="00576AF8">
              <w:t xml:space="preserve">prueba o inspección que no se exija en el Contrato, con la salvedad de que los costos y gastos razonables </w:t>
            </w:r>
            <w:r w:rsidR="00DC145E" w:rsidRPr="00576AF8">
              <w:t xml:space="preserve">en </w:t>
            </w:r>
            <w:r w:rsidRPr="00576AF8">
              <w:t xml:space="preserve">que deba </w:t>
            </w:r>
            <w:r w:rsidR="00DC145E" w:rsidRPr="00576AF8">
              <w:t xml:space="preserve">incurrir </w:t>
            </w:r>
            <w:r w:rsidRPr="00576AF8">
              <w:t xml:space="preserve">el Proveedor para realizar tal prueba o inspección se añadirán al precio del Contrato. Asimismo, si dicha prueba o inspección obstaculiza el progreso de los trabajos en el Sistema o el cumplimiento por el Proveedor de las demás obligaciones que le caben en virtud del Contrato, ello deberá tenerse en cuenta en relación con el plazo para </w:t>
            </w:r>
            <w:r w:rsidR="00413A3A" w:rsidRPr="00576AF8">
              <w:t xml:space="preserve">obtener </w:t>
            </w:r>
            <w:r w:rsidRPr="00576AF8">
              <w:t xml:space="preserve">la aceptación operativa y otras obligaciones que resulten afectadas. </w:t>
            </w:r>
          </w:p>
          <w:p w14:paraId="5CCAD4FB" w14:textId="77777777" w:rsidR="00A20832" w:rsidRPr="00576AF8" w:rsidRDefault="00A20832" w:rsidP="00227FC3">
            <w:pPr>
              <w:keepNext/>
              <w:keepLines/>
              <w:spacing w:before="240" w:after="200"/>
              <w:ind w:left="547" w:right="-19" w:hanging="547"/>
              <w:outlineLvl w:val="4"/>
            </w:pPr>
            <w:r w:rsidRPr="00576AF8">
              <w:t>25.5</w:t>
            </w:r>
            <w:r w:rsidRPr="00576AF8">
              <w:tab/>
              <w:t>E</w:t>
            </w:r>
            <w:r w:rsidRPr="00576AF8">
              <w:rPr>
                <w:spacing w:val="-4"/>
              </w:rPr>
              <w:t xml:space="preserve">n caso de que surja una controversia entre las partes con respecto a una inspección o algún componente que vaya a incorporarse al Sistema, o generada por dicha inspección o componente, que las partes no puedan resolver amigablemente dentro de un plazo razonable, cualquiera de ellas podrá invocar el proceso establecido en la cláusula 43 </w:t>
            </w:r>
            <w:r w:rsidR="00DC145E" w:rsidRPr="00576AF8">
              <w:rPr>
                <w:spacing w:val="-4"/>
              </w:rPr>
              <w:t xml:space="preserve">de las CGC </w:t>
            </w:r>
            <w:r w:rsidRPr="00576AF8">
              <w:rPr>
                <w:spacing w:val="-4"/>
              </w:rPr>
              <w:t xml:space="preserve">(Solución de controversias) y remitir, en principio, el asunto al </w:t>
            </w:r>
            <w:r w:rsidR="00222A2F" w:rsidRPr="00576AF8">
              <w:rPr>
                <w:spacing w:val="-4"/>
              </w:rPr>
              <w:t xml:space="preserve">Conciliador </w:t>
            </w:r>
            <w:r w:rsidRPr="00576AF8">
              <w:rPr>
                <w:spacing w:val="-4"/>
              </w:rPr>
              <w:t>en caso de que se haya incluido y designado un conciliador en el Convenio</w:t>
            </w:r>
            <w:r w:rsidR="00B95AEC" w:rsidRPr="00576AF8">
              <w:rPr>
                <w:spacing w:val="-4"/>
              </w:rPr>
              <w:t xml:space="preserve"> Contractual</w:t>
            </w:r>
            <w:r w:rsidRPr="00576AF8">
              <w:rPr>
                <w:spacing w:val="-4"/>
              </w:rPr>
              <w:t>.</w:t>
            </w:r>
          </w:p>
        </w:tc>
      </w:tr>
      <w:tr w:rsidR="00E72680" w:rsidRPr="00576AF8" w14:paraId="1C598B75" w14:textId="77777777" w:rsidTr="00227FC3">
        <w:tc>
          <w:tcPr>
            <w:tcW w:w="2552" w:type="dxa"/>
          </w:tcPr>
          <w:p w14:paraId="41301713" w14:textId="77777777" w:rsidR="00E72680" w:rsidRPr="00576AF8" w:rsidRDefault="00E72680" w:rsidP="00A35BE3">
            <w:pPr>
              <w:spacing w:after="0"/>
              <w:jc w:val="left"/>
            </w:pPr>
          </w:p>
        </w:tc>
        <w:tc>
          <w:tcPr>
            <w:tcW w:w="6804" w:type="dxa"/>
          </w:tcPr>
          <w:p w14:paraId="6CF2093E" w14:textId="77777777" w:rsidR="00E72680" w:rsidRPr="00576AF8" w:rsidRDefault="00E72680" w:rsidP="00227FC3">
            <w:pPr>
              <w:spacing w:after="200"/>
              <w:ind w:left="547" w:right="-19" w:hanging="547"/>
              <w:rPr>
                <w:spacing w:val="-4"/>
              </w:rPr>
            </w:pPr>
          </w:p>
        </w:tc>
      </w:tr>
      <w:tr w:rsidR="00A20832" w:rsidRPr="00576AF8" w14:paraId="2B135275" w14:textId="77777777" w:rsidTr="00227FC3">
        <w:tc>
          <w:tcPr>
            <w:tcW w:w="2552" w:type="dxa"/>
          </w:tcPr>
          <w:p w14:paraId="3247CBC4" w14:textId="77777777" w:rsidR="00A20832" w:rsidRPr="00576AF8" w:rsidRDefault="00A20832" w:rsidP="00A35BE3">
            <w:pPr>
              <w:pStyle w:val="Head62"/>
            </w:pPr>
            <w:bookmarkStart w:id="1562" w:name="_Toc277233347"/>
            <w:bookmarkStart w:id="1563" w:name="_Toc488959046"/>
            <w:r w:rsidRPr="00576AF8">
              <w:t>26.</w:t>
            </w:r>
            <w:r w:rsidRPr="00576AF8">
              <w:tab/>
              <w:t>Instalación del</w:t>
            </w:r>
            <w:r w:rsidR="000C6345" w:rsidRPr="00576AF8">
              <w:t> </w:t>
            </w:r>
            <w:r w:rsidRPr="00576AF8">
              <w:t>Sistema</w:t>
            </w:r>
            <w:bookmarkEnd w:id="1562"/>
            <w:bookmarkEnd w:id="1563"/>
          </w:p>
        </w:tc>
        <w:tc>
          <w:tcPr>
            <w:tcW w:w="6804" w:type="dxa"/>
          </w:tcPr>
          <w:p w14:paraId="0760E3E4" w14:textId="77777777" w:rsidR="00A20832" w:rsidRPr="00576AF8" w:rsidRDefault="00A20832" w:rsidP="00227FC3">
            <w:pPr>
              <w:spacing w:after="200"/>
              <w:ind w:left="547" w:right="-19" w:hanging="547"/>
            </w:pPr>
            <w:r w:rsidRPr="00576AF8">
              <w:t>26.1</w:t>
            </w:r>
            <w:r w:rsidRPr="00576AF8">
              <w:tab/>
              <w:t xml:space="preserve">Tan pronto como el Sistema, o cualquier Subsistema, en opinión del Proveedor, haya sido entregado, sometido a ensayos previos a la puesta en servicio y </w:t>
            </w:r>
            <w:r w:rsidR="00AB0D00" w:rsidRPr="00576AF8">
              <w:t>a las prueba</w:t>
            </w:r>
            <w:r w:rsidR="009E00EE" w:rsidRPr="00576AF8">
              <w:t>s</w:t>
            </w:r>
            <w:r w:rsidR="00AB0D00" w:rsidRPr="00576AF8">
              <w:t xml:space="preserve"> de </w:t>
            </w:r>
            <w:r w:rsidRPr="00576AF8">
              <w:t xml:space="preserve">puesta en servicio y aceptación operativa de conformidad con los requisitos técnicos, las CEC y el plan </w:t>
            </w:r>
            <w:r w:rsidR="002034C3" w:rsidRPr="00576AF8">
              <w:t>acordado para el P</w:t>
            </w:r>
            <w:r w:rsidRPr="00576AF8">
              <w:t>royecto, el Proveedor notificará de ello por escrito al Comprador.</w:t>
            </w:r>
          </w:p>
        </w:tc>
      </w:tr>
      <w:tr w:rsidR="00A20832" w:rsidRPr="00576AF8" w14:paraId="374F5D5B" w14:textId="77777777" w:rsidTr="00227FC3">
        <w:tc>
          <w:tcPr>
            <w:tcW w:w="2552" w:type="dxa"/>
          </w:tcPr>
          <w:p w14:paraId="1F4F27ED" w14:textId="77777777" w:rsidR="00A20832" w:rsidRPr="00576AF8" w:rsidRDefault="00A20832" w:rsidP="00A35BE3">
            <w:pPr>
              <w:spacing w:after="0"/>
              <w:jc w:val="left"/>
            </w:pPr>
          </w:p>
        </w:tc>
        <w:tc>
          <w:tcPr>
            <w:tcW w:w="6804" w:type="dxa"/>
          </w:tcPr>
          <w:p w14:paraId="3ABB6545" w14:textId="77777777" w:rsidR="00A20832" w:rsidRPr="00576AF8" w:rsidRDefault="00A20832" w:rsidP="00227FC3">
            <w:pPr>
              <w:spacing w:after="200"/>
              <w:ind w:left="547" w:right="-19" w:hanging="547"/>
              <w:rPr>
                <w:spacing w:val="-2"/>
              </w:rPr>
            </w:pPr>
            <w:r w:rsidRPr="00576AF8">
              <w:rPr>
                <w:spacing w:val="-2"/>
              </w:rPr>
              <w:t>26.2</w:t>
            </w:r>
            <w:r w:rsidRPr="00576AF8">
              <w:rPr>
                <w:spacing w:val="-2"/>
              </w:rPr>
              <w:tab/>
              <w:t xml:space="preserve">Dentro de los catorce (14) días posteriores a la fecha en que haya recibido la notificación del Proveedor conforme a lo dispuesto en la cláusula 26.1 de las CGC, el gerente de proyecto emitirá un certificado de instalación en la forma especificada en la sección de </w:t>
            </w:r>
            <w:r w:rsidR="00CB706D" w:rsidRPr="00576AF8">
              <w:rPr>
                <w:spacing w:val="-2"/>
              </w:rPr>
              <w:t xml:space="preserve">modelos de </w:t>
            </w:r>
            <w:r w:rsidRPr="00576AF8">
              <w:rPr>
                <w:spacing w:val="-2"/>
              </w:rPr>
              <w:t xml:space="preserve">formularios </w:t>
            </w:r>
            <w:r w:rsidR="00EB7BE3" w:rsidRPr="00576AF8">
              <w:rPr>
                <w:spacing w:val="-2"/>
              </w:rPr>
              <w:t>de</w:t>
            </w:r>
            <w:r w:rsidR="00CB706D" w:rsidRPr="00576AF8">
              <w:rPr>
                <w:spacing w:val="-2"/>
              </w:rPr>
              <w:t>l</w:t>
            </w:r>
            <w:r w:rsidR="00EB7BE3" w:rsidRPr="00576AF8">
              <w:rPr>
                <w:spacing w:val="-2"/>
              </w:rPr>
              <w:t xml:space="preserve"> </w:t>
            </w:r>
            <w:r w:rsidR="00CB706D" w:rsidRPr="00576AF8">
              <w:rPr>
                <w:spacing w:val="-2"/>
              </w:rPr>
              <w:t>C</w:t>
            </w:r>
            <w:r w:rsidR="00EB7BE3" w:rsidRPr="00576AF8">
              <w:rPr>
                <w:spacing w:val="-2"/>
              </w:rPr>
              <w:t xml:space="preserve">ontrato </w:t>
            </w:r>
            <w:r w:rsidR="00A83F3E" w:rsidRPr="00576AF8">
              <w:rPr>
                <w:spacing w:val="-2"/>
              </w:rPr>
              <w:t xml:space="preserve">del </w:t>
            </w:r>
            <w:r w:rsidR="00807C34" w:rsidRPr="00576AF8">
              <w:rPr>
                <w:spacing w:val="-2"/>
              </w:rPr>
              <w:t>documento de licitación</w:t>
            </w:r>
            <w:r w:rsidRPr="00576AF8">
              <w:rPr>
                <w:spacing w:val="-2"/>
              </w:rPr>
              <w:t xml:space="preserve">, en el que se indicará que el Sistema, o componente principal o Subsistema (si la aceptación por componente principal o Subsistema se especifica conforme a lo dispuesto en la cláusula 27.2.1 de las CGC), </w:t>
            </w:r>
            <w:r w:rsidR="00AB0D00" w:rsidRPr="00576AF8">
              <w:rPr>
                <w:spacing w:val="-2"/>
              </w:rPr>
              <w:t xml:space="preserve">se </w:t>
            </w:r>
            <w:r w:rsidRPr="00576AF8">
              <w:rPr>
                <w:spacing w:val="-2"/>
              </w:rPr>
              <w:t xml:space="preserve">ha instalado a más tardar en la fecha de la notificación del Proveedor en virtud de la cláusula 26.1, o informará por escrito </w:t>
            </w:r>
            <w:r w:rsidR="00AB0D00" w:rsidRPr="00576AF8">
              <w:rPr>
                <w:spacing w:val="-2"/>
              </w:rPr>
              <w:t xml:space="preserve">al </w:t>
            </w:r>
            <w:r w:rsidRPr="00576AF8">
              <w:rPr>
                <w:spacing w:val="-2"/>
              </w:rPr>
              <w:t>Proveedor de cualquier defecto o deficiencia</w:t>
            </w:r>
            <w:r w:rsidR="00AB0D00" w:rsidRPr="00576AF8">
              <w:rPr>
                <w:spacing w:val="-2"/>
              </w:rPr>
              <w:t>, por ejemplo,</w:t>
            </w:r>
            <w:r w:rsidRPr="00576AF8">
              <w:rPr>
                <w:spacing w:val="-2"/>
              </w:rPr>
              <w:t xml:space="preserve"> en la interoperabilidad o integración de los diversos componentes o Subsistemas que integran del Sistema. El Proveedor hará todos los esfuerzos razonables para subsanar cualquier defecto o deficiencia que le haya notificado el gerente de proyecto</w:t>
            </w:r>
            <w:r w:rsidR="00930DB0" w:rsidRPr="00576AF8">
              <w:rPr>
                <w:spacing w:val="-2"/>
              </w:rPr>
              <w:t>.</w:t>
            </w:r>
            <w:r w:rsidR="00AB0D00" w:rsidRPr="00576AF8">
              <w:rPr>
                <w:spacing w:val="-2"/>
              </w:rPr>
              <w:t xml:space="preserve"> </w:t>
            </w:r>
            <w:r w:rsidR="00930DB0" w:rsidRPr="00576AF8">
              <w:rPr>
                <w:spacing w:val="-2"/>
              </w:rPr>
              <w:t>R</w:t>
            </w:r>
            <w:r w:rsidRPr="00576AF8">
              <w:rPr>
                <w:spacing w:val="-2"/>
              </w:rPr>
              <w:t>epetirá entonces</w:t>
            </w:r>
            <w:r w:rsidR="00AB0D00" w:rsidRPr="00576AF8">
              <w:rPr>
                <w:spacing w:val="-2"/>
              </w:rPr>
              <w:t>,</w:t>
            </w:r>
            <w:r w:rsidRPr="00576AF8">
              <w:rPr>
                <w:spacing w:val="-2"/>
              </w:rPr>
              <w:t xml:space="preserve"> prontamente</w:t>
            </w:r>
            <w:r w:rsidR="00AB0D00" w:rsidRPr="00576AF8">
              <w:rPr>
                <w:spacing w:val="-2"/>
              </w:rPr>
              <w:t>,</w:t>
            </w:r>
            <w:r w:rsidRPr="00576AF8">
              <w:rPr>
                <w:spacing w:val="-2"/>
              </w:rPr>
              <w:t xml:space="preserve"> las pruebas del Sistema o Subsistema y, cuando</w:t>
            </w:r>
            <w:r w:rsidR="00930DB0" w:rsidRPr="00576AF8">
              <w:rPr>
                <w:spacing w:val="-2"/>
              </w:rPr>
              <w:t>,</w:t>
            </w:r>
            <w:r w:rsidRPr="00576AF8">
              <w:rPr>
                <w:spacing w:val="-2"/>
              </w:rPr>
              <w:t xml:space="preserve"> en su opinión</w:t>
            </w:r>
            <w:r w:rsidR="00930DB0" w:rsidRPr="00576AF8">
              <w:rPr>
                <w:spacing w:val="-2"/>
              </w:rPr>
              <w:t>,</w:t>
            </w:r>
            <w:r w:rsidRPr="00576AF8">
              <w:rPr>
                <w:spacing w:val="-2"/>
              </w:rPr>
              <w:t xml:space="preserve"> el Sistema o Subsistema esté listo para la</w:t>
            </w:r>
            <w:r w:rsidR="00AB0D00" w:rsidRPr="00576AF8">
              <w:rPr>
                <w:spacing w:val="-2"/>
              </w:rPr>
              <w:t>s</w:t>
            </w:r>
            <w:r w:rsidRPr="00576AF8">
              <w:rPr>
                <w:spacing w:val="-2"/>
              </w:rPr>
              <w:t xml:space="preserve"> prueba</w:t>
            </w:r>
            <w:r w:rsidR="00AB0D00" w:rsidRPr="00576AF8">
              <w:rPr>
                <w:spacing w:val="-2"/>
              </w:rPr>
              <w:t>s</w:t>
            </w:r>
            <w:r w:rsidRPr="00576AF8">
              <w:rPr>
                <w:spacing w:val="-2"/>
              </w:rPr>
              <w:t xml:space="preserve"> de </w:t>
            </w:r>
            <w:r w:rsidRPr="00576AF8">
              <w:rPr>
                <w:spacing w:val="-2"/>
              </w:rPr>
              <w:lastRenderedPageBreak/>
              <w:t xml:space="preserve">puesta en servicio y aceptación operativa, notificará de ello por escrito al Comprador, conforme a lo dispuesto en la cláusula 26.1 de las CGC. El procedimiento establecido en </w:t>
            </w:r>
            <w:r w:rsidR="00AB0D00" w:rsidRPr="00576AF8">
              <w:rPr>
                <w:spacing w:val="-2"/>
              </w:rPr>
              <w:t xml:space="preserve">esta </w:t>
            </w:r>
            <w:r w:rsidRPr="00576AF8">
              <w:rPr>
                <w:spacing w:val="-2"/>
              </w:rPr>
              <w:t xml:space="preserve">cláusula 26.2 de </w:t>
            </w:r>
            <w:r w:rsidR="00AB0D00" w:rsidRPr="00576AF8">
              <w:rPr>
                <w:spacing w:val="-2"/>
              </w:rPr>
              <w:t xml:space="preserve">las </w:t>
            </w:r>
            <w:r w:rsidRPr="00576AF8">
              <w:rPr>
                <w:spacing w:val="-2"/>
              </w:rPr>
              <w:t>CGC se repetirá cuantas veces sea necesario hasta que pueda emitirse un certificado de instalación.</w:t>
            </w:r>
          </w:p>
          <w:p w14:paraId="4228EE6B" w14:textId="77777777" w:rsidR="00A20832" w:rsidRPr="00576AF8" w:rsidRDefault="00A20832" w:rsidP="00227FC3">
            <w:pPr>
              <w:keepNext/>
              <w:keepLines/>
              <w:spacing w:before="240" w:after="200"/>
              <w:ind w:left="547" w:right="-19" w:hanging="547"/>
              <w:outlineLvl w:val="4"/>
            </w:pPr>
            <w:r w:rsidRPr="00576AF8">
              <w:t>26.3</w:t>
            </w:r>
            <w:r w:rsidRPr="00576AF8">
              <w:tab/>
            </w:r>
            <w:r w:rsidRPr="00576AF8">
              <w:rPr>
                <w:spacing w:val="-4"/>
              </w:rPr>
              <w:t>Si el gerente de proyecto no emite un certificado de instalación ni informa al Proveedor de los defectos o deficiencias dentro de los catorce (14) días posteriores a la fecha en que haya recibido la notificación del Proveedor conforme a lo dispuesto en la cláusula 2</w:t>
            </w:r>
            <w:r w:rsidR="00930DB0" w:rsidRPr="00576AF8">
              <w:rPr>
                <w:spacing w:val="-4"/>
              </w:rPr>
              <w:t>6</w:t>
            </w:r>
            <w:r w:rsidRPr="00576AF8">
              <w:rPr>
                <w:spacing w:val="-4"/>
              </w:rPr>
              <w:t>.1 de las CGC, o si el Comprador pone en funcionamiento el Sistema o un Subsistema, se considerará que el Sistema (o Subsistema) se ha instalado satisfactoriamente en la fecha de la notificación o de la notificación reiterada del Proveedor, o cuando el Comprador haya puesto en funcionamiento el Sistema, según sea el caso.</w:t>
            </w:r>
          </w:p>
        </w:tc>
      </w:tr>
      <w:tr w:rsidR="00A20832" w:rsidRPr="00576AF8" w14:paraId="153F56F1" w14:textId="77777777" w:rsidTr="00227FC3">
        <w:tc>
          <w:tcPr>
            <w:tcW w:w="2552" w:type="dxa"/>
          </w:tcPr>
          <w:p w14:paraId="7ABD47C4" w14:textId="77777777" w:rsidR="00A20832" w:rsidRPr="00576AF8" w:rsidRDefault="00A20832" w:rsidP="00A35BE3">
            <w:pPr>
              <w:pStyle w:val="Head62"/>
            </w:pPr>
            <w:bookmarkStart w:id="1564" w:name="_Toc277233348"/>
            <w:bookmarkStart w:id="1565" w:name="_Toc488959047"/>
            <w:r w:rsidRPr="00576AF8">
              <w:lastRenderedPageBreak/>
              <w:t>27.</w:t>
            </w:r>
            <w:r w:rsidRPr="00576AF8">
              <w:tab/>
              <w:t>Puesta en servicio y aceptación operativa</w:t>
            </w:r>
            <w:bookmarkEnd w:id="1564"/>
            <w:bookmarkEnd w:id="1565"/>
          </w:p>
        </w:tc>
        <w:tc>
          <w:tcPr>
            <w:tcW w:w="6804" w:type="dxa"/>
          </w:tcPr>
          <w:p w14:paraId="4A7736FE" w14:textId="77777777" w:rsidR="00A20832" w:rsidRPr="00576AF8" w:rsidRDefault="00A20832" w:rsidP="00227FC3">
            <w:pPr>
              <w:keepNext/>
              <w:keepLines/>
              <w:spacing w:before="240" w:after="200"/>
              <w:ind w:left="540" w:right="-19" w:hanging="540"/>
              <w:outlineLvl w:val="4"/>
            </w:pPr>
            <w:r w:rsidRPr="00576AF8">
              <w:t>27.1</w:t>
            </w:r>
            <w:r w:rsidRPr="00576AF8">
              <w:tab/>
              <w:t>Puesta en servicio</w:t>
            </w:r>
          </w:p>
          <w:p w14:paraId="5A8593CD" w14:textId="77777777" w:rsidR="00A20832" w:rsidRPr="00576AF8" w:rsidRDefault="00A20832" w:rsidP="00227FC3">
            <w:pPr>
              <w:keepNext/>
              <w:keepLines/>
              <w:spacing w:before="240" w:after="200"/>
              <w:ind w:left="1170" w:right="-19" w:hanging="630"/>
              <w:outlineLvl w:val="4"/>
            </w:pPr>
            <w:r w:rsidRPr="00576AF8">
              <w:t>27.1.1</w:t>
            </w:r>
            <w:r w:rsidRPr="00576AF8">
              <w:tab/>
              <w:t xml:space="preserve">El Proveedor iniciará la puesta en servicio del Sistema (o Subsistema si ello estuviera especificado en las CEC </w:t>
            </w:r>
            <w:r w:rsidR="00F420CD" w:rsidRPr="00576AF8">
              <w:t xml:space="preserve">correspondientes a </w:t>
            </w:r>
            <w:r w:rsidRPr="00576AF8">
              <w:t>la cláusula 27.2.1</w:t>
            </w:r>
            <w:r w:rsidR="00AB55ED" w:rsidRPr="00576AF8">
              <w:t xml:space="preserve"> de las CGC</w:t>
            </w:r>
            <w:r w:rsidRPr="00576AF8">
              <w:t xml:space="preserve">) </w:t>
            </w:r>
          </w:p>
          <w:p w14:paraId="5183FE08" w14:textId="77777777" w:rsidR="00A20832" w:rsidRPr="00576AF8" w:rsidRDefault="000C6345" w:rsidP="00227FC3">
            <w:pPr>
              <w:keepNext/>
              <w:keepLines/>
              <w:spacing w:before="240" w:after="200"/>
              <w:ind w:left="1800" w:right="-19" w:hanging="630"/>
              <w:outlineLvl w:val="4"/>
            </w:pPr>
            <w:r w:rsidRPr="00576AF8">
              <w:t>(</w:t>
            </w:r>
            <w:r w:rsidR="00A20832" w:rsidRPr="00576AF8">
              <w:t>a)</w:t>
            </w:r>
            <w:r w:rsidR="00A20832" w:rsidRPr="00576AF8">
              <w:tab/>
              <w:t xml:space="preserve">inmediatamente después de que el gerente de proyecto haya emitido el certificado de instalación, conforme a lo dispuesto en la cláusula 27.2 de las CGC; </w:t>
            </w:r>
          </w:p>
          <w:p w14:paraId="4FB55B96" w14:textId="77777777" w:rsidR="00A20832" w:rsidRPr="00576AF8" w:rsidRDefault="000C6345" w:rsidP="00227FC3">
            <w:pPr>
              <w:keepNext/>
              <w:keepLines/>
              <w:spacing w:before="240" w:after="200"/>
              <w:ind w:left="1800" w:right="-19" w:hanging="634"/>
              <w:outlineLvl w:val="4"/>
            </w:pPr>
            <w:r w:rsidRPr="00576AF8">
              <w:t>(</w:t>
            </w:r>
            <w:r w:rsidR="00A20832" w:rsidRPr="00576AF8">
              <w:t>b)</w:t>
            </w:r>
            <w:r w:rsidR="00A20832" w:rsidRPr="00576AF8">
              <w:tab/>
              <w:t xml:space="preserve">como se especifique en los requisitos técnicos o en el plan </w:t>
            </w:r>
            <w:r w:rsidR="002034C3" w:rsidRPr="00576AF8">
              <w:t>acordado para el P</w:t>
            </w:r>
            <w:r w:rsidR="00A20832" w:rsidRPr="00576AF8">
              <w:t xml:space="preserve">royecto, o </w:t>
            </w:r>
          </w:p>
          <w:p w14:paraId="7B876BCB" w14:textId="77777777" w:rsidR="00A20832" w:rsidRPr="00576AF8" w:rsidRDefault="000C6345" w:rsidP="00227FC3">
            <w:pPr>
              <w:keepNext/>
              <w:keepLines/>
              <w:spacing w:before="240" w:after="200"/>
              <w:ind w:left="1800" w:right="-19" w:hanging="634"/>
              <w:outlineLvl w:val="4"/>
            </w:pPr>
            <w:r w:rsidRPr="00576AF8">
              <w:t>(</w:t>
            </w:r>
            <w:r w:rsidR="00A20832" w:rsidRPr="00576AF8">
              <w:t>c)</w:t>
            </w:r>
            <w:r w:rsidR="00A20832" w:rsidRPr="00576AF8">
              <w:tab/>
            </w:r>
            <w:r w:rsidR="00A20832" w:rsidRPr="00576AF8">
              <w:rPr>
                <w:spacing w:val="-4"/>
              </w:rPr>
              <w:t>inmediatamente después del momento en que se considere que ha tenido lugar la instalación, en virtud de lo dispuesto en la cláusula 26.3 de las CGC.</w:t>
            </w:r>
          </w:p>
        </w:tc>
      </w:tr>
      <w:tr w:rsidR="00A20832" w:rsidRPr="00576AF8" w14:paraId="4B228771" w14:textId="77777777" w:rsidTr="00227FC3">
        <w:tc>
          <w:tcPr>
            <w:tcW w:w="2552" w:type="dxa"/>
          </w:tcPr>
          <w:p w14:paraId="39F70955" w14:textId="77777777" w:rsidR="00A20832" w:rsidRPr="00576AF8" w:rsidRDefault="00A20832" w:rsidP="00A35BE3">
            <w:pPr>
              <w:spacing w:after="0"/>
              <w:jc w:val="left"/>
            </w:pPr>
          </w:p>
        </w:tc>
        <w:tc>
          <w:tcPr>
            <w:tcW w:w="6804" w:type="dxa"/>
          </w:tcPr>
          <w:p w14:paraId="552DDB0B" w14:textId="77777777" w:rsidR="00A20832" w:rsidRPr="00576AF8" w:rsidRDefault="00A20832" w:rsidP="00227FC3">
            <w:pPr>
              <w:keepNext/>
              <w:keepLines/>
              <w:spacing w:before="240" w:after="200"/>
              <w:ind w:left="1170" w:right="-19" w:hanging="630"/>
              <w:outlineLvl w:val="4"/>
            </w:pPr>
            <w:r w:rsidRPr="00576AF8">
              <w:t>27.1.2</w:t>
            </w:r>
            <w:r w:rsidRPr="00576AF8">
              <w:tab/>
              <w:t>El Comprador proporcionará el personal técnico y de operaciones y todos los materiales y la información que sean razonablemente necesarios para que el Proveedor pueda cumplir con sus obligaciones relacionadas con la puesta en servicio.</w:t>
            </w:r>
          </w:p>
          <w:p w14:paraId="5B3914AE" w14:textId="77777777" w:rsidR="00A20832" w:rsidRPr="00576AF8" w:rsidRDefault="00A20832" w:rsidP="00227FC3">
            <w:pPr>
              <w:keepNext/>
              <w:keepLines/>
              <w:spacing w:before="240" w:after="200"/>
              <w:ind w:left="1170" w:right="-19"/>
              <w:outlineLvl w:val="4"/>
            </w:pPr>
            <w:r w:rsidRPr="00576AF8">
              <w:t>El Sistema o los Subsistemas solo podrán utilizarse operativamente una vez que haya comenzado la prueba de aceptación operativa.</w:t>
            </w:r>
          </w:p>
          <w:p w14:paraId="37DB2F54" w14:textId="77777777" w:rsidR="00A20832" w:rsidRPr="00576AF8" w:rsidRDefault="00A20832" w:rsidP="00227FC3">
            <w:pPr>
              <w:keepNext/>
              <w:keepLines/>
              <w:spacing w:before="240" w:after="200"/>
              <w:ind w:left="540" w:right="-19" w:hanging="540"/>
              <w:outlineLvl w:val="4"/>
            </w:pPr>
            <w:r w:rsidRPr="00576AF8">
              <w:t>27.2</w:t>
            </w:r>
            <w:r w:rsidRPr="00576AF8">
              <w:tab/>
              <w:t>Pruebas de aceptación operativa</w:t>
            </w:r>
          </w:p>
          <w:p w14:paraId="6EB3745E" w14:textId="77777777" w:rsidR="00A20832" w:rsidRPr="00576AF8" w:rsidRDefault="00A20832" w:rsidP="00227FC3">
            <w:pPr>
              <w:spacing w:after="200"/>
              <w:ind w:left="1170" w:right="-19" w:hanging="630"/>
              <w:rPr>
                <w:spacing w:val="-4"/>
              </w:rPr>
            </w:pPr>
            <w:r w:rsidRPr="00576AF8">
              <w:rPr>
                <w:spacing w:val="-4"/>
              </w:rPr>
              <w:t>27.2.1</w:t>
            </w:r>
            <w:r w:rsidRPr="00576AF8">
              <w:rPr>
                <w:spacing w:val="-4"/>
              </w:rPr>
              <w:tab/>
              <w:t xml:space="preserve">Las pruebas de aceptación operativa (y las repeticiones de dichas pruebas) estarán principalmente a cargo del Comprador (de conformidad con lo dispuesto en la cláusula 10.9 de las CGC), pero serán realizadas con la plena cooperación del Proveedor durante la puesta en servicio del Sistema (o </w:t>
            </w:r>
            <w:r w:rsidR="00AB55ED" w:rsidRPr="00576AF8">
              <w:rPr>
                <w:spacing w:val="-4"/>
              </w:rPr>
              <w:t xml:space="preserve">de </w:t>
            </w:r>
            <w:r w:rsidRPr="00576AF8">
              <w:rPr>
                <w:spacing w:val="-4"/>
              </w:rPr>
              <w:t xml:space="preserve">los componentes principales o los Subsistemas), para determinar si el Sistema (o el componente principal o el Subsistema) se ajusta a los requisitos técnicos y cumple con el nivel de desempeño que figura en la </w:t>
            </w:r>
            <w:r w:rsidR="00BC72E3" w:rsidRPr="00576AF8">
              <w:rPr>
                <w:spacing w:val="-4"/>
              </w:rPr>
              <w:t>O</w:t>
            </w:r>
            <w:r w:rsidRPr="00576AF8">
              <w:rPr>
                <w:spacing w:val="-4"/>
              </w:rPr>
              <w:t xml:space="preserve">ferta del Proveedor, incluidos, entre otros, los requisitos de desempeño funcionales y técnicos. </w:t>
            </w:r>
            <w:r w:rsidRPr="00576AF8">
              <w:rPr>
                <w:b/>
                <w:spacing w:val="-4"/>
              </w:rPr>
              <w:t>A menos que en las CEC</w:t>
            </w:r>
            <w:r w:rsidR="00997CAB" w:rsidRPr="00576AF8">
              <w:rPr>
                <w:b/>
                <w:spacing w:val="-4"/>
              </w:rPr>
              <w:t xml:space="preserve"> se especifique otra cosa</w:t>
            </w:r>
            <w:r w:rsidRPr="00576AF8">
              <w:rPr>
                <w:spacing w:val="-4"/>
              </w:rPr>
              <w:t xml:space="preserve">, las pruebas de aceptación operativa durante la puesta en servicio se llevarán a cabo conforme a lo establecido en los requisitos técnicos o en el plan </w:t>
            </w:r>
            <w:r w:rsidR="002034C3" w:rsidRPr="00576AF8">
              <w:rPr>
                <w:spacing w:val="-4"/>
              </w:rPr>
              <w:t>acordado para el P</w:t>
            </w:r>
            <w:r w:rsidRPr="00576AF8">
              <w:rPr>
                <w:spacing w:val="-4"/>
              </w:rPr>
              <w:t>royecto.</w:t>
            </w:r>
          </w:p>
          <w:p w14:paraId="75842598" w14:textId="77777777" w:rsidR="00A20832" w:rsidRPr="00576AF8" w:rsidRDefault="00A20832" w:rsidP="00227FC3">
            <w:pPr>
              <w:keepNext/>
              <w:keepLines/>
              <w:spacing w:before="240" w:after="200"/>
              <w:ind w:left="1170" w:right="-19" w:hanging="630"/>
              <w:outlineLvl w:val="4"/>
            </w:pPr>
            <w:r w:rsidRPr="00576AF8">
              <w:lastRenderedPageBreak/>
              <w:tab/>
              <w:t xml:space="preserve">A discreción del Comprador, también podrán </w:t>
            </w:r>
            <w:r w:rsidR="00AB55ED" w:rsidRPr="00576AF8">
              <w:t xml:space="preserve">realizarse </w:t>
            </w:r>
            <w:r w:rsidRPr="00576AF8">
              <w:t xml:space="preserve">dichas pruebas </w:t>
            </w:r>
            <w:r w:rsidR="00AB55ED" w:rsidRPr="00576AF8">
              <w:t xml:space="preserve">sobre </w:t>
            </w:r>
            <w:r w:rsidRPr="00576AF8">
              <w:t xml:space="preserve">bienes de reemplazo, actualizaciones y nuevas versiones, y </w:t>
            </w:r>
            <w:r w:rsidR="00AB55ED" w:rsidRPr="00576AF8">
              <w:t xml:space="preserve">sobre </w:t>
            </w:r>
            <w:r w:rsidRPr="00576AF8">
              <w:t xml:space="preserve">bienes que se agreguen o se modifiquen sobre la marcha luego de la aceptación operativa del Sistema. </w:t>
            </w:r>
          </w:p>
          <w:p w14:paraId="69A32457" w14:textId="77777777" w:rsidR="00A20832" w:rsidRPr="00576AF8" w:rsidRDefault="00A20832" w:rsidP="00227FC3">
            <w:pPr>
              <w:keepNext/>
              <w:keepLines/>
              <w:spacing w:before="240" w:after="200"/>
              <w:ind w:left="1170" w:right="-19" w:hanging="630"/>
              <w:outlineLvl w:val="4"/>
            </w:pPr>
            <w:r w:rsidRPr="00576AF8">
              <w:t>27.2.2</w:t>
            </w:r>
            <w:r w:rsidRPr="00576AF8">
              <w:tab/>
              <w:t>Si</w:t>
            </w:r>
            <w:r w:rsidR="00AB55ED" w:rsidRPr="00576AF8">
              <w:t>,</w:t>
            </w:r>
            <w:r w:rsidRPr="00576AF8">
              <w:t xml:space="preserve"> por razones atribuibles al Comprador</w:t>
            </w:r>
            <w:r w:rsidR="00C541FB" w:rsidRPr="00576AF8">
              <w:t>,</w:t>
            </w:r>
            <w:r w:rsidRPr="00576AF8">
              <w:t xml:space="preserve"> la prueba de aceptación operativa del Sistema (o, en virtud de lo dispuesto en las CEC para la cláusula 27.2.1 de las CGC, los Subsistemas o los componentes principales) no puede concluirse dentro de los noventa (90) días posteriores a la fecha de instalación o cualquier otro plazo convenido por escrito entre el Comprador y el Proveedor, </w:t>
            </w:r>
            <w:r w:rsidR="00C541FB" w:rsidRPr="00576AF8">
              <w:t xml:space="preserve">se considerará que </w:t>
            </w:r>
            <w:r w:rsidRPr="00576AF8">
              <w:t xml:space="preserve">este último ha cumplido con sus obligaciones en relación con los aspectos técnicos y funcionales de las especificaciones técnicas, las CEC o el plan </w:t>
            </w:r>
            <w:r w:rsidR="002034C3" w:rsidRPr="00576AF8">
              <w:t>acordado para el P</w:t>
            </w:r>
            <w:r w:rsidRPr="00576AF8">
              <w:t xml:space="preserve">royecto, y no se aplicarán las cláusulas 28.2 y 28.3 de la CGC. </w:t>
            </w:r>
          </w:p>
          <w:p w14:paraId="32B5FBA4" w14:textId="77777777" w:rsidR="00A20832" w:rsidRPr="00576AF8" w:rsidRDefault="00A20832" w:rsidP="00227FC3">
            <w:pPr>
              <w:keepNext/>
              <w:keepLines/>
              <w:spacing w:before="240" w:after="200"/>
              <w:ind w:left="630" w:right="-19" w:hanging="630"/>
              <w:outlineLvl w:val="4"/>
            </w:pPr>
            <w:r w:rsidRPr="00576AF8">
              <w:t>27.3</w:t>
            </w:r>
            <w:r w:rsidRPr="00576AF8">
              <w:tab/>
              <w:t>Aceptación operativa</w:t>
            </w:r>
          </w:p>
          <w:p w14:paraId="0A839AD9" w14:textId="77777777" w:rsidR="00A20832" w:rsidRPr="00576AF8" w:rsidRDefault="00A20832" w:rsidP="00227FC3">
            <w:pPr>
              <w:keepNext/>
              <w:keepLines/>
              <w:spacing w:before="240" w:after="200"/>
              <w:ind w:left="1170" w:right="-19" w:hanging="630"/>
              <w:outlineLvl w:val="4"/>
            </w:pPr>
            <w:r w:rsidRPr="00576AF8">
              <w:t xml:space="preserve">27.3.1 Con sujeción a lo dispuesto en la cláusula 27.4 de las CGC (Aceptación parcial), </w:t>
            </w:r>
            <w:r w:rsidRPr="00576AF8">
              <w:rPr>
                <w:i/>
              </w:rPr>
              <w:t>infra</w:t>
            </w:r>
            <w:r w:rsidRPr="00576AF8">
              <w:t>, la aceptación operativa se hará efectiva respecto del Sistema cuando:</w:t>
            </w:r>
          </w:p>
          <w:p w14:paraId="75D82941" w14:textId="77777777" w:rsidR="00A20832" w:rsidRPr="00576AF8" w:rsidRDefault="000C6345" w:rsidP="00227FC3">
            <w:pPr>
              <w:spacing w:after="200"/>
              <w:ind w:left="1620" w:right="-19" w:hanging="450"/>
              <w:rPr>
                <w:spacing w:val="-4"/>
              </w:rPr>
            </w:pPr>
            <w:r w:rsidRPr="00576AF8">
              <w:rPr>
                <w:spacing w:val="-4"/>
              </w:rPr>
              <w:t>(</w:t>
            </w:r>
            <w:r w:rsidR="00A20832" w:rsidRPr="00576AF8">
              <w:rPr>
                <w:spacing w:val="-4"/>
              </w:rPr>
              <w:t>a)</w:t>
            </w:r>
            <w:r w:rsidR="00A20832" w:rsidRPr="00576AF8">
              <w:rPr>
                <w:spacing w:val="-4"/>
              </w:rPr>
              <w:tab/>
              <w:t xml:space="preserve">las pruebas de aceptación operativa especificadas en los requisitos técnicos, las CEC o el plan </w:t>
            </w:r>
            <w:r w:rsidR="002034C3" w:rsidRPr="00576AF8">
              <w:rPr>
                <w:spacing w:val="-4"/>
              </w:rPr>
              <w:t xml:space="preserve">acordado para el </w:t>
            </w:r>
            <w:r w:rsidR="0092797B" w:rsidRPr="00576AF8">
              <w:rPr>
                <w:spacing w:val="-4"/>
              </w:rPr>
              <w:t>P</w:t>
            </w:r>
            <w:r w:rsidR="00A20832" w:rsidRPr="00576AF8">
              <w:rPr>
                <w:spacing w:val="-4"/>
              </w:rPr>
              <w:t>royecto se hayan realizado satisfactoriamente;</w:t>
            </w:r>
          </w:p>
          <w:p w14:paraId="00B3AC30" w14:textId="77777777" w:rsidR="00A20832" w:rsidRPr="00576AF8" w:rsidRDefault="000C6345" w:rsidP="00227FC3">
            <w:pPr>
              <w:spacing w:after="200"/>
              <w:ind w:left="1620" w:right="-19" w:hanging="450"/>
              <w:rPr>
                <w:spacing w:val="-4"/>
              </w:rPr>
            </w:pPr>
            <w:r w:rsidRPr="00576AF8">
              <w:rPr>
                <w:spacing w:val="-4"/>
              </w:rPr>
              <w:t>(</w:t>
            </w:r>
            <w:r w:rsidR="00A20832" w:rsidRPr="00576AF8">
              <w:rPr>
                <w:spacing w:val="-4"/>
              </w:rPr>
              <w:t>b)</w:t>
            </w:r>
            <w:r w:rsidR="00A20832" w:rsidRPr="00576AF8">
              <w:rPr>
                <w:spacing w:val="-4"/>
              </w:rPr>
              <w:tab/>
              <w:t>las pruebas de aceptación operativa no se hayan completado satisfactoriamente o, por razones atribuibles al Comprador, no se hayan realizado dentro del plazo establecido a partir de la fecha de instalación o de cualquier otro plazo convenido, conforme se especifica en la cláusula 27.2.2 anterior, o</w:t>
            </w:r>
          </w:p>
          <w:p w14:paraId="07E14D70" w14:textId="77777777" w:rsidR="00A20832" w:rsidRPr="00576AF8" w:rsidRDefault="000C6345" w:rsidP="000C6345">
            <w:pPr>
              <w:keepNext/>
              <w:keepLines/>
              <w:spacing w:before="240" w:after="180"/>
              <w:ind w:left="1620" w:right="-19" w:hanging="450"/>
              <w:outlineLvl w:val="4"/>
            </w:pPr>
            <w:r w:rsidRPr="00576AF8">
              <w:t>(</w:t>
            </w:r>
            <w:r w:rsidR="00A20832" w:rsidRPr="00576AF8">
              <w:t>c)</w:t>
            </w:r>
            <w:r w:rsidR="00A20832" w:rsidRPr="00576AF8">
              <w:tab/>
              <w:t>el Comprador haya puesto el Sistema en uso o en funcionamiento durante sesenta (60) días consecutivos. Si el Sistema se pusiera en uso o en funcionamiento, el Proveedor notificará de ello al Comprador y documentará dicho uso.</w:t>
            </w:r>
          </w:p>
          <w:p w14:paraId="6964644E" w14:textId="77777777" w:rsidR="00A20832" w:rsidRPr="00576AF8" w:rsidRDefault="00A20832" w:rsidP="000C6345">
            <w:pPr>
              <w:keepNext/>
              <w:keepLines/>
              <w:spacing w:before="240" w:after="180"/>
              <w:ind w:left="1170" w:right="-19" w:hanging="630"/>
              <w:outlineLvl w:val="4"/>
            </w:pPr>
            <w:r w:rsidRPr="00576AF8">
              <w:t>27.3.2</w:t>
            </w:r>
            <w:r w:rsidRPr="00576AF8">
              <w:tab/>
              <w:t xml:space="preserve">En cualquier momento después de que se haya producido cualquiera de las circunstancias mencionadas en la cláusula 27.3.1 de las CGC, el Proveedor podrá enviar al </w:t>
            </w:r>
            <w:r w:rsidRPr="00576AF8">
              <w:lastRenderedPageBreak/>
              <w:t>gerente de proyecto una notificación en la que solicite la emisión de un certificado de aceptación operativa.</w:t>
            </w:r>
          </w:p>
          <w:p w14:paraId="4B68E687" w14:textId="77777777" w:rsidR="00A20832" w:rsidRPr="00576AF8" w:rsidRDefault="00A20832" w:rsidP="000C6345">
            <w:pPr>
              <w:spacing w:after="180"/>
              <w:ind w:left="1170" w:right="-19" w:hanging="630"/>
              <w:rPr>
                <w:spacing w:val="-4"/>
              </w:rPr>
            </w:pPr>
            <w:r w:rsidRPr="00576AF8">
              <w:rPr>
                <w:spacing w:val="-4"/>
              </w:rPr>
              <w:t>27.3.3</w:t>
            </w:r>
            <w:r w:rsidRPr="00576AF8">
              <w:rPr>
                <w:spacing w:val="-4"/>
              </w:rPr>
              <w:tab/>
              <w:t>Luego de consultar con el Comprador, y dentro de los catorce (14) días posteriores a la fecha en que haya recibido la notificación del Proveedor, el gerente de proyecto:</w:t>
            </w:r>
          </w:p>
          <w:p w14:paraId="1260B7A4" w14:textId="77777777" w:rsidR="00A20832" w:rsidRPr="00576AF8" w:rsidRDefault="000C6345" w:rsidP="000C6345">
            <w:pPr>
              <w:keepNext/>
              <w:keepLines/>
              <w:spacing w:before="240" w:after="180"/>
              <w:ind w:left="1800" w:right="-19" w:hanging="630"/>
              <w:outlineLvl w:val="4"/>
            </w:pPr>
            <w:r w:rsidRPr="00576AF8">
              <w:t>(</w:t>
            </w:r>
            <w:r w:rsidR="00A20832" w:rsidRPr="00576AF8">
              <w:t>a)</w:t>
            </w:r>
            <w:r w:rsidR="00A20832" w:rsidRPr="00576AF8">
              <w:tab/>
              <w:t xml:space="preserve">emitirá un certificado de aceptación operativa; </w:t>
            </w:r>
          </w:p>
          <w:p w14:paraId="2371C5F4" w14:textId="77777777" w:rsidR="00A20832" w:rsidRPr="00576AF8" w:rsidRDefault="000C6345" w:rsidP="000C6345">
            <w:pPr>
              <w:keepNext/>
              <w:keepLines/>
              <w:spacing w:before="240" w:after="180"/>
              <w:ind w:left="1800" w:right="-19" w:hanging="630"/>
              <w:outlineLvl w:val="4"/>
            </w:pPr>
            <w:r w:rsidRPr="00576AF8">
              <w:t>(</w:t>
            </w:r>
            <w:r w:rsidR="00A20832" w:rsidRPr="00576AF8">
              <w:t>b)</w:t>
            </w:r>
            <w:r w:rsidR="00A20832" w:rsidRPr="00576AF8">
              <w:tab/>
              <w:t>notificará por escrito al Proveedor de cualquier defecto o deficiencia u otro motivo que justifique la desaprobación de las pruebas de aceptación operativa, o</w:t>
            </w:r>
          </w:p>
          <w:p w14:paraId="5EC3DE08" w14:textId="77777777" w:rsidR="00A20832" w:rsidRPr="00576AF8" w:rsidRDefault="000C6345" w:rsidP="000C6345">
            <w:pPr>
              <w:keepNext/>
              <w:keepLines/>
              <w:spacing w:before="240" w:after="180"/>
              <w:ind w:left="1800" w:right="-19" w:hanging="630"/>
              <w:outlineLvl w:val="4"/>
            </w:pPr>
            <w:r w:rsidRPr="00576AF8">
              <w:t>(</w:t>
            </w:r>
            <w:r w:rsidR="00A20832" w:rsidRPr="00576AF8">
              <w:t>c)</w:t>
            </w:r>
            <w:r w:rsidR="00A20832" w:rsidRPr="00576AF8">
              <w:tab/>
              <w:t>emitirá el certificado de aceptación operativa si se plantea la situación mencionada en la cláusula 27.3.1 b</w:t>
            </w:r>
            <w:r w:rsidR="00C62E7F" w:rsidRPr="00576AF8">
              <w:t xml:space="preserve"> de las CGC</w:t>
            </w:r>
            <w:r w:rsidR="00A20832" w:rsidRPr="00576AF8">
              <w:t>).</w:t>
            </w:r>
          </w:p>
          <w:p w14:paraId="1B29C22F" w14:textId="77777777" w:rsidR="00A20832" w:rsidRPr="00576AF8" w:rsidRDefault="00A20832" w:rsidP="000C6345">
            <w:pPr>
              <w:spacing w:after="180"/>
              <w:ind w:left="1170" w:right="-19" w:hanging="630"/>
              <w:rPr>
                <w:spacing w:val="-4"/>
              </w:rPr>
            </w:pPr>
            <w:r w:rsidRPr="00576AF8">
              <w:rPr>
                <w:spacing w:val="-4"/>
              </w:rPr>
              <w:t>27.3.4</w:t>
            </w:r>
            <w:r w:rsidRPr="00576AF8">
              <w:rPr>
                <w:spacing w:val="-4"/>
              </w:rPr>
              <w:tab/>
              <w:t>El Proveedor hará todos los esfuerzos razonables para subsanar sin demora cualquier defecto o deficiencia u otros motivos que justifiquen la desaprobación de la prueba de aceptación operativa que le haya sido notificada por el gerente de proyecto. Una vez que el Proveedor haya adoptado dichas medidas correctivas, notificará de ello al Comprador, quien, con la plena cooperación del primero, hará todos los esfuerzos razonables para poner nuevamente a prueba, y sin demora, el Sistema o Subsistema. Una vez concluidas satisfactoriamente las pruebas de aceptación operativa, el Proveedor solicitará por escrito al Comprador un certificado de aceptación operativa conforme a lo establecido en la cláusula 27.3.3</w:t>
            </w:r>
            <w:r w:rsidR="00C62E7F" w:rsidRPr="00576AF8">
              <w:rPr>
                <w:spacing w:val="-4"/>
              </w:rPr>
              <w:t xml:space="preserve"> de las CGC</w:t>
            </w:r>
            <w:r w:rsidRPr="00576AF8">
              <w:rPr>
                <w:spacing w:val="-4"/>
              </w:rPr>
              <w:t xml:space="preserve">. El Comprador emitirá entonces al Proveedor el certificado de aceptación operativa de conformidad con lo establecido en la cláusula 27.3.3 </w:t>
            </w:r>
            <w:r w:rsidR="00284580" w:rsidRPr="00576AF8">
              <w:rPr>
                <w:spacing w:val="-4"/>
              </w:rPr>
              <w:t>(</w:t>
            </w:r>
            <w:r w:rsidRPr="00576AF8">
              <w:rPr>
                <w:spacing w:val="-4"/>
              </w:rPr>
              <w:t>a)</w:t>
            </w:r>
            <w:r w:rsidR="00C62E7F" w:rsidRPr="00576AF8">
              <w:rPr>
                <w:spacing w:val="-4"/>
              </w:rPr>
              <w:t xml:space="preserve"> de las CGC</w:t>
            </w:r>
            <w:r w:rsidRPr="00576AF8">
              <w:rPr>
                <w:spacing w:val="-4"/>
              </w:rPr>
              <w:t xml:space="preserve">, o le notificará de otros defectos, deficiencias u otros motivos que justifique la desaprobación de la prueba de aceptación operativa. El procedimiento establecido en la cláusula 27.3.4 de las CGC se repetirá cuantas veces sea necesario hasta que pueda emitirse </w:t>
            </w:r>
            <w:r w:rsidR="00825EB4" w:rsidRPr="00576AF8">
              <w:rPr>
                <w:spacing w:val="-4"/>
              </w:rPr>
              <w:t>un</w:t>
            </w:r>
            <w:r w:rsidRPr="00576AF8">
              <w:rPr>
                <w:spacing w:val="-4"/>
              </w:rPr>
              <w:t xml:space="preserve"> certificado de aceptación operativa.</w:t>
            </w:r>
          </w:p>
          <w:p w14:paraId="2C0B406B" w14:textId="77777777" w:rsidR="00A20832" w:rsidRPr="00576AF8" w:rsidRDefault="00A20832" w:rsidP="00227FC3">
            <w:pPr>
              <w:keepNext/>
              <w:keepLines/>
              <w:spacing w:before="240" w:after="200"/>
              <w:ind w:left="1170" w:right="-19" w:hanging="720"/>
              <w:outlineLvl w:val="4"/>
            </w:pPr>
            <w:r w:rsidRPr="00576AF8">
              <w:t>27.3.5</w:t>
            </w:r>
            <w:r w:rsidRPr="00576AF8">
              <w:tab/>
              <w:t>Si el Sistema o Subsistema no pasa la prueba de aceptación operativa de conformidad con lo dispuesto en la cláusula 27.2 de las CGC:</w:t>
            </w:r>
          </w:p>
          <w:p w14:paraId="46B31D51" w14:textId="77777777" w:rsidR="00A20832" w:rsidRPr="00576AF8" w:rsidRDefault="000C6345" w:rsidP="00227FC3">
            <w:pPr>
              <w:keepNext/>
              <w:keepLines/>
              <w:spacing w:before="240" w:after="200"/>
              <w:ind w:left="1800" w:right="-19" w:hanging="630"/>
              <w:outlineLvl w:val="4"/>
            </w:pPr>
            <w:r w:rsidRPr="00576AF8">
              <w:t>(</w:t>
            </w:r>
            <w:r w:rsidR="00A20832" w:rsidRPr="00576AF8">
              <w:t>a)</w:t>
            </w:r>
            <w:r w:rsidR="00A20832" w:rsidRPr="00576AF8">
              <w:tab/>
              <w:t xml:space="preserve">el Comprador podrá considerar la posibilidad de </w:t>
            </w:r>
            <w:r w:rsidR="00660850" w:rsidRPr="00576AF8">
              <w:t xml:space="preserve">terminar </w:t>
            </w:r>
            <w:r w:rsidR="00A20832" w:rsidRPr="00576AF8">
              <w:t xml:space="preserve">el Contrato, de conformidad con lo dispuesto en la cláusula 41.2.2 de las CGC; </w:t>
            </w:r>
          </w:p>
          <w:p w14:paraId="60787B19" w14:textId="77777777" w:rsidR="00A20832" w:rsidRPr="00576AF8" w:rsidRDefault="00A20832" w:rsidP="00227FC3">
            <w:pPr>
              <w:keepNext/>
              <w:keepLines/>
              <w:spacing w:before="240" w:after="200"/>
              <w:ind w:left="1800" w:right="-19"/>
              <w:outlineLvl w:val="4"/>
            </w:pPr>
            <w:r w:rsidRPr="00576AF8">
              <w:lastRenderedPageBreak/>
              <w:t>o</w:t>
            </w:r>
          </w:p>
          <w:p w14:paraId="091763A6" w14:textId="77777777" w:rsidR="00A20832" w:rsidRPr="00576AF8" w:rsidRDefault="000C6345" w:rsidP="00227FC3">
            <w:pPr>
              <w:keepNext/>
              <w:keepLines/>
              <w:spacing w:before="240" w:after="200"/>
              <w:ind w:left="1800" w:right="-19" w:hanging="630"/>
              <w:outlineLvl w:val="4"/>
            </w:pPr>
            <w:r w:rsidRPr="00576AF8">
              <w:t>(</w:t>
            </w:r>
            <w:r w:rsidR="00A20832" w:rsidRPr="00576AF8">
              <w:t>b)</w:t>
            </w:r>
            <w:r w:rsidR="00A20832" w:rsidRPr="00576AF8">
              <w:tab/>
              <w:t>si la imposibilidad de lograr la aceptación operativa dentro del plazo establecido se debe al hecho de que el Comprador no ha cumplido con las obligaciones derivadas del Contrato, se considerará que el Proveedor ha cumplido con sus obligaciones en relación con los aspectos técnicos y funcionales pertinentes del Contrato, y no se aplicarán las cláusulas 30.3 y 30.4</w:t>
            </w:r>
            <w:r w:rsidR="00825EB4" w:rsidRPr="00576AF8">
              <w:t xml:space="preserve"> de las CGC</w:t>
            </w:r>
            <w:r w:rsidR="00A20832" w:rsidRPr="00576AF8">
              <w:t>.</w:t>
            </w:r>
          </w:p>
          <w:p w14:paraId="61568A8E" w14:textId="77777777" w:rsidR="00A20832" w:rsidRPr="00576AF8" w:rsidRDefault="00A20832" w:rsidP="00227FC3">
            <w:pPr>
              <w:keepNext/>
              <w:keepLines/>
              <w:spacing w:before="240" w:after="200"/>
              <w:ind w:left="1170" w:right="-19" w:hanging="630"/>
              <w:outlineLvl w:val="4"/>
            </w:pPr>
            <w:r w:rsidRPr="00576AF8">
              <w:t>27.3.6</w:t>
            </w:r>
            <w:r w:rsidRPr="00576AF8">
              <w:tab/>
              <w:t>Si dentro de los catorce (14) días posteriores a la fecha en que haya recibido la notificación del Proveedor, el gerente de proyecto no emite el certificado de aceptación operativa ni comunica por escrito al Proveedor las razones por las cuales no ha emitido el certificado de aceptación operativa, se considerará que el Sistema o Subsistema han sido aceptados en la fecha de dicha notificación del Proveedor.</w:t>
            </w:r>
          </w:p>
          <w:p w14:paraId="500E4CB7" w14:textId="77777777" w:rsidR="00A20832" w:rsidRPr="00576AF8" w:rsidRDefault="00A20832" w:rsidP="00227FC3">
            <w:pPr>
              <w:keepNext/>
              <w:keepLines/>
              <w:spacing w:before="240" w:after="200"/>
              <w:ind w:left="547" w:right="-19" w:hanging="547"/>
              <w:outlineLvl w:val="4"/>
            </w:pPr>
            <w:r w:rsidRPr="00576AF8">
              <w:t>27.4</w:t>
            </w:r>
            <w:r w:rsidRPr="00576AF8">
              <w:tab/>
              <w:t>Aceptación parcial</w:t>
            </w:r>
          </w:p>
          <w:p w14:paraId="4FA1EE3C" w14:textId="77777777" w:rsidR="00A20832" w:rsidRPr="00576AF8" w:rsidRDefault="00A20832" w:rsidP="00227FC3">
            <w:pPr>
              <w:keepNext/>
              <w:keepLines/>
              <w:spacing w:before="240" w:after="200"/>
              <w:ind w:left="1170" w:right="-19" w:hanging="630"/>
              <w:outlineLvl w:val="4"/>
            </w:pPr>
            <w:r w:rsidRPr="00576AF8">
              <w:t>27.4.1</w:t>
            </w:r>
            <w:r w:rsidRPr="00576AF8">
              <w:tab/>
              <w:t>Si así se especifica en las CEC para la cláusula 27.2.1 de las CGC, la instalación y la puesta en servicio de cada componente principal o Subsistema identificado del Sistema se llevarán a cabo de forma individual. En tal caso, las disposiciones del Contrato relativas a la instalación y la puesta en servicio, incluida la prueba de aceptación operativa, se aplicarán individualmente a cada uno de los componentes principales o Subsistemas, y se emitirán certificados de aceptación operativa para cada uno de dichos componentes principales o Subsistemas del Sistema, sujetos a las limitaciones contenidas en la cláusula 27.4.2 de las CGC.</w:t>
            </w:r>
          </w:p>
          <w:p w14:paraId="123D40E7" w14:textId="77777777" w:rsidR="00A20832" w:rsidRPr="00576AF8" w:rsidRDefault="00A20832" w:rsidP="00227FC3">
            <w:pPr>
              <w:keepNext/>
              <w:keepLines/>
              <w:spacing w:before="240" w:after="200"/>
              <w:ind w:left="1170" w:right="-19" w:hanging="630"/>
              <w:outlineLvl w:val="4"/>
            </w:pPr>
            <w:r w:rsidRPr="00576AF8">
              <w:t>27.4.2</w:t>
            </w:r>
            <w:r w:rsidRPr="00576AF8">
              <w:tab/>
              <w:t xml:space="preserve">La emisión de certificados de aceptación operativa para </w:t>
            </w:r>
            <w:r w:rsidR="00825EB4" w:rsidRPr="00576AF8">
              <w:t xml:space="preserve">cada </w:t>
            </w:r>
            <w:r w:rsidRPr="00576AF8">
              <w:t xml:space="preserve">componente principal o Subsistema en virtud de la cláusula 27.4.1 </w:t>
            </w:r>
            <w:r w:rsidR="00825EB4" w:rsidRPr="00576AF8">
              <w:t xml:space="preserve">de las CGC </w:t>
            </w:r>
            <w:r w:rsidRPr="00576AF8">
              <w:t>no eximirá al Proveedor de la obligación de obtener un certificado de aceptación operativa para el Sistema como un todo integrado (si así s</w:t>
            </w:r>
            <w:r w:rsidR="00825EB4" w:rsidRPr="00576AF8">
              <w:t>e</w:t>
            </w:r>
            <w:r w:rsidRPr="00576AF8">
              <w:t xml:space="preserve"> especifica en las CEC para las cláusulas 12.1 y 27.2.1</w:t>
            </w:r>
            <w:r w:rsidR="00825EB4" w:rsidRPr="00576AF8">
              <w:t xml:space="preserve"> de las CGC</w:t>
            </w:r>
            <w:r w:rsidRPr="00576AF8">
              <w:t xml:space="preserve">) una vez que </w:t>
            </w:r>
            <w:r w:rsidR="00825EB4" w:rsidRPr="00576AF8">
              <w:t xml:space="preserve">todos </w:t>
            </w:r>
            <w:r w:rsidRPr="00576AF8">
              <w:t>los componentes principales y Subsistemas ha</w:t>
            </w:r>
            <w:r w:rsidR="00825EB4" w:rsidRPr="00576AF8">
              <w:t>ya</w:t>
            </w:r>
            <w:r w:rsidRPr="00576AF8">
              <w:t>n sido suministrados, instalados, probados y puestos en servicio.</w:t>
            </w:r>
          </w:p>
          <w:p w14:paraId="52EF8DDF" w14:textId="77777777" w:rsidR="00A20832" w:rsidRPr="00576AF8" w:rsidRDefault="00A20832" w:rsidP="00227FC3">
            <w:pPr>
              <w:keepNext/>
              <w:keepLines/>
              <w:spacing w:before="240" w:after="200"/>
              <w:ind w:left="1181" w:right="-19" w:hanging="634"/>
              <w:outlineLvl w:val="4"/>
            </w:pPr>
            <w:r w:rsidRPr="00576AF8">
              <w:t>27.4.3</w:t>
            </w:r>
            <w:r w:rsidRPr="00576AF8">
              <w:tab/>
              <w:t xml:space="preserve">En el caso de los componentes menores del Sistema que, por su naturaleza, no requieran puesta en servicio ni una </w:t>
            </w:r>
            <w:r w:rsidRPr="00576AF8">
              <w:lastRenderedPageBreak/>
              <w:t xml:space="preserve">prueba de aceptación operativa (por ejemplo, accesorios menores, muebles u obras en el </w:t>
            </w:r>
            <w:r w:rsidR="00825EB4" w:rsidRPr="00576AF8">
              <w:t>sitio</w:t>
            </w:r>
            <w:r w:rsidRPr="00576AF8">
              <w:t xml:space="preserve">, etc.), el gerente de proyecto emitirá un certificado de aceptación operativa dentro de los catorce (14) días posteriores a la fecha en que los accesorios o muebles se hayan entregado o </w:t>
            </w:r>
            <w:r w:rsidR="00825EB4" w:rsidRPr="00576AF8">
              <w:t xml:space="preserve">en que </w:t>
            </w:r>
            <w:r w:rsidRPr="00576AF8">
              <w:t xml:space="preserve">las obras en el </w:t>
            </w:r>
            <w:r w:rsidR="00825EB4" w:rsidRPr="00576AF8">
              <w:t xml:space="preserve">sitio </w:t>
            </w:r>
            <w:r w:rsidRPr="00576AF8">
              <w:t xml:space="preserve">se hayan concluido. Sin embargo, el Proveedor deberá hacer todos los esfuerzos razonables para subsanar sin demora los defectos o deficiencias que el Comprador o él mismo detecten en dichos componentes menores. </w:t>
            </w:r>
          </w:p>
        </w:tc>
      </w:tr>
    </w:tbl>
    <w:p w14:paraId="06B2D551" w14:textId="77777777" w:rsidR="00A20832" w:rsidRPr="00576AF8" w:rsidRDefault="00A20832" w:rsidP="00A20832">
      <w:pPr>
        <w:pStyle w:val="Head61"/>
        <w:rPr>
          <w:rFonts w:ascii="Times New Roman" w:hAnsi="Times New Roman"/>
        </w:rPr>
      </w:pPr>
      <w:bookmarkStart w:id="1566" w:name="_Toc277233349"/>
      <w:bookmarkStart w:id="1567" w:name="_Toc488959048"/>
      <w:r w:rsidRPr="00576AF8">
        <w:rPr>
          <w:rFonts w:ascii="Times New Roman" w:hAnsi="Times New Roman"/>
        </w:rPr>
        <w:lastRenderedPageBreak/>
        <w:t xml:space="preserve">F. </w:t>
      </w:r>
      <w:r w:rsidR="00157A4B" w:rsidRPr="00576AF8">
        <w:rPr>
          <w:rFonts w:ascii="Times New Roman" w:hAnsi="Times New Roman"/>
        </w:rPr>
        <w:t xml:space="preserve"> </w:t>
      </w:r>
      <w:r w:rsidRPr="00576AF8">
        <w:rPr>
          <w:rFonts w:ascii="Times New Roman" w:hAnsi="Times New Roman"/>
        </w:rPr>
        <w:t>Garantías y responsabilidades</w:t>
      </w:r>
      <w:bookmarkEnd w:id="1566"/>
      <w:bookmarkEnd w:id="1567"/>
    </w:p>
    <w:tbl>
      <w:tblPr>
        <w:tblW w:w="0" w:type="auto"/>
        <w:tblLayout w:type="fixed"/>
        <w:tblLook w:val="0000" w:firstRow="0" w:lastRow="0" w:firstColumn="0" w:lastColumn="0" w:noHBand="0" w:noVBand="0"/>
      </w:tblPr>
      <w:tblGrid>
        <w:gridCol w:w="2552"/>
        <w:gridCol w:w="6804"/>
      </w:tblGrid>
      <w:tr w:rsidR="00A20832" w:rsidRPr="00576AF8" w14:paraId="40CB72E8" w14:textId="77777777" w:rsidTr="00157A4B">
        <w:trPr>
          <w:trHeight w:val="720"/>
        </w:trPr>
        <w:tc>
          <w:tcPr>
            <w:tcW w:w="2552" w:type="dxa"/>
          </w:tcPr>
          <w:p w14:paraId="15AE410C" w14:textId="77777777" w:rsidR="00A20832" w:rsidRPr="00576AF8" w:rsidRDefault="00A20832" w:rsidP="00413A3A">
            <w:pPr>
              <w:pStyle w:val="Head62"/>
            </w:pPr>
            <w:bookmarkStart w:id="1568" w:name="_Toc277233350"/>
            <w:bookmarkStart w:id="1569" w:name="_Toc488959049"/>
            <w:r w:rsidRPr="00576AF8">
              <w:t>28.</w:t>
            </w:r>
            <w:r w:rsidRPr="00576AF8">
              <w:tab/>
              <w:t>Garantía relativa al plazo para</w:t>
            </w:r>
            <w:r w:rsidR="00413A3A" w:rsidRPr="00576AF8">
              <w:t xml:space="preserve"> obtener </w:t>
            </w:r>
            <w:r w:rsidRPr="00576AF8">
              <w:t>la aceptación operativa</w:t>
            </w:r>
            <w:bookmarkEnd w:id="1568"/>
            <w:bookmarkEnd w:id="1569"/>
          </w:p>
        </w:tc>
        <w:tc>
          <w:tcPr>
            <w:tcW w:w="6804" w:type="dxa"/>
          </w:tcPr>
          <w:p w14:paraId="59021AD0" w14:textId="77777777" w:rsidR="00A20832" w:rsidRPr="00576AF8" w:rsidRDefault="00A20832" w:rsidP="00157A4B">
            <w:pPr>
              <w:keepNext/>
              <w:keepLines/>
              <w:spacing w:before="240" w:after="200"/>
              <w:ind w:left="540" w:right="-19" w:hanging="540"/>
              <w:outlineLvl w:val="4"/>
            </w:pPr>
            <w:r w:rsidRPr="00576AF8">
              <w:t>28.1</w:t>
            </w:r>
            <w:r w:rsidRPr="00576AF8">
              <w:tab/>
              <w:t xml:space="preserve">El Proveedor garantiza que concluirá el suministro, la instalación y la puesta en servicio del Sistema (o Subsistemas, en virtud de las CEC para la cláusula 27.2.1 de las CGC), y </w:t>
            </w:r>
            <w:r w:rsidR="00341D1C" w:rsidRPr="00576AF8">
              <w:t xml:space="preserve">que </w:t>
            </w:r>
            <w:r w:rsidRPr="00576AF8">
              <w:t>logrará su aceptación operativa, dentro los plazos especificados en el programa de ejecución o el plan acordado para el Proyecto</w:t>
            </w:r>
            <w:r w:rsidR="00341D1C" w:rsidRPr="00576AF8">
              <w:t>,</w:t>
            </w:r>
            <w:r w:rsidRPr="00576AF8">
              <w:t xml:space="preserve"> de conformidad con la cláusula 8.2 de las CGC, o </w:t>
            </w:r>
            <w:r w:rsidR="00341D1C" w:rsidRPr="00576AF8">
              <w:t xml:space="preserve">dentro </w:t>
            </w:r>
            <w:r w:rsidRPr="00576AF8">
              <w:t>de la prórroga a la que el Proveedor tendrá derecho en virtud de la cláusula 40 (</w:t>
            </w:r>
            <w:r w:rsidR="00EA50A5" w:rsidRPr="00576AF8">
              <w:t>“</w:t>
            </w:r>
            <w:r w:rsidR="0016293D" w:rsidRPr="00576AF8">
              <w:t xml:space="preserve">Prórroga </w:t>
            </w:r>
            <w:r w:rsidRPr="00576AF8">
              <w:t xml:space="preserve">del plazo para </w:t>
            </w:r>
            <w:r w:rsidR="00413A3A" w:rsidRPr="00576AF8">
              <w:t xml:space="preserve">obtener </w:t>
            </w:r>
            <w:r w:rsidRPr="00576AF8">
              <w:t>la aceptación operativa</w:t>
            </w:r>
            <w:r w:rsidR="00EA50A5" w:rsidRPr="00576AF8">
              <w:t>”</w:t>
            </w:r>
            <w:r w:rsidRPr="00576AF8">
              <w:t>)</w:t>
            </w:r>
            <w:r w:rsidR="00341D1C" w:rsidRPr="00576AF8">
              <w:t xml:space="preserve"> de las CGC</w:t>
            </w:r>
            <w:r w:rsidRPr="00576AF8">
              <w:t xml:space="preserve">. </w:t>
            </w:r>
          </w:p>
        </w:tc>
      </w:tr>
      <w:tr w:rsidR="00A20832" w:rsidRPr="00576AF8" w14:paraId="1C7374FA" w14:textId="77777777" w:rsidTr="00157A4B">
        <w:trPr>
          <w:trHeight w:val="720"/>
        </w:trPr>
        <w:tc>
          <w:tcPr>
            <w:tcW w:w="2552" w:type="dxa"/>
          </w:tcPr>
          <w:p w14:paraId="580403D9" w14:textId="77777777" w:rsidR="00A20832" w:rsidRPr="00576AF8" w:rsidRDefault="00A20832" w:rsidP="00A35BE3">
            <w:pPr>
              <w:spacing w:after="0"/>
              <w:jc w:val="left"/>
            </w:pPr>
          </w:p>
        </w:tc>
        <w:tc>
          <w:tcPr>
            <w:tcW w:w="6804" w:type="dxa"/>
          </w:tcPr>
          <w:p w14:paraId="2D14864E" w14:textId="77777777" w:rsidR="00A20832" w:rsidRPr="00576AF8" w:rsidRDefault="00A20832" w:rsidP="00157A4B">
            <w:pPr>
              <w:keepNext/>
              <w:keepLines/>
              <w:spacing w:before="240" w:after="200"/>
              <w:ind w:left="547" w:right="-19" w:hanging="547"/>
              <w:outlineLvl w:val="4"/>
            </w:pPr>
            <w:r w:rsidRPr="00576AF8">
              <w:t>28.2</w:t>
            </w:r>
            <w:r w:rsidRPr="00576AF8">
              <w:tab/>
            </w:r>
            <w:r w:rsidRPr="00576AF8">
              <w:rPr>
                <w:b/>
              </w:rPr>
              <w:t>A menos que en las CEC</w:t>
            </w:r>
            <w:r w:rsidR="00997CAB" w:rsidRPr="00576AF8">
              <w:rPr>
                <w:b/>
              </w:rPr>
              <w:t xml:space="preserve"> se especifique otra cosa</w:t>
            </w:r>
            <w:r w:rsidRPr="00576AF8">
              <w:t xml:space="preserve">, si el Proveedor no suministra, instala ni pone en servicio el Sistema (o Subsistemas, en virtud de las CEC para la cláusula 27.2.1 de las CGC) ni logra su aceptación operativa dentro del plazo para </w:t>
            </w:r>
            <w:r w:rsidR="00413A3A" w:rsidRPr="00576AF8">
              <w:t xml:space="preserve">obtener </w:t>
            </w:r>
            <w:r w:rsidRPr="00576AF8">
              <w:t>la aceptación operativa especificado en el programa de ejecución o en el plan acordado para el Proyecto, o de la prórroga de dicho plazo otorgada previamente en virtud de la cláusula 40 (</w:t>
            </w:r>
            <w:r w:rsidR="00EA50A5" w:rsidRPr="00576AF8">
              <w:t>“</w:t>
            </w:r>
            <w:r w:rsidR="0016293D" w:rsidRPr="00576AF8">
              <w:t xml:space="preserve">Prórroga </w:t>
            </w:r>
            <w:r w:rsidRPr="00576AF8">
              <w:t xml:space="preserve">del plazo para </w:t>
            </w:r>
            <w:r w:rsidR="00413A3A" w:rsidRPr="00576AF8">
              <w:t xml:space="preserve">obtener </w:t>
            </w:r>
            <w:r w:rsidRPr="00576AF8">
              <w:t>la aceptación operativa</w:t>
            </w:r>
            <w:r w:rsidR="00EA50A5" w:rsidRPr="00576AF8">
              <w:t>”</w:t>
            </w:r>
            <w:r w:rsidRPr="00576AF8">
              <w:t>)</w:t>
            </w:r>
            <w:r w:rsidR="005337AB" w:rsidRPr="00576AF8">
              <w:t xml:space="preserve"> de las CGC</w:t>
            </w:r>
            <w:r w:rsidRPr="00576AF8">
              <w:t xml:space="preserve">, el Proveedor deberá pagar al Comprador </w:t>
            </w:r>
            <w:r w:rsidR="005337AB" w:rsidRPr="00576AF8">
              <w:t xml:space="preserve">una indemnización por </w:t>
            </w:r>
            <w:r w:rsidRPr="00576AF8">
              <w:t xml:space="preserve">daños y perjuicios a una tasa de la mitad del 1 % por semana como porcentaje del precio del Contrato (sin incluir gastos </w:t>
            </w:r>
            <w:r w:rsidR="00AF5510" w:rsidRPr="00576AF8">
              <w:t>recurrentes</w:t>
            </w:r>
            <w:r w:rsidRPr="00576AF8">
              <w:t xml:space="preserve">, si los hubiera), o la parte pertinente de precio del Contrato si no se ha logrado la aceptación operativa de un Subsistema. El monto total de </w:t>
            </w:r>
            <w:r w:rsidR="005337AB" w:rsidRPr="00576AF8">
              <w:t xml:space="preserve">esa indemnización por daños y perjuicios </w:t>
            </w:r>
            <w:r w:rsidRPr="00576AF8">
              <w:t xml:space="preserve">en ningún caso excederá el monto correspondiente al diez (10) % del precio del contrato (sin incluir gastos </w:t>
            </w:r>
            <w:r w:rsidR="00AF5510" w:rsidRPr="00576AF8">
              <w:t>recurrentes</w:t>
            </w:r>
            <w:r w:rsidRPr="00576AF8">
              <w:t xml:space="preserve">, si los hubiera). Una vez alcanzada la deducción máxima, el Proveedor podrá considerar la posibilidad de </w:t>
            </w:r>
            <w:r w:rsidR="00660850" w:rsidRPr="00576AF8">
              <w:t xml:space="preserve">terminar </w:t>
            </w:r>
            <w:r w:rsidRPr="00576AF8">
              <w:t>el Contrato de conformidad con la cláusula 41.2.2 de las CGC.</w:t>
            </w:r>
          </w:p>
          <w:p w14:paraId="07713C73" w14:textId="77777777" w:rsidR="00A20832" w:rsidRPr="00576AF8" w:rsidRDefault="00A20832" w:rsidP="00157A4B">
            <w:pPr>
              <w:keepNext/>
              <w:keepLines/>
              <w:spacing w:before="240" w:after="200"/>
              <w:ind w:left="547" w:right="-19" w:hanging="547"/>
              <w:outlineLvl w:val="4"/>
            </w:pPr>
            <w:r w:rsidRPr="00576AF8">
              <w:t>28.3</w:t>
            </w:r>
            <w:r w:rsidRPr="00576AF8">
              <w:tab/>
            </w:r>
            <w:r w:rsidRPr="00576AF8">
              <w:rPr>
                <w:b/>
              </w:rPr>
              <w:t>A menos que en las CEC</w:t>
            </w:r>
            <w:r w:rsidR="00997CAB" w:rsidRPr="00576AF8">
              <w:rPr>
                <w:b/>
              </w:rPr>
              <w:t xml:space="preserve"> se especifique otra cosa</w:t>
            </w:r>
            <w:r w:rsidRPr="00576AF8">
              <w:t xml:space="preserve">, la </w:t>
            </w:r>
            <w:r w:rsidR="005337AB" w:rsidRPr="00576AF8">
              <w:t xml:space="preserve">indemnización </w:t>
            </w:r>
            <w:r w:rsidRPr="00576AF8">
              <w:t xml:space="preserve">por daños y perjuicios en virtud de la cláusula 28.2 de las CGC solo se aplicará cuando no se haya logrado la aceptación operativa del Sistema (y </w:t>
            </w:r>
            <w:r w:rsidR="005337AB" w:rsidRPr="00576AF8">
              <w:t xml:space="preserve">de </w:t>
            </w:r>
            <w:r w:rsidRPr="00576AF8">
              <w:t xml:space="preserve">los Subsistemas) conforme a lo especificado en el programa de ejecución o </w:t>
            </w:r>
            <w:r w:rsidR="005337AB" w:rsidRPr="00576AF8">
              <w:t xml:space="preserve">en </w:t>
            </w:r>
            <w:r w:rsidRPr="00576AF8">
              <w:t xml:space="preserve">el plan acordado para el Proyecto. No obstante, la presente cláusula no limitará otros derechos o medidas correctivas con los que pueda contar el Comprador en virtud </w:t>
            </w:r>
            <w:r w:rsidR="005337AB" w:rsidRPr="00576AF8">
              <w:t xml:space="preserve">del </w:t>
            </w:r>
            <w:r w:rsidRPr="00576AF8">
              <w:t>Contrato para abordar otros retrasos.</w:t>
            </w:r>
          </w:p>
          <w:p w14:paraId="1E28C0A6" w14:textId="77777777" w:rsidR="00A20832" w:rsidRPr="00576AF8" w:rsidRDefault="00A20832" w:rsidP="00157A4B">
            <w:pPr>
              <w:keepNext/>
              <w:keepLines/>
              <w:spacing w:before="240" w:after="200"/>
              <w:ind w:left="547" w:right="-19" w:hanging="547"/>
              <w:outlineLvl w:val="4"/>
            </w:pPr>
            <w:r w:rsidRPr="00576AF8">
              <w:t>28.4</w:t>
            </w:r>
            <w:r w:rsidRPr="00576AF8">
              <w:tab/>
              <w:t xml:space="preserve">Si el Comprador reclama una </w:t>
            </w:r>
            <w:r w:rsidR="005337AB" w:rsidRPr="00576AF8">
              <w:t xml:space="preserve">indemnización </w:t>
            </w:r>
            <w:r w:rsidRPr="00576AF8">
              <w:t xml:space="preserve">por daños y perjuicios </w:t>
            </w:r>
            <w:r w:rsidR="005337AB" w:rsidRPr="00576AF8">
              <w:t xml:space="preserve">por </w:t>
            </w:r>
            <w:r w:rsidRPr="00576AF8">
              <w:t>el Sistema (o Subsistema), el Proveedor no tendrá ningún tipo de responsabilidad adicional ante el Comprador en relación con la garantía relativa al plazo para</w:t>
            </w:r>
            <w:r w:rsidR="00413A3A" w:rsidRPr="00576AF8">
              <w:t xml:space="preserve"> obtener </w:t>
            </w:r>
            <w:r w:rsidRPr="00576AF8">
              <w:t>la aceptación operativa del Sistema (o Subsistema). Sin embargo, el pago de los daños y perjuicios no eximirá en modo alguno al Proveedor de ninguna de sus obligaciones de terminar el Sistema ni de ninguna otra obligación y responsabilidad derivada del Contrato.</w:t>
            </w:r>
          </w:p>
        </w:tc>
      </w:tr>
      <w:tr w:rsidR="00A20832" w:rsidRPr="00576AF8" w14:paraId="20C8E856" w14:textId="77777777" w:rsidTr="00157A4B">
        <w:trPr>
          <w:trHeight w:val="720"/>
        </w:trPr>
        <w:tc>
          <w:tcPr>
            <w:tcW w:w="2552" w:type="dxa"/>
          </w:tcPr>
          <w:p w14:paraId="145B580A" w14:textId="77777777" w:rsidR="00A20832" w:rsidRPr="00576AF8" w:rsidRDefault="00A20832" w:rsidP="00A35BE3">
            <w:pPr>
              <w:pStyle w:val="Head62"/>
            </w:pPr>
            <w:bookmarkStart w:id="1570" w:name="_Toc277233351"/>
            <w:bookmarkStart w:id="1571" w:name="_Toc488959050"/>
            <w:r w:rsidRPr="00576AF8">
              <w:lastRenderedPageBreak/>
              <w:t>29.</w:t>
            </w:r>
            <w:r w:rsidRPr="00576AF8">
              <w:tab/>
              <w:t>Responsabilidad por defectos</w:t>
            </w:r>
            <w:bookmarkEnd w:id="1570"/>
            <w:bookmarkEnd w:id="1571"/>
          </w:p>
        </w:tc>
        <w:tc>
          <w:tcPr>
            <w:tcW w:w="6804" w:type="dxa"/>
          </w:tcPr>
          <w:p w14:paraId="0F4D3A79" w14:textId="77777777" w:rsidR="00A20832" w:rsidRPr="00576AF8" w:rsidRDefault="00A20832" w:rsidP="00157A4B">
            <w:pPr>
              <w:keepNext/>
              <w:keepLines/>
              <w:spacing w:before="240" w:after="200"/>
              <w:ind w:left="547" w:right="-19" w:hanging="547"/>
              <w:outlineLvl w:val="4"/>
            </w:pPr>
            <w:r w:rsidRPr="00576AF8">
              <w:t>29.1</w:t>
            </w:r>
            <w:r w:rsidRPr="00576AF8">
              <w:tab/>
              <w:t xml:space="preserve">El Proveedor garantiza que el Sistema, incluidas </w:t>
            </w:r>
            <w:r w:rsidR="007368D2" w:rsidRPr="00576AF8">
              <w:t xml:space="preserve">todas </w:t>
            </w:r>
            <w:r w:rsidRPr="00576AF8">
              <w:t>las tecnologías de la información</w:t>
            </w:r>
            <w:r w:rsidR="007368D2" w:rsidRPr="00576AF8">
              <w:t xml:space="preserve"> y todos</w:t>
            </w:r>
            <w:r w:rsidRPr="00576AF8">
              <w:t xml:space="preserve"> los materiales y otros bienes suministrados, así como los servicios prestados, no presentarán defectos de diseño, ingeniería, materiales ni fabricación que impidan que el Sistema o cualquiera de sus componentes cumplan con los requisitos técnicos, o que limiten de forma significativa el desempeño, la confiabilidad o la extensibilidad del Sistema o de los Subsistemas. </w:t>
            </w:r>
            <w:r w:rsidRPr="00576AF8">
              <w:rPr>
                <w:b/>
              </w:rPr>
              <w:t>A menos que en las CEC</w:t>
            </w:r>
            <w:r w:rsidR="00997CAB" w:rsidRPr="00576AF8">
              <w:rPr>
                <w:b/>
              </w:rPr>
              <w:t xml:space="preserve"> se especifique otra cosa</w:t>
            </w:r>
            <w:r w:rsidRPr="00576AF8">
              <w:t xml:space="preserve">, esta garantía NO estará sujeta a excepciones ni limitaciones con respecto al </w:t>
            </w:r>
            <w:r w:rsidR="00F772EC" w:rsidRPr="00576AF8">
              <w:t>software</w:t>
            </w:r>
            <w:r w:rsidRPr="00576AF8">
              <w:rPr>
                <w:i/>
              </w:rPr>
              <w:t xml:space="preserve"> </w:t>
            </w:r>
            <w:r w:rsidRPr="00576AF8">
              <w:t xml:space="preserve">(o categorías de </w:t>
            </w:r>
            <w:r w:rsidR="00F772EC" w:rsidRPr="00576AF8">
              <w:t>software</w:t>
            </w:r>
            <w:r w:rsidRPr="00576AF8">
              <w:t>). Las disposiciones relativas a la garantía comercial de los productos suministrados en el marco del Contrato se aplicarán en la medida en que no entren en conflicto con las disposiciones contenidas en dicho instrumento.</w:t>
            </w:r>
          </w:p>
        </w:tc>
      </w:tr>
      <w:tr w:rsidR="00A20832" w:rsidRPr="00576AF8" w14:paraId="268B1145" w14:textId="77777777" w:rsidTr="00157A4B">
        <w:trPr>
          <w:trHeight w:val="720"/>
        </w:trPr>
        <w:tc>
          <w:tcPr>
            <w:tcW w:w="2552" w:type="dxa"/>
          </w:tcPr>
          <w:p w14:paraId="5685DD71" w14:textId="77777777" w:rsidR="00A20832" w:rsidRPr="00576AF8" w:rsidRDefault="00A20832" w:rsidP="00A35BE3">
            <w:pPr>
              <w:spacing w:after="0"/>
              <w:jc w:val="left"/>
            </w:pPr>
          </w:p>
        </w:tc>
        <w:tc>
          <w:tcPr>
            <w:tcW w:w="6804" w:type="dxa"/>
          </w:tcPr>
          <w:p w14:paraId="688D2CB6" w14:textId="77777777" w:rsidR="00A20832" w:rsidRPr="00576AF8" w:rsidRDefault="00A20832" w:rsidP="00157A4B">
            <w:pPr>
              <w:keepNext/>
              <w:keepLines/>
              <w:spacing w:before="240" w:after="200"/>
              <w:ind w:left="547" w:right="-19" w:hanging="547"/>
              <w:outlineLvl w:val="4"/>
            </w:pPr>
            <w:r w:rsidRPr="00576AF8">
              <w:t>29.2</w:t>
            </w:r>
            <w:r w:rsidRPr="00576AF8">
              <w:tab/>
              <w:t>El Proveedor también garantiza que las tecnologías de la información, los materiales y otros bienes suministrados en virtud del Contrato son nuevos, no han sido utilizados previamente e incorporan tod</w:t>
            </w:r>
            <w:r w:rsidR="007368D2" w:rsidRPr="00576AF8">
              <w:t>a</w:t>
            </w:r>
            <w:r w:rsidRPr="00576AF8">
              <w:t xml:space="preserve">s las mejoras de diseño recientes que afectan en gran medida la capacidad del Sistema o </w:t>
            </w:r>
            <w:r w:rsidR="007368D2" w:rsidRPr="00576AF8">
              <w:t xml:space="preserve">del </w:t>
            </w:r>
            <w:r w:rsidRPr="00576AF8">
              <w:t xml:space="preserve">Subsistema de cumplir con los requisitos técnicos. </w:t>
            </w:r>
          </w:p>
          <w:p w14:paraId="0AF93B34" w14:textId="77777777" w:rsidR="00A20832" w:rsidRPr="00576AF8" w:rsidRDefault="00A20832" w:rsidP="00157A4B">
            <w:pPr>
              <w:spacing w:after="200"/>
              <w:ind w:left="547" w:right="-19" w:hanging="547"/>
              <w:rPr>
                <w:b/>
              </w:rPr>
            </w:pPr>
            <w:r w:rsidRPr="00576AF8">
              <w:t>29.3</w:t>
            </w:r>
            <w:r w:rsidRPr="00576AF8">
              <w:tab/>
            </w:r>
            <w:r w:rsidRPr="00576AF8">
              <w:rPr>
                <w:b/>
              </w:rPr>
              <w:t>A menos que en las CEC</w:t>
            </w:r>
            <w:r w:rsidR="00997CAB" w:rsidRPr="00576AF8">
              <w:rPr>
                <w:b/>
              </w:rPr>
              <w:t xml:space="preserve"> se especifique otra cosa</w:t>
            </w:r>
            <w:r w:rsidRPr="00576AF8">
              <w:t xml:space="preserve">, el Proveedor garantiza: </w:t>
            </w:r>
            <w:r w:rsidR="00157A4B" w:rsidRPr="00576AF8">
              <w:t>(</w:t>
            </w:r>
            <w:r w:rsidRPr="00576AF8">
              <w:t xml:space="preserve">i) que todos los componentes de los bienes que se incorporarán en el Sistema forman parte de las líneas de productos actuales del Proveedor o de los </w:t>
            </w:r>
            <w:r w:rsidR="00A07C8B" w:rsidRPr="00576AF8">
              <w:t>s</w:t>
            </w:r>
            <w:r w:rsidRPr="00576AF8">
              <w:t xml:space="preserve">ubcontratistas, y </w:t>
            </w:r>
            <w:r w:rsidR="00157A4B" w:rsidRPr="00576AF8">
              <w:t>(</w:t>
            </w:r>
            <w:r w:rsidRPr="00576AF8">
              <w:t>ii) que dichos componentes se han lanzado previamente al mercado.</w:t>
            </w:r>
          </w:p>
          <w:p w14:paraId="166101C0" w14:textId="77777777" w:rsidR="00A20832" w:rsidRPr="00576AF8" w:rsidRDefault="00A20832" w:rsidP="00157A4B">
            <w:pPr>
              <w:keepNext/>
              <w:keepLines/>
              <w:spacing w:before="240" w:after="200"/>
              <w:ind w:left="540" w:right="-19" w:hanging="540"/>
              <w:outlineLvl w:val="4"/>
            </w:pPr>
            <w:r w:rsidRPr="00576AF8">
              <w:lastRenderedPageBreak/>
              <w:t>29.4</w:t>
            </w:r>
            <w:r w:rsidRPr="00576AF8">
              <w:tab/>
            </w:r>
            <w:r w:rsidRPr="00576AF8">
              <w:rPr>
                <w:b/>
              </w:rPr>
              <w:t>A menos que en las CEC</w:t>
            </w:r>
            <w:r w:rsidR="00997CAB" w:rsidRPr="00576AF8">
              <w:rPr>
                <w:b/>
              </w:rPr>
              <w:t xml:space="preserve"> se especifique otra cosa</w:t>
            </w:r>
            <w:r w:rsidRPr="00576AF8">
              <w:t>, el período de garantía comenzará a partir de la fecha de la aceptación operativa del Sistema (o de cualquiera de los componentes principales o Subsistemas para los cuales se dispone una aceptación operativa por separado) y se extenderá por un período de treinta y seis (36) meses.</w:t>
            </w:r>
          </w:p>
          <w:p w14:paraId="228CDDA5" w14:textId="77777777" w:rsidR="00A20832" w:rsidRPr="00576AF8" w:rsidRDefault="00A20832" w:rsidP="00157A4B">
            <w:pPr>
              <w:keepNext/>
              <w:keepLines/>
              <w:spacing w:before="240" w:after="200"/>
              <w:ind w:left="540" w:right="-19" w:hanging="540"/>
              <w:outlineLvl w:val="4"/>
            </w:pPr>
            <w:r w:rsidRPr="00576AF8">
              <w:t>29.5</w:t>
            </w:r>
            <w:r w:rsidRPr="00576AF8">
              <w:tab/>
              <w:t>Si durante el período de garantía se detectara un defecto</w:t>
            </w:r>
            <w:r w:rsidR="00F420CD" w:rsidRPr="00576AF8">
              <w:t xml:space="preserve"> (tal como se describe en la cláusula 29.1 de las CGC) en el</w:t>
            </w:r>
            <w:r w:rsidRPr="00576AF8">
              <w:t xml:space="preserve"> diseño, </w:t>
            </w:r>
            <w:r w:rsidR="00F420CD" w:rsidRPr="00576AF8">
              <w:t xml:space="preserve">la </w:t>
            </w:r>
            <w:r w:rsidRPr="00576AF8">
              <w:t xml:space="preserve">ingeniería, </w:t>
            </w:r>
            <w:r w:rsidR="00F420CD" w:rsidRPr="00576AF8">
              <w:t xml:space="preserve">los </w:t>
            </w:r>
            <w:r w:rsidRPr="00576AF8">
              <w:t xml:space="preserve">materiales o </w:t>
            </w:r>
            <w:r w:rsidR="00F420CD" w:rsidRPr="00576AF8">
              <w:t xml:space="preserve">la </w:t>
            </w:r>
            <w:r w:rsidRPr="00576AF8">
              <w:t>fabricación de las tecnologías de la información u otros bienes suministrados o de los servicios prestados por el Proveedor, este último, actuando en consulta y de común acuerdo con el Comprador respecto de las medidas adecuadas para corregir los defectos, procederá sin demora y a su propia costa a reparar, sustituir o corregir (según determine, a su discreción, el Proveedor) tales defectos, así como todos los daños que estos hayan ocasionado al Sistema. Las tecnologías de la información u otros bienes defectuosos que el Proveedor haya reemplazado seguirán siendo de su propiedad.</w:t>
            </w:r>
          </w:p>
          <w:p w14:paraId="111FD3F1" w14:textId="77777777" w:rsidR="00A20832" w:rsidRPr="00576AF8" w:rsidRDefault="00A20832" w:rsidP="00157A4B">
            <w:pPr>
              <w:keepNext/>
              <w:keepLines/>
              <w:spacing w:before="240" w:after="200"/>
              <w:ind w:left="540" w:right="-19" w:hanging="540"/>
              <w:outlineLvl w:val="4"/>
            </w:pPr>
            <w:r w:rsidRPr="00576AF8">
              <w:t>29.6</w:t>
            </w:r>
            <w:r w:rsidRPr="00576AF8">
              <w:tab/>
              <w:t xml:space="preserve">El Proveedor no será responsable de la reparación, sustitución o corrección de ningún defecto o daño </w:t>
            </w:r>
            <w:r w:rsidR="00D23093" w:rsidRPr="00576AF8">
              <w:t xml:space="preserve">al Sistema </w:t>
            </w:r>
            <w:r w:rsidRPr="00576AF8">
              <w:t>que resulte o sea consecuencia de cualquiera de las causas siguientes:</w:t>
            </w:r>
          </w:p>
          <w:p w14:paraId="0D128598" w14:textId="77777777" w:rsidR="00A20832" w:rsidRPr="00576AF8" w:rsidRDefault="00157A4B" w:rsidP="00157A4B">
            <w:pPr>
              <w:keepNext/>
              <w:keepLines/>
              <w:spacing w:before="240" w:after="200"/>
              <w:ind w:left="907" w:right="-19" w:hanging="360"/>
              <w:outlineLvl w:val="4"/>
            </w:pPr>
            <w:r w:rsidRPr="00576AF8">
              <w:t>(</w:t>
            </w:r>
            <w:r w:rsidR="00A20832" w:rsidRPr="00576AF8">
              <w:t>a)</w:t>
            </w:r>
            <w:r w:rsidR="00A20832" w:rsidRPr="00576AF8">
              <w:tab/>
              <w:t>operación o mantenimiento inadecuados del Sistema por parte del Comprador;</w:t>
            </w:r>
          </w:p>
          <w:p w14:paraId="1A9BBECF" w14:textId="77777777" w:rsidR="00A20832" w:rsidRPr="00576AF8" w:rsidRDefault="00157A4B" w:rsidP="00157A4B">
            <w:pPr>
              <w:keepNext/>
              <w:keepLines/>
              <w:spacing w:before="240" w:after="200"/>
              <w:ind w:left="907" w:right="-19" w:hanging="360"/>
              <w:outlineLvl w:val="4"/>
            </w:pPr>
            <w:r w:rsidRPr="00576AF8">
              <w:t>(</w:t>
            </w:r>
            <w:r w:rsidR="00A20832" w:rsidRPr="00576AF8">
              <w:t>b)</w:t>
            </w:r>
            <w:r w:rsidR="00A20832" w:rsidRPr="00576AF8">
              <w:tab/>
              <w:t>desgaste normal;</w:t>
            </w:r>
          </w:p>
          <w:p w14:paraId="63F3D394" w14:textId="77777777" w:rsidR="00A20832" w:rsidRPr="00576AF8" w:rsidRDefault="00157A4B" w:rsidP="00157A4B">
            <w:pPr>
              <w:keepNext/>
              <w:keepLines/>
              <w:spacing w:before="240" w:after="200"/>
              <w:ind w:left="907" w:right="-19" w:hanging="360"/>
              <w:outlineLvl w:val="4"/>
            </w:pPr>
            <w:r w:rsidRPr="00576AF8">
              <w:t>(</w:t>
            </w:r>
            <w:r w:rsidR="00A20832" w:rsidRPr="00576AF8">
              <w:t>c)</w:t>
            </w:r>
            <w:r w:rsidR="00A20832" w:rsidRPr="00576AF8">
              <w:tab/>
              <w:t xml:space="preserve">uso del Sistema con artículos no suministrados por el Proveedor, a menos que dichos artículos figuren en los requisitos técnicos o estén aprobados por el Proveedor, </w:t>
            </w:r>
          </w:p>
          <w:p w14:paraId="1C08C071" w14:textId="77777777" w:rsidR="00A20832" w:rsidRPr="00576AF8" w:rsidRDefault="00157A4B" w:rsidP="00157A4B">
            <w:pPr>
              <w:keepNext/>
              <w:keepLines/>
              <w:spacing w:before="240" w:after="200"/>
              <w:ind w:left="907" w:right="-19" w:hanging="360"/>
              <w:outlineLvl w:val="4"/>
            </w:pPr>
            <w:r w:rsidRPr="00576AF8">
              <w:t>(</w:t>
            </w:r>
            <w:r w:rsidR="00A20832" w:rsidRPr="00576AF8">
              <w:t>d)</w:t>
            </w:r>
            <w:r w:rsidR="00A20832" w:rsidRPr="00576AF8">
              <w:tab/>
              <w:t>modificaciones introducidas en el Sistema por el Comprador o un tercero, no aprobadas por el Proveedor.</w:t>
            </w:r>
          </w:p>
          <w:p w14:paraId="16CB6334" w14:textId="77777777" w:rsidR="00A20832" w:rsidRPr="00576AF8" w:rsidRDefault="00A20832" w:rsidP="00157A4B">
            <w:pPr>
              <w:keepNext/>
              <w:keepLines/>
              <w:spacing w:before="240" w:after="200"/>
              <w:ind w:left="540" w:right="-19" w:hanging="540"/>
              <w:outlineLvl w:val="4"/>
            </w:pPr>
            <w:r w:rsidRPr="00576AF8">
              <w:t>29.7</w:t>
            </w:r>
            <w:r w:rsidRPr="00576AF8">
              <w:tab/>
              <w:t>Las obligaciones del Proveedor derivadas de esta cláusula 29 de las CGC no se aplicarán a lo siguiente:</w:t>
            </w:r>
          </w:p>
          <w:p w14:paraId="13A9858E" w14:textId="77777777" w:rsidR="00A20832" w:rsidRPr="00576AF8" w:rsidRDefault="00157A4B" w:rsidP="00157A4B">
            <w:pPr>
              <w:keepNext/>
              <w:keepLines/>
              <w:spacing w:before="240" w:after="200"/>
              <w:ind w:left="900" w:right="-19" w:hanging="360"/>
              <w:outlineLvl w:val="4"/>
            </w:pPr>
            <w:r w:rsidRPr="00576AF8">
              <w:t>(</w:t>
            </w:r>
            <w:r w:rsidR="00A20832" w:rsidRPr="00576AF8">
              <w:t>a)</w:t>
            </w:r>
            <w:r w:rsidR="00A20832" w:rsidRPr="00576AF8">
              <w:tab/>
              <w:t xml:space="preserve">los materiales que se consuman normalmente durante el funcionamiento o </w:t>
            </w:r>
            <w:r w:rsidR="00D23093" w:rsidRPr="00576AF8">
              <w:t xml:space="preserve">que </w:t>
            </w:r>
            <w:r w:rsidR="00A20832" w:rsidRPr="00576AF8">
              <w:t xml:space="preserve">tengan una vida útil más breve que el período de garantía, </w:t>
            </w:r>
          </w:p>
          <w:p w14:paraId="69754CE2" w14:textId="77777777" w:rsidR="00A20832" w:rsidRPr="00576AF8" w:rsidRDefault="00157A4B" w:rsidP="00157A4B">
            <w:pPr>
              <w:keepNext/>
              <w:keepLines/>
              <w:spacing w:before="240" w:after="200"/>
              <w:ind w:left="900" w:right="-19" w:hanging="360"/>
              <w:outlineLvl w:val="4"/>
            </w:pPr>
            <w:r w:rsidRPr="00576AF8">
              <w:t>(</w:t>
            </w:r>
            <w:r w:rsidR="00A20832" w:rsidRPr="00576AF8">
              <w:t>b)</w:t>
            </w:r>
            <w:r w:rsidR="00A20832" w:rsidRPr="00576AF8">
              <w:tab/>
              <w:t xml:space="preserve">los diseños, especificaciones u otros datos diseñados, suministrados o especificados por el </w:t>
            </w:r>
            <w:r w:rsidR="00D23093" w:rsidRPr="00576AF8">
              <w:t xml:space="preserve">Comprador </w:t>
            </w:r>
            <w:r w:rsidR="00A20832" w:rsidRPr="00576AF8">
              <w:t xml:space="preserve">o en su nombre, o cualquier asunto respecto del cual el </w:t>
            </w:r>
            <w:r w:rsidR="00D23093" w:rsidRPr="00576AF8">
              <w:t xml:space="preserve">Proveedor </w:t>
            </w:r>
            <w:r w:rsidR="00A20832" w:rsidRPr="00576AF8">
              <w:lastRenderedPageBreak/>
              <w:t>haya rehusado toda responsabilidad, de conformidad con lo dispuesto en la cláusula 21.1.2 de las CGC.</w:t>
            </w:r>
          </w:p>
          <w:p w14:paraId="54137210" w14:textId="77777777" w:rsidR="00A20832" w:rsidRPr="00576AF8" w:rsidRDefault="00A20832" w:rsidP="00157A4B">
            <w:pPr>
              <w:keepNext/>
              <w:keepLines/>
              <w:spacing w:before="240" w:after="200"/>
              <w:ind w:left="540" w:right="-19" w:hanging="540"/>
              <w:outlineLvl w:val="4"/>
            </w:pPr>
            <w:r w:rsidRPr="00576AF8">
              <w:t>29.8</w:t>
            </w:r>
            <w:r w:rsidRPr="00576AF8">
              <w:tab/>
              <w:t>El Comprador, inmediatamente después de descubrir el defecto, informará al Proveedor sobre su naturaleza y proporcionará toda la evidencia disponible. El Comprador brindará al Proveedor todas las oportunidades razonables de inspeccionar dichos defectos. El Comprador brindará al Proveedor todo el acceso necesario al Sistema y al emplazamiento para que este pueda cumplir con sus obligaciones de conformidad con lo dispuesto en la cláusula 29 de</w:t>
            </w:r>
            <w:r w:rsidR="00844110" w:rsidRPr="00576AF8">
              <w:t xml:space="preserve"> </w:t>
            </w:r>
            <w:r w:rsidRPr="00576AF8">
              <w:t>l</w:t>
            </w:r>
            <w:r w:rsidR="00844110" w:rsidRPr="00576AF8">
              <w:t>as</w:t>
            </w:r>
            <w:r w:rsidRPr="00576AF8">
              <w:t xml:space="preserve"> CGC.</w:t>
            </w:r>
          </w:p>
          <w:p w14:paraId="090BA23D" w14:textId="77777777" w:rsidR="00A20832" w:rsidRPr="00576AF8" w:rsidRDefault="00A20832" w:rsidP="00157A4B">
            <w:pPr>
              <w:spacing w:after="200"/>
              <w:ind w:left="540" w:right="-19" w:hanging="540"/>
              <w:rPr>
                <w:spacing w:val="-4"/>
              </w:rPr>
            </w:pPr>
            <w:r w:rsidRPr="00576AF8">
              <w:rPr>
                <w:spacing w:val="-4"/>
              </w:rPr>
              <w:t>29.9</w:t>
            </w:r>
            <w:r w:rsidRPr="00576AF8">
              <w:rPr>
                <w:spacing w:val="-4"/>
              </w:rPr>
              <w:tab/>
              <w:t xml:space="preserve">El Proveedor podrá, con el consentimiento del Comprador, retirar del </w:t>
            </w:r>
            <w:r w:rsidR="00844110" w:rsidRPr="00576AF8">
              <w:rPr>
                <w:spacing w:val="-4"/>
              </w:rPr>
              <w:t xml:space="preserve">sitio </w:t>
            </w:r>
            <w:r w:rsidRPr="00576AF8">
              <w:rPr>
                <w:spacing w:val="-4"/>
              </w:rPr>
              <w:t xml:space="preserve">las tecnologías de la información y otros bienes que presenten algún defecto si la naturaleza del defecto o el daño al Sistema causado por este impide efectuar prontamente la reparación en el </w:t>
            </w:r>
            <w:r w:rsidR="00844110" w:rsidRPr="00576AF8">
              <w:rPr>
                <w:spacing w:val="-4"/>
              </w:rPr>
              <w:t>sitio</w:t>
            </w:r>
            <w:r w:rsidRPr="00576AF8">
              <w:rPr>
                <w:spacing w:val="-4"/>
              </w:rPr>
              <w:t xml:space="preserve">. Si la reparación, sustitución o corrección es de tal naturaleza que puede afectar la eficiencia del Sistema, el Comprador podrá enviar una notificación al Proveedor en la que le exija que lleve a cabo pruebas de la parte defectuosa inmediatamente después de terminados los trabajos de reparación, en cuyo caso el Proveedor procederá a realizar tales pruebas. </w:t>
            </w:r>
          </w:p>
          <w:p w14:paraId="1E5BAA25" w14:textId="77777777" w:rsidR="00A20832" w:rsidRPr="00576AF8" w:rsidRDefault="00A20832" w:rsidP="00157A4B">
            <w:pPr>
              <w:spacing w:after="200"/>
              <w:ind w:left="547" w:right="-19"/>
              <w:rPr>
                <w:spacing w:val="-4"/>
              </w:rPr>
            </w:pPr>
            <w:r w:rsidRPr="00576AF8">
              <w:rPr>
                <w:spacing w:val="-4"/>
              </w:rPr>
              <w:t>Si la parte en cuestión no supera las pruebas, el Proveedor efectuará una nueva reparación, sustitución o corrección (según el caso) hasta que ello ocurra. El Comprador y el Proveedor deberán ponerse de acuerdo sobre las pruebas que se han de realizar.</w:t>
            </w:r>
          </w:p>
          <w:p w14:paraId="3D9B18D2" w14:textId="77777777" w:rsidR="00A20832" w:rsidRPr="00576AF8" w:rsidRDefault="00A20832" w:rsidP="00157A4B">
            <w:pPr>
              <w:spacing w:after="200"/>
              <w:ind w:left="540" w:right="-19" w:hanging="540"/>
              <w:rPr>
                <w:spacing w:val="-4"/>
              </w:rPr>
            </w:pPr>
            <w:r w:rsidRPr="00576AF8">
              <w:rPr>
                <w:spacing w:val="-4"/>
              </w:rPr>
              <w:t>29.10</w:t>
            </w:r>
            <w:r w:rsidRPr="00576AF8">
              <w:rPr>
                <w:spacing w:val="-4"/>
              </w:rPr>
              <w:tab/>
            </w:r>
            <w:r w:rsidRPr="00576AF8">
              <w:rPr>
                <w:b/>
                <w:spacing w:val="-4"/>
              </w:rPr>
              <w:t>A menos que en las CEC</w:t>
            </w:r>
            <w:r w:rsidR="00997CAB" w:rsidRPr="00576AF8">
              <w:rPr>
                <w:b/>
                <w:spacing w:val="-4"/>
              </w:rPr>
              <w:t xml:space="preserve"> se especifique otra cosa</w:t>
            </w:r>
            <w:r w:rsidRPr="00576AF8">
              <w:rPr>
                <w:spacing w:val="-4"/>
              </w:rPr>
              <w:t>, los plazos de respuesta y de reparación/sustitución en el caso de la reparación de defectos en garantía se especifican en los requisitos técnicos. Sin embargo, si el Proveedor no inicia los trabajos necesarios para corregir el defecto o los daños al Sistema dentro de un plazo de dos semanas, el Comprador podrá, previa notificación al Proveedor, proceder a realizar esos trabajos o contratar a un tercero (o terceros) para que lo</w:t>
            </w:r>
            <w:r w:rsidR="00844110" w:rsidRPr="00576AF8">
              <w:rPr>
                <w:spacing w:val="-4"/>
              </w:rPr>
              <w:t>s</w:t>
            </w:r>
            <w:r w:rsidRPr="00576AF8">
              <w:rPr>
                <w:spacing w:val="-4"/>
              </w:rPr>
              <w:t xml:space="preserve"> realice</w:t>
            </w:r>
            <w:r w:rsidR="00844110" w:rsidRPr="00576AF8">
              <w:rPr>
                <w:spacing w:val="-4"/>
              </w:rPr>
              <w:t>n</w:t>
            </w:r>
            <w:r w:rsidRPr="00576AF8">
              <w:rPr>
                <w:spacing w:val="-4"/>
              </w:rPr>
              <w:t>, y el Proveedor reembolsará al Comprador todos los gastos razonables que este deba realizar en relación con esos trabajos, o el Comprador podrá deducirlos de las sumas adeudadas al Proveedor o reclamarlos en virtud de la garantía de cumplimiento.</w:t>
            </w:r>
          </w:p>
          <w:p w14:paraId="0213FFCB" w14:textId="77777777" w:rsidR="00A20832" w:rsidRPr="00576AF8" w:rsidRDefault="00A20832" w:rsidP="00157A4B">
            <w:pPr>
              <w:keepNext/>
              <w:keepLines/>
              <w:spacing w:before="240" w:after="200"/>
              <w:ind w:left="547" w:right="-19" w:hanging="547"/>
              <w:outlineLvl w:val="4"/>
            </w:pPr>
            <w:r w:rsidRPr="00576AF8">
              <w:t>29.11</w:t>
            </w:r>
            <w:r w:rsidRPr="00576AF8">
              <w:tab/>
              <w:t xml:space="preserve"> Si el Sistema o Subsistema no puede utilizarse debido al defecto o a la corrección del defecto, el período de garantía del Sistema se prorrogará por un período igual al período durante el cual el Comprador no pudo utilizar el Sistema o Subsistema debido al defecto o a la corrección del defecto.</w:t>
            </w:r>
          </w:p>
          <w:p w14:paraId="5448B782" w14:textId="77777777" w:rsidR="00A20832" w:rsidRPr="00576AF8" w:rsidRDefault="00A20832" w:rsidP="00157A4B">
            <w:pPr>
              <w:keepNext/>
              <w:keepLines/>
              <w:spacing w:before="240" w:after="200"/>
              <w:ind w:left="547" w:right="-19" w:hanging="547"/>
              <w:outlineLvl w:val="4"/>
            </w:pPr>
            <w:r w:rsidRPr="00576AF8">
              <w:lastRenderedPageBreak/>
              <w:t>29.12</w:t>
            </w:r>
            <w:r w:rsidRPr="00576AF8">
              <w:tab/>
              <w:t xml:space="preserve"> Los artículos con que se sustituyan las partes defectuosas del Sistema durante el período de garantía quedarán cubiertos por la garantía de responsabilidad por defectos durante el resto del período de garantía aplicable a la parte reemplazada o durante tres (3) meses, si este último período fuese mayor. Por razones de seguridad de la información, el Comprador podrá optar por mantener en su poder los dispositivos de almacenamiento de información defectuosos</w:t>
            </w:r>
            <w:r w:rsidR="00844110" w:rsidRPr="00576AF8">
              <w:t xml:space="preserve"> que se sustituyan</w:t>
            </w:r>
            <w:r w:rsidRPr="00576AF8">
              <w:t>.</w:t>
            </w:r>
          </w:p>
          <w:p w14:paraId="04B4C8E1" w14:textId="77777777" w:rsidR="00A20832" w:rsidRPr="00576AF8" w:rsidRDefault="00A20832" w:rsidP="00157A4B">
            <w:pPr>
              <w:keepNext/>
              <w:keepLines/>
              <w:spacing w:before="240" w:after="200"/>
              <w:ind w:left="547" w:right="-19" w:hanging="547"/>
              <w:outlineLvl w:val="4"/>
            </w:pPr>
            <w:r w:rsidRPr="00576AF8">
              <w:t>29.13</w:t>
            </w:r>
            <w:r w:rsidRPr="00576AF8">
              <w:tab/>
              <w:t xml:space="preserve"> </w:t>
            </w:r>
            <w:r w:rsidRPr="00576AF8">
              <w:rPr>
                <w:spacing w:val="-2"/>
              </w:rPr>
              <w:t xml:space="preserve">A solicitud del Comprador y sin perjuicio de cualquier otro derecho o recurso de que este pueda disponer contra el Proveedor en virtud del Contrato, </w:t>
            </w:r>
            <w:r w:rsidR="00844110" w:rsidRPr="00576AF8">
              <w:rPr>
                <w:spacing w:val="-2"/>
              </w:rPr>
              <w:t xml:space="preserve">el Proveedor </w:t>
            </w:r>
            <w:r w:rsidRPr="00576AF8">
              <w:rPr>
                <w:spacing w:val="-2"/>
              </w:rPr>
              <w:t xml:space="preserve">brindará al Comprador toda la asistencia posible para que este pueda solicitar servicios de garantía o medidas correctivas a terceros subcontratados como productores o licenciantes de bienes incluidos en el Sistema, incluida, entre otras cosas, la cesión o transferencia a favor del Comprador del beneficio de cualquier garantía que dichos productores o licenciantes otorguen al Proveedor. </w:t>
            </w:r>
          </w:p>
        </w:tc>
      </w:tr>
      <w:tr w:rsidR="00A20832" w:rsidRPr="00576AF8" w14:paraId="527C6E67" w14:textId="77777777" w:rsidTr="00157A4B">
        <w:trPr>
          <w:trHeight w:val="720"/>
        </w:trPr>
        <w:tc>
          <w:tcPr>
            <w:tcW w:w="2552" w:type="dxa"/>
          </w:tcPr>
          <w:p w14:paraId="40223A04" w14:textId="77777777" w:rsidR="00A20832" w:rsidRPr="00576AF8" w:rsidRDefault="00A20832" w:rsidP="00A35BE3">
            <w:pPr>
              <w:pStyle w:val="Head62"/>
              <w:jc w:val="both"/>
            </w:pPr>
            <w:bookmarkStart w:id="1572" w:name="_Toc277233352"/>
            <w:bookmarkStart w:id="1573" w:name="_Toc488959051"/>
            <w:r w:rsidRPr="00576AF8">
              <w:lastRenderedPageBreak/>
              <w:t>30.</w:t>
            </w:r>
            <w:r w:rsidRPr="00576AF8">
              <w:tab/>
              <w:t>Garantías de funcionamiento</w:t>
            </w:r>
            <w:bookmarkEnd w:id="1572"/>
            <w:bookmarkEnd w:id="1573"/>
          </w:p>
        </w:tc>
        <w:tc>
          <w:tcPr>
            <w:tcW w:w="6804" w:type="dxa"/>
          </w:tcPr>
          <w:p w14:paraId="7C187CE6" w14:textId="77777777" w:rsidR="00A20832" w:rsidRPr="00576AF8" w:rsidRDefault="00A20832" w:rsidP="00157A4B">
            <w:pPr>
              <w:keepNext/>
              <w:keepLines/>
              <w:spacing w:before="240" w:after="200"/>
              <w:ind w:left="547" w:right="-19" w:hanging="547"/>
              <w:outlineLvl w:val="4"/>
            </w:pPr>
            <w:r w:rsidRPr="00576AF8">
              <w:t>30.1</w:t>
            </w:r>
            <w:r w:rsidRPr="00576AF8">
              <w:tab/>
              <w:t>El Proveedor garantiza que, una vez emitido el certificado de aceptación operativa, el Sistema representa una solución completa e integrada a los requisitos del Comprador establecidos en los requisitos técnicos y se condice con todos los demás aspectos del Contrato. El Proveedor reconoce que la cláusula 27 de las CGC relativa a la puesta en servicio y la aceptación operativa rige la manera en que se determinará la adecuación técnica del Sistema a los requisitos establecidos en el Contrato.</w:t>
            </w:r>
          </w:p>
        </w:tc>
      </w:tr>
      <w:tr w:rsidR="00A20832" w:rsidRPr="00576AF8" w14:paraId="3FC7CA53" w14:textId="77777777" w:rsidTr="00157A4B">
        <w:trPr>
          <w:trHeight w:val="720"/>
        </w:trPr>
        <w:tc>
          <w:tcPr>
            <w:tcW w:w="2552" w:type="dxa"/>
          </w:tcPr>
          <w:p w14:paraId="0AA44029" w14:textId="77777777" w:rsidR="00A20832" w:rsidRPr="00576AF8" w:rsidRDefault="00A20832" w:rsidP="00A35BE3">
            <w:pPr>
              <w:spacing w:after="0"/>
              <w:jc w:val="left"/>
            </w:pPr>
          </w:p>
        </w:tc>
        <w:tc>
          <w:tcPr>
            <w:tcW w:w="6804" w:type="dxa"/>
          </w:tcPr>
          <w:p w14:paraId="5A3E1718" w14:textId="77777777" w:rsidR="00A20832" w:rsidRPr="00576AF8" w:rsidRDefault="00A20832" w:rsidP="00157A4B">
            <w:pPr>
              <w:keepNext/>
              <w:keepLines/>
              <w:spacing w:before="240" w:after="200"/>
              <w:ind w:left="547" w:right="-19" w:hanging="547"/>
              <w:outlineLvl w:val="4"/>
            </w:pPr>
            <w:r w:rsidRPr="00576AF8">
              <w:t>30.2</w:t>
            </w:r>
            <w:r w:rsidRPr="00576AF8">
              <w:tab/>
              <w:t xml:space="preserve">Si, por razones atribuibles al Proveedor, el Sistema no cumple con los requisitos técnicos o no se ajusta a </w:t>
            </w:r>
            <w:r w:rsidR="00D24154" w:rsidRPr="00576AF8">
              <w:t xml:space="preserve">todos </w:t>
            </w:r>
            <w:r w:rsidRPr="00576AF8">
              <w:t xml:space="preserve">los demás aspectos del Contrato, el Proveedor hará, a su costa, los cambios, modificaciones o adiciones al Sistema que puedan ser necesarios </w:t>
            </w:r>
            <w:r w:rsidR="008D6964" w:rsidRPr="00576AF8">
              <w:t xml:space="preserve">para </w:t>
            </w:r>
            <w:r w:rsidRPr="00576AF8">
              <w:t>cumplir con los requisitos técnicos y todos los niveles funcionales y de desempeño. El Proveedor notificará al Comprador una vez que haya realizado los cambios, modificaciones y adiciones necesarios y requerirá al Comprador que repita pruebas de aceptación operativa hasta que se logre la aceptación operativa del Sistema.</w:t>
            </w:r>
          </w:p>
          <w:p w14:paraId="1B08E862" w14:textId="77777777" w:rsidR="00A20832" w:rsidRPr="00576AF8" w:rsidRDefault="00A20832" w:rsidP="00157A4B">
            <w:pPr>
              <w:keepNext/>
              <w:keepLines/>
              <w:spacing w:before="240" w:after="200"/>
              <w:ind w:left="547" w:right="-19" w:hanging="547"/>
              <w:outlineLvl w:val="4"/>
            </w:pPr>
            <w:r w:rsidRPr="00576AF8">
              <w:t>30.3</w:t>
            </w:r>
            <w:r w:rsidRPr="00576AF8">
              <w:tab/>
              <w:t xml:space="preserve">Si no se logra la aceptación operativa del Sistema (o </w:t>
            </w:r>
            <w:r w:rsidR="008D6964" w:rsidRPr="00576AF8">
              <w:t xml:space="preserve">de </w:t>
            </w:r>
            <w:r w:rsidRPr="00576AF8">
              <w:t xml:space="preserve">los Subsistemas), el Comprador podrá considerar la posibilidad de </w:t>
            </w:r>
            <w:r w:rsidR="00660850" w:rsidRPr="00576AF8">
              <w:t xml:space="preserve">terminar </w:t>
            </w:r>
            <w:r w:rsidRPr="00576AF8">
              <w:t>el Contrato de conformidad con la cláusula 41.2.2</w:t>
            </w:r>
            <w:r w:rsidR="008D6964" w:rsidRPr="00576AF8">
              <w:t xml:space="preserve"> de las CGC</w:t>
            </w:r>
            <w:r w:rsidRPr="00576AF8">
              <w:t>, y hacer efectiva la garantía de cumplimiento del Proveedor en virtud de la cláusula 13.3 de las CGC</w:t>
            </w:r>
            <w:r w:rsidR="008D6964" w:rsidRPr="00576AF8">
              <w:t>,</w:t>
            </w:r>
            <w:r w:rsidRPr="00576AF8">
              <w:t xml:space="preserve"> en compensación por los costos adicionales y las demoras que pudieran generarse.</w:t>
            </w:r>
          </w:p>
        </w:tc>
      </w:tr>
      <w:tr w:rsidR="00A20832" w:rsidRPr="00576AF8" w14:paraId="46330DEC" w14:textId="77777777" w:rsidTr="00157A4B">
        <w:trPr>
          <w:trHeight w:val="720"/>
        </w:trPr>
        <w:tc>
          <w:tcPr>
            <w:tcW w:w="2552" w:type="dxa"/>
          </w:tcPr>
          <w:p w14:paraId="6EA99A02" w14:textId="77777777" w:rsidR="00A20832" w:rsidRPr="00576AF8" w:rsidRDefault="00A20832" w:rsidP="00A35BE3">
            <w:pPr>
              <w:pStyle w:val="Head62"/>
              <w:jc w:val="both"/>
            </w:pPr>
            <w:bookmarkStart w:id="1574" w:name="_Toc277233353"/>
            <w:bookmarkStart w:id="1575" w:name="_Toc488959052"/>
            <w:r w:rsidRPr="00576AF8">
              <w:t>31.</w:t>
            </w:r>
            <w:r w:rsidRPr="00576AF8">
              <w:tab/>
              <w:t>Garantía sobre derechos de propiedad intelectual</w:t>
            </w:r>
            <w:bookmarkEnd w:id="1574"/>
            <w:bookmarkEnd w:id="1575"/>
          </w:p>
        </w:tc>
        <w:tc>
          <w:tcPr>
            <w:tcW w:w="6804" w:type="dxa"/>
          </w:tcPr>
          <w:p w14:paraId="7B861FFB" w14:textId="77777777" w:rsidR="00A20832" w:rsidRPr="00576AF8" w:rsidRDefault="00A20832" w:rsidP="00157A4B">
            <w:pPr>
              <w:keepNext/>
              <w:keepLines/>
              <w:spacing w:before="240" w:after="200"/>
              <w:ind w:left="540" w:right="-19" w:hanging="540"/>
              <w:outlineLvl w:val="4"/>
            </w:pPr>
            <w:r w:rsidRPr="00576AF8">
              <w:t>31.1</w:t>
            </w:r>
            <w:r w:rsidRPr="00576AF8">
              <w:tab/>
              <w:t xml:space="preserve">Por medio del presente, el Proveedor declara </w:t>
            </w:r>
            <w:r w:rsidR="00021AAF" w:rsidRPr="00576AF8">
              <w:t>lo siguiente:</w:t>
            </w:r>
            <w:r w:rsidRPr="00576AF8">
              <w:t xml:space="preserve"> </w:t>
            </w:r>
          </w:p>
          <w:p w14:paraId="6385D7B1" w14:textId="77777777" w:rsidR="00A20832" w:rsidRPr="00576AF8" w:rsidRDefault="001A7CD7" w:rsidP="00157A4B">
            <w:pPr>
              <w:keepNext/>
              <w:keepLines/>
              <w:spacing w:before="240" w:after="200"/>
              <w:ind w:left="1080" w:right="-19" w:hanging="540"/>
              <w:outlineLvl w:val="4"/>
            </w:pPr>
            <w:r w:rsidRPr="00576AF8">
              <w:t>(</w:t>
            </w:r>
            <w:r w:rsidR="00A20832" w:rsidRPr="00576AF8">
              <w:t>a)</w:t>
            </w:r>
            <w:r w:rsidR="00A20832" w:rsidRPr="00576AF8">
              <w:tab/>
              <w:t xml:space="preserve">el Sistema suministrado, instalado, probado y aceptado; </w:t>
            </w:r>
          </w:p>
          <w:p w14:paraId="20B096B7" w14:textId="77777777" w:rsidR="00A20832" w:rsidRPr="00576AF8" w:rsidRDefault="001A7CD7" w:rsidP="00157A4B">
            <w:pPr>
              <w:keepNext/>
              <w:keepLines/>
              <w:spacing w:before="240" w:after="200"/>
              <w:ind w:left="1080" w:right="-19" w:hanging="540"/>
              <w:outlineLvl w:val="4"/>
            </w:pPr>
            <w:r w:rsidRPr="00576AF8">
              <w:t>(</w:t>
            </w:r>
            <w:r w:rsidR="00A20832" w:rsidRPr="00576AF8">
              <w:t>b)</w:t>
            </w:r>
            <w:r w:rsidR="00A20832" w:rsidRPr="00576AF8">
              <w:tab/>
              <w:t>el uso del Sistema de conformidad con el Contrato,</w:t>
            </w:r>
            <w:r w:rsidR="00D310A5" w:rsidRPr="00576AF8">
              <w:t xml:space="preserve"> </w:t>
            </w:r>
          </w:p>
          <w:p w14:paraId="3192B629" w14:textId="77777777" w:rsidR="00A20832" w:rsidRPr="00576AF8" w:rsidRDefault="001A7CD7" w:rsidP="00157A4B">
            <w:pPr>
              <w:keepNext/>
              <w:keepLines/>
              <w:spacing w:before="240" w:after="200"/>
              <w:ind w:left="1080" w:right="-19" w:hanging="540"/>
              <w:outlineLvl w:val="4"/>
            </w:pPr>
            <w:r w:rsidRPr="00576AF8">
              <w:t>(</w:t>
            </w:r>
            <w:r w:rsidR="00A20832" w:rsidRPr="00576AF8">
              <w:t>c)</w:t>
            </w:r>
            <w:r w:rsidR="00A20832" w:rsidRPr="00576AF8">
              <w:tab/>
              <w:t xml:space="preserve">la copia del software y </w:t>
            </w:r>
            <w:r w:rsidR="008D6964" w:rsidRPr="00576AF8">
              <w:t xml:space="preserve">de </w:t>
            </w:r>
            <w:r w:rsidR="00A20832" w:rsidRPr="00576AF8">
              <w:t xml:space="preserve">los materiales suministrados al Comprador en virtud del Contrato </w:t>
            </w:r>
          </w:p>
          <w:p w14:paraId="646307E7" w14:textId="77777777" w:rsidR="00A20832" w:rsidRPr="00576AF8" w:rsidRDefault="00A20832" w:rsidP="00157A4B">
            <w:pPr>
              <w:spacing w:after="200"/>
              <w:ind w:left="540" w:right="-19"/>
            </w:pPr>
            <w:r w:rsidRPr="00576AF8">
              <w:t>no infringen ni infringirán ningún derecho de propiedad intelectual de tercero</w:t>
            </w:r>
            <w:r w:rsidR="008D6964" w:rsidRPr="00576AF8">
              <w:t>s</w:t>
            </w:r>
            <w:r w:rsidRPr="00576AF8">
              <w:t xml:space="preserve">, y que posee todos los derechos necesarios o, a su propia costa, formalizará por escrito todas las transferencias de derechos y otros consentimientos necesarios para realizar las cesiones, licencias y otras transferencias de derechos de propiedad intelectual y las garantías establecidas en el Contrato, y para que el Comprador posea o ejerza todos los derechos de propiedad intelectual previstos en el Contrato. </w:t>
            </w:r>
            <w:r w:rsidR="004576A3" w:rsidRPr="00576AF8">
              <w:t>El Proveedor deberá obtener de sus empleados y de otras personas y entidades cuyos servicios se utilicen para el desarrollo del Sistema,</w:t>
            </w:r>
            <w:r w:rsidR="00D310A5" w:rsidRPr="00576AF8">
              <w:t xml:space="preserve"> </w:t>
            </w:r>
            <w:r w:rsidR="004576A3" w:rsidRPr="00576AF8">
              <w:t>todos los acuerdos escritos, consentimientos y transferencias de derechos que sean necesarios</w:t>
            </w:r>
            <w:r w:rsidRPr="00576AF8">
              <w:t>.</w:t>
            </w:r>
          </w:p>
        </w:tc>
      </w:tr>
      <w:tr w:rsidR="00A20832" w:rsidRPr="00576AF8" w14:paraId="15FCEBAB" w14:textId="77777777" w:rsidTr="00157A4B">
        <w:trPr>
          <w:trHeight w:val="720"/>
        </w:trPr>
        <w:tc>
          <w:tcPr>
            <w:tcW w:w="2552" w:type="dxa"/>
          </w:tcPr>
          <w:p w14:paraId="2FA9EAE1" w14:textId="77777777" w:rsidR="00A20832" w:rsidRPr="00576AF8" w:rsidRDefault="00A20832" w:rsidP="00A35BE3">
            <w:pPr>
              <w:pStyle w:val="Head62"/>
            </w:pPr>
            <w:bookmarkStart w:id="1576" w:name="_Toc277233354"/>
            <w:bookmarkStart w:id="1577" w:name="_Toc488959053"/>
            <w:r w:rsidRPr="00576AF8">
              <w:lastRenderedPageBreak/>
              <w:t>32.</w:t>
            </w:r>
            <w:r w:rsidRPr="00576AF8">
              <w:tab/>
            </w:r>
            <w:r w:rsidR="00EA03EE" w:rsidRPr="00576AF8">
              <w:t xml:space="preserve">Indemnización </w:t>
            </w:r>
            <w:r w:rsidRPr="00576AF8">
              <w:t>relacionada con los derechos de propiedad intelectual</w:t>
            </w:r>
            <w:bookmarkEnd w:id="1576"/>
            <w:bookmarkEnd w:id="1577"/>
          </w:p>
        </w:tc>
        <w:tc>
          <w:tcPr>
            <w:tcW w:w="6804" w:type="dxa"/>
          </w:tcPr>
          <w:p w14:paraId="24A492E8" w14:textId="77777777" w:rsidR="00A20832" w:rsidRPr="00576AF8" w:rsidRDefault="00A20832" w:rsidP="00157A4B">
            <w:pPr>
              <w:keepNext/>
              <w:keepLines/>
              <w:spacing w:before="240" w:after="200"/>
              <w:ind w:left="547" w:right="-19" w:hanging="547"/>
              <w:outlineLvl w:val="4"/>
            </w:pPr>
            <w:r w:rsidRPr="00576AF8">
              <w:t>32.1</w:t>
            </w:r>
            <w:r w:rsidRPr="00576AF8">
              <w:tab/>
              <w:t xml:space="preserve">El Proveedor eximirá de toda responsabilidad al Comprador y a sus empleados y funcionarios en caso de pérdidas, </w:t>
            </w:r>
            <w:r w:rsidR="008C7C71" w:rsidRPr="00576AF8">
              <w:t>obligaciones y gastos</w:t>
            </w:r>
            <w:r w:rsidRPr="00576AF8">
              <w:t xml:space="preserve"> (incluidas las pérdidas, </w:t>
            </w:r>
            <w:r w:rsidR="008C7C71" w:rsidRPr="00576AF8">
              <w:t>obligaciones y gastos</w:t>
            </w:r>
            <w:r w:rsidRPr="00576AF8">
              <w:t xml:space="preserve"> surgidos al defender un</w:t>
            </w:r>
            <w:r w:rsidR="00485749" w:rsidRPr="00576AF8">
              <w:t>a</w:t>
            </w:r>
            <w:r w:rsidRPr="00576AF8">
              <w:t xml:space="preserve"> reclam</w:t>
            </w:r>
            <w:r w:rsidR="00485749" w:rsidRPr="00576AF8">
              <w:t>ación</w:t>
            </w:r>
            <w:r w:rsidRPr="00576AF8">
              <w:t xml:space="preserve"> en que se alegue dich</w:t>
            </w:r>
            <w:r w:rsidR="007903DB" w:rsidRPr="00576AF8">
              <w:t>a</w:t>
            </w:r>
            <w:r w:rsidRPr="00576AF8">
              <w:t xml:space="preserve"> </w:t>
            </w:r>
            <w:r w:rsidR="007903DB" w:rsidRPr="00576AF8">
              <w:t>responsabilidad</w:t>
            </w:r>
            <w:r w:rsidRPr="00576AF8">
              <w:t xml:space="preserve">) que el Comprador o sus empleados o funcionarios </w:t>
            </w:r>
            <w:r w:rsidR="007903DB" w:rsidRPr="00576AF8">
              <w:t xml:space="preserve">puedan </w:t>
            </w:r>
            <w:r w:rsidRPr="00576AF8">
              <w:t xml:space="preserve">sufrir como consecuencia de la violación o la presunta violación de derechos de propiedad intelectual por los siguientes motivos: </w:t>
            </w:r>
          </w:p>
          <w:p w14:paraId="58A4879A" w14:textId="77777777" w:rsidR="00A20832" w:rsidRPr="00576AF8" w:rsidRDefault="001A7CD7" w:rsidP="00157A4B">
            <w:pPr>
              <w:keepNext/>
              <w:keepLines/>
              <w:spacing w:before="240" w:after="200"/>
              <w:ind w:left="1080" w:right="-19" w:hanging="547"/>
              <w:outlineLvl w:val="4"/>
            </w:pPr>
            <w:r w:rsidRPr="00576AF8">
              <w:t>(</w:t>
            </w:r>
            <w:r w:rsidR="00A20832" w:rsidRPr="00576AF8">
              <w:t>a)</w:t>
            </w:r>
            <w:r w:rsidR="00A20832" w:rsidRPr="00576AF8">
              <w:tab/>
              <w:t xml:space="preserve">la instalación del Sistema por el Proveedor </w:t>
            </w:r>
            <w:r w:rsidR="00066925" w:rsidRPr="00576AF8">
              <w:t>o</w:t>
            </w:r>
            <w:r w:rsidR="00A20832" w:rsidRPr="00576AF8">
              <w:t xml:space="preserve"> el uso del Sistema, incluidos los materiales, en el país donde se encuentra el </w:t>
            </w:r>
            <w:r w:rsidR="00066925" w:rsidRPr="00576AF8">
              <w:t xml:space="preserve">sitio </w:t>
            </w:r>
            <w:r w:rsidR="00A20832" w:rsidRPr="00576AF8">
              <w:t xml:space="preserve">del </w:t>
            </w:r>
            <w:r w:rsidR="00066925" w:rsidRPr="00576AF8">
              <w:t>P</w:t>
            </w:r>
            <w:r w:rsidR="00A20832" w:rsidRPr="00576AF8">
              <w:t xml:space="preserve">royecto; </w:t>
            </w:r>
          </w:p>
          <w:p w14:paraId="3AF2F710" w14:textId="77777777" w:rsidR="00A20832" w:rsidRPr="00576AF8" w:rsidRDefault="001A7CD7" w:rsidP="00157A4B">
            <w:pPr>
              <w:keepNext/>
              <w:keepLines/>
              <w:spacing w:before="240" w:after="200"/>
              <w:ind w:left="1080" w:right="-19" w:hanging="547"/>
              <w:outlineLvl w:val="4"/>
            </w:pPr>
            <w:r w:rsidRPr="00576AF8">
              <w:t>(</w:t>
            </w:r>
            <w:r w:rsidR="00A20832" w:rsidRPr="00576AF8">
              <w:t>b)</w:t>
            </w:r>
            <w:r w:rsidR="00A20832" w:rsidRPr="00576AF8">
              <w:tab/>
              <w:t xml:space="preserve">la copia del </w:t>
            </w:r>
            <w:r w:rsidR="00F772EC" w:rsidRPr="00576AF8">
              <w:t>software</w:t>
            </w:r>
            <w:r w:rsidR="00A20832" w:rsidRPr="00576AF8">
              <w:rPr>
                <w:i/>
              </w:rPr>
              <w:t xml:space="preserve"> </w:t>
            </w:r>
            <w:r w:rsidR="00A20832" w:rsidRPr="00576AF8">
              <w:t xml:space="preserve">y </w:t>
            </w:r>
            <w:r w:rsidR="00066925" w:rsidRPr="00576AF8">
              <w:t xml:space="preserve">de </w:t>
            </w:r>
            <w:r w:rsidR="00A20832" w:rsidRPr="00576AF8">
              <w:t xml:space="preserve">los materiales suministrados </w:t>
            </w:r>
            <w:r w:rsidR="00066925" w:rsidRPr="00576AF8">
              <w:t>por e</w:t>
            </w:r>
            <w:r w:rsidR="00A20832" w:rsidRPr="00576AF8">
              <w:t xml:space="preserve">l Proveedor en virtud del Contrato, </w:t>
            </w:r>
          </w:p>
        </w:tc>
      </w:tr>
      <w:tr w:rsidR="00A20832" w:rsidRPr="00576AF8" w14:paraId="3FF6F04F" w14:textId="77777777" w:rsidTr="00157A4B">
        <w:trPr>
          <w:trHeight w:val="720"/>
        </w:trPr>
        <w:tc>
          <w:tcPr>
            <w:tcW w:w="2552" w:type="dxa"/>
          </w:tcPr>
          <w:p w14:paraId="22E9C435" w14:textId="77777777" w:rsidR="00A20832" w:rsidRPr="00576AF8" w:rsidRDefault="00A20832" w:rsidP="00A35BE3">
            <w:pPr>
              <w:spacing w:after="0"/>
              <w:jc w:val="left"/>
            </w:pPr>
          </w:p>
        </w:tc>
        <w:tc>
          <w:tcPr>
            <w:tcW w:w="6804" w:type="dxa"/>
          </w:tcPr>
          <w:p w14:paraId="7D18EADC" w14:textId="77777777" w:rsidR="00A20832" w:rsidRPr="00576AF8" w:rsidRDefault="001A7CD7" w:rsidP="00157A4B">
            <w:pPr>
              <w:keepNext/>
              <w:keepLines/>
              <w:spacing w:before="240" w:after="200"/>
              <w:ind w:left="1080" w:right="-19" w:hanging="540"/>
              <w:outlineLvl w:val="4"/>
            </w:pPr>
            <w:r w:rsidRPr="00576AF8">
              <w:t>(</w:t>
            </w:r>
            <w:r w:rsidR="00A20832" w:rsidRPr="00576AF8">
              <w:t>c)</w:t>
            </w:r>
            <w:r w:rsidR="00A20832" w:rsidRPr="00576AF8">
              <w:tab/>
              <w:t xml:space="preserve">la venta de los productos generados por el Sistema en cualquier país, salvo cuando dichas pérdidas, </w:t>
            </w:r>
            <w:r w:rsidR="008C7C71" w:rsidRPr="00576AF8">
              <w:t>obligaciones y gastos</w:t>
            </w:r>
            <w:r w:rsidR="00A20832" w:rsidRPr="00576AF8">
              <w:t xml:space="preserve"> sean producto de la violación de la cláusula 32.2 de las CGC por parte del Comprador.</w:t>
            </w:r>
          </w:p>
        </w:tc>
      </w:tr>
      <w:tr w:rsidR="00A20832" w:rsidRPr="00576AF8" w14:paraId="28113C24" w14:textId="77777777" w:rsidTr="00157A4B">
        <w:trPr>
          <w:trHeight w:val="720"/>
        </w:trPr>
        <w:tc>
          <w:tcPr>
            <w:tcW w:w="2552" w:type="dxa"/>
          </w:tcPr>
          <w:p w14:paraId="7F6DE03C" w14:textId="77777777" w:rsidR="00A20832" w:rsidRPr="00576AF8" w:rsidRDefault="00A20832" w:rsidP="00A35BE3">
            <w:pPr>
              <w:spacing w:after="0"/>
              <w:jc w:val="left"/>
            </w:pPr>
          </w:p>
        </w:tc>
        <w:tc>
          <w:tcPr>
            <w:tcW w:w="6804" w:type="dxa"/>
          </w:tcPr>
          <w:p w14:paraId="35406053" w14:textId="77777777" w:rsidR="00A20832" w:rsidRPr="00576AF8" w:rsidRDefault="00A20832" w:rsidP="00157A4B">
            <w:pPr>
              <w:keepNext/>
              <w:keepLines/>
              <w:spacing w:before="240" w:after="200"/>
              <w:ind w:left="540" w:right="-19" w:hanging="540"/>
              <w:outlineLvl w:val="4"/>
            </w:pPr>
            <w:r w:rsidRPr="00576AF8">
              <w:t>32.2</w:t>
            </w:r>
            <w:r w:rsidRPr="00576AF8">
              <w:tab/>
              <w:t xml:space="preserve">Dicha </w:t>
            </w:r>
            <w:r w:rsidR="00EA03EE" w:rsidRPr="00576AF8">
              <w:t xml:space="preserve">indemnización </w:t>
            </w:r>
            <w:r w:rsidRPr="00576AF8">
              <w:t xml:space="preserve">no procederá si el Sistema, incluidos los materiales, fuese utilizado para fines no previstos en el Contrato o que no pudieran inferirse razonablemente de este, ni cubrirá ninguna infracción resultante del uso del Sistema, o </w:t>
            </w:r>
            <w:r w:rsidR="00066925" w:rsidRPr="00576AF8">
              <w:t xml:space="preserve">de </w:t>
            </w:r>
            <w:r w:rsidRPr="00576AF8">
              <w:t>productos del Sistema generados en asociación o combinación con otros bienes o servicios no suministrados por el Proveedor, cuando la infracción se deba a dicha asociación y no al uso del Sistema en sí mismo.</w:t>
            </w:r>
          </w:p>
          <w:p w14:paraId="01BC13D1" w14:textId="77777777" w:rsidR="00A20832" w:rsidRPr="00576AF8" w:rsidRDefault="00A20832" w:rsidP="00157A4B">
            <w:pPr>
              <w:keepNext/>
              <w:keepLines/>
              <w:spacing w:before="240" w:after="200"/>
              <w:ind w:left="540" w:right="-19" w:hanging="540"/>
              <w:outlineLvl w:val="4"/>
            </w:pPr>
            <w:r w:rsidRPr="00576AF8">
              <w:t>32.3</w:t>
            </w:r>
            <w:r w:rsidRPr="00576AF8">
              <w:tab/>
              <w:t xml:space="preserve">Dicha </w:t>
            </w:r>
            <w:r w:rsidR="00EA03EE" w:rsidRPr="00576AF8">
              <w:t>indemnización</w:t>
            </w:r>
            <w:r w:rsidR="00682368" w:rsidRPr="00576AF8">
              <w:t xml:space="preserve"> </w:t>
            </w:r>
            <w:r w:rsidRPr="00576AF8">
              <w:t>tampoco procederá si l</w:t>
            </w:r>
            <w:r w:rsidR="00485749" w:rsidRPr="00576AF8">
              <w:t>a</w:t>
            </w:r>
            <w:r w:rsidRPr="00576AF8">
              <w:t xml:space="preserve"> reclam</w:t>
            </w:r>
            <w:r w:rsidR="00485749" w:rsidRPr="00576AF8">
              <w:t xml:space="preserve">ación </w:t>
            </w:r>
            <w:r w:rsidR="001A7CD7" w:rsidRPr="00576AF8">
              <w:br/>
            </w:r>
            <w:r w:rsidRPr="00576AF8">
              <w:t>por infracción:</w:t>
            </w:r>
          </w:p>
          <w:p w14:paraId="2750ED3A" w14:textId="77777777" w:rsidR="00A20832" w:rsidRPr="00576AF8" w:rsidRDefault="001A7CD7" w:rsidP="00157A4B">
            <w:pPr>
              <w:keepNext/>
              <w:keepLines/>
              <w:spacing w:before="240" w:after="200"/>
              <w:ind w:left="1094" w:right="-19" w:hanging="547"/>
              <w:outlineLvl w:val="4"/>
            </w:pPr>
            <w:r w:rsidRPr="00576AF8">
              <w:t>(</w:t>
            </w:r>
            <w:r w:rsidR="00A20832" w:rsidRPr="00576AF8">
              <w:t>a)</w:t>
            </w:r>
            <w:r w:rsidR="00A20832" w:rsidRPr="00576AF8">
              <w:tab/>
              <w:t xml:space="preserve">es presentado por la empresa matriz, una subsidiaria o una filial de la organización del </w:t>
            </w:r>
            <w:r w:rsidR="00D67CC1" w:rsidRPr="00576AF8">
              <w:t>Comprador</w:t>
            </w:r>
            <w:r w:rsidR="00A20832" w:rsidRPr="00576AF8">
              <w:t>;</w:t>
            </w:r>
          </w:p>
          <w:p w14:paraId="66A99BAB" w14:textId="77777777" w:rsidR="00A20832" w:rsidRPr="00576AF8" w:rsidRDefault="001A7CD7" w:rsidP="00157A4B">
            <w:pPr>
              <w:keepNext/>
              <w:keepLines/>
              <w:spacing w:before="240" w:after="200"/>
              <w:ind w:left="1080" w:right="-19" w:hanging="540"/>
              <w:outlineLvl w:val="4"/>
            </w:pPr>
            <w:r w:rsidRPr="00576AF8">
              <w:t>(</w:t>
            </w:r>
            <w:r w:rsidR="00A20832" w:rsidRPr="00576AF8">
              <w:t>b)</w:t>
            </w:r>
            <w:r w:rsidR="00A20832" w:rsidRPr="00576AF8">
              <w:tab/>
              <w:t xml:space="preserve">es el resultado directo de un diseño dispuesto en los requisitos técnicos del Comprador y la posibilidad de dicha infracción fue debidamente señalada en la </w:t>
            </w:r>
            <w:r w:rsidR="00BC72E3" w:rsidRPr="00576AF8">
              <w:t>O</w:t>
            </w:r>
            <w:r w:rsidR="00A20832" w:rsidRPr="00576AF8">
              <w:t>ferta del Proveedor, o</w:t>
            </w:r>
          </w:p>
          <w:p w14:paraId="13C5D88C" w14:textId="77777777" w:rsidR="00A20832" w:rsidRPr="00576AF8" w:rsidRDefault="001A7CD7" w:rsidP="00157A4B">
            <w:pPr>
              <w:keepNext/>
              <w:keepLines/>
              <w:spacing w:before="240" w:after="200"/>
              <w:ind w:left="1080" w:right="-19" w:hanging="540"/>
              <w:outlineLvl w:val="4"/>
            </w:pPr>
            <w:r w:rsidRPr="00576AF8">
              <w:t>(</w:t>
            </w:r>
            <w:r w:rsidR="00A20832" w:rsidRPr="00576AF8">
              <w:t>c)</w:t>
            </w:r>
            <w:r w:rsidR="00A20832" w:rsidRPr="00576AF8">
              <w:tab/>
            </w:r>
            <w:r w:rsidR="00A20832" w:rsidRPr="00576AF8">
              <w:rPr>
                <w:spacing w:val="-4"/>
              </w:rPr>
              <w:t>resulta de la modificación del Sistema, incluidos los materiales, efectuada por el Comprador o cualquier persona que no sea el Proveedor o una persona autorizada por este.</w:t>
            </w:r>
          </w:p>
        </w:tc>
      </w:tr>
      <w:tr w:rsidR="00A20832" w:rsidRPr="00576AF8" w14:paraId="4B560549" w14:textId="77777777" w:rsidTr="00157A4B">
        <w:trPr>
          <w:trHeight w:val="720"/>
        </w:trPr>
        <w:tc>
          <w:tcPr>
            <w:tcW w:w="2552" w:type="dxa"/>
          </w:tcPr>
          <w:p w14:paraId="383CFD48" w14:textId="77777777" w:rsidR="00A20832" w:rsidRPr="00576AF8" w:rsidRDefault="00A20832" w:rsidP="00A35BE3">
            <w:pPr>
              <w:spacing w:after="0"/>
              <w:jc w:val="left"/>
            </w:pPr>
          </w:p>
        </w:tc>
        <w:tc>
          <w:tcPr>
            <w:tcW w:w="6804" w:type="dxa"/>
          </w:tcPr>
          <w:p w14:paraId="16CD8295" w14:textId="77777777" w:rsidR="00A20832" w:rsidRPr="00576AF8" w:rsidRDefault="00A20832" w:rsidP="00157A4B">
            <w:pPr>
              <w:spacing w:after="200"/>
              <w:ind w:left="547" w:right="-19" w:hanging="547"/>
              <w:rPr>
                <w:spacing w:val="-2"/>
              </w:rPr>
            </w:pPr>
            <w:r w:rsidRPr="00576AF8">
              <w:rPr>
                <w:spacing w:val="-2"/>
              </w:rPr>
              <w:t>32.4</w:t>
            </w:r>
            <w:r w:rsidRPr="00576AF8">
              <w:rPr>
                <w:spacing w:val="-2"/>
              </w:rPr>
              <w:tab/>
              <w:t xml:space="preserve">Si se entablara un proceso legal o una demanda contra el Comprador derivada de </w:t>
            </w:r>
            <w:r w:rsidR="009F2461" w:rsidRPr="00576AF8">
              <w:rPr>
                <w:spacing w:val="-2"/>
              </w:rPr>
              <w:t xml:space="preserve">alguno de los </w:t>
            </w:r>
            <w:r w:rsidRPr="00576AF8">
              <w:rPr>
                <w:spacing w:val="-2"/>
              </w:rPr>
              <w:t>caso</w:t>
            </w:r>
            <w:r w:rsidR="009F2461" w:rsidRPr="00576AF8">
              <w:rPr>
                <w:spacing w:val="-2"/>
              </w:rPr>
              <w:t>s</w:t>
            </w:r>
            <w:r w:rsidRPr="00576AF8">
              <w:rPr>
                <w:spacing w:val="-2"/>
              </w:rPr>
              <w:t xml:space="preserve"> a los que se refiere la cláusula 32.1 de las CGC, el Comprador notificará de inmediato al Proveedor y este, por su propia cuenta y en nombre del Comprador, </w:t>
            </w:r>
            <w:r w:rsidR="009F2461" w:rsidRPr="00576AF8">
              <w:rPr>
                <w:spacing w:val="-2"/>
              </w:rPr>
              <w:t xml:space="preserve">impulsará </w:t>
            </w:r>
            <w:r w:rsidRPr="00576AF8">
              <w:rPr>
                <w:spacing w:val="-2"/>
              </w:rPr>
              <w:t xml:space="preserve">dicho proceso o demanda, y realizará las negociaciones necesarias para llegar a un acuerdo </w:t>
            </w:r>
            <w:r w:rsidR="009F2461" w:rsidRPr="00576AF8">
              <w:rPr>
                <w:spacing w:val="-2"/>
              </w:rPr>
              <w:t xml:space="preserve">al </w:t>
            </w:r>
            <w:r w:rsidRPr="00576AF8">
              <w:rPr>
                <w:spacing w:val="-2"/>
              </w:rPr>
              <w:t>respecto.</w:t>
            </w:r>
          </w:p>
          <w:p w14:paraId="65175648" w14:textId="77777777" w:rsidR="00A20832" w:rsidRPr="00576AF8" w:rsidRDefault="00A20832" w:rsidP="00157A4B">
            <w:pPr>
              <w:keepNext/>
              <w:keepLines/>
              <w:spacing w:before="240" w:after="200"/>
              <w:ind w:left="540" w:right="-19"/>
              <w:outlineLvl w:val="4"/>
            </w:pPr>
            <w:r w:rsidRPr="00576AF8">
              <w:t>Si</w:t>
            </w:r>
            <w:r w:rsidR="009F2461" w:rsidRPr="00576AF8">
              <w:t>,</w:t>
            </w:r>
            <w:r w:rsidRPr="00576AF8">
              <w:t xml:space="preserve"> dentro de los 28 (veintiocho) días posteriores al recibo de dicha comunicación</w:t>
            </w:r>
            <w:r w:rsidR="009F2461" w:rsidRPr="00576AF8">
              <w:t>,</w:t>
            </w:r>
            <w:r w:rsidRPr="00576AF8">
              <w:t xml:space="preserve"> el Proveedor no notifica al Comprador que tiene la intención de </w:t>
            </w:r>
            <w:r w:rsidR="009F2461" w:rsidRPr="00576AF8">
              <w:t xml:space="preserve">llevar adelante </w:t>
            </w:r>
            <w:r w:rsidRPr="00576AF8">
              <w:t xml:space="preserve">tales procesos o </w:t>
            </w:r>
            <w:r w:rsidR="00DA3F9D" w:rsidRPr="00576AF8">
              <w:t>demandas</w:t>
            </w:r>
            <w:r w:rsidRPr="00576AF8">
              <w:t xml:space="preserve">, el Comprador tendrá derecho a </w:t>
            </w:r>
            <w:r w:rsidR="009F2461" w:rsidRPr="00576AF8">
              <w:t xml:space="preserve">impulsarlos </w:t>
            </w:r>
            <w:r w:rsidRPr="00576AF8">
              <w:t xml:space="preserve">en su propio nombre. A menos que el Proveedor no haya notificado al Comprador dentro de ese plazo, el Comprador no hará ninguna declaración que pueda ser perjudicial para la defensa en tales </w:t>
            </w:r>
            <w:r w:rsidR="00264F1A" w:rsidRPr="00576AF8">
              <w:t xml:space="preserve">procesos </w:t>
            </w:r>
            <w:r w:rsidRPr="00576AF8">
              <w:t xml:space="preserve">o demandas. El Comprador se compromete, a solicitud del Proveedor, a prestarle toda la asistencia posible para que el Proveedor pueda llevar adelante tales </w:t>
            </w:r>
            <w:r w:rsidR="00264F1A" w:rsidRPr="00576AF8">
              <w:t xml:space="preserve">procesos </w:t>
            </w:r>
            <w:r w:rsidRPr="00576AF8">
              <w:t>o demanda</w:t>
            </w:r>
            <w:r w:rsidR="00264F1A" w:rsidRPr="00576AF8">
              <w:t>s</w:t>
            </w:r>
            <w:r w:rsidRPr="00576AF8">
              <w:t>. Los gastos razonables en que incurra a tal efecto le serán reembolsados por el Proveedor.</w:t>
            </w:r>
          </w:p>
        </w:tc>
      </w:tr>
      <w:tr w:rsidR="00A20832" w:rsidRPr="00576AF8" w14:paraId="31FE6D16" w14:textId="77777777" w:rsidTr="00157A4B">
        <w:trPr>
          <w:trHeight w:val="720"/>
        </w:trPr>
        <w:tc>
          <w:tcPr>
            <w:tcW w:w="2552" w:type="dxa"/>
          </w:tcPr>
          <w:p w14:paraId="3E15A866" w14:textId="77777777" w:rsidR="00A20832" w:rsidRPr="00576AF8" w:rsidRDefault="00A20832" w:rsidP="00A35BE3">
            <w:pPr>
              <w:spacing w:after="0"/>
              <w:jc w:val="left"/>
            </w:pPr>
          </w:p>
        </w:tc>
        <w:tc>
          <w:tcPr>
            <w:tcW w:w="6804" w:type="dxa"/>
          </w:tcPr>
          <w:p w14:paraId="5FEA1397" w14:textId="77777777" w:rsidR="00A20832" w:rsidRPr="00576AF8" w:rsidRDefault="00A20832" w:rsidP="00157A4B">
            <w:pPr>
              <w:keepNext/>
              <w:keepLines/>
              <w:spacing w:before="240" w:after="200"/>
              <w:ind w:left="540" w:right="-19" w:hanging="540"/>
              <w:outlineLvl w:val="4"/>
            </w:pPr>
            <w:r w:rsidRPr="00576AF8">
              <w:t>32.5</w:t>
            </w:r>
            <w:r w:rsidRPr="00576AF8">
              <w:tab/>
              <w:t>El Comprador eximirá de toda responsabilidad al Proveedor y a sus empleados</w:t>
            </w:r>
            <w:r w:rsidR="009F2461" w:rsidRPr="00576AF8">
              <w:t xml:space="preserve">, </w:t>
            </w:r>
            <w:r w:rsidRPr="00576AF8">
              <w:t xml:space="preserve">funcionarios </w:t>
            </w:r>
            <w:r w:rsidR="009F2461" w:rsidRPr="00576AF8">
              <w:t xml:space="preserve">y subcontratistas </w:t>
            </w:r>
            <w:r w:rsidRPr="00576AF8">
              <w:t xml:space="preserve">en caso de pérdidas, </w:t>
            </w:r>
            <w:r w:rsidR="008C7C71" w:rsidRPr="00576AF8">
              <w:t>obligaciones y gastos</w:t>
            </w:r>
            <w:r w:rsidRPr="00576AF8">
              <w:t xml:space="preserve"> (incluidas las pérdidas, </w:t>
            </w:r>
            <w:r w:rsidR="008C7C71" w:rsidRPr="00576AF8">
              <w:t>obligaciones y gastos</w:t>
            </w:r>
            <w:r w:rsidRPr="00576AF8">
              <w:t xml:space="preserve"> surgidos al defender un</w:t>
            </w:r>
            <w:r w:rsidR="00485749" w:rsidRPr="00576AF8">
              <w:t>a</w:t>
            </w:r>
            <w:r w:rsidRPr="00576AF8">
              <w:t xml:space="preserve"> reclam</w:t>
            </w:r>
            <w:r w:rsidR="00485749" w:rsidRPr="00576AF8">
              <w:t>ación</w:t>
            </w:r>
            <w:r w:rsidRPr="00576AF8">
              <w:t xml:space="preserve"> en que se aleguen dich</w:t>
            </w:r>
            <w:r w:rsidR="007903DB" w:rsidRPr="00576AF8">
              <w:t>as responsabilidades</w:t>
            </w:r>
            <w:r w:rsidRPr="00576AF8">
              <w:t xml:space="preserve">) que el Proveedor o sus empleados, funcionarios o </w:t>
            </w:r>
            <w:r w:rsidR="00A07C8B" w:rsidRPr="00576AF8">
              <w:t>s</w:t>
            </w:r>
            <w:r w:rsidRPr="00576AF8">
              <w:t>ubcontratistas puedan sufrir como consecuencia de una infracción o presunta infracción de derechos de propiedad intelectual derivados de diseños, datos, planos, especificaciones u otros documentos o materiales suministrados al Proveedor en relación con este Contrato por el Comprador o por personas (distintas del Proveedor) contratad</w:t>
            </w:r>
            <w:r w:rsidR="005B1146" w:rsidRPr="00576AF8">
              <w:t>a</w:t>
            </w:r>
            <w:r w:rsidRPr="00576AF8">
              <w:t xml:space="preserve">s por el Comprador, o relacionados con ellos, salvo </w:t>
            </w:r>
            <w:r w:rsidR="005B1146" w:rsidRPr="00576AF8">
              <w:t xml:space="preserve">en la medida en </w:t>
            </w:r>
            <w:r w:rsidRPr="00576AF8">
              <w:t xml:space="preserve">que dichas pérdidas, </w:t>
            </w:r>
            <w:r w:rsidR="008C7C71" w:rsidRPr="00576AF8">
              <w:t>obligaciones y gastos</w:t>
            </w:r>
            <w:r w:rsidRPr="00576AF8">
              <w:t xml:space="preserve"> surjan como consecuencia de la violación de la cláusula 32.8 de las CGC por parte del Proveedor. </w:t>
            </w:r>
          </w:p>
        </w:tc>
      </w:tr>
      <w:tr w:rsidR="00A20832" w:rsidRPr="00576AF8" w14:paraId="0C9B8101" w14:textId="77777777" w:rsidTr="00157A4B">
        <w:tc>
          <w:tcPr>
            <w:tcW w:w="2552" w:type="dxa"/>
          </w:tcPr>
          <w:p w14:paraId="08ABA7AF" w14:textId="77777777" w:rsidR="00A20832" w:rsidRPr="00576AF8" w:rsidRDefault="00A20832" w:rsidP="00A35BE3">
            <w:pPr>
              <w:spacing w:after="0"/>
              <w:jc w:val="left"/>
            </w:pPr>
          </w:p>
        </w:tc>
        <w:tc>
          <w:tcPr>
            <w:tcW w:w="6804" w:type="dxa"/>
          </w:tcPr>
          <w:p w14:paraId="3C4C8B03" w14:textId="77777777" w:rsidR="00A20832" w:rsidRPr="00576AF8" w:rsidRDefault="00A20832" w:rsidP="00157A4B">
            <w:pPr>
              <w:keepNext/>
              <w:keepLines/>
              <w:spacing w:before="240" w:after="200"/>
              <w:ind w:left="547" w:right="-19" w:hanging="547"/>
              <w:outlineLvl w:val="4"/>
            </w:pPr>
            <w:r w:rsidRPr="00576AF8">
              <w:t>32.6</w:t>
            </w:r>
            <w:r w:rsidRPr="00576AF8">
              <w:tab/>
              <w:t xml:space="preserve">Dicha </w:t>
            </w:r>
            <w:r w:rsidR="00EA03EE" w:rsidRPr="00576AF8">
              <w:t>indemnización</w:t>
            </w:r>
            <w:r w:rsidR="00BC72E3" w:rsidRPr="00576AF8">
              <w:t xml:space="preserve"> </w:t>
            </w:r>
            <w:r w:rsidRPr="00576AF8">
              <w:t xml:space="preserve">no abarcará: </w:t>
            </w:r>
          </w:p>
          <w:p w14:paraId="5F7DD2E5" w14:textId="77777777" w:rsidR="00A20832" w:rsidRPr="00576AF8" w:rsidRDefault="001A7CD7" w:rsidP="00157A4B">
            <w:pPr>
              <w:spacing w:after="200"/>
              <w:ind w:left="1094" w:right="-19" w:hanging="547"/>
              <w:rPr>
                <w:spacing w:val="-4"/>
              </w:rPr>
            </w:pPr>
            <w:r w:rsidRPr="00576AF8">
              <w:rPr>
                <w:spacing w:val="-4"/>
              </w:rPr>
              <w:t>(</w:t>
            </w:r>
            <w:r w:rsidR="00A20832" w:rsidRPr="00576AF8">
              <w:rPr>
                <w:spacing w:val="-4"/>
              </w:rPr>
              <w:t>a)</w:t>
            </w:r>
            <w:r w:rsidR="00A20832" w:rsidRPr="00576AF8">
              <w:rPr>
                <w:spacing w:val="-4"/>
              </w:rPr>
              <w:tab/>
              <w:t>el uso del diseño, dato, plano, especificación u otros documentos o materiales para fines no previstos en el Contrato o que no pudieran inferirse razonablemente de este;</w:t>
            </w:r>
          </w:p>
          <w:p w14:paraId="79108F1A" w14:textId="77777777" w:rsidR="00A20832" w:rsidRPr="00576AF8" w:rsidRDefault="001A7CD7" w:rsidP="00157A4B">
            <w:pPr>
              <w:spacing w:after="200"/>
              <w:ind w:left="1094" w:right="-19" w:hanging="547"/>
              <w:rPr>
                <w:spacing w:val="-2"/>
              </w:rPr>
            </w:pPr>
            <w:r w:rsidRPr="00576AF8">
              <w:rPr>
                <w:spacing w:val="-2"/>
              </w:rPr>
              <w:t>(</w:t>
            </w:r>
            <w:r w:rsidR="00A20832" w:rsidRPr="00576AF8">
              <w:rPr>
                <w:spacing w:val="-2"/>
              </w:rPr>
              <w:t>b)</w:t>
            </w:r>
            <w:r w:rsidR="00A20832" w:rsidRPr="00576AF8">
              <w:rPr>
                <w:spacing w:val="-2"/>
              </w:rPr>
              <w:tab/>
              <w:t xml:space="preserve">la infracción resultante del uso del diseño, dato, plano, especificación u otros documentos o materiales, o productos generados en asociación o combinación con </w:t>
            </w:r>
            <w:r w:rsidR="00A20832" w:rsidRPr="00576AF8">
              <w:rPr>
                <w:spacing w:val="-2"/>
              </w:rPr>
              <w:lastRenderedPageBreak/>
              <w:t>otros bienes o servicios no suministrados por el Comprador</w:t>
            </w:r>
            <w:r w:rsidR="005B1146" w:rsidRPr="00576AF8">
              <w:rPr>
                <w:spacing w:val="-2"/>
              </w:rPr>
              <w:t xml:space="preserve"> u otra persona contratada por el Comprador</w:t>
            </w:r>
            <w:r w:rsidR="00A20832" w:rsidRPr="00576AF8">
              <w:rPr>
                <w:spacing w:val="-2"/>
              </w:rPr>
              <w:t xml:space="preserve">, cuando la infracción se deba </w:t>
            </w:r>
            <w:r w:rsidR="005B1146" w:rsidRPr="00576AF8">
              <w:rPr>
                <w:spacing w:val="-2"/>
              </w:rPr>
              <w:t xml:space="preserve">a dicha asociación o combinación, y no </w:t>
            </w:r>
            <w:r w:rsidR="00A20832" w:rsidRPr="00576AF8">
              <w:rPr>
                <w:spacing w:val="-2"/>
              </w:rPr>
              <w:t xml:space="preserve">al uso del diseño, dato, plano, especificación </w:t>
            </w:r>
            <w:r w:rsidR="005B1146" w:rsidRPr="00576AF8">
              <w:rPr>
                <w:spacing w:val="-2"/>
              </w:rPr>
              <w:t>u</w:t>
            </w:r>
            <w:r w:rsidR="00A20832" w:rsidRPr="00576AF8">
              <w:rPr>
                <w:spacing w:val="-2"/>
              </w:rPr>
              <w:t xml:space="preserve"> otros documentos o materiales en sí mismo.</w:t>
            </w:r>
          </w:p>
          <w:p w14:paraId="0B4ED894" w14:textId="77777777" w:rsidR="00A20832" w:rsidRPr="00576AF8" w:rsidRDefault="00A20832" w:rsidP="00157A4B">
            <w:pPr>
              <w:keepNext/>
              <w:keepLines/>
              <w:spacing w:before="240" w:after="200"/>
              <w:ind w:left="547" w:right="-19" w:hanging="547"/>
              <w:outlineLvl w:val="4"/>
            </w:pPr>
            <w:r w:rsidRPr="00576AF8">
              <w:t>32.7</w:t>
            </w:r>
            <w:r w:rsidRPr="00576AF8">
              <w:tab/>
              <w:t xml:space="preserve">Dicha </w:t>
            </w:r>
            <w:r w:rsidR="00EA03EE" w:rsidRPr="00576AF8">
              <w:t>indemnización</w:t>
            </w:r>
            <w:r w:rsidR="00BC72E3" w:rsidRPr="00576AF8">
              <w:t xml:space="preserve"> </w:t>
            </w:r>
            <w:r w:rsidRPr="00576AF8">
              <w:t>tampoco procederá:</w:t>
            </w:r>
          </w:p>
          <w:p w14:paraId="6AD74A41" w14:textId="77777777" w:rsidR="00A20832" w:rsidRPr="00576AF8" w:rsidRDefault="001A7CD7" w:rsidP="00157A4B">
            <w:pPr>
              <w:keepNext/>
              <w:keepLines/>
              <w:spacing w:before="240" w:after="200"/>
              <w:ind w:left="1094" w:right="-19" w:hanging="547"/>
              <w:outlineLvl w:val="4"/>
            </w:pPr>
            <w:r w:rsidRPr="00576AF8">
              <w:t>(</w:t>
            </w:r>
            <w:r w:rsidR="00A20832" w:rsidRPr="00576AF8">
              <w:t>a)</w:t>
            </w:r>
            <w:r w:rsidR="00A20832" w:rsidRPr="00576AF8">
              <w:tab/>
              <w:t>si l</w:t>
            </w:r>
            <w:r w:rsidR="00485749" w:rsidRPr="00576AF8">
              <w:t>a</w:t>
            </w:r>
            <w:r w:rsidR="00A20832" w:rsidRPr="00576AF8">
              <w:t xml:space="preserve"> reclam</w:t>
            </w:r>
            <w:r w:rsidR="00485749" w:rsidRPr="00576AF8">
              <w:t>ación</w:t>
            </w:r>
            <w:r w:rsidR="00A20832" w:rsidRPr="00576AF8">
              <w:t xml:space="preserve"> por infracción es presentad</w:t>
            </w:r>
            <w:r w:rsidR="00485749" w:rsidRPr="00576AF8">
              <w:t>a</w:t>
            </w:r>
            <w:r w:rsidR="00A20832" w:rsidRPr="00576AF8">
              <w:t xml:space="preserve"> por la empresa matriz, una subsidiaria o una filial de la organización del </w:t>
            </w:r>
            <w:r w:rsidR="00DA3F9D" w:rsidRPr="00576AF8">
              <w:t>Proveedor</w:t>
            </w:r>
            <w:r w:rsidR="00A20832" w:rsidRPr="00576AF8">
              <w:t>;</w:t>
            </w:r>
          </w:p>
          <w:p w14:paraId="60488B0F" w14:textId="77777777" w:rsidR="00A20832" w:rsidRPr="00576AF8" w:rsidRDefault="001A7CD7" w:rsidP="00157A4B">
            <w:pPr>
              <w:keepNext/>
              <w:keepLines/>
              <w:spacing w:before="240" w:after="200"/>
              <w:ind w:left="1094" w:right="-19" w:hanging="547"/>
              <w:outlineLvl w:val="4"/>
            </w:pPr>
            <w:r w:rsidRPr="00576AF8">
              <w:t>(</w:t>
            </w:r>
            <w:r w:rsidR="00A20832" w:rsidRPr="00576AF8">
              <w:t>b)</w:t>
            </w:r>
            <w:r w:rsidR="00A20832" w:rsidRPr="00576AF8">
              <w:tab/>
              <w:t>si l</w:t>
            </w:r>
            <w:r w:rsidR="00485749" w:rsidRPr="00576AF8">
              <w:t>a</w:t>
            </w:r>
            <w:r w:rsidR="00A20832" w:rsidRPr="00576AF8">
              <w:t xml:space="preserve"> reclam</w:t>
            </w:r>
            <w:r w:rsidR="00485749" w:rsidRPr="00576AF8">
              <w:t>ación</w:t>
            </w:r>
            <w:r w:rsidR="00A20832" w:rsidRPr="00576AF8">
              <w:t xml:space="preserve"> por infracción es producto de la modificación, por parte del Proveedor o de personas contratadas por este, del diseño, dato, plano, especificación u otros documentos o materiales suministrados al Proveedor por el Comprador o por personas contratadas por este. </w:t>
            </w:r>
          </w:p>
          <w:p w14:paraId="5A0BAA92" w14:textId="77777777" w:rsidR="00A20832" w:rsidRPr="00576AF8" w:rsidRDefault="00A20832" w:rsidP="00157A4B">
            <w:pPr>
              <w:keepNext/>
              <w:keepLines/>
              <w:spacing w:before="240" w:after="200"/>
              <w:ind w:left="547" w:right="-19" w:hanging="547"/>
              <w:outlineLvl w:val="4"/>
            </w:pPr>
            <w:r w:rsidRPr="00576AF8">
              <w:t>32.8</w:t>
            </w:r>
            <w:r w:rsidRPr="00576AF8">
              <w:tab/>
            </w:r>
            <w:r w:rsidRPr="00576AF8">
              <w:rPr>
                <w:spacing w:val="-2"/>
              </w:rPr>
              <w:t>Si se entablara un proceso legal o una demanda contra el Proveedor derivada de</w:t>
            </w:r>
            <w:r w:rsidR="00DA3F9D" w:rsidRPr="00576AF8">
              <w:rPr>
                <w:spacing w:val="-2"/>
              </w:rPr>
              <w:t xml:space="preserve"> alguno de los</w:t>
            </w:r>
            <w:r w:rsidRPr="00576AF8">
              <w:rPr>
                <w:spacing w:val="-2"/>
              </w:rPr>
              <w:t xml:space="preserve"> caso</w:t>
            </w:r>
            <w:r w:rsidR="00DA3F9D" w:rsidRPr="00576AF8">
              <w:rPr>
                <w:spacing w:val="-2"/>
              </w:rPr>
              <w:t>s</w:t>
            </w:r>
            <w:r w:rsidRPr="00576AF8">
              <w:rPr>
                <w:spacing w:val="-2"/>
              </w:rPr>
              <w:t xml:space="preserve"> a los que se refiere la cláusula 32.5 de las CGC, el Proveedor notificará de inmediato al Comprador y este, por su propia cuenta y en nombre del Proveedor, </w:t>
            </w:r>
            <w:r w:rsidR="00DA3F9D" w:rsidRPr="00576AF8">
              <w:rPr>
                <w:spacing w:val="-2"/>
              </w:rPr>
              <w:t xml:space="preserve">impulsará </w:t>
            </w:r>
            <w:r w:rsidRPr="00576AF8">
              <w:rPr>
                <w:spacing w:val="-2"/>
              </w:rPr>
              <w:t xml:space="preserve">dicho proceso o demanda, y realizará las negociaciones necesarias para llegar a un acuerdo </w:t>
            </w:r>
            <w:r w:rsidR="00DA3F9D" w:rsidRPr="00576AF8">
              <w:rPr>
                <w:spacing w:val="-2"/>
              </w:rPr>
              <w:t xml:space="preserve">al </w:t>
            </w:r>
            <w:r w:rsidRPr="00576AF8">
              <w:rPr>
                <w:spacing w:val="-2"/>
              </w:rPr>
              <w:t xml:space="preserve">respecto. Si dentro de los 28 (veintiocho) días posteriores al recibo de dicha comunicación el Comprador no notifica al Proveedor que tiene la intención de </w:t>
            </w:r>
            <w:r w:rsidR="00DA3F9D" w:rsidRPr="00576AF8">
              <w:rPr>
                <w:spacing w:val="-2"/>
              </w:rPr>
              <w:t xml:space="preserve">llevar adelante </w:t>
            </w:r>
            <w:r w:rsidRPr="00576AF8">
              <w:rPr>
                <w:spacing w:val="-2"/>
              </w:rPr>
              <w:t xml:space="preserve">tales procesos o </w:t>
            </w:r>
            <w:r w:rsidR="00DA3F9D" w:rsidRPr="00576AF8">
              <w:rPr>
                <w:spacing w:val="-2"/>
              </w:rPr>
              <w:t>demandas</w:t>
            </w:r>
            <w:r w:rsidRPr="00576AF8">
              <w:rPr>
                <w:spacing w:val="-2"/>
              </w:rPr>
              <w:t xml:space="preserve">, el Proveedor tendrá derecho a </w:t>
            </w:r>
            <w:r w:rsidR="00DA3F9D" w:rsidRPr="00576AF8">
              <w:rPr>
                <w:spacing w:val="-2"/>
              </w:rPr>
              <w:t xml:space="preserve">impulsarlas </w:t>
            </w:r>
            <w:r w:rsidRPr="00576AF8">
              <w:rPr>
                <w:spacing w:val="-2"/>
              </w:rPr>
              <w:t xml:space="preserve">en su propio nombre. A menos que el Comprador no haya notificado al Proveedor </w:t>
            </w:r>
            <w:r w:rsidR="00264F1A" w:rsidRPr="00576AF8">
              <w:rPr>
                <w:spacing w:val="-2"/>
              </w:rPr>
              <w:t xml:space="preserve">dentro de ese </w:t>
            </w:r>
            <w:r w:rsidRPr="00576AF8">
              <w:rPr>
                <w:spacing w:val="-2"/>
              </w:rPr>
              <w:t xml:space="preserve">plazo, el Proveedor no hará ninguna declaración que pueda ser perjudicial para la defensa en tales </w:t>
            </w:r>
            <w:r w:rsidR="00264F1A" w:rsidRPr="00576AF8">
              <w:rPr>
                <w:spacing w:val="-2"/>
              </w:rPr>
              <w:t xml:space="preserve">procesos </w:t>
            </w:r>
            <w:r w:rsidRPr="00576AF8">
              <w:rPr>
                <w:spacing w:val="-2"/>
              </w:rPr>
              <w:t xml:space="preserve">o demandas. El Proveedor se compromete, a solicitud del Comprador, a prestarle toda la asistencia posible para que el Comprador pueda llevar adelante tales </w:t>
            </w:r>
            <w:r w:rsidR="00264F1A" w:rsidRPr="00576AF8">
              <w:rPr>
                <w:spacing w:val="-2"/>
              </w:rPr>
              <w:t xml:space="preserve">procesos </w:t>
            </w:r>
            <w:r w:rsidRPr="00576AF8">
              <w:rPr>
                <w:spacing w:val="-2"/>
              </w:rPr>
              <w:t>o demanda</w:t>
            </w:r>
            <w:r w:rsidR="00DA3F9D" w:rsidRPr="00576AF8">
              <w:rPr>
                <w:spacing w:val="-2"/>
              </w:rPr>
              <w:t>s</w:t>
            </w:r>
            <w:r w:rsidRPr="00576AF8">
              <w:rPr>
                <w:spacing w:val="-2"/>
              </w:rPr>
              <w:t>. Los gastos razonables en que incurra a tal efecto le serán reembolsados por el Comprador.</w:t>
            </w:r>
          </w:p>
        </w:tc>
      </w:tr>
      <w:tr w:rsidR="00A20832" w:rsidRPr="00576AF8" w14:paraId="3D9EAF26" w14:textId="77777777" w:rsidTr="00157A4B">
        <w:trPr>
          <w:trHeight w:val="720"/>
        </w:trPr>
        <w:tc>
          <w:tcPr>
            <w:tcW w:w="2552" w:type="dxa"/>
          </w:tcPr>
          <w:p w14:paraId="44B0AE4C" w14:textId="77777777" w:rsidR="00A20832" w:rsidRPr="00576AF8" w:rsidRDefault="00A20832" w:rsidP="00A35BE3">
            <w:pPr>
              <w:pStyle w:val="Head62"/>
              <w:jc w:val="both"/>
            </w:pPr>
            <w:bookmarkStart w:id="1578" w:name="_Toc277233355"/>
            <w:bookmarkStart w:id="1579" w:name="_Toc488959054"/>
            <w:r w:rsidRPr="00576AF8">
              <w:lastRenderedPageBreak/>
              <w:t>33.</w:t>
            </w:r>
            <w:r w:rsidRPr="00576AF8">
              <w:tab/>
              <w:t>Limitación de responsabilidad</w:t>
            </w:r>
            <w:bookmarkEnd w:id="1578"/>
            <w:bookmarkEnd w:id="1579"/>
          </w:p>
        </w:tc>
        <w:tc>
          <w:tcPr>
            <w:tcW w:w="6804" w:type="dxa"/>
          </w:tcPr>
          <w:p w14:paraId="491B7685" w14:textId="77777777" w:rsidR="00A20832" w:rsidRPr="00576AF8" w:rsidRDefault="00A20832" w:rsidP="00157A4B">
            <w:pPr>
              <w:keepNext/>
              <w:keepLines/>
              <w:spacing w:before="240" w:after="200"/>
              <w:ind w:left="540" w:right="-19" w:hanging="547"/>
              <w:outlineLvl w:val="4"/>
            </w:pPr>
            <w:r w:rsidRPr="00576AF8">
              <w:t>33.1</w:t>
            </w:r>
            <w:r w:rsidRPr="00576AF8">
              <w:tab/>
              <w:t>Siempre y cuando l</w:t>
            </w:r>
            <w:r w:rsidR="00264F1A" w:rsidRPr="00576AF8">
              <w:t>as</w:t>
            </w:r>
            <w:r w:rsidRPr="00576AF8">
              <w:t xml:space="preserve"> </w:t>
            </w:r>
            <w:proofErr w:type="gramStart"/>
            <w:r w:rsidRPr="00576AF8">
              <w:t>siguiente disposiciones</w:t>
            </w:r>
            <w:proofErr w:type="gramEnd"/>
            <w:r w:rsidRPr="00576AF8">
              <w:t xml:space="preserve"> no excluya</w:t>
            </w:r>
            <w:r w:rsidR="00264F1A" w:rsidRPr="00576AF8">
              <w:t>n</w:t>
            </w:r>
            <w:r w:rsidRPr="00576AF8">
              <w:t xml:space="preserve"> ni limite</w:t>
            </w:r>
            <w:r w:rsidR="00264F1A" w:rsidRPr="00576AF8">
              <w:t>n</w:t>
            </w:r>
            <w:r w:rsidRPr="00576AF8">
              <w:t xml:space="preserve"> las responsabilidades de las partes de formas no permitidas por la ley aplicable:</w:t>
            </w:r>
          </w:p>
        </w:tc>
      </w:tr>
      <w:tr w:rsidR="00A20832" w:rsidRPr="00576AF8" w14:paraId="781901A1" w14:textId="77777777" w:rsidTr="00157A4B">
        <w:trPr>
          <w:trHeight w:val="720"/>
        </w:trPr>
        <w:tc>
          <w:tcPr>
            <w:tcW w:w="2552" w:type="dxa"/>
          </w:tcPr>
          <w:p w14:paraId="0BB20EB0" w14:textId="77777777" w:rsidR="00A20832" w:rsidRPr="00576AF8" w:rsidRDefault="00A20832" w:rsidP="00A35BE3">
            <w:pPr>
              <w:spacing w:after="0"/>
              <w:jc w:val="left"/>
            </w:pPr>
          </w:p>
        </w:tc>
        <w:tc>
          <w:tcPr>
            <w:tcW w:w="6804" w:type="dxa"/>
          </w:tcPr>
          <w:p w14:paraId="48EA2D29" w14:textId="77777777" w:rsidR="00A20832" w:rsidRPr="00576AF8" w:rsidRDefault="001A7CD7" w:rsidP="00157A4B">
            <w:pPr>
              <w:keepNext/>
              <w:keepLines/>
              <w:spacing w:before="240" w:after="200"/>
              <w:ind w:left="1080" w:right="-19" w:hanging="547"/>
              <w:outlineLvl w:val="4"/>
            </w:pPr>
            <w:r w:rsidRPr="00576AF8">
              <w:t>(</w:t>
            </w:r>
            <w:r w:rsidR="00A20832" w:rsidRPr="00576AF8">
              <w:t>a)</w:t>
            </w:r>
            <w:r w:rsidR="00A20832" w:rsidRPr="00576AF8">
              <w:tab/>
              <w:t xml:space="preserve">el Proveedor no tendrá ninguna responsabilidad contractual, </w:t>
            </w:r>
            <w:r w:rsidR="00264F1A" w:rsidRPr="00576AF8">
              <w:t xml:space="preserve">extracontractual </w:t>
            </w:r>
            <w:r w:rsidR="00A20832" w:rsidRPr="00576AF8">
              <w:t xml:space="preserve">o de otra índole frente al Comprador por pérdidas o daños indirectos o eventuales, pérdidas de utilización, pérdidas de producción, </w:t>
            </w:r>
            <w:r w:rsidR="00F93E2C" w:rsidRPr="00576AF8">
              <w:t xml:space="preserve">lucro cesante </w:t>
            </w:r>
            <w:r w:rsidR="00A20832" w:rsidRPr="00576AF8">
              <w:t xml:space="preserve">o por costo de intereses; esta exclusión no se aplicará a ninguna de las obligaciones del Proveedor de pagar al Comprador </w:t>
            </w:r>
            <w:r w:rsidR="00264F1A" w:rsidRPr="00576AF8">
              <w:t xml:space="preserve">la indemnización por </w:t>
            </w:r>
            <w:r w:rsidR="00A20832" w:rsidRPr="00576AF8">
              <w:t>daños y perjuicios previst</w:t>
            </w:r>
            <w:r w:rsidR="00264F1A" w:rsidRPr="00576AF8">
              <w:t>a</w:t>
            </w:r>
            <w:r w:rsidR="00A20832" w:rsidRPr="00576AF8">
              <w:t xml:space="preserve"> en el Contrato;</w:t>
            </w:r>
          </w:p>
          <w:p w14:paraId="5AD352B6" w14:textId="77777777" w:rsidR="00A20832" w:rsidRPr="00576AF8" w:rsidRDefault="001A7CD7" w:rsidP="00157A4B">
            <w:pPr>
              <w:keepNext/>
              <w:keepLines/>
              <w:spacing w:before="240" w:after="200"/>
              <w:ind w:left="1080" w:right="-19" w:hanging="547"/>
              <w:outlineLvl w:val="4"/>
            </w:pPr>
            <w:r w:rsidRPr="00576AF8">
              <w:t>(</w:t>
            </w:r>
            <w:r w:rsidR="00A20832" w:rsidRPr="00576AF8">
              <w:t>b)</w:t>
            </w:r>
            <w:r w:rsidR="00A20832" w:rsidRPr="00576AF8">
              <w:tab/>
            </w:r>
            <w:r w:rsidR="00A20832" w:rsidRPr="00576AF8">
              <w:rPr>
                <w:spacing w:val="-4"/>
              </w:rPr>
              <w:t xml:space="preserve">la responsabilidad total del Proveedor frente al Comprador, ya sea contractual, </w:t>
            </w:r>
            <w:r w:rsidR="00264F1A" w:rsidRPr="00576AF8">
              <w:rPr>
                <w:spacing w:val="-4"/>
              </w:rPr>
              <w:t xml:space="preserve">extracontractual </w:t>
            </w:r>
            <w:r w:rsidR="00A20832" w:rsidRPr="00576AF8">
              <w:rPr>
                <w:spacing w:val="-4"/>
              </w:rPr>
              <w:t>o de otra índole, no podrá exceder el precio del Contrato; tal limitación de responsabilidad no se aplicará a ninguna obligación del Proveedor de eximir de responsabilidad al Comprador por la violación de derechos de propiedad intelectual.</w:t>
            </w:r>
          </w:p>
        </w:tc>
      </w:tr>
    </w:tbl>
    <w:p w14:paraId="726084CE" w14:textId="77777777" w:rsidR="00A20832" w:rsidRPr="00576AF8" w:rsidRDefault="00A20832" w:rsidP="00EA50A5">
      <w:pPr>
        <w:suppressAutoHyphens w:val="0"/>
        <w:spacing w:after="0"/>
        <w:jc w:val="left"/>
        <w:rPr>
          <w:sz w:val="22"/>
        </w:rPr>
      </w:pPr>
    </w:p>
    <w:p w14:paraId="7BD3D4D5" w14:textId="77777777" w:rsidR="00A20832" w:rsidRPr="00576AF8" w:rsidRDefault="00A20832" w:rsidP="00A20832">
      <w:pPr>
        <w:pStyle w:val="Head61"/>
        <w:rPr>
          <w:rFonts w:ascii="Times New Roman" w:hAnsi="Times New Roman"/>
        </w:rPr>
      </w:pPr>
      <w:bookmarkStart w:id="1580" w:name="_Toc277233356"/>
      <w:bookmarkStart w:id="1581" w:name="_Toc488959055"/>
      <w:r w:rsidRPr="00576AF8">
        <w:rPr>
          <w:rFonts w:ascii="Times New Roman" w:hAnsi="Times New Roman"/>
        </w:rPr>
        <w:t>G.</w:t>
      </w:r>
      <w:r w:rsidR="001A7CD7" w:rsidRPr="00576AF8">
        <w:rPr>
          <w:rFonts w:ascii="Times New Roman" w:hAnsi="Times New Roman"/>
        </w:rPr>
        <w:t xml:space="preserve">  </w:t>
      </w:r>
      <w:r w:rsidRPr="00576AF8">
        <w:rPr>
          <w:rFonts w:ascii="Times New Roman" w:hAnsi="Times New Roman"/>
        </w:rPr>
        <w:t>Distribución de los riesgos</w:t>
      </w:r>
      <w:bookmarkEnd w:id="1580"/>
      <w:bookmarkEnd w:id="1581"/>
    </w:p>
    <w:tbl>
      <w:tblPr>
        <w:tblW w:w="0" w:type="auto"/>
        <w:tblLayout w:type="fixed"/>
        <w:tblLook w:val="0000" w:firstRow="0" w:lastRow="0" w:firstColumn="0" w:lastColumn="0" w:noHBand="0" w:noVBand="0"/>
      </w:tblPr>
      <w:tblGrid>
        <w:gridCol w:w="2520"/>
        <w:gridCol w:w="6836"/>
      </w:tblGrid>
      <w:tr w:rsidR="00A20832" w:rsidRPr="00576AF8" w14:paraId="64DEF96C" w14:textId="77777777" w:rsidTr="001A7CD7">
        <w:tc>
          <w:tcPr>
            <w:tcW w:w="2520" w:type="dxa"/>
          </w:tcPr>
          <w:p w14:paraId="0898F548" w14:textId="77777777" w:rsidR="00A20832" w:rsidRPr="00576AF8" w:rsidRDefault="00A20832" w:rsidP="00A35BE3">
            <w:pPr>
              <w:pStyle w:val="Head62"/>
            </w:pPr>
            <w:bookmarkStart w:id="1582" w:name="_Toc277233357"/>
            <w:bookmarkStart w:id="1583" w:name="_Toc488959056"/>
            <w:r w:rsidRPr="00576AF8">
              <w:t>34.</w:t>
            </w:r>
            <w:r w:rsidRPr="00576AF8">
              <w:tab/>
              <w:t>Traspaso de la propiedad</w:t>
            </w:r>
            <w:bookmarkEnd w:id="1582"/>
            <w:bookmarkEnd w:id="1583"/>
          </w:p>
        </w:tc>
        <w:tc>
          <w:tcPr>
            <w:tcW w:w="6836" w:type="dxa"/>
          </w:tcPr>
          <w:p w14:paraId="6F066F0B" w14:textId="77777777" w:rsidR="00A20832" w:rsidRPr="00576AF8" w:rsidRDefault="00A20832" w:rsidP="002638F4">
            <w:pPr>
              <w:keepNext/>
              <w:keepLines/>
              <w:spacing w:before="240" w:after="200"/>
              <w:ind w:left="540" w:right="-33" w:hanging="540"/>
              <w:outlineLvl w:val="4"/>
            </w:pPr>
            <w:r w:rsidRPr="00576AF8">
              <w:t>34.1</w:t>
            </w:r>
            <w:r w:rsidRPr="00576AF8">
              <w:tab/>
              <w:t xml:space="preserve">Con la excepción del software y </w:t>
            </w:r>
            <w:r w:rsidR="00EA50A5" w:rsidRPr="00576AF8">
              <w:t xml:space="preserve">de </w:t>
            </w:r>
            <w:r w:rsidRPr="00576AF8">
              <w:t xml:space="preserve">los materiales, la propiedad de las tecnologías de la información y de los otros bienes </w:t>
            </w:r>
            <w:r w:rsidR="001A7CD7" w:rsidRPr="00576AF8">
              <w:br/>
            </w:r>
            <w:r w:rsidRPr="00576AF8">
              <w:t xml:space="preserve">se transferirá al Comprador en el momento de la entrega o </w:t>
            </w:r>
            <w:r w:rsidR="001A7CD7" w:rsidRPr="00576AF8">
              <w:br/>
            </w:r>
            <w:r w:rsidRPr="00576AF8">
              <w:t xml:space="preserve">según las condiciones que se acuerden y especifiquen en el </w:t>
            </w:r>
            <w:r w:rsidR="001A7CD7" w:rsidRPr="00576AF8">
              <w:br/>
            </w:r>
            <w:r w:rsidRPr="00576AF8">
              <w:t xml:space="preserve">Convenio Contractual. </w:t>
            </w:r>
          </w:p>
        </w:tc>
      </w:tr>
      <w:tr w:rsidR="00A20832" w:rsidRPr="00576AF8" w14:paraId="52FC6CD9" w14:textId="77777777" w:rsidTr="001A7CD7">
        <w:tc>
          <w:tcPr>
            <w:tcW w:w="2520" w:type="dxa"/>
          </w:tcPr>
          <w:p w14:paraId="59138AF6" w14:textId="77777777" w:rsidR="00A20832" w:rsidRPr="00576AF8" w:rsidRDefault="00A20832" w:rsidP="00A35BE3">
            <w:pPr>
              <w:keepLines/>
              <w:spacing w:after="0"/>
              <w:jc w:val="left"/>
            </w:pPr>
          </w:p>
        </w:tc>
        <w:tc>
          <w:tcPr>
            <w:tcW w:w="6836" w:type="dxa"/>
          </w:tcPr>
          <w:p w14:paraId="5DC6DA54" w14:textId="77777777" w:rsidR="00A20832" w:rsidRPr="00576AF8" w:rsidRDefault="00A20832" w:rsidP="002638F4">
            <w:pPr>
              <w:keepNext/>
              <w:keepLines/>
              <w:spacing w:before="240" w:after="200"/>
              <w:ind w:left="547" w:right="-33" w:hanging="547"/>
              <w:outlineLvl w:val="4"/>
            </w:pPr>
            <w:r w:rsidRPr="00576AF8">
              <w:t>34.2</w:t>
            </w:r>
            <w:r w:rsidRPr="00576AF8">
              <w:tab/>
              <w:t xml:space="preserve">La propiedad y los términos de uso del software y de los materiales provistos en virtud del Contrato se regirán por la cláusula 15 de las CGC (“Derechos de autor”) y las disposiciones que figuren en los requisitos técnicos. </w:t>
            </w:r>
          </w:p>
          <w:p w14:paraId="30B2B5FD" w14:textId="77777777" w:rsidR="00A20832" w:rsidRPr="00576AF8" w:rsidRDefault="00A20832" w:rsidP="002638F4">
            <w:pPr>
              <w:keepNext/>
              <w:keepLines/>
              <w:spacing w:before="240" w:after="200"/>
              <w:ind w:left="547" w:right="-33" w:hanging="547"/>
              <w:outlineLvl w:val="4"/>
            </w:pPr>
            <w:r w:rsidRPr="00576AF8">
              <w:t>34.3</w:t>
            </w:r>
            <w:r w:rsidRPr="00576AF8">
              <w:tab/>
              <w:t xml:space="preserve">La propiedad de los equipos del Proveedor utilizados por este y por sus subcontratistas en relación con el Contrato seguirá correspondiendo al Proveedor o </w:t>
            </w:r>
            <w:r w:rsidR="00EA50A5" w:rsidRPr="00576AF8">
              <w:t xml:space="preserve">a </w:t>
            </w:r>
            <w:r w:rsidRPr="00576AF8">
              <w:t>sus subcontratistas</w:t>
            </w:r>
          </w:p>
        </w:tc>
      </w:tr>
      <w:tr w:rsidR="00A20832" w:rsidRPr="00576AF8" w14:paraId="77995AC4" w14:textId="77777777" w:rsidTr="001A7CD7">
        <w:tc>
          <w:tcPr>
            <w:tcW w:w="2520" w:type="dxa"/>
          </w:tcPr>
          <w:p w14:paraId="38E894AD" w14:textId="77777777" w:rsidR="00A20832" w:rsidRPr="00576AF8" w:rsidRDefault="00A20832" w:rsidP="00A35BE3">
            <w:pPr>
              <w:pStyle w:val="Head62"/>
            </w:pPr>
            <w:bookmarkStart w:id="1584" w:name="_Toc277233358"/>
            <w:bookmarkStart w:id="1585" w:name="_Toc488959057"/>
            <w:r w:rsidRPr="00576AF8">
              <w:lastRenderedPageBreak/>
              <w:t>35.</w:t>
            </w:r>
            <w:r w:rsidRPr="00576AF8">
              <w:tab/>
              <w:t>Cuidado del Sistema</w:t>
            </w:r>
            <w:bookmarkEnd w:id="1584"/>
            <w:bookmarkEnd w:id="1585"/>
          </w:p>
        </w:tc>
        <w:tc>
          <w:tcPr>
            <w:tcW w:w="6836" w:type="dxa"/>
          </w:tcPr>
          <w:p w14:paraId="4D9C9480" w14:textId="77777777" w:rsidR="00A20832" w:rsidRPr="00576AF8" w:rsidRDefault="00A20832" w:rsidP="002638F4">
            <w:pPr>
              <w:keepNext/>
              <w:keepLines/>
              <w:spacing w:before="240" w:after="200"/>
              <w:ind w:left="540" w:right="-33" w:hanging="540"/>
              <w:outlineLvl w:val="4"/>
            </w:pPr>
            <w:r w:rsidRPr="00576AF8">
              <w:t>35.1</w:t>
            </w:r>
            <w:r w:rsidRPr="00576AF8">
              <w:tab/>
              <w:t xml:space="preserve">El Comprador se hará responsable del cuidado y </w:t>
            </w:r>
            <w:r w:rsidR="00EA50A5" w:rsidRPr="00576AF8">
              <w:t xml:space="preserve">de </w:t>
            </w:r>
            <w:r w:rsidRPr="00576AF8">
              <w:t xml:space="preserve">la custodia del Sistema o </w:t>
            </w:r>
            <w:r w:rsidR="00EA50A5" w:rsidRPr="00576AF8">
              <w:t xml:space="preserve">de </w:t>
            </w:r>
            <w:r w:rsidRPr="00576AF8">
              <w:t xml:space="preserve">los Subsistemas a partir del momento en que le sean entregados. El Comprador reparará a su propia costa toda pérdida o daño por cualquier causa que puedan sufrir el Sistema o los Subsistemas desde la fecha de entrega hasta la fecha de la aceptación operativa del Sistema o </w:t>
            </w:r>
            <w:r w:rsidR="00EA50A5" w:rsidRPr="00576AF8">
              <w:t xml:space="preserve">de </w:t>
            </w:r>
            <w:r w:rsidRPr="00576AF8">
              <w:t xml:space="preserve">los Subsistemas, conforme a la cláusula 27 de las CGC (“Puesta en servicio y aceptación operativa”), salvo que esas pérdidas o daños hayan sido provocados por actos u omisiones del Proveedor, sus empleados o subcontratistas. </w:t>
            </w:r>
          </w:p>
          <w:p w14:paraId="0AF9E2AC" w14:textId="77777777" w:rsidR="00A20832" w:rsidRPr="00576AF8" w:rsidRDefault="00A20832" w:rsidP="002638F4">
            <w:pPr>
              <w:keepNext/>
              <w:keepLines/>
              <w:tabs>
                <w:tab w:val="left" w:pos="540"/>
              </w:tabs>
              <w:spacing w:before="240" w:after="200"/>
              <w:ind w:left="540" w:right="-33" w:hanging="540"/>
              <w:outlineLvl w:val="4"/>
            </w:pPr>
            <w:r w:rsidRPr="00576AF8">
              <w:t>35.2</w:t>
            </w:r>
            <w:r w:rsidRPr="00576AF8">
              <w:tab/>
              <w:t>Si el Sistema o alguna de sus partes sufren pérdidas o daños atribuibles a las siguientes causas:</w:t>
            </w:r>
          </w:p>
          <w:p w14:paraId="2F7990BD" w14:textId="77777777" w:rsidR="00A20832" w:rsidRPr="00576AF8" w:rsidRDefault="001A7CD7" w:rsidP="002638F4">
            <w:pPr>
              <w:keepNext/>
              <w:keepLines/>
              <w:spacing w:before="240" w:after="200"/>
              <w:ind w:left="1061" w:right="-33" w:hanging="521"/>
              <w:outlineLvl w:val="4"/>
            </w:pPr>
            <w:r w:rsidRPr="00576AF8">
              <w:t>(</w:t>
            </w:r>
            <w:r w:rsidR="00A20832" w:rsidRPr="00576AF8">
              <w:t>a)</w:t>
            </w:r>
            <w:r w:rsidRPr="00576AF8">
              <w:tab/>
            </w:r>
            <w:r w:rsidR="00A20832" w:rsidRPr="00576AF8">
              <w:t>(en la medida en que se refieran al país donde se encuentra el sitio del Proyecto) reacción nuclear, radiación nuclear, contaminación radiactiva, ondas de choque causadas por aeronaves u otros artefactos aéreos, u otros hechos que un contratista experimentado no podría prever en forma razonable o contra los cuales, si fueran razonablemente previsibles, no podría precaverse ni asegurarse</w:t>
            </w:r>
            <w:r w:rsidR="00EA50A5" w:rsidRPr="00576AF8">
              <w:t xml:space="preserve"> de manera razonable</w:t>
            </w:r>
            <w:r w:rsidR="00A20832" w:rsidRPr="00576AF8">
              <w:t>, por cuanto tales riesgos no son</w:t>
            </w:r>
            <w:r w:rsidR="00EA50A5" w:rsidRPr="00576AF8">
              <w:t>,</w:t>
            </w:r>
            <w:r w:rsidR="00A20832" w:rsidRPr="00576AF8">
              <w:t xml:space="preserve"> por lo general</w:t>
            </w:r>
            <w:r w:rsidR="00EA50A5" w:rsidRPr="00576AF8">
              <w:t>,</w:t>
            </w:r>
            <w:r w:rsidR="00A20832" w:rsidRPr="00576AF8">
              <w:t xml:space="preserve"> asegurables en el mercado de seguros y se mencionan en las exclusiones generales de la póliza de seguros obtenida conforme a la cláusula 37 de estas CGC;</w:t>
            </w:r>
          </w:p>
          <w:p w14:paraId="65B27B99" w14:textId="77777777" w:rsidR="00A20832" w:rsidRPr="00576AF8" w:rsidRDefault="001A7CD7" w:rsidP="002638F4">
            <w:pPr>
              <w:keepNext/>
              <w:keepLines/>
              <w:spacing w:before="240" w:after="200"/>
              <w:ind w:left="1061" w:right="-33" w:hanging="521"/>
              <w:outlineLvl w:val="4"/>
            </w:pPr>
            <w:r w:rsidRPr="00576AF8">
              <w:t>(</w:t>
            </w:r>
            <w:r w:rsidR="00A20832" w:rsidRPr="00576AF8">
              <w:t>b)</w:t>
            </w:r>
            <w:r w:rsidRPr="00576AF8">
              <w:tab/>
            </w:r>
            <w:r w:rsidR="00A20832" w:rsidRPr="00576AF8">
              <w:t xml:space="preserve">todo uso distinto del establecido en el Contrato, por parte del Comprador o de un tercero; </w:t>
            </w:r>
          </w:p>
          <w:p w14:paraId="0B3C8DBA" w14:textId="77777777" w:rsidR="00A20832" w:rsidRPr="00576AF8" w:rsidRDefault="001A7CD7" w:rsidP="002638F4">
            <w:pPr>
              <w:spacing w:after="200"/>
              <w:ind w:left="1061" w:right="-33" w:hanging="521"/>
              <w:rPr>
                <w:spacing w:val="-3"/>
              </w:rPr>
            </w:pPr>
            <w:r w:rsidRPr="00576AF8">
              <w:rPr>
                <w:spacing w:val="-3"/>
              </w:rPr>
              <w:t>(</w:t>
            </w:r>
            <w:r w:rsidR="00A20832" w:rsidRPr="00576AF8">
              <w:rPr>
                <w:spacing w:val="-3"/>
              </w:rPr>
              <w:t>c)</w:t>
            </w:r>
            <w:r w:rsidRPr="00576AF8">
              <w:rPr>
                <w:spacing w:val="-3"/>
              </w:rPr>
              <w:tab/>
            </w:r>
            <w:r w:rsidR="00A20832" w:rsidRPr="00576AF8">
              <w:rPr>
                <w:spacing w:val="-3"/>
              </w:rPr>
              <w:t xml:space="preserve">todo uso </w:t>
            </w:r>
            <w:r w:rsidR="00EA50A5" w:rsidRPr="00576AF8">
              <w:rPr>
                <w:spacing w:val="-3"/>
              </w:rPr>
              <w:t xml:space="preserve">de </w:t>
            </w:r>
            <w:r w:rsidR="00A20832" w:rsidRPr="00576AF8">
              <w:rPr>
                <w:spacing w:val="-3"/>
              </w:rPr>
              <w:t xml:space="preserve">diseños, datos o especificaciones proporcionados o señalados por el Comprador o en su nombre, </w:t>
            </w:r>
            <w:r w:rsidR="00EA50A5" w:rsidRPr="00576AF8">
              <w:rPr>
                <w:spacing w:val="-3"/>
              </w:rPr>
              <w:t xml:space="preserve">o recurso a esos elementos, </w:t>
            </w:r>
            <w:r w:rsidR="00A20832" w:rsidRPr="00576AF8">
              <w:rPr>
                <w:spacing w:val="-3"/>
              </w:rPr>
              <w:t xml:space="preserve">o cualquier otra cuestión respecto de la cual el Proveedor </w:t>
            </w:r>
            <w:r w:rsidR="00EA50A5" w:rsidRPr="00576AF8">
              <w:rPr>
                <w:spacing w:val="-3"/>
              </w:rPr>
              <w:t xml:space="preserve">haya rehusado </w:t>
            </w:r>
            <w:r w:rsidR="00A20832" w:rsidRPr="00576AF8">
              <w:rPr>
                <w:spacing w:val="-3"/>
              </w:rPr>
              <w:t>toda responsabilidad conforme a la cláusula 21.1.2 de estas CGC,</w:t>
            </w:r>
          </w:p>
          <w:p w14:paraId="2D15D6B0" w14:textId="77777777" w:rsidR="00A20832" w:rsidRPr="00576AF8" w:rsidRDefault="00A20832" w:rsidP="002638F4">
            <w:pPr>
              <w:spacing w:after="200"/>
              <w:ind w:left="547" w:right="-33"/>
            </w:pPr>
            <w:r w:rsidRPr="00576AF8">
              <w:t xml:space="preserve">el Comprador pagará al Proveedor todas las sumas pagaderas en relación con el Sistema o los Subsistemas que hayan logrado la aceptación operativa, aunque estos hayan sufrido pérdida, destrucción o daño. Si el Comprador solicita por escrito al Proveedor que repare las pérdidas o los daños al Sistema ocasionados por las citadas causas, el Proveedor reparará tales pérdidas o daños a costa del Comprador de conformidad con la cláusula 39 de las CGC. Si el Comprador no solicita por escrito al Proveedor que repare las pérdidas o los daños al Sistema ocasionados por las citadas causas, el Comprador pedirá un cambio, de conformidad con la cláusula 39 de las CGC, por el </w:t>
            </w:r>
            <w:r w:rsidRPr="00576AF8">
              <w:lastRenderedPageBreak/>
              <w:t xml:space="preserve">cual se excluirá la ejecución de la parte del Sistema que haya sufrido pérdida, destrucción o daño por las citadas causas, o, si la pérdida o el daño afectan una parte considerable del Sistema, el Comprador </w:t>
            </w:r>
            <w:r w:rsidR="00660850" w:rsidRPr="00576AF8">
              <w:t xml:space="preserve">terminará </w:t>
            </w:r>
            <w:r w:rsidRPr="00576AF8">
              <w:t xml:space="preserve">el Contrato de conformidad con la cláusula 41.1 de estas CGC. </w:t>
            </w:r>
          </w:p>
          <w:p w14:paraId="39D9E7AB" w14:textId="77777777" w:rsidR="00A20832" w:rsidRPr="00576AF8" w:rsidRDefault="00A20832" w:rsidP="002638F4">
            <w:pPr>
              <w:keepNext/>
              <w:keepLines/>
              <w:spacing w:before="240" w:after="200"/>
              <w:ind w:left="547" w:right="-33" w:hanging="547"/>
              <w:outlineLvl w:val="4"/>
            </w:pPr>
            <w:r w:rsidRPr="00576AF8">
              <w:t>35.3</w:t>
            </w:r>
            <w:r w:rsidRPr="00576AF8">
              <w:tab/>
              <w:t xml:space="preserve">El Comprador será también responsable de toda pérdida o daño que sufran los equipos del Proveedor que </w:t>
            </w:r>
            <w:r w:rsidR="00A43D61" w:rsidRPr="00576AF8">
              <w:t xml:space="preserve">haya </w:t>
            </w:r>
            <w:r w:rsidRPr="00576AF8">
              <w:t xml:space="preserve">permitido ubicar dentro de sus instalaciones para ser utilizados en cumplimiento de las obligaciones del Proveedor establecidas en el Contrato, excepto cuando dicha pérdida o daño </w:t>
            </w:r>
            <w:proofErr w:type="gramStart"/>
            <w:r w:rsidRPr="00576AF8">
              <w:t>derivara</w:t>
            </w:r>
            <w:proofErr w:type="gramEnd"/>
            <w:r w:rsidRPr="00576AF8">
              <w:t xml:space="preserve"> de actos u omisiones del Proveedor, sus empleados o subcontratistas. </w:t>
            </w:r>
          </w:p>
        </w:tc>
      </w:tr>
      <w:tr w:rsidR="00A20832" w:rsidRPr="00576AF8" w14:paraId="7D091F21" w14:textId="77777777" w:rsidTr="001A7CD7">
        <w:trPr>
          <w:cantSplit/>
        </w:trPr>
        <w:tc>
          <w:tcPr>
            <w:tcW w:w="2520" w:type="dxa"/>
          </w:tcPr>
          <w:p w14:paraId="513C14A0" w14:textId="77777777" w:rsidR="00A20832" w:rsidRPr="00576AF8" w:rsidRDefault="00A20832" w:rsidP="00A35BE3">
            <w:pPr>
              <w:pStyle w:val="Head62"/>
            </w:pPr>
            <w:bookmarkStart w:id="1586" w:name="_Toc277233359"/>
            <w:bookmarkStart w:id="1587" w:name="_Toc488959058"/>
            <w:r w:rsidRPr="00576AF8">
              <w:lastRenderedPageBreak/>
              <w:t>36.</w:t>
            </w:r>
            <w:r w:rsidRPr="00576AF8">
              <w:tab/>
              <w:t xml:space="preserve">Pérdidas o daños materiales; lesiones o accidentes laborales; </w:t>
            </w:r>
            <w:bookmarkEnd w:id="1586"/>
            <w:r w:rsidRPr="00576AF8">
              <w:t>exenciones de responsabilidad</w:t>
            </w:r>
            <w:bookmarkEnd w:id="1587"/>
          </w:p>
        </w:tc>
        <w:tc>
          <w:tcPr>
            <w:tcW w:w="6836" w:type="dxa"/>
          </w:tcPr>
          <w:p w14:paraId="08F02F0C" w14:textId="77777777" w:rsidR="00A20832" w:rsidRPr="00576AF8" w:rsidRDefault="00A20832" w:rsidP="002638F4">
            <w:pPr>
              <w:keepNext/>
              <w:keepLines/>
              <w:spacing w:before="240" w:after="200"/>
              <w:ind w:left="547" w:right="-33" w:hanging="547"/>
              <w:outlineLvl w:val="4"/>
            </w:pPr>
            <w:r w:rsidRPr="00576AF8">
              <w:t>36.1</w:t>
            </w:r>
            <w:r w:rsidRPr="00576AF8">
              <w:tab/>
              <w:t xml:space="preserve">El Proveedor y todos y cada uno de sus subcontratistas deberán acatar las medidas de seguridad laboral, las disposiciones sobre seguros, aduanas y migraciones establecidas y las leyes vigentes en el país del Comprador. </w:t>
            </w:r>
          </w:p>
          <w:p w14:paraId="01498893" w14:textId="77777777" w:rsidR="00A20832" w:rsidRPr="00576AF8" w:rsidRDefault="00A20832" w:rsidP="002638F4">
            <w:pPr>
              <w:keepNext/>
              <w:keepLines/>
              <w:widowControl w:val="0"/>
              <w:spacing w:before="240" w:after="200"/>
              <w:ind w:left="547" w:right="-33" w:hanging="547"/>
              <w:outlineLvl w:val="4"/>
            </w:pPr>
            <w:r w:rsidRPr="00576AF8">
              <w:t>36.2</w:t>
            </w:r>
            <w:r w:rsidRPr="00576AF8">
              <w:tab/>
            </w:r>
            <w:r w:rsidRPr="00576AF8">
              <w:rPr>
                <w:spacing w:val="-2"/>
              </w:rPr>
              <w:t xml:space="preserve">Con sujeción a la cláusula 36.3 de las CGC, el Proveedor eximirá de toda responsabilidad al Comprador y a sus empleados y funcionarios </w:t>
            </w:r>
            <w:r w:rsidR="00193F16" w:rsidRPr="00576AF8">
              <w:rPr>
                <w:spacing w:val="-2"/>
              </w:rPr>
              <w:t xml:space="preserve">en caso de </w:t>
            </w:r>
            <w:r w:rsidRPr="00576AF8">
              <w:rPr>
                <w:spacing w:val="-2"/>
              </w:rPr>
              <w:t xml:space="preserve">pérdidas, obligaciones y gastos (incluidas las pérdidas, obligaciones y gastos </w:t>
            </w:r>
            <w:r w:rsidR="007903DB" w:rsidRPr="00576AF8">
              <w:rPr>
                <w:spacing w:val="-2"/>
              </w:rPr>
              <w:t xml:space="preserve">surgidos al </w:t>
            </w:r>
            <w:r w:rsidRPr="00576AF8">
              <w:rPr>
                <w:spacing w:val="-2"/>
              </w:rPr>
              <w:t>defen</w:t>
            </w:r>
            <w:r w:rsidR="007903DB" w:rsidRPr="00576AF8">
              <w:rPr>
                <w:spacing w:val="-2"/>
              </w:rPr>
              <w:t>der</w:t>
            </w:r>
            <w:r w:rsidRPr="00576AF8">
              <w:rPr>
                <w:spacing w:val="-2"/>
              </w:rPr>
              <w:t xml:space="preserve"> </w:t>
            </w:r>
            <w:r w:rsidR="007903DB" w:rsidRPr="00576AF8">
              <w:rPr>
                <w:spacing w:val="-2"/>
              </w:rPr>
              <w:t>un</w:t>
            </w:r>
            <w:r w:rsidR="00485749" w:rsidRPr="00576AF8">
              <w:rPr>
                <w:spacing w:val="-2"/>
              </w:rPr>
              <w:t>a</w:t>
            </w:r>
            <w:r w:rsidR="007903DB" w:rsidRPr="00576AF8">
              <w:rPr>
                <w:spacing w:val="-2"/>
              </w:rPr>
              <w:t xml:space="preserve"> </w:t>
            </w:r>
            <w:r w:rsidRPr="00576AF8">
              <w:rPr>
                <w:spacing w:val="-2"/>
              </w:rPr>
              <w:t>reclam</w:t>
            </w:r>
            <w:r w:rsidR="00485749" w:rsidRPr="00576AF8">
              <w:rPr>
                <w:spacing w:val="-2"/>
              </w:rPr>
              <w:t>ación</w:t>
            </w:r>
            <w:r w:rsidRPr="00576AF8">
              <w:rPr>
                <w:spacing w:val="-2"/>
              </w:rPr>
              <w:t xml:space="preserve"> en que se </w:t>
            </w:r>
            <w:r w:rsidR="007903DB" w:rsidRPr="00576AF8">
              <w:rPr>
                <w:spacing w:val="-2"/>
              </w:rPr>
              <w:t xml:space="preserve">aleguen </w:t>
            </w:r>
            <w:r w:rsidRPr="00576AF8">
              <w:rPr>
                <w:spacing w:val="-2"/>
              </w:rPr>
              <w:t xml:space="preserve">dichas responsabilidades) que el Comprador o sus empleados o funcionarios </w:t>
            </w:r>
            <w:r w:rsidR="00A43D61" w:rsidRPr="00576AF8">
              <w:rPr>
                <w:spacing w:val="-2"/>
              </w:rPr>
              <w:t xml:space="preserve">puedan </w:t>
            </w:r>
            <w:r w:rsidR="007903DB" w:rsidRPr="00576AF8">
              <w:rPr>
                <w:spacing w:val="-2"/>
              </w:rPr>
              <w:t xml:space="preserve">sufrir </w:t>
            </w:r>
            <w:r w:rsidRPr="00576AF8">
              <w:rPr>
                <w:spacing w:val="-2"/>
              </w:rPr>
              <w:t xml:space="preserve">como consecuencia de la muerte o lesión de una persona o de pérdidas o daños materiales (ajenos al Sistema, hayan sido aceptados o no) surgidos en relación con el suministro, la instalación, la prueba </w:t>
            </w:r>
            <w:r w:rsidR="006501EA" w:rsidRPr="00576AF8">
              <w:rPr>
                <w:spacing w:val="-2"/>
              </w:rPr>
              <w:br/>
            </w:r>
            <w:r w:rsidRPr="00576AF8">
              <w:rPr>
                <w:spacing w:val="-2"/>
              </w:rPr>
              <w:t>y la puesta en servicio del Sistema y por negligencia del Proveedor o de sus subcontratistas, empleados, funcionarios o agentes, excepto en el caso de lesiones, muerte o daños materiales causados por negligencia del Comprador, sus contratistas, empleados, funcionarios o agentes.</w:t>
            </w:r>
          </w:p>
        </w:tc>
      </w:tr>
      <w:tr w:rsidR="00A20832" w:rsidRPr="00576AF8" w14:paraId="5163F21A" w14:textId="77777777" w:rsidTr="001A7CD7">
        <w:tc>
          <w:tcPr>
            <w:tcW w:w="2520" w:type="dxa"/>
          </w:tcPr>
          <w:p w14:paraId="61FC29E0" w14:textId="77777777" w:rsidR="00A20832" w:rsidRPr="00576AF8" w:rsidRDefault="00A20832" w:rsidP="00A35BE3">
            <w:pPr>
              <w:spacing w:after="0"/>
              <w:jc w:val="left"/>
            </w:pPr>
          </w:p>
        </w:tc>
        <w:tc>
          <w:tcPr>
            <w:tcW w:w="6836" w:type="dxa"/>
          </w:tcPr>
          <w:p w14:paraId="21DF698B" w14:textId="77777777" w:rsidR="00A20832" w:rsidRPr="00576AF8" w:rsidRDefault="00A20832" w:rsidP="002638F4">
            <w:pPr>
              <w:keepNext/>
              <w:keepLines/>
              <w:spacing w:before="240" w:after="200"/>
              <w:ind w:left="547" w:right="-33" w:hanging="547"/>
              <w:outlineLvl w:val="4"/>
            </w:pPr>
            <w:r w:rsidRPr="00576AF8">
              <w:t>36.3</w:t>
            </w:r>
            <w:r w:rsidRPr="00576AF8">
              <w:tab/>
              <w:t>Si se entabla</w:t>
            </w:r>
            <w:r w:rsidR="00543D82" w:rsidRPr="00576AF8">
              <w:t>ra</w:t>
            </w:r>
            <w:r w:rsidRPr="00576AF8">
              <w:t xml:space="preserve"> un proceso legal o una demanda contra el Comprador en los que la responsabilidad pudiera recaer sobre el Proveedor de conformidad con la cláusula 36.2 de las CGC, el Comprador notificará </w:t>
            </w:r>
            <w:r w:rsidR="00543D82" w:rsidRPr="00576AF8">
              <w:t xml:space="preserve">de inmediato </w:t>
            </w:r>
            <w:r w:rsidRPr="00576AF8">
              <w:t xml:space="preserve">al Proveedor y este, </w:t>
            </w:r>
            <w:r w:rsidR="00543D82" w:rsidRPr="00576AF8">
              <w:t xml:space="preserve">por </w:t>
            </w:r>
            <w:r w:rsidRPr="00576AF8">
              <w:t xml:space="preserve">su propia </w:t>
            </w:r>
            <w:r w:rsidR="00543D82" w:rsidRPr="00576AF8">
              <w:t xml:space="preserve">cuenta </w:t>
            </w:r>
            <w:r w:rsidRPr="00576AF8">
              <w:t xml:space="preserve">y en nombre del Comprador, </w:t>
            </w:r>
            <w:r w:rsidR="00543D82" w:rsidRPr="00576AF8">
              <w:t xml:space="preserve">podrá impulsar </w:t>
            </w:r>
            <w:r w:rsidRPr="00576AF8">
              <w:t xml:space="preserve">dicho proceso o demanda y realizar las negociaciones necesarias para llegar a un acuerdo </w:t>
            </w:r>
            <w:r w:rsidR="00543D82" w:rsidRPr="00576AF8">
              <w:t xml:space="preserve">al </w:t>
            </w:r>
            <w:r w:rsidRPr="00576AF8">
              <w:t xml:space="preserve">respecto. Si, dentro de los 28 (veintiocho) días </w:t>
            </w:r>
            <w:r w:rsidR="00543D82" w:rsidRPr="00576AF8">
              <w:t xml:space="preserve">posteriores al </w:t>
            </w:r>
            <w:r w:rsidRPr="00576AF8">
              <w:t>recib</w:t>
            </w:r>
            <w:r w:rsidR="00543D82" w:rsidRPr="00576AF8">
              <w:t>o de</w:t>
            </w:r>
            <w:r w:rsidRPr="00576AF8">
              <w:t xml:space="preserve"> dicha notificación, </w:t>
            </w:r>
            <w:r w:rsidR="00543D82" w:rsidRPr="00576AF8">
              <w:t xml:space="preserve">el Proveedor no notifica al Comprador </w:t>
            </w:r>
            <w:r w:rsidRPr="00576AF8">
              <w:t xml:space="preserve">que tiene la intención de </w:t>
            </w:r>
            <w:r w:rsidR="00543D82" w:rsidRPr="00576AF8">
              <w:t xml:space="preserve">llevar adelante </w:t>
            </w:r>
            <w:r w:rsidRPr="00576AF8">
              <w:t xml:space="preserve">tal proceso o demanda, el Comprador tendrá </w:t>
            </w:r>
            <w:r w:rsidR="00543D82" w:rsidRPr="00576AF8">
              <w:t>derecho a impulsarlas en su propio nombre</w:t>
            </w:r>
            <w:r w:rsidRPr="00576AF8">
              <w:t xml:space="preserve">. A menos que el Proveedor no haya notificado al Comprador </w:t>
            </w:r>
            <w:r w:rsidR="00543D82" w:rsidRPr="00576AF8">
              <w:t xml:space="preserve">dentro de ese </w:t>
            </w:r>
            <w:r w:rsidRPr="00576AF8">
              <w:t>plazo, el Comprador no hará ninguna declaración que pueda ser perjudicial para la defensa en tal</w:t>
            </w:r>
            <w:r w:rsidR="00543D82" w:rsidRPr="00576AF8">
              <w:t>es</w:t>
            </w:r>
            <w:r w:rsidRPr="00576AF8">
              <w:t xml:space="preserve"> proceso</w:t>
            </w:r>
            <w:r w:rsidR="00543D82" w:rsidRPr="00576AF8">
              <w:t>s</w:t>
            </w:r>
            <w:r w:rsidRPr="00576AF8">
              <w:t xml:space="preserve"> o demanda</w:t>
            </w:r>
            <w:r w:rsidR="00543D82" w:rsidRPr="00576AF8">
              <w:t>s</w:t>
            </w:r>
            <w:r w:rsidRPr="00576AF8">
              <w:t>. El Comprador</w:t>
            </w:r>
            <w:r w:rsidR="00543D82" w:rsidRPr="00576AF8">
              <w:t xml:space="preserve"> se compromete</w:t>
            </w:r>
            <w:r w:rsidRPr="00576AF8">
              <w:t xml:space="preserve">, a solicitud del Proveedor, </w:t>
            </w:r>
            <w:r w:rsidR="00543D82" w:rsidRPr="00576AF8">
              <w:t xml:space="preserve">a prestarle </w:t>
            </w:r>
            <w:r w:rsidRPr="00576AF8">
              <w:t xml:space="preserve">toda la asistencia posible </w:t>
            </w:r>
            <w:r w:rsidR="00543D82" w:rsidRPr="00576AF8">
              <w:t xml:space="preserve">para que el Proveedor pueda llevar adelante </w:t>
            </w:r>
            <w:r w:rsidRPr="00576AF8">
              <w:t>tal</w:t>
            </w:r>
            <w:r w:rsidR="00543D82" w:rsidRPr="00576AF8">
              <w:t>es</w:t>
            </w:r>
            <w:r w:rsidRPr="00576AF8">
              <w:t xml:space="preserve"> proceso</w:t>
            </w:r>
            <w:r w:rsidR="00543D82" w:rsidRPr="00576AF8">
              <w:t>s</w:t>
            </w:r>
            <w:r w:rsidRPr="00576AF8">
              <w:t xml:space="preserve"> o demanda</w:t>
            </w:r>
            <w:r w:rsidR="00543D82" w:rsidRPr="00576AF8">
              <w:t>s. L</w:t>
            </w:r>
            <w:r w:rsidRPr="00576AF8">
              <w:t xml:space="preserve">os gastos razonables en que incurra a tal efecto le serán reembolsados por el Proveedor. </w:t>
            </w:r>
          </w:p>
          <w:p w14:paraId="12E0B3F1" w14:textId="77777777" w:rsidR="00A20832" w:rsidRPr="00576AF8" w:rsidRDefault="00A20832" w:rsidP="002638F4">
            <w:pPr>
              <w:keepNext/>
              <w:keepLines/>
              <w:spacing w:before="240" w:after="200"/>
              <w:ind w:left="547" w:right="-33" w:hanging="547"/>
              <w:outlineLvl w:val="4"/>
            </w:pPr>
            <w:r w:rsidRPr="00576AF8">
              <w:t>36.4</w:t>
            </w:r>
            <w:r w:rsidRPr="00576AF8">
              <w:tab/>
              <w:t xml:space="preserve">El Comprador eximirá de toda responsabilidad al Proveedor y a sus empleados, funcionarios y subcontratistas </w:t>
            </w:r>
            <w:r w:rsidR="007903DB" w:rsidRPr="00576AF8">
              <w:t xml:space="preserve">en caso de </w:t>
            </w:r>
            <w:r w:rsidRPr="00576AF8">
              <w:t xml:space="preserve">pérdidas, obligaciones y gastos (incluidas las pérdidas, obligaciones y gastos </w:t>
            </w:r>
            <w:r w:rsidR="007903DB" w:rsidRPr="00576AF8">
              <w:t xml:space="preserve">surgidos al </w:t>
            </w:r>
            <w:r w:rsidRPr="00576AF8">
              <w:t>defen</w:t>
            </w:r>
            <w:r w:rsidR="007903DB" w:rsidRPr="00576AF8">
              <w:t>der</w:t>
            </w:r>
            <w:r w:rsidRPr="00576AF8">
              <w:t xml:space="preserve"> </w:t>
            </w:r>
            <w:r w:rsidR="007903DB" w:rsidRPr="00576AF8">
              <w:t>un</w:t>
            </w:r>
            <w:r w:rsidR="00485749" w:rsidRPr="00576AF8">
              <w:t>a</w:t>
            </w:r>
            <w:r w:rsidR="007903DB" w:rsidRPr="00576AF8">
              <w:t xml:space="preserve"> </w:t>
            </w:r>
            <w:r w:rsidRPr="00576AF8">
              <w:t>reclam</w:t>
            </w:r>
            <w:r w:rsidR="00485749" w:rsidRPr="00576AF8">
              <w:t>ación</w:t>
            </w:r>
            <w:r w:rsidRPr="00576AF8">
              <w:t xml:space="preserve"> en que se </w:t>
            </w:r>
            <w:r w:rsidR="007903DB" w:rsidRPr="00576AF8">
              <w:t xml:space="preserve">aleguen </w:t>
            </w:r>
            <w:r w:rsidRPr="00576AF8">
              <w:t xml:space="preserve">dichas responsabilidades) que el Proveedor o sus empleados, funcionarios o subcontratistas </w:t>
            </w:r>
            <w:r w:rsidR="007903DB" w:rsidRPr="00576AF8">
              <w:t xml:space="preserve">puedan sufrir </w:t>
            </w:r>
            <w:r w:rsidRPr="00576AF8">
              <w:t xml:space="preserve">como consecuencia de la muerte o lesión de una persona o de pérdidas o daños </w:t>
            </w:r>
            <w:r w:rsidR="00473FC5" w:rsidRPr="00576AF8">
              <w:t xml:space="preserve">materiales </w:t>
            </w:r>
            <w:r w:rsidRPr="00576AF8">
              <w:t>del Comprador (que no se vinculen con el hecho de que el Sistema aún no haya logrado la aceptación operativa) ocasionados por incendio, explosión u otras eventualidades, que superen el monto recuperable de los seguros obtenidos conforme a la cláusula 37 de las CGC, (“Seguros”) siempre que dicho incendio, explosión u otra eventualidad no hayan sido producto de un acto u omisión del Proveedor.</w:t>
            </w:r>
          </w:p>
        </w:tc>
      </w:tr>
      <w:tr w:rsidR="00A20832" w:rsidRPr="00576AF8" w14:paraId="4B67F24D" w14:textId="77777777" w:rsidTr="001A7CD7">
        <w:tc>
          <w:tcPr>
            <w:tcW w:w="2520" w:type="dxa"/>
          </w:tcPr>
          <w:p w14:paraId="024BA937" w14:textId="77777777" w:rsidR="00A20832" w:rsidRPr="00576AF8" w:rsidRDefault="00A20832" w:rsidP="00A35BE3">
            <w:pPr>
              <w:spacing w:after="0"/>
              <w:jc w:val="left"/>
            </w:pPr>
          </w:p>
        </w:tc>
        <w:tc>
          <w:tcPr>
            <w:tcW w:w="6836" w:type="dxa"/>
          </w:tcPr>
          <w:p w14:paraId="2BA74752" w14:textId="77777777" w:rsidR="00A20832" w:rsidRPr="00576AF8" w:rsidRDefault="00A20832" w:rsidP="002638F4">
            <w:pPr>
              <w:spacing w:after="200"/>
              <w:ind w:left="547" w:right="-33" w:hanging="547"/>
              <w:rPr>
                <w:spacing w:val="-2"/>
              </w:rPr>
            </w:pPr>
            <w:r w:rsidRPr="00576AF8">
              <w:rPr>
                <w:spacing w:val="-2"/>
              </w:rPr>
              <w:t>36.5</w:t>
            </w:r>
            <w:r w:rsidRPr="00576AF8">
              <w:rPr>
                <w:spacing w:val="-2"/>
              </w:rPr>
              <w:tab/>
              <w:t>Si se entabla</w:t>
            </w:r>
            <w:r w:rsidR="00193F16" w:rsidRPr="00576AF8">
              <w:rPr>
                <w:spacing w:val="-2"/>
              </w:rPr>
              <w:t>ra</w:t>
            </w:r>
            <w:r w:rsidRPr="00576AF8">
              <w:rPr>
                <w:spacing w:val="-2"/>
              </w:rPr>
              <w:t xml:space="preserve"> un proceso legal o una demanda contra el Proveedor en los que la responsabilidad pudiera recaer sobre el Comprador de conformidad con la cláusula 36.4 de las CGC, el Proveedor notificará </w:t>
            </w:r>
            <w:r w:rsidR="00193F16" w:rsidRPr="00576AF8">
              <w:rPr>
                <w:spacing w:val="-2"/>
              </w:rPr>
              <w:t xml:space="preserve">de inmediato </w:t>
            </w:r>
            <w:r w:rsidRPr="00576AF8">
              <w:rPr>
                <w:spacing w:val="-2"/>
              </w:rPr>
              <w:t xml:space="preserve">al Comprador y este, </w:t>
            </w:r>
            <w:r w:rsidR="00193F16" w:rsidRPr="00576AF8">
              <w:rPr>
                <w:spacing w:val="-2"/>
              </w:rPr>
              <w:t>por</w:t>
            </w:r>
            <w:r w:rsidRPr="00576AF8">
              <w:rPr>
                <w:spacing w:val="-2"/>
              </w:rPr>
              <w:t xml:space="preserve"> su propia </w:t>
            </w:r>
            <w:r w:rsidR="00193F16" w:rsidRPr="00576AF8">
              <w:rPr>
                <w:spacing w:val="-2"/>
              </w:rPr>
              <w:t xml:space="preserve">cuenta </w:t>
            </w:r>
            <w:r w:rsidRPr="00576AF8">
              <w:rPr>
                <w:spacing w:val="-2"/>
              </w:rPr>
              <w:t xml:space="preserve">y en nombre del Proveedor, </w:t>
            </w:r>
            <w:r w:rsidR="00193F16" w:rsidRPr="00576AF8">
              <w:rPr>
                <w:spacing w:val="-2"/>
              </w:rPr>
              <w:t xml:space="preserve">podrá impulsar </w:t>
            </w:r>
            <w:r w:rsidRPr="00576AF8">
              <w:rPr>
                <w:spacing w:val="-2"/>
              </w:rPr>
              <w:t xml:space="preserve">dicho proceso o demanda y realizar las negociaciones necesarias para llegar a un acuerdo </w:t>
            </w:r>
            <w:r w:rsidR="00193F16" w:rsidRPr="00576AF8">
              <w:rPr>
                <w:spacing w:val="-2"/>
              </w:rPr>
              <w:t xml:space="preserve">al </w:t>
            </w:r>
            <w:r w:rsidRPr="00576AF8">
              <w:rPr>
                <w:spacing w:val="-2"/>
              </w:rPr>
              <w:t xml:space="preserve">respecto. Si, dentro de los 28 (veintiocho) días </w:t>
            </w:r>
            <w:r w:rsidR="00193F16" w:rsidRPr="00576AF8">
              <w:rPr>
                <w:spacing w:val="-2"/>
              </w:rPr>
              <w:t xml:space="preserve">posteriores al recibo de </w:t>
            </w:r>
            <w:r w:rsidRPr="00576AF8">
              <w:rPr>
                <w:spacing w:val="-2"/>
              </w:rPr>
              <w:t xml:space="preserve">dicha notificación, </w:t>
            </w:r>
            <w:r w:rsidR="00193F16" w:rsidRPr="00576AF8">
              <w:rPr>
                <w:spacing w:val="-2"/>
              </w:rPr>
              <w:t xml:space="preserve">el Comprador no notifica al Proveedor </w:t>
            </w:r>
            <w:r w:rsidRPr="00576AF8">
              <w:rPr>
                <w:spacing w:val="-2"/>
              </w:rPr>
              <w:t xml:space="preserve">que tiene la intención de </w:t>
            </w:r>
            <w:r w:rsidR="00193F16" w:rsidRPr="00576AF8">
              <w:rPr>
                <w:spacing w:val="-2"/>
              </w:rPr>
              <w:t xml:space="preserve">llevar adelante </w:t>
            </w:r>
            <w:r w:rsidRPr="00576AF8">
              <w:rPr>
                <w:spacing w:val="-2"/>
              </w:rPr>
              <w:t xml:space="preserve">tal proceso o demanda, el Proveedor tendrá </w:t>
            </w:r>
            <w:r w:rsidR="00193F16" w:rsidRPr="00576AF8">
              <w:rPr>
                <w:spacing w:val="-2"/>
              </w:rPr>
              <w:t>derecho a impulsarlas en su propio nombre</w:t>
            </w:r>
            <w:r w:rsidRPr="00576AF8">
              <w:rPr>
                <w:spacing w:val="-2"/>
              </w:rPr>
              <w:t xml:space="preserve">. A menos que el Comprador no haya notificado </w:t>
            </w:r>
            <w:r w:rsidRPr="00576AF8">
              <w:rPr>
                <w:spacing w:val="-2"/>
              </w:rPr>
              <w:lastRenderedPageBreak/>
              <w:t xml:space="preserve">al Proveedor </w:t>
            </w:r>
            <w:r w:rsidR="00193F16" w:rsidRPr="00576AF8">
              <w:rPr>
                <w:spacing w:val="-2"/>
              </w:rPr>
              <w:t xml:space="preserve">dentro de ese </w:t>
            </w:r>
            <w:r w:rsidRPr="00576AF8">
              <w:rPr>
                <w:spacing w:val="-2"/>
              </w:rPr>
              <w:t>plazo, el Proveedor no hará ninguna declaración que pueda ser perjudicial para la defensa en tal</w:t>
            </w:r>
            <w:r w:rsidR="00193F16" w:rsidRPr="00576AF8">
              <w:rPr>
                <w:spacing w:val="-2"/>
              </w:rPr>
              <w:t>es</w:t>
            </w:r>
            <w:r w:rsidRPr="00576AF8">
              <w:rPr>
                <w:spacing w:val="-2"/>
              </w:rPr>
              <w:t xml:space="preserve"> proceso</w:t>
            </w:r>
            <w:r w:rsidR="00193F16" w:rsidRPr="00576AF8">
              <w:rPr>
                <w:spacing w:val="-2"/>
              </w:rPr>
              <w:t>s</w:t>
            </w:r>
            <w:r w:rsidRPr="00576AF8">
              <w:rPr>
                <w:spacing w:val="-2"/>
              </w:rPr>
              <w:t xml:space="preserve"> o demanda</w:t>
            </w:r>
            <w:r w:rsidR="00193F16" w:rsidRPr="00576AF8">
              <w:rPr>
                <w:spacing w:val="-2"/>
              </w:rPr>
              <w:t>s</w:t>
            </w:r>
            <w:r w:rsidRPr="00576AF8">
              <w:rPr>
                <w:spacing w:val="-2"/>
              </w:rPr>
              <w:t>. El Proveedor</w:t>
            </w:r>
            <w:r w:rsidR="00193F16" w:rsidRPr="00576AF8">
              <w:rPr>
                <w:spacing w:val="-2"/>
              </w:rPr>
              <w:t xml:space="preserve"> se compromete</w:t>
            </w:r>
            <w:r w:rsidRPr="00576AF8">
              <w:rPr>
                <w:spacing w:val="-2"/>
              </w:rPr>
              <w:t xml:space="preserve">, a solicitud del Comprador, </w:t>
            </w:r>
            <w:r w:rsidR="00193F16" w:rsidRPr="00576AF8">
              <w:rPr>
                <w:spacing w:val="-2"/>
              </w:rPr>
              <w:t xml:space="preserve">a prestarle </w:t>
            </w:r>
            <w:r w:rsidRPr="00576AF8">
              <w:rPr>
                <w:spacing w:val="-2"/>
              </w:rPr>
              <w:t xml:space="preserve">toda la asistencia posible </w:t>
            </w:r>
            <w:r w:rsidR="00193F16" w:rsidRPr="00576AF8">
              <w:rPr>
                <w:spacing w:val="-2"/>
              </w:rPr>
              <w:t xml:space="preserve">para que </w:t>
            </w:r>
            <w:r w:rsidR="006501EA" w:rsidRPr="00576AF8">
              <w:rPr>
                <w:spacing w:val="-2"/>
              </w:rPr>
              <w:br/>
            </w:r>
            <w:r w:rsidR="00193F16" w:rsidRPr="00576AF8">
              <w:rPr>
                <w:spacing w:val="-2"/>
              </w:rPr>
              <w:t xml:space="preserve">el Comprador pueda llevar adelante </w:t>
            </w:r>
            <w:r w:rsidRPr="00576AF8">
              <w:rPr>
                <w:spacing w:val="-2"/>
              </w:rPr>
              <w:t>tal</w:t>
            </w:r>
            <w:r w:rsidR="00193F16" w:rsidRPr="00576AF8">
              <w:rPr>
                <w:spacing w:val="-2"/>
              </w:rPr>
              <w:t>es</w:t>
            </w:r>
            <w:r w:rsidRPr="00576AF8">
              <w:rPr>
                <w:spacing w:val="-2"/>
              </w:rPr>
              <w:t xml:space="preserve"> proceso</w:t>
            </w:r>
            <w:r w:rsidR="00193F16" w:rsidRPr="00576AF8">
              <w:rPr>
                <w:spacing w:val="-2"/>
              </w:rPr>
              <w:t>s</w:t>
            </w:r>
            <w:r w:rsidRPr="00576AF8">
              <w:rPr>
                <w:spacing w:val="-2"/>
              </w:rPr>
              <w:t xml:space="preserve"> o demanda</w:t>
            </w:r>
            <w:r w:rsidR="00193F16" w:rsidRPr="00576AF8">
              <w:rPr>
                <w:spacing w:val="-2"/>
              </w:rPr>
              <w:t>s. L</w:t>
            </w:r>
            <w:r w:rsidRPr="00576AF8">
              <w:rPr>
                <w:spacing w:val="-2"/>
              </w:rPr>
              <w:t xml:space="preserve">os gastos razonables en que incurra a tal efecto le serán reembolsados por el Comprador. </w:t>
            </w:r>
          </w:p>
        </w:tc>
      </w:tr>
      <w:tr w:rsidR="00A20832" w:rsidRPr="00576AF8" w14:paraId="1C620331" w14:textId="77777777" w:rsidTr="001A7CD7">
        <w:tc>
          <w:tcPr>
            <w:tcW w:w="2520" w:type="dxa"/>
          </w:tcPr>
          <w:p w14:paraId="6DC758D3" w14:textId="77777777" w:rsidR="00A20832" w:rsidRPr="00576AF8" w:rsidRDefault="00A20832" w:rsidP="00A35BE3">
            <w:pPr>
              <w:spacing w:after="0"/>
              <w:jc w:val="left"/>
            </w:pPr>
          </w:p>
        </w:tc>
        <w:tc>
          <w:tcPr>
            <w:tcW w:w="6836" w:type="dxa"/>
          </w:tcPr>
          <w:p w14:paraId="13A7833A" w14:textId="77777777" w:rsidR="00A20832" w:rsidRPr="00576AF8" w:rsidRDefault="00A20832" w:rsidP="002638F4">
            <w:pPr>
              <w:keepNext/>
              <w:keepLines/>
              <w:spacing w:before="240" w:after="200"/>
              <w:ind w:left="547" w:right="-33" w:hanging="547"/>
              <w:outlineLvl w:val="4"/>
            </w:pPr>
            <w:r w:rsidRPr="00576AF8">
              <w:t>36.6</w:t>
            </w:r>
            <w:r w:rsidRPr="00576AF8">
              <w:tab/>
              <w:t xml:space="preserve">La Parte que tenga derecho a la </w:t>
            </w:r>
            <w:r w:rsidR="00EA03EE" w:rsidRPr="00576AF8">
              <w:t>indemnización</w:t>
            </w:r>
            <w:r w:rsidR="00BC72E3" w:rsidRPr="00576AF8">
              <w:t xml:space="preserve"> </w:t>
            </w:r>
            <w:r w:rsidRPr="00576AF8">
              <w:t>de responsabilidad conforme a la presente cláusula 36 de las CGC tomará todas las medidas razonables para mitigar las pérdidas o daños que se hayan producido. Si no toma tales medidas, se reducirán correspondientemente las responsabilidades de la otra Parte.</w:t>
            </w:r>
          </w:p>
        </w:tc>
      </w:tr>
      <w:tr w:rsidR="00A20832" w:rsidRPr="00576AF8" w14:paraId="25687A18" w14:textId="77777777" w:rsidTr="001A7CD7">
        <w:tc>
          <w:tcPr>
            <w:tcW w:w="2520" w:type="dxa"/>
          </w:tcPr>
          <w:p w14:paraId="77212E56" w14:textId="77777777" w:rsidR="00A20832" w:rsidRPr="00576AF8" w:rsidRDefault="00A20832" w:rsidP="00A35BE3">
            <w:pPr>
              <w:pStyle w:val="Head62"/>
            </w:pPr>
            <w:bookmarkStart w:id="1588" w:name="_Toc277233360"/>
            <w:bookmarkStart w:id="1589" w:name="_Toc488959059"/>
            <w:r w:rsidRPr="00576AF8">
              <w:t>37.</w:t>
            </w:r>
            <w:r w:rsidRPr="00576AF8">
              <w:tab/>
              <w:t>Seguros</w:t>
            </w:r>
            <w:bookmarkEnd w:id="1588"/>
            <w:bookmarkEnd w:id="1589"/>
          </w:p>
        </w:tc>
        <w:tc>
          <w:tcPr>
            <w:tcW w:w="6836" w:type="dxa"/>
          </w:tcPr>
          <w:p w14:paraId="4EFB9AA5" w14:textId="77777777" w:rsidR="00A20832" w:rsidRPr="00576AF8" w:rsidRDefault="00A20832" w:rsidP="002638F4">
            <w:pPr>
              <w:keepNext/>
              <w:keepLines/>
              <w:spacing w:before="240" w:after="200"/>
              <w:ind w:left="547" w:right="-33" w:hanging="547"/>
              <w:outlineLvl w:val="4"/>
            </w:pPr>
            <w:r w:rsidRPr="00576AF8">
              <w:t>37.1</w:t>
            </w:r>
            <w:r w:rsidRPr="00576AF8">
              <w:tab/>
              <w:t>El Proveedor, a su costa, obtendrá y mantendrá vigentes o hará que se obtengan y se mantengan vigentes durante la ejecución del Contrato los seguros que se señalan a continuación. La identidad de l</w:t>
            </w:r>
            <w:r w:rsidR="00485749" w:rsidRPr="00576AF8">
              <w:t>a</w:t>
            </w:r>
            <w:r w:rsidRPr="00576AF8">
              <w:t xml:space="preserve">s </w:t>
            </w:r>
            <w:r w:rsidR="00485749" w:rsidRPr="00576AF8">
              <w:t xml:space="preserve">compañías </w:t>
            </w:r>
            <w:r w:rsidRPr="00576AF8">
              <w:t>asegurador</w:t>
            </w:r>
            <w:r w:rsidR="00485749" w:rsidRPr="00576AF8">
              <w:t>a</w:t>
            </w:r>
            <w:r w:rsidRPr="00576AF8">
              <w:t>s y la modalidad de las pólizas estarán sujetas a la aprobación del Comprador, quien no negará sin razones válidas esa aprobación.</w:t>
            </w:r>
          </w:p>
        </w:tc>
      </w:tr>
      <w:tr w:rsidR="00A20832" w:rsidRPr="00576AF8" w14:paraId="5D2498B2" w14:textId="77777777" w:rsidTr="001A7CD7">
        <w:tc>
          <w:tcPr>
            <w:tcW w:w="2520" w:type="dxa"/>
          </w:tcPr>
          <w:p w14:paraId="3420AF81" w14:textId="77777777" w:rsidR="00A20832" w:rsidRPr="00576AF8" w:rsidRDefault="00A20832" w:rsidP="00A35BE3">
            <w:pPr>
              <w:spacing w:after="0"/>
              <w:jc w:val="left"/>
            </w:pPr>
          </w:p>
        </w:tc>
        <w:tc>
          <w:tcPr>
            <w:tcW w:w="6836" w:type="dxa"/>
          </w:tcPr>
          <w:p w14:paraId="64F9B7F6" w14:textId="77777777" w:rsidR="00A20832" w:rsidRPr="00576AF8" w:rsidRDefault="001A7CD7" w:rsidP="002638F4">
            <w:pPr>
              <w:keepNext/>
              <w:keepLines/>
              <w:spacing w:before="240" w:after="200"/>
              <w:ind w:left="1080" w:right="-33" w:hanging="540"/>
              <w:outlineLvl w:val="4"/>
            </w:pPr>
            <w:r w:rsidRPr="00576AF8">
              <w:t>(</w:t>
            </w:r>
            <w:r w:rsidR="00A20832" w:rsidRPr="00576AF8">
              <w:t>a)</w:t>
            </w:r>
            <w:r w:rsidR="00A20832" w:rsidRPr="00576AF8">
              <w:tab/>
              <w:t>Seguro de carga durante el transporte</w:t>
            </w:r>
          </w:p>
          <w:p w14:paraId="5B1338E0" w14:textId="77777777" w:rsidR="00A20832" w:rsidRPr="00576AF8" w:rsidRDefault="00A20832" w:rsidP="002638F4">
            <w:pPr>
              <w:keepNext/>
              <w:keepLines/>
              <w:spacing w:before="240" w:after="200"/>
              <w:ind w:left="1080" w:right="-33"/>
              <w:outlineLvl w:val="4"/>
            </w:pPr>
            <w:r w:rsidRPr="00576AF8">
              <w:t xml:space="preserve">según corresponda, el 110 % del precio de las tecnologías de la información y de otros bienes en una moneda de libre convertibilidad; este seguro cubrirá contra pérdidas o daños materiales sufridos por los bienes durante su traslado hasta que sean recibidos en el sitio del Proyecto. </w:t>
            </w:r>
          </w:p>
          <w:p w14:paraId="0B79C16B" w14:textId="77777777" w:rsidR="00A20832" w:rsidRPr="00576AF8" w:rsidRDefault="001A7CD7" w:rsidP="002638F4">
            <w:pPr>
              <w:keepNext/>
              <w:keepLines/>
              <w:spacing w:before="240" w:after="200"/>
              <w:ind w:left="1080" w:right="-33" w:hanging="540"/>
              <w:outlineLvl w:val="4"/>
            </w:pPr>
            <w:r w:rsidRPr="00576AF8">
              <w:t>(</w:t>
            </w:r>
            <w:r w:rsidR="00A20832" w:rsidRPr="00576AF8">
              <w:t>b)</w:t>
            </w:r>
            <w:r w:rsidR="00A20832" w:rsidRPr="00576AF8">
              <w:tab/>
              <w:t>Seguro de las instalaciones contra todo riesgo</w:t>
            </w:r>
          </w:p>
          <w:p w14:paraId="58FDE9C1" w14:textId="77777777" w:rsidR="00A20832" w:rsidRPr="00576AF8" w:rsidRDefault="00A20832" w:rsidP="002638F4">
            <w:pPr>
              <w:keepNext/>
              <w:keepLines/>
              <w:spacing w:before="240" w:after="200"/>
              <w:ind w:left="1080" w:right="-33"/>
              <w:outlineLvl w:val="4"/>
            </w:pPr>
            <w:r w:rsidRPr="00576AF8">
              <w:t xml:space="preserve">según corresponda, el 110 % del precio de las tecnologías de la información y de otros bienes; este seguro cubrirá los bienes ubicados en el sitio del Proyecto contra </w:t>
            </w:r>
            <w:r w:rsidR="00485749" w:rsidRPr="00576AF8">
              <w:t xml:space="preserve">todo </w:t>
            </w:r>
            <w:r w:rsidRPr="00576AF8">
              <w:t xml:space="preserve">riesgo de pérdida o daños materiales (con la única excepción de los peligros que habitualmente se excluyen en las pólizas de seguro contra todo riesgo de este tipo emitidas por compañías aseguradoras prestigiosas) que se produzcan antes de la aceptación operativa del Sistema. </w:t>
            </w:r>
          </w:p>
          <w:p w14:paraId="1FFD80AF" w14:textId="77777777" w:rsidR="00A20832" w:rsidRPr="00576AF8" w:rsidRDefault="001A7CD7" w:rsidP="002638F4">
            <w:pPr>
              <w:spacing w:after="200"/>
              <w:ind w:left="1080" w:right="-33" w:hanging="540"/>
            </w:pPr>
            <w:r w:rsidRPr="00576AF8">
              <w:t>(</w:t>
            </w:r>
            <w:r w:rsidR="00A20832" w:rsidRPr="00576AF8">
              <w:t>c)</w:t>
            </w:r>
            <w:r w:rsidR="00A20832" w:rsidRPr="00576AF8">
              <w:tab/>
              <w:t>Seguro contra daños a terceros</w:t>
            </w:r>
          </w:p>
          <w:p w14:paraId="5B3E7ECE" w14:textId="77777777" w:rsidR="00A20832" w:rsidRPr="00576AF8" w:rsidRDefault="00A20832" w:rsidP="002638F4">
            <w:pPr>
              <w:keepNext/>
              <w:keepLines/>
              <w:spacing w:before="240" w:after="200"/>
              <w:ind w:left="1080" w:right="-33"/>
              <w:outlineLvl w:val="4"/>
            </w:pPr>
            <w:r w:rsidRPr="00576AF8">
              <w:lastRenderedPageBreak/>
              <w:t xml:space="preserve">Este seguro cubrirá, conforme a los términos </w:t>
            </w:r>
            <w:r w:rsidRPr="00576AF8">
              <w:rPr>
                <w:b/>
              </w:rPr>
              <w:t>especificados en las CEC</w:t>
            </w:r>
            <w:r w:rsidRPr="00576AF8">
              <w:t>, las lesiones corporales o la muerte de terceros (incluido el personal del Comprador) y las pérdidas o daños materiales (incluida la propiedad del Comprador y todos los Subsistemas que ya hubieran sido aceptados por este) que se produzcan en relación con el suministro y la instalación del Sistema Informático.</w:t>
            </w:r>
          </w:p>
          <w:p w14:paraId="07939EBF" w14:textId="77777777" w:rsidR="00A20832" w:rsidRPr="00576AF8" w:rsidRDefault="001A7CD7" w:rsidP="002638F4">
            <w:pPr>
              <w:keepNext/>
              <w:keepLines/>
              <w:spacing w:before="240" w:after="200"/>
              <w:ind w:left="1080" w:right="-33" w:hanging="540"/>
              <w:outlineLvl w:val="4"/>
            </w:pPr>
            <w:r w:rsidRPr="00576AF8">
              <w:t>(</w:t>
            </w:r>
            <w:r w:rsidR="00A20832" w:rsidRPr="00576AF8">
              <w:t>d)</w:t>
            </w:r>
            <w:r w:rsidR="00A20832" w:rsidRPr="00576AF8">
              <w:tab/>
              <w:t>Seguro de vehículos</w:t>
            </w:r>
          </w:p>
          <w:p w14:paraId="453DCD2B" w14:textId="77777777" w:rsidR="00A20832" w:rsidRPr="00576AF8" w:rsidRDefault="00A20832" w:rsidP="002638F4">
            <w:pPr>
              <w:keepNext/>
              <w:keepLines/>
              <w:spacing w:before="240" w:after="200"/>
              <w:ind w:left="1080" w:right="-33"/>
              <w:outlineLvl w:val="4"/>
            </w:pPr>
            <w:r w:rsidRPr="00576AF8">
              <w:t>De conformidad con los requisitos normativos vigentes en el país del Comprador, este seguro cubrirá el uso de todos los vehículos empleados por el Proveedor o sus subcontratistas (sean o no de su propiedad) en relación con la ejecución del Contrato.</w:t>
            </w:r>
          </w:p>
          <w:p w14:paraId="6EF4C4E8" w14:textId="77777777" w:rsidR="00A20832" w:rsidRPr="00576AF8" w:rsidRDefault="001A7CD7" w:rsidP="002638F4">
            <w:pPr>
              <w:keepNext/>
              <w:keepLines/>
              <w:spacing w:before="240" w:after="200"/>
              <w:ind w:left="1080" w:right="-33" w:hanging="540"/>
              <w:outlineLvl w:val="4"/>
            </w:pPr>
            <w:r w:rsidRPr="00576AF8">
              <w:t>(</w:t>
            </w:r>
            <w:r w:rsidR="00A20832" w:rsidRPr="00576AF8">
              <w:t>e)</w:t>
            </w:r>
            <w:r w:rsidR="00A20832" w:rsidRPr="00576AF8">
              <w:tab/>
              <w:t xml:space="preserve">Otros seguros (si los hubiera), conforme a lo </w:t>
            </w:r>
            <w:r w:rsidR="00A20832" w:rsidRPr="00576AF8">
              <w:rPr>
                <w:b/>
              </w:rPr>
              <w:t>especificado en las CEC</w:t>
            </w:r>
            <w:r w:rsidR="00A20832" w:rsidRPr="00576AF8">
              <w:t xml:space="preserve">. </w:t>
            </w:r>
          </w:p>
          <w:p w14:paraId="3F32F3C3" w14:textId="77777777" w:rsidR="00A20832" w:rsidRPr="00576AF8" w:rsidRDefault="00A20832" w:rsidP="002638F4">
            <w:pPr>
              <w:keepNext/>
              <w:keepLines/>
              <w:spacing w:before="240" w:after="200"/>
              <w:ind w:left="540" w:right="-33" w:hanging="540"/>
              <w:outlineLvl w:val="4"/>
            </w:pPr>
            <w:r w:rsidRPr="00576AF8">
              <w:t>37.2</w:t>
            </w:r>
            <w:r w:rsidRPr="00576AF8">
              <w:tab/>
              <w:t xml:space="preserve">El Comprador figurará como coasegurado en todas las pólizas de seguro que obtenga el Proveedor de conformidad con la cláusula 37.1 de las CGC, excepto con respecto a los seguros contra daños a terceros. Los subcontratistas del Proveedor figurarán como coasegurados en todas las pólizas de seguro que obtenga el Proveedor de conformidad con la cláusula 37.1 de las CGC, con excepción de los seguros de carga durante el transporte. </w:t>
            </w:r>
            <w:r w:rsidR="00485749" w:rsidRPr="00576AF8">
              <w:t xml:space="preserve">La compañía </w:t>
            </w:r>
            <w:r w:rsidRPr="00576AF8">
              <w:t>asegurador</w:t>
            </w:r>
            <w:r w:rsidR="00485749" w:rsidRPr="00576AF8">
              <w:t>a</w:t>
            </w:r>
            <w:r w:rsidRPr="00576AF8">
              <w:t xml:space="preserve"> renunciará, en virtud de dichas pólizas, a todos sus derechos de subrogación contra dichos coasegurados por pérdidas o reclamaciones resultantes de la ejecución del Contrato.</w:t>
            </w:r>
          </w:p>
          <w:p w14:paraId="20BE66DE" w14:textId="77777777" w:rsidR="00A20832" w:rsidRPr="00576AF8" w:rsidRDefault="00A20832" w:rsidP="002638F4">
            <w:pPr>
              <w:keepNext/>
              <w:keepLines/>
              <w:spacing w:before="240" w:after="200"/>
              <w:ind w:left="540" w:right="-33" w:hanging="540"/>
              <w:outlineLvl w:val="4"/>
            </w:pPr>
            <w:r w:rsidRPr="00576AF8">
              <w:t>37.3</w:t>
            </w:r>
            <w:r w:rsidRPr="00576AF8">
              <w:tab/>
              <w:t>El Proveedor entregará al Comprador certificados de aseguramiento (o copias de las pólizas de seguro) como prueba de que las pólizas requeridas están plenamente vigentes.</w:t>
            </w:r>
          </w:p>
          <w:p w14:paraId="437D231F" w14:textId="77777777" w:rsidR="00A20832" w:rsidRPr="00576AF8" w:rsidRDefault="00A20832" w:rsidP="002638F4">
            <w:pPr>
              <w:spacing w:after="200"/>
              <w:ind w:left="540" w:right="-33" w:hanging="540"/>
              <w:rPr>
                <w:spacing w:val="-4"/>
              </w:rPr>
            </w:pPr>
            <w:r w:rsidRPr="00576AF8">
              <w:rPr>
                <w:spacing w:val="-4"/>
              </w:rPr>
              <w:t>37.4</w:t>
            </w:r>
            <w:r w:rsidRPr="00576AF8">
              <w:rPr>
                <w:spacing w:val="-4"/>
              </w:rPr>
              <w:tab/>
              <w:t>El Proveedor se asegurará de que, cuando corresponda, sus subcontratistas obtengan y mantengan vigentes pólizas de seguro adecuadas para su personal y sus vehículos y para los trabajos que efectúen en virtud del Contrato, a menos que dichos subcontratistas estén cubiertos por las pólizas obtenidas por el Proveedor.</w:t>
            </w:r>
          </w:p>
          <w:p w14:paraId="32B93940" w14:textId="77777777" w:rsidR="00A20832" w:rsidRPr="00576AF8" w:rsidRDefault="00A20832" w:rsidP="002638F4">
            <w:pPr>
              <w:spacing w:after="200"/>
              <w:ind w:left="540" w:right="-33" w:hanging="540"/>
              <w:rPr>
                <w:spacing w:val="-2"/>
              </w:rPr>
            </w:pPr>
            <w:r w:rsidRPr="00576AF8">
              <w:rPr>
                <w:spacing w:val="-2"/>
              </w:rPr>
              <w:t>37.5</w:t>
            </w:r>
            <w:r w:rsidRPr="00576AF8">
              <w:rPr>
                <w:spacing w:val="-2"/>
              </w:rPr>
              <w:tab/>
              <w:t>Si el Proveedor no obtiene o no mantiene vigentes los seguros mencionados en la cláusula 37.1 de las CGC, el Comprador podrá obtener y mantener vigentes cualesquiera de esos seguros y podrá deducir ocasionalmente de cualquier suma adeudada al Proveedor en virtud del Contrato todas las primas que haya pagado a</w:t>
            </w:r>
            <w:r w:rsidR="00485749" w:rsidRPr="00576AF8">
              <w:rPr>
                <w:spacing w:val="-2"/>
              </w:rPr>
              <w:t xml:space="preserve"> </w:t>
            </w:r>
            <w:r w:rsidRPr="00576AF8">
              <w:rPr>
                <w:spacing w:val="-2"/>
              </w:rPr>
              <w:t>l</w:t>
            </w:r>
            <w:r w:rsidR="00485749" w:rsidRPr="00576AF8">
              <w:rPr>
                <w:spacing w:val="-2"/>
              </w:rPr>
              <w:t>a</w:t>
            </w:r>
            <w:r w:rsidRPr="00576AF8">
              <w:rPr>
                <w:spacing w:val="-2"/>
              </w:rPr>
              <w:t xml:space="preserve"> </w:t>
            </w:r>
            <w:r w:rsidR="00485749" w:rsidRPr="00576AF8">
              <w:rPr>
                <w:spacing w:val="-2"/>
              </w:rPr>
              <w:lastRenderedPageBreak/>
              <w:t xml:space="preserve">compañía </w:t>
            </w:r>
            <w:r w:rsidRPr="00576AF8">
              <w:rPr>
                <w:spacing w:val="-2"/>
              </w:rPr>
              <w:t>asegurador</w:t>
            </w:r>
            <w:r w:rsidR="00485749" w:rsidRPr="00576AF8">
              <w:rPr>
                <w:spacing w:val="-2"/>
              </w:rPr>
              <w:t>a</w:t>
            </w:r>
            <w:r w:rsidRPr="00576AF8">
              <w:rPr>
                <w:spacing w:val="-2"/>
              </w:rPr>
              <w:t>, o podrá considerar esas sumas como monto adeudado por el Proveedor y recuperarlas de él.</w:t>
            </w:r>
          </w:p>
          <w:p w14:paraId="06D60FB0" w14:textId="77777777" w:rsidR="00A20832" w:rsidRPr="00576AF8" w:rsidRDefault="00A20832" w:rsidP="002638F4">
            <w:pPr>
              <w:keepNext/>
              <w:keepLines/>
              <w:spacing w:before="240" w:after="200"/>
              <w:ind w:left="540" w:right="-33" w:hanging="540"/>
              <w:outlineLvl w:val="4"/>
            </w:pPr>
            <w:r w:rsidRPr="00576AF8">
              <w:t>37.6</w:t>
            </w:r>
            <w:r w:rsidRPr="00576AF8">
              <w:tab/>
              <w:t xml:space="preserve">A menos que se disponga otra cosa en el Contrato, el Proveedor preparará y </w:t>
            </w:r>
            <w:r w:rsidR="00485749" w:rsidRPr="00576AF8">
              <w:t xml:space="preserve">llevará adelante </w:t>
            </w:r>
            <w:r w:rsidRPr="00576AF8">
              <w:t>todas las reclamaciones formuladas en virtud de las pólizas obtenidas por él de conformidad con la presente cláusula 37 de las CGC, y todas las sumas pagaderas por l</w:t>
            </w:r>
            <w:r w:rsidR="00485749" w:rsidRPr="00576AF8">
              <w:t>a</w:t>
            </w:r>
            <w:r w:rsidRPr="00576AF8">
              <w:t xml:space="preserve">s </w:t>
            </w:r>
            <w:r w:rsidR="00485749" w:rsidRPr="00576AF8">
              <w:t xml:space="preserve">compañías </w:t>
            </w:r>
            <w:r w:rsidRPr="00576AF8">
              <w:t>asegurador</w:t>
            </w:r>
            <w:r w:rsidR="00485749" w:rsidRPr="00576AF8">
              <w:t>as</w:t>
            </w:r>
            <w:r w:rsidRPr="00576AF8">
              <w:t xml:space="preserve"> serán pagadas al Proveedor. El Comprador brindará al Proveedor toda la asistencia razonable que este requiera en relación con cualquier reclamación formulada en virtud de las pólizas de seguro pertinentes. Con respecto a las reclamaciones de seguros en las que estén en juego los intereses del Comprador, el Proveedor no renunciará a ninguna de ellas ni hará ningún arreglo con </w:t>
            </w:r>
            <w:r w:rsidR="00485749" w:rsidRPr="00576AF8">
              <w:t xml:space="preserve">la compañía </w:t>
            </w:r>
            <w:r w:rsidRPr="00576AF8">
              <w:t>asegurador</w:t>
            </w:r>
            <w:r w:rsidR="00485749" w:rsidRPr="00576AF8">
              <w:t>a</w:t>
            </w:r>
            <w:r w:rsidRPr="00576AF8">
              <w:t xml:space="preserve"> sin antes obtener el consentimiento escrito del Comprador. Con respecto a las reclamaciones de seguros en las que estén en juego los intereses del Proveedor, el Comprador no renunciará a ninguna de ellas ni hará ningún arreglo con </w:t>
            </w:r>
            <w:r w:rsidR="00485749" w:rsidRPr="00576AF8">
              <w:t xml:space="preserve">la compañía </w:t>
            </w:r>
            <w:r w:rsidRPr="00576AF8">
              <w:t>asegurador</w:t>
            </w:r>
            <w:r w:rsidR="00485749" w:rsidRPr="00576AF8">
              <w:t>a</w:t>
            </w:r>
            <w:r w:rsidRPr="00576AF8">
              <w:t xml:space="preserve"> sin antes obtener el consentimiento escrito del Proveedor.</w:t>
            </w:r>
          </w:p>
        </w:tc>
      </w:tr>
      <w:tr w:rsidR="00A20832" w:rsidRPr="00576AF8" w14:paraId="17011D26" w14:textId="77777777" w:rsidTr="001A7CD7">
        <w:tc>
          <w:tcPr>
            <w:tcW w:w="2520" w:type="dxa"/>
          </w:tcPr>
          <w:p w14:paraId="6002C29F" w14:textId="77777777" w:rsidR="00A20832" w:rsidRPr="00576AF8" w:rsidRDefault="00A20832" w:rsidP="001A7CD7">
            <w:pPr>
              <w:pStyle w:val="Head62"/>
              <w:pageBreakBefore/>
              <w:jc w:val="both"/>
            </w:pPr>
            <w:bookmarkStart w:id="1590" w:name="_Toc277233361"/>
            <w:bookmarkStart w:id="1591" w:name="_Toc488959060"/>
            <w:r w:rsidRPr="00576AF8">
              <w:lastRenderedPageBreak/>
              <w:t>38.</w:t>
            </w:r>
            <w:r w:rsidRPr="00576AF8">
              <w:tab/>
              <w:t>Fuerza mayor</w:t>
            </w:r>
            <w:bookmarkEnd w:id="1590"/>
            <w:bookmarkEnd w:id="1591"/>
          </w:p>
        </w:tc>
        <w:tc>
          <w:tcPr>
            <w:tcW w:w="6836" w:type="dxa"/>
          </w:tcPr>
          <w:p w14:paraId="64F1456C" w14:textId="77777777" w:rsidR="00A20832" w:rsidRPr="00576AF8" w:rsidRDefault="00A20832" w:rsidP="002638F4">
            <w:pPr>
              <w:keepNext/>
              <w:keepLines/>
              <w:pageBreakBefore/>
              <w:spacing w:before="240" w:after="200"/>
              <w:ind w:left="540" w:right="-33" w:hanging="540"/>
              <w:outlineLvl w:val="4"/>
            </w:pPr>
            <w:r w:rsidRPr="00576AF8">
              <w:t>38.1</w:t>
            </w:r>
            <w:r w:rsidRPr="00576AF8">
              <w:tab/>
              <w:t>Se entenderá por “fuerza mayor” cualquier circunstancia que esté fuera del control razonable del Comprador o del Proveedor, según sea el caso, y que sea inevitable a pesar del cuidado que razonablemente tenga la Parte afectada; esta definición incluirá, sin carácter limitativo, lo siguiente:</w:t>
            </w:r>
          </w:p>
        </w:tc>
      </w:tr>
      <w:tr w:rsidR="00A20832" w:rsidRPr="00576AF8" w14:paraId="3A8FA33D" w14:textId="77777777" w:rsidTr="001A7CD7">
        <w:tc>
          <w:tcPr>
            <w:tcW w:w="2520" w:type="dxa"/>
          </w:tcPr>
          <w:p w14:paraId="20C7F746" w14:textId="77777777" w:rsidR="00A20832" w:rsidRPr="00576AF8" w:rsidRDefault="00A20832" w:rsidP="00A35BE3">
            <w:pPr>
              <w:spacing w:after="0"/>
              <w:jc w:val="left"/>
            </w:pPr>
          </w:p>
        </w:tc>
        <w:tc>
          <w:tcPr>
            <w:tcW w:w="6836" w:type="dxa"/>
          </w:tcPr>
          <w:p w14:paraId="3266024F" w14:textId="77777777" w:rsidR="00A20832" w:rsidRPr="00576AF8" w:rsidRDefault="002638F4" w:rsidP="002638F4">
            <w:pPr>
              <w:keepNext/>
              <w:keepLines/>
              <w:spacing w:before="240" w:after="200"/>
              <w:ind w:left="1094" w:right="-33" w:hanging="547"/>
              <w:outlineLvl w:val="4"/>
            </w:pPr>
            <w:r w:rsidRPr="00576AF8">
              <w:t>(</w:t>
            </w:r>
            <w:r w:rsidR="00A20832" w:rsidRPr="00576AF8">
              <w:t>a)</w:t>
            </w:r>
            <w:r w:rsidR="00A20832" w:rsidRPr="00576AF8">
              <w:tab/>
              <w:t>guerra, hostilidades u operaciones de carácter bélico (se haya declarado o no el estado de guerra), invasión, acto del enemigo extranjero y guerra civil;</w:t>
            </w:r>
          </w:p>
          <w:p w14:paraId="0E736E4A" w14:textId="77777777" w:rsidR="00A20832" w:rsidRPr="00576AF8" w:rsidRDefault="002638F4" w:rsidP="002638F4">
            <w:pPr>
              <w:keepNext/>
              <w:keepLines/>
              <w:spacing w:before="240" w:after="200"/>
              <w:ind w:left="1094" w:right="-33" w:hanging="547"/>
              <w:outlineLvl w:val="4"/>
            </w:pPr>
            <w:r w:rsidRPr="00576AF8">
              <w:t>(</w:t>
            </w:r>
            <w:r w:rsidR="00A20832" w:rsidRPr="00576AF8">
              <w:t>b)</w:t>
            </w:r>
            <w:r w:rsidR="00A20832" w:rsidRPr="00576AF8">
              <w:tab/>
              <w:t>rebelión, revolución, insurrección, motín, usurpación del Gobierno civil o militar, conspiración, asonada, disturbios civiles y actos terroristas;</w:t>
            </w:r>
          </w:p>
          <w:p w14:paraId="7D5ABB56" w14:textId="77777777" w:rsidR="00A20832" w:rsidRPr="00576AF8" w:rsidRDefault="002638F4" w:rsidP="002638F4">
            <w:pPr>
              <w:keepNext/>
              <w:keepLines/>
              <w:spacing w:before="240" w:after="200"/>
              <w:ind w:left="1094" w:right="-33" w:hanging="547"/>
              <w:outlineLvl w:val="4"/>
            </w:pPr>
            <w:r w:rsidRPr="00576AF8">
              <w:t>(</w:t>
            </w:r>
            <w:r w:rsidR="00A20832" w:rsidRPr="00576AF8">
              <w:t>c)</w:t>
            </w:r>
            <w:r w:rsidR="00A20832" w:rsidRPr="00576AF8">
              <w:tab/>
              <w:t xml:space="preserve">confiscación, nacionalización, movilización, apropiación forzosa o requisición por un Gobierno o una autoridad o gobernante </w:t>
            </w:r>
            <w:r w:rsidR="007C4E2C" w:rsidRPr="00576AF8">
              <w:rPr>
                <w:i/>
              </w:rPr>
              <w:t>de jure</w:t>
            </w:r>
            <w:r w:rsidR="00A20832" w:rsidRPr="00576AF8">
              <w:t xml:space="preserve"> o </w:t>
            </w:r>
            <w:r w:rsidR="007C4E2C" w:rsidRPr="00576AF8">
              <w:rPr>
                <w:i/>
              </w:rPr>
              <w:t>de facto</w:t>
            </w:r>
            <w:r w:rsidR="00A20832" w:rsidRPr="00576AF8">
              <w:t>, o por orden suya, o cualquier otro acto u omisión de una autoridad gubernamental local, estatal o nacional;</w:t>
            </w:r>
          </w:p>
          <w:p w14:paraId="1CD1C3C3" w14:textId="77777777" w:rsidR="00A20832" w:rsidRPr="00576AF8" w:rsidRDefault="002638F4" w:rsidP="002638F4">
            <w:pPr>
              <w:keepNext/>
              <w:keepLines/>
              <w:spacing w:before="240" w:after="200"/>
              <w:ind w:left="1094" w:right="-33" w:hanging="547"/>
              <w:outlineLvl w:val="4"/>
            </w:pPr>
            <w:r w:rsidRPr="00576AF8">
              <w:t>(</w:t>
            </w:r>
            <w:r w:rsidR="00A20832" w:rsidRPr="00576AF8">
              <w:t>d)</w:t>
            </w:r>
            <w:r w:rsidR="00A20832" w:rsidRPr="00576AF8">
              <w:tab/>
              <w:t>huelga, sabotaje, cierre patronal, embargo, restricción de importaciones, congestión portuaria, falta de los medios habituales de transporte público y comunicaciones, conflicto industrial, naufragio, escasez o restricción del suministro de electricidad, epidemia, cuarentena y peste;</w:t>
            </w:r>
          </w:p>
          <w:p w14:paraId="364FCA82" w14:textId="77777777" w:rsidR="00A20832" w:rsidRPr="00576AF8" w:rsidRDefault="002638F4" w:rsidP="002638F4">
            <w:pPr>
              <w:keepNext/>
              <w:keepLines/>
              <w:spacing w:before="240" w:after="200"/>
              <w:ind w:left="1094" w:right="-33" w:hanging="547"/>
              <w:outlineLvl w:val="4"/>
            </w:pPr>
            <w:r w:rsidRPr="00576AF8">
              <w:t>(</w:t>
            </w:r>
            <w:r w:rsidR="00A20832" w:rsidRPr="00576AF8">
              <w:t>e)</w:t>
            </w:r>
            <w:r w:rsidR="00A20832" w:rsidRPr="00576AF8">
              <w:tab/>
              <w:t xml:space="preserve">terremoto, deslizamiento de tierras, actividad volcánica, incendio, inundación, maremoto, tifón o ciclón, huracán, tormenta, rayos u otras inclemencias atmosféricas, </w:t>
            </w:r>
            <w:r w:rsidRPr="00576AF8">
              <w:br/>
            </w:r>
            <w:r w:rsidR="00A20832" w:rsidRPr="00576AF8">
              <w:t>ondas de choque y ondas nucleares</w:t>
            </w:r>
            <w:r w:rsidR="00A473F2" w:rsidRPr="00576AF8">
              <w:t>,</w:t>
            </w:r>
            <w:r w:rsidR="00A20832" w:rsidRPr="00576AF8">
              <w:t xml:space="preserve"> u otros desastres naturales o físicos; </w:t>
            </w:r>
          </w:p>
          <w:p w14:paraId="2E18BFAF" w14:textId="77777777" w:rsidR="00A20832" w:rsidRPr="00576AF8" w:rsidRDefault="002638F4" w:rsidP="002638F4">
            <w:pPr>
              <w:keepNext/>
              <w:keepLines/>
              <w:spacing w:before="240" w:after="200"/>
              <w:ind w:left="1094" w:right="-33" w:hanging="547"/>
              <w:outlineLvl w:val="4"/>
            </w:pPr>
            <w:r w:rsidRPr="00576AF8">
              <w:t>(</w:t>
            </w:r>
            <w:r w:rsidR="00A20832" w:rsidRPr="00576AF8">
              <w:t xml:space="preserve">f) </w:t>
            </w:r>
            <w:r w:rsidR="00A20832" w:rsidRPr="00576AF8">
              <w:tab/>
              <w:t>imposibilidad del Proveedor de obtener los permisos de exportación necesarios emitidos por el Gobierno del país de origen de las tecnologías de la información o de otros bienes o de los equipos del Proveedor, siempre que este haya realizado todos los esfuerzos razonables necesarios a fin de obtener dichos permisos, incluido el ejercicio de la diligencia debida para determinar la elegibilidad del Sistema y de todos sus componentes para obtener los permisos de exportación requeridos.</w:t>
            </w:r>
          </w:p>
          <w:p w14:paraId="067E69FB" w14:textId="77777777" w:rsidR="00A20832" w:rsidRPr="00576AF8" w:rsidRDefault="00A20832" w:rsidP="002638F4">
            <w:pPr>
              <w:keepNext/>
              <w:keepLines/>
              <w:spacing w:before="240" w:after="200"/>
              <w:ind w:left="547" w:right="-33" w:hanging="547"/>
              <w:outlineLvl w:val="4"/>
            </w:pPr>
            <w:r w:rsidRPr="00576AF8">
              <w:t>38.2</w:t>
            </w:r>
            <w:r w:rsidRPr="00576AF8">
              <w:tab/>
              <w:t xml:space="preserve">Si una de las Partes se ve impedida, obstaculizada o demorada en el cumplimiento de cualquiera de sus obligaciones en virtud del Contrato por un </w:t>
            </w:r>
            <w:r w:rsidR="00A473F2" w:rsidRPr="00576AF8">
              <w:t xml:space="preserve">supuesto </w:t>
            </w:r>
            <w:r w:rsidRPr="00576AF8">
              <w:t>de fuerza mayor, deberá notificar por escrito a la otra Parte</w:t>
            </w:r>
            <w:r w:rsidR="00A473F2" w:rsidRPr="00576AF8">
              <w:t xml:space="preserve"> sobre ese supuesto y las circunstancias en que se produjo</w:t>
            </w:r>
            <w:r w:rsidRPr="00576AF8">
              <w:t xml:space="preserve">, dentro de los catorce (14) días de </w:t>
            </w:r>
            <w:r w:rsidR="00A473F2" w:rsidRPr="00576AF8">
              <w:t>ocurrido</w:t>
            </w:r>
            <w:r w:rsidRPr="00576AF8">
              <w:t>.</w:t>
            </w:r>
          </w:p>
          <w:p w14:paraId="3AB467A6" w14:textId="77777777" w:rsidR="00A20832" w:rsidRPr="00576AF8" w:rsidRDefault="00A20832" w:rsidP="002638F4">
            <w:pPr>
              <w:keepNext/>
              <w:keepLines/>
              <w:spacing w:before="240" w:after="200"/>
              <w:ind w:left="547" w:right="-33" w:hanging="547"/>
              <w:outlineLvl w:val="4"/>
            </w:pPr>
            <w:r w:rsidRPr="00576AF8">
              <w:t>38.3</w:t>
            </w:r>
            <w:r w:rsidRPr="00576AF8">
              <w:tab/>
              <w:t xml:space="preserve">La Parte que efectúe tal notificación quedará dispensada del cumplimiento o el cumplimiento puntual de sus obligaciones en virtud del Contrato durante el tiempo en que continúe el </w:t>
            </w:r>
            <w:r w:rsidR="00A473F2" w:rsidRPr="00576AF8">
              <w:t xml:space="preserve">supuesto </w:t>
            </w:r>
            <w:r w:rsidRPr="00576AF8">
              <w:t xml:space="preserve">de fuerza mayor y en la medida en que el cumplimiento </w:t>
            </w:r>
            <w:r w:rsidRPr="00576AF8">
              <w:lastRenderedPageBreak/>
              <w:t xml:space="preserve">de las obligaciones de esa Parte se vea impedido, obstaculizado o demorado. El plazo para obtener la aceptación operativa se extenderá de conformidad con la cláusula 40 de las CGC (“Prórroga del plazo para obtener la aceptación operativa”). </w:t>
            </w:r>
          </w:p>
          <w:p w14:paraId="35F91E40" w14:textId="77777777" w:rsidR="00A20832" w:rsidRPr="00576AF8" w:rsidRDefault="00A20832" w:rsidP="002638F4">
            <w:pPr>
              <w:keepNext/>
              <w:keepLines/>
              <w:spacing w:before="240" w:after="200"/>
              <w:ind w:left="547" w:right="-33" w:hanging="547"/>
              <w:outlineLvl w:val="4"/>
            </w:pPr>
            <w:r w:rsidRPr="00576AF8">
              <w:t>38.4</w:t>
            </w:r>
            <w:r w:rsidRPr="00576AF8">
              <w:tab/>
              <w:t xml:space="preserve">La Parte o las Partes afectadas por el </w:t>
            </w:r>
            <w:r w:rsidR="00A473F2" w:rsidRPr="00576AF8">
              <w:t xml:space="preserve">supuesto </w:t>
            </w:r>
            <w:r w:rsidRPr="00576AF8">
              <w:t xml:space="preserve">de fuerza mayor harán todos los esfuerzos razonables por mitigar los efectos de dicho </w:t>
            </w:r>
            <w:r w:rsidR="00A473F2" w:rsidRPr="00576AF8">
              <w:t xml:space="preserve">supuesto </w:t>
            </w:r>
            <w:r w:rsidRPr="00576AF8">
              <w:t xml:space="preserve">sobre la ejecución del Contrato y por cumplir sus obligaciones contractuales, sin perjuicio del derecho de la </w:t>
            </w:r>
            <w:r w:rsidR="002638F4" w:rsidRPr="00576AF8">
              <w:br/>
            </w:r>
            <w:r w:rsidRPr="00576AF8">
              <w:t xml:space="preserve">otra Parte a </w:t>
            </w:r>
            <w:r w:rsidR="00660850" w:rsidRPr="00576AF8">
              <w:t xml:space="preserve">terminar </w:t>
            </w:r>
            <w:r w:rsidRPr="00576AF8">
              <w:t>el Contrato conforme a la cláusula 38.6 de las CGC.</w:t>
            </w:r>
          </w:p>
          <w:p w14:paraId="310A5A03" w14:textId="77777777" w:rsidR="00A20832" w:rsidRPr="00576AF8" w:rsidRDefault="00A20832" w:rsidP="002638F4">
            <w:pPr>
              <w:keepNext/>
              <w:keepLines/>
              <w:spacing w:before="240" w:after="200"/>
              <w:ind w:left="547" w:right="-33" w:hanging="547"/>
              <w:outlineLvl w:val="4"/>
            </w:pPr>
            <w:r w:rsidRPr="00576AF8">
              <w:t>38.5</w:t>
            </w:r>
            <w:r w:rsidRPr="00576AF8">
              <w:tab/>
              <w:t xml:space="preserve">Ninguna demora o incumplimiento de ninguna de las Partes en este Contrato ocasionada por un </w:t>
            </w:r>
            <w:r w:rsidR="00A473F2" w:rsidRPr="00576AF8">
              <w:t xml:space="preserve">supuesto </w:t>
            </w:r>
            <w:r w:rsidRPr="00576AF8">
              <w:t>de fuerza mayor:</w:t>
            </w:r>
          </w:p>
          <w:p w14:paraId="752BF9FB" w14:textId="77777777" w:rsidR="00A20832" w:rsidRPr="00576AF8" w:rsidRDefault="002638F4" w:rsidP="002638F4">
            <w:pPr>
              <w:keepNext/>
              <w:keepLines/>
              <w:spacing w:before="240" w:after="200"/>
              <w:ind w:left="1094" w:right="-33" w:hanging="547"/>
              <w:outlineLvl w:val="4"/>
            </w:pPr>
            <w:r w:rsidRPr="00576AF8">
              <w:t>(</w:t>
            </w:r>
            <w:r w:rsidR="00A20832" w:rsidRPr="00576AF8">
              <w:t>a)</w:t>
            </w:r>
            <w:r w:rsidR="00A20832" w:rsidRPr="00576AF8">
              <w:tab/>
              <w:t xml:space="preserve">constituirá </w:t>
            </w:r>
            <w:r w:rsidR="00A473F2" w:rsidRPr="00576AF8">
              <w:t xml:space="preserve">un </w:t>
            </w:r>
            <w:r w:rsidR="00A20832" w:rsidRPr="00576AF8">
              <w:t xml:space="preserve">incumplimiento o </w:t>
            </w:r>
            <w:r w:rsidR="00A473F2" w:rsidRPr="00576AF8">
              <w:t xml:space="preserve">violación </w:t>
            </w:r>
            <w:r w:rsidR="00A20832" w:rsidRPr="00576AF8">
              <w:t>del Contrato;</w:t>
            </w:r>
          </w:p>
          <w:p w14:paraId="33220AAB" w14:textId="77777777" w:rsidR="00A20832" w:rsidRPr="00576AF8" w:rsidRDefault="002638F4" w:rsidP="002638F4">
            <w:pPr>
              <w:keepNext/>
              <w:keepLines/>
              <w:spacing w:before="240" w:after="200"/>
              <w:ind w:left="1094" w:right="-33" w:hanging="547"/>
              <w:outlineLvl w:val="4"/>
            </w:pPr>
            <w:r w:rsidRPr="00576AF8">
              <w:t>(</w:t>
            </w:r>
            <w:r w:rsidR="00A20832" w:rsidRPr="00576AF8">
              <w:t>b)</w:t>
            </w:r>
            <w:r w:rsidR="00A20832" w:rsidRPr="00576AF8">
              <w:tab/>
              <w:t xml:space="preserve">(con sujeción a las cláusulas 35.2, 38.3 y 38.4 de las CGC) dará lugar a una reclamación por daños y perjuicios o por los costos o gastos adicionales ocasionados por la demora o incumplimiento, </w:t>
            </w:r>
          </w:p>
          <w:p w14:paraId="3C001EF5" w14:textId="77777777" w:rsidR="00A20832" w:rsidRPr="00576AF8" w:rsidRDefault="00A20832" w:rsidP="002638F4">
            <w:pPr>
              <w:keepNext/>
              <w:keepLines/>
              <w:spacing w:before="240" w:after="200"/>
              <w:ind w:left="540" w:right="-33"/>
              <w:outlineLvl w:val="4"/>
            </w:pPr>
            <w:r w:rsidRPr="00576AF8">
              <w:t xml:space="preserve">en la medida en que tal demora o </w:t>
            </w:r>
            <w:r w:rsidR="00A473F2" w:rsidRPr="00576AF8">
              <w:t xml:space="preserve">incumplimiento </w:t>
            </w:r>
            <w:r w:rsidRPr="00576AF8">
              <w:t>sea ocasionad</w:t>
            </w:r>
            <w:r w:rsidR="00A473F2" w:rsidRPr="00576AF8">
              <w:t>o</w:t>
            </w:r>
            <w:r w:rsidRPr="00576AF8">
              <w:t xml:space="preserve"> por un </w:t>
            </w:r>
            <w:r w:rsidR="00A473F2" w:rsidRPr="00576AF8">
              <w:t xml:space="preserve">supuesto </w:t>
            </w:r>
            <w:r w:rsidRPr="00576AF8">
              <w:t>de fuerza mayor.</w:t>
            </w:r>
          </w:p>
          <w:p w14:paraId="6BB078DD" w14:textId="77777777" w:rsidR="00A20832" w:rsidRPr="00576AF8" w:rsidRDefault="00A20832" w:rsidP="002638F4">
            <w:pPr>
              <w:keepNext/>
              <w:keepLines/>
              <w:spacing w:before="240" w:after="200"/>
              <w:ind w:left="547" w:right="-33" w:hanging="547"/>
              <w:outlineLvl w:val="4"/>
            </w:pPr>
            <w:r w:rsidRPr="00576AF8">
              <w:t>38.6</w:t>
            </w:r>
            <w:r w:rsidRPr="00576AF8">
              <w:tab/>
              <w:t xml:space="preserve">Si la ejecución del Contrato se ve sustancialmente impedida, obstaculizada o demorada por un solo período de más de sesenta (60) días o </w:t>
            </w:r>
            <w:r w:rsidR="00A473F2" w:rsidRPr="00576AF8">
              <w:t xml:space="preserve">por </w:t>
            </w:r>
            <w:r w:rsidRPr="00576AF8">
              <w:t xml:space="preserve">un período acumulado de más de ciento veinte (120) días a causa de uno o más </w:t>
            </w:r>
            <w:r w:rsidR="00A473F2" w:rsidRPr="00576AF8">
              <w:t xml:space="preserve">supuestos </w:t>
            </w:r>
            <w:r w:rsidRPr="00576AF8">
              <w:t xml:space="preserve">de fuerza mayor durante el plazo que abarca el Contrato, las Partes procurarán llegar a una solución mutuamente satisfactoria, a falta de lo cual cualquiera de ellas podrá </w:t>
            </w:r>
            <w:r w:rsidR="00660850" w:rsidRPr="00576AF8">
              <w:t xml:space="preserve">terminar </w:t>
            </w:r>
            <w:r w:rsidRPr="00576AF8">
              <w:t>el Contrato previa notificación a la otra Parte.</w:t>
            </w:r>
          </w:p>
          <w:p w14:paraId="6C19AAA5" w14:textId="77777777" w:rsidR="00A20832" w:rsidRPr="00576AF8" w:rsidRDefault="00A20832" w:rsidP="002638F4">
            <w:pPr>
              <w:keepNext/>
              <w:keepLines/>
              <w:spacing w:before="240" w:after="200"/>
              <w:ind w:left="547" w:right="-33" w:hanging="547"/>
              <w:outlineLvl w:val="4"/>
            </w:pPr>
            <w:r w:rsidRPr="00576AF8">
              <w:t>38.7</w:t>
            </w:r>
            <w:r w:rsidRPr="00576AF8">
              <w:tab/>
              <w:t>En caso de rescisión del Contrato de conformidad con la cláusula 38.6 precedente, los derechos y obligaciones del Comprador y del Proveedor serán los especificados en las cláusulas 41.1.2 y 41.1.3 de las CGC.</w:t>
            </w:r>
          </w:p>
          <w:p w14:paraId="2FB47F97" w14:textId="77777777" w:rsidR="00A20832" w:rsidRPr="00576AF8" w:rsidRDefault="00A20832" w:rsidP="002638F4">
            <w:pPr>
              <w:keepNext/>
              <w:keepLines/>
              <w:spacing w:before="240" w:after="200"/>
              <w:ind w:left="540" w:right="-33" w:hanging="540"/>
              <w:outlineLvl w:val="4"/>
            </w:pPr>
            <w:r w:rsidRPr="00576AF8">
              <w:t>38.8</w:t>
            </w:r>
            <w:r w:rsidRPr="00576AF8">
              <w:tab/>
              <w:t xml:space="preserve">No obstante lo dispuesto en la cláusula 38.5 de las CGC, </w:t>
            </w:r>
            <w:r w:rsidR="002638F4" w:rsidRPr="00576AF8">
              <w:br/>
            </w:r>
            <w:r w:rsidRPr="00576AF8">
              <w:t>el supuesto de fuerza mayor no se aplicará a ninguna obligación del Comprador de efectuar pagos al Proveedor de acuerdo con este Contrato.</w:t>
            </w:r>
          </w:p>
        </w:tc>
      </w:tr>
    </w:tbl>
    <w:p w14:paraId="33763DC4" w14:textId="77777777" w:rsidR="00A20832" w:rsidRPr="00576AF8" w:rsidRDefault="00A20832" w:rsidP="00A20832">
      <w:pPr>
        <w:pStyle w:val="Head61"/>
        <w:rPr>
          <w:rFonts w:ascii="Times New Roman" w:hAnsi="Times New Roman"/>
        </w:rPr>
      </w:pPr>
      <w:bookmarkStart w:id="1592" w:name="_Toc277233362"/>
      <w:bookmarkStart w:id="1593" w:name="_Toc488959061"/>
      <w:r w:rsidRPr="00576AF8">
        <w:rPr>
          <w:rFonts w:ascii="Times New Roman" w:hAnsi="Times New Roman"/>
        </w:rPr>
        <w:lastRenderedPageBreak/>
        <w:t>H.</w:t>
      </w:r>
      <w:r w:rsidR="006803FC" w:rsidRPr="00576AF8">
        <w:rPr>
          <w:rFonts w:ascii="Times New Roman" w:hAnsi="Times New Roman"/>
        </w:rPr>
        <w:t xml:space="preserve">  </w:t>
      </w:r>
      <w:r w:rsidRPr="00576AF8">
        <w:rPr>
          <w:rFonts w:ascii="Times New Roman" w:hAnsi="Times New Roman"/>
        </w:rPr>
        <w:t>Cambio en los elementos del Contrato</w:t>
      </w:r>
      <w:bookmarkEnd w:id="1592"/>
      <w:bookmarkEnd w:id="1593"/>
    </w:p>
    <w:tbl>
      <w:tblPr>
        <w:tblW w:w="0" w:type="auto"/>
        <w:tblLayout w:type="fixed"/>
        <w:tblLook w:val="0000" w:firstRow="0" w:lastRow="0" w:firstColumn="0" w:lastColumn="0" w:noHBand="0" w:noVBand="0"/>
      </w:tblPr>
      <w:tblGrid>
        <w:gridCol w:w="2520"/>
        <w:gridCol w:w="6836"/>
      </w:tblGrid>
      <w:tr w:rsidR="00A20832" w:rsidRPr="00576AF8" w14:paraId="5AAB01F2" w14:textId="77777777" w:rsidTr="002638F4">
        <w:tc>
          <w:tcPr>
            <w:tcW w:w="2520" w:type="dxa"/>
          </w:tcPr>
          <w:p w14:paraId="5A2C638A" w14:textId="77777777" w:rsidR="00A20832" w:rsidRPr="00576AF8" w:rsidRDefault="00A20832" w:rsidP="00A35BE3">
            <w:pPr>
              <w:pStyle w:val="Head62"/>
            </w:pPr>
            <w:bookmarkStart w:id="1594" w:name="_Toc277233363"/>
            <w:bookmarkStart w:id="1595" w:name="_Toc488959062"/>
            <w:r w:rsidRPr="00576AF8">
              <w:t>39.</w:t>
            </w:r>
            <w:r w:rsidRPr="00576AF8">
              <w:tab/>
              <w:t>Cambios en el</w:t>
            </w:r>
            <w:r w:rsidR="006501EA" w:rsidRPr="00576AF8">
              <w:t> </w:t>
            </w:r>
            <w:r w:rsidRPr="00576AF8">
              <w:t>Sistema</w:t>
            </w:r>
            <w:bookmarkEnd w:id="1594"/>
            <w:bookmarkEnd w:id="1595"/>
          </w:p>
        </w:tc>
        <w:tc>
          <w:tcPr>
            <w:tcW w:w="6836" w:type="dxa"/>
          </w:tcPr>
          <w:p w14:paraId="73F38F14" w14:textId="77777777" w:rsidR="00A20832" w:rsidRPr="00576AF8" w:rsidRDefault="00A20832" w:rsidP="00900EDE">
            <w:pPr>
              <w:keepNext/>
              <w:keepLines/>
              <w:spacing w:before="240" w:after="200"/>
              <w:ind w:left="540" w:right="-19" w:hanging="540"/>
              <w:outlineLvl w:val="4"/>
            </w:pPr>
            <w:r w:rsidRPr="00576AF8">
              <w:t>39.1</w:t>
            </w:r>
            <w:r w:rsidRPr="00576AF8">
              <w:tab/>
              <w:t xml:space="preserve">Introducción de un cambio </w:t>
            </w:r>
          </w:p>
          <w:p w14:paraId="61C4EC52" w14:textId="77777777" w:rsidR="00A20832" w:rsidRPr="00576AF8" w:rsidRDefault="00A20832" w:rsidP="00900EDE">
            <w:pPr>
              <w:keepNext/>
              <w:keepLines/>
              <w:spacing w:before="240" w:after="200"/>
              <w:ind w:left="1350" w:right="-19" w:hanging="810"/>
              <w:outlineLvl w:val="4"/>
            </w:pPr>
            <w:r w:rsidRPr="00576AF8">
              <w:t>39.1.1</w:t>
            </w:r>
            <w:r w:rsidRPr="00576AF8">
              <w:tab/>
              <w:t>Con sujeción a las cláusulas 39.2.5 y 39.2.7 de las CGC, el Comprador tendrá derecho a proponer y luego requerir que el gerente de proyecto ordene ocasionalmente al Proveedor hacer algún cambio, modificación, adición o supresión en el Sistema (denominados indistintamente “cambio”) durante el cumplimiento del Contrato, siempre que ese cambio se inscriba dentro del alcance general del Sistema y no constituya un trabajo no relacionado, y que sea viable</w:t>
            </w:r>
            <w:r w:rsidR="001A6BFB" w:rsidRPr="00576AF8">
              <w:t xml:space="preserve"> desde el punto de vista técnico</w:t>
            </w:r>
            <w:r w:rsidRPr="00576AF8">
              <w:t>, teniendo en cuenta el grado de avance del Sistema y la compatibilidad técnica del cambio previsto con la naturaleza del Sistema según se especifica originalmente en el Contrato.</w:t>
            </w:r>
          </w:p>
        </w:tc>
      </w:tr>
      <w:tr w:rsidR="00A20832" w:rsidRPr="00576AF8" w14:paraId="5E73DEAF" w14:textId="77777777" w:rsidTr="002638F4">
        <w:tc>
          <w:tcPr>
            <w:tcW w:w="2520" w:type="dxa"/>
          </w:tcPr>
          <w:p w14:paraId="6D7679ED" w14:textId="77777777" w:rsidR="00A20832" w:rsidRPr="00576AF8" w:rsidRDefault="00A20832" w:rsidP="00A35BE3">
            <w:pPr>
              <w:spacing w:after="0"/>
              <w:jc w:val="left"/>
            </w:pPr>
          </w:p>
        </w:tc>
        <w:tc>
          <w:tcPr>
            <w:tcW w:w="6836" w:type="dxa"/>
          </w:tcPr>
          <w:p w14:paraId="75307134" w14:textId="77777777" w:rsidR="00A20832" w:rsidRPr="00576AF8" w:rsidRDefault="00A20832" w:rsidP="00900EDE">
            <w:pPr>
              <w:keepNext/>
              <w:keepLines/>
              <w:spacing w:before="240" w:after="200"/>
              <w:ind w:left="1354" w:right="-19"/>
              <w:outlineLvl w:val="4"/>
            </w:pPr>
            <w:r w:rsidRPr="00576AF8">
              <w:t xml:space="preserve">Un cambio puede conllevar, entre otras cosas, la sustitución de tecnologías de la información y los servicios conexos por versiones actualizadas, de conformidad con la cláusula 23 de las CGC (“Versiones mejoradas de los productos”). </w:t>
            </w:r>
          </w:p>
        </w:tc>
      </w:tr>
      <w:tr w:rsidR="00A20832" w:rsidRPr="00576AF8" w14:paraId="4F831715" w14:textId="77777777" w:rsidTr="002638F4">
        <w:tc>
          <w:tcPr>
            <w:tcW w:w="2520" w:type="dxa"/>
          </w:tcPr>
          <w:p w14:paraId="1E32D716" w14:textId="77777777" w:rsidR="00A20832" w:rsidRPr="00576AF8" w:rsidRDefault="00A20832" w:rsidP="00A35BE3">
            <w:pPr>
              <w:spacing w:after="0"/>
              <w:jc w:val="left"/>
            </w:pPr>
          </w:p>
        </w:tc>
        <w:tc>
          <w:tcPr>
            <w:tcW w:w="6836" w:type="dxa"/>
          </w:tcPr>
          <w:p w14:paraId="1F7235F8" w14:textId="77777777" w:rsidR="00A20832" w:rsidRPr="00576AF8" w:rsidRDefault="00A20832" w:rsidP="00900EDE">
            <w:pPr>
              <w:spacing w:after="200"/>
              <w:ind w:left="1353" w:right="-19" w:hanging="806"/>
              <w:rPr>
                <w:spacing w:val="-4"/>
              </w:rPr>
            </w:pPr>
            <w:r w:rsidRPr="00576AF8">
              <w:rPr>
                <w:spacing w:val="-4"/>
              </w:rPr>
              <w:t>39.1.2.</w:t>
            </w:r>
            <w:r w:rsidRPr="00576AF8">
              <w:rPr>
                <w:spacing w:val="-4"/>
              </w:rPr>
              <w:tab/>
              <w:t xml:space="preserve">El Proveedor podrá ocasionalmente durante la ejecución del Contrato proponer al Comprador (con copia al gerente de proyecto) todo cambio que considere necesario o deseable para mejorar la calidad o la eficiencia del Sistema. El Comprador podrá aprobar o rechazar, a discreción, cualquier cambio propuesto por el Proveedor. </w:t>
            </w:r>
          </w:p>
          <w:p w14:paraId="7B8D2FCD" w14:textId="77777777" w:rsidR="00A20832" w:rsidRPr="00576AF8" w:rsidRDefault="00A20832" w:rsidP="00900EDE">
            <w:pPr>
              <w:keepNext/>
              <w:keepLines/>
              <w:spacing w:before="240" w:after="200"/>
              <w:ind w:left="1353" w:right="-19" w:hanging="806"/>
              <w:outlineLvl w:val="4"/>
            </w:pPr>
            <w:r w:rsidRPr="00576AF8">
              <w:lastRenderedPageBreak/>
              <w:t>39.1.3</w:t>
            </w:r>
            <w:r w:rsidRPr="00576AF8">
              <w:tab/>
              <w:t xml:space="preserve">No obstante lo dispuesto en las cláusulas 39.1.1 y 39.1.2 de las CGC, ninguna modificación que resulte necesaria a causa de un incumplimiento del Proveedor respecto de sus obligaciones contractuales se considerará como cambio, y esa modificación no dará lugar a ningún ajuste del precio del Contrato ni del plazo para obtener la aceptación operativa. </w:t>
            </w:r>
          </w:p>
          <w:p w14:paraId="726FBAF7" w14:textId="77777777" w:rsidR="00A20832" w:rsidRPr="00576AF8" w:rsidRDefault="00A20832" w:rsidP="00900EDE">
            <w:pPr>
              <w:keepNext/>
              <w:keepLines/>
              <w:spacing w:before="240" w:after="200"/>
              <w:ind w:left="1350" w:right="-19" w:hanging="810"/>
              <w:outlineLvl w:val="4"/>
            </w:pPr>
            <w:r w:rsidRPr="00576AF8">
              <w:t>39.1.4</w:t>
            </w:r>
            <w:r w:rsidRPr="00576AF8">
              <w:tab/>
              <w:t xml:space="preserve">El procedimiento para efectuar los cambios se especifica en las cláusulas 39.2 y 39.3 de las CGC, y los demás detalles y formularios correspondientes figuran en la sección </w:t>
            </w:r>
            <w:r w:rsidR="00EB7BE3" w:rsidRPr="00576AF8">
              <w:t xml:space="preserve">de </w:t>
            </w:r>
            <w:r w:rsidR="00CB706D" w:rsidRPr="00576AF8">
              <w:t xml:space="preserve">modelos de </w:t>
            </w:r>
            <w:r w:rsidR="00EB7BE3" w:rsidRPr="00576AF8">
              <w:t>formularios de</w:t>
            </w:r>
            <w:r w:rsidR="00CB706D" w:rsidRPr="00576AF8">
              <w:t>l</w:t>
            </w:r>
            <w:r w:rsidR="00EB7BE3" w:rsidRPr="00576AF8">
              <w:t xml:space="preserve"> </w:t>
            </w:r>
            <w:r w:rsidR="00CB706D" w:rsidRPr="00576AF8">
              <w:t>C</w:t>
            </w:r>
            <w:r w:rsidR="00EB7BE3" w:rsidRPr="00576AF8">
              <w:t xml:space="preserve">ontrato </w:t>
            </w:r>
            <w:r w:rsidR="00A83F3E" w:rsidRPr="00576AF8">
              <w:t xml:space="preserve">del </w:t>
            </w:r>
            <w:r w:rsidR="00807C34" w:rsidRPr="00576AF8">
              <w:t>documento de licitación</w:t>
            </w:r>
            <w:r w:rsidRPr="00576AF8">
              <w:t>.</w:t>
            </w:r>
          </w:p>
          <w:p w14:paraId="43647A5C" w14:textId="77777777" w:rsidR="00A20832" w:rsidRPr="00576AF8" w:rsidRDefault="00A20832" w:rsidP="00900EDE">
            <w:pPr>
              <w:keepNext/>
              <w:keepLines/>
              <w:spacing w:before="240" w:after="200"/>
              <w:ind w:left="1350" w:right="-19" w:hanging="810"/>
              <w:outlineLvl w:val="4"/>
            </w:pPr>
            <w:r w:rsidRPr="00576AF8">
              <w:t>39.1.5</w:t>
            </w:r>
            <w:r w:rsidRPr="00576AF8">
              <w:tab/>
              <w:t xml:space="preserve">Asimismo, el Comprador y el Proveedor acordarán durante el desarrollo del plan del Proyecto una fecha anterior a la prevista para la aceptación operativa, después de la cual se “congelarán” los requisitos técnicos exigidos para el Sistema. Todo cambio que se inicie con posterioridad a esa fecha se abordará después de la aceptación operativa. </w:t>
            </w:r>
          </w:p>
          <w:p w14:paraId="00B6F32B" w14:textId="77777777" w:rsidR="00A20832" w:rsidRPr="00576AF8" w:rsidRDefault="00A20832" w:rsidP="00900EDE">
            <w:pPr>
              <w:keepNext/>
              <w:keepLines/>
              <w:spacing w:before="240" w:after="200"/>
              <w:ind w:left="540" w:right="-19" w:hanging="540"/>
              <w:outlineLvl w:val="4"/>
            </w:pPr>
            <w:r w:rsidRPr="00576AF8">
              <w:t>39.2</w:t>
            </w:r>
            <w:r w:rsidRPr="00576AF8">
              <w:tab/>
              <w:t>Cambios originados por el Comprador</w:t>
            </w:r>
          </w:p>
          <w:p w14:paraId="059B60A3" w14:textId="77777777" w:rsidR="00A20832" w:rsidRPr="00576AF8" w:rsidRDefault="00A20832" w:rsidP="00900EDE">
            <w:pPr>
              <w:keepNext/>
              <w:keepLines/>
              <w:spacing w:before="240" w:after="200"/>
              <w:ind w:left="1353" w:right="-19" w:hanging="806"/>
              <w:outlineLvl w:val="4"/>
            </w:pPr>
            <w:r w:rsidRPr="00576AF8">
              <w:t>39.2.1</w:t>
            </w:r>
            <w:r w:rsidRPr="00576AF8">
              <w:tab/>
              <w:t>Si el Comprador propone un cambio de conformidad con la cláusula 39.1.1 de las CGC, enviará al Proveedor un “</w:t>
            </w:r>
            <w:r w:rsidR="002F374A" w:rsidRPr="00576AF8">
              <w:t>p</w:t>
            </w:r>
            <w:r w:rsidRPr="00576AF8">
              <w:t xml:space="preserve">edido de presentación de propuesta de cambio”, en el que pedirá al Proveedor que prepare </w:t>
            </w:r>
            <w:r w:rsidR="002F374A" w:rsidRPr="00576AF8">
              <w:t xml:space="preserve">y proporcione al gerente de proyecto </w:t>
            </w:r>
            <w:r w:rsidRPr="00576AF8">
              <w:t>en el menor plazo razonablemente factible una “</w:t>
            </w:r>
            <w:r w:rsidR="002F374A" w:rsidRPr="00576AF8">
              <w:t>p</w:t>
            </w:r>
            <w:r w:rsidRPr="00576AF8">
              <w:t>ropuesta de cambio”, que incluirá lo siguiente:</w:t>
            </w:r>
          </w:p>
          <w:p w14:paraId="34D7008B" w14:textId="77777777" w:rsidR="00A20832" w:rsidRPr="00576AF8" w:rsidRDefault="00900EDE" w:rsidP="00900EDE">
            <w:pPr>
              <w:keepNext/>
              <w:keepLines/>
              <w:spacing w:before="240" w:after="200"/>
              <w:ind w:left="1714" w:right="-19" w:hanging="360"/>
              <w:outlineLvl w:val="4"/>
            </w:pPr>
            <w:r w:rsidRPr="00576AF8">
              <w:t>(</w:t>
            </w:r>
            <w:r w:rsidR="00A20832" w:rsidRPr="00576AF8">
              <w:t>a)</w:t>
            </w:r>
            <w:r w:rsidR="00A20832" w:rsidRPr="00576AF8">
              <w:tab/>
              <w:t>una breve descripción del cambio;</w:t>
            </w:r>
          </w:p>
          <w:p w14:paraId="373CA3BB" w14:textId="77777777" w:rsidR="00A20832" w:rsidRPr="00576AF8" w:rsidRDefault="00900EDE" w:rsidP="00900EDE">
            <w:pPr>
              <w:keepNext/>
              <w:keepLines/>
              <w:spacing w:before="240" w:after="200"/>
              <w:ind w:left="1714" w:right="-19" w:hanging="360"/>
              <w:outlineLvl w:val="4"/>
            </w:pPr>
            <w:r w:rsidRPr="00576AF8">
              <w:t>(</w:t>
            </w:r>
            <w:r w:rsidR="00A20832" w:rsidRPr="00576AF8">
              <w:t>b)</w:t>
            </w:r>
            <w:r w:rsidR="00A20832" w:rsidRPr="00576AF8">
              <w:tab/>
              <w:t>el efecto del cambio en el plazo para obtener la aceptación operativa;</w:t>
            </w:r>
          </w:p>
          <w:p w14:paraId="2C61FF36" w14:textId="77777777" w:rsidR="00A20832" w:rsidRPr="00576AF8" w:rsidRDefault="00900EDE" w:rsidP="00900EDE">
            <w:pPr>
              <w:keepNext/>
              <w:keepLines/>
              <w:spacing w:before="240" w:after="200"/>
              <w:ind w:left="1714" w:right="-19" w:hanging="360"/>
              <w:outlineLvl w:val="4"/>
            </w:pPr>
            <w:r w:rsidRPr="00576AF8">
              <w:t>(</w:t>
            </w:r>
            <w:r w:rsidR="00A20832" w:rsidRPr="00576AF8">
              <w:t>c)</w:t>
            </w:r>
            <w:r w:rsidR="00A20832" w:rsidRPr="00576AF8">
              <w:tab/>
              <w:t>la estimación detallada del costo del cambio;</w:t>
            </w:r>
          </w:p>
          <w:p w14:paraId="46887450" w14:textId="77777777" w:rsidR="00A20832" w:rsidRPr="00576AF8" w:rsidRDefault="00900EDE" w:rsidP="00900EDE">
            <w:pPr>
              <w:keepNext/>
              <w:keepLines/>
              <w:spacing w:before="240" w:after="200"/>
              <w:ind w:left="1714" w:right="-19" w:hanging="360"/>
              <w:outlineLvl w:val="4"/>
            </w:pPr>
            <w:r w:rsidRPr="00576AF8">
              <w:t>(</w:t>
            </w:r>
            <w:r w:rsidR="00A20832" w:rsidRPr="00576AF8">
              <w:t>d)</w:t>
            </w:r>
            <w:r w:rsidR="00A20832" w:rsidRPr="00576AF8">
              <w:tab/>
              <w:t>el efecto del cambio en las garantías de funcionamiento (si lo hubiera);</w:t>
            </w:r>
          </w:p>
          <w:p w14:paraId="7BE2F5A7" w14:textId="77777777" w:rsidR="00A20832" w:rsidRPr="00576AF8" w:rsidRDefault="00900EDE" w:rsidP="00900EDE">
            <w:pPr>
              <w:keepNext/>
              <w:keepLines/>
              <w:spacing w:before="240" w:after="200"/>
              <w:ind w:left="1714" w:right="-19" w:hanging="360"/>
              <w:outlineLvl w:val="4"/>
            </w:pPr>
            <w:r w:rsidRPr="00576AF8">
              <w:t>(</w:t>
            </w:r>
            <w:r w:rsidR="00A20832" w:rsidRPr="00576AF8">
              <w:t>e)</w:t>
            </w:r>
            <w:r w:rsidR="00A20832" w:rsidRPr="00576AF8">
              <w:tab/>
              <w:t>el efecto del cambio en cualquier otra disposición del Contrato.</w:t>
            </w:r>
          </w:p>
          <w:p w14:paraId="4CF70AA4" w14:textId="77777777" w:rsidR="00A20832" w:rsidRPr="00576AF8" w:rsidRDefault="00A20832" w:rsidP="00900EDE">
            <w:pPr>
              <w:keepNext/>
              <w:keepLines/>
              <w:spacing w:before="240" w:after="200"/>
              <w:ind w:left="1353" w:right="-19" w:hanging="806"/>
              <w:outlineLvl w:val="4"/>
            </w:pPr>
            <w:r w:rsidRPr="00576AF8">
              <w:t>39.2.2</w:t>
            </w:r>
            <w:r w:rsidRPr="00576AF8">
              <w:tab/>
              <w:t xml:space="preserve">Antes de preparar y entregar la propuesta de cambio, el Proveedor presentará al gerente de </w:t>
            </w:r>
            <w:r w:rsidR="009C47D4" w:rsidRPr="00576AF8">
              <w:t>p</w:t>
            </w:r>
            <w:r w:rsidRPr="00576AF8">
              <w:t xml:space="preserve">royecto una </w:t>
            </w:r>
            <w:r w:rsidRPr="00576AF8">
              <w:lastRenderedPageBreak/>
              <w:t>“estimación de la propuesta de cambio”, en la que se estimará el costo de preparar la propuesta de cambio, más un esbozo del enfoque sugerido y el costo de la implementación de los cambios. Al recibir del Proveedor la estimación de la propuesta de cambio, el Comprador procederá de una de las siguientes formas:</w:t>
            </w:r>
          </w:p>
          <w:p w14:paraId="3C6022E6" w14:textId="77777777" w:rsidR="00A20832" w:rsidRPr="00576AF8" w:rsidRDefault="00900EDE" w:rsidP="00900EDE">
            <w:pPr>
              <w:keepNext/>
              <w:keepLines/>
              <w:spacing w:before="240" w:after="200"/>
              <w:ind w:left="1714" w:right="-19" w:hanging="360"/>
              <w:outlineLvl w:val="4"/>
            </w:pPr>
            <w:r w:rsidRPr="00576AF8">
              <w:t>(</w:t>
            </w:r>
            <w:r w:rsidR="00A20832" w:rsidRPr="00576AF8">
              <w:t>a)</w:t>
            </w:r>
            <w:r w:rsidR="00A20832" w:rsidRPr="00576AF8">
              <w:tab/>
              <w:t xml:space="preserve">aceptará la estimación del Proveedor y dará a </w:t>
            </w:r>
            <w:proofErr w:type="gramStart"/>
            <w:r w:rsidR="00A20832" w:rsidRPr="00576AF8">
              <w:t>este instrucciones</w:t>
            </w:r>
            <w:proofErr w:type="gramEnd"/>
            <w:r w:rsidR="00A20832" w:rsidRPr="00576AF8">
              <w:t xml:space="preserve"> de preparar la propuesta de cambio;</w:t>
            </w:r>
          </w:p>
          <w:p w14:paraId="4F27ABEB" w14:textId="77777777" w:rsidR="00A20832" w:rsidRPr="00576AF8" w:rsidRDefault="00900EDE" w:rsidP="00900EDE">
            <w:pPr>
              <w:keepNext/>
              <w:keepLines/>
              <w:spacing w:before="240" w:after="200"/>
              <w:ind w:left="1714" w:right="-19" w:hanging="360"/>
              <w:outlineLvl w:val="4"/>
            </w:pPr>
            <w:r w:rsidRPr="00576AF8">
              <w:t>(</w:t>
            </w:r>
            <w:r w:rsidR="00A20832" w:rsidRPr="00576AF8">
              <w:t>b)</w:t>
            </w:r>
            <w:r w:rsidR="00A20832" w:rsidRPr="00576AF8">
              <w:tab/>
              <w:t>señalará al Proveedor las partes de la estimación de la propuesta de cambio que sean inaceptables y le pedirá que las revise;</w:t>
            </w:r>
          </w:p>
          <w:p w14:paraId="3FFB3275" w14:textId="77777777" w:rsidR="00A20832" w:rsidRPr="00576AF8" w:rsidRDefault="00900EDE" w:rsidP="00900EDE">
            <w:pPr>
              <w:keepNext/>
              <w:keepLines/>
              <w:spacing w:before="240" w:after="200"/>
              <w:ind w:left="1714" w:right="-19" w:hanging="360"/>
              <w:outlineLvl w:val="4"/>
            </w:pPr>
            <w:r w:rsidRPr="00576AF8">
              <w:t>(</w:t>
            </w:r>
            <w:r w:rsidR="00A20832" w:rsidRPr="00576AF8">
              <w:t>c)</w:t>
            </w:r>
            <w:r w:rsidR="00A20832" w:rsidRPr="00576AF8">
              <w:tab/>
              <w:t>informará al Proveedor de que no tiene la intención de seguir adelante con el cambio.</w:t>
            </w:r>
          </w:p>
          <w:p w14:paraId="22CB9569" w14:textId="77777777" w:rsidR="00A20832" w:rsidRPr="00576AF8" w:rsidRDefault="00A20832" w:rsidP="00900EDE">
            <w:pPr>
              <w:spacing w:after="200"/>
              <w:ind w:left="1353" w:right="-19" w:hanging="806"/>
              <w:rPr>
                <w:spacing w:val="-2"/>
              </w:rPr>
            </w:pPr>
            <w:r w:rsidRPr="00576AF8">
              <w:rPr>
                <w:spacing w:val="-2"/>
              </w:rPr>
              <w:t>39.2.3</w:t>
            </w:r>
            <w:r w:rsidRPr="00576AF8">
              <w:rPr>
                <w:spacing w:val="-2"/>
              </w:rPr>
              <w:tab/>
              <w:t xml:space="preserve">Al recibir las instrucciones del Comprador de seguir adelante conforme a la cláusula 39.2.2 </w:t>
            </w:r>
            <w:r w:rsidR="00900EDE" w:rsidRPr="00576AF8">
              <w:rPr>
                <w:spacing w:val="-2"/>
              </w:rPr>
              <w:t>(</w:t>
            </w:r>
            <w:r w:rsidRPr="00576AF8">
              <w:rPr>
                <w:spacing w:val="-2"/>
              </w:rPr>
              <w:t xml:space="preserve">a) de las CGC, </w:t>
            </w:r>
            <w:r w:rsidR="00900EDE" w:rsidRPr="00576AF8">
              <w:rPr>
                <w:spacing w:val="-2"/>
              </w:rPr>
              <w:br/>
            </w:r>
            <w:r w:rsidRPr="00576AF8">
              <w:rPr>
                <w:spacing w:val="-2"/>
              </w:rPr>
              <w:t>el Proveedor procederá, con la celeridad debida, a preparar la propuesta de cambio de conformidad con la cláusula 39.2.1 de las CGC. El Proveedor puede, a su discreción, especificar el período de validez de la propuesta de cambio, finalizado el cual se aplicará la cláusula 39.2.7 de las CGC en caso de que el Comprador y el Proveedor no hubieran llegado a un acuerdo de conformidad con la cláusula 39.2.6 de las CGC.</w:t>
            </w:r>
          </w:p>
          <w:p w14:paraId="772FADFD" w14:textId="77777777" w:rsidR="00A20832" w:rsidRPr="00576AF8" w:rsidRDefault="00A20832" w:rsidP="00900EDE">
            <w:pPr>
              <w:keepNext/>
              <w:keepLines/>
              <w:spacing w:before="240" w:after="200"/>
              <w:ind w:left="1353" w:right="-19" w:hanging="806"/>
              <w:outlineLvl w:val="4"/>
            </w:pPr>
            <w:r w:rsidRPr="00576AF8">
              <w:t>39.2.4</w:t>
            </w:r>
            <w:r w:rsidRPr="00576AF8">
              <w:tab/>
              <w:t xml:space="preserve">En la medida en que sea factible, el costo de un cambio se calculará conforme a las tarifas y los precios incluidos en el Contrato. Si en virtud de la índole del cambio esas tarifas y precios no resultan equitativos, las Partes convendrán otras tarifas específicas para valorar </w:t>
            </w:r>
            <w:r w:rsidR="00B53766" w:rsidRPr="00576AF8">
              <w:t>el cambio</w:t>
            </w:r>
            <w:r w:rsidRPr="00576AF8">
              <w:t>.</w:t>
            </w:r>
          </w:p>
          <w:p w14:paraId="7B32C2BC" w14:textId="77777777" w:rsidR="00A20832" w:rsidRPr="00576AF8" w:rsidRDefault="00A20832" w:rsidP="00900EDE">
            <w:pPr>
              <w:keepNext/>
              <w:keepLines/>
              <w:spacing w:before="240" w:after="200"/>
              <w:ind w:left="1353" w:right="-19" w:hanging="806"/>
              <w:outlineLvl w:val="4"/>
            </w:pPr>
            <w:r w:rsidRPr="00576AF8">
              <w:t>39.2.5</w:t>
            </w:r>
            <w:r w:rsidRPr="00576AF8">
              <w:tab/>
              <w:t xml:space="preserve">Si antes o durante la preparación de la propuesta de cambio resulta evidente que el efecto agregado de cumplir con este pedido de presentación de propuesta de cambio y con cualquier otra orden de cambio que haya pasado a ser obligatoria para el Proveedor conforme a la presente cláusula 39 de las CGC sería aumentar o reducir en más del quince por ciento (15 %) el precio del Contrato originalmente establecido en el artículo 2 del Convenio Contractual (“Precio del Contrato”), el Proveedor podrá notificar por escrito sus objeciones al respecto antes de presentar la propuesta de cambio. Si el Comprador acepta las objeciones del </w:t>
            </w:r>
            <w:r w:rsidRPr="00576AF8">
              <w:lastRenderedPageBreak/>
              <w:t>Proveedor, retirará la propuesta de cambio y notificará por escrito al Proveedor</w:t>
            </w:r>
            <w:r w:rsidR="009D306C" w:rsidRPr="00576AF8">
              <w:t xml:space="preserve"> sobre su aceptación</w:t>
            </w:r>
            <w:r w:rsidRPr="00576AF8">
              <w:t>.</w:t>
            </w:r>
          </w:p>
          <w:p w14:paraId="6565A200" w14:textId="77777777" w:rsidR="00A20832" w:rsidRPr="00576AF8" w:rsidRDefault="00A20832" w:rsidP="00900EDE">
            <w:pPr>
              <w:keepNext/>
              <w:keepLines/>
              <w:spacing w:before="240" w:after="200"/>
              <w:ind w:left="1354" w:right="-19"/>
              <w:outlineLvl w:val="4"/>
            </w:pPr>
            <w:r w:rsidRPr="00576AF8">
              <w:t>El hecho de no presentar objeciones no menoscabará el derecho del Proveedor a presentar objeciones a cualquier pedido de cambio u orden de cambio posterior, ni su derecho a tener en cuenta, cuando presente esas objeciones posteriores, el aumento o la reducción porcentual del precio del Contrato que represente cualquier cambio no objetado.</w:t>
            </w:r>
          </w:p>
          <w:p w14:paraId="0704D603" w14:textId="77777777" w:rsidR="00A20832" w:rsidRPr="00576AF8" w:rsidRDefault="00A20832" w:rsidP="00900EDE">
            <w:pPr>
              <w:spacing w:after="200"/>
              <w:ind w:left="1350" w:right="-19" w:hanging="810"/>
              <w:rPr>
                <w:spacing w:val="-4"/>
              </w:rPr>
            </w:pPr>
            <w:r w:rsidRPr="00576AF8">
              <w:rPr>
                <w:spacing w:val="-4"/>
              </w:rPr>
              <w:t>39.2.6</w:t>
            </w:r>
            <w:r w:rsidRPr="00576AF8">
              <w:rPr>
                <w:spacing w:val="-4"/>
              </w:rPr>
              <w:tab/>
              <w:t>Al recibirse la propuesta de cambio, el Comprador y el Proveedor se pondrán de acuerdo respecto de todas las cuestiones contenidas en ella. Dentro de los catorce (14) días siguientes a ese acuerdo, el Comprador, si tiene la intención de llevar adelante el cambio, entregará al Proveedor una orden de cambio. Si el Comprador no puede llegar a una decisión en el plazo de catorce (14) días, deberá notificarlo al Proveedor y precisar cuándo prevé tomar una decisión. Si el Comprador decide no llevar a cabo el cambio por la razón que fuere, deberá notificarlo al Proveedor dentro del período indicado de catorce (14) días. En esas circunstancias, el Proveedor tendrá derecho a que se le reembolsen todos los gastos que razonablemente haya afrontado para elaborar la propuesta de cambio, siempre que no excedan la suma indicada por él en su estimación de la propuesta de cambio presentada de conformidad con la cláusula 39.2.2 de las CGC.</w:t>
            </w:r>
          </w:p>
          <w:p w14:paraId="5F92D5CE" w14:textId="77777777" w:rsidR="00A20832" w:rsidRPr="00576AF8" w:rsidRDefault="00A20832" w:rsidP="00900EDE">
            <w:pPr>
              <w:spacing w:after="200"/>
              <w:ind w:left="1353" w:right="-19" w:hanging="806"/>
              <w:rPr>
                <w:spacing w:val="-2"/>
              </w:rPr>
            </w:pPr>
            <w:r w:rsidRPr="00576AF8">
              <w:rPr>
                <w:spacing w:val="-2"/>
              </w:rPr>
              <w:t>39.2.7</w:t>
            </w:r>
            <w:r w:rsidRPr="00576AF8">
              <w:rPr>
                <w:spacing w:val="-2"/>
              </w:rPr>
              <w:tab/>
              <w:t>Si el Comprador y el Proveedor no pueden llegar a un acuerdo sobre el precio del cambio, sobre un ajuste equitativo del plazo para obtener la aceptación operativa o sobre otras cuestiones señaladas en la propuesta de cambio, no se efectuará la modificación. No obstante, esta disposición no menoscaba los derechos de ninguna de las Partes señalados en la cláusula </w:t>
            </w:r>
            <w:r w:rsidR="00AE1990" w:rsidRPr="00576AF8">
              <w:rPr>
                <w:spacing w:val="-2"/>
              </w:rPr>
              <w:t>43</w:t>
            </w:r>
            <w:r w:rsidRPr="00576AF8">
              <w:rPr>
                <w:spacing w:val="-2"/>
              </w:rPr>
              <w:t xml:space="preserve"> de las CGC (“Solución de controversias”). </w:t>
            </w:r>
          </w:p>
          <w:p w14:paraId="1F2119D4" w14:textId="77777777" w:rsidR="00A20832" w:rsidRPr="00576AF8" w:rsidRDefault="00A20832" w:rsidP="00900EDE">
            <w:pPr>
              <w:keepNext/>
              <w:keepLines/>
              <w:spacing w:before="240" w:after="200"/>
              <w:ind w:left="547" w:right="-19" w:hanging="547"/>
              <w:outlineLvl w:val="4"/>
            </w:pPr>
            <w:r w:rsidRPr="00576AF8">
              <w:t>39.3</w:t>
            </w:r>
            <w:r w:rsidRPr="00576AF8">
              <w:tab/>
              <w:t>Cambios originados por el Proveedor</w:t>
            </w:r>
          </w:p>
          <w:p w14:paraId="53E89343" w14:textId="77777777" w:rsidR="00A20832" w:rsidRPr="00576AF8" w:rsidRDefault="00A20832" w:rsidP="00900EDE">
            <w:pPr>
              <w:spacing w:after="200"/>
              <w:ind w:left="547" w:right="-19"/>
              <w:rPr>
                <w:spacing w:val="-4"/>
              </w:rPr>
            </w:pPr>
            <w:r w:rsidRPr="00576AF8">
              <w:rPr>
                <w:spacing w:val="-4"/>
              </w:rPr>
              <w:t xml:space="preserve">Si el Proveedor propone un cambio de conformidad con la cláusula 39.1.2 de las CGC, deberá presentar por escrito al gerente de </w:t>
            </w:r>
            <w:r w:rsidR="009C47D4" w:rsidRPr="00576AF8">
              <w:rPr>
                <w:spacing w:val="-4"/>
              </w:rPr>
              <w:t>p</w:t>
            </w:r>
            <w:r w:rsidRPr="00576AF8">
              <w:rPr>
                <w:spacing w:val="-4"/>
              </w:rPr>
              <w:t xml:space="preserve">royecto una “solicitud para presentar una propuesta de cambio”, en la que se indicarán los motivos de la modificación propuesta y se incluirá la información especificada en la cláusula 39.2.1 de las CGC. Al recibirse la solicitud para presentar una propuesta de cambio, las Partes </w:t>
            </w:r>
            <w:r w:rsidR="0016293D" w:rsidRPr="00576AF8">
              <w:rPr>
                <w:spacing w:val="-4"/>
              </w:rPr>
              <w:t xml:space="preserve">deberán </w:t>
            </w:r>
            <w:r w:rsidRPr="00576AF8">
              <w:rPr>
                <w:spacing w:val="-4"/>
              </w:rPr>
              <w:t xml:space="preserve">seguir los procedimientos que se </w:t>
            </w:r>
            <w:r w:rsidRPr="00576AF8">
              <w:rPr>
                <w:spacing w:val="-4"/>
              </w:rPr>
              <w:lastRenderedPageBreak/>
              <w:t xml:space="preserve">indican en las cláusulas 39.2.6 y 39.2.7 de las CGC. No obstante, si el Comprador decide no seguir adelante o si el Comprador y el Proveedor no logran llegar a un acuerdo respecto de la modificación durante el período de validez que hubiera especificado el Proveedor en su solicitud para presentar una propuesta de cambio, este no tendrá derecho a recuperar los gastos que le hubiera acarreado la elaboración de dicha solicitud, a menos que el Comprador y el Proveedor hubieran acordado lo contrario. </w:t>
            </w:r>
          </w:p>
          <w:p w14:paraId="1C66427D" w14:textId="77777777" w:rsidR="00A20832" w:rsidRPr="00576AF8" w:rsidRDefault="00A20832" w:rsidP="00900EDE">
            <w:pPr>
              <w:spacing w:after="200"/>
              <w:ind w:left="487" w:right="-19" w:hanging="487"/>
              <w:rPr>
                <w:color w:val="000000"/>
                <w:szCs w:val="24"/>
              </w:rPr>
            </w:pPr>
            <w:r w:rsidRPr="00576AF8">
              <w:rPr>
                <w:color w:val="000000"/>
                <w:szCs w:val="24"/>
              </w:rPr>
              <w:t>39.4</w:t>
            </w:r>
            <w:r w:rsidRPr="00576AF8">
              <w:rPr>
                <w:color w:val="000000"/>
                <w:szCs w:val="24"/>
              </w:rPr>
              <w:tab/>
              <w:t>Ingeniería de valores. El Proveedor podrá preparar una propuesta de ingeniería de valores en cualquier momento durante la ejecución del Contrato, y los gastos en que incurr</w:t>
            </w:r>
            <w:r w:rsidR="0016293D" w:rsidRPr="00576AF8">
              <w:rPr>
                <w:color w:val="000000"/>
                <w:szCs w:val="24"/>
              </w:rPr>
              <w:t>a</w:t>
            </w:r>
            <w:r w:rsidRPr="00576AF8">
              <w:rPr>
                <w:color w:val="000000"/>
                <w:szCs w:val="24"/>
              </w:rPr>
              <w:t xml:space="preserve"> para tal preparación correrán por su cuenta. La propuesta de ingeniería de valores deberá incluir, como mínimo, lo siguiente:</w:t>
            </w:r>
          </w:p>
          <w:p w14:paraId="1A118463" w14:textId="77777777" w:rsidR="00A20832" w:rsidRPr="00576AF8" w:rsidRDefault="00900EDE" w:rsidP="00900EDE">
            <w:pPr>
              <w:spacing w:after="200"/>
              <w:ind w:left="1602" w:right="-19" w:hanging="450"/>
              <w:rPr>
                <w:color w:val="000000"/>
                <w:spacing w:val="-4"/>
                <w:szCs w:val="24"/>
              </w:rPr>
            </w:pPr>
            <w:r w:rsidRPr="00576AF8">
              <w:rPr>
                <w:color w:val="000000"/>
                <w:spacing w:val="-4"/>
                <w:szCs w:val="24"/>
              </w:rPr>
              <w:t>(</w:t>
            </w:r>
            <w:r w:rsidR="00A20832" w:rsidRPr="00576AF8">
              <w:rPr>
                <w:color w:val="000000"/>
                <w:spacing w:val="-4"/>
                <w:szCs w:val="24"/>
              </w:rPr>
              <w:t>a)</w:t>
            </w:r>
            <w:r w:rsidR="00A20832" w:rsidRPr="00576AF8">
              <w:rPr>
                <w:color w:val="000000"/>
                <w:spacing w:val="-4"/>
                <w:szCs w:val="24"/>
              </w:rPr>
              <w:tab/>
              <w:t>los cambios propuestos y una descripción de la diferencia respecto de los requisitos contractuales existentes;</w:t>
            </w:r>
          </w:p>
          <w:p w14:paraId="2D108EAD" w14:textId="77777777" w:rsidR="00A20832" w:rsidRPr="00576AF8" w:rsidRDefault="00900EDE" w:rsidP="00900EDE">
            <w:pPr>
              <w:spacing w:after="200"/>
              <w:ind w:left="1602" w:right="-19" w:hanging="450"/>
              <w:rPr>
                <w:color w:val="000000"/>
                <w:szCs w:val="24"/>
              </w:rPr>
            </w:pPr>
            <w:r w:rsidRPr="00576AF8">
              <w:rPr>
                <w:color w:val="000000"/>
                <w:szCs w:val="24"/>
              </w:rPr>
              <w:t>(</w:t>
            </w:r>
            <w:r w:rsidR="00A20832" w:rsidRPr="00576AF8">
              <w:rPr>
                <w:color w:val="000000"/>
                <w:szCs w:val="24"/>
              </w:rPr>
              <w:t>b)</w:t>
            </w:r>
            <w:r w:rsidR="00A20832" w:rsidRPr="00576AF8">
              <w:rPr>
                <w:color w:val="000000"/>
                <w:szCs w:val="24"/>
              </w:rPr>
              <w:tab/>
              <w:t>un análisis exhaustivo de los costos y beneficios de los cambios propuestos, incluida una descripción y una estimación de los costos en los que el Comprador pueda incurrir durante la implementación de la propuesta de ingeniería de valores (que incluya los costos durante toda la vida útil);</w:t>
            </w:r>
          </w:p>
          <w:p w14:paraId="6F3E4BFA" w14:textId="77777777" w:rsidR="00A20832" w:rsidRPr="00576AF8" w:rsidRDefault="00900EDE" w:rsidP="00900EDE">
            <w:pPr>
              <w:spacing w:after="200"/>
              <w:ind w:left="1602" w:right="-19" w:hanging="450"/>
              <w:rPr>
                <w:color w:val="000000"/>
                <w:szCs w:val="24"/>
              </w:rPr>
            </w:pPr>
            <w:r w:rsidRPr="00576AF8">
              <w:rPr>
                <w:color w:val="000000"/>
                <w:szCs w:val="24"/>
              </w:rPr>
              <w:t>(</w:t>
            </w:r>
            <w:r w:rsidR="00A20832" w:rsidRPr="00576AF8">
              <w:rPr>
                <w:color w:val="000000"/>
                <w:szCs w:val="24"/>
              </w:rPr>
              <w:t xml:space="preserve">c) </w:t>
            </w:r>
            <w:r w:rsidR="0016293D" w:rsidRPr="00576AF8">
              <w:rPr>
                <w:color w:val="000000"/>
                <w:szCs w:val="24"/>
              </w:rPr>
              <w:tab/>
            </w:r>
            <w:r w:rsidR="00A20832" w:rsidRPr="00576AF8">
              <w:rPr>
                <w:color w:val="000000"/>
                <w:szCs w:val="24"/>
              </w:rPr>
              <w:t>una descripción de los efectos del cambio en el rendimiento y la funcionalidad.</w:t>
            </w:r>
          </w:p>
          <w:p w14:paraId="43F59A73" w14:textId="77777777" w:rsidR="00A20832" w:rsidRPr="00576AF8" w:rsidRDefault="00A20832" w:rsidP="00900EDE">
            <w:pPr>
              <w:spacing w:after="200"/>
              <w:ind w:left="1152" w:right="-19"/>
              <w:rPr>
                <w:color w:val="000000"/>
                <w:szCs w:val="24"/>
              </w:rPr>
            </w:pPr>
            <w:r w:rsidRPr="00576AF8">
              <w:rPr>
                <w:color w:val="000000"/>
                <w:szCs w:val="24"/>
              </w:rPr>
              <w:t>El Comprador podrá aceptar la propuesta de ingeniería de valores si en esta se demuestran beneficios que permitan:</w:t>
            </w:r>
          </w:p>
          <w:p w14:paraId="40330585" w14:textId="77777777" w:rsidR="00A20832" w:rsidRPr="00576AF8" w:rsidRDefault="00900EDE" w:rsidP="00900EDE">
            <w:pPr>
              <w:spacing w:after="200"/>
              <w:ind w:left="1621" w:right="-19" w:hanging="469"/>
              <w:rPr>
                <w:color w:val="000000"/>
                <w:szCs w:val="24"/>
              </w:rPr>
            </w:pPr>
            <w:r w:rsidRPr="00576AF8">
              <w:rPr>
                <w:color w:val="000000"/>
                <w:szCs w:val="24"/>
              </w:rPr>
              <w:t>(</w:t>
            </w:r>
            <w:r w:rsidR="00A20832" w:rsidRPr="00576AF8">
              <w:rPr>
                <w:color w:val="000000"/>
                <w:szCs w:val="24"/>
              </w:rPr>
              <w:t>a)</w:t>
            </w:r>
            <w:r w:rsidR="00A20832" w:rsidRPr="00576AF8">
              <w:rPr>
                <w:color w:val="000000"/>
                <w:szCs w:val="24"/>
              </w:rPr>
              <w:tab/>
              <w:t>acelerar el plazo de entrega;</w:t>
            </w:r>
          </w:p>
          <w:p w14:paraId="00678DB2" w14:textId="77777777" w:rsidR="00A20832" w:rsidRPr="00576AF8" w:rsidRDefault="00900EDE" w:rsidP="00900EDE">
            <w:pPr>
              <w:spacing w:after="200"/>
              <w:ind w:left="1621" w:right="-19" w:hanging="469"/>
              <w:rPr>
                <w:color w:val="000000"/>
                <w:szCs w:val="24"/>
              </w:rPr>
            </w:pPr>
            <w:r w:rsidRPr="00576AF8">
              <w:rPr>
                <w:color w:val="000000"/>
                <w:szCs w:val="24"/>
              </w:rPr>
              <w:t>(</w:t>
            </w:r>
            <w:r w:rsidR="00A20832" w:rsidRPr="00576AF8">
              <w:rPr>
                <w:color w:val="000000"/>
                <w:szCs w:val="24"/>
              </w:rPr>
              <w:t xml:space="preserve">b) </w:t>
            </w:r>
            <w:r w:rsidR="0016293D" w:rsidRPr="00576AF8">
              <w:rPr>
                <w:color w:val="000000"/>
                <w:szCs w:val="24"/>
              </w:rPr>
              <w:tab/>
            </w:r>
            <w:r w:rsidR="00A20832" w:rsidRPr="00576AF8">
              <w:rPr>
                <w:color w:val="000000"/>
                <w:szCs w:val="24"/>
              </w:rPr>
              <w:t xml:space="preserve">reducir el precio del Contrato o los costos que </w:t>
            </w:r>
            <w:r w:rsidRPr="00576AF8">
              <w:rPr>
                <w:color w:val="000000"/>
                <w:szCs w:val="24"/>
              </w:rPr>
              <w:br/>
            </w:r>
            <w:r w:rsidR="00A20832" w:rsidRPr="00576AF8">
              <w:rPr>
                <w:color w:val="000000"/>
                <w:szCs w:val="24"/>
              </w:rPr>
              <w:t>debe afrontar el Comprador durante la vida útil;</w:t>
            </w:r>
          </w:p>
          <w:p w14:paraId="1FB398FE" w14:textId="77777777" w:rsidR="00A20832" w:rsidRPr="00576AF8" w:rsidRDefault="00900EDE" w:rsidP="00900EDE">
            <w:pPr>
              <w:spacing w:after="200"/>
              <w:ind w:left="1621" w:right="-19" w:hanging="469"/>
              <w:rPr>
                <w:color w:val="000000"/>
                <w:szCs w:val="24"/>
              </w:rPr>
            </w:pPr>
            <w:r w:rsidRPr="00576AF8">
              <w:rPr>
                <w:color w:val="000000"/>
                <w:szCs w:val="24"/>
              </w:rPr>
              <w:t>(</w:t>
            </w:r>
            <w:r w:rsidR="00A20832" w:rsidRPr="00576AF8">
              <w:rPr>
                <w:color w:val="000000"/>
                <w:szCs w:val="24"/>
              </w:rPr>
              <w:t>c)</w:t>
            </w:r>
            <w:r w:rsidR="00A20832" w:rsidRPr="00576AF8">
              <w:rPr>
                <w:color w:val="000000"/>
                <w:szCs w:val="24"/>
              </w:rPr>
              <w:tab/>
              <w:t>mejorar la calidad, eficiencia, seguridad o sostenibilidad de los Sistemas;</w:t>
            </w:r>
          </w:p>
          <w:p w14:paraId="48010C03" w14:textId="77777777" w:rsidR="00A20832" w:rsidRPr="00576AF8" w:rsidRDefault="00900EDE" w:rsidP="00900EDE">
            <w:pPr>
              <w:spacing w:after="200"/>
              <w:ind w:left="1512" w:right="-19" w:hanging="360"/>
              <w:rPr>
                <w:color w:val="000000"/>
                <w:szCs w:val="24"/>
              </w:rPr>
            </w:pPr>
            <w:r w:rsidRPr="00576AF8">
              <w:rPr>
                <w:color w:val="000000"/>
                <w:szCs w:val="24"/>
              </w:rPr>
              <w:t>(</w:t>
            </w:r>
            <w:r w:rsidR="00A20832" w:rsidRPr="00576AF8">
              <w:rPr>
                <w:color w:val="000000"/>
                <w:szCs w:val="24"/>
              </w:rPr>
              <w:t xml:space="preserve">d) </w:t>
            </w:r>
            <w:r w:rsidR="0016293D" w:rsidRPr="00576AF8">
              <w:rPr>
                <w:color w:val="000000"/>
                <w:szCs w:val="24"/>
              </w:rPr>
              <w:tab/>
            </w:r>
            <w:r w:rsidR="00A20832" w:rsidRPr="00576AF8">
              <w:rPr>
                <w:color w:val="000000"/>
                <w:szCs w:val="24"/>
              </w:rPr>
              <w:t>aportar cualquier otro beneficio al Comprador,</w:t>
            </w:r>
          </w:p>
          <w:p w14:paraId="6B3698BE" w14:textId="77777777" w:rsidR="00A20832" w:rsidRPr="00576AF8" w:rsidRDefault="00A20832" w:rsidP="00900EDE">
            <w:pPr>
              <w:spacing w:after="200"/>
              <w:ind w:left="1152" w:right="-19"/>
              <w:rPr>
                <w:color w:val="000000"/>
                <w:szCs w:val="24"/>
              </w:rPr>
            </w:pPr>
            <w:r w:rsidRPr="00576AF8">
              <w:rPr>
                <w:color w:val="000000"/>
                <w:szCs w:val="24"/>
              </w:rPr>
              <w:t xml:space="preserve">sin poner en riesgo las funciones necesarias de </w:t>
            </w:r>
            <w:r w:rsidR="00900EDE" w:rsidRPr="00576AF8">
              <w:rPr>
                <w:color w:val="000000"/>
                <w:szCs w:val="24"/>
              </w:rPr>
              <w:br/>
            </w:r>
            <w:r w:rsidRPr="00576AF8">
              <w:rPr>
                <w:color w:val="000000"/>
                <w:szCs w:val="24"/>
              </w:rPr>
              <w:t>los Sistemas.</w:t>
            </w:r>
          </w:p>
          <w:p w14:paraId="288EA012" w14:textId="77777777" w:rsidR="00A20832" w:rsidRPr="00576AF8" w:rsidRDefault="00A20832" w:rsidP="00900EDE">
            <w:pPr>
              <w:spacing w:after="200"/>
              <w:ind w:left="1152" w:right="-19"/>
              <w:rPr>
                <w:color w:val="000000"/>
                <w:szCs w:val="24"/>
              </w:rPr>
            </w:pPr>
            <w:r w:rsidRPr="00576AF8">
              <w:rPr>
                <w:color w:val="000000"/>
                <w:szCs w:val="24"/>
              </w:rPr>
              <w:t>Si el Comprador aprueba la propuesta de ingeniería de valores y su implementación tiene como resultado:</w:t>
            </w:r>
          </w:p>
          <w:p w14:paraId="029F8D83" w14:textId="77777777" w:rsidR="00A20832" w:rsidRPr="00576AF8" w:rsidRDefault="00900EDE" w:rsidP="00900EDE">
            <w:pPr>
              <w:spacing w:after="200"/>
              <w:ind w:left="1449" w:right="-19" w:hanging="297"/>
              <w:rPr>
                <w:color w:val="000000"/>
                <w:szCs w:val="24"/>
              </w:rPr>
            </w:pPr>
            <w:r w:rsidRPr="00576AF8">
              <w:rPr>
                <w:color w:val="000000"/>
                <w:szCs w:val="24"/>
              </w:rPr>
              <w:lastRenderedPageBreak/>
              <w:t>(</w:t>
            </w:r>
            <w:r w:rsidR="00A20832" w:rsidRPr="00576AF8">
              <w:rPr>
                <w:color w:val="000000"/>
                <w:szCs w:val="24"/>
              </w:rPr>
              <w:t>a) una reducción en el precio del Contrato, el monto que se ha de pagar al Proveedor será equivalente al porcentaje indicado en las CEC de la reducción del precio del Contrato;</w:t>
            </w:r>
          </w:p>
          <w:p w14:paraId="3E048C31" w14:textId="77777777" w:rsidR="00A20832" w:rsidRPr="00576AF8" w:rsidRDefault="00900EDE" w:rsidP="00900EDE">
            <w:pPr>
              <w:keepNext/>
              <w:keepLines/>
              <w:spacing w:before="240" w:after="200"/>
              <w:ind w:left="1449" w:right="-19" w:hanging="297"/>
              <w:outlineLvl w:val="4"/>
            </w:pPr>
            <w:r w:rsidRPr="00576AF8">
              <w:rPr>
                <w:color w:val="000000"/>
                <w:szCs w:val="24"/>
              </w:rPr>
              <w:t>(</w:t>
            </w:r>
            <w:r w:rsidR="00A20832" w:rsidRPr="00576AF8">
              <w:rPr>
                <w:color w:val="000000"/>
                <w:szCs w:val="24"/>
              </w:rPr>
              <w:t xml:space="preserve">b) un aumento en el precio del Contrato, pero conlleva una reducción de los costos durante la vida útil debido a cualquiera de los beneficios descritos en los </w:t>
            </w:r>
            <w:r w:rsidR="00045A53" w:rsidRPr="00576AF8">
              <w:rPr>
                <w:color w:val="000000"/>
                <w:szCs w:val="24"/>
              </w:rPr>
              <w:t xml:space="preserve">apartados </w:t>
            </w:r>
            <w:r w:rsidR="00284580" w:rsidRPr="00576AF8">
              <w:rPr>
                <w:color w:val="000000"/>
                <w:szCs w:val="24"/>
              </w:rPr>
              <w:t>(</w:t>
            </w:r>
            <w:r w:rsidR="00A20832" w:rsidRPr="00576AF8">
              <w:rPr>
                <w:color w:val="000000"/>
                <w:szCs w:val="24"/>
              </w:rPr>
              <w:t xml:space="preserve">a) a </w:t>
            </w:r>
            <w:r w:rsidR="00284580" w:rsidRPr="00576AF8">
              <w:rPr>
                <w:color w:val="000000"/>
                <w:szCs w:val="24"/>
              </w:rPr>
              <w:t>(</w:t>
            </w:r>
            <w:r w:rsidR="00A20832" w:rsidRPr="00576AF8">
              <w:rPr>
                <w:color w:val="000000"/>
                <w:szCs w:val="24"/>
              </w:rPr>
              <w:t>d) precedentes, el monto que se ha de pagar al Proveedor será equivalente al aumento total en el precio del Contrato.</w:t>
            </w:r>
          </w:p>
        </w:tc>
      </w:tr>
      <w:tr w:rsidR="00A20832" w:rsidRPr="00576AF8" w14:paraId="129115F0" w14:textId="77777777" w:rsidTr="002638F4">
        <w:trPr>
          <w:cantSplit/>
          <w:trHeight w:val="600"/>
        </w:trPr>
        <w:tc>
          <w:tcPr>
            <w:tcW w:w="2520" w:type="dxa"/>
          </w:tcPr>
          <w:p w14:paraId="731964F5" w14:textId="77777777" w:rsidR="00A20832" w:rsidRPr="00576AF8" w:rsidRDefault="00A20832" w:rsidP="00A35BE3">
            <w:pPr>
              <w:pStyle w:val="Head62"/>
            </w:pPr>
            <w:bookmarkStart w:id="1596" w:name="_Toc277233364"/>
            <w:bookmarkStart w:id="1597" w:name="_Toc488959063"/>
            <w:r w:rsidRPr="00576AF8">
              <w:lastRenderedPageBreak/>
              <w:t>40.</w:t>
            </w:r>
            <w:r w:rsidRPr="00576AF8">
              <w:tab/>
              <w:t>Prórroga del plazo</w:t>
            </w:r>
            <w:r w:rsidR="00900EDE" w:rsidRPr="00576AF8">
              <w:t> </w:t>
            </w:r>
            <w:r w:rsidRPr="00576AF8">
              <w:t>para obtener</w:t>
            </w:r>
            <w:r w:rsidR="00900EDE" w:rsidRPr="00576AF8">
              <w:t> </w:t>
            </w:r>
            <w:r w:rsidRPr="00576AF8">
              <w:t>la aceptación operativa</w:t>
            </w:r>
            <w:bookmarkEnd w:id="1596"/>
            <w:bookmarkEnd w:id="1597"/>
          </w:p>
        </w:tc>
        <w:tc>
          <w:tcPr>
            <w:tcW w:w="6836" w:type="dxa"/>
          </w:tcPr>
          <w:p w14:paraId="3042ED29" w14:textId="77777777" w:rsidR="00A20832" w:rsidRPr="00576AF8" w:rsidRDefault="00A20832" w:rsidP="00900EDE">
            <w:pPr>
              <w:keepNext/>
              <w:keepLines/>
              <w:spacing w:before="240" w:after="200"/>
              <w:ind w:left="547" w:right="-19" w:hanging="547"/>
              <w:outlineLvl w:val="4"/>
            </w:pPr>
            <w:r w:rsidRPr="00576AF8">
              <w:t>40.1</w:t>
            </w:r>
            <w:r w:rsidRPr="00576AF8">
              <w:tab/>
              <w:t xml:space="preserve">El plazo o los plazos para obtener la aceptación operativa que </w:t>
            </w:r>
            <w:r w:rsidR="00900EDE" w:rsidRPr="00576AF8">
              <w:br/>
            </w:r>
            <w:r w:rsidRPr="00576AF8">
              <w:t xml:space="preserve">se especifican en el programa de ejecución se prorrogarán </w:t>
            </w:r>
            <w:r w:rsidR="00900EDE" w:rsidRPr="00576AF8">
              <w:br/>
            </w:r>
            <w:r w:rsidRPr="00576AF8">
              <w:t>si el Proveedor se ve retrasado u obstaculizado en el cumplimiento de alguna de sus obligaciones en virtud del Contrato por causa de:</w:t>
            </w:r>
          </w:p>
        </w:tc>
      </w:tr>
      <w:tr w:rsidR="00A20832" w:rsidRPr="00576AF8" w14:paraId="3D25C036" w14:textId="77777777" w:rsidTr="002638F4">
        <w:tc>
          <w:tcPr>
            <w:tcW w:w="2520" w:type="dxa"/>
          </w:tcPr>
          <w:p w14:paraId="63035C12" w14:textId="77777777" w:rsidR="00A20832" w:rsidRPr="00576AF8" w:rsidRDefault="00A20832" w:rsidP="00A35BE3">
            <w:pPr>
              <w:spacing w:after="0"/>
              <w:jc w:val="left"/>
            </w:pPr>
          </w:p>
        </w:tc>
        <w:tc>
          <w:tcPr>
            <w:tcW w:w="6836" w:type="dxa"/>
          </w:tcPr>
          <w:p w14:paraId="12F00E1C" w14:textId="77777777" w:rsidR="00A20832" w:rsidRPr="00576AF8" w:rsidRDefault="00900EDE" w:rsidP="00900EDE">
            <w:pPr>
              <w:keepNext/>
              <w:keepLines/>
              <w:spacing w:before="240" w:after="200"/>
              <w:ind w:left="1080" w:right="-19" w:hanging="540"/>
              <w:outlineLvl w:val="4"/>
            </w:pPr>
            <w:r w:rsidRPr="00576AF8">
              <w:t>(</w:t>
            </w:r>
            <w:r w:rsidR="00A20832" w:rsidRPr="00576AF8">
              <w:t>a)</w:t>
            </w:r>
            <w:r w:rsidR="00A20832" w:rsidRPr="00576AF8">
              <w:tab/>
              <w:t>un cambio en el Sistema según lo previsto en la cláusula 39 de las CGC (“Cambios en el Sistema”);</w:t>
            </w:r>
          </w:p>
          <w:p w14:paraId="1E5A0D68" w14:textId="77777777" w:rsidR="00A20832" w:rsidRPr="00576AF8" w:rsidRDefault="00900EDE" w:rsidP="00900EDE">
            <w:pPr>
              <w:keepNext/>
              <w:keepLines/>
              <w:spacing w:before="240" w:after="200"/>
              <w:ind w:left="1080" w:right="-19" w:hanging="540"/>
              <w:outlineLvl w:val="4"/>
            </w:pPr>
            <w:r w:rsidRPr="00576AF8">
              <w:t>(</w:t>
            </w:r>
            <w:r w:rsidR="00A20832" w:rsidRPr="00576AF8">
              <w:t>b)</w:t>
            </w:r>
            <w:r w:rsidR="00A20832" w:rsidRPr="00576AF8">
              <w:tab/>
              <w:t xml:space="preserve">un </w:t>
            </w:r>
            <w:r w:rsidR="00A473F2" w:rsidRPr="00576AF8">
              <w:t xml:space="preserve">supuesto </w:t>
            </w:r>
            <w:r w:rsidR="00A20832" w:rsidRPr="00576AF8">
              <w:t xml:space="preserve">de fuerza mayor según se define en la cláusula 38 de las CGC (“Fuerza mayor”); </w:t>
            </w:r>
          </w:p>
          <w:p w14:paraId="7FC12253" w14:textId="77777777" w:rsidR="00A20832" w:rsidRPr="00576AF8" w:rsidRDefault="00900EDE" w:rsidP="00900EDE">
            <w:pPr>
              <w:keepNext/>
              <w:keepLines/>
              <w:spacing w:before="240" w:after="200"/>
              <w:ind w:left="1080" w:right="-19" w:hanging="540"/>
              <w:outlineLvl w:val="4"/>
            </w:pPr>
            <w:r w:rsidRPr="00576AF8">
              <w:t>(</w:t>
            </w:r>
            <w:r w:rsidR="00A20832" w:rsidRPr="00576AF8">
              <w:t>c)</w:t>
            </w:r>
            <w:r w:rsidR="00A20832" w:rsidRPr="00576AF8">
              <w:tab/>
              <w:t>el incumplimiento del Comprador;</w:t>
            </w:r>
          </w:p>
          <w:p w14:paraId="2F4EB84C" w14:textId="77777777" w:rsidR="00A20832" w:rsidRPr="00576AF8" w:rsidRDefault="00900EDE" w:rsidP="00900EDE">
            <w:pPr>
              <w:keepNext/>
              <w:keepLines/>
              <w:spacing w:before="240" w:after="200"/>
              <w:ind w:left="1080" w:right="-19" w:hanging="540"/>
              <w:outlineLvl w:val="4"/>
            </w:pPr>
            <w:r w:rsidRPr="00576AF8">
              <w:t>(</w:t>
            </w:r>
            <w:r w:rsidR="00A20832" w:rsidRPr="00576AF8">
              <w:t>d)</w:t>
            </w:r>
            <w:r w:rsidR="00A20832" w:rsidRPr="00576AF8">
              <w:tab/>
              <w:t xml:space="preserve">cualquier otro asunto mencionado específicamente en </w:t>
            </w:r>
            <w:r w:rsidRPr="00576AF8">
              <w:br/>
            </w:r>
            <w:r w:rsidR="00A20832" w:rsidRPr="00576AF8">
              <w:t>el Contrato,</w:t>
            </w:r>
          </w:p>
          <w:p w14:paraId="7A01160B" w14:textId="77777777" w:rsidR="00A20832" w:rsidRPr="00576AF8" w:rsidRDefault="00A20832" w:rsidP="00900EDE">
            <w:pPr>
              <w:keepNext/>
              <w:keepLines/>
              <w:spacing w:before="240" w:after="200"/>
              <w:ind w:left="540" w:right="-19"/>
              <w:outlineLvl w:val="4"/>
            </w:pPr>
            <w:r w:rsidRPr="00576AF8">
              <w:t>por un período que sea justo y razonable en todas las circunstancias y que refleje cabalmente la demora o el impedimento sufridos por el Proveedor.</w:t>
            </w:r>
          </w:p>
          <w:p w14:paraId="16B7AD6B" w14:textId="77777777" w:rsidR="00A20832" w:rsidRPr="00576AF8" w:rsidRDefault="00A20832" w:rsidP="00900EDE">
            <w:pPr>
              <w:keepNext/>
              <w:keepLines/>
              <w:spacing w:before="240" w:after="200"/>
              <w:ind w:left="540" w:right="-19" w:hanging="540"/>
              <w:outlineLvl w:val="4"/>
            </w:pPr>
            <w:r w:rsidRPr="00576AF8">
              <w:t>40.2</w:t>
            </w:r>
            <w:r w:rsidRPr="00576AF8">
              <w:tab/>
              <w:t xml:space="preserve">Excepto cuando se disponga específicamente otra cosa en el Contrato, el Proveedor presentará al gerente de </w:t>
            </w:r>
            <w:r w:rsidR="009C47D4" w:rsidRPr="00576AF8">
              <w:t>p</w:t>
            </w:r>
            <w:r w:rsidRPr="00576AF8">
              <w:t xml:space="preserve">royecto una solicitud de prórroga del plazo establecido para obtener la aceptación operativa, junto con los detalles del </w:t>
            </w:r>
            <w:r w:rsidR="0016293D" w:rsidRPr="00576AF8">
              <w:t xml:space="preserve">supuesto </w:t>
            </w:r>
            <w:r w:rsidRPr="00576AF8">
              <w:t xml:space="preserve">o circunstancia que justifique dicha prórroga, en cuanto sea razonablemente posible después del inicio de ese </w:t>
            </w:r>
            <w:r w:rsidR="0016293D" w:rsidRPr="00576AF8">
              <w:t xml:space="preserve">supuesto </w:t>
            </w:r>
            <w:r w:rsidRPr="00576AF8">
              <w:t>o circunstancia. Tan pronto como sea razonablemente posible después de recibir esa notificación y los detalles que sustenten la solicitud, el Comprador y el Proveedor convendrán en la duración de la prórroga. En caso de que el Proveedor no acepte la estimación del Comprador respecto de una prórroga justa y razonable, el Proveedor tendrá derecho a remitir el asunto para resolver la disputa de conformidad con la cláusula </w:t>
            </w:r>
            <w:r w:rsidR="00AE1990" w:rsidRPr="00576AF8">
              <w:t>43</w:t>
            </w:r>
            <w:r w:rsidRPr="00576AF8">
              <w:t xml:space="preserve"> de las CGC.</w:t>
            </w:r>
          </w:p>
          <w:p w14:paraId="1F849A72" w14:textId="77777777" w:rsidR="00A20832" w:rsidRPr="00576AF8" w:rsidRDefault="00A20832" w:rsidP="00900EDE">
            <w:pPr>
              <w:keepNext/>
              <w:keepLines/>
              <w:spacing w:before="240" w:after="200"/>
              <w:ind w:left="540" w:right="-19" w:hanging="540"/>
              <w:outlineLvl w:val="4"/>
            </w:pPr>
            <w:r w:rsidRPr="00576AF8">
              <w:t>40.3</w:t>
            </w:r>
            <w:r w:rsidRPr="00576AF8">
              <w:tab/>
              <w:t>El Proveedor hará en todo momento cuanto sea razonablemente posible por reducir al mínimo cualquier demora en el cumplimiento de sus obligaciones en virtud del Contrato.</w:t>
            </w:r>
          </w:p>
        </w:tc>
      </w:tr>
      <w:tr w:rsidR="00A20832" w:rsidRPr="00576AF8" w14:paraId="26024074" w14:textId="77777777" w:rsidTr="002638F4">
        <w:trPr>
          <w:cantSplit/>
        </w:trPr>
        <w:tc>
          <w:tcPr>
            <w:tcW w:w="2520" w:type="dxa"/>
          </w:tcPr>
          <w:p w14:paraId="6C4BA551" w14:textId="77777777" w:rsidR="00A20832" w:rsidRPr="00576AF8" w:rsidRDefault="00A20832" w:rsidP="00A35BE3">
            <w:pPr>
              <w:pStyle w:val="Head62"/>
              <w:jc w:val="both"/>
            </w:pPr>
            <w:bookmarkStart w:id="1598" w:name="_Toc488959064"/>
            <w:bookmarkStart w:id="1599" w:name="_Toc277233365"/>
            <w:r w:rsidRPr="00576AF8">
              <w:t>41.</w:t>
            </w:r>
            <w:r w:rsidRPr="00576AF8">
              <w:tab/>
            </w:r>
            <w:bookmarkEnd w:id="1598"/>
            <w:bookmarkEnd w:id="1599"/>
            <w:r w:rsidR="00660850" w:rsidRPr="00576AF8">
              <w:t>Terminación</w:t>
            </w:r>
          </w:p>
        </w:tc>
        <w:tc>
          <w:tcPr>
            <w:tcW w:w="6836" w:type="dxa"/>
          </w:tcPr>
          <w:p w14:paraId="2D11FC21" w14:textId="77777777" w:rsidR="00A20832" w:rsidRPr="00576AF8" w:rsidRDefault="00A20832" w:rsidP="00900EDE">
            <w:pPr>
              <w:keepNext/>
              <w:keepLines/>
              <w:spacing w:before="240" w:after="200"/>
              <w:ind w:left="540" w:right="-19" w:hanging="540"/>
              <w:outlineLvl w:val="4"/>
            </w:pPr>
            <w:r w:rsidRPr="00576AF8">
              <w:t>41.1</w:t>
            </w:r>
            <w:r w:rsidRPr="00576AF8">
              <w:tab/>
            </w:r>
            <w:r w:rsidR="00660850" w:rsidRPr="00576AF8">
              <w:t xml:space="preserve">Terminación </w:t>
            </w:r>
            <w:r w:rsidRPr="00576AF8">
              <w:t>por conveniencia del Comprador</w:t>
            </w:r>
          </w:p>
        </w:tc>
      </w:tr>
      <w:tr w:rsidR="00A20832" w:rsidRPr="00576AF8" w14:paraId="5CA6AC3E" w14:textId="77777777" w:rsidTr="002638F4">
        <w:tc>
          <w:tcPr>
            <w:tcW w:w="2520" w:type="dxa"/>
          </w:tcPr>
          <w:p w14:paraId="3F6F5A0A" w14:textId="77777777" w:rsidR="00A20832" w:rsidRPr="00576AF8" w:rsidRDefault="00A20832" w:rsidP="00A35BE3">
            <w:pPr>
              <w:spacing w:after="0"/>
              <w:jc w:val="left"/>
            </w:pPr>
          </w:p>
        </w:tc>
        <w:tc>
          <w:tcPr>
            <w:tcW w:w="6836" w:type="dxa"/>
          </w:tcPr>
          <w:p w14:paraId="2DDDF871" w14:textId="77777777" w:rsidR="00A20832" w:rsidRPr="00576AF8" w:rsidRDefault="00A20832" w:rsidP="00900EDE">
            <w:pPr>
              <w:keepNext/>
              <w:keepLines/>
              <w:spacing w:before="240" w:after="200"/>
              <w:ind w:left="1350" w:right="-19" w:hanging="810"/>
              <w:outlineLvl w:val="4"/>
            </w:pPr>
            <w:r w:rsidRPr="00576AF8">
              <w:t>41.1.1</w:t>
            </w:r>
            <w:r w:rsidRPr="00576AF8">
              <w:tab/>
              <w:t xml:space="preserve">El Comprador podrá </w:t>
            </w:r>
            <w:r w:rsidR="00660850" w:rsidRPr="00576AF8">
              <w:t xml:space="preserve">terminar </w:t>
            </w:r>
            <w:r w:rsidRPr="00576AF8">
              <w:t>el Contrato en cualquier momento y por cualquier razón mediante el envío de una notificación de rescisión al Proveedor con referencia a la presente cláusula 41.1 de las CGC.</w:t>
            </w:r>
          </w:p>
          <w:p w14:paraId="3790D37A" w14:textId="77777777" w:rsidR="00A20832" w:rsidRPr="00576AF8" w:rsidRDefault="00A20832" w:rsidP="00900EDE">
            <w:pPr>
              <w:keepNext/>
              <w:keepLines/>
              <w:spacing w:before="240" w:after="200"/>
              <w:ind w:left="1350" w:right="-19" w:hanging="810"/>
              <w:outlineLvl w:val="4"/>
            </w:pPr>
            <w:r w:rsidRPr="00576AF8">
              <w:t>41.1.2</w:t>
            </w:r>
            <w:r w:rsidRPr="00576AF8">
              <w:tab/>
              <w:t xml:space="preserve">Al recibir la notificación de </w:t>
            </w:r>
            <w:r w:rsidR="00660850" w:rsidRPr="00576AF8">
              <w:t xml:space="preserve">terminación </w:t>
            </w:r>
            <w:r w:rsidRPr="00576AF8">
              <w:t>conforme a la cláusula 41.1.1 de las CGC, el Proveedor, tan pronto como sea posible o en la fecha especificada en la notificación de rescisión,</w:t>
            </w:r>
          </w:p>
          <w:p w14:paraId="4A0DD3A6" w14:textId="77777777" w:rsidR="00A20832" w:rsidRPr="00576AF8" w:rsidRDefault="00900EDE" w:rsidP="00900EDE">
            <w:pPr>
              <w:keepNext/>
              <w:keepLines/>
              <w:spacing w:before="240" w:after="200"/>
              <w:ind w:left="1710" w:right="-19" w:hanging="360"/>
              <w:outlineLvl w:val="4"/>
            </w:pPr>
            <w:r w:rsidRPr="00576AF8">
              <w:t>(</w:t>
            </w:r>
            <w:r w:rsidR="00A20832" w:rsidRPr="00576AF8">
              <w:t>a)</w:t>
            </w:r>
            <w:r w:rsidR="00A20832" w:rsidRPr="00576AF8">
              <w:tab/>
              <w:t>suspenderá todos los trabajos, con excepción de aquellos que pueda especificar el Comprador en la notificación de rescisión con el único propósito de proteger la parte del Sistema ya ejecutada, o cualquier trabajo requerido para dejar el sitio en buenas condiciones de limpieza y seguridad;</w:t>
            </w:r>
          </w:p>
          <w:p w14:paraId="0F7D6977" w14:textId="77777777" w:rsidR="00A20832" w:rsidRPr="00576AF8" w:rsidRDefault="00900EDE" w:rsidP="00900EDE">
            <w:pPr>
              <w:keepNext/>
              <w:keepLines/>
              <w:spacing w:before="240" w:after="200"/>
              <w:ind w:left="1710" w:right="-19" w:hanging="360"/>
              <w:outlineLvl w:val="4"/>
            </w:pPr>
            <w:r w:rsidRPr="00576AF8">
              <w:t>(</w:t>
            </w:r>
            <w:r w:rsidR="00A20832" w:rsidRPr="00576AF8">
              <w:t>b)</w:t>
            </w:r>
            <w:r w:rsidR="00A20832" w:rsidRPr="00576AF8">
              <w:tab/>
            </w:r>
            <w:r w:rsidR="00660850" w:rsidRPr="00576AF8">
              <w:t xml:space="preserve">terminará </w:t>
            </w:r>
            <w:r w:rsidR="00A20832" w:rsidRPr="00576AF8">
              <w:t xml:space="preserve">todos los subcontratos, excepto los que hayan de cederse al Comprador de conformidad con el apartado </w:t>
            </w:r>
            <w:r w:rsidRPr="00576AF8">
              <w:t>(</w:t>
            </w:r>
            <w:r w:rsidR="00A20832" w:rsidRPr="00576AF8">
              <w:t xml:space="preserve">d) </w:t>
            </w:r>
            <w:r w:rsidRPr="00576AF8">
              <w:t>(</w:t>
            </w:r>
            <w:r w:rsidR="00A20832" w:rsidRPr="00576AF8">
              <w:t>ii) de la presente cláusula;</w:t>
            </w:r>
          </w:p>
          <w:p w14:paraId="5943ABC2" w14:textId="77777777" w:rsidR="00A20832" w:rsidRPr="00576AF8" w:rsidRDefault="00900EDE" w:rsidP="00900EDE">
            <w:pPr>
              <w:keepNext/>
              <w:keepLines/>
              <w:spacing w:before="240" w:after="200"/>
              <w:ind w:left="1710" w:right="-19" w:hanging="360"/>
              <w:outlineLvl w:val="4"/>
            </w:pPr>
            <w:r w:rsidRPr="00576AF8">
              <w:t>(</w:t>
            </w:r>
            <w:r w:rsidR="00A20832" w:rsidRPr="00576AF8">
              <w:t>c)</w:t>
            </w:r>
            <w:r w:rsidR="00A20832" w:rsidRPr="00576AF8">
              <w:tab/>
              <w:t xml:space="preserve">retirará todos sus equipos del sitio, repatriará su personal y el de sus subcontratistas, retirará del sitio los escombros, desechos y residuos de cualquier tipo; </w:t>
            </w:r>
          </w:p>
          <w:p w14:paraId="14210DCB" w14:textId="77777777" w:rsidR="00A20832" w:rsidRPr="00576AF8" w:rsidRDefault="00900EDE" w:rsidP="00900EDE">
            <w:pPr>
              <w:keepNext/>
              <w:keepLines/>
              <w:tabs>
                <w:tab w:val="left" w:pos="1710"/>
              </w:tabs>
              <w:spacing w:before="240" w:after="200"/>
              <w:ind w:left="1710" w:right="-19" w:hanging="360"/>
              <w:outlineLvl w:val="4"/>
            </w:pPr>
            <w:r w:rsidRPr="00576AF8">
              <w:t>(</w:t>
            </w:r>
            <w:r w:rsidR="00A20832" w:rsidRPr="00576AF8">
              <w:t>d) asimismo, con sujeción al pago especificado en la cláusula 41.1.3 de las CGC,</w:t>
            </w:r>
          </w:p>
          <w:p w14:paraId="531ACFD4" w14:textId="77777777" w:rsidR="00A20832" w:rsidRPr="00576AF8" w:rsidRDefault="00900EDE" w:rsidP="00900EDE">
            <w:pPr>
              <w:keepNext/>
              <w:keepLines/>
              <w:spacing w:before="240" w:after="200"/>
              <w:ind w:left="2261" w:right="-19" w:hanging="547"/>
              <w:outlineLvl w:val="4"/>
            </w:pPr>
            <w:r w:rsidRPr="00576AF8">
              <w:t>(</w:t>
            </w:r>
            <w:r w:rsidR="00A20832" w:rsidRPr="00576AF8">
              <w:t>i)</w:t>
            </w:r>
            <w:r w:rsidR="00A20832" w:rsidRPr="00576AF8">
              <w:tab/>
              <w:t>entregará al Comprador las partes del Sistema ejecutadas hasta la fecha de la rescisión;</w:t>
            </w:r>
          </w:p>
          <w:p w14:paraId="46A3E2DD" w14:textId="77777777" w:rsidR="00A20832" w:rsidRPr="00576AF8" w:rsidRDefault="00900EDE" w:rsidP="00900EDE">
            <w:pPr>
              <w:spacing w:after="200"/>
              <w:ind w:left="2261" w:right="-19" w:hanging="547"/>
              <w:rPr>
                <w:spacing w:val="-2"/>
              </w:rPr>
            </w:pPr>
            <w:r w:rsidRPr="00576AF8">
              <w:rPr>
                <w:spacing w:val="-2"/>
              </w:rPr>
              <w:t>(</w:t>
            </w:r>
            <w:r w:rsidR="00A20832" w:rsidRPr="00576AF8">
              <w:rPr>
                <w:spacing w:val="-2"/>
              </w:rPr>
              <w:t>ii)</w:t>
            </w:r>
            <w:r w:rsidR="00A20832" w:rsidRPr="00576AF8">
              <w:rPr>
                <w:spacing w:val="-2"/>
              </w:rPr>
              <w:tab/>
              <w:t>en la medida que sea legalmente posible, cederá al Comprador todos los derechos, títulos y beneficios del Proveedor respecto del Sistema o Subsistema a partir de la fecha de la rescisión y, a requerimiento del Comprador, respecto de cualquier subcontrato formalizado entre el Proveedor y sus subcontratistas, y</w:t>
            </w:r>
          </w:p>
          <w:p w14:paraId="184312E0" w14:textId="77777777" w:rsidR="00A20832" w:rsidRPr="00576AF8" w:rsidRDefault="00900EDE" w:rsidP="00900EDE">
            <w:pPr>
              <w:keepNext/>
              <w:keepLines/>
              <w:spacing w:before="240" w:after="200"/>
              <w:ind w:left="2261" w:right="-19" w:hanging="547"/>
              <w:outlineLvl w:val="4"/>
            </w:pPr>
            <w:r w:rsidRPr="00576AF8">
              <w:lastRenderedPageBreak/>
              <w:t>(</w:t>
            </w:r>
            <w:r w:rsidR="00A20832" w:rsidRPr="00576AF8">
              <w:t>iii)</w:t>
            </w:r>
            <w:r w:rsidR="00A20832" w:rsidRPr="00576AF8">
              <w:tab/>
              <w:t>entregará al Comprador todos los planos, especificaciones y otros documentos no registrados preparados por el Proveedor o sus subcontratistas a la fecha de la rescisión en relación con el Sistema.</w:t>
            </w:r>
          </w:p>
          <w:p w14:paraId="6037E600" w14:textId="77777777" w:rsidR="00A20832" w:rsidRPr="00576AF8" w:rsidRDefault="00A20832" w:rsidP="00900EDE">
            <w:pPr>
              <w:keepNext/>
              <w:keepLines/>
              <w:spacing w:before="240" w:after="200"/>
              <w:ind w:left="1350" w:right="-19" w:hanging="810"/>
              <w:outlineLvl w:val="4"/>
            </w:pPr>
            <w:r w:rsidRPr="00576AF8">
              <w:t>41.1.3</w:t>
            </w:r>
            <w:r w:rsidRPr="00576AF8">
              <w:tab/>
              <w:t>En caso de rescisión del Contrato conforme a la cláusula 41.1.1 de las CGC, el Comprador pagará al Proveedor las sumas siguientes:</w:t>
            </w:r>
          </w:p>
          <w:p w14:paraId="5B7F8AE7" w14:textId="77777777" w:rsidR="00A20832" w:rsidRPr="00576AF8" w:rsidRDefault="00894450" w:rsidP="00900EDE">
            <w:pPr>
              <w:keepNext/>
              <w:keepLines/>
              <w:spacing w:before="240" w:after="200"/>
              <w:ind w:left="1710" w:right="-19" w:hanging="360"/>
              <w:outlineLvl w:val="4"/>
            </w:pPr>
            <w:r w:rsidRPr="00576AF8">
              <w:t>(</w:t>
            </w:r>
            <w:r w:rsidR="00A20832" w:rsidRPr="00576AF8">
              <w:t>a)</w:t>
            </w:r>
            <w:r w:rsidR="00A20832" w:rsidRPr="00576AF8">
              <w:tab/>
              <w:t>el precio del Contrato efectivamente imputable a las partes del Sistema ejecutadas por el Proveedor a la fecha de la rescisión;</w:t>
            </w:r>
          </w:p>
          <w:p w14:paraId="4700B841" w14:textId="77777777" w:rsidR="00A20832" w:rsidRPr="00576AF8" w:rsidRDefault="00894450" w:rsidP="00900EDE">
            <w:pPr>
              <w:keepNext/>
              <w:keepLines/>
              <w:spacing w:before="240" w:after="200"/>
              <w:ind w:left="1710" w:right="-19" w:hanging="360"/>
              <w:outlineLvl w:val="4"/>
            </w:pPr>
            <w:r w:rsidRPr="00576AF8">
              <w:t>(</w:t>
            </w:r>
            <w:r w:rsidR="00A20832" w:rsidRPr="00576AF8">
              <w:t>b)</w:t>
            </w:r>
            <w:r w:rsidR="00A20832" w:rsidRPr="00576AF8">
              <w:tab/>
              <w:t>los gastos que razonablemente haya efectuado el Proveedor para retirar sus equipos del sitio y para repatriar su personal y el de sus subcontratistas;</w:t>
            </w:r>
          </w:p>
          <w:p w14:paraId="01A96484" w14:textId="77777777" w:rsidR="00A20832" w:rsidRPr="00576AF8" w:rsidRDefault="00894450" w:rsidP="00900EDE">
            <w:pPr>
              <w:keepNext/>
              <w:keepLines/>
              <w:spacing w:before="240" w:after="200"/>
              <w:ind w:left="1710" w:right="-19" w:hanging="360"/>
              <w:outlineLvl w:val="4"/>
            </w:pPr>
            <w:r w:rsidRPr="00576AF8">
              <w:t>(</w:t>
            </w:r>
            <w:r w:rsidR="00A20832" w:rsidRPr="00576AF8">
              <w:t>c)</w:t>
            </w:r>
            <w:r w:rsidR="00A20832" w:rsidRPr="00576AF8">
              <w:tab/>
              <w:t>todas las sumas pagaderas por el Proveedor a sus subcontratistas en relación con la rescisión de los subcontratos, incluidos los cargos por cancelación;</w:t>
            </w:r>
          </w:p>
          <w:p w14:paraId="5A81D9B1" w14:textId="77777777" w:rsidR="00A20832" w:rsidRPr="00576AF8" w:rsidRDefault="00894450" w:rsidP="00900EDE">
            <w:pPr>
              <w:keepNext/>
              <w:keepLines/>
              <w:spacing w:before="240" w:after="200"/>
              <w:ind w:left="1710" w:right="-19" w:hanging="360"/>
              <w:outlineLvl w:val="4"/>
            </w:pPr>
            <w:r w:rsidRPr="00576AF8">
              <w:t>(</w:t>
            </w:r>
            <w:r w:rsidR="00A20832" w:rsidRPr="00576AF8">
              <w:t>d)</w:t>
            </w:r>
            <w:r w:rsidR="00A20832" w:rsidRPr="00576AF8">
              <w:tab/>
              <w:t xml:space="preserve">los gastos que haya efectuado el Proveedor para proteger el Sistema y dejar el sitio en buenas condiciones de limpieza y seguridad de conformidad con la cláusula 42.1.2 </w:t>
            </w:r>
            <w:r w:rsidRPr="00576AF8">
              <w:t>(</w:t>
            </w:r>
            <w:r w:rsidR="00045A53" w:rsidRPr="00576AF8">
              <w:t xml:space="preserve">a) </w:t>
            </w:r>
            <w:r w:rsidR="00A20832" w:rsidRPr="00576AF8">
              <w:t xml:space="preserve">de las CGC; </w:t>
            </w:r>
          </w:p>
          <w:p w14:paraId="42894EEB" w14:textId="77777777" w:rsidR="00A20832" w:rsidRPr="00576AF8" w:rsidRDefault="00894450" w:rsidP="00900EDE">
            <w:pPr>
              <w:keepNext/>
              <w:keepLines/>
              <w:spacing w:before="240" w:after="200"/>
              <w:ind w:left="1710" w:right="-19" w:hanging="360"/>
              <w:outlineLvl w:val="4"/>
            </w:pPr>
            <w:r w:rsidRPr="00576AF8">
              <w:t>(</w:t>
            </w:r>
            <w:r w:rsidR="00A20832" w:rsidRPr="00576AF8">
              <w:t>e)</w:t>
            </w:r>
            <w:r w:rsidR="00A20832" w:rsidRPr="00576AF8">
              <w:tab/>
              <w:t xml:space="preserve">el costo de cumplir con todas las demás obligaciones, compromisos y reclamaciones que de buena fe haya asumido el Proveedor con terceros en relación con el Contrato y que no estén cubiertos por los apartados </w:t>
            </w:r>
            <w:r w:rsidRPr="00576AF8">
              <w:t>(</w:t>
            </w:r>
            <w:r w:rsidR="00A20832" w:rsidRPr="00576AF8">
              <w:t xml:space="preserve">a), </w:t>
            </w:r>
            <w:r w:rsidRPr="00576AF8">
              <w:t>(</w:t>
            </w:r>
            <w:r w:rsidR="00A20832" w:rsidRPr="00576AF8">
              <w:t xml:space="preserve">b), </w:t>
            </w:r>
            <w:r w:rsidRPr="00576AF8">
              <w:t>(</w:t>
            </w:r>
            <w:r w:rsidR="00A20832" w:rsidRPr="00576AF8">
              <w:t xml:space="preserve">c) y </w:t>
            </w:r>
            <w:r w:rsidRPr="00576AF8">
              <w:t>(</w:t>
            </w:r>
            <w:r w:rsidR="00A20832" w:rsidRPr="00576AF8">
              <w:t>d) precedentes de esta cláusula 41.1.3.</w:t>
            </w:r>
          </w:p>
          <w:p w14:paraId="28A556BA" w14:textId="77777777" w:rsidR="00A20832" w:rsidRPr="00576AF8" w:rsidRDefault="00A20832" w:rsidP="00900EDE">
            <w:pPr>
              <w:keepNext/>
              <w:keepLines/>
              <w:spacing w:before="240" w:after="200"/>
              <w:ind w:left="547" w:right="-19" w:hanging="547"/>
              <w:outlineLvl w:val="4"/>
            </w:pPr>
            <w:r w:rsidRPr="00576AF8">
              <w:t>41.2</w:t>
            </w:r>
            <w:r w:rsidRPr="00576AF8">
              <w:tab/>
            </w:r>
            <w:r w:rsidR="00682368" w:rsidRPr="00576AF8">
              <w:t>Terminación</w:t>
            </w:r>
            <w:r w:rsidR="00660850" w:rsidRPr="00576AF8">
              <w:t xml:space="preserve"> </w:t>
            </w:r>
            <w:r w:rsidRPr="00576AF8">
              <w:t xml:space="preserve">por incumplimiento del Proveedor </w:t>
            </w:r>
          </w:p>
          <w:p w14:paraId="69FCF0BD" w14:textId="77777777" w:rsidR="00A20832" w:rsidRPr="00576AF8" w:rsidRDefault="00A20832" w:rsidP="00900EDE">
            <w:pPr>
              <w:keepNext/>
              <w:keepLines/>
              <w:spacing w:before="240" w:after="200"/>
              <w:ind w:left="1411" w:right="-19" w:hanging="864"/>
              <w:outlineLvl w:val="4"/>
            </w:pPr>
            <w:r w:rsidRPr="00576AF8">
              <w:t>41.2.1</w:t>
            </w:r>
            <w:r w:rsidRPr="00576AF8">
              <w:tab/>
              <w:t xml:space="preserve">El Comprador, sin perjuicio de cualquier otro derecho o recurso de que pueda disponer, podrá </w:t>
            </w:r>
            <w:r w:rsidR="00660850" w:rsidRPr="00576AF8">
              <w:t xml:space="preserve">terminar </w:t>
            </w:r>
            <w:r w:rsidRPr="00576AF8">
              <w:t>inmediatamente el Contrato en las siguientes circunstancias mediante notificación de la rescisión y de sus razones al Proveedor, con referencia a la presente cláusula 41.2 de las CGC:</w:t>
            </w:r>
          </w:p>
          <w:p w14:paraId="27AC7454" w14:textId="77777777" w:rsidR="00A20832" w:rsidRPr="00576AF8" w:rsidRDefault="00894450" w:rsidP="00900EDE">
            <w:pPr>
              <w:keepNext/>
              <w:keepLines/>
              <w:spacing w:before="240" w:after="200"/>
              <w:ind w:left="1714" w:right="-19" w:hanging="360"/>
              <w:outlineLvl w:val="4"/>
            </w:pPr>
            <w:r w:rsidRPr="00576AF8">
              <w:t>(</w:t>
            </w:r>
            <w:r w:rsidR="00A20832" w:rsidRPr="00576AF8">
              <w:t>a)</w:t>
            </w:r>
            <w:r w:rsidR="00A20832" w:rsidRPr="00576AF8">
              <w:tab/>
              <w:t xml:space="preserve">si el Proveedor se declara en quiebra o en concurso de acreedores, </w:t>
            </w:r>
            <w:r w:rsidR="00766B37" w:rsidRPr="00576AF8">
              <w:t xml:space="preserve">entra en estado de cesación de pagos, </w:t>
            </w:r>
            <w:r w:rsidR="00A20832" w:rsidRPr="00576AF8">
              <w:t xml:space="preserve">se ponen sus bienes bajo administración judicial, llega a un </w:t>
            </w:r>
            <w:r w:rsidR="009917EC" w:rsidRPr="00576AF8">
              <w:t xml:space="preserve">acuerdo </w:t>
            </w:r>
            <w:r w:rsidR="00A20832" w:rsidRPr="00576AF8">
              <w:t xml:space="preserve">con sus acreedores o, cuando el </w:t>
            </w:r>
            <w:r w:rsidR="00A20832" w:rsidRPr="00576AF8">
              <w:lastRenderedPageBreak/>
              <w:t>Proveedor es una persona jurídica, si se ha aprobado una resolución o una orden en la que se dispone su liquidación (que no sea una liquidación voluntaria con fines de fusión o de reorganización), se ha designado un síndico para alguna parte de sus empresas o activos, o si el Proveedor realiza cualquier otra acción análoga como consecuencia de sus deudas o es objeto de ella;</w:t>
            </w:r>
          </w:p>
          <w:p w14:paraId="1DF7830C" w14:textId="77777777" w:rsidR="00A20832" w:rsidRPr="00576AF8" w:rsidRDefault="00894450" w:rsidP="00900EDE">
            <w:pPr>
              <w:keepNext/>
              <w:keepLines/>
              <w:spacing w:before="240" w:after="200"/>
              <w:ind w:left="1714" w:right="-19" w:hanging="360"/>
              <w:outlineLvl w:val="4"/>
            </w:pPr>
            <w:r w:rsidRPr="00576AF8">
              <w:t>(</w:t>
            </w:r>
            <w:r w:rsidR="00A20832" w:rsidRPr="00576AF8">
              <w:t>b)</w:t>
            </w:r>
            <w:r w:rsidR="00A20832" w:rsidRPr="00576AF8">
              <w:tab/>
              <w:t>si el Proveedor cede o transfiere el Contrato o cualquier derecho o interés en virtud del Contrato en violación de las disposiciones de la cláusula 42 de las CGC (“Cesión”);</w:t>
            </w:r>
          </w:p>
          <w:p w14:paraId="3B6B369B" w14:textId="77777777" w:rsidR="00A20832" w:rsidRPr="00576AF8" w:rsidRDefault="00894450" w:rsidP="00752C5A">
            <w:pPr>
              <w:tabs>
                <w:tab w:val="left" w:pos="1692"/>
              </w:tabs>
              <w:spacing w:after="240"/>
              <w:ind w:left="1713" w:right="-72" w:hanging="547"/>
              <w:rPr>
                <w:spacing w:val="-4"/>
              </w:rPr>
            </w:pPr>
            <w:r w:rsidRPr="00576AF8">
              <w:rPr>
                <w:spacing w:val="-4"/>
              </w:rPr>
              <w:t>(</w:t>
            </w:r>
            <w:r w:rsidR="00A20832" w:rsidRPr="00576AF8">
              <w:rPr>
                <w:spacing w:val="-4"/>
              </w:rPr>
              <w:t>c)</w:t>
            </w:r>
            <w:r w:rsidR="00752C5A" w:rsidRPr="00576AF8">
              <w:rPr>
                <w:spacing w:val="-2"/>
              </w:rPr>
              <w:t xml:space="preserve"> </w:t>
            </w:r>
            <w:r w:rsidR="00370A53" w:rsidRPr="00576AF8">
              <w:rPr>
                <w:spacing w:val="-2"/>
              </w:rPr>
              <w:t xml:space="preserve"> </w:t>
            </w:r>
            <w:r w:rsidR="00752C5A" w:rsidRPr="00576AF8">
              <w:rPr>
                <w:spacing w:val="-2"/>
              </w:rPr>
              <w:t xml:space="preserve">si de conformidad con los Procedimientos de Sanciones del Banco se determina que, durante el proceso licitatorio o de ejecución del Contrato, el Contratista ha participado en actos de </w:t>
            </w:r>
            <w:r w:rsidR="00214FB8" w:rsidRPr="00576AF8">
              <w:rPr>
                <w:spacing w:val="-2"/>
              </w:rPr>
              <w:t>Prácticas  Prohibidas</w:t>
            </w:r>
            <w:r w:rsidR="00752C5A" w:rsidRPr="00576AF8">
              <w:rPr>
                <w:spacing w:val="-2"/>
              </w:rPr>
              <w:t xml:space="preserve"> según la cláusula 6.1 de las CG; y que </w:t>
            </w:r>
            <w:r w:rsidR="00A20832" w:rsidRPr="00576AF8">
              <w:rPr>
                <w:spacing w:val="-4"/>
              </w:rPr>
              <w:t>comprenden, entre otras cosas, la tergiversación deliberada de hechos vinculados con los derechos de propiedad intelectual de los equipos, el software o los materiales suministrados en virtud del Contrato, o con la debida autorización o las licencias del propietario para ofrecer dichos equipos, software o materiales</w:t>
            </w:r>
            <w:r w:rsidR="00370A53" w:rsidRPr="00576AF8">
              <w:rPr>
                <w:spacing w:val="-4"/>
              </w:rPr>
              <w:t>;</w:t>
            </w:r>
          </w:p>
          <w:p w14:paraId="1B1AAA95" w14:textId="77777777" w:rsidR="00370A53" w:rsidRPr="00576AF8" w:rsidRDefault="00370A53" w:rsidP="00370A53">
            <w:pPr>
              <w:tabs>
                <w:tab w:val="left" w:pos="1692"/>
              </w:tabs>
              <w:spacing w:after="240"/>
              <w:ind w:left="1713" w:right="-72" w:hanging="547"/>
              <w:rPr>
                <w:spacing w:val="-2"/>
              </w:rPr>
            </w:pPr>
            <w:r w:rsidRPr="00576AF8">
              <w:rPr>
                <w:spacing w:val="-2"/>
              </w:rPr>
              <w:t>d)     si el Contratista impide sustancialmente el ejercicio de los derechos del Banco de realizar auditorías, sin perjuicio de lo indicado en la cláusula 6.1. de este Contrato.</w:t>
            </w:r>
          </w:p>
          <w:p w14:paraId="690EDA89" w14:textId="77777777" w:rsidR="00A20832" w:rsidRPr="00576AF8" w:rsidRDefault="00A20832" w:rsidP="00900EDE">
            <w:pPr>
              <w:keepNext/>
              <w:keepLines/>
              <w:spacing w:before="240" w:after="200"/>
              <w:ind w:left="1350" w:right="-19" w:hanging="810"/>
              <w:outlineLvl w:val="4"/>
            </w:pPr>
            <w:r w:rsidRPr="00576AF8">
              <w:t>41.2.2</w:t>
            </w:r>
            <w:r w:rsidRPr="00576AF8">
              <w:tab/>
              <w:t>Si el Proveedor:</w:t>
            </w:r>
          </w:p>
          <w:p w14:paraId="79E2B3C0" w14:textId="77777777" w:rsidR="00A20832" w:rsidRPr="00576AF8" w:rsidRDefault="00894450" w:rsidP="00900EDE">
            <w:pPr>
              <w:keepNext/>
              <w:keepLines/>
              <w:spacing w:before="240" w:after="200"/>
              <w:ind w:left="1710" w:right="-19" w:hanging="360"/>
              <w:outlineLvl w:val="4"/>
            </w:pPr>
            <w:r w:rsidRPr="00576AF8">
              <w:t>(</w:t>
            </w:r>
            <w:r w:rsidR="00A20832" w:rsidRPr="00576AF8">
              <w:t>a)</w:t>
            </w:r>
            <w:r w:rsidR="00A20832" w:rsidRPr="00576AF8">
              <w:tab/>
              <w:t>ha denunciado el Contrato o desistido de él;</w:t>
            </w:r>
          </w:p>
          <w:p w14:paraId="0916C1DE" w14:textId="77777777" w:rsidR="00A20832" w:rsidRPr="00576AF8" w:rsidRDefault="00894450" w:rsidP="00900EDE">
            <w:pPr>
              <w:keepNext/>
              <w:keepLines/>
              <w:spacing w:before="240" w:after="200"/>
              <w:ind w:left="1710" w:right="-19" w:hanging="360"/>
              <w:outlineLvl w:val="4"/>
            </w:pPr>
            <w:r w:rsidRPr="00576AF8">
              <w:t>(</w:t>
            </w:r>
            <w:r w:rsidR="00A20832" w:rsidRPr="00576AF8">
              <w:t>b)</w:t>
            </w:r>
            <w:r w:rsidR="00A20832" w:rsidRPr="00576AF8">
              <w:tab/>
              <w:t>no ha iniciado,</w:t>
            </w:r>
            <w:r w:rsidR="00045A53" w:rsidRPr="00576AF8">
              <w:t xml:space="preserve"> </w:t>
            </w:r>
            <w:r w:rsidR="00A20832" w:rsidRPr="00576AF8">
              <w:t>sin razón válida, prontamente los trabajos en el Sistema;</w:t>
            </w:r>
          </w:p>
          <w:p w14:paraId="49181187" w14:textId="77777777" w:rsidR="00A20832" w:rsidRPr="00576AF8" w:rsidRDefault="00894450" w:rsidP="00900EDE">
            <w:pPr>
              <w:keepNext/>
              <w:keepLines/>
              <w:spacing w:before="240" w:after="200"/>
              <w:ind w:left="1710" w:right="-19" w:hanging="360"/>
              <w:outlineLvl w:val="4"/>
            </w:pPr>
            <w:r w:rsidRPr="00576AF8">
              <w:t>(</w:t>
            </w:r>
            <w:r w:rsidR="00A20832" w:rsidRPr="00576AF8">
              <w:t>c)</w:t>
            </w:r>
            <w:r w:rsidR="00A20832" w:rsidRPr="00576AF8">
              <w:tab/>
              <w:t>no ejecuta el Contrato de acuerdo con los respectivos términos contractuales o descuida en forma persistente y sin justa causa el cumplimiento de sus obligaciones en virtud del Contrato;</w:t>
            </w:r>
          </w:p>
          <w:p w14:paraId="3B654481" w14:textId="77777777" w:rsidR="00A20832" w:rsidRPr="00576AF8" w:rsidRDefault="00894450" w:rsidP="00900EDE">
            <w:pPr>
              <w:spacing w:after="200"/>
              <w:ind w:left="1710" w:right="-19" w:hanging="360"/>
              <w:rPr>
                <w:spacing w:val="-2"/>
              </w:rPr>
            </w:pPr>
            <w:r w:rsidRPr="00576AF8">
              <w:rPr>
                <w:spacing w:val="-2"/>
              </w:rPr>
              <w:t>(</w:t>
            </w:r>
            <w:r w:rsidR="00A20832" w:rsidRPr="00576AF8">
              <w:rPr>
                <w:spacing w:val="-2"/>
              </w:rPr>
              <w:t>d)</w:t>
            </w:r>
            <w:r w:rsidR="00A20832" w:rsidRPr="00576AF8">
              <w:rPr>
                <w:spacing w:val="-2"/>
              </w:rPr>
              <w:tab/>
              <w:t xml:space="preserve">rehúsa o no puede proporcionar materiales, servicios o mano de obra suficientes para ejecutar y completar el Sistema de la manera especificada en el plan acordado para el Proyecto, presentado conforme a la </w:t>
            </w:r>
            <w:r w:rsidR="00A20832" w:rsidRPr="00576AF8">
              <w:rPr>
                <w:spacing w:val="-2"/>
              </w:rPr>
              <w:lastRenderedPageBreak/>
              <w:t xml:space="preserve">cláusula 19 de las CGC, a un ritmo que dé al Comprador un grado razonable de seguridad respecto de que el Proveedor puede obtener la aceptación operativa del Sistema en el plazo correspondiente, incluidas sus eventuales prórrogas; </w:t>
            </w:r>
          </w:p>
          <w:p w14:paraId="3701E83F" w14:textId="77777777" w:rsidR="00A20832" w:rsidRPr="00576AF8" w:rsidRDefault="00A20832" w:rsidP="00900EDE">
            <w:pPr>
              <w:keepNext/>
              <w:keepLines/>
              <w:spacing w:before="240" w:after="200"/>
              <w:ind w:left="1350" w:right="-19"/>
              <w:outlineLvl w:val="4"/>
            </w:pPr>
            <w:r w:rsidRPr="00576AF8">
              <w:t xml:space="preserve">el Comprador podrá, sin perjuicio de cualquier otro derecho que pueda tener en virtud del Contrato, enviar una notificación al Proveedor para indicar la naturaleza del incumplimiento y pedirle que lo subsane. Si el Proveedor no lo subsana o no toma medidas para subsanarlo dentro de los catorce (14) días de recibida esa notificación, el Comprador podrá </w:t>
            </w:r>
            <w:r w:rsidR="00660850" w:rsidRPr="00576AF8">
              <w:t xml:space="preserve">terminar </w:t>
            </w:r>
            <w:r w:rsidRPr="00576AF8">
              <w:t>inmediatamente el Contrato mediante una notificación de rescisión enviada al Proveedor con referencia a la presente cláusula 41.2 de las CGC.</w:t>
            </w:r>
          </w:p>
          <w:p w14:paraId="5F379B7E" w14:textId="77777777" w:rsidR="00A20832" w:rsidRPr="00576AF8" w:rsidRDefault="00A20832" w:rsidP="00900EDE">
            <w:pPr>
              <w:keepNext/>
              <w:keepLines/>
              <w:spacing w:before="240" w:after="200"/>
              <w:ind w:left="1350" w:right="-19" w:hanging="810"/>
              <w:outlineLvl w:val="4"/>
            </w:pPr>
            <w:r w:rsidRPr="00576AF8">
              <w:t>41.2.3</w:t>
            </w:r>
            <w:r w:rsidRPr="00576AF8">
              <w:tab/>
              <w:t>Al recibir la notificación de rescisión conforme a las cláusulas 41.2.1 o 41.2.2 de las CGC, el Proveedor, inmediatamente o en la fecha que se especifique en la notificación de rescisión:</w:t>
            </w:r>
          </w:p>
          <w:p w14:paraId="73550C1C" w14:textId="77777777" w:rsidR="00A20832" w:rsidRPr="00576AF8" w:rsidRDefault="00894450" w:rsidP="00900EDE">
            <w:pPr>
              <w:keepNext/>
              <w:keepLines/>
              <w:spacing w:before="240" w:after="200"/>
              <w:ind w:left="1710" w:right="-19" w:hanging="360"/>
              <w:outlineLvl w:val="4"/>
            </w:pPr>
            <w:r w:rsidRPr="00576AF8">
              <w:t>(</w:t>
            </w:r>
            <w:r w:rsidR="00A20832" w:rsidRPr="00576AF8">
              <w:t>a)</w:t>
            </w:r>
            <w:r w:rsidR="00A20832" w:rsidRPr="00576AF8">
              <w:tab/>
              <w:t>suspenderá todos los trabajos, con excepción de aquellos que el Comprador pueda especificar en la notificación de rescisión con el único propósito de proteger la parte del Sistema ya ejecutada o cualquier trabajo requerido para dejar el sitio en buenas condiciones de limpieza y seguridad;</w:t>
            </w:r>
          </w:p>
          <w:p w14:paraId="20BE781F" w14:textId="77777777" w:rsidR="00A20832" w:rsidRPr="00576AF8" w:rsidRDefault="00894450" w:rsidP="00900EDE">
            <w:pPr>
              <w:keepNext/>
              <w:keepLines/>
              <w:spacing w:before="240" w:after="200"/>
              <w:ind w:left="1710" w:right="-19" w:hanging="360"/>
              <w:outlineLvl w:val="4"/>
            </w:pPr>
            <w:r w:rsidRPr="00576AF8">
              <w:t>(</w:t>
            </w:r>
            <w:r w:rsidR="00A20832" w:rsidRPr="00576AF8">
              <w:t>b)</w:t>
            </w:r>
            <w:r w:rsidR="00A20832" w:rsidRPr="00576AF8">
              <w:tab/>
            </w:r>
            <w:r w:rsidR="00660850" w:rsidRPr="00576AF8">
              <w:t xml:space="preserve">terminará </w:t>
            </w:r>
            <w:r w:rsidR="00A20832" w:rsidRPr="00576AF8">
              <w:t xml:space="preserve">todos los subcontratos, excepto los que hayan de cederse al Comprador de conformidad con lo dispuesto más adelante en la cláusula 41.2.3 </w:t>
            </w:r>
            <w:r w:rsidRPr="00576AF8">
              <w:t>(</w:t>
            </w:r>
            <w:r w:rsidR="00045A53" w:rsidRPr="00576AF8">
              <w:t xml:space="preserve">d) </w:t>
            </w:r>
            <w:r w:rsidR="00A20832" w:rsidRPr="00576AF8">
              <w:t>de las CGC;</w:t>
            </w:r>
          </w:p>
          <w:p w14:paraId="4613111B" w14:textId="77777777" w:rsidR="00A20832" w:rsidRPr="00576AF8" w:rsidRDefault="00894450" w:rsidP="00900EDE">
            <w:pPr>
              <w:keepNext/>
              <w:keepLines/>
              <w:spacing w:before="240" w:after="200"/>
              <w:ind w:left="1710" w:right="-19" w:hanging="360"/>
              <w:outlineLvl w:val="4"/>
            </w:pPr>
            <w:r w:rsidRPr="00576AF8">
              <w:t>(</w:t>
            </w:r>
            <w:r w:rsidR="00A20832" w:rsidRPr="00576AF8">
              <w:t>c)</w:t>
            </w:r>
            <w:r w:rsidR="00A20832" w:rsidRPr="00576AF8">
              <w:tab/>
              <w:t>entregará al Comprador las partes del Sistema ejecutadas hasta la fecha de la rescisión;</w:t>
            </w:r>
          </w:p>
          <w:p w14:paraId="64841C76" w14:textId="77777777" w:rsidR="00A20832" w:rsidRPr="00576AF8" w:rsidRDefault="00894450" w:rsidP="00900EDE">
            <w:pPr>
              <w:spacing w:after="200"/>
              <w:ind w:left="1710" w:right="-19" w:hanging="360"/>
              <w:rPr>
                <w:spacing w:val="-2"/>
              </w:rPr>
            </w:pPr>
            <w:r w:rsidRPr="00576AF8">
              <w:rPr>
                <w:spacing w:val="-2"/>
              </w:rPr>
              <w:t>(</w:t>
            </w:r>
            <w:r w:rsidR="00A20832" w:rsidRPr="00576AF8">
              <w:rPr>
                <w:spacing w:val="-2"/>
              </w:rPr>
              <w:t>d)</w:t>
            </w:r>
            <w:r w:rsidR="00A20832" w:rsidRPr="00576AF8">
              <w:rPr>
                <w:spacing w:val="-2"/>
              </w:rPr>
              <w:tab/>
              <w:t>en la medida que sea legalmente posible, cederá al Comprador todos los derechos, títulos y beneficios del Proveedor respecto del Sistema o los Subsistemas a la fecha de la rescisión y, a requerimiento del Comprador, respecto de cualquier subcontrato formalizado entre el Proveedor y sus subcontratistas, y</w:t>
            </w:r>
          </w:p>
          <w:p w14:paraId="3B44CB09" w14:textId="77777777" w:rsidR="00A20832" w:rsidRPr="00576AF8" w:rsidRDefault="00894450" w:rsidP="00900EDE">
            <w:pPr>
              <w:keepNext/>
              <w:keepLines/>
              <w:spacing w:before="240" w:after="200"/>
              <w:ind w:left="1710" w:right="-19" w:hanging="360"/>
              <w:outlineLvl w:val="4"/>
            </w:pPr>
            <w:r w:rsidRPr="00576AF8">
              <w:lastRenderedPageBreak/>
              <w:t>(</w:t>
            </w:r>
            <w:r w:rsidR="00A20832" w:rsidRPr="00576AF8">
              <w:t>e)</w:t>
            </w:r>
            <w:r w:rsidR="00A20832" w:rsidRPr="00576AF8">
              <w:tab/>
              <w:t>entregará al Comprador todos los planos, especificaciones y otros documentos preparados por el Proveedor o sus subcontratistas a la fecha de la rescisión en relación con el Sistema.</w:t>
            </w:r>
          </w:p>
          <w:p w14:paraId="592DEEE3" w14:textId="77777777" w:rsidR="00A20832" w:rsidRPr="00576AF8" w:rsidRDefault="00A20832" w:rsidP="00900EDE">
            <w:pPr>
              <w:keepNext/>
              <w:keepLines/>
              <w:spacing w:before="240" w:after="200"/>
              <w:ind w:left="1350" w:right="-19" w:hanging="810"/>
              <w:outlineLvl w:val="4"/>
            </w:pPr>
            <w:r w:rsidRPr="00576AF8">
              <w:t>41.2.4</w:t>
            </w:r>
            <w:r w:rsidRPr="00576AF8">
              <w:tab/>
              <w:t>El Comprador podrá ingresar al sitio del Proyecto, expulsar al Proveedor y terminar el Sistema por sí mismo o mediante el empleo de un tercero. Una vez finalizado el Sistema o en una fecha anterior que el Comprador considere apropiada, este notificará al Proveedor que sus equipos le serán devueltos en el sitio o en un lugar próximo y devolverá esos equipos al Proveedor de conformidad con esa notificación. El Proveedor retirará o hará que se retiren entonces sin demora y a su costa esos equipos del sitio.</w:t>
            </w:r>
          </w:p>
          <w:p w14:paraId="52325367" w14:textId="77777777" w:rsidR="00A20832" w:rsidRPr="00576AF8" w:rsidRDefault="00A20832" w:rsidP="00900EDE">
            <w:pPr>
              <w:keepNext/>
              <w:keepLines/>
              <w:spacing w:before="240" w:after="200"/>
              <w:ind w:left="1350" w:right="-19" w:hanging="817"/>
              <w:outlineLvl w:val="4"/>
            </w:pPr>
            <w:r w:rsidRPr="00576AF8">
              <w:t>41.2.5</w:t>
            </w:r>
            <w:r w:rsidRPr="00576AF8">
              <w:tab/>
              <w:t>Con sujeción a la cláusula 41.2.6 de las CGC, el Proveedor tendrá derecho a que se le pague el precio del Contrato que corresponda a la parte del Sistema ejecutada hasta la fecha de la rescisión y los gastos (si los hubiera) que haya efectuado para proteger el Sistema y para dejar el sitio en buenas condiciones de limpieza y seguridad de conformidad con la cláusula 41.2.3</w:t>
            </w:r>
            <w:r w:rsidR="00990C63" w:rsidRPr="00576AF8">
              <w:t xml:space="preserve"> </w:t>
            </w:r>
            <w:r w:rsidR="007A6651" w:rsidRPr="00576AF8">
              <w:t>(</w:t>
            </w:r>
            <w:r w:rsidR="00045A53" w:rsidRPr="00576AF8">
              <w:t>a)</w:t>
            </w:r>
            <w:r w:rsidRPr="00576AF8">
              <w:t xml:space="preserve"> de las CGC. Todas las sumas que el Proveedor deba al Comprador y que se hayan acumulado antes de la fecha de la rescisión se deducirán del monto que deba pagarse al Proveedor de acuerdo al presente Contrato.</w:t>
            </w:r>
          </w:p>
          <w:p w14:paraId="6FB6878F" w14:textId="77777777" w:rsidR="00A20832" w:rsidRPr="00576AF8" w:rsidRDefault="00A20832" w:rsidP="00900EDE">
            <w:pPr>
              <w:spacing w:after="200"/>
              <w:ind w:left="1350" w:right="-19" w:hanging="817"/>
              <w:rPr>
                <w:spacing w:val="-2"/>
              </w:rPr>
            </w:pPr>
            <w:r w:rsidRPr="00576AF8">
              <w:rPr>
                <w:spacing w:val="-2"/>
              </w:rPr>
              <w:t>41.2.6</w:t>
            </w:r>
            <w:r w:rsidRPr="00576AF8">
              <w:rPr>
                <w:spacing w:val="-2"/>
              </w:rPr>
              <w:tab/>
              <w:t>Si el Comprador termina el Sistema, se determinará el costo que ha representado para el Comprador la terminación del Sistema. Si la suma a cuyo pago tiene derecho el Proveedor de conformidad con la cláusula 41.2.5 de las CGC, sumada a los costos razonables que haya debido cubrir el Comprador para terminar el Sistema, excede el precio del Contrato, el Proveedor será responsable de ese exce</w:t>
            </w:r>
            <w:r w:rsidR="00990C63" w:rsidRPr="00576AF8">
              <w:rPr>
                <w:spacing w:val="-2"/>
              </w:rPr>
              <w:t>dente</w:t>
            </w:r>
            <w:r w:rsidRPr="00576AF8">
              <w:rPr>
                <w:spacing w:val="-2"/>
              </w:rPr>
              <w:t>. Si ese monto en exceso es mayor que las sumas adeudadas al Proveedor conforme a la cláusula 41.2.5 de las CGC, el Proveedor pagará el saldo al Comprador, y si el exce</w:t>
            </w:r>
            <w:r w:rsidR="00990C63" w:rsidRPr="00576AF8">
              <w:rPr>
                <w:spacing w:val="-2"/>
              </w:rPr>
              <w:t>dente</w:t>
            </w:r>
            <w:r w:rsidRPr="00576AF8">
              <w:rPr>
                <w:spacing w:val="-2"/>
              </w:rPr>
              <w:t xml:space="preserve"> es inferior a las sumas adeudadas al Proveedor conforme a la cláusula 41.2.5 de las CGC, el Comprador pagará el saldo al Proveedor. El Comprador y el Proveedor convendrán por escrito cómo se realizará el cálculo antes mencionado y las modalidades de pago de los saldos.</w:t>
            </w:r>
          </w:p>
          <w:p w14:paraId="487B5D6E" w14:textId="77777777" w:rsidR="00A20832" w:rsidRPr="00576AF8" w:rsidRDefault="00A20832" w:rsidP="00900EDE">
            <w:pPr>
              <w:keepNext/>
              <w:keepLines/>
              <w:spacing w:before="240" w:after="200"/>
              <w:ind w:left="540" w:right="-19" w:hanging="540"/>
              <w:outlineLvl w:val="4"/>
            </w:pPr>
            <w:r w:rsidRPr="00576AF8">
              <w:lastRenderedPageBreak/>
              <w:t>41.3</w:t>
            </w:r>
            <w:r w:rsidRPr="00576AF8">
              <w:tab/>
              <w:t>Rescisión por el Proveedor</w:t>
            </w:r>
          </w:p>
          <w:p w14:paraId="3FBC0EC4" w14:textId="77777777" w:rsidR="00A20832" w:rsidRPr="00576AF8" w:rsidRDefault="00A20832" w:rsidP="00900EDE">
            <w:pPr>
              <w:keepNext/>
              <w:keepLines/>
              <w:spacing w:before="240" w:after="200"/>
              <w:ind w:left="1350" w:right="-19" w:hanging="810"/>
              <w:outlineLvl w:val="4"/>
            </w:pPr>
            <w:r w:rsidRPr="00576AF8">
              <w:t>41.3.1</w:t>
            </w:r>
            <w:r w:rsidRPr="00576AF8">
              <w:tab/>
              <w:t>Si:</w:t>
            </w:r>
          </w:p>
          <w:p w14:paraId="2C8F4BD2" w14:textId="77777777" w:rsidR="00A20832" w:rsidRPr="00576AF8" w:rsidRDefault="007A6651" w:rsidP="00900EDE">
            <w:pPr>
              <w:keepNext/>
              <w:keepLines/>
              <w:spacing w:before="240" w:after="200"/>
              <w:ind w:left="1710" w:right="-19" w:hanging="360"/>
              <w:outlineLvl w:val="4"/>
            </w:pPr>
            <w:r w:rsidRPr="00576AF8">
              <w:t>(</w:t>
            </w:r>
            <w:r w:rsidR="00A20832" w:rsidRPr="00576AF8">
              <w:t>a)</w:t>
            </w:r>
            <w:r w:rsidR="00A20832" w:rsidRPr="00576AF8">
              <w:tab/>
              <w:t xml:space="preserve">el Comprador no ha pagado al Proveedor alguna suma adeudada en virtud del Contrato dentro del período especificado, no ha aprobado una factura o documento justificativo sin justa causa </w:t>
            </w:r>
            <w:r w:rsidR="00A20832" w:rsidRPr="00576AF8">
              <w:rPr>
                <w:b/>
              </w:rPr>
              <w:t>de acuerdo con las CEC</w:t>
            </w:r>
            <w:r w:rsidR="00A20832" w:rsidRPr="00576AF8">
              <w:t xml:space="preserve"> o incurre en incumplimiento sustancial del Contrato, el Proveedor podrá enviar una notificación al Comprador para exigir el pago de esa suma junto con los correspondientes intereses </w:t>
            </w:r>
            <w:r w:rsidR="00990C63" w:rsidRPr="00576AF8">
              <w:t xml:space="preserve">establecidos </w:t>
            </w:r>
            <w:r w:rsidR="00A20832" w:rsidRPr="00576AF8">
              <w:t>en la cláusula 12.3 de las CGC, solicitar la aprobación de esa factura o documento justificativo</w:t>
            </w:r>
            <w:r w:rsidR="00990C63" w:rsidRPr="00576AF8">
              <w:t>,</w:t>
            </w:r>
            <w:r w:rsidR="00A20832" w:rsidRPr="00576AF8">
              <w:t xml:space="preserve"> o especificar el incumplimiento y exigir que el Comprador lo corrija, según sea el caso. Si el Comprador no paga esas sumas con los correspondientes intereses, no aprueba esas facturas o documentos justificativos ni da sus razones para negar esa aprobación, o no subsana el incumplimiento ni toma medidas para subsanarlo dentro de los catorce (14) días de recibida la notificación del Proveedor, o</w:t>
            </w:r>
          </w:p>
          <w:p w14:paraId="105C903B" w14:textId="77777777" w:rsidR="00A20832" w:rsidRPr="00576AF8" w:rsidRDefault="007A6651" w:rsidP="00900EDE">
            <w:pPr>
              <w:keepNext/>
              <w:keepLines/>
              <w:spacing w:before="240" w:after="200"/>
              <w:ind w:left="1714" w:right="-19" w:hanging="360"/>
              <w:outlineLvl w:val="4"/>
            </w:pPr>
            <w:r w:rsidRPr="00576AF8">
              <w:t>(</w:t>
            </w:r>
            <w:r w:rsidR="00A20832" w:rsidRPr="00576AF8">
              <w:t>b)</w:t>
            </w:r>
            <w:r w:rsidR="00A20832" w:rsidRPr="00576AF8">
              <w:tab/>
              <w:t xml:space="preserve">el Proveedor no puede desempeñar alguna de sus obligaciones en virtud del Contrato por razones atribuibles al Comprador, lo que incluye, entre otras cosas, el hecho de que el Comprador no le haya dado la posesión del sitio del Proyecto o de otros lugares o no </w:t>
            </w:r>
            <w:proofErr w:type="gramStart"/>
            <w:r w:rsidR="00A20832" w:rsidRPr="00576AF8">
              <w:t>le</w:t>
            </w:r>
            <w:proofErr w:type="gramEnd"/>
            <w:r w:rsidR="00A20832" w:rsidRPr="00576AF8">
              <w:t xml:space="preserve"> haya dado acceso a ellos, o no haya obtenido los permisos gubernamentales necesarios para la ejecución o la terminación del Sistema;</w:t>
            </w:r>
          </w:p>
          <w:p w14:paraId="4A15F236" w14:textId="77777777" w:rsidR="00A20832" w:rsidRPr="00576AF8" w:rsidRDefault="00A20832" w:rsidP="00900EDE">
            <w:pPr>
              <w:keepNext/>
              <w:keepLines/>
              <w:spacing w:before="240" w:after="200"/>
              <w:ind w:left="1350" w:right="-19"/>
              <w:outlineLvl w:val="4"/>
            </w:pPr>
            <w:r w:rsidRPr="00576AF8">
              <w:t xml:space="preserve">el Proveedor podrá enviar una notificación al Comprador, y si este no ha pagado las sumas pendientes, aprobado las facturas o documentos justificativos, dado sus razones para negar esa aprobación, o subsanado el incumplimiento dentro de los veintiocho (28) días siguientes a la notificación, o si el Proveedor no puede todavía cumplir alguna de sus obligaciones en virtud del Contrato por cualquier razón atribuible al Comprador dentro de los veintiocho (28) días posteriores a la notificación, el Proveedor podrá, mediante nueva notificación al Comprador, con referencia a la presente cláusula 41.3.1 de las CGC, </w:t>
            </w:r>
            <w:r w:rsidR="00660850" w:rsidRPr="00576AF8">
              <w:t xml:space="preserve">terminar </w:t>
            </w:r>
            <w:r w:rsidRPr="00576AF8">
              <w:t>inmediatamente el Contrato.</w:t>
            </w:r>
          </w:p>
          <w:p w14:paraId="46F9E619" w14:textId="77777777" w:rsidR="00A20832" w:rsidRPr="00576AF8" w:rsidRDefault="00A20832" w:rsidP="00900EDE">
            <w:pPr>
              <w:keepNext/>
              <w:keepLines/>
              <w:spacing w:before="240" w:after="200"/>
              <w:ind w:left="1353" w:right="-19" w:hanging="806"/>
              <w:outlineLvl w:val="4"/>
            </w:pPr>
            <w:r w:rsidRPr="00576AF8">
              <w:lastRenderedPageBreak/>
              <w:t>41.3.2</w:t>
            </w:r>
            <w:r w:rsidRPr="00576AF8">
              <w:tab/>
              <w:t xml:space="preserve">El Proveedor podrá </w:t>
            </w:r>
            <w:r w:rsidR="00660850" w:rsidRPr="00576AF8">
              <w:t xml:space="preserve">terminar </w:t>
            </w:r>
            <w:r w:rsidRPr="00576AF8">
              <w:t xml:space="preserve">inmediatamente el Contrato mediante notificación en ese sentido al Comprador, con referencia a la presente cláusula 41.3.2 de las CGC, si el Comprador se declara en quiebra o en concurso de acreedores, </w:t>
            </w:r>
            <w:r w:rsidR="009917EC" w:rsidRPr="00576AF8">
              <w:t xml:space="preserve">entra en estado de cesación de pagos, </w:t>
            </w:r>
            <w:r w:rsidRPr="00576AF8">
              <w:t xml:space="preserve">se ponen sus bienes bajo administración judicial, llega a un </w:t>
            </w:r>
            <w:r w:rsidR="009917EC" w:rsidRPr="00576AF8">
              <w:t xml:space="preserve">acuerdo </w:t>
            </w:r>
            <w:r w:rsidRPr="00576AF8">
              <w:t>con sus acreedores o, cuando el Comprador es una persona jurídica, si se ha aprobado una resolución o una ordena en la que se dispone su liquidación (que no sea una liquidación voluntaria con fines de fusión o reorganización), se ha designado un síndico para alguna parte de sus empresas o activos, o si el Comprador realiza alguna otra acción análoga como consecuencia de sus deudas o es objeto de ella.</w:t>
            </w:r>
          </w:p>
          <w:p w14:paraId="7BFD16CF" w14:textId="77777777" w:rsidR="00A20832" w:rsidRPr="00576AF8" w:rsidRDefault="00A20832" w:rsidP="00900EDE">
            <w:pPr>
              <w:keepNext/>
              <w:keepLines/>
              <w:spacing w:before="240" w:after="200"/>
              <w:ind w:left="1353" w:right="-19" w:hanging="806"/>
              <w:outlineLvl w:val="4"/>
            </w:pPr>
            <w:r w:rsidRPr="00576AF8">
              <w:t>41.3.3</w:t>
            </w:r>
            <w:r w:rsidRPr="00576AF8">
              <w:tab/>
              <w:t xml:space="preserve">Si el Contrato se rescinde conforme a las cláusulas 41.3.1 o 41.3.2 de las CGC, inmediatamente el Proveedor: </w:t>
            </w:r>
          </w:p>
          <w:p w14:paraId="3760F936" w14:textId="77777777" w:rsidR="00A20832" w:rsidRPr="00576AF8" w:rsidRDefault="007A6651" w:rsidP="00900EDE">
            <w:pPr>
              <w:keepNext/>
              <w:keepLines/>
              <w:spacing w:before="240" w:after="200"/>
              <w:ind w:left="1714" w:right="-19" w:hanging="360"/>
              <w:outlineLvl w:val="4"/>
            </w:pPr>
            <w:r w:rsidRPr="00576AF8">
              <w:t>(</w:t>
            </w:r>
            <w:r w:rsidR="00A20832" w:rsidRPr="00576AF8">
              <w:t>a)</w:t>
            </w:r>
            <w:r w:rsidR="00A20832" w:rsidRPr="00576AF8">
              <w:tab/>
              <w:t>suspenderá todos los trabajos, con excepción de los que sean necesarios para proteger la parte del Sistema ya ejecutada o para dejar el sitio en buenas condiciones de limpieza y seguridad;</w:t>
            </w:r>
          </w:p>
          <w:p w14:paraId="1E4569C1" w14:textId="77777777" w:rsidR="00A20832" w:rsidRPr="00576AF8" w:rsidRDefault="007A6651" w:rsidP="00900EDE">
            <w:pPr>
              <w:keepNext/>
              <w:keepLines/>
              <w:spacing w:before="240" w:after="200"/>
              <w:ind w:left="1714" w:right="-19" w:hanging="360"/>
              <w:outlineLvl w:val="4"/>
            </w:pPr>
            <w:r w:rsidRPr="00576AF8">
              <w:t>(</w:t>
            </w:r>
            <w:r w:rsidR="00A20832" w:rsidRPr="00576AF8">
              <w:t>b)</w:t>
            </w:r>
            <w:r w:rsidR="00A20832" w:rsidRPr="00576AF8">
              <w:tab/>
            </w:r>
            <w:r w:rsidR="00660850" w:rsidRPr="00576AF8">
              <w:t xml:space="preserve">terminará </w:t>
            </w:r>
            <w:r w:rsidR="00A20832" w:rsidRPr="00576AF8">
              <w:t xml:space="preserve">todos los subcontratos, excepto los que hayan de cederse al Comprador de conformidad con la cláusula 41.3.3 </w:t>
            </w:r>
            <w:r w:rsidRPr="00576AF8">
              <w:t>(</w:t>
            </w:r>
            <w:r w:rsidR="00045A53" w:rsidRPr="00576AF8">
              <w:t xml:space="preserve">d) </w:t>
            </w:r>
            <w:r w:rsidRPr="00576AF8">
              <w:t>(</w:t>
            </w:r>
            <w:r w:rsidR="00045A53" w:rsidRPr="00576AF8">
              <w:t xml:space="preserve">ii) </w:t>
            </w:r>
            <w:r w:rsidR="00A20832" w:rsidRPr="00576AF8">
              <w:t>de las CGC;</w:t>
            </w:r>
          </w:p>
          <w:p w14:paraId="67F6E27C" w14:textId="77777777" w:rsidR="00A20832" w:rsidRPr="00576AF8" w:rsidRDefault="007A6651" w:rsidP="00900EDE">
            <w:pPr>
              <w:keepNext/>
              <w:keepLines/>
              <w:spacing w:before="240" w:after="200"/>
              <w:ind w:left="1714" w:right="-19" w:hanging="360"/>
              <w:outlineLvl w:val="4"/>
            </w:pPr>
            <w:r w:rsidRPr="00576AF8">
              <w:t>(</w:t>
            </w:r>
            <w:r w:rsidR="00A20832" w:rsidRPr="00576AF8">
              <w:t>c)</w:t>
            </w:r>
            <w:r w:rsidR="00A20832" w:rsidRPr="00576AF8">
              <w:tab/>
              <w:t xml:space="preserve">retirará todos los equipos del Proveedor del sitio </w:t>
            </w:r>
            <w:r w:rsidRPr="00576AF8">
              <w:br/>
            </w:r>
            <w:r w:rsidR="00A20832" w:rsidRPr="00576AF8">
              <w:t xml:space="preserve">y repatriará el personal del Proveedor y de </w:t>
            </w:r>
            <w:r w:rsidRPr="00576AF8">
              <w:br/>
            </w:r>
            <w:r w:rsidR="00A20832" w:rsidRPr="00576AF8">
              <w:t>sus subcontratistas;</w:t>
            </w:r>
          </w:p>
          <w:p w14:paraId="055B92EE" w14:textId="77777777" w:rsidR="00A20832" w:rsidRPr="00576AF8" w:rsidRDefault="007A6651" w:rsidP="00900EDE">
            <w:pPr>
              <w:keepNext/>
              <w:keepLines/>
              <w:spacing w:before="240" w:after="200"/>
              <w:ind w:left="1710" w:right="-19" w:hanging="360"/>
              <w:outlineLvl w:val="4"/>
            </w:pPr>
            <w:r w:rsidRPr="00576AF8">
              <w:t>(</w:t>
            </w:r>
            <w:r w:rsidR="00A20832" w:rsidRPr="00576AF8">
              <w:t xml:space="preserve">d) </w:t>
            </w:r>
            <w:r w:rsidR="009917EC" w:rsidRPr="00576AF8">
              <w:tab/>
            </w:r>
            <w:r w:rsidR="00A20832" w:rsidRPr="00576AF8">
              <w:t>asimismo, con sujeción al pago especificado en la cláusula 41.3.4 de las CGC,</w:t>
            </w:r>
          </w:p>
          <w:p w14:paraId="25206CCF" w14:textId="77777777" w:rsidR="00A20832" w:rsidRPr="00576AF8" w:rsidRDefault="007A6651" w:rsidP="00900EDE">
            <w:pPr>
              <w:keepNext/>
              <w:keepLines/>
              <w:spacing w:before="240" w:after="200"/>
              <w:ind w:left="2250" w:right="-19" w:hanging="540"/>
              <w:outlineLvl w:val="4"/>
            </w:pPr>
            <w:r w:rsidRPr="00576AF8">
              <w:t>(</w:t>
            </w:r>
            <w:r w:rsidR="00A20832" w:rsidRPr="00576AF8">
              <w:t>i)</w:t>
            </w:r>
            <w:r w:rsidR="00A20832" w:rsidRPr="00576AF8">
              <w:tab/>
              <w:t>entregará al Comprador las partes del Sistema ejecutadas hasta la fecha de la rescisión;</w:t>
            </w:r>
          </w:p>
          <w:p w14:paraId="67FB0B73" w14:textId="77777777" w:rsidR="00A20832" w:rsidRPr="00576AF8" w:rsidRDefault="007A6651" w:rsidP="00900EDE">
            <w:pPr>
              <w:keepNext/>
              <w:keepLines/>
              <w:spacing w:before="240" w:after="200"/>
              <w:ind w:left="2250" w:right="-19" w:hanging="540"/>
              <w:outlineLvl w:val="4"/>
            </w:pPr>
            <w:r w:rsidRPr="00576AF8">
              <w:t>(</w:t>
            </w:r>
            <w:r w:rsidR="00A20832" w:rsidRPr="00576AF8">
              <w:t>ii)</w:t>
            </w:r>
            <w:r w:rsidR="00A20832" w:rsidRPr="00576AF8">
              <w:tab/>
              <w:t>en la medida que sea legalmente posible, cederá al Comprador todos sus derechos, títulos y beneficios respecto del Sistema o los Subsistemas a la fecha de la rescisión y, a requerimiento del Comprador, respecto de cualquier subcontrato formalizado entre el Proveedor y sus subcontratistas;</w:t>
            </w:r>
          </w:p>
          <w:p w14:paraId="24F33B35" w14:textId="77777777" w:rsidR="00A20832" w:rsidRPr="00576AF8" w:rsidRDefault="007A6651" w:rsidP="00900EDE">
            <w:pPr>
              <w:keepNext/>
              <w:keepLines/>
              <w:spacing w:before="240" w:after="200"/>
              <w:ind w:left="2250" w:right="-19" w:hanging="540"/>
              <w:outlineLvl w:val="4"/>
            </w:pPr>
            <w:r w:rsidRPr="00576AF8">
              <w:lastRenderedPageBreak/>
              <w:t>(</w:t>
            </w:r>
            <w:r w:rsidR="00A20832" w:rsidRPr="00576AF8">
              <w:t>iii)</w:t>
            </w:r>
            <w:r w:rsidR="00A20832" w:rsidRPr="00576AF8">
              <w:tab/>
              <w:t>en la medida de lo legalmente posible, entregará al Comprador todos los planos, especificaciones y otros documentos preparados por el Proveedor o sus subcontratistas a la fecha de la rescisión en relación con el Sistema.</w:t>
            </w:r>
          </w:p>
          <w:p w14:paraId="22332078" w14:textId="77777777" w:rsidR="00A20832" w:rsidRPr="00576AF8" w:rsidRDefault="00A20832" w:rsidP="00900EDE">
            <w:pPr>
              <w:keepNext/>
              <w:keepLines/>
              <w:spacing w:before="240" w:after="200"/>
              <w:ind w:left="1350" w:right="-19" w:hanging="810"/>
              <w:outlineLvl w:val="4"/>
            </w:pPr>
            <w:r w:rsidRPr="00576AF8">
              <w:t>41.3.4</w:t>
            </w:r>
            <w:r w:rsidRPr="00576AF8">
              <w:tab/>
              <w:t>Si el Contrato se rescinde conforme a las cláusulas 41.3.1 o 41.3.2 de las CGC, el Comprador pagará al Proveedor todas las sumas que se especifican en la cláusula 41.1.3 de las CGC, junto con una indemnización razonable por todas las pérdidas (excepto el lucro cesante) o daños sufridos por el Proveedor que sean resultado o consecuencia de esa rescisión o guarden relación con ella.</w:t>
            </w:r>
          </w:p>
          <w:p w14:paraId="1E71689F" w14:textId="77777777" w:rsidR="00A20832" w:rsidRPr="00576AF8" w:rsidRDefault="00A20832" w:rsidP="00900EDE">
            <w:pPr>
              <w:keepNext/>
              <w:keepLines/>
              <w:spacing w:before="240" w:after="200"/>
              <w:ind w:left="1353" w:right="-19" w:hanging="806"/>
              <w:outlineLvl w:val="4"/>
            </w:pPr>
            <w:r w:rsidRPr="00576AF8">
              <w:t>41.3.5</w:t>
            </w:r>
            <w:r w:rsidRPr="00576AF8">
              <w:tab/>
              <w:t>La rescisión por el Proveedor conforme a la presente cláusula 41.3 de las CGC se hará sin perjuicio de cualquier otro derecho o recurso que pueda ejercer el Proveedor en lugar de los derechos conferidos en virtud de la cláusula 41.3 de las CGC o además de ellos.</w:t>
            </w:r>
          </w:p>
          <w:p w14:paraId="7FC76B1B" w14:textId="77777777" w:rsidR="00A20832" w:rsidRPr="00576AF8" w:rsidRDefault="00A20832" w:rsidP="00900EDE">
            <w:pPr>
              <w:keepNext/>
              <w:keepLines/>
              <w:spacing w:before="240" w:after="200"/>
              <w:ind w:left="547" w:right="-19" w:hanging="547"/>
              <w:outlineLvl w:val="4"/>
            </w:pPr>
            <w:r w:rsidRPr="00576AF8">
              <w:t>41.4</w:t>
            </w:r>
            <w:r w:rsidRPr="00576AF8">
              <w:tab/>
              <w:t>En la presente cláusula 41 de las CGC, la expresión “parte del Sistema ya ejecutada” incluirá todos los trabajos ejecutados, los servicios prestados y todas las tecnologías de la información u otros bienes adquiridos (o sujetos a una obligación jurídicamente vinculante de compra) por el Proveedor y utilizados o destinados a utilizarse para los fines del Sistema, hasta la fecha de la rescisión, inclusive.</w:t>
            </w:r>
          </w:p>
          <w:p w14:paraId="2064F8BA" w14:textId="77777777" w:rsidR="00A20832" w:rsidRPr="00576AF8" w:rsidRDefault="00A20832" w:rsidP="00900EDE">
            <w:pPr>
              <w:keepNext/>
              <w:keepLines/>
              <w:spacing w:before="240" w:after="200"/>
              <w:ind w:left="547" w:right="-19" w:hanging="547"/>
              <w:outlineLvl w:val="4"/>
            </w:pPr>
            <w:r w:rsidRPr="00576AF8">
              <w:t>41.5</w:t>
            </w:r>
            <w:r w:rsidRPr="00576AF8">
              <w:tab/>
              <w:t xml:space="preserve">En la presente cláusula 41 de las CGC, al calcular las sumas adeudadas por el Comprador al Proveedor, se tendrán en cuenta todas las sumas pagadas anteriormente por el Comprador al Proveedor en virtud del Contrato, incluidos los anticipos pagados </w:t>
            </w:r>
            <w:r w:rsidRPr="00576AF8">
              <w:rPr>
                <w:b/>
              </w:rPr>
              <w:t>de acuerdo a lo dispuesto en las CEC</w:t>
            </w:r>
            <w:r w:rsidRPr="00576AF8">
              <w:t>.</w:t>
            </w:r>
          </w:p>
        </w:tc>
      </w:tr>
      <w:tr w:rsidR="00A20832" w:rsidRPr="00576AF8" w14:paraId="1AB8F615" w14:textId="77777777" w:rsidTr="002638F4">
        <w:trPr>
          <w:cantSplit/>
        </w:trPr>
        <w:tc>
          <w:tcPr>
            <w:tcW w:w="2520" w:type="dxa"/>
          </w:tcPr>
          <w:p w14:paraId="012ABAF7" w14:textId="77777777" w:rsidR="00A20832" w:rsidRPr="00576AF8" w:rsidRDefault="00A20832" w:rsidP="00A35BE3">
            <w:pPr>
              <w:pStyle w:val="Head62"/>
            </w:pPr>
            <w:bookmarkStart w:id="1600" w:name="_Toc277233366"/>
            <w:bookmarkStart w:id="1601" w:name="_Toc488959065"/>
            <w:r w:rsidRPr="00576AF8">
              <w:lastRenderedPageBreak/>
              <w:t>42.</w:t>
            </w:r>
            <w:r w:rsidRPr="00576AF8">
              <w:tab/>
              <w:t>Cesión</w:t>
            </w:r>
            <w:bookmarkEnd w:id="1600"/>
            <w:bookmarkEnd w:id="1601"/>
          </w:p>
        </w:tc>
        <w:tc>
          <w:tcPr>
            <w:tcW w:w="6836" w:type="dxa"/>
          </w:tcPr>
          <w:p w14:paraId="5F53538B" w14:textId="77777777" w:rsidR="00A20832" w:rsidRPr="00576AF8" w:rsidRDefault="00A20832" w:rsidP="00900EDE">
            <w:pPr>
              <w:spacing w:after="200"/>
              <w:ind w:left="547" w:right="-19" w:hanging="547"/>
              <w:rPr>
                <w:spacing w:val="-2"/>
              </w:rPr>
            </w:pPr>
            <w:r w:rsidRPr="00576AF8">
              <w:rPr>
                <w:spacing w:val="-2"/>
              </w:rPr>
              <w:t>43.1</w:t>
            </w:r>
            <w:r w:rsidRPr="00576AF8">
              <w:rPr>
                <w:spacing w:val="-2"/>
              </w:rPr>
              <w:tab/>
              <w:t xml:space="preserve">Ni el Comprador ni el Proveedor cederán a un tercero, sin el consentimiento previo por escrito de la otra Parte, el Contrato ni ninguna parte de él, ni ningún derecho, beneficio, obligación o interés en el Contrato o en virtud del Contrato; no obstante, </w:t>
            </w:r>
            <w:r w:rsidR="007A6651" w:rsidRPr="00576AF8">
              <w:rPr>
                <w:spacing w:val="-2"/>
              </w:rPr>
              <w:br/>
            </w:r>
            <w:r w:rsidRPr="00576AF8">
              <w:rPr>
                <w:spacing w:val="-2"/>
              </w:rPr>
              <w:t>el Proveedor tendrá derecho a efectuar la cesión absoluta o mediante cargo de las sumas que le sean adeudadas y pagaderas o que puedan serle adeudadas y pagaderas en virtud del Contrato.</w:t>
            </w:r>
          </w:p>
        </w:tc>
      </w:tr>
    </w:tbl>
    <w:p w14:paraId="44C548DD" w14:textId="77777777" w:rsidR="00A20832" w:rsidRPr="00576AF8" w:rsidRDefault="00A20832" w:rsidP="00A20832">
      <w:pPr>
        <w:pStyle w:val="Head61"/>
        <w:rPr>
          <w:rFonts w:ascii="Times New Roman" w:hAnsi="Times New Roman"/>
        </w:rPr>
      </w:pPr>
      <w:bookmarkStart w:id="1602" w:name="_Toc277233367"/>
      <w:bookmarkStart w:id="1603" w:name="_Toc488959066"/>
      <w:r w:rsidRPr="00576AF8">
        <w:rPr>
          <w:rFonts w:ascii="Times New Roman" w:hAnsi="Times New Roman"/>
        </w:rPr>
        <w:lastRenderedPageBreak/>
        <w:t>I.</w:t>
      </w:r>
      <w:r w:rsidR="007A6651" w:rsidRPr="00576AF8">
        <w:rPr>
          <w:rFonts w:ascii="Times New Roman" w:hAnsi="Times New Roman"/>
        </w:rPr>
        <w:t xml:space="preserve">  </w:t>
      </w:r>
      <w:r w:rsidRPr="00576AF8">
        <w:rPr>
          <w:rFonts w:ascii="Times New Roman" w:hAnsi="Times New Roman"/>
        </w:rPr>
        <w:t>Solución de controversias</w:t>
      </w:r>
      <w:bookmarkEnd w:id="1602"/>
      <w:bookmarkEnd w:id="1603"/>
    </w:p>
    <w:tbl>
      <w:tblPr>
        <w:tblW w:w="0" w:type="auto"/>
        <w:tblLayout w:type="fixed"/>
        <w:tblCellMar>
          <w:left w:w="115" w:type="dxa"/>
          <w:right w:w="115" w:type="dxa"/>
        </w:tblCellMar>
        <w:tblLook w:val="0000" w:firstRow="0" w:lastRow="0" w:firstColumn="0" w:lastColumn="0" w:noHBand="0" w:noVBand="0"/>
      </w:tblPr>
      <w:tblGrid>
        <w:gridCol w:w="2520"/>
        <w:gridCol w:w="6836"/>
      </w:tblGrid>
      <w:tr w:rsidR="007A6651" w:rsidRPr="00576AF8" w14:paraId="7DFBA72E" w14:textId="77777777" w:rsidTr="007A6651">
        <w:trPr>
          <w:cantSplit/>
        </w:trPr>
        <w:tc>
          <w:tcPr>
            <w:tcW w:w="2520" w:type="dxa"/>
            <w:vMerge w:val="restart"/>
          </w:tcPr>
          <w:p w14:paraId="5F8919D4" w14:textId="77777777" w:rsidR="007A6651" w:rsidRPr="00576AF8" w:rsidRDefault="007A6651" w:rsidP="00A35BE3">
            <w:pPr>
              <w:pStyle w:val="Head62"/>
            </w:pPr>
            <w:bookmarkStart w:id="1604" w:name="_Toc277233368"/>
            <w:bookmarkStart w:id="1605" w:name="_Toc488959067"/>
            <w:r w:rsidRPr="00576AF8">
              <w:t>43.</w:t>
            </w:r>
            <w:r w:rsidRPr="00576AF8">
              <w:tab/>
              <w:t>Solución de controversias</w:t>
            </w:r>
            <w:bookmarkEnd w:id="1604"/>
            <w:bookmarkEnd w:id="1605"/>
          </w:p>
        </w:tc>
        <w:tc>
          <w:tcPr>
            <w:tcW w:w="6836" w:type="dxa"/>
          </w:tcPr>
          <w:p w14:paraId="29B0C829" w14:textId="77777777" w:rsidR="007A6651" w:rsidRPr="00576AF8" w:rsidRDefault="007A6651" w:rsidP="007A6651">
            <w:pPr>
              <w:keepNext/>
              <w:keepLines/>
              <w:spacing w:before="240" w:after="200"/>
              <w:ind w:left="547" w:right="-30" w:hanging="547"/>
              <w:outlineLvl w:val="4"/>
            </w:pPr>
            <w:r w:rsidRPr="00576AF8">
              <w:t>43.1</w:t>
            </w:r>
            <w:r w:rsidRPr="00576AF8">
              <w:tab/>
              <w:t>Conciliación</w:t>
            </w:r>
          </w:p>
        </w:tc>
      </w:tr>
      <w:tr w:rsidR="007A6651" w:rsidRPr="00576AF8" w14:paraId="37183E7D" w14:textId="77777777" w:rsidTr="007A6651">
        <w:tc>
          <w:tcPr>
            <w:tcW w:w="2520" w:type="dxa"/>
            <w:vMerge/>
          </w:tcPr>
          <w:p w14:paraId="3A498B32" w14:textId="77777777" w:rsidR="007A6651" w:rsidRPr="00576AF8" w:rsidRDefault="007A6651" w:rsidP="00A35BE3">
            <w:pPr>
              <w:spacing w:after="0"/>
              <w:jc w:val="left"/>
            </w:pPr>
          </w:p>
        </w:tc>
        <w:tc>
          <w:tcPr>
            <w:tcW w:w="6836" w:type="dxa"/>
          </w:tcPr>
          <w:p w14:paraId="326DBDD4" w14:textId="77777777" w:rsidR="007A6651" w:rsidRPr="00576AF8" w:rsidRDefault="007A6651" w:rsidP="00AE1990">
            <w:pPr>
              <w:keepNext/>
              <w:spacing w:after="200"/>
              <w:ind w:left="1094" w:right="-30" w:hanging="547"/>
              <w:rPr>
                <w:spacing w:val="-2"/>
              </w:rPr>
            </w:pPr>
            <w:r w:rsidRPr="00576AF8">
              <w:rPr>
                <w:spacing w:val="-2"/>
              </w:rPr>
              <w:t>43.1.1</w:t>
            </w:r>
            <w:r w:rsidRPr="00576AF8">
              <w:rPr>
                <w:spacing w:val="-2"/>
              </w:rPr>
              <w:tab/>
              <w:t>En caso de que surja alguna controversia, del tipo que fuere, entre el Comprador y el Proveedor en relación con este Contrato o derivada de él, incluidas, sin perjuicio del carácter general de lo que antecede, toda cuestión relativa a su existencia, validez o rescisión, o el funcionamiento del Sistema (ya sea durante el curso de la ejecución o una vez lograda la aceptación operativa, y ya sea antes o después de la rescisión, abandono o incumplimiento del Contrato), las Partes buscarán resolver dicha disputa mediante consultas entre ellas. Si no logran resolver la disputa mediante tales consultas dentro de un plazo de catorce (14) días después que una Parte haya notificado a la otra por escrito acerca de la disputa, y si el Convenio Contractual incluido en el apéndice 2 menciona un conciliador, cualquiera de las Partes remitirá por escrito la disputa al conciliador en un plazo de otros catorce (14) días, con copia a la otra Parte. Si en el Convenio Contractual no se ha especificado ningún conciliador, el período de consultas mutuas mencionado anteriormente durará veintiocho (28) días (en lugar de catorce), al cabo del cual cualquiera de las Partes podrá proceder a la notificación del arbitraje de conformidad con la cláusula </w:t>
            </w:r>
            <w:r w:rsidR="00AE1990" w:rsidRPr="00576AF8">
              <w:rPr>
                <w:spacing w:val="-2"/>
              </w:rPr>
              <w:t>43</w:t>
            </w:r>
            <w:r w:rsidRPr="00576AF8">
              <w:rPr>
                <w:spacing w:val="-2"/>
              </w:rPr>
              <w:t>.2.1 de las CGC.</w:t>
            </w:r>
          </w:p>
        </w:tc>
      </w:tr>
      <w:tr w:rsidR="00A20832" w:rsidRPr="00576AF8" w14:paraId="0734EFC1" w14:textId="77777777" w:rsidTr="007A6651">
        <w:tc>
          <w:tcPr>
            <w:tcW w:w="2520" w:type="dxa"/>
          </w:tcPr>
          <w:p w14:paraId="38221E66" w14:textId="77777777" w:rsidR="00A20832" w:rsidRPr="00576AF8" w:rsidRDefault="00A20832" w:rsidP="00A35BE3">
            <w:pPr>
              <w:spacing w:after="0"/>
              <w:jc w:val="left"/>
            </w:pPr>
          </w:p>
        </w:tc>
        <w:tc>
          <w:tcPr>
            <w:tcW w:w="6836" w:type="dxa"/>
          </w:tcPr>
          <w:p w14:paraId="0FF4F27E" w14:textId="77777777" w:rsidR="00A20832" w:rsidRPr="00576AF8" w:rsidRDefault="00A20832" w:rsidP="007A6651">
            <w:pPr>
              <w:keepNext/>
              <w:keepLines/>
              <w:spacing w:before="240" w:after="200"/>
              <w:ind w:left="1094" w:right="-30" w:hanging="547"/>
              <w:outlineLvl w:val="4"/>
            </w:pPr>
            <w:r w:rsidRPr="00576AF8">
              <w:t>43.1.2</w:t>
            </w:r>
            <w:r w:rsidRPr="00576AF8">
              <w:tab/>
              <w:t xml:space="preserve">El conciliador comunicará por escrito su decisión a ambas Partes dentro de los veintiocho (28) días posteriores a la fecha en que se le remitió la disputa. Si el conciliador ha comunicado su decisión y ni el Comprador ni el Proveedor han presentado su notificación de la intención de iniciar un proceso de arbitraje dentro de los cincuenta y seis (56) días posteriores a dicha referencia, la decisión se considerará definitiva y vinculante para ambas Partes. Toda decisión que se considere definitiva y vinculante deberá ser implementada por las Partes de inmediato. </w:t>
            </w:r>
          </w:p>
          <w:p w14:paraId="43079188" w14:textId="77777777" w:rsidR="00A20832" w:rsidRPr="00576AF8" w:rsidRDefault="00A20832" w:rsidP="007A6651">
            <w:pPr>
              <w:spacing w:after="200"/>
              <w:ind w:left="1080" w:right="-30" w:hanging="540"/>
              <w:rPr>
                <w:spacing w:val="-2"/>
              </w:rPr>
            </w:pPr>
            <w:r w:rsidRPr="00576AF8">
              <w:rPr>
                <w:spacing w:val="-2"/>
              </w:rPr>
              <w:t>43.1.3</w:t>
            </w:r>
            <w:r w:rsidRPr="00576AF8">
              <w:rPr>
                <w:spacing w:val="-2"/>
              </w:rPr>
              <w:tab/>
              <w:t xml:space="preserve">Se pagará al conciliador una tarifa por hora según la tasa especificada en el Convenio Contractual, más los gastos razonables en que haya incurrido para llevar a cabo sus obligaciones como conciliador, y estos costos se dividirán en partes iguales entre el Comprador y el Proveedor. </w:t>
            </w:r>
          </w:p>
          <w:p w14:paraId="1466EC5F" w14:textId="77777777" w:rsidR="00A20832" w:rsidRPr="00576AF8" w:rsidRDefault="00A20832" w:rsidP="007A6651">
            <w:pPr>
              <w:keepNext/>
              <w:keepLines/>
              <w:spacing w:before="240" w:after="200"/>
              <w:ind w:left="1094" w:right="-30" w:hanging="547"/>
              <w:outlineLvl w:val="4"/>
            </w:pPr>
            <w:r w:rsidRPr="00576AF8">
              <w:lastRenderedPageBreak/>
              <w:t>43.1.4</w:t>
            </w:r>
            <w:r w:rsidRPr="00576AF8">
              <w:tab/>
              <w:t xml:space="preserve">En caso de que el conciliador renuncie o muera, o si el Comprador y el Proveedor están de acuerdo en que el conciliador no desempeña sus funciones de conformidad con lo dispuesto en el Contrato, el Comprador y el Proveedor nombrarán conjuntamente un nuevo conciliador. Si las Partes no llegan a un acuerdo dentro de los veintiocho (28) días, el nuevo conciliador será nombrado a pedido de cualquiera de las Partes por la autoridad nominadora </w:t>
            </w:r>
            <w:r w:rsidRPr="00576AF8">
              <w:rPr>
                <w:b/>
              </w:rPr>
              <w:t>especificada en las CEC</w:t>
            </w:r>
            <w:r w:rsidRPr="00576AF8">
              <w:t xml:space="preserve"> o, si no se la hubiera </w:t>
            </w:r>
            <w:r w:rsidRPr="00576AF8">
              <w:rPr>
                <w:b/>
              </w:rPr>
              <w:t>especificado en las CEC</w:t>
            </w:r>
            <w:r w:rsidRPr="00576AF8">
              <w:t xml:space="preserve">, a partir de este momento y hasta que las Partes se pongan de acuerdo para nombrar un conciliador o una autoridad nominadora, el Contrato se ejecutará como si no hubiera conciliador. </w:t>
            </w:r>
          </w:p>
          <w:p w14:paraId="4B86A372" w14:textId="77777777" w:rsidR="00A20832" w:rsidRPr="00576AF8" w:rsidRDefault="00A20832" w:rsidP="007A6651">
            <w:pPr>
              <w:keepNext/>
              <w:keepLines/>
              <w:spacing w:before="240" w:after="200"/>
              <w:ind w:left="547" w:right="-30" w:hanging="547"/>
              <w:outlineLvl w:val="4"/>
            </w:pPr>
            <w:r w:rsidRPr="00576AF8">
              <w:t>43.2</w:t>
            </w:r>
            <w:r w:rsidRPr="00576AF8">
              <w:tab/>
              <w:t>Arbitraje</w:t>
            </w:r>
          </w:p>
          <w:p w14:paraId="07392954" w14:textId="77777777" w:rsidR="00A20832" w:rsidRPr="00576AF8" w:rsidRDefault="00A20832" w:rsidP="007A6651">
            <w:pPr>
              <w:keepNext/>
              <w:keepLines/>
              <w:spacing w:before="240" w:after="200"/>
              <w:ind w:left="1080" w:right="-30" w:hanging="540"/>
              <w:outlineLvl w:val="4"/>
            </w:pPr>
            <w:r w:rsidRPr="00576AF8">
              <w:t>43.2.1</w:t>
            </w:r>
            <w:r w:rsidRPr="00576AF8">
              <w:tab/>
              <w:t>Si:</w:t>
            </w:r>
          </w:p>
          <w:p w14:paraId="36F337FC" w14:textId="77777777" w:rsidR="00A20832" w:rsidRPr="00576AF8" w:rsidRDefault="007A6651" w:rsidP="007A6651">
            <w:pPr>
              <w:keepNext/>
              <w:keepLines/>
              <w:spacing w:before="240" w:after="200"/>
              <w:ind w:left="1540" w:right="-30" w:hanging="446"/>
              <w:outlineLvl w:val="4"/>
            </w:pPr>
            <w:r w:rsidRPr="00576AF8">
              <w:t>(</w:t>
            </w:r>
            <w:r w:rsidR="00A20832" w:rsidRPr="00576AF8">
              <w:t xml:space="preserve">a) </w:t>
            </w:r>
            <w:r w:rsidR="00F93E2C" w:rsidRPr="00576AF8">
              <w:tab/>
            </w:r>
            <w:r w:rsidR="00A20832" w:rsidRPr="00576AF8">
              <w:t xml:space="preserve">el Comprador o el Proveedor no están satisfechos con la decisión del conciliador y actúan antes de que dicha decisión se convierta en definitiva y vinculante, según lo dispuesto en la cláusula 43.1.2 de las CGC; </w:t>
            </w:r>
          </w:p>
          <w:p w14:paraId="2BB7886E" w14:textId="77777777" w:rsidR="00A20832" w:rsidRPr="00576AF8" w:rsidRDefault="007A6651" w:rsidP="007A6651">
            <w:pPr>
              <w:keepNext/>
              <w:keepLines/>
              <w:spacing w:before="240" w:after="200"/>
              <w:ind w:left="1540" w:right="-30" w:hanging="446"/>
              <w:outlineLvl w:val="4"/>
            </w:pPr>
            <w:r w:rsidRPr="00576AF8">
              <w:t>(</w:t>
            </w:r>
            <w:r w:rsidR="00A20832" w:rsidRPr="00576AF8">
              <w:t xml:space="preserve">b) </w:t>
            </w:r>
            <w:r w:rsidR="00F93E2C" w:rsidRPr="00576AF8">
              <w:tab/>
            </w:r>
            <w:r w:rsidR="00A20832" w:rsidRPr="00576AF8">
              <w:t xml:space="preserve">el conciliador no emite una decisión dentro del plazo asignado a partir de la fecha en que se le remitió la disputa de conformidad con la cláusula 43.1.2 de las CGC y el Comprador o el Proveedor actúan dentro de los siguientes catorce (14) días, o </w:t>
            </w:r>
          </w:p>
          <w:p w14:paraId="3AF99B2F" w14:textId="77777777" w:rsidR="00A20832" w:rsidRPr="00576AF8" w:rsidRDefault="007A6651" w:rsidP="007A6651">
            <w:pPr>
              <w:keepNext/>
              <w:keepLines/>
              <w:spacing w:before="240" w:after="200"/>
              <w:ind w:left="1540" w:right="-30" w:hanging="446"/>
              <w:outlineLvl w:val="4"/>
            </w:pPr>
            <w:r w:rsidRPr="00576AF8">
              <w:t>(</w:t>
            </w:r>
            <w:r w:rsidR="00A20832" w:rsidRPr="00576AF8">
              <w:t xml:space="preserve">c) </w:t>
            </w:r>
            <w:r w:rsidR="00F93E2C" w:rsidRPr="00576AF8">
              <w:tab/>
            </w:r>
            <w:r w:rsidR="00A20832" w:rsidRPr="00576AF8">
              <w:t>no se mencion</w:t>
            </w:r>
            <w:r w:rsidR="00F93E2C" w:rsidRPr="00576AF8">
              <w:t>a</w:t>
            </w:r>
            <w:r w:rsidR="00A20832" w:rsidRPr="00576AF8">
              <w:t xml:space="preserve"> un conciliador en el Convenio Contractual, el período de consultas establecido de conformidad con la cláusula 43.1.1 finaliza sin que se haya resuelto la disputa y el Comprador o el Proveedor actúan dentro de los siguientes catorce (14) días, </w:t>
            </w:r>
          </w:p>
          <w:p w14:paraId="14C32EE5" w14:textId="77777777" w:rsidR="00A20832" w:rsidRPr="00576AF8" w:rsidRDefault="00A20832" w:rsidP="007A6651">
            <w:pPr>
              <w:keepNext/>
              <w:keepLines/>
              <w:spacing w:before="240" w:after="200"/>
              <w:ind w:left="1080" w:right="-30" w:hanging="540"/>
              <w:outlineLvl w:val="4"/>
            </w:pPr>
            <w:r w:rsidRPr="00576AF8">
              <w:tab/>
              <w:t xml:space="preserve">el Comprador o el Proveedor pueden enviar a la otra Parte una notificación, con copia al conciliador para su información en caso de que este haya intervenido en el proceso, de su intención de iniciar un procedimiento de arbitraje, según lo dispuesto más adelante, respecto del objeto de la disputa. No podrá iniciarse ningún proceso de arbitraje respecto de este asunto si no se ha enviado la mencionada notificación. </w:t>
            </w:r>
          </w:p>
          <w:p w14:paraId="1EEAD259" w14:textId="77777777" w:rsidR="00A20832" w:rsidRPr="00576AF8" w:rsidRDefault="00A20832" w:rsidP="007A6651">
            <w:pPr>
              <w:spacing w:after="200"/>
              <w:ind w:left="1080" w:right="-30" w:hanging="540"/>
              <w:rPr>
                <w:spacing w:val="-4"/>
              </w:rPr>
            </w:pPr>
            <w:r w:rsidRPr="00576AF8">
              <w:rPr>
                <w:spacing w:val="-4"/>
              </w:rPr>
              <w:t>43.2.2</w:t>
            </w:r>
            <w:r w:rsidRPr="00576AF8">
              <w:rPr>
                <w:spacing w:val="-4"/>
              </w:rPr>
              <w:tab/>
              <w:t xml:space="preserve">Toda controversia respecto de la cual se haya notificado la intención de iniciar un proceso de arbitraje de conformidad </w:t>
            </w:r>
            <w:r w:rsidRPr="00576AF8">
              <w:rPr>
                <w:spacing w:val="-4"/>
              </w:rPr>
              <w:lastRenderedPageBreak/>
              <w:t xml:space="preserve">con la cláusula 43.2.1 se resolverá definitivamente </w:t>
            </w:r>
            <w:r w:rsidR="007A6651" w:rsidRPr="00576AF8">
              <w:rPr>
                <w:spacing w:val="-4"/>
              </w:rPr>
              <w:br/>
            </w:r>
            <w:r w:rsidRPr="00576AF8">
              <w:rPr>
                <w:spacing w:val="-4"/>
              </w:rPr>
              <w:t>mediante arbitraje. El arbitraje podrá iniciarse antes o después de la instalación del Sistema Informático.</w:t>
            </w:r>
          </w:p>
          <w:p w14:paraId="31945AED" w14:textId="77777777" w:rsidR="00A20832" w:rsidRPr="00576AF8" w:rsidRDefault="00A20832" w:rsidP="007A6651">
            <w:pPr>
              <w:spacing w:after="200"/>
              <w:ind w:left="1080" w:right="-30" w:hanging="540"/>
              <w:rPr>
                <w:b/>
              </w:rPr>
            </w:pPr>
            <w:r w:rsidRPr="00576AF8">
              <w:t>43.2.3</w:t>
            </w:r>
            <w:r w:rsidRPr="00576AF8">
              <w:tab/>
              <w:t xml:space="preserve">El arbitraje se llevará a cabo según el reglamento </w:t>
            </w:r>
            <w:r w:rsidR="00A91A91" w:rsidRPr="00576AF8">
              <w:rPr>
                <w:b/>
              </w:rPr>
              <w:t xml:space="preserve">establecido </w:t>
            </w:r>
            <w:r w:rsidRPr="00576AF8">
              <w:rPr>
                <w:b/>
              </w:rPr>
              <w:t>en las CEC</w:t>
            </w:r>
            <w:r w:rsidRPr="00576AF8">
              <w:t>.</w:t>
            </w:r>
          </w:p>
          <w:p w14:paraId="23711196" w14:textId="77777777" w:rsidR="00A20832" w:rsidRPr="00576AF8" w:rsidRDefault="00A20832" w:rsidP="007A6651">
            <w:pPr>
              <w:keepNext/>
              <w:keepLines/>
              <w:spacing w:before="240" w:after="200"/>
              <w:ind w:left="540" w:right="-30" w:hanging="540"/>
              <w:outlineLvl w:val="4"/>
            </w:pPr>
            <w:r w:rsidRPr="00576AF8">
              <w:t>43.3</w:t>
            </w:r>
            <w:r w:rsidRPr="00576AF8">
              <w:tab/>
              <w:t xml:space="preserve">Sin perjuicio de las referencias al conciliador o al proceso de arbitraje incluidas en esta cláusula, </w:t>
            </w:r>
          </w:p>
          <w:p w14:paraId="43BC7904" w14:textId="77777777" w:rsidR="00A20832" w:rsidRPr="00576AF8" w:rsidRDefault="007A6651" w:rsidP="007A6651">
            <w:pPr>
              <w:keepNext/>
              <w:keepLines/>
              <w:spacing w:before="240" w:after="200"/>
              <w:ind w:left="1094" w:right="-30" w:hanging="547"/>
              <w:outlineLvl w:val="4"/>
            </w:pPr>
            <w:r w:rsidRPr="00576AF8">
              <w:t>(</w:t>
            </w:r>
            <w:r w:rsidR="00A20832" w:rsidRPr="00576AF8">
              <w:t xml:space="preserve">a) </w:t>
            </w:r>
            <w:r w:rsidR="00A20832" w:rsidRPr="00576AF8">
              <w:tab/>
              <w:t>las Partes deberán continuar cumpliendo con sus obligaciones respectivas en virtud del Contrato, a menos que acuerden otra cosa;</w:t>
            </w:r>
          </w:p>
          <w:p w14:paraId="307B59E8" w14:textId="77777777" w:rsidR="00A20832" w:rsidRPr="00576AF8" w:rsidRDefault="007A6651" w:rsidP="007A6651">
            <w:pPr>
              <w:keepNext/>
              <w:keepLines/>
              <w:spacing w:before="240" w:after="200"/>
              <w:ind w:left="1094" w:right="-30" w:hanging="547"/>
              <w:outlineLvl w:val="4"/>
            </w:pPr>
            <w:r w:rsidRPr="00576AF8">
              <w:t>(</w:t>
            </w:r>
            <w:r w:rsidR="00A20832" w:rsidRPr="00576AF8">
              <w:t>b)</w:t>
            </w:r>
            <w:r w:rsidR="00A20832" w:rsidRPr="00576AF8">
              <w:tab/>
              <w:t>el Comprador pagará el dinero que adeude al Proveedor.</w:t>
            </w:r>
          </w:p>
        </w:tc>
      </w:tr>
    </w:tbl>
    <w:p w14:paraId="14DE63C2" w14:textId="77777777" w:rsidR="007A6651" w:rsidRPr="00576AF8" w:rsidRDefault="007A6651" w:rsidP="00A20832">
      <w:pPr>
        <w:suppressAutoHyphens w:val="0"/>
        <w:spacing w:after="0"/>
        <w:jc w:val="left"/>
      </w:pPr>
      <w:bookmarkStart w:id="1606" w:name="_Hlt495509834"/>
      <w:bookmarkStart w:id="1607" w:name="_Ref324546679"/>
      <w:bookmarkStart w:id="1608" w:name="_Toc352140249"/>
      <w:bookmarkStart w:id="1609" w:name="_Toc521498742"/>
      <w:bookmarkStart w:id="1610" w:name="_Toc215902366"/>
      <w:bookmarkEnd w:id="1606"/>
    </w:p>
    <w:p w14:paraId="32A5B623" w14:textId="77777777" w:rsidR="00A20832" w:rsidRPr="00576AF8" w:rsidRDefault="00A20832" w:rsidP="00A20832">
      <w:pPr>
        <w:suppressAutoHyphens w:val="0"/>
        <w:spacing w:after="0"/>
        <w:jc w:val="left"/>
        <w:rPr>
          <w:b/>
          <w:sz w:val="36"/>
          <w:szCs w:val="36"/>
        </w:rPr>
      </w:pPr>
      <w:r w:rsidRPr="00576AF8">
        <w:br w:type="page"/>
      </w:r>
    </w:p>
    <w:p w14:paraId="1A491A15" w14:textId="77777777" w:rsidR="00A20832" w:rsidRPr="00576AF8" w:rsidRDefault="00A20832" w:rsidP="00A20832">
      <w:pPr>
        <w:pStyle w:val="ClauseSubList"/>
        <w:tabs>
          <w:tab w:val="clear" w:pos="3987"/>
        </w:tabs>
        <w:spacing w:after="200"/>
        <w:ind w:left="2160" w:hanging="720"/>
        <w:jc w:val="both"/>
        <w:rPr>
          <w:sz w:val="24"/>
          <w:szCs w:val="24"/>
        </w:rPr>
        <w:sectPr w:rsidR="00A20832" w:rsidRPr="00576AF8" w:rsidSect="000968D2">
          <w:headerReference w:type="even" r:id="rId73"/>
          <w:headerReference w:type="default" r:id="rId74"/>
          <w:footnotePr>
            <w:numRestart w:val="eachSect"/>
          </w:footnotePr>
          <w:pgSz w:w="12240" w:h="15840" w:code="1"/>
          <w:pgMar w:top="1440" w:right="1440" w:bottom="1440" w:left="1440" w:header="720" w:footer="720" w:gutter="0"/>
          <w:cols w:space="720"/>
          <w:docGrid w:linePitch="360"/>
        </w:sectPr>
      </w:pPr>
    </w:p>
    <w:p w14:paraId="017A6868" w14:textId="0FDCE9BC" w:rsidR="00A20832" w:rsidRPr="00576AF8" w:rsidRDefault="00A20832" w:rsidP="003B1CB5">
      <w:pPr>
        <w:pStyle w:val="TDC11"/>
      </w:pPr>
      <w:bookmarkStart w:id="1611" w:name="_Toc454907536"/>
      <w:bookmarkStart w:id="1612" w:name="_Toc28242434"/>
      <w:bookmarkStart w:id="1613" w:name="_Toc445567399"/>
      <w:r w:rsidRPr="00576AF8">
        <w:lastRenderedPageBreak/>
        <w:t xml:space="preserve">Sección </w:t>
      </w:r>
      <w:r w:rsidR="0091459B" w:rsidRPr="00576AF8">
        <w:t>VIII</w:t>
      </w:r>
      <w:r w:rsidR="007357C1" w:rsidRPr="00576AF8">
        <w:t xml:space="preserve">. </w:t>
      </w:r>
      <w:r w:rsidRPr="00576AF8">
        <w:t>Condiciones Especiales del Contrato</w:t>
      </w:r>
      <w:bookmarkEnd w:id="1607"/>
      <w:bookmarkEnd w:id="1608"/>
      <w:bookmarkEnd w:id="1611"/>
      <w:bookmarkEnd w:id="1612"/>
      <w:r w:rsidRPr="00576AF8">
        <w:t xml:space="preserve"> </w:t>
      </w:r>
      <w:bookmarkEnd w:id="1609"/>
      <w:bookmarkEnd w:id="1610"/>
      <w:bookmarkEnd w:id="1613"/>
    </w:p>
    <w:p w14:paraId="500409EA" w14:textId="77777777" w:rsidR="00A20832" w:rsidRPr="00576AF8" w:rsidRDefault="00A20832" w:rsidP="00A20832">
      <w:pPr>
        <w:pStyle w:val="Ttulo2"/>
        <w:rPr>
          <w:rFonts w:ascii="Times New Roman" w:hAnsi="Times New Roman"/>
        </w:rPr>
      </w:pPr>
      <w:bookmarkStart w:id="1614" w:name="_Ref324794508"/>
      <w:bookmarkStart w:id="1615" w:name="_Toc352140251"/>
      <w:bookmarkStart w:id="1616" w:name="_Toc521498744"/>
      <w:bookmarkStart w:id="1617" w:name="_Toc215902368"/>
      <w:bookmarkStart w:id="1618" w:name="_Toc445567400"/>
      <w:r w:rsidRPr="00576AF8">
        <w:rPr>
          <w:rFonts w:ascii="Times New Roman" w:hAnsi="Times New Roman"/>
        </w:rPr>
        <w:t>Índice de cláusulas</w:t>
      </w:r>
      <w:bookmarkEnd w:id="1614"/>
      <w:bookmarkEnd w:id="1615"/>
      <w:bookmarkEnd w:id="1616"/>
      <w:bookmarkEnd w:id="1617"/>
      <w:bookmarkEnd w:id="1618"/>
    </w:p>
    <w:p w14:paraId="45FD2F53" w14:textId="77777777" w:rsidR="006D17C0" w:rsidRPr="00576AF8" w:rsidRDefault="009D0452">
      <w:pPr>
        <w:pStyle w:val="TDC1"/>
        <w:rPr>
          <w:rFonts w:ascii="Times New Roman" w:eastAsiaTheme="minorEastAsia" w:hAnsi="Times New Roman"/>
          <w:b w:val="0"/>
          <w:noProof/>
          <w:sz w:val="22"/>
          <w:szCs w:val="22"/>
          <w:lang w:eastAsia="zh-CN" w:bidi="ar-SA"/>
        </w:rPr>
      </w:pPr>
      <w:r w:rsidRPr="00576AF8">
        <w:rPr>
          <w:rFonts w:ascii="Times New Roman" w:hAnsi="Times New Roman"/>
        </w:rPr>
        <w:fldChar w:fldCharType="begin"/>
      </w:r>
      <w:r w:rsidRPr="00576AF8">
        <w:rPr>
          <w:rFonts w:ascii="Times New Roman" w:hAnsi="Times New Roman"/>
        </w:rPr>
        <w:instrText xml:space="preserve"> TOC \h \z \t "Head 7.2;2;Head 7.1;1" </w:instrText>
      </w:r>
      <w:r w:rsidRPr="00576AF8">
        <w:rPr>
          <w:rFonts w:ascii="Times New Roman" w:hAnsi="Times New Roman"/>
        </w:rPr>
        <w:fldChar w:fldCharType="separate"/>
      </w:r>
      <w:hyperlink w:anchor="_Toc488961680" w:history="1">
        <w:r w:rsidR="006D17C0" w:rsidRPr="00576AF8">
          <w:rPr>
            <w:rStyle w:val="Hipervnculo"/>
            <w:rFonts w:ascii="Times New Roman" w:hAnsi="Times New Roman"/>
            <w:noProof/>
          </w:rPr>
          <w:t>A.  Contrato e Interpretación</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_Toc488961680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253</w:t>
        </w:r>
        <w:r w:rsidR="006D17C0" w:rsidRPr="00576AF8">
          <w:rPr>
            <w:rFonts w:ascii="Times New Roman" w:hAnsi="Times New Roman"/>
            <w:noProof/>
            <w:webHidden/>
          </w:rPr>
          <w:fldChar w:fldCharType="end"/>
        </w:r>
      </w:hyperlink>
    </w:p>
    <w:p w14:paraId="1D0D55E0" w14:textId="77777777" w:rsidR="006D17C0" w:rsidRPr="00576AF8" w:rsidRDefault="006334E7">
      <w:pPr>
        <w:pStyle w:val="TDC2"/>
        <w:rPr>
          <w:rFonts w:eastAsiaTheme="minorEastAsia"/>
          <w:sz w:val="22"/>
          <w:szCs w:val="22"/>
          <w:lang w:eastAsia="zh-CN" w:bidi="ar-SA"/>
        </w:rPr>
      </w:pPr>
      <w:hyperlink w:anchor="_Toc488961681" w:history="1">
        <w:r w:rsidR="006D17C0" w:rsidRPr="00576AF8">
          <w:rPr>
            <w:rStyle w:val="Hipervnculo"/>
          </w:rPr>
          <w:t>1.</w:t>
        </w:r>
        <w:r w:rsidR="006D17C0" w:rsidRPr="00576AF8">
          <w:rPr>
            <w:rFonts w:eastAsiaTheme="minorEastAsia"/>
            <w:sz w:val="22"/>
            <w:szCs w:val="22"/>
            <w:lang w:eastAsia="zh-CN" w:bidi="ar-SA"/>
          </w:rPr>
          <w:tab/>
        </w:r>
        <w:r w:rsidR="006D17C0" w:rsidRPr="00576AF8">
          <w:rPr>
            <w:rStyle w:val="Hipervnculo"/>
          </w:rPr>
          <w:t>Definiciones (cláusula 1 de las CGC)</w:t>
        </w:r>
        <w:r w:rsidR="006D17C0" w:rsidRPr="00576AF8">
          <w:rPr>
            <w:webHidden/>
          </w:rPr>
          <w:tab/>
        </w:r>
        <w:r w:rsidR="006D17C0" w:rsidRPr="00576AF8">
          <w:rPr>
            <w:webHidden/>
          </w:rPr>
          <w:fldChar w:fldCharType="begin"/>
        </w:r>
        <w:r w:rsidR="006D17C0" w:rsidRPr="00576AF8">
          <w:rPr>
            <w:webHidden/>
          </w:rPr>
          <w:instrText xml:space="preserve"> PAGEREF _Toc488961681 \h </w:instrText>
        </w:r>
        <w:r w:rsidR="006D17C0" w:rsidRPr="00576AF8">
          <w:rPr>
            <w:webHidden/>
          </w:rPr>
        </w:r>
        <w:r w:rsidR="006D17C0" w:rsidRPr="00576AF8">
          <w:rPr>
            <w:webHidden/>
          </w:rPr>
          <w:fldChar w:fldCharType="separate"/>
        </w:r>
        <w:r w:rsidR="004D0C19" w:rsidRPr="00576AF8">
          <w:rPr>
            <w:webHidden/>
          </w:rPr>
          <w:t>253</w:t>
        </w:r>
        <w:r w:rsidR="006D17C0" w:rsidRPr="00576AF8">
          <w:rPr>
            <w:webHidden/>
          </w:rPr>
          <w:fldChar w:fldCharType="end"/>
        </w:r>
      </w:hyperlink>
    </w:p>
    <w:p w14:paraId="23A43A3C" w14:textId="77777777" w:rsidR="006D17C0" w:rsidRPr="00576AF8" w:rsidRDefault="006334E7">
      <w:pPr>
        <w:pStyle w:val="TDC2"/>
        <w:rPr>
          <w:rFonts w:eastAsiaTheme="minorEastAsia"/>
          <w:sz w:val="22"/>
          <w:szCs w:val="22"/>
          <w:lang w:eastAsia="zh-CN" w:bidi="ar-SA"/>
        </w:rPr>
      </w:pPr>
      <w:hyperlink w:anchor="_Toc488961682" w:history="1">
        <w:r w:rsidR="006D17C0" w:rsidRPr="00576AF8">
          <w:rPr>
            <w:rStyle w:val="Hipervnculo"/>
          </w:rPr>
          <w:t>2.</w:t>
        </w:r>
        <w:r w:rsidR="006D17C0" w:rsidRPr="00576AF8">
          <w:rPr>
            <w:rFonts w:eastAsiaTheme="minorEastAsia"/>
            <w:sz w:val="22"/>
            <w:szCs w:val="22"/>
            <w:lang w:eastAsia="zh-CN" w:bidi="ar-SA"/>
          </w:rPr>
          <w:tab/>
        </w:r>
        <w:r w:rsidR="006D17C0" w:rsidRPr="00576AF8">
          <w:rPr>
            <w:rStyle w:val="Hipervnculo"/>
          </w:rPr>
          <w:t>Notificaciones (cláusula 4 de las CGC)</w:t>
        </w:r>
        <w:r w:rsidR="006D17C0" w:rsidRPr="00576AF8">
          <w:rPr>
            <w:webHidden/>
          </w:rPr>
          <w:tab/>
        </w:r>
        <w:r w:rsidR="006D17C0" w:rsidRPr="00576AF8">
          <w:rPr>
            <w:webHidden/>
          </w:rPr>
          <w:fldChar w:fldCharType="begin"/>
        </w:r>
        <w:r w:rsidR="006D17C0" w:rsidRPr="00576AF8">
          <w:rPr>
            <w:webHidden/>
          </w:rPr>
          <w:instrText xml:space="preserve"> PAGEREF _Toc488961682 \h </w:instrText>
        </w:r>
        <w:r w:rsidR="006D17C0" w:rsidRPr="00576AF8">
          <w:rPr>
            <w:webHidden/>
          </w:rPr>
        </w:r>
        <w:r w:rsidR="006D17C0" w:rsidRPr="00576AF8">
          <w:rPr>
            <w:webHidden/>
          </w:rPr>
          <w:fldChar w:fldCharType="separate"/>
        </w:r>
        <w:r w:rsidR="004D0C19" w:rsidRPr="00576AF8">
          <w:rPr>
            <w:webHidden/>
          </w:rPr>
          <w:t>253</w:t>
        </w:r>
        <w:r w:rsidR="006D17C0" w:rsidRPr="00576AF8">
          <w:rPr>
            <w:webHidden/>
          </w:rPr>
          <w:fldChar w:fldCharType="end"/>
        </w:r>
      </w:hyperlink>
    </w:p>
    <w:p w14:paraId="6E5ACAB0"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683" w:history="1">
        <w:r w:rsidR="006D17C0" w:rsidRPr="00576AF8">
          <w:rPr>
            <w:rStyle w:val="Hipervnculo"/>
            <w:rFonts w:ascii="Times New Roman" w:hAnsi="Times New Roman"/>
            <w:noProof/>
          </w:rPr>
          <w:t>B.  Objeto del Contrato</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_Toc488961683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255</w:t>
        </w:r>
        <w:r w:rsidR="006D17C0" w:rsidRPr="00576AF8">
          <w:rPr>
            <w:rFonts w:ascii="Times New Roman" w:hAnsi="Times New Roman"/>
            <w:noProof/>
            <w:webHidden/>
          </w:rPr>
          <w:fldChar w:fldCharType="end"/>
        </w:r>
      </w:hyperlink>
    </w:p>
    <w:p w14:paraId="2C1EB94D" w14:textId="77777777" w:rsidR="006D17C0" w:rsidRPr="00576AF8" w:rsidRDefault="006334E7">
      <w:pPr>
        <w:pStyle w:val="TDC2"/>
        <w:rPr>
          <w:rFonts w:eastAsiaTheme="minorEastAsia"/>
          <w:sz w:val="22"/>
          <w:szCs w:val="22"/>
          <w:lang w:eastAsia="zh-CN" w:bidi="ar-SA"/>
        </w:rPr>
      </w:pPr>
      <w:hyperlink w:anchor="_Toc488961684" w:history="1">
        <w:r w:rsidR="006D17C0" w:rsidRPr="00576AF8">
          <w:rPr>
            <w:rStyle w:val="Hipervnculo"/>
          </w:rPr>
          <w:t>3.</w:t>
        </w:r>
        <w:r w:rsidR="006D17C0" w:rsidRPr="00576AF8">
          <w:rPr>
            <w:rFonts w:eastAsiaTheme="minorEastAsia"/>
            <w:sz w:val="22"/>
            <w:szCs w:val="22"/>
            <w:lang w:eastAsia="zh-CN" w:bidi="ar-SA"/>
          </w:rPr>
          <w:tab/>
        </w:r>
        <w:r w:rsidR="006D17C0" w:rsidRPr="00576AF8">
          <w:rPr>
            <w:rStyle w:val="Hipervnculo"/>
          </w:rPr>
          <w:t>Alcance del Sistema (cláusula 7 de las CGC)</w:t>
        </w:r>
        <w:r w:rsidR="006D17C0" w:rsidRPr="00576AF8">
          <w:rPr>
            <w:webHidden/>
          </w:rPr>
          <w:tab/>
        </w:r>
        <w:r w:rsidR="006D17C0" w:rsidRPr="00576AF8">
          <w:rPr>
            <w:webHidden/>
          </w:rPr>
          <w:fldChar w:fldCharType="begin"/>
        </w:r>
        <w:r w:rsidR="006D17C0" w:rsidRPr="00576AF8">
          <w:rPr>
            <w:webHidden/>
          </w:rPr>
          <w:instrText xml:space="preserve"> PAGEREF _Toc488961684 \h </w:instrText>
        </w:r>
        <w:r w:rsidR="006D17C0" w:rsidRPr="00576AF8">
          <w:rPr>
            <w:webHidden/>
          </w:rPr>
        </w:r>
        <w:r w:rsidR="006D17C0" w:rsidRPr="00576AF8">
          <w:rPr>
            <w:webHidden/>
          </w:rPr>
          <w:fldChar w:fldCharType="separate"/>
        </w:r>
        <w:r w:rsidR="004D0C19" w:rsidRPr="00576AF8">
          <w:rPr>
            <w:webHidden/>
          </w:rPr>
          <w:t>255</w:t>
        </w:r>
        <w:r w:rsidR="006D17C0" w:rsidRPr="00576AF8">
          <w:rPr>
            <w:webHidden/>
          </w:rPr>
          <w:fldChar w:fldCharType="end"/>
        </w:r>
      </w:hyperlink>
    </w:p>
    <w:p w14:paraId="31B78016" w14:textId="77777777" w:rsidR="006D17C0" w:rsidRPr="00576AF8" w:rsidRDefault="006334E7">
      <w:pPr>
        <w:pStyle w:val="TDC2"/>
        <w:rPr>
          <w:rFonts w:eastAsiaTheme="minorEastAsia"/>
          <w:sz w:val="22"/>
          <w:szCs w:val="22"/>
          <w:lang w:eastAsia="zh-CN" w:bidi="ar-SA"/>
        </w:rPr>
      </w:pPr>
      <w:hyperlink w:anchor="_Toc488961685" w:history="1">
        <w:r w:rsidR="006D17C0" w:rsidRPr="00576AF8">
          <w:rPr>
            <w:rStyle w:val="Hipervnculo"/>
          </w:rPr>
          <w:t>4.</w:t>
        </w:r>
        <w:r w:rsidR="006D17C0" w:rsidRPr="00576AF8">
          <w:rPr>
            <w:rFonts w:eastAsiaTheme="minorEastAsia"/>
            <w:sz w:val="22"/>
            <w:szCs w:val="22"/>
            <w:lang w:eastAsia="zh-CN" w:bidi="ar-SA"/>
          </w:rPr>
          <w:tab/>
        </w:r>
        <w:r w:rsidR="006D17C0" w:rsidRPr="00576AF8">
          <w:rPr>
            <w:rStyle w:val="Hipervnculo"/>
          </w:rPr>
          <w:t>Plazo de inicio y aceptación operativa (cláusula 8 de las CGC)</w:t>
        </w:r>
        <w:r w:rsidR="006D17C0" w:rsidRPr="00576AF8">
          <w:rPr>
            <w:webHidden/>
          </w:rPr>
          <w:tab/>
        </w:r>
        <w:r w:rsidR="006D17C0" w:rsidRPr="00576AF8">
          <w:rPr>
            <w:webHidden/>
          </w:rPr>
          <w:fldChar w:fldCharType="begin"/>
        </w:r>
        <w:r w:rsidR="006D17C0" w:rsidRPr="00576AF8">
          <w:rPr>
            <w:webHidden/>
          </w:rPr>
          <w:instrText xml:space="preserve"> PAGEREF _Toc488961685 \h </w:instrText>
        </w:r>
        <w:r w:rsidR="006D17C0" w:rsidRPr="00576AF8">
          <w:rPr>
            <w:webHidden/>
          </w:rPr>
        </w:r>
        <w:r w:rsidR="006D17C0" w:rsidRPr="00576AF8">
          <w:rPr>
            <w:webHidden/>
          </w:rPr>
          <w:fldChar w:fldCharType="separate"/>
        </w:r>
        <w:r w:rsidR="004D0C19" w:rsidRPr="00576AF8">
          <w:rPr>
            <w:webHidden/>
          </w:rPr>
          <w:t>256</w:t>
        </w:r>
        <w:r w:rsidR="006D17C0" w:rsidRPr="00576AF8">
          <w:rPr>
            <w:webHidden/>
          </w:rPr>
          <w:fldChar w:fldCharType="end"/>
        </w:r>
      </w:hyperlink>
    </w:p>
    <w:p w14:paraId="67B99FE9" w14:textId="77777777" w:rsidR="006D17C0" w:rsidRPr="00576AF8" w:rsidRDefault="006334E7">
      <w:pPr>
        <w:pStyle w:val="TDC2"/>
        <w:rPr>
          <w:rFonts w:eastAsiaTheme="minorEastAsia"/>
          <w:sz w:val="22"/>
          <w:szCs w:val="22"/>
          <w:lang w:eastAsia="zh-CN" w:bidi="ar-SA"/>
        </w:rPr>
      </w:pPr>
      <w:hyperlink w:anchor="_Toc488961686" w:history="1">
        <w:r w:rsidR="006D17C0" w:rsidRPr="00576AF8">
          <w:rPr>
            <w:rStyle w:val="Hipervnculo"/>
          </w:rPr>
          <w:t>5.</w:t>
        </w:r>
        <w:r w:rsidR="006D17C0" w:rsidRPr="00576AF8">
          <w:rPr>
            <w:rFonts w:eastAsiaTheme="minorEastAsia"/>
            <w:sz w:val="22"/>
            <w:szCs w:val="22"/>
            <w:lang w:eastAsia="zh-CN" w:bidi="ar-SA"/>
          </w:rPr>
          <w:tab/>
        </w:r>
        <w:r w:rsidR="006D17C0" w:rsidRPr="00576AF8">
          <w:rPr>
            <w:rStyle w:val="Hipervnculo"/>
          </w:rPr>
          <w:t>Responsabilidades del Proveedor (cláusula 9 de las CGC)</w:t>
        </w:r>
        <w:r w:rsidR="006D17C0" w:rsidRPr="00576AF8">
          <w:rPr>
            <w:webHidden/>
          </w:rPr>
          <w:tab/>
        </w:r>
        <w:r w:rsidR="006D17C0" w:rsidRPr="00576AF8">
          <w:rPr>
            <w:webHidden/>
          </w:rPr>
          <w:fldChar w:fldCharType="begin"/>
        </w:r>
        <w:r w:rsidR="006D17C0" w:rsidRPr="00576AF8">
          <w:rPr>
            <w:webHidden/>
          </w:rPr>
          <w:instrText xml:space="preserve"> PAGEREF _Toc488961686 \h </w:instrText>
        </w:r>
        <w:r w:rsidR="006D17C0" w:rsidRPr="00576AF8">
          <w:rPr>
            <w:webHidden/>
          </w:rPr>
        </w:r>
        <w:r w:rsidR="006D17C0" w:rsidRPr="00576AF8">
          <w:rPr>
            <w:webHidden/>
          </w:rPr>
          <w:fldChar w:fldCharType="separate"/>
        </w:r>
        <w:r w:rsidR="004D0C19" w:rsidRPr="00576AF8">
          <w:rPr>
            <w:webHidden/>
          </w:rPr>
          <w:t>256</w:t>
        </w:r>
        <w:r w:rsidR="006D17C0" w:rsidRPr="00576AF8">
          <w:rPr>
            <w:webHidden/>
          </w:rPr>
          <w:fldChar w:fldCharType="end"/>
        </w:r>
      </w:hyperlink>
    </w:p>
    <w:p w14:paraId="57389844"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687" w:history="1">
        <w:r w:rsidR="006D17C0" w:rsidRPr="00576AF8">
          <w:rPr>
            <w:rStyle w:val="Hipervnculo"/>
            <w:rFonts w:ascii="Times New Roman" w:hAnsi="Times New Roman"/>
            <w:noProof/>
          </w:rPr>
          <w:t>C.  Pago</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_Toc488961687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256</w:t>
        </w:r>
        <w:r w:rsidR="006D17C0" w:rsidRPr="00576AF8">
          <w:rPr>
            <w:rFonts w:ascii="Times New Roman" w:hAnsi="Times New Roman"/>
            <w:noProof/>
            <w:webHidden/>
          </w:rPr>
          <w:fldChar w:fldCharType="end"/>
        </w:r>
      </w:hyperlink>
    </w:p>
    <w:p w14:paraId="313654C0" w14:textId="77777777" w:rsidR="006D17C0" w:rsidRPr="00576AF8" w:rsidRDefault="006334E7">
      <w:pPr>
        <w:pStyle w:val="TDC2"/>
        <w:rPr>
          <w:rFonts w:eastAsiaTheme="minorEastAsia"/>
          <w:sz w:val="22"/>
          <w:szCs w:val="22"/>
          <w:lang w:eastAsia="zh-CN" w:bidi="ar-SA"/>
        </w:rPr>
      </w:pPr>
      <w:hyperlink w:anchor="_Toc488961688" w:history="1">
        <w:r w:rsidR="006D17C0" w:rsidRPr="00576AF8">
          <w:rPr>
            <w:rStyle w:val="Hipervnculo"/>
          </w:rPr>
          <w:t>6.</w:t>
        </w:r>
        <w:r w:rsidR="006D17C0" w:rsidRPr="00576AF8">
          <w:rPr>
            <w:rFonts w:eastAsiaTheme="minorEastAsia"/>
            <w:sz w:val="22"/>
            <w:szCs w:val="22"/>
            <w:lang w:eastAsia="zh-CN" w:bidi="ar-SA"/>
          </w:rPr>
          <w:tab/>
        </w:r>
        <w:r w:rsidR="006D17C0" w:rsidRPr="00576AF8">
          <w:rPr>
            <w:rStyle w:val="Hipervnculo"/>
          </w:rPr>
          <w:t>Precio del Contrato (cláusula 11 de las CGC)</w:t>
        </w:r>
        <w:r w:rsidR="006D17C0" w:rsidRPr="00576AF8">
          <w:rPr>
            <w:webHidden/>
          </w:rPr>
          <w:tab/>
        </w:r>
        <w:r w:rsidR="006D17C0" w:rsidRPr="00576AF8">
          <w:rPr>
            <w:webHidden/>
          </w:rPr>
          <w:fldChar w:fldCharType="begin"/>
        </w:r>
        <w:r w:rsidR="006D17C0" w:rsidRPr="00576AF8">
          <w:rPr>
            <w:webHidden/>
          </w:rPr>
          <w:instrText xml:space="preserve"> PAGEREF _Toc488961688 \h </w:instrText>
        </w:r>
        <w:r w:rsidR="006D17C0" w:rsidRPr="00576AF8">
          <w:rPr>
            <w:webHidden/>
          </w:rPr>
        </w:r>
        <w:r w:rsidR="006D17C0" w:rsidRPr="00576AF8">
          <w:rPr>
            <w:webHidden/>
          </w:rPr>
          <w:fldChar w:fldCharType="separate"/>
        </w:r>
        <w:r w:rsidR="004D0C19" w:rsidRPr="00576AF8">
          <w:rPr>
            <w:webHidden/>
          </w:rPr>
          <w:t>256</w:t>
        </w:r>
        <w:r w:rsidR="006D17C0" w:rsidRPr="00576AF8">
          <w:rPr>
            <w:webHidden/>
          </w:rPr>
          <w:fldChar w:fldCharType="end"/>
        </w:r>
      </w:hyperlink>
    </w:p>
    <w:p w14:paraId="0C5E20BF" w14:textId="77777777" w:rsidR="006D17C0" w:rsidRPr="00576AF8" w:rsidRDefault="006334E7">
      <w:pPr>
        <w:pStyle w:val="TDC2"/>
        <w:rPr>
          <w:rFonts w:eastAsiaTheme="minorEastAsia"/>
          <w:sz w:val="22"/>
          <w:szCs w:val="22"/>
          <w:lang w:eastAsia="zh-CN" w:bidi="ar-SA"/>
        </w:rPr>
      </w:pPr>
      <w:hyperlink w:anchor="_Toc488961689" w:history="1">
        <w:r w:rsidR="006D17C0" w:rsidRPr="00576AF8">
          <w:rPr>
            <w:rStyle w:val="Hipervnculo"/>
          </w:rPr>
          <w:t>7.</w:t>
        </w:r>
        <w:r w:rsidR="006D17C0" w:rsidRPr="00576AF8">
          <w:rPr>
            <w:rFonts w:eastAsiaTheme="minorEastAsia"/>
            <w:sz w:val="22"/>
            <w:szCs w:val="22"/>
            <w:lang w:eastAsia="zh-CN" w:bidi="ar-SA"/>
          </w:rPr>
          <w:tab/>
        </w:r>
        <w:r w:rsidR="006D17C0" w:rsidRPr="00576AF8">
          <w:rPr>
            <w:rStyle w:val="Hipervnculo"/>
          </w:rPr>
          <w:t>Condiciones de Pago (cláusula 12 de las CGC)</w:t>
        </w:r>
        <w:r w:rsidR="006D17C0" w:rsidRPr="00576AF8">
          <w:rPr>
            <w:webHidden/>
          </w:rPr>
          <w:tab/>
        </w:r>
        <w:r w:rsidR="006D17C0" w:rsidRPr="00576AF8">
          <w:rPr>
            <w:webHidden/>
          </w:rPr>
          <w:fldChar w:fldCharType="begin"/>
        </w:r>
        <w:r w:rsidR="006D17C0" w:rsidRPr="00576AF8">
          <w:rPr>
            <w:webHidden/>
          </w:rPr>
          <w:instrText xml:space="preserve"> PAGEREF _Toc488961689 \h </w:instrText>
        </w:r>
        <w:r w:rsidR="006D17C0" w:rsidRPr="00576AF8">
          <w:rPr>
            <w:webHidden/>
          </w:rPr>
        </w:r>
        <w:r w:rsidR="006D17C0" w:rsidRPr="00576AF8">
          <w:rPr>
            <w:webHidden/>
          </w:rPr>
          <w:fldChar w:fldCharType="separate"/>
        </w:r>
        <w:r w:rsidR="004D0C19" w:rsidRPr="00576AF8">
          <w:rPr>
            <w:webHidden/>
          </w:rPr>
          <w:t>257</w:t>
        </w:r>
        <w:r w:rsidR="006D17C0" w:rsidRPr="00576AF8">
          <w:rPr>
            <w:webHidden/>
          </w:rPr>
          <w:fldChar w:fldCharType="end"/>
        </w:r>
      </w:hyperlink>
    </w:p>
    <w:p w14:paraId="121AEE72" w14:textId="77777777" w:rsidR="006D17C0" w:rsidRPr="00576AF8" w:rsidRDefault="006334E7">
      <w:pPr>
        <w:pStyle w:val="TDC2"/>
        <w:rPr>
          <w:rFonts w:eastAsiaTheme="minorEastAsia"/>
          <w:sz w:val="22"/>
          <w:szCs w:val="22"/>
          <w:lang w:eastAsia="zh-CN" w:bidi="ar-SA"/>
        </w:rPr>
      </w:pPr>
      <w:hyperlink w:anchor="_Toc488961690" w:history="1">
        <w:r w:rsidR="006D17C0" w:rsidRPr="00576AF8">
          <w:rPr>
            <w:rStyle w:val="Hipervnculo"/>
          </w:rPr>
          <w:t>8.</w:t>
        </w:r>
        <w:r w:rsidR="006D17C0" w:rsidRPr="00576AF8">
          <w:rPr>
            <w:rFonts w:eastAsiaTheme="minorEastAsia"/>
            <w:sz w:val="22"/>
            <w:szCs w:val="22"/>
            <w:lang w:eastAsia="zh-CN" w:bidi="ar-SA"/>
          </w:rPr>
          <w:tab/>
        </w:r>
        <w:r w:rsidR="006D17C0" w:rsidRPr="00576AF8">
          <w:rPr>
            <w:rStyle w:val="Hipervnculo"/>
          </w:rPr>
          <w:t>Garantías (cláusula 13 de las CGC)</w:t>
        </w:r>
        <w:r w:rsidR="006D17C0" w:rsidRPr="00576AF8">
          <w:rPr>
            <w:webHidden/>
          </w:rPr>
          <w:tab/>
        </w:r>
        <w:r w:rsidR="006D17C0" w:rsidRPr="00576AF8">
          <w:rPr>
            <w:webHidden/>
          </w:rPr>
          <w:fldChar w:fldCharType="begin"/>
        </w:r>
        <w:r w:rsidR="006D17C0" w:rsidRPr="00576AF8">
          <w:rPr>
            <w:webHidden/>
          </w:rPr>
          <w:instrText xml:space="preserve"> PAGEREF _Toc488961690 \h </w:instrText>
        </w:r>
        <w:r w:rsidR="006D17C0" w:rsidRPr="00576AF8">
          <w:rPr>
            <w:webHidden/>
          </w:rPr>
        </w:r>
        <w:r w:rsidR="006D17C0" w:rsidRPr="00576AF8">
          <w:rPr>
            <w:webHidden/>
          </w:rPr>
          <w:fldChar w:fldCharType="separate"/>
        </w:r>
        <w:r w:rsidR="004D0C19" w:rsidRPr="00576AF8">
          <w:rPr>
            <w:webHidden/>
          </w:rPr>
          <w:t>259</w:t>
        </w:r>
        <w:r w:rsidR="006D17C0" w:rsidRPr="00576AF8">
          <w:rPr>
            <w:webHidden/>
          </w:rPr>
          <w:fldChar w:fldCharType="end"/>
        </w:r>
      </w:hyperlink>
    </w:p>
    <w:p w14:paraId="2E3A4197"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691" w:history="1">
        <w:r w:rsidR="006D17C0" w:rsidRPr="00576AF8">
          <w:rPr>
            <w:rStyle w:val="Hipervnculo"/>
            <w:rFonts w:ascii="Times New Roman" w:hAnsi="Times New Roman"/>
            <w:noProof/>
          </w:rPr>
          <w:t>D.  Propiedad intelectual</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_Toc488961691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260</w:t>
        </w:r>
        <w:r w:rsidR="006D17C0" w:rsidRPr="00576AF8">
          <w:rPr>
            <w:rFonts w:ascii="Times New Roman" w:hAnsi="Times New Roman"/>
            <w:noProof/>
            <w:webHidden/>
          </w:rPr>
          <w:fldChar w:fldCharType="end"/>
        </w:r>
      </w:hyperlink>
    </w:p>
    <w:p w14:paraId="0BF2FDD9" w14:textId="77777777" w:rsidR="006D17C0" w:rsidRPr="00576AF8" w:rsidRDefault="006334E7">
      <w:pPr>
        <w:pStyle w:val="TDC2"/>
        <w:rPr>
          <w:rFonts w:eastAsiaTheme="minorEastAsia"/>
          <w:sz w:val="22"/>
          <w:szCs w:val="22"/>
          <w:lang w:eastAsia="zh-CN" w:bidi="ar-SA"/>
        </w:rPr>
      </w:pPr>
      <w:hyperlink w:anchor="_Toc488961692" w:history="1">
        <w:r w:rsidR="006D17C0" w:rsidRPr="00576AF8">
          <w:rPr>
            <w:rStyle w:val="Hipervnculo"/>
          </w:rPr>
          <w:t>9.</w:t>
        </w:r>
        <w:r w:rsidR="006D17C0" w:rsidRPr="00576AF8">
          <w:rPr>
            <w:rFonts w:eastAsiaTheme="minorEastAsia"/>
            <w:sz w:val="22"/>
            <w:szCs w:val="22"/>
            <w:lang w:eastAsia="zh-CN" w:bidi="ar-SA"/>
          </w:rPr>
          <w:tab/>
        </w:r>
        <w:r w:rsidR="006D17C0" w:rsidRPr="00576AF8">
          <w:rPr>
            <w:rStyle w:val="Hipervnculo"/>
          </w:rPr>
          <w:t>Derechos de autor (cláusula 15 de las CGC)</w:t>
        </w:r>
        <w:r w:rsidR="006D17C0" w:rsidRPr="00576AF8">
          <w:rPr>
            <w:webHidden/>
          </w:rPr>
          <w:tab/>
        </w:r>
        <w:r w:rsidR="006D17C0" w:rsidRPr="00576AF8">
          <w:rPr>
            <w:webHidden/>
          </w:rPr>
          <w:fldChar w:fldCharType="begin"/>
        </w:r>
        <w:r w:rsidR="006D17C0" w:rsidRPr="00576AF8">
          <w:rPr>
            <w:webHidden/>
          </w:rPr>
          <w:instrText xml:space="preserve"> PAGEREF _Toc488961692 \h </w:instrText>
        </w:r>
        <w:r w:rsidR="006D17C0" w:rsidRPr="00576AF8">
          <w:rPr>
            <w:webHidden/>
          </w:rPr>
        </w:r>
        <w:r w:rsidR="006D17C0" w:rsidRPr="00576AF8">
          <w:rPr>
            <w:webHidden/>
          </w:rPr>
          <w:fldChar w:fldCharType="separate"/>
        </w:r>
        <w:r w:rsidR="004D0C19" w:rsidRPr="00576AF8">
          <w:rPr>
            <w:webHidden/>
          </w:rPr>
          <w:t>260</w:t>
        </w:r>
        <w:r w:rsidR="006D17C0" w:rsidRPr="00576AF8">
          <w:rPr>
            <w:webHidden/>
          </w:rPr>
          <w:fldChar w:fldCharType="end"/>
        </w:r>
      </w:hyperlink>
    </w:p>
    <w:p w14:paraId="040125F5" w14:textId="77777777" w:rsidR="006D17C0" w:rsidRPr="00576AF8" w:rsidRDefault="006334E7">
      <w:pPr>
        <w:pStyle w:val="TDC2"/>
        <w:rPr>
          <w:rFonts w:eastAsiaTheme="minorEastAsia"/>
          <w:sz w:val="22"/>
          <w:szCs w:val="22"/>
          <w:lang w:eastAsia="zh-CN" w:bidi="ar-SA"/>
        </w:rPr>
      </w:pPr>
      <w:hyperlink w:anchor="_Toc488961693" w:history="1">
        <w:r w:rsidR="006D17C0" w:rsidRPr="00576AF8">
          <w:rPr>
            <w:rStyle w:val="Hipervnculo"/>
          </w:rPr>
          <w:t>10.</w:t>
        </w:r>
        <w:r w:rsidR="006D17C0" w:rsidRPr="00576AF8">
          <w:rPr>
            <w:rFonts w:eastAsiaTheme="minorEastAsia"/>
            <w:sz w:val="22"/>
            <w:szCs w:val="22"/>
            <w:lang w:eastAsia="zh-CN" w:bidi="ar-SA"/>
          </w:rPr>
          <w:tab/>
        </w:r>
        <w:r w:rsidR="006D17C0" w:rsidRPr="00576AF8">
          <w:rPr>
            <w:rStyle w:val="Hipervnculo"/>
          </w:rPr>
          <w:t>Acuerdos de licencia de software (cláusula 16 de las CGC)</w:t>
        </w:r>
        <w:r w:rsidR="006D17C0" w:rsidRPr="00576AF8">
          <w:rPr>
            <w:webHidden/>
          </w:rPr>
          <w:tab/>
        </w:r>
        <w:r w:rsidR="006D17C0" w:rsidRPr="00576AF8">
          <w:rPr>
            <w:webHidden/>
          </w:rPr>
          <w:fldChar w:fldCharType="begin"/>
        </w:r>
        <w:r w:rsidR="006D17C0" w:rsidRPr="00576AF8">
          <w:rPr>
            <w:webHidden/>
          </w:rPr>
          <w:instrText xml:space="preserve"> PAGEREF _Toc488961693 \h </w:instrText>
        </w:r>
        <w:r w:rsidR="006D17C0" w:rsidRPr="00576AF8">
          <w:rPr>
            <w:webHidden/>
          </w:rPr>
        </w:r>
        <w:r w:rsidR="006D17C0" w:rsidRPr="00576AF8">
          <w:rPr>
            <w:webHidden/>
          </w:rPr>
          <w:fldChar w:fldCharType="separate"/>
        </w:r>
        <w:r w:rsidR="004D0C19" w:rsidRPr="00576AF8">
          <w:rPr>
            <w:webHidden/>
          </w:rPr>
          <w:t>264</w:t>
        </w:r>
        <w:r w:rsidR="006D17C0" w:rsidRPr="00576AF8">
          <w:rPr>
            <w:webHidden/>
          </w:rPr>
          <w:fldChar w:fldCharType="end"/>
        </w:r>
      </w:hyperlink>
    </w:p>
    <w:p w14:paraId="3B19DD5A" w14:textId="77777777" w:rsidR="006D17C0" w:rsidRPr="00576AF8" w:rsidRDefault="006334E7">
      <w:pPr>
        <w:pStyle w:val="TDC2"/>
        <w:rPr>
          <w:rFonts w:eastAsiaTheme="minorEastAsia"/>
          <w:sz w:val="22"/>
          <w:szCs w:val="22"/>
          <w:lang w:eastAsia="zh-CN" w:bidi="ar-SA"/>
        </w:rPr>
      </w:pPr>
      <w:hyperlink w:anchor="_Toc488961694" w:history="1">
        <w:r w:rsidR="006D17C0" w:rsidRPr="00576AF8">
          <w:rPr>
            <w:rStyle w:val="Hipervnculo"/>
          </w:rPr>
          <w:t>11.</w:t>
        </w:r>
        <w:r w:rsidR="006D17C0" w:rsidRPr="00576AF8">
          <w:rPr>
            <w:rFonts w:eastAsiaTheme="minorEastAsia"/>
            <w:sz w:val="22"/>
            <w:szCs w:val="22"/>
            <w:lang w:eastAsia="zh-CN" w:bidi="ar-SA"/>
          </w:rPr>
          <w:tab/>
        </w:r>
        <w:r w:rsidR="006D17C0" w:rsidRPr="00576AF8">
          <w:rPr>
            <w:rStyle w:val="Hipervnculo"/>
          </w:rPr>
          <w:t>Confidencialidad de la información (cláusula 17 de las CGC)</w:t>
        </w:r>
        <w:r w:rsidR="006D17C0" w:rsidRPr="00576AF8">
          <w:rPr>
            <w:webHidden/>
          </w:rPr>
          <w:tab/>
        </w:r>
        <w:r w:rsidR="006D17C0" w:rsidRPr="00576AF8">
          <w:rPr>
            <w:webHidden/>
          </w:rPr>
          <w:fldChar w:fldCharType="begin"/>
        </w:r>
        <w:r w:rsidR="006D17C0" w:rsidRPr="00576AF8">
          <w:rPr>
            <w:webHidden/>
          </w:rPr>
          <w:instrText xml:space="preserve"> PAGEREF _Toc488961694 \h </w:instrText>
        </w:r>
        <w:r w:rsidR="006D17C0" w:rsidRPr="00576AF8">
          <w:rPr>
            <w:webHidden/>
          </w:rPr>
        </w:r>
        <w:r w:rsidR="006D17C0" w:rsidRPr="00576AF8">
          <w:rPr>
            <w:webHidden/>
          </w:rPr>
          <w:fldChar w:fldCharType="separate"/>
        </w:r>
        <w:r w:rsidR="004D0C19" w:rsidRPr="00576AF8">
          <w:rPr>
            <w:webHidden/>
          </w:rPr>
          <w:t>266</w:t>
        </w:r>
        <w:r w:rsidR="006D17C0" w:rsidRPr="00576AF8">
          <w:rPr>
            <w:webHidden/>
          </w:rPr>
          <w:fldChar w:fldCharType="end"/>
        </w:r>
      </w:hyperlink>
    </w:p>
    <w:p w14:paraId="6A4DAC1F"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695" w:history="1">
        <w:r w:rsidR="006D17C0" w:rsidRPr="00576AF8">
          <w:rPr>
            <w:rStyle w:val="Hipervnculo"/>
            <w:rFonts w:ascii="Times New Roman" w:hAnsi="Times New Roman"/>
            <w:noProof/>
          </w:rPr>
          <w:t>E.  Suministro, instalación, pruebas, puesta en servicio  y aceptación del Sistema</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_Toc488961695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266</w:t>
        </w:r>
        <w:r w:rsidR="006D17C0" w:rsidRPr="00576AF8">
          <w:rPr>
            <w:rFonts w:ascii="Times New Roman" w:hAnsi="Times New Roman"/>
            <w:noProof/>
            <w:webHidden/>
          </w:rPr>
          <w:fldChar w:fldCharType="end"/>
        </w:r>
      </w:hyperlink>
    </w:p>
    <w:p w14:paraId="40D106B7" w14:textId="77777777" w:rsidR="006D17C0" w:rsidRPr="00576AF8" w:rsidRDefault="006334E7">
      <w:pPr>
        <w:pStyle w:val="TDC2"/>
        <w:rPr>
          <w:rFonts w:eastAsiaTheme="minorEastAsia"/>
          <w:sz w:val="22"/>
          <w:szCs w:val="22"/>
          <w:lang w:eastAsia="zh-CN" w:bidi="ar-SA"/>
        </w:rPr>
      </w:pPr>
      <w:hyperlink w:anchor="_Toc488961696" w:history="1">
        <w:r w:rsidR="006D17C0" w:rsidRPr="00576AF8">
          <w:rPr>
            <w:rStyle w:val="Hipervnculo"/>
          </w:rPr>
          <w:t>12.</w:t>
        </w:r>
        <w:r w:rsidR="006D17C0" w:rsidRPr="00576AF8">
          <w:rPr>
            <w:rFonts w:eastAsiaTheme="minorEastAsia"/>
            <w:sz w:val="22"/>
            <w:szCs w:val="22"/>
            <w:lang w:eastAsia="zh-CN" w:bidi="ar-SA"/>
          </w:rPr>
          <w:tab/>
        </w:r>
        <w:r w:rsidR="006D17C0" w:rsidRPr="00576AF8">
          <w:rPr>
            <w:rStyle w:val="Hipervnculo"/>
          </w:rPr>
          <w:t>Representantes (cláusula 18 de las CGC)</w:t>
        </w:r>
        <w:r w:rsidR="006D17C0" w:rsidRPr="00576AF8">
          <w:rPr>
            <w:webHidden/>
          </w:rPr>
          <w:tab/>
        </w:r>
        <w:r w:rsidR="006D17C0" w:rsidRPr="00576AF8">
          <w:rPr>
            <w:webHidden/>
          </w:rPr>
          <w:fldChar w:fldCharType="begin"/>
        </w:r>
        <w:r w:rsidR="006D17C0" w:rsidRPr="00576AF8">
          <w:rPr>
            <w:webHidden/>
          </w:rPr>
          <w:instrText xml:space="preserve"> PAGEREF _Toc488961696 \h </w:instrText>
        </w:r>
        <w:r w:rsidR="006D17C0" w:rsidRPr="00576AF8">
          <w:rPr>
            <w:webHidden/>
          </w:rPr>
        </w:r>
        <w:r w:rsidR="006D17C0" w:rsidRPr="00576AF8">
          <w:rPr>
            <w:webHidden/>
          </w:rPr>
          <w:fldChar w:fldCharType="separate"/>
        </w:r>
        <w:r w:rsidR="004D0C19" w:rsidRPr="00576AF8">
          <w:rPr>
            <w:webHidden/>
          </w:rPr>
          <w:t>266</w:t>
        </w:r>
        <w:r w:rsidR="006D17C0" w:rsidRPr="00576AF8">
          <w:rPr>
            <w:webHidden/>
          </w:rPr>
          <w:fldChar w:fldCharType="end"/>
        </w:r>
      </w:hyperlink>
    </w:p>
    <w:p w14:paraId="2DFB7213" w14:textId="77777777" w:rsidR="006D17C0" w:rsidRPr="00576AF8" w:rsidRDefault="006334E7">
      <w:pPr>
        <w:pStyle w:val="TDC2"/>
        <w:rPr>
          <w:rFonts w:eastAsiaTheme="minorEastAsia"/>
          <w:sz w:val="22"/>
          <w:szCs w:val="22"/>
          <w:lang w:eastAsia="zh-CN" w:bidi="ar-SA"/>
        </w:rPr>
      </w:pPr>
      <w:hyperlink w:anchor="_Toc488961697" w:history="1">
        <w:r w:rsidR="006D17C0" w:rsidRPr="00576AF8">
          <w:rPr>
            <w:rStyle w:val="Hipervnculo"/>
          </w:rPr>
          <w:t>13.</w:t>
        </w:r>
        <w:r w:rsidR="006D17C0" w:rsidRPr="00576AF8">
          <w:rPr>
            <w:rFonts w:eastAsiaTheme="minorEastAsia"/>
            <w:sz w:val="22"/>
            <w:szCs w:val="22"/>
            <w:lang w:eastAsia="zh-CN" w:bidi="ar-SA"/>
          </w:rPr>
          <w:tab/>
        </w:r>
        <w:r w:rsidR="006D17C0" w:rsidRPr="00576AF8">
          <w:rPr>
            <w:rStyle w:val="Hipervnculo"/>
          </w:rPr>
          <w:t>Plan del Proyecto (cláusula 19 de las CGC)</w:t>
        </w:r>
        <w:r w:rsidR="006D17C0" w:rsidRPr="00576AF8">
          <w:rPr>
            <w:webHidden/>
          </w:rPr>
          <w:tab/>
        </w:r>
        <w:r w:rsidR="006D17C0" w:rsidRPr="00576AF8">
          <w:rPr>
            <w:webHidden/>
          </w:rPr>
          <w:fldChar w:fldCharType="begin"/>
        </w:r>
        <w:r w:rsidR="006D17C0" w:rsidRPr="00576AF8">
          <w:rPr>
            <w:webHidden/>
          </w:rPr>
          <w:instrText xml:space="preserve"> PAGEREF _Toc488961697 \h </w:instrText>
        </w:r>
        <w:r w:rsidR="006D17C0" w:rsidRPr="00576AF8">
          <w:rPr>
            <w:webHidden/>
          </w:rPr>
        </w:r>
        <w:r w:rsidR="006D17C0" w:rsidRPr="00576AF8">
          <w:rPr>
            <w:webHidden/>
          </w:rPr>
          <w:fldChar w:fldCharType="separate"/>
        </w:r>
        <w:r w:rsidR="004D0C19" w:rsidRPr="00576AF8">
          <w:rPr>
            <w:webHidden/>
          </w:rPr>
          <w:t>267</w:t>
        </w:r>
        <w:r w:rsidR="006D17C0" w:rsidRPr="00576AF8">
          <w:rPr>
            <w:webHidden/>
          </w:rPr>
          <w:fldChar w:fldCharType="end"/>
        </w:r>
      </w:hyperlink>
    </w:p>
    <w:p w14:paraId="22540358" w14:textId="77777777" w:rsidR="006D17C0" w:rsidRPr="00576AF8" w:rsidRDefault="006334E7">
      <w:pPr>
        <w:pStyle w:val="TDC2"/>
        <w:rPr>
          <w:rFonts w:eastAsiaTheme="minorEastAsia"/>
          <w:sz w:val="22"/>
          <w:szCs w:val="22"/>
          <w:lang w:eastAsia="zh-CN" w:bidi="ar-SA"/>
        </w:rPr>
      </w:pPr>
      <w:hyperlink w:anchor="_Toc488961698" w:history="1">
        <w:r w:rsidR="006D17C0" w:rsidRPr="00576AF8">
          <w:rPr>
            <w:rStyle w:val="Hipervnculo"/>
          </w:rPr>
          <w:t>14.</w:t>
        </w:r>
        <w:r w:rsidR="006D17C0" w:rsidRPr="00576AF8">
          <w:rPr>
            <w:rFonts w:eastAsiaTheme="minorEastAsia"/>
            <w:sz w:val="22"/>
            <w:szCs w:val="22"/>
            <w:lang w:eastAsia="zh-CN" w:bidi="ar-SA"/>
          </w:rPr>
          <w:tab/>
        </w:r>
        <w:r w:rsidR="006D17C0" w:rsidRPr="00576AF8">
          <w:rPr>
            <w:rStyle w:val="Hipervnculo"/>
          </w:rPr>
          <w:t>Diseño e ingeniería (cláusula 21 de las CGC)</w:t>
        </w:r>
        <w:r w:rsidR="006D17C0" w:rsidRPr="00576AF8">
          <w:rPr>
            <w:webHidden/>
          </w:rPr>
          <w:tab/>
        </w:r>
        <w:r w:rsidR="006D17C0" w:rsidRPr="00576AF8">
          <w:rPr>
            <w:webHidden/>
          </w:rPr>
          <w:fldChar w:fldCharType="begin"/>
        </w:r>
        <w:r w:rsidR="006D17C0" w:rsidRPr="00576AF8">
          <w:rPr>
            <w:webHidden/>
          </w:rPr>
          <w:instrText xml:space="preserve"> PAGEREF _Toc488961698 \h </w:instrText>
        </w:r>
        <w:r w:rsidR="006D17C0" w:rsidRPr="00576AF8">
          <w:rPr>
            <w:webHidden/>
          </w:rPr>
        </w:r>
        <w:r w:rsidR="006D17C0" w:rsidRPr="00576AF8">
          <w:rPr>
            <w:webHidden/>
          </w:rPr>
          <w:fldChar w:fldCharType="separate"/>
        </w:r>
        <w:r w:rsidR="004D0C19" w:rsidRPr="00576AF8">
          <w:rPr>
            <w:webHidden/>
          </w:rPr>
          <w:t>268</w:t>
        </w:r>
        <w:r w:rsidR="006D17C0" w:rsidRPr="00576AF8">
          <w:rPr>
            <w:webHidden/>
          </w:rPr>
          <w:fldChar w:fldCharType="end"/>
        </w:r>
      </w:hyperlink>
    </w:p>
    <w:p w14:paraId="0C11028A" w14:textId="77777777" w:rsidR="006D17C0" w:rsidRPr="00576AF8" w:rsidRDefault="006334E7">
      <w:pPr>
        <w:pStyle w:val="TDC2"/>
        <w:rPr>
          <w:rFonts w:eastAsiaTheme="minorEastAsia"/>
          <w:sz w:val="22"/>
          <w:szCs w:val="22"/>
          <w:lang w:eastAsia="zh-CN" w:bidi="ar-SA"/>
        </w:rPr>
      </w:pPr>
      <w:hyperlink w:anchor="_Toc488961699" w:history="1">
        <w:r w:rsidR="006D17C0" w:rsidRPr="00576AF8">
          <w:rPr>
            <w:rStyle w:val="Hipervnculo"/>
          </w:rPr>
          <w:t>15.</w:t>
        </w:r>
        <w:r w:rsidR="006D17C0" w:rsidRPr="00576AF8">
          <w:rPr>
            <w:rFonts w:eastAsiaTheme="minorEastAsia"/>
            <w:sz w:val="22"/>
            <w:szCs w:val="22"/>
            <w:lang w:eastAsia="zh-CN" w:bidi="ar-SA"/>
          </w:rPr>
          <w:tab/>
        </w:r>
        <w:r w:rsidR="006D17C0" w:rsidRPr="00576AF8">
          <w:rPr>
            <w:rStyle w:val="Hipervnculo"/>
          </w:rPr>
          <w:t>Versiones mejoradas de los productos (cláusula 23 de las CGC)</w:t>
        </w:r>
        <w:r w:rsidR="006D17C0" w:rsidRPr="00576AF8">
          <w:rPr>
            <w:webHidden/>
          </w:rPr>
          <w:tab/>
        </w:r>
        <w:r w:rsidR="006D17C0" w:rsidRPr="00576AF8">
          <w:rPr>
            <w:webHidden/>
          </w:rPr>
          <w:fldChar w:fldCharType="begin"/>
        </w:r>
        <w:r w:rsidR="006D17C0" w:rsidRPr="00576AF8">
          <w:rPr>
            <w:webHidden/>
          </w:rPr>
          <w:instrText xml:space="preserve"> PAGEREF _Toc488961699 \h </w:instrText>
        </w:r>
        <w:r w:rsidR="006D17C0" w:rsidRPr="00576AF8">
          <w:rPr>
            <w:webHidden/>
          </w:rPr>
        </w:r>
        <w:r w:rsidR="006D17C0" w:rsidRPr="00576AF8">
          <w:rPr>
            <w:webHidden/>
          </w:rPr>
          <w:fldChar w:fldCharType="separate"/>
        </w:r>
        <w:r w:rsidR="004D0C19" w:rsidRPr="00576AF8">
          <w:rPr>
            <w:webHidden/>
          </w:rPr>
          <w:t>269</w:t>
        </w:r>
        <w:r w:rsidR="006D17C0" w:rsidRPr="00576AF8">
          <w:rPr>
            <w:webHidden/>
          </w:rPr>
          <w:fldChar w:fldCharType="end"/>
        </w:r>
      </w:hyperlink>
    </w:p>
    <w:p w14:paraId="039B2B1F" w14:textId="77777777" w:rsidR="006D17C0" w:rsidRPr="00576AF8" w:rsidRDefault="006334E7">
      <w:pPr>
        <w:pStyle w:val="TDC2"/>
        <w:rPr>
          <w:rFonts w:eastAsiaTheme="minorEastAsia"/>
          <w:sz w:val="22"/>
          <w:szCs w:val="22"/>
          <w:lang w:eastAsia="zh-CN" w:bidi="ar-SA"/>
        </w:rPr>
      </w:pPr>
      <w:hyperlink w:anchor="_Toc488961700" w:history="1">
        <w:r w:rsidR="006D17C0" w:rsidRPr="00576AF8">
          <w:rPr>
            <w:rStyle w:val="Hipervnculo"/>
          </w:rPr>
          <w:t>16.</w:t>
        </w:r>
        <w:r w:rsidR="006D17C0" w:rsidRPr="00576AF8">
          <w:rPr>
            <w:rFonts w:eastAsiaTheme="minorEastAsia"/>
            <w:sz w:val="22"/>
            <w:szCs w:val="22"/>
            <w:lang w:eastAsia="zh-CN" w:bidi="ar-SA"/>
          </w:rPr>
          <w:tab/>
        </w:r>
        <w:r w:rsidR="006D17C0" w:rsidRPr="00576AF8">
          <w:rPr>
            <w:rStyle w:val="Hipervnculo"/>
          </w:rPr>
          <w:t>Pruebas e inspecciones (cláusula 25 de las CGC)</w:t>
        </w:r>
        <w:r w:rsidR="006D17C0" w:rsidRPr="00576AF8">
          <w:rPr>
            <w:webHidden/>
          </w:rPr>
          <w:tab/>
        </w:r>
        <w:r w:rsidR="006D17C0" w:rsidRPr="00576AF8">
          <w:rPr>
            <w:webHidden/>
          </w:rPr>
          <w:fldChar w:fldCharType="begin"/>
        </w:r>
        <w:r w:rsidR="006D17C0" w:rsidRPr="00576AF8">
          <w:rPr>
            <w:webHidden/>
          </w:rPr>
          <w:instrText xml:space="preserve"> PAGEREF _Toc488961700 \h </w:instrText>
        </w:r>
        <w:r w:rsidR="006D17C0" w:rsidRPr="00576AF8">
          <w:rPr>
            <w:webHidden/>
          </w:rPr>
        </w:r>
        <w:r w:rsidR="006D17C0" w:rsidRPr="00576AF8">
          <w:rPr>
            <w:webHidden/>
          </w:rPr>
          <w:fldChar w:fldCharType="separate"/>
        </w:r>
        <w:r w:rsidR="004D0C19" w:rsidRPr="00576AF8">
          <w:rPr>
            <w:webHidden/>
          </w:rPr>
          <w:t>269</w:t>
        </w:r>
        <w:r w:rsidR="006D17C0" w:rsidRPr="00576AF8">
          <w:rPr>
            <w:webHidden/>
          </w:rPr>
          <w:fldChar w:fldCharType="end"/>
        </w:r>
      </w:hyperlink>
    </w:p>
    <w:p w14:paraId="72D20692" w14:textId="77777777" w:rsidR="006D17C0" w:rsidRPr="00576AF8" w:rsidRDefault="006334E7">
      <w:pPr>
        <w:pStyle w:val="TDC2"/>
        <w:rPr>
          <w:rFonts w:eastAsiaTheme="minorEastAsia"/>
          <w:sz w:val="22"/>
          <w:szCs w:val="22"/>
          <w:lang w:eastAsia="zh-CN" w:bidi="ar-SA"/>
        </w:rPr>
      </w:pPr>
      <w:hyperlink w:anchor="_Toc488961701" w:history="1">
        <w:r w:rsidR="006D17C0" w:rsidRPr="00576AF8">
          <w:rPr>
            <w:rStyle w:val="Hipervnculo"/>
          </w:rPr>
          <w:t>17.</w:t>
        </w:r>
        <w:r w:rsidR="006D17C0" w:rsidRPr="00576AF8">
          <w:rPr>
            <w:rFonts w:eastAsiaTheme="minorEastAsia"/>
            <w:sz w:val="22"/>
            <w:szCs w:val="22"/>
            <w:lang w:eastAsia="zh-CN" w:bidi="ar-SA"/>
          </w:rPr>
          <w:tab/>
        </w:r>
        <w:r w:rsidR="006D17C0" w:rsidRPr="00576AF8">
          <w:rPr>
            <w:rStyle w:val="Hipervnculo"/>
          </w:rPr>
          <w:t>Puesta en servicio y aceptación operativa (cláusula 27 de las CGC)</w:t>
        </w:r>
        <w:r w:rsidR="006D17C0" w:rsidRPr="00576AF8">
          <w:rPr>
            <w:webHidden/>
          </w:rPr>
          <w:tab/>
        </w:r>
        <w:r w:rsidR="006D17C0" w:rsidRPr="00576AF8">
          <w:rPr>
            <w:webHidden/>
          </w:rPr>
          <w:fldChar w:fldCharType="begin"/>
        </w:r>
        <w:r w:rsidR="006D17C0" w:rsidRPr="00576AF8">
          <w:rPr>
            <w:webHidden/>
          </w:rPr>
          <w:instrText xml:space="preserve"> PAGEREF _Toc488961701 \h </w:instrText>
        </w:r>
        <w:r w:rsidR="006D17C0" w:rsidRPr="00576AF8">
          <w:rPr>
            <w:webHidden/>
          </w:rPr>
        </w:r>
        <w:r w:rsidR="006D17C0" w:rsidRPr="00576AF8">
          <w:rPr>
            <w:webHidden/>
          </w:rPr>
          <w:fldChar w:fldCharType="separate"/>
        </w:r>
        <w:r w:rsidR="004D0C19" w:rsidRPr="00576AF8">
          <w:rPr>
            <w:webHidden/>
          </w:rPr>
          <w:t>269</w:t>
        </w:r>
        <w:r w:rsidR="006D17C0" w:rsidRPr="00576AF8">
          <w:rPr>
            <w:webHidden/>
          </w:rPr>
          <w:fldChar w:fldCharType="end"/>
        </w:r>
      </w:hyperlink>
    </w:p>
    <w:p w14:paraId="7E5305B9"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702" w:history="1">
        <w:r w:rsidR="006D17C0" w:rsidRPr="00576AF8">
          <w:rPr>
            <w:rStyle w:val="Hipervnculo"/>
            <w:rFonts w:ascii="Times New Roman" w:hAnsi="Times New Roman"/>
            <w:noProof/>
          </w:rPr>
          <w:t>F.  Garantías y responsabilidades</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_Toc488961702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270</w:t>
        </w:r>
        <w:r w:rsidR="006D17C0" w:rsidRPr="00576AF8">
          <w:rPr>
            <w:rFonts w:ascii="Times New Roman" w:hAnsi="Times New Roman"/>
            <w:noProof/>
            <w:webHidden/>
          </w:rPr>
          <w:fldChar w:fldCharType="end"/>
        </w:r>
      </w:hyperlink>
    </w:p>
    <w:p w14:paraId="520F7F9E" w14:textId="77777777" w:rsidR="006D17C0" w:rsidRPr="00576AF8" w:rsidRDefault="006334E7">
      <w:pPr>
        <w:pStyle w:val="TDC2"/>
        <w:rPr>
          <w:rFonts w:eastAsiaTheme="minorEastAsia"/>
          <w:sz w:val="22"/>
          <w:szCs w:val="22"/>
          <w:lang w:eastAsia="zh-CN" w:bidi="ar-SA"/>
        </w:rPr>
      </w:pPr>
      <w:hyperlink w:anchor="_Toc488961703" w:history="1">
        <w:r w:rsidR="006D17C0" w:rsidRPr="00576AF8">
          <w:rPr>
            <w:rStyle w:val="Hipervnculo"/>
          </w:rPr>
          <w:t>18.</w:t>
        </w:r>
        <w:r w:rsidR="006D17C0" w:rsidRPr="00576AF8">
          <w:rPr>
            <w:rFonts w:eastAsiaTheme="minorEastAsia"/>
            <w:sz w:val="22"/>
            <w:szCs w:val="22"/>
            <w:lang w:eastAsia="zh-CN" w:bidi="ar-SA"/>
          </w:rPr>
          <w:tab/>
        </w:r>
        <w:r w:rsidR="006D17C0" w:rsidRPr="00576AF8">
          <w:rPr>
            <w:rStyle w:val="Hipervnculo"/>
          </w:rPr>
          <w:t>Garantía del plazo para obtener la aceptación operativa (cláusula 28 de las CGC)</w:t>
        </w:r>
        <w:r w:rsidR="006D17C0" w:rsidRPr="00576AF8">
          <w:rPr>
            <w:webHidden/>
          </w:rPr>
          <w:tab/>
        </w:r>
        <w:r w:rsidR="006D17C0" w:rsidRPr="00576AF8">
          <w:rPr>
            <w:webHidden/>
          </w:rPr>
          <w:fldChar w:fldCharType="begin"/>
        </w:r>
        <w:r w:rsidR="006D17C0" w:rsidRPr="00576AF8">
          <w:rPr>
            <w:webHidden/>
          </w:rPr>
          <w:instrText xml:space="preserve"> PAGEREF _Toc488961703 \h </w:instrText>
        </w:r>
        <w:r w:rsidR="006D17C0" w:rsidRPr="00576AF8">
          <w:rPr>
            <w:webHidden/>
          </w:rPr>
        </w:r>
        <w:r w:rsidR="006D17C0" w:rsidRPr="00576AF8">
          <w:rPr>
            <w:webHidden/>
          </w:rPr>
          <w:fldChar w:fldCharType="separate"/>
        </w:r>
        <w:r w:rsidR="004D0C19" w:rsidRPr="00576AF8">
          <w:rPr>
            <w:webHidden/>
          </w:rPr>
          <w:t>270</w:t>
        </w:r>
        <w:r w:rsidR="006D17C0" w:rsidRPr="00576AF8">
          <w:rPr>
            <w:webHidden/>
          </w:rPr>
          <w:fldChar w:fldCharType="end"/>
        </w:r>
      </w:hyperlink>
    </w:p>
    <w:p w14:paraId="379FC284" w14:textId="77777777" w:rsidR="006D17C0" w:rsidRPr="00576AF8" w:rsidRDefault="006334E7">
      <w:pPr>
        <w:pStyle w:val="TDC2"/>
        <w:rPr>
          <w:rFonts w:eastAsiaTheme="minorEastAsia"/>
          <w:sz w:val="22"/>
          <w:szCs w:val="22"/>
          <w:lang w:eastAsia="zh-CN" w:bidi="ar-SA"/>
        </w:rPr>
      </w:pPr>
      <w:hyperlink w:anchor="_Toc488961704" w:history="1">
        <w:r w:rsidR="006D17C0" w:rsidRPr="00576AF8">
          <w:rPr>
            <w:rStyle w:val="Hipervnculo"/>
          </w:rPr>
          <w:t>19.</w:t>
        </w:r>
        <w:r w:rsidR="006D17C0" w:rsidRPr="00576AF8">
          <w:rPr>
            <w:rFonts w:eastAsiaTheme="minorEastAsia"/>
            <w:sz w:val="22"/>
            <w:szCs w:val="22"/>
            <w:lang w:eastAsia="zh-CN" w:bidi="ar-SA"/>
          </w:rPr>
          <w:tab/>
        </w:r>
        <w:r w:rsidR="006D17C0" w:rsidRPr="00576AF8">
          <w:rPr>
            <w:rStyle w:val="Hipervnculo"/>
          </w:rPr>
          <w:t>Responsabilidad por defectos (cláusula 29 de las CGC)</w:t>
        </w:r>
        <w:r w:rsidR="006D17C0" w:rsidRPr="00576AF8">
          <w:rPr>
            <w:webHidden/>
          </w:rPr>
          <w:tab/>
        </w:r>
        <w:r w:rsidR="006D17C0" w:rsidRPr="00576AF8">
          <w:rPr>
            <w:webHidden/>
          </w:rPr>
          <w:fldChar w:fldCharType="begin"/>
        </w:r>
        <w:r w:rsidR="006D17C0" w:rsidRPr="00576AF8">
          <w:rPr>
            <w:webHidden/>
          </w:rPr>
          <w:instrText xml:space="preserve"> PAGEREF _Toc488961704 \h </w:instrText>
        </w:r>
        <w:r w:rsidR="006D17C0" w:rsidRPr="00576AF8">
          <w:rPr>
            <w:webHidden/>
          </w:rPr>
        </w:r>
        <w:r w:rsidR="006D17C0" w:rsidRPr="00576AF8">
          <w:rPr>
            <w:webHidden/>
          </w:rPr>
          <w:fldChar w:fldCharType="separate"/>
        </w:r>
        <w:r w:rsidR="004D0C19" w:rsidRPr="00576AF8">
          <w:rPr>
            <w:webHidden/>
          </w:rPr>
          <w:t>270</w:t>
        </w:r>
        <w:r w:rsidR="006D17C0" w:rsidRPr="00576AF8">
          <w:rPr>
            <w:webHidden/>
          </w:rPr>
          <w:fldChar w:fldCharType="end"/>
        </w:r>
      </w:hyperlink>
    </w:p>
    <w:p w14:paraId="06F60DEF" w14:textId="77777777" w:rsidR="006D17C0" w:rsidRPr="00576AF8" w:rsidRDefault="006334E7">
      <w:pPr>
        <w:pStyle w:val="TDC2"/>
        <w:rPr>
          <w:rFonts w:eastAsiaTheme="minorEastAsia"/>
          <w:sz w:val="22"/>
          <w:szCs w:val="22"/>
          <w:lang w:eastAsia="zh-CN" w:bidi="ar-SA"/>
        </w:rPr>
      </w:pPr>
      <w:hyperlink w:anchor="_Toc488961705" w:history="1">
        <w:r w:rsidR="006D17C0" w:rsidRPr="00576AF8">
          <w:rPr>
            <w:rStyle w:val="Hipervnculo"/>
          </w:rPr>
          <w:t>20.</w:t>
        </w:r>
        <w:r w:rsidR="006D17C0" w:rsidRPr="00576AF8">
          <w:rPr>
            <w:rFonts w:eastAsiaTheme="minorEastAsia"/>
            <w:sz w:val="22"/>
            <w:szCs w:val="22"/>
            <w:lang w:eastAsia="zh-CN" w:bidi="ar-SA"/>
          </w:rPr>
          <w:tab/>
        </w:r>
        <w:r w:rsidR="006D17C0" w:rsidRPr="00576AF8">
          <w:rPr>
            <w:rStyle w:val="Hipervnculo"/>
          </w:rPr>
          <w:t>Garantías de funcionamiento (cláusula 30 de las CGC)</w:t>
        </w:r>
        <w:r w:rsidR="006D17C0" w:rsidRPr="00576AF8">
          <w:rPr>
            <w:webHidden/>
          </w:rPr>
          <w:tab/>
        </w:r>
        <w:r w:rsidR="006D17C0" w:rsidRPr="00576AF8">
          <w:rPr>
            <w:webHidden/>
          </w:rPr>
          <w:fldChar w:fldCharType="begin"/>
        </w:r>
        <w:r w:rsidR="006D17C0" w:rsidRPr="00576AF8">
          <w:rPr>
            <w:webHidden/>
          </w:rPr>
          <w:instrText xml:space="preserve"> PAGEREF _Toc488961705 \h </w:instrText>
        </w:r>
        <w:r w:rsidR="006D17C0" w:rsidRPr="00576AF8">
          <w:rPr>
            <w:webHidden/>
          </w:rPr>
        </w:r>
        <w:r w:rsidR="006D17C0" w:rsidRPr="00576AF8">
          <w:rPr>
            <w:webHidden/>
          </w:rPr>
          <w:fldChar w:fldCharType="separate"/>
        </w:r>
        <w:r w:rsidR="004D0C19" w:rsidRPr="00576AF8">
          <w:rPr>
            <w:webHidden/>
          </w:rPr>
          <w:t>272</w:t>
        </w:r>
        <w:r w:rsidR="006D17C0" w:rsidRPr="00576AF8">
          <w:rPr>
            <w:webHidden/>
          </w:rPr>
          <w:fldChar w:fldCharType="end"/>
        </w:r>
      </w:hyperlink>
    </w:p>
    <w:p w14:paraId="28814458"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706" w:history="1">
        <w:r w:rsidR="006D17C0" w:rsidRPr="00576AF8">
          <w:rPr>
            <w:rStyle w:val="Hipervnculo"/>
            <w:rFonts w:ascii="Times New Roman" w:hAnsi="Times New Roman"/>
            <w:noProof/>
          </w:rPr>
          <w:t>G.  Distribución de los riesgos</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_Toc488961706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272</w:t>
        </w:r>
        <w:r w:rsidR="006D17C0" w:rsidRPr="00576AF8">
          <w:rPr>
            <w:rFonts w:ascii="Times New Roman" w:hAnsi="Times New Roman"/>
            <w:noProof/>
            <w:webHidden/>
          </w:rPr>
          <w:fldChar w:fldCharType="end"/>
        </w:r>
      </w:hyperlink>
    </w:p>
    <w:p w14:paraId="0227B87E" w14:textId="77777777" w:rsidR="006D17C0" w:rsidRPr="00576AF8" w:rsidRDefault="006334E7">
      <w:pPr>
        <w:pStyle w:val="TDC2"/>
        <w:rPr>
          <w:rFonts w:eastAsiaTheme="minorEastAsia"/>
          <w:sz w:val="22"/>
          <w:szCs w:val="22"/>
          <w:lang w:eastAsia="zh-CN" w:bidi="ar-SA"/>
        </w:rPr>
      </w:pPr>
      <w:hyperlink w:anchor="_Toc488961707" w:history="1">
        <w:r w:rsidR="006D17C0" w:rsidRPr="00576AF8">
          <w:rPr>
            <w:rStyle w:val="Hipervnculo"/>
          </w:rPr>
          <w:t>21.</w:t>
        </w:r>
        <w:r w:rsidR="006D17C0" w:rsidRPr="00576AF8">
          <w:rPr>
            <w:rFonts w:eastAsiaTheme="minorEastAsia"/>
            <w:sz w:val="22"/>
            <w:szCs w:val="22"/>
            <w:lang w:eastAsia="zh-CN" w:bidi="ar-SA"/>
          </w:rPr>
          <w:tab/>
        </w:r>
        <w:r w:rsidR="006D17C0" w:rsidRPr="00576AF8">
          <w:rPr>
            <w:rStyle w:val="Hipervnculo"/>
          </w:rPr>
          <w:t>Seguros (cláusula 37 de las CGC)</w:t>
        </w:r>
        <w:r w:rsidR="006D17C0" w:rsidRPr="00576AF8">
          <w:rPr>
            <w:webHidden/>
          </w:rPr>
          <w:tab/>
        </w:r>
        <w:r w:rsidR="006D17C0" w:rsidRPr="00576AF8">
          <w:rPr>
            <w:webHidden/>
          </w:rPr>
          <w:fldChar w:fldCharType="begin"/>
        </w:r>
        <w:r w:rsidR="006D17C0" w:rsidRPr="00576AF8">
          <w:rPr>
            <w:webHidden/>
          </w:rPr>
          <w:instrText xml:space="preserve"> PAGEREF _Toc488961707 \h </w:instrText>
        </w:r>
        <w:r w:rsidR="006D17C0" w:rsidRPr="00576AF8">
          <w:rPr>
            <w:webHidden/>
          </w:rPr>
        </w:r>
        <w:r w:rsidR="006D17C0" w:rsidRPr="00576AF8">
          <w:rPr>
            <w:webHidden/>
          </w:rPr>
          <w:fldChar w:fldCharType="separate"/>
        </w:r>
        <w:r w:rsidR="004D0C19" w:rsidRPr="00576AF8">
          <w:rPr>
            <w:webHidden/>
          </w:rPr>
          <w:t>272</w:t>
        </w:r>
        <w:r w:rsidR="006D17C0" w:rsidRPr="00576AF8">
          <w:rPr>
            <w:webHidden/>
          </w:rPr>
          <w:fldChar w:fldCharType="end"/>
        </w:r>
      </w:hyperlink>
    </w:p>
    <w:p w14:paraId="48DD690E"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708" w:history="1">
        <w:r w:rsidR="006D17C0" w:rsidRPr="00576AF8">
          <w:rPr>
            <w:rStyle w:val="Hipervnculo"/>
            <w:rFonts w:ascii="Times New Roman" w:hAnsi="Times New Roman"/>
            <w:noProof/>
          </w:rPr>
          <w:t>H.  Cambio en los elementos del Contrato</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_Toc488961708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273</w:t>
        </w:r>
        <w:r w:rsidR="006D17C0" w:rsidRPr="00576AF8">
          <w:rPr>
            <w:rFonts w:ascii="Times New Roman" w:hAnsi="Times New Roman"/>
            <w:noProof/>
            <w:webHidden/>
          </w:rPr>
          <w:fldChar w:fldCharType="end"/>
        </w:r>
      </w:hyperlink>
    </w:p>
    <w:p w14:paraId="7114092A" w14:textId="77777777" w:rsidR="006D17C0" w:rsidRPr="00576AF8" w:rsidRDefault="006334E7">
      <w:pPr>
        <w:pStyle w:val="TDC2"/>
        <w:rPr>
          <w:rFonts w:eastAsiaTheme="minorEastAsia"/>
          <w:sz w:val="22"/>
          <w:szCs w:val="22"/>
          <w:lang w:eastAsia="zh-CN" w:bidi="ar-SA"/>
        </w:rPr>
      </w:pPr>
      <w:hyperlink w:anchor="_Toc488961709" w:history="1">
        <w:r w:rsidR="006D17C0" w:rsidRPr="00576AF8">
          <w:rPr>
            <w:rStyle w:val="Hipervnculo"/>
          </w:rPr>
          <w:t>22.</w:t>
        </w:r>
        <w:r w:rsidR="006D17C0" w:rsidRPr="00576AF8">
          <w:rPr>
            <w:rFonts w:eastAsiaTheme="minorEastAsia"/>
            <w:sz w:val="22"/>
            <w:szCs w:val="22"/>
            <w:lang w:eastAsia="zh-CN" w:bidi="ar-SA"/>
          </w:rPr>
          <w:tab/>
        </w:r>
        <w:r w:rsidR="006D17C0" w:rsidRPr="00576AF8">
          <w:rPr>
            <w:rStyle w:val="Hipervnculo"/>
          </w:rPr>
          <w:t>Cambios en el Sistema (cláusula 39 de las CGC)</w:t>
        </w:r>
        <w:r w:rsidR="006D17C0" w:rsidRPr="00576AF8">
          <w:rPr>
            <w:webHidden/>
          </w:rPr>
          <w:tab/>
        </w:r>
        <w:r w:rsidR="006D17C0" w:rsidRPr="00576AF8">
          <w:rPr>
            <w:webHidden/>
          </w:rPr>
          <w:fldChar w:fldCharType="begin"/>
        </w:r>
        <w:r w:rsidR="006D17C0" w:rsidRPr="00576AF8">
          <w:rPr>
            <w:webHidden/>
          </w:rPr>
          <w:instrText xml:space="preserve"> PAGEREF _Toc488961709 \h </w:instrText>
        </w:r>
        <w:r w:rsidR="006D17C0" w:rsidRPr="00576AF8">
          <w:rPr>
            <w:webHidden/>
          </w:rPr>
        </w:r>
        <w:r w:rsidR="006D17C0" w:rsidRPr="00576AF8">
          <w:rPr>
            <w:webHidden/>
          </w:rPr>
          <w:fldChar w:fldCharType="separate"/>
        </w:r>
        <w:r w:rsidR="004D0C19" w:rsidRPr="00576AF8">
          <w:rPr>
            <w:webHidden/>
          </w:rPr>
          <w:t>273</w:t>
        </w:r>
        <w:r w:rsidR="006D17C0" w:rsidRPr="00576AF8">
          <w:rPr>
            <w:webHidden/>
          </w:rPr>
          <w:fldChar w:fldCharType="end"/>
        </w:r>
      </w:hyperlink>
    </w:p>
    <w:p w14:paraId="28B08140" w14:textId="77777777" w:rsidR="006D17C0" w:rsidRPr="00576AF8" w:rsidRDefault="006334E7">
      <w:pPr>
        <w:pStyle w:val="TDC1"/>
        <w:rPr>
          <w:rFonts w:ascii="Times New Roman" w:eastAsiaTheme="minorEastAsia" w:hAnsi="Times New Roman"/>
          <w:b w:val="0"/>
          <w:noProof/>
          <w:sz w:val="22"/>
          <w:szCs w:val="22"/>
          <w:lang w:eastAsia="zh-CN" w:bidi="ar-SA"/>
        </w:rPr>
      </w:pPr>
      <w:hyperlink w:anchor="_Toc488961710" w:history="1">
        <w:r w:rsidR="006D17C0" w:rsidRPr="00576AF8">
          <w:rPr>
            <w:rStyle w:val="Hipervnculo"/>
            <w:rFonts w:ascii="Times New Roman" w:hAnsi="Times New Roman"/>
            <w:noProof/>
          </w:rPr>
          <w:t>I.  Solución de controversias</w:t>
        </w:r>
        <w:r w:rsidR="006D17C0" w:rsidRPr="00576AF8">
          <w:rPr>
            <w:rFonts w:ascii="Times New Roman" w:hAnsi="Times New Roman"/>
            <w:noProof/>
            <w:webHidden/>
          </w:rPr>
          <w:tab/>
        </w:r>
        <w:r w:rsidR="006D17C0" w:rsidRPr="00576AF8">
          <w:rPr>
            <w:rFonts w:ascii="Times New Roman" w:hAnsi="Times New Roman"/>
            <w:noProof/>
            <w:webHidden/>
          </w:rPr>
          <w:fldChar w:fldCharType="begin"/>
        </w:r>
        <w:r w:rsidR="006D17C0" w:rsidRPr="00576AF8">
          <w:rPr>
            <w:rFonts w:ascii="Times New Roman" w:hAnsi="Times New Roman"/>
            <w:noProof/>
            <w:webHidden/>
          </w:rPr>
          <w:instrText xml:space="preserve"> PAGEREF _Toc488961710 \h </w:instrText>
        </w:r>
        <w:r w:rsidR="006D17C0" w:rsidRPr="00576AF8">
          <w:rPr>
            <w:rFonts w:ascii="Times New Roman" w:hAnsi="Times New Roman"/>
            <w:noProof/>
            <w:webHidden/>
          </w:rPr>
        </w:r>
        <w:r w:rsidR="006D17C0" w:rsidRPr="00576AF8">
          <w:rPr>
            <w:rFonts w:ascii="Times New Roman" w:hAnsi="Times New Roman"/>
            <w:noProof/>
            <w:webHidden/>
          </w:rPr>
          <w:fldChar w:fldCharType="separate"/>
        </w:r>
        <w:r w:rsidR="004D0C19" w:rsidRPr="00576AF8">
          <w:rPr>
            <w:rFonts w:ascii="Times New Roman" w:hAnsi="Times New Roman"/>
            <w:noProof/>
            <w:webHidden/>
          </w:rPr>
          <w:t>274</w:t>
        </w:r>
        <w:r w:rsidR="006D17C0" w:rsidRPr="00576AF8">
          <w:rPr>
            <w:rFonts w:ascii="Times New Roman" w:hAnsi="Times New Roman"/>
            <w:noProof/>
            <w:webHidden/>
          </w:rPr>
          <w:fldChar w:fldCharType="end"/>
        </w:r>
      </w:hyperlink>
    </w:p>
    <w:p w14:paraId="165B4ACC" w14:textId="77777777" w:rsidR="006D17C0" w:rsidRPr="00576AF8" w:rsidRDefault="006334E7">
      <w:pPr>
        <w:pStyle w:val="TDC2"/>
        <w:rPr>
          <w:rFonts w:eastAsiaTheme="minorEastAsia"/>
          <w:sz w:val="22"/>
          <w:szCs w:val="22"/>
          <w:lang w:eastAsia="zh-CN" w:bidi="ar-SA"/>
        </w:rPr>
      </w:pPr>
      <w:hyperlink w:anchor="_Toc488961711" w:history="1">
        <w:r w:rsidR="006D17C0" w:rsidRPr="00576AF8">
          <w:rPr>
            <w:rStyle w:val="Hipervnculo"/>
          </w:rPr>
          <w:t>23.</w:t>
        </w:r>
        <w:r w:rsidR="006D17C0" w:rsidRPr="00576AF8">
          <w:rPr>
            <w:rFonts w:eastAsiaTheme="minorEastAsia"/>
            <w:sz w:val="22"/>
            <w:szCs w:val="22"/>
            <w:lang w:eastAsia="zh-CN" w:bidi="ar-SA"/>
          </w:rPr>
          <w:tab/>
        </w:r>
        <w:r w:rsidR="006D17C0" w:rsidRPr="00576AF8">
          <w:rPr>
            <w:rStyle w:val="Hipervnculo"/>
          </w:rPr>
          <w:t>Solución de controversias (cláusula 43 de las CGC)</w:t>
        </w:r>
        <w:r w:rsidR="006D17C0" w:rsidRPr="00576AF8">
          <w:rPr>
            <w:webHidden/>
          </w:rPr>
          <w:tab/>
        </w:r>
        <w:r w:rsidR="006D17C0" w:rsidRPr="00576AF8">
          <w:rPr>
            <w:webHidden/>
          </w:rPr>
          <w:fldChar w:fldCharType="begin"/>
        </w:r>
        <w:r w:rsidR="006D17C0" w:rsidRPr="00576AF8">
          <w:rPr>
            <w:webHidden/>
          </w:rPr>
          <w:instrText xml:space="preserve"> PAGEREF _Toc488961711 \h </w:instrText>
        </w:r>
        <w:r w:rsidR="006D17C0" w:rsidRPr="00576AF8">
          <w:rPr>
            <w:webHidden/>
          </w:rPr>
        </w:r>
        <w:r w:rsidR="006D17C0" w:rsidRPr="00576AF8">
          <w:rPr>
            <w:webHidden/>
          </w:rPr>
          <w:fldChar w:fldCharType="separate"/>
        </w:r>
        <w:r w:rsidR="004D0C19" w:rsidRPr="00576AF8">
          <w:rPr>
            <w:webHidden/>
          </w:rPr>
          <w:t>274</w:t>
        </w:r>
        <w:r w:rsidR="006D17C0" w:rsidRPr="00576AF8">
          <w:rPr>
            <w:webHidden/>
          </w:rPr>
          <w:fldChar w:fldCharType="end"/>
        </w:r>
      </w:hyperlink>
    </w:p>
    <w:p w14:paraId="47511FB8" w14:textId="77777777" w:rsidR="009D0452" w:rsidRPr="00576AF8" w:rsidRDefault="009D0452" w:rsidP="009D0452">
      <w:pPr>
        <w:jc w:val="left"/>
        <w:rPr>
          <w:sz w:val="22"/>
        </w:rPr>
      </w:pPr>
      <w:r w:rsidRPr="00576AF8">
        <w:fldChar w:fldCharType="end"/>
      </w:r>
    </w:p>
    <w:p w14:paraId="0E3AA4BF" w14:textId="77777777" w:rsidR="009D0452" w:rsidRPr="00576AF8" w:rsidRDefault="009D0452" w:rsidP="009D0452">
      <w:pPr>
        <w:jc w:val="left"/>
        <w:rPr>
          <w:sz w:val="22"/>
        </w:rPr>
        <w:sectPr w:rsidR="009D0452" w:rsidRPr="00576AF8" w:rsidSect="000968D2">
          <w:headerReference w:type="even" r:id="rId75"/>
          <w:headerReference w:type="default" r:id="rId76"/>
          <w:pgSz w:w="12240" w:h="15840" w:code="1"/>
          <w:pgMar w:top="1440" w:right="1440" w:bottom="1440" w:left="1440" w:header="720" w:footer="720" w:gutter="0"/>
          <w:cols w:space="720"/>
          <w:docGrid w:linePitch="360"/>
        </w:sectPr>
      </w:pPr>
    </w:p>
    <w:p w14:paraId="7ACEF120" w14:textId="77777777" w:rsidR="00A20832" w:rsidRPr="00576AF8" w:rsidRDefault="00A20832" w:rsidP="00A20832">
      <w:pPr>
        <w:jc w:val="center"/>
        <w:rPr>
          <w:b/>
          <w:sz w:val="36"/>
        </w:rPr>
      </w:pPr>
      <w:bookmarkStart w:id="1619" w:name="_Hlt495537193"/>
      <w:bookmarkStart w:id="1620" w:name="_Hlt495537202"/>
      <w:bookmarkEnd w:id="1619"/>
      <w:bookmarkEnd w:id="1620"/>
      <w:r w:rsidRPr="00576AF8">
        <w:rPr>
          <w:b/>
          <w:sz w:val="36"/>
        </w:rPr>
        <w:lastRenderedPageBreak/>
        <w:t>Condiciones Especiales del Contrato</w:t>
      </w:r>
    </w:p>
    <w:p w14:paraId="70054C3D" w14:textId="77777777" w:rsidR="00A20832" w:rsidRPr="00576AF8" w:rsidRDefault="00A20832" w:rsidP="00A20832">
      <w:pPr>
        <w:rPr>
          <w:spacing w:val="-2"/>
        </w:rPr>
      </w:pPr>
      <w:r w:rsidRPr="00576AF8">
        <w:rPr>
          <w:spacing w:val="-2"/>
        </w:rPr>
        <w:t xml:space="preserve">Las siguientes Condiciones Especiales del Contrato (CEC) complementarán o enmendarán las Condiciones Generales del Contrato (CGC). En caso de conflicto, las disposiciones de las CEC prevalecerán sobre las previstas en las Condiciones Generales del Contrato. Para mayor claridad, en la columna izquierda de las CEC se incluye la referencia a la cláusula correspondiente de las CGC. </w:t>
      </w:r>
    </w:p>
    <w:p w14:paraId="164AA47E" w14:textId="77777777" w:rsidR="00A20832" w:rsidRPr="00576AF8" w:rsidRDefault="00A20832" w:rsidP="00A20832">
      <w:pPr>
        <w:pStyle w:val="Head71"/>
        <w:rPr>
          <w:rFonts w:ascii="Times New Roman" w:hAnsi="Times New Roman"/>
        </w:rPr>
      </w:pPr>
      <w:bookmarkStart w:id="1621" w:name="_Toc521497286"/>
      <w:bookmarkStart w:id="1622" w:name="_Toc252363600"/>
      <w:bookmarkStart w:id="1623" w:name="_Toc488961680"/>
      <w:r w:rsidRPr="00576AF8">
        <w:rPr>
          <w:rFonts w:ascii="Times New Roman" w:hAnsi="Times New Roman"/>
        </w:rPr>
        <w:lastRenderedPageBreak/>
        <w:t xml:space="preserve">A. </w:t>
      </w:r>
      <w:r w:rsidR="009D0452" w:rsidRPr="00576AF8">
        <w:rPr>
          <w:rFonts w:ascii="Times New Roman" w:hAnsi="Times New Roman"/>
        </w:rPr>
        <w:t xml:space="preserve"> </w:t>
      </w:r>
      <w:r w:rsidRPr="00576AF8">
        <w:rPr>
          <w:rFonts w:ascii="Times New Roman" w:hAnsi="Times New Roman"/>
        </w:rPr>
        <w:t xml:space="preserve">Contrato e </w:t>
      </w:r>
      <w:bookmarkEnd w:id="1621"/>
      <w:bookmarkEnd w:id="1622"/>
      <w:r w:rsidR="007357C1" w:rsidRPr="00576AF8">
        <w:rPr>
          <w:rFonts w:ascii="Times New Roman" w:hAnsi="Times New Roman"/>
        </w:rPr>
        <w:t>Interpretación</w:t>
      </w:r>
      <w:bookmarkEnd w:id="1623"/>
    </w:p>
    <w:p w14:paraId="489531A4" w14:textId="77777777" w:rsidR="00A20832" w:rsidRPr="00576AF8" w:rsidRDefault="00A20832">
      <w:pPr>
        <w:pStyle w:val="Head72"/>
        <w:numPr>
          <w:ilvl w:val="0"/>
          <w:numId w:val="34"/>
        </w:numPr>
      </w:pPr>
      <w:bookmarkStart w:id="1624" w:name="_Toc521497287"/>
      <w:bookmarkStart w:id="1625" w:name="_Toc252363601"/>
      <w:bookmarkStart w:id="1626" w:name="_Toc488961681"/>
      <w:r w:rsidRPr="00576AF8">
        <w:t>Definiciones (cláusula 1 de las CGC)</w:t>
      </w:r>
      <w:bookmarkEnd w:id="1624"/>
      <w:bookmarkEnd w:id="1625"/>
      <w:bookmarkEnd w:id="1626"/>
    </w:p>
    <w:tbl>
      <w:tblPr>
        <w:tblW w:w="956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93"/>
        <w:gridCol w:w="7476"/>
      </w:tblGrid>
      <w:tr w:rsidR="00A20832" w:rsidRPr="00576AF8" w14:paraId="3A742090" w14:textId="77777777" w:rsidTr="004313F3">
        <w:tc>
          <w:tcPr>
            <w:tcW w:w="2093" w:type="dxa"/>
          </w:tcPr>
          <w:p w14:paraId="1E9E3F71" w14:textId="77777777" w:rsidR="00A20832" w:rsidRPr="00576AF8" w:rsidRDefault="00A20832" w:rsidP="00A35BE3">
            <w:pPr>
              <w:keepNext/>
              <w:keepLines/>
              <w:spacing w:before="240" w:after="0"/>
              <w:ind w:right="-72" w:firstLine="14"/>
              <w:jc w:val="left"/>
              <w:outlineLvl w:val="4"/>
            </w:pPr>
            <w:r w:rsidRPr="00576AF8">
              <w:lastRenderedPageBreak/>
              <w:t xml:space="preserve">CGC 1.1 </w:t>
            </w:r>
            <w:r w:rsidR="009D0452" w:rsidRPr="00576AF8">
              <w:t>(</w:t>
            </w:r>
            <w:r w:rsidRPr="00576AF8">
              <w:t xml:space="preserve">a) </w:t>
            </w:r>
            <w:r w:rsidR="009D0452" w:rsidRPr="00576AF8">
              <w:t>(</w:t>
            </w:r>
            <w:r w:rsidRPr="00576AF8">
              <w:t>ix)</w:t>
            </w:r>
          </w:p>
        </w:tc>
        <w:tc>
          <w:tcPr>
            <w:tcW w:w="7476" w:type="dxa"/>
          </w:tcPr>
          <w:p w14:paraId="37F483E1" w14:textId="77777777" w:rsidR="00A20832" w:rsidRPr="00576AF8" w:rsidRDefault="00A20832" w:rsidP="00DA48A0">
            <w:pPr>
              <w:keepNext/>
              <w:keepLines/>
              <w:spacing w:before="240" w:after="240"/>
              <w:ind w:left="-29" w:firstLine="29"/>
              <w:outlineLvl w:val="4"/>
            </w:pPr>
            <w:r w:rsidRPr="00576AF8">
              <w:t xml:space="preserve">La versión aplicable de las </w:t>
            </w:r>
            <w:r w:rsidR="00DA48A0" w:rsidRPr="00576AF8">
              <w:t>Políticas para la Adquisición de Bienes y Obras Financiadas por el Banco Interamericano de Desarrollo es la GN-2349-15 de mayo de 2019.</w:t>
            </w:r>
          </w:p>
        </w:tc>
      </w:tr>
      <w:tr w:rsidR="00A20832" w:rsidRPr="00576AF8" w14:paraId="3B3C20CC" w14:textId="77777777" w:rsidTr="004313F3">
        <w:tc>
          <w:tcPr>
            <w:tcW w:w="2093" w:type="dxa"/>
          </w:tcPr>
          <w:p w14:paraId="1411F547" w14:textId="77777777" w:rsidR="00A20832" w:rsidRPr="00576AF8" w:rsidRDefault="00A20832" w:rsidP="00A35BE3">
            <w:pPr>
              <w:keepNext/>
              <w:keepLines/>
              <w:spacing w:before="240" w:after="0"/>
              <w:ind w:right="-72" w:firstLine="14"/>
              <w:jc w:val="left"/>
              <w:outlineLvl w:val="4"/>
            </w:pPr>
            <w:r w:rsidRPr="00576AF8">
              <w:t xml:space="preserve">CGC 1.1 </w:t>
            </w:r>
            <w:r w:rsidR="007357C1" w:rsidRPr="00576AF8">
              <w:t>(</w:t>
            </w:r>
            <w:r w:rsidRPr="00576AF8">
              <w:t xml:space="preserve">b) </w:t>
            </w:r>
            <w:r w:rsidR="007357C1" w:rsidRPr="00576AF8">
              <w:t>(</w:t>
            </w:r>
            <w:r w:rsidRPr="00576AF8">
              <w:t>i)</w:t>
            </w:r>
          </w:p>
        </w:tc>
        <w:tc>
          <w:tcPr>
            <w:tcW w:w="7476" w:type="dxa"/>
          </w:tcPr>
          <w:p w14:paraId="0FFB6AC7" w14:textId="77777777" w:rsidR="00A20832" w:rsidRPr="00576AF8" w:rsidRDefault="00A20832" w:rsidP="0054598D">
            <w:pPr>
              <w:keepNext/>
              <w:keepLines/>
              <w:spacing w:before="240" w:after="160"/>
              <w:ind w:left="720" w:hanging="720"/>
              <w:outlineLvl w:val="4"/>
            </w:pPr>
            <w:r w:rsidRPr="00576AF8">
              <w:t xml:space="preserve">El Comprador es: </w:t>
            </w:r>
            <w:r w:rsidR="00DA48A0" w:rsidRPr="00576AF8">
              <w:rPr>
                <w:rStyle w:val="preparersnote"/>
                <w:b w:val="0"/>
                <w:i w:val="0"/>
                <w:iCs w:val="0"/>
              </w:rPr>
              <w:t>Ministerio de Energía y Minas</w:t>
            </w:r>
          </w:p>
        </w:tc>
      </w:tr>
      <w:tr w:rsidR="00DA48A0" w:rsidRPr="00576AF8" w14:paraId="555AEE2C" w14:textId="77777777" w:rsidTr="004313F3">
        <w:tc>
          <w:tcPr>
            <w:tcW w:w="2093" w:type="dxa"/>
          </w:tcPr>
          <w:p w14:paraId="0CC2F70C" w14:textId="77777777" w:rsidR="00DA48A0" w:rsidRPr="00576AF8" w:rsidRDefault="00DA48A0" w:rsidP="00DA48A0">
            <w:pPr>
              <w:keepNext/>
              <w:keepLines/>
              <w:spacing w:before="240" w:after="0"/>
              <w:ind w:right="-72" w:firstLine="14"/>
              <w:jc w:val="left"/>
              <w:outlineLvl w:val="4"/>
            </w:pPr>
            <w:r w:rsidRPr="00576AF8">
              <w:t>CGC 1.1 (b) (ii)</w:t>
            </w:r>
          </w:p>
        </w:tc>
        <w:tc>
          <w:tcPr>
            <w:tcW w:w="7476" w:type="dxa"/>
          </w:tcPr>
          <w:p w14:paraId="2E8C3F08" w14:textId="77777777" w:rsidR="00DA48A0" w:rsidRPr="00576AF8" w:rsidRDefault="00DA48A0" w:rsidP="00DA48A0">
            <w:pPr>
              <w:keepNext/>
              <w:keepLines/>
              <w:spacing w:before="240" w:after="160"/>
              <w:ind w:left="34" w:hanging="34"/>
              <w:outlineLvl w:val="4"/>
              <w:rPr>
                <w:szCs w:val="24"/>
              </w:rPr>
            </w:pPr>
            <w:r w:rsidRPr="00576AF8">
              <w:rPr>
                <w:szCs w:val="24"/>
              </w:rPr>
              <w:t xml:space="preserve">El gerente de proyecto es: Administrador de Contrato designado por el Ministerio de Energía y Minas </w:t>
            </w:r>
            <w:r w:rsidRPr="00576AF8">
              <w:rPr>
                <w:i/>
                <w:iCs/>
                <w:szCs w:val="24"/>
              </w:rPr>
              <w:t>(consignar nombre al momento de completar el contrato)</w:t>
            </w:r>
          </w:p>
        </w:tc>
      </w:tr>
      <w:tr w:rsidR="00DA48A0" w:rsidRPr="00576AF8" w14:paraId="556B8E12" w14:textId="77777777" w:rsidTr="004313F3">
        <w:tc>
          <w:tcPr>
            <w:tcW w:w="2093" w:type="dxa"/>
          </w:tcPr>
          <w:p w14:paraId="1C6FE6C7" w14:textId="77777777" w:rsidR="00DA48A0" w:rsidRPr="00576AF8" w:rsidRDefault="00DA48A0" w:rsidP="00DA48A0">
            <w:pPr>
              <w:keepNext/>
              <w:keepLines/>
              <w:spacing w:before="240" w:after="0"/>
              <w:ind w:right="-72" w:firstLine="14"/>
              <w:jc w:val="left"/>
              <w:outlineLvl w:val="4"/>
            </w:pPr>
            <w:r w:rsidRPr="00576AF8">
              <w:t>CGC 1.1 (e) (i)</w:t>
            </w:r>
          </w:p>
        </w:tc>
        <w:tc>
          <w:tcPr>
            <w:tcW w:w="7476" w:type="dxa"/>
          </w:tcPr>
          <w:p w14:paraId="0BF51D23" w14:textId="77777777" w:rsidR="00DA48A0" w:rsidRPr="00576AF8" w:rsidRDefault="00DA48A0" w:rsidP="00DA48A0">
            <w:pPr>
              <w:keepNext/>
              <w:keepLines/>
              <w:spacing w:before="240" w:after="240"/>
              <w:ind w:left="720" w:hanging="720"/>
              <w:outlineLvl w:val="4"/>
            </w:pPr>
            <w:r w:rsidRPr="00576AF8">
              <w:t xml:space="preserve">El país del Comprador es: </w:t>
            </w:r>
            <w:r w:rsidRPr="00576AF8">
              <w:rPr>
                <w:rStyle w:val="preparersnote"/>
                <w:b w:val="0"/>
                <w:i w:val="0"/>
                <w:iCs w:val="0"/>
              </w:rPr>
              <w:t>República del Ecuador</w:t>
            </w:r>
          </w:p>
        </w:tc>
      </w:tr>
      <w:tr w:rsidR="00DA48A0" w:rsidRPr="00576AF8" w14:paraId="32A24063" w14:textId="77777777" w:rsidTr="004313F3">
        <w:tc>
          <w:tcPr>
            <w:tcW w:w="2093" w:type="dxa"/>
          </w:tcPr>
          <w:p w14:paraId="1A3637E3" w14:textId="77777777" w:rsidR="00DA48A0" w:rsidRPr="00576AF8" w:rsidRDefault="00DA48A0" w:rsidP="00DA48A0">
            <w:pPr>
              <w:keepNext/>
              <w:keepLines/>
              <w:spacing w:before="240" w:after="0"/>
              <w:ind w:right="-72" w:firstLine="14"/>
              <w:jc w:val="left"/>
              <w:outlineLvl w:val="4"/>
            </w:pPr>
            <w:r w:rsidRPr="00576AF8">
              <w:t>CGC 1.1 (e) (iii)</w:t>
            </w:r>
          </w:p>
        </w:tc>
        <w:tc>
          <w:tcPr>
            <w:tcW w:w="7476" w:type="dxa"/>
          </w:tcPr>
          <w:p w14:paraId="2D0AAFCC" w14:textId="77777777" w:rsidR="00DA48A0" w:rsidRPr="00576AF8" w:rsidRDefault="00DA48A0" w:rsidP="00DA48A0">
            <w:pPr>
              <w:keepNext/>
              <w:keepLines/>
              <w:spacing w:before="240" w:after="240"/>
              <w:outlineLvl w:val="4"/>
            </w:pPr>
            <w:r w:rsidRPr="00576AF8">
              <w:t xml:space="preserve">Sujeto a cuadro de información sobre los sitios del Proyecto incluido en la sección de requisitos técnicos, </w:t>
            </w:r>
            <w:r w:rsidR="006506AD" w:rsidRPr="00576AF8">
              <w:t>el Ministerio de Energía y Minas recibirá el sistema en los siguientes destinos:</w:t>
            </w:r>
          </w:p>
          <w:p w14:paraId="0E06DEA8" w14:textId="77777777" w:rsidR="003335FC" w:rsidRPr="00576AF8" w:rsidRDefault="003335FC" w:rsidP="003335FC">
            <w:pPr>
              <w:pStyle w:val="Prrafodelista"/>
              <w:keepNext/>
              <w:keepLines/>
              <w:numPr>
                <w:ilvl w:val="4"/>
                <w:numId w:val="430"/>
              </w:numPr>
              <w:spacing w:before="240" w:after="240"/>
              <w:ind w:left="479"/>
              <w:outlineLvl w:val="4"/>
            </w:pPr>
            <w:r w:rsidRPr="00576AF8">
              <w:t>El Ministerio de Energía y Minas recibirá el sistema en los siguientes destinos:</w:t>
            </w:r>
          </w:p>
          <w:p w14:paraId="389899B0" w14:textId="77777777" w:rsidR="003335FC" w:rsidRPr="00576AF8" w:rsidRDefault="003335FC" w:rsidP="003335FC">
            <w:pPr>
              <w:pStyle w:val="Prrafodelista"/>
              <w:keepNext/>
              <w:keepLines/>
              <w:numPr>
                <w:ilvl w:val="4"/>
                <w:numId w:val="430"/>
              </w:numPr>
              <w:spacing w:before="240" w:after="240"/>
              <w:ind w:left="479"/>
              <w:outlineLvl w:val="4"/>
            </w:pPr>
            <w:r w:rsidRPr="00576AF8">
              <w:t>Edificio principal del Operador Nacional de Electricidad CENACE (Incluye centro de datos, cuartos de comunicaciones, estaciones de trabajo del OTS, de Ingeniería y de usuarios), Av. Atacazo y Panamericana Sur Km 0</w:t>
            </w:r>
          </w:p>
          <w:p w14:paraId="514CD9CA" w14:textId="77777777" w:rsidR="003335FC" w:rsidRPr="00576AF8" w:rsidRDefault="003335FC" w:rsidP="003335FC">
            <w:pPr>
              <w:pStyle w:val="Prrafodelista"/>
              <w:keepNext/>
              <w:keepLines/>
              <w:numPr>
                <w:ilvl w:val="4"/>
                <w:numId w:val="430"/>
              </w:numPr>
              <w:spacing w:before="240" w:after="240"/>
              <w:ind w:left="479"/>
              <w:outlineLvl w:val="4"/>
            </w:pPr>
            <w:r w:rsidRPr="00576AF8">
              <w:t>Oficinas de la Gerencia de Operaciones del Operador Nacional de Electricidad CENACE (incluye cuarto de equipos, Sala de control de operaciones, estaciones de operación, de Ingeniería y de usuarios), Av. Atacazo y Panamericana Sur Km 0</w:t>
            </w:r>
          </w:p>
          <w:p w14:paraId="0C4C06F5" w14:textId="77777777" w:rsidR="003335FC" w:rsidRPr="00576AF8" w:rsidRDefault="003335FC" w:rsidP="003335FC">
            <w:pPr>
              <w:pStyle w:val="Prrafodelista"/>
              <w:keepNext/>
              <w:keepLines/>
              <w:numPr>
                <w:ilvl w:val="4"/>
                <w:numId w:val="430"/>
              </w:numPr>
              <w:spacing w:before="240" w:after="240"/>
              <w:ind w:left="479"/>
              <w:outlineLvl w:val="4"/>
            </w:pPr>
            <w:r w:rsidRPr="00576AF8">
              <w:t>CENTRO DE OPERACIONES DE CELEC EP TRANSELECTRIC (COT), Av. Giovanni Calles Oe12-202 y Av. Padre Luis Vaccari (Carapungo)</w:t>
            </w:r>
          </w:p>
          <w:p w14:paraId="5BB3A00C" w14:textId="77777777" w:rsidR="003335FC" w:rsidRPr="00576AF8" w:rsidRDefault="003335FC" w:rsidP="003335FC">
            <w:pPr>
              <w:pStyle w:val="Prrafodelista"/>
              <w:keepNext/>
              <w:keepLines/>
              <w:numPr>
                <w:ilvl w:val="4"/>
                <w:numId w:val="430"/>
              </w:numPr>
              <w:spacing w:before="240" w:after="240"/>
              <w:ind w:left="479"/>
              <w:outlineLvl w:val="4"/>
            </w:pPr>
            <w:r w:rsidRPr="00576AF8">
              <w:t>Subestación Santa Rosa de CELEC EP TRANSELECTRIC, KM. 00; PANAMERICA SUR, BARRIO SANTA CATALINA, AV. ATACAZO</w:t>
            </w:r>
          </w:p>
          <w:p w14:paraId="150FCB4C" w14:textId="77777777" w:rsidR="003335FC" w:rsidRPr="00576AF8" w:rsidRDefault="003335FC" w:rsidP="003335FC">
            <w:pPr>
              <w:pStyle w:val="Prrafodelista"/>
              <w:keepNext/>
              <w:keepLines/>
              <w:numPr>
                <w:ilvl w:val="4"/>
                <w:numId w:val="430"/>
              </w:numPr>
              <w:spacing w:before="240" w:after="240"/>
              <w:ind w:left="479"/>
              <w:outlineLvl w:val="4"/>
            </w:pPr>
            <w:r w:rsidRPr="00576AF8">
              <w:t>Subestación Pascuales de CELEC EP TRANSELECTRIC, KM. 16.5 VÍA A DAULE (Av. Cobre y Calle Acero) (ingresa x INTACO 1ra entrada a mano derecha hasta el fondo)</w:t>
            </w:r>
          </w:p>
          <w:p w14:paraId="19F6DB68" w14:textId="77777777" w:rsidR="003335FC" w:rsidRPr="00576AF8" w:rsidRDefault="003335FC" w:rsidP="003335FC">
            <w:pPr>
              <w:pStyle w:val="Prrafodelista"/>
              <w:keepNext/>
              <w:keepLines/>
              <w:numPr>
                <w:ilvl w:val="4"/>
                <w:numId w:val="430"/>
              </w:numPr>
              <w:spacing w:before="240" w:after="240"/>
              <w:ind w:left="479"/>
              <w:outlineLvl w:val="4"/>
            </w:pPr>
            <w:r w:rsidRPr="00576AF8">
              <w:t>Subestación Quevedo de CELEC EP TRANSELECTRIC, Km. 1 ½ vía al Empalme, Junto al CLUB DE TROPAS (Cercano al Complejo de la Policía)</w:t>
            </w:r>
          </w:p>
          <w:p w14:paraId="2E4BF27C" w14:textId="77777777" w:rsidR="00DA48A0" w:rsidRPr="00576AF8" w:rsidRDefault="003335FC" w:rsidP="003335FC">
            <w:pPr>
              <w:pStyle w:val="Prrafodelista"/>
              <w:keepNext/>
              <w:keepLines/>
              <w:numPr>
                <w:ilvl w:val="4"/>
                <w:numId w:val="430"/>
              </w:numPr>
              <w:spacing w:before="240" w:after="240"/>
              <w:ind w:left="479"/>
              <w:outlineLvl w:val="4"/>
            </w:pPr>
            <w:r w:rsidRPr="00576AF8">
              <w:t>Subestación Zhoray de CELEC EP TRANSELECTRIC, KM 41 VIA AZOGUES-ZHORAY / ZHORAY</w:t>
            </w:r>
          </w:p>
        </w:tc>
      </w:tr>
      <w:tr w:rsidR="00DA48A0" w:rsidRPr="00576AF8" w14:paraId="5968DDBA" w14:textId="77777777" w:rsidTr="004313F3">
        <w:tc>
          <w:tcPr>
            <w:tcW w:w="2093" w:type="dxa"/>
          </w:tcPr>
          <w:p w14:paraId="158CD86E" w14:textId="77777777" w:rsidR="00DA48A0" w:rsidRPr="00576AF8" w:rsidRDefault="00DA48A0" w:rsidP="00DA48A0">
            <w:pPr>
              <w:keepNext/>
              <w:keepLines/>
              <w:spacing w:before="240" w:after="0"/>
              <w:ind w:right="-72" w:firstLine="18"/>
              <w:jc w:val="left"/>
              <w:outlineLvl w:val="4"/>
            </w:pPr>
            <w:r w:rsidRPr="00576AF8">
              <w:lastRenderedPageBreak/>
              <w:t>CGC 1.1 (e) (x)</w:t>
            </w:r>
          </w:p>
        </w:tc>
        <w:tc>
          <w:tcPr>
            <w:tcW w:w="7476" w:type="dxa"/>
          </w:tcPr>
          <w:p w14:paraId="5757ABDB" w14:textId="77777777" w:rsidR="00DA48A0" w:rsidRPr="00576AF8" w:rsidRDefault="00DA48A0" w:rsidP="00DA48A0">
            <w:pPr>
              <w:tabs>
                <w:tab w:val="left" w:pos="175"/>
              </w:tabs>
              <w:spacing w:after="240"/>
              <w:rPr>
                <w:b/>
                <w:iCs/>
              </w:rPr>
            </w:pPr>
            <w:r w:rsidRPr="00576AF8">
              <w:rPr>
                <w:rStyle w:val="preparersnote"/>
                <w:i w:val="0"/>
              </w:rPr>
              <w:t>No hay Condiciones Especiales asociadas con la cláusula 1.1 (e) (x) de las CGC.</w:t>
            </w:r>
          </w:p>
        </w:tc>
      </w:tr>
      <w:tr w:rsidR="00DA48A0" w:rsidRPr="00576AF8" w14:paraId="6053B3E8" w14:textId="77777777" w:rsidTr="004313F3">
        <w:tc>
          <w:tcPr>
            <w:tcW w:w="2093" w:type="dxa"/>
          </w:tcPr>
          <w:p w14:paraId="270F1B5D" w14:textId="77777777" w:rsidR="00DA48A0" w:rsidRPr="00576AF8" w:rsidRDefault="00DA48A0" w:rsidP="00DA48A0">
            <w:pPr>
              <w:keepNext/>
              <w:keepLines/>
              <w:spacing w:before="240" w:after="0"/>
              <w:ind w:right="-72" w:firstLine="18"/>
              <w:jc w:val="left"/>
              <w:outlineLvl w:val="4"/>
            </w:pPr>
            <w:r w:rsidRPr="00576AF8">
              <w:t>CGC 1.1 (e) (xiii)</w:t>
            </w:r>
          </w:p>
        </w:tc>
        <w:tc>
          <w:tcPr>
            <w:tcW w:w="7476" w:type="dxa"/>
          </w:tcPr>
          <w:p w14:paraId="09997CC1" w14:textId="77777777" w:rsidR="00DA48A0" w:rsidRPr="00576AF8" w:rsidRDefault="00DA48A0" w:rsidP="00DA48A0">
            <w:pPr>
              <w:spacing w:after="240"/>
              <w:ind w:left="734" w:hanging="734"/>
              <w:rPr>
                <w:rStyle w:val="preparersnote"/>
                <w:i w:val="0"/>
              </w:rPr>
            </w:pPr>
            <w:r w:rsidRPr="00576AF8">
              <w:t>No se requieren servicios de posgarantía.</w:t>
            </w:r>
            <w:r w:rsidR="00B926BD" w:rsidRPr="00576AF8">
              <w:t xml:space="preserve"> </w:t>
            </w:r>
            <w:r w:rsidR="00134502" w:rsidRPr="00576AF8">
              <w:t xml:space="preserve"> </w:t>
            </w:r>
          </w:p>
        </w:tc>
      </w:tr>
    </w:tbl>
    <w:p w14:paraId="0629A32D" w14:textId="77777777" w:rsidR="00A20832" w:rsidRPr="00576AF8" w:rsidRDefault="00A20832">
      <w:pPr>
        <w:pStyle w:val="Head72"/>
        <w:numPr>
          <w:ilvl w:val="0"/>
          <w:numId w:val="34"/>
        </w:numPr>
      </w:pPr>
      <w:bookmarkStart w:id="1627" w:name="_Toc521497290"/>
      <w:bookmarkStart w:id="1628" w:name="_Toc252363604"/>
      <w:bookmarkStart w:id="1629" w:name="_Toc488961682"/>
      <w:r w:rsidRPr="00576AF8">
        <w:t>Notificaciones (cláusula 4 de las CGC)</w:t>
      </w:r>
      <w:bookmarkEnd w:id="1627"/>
      <w:bookmarkEnd w:id="1628"/>
      <w:bookmarkEnd w:id="162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7CD0F56F" w14:textId="77777777" w:rsidTr="0054598D">
        <w:tc>
          <w:tcPr>
            <w:tcW w:w="1872" w:type="dxa"/>
          </w:tcPr>
          <w:p w14:paraId="0665AB4D" w14:textId="77777777" w:rsidR="00A20832" w:rsidRPr="00576AF8" w:rsidRDefault="00A20832" w:rsidP="00A35BE3">
            <w:pPr>
              <w:spacing w:after="0"/>
              <w:ind w:right="-72" w:firstLine="14"/>
            </w:pPr>
            <w:r w:rsidRPr="00576AF8">
              <w:t>CGC 4.3</w:t>
            </w:r>
          </w:p>
        </w:tc>
        <w:tc>
          <w:tcPr>
            <w:tcW w:w="7476" w:type="dxa"/>
          </w:tcPr>
          <w:p w14:paraId="0569540F" w14:textId="77777777" w:rsidR="00DA48A0" w:rsidRPr="00576AF8" w:rsidRDefault="00DA48A0" w:rsidP="00DA48A0">
            <w:pPr>
              <w:spacing w:after="160"/>
            </w:pPr>
            <w:r w:rsidRPr="00576AF8">
              <w:t>Dirección del gerente de proyecto</w:t>
            </w:r>
          </w:p>
          <w:p w14:paraId="34CA87EF" w14:textId="77777777" w:rsidR="00DA48A0" w:rsidRPr="00576AF8" w:rsidRDefault="00DA48A0" w:rsidP="00DA48A0">
            <w:pPr>
              <w:spacing w:after="160"/>
            </w:pPr>
            <w:r w:rsidRPr="00576AF8">
              <w:t>_ Administrador de Contrato</w:t>
            </w:r>
          </w:p>
          <w:p w14:paraId="58CDB669" w14:textId="77777777" w:rsidR="00DA48A0" w:rsidRPr="00576AF8" w:rsidRDefault="00DA48A0" w:rsidP="00DA48A0">
            <w:pPr>
              <w:spacing w:after="160"/>
            </w:pPr>
            <w:r w:rsidRPr="00576AF8">
              <w:t xml:space="preserve">Director/a de </w:t>
            </w:r>
            <w:r w:rsidR="00A40268" w:rsidRPr="00576AF8">
              <w:t>Gestión Técnica y Operativa de la Generación y Transmisión de Energía Eléctrica</w:t>
            </w:r>
          </w:p>
          <w:p w14:paraId="66DBCB22" w14:textId="77777777" w:rsidR="00DA48A0" w:rsidRPr="00576AF8" w:rsidRDefault="00DA48A0" w:rsidP="00DA48A0">
            <w:pPr>
              <w:spacing w:after="160"/>
            </w:pPr>
            <w:r w:rsidRPr="00576AF8">
              <w:t>Dirección: Av. República de El Salvador N36-64 y Suecia</w:t>
            </w:r>
          </w:p>
          <w:p w14:paraId="190CD442" w14:textId="77777777" w:rsidR="00DA48A0" w:rsidRPr="00576AF8" w:rsidRDefault="00DA48A0" w:rsidP="00DA48A0">
            <w:pPr>
              <w:spacing w:after="160"/>
            </w:pPr>
            <w:r w:rsidRPr="00576AF8">
              <w:t>Ciudad: Quito</w:t>
            </w:r>
          </w:p>
          <w:p w14:paraId="1C37B9F3" w14:textId="77777777" w:rsidR="00DA48A0" w:rsidRPr="00576AF8" w:rsidRDefault="00DA48A0" w:rsidP="00DA48A0">
            <w:pPr>
              <w:spacing w:after="160"/>
            </w:pPr>
            <w:r w:rsidRPr="00576AF8">
              <w:t>Código postal: 170135</w:t>
            </w:r>
          </w:p>
          <w:p w14:paraId="20E56E2E" w14:textId="77777777" w:rsidR="00DA48A0" w:rsidRPr="00576AF8" w:rsidRDefault="00DA48A0" w:rsidP="00DA48A0">
            <w:pPr>
              <w:spacing w:after="160"/>
            </w:pPr>
            <w:r w:rsidRPr="00576AF8">
              <w:t>Dirección de correo electrónico: xxxxxxx@energiayminas.gob.ec</w:t>
            </w:r>
          </w:p>
          <w:p w14:paraId="1CC09874" w14:textId="77777777" w:rsidR="00DA48A0" w:rsidRPr="00576AF8" w:rsidRDefault="00DA48A0" w:rsidP="00DA48A0">
            <w:pPr>
              <w:spacing w:after="160"/>
            </w:pPr>
            <w:r w:rsidRPr="00576AF8">
              <w:t>Dirección alternativa del Comprador: No Aplica</w:t>
            </w:r>
          </w:p>
          <w:p w14:paraId="23A56765" w14:textId="77777777" w:rsidR="00DA48A0" w:rsidRPr="00576AF8" w:rsidRDefault="00DA48A0" w:rsidP="00DA48A0">
            <w:pPr>
              <w:spacing w:after="160"/>
            </w:pPr>
            <w:r w:rsidRPr="00576AF8">
              <w:t xml:space="preserve">Para el intercambio electrónico de datos, el Comprador y el Proveedor utilizarán los siguientes estándares, protocolos, direcciones y procedimientos: </w:t>
            </w:r>
          </w:p>
          <w:p w14:paraId="1B7C4B96" w14:textId="77777777" w:rsidR="00DA48A0" w:rsidRPr="00576AF8" w:rsidRDefault="00DA48A0" w:rsidP="00DA48A0">
            <w:pPr>
              <w:spacing w:after="160"/>
            </w:pPr>
            <w:r w:rsidRPr="00576AF8">
              <w:t xml:space="preserve">Las comunicaciones deberán ser por escrito, debidamente firmadas o a su </w:t>
            </w:r>
            <w:proofErr w:type="gramStart"/>
            <w:r w:rsidRPr="00576AF8">
              <w:t>vez  firmadas</w:t>
            </w:r>
            <w:proofErr w:type="gramEnd"/>
            <w:r w:rsidRPr="00576AF8">
              <w:t xml:space="preserve"> electrónicamente. En el caso de ser documento con firma electrónica, por ello deberá tener el documento la misma fecha de firma, si se requiere de varias firmas en el </w:t>
            </w:r>
            <w:proofErr w:type="gramStart"/>
            <w:r w:rsidRPr="00576AF8">
              <w:t>documento  todas</w:t>
            </w:r>
            <w:proofErr w:type="gramEnd"/>
            <w:r w:rsidRPr="00576AF8">
              <w:t xml:space="preserve"> deberán ser firmas electrónicas con la misma fecha. En caso de documentos firmados </w:t>
            </w:r>
            <w:r w:rsidR="007028E7" w:rsidRPr="00576AF8">
              <w:t>físicamente</w:t>
            </w:r>
            <w:r w:rsidRPr="00576AF8">
              <w:t xml:space="preserve">, estas firmas deberán ser efectuados con esferográfico de color azul (no sea borrable); en caso de contener varias firmas en un mismo documento, todas deberán ser suscritos </w:t>
            </w:r>
            <w:r w:rsidR="007028E7" w:rsidRPr="00576AF8">
              <w:t xml:space="preserve">en </w:t>
            </w:r>
            <w:r w:rsidRPr="00576AF8">
              <w:t>las mismas condiciones.</w:t>
            </w:r>
          </w:p>
          <w:p w14:paraId="0A6C6E52" w14:textId="77777777" w:rsidR="00A20832" w:rsidRPr="00576AF8" w:rsidRDefault="00DA48A0" w:rsidP="00DA48A0">
            <w:pPr>
              <w:keepNext/>
              <w:keepLines/>
              <w:spacing w:before="240" w:after="240"/>
              <w:outlineLvl w:val="4"/>
            </w:pPr>
            <w:r w:rsidRPr="00576AF8">
              <w:t>NOTA: No se aceptarán oficios ni actas cuyas firmas sean mixtas (</w:t>
            </w:r>
            <w:r w:rsidR="007028E7" w:rsidRPr="00576AF8">
              <w:t xml:space="preserve">física </w:t>
            </w:r>
            <w:r w:rsidRPr="00576AF8">
              <w:t xml:space="preserve">y </w:t>
            </w:r>
            <w:r w:rsidR="007028E7" w:rsidRPr="00576AF8">
              <w:t>e</w:t>
            </w:r>
            <w:r w:rsidRPr="00576AF8">
              <w:t>lectrónica). Los oficios deberán tener nomenclatura secuencial, ordenada cronológicamente. En caso de que se remita por correo electrónico se deberá confirmar la recepción del documento.</w:t>
            </w:r>
          </w:p>
        </w:tc>
      </w:tr>
    </w:tbl>
    <w:p w14:paraId="7764A59F" w14:textId="77777777" w:rsidR="00A20832" w:rsidRPr="00576AF8" w:rsidRDefault="00A20832" w:rsidP="00A20832">
      <w:pPr>
        <w:pStyle w:val="Head71"/>
        <w:rPr>
          <w:rFonts w:ascii="Times New Roman" w:hAnsi="Times New Roman"/>
        </w:rPr>
      </w:pPr>
      <w:bookmarkStart w:id="1630" w:name="_Toc521497293"/>
      <w:bookmarkStart w:id="1631" w:name="_Toc252363607"/>
      <w:bookmarkStart w:id="1632" w:name="_Toc488961683"/>
      <w:r w:rsidRPr="00576AF8">
        <w:rPr>
          <w:rFonts w:ascii="Times New Roman" w:hAnsi="Times New Roman"/>
        </w:rPr>
        <w:lastRenderedPageBreak/>
        <w:t xml:space="preserve">B. </w:t>
      </w:r>
      <w:r w:rsidR="0054598D" w:rsidRPr="00576AF8">
        <w:rPr>
          <w:rFonts w:ascii="Times New Roman" w:hAnsi="Times New Roman"/>
        </w:rPr>
        <w:t xml:space="preserve"> </w:t>
      </w:r>
      <w:r w:rsidRPr="00576AF8">
        <w:rPr>
          <w:rFonts w:ascii="Times New Roman" w:hAnsi="Times New Roman"/>
        </w:rPr>
        <w:t>Objeto del Contrato</w:t>
      </w:r>
      <w:bookmarkEnd w:id="1630"/>
      <w:bookmarkEnd w:id="1631"/>
      <w:bookmarkEnd w:id="1632"/>
    </w:p>
    <w:p w14:paraId="6B32C02B" w14:textId="77777777" w:rsidR="00A20832" w:rsidRPr="00576AF8" w:rsidRDefault="00A20832">
      <w:pPr>
        <w:pStyle w:val="Head72"/>
        <w:numPr>
          <w:ilvl w:val="0"/>
          <w:numId w:val="34"/>
        </w:numPr>
      </w:pPr>
      <w:bookmarkStart w:id="1633" w:name="_Toc521497294"/>
      <w:bookmarkStart w:id="1634" w:name="_Toc252363608"/>
      <w:bookmarkStart w:id="1635" w:name="_Toc488961684"/>
      <w:r w:rsidRPr="00576AF8">
        <w:t>Alcance del Sistema (cláusula 7 de las CGC)</w:t>
      </w:r>
      <w:bookmarkEnd w:id="1633"/>
      <w:bookmarkEnd w:id="1634"/>
      <w:bookmarkEnd w:id="163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1ED64936" w14:textId="77777777" w:rsidTr="000A32CA">
        <w:tc>
          <w:tcPr>
            <w:tcW w:w="1872" w:type="dxa"/>
          </w:tcPr>
          <w:p w14:paraId="150311C2" w14:textId="77777777" w:rsidR="00A20832" w:rsidRPr="00576AF8" w:rsidRDefault="00A20832" w:rsidP="00A35BE3">
            <w:pPr>
              <w:keepNext/>
              <w:keepLines/>
              <w:spacing w:before="240" w:after="0"/>
              <w:ind w:right="-72" w:firstLine="14"/>
              <w:outlineLvl w:val="4"/>
            </w:pPr>
            <w:r w:rsidRPr="00576AF8">
              <w:t>CGC 7.3</w:t>
            </w:r>
          </w:p>
        </w:tc>
        <w:tc>
          <w:tcPr>
            <w:tcW w:w="7476" w:type="dxa"/>
          </w:tcPr>
          <w:p w14:paraId="31CCF4C0" w14:textId="77777777" w:rsidR="00A20832" w:rsidRPr="00576AF8" w:rsidRDefault="00A40268" w:rsidP="004313F3">
            <w:pPr>
              <w:pStyle w:val="explanatoryclause"/>
              <w:spacing w:after="240"/>
              <w:ind w:left="0" w:right="42" w:firstLine="0"/>
              <w:rPr>
                <w:rFonts w:ascii="Times New Roman" w:hAnsi="Times New Roman"/>
                <w:sz w:val="24"/>
              </w:rPr>
            </w:pPr>
            <w:r w:rsidRPr="00576AF8">
              <w:rPr>
                <w:rFonts w:ascii="Times New Roman" w:hAnsi="Times New Roman"/>
                <w:sz w:val="24"/>
              </w:rPr>
              <w:t>El contrato no incluye gastos recurrentes.</w:t>
            </w:r>
          </w:p>
        </w:tc>
      </w:tr>
    </w:tbl>
    <w:p w14:paraId="1DC35FD5" w14:textId="77777777" w:rsidR="00A20832" w:rsidRPr="00576AF8" w:rsidRDefault="00A20832">
      <w:pPr>
        <w:pStyle w:val="Head72"/>
        <w:numPr>
          <w:ilvl w:val="0"/>
          <w:numId w:val="34"/>
        </w:numPr>
      </w:pPr>
      <w:bookmarkStart w:id="1636" w:name="_Toc521497295"/>
      <w:bookmarkStart w:id="1637" w:name="_Toc252363609"/>
      <w:bookmarkStart w:id="1638" w:name="_Toc488961685"/>
      <w:r w:rsidRPr="00576AF8">
        <w:t>Plazo de inicio y aceptación operativa (cláusula 8 de las CGC)</w:t>
      </w:r>
      <w:bookmarkEnd w:id="1636"/>
      <w:bookmarkEnd w:id="1637"/>
      <w:bookmarkEnd w:id="163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59F256B9" w14:textId="77777777" w:rsidTr="000A32CA">
        <w:tc>
          <w:tcPr>
            <w:tcW w:w="1872" w:type="dxa"/>
          </w:tcPr>
          <w:p w14:paraId="6B401F3B" w14:textId="77777777" w:rsidR="00A20832" w:rsidRPr="00576AF8" w:rsidRDefault="00A20832" w:rsidP="00A35BE3">
            <w:pPr>
              <w:keepNext/>
              <w:keepLines/>
              <w:spacing w:before="240" w:after="0"/>
              <w:ind w:right="-72" w:firstLine="14"/>
              <w:outlineLvl w:val="4"/>
            </w:pPr>
            <w:r w:rsidRPr="00576AF8">
              <w:t>CGC 8.1</w:t>
            </w:r>
          </w:p>
        </w:tc>
        <w:tc>
          <w:tcPr>
            <w:tcW w:w="7476" w:type="dxa"/>
          </w:tcPr>
          <w:p w14:paraId="15FB04C2" w14:textId="5F7C3E2D" w:rsidR="00A20832" w:rsidRPr="00576AF8" w:rsidRDefault="00A20832" w:rsidP="004313F3">
            <w:pPr>
              <w:keepNext/>
              <w:keepLines/>
              <w:spacing w:before="240" w:after="240"/>
              <w:ind w:right="42"/>
              <w:outlineLvl w:val="4"/>
            </w:pPr>
            <w:r w:rsidRPr="00576AF8">
              <w:t xml:space="preserve">El Proveedor iniciará los trabajos en el Sistema dentro de los </w:t>
            </w:r>
            <w:r w:rsidR="00A40268" w:rsidRPr="00576AF8">
              <w:rPr>
                <w:rStyle w:val="preparersnote"/>
                <w:b w:val="0"/>
              </w:rPr>
              <w:t>5</w:t>
            </w:r>
            <w:r w:rsidR="00F772EC" w:rsidRPr="00576AF8">
              <w:rPr>
                <w:b/>
                <w:i/>
              </w:rPr>
              <w:t xml:space="preserve"> </w:t>
            </w:r>
            <w:r w:rsidR="00F772EC" w:rsidRPr="00576AF8">
              <w:rPr>
                <w:bCs/>
                <w:iCs/>
              </w:rPr>
              <w:t>días</w:t>
            </w:r>
            <w:r w:rsidRPr="00576AF8">
              <w:rPr>
                <w:rStyle w:val="preparersnote"/>
                <w:b w:val="0"/>
              </w:rPr>
              <w:t xml:space="preserve"> </w:t>
            </w:r>
            <w:r w:rsidRPr="00576AF8">
              <w:t>posteriores a la fecha de entrada en vigor</w:t>
            </w:r>
            <w:r w:rsidR="00A40268" w:rsidRPr="00576AF8">
              <w:t xml:space="preserve"> </w:t>
            </w:r>
            <w:r w:rsidRPr="00576AF8">
              <w:t xml:space="preserve">del </w:t>
            </w:r>
            <w:r w:rsidRPr="00351C62">
              <w:t>Contrato.</w:t>
            </w:r>
            <w:r w:rsidR="00FB1406" w:rsidRPr="00351C62">
              <w:t xml:space="preserve"> Previo al inicio de los trabajos, </w:t>
            </w:r>
            <w:r w:rsidR="00D839F4" w:rsidRPr="00351C62">
              <w:t xml:space="preserve">las partes deberán haber nombrado al Conciliador y </w:t>
            </w:r>
            <w:r w:rsidR="00FB1406" w:rsidRPr="00351C62">
              <w:t>se deberá haber suscrito el Convenio co</w:t>
            </w:r>
            <w:r w:rsidR="00D839F4" w:rsidRPr="00351C62">
              <w:t>rrespondiente</w:t>
            </w:r>
            <w:r w:rsidR="00FB1406" w:rsidRPr="00351C62">
              <w:t>.</w:t>
            </w:r>
          </w:p>
        </w:tc>
      </w:tr>
    </w:tbl>
    <w:p w14:paraId="7667280A" w14:textId="77777777" w:rsidR="003023FB" w:rsidRPr="00576AF8" w:rsidRDefault="003023FB" w:rsidP="00A20832">
      <w:pPr>
        <w:pStyle w:val="Head71"/>
        <w:rPr>
          <w:rFonts w:ascii="Times New Roman" w:hAnsi="Times New Roman"/>
        </w:rPr>
      </w:pPr>
      <w:bookmarkStart w:id="1639" w:name="_Toc521497298"/>
      <w:bookmarkStart w:id="1640" w:name="_Toc252363612"/>
      <w:bookmarkStart w:id="1641" w:name="_Toc488961687"/>
    </w:p>
    <w:p w14:paraId="6E780C41" w14:textId="77777777" w:rsidR="00A20832" w:rsidRPr="00576AF8" w:rsidRDefault="00A20832" w:rsidP="00A20832">
      <w:pPr>
        <w:pStyle w:val="Head71"/>
        <w:rPr>
          <w:rFonts w:ascii="Times New Roman" w:hAnsi="Times New Roman"/>
        </w:rPr>
      </w:pPr>
      <w:r w:rsidRPr="00576AF8">
        <w:rPr>
          <w:rFonts w:ascii="Times New Roman" w:hAnsi="Times New Roman"/>
        </w:rPr>
        <w:t xml:space="preserve">C. </w:t>
      </w:r>
      <w:r w:rsidR="000A32CA" w:rsidRPr="00576AF8">
        <w:rPr>
          <w:rFonts w:ascii="Times New Roman" w:hAnsi="Times New Roman"/>
        </w:rPr>
        <w:t xml:space="preserve"> </w:t>
      </w:r>
      <w:r w:rsidRPr="00576AF8">
        <w:rPr>
          <w:rFonts w:ascii="Times New Roman" w:hAnsi="Times New Roman"/>
        </w:rPr>
        <w:t>Pago</w:t>
      </w:r>
      <w:bookmarkEnd w:id="1639"/>
      <w:bookmarkEnd w:id="1640"/>
      <w:bookmarkEnd w:id="1641"/>
    </w:p>
    <w:p w14:paraId="0E7B06F0" w14:textId="77777777" w:rsidR="00A20832" w:rsidRPr="00576AF8" w:rsidRDefault="00A20832">
      <w:pPr>
        <w:pStyle w:val="Head72"/>
        <w:numPr>
          <w:ilvl w:val="0"/>
          <w:numId w:val="34"/>
        </w:numPr>
      </w:pPr>
      <w:bookmarkStart w:id="1642" w:name="_Toc521497299"/>
      <w:bookmarkStart w:id="1643" w:name="_Toc252363613"/>
      <w:bookmarkStart w:id="1644" w:name="_Toc488961688"/>
      <w:r w:rsidRPr="00576AF8">
        <w:t>Precio del Contrato (cláusula 11 de las CGC)</w:t>
      </w:r>
      <w:bookmarkEnd w:id="1642"/>
      <w:bookmarkEnd w:id="1643"/>
      <w:bookmarkEnd w:id="164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0D2A7B7B" w14:textId="77777777" w:rsidTr="000A32CA">
        <w:tc>
          <w:tcPr>
            <w:tcW w:w="1872" w:type="dxa"/>
          </w:tcPr>
          <w:p w14:paraId="20C5D944" w14:textId="77777777" w:rsidR="00A20832" w:rsidRPr="00576AF8" w:rsidRDefault="00A20832" w:rsidP="00A35BE3">
            <w:pPr>
              <w:spacing w:after="0"/>
              <w:ind w:right="-72" w:firstLine="14"/>
            </w:pPr>
            <w:r w:rsidRPr="00576AF8">
              <w:t>CGC 11.2</w:t>
            </w:r>
          </w:p>
        </w:tc>
        <w:tc>
          <w:tcPr>
            <w:tcW w:w="7476" w:type="dxa"/>
          </w:tcPr>
          <w:p w14:paraId="612CC265" w14:textId="77777777" w:rsidR="00A20832" w:rsidRPr="00576AF8" w:rsidRDefault="00A20832" w:rsidP="007C3873">
            <w:pPr>
              <w:keepNext/>
              <w:keepLines/>
              <w:spacing w:before="240" w:after="160"/>
              <w:ind w:right="-11" w:firstLine="14"/>
              <w:outlineLvl w:val="4"/>
              <w:rPr>
                <w:spacing w:val="-2"/>
              </w:rPr>
            </w:pPr>
            <w:r w:rsidRPr="00576AF8">
              <w:t>Los ajustes del precio del Contrato se realizarán de la siguiente manera</w:t>
            </w:r>
            <w:r w:rsidRPr="00576AF8">
              <w:rPr>
                <w:rStyle w:val="preparersnote"/>
                <w:b w:val="0"/>
                <w:i w:val="0"/>
              </w:rPr>
              <w:t xml:space="preserve">: </w:t>
            </w:r>
            <w:r w:rsidRPr="00576AF8">
              <w:rPr>
                <w:rStyle w:val="preparersnote"/>
                <w:i w:val="0"/>
                <w:iCs w:val="0"/>
              </w:rPr>
              <w:t>No corresponde</w:t>
            </w:r>
          </w:p>
        </w:tc>
      </w:tr>
    </w:tbl>
    <w:p w14:paraId="31CFC88B" w14:textId="77777777" w:rsidR="00A20832" w:rsidRPr="00576AF8" w:rsidRDefault="00A20832">
      <w:pPr>
        <w:pStyle w:val="Head72"/>
        <w:numPr>
          <w:ilvl w:val="0"/>
          <w:numId w:val="34"/>
        </w:numPr>
      </w:pPr>
      <w:bookmarkStart w:id="1645" w:name="_Toc521497300"/>
      <w:bookmarkStart w:id="1646" w:name="_Toc252363614"/>
      <w:bookmarkStart w:id="1647" w:name="_Toc488961689"/>
      <w:r w:rsidRPr="00576AF8">
        <w:lastRenderedPageBreak/>
        <w:t xml:space="preserve">Condiciones de </w:t>
      </w:r>
      <w:r w:rsidR="00D0630A" w:rsidRPr="00576AF8">
        <w:t xml:space="preserve">Pago </w:t>
      </w:r>
      <w:r w:rsidRPr="00576AF8">
        <w:t>(cláusula 12 de las CGC)</w:t>
      </w:r>
      <w:bookmarkEnd w:id="1645"/>
      <w:bookmarkEnd w:id="1646"/>
      <w:bookmarkEnd w:id="164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872"/>
        <w:gridCol w:w="7476"/>
      </w:tblGrid>
      <w:tr w:rsidR="00A20832" w:rsidRPr="00576AF8" w14:paraId="52B1F277" w14:textId="77777777" w:rsidTr="0069781B">
        <w:trPr>
          <w:trHeight w:val="2878"/>
        </w:trPr>
        <w:tc>
          <w:tcPr>
            <w:tcW w:w="1872" w:type="dxa"/>
          </w:tcPr>
          <w:p w14:paraId="0B4D5271" w14:textId="77777777" w:rsidR="00A20832" w:rsidRPr="00576AF8" w:rsidRDefault="00A20832" w:rsidP="00A35BE3">
            <w:pPr>
              <w:keepNext/>
              <w:keepLines/>
              <w:spacing w:before="240" w:after="0"/>
              <w:ind w:right="-72" w:firstLine="14"/>
              <w:outlineLvl w:val="4"/>
            </w:pPr>
            <w:r w:rsidRPr="00576AF8">
              <w:lastRenderedPageBreak/>
              <w:t>CGC 12.1</w:t>
            </w:r>
          </w:p>
        </w:tc>
        <w:tc>
          <w:tcPr>
            <w:tcW w:w="7476" w:type="dxa"/>
          </w:tcPr>
          <w:p w14:paraId="306079A4" w14:textId="77777777" w:rsidR="00A20832" w:rsidRPr="00576AF8" w:rsidRDefault="00A20832" w:rsidP="00A35BE3">
            <w:pPr>
              <w:keepNext/>
              <w:keepLines/>
              <w:spacing w:before="240" w:after="200"/>
              <w:ind w:left="734" w:hanging="25"/>
              <w:outlineLvl w:val="4"/>
            </w:pPr>
            <w:r w:rsidRPr="00576AF8">
              <w:t xml:space="preserve">Con sujeción a lo dispuesto en la cláusula 12 de las CGC (“Condiciones de pago”), el Comprador pagará el precio del Contrato al Proveedor de conformidad con las categorías y la modalidad especificadas a continuación. Solo las categorías de “anticipo” e “integración completa del Sistema” se vinculan con el precio total del Contrato. En otras categorías de pago, la expresión “precio total del Contrato” significa el costo total de los bienes o servicios correspondientes a la categoría de pago específica. Dentro de cada una de estas categorías, en el programa de ejecución del Contrato se puede establecer el pago prorrateado de la parte del precio total del Contrato correspondiente a la categoría de los bienes o los servicios que hayan sido efectivamente entregados, instalados o que hayan recibido la aceptación operativa, según los precios unitarios y las monedas especificadas en </w:t>
            </w:r>
            <w:proofErr w:type="gramStart"/>
            <w:r w:rsidRPr="00576AF8">
              <w:t>la listas</w:t>
            </w:r>
            <w:proofErr w:type="gramEnd"/>
            <w:r w:rsidRPr="00576AF8">
              <w:t xml:space="preserve"> de precios del Convenio Contractual.</w:t>
            </w:r>
          </w:p>
          <w:p w14:paraId="00275216" w14:textId="77777777" w:rsidR="00A20832" w:rsidRPr="00576AF8" w:rsidRDefault="00A20832">
            <w:pPr>
              <w:pStyle w:val="Prrafodelista"/>
              <w:keepNext/>
              <w:keepLines/>
              <w:numPr>
                <w:ilvl w:val="0"/>
                <w:numId w:val="44"/>
              </w:numPr>
              <w:spacing w:before="240" w:after="200"/>
              <w:ind w:hanging="720"/>
              <w:outlineLvl w:val="4"/>
            </w:pPr>
            <w:r w:rsidRPr="00576AF8">
              <w:t xml:space="preserve">Anticipo </w:t>
            </w:r>
          </w:p>
          <w:p w14:paraId="7F84D0BB" w14:textId="2FA1678B" w:rsidR="00A20832" w:rsidRDefault="00A20832" w:rsidP="00A35BE3">
            <w:pPr>
              <w:keepNext/>
              <w:keepLines/>
              <w:spacing w:before="240" w:after="200"/>
              <w:ind w:left="738"/>
              <w:outlineLvl w:val="4"/>
            </w:pPr>
            <w:r w:rsidRPr="00576AF8">
              <w:t xml:space="preserve">se </w:t>
            </w:r>
            <w:r w:rsidR="00660850" w:rsidRPr="00576AF8">
              <w:t xml:space="preserve">entregará </w:t>
            </w:r>
            <w:r w:rsidRPr="00576AF8">
              <w:t xml:space="preserve">el </w:t>
            </w:r>
            <w:r w:rsidR="00412A0D" w:rsidRPr="00576AF8">
              <w:t>treinta</w:t>
            </w:r>
            <w:r w:rsidRPr="00576AF8">
              <w:t xml:space="preserve"> por ciento (</w:t>
            </w:r>
            <w:r w:rsidR="00412A0D" w:rsidRPr="00576AF8">
              <w:t>3</w:t>
            </w:r>
            <w:r w:rsidRPr="00576AF8">
              <w:t>0 %) del precio total del Contrato,</w:t>
            </w:r>
            <w:r w:rsidR="007C4228">
              <w:t xml:space="preserve"> excluidos los gastos recurrentes (de existir) y sumas </w:t>
            </w:r>
            <w:r w:rsidR="005432F2">
              <w:t>provisionales</w:t>
            </w:r>
            <w:r w:rsidRPr="00576AF8">
              <w:t xml:space="preserve"> contra recibo de una solicitud que vaya acompañada de la garantía por pago de anticipo especificada en la cláusula 13.2 de las CGC.</w:t>
            </w:r>
          </w:p>
          <w:p w14:paraId="5E0E191C" w14:textId="0EB0BD0D" w:rsidR="008B1325" w:rsidRPr="00576AF8" w:rsidRDefault="008B1325" w:rsidP="00A35BE3">
            <w:pPr>
              <w:keepNext/>
              <w:keepLines/>
              <w:spacing w:before="240" w:after="200"/>
              <w:ind w:left="738"/>
              <w:outlineLvl w:val="4"/>
            </w:pPr>
            <w:r>
              <w:t>En caso de renuncia al anticipo, el literal (a) deberá ser omitido</w:t>
            </w:r>
            <w:r w:rsidR="004A798A">
              <w:t>, y ese porcentaje deberá sumarse a cada categoría, a continuación:</w:t>
            </w:r>
          </w:p>
          <w:p w14:paraId="2548A5B9" w14:textId="09D97757" w:rsidR="00A20832" w:rsidRPr="00576AF8" w:rsidRDefault="00A20832">
            <w:pPr>
              <w:pStyle w:val="Prrafodelista"/>
              <w:keepNext/>
              <w:keepLines/>
              <w:numPr>
                <w:ilvl w:val="0"/>
                <w:numId w:val="44"/>
              </w:numPr>
              <w:spacing w:before="240" w:after="200"/>
              <w:ind w:hanging="729"/>
              <w:outlineLvl w:val="4"/>
            </w:pPr>
            <w:r w:rsidRPr="00576AF8">
              <w:t xml:space="preserve">Tecnologías de la información, materiales y otros bienes, software y los materiales personalizados: </w:t>
            </w:r>
          </w:p>
          <w:p w14:paraId="6F0A81F2" w14:textId="77777777" w:rsidR="00A20832" w:rsidRPr="00576AF8" w:rsidRDefault="00412A0D" w:rsidP="00A35BE3">
            <w:pPr>
              <w:keepNext/>
              <w:keepLines/>
              <w:spacing w:before="240" w:after="200"/>
              <w:ind w:left="738"/>
              <w:outlineLvl w:val="4"/>
            </w:pPr>
            <w:r w:rsidRPr="00576AF8">
              <w:t>cuarenta</w:t>
            </w:r>
            <w:r w:rsidR="00A20832" w:rsidRPr="00576AF8">
              <w:t xml:space="preserve"> por </w:t>
            </w:r>
            <w:r w:rsidR="00A20832" w:rsidRPr="004A798A">
              <w:t>ciento (</w:t>
            </w:r>
            <w:r w:rsidRPr="004A798A">
              <w:t>4</w:t>
            </w:r>
            <w:r w:rsidR="00A20832" w:rsidRPr="004A798A">
              <w:t>0 %) del precio total o del precio prorrateado</w:t>
            </w:r>
            <w:r w:rsidR="00A20832" w:rsidRPr="00576AF8">
              <w:t xml:space="preserve"> del Contrato correspondiente a esta categoría, contra entrega; </w:t>
            </w:r>
          </w:p>
          <w:p w14:paraId="012815A8" w14:textId="36DA699D" w:rsidR="00A20832" w:rsidRPr="00576AF8" w:rsidRDefault="00A20832" w:rsidP="00A35BE3">
            <w:pPr>
              <w:keepNext/>
              <w:keepLines/>
              <w:spacing w:before="240" w:after="200"/>
              <w:ind w:left="738"/>
              <w:outlineLvl w:val="4"/>
            </w:pPr>
            <w:r w:rsidRPr="00576AF8">
              <w:t>diez por ciento (10 %) de dicho precio tras la instalación</w:t>
            </w:r>
            <w:r w:rsidR="007F2AB5">
              <w:t xml:space="preserve"> en sitio</w:t>
            </w:r>
            <w:r w:rsidRPr="00576AF8">
              <w:t xml:space="preserve">; </w:t>
            </w:r>
          </w:p>
          <w:p w14:paraId="79D38181" w14:textId="77777777" w:rsidR="00D0630A" w:rsidRPr="00576AF8" w:rsidRDefault="00A20832" w:rsidP="00307C9E">
            <w:pPr>
              <w:keepNext/>
              <w:keepLines/>
              <w:spacing w:before="240" w:after="200"/>
              <w:ind w:left="738"/>
              <w:outlineLvl w:val="4"/>
            </w:pPr>
            <w:r w:rsidRPr="00576AF8">
              <w:t>diez por ciento (10 %) de dicho precio tras la aceptación operativa.</w:t>
            </w:r>
            <w:r w:rsidRPr="00576AF8">
              <w:tab/>
            </w:r>
          </w:p>
          <w:p w14:paraId="26B80AFF" w14:textId="77777777" w:rsidR="00A20832" w:rsidRPr="00576AF8" w:rsidRDefault="00A20832">
            <w:pPr>
              <w:pStyle w:val="Prrafodelista"/>
              <w:keepNext/>
              <w:keepLines/>
              <w:numPr>
                <w:ilvl w:val="0"/>
                <w:numId w:val="44"/>
              </w:numPr>
              <w:spacing w:before="240" w:after="200"/>
              <w:ind w:hanging="720"/>
              <w:outlineLvl w:val="4"/>
            </w:pPr>
            <w:r w:rsidRPr="00576AF8">
              <w:t xml:space="preserve">Servicios distintos de los de </w:t>
            </w:r>
            <w:r w:rsidR="00412A0D" w:rsidRPr="00576AF8">
              <w:t>transferencia de conocimientos</w:t>
            </w:r>
            <w:r w:rsidRPr="00576AF8">
              <w:t xml:space="preserve">: </w:t>
            </w:r>
          </w:p>
          <w:p w14:paraId="7D8A9194" w14:textId="77777777" w:rsidR="00A20832" w:rsidRPr="00576AF8" w:rsidRDefault="00A20832" w:rsidP="00A35BE3">
            <w:pPr>
              <w:keepNext/>
              <w:keepLines/>
              <w:spacing w:before="240" w:after="200"/>
              <w:ind w:left="738"/>
              <w:outlineLvl w:val="4"/>
            </w:pPr>
            <w:r w:rsidRPr="00576AF8">
              <w:t xml:space="preserve">se pagará a mes vencido el </w:t>
            </w:r>
            <w:r w:rsidR="00412A0D" w:rsidRPr="00576AF8">
              <w:t>sesenta</w:t>
            </w:r>
            <w:r w:rsidRPr="00576AF8">
              <w:t xml:space="preserve"> por ciento (</w:t>
            </w:r>
            <w:r w:rsidR="00412A0D" w:rsidRPr="00576AF8">
              <w:t>6</w:t>
            </w:r>
            <w:r w:rsidRPr="00576AF8">
              <w:t xml:space="preserve">0 %) del precio prorrateado del Contrato correspondiente a los servicios efectivamente suministrados, contra la presentación de las facturas y tras la aprobación del Comprador de dichas facturas: </w:t>
            </w:r>
          </w:p>
          <w:p w14:paraId="47FFDCC4" w14:textId="47F307CC" w:rsidR="00A20832" w:rsidRPr="00576AF8" w:rsidRDefault="007F2AB5">
            <w:pPr>
              <w:pStyle w:val="Prrafodelista"/>
              <w:keepNext/>
              <w:keepLines/>
              <w:numPr>
                <w:ilvl w:val="0"/>
                <w:numId w:val="44"/>
              </w:numPr>
              <w:spacing w:before="240" w:after="200"/>
              <w:ind w:hanging="720"/>
              <w:outlineLvl w:val="4"/>
            </w:pPr>
            <w:r>
              <w:t>Transferencia de conocimientos</w:t>
            </w:r>
            <w:r w:rsidR="00A20832" w:rsidRPr="00576AF8">
              <w:t xml:space="preserve">: </w:t>
            </w:r>
          </w:p>
          <w:p w14:paraId="3DC52ABD" w14:textId="72D3B07B" w:rsidR="00A20832" w:rsidRPr="00501D90" w:rsidRDefault="00A20832" w:rsidP="00A35BE3">
            <w:pPr>
              <w:keepNext/>
              <w:keepLines/>
              <w:spacing w:before="240" w:after="200"/>
              <w:ind w:left="738" w:hanging="18"/>
              <w:outlineLvl w:val="4"/>
            </w:pPr>
            <w:r w:rsidRPr="00576AF8">
              <w:lastRenderedPageBreak/>
              <w:t xml:space="preserve">treinta </w:t>
            </w:r>
            <w:r w:rsidRPr="00501D90">
              <w:t xml:space="preserve">por ciento (30 %) del precio total del Contrato correspondiente a servicios de </w:t>
            </w:r>
            <w:r w:rsidR="008B1325" w:rsidRPr="00501D90">
              <w:t>transferencia de conocimientos</w:t>
            </w:r>
            <w:r w:rsidRPr="00501D90">
              <w:t xml:space="preserve"> al comienzo del programa completo de capacitación; </w:t>
            </w:r>
          </w:p>
          <w:p w14:paraId="50055ED7" w14:textId="7AE61E35" w:rsidR="00A20832" w:rsidRPr="00501D90" w:rsidRDefault="00A20832" w:rsidP="00A35BE3">
            <w:pPr>
              <w:keepNext/>
              <w:keepLines/>
              <w:spacing w:before="240" w:after="200"/>
              <w:ind w:left="738"/>
              <w:outlineLvl w:val="4"/>
            </w:pPr>
            <w:r w:rsidRPr="00501D90">
              <w:t xml:space="preserve">se pagará a mes vencido el </w:t>
            </w:r>
            <w:r w:rsidR="007F2AB5" w:rsidRPr="00501D90">
              <w:t>treinta</w:t>
            </w:r>
            <w:r w:rsidRPr="00501D90">
              <w:t xml:space="preserve"> por ciento (</w:t>
            </w:r>
            <w:r w:rsidR="007F2AB5" w:rsidRPr="00501D90">
              <w:t>3</w:t>
            </w:r>
            <w:r w:rsidRPr="00501D90">
              <w:t>0 %) del precio prorrateado del Contrato correspondiente a los servicios de capacitación efectivamente brindados, contra la presentación y aprobación de las facturas respectivas.</w:t>
            </w:r>
          </w:p>
          <w:p w14:paraId="79143133" w14:textId="77777777" w:rsidR="00A20832" w:rsidRPr="00501D90" w:rsidRDefault="00A20832">
            <w:pPr>
              <w:pStyle w:val="Prrafodelista"/>
              <w:keepNext/>
              <w:keepLines/>
              <w:numPr>
                <w:ilvl w:val="0"/>
                <w:numId w:val="44"/>
              </w:numPr>
              <w:spacing w:before="240" w:after="200"/>
              <w:ind w:hanging="720"/>
              <w:outlineLvl w:val="4"/>
            </w:pPr>
            <w:r w:rsidRPr="00501D90">
              <w:t xml:space="preserve">Integración completa del Sistema: </w:t>
            </w:r>
          </w:p>
          <w:p w14:paraId="6F0CA20E" w14:textId="27D30259" w:rsidR="00A20832" w:rsidRPr="00576AF8" w:rsidRDefault="00A20832" w:rsidP="0069781B">
            <w:pPr>
              <w:keepNext/>
              <w:keepLines/>
              <w:spacing w:before="240" w:after="200"/>
              <w:ind w:left="734"/>
              <w:outlineLvl w:val="4"/>
            </w:pPr>
            <w:r w:rsidRPr="00501D90">
              <w:t>diez por ciento (10 %) del precio total del Contrato,</w:t>
            </w:r>
            <w:r w:rsidRPr="00576AF8">
              <w:t xml:space="preserve"> excluidos todos los gastos </w:t>
            </w:r>
            <w:r w:rsidR="00AF5510" w:rsidRPr="00576AF8">
              <w:t>recurrentes</w:t>
            </w:r>
            <w:r w:rsidRPr="00576AF8">
              <w:t xml:space="preserve">, como pago final una vez recibida la aceptación operativa del Sistema como un todo integrado. </w:t>
            </w:r>
          </w:p>
        </w:tc>
      </w:tr>
      <w:tr w:rsidR="00A20832" w:rsidRPr="00576AF8" w14:paraId="536F59D0" w14:textId="77777777" w:rsidTr="000A32CA">
        <w:trPr>
          <w:cantSplit/>
        </w:trPr>
        <w:tc>
          <w:tcPr>
            <w:tcW w:w="1872" w:type="dxa"/>
          </w:tcPr>
          <w:p w14:paraId="0FAF90FB" w14:textId="77777777" w:rsidR="00A20832" w:rsidRPr="00576AF8" w:rsidRDefault="00A20832" w:rsidP="00A35BE3">
            <w:pPr>
              <w:keepNext/>
              <w:keepLines/>
              <w:spacing w:before="240" w:after="0"/>
              <w:ind w:right="-72" w:firstLine="18"/>
              <w:outlineLvl w:val="4"/>
            </w:pPr>
            <w:r w:rsidRPr="00576AF8">
              <w:lastRenderedPageBreak/>
              <w:t>CGC 12.3</w:t>
            </w:r>
          </w:p>
        </w:tc>
        <w:tc>
          <w:tcPr>
            <w:tcW w:w="7476" w:type="dxa"/>
          </w:tcPr>
          <w:p w14:paraId="5D59A72D" w14:textId="2F1C086E" w:rsidR="00A20832" w:rsidRPr="00576AF8" w:rsidRDefault="007C3873" w:rsidP="00A35BE3">
            <w:pPr>
              <w:keepNext/>
              <w:keepLines/>
              <w:spacing w:before="240" w:after="240"/>
              <w:outlineLvl w:val="4"/>
            </w:pPr>
            <w:r w:rsidRPr="00576AF8">
              <w:t xml:space="preserve">El Comprador pagará al Proveedor intereses sobre el monto de los pagos atrasados conforme la Tasa Activa del Banco Central del Ecuador </w:t>
            </w:r>
            <w:proofErr w:type="gramStart"/>
            <w:r w:rsidRPr="00576AF8">
              <w:t xml:space="preserve">anual, </w:t>
            </w:r>
            <w:r w:rsidR="00AD3C00">
              <w:t xml:space="preserve"> </w:t>
            </w:r>
            <w:r w:rsidRPr="00576AF8">
              <w:t>.</w:t>
            </w:r>
            <w:proofErr w:type="gramEnd"/>
            <w:r w:rsidRPr="00576AF8">
              <w:t xml:space="preserve"> https://contenido.bce.fin.ec/documentos/Estadisticas/SectorMonFin/TasasInteres/Indice.htm</w:t>
            </w:r>
          </w:p>
        </w:tc>
      </w:tr>
      <w:tr w:rsidR="00A20832" w:rsidRPr="00576AF8" w14:paraId="51F36A31" w14:textId="77777777" w:rsidTr="000A32CA">
        <w:tc>
          <w:tcPr>
            <w:tcW w:w="1872" w:type="dxa"/>
          </w:tcPr>
          <w:p w14:paraId="71D5730D" w14:textId="77777777" w:rsidR="00A20832" w:rsidRPr="00576AF8" w:rsidRDefault="00A20832" w:rsidP="00A35BE3">
            <w:pPr>
              <w:keepNext/>
              <w:keepLines/>
              <w:spacing w:before="240" w:after="0"/>
              <w:ind w:right="-72" w:firstLine="14"/>
              <w:outlineLvl w:val="4"/>
            </w:pPr>
            <w:r w:rsidRPr="00576AF8">
              <w:t>CGC 12.4</w:t>
            </w:r>
          </w:p>
        </w:tc>
        <w:tc>
          <w:tcPr>
            <w:tcW w:w="7476" w:type="dxa"/>
          </w:tcPr>
          <w:p w14:paraId="24ABA88B" w14:textId="77777777" w:rsidR="00A20832" w:rsidRPr="00576AF8" w:rsidRDefault="00A20832" w:rsidP="004313F3">
            <w:pPr>
              <w:keepNext/>
              <w:keepLines/>
              <w:spacing w:before="240"/>
              <w:outlineLvl w:val="4"/>
            </w:pPr>
            <w:r w:rsidRPr="00576AF8">
              <w:t xml:space="preserve">El Proveedor emitirá las facturas para el Comprador en la moneda utilizada en el Convenio Contractual y en las listas de precios a las que este se refiere, en el caso de los bienes y servicios provistos localmente y, a los fines del pago, la conversión entre dicha moneda y </w:t>
            </w:r>
            <w:r w:rsidR="007C3873" w:rsidRPr="00576AF8">
              <w:t>el dólar de los Estados Unidos de América</w:t>
            </w:r>
            <w:r w:rsidRPr="00576AF8">
              <w:t xml:space="preserve"> (si fueran dos monedas distintas) se hará utilizando el tipo de cambio </w:t>
            </w:r>
            <w:r w:rsidR="007C3873" w:rsidRPr="00576AF8">
              <w:t>publicada en la página del Banco Central del Ecuador</w:t>
            </w:r>
            <w:r w:rsidRPr="00576AF8">
              <w:rPr>
                <w:i/>
              </w:rPr>
              <w:t xml:space="preserve"> </w:t>
            </w:r>
            <w:r w:rsidRPr="00576AF8">
              <w:t>vigente al día del pago efectivo</w:t>
            </w:r>
            <w:r w:rsidRPr="00576AF8">
              <w:rPr>
                <w:i/>
              </w:rPr>
              <w:t xml:space="preserve">. </w:t>
            </w:r>
          </w:p>
          <w:p w14:paraId="686DA8D9" w14:textId="77777777" w:rsidR="00A20832" w:rsidRPr="00576AF8" w:rsidRDefault="00A20832" w:rsidP="004313F3">
            <w:pPr>
              <w:pStyle w:val="explanatoryclause"/>
              <w:ind w:left="0" w:firstLine="0"/>
              <w:rPr>
                <w:rFonts w:ascii="Times New Roman" w:hAnsi="Times New Roman"/>
                <w:sz w:val="24"/>
              </w:rPr>
            </w:pPr>
          </w:p>
        </w:tc>
      </w:tr>
    </w:tbl>
    <w:p w14:paraId="023DC015" w14:textId="11F2826D" w:rsidR="00A20832" w:rsidRPr="00576AF8" w:rsidRDefault="00324210">
      <w:pPr>
        <w:pStyle w:val="Head72"/>
        <w:numPr>
          <w:ilvl w:val="0"/>
          <w:numId w:val="34"/>
        </w:numPr>
      </w:pPr>
      <w:bookmarkStart w:id="1648" w:name="_Toc521497301"/>
      <w:bookmarkStart w:id="1649" w:name="_Toc252363615"/>
      <w:bookmarkStart w:id="1650" w:name="_Toc488961690"/>
      <w:r>
        <w:t>Garantías</w:t>
      </w:r>
      <w:r w:rsidR="00A20832" w:rsidRPr="00576AF8">
        <w:t xml:space="preserve"> (</w:t>
      </w:r>
      <w:proofErr w:type="gramStart"/>
      <w:r w:rsidR="00A20832" w:rsidRPr="00576AF8">
        <w:t>cláusula </w:t>
      </w:r>
      <w:r w:rsidR="003359F2" w:rsidRPr="00576AF8">
        <w:t xml:space="preserve"> </w:t>
      </w:r>
      <w:r w:rsidR="00A20832" w:rsidRPr="00576AF8">
        <w:t>de</w:t>
      </w:r>
      <w:proofErr w:type="gramEnd"/>
      <w:r w:rsidR="00A20832" w:rsidRPr="00576AF8">
        <w:t xml:space="preserve"> las CGC)</w:t>
      </w:r>
      <w:bookmarkEnd w:id="1648"/>
      <w:bookmarkEnd w:id="1649"/>
      <w:bookmarkEnd w:id="165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2DEEBB84" w14:textId="77777777" w:rsidTr="00E93C69">
        <w:tc>
          <w:tcPr>
            <w:tcW w:w="1872" w:type="dxa"/>
          </w:tcPr>
          <w:p w14:paraId="4AABA478" w14:textId="77777777" w:rsidR="00324210" w:rsidRDefault="00324210" w:rsidP="00A35BE3">
            <w:pPr>
              <w:keepNext/>
              <w:keepLines/>
              <w:spacing w:before="240" w:after="0"/>
              <w:ind w:right="-72" w:firstLine="14"/>
              <w:outlineLvl w:val="4"/>
            </w:pPr>
            <w:r w:rsidRPr="00576AF8">
              <w:lastRenderedPageBreak/>
              <w:t>CGC 13.2.2</w:t>
            </w:r>
          </w:p>
          <w:p w14:paraId="554E5D48" w14:textId="343B3FE3" w:rsidR="00A20832" w:rsidRPr="00576AF8" w:rsidRDefault="00A20832" w:rsidP="00A35BE3">
            <w:pPr>
              <w:keepNext/>
              <w:keepLines/>
              <w:spacing w:before="240" w:after="0"/>
              <w:ind w:right="-72" w:firstLine="14"/>
              <w:outlineLvl w:val="4"/>
            </w:pPr>
          </w:p>
        </w:tc>
        <w:tc>
          <w:tcPr>
            <w:tcW w:w="7476" w:type="dxa"/>
          </w:tcPr>
          <w:p w14:paraId="72FF09B3" w14:textId="77777777" w:rsidR="00324210" w:rsidRPr="00576AF8" w:rsidRDefault="00324210" w:rsidP="00324210">
            <w:pPr>
              <w:keepNext/>
              <w:keepLines/>
              <w:spacing w:before="240" w:after="160"/>
              <w:ind w:left="18" w:hanging="4"/>
              <w:outlineLvl w:val="4"/>
            </w:pPr>
            <w:r w:rsidRPr="00576AF8">
              <w:t xml:space="preserve">La reducción del valor de la garantía por pago de anticipo y su vencimiento se calculan de la siguiente manera: </w:t>
            </w:r>
          </w:p>
          <w:p w14:paraId="3D240BA4" w14:textId="77777777" w:rsidR="00324210" w:rsidRPr="00576AF8" w:rsidRDefault="00324210" w:rsidP="00324210">
            <w:pPr>
              <w:keepNext/>
              <w:keepLines/>
              <w:spacing w:before="240" w:after="160"/>
              <w:ind w:left="18" w:hanging="4"/>
              <w:outlineLvl w:val="4"/>
              <w:rPr>
                <w:bCs/>
                <w:iCs/>
              </w:rPr>
            </w:pPr>
            <w:r w:rsidRPr="00576AF8">
              <w:rPr>
                <w:bCs/>
                <w:iCs/>
              </w:rPr>
              <w:t>P*a/(100-a), donde “P” es la suma de todos los pagos efectuados hasta el momento al Proveedor (con exclusión del pago adelantado) y “a” es el pago adelantado expresado como porcentaje del precio del Contrato de conformidad con lo dispuesto en las CEC para la cláusula 12.1 de las CGC.</w:t>
            </w:r>
          </w:p>
          <w:p w14:paraId="3A5D7217" w14:textId="2ADF76E9" w:rsidR="00A20832" w:rsidRPr="00576AF8" w:rsidRDefault="00324210" w:rsidP="00324210">
            <w:pPr>
              <w:keepNext/>
              <w:keepLines/>
              <w:spacing w:before="240"/>
              <w:outlineLvl w:val="4"/>
            </w:pPr>
            <w:r w:rsidRPr="00576AF8">
              <w:rPr>
                <w:bCs/>
                <w:iCs/>
              </w:rPr>
              <w:t>En caso de que se haya renunciado al anticipo, no se deberá entregar la garantía correspondiente.</w:t>
            </w:r>
          </w:p>
        </w:tc>
      </w:tr>
      <w:tr w:rsidR="007D648D" w:rsidRPr="00576AF8" w14:paraId="4D7FE7A7" w14:textId="77777777" w:rsidTr="00E93C69">
        <w:tc>
          <w:tcPr>
            <w:tcW w:w="1872" w:type="dxa"/>
          </w:tcPr>
          <w:p w14:paraId="3A9C84A8" w14:textId="600EAF52" w:rsidR="007D648D" w:rsidRPr="00576AF8" w:rsidRDefault="00324210" w:rsidP="007D648D">
            <w:pPr>
              <w:keepNext/>
              <w:keepLines/>
              <w:spacing w:before="240" w:after="0"/>
              <w:ind w:right="-72" w:firstLine="14"/>
              <w:outlineLvl w:val="4"/>
            </w:pPr>
            <w:r w:rsidRPr="00576AF8">
              <w:t>CGC 13.3.1</w:t>
            </w:r>
          </w:p>
        </w:tc>
        <w:tc>
          <w:tcPr>
            <w:tcW w:w="7476" w:type="dxa"/>
          </w:tcPr>
          <w:p w14:paraId="1160E6B8" w14:textId="5BAC106D" w:rsidR="008205F8" w:rsidRPr="00324210" w:rsidRDefault="00324210" w:rsidP="00324210">
            <w:pPr>
              <w:keepNext/>
              <w:keepLines/>
              <w:spacing w:before="240" w:after="160"/>
              <w:ind w:left="18" w:hanging="4"/>
              <w:outlineLvl w:val="4"/>
            </w:pPr>
            <w:r w:rsidRPr="00576AF8">
              <w:t xml:space="preserve">La Garantía de Cumplimiento estará denominada en Dólares de los Estados Unidos de América y ascenderá a un monto equivalente al </w:t>
            </w:r>
            <w:r>
              <w:t>10</w:t>
            </w:r>
            <w:r w:rsidRPr="00576AF8">
              <w:t>% del precio del Contrato</w:t>
            </w:r>
            <w:r>
              <w:t>.</w:t>
            </w:r>
          </w:p>
        </w:tc>
      </w:tr>
      <w:tr w:rsidR="007D648D" w:rsidRPr="00576AF8" w14:paraId="620B4584" w14:textId="77777777" w:rsidTr="00E93C69">
        <w:tc>
          <w:tcPr>
            <w:tcW w:w="1872" w:type="dxa"/>
          </w:tcPr>
          <w:p w14:paraId="3EE6BE18" w14:textId="77777777" w:rsidR="007D648D" w:rsidRPr="00576AF8" w:rsidRDefault="007D648D" w:rsidP="007D648D">
            <w:pPr>
              <w:keepNext/>
              <w:keepLines/>
              <w:spacing w:before="240" w:after="0"/>
              <w:ind w:right="-72" w:firstLine="14"/>
              <w:outlineLvl w:val="4"/>
            </w:pPr>
            <w:r w:rsidRPr="00576AF8">
              <w:t>CGC 13.3.4</w:t>
            </w:r>
          </w:p>
        </w:tc>
        <w:tc>
          <w:tcPr>
            <w:tcW w:w="7476" w:type="dxa"/>
          </w:tcPr>
          <w:p w14:paraId="3517830C" w14:textId="77777777" w:rsidR="007D648D" w:rsidRPr="00576AF8" w:rsidRDefault="009F7216" w:rsidP="009F7216">
            <w:pPr>
              <w:ind w:left="1" w:firstLine="9"/>
              <w:rPr>
                <w:i/>
                <w:spacing w:val="-2"/>
              </w:rPr>
            </w:pPr>
            <w:r w:rsidRPr="00576AF8">
              <w:t>Durante el período de garantía (es decir, tras la aceptación operativa del Sistema), la Garantía de Cumplimiento se reducirá al 1% por ciento del precio del Contrato, excluidos los gastos recurrentes.</w:t>
            </w:r>
          </w:p>
        </w:tc>
      </w:tr>
    </w:tbl>
    <w:p w14:paraId="6576B0D8" w14:textId="77777777" w:rsidR="00A20832" w:rsidRPr="00576AF8" w:rsidRDefault="00A20832" w:rsidP="00A20832">
      <w:pPr>
        <w:pStyle w:val="Head71"/>
        <w:rPr>
          <w:rFonts w:ascii="Times New Roman" w:hAnsi="Times New Roman"/>
        </w:rPr>
      </w:pPr>
      <w:bookmarkStart w:id="1651" w:name="_Toc521497303"/>
      <w:bookmarkStart w:id="1652" w:name="_Toc252363617"/>
      <w:bookmarkStart w:id="1653" w:name="_Toc488961691"/>
      <w:r w:rsidRPr="00576AF8">
        <w:rPr>
          <w:rFonts w:ascii="Times New Roman" w:hAnsi="Times New Roman"/>
        </w:rPr>
        <w:t>D.</w:t>
      </w:r>
      <w:r w:rsidR="00E93C69" w:rsidRPr="00576AF8">
        <w:rPr>
          <w:rFonts w:ascii="Times New Roman" w:hAnsi="Times New Roman"/>
        </w:rPr>
        <w:t xml:space="preserve">  </w:t>
      </w:r>
      <w:r w:rsidRPr="00576AF8">
        <w:rPr>
          <w:rFonts w:ascii="Times New Roman" w:hAnsi="Times New Roman"/>
        </w:rPr>
        <w:t xml:space="preserve">Propiedad </w:t>
      </w:r>
      <w:r w:rsidR="003B3435" w:rsidRPr="00576AF8">
        <w:rPr>
          <w:rFonts w:ascii="Times New Roman" w:hAnsi="Times New Roman"/>
        </w:rPr>
        <w:t>i</w:t>
      </w:r>
      <w:r w:rsidRPr="00576AF8">
        <w:rPr>
          <w:rFonts w:ascii="Times New Roman" w:hAnsi="Times New Roman"/>
        </w:rPr>
        <w:t>ntelectual</w:t>
      </w:r>
      <w:bookmarkEnd w:id="1651"/>
      <w:bookmarkEnd w:id="1652"/>
      <w:bookmarkEnd w:id="1653"/>
    </w:p>
    <w:p w14:paraId="156B2AC9" w14:textId="77777777" w:rsidR="00A20832" w:rsidRPr="00576AF8" w:rsidRDefault="00A20832">
      <w:pPr>
        <w:pStyle w:val="Head72"/>
        <w:numPr>
          <w:ilvl w:val="0"/>
          <w:numId w:val="34"/>
        </w:numPr>
      </w:pPr>
      <w:bookmarkStart w:id="1654" w:name="_Toc521497304"/>
      <w:bookmarkStart w:id="1655" w:name="_Toc252363618"/>
      <w:bookmarkStart w:id="1656" w:name="_Toc488961692"/>
      <w:r w:rsidRPr="00576AF8">
        <w:t>Derechos de autor (cláusula 15 de las CGC)</w:t>
      </w:r>
      <w:bookmarkEnd w:id="1654"/>
      <w:bookmarkEnd w:id="1655"/>
      <w:bookmarkEnd w:id="165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52B613D5" w14:textId="77777777" w:rsidTr="00E93C69">
        <w:tc>
          <w:tcPr>
            <w:tcW w:w="1872" w:type="dxa"/>
          </w:tcPr>
          <w:p w14:paraId="4B550C1A" w14:textId="77777777" w:rsidR="00A20832" w:rsidRPr="00576AF8" w:rsidRDefault="00A20832" w:rsidP="00A35BE3">
            <w:pPr>
              <w:keepNext/>
              <w:keepLines/>
              <w:spacing w:before="240" w:after="0"/>
              <w:ind w:right="-72" w:firstLine="14"/>
              <w:outlineLvl w:val="4"/>
            </w:pPr>
            <w:r w:rsidRPr="00576AF8">
              <w:t>CGC 15.3</w:t>
            </w:r>
          </w:p>
        </w:tc>
        <w:tc>
          <w:tcPr>
            <w:tcW w:w="7476" w:type="dxa"/>
          </w:tcPr>
          <w:p w14:paraId="18BE2C4C" w14:textId="77777777" w:rsidR="00A20832" w:rsidRPr="00324210" w:rsidRDefault="00A20832" w:rsidP="00324210">
            <w:pPr>
              <w:spacing w:after="160"/>
              <w:ind w:left="558" w:right="-72" w:hanging="547"/>
              <w:rPr>
                <w:b/>
                <w:i/>
                <w:iCs/>
              </w:rPr>
            </w:pPr>
            <w:r w:rsidRPr="00324210">
              <w:rPr>
                <w:rStyle w:val="preparersnote"/>
                <w:b w:val="0"/>
                <w:i w:val="0"/>
              </w:rPr>
              <w:t xml:space="preserve">No hay Condiciones Especiales del Contrato aplicables a la cláusula 15.3 de las CGC. </w:t>
            </w:r>
          </w:p>
        </w:tc>
      </w:tr>
      <w:tr w:rsidR="00A20832" w:rsidRPr="00576AF8" w14:paraId="16C1ED0F" w14:textId="77777777" w:rsidTr="00E93C69">
        <w:tc>
          <w:tcPr>
            <w:tcW w:w="1872" w:type="dxa"/>
          </w:tcPr>
          <w:p w14:paraId="2E23C35F" w14:textId="77777777" w:rsidR="00A20832" w:rsidRPr="00576AF8" w:rsidRDefault="00A20832" w:rsidP="00E93C69">
            <w:pPr>
              <w:keepNext/>
              <w:keepLines/>
              <w:pageBreakBefore/>
              <w:spacing w:before="240" w:after="0"/>
              <w:ind w:right="-72" w:firstLine="14"/>
              <w:outlineLvl w:val="4"/>
            </w:pPr>
            <w:r w:rsidRPr="00576AF8">
              <w:t>CGC 15.4</w:t>
            </w:r>
          </w:p>
        </w:tc>
        <w:tc>
          <w:tcPr>
            <w:tcW w:w="7476" w:type="dxa"/>
          </w:tcPr>
          <w:p w14:paraId="2D0AEA0E" w14:textId="77777777" w:rsidR="00A20832" w:rsidRPr="00324210" w:rsidRDefault="00A20832" w:rsidP="002847E6">
            <w:pPr>
              <w:pStyle w:val="explanatoryclause"/>
              <w:pageBreakBefore/>
              <w:spacing w:after="160"/>
              <w:ind w:left="0" w:firstLine="0"/>
              <w:rPr>
                <w:rFonts w:ascii="Times New Roman" w:hAnsi="Times New Roman"/>
                <w:b/>
                <w:i/>
                <w:sz w:val="24"/>
                <w:szCs w:val="24"/>
              </w:rPr>
            </w:pPr>
            <w:r w:rsidRPr="00324210">
              <w:rPr>
                <w:rStyle w:val="preparersnote"/>
                <w:rFonts w:ascii="Times New Roman" w:hAnsi="Times New Roman"/>
                <w:b w:val="0"/>
                <w:i w:val="0"/>
                <w:sz w:val="24"/>
                <w:szCs w:val="24"/>
              </w:rPr>
              <w:t>No hay Condiciones Especiales del Contrato aplicables a la cláusula 15.4 de las CGC.</w:t>
            </w:r>
            <w:r w:rsidRPr="00324210">
              <w:rPr>
                <w:rFonts w:ascii="Times New Roman" w:hAnsi="Times New Roman"/>
                <w:b/>
                <w:i/>
                <w:sz w:val="24"/>
                <w:szCs w:val="24"/>
              </w:rPr>
              <w:t xml:space="preserve"> </w:t>
            </w:r>
          </w:p>
        </w:tc>
      </w:tr>
      <w:tr w:rsidR="00A20832" w:rsidRPr="00576AF8" w14:paraId="705A46F0" w14:textId="77777777" w:rsidTr="00E93C69">
        <w:tc>
          <w:tcPr>
            <w:tcW w:w="1872" w:type="dxa"/>
          </w:tcPr>
          <w:p w14:paraId="28B0275A" w14:textId="77777777" w:rsidR="00A20832" w:rsidRPr="00576AF8" w:rsidRDefault="00A20832" w:rsidP="00A35BE3">
            <w:pPr>
              <w:keepNext/>
              <w:keepLines/>
              <w:spacing w:before="240" w:after="0"/>
              <w:ind w:right="-72" w:firstLine="14"/>
              <w:outlineLvl w:val="4"/>
            </w:pPr>
            <w:r w:rsidRPr="00576AF8">
              <w:t>CGC 15.5</w:t>
            </w:r>
          </w:p>
        </w:tc>
        <w:tc>
          <w:tcPr>
            <w:tcW w:w="7476" w:type="dxa"/>
          </w:tcPr>
          <w:p w14:paraId="08E26571" w14:textId="77777777" w:rsidR="00A20832" w:rsidRPr="00324210" w:rsidRDefault="00A20832" w:rsidP="002847E6">
            <w:pPr>
              <w:spacing w:after="160"/>
              <w:ind w:right="-72"/>
              <w:rPr>
                <w:b/>
                <w:i/>
                <w:iCs/>
              </w:rPr>
            </w:pPr>
            <w:r w:rsidRPr="00324210">
              <w:rPr>
                <w:rStyle w:val="preparersnote"/>
                <w:b w:val="0"/>
                <w:i w:val="0"/>
              </w:rPr>
              <w:t>No hay Condiciones Especiales del Contrato aplicables a la cláusula 15.5 de las CGC.</w:t>
            </w:r>
          </w:p>
        </w:tc>
      </w:tr>
    </w:tbl>
    <w:p w14:paraId="52604971" w14:textId="77777777" w:rsidR="00A20832" w:rsidRPr="00576AF8" w:rsidRDefault="00384B9B">
      <w:pPr>
        <w:pStyle w:val="Head72"/>
        <w:numPr>
          <w:ilvl w:val="0"/>
          <w:numId w:val="34"/>
        </w:numPr>
      </w:pPr>
      <w:bookmarkStart w:id="1657" w:name="_Toc521497305"/>
      <w:bookmarkStart w:id="1658" w:name="_Toc252363619"/>
      <w:bookmarkStart w:id="1659" w:name="_Toc488961693"/>
      <w:r w:rsidRPr="00576AF8">
        <w:t xml:space="preserve">Acuerdos </w:t>
      </w:r>
      <w:r w:rsidR="00A20832" w:rsidRPr="00576AF8">
        <w:t>de licencia de software (cláusula 16 de las CGC)</w:t>
      </w:r>
      <w:bookmarkEnd w:id="1657"/>
      <w:bookmarkEnd w:id="1658"/>
      <w:bookmarkEnd w:id="165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52"/>
        <w:gridCol w:w="7396"/>
      </w:tblGrid>
      <w:tr w:rsidR="00A20832" w:rsidRPr="00576AF8" w14:paraId="110D4EB5" w14:textId="77777777" w:rsidTr="00EB5EF0">
        <w:tc>
          <w:tcPr>
            <w:tcW w:w="1952" w:type="dxa"/>
          </w:tcPr>
          <w:p w14:paraId="52EE4F63" w14:textId="77777777" w:rsidR="00A20832" w:rsidRPr="00576AF8" w:rsidRDefault="00A20832" w:rsidP="00A35BE3">
            <w:pPr>
              <w:keepNext/>
              <w:keepLines/>
              <w:spacing w:before="240" w:after="0"/>
              <w:ind w:right="-72" w:firstLine="14"/>
              <w:outlineLvl w:val="4"/>
            </w:pPr>
            <w:r w:rsidRPr="00576AF8">
              <w:lastRenderedPageBreak/>
              <w:t>CGC 16.1 </w:t>
            </w:r>
            <w:r w:rsidR="00E93C69" w:rsidRPr="00576AF8">
              <w:t>(</w:t>
            </w:r>
            <w:r w:rsidRPr="00576AF8">
              <w:t>a) </w:t>
            </w:r>
            <w:r w:rsidR="00E93C69" w:rsidRPr="00576AF8">
              <w:t>(</w:t>
            </w:r>
            <w:r w:rsidRPr="00576AF8">
              <w:t>iv)</w:t>
            </w:r>
          </w:p>
        </w:tc>
        <w:tc>
          <w:tcPr>
            <w:tcW w:w="7396" w:type="dxa"/>
          </w:tcPr>
          <w:p w14:paraId="1B6872EA" w14:textId="77777777" w:rsidR="00A20832" w:rsidRPr="00324210" w:rsidRDefault="00A20832" w:rsidP="002847E6">
            <w:pPr>
              <w:spacing w:after="160"/>
              <w:ind w:left="39" w:hanging="35"/>
              <w:rPr>
                <w:b/>
                <w:i/>
              </w:rPr>
            </w:pPr>
            <w:r w:rsidRPr="00324210">
              <w:rPr>
                <w:rStyle w:val="preparersnote"/>
                <w:b w:val="0"/>
                <w:i w:val="0"/>
              </w:rPr>
              <w:t>No hay Condiciones Especiales del Contrato aplicables a la cláusula</w:t>
            </w:r>
            <w:r w:rsidR="00E93C69" w:rsidRPr="00324210">
              <w:rPr>
                <w:rStyle w:val="preparersnote"/>
                <w:b w:val="0"/>
                <w:i w:val="0"/>
              </w:rPr>
              <w:t xml:space="preserve"> </w:t>
            </w:r>
            <w:r w:rsidRPr="00324210">
              <w:rPr>
                <w:rStyle w:val="preparersnote"/>
                <w:b w:val="0"/>
                <w:i w:val="0"/>
              </w:rPr>
              <w:t xml:space="preserve">16.1 </w:t>
            </w:r>
            <w:r w:rsidR="00E93C69" w:rsidRPr="00324210">
              <w:rPr>
                <w:rStyle w:val="preparersnote"/>
                <w:b w:val="0"/>
                <w:i w:val="0"/>
              </w:rPr>
              <w:t>(</w:t>
            </w:r>
            <w:r w:rsidRPr="00324210">
              <w:rPr>
                <w:rStyle w:val="preparersnote"/>
                <w:b w:val="0"/>
                <w:i w:val="0"/>
              </w:rPr>
              <w:t>a) </w:t>
            </w:r>
            <w:r w:rsidR="00E93C69" w:rsidRPr="00324210">
              <w:rPr>
                <w:rStyle w:val="preparersnote"/>
                <w:b w:val="0"/>
                <w:i w:val="0"/>
              </w:rPr>
              <w:t>(</w:t>
            </w:r>
            <w:r w:rsidRPr="00324210">
              <w:rPr>
                <w:rStyle w:val="preparersnote"/>
                <w:b w:val="0"/>
                <w:i w:val="0"/>
              </w:rPr>
              <w:t>iv) de las CGC.</w:t>
            </w:r>
          </w:p>
        </w:tc>
      </w:tr>
      <w:tr w:rsidR="00A20832" w:rsidRPr="00576AF8" w14:paraId="2222BB37" w14:textId="77777777" w:rsidTr="00EB5EF0">
        <w:trPr>
          <w:cantSplit/>
        </w:trPr>
        <w:tc>
          <w:tcPr>
            <w:tcW w:w="1952" w:type="dxa"/>
          </w:tcPr>
          <w:p w14:paraId="4691251C" w14:textId="77777777" w:rsidR="00A20832" w:rsidRPr="00576AF8" w:rsidRDefault="00A20832" w:rsidP="00EB5EF0">
            <w:pPr>
              <w:keepNext/>
              <w:keepLines/>
              <w:spacing w:before="240" w:after="0"/>
              <w:ind w:right="-215" w:firstLine="14"/>
              <w:jc w:val="left"/>
              <w:outlineLvl w:val="4"/>
            </w:pPr>
            <w:r w:rsidRPr="00576AF8">
              <w:t xml:space="preserve">CGC 16.1 </w:t>
            </w:r>
            <w:r w:rsidR="00EB5EF0" w:rsidRPr="00576AF8">
              <w:t>(</w:t>
            </w:r>
            <w:r w:rsidRPr="00576AF8">
              <w:t xml:space="preserve">b) </w:t>
            </w:r>
            <w:r w:rsidR="00EB5EF0" w:rsidRPr="00576AF8">
              <w:t>(</w:t>
            </w:r>
            <w:r w:rsidRPr="00576AF8">
              <w:t>vi)</w:t>
            </w:r>
          </w:p>
        </w:tc>
        <w:tc>
          <w:tcPr>
            <w:tcW w:w="7396" w:type="dxa"/>
          </w:tcPr>
          <w:p w14:paraId="49497538" w14:textId="034FA35C" w:rsidR="00A20832" w:rsidRPr="00324210" w:rsidRDefault="00A20832" w:rsidP="00324210">
            <w:pPr>
              <w:spacing w:after="160"/>
              <w:ind w:right="-72"/>
              <w:rPr>
                <w:b/>
                <w:i/>
                <w:iCs/>
              </w:rPr>
            </w:pPr>
            <w:r w:rsidRPr="00324210">
              <w:rPr>
                <w:rStyle w:val="preparersnote"/>
                <w:b w:val="0"/>
                <w:i w:val="0"/>
              </w:rPr>
              <w:t>No hay Condiciones Especiales del Contrato aplicables a la</w:t>
            </w:r>
            <w:r w:rsidR="00324210">
              <w:rPr>
                <w:rStyle w:val="preparersnote"/>
                <w:b w:val="0"/>
                <w:i w:val="0"/>
              </w:rPr>
              <w:t xml:space="preserve"> </w:t>
            </w:r>
            <w:r w:rsidRPr="00324210">
              <w:rPr>
                <w:rStyle w:val="preparersnote"/>
                <w:b w:val="0"/>
                <w:i w:val="0"/>
              </w:rPr>
              <w:t>cláusula 16.1 </w:t>
            </w:r>
            <w:r w:rsidR="00EB5EF0" w:rsidRPr="00324210">
              <w:rPr>
                <w:rStyle w:val="preparersnote"/>
                <w:b w:val="0"/>
                <w:i w:val="0"/>
              </w:rPr>
              <w:t>(</w:t>
            </w:r>
            <w:r w:rsidRPr="00324210">
              <w:rPr>
                <w:rStyle w:val="preparersnote"/>
                <w:b w:val="0"/>
                <w:i w:val="0"/>
              </w:rPr>
              <w:t>b) </w:t>
            </w:r>
            <w:r w:rsidR="00EB5EF0" w:rsidRPr="00324210">
              <w:rPr>
                <w:rStyle w:val="preparersnote"/>
                <w:b w:val="0"/>
                <w:i w:val="0"/>
              </w:rPr>
              <w:t>(</w:t>
            </w:r>
            <w:r w:rsidRPr="00324210">
              <w:rPr>
                <w:rStyle w:val="preparersnote"/>
                <w:b w:val="0"/>
                <w:i w:val="0"/>
              </w:rPr>
              <w:t>vi) de las CGC.</w:t>
            </w:r>
            <w:r w:rsidR="00F772EC" w:rsidRPr="00324210">
              <w:rPr>
                <w:b/>
                <w:i/>
                <w:sz w:val="22"/>
                <w:szCs w:val="22"/>
              </w:rPr>
              <w:t xml:space="preserve"> </w:t>
            </w:r>
          </w:p>
        </w:tc>
      </w:tr>
      <w:tr w:rsidR="00A20832" w:rsidRPr="00576AF8" w14:paraId="3F2814C6" w14:textId="77777777" w:rsidTr="00EB5EF0">
        <w:tc>
          <w:tcPr>
            <w:tcW w:w="1952" w:type="dxa"/>
          </w:tcPr>
          <w:p w14:paraId="2974E69A" w14:textId="77777777" w:rsidR="00A20832" w:rsidRPr="00576AF8" w:rsidRDefault="00A20832" w:rsidP="00A35BE3">
            <w:pPr>
              <w:keepNext/>
              <w:keepLines/>
              <w:spacing w:before="240" w:after="0"/>
              <w:ind w:right="-72" w:firstLine="14"/>
              <w:jc w:val="left"/>
              <w:outlineLvl w:val="4"/>
            </w:pPr>
            <w:r w:rsidRPr="00576AF8">
              <w:t xml:space="preserve">CGC 16.1 </w:t>
            </w:r>
            <w:r w:rsidR="00EB5EF0" w:rsidRPr="00576AF8">
              <w:t>(</w:t>
            </w:r>
            <w:r w:rsidRPr="00576AF8">
              <w:t xml:space="preserve">b) </w:t>
            </w:r>
            <w:r w:rsidR="00EB5EF0" w:rsidRPr="00576AF8">
              <w:t>(</w:t>
            </w:r>
            <w:r w:rsidRPr="00576AF8">
              <w:t>vii)</w:t>
            </w:r>
          </w:p>
        </w:tc>
        <w:tc>
          <w:tcPr>
            <w:tcW w:w="7396" w:type="dxa"/>
          </w:tcPr>
          <w:p w14:paraId="04BF6F93" w14:textId="77777777" w:rsidR="00A20832" w:rsidRPr="00324210" w:rsidRDefault="00A20832" w:rsidP="009F7216">
            <w:pPr>
              <w:keepNext/>
              <w:keepLines/>
              <w:spacing w:before="240" w:after="160"/>
              <w:ind w:right="-72"/>
              <w:outlineLvl w:val="4"/>
              <w:rPr>
                <w:b/>
                <w:i/>
              </w:rPr>
            </w:pPr>
            <w:r w:rsidRPr="00324210">
              <w:rPr>
                <w:rStyle w:val="preparersnote"/>
                <w:b w:val="0"/>
                <w:i w:val="0"/>
              </w:rPr>
              <w:t>No hay Condiciones Especiales del Contrato aplicables a la cláusula 16.1 </w:t>
            </w:r>
            <w:r w:rsidR="00EB5EF0" w:rsidRPr="00324210">
              <w:rPr>
                <w:rStyle w:val="preparersnote"/>
                <w:b w:val="0"/>
                <w:i w:val="0"/>
              </w:rPr>
              <w:t>(</w:t>
            </w:r>
            <w:r w:rsidRPr="00324210">
              <w:rPr>
                <w:rStyle w:val="preparersnote"/>
                <w:b w:val="0"/>
                <w:i w:val="0"/>
              </w:rPr>
              <w:t>b) </w:t>
            </w:r>
            <w:r w:rsidR="00EB5EF0" w:rsidRPr="00324210">
              <w:rPr>
                <w:rStyle w:val="preparersnote"/>
                <w:b w:val="0"/>
                <w:i w:val="0"/>
              </w:rPr>
              <w:t>(</w:t>
            </w:r>
            <w:r w:rsidRPr="00324210">
              <w:rPr>
                <w:rStyle w:val="preparersnote"/>
                <w:b w:val="0"/>
                <w:i w:val="0"/>
              </w:rPr>
              <w:t>vii) de las CGC.</w:t>
            </w:r>
          </w:p>
        </w:tc>
      </w:tr>
      <w:tr w:rsidR="00A20832" w:rsidRPr="00576AF8" w14:paraId="08AD1BBA" w14:textId="77777777" w:rsidTr="00EB5EF0">
        <w:tc>
          <w:tcPr>
            <w:tcW w:w="1952" w:type="dxa"/>
          </w:tcPr>
          <w:p w14:paraId="7FB1B682" w14:textId="77777777" w:rsidR="00A20832" w:rsidRPr="00576AF8" w:rsidRDefault="00A20832" w:rsidP="00A35BE3">
            <w:pPr>
              <w:keepNext/>
              <w:keepLines/>
              <w:spacing w:before="240" w:after="0"/>
              <w:ind w:right="-72" w:firstLine="14"/>
              <w:outlineLvl w:val="4"/>
            </w:pPr>
            <w:r w:rsidRPr="00576AF8">
              <w:t>CGC 16.2</w:t>
            </w:r>
          </w:p>
        </w:tc>
        <w:tc>
          <w:tcPr>
            <w:tcW w:w="7396" w:type="dxa"/>
          </w:tcPr>
          <w:p w14:paraId="5FB39D79" w14:textId="77777777" w:rsidR="00A20832" w:rsidRPr="00324210" w:rsidRDefault="00A20832" w:rsidP="009F7216">
            <w:pPr>
              <w:keepNext/>
              <w:keepLines/>
              <w:spacing w:before="240" w:after="160"/>
              <w:outlineLvl w:val="4"/>
              <w:rPr>
                <w:b/>
                <w:i/>
              </w:rPr>
            </w:pPr>
            <w:r w:rsidRPr="00324210">
              <w:rPr>
                <w:rStyle w:val="preparersnote"/>
                <w:b w:val="0"/>
                <w:i w:val="0"/>
              </w:rPr>
              <w:t>No hay Condiciones Especiales del Contrato aplicables a la cláusula 16.2 de las CGC.</w:t>
            </w:r>
            <w:r w:rsidRPr="00324210">
              <w:rPr>
                <w:b/>
                <w:i/>
              </w:rPr>
              <w:t xml:space="preserve"> </w:t>
            </w:r>
          </w:p>
        </w:tc>
      </w:tr>
    </w:tbl>
    <w:p w14:paraId="740D7034" w14:textId="77777777" w:rsidR="00A20832" w:rsidRPr="00576AF8" w:rsidRDefault="00A20832">
      <w:pPr>
        <w:pStyle w:val="Head72"/>
        <w:numPr>
          <w:ilvl w:val="0"/>
          <w:numId w:val="34"/>
        </w:numPr>
      </w:pPr>
      <w:bookmarkStart w:id="1660" w:name="_Toc521497306"/>
      <w:bookmarkStart w:id="1661" w:name="_Toc252363620"/>
      <w:bookmarkStart w:id="1662" w:name="_Toc488961694"/>
      <w:r w:rsidRPr="00576AF8">
        <w:t>Confidencialidad de la información (cláusula 17 de las CGC)</w:t>
      </w:r>
      <w:bookmarkEnd w:id="1660"/>
      <w:bookmarkEnd w:id="1661"/>
      <w:bookmarkEnd w:id="1662"/>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A20832" w:rsidRPr="00576AF8" w14:paraId="5E479C07" w14:textId="77777777" w:rsidTr="00F408EE">
        <w:tc>
          <w:tcPr>
            <w:tcW w:w="1872" w:type="dxa"/>
          </w:tcPr>
          <w:p w14:paraId="42967F97" w14:textId="77777777" w:rsidR="00A20832" w:rsidRPr="00576AF8" w:rsidRDefault="00A20832" w:rsidP="00A35BE3">
            <w:pPr>
              <w:keepNext/>
              <w:keepLines/>
              <w:spacing w:before="240" w:after="0"/>
              <w:ind w:right="-72" w:firstLine="14"/>
              <w:outlineLvl w:val="4"/>
            </w:pPr>
            <w:r w:rsidRPr="00576AF8">
              <w:t>CGC 17.1</w:t>
            </w:r>
          </w:p>
        </w:tc>
        <w:tc>
          <w:tcPr>
            <w:tcW w:w="7485" w:type="dxa"/>
          </w:tcPr>
          <w:p w14:paraId="22A991B5" w14:textId="77777777" w:rsidR="00A20832" w:rsidRPr="00576AF8" w:rsidRDefault="00A20832" w:rsidP="009F7216">
            <w:pPr>
              <w:spacing w:after="160"/>
              <w:rPr>
                <w:b/>
                <w:i/>
                <w:iCs/>
              </w:rPr>
            </w:pPr>
            <w:r w:rsidRPr="00576AF8">
              <w:rPr>
                <w:rStyle w:val="preparersnote"/>
              </w:rPr>
              <w:t>No hay Condiciones Especiales del Contrato aplicables a la cláusula 17.1 de las CGC.</w:t>
            </w:r>
            <w:r w:rsidRPr="00576AF8">
              <w:rPr>
                <w:i/>
              </w:rPr>
              <w:t xml:space="preserve"> </w:t>
            </w:r>
          </w:p>
        </w:tc>
      </w:tr>
    </w:tbl>
    <w:p w14:paraId="7C39991F" w14:textId="77777777" w:rsidR="00A20832" w:rsidRPr="00576AF8" w:rsidRDefault="00A20832" w:rsidP="00A20832">
      <w:pPr>
        <w:pStyle w:val="Head71"/>
        <w:rPr>
          <w:rFonts w:ascii="Times New Roman" w:hAnsi="Times New Roman"/>
        </w:rPr>
      </w:pPr>
      <w:bookmarkStart w:id="1663" w:name="_Toc521497307"/>
      <w:bookmarkStart w:id="1664" w:name="_Toc252363621"/>
      <w:bookmarkStart w:id="1665" w:name="_Toc488961695"/>
      <w:r w:rsidRPr="00576AF8">
        <w:rPr>
          <w:rFonts w:ascii="Times New Roman" w:hAnsi="Times New Roman"/>
        </w:rPr>
        <w:t xml:space="preserve">E. </w:t>
      </w:r>
      <w:r w:rsidR="00EB5EF0" w:rsidRPr="00576AF8">
        <w:rPr>
          <w:rFonts w:ascii="Times New Roman" w:hAnsi="Times New Roman"/>
        </w:rPr>
        <w:t xml:space="preserve"> </w:t>
      </w:r>
      <w:r w:rsidRPr="00576AF8">
        <w:rPr>
          <w:rFonts w:ascii="Times New Roman" w:hAnsi="Times New Roman"/>
        </w:rPr>
        <w:t xml:space="preserve">Suministro, instalación, pruebas, puesta en servicio </w:t>
      </w:r>
      <w:r w:rsidRPr="00576AF8">
        <w:rPr>
          <w:rFonts w:ascii="Times New Roman" w:hAnsi="Times New Roman"/>
        </w:rPr>
        <w:br/>
        <w:t>y aceptación del Sistema</w:t>
      </w:r>
      <w:bookmarkEnd w:id="1663"/>
      <w:bookmarkEnd w:id="1664"/>
      <w:bookmarkEnd w:id="1665"/>
    </w:p>
    <w:p w14:paraId="48B43FA2" w14:textId="77777777" w:rsidR="00A20832" w:rsidRPr="00576AF8" w:rsidRDefault="00A20832">
      <w:pPr>
        <w:pStyle w:val="Head72"/>
        <w:numPr>
          <w:ilvl w:val="0"/>
          <w:numId w:val="34"/>
        </w:numPr>
      </w:pPr>
      <w:bookmarkStart w:id="1666" w:name="_Toc521497308"/>
      <w:bookmarkStart w:id="1667" w:name="_Toc252363622"/>
      <w:bookmarkStart w:id="1668" w:name="_Toc488961696"/>
      <w:r w:rsidRPr="00576AF8">
        <w:t>Representantes (cláusula 18 de las CGC)</w:t>
      </w:r>
      <w:bookmarkEnd w:id="1666"/>
      <w:bookmarkEnd w:id="1667"/>
      <w:bookmarkEnd w:id="1668"/>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A20832" w:rsidRPr="00576AF8" w14:paraId="7E9781B7" w14:textId="77777777" w:rsidTr="004313F3">
        <w:trPr>
          <w:trHeight w:val="469"/>
        </w:trPr>
        <w:tc>
          <w:tcPr>
            <w:tcW w:w="1872" w:type="dxa"/>
          </w:tcPr>
          <w:p w14:paraId="45FA0FFB" w14:textId="77777777" w:rsidR="00A20832" w:rsidRPr="00576AF8" w:rsidRDefault="00A20832" w:rsidP="00A35BE3">
            <w:pPr>
              <w:keepNext/>
              <w:keepLines/>
              <w:spacing w:before="240" w:after="0"/>
              <w:ind w:right="-72" w:firstLine="14"/>
              <w:outlineLvl w:val="4"/>
            </w:pPr>
            <w:r w:rsidRPr="00576AF8">
              <w:t>CGC 18.1</w:t>
            </w:r>
          </w:p>
        </w:tc>
        <w:tc>
          <w:tcPr>
            <w:tcW w:w="7485" w:type="dxa"/>
          </w:tcPr>
          <w:p w14:paraId="7AB7F74F" w14:textId="55273DD3" w:rsidR="00A20832" w:rsidRPr="00576AF8" w:rsidRDefault="005432F2" w:rsidP="00A91BD1">
            <w:pPr>
              <w:spacing w:after="240"/>
              <w:ind w:firstLine="14"/>
              <w:rPr>
                <w:szCs w:val="24"/>
              </w:rPr>
            </w:pPr>
            <w:r w:rsidRPr="005432F2">
              <w:rPr>
                <w:rStyle w:val="preparersnote"/>
                <w:b w:val="0"/>
                <w:bCs/>
                <w:i w:val="0"/>
                <w:iCs w:val="0"/>
                <w:szCs w:val="24"/>
              </w:rPr>
              <w:t>No hay Condiciones Especiales del Contrato aplicables a la cláusula 1</w:t>
            </w:r>
            <w:r>
              <w:rPr>
                <w:rStyle w:val="preparersnote"/>
                <w:b w:val="0"/>
                <w:bCs/>
                <w:i w:val="0"/>
                <w:iCs w:val="0"/>
                <w:szCs w:val="24"/>
              </w:rPr>
              <w:t>8</w:t>
            </w:r>
            <w:r w:rsidRPr="005432F2">
              <w:rPr>
                <w:rStyle w:val="preparersnote"/>
                <w:b w:val="0"/>
                <w:bCs/>
                <w:i w:val="0"/>
                <w:iCs w:val="0"/>
                <w:szCs w:val="24"/>
              </w:rPr>
              <w:t>.1 de las CGC.</w:t>
            </w:r>
          </w:p>
        </w:tc>
      </w:tr>
      <w:tr w:rsidR="00A20832" w:rsidRPr="00576AF8" w14:paraId="746A2B13" w14:textId="77777777" w:rsidTr="00F408EE">
        <w:trPr>
          <w:trHeight w:val="1900"/>
        </w:trPr>
        <w:tc>
          <w:tcPr>
            <w:tcW w:w="1872" w:type="dxa"/>
          </w:tcPr>
          <w:p w14:paraId="1558389A" w14:textId="77777777" w:rsidR="00A20832" w:rsidRPr="00576AF8" w:rsidRDefault="00A20832" w:rsidP="00A35BE3">
            <w:pPr>
              <w:keepNext/>
              <w:keepLines/>
              <w:spacing w:before="240" w:after="0"/>
              <w:ind w:right="-72" w:firstLine="14"/>
              <w:outlineLvl w:val="4"/>
            </w:pPr>
            <w:r w:rsidRPr="00576AF8">
              <w:t>CGC 18.2.2</w:t>
            </w:r>
          </w:p>
        </w:tc>
        <w:tc>
          <w:tcPr>
            <w:tcW w:w="7485" w:type="dxa"/>
          </w:tcPr>
          <w:p w14:paraId="74802DCE" w14:textId="0CBC8EA2" w:rsidR="00A20832" w:rsidRPr="00576AF8" w:rsidRDefault="005432F2" w:rsidP="00A91BD1">
            <w:pPr>
              <w:keepNext/>
              <w:keepLines/>
              <w:spacing w:before="240"/>
              <w:outlineLvl w:val="4"/>
              <w:rPr>
                <w:b/>
                <w:bCs/>
                <w:i/>
                <w:iCs/>
              </w:rPr>
            </w:pPr>
            <w:r w:rsidRPr="005432F2">
              <w:rPr>
                <w:rStyle w:val="preparersnote"/>
                <w:b w:val="0"/>
                <w:bCs/>
                <w:i w:val="0"/>
                <w:iCs w:val="0"/>
              </w:rPr>
              <w:t>No hay Condiciones Especiales del Contrato aplicables a la cláusula 1</w:t>
            </w:r>
            <w:r>
              <w:rPr>
                <w:rStyle w:val="preparersnote"/>
                <w:b w:val="0"/>
                <w:bCs/>
                <w:i w:val="0"/>
                <w:iCs w:val="0"/>
              </w:rPr>
              <w:t>8</w:t>
            </w:r>
            <w:r w:rsidRPr="005432F2">
              <w:rPr>
                <w:rStyle w:val="preparersnote"/>
                <w:b w:val="0"/>
                <w:bCs/>
                <w:i w:val="0"/>
                <w:iCs w:val="0"/>
              </w:rPr>
              <w:t>.</w:t>
            </w:r>
            <w:r>
              <w:rPr>
                <w:rStyle w:val="preparersnote"/>
                <w:b w:val="0"/>
                <w:bCs/>
                <w:i w:val="0"/>
                <w:iCs w:val="0"/>
              </w:rPr>
              <w:t>2.2</w:t>
            </w:r>
            <w:r w:rsidRPr="005432F2">
              <w:rPr>
                <w:rStyle w:val="preparersnote"/>
                <w:b w:val="0"/>
                <w:bCs/>
                <w:i w:val="0"/>
                <w:iCs w:val="0"/>
              </w:rPr>
              <w:t xml:space="preserve"> de las CGC.</w:t>
            </w:r>
          </w:p>
        </w:tc>
      </w:tr>
    </w:tbl>
    <w:p w14:paraId="28035FD4" w14:textId="77777777" w:rsidR="00A20832" w:rsidRPr="00576AF8" w:rsidRDefault="00A20832">
      <w:pPr>
        <w:pStyle w:val="Head72"/>
        <w:numPr>
          <w:ilvl w:val="0"/>
          <w:numId w:val="34"/>
        </w:numPr>
      </w:pPr>
      <w:bookmarkStart w:id="1669" w:name="_Toc521497309"/>
      <w:bookmarkStart w:id="1670" w:name="_Toc252363623"/>
      <w:bookmarkStart w:id="1671" w:name="_Toc488961697"/>
      <w:r w:rsidRPr="00576AF8">
        <w:t>Plan del Proyecto (cláusula 19 de las CGC)</w:t>
      </w:r>
      <w:bookmarkEnd w:id="1669"/>
      <w:bookmarkEnd w:id="1670"/>
      <w:bookmarkEnd w:id="167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2847E6" w:rsidRPr="00576AF8" w14:paraId="78B0EB0F" w14:textId="77777777" w:rsidTr="00F408EE">
        <w:tc>
          <w:tcPr>
            <w:tcW w:w="1872" w:type="dxa"/>
          </w:tcPr>
          <w:p w14:paraId="24801F75" w14:textId="77777777" w:rsidR="002847E6" w:rsidRPr="00576AF8" w:rsidRDefault="002847E6" w:rsidP="002847E6">
            <w:pPr>
              <w:keepNext/>
              <w:keepLines/>
              <w:spacing w:before="240" w:after="0"/>
              <w:ind w:right="-72" w:firstLine="14"/>
              <w:outlineLvl w:val="4"/>
            </w:pPr>
            <w:r w:rsidRPr="00576AF8">
              <w:lastRenderedPageBreak/>
              <w:t>CGC 19.1</w:t>
            </w:r>
          </w:p>
        </w:tc>
        <w:tc>
          <w:tcPr>
            <w:tcW w:w="7476" w:type="dxa"/>
          </w:tcPr>
          <w:p w14:paraId="6243A45E" w14:textId="77777777" w:rsidR="002847E6" w:rsidRPr="00576AF8" w:rsidRDefault="002847E6" w:rsidP="002847E6">
            <w:pPr>
              <w:spacing w:before="120"/>
              <w:ind w:left="15" w:hanging="19"/>
              <w:rPr>
                <w:highlight w:val="yellow"/>
              </w:rPr>
            </w:pPr>
            <w:r w:rsidRPr="00576AF8">
              <w:t>Además de los temas descritos en la IAL 17.2 (a), en el plan preliminar del Proyecto se deben abordar los siguientes temas:</w:t>
            </w:r>
          </w:p>
          <w:p w14:paraId="58059452"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organización y gestión del Proyecto, que incluya las autoridades a cargo de la gestión, sus responsabilidades e información de contacto, así como calendarios en los que se especifiquen las tareas, los plazos y los recursos (en formato de diagrama de GANTT);</w:t>
            </w:r>
          </w:p>
          <w:p w14:paraId="6917F663"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trabajo;</w:t>
            </w:r>
          </w:p>
          <w:p w14:paraId="575423AF"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transferencia de conocimiento;</w:t>
            </w:r>
          </w:p>
          <w:p w14:paraId="51E9C3BE"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inspecciones y pruebas y aseguramiento de la calidad;</w:t>
            </w:r>
          </w:p>
          <w:p w14:paraId="100741B1"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 xml:space="preserve">plan de servicio de apoyo técnico y garantía de reparación de defectos, y si corresponde, el plan de operación inicial de </w:t>
            </w:r>
            <w:proofErr w:type="gramStart"/>
            <w:r w:rsidRPr="00576AF8">
              <w:rPr>
                <w:rStyle w:val="preparersnote"/>
                <w:b w:val="0"/>
                <w:bCs/>
                <w:i w:val="0"/>
                <w:iCs w:val="0"/>
              </w:rPr>
              <w:t>la facilidades</w:t>
            </w:r>
            <w:proofErr w:type="gramEnd"/>
          </w:p>
          <w:p w14:paraId="016FEBD6"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transición entre el sistema actual y el nuevo sistema (cutover)</w:t>
            </w:r>
          </w:p>
          <w:p w14:paraId="3DB71DA0" w14:textId="77777777" w:rsidR="002847E6" w:rsidRPr="00576AF8" w:rsidRDefault="002847E6">
            <w:pPr>
              <w:pStyle w:val="Prrafodelista"/>
              <w:numPr>
                <w:ilvl w:val="0"/>
                <w:numId w:val="40"/>
              </w:numPr>
              <w:spacing w:before="120"/>
              <w:ind w:left="801" w:right="-72" w:hanging="426"/>
              <w:outlineLvl w:val="6"/>
              <w:rPr>
                <w:rStyle w:val="preparersnote"/>
                <w:b w:val="0"/>
                <w:bCs/>
                <w:i w:val="0"/>
                <w:iCs w:val="0"/>
              </w:rPr>
            </w:pPr>
            <w:r w:rsidRPr="00576AF8">
              <w:rPr>
                <w:rStyle w:val="preparersnote"/>
                <w:b w:val="0"/>
                <w:bCs/>
                <w:i w:val="0"/>
                <w:iCs w:val="0"/>
              </w:rPr>
              <w:t>plan de documentación</w:t>
            </w:r>
          </w:p>
          <w:p w14:paraId="34F85566" w14:textId="77777777" w:rsidR="002847E6" w:rsidRPr="00576AF8" w:rsidRDefault="002847E6" w:rsidP="002847E6">
            <w:pPr>
              <w:spacing w:before="120"/>
              <w:ind w:right="-72"/>
              <w:outlineLvl w:val="6"/>
              <w:rPr>
                <w:bCs/>
              </w:rPr>
            </w:pPr>
          </w:p>
          <w:p w14:paraId="35F0F9EE" w14:textId="77777777" w:rsidR="002847E6" w:rsidRPr="00576AF8" w:rsidRDefault="002847E6" w:rsidP="002847E6">
            <w:pPr>
              <w:rPr>
                <w:highlight w:val="yellow"/>
              </w:rPr>
            </w:pPr>
            <w:r w:rsidRPr="00576AF8">
              <w:rPr>
                <w:bCs/>
              </w:rPr>
              <w:t>Se deberá utilizar el estándar PMBok de gestión de proyectos o un equivalente para la presentación de los planes.</w:t>
            </w:r>
          </w:p>
        </w:tc>
      </w:tr>
      <w:tr w:rsidR="002847E6" w:rsidRPr="00576AF8" w14:paraId="4744536B" w14:textId="77777777" w:rsidTr="00F408EE">
        <w:tc>
          <w:tcPr>
            <w:tcW w:w="1872" w:type="dxa"/>
          </w:tcPr>
          <w:p w14:paraId="3636A938" w14:textId="77777777" w:rsidR="002847E6" w:rsidRPr="00576AF8" w:rsidRDefault="002847E6" w:rsidP="002847E6">
            <w:pPr>
              <w:keepNext/>
              <w:keepLines/>
              <w:spacing w:before="240" w:after="0"/>
              <w:ind w:right="-72" w:firstLine="14"/>
              <w:outlineLvl w:val="4"/>
            </w:pPr>
            <w:r w:rsidRPr="00576AF8">
              <w:t>CGC 19.6</w:t>
            </w:r>
          </w:p>
        </w:tc>
        <w:tc>
          <w:tcPr>
            <w:tcW w:w="7476" w:type="dxa"/>
          </w:tcPr>
          <w:p w14:paraId="6A068C1A" w14:textId="77777777" w:rsidR="002847E6" w:rsidRPr="00576AF8" w:rsidRDefault="002847E6" w:rsidP="002847E6">
            <w:pPr>
              <w:pStyle w:val="explanatoryclause"/>
              <w:spacing w:after="160"/>
              <w:ind w:right="0"/>
              <w:rPr>
                <w:rFonts w:ascii="Times New Roman" w:hAnsi="Times New Roman"/>
                <w:bCs/>
                <w:iCs/>
              </w:rPr>
            </w:pPr>
            <w:r w:rsidRPr="00576AF8">
              <w:rPr>
                <w:rFonts w:ascii="Times New Roman" w:hAnsi="Times New Roman"/>
                <w:bCs/>
                <w:iCs/>
              </w:rPr>
              <w:t xml:space="preserve">El Proveedor presentará al Comprador los siguientes informes: </w:t>
            </w:r>
          </w:p>
          <w:p w14:paraId="1839BB95" w14:textId="77777777" w:rsidR="002847E6" w:rsidRPr="00576AF8" w:rsidRDefault="002847E6" w:rsidP="00671212">
            <w:pPr>
              <w:spacing w:after="160"/>
              <w:ind w:left="1278" w:hanging="540"/>
              <w:rPr>
                <w:bCs/>
                <w:iCs/>
                <w:spacing w:val="-4"/>
              </w:rPr>
            </w:pPr>
            <w:r w:rsidRPr="00576AF8">
              <w:rPr>
                <w:bCs/>
                <w:iCs/>
                <w:spacing w:val="-4"/>
              </w:rPr>
              <w:t>(i)</w:t>
            </w:r>
            <w:r w:rsidRPr="00576AF8">
              <w:rPr>
                <w:bCs/>
                <w:iCs/>
                <w:spacing w:val="-4"/>
              </w:rPr>
              <w:tab/>
            </w:r>
            <w:proofErr w:type="gramStart"/>
            <w:r w:rsidRPr="00576AF8">
              <w:rPr>
                <w:bCs/>
                <w:iCs/>
                <w:spacing w:val="-4"/>
              </w:rPr>
              <w:t>informe mensuales</w:t>
            </w:r>
            <w:proofErr w:type="gramEnd"/>
            <w:r w:rsidRPr="00576AF8">
              <w:rPr>
                <w:bCs/>
                <w:iCs/>
                <w:spacing w:val="-4"/>
              </w:rPr>
              <w:t xml:space="preserve"> sobre las inspecciones y el aseguramiento de la calidad;</w:t>
            </w:r>
          </w:p>
          <w:p w14:paraId="79DDF973" w14:textId="77777777" w:rsidR="002847E6" w:rsidRPr="00576AF8" w:rsidRDefault="002847E6" w:rsidP="00671212">
            <w:pPr>
              <w:spacing w:after="160"/>
              <w:ind w:left="1278" w:hanging="540"/>
              <w:rPr>
                <w:bCs/>
                <w:iCs/>
              </w:rPr>
            </w:pPr>
            <w:r w:rsidRPr="00576AF8">
              <w:rPr>
                <w:bCs/>
                <w:iCs/>
              </w:rPr>
              <w:t xml:space="preserve">(ii) </w:t>
            </w:r>
            <w:r w:rsidRPr="00576AF8">
              <w:rPr>
                <w:bCs/>
                <w:iCs/>
              </w:rPr>
              <w:tab/>
              <w:t>informe mensual sobre los resultados de las pruebas a las que se somete a los participantes de las actividades de capacitación;</w:t>
            </w:r>
          </w:p>
          <w:p w14:paraId="1E55B961" w14:textId="5A3362CC" w:rsidR="002847E6" w:rsidRPr="00671212" w:rsidRDefault="002847E6" w:rsidP="00351C62">
            <w:pPr>
              <w:pStyle w:val="Prrafodelista"/>
              <w:numPr>
                <w:ilvl w:val="0"/>
                <w:numId w:val="81"/>
              </w:numPr>
              <w:spacing w:after="160"/>
              <w:ind w:left="1278"/>
              <w:rPr>
                <w:bCs/>
                <w:iCs/>
              </w:rPr>
            </w:pPr>
            <w:r w:rsidRPr="00671212">
              <w:rPr>
                <w:bCs/>
                <w:iCs/>
              </w:rPr>
              <w:t>registro mensual de solicitudes de servicio y problemas resueltos.</w:t>
            </w:r>
          </w:p>
          <w:p w14:paraId="53B7A511" w14:textId="4E326874" w:rsidR="00671212" w:rsidRPr="00671212" w:rsidRDefault="00671212" w:rsidP="00351C62">
            <w:pPr>
              <w:pStyle w:val="Prrafodelista"/>
              <w:numPr>
                <w:ilvl w:val="0"/>
                <w:numId w:val="81"/>
              </w:numPr>
              <w:spacing w:after="160"/>
              <w:ind w:left="1278"/>
              <w:rPr>
                <w:rStyle w:val="preparersnote"/>
                <w:b w:val="0"/>
                <w:bCs/>
                <w:i w:val="0"/>
                <w:iCs w:val="0"/>
              </w:rPr>
            </w:pPr>
            <w:r w:rsidRPr="00671212">
              <w:rPr>
                <w:rStyle w:val="preparersnote"/>
                <w:b w:val="0"/>
                <w:bCs/>
                <w:i w:val="0"/>
                <w:iCs w:val="0"/>
              </w:rPr>
              <w:t>Informe mensual que contenga evidencia satisfactoria de haber pagado el 100% de las facturas emitidas por el Conciliador</w:t>
            </w:r>
            <w:r>
              <w:rPr>
                <w:rStyle w:val="preparersnote"/>
                <w:b w:val="0"/>
                <w:bCs/>
                <w:i w:val="0"/>
                <w:iCs w:val="0"/>
              </w:rPr>
              <w:t xml:space="preserve"> (en caso de haberse activado)</w:t>
            </w:r>
          </w:p>
        </w:tc>
      </w:tr>
    </w:tbl>
    <w:p w14:paraId="23410C56" w14:textId="77777777" w:rsidR="00A20832" w:rsidRPr="00576AF8" w:rsidRDefault="00A20832">
      <w:pPr>
        <w:pStyle w:val="Head72"/>
        <w:numPr>
          <w:ilvl w:val="0"/>
          <w:numId w:val="34"/>
        </w:numPr>
      </w:pPr>
      <w:bookmarkStart w:id="1672" w:name="_Toc521497311"/>
      <w:bookmarkStart w:id="1673" w:name="_Toc252363625"/>
      <w:bookmarkStart w:id="1674" w:name="_Toc488961698"/>
      <w:r w:rsidRPr="00576AF8">
        <w:t>Diseño e ingeniería (cláusula 21 de las CGC)</w:t>
      </w:r>
      <w:bookmarkEnd w:id="1672"/>
      <w:bookmarkEnd w:id="1673"/>
      <w:bookmarkEnd w:id="167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7C3C116B" w14:textId="77777777" w:rsidTr="00F408EE">
        <w:tc>
          <w:tcPr>
            <w:tcW w:w="1872" w:type="dxa"/>
          </w:tcPr>
          <w:p w14:paraId="1182F844" w14:textId="77777777" w:rsidR="00A20832" w:rsidRPr="00576AF8" w:rsidRDefault="00A20832" w:rsidP="00A35BE3">
            <w:pPr>
              <w:keepNext/>
              <w:keepLines/>
              <w:spacing w:before="240" w:after="0"/>
              <w:ind w:right="-72" w:firstLine="14"/>
              <w:outlineLvl w:val="4"/>
            </w:pPr>
            <w:r w:rsidRPr="00576AF8">
              <w:t>CGC 21.3.1</w:t>
            </w:r>
          </w:p>
        </w:tc>
        <w:tc>
          <w:tcPr>
            <w:tcW w:w="7476" w:type="dxa"/>
          </w:tcPr>
          <w:p w14:paraId="51D53AC2" w14:textId="0B60568B" w:rsidR="00A20832" w:rsidRPr="00576AF8" w:rsidRDefault="0069781B" w:rsidP="002847E6">
            <w:pPr>
              <w:spacing w:after="160"/>
              <w:ind w:left="18" w:right="42" w:hanging="29"/>
              <w:rPr>
                <w:bCs/>
              </w:rPr>
            </w:pPr>
            <w:r>
              <w:rPr>
                <w:rStyle w:val="preparersnote"/>
                <w:b w:val="0"/>
                <w:bCs/>
                <w:i w:val="0"/>
                <w:iCs w:val="0"/>
              </w:rPr>
              <w:t>No Aplica</w:t>
            </w:r>
          </w:p>
        </w:tc>
      </w:tr>
    </w:tbl>
    <w:p w14:paraId="27753A1F" w14:textId="77777777" w:rsidR="00A20832" w:rsidRPr="00576AF8" w:rsidRDefault="00A20832">
      <w:pPr>
        <w:pStyle w:val="Head72"/>
        <w:pageBreakBefore/>
        <w:numPr>
          <w:ilvl w:val="0"/>
          <w:numId w:val="34"/>
        </w:numPr>
        <w:ind w:left="714" w:hanging="357"/>
      </w:pPr>
      <w:bookmarkStart w:id="1675" w:name="_Toc521497313"/>
      <w:bookmarkStart w:id="1676" w:name="_Toc252363627"/>
      <w:bookmarkStart w:id="1677" w:name="_Toc488961699"/>
      <w:r w:rsidRPr="00576AF8">
        <w:lastRenderedPageBreak/>
        <w:t>Versiones mejoradas de los productos (cláusula 23 de las CGC)</w:t>
      </w:r>
      <w:bookmarkEnd w:id="1675"/>
      <w:bookmarkEnd w:id="1676"/>
      <w:bookmarkEnd w:id="167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7CE0D756" w14:textId="77777777" w:rsidTr="00F408EE">
        <w:tc>
          <w:tcPr>
            <w:tcW w:w="1872" w:type="dxa"/>
          </w:tcPr>
          <w:p w14:paraId="574381AA" w14:textId="77777777" w:rsidR="00A20832" w:rsidRPr="00576AF8" w:rsidRDefault="00A20832" w:rsidP="00A35BE3">
            <w:pPr>
              <w:keepNext/>
              <w:keepLines/>
              <w:spacing w:before="240" w:after="0"/>
              <w:ind w:right="-72" w:firstLine="14"/>
              <w:outlineLvl w:val="4"/>
            </w:pPr>
            <w:r w:rsidRPr="00576AF8">
              <w:t>CGC 23.4</w:t>
            </w:r>
          </w:p>
        </w:tc>
        <w:tc>
          <w:tcPr>
            <w:tcW w:w="7476" w:type="dxa"/>
          </w:tcPr>
          <w:p w14:paraId="53D23EC2" w14:textId="77777777" w:rsidR="00A20832" w:rsidRPr="00576AF8" w:rsidRDefault="00A20832" w:rsidP="004313F3">
            <w:pPr>
              <w:keepNext/>
              <w:keepLines/>
              <w:spacing w:before="240" w:after="160"/>
              <w:ind w:firstLine="14"/>
              <w:outlineLvl w:val="4"/>
            </w:pPr>
            <w:r w:rsidRPr="00576AF8">
              <w:rPr>
                <w:rStyle w:val="preparersnote"/>
              </w:rPr>
              <w:t>Condiciones Especiales del Contrato aplicables a la cláusula 23.4 de las CGC.</w:t>
            </w:r>
          </w:p>
          <w:p w14:paraId="43BE76D0" w14:textId="2733A32E" w:rsidR="00A20832" w:rsidRPr="00576AF8" w:rsidRDefault="00915CAA" w:rsidP="00915CAA">
            <w:pPr>
              <w:ind w:left="-5" w:firstLine="5"/>
              <w:rPr>
                <w:iCs/>
                <w:spacing w:val="-2"/>
                <w:highlight w:val="yellow"/>
              </w:rPr>
            </w:pPr>
            <w:r w:rsidRPr="0069781B">
              <w:rPr>
                <w:iCs/>
                <w:spacing w:val="-2"/>
                <w:sz w:val="22"/>
                <w:szCs w:val="18"/>
              </w:rPr>
              <w:t xml:space="preserve">Durante el período de garantía, el Proveedor proporcionará sin ningún costo adicional al Comprador, </w:t>
            </w:r>
            <w:r w:rsidR="0069781B" w:rsidRPr="0069781B">
              <w:rPr>
                <w:iCs/>
                <w:spacing w:val="-2"/>
                <w:sz w:val="22"/>
                <w:szCs w:val="18"/>
              </w:rPr>
              <w:t xml:space="preserve">acceso a </w:t>
            </w:r>
            <w:r w:rsidRPr="0069781B">
              <w:rPr>
                <w:iCs/>
                <w:spacing w:val="-2"/>
                <w:sz w:val="22"/>
                <w:szCs w:val="18"/>
              </w:rPr>
              <w:t xml:space="preserve">publicaciones y actualizaciones de </w:t>
            </w:r>
            <w:proofErr w:type="gramStart"/>
            <w:r w:rsidRPr="0069781B">
              <w:rPr>
                <w:iCs/>
                <w:spacing w:val="-2"/>
                <w:sz w:val="22"/>
                <w:szCs w:val="18"/>
              </w:rPr>
              <w:t>todos los software</w:t>
            </w:r>
            <w:proofErr w:type="gramEnd"/>
            <w:r w:rsidRPr="0069781B">
              <w:rPr>
                <w:iCs/>
                <w:spacing w:val="-2"/>
                <w:sz w:val="22"/>
                <w:szCs w:val="18"/>
              </w:rPr>
              <w:t xml:space="preserve"> (estándar </w:t>
            </w:r>
            <w:r w:rsidRPr="0069781B">
              <w:rPr>
                <w:spacing w:val="-2"/>
                <w:sz w:val="22"/>
              </w:rPr>
              <w:t>y subyacente</w:t>
            </w:r>
            <w:r w:rsidRPr="0069781B">
              <w:rPr>
                <w:iCs/>
                <w:spacing w:val="-2"/>
                <w:sz w:val="22"/>
                <w:szCs w:val="18"/>
              </w:rPr>
              <w:t>) que se utilicen en el Sistema dentro de los treinta (30) días posteriores a la fecha en que los haya puesto a disposición de otros clientes en el país del Comprador y, a más tardar, doce (12)</w:t>
            </w:r>
            <w:r w:rsidR="0069781B" w:rsidRPr="0069781B">
              <w:rPr>
                <w:iCs/>
                <w:spacing w:val="-2"/>
                <w:sz w:val="22"/>
                <w:szCs w:val="18"/>
              </w:rPr>
              <w:t xml:space="preserve"> días</w:t>
            </w:r>
            <w:r w:rsidRPr="0069781B">
              <w:rPr>
                <w:iCs/>
                <w:spacing w:val="-2"/>
                <w:sz w:val="22"/>
                <w:szCs w:val="18"/>
              </w:rPr>
              <w:t xml:space="preserve"> después de que hayan salido a la venta en el país de origen.</w:t>
            </w:r>
          </w:p>
        </w:tc>
      </w:tr>
    </w:tbl>
    <w:p w14:paraId="58B1ECE9" w14:textId="77777777" w:rsidR="00A20832" w:rsidRPr="00576AF8" w:rsidRDefault="00A20832">
      <w:pPr>
        <w:pStyle w:val="Head72"/>
        <w:numPr>
          <w:ilvl w:val="0"/>
          <w:numId w:val="34"/>
        </w:numPr>
      </w:pPr>
      <w:bookmarkStart w:id="1678" w:name="_Toc521497315"/>
      <w:bookmarkStart w:id="1679" w:name="_Toc252363629"/>
      <w:bookmarkStart w:id="1680" w:name="_Toc488961700"/>
      <w:r w:rsidRPr="00576AF8">
        <w:t>Pruebas e inspecciones (cláusula 25 de las CGC)</w:t>
      </w:r>
      <w:bookmarkEnd w:id="1678"/>
      <w:bookmarkEnd w:id="1679"/>
      <w:bookmarkEnd w:id="168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1AEB5E46" w14:textId="77777777" w:rsidTr="003223AD">
        <w:trPr>
          <w:trHeight w:val="857"/>
        </w:trPr>
        <w:tc>
          <w:tcPr>
            <w:tcW w:w="1872" w:type="dxa"/>
          </w:tcPr>
          <w:p w14:paraId="3CDA8B6C" w14:textId="77777777" w:rsidR="00A20832" w:rsidRPr="00576AF8" w:rsidRDefault="00A20832" w:rsidP="00A35BE3">
            <w:pPr>
              <w:keepNext/>
              <w:keepLines/>
              <w:spacing w:before="240" w:after="0"/>
              <w:ind w:right="-72" w:firstLine="14"/>
              <w:outlineLvl w:val="4"/>
            </w:pPr>
            <w:r w:rsidRPr="00576AF8">
              <w:t>CGC 25</w:t>
            </w:r>
          </w:p>
        </w:tc>
        <w:tc>
          <w:tcPr>
            <w:tcW w:w="7476" w:type="dxa"/>
          </w:tcPr>
          <w:p w14:paraId="272393D7" w14:textId="77777777" w:rsidR="00A20832" w:rsidRPr="00576AF8" w:rsidRDefault="00A20832" w:rsidP="003223AD">
            <w:pPr>
              <w:spacing w:after="160"/>
              <w:rPr>
                <w:b/>
                <w:i/>
                <w:iCs/>
              </w:rPr>
            </w:pPr>
            <w:r w:rsidRPr="00576AF8">
              <w:rPr>
                <w:rStyle w:val="preparersnote"/>
              </w:rPr>
              <w:t>No hay Condiciones Especiales del Contrato aplicables a la cláusula 25 de las CGC</w:t>
            </w:r>
            <w:r w:rsidR="003223AD" w:rsidRPr="00576AF8">
              <w:rPr>
                <w:rStyle w:val="preparersnote"/>
              </w:rPr>
              <w:t>.</w:t>
            </w:r>
          </w:p>
        </w:tc>
      </w:tr>
    </w:tbl>
    <w:p w14:paraId="528C5BA0" w14:textId="77777777" w:rsidR="00A20832" w:rsidRPr="00576AF8" w:rsidRDefault="00A20832">
      <w:pPr>
        <w:pStyle w:val="Head72"/>
        <w:numPr>
          <w:ilvl w:val="0"/>
          <w:numId w:val="34"/>
        </w:numPr>
      </w:pPr>
      <w:bookmarkStart w:id="1681" w:name="_Toc521497317"/>
      <w:bookmarkStart w:id="1682" w:name="_Toc252363631"/>
      <w:bookmarkStart w:id="1683" w:name="_Toc488961701"/>
      <w:r w:rsidRPr="00576AF8">
        <w:t>Puesta en servicio y aceptación operativa (cláusula 27 de las CGC)</w:t>
      </w:r>
      <w:bookmarkEnd w:id="1681"/>
      <w:bookmarkEnd w:id="1682"/>
      <w:bookmarkEnd w:id="168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67CFEAE7" w14:textId="77777777" w:rsidTr="00F408EE">
        <w:tc>
          <w:tcPr>
            <w:tcW w:w="1872" w:type="dxa"/>
          </w:tcPr>
          <w:p w14:paraId="6DA3EBCE" w14:textId="77777777" w:rsidR="00A20832" w:rsidRPr="00576AF8" w:rsidRDefault="00A20832" w:rsidP="00A35BE3">
            <w:pPr>
              <w:keepNext/>
              <w:keepLines/>
              <w:spacing w:before="240" w:after="0"/>
              <w:ind w:right="-72" w:firstLine="14"/>
              <w:outlineLvl w:val="4"/>
            </w:pPr>
            <w:r w:rsidRPr="00576AF8">
              <w:t>CGC 27.2.1</w:t>
            </w:r>
          </w:p>
        </w:tc>
        <w:tc>
          <w:tcPr>
            <w:tcW w:w="7476" w:type="dxa"/>
          </w:tcPr>
          <w:p w14:paraId="449A2024" w14:textId="77777777" w:rsidR="00A20832" w:rsidRPr="00576AF8" w:rsidRDefault="00A20832" w:rsidP="002847E6">
            <w:pPr>
              <w:keepNext/>
              <w:keepLines/>
              <w:spacing w:before="240" w:after="160"/>
              <w:outlineLvl w:val="4"/>
              <w:rPr>
                <w:highlight w:val="yellow"/>
              </w:rPr>
            </w:pPr>
            <w:r w:rsidRPr="00576AF8">
              <w:rPr>
                <w:rStyle w:val="preparersnote"/>
              </w:rPr>
              <w:t>No hay Condiciones Especiales del Contrato aplicables a la cláusula 27.2.1 de las CGC.</w:t>
            </w:r>
          </w:p>
        </w:tc>
      </w:tr>
    </w:tbl>
    <w:p w14:paraId="2E739A5A" w14:textId="77777777" w:rsidR="00A20832" w:rsidRPr="00576AF8" w:rsidRDefault="00A20832" w:rsidP="00A20832">
      <w:pPr>
        <w:pStyle w:val="Head71"/>
        <w:rPr>
          <w:rFonts w:ascii="Times New Roman" w:hAnsi="Times New Roman"/>
        </w:rPr>
      </w:pPr>
      <w:bookmarkStart w:id="1684" w:name="_Toc521497318"/>
      <w:bookmarkStart w:id="1685" w:name="_Toc252363632"/>
      <w:bookmarkStart w:id="1686" w:name="_Toc488961702"/>
      <w:r w:rsidRPr="00576AF8">
        <w:rPr>
          <w:rFonts w:ascii="Times New Roman" w:hAnsi="Times New Roman"/>
        </w:rPr>
        <w:t>F.</w:t>
      </w:r>
      <w:r w:rsidR="00F408EE" w:rsidRPr="00576AF8">
        <w:rPr>
          <w:rFonts w:ascii="Times New Roman" w:hAnsi="Times New Roman"/>
        </w:rPr>
        <w:t xml:space="preserve">  </w:t>
      </w:r>
      <w:r w:rsidRPr="00576AF8">
        <w:rPr>
          <w:rFonts w:ascii="Times New Roman" w:hAnsi="Times New Roman"/>
        </w:rPr>
        <w:t>Garantías y responsabilidades</w:t>
      </w:r>
      <w:bookmarkEnd w:id="1684"/>
      <w:bookmarkEnd w:id="1685"/>
      <w:bookmarkEnd w:id="1686"/>
    </w:p>
    <w:p w14:paraId="23F540E5" w14:textId="77777777" w:rsidR="00A20832" w:rsidRPr="00576AF8" w:rsidRDefault="00A20832">
      <w:pPr>
        <w:pStyle w:val="Head72"/>
        <w:numPr>
          <w:ilvl w:val="0"/>
          <w:numId w:val="34"/>
        </w:numPr>
      </w:pPr>
      <w:bookmarkStart w:id="1687" w:name="_Toc521497319"/>
      <w:bookmarkStart w:id="1688" w:name="_Toc252363633"/>
      <w:bookmarkStart w:id="1689" w:name="_Toc488961703"/>
      <w:r w:rsidRPr="00576AF8">
        <w:t>Garantía del plazo para obtener la aceptación operativa (cláusula 28 de las CGC)</w:t>
      </w:r>
      <w:bookmarkEnd w:id="1687"/>
      <w:bookmarkEnd w:id="1688"/>
      <w:bookmarkEnd w:id="168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0F25B999" w14:textId="77777777" w:rsidTr="001767DA">
        <w:tc>
          <w:tcPr>
            <w:tcW w:w="1872" w:type="dxa"/>
          </w:tcPr>
          <w:p w14:paraId="12C74EA3" w14:textId="77777777" w:rsidR="00A20832" w:rsidRPr="00576AF8" w:rsidRDefault="00A20832" w:rsidP="00A35BE3">
            <w:pPr>
              <w:keepNext/>
              <w:keepLines/>
              <w:spacing w:before="240" w:after="0"/>
              <w:ind w:right="-72" w:firstLine="18"/>
              <w:outlineLvl w:val="4"/>
            </w:pPr>
            <w:r w:rsidRPr="00576AF8">
              <w:t>CGC 28.2</w:t>
            </w:r>
          </w:p>
        </w:tc>
        <w:tc>
          <w:tcPr>
            <w:tcW w:w="7476" w:type="dxa"/>
          </w:tcPr>
          <w:p w14:paraId="03207499" w14:textId="77777777" w:rsidR="00A20832" w:rsidRPr="00576AF8" w:rsidRDefault="00A20832" w:rsidP="003223AD">
            <w:pPr>
              <w:keepNext/>
              <w:keepLines/>
              <w:spacing w:before="240" w:after="160"/>
              <w:ind w:right="42"/>
              <w:outlineLvl w:val="4"/>
            </w:pPr>
            <w:r w:rsidRPr="00576AF8">
              <w:rPr>
                <w:rStyle w:val="preparersnote"/>
              </w:rPr>
              <w:t>No hay Condiciones Especiales del Contrato aplicables a la cláusula 28.2 de las CGC.</w:t>
            </w:r>
          </w:p>
        </w:tc>
      </w:tr>
      <w:tr w:rsidR="00A20832" w:rsidRPr="00576AF8" w14:paraId="4E11562B" w14:textId="77777777" w:rsidTr="001767DA">
        <w:tc>
          <w:tcPr>
            <w:tcW w:w="1872" w:type="dxa"/>
          </w:tcPr>
          <w:p w14:paraId="354DD5E9" w14:textId="77777777" w:rsidR="00A20832" w:rsidRPr="00576AF8" w:rsidRDefault="00A20832" w:rsidP="00A35BE3">
            <w:pPr>
              <w:keepNext/>
              <w:keepLines/>
              <w:spacing w:before="240" w:after="0"/>
              <w:ind w:right="-72" w:firstLine="14"/>
              <w:outlineLvl w:val="4"/>
            </w:pPr>
            <w:r w:rsidRPr="00576AF8">
              <w:t>CGC 28.3</w:t>
            </w:r>
          </w:p>
        </w:tc>
        <w:tc>
          <w:tcPr>
            <w:tcW w:w="7476" w:type="dxa"/>
          </w:tcPr>
          <w:p w14:paraId="06142663" w14:textId="77777777" w:rsidR="00A20832" w:rsidRPr="00576AF8" w:rsidRDefault="00A20832" w:rsidP="003223AD">
            <w:pPr>
              <w:keepNext/>
              <w:keepLines/>
              <w:spacing w:before="240" w:after="160"/>
              <w:ind w:right="42"/>
              <w:outlineLvl w:val="4"/>
            </w:pPr>
            <w:r w:rsidRPr="00576AF8">
              <w:rPr>
                <w:rStyle w:val="preparersnote"/>
              </w:rPr>
              <w:t>No hay Condiciones Especiales del Contrato aplicables a la cláusula 28.3 de las CGC.</w:t>
            </w:r>
          </w:p>
        </w:tc>
      </w:tr>
    </w:tbl>
    <w:p w14:paraId="0A237DED" w14:textId="77777777" w:rsidR="00A20832" w:rsidRPr="00576AF8" w:rsidRDefault="00A20832">
      <w:pPr>
        <w:pStyle w:val="Head72"/>
        <w:numPr>
          <w:ilvl w:val="0"/>
          <w:numId w:val="34"/>
        </w:numPr>
      </w:pPr>
      <w:bookmarkStart w:id="1690" w:name="_Toc521497320"/>
      <w:bookmarkStart w:id="1691" w:name="_Toc252363634"/>
      <w:bookmarkStart w:id="1692" w:name="_Toc488961704"/>
      <w:r w:rsidRPr="00576AF8">
        <w:t>Responsabilidad por defectos (cláusula 29 de las CGC)</w:t>
      </w:r>
      <w:bookmarkEnd w:id="1690"/>
      <w:bookmarkEnd w:id="1691"/>
      <w:bookmarkEnd w:id="1692"/>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249CDBAE" w14:textId="77777777" w:rsidTr="001767DA">
        <w:tc>
          <w:tcPr>
            <w:tcW w:w="1872" w:type="dxa"/>
          </w:tcPr>
          <w:p w14:paraId="0EA29975" w14:textId="77777777" w:rsidR="00A20832" w:rsidRPr="00576AF8" w:rsidRDefault="00A20832" w:rsidP="00A35BE3">
            <w:pPr>
              <w:keepNext/>
              <w:keepLines/>
              <w:spacing w:before="240" w:after="0"/>
              <w:ind w:right="-72" w:firstLine="14"/>
              <w:outlineLvl w:val="4"/>
            </w:pPr>
            <w:r w:rsidRPr="00576AF8">
              <w:lastRenderedPageBreak/>
              <w:t>CGC 29.1</w:t>
            </w:r>
          </w:p>
        </w:tc>
        <w:tc>
          <w:tcPr>
            <w:tcW w:w="7476" w:type="dxa"/>
          </w:tcPr>
          <w:p w14:paraId="0EE5E55D" w14:textId="77777777" w:rsidR="00A20832" w:rsidRPr="00576AF8" w:rsidRDefault="00A20832" w:rsidP="002847E6">
            <w:pPr>
              <w:keepNext/>
              <w:keepLines/>
              <w:spacing w:before="240" w:after="160"/>
              <w:ind w:right="42"/>
              <w:outlineLvl w:val="4"/>
            </w:pPr>
            <w:r w:rsidRPr="00576AF8">
              <w:rPr>
                <w:rStyle w:val="preparersnote"/>
              </w:rPr>
              <w:t>No hay Condiciones Especiales del Contrato aplicables a la cláusula 29.1 de las CGC.</w:t>
            </w:r>
            <w:r w:rsidRPr="00576AF8">
              <w:t xml:space="preserve"> </w:t>
            </w:r>
          </w:p>
        </w:tc>
      </w:tr>
      <w:tr w:rsidR="00A20832" w:rsidRPr="00576AF8" w14:paraId="70CDBCFB" w14:textId="77777777" w:rsidTr="001767DA">
        <w:tc>
          <w:tcPr>
            <w:tcW w:w="1872" w:type="dxa"/>
          </w:tcPr>
          <w:p w14:paraId="30A47336" w14:textId="77777777" w:rsidR="00A20832" w:rsidRPr="00576AF8" w:rsidRDefault="00A20832" w:rsidP="00A35BE3">
            <w:pPr>
              <w:keepNext/>
              <w:keepLines/>
              <w:spacing w:before="240" w:after="0"/>
              <w:ind w:right="-72" w:firstLine="14"/>
              <w:outlineLvl w:val="4"/>
            </w:pPr>
            <w:r w:rsidRPr="00576AF8">
              <w:t>CGC 29.4</w:t>
            </w:r>
          </w:p>
        </w:tc>
        <w:tc>
          <w:tcPr>
            <w:tcW w:w="7476" w:type="dxa"/>
          </w:tcPr>
          <w:p w14:paraId="2FE49FA8" w14:textId="77777777" w:rsidR="00A20832" w:rsidRPr="00576AF8" w:rsidRDefault="00A20832" w:rsidP="002847E6">
            <w:pPr>
              <w:keepNext/>
              <w:keepLines/>
              <w:spacing w:before="240" w:after="160"/>
              <w:ind w:right="42"/>
              <w:outlineLvl w:val="4"/>
            </w:pPr>
            <w:r w:rsidRPr="00576AF8">
              <w:rPr>
                <w:rStyle w:val="preparersnote"/>
              </w:rPr>
              <w:t>No hay Condiciones Especiales del Contrato aplicables a la cláusula 29.4 de las CGC.</w:t>
            </w:r>
          </w:p>
        </w:tc>
      </w:tr>
      <w:tr w:rsidR="00A20832" w:rsidRPr="00576AF8" w14:paraId="6F7541D2" w14:textId="77777777" w:rsidTr="001767DA">
        <w:tc>
          <w:tcPr>
            <w:tcW w:w="1872" w:type="dxa"/>
          </w:tcPr>
          <w:p w14:paraId="1FD7D7EE" w14:textId="77777777" w:rsidR="00A20832" w:rsidRPr="00576AF8" w:rsidRDefault="00A20832" w:rsidP="00A35BE3">
            <w:pPr>
              <w:keepNext/>
              <w:keepLines/>
              <w:spacing w:before="240" w:after="0"/>
              <w:ind w:right="-72" w:firstLine="14"/>
              <w:outlineLvl w:val="4"/>
            </w:pPr>
            <w:r w:rsidRPr="00576AF8">
              <w:t>CGC 29.10</w:t>
            </w:r>
          </w:p>
        </w:tc>
        <w:tc>
          <w:tcPr>
            <w:tcW w:w="7476" w:type="dxa"/>
          </w:tcPr>
          <w:p w14:paraId="36838AEC" w14:textId="77777777" w:rsidR="00A20832" w:rsidRPr="00576AF8" w:rsidRDefault="00A20832" w:rsidP="002847E6">
            <w:pPr>
              <w:pStyle w:val="explanatoryclause"/>
              <w:spacing w:after="240"/>
              <w:ind w:left="0" w:right="42" w:firstLine="0"/>
              <w:jc w:val="both"/>
              <w:rPr>
                <w:rFonts w:ascii="Times New Roman" w:hAnsi="Times New Roman"/>
                <w:b/>
                <w:i/>
                <w:iCs/>
                <w:sz w:val="24"/>
                <w:szCs w:val="24"/>
              </w:rPr>
            </w:pPr>
            <w:r w:rsidRPr="00576AF8">
              <w:rPr>
                <w:rStyle w:val="preparersnote"/>
                <w:rFonts w:ascii="Times New Roman" w:hAnsi="Times New Roman"/>
                <w:sz w:val="24"/>
                <w:szCs w:val="24"/>
              </w:rPr>
              <w:t>No hay Condiciones Especiales del Contrato aplicables a la cláusula 29.10 de las CGC.</w:t>
            </w:r>
            <w:r w:rsidRPr="00576AF8">
              <w:rPr>
                <w:rFonts w:ascii="Times New Roman" w:hAnsi="Times New Roman"/>
                <w:szCs w:val="18"/>
              </w:rPr>
              <w:t xml:space="preserve"> </w:t>
            </w:r>
          </w:p>
        </w:tc>
      </w:tr>
    </w:tbl>
    <w:p w14:paraId="006AF713" w14:textId="77777777" w:rsidR="00A20832" w:rsidRPr="00576AF8" w:rsidRDefault="00A20832">
      <w:pPr>
        <w:pStyle w:val="Head72"/>
        <w:pageBreakBefore/>
        <w:numPr>
          <w:ilvl w:val="0"/>
          <w:numId w:val="34"/>
        </w:numPr>
        <w:ind w:left="714" w:hanging="357"/>
      </w:pPr>
      <w:bookmarkStart w:id="1693" w:name="_Toc521497321"/>
      <w:bookmarkStart w:id="1694" w:name="_Toc252363635"/>
      <w:bookmarkStart w:id="1695" w:name="_Toc488961705"/>
      <w:r w:rsidRPr="00576AF8">
        <w:lastRenderedPageBreak/>
        <w:t>Garantías de funcionamiento (cláusula 30 de las CGC)</w:t>
      </w:r>
      <w:bookmarkEnd w:id="1693"/>
      <w:bookmarkEnd w:id="1694"/>
      <w:bookmarkEnd w:id="169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53285A21" w14:textId="77777777" w:rsidTr="00A01897">
        <w:tc>
          <w:tcPr>
            <w:tcW w:w="1872" w:type="dxa"/>
          </w:tcPr>
          <w:p w14:paraId="22954907" w14:textId="77777777" w:rsidR="00A20832" w:rsidRPr="00576AF8" w:rsidRDefault="00A20832" w:rsidP="00A35BE3">
            <w:pPr>
              <w:keepNext/>
              <w:keepLines/>
              <w:spacing w:before="240" w:after="0"/>
              <w:ind w:right="-72" w:firstLine="14"/>
              <w:outlineLvl w:val="4"/>
            </w:pPr>
            <w:r w:rsidRPr="00576AF8">
              <w:t xml:space="preserve"> CGC 30</w:t>
            </w:r>
          </w:p>
        </w:tc>
        <w:tc>
          <w:tcPr>
            <w:tcW w:w="7476" w:type="dxa"/>
          </w:tcPr>
          <w:p w14:paraId="541F6311" w14:textId="77777777" w:rsidR="00A20832" w:rsidRPr="00576AF8" w:rsidRDefault="00A20832" w:rsidP="002847E6">
            <w:pPr>
              <w:spacing w:after="160"/>
              <w:ind w:right="42"/>
              <w:rPr>
                <w:i/>
                <w:iCs/>
              </w:rPr>
            </w:pPr>
            <w:r w:rsidRPr="00576AF8">
              <w:rPr>
                <w:rStyle w:val="preparersnote"/>
              </w:rPr>
              <w:t>No hay Condiciones Especiales del Contrato aplicables a la cláusula 30 de las CGC.</w:t>
            </w:r>
          </w:p>
        </w:tc>
      </w:tr>
    </w:tbl>
    <w:p w14:paraId="4E168924" w14:textId="77777777" w:rsidR="00A20832" w:rsidRPr="00576AF8" w:rsidRDefault="00A20832" w:rsidP="00A20832">
      <w:pPr>
        <w:pStyle w:val="Head71"/>
        <w:rPr>
          <w:rFonts w:ascii="Times New Roman" w:hAnsi="Times New Roman"/>
        </w:rPr>
      </w:pPr>
      <w:bookmarkStart w:id="1696" w:name="_Toc521497325"/>
      <w:bookmarkStart w:id="1697" w:name="_Toc252363639"/>
      <w:bookmarkStart w:id="1698" w:name="_Toc488961706"/>
      <w:r w:rsidRPr="00576AF8">
        <w:rPr>
          <w:rFonts w:ascii="Times New Roman" w:hAnsi="Times New Roman"/>
        </w:rPr>
        <w:t>G.</w:t>
      </w:r>
      <w:r w:rsidR="00A01897" w:rsidRPr="00576AF8">
        <w:rPr>
          <w:rFonts w:ascii="Times New Roman" w:hAnsi="Times New Roman"/>
        </w:rPr>
        <w:t xml:space="preserve">  </w:t>
      </w:r>
      <w:r w:rsidRPr="00576AF8">
        <w:rPr>
          <w:rFonts w:ascii="Times New Roman" w:hAnsi="Times New Roman"/>
        </w:rPr>
        <w:t>Distribución de los riesgos</w:t>
      </w:r>
      <w:bookmarkEnd w:id="1696"/>
      <w:bookmarkEnd w:id="1697"/>
      <w:bookmarkEnd w:id="1698"/>
    </w:p>
    <w:p w14:paraId="51980C29" w14:textId="77777777" w:rsidR="00A20832" w:rsidRPr="00576AF8" w:rsidRDefault="00A20832">
      <w:pPr>
        <w:pStyle w:val="Head72"/>
        <w:numPr>
          <w:ilvl w:val="0"/>
          <w:numId w:val="34"/>
        </w:numPr>
      </w:pPr>
      <w:bookmarkStart w:id="1699" w:name="_Toc521497329"/>
      <w:bookmarkStart w:id="1700" w:name="_Toc252363643"/>
      <w:bookmarkStart w:id="1701" w:name="_Toc488961707"/>
      <w:r w:rsidRPr="00576AF8">
        <w:t>Seguros (cláusula 37 de las CGC)</w:t>
      </w:r>
      <w:bookmarkEnd w:id="1699"/>
      <w:bookmarkEnd w:id="1700"/>
      <w:bookmarkEnd w:id="170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5AB05D7E" w14:textId="77777777" w:rsidTr="00AB06F9">
        <w:trPr>
          <w:trHeight w:val="3031"/>
        </w:trPr>
        <w:tc>
          <w:tcPr>
            <w:tcW w:w="1872" w:type="dxa"/>
          </w:tcPr>
          <w:p w14:paraId="511751D1" w14:textId="77777777" w:rsidR="00A20832" w:rsidRPr="00576AF8" w:rsidRDefault="00A20832" w:rsidP="00A35BE3">
            <w:pPr>
              <w:keepNext/>
              <w:keepLines/>
              <w:spacing w:before="240" w:after="0"/>
              <w:ind w:right="-72" w:firstLine="14"/>
              <w:outlineLvl w:val="4"/>
            </w:pPr>
            <w:r w:rsidRPr="00576AF8">
              <w:t xml:space="preserve">CGC 37.1 </w:t>
            </w:r>
            <w:r w:rsidR="00A01897" w:rsidRPr="00576AF8">
              <w:t>(</w:t>
            </w:r>
            <w:r w:rsidRPr="00576AF8">
              <w:t>c)</w:t>
            </w:r>
          </w:p>
        </w:tc>
        <w:tc>
          <w:tcPr>
            <w:tcW w:w="7476" w:type="dxa"/>
          </w:tcPr>
          <w:p w14:paraId="2F83BD0C" w14:textId="12665943" w:rsidR="00A20832" w:rsidRPr="00AB06F9" w:rsidRDefault="00A20832" w:rsidP="004313F3">
            <w:pPr>
              <w:keepNext/>
              <w:keepLines/>
              <w:spacing w:before="240" w:after="240"/>
              <w:outlineLvl w:val="4"/>
              <w:rPr>
                <w:rStyle w:val="preparersnote"/>
                <w:b w:val="0"/>
              </w:rPr>
            </w:pPr>
            <w:r w:rsidRPr="00AB06F9">
              <w:t xml:space="preserve">El Proveedor obtendrá un seguro contra daños a terceros por un monto </w:t>
            </w:r>
            <w:r w:rsidR="00770767" w:rsidRPr="00AB06F9">
              <w:t>correspondiente al</w:t>
            </w:r>
            <w:r w:rsidRPr="00AB06F9">
              <w:t xml:space="preserve"> </w:t>
            </w:r>
            <w:r w:rsidR="00770767" w:rsidRPr="00AB06F9">
              <w:t>10% del valor del contrato</w:t>
            </w:r>
            <w:r w:rsidRPr="00AB06F9">
              <w:rPr>
                <w:rStyle w:val="preparersnote"/>
                <w:b w:val="0"/>
              </w:rPr>
              <w:t xml:space="preserve">, </w:t>
            </w:r>
            <w:r w:rsidRPr="00AB06F9">
              <w:t xml:space="preserve">con una franquicia de no más de </w:t>
            </w:r>
            <w:r w:rsidR="00770767" w:rsidRPr="00AB06F9">
              <w:t xml:space="preserve">0,05% </w:t>
            </w:r>
            <w:r w:rsidR="00A14481" w:rsidRPr="00AB06F9">
              <w:t>del valor del contrato</w:t>
            </w:r>
            <w:r w:rsidRPr="00AB06F9">
              <w:rPr>
                <w:rStyle w:val="preparersnote"/>
                <w:b w:val="0"/>
              </w:rPr>
              <w:t>.</w:t>
            </w:r>
            <w:r w:rsidRPr="00AB06F9">
              <w:t xml:space="preserve"> Los asegurados serán: </w:t>
            </w:r>
            <w:r w:rsidR="00770767" w:rsidRPr="00AB06F9">
              <w:t>el Ministerio de Energía y Minas - MEM y el Operador Nacional de Electricidad - CENACE</w:t>
            </w:r>
            <w:r w:rsidRPr="00AB06F9">
              <w:t>. El seguro abarcará el período comprendido entre</w:t>
            </w:r>
            <w:r w:rsidR="00215FEC" w:rsidRPr="00AB06F9">
              <w:t xml:space="preserve"> la </w:t>
            </w:r>
            <w:r w:rsidRPr="00AB06F9">
              <w:t>fecha de entrada en vigor del Contrato y</w:t>
            </w:r>
            <w:r w:rsidRPr="00AB06F9">
              <w:rPr>
                <w:b/>
              </w:rPr>
              <w:t xml:space="preserve"> </w:t>
            </w:r>
            <w:r w:rsidRPr="00AB06F9">
              <w:rPr>
                <w:rStyle w:val="preparersnote"/>
                <w:b w:val="0"/>
                <w:i w:val="0"/>
                <w:iCs w:val="0"/>
              </w:rPr>
              <w:t>la fecha de terminación del Contrato.</w:t>
            </w:r>
          </w:p>
          <w:p w14:paraId="06AA9F5D" w14:textId="510294A1" w:rsidR="003246E9" w:rsidRPr="00AB06F9" w:rsidRDefault="003246E9" w:rsidP="004313F3">
            <w:pPr>
              <w:keepNext/>
              <w:keepLines/>
              <w:spacing w:before="240" w:after="240"/>
              <w:outlineLvl w:val="4"/>
            </w:pPr>
            <w:r w:rsidRPr="00AB06F9">
              <w:t>En caso de a</w:t>
            </w:r>
            <w:r w:rsidR="009C4DF7" w:rsidRPr="00AB06F9">
              <w:t>m</w:t>
            </w:r>
            <w:r w:rsidRPr="00AB06F9">
              <w:t>pliación de la fecha de terminación del contrato, el Contratista se obliga a contratar una nueva póliza en los mismos términos y condiciones hasta que el contrato finalice.</w:t>
            </w:r>
          </w:p>
        </w:tc>
      </w:tr>
      <w:tr w:rsidR="00A20832" w:rsidRPr="00576AF8" w14:paraId="4B99861A" w14:textId="77777777" w:rsidTr="00A01897">
        <w:tc>
          <w:tcPr>
            <w:tcW w:w="1872" w:type="dxa"/>
          </w:tcPr>
          <w:p w14:paraId="3AFF9925" w14:textId="77777777" w:rsidR="00A20832" w:rsidRPr="00576AF8" w:rsidRDefault="004A2D0D" w:rsidP="00A35BE3">
            <w:pPr>
              <w:keepNext/>
              <w:keepLines/>
              <w:spacing w:before="240" w:after="0"/>
              <w:ind w:right="-72" w:firstLine="14"/>
              <w:outlineLvl w:val="4"/>
            </w:pPr>
            <w:r w:rsidRPr="00576AF8">
              <w:t>C</w:t>
            </w:r>
            <w:r w:rsidR="00A20832" w:rsidRPr="00576AF8">
              <w:t xml:space="preserve">GC 37.1 </w:t>
            </w:r>
            <w:r w:rsidR="00A01897" w:rsidRPr="00576AF8">
              <w:t>(</w:t>
            </w:r>
            <w:r w:rsidR="00A20832" w:rsidRPr="00576AF8">
              <w:t>e)</w:t>
            </w:r>
          </w:p>
        </w:tc>
        <w:tc>
          <w:tcPr>
            <w:tcW w:w="7476" w:type="dxa"/>
          </w:tcPr>
          <w:p w14:paraId="7AA2E945" w14:textId="77777777" w:rsidR="00A20832" w:rsidRPr="00576AF8" w:rsidRDefault="00A20832" w:rsidP="004313F3">
            <w:pPr>
              <w:spacing w:after="160"/>
              <w:ind w:firstLine="14"/>
              <w:rPr>
                <w:rStyle w:val="preparersnote"/>
              </w:rPr>
            </w:pPr>
            <w:r w:rsidRPr="00576AF8">
              <w:rPr>
                <w:rStyle w:val="preparersnote"/>
              </w:rPr>
              <w:t xml:space="preserve">Condiciones Especiales del Contrato aplicables a la </w:t>
            </w:r>
            <w:r w:rsidR="00A01897" w:rsidRPr="00576AF8">
              <w:rPr>
                <w:rStyle w:val="preparersnote"/>
              </w:rPr>
              <w:br/>
            </w:r>
            <w:r w:rsidRPr="00576AF8">
              <w:rPr>
                <w:rStyle w:val="preparersnote"/>
              </w:rPr>
              <w:t xml:space="preserve">cláusula 37.1 </w:t>
            </w:r>
            <w:r w:rsidR="00A01897" w:rsidRPr="00576AF8">
              <w:rPr>
                <w:rStyle w:val="preparersnote"/>
              </w:rPr>
              <w:t>(</w:t>
            </w:r>
            <w:r w:rsidRPr="00576AF8">
              <w:rPr>
                <w:rStyle w:val="preparersnote"/>
              </w:rPr>
              <w:t>e) de las CGC.</w:t>
            </w:r>
          </w:p>
          <w:p w14:paraId="4B9420D9" w14:textId="77777777" w:rsidR="002847E6" w:rsidRPr="00AB06F9" w:rsidRDefault="002847E6" w:rsidP="00AB06F9">
            <w:pPr>
              <w:keepNext/>
              <w:keepLines/>
              <w:spacing w:before="240" w:after="240"/>
              <w:outlineLvl w:val="4"/>
            </w:pPr>
            <w:r w:rsidRPr="00AB06F9">
              <w:t xml:space="preserve">Seguro contra daños al personal del </w:t>
            </w:r>
            <w:proofErr w:type="gramStart"/>
            <w:r w:rsidRPr="00AB06F9">
              <w:t>proveedor.-</w:t>
            </w:r>
            <w:proofErr w:type="gramEnd"/>
            <w:r w:rsidRPr="00AB06F9">
              <w:t xml:space="preserve"> Este seguro cubrirá las lesiones corporales o la muerte del personal del proveedor y las pérdidas o daños materiales que se produzcan en relación con el suministro y la instalación del Sistema Informático. Este seguro estará vigente desde la entrada en vigor del contrato hasta la aceptación operativa del sistema.</w:t>
            </w:r>
          </w:p>
          <w:p w14:paraId="0CBD0C9C" w14:textId="77777777" w:rsidR="00A20832" w:rsidRPr="00576AF8" w:rsidRDefault="00A20832" w:rsidP="00A01897">
            <w:pPr>
              <w:keepNext/>
              <w:keepLines/>
              <w:spacing w:before="240" w:after="240"/>
              <w:ind w:left="734" w:hanging="720"/>
              <w:jc w:val="left"/>
              <w:outlineLvl w:val="4"/>
            </w:pPr>
          </w:p>
        </w:tc>
      </w:tr>
    </w:tbl>
    <w:p w14:paraId="5BBA6D95" w14:textId="77777777" w:rsidR="00A20832" w:rsidRPr="00576AF8" w:rsidRDefault="00A20832" w:rsidP="00A20832">
      <w:pPr>
        <w:pStyle w:val="Head71"/>
        <w:rPr>
          <w:rFonts w:ascii="Times New Roman" w:hAnsi="Times New Roman"/>
        </w:rPr>
      </w:pPr>
      <w:bookmarkStart w:id="1702" w:name="_Toc521497331"/>
      <w:bookmarkStart w:id="1703" w:name="_Toc252363645"/>
      <w:bookmarkStart w:id="1704" w:name="_Toc488961708"/>
      <w:r w:rsidRPr="00576AF8">
        <w:rPr>
          <w:rFonts w:ascii="Times New Roman" w:hAnsi="Times New Roman"/>
        </w:rPr>
        <w:t>H.</w:t>
      </w:r>
      <w:r w:rsidR="00A01897" w:rsidRPr="00576AF8">
        <w:rPr>
          <w:rFonts w:ascii="Times New Roman" w:hAnsi="Times New Roman"/>
        </w:rPr>
        <w:t xml:space="preserve">  </w:t>
      </w:r>
      <w:r w:rsidRPr="00576AF8">
        <w:rPr>
          <w:rFonts w:ascii="Times New Roman" w:hAnsi="Times New Roman"/>
        </w:rPr>
        <w:t>Cambio en los elementos del Contrato</w:t>
      </w:r>
      <w:bookmarkEnd w:id="1702"/>
      <w:bookmarkEnd w:id="1703"/>
      <w:bookmarkEnd w:id="1704"/>
    </w:p>
    <w:p w14:paraId="1A0ADAAD" w14:textId="77777777" w:rsidR="00A20832" w:rsidRPr="00576AF8" w:rsidRDefault="00A20832">
      <w:pPr>
        <w:pStyle w:val="Head72"/>
        <w:numPr>
          <w:ilvl w:val="0"/>
          <w:numId w:val="34"/>
        </w:numPr>
      </w:pPr>
      <w:bookmarkStart w:id="1705" w:name="_Toc521497332"/>
      <w:bookmarkStart w:id="1706" w:name="_Toc252363646"/>
      <w:bookmarkStart w:id="1707" w:name="_Toc488961709"/>
      <w:r w:rsidRPr="00576AF8">
        <w:t>Cambios en el Sistema (cláusula 39 de las CGC)</w:t>
      </w:r>
      <w:bookmarkEnd w:id="1705"/>
      <w:bookmarkEnd w:id="1706"/>
      <w:bookmarkEnd w:id="170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236BC937" w14:textId="77777777" w:rsidTr="00A01897">
        <w:trPr>
          <w:trHeight w:val="1767"/>
        </w:trPr>
        <w:tc>
          <w:tcPr>
            <w:tcW w:w="1872" w:type="dxa"/>
          </w:tcPr>
          <w:p w14:paraId="2D73E7C1" w14:textId="77777777" w:rsidR="00A20832" w:rsidRPr="00576AF8" w:rsidRDefault="00A20832" w:rsidP="00A35BE3">
            <w:pPr>
              <w:keepNext/>
              <w:keepLines/>
              <w:spacing w:before="240" w:after="0"/>
              <w:ind w:right="-72" w:firstLine="14"/>
              <w:outlineLvl w:val="4"/>
            </w:pPr>
            <w:r w:rsidRPr="00576AF8">
              <w:t>CGC 39.4</w:t>
            </w:r>
          </w:p>
        </w:tc>
        <w:tc>
          <w:tcPr>
            <w:tcW w:w="7476" w:type="dxa"/>
          </w:tcPr>
          <w:p w14:paraId="528EA6D6" w14:textId="77777777" w:rsidR="00A20832" w:rsidRPr="00576AF8" w:rsidRDefault="00A20832" w:rsidP="00A35BE3">
            <w:pPr>
              <w:pStyle w:val="S8Header1"/>
              <w:keepNext/>
              <w:keepLines/>
              <w:outlineLvl w:val="4"/>
            </w:pPr>
            <w:r w:rsidRPr="00576AF8">
              <w:t>Ingeniería de valor</w:t>
            </w:r>
          </w:p>
          <w:p w14:paraId="45A343C5" w14:textId="77777777" w:rsidR="00A20832" w:rsidRPr="00576AF8" w:rsidRDefault="00A20832" w:rsidP="00DD028E">
            <w:pPr>
              <w:rPr>
                <w:rStyle w:val="preparersnote"/>
                <w:b w:val="0"/>
              </w:rPr>
            </w:pPr>
            <w:r w:rsidRPr="00576AF8">
              <w:t xml:space="preserve">Si el Comprador aprueba la propuesta de ingeniería de valor, el monto que se ha de pagar al Proveedor será del </w:t>
            </w:r>
            <w:r w:rsidR="002847E6" w:rsidRPr="00576AF8">
              <w:t>10</w:t>
            </w:r>
            <w:r w:rsidRPr="00576AF8">
              <w:t xml:space="preserve">% de la reducción en el precio del Contrato. </w:t>
            </w:r>
          </w:p>
        </w:tc>
      </w:tr>
    </w:tbl>
    <w:p w14:paraId="791304FD" w14:textId="77777777" w:rsidR="00A20832" w:rsidRPr="00576AF8" w:rsidRDefault="00A20832" w:rsidP="00A20832"/>
    <w:p w14:paraId="69B35F16" w14:textId="77777777" w:rsidR="00A20832" w:rsidRPr="00576AF8" w:rsidRDefault="00A20832" w:rsidP="00A20832">
      <w:pPr>
        <w:pStyle w:val="Head71"/>
        <w:rPr>
          <w:rFonts w:ascii="Times New Roman" w:hAnsi="Times New Roman"/>
        </w:rPr>
      </w:pPr>
      <w:bookmarkStart w:id="1708" w:name="_Toc277233789"/>
      <w:bookmarkStart w:id="1709" w:name="_Toc488961710"/>
      <w:r w:rsidRPr="00576AF8">
        <w:rPr>
          <w:rFonts w:ascii="Times New Roman" w:hAnsi="Times New Roman"/>
        </w:rPr>
        <w:lastRenderedPageBreak/>
        <w:t>I.</w:t>
      </w:r>
      <w:r w:rsidR="00A01897" w:rsidRPr="00576AF8">
        <w:rPr>
          <w:rFonts w:ascii="Times New Roman" w:hAnsi="Times New Roman"/>
        </w:rPr>
        <w:t xml:space="preserve">  </w:t>
      </w:r>
      <w:r w:rsidRPr="00576AF8">
        <w:rPr>
          <w:rFonts w:ascii="Times New Roman" w:hAnsi="Times New Roman"/>
        </w:rPr>
        <w:t>Solución de controversias</w:t>
      </w:r>
      <w:bookmarkEnd w:id="1708"/>
      <w:bookmarkEnd w:id="1709"/>
    </w:p>
    <w:p w14:paraId="2153AE87" w14:textId="77777777" w:rsidR="00A20832" w:rsidRPr="00576AF8" w:rsidRDefault="00A20832">
      <w:pPr>
        <w:pStyle w:val="Head72"/>
        <w:numPr>
          <w:ilvl w:val="0"/>
          <w:numId w:val="34"/>
        </w:numPr>
      </w:pPr>
      <w:bookmarkStart w:id="1710" w:name="_Toc277233790"/>
      <w:bookmarkStart w:id="1711" w:name="_Toc488961711"/>
      <w:r w:rsidRPr="00576AF8">
        <w:t>Solución de controversias (cláusula 43 de las CGC)</w:t>
      </w:r>
      <w:bookmarkEnd w:id="1710"/>
      <w:bookmarkEnd w:id="171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76AF8" w14:paraId="76ECBF2B" w14:textId="77777777" w:rsidTr="00A01897">
        <w:tc>
          <w:tcPr>
            <w:tcW w:w="1872" w:type="dxa"/>
          </w:tcPr>
          <w:p w14:paraId="225B3B39" w14:textId="77777777" w:rsidR="00A20832" w:rsidRPr="00576AF8" w:rsidRDefault="00A20832" w:rsidP="00A35BE3">
            <w:pPr>
              <w:keepNext/>
              <w:keepLines/>
              <w:spacing w:before="240" w:after="0"/>
              <w:ind w:right="-72" w:firstLine="14"/>
              <w:outlineLvl w:val="4"/>
            </w:pPr>
            <w:r w:rsidRPr="00576AF8">
              <w:t>CGC 43.1.4</w:t>
            </w:r>
          </w:p>
        </w:tc>
        <w:tc>
          <w:tcPr>
            <w:tcW w:w="7476" w:type="dxa"/>
          </w:tcPr>
          <w:p w14:paraId="20FBCCCE" w14:textId="55858685" w:rsidR="00A20832" w:rsidRPr="00576AF8" w:rsidRDefault="00A20832" w:rsidP="004313F3">
            <w:pPr>
              <w:keepNext/>
              <w:keepLines/>
              <w:spacing w:before="240" w:after="240"/>
              <w:outlineLvl w:val="4"/>
            </w:pPr>
            <w:r w:rsidRPr="00576AF8">
              <w:t xml:space="preserve">La autoridad nominadora del conciliador es: </w:t>
            </w:r>
            <w:r w:rsidR="00B42735" w:rsidRPr="00B42735">
              <w:rPr>
                <w:rStyle w:val="preparersnote"/>
                <w:b w:val="0"/>
                <w:i w:val="0"/>
                <w:iCs w:val="0"/>
              </w:rPr>
              <w:t>Electric Power Research Institute - EPRI</w:t>
            </w:r>
          </w:p>
        </w:tc>
      </w:tr>
      <w:tr w:rsidR="00A20832" w:rsidRPr="00576AF8" w14:paraId="255761DF" w14:textId="77777777" w:rsidTr="00A01897">
        <w:tc>
          <w:tcPr>
            <w:tcW w:w="1872" w:type="dxa"/>
          </w:tcPr>
          <w:p w14:paraId="736EC7A2" w14:textId="77777777" w:rsidR="00A20832" w:rsidRPr="00576AF8" w:rsidRDefault="00A20832" w:rsidP="00A35BE3">
            <w:pPr>
              <w:keepNext/>
              <w:keepLines/>
              <w:spacing w:before="240" w:after="0"/>
              <w:ind w:right="-72" w:firstLine="14"/>
              <w:outlineLvl w:val="4"/>
            </w:pPr>
            <w:r w:rsidRPr="00576AF8">
              <w:t>CGC 43.2.3</w:t>
            </w:r>
          </w:p>
        </w:tc>
        <w:tc>
          <w:tcPr>
            <w:tcW w:w="7476" w:type="dxa"/>
          </w:tcPr>
          <w:p w14:paraId="4E8FD64B" w14:textId="77777777" w:rsidR="00B966E6" w:rsidRPr="00B966E6" w:rsidRDefault="00B966E6" w:rsidP="00B966E6">
            <w:pPr>
              <w:keepNext/>
              <w:keepLines/>
              <w:spacing w:before="240" w:after="240"/>
              <w:outlineLvl w:val="4"/>
              <w:rPr>
                <w:rStyle w:val="preparersnote"/>
                <w:b w:val="0"/>
                <w:i w:val="0"/>
              </w:rPr>
            </w:pPr>
            <w:r w:rsidRPr="00B966E6">
              <w:rPr>
                <w:rStyle w:val="preparersnote"/>
                <w:b w:val="0"/>
                <w:i w:val="0"/>
              </w:rPr>
              <w:t xml:space="preserve">Si el Proveedor no reside en el país del Comprador, los procedimientos arbitrales se efectuarán en derecho y se regirán por las normas de arbitraje del Reglamento de Arbitraje de la Cámara de Comercio Internacional (CCI). Estas normas, en la versión que se encuentre vigente al momento en que se solicite el arbitraje, se considerarán parte del presente Contrato.   </w:t>
            </w:r>
          </w:p>
          <w:p w14:paraId="7F1CE74A" w14:textId="77777777" w:rsidR="00B966E6" w:rsidRPr="00B966E6" w:rsidRDefault="00B966E6" w:rsidP="00B966E6">
            <w:pPr>
              <w:keepNext/>
              <w:keepLines/>
              <w:spacing w:before="240" w:after="240"/>
              <w:outlineLvl w:val="4"/>
              <w:rPr>
                <w:rStyle w:val="preparersnote"/>
                <w:b w:val="0"/>
                <w:i w:val="0"/>
              </w:rPr>
            </w:pPr>
            <w:r w:rsidRPr="00B966E6">
              <w:rPr>
                <w:rStyle w:val="preparersnote"/>
                <w:b w:val="0"/>
                <w:i w:val="0"/>
              </w:rPr>
              <w:t>La sede del arbitraje será de Santiago de Chile.</w:t>
            </w:r>
          </w:p>
          <w:p w14:paraId="12E1FF3E" w14:textId="77777777" w:rsidR="00B966E6" w:rsidRPr="00B966E6" w:rsidRDefault="00B966E6" w:rsidP="00B966E6">
            <w:pPr>
              <w:keepNext/>
              <w:keepLines/>
              <w:spacing w:before="240" w:after="240"/>
              <w:outlineLvl w:val="4"/>
              <w:rPr>
                <w:rStyle w:val="preparersnote"/>
                <w:b w:val="0"/>
                <w:i w:val="0"/>
              </w:rPr>
            </w:pPr>
            <w:r w:rsidRPr="00B966E6">
              <w:rPr>
                <w:rStyle w:val="preparersnote"/>
                <w:b w:val="0"/>
                <w:i w:val="0"/>
              </w:rPr>
              <w:t>El idioma del arbitraje será el español.</w:t>
            </w:r>
          </w:p>
          <w:p w14:paraId="03099CA8" w14:textId="77777777" w:rsidR="00B966E6" w:rsidRPr="00B966E6" w:rsidRDefault="00B966E6" w:rsidP="00B966E6">
            <w:pPr>
              <w:keepNext/>
              <w:keepLines/>
              <w:spacing w:before="240" w:after="240"/>
              <w:outlineLvl w:val="4"/>
              <w:rPr>
                <w:rStyle w:val="preparersnote"/>
                <w:b w:val="0"/>
                <w:i w:val="0"/>
              </w:rPr>
            </w:pPr>
            <w:r w:rsidRPr="00B966E6">
              <w:rPr>
                <w:rStyle w:val="preparersnote"/>
                <w:b w:val="0"/>
                <w:i w:val="0"/>
              </w:rPr>
              <w:t xml:space="preserve">La legislación aplicable será la de la República del Ecuador </w:t>
            </w:r>
          </w:p>
          <w:p w14:paraId="22CB962D" w14:textId="77777777" w:rsidR="00B966E6" w:rsidRPr="00B966E6" w:rsidRDefault="00B966E6" w:rsidP="00B966E6">
            <w:pPr>
              <w:keepNext/>
              <w:keepLines/>
              <w:spacing w:before="240" w:after="240"/>
              <w:outlineLvl w:val="4"/>
              <w:rPr>
                <w:rStyle w:val="preparersnote"/>
                <w:b w:val="0"/>
                <w:i w:val="0"/>
              </w:rPr>
            </w:pPr>
            <w:r w:rsidRPr="00B966E6">
              <w:rPr>
                <w:rStyle w:val="preparersnote"/>
                <w:b w:val="0"/>
                <w:i w:val="0"/>
              </w:rPr>
              <w:t>Las Partes nombrarán de común acuerdo al árbitro único. Si las Partes no han nombrado al único árbitro en el plazo de 30 días siguientes a la firma del Contrato o en el plazo de 30 días siguientes al inicio de cualquier ejecución prevista en el Contrato, acogiéndose a lo que ocurra primero, o dentro de cualquier otro plazo acordado por las Partes, el Centro Internacional de ADR de la CCI nombrará, a petición de cualquiera de las Partes, al único árbitro.</w:t>
            </w:r>
          </w:p>
          <w:p w14:paraId="630080BB" w14:textId="774CF837" w:rsidR="00A20832" w:rsidRPr="00576AF8" w:rsidRDefault="00B966E6" w:rsidP="00B966E6">
            <w:pPr>
              <w:keepNext/>
              <w:keepLines/>
              <w:spacing w:before="240" w:after="240"/>
              <w:outlineLvl w:val="4"/>
            </w:pPr>
            <w:r w:rsidRPr="00B966E6">
              <w:rPr>
                <w:rStyle w:val="preparersnote"/>
                <w:b w:val="0"/>
                <w:i w:val="0"/>
              </w:rPr>
              <w:t>Dentro del convenio arbitral se establecerá que las notificaciones referentes a cualquier procedimiento de arbitraje serán realizadas también a la Procuraduría General del Estado del Ecuador.</w:t>
            </w:r>
          </w:p>
        </w:tc>
      </w:tr>
    </w:tbl>
    <w:p w14:paraId="24527CFB" w14:textId="77777777" w:rsidR="00A20832" w:rsidRPr="00576AF8" w:rsidRDefault="00A20832" w:rsidP="00A20832">
      <w:pPr>
        <w:jc w:val="center"/>
        <w:rPr>
          <w:b/>
          <w:sz w:val="32"/>
          <w:szCs w:val="32"/>
        </w:rPr>
        <w:sectPr w:rsidR="00A20832" w:rsidRPr="00576AF8" w:rsidSect="000968D2">
          <w:type w:val="oddPage"/>
          <w:pgSz w:w="12240" w:h="15840" w:code="1"/>
          <w:pgMar w:top="1440" w:right="1440" w:bottom="1440" w:left="1440" w:header="720" w:footer="720" w:gutter="0"/>
          <w:cols w:space="720"/>
          <w:docGrid w:linePitch="360"/>
        </w:sectPr>
      </w:pPr>
    </w:p>
    <w:p w14:paraId="0B918247" w14:textId="77777777" w:rsidR="00A20832" w:rsidRPr="00576AF8" w:rsidRDefault="00A20832" w:rsidP="003B1CB5">
      <w:pPr>
        <w:pStyle w:val="TDC11"/>
      </w:pPr>
      <w:bookmarkStart w:id="1712" w:name="_Toc445567401"/>
      <w:bookmarkStart w:id="1713" w:name="_Toc454907537"/>
      <w:bookmarkStart w:id="1714" w:name="_Toc28242435"/>
      <w:bookmarkStart w:id="1715" w:name="_Toc521497264"/>
      <w:bookmarkStart w:id="1716" w:name="_Toc207770097"/>
      <w:r w:rsidRPr="00576AF8">
        <w:lastRenderedPageBreak/>
        <w:t xml:space="preserve">Sección </w:t>
      </w:r>
      <w:r w:rsidR="0091459B" w:rsidRPr="00576AF8">
        <w:t>I</w:t>
      </w:r>
      <w:r w:rsidRPr="00576AF8">
        <w:t xml:space="preserve">X. </w:t>
      </w:r>
      <w:bookmarkEnd w:id="1712"/>
      <w:r w:rsidRPr="00576AF8">
        <w:t>Formularios del Contrato</w:t>
      </w:r>
      <w:bookmarkEnd w:id="1713"/>
      <w:bookmarkEnd w:id="1714"/>
    </w:p>
    <w:p w14:paraId="683F9025" w14:textId="77777777" w:rsidR="00A20832" w:rsidRPr="00576AF8" w:rsidRDefault="00A20832" w:rsidP="00A20832">
      <w:pPr>
        <w:pStyle w:val="explanatorynotes"/>
        <w:jc w:val="left"/>
        <w:rPr>
          <w:rFonts w:ascii="Times New Roman" w:hAnsi="Times New Roman"/>
        </w:rPr>
      </w:pPr>
    </w:p>
    <w:p w14:paraId="6989B7AD" w14:textId="77777777" w:rsidR="00A20832" w:rsidRPr="00576AF8" w:rsidRDefault="00A20832" w:rsidP="00A20832">
      <w:pPr>
        <w:pStyle w:val="Ttulo2"/>
        <w:rPr>
          <w:rFonts w:ascii="Times New Roman" w:hAnsi="Times New Roman"/>
        </w:rPr>
      </w:pPr>
      <w:bookmarkStart w:id="1717" w:name="_Toc445567402"/>
      <w:r w:rsidRPr="00576AF8">
        <w:rPr>
          <w:rFonts w:ascii="Times New Roman" w:hAnsi="Times New Roman"/>
        </w:rPr>
        <w:t xml:space="preserve">Notas para el Comprador sobre la preparación </w:t>
      </w:r>
      <w:bookmarkEnd w:id="1717"/>
      <w:r w:rsidRPr="00576AF8">
        <w:rPr>
          <w:rFonts w:ascii="Times New Roman" w:hAnsi="Times New Roman"/>
        </w:rPr>
        <w:t xml:space="preserve">de los formularios </w:t>
      </w:r>
      <w:r w:rsidRPr="00576AF8">
        <w:rPr>
          <w:rFonts w:ascii="Times New Roman" w:hAnsi="Times New Roman"/>
        </w:rPr>
        <w:br/>
        <w:t>del Contrato</w:t>
      </w:r>
    </w:p>
    <w:p w14:paraId="635858B0" w14:textId="77777777" w:rsidR="00A20832" w:rsidRPr="00576AF8" w:rsidRDefault="00A20832" w:rsidP="00A20832">
      <w:pPr>
        <w:pStyle w:val="explanatorynotes"/>
        <w:rPr>
          <w:rFonts w:ascii="Times New Roman" w:hAnsi="Times New Roman"/>
          <w:sz w:val="24"/>
          <w:szCs w:val="21"/>
        </w:rPr>
      </w:pPr>
      <w:r w:rsidRPr="00576AF8">
        <w:rPr>
          <w:rFonts w:ascii="Times New Roman" w:hAnsi="Times New Roman"/>
          <w:sz w:val="24"/>
          <w:szCs w:val="21"/>
        </w:rPr>
        <w:tab/>
        <w:t xml:space="preserve">Garantía de cumplimiento: Conforme a la cláusula 13.3 de las CGC, el Licitante </w:t>
      </w:r>
      <w:r w:rsidR="0056454D" w:rsidRPr="00576AF8">
        <w:rPr>
          <w:rFonts w:ascii="Times New Roman" w:hAnsi="Times New Roman"/>
          <w:sz w:val="24"/>
          <w:szCs w:val="21"/>
        </w:rPr>
        <w:t xml:space="preserve">seleccionado </w:t>
      </w:r>
      <w:r w:rsidRPr="00576AF8">
        <w:rPr>
          <w:rFonts w:ascii="Times New Roman" w:hAnsi="Times New Roman"/>
          <w:sz w:val="24"/>
          <w:szCs w:val="21"/>
        </w:rPr>
        <w:t xml:space="preserve">debe constituir la garantía de cumplimiento dentro de los veintiocho (28) días de recibida la notificación de la adjudicación del Contrato. </w:t>
      </w:r>
    </w:p>
    <w:p w14:paraId="4F4F46E8" w14:textId="77777777" w:rsidR="00A20832" w:rsidRPr="00576AF8" w:rsidRDefault="00A20832" w:rsidP="00A20832">
      <w:pPr>
        <w:pStyle w:val="explanatorynotes"/>
        <w:rPr>
          <w:rFonts w:ascii="Times New Roman" w:hAnsi="Times New Roman"/>
          <w:sz w:val="24"/>
          <w:szCs w:val="21"/>
        </w:rPr>
      </w:pPr>
      <w:r w:rsidRPr="00576AF8">
        <w:rPr>
          <w:rFonts w:ascii="Times New Roman" w:hAnsi="Times New Roman"/>
          <w:sz w:val="24"/>
          <w:szCs w:val="21"/>
        </w:rPr>
        <w:tab/>
        <w:t xml:space="preserve">Garantía por pago de anticipo: De conformidad con la cláusula 13.2 de las CGC, el Licitante </w:t>
      </w:r>
      <w:r w:rsidR="0056454D" w:rsidRPr="00576AF8">
        <w:rPr>
          <w:rFonts w:ascii="Times New Roman" w:hAnsi="Times New Roman"/>
          <w:sz w:val="24"/>
          <w:szCs w:val="21"/>
        </w:rPr>
        <w:t xml:space="preserve">seleccionado </w:t>
      </w:r>
      <w:r w:rsidRPr="00576AF8">
        <w:rPr>
          <w:rFonts w:ascii="Times New Roman" w:hAnsi="Times New Roman"/>
          <w:sz w:val="24"/>
          <w:szCs w:val="21"/>
        </w:rPr>
        <w:t>debe constituir una garantía bancaria por el anticipo, si la CEC relativa a la cláusula 12.1 de las CGC dispone</w:t>
      </w:r>
      <w:r w:rsidR="00DD028E" w:rsidRPr="00576AF8">
        <w:rPr>
          <w:rFonts w:ascii="Times New Roman" w:hAnsi="Times New Roman"/>
          <w:sz w:val="24"/>
          <w:szCs w:val="21"/>
        </w:rPr>
        <w:t xml:space="preserve"> ese pago</w:t>
      </w:r>
      <w:r w:rsidRPr="00576AF8">
        <w:rPr>
          <w:rFonts w:ascii="Times New Roman" w:hAnsi="Times New Roman"/>
          <w:sz w:val="24"/>
          <w:szCs w:val="21"/>
        </w:rPr>
        <w:t>.</w:t>
      </w:r>
    </w:p>
    <w:p w14:paraId="2F600C7F" w14:textId="77777777" w:rsidR="00A20832" w:rsidRPr="00576AF8" w:rsidRDefault="00A20832" w:rsidP="00A20832">
      <w:pPr>
        <w:pStyle w:val="explanatorynotes"/>
        <w:rPr>
          <w:rFonts w:ascii="Times New Roman" w:hAnsi="Times New Roman"/>
          <w:sz w:val="24"/>
          <w:szCs w:val="21"/>
        </w:rPr>
      </w:pPr>
      <w:r w:rsidRPr="00576AF8">
        <w:rPr>
          <w:rFonts w:ascii="Times New Roman" w:hAnsi="Times New Roman"/>
          <w:sz w:val="24"/>
          <w:szCs w:val="21"/>
        </w:rPr>
        <w:tab/>
        <w:t xml:space="preserve">Certificados de instalación y aceptación operativa: En este documento estándar de adquisiciones se incluyen los formatos recomendados para estos certificados. A menos que el Comprador tenga buenas razones para emplear procedimientos distintos de los recomendados o para redactar los certificados de manera diferente, los procedimientos y formularios deberán utilizarse sin modificaciones. Si el Comprador desea modificar los procedimientos o los certificados recomendados, puede proponer alternativas al </w:t>
      </w:r>
      <w:r w:rsidR="00BD18BF" w:rsidRPr="00576AF8">
        <w:rPr>
          <w:rFonts w:ascii="Times New Roman" w:hAnsi="Times New Roman"/>
          <w:sz w:val="24"/>
          <w:szCs w:val="21"/>
        </w:rPr>
        <w:t>BID</w:t>
      </w:r>
      <w:r w:rsidRPr="00576AF8">
        <w:rPr>
          <w:rFonts w:ascii="Times New Roman" w:hAnsi="Times New Roman"/>
          <w:sz w:val="24"/>
          <w:szCs w:val="21"/>
        </w:rPr>
        <w:t xml:space="preserve"> para que este las apruebe antes de entregar el </w:t>
      </w:r>
      <w:r w:rsidR="00807C34" w:rsidRPr="00576AF8">
        <w:rPr>
          <w:rFonts w:ascii="Times New Roman" w:hAnsi="Times New Roman"/>
          <w:sz w:val="24"/>
          <w:szCs w:val="21"/>
        </w:rPr>
        <w:t>documento de licitación</w:t>
      </w:r>
      <w:r w:rsidRPr="00576AF8">
        <w:rPr>
          <w:rFonts w:ascii="Times New Roman" w:hAnsi="Times New Roman"/>
          <w:sz w:val="24"/>
          <w:szCs w:val="21"/>
        </w:rPr>
        <w:t xml:space="preserve"> a los posibles Licitantes.</w:t>
      </w:r>
    </w:p>
    <w:p w14:paraId="12CC324A" w14:textId="77777777" w:rsidR="00A20832" w:rsidRPr="00576AF8" w:rsidRDefault="00A20832" w:rsidP="00A20832">
      <w:pPr>
        <w:pStyle w:val="explanatorynotes"/>
        <w:rPr>
          <w:rFonts w:ascii="Times New Roman" w:hAnsi="Times New Roman"/>
          <w:sz w:val="24"/>
          <w:szCs w:val="21"/>
        </w:rPr>
      </w:pPr>
      <w:r w:rsidRPr="00576AF8">
        <w:rPr>
          <w:rFonts w:ascii="Times New Roman" w:hAnsi="Times New Roman"/>
          <w:sz w:val="24"/>
          <w:szCs w:val="21"/>
        </w:rPr>
        <w:tab/>
        <w:t xml:space="preserve">Procedimientos y formularios para las órdenes de cambio: Al igual que los certificados de instalación y aceptación operativa, la estimación de la propuesta de cambio, la aceptación de la estimación, la propuesta de cambio, la orden de cambio y los formularios correspondientes deberán incluirse en el </w:t>
      </w:r>
      <w:r w:rsidR="00807C34" w:rsidRPr="00576AF8">
        <w:rPr>
          <w:rFonts w:ascii="Times New Roman" w:hAnsi="Times New Roman"/>
          <w:sz w:val="24"/>
          <w:szCs w:val="21"/>
        </w:rPr>
        <w:t>documento de licitación</w:t>
      </w:r>
      <w:r w:rsidRPr="00576AF8">
        <w:rPr>
          <w:rFonts w:ascii="Times New Roman" w:hAnsi="Times New Roman"/>
          <w:sz w:val="24"/>
          <w:szCs w:val="21"/>
        </w:rPr>
        <w:t xml:space="preserve"> sin modificaciones. Si el Comprador desea modificar los procedimientos o los certificados recomendados, puede proponer alternativas al Banco para que este las apruebe antes de dar a conocer el </w:t>
      </w:r>
      <w:r w:rsidR="00807C34" w:rsidRPr="00576AF8">
        <w:rPr>
          <w:rFonts w:ascii="Times New Roman" w:hAnsi="Times New Roman"/>
          <w:sz w:val="24"/>
          <w:szCs w:val="21"/>
        </w:rPr>
        <w:t>documento de licitación</w:t>
      </w:r>
      <w:r w:rsidRPr="00576AF8">
        <w:rPr>
          <w:rFonts w:ascii="Times New Roman" w:hAnsi="Times New Roman"/>
          <w:sz w:val="24"/>
          <w:szCs w:val="21"/>
        </w:rPr>
        <w:t>.</w:t>
      </w:r>
    </w:p>
    <w:p w14:paraId="3EB205AB" w14:textId="77777777" w:rsidR="00A20832" w:rsidRPr="00576AF8" w:rsidRDefault="00A20832" w:rsidP="00A20832">
      <w:pPr>
        <w:rPr>
          <w:sz w:val="28"/>
          <w:szCs w:val="21"/>
        </w:rPr>
      </w:pPr>
    </w:p>
    <w:p w14:paraId="4E904138" w14:textId="77777777" w:rsidR="00A20832" w:rsidRPr="00576AF8" w:rsidRDefault="00A20832" w:rsidP="00A20832">
      <w:pPr>
        <w:pStyle w:val="Ttulo2"/>
        <w:rPr>
          <w:rFonts w:ascii="Times New Roman" w:hAnsi="Times New Roman"/>
        </w:rPr>
      </w:pPr>
      <w:bookmarkStart w:id="1718" w:name="_Toc445567403"/>
      <w:r w:rsidRPr="00576AF8">
        <w:rPr>
          <w:rFonts w:ascii="Times New Roman" w:hAnsi="Times New Roman"/>
        </w:rPr>
        <w:t>Notas a los Licitantes sobre el uso de los formularios del Contrato</w:t>
      </w:r>
      <w:bookmarkEnd w:id="1718"/>
    </w:p>
    <w:p w14:paraId="0F22E1DB" w14:textId="77777777" w:rsidR="00A20832" w:rsidRPr="00576AF8" w:rsidRDefault="00A20832" w:rsidP="00A20832">
      <w:r w:rsidRPr="00576AF8">
        <w:tab/>
        <w:t xml:space="preserve">El Licitante </w:t>
      </w:r>
      <w:r w:rsidR="0056454D" w:rsidRPr="00576AF8">
        <w:t xml:space="preserve">seleccionado </w:t>
      </w:r>
      <w:r w:rsidRPr="00576AF8">
        <w:t xml:space="preserve">debe completar y presentar los siguientes formularios una vez recibida </w:t>
      </w:r>
      <w:r w:rsidR="005174F3" w:rsidRPr="00576AF8">
        <w:t>la Carta de Aceptación del Comprador</w:t>
      </w:r>
      <w:r w:rsidRPr="00576AF8">
        <w:t xml:space="preserve">: </w:t>
      </w:r>
      <w:r w:rsidR="00920161" w:rsidRPr="00576AF8">
        <w:t>(</w:t>
      </w:r>
      <w:r w:rsidRPr="00576AF8">
        <w:t xml:space="preserve">i) Convenio Contractual, con todos los apéndices; </w:t>
      </w:r>
      <w:r w:rsidR="00920161" w:rsidRPr="00576AF8">
        <w:br/>
        <w:t>(</w:t>
      </w:r>
      <w:r w:rsidRPr="00576AF8">
        <w:t xml:space="preserve">ii) garantía de cumplimiento, y </w:t>
      </w:r>
      <w:r w:rsidR="00920161" w:rsidRPr="00576AF8">
        <w:t>(</w:t>
      </w:r>
      <w:r w:rsidRPr="00576AF8">
        <w:t xml:space="preserve">iii) garantía por pago de anticipo. </w:t>
      </w:r>
    </w:p>
    <w:p w14:paraId="483F403C" w14:textId="77777777" w:rsidR="00A20832" w:rsidRPr="00576AF8" w:rsidRDefault="00A20832" w:rsidP="00A20832">
      <w:pPr>
        <w:ind w:left="1440" w:hanging="720"/>
      </w:pPr>
      <w:r w:rsidRPr="00576AF8">
        <w:t>•</w:t>
      </w:r>
      <w:r w:rsidRPr="00576AF8">
        <w:tab/>
        <w:t xml:space="preserve">Convenio Contractual: Además de especificar las Partes y el precio del Contrato, en este documento deben constar los siguientes datos: </w:t>
      </w:r>
      <w:r w:rsidR="00920161" w:rsidRPr="00576AF8">
        <w:t>(</w:t>
      </w:r>
      <w:r w:rsidRPr="00576AF8">
        <w:t xml:space="preserve">i) el representante del Proveedor; </w:t>
      </w:r>
      <w:r w:rsidR="00920161" w:rsidRPr="00576AF8">
        <w:t>(</w:t>
      </w:r>
      <w:r w:rsidRPr="00576AF8">
        <w:t xml:space="preserve">ii) si corresponde, el conciliador acordado y su remuneración, y </w:t>
      </w:r>
      <w:r w:rsidR="00920161" w:rsidRPr="00576AF8">
        <w:t>(</w:t>
      </w:r>
      <w:r w:rsidRPr="00576AF8">
        <w:t xml:space="preserve">iii) la lista de subcontratistas aprobados. Asimismo, se adjuntarán al Convenio Contractual las modificaciones de las listas de precios del Licitante </w:t>
      </w:r>
      <w:r w:rsidR="0056454D" w:rsidRPr="00576AF8">
        <w:t>seleccionado</w:t>
      </w:r>
      <w:r w:rsidRPr="00576AF8">
        <w:t>, que incluirán las correcciones y los ajustes de los precios de la Oferta del Proveedor que resulten necesarios a fin de rectificar errores, ajustar el precio del Contrato para contemplar (si corresponde) toda prórroga de la validez de la Oferta que supere el plazo original de validez más 56 días, etc.</w:t>
      </w:r>
    </w:p>
    <w:p w14:paraId="3D90280C" w14:textId="77777777" w:rsidR="00A20832" w:rsidRPr="00576AF8" w:rsidRDefault="00A20832" w:rsidP="00A20832">
      <w:pPr>
        <w:ind w:left="1440" w:hanging="720"/>
      </w:pPr>
      <w:r w:rsidRPr="00576AF8">
        <w:lastRenderedPageBreak/>
        <w:t>•</w:t>
      </w:r>
      <w:r w:rsidRPr="00576AF8">
        <w:tab/>
        <w:t xml:space="preserve">Garantía de cumplimiento: De conformidad con la cláusula 13.3 de las CGC, el Licitante </w:t>
      </w:r>
      <w:r w:rsidR="0056454D" w:rsidRPr="00576AF8">
        <w:t xml:space="preserve">seleccionado </w:t>
      </w:r>
      <w:r w:rsidRPr="00576AF8">
        <w:t xml:space="preserve">debe proporcionar la garantía de cumplimiento en el formulario incluido en la presente sección </w:t>
      </w:r>
      <w:r w:rsidR="00A83F3E" w:rsidRPr="00576AF8">
        <w:t xml:space="preserve">del </w:t>
      </w:r>
      <w:r w:rsidR="00807C34" w:rsidRPr="00576AF8">
        <w:t>documento de licitación</w:t>
      </w:r>
      <w:r w:rsidRPr="00576AF8">
        <w:t>, por el monto determinado conforme a las CEC</w:t>
      </w:r>
      <w:r w:rsidR="00D80D1A" w:rsidRPr="00576AF8">
        <w:t>.</w:t>
      </w:r>
    </w:p>
    <w:p w14:paraId="5E5D1D90" w14:textId="77777777" w:rsidR="00A20832" w:rsidRPr="00576AF8" w:rsidRDefault="00A20832" w:rsidP="00A20832">
      <w:pPr>
        <w:ind w:left="1440" w:hanging="720"/>
      </w:pPr>
      <w:r w:rsidRPr="00576AF8">
        <w:t>•</w:t>
      </w:r>
      <w:r w:rsidRPr="00576AF8">
        <w:tab/>
        <w:t xml:space="preserve">Garantía por pago de anticipo: Conforme a la cláusula 13.2 de las CGC, el Licitante </w:t>
      </w:r>
      <w:r w:rsidR="0056454D" w:rsidRPr="00576AF8">
        <w:t xml:space="preserve">seleccionado </w:t>
      </w:r>
      <w:r w:rsidRPr="00576AF8">
        <w:t xml:space="preserve">debe proporcionar una garantía bancaria por el monto total del anticipo (en caso de que en la cláusula de las CEC correspondiente al apartado 12.1 de las CGC se especifique tal anticipo) en el formulario incluido en la presente </w:t>
      </w:r>
      <w:r w:rsidR="00A83F3E" w:rsidRPr="00576AF8">
        <w:t xml:space="preserve">Sección del </w:t>
      </w:r>
      <w:r w:rsidR="00807C34" w:rsidRPr="00576AF8">
        <w:t>documento de licitación</w:t>
      </w:r>
      <w:r w:rsidRPr="00576AF8">
        <w:t xml:space="preserve">, o en otro que el Comprador considere aceptable. Si un Licitante desea proponer un formulario diferente, debe presentar sin demora un ejemplar al Comprador para que este lo examine y acepte antes del vencimiento del plazo para la presentación de Ofertas. </w:t>
      </w:r>
    </w:p>
    <w:p w14:paraId="354408E9" w14:textId="77777777" w:rsidR="00A20832" w:rsidRPr="00576AF8" w:rsidRDefault="00A20832" w:rsidP="00A20832">
      <w:r w:rsidRPr="00576AF8">
        <w:tab/>
        <w:t xml:space="preserve">Durante la ejecución del Contrato, el Comprador y el Proveedor utilizarán además los siguientes formularios para formalizar o certificar hechos importantes relacionados con el Contrato: </w:t>
      </w:r>
      <w:r w:rsidR="00A83F3E" w:rsidRPr="00576AF8">
        <w:t>(</w:t>
      </w:r>
      <w:r w:rsidRPr="00576AF8">
        <w:t xml:space="preserve">i) certificados de instalación y aceptación operativa y </w:t>
      </w:r>
      <w:r w:rsidR="00A83F3E" w:rsidRPr="00576AF8">
        <w:t>(</w:t>
      </w:r>
      <w:r w:rsidRPr="00576AF8">
        <w:t>ii) diversos formularios relativos a las órdenes de cambio. Estos formularios y los procedimientos para su uso durante la ejecución del Contrato se incluyen en los documentos de licitación para información de los Licitantes.</w:t>
      </w:r>
    </w:p>
    <w:p w14:paraId="0E16A631" w14:textId="77777777" w:rsidR="00A20832" w:rsidRPr="00576AF8" w:rsidRDefault="00A20832" w:rsidP="00A20832"/>
    <w:p w14:paraId="15F26D96" w14:textId="77777777" w:rsidR="00920161" w:rsidRPr="00576AF8" w:rsidRDefault="00A20832">
      <w:pPr>
        <w:pStyle w:val="TDC1"/>
        <w:rPr>
          <w:rFonts w:ascii="Times New Roman" w:hAnsi="Times New Roman"/>
        </w:rPr>
      </w:pPr>
      <w:r w:rsidRPr="00576AF8">
        <w:rPr>
          <w:rFonts w:ascii="Times New Roman" w:hAnsi="Times New Roman"/>
        </w:rPr>
        <w:br w:type="page"/>
      </w:r>
    </w:p>
    <w:p w14:paraId="1062C76C" w14:textId="77777777" w:rsidR="00A44EB2" w:rsidRPr="00576AF8" w:rsidRDefault="00AE1990" w:rsidP="00DB518A">
      <w:pPr>
        <w:pStyle w:val="TDC1"/>
        <w:spacing w:after="480"/>
        <w:jc w:val="center"/>
        <w:rPr>
          <w:rFonts w:ascii="Times New Roman" w:hAnsi="Times New Roman"/>
        </w:rPr>
      </w:pPr>
      <w:r w:rsidRPr="00576AF8">
        <w:rPr>
          <w:rFonts w:ascii="Times New Roman" w:hAnsi="Times New Roman"/>
          <w:sz w:val="32"/>
          <w:szCs w:val="32"/>
        </w:rPr>
        <w:lastRenderedPageBreak/>
        <w:t xml:space="preserve">Índice de </w:t>
      </w:r>
      <w:r w:rsidR="002179BF" w:rsidRPr="00576AF8">
        <w:rPr>
          <w:rFonts w:ascii="Times New Roman" w:hAnsi="Times New Roman"/>
          <w:sz w:val="32"/>
          <w:szCs w:val="32"/>
        </w:rPr>
        <w:t>Formularios del Contrato</w:t>
      </w:r>
    </w:p>
    <w:p w14:paraId="388928FE" w14:textId="77777777" w:rsidR="00A800A8" w:rsidRPr="00576AF8" w:rsidRDefault="00A800A8">
      <w:pPr>
        <w:suppressAutoHyphens w:val="0"/>
        <w:spacing w:after="0"/>
        <w:jc w:val="left"/>
      </w:pPr>
    </w:p>
    <w:bookmarkStart w:id="1719" w:name="_Toc484614023"/>
    <w:p w14:paraId="00F658F1" w14:textId="77777777" w:rsidR="00C832CF" w:rsidRPr="00576AF8" w:rsidRDefault="00C832CF">
      <w:pPr>
        <w:pStyle w:val="TDC1"/>
        <w:rPr>
          <w:rFonts w:ascii="Times New Roman" w:eastAsiaTheme="minorEastAsia" w:hAnsi="Times New Roman"/>
          <w:b w:val="0"/>
          <w:noProof/>
          <w:szCs w:val="24"/>
          <w:lang w:val="en-US" w:eastAsia="en-US" w:bidi="ar-SA"/>
        </w:rPr>
      </w:pPr>
      <w:r w:rsidRPr="00576AF8">
        <w:rPr>
          <w:rFonts w:ascii="Times New Roman" w:hAnsi="Times New Roman"/>
        </w:rPr>
        <w:fldChar w:fldCharType="begin"/>
      </w:r>
      <w:r w:rsidRPr="00576AF8">
        <w:rPr>
          <w:rFonts w:ascii="Times New Roman" w:hAnsi="Times New Roman"/>
        </w:rPr>
        <w:instrText xml:space="preserve"> TOC \h \z \t "Head 1.1b,1,Head 2.1b,2" </w:instrText>
      </w:r>
      <w:r w:rsidRPr="00576AF8">
        <w:rPr>
          <w:rFonts w:ascii="Times New Roman" w:hAnsi="Times New Roman"/>
        </w:rPr>
        <w:fldChar w:fldCharType="separate"/>
      </w:r>
      <w:hyperlink w:anchor="_Toc28246681" w:history="1">
        <w:r w:rsidRPr="00576AF8">
          <w:rPr>
            <w:rStyle w:val="Hipervnculo"/>
            <w:rFonts w:ascii="Times New Roman" w:hAnsi="Times New Roman"/>
            <w:noProof/>
          </w:rPr>
          <w:t>Notificación de Intención de Adjudicación</w:t>
        </w:r>
        <w:r w:rsidRPr="00576AF8">
          <w:rPr>
            <w:rFonts w:ascii="Times New Roman" w:hAnsi="Times New Roman"/>
            <w:noProof/>
            <w:webHidden/>
          </w:rPr>
          <w:tab/>
        </w:r>
        <w:r w:rsidRPr="00576AF8">
          <w:rPr>
            <w:rFonts w:ascii="Times New Roman" w:hAnsi="Times New Roman"/>
            <w:noProof/>
            <w:webHidden/>
          </w:rPr>
          <w:fldChar w:fldCharType="begin"/>
        </w:r>
        <w:r w:rsidRPr="00576AF8">
          <w:rPr>
            <w:rFonts w:ascii="Times New Roman" w:hAnsi="Times New Roman"/>
            <w:noProof/>
            <w:webHidden/>
          </w:rPr>
          <w:instrText xml:space="preserve"> PAGEREF _Toc28246681 \h </w:instrText>
        </w:r>
        <w:r w:rsidRPr="00576AF8">
          <w:rPr>
            <w:rFonts w:ascii="Times New Roman" w:hAnsi="Times New Roman"/>
            <w:noProof/>
            <w:webHidden/>
          </w:rPr>
        </w:r>
        <w:r w:rsidRPr="00576AF8">
          <w:rPr>
            <w:rFonts w:ascii="Times New Roman" w:hAnsi="Times New Roman"/>
            <w:noProof/>
            <w:webHidden/>
          </w:rPr>
          <w:fldChar w:fldCharType="separate"/>
        </w:r>
        <w:r w:rsidRPr="00576AF8">
          <w:rPr>
            <w:rFonts w:ascii="Times New Roman" w:hAnsi="Times New Roman"/>
            <w:noProof/>
            <w:webHidden/>
          </w:rPr>
          <w:t>325</w:t>
        </w:r>
        <w:r w:rsidRPr="00576AF8">
          <w:rPr>
            <w:rFonts w:ascii="Times New Roman" w:hAnsi="Times New Roman"/>
            <w:noProof/>
            <w:webHidden/>
          </w:rPr>
          <w:fldChar w:fldCharType="end"/>
        </w:r>
      </w:hyperlink>
    </w:p>
    <w:p w14:paraId="05BEBFAA" w14:textId="77777777" w:rsidR="00C832CF" w:rsidRPr="00576AF8" w:rsidRDefault="006334E7">
      <w:pPr>
        <w:pStyle w:val="TDC1"/>
        <w:rPr>
          <w:rFonts w:ascii="Times New Roman" w:eastAsiaTheme="minorEastAsia" w:hAnsi="Times New Roman"/>
          <w:b w:val="0"/>
          <w:noProof/>
          <w:szCs w:val="24"/>
          <w:lang w:val="en-US" w:eastAsia="en-US" w:bidi="ar-SA"/>
        </w:rPr>
      </w:pPr>
      <w:hyperlink w:anchor="_Toc28246682" w:history="1">
        <w:r w:rsidR="00C832CF" w:rsidRPr="00576AF8">
          <w:rPr>
            <w:rStyle w:val="Hipervnculo"/>
            <w:rFonts w:ascii="Times New Roman" w:hAnsi="Times New Roman"/>
            <w:noProof/>
          </w:rPr>
          <w:t>Formulario de Divulgación de la Propiedad Efectiva</w:t>
        </w:r>
        <w:r w:rsidR="00C832CF" w:rsidRPr="00576AF8">
          <w:rPr>
            <w:rFonts w:ascii="Times New Roman" w:hAnsi="Times New Roman"/>
            <w:noProof/>
            <w:webHidden/>
          </w:rPr>
          <w:tab/>
        </w:r>
        <w:r w:rsidR="00C832CF" w:rsidRPr="00576AF8">
          <w:rPr>
            <w:rFonts w:ascii="Times New Roman" w:hAnsi="Times New Roman"/>
            <w:noProof/>
            <w:webHidden/>
          </w:rPr>
          <w:fldChar w:fldCharType="begin"/>
        </w:r>
        <w:r w:rsidR="00C832CF" w:rsidRPr="00576AF8">
          <w:rPr>
            <w:rFonts w:ascii="Times New Roman" w:hAnsi="Times New Roman"/>
            <w:noProof/>
            <w:webHidden/>
          </w:rPr>
          <w:instrText xml:space="preserve"> PAGEREF _Toc28246682 \h </w:instrText>
        </w:r>
        <w:r w:rsidR="00C832CF" w:rsidRPr="00576AF8">
          <w:rPr>
            <w:rFonts w:ascii="Times New Roman" w:hAnsi="Times New Roman"/>
            <w:noProof/>
            <w:webHidden/>
          </w:rPr>
        </w:r>
        <w:r w:rsidR="00C832CF" w:rsidRPr="00576AF8">
          <w:rPr>
            <w:rFonts w:ascii="Times New Roman" w:hAnsi="Times New Roman"/>
            <w:noProof/>
            <w:webHidden/>
          </w:rPr>
          <w:fldChar w:fldCharType="separate"/>
        </w:r>
        <w:r w:rsidR="00C832CF" w:rsidRPr="00576AF8">
          <w:rPr>
            <w:rFonts w:ascii="Times New Roman" w:hAnsi="Times New Roman"/>
            <w:noProof/>
            <w:webHidden/>
          </w:rPr>
          <w:t>329</w:t>
        </w:r>
        <w:r w:rsidR="00C832CF" w:rsidRPr="00576AF8">
          <w:rPr>
            <w:rFonts w:ascii="Times New Roman" w:hAnsi="Times New Roman"/>
            <w:noProof/>
            <w:webHidden/>
          </w:rPr>
          <w:fldChar w:fldCharType="end"/>
        </w:r>
      </w:hyperlink>
    </w:p>
    <w:p w14:paraId="01CB9363" w14:textId="77777777" w:rsidR="00C832CF" w:rsidRPr="00576AF8" w:rsidRDefault="006334E7">
      <w:pPr>
        <w:pStyle w:val="TDC1"/>
        <w:rPr>
          <w:rFonts w:ascii="Times New Roman" w:eastAsiaTheme="minorEastAsia" w:hAnsi="Times New Roman"/>
          <w:b w:val="0"/>
          <w:noProof/>
          <w:szCs w:val="24"/>
          <w:lang w:val="en-US" w:eastAsia="en-US" w:bidi="ar-SA"/>
        </w:rPr>
      </w:pPr>
      <w:hyperlink w:anchor="_Toc28246683" w:history="1">
        <w:r w:rsidR="00C832CF" w:rsidRPr="00576AF8">
          <w:rPr>
            <w:rStyle w:val="Hipervnculo"/>
            <w:rFonts w:ascii="Times New Roman" w:hAnsi="Times New Roman"/>
            <w:noProof/>
          </w:rPr>
          <w:t>Carta de Aceptación</w:t>
        </w:r>
        <w:r w:rsidR="00C832CF" w:rsidRPr="00576AF8">
          <w:rPr>
            <w:rFonts w:ascii="Times New Roman" w:hAnsi="Times New Roman"/>
            <w:noProof/>
            <w:webHidden/>
          </w:rPr>
          <w:tab/>
        </w:r>
        <w:r w:rsidR="00C832CF" w:rsidRPr="00576AF8">
          <w:rPr>
            <w:rFonts w:ascii="Times New Roman" w:hAnsi="Times New Roman"/>
            <w:noProof/>
            <w:webHidden/>
          </w:rPr>
          <w:fldChar w:fldCharType="begin"/>
        </w:r>
        <w:r w:rsidR="00C832CF" w:rsidRPr="00576AF8">
          <w:rPr>
            <w:rFonts w:ascii="Times New Roman" w:hAnsi="Times New Roman"/>
            <w:noProof/>
            <w:webHidden/>
          </w:rPr>
          <w:instrText xml:space="preserve"> PAGEREF _Toc28246683 \h </w:instrText>
        </w:r>
        <w:r w:rsidR="00C832CF" w:rsidRPr="00576AF8">
          <w:rPr>
            <w:rFonts w:ascii="Times New Roman" w:hAnsi="Times New Roman"/>
            <w:noProof/>
            <w:webHidden/>
          </w:rPr>
        </w:r>
        <w:r w:rsidR="00C832CF" w:rsidRPr="00576AF8">
          <w:rPr>
            <w:rFonts w:ascii="Times New Roman" w:hAnsi="Times New Roman"/>
            <w:noProof/>
            <w:webHidden/>
          </w:rPr>
          <w:fldChar w:fldCharType="separate"/>
        </w:r>
        <w:r w:rsidR="00C832CF" w:rsidRPr="00576AF8">
          <w:rPr>
            <w:rFonts w:ascii="Times New Roman" w:hAnsi="Times New Roman"/>
            <w:noProof/>
            <w:webHidden/>
          </w:rPr>
          <w:t>332</w:t>
        </w:r>
        <w:r w:rsidR="00C832CF" w:rsidRPr="00576AF8">
          <w:rPr>
            <w:rFonts w:ascii="Times New Roman" w:hAnsi="Times New Roman"/>
            <w:noProof/>
            <w:webHidden/>
          </w:rPr>
          <w:fldChar w:fldCharType="end"/>
        </w:r>
      </w:hyperlink>
    </w:p>
    <w:p w14:paraId="79E1E588" w14:textId="77777777" w:rsidR="00C832CF" w:rsidRPr="00576AF8" w:rsidRDefault="006334E7">
      <w:pPr>
        <w:pStyle w:val="TDC1"/>
        <w:rPr>
          <w:rFonts w:ascii="Times New Roman" w:eastAsiaTheme="minorEastAsia" w:hAnsi="Times New Roman"/>
          <w:b w:val="0"/>
          <w:noProof/>
          <w:szCs w:val="24"/>
          <w:lang w:val="en-US" w:eastAsia="en-US" w:bidi="ar-SA"/>
        </w:rPr>
      </w:pPr>
      <w:hyperlink w:anchor="_Toc28246684" w:history="1">
        <w:r w:rsidR="00C832CF" w:rsidRPr="00576AF8">
          <w:rPr>
            <w:rStyle w:val="Hipervnculo"/>
            <w:rFonts w:ascii="Times New Roman" w:hAnsi="Times New Roman"/>
            <w:noProof/>
          </w:rPr>
          <w:t>Convenio Contractual</w:t>
        </w:r>
        <w:r w:rsidR="00C832CF" w:rsidRPr="00576AF8">
          <w:rPr>
            <w:rFonts w:ascii="Times New Roman" w:hAnsi="Times New Roman"/>
            <w:noProof/>
            <w:webHidden/>
          </w:rPr>
          <w:tab/>
        </w:r>
        <w:r w:rsidR="00C832CF" w:rsidRPr="00576AF8">
          <w:rPr>
            <w:rFonts w:ascii="Times New Roman" w:hAnsi="Times New Roman"/>
            <w:noProof/>
            <w:webHidden/>
          </w:rPr>
          <w:fldChar w:fldCharType="begin"/>
        </w:r>
        <w:r w:rsidR="00C832CF" w:rsidRPr="00576AF8">
          <w:rPr>
            <w:rFonts w:ascii="Times New Roman" w:hAnsi="Times New Roman"/>
            <w:noProof/>
            <w:webHidden/>
          </w:rPr>
          <w:instrText xml:space="preserve"> PAGEREF _Toc28246684 \h </w:instrText>
        </w:r>
        <w:r w:rsidR="00C832CF" w:rsidRPr="00576AF8">
          <w:rPr>
            <w:rFonts w:ascii="Times New Roman" w:hAnsi="Times New Roman"/>
            <w:noProof/>
            <w:webHidden/>
          </w:rPr>
        </w:r>
        <w:r w:rsidR="00C832CF" w:rsidRPr="00576AF8">
          <w:rPr>
            <w:rFonts w:ascii="Times New Roman" w:hAnsi="Times New Roman"/>
            <w:noProof/>
            <w:webHidden/>
          </w:rPr>
          <w:fldChar w:fldCharType="separate"/>
        </w:r>
        <w:r w:rsidR="00C832CF" w:rsidRPr="00576AF8">
          <w:rPr>
            <w:rFonts w:ascii="Times New Roman" w:hAnsi="Times New Roman"/>
            <w:noProof/>
            <w:webHidden/>
          </w:rPr>
          <w:t>333</w:t>
        </w:r>
        <w:r w:rsidR="00C832CF" w:rsidRPr="00576AF8">
          <w:rPr>
            <w:rFonts w:ascii="Times New Roman" w:hAnsi="Times New Roman"/>
            <w:noProof/>
            <w:webHidden/>
          </w:rPr>
          <w:fldChar w:fldCharType="end"/>
        </w:r>
      </w:hyperlink>
    </w:p>
    <w:p w14:paraId="6A2F858C" w14:textId="77777777" w:rsidR="00C832CF" w:rsidRPr="00576AF8" w:rsidRDefault="006334E7">
      <w:pPr>
        <w:pStyle w:val="TDC2"/>
        <w:rPr>
          <w:rFonts w:eastAsiaTheme="minorEastAsia"/>
          <w:szCs w:val="24"/>
          <w:lang w:val="en-US" w:eastAsia="en-US" w:bidi="ar-SA"/>
        </w:rPr>
      </w:pPr>
      <w:hyperlink w:anchor="_Toc28246685" w:history="1">
        <w:r w:rsidR="00C832CF" w:rsidRPr="00576AF8">
          <w:rPr>
            <w:rStyle w:val="Hipervnculo"/>
          </w:rPr>
          <w:t>Apéndice 1.  Representante del Proveedor</w:t>
        </w:r>
        <w:r w:rsidR="00C832CF" w:rsidRPr="00576AF8">
          <w:rPr>
            <w:webHidden/>
          </w:rPr>
          <w:tab/>
        </w:r>
        <w:r w:rsidR="00C832CF" w:rsidRPr="00576AF8">
          <w:rPr>
            <w:webHidden/>
          </w:rPr>
          <w:fldChar w:fldCharType="begin"/>
        </w:r>
        <w:r w:rsidR="00C832CF" w:rsidRPr="00576AF8">
          <w:rPr>
            <w:webHidden/>
          </w:rPr>
          <w:instrText xml:space="preserve"> PAGEREF _Toc28246685 \h </w:instrText>
        </w:r>
        <w:r w:rsidR="00C832CF" w:rsidRPr="00576AF8">
          <w:rPr>
            <w:webHidden/>
          </w:rPr>
        </w:r>
        <w:r w:rsidR="00C832CF" w:rsidRPr="00576AF8">
          <w:rPr>
            <w:webHidden/>
          </w:rPr>
          <w:fldChar w:fldCharType="separate"/>
        </w:r>
        <w:r w:rsidR="00C832CF" w:rsidRPr="00576AF8">
          <w:rPr>
            <w:webHidden/>
          </w:rPr>
          <w:t>339</w:t>
        </w:r>
        <w:r w:rsidR="00C832CF" w:rsidRPr="00576AF8">
          <w:rPr>
            <w:webHidden/>
          </w:rPr>
          <w:fldChar w:fldCharType="end"/>
        </w:r>
      </w:hyperlink>
    </w:p>
    <w:p w14:paraId="3C2343F8" w14:textId="77777777" w:rsidR="00C832CF" w:rsidRPr="00576AF8" w:rsidRDefault="006334E7">
      <w:pPr>
        <w:pStyle w:val="TDC2"/>
        <w:rPr>
          <w:rFonts w:eastAsiaTheme="minorEastAsia"/>
          <w:szCs w:val="24"/>
          <w:lang w:val="en-US" w:eastAsia="en-US" w:bidi="ar-SA"/>
        </w:rPr>
      </w:pPr>
      <w:hyperlink w:anchor="_Toc28246686" w:history="1">
        <w:r w:rsidR="00C832CF" w:rsidRPr="00576AF8">
          <w:rPr>
            <w:rStyle w:val="Hipervnculo"/>
          </w:rPr>
          <w:t>Apéndice 2.  Conciliador</w:t>
        </w:r>
        <w:r w:rsidR="00C832CF" w:rsidRPr="00576AF8">
          <w:rPr>
            <w:webHidden/>
          </w:rPr>
          <w:tab/>
        </w:r>
        <w:r w:rsidR="00C832CF" w:rsidRPr="00576AF8">
          <w:rPr>
            <w:webHidden/>
          </w:rPr>
          <w:fldChar w:fldCharType="begin"/>
        </w:r>
        <w:r w:rsidR="00C832CF" w:rsidRPr="00576AF8">
          <w:rPr>
            <w:webHidden/>
          </w:rPr>
          <w:instrText xml:space="preserve"> PAGEREF _Toc28246686 \h </w:instrText>
        </w:r>
        <w:r w:rsidR="00C832CF" w:rsidRPr="00576AF8">
          <w:rPr>
            <w:webHidden/>
          </w:rPr>
        </w:r>
        <w:r w:rsidR="00C832CF" w:rsidRPr="00576AF8">
          <w:rPr>
            <w:webHidden/>
          </w:rPr>
          <w:fldChar w:fldCharType="separate"/>
        </w:r>
        <w:r w:rsidR="00C832CF" w:rsidRPr="00576AF8">
          <w:rPr>
            <w:webHidden/>
          </w:rPr>
          <w:t>340</w:t>
        </w:r>
        <w:r w:rsidR="00C832CF" w:rsidRPr="00576AF8">
          <w:rPr>
            <w:webHidden/>
          </w:rPr>
          <w:fldChar w:fldCharType="end"/>
        </w:r>
      </w:hyperlink>
    </w:p>
    <w:p w14:paraId="2FF36174" w14:textId="77777777" w:rsidR="00C832CF" w:rsidRPr="00576AF8" w:rsidRDefault="006334E7">
      <w:pPr>
        <w:pStyle w:val="TDC2"/>
        <w:rPr>
          <w:rFonts w:eastAsiaTheme="minorEastAsia"/>
          <w:szCs w:val="24"/>
          <w:lang w:val="en-US" w:eastAsia="en-US" w:bidi="ar-SA"/>
        </w:rPr>
      </w:pPr>
      <w:hyperlink w:anchor="_Toc28246687" w:history="1">
        <w:r w:rsidR="00C832CF" w:rsidRPr="00576AF8">
          <w:rPr>
            <w:rStyle w:val="Hipervnculo"/>
          </w:rPr>
          <w:t>Apéndice 3.  Lista de subcontratistas aprobados</w:t>
        </w:r>
        <w:r w:rsidR="00C832CF" w:rsidRPr="00576AF8">
          <w:rPr>
            <w:webHidden/>
          </w:rPr>
          <w:tab/>
        </w:r>
        <w:r w:rsidR="00C832CF" w:rsidRPr="00576AF8">
          <w:rPr>
            <w:webHidden/>
          </w:rPr>
          <w:fldChar w:fldCharType="begin"/>
        </w:r>
        <w:r w:rsidR="00C832CF" w:rsidRPr="00576AF8">
          <w:rPr>
            <w:webHidden/>
          </w:rPr>
          <w:instrText xml:space="preserve"> PAGEREF _Toc28246687 \h </w:instrText>
        </w:r>
        <w:r w:rsidR="00C832CF" w:rsidRPr="00576AF8">
          <w:rPr>
            <w:webHidden/>
          </w:rPr>
        </w:r>
        <w:r w:rsidR="00C832CF" w:rsidRPr="00576AF8">
          <w:rPr>
            <w:webHidden/>
          </w:rPr>
          <w:fldChar w:fldCharType="separate"/>
        </w:r>
        <w:r w:rsidR="00C832CF" w:rsidRPr="00576AF8">
          <w:rPr>
            <w:webHidden/>
          </w:rPr>
          <w:t>341</w:t>
        </w:r>
        <w:r w:rsidR="00C832CF" w:rsidRPr="00576AF8">
          <w:rPr>
            <w:webHidden/>
          </w:rPr>
          <w:fldChar w:fldCharType="end"/>
        </w:r>
      </w:hyperlink>
    </w:p>
    <w:p w14:paraId="26EE693F" w14:textId="77777777" w:rsidR="00C832CF" w:rsidRPr="00576AF8" w:rsidRDefault="006334E7">
      <w:pPr>
        <w:pStyle w:val="TDC2"/>
        <w:rPr>
          <w:rFonts w:eastAsiaTheme="minorEastAsia"/>
          <w:szCs w:val="24"/>
          <w:lang w:val="en-US" w:eastAsia="en-US" w:bidi="ar-SA"/>
        </w:rPr>
      </w:pPr>
      <w:hyperlink w:anchor="_Toc28246688" w:history="1">
        <w:r w:rsidR="00C832CF" w:rsidRPr="00576AF8">
          <w:rPr>
            <w:rStyle w:val="Hipervnculo"/>
          </w:rPr>
          <w:t>Apéndice 4.  Categorías de software</w:t>
        </w:r>
        <w:r w:rsidR="00C832CF" w:rsidRPr="00576AF8">
          <w:rPr>
            <w:webHidden/>
          </w:rPr>
          <w:tab/>
        </w:r>
        <w:r w:rsidR="00C832CF" w:rsidRPr="00576AF8">
          <w:rPr>
            <w:webHidden/>
          </w:rPr>
          <w:fldChar w:fldCharType="begin"/>
        </w:r>
        <w:r w:rsidR="00C832CF" w:rsidRPr="00576AF8">
          <w:rPr>
            <w:webHidden/>
          </w:rPr>
          <w:instrText xml:space="preserve"> PAGEREF _Toc28246688 \h </w:instrText>
        </w:r>
        <w:r w:rsidR="00C832CF" w:rsidRPr="00576AF8">
          <w:rPr>
            <w:webHidden/>
          </w:rPr>
        </w:r>
        <w:r w:rsidR="00C832CF" w:rsidRPr="00576AF8">
          <w:rPr>
            <w:webHidden/>
          </w:rPr>
          <w:fldChar w:fldCharType="separate"/>
        </w:r>
        <w:r w:rsidR="00C832CF" w:rsidRPr="00576AF8">
          <w:rPr>
            <w:webHidden/>
          </w:rPr>
          <w:t>342</w:t>
        </w:r>
        <w:r w:rsidR="00C832CF" w:rsidRPr="00576AF8">
          <w:rPr>
            <w:webHidden/>
          </w:rPr>
          <w:fldChar w:fldCharType="end"/>
        </w:r>
      </w:hyperlink>
    </w:p>
    <w:p w14:paraId="23486204" w14:textId="77777777" w:rsidR="00C832CF" w:rsidRPr="00576AF8" w:rsidRDefault="006334E7">
      <w:pPr>
        <w:pStyle w:val="TDC2"/>
        <w:rPr>
          <w:rFonts w:eastAsiaTheme="minorEastAsia"/>
          <w:szCs w:val="24"/>
          <w:lang w:val="en-US" w:eastAsia="en-US" w:bidi="ar-SA"/>
        </w:rPr>
      </w:pPr>
      <w:hyperlink w:anchor="_Toc28246689" w:history="1">
        <w:r w:rsidR="00C832CF" w:rsidRPr="00576AF8">
          <w:rPr>
            <w:rStyle w:val="Hipervnculo"/>
          </w:rPr>
          <w:t>Apéndice 5.  Materiales personalizados</w:t>
        </w:r>
        <w:r w:rsidR="00C832CF" w:rsidRPr="00576AF8">
          <w:rPr>
            <w:webHidden/>
          </w:rPr>
          <w:tab/>
        </w:r>
        <w:r w:rsidR="00C832CF" w:rsidRPr="00576AF8">
          <w:rPr>
            <w:webHidden/>
          </w:rPr>
          <w:fldChar w:fldCharType="begin"/>
        </w:r>
        <w:r w:rsidR="00C832CF" w:rsidRPr="00576AF8">
          <w:rPr>
            <w:webHidden/>
          </w:rPr>
          <w:instrText xml:space="preserve"> PAGEREF _Toc28246689 \h </w:instrText>
        </w:r>
        <w:r w:rsidR="00C832CF" w:rsidRPr="00576AF8">
          <w:rPr>
            <w:webHidden/>
          </w:rPr>
        </w:r>
        <w:r w:rsidR="00C832CF" w:rsidRPr="00576AF8">
          <w:rPr>
            <w:webHidden/>
          </w:rPr>
          <w:fldChar w:fldCharType="separate"/>
        </w:r>
        <w:r w:rsidR="00C832CF" w:rsidRPr="00576AF8">
          <w:rPr>
            <w:webHidden/>
          </w:rPr>
          <w:t>343</w:t>
        </w:r>
        <w:r w:rsidR="00C832CF" w:rsidRPr="00576AF8">
          <w:rPr>
            <w:webHidden/>
          </w:rPr>
          <w:fldChar w:fldCharType="end"/>
        </w:r>
      </w:hyperlink>
    </w:p>
    <w:p w14:paraId="2AE4FBE9" w14:textId="77777777" w:rsidR="00C832CF" w:rsidRPr="00576AF8" w:rsidRDefault="006334E7">
      <w:pPr>
        <w:pStyle w:val="TDC2"/>
        <w:rPr>
          <w:rFonts w:eastAsiaTheme="minorEastAsia"/>
          <w:szCs w:val="24"/>
          <w:lang w:val="en-US" w:eastAsia="en-US" w:bidi="ar-SA"/>
        </w:rPr>
      </w:pPr>
      <w:hyperlink w:anchor="_Toc28246690" w:history="1">
        <w:r w:rsidR="00C832CF" w:rsidRPr="00576AF8">
          <w:rPr>
            <w:rStyle w:val="Hipervnculo"/>
          </w:rPr>
          <w:t>Apéndice 6.  Listas de precios revisados</w:t>
        </w:r>
        <w:r w:rsidR="00C832CF" w:rsidRPr="00576AF8">
          <w:rPr>
            <w:webHidden/>
          </w:rPr>
          <w:tab/>
        </w:r>
        <w:r w:rsidR="00C832CF" w:rsidRPr="00576AF8">
          <w:rPr>
            <w:webHidden/>
          </w:rPr>
          <w:fldChar w:fldCharType="begin"/>
        </w:r>
        <w:r w:rsidR="00C832CF" w:rsidRPr="00576AF8">
          <w:rPr>
            <w:webHidden/>
          </w:rPr>
          <w:instrText xml:space="preserve"> PAGEREF _Toc28246690 \h </w:instrText>
        </w:r>
        <w:r w:rsidR="00C832CF" w:rsidRPr="00576AF8">
          <w:rPr>
            <w:webHidden/>
          </w:rPr>
        </w:r>
        <w:r w:rsidR="00C832CF" w:rsidRPr="00576AF8">
          <w:rPr>
            <w:webHidden/>
          </w:rPr>
          <w:fldChar w:fldCharType="separate"/>
        </w:r>
        <w:r w:rsidR="00C832CF" w:rsidRPr="00576AF8">
          <w:rPr>
            <w:webHidden/>
          </w:rPr>
          <w:t>344</w:t>
        </w:r>
        <w:r w:rsidR="00C832CF" w:rsidRPr="00576AF8">
          <w:rPr>
            <w:webHidden/>
          </w:rPr>
          <w:fldChar w:fldCharType="end"/>
        </w:r>
      </w:hyperlink>
    </w:p>
    <w:p w14:paraId="2DA0E5EC" w14:textId="77777777" w:rsidR="00C832CF" w:rsidRPr="00576AF8" w:rsidRDefault="006334E7">
      <w:pPr>
        <w:pStyle w:val="TDC2"/>
        <w:rPr>
          <w:rFonts w:eastAsiaTheme="minorEastAsia"/>
          <w:szCs w:val="24"/>
          <w:lang w:val="en-US" w:eastAsia="en-US" w:bidi="ar-SA"/>
        </w:rPr>
      </w:pPr>
      <w:hyperlink w:anchor="_Toc28246691" w:history="1">
        <w:r w:rsidR="00C832CF" w:rsidRPr="00576AF8">
          <w:rPr>
            <w:rStyle w:val="Hipervnculo"/>
          </w:rPr>
          <w:t>Apéndice 7. Actas de las conversaciones destinadas a finalizar  el Contrato y enmiendas convenidas</w:t>
        </w:r>
        <w:r w:rsidR="00C832CF" w:rsidRPr="00576AF8">
          <w:rPr>
            <w:webHidden/>
          </w:rPr>
          <w:tab/>
        </w:r>
        <w:r w:rsidR="00C832CF" w:rsidRPr="00576AF8">
          <w:rPr>
            <w:webHidden/>
          </w:rPr>
          <w:fldChar w:fldCharType="begin"/>
        </w:r>
        <w:r w:rsidR="00C832CF" w:rsidRPr="00576AF8">
          <w:rPr>
            <w:webHidden/>
          </w:rPr>
          <w:instrText xml:space="preserve"> PAGEREF _Toc28246691 \h </w:instrText>
        </w:r>
        <w:r w:rsidR="00C832CF" w:rsidRPr="00576AF8">
          <w:rPr>
            <w:webHidden/>
          </w:rPr>
        </w:r>
        <w:r w:rsidR="00C832CF" w:rsidRPr="00576AF8">
          <w:rPr>
            <w:webHidden/>
          </w:rPr>
          <w:fldChar w:fldCharType="separate"/>
        </w:r>
        <w:r w:rsidR="00C832CF" w:rsidRPr="00576AF8">
          <w:rPr>
            <w:webHidden/>
          </w:rPr>
          <w:t>345</w:t>
        </w:r>
        <w:r w:rsidR="00C832CF" w:rsidRPr="00576AF8">
          <w:rPr>
            <w:webHidden/>
          </w:rPr>
          <w:fldChar w:fldCharType="end"/>
        </w:r>
      </w:hyperlink>
    </w:p>
    <w:p w14:paraId="10A16521" w14:textId="77777777" w:rsidR="00C832CF" w:rsidRPr="00576AF8" w:rsidRDefault="006334E7">
      <w:pPr>
        <w:pStyle w:val="TDC2"/>
        <w:rPr>
          <w:rFonts w:eastAsiaTheme="minorEastAsia"/>
          <w:szCs w:val="24"/>
          <w:lang w:val="en-US" w:eastAsia="en-US" w:bidi="ar-SA"/>
        </w:rPr>
      </w:pPr>
      <w:hyperlink w:anchor="_Toc28246692" w:history="1">
        <w:r w:rsidR="00C832CF" w:rsidRPr="00576AF8">
          <w:rPr>
            <w:rStyle w:val="Hipervnculo"/>
          </w:rPr>
          <w:t>Formularios de garantía de cumplimiento  y de garantía por pago de anticipo</w:t>
        </w:r>
        <w:r w:rsidR="00C832CF" w:rsidRPr="00576AF8">
          <w:rPr>
            <w:webHidden/>
          </w:rPr>
          <w:tab/>
        </w:r>
        <w:r w:rsidR="00C832CF" w:rsidRPr="00576AF8">
          <w:rPr>
            <w:webHidden/>
          </w:rPr>
          <w:fldChar w:fldCharType="begin"/>
        </w:r>
        <w:r w:rsidR="00C832CF" w:rsidRPr="00576AF8">
          <w:rPr>
            <w:webHidden/>
          </w:rPr>
          <w:instrText xml:space="preserve"> PAGEREF _Toc28246692 \h </w:instrText>
        </w:r>
        <w:r w:rsidR="00C832CF" w:rsidRPr="00576AF8">
          <w:rPr>
            <w:webHidden/>
          </w:rPr>
        </w:r>
        <w:r w:rsidR="00C832CF" w:rsidRPr="00576AF8">
          <w:rPr>
            <w:webHidden/>
          </w:rPr>
          <w:fldChar w:fldCharType="separate"/>
        </w:r>
        <w:r w:rsidR="00C832CF" w:rsidRPr="00576AF8">
          <w:rPr>
            <w:webHidden/>
          </w:rPr>
          <w:t>346</w:t>
        </w:r>
        <w:r w:rsidR="00C832CF" w:rsidRPr="00576AF8">
          <w:rPr>
            <w:webHidden/>
          </w:rPr>
          <w:fldChar w:fldCharType="end"/>
        </w:r>
      </w:hyperlink>
    </w:p>
    <w:p w14:paraId="1AB16707" w14:textId="77777777" w:rsidR="00C832CF" w:rsidRPr="00576AF8" w:rsidRDefault="006334E7">
      <w:pPr>
        <w:pStyle w:val="TDC2"/>
        <w:rPr>
          <w:rFonts w:eastAsiaTheme="minorEastAsia"/>
          <w:szCs w:val="24"/>
          <w:lang w:val="en-US" w:eastAsia="en-US" w:bidi="ar-SA"/>
        </w:rPr>
      </w:pPr>
      <w:hyperlink w:anchor="_Toc28246693" w:history="1">
        <w:r w:rsidR="00C832CF" w:rsidRPr="00576AF8">
          <w:rPr>
            <w:rStyle w:val="Hipervnculo"/>
          </w:rPr>
          <w:t>Certificados de instalación y aceptación operativa</w:t>
        </w:r>
        <w:r w:rsidR="00C832CF" w:rsidRPr="00576AF8">
          <w:rPr>
            <w:webHidden/>
          </w:rPr>
          <w:tab/>
        </w:r>
        <w:r w:rsidR="00C832CF" w:rsidRPr="00576AF8">
          <w:rPr>
            <w:webHidden/>
          </w:rPr>
          <w:fldChar w:fldCharType="begin"/>
        </w:r>
        <w:r w:rsidR="00C832CF" w:rsidRPr="00576AF8">
          <w:rPr>
            <w:webHidden/>
          </w:rPr>
          <w:instrText xml:space="preserve"> PAGEREF _Toc28246693 \h </w:instrText>
        </w:r>
        <w:r w:rsidR="00C832CF" w:rsidRPr="00576AF8">
          <w:rPr>
            <w:webHidden/>
          </w:rPr>
        </w:r>
        <w:r w:rsidR="00C832CF" w:rsidRPr="00576AF8">
          <w:rPr>
            <w:webHidden/>
          </w:rPr>
          <w:fldChar w:fldCharType="separate"/>
        </w:r>
        <w:r w:rsidR="00C832CF" w:rsidRPr="00576AF8">
          <w:rPr>
            <w:webHidden/>
          </w:rPr>
          <w:t>351</w:t>
        </w:r>
        <w:r w:rsidR="00C832CF" w:rsidRPr="00576AF8">
          <w:rPr>
            <w:webHidden/>
          </w:rPr>
          <w:fldChar w:fldCharType="end"/>
        </w:r>
      </w:hyperlink>
    </w:p>
    <w:p w14:paraId="22CA2853" w14:textId="77777777" w:rsidR="00C832CF" w:rsidRPr="00576AF8" w:rsidRDefault="006334E7">
      <w:pPr>
        <w:pStyle w:val="TDC2"/>
        <w:rPr>
          <w:rFonts w:eastAsiaTheme="minorEastAsia"/>
          <w:szCs w:val="24"/>
          <w:lang w:val="en-US" w:eastAsia="en-US" w:bidi="ar-SA"/>
        </w:rPr>
      </w:pPr>
      <w:hyperlink w:anchor="_Toc28246694" w:history="1">
        <w:r w:rsidR="00C832CF" w:rsidRPr="00576AF8">
          <w:rPr>
            <w:rStyle w:val="Hipervnculo"/>
          </w:rPr>
          <w:t>Procedimientos y formularios  para las órdenes de cambio</w:t>
        </w:r>
        <w:r w:rsidR="00C832CF" w:rsidRPr="00576AF8">
          <w:rPr>
            <w:webHidden/>
          </w:rPr>
          <w:tab/>
        </w:r>
        <w:r w:rsidR="00C832CF" w:rsidRPr="00576AF8">
          <w:rPr>
            <w:webHidden/>
          </w:rPr>
          <w:fldChar w:fldCharType="begin"/>
        </w:r>
        <w:r w:rsidR="00C832CF" w:rsidRPr="00576AF8">
          <w:rPr>
            <w:webHidden/>
          </w:rPr>
          <w:instrText xml:space="preserve"> PAGEREF _Toc28246694 \h </w:instrText>
        </w:r>
        <w:r w:rsidR="00C832CF" w:rsidRPr="00576AF8">
          <w:rPr>
            <w:webHidden/>
          </w:rPr>
        </w:r>
        <w:r w:rsidR="00C832CF" w:rsidRPr="00576AF8">
          <w:rPr>
            <w:webHidden/>
          </w:rPr>
          <w:fldChar w:fldCharType="separate"/>
        </w:r>
        <w:r w:rsidR="00C832CF" w:rsidRPr="00576AF8">
          <w:rPr>
            <w:webHidden/>
          </w:rPr>
          <w:t>354</w:t>
        </w:r>
        <w:r w:rsidR="00C832CF" w:rsidRPr="00576AF8">
          <w:rPr>
            <w:webHidden/>
          </w:rPr>
          <w:fldChar w:fldCharType="end"/>
        </w:r>
      </w:hyperlink>
    </w:p>
    <w:p w14:paraId="4079B525" w14:textId="77777777" w:rsidR="00F263CF" w:rsidRPr="00576AF8" w:rsidRDefault="00C832CF" w:rsidP="00A800A8">
      <w:pPr>
        <w:pStyle w:val="Style9"/>
        <w:rPr>
          <w:rFonts w:ascii="Times New Roman" w:hAnsi="Times New Roman"/>
          <w:lang w:val="es-ES"/>
        </w:rPr>
        <w:sectPr w:rsidR="00F263CF" w:rsidRPr="00576AF8" w:rsidSect="000968D2">
          <w:headerReference w:type="even" r:id="rId77"/>
          <w:headerReference w:type="default" r:id="rId78"/>
          <w:headerReference w:type="first" r:id="rId79"/>
          <w:footnotePr>
            <w:numRestart w:val="eachPage"/>
          </w:footnotePr>
          <w:endnotePr>
            <w:numRestart w:val="eachSect"/>
          </w:endnotePr>
          <w:pgSz w:w="12240" w:h="15840" w:code="1"/>
          <w:pgMar w:top="1440" w:right="1440" w:bottom="1440" w:left="1440" w:header="720" w:footer="720" w:gutter="0"/>
          <w:cols w:space="720"/>
          <w:formProt w:val="0"/>
        </w:sectPr>
      </w:pPr>
      <w:r w:rsidRPr="00576AF8">
        <w:rPr>
          <w:rFonts w:ascii="Times New Roman" w:hAnsi="Times New Roman"/>
          <w:lang w:val="es-ES"/>
        </w:rPr>
        <w:fldChar w:fldCharType="end"/>
      </w:r>
    </w:p>
    <w:p w14:paraId="182720BD" w14:textId="77777777" w:rsidR="00A2703E" w:rsidRPr="00576AF8" w:rsidRDefault="00A2703E" w:rsidP="00866570">
      <w:pPr>
        <w:pStyle w:val="Head11b"/>
        <w:rPr>
          <w:rFonts w:ascii="Times New Roman" w:hAnsi="Times New Roman"/>
        </w:rPr>
      </w:pPr>
      <w:bookmarkStart w:id="1720" w:name="_Toc486098175"/>
      <w:bookmarkStart w:id="1721" w:name="_Toc502819514"/>
      <w:bookmarkStart w:id="1722" w:name="_Toc19112061"/>
      <w:bookmarkStart w:id="1723" w:name="_Toc19611792"/>
      <w:bookmarkStart w:id="1724" w:name="_Toc19612209"/>
      <w:bookmarkStart w:id="1725" w:name="_Toc21853887"/>
      <w:bookmarkStart w:id="1726" w:name="_Toc23766392"/>
      <w:bookmarkStart w:id="1727" w:name="_Toc28246681"/>
      <w:bookmarkStart w:id="1728" w:name="_Toc494182759"/>
      <w:bookmarkStart w:id="1729" w:name="_Toc479249649"/>
      <w:bookmarkStart w:id="1730" w:name="_Toc483587933"/>
      <w:bookmarkStart w:id="1731" w:name="_Toc448739662"/>
      <w:bookmarkEnd w:id="1719"/>
      <w:r w:rsidRPr="00576AF8">
        <w:rPr>
          <w:rFonts w:ascii="Times New Roman" w:hAnsi="Times New Roman"/>
        </w:rPr>
        <w:lastRenderedPageBreak/>
        <w:t>Notificación de Intención de Adjudicación</w:t>
      </w:r>
      <w:bookmarkEnd w:id="1720"/>
      <w:bookmarkEnd w:id="1721"/>
      <w:bookmarkEnd w:id="1722"/>
      <w:bookmarkEnd w:id="1723"/>
      <w:bookmarkEnd w:id="1724"/>
      <w:bookmarkEnd w:id="1725"/>
      <w:bookmarkEnd w:id="1726"/>
      <w:bookmarkEnd w:id="1727"/>
    </w:p>
    <w:p w14:paraId="301FB366" w14:textId="77777777" w:rsidR="00A2703E" w:rsidRPr="00576AF8" w:rsidRDefault="00A2703E" w:rsidP="00A2703E"/>
    <w:p w14:paraId="4B32277F" w14:textId="77777777" w:rsidR="00A2703E" w:rsidRPr="00576AF8" w:rsidRDefault="00A2703E" w:rsidP="00A2703E">
      <w:pPr>
        <w:spacing w:before="240"/>
        <w:rPr>
          <w:b/>
          <w:bCs/>
          <w:i/>
        </w:rPr>
      </w:pPr>
      <w:r w:rsidRPr="00576AF8">
        <w:rPr>
          <w:b/>
          <w:bCs/>
          <w:i/>
        </w:rPr>
        <w:t xml:space="preserve">[Esta Notificación de Intención de Adjudicación será enviada a cada </w:t>
      </w:r>
      <w:r w:rsidR="007A705B" w:rsidRPr="00576AF8">
        <w:rPr>
          <w:b/>
          <w:bCs/>
          <w:i/>
        </w:rPr>
        <w:t>Licitante</w:t>
      </w:r>
      <w:r w:rsidRPr="00576AF8">
        <w:rPr>
          <w:b/>
          <w:bCs/>
          <w:i/>
        </w:rPr>
        <w:t xml:space="preserve"> que haya presentado una Oferta.]</w:t>
      </w:r>
    </w:p>
    <w:p w14:paraId="5E220C00" w14:textId="77777777" w:rsidR="00A2703E" w:rsidRPr="00576AF8" w:rsidRDefault="00A2703E" w:rsidP="00A2703E">
      <w:pPr>
        <w:spacing w:before="240"/>
        <w:rPr>
          <w:b/>
          <w:i/>
          <w:noProof/>
        </w:rPr>
      </w:pPr>
      <w:r w:rsidRPr="00576AF8">
        <w:rPr>
          <w:b/>
          <w:i/>
          <w:noProof/>
        </w:rPr>
        <w:t xml:space="preserve">[Enviar esta Notificación al Representante Autorizado del </w:t>
      </w:r>
      <w:r w:rsidR="007A705B" w:rsidRPr="00576AF8">
        <w:rPr>
          <w:b/>
          <w:i/>
          <w:noProof/>
        </w:rPr>
        <w:t>Licitante</w:t>
      </w:r>
      <w:r w:rsidRPr="00576AF8">
        <w:rPr>
          <w:b/>
          <w:i/>
          <w:noProof/>
        </w:rPr>
        <w:t xml:space="preserve"> nombrado en el Formulario de Información del </w:t>
      </w:r>
      <w:r w:rsidR="007A705B" w:rsidRPr="00576AF8">
        <w:rPr>
          <w:b/>
          <w:i/>
          <w:noProof/>
        </w:rPr>
        <w:t>Licitante</w:t>
      </w:r>
      <w:r w:rsidRPr="00576AF8">
        <w:rPr>
          <w:b/>
          <w:i/>
          <w:noProof/>
        </w:rPr>
        <w:t>]</w:t>
      </w:r>
    </w:p>
    <w:p w14:paraId="5B33462C" w14:textId="77777777" w:rsidR="00A2703E" w:rsidRPr="00576AF8" w:rsidRDefault="00A2703E" w:rsidP="00A2703E">
      <w:pPr>
        <w:pStyle w:val="Outline"/>
        <w:suppressAutoHyphens/>
        <w:spacing w:before="60" w:after="60"/>
        <w:jc w:val="both"/>
        <w:rPr>
          <w:noProof/>
          <w:szCs w:val="24"/>
        </w:rPr>
      </w:pPr>
    </w:p>
    <w:p w14:paraId="5917EE95" w14:textId="77777777" w:rsidR="00A2703E" w:rsidRPr="00576AF8" w:rsidRDefault="00A2703E" w:rsidP="00A2703E">
      <w:pPr>
        <w:pStyle w:val="Outline"/>
        <w:suppressAutoHyphens/>
        <w:spacing w:before="60" w:after="60"/>
        <w:jc w:val="both"/>
        <w:rPr>
          <w:noProof/>
          <w:szCs w:val="24"/>
        </w:rPr>
      </w:pPr>
      <w:r w:rsidRPr="00576AF8">
        <w:rPr>
          <w:noProof/>
          <w:szCs w:val="24"/>
        </w:rPr>
        <w:t xml:space="preserve">A la atención del Representante Autorizado del </w:t>
      </w:r>
      <w:r w:rsidR="007A705B" w:rsidRPr="00576AF8">
        <w:rPr>
          <w:noProof/>
          <w:szCs w:val="24"/>
        </w:rPr>
        <w:t>Licitante</w:t>
      </w:r>
    </w:p>
    <w:p w14:paraId="0628B9DA" w14:textId="77777777" w:rsidR="00A2703E" w:rsidRPr="00576AF8" w:rsidRDefault="00A2703E" w:rsidP="00A2703E">
      <w:pPr>
        <w:pStyle w:val="Outline"/>
        <w:suppressAutoHyphens/>
        <w:spacing w:before="60" w:after="60"/>
        <w:jc w:val="both"/>
        <w:rPr>
          <w:noProof/>
          <w:szCs w:val="24"/>
        </w:rPr>
      </w:pPr>
      <w:r w:rsidRPr="00576AF8">
        <w:rPr>
          <w:noProof/>
          <w:szCs w:val="24"/>
        </w:rPr>
        <w:t xml:space="preserve">Nombre: </w:t>
      </w:r>
      <w:r w:rsidRPr="00576AF8">
        <w:rPr>
          <w:i/>
          <w:noProof/>
          <w:szCs w:val="24"/>
        </w:rPr>
        <w:t>[insértese el nombre del Representante Autorizado]</w:t>
      </w:r>
    </w:p>
    <w:p w14:paraId="636E8D00" w14:textId="77777777" w:rsidR="00A2703E" w:rsidRPr="00576AF8" w:rsidRDefault="00A2703E" w:rsidP="00A2703E">
      <w:pPr>
        <w:pStyle w:val="Outline"/>
        <w:suppressAutoHyphens/>
        <w:spacing w:before="60" w:after="60"/>
        <w:jc w:val="both"/>
        <w:rPr>
          <w:noProof/>
          <w:szCs w:val="24"/>
        </w:rPr>
      </w:pPr>
      <w:r w:rsidRPr="00576AF8">
        <w:rPr>
          <w:noProof/>
          <w:szCs w:val="24"/>
        </w:rPr>
        <w:t xml:space="preserve">Dirección: </w:t>
      </w:r>
      <w:r w:rsidRPr="00576AF8">
        <w:rPr>
          <w:i/>
          <w:noProof/>
          <w:szCs w:val="24"/>
        </w:rPr>
        <w:t>[indicar la dirección del Representante Autorizado]</w:t>
      </w:r>
    </w:p>
    <w:p w14:paraId="23242AAB" w14:textId="77777777" w:rsidR="00A2703E" w:rsidRPr="00576AF8" w:rsidRDefault="00A2703E" w:rsidP="00A2703E">
      <w:pPr>
        <w:pStyle w:val="Outline"/>
        <w:suppressAutoHyphens/>
        <w:spacing w:before="60" w:after="60"/>
        <w:jc w:val="both"/>
        <w:rPr>
          <w:i/>
          <w:noProof/>
          <w:spacing w:val="-6"/>
          <w:szCs w:val="24"/>
        </w:rPr>
      </w:pPr>
      <w:r w:rsidRPr="00576AF8">
        <w:rPr>
          <w:noProof/>
          <w:spacing w:val="-6"/>
          <w:szCs w:val="24"/>
        </w:rPr>
        <w:t xml:space="preserve">Número de teléfono: </w:t>
      </w:r>
      <w:r w:rsidRPr="00576AF8">
        <w:rPr>
          <w:i/>
          <w:noProof/>
          <w:spacing w:val="-6"/>
          <w:szCs w:val="24"/>
        </w:rPr>
        <w:t xml:space="preserve">[insertar </w:t>
      </w:r>
      <w:r w:rsidR="00F32294" w:rsidRPr="00576AF8">
        <w:rPr>
          <w:i/>
          <w:noProof/>
          <w:spacing w:val="-6"/>
          <w:szCs w:val="24"/>
        </w:rPr>
        <w:t xml:space="preserve">el </w:t>
      </w:r>
      <w:r w:rsidRPr="00576AF8">
        <w:rPr>
          <w:i/>
          <w:noProof/>
          <w:spacing w:val="-6"/>
          <w:szCs w:val="24"/>
        </w:rPr>
        <w:t xml:space="preserve"> número de teléfono del Representante Autorizado]</w:t>
      </w:r>
    </w:p>
    <w:p w14:paraId="3D85AAA7" w14:textId="77777777" w:rsidR="00A2703E" w:rsidRPr="00576AF8" w:rsidRDefault="00A2703E" w:rsidP="00A2703E">
      <w:pPr>
        <w:pStyle w:val="Outline"/>
        <w:suppressAutoHyphens/>
        <w:spacing w:before="60" w:after="60"/>
        <w:jc w:val="both"/>
        <w:rPr>
          <w:i/>
          <w:noProof/>
          <w:szCs w:val="24"/>
        </w:rPr>
      </w:pPr>
      <w:r w:rsidRPr="00576AF8">
        <w:rPr>
          <w:noProof/>
          <w:szCs w:val="24"/>
        </w:rPr>
        <w:t xml:space="preserve">Dirección de correo electrónico: </w:t>
      </w:r>
      <w:r w:rsidRPr="00576AF8">
        <w:rPr>
          <w:i/>
          <w:noProof/>
          <w:szCs w:val="24"/>
        </w:rPr>
        <w:t>[insertar dirección de correo electrónico del Representante Autorizado]</w:t>
      </w:r>
    </w:p>
    <w:p w14:paraId="4BF09BEA" w14:textId="77777777" w:rsidR="00A2703E" w:rsidRPr="00576AF8" w:rsidRDefault="00A2703E" w:rsidP="00A2703E">
      <w:pPr>
        <w:spacing w:before="240"/>
        <w:rPr>
          <w:b/>
          <w:i/>
          <w:noProof/>
        </w:rPr>
      </w:pPr>
      <w:r w:rsidRPr="00576AF8">
        <w:rPr>
          <w:b/>
          <w:i/>
          <w:noProof/>
        </w:rPr>
        <w:t xml:space="preserve">[IMPORTANTE: insertar la fecha en que esta Notificación se transmite a los </w:t>
      </w:r>
      <w:r w:rsidR="007A705B" w:rsidRPr="00576AF8">
        <w:rPr>
          <w:b/>
          <w:i/>
          <w:noProof/>
        </w:rPr>
        <w:t>Licitante</w:t>
      </w:r>
      <w:r w:rsidRPr="00576AF8">
        <w:rPr>
          <w:b/>
          <w:i/>
          <w:noProof/>
        </w:rPr>
        <w:t xml:space="preserve">s. La Notificación debe enviarse a todos los </w:t>
      </w:r>
      <w:r w:rsidR="007A705B" w:rsidRPr="00576AF8">
        <w:rPr>
          <w:b/>
          <w:i/>
          <w:noProof/>
        </w:rPr>
        <w:t>Licitante</w:t>
      </w:r>
      <w:r w:rsidRPr="00576AF8">
        <w:rPr>
          <w:b/>
          <w:i/>
          <w:noProof/>
        </w:rPr>
        <w:t>s simultáneamente. Esto significa en la misma fecha y lo más cerca posible al mismo tiempo.]</w:t>
      </w:r>
    </w:p>
    <w:p w14:paraId="689A3247" w14:textId="77777777" w:rsidR="00A2703E" w:rsidRPr="00576AF8" w:rsidRDefault="00A2703E" w:rsidP="00A2703E">
      <w:pPr>
        <w:rPr>
          <w:b/>
          <w:noProof/>
          <w:kern w:val="28"/>
        </w:rPr>
      </w:pPr>
    </w:p>
    <w:p w14:paraId="7E87B890" w14:textId="77777777" w:rsidR="00A2703E" w:rsidRPr="00576AF8" w:rsidRDefault="00A2703E" w:rsidP="00A2703E">
      <w:pPr>
        <w:rPr>
          <w:noProof/>
          <w:kern w:val="28"/>
        </w:rPr>
      </w:pPr>
      <w:r w:rsidRPr="00576AF8">
        <w:rPr>
          <w:b/>
          <w:noProof/>
          <w:kern w:val="28"/>
        </w:rPr>
        <w:t>FECHA DE TRANSMISIÓN</w:t>
      </w:r>
      <w:r w:rsidRPr="00576AF8">
        <w:rPr>
          <w:b/>
        </w:rPr>
        <w:t>:</w:t>
      </w:r>
      <w:r w:rsidRPr="00576AF8">
        <w:t xml:space="preserve"> </w:t>
      </w:r>
      <w:r w:rsidRPr="00576AF8">
        <w:rPr>
          <w:noProof/>
          <w:kern w:val="28"/>
        </w:rPr>
        <w:t xml:space="preserve">Esta notificación se envía por: </w:t>
      </w:r>
      <w:r w:rsidRPr="00576AF8">
        <w:rPr>
          <w:i/>
          <w:noProof/>
          <w:kern w:val="28"/>
        </w:rPr>
        <w:t>[correo electrónico]</w:t>
      </w:r>
      <w:r w:rsidRPr="00576AF8">
        <w:rPr>
          <w:noProof/>
          <w:kern w:val="28"/>
        </w:rPr>
        <w:t xml:space="preserve"> el </w:t>
      </w:r>
      <w:r w:rsidRPr="00576AF8">
        <w:rPr>
          <w:i/>
          <w:noProof/>
          <w:kern w:val="28"/>
        </w:rPr>
        <w:t>[fecha]</w:t>
      </w:r>
      <w:r w:rsidRPr="00576AF8">
        <w:rPr>
          <w:noProof/>
          <w:kern w:val="28"/>
        </w:rPr>
        <w:t xml:space="preserve"> (hora local)</w:t>
      </w:r>
    </w:p>
    <w:p w14:paraId="37C0664C" w14:textId="77777777" w:rsidR="00A2703E" w:rsidRPr="00576AF8" w:rsidRDefault="00A2703E" w:rsidP="00A2703E"/>
    <w:p w14:paraId="6B21405B" w14:textId="77777777" w:rsidR="00A2703E" w:rsidRPr="00576AF8" w:rsidRDefault="00A2703E" w:rsidP="00A2703E">
      <w:pPr>
        <w:ind w:right="289"/>
        <w:jc w:val="center"/>
        <w:rPr>
          <w:b/>
          <w:bCs/>
        </w:rPr>
      </w:pPr>
      <w:r w:rsidRPr="00576AF8">
        <w:rPr>
          <w:b/>
          <w:bCs/>
        </w:rPr>
        <w:t>Notificación de Intención de Adjudicación</w:t>
      </w:r>
    </w:p>
    <w:p w14:paraId="75AEDF96" w14:textId="77777777" w:rsidR="00A2703E" w:rsidRPr="00576AF8" w:rsidRDefault="00A2703E" w:rsidP="00A2703E">
      <w:pPr>
        <w:rPr>
          <w:b/>
        </w:rPr>
      </w:pPr>
    </w:p>
    <w:p w14:paraId="50C4797F" w14:textId="77777777" w:rsidR="00A2703E" w:rsidRPr="00576AF8" w:rsidRDefault="00D95AFA" w:rsidP="00A2703E">
      <w:pPr>
        <w:rPr>
          <w:i/>
        </w:rPr>
      </w:pPr>
      <w:r w:rsidRPr="00576AF8">
        <w:rPr>
          <w:b/>
        </w:rPr>
        <w:t>Comprador</w:t>
      </w:r>
      <w:r w:rsidR="00A2703E" w:rsidRPr="00576AF8">
        <w:rPr>
          <w:b/>
        </w:rPr>
        <w:t>:</w:t>
      </w:r>
      <w:r w:rsidR="00A2703E" w:rsidRPr="00576AF8">
        <w:t xml:space="preserve"> </w:t>
      </w:r>
      <w:r w:rsidR="00A2703E" w:rsidRPr="00576AF8">
        <w:rPr>
          <w:i/>
        </w:rPr>
        <w:t xml:space="preserve">[insertar el nombre del </w:t>
      </w:r>
      <w:r w:rsidRPr="00576AF8">
        <w:rPr>
          <w:i/>
        </w:rPr>
        <w:t>Comprador</w:t>
      </w:r>
      <w:r w:rsidR="00A2703E" w:rsidRPr="00576AF8">
        <w:rPr>
          <w:i/>
        </w:rPr>
        <w:t>]</w:t>
      </w:r>
    </w:p>
    <w:p w14:paraId="1C75EEA8" w14:textId="77777777" w:rsidR="00A2703E" w:rsidRPr="00576AF8" w:rsidRDefault="00A2703E" w:rsidP="00A2703E">
      <w:pPr>
        <w:rPr>
          <w:i/>
        </w:rPr>
      </w:pPr>
      <w:r w:rsidRPr="00576AF8">
        <w:rPr>
          <w:b/>
        </w:rPr>
        <w:t>Proyecto:</w:t>
      </w:r>
      <w:r w:rsidRPr="00576AF8">
        <w:t xml:space="preserve"> </w:t>
      </w:r>
      <w:r w:rsidRPr="00576AF8">
        <w:rPr>
          <w:i/>
        </w:rPr>
        <w:t>[insertar nombre del proyecto]</w:t>
      </w:r>
    </w:p>
    <w:p w14:paraId="73515D9F" w14:textId="77777777" w:rsidR="00A2703E" w:rsidRPr="00576AF8" w:rsidRDefault="00A2703E" w:rsidP="00A2703E">
      <w:pPr>
        <w:rPr>
          <w:i/>
        </w:rPr>
      </w:pPr>
      <w:r w:rsidRPr="00576AF8">
        <w:rPr>
          <w:b/>
        </w:rPr>
        <w:t>Título del contrato:</w:t>
      </w:r>
      <w:r w:rsidRPr="00576AF8">
        <w:t xml:space="preserve"> </w:t>
      </w:r>
      <w:r w:rsidRPr="00576AF8">
        <w:rPr>
          <w:i/>
        </w:rPr>
        <w:t>[indicar el nombre del Contrato]</w:t>
      </w:r>
    </w:p>
    <w:p w14:paraId="13819E9E" w14:textId="77777777" w:rsidR="00A2703E" w:rsidRPr="00576AF8" w:rsidRDefault="00A2703E" w:rsidP="00A2703E">
      <w:pPr>
        <w:rPr>
          <w:i/>
        </w:rPr>
      </w:pPr>
      <w:r w:rsidRPr="00576AF8">
        <w:rPr>
          <w:b/>
        </w:rPr>
        <w:t>País:</w:t>
      </w:r>
      <w:r w:rsidRPr="00576AF8">
        <w:t xml:space="preserve"> </w:t>
      </w:r>
      <w:r w:rsidRPr="00576AF8">
        <w:rPr>
          <w:i/>
        </w:rPr>
        <w:t>[insertar el país donde se emite la SDO]</w:t>
      </w:r>
    </w:p>
    <w:p w14:paraId="6EAEBEA1" w14:textId="77777777" w:rsidR="00A2703E" w:rsidRPr="00576AF8" w:rsidRDefault="00A2703E" w:rsidP="00A2703E">
      <w:pPr>
        <w:rPr>
          <w:i/>
        </w:rPr>
      </w:pPr>
      <w:r w:rsidRPr="00576AF8">
        <w:rPr>
          <w:b/>
        </w:rPr>
        <w:t>Número de préstamo:</w:t>
      </w:r>
      <w:r w:rsidRPr="00576AF8">
        <w:t xml:space="preserve"> </w:t>
      </w:r>
      <w:r w:rsidRPr="00576AF8">
        <w:rPr>
          <w:i/>
        </w:rPr>
        <w:t>[indicar el número de referencia del préstamo]</w:t>
      </w:r>
    </w:p>
    <w:p w14:paraId="40D41F46" w14:textId="77777777" w:rsidR="00A2703E" w:rsidRPr="00576AF8" w:rsidRDefault="00A2703E" w:rsidP="00A2703E">
      <w:pPr>
        <w:spacing w:after="200"/>
      </w:pPr>
      <w:r w:rsidRPr="00576AF8">
        <w:rPr>
          <w:b/>
        </w:rPr>
        <w:t>SDO No:</w:t>
      </w:r>
      <w:r w:rsidRPr="00576AF8">
        <w:t xml:space="preserve"> </w:t>
      </w:r>
      <w:r w:rsidRPr="00576AF8">
        <w:rPr>
          <w:i/>
        </w:rPr>
        <w:t>[insertar número de referencia SDO del Plan de Adquisiciones]</w:t>
      </w:r>
    </w:p>
    <w:p w14:paraId="24C092C7" w14:textId="77777777" w:rsidR="00A2703E" w:rsidRPr="00576AF8" w:rsidRDefault="00A2703E" w:rsidP="00A2703E">
      <w:pPr>
        <w:spacing w:after="200"/>
      </w:pPr>
      <w:r w:rsidRPr="00576AF8">
        <w:t>Esta Notificación de Intención de Adjudicación (la Notificación) le notifica nuestra decisión de adjudicar el contrato anterior. La transmisión de esta Notificación comienza el Período de Suspensivo. Durante el Plazo Suspensivo usted puede:</w:t>
      </w:r>
    </w:p>
    <w:p w14:paraId="0ACBA7AD" w14:textId="77777777" w:rsidR="00A2703E" w:rsidRPr="00576AF8" w:rsidRDefault="00A2703E" w:rsidP="00A2703E">
      <w:pPr>
        <w:spacing w:after="200"/>
        <w:ind w:left="714" w:hanging="357"/>
      </w:pPr>
      <w:r w:rsidRPr="00576AF8">
        <w:t>(a)</w:t>
      </w:r>
      <w:r w:rsidRPr="00576AF8">
        <w:tab/>
        <w:t>solicitar una sesión informativa en relación con la evaluación de su Oferta, y / o</w:t>
      </w:r>
    </w:p>
    <w:p w14:paraId="41EC40FC" w14:textId="77777777" w:rsidR="00A2703E" w:rsidRPr="00576AF8" w:rsidRDefault="00A2703E" w:rsidP="00A2703E">
      <w:pPr>
        <w:spacing w:after="200"/>
        <w:ind w:left="714" w:right="289" w:hanging="357"/>
      </w:pPr>
      <w:r w:rsidRPr="00576AF8">
        <w:lastRenderedPageBreak/>
        <w:t>(b)</w:t>
      </w:r>
      <w:r w:rsidRPr="00576AF8">
        <w:tab/>
        <w:t xml:space="preserve"> presentar un reclamo sobre la adquisición en relación con la decisión de adjudicar el contrato.</w:t>
      </w:r>
    </w:p>
    <w:p w14:paraId="1F85D2AC" w14:textId="77777777" w:rsidR="00A2703E" w:rsidRPr="00576AF8" w:rsidRDefault="00A2703E" w:rsidP="00A2703E">
      <w:pPr>
        <w:pageBreakBefore/>
        <w:rPr>
          <w:b/>
        </w:rPr>
      </w:pPr>
      <w:r w:rsidRPr="00576AF8">
        <w:rPr>
          <w:b/>
        </w:rPr>
        <w:lastRenderedPageBreak/>
        <w:t>1. El Adjudicatario</w:t>
      </w:r>
    </w:p>
    <w:tbl>
      <w:tblPr>
        <w:tblW w:w="5000" w:type="pct"/>
        <w:tblLook w:val="04A0" w:firstRow="1" w:lastRow="0" w:firstColumn="1" w:lastColumn="0" w:noHBand="0" w:noVBand="1"/>
      </w:tblPr>
      <w:tblGrid>
        <w:gridCol w:w="2061"/>
        <w:gridCol w:w="7299"/>
      </w:tblGrid>
      <w:tr w:rsidR="00A2703E" w:rsidRPr="00576AF8" w14:paraId="4DB819B0" w14:textId="77777777" w:rsidTr="003A14B3">
        <w:trPr>
          <w:trHeight w:val="576"/>
        </w:trPr>
        <w:tc>
          <w:tcPr>
            <w:tcW w:w="1101" w:type="pct"/>
            <w:shd w:val="clear" w:color="auto" w:fill="auto"/>
          </w:tcPr>
          <w:p w14:paraId="6BEFE321" w14:textId="77777777" w:rsidR="00A2703E" w:rsidRPr="00576AF8" w:rsidRDefault="00A2703E" w:rsidP="003A14B3">
            <w:pPr>
              <w:pStyle w:val="Sangradetextonormal"/>
              <w:spacing w:after="120"/>
              <w:ind w:left="0"/>
              <w:rPr>
                <w:iCs/>
              </w:rPr>
            </w:pPr>
            <w:r w:rsidRPr="00576AF8">
              <w:rPr>
                <w:iCs/>
              </w:rPr>
              <w:t>Nombre:</w:t>
            </w:r>
          </w:p>
        </w:tc>
        <w:tc>
          <w:tcPr>
            <w:tcW w:w="3899" w:type="pct"/>
            <w:shd w:val="clear" w:color="auto" w:fill="auto"/>
            <w:vAlign w:val="center"/>
          </w:tcPr>
          <w:p w14:paraId="6CE9503D" w14:textId="77777777" w:rsidR="00A2703E" w:rsidRPr="00576AF8" w:rsidRDefault="00A2703E" w:rsidP="003A14B3">
            <w:pPr>
              <w:pStyle w:val="Sangradetextonormal"/>
              <w:spacing w:after="120"/>
              <w:ind w:left="0"/>
              <w:rPr>
                <w:i/>
                <w:iCs/>
              </w:rPr>
            </w:pPr>
            <w:r w:rsidRPr="00576AF8">
              <w:rPr>
                <w:i/>
                <w:iCs/>
              </w:rPr>
              <w:t xml:space="preserve">[ingresar el nombre del </w:t>
            </w:r>
            <w:r w:rsidR="007A705B" w:rsidRPr="00576AF8">
              <w:rPr>
                <w:i/>
                <w:iCs/>
              </w:rPr>
              <w:t>Licitante</w:t>
            </w:r>
            <w:r w:rsidRPr="00576AF8">
              <w:rPr>
                <w:i/>
                <w:iCs/>
              </w:rPr>
              <w:t xml:space="preserve"> seleccionado]</w:t>
            </w:r>
          </w:p>
        </w:tc>
      </w:tr>
      <w:tr w:rsidR="00A2703E" w:rsidRPr="00576AF8" w14:paraId="207CCB20" w14:textId="77777777" w:rsidTr="003A14B3">
        <w:tc>
          <w:tcPr>
            <w:tcW w:w="1101" w:type="pct"/>
            <w:shd w:val="clear" w:color="auto" w:fill="auto"/>
          </w:tcPr>
          <w:p w14:paraId="2ABE5393" w14:textId="77777777" w:rsidR="00A2703E" w:rsidRPr="00576AF8" w:rsidRDefault="00A2703E" w:rsidP="003A14B3">
            <w:pPr>
              <w:pStyle w:val="Sangradetextonormal"/>
              <w:spacing w:after="120"/>
              <w:ind w:left="0"/>
              <w:rPr>
                <w:iCs/>
              </w:rPr>
            </w:pPr>
            <w:r w:rsidRPr="00576AF8">
              <w:rPr>
                <w:iCs/>
              </w:rPr>
              <w:t>Dirección:</w:t>
            </w:r>
          </w:p>
        </w:tc>
        <w:tc>
          <w:tcPr>
            <w:tcW w:w="3899" w:type="pct"/>
            <w:shd w:val="clear" w:color="auto" w:fill="auto"/>
            <w:vAlign w:val="center"/>
          </w:tcPr>
          <w:p w14:paraId="6298F1B0" w14:textId="77777777" w:rsidR="00A2703E" w:rsidRPr="00576AF8" w:rsidRDefault="00A2703E" w:rsidP="003A14B3">
            <w:pPr>
              <w:pStyle w:val="Sangradetextonormal"/>
              <w:spacing w:after="120"/>
              <w:ind w:left="0"/>
              <w:rPr>
                <w:i/>
                <w:iCs/>
              </w:rPr>
            </w:pPr>
            <w:r w:rsidRPr="00576AF8">
              <w:rPr>
                <w:i/>
                <w:iCs/>
              </w:rPr>
              <w:t xml:space="preserve">[ingresar la dirección del </w:t>
            </w:r>
            <w:r w:rsidR="007A705B" w:rsidRPr="00576AF8">
              <w:rPr>
                <w:i/>
                <w:iCs/>
              </w:rPr>
              <w:t>Licitante</w:t>
            </w:r>
            <w:r w:rsidRPr="00576AF8">
              <w:rPr>
                <w:i/>
                <w:iCs/>
              </w:rPr>
              <w:t xml:space="preserve"> seleccionado]</w:t>
            </w:r>
          </w:p>
        </w:tc>
      </w:tr>
      <w:tr w:rsidR="00A2703E" w:rsidRPr="00576AF8" w14:paraId="5D37C152" w14:textId="77777777" w:rsidTr="003A14B3">
        <w:tc>
          <w:tcPr>
            <w:tcW w:w="1101" w:type="pct"/>
            <w:shd w:val="clear" w:color="auto" w:fill="auto"/>
          </w:tcPr>
          <w:p w14:paraId="6E894A76" w14:textId="77777777" w:rsidR="00A2703E" w:rsidRPr="00576AF8" w:rsidRDefault="00A2703E" w:rsidP="003A14B3">
            <w:pPr>
              <w:pStyle w:val="Sangradetextonormal"/>
              <w:spacing w:after="120"/>
              <w:ind w:left="0" w:right="-106"/>
              <w:rPr>
                <w:iCs/>
                <w:spacing w:val="-2"/>
              </w:rPr>
            </w:pPr>
            <w:r w:rsidRPr="00576AF8">
              <w:rPr>
                <w:iCs/>
                <w:spacing w:val="-2"/>
              </w:rPr>
              <w:t>Precio del contrato:</w:t>
            </w:r>
          </w:p>
        </w:tc>
        <w:tc>
          <w:tcPr>
            <w:tcW w:w="3899" w:type="pct"/>
            <w:shd w:val="clear" w:color="auto" w:fill="auto"/>
            <w:vAlign w:val="center"/>
          </w:tcPr>
          <w:p w14:paraId="23FA87C8" w14:textId="77777777" w:rsidR="00A2703E" w:rsidRPr="00576AF8" w:rsidRDefault="00A2703E" w:rsidP="003A14B3">
            <w:pPr>
              <w:pStyle w:val="Sangradetextonormal"/>
              <w:spacing w:after="120"/>
              <w:ind w:left="0"/>
              <w:rPr>
                <w:i/>
                <w:iCs/>
              </w:rPr>
            </w:pPr>
            <w:r w:rsidRPr="00576AF8">
              <w:rPr>
                <w:i/>
                <w:iCs/>
              </w:rPr>
              <w:t xml:space="preserve">[ingresar el precio de la Oferta del </w:t>
            </w:r>
            <w:r w:rsidR="007A705B" w:rsidRPr="00576AF8">
              <w:rPr>
                <w:i/>
                <w:iCs/>
              </w:rPr>
              <w:t>Licitante</w:t>
            </w:r>
            <w:r w:rsidRPr="00576AF8">
              <w:rPr>
                <w:i/>
                <w:iCs/>
              </w:rPr>
              <w:t xml:space="preserve"> seleccionado]</w:t>
            </w:r>
          </w:p>
        </w:tc>
      </w:tr>
    </w:tbl>
    <w:p w14:paraId="3F00536F" w14:textId="77777777" w:rsidR="00A2703E" w:rsidRPr="00576AF8" w:rsidRDefault="00A2703E" w:rsidP="00A2703E"/>
    <w:p w14:paraId="0A8DB1B4" w14:textId="77777777" w:rsidR="00A2703E" w:rsidRPr="00576AF8" w:rsidRDefault="00A2703E" w:rsidP="00A2703E">
      <w:r w:rsidRPr="00576AF8">
        <w:rPr>
          <w:b/>
        </w:rPr>
        <w:t xml:space="preserve">2. Otros </w:t>
      </w:r>
      <w:r w:rsidR="007A705B" w:rsidRPr="00576AF8">
        <w:rPr>
          <w:b/>
        </w:rPr>
        <w:t>Licitante</w:t>
      </w:r>
      <w:r w:rsidRPr="00576AF8">
        <w:rPr>
          <w:b/>
        </w:rPr>
        <w:t>s</w:t>
      </w:r>
      <w:r w:rsidRPr="00576AF8">
        <w:t xml:space="preserve"> </w:t>
      </w:r>
      <w:r w:rsidRPr="00576AF8">
        <w:rPr>
          <w:b/>
          <w:i/>
        </w:rPr>
        <w:t xml:space="preserve">[INSTRUCCIONES: ingresar los nombres de todos los </w:t>
      </w:r>
      <w:r w:rsidR="007A705B" w:rsidRPr="00576AF8">
        <w:rPr>
          <w:b/>
          <w:i/>
        </w:rPr>
        <w:t>Licitante</w:t>
      </w:r>
      <w:r w:rsidRPr="00576AF8">
        <w:rPr>
          <w:b/>
          <w:i/>
        </w:rPr>
        <w:t>s que presentaron una Oferta. Si se evaluó el precio de la Oferta, incluya el precio evaluado, así como el precio de la Oferta leído en la apertura.]</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2703E" w:rsidRPr="00576AF8" w14:paraId="4E120584" w14:textId="77777777" w:rsidTr="003A14B3">
        <w:trPr>
          <w:tblHeader/>
        </w:trPr>
        <w:tc>
          <w:tcPr>
            <w:tcW w:w="1000" w:type="pct"/>
            <w:shd w:val="clear" w:color="auto" w:fill="C6D9F1" w:themeFill="text2" w:themeFillTint="33"/>
          </w:tcPr>
          <w:p w14:paraId="78E6FAD6" w14:textId="77777777" w:rsidR="00A2703E" w:rsidRPr="00576AF8" w:rsidRDefault="00A2703E" w:rsidP="003A14B3">
            <w:pPr>
              <w:pStyle w:val="Sangradetextonormal"/>
              <w:tabs>
                <w:tab w:val="decimal" w:pos="35"/>
                <w:tab w:val="decimal" w:pos="177"/>
              </w:tabs>
              <w:spacing w:before="40" w:after="40"/>
              <w:ind w:left="0" w:right="33"/>
              <w:jc w:val="center"/>
              <w:rPr>
                <w:b/>
                <w:iCs/>
                <w:lang w:val="es-ES_tradnl"/>
              </w:rPr>
            </w:pPr>
            <w:r w:rsidRPr="00576AF8">
              <w:rPr>
                <w:b/>
                <w:iCs/>
                <w:lang w:val="es-ES_tradnl"/>
              </w:rPr>
              <w:t xml:space="preserve">Nombre del </w:t>
            </w:r>
            <w:r w:rsidR="007A705B" w:rsidRPr="00576AF8">
              <w:rPr>
                <w:b/>
                <w:iCs/>
                <w:lang w:val="es-ES_tradnl"/>
              </w:rPr>
              <w:t>Licitante</w:t>
            </w:r>
          </w:p>
        </w:tc>
        <w:tc>
          <w:tcPr>
            <w:tcW w:w="1000" w:type="pct"/>
            <w:shd w:val="clear" w:color="auto" w:fill="C6D9F1" w:themeFill="text2" w:themeFillTint="33"/>
          </w:tcPr>
          <w:p w14:paraId="5031E9A3" w14:textId="77777777" w:rsidR="00A2703E" w:rsidRPr="00576AF8" w:rsidRDefault="00A2703E" w:rsidP="003A14B3">
            <w:pPr>
              <w:pStyle w:val="Sangradetextonormal"/>
              <w:spacing w:before="40" w:after="40"/>
              <w:ind w:left="6" w:right="29"/>
              <w:jc w:val="center"/>
              <w:rPr>
                <w:b/>
                <w:iCs/>
                <w:lang w:val="es-ES_tradnl"/>
              </w:rPr>
            </w:pPr>
            <w:r w:rsidRPr="00576AF8">
              <w:rPr>
                <w:b/>
                <w:iCs/>
                <w:lang w:val="es-ES_tradnl"/>
              </w:rPr>
              <w:t>Puntaje Técnico</w:t>
            </w:r>
          </w:p>
        </w:tc>
        <w:tc>
          <w:tcPr>
            <w:tcW w:w="1000" w:type="pct"/>
            <w:shd w:val="clear" w:color="auto" w:fill="C6D9F1" w:themeFill="text2" w:themeFillTint="33"/>
          </w:tcPr>
          <w:p w14:paraId="25DD02D6" w14:textId="77777777" w:rsidR="00A2703E" w:rsidRPr="00576AF8" w:rsidRDefault="00A2703E" w:rsidP="003A14B3">
            <w:pPr>
              <w:pStyle w:val="Sangradetextonormal"/>
              <w:spacing w:before="40" w:after="40"/>
              <w:ind w:left="0" w:right="29"/>
              <w:jc w:val="center"/>
              <w:rPr>
                <w:b/>
                <w:iCs/>
                <w:lang w:val="es-ES_tradnl"/>
              </w:rPr>
            </w:pPr>
            <w:r w:rsidRPr="00576AF8">
              <w:rPr>
                <w:b/>
                <w:iCs/>
                <w:lang w:val="es-ES_tradnl"/>
              </w:rPr>
              <w:t>Precio de la Oferta</w:t>
            </w:r>
          </w:p>
        </w:tc>
        <w:tc>
          <w:tcPr>
            <w:tcW w:w="1000" w:type="pct"/>
            <w:shd w:val="clear" w:color="auto" w:fill="C6D9F1" w:themeFill="text2" w:themeFillTint="33"/>
          </w:tcPr>
          <w:p w14:paraId="2AC27F72" w14:textId="77777777" w:rsidR="00A2703E" w:rsidRPr="00576AF8" w:rsidRDefault="00A2703E" w:rsidP="003A14B3">
            <w:pPr>
              <w:pStyle w:val="Sangradetextonormal"/>
              <w:spacing w:before="40" w:after="40"/>
              <w:ind w:left="0"/>
              <w:jc w:val="center"/>
              <w:rPr>
                <w:b/>
                <w:iCs/>
                <w:lang w:val="es-ES_tradnl"/>
              </w:rPr>
            </w:pPr>
            <w:r w:rsidRPr="00576AF8">
              <w:rPr>
                <w:b/>
                <w:iCs/>
                <w:lang w:val="es-ES_tradnl"/>
              </w:rPr>
              <w:t>Precio Evaluado de la Oferta</w:t>
            </w:r>
          </w:p>
        </w:tc>
        <w:tc>
          <w:tcPr>
            <w:tcW w:w="1000" w:type="pct"/>
            <w:shd w:val="clear" w:color="auto" w:fill="C6D9F1" w:themeFill="text2" w:themeFillTint="33"/>
          </w:tcPr>
          <w:p w14:paraId="029FF8A2" w14:textId="77777777" w:rsidR="00A2703E" w:rsidRPr="00576AF8" w:rsidRDefault="00A2703E" w:rsidP="003A14B3">
            <w:pPr>
              <w:pStyle w:val="Sangradetextonormal"/>
              <w:spacing w:before="40" w:after="40"/>
              <w:ind w:left="0"/>
              <w:jc w:val="center"/>
              <w:rPr>
                <w:b/>
                <w:iCs/>
                <w:lang w:val="es-ES_tradnl"/>
              </w:rPr>
            </w:pPr>
            <w:r w:rsidRPr="00576AF8">
              <w:rPr>
                <w:b/>
                <w:iCs/>
                <w:lang w:val="es-ES_tradnl"/>
              </w:rPr>
              <w:t>Puntaje combinado</w:t>
            </w:r>
          </w:p>
        </w:tc>
      </w:tr>
      <w:tr w:rsidR="00A2703E" w:rsidRPr="00576AF8" w14:paraId="2C24FE52" w14:textId="77777777" w:rsidTr="003A14B3">
        <w:tc>
          <w:tcPr>
            <w:tcW w:w="1000" w:type="pct"/>
            <w:vAlign w:val="center"/>
          </w:tcPr>
          <w:p w14:paraId="246A684E" w14:textId="77777777" w:rsidR="00A2703E" w:rsidRPr="00576AF8" w:rsidRDefault="00A2703E" w:rsidP="003A14B3">
            <w:pPr>
              <w:tabs>
                <w:tab w:val="decimal" w:pos="35"/>
                <w:tab w:val="decimal" w:pos="177"/>
              </w:tabs>
              <w:spacing w:before="120"/>
              <w:jc w:val="center"/>
              <w:rPr>
                <w:sz w:val="20"/>
                <w:lang w:val="es-ES_tradnl"/>
              </w:rPr>
            </w:pPr>
            <w:r w:rsidRPr="00576AF8">
              <w:rPr>
                <w:iCs/>
                <w:sz w:val="20"/>
                <w:lang w:val="es-ES_tradnl"/>
              </w:rPr>
              <w:t>[</w:t>
            </w:r>
            <w:r w:rsidRPr="00576AF8">
              <w:rPr>
                <w:i/>
                <w:iCs/>
                <w:sz w:val="20"/>
                <w:lang w:val="es-ES_tradnl"/>
              </w:rPr>
              <w:t>ingrese el nombre</w:t>
            </w:r>
            <w:r w:rsidRPr="00576AF8">
              <w:rPr>
                <w:iCs/>
                <w:sz w:val="20"/>
                <w:lang w:val="es-ES_tradnl"/>
              </w:rPr>
              <w:t>]</w:t>
            </w:r>
          </w:p>
        </w:tc>
        <w:tc>
          <w:tcPr>
            <w:tcW w:w="1000" w:type="pct"/>
            <w:vAlign w:val="center"/>
          </w:tcPr>
          <w:p w14:paraId="21305087" w14:textId="77777777" w:rsidR="00A2703E" w:rsidRPr="00576AF8" w:rsidRDefault="00A2703E" w:rsidP="003A14B3">
            <w:pPr>
              <w:pStyle w:val="Sangradetextonormal"/>
              <w:spacing w:before="120" w:after="120"/>
              <w:ind w:left="106" w:right="33"/>
              <w:jc w:val="center"/>
              <w:rPr>
                <w:iCs/>
                <w:lang w:val="es-ES_tradnl"/>
              </w:rPr>
            </w:pPr>
            <w:r w:rsidRPr="00576AF8">
              <w:rPr>
                <w:i/>
                <w:iCs/>
                <w:lang w:val="es-ES_tradnl"/>
              </w:rPr>
              <w:t>[ingrese el precio puntaje técnico]</w:t>
            </w:r>
          </w:p>
        </w:tc>
        <w:tc>
          <w:tcPr>
            <w:tcW w:w="1000" w:type="pct"/>
            <w:vAlign w:val="center"/>
          </w:tcPr>
          <w:p w14:paraId="558E1CDD" w14:textId="77777777" w:rsidR="00A2703E" w:rsidRPr="00576AF8" w:rsidRDefault="00A2703E" w:rsidP="003A14B3">
            <w:pPr>
              <w:pStyle w:val="Sangradetextonormal"/>
              <w:spacing w:before="120" w:after="120"/>
              <w:ind w:left="176" w:right="33"/>
              <w:jc w:val="center"/>
              <w:rPr>
                <w:i/>
                <w:iCs/>
                <w:lang w:val="es-ES_tradnl"/>
              </w:rPr>
            </w:pPr>
            <w:r w:rsidRPr="00576AF8">
              <w:rPr>
                <w:i/>
                <w:iCs/>
                <w:lang w:val="es-ES_tradnl"/>
              </w:rPr>
              <w:t>[ingrese el precio de la Oferta]</w:t>
            </w:r>
          </w:p>
        </w:tc>
        <w:tc>
          <w:tcPr>
            <w:tcW w:w="1000" w:type="pct"/>
            <w:vAlign w:val="center"/>
          </w:tcPr>
          <w:p w14:paraId="47F6319C" w14:textId="77777777" w:rsidR="00A2703E" w:rsidRPr="00576AF8" w:rsidRDefault="00A2703E" w:rsidP="003A14B3">
            <w:pPr>
              <w:pStyle w:val="Sangradetextonormal"/>
              <w:tabs>
                <w:tab w:val="decimal" w:pos="42"/>
              </w:tabs>
              <w:spacing w:before="120" w:after="120"/>
              <w:ind w:left="0"/>
              <w:jc w:val="center"/>
              <w:rPr>
                <w:i/>
                <w:iCs/>
                <w:lang w:val="es-ES_tradnl"/>
              </w:rPr>
            </w:pPr>
            <w:r w:rsidRPr="00576AF8">
              <w:rPr>
                <w:i/>
                <w:iCs/>
                <w:lang w:val="es-ES_tradnl"/>
              </w:rPr>
              <w:t>[ingrese el precio evaluado]</w:t>
            </w:r>
          </w:p>
        </w:tc>
        <w:tc>
          <w:tcPr>
            <w:tcW w:w="1000" w:type="pct"/>
            <w:vAlign w:val="center"/>
          </w:tcPr>
          <w:p w14:paraId="4ADA1A05" w14:textId="77777777" w:rsidR="00A2703E" w:rsidRPr="00576AF8" w:rsidRDefault="00A2703E" w:rsidP="003A14B3">
            <w:pPr>
              <w:pStyle w:val="Sangradetextonormal"/>
              <w:tabs>
                <w:tab w:val="decimal" w:pos="0"/>
              </w:tabs>
              <w:spacing w:before="120" w:after="120"/>
              <w:ind w:left="0"/>
              <w:jc w:val="center"/>
              <w:rPr>
                <w:i/>
                <w:iCs/>
                <w:lang w:val="es-ES_tradnl"/>
              </w:rPr>
            </w:pPr>
            <w:r w:rsidRPr="00576AF8">
              <w:rPr>
                <w:i/>
                <w:iCs/>
                <w:lang w:val="es-ES_tradnl"/>
              </w:rPr>
              <w:t>[ingrese puntaje combinado]</w:t>
            </w:r>
          </w:p>
        </w:tc>
      </w:tr>
      <w:tr w:rsidR="00A2703E" w:rsidRPr="00576AF8" w14:paraId="6EC41028" w14:textId="77777777" w:rsidTr="003A14B3">
        <w:tc>
          <w:tcPr>
            <w:tcW w:w="1000" w:type="pct"/>
            <w:vAlign w:val="center"/>
          </w:tcPr>
          <w:p w14:paraId="223D54BA" w14:textId="77777777" w:rsidR="00A2703E" w:rsidRPr="00576AF8" w:rsidRDefault="00A2703E" w:rsidP="003A14B3">
            <w:pPr>
              <w:tabs>
                <w:tab w:val="decimal" w:pos="35"/>
                <w:tab w:val="decimal" w:pos="177"/>
              </w:tabs>
              <w:spacing w:before="120"/>
              <w:jc w:val="center"/>
              <w:rPr>
                <w:sz w:val="20"/>
                <w:lang w:val="es-ES_tradnl"/>
              </w:rPr>
            </w:pPr>
            <w:r w:rsidRPr="00576AF8">
              <w:rPr>
                <w:iCs/>
                <w:sz w:val="20"/>
                <w:lang w:val="es-ES_tradnl"/>
              </w:rPr>
              <w:t>[</w:t>
            </w:r>
            <w:r w:rsidRPr="00576AF8">
              <w:rPr>
                <w:i/>
                <w:iCs/>
                <w:sz w:val="20"/>
                <w:lang w:val="es-ES_tradnl"/>
              </w:rPr>
              <w:t>ingrese el nombre</w:t>
            </w:r>
            <w:r w:rsidRPr="00576AF8">
              <w:rPr>
                <w:iCs/>
                <w:sz w:val="20"/>
                <w:lang w:val="es-ES_tradnl"/>
              </w:rPr>
              <w:t>]</w:t>
            </w:r>
          </w:p>
        </w:tc>
        <w:tc>
          <w:tcPr>
            <w:tcW w:w="1000" w:type="pct"/>
            <w:vAlign w:val="center"/>
          </w:tcPr>
          <w:p w14:paraId="25E81B3E" w14:textId="77777777" w:rsidR="00A2703E" w:rsidRPr="00576AF8" w:rsidRDefault="00A2703E" w:rsidP="003A14B3">
            <w:pPr>
              <w:spacing w:before="120"/>
              <w:ind w:left="176"/>
              <w:jc w:val="center"/>
              <w:rPr>
                <w:iCs/>
                <w:sz w:val="20"/>
                <w:lang w:val="es-ES_tradnl"/>
              </w:rPr>
            </w:pPr>
            <w:r w:rsidRPr="00576AF8">
              <w:rPr>
                <w:i/>
                <w:iCs/>
                <w:sz w:val="20"/>
                <w:lang w:val="es-ES_tradnl"/>
              </w:rPr>
              <w:t>[ingrese el precio puntaje técnico]</w:t>
            </w:r>
          </w:p>
        </w:tc>
        <w:tc>
          <w:tcPr>
            <w:tcW w:w="1000" w:type="pct"/>
            <w:vAlign w:val="center"/>
          </w:tcPr>
          <w:p w14:paraId="5469F1CA" w14:textId="77777777" w:rsidR="00A2703E" w:rsidRPr="00576AF8" w:rsidRDefault="00A2703E" w:rsidP="003A14B3">
            <w:pPr>
              <w:spacing w:before="120"/>
              <w:ind w:left="176"/>
              <w:jc w:val="center"/>
              <w:rPr>
                <w:i/>
                <w:sz w:val="20"/>
                <w:lang w:val="es-ES_tradnl"/>
              </w:rPr>
            </w:pPr>
            <w:r w:rsidRPr="00576AF8">
              <w:rPr>
                <w:i/>
                <w:iCs/>
                <w:sz w:val="20"/>
                <w:lang w:val="es-ES_tradnl"/>
              </w:rPr>
              <w:t>[ingrese el precio de la Oferta]</w:t>
            </w:r>
          </w:p>
        </w:tc>
        <w:tc>
          <w:tcPr>
            <w:tcW w:w="1000" w:type="pct"/>
            <w:vAlign w:val="center"/>
          </w:tcPr>
          <w:p w14:paraId="7F6DAB2B" w14:textId="77777777" w:rsidR="00A2703E" w:rsidRPr="00576AF8" w:rsidRDefault="00A2703E" w:rsidP="003A14B3">
            <w:pPr>
              <w:pStyle w:val="Sangradetextonormal"/>
              <w:tabs>
                <w:tab w:val="decimal" w:pos="42"/>
              </w:tabs>
              <w:spacing w:before="120" w:after="120"/>
              <w:ind w:left="0"/>
              <w:jc w:val="center"/>
              <w:rPr>
                <w:i/>
                <w:iCs/>
                <w:lang w:val="es-ES_tradnl"/>
              </w:rPr>
            </w:pPr>
            <w:r w:rsidRPr="00576AF8">
              <w:rPr>
                <w:i/>
                <w:iCs/>
                <w:lang w:val="es-ES_tradnl"/>
              </w:rPr>
              <w:t>[ingrese el precio evaluado]</w:t>
            </w:r>
          </w:p>
        </w:tc>
        <w:tc>
          <w:tcPr>
            <w:tcW w:w="1000" w:type="pct"/>
            <w:vAlign w:val="center"/>
          </w:tcPr>
          <w:p w14:paraId="2D4C9A31" w14:textId="77777777" w:rsidR="00A2703E" w:rsidRPr="00576AF8" w:rsidRDefault="00A2703E" w:rsidP="003A14B3">
            <w:pPr>
              <w:pStyle w:val="Sangradetextonormal"/>
              <w:tabs>
                <w:tab w:val="decimal" w:pos="0"/>
              </w:tabs>
              <w:spacing w:before="120" w:after="120"/>
              <w:ind w:left="0"/>
              <w:jc w:val="center"/>
              <w:rPr>
                <w:i/>
                <w:iCs/>
                <w:lang w:val="es-ES_tradnl"/>
              </w:rPr>
            </w:pPr>
            <w:r w:rsidRPr="00576AF8">
              <w:rPr>
                <w:i/>
                <w:iCs/>
                <w:lang w:val="es-ES_tradnl"/>
              </w:rPr>
              <w:t>[ingrese puntaje combinado]</w:t>
            </w:r>
          </w:p>
        </w:tc>
      </w:tr>
      <w:tr w:rsidR="00A2703E" w:rsidRPr="00576AF8" w14:paraId="1DA459C9" w14:textId="77777777" w:rsidTr="003A14B3">
        <w:tc>
          <w:tcPr>
            <w:tcW w:w="1000" w:type="pct"/>
            <w:vAlign w:val="center"/>
          </w:tcPr>
          <w:p w14:paraId="72ACBDDF" w14:textId="77777777" w:rsidR="00A2703E" w:rsidRPr="00576AF8" w:rsidRDefault="00A2703E" w:rsidP="003A14B3">
            <w:pPr>
              <w:tabs>
                <w:tab w:val="decimal" w:pos="35"/>
                <w:tab w:val="decimal" w:pos="177"/>
              </w:tabs>
              <w:spacing w:before="120"/>
              <w:jc w:val="center"/>
              <w:rPr>
                <w:sz w:val="20"/>
                <w:lang w:val="es-ES_tradnl"/>
              </w:rPr>
            </w:pPr>
            <w:r w:rsidRPr="00576AF8">
              <w:rPr>
                <w:iCs/>
                <w:sz w:val="20"/>
                <w:lang w:val="es-ES_tradnl"/>
              </w:rPr>
              <w:t>[</w:t>
            </w:r>
            <w:r w:rsidRPr="00576AF8">
              <w:rPr>
                <w:i/>
                <w:iCs/>
                <w:sz w:val="20"/>
                <w:lang w:val="es-ES_tradnl"/>
              </w:rPr>
              <w:t>ingrese el nombre</w:t>
            </w:r>
            <w:r w:rsidRPr="00576AF8">
              <w:rPr>
                <w:iCs/>
                <w:sz w:val="20"/>
                <w:lang w:val="es-ES_tradnl"/>
              </w:rPr>
              <w:t>]</w:t>
            </w:r>
          </w:p>
        </w:tc>
        <w:tc>
          <w:tcPr>
            <w:tcW w:w="1000" w:type="pct"/>
            <w:vAlign w:val="center"/>
          </w:tcPr>
          <w:p w14:paraId="67FD1137" w14:textId="77777777" w:rsidR="00A2703E" w:rsidRPr="00576AF8" w:rsidRDefault="00A2703E" w:rsidP="003A14B3">
            <w:pPr>
              <w:spacing w:before="120"/>
              <w:ind w:left="176"/>
              <w:jc w:val="center"/>
              <w:rPr>
                <w:iCs/>
                <w:sz w:val="20"/>
                <w:lang w:val="es-ES_tradnl"/>
              </w:rPr>
            </w:pPr>
            <w:r w:rsidRPr="00576AF8">
              <w:rPr>
                <w:i/>
                <w:iCs/>
                <w:sz w:val="20"/>
                <w:lang w:val="es-ES_tradnl"/>
              </w:rPr>
              <w:t>[ingrese el precio puntaje técnico]</w:t>
            </w:r>
          </w:p>
        </w:tc>
        <w:tc>
          <w:tcPr>
            <w:tcW w:w="1000" w:type="pct"/>
            <w:vAlign w:val="center"/>
          </w:tcPr>
          <w:p w14:paraId="728A58E6" w14:textId="77777777" w:rsidR="00A2703E" w:rsidRPr="00576AF8" w:rsidRDefault="00A2703E" w:rsidP="003A14B3">
            <w:pPr>
              <w:spacing w:before="120"/>
              <w:ind w:left="176"/>
              <w:jc w:val="center"/>
              <w:rPr>
                <w:sz w:val="20"/>
                <w:lang w:val="es-ES_tradnl"/>
              </w:rPr>
            </w:pPr>
            <w:r w:rsidRPr="00576AF8">
              <w:rPr>
                <w:i/>
                <w:iCs/>
                <w:sz w:val="20"/>
                <w:lang w:val="es-ES_tradnl"/>
              </w:rPr>
              <w:t>[ingrese el precio de la Oferta]</w:t>
            </w:r>
          </w:p>
        </w:tc>
        <w:tc>
          <w:tcPr>
            <w:tcW w:w="1000" w:type="pct"/>
            <w:vAlign w:val="center"/>
          </w:tcPr>
          <w:p w14:paraId="40815B4D" w14:textId="77777777" w:rsidR="00A2703E" w:rsidRPr="00576AF8" w:rsidRDefault="00A2703E" w:rsidP="003A14B3">
            <w:pPr>
              <w:pStyle w:val="Sangradetextonormal"/>
              <w:spacing w:before="120" w:after="120"/>
              <w:ind w:left="0"/>
              <w:jc w:val="center"/>
              <w:rPr>
                <w:iCs/>
                <w:lang w:val="es-ES_tradnl"/>
              </w:rPr>
            </w:pPr>
            <w:r w:rsidRPr="00576AF8">
              <w:rPr>
                <w:i/>
                <w:iCs/>
                <w:lang w:val="es-ES_tradnl"/>
              </w:rPr>
              <w:t>[ingrese el precio evaluado]</w:t>
            </w:r>
          </w:p>
        </w:tc>
        <w:tc>
          <w:tcPr>
            <w:tcW w:w="1000" w:type="pct"/>
            <w:vAlign w:val="center"/>
          </w:tcPr>
          <w:p w14:paraId="3D987A9B" w14:textId="77777777" w:rsidR="00A2703E" w:rsidRPr="00576AF8" w:rsidRDefault="00A2703E" w:rsidP="003A14B3">
            <w:pPr>
              <w:pStyle w:val="Sangradetextonormal"/>
              <w:tabs>
                <w:tab w:val="decimal" w:pos="0"/>
              </w:tabs>
              <w:spacing w:before="120" w:after="120"/>
              <w:ind w:left="0"/>
              <w:jc w:val="center"/>
              <w:rPr>
                <w:i/>
                <w:iCs/>
                <w:lang w:val="es-ES_tradnl"/>
              </w:rPr>
            </w:pPr>
            <w:r w:rsidRPr="00576AF8">
              <w:rPr>
                <w:i/>
                <w:iCs/>
                <w:lang w:val="es-ES_tradnl"/>
              </w:rPr>
              <w:t>[ingrese puntaje combinado]</w:t>
            </w:r>
          </w:p>
        </w:tc>
      </w:tr>
      <w:tr w:rsidR="00A2703E" w:rsidRPr="00576AF8" w14:paraId="293E0879" w14:textId="77777777" w:rsidTr="003A14B3">
        <w:tc>
          <w:tcPr>
            <w:tcW w:w="1000" w:type="pct"/>
            <w:vAlign w:val="center"/>
          </w:tcPr>
          <w:p w14:paraId="451546D1" w14:textId="77777777" w:rsidR="00A2703E" w:rsidRPr="00576AF8" w:rsidRDefault="00A2703E" w:rsidP="003A14B3">
            <w:pPr>
              <w:tabs>
                <w:tab w:val="decimal" w:pos="35"/>
                <w:tab w:val="decimal" w:pos="177"/>
              </w:tabs>
              <w:spacing w:before="120"/>
              <w:jc w:val="center"/>
              <w:rPr>
                <w:sz w:val="20"/>
                <w:lang w:val="es-ES_tradnl"/>
              </w:rPr>
            </w:pPr>
            <w:r w:rsidRPr="00576AF8">
              <w:rPr>
                <w:iCs/>
                <w:sz w:val="20"/>
                <w:lang w:val="es-ES_tradnl"/>
              </w:rPr>
              <w:t>[</w:t>
            </w:r>
            <w:r w:rsidRPr="00576AF8">
              <w:rPr>
                <w:i/>
                <w:iCs/>
                <w:sz w:val="20"/>
                <w:lang w:val="es-ES_tradnl"/>
              </w:rPr>
              <w:t>ingrese el nombre</w:t>
            </w:r>
            <w:r w:rsidRPr="00576AF8">
              <w:rPr>
                <w:iCs/>
                <w:sz w:val="20"/>
                <w:lang w:val="es-ES_tradnl"/>
              </w:rPr>
              <w:t>]</w:t>
            </w:r>
          </w:p>
        </w:tc>
        <w:tc>
          <w:tcPr>
            <w:tcW w:w="1000" w:type="pct"/>
            <w:vAlign w:val="center"/>
          </w:tcPr>
          <w:p w14:paraId="5C4A8EC0" w14:textId="77777777" w:rsidR="00A2703E" w:rsidRPr="00576AF8" w:rsidRDefault="00A2703E" w:rsidP="003A14B3">
            <w:pPr>
              <w:spacing w:before="120"/>
              <w:ind w:left="176"/>
              <w:jc w:val="center"/>
              <w:rPr>
                <w:iCs/>
                <w:sz w:val="20"/>
                <w:lang w:val="es-ES_tradnl"/>
              </w:rPr>
            </w:pPr>
            <w:r w:rsidRPr="00576AF8">
              <w:rPr>
                <w:i/>
                <w:iCs/>
                <w:sz w:val="20"/>
                <w:lang w:val="es-ES_tradnl"/>
              </w:rPr>
              <w:t>[ingrese el precio puntaje técnico]</w:t>
            </w:r>
          </w:p>
        </w:tc>
        <w:tc>
          <w:tcPr>
            <w:tcW w:w="1000" w:type="pct"/>
            <w:vAlign w:val="center"/>
          </w:tcPr>
          <w:p w14:paraId="335338E3" w14:textId="77777777" w:rsidR="00A2703E" w:rsidRPr="00576AF8" w:rsidRDefault="00A2703E" w:rsidP="003A14B3">
            <w:pPr>
              <w:spacing w:before="120"/>
              <w:ind w:left="176"/>
              <w:jc w:val="center"/>
              <w:rPr>
                <w:sz w:val="20"/>
                <w:lang w:val="es-ES_tradnl"/>
              </w:rPr>
            </w:pPr>
            <w:r w:rsidRPr="00576AF8">
              <w:rPr>
                <w:i/>
                <w:iCs/>
                <w:sz w:val="20"/>
                <w:lang w:val="es-ES_tradnl"/>
              </w:rPr>
              <w:t>[ingrese el precio de la Oferta]</w:t>
            </w:r>
          </w:p>
        </w:tc>
        <w:tc>
          <w:tcPr>
            <w:tcW w:w="1000" w:type="pct"/>
            <w:vAlign w:val="center"/>
          </w:tcPr>
          <w:p w14:paraId="1ABA2DD7" w14:textId="77777777" w:rsidR="00A2703E" w:rsidRPr="00576AF8" w:rsidRDefault="00A2703E" w:rsidP="003A14B3">
            <w:pPr>
              <w:pStyle w:val="Sangradetextonormal"/>
              <w:spacing w:before="120" w:after="120"/>
              <w:ind w:left="0"/>
              <w:jc w:val="center"/>
              <w:rPr>
                <w:iCs/>
                <w:lang w:val="es-ES_tradnl"/>
              </w:rPr>
            </w:pPr>
            <w:r w:rsidRPr="00576AF8">
              <w:rPr>
                <w:i/>
                <w:iCs/>
                <w:lang w:val="es-ES_tradnl"/>
              </w:rPr>
              <w:t>[ingrese el precio evaluado]</w:t>
            </w:r>
          </w:p>
        </w:tc>
        <w:tc>
          <w:tcPr>
            <w:tcW w:w="1000" w:type="pct"/>
            <w:vAlign w:val="center"/>
          </w:tcPr>
          <w:p w14:paraId="737D4E9E" w14:textId="77777777" w:rsidR="00A2703E" w:rsidRPr="00576AF8" w:rsidRDefault="00A2703E" w:rsidP="003A14B3">
            <w:pPr>
              <w:pStyle w:val="Sangradetextonormal"/>
              <w:tabs>
                <w:tab w:val="decimal" w:pos="0"/>
              </w:tabs>
              <w:spacing w:before="120" w:after="120"/>
              <w:ind w:left="0"/>
              <w:jc w:val="center"/>
              <w:rPr>
                <w:i/>
                <w:iCs/>
                <w:lang w:val="es-ES_tradnl"/>
              </w:rPr>
            </w:pPr>
            <w:r w:rsidRPr="00576AF8">
              <w:rPr>
                <w:i/>
                <w:iCs/>
                <w:lang w:val="es-ES_tradnl"/>
              </w:rPr>
              <w:t>[ingrese puntaje combinado]</w:t>
            </w:r>
          </w:p>
        </w:tc>
      </w:tr>
      <w:tr w:rsidR="00A2703E" w:rsidRPr="00576AF8" w14:paraId="6D154C52" w14:textId="77777777" w:rsidTr="003A14B3">
        <w:tc>
          <w:tcPr>
            <w:tcW w:w="1000" w:type="pct"/>
            <w:vAlign w:val="center"/>
          </w:tcPr>
          <w:p w14:paraId="4BD7D436" w14:textId="77777777" w:rsidR="00A2703E" w:rsidRPr="00576AF8" w:rsidRDefault="00A2703E" w:rsidP="003A14B3">
            <w:pPr>
              <w:tabs>
                <w:tab w:val="decimal" w:pos="35"/>
                <w:tab w:val="decimal" w:pos="177"/>
              </w:tabs>
              <w:spacing w:before="120"/>
              <w:jc w:val="center"/>
              <w:rPr>
                <w:sz w:val="20"/>
                <w:lang w:val="es-ES_tradnl"/>
              </w:rPr>
            </w:pPr>
            <w:r w:rsidRPr="00576AF8">
              <w:rPr>
                <w:iCs/>
                <w:sz w:val="20"/>
                <w:lang w:val="es-ES_tradnl"/>
              </w:rPr>
              <w:t>[</w:t>
            </w:r>
            <w:r w:rsidRPr="00576AF8">
              <w:rPr>
                <w:i/>
                <w:iCs/>
                <w:sz w:val="20"/>
                <w:lang w:val="es-ES_tradnl"/>
              </w:rPr>
              <w:t>ingrese el nombre</w:t>
            </w:r>
            <w:r w:rsidRPr="00576AF8">
              <w:rPr>
                <w:iCs/>
                <w:sz w:val="20"/>
                <w:lang w:val="es-ES_tradnl"/>
              </w:rPr>
              <w:t>]</w:t>
            </w:r>
          </w:p>
        </w:tc>
        <w:tc>
          <w:tcPr>
            <w:tcW w:w="1000" w:type="pct"/>
            <w:vAlign w:val="center"/>
          </w:tcPr>
          <w:p w14:paraId="31F4F5AF" w14:textId="77777777" w:rsidR="00A2703E" w:rsidRPr="00576AF8" w:rsidRDefault="00A2703E" w:rsidP="003A14B3">
            <w:pPr>
              <w:spacing w:before="120"/>
              <w:ind w:left="176"/>
              <w:jc w:val="center"/>
              <w:rPr>
                <w:iCs/>
                <w:sz w:val="20"/>
                <w:lang w:val="es-ES_tradnl"/>
              </w:rPr>
            </w:pPr>
            <w:r w:rsidRPr="00576AF8">
              <w:rPr>
                <w:i/>
                <w:iCs/>
                <w:sz w:val="20"/>
                <w:lang w:val="es-ES_tradnl"/>
              </w:rPr>
              <w:t>[ingrese el precio puntaje técnico]</w:t>
            </w:r>
          </w:p>
        </w:tc>
        <w:tc>
          <w:tcPr>
            <w:tcW w:w="1000" w:type="pct"/>
            <w:vAlign w:val="center"/>
          </w:tcPr>
          <w:p w14:paraId="1D81FACA" w14:textId="77777777" w:rsidR="00A2703E" w:rsidRPr="00576AF8" w:rsidRDefault="00A2703E" w:rsidP="003A14B3">
            <w:pPr>
              <w:spacing w:before="120"/>
              <w:ind w:left="176"/>
              <w:jc w:val="center"/>
              <w:rPr>
                <w:sz w:val="20"/>
                <w:lang w:val="es-ES_tradnl"/>
              </w:rPr>
            </w:pPr>
            <w:r w:rsidRPr="00576AF8">
              <w:rPr>
                <w:i/>
                <w:iCs/>
                <w:sz w:val="20"/>
                <w:lang w:val="es-ES_tradnl"/>
              </w:rPr>
              <w:t>[ingrese el precio de la Oferta]</w:t>
            </w:r>
          </w:p>
        </w:tc>
        <w:tc>
          <w:tcPr>
            <w:tcW w:w="1000" w:type="pct"/>
            <w:vAlign w:val="center"/>
          </w:tcPr>
          <w:p w14:paraId="1E7EE469" w14:textId="77777777" w:rsidR="00A2703E" w:rsidRPr="00576AF8" w:rsidRDefault="00A2703E" w:rsidP="003A14B3">
            <w:pPr>
              <w:pStyle w:val="Sangradetextonormal"/>
              <w:spacing w:before="120" w:after="120"/>
              <w:ind w:left="0"/>
              <w:jc w:val="center"/>
              <w:rPr>
                <w:iCs/>
                <w:lang w:val="es-ES_tradnl"/>
              </w:rPr>
            </w:pPr>
            <w:r w:rsidRPr="00576AF8">
              <w:rPr>
                <w:i/>
                <w:iCs/>
                <w:lang w:val="es-ES_tradnl"/>
              </w:rPr>
              <w:t>[ingrese el precio evaluado]</w:t>
            </w:r>
          </w:p>
        </w:tc>
        <w:tc>
          <w:tcPr>
            <w:tcW w:w="1000" w:type="pct"/>
            <w:vAlign w:val="center"/>
          </w:tcPr>
          <w:p w14:paraId="050D5F7F" w14:textId="77777777" w:rsidR="00A2703E" w:rsidRPr="00576AF8" w:rsidRDefault="00A2703E" w:rsidP="003A14B3">
            <w:pPr>
              <w:pStyle w:val="Sangradetextonormal"/>
              <w:tabs>
                <w:tab w:val="decimal" w:pos="0"/>
              </w:tabs>
              <w:spacing w:before="120" w:after="120"/>
              <w:ind w:left="0"/>
              <w:jc w:val="center"/>
              <w:rPr>
                <w:i/>
                <w:iCs/>
                <w:lang w:val="es-ES_tradnl"/>
              </w:rPr>
            </w:pPr>
            <w:r w:rsidRPr="00576AF8">
              <w:rPr>
                <w:i/>
                <w:iCs/>
                <w:lang w:val="es-ES_tradnl"/>
              </w:rPr>
              <w:t>[ingrese puntaje combinado]</w:t>
            </w:r>
          </w:p>
        </w:tc>
      </w:tr>
    </w:tbl>
    <w:p w14:paraId="651DE70A" w14:textId="77777777" w:rsidR="00A2703E" w:rsidRPr="00576AF8" w:rsidRDefault="00A2703E" w:rsidP="00A2703E">
      <w:pPr>
        <w:rPr>
          <w:sz w:val="32"/>
          <w:szCs w:val="32"/>
        </w:rPr>
      </w:pPr>
    </w:p>
    <w:p w14:paraId="47355136" w14:textId="77777777" w:rsidR="00A2703E" w:rsidRPr="00576AF8" w:rsidRDefault="00A2703E" w:rsidP="00A2703E">
      <w:pPr>
        <w:rPr>
          <w:b/>
        </w:rPr>
      </w:pPr>
      <w:r w:rsidRPr="00576AF8">
        <w:rPr>
          <w:b/>
        </w:rPr>
        <w:t>3. Razón por la cual su oferta no tuvo éxito.</w:t>
      </w:r>
    </w:p>
    <w:tbl>
      <w:tblPr>
        <w:tblStyle w:val="Tablaconcuadrcula"/>
        <w:tblW w:w="9634" w:type="dxa"/>
        <w:tblLook w:val="04A0" w:firstRow="1" w:lastRow="0" w:firstColumn="1" w:lastColumn="0" w:noHBand="0" w:noVBand="1"/>
      </w:tblPr>
      <w:tblGrid>
        <w:gridCol w:w="9634"/>
      </w:tblGrid>
      <w:tr w:rsidR="00A2703E" w:rsidRPr="00576AF8" w14:paraId="403DF64A" w14:textId="77777777" w:rsidTr="003A14B3">
        <w:tc>
          <w:tcPr>
            <w:tcW w:w="9634" w:type="dxa"/>
          </w:tcPr>
          <w:p w14:paraId="637951A4" w14:textId="77777777" w:rsidR="00A2703E" w:rsidRPr="00576AF8" w:rsidRDefault="00A2703E" w:rsidP="003A14B3">
            <w:pPr>
              <w:rPr>
                <w:b/>
                <w:i/>
              </w:rPr>
            </w:pPr>
            <w:r w:rsidRPr="00576AF8">
              <w:rPr>
                <w:b/>
                <w:i/>
              </w:rPr>
              <w:t xml:space="preserve">[INSTRUCCIONES: Indique la razón por la cual la Oferta de este </w:t>
            </w:r>
            <w:r w:rsidR="007A705B" w:rsidRPr="00576AF8">
              <w:rPr>
                <w:b/>
                <w:i/>
              </w:rPr>
              <w:t>Licitante</w:t>
            </w:r>
            <w:r w:rsidRPr="00576AF8">
              <w:rPr>
                <w:b/>
                <w:i/>
              </w:rPr>
              <w:t xml:space="preserve"> no tuvo éxito. NO incluya: (a) una comparación punto por punto con la Oferta de otro </w:t>
            </w:r>
            <w:r w:rsidR="007A705B" w:rsidRPr="00576AF8">
              <w:rPr>
                <w:b/>
                <w:i/>
              </w:rPr>
              <w:t>Licitante</w:t>
            </w:r>
            <w:r w:rsidRPr="00576AF8">
              <w:rPr>
                <w:b/>
                <w:i/>
              </w:rPr>
              <w:t xml:space="preserve"> o (b) información que el </w:t>
            </w:r>
            <w:r w:rsidR="007A705B" w:rsidRPr="00576AF8">
              <w:rPr>
                <w:b/>
                <w:i/>
              </w:rPr>
              <w:t>Licitante</w:t>
            </w:r>
            <w:r w:rsidRPr="00576AF8">
              <w:rPr>
                <w:b/>
                <w:i/>
              </w:rPr>
              <w:t xml:space="preserve"> indique como confidencial en su Oferta.]</w:t>
            </w:r>
          </w:p>
        </w:tc>
      </w:tr>
    </w:tbl>
    <w:p w14:paraId="241E5C70" w14:textId="77777777" w:rsidR="00A2703E" w:rsidRPr="00576AF8" w:rsidRDefault="00A2703E" w:rsidP="00A2703E">
      <w:pPr>
        <w:spacing w:before="240"/>
        <w:rPr>
          <w:b/>
          <w:color w:val="000000" w:themeColor="text1"/>
        </w:rPr>
      </w:pPr>
      <w:r w:rsidRPr="00576AF8">
        <w:rPr>
          <w:b/>
          <w:color w:val="000000" w:themeColor="text1"/>
        </w:rPr>
        <w:t>4. Uso de la Mejor Oferta Final o Negociaciones</w:t>
      </w:r>
    </w:p>
    <w:tbl>
      <w:tblPr>
        <w:tblStyle w:val="Tablaconcuadrcula"/>
        <w:tblW w:w="9634" w:type="dxa"/>
        <w:tblLook w:val="04A0" w:firstRow="1" w:lastRow="0" w:firstColumn="1" w:lastColumn="0" w:noHBand="0" w:noVBand="1"/>
      </w:tblPr>
      <w:tblGrid>
        <w:gridCol w:w="9634"/>
      </w:tblGrid>
      <w:tr w:rsidR="00A2703E" w:rsidRPr="00576AF8" w14:paraId="506C5682" w14:textId="77777777" w:rsidTr="003A14B3">
        <w:tc>
          <w:tcPr>
            <w:tcW w:w="9634" w:type="dxa"/>
          </w:tcPr>
          <w:p w14:paraId="3BCCE936" w14:textId="77777777" w:rsidR="00A2703E" w:rsidRPr="00576AF8" w:rsidRDefault="00A2703E" w:rsidP="003A14B3">
            <w:pPr>
              <w:ind w:left="10" w:firstLine="13"/>
              <w:rPr>
                <w:bCs/>
                <w:color w:val="000000" w:themeColor="text1"/>
              </w:rPr>
            </w:pPr>
            <w:r w:rsidRPr="00576AF8">
              <w:rPr>
                <w:bCs/>
                <w:color w:val="000000" w:themeColor="text1"/>
              </w:rPr>
              <w:t>De conformidad con las I</w:t>
            </w:r>
            <w:r w:rsidR="00781A70" w:rsidRPr="00576AF8">
              <w:rPr>
                <w:bCs/>
                <w:color w:val="000000" w:themeColor="text1"/>
              </w:rPr>
              <w:t>AL</w:t>
            </w:r>
            <w:r w:rsidRPr="00576AF8">
              <w:rPr>
                <w:bCs/>
                <w:color w:val="000000" w:themeColor="text1"/>
              </w:rPr>
              <w:t xml:space="preserve"> 4</w:t>
            </w:r>
            <w:r w:rsidR="00781A70" w:rsidRPr="00576AF8">
              <w:rPr>
                <w:bCs/>
                <w:color w:val="000000" w:themeColor="text1"/>
              </w:rPr>
              <w:t>2</w:t>
            </w:r>
            <w:r w:rsidRPr="00576AF8">
              <w:rPr>
                <w:bCs/>
                <w:color w:val="000000" w:themeColor="text1"/>
              </w:rPr>
              <w:t>.1 o ITB 4</w:t>
            </w:r>
            <w:r w:rsidR="00781A70" w:rsidRPr="00576AF8">
              <w:rPr>
                <w:bCs/>
                <w:color w:val="000000" w:themeColor="text1"/>
              </w:rPr>
              <w:t>5</w:t>
            </w:r>
            <w:r w:rsidRPr="00576AF8">
              <w:rPr>
                <w:bCs/>
                <w:color w:val="000000" w:themeColor="text1"/>
              </w:rPr>
              <w:t>.1, en la evaluación o en adjudicación de este Contrato, respectivamente, se utilizó el método de:</w:t>
            </w:r>
          </w:p>
          <w:p w14:paraId="3F1BA31F" w14:textId="77777777" w:rsidR="00A2703E" w:rsidRPr="00576AF8" w:rsidRDefault="00A2703E" w:rsidP="003A14B3">
            <w:pPr>
              <w:spacing w:before="40"/>
              <w:ind w:left="540" w:hanging="450"/>
              <w:rPr>
                <w:color w:val="000000" w:themeColor="text1"/>
              </w:rPr>
            </w:pPr>
            <w:r w:rsidRPr="00576AF8">
              <w:rPr>
                <w:color w:val="000000" w:themeColor="text1"/>
              </w:rPr>
              <w:sym w:font="Wingdings" w:char="F0A8"/>
            </w:r>
            <w:r w:rsidRPr="00576AF8">
              <w:rPr>
                <w:color w:val="000000" w:themeColor="text1"/>
              </w:rPr>
              <w:tab/>
              <w:t>Mejor Oferta Final</w:t>
            </w:r>
          </w:p>
          <w:p w14:paraId="224DA252" w14:textId="77777777" w:rsidR="00A2703E" w:rsidRPr="00576AF8" w:rsidRDefault="00A2703E" w:rsidP="003A14B3">
            <w:pPr>
              <w:spacing w:before="40"/>
              <w:ind w:left="540" w:hanging="450"/>
              <w:rPr>
                <w:color w:val="000000" w:themeColor="text1"/>
              </w:rPr>
            </w:pPr>
            <w:r w:rsidRPr="00576AF8">
              <w:rPr>
                <w:color w:val="000000" w:themeColor="text1"/>
              </w:rPr>
              <w:sym w:font="Wingdings" w:char="F0A8"/>
            </w:r>
            <w:r w:rsidRPr="00576AF8">
              <w:rPr>
                <w:color w:val="000000" w:themeColor="text1"/>
              </w:rPr>
              <w:tab/>
              <w:t>Negociaciones</w:t>
            </w:r>
          </w:p>
          <w:p w14:paraId="1758F743" w14:textId="77777777" w:rsidR="00A2703E" w:rsidRPr="00576AF8" w:rsidRDefault="00A2703E" w:rsidP="003A14B3">
            <w:pPr>
              <w:spacing w:before="40"/>
              <w:ind w:left="540" w:hanging="450"/>
              <w:rPr>
                <w:color w:val="000000" w:themeColor="text1"/>
              </w:rPr>
            </w:pPr>
            <w:r w:rsidRPr="00576AF8">
              <w:rPr>
                <w:color w:val="000000" w:themeColor="text1"/>
              </w:rPr>
              <w:sym w:font="Wingdings" w:char="F0A8"/>
            </w:r>
            <w:r w:rsidRPr="00576AF8">
              <w:rPr>
                <w:color w:val="000000" w:themeColor="text1"/>
              </w:rPr>
              <w:tab/>
              <w:t>Ninguno de los dos métodos</w:t>
            </w:r>
          </w:p>
          <w:p w14:paraId="4B128627" w14:textId="77777777" w:rsidR="00A2703E" w:rsidRPr="00576AF8" w:rsidRDefault="00A2703E" w:rsidP="003A14B3">
            <w:pPr>
              <w:spacing w:before="40"/>
              <w:ind w:left="540" w:hanging="450"/>
              <w:rPr>
                <w:b/>
                <w:i/>
                <w:color w:val="000000" w:themeColor="text1"/>
              </w:rPr>
            </w:pPr>
            <w:r w:rsidRPr="00576AF8">
              <w:rPr>
                <w:b/>
                <w:i/>
                <w:color w:val="000000" w:themeColor="text1"/>
              </w:rPr>
              <w:lastRenderedPageBreak/>
              <w:t>[Suprima si no corresponde]</w:t>
            </w:r>
          </w:p>
          <w:p w14:paraId="20B16494" w14:textId="77777777" w:rsidR="00A2703E" w:rsidRPr="00576AF8" w:rsidRDefault="00A2703E" w:rsidP="003A14B3">
            <w:pPr>
              <w:spacing w:before="40"/>
              <w:ind w:left="165"/>
              <w:rPr>
                <w:b/>
                <w:i/>
                <w:color w:val="000000" w:themeColor="text1"/>
              </w:rPr>
            </w:pPr>
            <w:r w:rsidRPr="00576AF8">
              <w:rPr>
                <w:color w:val="000000" w:themeColor="text1"/>
              </w:rPr>
              <w:t>El nombre de la autoridad de probidad independiente es</w:t>
            </w:r>
            <w:r w:rsidRPr="00576AF8">
              <w:rPr>
                <w:b/>
                <w:color w:val="000000" w:themeColor="text1"/>
              </w:rPr>
              <w:t xml:space="preserve">: </w:t>
            </w:r>
            <w:r w:rsidRPr="00576AF8">
              <w:rPr>
                <w:i/>
                <w:color w:val="000000" w:themeColor="text1"/>
              </w:rPr>
              <w:t>[indicar el nombre de la Autoridad]</w:t>
            </w:r>
          </w:p>
        </w:tc>
      </w:tr>
    </w:tbl>
    <w:p w14:paraId="673FA3C6" w14:textId="77777777" w:rsidR="00A2703E" w:rsidRPr="00576AF8" w:rsidRDefault="00A2703E" w:rsidP="00A2703E">
      <w:pPr>
        <w:spacing w:before="240"/>
        <w:rPr>
          <w:b/>
        </w:rPr>
      </w:pPr>
    </w:p>
    <w:p w14:paraId="0F7AC803" w14:textId="77777777" w:rsidR="00A2703E" w:rsidRPr="00576AF8" w:rsidRDefault="00A2703E" w:rsidP="00A2703E">
      <w:pPr>
        <w:spacing w:before="240"/>
        <w:rPr>
          <w:b/>
        </w:rPr>
      </w:pPr>
      <w:r w:rsidRPr="00576AF8">
        <w:rPr>
          <w:b/>
        </w:rPr>
        <w:t>5. Cómo solicitar una sesión informativa</w:t>
      </w:r>
    </w:p>
    <w:tbl>
      <w:tblPr>
        <w:tblStyle w:val="Tablaconcuadrcula"/>
        <w:tblW w:w="9776" w:type="dxa"/>
        <w:tblLook w:val="04A0" w:firstRow="1" w:lastRow="0" w:firstColumn="1" w:lastColumn="0" w:noHBand="0" w:noVBand="1"/>
      </w:tblPr>
      <w:tblGrid>
        <w:gridCol w:w="9776"/>
      </w:tblGrid>
      <w:tr w:rsidR="00A2703E" w:rsidRPr="00576AF8" w14:paraId="070FBB27" w14:textId="77777777" w:rsidTr="003A14B3">
        <w:tc>
          <w:tcPr>
            <w:tcW w:w="9776" w:type="dxa"/>
          </w:tcPr>
          <w:p w14:paraId="7457CFD6" w14:textId="77777777" w:rsidR="00A2703E" w:rsidRPr="00576AF8" w:rsidRDefault="00A2703E" w:rsidP="003A14B3">
            <w:pPr>
              <w:spacing w:before="120" w:after="200"/>
              <w:rPr>
                <w:b/>
              </w:rPr>
            </w:pPr>
            <w:r w:rsidRPr="00576AF8">
              <w:rPr>
                <w:b/>
              </w:rPr>
              <w:t xml:space="preserve">FECHA LÍMITE: La fecha límite para solicitar una sesión informativa expira a medianoche el </w:t>
            </w:r>
            <w:r w:rsidRPr="00576AF8">
              <w:rPr>
                <w:b/>
                <w:i/>
              </w:rPr>
              <w:t>[insertar fecha y hora local].</w:t>
            </w:r>
          </w:p>
          <w:p w14:paraId="67CD4026" w14:textId="77777777" w:rsidR="00A2703E" w:rsidRPr="00576AF8" w:rsidRDefault="00A2703E" w:rsidP="003A14B3">
            <w:pPr>
              <w:spacing w:after="200"/>
            </w:pPr>
            <w:r w:rsidRPr="00576AF8">
              <w:t xml:space="preserve">Usted puede solicitar una explicación sobre los resultados de la evaluación de su </w:t>
            </w:r>
            <w:proofErr w:type="gramStart"/>
            <w:r w:rsidRPr="00576AF8">
              <w:t>Oferta</w:t>
            </w:r>
            <w:proofErr w:type="gramEnd"/>
            <w:r w:rsidRPr="00576AF8">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p w14:paraId="4822D1F0" w14:textId="77777777" w:rsidR="00A2703E" w:rsidRPr="00576AF8" w:rsidRDefault="00A2703E" w:rsidP="003A14B3">
            <w:pPr>
              <w:spacing w:after="200"/>
            </w:pPr>
            <w:r w:rsidRPr="00576AF8">
              <w:t xml:space="preserve">Proporcione el nombre del contrato, número de referencia, nombre del </w:t>
            </w:r>
            <w:r w:rsidR="007A705B" w:rsidRPr="00576AF8">
              <w:t>Licitante</w:t>
            </w:r>
            <w:r w:rsidRPr="00576AF8">
              <w:t>, detalles de contacto; y dirija la solicitud de explicación así:</w:t>
            </w:r>
          </w:p>
          <w:p w14:paraId="7ADCBFBF" w14:textId="77777777" w:rsidR="00A2703E" w:rsidRPr="00576AF8" w:rsidRDefault="00A2703E" w:rsidP="003A14B3">
            <w:pPr>
              <w:ind w:left="720"/>
            </w:pPr>
            <w:r w:rsidRPr="00576AF8">
              <w:rPr>
                <w:b/>
              </w:rPr>
              <w:t xml:space="preserve">Atención: </w:t>
            </w:r>
            <w:r w:rsidRPr="00576AF8">
              <w:rPr>
                <w:i/>
              </w:rPr>
              <w:t>[indicar el nombre completo de la persona, si procede]</w:t>
            </w:r>
          </w:p>
          <w:p w14:paraId="01B5013F" w14:textId="77777777" w:rsidR="00A2703E" w:rsidRPr="00576AF8" w:rsidRDefault="00A2703E" w:rsidP="003A14B3">
            <w:pPr>
              <w:ind w:left="720"/>
            </w:pPr>
            <w:r w:rsidRPr="00576AF8">
              <w:rPr>
                <w:b/>
              </w:rPr>
              <w:t>Título / posición:</w:t>
            </w:r>
            <w:r w:rsidRPr="00576AF8">
              <w:t xml:space="preserve"> </w:t>
            </w:r>
            <w:r w:rsidRPr="00576AF8">
              <w:rPr>
                <w:i/>
              </w:rPr>
              <w:t>[insertar título / posición]</w:t>
            </w:r>
          </w:p>
          <w:p w14:paraId="17FD6EEF" w14:textId="77777777" w:rsidR="00A2703E" w:rsidRPr="00576AF8" w:rsidRDefault="00A2703E" w:rsidP="003A14B3">
            <w:pPr>
              <w:ind w:left="720"/>
            </w:pPr>
            <w:r w:rsidRPr="00576AF8">
              <w:rPr>
                <w:b/>
              </w:rPr>
              <w:t xml:space="preserve">Agencia: </w:t>
            </w:r>
            <w:r w:rsidRPr="00576AF8">
              <w:rPr>
                <w:i/>
              </w:rPr>
              <w:t xml:space="preserve">[indicar el nombre del </w:t>
            </w:r>
            <w:r w:rsidR="00D95AFA" w:rsidRPr="00576AF8">
              <w:rPr>
                <w:i/>
              </w:rPr>
              <w:t>Comprador</w:t>
            </w:r>
            <w:r w:rsidRPr="00576AF8">
              <w:rPr>
                <w:i/>
              </w:rPr>
              <w:t>]</w:t>
            </w:r>
          </w:p>
          <w:p w14:paraId="70957E45" w14:textId="77777777" w:rsidR="00A2703E" w:rsidRPr="00576AF8" w:rsidRDefault="00A2703E" w:rsidP="003A14B3">
            <w:pPr>
              <w:ind w:left="720"/>
            </w:pPr>
            <w:r w:rsidRPr="00576AF8">
              <w:rPr>
                <w:b/>
              </w:rPr>
              <w:t>Dirección de correo electrónico:</w:t>
            </w:r>
            <w:r w:rsidRPr="00576AF8">
              <w:t xml:space="preserve"> </w:t>
            </w:r>
            <w:r w:rsidRPr="00576AF8">
              <w:rPr>
                <w:i/>
              </w:rPr>
              <w:t>[indicar dirección de correo electrónico]</w:t>
            </w:r>
          </w:p>
          <w:p w14:paraId="321A1DCB" w14:textId="77777777" w:rsidR="00A2703E" w:rsidRPr="00576AF8" w:rsidRDefault="00A2703E" w:rsidP="003A14B3">
            <w:pPr>
              <w:spacing w:after="200"/>
            </w:pPr>
            <w:r w:rsidRPr="00576AF8">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EF5D0FC" w14:textId="77777777" w:rsidR="00A2703E" w:rsidRPr="00576AF8" w:rsidRDefault="00A2703E" w:rsidP="003A14B3">
            <w:pPr>
              <w:spacing w:after="200"/>
            </w:pPr>
            <w:r w:rsidRPr="00576AF8">
              <w:t>La explicación puede ser por escrito, por teléfono, videoconferencia o en persona. Le informaremos por escrito de la manera en que se realizará el informe y confirmaremos la fecha y la hora.</w:t>
            </w:r>
          </w:p>
          <w:p w14:paraId="275F1E07" w14:textId="77777777" w:rsidR="00A2703E" w:rsidRPr="00576AF8" w:rsidRDefault="00A2703E" w:rsidP="003A14B3">
            <w:r w:rsidRPr="00576AF8">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018B7B06" w14:textId="77777777" w:rsidR="00A2703E" w:rsidRPr="00576AF8" w:rsidRDefault="00A2703E" w:rsidP="00A2703E">
      <w:pPr>
        <w:spacing w:before="240"/>
        <w:rPr>
          <w:b/>
        </w:rPr>
      </w:pPr>
      <w:r w:rsidRPr="00576AF8">
        <w:rPr>
          <w:b/>
        </w:rPr>
        <w:t>6. Cómo presentar una queja</w:t>
      </w:r>
    </w:p>
    <w:tbl>
      <w:tblPr>
        <w:tblStyle w:val="Tablaconcuadrcula"/>
        <w:tblW w:w="9776" w:type="dxa"/>
        <w:tblLook w:val="04A0" w:firstRow="1" w:lastRow="0" w:firstColumn="1" w:lastColumn="0" w:noHBand="0" w:noVBand="1"/>
      </w:tblPr>
      <w:tblGrid>
        <w:gridCol w:w="9776"/>
      </w:tblGrid>
      <w:tr w:rsidR="00A2703E" w:rsidRPr="00576AF8" w14:paraId="5B0029E5" w14:textId="77777777" w:rsidTr="003A14B3">
        <w:tc>
          <w:tcPr>
            <w:tcW w:w="9776" w:type="dxa"/>
          </w:tcPr>
          <w:p w14:paraId="5EFB3CF7" w14:textId="77777777" w:rsidR="00A2703E" w:rsidRPr="00576AF8" w:rsidRDefault="00A2703E" w:rsidP="003A14B3">
            <w:pPr>
              <w:spacing w:before="120"/>
              <w:rPr>
                <w:b/>
              </w:rPr>
            </w:pPr>
            <w:r w:rsidRPr="00576AF8">
              <w:rPr>
                <w:b/>
              </w:rPr>
              <w:t xml:space="preserve">Período: Reclamos relacionados con la adquisición que impugne la decisión de adjudicación deberá presentarse antes de la medianoche, </w:t>
            </w:r>
            <w:r w:rsidRPr="00576AF8">
              <w:rPr>
                <w:b/>
                <w:i/>
              </w:rPr>
              <w:t>[insertar fecha y hora local].</w:t>
            </w:r>
          </w:p>
          <w:p w14:paraId="675EBAE1" w14:textId="77777777" w:rsidR="00A2703E" w:rsidRPr="00576AF8" w:rsidRDefault="00A2703E" w:rsidP="003A14B3">
            <w:r w:rsidRPr="00576AF8">
              <w:t xml:space="preserve">Proporcione el nombre del contrato, número de referencia, nombre del </w:t>
            </w:r>
            <w:r w:rsidR="007A705B" w:rsidRPr="00576AF8">
              <w:t>Licitante</w:t>
            </w:r>
            <w:r w:rsidRPr="00576AF8">
              <w:t>, detalles de contacto; y dirija la queja relacionada con la adquisición así:</w:t>
            </w:r>
          </w:p>
          <w:p w14:paraId="3834254D" w14:textId="77777777" w:rsidR="00A2703E" w:rsidRPr="00576AF8" w:rsidRDefault="00A2703E" w:rsidP="003A14B3">
            <w:pPr>
              <w:ind w:left="720"/>
            </w:pPr>
            <w:r w:rsidRPr="00576AF8">
              <w:rPr>
                <w:b/>
              </w:rPr>
              <w:lastRenderedPageBreak/>
              <w:t>Atención:</w:t>
            </w:r>
            <w:r w:rsidRPr="00576AF8">
              <w:t xml:space="preserve"> </w:t>
            </w:r>
            <w:r w:rsidRPr="00576AF8">
              <w:rPr>
                <w:i/>
              </w:rPr>
              <w:t>[indicar el nombre completo de la persona, si procede]</w:t>
            </w:r>
          </w:p>
          <w:p w14:paraId="4387D377" w14:textId="77777777" w:rsidR="00A2703E" w:rsidRPr="00576AF8" w:rsidRDefault="00A2703E" w:rsidP="003A14B3">
            <w:pPr>
              <w:ind w:left="720"/>
            </w:pPr>
            <w:r w:rsidRPr="00576AF8">
              <w:rPr>
                <w:b/>
              </w:rPr>
              <w:t>Título / posición:</w:t>
            </w:r>
            <w:r w:rsidRPr="00576AF8">
              <w:t xml:space="preserve"> </w:t>
            </w:r>
            <w:r w:rsidRPr="00576AF8">
              <w:rPr>
                <w:i/>
              </w:rPr>
              <w:t>[insertar título / posición]</w:t>
            </w:r>
          </w:p>
          <w:p w14:paraId="4CC84390" w14:textId="77777777" w:rsidR="00A2703E" w:rsidRPr="00576AF8" w:rsidRDefault="00A2703E" w:rsidP="003A14B3">
            <w:pPr>
              <w:ind w:left="720"/>
            </w:pPr>
            <w:r w:rsidRPr="00576AF8">
              <w:rPr>
                <w:b/>
              </w:rPr>
              <w:t>Agencia:</w:t>
            </w:r>
            <w:r w:rsidRPr="00576AF8">
              <w:t xml:space="preserve"> </w:t>
            </w:r>
            <w:r w:rsidRPr="00576AF8">
              <w:rPr>
                <w:i/>
              </w:rPr>
              <w:t xml:space="preserve">[insertar el nombre del </w:t>
            </w:r>
            <w:r w:rsidR="00D95AFA" w:rsidRPr="00576AF8">
              <w:rPr>
                <w:i/>
              </w:rPr>
              <w:t>Comprador</w:t>
            </w:r>
            <w:r w:rsidRPr="00576AF8">
              <w:rPr>
                <w:i/>
              </w:rPr>
              <w:t>]</w:t>
            </w:r>
          </w:p>
          <w:p w14:paraId="39D4C228" w14:textId="77777777" w:rsidR="00A2703E" w:rsidRPr="00576AF8" w:rsidRDefault="00A2703E" w:rsidP="003A14B3">
            <w:pPr>
              <w:ind w:left="720"/>
            </w:pPr>
            <w:r w:rsidRPr="00576AF8">
              <w:rPr>
                <w:b/>
              </w:rPr>
              <w:t>Dirección de correo electrónico:</w:t>
            </w:r>
            <w:r w:rsidRPr="00576AF8">
              <w:t xml:space="preserve"> </w:t>
            </w:r>
            <w:r w:rsidRPr="00576AF8">
              <w:rPr>
                <w:i/>
              </w:rPr>
              <w:t>[indicar dirección de correo electrónico]</w:t>
            </w:r>
          </w:p>
          <w:p w14:paraId="32294004" w14:textId="77777777" w:rsidR="00A2703E" w:rsidRPr="00576AF8" w:rsidRDefault="00A2703E" w:rsidP="003A14B3">
            <w:r w:rsidRPr="00576AF8">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738997DE" w14:textId="77777777" w:rsidR="00A2703E" w:rsidRPr="00576AF8" w:rsidRDefault="00A2703E" w:rsidP="003A14B3">
            <w:r w:rsidRPr="00576AF8">
              <w:t>En resumen, hay cuatro requisitos esenciales:</w:t>
            </w:r>
          </w:p>
          <w:p w14:paraId="00940541" w14:textId="77777777" w:rsidR="00A2703E" w:rsidRPr="00576AF8" w:rsidRDefault="00A2703E" w:rsidP="003A14B3">
            <w:pPr>
              <w:spacing w:before="120"/>
              <w:ind w:left="714" w:right="289" w:hanging="357"/>
            </w:pPr>
            <w:r w:rsidRPr="00576AF8">
              <w:t>1.</w:t>
            </w:r>
            <w:r w:rsidRPr="00576AF8">
              <w:rPr>
                <w:b/>
              </w:rPr>
              <w:t xml:space="preserve"> </w:t>
            </w:r>
            <w:r w:rsidRPr="00576AF8">
              <w:rPr>
                <w:b/>
              </w:rPr>
              <w:tab/>
            </w:r>
            <w:r w:rsidRPr="00576AF8">
              <w:t xml:space="preserve">Usted debe ser una “parte interesada”. En este caso, significa un </w:t>
            </w:r>
            <w:r w:rsidR="007A705B" w:rsidRPr="00576AF8">
              <w:t>Licitante</w:t>
            </w:r>
            <w:r w:rsidRPr="00576AF8">
              <w:t xml:space="preserve"> que presentó una Oferta en este proceso de licitación y es el destinatario de una Notificación de Intención de Adjudicación.</w:t>
            </w:r>
          </w:p>
          <w:p w14:paraId="499A4DC7" w14:textId="77777777" w:rsidR="00A2703E" w:rsidRPr="00576AF8" w:rsidRDefault="00A2703E" w:rsidP="003A14B3">
            <w:pPr>
              <w:spacing w:before="120"/>
              <w:ind w:left="714" w:right="289" w:hanging="357"/>
            </w:pPr>
            <w:r w:rsidRPr="00576AF8">
              <w:t>2.</w:t>
            </w:r>
            <w:r w:rsidRPr="00576AF8">
              <w:rPr>
                <w:b/>
              </w:rPr>
              <w:t xml:space="preserve"> </w:t>
            </w:r>
            <w:r w:rsidRPr="00576AF8">
              <w:rPr>
                <w:b/>
              </w:rPr>
              <w:tab/>
            </w:r>
            <w:r w:rsidRPr="00576AF8">
              <w:t>La reclamación sólo puede impugnar la decisión de adjudicación del contrato.</w:t>
            </w:r>
          </w:p>
          <w:p w14:paraId="3FA6A9DB" w14:textId="77777777" w:rsidR="00A2703E" w:rsidRPr="00576AF8" w:rsidRDefault="00A2703E" w:rsidP="003A14B3">
            <w:pPr>
              <w:spacing w:before="120"/>
              <w:ind w:left="714" w:right="289" w:hanging="357"/>
            </w:pPr>
            <w:r w:rsidRPr="00576AF8">
              <w:t>3.</w:t>
            </w:r>
            <w:r w:rsidRPr="00576AF8">
              <w:rPr>
                <w:b/>
              </w:rPr>
              <w:t xml:space="preserve"> </w:t>
            </w:r>
            <w:r w:rsidRPr="00576AF8">
              <w:rPr>
                <w:b/>
              </w:rPr>
              <w:tab/>
            </w:r>
            <w:r w:rsidRPr="00576AF8">
              <w:t>Debe presentar la queja en el plazo indicado anteriormente.</w:t>
            </w:r>
          </w:p>
          <w:p w14:paraId="77CEFE56" w14:textId="77777777" w:rsidR="00A2703E" w:rsidRPr="00576AF8" w:rsidRDefault="00A2703E" w:rsidP="003A14B3">
            <w:pPr>
              <w:spacing w:before="120"/>
              <w:ind w:left="714" w:right="289" w:hanging="357"/>
            </w:pPr>
            <w:r w:rsidRPr="00576AF8">
              <w:t>4.</w:t>
            </w:r>
            <w:r w:rsidRPr="00576AF8">
              <w:rPr>
                <w:b/>
              </w:rPr>
              <w:t xml:space="preserve"> </w:t>
            </w:r>
            <w:r w:rsidRPr="00576AF8">
              <w:rPr>
                <w:b/>
              </w:rPr>
              <w:tab/>
            </w:r>
            <w:r w:rsidRPr="00576AF8">
              <w:t>Debe presentar la queja de conformidad con los párrafos 2.77 a 2.81 de las Políticas y sus Apéndices 1 y 3.</w:t>
            </w:r>
          </w:p>
        </w:tc>
      </w:tr>
    </w:tbl>
    <w:p w14:paraId="30540B63" w14:textId="77777777" w:rsidR="00A2703E" w:rsidRPr="00576AF8" w:rsidRDefault="00A2703E" w:rsidP="00A2703E">
      <w:pPr>
        <w:spacing w:before="200"/>
        <w:rPr>
          <w:b/>
        </w:rPr>
      </w:pPr>
      <w:r w:rsidRPr="00576AF8">
        <w:rPr>
          <w:b/>
        </w:rPr>
        <w:lastRenderedPageBreak/>
        <w:t>7. Plazo Suspensivo</w:t>
      </w:r>
    </w:p>
    <w:tbl>
      <w:tblPr>
        <w:tblStyle w:val="Tablaconcuadrcula"/>
        <w:tblW w:w="9776" w:type="dxa"/>
        <w:tblLook w:val="04A0" w:firstRow="1" w:lastRow="0" w:firstColumn="1" w:lastColumn="0" w:noHBand="0" w:noVBand="1"/>
      </w:tblPr>
      <w:tblGrid>
        <w:gridCol w:w="9776"/>
      </w:tblGrid>
      <w:tr w:rsidR="00A2703E" w:rsidRPr="00576AF8" w14:paraId="1174745B" w14:textId="77777777" w:rsidTr="003A14B3">
        <w:tc>
          <w:tcPr>
            <w:tcW w:w="9776" w:type="dxa"/>
          </w:tcPr>
          <w:p w14:paraId="23459C99" w14:textId="77777777" w:rsidR="00A2703E" w:rsidRPr="00576AF8" w:rsidRDefault="00A2703E" w:rsidP="003A14B3">
            <w:pPr>
              <w:spacing w:after="160"/>
              <w:rPr>
                <w:b/>
                <w:i/>
              </w:rPr>
            </w:pPr>
            <w:r w:rsidRPr="00576AF8">
              <w:rPr>
                <w:b/>
              </w:rPr>
              <w:t xml:space="preserve">FECHA LÍMITE: El Plazo Suspensivo termina a medianoche el </w:t>
            </w:r>
            <w:r w:rsidRPr="00576AF8">
              <w:rPr>
                <w:b/>
                <w:i/>
              </w:rPr>
              <w:t>[insertar fecha y hora local]</w:t>
            </w:r>
          </w:p>
          <w:p w14:paraId="409565EF" w14:textId="77777777" w:rsidR="00A2703E" w:rsidRPr="00576AF8" w:rsidRDefault="00A2703E" w:rsidP="003A14B3">
            <w:pPr>
              <w:spacing w:after="160"/>
            </w:pPr>
            <w:r w:rsidRPr="00576AF8">
              <w:t>El Plazo Suspensivo dura diez (10) días hábiles después de la fecha de transmisión de esta Notificación de Intención de Adjudicación.</w:t>
            </w:r>
          </w:p>
          <w:p w14:paraId="3E745F2F" w14:textId="77777777" w:rsidR="00A2703E" w:rsidRPr="00576AF8" w:rsidRDefault="00A2703E" w:rsidP="003A14B3">
            <w:r w:rsidRPr="00576AF8">
              <w:t>El Plazo Suspensivo puede extenderse como se indica en la Sección </w:t>
            </w:r>
            <w:r w:rsidR="00F32294" w:rsidRPr="00576AF8">
              <w:t>5</w:t>
            </w:r>
            <w:r w:rsidRPr="00576AF8">
              <w:t>anterior.</w:t>
            </w:r>
          </w:p>
        </w:tc>
      </w:tr>
    </w:tbl>
    <w:p w14:paraId="3BA07836" w14:textId="77777777" w:rsidR="00A2703E" w:rsidRPr="00576AF8" w:rsidRDefault="00A2703E" w:rsidP="00A2703E">
      <w:pPr>
        <w:spacing w:before="200" w:after="240"/>
      </w:pPr>
      <w:r w:rsidRPr="00576AF8">
        <w:t>Si tiene alguna pregunta sobre esta Notificación, no dude en ponerse en contacto con nosotros.</w:t>
      </w:r>
    </w:p>
    <w:p w14:paraId="16308F74" w14:textId="77777777" w:rsidR="00A2703E" w:rsidRPr="00576AF8" w:rsidRDefault="00A2703E" w:rsidP="00A2703E">
      <w:pPr>
        <w:spacing w:after="240"/>
        <w:rPr>
          <w:b/>
        </w:rPr>
      </w:pPr>
      <w:r w:rsidRPr="00576AF8">
        <w:t xml:space="preserve">En nombre del </w:t>
      </w:r>
      <w:r w:rsidR="00D95AFA" w:rsidRPr="00576AF8">
        <w:t>Comprador</w:t>
      </w:r>
    </w:p>
    <w:p w14:paraId="5FFC14D4" w14:textId="77777777" w:rsidR="00A2703E" w:rsidRPr="00576AF8" w:rsidRDefault="00A2703E" w:rsidP="00A2703E">
      <w:pPr>
        <w:tabs>
          <w:tab w:val="right" w:leader="underscore" w:pos="6379"/>
        </w:tabs>
        <w:spacing w:after="240"/>
      </w:pPr>
      <w:r w:rsidRPr="00576AF8">
        <w:rPr>
          <w:b/>
        </w:rPr>
        <w:t>Firma:</w:t>
      </w:r>
      <w:r w:rsidRPr="00576AF8">
        <w:t xml:space="preserve"> </w:t>
      </w:r>
      <w:r w:rsidRPr="00576AF8">
        <w:tab/>
      </w:r>
    </w:p>
    <w:p w14:paraId="64B7F1FD" w14:textId="77777777" w:rsidR="00A2703E" w:rsidRPr="00576AF8" w:rsidRDefault="00A2703E" w:rsidP="00A2703E">
      <w:pPr>
        <w:tabs>
          <w:tab w:val="right" w:leader="underscore" w:pos="6379"/>
        </w:tabs>
        <w:spacing w:after="240"/>
      </w:pPr>
      <w:r w:rsidRPr="00576AF8">
        <w:rPr>
          <w:b/>
        </w:rPr>
        <w:t>Nombre:</w:t>
      </w:r>
      <w:r w:rsidRPr="00576AF8">
        <w:tab/>
      </w:r>
    </w:p>
    <w:p w14:paraId="7FCB631A" w14:textId="77777777" w:rsidR="00A2703E" w:rsidRPr="00576AF8" w:rsidRDefault="00A2703E" w:rsidP="00A2703E">
      <w:pPr>
        <w:tabs>
          <w:tab w:val="right" w:leader="underscore" w:pos="6379"/>
        </w:tabs>
        <w:spacing w:after="240"/>
      </w:pPr>
      <w:r w:rsidRPr="00576AF8">
        <w:rPr>
          <w:b/>
        </w:rPr>
        <w:t>Título / cargo:</w:t>
      </w:r>
      <w:r w:rsidRPr="00576AF8">
        <w:t xml:space="preserve"> </w:t>
      </w:r>
      <w:r w:rsidRPr="00576AF8">
        <w:tab/>
      </w:r>
    </w:p>
    <w:p w14:paraId="38A5E7BD" w14:textId="77777777" w:rsidR="00A2703E" w:rsidRPr="00576AF8" w:rsidRDefault="00A2703E" w:rsidP="00A2703E">
      <w:pPr>
        <w:tabs>
          <w:tab w:val="right" w:leader="underscore" w:pos="6379"/>
        </w:tabs>
        <w:spacing w:after="240"/>
      </w:pPr>
      <w:r w:rsidRPr="00576AF8">
        <w:rPr>
          <w:b/>
        </w:rPr>
        <w:t>Teléfono:</w:t>
      </w:r>
      <w:r w:rsidRPr="00576AF8">
        <w:t xml:space="preserve"> </w:t>
      </w:r>
      <w:r w:rsidRPr="00576AF8">
        <w:tab/>
      </w:r>
    </w:p>
    <w:p w14:paraId="4FB80AE9" w14:textId="77777777" w:rsidR="00A2703E" w:rsidRPr="00576AF8" w:rsidRDefault="00A2703E" w:rsidP="00866570">
      <w:pPr>
        <w:tabs>
          <w:tab w:val="right" w:leader="underscore" w:pos="6379"/>
        </w:tabs>
        <w:spacing w:after="200"/>
        <w:rPr>
          <w:b/>
          <w:smallCaps/>
          <w:sz w:val="32"/>
        </w:rPr>
      </w:pPr>
      <w:r w:rsidRPr="00576AF8">
        <w:rPr>
          <w:b/>
        </w:rPr>
        <w:t>Email:</w:t>
      </w:r>
      <w:r w:rsidRPr="00576AF8">
        <w:tab/>
      </w:r>
    </w:p>
    <w:p w14:paraId="628770E6" w14:textId="77777777" w:rsidR="006A2575" w:rsidRPr="00576AF8" w:rsidRDefault="006A2575" w:rsidP="00866570">
      <w:pPr>
        <w:pStyle w:val="Head11b"/>
        <w:rPr>
          <w:rFonts w:ascii="Times New Roman" w:hAnsi="Times New Roman"/>
        </w:rPr>
      </w:pPr>
      <w:bookmarkStart w:id="1732" w:name="_Toc28246682"/>
      <w:r w:rsidRPr="00576AF8">
        <w:rPr>
          <w:rFonts w:ascii="Times New Roman" w:hAnsi="Times New Roman"/>
          <w:noProof/>
          <w:lang w:val="es-EC" w:eastAsia="es-EC" w:bidi="ar-SA"/>
        </w:rPr>
        <w:lastRenderedPageBreak/>
        <mc:AlternateContent>
          <mc:Choice Requires="wps">
            <w:drawing>
              <wp:anchor distT="0" distB="0" distL="114300" distR="114300" simplePos="0" relativeHeight="251661312" behindDoc="0" locked="0" layoutInCell="1" allowOverlap="1" wp14:anchorId="600FFC4E" wp14:editId="604F332C">
                <wp:simplePos x="0" y="0"/>
                <wp:positionH relativeFrom="column">
                  <wp:posOffset>-76200</wp:posOffset>
                </wp:positionH>
                <wp:positionV relativeFrom="paragraph">
                  <wp:posOffset>685800</wp:posOffset>
                </wp:positionV>
                <wp:extent cx="5749290" cy="3088640"/>
                <wp:effectExtent l="0" t="0" r="16510" b="35560"/>
                <wp:wrapTopAndBottom/>
                <wp:docPr id="3" name="Text Box 3"/>
                <wp:cNvGraphicFramePr/>
                <a:graphic xmlns:a="http://schemas.openxmlformats.org/drawingml/2006/main">
                  <a:graphicData uri="http://schemas.microsoft.com/office/word/2010/wordprocessingShape">
                    <wps:wsp>
                      <wps:cNvSpPr txBox="1"/>
                      <wps:spPr>
                        <a:xfrm>
                          <a:off x="0" y="0"/>
                          <a:ext cx="5749290" cy="3088640"/>
                        </a:xfrm>
                        <a:prstGeom prst="rect">
                          <a:avLst/>
                        </a:prstGeom>
                        <a:solidFill>
                          <a:schemeClr val="lt1"/>
                        </a:solidFill>
                        <a:ln w="6350">
                          <a:solidFill>
                            <a:prstClr val="black"/>
                          </a:solidFill>
                        </a:ln>
                      </wps:spPr>
                      <wps:txbx>
                        <w:txbxContent>
                          <w:p w14:paraId="185FF849" w14:textId="77777777" w:rsidR="00A611D4" w:rsidRPr="00AD4D00" w:rsidRDefault="00A611D4" w:rsidP="006A2575">
                            <w:pPr>
                              <w:spacing w:before="120"/>
                              <w:rPr>
                                <w:i/>
                                <w:lang w:val="es-ES_tradnl"/>
                              </w:rPr>
                            </w:pPr>
                            <w:r w:rsidRPr="00AD4D00">
                              <w:rPr>
                                <w:i/>
                                <w:lang w:val="es-ES_tradnl"/>
                              </w:rPr>
                              <w:t>INSTRUCCIONES A LOS LICITANTES: SUPRIMIR ESTA CASILLA UNA VEZ QUE SE HA COMPLETADO EL FORMULARIO</w:t>
                            </w:r>
                          </w:p>
                          <w:p w14:paraId="34C4BDF2" w14:textId="77777777" w:rsidR="00A611D4" w:rsidRPr="00AD4D00" w:rsidRDefault="00A611D4" w:rsidP="006A2575">
                            <w:pPr>
                              <w:rPr>
                                <w:i/>
                                <w:lang w:val="es-ES_tradnl"/>
                              </w:rPr>
                            </w:pPr>
                          </w:p>
                          <w:p w14:paraId="7AB7B3F1" w14:textId="77777777" w:rsidR="00A611D4" w:rsidRPr="00AD4D00" w:rsidRDefault="00A611D4" w:rsidP="006A2575">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47F2C3E" w14:textId="77777777" w:rsidR="00A611D4" w:rsidRPr="00AD4D00" w:rsidRDefault="00A611D4" w:rsidP="006A2575">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4DD144ED" w14:textId="77777777" w:rsidR="00A611D4" w:rsidRPr="00AD4D00" w:rsidRDefault="00A611D4" w:rsidP="006A2575">
                            <w:pPr>
                              <w:rPr>
                                <w:rFonts w:ascii="Arial" w:hAnsi="Arial" w:cs="Arial"/>
                                <w:color w:val="212121"/>
                                <w:shd w:val="clear" w:color="auto" w:fill="FFFFFF"/>
                                <w:lang w:val="es-ES_tradnl"/>
                              </w:rPr>
                            </w:pPr>
                          </w:p>
                          <w:p w14:paraId="704E226B" w14:textId="77777777" w:rsidR="00A611D4" w:rsidRPr="00AD4D00" w:rsidRDefault="00A611D4" w:rsidP="006A2575">
                            <w:pPr>
                              <w:ind w:left="360"/>
                              <w:rPr>
                                <w:i/>
                                <w:lang w:val="es-ES_tradnl"/>
                              </w:rPr>
                            </w:pPr>
                            <w:r w:rsidRPr="00AD4D00">
                              <w:rPr>
                                <w:i/>
                                <w:lang w:val="es-ES_tradnl"/>
                              </w:rPr>
                              <w:t xml:space="preserve">• poseer directa o indirectamente el 25% o más de las acciones </w:t>
                            </w:r>
                          </w:p>
                          <w:p w14:paraId="008B5969" w14:textId="77777777" w:rsidR="00A611D4" w:rsidRPr="00AD4D00" w:rsidRDefault="00A611D4" w:rsidP="006A2575">
                            <w:pPr>
                              <w:ind w:left="360"/>
                              <w:rPr>
                                <w:i/>
                                <w:lang w:val="es-ES_tradnl"/>
                              </w:rPr>
                            </w:pPr>
                            <w:r w:rsidRPr="00AD4D00">
                              <w:rPr>
                                <w:i/>
                                <w:lang w:val="es-ES_tradnl"/>
                              </w:rPr>
                              <w:t xml:space="preserve">• poseer directa o indirectamente el 25% o más de los derechos de voto </w:t>
                            </w:r>
                          </w:p>
                          <w:p w14:paraId="7CF1D267" w14:textId="77777777" w:rsidR="00A611D4" w:rsidRPr="00AD4D00" w:rsidRDefault="00A611D4" w:rsidP="006A2575">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6421C1A3" w14:textId="77777777" w:rsidR="00A611D4" w:rsidRPr="002C72D9" w:rsidRDefault="00A611D4" w:rsidP="006A257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FFC4E" id="Text Box 3" o:spid="_x0000_s1031" type="#_x0000_t202" style="position:absolute;left:0;text-align:left;margin-left:-6pt;margin-top:54pt;width:452.7pt;height:24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QzUAIAAKkEAAAOAAAAZHJzL2Uyb0RvYy54bWysVE1PGzEQvVfqf7B8L5svIETZoBREVQkB&#10;UkCcHa83WdXrcW0nu/TX99nJhoT2VPXinS8/z7yZ2el1W2u2Vc5XZHLeP+txpoykojKrnL88330Z&#10;c+aDMIXQZFTO35Tn17PPn6aNnagBrUkXyjGAGD9pbM7XIdhJlnm5VrXwZ2SVgbMkV4sA1a2ywokG&#10;6LXOBr3eRdaQK6wjqbyH9Xbn5LOEX5ZKhsey9CownXPkFtLp0rmMZzabisnKCbuu5D4N8Q9Z1KIy&#10;ePQAdSuCYBtX/QFVV9KRpzKcSaozKstKqlQDqun3PlSzWAurUi0gx9sDTf7/wcqH7ZNjVZHzIWdG&#10;1GjRs2oD+0otG0Z2GusnCFpYhIUWZnS5s3sYY9Ft6er4RTkMfvD8duA2gkkYzy9HV4MruCR8w954&#10;fDFK7Gfv163z4ZuimkUh5w7NS5yK7b0PSAWhXUh8zZOuirtK66TEgVE32rGtQKt1SEnixkmUNqzJ&#10;+cXwvJeAT3wR+nB/qYX8Ecs8RYCmDYyRlF3xUQrtsk0UDjpillS8gS9Hu3nzVt5VgL8XPjwJhwED&#10;D1ia8Iij1IScaC9xtib362/2GI++w8tZg4HNuf+5EU5xpr8bTMRVfwRGWUjK6PxyAMUde5bHHrOp&#10;bwhE9bGeViYxxgfdiaWj+hW7NY+vwiWMxNs5D514E3ZrhN2Uaj5PQZhpK8K9WVgZoWNjIq3P7atw&#10;dt/WgIl4oG60xeRDd3ex8aah+SZQWaXWR553rO7pxz6k7ux3Ny7csZ6i3v8ws98AAAD//wMAUEsD&#10;BBQABgAIAAAAIQDmlA273gAAAAsBAAAPAAAAZHJzL2Rvd25yZXYueG1sTI/BTsMwEETvSPyDtUjc&#10;WqclICeNUwEqXDhRUM9u7NoW8TqK3TT8PcsJbjua0eybZjuHnk1mTD6ihNWyAGawi9qjlfD58bIQ&#10;wFJWqFUf0Uj4Ngm27fVVo2odL/hupn22jEow1UqCy3moOU+dM0GlZRwMkneKY1CZ5Gi5HtWFykPP&#10;10XxwIPySB+cGsyzM93X/hwk7J5sZTuhRrcT2vtpPpze7KuUtzfz4wZYNnP+C8MvPqFDS0zHeEad&#10;WC9hsVrTlkxGIeighKjuSmBHCfdVWQJvG/5/Q/sDAAD//wMAUEsBAi0AFAAGAAgAAAAhALaDOJL+&#10;AAAA4QEAABMAAAAAAAAAAAAAAAAAAAAAAFtDb250ZW50X1R5cGVzXS54bWxQSwECLQAUAAYACAAA&#10;ACEAOP0h/9YAAACUAQAACwAAAAAAAAAAAAAAAAAvAQAAX3JlbHMvLnJlbHNQSwECLQAUAAYACAAA&#10;ACEAeoEkM1ACAACpBAAADgAAAAAAAAAAAAAAAAAuAgAAZHJzL2Uyb0RvYy54bWxQSwECLQAUAAYA&#10;CAAAACEA5pQNu94AAAALAQAADwAAAAAAAAAAAAAAAACqBAAAZHJzL2Rvd25yZXYueG1sUEsFBgAA&#10;AAAEAAQA8wAAALUFAAAAAA==&#10;" fillcolor="white [3201]" strokeweight=".5pt">
                <v:textbox>
                  <w:txbxContent>
                    <w:p w14:paraId="185FF849" w14:textId="77777777" w:rsidR="00A611D4" w:rsidRPr="00AD4D00" w:rsidRDefault="00A611D4" w:rsidP="006A2575">
                      <w:pPr>
                        <w:spacing w:before="120"/>
                        <w:rPr>
                          <w:i/>
                          <w:lang w:val="es-ES_tradnl"/>
                        </w:rPr>
                      </w:pPr>
                      <w:r w:rsidRPr="00AD4D00">
                        <w:rPr>
                          <w:i/>
                          <w:lang w:val="es-ES_tradnl"/>
                        </w:rPr>
                        <w:t>INSTRUCCIONES A LOS LICITANTES: SUPRIMIR ESTA CASILLA UNA VEZ QUE SE HA COMPLETADO EL FORMULARIO</w:t>
                      </w:r>
                    </w:p>
                    <w:p w14:paraId="34C4BDF2" w14:textId="77777777" w:rsidR="00A611D4" w:rsidRPr="00AD4D00" w:rsidRDefault="00A611D4" w:rsidP="006A2575">
                      <w:pPr>
                        <w:rPr>
                          <w:i/>
                          <w:lang w:val="es-ES_tradnl"/>
                        </w:rPr>
                      </w:pPr>
                    </w:p>
                    <w:p w14:paraId="7AB7B3F1" w14:textId="77777777" w:rsidR="00A611D4" w:rsidRPr="00AD4D00" w:rsidRDefault="00A611D4" w:rsidP="006A2575">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47F2C3E" w14:textId="77777777" w:rsidR="00A611D4" w:rsidRPr="00AD4D00" w:rsidRDefault="00A611D4" w:rsidP="006A2575">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4DD144ED" w14:textId="77777777" w:rsidR="00A611D4" w:rsidRPr="00AD4D00" w:rsidRDefault="00A611D4" w:rsidP="006A2575">
                      <w:pPr>
                        <w:rPr>
                          <w:rFonts w:ascii="Arial" w:hAnsi="Arial" w:cs="Arial"/>
                          <w:color w:val="212121"/>
                          <w:shd w:val="clear" w:color="auto" w:fill="FFFFFF"/>
                          <w:lang w:val="es-ES_tradnl"/>
                        </w:rPr>
                      </w:pPr>
                    </w:p>
                    <w:p w14:paraId="704E226B" w14:textId="77777777" w:rsidR="00A611D4" w:rsidRPr="00AD4D00" w:rsidRDefault="00A611D4" w:rsidP="006A2575">
                      <w:pPr>
                        <w:ind w:left="360"/>
                        <w:rPr>
                          <w:i/>
                          <w:lang w:val="es-ES_tradnl"/>
                        </w:rPr>
                      </w:pPr>
                      <w:r w:rsidRPr="00AD4D00">
                        <w:rPr>
                          <w:i/>
                          <w:lang w:val="es-ES_tradnl"/>
                        </w:rPr>
                        <w:t xml:space="preserve">• poseer directa o indirectamente el 25% o más de las acciones </w:t>
                      </w:r>
                    </w:p>
                    <w:p w14:paraId="008B5969" w14:textId="77777777" w:rsidR="00A611D4" w:rsidRPr="00AD4D00" w:rsidRDefault="00A611D4" w:rsidP="006A2575">
                      <w:pPr>
                        <w:ind w:left="360"/>
                        <w:rPr>
                          <w:i/>
                          <w:lang w:val="es-ES_tradnl"/>
                        </w:rPr>
                      </w:pPr>
                      <w:r w:rsidRPr="00AD4D00">
                        <w:rPr>
                          <w:i/>
                          <w:lang w:val="es-ES_tradnl"/>
                        </w:rPr>
                        <w:t xml:space="preserve">• poseer directa o indirectamente el 25% o más de los derechos de voto </w:t>
                      </w:r>
                    </w:p>
                    <w:p w14:paraId="7CF1D267" w14:textId="77777777" w:rsidR="00A611D4" w:rsidRPr="00AD4D00" w:rsidRDefault="00A611D4" w:rsidP="006A2575">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6421C1A3" w14:textId="77777777" w:rsidR="00A611D4" w:rsidRPr="002C72D9" w:rsidRDefault="00A611D4" w:rsidP="006A2575">
                      <w:pPr>
                        <w:rPr>
                          <w:i/>
                        </w:rPr>
                      </w:pPr>
                    </w:p>
                  </w:txbxContent>
                </v:textbox>
                <w10:wrap type="topAndBottom"/>
              </v:shape>
            </w:pict>
          </mc:Fallback>
        </mc:AlternateContent>
      </w:r>
      <w:r w:rsidRPr="00576AF8">
        <w:rPr>
          <w:rFonts w:ascii="Times New Roman" w:hAnsi="Times New Roman"/>
        </w:rPr>
        <w:t>Formulario de Divulgación de la Propiedad Efectiva</w:t>
      </w:r>
      <w:bookmarkEnd w:id="1728"/>
      <w:bookmarkEnd w:id="1732"/>
    </w:p>
    <w:p w14:paraId="010302BF" w14:textId="77777777" w:rsidR="006A2575" w:rsidRPr="00576AF8" w:rsidRDefault="006A2575" w:rsidP="006A2575">
      <w:pPr>
        <w:tabs>
          <w:tab w:val="right" w:pos="9000"/>
        </w:tabs>
        <w:rPr>
          <w:b/>
        </w:rPr>
      </w:pPr>
    </w:p>
    <w:p w14:paraId="6B8D0F08" w14:textId="77777777" w:rsidR="006A2575" w:rsidRPr="00576AF8" w:rsidRDefault="006A2575" w:rsidP="006A2575">
      <w:pPr>
        <w:tabs>
          <w:tab w:val="right" w:pos="9000"/>
        </w:tabs>
        <w:rPr>
          <w:i/>
        </w:rPr>
      </w:pPr>
      <w:r w:rsidRPr="00576AF8">
        <w:rPr>
          <w:b/>
        </w:rPr>
        <w:t xml:space="preserve">No. </w:t>
      </w:r>
      <w:r w:rsidR="0046742A" w:rsidRPr="00576AF8">
        <w:rPr>
          <w:b/>
        </w:rPr>
        <w:t>Licitación</w:t>
      </w:r>
      <w:r w:rsidRPr="00576AF8">
        <w:rPr>
          <w:b/>
        </w:rPr>
        <w:t>:</w:t>
      </w:r>
      <w:r w:rsidRPr="00576AF8">
        <w:t xml:space="preserve"> </w:t>
      </w:r>
      <w:r w:rsidRPr="00576AF8">
        <w:rPr>
          <w:i/>
        </w:rPr>
        <w:t xml:space="preserve">[ingrese el número de la </w:t>
      </w:r>
      <w:r w:rsidR="0046742A" w:rsidRPr="00576AF8">
        <w:rPr>
          <w:i/>
        </w:rPr>
        <w:t>licitación</w:t>
      </w:r>
      <w:r w:rsidRPr="00576AF8">
        <w:rPr>
          <w:i/>
        </w:rPr>
        <w:t>]</w:t>
      </w:r>
    </w:p>
    <w:p w14:paraId="1D86A836" w14:textId="77777777" w:rsidR="006A2575" w:rsidRPr="00576AF8" w:rsidRDefault="0046742A" w:rsidP="006A2575">
      <w:pPr>
        <w:rPr>
          <w:i/>
        </w:rPr>
      </w:pPr>
      <w:r w:rsidRPr="00576AF8">
        <w:rPr>
          <w:b/>
        </w:rPr>
        <w:t>Licitación</w:t>
      </w:r>
      <w:r w:rsidR="006A2575" w:rsidRPr="00576AF8">
        <w:t xml:space="preserve">: </w:t>
      </w:r>
      <w:r w:rsidR="006A2575" w:rsidRPr="00576AF8">
        <w:rPr>
          <w:i/>
        </w:rPr>
        <w:t>[ingrese la identificación]</w:t>
      </w:r>
    </w:p>
    <w:p w14:paraId="51EFD9D6" w14:textId="77777777" w:rsidR="006A2575" w:rsidRPr="00576AF8" w:rsidRDefault="006A2575" w:rsidP="006A2575">
      <w:pPr>
        <w:tabs>
          <w:tab w:val="right" w:pos="9000"/>
        </w:tabs>
      </w:pPr>
    </w:p>
    <w:p w14:paraId="7984C5C0" w14:textId="77777777" w:rsidR="006A2575" w:rsidRPr="00576AF8" w:rsidRDefault="006A2575" w:rsidP="006A2575">
      <w:pPr>
        <w:rPr>
          <w:b/>
        </w:rPr>
      </w:pPr>
      <w:r w:rsidRPr="00576AF8">
        <w:t xml:space="preserve">A: </w:t>
      </w:r>
      <w:r w:rsidRPr="00576AF8">
        <w:rPr>
          <w:b/>
        </w:rPr>
        <w:t>[</w:t>
      </w:r>
      <w:r w:rsidRPr="00576AF8">
        <w:rPr>
          <w:b/>
          <w:i/>
        </w:rPr>
        <w:t>ingrese el nombre completo del C</w:t>
      </w:r>
      <w:r w:rsidR="005174F3" w:rsidRPr="00576AF8">
        <w:rPr>
          <w:b/>
          <w:i/>
        </w:rPr>
        <w:t>omprador</w:t>
      </w:r>
      <w:r w:rsidRPr="00576AF8">
        <w:rPr>
          <w:b/>
        </w:rPr>
        <w:t>]</w:t>
      </w:r>
    </w:p>
    <w:p w14:paraId="75A33CE0" w14:textId="77777777" w:rsidR="006A2575" w:rsidRPr="00576AF8" w:rsidRDefault="006A2575" w:rsidP="006A2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0"/>
        </w:rPr>
      </w:pPr>
    </w:p>
    <w:p w14:paraId="12634D65" w14:textId="77777777" w:rsidR="006A2575" w:rsidRPr="00576AF8" w:rsidRDefault="006A2575" w:rsidP="006A2575">
      <w:pPr>
        <w:tabs>
          <w:tab w:val="right" w:pos="9000"/>
        </w:tabs>
        <w:rPr>
          <w:i/>
        </w:rPr>
      </w:pPr>
      <w:r w:rsidRPr="00576AF8">
        <w:t>En respuesta a su solicitud en la Carta de Aceptación fechada [inserte la fecha de la Carta de Aceptación] para proporcionar información adicional sobre la titularidad real:</w:t>
      </w:r>
      <w:r w:rsidRPr="00576AF8">
        <w:rPr>
          <w:i/>
        </w:rPr>
        <w:t xml:space="preserve"> [seleccione una opción según corresponda y elimine las opciones que no son aplicables]</w:t>
      </w:r>
    </w:p>
    <w:p w14:paraId="069CE473" w14:textId="77777777" w:rsidR="006A2575" w:rsidRPr="00576AF8" w:rsidRDefault="006A2575" w:rsidP="006A2575">
      <w:pPr>
        <w:tabs>
          <w:tab w:val="right" w:pos="9000"/>
        </w:tabs>
        <w:rPr>
          <w:i/>
        </w:rPr>
      </w:pPr>
    </w:p>
    <w:p w14:paraId="4BF4D190" w14:textId="77777777" w:rsidR="006A2575" w:rsidRPr="00576AF8" w:rsidRDefault="006A2575" w:rsidP="006A2575">
      <w:pPr>
        <w:tabs>
          <w:tab w:val="right" w:pos="9000"/>
        </w:tabs>
      </w:pPr>
      <w:r w:rsidRPr="00576AF8">
        <w:t>(i) por la presente proporcionamos la siguiente información sobre la propiedad efectiva</w:t>
      </w:r>
    </w:p>
    <w:p w14:paraId="0A186D96" w14:textId="77777777" w:rsidR="006A2575" w:rsidRPr="00576AF8" w:rsidRDefault="006A2575" w:rsidP="006A2575"/>
    <w:p w14:paraId="6630D906" w14:textId="77777777" w:rsidR="006A2575" w:rsidRPr="00576AF8" w:rsidRDefault="006A2575" w:rsidP="006A2575">
      <w:pPr>
        <w:rPr>
          <w:b/>
        </w:rPr>
      </w:pPr>
      <w:r w:rsidRPr="00576AF8">
        <w:rPr>
          <w:b/>
        </w:rPr>
        <w:t xml:space="preserve">Detalles de la Propiedad Efectiva </w:t>
      </w:r>
    </w:p>
    <w:p w14:paraId="7B02AA98" w14:textId="77777777" w:rsidR="006A2575" w:rsidRPr="00576AF8" w:rsidRDefault="006A2575" w:rsidP="006A2575">
      <w:pPr>
        <w:rPr>
          <w:b/>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6A2575" w:rsidRPr="00576AF8" w14:paraId="2B0E8079" w14:textId="77777777" w:rsidTr="00E8483B">
        <w:trPr>
          <w:trHeight w:val="415"/>
          <w:tblHeader/>
        </w:trPr>
        <w:tc>
          <w:tcPr>
            <w:tcW w:w="2251" w:type="dxa"/>
            <w:shd w:val="clear" w:color="auto" w:fill="auto"/>
          </w:tcPr>
          <w:p w14:paraId="30578D3E" w14:textId="77777777" w:rsidR="006A2575" w:rsidRPr="00576AF8" w:rsidRDefault="006A2575" w:rsidP="00E8483B">
            <w:pPr>
              <w:pStyle w:val="Textoindependiente"/>
              <w:spacing w:before="40" w:after="160"/>
              <w:jc w:val="center"/>
            </w:pPr>
            <w:r w:rsidRPr="00576AF8">
              <w:lastRenderedPageBreak/>
              <w:t>Identidad del Propietario Efectivo</w:t>
            </w:r>
          </w:p>
          <w:p w14:paraId="29D25F76" w14:textId="77777777" w:rsidR="006A2575" w:rsidRPr="00576AF8" w:rsidRDefault="006A2575" w:rsidP="00E8483B">
            <w:pPr>
              <w:pStyle w:val="Textoindependiente"/>
              <w:spacing w:before="40" w:after="160"/>
              <w:jc w:val="center"/>
              <w:rPr>
                <w:i/>
              </w:rPr>
            </w:pPr>
          </w:p>
        </w:tc>
        <w:tc>
          <w:tcPr>
            <w:tcW w:w="2377" w:type="dxa"/>
            <w:shd w:val="clear" w:color="auto" w:fill="auto"/>
          </w:tcPr>
          <w:p w14:paraId="06A506D7" w14:textId="77777777" w:rsidR="006A2575" w:rsidRPr="00576AF8" w:rsidRDefault="006A2575" w:rsidP="00E8483B">
            <w:pPr>
              <w:pStyle w:val="Textoindependiente"/>
              <w:spacing w:before="40" w:after="160"/>
              <w:jc w:val="center"/>
            </w:pPr>
            <w:r w:rsidRPr="00576AF8">
              <w:t xml:space="preserve">Tiene participación directa o indirecta del 25% o más de las acciones </w:t>
            </w:r>
          </w:p>
          <w:p w14:paraId="040418D6" w14:textId="77777777" w:rsidR="006A2575" w:rsidRPr="00576AF8" w:rsidRDefault="006A2575" w:rsidP="00E8483B">
            <w:pPr>
              <w:pStyle w:val="Textoindependiente"/>
              <w:spacing w:before="40" w:after="160"/>
              <w:jc w:val="center"/>
            </w:pPr>
            <w:r w:rsidRPr="00576AF8">
              <w:t>(Si / No)</w:t>
            </w:r>
          </w:p>
          <w:p w14:paraId="2C397C18" w14:textId="77777777" w:rsidR="006A2575" w:rsidRPr="00576AF8" w:rsidRDefault="006A2575" w:rsidP="00E8483B">
            <w:pPr>
              <w:pStyle w:val="Textoindependiente"/>
              <w:spacing w:before="40" w:after="160"/>
              <w:jc w:val="center"/>
              <w:rPr>
                <w:i/>
              </w:rPr>
            </w:pPr>
          </w:p>
        </w:tc>
        <w:tc>
          <w:tcPr>
            <w:tcW w:w="1973" w:type="dxa"/>
            <w:shd w:val="clear" w:color="auto" w:fill="auto"/>
          </w:tcPr>
          <w:p w14:paraId="345A80F5" w14:textId="77777777" w:rsidR="006A2575" w:rsidRPr="00576AF8" w:rsidRDefault="006A2575" w:rsidP="00E8483B">
            <w:pPr>
              <w:pStyle w:val="Textoindependiente"/>
              <w:spacing w:before="40" w:after="160"/>
              <w:jc w:val="center"/>
            </w:pPr>
            <w:r w:rsidRPr="00576AF8">
              <w:t>Tiene directa o indirectamente el 25% o más de los derechos de voto</w:t>
            </w:r>
          </w:p>
          <w:p w14:paraId="0F12017C" w14:textId="77777777" w:rsidR="006A2575" w:rsidRPr="00576AF8" w:rsidRDefault="006A2575" w:rsidP="00E8483B">
            <w:pPr>
              <w:pStyle w:val="Textoindependiente"/>
              <w:spacing w:before="40" w:after="160"/>
              <w:jc w:val="center"/>
            </w:pPr>
            <w:r w:rsidRPr="00576AF8">
              <w:t>(Si / No)</w:t>
            </w:r>
          </w:p>
          <w:p w14:paraId="40CFBAA7" w14:textId="77777777" w:rsidR="006A2575" w:rsidRPr="00576AF8" w:rsidRDefault="006A2575" w:rsidP="00E8483B">
            <w:pPr>
              <w:pStyle w:val="Textoindependiente"/>
              <w:spacing w:before="40" w:after="160"/>
              <w:jc w:val="center"/>
            </w:pPr>
          </w:p>
        </w:tc>
        <w:tc>
          <w:tcPr>
            <w:tcW w:w="2403" w:type="dxa"/>
            <w:shd w:val="clear" w:color="auto" w:fill="auto"/>
          </w:tcPr>
          <w:p w14:paraId="7C3872E1" w14:textId="77777777" w:rsidR="006A2575" w:rsidRPr="00576AF8" w:rsidRDefault="006A2575" w:rsidP="00E8483B">
            <w:pPr>
              <w:pStyle w:val="Textoindependiente"/>
              <w:spacing w:before="40" w:after="160"/>
              <w:jc w:val="center"/>
            </w:pPr>
            <w:r w:rsidRPr="00576AF8">
              <w:t xml:space="preserve">Tiene directa o indirectamente el derecho a designar a la mayoría del consejo de administración, junta directiva o del órgano de gobierno equivalente del Licitante </w:t>
            </w:r>
          </w:p>
          <w:p w14:paraId="1C9C1641" w14:textId="77777777" w:rsidR="006A2575" w:rsidRPr="00576AF8" w:rsidRDefault="006A2575" w:rsidP="00E8483B">
            <w:pPr>
              <w:pStyle w:val="Textoindependiente"/>
              <w:spacing w:before="40" w:after="160"/>
              <w:jc w:val="center"/>
            </w:pPr>
            <w:r w:rsidRPr="00576AF8">
              <w:t>(Si / No)</w:t>
            </w:r>
          </w:p>
        </w:tc>
      </w:tr>
      <w:tr w:rsidR="006A2575" w:rsidRPr="00576AF8" w14:paraId="303FB554" w14:textId="77777777" w:rsidTr="00E8483B">
        <w:trPr>
          <w:trHeight w:val="415"/>
        </w:trPr>
        <w:tc>
          <w:tcPr>
            <w:tcW w:w="2251" w:type="dxa"/>
            <w:shd w:val="clear" w:color="auto" w:fill="auto"/>
          </w:tcPr>
          <w:p w14:paraId="66637906" w14:textId="77777777" w:rsidR="006A2575" w:rsidRPr="00576AF8" w:rsidRDefault="006A2575" w:rsidP="00E8483B">
            <w:pPr>
              <w:rPr>
                <w:i/>
              </w:rPr>
            </w:pPr>
            <w:r w:rsidRPr="00576AF8">
              <w:rPr>
                <w:i/>
              </w:rPr>
              <w:br/>
            </w:r>
            <w:r w:rsidRPr="00576AF8">
              <w:rPr>
                <w:i/>
                <w:color w:val="212121"/>
                <w:shd w:val="clear" w:color="auto" w:fill="FFFFFF"/>
              </w:rPr>
              <w:t>[incluya el nombre completo (apellidos, primer nombre), nacionalidad, país de residencia]</w:t>
            </w:r>
          </w:p>
          <w:p w14:paraId="1126B792" w14:textId="77777777" w:rsidR="006A2575" w:rsidRPr="00576AF8" w:rsidRDefault="006A2575" w:rsidP="00E8483B">
            <w:pPr>
              <w:pStyle w:val="Textoindependiente"/>
              <w:tabs>
                <w:tab w:val="right" w:leader="dot" w:pos="9000"/>
              </w:tabs>
              <w:spacing w:before="40" w:after="160"/>
              <w:ind w:left="567" w:hanging="567"/>
            </w:pPr>
          </w:p>
        </w:tc>
        <w:tc>
          <w:tcPr>
            <w:tcW w:w="2377" w:type="dxa"/>
            <w:shd w:val="clear" w:color="auto" w:fill="auto"/>
          </w:tcPr>
          <w:p w14:paraId="155D0E18" w14:textId="77777777" w:rsidR="006A2575" w:rsidRPr="00576AF8" w:rsidRDefault="006A2575" w:rsidP="00E8483B">
            <w:pPr>
              <w:pStyle w:val="Textoindependiente"/>
              <w:tabs>
                <w:tab w:val="right" w:leader="dot" w:pos="9000"/>
              </w:tabs>
              <w:spacing w:before="40" w:after="160"/>
              <w:ind w:left="567" w:hanging="567"/>
              <w:jc w:val="center"/>
              <w:rPr>
                <w:sz w:val="52"/>
                <w:szCs w:val="52"/>
              </w:rPr>
            </w:pPr>
          </w:p>
        </w:tc>
        <w:tc>
          <w:tcPr>
            <w:tcW w:w="1973" w:type="dxa"/>
            <w:shd w:val="clear" w:color="auto" w:fill="auto"/>
          </w:tcPr>
          <w:p w14:paraId="2DF26F15" w14:textId="77777777" w:rsidR="006A2575" w:rsidRPr="00576AF8" w:rsidRDefault="006A2575" w:rsidP="00E8483B">
            <w:pPr>
              <w:pStyle w:val="Textoindependiente"/>
              <w:tabs>
                <w:tab w:val="right" w:leader="dot" w:pos="9000"/>
              </w:tabs>
              <w:spacing w:before="40" w:after="160"/>
              <w:ind w:left="567" w:hanging="567"/>
            </w:pPr>
          </w:p>
        </w:tc>
        <w:tc>
          <w:tcPr>
            <w:tcW w:w="2403" w:type="dxa"/>
            <w:shd w:val="clear" w:color="auto" w:fill="auto"/>
          </w:tcPr>
          <w:p w14:paraId="489C5397" w14:textId="77777777" w:rsidR="006A2575" w:rsidRPr="00576AF8" w:rsidRDefault="006A2575" w:rsidP="00E8483B">
            <w:pPr>
              <w:pStyle w:val="Textoindependiente"/>
              <w:tabs>
                <w:tab w:val="right" w:leader="dot" w:pos="9000"/>
              </w:tabs>
              <w:spacing w:before="40" w:after="160"/>
              <w:ind w:left="567" w:hanging="567"/>
            </w:pPr>
          </w:p>
        </w:tc>
      </w:tr>
    </w:tbl>
    <w:p w14:paraId="171C1975" w14:textId="77777777" w:rsidR="006A2575" w:rsidRPr="00576AF8" w:rsidRDefault="006A2575" w:rsidP="006A2575"/>
    <w:p w14:paraId="2C094AFD" w14:textId="77777777" w:rsidR="006A2575" w:rsidRPr="00576AF8" w:rsidRDefault="006A2575" w:rsidP="006A2575">
      <w:pPr>
        <w:rPr>
          <w:b/>
          <w:i/>
        </w:rPr>
      </w:pPr>
      <w:r w:rsidRPr="00576AF8">
        <w:rPr>
          <w:b/>
          <w:i/>
        </w:rPr>
        <w:t>O bien</w:t>
      </w:r>
    </w:p>
    <w:p w14:paraId="7B8E8933" w14:textId="77777777" w:rsidR="006A2575" w:rsidRPr="00576AF8" w:rsidRDefault="006A2575" w:rsidP="006A2575">
      <w:pPr>
        <w:rPr>
          <w:i/>
        </w:rPr>
      </w:pPr>
    </w:p>
    <w:p w14:paraId="263259B2" w14:textId="77777777" w:rsidR="006A2575" w:rsidRPr="00576AF8" w:rsidRDefault="006A2575" w:rsidP="006A2575">
      <w:r w:rsidRPr="00576AF8">
        <w:t>(ii) Declaramos que no hay ningún Propietario Efectivo que cumpla una o más de las siguientes condiciones:</w:t>
      </w:r>
    </w:p>
    <w:p w14:paraId="74A7D85A" w14:textId="77777777" w:rsidR="006A2575" w:rsidRPr="00576AF8" w:rsidRDefault="006A2575">
      <w:pPr>
        <w:pStyle w:val="Prrafodelista"/>
        <w:numPr>
          <w:ilvl w:val="0"/>
          <w:numId w:val="52"/>
        </w:numPr>
        <w:suppressAutoHyphens w:val="0"/>
        <w:spacing w:after="0"/>
        <w:jc w:val="left"/>
      </w:pPr>
      <w:r w:rsidRPr="00576AF8">
        <w:t>posee directa o indirectamente el 25% o más de las acciones</w:t>
      </w:r>
    </w:p>
    <w:p w14:paraId="6623FAF7" w14:textId="77777777" w:rsidR="006A2575" w:rsidRPr="00576AF8" w:rsidRDefault="006A2575">
      <w:pPr>
        <w:pStyle w:val="Prrafodelista"/>
        <w:numPr>
          <w:ilvl w:val="0"/>
          <w:numId w:val="52"/>
        </w:numPr>
        <w:suppressAutoHyphens w:val="0"/>
        <w:spacing w:after="0"/>
        <w:jc w:val="left"/>
      </w:pPr>
      <w:r w:rsidRPr="00576AF8">
        <w:t>posee directa o indirectamente el 25% o más de los derechos de voto</w:t>
      </w:r>
    </w:p>
    <w:p w14:paraId="0D5FC2C1" w14:textId="77777777" w:rsidR="006A2575" w:rsidRPr="00576AF8" w:rsidRDefault="006A2575">
      <w:pPr>
        <w:pStyle w:val="Prrafodelista"/>
        <w:numPr>
          <w:ilvl w:val="0"/>
          <w:numId w:val="52"/>
        </w:numPr>
        <w:suppressAutoHyphens w:val="0"/>
        <w:spacing w:after="0"/>
        <w:jc w:val="left"/>
      </w:pPr>
      <w:r w:rsidRPr="00576AF8">
        <w:t>tiene directa o indirectamente el derecho de nombrar a la mayoría del consejo de administración, junta directiva u órgano de gobierno equivalente del Licitante</w:t>
      </w:r>
    </w:p>
    <w:p w14:paraId="2DBF249B" w14:textId="77777777" w:rsidR="006A2575" w:rsidRPr="00576AF8" w:rsidRDefault="006A2575" w:rsidP="006A2575">
      <w:pPr>
        <w:rPr>
          <w:i/>
        </w:rPr>
      </w:pPr>
    </w:p>
    <w:p w14:paraId="18EC1485" w14:textId="77777777" w:rsidR="006A2575" w:rsidRPr="00576AF8" w:rsidRDefault="006A2575" w:rsidP="006A2575">
      <w:pPr>
        <w:rPr>
          <w:b/>
          <w:i/>
        </w:rPr>
      </w:pPr>
      <w:r w:rsidRPr="00576AF8">
        <w:rPr>
          <w:b/>
          <w:i/>
        </w:rPr>
        <w:t xml:space="preserve">O bien </w:t>
      </w:r>
    </w:p>
    <w:p w14:paraId="33DBED5C" w14:textId="77777777" w:rsidR="006A2575" w:rsidRPr="00576AF8" w:rsidRDefault="006A2575" w:rsidP="006A2575">
      <w:pPr>
        <w:rPr>
          <w:color w:val="212121"/>
          <w:shd w:val="clear" w:color="auto" w:fill="FFFFFF"/>
        </w:rPr>
      </w:pPr>
      <w:r w:rsidRPr="00576AF8">
        <w:br/>
        <w:t xml:space="preserve">(iii) Declaramos que no podemos identificar a ningún Propietario Efectivo que cumpla una o más de las siguientes condiciones: </w:t>
      </w:r>
      <w:r w:rsidRPr="00576AF8">
        <w:rPr>
          <w:i/>
        </w:rPr>
        <w:t>[Si se selecciona esta opción, el Licitante deberá explicar por qué no puede identificar a ningún Propietario Efectivo]:</w:t>
      </w:r>
    </w:p>
    <w:p w14:paraId="172DC15C" w14:textId="77777777" w:rsidR="006A2575" w:rsidRPr="00576AF8" w:rsidRDefault="006A2575" w:rsidP="006A2575">
      <w:pPr>
        <w:rPr>
          <w:color w:val="212121"/>
          <w:shd w:val="clear" w:color="auto" w:fill="FFFFFF"/>
        </w:rPr>
      </w:pPr>
    </w:p>
    <w:p w14:paraId="515F9F37" w14:textId="77777777" w:rsidR="006A2575" w:rsidRPr="00576AF8" w:rsidRDefault="006A2575">
      <w:pPr>
        <w:pStyle w:val="Prrafodelista"/>
        <w:numPr>
          <w:ilvl w:val="0"/>
          <w:numId w:val="52"/>
        </w:numPr>
        <w:suppressAutoHyphens w:val="0"/>
        <w:spacing w:after="0"/>
        <w:jc w:val="left"/>
      </w:pPr>
      <w:r w:rsidRPr="00576AF8">
        <w:t>que posea directa o indirectamente el 25% o más de las acciones</w:t>
      </w:r>
    </w:p>
    <w:p w14:paraId="5C6BF50B" w14:textId="77777777" w:rsidR="006A2575" w:rsidRPr="00576AF8" w:rsidRDefault="006A2575">
      <w:pPr>
        <w:pStyle w:val="Prrafodelista"/>
        <w:numPr>
          <w:ilvl w:val="0"/>
          <w:numId w:val="52"/>
        </w:numPr>
        <w:suppressAutoHyphens w:val="0"/>
        <w:spacing w:after="0"/>
        <w:jc w:val="left"/>
      </w:pPr>
      <w:r w:rsidRPr="00576AF8">
        <w:t xml:space="preserve">que posea directa o indirectamente el 25% o más de los derechos de voto </w:t>
      </w:r>
    </w:p>
    <w:p w14:paraId="34A48EB3" w14:textId="77777777" w:rsidR="006A2575" w:rsidRPr="00576AF8" w:rsidRDefault="006A2575">
      <w:pPr>
        <w:pStyle w:val="Prrafodelista"/>
        <w:numPr>
          <w:ilvl w:val="0"/>
          <w:numId w:val="52"/>
        </w:numPr>
        <w:suppressAutoHyphens w:val="0"/>
        <w:spacing w:after="0"/>
        <w:jc w:val="left"/>
      </w:pPr>
      <w:r w:rsidRPr="00576AF8">
        <w:t>que tenga directa o indirectamente el derecho de designar a la mayoría del consejo de administración, junta directiva u órgano de gobierno equivalente del Licitante</w:t>
      </w:r>
    </w:p>
    <w:p w14:paraId="28032B7E" w14:textId="77777777" w:rsidR="006A2575" w:rsidRPr="00576AF8" w:rsidRDefault="006A2575" w:rsidP="006A2575"/>
    <w:p w14:paraId="1CA838AC" w14:textId="77777777" w:rsidR="006A2575" w:rsidRPr="00576AF8" w:rsidRDefault="006A2575" w:rsidP="006A2575">
      <w:pPr>
        <w:tabs>
          <w:tab w:val="right" w:pos="4140"/>
          <w:tab w:val="left" w:pos="4500"/>
          <w:tab w:val="right" w:pos="9000"/>
          <w:tab w:val="left" w:pos="10080"/>
          <w:tab w:val="left" w:pos="10170"/>
        </w:tabs>
        <w:spacing w:before="240"/>
      </w:pPr>
      <w:r w:rsidRPr="00576AF8">
        <w:rPr>
          <w:b/>
        </w:rPr>
        <w:t>Nombre del Licitante:</w:t>
      </w:r>
      <w:r w:rsidRPr="00576AF8">
        <w:t xml:space="preserve"> </w:t>
      </w:r>
      <w:r w:rsidRPr="00576AF8">
        <w:rPr>
          <w:i/>
        </w:rPr>
        <w:t>*[indique el nombre completo de la persona que firma la Oferta]</w:t>
      </w:r>
    </w:p>
    <w:p w14:paraId="7C92E54A" w14:textId="77777777" w:rsidR="006A2575" w:rsidRPr="00576AF8" w:rsidRDefault="006A2575" w:rsidP="006A2575">
      <w:pPr>
        <w:tabs>
          <w:tab w:val="right" w:pos="4140"/>
          <w:tab w:val="left" w:pos="4500"/>
          <w:tab w:val="right" w:pos="9000"/>
          <w:tab w:val="left" w:pos="10080"/>
          <w:tab w:val="left" w:pos="10170"/>
        </w:tabs>
        <w:spacing w:before="240"/>
      </w:pPr>
      <w:r w:rsidRPr="00576AF8">
        <w:rPr>
          <w:b/>
        </w:rPr>
        <w:lastRenderedPageBreak/>
        <w:t xml:space="preserve">Nombre de la persona debidamente autorizada para firmar la Oferta en representación </w:t>
      </w:r>
      <w:r w:rsidRPr="00576AF8">
        <w:rPr>
          <w:b/>
        </w:rPr>
        <w:br/>
        <w:t>del Licitante:</w:t>
      </w:r>
      <w:r w:rsidRPr="00576AF8">
        <w:t xml:space="preserve"> </w:t>
      </w:r>
      <w:r w:rsidRPr="00576AF8">
        <w:rPr>
          <w:i/>
        </w:rPr>
        <w:t>**[indique el nombre completo de la persona debidamente autorizada para firmar la Oferta]</w:t>
      </w:r>
    </w:p>
    <w:p w14:paraId="2A733AAD" w14:textId="77777777" w:rsidR="006A2575" w:rsidRPr="00576AF8" w:rsidRDefault="006A2575" w:rsidP="006A2575">
      <w:pPr>
        <w:tabs>
          <w:tab w:val="right" w:pos="4140"/>
          <w:tab w:val="left" w:pos="4500"/>
          <w:tab w:val="right" w:pos="9000"/>
          <w:tab w:val="left" w:pos="10080"/>
          <w:tab w:val="left" w:pos="10170"/>
        </w:tabs>
        <w:spacing w:before="240"/>
      </w:pPr>
      <w:r w:rsidRPr="00576AF8">
        <w:rPr>
          <w:b/>
        </w:rPr>
        <w:t>Cargo de la persona que firma la Oferta:</w:t>
      </w:r>
      <w:r w:rsidRPr="00576AF8">
        <w:t xml:space="preserve"> </w:t>
      </w:r>
      <w:r w:rsidRPr="00576AF8">
        <w:rPr>
          <w:i/>
        </w:rPr>
        <w:t>[indique el cargo completo de la persona que firma la Oferta]</w:t>
      </w:r>
    </w:p>
    <w:p w14:paraId="219EBCD1" w14:textId="77777777" w:rsidR="006A2575" w:rsidRPr="00576AF8" w:rsidRDefault="006A2575" w:rsidP="006A2575">
      <w:pPr>
        <w:tabs>
          <w:tab w:val="right" w:pos="4140"/>
          <w:tab w:val="left" w:pos="4500"/>
          <w:tab w:val="right" w:pos="9000"/>
          <w:tab w:val="left" w:pos="10080"/>
          <w:tab w:val="left" w:pos="10170"/>
        </w:tabs>
        <w:spacing w:before="240"/>
      </w:pPr>
      <w:r w:rsidRPr="00576AF8">
        <w:rPr>
          <w:b/>
        </w:rPr>
        <w:t>Firma de la persona mencionada más arriba:</w:t>
      </w:r>
      <w:r w:rsidRPr="00576AF8">
        <w:t xml:space="preserve"> </w:t>
      </w:r>
      <w:r w:rsidRPr="00576AF8">
        <w:rPr>
          <w:i/>
        </w:rPr>
        <w:t>[firma de la persona cuyo nombre y cargo se indican más arriba]</w:t>
      </w:r>
    </w:p>
    <w:p w14:paraId="61BE59B8" w14:textId="77777777" w:rsidR="006A2575" w:rsidRPr="00576AF8" w:rsidRDefault="006A2575" w:rsidP="006A2575">
      <w:pPr>
        <w:tabs>
          <w:tab w:val="right" w:pos="4140"/>
          <w:tab w:val="left" w:pos="4500"/>
          <w:tab w:val="right" w:pos="9000"/>
          <w:tab w:val="left" w:pos="10080"/>
          <w:tab w:val="left" w:pos="10170"/>
        </w:tabs>
        <w:spacing w:before="240"/>
        <w:rPr>
          <w:u w:val="single"/>
        </w:rPr>
      </w:pPr>
      <w:r w:rsidRPr="00576AF8">
        <w:rPr>
          <w:b/>
        </w:rPr>
        <w:t>Fecha de la firma:</w:t>
      </w:r>
      <w:r w:rsidRPr="00576AF8">
        <w:t xml:space="preserve"> </w:t>
      </w:r>
      <w:r w:rsidRPr="00576AF8">
        <w:rPr>
          <w:i/>
        </w:rPr>
        <w:t>[indique la fecha de la firma]</w:t>
      </w:r>
      <w:r w:rsidRPr="00576AF8">
        <w:t xml:space="preserve"> </w:t>
      </w:r>
      <w:r w:rsidRPr="00576AF8">
        <w:rPr>
          <w:i/>
        </w:rPr>
        <w:t>[indique el día, el mes y el año]</w:t>
      </w:r>
    </w:p>
    <w:p w14:paraId="5E84BFBC" w14:textId="77777777" w:rsidR="006A2575" w:rsidRPr="00576AF8" w:rsidRDefault="006A2575" w:rsidP="006A2575">
      <w:pPr>
        <w:tabs>
          <w:tab w:val="right" w:pos="9000"/>
          <w:tab w:val="left" w:pos="10080"/>
          <w:tab w:val="left" w:pos="10170"/>
        </w:tabs>
        <w:spacing w:before="240"/>
      </w:pPr>
      <w:r w:rsidRPr="00576AF8">
        <w:t>Firmado a los ______________ días del mes de ______________de _________.</w:t>
      </w:r>
    </w:p>
    <w:p w14:paraId="25BC6B9C" w14:textId="77777777" w:rsidR="006A2575" w:rsidRPr="00576AF8" w:rsidRDefault="006A2575" w:rsidP="006A2575">
      <w:pPr>
        <w:tabs>
          <w:tab w:val="right" w:pos="9000"/>
          <w:tab w:val="left" w:pos="10080"/>
          <w:tab w:val="left" w:pos="10170"/>
        </w:tabs>
        <w:spacing w:before="240"/>
      </w:pPr>
    </w:p>
    <w:p w14:paraId="4879111E" w14:textId="77777777" w:rsidR="006A2575" w:rsidRPr="00576AF8" w:rsidRDefault="006A2575" w:rsidP="006A2575">
      <w:pPr>
        <w:rPr>
          <w:sz w:val="22"/>
        </w:rPr>
      </w:pPr>
      <w:r w:rsidRPr="00576AF8">
        <w:rPr>
          <w:sz w:val="28"/>
        </w:rPr>
        <w:br/>
      </w:r>
      <w:r w:rsidRPr="00576AF8">
        <w:rPr>
          <w:sz w:val="22"/>
        </w:rPr>
        <w:t xml:space="preserve">* En el caso de la Oferta presentada por una APCA, especifique el nombre </w:t>
      </w:r>
      <w:proofErr w:type="gramStart"/>
      <w:r w:rsidRPr="00576AF8">
        <w:rPr>
          <w:sz w:val="22"/>
        </w:rPr>
        <w:t>de  la</w:t>
      </w:r>
      <w:proofErr w:type="gramEnd"/>
      <w:r w:rsidRPr="00576AF8">
        <w:rPr>
          <w:sz w:val="22"/>
        </w:rPr>
        <w:t xml:space="preserve"> APCA como Licitante. En el caso de que el Licitante sea una APCA, cada referencia al "Licitante" en el Formulario de Divulgación de la Propiedad Efectiva (incluida esta Introducción al mismo) deberá leerse como referida al miembro de la APCA. </w:t>
      </w:r>
    </w:p>
    <w:p w14:paraId="679296BE" w14:textId="77777777" w:rsidR="006A2575" w:rsidRPr="00576AF8" w:rsidRDefault="006A2575" w:rsidP="006A2575">
      <w:pPr>
        <w:rPr>
          <w:sz w:val="28"/>
        </w:rPr>
      </w:pPr>
      <w:r w:rsidRPr="00576AF8">
        <w:rPr>
          <w:sz w:val="22"/>
        </w:rPr>
        <w:t>** La persona que firme la Oferta tendrá el poder otorgado por el Licitante. El poder se adjuntará a los documentos y formularios de la Oferta.</w:t>
      </w:r>
    </w:p>
    <w:p w14:paraId="7DADF7F9" w14:textId="77777777" w:rsidR="00370A53" w:rsidRPr="00576AF8" w:rsidRDefault="00370A53" w:rsidP="00370A53">
      <w:pPr>
        <w:rPr>
          <w:sz w:val="21"/>
        </w:rPr>
      </w:pPr>
      <w:r w:rsidRPr="00576AF8">
        <w:rPr>
          <w:sz w:val="21"/>
        </w:rPr>
        <w:t>***Queda entendido que cualquier información falsa o equívoca que haya sido provista en relación con este requerimiento pudiere acarrear acciones o sanciones por parte del Banco de acuerdo con sus normas y políticas.</w:t>
      </w:r>
    </w:p>
    <w:p w14:paraId="160EFC74" w14:textId="77777777" w:rsidR="00370A53" w:rsidRPr="00576AF8" w:rsidRDefault="00370A53" w:rsidP="00370A53">
      <w:pPr>
        <w:tabs>
          <w:tab w:val="right" w:pos="9000"/>
          <w:tab w:val="left" w:pos="10080"/>
          <w:tab w:val="left" w:pos="10170"/>
        </w:tabs>
        <w:spacing w:before="240"/>
      </w:pPr>
      <w:r w:rsidRPr="00576AF8">
        <w:br w:type="page"/>
      </w:r>
    </w:p>
    <w:p w14:paraId="57F79E52" w14:textId="77777777" w:rsidR="002179BF" w:rsidRPr="00576AF8" w:rsidRDefault="002179BF" w:rsidP="00866570">
      <w:pPr>
        <w:pStyle w:val="Head11b"/>
        <w:rPr>
          <w:rFonts w:ascii="Times New Roman" w:hAnsi="Times New Roman"/>
        </w:rPr>
      </w:pPr>
      <w:bookmarkStart w:id="1733" w:name="_Toc28246683"/>
      <w:bookmarkStart w:id="1734" w:name="_Toc475629819"/>
      <w:bookmarkStart w:id="1735" w:name="_Toc488965453"/>
      <w:r w:rsidRPr="00576AF8">
        <w:rPr>
          <w:rFonts w:ascii="Times New Roman" w:hAnsi="Times New Roman"/>
        </w:rPr>
        <w:lastRenderedPageBreak/>
        <w:t>Carta de Aceptación</w:t>
      </w:r>
      <w:bookmarkEnd w:id="1733"/>
    </w:p>
    <w:p w14:paraId="518181C3" w14:textId="77777777" w:rsidR="002179BF" w:rsidRPr="00576AF8" w:rsidRDefault="002179BF" w:rsidP="002179BF">
      <w:pPr>
        <w:tabs>
          <w:tab w:val="left" w:pos="5400"/>
          <w:tab w:val="left" w:pos="8280"/>
        </w:tabs>
        <w:rPr>
          <w:sz w:val="22"/>
        </w:rPr>
      </w:pPr>
    </w:p>
    <w:bookmarkEnd w:id="1734"/>
    <w:bookmarkEnd w:id="1735"/>
    <w:p w14:paraId="705BE4BD" w14:textId="77777777" w:rsidR="008833CA" w:rsidRPr="00576AF8" w:rsidRDefault="008833CA" w:rsidP="008833CA">
      <w:pPr>
        <w:rPr>
          <w:noProof/>
        </w:rPr>
      </w:pPr>
    </w:p>
    <w:p w14:paraId="10630AC5" w14:textId="77777777" w:rsidR="008833CA" w:rsidRPr="00576AF8" w:rsidRDefault="008833CA" w:rsidP="008833CA">
      <w:pPr>
        <w:rPr>
          <w:noProof/>
        </w:rPr>
      </w:pPr>
    </w:p>
    <w:p w14:paraId="42A0CE74" w14:textId="77777777" w:rsidR="00AE1990" w:rsidRPr="00576AF8" w:rsidRDefault="00AE1990" w:rsidP="00AE1990">
      <w:pPr>
        <w:rPr>
          <w:noProof/>
        </w:rPr>
      </w:pPr>
    </w:p>
    <w:p w14:paraId="2E1D1C65" w14:textId="77777777" w:rsidR="00AE1990" w:rsidRPr="00576AF8" w:rsidRDefault="00AE1990" w:rsidP="00AE1990">
      <w:pPr>
        <w:jc w:val="right"/>
        <w:rPr>
          <w:noProof/>
        </w:rPr>
      </w:pPr>
      <w:r w:rsidRPr="00576AF8">
        <w:rPr>
          <w:i/>
          <w:noProof/>
          <w:sz w:val="20"/>
        </w:rPr>
        <w:t>______________________</w:t>
      </w:r>
    </w:p>
    <w:p w14:paraId="2DD729E1" w14:textId="77777777" w:rsidR="00AE1990" w:rsidRPr="00576AF8" w:rsidRDefault="00AE1990" w:rsidP="00AE1990">
      <w:pPr>
        <w:rPr>
          <w:noProof/>
        </w:rPr>
      </w:pPr>
    </w:p>
    <w:p w14:paraId="326E78C0" w14:textId="77777777" w:rsidR="00AE1990" w:rsidRPr="00576AF8" w:rsidRDefault="00AE1990" w:rsidP="00AE1990">
      <w:pPr>
        <w:rPr>
          <w:noProof/>
        </w:rPr>
      </w:pPr>
      <w:r w:rsidRPr="00576AF8">
        <w:rPr>
          <w:noProof/>
        </w:rPr>
        <w:fldChar w:fldCharType="begin"/>
      </w:r>
      <w:r w:rsidRPr="00576AF8">
        <w:rPr>
          <w:noProof/>
        </w:rPr>
        <w:instrText>ADVANCE \D 4.80</w:instrText>
      </w:r>
      <w:r w:rsidRPr="00576AF8">
        <w:rPr>
          <w:noProof/>
        </w:rPr>
        <w:fldChar w:fldCharType="end"/>
      </w:r>
      <w:r w:rsidRPr="00576AF8">
        <w:t xml:space="preserve">Para: </w:t>
      </w:r>
      <w:r w:rsidRPr="00576AF8">
        <w:rPr>
          <w:i/>
          <w:noProof/>
          <w:sz w:val="20"/>
        </w:rPr>
        <w:fldChar w:fldCharType="begin"/>
      </w:r>
      <w:r w:rsidRPr="00576AF8">
        <w:rPr>
          <w:i/>
          <w:noProof/>
          <w:sz w:val="20"/>
        </w:rPr>
        <w:instrText>ADVANCE \D 1.90</w:instrText>
      </w:r>
      <w:r w:rsidRPr="00576AF8">
        <w:rPr>
          <w:i/>
          <w:noProof/>
          <w:sz w:val="20"/>
        </w:rPr>
        <w:fldChar w:fldCharType="end"/>
      </w:r>
      <w:r w:rsidRPr="00576AF8">
        <w:rPr>
          <w:i/>
          <w:noProof/>
          <w:sz w:val="20"/>
        </w:rPr>
        <w:t>____________________________</w:t>
      </w:r>
    </w:p>
    <w:p w14:paraId="531B39B0" w14:textId="77777777" w:rsidR="00AE1990" w:rsidRPr="00576AF8" w:rsidRDefault="00AE1990" w:rsidP="00AE1990">
      <w:pPr>
        <w:rPr>
          <w:noProof/>
        </w:rPr>
      </w:pPr>
    </w:p>
    <w:p w14:paraId="5680E9E8" w14:textId="77777777" w:rsidR="00AE1990" w:rsidRPr="00576AF8" w:rsidRDefault="00AE1990" w:rsidP="00AE1990">
      <w:pPr>
        <w:rPr>
          <w:noProof/>
        </w:rPr>
      </w:pPr>
      <w:r w:rsidRPr="00576AF8">
        <w:t xml:space="preserve">Le comunicamos por la presente que nuestro Organismo ha decidido aceptar su Propuesta de fecha </w:t>
      </w:r>
      <w:r w:rsidRPr="00576AF8">
        <w:rPr>
          <w:i/>
          <w:noProof/>
          <w:sz w:val="20"/>
        </w:rPr>
        <w:t>____________</w:t>
      </w:r>
      <w:r w:rsidRPr="00576AF8">
        <w:t xml:space="preserve"> para la ejecución de </w:t>
      </w:r>
      <w:r w:rsidRPr="00576AF8">
        <w:rPr>
          <w:i/>
          <w:noProof/>
          <w:sz w:val="20"/>
        </w:rPr>
        <w:t>_________________</w:t>
      </w:r>
      <w:r w:rsidRPr="00576AF8">
        <w:t xml:space="preserve"> por el Precio del Contrato, que será la suma de </w:t>
      </w:r>
      <w:r w:rsidRPr="00576AF8">
        <w:rPr>
          <w:i/>
          <w:noProof/>
          <w:sz w:val="20"/>
        </w:rPr>
        <w:t>_____________________ ________________</w:t>
      </w:r>
      <w:r w:rsidRPr="00576AF8">
        <w:t>, con las correcciones y modificaciones realizadas según las Instrucciones a los Proponentes.</w:t>
      </w:r>
    </w:p>
    <w:p w14:paraId="2A9A425F" w14:textId="77777777" w:rsidR="00AE1990" w:rsidRPr="00576AF8" w:rsidRDefault="00AE1990" w:rsidP="00AE1990">
      <w:pPr>
        <w:rPr>
          <w:noProof/>
        </w:rPr>
      </w:pPr>
    </w:p>
    <w:p w14:paraId="7AF10F39" w14:textId="77777777" w:rsidR="008300AB" w:rsidRPr="00576AF8" w:rsidRDefault="008300AB" w:rsidP="008300AB">
      <w:r w:rsidRPr="00576AF8">
        <w:t xml:space="preserve">Sírvanse suministrar (i) la Garantía de Cumplimiento dentro de un plazo de 28 días de conformidad con las Condiciones Contractuales, usando para ello uno de los Formularios de Garantía de Cumplimiento y (ii) la información adicional sobre la </w:t>
      </w:r>
      <w:r w:rsidR="002179BF" w:rsidRPr="00576AF8">
        <w:t>Propeidad Efectiva</w:t>
      </w:r>
      <w:r w:rsidRPr="00576AF8">
        <w:t xml:space="preserve"> de acuerdo con DDL ITB 47.1, dentro de los ocho (8) días hábiles utilizando el Formulario de Divulgación de Propiedad Efectiva, que se incluyen en la Sección IX, “Formularios del Contrato” del </w:t>
      </w:r>
      <w:r w:rsidR="00807C34" w:rsidRPr="00576AF8">
        <w:t>documento de licitación</w:t>
      </w:r>
      <w:r w:rsidRPr="00576AF8">
        <w:t xml:space="preserve">. </w:t>
      </w:r>
    </w:p>
    <w:p w14:paraId="0CE2004F" w14:textId="77777777" w:rsidR="00AE1990" w:rsidRPr="00576AF8" w:rsidRDefault="00AE1990" w:rsidP="00AE1990">
      <w:pPr>
        <w:rPr>
          <w:noProof/>
        </w:rPr>
      </w:pPr>
    </w:p>
    <w:p w14:paraId="5532A140" w14:textId="77777777" w:rsidR="00AE1990" w:rsidRPr="00576AF8" w:rsidRDefault="00AE1990" w:rsidP="00AE1990">
      <w:pPr>
        <w:rPr>
          <w:noProof/>
        </w:rPr>
      </w:pPr>
    </w:p>
    <w:p w14:paraId="12610A31" w14:textId="77777777" w:rsidR="00AE1990" w:rsidRPr="00576AF8" w:rsidRDefault="00AE1990" w:rsidP="00AE1990">
      <w:pPr>
        <w:rPr>
          <w:noProof/>
        </w:rPr>
      </w:pPr>
    </w:p>
    <w:p w14:paraId="2FD0A988" w14:textId="77777777" w:rsidR="00AE1990" w:rsidRPr="00576AF8" w:rsidRDefault="00AE1990" w:rsidP="00AE1990">
      <w:pPr>
        <w:tabs>
          <w:tab w:val="left" w:pos="9000"/>
        </w:tabs>
        <w:rPr>
          <w:noProof/>
        </w:rPr>
      </w:pPr>
      <w:r w:rsidRPr="00576AF8">
        <w:t xml:space="preserve">Firma autorizada: </w:t>
      </w:r>
      <w:r w:rsidRPr="00576AF8">
        <w:rPr>
          <w:u w:val="single"/>
        </w:rPr>
        <w:tab/>
      </w:r>
    </w:p>
    <w:p w14:paraId="730494EE" w14:textId="77777777" w:rsidR="00AE1990" w:rsidRPr="00576AF8" w:rsidRDefault="00AE1990" w:rsidP="00AE1990">
      <w:pPr>
        <w:tabs>
          <w:tab w:val="left" w:pos="9000"/>
        </w:tabs>
        <w:rPr>
          <w:noProof/>
        </w:rPr>
      </w:pPr>
      <w:r w:rsidRPr="00576AF8">
        <w:t xml:space="preserve">Nombre y cargo del signatario: </w:t>
      </w:r>
      <w:r w:rsidRPr="00576AF8">
        <w:rPr>
          <w:u w:val="single"/>
        </w:rPr>
        <w:tab/>
      </w:r>
    </w:p>
    <w:p w14:paraId="11D25617" w14:textId="77777777" w:rsidR="00AE1990" w:rsidRPr="00576AF8" w:rsidRDefault="00AE1990" w:rsidP="00AE1990">
      <w:pPr>
        <w:tabs>
          <w:tab w:val="left" w:pos="9000"/>
        </w:tabs>
        <w:rPr>
          <w:noProof/>
        </w:rPr>
      </w:pPr>
      <w:r w:rsidRPr="00576AF8">
        <w:t xml:space="preserve">Nombre del organismo: </w:t>
      </w:r>
      <w:r w:rsidRPr="00576AF8">
        <w:rPr>
          <w:u w:val="single"/>
        </w:rPr>
        <w:tab/>
      </w:r>
    </w:p>
    <w:p w14:paraId="4D3D6BEC" w14:textId="77777777" w:rsidR="00AE1990" w:rsidRPr="00576AF8" w:rsidRDefault="00AE1990" w:rsidP="00AE1990">
      <w:pPr>
        <w:rPr>
          <w:noProof/>
        </w:rPr>
      </w:pPr>
    </w:p>
    <w:p w14:paraId="48622615" w14:textId="77777777" w:rsidR="00AE1990" w:rsidRPr="00576AF8" w:rsidRDefault="00AE1990" w:rsidP="00AE1990">
      <w:pPr>
        <w:rPr>
          <w:bCs/>
          <w:noProof/>
          <w:szCs w:val="24"/>
        </w:rPr>
      </w:pPr>
      <w:r w:rsidRPr="00576AF8">
        <w:t xml:space="preserve">Archivos adjuntos: Convenio </w:t>
      </w:r>
      <w:r w:rsidR="00682589" w:rsidRPr="00576AF8">
        <w:t>Contractual</w:t>
      </w:r>
    </w:p>
    <w:p w14:paraId="785BDC4D" w14:textId="77777777" w:rsidR="00AE1990" w:rsidRPr="00576AF8" w:rsidRDefault="00AE1990" w:rsidP="00AE1990">
      <w:pPr>
        <w:rPr>
          <w:noProof/>
        </w:rPr>
      </w:pPr>
      <w:r w:rsidRPr="00576AF8">
        <w:br w:type="page"/>
      </w:r>
    </w:p>
    <w:p w14:paraId="771F6CA8" w14:textId="77777777" w:rsidR="00A20832" w:rsidRPr="00576AF8" w:rsidRDefault="00A20832" w:rsidP="00866570">
      <w:pPr>
        <w:pStyle w:val="Head11b"/>
        <w:rPr>
          <w:rFonts w:ascii="Times New Roman" w:hAnsi="Times New Roman"/>
        </w:rPr>
      </w:pPr>
      <w:bookmarkStart w:id="1736" w:name="_Toc488965454"/>
      <w:bookmarkStart w:id="1737" w:name="_Toc28246684"/>
      <w:r w:rsidRPr="00576AF8">
        <w:rPr>
          <w:rFonts w:ascii="Times New Roman" w:hAnsi="Times New Roman"/>
        </w:rPr>
        <w:lastRenderedPageBreak/>
        <w:t>Convenio Contractual</w:t>
      </w:r>
      <w:bookmarkEnd w:id="1729"/>
      <w:bookmarkEnd w:id="1730"/>
      <w:bookmarkEnd w:id="1736"/>
      <w:bookmarkEnd w:id="1737"/>
      <w:r w:rsidRPr="00576AF8">
        <w:rPr>
          <w:rFonts w:ascii="Times New Roman" w:hAnsi="Times New Roman"/>
        </w:rPr>
        <w:t xml:space="preserve"> </w:t>
      </w:r>
      <w:bookmarkEnd w:id="1731"/>
    </w:p>
    <w:p w14:paraId="0B985E73" w14:textId="77777777" w:rsidR="00A20832" w:rsidRPr="00576AF8" w:rsidRDefault="00A20832" w:rsidP="00A20832">
      <w:pPr>
        <w:tabs>
          <w:tab w:val="left" w:pos="5400"/>
          <w:tab w:val="left" w:pos="8280"/>
        </w:tabs>
        <w:rPr>
          <w:sz w:val="22"/>
        </w:rPr>
      </w:pPr>
    </w:p>
    <w:p w14:paraId="6F6C072A" w14:textId="77777777" w:rsidR="00A20832" w:rsidRPr="00576AF8" w:rsidRDefault="00A20832" w:rsidP="00A20832">
      <w:pPr>
        <w:tabs>
          <w:tab w:val="left" w:pos="5400"/>
          <w:tab w:val="left" w:pos="8280"/>
        </w:tabs>
      </w:pPr>
      <w:r w:rsidRPr="00576AF8">
        <w:t>ESTE CONVENIO CONTRACTUAL se celebra</w:t>
      </w:r>
    </w:p>
    <w:p w14:paraId="1E5BC89A" w14:textId="77777777" w:rsidR="00A20832" w:rsidRPr="00576AF8" w:rsidRDefault="00A20832" w:rsidP="00A20832">
      <w:pPr>
        <w:tabs>
          <w:tab w:val="left" w:pos="720"/>
          <w:tab w:val="left" w:pos="2520"/>
          <w:tab w:val="left" w:pos="6120"/>
          <w:tab w:val="left" w:pos="7200"/>
        </w:tabs>
        <w:spacing w:after="240"/>
      </w:pPr>
      <w:r w:rsidRPr="00576AF8">
        <w:tab/>
        <w:t xml:space="preserve">el día </w:t>
      </w:r>
      <w:r w:rsidRPr="00576AF8">
        <w:rPr>
          <w:b/>
          <w:i/>
        </w:rPr>
        <w:t xml:space="preserve">[indique </w:t>
      </w:r>
      <w:r w:rsidRPr="00576AF8">
        <w:rPr>
          <w:rStyle w:val="preparersnote"/>
        </w:rPr>
        <w:t>el día]</w:t>
      </w:r>
      <w:r w:rsidRPr="00576AF8">
        <w:t xml:space="preserve"> de </w:t>
      </w:r>
      <w:r w:rsidRPr="00576AF8">
        <w:rPr>
          <w:rStyle w:val="preparersnote"/>
        </w:rPr>
        <w:t>[indique el mes] de [indique el año].</w:t>
      </w:r>
    </w:p>
    <w:p w14:paraId="422B769D" w14:textId="77777777" w:rsidR="00A20832" w:rsidRPr="00576AF8" w:rsidRDefault="00A20832" w:rsidP="00A20832">
      <w:r w:rsidRPr="00576AF8">
        <w:t>ENTRE</w:t>
      </w:r>
    </w:p>
    <w:p w14:paraId="1872477E" w14:textId="77777777" w:rsidR="00A20832" w:rsidRPr="00576AF8" w:rsidRDefault="008E2E67" w:rsidP="00A20832">
      <w:pPr>
        <w:ind w:left="1440" w:hanging="720"/>
      </w:pPr>
      <w:r w:rsidRPr="00576AF8">
        <w:t>(</w:t>
      </w:r>
      <w:r w:rsidR="00A20832" w:rsidRPr="00576AF8">
        <w:t>1)</w:t>
      </w:r>
      <w:r w:rsidR="00A20832" w:rsidRPr="00576AF8">
        <w:tab/>
      </w:r>
      <w:r w:rsidR="00A20832" w:rsidRPr="00576AF8">
        <w:rPr>
          <w:rStyle w:val="preparersnote"/>
        </w:rPr>
        <w:t>[indique el nombre del Comprador],</w:t>
      </w:r>
      <w:r w:rsidR="00A20832" w:rsidRPr="00576AF8">
        <w:t xml:space="preserve"> </w:t>
      </w:r>
      <w:r w:rsidR="00A20832" w:rsidRPr="00576AF8">
        <w:rPr>
          <w:rStyle w:val="preparersnote"/>
        </w:rPr>
        <w:t>[incluya una descripción del tipo de entidad jurídica, por ejemplo, organismo del Ministerio de…]</w:t>
      </w:r>
      <w:r w:rsidR="00A20832" w:rsidRPr="00576AF8">
        <w:t xml:space="preserve"> del Gobierno de </w:t>
      </w:r>
      <w:r w:rsidR="00A20832" w:rsidRPr="00576AF8">
        <w:rPr>
          <w:rStyle w:val="preparersnote"/>
        </w:rPr>
        <w:t>[indique el país del Comprador]</w:t>
      </w:r>
      <w:r w:rsidR="001305E3" w:rsidRPr="00576AF8">
        <w:rPr>
          <w:rStyle w:val="preparersnote"/>
          <w:b w:val="0"/>
        </w:rPr>
        <w:t>,</w:t>
      </w:r>
      <w:r w:rsidR="00A20832" w:rsidRPr="00576AF8">
        <w:t xml:space="preserve"> o sociedad constituida al amparo de las leyes de </w:t>
      </w:r>
      <w:r w:rsidR="00A20832" w:rsidRPr="00576AF8">
        <w:rPr>
          <w:rStyle w:val="preparersnote"/>
        </w:rPr>
        <w:t>[indique el país del Comprador]</w:t>
      </w:r>
      <w:r w:rsidR="00A20832" w:rsidRPr="00576AF8">
        <w:t xml:space="preserve"> con sede en </w:t>
      </w:r>
      <w:r w:rsidR="00A20832" w:rsidRPr="00576AF8">
        <w:rPr>
          <w:rStyle w:val="preparersnote"/>
        </w:rPr>
        <w:t>[indique la dirección del Comprador]</w:t>
      </w:r>
      <w:r w:rsidR="00A20832" w:rsidRPr="00576AF8">
        <w:t xml:space="preserve"> (en adelante, el “Comprador”), y </w:t>
      </w:r>
    </w:p>
    <w:p w14:paraId="732D7A2C" w14:textId="77777777" w:rsidR="00A20832" w:rsidRPr="00576AF8" w:rsidRDefault="008E2E67" w:rsidP="00A20832">
      <w:pPr>
        <w:ind w:left="1440" w:hanging="720"/>
      </w:pPr>
      <w:r w:rsidRPr="00576AF8">
        <w:t>(</w:t>
      </w:r>
      <w:r w:rsidR="00A20832" w:rsidRPr="00576AF8">
        <w:t>2)</w:t>
      </w:r>
      <w:r w:rsidR="00A20832" w:rsidRPr="00576AF8">
        <w:tab/>
      </w:r>
      <w:r w:rsidR="00A20832" w:rsidRPr="00576AF8">
        <w:rPr>
          <w:rStyle w:val="preparersnote"/>
        </w:rPr>
        <w:t>[indique el nombre del Proveedor]</w:t>
      </w:r>
      <w:r w:rsidR="001305E3" w:rsidRPr="00576AF8">
        <w:rPr>
          <w:rStyle w:val="preparersnote"/>
          <w:b w:val="0"/>
        </w:rPr>
        <w:t>,</w:t>
      </w:r>
      <w:r w:rsidR="00A20832" w:rsidRPr="00576AF8">
        <w:t xml:space="preserve"> sociedad constituida al amparo de las leyes de </w:t>
      </w:r>
      <w:r w:rsidR="00A20832" w:rsidRPr="00576AF8">
        <w:rPr>
          <w:rStyle w:val="preparersnote"/>
        </w:rPr>
        <w:t>[indique el país del Proveedor]</w:t>
      </w:r>
      <w:r w:rsidR="00A20832" w:rsidRPr="00576AF8">
        <w:t xml:space="preserve"> con sede en </w:t>
      </w:r>
      <w:r w:rsidR="00A20832" w:rsidRPr="00576AF8">
        <w:rPr>
          <w:rStyle w:val="preparersnote"/>
        </w:rPr>
        <w:t>[indique la dirección del Proveedor]</w:t>
      </w:r>
      <w:r w:rsidR="00A20832" w:rsidRPr="00576AF8">
        <w:t xml:space="preserve"> (en adelante, el “Proveedor”). </w:t>
      </w:r>
    </w:p>
    <w:p w14:paraId="32B4DC2D" w14:textId="77777777" w:rsidR="00A20832" w:rsidRPr="00576AF8" w:rsidRDefault="00A20832" w:rsidP="00A20832"/>
    <w:p w14:paraId="5F6F7D4B" w14:textId="77777777" w:rsidR="00A20832" w:rsidRPr="00576AF8" w:rsidRDefault="00A20832" w:rsidP="00A20832">
      <w:r w:rsidRPr="00576AF8">
        <w:t xml:space="preserve">POR CUANTO el Comprador desea contratar los servicios del Proveedor para entregar e instalar el siguiente Sistema Informático y lograr su aceptación operativa y brindarle apoyo técnico </w:t>
      </w:r>
      <w:r w:rsidRPr="00576AF8">
        <w:rPr>
          <w:rStyle w:val="preparersnote"/>
        </w:rPr>
        <w:t xml:space="preserve">[incluya una breve descripción del Sistema Informático] </w:t>
      </w:r>
      <w:r w:rsidRPr="00576AF8">
        <w:t>(el “Sistema”), y el Proveedor ha acordado prestar dichos servicios en las condiciones establecidas en este Convenio Contractual.</w:t>
      </w:r>
      <w:r w:rsidRPr="00576AF8">
        <w:rPr>
          <w:b/>
        </w:rPr>
        <w:t xml:space="preserve"> </w:t>
      </w:r>
    </w:p>
    <w:p w14:paraId="53268302" w14:textId="77777777" w:rsidR="00A20832" w:rsidRPr="00576AF8" w:rsidRDefault="00A20832" w:rsidP="00A20832"/>
    <w:p w14:paraId="077CB8A0" w14:textId="77777777" w:rsidR="00A20832" w:rsidRPr="00576AF8" w:rsidRDefault="00734231" w:rsidP="00A20832">
      <w:r w:rsidRPr="00576AF8">
        <w:t xml:space="preserve">POR LO TANTO, </w:t>
      </w:r>
      <w:r w:rsidR="00A20832" w:rsidRPr="00576AF8">
        <w:t>SE ACUERDA lo siguiente:</w:t>
      </w:r>
    </w:p>
    <w:p w14:paraId="56C37DE2" w14:textId="77777777" w:rsidR="00A20832" w:rsidRPr="00576AF8" w:rsidRDefault="00A20832" w:rsidP="00A20832"/>
    <w:tbl>
      <w:tblPr>
        <w:tblW w:w="0" w:type="auto"/>
        <w:tblLayout w:type="fixed"/>
        <w:tblLook w:val="0000" w:firstRow="0" w:lastRow="0" w:firstColumn="0" w:lastColumn="0" w:noHBand="0" w:noVBand="0"/>
      </w:tblPr>
      <w:tblGrid>
        <w:gridCol w:w="2160"/>
        <w:gridCol w:w="7196"/>
      </w:tblGrid>
      <w:tr w:rsidR="00A20832" w:rsidRPr="00576AF8" w14:paraId="663EB06A" w14:textId="77777777" w:rsidTr="008E2E67">
        <w:tc>
          <w:tcPr>
            <w:tcW w:w="2160" w:type="dxa"/>
          </w:tcPr>
          <w:p w14:paraId="24C123F1" w14:textId="77777777" w:rsidR="00A20832" w:rsidRPr="00576AF8" w:rsidRDefault="00A20832" w:rsidP="00A35BE3">
            <w:pPr>
              <w:keepNext/>
              <w:keepLines/>
              <w:spacing w:before="240"/>
              <w:jc w:val="left"/>
              <w:outlineLvl w:val="4"/>
            </w:pPr>
            <w:r w:rsidRPr="00576AF8">
              <w:lastRenderedPageBreak/>
              <w:t xml:space="preserve">Artículo 1. </w:t>
            </w:r>
            <w:r w:rsidRPr="00576AF8">
              <w:br/>
            </w:r>
            <w:r w:rsidRPr="00576AF8">
              <w:br/>
              <w:t xml:space="preserve">Documentos </w:t>
            </w:r>
            <w:r w:rsidR="008E2E67" w:rsidRPr="00576AF8">
              <w:br/>
            </w:r>
            <w:r w:rsidRPr="00576AF8">
              <w:t>del Contrato</w:t>
            </w:r>
          </w:p>
        </w:tc>
        <w:tc>
          <w:tcPr>
            <w:tcW w:w="7196" w:type="dxa"/>
          </w:tcPr>
          <w:p w14:paraId="208C8A0D" w14:textId="77777777" w:rsidR="00A20832" w:rsidRPr="00576AF8" w:rsidRDefault="00A20832" w:rsidP="008E2E67">
            <w:pPr>
              <w:keepNext/>
              <w:keepLines/>
              <w:spacing w:before="240" w:after="200"/>
              <w:ind w:left="540" w:hanging="540"/>
              <w:outlineLvl w:val="4"/>
            </w:pPr>
            <w:r w:rsidRPr="00576AF8">
              <w:t>1.1</w:t>
            </w:r>
            <w:r w:rsidRPr="00576AF8">
              <w:tab/>
              <w:t>Documentos del Contrato (referencia a la cláusula 1.1 </w:t>
            </w:r>
            <w:r w:rsidR="008E2E67" w:rsidRPr="00576AF8">
              <w:t>(</w:t>
            </w:r>
            <w:r w:rsidRPr="00576AF8">
              <w:t>a) </w:t>
            </w:r>
            <w:r w:rsidR="008E2E67" w:rsidRPr="00576AF8">
              <w:t>(</w:t>
            </w:r>
            <w:r w:rsidRPr="00576AF8">
              <w:t xml:space="preserve">ii) de </w:t>
            </w:r>
            <w:r w:rsidR="008E2E67" w:rsidRPr="00576AF8">
              <w:br/>
            </w:r>
            <w:r w:rsidRPr="00576AF8">
              <w:t>las CGC)</w:t>
            </w:r>
          </w:p>
          <w:p w14:paraId="4A98E2B9" w14:textId="77777777" w:rsidR="00A20832" w:rsidRPr="00576AF8" w:rsidRDefault="00A20832" w:rsidP="008E2E67">
            <w:pPr>
              <w:keepNext/>
              <w:keepLines/>
              <w:spacing w:before="240" w:after="200"/>
              <w:ind w:left="547"/>
              <w:outlineLvl w:val="4"/>
            </w:pPr>
            <w:r w:rsidRPr="00576AF8">
              <w:t>Los siguientes documentos constituirán el Contrato entre el Comprador y el Proveedor, y cada uno se considerará e interpretará como parte integral del Contrato:</w:t>
            </w:r>
          </w:p>
        </w:tc>
      </w:tr>
      <w:tr w:rsidR="00A20832" w:rsidRPr="00576AF8" w14:paraId="02FDDD9E" w14:textId="77777777" w:rsidTr="008E2E67">
        <w:tc>
          <w:tcPr>
            <w:tcW w:w="2160" w:type="dxa"/>
          </w:tcPr>
          <w:p w14:paraId="0E02D137" w14:textId="77777777" w:rsidR="00A20832" w:rsidRPr="00576AF8" w:rsidRDefault="00A20832" w:rsidP="00A35BE3">
            <w:pPr>
              <w:ind w:left="360" w:hanging="360"/>
              <w:jc w:val="left"/>
            </w:pPr>
          </w:p>
        </w:tc>
        <w:tc>
          <w:tcPr>
            <w:tcW w:w="7196" w:type="dxa"/>
          </w:tcPr>
          <w:p w14:paraId="1D20E461" w14:textId="77777777" w:rsidR="00A20832" w:rsidRPr="00576AF8" w:rsidRDefault="008E2E67" w:rsidP="008E2E67">
            <w:pPr>
              <w:keepNext/>
              <w:keepLines/>
              <w:spacing w:before="240"/>
              <w:ind w:left="1094" w:hanging="547"/>
              <w:outlineLvl w:val="4"/>
            </w:pPr>
            <w:r w:rsidRPr="00576AF8">
              <w:t>(</w:t>
            </w:r>
            <w:r w:rsidR="00A20832" w:rsidRPr="00576AF8">
              <w:t>a)</w:t>
            </w:r>
            <w:r w:rsidR="00A20832" w:rsidRPr="00576AF8">
              <w:tab/>
              <w:t>el presente Convenio Contractual y sus apéndices;</w:t>
            </w:r>
          </w:p>
          <w:p w14:paraId="11E615F6" w14:textId="77777777" w:rsidR="00A20832" w:rsidRPr="00576AF8" w:rsidRDefault="008E2E67" w:rsidP="008E2E67">
            <w:pPr>
              <w:keepNext/>
              <w:keepLines/>
              <w:spacing w:before="240"/>
              <w:ind w:left="1094" w:hanging="547"/>
              <w:outlineLvl w:val="4"/>
            </w:pPr>
            <w:r w:rsidRPr="00576AF8">
              <w:t>(</w:t>
            </w:r>
            <w:r w:rsidR="00A20832" w:rsidRPr="00576AF8">
              <w:t>b)</w:t>
            </w:r>
            <w:r w:rsidR="00A20832" w:rsidRPr="00576AF8">
              <w:tab/>
              <w:t>las Condiciones Especiales del Contrato;</w:t>
            </w:r>
          </w:p>
          <w:p w14:paraId="42E5451A" w14:textId="77777777" w:rsidR="00A20832" w:rsidRPr="00576AF8" w:rsidRDefault="008E2E67" w:rsidP="008E2E67">
            <w:pPr>
              <w:keepNext/>
              <w:keepLines/>
              <w:spacing w:before="240"/>
              <w:ind w:left="1080" w:hanging="540"/>
              <w:outlineLvl w:val="4"/>
            </w:pPr>
            <w:r w:rsidRPr="00576AF8">
              <w:t>(</w:t>
            </w:r>
            <w:r w:rsidR="00A20832" w:rsidRPr="00576AF8">
              <w:t>c)</w:t>
            </w:r>
            <w:r w:rsidR="00A20832" w:rsidRPr="00576AF8">
              <w:tab/>
              <w:t>las Condiciones Generales del Contrato;</w:t>
            </w:r>
          </w:p>
          <w:p w14:paraId="7098BBE7" w14:textId="77777777" w:rsidR="00A20832" w:rsidRPr="00576AF8" w:rsidRDefault="008E2E67" w:rsidP="008E2E67">
            <w:pPr>
              <w:keepNext/>
              <w:keepLines/>
              <w:spacing w:before="240"/>
              <w:ind w:left="1080" w:hanging="540"/>
              <w:jc w:val="left"/>
              <w:outlineLvl w:val="4"/>
            </w:pPr>
            <w:r w:rsidRPr="00576AF8">
              <w:t>(</w:t>
            </w:r>
            <w:r w:rsidR="00A20832" w:rsidRPr="00576AF8">
              <w:t>d)</w:t>
            </w:r>
            <w:r w:rsidR="00A20832" w:rsidRPr="00576AF8">
              <w:tab/>
              <w:t>los requisitos técnicos (incluido el programa de ejecución);</w:t>
            </w:r>
          </w:p>
          <w:p w14:paraId="2E6D755F" w14:textId="77777777" w:rsidR="00A20832" w:rsidRPr="00576AF8" w:rsidRDefault="008E2E67" w:rsidP="008E2E67">
            <w:pPr>
              <w:keepNext/>
              <w:keepLines/>
              <w:spacing w:before="240"/>
              <w:ind w:left="1080" w:hanging="540"/>
              <w:outlineLvl w:val="4"/>
            </w:pPr>
            <w:r w:rsidRPr="00576AF8">
              <w:t>(</w:t>
            </w:r>
            <w:r w:rsidR="00A20832" w:rsidRPr="00576AF8">
              <w:t>e)</w:t>
            </w:r>
            <w:r w:rsidR="00A20832" w:rsidRPr="00576AF8">
              <w:tab/>
              <w:t xml:space="preserve">la </w:t>
            </w:r>
            <w:r w:rsidR="00734231" w:rsidRPr="00576AF8">
              <w:t>O</w:t>
            </w:r>
            <w:r w:rsidR="00A20832" w:rsidRPr="00576AF8">
              <w:t xml:space="preserve">ferta del Proveedor y las </w:t>
            </w:r>
            <w:r w:rsidR="00E55BDB" w:rsidRPr="00576AF8">
              <w:t>l</w:t>
            </w:r>
            <w:r w:rsidR="00A20832" w:rsidRPr="00576AF8">
              <w:t xml:space="preserve">istas de precios originales; </w:t>
            </w:r>
            <w:r w:rsidR="00DB518A" w:rsidRPr="00576AF8">
              <w:t xml:space="preserve">(la última, si </w:t>
            </w:r>
            <w:r w:rsidR="0036515A" w:rsidRPr="00576AF8">
              <w:t>M</w:t>
            </w:r>
            <w:r w:rsidR="00DB518A" w:rsidRPr="00576AF8">
              <w:t xml:space="preserve">ejor Oferta Final o </w:t>
            </w:r>
            <w:r w:rsidR="0036515A" w:rsidRPr="00576AF8">
              <w:t>N</w:t>
            </w:r>
            <w:r w:rsidR="00DB518A" w:rsidRPr="00576AF8">
              <w:t xml:space="preserve">egociaciones </w:t>
            </w:r>
            <w:r w:rsidR="0036515A" w:rsidRPr="00576AF8">
              <w:t>fueron usadas)</w:t>
            </w:r>
          </w:p>
          <w:p w14:paraId="383C7915" w14:textId="77777777" w:rsidR="00A20832" w:rsidRPr="00576AF8" w:rsidRDefault="008E2E67" w:rsidP="008E2E67">
            <w:pPr>
              <w:keepNext/>
              <w:keepLines/>
              <w:spacing w:before="240"/>
              <w:ind w:left="1080" w:hanging="540"/>
              <w:outlineLvl w:val="4"/>
            </w:pPr>
            <w:r w:rsidRPr="00576AF8">
              <w:t>(</w:t>
            </w:r>
            <w:r w:rsidR="00A20832" w:rsidRPr="00576AF8">
              <w:t>f)</w:t>
            </w:r>
            <w:r w:rsidR="00A20832" w:rsidRPr="00576AF8">
              <w:tab/>
            </w:r>
            <w:r w:rsidR="00A20832" w:rsidRPr="00576AF8">
              <w:rPr>
                <w:rStyle w:val="preparersnote"/>
              </w:rPr>
              <w:t>[añada aquí cualquier otro documento].</w:t>
            </w:r>
          </w:p>
        </w:tc>
      </w:tr>
      <w:tr w:rsidR="00A20832" w:rsidRPr="00576AF8" w14:paraId="406786FA" w14:textId="77777777" w:rsidTr="008E2E67">
        <w:tc>
          <w:tcPr>
            <w:tcW w:w="2160" w:type="dxa"/>
          </w:tcPr>
          <w:p w14:paraId="602BB8B5" w14:textId="77777777" w:rsidR="00A20832" w:rsidRPr="00576AF8" w:rsidRDefault="00A20832" w:rsidP="00A35BE3">
            <w:pPr>
              <w:ind w:left="360" w:hanging="360"/>
              <w:jc w:val="left"/>
            </w:pPr>
          </w:p>
        </w:tc>
        <w:tc>
          <w:tcPr>
            <w:tcW w:w="7196" w:type="dxa"/>
          </w:tcPr>
          <w:p w14:paraId="0859EE72" w14:textId="77777777" w:rsidR="00A20832" w:rsidRPr="00576AF8" w:rsidRDefault="00A20832" w:rsidP="008E2E67">
            <w:pPr>
              <w:keepNext/>
              <w:keepLines/>
              <w:spacing w:before="240"/>
              <w:ind w:left="540" w:hanging="540"/>
              <w:outlineLvl w:val="4"/>
            </w:pPr>
            <w:r w:rsidRPr="00576AF8">
              <w:t>1.2</w:t>
            </w:r>
            <w:r w:rsidRPr="00576AF8">
              <w:tab/>
              <w:t>Orden de precedencia (referencia a la cláusula 2 de las CGC)</w:t>
            </w:r>
          </w:p>
          <w:p w14:paraId="7D1D4B1A" w14:textId="77777777" w:rsidR="00A20832" w:rsidRPr="00576AF8" w:rsidRDefault="00A20832" w:rsidP="008E2E67">
            <w:pPr>
              <w:keepNext/>
              <w:keepLines/>
              <w:spacing w:before="240"/>
              <w:ind w:left="540"/>
              <w:outlineLvl w:val="4"/>
            </w:pPr>
            <w:r w:rsidRPr="00576AF8">
              <w:t>En caso de ambigüedad o de conflicto entre los documentos del Contrato arriba enumerados, el orden de precedencia será el orden en que dichos documentos se enumeran en el artículo 1.1 precedente (“Documentos del Contrato”), y se estipula que el apéndice 7 prevalecerá sobre todas las demás disposiciones del Convenio Contractual y los otros apéndices que lo acompañan y sobre todos los demás documentos del Contrato enumerados en el citado artículo 1.1.</w:t>
            </w:r>
          </w:p>
          <w:p w14:paraId="67D70D6B" w14:textId="77777777" w:rsidR="00A20832" w:rsidRPr="00576AF8" w:rsidRDefault="00A20832" w:rsidP="008E2E67">
            <w:pPr>
              <w:keepNext/>
              <w:keepLines/>
              <w:spacing w:before="240"/>
              <w:ind w:left="540" w:hanging="540"/>
              <w:outlineLvl w:val="4"/>
            </w:pPr>
            <w:r w:rsidRPr="00576AF8">
              <w:t>1.3</w:t>
            </w:r>
            <w:r w:rsidRPr="00576AF8">
              <w:tab/>
              <w:t>Definiciones (referencia a la cláusula 1 de las CGC)</w:t>
            </w:r>
          </w:p>
          <w:p w14:paraId="402AAE25" w14:textId="77777777" w:rsidR="00A20832" w:rsidRPr="00576AF8" w:rsidRDefault="00A20832" w:rsidP="008E2E67">
            <w:pPr>
              <w:keepNext/>
              <w:keepLines/>
              <w:spacing w:before="240"/>
              <w:ind w:left="540"/>
              <w:outlineLvl w:val="4"/>
            </w:pPr>
            <w:r w:rsidRPr="00576AF8">
              <w:t>Las palabras y frases que se usen en el presente Convenio Contractual tendrán el mismo significado que se les asigna en las Condiciones Generales del Contrato.</w:t>
            </w:r>
          </w:p>
        </w:tc>
      </w:tr>
      <w:tr w:rsidR="00A20832" w:rsidRPr="00576AF8" w14:paraId="4201A2E3" w14:textId="77777777" w:rsidTr="008E2E67">
        <w:tc>
          <w:tcPr>
            <w:tcW w:w="2160" w:type="dxa"/>
          </w:tcPr>
          <w:p w14:paraId="5EB1EDE0" w14:textId="77777777" w:rsidR="00A20832" w:rsidRPr="00576AF8" w:rsidRDefault="00A20832" w:rsidP="00A35BE3">
            <w:pPr>
              <w:keepNext/>
              <w:keepLines/>
              <w:spacing w:before="240"/>
              <w:jc w:val="left"/>
              <w:outlineLvl w:val="4"/>
            </w:pPr>
            <w:r w:rsidRPr="00576AF8">
              <w:lastRenderedPageBreak/>
              <w:t xml:space="preserve">Artículo 2. </w:t>
            </w:r>
            <w:r w:rsidRPr="00576AF8">
              <w:br/>
            </w:r>
            <w:r w:rsidRPr="00576AF8">
              <w:br/>
              <w:t xml:space="preserve">Precio del </w:t>
            </w:r>
            <w:r w:rsidR="008E2E67" w:rsidRPr="00576AF8">
              <w:br/>
            </w:r>
            <w:r w:rsidRPr="00576AF8">
              <w:t xml:space="preserve">Contrato y condiciones </w:t>
            </w:r>
            <w:r w:rsidR="008E2E67" w:rsidRPr="00576AF8">
              <w:br/>
            </w:r>
            <w:r w:rsidRPr="00576AF8">
              <w:t>de pago</w:t>
            </w:r>
          </w:p>
        </w:tc>
        <w:tc>
          <w:tcPr>
            <w:tcW w:w="7196" w:type="dxa"/>
          </w:tcPr>
          <w:p w14:paraId="6AFF8808" w14:textId="77777777" w:rsidR="00A20832" w:rsidRPr="00576AF8" w:rsidRDefault="00A20832" w:rsidP="008E2E67">
            <w:pPr>
              <w:keepNext/>
              <w:keepLines/>
              <w:spacing w:before="240"/>
              <w:ind w:left="540" w:hanging="540"/>
              <w:outlineLvl w:val="4"/>
            </w:pPr>
            <w:r w:rsidRPr="00576AF8">
              <w:t>2.1</w:t>
            </w:r>
            <w:r w:rsidRPr="00576AF8">
              <w:tab/>
              <w:t>Precio del Contrato (referencia a las cláusulas 1.1 </w:t>
            </w:r>
            <w:r w:rsidR="008E2E67" w:rsidRPr="00576AF8">
              <w:t>(</w:t>
            </w:r>
            <w:r w:rsidRPr="00576AF8">
              <w:t>a) </w:t>
            </w:r>
            <w:r w:rsidR="008E2E67" w:rsidRPr="00576AF8">
              <w:t>(</w:t>
            </w:r>
            <w:r w:rsidRPr="00576AF8">
              <w:t>viii) y 11 de las CGC)</w:t>
            </w:r>
          </w:p>
          <w:p w14:paraId="68129D0E" w14:textId="77777777" w:rsidR="00A20832" w:rsidRPr="00576AF8" w:rsidRDefault="00A20832" w:rsidP="008E2E67">
            <w:pPr>
              <w:keepNext/>
              <w:keepLines/>
              <w:spacing w:before="240"/>
              <w:ind w:left="540"/>
              <w:outlineLvl w:val="4"/>
            </w:pPr>
            <w:r w:rsidRPr="00576AF8">
              <w:t xml:space="preserve">Por el presente, el Comprador conviene en pagar al Proveedor el precio del Contrato en </w:t>
            </w:r>
            <w:r w:rsidR="00734231" w:rsidRPr="00576AF8">
              <w:t xml:space="preserve">contraprestación </w:t>
            </w:r>
            <w:r w:rsidRPr="00576AF8">
              <w:t xml:space="preserve">por el cumplimiento de las obligaciones contraídas en virtud de este Contrato. El precio del Contrato será la suma de lo siguiente: </w:t>
            </w:r>
            <w:r w:rsidRPr="00576AF8">
              <w:rPr>
                <w:rStyle w:val="preparersnote"/>
              </w:rPr>
              <w:t>[indique el monto en moneda extranjera A, expresado en palabras],</w:t>
            </w:r>
            <w:r w:rsidRPr="00576AF8">
              <w:rPr>
                <w:b/>
              </w:rPr>
              <w:t xml:space="preserve"> </w:t>
            </w:r>
            <w:r w:rsidRPr="00576AF8">
              <w:rPr>
                <w:rStyle w:val="preparersnote"/>
              </w:rPr>
              <w:t>[indique el monto en cifras],</w:t>
            </w:r>
            <w:r w:rsidRPr="00576AF8">
              <w:rPr>
                <w:b/>
              </w:rPr>
              <w:t xml:space="preserve"> </w:t>
            </w:r>
            <w:r w:rsidRPr="00576AF8">
              <w:t xml:space="preserve">más </w:t>
            </w:r>
            <w:r w:rsidRPr="00576AF8">
              <w:rPr>
                <w:rStyle w:val="preparersnote"/>
              </w:rPr>
              <w:t>[indique el monto en moneda extranjera B, expresado en palabras],</w:t>
            </w:r>
            <w:r w:rsidRPr="00576AF8">
              <w:rPr>
                <w:b/>
              </w:rPr>
              <w:t xml:space="preserve"> </w:t>
            </w:r>
            <w:r w:rsidRPr="00576AF8">
              <w:rPr>
                <w:rStyle w:val="preparersnote"/>
              </w:rPr>
              <w:t>[indique el monto en cifras],</w:t>
            </w:r>
            <w:r w:rsidRPr="00576AF8">
              <w:rPr>
                <w:b/>
              </w:rPr>
              <w:t xml:space="preserve"> </w:t>
            </w:r>
            <w:r w:rsidRPr="00576AF8">
              <w:t xml:space="preserve">más </w:t>
            </w:r>
            <w:r w:rsidRPr="00576AF8">
              <w:rPr>
                <w:rStyle w:val="preparersnote"/>
              </w:rPr>
              <w:t>[indique el monto en moneda extranjera C, expresado en palabras], [indique el monto en cifras], [indique el monto en moneda nacional, expresado en palabras], [indique el monto en cifras]</w:t>
            </w:r>
            <w:r w:rsidRPr="00576AF8">
              <w:t xml:space="preserve">, tal como se especifica en el resumen global de la lista de precios. </w:t>
            </w:r>
          </w:p>
          <w:p w14:paraId="2D200F8F" w14:textId="77777777" w:rsidR="00A20832" w:rsidRPr="00576AF8" w:rsidRDefault="00A20832" w:rsidP="008E2E67">
            <w:pPr>
              <w:keepNext/>
              <w:keepLines/>
              <w:spacing w:before="240"/>
              <w:ind w:left="540"/>
              <w:outlineLvl w:val="4"/>
            </w:pPr>
            <w:r w:rsidRPr="00576AF8">
              <w:t xml:space="preserve">El precio del Contrato deberá reflejar los términos y condiciones empleados en la especificación de los precios que figuran en las listas detalladas de precios, incluidos los términos y condiciones de los Incoterms asociados, así como los impuestos, derechos y tasas conexas tal como hayan sido identificados. </w:t>
            </w:r>
          </w:p>
        </w:tc>
      </w:tr>
      <w:tr w:rsidR="00A20832" w:rsidRPr="00576AF8" w14:paraId="29D8F4B4" w14:textId="77777777" w:rsidTr="008E2E67">
        <w:tc>
          <w:tcPr>
            <w:tcW w:w="2160" w:type="dxa"/>
          </w:tcPr>
          <w:p w14:paraId="53D2B24F" w14:textId="77777777" w:rsidR="00A20832" w:rsidRPr="00576AF8" w:rsidRDefault="00A20832" w:rsidP="00A35BE3">
            <w:pPr>
              <w:keepNext/>
              <w:keepLines/>
              <w:spacing w:before="240"/>
              <w:jc w:val="left"/>
              <w:outlineLvl w:val="4"/>
            </w:pPr>
            <w:r w:rsidRPr="00576AF8">
              <w:t xml:space="preserve">Artículo 3. </w:t>
            </w:r>
            <w:r w:rsidRPr="00576AF8">
              <w:br/>
            </w:r>
            <w:r w:rsidRPr="00576AF8">
              <w:br/>
              <w:t xml:space="preserve">Fecha de entrada </w:t>
            </w:r>
            <w:r w:rsidR="008E2E67" w:rsidRPr="00576AF8">
              <w:br/>
            </w:r>
            <w:r w:rsidRPr="00576AF8">
              <w:t xml:space="preserve">en vigor para determinar el plazo para </w:t>
            </w:r>
            <w:r w:rsidR="00413A3A" w:rsidRPr="00576AF8">
              <w:t xml:space="preserve">obtener </w:t>
            </w:r>
            <w:r w:rsidR="008E2E67" w:rsidRPr="00576AF8">
              <w:br/>
            </w:r>
            <w:r w:rsidRPr="00576AF8">
              <w:t>la aceptación operativa</w:t>
            </w:r>
          </w:p>
        </w:tc>
        <w:tc>
          <w:tcPr>
            <w:tcW w:w="7196" w:type="dxa"/>
          </w:tcPr>
          <w:p w14:paraId="550F645A" w14:textId="77777777" w:rsidR="00A20832" w:rsidRPr="00576AF8" w:rsidRDefault="00A20832" w:rsidP="008E2E67">
            <w:pPr>
              <w:keepNext/>
              <w:keepLines/>
              <w:spacing w:before="240"/>
              <w:ind w:left="540" w:hanging="540"/>
              <w:outlineLvl w:val="4"/>
            </w:pPr>
            <w:r w:rsidRPr="00576AF8">
              <w:t>3.1</w:t>
            </w:r>
            <w:r w:rsidRPr="00576AF8">
              <w:tab/>
              <w:t>Fecha de entrada en vigor (referencia a la cláusula 1.1 </w:t>
            </w:r>
            <w:r w:rsidR="008E2E67" w:rsidRPr="00576AF8">
              <w:t>(</w:t>
            </w:r>
            <w:r w:rsidRPr="00576AF8">
              <w:t>e) </w:t>
            </w:r>
            <w:r w:rsidR="008E2E67" w:rsidRPr="00576AF8">
              <w:t>(</w:t>
            </w:r>
            <w:r w:rsidRPr="00576AF8">
              <w:t xml:space="preserve">ix) de </w:t>
            </w:r>
            <w:r w:rsidR="008E2E67" w:rsidRPr="00576AF8">
              <w:br/>
            </w:r>
            <w:r w:rsidRPr="00576AF8">
              <w:t>las CGC)</w:t>
            </w:r>
          </w:p>
          <w:p w14:paraId="4A89C0DD" w14:textId="77777777" w:rsidR="00A20832" w:rsidRPr="00576AF8" w:rsidRDefault="00A20832" w:rsidP="008E2E67">
            <w:pPr>
              <w:keepNext/>
              <w:keepLines/>
              <w:spacing w:before="240"/>
              <w:ind w:left="540"/>
              <w:outlineLvl w:val="4"/>
            </w:pPr>
            <w:r w:rsidRPr="00576AF8">
              <w:t>El plazo para la entrega, instalación y obtención de la aceptación operativa del Sistema se determinará a partir de la fecha en que se hayan cumplido las siguientes condiciones:</w:t>
            </w:r>
          </w:p>
          <w:p w14:paraId="21B8B4E8" w14:textId="77777777" w:rsidR="00A20832" w:rsidRPr="00576AF8" w:rsidRDefault="008E2E67" w:rsidP="008E2E67">
            <w:pPr>
              <w:keepNext/>
              <w:keepLines/>
              <w:spacing w:before="240"/>
              <w:ind w:left="1080" w:hanging="540"/>
              <w:outlineLvl w:val="4"/>
            </w:pPr>
            <w:r w:rsidRPr="00576AF8">
              <w:t>(</w:t>
            </w:r>
            <w:r w:rsidR="00A20832" w:rsidRPr="00576AF8">
              <w:t>a)</w:t>
            </w:r>
            <w:r w:rsidR="00A20832" w:rsidRPr="00576AF8">
              <w:tab/>
              <w:t>que el presente Convenio Contractual haya sido debidamente firmado en nombre del Comprador y del Proveedor;</w:t>
            </w:r>
          </w:p>
          <w:p w14:paraId="4600DADC" w14:textId="77777777" w:rsidR="00A20832" w:rsidRPr="00576AF8" w:rsidRDefault="008E2E67" w:rsidP="008E2E67">
            <w:pPr>
              <w:keepNext/>
              <w:keepLines/>
              <w:spacing w:before="240"/>
              <w:ind w:left="1080" w:hanging="540"/>
              <w:outlineLvl w:val="4"/>
            </w:pPr>
            <w:r w:rsidRPr="00576AF8">
              <w:t>(</w:t>
            </w:r>
            <w:r w:rsidR="00A20832" w:rsidRPr="00576AF8">
              <w:t>b)</w:t>
            </w:r>
            <w:r w:rsidR="00A20832" w:rsidRPr="00576AF8">
              <w:tab/>
              <w:t xml:space="preserve">que el Proveedor haya presentado al Comprador la garantía de cumplimiento y la garantía por </w:t>
            </w:r>
            <w:r w:rsidR="00660850" w:rsidRPr="00576AF8">
              <w:t xml:space="preserve">entrega </w:t>
            </w:r>
            <w:r w:rsidR="00A20832" w:rsidRPr="00576AF8">
              <w:t>de anticipo, de conformidad con las cláusulas 13.2 y 13.3 de las CGC;</w:t>
            </w:r>
          </w:p>
        </w:tc>
      </w:tr>
      <w:tr w:rsidR="00A20832" w:rsidRPr="00576AF8" w14:paraId="36B994A3" w14:textId="77777777" w:rsidTr="008E2E67">
        <w:tc>
          <w:tcPr>
            <w:tcW w:w="2160" w:type="dxa"/>
          </w:tcPr>
          <w:p w14:paraId="03305B83" w14:textId="77777777" w:rsidR="00A20832" w:rsidRPr="00576AF8" w:rsidRDefault="00A20832" w:rsidP="00A35BE3">
            <w:pPr>
              <w:ind w:left="360" w:hanging="360"/>
              <w:jc w:val="left"/>
            </w:pPr>
          </w:p>
        </w:tc>
        <w:tc>
          <w:tcPr>
            <w:tcW w:w="7196" w:type="dxa"/>
          </w:tcPr>
          <w:p w14:paraId="713353F4" w14:textId="77777777" w:rsidR="00A20832" w:rsidRPr="00576AF8" w:rsidRDefault="008E2E67" w:rsidP="008E2E67">
            <w:pPr>
              <w:keepNext/>
              <w:keepLines/>
              <w:spacing w:before="240"/>
              <w:ind w:left="1080" w:hanging="540"/>
              <w:outlineLvl w:val="4"/>
            </w:pPr>
            <w:r w:rsidRPr="00576AF8">
              <w:t>(</w:t>
            </w:r>
            <w:r w:rsidR="00A20832" w:rsidRPr="00576AF8">
              <w:t>c)</w:t>
            </w:r>
            <w:r w:rsidR="00A20832" w:rsidRPr="00576AF8">
              <w:tab/>
              <w:t xml:space="preserve">que el Comprador haya </w:t>
            </w:r>
            <w:r w:rsidR="00660850" w:rsidRPr="00576AF8">
              <w:t xml:space="preserve">entregado </w:t>
            </w:r>
            <w:r w:rsidR="00A20832" w:rsidRPr="00576AF8">
              <w:t xml:space="preserve">el anticipo al Proveedor, conforme a la cláusula 12 de las CGC. </w:t>
            </w:r>
          </w:p>
          <w:p w14:paraId="5928ADA7" w14:textId="77777777" w:rsidR="00A20832" w:rsidRPr="00576AF8" w:rsidRDefault="00A20832" w:rsidP="008E2E67">
            <w:pPr>
              <w:keepNext/>
              <w:keepLines/>
              <w:spacing w:before="240"/>
              <w:ind w:left="540"/>
              <w:outlineLvl w:val="4"/>
            </w:pPr>
            <w:r w:rsidRPr="00576AF8">
              <w:t>Cada una de las Partes procurará cumplir tan pronto como sea posible las condiciones antes indicadas que sean de su responsabilidad.</w:t>
            </w:r>
          </w:p>
          <w:p w14:paraId="089AD3BC" w14:textId="77777777" w:rsidR="00A20832" w:rsidRPr="00576AF8" w:rsidRDefault="00A20832" w:rsidP="008E2E67">
            <w:pPr>
              <w:keepNext/>
              <w:keepLines/>
              <w:spacing w:before="240"/>
              <w:ind w:left="540" w:hanging="540"/>
              <w:outlineLvl w:val="4"/>
            </w:pPr>
            <w:r w:rsidRPr="00576AF8">
              <w:t>3.2</w:t>
            </w:r>
            <w:r w:rsidRPr="00576AF8">
              <w:tab/>
              <w:t>Si las condiciones enumeradas en el artículo 3.1 precedente no se cumplen dentro de los dos (2) meses siguientes a la fecha de este Convenio Contractual por razones no atribuibles al Proveedor, las Partes considerarán y acordarán un ajuste equitativo del precio del Contrato y del plazo para obtener la aceptación operativa o de otras disposiciones pertinentes del Contrato.</w:t>
            </w:r>
          </w:p>
        </w:tc>
      </w:tr>
      <w:tr w:rsidR="00A20832" w:rsidRPr="00576AF8" w14:paraId="186F82FB" w14:textId="77777777" w:rsidTr="008E2E67">
        <w:tc>
          <w:tcPr>
            <w:tcW w:w="2160" w:type="dxa"/>
          </w:tcPr>
          <w:p w14:paraId="0887F3AE" w14:textId="77777777" w:rsidR="00A20832" w:rsidRPr="00576AF8" w:rsidRDefault="00A20832" w:rsidP="00A35BE3">
            <w:pPr>
              <w:keepNext/>
              <w:keepLines/>
              <w:spacing w:before="240"/>
              <w:jc w:val="left"/>
              <w:outlineLvl w:val="4"/>
            </w:pPr>
            <w:r w:rsidRPr="00576AF8">
              <w:t xml:space="preserve">Artículo 4. </w:t>
            </w:r>
            <w:r w:rsidRPr="00576AF8">
              <w:br/>
            </w:r>
            <w:r w:rsidRPr="00576AF8">
              <w:br/>
              <w:t>Apéndices</w:t>
            </w:r>
          </w:p>
        </w:tc>
        <w:tc>
          <w:tcPr>
            <w:tcW w:w="7196" w:type="dxa"/>
          </w:tcPr>
          <w:p w14:paraId="629C121B" w14:textId="77777777" w:rsidR="00A20832" w:rsidRPr="00576AF8" w:rsidRDefault="00A20832" w:rsidP="008E2E67">
            <w:pPr>
              <w:ind w:left="540" w:hanging="540"/>
            </w:pPr>
            <w:r w:rsidRPr="00576AF8">
              <w:t>4.1</w:t>
            </w:r>
            <w:r w:rsidRPr="00576AF8">
              <w:tab/>
              <w:t>Los apéndices que se enumeran a continuación se considerarán parte integral del presente Convenio Contractual.</w:t>
            </w:r>
          </w:p>
        </w:tc>
      </w:tr>
      <w:tr w:rsidR="00A20832" w:rsidRPr="00576AF8" w14:paraId="004EEE29" w14:textId="77777777" w:rsidTr="008E2E67">
        <w:tc>
          <w:tcPr>
            <w:tcW w:w="2160" w:type="dxa"/>
          </w:tcPr>
          <w:p w14:paraId="0900A39D" w14:textId="77777777" w:rsidR="00A20832" w:rsidRPr="00576AF8" w:rsidRDefault="00A20832" w:rsidP="00A35BE3">
            <w:pPr>
              <w:ind w:left="360" w:hanging="360"/>
              <w:jc w:val="left"/>
            </w:pPr>
          </w:p>
        </w:tc>
        <w:tc>
          <w:tcPr>
            <w:tcW w:w="7196" w:type="dxa"/>
          </w:tcPr>
          <w:p w14:paraId="78917BFF" w14:textId="77777777" w:rsidR="00A20832" w:rsidRPr="00576AF8" w:rsidRDefault="00A20832" w:rsidP="008E2E67">
            <w:pPr>
              <w:keepNext/>
              <w:keepLines/>
              <w:spacing w:before="240"/>
              <w:ind w:left="540" w:hanging="540"/>
              <w:outlineLvl w:val="4"/>
            </w:pPr>
            <w:r w:rsidRPr="00576AF8">
              <w:t>4.2</w:t>
            </w:r>
            <w:r w:rsidRPr="00576AF8">
              <w:tab/>
              <w:t xml:space="preserve">Toda mención de algún apéndice que se haga en el Contrato se referirá a los apéndices enumerados más abajo y adjuntos a este Convenio Contractual, y el Contrato se considerará e interpretará </w:t>
            </w:r>
            <w:r w:rsidR="008E2E67" w:rsidRPr="00576AF8">
              <w:br/>
            </w:r>
            <w:r w:rsidRPr="00576AF8">
              <w:t>en consecuencia.</w:t>
            </w:r>
          </w:p>
        </w:tc>
      </w:tr>
    </w:tbl>
    <w:p w14:paraId="6F134C92" w14:textId="77777777" w:rsidR="00A20832" w:rsidRPr="00576AF8" w:rsidRDefault="00A20832" w:rsidP="00A20832"/>
    <w:p w14:paraId="526D674A" w14:textId="77777777" w:rsidR="00A20832" w:rsidRPr="00576AF8" w:rsidRDefault="00A20832" w:rsidP="00A20832">
      <w:r w:rsidRPr="00576AF8">
        <w:t>APÉNDICES</w:t>
      </w:r>
    </w:p>
    <w:p w14:paraId="4A205979" w14:textId="77777777" w:rsidR="00A20832" w:rsidRPr="00576AF8" w:rsidRDefault="00A20832" w:rsidP="00A20832">
      <w:pPr>
        <w:spacing w:after="60"/>
        <w:ind w:left="2160" w:hanging="1440"/>
      </w:pPr>
      <w:r w:rsidRPr="00576AF8">
        <w:t>Apéndice 1.</w:t>
      </w:r>
      <w:r w:rsidRPr="00576AF8">
        <w:tab/>
        <w:t>Representante del Proveedor</w:t>
      </w:r>
      <w:r w:rsidRPr="00576AF8">
        <w:tab/>
      </w:r>
    </w:p>
    <w:p w14:paraId="56155DC2" w14:textId="77777777" w:rsidR="00A20832" w:rsidRPr="00576AF8" w:rsidRDefault="00A20832" w:rsidP="00A20832">
      <w:pPr>
        <w:spacing w:after="60"/>
        <w:ind w:left="2160" w:hanging="1440"/>
        <w:rPr>
          <w:i/>
        </w:rPr>
      </w:pPr>
      <w:r w:rsidRPr="00576AF8">
        <w:t>Apéndice 2.</w:t>
      </w:r>
      <w:r w:rsidRPr="00576AF8">
        <w:tab/>
        <w:t>Conciliador</w:t>
      </w:r>
      <w:r w:rsidRPr="00576AF8">
        <w:rPr>
          <w:i/>
        </w:rPr>
        <w:t xml:space="preserve"> [si no hay conciliador, indique </w:t>
      </w:r>
      <w:r w:rsidRPr="00576AF8">
        <w:rPr>
          <w:b/>
          <w:i/>
        </w:rPr>
        <w:t>“no corresponde”</w:t>
      </w:r>
      <w:r w:rsidRPr="00576AF8">
        <w:rPr>
          <w:i/>
        </w:rPr>
        <w:t>]</w:t>
      </w:r>
    </w:p>
    <w:p w14:paraId="0CBABD69" w14:textId="77777777" w:rsidR="00A20832" w:rsidRPr="00576AF8" w:rsidRDefault="00A20832" w:rsidP="00A20832">
      <w:pPr>
        <w:spacing w:after="60"/>
        <w:ind w:left="2160" w:hanging="1440"/>
      </w:pPr>
      <w:r w:rsidRPr="00576AF8">
        <w:t>Apéndice 3.</w:t>
      </w:r>
      <w:r w:rsidRPr="00576AF8">
        <w:tab/>
        <w:t>Lista de subcontratistas aprobados</w:t>
      </w:r>
    </w:p>
    <w:p w14:paraId="73012821" w14:textId="77777777" w:rsidR="00A20832" w:rsidRPr="00576AF8" w:rsidRDefault="00A20832" w:rsidP="00A20832">
      <w:pPr>
        <w:spacing w:after="60"/>
        <w:ind w:left="2160" w:hanging="1440"/>
      </w:pPr>
      <w:r w:rsidRPr="00576AF8">
        <w:t>Apéndice 4.</w:t>
      </w:r>
      <w:r w:rsidRPr="00576AF8">
        <w:tab/>
        <w:t>Categorías de software</w:t>
      </w:r>
    </w:p>
    <w:p w14:paraId="0E6D62AB" w14:textId="77777777" w:rsidR="00A20832" w:rsidRPr="00576AF8" w:rsidRDefault="00A20832" w:rsidP="00A20832">
      <w:pPr>
        <w:spacing w:after="60"/>
        <w:ind w:left="2160" w:hanging="1440"/>
      </w:pPr>
      <w:r w:rsidRPr="00576AF8">
        <w:t>Apéndice 5.</w:t>
      </w:r>
      <w:r w:rsidRPr="00576AF8">
        <w:tab/>
        <w:t>Materiales personalizados</w:t>
      </w:r>
    </w:p>
    <w:p w14:paraId="156EE429" w14:textId="77777777" w:rsidR="00A20832" w:rsidRPr="00576AF8" w:rsidRDefault="00A20832" w:rsidP="00A20832">
      <w:pPr>
        <w:spacing w:after="60"/>
        <w:ind w:left="2160" w:hanging="1440"/>
      </w:pPr>
      <w:r w:rsidRPr="00576AF8">
        <w:t>Apéndice 6.</w:t>
      </w:r>
      <w:r w:rsidRPr="00576AF8">
        <w:tab/>
        <w:t>Listas de precios revisados (si los hubiere)</w:t>
      </w:r>
    </w:p>
    <w:p w14:paraId="5A33A88C" w14:textId="77777777" w:rsidR="00A20832" w:rsidRPr="00576AF8" w:rsidRDefault="00A20832" w:rsidP="008E2E67">
      <w:pPr>
        <w:spacing w:after="360"/>
        <w:ind w:left="2160" w:hanging="1440"/>
      </w:pPr>
      <w:r w:rsidRPr="00576AF8">
        <w:t>Apéndice 7.</w:t>
      </w:r>
      <w:r w:rsidRPr="00576AF8">
        <w:tab/>
        <w:t xml:space="preserve">Actas de las conversaciones destinadas a finalizar el Contrato y </w:t>
      </w:r>
      <w:r w:rsidR="008E2E67" w:rsidRPr="00576AF8">
        <w:br/>
      </w:r>
      <w:r w:rsidRPr="00576AF8">
        <w:t>enmiendas convenidas</w:t>
      </w:r>
    </w:p>
    <w:p w14:paraId="0AD5F0C8" w14:textId="77777777" w:rsidR="00A20832" w:rsidRPr="00576AF8" w:rsidRDefault="00A20832" w:rsidP="008E2E67">
      <w:pPr>
        <w:spacing w:after="480"/>
      </w:pPr>
      <w:r w:rsidRPr="00576AF8">
        <w:t xml:space="preserve">EN PRUEBA DE CONFORMIDAD, el presente Contrato ha sido firmado por los representantes </w:t>
      </w:r>
      <w:r w:rsidR="0077228E" w:rsidRPr="00576AF8">
        <w:t xml:space="preserve">debidamente </w:t>
      </w:r>
      <w:r w:rsidRPr="00576AF8">
        <w:t>autorizados del Comprador y el Proveedor en el día y año antes indicados.</w:t>
      </w:r>
    </w:p>
    <w:p w14:paraId="4C82EE0A" w14:textId="77777777" w:rsidR="00A20832" w:rsidRPr="00576AF8" w:rsidRDefault="00A20832" w:rsidP="008E2E67">
      <w:pPr>
        <w:spacing w:after="360"/>
      </w:pPr>
      <w:r w:rsidRPr="00576AF8">
        <w:t>En representación del Comprador:</w:t>
      </w:r>
    </w:p>
    <w:p w14:paraId="55F2D71D" w14:textId="77777777" w:rsidR="00A20832" w:rsidRPr="00576AF8" w:rsidRDefault="00A20832" w:rsidP="00A20832">
      <w:pPr>
        <w:tabs>
          <w:tab w:val="left" w:pos="900"/>
          <w:tab w:val="left" w:pos="7200"/>
        </w:tabs>
      </w:pPr>
      <w:r w:rsidRPr="00576AF8">
        <w:t>Firma:</w:t>
      </w:r>
      <w:r w:rsidRPr="00576AF8">
        <w:tab/>
      </w:r>
      <w:r w:rsidRPr="00576AF8">
        <w:tab/>
      </w:r>
    </w:p>
    <w:p w14:paraId="60335970" w14:textId="77777777" w:rsidR="00A20832" w:rsidRPr="00576AF8" w:rsidRDefault="00A20832" w:rsidP="008E2E67">
      <w:pPr>
        <w:tabs>
          <w:tab w:val="left" w:pos="900"/>
          <w:tab w:val="left" w:pos="7200"/>
        </w:tabs>
        <w:spacing w:after="360"/>
        <w:rPr>
          <w:b/>
        </w:rPr>
      </w:pPr>
      <w:r w:rsidRPr="00576AF8">
        <w:tab/>
        <w:t xml:space="preserve">En calidad de: </w:t>
      </w:r>
      <w:r w:rsidRPr="00576AF8">
        <w:rPr>
          <w:rStyle w:val="preparersnote"/>
        </w:rPr>
        <w:t>[indique el cargo u otra designación apropiada]</w:t>
      </w:r>
    </w:p>
    <w:p w14:paraId="2CFAF8BA" w14:textId="77777777" w:rsidR="00A20832" w:rsidRPr="00576AF8" w:rsidRDefault="00A20832" w:rsidP="008E2E67">
      <w:pPr>
        <w:tabs>
          <w:tab w:val="left" w:pos="7200"/>
        </w:tabs>
        <w:spacing w:after="360"/>
      </w:pPr>
      <w:r w:rsidRPr="00576AF8">
        <w:lastRenderedPageBreak/>
        <w:t xml:space="preserve">en presencia de </w:t>
      </w:r>
      <w:r w:rsidRPr="00576AF8">
        <w:tab/>
      </w:r>
    </w:p>
    <w:p w14:paraId="3324C5A6" w14:textId="77777777" w:rsidR="00A20832" w:rsidRPr="00576AF8" w:rsidRDefault="00A20832" w:rsidP="008E2E67">
      <w:pPr>
        <w:spacing w:after="360"/>
      </w:pPr>
      <w:r w:rsidRPr="00576AF8">
        <w:t>En representación del Proveedor:</w:t>
      </w:r>
    </w:p>
    <w:p w14:paraId="24BF2F1F" w14:textId="77777777" w:rsidR="00A20832" w:rsidRPr="00576AF8" w:rsidRDefault="00A20832" w:rsidP="008E2E67">
      <w:pPr>
        <w:pageBreakBefore/>
        <w:tabs>
          <w:tab w:val="left" w:pos="900"/>
          <w:tab w:val="left" w:pos="7200"/>
        </w:tabs>
      </w:pPr>
      <w:r w:rsidRPr="00576AF8">
        <w:lastRenderedPageBreak/>
        <w:t>Firma:</w:t>
      </w:r>
      <w:r w:rsidRPr="00576AF8">
        <w:tab/>
      </w:r>
      <w:r w:rsidRPr="00576AF8">
        <w:tab/>
      </w:r>
    </w:p>
    <w:p w14:paraId="557F8C7B" w14:textId="77777777" w:rsidR="00A20832" w:rsidRPr="00576AF8" w:rsidRDefault="00A20832" w:rsidP="008E2E67">
      <w:pPr>
        <w:tabs>
          <w:tab w:val="left" w:pos="900"/>
          <w:tab w:val="left" w:pos="7200"/>
        </w:tabs>
        <w:spacing w:after="360"/>
      </w:pPr>
      <w:r w:rsidRPr="00576AF8">
        <w:tab/>
        <w:t xml:space="preserve">En calidad de: </w:t>
      </w:r>
      <w:r w:rsidRPr="00576AF8">
        <w:rPr>
          <w:rStyle w:val="preparersnote"/>
        </w:rPr>
        <w:t>[indique el cargo u otra designación apropiada]</w:t>
      </w:r>
    </w:p>
    <w:p w14:paraId="193D2AD2" w14:textId="77777777" w:rsidR="00A20832" w:rsidRPr="00576AF8" w:rsidRDefault="00A20832" w:rsidP="008E2E67">
      <w:pPr>
        <w:tabs>
          <w:tab w:val="left" w:pos="7200"/>
        </w:tabs>
        <w:spacing w:after="360"/>
      </w:pPr>
      <w:r w:rsidRPr="00576AF8">
        <w:t xml:space="preserve">en presencia de </w:t>
      </w:r>
      <w:r w:rsidRPr="00576AF8">
        <w:tab/>
      </w:r>
    </w:p>
    <w:p w14:paraId="5AA06F7D" w14:textId="77777777" w:rsidR="00A20832" w:rsidRPr="00576AF8" w:rsidRDefault="00A20832" w:rsidP="00A20832">
      <w:r w:rsidRPr="00576AF8">
        <w:t xml:space="preserve">CONVENIO CONTRACTUAL </w:t>
      </w:r>
    </w:p>
    <w:p w14:paraId="57E1E6E6" w14:textId="77777777" w:rsidR="00A20832" w:rsidRPr="00576AF8" w:rsidRDefault="00A20832" w:rsidP="00A20832">
      <w:pPr>
        <w:tabs>
          <w:tab w:val="left" w:pos="900"/>
          <w:tab w:val="left" w:pos="3600"/>
          <w:tab w:val="left" w:pos="7200"/>
          <w:tab w:val="left" w:pos="8280"/>
        </w:tabs>
      </w:pPr>
      <w:r w:rsidRPr="00576AF8">
        <w:tab/>
        <w:t xml:space="preserve">celebrado a los </w:t>
      </w:r>
      <w:r w:rsidRPr="00576AF8">
        <w:rPr>
          <w:rStyle w:val="preparersnote"/>
        </w:rPr>
        <w:t>[indique el día]</w:t>
      </w:r>
      <w:r w:rsidRPr="00576AF8">
        <w:t xml:space="preserve"> de </w:t>
      </w:r>
      <w:r w:rsidRPr="00576AF8">
        <w:rPr>
          <w:rStyle w:val="preparersnote"/>
        </w:rPr>
        <w:t>[indique el mes] de [indique el año].</w:t>
      </w:r>
    </w:p>
    <w:p w14:paraId="1063F341" w14:textId="77777777" w:rsidR="00A20832" w:rsidRPr="00576AF8" w:rsidRDefault="00A20832" w:rsidP="00A20832">
      <w:r w:rsidRPr="00576AF8">
        <w:t>ENTRE</w:t>
      </w:r>
    </w:p>
    <w:p w14:paraId="6577B517" w14:textId="77777777" w:rsidR="00A20832" w:rsidRPr="00576AF8" w:rsidRDefault="00A20832" w:rsidP="00A20832">
      <w:pPr>
        <w:tabs>
          <w:tab w:val="left" w:pos="900"/>
        </w:tabs>
      </w:pPr>
      <w:r w:rsidRPr="00576AF8">
        <w:tab/>
      </w:r>
      <w:r w:rsidRPr="00576AF8">
        <w:rPr>
          <w:rStyle w:val="preparersnote"/>
        </w:rPr>
        <w:t>[indique el nombre del Comprador],</w:t>
      </w:r>
      <w:r w:rsidRPr="00576AF8">
        <w:rPr>
          <w:b/>
        </w:rPr>
        <w:t xml:space="preserve"> </w:t>
      </w:r>
      <w:r w:rsidRPr="00576AF8">
        <w:t>el “Comprador”</w:t>
      </w:r>
    </w:p>
    <w:p w14:paraId="3C6B2133" w14:textId="77777777" w:rsidR="00A20832" w:rsidRPr="00576AF8" w:rsidRDefault="00A20832" w:rsidP="00A20832">
      <w:r w:rsidRPr="00576AF8">
        <w:t xml:space="preserve">y </w:t>
      </w:r>
    </w:p>
    <w:p w14:paraId="74E5864E" w14:textId="77777777" w:rsidR="00A20832" w:rsidRPr="00576AF8" w:rsidRDefault="00A20832" w:rsidP="00A20832">
      <w:pPr>
        <w:tabs>
          <w:tab w:val="left" w:pos="900"/>
        </w:tabs>
      </w:pPr>
      <w:r w:rsidRPr="00576AF8">
        <w:tab/>
      </w:r>
      <w:r w:rsidRPr="00576AF8">
        <w:rPr>
          <w:rStyle w:val="preparersnote"/>
        </w:rPr>
        <w:t>[indique el nombre del Proveedor],</w:t>
      </w:r>
      <w:r w:rsidRPr="00576AF8">
        <w:t xml:space="preserve"> el “Proveedor”</w:t>
      </w:r>
    </w:p>
    <w:p w14:paraId="245E43F1" w14:textId="77777777" w:rsidR="00A20832" w:rsidRPr="00576AF8" w:rsidRDefault="00A20832" w:rsidP="00A20832"/>
    <w:p w14:paraId="4F6133B7"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38" w:name="_Toc448739663"/>
      <w:bookmarkStart w:id="1739" w:name="_Toc479249650"/>
      <w:bookmarkStart w:id="1740" w:name="_Toc483587934"/>
      <w:bookmarkStart w:id="1741" w:name="_Toc488965455"/>
      <w:bookmarkStart w:id="1742" w:name="_Toc28246685"/>
      <w:r w:rsidRPr="00576AF8">
        <w:rPr>
          <w:rFonts w:ascii="Times New Roman" w:hAnsi="Times New Roman"/>
        </w:rPr>
        <w:lastRenderedPageBreak/>
        <w:t xml:space="preserve">Apéndice 1. </w:t>
      </w:r>
      <w:r w:rsidR="008E2E67" w:rsidRPr="00576AF8">
        <w:rPr>
          <w:rFonts w:ascii="Times New Roman" w:hAnsi="Times New Roman"/>
        </w:rPr>
        <w:t xml:space="preserve"> </w:t>
      </w:r>
      <w:r w:rsidRPr="00576AF8">
        <w:rPr>
          <w:rFonts w:ascii="Times New Roman" w:hAnsi="Times New Roman"/>
        </w:rPr>
        <w:t>Representante del Proveedor</w:t>
      </w:r>
      <w:bookmarkEnd w:id="1738"/>
      <w:bookmarkEnd w:id="1739"/>
      <w:bookmarkEnd w:id="1740"/>
      <w:bookmarkEnd w:id="1741"/>
      <w:bookmarkEnd w:id="1742"/>
    </w:p>
    <w:p w14:paraId="5F09D20A" w14:textId="77777777" w:rsidR="00A20832" w:rsidRPr="00576AF8" w:rsidRDefault="00A20832" w:rsidP="00A20832">
      <w:pPr>
        <w:rPr>
          <w:sz w:val="22"/>
        </w:rPr>
      </w:pPr>
    </w:p>
    <w:p w14:paraId="16CBAC51" w14:textId="77777777" w:rsidR="00A20832" w:rsidRPr="00576AF8" w:rsidRDefault="00A20832" w:rsidP="00A20832">
      <w:r w:rsidRPr="00576AF8">
        <w:t xml:space="preserve">De conformidad con la cláusula 1.1 </w:t>
      </w:r>
      <w:r w:rsidR="00284580" w:rsidRPr="00576AF8">
        <w:t>(</w:t>
      </w:r>
      <w:r w:rsidRPr="00576AF8">
        <w:t xml:space="preserve">b) </w:t>
      </w:r>
      <w:r w:rsidR="00284580" w:rsidRPr="00576AF8">
        <w:t>(</w:t>
      </w:r>
      <w:r w:rsidRPr="00576AF8">
        <w:t xml:space="preserve">iv) de las CGC, el representante del Proveedor es: </w:t>
      </w:r>
    </w:p>
    <w:p w14:paraId="1E9E5B5F" w14:textId="77777777" w:rsidR="00A20832" w:rsidRPr="00576AF8" w:rsidRDefault="00A20832" w:rsidP="00A20832"/>
    <w:p w14:paraId="3C240AFA" w14:textId="77777777" w:rsidR="00A20832" w:rsidRPr="00576AF8" w:rsidRDefault="00A20832" w:rsidP="008E2E67">
      <w:pPr>
        <w:tabs>
          <w:tab w:val="left" w:pos="7200"/>
        </w:tabs>
        <w:ind w:left="1843" w:hanging="1123"/>
        <w:rPr>
          <w:b/>
        </w:rPr>
      </w:pPr>
      <w:r w:rsidRPr="00576AF8">
        <w:t xml:space="preserve">Nombre: </w:t>
      </w:r>
      <w:r w:rsidR="008E2E67" w:rsidRPr="00576AF8">
        <w:tab/>
      </w:r>
      <w:r w:rsidRPr="00576AF8">
        <w:rPr>
          <w:rStyle w:val="preparersnote"/>
        </w:rPr>
        <w:t>[indique el nombre e incluya el cargo y la dirección más abajo, o el siguiente texto: “será designado dentro de los catorce (14) días posteriores a la fecha de entrada en vigor”].</w:t>
      </w:r>
    </w:p>
    <w:p w14:paraId="4DC5ECE4" w14:textId="77777777" w:rsidR="00A20832" w:rsidRPr="00576AF8" w:rsidRDefault="00A20832" w:rsidP="008E2E67">
      <w:pPr>
        <w:ind w:left="1843" w:hanging="1123"/>
      </w:pPr>
    </w:p>
    <w:p w14:paraId="3D1DB906" w14:textId="77777777" w:rsidR="00A20832" w:rsidRPr="00576AF8" w:rsidRDefault="00A20832" w:rsidP="008E2E67">
      <w:pPr>
        <w:tabs>
          <w:tab w:val="left" w:pos="7200"/>
        </w:tabs>
        <w:ind w:left="1843" w:hanging="1123"/>
        <w:rPr>
          <w:b/>
        </w:rPr>
      </w:pPr>
      <w:r w:rsidRPr="00576AF8">
        <w:t xml:space="preserve">Cargo: </w:t>
      </w:r>
      <w:r w:rsidRPr="00576AF8">
        <w:tab/>
      </w:r>
      <w:r w:rsidRPr="00576AF8">
        <w:rPr>
          <w:rStyle w:val="preparersnote"/>
        </w:rPr>
        <w:t>[si corresponde, indique el cargo]</w:t>
      </w:r>
      <w:r w:rsidRPr="00576AF8">
        <w:rPr>
          <w:rStyle w:val="preparersnote"/>
          <w:b w:val="0"/>
        </w:rPr>
        <w:t>.</w:t>
      </w:r>
    </w:p>
    <w:p w14:paraId="384FFEFC" w14:textId="77777777" w:rsidR="00A20832" w:rsidRPr="00576AF8" w:rsidRDefault="00A20832" w:rsidP="00A20832">
      <w:pPr>
        <w:ind w:left="720"/>
      </w:pPr>
    </w:p>
    <w:p w14:paraId="6FF5E149" w14:textId="77777777" w:rsidR="00A20832" w:rsidRPr="00576AF8" w:rsidRDefault="00A20832" w:rsidP="008E2E67">
      <w:r w:rsidRPr="00576AF8">
        <w:t xml:space="preserve">De conformidad con la cláusula 4.3 de las CGC, las direcciones del Proveedor para el envío de las notificaciones correspondientes al Contrato son las siguientes: </w:t>
      </w:r>
    </w:p>
    <w:p w14:paraId="46D0A242" w14:textId="77777777" w:rsidR="00A20832" w:rsidRPr="00576AF8" w:rsidRDefault="00A20832" w:rsidP="00A20832">
      <w:pPr>
        <w:ind w:left="720"/>
      </w:pPr>
    </w:p>
    <w:p w14:paraId="4CED97D1" w14:textId="77777777" w:rsidR="00A20832" w:rsidRPr="00576AF8" w:rsidRDefault="00A20832" w:rsidP="00A20832">
      <w:pPr>
        <w:spacing w:after="160"/>
        <w:ind w:left="734" w:right="-72" w:hanging="14"/>
        <w:rPr>
          <w:rStyle w:val="preparersnote"/>
        </w:rPr>
      </w:pPr>
      <w:r w:rsidRPr="00576AF8">
        <w:t xml:space="preserve">Dirección del representante del Proveedor: </w:t>
      </w:r>
      <w:r w:rsidRPr="00576AF8">
        <w:rPr>
          <w:rStyle w:val="preparersnote"/>
          <w:b w:val="0"/>
        </w:rPr>
        <w:t xml:space="preserve">[indique, según corresponda, </w:t>
      </w:r>
      <w:r w:rsidRPr="00576AF8">
        <w:rPr>
          <w:rStyle w:val="preparersnote"/>
        </w:rPr>
        <w:t xml:space="preserve">las direcciones para la entrega </w:t>
      </w:r>
      <w:r w:rsidR="0077228E" w:rsidRPr="00576AF8">
        <w:rPr>
          <w:rStyle w:val="preparersnote"/>
        </w:rPr>
        <w:t xml:space="preserve">personal </w:t>
      </w:r>
      <w:r w:rsidRPr="00576AF8">
        <w:rPr>
          <w:rStyle w:val="preparersnote"/>
        </w:rPr>
        <w:t xml:space="preserve">o </w:t>
      </w:r>
      <w:r w:rsidR="0077228E" w:rsidRPr="00576AF8">
        <w:rPr>
          <w:rStyle w:val="preparersnote"/>
        </w:rPr>
        <w:t xml:space="preserve">por </w:t>
      </w:r>
      <w:r w:rsidRPr="00576AF8">
        <w:rPr>
          <w:rStyle w:val="preparersnote"/>
        </w:rPr>
        <w:t>envío postal, el correo electrónico o la dirección de intercambio electrónico de datos].</w:t>
      </w:r>
    </w:p>
    <w:p w14:paraId="51E5FE99" w14:textId="77777777" w:rsidR="00A20832" w:rsidRPr="00576AF8" w:rsidRDefault="00A20832" w:rsidP="00A20832">
      <w:pPr>
        <w:spacing w:after="160"/>
        <w:ind w:left="734" w:right="-72" w:hanging="734"/>
        <w:rPr>
          <w:rStyle w:val="preparersnote"/>
        </w:rPr>
      </w:pPr>
    </w:p>
    <w:p w14:paraId="7F650CF8" w14:textId="77777777" w:rsidR="00A20832" w:rsidRPr="00576AF8" w:rsidRDefault="00A20832" w:rsidP="00A20832">
      <w:pPr>
        <w:ind w:left="720"/>
      </w:pPr>
      <w:r w:rsidRPr="00576AF8">
        <w:t xml:space="preserve">Dirección alternativa del Proveedor: </w:t>
      </w:r>
      <w:r w:rsidRPr="00576AF8">
        <w:rPr>
          <w:rStyle w:val="preparersnote"/>
          <w:b w:val="0"/>
        </w:rPr>
        <w:t xml:space="preserve">[indique, según corresponda, </w:t>
      </w:r>
      <w:r w:rsidRPr="00576AF8">
        <w:rPr>
          <w:rStyle w:val="preparersnote"/>
        </w:rPr>
        <w:t xml:space="preserve">las direcciones para la entrega </w:t>
      </w:r>
      <w:r w:rsidR="0077228E" w:rsidRPr="00576AF8">
        <w:rPr>
          <w:rStyle w:val="preparersnote"/>
        </w:rPr>
        <w:t xml:space="preserve">personal </w:t>
      </w:r>
      <w:r w:rsidRPr="00576AF8">
        <w:rPr>
          <w:rStyle w:val="preparersnote"/>
        </w:rPr>
        <w:t xml:space="preserve">o </w:t>
      </w:r>
      <w:r w:rsidR="0077228E" w:rsidRPr="00576AF8">
        <w:rPr>
          <w:rStyle w:val="preparersnote"/>
        </w:rPr>
        <w:t xml:space="preserve">por </w:t>
      </w:r>
      <w:r w:rsidRPr="00576AF8">
        <w:rPr>
          <w:rStyle w:val="preparersnote"/>
        </w:rPr>
        <w:t>envío postal, el correo electrónico o la dirección de intercambio electrónico de datos].</w:t>
      </w:r>
    </w:p>
    <w:p w14:paraId="62AF7AAE" w14:textId="77777777" w:rsidR="00A20832" w:rsidRPr="00576AF8" w:rsidRDefault="00A20832" w:rsidP="00A20832"/>
    <w:p w14:paraId="01025755"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43" w:name="_Toc448739664"/>
      <w:bookmarkStart w:id="1744" w:name="_Toc479249651"/>
      <w:bookmarkStart w:id="1745" w:name="_Toc483587935"/>
      <w:bookmarkStart w:id="1746" w:name="_Toc488965456"/>
      <w:bookmarkStart w:id="1747" w:name="_Toc28246686"/>
      <w:r w:rsidRPr="00576AF8">
        <w:rPr>
          <w:rFonts w:ascii="Times New Roman" w:hAnsi="Times New Roman"/>
        </w:rPr>
        <w:lastRenderedPageBreak/>
        <w:t xml:space="preserve">Apéndice 2. </w:t>
      </w:r>
      <w:r w:rsidR="008E2E67" w:rsidRPr="00576AF8">
        <w:rPr>
          <w:rFonts w:ascii="Times New Roman" w:hAnsi="Times New Roman"/>
        </w:rPr>
        <w:t xml:space="preserve"> </w:t>
      </w:r>
      <w:r w:rsidRPr="00576AF8">
        <w:rPr>
          <w:rFonts w:ascii="Times New Roman" w:hAnsi="Times New Roman"/>
        </w:rPr>
        <w:t>Conciliador</w:t>
      </w:r>
      <w:bookmarkEnd w:id="1743"/>
      <w:bookmarkEnd w:id="1744"/>
      <w:bookmarkEnd w:id="1745"/>
      <w:bookmarkEnd w:id="1746"/>
      <w:bookmarkEnd w:id="1747"/>
    </w:p>
    <w:p w14:paraId="51DCFD7E" w14:textId="77777777" w:rsidR="00A20832" w:rsidRPr="00576AF8" w:rsidRDefault="00A20832" w:rsidP="00A20832">
      <w:pPr>
        <w:rPr>
          <w:sz w:val="22"/>
        </w:rPr>
      </w:pPr>
    </w:p>
    <w:p w14:paraId="25F5ABA9" w14:textId="77777777" w:rsidR="00A20832" w:rsidRPr="00576AF8" w:rsidRDefault="00A20832" w:rsidP="00A20832">
      <w:r w:rsidRPr="00576AF8">
        <w:t xml:space="preserve">De conformidad con la cláusula 1.1 </w:t>
      </w:r>
      <w:r w:rsidR="00546D13" w:rsidRPr="00576AF8">
        <w:t>(</w:t>
      </w:r>
      <w:r w:rsidRPr="00576AF8">
        <w:t xml:space="preserve">b) </w:t>
      </w:r>
      <w:r w:rsidR="00546D13" w:rsidRPr="00576AF8">
        <w:t>(</w:t>
      </w:r>
      <w:r w:rsidRPr="00576AF8">
        <w:t>vi) de las CGC, el conciliador acordado es:</w:t>
      </w:r>
    </w:p>
    <w:p w14:paraId="5CC72C03" w14:textId="77777777" w:rsidR="00A20832" w:rsidRPr="00576AF8" w:rsidRDefault="00A20832" w:rsidP="00A20832">
      <w:pPr>
        <w:rPr>
          <w:sz w:val="28"/>
        </w:rPr>
      </w:pPr>
    </w:p>
    <w:p w14:paraId="5FF06314" w14:textId="77777777" w:rsidR="00A20832" w:rsidRPr="00576AF8" w:rsidRDefault="00A20832" w:rsidP="00A20832">
      <w:pPr>
        <w:tabs>
          <w:tab w:val="left" w:pos="7200"/>
        </w:tabs>
        <w:ind w:left="720"/>
        <w:rPr>
          <w:sz w:val="28"/>
        </w:rPr>
      </w:pPr>
      <w:r w:rsidRPr="00576AF8">
        <w:t>Nombre:</w:t>
      </w:r>
      <w:r w:rsidRPr="00576AF8">
        <w:rPr>
          <w:sz w:val="28"/>
        </w:rPr>
        <w:t xml:space="preserve"> </w:t>
      </w:r>
      <w:r w:rsidRPr="00576AF8">
        <w:rPr>
          <w:rStyle w:val="preparersnote"/>
        </w:rPr>
        <w:t>[indique el nombre]</w:t>
      </w:r>
      <w:r w:rsidRPr="00576AF8">
        <w:rPr>
          <w:rStyle w:val="preparersnote"/>
          <w:b w:val="0"/>
        </w:rPr>
        <w:t>.</w:t>
      </w:r>
      <w:r w:rsidRPr="00576AF8">
        <w:rPr>
          <w:sz w:val="28"/>
        </w:rPr>
        <w:tab/>
      </w:r>
    </w:p>
    <w:p w14:paraId="2415D700" w14:textId="77777777" w:rsidR="00A20832" w:rsidRPr="00576AF8" w:rsidRDefault="00A20832" w:rsidP="00A20832">
      <w:pPr>
        <w:ind w:left="720"/>
        <w:rPr>
          <w:sz w:val="28"/>
        </w:rPr>
      </w:pPr>
    </w:p>
    <w:p w14:paraId="74E5E194" w14:textId="77777777" w:rsidR="00A20832" w:rsidRPr="00576AF8" w:rsidRDefault="00A20832" w:rsidP="00A20832">
      <w:pPr>
        <w:tabs>
          <w:tab w:val="left" w:pos="7200"/>
        </w:tabs>
        <w:ind w:left="720"/>
        <w:rPr>
          <w:sz w:val="28"/>
        </w:rPr>
      </w:pPr>
      <w:r w:rsidRPr="00576AF8">
        <w:t>Cargo:</w:t>
      </w:r>
      <w:r w:rsidRPr="00576AF8">
        <w:rPr>
          <w:sz w:val="28"/>
        </w:rPr>
        <w:t xml:space="preserve"> </w:t>
      </w:r>
      <w:r w:rsidRPr="00576AF8">
        <w:rPr>
          <w:rStyle w:val="preparersnote"/>
        </w:rPr>
        <w:t>[indique el cargo]</w:t>
      </w:r>
      <w:r w:rsidRPr="00576AF8">
        <w:rPr>
          <w:rStyle w:val="preparersnote"/>
          <w:b w:val="0"/>
        </w:rPr>
        <w:t>.</w:t>
      </w:r>
      <w:r w:rsidRPr="00576AF8">
        <w:rPr>
          <w:sz w:val="28"/>
        </w:rPr>
        <w:tab/>
      </w:r>
    </w:p>
    <w:p w14:paraId="320BEF04" w14:textId="77777777" w:rsidR="00A20832" w:rsidRPr="00576AF8" w:rsidRDefault="00A20832" w:rsidP="00A20832">
      <w:pPr>
        <w:tabs>
          <w:tab w:val="left" w:pos="7200"/>
        </w:tabs>
        <w:ind w:left="720"/>
        <w:rPr>
          <w:sz w:val="28"/>
        </w:rPr>
      </w:pPr>
    </w:p>
    <w:p w14:paraId="0EDD36DC" w14:textId="77777777" w:rsidR="00A20832" w:rsidRPr="00576AF8" w:rsidRDefault="00A20832" w:rsidP="00A20832">
      <w:pPr>
        <w:tabs>
          <w:tab w:val="left" w:pos="7200"/>
        </w:tabs>
        <w:ind w:left="720"/>
        <w:rPr>
          <w:sz w:val="28"/>
        </w:rPr>
      </w:pPr>
      <w:r w:rsidRPr="00576AF8">
        <w:t xml:space="preserve">Dirección: </w:t>
      </w:r>
      <w:r w:rsidRPr="00576AF8">
        <w:rPr>
          <w:rStyle w:val="preparersnote"/>
        </w:rPr>
        <w:t>[indique la dirección postal]</w:t>
      </w:r>
      <w:r w:rsidRPr="00576AF8">
        <w:rPr>
          <w:rStyle w:val="preparersnote"/>
          <w:b w:val="0"/>
        </w:rPr>
        <w:t>.</w:t>
      </w:r>
      <w:r w:rsidRPr="00576AF8">
        <w:rPr>
          <w:rStyle w:val="preparersnote"/>
        </w:rPr>
        <w:t xml:space="preserve"> </w:t>
      </w:r>
      <w:r w:rsidRPr="00576AF8">
        <w:rPr>
          <w:sz w:val="28"/>
        </w:rPr>
        <w:tab/>
      </w:r>
    </w:p>
    <w:p w14:paraId="578E578F" w14:textId="77777777" w:rsidR="00A20832" w:rsidRPr="00576AF8" w:rsidRDefault="00A20832" w:rsidP="00A20832">
      <w:pPr>
        <w:ind w:left="720"/>
        <w:rPr>
          <w:sz w:val="28"/>
        </w:rPr>
      </w:pPr>
    </w:p>
    <w:p w14:paraId="0AC1E74A" w14:textId="77777777" w:rsidR="00A20832" w:rsidRPr="00576AF8" w:rsidRDefault="00A20832" w:rsidP="00A20832">
      <w:pPr>
        <w:tabs>
          <w:tab w:val="left" w:pos="7200"/>
        </w:tabs>
        <w:ind w:left="720"/>
        <w:rPr>
          <w:sz w:val="28"/>
        </w:rPr>
      </w:pPr>
      <w:r w:rsidRPr="00576AF8">
        <w:t xml:space="preserve">Teléfono: </w:t>
      </w:r>
      <w:r w:rsidRPr="00576AF8">
        <w:rPr>
          <w:rStyle w:val="preparersnote"/>
        </w:rPr>
        <w:t>[indique el número de teléfono]</w:t>
      </w:r>
      <w:r w:rsidRPr="00576AF8">
        <w:rPr>
          <w:rStyle w:val="preparersnote"/>
          <w:b w:val="0"/>
        </w:rPr>
        <w:t>.</w:t>
      </w:r>
      <w:r w:rsidRPr="00576AF8">
        <w:rPr>
          <w:rStyle w:val="preparersnote"/>
        </w:rPr>
        <w:t xml:space="preserve"> </w:t>
      </w:r>
      <w:r w:rsidRPr="00576AF8">
        <w:rPr>
          <w:sz w:val="28"/>
        </w:rPr>
        <w:tab/>
      </w:r>
    </w:p>
    <w:p w14:paraId="4BD2A94B" w14:textId="77777777" w:rsidR="00A20832" w:rsidRPr="00576AF8" w:rsidRDefault="00A20832" w:rsidP="00A20832">
      <w:pPr>
        <w:ind w:left="720"/>
        <w:rPr>
          <w:sz w:val="28"/>
        </w:rPr>
      </w:pPr>
    </w:p>
    <w:p w14:paraId="6BB590EA" w14:textId="77777777" w:rsidR="00A20832" w:rsidRPr="00576AF8" w:rsidRDefault="00A20832" w:rsidP="00A20832">
      <w:pPr>
        <w:ind w:left="720"/>
        <w:rPr>
          <w:sz w:val="28"/>
        </w:rPr>
      </w:pPr>
    </w:p>
    <w:p w14:paraId="2F8545B6" w14:textId="77777777" w:rsidR="00A20832" w:rsidRPr="00576AF8" w:rsidRDefault="00A20832" w:rsidP="00A20832">
      <w:r w:rsidRPr="00576AF8">
        <w:t xml:space="preserve">De conformidad con la cláusula </w:t>
      </w:r>
      <w:r w:rsidR="008A5B70" w:rsidRPr="00576AF8">
        <w:t>43</w:t>
      </w:r>
      <w:r w:rsidRPr="00576AF8">
        <w:t>.1.3 de las CGC, los honorarios y los gastos reembolsables acordados son los siguientes:</w:t>
      </w:r>
    </w:p>
    <w:p w14:paraId="26D035C1" w14:textId="77777777" w:rsidR="00A20832" w:rsidRPr="00576AF8" w:rsidRDefault="00A20832" w:rsidP="00A20832">
      <w:pPr>
        <w:ind w:left="720"/>
        <w:rPr>
          <w:sz w:val="28"/>
        </w:rPr>
      </w:pPr>
    </w:p>
    <w:p w14:paraId="1CAAF067" w14:textId="77777777" w:rsidR="00A20832" w:rsidRPr="00576AF8" w:rsidRDefault="00A20832" w:rsidP="00A20832">
      <w:pPr>
        <w:tabs>
          <w:tab w:val="left" w:pos="7200"/>
        </w:tabs>
        <w:ind w:left="720"/>
        <w:rPr>
          <w:sz w:val="28"/>
        </w:rPr>
      </w:pPr>
      <w:r w:rsidRPr="00576AF8">
        <w:t xml:space="preserve">Honorarios por hora: </w:t>
      </w:r>
      <w:r w:rsidRPr="00576AF8">
        <w:rPr>
          <w:rStyle w:val="preparersnote"/>
        </w:rPr>
        <w:t>[indique los honorarios por hora]</w:t>
      </w:r>
      <w:r w:rsidRPr="00576AF8">
        <w:rPr>
          <w:rStyle w:val="preparersnote"/>
          <w:b w:val="0"/>
        </w:rPr>
        <w:t>.</w:t>
      </w:r>
      <w:r w:rsidRPr="00576AF8">
        <w:rPr>
          <w:rStyle w:val="preparersnote"/>
        </w:rPr>
        <w:t xml:space="preserve"> </w:t>
      </w:r>
      <w:r w:rsidRPr="00576AF8">
        <w:rPr>
          <w:sz w:val="28"/>
        </w:rPr>
        <w:tab/>
      </w:r>
    </w:p>
    <w:p w14:paraId="64D5573D" w14:textId="77777777" w:rsidR="00A20832" w:rsidRPr="00576AF8" w:rsidRDefault="00A20832" w:rsidP="00A20832">
      <w:pPr>
        <w:ind w:left="720"/>
        <w:rPr>
          <w:sz w:val="28"/>
        </w:rPr>
      </w:pPr>
    </w:p>
    <w:p w14:paraId="6780A55C" w14:textId="77777777" w:rsidR="00A20832" w:rsidRPr="00576AF8" w:rsidRDefault="00A20832" w:rsidP="00A20832">
      <w:pPr>
        <w:tabs>
          <w:tab w:val="left" w:pos="7200"/>
        </w:tabs>
        <w:ind w:left="720"/>
        <w:rPr>
          <w:sz w:val="28"/>
        </w:rPr>
      </w:pPr>
      <w:r w:rsidRPr="00576AF8">
        <w:t xml:space="preserve">Gastos reembolsables: </w:t>
      </w:r>
      <w:r w:rsidRPr="00576AF8">
        <w:rPr>
          <w:rStyle w:val="preparersnote"/>
        </w:rPr>
        <w:t>[enumere los gastos reembolsables]</w:t>
      </w:r>
      <w:r w:rsidRPr="00576AF8">
        <w:rPr>
          <w:rStyle w:val="preparersnote"/>
          <w:b w:val="0"/>
        </w:rPr>
        <w:t>.</w:t>
      </w:r>
      <w:r w:rsidRPr="00576AF8">
        <w:rPr>
          <w:rStyle w:val="preparersnote"/>
        </w:rPr>
        <w:t xml:space="preserve"> </w:t>
      </w:r>
      <w:r w:rsidRPr="00576AF8">
        <w:rPr>
          <w:sz w:val="28"/>
        </w:rPr>
        <w:tab/>
      </w:r>
    </w:p>
    <w:p w14:paraId="4D54B155" w14:textId="77777777" w:rsidR="00A20832" w:rsidRPr="00576AF8" w:rsidRDefault="00A20832" w:rsidP="00A20832">
      <w:pPr>
        <w:ind w:left="720"/>
        <w:rPr>
          <w:sz w:val="28"/>
        </w:rPr>
      </w:pPr>
    </w:p>
    <w:p w14:paraId="4523EDD5" w14:textId="77777777" w:rsidR="00A20832" w:rsidRPr="00576AF8" w:rsidRDefault="00A20832" w:rsidP="00A20832">
      <w:pPr>
        <w:ind w:left="720"/>
        <w:rPr>
          <w:sz w:val="28"/>
        </w:rPr>
      </w:pPr>
    </w:p>
    <w:p w14:paraId="0E67EA0F" w14:textId="77777777" w:rsidR="00A20832" w:rsidRPr="00576AF8" w:rsidRDefault="00A20832" w:rsidP="00A20832">
      <w:r w:rsidRPr="00576AF8">
        <w:t xml:space="preserve">De acuerdo con la cláusula </w:t>
      </w:r>
      <w:r w:rsidR="008A5B70" w:rsidRPr="00576AF8">
        <w:t>43</w:t>
      </w:r>
      <w:r w:rsidRPr="00576AF8">
        <w:t xml:space="preserve">.1.4. de las CGC, si, en el momento de firmar el Contrato, el Comprador y el Proveedor no hubieran llegado a un acuerdo, el conciliador será nombrado por la autoridad nominadora designada en las CEC. </w:t>
      </w:r>
    </w:p>
    <w:p w14:paraId="438B0795"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48" w:name="_Toc448739665"/>
      <w:bookmarkStart w:id="1749" w:name="_Toc479249652"/>
      <w:bookmarkStart w:id="1750" w:name="_Toc483587936"/>
      <w:bookmarkStart w:id="1751" w:name="_Toc488965457"/>
      <w:bookmarkStart w:id="1752" w:name="_Toc28246687"/>
      <w:r w:rsidRPr="00576AF8">
        <w:rPr>
          <w:rFonts w:ascii="Times New Roman" w:hAnsi="Times New Roman"/>
        </w:rPr>
        <w:lastRenderedPageBreak/>
        <w:t>Apéndice 3.</w:t>
      </w:r>
      <w:r w:rsidR="00546D13" w:rsidRPr="00576AF8">
        <w:rPr>
          <w:rFonts w:ascii="Times New Roman" w:hAnsi="Times New Roman"/>
        </w:rPr>
        <w:t xml:space="preserve"> </w:t>
      </w:r>
      <w:r w:rsidRPr="00576AF8">
        <w:rPr>
          <w:rFonts w:ascii="Times New Roman" w:hAnsi="Times New Roman"/>
        </w:rPr>
        <w:t xml:space="preserve"> Lista de subcontratistas aprobados</w:t>
      </w:r>
      <w:bookmarkEnd w:id="1748"/>
      <w:bookmarkEnd w:id="1749"/>
      <w:bookmarkEnd w:id="1750"/>
      <w:bookmarkEnd w:id="1751"/>
      <w:bookmarkEnd w:id="1752"/>
      <w:r w:rsidRPr="00576AF8">
        <w:rPr>
          <w:rFonts w:ascii="Times New Roman" w:hAnsi="Times New Roman"/>
        </w:rPr>
        <w:t xml:space="preserve"> </w:t>
      </w:r>
    </w:p>
    <w:p w14:paraId="47AEB991" w14:textId="77777777" w:rsidR="00A20832" w:rsidRPr="00576AF8" w:rsidRDefault="00A20832" w:rsidP="00A20832">
      <w:pPr>
        <w:pStyle w:val="explanatorynotes"/>
        <w:rPr>
          <w:rFonts w:ascii="Times New Roman" w:hAnsi="Times New Roman"/>
        </w:rPr>
      </w:pPr>
    </w:p>
    <w:p w14:paraId="1511D2BC" w14:textId="77777777" w:rsidR="00A20832" w:rsidRPr="00576AF8" w:rsidRDefault="00A20832" w:rsidP="00A20832">
      <w:r w:rsidRPr="00576AF8">
        <w:t xml:space="preserve">El Comprador ha aprobado los siguientes subcontratistas designados por el Proveedor para ocuparse del artículo o componente del Sistema que se indica. Cuando hubiera más de un subcontratista, el Proveedor podrá escoger entre ellos, pero deberá comunicar su elección al Comprador con la debida antelación respecto de la fecha en que debe comenzar el trabajo subcontratado, a fin de que el Comprador disponga del tiempo necesario para examinar dicha elección. Conforme a la cláusula 20.1 de las CGC, ocasionalmente el Proveedor podrá proponer otros subcontratistas para artículos adicionales. No se celebrará ningún subcontrato respecto de artículos adicionales con dichos subcontratistas mientras estos no hayan sido aprobados por escrito por el Comprador y sus nombres no se hayan agregado a esta lista de subcontratistas aprobados, conforme a la cláusula 20.3 de las CGC. </w:t>
      </w:r>
    </w:p>
    <w:p w14:paraId="67CE2EB7" w14:textId="77777777" w:rsidR="00A20832" w:rsidRPr="00576AF8" w:rsidRDefault="00A20832" w:rsidP="00A20832"/>
    <w:p w14:paraId="6BE31A10" w14:textId="77777777" w:rsidR="00A20832" w:rsidRPr="00576AF8" w:rsidRDefault="00A20832" w:rsidP="00A20832">
      <w:pPr>
        <w:rPr>
          <w:rStyle w:val="preparersnote"/>
        </w:rPr>
      </w:pPr>
      <w:r w:rsidRPr="00576AF8">
        <w:rPr>
          <w:rStyle w:val="preparersnote"/>
        </w:rPr>
        <w:t xml:space="preserve">[Especifique artículo, subcontratistas aprobados y lugar de inscripción; los subcontratistas serán los propuestos por el Proveedor en el anexo correspondiente de su Oferta y aprobados por el Comprador para ser utilizados por el Proveedor durante la ejecución del Contrato. Agregue las páginas que sean necesarias]. </w:t>
      </w:r>
    </w:p>
    <w:p w14:paraId="026BD41F" w14:textId="77777777" w:rsidR="00A20832" w:rsidRPr="00576AF8" w:rsidRDefault="00A20832" w:rsidP="00A20832">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A20832" w:rsidRPr="00576AF8" w14:paraId="0EDF2F26" w14:textId="77777777" w:rsidTr="00A35BE3">
        <w:trPr>
          <w:jc w:val="center"/>
        </w:trPr>
        <w:tc>
          <w:tcPr>
            <w:tcW w:w="2628" w:type="dxa"/>
          </w:tcPr>
          <w:p w14:paraId="7DB569EC" w14:textId="77777777" w:rsidR="00A20832" w:rsidRPr="00576AF8" w:rsidRDefault="00A20832" w:rsidP="00A35BE3">
            <w:pPr>
              <w:pStyle w:val="Ttulo4"/>
              <w:keepLines/>
              <w:spacing w:before="120"/>
            </w:pPr>
            <w:r w:rsidRPr="00576AF8">
              <w:t>Artículo</w:t>
            </w:r>
          </w:p>
        </w:tc>
        <w:tc>
          <w:tcPr>
            <w:tcW w:w="3528" w:type="dxa"/>
          </w:tcPr>
          <w:p w14:paraId="33AD7993" w14:textId="77777777" w:rsidR="00A20832" w:rsidRPr="00576AF8" w:rsidRDefault="00A20832" w:rsidP="00A35BE3">
            <w:pPr>
              <w:keepNext/>
              <w:keepLines/>
              <w:spacing w:before="120"/>
              <w:jc w:val="center"/>
              <w:outlineLvl w:val="4"/>
            </w:pPr>
            <w:r w:rsidRPr="00576AF8">
              <w:t>Subcontratistas aprobados</w:t>
            </w:r>
          </w:p>
        </w:tc>
        <w:tc>
          <w:tcPr>
            <w:tcW w:w="2340" w:type="dxa"/>
          </w:tcPr>
          <w:p w14:paraId="211DCA1B" w14:textId="77777777" w:rsidR="00A20832" w:rsidRPr="00576AF8" w:rsidRDefault="00A20832" w:rsidP="00A35BE3">
            <w:pPr>
              <w:keepNext/>
              <w:keepLines/>
              <w:spacing w:before="120"/>
              <w:jc w:val="center"/>
              <w:outlineLvl w:val="4"/>
            </w:pPr>
            <w:r w:rsidRPr="00576AF8">
              <w:t>Lugar de inscripción</w:t>
            </w:r>
          </w:p>
        </w:tc>
      </w:tr>
      <w:tr w:rsidR="00A20832" w:rsidRPr="00576AF8" w14:paraId="7ABE7D8E" w14:textId="77777777" w:rsidTr="00A35BE3">
        <w:trPr>
          <w:jc w:val="center"/>
        </w:trPr>
        <w:tc>
          <w:tcPr>
            <w:tcW w:w="2628" w:type="dxa"/>
          </w:tcPr>
          <w:p w14:paraId="23208745" w14:textId="77777777" w:rsidR="00A20832" w:rsidRPr="00576AF8" w:rsidRDefault="00A20832" w:rsidP="00A35BE3">
            <w:pPr>
              <w:spacing w:before="120"/>
            </w:pPr>
          </w:p>
        </w:tc>
        <w:tc>
          <w:tcPr>
            <w:tcW w:w="3528" w:type="dxa"/>
          </w:tcPr>
          <w:p w14:paraId="31F219F7" w14:textId="77777777" w:rsidR="00A20832" w:rsidRPr="00576AF8" w:rsidRDefault="00A20832" w:rsidP="00A35BE3">
            <w:pPr>
              <w:spacing w:before="120"/>
            </w:pPr>
          </w:p>
        </w:tc>
        <w:tc>
          <w:tcPr>
            <w:tcW w:w="2340" w:type="dxa"/>
          </w:tcPr>
          <w:p w14:paraId="2FDADF8A" w14:textId="77777777" w:rsidR="00A20832" w:rsidRPr="00576AF8" w:rsidRDefault="00A20832" w:rsidP="00A35BE3">
            <w:pPr>
              <w:spacing w:before="120"/>
            </w:pPr>
          </w:p>
        </w:tc>
      </w:tr>
      <w:tr w:rsidR="00A20832" w:rsidRPr="00576AF8" w14:paraId="7F40A5B1" w14:textId="77777777" w:rsidTr="00A35BE3">
        <w:trPr>
          <w:jc w:val="center"/>
        </w:trPr>
        <w:tc>
          <w:tcPr>
            <w:tcW w:w="2628" w:type="dxa"/>
          </w:tcPr>
          <w:p w14:paraId="78E3BB46" w14:textId="77777777" w:rsidR="00A20832" w:rsidRPr="00576AF8" w:rsidRDefault="00A20832" w:rsidP="00A35BE3">
            <w:pPr>
              <w:spacing w:before="120"/>
            </w:pPr>
          </w:p>
        </w:tc>
        <w:tc>
          <w:tcPr>
            <w:tcW w:w="3528" w:type="dxa"/>
          </w:tcPr>
          <w:p w14:paraId="53947506" w14:textId="77777777" w:rsidR="00A20832" w:rsidRPr="00576AF8" w:rsidRDefault="00A20832" w:rsidP="00A35BE3">
            <w:pPr>
              <w:spacing w:before="120"/>
            </w:pPr>
          </w:p>
        </w:tc>
        <w:tc>
          <w:tcPr>
            <w:tcW w:w="2340" w:type="dxa"/>
          </w:tcPr>
          <w:p w14:paraId="015A461E" w14:textId="77777777" w:rsidR="00A20832" w:rsidRPr="00576AF8" w:rsidRDefault="00A20832" w:rsidP="00A35BE3">
            <w:pPr>
              <w:spacing w:before="120"/>
            </w:pPr>
          </w:p>
        </w:tc>
      </w:tr>
      <w:tr w:rsidR="00A20832" w:rsidRPr="00576AF8" w14:paraId="5BDE9532" w14:textId="77777777" w:rsidTr="00A35BE3">
        <w:trPr>
          <w:jc w:val="center"/>
        </w:trPr>
        <w:tc>
          <w:tcPr>
            <w:tcW w:w="2628" w:type="dxa"/>
          </w:tcPr>
          <w:p w14:paraId="6E216B5D" w14:textId="77777777" w:rsidR="00A20832" w:rsidRPr="00576AF8" w:rsidRDefault="00A20832" w:rsidP="00A35BE3">
            <w:pPr>
              <w:spacing w:before="120"/>
            </w:pPr>
          </w:p>
        </w:tc>
        <w:tc>
          <w:tcPr>
            <w:tcW w:w="3528" w:type="dxa"/>
          </w:tcPr>
          <w:p w14:paraId="1320C21A" w14:textId="77777777" w:rsidR="00A20832" w:rsidRPr="00576AF8" w:rsidRDefault="00A20832" w:rsidP="00A35BE3">
            <w:pPr>
              <w:spacing w:before="120"/>
            </w:pPr>
          </w:p>
        </w:tc>
        <w:tc>
          <w:tcPr>
            <w:tcW w:w="2340" w:type="dxa"/>
          </w:tcPr>
          <w:p w14:paraId="6AC327E6" w14:textId="77777777" w:rsidR="00A20832" w:rsidRPr="00576AF8" w:rsidRDefault="00A20832" w:rsidP="00A35BE3">
            <w:pPr>
              <w:spacing w:before="120"/>
            </w:pPr>
          </w:p>
        </w:tc>
      </w:tr>
      <w:tr w:rsidR="00A20832" w:rsidRPr="00576AF8" w14:paraId="6E1AF74A" w14:textId="77777777" w:rsidTr="00A35BE3">
        <w:trPr>
          <w:jc w:val="center"/>
        </w:trPr>
        <w:tc>
          <w:tcPr>
            <w:tcW w:w="2628" w:type="dxa"/>
          </w:tcPr>
          <w:p w14:paraId="050E758F" w14:textId="77777777" w:rsidR="00A20832" w:rsidRPr="00576AF8" w:rsidRDefault="00A20832" w:rsidP="00A35BE3">
            <w:pPr>
              <w:spacing w:before="120"/>
            </w:pPr>
          </w:p>
        </w:tc>
        <w:tc>
          <w:tcPr>
            <w:tcW w:w="3528" w:type="dxa"/>
          </w:tcPr>
          <w:p w14:paraId="16C0B2FD" w14:textId="77777777" w:rsidR="00A20832" w:rsidRPr="00576AF8" w:rsidRDefault="00A20832" w:rsidP="00A35BE3">
            <w:pPr>
              <w:spacing w:before="120"/>
            </w:pPr>
          </w:p>
        </w:tc>
        <w:tc>
          <w:tcPr>
            <w:tcW w:w="2340" w:type="dxa"/>
          </w:tcPr>
          <w:p w14:paraId="799F44AF" w14:textId="77777777" w:rsidR="00A20832" w:rsidRPr="00576AF8" w:rsidRDefault="00A20832" w:rsidP="00A35BE3">
            <w:pPr>
              <w:spacing w:before="120"/>
            </w:pPr>
          </w:p>
        </w:tc>
      </w:tr>
      <w:tr w:rsidR="00A20832" w:rsidRPr="00576AF8" w14:paraId="5D056152" w14:textId="77777777" w:rsidTr="00A35BE3">
        <w:trPr>
          <w:jc w:val="center"/>
        </w:trPr>
        <w:tc>
          <w:tcPr>
            <w:tcW w:w="2628" w:type="dxa"/>
          </w:tcPr>
          <w:p w14:paraId="1B8DCCB1" w14:textId="77777777" w:rsidR="00A20832" w:rsidRPr="00576AF8" w:rsidRDefault="00A20832" w:rsidP="00A35BE3">
            <w:pPr>
              <w:spacing w:before="120"/>
            </w:pPr>
          </w:p>
        </w:tc>
        <w:tc>
          <w:tcPr>
            <w:tcW w:w="3528" w:type="dxa"/>
          </w:tcPr>
          <w:p w14:paraId="29F2710D" w14:textId="77777777" w:rsidR="00A20832" w:rsidRPr="00576AF8" w:rsidRDefault="00A20832" w:rsidP="00A35BE3">
            <w:pPr>
              <w:spacing w:before="120"/>
            </w:pPr>
          </w:p>
        </w:tc>
        <w:tc>
          <w:tcPr>
            <w:tcW w:w="2340" w:type="dxa"/>
          </w:tcPr>
          <w:p w14:paraId="54E7D5E4" w14:textId="77777777" w:rsidR="00A20832" w:rsidRPr="00576AF8" w:rsidRDefault="00A20832" w:rsidP="00A35BE3">
            <w:pPr>
              <w:spacing w:before="120"/>
            </w:pPr>
          </w:p>
        </w:tc>
      </w:tr>
      <w:tr w:rsidR="00A20832" w:rsidRPr="00576AF8" w14:paraId="501350E7" w14:textId="77777777" w:rsidTr="00A35BE3">
        <w:trPr>
          <w:jc w:val="center"/>
        </w:trPr>
        <w:tc>
          <w:tcPr>
            <w:tcW w:w="2628" w:type="dxa"/>
          </w:tcPr>
          <w:p w14:paraId="32736A4C" w14:textId="77777777" w:rsidR="00A20832" w:rsidRPr="00576AF8" w:rsidRDefault="00A20832" w:rsidP="00A35BE3">
            <w:pPr>
              <w:spacing w:before="120"/>
            </w:pPr>
          </w:p>
        </w:tc>
        <w:tc>
          <w:tcPr>
            <w:tcW w:w="3528" w:type="dxa"/>
          </w:tcPr>
          <w:p w14:paraId="10C1A17B" w14:textId="77777777" w:rsidR="00A20832" w:rsidRPr="00576AF8" w:rsidRDefault="00A20832" w:rsidP="00A35BE3">
            <w:pPr>
              <w:spacing w:before="120"/>
            </w:pPr>
          </w:p>
        </w:tc>
        <w:tc>
          <w:tcPr>
            <w:tcW w:w="2340" w:type="dxa"/>
          </w:tcPr>
          <w:p w14:paraId="6F5CA42D" w14:textId="77777777" w:rsidR="00A20832" w:rsidRPr="00576AF8" w:rsidRDefault="00A20832" w:rsidP="00A35BE3">
            <w:pPr>
              <w:spacing w:before="120"/>
            </w:pPr>
          </w:p>
        </w:tc>
      </w:tr>
      <w:tr w:rsidR="00A20832" w:rsidRPr="00576AF8" w14:paraId="07EB3CE6" w14:textId="77777777" w:rsidTr="00A35BE3">
        <w:trPr>
          <w:jc w:val="center"/>
        </w:trPr>
        <w:tc>
          <w:tcPr>
            <w:tcW w:w="2628" w:type="dxa"/>
          </w:tcPr>
          <w:p w14:paraId="10137FD1" w14:textId="77777777" w:rsidR="00A20832" w:rsidRPr="00576AF8" w:rsidRDefault="00A20832" w:rsidP="00A35BE3">
            <w:pPr>
              <w:spacing w:before="120"/>
            </w:pPr>
          </w:p>
        </w:tc>
        <w:tc>
          <w:tcPr>
            <w:tcW w:w="3528" w:type="dxa"/>
          </w:tcPr>
          <w:p w14:paraId="571B3CDB" w14:textId="77777777" w:rsidR="00A20832" w:rsidRPr="00576AF8" w:rsidRDefault="00A20832" w:rsidP="00A35BE3">
            <w:pPr>
              <w:spacing w:before="120"/>
            </w:pPr>
          </w:p>
        </w:tc>
        <w:tc>
          <w:tcPr>
            <w:tcW w:w="2340" w:type="dxa"/>
          </w:tcPr>
          <w:p w14:paraId="4AFA85C9" w14:textId="77777777" w:rsidR="00A20832" w:rsidRPr="00576AF8" w:rsidRDefault="00A20832" w:rsidP="00A35BE3">
            <w:pPr>
              <w:spacing w:before="120"/>
            </w:pPr>
          </w:p>
        </w:tc>
      </w:tr>
      <w:tr w:rsidR="00A20832" w:rsidRPr="00576AF8" w14:paraId="10F19479" w14:textId="77777777" w:rsidTr="00A35BE3">
        <w:trPr>
          <w:jc w:val="center"/>
        </w:trPr>
        <w:tc>
          <w:tcPr>
            <w:tcW w:w="2628" w:type="dxa"/>
          </w:tcPr>
          <w:p w14:paraId="668C04F7" w14:textId="77777777" w:rsidR="00A20832" w:rsidRPr="00576AF8" w:rsidRDefault="00A20832" w:rsidP="00A35BE3">
            <w:pPr>
              <w:spacing w:before="120"/>
            </w:pPr>
          </w:p>
        </w:tc>
        <w:tc>
          <w:tcPr>
            <w:tcW w:w="3528" w:type="dxa"/>
          </w:tcPr>
          <w:p w14:paraId="24A76787" w14:textId="77777777" w:rsidR="00A20832" w:rsidRPr="00576AF8" w:rsidRDefault="00A20832" w:rsidP="00A35BE3">
            <w:pPr>
              <w:spacing w:before="120"/>
            </w:pPr>
          </w:p>
        </w:tc>
        <w:tc>
          <w:tcPr>
            <w:tcW w:w="2340" w:type="dxa"/>
          </w:tcPr>
          <w:p w14:paraId="453B59D2" w14:textId="77777777" w:rsidR="00A20832" w:rsidRPr="00576AF8" w:rsidRDefault="00A20832" w:rsidP="00A35BE3">
            <w:pPr>
              <w:spacing w:before="120"/>
            </w:pPr>
          </w:p>
        </w:tc>
      </w:tr>
    </w:tbl>
    <w:p w14:paraId="1ED9AEDD" w14:textId="77777777" w:rsidR="00A20832" w:rsidRPr="00576AF8" w:rsidRDefault="00A20832" w:rsidP="00A20832"/>
    <w:p w14:paraId="20162403"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53" w:name="_Toc448739666"/>
      <w:bookmarkStart w:id="1754" w:name="_Toc479249653"/>
      <w:bookmarkStart w:id="1755" w:name="_Toc483587937"/>
      <w:bookmarkStart w:id="1756" w:name="_Toc488965458"/>
      <w:bookmarkStart w:id="1757" w:name="_Toc28246688"/>
      <w:r w:rsidRPr="00576AF8">
        <w:rPr>
          <w:rFonts w:ascii="Times New Roman" w:hAnsi="Times New Roman"/>
        </w:rPr>
        <w:lastRenderedPageBreak/>
        <w:t xml:space="preserve">Apéndice 4. </w:t>
      </w:r>
      <w:r w:rsidR="00546D13" w:rsidRPr="00576AF8">
        <w:rPr>
          <w:rFonts w:ascii="Times New Roman" w:hAnsi="Times New Roman"/>
        </w:rPr>
        <w:t xml:space="preserve"> </w:t>
      </w:r>
      <w:r w:rsidRPr="00576AF8">
        <w:rPr>
          <w:rFonts w:ascii="Times New Roman" w:hAnsi="Times New Roman"/>
        </w:rPr>
        <w:t>Categorías de software</w:t>
      </w:r>
      <w:bookmarkEnd w:id="1753"/>
      <w:bookmarkEnd w:id="1754"/>
      <w:bookmarkEnd w:id="1755"/>
      <w:bookmarkEnd w:id="1756"/>
      <w:bookmarkEnd w:id="1757"/>
      <w:r w:rsidRPr="00576AF8">
        <w:rPr>
          <w:rFonts w:ascii="Times New Roman" w:hAnsi="Times New Roman"/>
        </w:rPr>
        <w:t xml:space="preserve"> </w:t>
      </w:r>
    </w:p>
    <w:p w14:paraId="0C7044C2" w14:textId="77777777" w:rsidR="00A20832" w:rsidRPr="00576AF8" w:rsidRDefault="00A20832" w:rsidP="00A20832">
      <w:r w:rsidRPr="00576AF8">
        <w:t xml:space="preserve">En el cuadro siguiente, cada elemento del software suministrado e instalado de conformidad con el Contrato se encuadra dentro de una de las tres categorías siguientes: </w:t>
      </w:r>
      <w:r w:rsidR="00546D13" w:rsidRPr="00576AF8">
        <w:t>(</w:t>
      </w:r>
      <w:r w:rsidRPr="00576AF8">
        <w:t xml:space="preserve">i) software del Sistema, </w:t>
      </w:r>
      <w:r w:rsidR="00546D13" w:rsidRPr="00576AF8">
        <w:t>(</w:t>
      </w:r>
      <w:r w:rsidRPr="00576AF8">
        <w:t xml:space="preserve">ii) software de propósito general o </w:t>
      </w:r>
      <w:r w:rsidR="00546D13" w:rsidRPr="00576AF8">
        <w:t>(</w:t>
      </w:r>
      <w:r w:rsidRPr="00576AF8">
        <w:t xml:space="preserve">iii) software de aplicación; y dentro de una de las dos categorías siguientes: </w:t>
      </w:r>
      <w:r w:rsidR="00546D13" w:rsidRPr="00576AF8">
        <w:t>(</w:t>
      </w:r>
      <w:r w:rsidRPr="00576AF8">
        <w:t xml:space="preserve">i) software </w:t>
      </w:r>
      <w:r w:rsidR="00A669E5" w:rsidRPr="00576AF8">
        <w:t xml:space="preserve">estándar </w:t>
      </w:r>
      <w:r w:rsidRPr="00576AF8">
        <w:t xml:space="preserve">o </w:t>
      </w:r>
      <w:r w:rsidR="00546D13" w:rsidRPr="00576AF8">
        <w:t>(</w:t>
      </w:r>
      <w:r w:rsidRPr="00576AF8">
        <w:t xml:space="preserve">ii) software personalizado.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497"/>
      </w:tblGrid>
      <w:tr w:rsidR="00A20832" w:rsidRPr="00576AF8" w14:paraId="2796E043" w14:textId="77777777" w:rsidTr="00506FFF">
        <w:trPr>
          <w:tblHeader/>
          <w:jc w:val="center"/>
        </w:trPr>
        <w:tc>
          <w:tcPr>
            <w:tcW w:w="2304" w:type="dxa"/>
          </w:tcPr>
          <w:p w14:paraId="4A0A8CC2" w14:textId="77777777" w:rsidR="00A20832" w:rsidRPr="00576AF8" w:rsidRDefault="00A20832" w:rsidP="00A35BE3">
            <w:pPr>
              <w:spacing w:before="120"/>
              <w:rPr>
                <w:sz w:val="22"/>
              </w:rPr>
            </w:pPr>
          </w:p>
        </w:tc>
        <w:tc>
          <w:tcPr>
            <w:tcW w:w="3672" w:type="dxa"/>
            <w:gridSpan w:val="3"/>
          </w:tcPr>
          <w:p w14:paraId="11C6D6DB" w14:textId="77777777" w:rsidR="00A20832" w:rsidRPr="00576AF8" w:rsidRDefault="00A20832" w:rsidP="00A35BE3">
            <w:pPr>
              <w:spacing w:before="120"/>
              <w:jc w:val="center"/>
              <w:rPr>
                <w:sz w:val="22"/>
              </w:rPr>
            </w:pPr>
            <w:r w:rsidRPr="00576AF8">
              <w:rPr>
                <w:sz w:val="22"/>
              </w:rPr>
              <w:t>(Elija una sola categoría para cada elemento)</w:t>
            </w:r>
          </w:p>
        </w:tc>
        <w:tc>
          <w:tcPr>
            <w:tcW w:w="2721" w:type="dxa"/>
            <w:gridSpan w:val="2"/>
          </w:tcPr>
          <w:p w14:paraId="142D4403" w14:textId="77777777" w:rsidR="00A20832" w:rsidRPr="00576AF8" w:rsidRDefault="00A20832" w:rsidP="00A35BE3">
            <w:pPr>
              <w:spacing w:before="120"/>
              <w:jc w:val="center"/>
              <w:rPr>
                <w:sz w:val="22"/>
              </w:rPr>
            </w:pPr>
            <w:r w:rsidRPr="00576AF8">
              <w:rPr>
                <w:sz w:val="22"/>
              </w:rPr>
              <w:t xml:space="preserve">(Elija una sola categoría </w:t>
            </w:r>
            <w:r w:rsidR="00A62A35" w:rsidRPr="00576AF8">
              <w:rPr>
                <w:sz w:val="22"/>
              </w:rPr>
              <w:br/>
            </w:r>
            <w:r w:rsidRPr="00576AF8">
              <w:rPr>
                <w:sz w:val="22"/>
              </w:rPr>
              <w:t>para cada elemento)</w:t>
            </w:r>
          </w:p>
        </w:tc>
      </w:tr>
      <w:tr w:rsidR="00A20832" w:rsidRPr="00576AF8" w14:paraId="70EA3074" w14:textId="77777777" w:rsidTr="00506FFF">
        <w:trPr>
          <w:tblHeader/>
          <w:jc w:val="center"/>
        </w:trPr>
        <w:tc>
          <w:tcPr>
            <w:tcW w:w="2304" w:type="dxa"/>
          </w:tcPr>
          <w:p w14:paraId="62263484" w14:textId="77777777" w:rsidR="00A20832" w:rsidRPr="00576AF8" w:rsidRDefault="00A20832" w:rsidP="00A35BE3">
            <w:pPr>
              <w:spacing w:before="120"/>
              <w:jc w:val="center"/>
              <w:rPr>
                <w:sz w:val="22"/>
              </w:rPr>
            </w:pPr>
            <w:r w:rsidRPr="00576AF8">
              <w:rPr>
                <w:sz w:val="22"/>
              </w:rPr>
              <w:br/>
            </w:r>
            <w:r w:rsidRPr="00576AF8">
              <w:rPr>
                <w:sz w:val="22"/>
              </w:rPr>
              <w:br/>
              <w:t>Elemento de software</w:t>
            </w:r>
          </w:p>
        </w:tc>
        <w:tc>
          <w:tcPr>
            <w:tcW w:w="1224" w:type="dxa"/>
          </w:tcPr>
          <w:p w14:paraId="6EB9A569" w14:textId="77777777" w:rsidR="00A20832" w:rsidRPr="00576AF8" w:rsidRDefault="00A20832" w:rsidP="00A35BE3">
            <w:pPr>
              <w:spacing w:before="120"/>
              <w:jc w:val="center"/>
              <w:rPr>
                <w:sz w:val="22"/>
              </w:rPr>
            </w:pPr>
            <w:r w:rsidRPr="00576AF8">
              <w:rPr>
                <w:sz w:val="22"/>
              </w:rPr>
              <w:br/>
              <w:t>Software del Sistema</w:t>
            </w:r>
          </w:p>
        </w:tc>
        <w:tc>
          <w:tcPr>
            <w:tcW w:w="1224" w:type="dxa"/>
          </w:tcPr>
          <w:p w14:paraId="630B97D7" w14:textId="77777777" w:rsidR="00A20832" w:rsidRPr="00576AF8" w:rsidRDefault="00A20832" w:rsidP="00A35BE3">
            <w:pPr>
              <w:spacing w:before="120"/>
              <w:jc w:val="center"/>
              <w:rPr>
                <w:sz w:val="22"/>
              </w:rPr>
            </w:pPr>
            <w:r w:rsidRPr="00576AF8">
              <w:rPr>
                <w:sz w:val="22"/>
              </w:rPr>
              <w:t>Software de propósito general</w:t>
            </w:r>
          </w:p>
        </w:tc>
        <w:tc>
          <w:tcPr>
            <w:tcW w:w="1224" w:type="dxa"/>
          </w:tcPr>
          <w:p w14:paraId="4ECD061F" w14:textId="77777777" w:rsidR="00A20832" w:rsidRPr="00576AF8" w:rsidRDefault="00A20832" w:rsidP="00A35BE3">
            <w:pPr>
              <w:spacing w:before="120"/>
              <w:jc w:val="center"/>
              <w:rPr>
                <w:sz w:val="22"/>
              </w:rPr>
            </w:pPr>
            <w:r w:rsidRPr="00576AF8">
              <w:rPr>
                <w:sz w:val="22"/>
              </w:rPr>
              <w:br/>
              <w:t>Software de aplicación</w:t>
            </w:r>
          </w:p>
        </w:tc>
        <w:tc>
          <w:tcPr>
            <w:tcW w:w="1224" w:type="dxa"/>
          </w:tcPr>
          <w:p w14:paraId="2A70A622" w14:textId="77777777" w:rsidR="00A20832" w:rsidRPr="00576AF8" w:rsidRDefault="00A20832" w:rsidP="00A669E5">
            <w:pPr>
              <w:spacing w:before="120"/>
              <w:jc w:val="center"/>
              <w:rPr>
                <w:sz w:val="22"/>
              </w:rPr>
            </w:pPr>
            <w:r w:rsidRPr="00576AF8">
              <w:rPr>
                <w:sz w:val="22"/>
              </w:rPr>
              <w:br/>
              <w:t>Software est</w:t>
            </w:r>
            <w:r w:rsidR="00A669E5" w:rsidRPr="00576AF8">
              <w:rPr>
                <w:sz w:val="22"/>
              </w:rPr>
              <w:t>á</w:t>
            </w:r>
            <w:r w:rsidRPr="00576AF8">
              <w:rPr>
                <w:sz w:val="22"/>
              </w:rPr>
              <w:t>ndar</w:t>
            </w:r>
          </w:p>
        </w:tc>
        <w:tc>
          <w:tcPr>
            <w:tcW w:w="1497" w:type="dxa"/>
          </w:tcPr>
          <w:p w14:paraId="3EA23C25" w14:textId="77777777" w:rsidR="00A20832" w:rsidRPr="00576AF8" w:rsidRDefault="00A20832" w:rsidP="00E50F96">
            <w:pPr>
              <w:spacing w:before="120"/>
              <w:jc w:val="center"/>
              <w:rPr>
                <w:sz w:val="22"/>
              </w:rPr>
            </w:pPr>
            <w:r w:rsidRPr="00576AF8">
              <w:rPr>
                <w:sz w:val="22"/>
              </w:rPr>
              <w:br/>
              <w:t>Software personalizado</w:t>
            </w:r>
          </w:p>
        </w:tc>
      </w:tr>
      <w:tr w:rsidR="00A20832" w:rsidRPr="00576AF8" w14:paraId="1D154511" w14:textId="77777777" w:rsidTr="00506FFF">
        <w:trPr>
          <w:tblHeader/>
          <w:jc w:val="center"/>
        </w:trPr>
        <w:tc>
          <w:tcPr>
            <w:tcW w:w="2304" w:type="dxa"/>
          </w:tcPr>
          <w:p w14:paraId="6351CA40" w14:textId="77777777" w:rsidR="00A20832" w:rsidRPr="00576AF8" w:rsidRDefault="00A20832" w:rsidP="00A35BE3">
            <w:pPr>
              <w:spacing w:before="120"/>
            </w:pPr>
          </w:p>
        </w:tc>
        <w:tc>
          <w:tcPr>
            <w:tcW w:w="1224" w:type="dxa"/>
          </w:tcPr>
          <w:p w14:paraId="53C8D9AF" w14:textId="77777777" w:rsidR="00A20832" w:rsidRPr="00576AF8" w:rsidRDefault="00A20832" w:rsidP="00A35BE3">
            <w:pPr>
              <w:spacing w:before="120"/>
            </w:pPr>
          </w:p>
        </w:tc>
        <w:tc>
          <w:tcPr>
            <w:tcW w:w="1224" w:type="dxa"/>
          </w:tcPr>
          <w:p w14:paraId="5B53DFA5" w14:textId="77777777" w:rsidR="00A20832" w:rsidRPr="00576AF8" w:rsidRDefault="00A20832" w:rsidP="00A35BE3">
            <w:pPr>
              <w:spacing w:before="120"/>
            </w:pPr>
          </w:p>
        </w:tc>
        <w:tc>
          <w:tcPr>
            <w:tcW w:w="1224" w:type="dxa"/>
          </w:tcPr>
          <w:p w14:paraId="3BB7AB50" w14:textId="77777777" w:rsidR="00A20832" w:rsidRPr="00576AF8" w:rsidRDefault="00A20832" w:rsidP="00A35BE3">
            <w:pPr>
              <w:spacing w:before="120"/>
            </w:pPr>
          </w:p>
        </w:tc>
        <w:tc>
          <w:tcPr>
            <w:tcW w:w="1224" w:type="dxa"/>
          </w:tcPr>
          <w:p w14:paraId="1033E4E5" w14:textId="77777777" w:rsidR="00A20832" w:rsidRPr="00576AF8" w:rsidRDefault="00A20832" w:rsidP="00A35BE3">
            <w:pPr>
              <w:spacing w:before="120"/>
            </w:pPr>
          </w:p>
        </w:tc>
        <w:tc>
          <w:tcPr>
            <w:tcW w:w="1497" w:type="dxa"/>
          </w:tcPr>
          <w:p w14:paraId="31E0EDF3" w14:textId="77777777" w:rsidR="00A20832" w:rsidRPr="00576AF8" w:rsidRDefault="00A20832" w:rsidP="00A35BE3">
            <w:pPr>
              <w:spacing w:before="120"/>
            </w:pPr>
          </w:p>
        </w:tc>
      </w:tr>
      <w:tr w:rsidR="00A20832" w:rsidRPr="00576AF8" w14:paraId="12C53E8E" w14:textId="77777777" w:rsidTr="00506FFF">
        <w:trPr>
          <w:jc w:val="center"/>
        </w:trPr>
        <w:tc>
          <w:tcPr>
            <w:tcW w:w="2304" w:type="dxa"/>
          </w:tcPr>
          <w:p w14:paraId="54076315" w14:textId="77777777" w:rsidR="00A20832" w:rsidRPr="00576AF8" w:rsidRDefault="00A20832" w:rsidP="00A35BE3">
            <w:pPr>
              <w:spacing w:before="120"/>
            </w:pPr>
          </w:p>
        </w:tc>
        <w:tc>
          <w:tcPr>
            <w:tcW w:w="1224" w:type="dxa"/>
          </w:tcPr>
          <w:p w14:paraId="3A710887" w14:textId="77777777" w:rsidR="00A20832" w:rsidRPr="00576AF8" w:rsidRDefault="00A20832" w:rsidP="00A35BE3">
            <w:pPr>
              <w:spacing w:before="120"/>
            </w:pPr>
          </w:p>
        </w:tc>
        <w:tc>
          <w:tcPr>
            <w:tcW w:w="1224" w:type="dxa"/>
          </w:tcPr>
          <w:p w14:paraId="1D60EC1A" w14:textId="77777777" w:rsidR="00A20832" w:rsidRPr="00576AF8" w:rsidRDefault="00A20832" w:rsidP="00A35BE3">
            <w:pPr>
              <w:spacing w:before="120"/>
            </w:pPr>
          </w:p>
        </w:tc>
        <w:tc>
          <w:tcPr>
            <w:tcW w:w="1224" w:type="dxa"/>
          </w:tcPr>
          <w:p w14:paraId="2A4E58BE" w14:textId="77777777" w:rsidR="00A20832" w:rsidRPr="00576AF8" w:rsidRDefault="00A20832" w:rsidP="00A35BE3">
            <w:pPr>
              <w:spacing w:before="120"/>
            </w:pPr>
          </w:p>
        </w:tc>
        <w:tc>
          <w:tcPr>
            <w:tcW w:w="1224" w:type="dxa"/>
          </w:tcPr>
          <w:p w14:paraId="1AAF4CD0" w14:textId="77777777" w:rsidR="00A20832" w:rsidRPr="00576AF8" w:rsidRDefault="00A20832" w:rsidP="00A35BE3">
            <w:pPr>
              <w:spacing w:before="120"/>
            </w:pPr>
          </w:p>
        </w:tc>
        <w:tc>
          <w:tcPr>
            <w:tcW w:w="1497" w:type="dxa"/>
          </w:tcPr>
          <w:p w14:paraId="52228E98" w14:textId="77777777" w:rsidR="00A20832" w:rsidRPr="00576AF8" w:rsidRDefault="00A20832" w:rsidP="00A35BE3">
            <w:pPr>
              <w:spacing w:before="120"/>
            </w:pPr>
          </w:p>
        </w:tc>
      </w:tr>
      <w:tr w:rsidR="00A20832" w:rsidRPr="00576AF8" w14:paraId="00BADEF3" w14:textId="77777777" w:rsidTr="00506FFF">
        <w:trPr>
          <w:jc w:val="center"/>
        </w:trPr>
        <w:tc>
          <w:tcPr>
            <w:tcW w:w="2304" w:type="dxa"/>
          </w:tcPr>
          <w:p w14:paraId="33FD7F31" w14:textId="77777777" w:rsidR="00A20832" w:rsidRPr="00576AF8" w:rsidRDefault="00A20832" w:rsidP="00A35BE3">
            <w:pPr>
              <w:spacing w:before="120"/>
            </w:pPr>
          </w:p>
        </w:tc>
        <w:tc>
          <w:tcPr>
            <w:tcW w:w="1224" w:type="dxa"/>
          </w:tcPr>
          <w:p w14:paraId="1F0537B8" w14:textId="77777777" w:rsidR="00A20832" w:rsidRPr="00576AF8" w:rsidRDefault="00A20832" w:rsidP="00A35BE3">
            <w:pPr>
              <w:spacing w:before="120"/>
            </w:pPr>
          </w:p>
        </w:tc>
        <w:tc>
          <w:tcPr>
            <w:tcW w:w="1224" w:type="dxa"/>
          </w:tcPr>
          <w:p w14:paraId="26375B2C" w14:textId="77777777" w:rsidR="00A20832" w:rsidRPr="00576AF8" w:rsidRDefault="00A20832" w:rsidP="00A35BE3">
            <w:pPr>
              <w:spacing w:before="120"/>
            </w:pPr>
          </w:p>
        </w:tc>
        <w:tc>
          <w:tcPr>
            <w:tcW w:w="1224" w:type="dxa"/>
          </w:tcPr>
          <w:p w14:paraId="34B16BD8" w14:textId="77777777" w:rsidR="00A20832" w:rsidRPr="00576AF8" w:rsidRDefault="00A20832" w:rsidP="00A35BE3">
            <w:pPr>
              <w:spacing w:before="120"/>
            </w:pPr>
          </w:p>
        </w:tc>
        <w:tc>
          <w:tcPr>
            <w:tcW w:w="1224" w:type="dxa"/>
          </w:tcPr>
          <w:p w14:paraId="1583148A" w14:textId="77777777" w:rsidR="00A20832" w:rsidRPr="00576AF8" w:rsidRDefault="00A20832" w:rsidP="00A35BE3">
            <w:pPr>
              <w:spacing w:before="120"/>
            </w:pPr>
          </w:p>
        </w:tc>
        <w:tc>
          <w:tcPr>
            <w:tcW w:w="1497" w:type="dxa"/>
          </w:tcPr>
          <w:p w14:paraId="60B7A828" w14:textId="77777777" w:rsidR="00A20832" w:rsidRPr="00576AF8" w:rsidRDefault="00A20832" w:rsidP="00A35BE3">
            <w:pPr>
              <w:spacing w:before="120"/>
            </w:pPr>
          </w:p>
        </w:tc>
      </w:tr>
      <w:tr w:rsidR="00A20832" w:rsidRPr="00576AF8" w14:paraId="15821600" w14:textId="77777777" w:rsidTr="00506FFF">
        <w:trPr>
          <w:jc w:val="center"/>
        </w:trPr>
        <w:tc>
          <w:tcPr>
            <w:tcW w:w="2304" w:type="dxa"/>
          </w:tcPr>
          <w:p w14:paraId="1C07D0A5" w14:textId="77777777" w:rsidR="00A20832" w:rsidRPr="00576AF8" w:rsidRDefault="00A20832" w:rsidP="00A35BE3">
            <w:pPr>
              <w:spacing w:before="120"/>
            </w:pPr>
          </w:p>
        </w:tc>
        <w:tc>
          <w:tcPr>
            <w:tcW w:w="1224" w:type="dxa"/>
          </w:tcPr>
          <w:p w14:paraId="72DBFE8A" w14:textId="77777777" w:rsidR="00A20832" w:rsidRPr="00576AF8" w:rsidRDefault="00A20832" w:rsidP="00A35BE3">
            <w:pPr>
              <w:spacing w:before="120"/>
            </w:pPr>
          </w:p>
        </w:tc>
        <w:tc>
          <w:tcPr>
            <w:tcW w:w="1224" w:type="dxa"/>
          </w:tcPr>
          <w:p w14:paraId="7CC0ED1A" w14:textId="77777777" w:rsidR="00A20832" w:rsidRPr="00576AF8" w:rsidRDefault="00A20832" w:rsidP="00A35BE3">
            <w:pPr>
              <w:spacing w:before="120"/>
            </w:pPr>
          </w:p>
        </w:tc>
        <w:tc>
          <w:tcPr>
            <w:tcW w:w="1224" w:type="dxa"/>
          </w:tcPr>
          <w:p w14:paraId="1054F582" w14:textId="77777777" w:rsidR="00A20832" w:rsidRPr="00576AF8" w:rsidRDefault="00A20832" w:rsidP="00A35BE3">
            <w:pPr>
              <w:spacing w:before="120"/>
            </w:pPr>
          </w:p>
        </w:tc>
        <w:tc>
          <w:tcPr>
            <w:tcW w:w="1224" w:type="dxa"/>
          </w:tcPr>
          <w:p w14:paraId="265B47D5" w14:textId="77777777" w:rsidR="00A20832" w:rsidRPr="00576AF8" w:rsidRDefault="00A20832" w:rsidP="00A35BE3">
            <w:pPr>
              <w:spacing w:before="120"/>
            </w:pPr>
          </w:p>
        </w:tc>
        <w:tc>
          <w:tcPr>
            <w:tcW w:w="1497" w:type="dxa"/>
          </w:tcPr>
          <w:p w14:paraId="16DF746C" w14:textId="77777777" w:rsidR="00A20832" w:rsidRPr="00576AF8" w:rsidRDefault="00A20832" w:rsidP="00A35BE3">
            <w:pPr>
              <w:spacing w:before="120"/>
            </w:pPr>
          </w:p>
        </w:tc>
      </w:tr>
      <w:tr w:rsidR="00A20832" w:rsidRPr="00576AF8" w14:paraId="0F2AB0A7" w14:textId="77777777" w:rsidTr="00506FFF">
        <w:trPr>
          <w:jc w:val="center"/>
        </w:trPr>
        <w:tc>
          <w:tcPr>
            <w:tcW w:w="2304" w:type="dxa"/>
          </w:tcPr>
          <w:p w14:paraId="3A92AB68" w14:textId="77777777" w:rsidR="00A20832" w:rsidRPr="00576AF8" w:rsidRDefault="00A20832" w:rsidP="00A35BE3">
            <w:pPr>
              <w:spacing w:before="120"/>
            </w:pPr>
          </w:p>
        </w:tc>
        <w:tc>
          <w:tcPr>
            <w:tcW w:w="1224" w:type="dxa"/>
          </w:tcPr>
          <w:p w14:paraId="27C69178" w14:textId="77777777" w:rsidR="00A20832" w:rsidRPr="00576AF8" w:rsidRDefault="00A20832" w:rsidP="00A35BE3">
            <w:pPr>
              <w:spacing w:before="120"/>
            </w:pPr>
          </w:p>
        </w:tc>
        <w:tc>
          <w:tcPr>
            <w:tcW w:w="1224" w:type="dxa"/>
          </w:tcPr>
          <w:p w14:paraId="07C77686" w14:textId="77777777" w:rsidR="00A20832" w:rsidRPr="00576AF8" w:rsidRDefault="00A20832" w:rsidP="00A35BE3">
            <w:pPr>
              <w:spacing w:before="120"/>
            </w:pPr>
          </w:p>
        </w:tc>
        <w:tc>
          <w:tcPr>
            <w:tcW w:w="1224" w:type="dxa"/>
          </w:tcPr>
          <w:p w14:paraId="0A1AA290" w14:textId="77777777" w:rsidR="00A20832" w:rsidRPr="00576AF8" w:rsidRDefault="00A20832" w:rsidP="00A35BE3">
            <w:pPr>
              <w:spacing w:before="120"/>
            </w:pPr>
          </w:p>
        </w:tc>
        <w:tc>
          <w:tcPr>
            <w:tcW w:w="1224" w:type="dxa"/>
          </w:tcPr>
          <w:p w14:paraId="3ADB2469" w14:textId="77777777" w:rsidR="00A20832" w:rsidRPr="00576AF8" w:rsidRDefault="00A20832" w:rsidP="00A35BE3">
            <w:pPr>
              <w:spacing w:before="120"/>
            </w:pPr>
          </w:p>
        </w:tc>
        <w:tc>
          <w:tcPr>
            <w:tcW w:w="1497" w:type="dxa"/>
          </w:tcPr>
          <w:p w14:paraId="0410AF88" w14:textId="77777777" w:rsidR="00A20832" w:rsidRPr="00576AF8" w:rsidRDefault="00A20832" w:rsidP="00A35BE3">
            <w:pPr>
              <w:spacing w:before="120"/>
            </w:pPr>
          </w:p>
        </w:tc>
      </w:tr>
      <w:tr w:rsidR="00A20832" w:rsidRPr="00576AF8" w14:paraId="1D373B78" w14:textId="77777777" w:rsidTr="00506FFF">
        <w:trPr>
          <w:jc w:val="center"/>
        </w:trPr>
        <w:tc>
          <w:tcPr>
            <w:tcW w:w="2304" w:type="dxa"/>
          </w:tcPr>
          <w:p w14:paraId="73C7ABA4" w14:textId="77777777" w:rsidR="00A20832" w:rsidRPr="00576AF8" w:rsidRDefault="00A20832" w:rsidP="00A35BE3">
            <w:pPr>
              <w:spacing w:before="120"/>
            </w:pPr>
          </w:p>
        </w:tc>
        <w:tc>
          <w:tcPr>
            <w:tcW w:w="1224" w:type="dxa"/>
          </w:tcPr>
          <w:p w14:paraId="4E109C87" w14:textId="77777777" w:rsidR="00A20832" w:rsidRPr="00576AF8" w:rsidRDefault="00A20832" w:rsidP="00A35BE3">
            <w:pPr>
              <w:spacing w:before="120"/>
            </w:pPr>
          </w:p>
        </w:tc>
        <w:tc>
          <w:tcPr>
            <w:tcW w:w="1224" w:type="dxa"/>
          </w:tcPr>
          <w:p w14:paraId="6E51BAE3" w14:textId="77777777" w:rsidR="00A20832" w:rsidRPr="00576AF8" w:rsidRDefault="00A20832" w:rsidP="00A35BE3">
            <w:pPr>
              <w:spacing w:before="120"/>
            </w:pPr>
          </w:p>
        </w:tc>
        <w:tc>
          <w:tcPr>
            <w:tcW w:w="1224" w:type="dxa"/>
          </w:tcPr>
          <w:p w14:paraId="507B7A1E" w14:textId="77777777" w:rsidR="00A20832" w:rsidRPr="00576AF8" w:rsidRDefault="00A20832" w:rsidP="00A35BE3">
            <w:pPr>
              <w:spacing w:before="120"/>
            </w:pPr>
          </w:p>
        </w:tc>
        <w:tc>
          <w:tcPr>
            <w:tcW w:w="1224" w:type="dxa"/>
          </w:tcPr>
          <w:p w14:paraId="2C08C138" w14:textId="77777777" w:rsidR="00A20832" w:rsidRPr="00576AF8" w:rsidRDefault="00A20832" w:rsidP="00A35BE3">
            <w:pPr>
              <w:spacing w:before="120"/>
            </w:pPr>
          </w:p>
        </w:tc>
        <w:tc>
          <w:tcPr>
            <w:tcW w:w="1497" w:type="dxa"/>
          </w:tcPr>
          <w:p w14:paraId="66E93F88" w14:textId="77777777" w:rsidR="00A20832" w:rsidRPr="00576AF8" w:rsidRDefault="00A20832" w:rsidP="00A35BE3">
            <w:pPr>
              <w:spacing w:before="120"/>
            </w:pPr>
          </w:p>
        </w:tc>
      </w:tr>
      <w:tr w:rsidR="00A20832" w:rsidRPr="00576AF8" w14:paraId="58CD60F4" w14:textId="77777777" w:rsidTr="00506FFF">
        <w:trPr>
          <w:jc w:val="center"/>
        </w:trPr>
        <w:tc>
          <w:tcPr>
            <w:tcW w:w="2304" w:type="dxa"/>
          </w:tcPr>
          <w:p w14:paraId="6AF1361F" w14:textId="77777777" w:rsidR="00A20832" w:rsidRPr="00576AF8" w:rsidRDefault="00A20832" w:rsidP="00A35BE3">
            <w:pPr>
              <w:spacing w:before="120"/>
            </w:pPr>
          </w:p>
        </w:tc>
        <w:tc>
          <w:tcPr>
            <w:tcW w:w="1224" w:type="dxa"/>
          </w:tcPr>
          <w:p w14:paraId="42B620B3" w14:textId="77777777" w:rsidR="00A20832" w:rsidRPr="00576AF8" w:rsidRDefault="00A20832" w:rsidP="00A35BE3">
            <w:pPr>
              <w:spacing w:before="120"/>
            </w:pPr>
          </w:p>
        </w:tc>
        <w:tc>
          <w:tcPr>
            <w:tcW w:w="1224" w:type="dxa"/>
          </w:tcPr>
          <w:p w14:paraId="601139FC" w14:textId="77777777" w:rsidR="00A20832" w:rsidRPr="00576AF8" w:rsidRDefault="00A20832" w:rsidP="00A35BE3">
            <w:pPr>
              <w:spacing w:before="120"/>
            </w:pPr>
          </w:p>
        </w:tc>
        <w:tc>
          <w:tcPr>
            <w:tcW w:w="1224" w:type="dxa"/>
          </w:tcPr>
          <w:p w14:paraId="0FEA52EA" w14:textId="77777777" w:rsidR="00A20832" w:rsidRPr="00576AF8" w:rsidRDefault="00A20832" w:rsidP="00A35BE3">
            <w:pPr>
              <w:spacing w:before="120"/>
            </w:pPr>
          </w:p>
        </w:tc>
        <w:tc>
          <w:tcPr>
            <w:tcW w:w="1224" w:type="dxa"/>
          </w:tcPr>
          <w:p w14:paraId="2B7B90BC" w14:textId="77777777" w:rsidR="00A20832" w:rsidRPr="00576AF8" w:rsidRDefault="00A20832" w:rsidP="00A35BE3">
            <w:pPr>
              <w:spacing w:before="120"/>
            </w:pPr>
          </w:p>
        </w:tc>
        <w:tc>
          <w:tcPr>
            <w:tcW w:w="1497" w:type="dxa"/>
          </w:tcPr>
          <w:p w14:paraId="3E6C38D7" w14:textId="77777777" w:rsidR="00A20832" w:rsidRPr="00576AF8" w:rsidRDefault="00A20832" w:rsidP="00A35BE3">
            <w:pPr>
              <w:spacing w:before="120"/>
            </w:pPr>
          </w:p>
        </w:tc>
      </w:tr>
      <w:tr w:rsidR="00A20832" w:rsidRPr="00576AF8" w14:paraId="12227D90" w14:textId="77777777" w:rsidTr="00506FFF">
        <w:trPr>
          <w:jc w:val="center"/>
        </w:trPr>
        <w:tc>
          <w:tcPr>
            <w:tcW w:w="2304" w:type="dxa"/>
          </w:tcPr>
          <w:p w14:paraId="5A0D4A1B" w14:textId="77777777" w:rsidR="00A20832" w:rsidRPr="00576AF8" w:rsidRDefault="00A20832" w:rsidP="00A35BE3">
            <w:pPr>
              <w:spacing w:before="120"/>
            </w:pPr>
          </w:p>
        </w:tc>
        <w:tc>
          <w:tcPr>
            <w:tcW w:w="1224" w:type="dxa"/>
          </w:tcPr>
          <w:p w14:paraId="4AE0C300" w14:textId="77777777" w:rsidR="00A20832" w:rsidRPr="00576AF8" w:rsidRDefault="00A20832" w:rsidP="00A35BE3">
            <w:pPr>
              <w:spacing w:before="120"/>
            </w:pPr>
          </w:p>
        </w:tc>
        <w:tc>
          <w:tcPr>
            <w:tcW w:w="1224" w:type="dxa"/>
          </w:tcPr>
          <w:p w14:paraId="2BA5C4FF" w14:textId="77777777" w:rsidR="00A20832" w:rsidRPr="00576AF8" w:rsidRDefault="00A20832" w:rsidP="00A35BE3">
            <w:pPr>
              <w:spacing w:before="120"/>
            </w:pPr>
          </w:p>
        </w:tc>
        <w:tc>
          <w:tcPr>
            <w:tcW w:w="1224" w:type="dxa"/>
          </w:tcPr>
          <w:p w14:paraId="118336FE" w14:textId="77777777" w:rsidR="00A20832" w:rsidRPr="00576AF8" w:rsidRDefault="00A20832" w:rsidP="00A35BE3">
            <w:pPr>
              <w:spacing w:before="120"/>
            </w:pPr>
          </w:p>
        </w:tc>
        <w:tc>
          <w:tcPr>
            <w:tcW w:w="1224" w:type="dxa"/>
          </w:tcPr>
          <w:p w14:paraId="71E16545" w14:textId="77777777" w:rsidR="00A20832" w:rsidRPr="00576AF8" w:rsidRDefault="00A20832" w:rsidP="00A35BE3">
            <w:pPr>
              <w:spacing w:before="120"/>
            </w:pPr>
          </w:p>
        </w:tc>
        <w:tc>
          <w:tcPr>
            <w:tcW w:w="1497" w:type="dxa"/>
          </w:tcPr>
          <w:p w14:paraId="6EF6EE57" w14:textId="77777777" w:rsidR="00A20832" w:rsidRPr="00576AF8" w:rsidRDefault="00A20832" w:rsidP="00A35BE3">
            <w:pPr>
              <w:spacing w:before="120"/>
            </w:pPr>
          </w:p>
        </w:tc>
      </w:tr>
      <w:tr w:rsidR="00A20832" w:rsidRPr="00576AF8" w14:paraId="39F406D9" w14:textId="77777777" w:rsidTr="00506FFF">
        <w:trPr>
          <w:jc w:val="center"/>
        </w:trPr>
        <w:tc>
          <w:tcPr>
            <w:tcW w:w="2304" w:type="dxa"/>
          </w:tcPr>
          <w:p w14:paraId="5037BDD3" w14:textId="77777777" w:rsidR="00A20832" w:rsidRPr="00576AF8" w:rsidRDefault="00A20832" w:rsidP="00A35BE3">
            <w:pPr>
              <w:spacing w:before="120"/>
            </w:pPr>
          </w:p>
        </w:tc>
        <w:tc>
          <w:tcPr>
            <w:tcW w:w="1224" w:type="dxa"/>
          </w:tcPr>
          <w:p w14:paraId="057A308E" w14:textId="77777777" w:rsidR="00A20832" w:rsidRPr="00576AF8" w:rsidRDefault="00A20832" w:rsidP="00A35BE3">
            <w:pPr>
              <w:spacing w:before="120"/>
            </w:pPr>
          </w:p>
        </w:tc>
        <w:tc>
          <w:tcPr>
            <w:tcW w:w="1224" w:type="dxa"/>
          </w:tcPr>
          <w:p w14:paraId="3BA57674" w14:textId="77777777" w:rsidR="00A20832" w:rsidRPr="00576AF8" w:rsidRDefault="00A20832" w:rsidP="00A35BE3">
            <w:pPr>
              <w:spacing w:before="120"/>
            </w:pPr>
          </w:p>
        </w:tc>
        <w:tc>
          <w:tcPr>
            <w:tcW w:w="1224" w:type="dxa"/>
          </w:tcPr>
          <w:p w14:paraId="55BE02D3" w14:textId="77777777" w:rsidR="00A20832" w:rsidRPr="00576AF8" w:rsidRDefault="00A20832" w:rsidP="00A35BE3">
            <w:pPr>
              <w:spacing w:before="120"/>
            </w:pPr>
          </w:p>
        </w:tc>
        <w:tc>
          <w:tcPr>
            <w:tcW w:w="1224" w:type="dxa"/>
          </w:tcPr>
          <w:p w14:paraId="757F4BD0" w14:textId="77777777" w:rsidR="00A20832" w:rsidRPr="00576AF8" w:rsidRDefault="00A20832" w:rsidP="00A35BE3">
            <w:pPr>
              <w:spacing w:before="120"/>
            </w:pPr>
          </w:p>
        </w:tc>
        <w:tc>
          <w:tcPr>
            <w:tcW w:w="1497" w:type="dxa"/>
          </w:tcPr>
          <w:p w14:paraId="2F8C71BC" w14:textId="77777777" w:rsidR="00A20832" w:rsidRPr="00576AF8" w:rsidRDefault="00A20832" w:rsidP="00A35BE3">
            <w:pPr>
              <w:spacing w:before="120"/>
            </w:pPr>
          </w:p>
        </w:tc>
      </w:tr>
      <w:tr w:rsidR="00A20832" w:rsidRPr="00576AF8" w14:paraId="71992EC7" w14:textId="77777777" w:rsidTr="00506FFF">
        <w:trPr>
          <w:jc w:val="center"/>
        </w:trPr>
        <w:tc>
          <w:tcPr>
            <w:tcW w:w="2304" w:type="dxa"/>
          </w:tcPr>
          <w:p w14:paraId="61B78C98" w14:textId="77777777" w:rsidR="00A20832" w:rsidRPr="00576AF8" w:rsidRDefault="00A20832" w:rsidP="00A35BE3">
            <w:pPr>
              <w:spacing w:before="120"/>
            </w:pPr>
          </w:p>
        </w:tc>
        <w:tc>
          <w:tcPr>
            <w:tcW w:w="1224" w:type="dxa"/>
          </w:tcPr>
          <w:p w14:paraId="59999449" w14:textId="77777777" w:rsidR="00A20832" w:rsidRPr="00576AF8" w:rsidRDefault="00A20832" w:rsidP="00A35BE3">
            <w:pPr>
              <w:spacing w:before="120"/>
            </w:pPr>
          </w:p>
        </w:tc>
        <w:tc>
          <w:tcPr>
            <w:tcW w:w="1224" w:type="dxa"/>
          </w:tcPr>
          <w:p w14:paraId="73DA9207" w14:textId="77777777" w:rsidR="00A20832" w:rsidRPr="00576AF8" w:rsidRDefault="00A20832" w:rsidP="00A35BE3">
            <w:pPr>
              <w:spacing w:before="120"/>
            </w:pPr>
          </w:p>
        </w:tc>
        <w:tc>
          <w:tcPr>
            <w:tcW w:w="1224" w:type="dxa"/>
          </w:tcPr>
          <w:p w14:paraId="23210AC2" w14:textId="77777777" w:rsidR="00A20832" w:rsidRPr="00576AF8" w:rsidRDefault="00A20832" w:rsidP="00A35BE3">
            <w:pPr>
              <w:spacing w:before="120"/>
            </w:pPr>
          </w:p>
        </w:tc>
        <w:tc>
          <w:tcPr>
            <w:tcW w:w="1224" w:type="dxa"/>
          </w:tcPr>
          <w:p w14:paraId="45A683D3" w14:textId="77777777" w:rsidR="00A20832" w:rsidRPr="00576AF8" w:rsidRDefault="00A20832" w:rsidP="00A35BE3">
            <w:pPr>
              <w:spacing w:before="120"/>
            </w:pPr>
          </w:p>
        </w:tc>
        <w:tc>
          <w:tcPr>
            <w:tcW w:w="1497" w:type="dxa"/>
          </w:tcPr>
          <w:p w14:paraId="201C1D35" w14:textId="77777777" w:rsidR="00A20832" w:rsidRPr="00576AF8" w:rsidRDefault="00A20832" w:rsidP="00A35BE3">
            <w:pPr>
              <w:spacing w:before="120"/>
            </w:pPr>
          </w:p>
        </w:tc>
      </w:tr>
      <w:tr w:rsidR="00A20832" w:rsidRPr="00576AF8" w14:paraId="629777D0" w14:textId="77777777" w:rsidTr="00506FFF">
        <w:trPr>
          <w:jc w:val="center"/>
        </w:trPr>
        <w:tc>
          <w:tcPr>
            <w:tcW w:w="2304" w:type="dxa"/>
          </w:tcPr>
          <w:p w14:paraId="1CA46ECC" w14:textId="77777777" w:rsidR="00A20832" w:rsidRPr="00576AF8" w:rsidRDefault="00A20832" w:rsidP="00A35BE3">
            <w:pPr>
              <w:spacing w:before="120"/>
            </w:pPr>
          </w:p>
        </w:tc>
        <w:tc>
          <w:tcPr>
            <w:tcW w:w="1224" w:type="dxa"/>
          </w:tcPr>
          <w:p w14:paraId="6B3B4E2A" w14:textId="77777777" w:rsidR="00A20832" w:rsidRPr="00576AF8" w:rsidRDefault="00A20832" w:rsidP="00A35BE3">
            <w:pPr>
              <w:spacing w:before="120"/>
            </w:pPr>
          </w:p>
        </w:tc>
        <w:tc>
          <w:tcPr>
            <w:tcW w:w="1224" w:type="dxa"/>
          </w:tcPr>
          <w:p w14:paraId="5D329B17" w14:textId="77777777" w:rsidR="00A20832" w:rsidRPr="00576AF8" w:rsidRDefault="00A20832" w:rsidP="00A35BE3">
            <w:pPr>
              <w:spacing w:before="120"/>
            </w:pPr>
          </w:p>
        </w:tc>
        <w:tc>
          <w:tcPr>
            <w:tcW w:w="1224" w:type="dxa"/>
          </w:tcPr>
          <w:p w14:paraId="7974A8AE" w14:textId="77777777" w:rsidR="00A20832" w:rsidRPr="00576AF8" w:rsidRDefault="00A20832" w:rsidP="00A35BE3">
            <w:pPr>
              <w:spacing w:before="120"/>
            </w:pPr>
          </w:p>
        </w:tc>
        <w:tc>
          <w:tcPr>
            <w:tcW w:w="1224" w:type="dxa"/>
          </w:tcPr>
          <w:p w14:paraId="0B780790" w14:textId="77777777" w:rsidR="00A20832" w:rsidRPr="00576AF8" w:rsidRDefault="00A20832" w:rsidP="00A35BE3">
            <w:pPr>
              <w:spacing w:before="120"/>
            </w:pPr>
          </w:p>
        </w:tc>
        <w:tc>
          <w:tcPr>
            <w:tcW w:w="1497" w:type="dxa"/>
          </w:tcPr>
          <w:p w14:paraId="16C6C59B" w14:textId="77777777" w:rsidR="00A20832" w:rsidRPr="00576AF8" w:rsidRDefault="00A20832" w:rsidP="00A35BE3">
            <w:pPr>
              <w:spacing w:before="120"/>
            </w:pPr>
          </w:p>
        </w:tc>
      </w:tr>
      <w:tr w:rsidR="00A20832" w:rsidRPr="00576AF8" w14:paraId="014BC90D" w14:textId="77777777" w:rsidTr="00506FFF">
        <w:trPr>
          <w:jc w:val="center"/>
        </w:trPr>
        <w:tc>
          <w:tcPr>
            <w:tcW w:w="2304" w:type="dxa"/>
          </w:tcPr>
          <w:p w14:paraId="67DC62B7" w14:textId="77777777" w:rsidR="00A20832" w:rsidRPr="00576AF8" w:rsidRDefault="00A20832" w:rsidP="00A35BE3">
            <w:pPr>
              <w:spacing w:before="120"/>
            </w:pPr>
          </w:p>
        </w:tc>
        <w:tc>
          <w:tcPr>
            <w:tcW w:w="1224" w:type="dxa"/>
          </w:tcPr>
          <w:p w14:paraId="0CC405DD" w14:textId="77777777" w:rsidR="00A20832" w:rsidRPr="00576AF8" w:rsidRDefault="00A20832" w:rsidP="00A35BE3">
            <w:pPr>
              <w:spacing w:before="120"/>
            </w:pPr>
          </w:p>
        </w:tc>
        <w:tc>
          <w:tcPr>
            <w:tcW w:w="1224" w:type="dxa"/>
          </w:tcPr>
          <w:p w14:paraId="57219AAB" w14:textId="77777777" w:rsidR="00A20832" w:rsidRPr="00576AF8" w:rsidRDefault="00A20832" w:rsidP="00A35BE3">
            <w:pPr>
              <w:spacing w:before="120"/>
            </w:pPr>
          </w:p>
        </w:tc>
        <w:tc>
          <w:tcPr>
            <w:tcW w:w="1224" w:type="dxa"/>
          </w:tcPr>
          <w:p w14:paraId="3F37727B" w14:textId="77777777" w:rsidR="00A20832" w:rsidRPr="00576AF8" w:rsidRDefault="00A20832" w:rsidP="00A35BE3">
            <w:pPr>
              <w:spacing w:before="120"/>
            </w:pPr>
          </w:p>
        </w:tc>
        <w:tc>
          <w:tcPr>
            <w:tcW w:w="1224" w:type="dxa"/>
          </w:tcPr>
          <w:p w14:paraId="4D2FA2CA" w14:textId="77777777" w:rsidR="00A20832" w:rsidRPr="00576AF8" w:rsidRDefault="00A20832" w:rsidP="00A35BE3">
            <w:pPr>
              <w:spacing w:before="120"/>
            </w:pPr>
          </w:p>
        </w:tc>
        <w:tc>
          <w:tcPr>
            <w:tcW w:w="1497" w:type="dxa"/>
          </w:tcPr>
          <w:p w14:paraId="3784EB83" w14:textId="77777777" w:rsidR="00A20832" w:rsidRPr="00576AF8" w:rsidRDefault="00A20832" w:rsidP="00A35BE3">
            <w:pPr>
              <w:spacing w:before="120"/>
            </w:pPr>
          </w:p>
        </w:tc>
      </w:tr>
      <w:tr w:rsidR="00A20832" w:rsidRPr="00576AF8" w14:paraId="227D0BE1" w14:textId="77777777" w:rsidTr="00506FFF">
        <w:trPr>
          <w:jc w:val="center"/>
        </w:trPr>
        <w:tc>
          <w:tcPr>
            <w:tcW w:w="2304" w:type="dxa"/>
          </w:tcPr>
          <w:p w14:paraId="536C9DA3" w14:textId="77777777" w:rsidR="00A20832" w:rsidRPr="00576AF8" w:rsidRDefault="00A20832" w:rsidP="00A35BE3">
            <w:pPr>
              <w:spacing w:before="120"/>
            </w:pPr>
          </w:p>
        </w:tc>
        <w:tc>
          <w:tcPr>
            <w:tcW w:w="1224" w:type="dxa"/>
          </w:tcPr>
          <w:p w14:paraId="08E84C9D" w14:textId="77777777" w:rsidR="00A20832" w:rsidRPr="00576AF8" w:rsidRDefault="00A20832" w:rsidP="00A35BE3">
            <w:pPr>
              <w:spacing w:before="120"/>
            </w:pPr>
          </w:p>
        </w:tc>
        <w:tc>
          <w:tcPr>
            <w:tcW w:w="1224" w:type="dxa"/>
          </w:tcPr>
          <w:p w14:paraId="52CFCC2C" w14:textId="77777777" w:rsidR="00A20832" w:rsidRPr="00576AF8" w:rsidRDefault="00A20832" w:rsidP="00A35BE3">
            <w:pPr>
              <w:spacing w:before="120"/>
            </w:pPr>
          </w:p>
        </w:tc>
        <w:tc>
          <w:tcPr>
            <w:tcW w:w="1224" w:type="dxa"/>
          </w:tcPr>
          <w:p w14:paraId="08D8831D" w14:textId="77777777" w:rsidR="00A20832" w:rsidRPr="00576AF8" w:rsidRDefault="00A20832" w:rsidP="00A35BE3">
            <w:pPr>
              <w:spacing w:before="120"/>
            </w:pPr>
          </w:p>
        </w:tc>
        <w:tc>
          <w:tcPr>
            <w:tcW w:w="1224" w:type="dxa"/>
          </w:tcPr>
          <w:p w14:paraId="752A9BD1" w14:textId="77777777" w:rsidR="00A20832" w:rsidRPr="00576AF8" w:rsidRDefault="00A20832" w:rsidP="00A35BE3">
            <w:pPr>
              <w:spacing w:before="120"/>
            </w:pPr>
          </w:p>
        </w:tc>
        <w:tc>
          <w:tcPr>
            <w:tcW w:w="1497" w:type="dxa"/>
          </w:tcPr>
          <w:p w14:paraId="7EA8882C" w14:textId="77777777" w:rsidR="00A20832" w:rsidRPr="00576AF8" w:rsidRDefault="00A20832" w:rsidP="00A35BE3">
            <w:pPr>
              <w:spacing w:before="120"/>
            </w:pPr>
          </w:p>
        </w:tc>
      </w:tr>
      <w:tr w:rsidR="00A20832" w:rsidRPr="00576AF8" w14:paraId="48A0EA00" w14:textId="77777777" w:rsidTr="00506FFF">
        <w:trPr>
          <w:jc w:val="center"/>
        </w:trPr>
        <w:tc>
          <w:tcPr>
            <w:tcW w:w="2304" w:type="dxa"/>
          </w:tcPr>
          <w:p w14:paraId="323D6F03" w14:textId="77777777" w:rsidR="00A20832" w:rsidRPr="00576AF8" w:rsidRDefault="00A20832" w:rsidP="00A35BE3">
            <w:pPr>
              <w:spacing w:before="120"/>
            </w:pPr>
          </w:p>
        </w:tc>
        <w:tc>
          <w:tcPr>
            <w:tcW w:w="1224" w:type="dxa"/>
          </w:tcPr>
          <w:p w14:paraId="79D8895F" w14:textId="77777777" w:rsidR="00A20832" w:rsidRPr="00576AF8" w:rsidRDefault="00A20832" w:rsidP="00A35BE3">
            <w:pPr>
              <w:spacing w:before="120"/>
            </w:pPr>
          </w:p>
        </w:tc>
        <w:tc>
          <w:tcPr>
            <w:tcW w:w="1224" w:type="dxa"/>
          </w:tcPr>
          <w:p w14:paraId="031B0610" w14:textId="77777777" w:rsidR="00A20832" w:rsidRPr="00576AF8" w:rsidRDefault="00A20832" w:rsidP="00A35BE3">
            <w:pPr>
              <w:spacing w:before="120"/>
            </w:pPr>
          </w:p>
        </w:tc>
        <w:tc>
          <w:tcPr>
            <w:tcW w:w="1224" w:type="dxa"/>
          </w:tcPr>
          <w:p w14:paraId="3EC453BA" w14:textId="77777777" w:rsidR="00A20832" w:rsidRPr="00576AF8" w:rsidRDefault="00A20832" w:rsidP="00A35BE3">
            <w:pPr>
              <w:spacing w:before="120"/>
            </w:pPr>
          </w:p>
        </w:tc>
        <w:tc>
          <w:tcPr>
            <w:tcW w:w="1224" w:type="dxa"/>
          </w:tcPr>
          <w:p w14:paraId="0CCCDE18" w14:textId="77777777" w:rsidR="00A20832" w:rsidRPr="00576AF8" w:rsidRDefault="00A20832" w:rsidP="00A35BE3">
            <w:pPr>
              <w:spacing w:before="120"/>
            </w:pPr>
          </w:p>
        </w:tc>
        <w:tc>
          <w:tcPr>
            <w:tcW w:w="1497" w:type="dxa"/>
          </w:tcPr>
          <w:p w14:paraId="2A70E8D5" w14:textId="77777777" w:rsidR="00A20832" w:rsidRPr="00576AF8" w:rsidRDefault="00A20832" w:rsidP="00A35BE3">
            <w:pPr>
              <w:spacing w:before="120"/>
            </w:pPr>
          </w:p>
        </w:tc>
      </w:tr>
    </w:tbl>
    <w:p w14:paraId="603DEBCC" w14:textId="77777777" w:rsidR="00A20832" w:rsidRPr="00576AF8" w:rsidRDefault="00A20832" w:rsidP="00A20832"/>
    <w:p w14:paraId="428BDD3B" w14:textId="77777777" w:rsidR="00A20832" w:rsidRPr="00576AF8" w:rsidRDefault="00A20832" w:rsidP="00A20832">
      <w:pPr>
        <w:rPr>
          <w:sz w:val="22"/>
        </w:rPr>
      </w:pPr>
    </w:p>
    <w:p w14:paraId="0AB2FE66"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58" w:name="_Toc448739667"/>
      <w:bookmarkStart w:id="1759" w:name="_Toc479249654"/>
      <w:bookmarkStart w:id="1760" w:name="_Toc483587938"/>
      <w:bookmarkStart w:id="1761" w:name="_Toc488965459"/>
      <w:bookmarkStart w:id="1762" w:name="_Toc28246689"/>
      <w:r w:rsidRPr="00576AF8">
        <w:rPr>
          <w:rFonts w:ascii="Times New Roman" w:hAnsi="Times New Roman"/>
        </w:rPr>
        <w:lastRenderedPageBreak/>
        <w:t xml:space="preserve">Apéndice 5. </w:t>
      </w:r>
      <w:r w:rsidR="00A62A35" w:rsidRPr="00576AF8">
        <w:rPr>
          <w:rFonts w:ascii="Times New Roman" w:hAnsi="Times New Roman"/>
        </w:rPr>
        <w:t xml:space="preserve"> </w:t>
      </w:r>
      <w:r w:rsidRPr="00576AF8">
        <w:rPr>
          <w:rFonts w:ascii="Times New Roman" w:hAnsi="Times New Roman"/>
        </w:rPr>
        <w:t>Materiales personalizados</w:t>
      </w:r>
      <w:bookmarkEnd w:id="1758"/>
      <w:bookmarkEnd w:id="1759"/>
      <w:bookmarkEnd w:id="1760"/>
      <w:bookmarkEnd w:id="1761"/>
      <w:bookmarkEnd w:id="1762"/>
    </w:p>
    <w:p w14:paraId="0FD639FE" w14:textId="77777777" w:rsidR="00A20832" w:rsidRPr="00576AF8" w:rsidRDefault="00A20832" w:rsidP="00A20832">
      <w:pPr>
        <w:rPr>
          <w:sz w:val="22"/>
        </w:rPr>
      </w:pPr>
    </w:p>
    <w:p w14:paraId="287B7BD3" w14:textId="77777777" w:rsidR="00A20832" w:rsidRPr="00576AF8" w:rsidRDefault="00A20832" w:rsidP="00A20832">
      <w:r w:rsidRPr="00576AF8">
        <w:t xml:space="preserve">En el cuadro siguiente se especifican los materiales personalizados que el Proveedor suministrará en virtud del Contrato. </w:t>
      </w:r>
    </w:p>
    <w:p w14:paraId="244A0A1F" w14:textId="77777777" w:rsidR="00A20832" w:rsidRPr="00576AF8" w:rsidRDefault="00A20832" w:rsidP="00A20832"/>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A20832" w:rsidRPr="00576AF8" w14:paraId="24656FAA" w14:textId="77777777" w:rsidTr="00A35BE3">
        <w:trPr>
          <w:jc w:val="center"/>
        </w:trPr>
        <w:tc>
          <w:tcPr>
            <w:tcW w:w="8280" w:type="dxa"/>
          </w:tcPr>
          <w:p w14:paraId="47731124" w14:textId="77777777" w:rsidR="00A20832" w:rsidRPr="00576AF8" w:rsidRDefault="00A20832" w:rsidP="00A35BE3">
            <w:pPr>
              <w:keepNext/>
              <w:keepLines/>
              <w:spacing w:before="120"/>
              <w:jc w:val="center"/>
              <w:outlineLvl w:val="4"/>
            </w:pPr>
            <w:r w:rsidRPr="00576AF8">
              <w:t>Materiales personalizados</w:t>
            </w:r>
          </w:p>
        </w:tc>
      </w:tr>
      <w:tr w:rsidR="00A20832" w:rsidRPr="00576AF8" w14:paraId="6F3875EB" w14:textId="77777777" w:rsidTr="00A35BE3">
        <w:trPr>
          <w:jc w:val="center"/>
        </w:trPr>
        <w:tc>
          <w:tcPr>
            <w:tcW w:w="8280" w:type="dxa"/>
          </w:tcPr>
          <w:p w14:paraId="6279A193" w14:textId="77777777" w:rsidR="00A20832" w:rsidRPr="00576AF8" w:rsidRDefault="00A20832" w:rsidP="00A35BE3">
            <w:pPr>
              <w:spacing w:before="120"/>
            </w:pPr>
          </w:p>
        </w:tc>
      </w:tr>
      <w:tr w:rsidR="00A20832" w:rsidRPr="00576AF8" w14:paraId="6BD70727" w14:textId="77777777" w:rsidTr="00A35BE3">
        <w:trPr>
          <w:jc w:val="center"/>
        </w:trPr>
        <w:tc>
          <w:tcPr>
            <w:tcW w:w="8280" w:type="dxa"/>
          </w:tcPr>
          <w:p w14:paraId="64109954" w14:textId="77777777" w:rsidR="00A20832" w:rsidRPr="00576AF8" w:rsidRDefault="00A20832" w:rsidP="00A35BE3">
            <w:pPr>
              <w:spacing w:before="120"/>
            </w:pPr>
          </w:p>
        </w:tc>
      </w:tr>
      <w:tr w:rsidR="00A20832" w:rsidRPr="00576AF8" w14:paraId="5D1ADDD9" w14:textId="77777777" w:rsidTr="00A35BE3">
        <w:trPr>
          <w:jc w:val="center"/>
        </w:trPr>
        <w:tc>
          <w:tcPr>
            <w:tcW w:w="8280" w:type="dxa"/>
          </w:tcPr>
          <w:p w14:paraId="333A42A1" w14:textId="77777777" w:rsidR="00A20832" w:rsidRPr="00576AF8" w:rsidRDefault="00A20832" w:rsidP="00A35BE3">
            <w:pPr>
              <w:spacing w:before="120"/>
            </w:pPr>
          </w:p>
        </w:tc>
      </w:tr>
      <w:tr w:rsidR="00A20832" w:rsidRPr="00576AF8" w14:paraId="0A884FA2" w14:textId="77777777" w:rsidTr="00A35BE3">
        <w:trPr>
          <w:jc w:val="center"/>
        </w:trPr>
        <w:tc>
          <w:tcPr>
            <w:tcW w:w="8280" w:type="dxa"/>
          </w:tcPr>
          <w:p w14:paraId="6ABDB2FC" w14:textId="77777777" w:rsidR="00A20832" w:rsidRPr="00576AF8" w:rsidRDefault="00A20832" w:rsidP="00A35BE3">
            <w:pPr>
              <w:spacing w:before="120"/>
            </w:pPr>
          </w:p>
        </w:tc>
      </w:tr>
      <w:tr w:rsidR="00A20832" w:rsidRPr="00576AF8" w14:paraId="4BA73094" w14:textId="77777777" w:rsidTr="00A35BE3">
        <w:trPr>
          <w:jc w:val="center"/>
        </w:trPr>
        <w:tc>
          <w:tcPr>
            <w:tcW w:w="8280" w:type="dxa"/>
          </w:tcPr>
          <w:p w14:paraId="2A63A46A" w14:textId="77777777" w:rsidR="00A20832" w:rsidRPr="00576AF8" w:rsidRDefault="00A20832" w:rsidP="00A35BE3">
            <w:pPr>
              <w:spacing w:before="120"/>
            </w:pPr>
          </w:p>
        </w:tc>
      </w:tr>
      <w:tr w:rsidR="00A20832" w:rsidRPr="00576AF8" w14:paraId="4D4BF61C" w14:textId="77777777" w:rsidTr="00A35BE3">
        <w:trPr>
          <w:jc w:val="center"/>
        </w:trPr>
        <w:tc>
          <w:tcPr>
            <w:tcW w:w="8280" w:type="dxa"/>
          </w:tcPr>
          <w:p w14:paraId="67FF6ED6" w14:textId="77777777" w:rsidR="00A20832" w:rsidRPr="00576AF8" w:rsidRDefault="00A20832" w:rsidP="00A35BE3">
            <w:pPr>
              <w:spacing w:before="120"/>
            </w:pPr>
          </w:p>
        </w:tc>
      </w:tr>
      <w:tr w:rsidR="00A20832" w:rsidRPr="00576AF8" w14:paraId="4A7C01E7" w14:textId="77777777" w:rsidTr="00A35BE3">
        <w:trPr>
          <w:jc w:val="center"/>
        </w:trPr>
        <w:tc>
          <w:tcPr>
            <w:tcW w:w="8280" w:type="dxa"/>
          </w:tcPr>
          <w:p w14:paraId="762D7F5D" w14:textId="77777777" w:rsidR="00A20832" w:rsidRPr="00576AF8" w:rsidRDefault="00A20832" w:rsidP="00A35BE3">
            <w:pPr>
              <w:spacing w:before="120"/>
            </w:pPr>
          </w:p>
        </w:tc>
      </w:tr>
      <w:tr w:rsidR="00A20832" w:rsidRPr="00576AF8" w14:paraId="5053CF51" w14:textId="77777777" w:rsidTr="00A35BE3">
        <w:trPr>
          <w:jc w:val="center"/>
        </w:trPr>
        <w:tc>
          <w:tcPr>
            <w:tcW w:w="8280" w:type="dxa"/>
          </w:tcPr>
          <w:p w14:paraId="1261E325" w14:textId="77777777" w:rsidR="00A20832" w:rsidRPr="00576AF8" w:rsidRDefault="00A20832" w:rsidP="00A35BE3">
            <w:pPr>
              <w:spacing w:before="120"/>
            </w:pPr>
          </w:p>
        </w:tc>
      </w:tr>
      <w:tr w:rsidR="00A20832" w:rsidRPr="00576AF8" w14:paraId="0D701A53" w14:textId="77777777" w:rsidTr="00A35BE3">
        <w:trPr>
          <w:jc w:val="center"/>
        </w:trPr>
        <w:tc>
          <w:tcPr>
            <w:tcW w:w="8280" w:type="dxa"/>
          </w:tcPr>
          <w:p w14:paraId="3A453E34" w14:textId="77777777" w:rsidR="00A20832" w:rsidRPr="00576AF8" w:rsidRDefault="00A20832" w:rsidP="00A35BE3">
            <w:pPr>
              <w:spacing w:before="120"/>
            </w:pPr>
          </w:p>
        </w:tc>
      </w:tr>
      <w:tr w:rsidR="00A20832" w:rsidRPr="00576AF8" w14:paraId="64BA92A4" w14:textId="77777777" w:rsidTr="00A35BE3">
        <w:trPr>
          <w:jc w:val="center"/>
        </w:trPr>
        <w:tc>
          <w:tcPr>
            <w:tcW w:w="8280" w:type="dxa"/>
          </w:tcPr>
          <w:p w14:paraId="20AE95EE" w14:textId="77777777" w:rsidR="00A20832" w:rsidRPr="00576AF8" w:rsidRDefault="00A20832" w:rsidP="00A35BE3">
            <w:pPr>
              <w:spacing w:before="120"/>
            </w:pPr>
          </w:p>
        </w:tc>
      </w:tr>
      <w:tr w:rsidR="00A20832" w:rsidRPr="00576AF8" w14:paraId="4B60308E" w14:textId="77777777" w:rsidTr="00A35BE3">
        <w:trPr>
          <w:jc w:val="center"/>
        </w:trPr>
        <w:tc>
          <w:tcPr>
            <w:tcW w:w="8280" w:type="dxa"/>
          </w:tcPr>
          <w:p w14:paraId="64988CD8" w14:textId="77777777" w:rsidR="00A20832" w:rsidRPr="00576AF8" w:rsidRDefault="00A20832" w:rsidP="00A35BE3">
            <w:pPr>
              <w:spacing w:before="120"/>
            </w:pPr>
          </w:p>
        </w:tc>
      </w:tr>
      <w:tr w:rsidR="00A20832" w:rsidRPr="00576AF8" w14:paraId="0AE5C2AF" w14:textId="77777777" w:rsidTr="00A35BE3">
        <w:trPr>
          <w:jc w:val="center"/>
        </w:trPr>
        <w:tc>
          <w:tcPr>
            <w:tcW w:w="8280" w:type="dxa"/>
          </w:tcPr>
          <w:p w14:paraId="44339B9E" w14:textId="77777777" w:rsidR="00A20832" w:rsidRPr="00576AF8" w:rsidRDefault="00A20832" w:rsidP="00A35BE3">
            <w:pPr>
              <w:spacing w:before="120"/>
            </w:pPr>
          </w:p>
        </w:tc>
      </w:tr>
      <w:tr w:rsidR="00A20832" w:rsidRPr="00576AF8" w14:paraId="2E2DD64F" w14:textId="77777777" w:rsidTr="00A35BE3">
        <w:trPr>
          <w:jc w:val="center"/>
        </w:trPr>
        <w:tc>
          <w:tcPr>
            <w:tcW w:w="8280" w:type="dxa"/>
          </w:tcPr>
          <w:p w14:paraId="2B6A7596" w14:textId="77777777" w:rsidR="00A20832" w:rsidRPr="00576AF8" w:rsidRDefault="00A20832" w:rsidP="00A35BE3">
            <w:pPr>
              <w:spacing w:before="120"/>
            </w:pPr>
          </w:p>
        </w:tc>
      </w:tr>
      <w:tr w:rsidR="00A20832" w:rsidRPr="00576AF8" w14:paraId="5B4F2E30" w14:textId="77777777" w:rsidTr="00A35BE3">
        <w:trPr>
          <w:jc w:val="center"/>
        </w:trPr>
        <w:tc>
          <w:tcPr>
            <w:tcW w:w="8280" w:type="dxa"/>
          </w:tcPr>
          <w:p w14:paraId="2F834DDF" w14:textId="77777777" w:rsidR="00A20832" w:rsidRPr="00576AF8" w:rsidRDefault="00A20832" w:rsidP="00A35BE3">
            <w:pPr>
              <w:spacing w:before="120"/>
            </w:pPr>
          </w:p>
        </w:tc>
      </w:tr>
      <w:tr w:rsidR="00A20832" w:rsidRPr="00576AF8" w14:paraId="67DF9BE3" w14:textId="77777777" w:rsidTr="00A35BE3">
        <w:trPr>
          <w:jc w:val="center"/>
        </w:trPr>
        <w:tc>
          <w:tcPr>
            <w:tcW w:w="8280" w:type="dxa"/>
          </w:tcPr>
          <w:p w14:paraId="07ABE0E6" w14:textId="77777777" w:rsidR="00A20832" w:rsidRPr="00576AF8" w:rsidRDefault="00A20832" w:rsidP="00A35BE3">
            <w:pPr>
              <w:spacing w:before="120"/>
            </w:pPr>
          </w:p>
        </w:tc>
      </w:tr>
    </w:tbl>
    <w:p w14:paraId="086C467C" w14:textId="77777777" w:rsidR="00A20832" w:rsidRPr="00576AF8" w:rsidRDefault="00A20832" w:rsidP="00A20832"/>
    <w:p w14:paraId="3CD8AF8E" w14:textId="77777777" w:rsidR="00A20832" w:rsidRPr="00576AF8" w:rsidRDefault="00A20832" w:rsidP="00A20832"/>
    <w:p w14:paraId="5FD3B061"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63" w:name="_Toc479249655"/>
      <w:bookmarkStart w:id="1764" w:name="_Toc483587939"/>
      <w:bookmarkStart w:id="1765" w:name="_Toc488965460"/>
      <w:bookmarkStart w:id="1766" w:name="_Toc28246690"/>
      <w:bookmarkStart w:id="1767" w:name="_Toc448739668"/>
      <w:r w:rsidRPr="00576AF8">
        <w:rPr>
          <w:rFonts w:ascii="Times New Roman" w:hAnsi="Times New Roman"/>
        </w:rPr>
        <w:lastRenderedPageBreak/>
        <w:t xml:space="preserve">Apéndice 6. </w:t>
      </w:r>
      <w:r w:rsidR="00A62A35" w:rsidRPr="00576AF8">
        <w:rPr>
          <w:rFonts w:ascii="Times New Roman" w:hAnsi="Times New Roman"/>
        </w:rPr>
        <w:t xml:space="preserve"> </w:t>
      </w:r>
      <w:r w:rsidRPr="00576AF8">
        <w:rPr>
          <w:rFonts w:ascii="Times New Roman" w:hAnsi="Times New Roman"/>
        </w:rPr>
        <w:t>Listas de precios revisados</w:t>
      </w:r>
      <w:bookmarkEnd w:id="1763"/>
      <w:bookmarkEnd w:id="1764"/>
      <w:bookmarkEnd w:id="1765"/>
      <w:bookmarkEnd w:id="1766"/>
      <w:r w:rsidRPr="00576AF8">
        <w:rPr>
          <w:rFonts w:ascii="Times New Roman" w:hAnsi="Times New Roman"/>
        </w:rPr>
        <w:t xml:space="preserve"> </w:t>
      </w:r>
      <w:bookmarkEnd w:id="1767"/>
    </w:p>
    <w:p w14:paraId="57225241" w14:textId="77777777" w:rsidR="00A20832" w:rsidRPr="00576AF8" w:rsidRDefault="00A20832" w:rsidP="00A20832">
      <w:pPr>
        <w:rPr>
          <w:sz w:val="22"/>
        </w:rPr>
      </w:pPr>
    </w:p>
    <w:p w14:paraId="5ABA595C" w14:textId="77777777" w:rsidR="00A20832" w:rsidRPr="00576AF8" w:rsidRDefault="00A20832" w:rsidP="00A20832">
      <w:r w:rsidRPr="00576AF8">
        <w:t xml:space="preserve">Las listas de precios revisados que se acompañan (si las hubiere) formarán parte del presente Convenio Contractual y, si existieran diferencias, prevalecerán sobre las listas de precios incluidas en la Oferta del Proveedor. Las listas de precios revisados reflejarán toda corrección o reajuste del precio de la Oferta del Proveedor, de conformidad con las </w:t>
      </w:r>
      <w:r w:rsidR="006E1237" w:rsidRPr="00576AF8">
        <w:t>IAL </w:t>
      </w:r>
      <w:r w:rsidRPr="00576AF8">
        <w:t xml:space="preserve">30.3 y 38.2. </w:t>
      </w:r>
    </w:p>
    <w:p w14:paraId="3A02FEC8" w14:textId="77777777" w:rsidR="00A20832" w:rsidRPr="00576AF8" w:rsidRDefault="00A20832" w:rsidP="00A20832"/>
    <w:p w14:paraId="1FF508C3" w14:textId="77777777" w:rsidR="00A20832" w:rsidRPr="00576AF8" w:rsidRDefault="00A20832" w:rsidP="00A20832">
      <w:pPr>
        <w:jc w:val="center"/>
      </w:pPr>
    </w:p>
    <w:p w14:paraId="165DECF8" w14:textId="77777777" w:rsidR="00A20832" w:rsidRPr="00576AF8" w:rsidRDefault="00A20832" w:rsidP="00A20832">
      <w:pPr>
        <w:jc w:val="center"/>
      </w:pPr>
    </w:p>
    <w:p w14:paraId="2C58AE8D" w14:textId="77777777" w:rsidR="00A20832" w:rsidRPr="00576AF8" w:rsidRDefault="00A20832" w:rsidP="00A20832">
      <w:pPr>
        <w:jc w:val="center"/>
      </w:pPr>
    </w:p>
    <w:p w14:paraId="612D237F"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68" w:name="_Toc448739669"/>
      <w:bookmarkStart w:id="1769" w:name="_Toc479249656"/>
      <w:bookmarkStart w:id="1770" w:name="_Toc483587940"/>
      <w:bookmarkStart w:id="1771" w:name="_Toc488965461"/>
      <w:bookmarkStart w:id="1772" w:name="_Toc28246691"/>
      <w:r w:rsidRPr="00576AF8">
        <w:rPr>
          <w:rFonts w:ascii="Times New Roman" w:hAnsi="Times New Roman"/>
        </w:rPr>
        <w:lastRenderedPageBreak/>
        <w:t xml:space="preserve">Apéndice 7. Actas de las conversaciones destinadas a finalizar </w:t>
      </w:r>
      <w:r w:rsidRPr="00576AF8">
        <w:rPr>
          <w:rFonts w:ascii="Times New Roman" w:hAnsi="Times New Roman"/>
        </w:rPr>
        <w:br/>
        <w:t>el Contrato y enmiendas convenidas</w:t>
      </w:r>
      <w:bookmarkEnd w:id="1768"/>
      <w:bookmarkEnd w:id="1769"/>
      <w:bookmarkEnd w:id="1770"/>
      <w:bookmarkEnd w:id="1771"/>
      <w:bookmarkEnd w:id="1772"/>
    </w:p>
    <w:p w14:paraId="1BB7BBE5" w14:textId="77777777" w:rsidR="00A20832" w:rsidRPr="00576AF8" w:rsidRDefault="00A20832" w:rsidP="00A20832">
      <w:pPr>
        <w:rPr>
          <w:sz w:val="28"/>
        </w:rPr>
      </w:pPr>
    </w:p>
    <w:p w14:paraId="72B00439" w14:textId="77777777" w:rsidR="00A20832" w:rsidRPr="00576AF8" w:rsidRDefault="00A20832" w:rsidP="00A20832">
      <w:r w:rsidRPr="00576AF8">
        <w:t xml:space="preserve">Las enmiendas del Contrato que se acompañan (si las hubiera) formarán parte del presente Convenio Contractual y, si existieran diferencias, prevalecerán sobre las cláusulas pertinentes </w:t>
      </w:r>
      <w:r w:rsidR="00A62A35" w:rsidRPr="00576AF8">
        <w:br/>
      </w:r>
      <w:r w:rsidRPr="00576AF8">
        <w:t xml:space="preserve">de las CGC, las CEC, los requisitos técnicos u otras partes de este Contrato definidas en la cláusula 1.1 </w:t>
      </w:r>
      <w:r w:rsidR="00A62A35" w:rsidRPr="00576AF8">
        <w:t>(</w:t>
      </w:r>
      <w:r w:rsidRPr="00576AF8">
        <w:t xml:space="preserve">a) </w:t>
      </w:r>
      <w:r w:rsidR="00A62A35" w:rsidRPr="00576AF8">
        <w:t>(</w:t>
      </w:r>
      <w:r w:rsidRPr="00576AF8">
        <w:t>ii) de las CGC.</w:t>
      </w:r>
    </w:p>
    <w:p w14:paraId="659EFC36" w14:textId="77777777" w:rsidR="00A20832" w:rsidRPr="00576AF8" w:rsidRDefault="00A20832" w:rsidP="00A20832">
      <w:pPr>
        <w:jc w:val="center"/>
      </w:pPr>
    </w:p>
    <w:p w14:paraId="1F3E870D"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773" w:name="_Toc448739670"/>
      <w:bookmarkStart w:id="1774" w:name="_Toc479249657"/>
      <w:bookmarkStart w:id="1775" w:name="_Toc483587941"/>
      <w:bookmarkStart w:id="1776" w:name="_Toc488965462"/>
      <w:bookmarkStart w:id="1777" w:name="_Toc28246692"/>
      <w:r w:rsidRPr="00576AF8">
        <w:rPr>
          <w:rFonts w:ascii="Times New Roman" w:hAnsi="Times New Roman"/>
        </w:rPr>
        <w:lastRenderedPageBreak/>
        <w:t xml:space="preserve">Formularios de garantía de cumplimiento </w:t>
      </w:r>
      <w:r w:rsidR="00151D19" w:rsidRPr="00576AF8">
        <w:rPr>
          <w:rFonts w:ascii="Times New Roman" w:hAnsi="Times New Roman"/>
        </w:rPr>
        <w:br/>
      </w:r>
      <w:r w:rsidRPr="00576AF8">
        <w:rPr>
          <w:rFonts w:ascii="Times New Roman" w:hAnsi="Times New Roman"/>
        </w:rPr>
        <w:t>y de garantía por pago de anticipo</w:t>
      </w:r>
      <w:bookmarkEnd w:id="1773"/>
      <w:bookmarkEnd w:id="1774"/>
      <w:bookmarkEnd w:id="1775"/>
      <w:bookmarkEnd w:id="1776"/>
      <w:bookmarkEnd w:id="1777"/>
    </w:p>
    <w:p w14:paraId="3CCFB29F" w14:textId="77777777" w:rsidR="00A20832" w:rsidRPr="00576AF8" w:rsidRDefault="00A20832" w:rsidP="00A20832">
      <w:pPr>
        <w:rPr>
          <w:sz w:val="22"/>
        </w:rPr>
      </w:pPr>
    </w:p>
    <w:p w14:paraId="070460BF" w14:textId="77777777" w:rsidR="00A20832" w:rsidRPr="00576AF8" w:rsidRDefault="00A20832" w:rsidP="00A20832">
      <w:pPr>
        <w:rPr>
          <w:sz w:val="22"/>
        </w:rPr>
      </w:pPr>
      <w:r w:rsidRPr="00576AF8">
        <w:br w:type="page"/>
      </w:r>
      <w:bookmarkEnd w:id="1715"/>
      <w:bookmarkEnd w:id="1716"/>
    </w:p>
    <w:p w14:paraId="4E0030D7" w14:textId="77777777" w:rsidR="00A20832" w:rsidRPr="00576AF8" w:rsidRDefault="00CE45C8" w:rsidP="00A20832">
      <w:pPr>
        <w:pStyle w:val="Head82"/>
      </w:pPr>
      <w:bookmarkStart w:id="1778" w:name="_Toc521497273"/>
      <w:bookmarkStart w:id="1779" w:name="_Toc479249658"/>
      <w:bookmarkStart w:id="1780" w:name="_Toc483587942"/>
      <w:bookmarkStart w:id="1781" w:name="_Toc488965463"/>
      <w:r w:rsidRPr="00576AF8">
        <w:lastRenderedPageBreak/>
        <w:t xml:space="preserve">2.1 </w:t>
      </w:r>
      <w:r w:rsidR="00A20832" w:rsidRPr="00576AF8">
        <w:t>Formulario de garantía de cumplimiento (Garantía bancaria)</w:t>
      </w:r>
      <w:bookmarkEnd w:id="1778"/>
      <w:bookmarkEnd w:id="1779"/>
      <w:bookmarkEnd w:id="1780"/>
      <w:bookmarkEnd w:id="1781"/>
    </w:p>
    <w:p w14:paraId="785E7D72" w14:textId="77777777" w:rsidR="00A20832" w:rsidRPr="00576AF8" w:rsidRDefault="00A20832" w:rsidP="00A20832"/>
    <w:p w14:paraId="5BFF7A58" w14:textId="77777777" w:rsidR="00A20832" w:rsidRPr="00576AF8" w:rsidRDefault="00A20832" w:rsidP="00A20832">
      <w:pPr>
        <w:suppressAutoHyphens w:val="0"/>
        <w:spacing w:after="0"/>
        <w:jc w:val="left"/>
        <w:rPr>
          <w:i/>
          <w:iCs/>
        </w:rPr>
      </w:pPr>
      <w:r w:rsidRPr="00576AF8">
        <w:rPr>
          <w:i/>
          <w:iCs/>
        </w:rPr>
        <w:t xml:space="preserve">[El banco, a solicitud del Licitante seleccionado, deberá completar este formulario </w:t>
      </w:r>
      <w:r w:rsidR="001D12C1" w:rsidRPr="00576AF8">
        <w:rPr>
          <w:i/>
          <w:iCs/>
        </w:rPr>
        <w:t xml:space="preserve">según </w:t>
      </w:r>
      <w:r w:rsidRPr="00576AF8">
        <w:rPr>
          <w:i/>
          <w:iCs/>
        </w:rPr>
        <w:t xml:space="preserve">las instrucciones indicadas]. </w:t>
      </w:r>
    </w:p>
    <w:p w14:paraId="73056C97" w14:textId="77777777" w:rsidR="00A20832" w:rsidRPr="00576AF8" w:rsidRDefault="00A20832" w:rsidP="00A20832">
      <w:pPr>
        <w:suppressAutoHyphens w:val="0"/>
        <w:spacing w:after="0"/>
        <w:jc w:val="left"/>
        <w:rPr>
          <w:i/>
          <w:iCs/>
        </w:rPr>
      </w:pPr>
    </w:p>
    <w:p w14:paraId="3223C8E7" w14:textId="77777777" w:rsidR="00A20832" w:rsidRPr="00576AF8" w:rsidRDefault="00A20832" w:rsidP="00A20832">
      <w:pPr>
        <w:suppressAutoHyphens w:val="0"/>
        <w:spacing w:after="0"/>
        <w:jc w:val="left"/>
        <w:rPr>
          <w:i/>
        </w:rPr>
      </w:pPr>
      <w:r w:rsidRPr="00576AF8">
        <w:rPr>
          <w:i/>
        </w:rPr>
        <w:t xml:space="preserve">[Membrete del </w:t>
      </w:r>
      <w:r w:rsidR="00223DCA" w:rsidRPr="00576AF8">
        <w:rPr>
          <w:i/>
        </w:rPr>
        <w:t>G</w:t>
      </w:r>
      <w:r w:rsidRPr="00576AF8">
        <w:rPr>
          <w:i/>
        </w:rPr>
        <w:t>arante o código de identificación SWIFT]</w:t>
      </w:r>
    </w:p>
    <w:p w14:paraId="21DF1D10" w14:textId="77777777" w:rsidR="00A20832" w:rsidRPr="00576AF8" w:rsidRDefault="00A20832" w:rsidP="00A20832"/>
    <w:p w14:paraId="076AABCF" w14:textId="77777777" w:rsidR="00A20832" w:rsidRPr="00576AF8" w:rsidRDefault="00A20832" w:rsidP="00CE45C8">
      <w:pPr>
        <w:pStyle w:val="NormalWeb"/>
        <w:rPr>
          <w:rFonts w:ascii="Times New Roman" w:hAnsi="Times New Roman" w:cs="Times New Roman"/>
        </w:rPr>
      </w:pPr>
      <w:r w:rsidRPr="00576AF8">
        <w:rPr>
          <w:rFonts w:ascii="Times New Roman" w:hAnsi="Times New Roman" w:cs="Times New Roman"/>
          <w:i/>
        </w:rPr>
        <w:t>________________________________</w:t>
      </w:r>
      <w:r w:rsidRPr="00576AF8">
        <w:rPr>
          <w:rFonts w:ascii="Times New Roman" w:hAnsi="Times New Roman" w:cs="Times New Roman"/>
          <w:i/>
        </w:rPr>
        <w:br/>
        <w:t xml:space="preserve">[Indique </w:t>
      </w:r>
      <w:r w:rsidRPr="00576AF8">
        <w:rPr>
          <w:rFonts w:ascii="Times New Roman" w:hAnsi="Times New Roman" w:cs="Times New Roman"/>
          <w:b/>
          <w:i/>
        </w:rPr>
        <w:t xml:space="preserve">el nombre del banco comercial y la dirección de la sucursal u oficina que emite </w:t>
      </w:r>
      <w:r w:rsidR="00CE45C8" w:rsidRPr="00576AF8">
        <w:rPr>
          <w:rFonts w:ascii="Times New Roman" w:hAnsi="Times New Roman" w:cs="Times New Roman"/>
          <w:b/>
          <w:i/>
        </w:rPr>
        <w:br/>
      </w:r>
      <w:r w:rsidRPr="00576AF8">
        <w:rPr>
          <w:rFonts w:ascii="Times New Roman" w:hAnsi="Times New Roman" w:cs="Times New Roman"/>
          <w:b/>
          <w:i/>
        </w:rPr>
        <w:t>la garantía].</w:t>
      </w:r>
    </w:p>
    <w:p w14:paraId="224DD222" w14:textId="77777777" w:rsidR="00A20832" w:rsidRPr="00576AF8" w:rsidRDefault="00A20832" w:rsidP="00A20832">
      <w:pPr>
        <w:pStyle w:val="NormalWeb"/>
        <w:spacing w:before="40"/>
        <w:rPr>
          <w:rFonts w:ascii="Times New Roman" w:hAnsi="Times New Roman" w:cs="Times New Roman"/>
          <w:i/>
        </w:rPr>
      </w:pPr>
      <w:r w:rsidRPr="00576AF8">
        <w:rPr>
          <w:rFonts w:ascii="Times New Roman" w:hAnsi="Times New Roman" w:cs="Times New Roman"/>
          <w:b/>
        </w:rPr>
        <w:t>Beneficiario:</w:t>
      </w:r>
      <w:r w:rsidRPr="00576AF8">
        <w:rPr>
          <w:rFonts w:ascii="Times New Roman" w:hAnsi="Times New Roman" w:cs="Times New Roman"/>
        </w:rPr>
        <w:t xml:space="preserve"> </w:t>
      </w:r>
      <w:r w:rsidRPr="00576AF8">
        <w:rPr>
          <w:rFonts w:ascii="Times New Roman" w:hAnsi="Times New Roman" w:cs="Times New Roman"/>
          <w:i/>
        </w:rPr>
        <w:t xml:space="preserve">[indique </w:t>
      </w:r>
      <w:r w:rsidRPr="00576AF8">
        <w:rPr>
          <w:rFonts w:ascii="Times New Roman" w:hAnsi="Times New Roman" w:cs="Times New Roman"/>
          <w:b/>
          <w:i/>
        </w:rPr>
        <w:t>el nombre y la dirección del Comprador</w:t>
      </w:r>
      <w:r w:rsidRPr="00576AF8">
        <w:rPr>
          <w:rFonts w:ascii="Times New Roman" w:hAnsi="Times New Roman" w:cs="Times New Roman"/>
          <w:i/>
        </w:rPr>
        <w:t>].</w:t>
      </w:r>
    </w:p>
    <w:p w14:paraId="1E832318" w14:textId="77777777" w:rsidR="00A20832" w:rsidRPr="00576AF8" w:rsidRDefault="00A20832" w:rsidP="00A20832">
      <w:pPr>
        <w:pStyle w:val="NormalWeb"/>
        <w:spacing w:before="40"/>
        <w:rPr>
          <w:rFonts w:ascii="Times New Roman" w:hAnsi="Times New Roman" w:cs="Times New Roman"/>
          <w:i/>
        </w:rPr>
      </w:pPr>
      <w:r w:rsidRPr="00576AF8">
        <w:rPr>
          <w:rFonts w:ascii="Times New Roman" w:hAnsi="Times New Roman" w:cs="Times New Roman"/>
          <w:b/>
        </w:rPr>
        <w:t>Fecha:</w:t>
      </w:r>
      <w:r w:rsidRPr="00576AF8">
        <w:rPr>
          <w:rFonts w:ascii="Times New Roman" w:hAnsi="Times New Roman" w:cs="Times New Roman"/>
        </w:rPr>
        <w:t xml:space="preserve"> </w:t>
      </w:r>
      <w:r w:rsidRPr="00576AF8">
        <w:rPr>
          <w:rFonts w:ascii="Times New Roman" w:hAnsi="Times New Roman" w:cs="Times New Roman"/>
          <w:i/>
        </w:rPr>
        <w:t xml:space="preserve">[indique </w:t>
      </w:r>
      <w:r w:rsidRPr="00576AF8">
        <w:rPr>
          <w:rFonts w:ascii="Times New Roman" w:hAnsi="Times New Roman" w:cs="Times New Roman"/>
          <w:b/>
          <w:i/>
        </w:rPr>
        <w:t>la fecha</w:t>
      </w:r>
      <w:r w:rsidRPr="00576AF8">
        <w:rPr>
          <w:rFonts w:ascii="Times New Roman" w:hAnsi="Times New Roman" w:cs="Times New Roman"/>
          <w:i/>
        </w:rPr>
        <w:t xml:space="preserve">]. </w:t>
      </w:r>
    </w:p>
    <w:p w14:paraId="27E600CC" w14:textId="77777777" w:rsidR="00A20832" w:rsidRPr="00576AF8" w:rsidRDefault="00A20832" w:rsidP="00A20832">
      <w:pPr>
        <w:pStyle w:val="NormalWeb"/>
        <w:spacing w:before="40" w:after="200"/>
        <w:rPr>
          <w:rFonts w:ascii="Times New Roman" w:hAnsi="Times New Roman" w:cs="Times New Roman"/>
          <w:i/>
        </w:rPr>
      </w:pPr>
      <w:r w:rsidRPr="00576AF8">
        <w:rPr>
          <w:rFonts w:ascii="Times New Roman" w:hAnsi="Times New Roman" w:cs="Times New Roman"/>
          <w:b/>
        </w:rPr>
        <w:t>GARANTÍA DE CUMPLIMIENTO N.º:</w:t>
      </w:r>
      <w:r w:rsidRPr="00576AF8">
        <w:rPr>
          <w:rFonts w:ascii="Times New Roman" w:hAnsi="Times New Roman" w:cs="Times New Roman"/>
        </w:rPr>
        <w:t xml:space="preserve"> </w:t>
      </w:r>
      <w:r w:rsidRPr="00576AF8">
        <w:rPr>
          <w:rFonts w:ascii="Times New Roman" w:hAnsi="Times New Roman" w:cs="Times New Roman"/>
          <w:i/>
        </w:rPr>
        <w:t xml:space="preserve">[indique </w:t>
      </w:r>
      <w:r w:rsidRPr="00576AF8">
        <w:rPr>
          <w:rFonts w:ascii="Times New Roman" w:hAnsi="Times New Roman" w:cs="Times New Roman"/>
          <w:b/>
          <w:i/>
        </w:rPr>
        <w:t>el número de la garantía de cumplimiento</w:t>
      </w:r>
      <w:r w:rsidRPr="00576AF8">
        <w:rPr>
          <w:rFonts w:ascii="Times New Roman" w:hAnsi="Times New Roman" w:cs="Times New Roman"/>
          <w:i/>
        </w:rPr>
        <w:t>].</w:t>
      </w:r>
    </w:p>
    <w:p w14:paraId="3DB96AFA" w14:textId="77777777" w:rsidR="00A20832" w:rsidRPr="00576AF8" w:rsidRDefault="00A20832" w:rsidP="00A20832">
      <w:pPr>
        <w:suppressAutoHyphens w:val="0"/>
        <w:spacing w:before="100" w:beforeAutospacing="1" w:after="100" w:afterAutospacing="1"/>
        <w:jc w:val="left"/>
      </w:pPr>
      <w:r w:rsidRPr="00576AF8">
        <w:rPr>
          <w:b/>
          <w:szCs w:val="24"/>
        </w:rPr>
        <w:t xml:space="preserve">Garante: </w:t>
      </w:r>
      <w:r w:rsidRPr="00576AF8">
        <w:rPr>
          <w:i/>
          <w:szCs w:val="24"/>
        </w:rPr>
        <w:t>[indique el nombre y la dirección del emisor de la garantía, a menos que esté incluido en el membrete].</w:t>
      </w:r>
    </w:p>
    <w:p w14:paraId="0D49BCA2" w14:textId="77777777" w:rsidR="00A20832" w:rsidRPr="00576AF8" w:rsidRDefault="00A20832" w:rsidP="00A20832">
      <w:r w:rsidRPr="00576AF8">
        <w:t>Se nos ha informado que el</w:t>
      </w:r>
      <w:r w:rsidRPr="00576AF8">
        <w:rPr>
          <w:i/>
        </w:rPr>
        <w:t xml:space="preserve"> [indique </w:t>
      </w:r>
      <w:r w:rsidRPr="00576AF8">
        <w:rPr>
          <w:b/>
          <w:i/>
        </w:rPr>
        <w:t>la fecha de la adjudicación</w:t>
      </w:r>
      <w:r w:rsidRPr="00576AF8">
        <w:rPr>
          <w:i/>
        </w:rPr>
        <w:t>]</w:t>
      </w:r>
      <w:r w:rsidRPr="00576AF8">
        <w:t xml:space="preserve"> ustedes adjudicaron el Contrato n.º </w:t>
      </w:r>
      <w:r w:rsidRPr="00576AF8">
        <w:rPr>
          <w:i/>
        </w:rPr>
        <w:t xml:space="preserve">[indique </w:t>
      </w:r>
      <w:r w:rsidRPr="00576AF8">
        <w:rPr>
          <w:b/>
          <w:i/>
        </w:rPr>
        <w:t>el número del Contrato</w:t>
      </w:r>
      <w:r w:rsidRPr="00576AF8">
        <w:rPr>
          <w:i/>
        </w:rPr>
        <w:t>]</w:t>
      </w:r>
      <w:r w:rsidRPr="00576AF8">
        <w:t xml:space="preserve"> para </w:t>
      </w:r>
      <w:r w:rsidRPr="00576AF8">
        <w:rPr>
          <w:i/>
        </w:rPr>
        <w:t xml:space="preserve">[indique </w:t>
      </w:r>
      <w:r w:rsidRPr="00576AF8">
        <w:rPr>
          <w:b/>
          <w:i/>
        </w:rPr>
        <w:t>el título o una breve descripción del Contrato</w:t>
      </w:r>
      <w:r w:rsidRPr="00576AF8">
        <w:rPr>
          <w:i/>
        </w:rPr>
        <w:t>]</w:t>
      </w:r>
      <w:r w:rsidRPr="00576AF8">
        <w:t xml:space="preserve"> (en adelante, el “Contrato”) a </w:t>
      </w:r>
      <w:r w:rsidRPr="00576AF8">
        <w:rPr>
          <w:i/>
        </w:rPr>
        <w:t xml:space="preserve">[indique </w:t>
      </w:r>
      <w:r w:rsidRPr="00576AF8">
        <w:rPr>
          <w:b/>
          <w:i/>
        </w:rPr>
        <w:t xml:space="preserve">el nombre completo del Proveedor, que, </w:t>
      </w:r>
      <w:r w:rsidR="001D12C1" w:rsidRPr="00576AF8">
        <w:rPr>
          <w:b/>
          <w:i/>
        </w:rPr>
        <w:t xml:space="preserve">si se </w:t>
      </w:r>
      <w:r w:rsidRPr="00576AF8">
        <w:rPr>
          <w:b/>
          <w:i/>
        </w:rPr>
        <w:t xml:space="preserve">trata de una </w:t>
      </w:r>
      <w:r w:rsidR="000107E9" w:rsidRPr="00576AF8">
        <w:rPr>
          <w:b/>
          <w:i/>
        </w:rPr>
        <w:t>APCA</w:t>
      </w:r>
      <w:r w:rsidRPr="00576AF8">
        <w:rPr>
          <w:b/>
          <w:i/>
        </w:rPr>
        <w:t>, será el nombre de esta</w:t>
      </w:r>
      <w:r w:rsidRPr="00576AF8">
        <w:rPr>
          <w:i/>
        </w:rPr>
        <w:t>]</w:t>
      </w:r>
      <w:r w:rsidRPr="00576AF8">
        <w:t xml:space="preserve"> (en adelante, el “</w:t>
      </w:r>
      <w:r w:rsidR="001D12C1" w:rsidRPr="00576AF8">
        <w:t>Postulante</w:t>
      </w:r>
      <w:r w:rsidRPr="00576AF8">
        <w:t>”). Entendemos además que, de conformidad con las condiciones contractuales, se requiere una garantía de cumplimiento.</w:t>
      </w:r>
    </w:p>
    <w:p w14:paraId="60D65516" w14:textId="77777777" w:rsidR="00A20832" w:rsidRPr="00576AF8" w:rsidRDefault="00A20832" w:rsidP="00A20832">
      <w:r w:rsidRPr="00576AF8">
        <w:t xml:space="preserve">A </w:t>
      </w:r>
      <w:r w:rsidR="001D12C1" w:rsidRPr="00576AF8">
        <w:t xml:space="preserve">solicitud </w:t>
      </w:r>
      <w:r w:rsidRPr="00576AF8">
        <w:t xml:space="preserve">del </w:t>
      </w:r>
      <w:r w:rsidR="001D12C1" w:rsidRPr="00576AF8">
        <w:t>Postulante</w:t>
      </w:r>
      <w:r w:rsidRPr="00576AF8">
        <w:t xml:space="preserve">, nosotros, en calidad de </w:t>
      </w:r>
      <w:r w:rsidR="00223DCA" w:rsidRPr="00576AF8">
        <w:t>G</w:t>
      </w:r>
      <w:r w:rsidRPr="00576AF8">
        <w:t>arantes y por medio de la presente garantía</w:t>
      </w:r>
      <w:r w:rsidR="00DF0466" w:rsidRPr="00576AF8">
        <w:t>,</w:t>
      </w:r>
      <w:r w:rsidRPr="00576AF8">
        <w:t xml:space="preserve"> nos obligamos irrevocablemente a pagarles </w:t>
      </w:r>
      <w:r w:rsidR="00EB6598" w:rsidRPr="00576AF8">
        <w:t xml:space="preserve">cualquier </w:t>
      </w:r>
      <w:r w:rsidRPr="00576AF8">
        <w:t>suma que no exceda</w:t>
      </w:r>
      <w:r w:rsidR="00EB6598" w:rsidRPr="00576AF8">
        <w:t xml:space="preserve"> un monto </w:t>
      </w:r>
      <w:r w:rsidRPr="00576AF8">
        <w:t xml:space="preserve">total </w:t>
      </w:r>
      <w:r w:rsidR="00EB6598" w:rsidRPr="00576AF8">
        <w:t xml:space="preserve">de </w:t>
      </w:r>
      <w:r w:rsidRPr="00576AF8">
        <w:rPr>
          <w:i/>
        </w:rPr>
        <w:t xml:space="preserve">[indique </w:t>
      </w:r>
      <w:r w:rsidRPr="00576AF8">
        <w:rPr>
          <w:b/>
          <w:i/>
        </w:rPr>
        <w:t>las sumas</w:t>
      </w:r>
      <w:bookmarkStart w:id="1782" w:name="_Ref144029320"/>
      <w:r w:rsidRPr="00576AF8">
        <w:rPr>
          <w:rStyle w:val="Refdenotaalpie"/>
          <w:i/>
        </w:rPr>
        <w:footnoteReference w:id="17"/>
      </w:r>
      <w:bookmarkEnd w:id="1782"/>
      <w:r w:rsidRPr="00576AF8">
        <w:rPr>
          <w:b/>
          <w:i/>
        </w:rPr>
        <w:t xml:space="preserve"> en cifras y en letras</w:t>
      </w:r>
      <w:r w:rsidRPr="00576AF8">
        <w:rPr>
          <w:i/>
        </w:rPr>
        <w:t>]</w:t>
      </w:r>
      <w:r w:rsidRPr="00576AF8">
        <w:t>. Dichas sumas se pagarán en los tipos y las proporciones de monedas en las que se debe pagar el precio del Contrato, al recib</w:t>
      </w:r>
      <w:r w:rsidR="00814801" w:rsidRPr="00576AF8">
        <w:t>ir</w:t>
      </w:r>
      <w:r w:rsidRPr="00576AF8">
        <w:t xml:space="preserve"> la declaración del beneficiario, ya sea en la </w:t>
      </w:r>
      <w:r w:rsidR="00EB6598" w:rsidRPr="00576AF8">
        <w:t xml:space="preserve">propia solicitud </w:t>
      </w:r>
      <w:r w:rsidRPr="00576AF8">
        <w:t xml:space="preserve">o en un documento aparte firmado que la acompañe o identifique, en la que se indique que el </w:t>
      </w:r>
      <w:r w:rsidR="001D12C1" w:rsidRPr="00576AF8">
        <w:t xml:space="preserve">Postulante </w:t>
      </w:r>
      <w:r w:rsidRPr="00576AF8">
        <w:t xml:space="preserve">incumplió sus obligaciones en virtud del Contrato, sin que el beneficiario tenga que probar o aducir causa o razón alguna de su </w:t>
      </w:r>
      <w:r w:rsidR="00EB6598" w:rsidRPr="00576AF8">
        <w:t xml:space="preserve">solicitud </w:t>
      </w:r>
      <w:r w:rsidRPr="00576AF8">
        <w:t>ni de la suma especificada en ella.</w:t>
      </w:r>
    </w:p>
    <w:p w14:paraId="198B1CB7" w14:textId="77777777" w:rsidR="00A20832" w:rsidRPr="00576AF8" w:rsidRDefault="00A20832" w:rsidP="00A264B5">
      <w:r w:rsidRPr="00576AF8">
        <w:t xml:space="preserve">En la fecha en que extiendan al Proveedor el certificado de aceptación operativa del Sistema, el valor de esta garantía se reducirá a una suma que no exceda </w:t>
      </w:r>
      <w:r w:rsidRPr="00576AF8">
        <w:rPr>
          <w:i/>
        </w:rPr>
        <w:t xml:space="preserve">[indique </w:t>
      </w:r>
      <w:r w:rsidRPr="00576AF8">
        <w:rPr>
          <w:b/>
          <w:i/>
        </w:rPr>
        <w:t>el monto</w:t>
      </w:r>
      <w:r w:rsidR="000E5F6E" w:rsidRPr="00576AF8">
        <w:rPr>
          <w:rStyle w:val="Refdenotaalpie"/>
        </w:rPr>
        <w:fldChar w:fldCharType="begin"/>
      </w:r>
      <w:r w:rsidR="000E5F6E" w:rsidRPr="00576AF8">
        <w:rPr>
          <w:rStyle w:val="Refdenotaalpie"/>
        </w:rPr>
        <w:instrText xml:space="preserve"> NOTEREF _Ref144029320 \f  \* MERGEFORMAT </w:instrText>
      </w:r>
      <w:r w:rsidR="000E5F6E" w:rsidRPr="00576AF8">
        <w:rPr>
          <w:rStyle w:val="Refdenotaalpie"/>
        </w:rPr>
        <w:fldChar w:fldCharType="separate"/>
      </w:r>
      <w:r w:rsidR="00A264B5" w:rsidRPr="00576AF8">
        <w:rPr>
          <w:rStyle w:val="Refdenotaalpie"/>
        </w:rPr>
        <w:t>1</w:t>
      </w:r>
      <w:r w:rsidR="000E5F6E" w:rsidRPr="00576AF8">
        <w:rPr>
          <w:rStyle w:val="Refdenotaalpie"/>
        </w:rPr>
        <w:fldChar w:fldCharType="end"/>
      </w:r>
      <w:r w:rsidRPr="00576AF8">
        <w:rPr>
          <w:b/>
          <w:i/>
        </w:rPr>
        <w:t xml:space="preserve"> en cifras y en palabras</w:t>
      </w:r>
      <w:r w:rsidRPr="00576AF8">
        <w:rPr>
          <w:i/>
        </w:rPr>
        <w:t>].</w:t>
      </w:r>
      <w:r w:rsidRPr="00576AF8">
        <w:t xml:space="preserve"> La parte restante de esta garantía vencerá a más tardar a los</w:t>
      </w:r>
      <w:r w:rsidR="00EB6598" w:rsidRPr="00576AF8">
        <w:t xml:space="preserve"> </w:t>
      </w:r>
      <w:r w:rsidRPr="00576AF8">
        <w:rPr>
          <w:i/>
        </w:rPr>
        <w:t xml:space="preserve">[indique </w:t>
      </w:r>
      <w:r w:rsidRPr="00576AF8">
        <w:rPr>
          <w:b/>
          <w:i/>
        </w:rPr>
        <w:t>la cantidad</w:t>
      </w:r>
      <w:r w:rsidRPr="00576AF8">
        <w:rPr>
          <w:i/>
        </w:rPr>
        <w:t xml:space="preserve"> y seleccione </w:t>
      </w:r>
      <w:r w:rsidRPr="00576AF8">
        <w:rPr>
          <w:b/>
          <w:i/>
        </w:rPr>
        <w:t>“de meses” o “de años”</w:t>
      </w:r>
      <w:r w:rsidRPr="00576AF8">
        <w:rPr>
          <w:i/>
        </w:rPr>
        <w:t xml:space="preserve"> (del período de garantía que debe cubrir la parte restante de </w:t>
      </w:r>
      <w:r w:rsidRPr="00576AF8">
        <w:rPr>
          <w:i/>
        </w:rPr>
        <w:lastRenderedPageBreak/>
        <w:t>la garantía)]</w:t>
      </w:r>
      <w:r w:rsidRPr="00576AF8">
        <w:t xml:space="preserve"> contados a partir de la fecha en que se emita el certificado de aceptación operativa del Sistema</w:t>
      </w:r>
      <w:r w:rsidRPr="00576AF8">
        <w:rPr>
          <w:rStyle w:val="Refdenotaalpie"/>
        </w:rPr>
        <w:footnoteReference w:id="18"/>
      </w:r>
      <w:r w:rsidRPr="00576AF8">
        <w:t xml:space="preserve">, y </w:t>
      </w:r>
      <w:r w:rsidR="00EB6598" w:rsidRPr="00576AF8">
        <w:t xml:space="preserve">cualquier </w:t>
      </w:r>
      <w:r w:rsidR="005D1B6B" w:rsidRPr="00576AF8">
        <w:t xml:space="preserve">reclamación </w:t>
      </w:r>
      <w:r w:rsidRPr="00576AF8">
        <w:t xml:space="preserve">de pago en virtud de </w:t>
      </w:r>
      <w:r w:rsidR="00EB6598" w:rsidRPr="00576AF8">
        <w:t xml:space="preserve">esta garantía </w:t>
      </w:r>
      <w:r w:rsidRPr="00576AF8">
        <w:t>deberá recibirse en nuestras oficinas a más tardar en la fecha señalada.</w:t>
      </w:r>
    </w:p>
    <w:p w14:paraId="08D9454B" w14:textId="77777777" w:rsidR="00A20832" w:rsidRPr="00576AF8" w:rsidRDefault="00A20832" w:rsidP="00CE45C8">
      <w:pPr>
        <w:spacing w:after="360"/>
      </w:pPr>
      <w:r w:rsidRPr="00576AF8">
        <w:t xml:space="preserve">Esta garantía está sujeta a las Reglas </w:t>
      </w:r>
      <w:r w:rsidR="00A07C8B" w:rsidRPr="00576AF8">
        <w:t>u</w:t>
      </w:r>
      <w:r w:rsidRPr="00576AF8">
        <w:t>niformes</w:t>
      </w:r>
      <w:r w:rsidR="005D1B6B" w:rsidRPr="00576AF8">
        <w:t xml:space="preserve"> de la CCI</w:t>
      </w:r>
      <w:r w:rsidRPr="00576AF8">
        <w:t xml:space="preserve"> </w:t>
      </w:r>
      <w:r w:rsidR="00A07C8B" w:rsidRPr="00576AF8">
        <w:t>sobre g</w:t>
      </w:r>
      <w:r w:rsidRPr="00576AF8">
        <w:t xml:space="preserve">arantías a </w:t>
      </w:r>
      <w:r w:rsidR="00A07C8B" w:rsidRPr="00576AF8">
        <w:t>p</w:t>
      </w:r>
      <w:r w:rsidRPr="00576AF8">
        <w:t xml:space="preserve">rimer </w:t>
      </w:r>
      <w:r w:rsidR="00A07C8B" w:rsidRPr="00576AF8">
        <w:t>r</w:t>
      </w:r>
      <w:r w:rsidRPr="00576AF8">
        <w:t xml:space="preserve">equerimiento, </w:t>
      </w:r>
      <w:r w:rsidR="00A07C8B" w:rsidRPr="00576AF8">
        <w:t>r</w:t>
      </w:r>
      <w:r w:rsidRPr="00576AF8">
        <w:t xml:space="preserve">evisión de 2010, </w:t>
      </w:r>
      <w:r w:rsidR="00A07C8B" w:rsidRPr="00576AF8">
        <w:t>p</w:t>
      </w:r>
      <w:r w:rsidRPr="00576AF8">
        <w:t xml:space="preserve">ublicación de la </w:t>
      </w:r>
      <w:r w:rsidR="005D1B6B" w:rsidRPr="00576AF8">
        <w:t>Cámara de Comercio Internacional</w:t>
      </w:r>
      <w:r w:rsidR="00D310A5" w:rsidRPr="00576AF8">
        <w:t xml:space="preserve"> </w:t>
      </w:r>
      <w:r w:rsidRPr="00576AF8">
        <w:t>n.° 758</w:t>
      </w:r>
      <w:r w:rsidR="00EB6598" w:rsidRPr="00576AF8">
        <w:t>;</w:t>
      </w:r>
      <w:r w:rsidRPr="00576AF8">
        <w:t xml:space="preserve"> </w:t>
      </w:r>
      <w:r w:rsidR="005D1B6B" w:rsidRPr="00576AF8">
        <w:t xml:space="preserve">con exclusión, por la presente, de la </w:t>
      </w:r>
      <w:r w:rsidR="00EB6598" w:rsidRPr="00576AF8">
        <w:t xml:space="preserve">declaración de respaldo </w:t>
      </w:r>
      <w:r w:rsidR="005D1B6B" w:rsidRPr="00576AF8">
        <w:t>requerida en el artículo 15 </w:t>
      </w:r>
      <w:r w:rsidR="00284580" w:rsidRPr="00576AF8">
        <w:t>(</w:t>
      </w:r>
      <w:r w:rsidR="005D1B6B" w:rsidRPr="00576AF8">
        <w:t>a)</w:t>
      </w:r>
      <w:r w:rsidRPr="00576AF8">
        <w:t>.</w:t>
      </w:r>
    </w:p>
    <w:p w14:paraId="1243F330" w14:textId="77777777" w:rsidR="00A20832" w:rsidRPr="00576AF8" w:rsidRDefault="00A20832" w:rsidP="00A20832">
      <w:pPr>
        <w:spacing w:after="0"/>
        <w:rPr>
          <w:i/>
        </w:rPr>
      </w:pPr>
      <w:r w:rsidRPr="00576AF8">
        <w:rPr>
          <w:i/>
        </w:rPr>
        <w:t>_______________________</w:t>
      </w:r>
    </w:p>
    <w:p w14:paraId="53D540F8" w14:textId="77777777" w:rsidR="00A20832" w:rsidRPr="00576AF8" w:rsidRDefault="00A20832" w:rsidP="00A20832">
      <w:pPr>
        <w:rPr>
          <w:i/>
        </w:rPr>
      </w:pPr>
      <w:r w:rsidRPr="00576AF8">
        <w:rPr>
          <w:i/>
        </w:rPr>
        <w:t>[Firma(s)]</w:t>
      </w:r>
    </w:p>
    <w:p w14:paraId="372A3D57" w14:textId="77777777" w:rsidR="00A20832" w:rsidRPr="00576AF8" w:rsidRDefault="00A20832" w:rsidP="00A20832"/>
    <w:p w14:paraId="6A8004E0" w14:textId="77777777" w:rsidR="00A20832" w:rsidRPr="00576AF8" w:rsidRDefault="00A20832" w:rsidP="00A20832">
      <w:pPr>
        <w:suppressAutoHyphens w:val="0"/>
        <w:spacing w:after="0"/>
        <w:jc w:val="left"/>
      </w:pPr>
      <w:r w:rsidRPr="00576AF8">
        <w:rPr>
          <w:b/>
          <w:i/>
        </w:rPr>
        <w:t>Nota: Todo el texto en cursiva (incluidas las notas de pie de página) tiene el objetivo de ayudar en la preparación de este formulario y deberá eliminarse del producto final.</w:t>
      </w:r>
    </w:p>
    <w:p w14:paraId="4C47F026" w14:textId="77777777" w:rsidR="00A20832" w:rsidRPr="00576AF8" w:rsidRDefault="00A20832" w:rsidP="00A20832">
      <w:pPr>
        <w:jc w:val="center"/>
        <w:rPr>
          <w:iCs/>
        </w:rPr>
      </w:pPr>
      <w:r w:rsidRPr="00576AF8">
        <w:br w:type="page"/>
      </w:r>
      <w:bookmarkStart w:id="1783" w:name="_Toc521497274"/>
      <w:bookmarkStart w:id="1784" w:name="_Toc207770107"/>
    </w:p>
    <w:p w14:paraId="7ED4B56C" w14:textId="77777777" w:rsidR="00A20832" w:rsidRPr="00576AF8" w:rsidRDefault="00CE45C8" w:rsidP="00A20832">
      <w:pPr>
        <w:pStyle w:val="Head82"/>
      </w:pPr>
      <w:bookmarkStart w:id="1785" w:name="_Toc448739672"/>
      <w:bookmarkStart w:id="1786" w:name="_Toc479249659"/>
      <w:bookmarkStart w:id="1787" w:name="_Toc483587943"/>
      <w:bookmarkStart w:id="1788" w:name="_Toc488965464"/>
      <w:r w:rsidRPr="00576AF8">
        <w:lastRenderedPageBreak/>
        <w:t xml:space="preserve">2.2 </w:t>
      </w:r>
      <w:r w:rsidR="00A20832" w:rsidRPr="00576AF8">
        <w:t>Garantía por pago de anticipo</w:t>
      </w:r>
      <w:bookmarkEnd w:id="1785"/>
      <w:bookmarkEnd w:id="1786"/>
      <w:bookmarkEnd w:id="1787"/>
      <w:bookmarkEnd w:id="1788"/>
      <w:r w:rsidR="00A20832" w:rsidRPr="00576AF8">
        <w:t xml:space="preserve"> </w:t>
      </w:r>
    </w:p>
    <w:p w14:paraId="4140E559" w14:textId="77777777" w:rsidR="00A20832" w:rsidRPr="00576AF8" w:rsidRDefault="00A20832" w:rsidP="00A20832">
      <w:pPr>
        <w:pStyle w:val="Head82"/>
      </w:pPr>
      <w:bookmarkStart w:id="1789" w:name="_Toc448739673"/>
      <w:bookmarkStart w:id="1790" w:name="_Toc479249660"/>
      <w:bookmarkStart w:id="1791" w:name="_Toc483587944"/>
      <w:bookmarkStart w:id="1792" w:name="_Toc488965465"/>
      <w:r w:rsidRPr="00576AF8">
        <w:t>Garantía bancaria</w:t>
      </w:r>
      <w:bookmarkEnd w:id="1783"/>
      <w:bookmarkEnd w:id="1784"/>
      <w:bookmarkEnd w:id="1789"/>
      <w:bookmarkEnd w:id="1790"/>
      <w:bookmarkEnd w:id="1791"/>
      <w:bookmarkEnd w:id="1792"/>
    </w:p>
    <w:p w14:paraId="71AB5D92" w14:textId="77777777" w:rsidR="00A20832" w:rsidRPr="00576AF8" w:rsidRDefault="00A20832" w:rsidP="00CE45C8">
      <w:pPr>
        <w:pStyle w:val="NormalWeb"/>
        <w:jc w:val="center"/>
        <w:rPr>
          <w:rFonts w:ascii="Times New Roman" w:hAnsi="Times New Roman" w:cs="Times New Roman"/>
          <w:b/>
          <w:i/>
          <w:smallCaps/>
        </w:rPr>
      </w:pPr>
      <w:r w:rsidRPr="00576AF8">
        <w:rPr>
          <w:rFonts w:ascii="Times New Roman" w:hAnsi="Times New Roman" w:cs="Times New Roman"/>
        </w:rPr>
        <w:t>________________________________</w:t>
      </w:r>
      <w:r w:rsidRPr="00576AF8">
        <w:rPr>
          <w:rFonts w:ascii="Times New Roman" w:hAnsi="Times New Roman" w:cs="Times New Roman"/>
        </w:rPr>
        <w:br/>
      </w:r>
    </w:p>
    <w:p w14:paraId="5631ACDD" w14:textId="77777777" w:rsidR="00A20832" w:rsidRPr="00576AF8" w:rsidRDefault="00A20832" w:rsidP="00A20832">
      <w:pPr>
        <w:pStyle w:val="NormalWeb"/>
        <w:rPr>
          <w:rFonts w:ascii="Times New Roman" w:hAnsi="Times New Roman" w:cs="Times New Roman"/>
          <w:i/>
        </w:rPr>
      </w:pPr>
      <w:r w:rsidRPr="00576AF8">
        <w:rPr>
          <w:rFonts w:ascii="Times New Roman" w:hAnsi="Times New Roman" w:cs="Times New Roman"/>
          <w:i/>
        </w:rPr>
        <w:t xml:space="preserve">[Membrete del </w:t>
      </w:r>
      <w:r w:rsidR="00223DCA" w:rsidRPr="00576AF8">
        <w:rPr>
          <w:rFonts w:ascii="Times New Roman" w:hAnsi="Times New Roman" w:cs="Times New Roman"/>
          <w:i/>
        </w:rPr>
        <w:t>G</w:t>
      </w:r>
      <w:r w:rsidRPr="00576AF8">
        <w:rPr>
          <w:rFonts w:ascii="Times New Roman" w:hAnsi="Times New Roman" w:cs="Times New Roman"/>
          <w:i/>
        </w:rPr>
        <w:t xml:space="preserve">arante o código de identificación SWIFT] </w:t>
      </w:r>
    </w:p>
    <w:p w14:paraId="4AC179D2" w14:textId="77777777" w:rsidR="00A20832" w:rsidRPr="00576AF8" w:rsidRDefault="00A20832" w:rsidP="00A20832">
      <w:pPr>
        <w:tabs>
          <w:tab w:val="right" w:pos="3780"/>
          <w:tab w:val="left" w:pos="3960"/>
          <w:tab w:val="left" w:pos="9000"/>
        </w:tabs>
      </w:pPr>
    </w:p>
    <w:p w14:paraId="7B6B3777" w14:textId="77777777" w:rsidR="00A20832" w:rsidRPr="00576AF8" w:rsidRDefault="00A20832" w:rsidP="00A20832">
      <w:pPr>
        <w:pStyle w:val="NormalWeb"/>
        <w:spacing w:before="40"/>
        <w:rPr>
          <w:rFonts w:ascii="Times New Roman" w:hAnsi="Times New Roman" w:cs="Times New Roman"/>
          <w:i/>
        </w:rPr>
      </w:pPr>
      <w:r w:rsidRPr="00576AF8">
        <w:rPr>
          <w:rFonts w:ascii="Times New Roman" w:hAnsi="Times New Roman" w:cs="Times New Roman"/>
          <w:b/>
        </w:rPr>
        <w:t>Beneficiario:</w:t>
      </w:r>
      <w:r w:rsidRPr="00576AF8">
        <w:rPr>
          <w:rFonts w:ascii="Times New Roman" w:hAnsi="Times New Roman" w:cs="Times New Roman"/>
        </w:rPr>
        <w:t xml:space="preserve"> </w:t>
      </w:r>
      <w:r w:rsidRPr="00576AF8">
        <w:rPr>
          <w:rFonts w:ascii="Times New Roman" w:hAnsi="Times New Roman" w:cs="Times New Roman"/>
          <w:i/>
        </w:rPr>
        <w:t xml:space="preserve">[indique </w:t>
      </w:r>
      <w:r w:rsidRPr="00576AF8">
        <w:rPr>
          <w:rFonts w:ascii="Times New Roman" w:hAnsi="Times New Roman" w:cs="Times New Roman"/>
          <w:b/>
          <w:i/>
        </w:rPr>
        <w:t>el nombre y la dirección del Comprador</w:t>
      </w:r>
      <w:r w:rsidRPr="00576AF8">
        <w:rPr>
          <w:rFonts w:ascii="Times New Roman" w:hAnsi="Times New Roman" w:cs="Times New Roman"/>
          <w:i/>
        </w:rPr>
        <w:t>].</w:t>
      </w:r>
    </w:p>
    <w:p w14:paraId="5B3BC9B0" w14:textId="77777777" w:rsidR="00A20832" w:rsidRPr="00576AF8" w:rsidRDefault="00A20832" w:rsidP="00A20832">
      <w:pPr>
        <w:pStyle w:val="NormalWeb"/>
        <w:spacing w:before="40"/>
        <w:rPr>
          <w:rFonts w:ascii="Times New Roman" w:hAnsi="Times New Roman" w:cs="Times New Roman"/>
          <w:i/>
        </w:rPr>
      </w:pPr>
      <w:r w:rsidRPr="00576AF8">
        <w:rPr>
          <w:rFonts w:ascii="Times New Roman" w:hAnsi="Times New Roman" w:cs="Times New Roman"/>
          <w:b/>
        </w:rPr>
        <w:t>Fecha:</w:t>
      </w:r>
      <w:r w:rsidRPr="00576AF8">
        <w:rPr>
          <w:rFonts w:ascii="Times New Roman" w:hAnsi="Times New Roman" w:cs="Times New Roman"/>
        </w:rPr>
        <w:t xml:space="preserve"> </w:t>
      </w:r>
      <w:r w:rsidRPr="00576AF8">
        <w:rPr>
          <w:rFonts w:ascii="Times New Roman" w:hAnsi="Times New Roman" w:cs="Times New Roman"/>
          <w:b/>
          <w:i/>
        </w:rPr>
        <w:t>[Indique la fecha de emisión]</w:t>
      </w:r>
      <w:r w:rsidRPr="00576AF8">
        <w:rPr>
          <w:rFonts w:ascii="Times New Roman" w:hAnsi="Times New Roman" w:cs="Times New Roman"/>
          <w:i/>
        </w:rPr>
        <w:t>.</w:t>
      </w:r>
    </w:p>
    <w:p w14:paraId="1FB54FB6" w14:textId="77777777" w:rsidR="00A20832" w:rsidRPr="00576AF8" w:rsidRDefault="00A20832" w:rsidP="00A20832">
      <w:pPr>
        <w:pStyle w:val="NormalWeb"/>
        <w:spacing w:before="40" w:after="200"/>
        <w:rPr>
          <w:rFonts w:ascii="Times New Roman" w:hAnsi="Times New Roman" w:cs="Times New Roman"/>
          <w:i/>
        </w:rPr>
      </w:pPr>
      <w:r w:rsidRPr="00576AF8">
        <w:rPr>
          <w:rFonts w:ascii="Times New Roman" w:hAnsi="Times New Roman" w:cs="Times New Roman"/>
          <w:b/>
        </w:rPr>
        <w:t>GARANTÍA POR PAGO DE ANTICIPO N.º:</w:t>
      </w:r>
      <w:r w:rsidRPr="00576AF8">
        <w:rPr>
          <w:rFonts w:ascii="Times New Roman" w:hAnsi="Times New Roman" w:cs="Times New Roman"/>
        </w:rPr>
        <w:t xml:space="preserve"> </w:t>
      </w:r>
      <w:r w:rsidRPr="00576AF8">
        <w:rPr>
          <w:rFonts w:ascii="Times New Roman" w:hAnsi="Times New Roman" w:cs="Times New Roman"/>
          <w:i/>
        </w:rPr>
        <w:t xml:space="preserve">[indique </w:t>
      </w:r>
      <w:r w:rsidRPr="00576AF8">
        <w:rPr>
          <w:rFonts w:ascii="Times New Roman" w:hAnsi="Times New Roman" w:cs="Times New Roman"/>
          <w:b/>
          <w:i/>
        </w:rPr>
        <w:t xml:space="preserve">el número de la garantía por pago </w:t>
      </w:r>
      <w:r w:rsidR="00CE45C8" w:rsidRPr="00576AF8">
        <w:rPr>
          <w:rFonts w:ascii="Times New Roman" w:hAnsi="Times New Roman" w:cs="Times New Roman"/>
          <w:b/>
          <w:i/>
        </w:rPr>
        <w:br/>
      </w:r>
      <w:r w:rsidRPr="00576AF8">
        <w:rPr>
          <w:rFonts w:ascii="Times New Roman" w:hAnsi="Times New Roman" w:cs="Times New Roman"/>
          <w:b/>
          <w:i/>
        </w:rPr>
        <w:t>de anticipo</w:t>
      </w:r>
      <w:r w:rsidRPr="00576AF8">
        <w:rPr>
          <w:rFonts w:ascii="Times New Roman" w:hAnsi="Times New Roman" w:cs="Times New Roman"/>
          <w:i/>
        </w:rPr>
        <w:t>].</w:t>
      </w:r>
    </w:p>
    <w:p w14:paraId="09BFCCBE" w14:textId="77777777" w:rsidR="00A20832" w:rsidRPr="00576AF8" w:rsidRDefault="00A20832" w:rsidP="00A20832">
      <w:pPr>
        <w:suppressAutoHyphens w:val="0"/>
        <w:spacing w:before="100" w:beforeAutospacing="1" w:after="100" w:afterAutospacing="1"/>
        <w:jc w:val="left"/>
      </w:pPr>
      <w:r w:rsidRPr="00576AF8">
        <w:rPr>
          <w:b/>
          <w:szCs w:val="24"/>
        </w:rPr>
        <w:t xml:space="preserve">Garante: </w:t>
      </w:r>
      <w:r w:rsidRPr="00576AF8">
        <w:rPr>
          <w:i/>
          <w:szCs w:val="24"/>
        </w:rPr>
        <w:t>[indique el nombre y la dirección del emisor de la garantía, a menos que esté incluido en el membrete].</w:t>
      </w:r>
    </w:p>
    <w:p w14:paraId="1E1E3D6A" w14:textId="77777777" w:rsidR="00A20832" w:rsidRPr="00576AF8" w:rsidRDefault="00A20832" w:rsidP="00A20832">
      <w:r w:rsidRPr="00576AF8">
        <w:t>Se nos ha informado que el</w:t>
      </w:r>
      <w:r w:rsidRPr="00576AF8">
        <w:rPr>
          <w:i/>
        </w:rPr>
        <w:t xml:space="preserve"> [indique </w:t>
      </w:r>
      <w:r w:rsidRPr="00576AF8">
        <w:rPr>
          <w:b/>
          <w:i/>
        </w:rPr>
        <w:t>la fecha de la adjudicación</w:t>
      </w:r>
      <w:r w:rsidRPr="00576AF8">
        <w:rPr>
          <w:i/>
        </w:rPr>
        <w:t>]</w:t>
      </w:r>
      <w:r w:rsidRPr="00576AF8">
        <w:t xml:space="preserve"> ustedes adjudicaron el Contrato n.º </w:t>
      </w:r>
      <w:r w:rsidRPr="00576AF8">
        <w:rPr>
          <w:i/>
        </w:rPr>
        <w:t xml:space="preserve">[indique </w:t>
      </w:r>
      <w:r w:rsidRPr="00576AF8">
        <w:rPr>
          <w:b/>
          <w:i/>
        </w:rPr>
        <w:t>el número del Contrato</w:t>
      </w:r>
      <w:r w:rsidRPr="00576AF8">
        <w:rPr>
          <w:i/>
        </w:rPr>
        <w:t>]</w:t>
      </w:r>
      <w:r w:rsidRPr="00576AF8">
        <w:t xml:space="preserve"> para </w:t>
      </w:r>
      <w:r w:rsidRPr="00576AF8">
        <w:rPr>
          <w:i/>
        </w:rPr>
        <w:t xml:space="preserve">[indique </w:t>
      </w:r>
      <w:r w:rsidRPr="00576AF8">
        <w:rPr>
          <w:b/>
          <w:i/>
        </w:rPr>
        <w:t>el título o una breve descripción del Contrato</w:t>
      </w:r>
      <w:r w:rsidRPr="00576AF8">
        <w:rPr>
          <w:i/>
        </w:rPr>
        <w:t>]</w:t>
      </w:r>
      <w:r w:rsidRPr="00576AF8">
        <w:t xml:space="preserve"> (en adelante, el “Contrato”) a </w:t>
      </w:r>
      <w:r w:rsidRPr="00576AF8">
        <w:rPr>
          <w:i/>
        </w:rPr>
        <w:t xml:space="preserve">[indique </w:t>
      </w:r>
      <w:r w:rsidRPr="00576AF8">
        <w:rPr>
          <w:b/>
          <w:i/>
        </w:rPr>
        <w:t xml:space="preserve">el nombre completo del Proveedor, que, </w:t>
      </w:r>
      <w:r w:rsidR="00DF0466" w:rsidRPr="00576AF8">
        <w:rPr>
          <w:b/>
          <w:i/>
        </w:rPr>
        <w:t xml:space="preserve">si se </w:t>
      </w:r>
      <w:r w:rsidRPr="00576AF8">
        <w:rPr>
          <w:b/>
          <w:i/>
        </w:rPr>
        <w:t xml:space="preserve">trata de una </w:t>
      </w:r>
      <w:r w:rsidR="000107E9" w:rsidRPr="00576AF8">
        <w:rPr>
          <w:b/>
          <w:i/>
        </w:rPr>
        <w:t>APCA</w:t>
      </w:r>
      <w:r w:rsidRPr="00576AF8">
        <w:rPr>
          <w:b/>
          <w:i/>
        </w:rPr>
        <w:t>, será el nombre de esta</w:t>
      </w:r>
      <w:r w:rsidRPr="00576AF8">
        <w:rPr>
          <w:i/>
        </w:rPr>
        <w:t>]</w:t>
      </w:r>
      <w:r w:rsidRPr="00576AF8">
        <w:t xml:space="preserve"> (en adelante, el “</w:t>
      </w:r>
      <w:r w:rsidR="001D12C1" w:rsidRPr="00576AF8">
        <w:t>Postulante</w:t>
      </w:r>
      <w:r w:rsidRPr="00576AF8">
        <w:t xml:space="preserve">”). </w:t>
      </w:r>
    </w:p>
    <w:p w14:paraId="0926BB51" w14:textId="77777777" w:rsidR="00A20832" w:rsidRPr="00576AF8" w:rsidRDefault="00A20832" w:rsidP="00A20832">
      <w:r w:rsidRPr="00576AF8">
        <w:t>Asimismo, entendemos que, de acuerdo con las condiciones del Contrato, se entregará al Prove</w:t>
      </w:r>
      <w:r w:rsidR="00CE45C8" w:rsidRPr="00576AF8">
        <w:t>edor un anticipo por la suma de</w:t>
      </w:r>
      <w:r w:rsidRPr="00576AF8">
        <w:t xml:space="preserve"> </w:t>
      </w:r>
      <w:r w:rsidRPr="00576AF8">
        <w:rPr>
          <w:rStyle w:val="preparersnote"/>
        </w:rPr>
        <w:t xml:space="preserve">[indique el monto en cifras y </w:t>
      </w:r>
      <w:r w:rsidR="00814801" w:rsidRPr="00576AF8">
        <w:rPr>
          <w:rStyle w:val="preparersnote"/>
        </w:rPr>
        <w:t xml:space="preserve">letras </w:t>
      </w:r>
      <w:r w:rsidRPr="00576AF8">
        <w:rPr>
          <w:rStyle w:val="preparersnote"/>
        </w:rPr>
        <w:t>correspondiente a cada una de las monedas utilizadas en el anticipo]</w:t>
      </w:r>
      <w:r w:rsidRPr="00576AF8">
        <w:t xml:space="preserve"> contra una garantía por pago de anticipo.</w:t>
      </w:r>
    </w:p>
    <w:p w14:paraId="2DECC18F" w14:textId="77777777" w:rsidR="00A20832" w:rsidRPr="00576AF8" w:rsidRDefault="00A20832" w:rsidP="00A20832">
      <w:pPr>
        <w:suppressAutoHyphens w:val="0"/>
        <w:spacing w:before="100" w:beforeAutospacing="1" w:after="100" w:afterAutospacing="1"/>
        <w:rPr>
          <w:rFonts w:eastAsia="Arial Unicode MS"/>
          <w:szCs w:val="24"/>
        </w:rPr>
      </w:pPr>
      <w:r w:rsidRPr="00576AF8">
        <w:t xml:space="preserve">A pedido del </w:t>
      </w:r>
      <w:r w:rsidR="001D12C1" w:rsidRPr="00576AF8">
        <w:t>Postulante</w:t>
      </w:r>
      <w:r w:rsidRPr="00576AF8">
        <w:t xml:space="preserve">, nosotros, en calidad de </w:t>
      </w:r>
      <w:r w:rsidR="00223DCA" w:rsidRPr="00576AF8">
        <w:t>G</w:t>
      </w:r>
      <w:r w:rsidRPr="00576AF8">
        <w:t xml:space="preserve">arantes y por medio de la presente </w:t>
      </w:r>
      <w:r w:rsidR="00B353CB" w:rsidRPr="00576AF8">
        <w:t>Ga</w:t>
      </w:r>
      <w:r w:rsidR="001D12C1" w:rsidRPr="00576AF8">
        <w:t>rantía</w:t>
      </w:r>
      <w:r w:rsidR="00DF0466" w:rsidRPr="00576AF8">
        <w:t>,</w:t>
      </w:r>
      <w:r w:rsidR="001D12C1" w:rsidRPr="00576AF8">
        <w:t xml:space="preserve"> </w:t>
      </w:r>
      <w:r w:rsidRPr="00576AF8">
        <w:t xml:space="preserve">nos obligamos irrevocablemente a pagar al beneficiario </w:t>
      </w:r>
      <w:r w:rsidR="00EB6598" w:rsidRPr="00576AF8">
        <w:t xml:space="preserve">cualquier </w:t>
      </w:r>
      <w:r w:rsidRPr="00576AF8">
        <w:t>suma que no exceda</w:t>
      </w:r>
      <w:r w:rsidR="00EB6598" w:rsidRPr="00576AF8">
        <w:t xml:space="preserve"> del </w:t>
      </w:r>
      <w:r w:rsidRPr="00576AF8">
        <w:t>monto total de</w:t>
      </w:r>
      <w:r w:rsidRPr="00576AF8">
        <w:rPr>
          <w:i/>
        </w:rPr>
        <w:t xml:space="preserve"> [indique las sumas en cifras y letras] </w:t>
      </w:r>
      <w:r w:rsidRPr="00576AF8">
        <w:rPr>
          <w:rFonts w:eastAsia="Arial Unicode MS"/>
          <w:i/>
          <w:szCs w:val="24"/>
          <w:vertAlign w:val="superscript"/>
        </w:rPr>
        <w:footnoteReference w:customMarkFollows="1" w:id="19"/>
        <w:t>1</w:t>
      </w:r>
      <w:r w:rsidRPr="00576AF8">
        <w:t xml:space="preserve"> </w:t>
      </w:r>
      <w:r w:rsidR="00A64A2E" w:rsidRPr="00576AF8">
        <w:t>al recibir del beneficiario, respaldada por una comunicación escrita, una solicitud donde declare, ya sea en la propia solicitud o en un documento aparte firmado que la acompañe, que el Postulante</w:t>
      </w:r>
      <w:r w:rsidRPr="00576AF8">
        <w:t>:</w:t>
      </w:r>
    </w:p>
    <w:p w14:paraId="6ECA4817" w14:textId="77777777" w:rsidR="00A20832" w:rsidRPr="00576AF8" w:rsidRDefault="00A20832">
      <w:pPr>
        <w:numPr>
          <w:ilvl w:val="2"/>
          <w:numId w:val="15"/>
        </w:numPr>
        <w:suppressAutoHyphens w:val="0"/>
        <w:spacing w:after="200"/>
        <w:jc w:val="left"/>
        <w:rPr>
          <w:szCs w:val="24"/>
        </w:rPr>
      </w:pPr>
      <w:r w:rsidRPr="00576AF8">
        <w:t>ha utilizado el anticipo para otros fines ajenos a la provisión de los bienes, o bien</w:t>
      </w:r>
    </w:p>
    <w:p w14:paraId="613C7C96" w14:textId="77777777" w:rsidR="00A20832" w:rsidRPr="00576AF8" w:rsidRDefault="00A20832">
      <w:pPr>
        <w:numPr>
          <w:ilvl w:val="2"/>
          <w:numId w:val="15"/>
        </w:numPr>
        <w:suppressAutoHyphens w:val="0"/>
        <w:spacing w:after="200"/>
        <w:jc w:val="left"/>
        <w:rPr>
          <w:szCs w:val="24"/>
        </w:rPr>
      </w:pPr>
      <w:r w:rsidRPr="00576AF8">
        <w:t>no ha cumplido con el reembolso del anticipo de acuerdo con las condiciones del Contrato</w:t>
      </w:r>
      <w:r w:rsidR="00A64A2E" w:rsidRPr="00576AF8">
        <w:t xml:space="preserve">; deberá especificarse </w:t>
      </w:r>
      <w:r w:rsidRPr="00576AF8">
        <w:t xml:space="preserve">el monto que el </w:t>
      </w:r>
      <w:r w:rsidR="001D12C1" w:rsidRPr="00576AF8">
        <w:t xml:space="preserve">Postulante </w:t>
      </w:r>
      <w:r w:rsidRPr="00576AF8">
        <w:t xml:space="preserve">no ha reembolsado. </w:t>
      </w:r>
    </w:p>
    <w:p w14:paraId="6884656D" w14:textId="77777777" w:rsidR="00A20832" w:rsidRPr="00576AF8" w:rsidRDefault="00A20832" w:rsidP="00A20832">
      <w:pPr>
        <w:suppressAutoHyphens w:val="0"/>
        <w:spacing w:before="100" w:beforeAutospacing="1" w:after="100" w:afterAutospacing="1"/>
        <w:rPr>
          <w:rFonts w:eastAsia="Arial Unicode MS"/>
          <w:szCs w:val="24"/>
        </w:rPr>
      </w:pPr>
      <w:r w:rsidRPr="00576AF8">
        <w:lastRenderedPageBreak/>
        <w:t xml:space="preserve">Se puede presentar una demanda, en virtud de esta Garantía, a partir de la presentación al Garante de un certificado del banco del beneficiario en el que se indique que el anticipo arriba mencionado se ha acreditado al </w:t>
      </w:r>
      <w:r w:rsidR="001D12C1" w:rsidRPr="00576AF8">
        <w:t xml:space="preserve">Postulante </w:t>
      </w:r>
      <w:r w:rsidRPr="00576AF8">
        <w:t xml:space="preserve">en su cuenta número </w:t>
      </w:r>
      <w:r w:rsidRPr="00576AF8">
        <w:rPr>
          <w:i/>
        </w:rPr>
        <w:t xml:space="preserve">[indique el número] </w:t>
      </w:r>
      <w:r w:rsidRPr="00576AF8">
        <w:t xml:space="preserve">en el </w:t>
      </w:r>
      <w:r w:rsidRPr="00576AF8">
        <w:rPr>
          <w:i/>
        </w:rPr>
        <w:t xml:space="preserve">[indique el nombre y la dirección del banco del </w:t>
      </w:r>
      <w:r w:rsidR="001D12C1" w:rsidRPr="00576AF8">
        <w:rPr>
          <w:i/>
        </w:rPr>
        <w:t>Postulante</w:t>
      </w:r>
      <w:r w:rsidRPr="00576AF8">
        <w:rPr>
          <w:i/>
        </w:rPr>
        <w:t>]</w:t>
      </w:r>
      <w:r w:rsidRPr="00576AF8">
        <w:t>.</w:t>
      </w:r>
    </w:p>
    <w:p w14:paraId="3A33E5C2" w14:textId="77777777" w:rsidR="00A20832" w:rsidRPr="00576AF8" w:rsidRDefault="00A20832" w:rsidP="00A20832">
      <w:pPr>
        <w:suppressAutoHyphens w:val="0"/>
        <w:spacing w:before="100" w:beforeAutospacing="1" w:after="100" w:afterAutospacing="1"/>
        <w:rPr>
          <w:rFonts w:eastAsia="Arial Unicode MS"/>
          <w:szCs w:val="24"/>
        </w:rPr>
      </w:pPr>
      <w:r w:rsidRPr="00576AF8">
        <w:t xml:space="preserve">El monto máximo de esta garantía se reducirá gradualmente en la misma cantidad de los reembolsos del anticipo que realice el </w:t>
      </w:r>
      <w:r w:rsidR="001D12C1" w:rsidRPr="00576AF8">
        <w:t xml:space="preserve">Postulante </w:t>
      </w:r>
      <w:r w:rsidRPr="00576AF8">
        <w:t>conforme se indique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precio aco</w:t>
      </w:r>
      <w:r w:rsidR="00CE45C8" w:rsidRPr="00576AF8">
        <w:t>rdado del Contrato, o el día</w:t>
      </w:r>
      <w:r w:rsidRPr="00576AF8">
        <w:t xml:space="preserve"> </w:t>
      </w:r>
      <w:r w:rsidRPr="00576AF8">
        <w:rPr>
          <w:i/>
        </w:rPr>
        <w:t xml:space="preserve">[indique el día] </w:t>
      </w:r>
      <w:r w:rsidR="00CE45C8" w:rsidRPr="00576AF8">
        <w:t>de</w:t>
      </w:r>
      <w:r w:rsidRPr="00576AF8">
        <w:t xml:space="preserve"> </w:t>
      </w:r>
      <w:r w:rsidRPr="00576AF8">
        <w:rPr>
          <w:i/>
        </w:rPr>
        <w:t>[indique el mes]</w:t>
      </w:r>
      <w:r w:rsidR="00CE45C8" w:rsidRPr="00576AF8">
        <w:t xml:space="preserve"> de </w:t>
      </w:r>
      <w:r w:rsidRPr="00576AF8">
        <w:rPr>
          <w:i/>
        </w:rPr>
        <w:t>[indique el año]</w:t>
      </w:r>
      <w:r w:rsidRPr="00576AF8">
        <w:t xml:space="preserve"> (lo que ocurra primero). En consecuencia, </w:t>
      </w:r>
      <w:r w:rsidR="005D1B6B" w:rsidRPr="00576AF8">
        <w:t xml:space="preserve">cualquier </w:t>
      </w:r>
      <w:r w:rsidRPr="00576AF8">
        <w:t>reclamación de pago en virtud de esta Garantía deberá recibirse en nuestras oficinas a más tardar en la fecha señalada.</w:t>
      </w:r>
    </w:p>
    <w:p w14:paraId="7402112D" w14:textId="77777777" w:rsidR="00A20832" w:rsidRPr="00576AF8" w:rsidRDefault="00A20832" w:rsidP="00A20832">
      <w:pPr>
        <w:suppressAutoHyphens w:val="0"/>
        <w:spacing w:before="100" w:beforeAutospacing="1" w:after="100" w:afterAutospacing="1"/>
        <w:rPr>
          <w:rFonts w:eastAsia="Arial Unicode MS"/>
          <w:szCs w:val="24"/>
        </w:rPr>
      </w:pPr>
      <w:r w:rsidRPr="00576AF8">
        <w:t xml:space="preserve">Esta garantía está sujeta a las </w:t>
      </w:r>
      <w:r w:rsidR="00A07C8B" w:rsidRPr="00576AF8">
        <w:t>r</w:t>
      </w:r>
      <w:r w:rsidRPr="00576AF8">
        <w:t xml:space="preserve">eglas </w:t>
      </w:r>
      <w:r w:rsidR="00A07C8B" w:rsidRPr="00576AF8">
        <w:t>u</w:t>
      </w:r>
      <w:r w:rsidRPr="00576AF8">
        <w:t xml:space="preserve">niformes de la CCI </w:t>
      </w:r>
      <w:r w:rsidR="00A07C8B" w:rsidRPr="00576AF8">
        <w:t xml:space="preserve">sobre </w:t>
      </w:r>
      <w:r w:rsidRPr="00576AF8">
        <w:t xml:space="preserve">garantías </w:t>
      </w:r>
      <w:r w:rsidR="00A07C8B" w:rsidRPr="00576AF8">
        <w:t xml:space="preserve">a </w:t>
      </w:r>
      <w:r w:rsidRPr="00576AF8">
        <w:t xml:space="preserve">primer </w:t>
      </w:r>
      <w:r w:rsidR="00A07C8B" w:rsidRPr="00576AF8">
        <w:t>requerimiento</w:t>
      </w:r>
      <w:r w:rsidRPr="00576AF8">
        <w:t xml:space="preserve"> revisión de 2010, publicación de la </w:t>
      </w:r>
      <w:r w:rsidR="00140B58" w:rsidRPr="00576AF8">
        <w:t xml:space="preserve">Cámara de Comercio Internacional </w:t>
      </w:r>
      <w:r w:rsidR="00EB6598" w:rsidRPr="00576AF8">
        <w:t>n.º 758</w:t>
      </w:r>
      <w:r w:rsidRPr="00576AF8">
        <w:t xml:space="preserve">; </w:t>
      </w:r>
      <w:r w:rsidR="005D1B6B" w:rsidRPr="00576AF8">
        <w:t>con exclusión, por la presente, de la declaración de respaldo requerida en el artículo 15 </w:t>
      </w:r>
      <w:r w:rsidR="00CE45C8" w:rsidRPr="00576AF8">
        <w:t>(</w:t>
      </w:r>
      <w:r w:rsidR="005D1B6B" w:rsidRPr="00576AF8">
        <w:t>a)</w:t>
      </w:r>
      <w:r w:rsidRPr="00576AF8">
        <w:t>.</w:t>
      </w:r>
    </w:p>
    <w:p w14:paraId="0E59D30D" w14:textId="77777777" w:rsidR="00A20832" w:rsidRPr="00576AF8" w:rsidRDefault="00A20832" w:rsidP="00A20832">
      <w:pPr>
        <w:suppressAutoHyphens w:val="0"/>
        <w:spacing w:beforeAutospacing="1" w:after="0" w:afterAutospacing="1"/>
        <w:rPr>
          <w:rFonts w:eastAsia="Arial Unicode MS"/>
          <w:szCs w:val="24"/>
        </w:rPr>
      </w:pPr>
      <w:r w:rsidRPr="00576AF8">
        <w:t>.</w:t>
      </w:r>
    </w:p>
    <w:p w14:paraId="27025C30" w14:textId="77777777" w:rsidR="00A20832" w:rsidRPr="00576AF8" w:rsidRDefault="00A20832" w:rsidP="00A20832">
      <w:pPr>
        <w:suppressAutoHyphens w:val="0"/>
        <w:spacing w:beforeAutospacing="1" w:after="0" w:afterAutospacing="1"/>
        <w:rPr>
          <w:rFonts w:eastAsia="Arial Unicode MS"/>
          <w:szCs w:val="24"/>
        </w:rPr>
      </w:pPr>
    </w:p>
    <w:p w14:paraId="20975556" w14:textId="77777777" w:rsidR="00A20832" w:rsidRPr="00576AF8" w:rsidRDefault="00A20832" w:rsidP="00A20832">
      <w:pPr>
        <w:suppressAutoHyphens w:val="0"/>
        <w:spacing w:after="0"/>
        <w:jc w:val="left"/>
      </w:pPr>
      <w:r w:rsidRPr="00576AF8">
        <w:t xml:space="preserve">____________________ </w:t>
      </w:r>
      <w:r w:rsidRPr="00576AF8">
        <w:br/>
      </w:r>
      <w:r w:rsidRPr="00576AF8">
        <w:rPr>
          <w:i/>
        </w:rPr>
        <w:t>[firma(s)]</w:t>
      </w:r>
      <w:r w:rsidRPr="00576AF8">
        <w:t xml:space="preserve"> </w:t>
      </w:r>
    </w:p>
    <w:p w14:paraId="68B18B0C" w14:textId="77777777" w:rsidR="00A20832" w:rsidRPr="00576AF8" w:rsidRDefault="00A20832" w:rsidP="00A20832">
      <w:pPr>
        <w:suppressAutoHyphens w:val="0"/>
        <w:spacing w:after="0"/>
        <w:jc w:val="left"/>
      </w:pPr>
      <w:r w:rsidRPr="00576AF8">
        <w:br/>
      </w:r>
      <w:r w:rsidRPr="00576AF8">
        <w:rPr>
          <w:b/>
          <w:i/>
        </w:rPr>
        <w:t>Nota: Todo el texto en cursiva (incluidas las notas de pie de página) tiene el objetivo de ayudar en la preparación de este formulario y deberá eliminarse del producto final.</w:t>
      </w:r>
    </w:p>
    <w:p w14:paraId="7E303E25" w14:textId="77777777" w:rsidR="00A20832" w:rsidRPr="00576AF8" w:rsidRDefault="00A20832" w:rsidP="00A20832">
      <w:pPr>
        <w:suppressAutoHyphens w:val="0"/>
        <w:spacing w:after="0"/>
        <w:jc w:val="left"/>
      </w:pPr>
      <w:r w:rsidRPr="00576AF8">
        <w:t xml:space="preserve"> </w:t>
      </w:r>
    </w:p>
    <w:p w14:paraId="1BCD1C23" w14:textId="77777777" w:rsidR="00A20832" w:rsidRPr="00576AF8" w:rsidRDefault="00A20832" w:rsidP="00A20832">
      <w:pPr>
        <w:suppressAutoHyphens w:val="0"/>
        <w:spacing w:after="0"/>
        <w:jc w:val="left"/>
      </w:pPr>
      <w:r w:rsidRPr="00576AF8">
        <w:br w:type="page"/>
      </w:r>
      <w:r w:rsidR="0091459B" w:rsidRPr="00576AF8">
        <w:lastRenderedPageBreak/>
        <w:t>`</w:t>
      </w:r>
    </w:p>
    <w:p w14:paraId="26BD2696" w14:textId="77777777" w:rsidR="00A20832" w:rsidRPr="00576AF8" w:rsidRDefault="00A20832" w:rsidP="00866570">
      <w:pPr>
        <w:pStyle w:val="Head21b"/>
        <w:rPr>
          <w:rFonts w:ascii="Times New Roman" w:hAnsi="Times New Roman"/>
        </w:rPr>
      </w:pPr>
      <w:bookmarkStart w:id="1793" w:name="_Toc521497275"/>
      <w:bookmarkStart w:id="1794" w:name="_Toc207770108"/>
      <w:bookmarkStart w:id="1795" w:name="_Toc448739674"/>
      <w:bookmarkStart w:id="1796" w:name="_Toc479249661"/>
      <w:bookmarkStart w:id="1797" w:name="_Toc483587945"/>
      <w:bookmarkStart w:id="1798" w:name="_Toc488965466"/>
      <w:bookmarkStart w:id="1799" w:name="_Toc28246693"/>
      <w:r w:rsidRPr="00576AF8">
        <w:rPr>
          <w:rFonts w:ascii="Times New Roman" w:hAnsi="Times New Roman"/>
        </w:rPr>
        <w:t>Certificados de instalación y aceptación operativa</w:t>
      </w:r>
      <w:bookmarkEnd w:id="1793"/>
      <w:bookmarkEnd w:id="1794"/>
      <w:bookmarkEnd w:id="1795"/>
      <w:bookmarkEnd w:id="1796"/>
      <w:bookmarkEnd w:id="1797"/>
      <w:bookmarkEnd w:id="1798"/>
      <w:bookmarkEnd w:id="1799"/>
    </w:p>
    <w:p w14:paraId="417E00FD" w14:textId="77777777" w:rsidR="00A20832" w:rsidRPr="00576AF8" w:rsidRDefault="00A20832" w:rsidP="00A20832">
      <w:pPr>
        <w:pStyle w:val="Head82"/>
      </w:pPr>
      <w:r w:rsidRPr="00576AF8">
        <w:rPr>
          <w:sz w:val="22"/>
        </w:rPr>
        <w:br w:type="page"/>
      </w:r>
      <w:bookmarkStart w:id="1800" w:name="_Toc521497276"/>
      <w:bookmarkStart w:id="1801" w:name="_Toc207770109"/>
    </w:p>
    <w:p w14:paraId="19F8C21A" w14:textId="77777777" w:rsidR="00A20832" w:rsidRPr="00576AF8" w:rsidRDefault="00A20832" w:rsidP="00A20832">
      <w:pPr>
        <w:pStyle w:val="Head82"/>
      </w:pPr>
      <w:bookmarkStart w:id="1802" w:name="_Toc448739675"/>
      <w:bookmarkStart w:id="1803" w:name="_Toc479249662"/>
      <w:bookmarkStart w:id="1804" w:name="_Toc483587946"/>
      <w:bookmarkStart w:id="1805" w:name="_Toc488965468"/>
      <w:r w:rsidRPr="00576AF8">
        <w:lastRenderedPageBreak/>
        <w:t>3.1</w:t>
      </w:r>
      <w:r w:rsidRPr="00576AF8">
        <w:tab/>
        <w:t>Certificado de instalación</w:t>
      </w:r>
      <w:bookmarkEnd w:id="1802"/>
      <w:bookmarkEnd w:id="1803"/>
      <w:bookmarkEnd w:id="1804"/>
      <w:bookmarkEnd w:id="1805"/>
    </w:p>
    <w:p w14:paraId="773B3144" w14:textId="77777777" w:rsidR="00A20832" w:rsidRPr="00576AF8" w:rsidRDefault="00A20832" w:rsidP="00A20832">
      <w:pPr>
        <w:tabs>
          <w:tab w:val="right" w:pos="3780"/>
          <w:tab w:val="left" w:pos="3960"/>
          <w:tab w:val="left" w:pos="9000"/>
        </w:tabs>
      </w:pPr>
      <w:r w:rsidRPr="00576AF8">
        <w:rPr>
          <w:sz w:val="22"/>
        </w:rPr>
        <w:tab/>
      </w:r>
      <w:r w:rsidRPr="00576AF8">
        <w:t>Fecha:</w:t>
      </w:r>
      <w:r w:rsidRPr="00576AF8">
        <w:tab/>
      </w:r>
      <w:r w:rsidRPr="00576AF8">
        <w:rPr>
          <w:rStyle w:val="preparersnote"/>
        </w:rPr>
        <w:t>[indique la fecha]</w:t>
      </w:r>
      <w:r w:rsidRPr="00576AF8">
        <w:rPr>
          <w:rStyle w:val="preparersnote"/>
          <w:b w:val="0"/>
        </w:rPr>
        <w:t>.</w:t>
      </w:r>
    </w:p>
    <w:p w14:paraId="34DDE508" w14:textId="77777777" w:rsidR="00A20832" w:rsidRPr="00576AF8" w:rsidRDefault="00A20832" w:rsidP="00A072B3">
      <w:pPr>
        <w:tabs>
          <w:tab w:val="right" w:pos="3780"/>
          <w:tab w:val="left" w:pos="3960"/>
          <w:tab w:val="left" w:pos="9000"/>
        </w:tabs>
        <w:ind w:left="3969" w:hanging="3969"/>
      </w:pPr>
      <w:r w:rsidRPr="00576AF8">
        <w:tab/>
        <w:t xml:space="preserve">Número de </w:t>
      </w:r>
      <w:r w:rsidR="00C63A4A" w:rsidRPr="00576AF8">
        <w:t>p</w:t>
      </w:r>
      <w:r w:rsidRPr="00576AF8">
        <w:t xml:space="preserve">réstamo o </w:t>
      </w:r>
      <w:r w:rsidR="00C63A4A" w:rsidRPr="00576AF8">
        <w:t>c</w:t>
      </w:r>
      <w:r w:rsidRPr="00576AF8">
        <w:t xml:space="preserve">rédito: </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3FA829F7" w14:textId="77777777" w:rsidR="00A44EB2" w:rsidRPr="00576AF8" w:rsidRDefault="00A20832" w:rsidP="00506FFF">
      <w:pPr>
        <w:tabs>
          <w:tab w:val="right" w:pos="3780"/>
          <w:tab w:val="left" w:pos="3960"/>
          <w:tab w:val="left" w:pos="9000"/>
        </w:tabs>
        <w:ind w:left="3969" w:hanging="3969"/>
        <w:rPr>
          <w:spacing w:val="-2"/>
        </w:rPr>
      </w:pPr>
      <w:r w:rsidRPr="00576AF8">
        <w:rPr>
          <w:spacing w:val="-2"/>
        </w:rPr>
        <w:tab/>
      </w:r>
      <w:r w:rsidR="0046742A" w:rsidRPr="00576AF8">
        <w:rPr>
          <w:spacing w:val="-2"/>
        </w:rPr>
        <w:t>Licitación</w:t>
      </w:r>
      <w:r w:rsidRPr="00576AF8">
        <w:rPr>
          <w:spacing w:val="-2"/>
        </w:rPr>
        <w:t>:</w:t>
      </w:r>
      <w:r w:rsidRPr="00576AF8">
        <w:rPr>
          <w:spacing w:val="-2"/>
        </w:rPr>
        <w:tab/>
      </w:r>
      <w:r w:rsidRPr="00576AF8">
        <w:rPr>
          <w:rStyle w:val="preparersnote"/>
          <w:spacing w:val="-2"/>
        </w:rPr>
        <w:t xml:space="preserve">[indique el título y el número de la </w:t>
      </w:r>
      <w:r w:rsidR="0046742A" w:rsidRPr="00576AF8">
        <w:rPr>
          <w:rStyle w:val="preparersnote"/>
          <w:spacing w:val="-2"/>
        </w:rPr>
        <w:t>licitación</w:t>
      </w:r>
      <w:r w:rsidRPr="00576AF8">
        <w:rPr>
          <w:rStyle w:val="preparersnote"/>
          <w:spacing w:val="-2"/>
        </w:rPr>
        <w:t>]</w:t>
      </w:r>
      <w:r w:rsidRPr="00576AF8">
        <w:rPr>
          <w:rStyle w:val="preparersnote"/>
          <w:b w:val="0"/>
          <w:spacing w:val="-2"/>
        </w:rPr>
        <w:t>.</w:t>
      </w:r>
    </w:p>
    <w:p w14:paraId="315EBC34" w14:textId="77777777" w:rsidR="00A20832" w:rsidRPr="00576AF8" w:rsidRDefault="00A20832" w:rsidP="00D223D3">
      <w:pPr>
        <w:tabs>
          <w:tab w:val="right" w:pos="3780"/>
          <w:tab w:val="left" w:pos="3960"/>
          <w:tab w:val="left" w:pos="9000"/>
        </w:tabs>
        <w:spacing w:after="480"/>
      </w:pPr>
      <w:r w:rsidRPr="00576AF8">
        <w:tab/>
        <w:t>Contrato:</w:t>
      </w:r>
      <w:r w:rsidRPr="00576AF8">
        <w:tab/>
      </w:r>
      <w:r w:rsidRPr="00576AF8">
        <w:rPr>
          <w:rStyle w:val="preparersnote"/>
        </w:rPr>
        <w:t>[indique el nombre y el número del contrato]</w:t>
      </w:r>
      <w:r w:rsidRPr="00576AF8">
        <w:rPr>
          <w:rStyle w:val="preparersnote"/>
          <w:b w:val="0"/>
        </w:rPr>
        <w:t>.</w:t>
      </w:r>
    </w:p>
    <w:p w14:paraId="1A66D7B5" w14:textId="77777777" w:rsidR="00A20832" w:rsidRPr="00576AF8" w:rsidRDefault="00A20832" w:rsidP="00A20832">
      <w:pPr>
        <w:rPr>
          <w:b/>
        </w:rPr>
      </w:pPr>
      <w:r w:rsidRPr="00576AF8">
        <w:t xml:space="preserve">Para: </w:t>
      </w:r>
      <w:r w:rsidRPr="00576AF8">
        <w:rPr>
          <w:rStyle w:val="preparersnote"/>
        </w:rPr>
        <w:t>[indique el nombre y la dirección del Proveedor]</w:t>
      </w:r>
      <w:r w:rsidRPr="00576AF8">
        <w:rPr>
          <w:rStyle w:val="preparersnote"/>
          <w:b w:val="0"/>
        </w:rPr>
        <w:t>.</w:t>
      </w:r>
    </w:p>
    <w:p w14:paraId="766DF2CC" w14:textId="77777777" w:rsidR="00A20832" w:rsidRPr="00576AF8" w:rsidRDefault="00A20832" w:rsidP="00A20832">
      <w:r w:rsidRPr="00576AF8">
        <w:t>De mi consideración:</w:t>
      </w:r>
    </w:p>
    <w:p w14:paraId="73087737" w14:textId="77777777" w:rsidR="00A20832" w:rsidRPr="00576AF8" w:rsidRDefault="00A20832" w:rsidP="00A20832">
      <w:r w:rsidRPr="00576AF8">
        <w:tab/>
        <w:t>De conformidad con la cláusula 26 (“Instalación del Sistema”) de las Condiciones Generales del Contrato celebrado entre ustedes y</w:t>
      </w:r>
      <w:r w:rsidRPr="00576AF8">
        <w:rPr>
          <w:i/>
        </w:rPr>
        <w:t xml:space="preserve"> [indique</w:t>
      </w:r>
      <w:r w:rsidRPr="00576AF8">
        <w:rPr>
          <w:rStyle w:val="preparersnote"/>
        </w:rPr>
        <w:t xml:space="preserve"> </w:t>
      </w:r>
      <w:r w:rsidRPr="00576AF8">
        <w:rPr>
          <w:b/>
          <w:i/>
        </w:rPr>
        <w:t>el nombre del Comprador</w:t>
      </w:r>
      <w:r w:rsidRPr="00576AF8">
        <w:rPr>
          <w:i/>
        </w:rPr>
        <w:t>]</w:t>
      </w:r>
      <w:r w:rsidRPr="00576AF8">
        <w:t xml:space="preserve"> (en adelante, el “Comprador” el </w:t>
      </w:r>
      <w:r w:rsidRPr="00576AF8">
        <w:rPr>
          <w:i/>
        </w:rPr>
        <w:t>[indique</w:t>
      </w:r>
      <w:r w:rsidRPr="00576AF8">
        <w:rPr>
          <w:rStyle w:val="preparersnote"/>
        </w:rPr>
        <w:t xml:space="preserve"> </w:t>
      </w:r>
      <w:r w:rsidRPr="00576AF8">
        <w:rPr>
          <w:b/>
          <w:i/>
        </w:rPr>
        <w:t>la fecha del Contrato</w:t>
      </w:r>
      <w:r w:rsidRPr="00576AF8">
        <w:rPr>
          <w:i/>
        </w:rPr>
        <w:t>]</w:t>
      </w:r>
      <w:r w:rsidRPr="00576AF8">
        <w:t xml:space="preserve">, en relación con </w:t>
      </w:r>
      <w:r w:rsidRPr="00576AF8">
        <w:rPr>
          <w:i/>
        </w:rPr>
        <w:t>[incluya</w:t>
      </w:r>
      <w:r w:rsidRPr="00576AF8">
        <w:rPr>
          <w:rStyle w:val="preparersnote"/>
        </w:rPr>
        <w:t xml:space="preserve"> </w:t>
      </w:r>
      <w:r w:rsidRPr="00576AF8">
        <w:rPr>
          <w:b/>
          <w:i/>
        </w:rPr>
        <w:t>una breve descripción del Sistema Informático</w:t>
      </w:r>
      <w:r w:rsidRPr="00576AF8">
        <w:rPr>
          <w:i/>
        </w:rPr>
        <w:t>]</w:t>
      </w:r>
      <w:r w:rsidRPr="00576AF8">
        <w:t xml:space="preserve">, por la presente les notificamos que se ha considerado que el Sistema </w:t>
      </w:r>
      <w:r w:rsidR="00D13410" w:rsidRPr="00576AF8">
        <w:br/>
      </w:r>
      <w:r w:rsidRPr="00576AF8">
        <w:t xml:space="preserve">(o un Subsistema o componente principal) fue instalado correctamente en la fecha indicada </w:t>
      </w:r>
      <w:r w:rsidR="00D13410" w:rsidRPr="00576AF8">
        <w:br/>
      </w:r>
      <w:r w:rsidRPr="00576AF8">
        <w:t xml:space="preserve">más adelante. </w:t>
      </w:r>
    </w:p>
    <w:p w14:paraId="26D2639B" w14:textId="77777777" w:rsidR="00A20832" w:rsidRPr="00576AF8" w:rsidRDefault="00A20832" w:rsidP="00A20832">
      <w:r w:rsidRPr="00576AF8">
        <w:t>1.</w:t>
      </w:r>
      <w:r w:rsidRPr="00576AF8">
        <w:tab/>
        <w:t xml:space="preserve">Descripción del Sistema (o del Subsistema o componente principal pertinente): </w:t>
      </w:r>
      <w:r w:rsidRPr="00576AF8">
        <w:rPr>
          <w:rStyle w:val="preparersnote"/>
        </w:rPr>
        <w:t xml:space="preserve">[incluya </w:t>
      </w:r>
      <w:r w:rsidR="00D13410" w:rsidRPr="00576AF8">
        <w:rPr>
          <w:rStyle w:val="preparersnote"/>
        </w:rPr>
        <w:br/>
      </w:r>
      <w:r w:rsidRPr="00576AF8">
        <w:rPr>
          <w:rStyle w:val="preparersnote"/>
        </w:rPr>
        <w:t>la descripción]</w:t>
      </w:r>
      <w:r w:rsidRPr="00576AF8">
        <w:rPr>
          <w:rStyle w:val="preparersnote"/>
          <w:b w:val="0"/>
        </w:rPr>
        <w:t>.</w:t>
      </w:r>
    </w:p>
    <w:p w14:paraId="7043F710" w14:textId="77777777" w:rsidR="00A20832" w:rsidRPr="00576AF8" w:rsidRDefault="00A20832" w:rsidP="00A20832">
      <w:r w:rsidRPr="00576AF8">
        <w:t>2.</w:t>
      </w:r>
      <w:r w:rsidRPr="00576AF8">
        <w:tab/>
        <w:t xml:space="preserve">Fecha de instalación: </w:t>
      </w:r>
      <w:r w:rsidRPr="00576AF8">
        <w:rPr>
          <w:rStyle w:val="preparersnote"/>
        </w:rPr>
        <w:t>[indique la fecha]</w:t>
      </w:r>
      <w:r w:rsidRPr="00576AF8">
        <w:rPr>
          <w:rStyle w:val="preparersnote"/>
          <w:b w:val="0"/>
        </w:rPr>
        <w:t>.</w:t>
      </w:r>
    </w:p>
    <w:p w14:paraId="7A6A2522" w14:textId="77777777" w:rsidR="00A20832" w:rsidRPr="00576AF8" w:rsidRDefault="00A20832" w:rsidP="00D223D3">
      <w:pPr>
        <w:spacing w:after="480"/>
      </w:pPr>
      <w:r w:rsidRPr="00576AF8">
        <w:tab/>
        <w:t xml:space="preserve">Sin perjuicio de lo anterior, ustedes </w:t>
      </w:r>
      <w:r w:rsidR="00140B58" w:rsidRPr="00576AF8">
        <w:t xml:space="preserve">deberán </w:t>
      </w:r>
      <w:r w:rsidRPr="00576AF8">
        <w:t>terminar</w:t>
      </w:r>
      <w:r w:rsidR="00140B58" w:rsidRPr="00576AF8">
        <w:t>,</w:t>
      </w:r>
      <w:r w:rsidRPr="00576AF8">
        <w:t xml:space="preserve"> tan pronto como sea factible</w:t>
      </w:r>
      <w:r w:rsidR="00140B58" w:rsidRPr="00576AF8">
        <w:t>,</w:t>
      </w:r>
      <w:r w:rsidRPr="00576AF8">
        <w:t xml:space="preserve"> los artículos pendientes que se enumeran en el anexo del presente certificado. Esta carta no los libera de la obligación de obtener la aceptación operativa del Sistema de acuerdo con lo dispuesto en el Contrato, ni de sus obligaciones durante el período de garantía.</w:t>
      </w:r>
    </w:p>
    <w:p w14:paraId="551F8129" w14:textId="77777777" w:rsidR="00A20832" w:rsidRPr="00576AF8" w:rsidRDefault="00A20832" w:rsidP="00D223D3">
      <w:pPr>
        <w:spacing w:after="480"/>
      </w:pPr>
      <w:r w:rsidRPr="00576AF8">
        <w:t>En representación del Comprador:</w:t>
      </w:r>
    </w:p>
    <w:p w14:paraId="34AAECD1" w14:textId="77777777" w:rsidR="00A20832" w:rsidRPr="00576AF8" w:rsidRDefault="00D223D3" w:rsidP="00A20832">
      <w:pPr>
        <w:tabs>
          <w:tab w:val="right" w:pos="900"/>
          <w:tab w:val="left" w:pos="7200"/>
        </w:tabs>
      </w:pPr>
      <w:r w:rsidRPr="00576AF8">
        <w:t>Firma:</w:t>
      </w:r>
    </w:p>
    <w:p w14:paraId="1C4BEF7C" w14:textId="77777777" w:rsidR="00A20832" w:rsidRPr="00576AF8" w:rsidRDefault="00D223D3" w:rsidP="00A20832">
      <w:pPr>
        <w:tabs>
          <w:tab w:val="right" w:pos="4320"/>
        </w:tabs>
      </w:pPr>
      <w:r w:rsidRPr="00576AF8">
        <w:t xml:space="preserve">Fecha: </w:t>
      </w:r>
    </w:p>
    <w:p w14:paraId="282F2E8E" w14:textId="77777777" w:rsidR="00A20832" w:rsidRPr="00576AF8" w:rsidRDefault="00A20832" w:rsidP="00A20832">
      <w:r w:rsidRPr="00576AF8">
        <w:t xml:space="preserve">En calidad de: </w:t>
      </w:r>
      <w:r w:rsidRPr="00576AF8">
        <w:rPr>
          <w:rStyle w:val="preparersnote"/>
        </w:rPr>
        <w:t>[indique “gerente de Proyecto” u otra autoridad de mayor jerarquía en la organización del Comprador]</w:t>
      </w:r>
      <w:r w:rsidRPr="00576AF8">
        <w:rPr>
          <w:rStyle w:val="preparersnote"/>
          <w:b w:val="0"/>
        </w:rPr>
        <w:t>.</w:t>
      </w:r>
    </w:p>
    <w:p w14:paraId="3519D481" w14:textId="77777777" w:rsidR="00A20832" w:rsidRPr="00576AF8" w:rsidRDefault="00A20832" w:rsidP="00A20832">
      <w:pPr>
        <w:rPr>
          <w:sz w:val="22"/>
        </w:rPr>
      </w:pPr>
    </w:p>
    <w:p w14:paraId="3AFA2750" w14:textId="77777777" w:rsidR="00A20832" w:rsidRPr="00576AF8" w:rsidRDefault="00A20832" w:rsidP="00A20832">
      <w:pPr>
        <w:pStyle w:val="Head82"/>
      </w:pPr>
      <w:r w:rsidRPr="00576AF8">
        <w:br w:type="page"/>
      </w:r>
      <w:bookmarkStart w:id="1806" w:name="_Toc448739676"/>
      <w:bookmarkStart w:id="1807" w:name="_Toc479249663"/>
      <w:bookmarkStart w:id="1808" w:name="_Toc483587947"/>
      <w:bookmarkStart w:id="1809" w:name="_Toc488965469"/>
      <w:r w:rsidRPr="00576AF8">
        <w:lastRenderedPageBreak/>
        <w:t>3.2</w:t>
      </w:r>
      <w:r w:rsidRPr="00576AF8">
        <w:tab/>
        <w:t>Certificado de aceptación operativa</w:t>
      </w:r>
      <w:bookmarkEnd w:id="1806"/>
      <w:bookmarkEnd w:id="1807"/>
      <w:bookmarkEnd w:id="1808"/>
      <w:bookmarkEnd w:id="1809"/>
    </w:p>
    <w:p w14:paraId="29C308B9" w14:textId="77777777" w:rsidR="00A20832" w:rsidRPr="00576AF8" w:rsidRDefault="00A20832" w:rsidP="00A20832">
      <w:pPr>
        <w:tabs>
          <w:tab w:val="right" w:pos="3780"/>
          <w:tab w:val="left" w:pos="3960"/>
          <w:tab w:val="left" w:pos="9000"/>
        </w:tabs>
      </w:pPr>
    </w:p>
    <w:p w14:paraId="3A3260D2" w14:textId="77777777" w:rsidR="00A20832" w:rsidRPr="00576AF8" w:rsidRDefault="00A20832" w:rsidP="00A20832">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39B93A4C" w14:textId="77777777" w:rsidR="00A20832" w:rsidRPr="00576AF8" w:rsidRDefault="00A20832" w:rsidP="00A072B3">
      <w:pPr>
        <w:tabs>
          <w:tab w:val="right" w:pos="3780"/>
          <w:tab w:val="left" w:pos="3960"/>
          <w:tab w:val="left" w:pos="9000"/>
        </w:tabs>
        <w:ind w:left="3969" w:hanging="3969"/>
      </w:pPr>
      <w:r w:rsidRPr="00576AF8">
        <w:tab/>
        <w:t xml:space="preserve">Número de </w:t>
      </w:r>
      <w:r w:rsidR="00C63A4A" w:rsidRPr="00576AF8">
        <w:t>p</w:t>
      </w:r>
      <w:r w:rsidRPr="00576AF8">
        <w:t xml:space="preserve">réstamo o </w:t>
      </w:r>
      <w:r w:rsidR="00C63A4A"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11FE3F91" w14:textId="77777777" w:rsidR="00A20832" w:rsidRPr="00576AF8" w:rsidRDefault="00A20832" w:rsidP="00A20832">
      <w:pPr>
        <w:tabs>
          <w:tab w:val="right" w:pos="3780"/>
          <w:tab w:val="left" w:pos="3960"/>
          <w:tab w:val="left" w:pos="9000"/>
        </w:tabs>
        <w:ind w:left="3960" w:hanging="3960"/>
        <w:rPr>
          <w:spacing w:val="-2"/>
        </w:rPr>
      </w:pPr>
      <w:r w:rsidRPr="00576AF8">
        <w:rPr>
          <w:spacing w:val="-2"/>
        </w:rPr>
        <w:tab/>
      </w:r>
      <w:r w:rsidR="0046742A" w:rsidRPr="00576AF8">
        <w:rPr>
          <w:spacing w:val="-2"/>
        </w:rPr>
        <w:t>Licitación</w:t>
      </w:r>
      <w:r w:rsidRPr="00576AF8">
        <w:rPr>
          <w:spacing w:val="-2"/>
        </w:rPr>
        <w:t>:</w:t>
      </w:r>
      <w:r w:rsidRPr="00576AF8">
        <w:rPr>
          <w:spacing w:val="-2"/>
        </w:rPr>
        <w:tab/>
      </w:r>
      <w:r w:rsidRPr="00576AF8">
        <w:rPr>
          <w:rStyle w:val="preparersnote"/>
          <w:spacing w:val="-2"/>
        </w:rPr>
        <w:t xml:space="preserve">[indique el título y el número de la </w:t>
      </w:r>
      <w:r w:rsidR="0046742A" w:rsidRPr="00576AF8">
        <w:rPr>
          <w:rStyle w:val="preparersnote"/>
          <w:spacing w:val="-2"/>
        </w:rPr>
        <w:t>licitación</w:t>
      </w:r>
      <w:r w:rsidRPr="00576AF8">
        <w:rPr>
          <w:rStyle w:val="preparersnote"/>
          <w:spacing w:val="-2"/>
        </w:rPr>
        <w:t>]</w:t>
      </w:r>
      <w:r w:rsidRPr="00576AF8">
        <w:rPr>
          <w:rStyle w:val="preparersnote"/>
          <w:b w:val="0"/>
          <w:spacing w:val="-2"/>
        </w:rPr>
        <w:t>.</w:t>
      </w:r>
    </w:p>
    <w:p w14:paraId="61D95BDD" w14:textId="77777777" w:rsidR="00A20832" w:rsidRPr="00576AF8" w:rsidRDefault="00A20832" w:rsidP="00D223D3">
      <w:pPr>
        <w:tabs>
          <w:tab w:val="right" w:pos="3780"/>
          <w:tab w:val="left" w:pos="3960"/>
          <w:tab w:val="left" w:pos="9000"/>
        </w:tabs>
        <w:spacing w:after="480"/>
        <w:ind w:left="3960" w:hanging="3960"/>
        <w:rPr>
          <w:b/>
        </w:rPr>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6AA62458" w14:textId="77777777" w:rsidR="00A20832" w:rsidRPr="00576AF8" w:rsidRDefault="00A20832" w:rsidP="00D223D3">
      <w:pPr>
        <w:spacing w:after="400"/>
        <w:rPr>
          <w:b/>
        </w:rPr>
      </w:pPr>
      <w:r w:rsidRPr="00576AF8">
        <w:t xml:space="preserve">Para: </w:t>
      </w:r>
      <w:r w:rsidRPr="00576AF8">
        <w:rPr>
          <w:rStyle w:val="preparersnote"/>
        </w:rPr>
        <w:t>[indique el nombre y la dirección del Proveedor]</w:t>
      </w:r>
      <w:r w:rsidRPr="00576AF8">
        <w:rPr>
          <w:rStyle w:val="preparersnote"/>
          <w:b w:val="0"/>
        </w:rPr>
        <w:t>.</w:t>
      </w:r>
    </w:p>
    <w:p w14:paraId="02CD35DD" w14:textId="77777777" w:rsidR="00A20832" w:rsidRPr="00576AF8" w:rsidRDefault="00A20832" w:rsidP="00D223D3">
      <w:pPr>
        <w:spacing w:after="400"/>
      </w:pPr>
      <w:r w:rsidRPr="00576AF8">
        <w:t>De mi consideración:</w:t>
      </w:r>
    </w:p>
    <w:p w14:paraId="1598165C" w14:textId="77777777" w:rsidR="00A20832" w:rsidRPr="00576AF8" w:rsidRDefault="00A20832" w:rsidP="00A20832">
      <w:r w:rsidRPr="00576AF8">
        <w:tab/>
        <w:t xml:space="preserve">De conformidad con la cláusula 27 (“Puesta en servicio y aceptación operativa”) de las Condiciones Generales del Contrato celebrado entre ustedes y </w:t>
      </w:r>
      <w:r w:rsidRPr="00576AF8">
        <w:rPr>
          <w:b/>
          <w:i/>
        </w:rPr>
        <w:t>[indique el nombre del Comprador]</w:t>
      </w:r>
      <w:r w:rsidRPr="00576AF8">
        <w:t xml:space="preserve"> (en adelante, el “Comprador”) el </w:t>
      </w:r>
      <w:r w:rsidRPr="00576AF8">
        <w:rPr>
          <w:b/>
          <w:i/>
        </w:rPr>
        <w:t>[indique</w:t>
      </w:r>
      <w:r w:rsidRPr="00576AF8">
        <w:rPr>
          <w:rStyle w:val="preparersnote"/>
        </w:rPr>
        <w:t xml:space="preserve"> </w:t>
      </w:r>
      <w:r w:rsidRPr="00576AF8">
        <w:rPr>
          <w:b/>
          <w:i/>
        </w:rPr>
        <w:t>la fecha del Contrato]</w:t>
      </w:r>
      <w:r w:rsidRPr="00576AF8">
        <w:t xml:space="preserve">, en relación con </w:t>
      </w:r>
      <w:r w:rsidRPr="00576AF8">
        <w:rPr>
          <w:b/>
          <w:i/>
        </w:rPr>
        <w:t>[incluya</w:t>
      </w:r>
      <w:r w:rsidRPr="00576AF8">
        <w:rPr>
          <w:rStyle w:val="preparersnote"/>
        </w:rPr>
        <w:t xml:space="preserve"> </w:t>
      </w:r>
      <w:r w:rsidRPr="00576AF8">
        <w:rPr>
          <w:b/>
          <w:i/>
        </w:rPr>
        <w:t>una breve descripción del Sistema Informático]</w:t>
      </w:r>
      <w:r w:rsidRPr="00576AF8">
        <w:t>, por la presente les notificamos que el Sistema (o el Subsistema o componente principal especificado a continuación) pasó satisfactoriamente las pruebas de aceptación operativa establecidas en el Contrato. De acuerdo con lo estipulado en el Contrato, en la fecha indicada más adelante, el Comprador toma posesión del Sistema (o del Subsistema o componente principal especificado a continuación), además de asumir la responsabilidad de su cuidado y custodia y el riesgo de pérdidas que ello entrañe.</w:t>
      </w:r>
    </w:p>
    <w:p w14:paraId="069E8E4F" w14:textId="77777777" w:rsidR="00A20832" w:rsidRPr="00576AF8" w:rsidRDefault="00A20832" w:rsidP="00A20832">
      <w:pPr>
        <w:rPr>
          <w:spacing w:val="-4"/>
        </w:rPr>
      </w:pPr>
      <w:r w:rsidRPr="00576AF8">
        <w:rPr>
          <w:spacing w:val="-4"/>
        </w:rPr>
        <w:t>1.</w:t>
      </w:r>
      <w:r w:rsidRPr="00576AF8">
        <w:rPr>
          <w:spacing w:val="-4"/>
        </w:rPr>
        <w:tab/>
        <w:t xml:space="preserve">Descripción del Sistema (o del Subsistema o componente principal): </w:t>
      </w:r>
      <w:r w:rsidRPr="00576AF8">
        <w:rPr>
          <w:rStyle w:val="preparersnote"/>
          <w:spacing w:val="-4"/>
        </w:rPr>
        <w:t>[incluya la descripción]</w:t>
      </w:r>
      <w:r w:rsidRPr="00576AF8">
        <w:rPr>
          <w:rStyle w:val="preparersnote"/>
          <w:b w:val="0"/>
          <w:spacing w:val="-4"/>
        </w:rPr>
        <w:t>.</w:t>
      </w:r>
    </w:p>
    <w:p w14:paraId="0BC630BD" w14:textId="77777777" w:rsidR="00A20832" w:rsidRPr="00576AF8" w:rsidRDefault="00A20832" w:rsidP="00A20832">
      <w:r w:rsidRPr="00576AF8">
        <w:t>2.</w:t>
      </w:r>
      <w:r w:rsidRPr="00576AF8">
        <w:tab/>
        <w:t xml:space="preserve">Fecha de aceptación operativa: </w:t>
      </w:r>
      <w:r w:rsidRPr="00576AF8">
        <w:rPr>
          <w:rStyle w:val="preparersnote"/>
        </w:rPr>
        <w:t>[indique la fecha]</w:t>
      </w:r>
      <w:r w:rsidRPr="00576AF8">
        <w:rPr>
          <w:rStyle w:val="preparersnote"/>
          <w:b w:val="0"/>
        </w:rPr>
        <w:t>.</w:t>
      </w:r>
    </w:p>
    <w:p w14:paraId="4D487370" w14:textId="77777777" w:rsidR="00A20832" w:rsidRPr="00576AF8" w:rsidRDefault="00A20832" w:rsidP="00D223D3">
      <w:pPr>
        <w:spacing w:after="400"/>
      </w:pPr>
      <w:r w:rsidRPr="00576AF8">
        <w:tab/>
        <w:t>Esta carta no los libera de la obligación de cumplir con el resto de las obligaciones relacionadas con el rendimiento del Sistema de acuerdo con el Contrato, ni de sus obligaciones durante el período de garantía.</w:t>
      </w:r>
    </w:p>
    <w:p w14:paraId="6F81730A" w14:textId="77777777" w:rsidR="00A20832" w:rsidRPr="00576AF8" w:rsidRDefault="00A20832" w:rsidP="00D223D3">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400"/>
      </w:pPr>
      <w:r w:rsidRPr="00576AF8">
        <w:t>En representación del Comprador:</w:t>
      </w:r>
    </w:p>
    <w:p w14:paraId="5427414A" w14:textId="77777777" w:rsidR="00A20832" w:rsidRPr="00576AF8" w:rsidRDefault="00D223D3" w:rsidP="00A20832">
      <w:pPr>
        <w:tabs>
          <w:tab w:val="right" w:pos="900"/>
          <w:tab w:val="left" w:pos="7200"/>
        </w:tabs>
      </w:pPr>
      <w:r w:rsidRPr="00576AF8">
        <w:t>Firma:</w:t>
      </w:r>
    </w:p>
    <w:p w14:paraId="01009B10" w14:textId="77777777" w:rsidR="00A20832" w:rsidRPr="00576AF8" w:rsidRDefault="00D223D3" w:rsidP="00A20832">
      <w:pPr>
        <w:tabs>
          <w:tab w:val="right" w:pos="4320"/>
        </w:tabs>
      </w:pPr>
      <w:r w:rsidRPr="00576AF8">
        <w:t xml:space="preserve">Fecha: </w:t>
      </w:r>
    </w:p>
    <w:p w14:paraId="0F496CDD" w14:textId="77777777" w:rsidR="00A20832" w:rsidRPr="00576AF8" w:rsidRDefault="00A20832" w:rsidP="00A20832">
      <w:r w:rsidRPr="00576AF8">
        <w:t xml:space="preserve">En calidad de: </w:t>
      </w:r>
      <w:r w:rsidRPr="00576AF8">
        <w:rPr>
          <w:rStyle w:val="preparersnote"/>
        </w:rPr>
        <w:t>[indique “gerente de Proyecto” u otra autoridad de mayor jerarquía en la organización del Comprador]</w:t>
      </w:r>
      <w:r w:rsidRPr="00576AF8">
        <w:rPr>
          <w:rStyle w:val="preparersnote"/>
          <w:b w:val="0"/>
        </w:rPr>
        <w:t>.</w:t>
      </w:r>
    </w:p>
    <w:p w14:paraId="0EE208AC" w14:textId="77777777" w:rsidR="00A20832" w:rsidRPr="00576AF8" w:rsidRDefault="00A20832" w:rsidP="00866570">
      <w:pPr>
        <w:pStyle w:val="Head21b"/>
        <w:rPr>
          <w:rFonts w:ascii="Times New Roman" w:hAnsi="Times New Roman"/>
        </w:rPr>
      </w:pPr>
      <w:r w:rsidRPr="00576AF8">
        <w:rPr>
          <w:rFonts w:ascii="Times New Roman" w:hAnsi="Times New Roman"/>
        </w:rPr>
        <w:br w:type="page"/>
      </w:r>
      <w:bookmarkStart w:id="1810" w:name="_Toc448739677"/>
      <w:bookmarkStart w:id="1811" w:name="_Toc479249664"/>
      <w:bookmarkStart w:id="1812" w:name="_Toc483587948"/>
      <w:bookmarkStart w:id="1813" w:name="_Toc488965470"/>
      <w:bookmarkStart w:id="1814" w:name="_Toc28246694"/>
      <w:r w:rsidRPr="00576AF8">
        <w:rPr>
          <w:rFonts w:ascii="Times New Roman" w:hAnsi="Times New Roman"/>
        </w:rPr>
        <w:lastRenderedPageBreak/>
        <w:t xml:space="preserve">Procedimientos y formularios </w:t>
      </w:r>
      <w:r w:rsidR="00D13410" w:rsidRPr="00576AF8">
        <w:rPr>
          <w:rFonts w:ascii="Times New Roman" w:hAnsi="Times New Roman"/>
        </w:rPr>
        <w:br/>
      </w:r>
      <w:r w:rsidRPr="00576AF8">
        <w:rPr>
          <w:rFonts w:ascii="Times New Roman" w:hAnsi="Times New Roman"/>
        </w:rPr>
        <w:t>para las órdenes de cambio</w:t>
      </w:r>
      <w:bookmarkEnd w:id="1810"/>
      <w:bookmarkEnd w:id="1811"/>
      <w:bookmarkEnd w:id="1812"/>
      <w:bookmarkEnd w:id="1813"/>
      <w:bookmarkEnd w:id="1814"/>
    </w:p>
    <w:p w14:paraId="107357D0" w14:textId="77777777" w:rsidR="00A20832" w:rsidRPr="00576AF8" w:rsidRDefault="00A20832" w:rsidP="00A20832">
      <w:pPr>
        <w:tabs>
          <w:tab w:val="right" w:pos="3780"/>
          <w:tab w:val="left" w:pos="3960"/>
          <w:tab w:val="left" w:pos="9000"/>
        </w:tabs>
        <w:rPr>
          <w:sz w:val="22"/>
        </w:rPr>
      </w:pPr>
    </w:p>
    <w:p w14:paraId="33FC6D90" w14:textId="77777777" w:rsidR="00A20832" w:rsidRPr="00576AF8" w:rsidRDefault="00A20832" w:rsidP="00A20832">
      <w:pPr>
        <w:tabs>
          <w:tab w:val="right" w:pos="3780"/>
          <w:tab w:val="left" w:pos="3960"/>
          <w:tab w:val="left" w:pos="9000"/>
        </w:tabs>
      </w:pPr>
      <w:r w:rsidRPr="00576AF8">
        <w:rPr>
          <w:sz w:val="22"/>
        </w:rPr>
        <w:tab/>
      </w:r>
      <w:r w:rsidRPr="00576AF8">
        <w:t>Fecha:</w:t>
      </w:r>
      <w:r w:rsidRPr="00576AF8">
        <w:tab/>
      </w:r>
      <w:r w:rsidRPr="00576AF8">
        <w:rPr>
          <w:rStyle w:val="preparersnote"/>
        </w:rPr>
        <w:t>[indique la fecha]</w:t>
      </w:r>
      <w:r w:rsidRPr="00576AF8">
        <w:rPr>
          <w:rStyle w:val="preparersnote"/>
          <w:b w:val="0"/>
        </w:rPr>
        <w:t>.</w:t>
      </w:r>
    </w:p>
    <w:p w14:paraId="760408D6" w14:textId="77777777" w:rsidR="00A20832" w:rsidRPr="00576AF8" w:rsidRDefault="00A20832" w:rsidP="00A072B3">
      <w:pPr>
        <w:tabs>
          <w:tab w:val="right" w:pos="3780"/>
          <w:tab w:val="left" w:pos="3960"/>
          <w:tab w:val="left" w:pos="9000"/>
        </w:tabs>
        <w:ind w:left="3969" w:hanging="3969"/>
      </w:pPr>
      <w:r w:rsidRPr="00576AF8">
        <w:tab/>
        <w:t xml:space="preserve">Número de </w:t>
      </w:r>
      <w:r w:rsidR="00C63A4A" w:rsidRPr="00576AF8">
        <w:t>p</w:t>
      </w:r>
      <w:r w:rsidRPr="00576AF8">
        <w:t xml:space="preserve">réstamo o </w:t>
      </w:r>
      <w:r w:rsidR="00C63A4A"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13D3E1EF" w14:textId="77777777" w:rsidR="00A20832" w:rsidRPr="00576AF8" w:rsidRDefault="00A20832" w:rsidP="00A20832">
      <w:pPr>
        <w:tabs>
          <w:tab w:val="right" w:pos="3780"/>
          <w:tab w:val="left" w:pos="3960"/>
          <w:tab w:val="left" w:pos="9000"/>
        </w:tabs>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428F4426" w14:textId="77777777" w:rsidR="00A20832" w:rsidRPr="00576AF8" w:rsidRDefault="00A20832" w:rsidP="00A20832">
      <w:pPr>
        <w:tabs>
          <w:tab w:val="right" w:pos="3780"/>
          <w:tab w:val="left" w:pos="3960"/>
          <w:tab w:val="left" w:pos="9000"/>
        </w:tabs>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 xml:space="preserve">. </w:t>
      </w:r>
    </w:p>
    <w:p w14:paraId="0D3633BC" w14:textId="77777777" w:rsidR="00A20832" w:rsidRPr="00576AF8" w:rsidRDefault="00A20832" w:rsidP="00A20832">
      <w:pPr>
        <w:spacing w:before="120"/>
        <w:ind w:left="547" w:hanging="547"/>
        <w:rPr>
          <w:b/>
        </w:rPr>
      </w:pPr>
      <w:r w:rsidRPr="00576AF8">
        <w:rPr>
          <w:b/>
        </w:rPr>
        <w:t>Disposiciones generales</w:t>
      </w:r>
    </w:p>
    <w:p w14:paraId="736B632C" w14:textId="77777777" w:rsidR="00A20832" w:rsidRPr="00576AF8" w:rsidRDefault="00A20832" w:rsidP="00A20832">
      <w:pPr>
        <w:ind w:left="540"/>
      </w:pPr>
      <w:r w:rsidRPr="00576AF8">
        <w:t>En esta sección se presentan procedimientos y formularios tipo para efectuar cambios en el Sistema durante la ejecución del Contrato de conformidad con la cláusula 39 de las CGC (“Cambios en el Sistema”).</w:t>
      </w:r>
    </w:p>
    <w:p w14:paraId="79C891CE" w14:textId="77777777" w:rsidR="00A20832" w:rsidRPr="00576AF8" w:rsidRDefault="00A20832" w:rsidP="00A20832">
      <w:pPr>
        <w:spacing w:before="120"/>
        <w:ind w:left="547" w:hanging="547"/>
        <w:rPr>
          <w:b/>
        </w:rPr>
      </w:pPr>
      <w:r w:rsidRPr="00576AF8">
        <w:rPr>
          <w:b/>
        </w:rPr>
        <w:t>Registro de las órdenes de cambio</w:t>
      </w:r>
    </w:p>
    <w:p w14:paraId="1E8E91BC" w14:textId="77777777" w:rsidR="00A20832" w:rsidRPr="00576AF8" w:rsidRDefault="00A20832" w:rsidP="00A20832">
      <w:pPr>
        <w:ind w:left="540"/>
      </w:pPr>
      <w:r w:rsidRPr="00576AF8">
        <w:t>El Proveedor mantendrá un registro actualizado de las órdenes de cambio, en el cual indicará tanto la situación actual de las solicitudes de cambio como las órdenes de cambio autorizadas o pendientes. Se anotará en el registro de las órdenes de cambio toda modificación que se produzca, de modo que el registro esté actualizado en todo momento. El Proveedor adjuntará al informe mensual sobre la marcha de los trabajos que presente al Comprador una copia del registro de órdenes de cambio actualizado.</w:t>
      </w:r>
    </w:p>
    <w:p w14:paraId="5E79A38D" w14:textId="77777777" w:rsidR="00A20832" w:rsidRPr="00576AF8" w:rsidRDefault="00A20832" w:rsidP="00A20832">
      <w:pPr>
        <w:spacing w:before="120"/>
        <w:ind w:left="547" w:hanging="547"/>
        <w:rPr>
          <w:b/>
        </w:rPr>
      </w:pPr>
      <w:r w:rsidRPr="00576AF8">
        <w:rPr>
          <w:b/>
        </w:rPr>
        <w:t xml:space="preserve">Referencias a los cambios </w:t>
      </w:r>
    </w:p>
    <w:p w14:paraId="7B843248" w14:textId="77777777" w:rsidR="00A20832" w:rsidRPr="00576AF8" w:rsidRDefault="00D9432B" w:rsidP="00A20832">
      <w:pPr>
        <w:spacing w:after="40"/>
        <w:ind w:left="1094" w:hanging="547"/>
      </w:pPr>
      <w:r w:rsidRPr="00576AF8">
        <w:t>(</w:t>
      </w:r>
      <w:r w:rsidR="00A20832" w:rsidRPr="00576AF8">
        <w:t xml:space="preserve">1) </w:t>
      </w:r>
      <w:r w:rsidR="00F80CB9" w:rsidRPr="00576AF8">
        <w:tab/>
      </w:r>
      <w:r w:rsidR="00A20832" w:rsidRPr="00576AF8">
        <w:t>Los pedidos de presentación de propuesta de cambio (incluida la solicitud para presentar una propuesta de cambio) llevarán los números de serie CR-nnn.</w:t>
      </w:r>
    </w:p>
    <w:p w14:paraId="198A0119" w14:textId="77777777" w:rsidR="00A20832" w:rsidRPr="00576AF8" w:rsidRDefault="00D9432B" w:rsidP="00A20832">
      <w:pPr>
        <w:spacing w:after="40"/>
        <w:ind w:left="1094" w:hanging="547"/>
      </w:pPr>
      <w:r w:rsidRPr="00576AF8">
        <w:t>(</w:t>
      </w:r>
      <w:r w:rsidR="00A20832" w:rsidRPr="00576AF8">
        <w:t xml:space="preserve">2) </w:t>
      </w:r>
      <w:r w:rsidR="00F80CB9" w:rsidRPr="00576AF8">
        <w:tab/>
      </w:r>
      <w:r w:rsidR="00A20832" w:rsidRPr="00576AF8">
        <w:t xml:space="preserve">Las estimaciones de las propuestas de cambio llevarán los números de serie CN-nnn. </w:t>
      </w:r>
    </w:p>
    <w:p w14:paraId="5E58E92F" w14:textId="77777777" w:rsidR="00A20832" w:rsidRPr="00576AF8" w:rsidRDefault="00D9432B" w:rsidP="00A20832">
      <w:pPr>
        <w:spacing w:after="40"/>
        <w:ind w:left="1094" w:hanging="547"/>
      </w:pPr>
      <w:r w:rsidRPr="00576AF8">
        <w:t>(</w:t>
      </w:r>
      <w:r w:rsidR="00A20832" w:rsidRPr="00576AF8">
        <w:t xml:space="preserve">3) </w:t>
      </w:r>
      <w:r w:rsidR="00F80CB9" w:rsidRPr="00576AF8">
        <w:tab/>
      </w:r>
      <w:r w:rsidR="00A20832" w:rsidRPr="00576AF8">
        <w:t>Las aceptaciones de la estimación llevarán los números de serie CA-nnn.</w:t>
      </w:r>
    </w:p>
    <w:p w14:paraId="13F68665" w14:textId="77777777" w:rsidR="00A20832" w:rsidRPr="00576AF8" w:rsidRDefault="00D9432B" w:rsidP="00A20832">
      <w:pPr>
        <w:spacing w:after="40"/>
        <w:ind w:left="1094" w:hanging="547"/>
      </w:pPr>
      <w:r w:rsidRPr="00576AF8">
        <w:t>(</w:t>
      </w:r>
      <w:r w:rsidR="00A20832" w:rsidRPr="00576AF8">
        <w:t xml:space="preserve">4) </w:t>
      </w:r>
      <w:r w:rsidR="00F80CB9" w:rsidRPr="00576AF8">
        <w:tab/>
      </w:r>
      <w:r w:rsidR="00A20832" w:rsidRPr="00576AF8">
        <w:t>Las estimaciones de las propuestas de cambio llevarán los números de serie CP-nnn.</w:t>
      </w:r>
    </w:p>
    <w:p w14:paraId="738E8DC1" w14:textId="77777777" w:rsidR="00A20832" w:rsidRPr="00576AF8" w:rsidRDefault="00D9432B" w:rsidP="00A20832">
      <w:pPr>
        <w:ind w:left="1094" w:hanging="547"/>
      </w:pPr>
      <w:r w:rsidRPr="00576AF8">
        <w:t>(</w:t>
      </w:r>
      <w:r w:rsidR="00A20832" w:rsidRPr="00576AF8">
        <w:t xml:space="preserve">5) </w:t>
      </w:r>
      <w:r w:rsidR="00F80CB9" w:rsidRPr="00576AF8">
        <w:tab/>
      </w:r>
      <w:r w:rsidR="00A20832" w:rsidRPr="00576AF8">
        <w:t>Las órdenes de cambio llevarán los números de serie CO-nnn.</w:t>
      </w:r>
    </w:p>
    <w:p w14:paraId="3EE126BD" w14:textId="77777777" w:rsidR="00A20832" w:rsidRPr="00576AF8" w:rsidRDefault="00A20832" w:rsidP="00A20832">
      <w:pPr>
        <w:tabs>
          <w:tab w:val="left" w:pos="1260"/>
        </w:tabs>
        <w:ind w:left="1800" w:hanging="1260"/>
      </w:pPr>
      <w:r w:rsidRPr="00576AF8">
        <w:t xml:space="preserve">En todos los formularios, la numeración estará determinada por la CR-nnn original. </w:t>
      </w:r>
    </w:p>
    <w:p w14:paraId="5E9803CA" w14:textId="77777777" w:rsidR="00A20832" w:rsidRPr="00576AF8" w:rsidRDefault="00A20832" w:rsidP="00A20832">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ind w:left="547" w:hanging="547"/>
        <w:rPr>
          <w:b/>
        </w:rPr>
      </w:pPr>
      <w:r w:rsidRPr="00576AF8">
        <w:rPr>
          <w:b/>
        </w:rPr>
        <w:t>Anexos</w:t>
      </w:r>
    </w:p>
    <w:p w14:paraId="08D64224" w14:textId="77777777" w:rsidR="00A20832" w:rsidRPr="00576AF8" w:rsidRDefault="00A20832" w:rsidP="00A20832">
      <w:pPr>
        <w:spacing w:after="40"/>
        <w:ind w:left="720" w:hanging="720"/>
      </w:pPr>
      <w:r w:rsidRPr="00576AF8">
        <w:t>4.1</w:t>
      </w:r>
      <w:r w:rsidRPr="00576AF8">
        <w:tab/>
        <w:t>Formulario de pedido de presentación de propuesta de cambio</w:t>
      </w:r>
    </w:p>
    <w:p w14:paraId="1EB405D2" w14:textId="77777777" w:rsidR="00A20832" w:rsidRPr="00576AF8" w:rsidRDefault="00A20832" w:rsidP="00A20832">
      <w:pPr>
        <w:spacing w:after="40"/>
        <w:ind w:left="720" w:hanging="720"/>
      </w:pPr>
      <w:r w:rsidRPr="00576AF8">
        <w:t>4.2</w:t>
      </w:r>
      <w:r w:rsidRPr="00576AF8">
        <w:tab/>
        <w:t>Formulario de estimación de la propuesta de cambio</w:t>
      </w:r>
    </w:p>
    <w:p w14:paraId="7B4FF93D" w14:textId="77777777" w:rsidR="00A20832" w:rsidRPr="00576AF8" w:rsidRDefault="00A20832" w:rsidP="00A20832">
      <w:pPr>
        <w:spacing w:after="40"/>
        <w:ind w:left="720" w:hanging="720"/>
      </w:pPr>
      <w:r w:rsidRPr="00576AF8">
        <w:t>4.3</w:t>
      </w:r>
      <w:r w:rsidRPr="00576AF8">
        <w:tab/>
        <w:t>Formulario de aceptación de la estimación</w:t>
      </w:r>
    </w:p>
    <w:p w14:paraId="4619A2F4" w14:textId="77777777" w:rsidR="00A20832" w:rsidRPr="00576AF8" w:rsidRDefault="00A20832" w:rsidP="00A20832">
      <w:pPr>
        <w:spacing w:after="40"/>
        <w:ind w:left="720" w:hanging="720"/>
      </w:pPr>
      <w:r w:rsidRPr="00576AF8">
        <w:t>4.4</w:t>
      </w:r>
      <w:r w:rsidRPr="00576AF8">
        <w:tab/>
        <w:t>Formulario de propuesta de cambio</w:t>
      </w:r>
    </w:p>
    <w:p w14:paraId="608D45FA" w14:textId="77777777" w:rsidR="00A20832" w:rsidRPr="00576AF8" w:rsidRDefault="00A20832" w:rsidP="00A20832">
      <w:pPr>
        <w:spacing w:after="40"/>
        <w:ind w:left="720" w:hanging="720"/>
      </w:pPr>
      <w:r w:rsidRPr="00576AF8">
        <w:t>4.5</w:t>
      </w:r>
      <w:r w:rsidRPr="00576AF8">
        <w:tab/>
        <w:t>Formulario de orden de cambio</w:t>
      </w:r>
    </w:p>
    <w:p w14:paraId="26C271C5" w14:textId="77777777" w:rsidR="00A20832" w:rsidRPr="00576AF8" w:rsidRDefault="00A20832" w:rsidP="00A20832">
      <w:pPr>
        <w:spacing w:after="40"/>
        <w:ind w:left="720" w:hanging="720"/>
      </w:pPr>
      <w:r w:rsidRPr="00576AF8">
        <w:t>4.6</w:t>
      </w:r>
      <w:r w:rsidRPr="00576AF8">
        <w:tab/>
        <w:t>Formulario de solicitud para presentar una propuesta de cambio</w:t>
      </w:r>
    </w:p>
    <w:p w14:paraId="0C936644" w14:textId="77777777" w:rsidR="00A44EB2" w:rsidRPr="00576AF8" w:rsidRDefault="00A20832" w:rsidP="00506FFF">
      <w:pPr>
        <w:pStyle w:val="Head82"/>
        <w:spacing w:after="100"/>
      </w:pPr>
      <w:r w:rsidRPr="00576AF8">
        <w:br w:type="page"/>
      </w:r>
      <w:bookmarkStart w:id="1815" w:name="_Toc448739678"/>
      <w:bookmarkStart w:id="1816" w:name="_Toc479249665"/>
      <w:bookmarkStart w:id="1817" w:name="_Toc483587949"/>
      <w:bookmarkStart w:id="1818" w:name="_Toc488965471"/>
      <w:r w:rsidRPr="00576AF8">
        <w:lastRenderedPageBreak/>
        <w:t>4.1</w:t>
      </w:r>
      <w:r w:rsidRPr="00576AF8">
        <w:tab/>
        <w:t xml:space="preserve">Formulario de pedido de presentación </w:t>
      </w:r>
      <w:r w:rsidR="00151D19" w:rsidRPr="00576AF8">
        <w:br/>
      </w:r>
      <w:r w:rsidRPr="00576AF8">
        <w:t>de propuesta de cambio</w:t>
      </w:r>
      <w:bookmarkEnd w:id="1815"/>
      <w:bookmarkEnd w:id="1816"/>
      <w:bookmarkEnd w:id="1817"/>
      <w:bookmarkEnd w:id="1818"/>
    </w:p>
    <w:p w14:paraId="0DC6EE10" w14:textId="77777777" w:rsidR="00A44EB2" w:rsidRPr="00576AF8" w:rsidRDefault="00A20832" w:rsidP="008762EF">
      <w:pPr>
        <w:spacing w:after="480"/>
        <w:jc w:val="center"/>
      </w:pPr>
      <w:r w:rsidRPr="00576AF8">
        <w:t>(Membrete del Comprador)</w:t>
      </w:r>
    </w:p>
    <w:p w14:paraId="23A7877F" w14:textId="77777777" w:rsidR="00A44EB2" w:rsidRPr="00576AF8" w:rsidRDefault="00A20832" w:rsidP="00506FFF">
      <w:pPr>
        <w:tabs>
          <w:tab w:val="right" w:pos="3780"/>
          <w:tab w:val="left" w:pos="3960"/>
          <w:tab w:val="left" w:pos="9000"/>
        </w:tabs>
        <w:spacing w:after="100"/>
      </w:pPr>
      <w:r w:rsidRPr="00576AF8">
        <w:tab/>
        <w:t>Fecha:</w:t>
      </w:r>
      <w:r w:rsidRPr="00576AF8">
        <w:tab/>
      </w:r>
      <w:r w:rsidRPr="00576AF8">
        <w:rPr>
          <w:rStyle w:val="preparersnote"/>
        </w:rPr>
        <w:t>[indique la fecha]</w:t>
      </w:r>
      <w:r w:rsidRPr="00576AF8">
        <w:rPr>
          <w:rStyle w:val="preparersnote"/>
          <w:b w:val="0"/>
        </w:rPr>
        <w:t>.</w:t>
      </w:r>
    </w:p>
    <w:p w14:paraId="6D05E901" w14:textId="77777777" w:rsidR="00A44EB2" w:rsidRPr="00576AF8" w:rsidRDefault="00A20832" w:rsidP="00506FFF">
      <w:pPr>
        <w:tabs>
          <w:tab w:val="right" w:pos="3780"/>
          <w:tab w:val="left" w:pos="3960"/>
          <w:tab w:val="left" w:pos="9000"/>
        </w:tabs>
        <w:spacing w:after="100"/>
        <w:ind w:left="3969" w:hanging="3969"/>
      </w:pPr>
      <w:r w:rsidRPr="00576AF8">
        <w:tab/>
        <w:t xml:space="preserve">Número de </w:t>
      </w:r>
      <w:r w:rsidR="00C63A4A" w:rsidRPr="00576AF8">
        <w:t>p</w:t>
      </w:r>
      <w:r w:rsidRPr="00576AF8">
        <w:t xml:space="preserve">réstamo o </w:t>
      </w:r>
      <w:r w:rsidR="00C63A4A"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16C8AB59" w14:textId="77777777" w:rsidR="00A44EB2" w:rsidRPr="00576AF8" w:rsidRDefault="00A20832" w:rsidP="00506FFF">
      <w:pPr>
        <w:tabs>
          <w:tab w:val="right" w:pos="3780"/>
          <w:tab w:val="left" w:pos="3960"/>
          <w:tab w:val="left" w:pos="9000"/>
        </w:tabs>
        <w:spacing w:after="100"/>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2B624309" w14:textId="77777777" w:rsidR="00A44EB2" w:rsidRPr="00576AF8" w:rsidRDefault="00A20832" w:rsidP="008762EF">
      <w:pPr>
        <w:tabs>
          <w:tab w:val="right" w:pos="3780"/>
          <w:tab w:val="left" w:pos="3960"/>
          <w:tab w:val="left" w:pos="9000"/>
        </w:tabs>
        <w:spacing w:after="480"/>
        <w:ind w:left="3960" w:hanging="3960"/>
        <w:rPr>
          <w:b/>
        </w:rPr>
      </w:pPr>
      <w:r w:rsidRPr="00576AF8">
        <w:tab/>
        <w:t>Contrato:</w:t>
      </w:r>
      <w:r w:rsidRPr="00576AF8">
        <w:tab/>
      </w:r>
      <w:r w:rsidRPr="00576AF8">
        <w:rPr>
          <w:rStyle w:val="preparersnote"/>
        </w:rPr>
        <w:t>[indique el nombre del Sistema o Subsistema, o el número del Contrato]</w:t>
      </w:r>
      <w:r w:rsidRPr="00576AF8">
        <w:rPr>
          <w:rStyle w:val="preparersnote"/>
          <w:b w:val="0"/>
        </w:rPr>
        <w:t>.</w:t>
      </w:r>
    </w:p>
    <w:p w14:paraId="73B2719B" w14:textId="77777777" w:rsidR="00A44EB2" w:rsidRPr="00576AF8" w:rsidRDefault="00A20832" w:rsidP="007D0CE0">
      <w:pPr>
        <w:tabs>
          <w:tab w:val="left" w:pos="6480"/>
          <w:tab w:val="left" w:pos="9000"/>
        </w:tabs>
      </w:pPr>
      <w:r w:rsidRPr="00576AF8">
        <w:t xml:space="preserve">Para: </w:t>
      </w:r>
      <w:r w:rsidRPr="00576AF8">
        <w:rPr>
          <w:rStyle w:val="preparersnote"/>
        </w:rPr>
        <w:t>[indique el nombre y la dirección del Proveedor]</w:t>
      </w:r>
      <w:r w:rsidRPr="00576AF8">
        <w:rPr>
          <w:rStyle w:val="preparersnote"/>
          <w:b w:val="0"/>
        </w:rPr>
        <w:t>.</w:t>
      </w:r>
    </w:p>
    <w:p w14:paraId="1FBD3023" w14:textId="77777777" w:rsidR="00A44EB2" w:rsidRPr="00576AF8" w:rsidRDefault="00A20832" w:rsidP="007D0CE0">
      <w:pPr>
        <w:spacing w:after="400"/>
      </w:pPr>
      <w:r w:rsidRPr="00576AF8">
        <w:t xml:space="preserve">Atención: </w:t>
      </w:r>
      <w:r w:rsidRPr="00576AF8">
        <w:rPr>
          <w:rStyle w:val="preparersnote"/>
        </w:rPr>
        <w:t>[indique nombre y cargo]</w:t>
      </w:r>
      <w:r w:rsidRPr="00576AF8">
        <w:rPr>
          <w:rStyle w:val="preparersnote"/>
          <w:b w:val="0"/>
        </w:rPr>
        <w:t>.</w:t>
      </w:r>
    </w:p>
    <w:p w14:paraId="37EC66B0" w14:textId="77777777" w:rsidR="00A44EB2" w:rsidRPr="00576AF8" w:rsidRDefault="00A20832" w:rsidP="007D0CE0">
      <w:pPr>
        <w:spacing w:after="400"/>
      </w:pPr>
      <w:r w:rsidRPr="00576AF8">
        <w:t>De mi consideración:</w:t>
      </w:r>
    </w:p>
    <w:p w14:paraId="032C3BB8" w14:textId="77777777" w:rsidR="00A44EB2" w:rsidRPr="00576AF8" w:rsidRDefault="00A20832" w:rsidP="007D0CE0">
      <w:pPr>
        <w:spacing w:after="400"/>
      </w:pPr>
      <w:r w:rsidRPr="00576AF8">
        <w:tab/>
        <w:t xml:space="preserve">Con respecto al Contrato de la referencia, por la presente les solicitamos que preparen y nos presenten una propuesta de cambio para la modificación que indicamos a continuación, de acuerdo con las siguientes instrucciones y dentro de un plazo de </w:t>
      </w:r>
      <w:r w:rsidRPr="00576AF8">
        <w:rPr>
          <w:b/>
          <w:bCs/>
          <w:i/>
        </w:rPr>
        <w:t xml:space="preserve">[indique </w:t>
      </w:r>
      <w:r w:rsidRPr="00576AF8">
        <w:rPr>
          <w:b/>
          <w:i/>
        </w:rPr>
        <w:t>la cantidad</w:t>
      </w:r>
      <w:r w:rsidRPr="00576AF8">
        <w:rPr>
          <w:i/>
        </w:rPr>
        <w:t>]</w:t>
      </w:r>
      <w:r w:rsidRPr="00576AF8">
        <w:t xml:space="preserve"> días a partir de la fecha de esta carta.</w:t>
      </w:r>
    </w:p>
    <w:p w14:paraId="52FBA3C9" w14:textId="77777777" w:rsidR="00A44EB2" w:rsidRPr="00576AF8" w:rsidRDefault="00A20832" w:rsidP="007D0CE0">
      <w:pPr>
        <w:spacing w:after="400"/>
        <w:ind w:left="540" w:hanging="540"/>
      </w:pPr>
      <w:r w:rsidRPr="00576AF8">
        <w:t>1.</w:t>
      </w:r>
      <w:r w:rsidRPr="00576AF8">
        <w:tab/>
        <w:t xml:space="preserve">Título del cambio: </w:t>
      </w:r>
      <w:r w:rsidRPr="00576AF8">
        <w:rPr>
          <w:rStyle w:val="preparersnote"/>
        </w:rPr>
        <w:t>[indique el título]</w:t>
      </w:r>
      <w:r w:rsidRPr="00576AF8">
        <w:rPr>
          <w:rStyle w:val="preparersnote"/>
          <w:b w:val="0"/>
        </w:rPr>
        <w:t>.</w:t>
      </w:r>
    </w:p>
    <w:p w14:paraId="1AC73ABA" w14:textId="77777777" w:rsidR="00A44EB2" w:rsidRPr="00576AF8" w:rsidRDefault="00A20832" w:rsidP="007D0CE0">
      <w:pPr>
        <w:spacing w:after="400"/>
        <w:ind w:left="540" w:hanging="540"/>
      </w:pPr>
      <w:r w:rsidRPr="00576AF8">
        <w:t>2.</w:t>
      </w:r>
      <w:r w:rsidRPr="00576AF8">
        <w:tab/>
        <w:t xml:space="preserve">Pedido de presentación de propuesta de cambio n.º/Rev.: </w:t>
      </w:r>
      <w:r w:rsidRPr="00576AF8">
        <w:rPr>
          <w:rStyle w:val="preparersnote"/>
        </w:rPr>
        <w:t>[indique el número]</w:t>
      </w:r>
      <w:r w:rsidRPr="00576AF8">
        <w:rPr>
          <w:rStyle w:val="preparersnote"/>
          <w:b w:val="0"/>
        </w:rPr>
        <w:t>.</w:t>
      </w:r>
    </w:p>
    <w:p w14:paraId="6824C0D8" w14:textId="77777777" w:rsidR="00A44EB2" w:rsidRPr="00576AF8" w:rsidRDefault="00A20832" w:rsidP="007D0CE0">
      <w:pPr>
        <w:spacing w:after="400"/>
        <w:ind w:left="540" w:hanging="540"/>
        <w:rPr>
          <w:spacing w:val="-2"/>
        </w:rPr>
      </w:pPr>
      <w:r w:rsidRPr="00576AF8">
        <w:rPr>
          <w:spacing w:val="-2"/>
        </w:rPr>
        <w:t>3.</w:t>
      </w:r>
      <w:r w:rsidRPr="00576AF8">
        <w:rPr>
          <w:spacing w:val="-2"/>
        </w:rPr>
        <w:tab/>
        <w:t xml:space="preserve">Cambio solicitado por: </w:t>
      </w:r>
      <w:r w:rsidRPr="00576AF8">
        <w:rPr>
          <w:rStyle w:val="preparersnote"/>
          <w:spacing w:val="-2"/>
        </w:rPr>
        <w:t xml:space="preserve">[seleccione “el Comprador/el Proveedor” (mediante la solicitud para presentar una propuesta de cambio), y agregue el nombre de quien solicitó el cambio]. </w:t>
      </w:r>
    </w:p>
    <w:p w14:paraId="6506FF0D" w14:textId="77777777" w:rsidR="00A44EB2" w:rsidRPr="00576AF8" w:rsidRDefault="00A20832" w:rsidP="007D0CE0">
      <w:pPr>
        <w:spacing w:after="400"/>
        <w:ind w:left="540" w:hanging="540"/>
      </w:pPr>
      <w:r w:rsidRPr="00576AF8">
        <w:t>4.</w:t>
      </w:r>
      <w:r w:rsidRPr="00576AF8">
        <w:tab/>
        <w:t xml:space="preserve">Breve descripción del cambio: </w:t>
      </w:r>
      <w:r w:rsidRPr="00576AF8">
        <w:rPr>
          <w:rStyle w:val="preparersnote"/>
        </w:rPr>
        <w:t>[incluya la descripción]</w:t>
      </w:r>
      <w:r w:rsidRPr="00576AF8">
        <w:rPr>
          <w:rStyle w:val="preparersnote"/>
          <w:b w:val="0"/>
        </w:rPr>
        <w:t>.</w:t>
      </w:r>
    </w:p>
    <w:p w14:paraId="587374BB" w14:textId="77777777" w:rsidR="00A44EB2" w:rsidRPr="00576AF8" w:rsidRDefault="00A20832" w:rsidP="007D0CE0">
      <w:pPr>
        <w:spacing w:after="400"/>
        <w:ind w:left="540" w:hanging="540"/>
      </w:pPr>
      <w:r w:rsidRPr="00576AF8">
        <w:t>5.</w:t>
      </w:r>
      <w:r w:rsidRPr="00576AF8">
        <w:tab/>
        <w:t xml:space="preserve">Sistema (o Subsistema o componente principal afectado por el cambio requerido): </w:t>
      </w:r>
      <w:r w:rsidRPr="00576AF8">
        <w:rPr>
          <w:rStyle w:val="preparersnote"/>
        </w:rPr>
        <w:t>[incluya la descripción]</w:t>
      </w:r>
      <w:r w:rsidRPr="00576AF8">
        <w:rPr>
          <w:rStyle w:val="preparersnote"/>
          <w:b w:val="0"/>
        </w:rPr>
        <w:t>.</w:t>
      </w:r>
    </w:p>
    <w:p w14:paraId="6052100F" w14:textId="77777777" w:rsidR="00A44EB2" w:rsidRPr="00576AF8" w:rsidRDefault="00A20832" w:rsidP="007D0CE0">
      <w:pPr>
        <w:spacing w:after="400"/>
        <w:ind w:left="540" w:hanging="540"/>
      </w:pPr>
      <w:r w:rsidRPr="00576AF8">
        <w:t>6.</w:t>
      </w:r>
      <w:r w:rsidRPr="00576AF8">
        <w:tab/>
        <w:t>Planos o documentos técnicos para el cambio pedido:</w:t>
      </w:r>
    </w:p>
    <w:p w14:paraId="473EFF64" w14:textId="77777777" w:rsidR="00A44EB2" w:rsidRPr="00576AF8" w:rsidRDefault="00A20832" w:rsidP="007D0CE0">
      <w:pPr>
        <w:tabs>
          <w:tab w:val="left" w:pos="4320"/>
        </w:tabs>
        <w:spacing w:after="400"/>
        <w:ind w:left="540"/>
      </w:pPr>
      <w:r w:rsidRPr="00576AF8">
        <w:t>Documento o plano n.º</w:t>
      </w:r>
      <w:r w:rsidRPr="00576AF8">
        <w:tab/>
        <w:t>Descripción</w:t>
      </w:r>
    </w:p>
    <w:p w14:paraId="56D88767" w14:textId="77777777" w:rsidR="00A44EB2" w:rsidRPr="00576AF8" w:rsidRDefault="00A20832" w:rsidP="007D0CE0">
      <w:pPr>
        <w:pageBreakBefore/>
        <w:spacing w:after="400"/>
        <w:ind w:left="539" w:hanging="539"/>
      </w:pPr>
      <w:r w:rsidRPr="00576AF8">
        <w:lastRenderedPageBreak/>
        <w:t>7.</w:t>
      </w:r>
      <w:r w:rsidRPr="00576AF8">
        <w:tab/>
        <w:t xml:space="preserve">Condiciones detalladas o requisitos especiales del cambio pedido </w:t>
      </w:r>
      <w:r w:rsidRPr="00576AF8">
        <w:rPr>
          <w:rStyle w:val="preparersnote"/>
        </w:rPr>
        <w:t>[incluya la descripción]</w:t>
      </w:r>
      <w:r w:rsidRPr="00576AF8">
        <w:rPr>
          <w:rStyle w:val="preparersnote"/>
          <w:b w:val="0"/>
        </w:rPr>
        <w:t>.</w:t>
      </w:r>
    </w:p>
    <w:p w14:paraId="4BCF5FB8" w14:textId="77777777" w:rsidR="00A44EB2" w:rsidRPr="00576AF8" w:rsidRDefault="00A20832" w:rsidP="007D0CE0">
      <w:pPr>
        <w:ind w:left="540" w:hanging="540"/>
      </w:pPr>
      <w:r w:rsidRPr="00576AF8">
        <w:t>8.</w:t>
      </w:r>
      <w:r w:rsidRPr="00576AF8">
        <w:tab/>
        <w:t>Procedimientos:</w:t>
      </w:r>
    </w:p>
    <w:p w14:paraId="6D9805DC" w14:textId="77777777" w:rsidR="00A44EB2" w:rsidRPr="00576AF8" w:rsidRDefault="00D9432B" w:rsidP="007D0CE0">
      <w:pPr>
        <w:ind w:left="1080" w:hanging="540"/>
      </w:pPr>
      <w:r w:rsidRPr="00576AF8">
        <w:t>(</w:t>
      </w:r>
      <w:r w:rsidR="00A20832" w:rsidRPr="00576AF8">
        <w:t>a)</w:t>
      </w:r>
      <w:r w:rsidR="00A20832" w:rsidRPr="00576AF8">
        <w:tab/>
        <w:t>Su propuesta de cambio deberá reflejar el efecto que tendrá el cambio pedido en el precio del Contrato.</w:t>
      </w:r>
    </w:p>
    <w:p w14:paraId="7C25B7F6" w14:textId="77777777" w:rsidR="00A44EB2" w:rsidRPr="00576AF8" w:rsidRDefault="00D9432B" w:rsidP="007D0CE0">
      <w:pPr>
        <w:ind w:left="1080" w:hanging="540"/>
      </w:pPr>
      <w:r w:rsidRPr="00576AF8">
        <w:t>(</w:t>
      </w:r>
      <w:r w:rsidR="00A20832" w:rsidRPr="00576AF8">
        <w:t>b)</w:t>
      </w:r>
      <w:r w:rsidR="00A20832" w:rsidRPr="00576AF8">
        <w:tab/>
        <w:t xml:space="preserve">En su propuesta de cambio se deberá indicar el tiempo que se necesitará para efectuar dicha modificación y la incidencia que tendrá en la fecha de aceptación operativa del Sistema completo acordada en el Contrato. </w:t>
      </w:r>
    </w:p>
    <w:p w14:paraId="4E0F6010" w14:textId="77777777" w:rsidR="00A44EB2" w:rsidRPr="00576AF8" w:rsidRDefault="00D9432B" w:rsidP="007D0CE0">
      <w:pPr>
        <w:ind w:left="1080" w:hanging="540"/>
      </w:pPr>
      <w:r w:rsidRPr="00576AF8">
        <w:t>(</w:t>
      </w:r>
      <w:r w:rsidR="00A20832" w:rsidRPr="00576AF8">
        <w:t>c)</w:t>
      </w:r>
      <w:r w:rsidR="00A20832" w:rsidRPr="00576AF8">
        <w:tab/>
        <w:t>Si</w:t>
      </w:r>
      <w:r w:rsidR="00F80CB9" w:rsidRPr="00576AF8">
        <w:t>,</w:t>
      </w:r>
      <w:r w:rsidR="00A20832" w:rsidRPr="00576AF8">
        <w:t xml:space="preserve"> en su opinión</w:t>
      </w:r>
      <w:r w:rsidR="00F80CB9" w:rsidRPr="00576AF8">
        <w:t>,</w:t>
      </w:r>
      <w:r w:rsidR="00A20832" w:rsidRPr="00576AF8">
        <w:t xml:space="preserve"> el cambio pedido tendrá un efecto negativo en la calidad, </w:t>
      </w:r>
      <w:r w:rsidR="00682368" w:rsidRPr="00576AF8">
        <w:t>operatividad</w:t>
      </w:r>
      <w:r w:rsidR="00A20832" w:rsidRPr="00576AF8">
        <w:t xml:space="preserve"> o integridad del Sistema, les rogamos suministrar una explicación detallada y señalar otros métodos con los que se podrían lograr los mismos resultados que con el </w:t>
      </w:r>
      <w:r w:rsidRPr="00576AF8">
        <w:br/>
      </w:r>
      <w:r w:rsidR="00A20832" w:rsidRPr="00576AF8">
        <w:t xml:space="preserve">cambio solicitado. </w:t>
      </w:r>
    </w:p>
    <w:p w14:paraId="3EE51DDB" w14:textId="77777777" w:rsidR="00A44EB2" w:rsidRPr="00576AF8" w:rsidRDefault="00D9432B" w:rsidP="007D0CE0">
      <w:pPr>
        <w:ind w:left="1080" w:hanging="540"/>
      </w:pPr>
      <w:r w:rsidRPr="00576AF8">
        <w:t>(</w:t>
      </w:r>
      <w:r w:rsidR="00A20832" w:rsidRPr="00576AF8">
        <w:t>d)</w:t>
      </w:r>
      <w:r w:rsidR="00A20832" w:rsidRPr="00576AF8">
        <w:tab/>
        <w:t xml:space="preserve">También se deberá indicar qué consecuencias tendrá el cambio respecto de la cantidad y el tipo de personal necesario para que el Proveedor pueda ejecutar el Contrato. </w:t>
      </w:r>
    </w:p>
    <w:p w14:paraId="76B71E71" w14:textId="77777777" w:rsidR="00A44EB2" w:rsidRPr="00576AF8" w:rsidRDefault="00D9432B" w:rsidP="007D0CE0">
      <w:pPr>
        <w:spacing w:after="400"/>
        <w:ind w:left="1080" w:hanging="540"/>
      </w:pPr>
      <w:r w:rsidRPr="00576AF8">
        <w:t>(</w:t>
      </w:r>
      <w:r w:rsidR="00A20832" w:rsidRPr="00576AF8">
        <w:t>e)</w:t>
      </w:r>
      <w:r w:rsidR="00A20832" w:rsidRPr="00576AF8">
        <w:tab/>
        <w:t>No deberán iniciar los trabajos asociados al cambio pedido mientras no hayan recibido ustedes nuestra aceptación y confirmación por escrito del impacto que dichos trabajos tendrán en el precio del Contrato y en el programa de ejecución.</w:t>
      </w:r>
    </w:p>
    <w:p w14:paraId="6A17C49E" w14:textId="77777777" w:rsidR="00A44EB2" w:rsidRPr="00576AF8" w:rsidRDefault="00A20832" w:rsidP="007D0CE0">
      <w:pPr>
        <w:spacing w:after="400"/>
        <w:ind w:left="540" w:hanging="540"/>
      </w:pPr>
      <w:r w:rsidRPr="00576AF8">
        <w:t>9.</w:t>
      </w:r>
      <w:r w:rsidRPr="00576AF8">
        <w:tab/>
        <w:t xml:space="preserve">Como próximo paso, sírvanse responder utilizando el formulario de estimación de la propuesta de cambio e indicar allí cuánto les costará elaborar una propuesta de cambio concreta en la que se describa el enfoque propuesto para llevar adelante dicha modificación, así como todos sus elementos, y en la que también se aborden los puntos del párrafo 8 precedente, conforme a la cláusula 39.2.1 de las CGC. En su estimación de la propuesta de cambio se deberá incluir una primera aproximación al enfoque sugerido y las consecuencias que tendrá el cambio en el </w:t>
      </w:r>
      <w:r w:rsidR="00F80CB9" w:rsidRPr="00576AF8">
        <w:t xml:space="preserve">cronograma </w:t>
      </w:r>
      <w:r w:rsidRPr="00576AF8">
        <w:t xml:space="preserve">y los costos. </w:t>
      </w:r>
    </w:p>
    <w:p w14:paraId="2CDECD12" w14:textId="77777777" w:rsidR="00A44EB2" w:rsidRPr="00576AF8" w:rsidRDefault="00A20832" w:rsidP="007D0CE0">
      <w:pPr>
        <w:spacing w:after="400"/>
      </w:pPr>
      <w:r w:rsidRPr="00576AF8">
        <w:t>En representación del Comprador:</w:t>
      </w:r>
    </w:p>
    <w:p w14:paraId="7A6E060D" w14:textId="77777777" w:rsidR="00A44EB2" w:rsidRPr="00576AF8" w:rsidRDefault="00D223D3" w:rsidP="00506FFF">
      <w:pPr>
        <w:tabs>
          <w:tab w:val="right" w:pos="900"/>
          <w:tab w:val="left" w:pos="7200"/>
        </w:tabs>
        <w:spacing w:after="100"/>
      </w:pPr>
      <w:r w:rsidRPr="00576AF8">
        <w:t>Firma:</w:t>
      </w:r>
    </w:p>
    <w:p w14:paraId="69EB0ABE" w14:textId="77777777" w:rsidR="00A44EB2" w:rsidRPr="00576AF8" w:rsidRDefault="00D223D3" w:rsidP="00506FFF">
      <w:pPr>
        <w:tabs>
          <w:tab w:val="right" w:pos="4320"/>
        </w:tabs>
        <w:spacing w:after="100"/>
      </w:pPr>
      <w:r w:rsidRPr="00576AF8">
        <w:t xml:space="preserve">Fecha: </w:t>
      </w:r>
    </w:p>
    <w:p w14:paraId="79081C1F" w14:textId="77777777" w:rsidR="00A44EB2" w:rsidRPr="00576AF8" w:rsidRDefault="00A20832" w:rsidP="00506FFF">
      <w:pPr>
        <w:spacing w:after="100"/>
      </w:pPr>
      <w:r w:rsidRPr="00576AF8">
        <w:t xml:space="preserve">En calidad de: </w:t>
      </w:r>
      <w:r w:rsidRPr="00576AF8">
        <w:rPr>
          <w:rStyle w:val="preparersnote"/>
        </w:rPr>
        <w:t>[indique “gerente de Proyecto” u otra autoridad de mayor jerarquía en la organización del Comprador]</w:t>
      </w:r>
      <w:r w:rsidRPr="00576AF8">
        <w:rPr>
          <w:rStyle w:val="preparersnote"/>
          <w:b w:val="0"/>
        </w:rPr>
        <w:t>.</w:t>
      </w:r>
    </w:p>
    <w:p w14:paraId="472BD031" w14:textId="77777777" w:rsidR="00A20832" w:rsidRPr="00576AF8" w:rsidRDefault="00A20832" w:rsidP="00A20832">
      <w:pPr>
        <w:pStyle w:val="Head82"/>
      </w:pPr>
      <w:r w:rsidRPr="00576AF8">
        <w:br w:type="page"/>
      </w:r>
      <w:bookmarkStart w:id="1819" w:name="_Toc448739679"/>
      <w:bookmarkStart w:id="1820" w:name="_Toc479249666"/>
      <w:bookmarkStart w:id="1821" w:name="_Toc483587950"/>
      <w:bookmarkStart w:id="1822" w:name="_Toc488965472"/>
      <w:r w:rsidRPr="00576AF8">
        <w:lastRenderedPageBreak/>
        <w:t>4.2</w:t>
      </w:r>
      <w:r w:rsidRPr="00576AF8">
        <w:tab/>
        <w:t>Formulario de estimación de la propuesta de cambio</w:t>
      </w:r>
      <w:bookmarkEnd w:id="1819"/>
      <w:bookmarkEnd w:id="1820"/>
      <w:bookmarkEnd w:id="1821"/>
      <w:bookmarkEnd w:id="1822"/>
    </w:p>
    <w:p w14:paraId="76DEB63F" w14:textId="77777777" w:rsidR="00A20832" w:rsidRPr="00576AF8" w:rsidRDefault="00A20832" w:rsidP="007D0CE0">
      <w:pPr>
        <w:spacing w:after="480"/>
        <w:jc w:val="center"/>
      </w:pPr>
      <w:r w:rsidRPr="00576AF8">
        <w:t>(Membrete del Proveedor)</w:t>
      </w:r>
    </w:p>
    <w:p w14:paraId="590295E8" w14:textId="77777777" w:rsidR="00A20832" w:rsidRPr="00576AF8" w:rsidRDefault="00A20832" w:rsidP="00A20832">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533DCB68" w14:textId="77777777" w:rsidR="00A20832" w:rsidRPr="00576AF8" w:rsidRDefault="00A20832" w:rsidP="00A20832">
      <w:pPr>
        <w:tabs>
          <w:tab w:val="right" w:pos="3780"/>
          <w:tab w:val="left" w:pos="3960"/>
          <w:tab w:val="left" w:pos="9000"/>
        </w:tabs>
        <w:ind w:left="3960" w:hanging="3960"/>
      </w:pPr>
      <w:r w:rsidRPr="00576AF8">
        <w:tab/>
        <w:t xml:space="preserve">Número de </w:t>
      </w:r>
      <w:r w:rsidR="00C63A4A" w:rsidRPr="00576AF8">
        <w:t>p</w:t>
      </w:r>
      <w:r w:rsidRPr="00576AF8">
        <w:t xml:space="preserve">réstamo o </w:t>
      </w:r>
      <w:r w:rsidR="00C63A4A"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04B144BA" w14:textId="77777777" w:rsidR="00A20832" w:rsidRPr="00576AF8" w:rsidRDefault="00A20832" w:rsidP="00A20832">
      <w:pPr>
        <w:tabs>
          <w:tab w:val="right" w:pos="3780"/>
          <w:tab w:val="left" w:pos="3960"/>
          <w:tab w:val="left" w:pos="9000"/>
        </w:tabs>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1FA65549" w14:textId="77777777" w:rsidR="00A20832" w:rsidRPr="00576AF8" w:rsidRDefault="00A20832" w:rsidP="007D0CE0">
      <w:pPr>
        <w:tabs>
          <w:tab w:val="right" w:pos="3780"/>
          <w:tab w:val="left" w:pos="3960"/>
          <w:tab w:val="left" w:pos="9000"/>
        </w:tabs>
        <w:spacing w:after="480"/>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4B229075" w14:textId="77777777" w:rsidR="00A20832" w:rsidRPr="00576AF8" w:rsidRDefault="00A20832" w:rsidP="00A20832">
      <w:pPr>
        <w:tabs>
          <w:tab w:val="left" w:pos="6480"/>
          <w:tab w:val="left" w:pos="9000"/>
        </w:tabs>
      </w:pPr>
      <w:r w:rsidRPr="00576AF8">
        <w:t xml:space="preserve">Para: </w:t>
      </w:r>
      <w:r w:rsidRPr="00576AF8">
        <w:rPr>
          <w:rStyle w:val="preparersnote"/>
        </w:rPr>
        <w:t>[indique el nombre y la dirección del Comprador]</w:t>
      </w:r>
      <w:r w:rsidRPr="00576AF8">
        <w:rPr>
          <w:rStyle w:val="preparersnote"/>
          <w:b w:val="0"/>
        </w:rPr>
        <w:t>.</w:t>
      </w:r>
    </w:p>
    <w:p w14:paraId="080CC887" w14:textId="77777777" w:rsidR="00A20832" w:rsidRPr="00576AF8" w:rsidRDefault="00A20832" w:rsidP="007D0CE0">
      <w:pPr>
        <w:spacing w:after="400"/>
        <w:rPr>
          <w:b/>
        </w:rPr>
      </w:pPr>
      <w:r w:rsidRPr="00576AF8">
        <w:t xml:space="preserve">Atención: </w:t>
      </w:r>
      <w:r w:rsidRPr="00576AF8">
        <w:rPr>
          <w:rStyle w:val="preparersnote"/>
        </w:rPr>
        <w:t>[indique nombre y cargo]</w:t>
      </w:r>
      <w:r w:rsidRPr="00576AF8">
        <w:rPr>
          <w:rStyle w:val="preparersnote"/>
          <w:b w:val="0"/>
        </w:rPr>
        <w:t>.</w:t>
      </w:r>
    </w:p>
    <w:p w14:paraId="6D75855C" w14:textId="77777777" w:rsidR="00A20832" w:rsidRPr="00576AF8" w:rsidRDefault="00A20832" w:rsidP="007D0CE0">
      <w:pPr>
        <w:spacing w:after="400"/>
      </w:pPr>
      <w:r w:rsidRPr="00576AF8">
        <w:t>De mi consideración:</w:t>
      </w:r>
    </w:p>
    <w:p w14:paraId="5089FB9A" w14:textId="77777777" w:rsidR="00A20832" w:rsidRPr="00576AF8" w:rsidRDefault="00A20832" w:rsidP="007D0CE0">
      <w:pPr>
        <w:spacing w:after="400"/>
      </w:pPr>
      <w:r w:rsidRPr="00576AF8">
        <w:tab/>
        <w:t xml:space="preserve">Con respecto a su pedido de presentación de propuesta de cambio, nos complace comunicarles el costo aproximado de la preparación de la propuesta de cambio que se indica a continuación, de conformidad con la cláusula 39.2.1 de las CGC. Hemos tomado nota de que antes de proceder </w:t>
      </w:r>
      <w:r w:rsidR="00C63A4A" w:rsidRPr="00576AF8">
        <w:t xml:space="preserve">a </w:t>
      </w:r>
      <w:r w:rsidRPr="00576AF8">
        <w:t>elaborar la propuesta de cambio propiamente dicha, en la que se habrá de incluir una estimación detallada del costo que supondrá implementar el cambio, debemos obtener su aprobación respecto del costo de preparación de dicha propuesta, de conformidad con la cláusula 39.2.2 de las CGC.</w:t>
      </w:r>
    </w:p>
    <w:p w14:paraId="58863369" w14:textId="77777777" w:rsidR="00A20832" w:rsidRPr="00576AF8" w:rsidRDefault="00A20832" w:rsidP="007D0CE0">
      <w:pPr>
        <w:spacing w:after="400"/>
        <w:ind w:left="540" w:hanging="540"/>
      </w:pPr>
      <w:r w:rsidRPr="00576AF8">
        <w:t>1.</w:t>
      </w:r>
      <w:r w:rsidRPr="00576AF8">
        <w:tab/>
        <w:t xml:space="preserve">Título del cambio: </w:t>
      </w:r>
      <w:r w:rsidRPr="00576AF8">
        <w:rPr>
          <w:rStyle w:val="preparersnote"/>
        </w:rPr>
        <w:t>[indique el título]</w:t>
      </w:r>
      <w:r w:rsidRPr="00576AF8">
        <w:rPr>
          <w:rStyle w:val="preparersnote"/>
          <w:b w:val="0"/>
        </w:rPr>
        <w:t>.</w:t>
      </w:r>
    </w:p>
    <w:p w14:paraId="2F6F35A3" w14:textId="77777777" w:rsidR="00A20832" w:rsidRPr="00576AF8" w:rsidRDefault="00A20832" w:rsidP="007D0CE0">
      <w:pPr>
        <w:spacing w:after="400"/>
        <w:ind w:left="540" w:hanging="540"/>
      </w:pPr>
      <w:r w:rsidRPr="00576AF8">
        <w:t>2.</w:t>
      </w:r>
      <w:r w:rsidRPr="00576AF8">
        <w:tab/>
        <w:t xml:space="preserve">Pedido de presentación de propuesta de cambio n.º/Rev.: </w:t>
      </w:r>
      <w:r w:rsidRPr="00576AF8">
        <w:rPr>
          <w:rStyle w:val="preparersnote"/>
        </w:rPr>
        <w:t>[indique el número]</w:t>
      </w:r>
      <w:r w:rsidRPr="00576AF8">
        <w:rPr>
          <w:rStyle w:val="preparersnote"/>
          <w:b w:val="0"/>
        </w:rPr>
        <w:t>.</w:t>
      </w:r>
    </w:p>
    <w:p w14:paraId="586976AB" w14:textId="77777777" w:rsidR="00A20832" w:rsidRPr="00576AF8" w:rsidRDefault="00A20832" w:rsidP="007D0CE0">
      <w:pPr>
        <w:spacing w:after="400"/>
        <w:ind w:left="540" w:hanging="540"/>
      </w:pPr>
      <w:r w:rsidRPr="00576AF8">
        <w:t>3.</w:t>
      </w:r>
      <w:r w:rsidRPr="00576AF8">
        <w:tab/>
        <w:t xml:space="preserve">Breve descripción del cambio (incluido el enfoque de implementación propuesto): </w:t>
      </w:r>
      <w:r w:rsidRPr="00576AF8">
        <w:rPr>
          <w:rStyle w:val="preparersnote"/>
        </w:rPr>
        <w:t>[incluya la descripción]</w:t>
      </w:r>
      <w:r w:rsidRPr="00576AF8">
        <w:rPr>
          <w:rStyle w:val="preparersnote"/>
          <w:b w:val="0"/>
        </w:rPr>
        <w:t>.</w:t>
      </w:r>
    </w:p>
    <w:p w14:paraId="60FA70C2" w14:textId="77777777" w:rsidR="00A20832" w:rsidRPr="00576AF8" w:rsidRDefault="00A20832" w:rsidP="007D0CE0">
      <w:pPr>
        <w:spacing w:after="400"/>
        <w:ind w:left="540" w:hanging="540"/>
      </w:pPr>
      <w:r w:rsidRPr="00576AF8">
        <w:t>4.</w:t>
      </w:r>
      <w:r w:rsidRPr="00576AF8">
        <w:tab/>
        <w:t xml:space="preserve">Efecto previsto del cambio en el programa de ejecución (estimación inicial): </w:t>
      </w:r>
      <w:r w:rsidRPr="00576AF8">
        <w:rPr>
          <w:rStyle w:val="preparersnote"/>
        </w:rPr>
        <w:t xml:space="preserve">[incluya </w:t>
      </w:r>
      <w:r w:rsidR="00BF5357" w:rsidRPr="00576AF8">
        <w:rPr>
          <w:rStyle w:val="preparersnote"/>
        </w:rPr>
        <w:br/>
      </w:r>
      <w:r w:rsidRPr="00576AF8">
        <w:rPr>
          <w:rStyle w:val="preparersnote"/>
        </w:rPr>
        <w:t>la descripción]</w:t>
      </w:r>
      <w:r w:rsidRPr="00576AF8">
        <w:rPr>
          <w:rStyle w:val="preparersnote"/>
          <w:b w:val="0"/>
        </w:rPr>
        <w:t>.</w:t>
      </w:r>
    </w:p>
    <w:p w14:paraId="02C4BF3C" w14:textId="77777777" w:rsidR="00A20832" w:rsidRPr="00576AF8" w:rsidRDefault="00A20832" w:rsidP="007D0CE0">
      <w:pPr>
        <w:spacing w:after="400"/>
        <w:ind w:left="540" w:hanging="540"/>
        <w:rPr>
          <w:i/>
          <w:spacing w:val="-4"/>
        </w:rPr>
      </w:pPr>
      <w:r w:rsidRPr="00576AF8">
        <w:rPr>
          <w:spacing w:val="-4"/>
        </w:rPr>
        <w:t>5.</w:t>
      </w:r>
      <w:r w:rsidRPr="00576AF8">
        <w:rPr>
          <w:spacing w:val="-4"/>
        </w:rPr>
        <w:tab/>
        <w:t xml:space="preserve">Estimación inicial del costo de implementar el cambio: </w:t>
      </w:r>
      <w:r w:rsidRPr="00576AF8">
        <w:rPr>
          <w:i/>
          <w:spacing w:val="-4"/>
        </w:rPr>
        <w:t xml:space="preserve">[indique </w:t>
      </w:r>
      <w:r w:rsidRPr="00576AF8">
        <w:rPr>
          <w:b/>
          <w:i/>
          <w:spacing w:val="-4"/>
        </w:rPr>
        <w:t>la estimación inicial del costo</w:t>
      </w:r>
      <w:r w:rsidRPr="00576AF8">
        <w:rPr>
          <w:i/>
          <w:spacing w:val="-4"/>
        </w:rPr>
        <w:t>].</w:t>
      </w:r>
    </w:p>
    <w:p w14:paraId="50E924D5" w14:textId="77777777" w:rsidR="00A20832" w:rsidRPr="00576AF8" w:rsidRDefault="00A20832" w:rsidP="007D0CE0">
      <w:pPr>
        <w:spacing w:after="400"/>
        <w:ind w:left="540" w:hanging="540"/>
      </w:pPr>
      <w:r w:rsidRPr="00576AF8">
        <w:t>6.</w:t>
      </w:r>
      <w:r w:rsidRPr="00576AF8">
        <w:tab/>
        <w:t xml:space="preserve">Costo de la elaboración de la propuesta de cambio: </w:t>
      </w:r>
      <w:r w:rsidRPr="00576AF8">
        <w:rPr>
          <w:rStyle w:val="preparersnote"/>
        </w:rPr>
        <w:t xml:space="preserve">[indique </w:t>
      </w:r>
      <w:r w:rsidRPr="00576AF8">
        <w:rPr>
          <w:b/>
          <w:i/>
        </w:rPr>
        <w:t>el costo en las monedas del Contrato]</w:t>
      </w:r>
      <w:r w:rsidRPr="00576AF8">
        <w:t xml:space="preserve">, según se detalla más adelante en el desglose de precios, tarifas y cantidades. </w:t>
      </w:r>
    </w:p>
    <w:p w14:paraId="1B36D687" w14:textId="77777777" w:rsidR="00A20832" w:rsidRPr="00576AF8" w:rsidRDefault="00A20832" w:rsidP="007D0CE0">
      <w:pPr>
        <w:spacing w:after="400"/>
      </w:pPr>
      <w:r w:rsidRPr="00576AF8">
        <w:lastRenderedPageBreak/>
        <w:t>En representación del Proveedor:</w:t>
      </w:r>
    </w:p>
    <w:p w14:paraId="21D0A6AD" w14:textId="77777777" w:rsidR="00A20832" w:rsidRPr="00576AF8" w:rsidRDefault="00D223D3" w:rsidP="00A20832">
      <w:pPr>
        <w:tabs>
          <w:tab w:val="right" w:pos="900"/>
          <w:tab w:val="left" w:pos="7200"/>
        </w:tabs>
      </w:pPr>
      <w:r w:rsidRPr="00576AF8">
        <w:t>Firma:</w:t>
      </w:r>
    </w:p>
    <w:p w14:paraId="5C970613" w14:textId="77777777" w:rsidR="00A20832" w:rsidRPr="00576AF8" w:rsidRDefault="00D223D3" w:rsidP="00A20832">
      <w:pPr>
        <w:tabs>
          <w:tab w:val="right" w:pos="4320"/>
        </w:tabs>
      </w:pPr>
      <w:r w:rsidRPr="00576AF8">
        <w:t xml:space="preserve">Fecha: </w:t>
      </w:r>
    </w:p>
    <w:p w14:paraId="28D0EED4" w14:textId="77777777" w:rsidR="00A20832" w:rsidRPr="00576AF8" w:rsidRDefault="00A20832" w:rsidP="00A20832">
      <w:r w:rsidRPr="00576AF8">
        <w:t xml:space="preserve">En calidad de: </w:t>
      </w:r>
      <w:r w:rsidRPr="00576AF8">
        <w:rPr>
          <w:rStyle w:val="preparersnote"/>
        </w:rPr>
        <w:t>[indique “representante del Proveedor” u otra autoridad de mayor jerarquía en la organización del Proveedor]</w:t>
      </w:r>
      <w:r w:rsidRPr="00576AF8">
        <w:rPr>
          <w:rStyle w:val="preparersnote"/>
          <w:b w:val="0"/>
        </w:rPr>
        <w:t xml:space="preserve">. </w:t>
      </w:r>
    </w:p>
    <w:p w14:paraId="72671261" w14:textId="77777777" w:rsidR="00A20832" w:rsidRPr="00576AF8" w:rsidRDefault="00A20832" w:rsidP="00A20832">
      <w:pPr>
        <w:ind w:left="540" w:hanging="540"/>
      </w:pPr>
    </w:p>
    <w:p w14:paraId="77390B7F" w14:textId="77777777" w:rsidR="00A20832" w:rsidRPr="00576AF8" w:rsidRDefault="00A20832" w:rsidP="00A20832"/>
    <w:p w14:paraId="627AF581" w14:textId="77777777" w:rsidR="00A20832" w:rsidRPr="00576AF8" w:rsidRDefault="00A20832" w:rsidP="00A20832">
      <w:pPr>
        <w:pStyle w:val="Head82"/>
      </w:pPr>
      <w:r w:rsidRPr="00576AF8">
        <w:br w:type="page"/>
      </w:r>
      <w:bookmarkStart w:id="1823" w:name="_Toc448739680"/>
      <w:bookmarkStart w:id="1824" w:name="_Toc479249667"/>
      <w:bookmarkStart w:id="1825" w:name="_Toc483587951"/>
      <w:bookmarkStart w:id="1826" w:name="_Toc488965473"/>
      <w:r w:rsidRPr="00576AF8">
        <w:lastRenderedPageBreak/>
        <w:t>4.3</w:t>
      </w:r>
      <w:r w:rsidRPr="00576AF8">
        <w:tab/>
        <w:t>Formulario de aceptación de la estimación</w:t>
      </w:r>
      <w:bookmarkEnd w:id="1823"/>
      <w:bookmarkEnd w:id="1824"/>
      <w:bookmarkEnd w:id="1825"/>
      <w:bookmarkEnd w:id="1826"/>
    </w:p>
    <w:p w14:paraId="22294522" w14:textId="77777777" w:rsidR="00A20832" w:rsidRPr="00576AF8" w:rsidRDefault="00A20832" w:rsidP="007D0CE0">
      <w:pPr>
        <w:spacing w:after="480"/>
        <w:jc w:val="center"/>
      </w:pPr>
      <w:r w:rsidRPr="00576AF8">
        <w:t>(Membrete del Comprador)</w:t>
      </w:r>
    </w:p>
    <w:p w14:paraId="244DF914" w14:textId="77777777" w:rsidR="00A20832" w:rsidRPr="00576AF8" w:rsidRDefault="00A20832" w:rsidP="00A20832">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5E5931EE" w14:textId="77777777" w:rsidR="00A20832" w:rsidRPr="00576AF8" w:rsidRDefault="00A20832" w:rsidP="00A072B3">
      <w:pPr>
        <w:tabs>
          <w:tab w:val="right" w:pos="3780"/>
          <w:tab w:val="left" w:pos="3960"/>
          <w:tab w:val="left" w:pos="9000"/>
        </w:tabs>
        <w:ind w:left="3969" w:hanging="3969"/>
      </w:pPr>
      <w:r w:rsidRPr="00576AF8">
        <w:tab/>
        <w:t xml:space="preserve">Número de </w:t>
      </w:r>
      <w:r w:rsidR="00C63A4A" w:rsidRPr="00576AF8">
        <w:t>p</w:t>
      </w:r>
      <w:r w:rsidRPr="00576AF8">
        <w:t xml:space="preserve">réstamo o </w:t>
      </w:r>
      <w:r w:rsidR="00C63A4A"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1EDD641C" w14:textId="77777777" w:rsidR="00A20832" w:rsidRPr="00576AF8" w:rsidRDefault="00A20832" w:rsidP="00A20832">
      <w:pPr>
        <w:tabs>
          <w:tab w:val="right" w:pos="3780"/>
          <w:tab w:val="left" w:pos="3960"/>
          <w:tab w:val="left" w:pos="9000"/>
        </w:tabs>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2E56482F" w14:textId="77777777" w:rsidR="00A20832" w:rsidRPr="00576AF8" w:rsidRDefault="00A20832" w:rsidP="007D0CE0">
      <w:pPr>
        <w:tabs>
          <w:tab w:val="right" w:pos="3780"/>
          <w:tab w:val="left" w:pos="3960"/>
          <w:tab w:val="left" w:pos="9000"/>
        </w:tabs>
        <w:spacing w:after="480"/>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3F1C0DE3" w14:textId="77777777" w:rsidR="00A20832" w:rsidRPr="00576AF8" w:rsidRDefault="00A20832" w:rsidP="007D0CE0">
      <w:pPr>
        <w:tabs>
          <w:tab w:val="left" w:pos="6480"/>
          <w:tab w:val="left" w:pos="9000"/>
        </w:tabs>
        <w:spacing w:after="400"/>
      </w:pPr>
      <w:r w:rsidRPr="00576AF8">
        <w:t xml:space="preserve">Para: </w:t>
      </w:r>
      <w:r w:rsidRPr="00576AF8">
        <w:rPr>
          <w:rStyle w:val="preparersnote"/>
        </w:rPr>
        <w:t>[indique el nombre y la dirección del Proveedor]</w:t>
      </w:r>
      <w:r w:rsidRPr="00576AF8">
        <w:rPr>
          <w:rStyle w:val="preparersnote"/>
          <w:b w:val="0"/>
        </w:rPr>
        <w:t>.</w:t>
      </w:r>
    </w:p>
    <w:p w14:paraId="324D9D00" w14:textId="77777777" w:rsidR="00A20832" w:rsidRPr="00576AF8" w:rsidRDefault="00A20832" w:rsidP="007D0CE0">
      <w:pPr>
        <w:spacing w:after="400"/>
      </w:pPr>
      <w:r w:rsidRPr="00576AF8">
        <w:t>Atención:</w:t>
      </w:r>
      <w:r w:rsidRPr="00576AF8">
        <w:rPr>
          <w:b/>
        </w:rPr>
        <w:t xml:space="preserve"> </w:t>
      </w:r>
      <w:r w:rsidRPr="00576AF8">
        <w:rPr>
          <w:rStyle w:val="preparersnote"/>
        </w:rPr>
        <w:t>[indique nombre y cargo]</w:t>
      </w:r>
      <w:r w:rsidRPr="00576AF8">
        <w:rPr>
          <w:rStyle w:val="preparersnote"/>
          <w:b w:val="0"/>
        </w:rPr>
        <w:t>.</w:t>
      </w:r>
    </w:p>
    <w:p w14:paraId="668CD32D" w14:textId="77777777" w:rsidR="00A20832" w:rsidRPr="00576AF8" w:rsidRDefault="00A20832" w:rsidP="007D0CE0">
      <w:pPr>
        <w:spacing w:after="400"/>
      </w:pPr>
      <w:r w:rsidRPr="00576AF8">
        <w:t>De mi consideración:</w:t>
      </w:r>
    </w:p>
    <w:p w14:paraId="438E5ECE" w14:textId="77777777" w:rsidR="00A20832" w:rsidRPr="00576AF8" w:rsidRDefault="00A20832" w:rsidP="007D0CE0">
      <w:pPr>
        <w:spacing w:after="400"/>
      </w:pPr>
      <w:r w:rsidRPr="00576AF8">
        <w:tab/>
        <w:t>Por la presente aceptamos su estimación de la propuesta de cambio y los autorizamos para que procedan a preparar una propuesta formal de cambio.</w:t>
      </w:r>
    </w:p>
    <w:p w14:paraId="47D7EF89" w14:textId="77777777" w:rsidR="00A20832" w:rsidRPr="00576AF8" w:rsidRDefault="00A20832" w:rsidP="007D0CE0">
      <w:pPr>
        <w:spacing w:after="400"/>
        <w:ind w:left="540" w:hanging="540"/>
      </w:pPr>
      <w:r w:rsidRPr="00576AF8">
        <w:t>1.</w:t>
      </w:r>
      <w:r w:rsidRPr="00576AF8">
        <w:tab/>
        <w:t xml:space="preserve">Título del cambio: </w:t>
      </w:r>
      <w:r w:rsidRPr="00576AF8">
        <w:rPr>
          <w:rStyle w:val="preparersnote"/>
        </w:rPr>
        <w:t>[inserte el título]</w:t>
      </w:r>
      <w:r w:rsidRPr="00576AF8">
        <w:rPr>
          <w:rStyle w:val="preparersnote"/>
          <w:b w:val="0"/>
        </w:rPr>
        <w:t>.</w:t>
      </w:r>
    </w:p>
    <w:p w14:paraId="420D276C" w14:textId="77777777" w:rsidR="00A20832" w:rsidRPr="00576AF8" w:rsidRDefault="00A20832" w:rsidP="007D0CE0">
      <w:pPr>
        <w:spacing w:after="400"/>
        <w:ind w:left="540" w:hanging="540"/>
      </w:pPr>
      <w:r w:rsidRPr="00576AF8">
        <w:t>2.</w:t>
      </w:r>
      <w:r w:rsidRPr="00576AF8">
        <w:tab/>
        <w:t xml:space="preserve">Pedido de presentación de propuesta de cambio n.º/Rev.: </w:t>
      </w:r>
      <w:r w:rsidRPr="00576AF8">
        <w:rPr>
          <w:rStyle w:val="preparersnote"/>
        </w:rPr>
        <w:t>[indique el número del pedido/revisión]</w:t>
      </w:r>
      <w:r w:rsidRPr="00576AF8">
        <w:rPr>
          <w:rStyle w:val="preparersnote"/>
          <w:b w:val="0"/>
        </w:rPr>
        <w:t>.</w:t>
      </w:r>
    </w:p>
    <w:p w14:paraId="0DAE2D1C" w14:textId="77777777" w:rsidR="00A20832" w:rsidRPr="00576AF8" w:rsidRDefault="00A20832" w:rsidP="007D0CE0">
      <w:pPr>
        <w:spacing w:after="400"/>
        <w:ind w:left="540" w:hanging="540"/>
      </w:pPr>
      <w:r w:rsidRPr="00576AF8">
        <w:t>3.</w:t>
      </w:r>
      <w:r w:rsidRPr="00576AF8">
        <w:tab/>
        <w:t xml:space="preserve">Estimación de propuesta de cambio n.º/Rev.: </w:t>
      </w:r>
      <w:r w:rsidRPr="00576AF8">
        <w:rPr>
          <w:rStyle w:val="preparersnote"/>
        </w:rPr>
        <w:t>[indique el número de la propuesta/revisión]</w:t>
      </w:r>
      <w:r w:rsidRPr="00576AF8">
        <w:rPr>
          <w:rStyle w:val="preparersnote"/>
          <w:b w:val="0"/>
        </w:rPr>
        <w:t>.</w:t>
      </w:r>
    </w:p>
    <w:p w14:paraId="6E053A99" w14:textId="77777777" w:rsidR="00A20832" w:rsidRPr="00576AF8" w:rsidRDefault="00A20832" w:rsidP="007D0CE0">
      <w:pPr>
        <w:spacing w:after="400"/>
        <w:ind w:left="540" w:hanging="540"/>
      </w:pPr>
      <w:r w:rsidRPr="00576AF8">
        <w:t>4.</w:t>
      </w:r>
      <w:r w:rsidRPr="00576AF8">
        <w:tab/>
        <w:t xml:space="preserve">Aceptación de la estimación n.º/Rev.: </w:t>
      </w:r>
      <w:r w:rsidRPr="00576AF8">
        <w:rPr>
          <w:rStyle w:val="preparersnote"/>
        </w:rPr>
        <w:t>[indique el número de la estimación/revisión]</w:t>
      </w:r>
      <w:r w:rsidRPr="00576AF8">
        <w:rPr>
          <w:rStyle w:val="preparersnote"/>
          <w:b w:val="0"/>
        </w:rPr>
        <w:t>.</w:t>
      </w:r>
    </w:p>
    <w:p w14:paraId="59A5FEF5" w14:textId="77777777" w:rsidR="00A20832" w:rsidRPr="00576AF8" w:rsidRDefault="00A20832" w:rsidP="007D0CE0">
      <w:pPr>
        <w:spacing w:after="400"/>
        <w:ind w:left="540" w:hanging="540"/>
      </w:pPr>
      <w:r w:rsidRPr="00576AF8">
        <w:t>5.</w:t>
      </w:r>
      <w:r w:rsidRPr="00576AF8">
        <w:tab/>
        <w:t xml:space="preserve">Breve descripción del cambio: </w:t>
      </w:r>
      <w:r w:rsidRPr="00576AF8">
        <w:rPr>
          <w:rStyle w:val="preparersnote"/>
        </w:rPr>
        <w:t>[incluya la descripción]</w:t>
      </w:r>
      <w:r w:rsidRPr="00576AF8">
        <w:rPr>
          <w:rStyle w:val="preparersnote"/>
          <w:b w:val="0"/>
        </w:rPr>
        <w:t>.</w:t>
      </w:r>
    </w:p>
    <w:p w14:paraId="5032F51D" w14:textId="77777777" w:rsidR="00A20832" w:rsidRPr="00576AF8" w:rsidRDefault="00A20832" w:rsidP="007D0CE0">
      <w:pPr>
        <w:spacing w:after="400"/>
        <w:ind w:left="540" w:hanging="540"/>
      </w:pPr>
      <w:r w:rsidRPr="00576AF8">
        <w:t>6.</w:t>
      </w:r>
      <w:r w:rsidRPr="00576AF8">
        <w:tab/>
        <w:t xml:space="preserve">Otras condiciones: </w:t>
      </w:r>
    </w:p>
    <w:p w14:paraId="4DF239E4" w14:textId="77777777" w:rsidR="00A20832" w:rsidRPr="00576AF8" w:rsidRDefault="00A20832" w:rsidP="007D0CE0">
      <w:pPr>
        <w:spacing w:after="400"/>
        <w:ind w:left="540" w:hanging="540"/>
      </w:pPr>
      <w:r w:rsidRPr="00576AF8">
        <w:tab/>
        <w:t xml:space="preserve">En caso de que decidamos no ordenar el cambio de referencia, ustedes tendrán derecho a recibir una compensación por el costo de preparación de la propuesta, que no podrá exceder el monto </w:t>
      </w:r>
      <w:r w:rsidR="00C63A4A" w:rsidRPr="00576AF8">
        <w:t xml:space="preserve">establecido </w:t>
      </w:r>
      <w:r w:rsidRPr="00576AF8">
        <w:t>para este propósito en la estimación de dicha propuesta, de acuerdo con la cláusula 39 de las CGC.</w:t>
      </w:r>
    </w:p>
    <w:p w14:paraId="60A3D04B" w14:textId="77777777" w:rsidR="00A20832" w:rsidRPr="00576AF8" w:rsidRDefault="00A20832" w:rsidP="007D0CE0">
      <w:pPr>
        <w:pageBreakBefore/>
        <w:spacing w:before="100" w:beforeAutospacing="1" w:after="400"/>
      </w:pPr>
      <w:r w:rsidRPr="00576AF8">
        <w:lastRenderedPageBreak/>
        <w:t>En representación del Comprador:</w:t>
      </w:r>
    </w:p>
    <w:p w14:paraId="077ABFBE" w14:textId="77777777" w:rsidR="00A20832" w:rsidRPr="00576AF8" w:rsidRDefault="00D223D3" w:rsidP="00A20832">
      <w:pPr>
        <w:tabs>
          <w:tab w:val="right" w:pos="900"/>
          <w:tab w:val="left" w:pos="7200"/>
        </w:tabs>
      </w:pPr>
      <w:r w:rsidRPr="00576AF8">
        <w:t>Firma:</w:t>
      </w:r>
    </w:p>
    <w:p w14:paraId="0B1A7E1F" w14:textId="77777777" w:rsidR="00A20832" w:rsidRPr="00576AF8" w:rsidRDefault="00D223D3" w:rsidP="00A20832">
      <w:pPr>
        <w:tabs>
          <w:tab w:val="right" w:pos="4320"/>
        </w:tabs>
      </w:pPr>
      <w:r w:rsidRPr="00576AF8">
        <w:t xml:space="preserve">Fecha: </w:t>
      </w:r>
    </w:p>
    <w:p w14:paraId="1265112E" w14:textId="77777777" w:rsidR="00A20832" w:rsidRPr="00576AF8" w:rsidRDefault="00A20832" w:rsidP="00A20832">
      <w:r w:rsidRPr="00576AF8">
        <w:t xml:space="preserve">En calidad de: </w:t>
      </w:r>
      <w:r w:rsidRPr="00576AF8">
        <w:rPr>
          <w:rStyle w:val="preparersnote"/>
        </w:rPr>
        <w:t>[indique “</w:t>
      </w:r>
      <w:r w:rsidR="0046742A" w:rsidRPr="00576AF8">
        <w:rPr>
          <w:rStyle w:val="preparersnote"/>
        </w:rPr>
        <w:t>G</w:t>
      </w:r>
      <w:r w:rsidRPr="00576AF8">
        <w:rPr>
          <w:rStyle w:val="preparersnote"/>
        </w:rPr>
        <w:t>erente de Proyecto” u otra autoridad de mayor jerarquía en la organización del Comprador]</w:t>
      </w:r>
      <w:r w:rsidRPr="00576AF8">
        <w:rPr>
          <w:rStyle w:val="preparersnote"/>
          <w:b w:val="0"/>
        </w:rPr>
        <w:t>.</w:t>
      </w:r>
    </w:p>
    <w:p w14:paraId="4A50C1BD" w14:textId="77777777" w:rsidR="00A20832" w:rsidRPr="00576AF8" w:rsidRDefault="00A20832" w:rsidP="00A20832">
      <w:pPr>
        <w:rPr>
          <w:sz w:val="22"/>
        </w:rPr>
      </w:pPr>
    </w:p>
    <w:p w14:paraId="17255A10" w14:textId="77777777" w:rsidR="00A20832" w:rsidRPr="00576AF8" w:rsidRDefault="00A20832" w:rsidP="00A20832">
      <w:pPr>
        <w:pStyle w:val="Head82"/>
      </w:pPr>
      <w:r w:rsidRPr="00576AF8">
        <w:br w:type="page"/>
      </w:r>
      <w:bookmarkStart w:id="1827" w:name="_Toc448739681"/>
      <w:bookmarkStart w:id="1828" w:name="_Toc479249668"/>
      <w:bookmarkStart w:id="1829" w:name="_Toc483587952"/>
      <w:bookmarkStart w:id="1830" w:name="_Toc488965474"/>
      <w:r w:rsidRPr="00576AF8">
        <w:lastRenderedPageBreak/>
        <w:t>4.4</w:t>
      </w:r>
      <w:r w:rsidRPr="00576AF8">
        <w:tab/>
        <w:t>Formulario de propuesta de cambio</w:t>
      </w:r>
      <w:bookmarkEnd w:id="1827"/>
      <w:bookmarkEnd w:id="1828"/>
      <w:bookmarkEnd w:id="1829"/>
      <w:bookmarkEnd w:id="1830"/>
    </w:p>
    <w:p w14:paraId="0EFCC898" w14:textId="77777777" w:rsidR="00A20832" w:rsidRPr="00576AF8" w:rsidRDefault="00A20832" w:rsidP="007D0CE0">
      <w:pPr>
        <w:spacing w:after="480"/>
        <w:jc w:val="center"/>
      </w:pPr>
      <w:r w:rsidRPr="00576AF8">
        <w:t>(Membrete del Proveedor)</w:t>
      </w:r>
    </w:p>
    <w:p w14:paraId="12A82C37" w14:textId="77777777" w:rsidR="00A20832" w:rsidRPr="00576AF8" w:rsidRDefault="00A20832" w:rsidP="00A20832">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58B4E7E9" w14:textId="77777777" w:rsidR="00A20832" w:rsidRPr="00576AF8" w:rsidRDefault="00A20832" w:rsidP="00A072B3">
      <w:pPr>
        <w:tabs>
          <w:tab w:val="right" w:pos="3780"/>
          <w:tab w:val="left" w:pos="3960"/>
          <w:tab w:val="left" w:pos="9000"/>
        </w:tabs>
        <w:ind w:left="3969" w:hanging="3969"/>
      </w:pPr>
      <w:r w:rsidRPr="00576AF8">
        <w:tab/>
        <w:t xml:space="preserve">Número de </w:t>
      </w:r>
      <w:r w:rsidR="00C63A4A" w:rsidRPr="00576AF8">
        <w:t>p</w:t>
      </w:r>
      <w:r w:rsidRPr="00576AF8">
        <w:t xml:space="preserve">réstamo o </w:t>
      </w:r>
      <w:r w:rsidR="00C63A4A"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2F31BCBF" w14:textId="77777777" w:rsidR="00A20832" w:rsidRPr="00576AF8" w:rsidRDefault="00A20832" w:rsidP="00A20832">
      <w:pPr>
        <w:tabs>
          <w:tab w:val="right" w:pos="3780"/>
          <w:tab w:val="left" w:pos="3960"/>
          <w:tab w:val="left" w:pos="9000"/>
        </w:tabs>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2222C2D5" w14:textId="77777777" w:rsidR="00A20832" w:rsidRPr="00576AF8" w:rsidRDefault="00A20832" w:rsidP="007D0CE0">
      <w:pPr>
        <w:tabs>
          <w:tab w:val="right" w:pos="3780"/>
          <w:tab w:val="left" w:pos="3960"/>
          <w:tab w:val="left" w:pos="9000"/>
        </w:tabs>
        <w:spacing w:after="480"/>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2A9917E2" w14:textId="77777777" w:rsidR="00A20832" w:rsidRPr="00576AF8" w:rsidRDefault="00A20832" w:rsidP="007D0CE0">
      <w:pPr>
        <w:tabs>
          <w:tab w:val="left" w:pos="6480"/>
          <w:tab w:val="left" w:pos="9000"/>
        </w:tabs>
        <w:spacing w:after="400"/>
      </w:pPr>
      <w:r w:rsidRPr="00576AF8">
        <w:t xml:space="preserve">Para: </w:t>
      </w:r>
      <w:r w:rsidRPr="00576AF8">
        <w:rPr>
          <w:rStyle w:val="preparersnote"/>
        </w:rPr>
        <w:t>[indique el nombre y la dirección del Comprador]</w:t>
      </w:r>
      <w:r w:rsidRPr="00576AF8">
        <w:rPr>
          <w:rStyle w:val="preparersnote"/>
          <w:b w:val="0"/>
        </w:rPr>
        <w:t>.</w:t>
      </w:r>
    </w:p>
    <w:p w14:paraId="4E35FCE9" w14:textId="77777777" w:rsidR="00A20832" w:rsidRPr="00576AF8" w:rsidRDefault="00A20832" w:rsidP="007D0CE0">
      <w:pPr>
        <w:spacing w:after="400"/>
      </w:pPr>
      <w:r w:rsidRPr="00576AF8">
        <w:t xml:space="preserve">Atención: </w:t>
      </w:r>
      <w:r w:rsidRPr="00576AF8">
        <w:rPr>
          <w:rStyle w:val="preparersnote"/>
        </w:rPr>
        <w:t>[indique nombre y cargo]</w:t>
      </w:r>
      <w:r w:rsidRPr="00576AF8">
        <w:rPr>
          <w:rStyle w:val="preparersnote"/>
          <w:b w:val="0"/>
        </w:rPr>
        <w:t>.</w:t>
      </w:r>
    </w:p>
    <w:p w14:paraId="08345F40" w14:textId="77777777" w:rsidR="00A20832" w:rsidRPr="00576AF8" w:rsidRDefault="00A20832" w:rsidP="007D0CE0">
      <w:pPr>
        <w:spacing w:after="400"/>
      </w:pPr>
      <w:r w:rsidRPr="00576AF8">
        <w:t>De mi consideración:</w:t>
      </w:r>
    </w:p>
    <w:p w14:paraId="5C36BD3D" w14:textId="77777777" w:rsidR="00A20832" w:rsidRPr="00576AF8" w:rsidRDefault="00A20832" w:rsidP="007D0CE0">
      <w:pPr>
        <w:spacing w:after="400"/>
      </w:pPr>
      <w:r w:rsidRPr="00576AF8">
        <w:tab/>
        <w:t>En respuesta a su pedido de presentación de propuesta de cambio n.º</w:t>
      </w:r>
      <w:r w:rsidRPr="00576AF8">
        <w:rPr>
          <w:b/>
          <w:i/>
        </w:rPr>
        <w:t xml:space="preserve"> [indique el número]</w:t>
      </w:r>
      <w:r w:rsidRPr="00576AF8">
        <w:t>, por la presente les ofrecemos la siguiente propuesta:</w:t>
      </w:r>
    </w:p>
    <w:p w14:paraId="3B06C6B2" w14:textId="77777777" w:rsidR="00A20832" w:rsidRPr="00576AF8" w:rsidRDefault="00A20832" w:rsidP="007D0CE0">
      <w:pPr>
        <w:spacing w:after="400"/>
        <w:ind w:left="540" w:hanging="540"/>
      </w:pPr>
      <w:r w:rsidRPr="00576AF8">
        <w:t>1.</w:t>
      </w:r>
      <w:r w:rsidRPr="00576AF8">
        <w:tab/>
        <w:t xml:space="preserve">Título del cambio: </w:t>
      </w:r>
      <w:r w:rsidRPr="00576AF8">
        <w:rPr>
          <w:rStyle w:val="preparersnote"/>
        </w:rPr>
        <w:t>[inserte el nombre]</w:t>
      </w:r>
      <w:r w:rsidRPr="00576AF8">
        <w:rPr>
          <w:rStyle w:val="preparersnote"/>
          <w:b w:val="0"/>
        </w:rPr>
        <w:t>.</w:t>
      </w:r>
    </w:p>
    <w:p w14:paraId="0E0165F8" w14:textId="77777777" w:rsidR="00A20832" w:rsidRPr="00576AF8" w:rsidRDefault="00A20832" w:rsidP="007D0CE0">
      <w:pPr>
        <w:spacing w:after="400"/>
        <w:ind w:left="540" w:hanging="540"/>
      </w:pPr>
      <w:r w:rsidRPr="00576AF8">
        <w:t>2.</w:t>
      </w:r>
      <w:r w:rsidRPr="00576AF8">
        <w:tab/>
        <w:t xml:space="preserve">Propuesta de cambio n.º/Rev.: </w:t>
      </w:r>
      <w:r w:rsidRPr="00576AF8">
        <w:rPr>
          <w:rStyle w:val="preparersnote"/>
        </w:rPr>
        <w:t>[indique el número de la propuesta/revisión]</w:t>
      </w:r>
      <w:r w:rsidRPr="00576AF8">
        <w:rPr>
          <w:rStyle w:val="preparersnote"/>
          <w:b w:val="0"/>
        </w:rPr>
        <w:t>.</w:t>
      </w:r>
    </w:p>
    <w:p w14:paraId="66B1A39F" w14:textId="77777777" w:rsidR="00A20832" w:rsidRPr="00576AF8" w:rsidRDefault="00A20832" w:rsidP="007D0CE0">
      <w:pPr>
        <w:spacing w:after="400"/>
        <w:ind w:left="540" w:hanging="540"/>
        <w:rPr>
          <w:rStyle w:val="preparersnote"/>
        </w:rPr>
      </w:pPr>
      <w:r w:rsidRPr="00576AF8">
        <w:t>3.</w:t>
      </w:r>
      <w:r w:rsidRPr="00576AF8">
        <w:tab/>
        <w:t xml:space="preserve">Cambio solicitado por: </w:t>
      </w:r>
      <w:r w:rsidRPr="00576AF8">
        <w:rPr>
          <w:rStyle w:val="preparersnote"/>
        </w:rPr>
        <w:t xml:space="preserve">[seleccione “el </w:t>
      </w:r>
      <w:proofErr w:type="gramStart"/>
      <w:r w:rsidRPr="00576AF8">
        <w:rPr>
          <w:rStyle w:val="preparersnote"/>
        </w:rPr>
        <w:t>Comprador”/</w:t>
      </w:r>
      <w:proofErr w:type="gramEnd"/>
      <w:r w:rsidRPr="00576AF8">
        <w:rPr>
          <w:rStyle w:val="preparersnote"/>
        </w:rPr>
        <w:t>”el Proveedor”, y añada el nombre]</w:t>
      </w:r>
      <w:r w:rsidRPr="00576AF8">
        <w:rPr>
          <w:rStyle w:val="preparersnote"/>
          <w:b w:val="0"/>
        </w:rPr>
        <w:t>.</w:t>
      </w:r>
    </w:p>
    <w:p w14:paraId="47DF045F" w14:textId="77777777" w:rsidR="00A20832" w:rsidRPr="00576AF8" w:rsidRDefault="00A20832" w:rsidP="007D0CE0">
      <w:pPr>
        <w:spacing w:after="400"/>
        <w:ind w:left="540" w:hanging="540"/>
      </w:pPr>
      <w:r w:rsidRPr="00576AF8">
        <w:t>4.</w:t>
      </w:r>
      <w:r w:rsidRPr="00576AF8">
        <w:tab/>
        <w:t xml:space="preserve">Breve descripción del cambio: </w:t>
      </w:r>
      <w:r w:rsidRPr="00576AF8">
        <w:rPr>
          <w:rStyle w:val="preparersnote"/>
        </w:rPr>
        <w:t>[incluya la descripción]</w:t>
      </w:r>
      <w:r w:rsidRPr="00576AF8">
        <w:rPr>
          <w:rStyle w:val="preparersnote"/>
          <w:b w:val="0"/>
        </w:rPr>
        <w:t>.</w:t>
      </w:r>
    </w:p>
    <w:p w14:paraId="51B782C8" w14:textId="77777777" w:rsidR="00A20832" w:rsidRPr="00576AF8" w:rsidRDefault="00A20832" w:rsidP="007D0CE0">
      <w:pPr>
        <w:spacing w:after="400"/>
        <w:ind w:left="540" w:hanging="540"/>
      </w:pPr>
      <w:r w:rsidRPr="00576AF8">
        <w:t>5.</w:t>
      </w:r>
      <w:r w:rsidRPr="00576AF8">
        <w:tab/>
        <w:t xml:space="preserve">Razones del cambio: </w:t>
      </w:r>
      <w:r w:rsidRPr="00576AF8">
        <w:rPr>
          <w:rStyle w:val="preparersnote"/>
        </w:rPr>
        <w:t>[indique las razones]</w:t>
      </w:r>
      <w:r w:rsidRPr="00576AF8">
        <w:rPr>
          <w:rStyle w:val="preparersnote"/>
          <w:b w:val="0"/>
        </w:rPr>
        <w:t>.</w:t>
      </w:r>
    </w:p>
    <w:p w14:paraId="08211D6F" w14:textId="77777777" w:rsidR="00A20832" w:rsidRPr="00576AF8" w:rsidRDefault="00A20832" w:rsidP="007D0CE0">
      <w:pPr>
        <w:spacing w:after="400"/>
        <w:ind w:left="540" w:hanging="540"/>
      </w:pPr>
      <w:r w:rsidRPr="00576AF8">
        <w:t>6.</w:t>
      </w:r>
      <w:r w:rsidRPr="00576AF8">
        <w:tab/>
        <w:t xml:space="preserve">Sistema, Subsistema, componente principal o equipo que se verá afectado por el cambio solicitado: </w:t>
      </w:r>
      <w:r w:rsidRPr="00576AF8">
        <w:rPr>
          <w:rStyle w:val="preparersnote"/>
        </w:rPr>
        <w:t>[incluya la descripción]</w:t>
      </w:r>
      <w:r w:rsidRPr="00576AF8">
        <w:rPr>
          <w:rStyle w:val="preparersnote"/>
          <w:b w:val="0"/>
        </w:rPr>
        <w:t>.</w:t>
      </w:r>
    </w:p>
    <w:p w14:paraId="7972D894" w14:textId="77777777" w:rsidR="00A20832" w:rsidRPr="00576AF8" w:rsidRDefault="00A20832" w:rsidP="00A20832">
      <w:pPr>
        <w:ind w:left="540" w:hanging="540"/>
      </w:pPr>
      <w:r w:rsidRPr="00576AF8">
        <w:t>7.</w:t>
      </w:r>
      <w:r w:rsidRPr="00576AF8">
        <w:tab/>
        <w:t>Planos o documentos técnicos para el cambio pedido:</w:t>
      </w:r>
    </w:p>
    <w:p w14:paraId="45EB9AE1" w14:textId="77777777" w:rsidR="00A20832" w:rsidRPr="00576AF8" w:rsidRDefault="00A20832" w:rsidP="007D0CE0">
      <w:pPr>
        <w:tabs>
          <w:tab w:val="left" w:pos="3960"/>
        </w:tabs>
        <w:spacing w:after="400"/>
        <w:ind w:left="540"/>
      </w:pPr>
      <w:r w:rsidRPr="00576AF8">
        <w:t>Documento o plano n.º</w:t>
      </w:r>
      <w:r w:rsidRPr="00576AF8">
        <w:tab/>
        <w:t>Descripción</w:t>
      </w:r>
    </w:p>
    <w:p w14:paraId="7AA17FFA" w14:textId="77777777" w:rsidR="00A20832" w:rsidRPr="00576AF8" w:rsidRDefault="00A20832" w:rsidP="00A20832">
      <w:pPr>
        <w:ind w:left="540" w:hanging="540"/>
      </w:pPr>
      <w:r w:rsidRPr="00576AF8">
        <w:lastRenderedPageBreak/>
        <w:t>8.</w:t>
      </w:r>
      <w:r w:rsidRPr="00576AF8">
        <w:tab/>
        <w:t xml:space="preserve">Estimación del incremento o la reducción del precio del Contrato a raíz del cambio propuesto: </w:t>
      </w:r>
      <w:r w:rsidRPr="00576AF8">
        <w:rPr>
          <w:rStyle w:val="preparersnote"/>
        </w:rPr>
        <w:t xml:space="preserve">[indique </w:t>
      </w:r>
      <w:r w:rsidRPr="00576AF8">
        <w:rPr>
          <w:b/>
          <w:i/>
        </w:rPr>
        <w:t>el monto en las monedas del Contrato]</w:t>
      </w:r>
      <w:r w:rsidRPr="00576AF8">
        <w:t>, según se detalla más adelante en el desglose de precios, tarifas y cantidades.</w:t>
      </w:r>
    </w:p>
    <w:p w14:paraId="20B79CA6" w14:textId="77777777" w:rsidR="00A20832" w:rsidRPr="00576AF8" w:rsidRDefault="00A20832" w:rsidP="00A20832">
      <w:pPr>
        <w:tabs>
          <w:tab w:val="left" w:pos="6480"/>
          <w:tab w:val="left" w:pos="8640"/>
        </w:tabs>
        <w:ind w:left="1080" w:hanging="540"/>
      </w:pPr>
      <w:r w:rsidRPr="00576AF8">
        <w:t xml:space="preserve">Costo total del cambio: </w:t>
      </w:r>
    </w:p>
    <w:p w14:paraId="3F01457A" w14:textId="77777777" w:rsidR="00A20832" w:rsidRPr="00576AF8" w:rsidRDefault="00A20832" w:rsidP="007D0CE0">
      <w:pPr>
        <w:tabs>
          <w:tab w:val="left" w:pos="6480"/>
          <w:tab w:val="left" w:pos="8640"/>
        </w:tabs>
        <w:spacing w:after="400"/>
        <w:ind w:left="547"/>
      </w:pPr>
      <w:r w:rsidRPr="00576AF8">
        <w:t xml:space="preserve">Costo de preparación de esta propuesta de cambio (es decir, el monto que habrá que pagar si no se acepta el cambio, con las limitaciones dispuestas en la cláusula 39.2.6 de las CGC): </w:t>
      </w:r>
    </w:p>
    <w:p w14:paraId="2ED32380" w14:textId="77777777" w:rsidR="00A20832" w:rsidRPr="00576AF8" w:rsidRDefault="00A20832" w:rsidP="007D0CE0">
      <w:pPr>
        <w:spacing w:after="400"/>
        <w:ind w:left="540" w:hanging="540"/>
      </w:pPr>
      <w:r w:rsidRPr="00576AF8">
        <w:t>9.</w:t>
      </w:r>
      <w:r w:rsidRPr="00576AF8">
        <w:tab/>
        <w:t xml:space="preserve">Tiempo adicional que tomará obtener la aceptación operativa debido al cambio: </w:t>
      </w:r>
      <w:r w:rsidRPr="00576AF8">
        <w:rPr>
          <w:rStyle w:val="preparersnote"/>
        </w:rPr>
        <w:t>[indique la cantidad de días/semanas]</w:t>
      </w:r>
      <w:r w:rsidRPr="00576AF8">
        <w:rPr>
          <w:rStyle w:val="preparersnote"/>
          <w:b w:val="0"/>
        </w:rPr>
        <w:t xml:space="preserve">. </w:t>
      </w:r>
    </w:p>
    <w:p w14:paraId="7505B898" w14:textId="77777777" w:rsidR="00A20832" w:rsidRPr="00576AF8" w:rsidRDefault="00A20832" w:rsidP="007D0CE0">
      <w:pPr>
        <w:spacing w:after="400"/>
        <w:ind w:left="540" w:hanging="540"/>
      </w:pPr>
      <w:r w:rsidRPr="00576AF8">
        <w:t>10.</w:t>
      </w:r>
      <w:r w:rsidRPr="00576AF8">
        <w:tab/>
        <w:t xml:space="preserve">Efecto del cambio en las garantías de funcionamiento </w:t>
      </w:r>
      <w:r w:rsidRPr="00576AF8">
        <w:rPr>
          <w:rStyle w:val="preparersnote"/>
        </w:rPr>
        <w:t>[incluya la descripción]</w:t>
      </w:r>
      <w:r w:rsidRPr="00576AF8">
        <w:rPr>
          <w:rStyle w:val="preparersnote"/>
          <w:b w:val="0"/>
        </w:rPr>
        <w:t>.</w:t>
      </w:r>
    </w:p>
    <w:p w14:paraId="778789EA" w14:textId="77777777" w:rsidR="00A20832" w:rsidRPr="00576AF8" w:rsidRDefault="00A20832" w:rsidP="007D0CE0">
      <w:pPr>
        <w:spacing w:after="400"/>
        <w:ind w:left="540" w:hanging="540"/>
      </w:pPr>
      <w:r w:rsidRPr="00576AF8">
        <w:t>11.</w:t>
      </w:r>
      <w:r w:rsidRPr="00576AF8">
        <w:tab/>
        <w:t xml:space="preserve">Efecto del cambio en las demás </w:t>
      </w:r>
      <w:r w:rsidR="00C63A4A" w:rsidRPr="00576AF8">
        <w:t>c</w:t>
      </w:r>
      <w:r w:rsidRPr="00576AF8">
        <w:t xml:space="preserve">ondiciones del Contrato: </w:t>
      </w:r>
      <w:r w:rsidRPr="00576AF8">
        <w:rPr>
          <w:rStyle w:val="preparersnote"/>
        </w:rPr>
        <w:t>[incluya la descripción]</w:t>
      </w:r>
      <w:r w:rsidRPr="00576AF8">
        <w:rPr>
          <w:rStyle w:val="preparersnote"/>
          <w:b w:val="0"/>
        </w:rPr>
        <w:t>.</w:t>
      </w:r>
    </w:p>
    <w:p w14:paraId="25C2C906" w14:textId="77777777" w:rsidR="00A20832" w:rsidRPr="00576AF8" w:rsidRDefault="00A20832" w:rsidP="007D0CE0">
      <w:pPr>
        <w:spacing w:after="400"/>
        <w:ind w:left="540" w:hanging="540"/>
      </w:pPr>
      <w:r w:rsidRPr="00576AF8">
        <w:t>12.</w:t>
      </w:r>
      <w:r w:rsidRPr="00576AF8">
        <w:tab/>
        <w:t xml:space="preserve">Período de validez de esta propuesta: </w:t>
      </w:r>
      <w:r w:rsidRPr="00576AF8">
        <w:rPr>
          <w:b/>
          <w:i/>
        </w:rPr>
        <w:t>[indique</w:t>
      </w:r>
      <w:r w:rsidRPr="00576AF8">
        <w:rPr>
          <w:rStyle w:val="preparersnote"/>
        </w:rPr>
        <w:t xml:space="preserve"> </w:t>
      </w:r>
      <w:r w:rsidRPr="00576AF8">
        <w:rPr>
          <w:b/>
          <w:i/>
        </w:rPr>
        <w:t>la cantidad]</w:t>
      </w:r>
      <w:r w:rsidRPr="00576AF8">
        <w:t xml:space="preserve"> días a partir de la fecha en que el Comprador reciba esta propuesta. </w:t>
      </w:r>
    </w:p>
    <w:p w14:paraId="3CA6BE20" w14:textId="77777777" w:rsidR="00A20832" w:rsidRPr="00576AF8" w:rsidRDefault="00A20832" w:rsidP="00A20832">
      <w:pPr>
        <w:ind w:left="540" w:hanging="540"/>
      </w:pPr>
      <w:r w:rsidRPr="00576AF8">
        <w:t>13.</w:t>
      </w:r>
      <w:r w:rsidRPr="00576AF8">
        <w:tab/>
        <w:t>Procedimientos:</w:t>
      </w:r>
    </w:p>
    <w:p w14:paraId="63D8AE62" w14:textId="77777777" w:rsidR="00A20832" w:rsidRPr="00576AF8" w:rsidRDefault="008762EF" w:rsidP="00A20832">
      <w:pPr>
        <w:ind w:left="1080" w:hanging="540"/>
      </w:pPr>
      <w:r w:rsidRPr="00576AF8">
        <w:t>(</w:t>
      </w:r>
      <w:r w:rsidR="00A20832" w:rsidRPr="00576AF8">
        <w:t>a)</w:t>
      </w:r>
      <w:r w:rsidR="00A20832" w:rsidRPr="00576AF8">
        <w:tab/>
        <w:t>Les solicitamos que nos notifiquen su aceptación, comentarios o rechazo de esta propuesta detallada de cambio dentro de los</w:t>
      </w:r>
      <w:r w:rsidR="00A20832" w:rsidRPr="00576AF8">
        <w:rPr>
          <w:b/>
          <w:i/>
        </w:rPr>
        <w:t xml:space="preserve"> [indique</w:t>
      </w:r>
      <w:r w:rsidR="00A20832" w:rsidRPr="00576AF8">
        <w:rPr>
          <w:rStyle w:val="preparersnote"/>
        </w:rPr>
        <w:t xml:space="preserve"> </w:t>
      </w:r>
      <w:r w:rsidR="00A20832" w:rsidRPr="00576AF8">
        <w:rPr>
          <w:b/>
          <w:i/>
        </w:rPr>
        <w:t>la cantidad]</w:t>
      </w:r>
      <w:r w:rsidR="00A20832" w:rsidRPr="00576AF8">
        <w:rPr>
          <w:i/>
        </w:rPr>
        <w:t xml:space="preserve"> </w:t>
      </w:r>
      <w:r w:rsidR="00A20832" w:rsidRPr="00576AF8">
        <w:t>días a partir de la fecha en que reciban esta propuesta.</w:t>
      </w:r>
    </w:p>
    <w:p w14:paraId="0AA6E0DD" w14:textId="77777777" w:rsidR="00A20832" w:rsidRPr="00576AF8" w:rsidRDefault="008762EF" w:rsidP="007D0CE0">
      <w:pPr>
        <w:spacing w:after="400"/>
        <w:ind w:left="1080" w:hanging="540"/>
      </w:pPr>
      <w:r w:rsidRPr="00576AF8">
        <w:t>(</w:t>
      </w:r>
      <w:r w:rsidR="00A20832" w:rsidRPr="00576AF8">
        <w:t>b)</w:t>
      </w:r>
      <w:r w:rsidR="00A20832" w:rsidRPr="00576AF8">
        <w:tab/>
        <w:t xml:space="preserve">Todo incremento o reducción de los precios se tomará en cuenta al ajustar el precio </w:t>
      </w:r>
      <w:r w:rsidRPr="00576AF8">
        <w:br/>
      </w:r>
      <w:r w:rsidR="00A20832" w:rsidRPr="00576AF8">
        <w:t>del Contrato.</w:t>
      </w:r>
    </w:p>
    <w:p w14:paraId="3F0D2A0B" w14:textId="77777777" w:rsidR="00A20832" w:rsidRPr="00576AF8" w:rsidRDefault="00A20832" w:rsidP="007D0CE0">
      <w:pPr>
        <w:spacing w:after="400"/>
      </w:pPr>
      <w:r w:rsidRPr="00576AF8">
        <w:t>En representación del Proveedor:</w:t>
      </w:r>
    </w:p>
    <w:p w14:paraId="7712C4D4" w14:textId="77777777" w:rsidR="00A20832" w:rsidRPr="00576AF8" w:rsidRDefault="00D223D3" w:rsidP="00A20832">
      <w:pPr>
        <w:tabs>
          <w:tab w:val="right" w:pos="900"/>
          <w:tab w:val="left" w:pos="7200"/>
        </w:tabs>
      </w:pPr>
      <w:r w:rsidRPr="00576AF8">
        <w:t>Firma:</w:t>
      </w:r>
    </w:p>
    <w:p w14:paraId="2615FB3E" w14:textId="77777777" w:rsidR="00A20832" w:rsidRPr="00576AF8" w:rsidRDefault="00D223D3" w:rsidP="00A20832">
      <w:pPr>
        <w:tabs>
          <w:tab w:val="right" w:pos="4320"/>
        </w:tabs>
      </w:pPr>
      <w:r w:rsidRPr="00576AF8">
        <w:t xml:space="preserve">Fecha: </w:t>
      </w:r>
    </w:p>
    <w:p w14:paraId="345447AD" w14:textId="77777777" w:rsidR="00A20832" w:rsidRPr="00576AF8" w:rsidRDefault="00A20832" w:rsidP="00A20832">
      <w:r w:rsidRPr="00576AF8">
        <w:t xml:space="preserve">En calidad de: </w:t>
      </w:r>
      <w:r w:rsidRPr="00576AF8">
        <w:rPr>
          <w:rStyle w:val="preparersnote"/>
        </w:rPr>
        <w:t>[indique “representante del Proveedor” u otra autoridad de mayor jerarquía en la organización del Proveedor]</w:t>
      </w:r>
      <w:r w:rsidRPr="00576AF8">
        <w:rPr>
          <w:rStyle w:val="preparersnote"/>
          <w:b w:val="0"/>
        </w:rPr>
        <w:t>.</w:t>
      </w:r>
    </w:p>
    <w:p w14:paraId="204E7CA2" w14:textId="77777777" w:rsidR="00A20832" w:rsidRPr="00576AF8" w:rsidRDefault="00A20832" w:rsidP="00A20832">
      <w:pPr>
        <w:pStyle w:val="Head82"/>
      </w:pPr>
      <w:r w:rsidRPr="00576AF8">
        <w:br w:type="page"/>
      </w:r>
      <w:bookmarkStart w:id="1831" w:name="_Toc448739682"/>
      <w:bookmarkStart w:id="1832" w:name="_Toc479249669"/>
      <w:bookmarkStart w:id="1833" w:name="_Toc483587953"/>
      <w:bookmarkStart w:id="1834" w:name="_Toc488965475"/>
      <w:r w:rsidRPr="00576AF8">
        <w:lastRenderedPageBreak/>
        <w:t>4.5</w:t>
      </w:r>
      <w:r w:rsidRPr="00576AF8">
        <w:tab/>
        <w:t>Formulario de orden de cambio</w:t>
      </w:r>
      <w:bookmarkEnd w:id="1831"/>
      <w:bookmarkEnd w:id="1832"/>
      <w:bookmarkEnd w:id="1833"/>
      <w:bookmarkEnd w:id="1834"/>
    </w:p>
    <w:p w14:paraId="7E1022F2" w14:textId="77777777" w:rsidR="00A20832" w:rsidRPr="00576AF8" w:rsidRDefault="00A20832" w:rsidP="00D223D3">
      <w:pPr>
        <w:spacing w:after="480"/>
        <w:jc w:val="center"/>
      </w:pPr>
      <w:r w:rsidRPr="00576AF8">
        <w:t>(Membrete del Comprador)</w:t>
      </w:r>
    </w:p>
    <w:p w14:paraId="4C19A4C9" w14:textId="77777777" w:rsidR="00A20832" w:rsidRPr="00576AF8" w:rsidRDefault="00A20832" w:rsidP="00A20832">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0ED38B10" w14:textId="77777777" w:rsidR="00A44EB2" w:rsidRPr="00576AF8" w:rsidRDefault="00A20832" w:rsidP="00506FFF">
      <w:pPr>
        <w:tabs>
          <w:tab w:val="right" w:pos="3780"/>
          <w:tab w:val="left" w:pos="3960"/>
          <w:tab w:val="left" w:pos="9000"/>
        </w:tabs>
        <w:ind w:left="3969" w:hanging="3969"/>
      </w:pPr>
      <w:r w:rsidRPr="00576AF8">
        <w:tab/>
        <w:t xml:space="preserve">Número de </w:t>
      </w:r>
      <w:r w:rsidR="00A072B3" w:rsidRPr="00576AF8">
        <w:t>p</w:t>
      </w:r>
      <w:r w:rsidRPr="00576AF8">
        <w:t xml:space="preserve">réstamo o </w:t>
      </w:r>
      <w:r w:rsidR="00A072B3"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648AA8B2" w14:textId="77777777" w:rsidR="00A20832" w:rsidRPr="00576AF8" w:rsidRDefault="00A20832" w:rsidP="00A20832">
      <w:pPr>
        <w:tabs>
          <w:tab w:val="right" w:pos="3780"/>
          <w:tab w:val="left" w:pos="3960"/>
          <w:tab w:val="left" w:pos="9000"/>
        </w:tabs>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3676A43C" w14:textId="77777777" w:rsidR="00A20832" w:rsidRPr="00576AF8" w:rsidRDefault="00A20832" w:rsidP="00D223D3">
      <w:pPr>
        <w:tabs>
          <w:tab w:val="right" w:pos="3780"/>
          <w:tab w:val="left" w:pos="3960"/>
          <w:tab w:val="left" w:pos="9000"/>
        </w:tabs>
        <w:spacing w:after="480"/>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00875709" w14:textId="77777777" w:rsidR="00A20832" w:rsidRPr="00576AF8" w:rsidRDefault="00A20832" w:rsidP="00D223D3">
      <w:pPr>
        <w:tabs>
          <w:tab w:val="left" w:pos="6480"/>
          <w:tab w:val="left" w:pos="9000"/>
        </w:tabs>
        <w:spacing w:after="400"/>
      </w:pPr>
      <w:r w:rsidRPr="00576AF8">
        <w:t xml:space="preserve">Para: </w:t>
      </w:r>
      <w:r w:rsidRPr="00576AF8">
        <w:rPr>
          <w:rStyle w:val="preparersnote"/>
        </w:rPr>
        <w:t>[indique el nombre y la dirección del Proveedor]</w:t>
      </w:r>
      <w:r w:rsidRPr="00576AF8">
        <w:rPr>
          <w:rStyle w:val="preparersnote"/>
          <w:b w:val="0"/>
        </w:rPr>
        <w:t>.</w:t>
      </w:r>
    </w:p>
    <w:p w14:paraId="6322A173" w14:textId="77777777" w:rsidR="00A20832" w:rsidRPr="00576AF8" w:rsidRDefault="00A20832" w:rsidP="00D223D3">
      <w:pPr>
        <w:spacing w:after="400"/>
      </w:pPr>
      <w:r w:rsidRPr="00576AF8">
        <w:t xml:space="preserve">Atención: </w:t>
      </w:r>
      <w:r w:rsidRPr="00576AF8">
        <w:rPr>
          <w:rStyle w:val="preparersnote"/>
        </w:rPr>
        <w:t>[indique nombre y cargo]</w:t>
      </w:r>
      <w:r w:rsidRPr="00576AF8">
        <w:rPr>
          <w:rStyle w:val="preparersnote"/>
          <w:b w:val="0"/>
        </w:rPr>
        <w:t>.</w:t>
      </w:r>
    </w:p>
    <w:p w14:paraId="4298A6EC" w14:textId="77777777" w:rsidR="00A20832" w:rsidRPr="00576AF8" w:rsidRDefault="00A20832" w:rsidP="00D223D3">
      <w:pPr>
        <w:spacing w:after="400"/>
      </w:pPr>
      <w:r w:rsidRPr="00576AF8">
        <w:t>De mi consideración:</w:t>
      </w:r>
    </w:p>
    <w:p w14:paraId="7548917C" w14:textId="77777777" w:rsidR="00A20832" w:rsidRPr="00576AF8" w:rsidRDefault="00A20832" w:rsidP="00D223D3">
      <w:pPr>
        <w:tabs>
          <w:tab w:val="left" w:pos="547"/>
          <w:tab w:val="left" w:pos="8460"/>
        </w:tabs>
        <w:spacing w:after="400"/>
      </w:pPr>
      <w:r w:rsidRPr="00576AF8">
        <w:tab/>
        <w:t xml:space="preserve">Por la presente aprobamos la orden de cambio del trabajo especificado en la propuesta de cambio n.º </w:t>
      </w:r>
      <w:r w:rsidRPr="00576AF8">
        <w:rPr>
          <w:b/>
          <w:i/>
        </w:rPr>
        <w:t>[indique</w:t>
      </w:r>
      <w:r w:rsidRPr="00576AF8">
        <w:rPr>
          <w:i/>
        </w:rPr>
        <w:t xml:space="preserve"> </w:t>
      </w:r>
      <w:r w:rsidRPr="00576AF8">
        <w:rPr>
          <w:b/>
          <w:i/>
        </w:rPr>
        <w:t>el número]</w:t>
      </w:r>
      <w:r w:rsidRPr="00576AF8">
        <w:t>, y convenimos en reajustar el precio del Contrato, el plazo para la terminación u otras condiciones del Contrato, de conformidad con la cláusula 39 de las CGC.</w:t>
      </w:r>
    </w:p>
    <w:p w14:paraId="7C023582" w14:textId="77777777" w:rsidR="00A20832" w:rsidRPr="00576AF8" w:rsidRDefault="00A20832" w:rsidP="00D223D3">
      <w:pPr>
        <w:spacing w:after="400"/>
        <w:ind w:left="540" w:hanging="540"/>
      </w:pPr>
      <w:r w:rsidRPr="00576AF8">
        <w:t>1.</w:t>
      </w:r>
      <w:r w:rsidRPr="00576AF8">
        <w:tab/>
        <w:t xml:space="preserve">Título del cambio: </w:t>
      </w:r>
      <w:r w:rsidRPr="00576AF8">
        <w:rPr>
          <w:rStyle w:val="preparersnote"/>
        </w:rPr>
        <w:t>[indique el nombre]</w:t>
      </w:r>
      <w:r w:rsidRPr="00576AF8">
        <w:rPr>
          <w:rStyle w:val="preparersnote"/>
          <w:b w:val="0"/>
        </w:rPr>
        <w:t>.</w:t>
      </w:r>
    </w:p>
    <w:p w14:paraId="7BCBB8FB" w14:textId="77777777" w:rsidR="00A20832" w:rsidRPr="00576AF8" w:rsidRDefault="00A20832" w:rsidP="00D223D3">
      <w:pPr>
        <w:spacing w:after="400"/>
        <w:ind w:left="540" w:hanging="540"/>
      </w:pPr>
      <w:r w:rsidRPr="00576AF8">
        <w:t>2.</w:t>
      </w:r>
      <w:r w:rsidRPr="00576AF8">
        <w:tab/>
        <w:t xml:space="preserve">Pedido de presentación de propuesta de cambio n.º/Rev.: </w:t>
      </w:r>
      <w:r w:rsidRPr="00576AF8">
        <w:rPr>
          <w:rStyle w:val="preparersnote"/>
        </w:rPr>
        <w:t>[indique el número del pedido/revisión]</w:t>
      </w:r>
      <w:r w:rsidRPr="00576AF8">
        <w:rPr>
          <w:rStyle w:val="preparersnote"/>
          <w:b w:val="0"/>
        </w:rPr>
        <w:t>.</w:t>
      </w:r>
    </w:p>
    <w:p w14:paraId="51845FA8" w14:textId="77777777" w:rsidR="00A20832" w:rsidRPr="00576AF8" w:rsidRDefault="00A20832" w:rsidP="00D223D3">
      <w:pPr>
        <w:spacing w:after="400"/>
        <w:ind w:left="540" w:hanging="540"/>
      </w:pPr>
      <w:r w:rsidRPr="00576AF8">
        <w:t>3.</w:t>
      </w:r>
      <w:r w:rsidRPr="00576AF8">
        <w:tab/>
        <w:t xml:space="preserve">Orden de cambio n.º/Rev.: </w:t>
      </w:r>
      <w:r w:rsidRPr="00576AF8">
        <w:rPr>
          <w:rStyle w:val="preparersnote"/>
        </w:rPr>
        <w:t>[indique el número de orden/revisión]</w:t>
      </w:r>
      <w:r w:rsidRPr="00576AF8">
        <w:rPr>
          <w:rStyle w:val="preparersnote"/>
          <w:b w:val="0"/>
        </w:rPr>
        <w:t>.</w:t>
      </w:r>
    </w:p>
    <w:p w14:paraId="5E568E37" w14:textId="77777777" w:rsidR="00A20832" w:rsidRPr="00576AF8" w:rsidRDefault="00A20832" w:rsidP="00D223D3">
      <w:pPr>
        <w:spacing w:after="400"/>
        <w:ind w:left="540" w:hanging="540"/>
      </w:pPr>
      <w:r w:rsidRPr="00576AF8">
        <w:t>4.</w:t>
      </w:r>
      <w:r w:rsidRPr="00576AF8">
        <w:tab/>
        <w:t xml:space="preserve">Cambio solicitado por: </w:t>
      </w:r>
      <w:r w:rsidRPr="00576AF8">
        <w:rPr>
          <w:rStyle w:val="preparersnote"/>
        </w:rPr>
        <w:t xml:space="preserve">[seleccione “el </w:t>
      </w:r>
      <w:proofErr w:type="gramStart"/>
      <w:r w:rsidRPr="00576AF8">
        <w:rPr>
          <w:rStyle w:val="preparersnote"/>
        </w:rPr>
        <w:t>Comprador”/</w:t>
      </w:r>
      <w:proofErr w:type="gramEnd"/>
      <w:r w:rsidRPr="00576AF8">
        <w:rPr>
          <w:rStyle w:val="preparersnote"/>
        </w:rPr>
        <w:t>”el Proveedor”, y añada el nombre]</w:t>
      </w:r>
      <w:r w:rsidRPr="00576AF8">
        <w:rPr>
          <w:rStyle w:val="preparersnote"/>
          <w:b w:val="0"/>
        </w:rPr>
        <w:t>.</w:t>
      </w:r>
    </w:p>
    <w:p w14:paraId="399ABA2F" w14:textId="77777777" w:rsidR="00A20832" w:rsidRPr="00576AF8" w:rsidRDefault="00A20832" w:rsidP="008762EF">
      <w:pPr>
        <w:tabs>
          <w:tab w:val="left" w:pos="5760"/>
        </w:tabs>
        <w:spacing w:after="100"/>
        <w:ind w:left="540" w:hanging="540"/>
      </w:pPr>
      <w:r w:rsidRPr="00576AF8">
        <w:t>5.</w:t>
      </w:r>
      <w:r w:rsidRPr="00576AF8">
        <w:tab/>
        <w:t>Precio autorizado del cambio:</w:t>
      </w:r>
    </w:p>
    <w:p w14:paraId="7FE56D9E" w14:textId="77777777" w:rsidR="00A20832" w:rsidRPr="00576AF8" w:rsidRDefault="00A20832" w:rsidP="00D223D3">
      <w:pPr>
        <w:tabs>
          <w:tab w:val="left" w:pos="5760"/>
        </w:tabs>
        <w:spacing w:after="400"/>
        <w:ind w:left="540"/>
      </w:pPr>
      <w:r w:rsidRPr="00576AF8">
        <w:t xml:space="preserve">N.º de ref. </w:t>
      </w:r>
      <w:r w:rsidRPr="00576AF8">
        <w:rPr>
          <w:rStyle w:val="preparersnote"/>
        </w:rPr>
        <w:t xml:space="preserve">[indique </w:t>
      </w:r>
      <w:r w:rsidRPr="00576AF8">
        <w:rPr>
          <w:b/>
          <w:i/>
        </w:rPr>
        <w:t>el número]</w:t>
      </w:r>
      <w:r w:rsidRPr="00576AF8">
        <w:rPr>
          <w:i/>
        </w:rPr>
        <w:t>.</w:t>
      </w:r>
      <w:r w:rsidRPr="00576AF8">
        <w:rPr>
          <w:b/>
          <w:i/>
        </w:rPr>
        <w:tab/>
      </w:r>
      <w:r w:rsidRPr="00576AF8">
        <w:t xml:space="preserve">Fecha </w:t>
      </w:r>
      <w:r w:rsidRPr="00576AF8">
        <w:rPr>
          <w:rStyle w:val="preparersnote"/>
        </w:rPr>
        <w:t>[indique la fecha]</w:t>
      </w:r>
      <w:r w:rsidRPr="00576AF8">
        <w:rPr>
          <w:rStyle w:val="preparersnote"/>
          <w:b w:val="0"/>
        </w:rPr>
        <w:t>.</w:t>
      </w:r>
    </w:p>
    <w:p w14:paraId="1FAB50B8" w14:textId="77777777" w:rsidR="00A20832" w:rsidRPr="00576AF8" w:rsidRDefault="00A20832" w:rsidP="00D223D3">
      <w:pPr>
        <w:spacing w:after="400"/>
        <w:ind w:left="540"/>
        <w:rPr>
          <w:spacing w:val="-4"/>
        </w:rPr>
      </w:pPr>
      <w:r w:rsidRPr="00576AF8">
        <w:rPr>
          <w:rStyle w:val="preparersnote"/>
          <w:spacing w:val="-4"/>
        </w:rPr>
        <w:t>[indique el monto en moneda extranjera A],</w:t>
      </w:r>
      <w:r w:rsidRPr="00576AF8">
        <w:rPr>
          <w:b/>
          <w:spacing w:val="-4"/>
        </w:rPr>
        <w:t xml:space="preserve"> </w:t>
      </w:r>
      <w:r w:rsidRPr="00576AF8">
        <w:rPr>
          <w:spacing w:val="-4"/>
        </w:rPr>
        <w:t xml:space="preserve">más </w:t>
      </w:r>
      <w:r w:rsidRPr="00576AF8">
        <w:rPr>
          <w:rStyle w:val="preparersnote"/>
          <w:spacing w:val="-4"/>
        </w:rPr>
        <w:t>[indique el monto en moneda extranjera B],</w:t>
      </w:r>
      <w:r w:rsidRPr="00576AF8">
        <w:rPr>
          <w:b/>
          <w:spacing w:val="-4"/>
        </w:rPr>
        <w:t xml:space="preserve"> </w:t>
      </w:r>
      <w:r w:rsidRPr="00576AF8">
        <w:rPr>
          <w:spacing w:val="-4"/>
        </w:rPr>
        <w:t xml:space="preserve">más </w:t>
      </w:r>
      <w:r w:rsidRPr="00576AF8">
        <w:rPr>
          <w:rStyle w:val="preparersnote"/>
          <w:spacing w:val="-4"/>
        </w:rPr>
        <w:t>[indique el monto en moneda extranjera C],</w:t>
      </w:r>
      <w:r w:rsidRPr="00576AF8">
        <w:rPr>
          <w:b/>
          <w:spacing w:val="-4"/>
        </w:rPr>
        <w:t xml:space="preserve"> </w:t>
      </w:r>
      <w:r w:rsidRPr="00576AF8">
        <w:rPr>
          <w:spacing w:val="-4"/>
        </w:rPr>
        <w:t xml:space="preserve">más </w:t>
      </w:r>
      <w:r w:rsidRPr="00576AF8">
        <w:rPr>
          <w:rStyle w:val="preparersnote"/>
          <w:spacing w:val="-4"/>
        </w:rPr>
        <w:t>[indique el monto en moneda nacional]</w:t>
      </w:r>
      <w:r w:rsidRPr="00576AF8">
        <w:rPr>
          <w:rStyle w:val="preparersnote"/>
          <w:b w:val="0"/>
          <w:spacing w:val="-4"/>
        </w:rPr>
        <w:t>.</w:t>
      </w:r>
    </w:p>
    <w:p w14:paraId="0A446250" w14:textId="77777777" w:rsidR="00A20832" w:rsidRPr="00576AF8" w:rsidRDefault="00A20832" w:rsidP="00D223D3">
      <w:pPr>
        <w:pageBreakBefore/>
        <w:spacing w:after="400"/>
        <w:ind w:left="539" w:hanging="539"/>
      </w:pPr>
      <w:r w:rsidRPr="00576AF8">
        <w:lastRenderedPageBreak/>
        <w:t>6.</w:t>
      </w:r>
      <w:r w:rsidRPr="00576AF8">
        <w:tab/>
        <w:t xml:space="preserve">Ajuste del plazo para obtener la aceptación operativa: </w:t>
      </w:r>
      <w:r w:rsidRPr="00576AF8">
        <w:rPr>
          <w:rStyle w:val="preparersnote"/>
        </w:rPr>
        <w:t>[indique el alcance del ajuste e incluya una descripción]</w:t>
      </w:r>
      <w:r w:rsidRPr="00576AF8">
        <w:rPr>
          <w:rStyle w:val="preparersnote"/>
          <w:b w:val="0"/>
        </w:rPr>
        <w:t>.</w:t>
      </w:r>
    </w:p>
    <w:p w14:paraId="7C7C44C4" w14:textId="77777777" w:rsidR="00A20832" w:rsidRPr="00576AF8" w:rsidRDefault="00A20832" w:rsidP="00D223D3">
      <w:pPr>
        <w:spacing w:after="400"/>
        <w:ind w:left="540" w:hanging="540"/>
        <w:rPr>
          <w:b/>
        </w:rPr>
      </w:pPr>
      <w:r w:rsidRPr="00576AF8">
        <w:t>7.</w:t>
      </w:r>
      <w:r w:rsidRPr="00576AF8">
        <w:tab/>
        <w:t xml:space="preserve">Otros efectos, si los hubiere: </w:t>
      </w:r>
      <w:r w:rsidRPr="00576AF8">
        <w:rPr>
          <w:rStyle w:val="preparersnote"/>
        </w:rPr>
        <w:t>[indique “ninguno” o descríbalos]</w:t>
      </w:r>
      <w:r w:rsidRPr="00576AF8">
        <w:rPr>
          <w:rStyle w:val="preparersnote"/>
          <w:b w:val="0"/>
        </w:rPr>
        <w:t>.</w:t>
      </w:r>
    </w:p>
    <w:p w14:paraId="46670BC3" w14:textId="77777777" w:rsidR="00A20832" w:rsidRPr="00576AF8" w:rsidRDefault="00A20832" w:rsidP="00D223D3">
      <w:pPr>
        <w:spacing w:after="400"/>
      </w:pPr>
      <w:r w:rsidRPr="00576AF8">
        <w:t>En representación del Comprador:</w:t>
      </w:r>
    </w:p>
    <w:p w14:paraId="7A3B1BB7" w14:textId="77777777" w:rsidR="00A20832" w:rsidRPr="00576AF8" w:rsidRDefault="00D223D3" w:rsidP="00A20832">
      <w:pPr>
        <w:tabs>
          <w:tab w:val="right" w:pos="900"/>
          <w:tab w:val="left" w:pos="7200"/>
        </w:tabs>
      </w:pPr>
      <w:r w:rsidRPr="00576AF8">
        <w:t>Firma:</w:t>
      </w:r>
    </w:p>
    <w:p w14:paraId="48A3408E" w14:textId="77777777" w:rsidR="00A20832" w:rsidRPr="00576AF8" w:rsidRDefault="00D223D3" w:rsidP="00A20832">
      <w:pPr>
        <w:tabs>
          <w:tab w:val="right" w:pos="4320"/>
        </w:tabs>
      </w:pPr>
      <w:r w:rsidRPr="00576AF8">
        <w:t xml:space="preserve">Fecha: </w:t>
      </w:r>
    </w:p>
    <w:p w14:paraId="39F051D7" w14:textId="77777777" w:rsidR="00A20832" w:rsidRPr="00576AF8" w:rsidRDefault="00A20832" w:rsidP="00D223D3">
      <w:pPr>
        <w:spacing w:after="400"/>
      </w:pPr>
      <w:r w:rsidRPr="00576AF8">
        <w:t xml:space="preserve">En calidad de: </w:t>
      </w:r>
      <w:r w:rsidRPr="00576AF8">
        <w:rPr>
          <w:rStyle w:val="preparersnote"/>
        </w:rPr>
        <w:t>[indique “gerente de Proyecto” u otra autoridad de mayor jerarquía en la organización del Comprador]</w:t>
      </w:r>
      <w:r w:rsidRPr="00576AF8">
        <w:rPr>
          <w:rStyle w:val="preparersnote"/>
          <w:b w:val="0"/>
        </w:rPr>
        <w:t>.</w:t>
      </w:r>
    </w:p>
    <w:p w14:paraId="53807F2B" w14:textId="77777777" w:rsidR="00A20832" w:rsidRPr="00576AF8" w:rsidRDefault="00A20832" w:rsidP="00D223D3">
      <w:pPr>
        <w:spacing w:after="400"/>
      </w:pPr>
      <w:r w:rsidRPr="00576AF8">
        <w:t>En representación del Proveedor:</w:t>
      </w:r>
    </w:p>
    <w:p w14:paraId="039B7B34" w14:textId="77777777" w:rsidR="00A20832" w:rsidRPr="00576AF8" w:rsidRDefault="00D223D3" w:rsidP="00A20832">
      <w:pPr>
        <w:tabs>
          <w:tab w:val="right" w:pos="900"/>
          <w:tab w:val="left" w:pos="7200"/>
        </w:tabs>
      </w:pPr>
      <w:r w:rsidRPr="00576AF8">
        <w:t>Firma:</w:t>
      </w:r>
    </w:p>
    <w:p w14:paraId="7ED2208D" w14:textId="77777777" w:rsidR="00A20832" w:rsidRPr="00576AF8" w:rsidRDefault="00D223D3" w:rsidP="00A20832">
      <w:pPr>
        <w:tabs>
          <w:tab w:val="right" w:pos="4320"/>
        </w:tabs>
      </w:pPr>
      <w:r w:rsidRPr="00576AF8">
        <w:t xml:space="preserve">Fecha: </w:t>
      </w:r>
    </w:p>
    <w:p w14:paraId="5E37B6EF" w14:textId="77777777" w:rsidR="00A20832" w:rsidRPr="00576AF8" w:rsidRDefault="00A20832" w:rsidP="00A20832">
      <w:r w:rsidRPr="00576AF8">
        <w:t xml:space="preserve">En calidad de: </w:t>
      </w:r>
      <w:r w:rsidRPr="00576AF8">
        <w:rPr>
          <w:rStyle w:val="preparersnote"/>
        </w:rPr>
        <w:t>[indique “representante del Proveedor” u otra autoridad de mayor jerarquía en la organización del Proveedor]</w:t>
      </w:r>
      <w:r w:rsidRPr="00576AF8">
        <w:rPr>
          <w:rStyle w:val="preparersnote"/>
          <w:b w:val="0"/>
        </w:rPr>
        <w:t>.</w:t>
      </w:r>
    </w:p>
    <w:p w14:paraId="1A71D674" w14:textId="77777777" w:rsidR="00A20832" w:rsidRPr="00576AF8" w:rsidRDefault="00A20832" w:rsidP="00A20832">
      <w:pPr>
        <w:jc w:val="center"/>
      </w:pPr>
    </w:p>
    <w:p w14:paraId="1C3CDBA3" w14:textId="77777777" w:rsidR="00A20832" w:rsidRPr="00576AF8" w:rsidRDefault="00A20832" w:rsidP="008762EF">
      <w:pPr>
        <w:pStyle w:val="Head82"/>
        <w:tabs>
          <w:tab w:val="left" w:pos="1843"/>
        </w:tabs>
        <w:ind w:left="1134" w:right="1422" w:firstLine="0"/>
      </w:pPr>
      <w:r w:rsidRPr="00576AF8">
        <w:br w:type="page"/>
      </w:r>
      <w:bookmarkStart w:id="1835" w:name="_Toc448739683"/>
      <w:bookmarkStart w:id="1836" w:name="_Toc479249670"/>
      <w:bookmarkStart w:id="1837" w:name="_Toc483587954"/>
      <w:bookmarkStart w:id="1838" w:name="_Toc488965476"/>
      <w:r w:rsidRPr="00576AF8">
        <w:lastRenderedPageBreak/>
        <w:t>4.6</w:t>
      </w:r>
      <w:r w:rsidRPr="00576AF8">
        <w:tab/>
        <w:t>Formulario de solicitud para presentar una propuesta de cambio</w:t>
      </w:r>
      <w:bookmarkEnd w:id="1835"/>
      <w:bookmarkEnd w:id="1836"/>
      <w:bookmarkEnd w:id="1837"/>
      <w:bookmarkEnd w:id="1838"/>
    </w:p>
    <w:p w14:paraId="65C2B83B" w14:textId="77777777" w:rsidR="00A20832" w:rsidRPr="00576AF8" w:rsidRDefault="00A20832" w:rsidP="00D223D3">
      <w:pPr>
        <w:spacing w:after="480"/>
        <w:jc w:val="center"/>
      </w:pPr>
      <w:r w:rsidRPr="00576AF8">
        <w:t>(Membrete del Proveedor)</w:t>
      </w:r>
    </w:p>
    <w:p w14:paraId="7A229C3A" w14:textId="77777777" w:rsidR="00A20832" w:rsidRPr="00576AF8" w:rsidRDefault="00A20832" w:rsidP="00A20832">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1CD05362" w14:textId="77777777" w:rsidR="00A44EB2" w:rsidRPr="00576AF8" w:rsidRDefault="00A20832" w:rsidP="00506FFF">
      <w:pPr>
        <w:tabs>
          <w:tab w:val="right" w:pos="3780"/>
          <w:tab w:val="left" w:pos="3960"/>
          <w:tab w:val="left" w:pos="9000"/>
        </w:tabs>
        <w:ind w:left="3969" w:hanging="3969"/>
      </w:pPr>
      <w:r w:rsidRPr="00576AF8">
        <w:tab/>
        <w:t xml:space="preserve">Número de </w:t>
      </w:r>
      <w:r w:rsidR="00BA10BE" w:rsidRPr="00576AF8">
        <w:t>p</w:t>
      </w:r>
      <w:r w:rsidRPr="00576AF8">
        <w:t xml:space="preserve">réstamo o </w:t>
      </w:r>
      <w:r w:rsidR="00BA10BE" w:rsidRPr="00576AF8">
        <w:t>c</w:t>
      </w:r>
      <w:r w:rsidRPr="00576AF8">
        <w:t>rédito:</w:t>
      </w:r>
      <w:r w:rsidRPr="00576AF8">
        <w:tab/>
      </w:r>
      <w:r w:rsidRPr="00576AF8">
        <w:rPr>
          <w:rStyle w:val="preparersnote"/>
        </w:rPr>
        <w:t xml:space="preserve">[indique el número de préstamo que figura en la </w:t>
      </w:r>
      <w:r w:rsidR="0046742A" w:rsidRPr="00576AF8">
        <w:rPr>
          <w:rStyle w:val="preparersnote"/>
        </w:rPr>
        <w:t>licitación</w:t>
      </w:r>
      <w:r w:rsidRPr="00576AF8">
        <w:rPr>
          <w:rStyle w:val="preparersnote"/>
        </w:rPr>
        <w:t>]</w:t>
      </w:r>
      <w:r w:rsidRPr="00576AF8">
        <w:rPr>
          <w:rStyle w:val="preparersnote"/>
          <w:b w:val="0"/>
        </w:rPr>
        <w:t>.</w:t>
      </w:r>
    </w:p>
    <w:p w14:paraId="7F1BA93E" w14:textId="77777777" w:rsidR="00A20832" w:rsidRPr="00576AF8" w:rsidRDefault="00A20832" w:rsidP="00A20832">
      <w:pPr>
        <w:tabs>
          <w:tab w:val="right" w:pos="3780"/>
          <w:tab w:val="left" w:pos="3960"/>
          <w:tab w:val="left" w:pos="9000"/>
        </w:tabs>
        <w:ind w:left="3960" w:hanging="3960"/>
        <w:rPr>
          <w:spacing w:val="-4"/>
        </w:rPr>
      </w:pPr>
      <w:r w:rsidRPr="00576AF8">
        <w:rPr>
          <w:spacing w:val="-4"/>
        </w:rPr>
        <w:tab/>
      </w:r>
      <w:r w:rsidR="0046742A" w:rsidRPr="00576AF8">
        <w:rPr>
          <w:spacing w:val="-4"/>
        </w:rPr>
        <w:t>Licitación</w:t>
      </w:r>
      <w:r w:rsidRPr="00576AF8">
        <w:rPr>
          <w:spacing w:val="-4"/>
        </w:rPr>
        <w:t>:</w:t>
      </w:r>
      <w:r w:rsidRPr="00576AF8">
        <w:rPr>
          <w:spacing w:val="-4"/>
        </w:rPr>
        <w:tab/>
      </w:r>
      <w:r w:rsidRPr="00576AF8">
        <w:rPr>
          <w:rStyle w:val="preparersnote"/>
          <w:spacing w:val="-4"/>
        </w:rPr>
        <w:t xml:space="preserve">[indique el título y el número de la </w:t>
      </w:r>
      <w:r w:rsidR="0046742A" w:rsidRPr="00576AF8">
        <w:rPr>
          <w:rStyle w:val="preparersnote"/>
          <w:spacing w:val="-4"/>
        </w:rPr>
        <w:t>licitación</w:t>
      </w:r>
      <w:r w:rsidRPr="00576AF8">
        <w:rPr>
          <w:rStyle w:val="preparersnote"/>
          <w:spacing w:val="-4"/>
        </w:rPr>
        <w:t>]</w:t>
      </w:r>
      <w:r w:rsidRPr="00576AF8">
        <w:rPr>
          <w:rStyle w:val="preparersnote"/>
          <w:b w:val="0"/>
          <w:spacing w:val="-4"/>
        </w:rPr>
        <w:t>.</w:t>
      </w:r>
    </w:p>
    <w:p w14:paraId="6338BD23" w14:textId="77777777" w:rsidR="00A20832" w:rsidRPr="00576AF8" w:rsidRDefault="00A20832" w:rsidP="00D223D3">
      <w:pPr>
        <w:tabs>
          <w:tab w:val="right" w:pos="3780"/>
          <w:tab w:val="left" w:pos="3960"/>
          <w:tab w:val="left" w:pos="9000"/>
        </w:tabs>
        <w:spacing w:after="480"/>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12BCCD3F" w14:textId="77777777" w:rsidR="00A20832" w:rsidRPr="00576AF8" w:rsidRDefault="00A20832" w:rsidP="00D223D3">
      <w:pPr>
        <w:tabs>
          <w:tab w:val="left" w:pos="6480"/>
          <w:tab w:val="left" w:pos="9000"/>
        </w:tabs>
        <w:spacing w:after="400"/>
      </w:pPr>
      <w:r w:rsidRPr="00576AF8">
        <w:t xml:space="preserve">Para: </w:t>
      </w:r>
      <w:r w:rsidRPr="00576AF8">
        <w:rPr>
          <w:rStyle w:val="preparersnote"/>
        </w:rPr>
        <w:t>[indique el nombre y la dirección del Comprador]</w:t>
      </w:r>
      <w:r w:rsidRPr="00576AF8">
        <w:rPr>
          <w:rStyle w:val="preparersnote"/>
          <w:b w:val="0"/>
        </w:rPr>
        <w:t>.</w:t>
      </w:r>
    </w:p>
    <w:p w14:paraId="701AA215" w14:textId="77777777" w:rsidR="00A20832" w:rsidRPr="00576AF8" w:rsidRDefault="00A20832" w:rsidP="00D223D3">
      <w:pPr>
        <w:spacing w:after="400"/>
      </w:pPr>
      <w:r w:rsidRPr="00576AF8">
        <w:t xml:space="preserve">Atención: </w:t>
      </w:r>
      <w:r w:rsidRPr="00576AF8">
        <w:rPr>
          <w:rStyle w:val="preparersnote"/>
        </w:rPr>
        <w:t>[indique nombre y cargo]</w:t>
      </w:r>
      <w:r w:rsidRPr="00576AF8">
        <w:rPr>
          <w:rStyle w:val="preparersnote"/>
          <w:b w:val="0"/>
        </w:rPr>
        <w:t>.</w:t>
      </w:r>
    </w:p>
    <w:p w14:paraId="48C8E24F" w14:textId="77777777" w:rsidR="00A20832" w:rsidRPr="00576AF8" w:rsidRDefault="00A20832" w:rsidP="00D223D3">
      <w:pPr>
        <w:spacing w:after="400"/>
      </w:pPr>
      <w:r w:rsidRPr="00576AF8">
        <w:t>De mi consideración:</w:t>
      </w:r>
    </w:p>
    <w:p w14:paraId="5D9ED314" w14:textId="77777777" w:rsidR="00A20832" w:rsidRPr="00576AF8" w:rsidRDefault="00A20832" w:rsidP="00D223D3">
      <w:pPr>
        <w:spacing w:after="400"/>
      </w:pPr>
      <w:r w:rsidRPr="00576AF8">
        <w:tab/>
        <w:t>Por la presente les proponemos que el trabajo que se menciona a continuación sea considerado como un cambio en el Sistema.</w:t>
      </w:r>
    </w:p>
    <w:p w14:paraId="31149310" w14:textId="77777777" w:rsidR="00A20832" w:rsidRPr="00576AF8" w:rsidRDefault="00A20832" w:rsidP="00D223D3">
      <w:pPr>
        <w:spacing w:after="400"/>
        <w:ind w:left="540" w:hanging="540"/>
        <w:rPr>
          <w:b/>
        </w:rPr>
      </w:pPr>
      <w:r w:rsidRPr="00576AF8">
        <w:t>1.</w:t>
      </w:r>
      <w:r w:rsidRPr="00576AF8">
        <w:tab/>
        <w:t xml:space="preserve">Título del cambio: </w:t>
      </w:r>
      <w:r w:rsidRPr="00576AF8">
        <w:rPr>
          <w:rStyle w:val="preparersnote"/>
        </w:rPr>
        <w:t>[indique el nombre]</w:t>
      </w:r>
      <w:r w:rsidRPr="00576AF8">
        <w:rPr>
          <w:rStyle w:val="preparersnote"/>
          <w:b w:val="0"/>
        </w:rPr>
        <w:t>.</w:t>
      </w:r>
    </w:p>
    <w:p w14:paraId="7D5A9CC2" w14:textId="77777777" w:rsidR="00A20832" w:rsidRPr="00576AF8" w:rsidRDefault="00A20832" w:rsidP="00D223D3">
      <w:pPr>
        <w:tabs>
          <w:tab w:val="left" w:pos="7560"/>
        </w:tabs>
        <w:spacing w:after="400"/>
        <w:ind w:left="540" w:hanging="540"/>
      </w:pPr>
      <w:r w:rsidRPr="00576AF8">
        <w:t>2.</w:t>
      </w:r>
      <w:r w:rsidRPr="00576AF8">
        <w:tab/>
      </w:r>
      <w:r w:rsidR="00BA10BE" w:rsidRPr="00576AF8">
        <w:t>S</w:t>
      </w:r>
      <w:r w:rsidRPr="00576AF8">
        <w:t xml:space="preserve">olicitud para presentar una propuesta de cambio n.º/Rev.: </w:t>
      </w:r>
      <w:r w:rsidRPr="00576AF8">
        <w:rPr>
          <w:rStyle w:val="preparersnote"/>
        </w:rPr>
        <w:t xml:space="preserve">[indique </w:t>
      </w:r>
      <w:r w:rsidRPr="00576AF8">
        <w:rPr>
          <w:b/>
          <w:i/>
        </w:rPr>
        <w:t>el número/revisión]</w:t>
      </w:r>
      <w:r w:rsidRPr="00576AF8">
        <w:t xml:space="preserve"> de fecha: </w:t>
      </w:r>
      <w:r w:rsidRPr="00576AF8">
        <w:rPr>
          <w:rStyle w:val="preparersnote"/>
        </w:rPr>
        <w:t>[indique la fecha]</w:t>
      </w:r>
      <w:r w:rsidRPr="00576AF8">
        <w:rPr>
          <w:rStyle w:val="preparersnote"/>
          <w:b w:val="0"/>
        </w:rPr>
        <w:t>.</w:t>
      </w:r>
    </w:p>
    <w:p w14:paraId="183CB76A" w14:textId="77777777" w:rsidR="00A20832" w:rsidRPr="00576AF8" w:rsidRDefault="00A20832" w:rsidP="00D223D3">
      <w:pPr>
        <w:spacing w:after="400"/>
        <w:ind w:left="540" w:hanging="540"/>
      </w:pPr>
      <w:r w:rsidRPr="00576AF8">
        <w:t>3.</w:t>
      </w:r>
      <w:r w:rsidRPr="00576AF8">
        <w:tab/>
        <w:t xml:space="preserve">Breve descripción del cambio: </w:t>
      </w:r>
      <w:r w:rsidRPr="00576AF8">
        <w:rPr>
          <w:rStyle w:val="preparersnote"/>
        </w:rPr>
        <w:t>[incluya la descripción]</w:t>
      </w:r>
      <w:r w:rsidRPr="00576AF8">
        <w:rPr>
          <w:rStyle w:val="preparersnote"/>
          <w:b w:val="0"/>
        </w:rPr>
        <w:t>.</w:t>
      </w:r>
    </w:p>
    <w:p w14:paraId="6C551793" w14:textId="77777777" w:rsidR="00A20832" w:rsidRPr="00576AF8" w:rsidRDefault="00A20832" w:rsidP="00D223D3">
      <w:pPr>
        <w:spacing w:after="400"/>
        <w:ind w:left="540" w:hanging="540"/>
      </w:pPr>
      <w:r w:rsidRPr="00576AF8">
        <w:t>4.</w:t>
      </w:r>
      <w:r w:rsidRPr="00576AF8">
        <w:tab/>
        <w:t xml:space="preserve">Razones del cambio: </w:t>
      </w:r>
      <w:r w:rsidRPr="00576AF8">
        <w:rPr>
          <w:rStyle w:val="preparersnote"/>
        </w:rPr>
        <w:t>[incluya la descripción]</w:t>
      </w:r>
      <w:r w:rsidRPr="00576AF8">
        <w:rPr>
          <w:rStyle w:val="preparersnote"/>
          <w:b w:val="0"/>
        </w:rPr>
        <w:t>.</w:t>
      </w:r>
    </w:p>
    <w:p w14:paraId="177659D7" w14:textId="77777777" w:rsidR="00A20832" w:rsidRPr="00576AF8" w:rsidRDefault="00A20832" w:rsidP="00D223D3">
      <w:pPr>
        <w:spacing w:after="400"/>
        <w:ind w:left="540" w:hanging="540"/>
      </w:pPr>
      <w:r w:rsidRPr="00576AF8">
        <w:t>5.</w:t>
      </w:r>
      <w:r w:rsidRPr="00576AF8">
        <w:tab/>
        <w:t xml:space="preserve">Orden de magnitud de la estimación </w:t>
      </w:r>
      <w:r w:rsidRPr="00576AF8">
        <w:rPr>
          <w:rStyle w:val="preparersnote"/>
        </w:rPr>
        <w:t>[indique el monto en las monedas del Contrato].</w:t>
      </w:r>
    </w:p>
    <w:p w14:paraId="32615543" w14:textId="77777777" w:rsidR="00A20832" w:rsidRPr="00576AF8" w:rsidRDefault="00A20832" w:rsidP="00D223D3">
      <w:pPr>
        <w:spacing w:after="400"/>
        <w:ind w:left="540" w:hanging="540"/>
      </w:pPr>
      <w:r w:rsidRPr="00576AF8">
        <w:t>6.</w:t>
      </w:r>
      <w:r w:rsidRPr="00576AF8">
        <w:tab/>
        <w:t xml:space="preserve">Efecto previsto del cambio en el </w:t>
      </w:r>
      <w:r w:rsidR="00BA10BE" w:rsidRPr="00576AF8">
        <w:t>cronograma</w:t>
      </w:r>
      <w:r w:rsidRPr="00576AF8">
        <w:t xml:space="preserve">: </w:t>
      </w:r>
      <w:r w:rsidRPr="00576AF8">
        <w:rPr>
          <w:rStyle w:val="preparersnote"/>
        </w:rPr>
        <w:t>[incluya la descripción]</w:t>
      </w:r>
      <w:r w:rsidRPr="00576AF8">
        <w:rPr>
          <w:rStyle w:val="preparersnote"/>
          <w:b w:val="0"/>
        </w:rPr>
        <w:t>.</w:t>
      </w:r>
    </w:p>
    <w:p w14:paraId="5B10C21B" w14:textId="77777777" w:rsidR="00A20832" w:rsidRPr="00576AF8" w:rsidRDefault="00A20832" w:rsidP="00D223D3">
      <w:pPr>
        <w:spacing w:after="400"/>
        <w:ind w:left="540" w:hanging="540"/>
        <w:rPr>
          <w:spacing w:val="-4"/>
        </w:rPr>
      </w:pPr>
      <w:r w:rsidRPr="00576AF8">
        <w:rPr>
          <w:spacing w:val="-4"/>
        </w:rPr>
        <w:t>7.</w:t>
      </w:r>
      <w:r w:rsidRPr="00576AF8">
        <w:rPr>
          <w:spacing w:val="-4"/>
        </w:rPr>
        <w:tab/>
        <w:t xml:space="preserve">Efecto del cambio en las garantías de funcionamiento (si lo hubiera): </w:t>
      </w:r>
      <w:r w:rsidRPr="00576AF8">
        <w:rPr>
          <w:rStyle w:val="preparersnote"/>
          <w:spacing w:val="-4"/>
        </w:rPr>
        <w:t>[incluya la descripción]</w:t>
      </w:r>
      <w:r w:rsidRPr="00576AF8">
        <w:rPr>
          <w:rStyle w:val="preparersnote"/>
          <w:b w:val="0"/>
          <w:spacing w:val="-4"/>
        </w:rPr>
        <w:t>.</w:t>
      </w:r>
    </w:p>
    <w:p w14:paraId="2CF36CB0" w14:textId="77777777" w:rsidR="00A20832" w:rsidRPr="00576AF8" w:rsidRDefault="00A20832" w:rsidP="00D223D3">
      <w:pPr>
        <w:spacing w:after="400"/>
        <w:ind w:left="540" w:hanging="540"/>
      </w:pPr>
      <w:r w:rsidRPr="00576AF8">
        <w:t>8.</w:t>
      </w:r>
      <w:r w:rsidRPr="00576AF8">
        <w:tab/>
        <w:t xml:space="preserve">Apéndices: </w:t>
      </w:r>
      <w:r w:rsidRPr="00576AF8">
        <w:rPr>
          <w:rStyle w:val="preparersnote"/>
        </w:rPr>
        <w:t>[indique los títulos, si los hubiera; en caso contrario indique “ninguno”]</w:t>
      </w:r>
      <w:r w:rsidRPr="00576AF8">
        <w:rPr>
          <w:rStyle w:val="preparersnote"/>
          <w:b w:val="0"/>
        </w:rPr>
        <w:t>.</w:t>
      </w:r>
    </w:p>
    <w:p w14:paraId="119D5E7A" w14:textId="77777777" w:rsidR="00A20832" w:rsidRPr="00576AF8" w:rsidRDefault="00A20832" w:rsidP="00D223D3">
      <w:pPr>
        <w:spacing w:after="400"/>
      </w:pPr>
      <w:r w:rsidRPr="00576AF8">
        <w:lastRenderedPageBreak/>
        <w:t>En representación del Proveedor:</w:t>
      </w:r>
    </w:p>
    <w:p w14:paraId="5D3E2D2F" w14:textId="77777777" w:rsidR="00A20832" w:rsidRPr="00576AF8" w:rsidRDefault="00D223D3" w:rsidP="00A20832">
      <w:pPr>
        <w:tabs>
          <w:tab w:val="right" w:pos="900"/>
          <w:tab w:val="left" w:pos="7200"/>
        </w:tabs>
      </w:pPr>
      <w:r w:rsidRPr="00576AF8">
        <w:t>Firma:</w:t>
      </w:r>
    </w:p>
    <w:p w14:paraId="35584D20" w14:textId="77777777" w:rsidR="00A20832" w:rsidRPr="00576AF8" w:rsidRDefault="00D223D3" w:rsidP="00A20832">
      <w:pPr>
        <w:tabs>
          <w:tab w:val="right" w:pos="4320"/>
        </w:tabs>
      </w:pPr>
      <w:r w:rsidRPr="00576AF8">
        <w:t xml:space="preserve">Fecha: </w:t>
      </w:r>
    </w:p>
    <w:p w14:paraId="1793916E" w14:textId="77777777" w:rsidR="00A20832" w:rsidRPr="00576AF8" w:rsidRDefault="00A20832" w:rsidP="00A20832">
      <w:pPr>
        <w:rPr>
          <w:rStyle w:val="preparersnote"/>
          <w:b w:val="0"/>
        </w:rPr>
      </w:pPr>
      <w:r w:rsidRPr="00576AF8">
        <w:t xml:space="preserve">En calidad de: </w:t>
      </w:r>
      <w:r w:rsidRPr="00576AF8">
        <w:rPr>
          <w:rStyle w:val="preparersnote"/>
        </w:rPr>
        <w:t>[indique “representante del Proveedor” u otra autoridad de mayor jerarquía en la organización del Proveedor]</w:t>
      </w:r>
      <w:r w:rsidRPr="00576AF8">
        <w:rPr>
          <w:rStyle w:val="preparersnote"/>
          <w:b w:val="0"/>
        </w:rPr>
        <w:t>.</w:t>
      </w:r>
      <w:bookmarkEnd w:id="1800"/>
      <w:bookmarkEnd w:id="1801"/>
    </w:p>
    <w:p w14:paraId="133EE368" w14:textId="77777777" w:rsidR="000C4234" w:rsidRPr="00576AF8" w:rsidRDefault="000C4234" w:rsidP="00A20832"/>
    <w:p w14:paraId="6EA6DA54" w14:textId="77777777" w:rsidR="000C4234" w:rsidRPr="00576AF8" w:rsidRDefault="000C4234">
      <w:pPr>
        <w:suppressAutoHyphens w:val="0"/>
        <w:spacing w:after="0"/>
        <w:jc w:val="left"/>
      </w:pPr>
      <w:r w:rsidRPr="00576AF8">
        <w:br w:type="page"/>
      </w:r>
    </w:p>
    <w:p w14:paraId="1212C8A5" w14:textId="77777777" w:rsidR="000C4234" w:rsidRPr="00576AF8" w:rsidRDefault="000C4234" w:rsidP="000C4234">
      <w:pPr>
        <w:pStyle w:val="Head82"/>
        <w:tabs>
          <w:tab w:val="left" w:pos="1843"/>
        </w:tabs>
        <w:ind w:left="1134" w:right="1422" w:firstLine="0"/>
      </w:pPr>
      <w:r w:rsidRPr="00576AF8">
        <w:lastRenderedPageBreak/>
        <w:t>4.7</w:t>
      </w:r>
      <w:r w:rsidRPr="00576AF8">
        <w:tab/>
        <w:t>Formulario de solicitud para presentar una propuesta de cambio de Personal clave</w:t>
      </w:r>
    </w:p>
    <w:p w14:paraId="75A82CCB" w14:textId="77777777" w:rsidR="000C4234" w:rsidRPr="00576AF8" w:rsidRDefault="000C4234" w:rsidP="000C4234">
      <w:pPr>
        <w:spacing w:after="480"/>
        <w:jc w:val="center"/>
      </w:pPr>
      <w:r w:rsidRPr="00576AF8">
        <w:t>(Membrete del Proveedor)</w:t>
      </w:r>
    </w:p>
    <w:p w14:paraId="4FCB5331" w14:textId="77777777" w:rsidR="000C4234" w:rsidRPr="00576AF8" w:rsidRDefault="000C4234" w:rsidP="000C4234">
      <w:pPr>
        <w:tabs>
          <w:tab w:val="right" w:pos="3780"/>
          <w:tab w:val="left" w:pos="3960"/>
          <w:tab w:val="left" w:pos="9000"/>
        </w:tabs>
      </w:pPr>
      <w:r w:rsidRPr="00576AF8">
        <w:tab/>
        <w:t>Fecha:</w:t>
      </w:r>
      <w:r w:rsidRPr="00576AF8">
        <w:tab/>
      </w:r>
      <w:r w:rsidRPr="00576AF8">
        <w:rPr>
          <w:rStyle w:val="preparersnote"/>
        </w:rPr>
        <w:t>[indique la fecha]</w:t>
      </w:r>
      <w:r w:rsidRPr="00576AF8">
        <w:rPr>
          <w:rStyle w:val="preparersnote"/>
          <w:b w:val="0"/>
        </w:rPr>
        <w:t>.</w:t>
      </w:r>
    </w:p>
    <w:p w14:paraId="46436AEC" w14:textId="77777777" w:rsidR="000C4234" w:rsidRPr="00576AF8" w:rsidRDefault="000C4234" w:rsidP="000C4234">
      <w:pPr>
        <w:tabs>
          <w:tab w:val="right" w:pos="3780"/>
          <w:tab w:val="left" w:pos="3960"/>
          <w:tab w:val="left" w:pos="9000"/>
        </w:tabs>
        <w:ind w:left="3969" w:hanging="3969"/>
      </w:pPr>
      <w:r w:rsidRPr="00576AF8">
        <w:tab/>
        <w:t>Número de préstamo o crédito:</w:t>
      </w:r>
      <w:r w:rsidRPr="00576AF8">
        <w:tab/>
      </w:r>
      <w:r w:rsidRPr="00576AF8">
        <w:rPr>
          <w:rStyle w:val="preparersnote"/>
        </w:rPr>
        <w:t>[indique el número de préstamo que figura en la licitación]</w:t>
      </w:r>
      <w:r w:rsidRPr="00576AF8">
        <w:rPr>
          <w:rStyle w:val="preparersnote"/>
          <w:b w:val="0"/>
        </w:rPr>
        <w:t>.</w:t>
      </w:r>
    </w:p>
    <w:p w14:paraId="2369BDB2" w14:textId="77777777" w:rsidR="000C4234" w:rsidRPr="00576AF8" w:rsidRDefault="000C4234" w:rsidP="000C4234">
      <w:pPr>
        <w:tabs>
          <w:tab w:val="right" w:pos="3780"/>
          <w:tab w:val="left" w:pos="3960"/>
          <w:tab w:val="left" w:pos="9000"/>
        </w:tabs>
        <w:ind w:left="3960" w:hanging="3960"/>
        <w:rPr>
          <w:spacing w:val="-4"/>
        </w:rPr>
      </w:pPr>
      <w:r w:rsidRPr="00576AF8">
        <w:rPr>
          <w:spacing w:val="-4"/>
        </w:rPr>
        <w:tab/>
        <w:t>Licitación:</w:t>
      </w:r>
      <w:r w:rsidRPr="00576AF8">
        <w:rPr>
          <w:spacing w:val="-4"/>
        </w:rPr>
        <w:tab/>
      </w:r>
      <w:r w:rsidRPr="00576AF8">
        <w:rPr>
          <w:rStyle w:val="preparersnote"/>
          <w:spacing w:val="-4"/>
        </w:rPr>
        <w:t>[indique el título y el número de la licitación]</w:t>
      </w:r>
      <w:r w:rsidRPr="00576AF8">
        <w:rPr>
          <w:rStyle w:val="preparersnote"/>
          <w:b w:val="0"/>
          <w:spacing w:val="-4"/>
        </w:rPr>
        <w:t>.</w:t>
      </w:r>
    </w:p>
    <w:p w14:paraId="2A9F26F7" w14:textId="77777777" w:rsidR="000C4234" w:rsidRPr="00576AF8" w:rsidRDefault="000C4234" w:rsidP="000C4234">
      <w:pPr>
        <w:tabs>
          <w:tab w:val="right" w:pos="3780"/>
          <w:tab w:val="left" w:pos="3960"/>
          <w:tab w:val="left" w:pos="9000"/>
        </w:tabs>
        <w:spacing w:after="480"/>
        <w:ind w:left="3960" w:hanging="3960"/>
      </w:pPr>
      <w:r w:rsidRPr="00576AF8">
        <w:tab/>
        <w:t>Contrato:</w:t>
      </w:r>
      <w:r w:rsidRPr="00576AF8">
        <w:tab/>
      </w:r>
      <w:r w:rsidRPr="00576AF8">
        <w:rPr>
          <w:rStyle w:val="preparersnote"/>
        </w:rPr>
        <w:t>[indique el nombre del Sistema o Subsistema y el número del Contrato]</w:t>
      </w:r>
      <w:r w:rsidRPr="00576AF8">
        <w:rPr>
          <w:rStyle w:val="preparersnote"/>
          <w:b w:val="0"/>
        </w:rPr>
        <w:t>.</w:t>
      </w:r>
    </w:p>
    <w:p w14:paraId="36A68847" w14:textId="77777777" w:rsidR="000C4234" w:rsidRPr="00576AF8" w:rsidRDefault="000C4234" w:rsidP="000C4234">
      <w:pPr>
        <w:tabs>
          <w:tab w:val="left" w:pos="6480"/>
          <w:tab w:val="left" w:pos="9000"/>
        </w:tabs>
        <w:spacing w:after="400"/>
      </w:pPr>
      <w:r w:rsidRPr="00576AF8">
        <w:t xml:space="preserve">Para: </w:t>
      </w:r>
      <w:r w:rsidRPr="00576AF8">
        <w:rPr>
          <w:rStyle w:val="preparersnote"/>
        </w:rPr>
        <w:t>[indique el nombre y la dirección del Comprador]</w:t>
      </w:r>
      <w:r w:rsidRPr="00576AF8">
        <w:rPr>
          <w:rStyle w:val="preparersnote"/>
          <w:b w:val="0"/>
        </w:rPr>
        <w:t>.</w:t>
      </w:r>
    </w:p>
    <w:p w14:paraId="2DC6EEA0" w14:textId="77777777" w:rsidR="000C4234" w:rsidRPr="00576AF8" w:rsidRDefault="000C4234" w:rsidP="000C4234">
      <w:pPr>
        <w:spacing w:after="400"/>
      </w:pPr>
      <w:r w:rsidRPr="00576AF8">
        <w:t xml:space="preserve">Atención: </w:t>
      </w:r>
      <w:r w:rsidRPr="00576AF8">
        <w:rPr>
          <w:rStyle w:val="preparersnote"/>
        </w:rPr>
        <w:t>[indique nombre y cargo]</w:t>
      </w:r>
      <w:r w:rsidRPr="00576AF8">
        <w:rPr>
          <w:rStyle w:val="preparersnote"/>
          <w:b w:val="0"/>
        </w:rPr>
        <w:t>.</w:t>
      </w:r>
    </w:p>
    <w:p w14:paraId="43BD3A01" w14:textId="77777777" w:rsidR="000C4234" w:rsidRPr="00576AF8" w:rsidRDefault="000C4234" w:rsidP="000C4234">
      <w:pPr>
        <w:spacing w:after="400"/>
      </w:pPr>
      <w:r w:rsidRPr="00576AF8">
        <w:t>De mi consideración:</w:t>
      </w:r>
    </w:p>
    <w:p w14:paraId="4D6715F3" w14:textId="77777777" w:rsidR="000C4234" w:rsidRPr="00576AF8" w:rsidRDefault="000C4234" w:rsidP="000C4234">
      <w:pPr>
        <w:spacing w:after="400"/>
      </w:pPr>
      <w:r w:rsidRPr="00576AF8">
        <w:tab/>
        <w:t>Por la presente les proponemos un cambio en el Personal Clave que se menciona a continuación. Mucho agradeceremos su confirmación de la aceptación del cambio.</w:t>
      </w:r>
    </w:p>
    <w:p w14:paraId="06C1E01A" w14:textId="77777777" w:rsidR="000C4234" w:rsidRPr="00576AF8" w:rsidRDefault="000C4234" w:rsidP="000C4234">
      <w:pPr>
        <w:spacing w:after="400"/>
        <w:ind w:left="540" w:hanging="540"/>
        <w:rPr>
          <w:b/>
        </w:rPr>
      </w:pPr>
      <w:r w:rsidRPr="00576AF8">
        <w:t>1.</w:t>
      </w:r>
      <w:r w:rsidRPr="00576AF8">
        <w:tab/>
        <w:t xml:space="preserve">Título de la posición: </w:t>
      </w:r>
      <w:r w:rsidRPr="00576AF8">
        <w:rPr>
          <w:rStyle w:val="preparersnote"/>
        </w:rPr>
        <w:t>[indique el nombre]</w:t>
      </w:r>
      <w:r w:rsidRPr="00576AF8">
        <w:rPr>
          <w:rStyle w:val="preparersnote"/>
          <w:b w:val="0"/>
        </w:rPr>
        <w:t>.</w:t>
      </w:r>
    </w:p>
    <w:p w14:paraId="56BEEA3C" w14:textId="77777777" w:rsidR="000C4234" w:rsidRPr="00576AF8" w:rsidRDefault="000C4234" w:rsidP="000C4234">
      <w:pPr>
        <w:tabs>
          <w:tab w:val="left" w:pos="7560"/>
        </w:tabs>
        <w:spacing w:after="400"/>
        <w:ind w:left="540" w:hanging="540"/>
      </w:pPr>
      <w:r w:rsidRPr="00576AF8">
        <w:t>2.</w:t>
      </w:r>
      <w:r w:rsidRPr="00576AF8">
        <w:tab/>
        <w:t xml:space="preserve">Solicitud para presentar una propuesta de cambio n.º/Rev.: </w:t>
      </w:r>
      <w:r w:rsidRPr="00576AF8">
        <w:rPr>
          <w:rStyle w:val="preparersnote"/>
        </w:rPr>
        <w:t xml:space="preserve">[indique </w:t>
      </w:r>
      <w:r w:rsidRPr="00576AF8">
        <w:rPr>
          <w:b/>
          <w:i/>
        </w:rPr>
        <w:t>el número/revisión]</w:t>
      </w:r>
      <w:r w:rsidRPr="00576AF8">
        <w:t xml:space="preserve"> de fecha: </w:t>
      </w:r>
      <w:r w:rsidRPr="00576AF8">
        <w:rPr>
          <w:rStyle w:val="preparersnote"/>
        </w:rPr>
        <w:t>[indique la fecha]</w:t>
      </w:r>
      <w:r w:rsidRPr="00576AF8">
        <w:rPr>
          <w:rStyle w:val="preparersnote"/>
          <w:b w:val="0"/>
        </w:rPr>
        <w:t>.</w:t>
      </w:r>
    </w:p>
    <w:p w14:paraId="752CE0C0" w14:textId="77777777" w:rsidR="000C4234" w:rsidRPr="00576AF8" w:rsidRDefault="000C4234" w:rsidP="000C4234">
      <w:pPr>
        <w:spacing w:after="400"/>
        <w:ind w:left="540" w:hanging="540"/>
      </w:pPr>
      <w:r w:rsidRPr="00576AF8">
        <w:t>3.</w:t>
      </w:r>
      <w:r w:rsidRPr="00576AF8">
        <w:tab/>
        <w:t xml:space="preserve">Breve descripción del cambio de personal: </w:t>
      </w:r>
      <w:r w:rsidRPr="00576AF8">
        <w:rPr>
          <w:rStyle w:val="preparersnote"/>
        </w:rPr>
        <w:t>[incluya la descripción]</w:t>
      </w:r>
      <w:r w:rsidRPr="00576AF8">
        <w:rPr>
          <w:rStyle w:val="preparersnote"/>
          <w:b w:val="0"/>
        </w:rPr>
        <w:t>.</w:t>
      </w:r>
    </w:p>
    <w:p w14:paraId="55B7279A" w14:textId="77777777" w:rsidR="000C4234" w:rsidRPr="00576AF8" w:rsidRDefault="000C4234" w:rsidP="000C4234">
      <w:pPr>
        <w:spacing w:after="400"/>
        <w:ind w:left="540" w:hanging="540"/>
      </w:pPr>
      <w:r w:rsidRPr="00576AF8">
        <w:t>4.</w:t>
      </w:r>
      <w:r w:rsidRPr="00576AF8">
        <w:tab/>
        <w:t xml:space="preserve">Razones del cambio: </w:t>
      </w:r>
      <w:r w:rsidRPr="00576AF8">
        <w:rPr>
          <w:rStyle w:val="preparersnote"/>
        </w:rPr>
        <w:t>[incluya la descripción]</w:t>
      </w:r>
      <w:r w:rsidRPr="00576AF8">
        <w:rPr>
          <w:rStyle w:val="preparersnote"/>
          <w:b w:val="0"/>
        </w:rPr>
        <w:t>.</w:t>
      </w:r>
    </w:p>
    <w:p w14:paraId="6E77108A" w14:textId="77777777" w:rsidR="000C4234" w:rsidRPr="00576AF8" w:rsidRDefault="000C4234" w:rsidP="000C4234">
      <w:pPr>
        <w:spacing w:after="400"/>
        <w:ind w:left="540" w:hanging="540"/>
      </w:pPr>
      <w:r w:rsidRPr="00576AF8">
        <w:t>5.</w:t>
      </w:r>
      <w:r w:rsidRPr="00576AF8">
        <w:tab/>
        <w:t xml:space="preserve">Efecto previsto del cambio en el cronograma: </w:t>
      </w:r>
      <w:r w:rsidRPr="00576AF8">
        <w:rPr>
          <w:rStyle w:val="preparersnote"/>
        </w:rPr>
        <w:t>[incluya la descripción]</w:t>
      </w:r>
      <w:r w:rsidRPr="00576AF8">
        <w:rPr>
          <w:rStyle w:val="preparersnote"/>
          <w:b w:val="0"/>
        </w:rPr>
        <w:t>.</w:t>
      </w:r>
    </w:p>
    <w:p w14:paraId="68C276EA" w14:textId="77777777" w:rsidR="000C4234" w:rsidRPr="00576AF8" w:rsidRDefault="000C4234" w:rsidP="000C4234">
      <w:pPr>
        <w:spacing w:after="400"/>
        <w:ind w:left="540" w:hanging="540"/>
      </w:pPr>
      <w:r w:rsidRPr="00576AF8">
        <w:t>8.</w:t>
      </w:r>
      <w:r w:rsidRPr="00576AF8">
        <w:tab/>
        <w:t xml:space="preserve">Apéndices: </w:t>
      </w:r>
      <w:r w:rsidRPr="00576AF8">
        <w:rPr>
          <w:rStyle w:val="preparersnote"/>
        </w:rPr>
        <w:t>[indique los títulos, si los hubiera; en caso contrario indique “ninguno”]</w:t>
      </w:r>
      <w:r w:rsidRPr="00576AF8">
        <w:rPr>
          <w:rStyle w:val="preparersnote"/>
          <w:b w:val="0"/>
        </w:rPr>
        <w:t>.</w:t>
      </w:r>
    </w:p>
    <w:p w14:paraId="0758E7B9" w14:textId="77777777" w:rsidR="000C4234" w:rsidRPr="00576AF8" w:rsidRDefault="000C4234" w:rsidP="000C4234">
      <w:pPr>
        <w:spacing w:after="400"/>
      </w:pPr>
      <w:r w:rsidRPr="00576AF8">
        <w:t>En representación del Proveedor:</w:t>
      </w:r>
    </w:p>
    <w:p w14:paraId="78BE4938" w14:textId="77777777" w:rsidR="000C4234" w:rsidRPr="00576AF8" w:rsidRDefault="000C4234" w:rsidP="000C4234">
      <w:pPr>
        <w:tabs>
          <w:tab w:val="right" w:pos="900"/>
          <w:tab w:val="left" w:pos="7200"/>
        </w:tabs>
      </w:pPr>
      <w:r w:rsidRPr="00576AF8">
        <w:t>Firma:</w:t>
      </w:r>
    </w:p>
    <w:p w14:paraId="370BDF35" w14:textId="77777777" w:rsidR="000C4234" w:rsidRPr="00576AF8" w:rsidRDefault="000C4234" w:rsidP="000C4234">
      <w:pPr>
        <w:tabs>
          <w:tab w:val="right" w:pos="4320"/>
        </w:tabs>
      </w:pPr>
      <w:r w:rsidRPr="00576AF8">
        <w:t xml:space="preserve">Fecha: </w:t>
      </w:r>
    </w:p>
    <w:p w14:paraId="5D7EC374" w14:textId="77777777" w:rsidR="000C4234" w:rsidRPr="00576AF8" w:rsidRDefault="000C4234" w:rsidP="000C4234">
      <w:r w:rsidRPr="00576AF8">
        <w:lastRenderedPageBreak/>
        <w:t xml:space="preserve">En calidad de: </w:t>
      </w:r>
      <w:r w:rsidRPr="00576AF8">
        <w:rPr>
          <w:rStyle w:val="preparersnote"/>
        </w:rPr>
        <w:t>[indique “representante del Proveedor” u otra autoridad de mayor jerarquía en la organización del Proveedor]</w:t>
      </w:r>
      <w:r w:rsidRPr="00576AF8">
        <w:rPr>
          <w:rStyle w:val="preparersnote"/>
          <w:b w:val="0"/>
        </w:rPr>
        <w:t>.</w:t>
      </w:r>
    </w:p>
    <w:p w14:paraId="631D12C1" w14:textId="77777777" w:rsidR="000C4234" w:rsidRPr="00576AF8" w:rsidRDefault="000C4234" w:rsidP="00A20832"/>
    <w:sectPr w:rsidR="000C4234" w:rsidRPr="00576AF8" w:rsidSect="000968D2">
      <w:headerReference w:type="even" r:id="rId80"/>
      <w:footnotePr>
        <w:numRestart w:val="eachSect"/>
      </w:footnotePr>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2886C7" w16cex:dateUtc="2024-10-21T19:17:00Z"/>
  <w16cex:commentExtensible w16cex:durableId="2AC2380C">
    <w16cex:extLst>
      <w16:ext w16:uri="{CE6994B0-6A32-4C9F-8C6B-6E91EDA988CE}">
        <cr:reactions xmlns:cr="http://schemas.microsoft.com/office/comments/2020/reactions">
          <cr:reaction reactionType="1">
            <cr:reactionInfo dateUtc="2024-11-20T13:45:05Z">
              <cr:user userId="BID" userProvider="None" userName="BID"/>
            </cr:reactionInfo>
          </cr:reaction>
        </cr:reactions>
      </w16:ext>
    </w16cex:extLst>
  </w16cex:commentExtensible>
  <w16cex:commentExtensible w16cex:durableId="720CD658" w16cex:dateUtc="2024-10-21T19:23:00Z"/>
  <w16cex:commentExtensible w16cex:durableId="19ED8D60" w16cex:dateUtc="2024-11-20T13:51:00Z"/>
  <w16cex:commentExtensible w16cex:durableId="6BA93803" w16cex:dateUtc="2024-10-21T19:33:00Z"/>
  <w16cex:commentExtensible w16cex:durableId="1A5E22D4" w16cex:dateUtc="2024-11-20T14:04:00Z"/>
  <w16cex:commentExtensible w16cex:durableId="53B1069F" w16cex:dateUtc="2024-10-21T19:35:00Z"/>
  <w16cex:commentExtensible w16cex:durableId="2AC23B2C">
    <w16cex:extLst>
      <w16:ext w16:uri="{CE6994B0-6A32-4C9F-8C6B-6E91EDA988CE}">
        <cr:reactions xmlns:cr="http://schemas.microsoft.com/office/comments/2020/reactions">
          <cr:reaction reactionType="1">
            <cr:reactionInfo dateUtc="2024-11-20T14:11:08Z">
              <cr:user userId="BID" userProvider="None" userName="BID"/>
            </cr:reactionInfo>
          </cr:reaction>
        </cr:reactions>
      </w16:ext>
    </w16cex:extLst>
  </w16cex:commentExtensible>
  <w16cex:commentExtensible w16cex:durableId="091A1BEC" w16cex:dateUtc="2024-10-21T19:38:00Z"/>
  <w16cex:commentExtensible w16cex:durableId="0CA7CC96" w16cex:dateUtc="2024-11-20T14:15:00Z"/>
  <w16cex:commentExtensible w16cex:durableId="096A6B8C" w16cex:dateUtc="2024-10-21T19:30:00Z"/>
  <w16cex:commentExtensible w16cex:durableId="2AC23D62">
    <w16cex:extLst>
      <w16:ext w16:uri="{CE6994B0-6A32-4C9F-8C6B-6E91EDA988CE}">
        <cr:reactions xmlns:cr="http://schemas.microsoft.com/office/comments/2020/reactions">
          <cr:reaction reactionType="1">
            <cr:reactionInfo dateUtc="2024-11-20T14:17:21Z">
              <cr:user userId="BID" userProvider="None" userName="BID"/>
            </cr:reactionInfo>
          </cr:reaction>
        </cr:reactions>
      </w16:ext>
    </w16cex:extLst>
  </w16cex:commentExtensible>
  <w16cex:commentExtensible w16cex:durableId="6AEBE547" w16cex:dateUtc="2024-10-21T19:55:00Z"/>
  <w16cex:commentExtensible w16cex:durableId="779ED6AD" w16cex:dateUtc="2024-11-20T14:30:00Z"/>
  <w16cex:commentExtensible w16cex:durableId="1B063D18" w16cex:dateUtc="2024-10-21T19:49:00Z"/>
  <w16cex:commentExtensible w16cex:durableId="01287ABE" w16cex:dateUtc="2024-11-20T14:19:00Z"/>
  <w16cex:commentExtensible w16cex:durableId="35CE1A83" w16cex:dateUtc="2024-10-21T20:03:00Z"/>
  <w16cex:commentExtensible w16cex:durableId="2AC23DC1">
    <w16cex:extLst>
      <w16:ext w16:uri="{CE6994B0-6A32-4C9F-8C6B-6E91EDA988CE}">
        <cr:reactions xmlns:cr="http://schemas.microsoft.com/office/comments/2020/reactions">
          <cr:reaction reactionType="1">
            <cr:reactionInfo dateUtc="2024-11-20T14:30:23Z">
              <cr:user userId="BID" userProvider="None" userName="BID"/>
            </cr:reactionInfo>
          </cr:reaction>
        </cr:reactions>
      </w16:ext>
    </w16cex:extLst>
  </w16cex:commentExtensible>
  <w16cex:commentExtensible w16cex:durableId="780177C2" w16cex:dateUtc="2024-10-21T20:03:00Z"/>
  <w16cex:commentExtensible w16cex:durableId="2AC23F3E">
    <w16cex:extLst>
      <w16:ext w16:uri="{CE6994B0-6A32-4C9F-8C6B-6E91EDA988CE}">
        <cr:reactions xmlns:cr="http://schemas.microsoft.com/office/comments/2020/reactions">
          <cr:reaction reactionType="1">
            <cr:reactionInfo dateUtc="2024-11-20T14:30:44Z">
              <cr:user userId="BID" userProvider="None" userName="BID"/>
            </cr:reactionInfo>
          </cr:reaction>
        </cr:reactions>
      </w16:ext>
    </w16cex:extLst>
  </w16cex:commentExtensible>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1E12C" w14:textId="77777777" w:rsidR="006334E7" w:rsidRDefault="006334E7">
      <w:r>
        <w:separator/>
      </w:r>
    </w:p>
  </w:endnote>
  <w:endnote w:type="continuationSeparator" w:id="0">
    <w:p w14:paraId="233A2369" w14:textId="77777777" w:rsidR="006334E7" w:rsidRDefault="006334E7">
      <w:r>
        <w:continuationSeparator/>
      </w:r>
    </w:p>
  </w:endnote>
  <w:endnote w:type="continuationNotice" w:id="1">
    <w:p w14:paraId="6174C7A5" w14:textId="77777777" w:rsidR="006334E7" w:rsidRDefault="006334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Bold">
    <w:altName w:val="Times New Roman"/>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ot;Times New Roman&quot;,serif">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0"/>
      <w:gridCol w:w="3250"/>
      <w:gridCol w:w="3250"/>
    </w:tblGrid>
    <w:tr w:rsidR="00A611D4" w14:paraId="01681FD5" w14:textId="77777777" w:rsidTr="009F6B78">
      <w:trPr>
        <w:trHeight w:val="300"/>
      </w:trPr>
      <w:tc>
        <w:tcPr>
          <w:tcW w:w="3250" w:type="dxa"/>
        </w:tcPr>
        <w:p w14:paraId="05D4C7CC" w14:textId="77777777" w:rsidR="00A611D4" w:rsidRDefault="00A611D4" w:rsidP="009F6B78">
          <w:pPr>
            <w:pStyle w:val="Encabezado"/>
            <w:ind w:left="-115"/>
            <w:jc w:val="left"/>
          </w:pPr>
        </w:p>
      </w:tc>
      <w:tc>
        <w:tcPr>
          <w:tcW w:w="3250" w:type="dxa"/>
        </w:tcPr>
        <w:p w14:paraId="4F0180B3" w14:textId="77777777" w:rsidR="00A611D4" w:rsidRDefault="00A611D4" w:rsidP="009F6B78">
          <w:pPr>
            <w:pStyle w:val="Encabezado"/>
            <w:jc w:val="center"/>
          </w:pPr>
        </w:p>
      </w:tc>
      <w:tc>
        <w:tcPr>
          <w:tcW w:w="3250" w:type="dxa"/>
        </w:tcPr>
        <w:p w14:paraId="07B33796" w14:textId="77777777" w:rsidR="00A611D4" w:rsidRDefault="00A611D4" w:rsidP="009F6B78">
          <w:pPr>
            <w:pStyle w:val="Encabezado"/>
            <w:ind w:right="-115"/>
            <w:jc w:val="right"/>
          </w:pPr>
        </w:p>
      </w:tc>
    </w:tr>
  </w:tbl>
  <w:p w14:paraId="1299D38C" w14:textId="77777777" w:rsidR="00A611D4" w:rsidRDefault="00A611D4" w:rsidP="009F6B78">
    <w:pPr>
      <w:pStyle w:val="Piedepgina"/>
    </w:pPr>
  </w:p>
  <w:p w14:paraId="325558EF" w14:textId="77777777" w:rsidR="00A611D4" w:rsidRDefault="00A611D4" w:rsidP="009F6B78">
    <w:pPr>
      <w:pStyle w:val="Piedepgina"/>
      <w:tabs>
        <w:tab w:val="clear" w:pos="4320"/>
        <w:tab w:val="clear" w:pos="8640"/>
        <w:tab w:val="left" w:pos="6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0"/>
      <w:gridCol w:w="3250"/>
      <w:gridCol w:w="3250"/>
    </w:tblGrid>
    <w:tr w:rsidR="00A611D4" w14:paraId="2D4FB4F9" w14:textId="77777777" w:rsidTr="009F6B78">
      <w:trPr>
        <w:trHeight w:val="300"/>
      </w:trPr>
      <w:tc>
        <w:tcPr>
          <w:tcW w:w="3250" w:type="dxa"/>
        </w:tcPr>
        <w:p w14:paraId="68E343B5" w14:textId="77777777" w:rsidR="00A611D4" w:rsidRDefault="00A611D4" w:rsidP="009F6B78">
          <w:pPr>
            <w:pStyle w:val="Encabezado"/>
            <w:ind w:left="-115"/>
            <w:jc w:val="left"/>
          </w:pPr>
        </w:p>
      </w:tc>
      <w:tc>
        <w:tcPr>
          <w:tcW w:w="3250" w:type="dxa"/>
        </w:tcPr>
        <w:p w14:paraId="71A95F34" w14:textId="77777777" w:rsidR="00A611D4" w:rsidRDefault="00A611D4" w:rsidP="009F6B78">
          <w:pPr>
            <w:pStyle w:val="Encabezado"/>
            <w:jc w:val="center"/>
          </w:pPr>
        </w:p>
      </w:tc>
      <w:tc>
        <w:tcPr>
          <w:tcW w:w="3250" w:type="dxa"/>
        </w:tcPr>
        <w:p w14:paraId="09B62FAD" w14:textId="77777777" w:rsidR="00A611D4" w:rsidRDefault="00A611D4" w:rsidP="009F6B78">
          <w:pPr>
            <w:pStyle w:val="Encabezado"/>
            <w:ind w:right="-115"/>
            <w:jc w:val="right"/>
          </w:pPr>
        </w:p>
      </w:tc>
    </w:tr>
  </w:tbl>
  <w:p w14:paraId="65DE85FA" w14:textId="77777777" w:rsidR="00A611D4" w:rsidRDefault="00A611D4" w:rsidP="009F6B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38532" w14:textId="77777777" w:rsidR="006334E7" w:rsidRDefault="006334E7">
      <w:r>
        <w:separator/>
      </w:r>
    </w:p>
  </w:footnote>
  <w:footnote w:type="continuationSeparator" w:id="0">
    <w:p w14:paraId="0F306024" w14:textId="77777777" w:rsidR="006334E7" w:rsidRDefault="006334E7">
      <w:r>
        <w:continuationSeparator/>
      </w:r>
    </w:p>
  </w:footnote>
  <w:footnote w:type="continuationNotice" w:id="1">
    <w:p w14:paraId="6761CBC0" w14:textId="77777777" w:rsidR="006334E7" w:rsidRDefault="006334E7">
      <w:pPr>
        <w:spacing w:after="0"/>
      </w:pPr>
    </w:p>
  </w:footnote>
  <w:footnote w:id="2">
    <w:p w14:paraId="62A77210" w14:textId="77777777" w:rsidR="00A611D4" w:rsidRPr="004722F6" w:rsidRDefault="00A611D4" w:rsidP="00205118">
      <w:pPr>
        <w:jc w:val="left"/>
        <w:rPr>
          <w:sz w:val="18"/>
          <w:lang w:val="es-ES_tradnl"/>
        </w:rPr>
      </w:pPr>
      <w:r>
        <w:rPr>
          <w:rStyle w:val="Refdenotaalpie"/>
        </w:rPr>
        <w:footnoteRef/>
      </w:r>
      <w:r>
        <w:t xml:space="preserve"> </w:t>
      </w:r>
      <w:r w:rsidRPr="004722F6">
        <w:rPr>
          <w:sz w:val="18"/>
          <w:lang w:val="es-ES_tradnl"/>
        </w:rPr>
        <w:t xml:space="preserve">En tales casos el Banco debe encontrarse satisfecho con la funcionalidad de dicho sistema, según lo dispuesto en el párrafo </w:t>
      </w:r>
      <w:r>
        <w:rPr>
          <w:sz w:val="18"/>
          <w:lang w:val="es-ES_tradnl"/>
        </w:rPr>
        <w:t>3.21</w:t>
      </w:r>
      <w:r w:rsidRPr="004722F6">
        <w:rPr>
          <w:sz w:val="18"/>
          <w:lang w:val="es-ES_tradnl"/>
        </w:rPr>
        <w:t xml:space="preserve"> de las Políticas de Adquisiciones</w:t>
      </w:r>
      <w:r w:rsidRPr="004722F6" w:rsidDel="00370A53">
        <w:rPr>
          <w:sz w:val="18"/>
          <w:lang w:val="es-ES_tradnl"/>
        </w:rPr>
        <w:t xml:space="preserve"> </w:t>
      </w:r>
      <w:r>
        <w:rPr>
          <w:sz w:val="18"/>
          <w:lang w:val="es-ES_tradnl"/>
        </w:rPr>
        <w:t>GN-2349-15.</w:t>
      </w:r>
    </w:p>
    <w:p w14:paraId="4CCFADC6" w14:textId="77777777" w:rsidR="00A611D4" w:rsidRPr="00592B16" w:rsidRDefault="00A611D4" w:rsidP="00205118">
      <w:pPr>
        <w:pStyle w:val="Textonotapie"/>
      </w:pPr>
    </w:p>
  </w:footnote>
  <w:footnote w:id="3">
    <w:p w14:paraId="564A563A" w14:textId="77777777" w:rsidR="00A611D4" w:rsidRPr="00592B16" w:rsidRDefault="00A611D4" w:rsidP="003D5E7A">
      <w:pPr>
        <w:pStyle w:val="Textonotapie"/>
        <w:ind w:left="142" w:hanging="142"/>
        <w:jc w:val="both"/>
        <w:rPr>
          <w:rFonts w:ascii="Times New Roman" w:hAnsi="Times New Roman"/>
          <w:lang w:val="es-ES_tradnl"/>
        </w:rPr>
      </w:pPr>
      <w:r w:rsidRPr="007B045D">
        <w:rPr>
          <w:rStyle w:val="Refdenotaalpie"/>
          <w:lang w:val="es-ES_tradnl"/>
        </w:rPr>
        <w:footnoteRef/>
      </w:r>
      <w:r w:rsidRPr="007B045D">
        <w:rPr>
          <w:rFonts w:ascii="Times New Roman" w:hAnsi="Times New Roman"/>
          <w:lang w:val="es-ES_tradnl"/>
        </w:rPr>
        <w:t xml:space="preserve"> En el sitio virtual del Banco (</w:t>
      </w:r>
      <w:r w:rsidRPr="007B045D">
        <w:rPr>
          <w:rStyle w:val="Hipervnculo"/>
          <w:rFonts w:ascii="Times New Roman" w:hAnsi="Times New Roman"/>
          <w:lang w:val="es-ES_tradnl"/>
        </w:rPr>
        <w:t>www.iadb.org/integridad</w:t>
      </w:r>
      <w:r w:rsidRPr="007B045D">
        <w:rPr>
          <w:rFonts w:ascii="Times New Roman" w:hAnsi="Times New Roman"/>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7CDACBFA" w14:textId="77777777" w:rsidR="00A611D4" w:rsidRPr="00822242" w:rsidRDefault="00A611D4">
      <w:pPr>
        <w:pStyle w:val="Textonotapie"/>
        <w:rPr>
          <w:lang w:val="es-EC"/>
        </w:rPr>
      </w:pPr>
      <w:r>
        <w:rPr>
          <w:rStyle w:val="Refdenotaalpie"/>
        </w:rPr>
        <w:footnoteRef/>
      </w:r>
      <w:r>
        <w:t xml:space="preserve"> </w:t>
      </w:r>
      <w:r>
        <w:rPr>
          <w:lang w:val="es-EC"/>
        </w:rPr>
        <w:t>Este valor ya incluye el descuento conseguido relacionado al puntaje técnico alcanzado, como se detalla en el literal (c) del numeral 3 de este Sección.</w:t>
      </w:r>
    </w:p>
  </w:footnote>
  <w:footnote w:id="5">
    <w:p w14:paraId="70D03F03" w14:textId="77777777" w:rsidR="00A611D4" w:rsidRPr="00506FFF" w:rsidRDefault="00A611D4" w:rsidP="00A01121">
      <w:pPr>
        <w:pStyle w:val="Textonotapie"/>
        <w:ind w:left="0" w:firstLine="0"/>
        <w:rPr>
          <w:rFonts w:ascii="Times New Roman" w:hAnsi="Times New Roman"/>
        </w:rPr>
      </w:pPr>
      <w:r w:rsidRPr="00DF732E">
        <w:rPr>
          <w:rStyle w:val="Refdenotaalpie"/>
        </w:rPr>
        <w:footnoteRef/>
      </w:r>
      <w:r w:rsidRPr="00506FFF">
        <w:rPr>
          <w:rFonts w:ascii="Times New Roman" w:hAnsi="Times New Roman"/>
        </w:rPr>
        <w:t xml:space="preserve"> </w:t>
      </w:r>
      <w:r>
        <w:rPr>
          <w:rFonts w:ascii="Times New Roman" w:hAnsi="Times New Roman"/>
        </w:rPr>
        <w:t>E</w:t>
      </w:r>
      <w:r w:rsidRPr="00506FFF">
        <w:rPr>
          <w:rFonts w:ascii="Times New Roman" w:hAnsi="Times New Roman"/>
        </w:rPr>
        <w:t xml:space="preserve">l incumplimiento incluirá todos los contratos en los que </w:t>
      </w:r>
      <w:r>
        <w:rPr>
          <w:rFonts w:ascii="Times New Roman" w:hAnsi="Times New Roman"/>
        </w:rPr>
        <w:t>(</w:t>
      </w:r>
      <w:r w:rsidRPr="00506FFF">
        <w:rPr>
          <w:rFonts w:ascii="Times New Roman" w:hAnsi="Times New Roman"/>
        </w:rPr>
        <w:t xml:space="preserve">a) el contratista no haya impugnado el incumplimiento, incluso a través del mecanismo de resolución de controversias previsto en el contrato respectivo, y </w:t>
      </w:r>
      <w:r>
        <w:rPr>
          <w:rFonts w:ascii="Times New Roman" w:hAnsi="Times New Roman"/>
        </w:rPr>
        <w:t>(</w:t>
      </w:r>
      <w:r w:rsidRPr="00506FFF">
        <w:rPr>
          <w:rFonts w:ascii="Times New Roman" w:hAnsi="Times New Roman"/>
        </w:rPr>
        <w:t>b) sí se haya impugnado el incumplimiento, pero se haya fallado de manera definitiva en contra del contratista. El incumplimiento no incluirá los contratos en los que la decisión del Comprador haya sido desestimada a través del mecanismo de resolución de controversias. El incumplimiento se determinará sobre la base de toda la información relativa a controversias o litigios que se hayan resuelto de manera definitiva, es decir, controversias o litigios cuya resolución haya tenido lugar en el marco del mecanismo de resolución de controversias previsto en el contrato respectivo y en los que se hayan agotado todas las instancias de apelación que el postulante tuviera a su disposición.</w:t>
      </w:r>
    </w:p>
  </w:footnote>
  <w:footnote w:id="6">
    <w:p w14:paraId="000E4669" w14:textId="77777777" w:rsidR="00A611D4" w:rsidRPr="00506FFF" w:rsidRDefault="00A611D4">
      <w:pPr>
        <w:pStyle w:val="Textonotapie"/>
        <w:rPr>
          <w:rFonts w:ascii="Times New Roman" w:hAnsi="Times New Roman"/>
        </w:rPr>
      </w:pPr>
      <w:r w:rsidRPr="00DF732E">
        <w:rPr>
          <w:rStyle w:val="Refdenotaalpie"/>
        </w:rPr>
        <w:footnoteRef/>
      </w:r>
      <w:r w:rsidRPr="00506FFF">
        <w:rPr>
          <w:rFonts w:ascii="Times New Roman" w:hAnsi="Times New Roman"/>
        </w:rPr>
        <w:t xml:space="preserve"> Este requisito también se aplica a los contratos ejecutados por el postulante como miembro de una </w:t>
      </w:r>
      <w:r>
        <w:rPr>
          <w:rFonts w:ascii="Times New Roman" w:hAnsi="Times New Roman"/>
        </w:rPr>
        <w:t>APCA</w:t>
      </w:r>
      <w:r w:rsidRPr="00506FFF">
        <w:rPr>
          <w:rFonts w:ascii="Times New Roman" w:hAnsi="Times New Roman"/>
        </w:rPr>
        <w:t>.</w:t>
      </w:r>
    </w:p>
  </w:footnote>
  <w:footnote w:id="7">
    <w:p w14:paraId="3EAFE869" w14:textId="77777777" w:rsidR="00A611D4" w:rsidRPr="00506FFF" w:rsidRDefault="00A611D4" w:rsidP="004B0CD6">
      <w:pPr>
        <w:pStyle w:val="Textonotapie"/>
        <w:ind w:left="0" w:firstLine="0"/>
        <w:rPr>
          <w:rFonts w:ascii="Times New Roman" w:hAnsi="Times New Roman"/>
        </w:rPr>
      </w:pPr>
      <w:r w:rsidRPr="00DF732E">
        <w:rPr>
          <w:rStyle w:val="Refdenotaalpie"/>
        </w:rPr>
        <w:footnoteRef/>
      </w:r>
      <w:r w:rsidRPr="00506FFF">
        <w:rPr>
          <w:rFonts w:ascii="Times New Roman" w:hAnsi="Times New Roman"/>
        </w:rPr>
        <w:t xml:space="preserve"> En el caso de los contratos en virtud de los cuales el Licitante participó como miembro de una </w:t>
      </w:r>
      <w:r>
        <w:rPr>
          <w:rFonts w:ascii="Times New Roman" w:hAnsi="Times New Roman"/>
        </w:rPr>
        <w:t>APCA</w:t>
      </w:r>
      <w:r w:rsidRPr="00506FFF">
        <w:rPr>
          <w:rFonts w:ascii="Times New Roman" w:hAnsi="Times New Roman"/>
        </w:rPr>
        <w:t xml:space="preserve"> o subcontratista, solo se considerarán la proporción, según el valor, y la función y las responsabilidades del Licitante para el cumplimiento de este requisito.</w:t>
      </w:r>
    </w:p>
  </w:footnote>
  <w:footnote w:id="8">
    <w:p w14:paraId="092E5C2D" w14:textId="77777777" w:rsidR="00A611D4" w:rsidRPr="006E5EEA" w:rsidRDefault="00A611D4" w:rsidP="00462D53">
      <w:pPr>
        <w:pStyle w:val="Textonotapie"/>
        <w:rPr>
          <w:lang w:val="es-EC"/>
        </w:rPr>
      </w:pPr>
      <w:r>
        <w:rPr>
          <w:rStyle w:val="Refdenotaalpie"/>
        </w:rPr>
        <w:footnoteRef/>
      </w:r>
      <w:r w:rsidRPr="00934CAB">
        <w:rPr>
          <w:lang w:val="es-EC"/>
        </w:rPr>
        <w:t xml:space="preserve"> </w:t>
      </w:r>
      <w:r>
        <w:rPr>
          <w:lang w:val="es-EC"/>
        </w:rPr>
        <w:t>El porcentaje máximo que se podrá requerir es el establecido en la CGC 16.1.</w:t>
      </w:r>
    </w:p>
  </w:footnote>
  <w:footnote w:id="9">
    <w:p w14:paraId="36C4A626" w14:textId="1AE2C1C3" w:rsidR="00A611D4" w:rsidRPr="0069781B" w:rsidRDefault="00A611D4" w:rsidP="0069781B">
      <w:pPr>
        <w:pStyle w:val="Textonotapie"/>
        <w:jc w:val="both"/>
        <w:rPr>
          <w:sz w:val="16"/>
          <w:szCs w:val="16"/>
        </w:rPr>
      </w:pPr>
      <w:r>
        <w:rPr>
          <w:rStyle w:val="Refdenotaalpie"/>
        </w:rPr>
        <w:footnoteRef/>
      </w:r>
      <w:r>
        <w:t xml:space="preserve"> </w:t>
      </w:r>
      <w:r w:rsidRPr="0069781B">
        <w:rPr>
          <w:sz w:val="16"/>
          <w:szCs w:val="16"/>
        </w:rPr>
        <w:t>Para acreditar la experiencia, se deberá presentar copia de la factura</w:t>
      </w:r>
      <w:r>
        <w:rPr>
          <w:sz w:val="16"/>
          <w:szCs w:val="16"/>
        </w:rPr>
        <w:t>, acta de entrega recepción</w:t>
      </w:r>
      <w:r w:rsidRPr="0069781B">
        <w:rPr>
          <w:sz w:val="16"/>
          <w:szCs w:val="16"/>
        </w:rPr>
        <w:t xml:space="preserve"> y/o certificado extendido por la contratante. Para acreditación de experiencia adquirida como miembro de una asociación o consorcio, adicionalmente se deberá presentar el documento de constitución de la asociación o consorcio en el que participó. La experiencia que podrá aportar será proporcional a su participación en el proyecto.</w:t>
      </w:r>
    </w:p>
    <w:p w14:paraId="341E1450" w14:textId="3126CD0F" w:rsidR="00A611D4" w:rsidRPr="0069781B" w:rsidRDefault="00A611D4" w:rsidP="0069781B">
      <w:pPr>
        <w:pStyle w:val="Textonotapie"/>
        <w:jc w:val="both"/>
        <w:rPr>
          <w:lang w:val="es-EC"/>
        </w:rPr>
      </w:pPr>
      <w:r w:rsidRPr="0069781B">
        <w:rPr>
          <w:sz w:val="16"/>
          <w:szCs w:val="16"/>
        </w:rPr>
        <w:t>NOTA: En caso de que los contratos tengan carácter de confidencial, se podrá presentar un certificado emitido por la entidad contratante en el que conste el monto del contrato, el plazo de ejecución, una breve reseña del alcance y/o productos. Como alternativa adicional, se podrá presentar el contrato en donde la información confidencial sea cubierta para no ser revelada.</w:t>
      </w:r>
    </w:p>
  </w:footnote>
  <w:footnote w:id="10">
    <w:p w14:paraId="15CD2B79" w14:textId="2182BE7A" w:rsidR="00A611D4" w:rsidRPr="0069781B" w:rsidRDefault="00A611D4" w:rsidP="0069781B">
      <w:pPr>
        <w:pStyle w:val="Textonotapie"/>
        <w:jc w:val="both"/>
        <w:rPr>
          <w:sz w:val="16"/>
          <w:szCs w:val="16"/>
        </w:rPr>
      </w:pPr>
      <w:r>
        <w:rPr>
          <w:rStyle w:val="Refdenotaalpie"/>
        </w:rPr>
        <w:footnoteRef/>
      </w:r>
      <w:r>
        <w:t xml:space="preserve"> </w:t>
      </w:r>
      <w:r w:rsidRPr="0069781B">
        <w:rPr>
          <w:sz w:val="16"/>
          <w:szCs w:val="16"/>
        </w:rPr>
        <w:t>Para acreditar la experiencia, se deberá presentar copia de la factura</w:t>
      </w:r>
      <w:r>
        <w:rPr>
          <w:sz w:val="16"/>
          <w:szCs w:val="16"/>
        </w:rPr>
        <w:t>, acta de entrega recepción</w:t>
      </w:r>
      <w:r w:rsidRPr="0069781B">
        <w:rPr>
          <w:sz w:val="16"/>
          <w:szCs w:val="16"/>
        </w:rPr>
        <w:t xml:space="preserve"> y/o certificado extendido por la contratante. Para acreditación de experiencia adquirida como miembro de una asociación o consorcio, adicionalmente se deberá presentar el documento de constitución de la asociación o consorcio en el que participó. La experiencia que podrá aportar será proporcional a su participación en el proyecto.</w:t>
      </w:r>
    </w:p>
    <w:p w14:paraId="421B2126" w14:textId="7B097F25" w:rsidR="00A611D4" w:rsidRPr="0069781B" w:rsidRDefault="00A611D4" w:rsidP="0069781B">
      <w:pPr>
        <w:pStyle w:val="Textonotapie"/>
        <w:jc w:val="both"/>
        <w:rPr>
          <w:lang w:val="es-EC"/>
        </w:rPr>
      </w:pPr>
      <w:r w:rsidRPr="0069781B">
        <w:rPr>
          <w:sz w:val="16"/>
          <w:szCs w:val="16"/>
        </w:rPr>
        <w:t>NOTA: En caso de que los contratos tengan carácter de confidencial, se podrá presentar un certificado emitido por la entidad contratante en el que conste el monto del contrato, el plazo de ejecución, una breve reseña del alcance y/o productos. Como alternativa adicional, se podrá presentar el contrato en donde la información confidencial sea cubierta para no ser revelada.</w:t>
      </w:r>
    </w:p>
  </w:footnote>
  <w:footnote w:id="11">
    <w:p w14:paraId="7D73DBCF" w14:textId="77777777" w:rsidR="00A611D4" w:rsidRPr="00506FFF" w:rsidRDefault="00A611D4" w:rsidP="00580092">
      <w:pPr>
        <w:pStyle w:val="Textonotapie"/>
        <w:rPr>
          <w:rFonts w:ascii="Times New Roman" w:hAnsi="Times New Roman"/>
        </w:rPr>
      </w:pPr>
      <w:r w:rsidRPr="00DF732E">
        <w:rPr>
          <w:rStyle w:val="Refdenotaalpie"/>
        </w:rPr>
        <w:footnoteRef/>
      </w:r>
      <w:r w:rsidRPr="00506FFF">
        <w:rPr>
          <w:rFonts w:ascii="Times New Roman" w:hAnsi="Times New Roman"/>
        </w:rPr>
        <w:t xml:space="preserve"> </w:t>
      </w:r>
      <w:r w:rsidRPr="00506FFF">
        <w:rPr>
          <w:rFonts w:ascii="Times New Roman" w:hAnsi="Times New Roman"/>
        </w:rPr>
        <w:tab/>
        <w:t xml:space="preserve">El monto de la Fianza se denominará en la moneda del </w:t>
      </w:r>
      <w:r w:rsidRPr="00DF732E">
        <w:rPr>
          <w:rFonts w:ascii="Times New Roman" w:hAnsi="Times New Roman"/>
        </w:rPr>
        <w:t>p</w:t>
      </w:r>
      <w:r w:rsidRPr="00506FFF">
        <w:rPr>
          <w:rFonts w:ascii="Times New Roman" w:hAnsi="Times New Roman"/>
        </w:rPr>
        <w:t xml:space="preserve">aís del </w:t>
      </w:r>
      <w:r w:rsidRPr="00506FFF">
        <w:rPr>
          <w:rFonts w:ascii="Times New Roman" w:hAnsi="Times New Roman"/>
          <w:i/>
        </w:rPr>
        <w:t>Comprador</w:t>
      </w:r>
      <w:r w:rsidRPr="00506FFF">
        <w:rPr>
          <w:rFonts w:ascii="Times New Roman" w:hAnsi="Times New Roman"/>
        </w:rPr>
        <w:t xml:space="preserve"> o en el monto equivalente en una moneda de libre convertibilidad.</w:t>
      </w:r>
    </w:p>
  </w:footnote>
  <w:footnote w:id="12">
    <w:p w14:paraId="60C48F9B" w14:textId="77777777" w:rsidR="00A611D4" w:rsidRPr="0025646C" w:rsidRDefault="00A611D4" w:rsidP="009102A7">
      <w:pPr>
        <w:rPr>
          <w:lang w:val="es-EC"/>
        </w:rPr>
      </w:pPr>
      <w:r>
        <w:rPr>
          <w:vertAlign w:val="superscript"/>
        </w:rPr>
        <w:t>3</w:t>
      </w:r>
      <w:r w:rsidRPr="0025646C">
        <w:rPr>
          <w:lang w:val="es-EC"/>
        </w:rPr>
        <w:t xml:space="preserve"> </w:t>
      </w:r>
      <w:r w:rsidRPr="006B2410">
        <w:rPr>
          <w:sz w:val="22"/>
          <w:szCs w:val="22"/>
          <w:lang w:val="es-EC"/>
        </w:rPr>
        <w:t>La referencia del plan operativo horario deberá considerar que CENACE podrá cambiar la frecuencia del programa operativo de generación a 15 minutos. En ese caso, el programa seleccionará con base a la información de minutos, el intervalo de 15 minutos más cercano redondeando hacia arriba. Por ejemplo: si introduce como hora:minuto a las 12:24 seleccionará el plan de las 12:30.</w:t>
      </w:r>
    </w:p>
  </w:footnote>
  <w:footnote w:id="13">
    <w:p w14:paraId="6FC60D70" w14:textId="77777777" w:rsidR="00A611D4" w:rsidRPr="00FC0012" w:rsidRDefault="00A611D4">
      <w:pPr>
        <w:pStyle w:val="Textonotapie"/>
      </w:pPr>
      <w:r>
        <w:rPr>
          <w:rStyle w:val="Refdenotaalpie"/>
        </w:rPr>
        <w:footnoteRef/>
      </w:r>
      <w:r>
        <w:t xml:space="preserve"> </w:t>
      </w:r>
      <w:r w:rsidRPr="008C0D90">
        <w:rPr>
          <w:sz w:val="16"/>
          <w:szCs w:val="16"/>
        </w:rPr>
        <w:t xml:space="preserve">Software </w:t>
      </w:r>
      <w:r>
        <w:rPr>
          <w:sz w:val="16"/>
          <w:szCs w:val="16"/>
        </w:rPr>
        <w:t>Operacional</w:t>
      </w:r>
      <w:r w:rsidRPr="008C0D90">
        <w:rPr>
          <w:sz w:val="16"/>
          <w:szCs w:val="16"/>
        </w:rPr>
        <w:t xml:space="preserve"> corresponde </w:t>
      </w:r>
      <w:r>
        <w:rPr>
          <w:sz w:val="16"/>
          <w:szCs w:val="16"/>
        </w:rPr>
        <w:t>al conjunto de componentes fundamentales del SCADA/EMS para la operación del sistema eléctrico y que no es parte del software de terceros.</w:t>
      </w:r>
    </w:p>
  </w:footnote>
  <w:footnote w:id="14">
    <w:p w14:paraId="1BFE839E" w14:textId="77777777" w:rsidR="00A611D4" w:rsidRPr="00EE7DE0" w:rsidRDefault="00A611D4">
      <w:pPr>
        <w:pStyle w:val="Textonotapie"/>
      </w:pPr>
      <w:r>
        <w:rPr>
          <w:rStyle w:val="Refdenotaalpie"/>
        </w:rPr>
        <w:footnoteRef/>
      </w:r>
      <w:r>
        <w:t xml:space="preserve"> </w:t>
      </w:r>
      <w:r w:rsidRPr="008C0D90">
        <w:rPr>
          <w:rFonts w:cs="Arial"/>
          <w:sz w:val="16"/>
          <w:szCs w:val="16"/>
          <w:lang w:val="es-EC"/>
        </w:rPr>
        <w:t>Software core:</w:t>
      </w:r>
      <w:r>
        <w:t xml:space="preserve"> </w:t>
      </w:r>
      <w:r w:rsidRPr="008C0D90">
        <w:rPr>
          <w:rFonts w:cs="Arial"/>
          <w:sz w:val="16"/>
          <w:szCs w:val="16"/>
          <w:lang w:val="es-EC"/>
        </w:rPr>
        <w:t>corresponde al software</w:t>
      </w:r>
      <w:r>
        <w:rPr>
          <w:rFonts w:cs="Arial"/>
          <w:sz w:val="16"/>
          <w:szCs w:val="16"/>
          <w:lang w:val="es-EC"/>
        </w:rPr>
        <w:t xml:space="preserve"> desarrollado por parte del Licitante, que permite la operación del Sistema Eléctrico, como: SCADA, AGC, Estimador de Estado, etc.</w:t>
      </w:r>
    </w:p>
  </w:footnote>
  <w:footnote w:id="15">
    <w:p w14:paraId="0E0BF6AE" w14:textId="77777777" w:rsidR="00A611D4" w:rsidRPr="00C375EA" w:rsidRDefault="00A611D4" w:rsidP="001A2464">
      <w:pPr>
        <w:rPr>
          <w:rFonts w:ascii="Arial" w:hAnsi="Arial" w:cs="Arial"/>
          <w:sz w:val="16"/>
          <w:szCs w:val="16"/>
          <w:lang w:val="es-EC"/>
        </w:rPr>
      </w:pPr>
      <w:r>
        <w:rPr>
          <w:rStyle w:val="Refdenotaalpie"/>
        </w:rPr>
        <w:footnoteRef/>
      </w:r>
      <w:r>
        <w:t xml:space="preserve"> </w:t>
      </w:r>
      <w:r w:rsidRPr="008C0D90">
        <w:rPr>
          <w:rFonts w:ascii="Arial" w:hAnsi="Arial" w:cs="Arial"/>
          <w:sz w:val="16"/>
          <w:szCs w:val="16"/>
          <w:lang w:val="es-EC"/>
        </w:rPr>
        <w:t>Falla Crítica se define como:</w:t>
      </w:r>
      <w:r>
        <w:t xml:space="preserve"> </w:t>
      </w:r>
      <w:r w:rsidRPr="00C375EA">
        <w:rPr>
          <w:rFonts w:ascii="Arial" w:hAnsi="Arial" w:cs="Arial"/>
          <w:sz w:val="16"/>
          <w:szCs w:val="16"/>
          <w:lang w:val="es-EC"/>
        </w:rPr>
        <w:t>El software</w:t>
      </w:r>
      <w:r>
        <w:rPr>
          <w:rFonts w:ascii="Arial" w:hAnsi="Arial" w:cs="Arial"/>
          <w:sz w:val="16"/>
          <w:szCs w:val="16"/>
          <w:lang w:val="es-EC"/>
        </w:rPr>
        <w:t xml:space="preserve"> core</w:t>
      </w:r>
      <w:r w:rsidRPr="00C375EA">
        <w:rPr>
          <w:rFonts w:ascii="Arial" w:hAnsi="Arial" w:cs="Arial"/>
          <w:sz w:val="16"/>
          <w:szCs w:val="16"/>
          <w:lang w:val="es-EC"/>
        </w:rPr>
        <w:t xml:space="preserve"> del sistema no está operable o los usuarios no pueden accederlo, o la funcionalidad </w:t>
      </w:r>
      <w:r>
        <w:rPr>
          <w:rFonts w:ascii="Arial" w:hAnsi="Arial" w:cs="Arial"/>
          <w:sz w:val="16"/>
          <w:szCs w:val="16"/>
          <w:lang w:val="es-EC"/>
        </w:rPr>
        <w:t>no permite la operación del sistema eléctrico</w:t>
      </w:r>
      <w:r w:rsidRPr="00C375EA">
        <w:rPr>
          <w:rFonts w:ascii="Arial" w:hAnsi="Arial" w:cs="Arial"/>
          <w:sz w:val="16"/>
          <w:szCs w:val="16"/>
          <w:lang w:val="es-EC"/>
        </w:rPr>
        <w:t xml:space="preserve">, o el </w:t>
      </w:r>
      <w:r>
        <w:rPr>
          <w:rFonts w:ascii="Arial" w:hAnsi="Arial" w:cs="Arial"/>
          <w:sz w:val="16"/>
          <w:szCs w:val="16"/>
          <w:lang w:val="es-EC"/>
        </w:rPr>
        <w:t>esquema de alta redundancia</w:t>
      </w:r>
      <w:r w:rsidRPr="00C375EA">
        <w:rPr>
          <w:rFonts w:ascii="Arial" w:hAnsi="Arial" w:cs="Arial"/>
          <w:sz w:val="16"/>
          <w:szCs w:val="16"/>
          <w:lang w:val="es-EC"/>
        </w:rPr>
        <w:t xml:space="preserve"> </w:t>
      </w:r>
      <w:r>
        <w:rPr>
          <w:rFonts w:ascii="Arial" w:hAnsi="Arial" w:cs="Arial"/>
          <w:sz w:val="16"/>
          <w:szCs w:val="16"/>
          <w:lang w:val="es-EC"/>
        </w:rPr>
        <w:t xml:space="preserve">no está disponible </w:t>
      </w:r>
      <w:r w:rsidRPr="00C375EA">
        <w:rPr>
          <w:rFonts w:ascii="Arial" w:hAnsi="Arial" w:cs="Arial"/>
          <w:sz w:val="16"/>
          <w:szCs w:val="16"/>
          <w:lang w:val="es-EC"/>
        </w:rPr>
        <w:t xml:space="preserve">u otra tarea relativa a la seguridad de los datos no se puede realizar. El defecto afecta funciones o información de misión crítica del </w:t>
      </w:r>
      <w:r w:rsidRPr="00A1649A">
        <w:rPr>
          <w:rFonts w:ascii="Arial" w:hAnsi="Arial" w:cs="Arial"/>
          <w:sz w:val="16"/>
          <w:szCs w:val="16"/>
          <w:lang w:val="es-EC"/>
        </w:rPr>
        <w:t>ambiente de P</w:t>
      </w:r>
      <w:r>
        <w:rPr>
          <w:rFonts w:ascii="Arial" w:hAnsi="Arial" w:cs="Arial"/>
          <w:sz w:val="16"/>
          <w:szCs w:val="16"/>
          <w:lang w:val="es-EC"/>
        </w:rPr>
        <w:t>r</w:t>
      </w:r>
      <w:r w:rsidRPr="00A1649A">
        <w:rPr>
          <w:rFonts w:ascii="Arial" w:hAnsi="Arial" w:cs="Arial"/>
          <w:sz w:val="16"/>
          <w:szCs w:val="16"/>
          <w:lang w:val="es-EC"/>
        </w:rPr>
        <w:t>oducción</w:t>
      </w:r>
      <w:r>
        <w:rPr>
          <w:rFonts w:ascii="Arial" w:hAnsi="Arial" w:cs="Arial"/>
          <w:sz w:val="16"/>
          <w:szCs w:val="16"/>
          <w:lang w:val="es-EC"/>
        </w:rPr>
        <w:t xml:space="preserve"> del sistema SCADA/EMS</w:t>
      </w:r>
      <w:r w:rsidRPr="00C375EA">
        <w:rPr>
          <w:rFonts w:ascii="Arial" w:hAnsi="Arial" w:cs="Arial"/>
          <w:sz w:val="16"/>
          <w:szCs w:val="16"/>
          <w:lang w:val="es-EC"/>
        </w:rPr>
        <w:t xml:space="preserve"> y puede incluir, pero no está limitado a: pérdida o corrupción de la información, caída del sistema o pérdida de una funcionalidad fundamental</w:t>
      </w:r>
      <w:r>
        <w:rPr>
          <w:rFonts w:ascii="Arial" w:hAnsi="Arial" w:cs="Arial"/>
          <w:sz w:val="16"/>
          <w:szCs w:val="16"/>
          <w:lang w:val="es-EC"/>
        </w:rPr>
        <w:t xml:space="preserve"> para la operación del sistema eléctrico</w:t>
      </w:r>
      <w:r w:rsidRPr="00C375EA">
        <w:rPr>
          <w:rFonts w:ascii="Arial" w:hAnsi="Arial" w:cs="Arial"/>
          <w:sz w:val="16"/>
          <w:szCs w:val="16"/>
          <w:lang w:val="es-EC"/>
        </w:rPr>
        <w:t>. Esto puede también incluir la i</w:t>
      </w:r>
      <w:r>
        <w:rPr>
          <w:rFonts w:ascii="Arial" w:hAnsi="Arial" w:cs="Arial"/>
          <w:sz w:val="16"/>
          <w:szCs w:val="16"/>
          <w:lang w:val="es-EC"/>
        </w:rPr>
        <w:t>ntegridad total de los datos.</w:t>
      </w:r>
    </w:p>
    <w:p w14:paraId="7C03201D" w14:textId="77777777" w:rsidR="00A611D4" w:rsidRPr="008C0D90" w:rsidRDefault="00A611D4">
      <w:pPr>
        <w:pStyle w:val="Textonotapie"/>
        <w:rPr>
          <w:lang w:val="es-EC"/>
        </w:rPr>
      </w:pPr>
    </w:p>
  </w:footnote>
  <w:footnote w:id="16">
    <w:p w14:paraId="1EF3ED80" w14:textId="77777777" w:rsidR="00A611D4" w:rsidRPr="009616B9" w:rsidRDefault="00A611D4" w:rsidP="009616B9">
      <w:pPr>
        <w:pStyle w:val="Textonotapie"/>
        <w:ind w:left="0" w:firstLine="0"/>
        <w:rPr>
          <w:rFonts w:ascii="Times New Roman" w:hAnsi="Times New Roman"/>
        </w:rPr>
      </w:pPr>
      <w:r w:rsidRPr="009616B9">
        <w:rPr>
          <w:rStyle w:val="Refdenotaalpie"/>
        </w:rPr>
        <w:footnoteRef/>
      </w:r>
      <w:r w:rsidRPr="009616B9">
        <w:rPr>
          <w:rFonts w:ascii="Times New Roman" w:hAnsi="Times New Roman"/>
        </w:rPr>
        <w:t xml:space="preserve"> En el sitio virtual del Banco (</w:t>
      </w:r>
      <w:r w:rsidRPr="009616B9">
        <w:rPr>
          <w:rStyle w:val="Hipervnculo"/>
          <w:rFonts w:ascii="Times New Roman" w:hAnsi="Times New Roman"/>
        </w:rPr>
        <w:t>www.iadb.org/integridad</w:t>
      </w:r>
      <w:r w:rsidRPr="009616B9">
        <w:rPr>
          <w:rFonts w:ascii="Times New Roman" w:hAnsi="Times New Roman"/>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7">
    <w:p w14:paraId="0EEB0FCF" w14:textId="77777777" w:rsidR="00A611D4" w:rsidRPr="00DF732E" w:rsidRDefault="00A611D4" w:rsidP="00A20832">
      <w:pPr>
        <w:pStyle w:val="Textonotapie"/>
        <w:tabs>
          <w:tab w:val="left" w:pos="360"/>
        </w:tabs>
        <w:rPr>
          <w:rFonts w:ascii="Times New Roman" w:hAnsi="Times New Roman"/>
          <w:i/>
        </w:rPr>
      </w:pPr>
      <w:r w:rsidRPr="00DF732E">
        <w:rPr>
          <w:rStyle w:val="Refdenotaalpie"/>
          <w:i/>
        </w:rPr>
        <w:footnoteRef/>
      </w:r>
      <w:r w:rsidRPr="00506FFF">
        <w:rPr>
          <w:rFonts w:ascii="Times New Roman" w:hAnsi="Times New Roman"/>
          <w:i/>
        </w:rPr>
        <w:t xml:space="preserve"> </w:t>
      </w:r>
      <w:r w:rsidRPr="00506FFF">
        <w:rPr>
          <w:rFonts w:ascii="Times New Roman" w:hAnsi="Times New Roman"/>
          <w:i/>
        </w:rPr>
        <w:tab/>
        <w:t>El banco deberá indicar la suma especificada y estipulada en las CEC correspondientes a las cláusulas 13.3.1 y 13.3.4 de las CGC, respectivamente, y denominada ya sea en la(s) moneda(s) del Contrato o en una moneda de libre convertibilidad aceptable para el Comprador.</w:t>
      </w:r>
    </w:p>
  </w:footnote>
  <w:footnote w:id="18">
    <w:p w14:paraId="6ACA368A" w14:textId="77777777" w:rsidR="00A611D4" w:rsidRPr="00506FFF" w:rsidRDefault="00A611D4" w:rsidP="00A20832">
      <w:pPr>
        <w:pStyle w:val="Textonotapie"/>
        <w:rPr>
          <w:rFonts w:ascii="Times New Roman" w:hAnsi="Times New Roman"/>
          <w:lang w:val="es-AR"/>
        </w:rPr>
      </w:pPr>
      <w:r w:rsidRPr="00DF732E">
        <w:rPr>
          <w:rStyle w:val="Refdenotaalpie"/>
        </w:rPr>
        <w:footnoteRef/>
      </w:r>
      <w:r w:rsidRPr="00506FFF">
        <w:rPr>
          <w:rFonts w:ascii="Times New Roman" w:hAnsi="Times New Roman"/>
        </w:rPr>
        <w:t xml:space="preserve"> </w:t>
      </w:r>
      <w:r>
        <w:rPr>
          <w:rFonts w:ascii="Times New Roman" w:hAnsi="Times New Roman"/>
        </w:rPr>
        <w:tab/>
      </w:r>
      <w:r w:rsidRPr="00506FFF">
        <w:rPr>
          <w:rFonts w:ascii="Times New Roman" w:hAnsi="Times New Roman"/>
          <w:i/>
        </w:rPr>
        <w:t>En este formulario tipo, la redacción de este párrafo refleja las disposiciones habituales incluidas en las CEC en relación con la cláusula 13.3 de las CGC. No obstante, si las CEC correspondientes a las cláusulas 13.3 y 13.4 de las CGC difieren de las habituales, este párrafo, y posiblemente el anterior, deberán modificarse para reflejar con precisión lo dispuesto en las CEC</w:t>
      </w:r>
    </w:p>
  </w:footnote>
  <w:footnote w:id="19">
    <w:p w14:paraId="6A9B2AC4" w14:textId="77777777" w:rsidR="00A611D4" w:rsidRPr="00DF732E" w:rsidRDefault="00A611D4" w:rsidP="00A20832">
      <w:pPr>
        <w:pStyle w:val="Textonotapie"/>
        <w:rPr>
          <w:rFonts w:ascii="Times New Roman" w:hAnsi="Times New Roman"/>
        </w:rPr>
      </w:pPr>
      <w:r w:rsidRPr="00DF732E">
        <w:rPr>
          <w:rStyle w:val="Refdenotaalpie"/>
        </w:rPr>
        <w:t>1</w:t>
      </w:r>
      <w:r w:rsidRPr="00506FFF">
        <w:rPr>
          <w:rFonts w:ascii="Times New Roman" w:hAnsi="Times New Roman"/>
        </w:rPr>
        <w:tab/>
      </w:r>
      <w:r w:rsidRPr="00506FFF">
        <w:rPr>
          <w:rFonts w:ascii="Times New Roman" w:hAnsi="Times New Roman"/>
          <w:i/>
        </w:rPr>
        <w:t>El Garante deberá insertar una cifra que represente el monto del anticipo y que esté denominada en las monedas del anticipo según se especifica en el Contrato, o en una moneda de libre convertibilidad aceptable para el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38B1" w14:textId="7453FDD6" w:rsidR="00A611D4" w:rsidRDefault="00A611D4" w:rsidP="000E19E6">
    <w:pPr>
      <w:numPr>
        <w:ilvl w:val="12"/>
        <w:numId w:val="0"/>
      </w:numPr>
      <w:pBdr>
        <w:bottom w:val="single" w:sz="6" w:space="2" w:color="auto"/>
      </w:pBdr>
      <w:tabs>
        <w:tab w:val="right" w:pos="9360"/>
      </w:tabs>
      <w:jc w:val="right"/>
    </w:pPr>
    <w:r>
      <w:fldChar w:fldCharType="begin"/>
    </w:r>
    <w:r>
      <w:instrText xml:space="preserve"> PAGE </w:instrText>
    </w:r>
    <w:r>
      <w:fldChar w:fldCharType="separate"/>
    </w:r>
    <w:r>
      <w:rPr>
        <w:noProof/>
      </w:rPr>
      <w:t>i</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7BAC8" w14:textId="77777777" w:rsidR="00A611D4" w:rsidRPr="00A1263D" w:rsidRDefault="00A611D4" w:rsidP="00EA7C53">
    <w:pPr>
      <w:pStyle w:val="Encabezado"/>
      <w:numPr>
        <w:ilvl w:val="12"/>
        <w:numId w:val="0"/>
      </w:numPr>
      <w:pBdr>
        <w:bottom w:val="single" w:sz="6" w:space="2" w:color="auto"/>
      </w:pBdr>
      <w:tabs>
        <w:tab w:val="clear" w:pos="4320"/>
        <w:tab w:val="clear" w:pos="8640"/>
        <w:tab w:val="right" w:pos="9000"/>
      </w:tabs>
      <w:rPr>
        <w:sz w:val="20"/>
      </w:rPr>
    </w:pPr>
    <w:r w:rsidRPr="00C3236A">
      <w:rPr>
        <w:rStyle w:val="Nmerodepgina"/>
      </w:rPr>
      <w:fldChar w:fldCharType="begin"/>
    </w:r>
    <w:r w:rsidRPr="00ED1812">
      <w:rPr>
        <w:rStyle w:val="Nmerodepgina"/>
      </w:rPr>
      <w:instrText xml:space="preserve"> PAGE </w:instrText>
    </w:r>
    <w:r w:rsidRPr="00C3236A">
      <w:rPr>
        <w:rStyle w:val="Nmerodepgina"/>
      </w:rPr>
      <w:fldChar w:fldCharType="separate"/>
    </w:r>
    <w:r>
      <w:rPr>
        <w:rStyle w:val="Nmerodepgina"/>
        <w:noProof/>
      </w:rPr>
      <w:t>58</w:t>
    </w:r>
    <w:r w:rsidRPr="00C3236A">
      <w:rPr>
        <w:rStyle w:val="Nmerodepgina"/>
      </w:rPr>
      <w:fldChar w:fldCharType="end"/>
    </w:r>
    <w:r>
      <w:tab/>
    </w:r>
    <w:r>
      <w:rPr>
        <w:sz w:val="20"/>
      </w:rPr>
      <w:t xml:space="preserve">Sección III: Criterios de Evaluación y Calificación (Sin Precalificación) </w:t>
    </w:r>
  </w:p>
  <w:p w14:paraId="39657DE6" w14:textId="77777777" w:rsidR="00A611D4" w:rsidRDefault="00A611D4">
    <w:pPr>
      <w:pStyle w:val="Encabezado"/>
      <w:tabs>
        <w:tab w:val="right" w:pos="9720"/>
      </w:tabs>
      <w:ind w:right="-36"/>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17086" w14:textId="729C4A91"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77</w:t>
    </w:r>
    <w:r w:rsidRPr="00DF0955">
      <w:rPr>
        <w:rStyle w:val="Nmerodepgina"/>
      </w:rPr>
      <w:fldChar w:fldCharType="end"/>
    </w:r>
  </w:p>
  <w:p w14:paraId="52669ED1" w14:textId="77777777" w:rsidR="00A611D4" w:rsidRDefault="00A611D4" w:rsidP="00711EE1">
    <w:pPr>
      <w:pStyle w:val="Encabezado"/>
      <w:tabs>
        <w:tab w:val="clear" w:pos="4320"/>
        <w:tab w:val="clear" w:pos="8640"/>
        <w:tab w:val="right" w:pos="9360"/>
      </w:tabs>
      <w:ind w:right="-36"/>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DBDC" w14:textId="77777777" w:rsidR="00A611D4" w:rsidRPr="0037209E" w:rsidRDefault="00A611D4"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w:t>
    </w:r>
    <w:r w:rsidRPr="00DF0955">
      <w:rPr>
        <w:rStyle w:val="Nmerodepgina"/>
      </w:rPr>
      <w:fldChar w:fldCharType="end"/>
    </w:r>
    <w:r>
      <w:tab/>
    </w:r>
    <w:r>
      <w:rPr>
        <w:sz w:val="20"/>
      </w:rPr>
      <w:t xml:space="preserve"> Sección III: Criterios de Evaluación y Calificación (Sin Precalificación)</w:t>
    </w:r>
  </w:p>
  <w:p w14:paraId="0ED67D03" w14:textId="77777777" w:rsidR="00A611D4" w:rsidRDefault="00A611D4" w:rsidP="001040E4">
    <w:pPr>
      <w:pStyle w:val="Encabezado"/>
      <w:tabs>
        <w:tab w:val="right" w:pos="12960"/>
      </w:tabs>
      <w:ind w:right="-36"/>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6DC3" w14:textId="70E70222" w:rsidR="00A611D4" w:rsidRPr="00A242C2" w:rsidRDefault="00A611D4"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84</w:t>
    </w:r>
    <w:r w:rsidRPr="00DF0955">
      <w:rPr>
        <w:rStyle w:val="Nmerodepgina"/>
      </w:rPr>
      <w:fldChar w:fldCharType="end"/>
    </w:r>
  </w:p>
  <w:p w14:paraId="5C1093DA" w14:textId="77777777" w:rsidR="00A611D4" w:rsidRPr="00A01121" w:rsidRDefault="00A611D4" w:rsidP="00711EE1">
    <w:pPr>
      <w:pStyle w:val="Encabezado"/>
      <w:tabs>
        <w:tab w:val="clear" w:pos="4320"/>
        <w:tab w:val="clear" w:pos="8640"/>
        <w:tab w:val="right" w:pos="12960"/>
      </w:tabs>
      <w:ind w:right="-36"/>
      <w:jc w:val="lef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54542" w14:textId="06C4A04D" w:rsidR="00A611D4" w:rsidRPr="00A242C2" w:rsidRDefault="00A611D4"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79</w:t>
    </w:r>
    <w:r w:rsidRPr="00DF0955">
      <w:rPr>
        <w:rStyle w:val="Nmerodepgina"/>
      </w:rPr>
      <w:fldChar w:fldCharType="end"/>
    </w:r>
  </w:p>
  <w:p w14:paraId="383EE586" w14:textId="77777777" w:rsidR="00A611D4" w:rsidRPr="00711EE1" w:rsidRDefault="00A611D4" w:rsidP="00711EE1">
    <w:pPr>
      <w:pStyle w:val="Encabezado"/>
      <w:tabs>
        <w:tab w:val="clear" w:pos="4320"/>
        <w:tab w:val="clear" w:pos="8640"/>
        <w:tab w:val="right" w:pos="1296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0E903" w14:textId="77777777" w:rsidR="00A611D4" w:rsidRPr="00714D9E" w:rsidRDefault="00A611D4"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68</w:t>
    </w:r>
    <w:r w:rsidRPr="00DF0955">
      <w:rPr>
        <w:rStyle w:val="Nmerodepgina"/>
      </w:rPr>
      <w:fldChar w:fldCharType="end"/>
    </w:r>
    <w:r>
      <w:tab/>
    </w:r>
    <w:r>
      <w:rPr>
        <w:sz w:val="20"/>
      </w:rPr>
      <w:t>Sección III: Criterios de Evaluación y Calificación (Sin Precalificación)</w:t>
    </w:r>
  </w:p>
  <w:p w14:paraId="5747E172" w14:textId="77777777" w:rsidR="00A611D4" w:rsidRDefault="00A611D4" w:rsidP="001040E4">
    <w:pPr>
      <w:pStyle w:val="Encabezado"/>
      <w:tabs>
        <w:tab w:val="right" w:pos="12960"/>
      </w:tabs>
      <w:ind w:right="-36"/>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36CB" w14:textId="0A9E9879" w:rsidR="00A611D4" w:rsidRPr="00A01121" w:rsidRDefault="00A611D4"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89</w:t>
    </w:r>
    <w:r w:rsidRPr="00DF0955">
      <w:rPr>
        <w:rStyle w:val="Nmerodepgina"/>
      </w:rPr>
      <w:fldChar w:fldCharType="end"/>
    </w:r>
    <w:r>
      <w:tab/>
    </w:r>
    <w:r>
      <w:rPr>
        <w:sz w:val="20"/>
      </w:rPr>
      <w:t>Sección III. Criterios de Evaluación y Calificación</w:t>
    </w:r>
  </w:p>
  <w:p w14:paraId="792BF8B6" w14:textId="77777777" w:rsidR="00A611D4" w:rsidRDefault="00A611D4" w:rsidP="001040E4">
    <w:pPr>
      <w:pStyle w:val="Encabezado"/>
      <w:tabs>
        <w:tab w:val="right" w:pos="12780"/>
      </w:tabs>
      <w:ind w:right="-36"/>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AA0D1" w14:textId="18660CB1"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85</w:t>
    </w:r>
    <w:r w:rsidRPr="00DF0955">
      <w:rPr>
        <w:rStyle w:val="Nmerodepgina"/>
      </w:rPr>
      <w:fldChar w:fldCharType="end"/>
    </w:r>
  </w:p>
  <w:p w14:paraId="3C8836B6" w14:textId="77777777" w:rsidR="00A611D4" w:rsidRDefault="00A611D4" w:rsidP="00711EE1">
    <w:pPr>
      <w:pStyle w:val="Encabezado"/>
      <w:tabs>
        <w:tab w:val="clear" w:pos="4320"/>
        <w:tab w:val="clear" w:pos="8640"/>
        <w:tab w:val="right" w:pos="9360"/>
        <w:tab w:val="right" w:pos="12960"/>
      </w:tabs>
      <w:ind w:right="-18"/>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9827D" w14:textId="3EB3C7E6" w:rsidR="00A611D4" w:rsidRPr="00A242C2" w:rsidRDefault="00A611D4"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96</w:t>
    </w:r>
    <w:r w:rsidRPr="00DF0955">
      <w:rPr>
        <w:rStyle w:val="Nmerodepgina"/>
      </w:rPr>
      <w:fldChar w:fldCharType="end"/>
    </w:r>
  </w:p>
  <w:p w14:paraId="03CFCD74" w14:textId="77777777" w:rsidR="00A611D4" w:rsidRPr="00711EE1" w:rsidRDefault="00A611D4" w:rsidP="00711EE1">
    <w:pPr>
      <w:pStyle w:val="Encabezado"/>
      <w:tabs>
        <w:tab w:val="clear" w:pos="4320"/>
        <w:tab w:val="clear" w:pos="8640"/>
        <w:tab w:val="right" w:pos="1296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98BF" w14:textId="69295101" w:rsidR="00A611D4" w:rsidRPr="00A242C2" w:rsidRDefault="00A611D4"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121</w:t>
    </w:r>
    <w:r w:rsidRPr="00DF0955">
      <w:rPr>
        <w:rStyle w:val="Nmerodepgina"/>
      </w:rPr>
      <w:fldChar w:fldCharType="end"/>
    </w:r>
  </w:p>
  <w:p w14:paraId="45BEC2FC" w14:textId="77777777" w:rsidR="00A611D4" w:rsidRPr="00711EE1" w:rsidRDefault="00A611D4" w:rsidP="00711EE1">
    <w:pPr>
      <w:pStyle w:val="Encabezado"/>
      <w:tabs>
        <w:tab w:val="clear" w:pos="8640"/>
        <w:tab w:val="right" w:pos="129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D1F40" w14:textId="1BAF5790" w:rsidR="00A611D4" w:rsidRPr="004F7B70" w:rsidRDefault="00A611D4" w:rsidP="00F241A1">
    <w:pPr>
      <w:numPr>
        <w:ilvl w:val="12"/>
        <w:numId w:val="0"/>
      </w:numPr>
      <w:pBdr>
        <w:bottom w:val="single" w:sz="6" w:space="2" w:color="auto"/>
      </w:pBdr>
      <w:tabs>
        <w:tab w:val="right" w:pos="9360"/>
      </w:tabs>
      <w:rPr>
        <w:sz w:val="20"/>
      </w:rPr>
    </w:pP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2</w:t>
    </w:r>
    <w:r w:rsidRPr="004F7B70">
      <w:rPr>
        <w:noProof/>
        <w:sz w:val="20"/>
      </w:rPr>
      <w:fldChar w:fldCharType="end"/>
    </w:r>
  </w:p>
  <w:p w14:paraId="7CA49823" w14:textId="77777777" w:rsidR="00A611D4" w:rsidRPr="00F241A1" w:rsidRDefault="00A611D4" w:rsidP="00F241A1">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D80" w14:textId="77777777" w:rsidR="00A611D4" w:rsidRDefault="00A611D4">
    <w:pPr>
      <w:pStyle w:val="Encabezado"/>
      <w:numPr>
        <w:ilvl w:val="12"/>
        <w:numId w:val="0"/>
      </w:numPr>
      <w:pBdr>
        <w:bottom w:val="single" w:sz="6" w:space="2" w:color="auto"/>
      </w:pBdr>
      <w:tabs>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72</w:t>
    </w:r>
    <w:r>
      <w:rPr>
        <w:rStyle w:val="Nmerodepgina"/>
      </w:rPr>
      <w:fldChar w:fldCharType="end"/>
    </w:r>
    <w:r>
      <w:tab/>
    </w:r>
    <w:r>
      <w:tab/>
      <w:t>Sección IV: Formularios de Oferta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8B781" w14:textId="79FAE565"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141</w:t>
    </w:r>
    <w:r w:rsidRPr="00DF0955">
      <w:rPr>
        <w:rStyle w:val="Nmerodepgina"/>
      </w:rPr>
      <w:fldChar w:fldCharType="end"/>
    </w:r>
  </w:p>
  <w:p w14:paraId="2F249087" w14:textId="77777777" w:rsidR="00A611D4" w:rsidRPr="00711EE1" w:rsidRDefault="00A611D4" w:rsidP="00711EE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8B3F0" w14:textId="77777777" w:rsidR="00A611D4" w:rsidRDefault="00A611D4" w:rsidP="00A01121">
    <w:pPr>
      <w:pStyle w:val="Encabezado"/>
      <w:numPr>
        <w:ilvl w:val="12"/>
        <w:numId w:val="0"/>
      </w:numPr>
      <w:pBdr>
        <w:bottom w:val="single" w:sz="6" w:space="2" w:color="auto"/>
      </w:pBdr>
      <w:tabs>
        <w:tab w:val="clear" w:pos="4320"/>
        <w:tab w:val="clear" w:pos="8640"/>
        <w:tab w:val="right" w:pos="9000"/>
      </w:tabs>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112</w:t>
    </w:r>
    <w:r w:rsidRPr="00DF0955">
      <w:rPr>
        <w:rStyle w:val="Nmerodepgina"/>
      </w:rPr>
      <w:fldChar w:fldCharType="end"/>
    </w:r>
    <w:r>
      <w:tab/>
    </w:r>
    <w:r>
      <w:rPr>
        <w:sz w:val="20"/>
      </w:rPr>
      <w:t>Sección IV: Formularios de Oferta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F9AAC" w14:textId="61194004" w:rsidR="00A611D4" w:rsidRPr="00A242C2" w:rsidRDefault="00A611D4"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134</w:t>
    </w:r>
    <w:r w:rsidRPr="00DF0955">
      <w:rPr>
        <w:rStyle w:val="Nmerodepgina"/>
      </w:rPr>
      <w:fldChar w:fldCharType="end"/>
    </w:r>
  </w:p>
  <w:p w14:paraId="750D7014" w14:textId="77777777" w:rsidR="00A611D4" w:rsidRPr="00711EE1" w:rsidRDefault="00A611D4" w:rsidP="00711EE1">
    <w:pPr>
      <w:pStyle w:val="Encabezado"/>
      <w:tabs>
        <w:tab w:val="clear" w:pos="8640"/>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AF16" w14:textId="77777777" w:rsidR="00A611D4" w:rsidRDefault="00A611D4" w:rsidP="00873649">
    <w:pPr>
      <w:pStyle w:val="Encabezado"/>
      <w:numPr>
        <w:ilvl w:val="12"/>
        <w:numId w:val="0"/>
      </w:numPr>
      <w:pBdr>
        <w:bottom w:val="single" w:sz="6" w:space="2" w:color="auto"/>
      </w:pBdr>
      <w:tabs>
        <w:tab w:val="clear" w:pos="4320"/>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126</w:t>
    </w:r>
    <w:r>
      <w:rPr>
        <w:rStyle w:val="Nmerodepgina"/>
      </w:rPr>
      <w:fldChar w:fldCharType="end"/>
    </w:r>
    <w:r>
      <w:tab/>
      <w:t>Sección VI: Fraude y Corrupción</w:t>
    </w:r>
  </w:p>
  <w:p w14:paraId="54F2A26D" w14:textId="77777777" w:rsidR="00A611D4" w:rsidRDefault="00A611D4">
    <w:pPr>
      <w:pStyle w:val="Encabezado"/>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3FCD" w14:textId="453446DB"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 Países Elegibles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143</w:t>
    </w:r>
    <w:r w:rsidRPr="00DF0955">
      <w:rPr>
        <w:rStyle w:val="Nmerodepgina"/>
      </w:rPr>
      <w:fldChar w:fldCharType="end"/>
    </w:r>
  </w:p>
  <w:p w14:paraId="18BE9349" w14:textId="77777777" w:rsidR="00A611D4" w:rsidRPr="00711EE1" w:rsidRDefault="00A611D4" w:rsidP="00711EE1">
    <w:pPr>
      <w:pStyle w:val="Encabezad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30CD3" w14:textId="77777777"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 Países Elegibles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145</w:t>
    </w:r>
    <w:r w:rsidRPr="00DF0955">
      <w:rPr>
        <w:rStyle w:val="Nmerodepgina"/>
      </w:rPr>
      <w:fldChar w:fldCharType="end"/>
    </w:r>
  </w:p>
  <w:p w14:paraId="23FFC129" w14:textId="77777777" w:rsidR="00A611D4" w:rsidRPr="00711EE1" w:rsidRDefault="00A611D4" w:rsidP="00711EE1">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EB203" w14:textId="64F786C2"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VI. Requisitos del Sistema Informático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225</w:t>
    </w:r>
    <w:r w:rsidRPr="00DF0955">
      <w:rPr>
        <w:rStyle w:val="Nmerodepgina"/>
      </w:rPr>
      <w:fldChar w:fldCharType="end"/>
    </w:r>
  </w:p>
  <w:p w14:paraId="211FFDC0" w14:textId="77777777" w:rsidR="00A611D4" w:rsidRPr="00711EE1" w:rsidRDefault="00A611D4" w:rsidP="00711EE1">
    <w:pPr>
      <w:pStyle w:val="Encabezad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0"/>
      <w:gridCol w:w="3250"/>
      <w:gridCol w:w="3250"/>
    </w:tblGrid>
    <w:tr w:rsidR="00A611D4" w14:paraId="04175C57" w14:textId="77777777" w:rsidTr="009F6B78">
      <w:trPr>
        <w:trHeight w:val="300"/>
      </w:trPr>
      <w:tc>
        <w:tcPr>
          <w:tcW w:w="3250" w:type="dxa"/>
        </w:tcPr>
        <w:p w14:paraId="62EC224C" w14:textId="77777777" w:rsidR="00A611D4" w:rsidRDefault="00A611D4" w:rsidP="009F6B78">
          <w:pPr>
            <w:pStyle w:val="Encabezado"/>
            <w:ind w:left="-115"/>
            <w:jc w:val="left"/>
          </w:pPr>
        </w:p>
      </w:tc>
      <w:tc>
        <w:tcPr>
          <w:tcW w:w="3250" w:type="dxa"/>
        </w:tcPr>
        <w:p w14:paraId="17EC9E3B" w14:textId="77777777" w:rsidR="00A611D4" w:rsidRDefault="00A611D4" w:rsidP="009F6B78">
          <w:pPr>
            <w:pStyle w:val="Encabezado"/>
            <w:jc w:val="center"/>
          </w:pPr>
        </w:p>
      </w:tc>
      <w:tc>
        <w:tcPr>
          <w:tcW w:w="3250" w:type="dxa"/>
        </w:tcPr>
        <w:p w14:paraId="6B7F0CB5" w14:textId="77777777" w:rsidR="00A611D4" w:rsidRDefault="00A611D4" w:rsidP="009F6B78">
          <w:pPr>
            <w:pStyle w:val="Encabezado"/>
            <w:ind w:right="-115"/>
            <w:jc w:val="right"/>
          </w:pPr>
        </w:p>
      </w:tc>
    </w:tr>
  </w:tbl>
  <w:p w14:paraId="0F3E2E54" w14:textId="77777777" w:rsidR="00A611D4" w:rsidRDefault="00A611D4" w:rsidP="009F6B78">
    <w:pPr>
      <w:pStyle w:val="Encabezad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C78AE" w14:textId="77777777" w:rsidR="00A611D4" w:rsidRPr="00E45E58" w:rsidRDefault="00A611D4" w:rsidP="0047420C">
    <w:pPr>
      <w:pBdr>
        <w:bottom w:val="single" w:sz="4" w:space="2" w:color="auto"/>
      </w:pBdr>
      <w:tabs>
        <w:tab w:val="right" w:pos="9000"/>
      </w:tabs>
      <w:rPr>
        <w:lang w:val="en-US"/>
      </w:rPr>
    </w:pPr>
    <w:r>
      <w:fldChar w:fldCharType="begin"/>
    </w:r>
    <w:r w:rsidRPr="00E45E58">
      <w:rPr>
        <w:lang w:val="en-US"/>
      </w:rPr>
      <w:instrText xml:space="preserve"> PAGE </w:instrText>
    </w:r>
    <w:r>
      <w:fldChar w:fldCharType="separate"/>
    </w:r>
    <w:r w:rsidRPr="00E45E58">
      <w:rPr>
        <w:lang w:val="en-US"/>
      </w:rPr>
      <w:t>138</w:t>
    </w:r>
    <w:r>
      <w:fldChar w:fldCharType="end"/>
    </w:r>
    <w:r w:rsidRPr="00E45E58">
      <w:rPr>
        <w:lang w:val="en-US"/>
      </w:rPr>
      <w:tab/>
      <w:t>Sección VII.</w:t>
    </w:r>
    <w:r>
      <w:rPr>
        <w:caps/>
        <w:lang w:val="en-US"/>
      </w:rPr>
      <w:t xml:space="preserve"> </w:t>
    </w:r>
    <w:r w:rsidRPr="00E45E58">
      <w:rPr>
        <w:lang w:val="en-US"/>
      </w:rPr>
      <w:t>Requirements of the Information System</w:t>
    </w:r>
  </w:p>
  <w:p w14:paraId="1D3E9C94" w14:textId="77777777" w:rsidR="00A611D4" w:rsidRPr="00E45E58" w:rsidRDefault="00A611D4">
    <w:pPr>
      <w:rPr>
        <w:lang w:val="en-US"/>
      </w:rPr>
    </w:pPr>
  </w:p>
  <w:p w14:paraId="0609ACDD" w14:textId="77777777" w:rsidR="00A611D4" w:rsidRPr="00956344" w:rsidRDefault="00A611D4">
    <w:pPr>
      <w:rPr>
        <w:lang w:val="en-US"/>
      </w:rPr>
    </w:pPr>
  </w:p>
  <w:p w14:paraId="3C395E9F" w14:textId="77777777" w:rsidR="00A611D4" w:rsidRPr="00956344" w:rsidRDefault="00A611D4">
    <w:pPr>
      <w:rPr>
        <w:lang w:val="en-US"/>
      </w:rPr>
    </w:pPr>
  </w:p>
  <w:p w14:paraId="7FEFC669" w14:textId="77777777" w:rsidR="00A611D4" w:rsidRPr="00956344" w:rsidRDefault="00A611D4">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BA4CA" w14:textId="77777777" w:rsidR="00A611D4" w:rsidRDefault="00A611D4">
    <w:pPr>
      <w:pBdr>
        <w:bottom w:val="single" w:sz="4" w:space="2" w:color="auto"/>
      </w:pBdr>
      <w:tabs>
        <w:tab w:val="right" w:pos="9000"/>
      </w:tabs>
    </w:pPr>
    <w:r>
      <w:fldChar w:fldCharType="begin"/>
    </w:r>
    <w:r>
      <w:instrText xml:space="preserve"> PAGE </w:instrText>
    </w:r>
    <w:r>
      <w:fldChar w:fldCharType="separate"/>
    </w:r>
    <w:r>
      <w:rPr>
        <w:noProof/>
      </w:rPr>
      <w:t>2</w:t>
    </w:r>
    <w:r>
      <w:rPr>
        <w:noProof/>
      </w:rPr>
      <w:fldChar w:fldCharType="end"/>
    </w:r>
    <w:r>
      <w:tab/>
      <w:t>Parte 1: Procedimientos de Licitación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962E" w14:textId="7FB0A478" w:rsidR="00A611D4" w:rsidRPr="00E00078" w:rsidRDefault="00A611D4" w:rsidP="00711EE1">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335</w:t>
    </w:r>
    <w:r w:rsidRPr="00E00078">
      <w:rPr>
        <w:rStyle w:val="Nmerodepgin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C844" w14:textId="788832E9"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Parte 2: Requisitos del Comprador</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333</w:t>
    </w:r>
    <w:r w:rsidRPr="00DF0955">
      <w:rPr>
        <w:rStyle w:val="Nmerodepgina"/>
      </w:rPr>
      <w:fldChar w:fldCharType="end"/>
    </w:r>
  </w:p>
  <w:p w14:paraId="1ABE9373" w14:textId="77777777" w:rsidR="00A611D4" w:rsidRPr="00711EE1" w:rsidRDefault="00A611D4" w:rsidP="00711EE1">
    <w:pPr>
      <w:pStyle w:val="Encabezado"/>
    </w:pPr>
  </w:p>
  <w:p w14:paraId="1C2B65D7" w14:textId="77777777" w:rsidR="00A611D4" w:rsidRDefault="00A611D4"/>
  <w:p w14:paraId="47EEB263" w14:textId="77777777" w:rsidR="00A611D4" w:rsidRDefault="00A611D4"/>
  <w:p w14:paraId="2B3E4C2B" w14:textId="77777777" w:rsidR="00A611D4" w:rsidRDefault="00A611D4"/>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DD83" w14:textId="77777777" w:rsidR="00A611D4" w:rsidRDefault="00A611D4">
    <w:pPr>
      <w:pStyle w:val="Encabezado"/>
      <w:pBdr>
        <w:bottom w:val="single" w:sz="4" w:space="2" w:color="auto"/>
      </w:pBdr>
      <w:tabs>
        <w:tab w:val="right" w:pos="9000"/>
      </w:tabs>
    </w:pPr>
    <w:r>
      <w:tab/>
    </w:r>
    <w:r>
      <w:fldChar w:fldCharType="begin"/>
    </w:r>
    <w:r>
      <w:instrText xml:space="preserve"> PAGE </w:instrText>
    </w:r>
    <w:r>
      <w:fldChar w:fldCharType="separate"/>
    </w:r>
    <w:r>
      <w:t>1</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64DF" w14:textId="77777777" w:rsidR="00A611D4" w:rsidRPr="00E45E58" w:rsidRDefault="00A611D4" w:rsidP="009B0D16">
    <w:pPr>
      <w:pStyle w:val="Encabezado"/>
      <w:pBdr>
        <w:bottom w:val="single" w:sz="4" w:space="2" w:color="auto"/>
      </w:pBdr>
      <w:tabs>
        <w:tab w:val="clear" w:pos="4320"/>
        <w:tab w:val="clear" w:pos="8640"/>
        <w:tab w:val="right" w:pos="13860"/>
      </w:tabs>
      <w:rPr>
        <w:lang w:val="en-US"/>
      </w:rPr>
    </w:pPr>
    <w:r>
      <w:fldChar w:fldCharType="begin"/>
    </w:r>
    <w:r w:rsidRPr="00E45E58">
      <w:rPr>
        <w:lang w:val="en-US"/>
      </w:rPr>
      <w:instrText xml:space="preserve"> PAGE </w:instrText>
    </w:r>
    <w:r>
      <w:fldChar w:fldCharType="separate"/>
    </w:r>
    <w:r w:rsidRPr="00E45E58">
      <w:rPr>
        <w:lang w:val="en-US"/>
      </w:rPr>
      <w:t>142</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36509" w14:textId="4D864FA9" w:rsidR="00A611D4" w:rsidRPr="00A242C2" w:rsidRDefault="00A611D4" w:rsidP="00D61B0B">
    <w:pPr>
      <w:pStyle w:val="Encabezado"/>
      <w:numPr>
        <w:ilvl w:val="12"/>
        <w:numId w:val="0"/>
      </w:numPr>
      <w:pBdr>
        <w:bottom w:val="single" w:sz="6" w:space="2" w:color="auto"/>
      </w:pBdr>
      <w:tabs>
        <w:tab w:val="clear" w:pos="4320"/>
        <w:tab w:val="clear" w:pos="8640"/>
        <w:tab w:val="right" w:pos="13860"/>
      </w:tabs>
      <w:rPr>
        <w:sz w:val="20"/>
      </w:rPr>
    </w:pPr>
    <w:r>
      <w:rPr>
        <w:sz w:val="20"/>
      </w:rPr>
      <w:t xml:space="preserve">Sección VI: </w:t>
    </w:r>
    <w:proofErr w:type="gramStart"/>
    <w:r>
      <w:rPr>
        <w:sz w:val="20"/>
      </w:rPr>
      <w:t>Requisitos  del</w:t>
    </w:r>
    <w:proofErr w:type="gramEnd"/>
    <w:r>
      <w:rPr>
        <w:sz w:val="20"/>
      </w:rPr>
      <w:t xml:space="preserve"> sistema informático</w:t>
    </w:r>
    <w:r>
      <w:rPr>
        <w:sz w:val="20"/>
      </w:rP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383</w:t>
    </w:r>
    <w:r w:rsidRPr="00DF0955">
      <w:rPr>
        <w:rStyle w:val="Nmerodepgina"/>
      </w:rPr>
      <w:fldChar w:fldCharType="end"/>
    </w:r>
  </w:p>
  <w:p w14:paraId="3237CDB5" w14:textId="77777777" w:rsidR="00A611D4" w:rsidRPr="00D61B0B" w:rsidRDefault="00A611D4" w:rsidP="00D61B0B">
    <w:pPr>
      <w:pStyle w:val="Encabezad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A58C" w14:textId="77777777" w:rsidR="00A611D4" w:rsidRPr="00E45E58" w:rsidRDefault="00A611D4">
    <w:pPr>
      <w:pBdr>
        <w:bottom w:val="single" w:sz="4" w:space="2" w:color="auto"/>
      </w:pBdr>
      <w:tabs>
        <w:tab w:val="right" w:pos="9000"/>
      </w:tabs>
      <w:rPr>
        <w:lang w:val="en-US"/>
      </w:rPr>
    </w:pPr>
    <w:r>
      <w:fldChar w:fldCharType="begin"/>
    </w:r>
    <w:r w:rsidRPr="00E45E58">
      <w:rPr>
        <w:lang w:val="en-US"/>
      </w:rPr>
      <w:instrText xml:space="preserve"> PAGE </w:instrText>
    </w:r>
    <w:r>
      <w:fldChar w:fldCharType="separate"/>
    </w:r>
    <w:r w:rsidRPr="00E45E58">
      <w:rPr>
        <w:lang w:val="en-US"/>
      </w:rPr>
      <w:t>144</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1424E" w14:textId="5E6BCA8F" w:rsidR="00A611D4" w:rsidRPr="00E00078" w:rsidRDefault="00A611D4"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384</w:t>
    </w:r>
    <w:r w:rsidRPr="00E00078">
      <w:rPr>
        <w:rStyle w:val="Nmerodepgina"/>
      </w:rPr>
      <w:fldChar w:fldCharType="end"/>
    </w:r>
  </w:p>
  <w:p w14:paraId="7E396DD8" w14:textId="77777777" w:rsidR="00A611D4" w:rsidRPr="00F53BD6" w:rsidRDefault="00A611D4" w:rsidP="00F53BD6">
    <w:pPr>
      <w:pStyle w:val="Encabezad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E49CB" w14:textId="77777777" w:rsidR="00A611D4" w:rsidRDefault="00A611D4">
    <w:pPr>
      <w:pBdr>
        <w:bottom w:val="single" w:sz="4" w:space="2" w:color="auto"/>
      </w:pBdr>
      <w:tabs>
        <w:tab w:val="right" w:pos="9000"/>
      </w:tabs>
    </w:pPr>
    <w:r>
      <w:tab/>
    </w:r>
    <w:r>
      <w:fldChar w:fldCharType="begin"/>
    </w:r>
    <w:r>
      <w:instrText xml:space="preserve"> PAGE </w:instrText>
    </w:r>
    <w:r>
      <w:fldChar w:fldCharType="separate"/>
    </w:r>
    <w:r>
      <w:t>1</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7E58" w14:textId="77777777" w:rsidR="00A611D4" w:rsidRPr="00E45E58" w:rsidRDefault="00A611D4">
    <w:pPr>
      <w:pBdr>
        <w:bottom w:val="single" w:sz="4" w:space="2" w:color="auto"/>
      </w:pBdr>
      <w:tabs>
        <w:tab w:val="right" w:pos="12960"/>
      </w:tabs>
      <w:rPr>
        <w:lang w:val="en-US"/>
      </w:rPr>
    </w:pPr>
    <w:r>
      <w:fldChar w:fldCharType="begin"/>
    </w:r>
    <w:r w:rsidRPr="00E45E58">
      <w:rPr>
        <w:lang w:val="en-US"/>
      </w:rPr>
      <w:instrText xml:space="preserve"> PAGE </w:instrText>
    </w:r>
    <w:r>
      <w:fldChar w:fldCharType="separate"/>
    </w:r>
    <w:r w:rsidRPr="00E45E58">
      <w:rPr>
        <w:lang w:val="en-US"/>
      </w:rPr>
      <w:t>146</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E2A1" w14:textId="1ABB72DD" w:rsidR="00A611D4" w:rsidRPr="00A242C2" w:rsidRDefault="00A611D4" w:rsidP="00D61B0B">
    <w:pPr>
      <w:pStyle w:val="Encabezado"/>
      <w:numPr>
        <w:ilvl w:val="12"/>
        <w:numId w:val="0"/>
      </w:numPr>
      <w:pBdr>
        <w:bottom w:val="single" w:sz="6" w:space="2" w:color="auto"/>
      </w:pBdr>
      <w:tabs>
        <w:tab w:val="clear" w:pos="4320"/>
        <w:tab w:val="clear" w:pos="8640"/>
        <w:tab w:val="right" w:pos="12960"/>
      </w:tabs>
      <w:rPr>
        <w:sz w:val="20"/>
      </w:rPr>
    </w:pPr>
    <w:r>
      <w:rPr>
        <w:sz w:val="20"/>
      </w:rPr>
      <w:t>Sección VI: Requisitos del sistema informático</w:t>
    </w:r>
    <w:r>
      <w:rPr>
        <w:sz w:val="20"/>
      </w:rP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387</w:t>
    </w:r>
    <w:r w:rsidRPr="00DF0955">
      <w:rPr>
        <w:rStyle w:val="Nmerodepgina"/>
      </w:rPr>
      <w:fldChar w:fldCharType="end"/>
    </w:r>
  </w:p>
  <w:p w14:paraId="42E32809" w14:textId="77777777" w:rsidR="00A611D4" w:rsidRPr="00D61B0B" w:rsidRDefault="00A611D4" w:rsidP="00D61B0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33BC" w14:textId="2856B6CE" w:rsidR="00A611D4" w:rsidRPr="004F7B70" w:rsidRDefault="00A611D4" w:rsidP="00F241A1">
    <w:pPr>
      <w:numPr>
        <w:ilvl w:val="12"/>
        <w:numId w:val="0"/>
      </w:numPr>
      <w:pBdr>
        <w:bottom w:val="single" w:sz="6" w:space="2" w:color="auto"/>
      </w:pBdr>
      <w:tabs>
        <w:tab w:val="right" w:pos="9360"/>
      </w:tabs>
      <w:rPr>
        <w:sz w:val="20"/>
      </w:rPr>
    </w:pPr>
    <w:r w:rsidRPr="004F7B70">
      <w:rPr>
        <w:sz w:val="20"/>
      </w:rPr>
      <w:t>Parte 1: Procedimientos de Licitación</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3</w:t>
    </w:r>
    <w:r w:rsidRPr="004F7B70">
      <w:rPr>
        <w:noProof/>
        <w:sz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A0FD1" w14:textId="3AC02D21" w:rsidR="00A611D4" w:rsidRPr="00E00078" w:rsidRDefault="00A611D4"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395</w:t>
    </w:r>
    <w:r w:rsidRPr="00E00078">
      <w:rPr>
        <w:rStyle w:val="Nmerodepgina"/>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B95BB" w14:textId="4107DF73" w:rsidR="00A611D4" w:rsidRPr="00506FFF" w:rsidRDefault="00A611D4" w:rsidP="00D61B0B">
    <w:pPr>
      <w:pStyle w:val="Encabezado"/>
      <w:numPr>
        <w:ilvl w:val="12"/>
        <w:numId w:val="0"/>
      </w:numPr>
      <w:pBdr>
        <w:bottom w:val="single" w:sz="6" w:space="2" w:color="auto"/>
      </w:pBdr>
      <w:tabs>
        <w:tab w:val="clear" w:pos="4320"/>
        <w:tab w:val="clear" w:pos="8640"/>
        <w:tab w:val="right" w:pos="12960"/>
      </w:tabs>
      <w:rPr>
        <w:sz w:val="20"/>
      </w:rPr>
    </w:pPr>
    <w:r w:rsidRPr="00506FFF">
      <w:rPr>
        <w:sz w:val="20"/>
      </w:rPr>
      <w:t>Parte 3: Condiciones contractuales y formularios del Contrato</w:t>
    </w:r>
    <w:r>
      <w:rPr>
        <w:sz w:val="20"/>
      </w:rPr>
      <w:t xml:space="preserve"> </w:t>
    </w:r>
    <w:r w:rsidRPr="00506FFF">
      <w:rPr>
        <w:sz w:val="20"/>
      </w:rPr>
      <w:tab/>
    </w:r>
    <w:r w:rsidRPr="00DF0955">
      <w:rPr>
        <w:rStyle w:val="Nmerodepgina"/>
      </w:rPr>
      <w:fldChar w:fldCharType="begin"/>
    </w:r>
    <w:r w:rsidRPr="00506FFF">
      <w:rPr>
        <w:rStyle w:val="Nmerodepgina"/>
      </w:rPr>
      <w:instrText xml:space="preserve"> PAGE </w:instrText>
    </w:r>
    <w:r w:rsidRPr="00DF0955">
      <w:rPr>
        <w:rStyle w:val="Nmerodepgina"/>
      </w:rPr>
      <w:fldChar w:fldCharType="separate"/>
    </w:r>
    <w:r>
      <w:rPr>
        <w:rStyle w:val="Nmerodepgina"/>
        <w:noProof/>
      </w:rPr>
      <w:t>397</w:t>
    </w:r>
    <w:r w:rsidRPr="00DF0955">
      <w:rPr>
        <w:rStyle w:val="Nmerodepgina"/>
      </w:rPr>
      <w:fldChar w:fldCharType="end"/>
    </w:r>
  </w:p>
  <w:p w14:paraId="1FEBE1E8" w14:textId="77777777" w:rsidR="00A611D4" w:rsidRPr="00506FFF" w:rsidRDefault="00A611D4" w:rsidP="00D61B0B">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B0263" w14:textId="77777777" w:rsidR="00A611D4" w:rsidRDefault="00A611D4" w:rsidP="001E498D">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232</w:t>
    </w:r>
    <w:r w:rsidRPr="002C7814">
      <w:rPr>
        <w:rStyle w:val="Nmerodepgina"/>
      </w:rPr>
      <w:fldChar w:fldCharType="end"/>
    </w:r>
    <w:r>
      <w:tab/>
      <w:t>Sección VIII: Condiciones Generales del Contrato</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6FAC1" w14:textId="314641DE" w:rsidR="00A611D4" w:rsidRPr="00E00078" w:rsidRDefault="00A611D4"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Sección VII.</w:t>
    </w:r>
    <w:r>
      <w:rPr>
        <w:sz w:val="20"/>
        <w:lang w:val="es-ES_tradnl"/>
      </w:rPr>
      <w:t>Condiciones Generales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476</w:t>
    </w:r>
    <w:r w:rsidRPr="00E00078">
      <w:rPr>
        <w:rStyle w:val="Nmerodepgina"/>
      </w:rPr>
      <w:fldChar w:fldCharType="end"/>
    </w:r>
  </w:p>
  <w:p w14:paraId="77EE9540" w14:textId="77777777" w:rsidR="00A611D4" w:rsidRPr="00D61B0B" w:rsidRDefault="00A611D4" w:rsidP="00D61B0B">
    <w:pPr>
      <w:pStyle w:val="Encabezad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E1B8A" w14:textId="77777777" w:rsidR="00A611D4" w:rsidRDefault="00A611D4" w:rsidP="009B0D16">
    <w:pPr>
      <w:pBdr>
        <w:bottom w:val="single" w:sz="6" w:space="2" w:color="auto"/>
      </w:pBdr>
      <w:tabs>
        <w:tab w:val="right" w:pos="9000"/>
      </w:tabs>
      <w:ind w:right="-360"/>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258</w:t>
    </w:r>
    <w:r w:rsidRPr="002C7814">
      <w:rPr>
        <w:rStyle w:val="Nmerodepgina"/>
      </w:rPr>
      <w:fldChar w:fldCharType="end"/>
    </w:r>
    <w:r>
      <w:tab/>
      <w:t>Sección IX: Condiciones Especiales del Contrato</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01366" w14:textId="3259DAE2" w:rsidR="00A611D4" w:rsidRPr="00E00078" w:rsidRDefault="00A611D4" w:rsidP="007215B3">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VIII</w:t>
    </w:r>
    <w:r w:rsidRPr="00E00078">
      <w:rPr>
        <w:sz w:val="20"/>
      </w:rPr>
      <w:t>.</w:t>
    </w:r>
    <w:r>
      <w:rPr>
        <w:sz w:val="20"/>
        <w:lang w:val="es-ES_tradnl"/>
      </w:rPr>
      <w:t>Condiciones Especiales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508</w:t>
    </w:r>
    <w:r w:rsidRPr="00E00078">
      <w:rPr>
        <w:rStyle w:val="Nmerodepgina"/>
      </w:rPr>
      <w:fldChar w:fldCharType="end"/>
    </w:r>
  </w:p>
  <w:p w14:paraId="30E509AC" w14:textId="77777777" w:rsidR="00A611D4" w:rsidRPr="00D61B0B" w:rsidRDefault="00A611D4" w:rsidP="00D61B0B">
    <w:pPr>
      <w:pStyle w:val="Encabezado"/>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2500" w14:textId="77777777" w:rsidR="00A611D4" w:rsidRDefault="00A611D4" w:rsidP="009B0D16">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260</w:t>
    </w:r>
    <w:r w:rsidRPr="002C7814">
      <w:rPr>
        <w:rStyle w:val="Nmerodepgina"/>
      </w:rPr>
      <w:fldChar w:fldCharType="end"/>
    </w:r>
    <w:r>
      <w:tab/>
      <w:t xml:space="preserve">Sección X: </w:t>
    </w:r>
    <w:r>
      <w:tab/>
      <w:t>Formularios del Contrato</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9FF8C" w14:textId="77777777" w:rsidR="00A611D4" w:rsidRPr="00E00078" w:rsidRDefault="00A611D4" w:rsidP="00790970">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IX</w:t>
    </w:r>
    <w:r w:rsidRPr="00E00078">
      <w:rPr>
        <w:sz w:val="20"/>
      </w:rPr>
      <w:t>.</w:t>
    </w:r>
    <w:r>
      <w:rPr>
        <w:sz w:val="20"/>
        <w:lang w:val="es-ES_tradnl"/>
      </w:rPr>
      <w:t xml:space="preserve"> Formularios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348</w:t>
    </w:r>
    <w:r w:rsidRPr="00E00078">
      <w:rPr>
        <w:rStyle w:val="Nmerodepgina"/>
      </w:rPr>
      <w:fldChar w:fldCharType="end"/>
    </w:r>
  </w:p>
  <w:p w14:paraId="5A1D814A" w14:textId="77777777" w:rsidR="00A611D4" w:rsidRPr="00D61B0B" w:rsidRDefault="00A611D4" w:rsidP="00D61B0B">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8A16C" w14:textId="77777777" w:rsidR="00A611D4" w:rsidRDefault="00A611D4">
    <w:pPr>
      <w:pBdr>
        <w:bottom w:val="single" w:sz="4" w:space="2" w:color="auto"/>
      </w:pBdr>
      <w:tabs>
        <w:tab w:val="right" w:pos="9000"/>
      </w:tabs>
    </w:pPr>
    <w:r>
      <w:t>Sección VII. Formularios tipo</w:t>
    </w:r>
    <w:r>
      <w:tab/>
    </w:r>
    <w:r>
      <w:fldChar w:fldCharType="begin"/>
    </w:r>
    <w:r>
      <w:instrText xml:space="preserve"> PAGE </w:instrText>
    </w:r>
    <w:r>
      <w:fldChar w:fldCharType="separate"/>
    </w:r>
    <w:r>
      <w:t>233</w: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7BC10" w14:textId="77777777" w:rsidR="00A611D4" w:rsidRDefault="00A611D4" w:rsidP="009B0D16">
    <w:pPr>
      <w:pBdr>
        <w:bottom w:val="single" w:sz="6" w:space="2" w:color="auto"/>
      </w:pBdr>
      <w:tabs>
        <w:tab w:val="right" w:pos="90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2C40" w14:textId="77777777" w:rsidR="00A611D4" w:rsidRPr="00DB5021" w:rsidRDefault="00A611D4">
    <w:pPr>
      <w:pBdr>
        <w:bottom w:val="single" w:sz="4" w:space="2" w:color="auto"/>
      </w:pBdr>
      <w:tabs>
        <w:tab w:val="right" w:pos="9000"/>
      </w:tabs>
      <w:rPr>
        <w:sz w:val="20"/>
      </w:rPr>
    </w:pPr>
    <w:r w:rsidRPr="00DB5021">
      <w:rPr>
        <w:sz w:val="20"/>
      </w:rPr>
      <w:fldChar w:fldCharType="begin"/>
    </w:r>
    <w:r w:rsidRPr="00DB5021">
      <w:rPr>
        <w:sz w:val="20"/>
      </w:rPr>
      <w:instrText xml:space="preserve"> PAGE </w:instrText>
    </w:r>
    <w:r w:rsidRPr="00DB5021">
      <w:rPr>
        <w:sz w:val="20"/>
      </w:rPr>
      <w:fldChar w:fldCharType="separate"/>
    </w:r>
    <w:r>
      <w:rPr>
        <w:noProof/>
        <w:sz w:val="20"/>
      </w:rPr>
      <w:t>34</w:t>
    </w:r>
    <w:r w:rsidRPr="00DB5021">
      <w:rPr>
        <w:noProof/>
        <w:sz w:val="20"/>
      </w:rPr>
      <w:fldChar w:fldCharType="end"/>
    </w:r>
    <w:r>
      <w:tab/>
    </w:r>
    <w:r>
      <w:rPr>
        <w:sz w:val="20"/>
      </w:rPr>
      <w:t>Sección I: Instrucciones a los Licitantes (IAL)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3C53" w14:textId="1988EAA7" w:rsidR="00A611D4" w:rsidRPr="004F7B70" w:rsidRDefault="00A611D4" w:rsidP="00711EE1">
    <w:pPr>
      <w:numPr>
        <w:ilvl w:val="12"/>
        <w:numId w:val="0"/>
      </w:numPr>
      <w:pBdr>
        <w:bottom w:val="single" w:sz="6" w:space="2" w:color="auto"/>
      </w:pBdr>
      <w:tabs>
        <w:tab w:val="right" w:pos="9360"/>
      </w:tabs>
      <w:rPr>
        <w:sz w:val="20"/>
      </w:rPr>
    </w:pPr>
    <w:r w:rsidRPr="004F7B70">
      <w:rPr>
        <w:sz w:val="20"/>
      </w:rPr>
      <w:t xml:space="preserve">Sección I. Instrucciones a los Licitantes (IAL) </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45</w:t>
    </w:r>
    <w:r w:rsidRPr="004F7B70">
      <w:rPr>
        <w:noProof/>
        <w:sz w:val="20"/>
      </w:rPr>
      <w:fldChar w:fldCharType="end"/>
    </w:r>
  </w:p>
  <w:p w14:paraId="3CCA1564" w14:textId="77777777" w:rsidR="00A611D4" w:rsidRPr="00F241A1" w:rsidRDefault="00A611D4" w:rsidP="00F241A1">
    <w:pPr>
      <w:pStyle w:val="Encabezado"/>
      <w:tabs>
        <w:tab w:val="clear" w:pos="864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082E" w14:textId="77777777" w:rsidR="00A611D4" w:rsidRPr="00A242C2" w:rsidRDefault="00A611D4">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E0484">
      <w:rPr>
        <w:rStyle w:val="Nmerodepgina"/>
      </w:rPr>
      <w:instrText xml:space="preserve"> PAGE </w:instrText>
    </w:r>
    <w:r w:rsidRPr="00DF0955">
      <w:rPr>
        <w:rStyle w:val="Nmerodepgina"/>
      </w:rPr>
      <w:fldChar w:fldCharType="separate"/>
    </w:r>
    <w:r>
      <w:rPr>
        <w:rStyle w:val="Nmerodepgina"/>
        <w:noProof/>
      </w:rPr>
      <w:t>42</w:t>
    </w:r>
    <w:r w:rsidRPr="00DF0955">
      <w:rPr>
        <w:rStyle w:val="Nmerodepgina"/>
      </w:rPr>
      <w:fldChar w:fldCharType="end"/>
    </w:r>
    <w:r>
      <w:tab/>
    </w:r>
    <w:r>
      <w:rPr>
        <w:sz w:val="20"/>
      </w:rPr>
      <w:t>Sección II: Datos de la Licitación (DDL)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BA1C" w14:textId="7D2F0AA0" w:rsidR="00A611D4" w:rsidRPr="00A242C2" w:rsidRDefault="00A611D4"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 Datos de la Licitación (DDL)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59</w:t>
    </w:r>
    <w:r w:rsidRPr="00DF0955">
      <w:rPr>
        <w:rStyle w:val="Nmerodepgin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8CD0" w14:textId="4C86FAE7" w:rsidR="00A611D4" w:rsidRDefault="00A611D4" w:rsidP="00547F8D">
    <w:pPr>
      <w:pStyle w:val="Encabezado"/>
      <w:numPr>
        <w:ilvl w:val="12"/>
        <w:numId w:val="0"/>
      </w:numPr>
      <w:pBdr>
        <w:bottom w:val="single" w:sz="6" w:space="2" w:color="auto"/>
      </w:pBdr>
      <w:tabs>
        <w:tab w:val="right" w:pos="9000"/>
      </w:tabs>
    </w:pPr>
    <w:r w:rsidRPr="00547F8D">
      <w:tab/>
    </w:r>
    <w:r w:rsidRPr="00547F8D">
      <w:rPr>
        <w:sz w:val="20"/>
      </w:rP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78</w:t>
    </w:r>
    <w:r>
      <w:rPr>
        <w:rStyle w:val="Nmerodepgi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97AC850"/>
    <w:lvl w:ilvl="0">
      <w:start w:val="1"/>
      <w:numFmt w:val="decimal"/>
      <w:pStyle w:val="Listaconnmeros2"/>
      <w:lvlText w:val="%1."/>
      <w:lvlJc w:val="left"/>
      <w:pPr>
        <w:tabs>
          <w:tab w:val="num" w:pos="720"/>
        </w:tabs>
        <w:ind w:left="720" w:hanging="360"/>
      </w:pPr>
    </w:lvl>
  </w:abstractNum>
  <w:abstractNum w:abstractNumId="1" w15:restartNumberingAfterBreak="0">
    <w:nsid w:val="0028372F"/>
    <w:multiLevelType w:val="hybridMultilevel"/>
    <w:tmpl w:val="7DF6C396"/>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E64F8"/>
    <w:multiLevelType w:val="hybridMultilevel"/>
    <w:tmpl w:val="A0E4EB04"/>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3" w15:restartNumberingAfterBreak="0">
    <w:nsid w:val="01E55222"/>
    <w:multiLevelType w:val="multilevel"/>
    <w:tmpl w:val="6186BC7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none"/>
      <w:lvlText w:val="2.1.1.1.1"/>
      <w:lvlJc w:val="left"/>
      <w:pPr>
        <w:ind w:left="720" w:hanging="720"/>
      </w:pPr>
      <w:rPr>
        <w:rFonts w:hint="default"/>
      </w:rPr>
    </w:lvl>
    <w:lvl w:ilvl="3">
      <w:start w:val="1"/>
      <w:numFmt w:val="decimal"/>
      <w:lvlText w:val="%1.%2.%3.%4"/>
      <w:lvlJc w:val="left"/>
      <w:pPr>
        <w:ind w:left="5116"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3131300"/>
    <w:multiLevelType w:val="hybridMultilevel"/>
    <w:tmpl w:val="55D6738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3546434"/>
    <w:multiLevelType w:val="hybridMultilevel"/>
    <w:tmpl w:val="F8D0D524"/>
    <w:lvl w:ilvl="0" w:tplc="F6B413C2">
      <w:start w:val="1"/>
      <w:numFmt w:val="bullet"/>
      <w:lvlText w:val="○"/>
      <w:lvlJc w:val="left"/>
      <w:pPr>
        <w:ind w:left="1778" w:hanging="360"/>
      </w:pPr>
      <w:rPr>
        <w:rFonts w:hint="default"/>
        <w:u w:val="none"/>
      </w:rPr>
    </w:lvl>
    <w:lvl w:ilvl="1" w:tplc="FFFFFFFF">
      <w:start w:val="1"/>
      <w:numFmt w:val="bullet"/>
      <w:lvlText w:val="o"/>
      <w:lvlJc w:val="left"/>
      <w:pPr>
        <w:ind w:left="1600" w:hanging="360"/>
      </w:pPr>
      <w:rPr>
        <w:rFonts w:ascii="Courier New" w:hAnsi="Courier New" w:cs="Courier New" w:hint="default"/>
      </w:rPr>
    </w:lvl>
    <w:lvl w:ilvl="2" w:tplc="FFFFFFFF">
      <w:start w:val="1"/>
      <w:numFmt w:val="bullet"/>
      <w:lvlText w:val=""/>
      <w:lvlJc w:val="left"/>
      <w:pPr>
        <w:ind w:left="2320" w:hanging="360"/>
      </w:pPr>
      <w:rPr>
        <w:rFonts w:ascii="Wingdings" w:hAnsi="Wingdings" w:hint="default"/>
      </w:rPr>
    </w:lvl>
    <w:lvl w:ilvl="3" w:tplc="FFFFFFFF">
      <w:start w:val="1"/>
      <w:numFmt w:val="bullet"/>
      <w:lvlText w:val=""/>
      <w:lvlJc w:val="left"/>
      <w:pPr>
        <w:ind w:left="3040" w:hanging="360"/>
      </w:pPr>
      <w:rPr>
        <w:rFonts w:ascii="Symbol" w:hAnsi="Symbol" w:hint="default"/>
      </w:rPr>
    </w:lvl>
    <w:lvl w:ilvl="4" w:tplc="FFFFFFFF">
      <w:start w:val="1"/>
      <w:numFmt w:val="bullet"/>
      <w:lvlText w:val="o"/>
      <w:lvlJc w:val="left"/>
      <w:pPr>
        <w:ind w:left="3760" w:hanging="360"/>
      </w:pPr>
      <w:rPr>
        <w:rFonts w:ascii="Courier New" w:hAnsi="Courier New" w:cs="Courier New" w:hint="default"/>
      </w:rPr>
    </w:lvl>
    <w:lvl w:ilvl="5" w:tplc="FFFFFFFF">
      <w:start w:val="1"/>
      <w:numFmt w:val="bullet"/>
      <w:lvlText w:val=""/>
      <w:lvlJc w:val="left"/>
      <w:pPr>
        <w:ind w:left="4480" w:hanging="360"/>
      </w:pPr>
      <w:rPr>
        <w:rFonts w:ascii="Wingdings" w:hAnsi="Wingdings" w:hint="default"/>
      </w:rPr>
    </w:lvl>
    <w:lvl w:ilvl="6" w:tplc="FFFFFFFF">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6"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164EE"/>
    <w:multiLevelType w:val="hybridMultilevel"/>
    <w:tmpl w:val="9C18E55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B0386B"/>
    <w:multiLevelType w:val="hybridMultilevel"/>
    <w:tmpl w:val="5C9C5964"/>
    <w:lvl w:ilvl="0" w:tplc="300A0001">
      <w:start w:val="1"/>
      <w:numFmt w:val="bullet"/>
      <w:lvlText w:val=""/>
      <w:lvlJc w:val="left"/>
      <w:pPr>
        <w:ind w:left="3912" w:hanging="360"/>
      </w:pPr>
      <w:rPr>
        <w:rFonts w:ascii="Symbol" w:hAnsi="Symbol" w:hint="default"/>
      </w:rPr>
    </w:lvl>
    <w:lvl w:ilvl="1" w:tplc="300A0003" w:tentative="1">
      <w:start w:val="1"/>
      <w:numFmt w:val="bullet"/>
      <w:lvlText w:val="o"/>
      <w:lvlJc w:val="left"/>
      <w:pPr>
        <w:ind w:left="4632" w:hanging="360"/>
      </w:pPr>
      <w:rPr>
        <w:rFonts w:ascii="Courier New" w:hAnsi="Courier New" w:cs="Courier New" w:hint="default"/>
      </w:rPr>
    </w:lvl>
    <w:lvl w:ilvl="2" w:tplc="300A0005" w:tentative="1">
      <w:start w:val="1"/>
      <w:numFmt w:val="bullet"/>
      <w:lvlText w:val=""/>
      <w:lvlJc w:val="left"/>
      <w:pPr>
        <w:ind w:left="5352" w:hanging="360"/>
      </w:pPr>
      <w:rPr>
        <w:rFonts w:ascii="Wingdings" w:hAnsi="Wingdings" w:hint="default"/>
      </w:rPr>
    </w:lvl>
    <w:lvl w:ilvl="3" w:tplc="300A0001" w:tentative="1">
      <w:start w:val="1"/>
      <w:numFmt w:val="bullet"/>
      <w:lvlText w:val=""/>
      <w:lvlJc w:val="left"/>
      <w:pPr>
        <w:ind w:left="6072" w:hanging="360"/>
      </w:pPr>
      <w:rPr>
        <w:rFonts w:ascii="Symbol" w:hAnsi="Symbol" w:hint="default"/>
      </w:rPr>
    </w:lvl>
    <w:lvl w:ilvl="4" w:tplc="300A0003" w:tentative="1">
      <w:start w:val="1"/>
      <w:numFmt w:val="bullet"/>
      <w:lvlText w:val="o"/>
      <w:lvlJc w:val="left"/>
      <w:pPr>
        <w:ind w:left="6792" w:hanging="360"/>
      </w:pPr>
      <w:rPr>
        <w:rFonts w:ascii="Courier New" w:hAnsi="Courier New" w:cs="Courier New" w:hint="default"/>
      </w:rPr>
    </w:lvl>
    <w:lvl w:ilvl="5" w:tplc="300A0005" w:tentative="1">
      <w:start w:val="1"/>
      <w:numFmt w:val="bullet"/>
      <w:lvlText w:val=""/>
      <w:lvlJc w:val="left"/>
      <w:pPr>
        <w:ind w:left="7512" w:hanging="360"/>
      </w:pPr>
      <w:rPr>
        <w:rFonts w:ascii="Wingdings" w:hAnsi="Wingdings" w:hint="default"/>
      </w:rPr>
    </w:lvl>
    <w:lvl w:ilvl="6" w:tplc="300A0001" w:tentative="1">
      <w:start w:val="1"/>
      <w:numFmt w:val="bullet"/>
      <w:lvlText w:val=""/>
      <w:lvlJc w:val="left"/>
      <w:pPr>
        <w:ind w:left="8232" w:hanging="360"/>
      </w:pPr>
      <w:rPr>
        <w:rFonts w:ascii="Symbol" w:hAnsi="Symbol" w:hint="default"/>
      </w:rPr>
    </w:lvl>
    <w:lvl w:ilvl="7" w:tplc="300A0003" w:tentative="1">
      <w:start w:val="1"/>
      <w:numFmt w:val="bullet"/>
      <w:lvlText w:val="o"/>
      <w:lvlJc w:val="left"/>
      <w:pPr>
        <w:ind w:left="8952" w:hanging="360"/>
      </w:pPr>
      <w:rPr>
        <w:rFonts w:ascii="Courier New" w:hAnsi="Courier New" w:cs="Courier New" w:hint="default"/>
      </w:rPr>
    </w:lvl>
    <w:lvl w:ilvl="8" w:tplc="300A0005" w:tentative="1">
      <w:start w:val="1"/>
      <w:numFmt w:val="bullet"/>
      <w:lvlText w:val=""/>
      <w:lvlJc w:val="left"/>
      <w:pPr>
        <w:ind w:left="9672" w:hanging="360"/>
      </w:pPr>
      <w:rPr>
        <w:rFonts w:ascii="Wingdings" w:hAnsi="Wingdings" w:hint="default"/>
      </w:rPr>
    </w:lvl>
  </w:abstractNum>
  <w:abstractNum w:abstractNumId="9" w15:restartNumberingAfterBreak="0">
    <w:nsid w:val="03E17499"/>
    <w:multiLevelType w:val="hybridMultilevel"/>
    <w:tmpl w:val="A85C715A"/>
    <w:lvl w:ilvl="0" w:tplc="300A0001">
      <w:start w:val="1"/>
      <w:numFmt w:val="bullet"/>
      <w:lvlText w:val=""/>
      <w:lvlJc w:val="left"/>
      <w:pPr>
        <w:ind w:left="3479" w:hanging="360"/>
      </w:pPr>
      <w:rPr>
        <w:rFonts w:ascii="Symbol" w:hAnsi="Symbol" w:hint="default"/>
      </w:rPr>
    </w:lvl>
    <w:lvl w:ilvl="1" w:tplc="300A0003" w:tentative="1">
      <w:start w:val="1"/>
      <w:numFmt w:val="bullet"/>
      <w:lvlText w:val="o"/>
      <w:lvlJc w:val="left"/>
      <w:pPr>
        <w:ind w:left="4199" w:hanging="360"/>
      </w:pPr>
      <w:rPr>
        <w:rFonts w:ascii="Courier New" w:hAnsi="Courier New" w:cs="Courier New" w:hint="default"/>
      </w:rPr>
    </w:lvl>
    <w:lvl w:ilvl="2" w:tplc="300A0005" w:tentative="1">
      <w:start w:val="1"/>
      <w:numFmt w:val="bullet"/>
      <w:lvlText w:val=""/>
      <w:lvlJc w:val="left"/>
      <w:pPr>
        <w:ind w:left="4919" w:hanging="360"/>
      </w:pPr>
      <w:rPr>
        <w:rFonts w:ascii="Wingdings" w:hAnsi="Wingdings" w:hint="default"/>
      </w:rPr>
    </w:lvl>
    <w:lvl w:ilvl="3" w:tplc="300A0001" w:tentative="1">
      <w:start w:val="1"/>
      <w:numFmt w:val="bullet"/>
      <w:lvlText w:val=""/>
      <w:lvlJc w:val="left"/>
      <w:pPr>
        <w:ind w:left="5639" w:hanging="360"/>
      </w:pPr>
      <w:rPr>
        <w:rFonts w:ascii="Symbol" w:hAnsi="Symbol" w:hint="default"/>
      </w:rPr>
    </w:lvl>
    <w:lvl w:ilvl="4" w:tplc="300A0003" w:tentative="1">
      <w:start w:val="1"/>
      <w:numFmt w:val="bullet"/>
      <w:lvlText w:val="o"/>
      <w:lvlJc w:val="left"/>
      <w:pPr>
        <w:ind w:left="6359" w:hanging="360"/>
      </w:pPr>
      <w:rPr>
        <w:rFonts w:ascii="Courier New" w:hAnsi="Courier New" w:cs="Courier New" w:hint="default"/>
      </w:rPr>
    </w:lvl>
    <w:lvl w:ilvl="5" w:tplc="300A0005" w:tentative="1">
      <w:start w:val="1"/>
      <w:numFmt w:val="bullet"/>
      <w:lvlText w:val=""/>
      <w:lvlJc w:val="left"/>
      <w:pPr>
        <w:ind w:left="7079" w:hanging="360"/>
      </w:pPr>
      <w:rPr>
        <w:rFonts w:ascii="Wingdings" w:hAnsi="Wingdings" w:hint="default"/>
      </w:rPr>
    </w:lvl>
    <w:lvl w:ilvl="6" w:tplc="300A0001" w:tentative="1">
      <w:start w:val="1"/>
      <w:numFmt w:val="bullet"/>
      <w:lvlText w:val=""/>
      <w:lvlJc w:val="left"/>
      <w:pPr>
        <w:ind w:left="7799" w:hanging="360"/>
      </w:pPr>
      <w:rPr>
        <w:rFonts w:ascii="Symbol" w:hAnsi="Symbol" w:hint="default"/>
      </w:rPr>
    </w:lvl>
    <w:lvl w:ilvl="7" w:tplc="300A0003" w:tentative="1">
      <w:start w:val="1"/>
      <w:numFmt w:val="bullet"/>
      <w:lvlText w:val="o"/>
      <w:lvlJc w:val="left"/>
      <w:pPr>
        <w:ind w:left="8519" w:hanging="360"/>
      </w:pPr>
      <w:rPr>
        <w:rFonts w:ascii="Courier New" w:hAnsi="Courier New" w:cs="Courier New" w:hint="default"/>
      </w:rPr>
    </w:lvl>
    <w:lvl w:ilvl="8" w:tplc="300A0005" w:tentative="1">
      <w:start w:val="1"/>
      <w:numFmt w:val="bullet"/>
      <w:lvlText w:val=""/>
      <w:lvlJc w:val="left"/>
      <w:pPr>
        <w:ind w:left="9239" w:hanging="360"/>
      </w:pPr>
      <w:rPr>
        <w:rFonts w:ascii="Wingdings" w:hAnsi="Wingdings" w:hint="default"/>
      </w:rPr>
    </w:lvl>
  </w:abstractNum>
  <w:abstractNum w:abstractNumId="10" w15:restartNumberingAfterBreak="0">
    <w:nsid w:val="041B39C7"/>
    <w:multiLevelType w:val="hybridMultilevel"/>
    <w:tmpl w:val="9604A630"/>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4304D16"/>
    <w:multiLevelType w:val="hybridMultilevel"/>
    <w:tmpl w:val="38BCD27A"/>
    <w:lvl w:ilvl="0" w:tplc="AA1C732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D15D7"/>
    <w:multiLevelType w:val="hybridMultilevel"/>
    <w:tmpl w:val="0B6EE99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0501B207"/>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14" w15:restartNumberingAfterBreak="0">
    <w:nsid w:val="0526372B"/>
    <w:multiLevelType w:val="hybridMultilevel"/>
    <w:tmpl w:val="67AC91DE"/>
    <w:lvl w:ilvl="0" w:tplc="C75EF6FC">
      <w:start w:val="1"/>
      <w:numFmt w:val="bullet"/>
      <w:lvlText w:val=""/>
      <w:lvlJc w:val="left"/>
      <w:pPr>
        <w:ind w:left="1068" w:hanging="360"/>
      </w:pPr>
      <w:rPr>
        <w:rFonts w:ascii="Symbol" w:hAnsi="Symbol" w:hint="default"/>
      </w:rPr>
    </w:lvl>
    <w:lvl w:ilvl="1" w:tplc="BBEE436C" w:tentative="1">
      <w:start w:val="1"/>
      <w:numFmt w:val="bullet"/>
      <w:lvlText w:val="o"/>
      <w:lvlJc w:val="left"/>
      <w:pPr>
        <w:ind w:left="1788" w:hanging="360"/>
      </w:pPr>
      <w:rPr>
        <w:rFonts w:ascii="Courier New" w:hAnsi="Courier New" w:hint="default"/>
      </w:rPr>
    </w:lvl>
    <w:lvl w:ilvl="2" w:tplc="1CB4A32C" w:tentative="1">
      <w:start w:val="1"/>
      <w:numFmt w:val="bullet"/>
      <w:lvlText w:val=""/>
      <w:lvlJc w:val="left"/>
      <w:pPr>
        <w:ind w:left="2508" w:hanging="360"/>
      </w:pPr>
      <w:rPr>
        <w:rFonts w:ascii="Wingdings" w:hAnsi="Wingdings" w:hint="default"/>
      </w:rPr>
    </w:lvl>
    <w:lvl w:ilvl="3" w:tplc="7618EB3C" w:tentative="1">
      <w:start w:val="1"/>
      <w:numFmt w:val="bullet"/>
      <w:lvlText w:val=""/>
      <w:lvlJc w:val="left"/>
      <w:pPr>
        <w:ind w:left="3228" w:hanging="360"/>
      </w:pPr>
      <w:rPr>
        <w:rFonts w:ascii="Symbol" w:hAnsi="Symbol" w:hint="default"/>
      </w:rPr>
    </w:lvl>
    <w:lvl w:ilvl="4" w:tplc="E45404B0" w:tentative="1">
      <w:start w:val="1"/>
      <w:numFmt w:val="bullet"/>
      <w:lvlText w:val="o"/>
      <w:lvlJc w:val="left"/>
      <w:pPr>
        <w:ind w:left="3948" w:hanging="360"/>
      </w:pPr>
      <w:rPr>
        <w:rFonts w:ascii="Courier New" w:hAnsi="Courier New" w:hint="default"/>
      </w:rPr>
    </w:lvl>
    <w:lvl w:ilvl="5" w:tplc="2BA6E220" w:tentative="1">
      <w:start w:val="1"/>
      <w:numFmt w:val="bullet"/>
      <w:lvlText w:val=""/>
      <w:lvlJc w:val="left"/>
      <w:pPr>
        <w:ind w:left="4668" w:hanging="360"/>
      </w:pPr>
      <w:rPr>
        <w:rFonts w:ascii="Wingdings" w:hAnsi="Wingdings" w:hint="default"/>
      </w:rPr>
    </w:lvl>
    <w:lvl w:ilvl="6" w:tplc="AB9035BC" w:tentative="1">
      <w:start w:val="1"/>
      <w:numFmt w:val="bullet"/>
      <w:lvlText w:val=""/>
      <w:lvlJc w:val="left"/>
      <w:pPr>
        <w:ind w:left="5388" w:hanging="360"/>
      </w:pPr>
      <w:rPr>
        <w:rFonts w:ascii="Symbol" w:hAnsi="Symbol" w:hint="default"/>
      </w:rPr>
    </w:lvl>
    <w:lvl w:ilvl="7" w:tplc="C78AA642" w:tentative="1">
      <w:start w:val="1"/>
      <w:numFmt w:val="bullet"/>
      <w:lvlText w:val="o"/>
      <w:lvlJc w:val="left"/>
      <w:pPr>
        <w:ind w:left="6108" w:hanging="360"/>
      </w:pPr>
      <w:rPr>
        <w:rFonts w:ascii="Courier New" w:hAnsi="Courier New" w:hint="default"/>
      </w:rPr>
    </w:lvl>
    <w:lvl w:ilvl="8" w:tplc="BCEC2612" w:tentative="1">
      <w:start w:val="1"/>
      <w:numFmt w:val="bullet"/>
      <w:lvlText w:val=""/>
      <w:lvlJc w:val="left"/>
      <w:pPr>
        <w:ind w:left="6828" w:hanging="360"/>
      </w:pPr>
      <w:rPr>
        <w:rFonts w:ascii="Wingdings" w:hAnsi="Wingdings" w:hint="default"/>
      </w:rPr>
    </w:lvl>
  </w:abstractNum>
  <w:abstractNum w:abstractNumId="15" w15:restartNumberingAfterBreak="0">
    <w:nsid w:val="056E0152"/>
    <w:multiLevelType w:val="multilevel"/>
    <w:tmpl w:val="B4BC1CBC"/>
    <w:lvl w:ilvl="0">
      <w:start w:val="1"/>
      <w:numFmt w:val="lowerLetter"/>
      <w:lvlText w:val="%1."/>
      <w:lvlJc w:val="left"/>
      <w:pPr>
        <w:ind w:left="2062" w:hanging="360"/>
      </w:pPr>
      <w:rPr>
        <w:b w:val="0"/>
      </w:rPr>
    </w:lvl>
    <w:lvl w:ilvl="1">
      <w:start w:val="1"/>
      <w:numFmt w:val="lowerLetter"/>
      <w:lvlText w:val="%2."/>
      <w:lvlJc w:val="left"/>
      <w:pPr>
        <w:ind w:left="2692" w:hanging="360"/>
      </w:pPr>
    </w:lvl>
    <w:lvl w:ilvl="2">
      <w:start w:val="1"/>
      <w:numFmt w:val="lowerRoman"/>
      <w:lvlText w:val="%3."/>
      <w:lvlJc w:val="right"/>
      <w:pPr>
        <w:ind w:left="3412" w:hanging="180"/>
      </w:pPr>
    </w:lvl>
    <w:lvl w:ilvl="3">
      <w:start w:val="1"/>
      <w:numFmt w:val="decimal"/>
      <w:lvlText w:val="%4."/>
      <w:lvlJc w:val="left"/>
      <w:pPr>
        <w:ind w:left="4132" w:hanging="360"/>
      </w:pPr>
    </w:lvl>
    <w:lvl w:ilvl="4">
      <w:start w:val="1"/>
      <w:numFmt w:val="lowerLetter"/>
      <w:lvlText w:val="%5."/>
      <w:lvlJc w:val="left"/>
      <w:pPr>
        <w:ind w:left="4852" w:hanging="360"/>
      </w:pPr>
    </w:lvl>
    <w:lvl w:ilvl="5">
      <w:start w:val="1"/>
      <w:numFmt w:val="lowerRoman"/>
      <w:lvlText w:val="%6."/>
      <w:lvlJc w:val="right"/>
      <w:pPr>
        <w:ind w:left="5572" w:hanging="180"/>
      </w:pPr>
    </w:lvl>
    <w:lvl w:ilvl="6">
      <w:start w:val="1"/>
      <w:numFmt w:val="decimal"/>
      <w:lvlText w:val="%7."/>
      <w:lvlJc w:val="left"/>
      <w:pPr>
        <w:ind w:left="6292" w:hanging="360"/>
      </w:pPr>
    </w:lvl>
    <w:lvl w:ilvl="7">
      <w:start w:val="1"/>
      <w:numFmt w:val="lowerLetter"/>
      <w:lvlText w:val="%8."/>
      <w:lvlJc w:val="left"/>
      <w:pPr>
        <w:ind w:left="7012" w:hanging="360"/>
      </w:pPr>
    </w:lvl>
    <w:lvl w:ilvl="8">
      <w:start w:val="1"/>
      <w:numFmt w:val="lowerRoman"/>
      <w:lvlText w:val="%9."/>
      <w:lvlJc w:val="right"/>
      <w:pPr>
        <w:ind w:left="7732" w:hanging="180"/>
      </w:pPr>
    </w:lvl>
  </w:abstractNum>
  <w:abstractNum w:abstractNumId="16" w15:restartNumberingAfterBreak="0">
    <w:nsid w:val="05E8390E"/>
    <w:multiLevelType w:val="hybridMultilevel"/>
    <w:tmpl w:val="3F9CD082"/>
    <w:lvl w:ilvl="0" w:tplc="23503552">
      <w:start w:val="1"/>
      <w:numFmt w:val="decimal"/>
      <w:lvlText w:val="29.%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384315"/>
    <w:multiLevelType w:val="hybridMultilevel"/>
    <w:tmpl w:val="8B026AEE"/>
    <w:lvl w:ilvl="0" w:tplc="300A0019">
      <w:start w:val="1"/>
      <w:numFmt w:val="lowerLetter"/>
      <w:lvlText w:val="%1."/>
      <w:lvlJc w:val="left"/>
      <w:pPr>
        <w:ind w:left="3762" w:hanging="360"/>
      </w:pPr>
      <w:rPr>
        <w:rFonts w:hint="default"/>
      </w:rPr>
    </w:lvl>
    <w:lvl w:ilvl="1" w:tplc="300A0003">
      <w:start w:val="1"/>
      <w:numFmt w:val="bullet"/>
      <w:lvlText w:val="o"/>
      <w:lvlJc w:val="left"/>
      <w:pPr>
        <w:ind w:left="4199" w:hanging="360"/>
      </w:pPr>
      <w:rPr>
        <w:rFonts w:ascii="Courier New" w:hAnsi="Courier New" w:cs="Courier New" w:hint="default"/>
      </w:rPr>
    </w:lvl>
    <w:lvl w:ilvl="2" w:tplc="300A0005" w:tentative="1">
      <w:start w:val="1"/>
      <w:numFmt w:val="bullet"/>
      <w:lvlText w:val=""/>
      <w:lvlJc w:val="left"/>
      <w:pPr>
        <w:ind w:left="4919" w:hanging="360"/>
      </w:pPr>
      <w:rPr>
        <w:rFonts w:ascii="Wingdings" w:hAnsi="Wingdings" w:hint="default"/>
      </w:rPr>
    </w:lvl>
    <w:lvl w:ilvl="3" w:tplc="300A0001" w:tentative="1">
      <w:start w:val="1"/>
      <w:numFmt w:val="bullet"/>
      <w:lvlText w:val=""/>
      <w:lvlJc w:val="left"/>
      <w:pPr>
        <w:ind w:left="5639" w:hanging="360"/>
      </w:pPr>
      <w:rPr>
        <w:rFonts w:ascii="Symbol" w:hAnsi="Symbol" w:hint="default"/>
      </w:rPr>
    </w:lvl>
    <w:lvl w:ilvl="4" w:tplc="300A0003" w:tentative="1">
      <w:start w:val="1"/>
      <w:numFmt w:val="bullet"/>
      <w:lvlText w:val="o"/>
      <w:lvlJc w:val="left"/>
      <w:pPr>
        <w:ind w:left="6359" w:hanging="360"/>
      </w:pPr>
      <w:rPr>
        <w:rFonts w:ascii="Courier New" w:hAnsi="Courier New" w:cs="Courier New" w:hint="default"/>
      </w:rPr>
    </w:lvl>
    <w:lvl w:ilvl="5" w:tplc="300A0005" w:tentative="1">
      <w:start w:val="1"/>
      <w:numFmt w:val="bullet"/>
      <w:lvlText w:val=""/>
      <w:lvlJc w:val="left"/>
      <w:pPr>
        <w:ind w:left="7079" w:hanging="360"/>
      </w:pPr>
      <w:rPr>
        <w:rFonts w:ascii="Wingdings" w:hAnsi="Wingdings" w:hint="default"/>
      </w:rPr>
    </w:lvl>
    <w:lvl w:ilvl="6" w:tplc="300A0001" w:tentative="1">
      <w:start w:val="1"/>
      <w:numFmt w:val="bullet"/>
      <w:lvlText w:val=""/>
      <w:lvlJc w:val="left"/>
      <w:pPr>
        <w:ind w:left="7799" w:hanging="360"/>
      </w:pPr>
      <w:rPr>
        <w:rFonts w:ascii="Symbol" w:hAnsi="Symbol" w:hint="default"/>
      </w:rPr>
    </w:lvl>
    <w:lvl w:ilvl="7" w:tplc="300A0003" w:tentative="1">
      <w:start w:val="1"/>
      <w:numFmt w:val="bullet"/>
      <w:lvlText w:val="o"/>
      <w:lvlJc w:val="left"/>
      <w:pPr>
        <w:ind w:left="8519" w:hanging="360"/>
      </w:pPr>
      <w:rPr>
        <w:rFonts w:ascii="Courier New" w:hAnsi="Courier New" w:cs="Courier New" w:hint="default"/>
      </w:rPr>
    </w:lvl>
    <w:lvl w:ilvl="8" w:tplc="300A0005" w:tentative="1">
      <w:start w:val="1"/>
      <w:numFmt w:val="bullet"/>
      <w:lvlText w:val=""/>
      <w:lvlJc w:val="left"/>
      <w:pPr>
        <w:ind w:left="9239" w:hanging="360"/>
      </w:pPr>
      <w:rPr>
        <w:rFonts w:ascii="Wingdings" w:hAnsi="Wingdings" w:hint="default"/>
      </w:rPr>
    </w:lvl>
  </w:abstractNum>
  <w:abstractNum w:abstractNumId="18" w15:restartNumberingAfterBreak="0">
    <w:nsid w:val="06F10329"/>
    <w:multiLevelType w:val="hybridMultilevel"/>
    <w:tmpl w:val="CAE2E61C"/>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071E4B84"/>
    <w:multiLevelType w:val="hybridMultilevel"/>
    <w:tmpl w:val="AD448C0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074D5579"/>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21" w15:restartNumberingAfterBreak="0">
    <w:nsid w:val="07C5449B"/>
    <w:multiLevelType w:val="hybridMultilevel"/>
    <w:tmpl w:val="BA0E45B4"/>
    <w:lvl w:ilvl="0" w:tplc="300A0001">
      <w:start w:val="1"/>
      <w:numFmt w:val="bullet"/>
      <w:lvlText w:val=""/>
      <w:lvlJc w:val="left"/>
      <w:pPr>
        <w:ind w:left="2563" w:hanging="360"/>
      </w:pPr>
      <w:rPr>
        <w:rFonts w:ascii="Symbol" w:hAnsi="Symbol" w:hint="default"/>
      </w:rPr>
    </w:lvl>
    <w:lvl w:ilvl="1" w:tplc="300A0003">
      <w:start w:val="1"/>
      <w:numFmt w:val="bullet"/>
      <w:lvlText w:val="o"/>
      <w:lvlJc w:val="left"/>
      <w:pPr>
        <w:ind w:left="3283" w:hanging="360"/>
      </w:pPr>
      <w:rPr>
        <w:rFonts w:ascii="Courier New" w:hAnsi="Courier New" w:cs="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cs="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cs="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22" w15:restartNumberingAfterBreak="0">
    <w:nsid w:val="07D65161"/>
    <w:multiLevelType w:val="hybridMultilevel"/>
    <w:tmpl w:val="6E762890"/>
    <w:lvl w:ilvl="0" w:tplc="C68684D2">
      <w:start w:val="2"/>
      <w:numFmt w:val="decimal"/>
      <w:lvlText w:val="21.%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3" w15:restartNumberingAfterBreak="0">
    <w:nsid w:val="082D51EE"/>
    <w:multiLevelType w:val="hybridMultilevel"/>
    <w:tmpl w:val="A96CFD1E"/>
    <w:lvl w:ilvl="0" w:tplc="04090019">
      <w:start w:val="1"/>
      <w:numFmt w:val="lowerLetter"/>
      <w:lvlText w:val="%1."/>
      <w:lvlJc w:val="left"/>
      <w:pPr>
        <w:ind w:left="2203" w:hanging="360"/>
      </w:p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24" w15:restartNumberingAfterBreak="0">
    <w:nsid w:val="085C613E"/>
    <w:multiLevelType w:val="hybridMultilevel"/>
    <w:tmpl w:val="DC8A1412"/>
    <w:lvl w:ilvl="0" w:tplc="FFFFFFFF">
      <w:start w:val="1"/>
      <w:numFmt w:val="lowerLetter"/>
      <w:lvlText w:val="%1."/>
      <w:lvlJc w:val="left"/>
      <w:pPr>
        <w:ind w:left="2484" w:hanging="360"/>
      </w:pPr>
      <w:rPr>
        <w:rFonts w:hint="default"/>
        <w:lang w:val="es-EC"/>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25" w15:restartNumberingAfterBreak="0">
    <w:nsid w:val="08A3792E"/>
    <w:multiLevelType w:val="hybridMultilevel"/>
    <w:tmpl w:val="38C2C37C"/>
    <w:lvl w:ilvl="0" w:tplc="FFFFFFFF">
      <w:start w:val="1"/>
      <w:numFmt w:val="lowerLetter"/>
      <w:lvlText w:val="%1."/>
      <w:lvlJc w:val="left"/>
      <w:pPr>
        <w:ind w:left="2484" w:hanging="360"/>
      </w:pPr>
      <w:rPr>
        <w:rFonts w:hint="default"/>
        <w:lang w:val="es-EC"/>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26" w15:restartNumberingAfterBreak="0">
    <w:nsid w:val="092F0E8C"/>
    <w:multiLevelType w:val="hybridMultilevel"/>
    <w:tmpl w:val="82AEAF48"/>
    <w:lvl w:ilvl="0" w:tplc="25CEA81A">
      <w:start w:val="1"/>
      <w:numFmt w:val="decimal"/>
      <w:lvlText w:val="4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3268ED"/>
    <w:multiLevelType w:val="hybridMultilevel"/>
    <w:tmpl w:val="E968F400"/>
    <w:lvl w:ilvl="0" w:tplc="FFFFFFFF">
      <w:start w:val="1"/>
      <w:numFmt w:val="lowerLetter"/>
      <w:lvlText w:val="%1."/>
      <w:lvlJc w:val="left"/>
      <w:pPr>
        <w:ind w:left="2781" w:hanging="360"/>
      </w:pPr>
      <w:rPr>
        <w:rFonts w:ascii="Calibri" w:eastAsia="Times New Roman" w:hAnsi="Calibri" w:cs="Calibri"/>
      </w:rPr>
    </w:lvl>
    <w:lvl w:ilvl="1" w:tplc="FFFFFFFF">
      <w:start w:val="1"/>
      <w:numFmt w:val="lowerLetter"/>
      <w:lvlText w:val="%2."/>
      <w:lvlJc w:val="left"/>
      <w:pPr>
        <w:ind w:left="3501"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28" w15:restartNumberingAfterBreak="0">
    <w:nsid w:val="099A076F"/>
    <w:multiLevelType w:val="hybridMultilevel"/>
    <w:tmpl w:val="C5E2F122"/>
    <w:lvl w:ilvl="0" w:tplc="04090019">
      <w:start w:val="1"/>
      <w:numFmt w:val="lowerLetter"/>
      <w:lvlText w:val="%1."/>
      <w:lvlJc w:val="left"/>
      <w:pPr>
        <w:ind w:left="2345" w:hanging="360"/>
      </w:p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29" w15:restartNumberingAfterBreak="0">
    <w:nsid w:val="0A0346FD"/>
    <w:multiLevelType w:val="hybridMultilevel"/>
    <w:tmpl w:val="8F844914"/>
    <w:lvl w:ilvl="0" w:tplc="A49C9240">
      <w:start w:val="1"/>
      <w:numFmt w:val="decimal"/>
      <w:lvlText w:val="38.%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2139B0"/>
    <w:multiLevelType w:val="hybridMultilevel"/>
    <w:tmpl w:val="2DA80804"/>
    <w:lvl w:ilvl="0" w:tplc="04090019">
      <w:start w:val="1"/>
      <w:numFmt w:val="lowerLetter"/>
      <w:lvlText w:val="%1."/>
      <w:lvlJc w:val="left"/>
      <w:pPr>
        <w:ind w:left="2160" w:hanging="360"/>
      </w:pPr>
      <w:rPr>
        <w:rFonts w:hint="default"/>
      </w:rPr>
    </w:lvl>
    <w:lvl w:ilvl="1" w:tplc="300A0003">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1" w15:restartNumberingAfterBreak="0">
    <w:nsid w:val="0A21450B"/>
    <w:multiLevelType w:val="hybridMultilevel"/>
    <w:tmpl w:val="E0C8FF36"/>
    <w:lvl w:ilvl="0" w:tplc="300A0001">
      <w:start w:val="1"/>
      <w:numFmt w:val="bullet"/>
      <w:lvlText w:val=""/>
      <w:lvlJc w:val="left"/>
      <w:pPr>
        <w:ind w:left="2856" w:hanging="360"/>
      </w:pPr>
      <w:rPr>
        <w:rFonts w:ascii="Symbol" w:hAnsi="Symbol" w:hint="default"/>
      </w:rPr>
    </w:lvl>
    <w:lvl w:ilvl="1" w:tplc="300A0003" w:tentative="1">
      <w:start w:val="1"/>
      <w:numFmt w:val="bullet"/>
      <w:lvlText w:val="o"/>
      <w:lvlJc w:val="left"/>
      <w:pPr>
        <w:ind w:left="3576" w:hanging="360"/>
      </w:pPr>
      <w:rPr>
        <w:rFonts w:ascii="Courier New" w:hAnsi="Courier New" w:cs="Courier New" w:hint="default"/>
      </w:rPr>
    </w:lvl>
    <w:lvl w:ilvl="2" w:tplc="300A0005" w:tentative="1">
      <w:start w:val="1"/>
      <w:numFmt w:val="bullet"/>
      <w:lvlText w:val=""/>
      <w:lvlJc w:val="left"/>
      <w:pPr>
        <w:ind w:left="4296" w:hanging="360"/>
      </w:pPr>
      <w:rPr>
        <w:rFonts w:ascii="Wingdings" w:hAnsi="Wingdings" w:hint="default"/>
      </w:rPr>
    </w:lvl>
    <w:lvl w:ilvl="3" w:tplc="300A0001" w:tentative="1">
      <w:start w:val="1"/>
      <w:numFmt w:val="bullet"/>
      <w:lvlText w:val=""/>
      <w:lvlJc w:val="left"/>
      <w:pPr>
        <w:ind w:left="5016" w:hanging="360"/>
      </w:pPr>
      <w:rPr>
        <w:rFonts w:ascii="Symbol" w:hAnsi="Symbol" w:hint="default"/>
      </w:rPr>
    </w:lvl>
    <w:lvl w:ilvl="4" w:tplc="300A0003" w:tentative="1">
      <w:start w:val="1"/>
      <w:numFmt w:val="bullet"/>
      <w:lvlText w:val="o"/>
      <w:lvlJc w:val="left"/>
      <w:pPr>
        <w:ind w:left="5736" w:hanging="360"/>
      </w:pPr>
      <w:rPr>
        <w:rFonts w:ascii="Courier New" w:hAnsi="Courier New" w:cs="Courier New" w:hint="default"/>
      </w:rPr>
    </w:lvl>
    <w:lvl w:ilvl="5" w:tplc="300A0005" w:tentative="1">
      <w:start w:val="1"/>
      <w:numFmt w:val="bullet"/>
      <w:lvlText w:val=""/>
      <w:lvlJc w:val="left"/>
      <w:pPr>
        <w:ind w:left="6456" w:hanging="360"/>
      </w:pPr>
      <w:rPr>
        <w:rFonts w:ascii="Wingdings" w:hAnsi="Wingdings" w:hint="default"/>
      </w:rPr>
    </w:lvl>
    <w:lvl w:ilvl="6" w:tplc="300A0001" w:tentative="1">
      <w:start w:val="1"/>
      <w:numFmt w:val="bullet"/>
      <w:lvlText w:val=""/>
      <w:lvlJc w:val="left"/>
      <w:pPr>
        <w:ind w:left="7176" w:hanging="360"/>
      </w:pPr>
      <w:rPr>
        <w:rFonts w:ascii="Symbol" w:hAnsi="Symbol" w:hint="default"/>
      </w:rPr>
    </w:lvl>
    <w:lvl w:ilvl="7" w:tplc="300A0003" w:tentative="1">
      <w:start w:val="1"/>
      <w:numFmt w:val="bullet"/>
      <w:lvlText w:val="o"/>
      <w:lvlJc w:val="left"/>
      <w:pPr>
        <w:ind w:left="7896" w:hanging="360"/>
      </w:pPr>
      <w:rPr>
        <w:rFonts w:ascii="Courier New" w:hAnsi="Courier New" w:cs="Courier New" w:hint="default"/>
      </w:rPr>
    </w:lvl>
    <w:lvl w:ilvl="8" w:tplc="300A0005" w:tentative="1">
      <w:start w:val="1"/>
      <w:numFmt w:val="bullet"/>
      <w:lvlText w:val=""/>
      <w:lvlJc w:val="left"/>
      <w:pPr>
        <w:ind w:left="8616" w:hanging="360"/>
      </w:pPr>
      <w:rPr>
        <w:rFonts w:ascii="Wingdings" w:hAnsi="Wingdings" w:hint="default"/>
      </w:rPr>
    </w:lvl>
  </w:abstractNum>
  <w:abstractNum w:abstractNumId="32" w15:restartNumberingAfterBreak="0">
    <w:nsid w:val="0AE471F6"/>
    <w:multiLevelType w:val="hybridMultilevel"/>
    <w:tmpl w:val="FE98B4F2"/>
    <w:lvl w:ilvl="0" w:tplc="FFFFFFFF">
      <w:start w:val="1"/>
      <w:numFmt w:val="lowerLetter"/>
      <w:lvlText w:val="%1."/>
      <w:lvlJc w:val="left"/>
      <w:pPr>
        <w:ind w:left="2770" w:hanging="360"/>
      </w:pPr>
      <w:rPr>
        <w:rFonts w:hint="default"/>
      </w:rPr>
    </w:lvl>
    <w:lvl w:ilvl="1" w:tplc="FFFFFFFF">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33" w15:restartNumberingAfterBreak="0">
    <w:nsid w:val="0C0E293C"/>
    <w:multiLevelType w:val="hybridMultilevel"/>
    <w:tmpl w:val="B5E246D4"/>
    <w:lvl w:ilvl="0" w:tplc="C8AAD1A4">
      <w:start w:val="1"/>
      <w:numFmt w:val="lowerLetter"/>
      <w:lvlText w:val="%1."/>
      <w:lvlJc w:val="left"/>
      <w:pPr>
        <w:ind w:left="2203" w:hanging="360"/>
      </w:pPr>
      <w:rPr>
        <w:rFonts w:ascii="Arial" w:eastAsia="Times New Roman" w:hAnsi="Arial" w:cs="Arial" w:hint="default"/>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4" w15:restartNumberingAfterBreak="0">
    <w:nsid w:val="0C430DE7"/>
    <w:multiLevelType w:val="hybridMultilevel"/>
    <w:tmpl w:val="CFE87A46"/>
    <w:lvl w:ilvl="0" w:tplc="DFC0622A">
      <w:start w:val="1"/>
      <w:numFmt w:val="decimal"/>
      <w:lvlText w:val="37.%1"/>
      <w:lvlJc w:val="left"/>
      <w:pPr>
        <w:ind w:left="715" w:hanging="360"/>
      </w:pPr>
      <w:rPr>
        <w:rFonts w:hint="default"/>
        <w:b w:val="0"/>
        <w:i w:val="0"/>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35" w15:restartNumberingAfterBreak="0">
    <w:nsid w:val="0C5600CF"/>
    <w:multiLevelType w:val="multilevel"/>
    <w:tmpl w:val="79A08FC6"/>
    <w:lvl w:ilvl="0">
      <w:start w:val="1"/>
      <w:numFmt w:val="bullet"/>
      <w:lvlText w:val=""/>
      <w:lvlJc w:val="left"/>
      <w:pPr>
        <w:tabs>
          <w:tab w:val="num" w:pos="1919"/>
        </w:tabs>
        <w:ind w:left="1919" w:hanging="360"/>
      </w:pPr>
      <w:rPr>
        <w:rFonts w:ascii="Symbol" w:hAnsi="Symbol" w:hint="default"/>
      </w:rPr>
    </w:lvl>
    <w:lvl w:ilvl="1">
      <w:start w:val="1"/>
      <w:numFmt w:val="bullet"/>
      <w:lvlText w:val=""/>
      <w:lvlJc w:val="left"/>
      <w:pPr>
        <w:tabs>
          <w:tab w:val="num" w:pos="1777"/>
        </w:tabs>
        <w:ind w:left="177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595DBA"/>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37" w15:restartNumberingAfterBreak="0">
    <w:nsid w:val="0C6A7363"/>
    <w:multiLevelType w:val="hybridMultilevel"/>
    <w:tmpl w:val="35F4418A"/>
    <w:lvl w:ilvl="0" w:tplc="300A0019">
      <w:start w:val="1"/>
      <w:numFmt w:val="lowerLetter"/>
      <w:lvlText w:val="%1."/>
      <w:lvlJc w:val="left"/>
      <w:pPr>
        <w:ind w:left="3555" w:hanging="360"/>
      </w:pPr>
      <w:rPr>
        <w:rFonts w:hint="default"/>
      </w:rPr>
    </w:lvl>
    <w:lvl w:ilvl="1" w:tplc="300A0003" w:tentative="1">
      <w:start w:val="1"/>
      <w:numFmt w:val="bullet"/>
      <w:lvlText w:val="o"/>
      <w:lvlJc w:val="left"/>
      <w:pPr>
        <w:ind w:left="4275" w:hanging="360"/>
      </w:pPr>
      <w:rPr>
        <w:rFonts w:ascii="Courier New" w:hAnsi="Courier New" w:cs="Courier New" w:hint="default"/>
      </w:rPr>
    </w:lvl>
    <w:lvl w:ilvl="2" w:tplc="300A0005" w:tentative="1">
      <w:start w:val="1"/>
      <w:numFmt w:val="bullet"/>
      <w:lvlText w:val=""/>
      <w:lvlJc w:val="left"/>
      <w:pPr>
        <w:ind w:left="4995" w:hanging="360"/>
      </w:pPr>
      <w:rPr>
        <w:rFonts w:ascii="Wingdings" w:hAnsi="Wingdings" w:hint="default"/>
      </w:rPr>
    </w:lvl>
    <w:lvl w:ilvl="3" w:tplc="300A0001" w:tentative="1">
      <w:start w:val="1"/>
      <w:numFmt w:val="bullet"/>
      <w:lvlText w:val=""/>
      <w:lvlJc w:val="left"/>
      <w:pPr>
        <w:ind w:left="5715" w:hanging="360"/>
      </w:pPr>
      <w:rPr>
        <w:rFonts w:ascii="Symbol" w:hAnsi="Symbol" w:hint="default"/>
      </w:rPr>
    </w:lvl>
    <w:lvl w:ilvl="4" w:tplc="300A0003" w:tentative="1">
      <w:start w:val="1"/>
      <w:numFmt w:val="bullet"/>
      <w:lvlText w:val="o"/>
      <w:lvlJc w:val="left"/>
      <w:pPr>
        <w:ind w:left="6435" w:hanging="360"/>
      </w:pPr>
      <w:rPr>
        <w:rFonts w:ascii="Courier New" w:hAnsi="Courier New" w:cs="Courier New" w:hint="default"/>
      </w:rPr>
    </w:lvl>
    <w:lvl w:ilvl="5" w:tplc="300A0005" w:tentative="1">
      <w:start w:val="1"/>
      <w:numFmt w:val="bullet"/>
      <w:lvlText w:val=""/>
      <w:lvlJc w:val="left"/>
      <w:pPr>
        <w:ind w:left="7155" w:hanging="360"/>
      </w:pPr>
      <w:rPr>
        <w:rFonts w:ascii="Wingdings" w:hAnsi="Wingdings" w:hint="default"/>
      </w:rPr>
    </w:lvl>
    <w:lvl w:ilvl="6" w:tplc="300A0001" w:tentative="1">
      <w:start w:val="1"/>
      <w:numFmt w:val="bullet"/>
      <w:lvlText w:val=""/>
      <w:lvlJc w:val="left"/>
      <w:pPr>
        <w:ind w:left="7875" w:hanging="360"/>
      </w:pPr>
      <w:rPr>
        <w:rFonts w:ascii="Symbol" w:hAnsi="Symbol" w:hint="default"/>
      </w:rPr>
    </w:lvl>
    <w:lvl w:ilvl="7" w:tplc="300A0003" w:tentative="1">
      <w:start w:val="1"/>
      <w:numFmt w:val="bullet"/>
      <w:lvlText w:val="o"/>
      <w:lvlJc w:val="left"/>
      <w:pPr>
        <w:ind w:left="8595" w:hanging="360"/>
      </w:pPr>
      <w:rPr>
        <w:rFonts w:ascii="Courier New" w:hAnsi="Courier New" w:cs="Courier New" w:hint="default"/>
      </w:rPr>
    </w:lvl>
    <w:lvl w:ilvl="8" w:tplc="300A0005" w:tentative="1">
      <w:start w:val="1"/>
      <w:numFmt w:val="bullet"/>
      <w:lvlText w:val=""/>
      <w:lvlJc w:val="left"/>
      <w:pPr>
        <w:ind w:left="9315" w:hanging="360"/>
      </w:pPr>
      <w:rPr>
        <w:rFonts w:ascii="Wingdings" w:hAnsi="Wingdings" w:hint="default"/>
      </w:rPr>
    </w:lvl>
  </w:abstractNum>
  <w:abstractNum w:abstractNumId="38" w15:restartNumberingAfterBreak="0">
    <w:nsid w:val="0CB24A4C"/>
    <w:multiLevelType w:val="hybridMultilevel"/>
    <w:tmpl w:val="251610C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9" w15:restartNumberingAfterBreak="0">
    <w:nsid w:val="0CD15512"/>
    <w:multiLevelType w:val="hybridMultilevel"/>
    <w:tmpl w:val="02B8A620"/>
    <w:lvl w:ilvl="0" w:tplc="300A0001">
      <w:start w:val="1"/>
      <w:numFmt w:val="bullet"/>
      <w:lvlText w:val=""/>
      <w:lvlJc w:val="left"/>
      <w:pPr>
        <w:ind w:left="2203" w:hanging="360"/>
      </w:pPr>
      <w:rPr>
        <w:rFonts w:ascii="Symbol" w:hAnsi="Symbol" w:hint="default"/>
      </w:rPr>
    </w:lvl>
    <w:lvl w:ilvl="1" w:tplc="300A0001">
      <w:start w:val="1"/>
      <w:numFmt w:val="bullet"/>
      <w:lvlText w:val=""/>
      <w:lvlJc w:val="left"/>
      <w:pPr>
        <w:ind w:left="3620" w:hanging="360"/>
      </w:pPr>
      <w:rPr>
        <w:rFonts w:ascii="Symbol" w:hAnsi="Symbol"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40" w15:restartNumberingAfterBreak="0">
    <w:nsid w:val="0D94186E"/>
    <w:multiLevelType w:val="hybridMultilevel"/>
    <w:tmpl w:val="D0920258"/>
    <w:lvl w:ilvl="0" w:tplc="300A0019">
      <w:start w:val="1"/>
      <w:numFmt w:val="lowerLetter"/>
      <w:lvlText w:val="%1."/>
      <w:lvlJc w:val="left"/>
      <w:pPr>
        <w:ind w:left="3195"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1" w15:restartNumberingAfterBreak="0">
    <w:nsid w:val="0DA8094C"/>
    <w:multiLevelType w:val="multilevel"/>
    <w:tmpl w:val="AA1448E6"/>
    <w:lvl w:ilvl="0">
      <w:start w:val="1"/>
      <w:numFmt w:val="lowerLetter"/>
      <w:lvlText w:val="%1."/>
      <w:lvlJc w:val="left"/>
      <w:pPr>
        <w:ind w:left="2062" w:hanging="360"/>
      </w:pPr>
    </w:lvl>
    <w:lvl w:ilvl="1">
      <w:start w:val="1"/>
      <w:numFmt w:val="lowerLetter"/>
      <w:lvlText w:val="%2."/>
      <w:lvlJc w:val="left"/>
      <w:pPr>
        <w:ind w:left="2692" w:hanging="360"/>
      </w:pPr>
    </w:lvl>
    <w:lvl w:ilvl="2">
      <w:start w:val="1"/>
      <w:numFmt w:val="lowerRoman"/>
      <w:lvlText w:val="%3."/>
      <w:lvlJc w:val="right"/>
      <w:pPr>
        <w:ind w:left="3412" w:hanging="180"/>
      </w:pPr>
    </w:lvl>
    <w:lvl w:ilvl="3">
      <w:start w:val="1"/>
      <w:numFmt w:val="decimal"/>
      <w:lvlText w:val="%4."/>
      <w:lvlJc w:val="left"/>
      <w:pPr>
        <w:ind w:left="4132" w:hanging="360"/>
      </w:pPr>
    </w:lvl>
    <w:lvl w:ilvl="4">
      <w:start w:val="1"/>
      <w:numFmt w:val="lowerLetter"/>
      <w:lvlText w:val="%5."/>
      <w:lvlJc w:val="left"/>
      <w:pPr>
        <w:ind w:left="4852" w:hanging="360"/>
      </w:pPr>
    </w:lvl>
    <w:lvl w:ilvl="5">
      <w:start w:val="1"/>
      <w:numFmt w:val="lowerRoman"/>
      <w:lvlText w:val="%6."/>
      <w:lvlJc w:val="right"/>
      <w:pPr>
        <w:ind w:left="5572" w:hanging="180"/>
      </w:pPr>
    </w:lvl>
    <w:lvl w:ilvl="6">
      <w:start w:val="1"/>
      <w:numFmt w:val="decimal"/>
      <w:lvlText w:val="%7."/>
      <w:lvlJc w:val="left"/>
      <w:pPr>
        <w:ind w:left="6292" w:hanging="360"/>
      </w:pPr>
    </w:lvl>
    <w:lvl w:ilvl="7">
      <w:start w:val="1"/>
      <w:numFmt w:val="lowerLetter"/>
      <w:lvlText w:val="%8."/>
      <w:lvlJc w:val="left"/>
      <w:pPr>
        <w:ind w:left="7012" w:hanging="360"/>
      </w:pPr>
    </w:lvl>
    <w:lvl w:ilvl="8">
      <w:start w:val="1"/>
      <w:numFmt w:val="lowerRoman"/>
      <w:lvlText w:val="%9."/>
      <w:lvlJc w:val="right"/>
      <w:pPr>
        <w:ind w:left="7732" w:hanging="180"/>
      </w:pPr>
    </w:lvl>
  </w:abstractNum>
  <w:abstractNum w:abstractNumId="42" w15:restartNumberingAfterBreak="0">
    <w:nsid w:val="0E627C5A"/>
    <w:multiLevelType w:val="hybridMultilevel"/>
    <w:tmpl w:val="BD6665BC"/>
    <w:lvl w:ilvl="0" w:tplc="300A0001">
      <w:start w:val="1"/>
      <w:numFmt w:val="bullet"/>
      <w:lvlText w:val=""/>
      <w:lvlJc w:val="left"/>
      <w:pPr>
        <w:ind w:left="3053" w:hanging="360"/>
      </w:pPr>
      <w:rPr>
        <w:rFonts w:ascii="Symbol" w:hAnsi="Symbol" w:hint="default"/>
      </w:rPr>
    </w:lvl>
    <w:lvl w:ilvl="1" w:tplc="300A0003" w:tentative="1">
      <w:start w:val="1"/>
      <w:numFmt w:val="bullet"/>
      <w:lvlText w:val="o"/>
      <w:lvlJc w:val="left"/>
      <w:pPr>
        <w:ind w:left="3773" w:hanging="360"/>
      </w:pPr>
      <w:rPr>
        <w:rFonts w:ascii="Courier New" w:hAnsi="Courier New" w:cs="Courier New" w:hint="default"/>
      </w:rPr>
    </w:lvl>
    <w:lvl w:ilvl="2" w:tplc="300A0005" w:tentative="1">
      <w:start w:val="1"/>
      <w:numFmt w:val="bullet"/>
      <w:lvlText w:val=""/>
      <w:lvlJc w:val="left"/>
      <w:pPr>
        <w:ind w:left="4493" w:hanging="360"/>
      </w:pPr>
      <w:rPr>
        <w:rFonts w:ascii="Wingdings" w:hAnsi="Wingdings" w:hint="default"/>
      </w:rPr>
    </w:lvl>
    <w:lvl w:ilvl="3" w:tplc="300A0001" w:tentative="1">
      <w:start w:val="1"/>
      <w:numFmt w:val="bullet"/>
      <w:lvlText w:val=""/>
      <w:lvlJc w:val="left"/>
      <w:pPr>
        <w:ind w:left="5213" w:hanging="360"/>
      </w:pPr>
      <w:rPr>
        <w:rFonts w:ascii="Symbol" w:hAnsi="Symbol" w:hint="default"/>
      </w:rPr>
    </w:lvl>
    <w:lvl w:ilvl="4" w:tplc="300A0003" w:tentative="1">
      <w:start w:val="1"/>
      <w:numFmt w:val="bullet"/>
      <w:lvlText w:val="o"/>
      <w:lvlJc w:val="left"/>
      <w:pPr>
        <w:ind w:left="5933" w:hanging="360"/>
      </w:pPr>
      <w:rPr>
        <w:rFonts w:ascii="Courier New" w:hAnsi="Courier New" w:cs="Courier New" w:hint="default"/>
      </w:rPr>
    </w:lvl>
    <w:lvl w:ilvl="5" w:tplc="300A0005" w:tentative="1">
      <w:start w:val="1"/>
      <w:numFmt w:val="bullet"/>
      <w:lvlText w:val=""/>
      <w:lvlJc w:val="left"/>
      <w:pPr>
        <w:ind w:left="6653" w:hanging="360"/>
      </w:pPr>
      <w:rPr>
        <w:rFonts w:ascii="Wingdings" w:hAnsi="Wingdings" w:hint="default"/>
      </w:rPr>
    </w:lvl>
    <w:lvl w:ilvl="6" w:tplc="300A0001" w:tentative="1">
      <w:start w:val="1"/>
      <w:numFmt w:val="bullet"/>
      <w:lvlText w:val=""/>
      <w:lvlJc w:val="left"/>
      <w:pPr>
        <w:ind w:left="7373" w:hanging="360"/>
      </w:pPr>
      <w:rPr>
        <w:rFonts w:ascii="Symbol" w:hAnsi="Symbol" w:hint="default"/>
      </w:rPr>
    </w:lvl>
    <w:lvl w:ilvl="7" w:tplc="300A0003" w:tentative="1">
      <w:start w:val="1"/>
      <w:numFmt w:val="bullet"/>
      <w:lvlText w:val="o"/>
      <w:lvlJc w:val="left"/>
      <w:pPr>
        <w:ind w:left="8093" w:hanging="360"/>
      </w:pPr>
      <w:rPr>
        <w:rFonts w:ascii="Courier New" w:hAnsi="Courier New" w:cs="Courier New" w:hint="default"/>
      </w:rPr>
    </w:lvl>
    <w:lvl w:ilvl="8" w:tplc="300A0005" w:tentative="1">
      <w:start w:val="1"/>
      <w:numFmt w:val="bullet"/>
      <w:lvlText w:val=""/>
      <w:lvlJc w:val="left"/>
      <w:pPr>
        <w:ind w:left="8813" w:hanging="360"/>
      </w:pPr>
      <w:rPr>
        <w:rFonts w:ascii="Wingdings" w:hAnsi="Wingdings" w:hint="default"/>
      </w:rPr>
    </w:lvl>
  </w:abstractNum>
  <w:abstractNum w:abstractNumId="43" w15:restartNumberingAfterBreak="0">
    <w:nsid w:val="0E8827C9"/>
    <w:multiLevelType w:val="hybridMultilevel"/>
    <w:tmpl w:val="253E25CA"/>
    <w:lvl w:ilvl="0" w:tplc="3DC08010">
      <w:start w:val="1"/>
      <w:numFmt w:val="lowerLetter"/>
      <w:lvlText w:val="%1."/>
      <w:lvlJc w:val="left"/>
      <w:pPr>
        <w:ind w:left="2138" w:hanging="360"/>
      </w:pPr>
      <w:rPr>
        <w:b w:val="0"/>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44" w15:restartNumberingAfterBreak="0">
    <w:nsid w:val="0EBF5AD7"/>
    <w:multiLevelType w:val="hybridMultilevel"/>
    <w:tmpl w:val="B980F51E"/>
    <w:lvl w:ilvl="0" w:tplc="13B42B26">
      <w:start w:val="1"/>
      <w:numFmt w:val="decimal"/>
      <w:lvlText w:val="5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ECA1A08"/>
    <w:multiLevelType w:val="hybridMultilevel"/>
    <w:tmpl w:val="CD3E3CFA"/>
    <w:lvl w:ilvl="0" w:tplc="04090019">
      <w:start w:val="1"/>
      <w:numFmt w:val="lowerLetter"/>
      <w:lvlText w:val="%1."/>
      <w:lvlJc w:val="left"/>
      <w:pPr>
        <w:ind w:left="2138" w:hanging="360"/>
      </w:pPr>
      <w:rPr>
        <w:rFonts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6" w15:restartNumberingAfterBreak="0">
    <w:nsid w:val="0ED114A0"/>
    <w:multiLevelType w:val="hybridMultilevel"/>
    <w:tmpl w:val="A1FCBFA8"/>
    <w:lvl w:ilvl="0" w:tplc="300A0019">
      <w:start w:val="1"/>
      <w:numFmt w:val="lowerLetter"/>
      <w:lvlText w:val="%1."/>
      <w:lvlJc w:val="left"/>
      <w:pPr>
        <w:ind w:left="2136" w:hanging="360"/>
      </w:pPr>
      <w:rPr>
        <w:rFonts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7" w15:restartNumberingAfterBreak="0">
    <w:nsid w:val="0EF57F23"/>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48" w15:restartNumberingAfterBreak="0">
    <w:nsid w:val="0EFD39B1"/>
    <w:multiLevelType w:val="hybridMultilevel"/>
    <w:tmpl w:val="EB022942"/>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0F6D006A"/>
    <w:multiLevelType w:val="hybridMultilevel"/>
    <w:tmpl w:val="643A786A"/>
    <w:lvl w:ilvl="0" w:tplc="FFFFFFFF">
      <w:start w:val="1"/>
      <w:numFmt w:val="lowerLetter"/>
      <w:lvlText w:val="%1."/>
      <w:lvlJc w:val="left"/>
      <w:pPr>
        <w:ind w:left="2203" w:hanging="360"/>
      </w:p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50" w15:restartNumberingAfterBreak="0">
    <w:nsid w:val="0F8D40B7"/>
    <w:multiLevelType w:val="hybridMultilevel"/>
    <w:tmpl w:val="BB06828E"/>
    <w:lvl w:ilvl="0" w:tplc="F6B413C2">
      <w:start w:val="1"/>
      <w:numFmt w:val="bullet"/>
      <w:lvlText w:val="○"/>
      <w:lvlJc w:val="left"/>
      <w:pPr>
        <w:ind w:left="2770" w:hanging="360"/>
      </w:pPr>
      <w:rPr>
        <w:rFonts w:hint="default"/>
        <w:u w:val="none"/>
      </w:rPr>
    </w:lvl>
    <w:lvl w:ilvl="1" w:tplc="300A0003" w:tentative="1">
      <w:start w:val="1"/>
      <w:numFmt w:val="bullet"/>
      <w:lvlText w:val="o"/>
      <w:lvlJc w:val="left"/>
      <w:pPr>
        <w:ind w:left="3490" w:hanging="360"/>
      </w:pPr>
      <w:rPr>
        <w:rFonts w:ascii="Courier New" w:hAnsi="Courier New" w:cs="Courier New" w:hint="default"/>
      </w:rPr>
    </w:lvl>
    <w:lvl w:ilvl="2" w:tplc="300A0005" w:tentative="1">
      <w:start w:val="1"/>
      <w:numFmt w:val="bullet"/>
      <w:lvlText w:val=""/>
      <w:lvlJc w:val="left"/>
      <w:pPr>
        <w:ind w:left="4210" w:hanging="360"/>
      </w:pPr>
      <w:rPr>
        <w:rFonts w:ascii="Wingdings" w:hAnsi="Wingdings" w:hint="default"/>
      </w:rPr>
    </w:lvl>
    <w:lvl w:ilvl="3" w:tplc="300A0001" w:tentative="1">
      <w:start w:val="1"/>
      <w:numFmt w:val="bullet"/>
      <w:lvlText w:val=""/>
      <w:lvlJc w:val="left"/>
      <w:pPr>
        <w:ind w:left="4930" w:hanging="360"/>
      </w:pPr>
      <w:rPr>
        <w:rFonts w:ascii="Symbol" w:hAnsi="Symbol" w:hint="default"/>
      </w:rPr>
    </w:lvl>
    <w:lvl w:ilvl="4" w:tplc="300A0003" w:tentative="1">
      <w:start w:val="1"/>
      <w:numFmt w:val="bullet"/>
      <w:lvlText w:val="o"/>
      <w:lvlJc w:val="left"/>
      <w:pPr>
        <w:ind w:left="5650" w:hanging="360"/>
      </w:pPr>
      <w:rPr>
        <w:rFonts w:ascii="Courier New" w:hAnsi="Courier New" w:cs="Courier New" w:hint="default"/>
      </w:rPr>
    </w:lvl>
    <w:lvl w:ilvl="5" w:tplc="300A0005" w:tentative="1">
      <w:start w:val="1"/>
      <w:numFmt w:val="bullet"/>
      <w:lvlText w:val=""/>
      <w:lvlJc w:val="left"/>
      <w:pPr>
        <w:ind w:left="6370" w:hanging="360"/>
      </w:pPr>
      <w:rPr>
        <w:rFonts w:ascii="Wingdings" w:hAnsi="Wingdings" w:hint="default"/>
      </w:rPr>
    </w:lvl>
    <w:lvl w:ilvl="6" w:tplc="300A0001" w:tentative="1">
      <w:start w:val="1"/>
      <w:numFmt w:val="bullet"/>
      <w:lvlText w:val=""/>
      <w:lvlJc w:val="left"/>
      <w:pPr>
        <w:ind w:left="7090" w:hanging="360"/>
      </w:pPr>
      <w:rPr>
        <w:rFonts w:ascii="Symbol" w:hAnsi="Symbol" w:hint="default"/>
      </w:rPr>
    </w:lvl>
    <w:lvl w:ilvl="7" w:tplc="300A0003" w:tentative="1">
      <w:start w:val="1"/>
      <w:numFmt w:val="bullet"/>
      <w:lvlText w:val="o"/>
      <w:lvlJc w:val="left"/>
      <w:pPr>
        <w:ind w:left="7810" w:hanging="360"/>
      </w:pPr>
      <w:rPr>
        <w:rFonts w:ascii="Courier New" w:hAnsi="Courier New" w:cs="Courier New" w:hint="default"/>
      </w:rPr>
    </w:lvl>
    <w:lvl w:ilvl="8" w:tplc="300A0005" w:tentative="1">
      <w:start w:val="1"/>
      <w:numFmt w:val="bullet"/>
      <w:lvlText w:val=""/>
      <w:lvlJc w:val="left"/>
      <w:pPr>
        <w:ind w:left="8530" w:hanging="360"/>
      </w:pPr>
      <w:rPr>
        <w:rFonts w:ascii="Wingdings" w:hAnsi="Wingdings" w:hint="default"/>
      </w:rPr>
    </w:lvl>
  </w:abstractNum>
  <w:abstractNum w:abstractNumId="51" w15:restartNumberingAfterBreak="0">
    <w:nsid w:val="0FC6404C"/>
    <w:multiLevelType w:val="hybridMultilevel"/>
    <w:tmpl w:val="124A1D6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FCD51F8"/>
    <w:multiLevelType w:val="hybridMultilevel"/>
    <w:tmpl w:val="D51E7874"/>
    <w:lvl w:ilvl="0" w:tplc="64FA467C">
      <w:start w:val="1"/>
      <w:numFmt w:val="bullet"/>
      <w:lvlText w:val=""/>
      <w:lvlJc w:val="left"/>
      <w:pPr>
        <w:ind w:left="3203" w:hanging="360"/>
      </w:pPr>
      <w:rPr>
        <w:rFonts w:ascii="Symbol" w:hAnsi="Symbol" w:hint="default"/>
      </w:rPr>
    </w:lvl>
    <w:lvl w:ilvl="1" w:tplc="5F08256A" w:tentative="1">
      <w:start w:val="1"/>
      <w:numFmt w:val="bullet"/>
      <w:lvlText w:val="o"/>
      <w:lvlJc w:val="left"/>
      <w:pPr>
        <w:ind w:left="3923" w:hanging="360"/>
      </w:pPr>
      <w:rPr>
        <w:rFonts w:ascii="Courier New" w:hAnsi="Courier New" w:hint="default"/>
      </w:rPr>
    </w:lvl>
    <w:lvl w:ilvl="2" w:tplc="CA70D6FE" w:tentative="1">
      <w:start w:val="1"/>
      <w:numFmt w:val="bullet"/>
      <w:lvlText w:val=""/>
      <w:lvlJc w:val="left"/>
      <w:pPr>
        <w:ind w:left="4643" w:hanging="360"/>
      </w:pPr>
      <w:rPr>
        <w:rFonts w:ascii="Wingdings" w:hAnsi="Wingdings" w:hint="default"/>
      </w:rPr>
    </w:lvl>
    <w:lvl w:ilvl="3" w:tplc="65C6D534" w:tentative="1">
      <w:start w:val="1"/>
      <w:numFmt w:val="bullet"/>
      <w:lvlText w:val=""/>
      <w:lvlJc w:val="left"/>
      <w:pPr>
        <w:ind w:left="5363" w:hanging="360"/>
      </w:pPr>
      <w:rPr>
        <w:rFonts w:ascii="Symbol" w:hAnsi="Symbol" w:hint="default"/>
      </w:rPr>
    </w:lvl>
    <w:lvl w:ilvl="4" w:tplc="D6423D1C" w:tentative="1">
      <w:start w:val="1"/>
      <w:numFmt w:val="bullet"/>
      <w:lvlText w:val="o"/>
      <w:lvlJc w:val="left"/>
      <w:pPr>
        <w:ind w:left="6083" w:hanging="360"/>
      </w:pPr>
      <w:rPr>
        <w:rFonts w:ascii="Courier New" w:hAnsi="Courier New" w:hint="default"/>
      </w:rPr>
    </w:lvl>
    <w:lvl w:ilvl="5" w:tplc="ED8A5A86" w:tentative="1">
      <w:start w:val="1"/>
      <w:numFmt w:val="bullet"/>
      <w:lvlText w:val=""/>
      <w:lvlJc w:val="left"/>
      <w:pPr>
        <w:ind w:left="6803" w:hanging="360"/>
      </w:pPr>
      <w:rPr>
        <w:rFonts w:ascii="Wingdings" w:hAnsi="Wingdings" w:hint="default"/>
      </w:rPr>
    </w:lvl>
    <w:lvl w:ilvl="6" w:tplc="5D68CAE4" w:tentative="1">
      <w:start w:val="1"/>
      <w:numFmt w:val="bullet"/>
      <w:lvlText w:val=""/>
      <w:lvlJc w:val="left"/>
      <w:pPr>
        <w:ind w:left="7523" w:hanging="360"/>
      </w:pPr>
      <w:rPr>
        <w:rFonts w:ascii="Symbol" w:hAnsi="Symbol" w:hint="default"/>
      </w:rPr>
    </w:lvl>
    <w:lvl w:ilvl="7" w:tplc="4C141258" w:tentative="1">
      <w:start w:val="1"/>
      <w:numFmt w:val="bullet"/>
      <w:lvlText w:val="o"/>
      <w:lvlJc w:val="left"/>
      <w:pPr>
        <w:ind w:left="8243" w:hanging="360"/>
      </w:pPr>
      <w:rPr>
        <w:rFonts w:ascii="Courier New" w:hAnsi="Courier New" w:hint="default"/>
      </w:rPr>
    </w:lvl>
    <w:lvl w:ilvl="8" w:tplc="1A86DDBE" w:tentative="1">
      <w:start w:val="1"/>
      <w:numFmt w:val="bullet"/>
      <w:lvlText w:val=""/>
      <w:lvlJc w:val="left"/>
      <w:pPr>
        <w:ind w:left="8963" w:hanging="360"/>
      </w:pPr>
      <w:rPr>
        <w:rFonts w:ascii="Wingdings" w:hAnsi="Wingdings" w:hint="default"/>
      </w:rPr>
    </w:lvl>
  </w:abstractNum>
  <w:abstractNum w:abstractNumId="53" w15:restartNumberingAfterBreak="0">
    <w:nsid w:val="0FF60CCC"/>
    <w:multiLevelType w:val="hybridMultilevel"/>
    <w:tmpl w:val="3580C776"/>
    <w:lvl w:ilvl="0" w:tplc="300A0019">
      <w:start w:val="1"/>
      <w:numFmt w:val="lowerLetter"/>
      <w:lvlText w:val="%1."/>
      <w:lvlJc w:val="left"/>
      <w:pPr>
        <w:ind w:left="1778" w:hanging="360"/>
      </w:p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54" w15:restartNumberingAfterBreak="0">
    <w:nsid w:val="10497809"/>
    <w:multiLevelType w:val="multilevel"/>
    <w:tmpl w:val="ABE2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10C75EC9"/>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57" w15:restartNumberingAfterBreak="0">
    <w:nsid w:val="10D45A77"/>
    <w:multiLevelType w:val="hybridMultilevel"/>
    <w:tmpl w:val="8CDA2958"/>
    <w:lvl w:ilvl="0" w:tplc="300A0001">
      <w:start w:val="1"/>
      <w:numFmt w:val="bullet"/>
      <w:lvlText w:val=""/>
      <w:lvlJc w:val="left"/>
      <w:pPr>
        <w:ind w:left="2770" w:hanging="360"/>
      </w:pPr>
      <w:rPr>
        <w:rFonts w:ascii="Symbol" w:hAnsi="Symbol" w:hint="default"/>
      </w:rPr>
    </w:lvl>
    <w:lvl w:ilvl="1" w:tplc="300A0003" w:tentative="1">
      <w:start w:val="1"/>
      <w:numFmt w:val="bullet"/>
      <w:lvlText w:val="o"/>
      <w:lvlJc w:val="left"/>
      <w:pPr>
        <w:ind w:left="3490" w:hanging="360"/>
      </w:pPr>
      <w:rPr>
        <w:rFonts w:ascii="Courier New" w:hAnsi="Courier New" w:cs="Courier New" w:hint="default"/>
      </w:rPr>
    </w:lvl>
    <w:lvl w:ilvl="2" w:tplc="300A0005" w:tentative="1">
      <w:start w:val="1"/>
      <w:numFmt w:val="bullet"/>
      <w:lvlText w:val=""/>
      <w:lvlJc w:val="left"/>
      <w:pPr>
        <w:ind w:left="4210" w:hanging="360"/>
      </w:pPr>
      <w:rPr>
        <w:rFonts w:ascii="Wingdings" w:hAnsi="Wingdings" w:hint="default"/>
      </w:rPr>
    </w:lvl>
    <w:lvl w:ilvl="3" w:tplc="300A0001" w:tentative="1">
      <w:start w:val="1"/>
      <w:numFmt w:val="bullet"/>
      <w:lvlText w:val=""/>
      <w:lvlJc w:val="left"/>
      <w:pPr>
        <w:ind w:left="4930" w:hanging="360"/>
      </w:pPr>
      <w:rPr>
        <w:rFonts w:ascii="Symbol" w:hAnsi="Symbol" w:hint="default"/>
      </w:rPr>
    </w:lvl>
    <w:lvl w:ilvl="4" w:tplc="300A0003" w:tentative="1">
      <w:start w:val="1"/>
      <w:numFmt w:val="bullet"/>
      <w:lvlText w:val="o"/>
      <w:lvlJc w:val="left"/>
      <w:pPr>
        <w:ind w:left="5650" w:hanging="360"/>
      </w:pPr>
      <w:rPr>
        <w:rFonts w:ascii="Courier New" w:hAnsi="Courier New" w:cs="Courier New" w:hint="default"/>
      </w:rPr>
    </w:lvl>
    <w:lvl w:ilvl="5" w:tplc="300A0005" w:tentative="1">
      <w:start w:val="1"/>
      <w:numFmt w:val="bullet"/>
      <w:lvlText w:val=""/>
      <w:lvlJc w:val="left"/>
      <w:pPr>
        <w:ind w:left="6370" w:hanging="360"/>
      </w:pPr>
      <w:rPr>
        <w:rFonts w:ascii="Wingdings" w:hAnsi="Wingdings" w:hint="default"/>
      </w:rPr>
    </w:lvl>
    <w:lvl w:ilvl="6" w:tplc="300A0001" w:tentative="1">
      <w:start w:val="1"/>
      <w:numFmt w:val="bullet"/>
      <w:lvlText w:val=""/>
      <w:lvlJc w:val="left"/>
      <w:pPr>
        <w:ind w:left="7090" w:hanging="360"/>
      </w:pPr>
      <w:rPr>
        <w:rFonts w:ascii="Symbol" w:hAnsi="Symbol" w:hint="default"/>
      </w:rPr>
    </w:lvl>
    <w:lvl w:ilvl="7" w:tplc="300A0003" w:tentative="1">
      <w:start w:val="1"/>
      <w:numFmt w:val="bullet"/>
      <w:lvlText w:val="o"/>
      <w:lvlJc w:val="left"/>
      <w:pPr>
        <w:ind w:left="7810" w:hanging="360"/>
      </w:pPr>
      <w:rPr>
        <w:rFonts w:ascii="Courier New" w:hAnsi="Courier New" w:cs="Courier New" w:hint="default"/>
      </w:rPr>
    </w:lvl>
    <w:lvl w:ilvl="8" w:tplc="300A0005" w:tentative="1">
      <w:start w:val="1"/>
      <w:numFmt w:val="bullet"/>
      <w:lvlText w:val=""/>
      <w:lvlJc w:val="left"/>
      <w:pPr>
        <w:ind w:left="8530" w:hanging="360"/>
      </w:pPr>
      <w:rPr>
        <w:rFonts w:ascii="Wingdings" w:hAnsi="Wingdings" w:hint="default"/>
      </w:rPr>
    </w:lvl>
  </w:abstractNum>
  <w:abstractNum w:abstractNumId="58" w15:restartNumberingAfterBreak="0">
    <w:nsid w:val="10F823B7"/>
    <w:multiLevelType w:val="hybridMultilevel"/>
    <w:tmpl w:val="79D2EE76"/>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14F367A"/>
    <w:multiLevelType w:val="hybridMultilevel"/>
    <w:tmpl w:val="3C6A177E"/>
    <w:lvl w:ilvl="0" w:tplc="300A0001">
      <w:start w:val="1"/>
      <w:numFmt w:val="bullet"/>
      <w:lvlText w:val=""/>
      <w:lvlJc w:val="left"/>
      <w:pPr>
        <w:ind w:left="1996" w:hanging="360"/>
      </w:pPr>
      <w:rPr>
        <w:rFonts w:ascii="Symbol" w:hAnsi="Symbol"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61" w15:restartNumberingAfterBreak="0">
    <w:nsid w:val="11662495"/>
    <w:multiLevelType w:val="hybridMultilevel"/>
    <w:tmpl w:val="5AC00FCC"/>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1743E87"/>
    <w:multiLevelType w:val="hybridMultilevel"/>
    <w:tmpl w:val="F664E182"/>
    <w:lvl w:ilvl="0" w:tplc="72E8B54C">
      <w:start w:val="1"/>
      <w:numFmt w:val="lowerLetter"/>
      <w:lvlText w:val="%1."/>
      <w:lvlJc w:val="left"/>
      <w:pPr>
        <w:ind w:left="2138" w:hanging="360"/>
      </w:pPr>
      <w:rPr>
        <w:u w:val="none"/>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63" w15:restartNumberingAfterBreak="0">
    <w:nsid w:val="11855A19"/>
    <w:multiLevelType w:val="multilevel"/>
    <w:tmpl w:val="51AA6AEA"/>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4" w15:restartNumberingAfterBreak="0">
    <w:nsid w:val="11DF4C09"/>
    <w:multiLevelType w:val="hybridMultilevel"/>
    <w:tmpl w:val="050E5A20"/>
    <w:lvl w:ilvl="0" w:tplc="FFFFFFFF">
      <w:start w:val="1"/>
      <w:numFmt w:val="lowerLetter"/>
      <w:lvlText w:val="%1."/>
      <w:lvlJc w:val="left"/>
      <w:pPr>
        <w:ind w:left="3337" w:hanging="360"/>
      </w:pPr>
      <w:rPr>
        <w:rFonts w:ascii="Calibri" w:eastAsia="Times New Roman" w:hAnsi="Calibri" w:cs="Calibri"/>
      </w:rPr>
    </w:lvl>
    <w:lvl w:ilvl="1" w:tplc="FFFFFFFF">
      <w:start w:val="1"/>
      <w:numFmt w:val="lowerLetter"/>
      <w:lvlText w:val="%2."/>
      <w:lvlJc w:val="left"/>
      <w:pPr>
        <w:ind w:left="4057" w:hanging="360"/>
      </w:pPr>
    </w:lvl>
    <w:lvl w:ilvl="2" w:tplc="FFFFFFFF" w:tentative="1">
      <w:start w:val="1"/>
      <w:numFmt w:val="lowerRoman"/>
      <w:lvlText w:val="%3."/>
      <w:lvlJc w:val="right"/>
      <w:pPr>
        <w:ind w:left="4777" w:hanging="180"/>
      </w:pPr>
    </w:lvl>
    <w:lvl w:ilvl="3" w:tplc="FFFFFFFF" w:tentative="1">
      <w:start w:val="1"/>
      <w:numFmt w:val="decimal"/>
      <w:lvlText w:val="%4."/>
      <w:lvlJc w:val="left"/>
      <w:pPr>
        <w:ind w:left="5497" w:hanging="360"/>
      </w:pPr>
    </w:lvl>
    <w:lvl w:ilvl="4" w:tplc="FFFFFFFF" w:tentative="1">
      <w:start w:val="1"/>
      <w:numFmt w:val="lowerLetter"/>
      <w:lvlText w:val="%5."/>
      <w:lvlJc w:val="left"/>
      <w:pPr>
        <w:ind w:left="6217" w:hanging="360"/>
      </w:pPr>
    </w:lvl>
    <w:lvl w:ilvl="5" w:tplc="FFFFFFFF" w:tentative="1">
      <w:start w:val="1"/>
      <w:numFmt w:val="lowerRoman"/>
      <w:lvlText w:val="%6."/>
      <w:lvlJc w:val="right"/>
      <w:pPr>
        <w:ind w:left="6937" w:hanging="180"/>
      </w:pPr>
    </w:lvl>
    <w:lvl w:ilvl="6" w:tplc="FFFFFFFF" w:tentative="1">
      <w:start w:val="1"/>
      <w:numFmt w:val="decimal"/>
      <w:lvlText w:val="%7."/>
      <w:lvlJc w:val="left"/>
      <w:pPr>
        <w:ind w:left="7657" w:hanging="360"/>
      </w:pPr>
    </w:lvl>
    <w:lvl w:ilvl="7" w:tplc="FFFFFFFF" w:tentative="1">
      <w:start w:val="1"/>
      <w:numFmt w:val="lowerLetter"/>
      <w:lvlText w:val="%8."/>
      <w:lvlJc w:val="left"/>
      <w:pPr>
        <w:ind w:left="8377" w:hanging="360"/>
      </w:pPr>
    </w:lvl>
    <w:lvl w:ilvl="8" w:tplc="FFFFFFFF" w:tentative="1">
      <w:start w:val="1"/>
      <w:numFmt w:val="lowerRoman"/>
      <w:lvlText w:val="%9."/>
      <w:lvlJc w:val="right"/>
      <w:pPr>
        <w:ind w:left="9097" w:hanging="180"/>
      </w:pPr>
    </w:lvl>
  </w:abstractNum>
  <w:abstractNum w:abstractNumId="65" w15:restartNumberingAfterBreak="0">
    <w:nsid w:val="12450770"/>
    <w:multiLevelType w:val="hybridMultilevel"/>
    <w:tmpl w:val="2AA2D752"/>
    <w:lvl w:ilvl="0" w:tplc="300A0001">
      <w:start w:val="1"/>
      <w:numFmt w:val="bullet"/>
      <w:lvlText w:val=""/>
      <w:lvlJc w:val="left"/>
      <w:pPr>
        <w:ind w:left="3053" w:hanging="360"/>
      </w:pPr>
      <w:rPr>
        <w:rFonts w:ascii="Symbol" w:hAnsi="Symbol" w:hint="default"/>
      </w:rPr>
    </w:lvl>
    <w:lvl w:ilvl="1" w:tplc="300A0019">
      <w:start w:val="1"/>
      <w:numFmt w:val="lowerLetter"/>
      <w:lvlText w:val="%2."/>
      <w:lvlJc w:val="left"/>
      <w:pPr>
        <w:ind w:left="3773" w:hanging="360"/>
      </w:pPr>
    </w:lvl>
    <w:lvl w:ilvl="2" w:tplc="300A001B" w:tentative="1">
      <w:start w:val="1"/>
      <w:numFmt w:val="lowerRoman"/>
      <w:lvlText w:val="%3."/>
      <w:lvlJc w:val="right"/>
      <w:pPr>
        <w:ind w:left="4493" w:hanging="180"/>
      </w:pPr>
    </w:lvl>
    <w:lvl w:ilvl="3" w:tplc="300A000F" w:tentative="1">
      <w:start w:val="1"/>
      <w:numFmt w:val="decimal"/>
      <w:lvlText w:val="%4."/>
      <w:lvlJc w:val="left"/>
      <w:pPr>
        <w:ind w:left="5213" w:hanging="360"/>
      </w:pPr>
    </w:lvl>
    <w:lvl w:ilvl="4" w:tplc="300A0019" w:tentative="1">
      <w:start w:val="1"/>
      <w:numFmt w:val="lowerLetter"/>
      <w:lvlText w:val="%5."/>
      <w:lvlJc w:val="left"/>
      <w:pPr>
        <w:ind w:left="5933" w:hanging="360"/>
      </w:pPr>
    </w:lvl>
    <w:lvl w:ilvl="5" w:tplc="300A001B" w:tentative="1">
      <w:start w:val="1"/>
      <w:numFmt w:val="lowerRoman"/>
      <w:lvlText w:val="%6."/>
      <w:lvlJc w:val="right"/>
      <w:pPr>
        <w:ind w:left="6653" w:hanging="180"/>
      </w:pPr>
    </w:lvl>
    <w:lvl w:ilvl="6" w:tplc="300A000F" w:tentative="1">
      <w:start w:val="1"/>
      <w:numFmt w:val="decimal"/>
      <w:lvlText w:val="%7."/>
      <w:lvlJc w:val="left"/>
      <w:pPr>
        <w:ind w:left="7373" w:hanging="360"/>
      </w:pPr>
    </w:lvl>
    <w:lvl w:ilvl="7" w:tplc="300A0019" w:tentative="1">
      <w:start w:val="1"/>
      <w:numFmt w:val="lowerLetter"/>
      <w:lvlText w:val="%8."/>
      <w:lvlJc w:val="left"/>
      <w:pPr>
        <w:ind w:left="8093" w:hanging="360"/>
      </w:pPr>
    </w:lvl>
    <w:lvl w:ilvl="8" w:tplc="300A001B" w:tentative="1">
      <w:start w:val="1"/>
      <w:numFmt w:val="lowerRoman"/>
      <w:lvlText w:val="%9."/>
      <w:lvlJc w:val="right"/>
      <w:pPr>
        <w:ind w:left="8813" w:hanging="180"/>
      </w:pPr>
    </w:lvl>
  </w:abstractNum>
  <w:abstractNum w:abstractNumId="66" w15:restartNumberingAfterBreak="0">
    <w:nsid w:val="128818B6"/>
    <w:multiLevelType w:val="hybridMultilevel"/>
    <w:tmpl w:val="6E807B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12B554D7"/>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68" w15:restartNumberingAfterBreak="0">
    <w:nsid w:val="13067800"/>
    <w:multiLevelType w:val="hybridMultilevel"/>
    <w:tmpl w:val="643A786A"/>
    <w:lvl w:ilvl="0" w:tplc="FFFFFFFF">
      <w:start w:val="1"/>
      <w:numFmt w:val="lowerLetter"/>
      <w:lvlText w:val="%1."/>
      <w:lvlJc w:val="left"/>
      <w:pPr>
        <w:ind w:left="2203" w:hanging="360"/>
      </w:p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69" w15:restartNumberingAfterBreak="0">
    <w:nsid w:val="130C5AEA"/>
    <w:multiLevelType w:val="multilevel"/>
    <w:tmpl w:val="8FEE21C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6.%2"/>
      <w:lvlJc w:val="left"/>
      <w:pPr>
        <w:ind w:left="720" w:hanging="360"/>
      </w:pPr>
      <w:rPr>
        <w:rFonts w:hint="default"/>
        <w:b w:val="0"/>
        <w:i w:val="0"/>
        <w:strike w:val="0"/>
        <w:sz w:val="24"/>
        <w:szCs w:val="24"/>
      </w:rPr>
    </w:lvl>
    <w:lvl w:ilvl="2">
      <w:start w:val="1"/>
      <w:numFmt w:val="lowerLetter"/>
      <w:lvlText w:val="(%3)"/>
      <w:lvlJc w:val="left"/>
      <w:pPr>
        <w:ind w:left="864" w:hanging="360"/>
      </w:pPr>
      <w:rPr>
        <w:rFonts w:hint="default"/>
        <w:b w:val="0"/>
        <w:i w:val="0"/>
        <w:color w:val="auto"/>
        <w:sz w:val="24"/>
        <w:szCs w:val="22"/>
        <w:u w:val="none"/>
        <w:lang w:val="en-US"/>
      </w:rPr>
    </w:lvl>
    <w:lvl w:ilvl="3">
      <w:start w:val="1"/>
      <w:numFmt w:val="lowerLetter"/>
      <w:lvlText w:val="(%4)"/>
      <w:lvlJc w:val="left"/>
      <w:pPr>
        <w:ind w:left="1224" w:hanging="360"/>
      </w:pPr>
      <w:rPr>
        <w:rFonts w:ascii="Times New Roman" w:hAnsi="Times New Roman" w:cs="Times New Roman" w:hint="default"/>
        <w:b w:val="0"/>
        <w:i w:val="0"/>
        <w:sz w:val="24"/>
        <w:lang w:val="en-AU"/>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144"/>
        </w:tabs>
        <w:ind w:left="2144"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13600CD9"/>
    <w:multiLevelType w:val="hybridMultilevel"/>
    <w:tmpl w:val="10ACD6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137B16C1"/>
    <w:multiLevelType w:val="hybridMultilevel"/>
    <w:tmpl w:val="57D01A00"/>
    <w:lvl w:ilvl="0" w:tplc="300A0001">
      <w:start w:val="1"/>
      <w:numFmt w:val="bullet"/>
      <w:lvlText w:val=""/>
      <w:lvlJc w:val="left"/>
      <w:pPr>
        <w:ind w:left="2856" w:hanging="360"/>
      </w:pPr>
      <w:rPr>
        <w:rFonts w:ascii="Symbol" w:hAnsi="Symbol" w:hint="default"/>
      </w:rPr>
    </w:lvl>
    <w:lvl w:ilvl="1" w:tplc="300A0003" w:tentative="1">
      <w:start w:val="1"/>
      <w:numFmt w:val="bullet"/>
      <w:lvlText w:val="o"/>
      <w:lvlJc w:val="left"/>
      <w:pPr>
        <w:ind w:left="3576" w:hanging="360"/>
      </w:pPr>
      <w:rPr>
        <w:rFonts w:ascii="Courier New" w:hAnsi="Courier New" w:cs="Courier New" w:hint="default"/>
      </w:rPr>
    </w:lvl>
    <w:lvl w:ilvl="2" w:tplc="300A0005" w:tentative="1">
      <w:start w:val="1"/>
      <w:numFmt w:val="bullet"/>
      <w:lvlText w:val=""/>
      <w:lvlJc w:val="left"/>
      <w:pPr>
        <w:ind w:left="4296" w:hanging="360"/>
      </w:pPr>
      <w:rPr>
        <w:rFonts w:ascii="Wingdings" w:hAnsi="Wingdings" w:hint="default"/>
      </w:rPr>
    </w:lvl>
    <w:lvl w:ilvl="3" w:tplc="300A0001" w:tentative="1">
      <w:start w:val="1"/>
      <w:numFmt w:val="bullet"/>
      <w:lvlText w:val=""/>
      <w:lvlJc w:val="left"/>
      <w:pPr>
        <w:ind w:left="5016" w:hanging="360"/>
      </w:pPr>
      <w:rPr>
        <w:rFonts w:ascii="Symbol" w:hAnsi="Symbol" w:hint="default"/>
      </w:rPr>
    </w:lvl>
    <w:lvl w:ilvl="4" w:tplc="300A0003" w:tentative="1">
      <w:start w:val="1"/>
      <w:numFmt w:val="bullet"/>
      <w:lvlText w:val="o"/>
      <w:lvlJc w:val="left"/>
      <w:pPr>
        <w:ind w:left="5736" w:hanging="360"/>
      </w:pPr>
      <w:rPr>
        <w:rFonts w:ascii="Courier New" w:hAnsi="Courier New" w:cs="Courier New" w:hint="default"/>
      </w:rPr>
    </w:lvl>
    <w:lvl w:ilvl="5" w:tplc="300A0005" w:tentative="1">
      <w:start w:val="1"/>
      <w:numFmt w:val="bullet"/>
      <w:lvlText w:val=""/>
      <w:lvlJc w:val="left"/>
      <w:pPr>
        <w:ind w:left="6456" w:hanging="360"/>
      </w:pPr>
      <w:rPr>
        <w:rFonts w:ascii="Wingdings" w:hAnsi="Wingdings" w:hint="default"/>
      </w:rPr>
    </w:lvl>
    <w:lvl w:ilvl="6" w:tplc="300A0001" w:tentative="1">
      <w:start w:val="1"/>
      <w:numFmt w:val="bullet"/>
      <w:lvlText w:val=""/>
      <w:lvlJc w:val="left"/>
      <w:pPr>
        <w:ind w:left="7176" w:hanging="360"/>
      </w:pPr>
      <w:rPr>
        <w:rFonts w:ascii="Symbol" w:hAnsi="Symbol" w:hint="default"/>
      </w:rPr>
    </w:lvl>
    <w:lvl w:ilvl="7" w:tplc="300A0003" w:tentative="1">
      <w:start w:val="1"/>
      <w:numFmt w:val="bullet"/>
      <w:lvlText w:val="o"/>
      <w:lvlJc w:val="left"/>
      <w:pPr>
        <w:ind w:left="7896" w:hanging="360"/>
      </w:pPr>
      <w:rPr>
        <w:rFonts w:ascii="Courier New" w:hAnsi="Courier New" w:cs="Courier New" w:hint="default"/>
      </w:rPr>
    </w:lvl>
    <w:lvl w:ilvl="8" w:tplc="300A0005" w:tentative="1">
      <w:start w:val="1"/>
      <w:numFmt w:val="bullet"/>
      <w:lvlText w:val=""/>
      <w:lvlJc w:val="left"/>
      <w:pPr>
        <w:ind w:left="8616" w:hanging="360"/>
      </w:pPr>
      <w:rPr>
        <w:rFonts w:ascii="Wingdings" w:hAnsi="Wingdings" w:hint="default"/>
      </w:rPr>
    </w:lvl>
  </w:abstractNum>
  <w:abstractNum w:abstractNumId="72" w15:restartNumberingAfterBreak="0">
    <w:nsid w:val="138C1343"/>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73" w15:restartNumberingAfterBreak="0">
    <w:nsid w:val="13CC2881"/>
    <w:multiLevelType w:val="hybridMultilevel"/>
    <w:tmpl w:val="C336A0D4"/>
    <w:lvl w:ilvl="0" w:tplc="AAE6D07C">
      <w:start w:val="1"/>
      <w:numFmt w:val="decimal"/>
      <w:lvlText w:val="54.%1"/>
      <w:lvlJc w:val="left"/>
      <w:pPr>
        <w:ind w:left="720" w:hanging="360"/>
      </w:pPr>
      <w:rPr>
        <w:rFonts w:hint="default"/>
        <w:b w:val="0"/>
        <w:bCs/>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3D575B2"/>
    <w:multiLevelType w:val="hybridMultilevel"/>
    <w:tmpl w:val="F5D48426"/>
    <w:lvl w:ilvl="0" w:tplc="300A0001">
      <w:start w:val="1"/>
      <w:numFmt w:val="bullet"/>
      <w:lvlText w:val=""/>
      <w:lvlJc w:val="left"/>
      <w:pPr>
        <w:ind w:left="3195" w:hanging="360"/>
      </w:pPr>
      <w:rPr>
        <w:rFonts w:ascii="Symbol" w:hAnsi="Symbol" w:hint="default"/>
      </w:rPr>
    </w:lvl>
    <w:lvl w:ilvl="1" w:tplc="300A0003">
      <w:start w:val="1"/>
      <w:numFmt w:val="bullet"/>
      <w:lvlText w:val="o"/>
      <w:lvlJc w:val="left"/>
      <w:pPr>
        <w:ind w:left="3915" w:hanging="360"/>
      </w:pPr>
      <w:rPr>
        <w:rFonts w:ascii="Courier New" w:hAnsi="Courier New" w:cs="Courier New" w:hint="default"/>
      </w:rPr>
    </w:lvl>
    <w:lvl w:ilvl="2" w:tplc="300A0005" w:tentative="1">
      <w:start w:val="1"/>
      <w:numFmt w:val="bullet"/>
      <w:lvlText w:val=""/>
      <w:lvlJc w:val="left"/>
      <w:pPr>
        <w:ind w:left="4635" w:hanging="360"/>
      </w:pPr>
      <w:rPr>
        <w:rFonts w:ascii="Wingdings" w:hAnsi="Wingdings" w:hint="default"/>
      </w:rPr>
    </w:lvl>
    <w:lvl w:ilvl="3" w:tplc="300A0001" w:tentative="1">
      <w:start w:val="1"/>
      <w:numFmt w:val="bullet"/>
      <w:lvlText w:val=""/>
      <w:lvlJc w:val="left"/>
      <w:pPr>
        <w:ind w:left="5355" w:hanging="360"/>
      </w:pPr>
      <w:rPr>
        <w:rFonts w:ascii="Symbol" w:hAnsi="Symbol" w:hint="default"/>
      </w:rPr>
    </w:lvl>
    <w:lvl w:ilvl="4" w:tplc="300A0003" w:tentative="1">
      <w:start w:val="1"/>
      <w:numFmt w:val="bullet"/>
      <w:lvlText w:val="o"/>
      <w:lvlJc w:val="left"/>
      <w:pPr>
        <w:ind w:left="6075" w:hanging="360"/>
      </w:pPr>
      <w:rPr>
        <w:rFonts w:ascii="Courier New" w:hAnsi="Courier New" w:cs="Courier New" w:hint="default"/>
      </w:rPr>
    </w:lvl>
    <w:lvl w:ilvl="5" w:tplc="300A0005" w:tentative="1">
      <w:start w:val="1"/>
      <w:numFmt w:val="bullet"/>
      <w:lvlText w:val=""/>
      <w:lvlJc w:val="left"/>
      <w:pPr>
        <w:ind w:left="6795" w:hanging="360"/>
      </w:pPr>
      <w:rPr>
        <w:rFonts w:ascii="Wingdings" w:hAnsi="Wingdings" w:hint="default"/>
      </w:rPr>
    </w:lvl>
    <w:lvl w:ilvl="6" w:tplc="300A0001" w:tentative="1">
      <w:start w:val="1"/>
      <w:numFmt w:val="bullet"/>
      <w:lvlText w:val=""/>
      <w:lvlJc w:val="left"/>
      <w:pPr>
        <w:ind w:left="7515" w:hanging="360"/>
      </w:pPr>
      <w:rPr>
        <w:rFonts w:ascii="Symbol" w:hAnsi="Symbol" w:hint="default"/>
      </w:rPr>
    </w:lvl>
    <w:lvl w:ilvl="7" w:tplc="300A0003" w:tentative="1">
      <w:start w:val="1"/>
      <w:numFmt w:val="bullet"/>
      <w:lvlText w:val="o"/>
      <w:lvlJc w:val="left"/>
      <w:pPr>
        <w:ind w:left="8235" w:hanging="360"/>
      </w:pPr>
      <w:rPr>
        <w:rFonts w:ascii="Courier New" w:hAnsi="Courier New" w:cs="Courier New" w:hint="default"/>
      </w:rPr>
    </w:lvl>
    <w:lvl w:ilvl="8" w:tplc="300A0005" w:tentative="1">
      <w:start w:val="1"/>
      <w:numFmt w:val="bullet"/>
      <w:lvlText w:val=""/>
      <w:lvlJc w:val="left"/>
      <w:pPr>
        <w:ind w:left="8955" w:hanging="360"/>
      </w:pPr>
      <w:rPr>
        <w:rFonts w:ascii="Wingdings" w:hAnsi="Wingdings" w:hint="default"/>
      </w:rPr>
    </w:lvl>
  </w:abstractNum>
  <w:abstractNum w:abstractNumId="75" w15:restartNumberingAfterBreak="0">
    <w:nsid w:val="14430061"/>
    <w:multiLevelType w:val="hybridMultilevel"/>
    <w:tmpl w:val="E35E320A"/>
    <w:lvl w:ilvl="0" w:tplc="15D4ED2C">
      <w:start w:val="1"/>
      <w:numFmt w:val="lowerLetter"/>
      <w:lvlText w:val="%1."/>
      <w:lvlJc w:val="left"/>
      <w:pPr>
        <w:ind w:left="2203" w:hanging="360"/>
      </w:pPr>
      <w:rPr>
        <w:rFonts w:ascii="Arial" w:hAnsi="Arial" w:cs="Arial" w:hint="default"/>
        <w:lang w:val="es-EC"/>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15:restartNumberingAfterBreak="0">
    <w:nsid w:val="14A07D66"/>
    <w:multiLevelType w:val="hybridMultilevel"/>
    <w:tmpl w:val="179E4868"/>
    <w:lvl w:ilvl="0" w:tplc="3EF6C866">
      <w:start w:val="1"/>
      <w:numFmt w:val="decimal"/>
      <w:lvlText w:val="%1"/>
      <w:lvlJc w:val="left"/>
      <w:pPr>
        <w:ind w:left="720" w:hanging="360"/>
      </w:pPr>
    </w:lvl>
    <w:lvl w:ilvl="1" w:tplc="A336BFA8">
      <w:start w:val="1"/>
      <w:numFmt w:val="lowerLetter"/>
      <w:lvlText w:val="%2."/>
      <w:lvlJc w:val="left"/>
      <w:pPr>
        <w:ind w:left="1440" w:hanging="360"/>
      </w:pPr>
    </w:lvl>
    <w:lvl w:ilvl="2" w:tplc="05FC18BA">
      <w:start w:val="1"/>
      <w:numFmt w:val="lowerRoman"/>
      <w:lvlText w:val="%3."/>
      <w:lvlJc w:val="right"/>
      <w:pPr>
        <w:ind w:left="2160" w:hanging="180"/>
      </w:pPr>
    </w:lvl>
    <w:lvl w:ilvl="3" w:tplc="01347956">
      <w:start w:val="1"/>
      <w:numFmt w:val="decimal"/>
      <w:lvlText w:val="%4."/>
      <w:lvlJc w:val="left"/>
      <w:pPr>
        <w:ind w:left="2880" w:hanging="360"/>
      </w:pPr>
    </w:lvl>
    <w:lvl w:ilvl="4" w:tplc="3856CD6A">
      <w:start w:val="1"/>
      <w:numFmt w:val="lowerLetter"/>
      <w:lvlText w:val="%5."/>
      <w:lvlJc w:val="left"/>
      <w:pPr>
        <w:ind w:left="3600" w:hanging="360"/>
      </w:pPr>
    </w:lvl>
    <w:lvl w:ilvl="5" w:tplc="D9B23EE4">
      <w:start w:val="1"/>
      <w:numFmt w:val="lowerRoman"/>
      <w:lvlText w:val="%6."/>
      <w:lvlJc w:val="right"/>
      <w:pPr>
        <w:ind w:left="4320" w:hanging="180"/>
      </w:pPr>
    </w:lvl>
    <w:lvl w:ilvl="6" w:tplc="123A806C">
      <w:start w:val="1"/>
      <w:numFmt w:val="decimal"/>
      <w:lvlText w:val="%7."/>
      <w:lvlJc w:val="left"/>
      <w:pPr>
        <w:ind w:left="5040" w:hanging="360"/>
      </w:pPr>
    </w:lvl>
    <w:lvl w:ilvl="7" w:tplc="495A5244">
      <w:start w:val="1"/>
      <w:numFmt w:val="lowerLetter"/>
      <w:lvlText w:val="%8."/>
      <w:lvlJc w:val="left"/>
      <w:pPr>
        <w:ind w:left="5760" w:hanging="360"/>
      </w:pPr>
    </w:lvl>
    <w:lvl w:ilvl="8" w:tplc="834C7A5A">
      <w:start w:val="1"/>
      <w:numFmt w:val="lowerRoman"/>
      <w:lvlText w:val="%9."/>
      <w:lvlJc w:val="right"/>
      <w:pPr>
        <w:ind w:left="6480" w:hanging="180"/>
      </w:pPr>
    </w:lvl>
  </w:abstractNum>
  <w:abstractNum w:abstractNumId="77" w15:restartNumberingAfterBreak="0">
    <w:nsid w:val="14A12A2D"/>
    <w:multiLevelType w:val="hybridMultilevel"/>
    <w:tmpl w:val="631EEF44"/>
    <w:lvl w:ilvl="0" w:tplc="9E14EA3E">
      <w:start w:val="1"/>
      <w:numFmt w:val="lowerLetter"/>
      <w:lvlText w:val="(%1)"/>
      <w:lvlJc w:val="left"/>
      <w:pPr>
        <w:ind w:left="1242" w:hanging="360"/>
      </w:pPr>
      <w:rPr>
        <w:rFonts w:hint="default"/>
      </w:rPr>
    </w:lvl>
    <w:lvl w:ilvl="1" w:tplc="04090019">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78" w15:restartNumberingAfterBreak="0">
    <w:nsid w:val="14C166A2"/>
    <w:multiLevelType w:val="hybridMultilevel"/>
    <w:tmpl w:val="FC2845A0"/>
    <w:lvl w:ilvl="0" w:tplc="F94A1D1C">
      <w:start w:val="1"/>
      <w:numFmt w:val="lowerLetter"/>
      <w:lvlText w:val="%1."/>
      <w:lvlJc w:val="left"/>
      <w:pPr>
        <w:ind w:left="1776" w:hanging="360"/>
      </w:pPr>
      <w:rPr>
        <w:rFonts w:hint="default"/>
        <w:u w:val="none"/>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79"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68C306E"/>
    <w:multiLevelType w:val="multilevel"/>
    <w:tmpl w:val="79A08FC6"/>
    <w:lvl w:ilvl="0">
      <w:start w:val="1"/>
      <w:numFmt w:val="bullet"/>
      <w:lvlText w:val=""/>
      <w:lvlJc w:val="left"/>
      <w:pPr>
        <w:tabs>
          <w:tab w:val="num" w:pos="1919"/>
        </w:tabs>
        <w:ind w:left="1919" w:hanging="360"/>
      </w:pPr>
      <w:rPr>
        <w:rFonts w:ascii="Symbol" w:hAnsi="Symbol" w:hint="default"/>
      </w:rPr>
    </w:lvl>
    <w:lvl w:ilvl="1">
      <w:start w:val="1"/>
      <w:numFmt w:val="bullet"/>
      <w:lvlText w:val=""/>
      <w:lvlJc w:val="left"/>
      <w:pPr>
        <w:tabs>
          <w:tab w:val="num" w:pos="1777"/>
        </w:tabs>
        <w:ind w:left="1777"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6BA0F7A"/>
    <w:multiLevelType w:val="hybridMultilevel"/>
    <w:tmpl w:val="D8FA84CC"/>
    <w:lvl w:ilvl="0" w:tplc="305C92D8">
      <w:start w:val="1"/>
      <w:numFmt w:val="decimal"/>
      <w:lvlText w:val="1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E46097"/>
    <w:multiLevelType w:val="hybridMultilevel"/>
    <w:tmpl w:val="AD1A30AC"/>
    <w:lvl w:ilvl="0" w:tplc="300A0019">
      <w:start w:val="1"/>
      <w:numFmt w:val="lowerLetter"/>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83" w15:restartNumberingAfterBreak="0">
    <w:nsid w:val="17026F50"/>
    <w:multiLevelType w:val="hybridMultilevel"/>
    <w:tmpl w:val="6C740E48"/>
    <w:lvl w:ilvl="0" w:tplc="CDF4ADA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72801A3"/>
    <w:multiLevelType w:val="hybridMultilevel"/>
    <w:tmpl w:val="E90C0946"/>
    <w:lvl w:ilvl="0" w:tplc="FFFFFFFF">
      <w:start w:val="1"/>
      <w:numFmt w:val="lowerLetter"/>
      <w:lvlText w:val="%1."/>
      <w:lvlJc w:val="left"/>
      <w:pPr>
        <w:ind w:left="2345" w:hanging="360"/>
      </w:pPr>
      <w:rPr>
        <w:rFonts w:hint="default"/>
        <w:lang w:val="es-EC"/>
      </w:rPr>
    </w:lvl>
    <w:lvl w:ilvl="1" w:tplc="300A0019" w:tentative="1">
      <w:start w:val="1"/>
      <w:numFmt w:val="lowerLetter"/>
      <w:lvlText w:val="%2."/>
      <w:lvlJc w:val="left"/>
      <w:pPr>
        <w:ind w:left="1723" w:hanging="360"/>
      </w:pPr>
    </w:lvl>
    <w:lvl w:ilvl="2" w:tplc="300A001B" w:tentative="1">
      <w:start w:val="1"/>
      <w:numFmt w:val="lowerRoman"/>
      <w:lvlText w:val="%3."/>
      <w:lvlJc w:val="right"/>
      <w:pPr>
        <w:ind w:left="2443" w:hanging="180"/>
      </w:pPr>
    </w:lvl>
    <w:lvl w:ilvl="3" w:tplc="300A000F" w:tentative="1">
      <w:start w:val="1"/>
      <w:numFmt w:val="decimal"/>
      <w:lvlText w:val="%4."/>
      <w:lvlJc w:val="left"/>
      <w:pPr>
        <w:ind w:left="3163" w:hanging="360"/>
      </w:pPr>
    </w:lvl>
    <w:lvl w:ilvl="4" w:tplc="300A0019" w:tentative="1">
      <w:start w:val="1"/>
      <w:numFmt w:val="lowerLetter"/>
      <w:lvlText w:val="%5."/>
      <w:lvlJc w:val="left"/>
      <w:pPr>
        <w:ind w:left="3883" w:hanging="360"/>
      </w:pPr>
    </w:lvl>
    <w:lvl w:ilvl="5" w:tplc="300A001B" w:tentative="1">
      <w:start w:val="1"/>
      <w:numFmt w:val="lowerRoman"/>
      <w:lvlText w:val="%6."/>
      <w:lvlJc w:val="right"/>
      <w:pPr>
        <w:ind w:left="4603" w:hanging="180"/>
      </w:pPr>
    </w:lvl>
    <w:lvl w:ilvl="6" w:tplc="300A000F" w:tentative="1">
      <w:start w:val="1"/>
      <w:numFmt w:val="decimal"/>
      <w:lvlText w:val="%7."/>
      <w:lvlJc w:val="left"/>
      <w:pPr>
        <w:ind w:left="5323" w:hanging="360"/>
      </w:pPr>
    </w:lvl>
    <w:lvl w:ilvl="7" w:tplc="300A0019" w:tentative="1">
      <w:start w:val="1"/>
      <w:numFmt w:val="lowerLetter"/>
      <w:lvlText w:val="%8."/>
      <w:lvlJc w:val="left"/>
      <w:pPr>
        <w:ind w:left="6043" w:hanging="360"/>
      </w:pPr>
    </w:lvl>
    <w:lvl w:ilvl="8" w:tplc="300A001B" w:tentative="1">
      <w:start w:val="1"/>
      <w:numFmt w:val="lowerRoman"/>
      <w:lvlText w:val="%9."/>
      <w:lvlJc w:val="right"/>
      <w:pPr>
        <w:ind w:left="6763" w:hanging="180"/>
      </w:pPr>
    </w:lvl>
  </w:abstractNum>
  <w:abstractNum w:abstractNumId="85" w15:restartNumberingAfterBreak="0">
    <w:nsid w:val="17391E05"/>
    <w:multiLevelType w:val="multilevel"/>
    <w:tmpl w:val="C24C8536"/>
    <w:lvl w:ilvl="0">
      <w:start w:val="1"/>
      <w:numFmt w:val="lowerLetter"/>
      <w:pStyle w:val="EPRINumberedList"/>
      <w:lvlText w:val="%1."/>
      <w:lvlJc w:val="left"/>
      <w:pPr>
        <w:ind w:left="149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17A01872"/>
    <w:multiLevelType w:val="multilevel"/>
    <w:tmpl w:val="ECFC1166"/>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7"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86879D4"/>
    <w:multiLevelType w:val="hybridMultilevel"/>
    <w:tmpl w:val="96943290"/>
    <w:lvl w:ilvl="0" w:tplc="CF4E616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18871D07"/>
    <w:multiLevelType w:val="hybridMultilevel"/>
    <w:tmpl w:val="B75CC2F4"/>
    <w:lvl w:ilvl="0" w:tplc="300A0001">
      <w:start w:val="1"/>
      <w:numFmt w:val="bullet"/>
      <w:lvlText w:val=""/>
      <w:lvlJc w:val="left"/>
      <w:pPr>
        <w:ind w:left="3900" w:hanging="360"/>
      </w:pPr>
      <w:rPr>
        <w:rFonts w:ascii="Symbol" w:hAnsi="Symbol" w:hint="default"/>
      </w:rPr>
    </w:lvl>
    <w:lvl w:ilvl="1" w:tplc="300A0003" w:tentative="1">
      <w:start w:val="1"/>
      <w:numFmt w:val="bullet"/>
      <w:lvlText w:val="o"/>
      <w:lvlJc w:val="left"/>
      <w:pPr>
        <w:ind w:left="4620" w:hanging="360"/>
      </w:pPr>
      <w:rPr>
        <w:rFonts w:ascii="Courier New" w:hAnsi="Courier New" w:cs="Courier New" w:hint="default"/>
      </w:rPr>
    </w:lvl>
    <w:lvl w:ilvl="2" w:tplc="300A0005" w:tentative="1">
      <w:start w:val="1"/>
      <w:numFmt w:val="bullet"/>
      <w:lvlText w:val=""/>
      <w:lvlJc w:val="left"/>
      <w:pPr>
        <w:ind w:left="5340" w:hanging="360"/>
      </w:pPr>
      <w:rPr>
        <w:rFonts w:ascii="Wingdings" w:hAnsi="Wingdings" w:hint="default"/>
      </w:rPr>
    </w:lvl>
    <w:lvl w:ilvl="3" w:tplc="300A0001" w:tentative="1">
      <w:start w:val="1"/>
      <w:numFmt w:val="bullet"/>
      <w:lvlText w:val=""/>
      <w:lvlJc w:val="left"/>
      <w:pPr>
        <w:ind w:left="6060" w:hanging="360"/>
      </w:pPr>
      <w:rPr>
        <w:rFonts w:ascii="Symbol" w:hAnsi="Symbol" w:hint="default"/>
      </w:rPr>
    </w:lvl>
    <w:lvl w:ilvl="4" w:tplc="300A0003" w:tentative="1">
      <w:start w:val="1"/>
      <w:numFmt w:val="bullet"/>
      <w:lvlText w:val="o"/>
      <w:lvlJc w:val="left"/>
      <w:pPr>
        <w:ind w:left="6780" w:hanging="360"/>
      </w:pPr>
      <w:rPr>
        <w:rFonts w:ascii="Courier New" w:hAnsi="Courier New" w:cs="Courier New" w:hint="default"/>
      </w:rPr>
    </w:lvl>
    <w:lvl w:ilvl="5" w:tplc="300A0005" w:tentative="1">
      <w:start w:val="1"/>
      <w:numFmt w:val="bullet"/>
      <w:lvlText w:val=""/>
      <w:lvlJc w:val="left"/>
      <w:pPr>
        <w:ind w:left="7500" w:hanging="360"/>
      </w:pPr>
      <w:rPr>
        <w:rFonts w:ascii="Wingdings" w:hAnsi="Wingdings" w:hint="default"/>
      </w:rPr>
    </w:lvl>
    <w:lvl w:ilvl="6" w:tplc="300A0001" w:tentative="1">
      <w:start w:val="1"/>
      <w:numFmt w:val="bullet"/>
      <w:lvlText w:val=""/>
      <w:lvlJc w:val="left"/>
      <w:pPr>
        <w:ind w:left="8220" w:hanging="360"/>
      </w:pPr>
      <w:rPr>
        <w:rFonts w:ascii="Symbol" w:hAnsi="Symbol" w:hint="default"/>
      </w:rPr>
    </w:lvl>
    <w:lvl w:ilvl="7" w:tplc="300A0003" w:tentative="1">
      <w:start w:val="1"/>
      <w:numFmt w:val="bullet"/>
      <w:lvlText w:val="o"/>
      <w:lvlJc w:val="left"/>
      <w:pPr>
        <w:ind w:left="8940" w:hanging="360"/>
      </w:pPr>
      <w:rPr>
        <w:rFonts w:ascii="Courier New" w:hAnsi="Courier New" w:cs="Courier New" w:hint="default"/>
      </w:rPr>
    </w:lvl>
    <w:lvl w:ilvl="8" w:tplc="300A0005" w:tentative="1">
      <w:start w:val="1"/>
      <w:numFmt w:val="bullet"/>
      <w:lvlText w:val=""/>
      <w:lvlJc w:val="left"/>
      <w:pPr>
        <w:ind w:left="9660" w:hanging="360"/>
      </w:pPr>
      <w:rPr>
        <w:rFonts w:ascii="Wingdings" w:hAnsi="Wingdings" w:hint="default"/>
      </w:rPr>
    </w:lvl>
  </w:abstractNum>
  <w:abstractNum w:abstractNumId="90" w15:restartNumberingAfterBreak="0">
    <w:nsid w:val="19766B3C"/>
    <w:multiLevelType w:val="multilevel"/>
    <w:tmpl w:val="676C36B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19A20E98"/>
    <w:multiLevelType w:val="hybridMultilevel"/>
    <w:tmpl w:val="97DE8EF8"/>
    <w:lvl w:ilvl="0" w:tplc="8C5E7C32">
      <w:start w:val="1"/>
      <w:numFmt w:val="bullet"/>
      <w:lvlText w:val="-"/>
      <w:lvlJc w:val="left"/>
      <w:pPr>
        <w:ind w:left="3762" w:hanging="360"/>
      </w:pPr>
      <w:rPr>
        <w:rFonts w:ascii="Calibri" w:hAnsi="Calibri" w:hint="default"/>
      </w:rPr>
    </w:lvl>
    <w:lvl w:ilvl="1" w:tplc="FFFFFFFF" w:tentative="1">
      <w:start w:val="1"/>
      <w:numFmt w:val="bullet"/>
      <w:lvlText w:val="o"/>
      <w:lvlJc w:val="left"/>
      <w:pPr>
        <w:ind w:left="4482" w:hanging="360"/>
      </w:pPr>
      <w:rPr>
        <w:rFonts w:ascii="Courier New" w:hAnsi="Courier New" w:cs="Courier New" w:hint="default"/>
      </w:rPr>
    </w:lvl>
    <w:lvl w:ilvl="2" w:tplc="FFFFFFFF" w:tentative="1">
      <w:start w:val="1"/>
      <w:numFmt w:val="bullet"/>
      <w:lvlText w:val=""/>
      <w:lvlJc w:val="left"/>
      <w:pPr>
        <w:ind w:left="5202" w:hanging="360"/>
      </w:pPr>
      <w:rPr>
        <w:rFonts w:ascii="Wingdings" w:hAnsi="Wingdings" w:hint="default"/>
      </w:rPr>
    </w:lvl>
    <w:lvl w:ilvl="3" w:tplc="FFFFFFFF" w:tentative="1">
      <w:start w:val="1"/>
      <w:numFmt w:val="bullet"/>
      <w:lvlText w:val=""/>
      <w:lvlJc w:val="left"/>
      <w:pPr>
        <w:ind w:left="5922" w:hanging="360"/>
      </w:pPr>
      <w:rPr>
        <w:rFonts w:ascii="Symbol" w:hAnsi="Symbol" w:hint="default"/>
      </w:rPr>
    </w:lvl>
    <w:lvl w:ilvl="4" w:tplc="FFFFFFFF" w:tentative="1">
      <w:start w:val="1"/>
      <w:numFmt w:val="bullet"/>
      <w:lvlText w:val="o"/>
      <w:lvlJc w:val="left"/>
      <w:pPr>
        <w:ind w:left="6642" w:hanging="360"/>
      </w:pPr>
      <w:rPr>
        <w:rFonts w:ascii="Courier New" w:hAnsi="Courier New" w:cs="Courier New" w:hint="default"/>
      </w:rPr>
    </w:lvl>
    <w:lvl w:ilvl="5" w:tplc="FFFFFFFF" w:tentative="1">
      <w:start w:val="1"/>
      <w:numFmt w:val="bullet"/>
      <w:lvlText w:val=""/>
      <w:lvlJc w:val="left"/>
      <w:pPr>
        <w:ind w:left="7362" w:hanging="360"/>
      </w:pPr>
      <w:rPr>
        <w:rFonts w:ascii="Wingdings" w:hAnsi="Wingdings" w:hint="default"/>
      </w:rPr>
    </w:lvl>
    <w:lvl w:ilvl="6" w:tplc="FFFFFFFF" w:tentative="1">
      <w:start w:val="1"/>
      <w:numFmt w:val="bullet"/>
      <w:lvlText w:val=""/>
      <w:lvlJc w:val="left"/>
      <w:pPr>
        <w:ind w:left="8082" w:hanging="360"/>
      </w:pPr>
      <w:rPr>
        <w:rFonts w:ascii="Symbol" w:hAnsi="Symbol" w:hint="default"/>
      </w:rPr>
    </w:lvl>
    <w:lvl w:ilvl="7" w:tplc="FFFFFFFF" w:tentative="1">
      <w:start w:val="1"/>
      <w:numFmt w:val="bullet"/>
      <w:lvlText w:val="o"/>
      <w:lvlJc w:val="left"/>
      <w:pPr>
        <w:ind w:left="8802" w:hanging="360"/>
      </w:pPr>
      <w:rPr>
        <w:rFonts w:ascii="Courier New" w:hAnsi="Courier New" w:cs="Courier New" w:hint="default"/>
      </w:rPr>
    </w:lvl>
    <w:lvl w:ilvl="8" w:tplc="FFFFFFFF" w:tentative="1">
      <w:start w:val="1"/>
      <w:numFmt w:val="bullet"/>
      <w:lvlText w:val=""/>
      <w:lvlJc w:val="left"/>
      <w:pPr>
        <w:ind w:left="9522" w:hanging="360"/>
      </w:pPr>
      <w:rPr>
        <w:rFonts w:ascii="Wingdings" w:hAnsi="Wingdings" w:hint="default"/>
      </w:rPr>
    </w:lvl>
  </w:abstractNum>
  <w:abstractNum w:abstractNumId="92" w15:restartNumberingAfterBreak="0">
    <w:nsid w:val="1A1D7862"/>
    <w:multiLevelType w:val="hybridMultilevel"/>
    <w:tmpl w:val="D34EFC16"/>
    <w:lvl w:ilvl="0" w:tplc="9000C9E4">
      <w:start w:val="1"/>
      <w:numFmt w:val="lowerLetter"/>
      <w:lvlText w:val="%1."/>
      <w:lvlJc w:val="left"/>
      <w:pPr>
        <w:ind w:left="1425" w:hanging="360"/>
      </w:pPr>
      <w:rPr>
        <w:rFonts w:ascii="Arial" w:hAnsi="Arial" w:cs="Arial" w:hint="default"/>
      </w:r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93" w15:restartNumberingAfterBreak="0">
    <w:nsid w:val="1AD92548"/>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94" w15:restartNumberingAfterBreak="0">
    <w:nsid w:val="1AD93773"/>
    <w:multiLevelType w:val="multilevel"/>
    <w:tmpl w:val="DE9A3450"/>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95" w15:restartNumberingAfterBreak="0">
    <w:nsid w:val="1AE03E3B"/>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96" w15:restartNumberingAfterBreak="0">
    <w:nsid w:val="1B1CAB89"/>
    <w:multiLevelType w:val="hybridMultilevel"/>
    <w:tmpl w:val="01D8390A"/>
    <w:lvl w:ilvl="0" w:tplc="9B628A1C">
      <w:start w:val="1"/>
      <w:numFmt w:val="lowerLetter"/>
      <w:lvlText w:val="%1."/>
      <w:lvlJc w:val="left"/>
      <w:pPr>
        <w:ind w:left="780" w:hanging="360"/>
      </w:pPr>
    </w:lvl>
    <w:lvl w:ilvl="1" w:tplc="B76E7FD2">
      <w:start w:val="1"/>
      <w:numFmt w:val="lowerLetter"/>
      <w:lvlText w:val="%2."/>
      <w:lvlJc w:val="left"/>
      <w:pPr>
        <w:ind w:left="1500" w:hanging="360"/>
      </w:pPr>
    </w:lvl>
    <w:lvl w:ilvl="2" w:tplc="3ABCAFD2">
      <w:start w:val="1"/>
      <w:numFmt w:val="lowerRoman"/>
      <w:lvlText w:val="%3."/>
      <w:lvlJc w:val="right"/>
      <w:pPr>
        <w:ind w:left="2220" w:hanging="180"/>
      </w:pPr>
    </w:lvl>
    <w:lvl w:ilvl="3" w:tplc="BA9CAC60">
      <w:start w:val="1"/>
      <w:numFmt w:val="decimal"/>
      <w:lvlText w:val="%4."/>
      <w:lvlJc w:val="left"/>
      <w:pPr>
        <w:ind w:left="2940" w:hanging="360"/>
      </w:pPr>
    </w:lvl>
    <w:lvl w:ilvl="4" w:tplc="86D2B56E">
      <w:start w:val="1"/>
      <w:numFmt w:val="lowerLetter"/>
      <w:lvlText w:val="%5."/>
      <w:lvlJc w:val="left"/>
      <w:pPr>
        <w:ind w:left="3660" w:hanging="360"/>
      </w:pPr>
    </w:lvl>
    <w:lvl w:ilvl="5" w:tplc="E88496C2">
      <w:start w:val="1"/>
      <w:numFmt w:val="lowerRoman"/>
      <w:lvlText w:val="%6."/>
      <w:lvlJc w:val="right"/>
      <w:pPr>
        <w:ind w:left="4380" w:hanging="180"/>
      </w:pPr>
    </w:lvl>
    <w:lvl w:ilvl="6" w:tplc="17CE8370">
      <w:start w:val="1"/>
      <w:numFmt w:val="decimal"/>
      <w:lvlText w:val="%7."/>
      <w:lvlJc w:val="left"/>
      <w:pPr>
        <w:ind w:left="5100" w:hanging="360"/>
      </w:pPr>
    </w:lvl>
    <w:lvl w:ilvl="7" w:tplc="08EECD6C">
      <w:start w:val="1"/>
      <w:numFmt w:val="lowerLetter"/>
      <w:lvlText w:val="%8."/>
      <w:lvlJc w:val="left"/>
      <w:pPr>
        <w:ind w:left="5820" w:hanging="360"/>
      </w:pPr>
    </w:lvl>
    <w:lvl w:ilvl="8" w:tplc="2DB292B8">
      <w:start w:val="1"/>
      <w:numFmt w:val="lowerRoman"/>
      <w:lvlText w:val="%9."/>
      <w:lvlJc w:val="right"/>
      <w:pPr>
        <w:ind w:left="6540" w:hanging="180"/>
      </w:pPr>
    </w:lvl>
  </w:abstractNum>
  <w:abstractNum w:abstractNumId="97" w15:restartNumberingAfterBreak="0">
    <w:nsid w:val="1BB11D84"/>
    <w:multiLevelType w:val="hybridMultilevel"/>
    <w:tmpl w:val="3136560A"/>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8" w15:restartNumberingAfterBreak="0">
    <w:nsid w:val="1C5D6264"/>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99" w15:restartNumberingAfterBreak="0">
    <w:nsid w:val="1CCA3474"/>
    <w:multiLevelType w:val="hybridMultilevel"/>
    <w:tmpl w:val="0114D5E8"/>
    <w:lvl w:ilvl="0" w:tplc="04090019">
      <w:start w:val="1"/>
      <w:numFmt w:val="lowerLetter"/>
      <w:lvlText w:val="%1."/>
      <w:lvlJc w:val="left"/>
      <w:pPr>
        <w:ind w:left="2203" w:hanging="360"/>
      </w:p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100" w15:restartNumberingAfterBreak="0">
    <w:nsid w:val="1D627516"/>
    <w:multiLevelType w:val="multilevel"/>
    <w:tmpl w:val="F7A2911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1" w15:restartNumberingAfterBreak="0">
    <w:nsid w:val="1D853C6B"/>
    <w:multiLevelType w:val="hybridMultilevel"/>
    <w:tmpl w:val="2B9671AE"/>
    <w:lvl w:ilvl="0" w:tplc="FFFFFFFF">
      <w:start w:val="1"/>
      <w:numFmt w:val="lowerLetter"/>
      <w:lvlText w:val="%1."/>
      <w:lvlJc w:val="left"/>
      <w:pPr>
        <w:ind w:left="2484" w:hanging="360"/>
      </w:pPr>
      <w:rPr>
        <w:rFonts w:hint="default"/>
        <w:lang w:val="es-EC"/>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2" w15:restartNumberingAfterBreak="0">
    <w:nsid w:val="1D9E60D4"/>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03" w15:restartNumberingAfterBreak="0">
    <w:nsid w:val="1DE80AA2"/>
    <w:multiLevelType w:val="hybridMultilevel"/>
    <w:tmpl w:val="9A869564"/>
    <w:lvl w:ilvl="0" w:tplc="0400C024">
      <w:start w:val="1"/>
      <w:numFmt w:val="lowerLetter"/>
      <w:lvlText w:val="%1."/>
      <w:lvlJc w:val="left"/>
      <w:pPr>
        <w:ind w:left="2345" w:hanging="360"/>
      </w:pPr>
      <w:rPr>
        <w:rFonts w:hint="default"/>
      </w:r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104" w15:restartNumberingAfterBreak="0">
    <w:nsid w:val="1E08401E"/>
    <w:multiLevelType w:val="hybridMultilevel"/>
    <w:tmpl w:val="F3BAD1EE"/>
    <w:lvl w:ilvl="0" w:tplc="300A0019">
      <w:start w:val="1"/>
      <w:numFmt w:val="lowerLetter"/>
      <w:lvlText w:val="%1."/>
      <w:lvlJc w:val="left"/>
      <w:pPr>
        <w:ind w:left="2136" w:hanging="360"/>
      </w:pPr>
    </w:lvl>
    <w:lvl w:ilvl="1" w:tplc="300A0001">
      <w:start w:val="1"/>
      <w:numFmt w:val="bullet"/>
      <w:lvlText w:val=""/>
      <w:lvlJc w:val="left"/>
      <w:pPr>
        <w:ind w:left="2856" w:hanging="360"/>
      </w:pPr>
      <w:rPr>
        <w:rFonts w:ascii="Symbol" w:hAnsi="Symbol" w:hint="default"/>
      </w:r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105" w15:restartNumberingAfterBreak="0">
    <w:nsid w:val="1E0D1DF3"/>
    <w:multiLevelType w:val="hybridMultilevel"/>
    <w:tmpl w:val="63844752"/>
    <w:lvl w:ilvl="0" w:tplc="49ACBEC2">
      <w:start w:val="1"/>
      <w:numFmt w:val="lowerLetter"/>
      <w:lvlText w:val="%1."/>
      <w:lvlJc w:val="left"/>
      <w:pPr>
        <w:ind w:left="2421" w:hanging="360"/>
      </w:pPr>
      <w:rPr>
        <w:rFonts w:ascii="Calibri" w:eastAsia="Times New Roman" w:hAnsi="Calibri" w:cs="Calibri"/>
      </w:rPr>
    </w:lvl>
    <w:lvl w:ilvl="1" w:tplc="300A0001">
      <w:start w:val="1"/>
      <w:numFmt w:val="bullet"/>
      <w:lvlText w:val=""/>
      <w:lvlJc w:val="left"/>
      <w:pPr>
        <w:ind w:left="3762" w:hanging="360"/>
      </w:pPr>
      <w:rPr>
        <w:rFonts w:ascii="Symbol" w:hAnsi="Symbol" w:hint="default"/>
      </w:rPr>
    </w:lvl>
    <w:lvl w:ilvl="2" w:tplc="300A001B" w:tentative="1">
      <w:start w:val="1"/>
      <w:numFmt w:val="lowerRoman"/>
      <w:lvlText w:val="%3."/>
      <w:lvlJc w:val="right"/>
      <w:pPr>
        <w:ind w:left="3861" w:hanging="180"/>
      </w:pPr>
    </w:lvl>
    <w:lvl w:ilvl="3" w:tplc="300A000F" w:tentative="1">
      <w:start w:val="1"/>
      <w:numFmt w:val="decimal"/>
      <w:lvlText w:val="%4."/>
      <w:lvlJc w:val="left"/>
      <w:pPr>
        <w:ind w:left="4581" w:hanging="360"/>
      </w:pPr>
    </w:lvl>
    <w:lvl w:ilvl="4" w:tplc="300A0019" w:tentative="1">
      <w:start w:val="1"/>
      <w:numFmt w:val="lowerLetter"/>
      <w:lvlText w:val="%5."/>
      <w:lvlJc w:val="left"/>
      <w:pPr>
        <w:ind w:left="5301" w:hanging="360"/>
      </w:pPr>
    </w:lvl>
    <w:lvl w:ilvl="5" w:tplc="300A001B" w:tentative="1">
      <w:start w:val="1"/>
      <w:numFmt w:val="lowerRoman"/>
      <w:lvlText w:val="%6."/>
      <w:lvlJc w:val="right"/>
      <w:pPr>
        <w:ind w:left="6021" w:hanging="180"/>
      </w:pPr>
    </w:lvl>
    <w:lvl w:ilvl="6" w:tplc="300A000F" w:tentative="1">
      <w:start w:val="1"/>
      <w:numFmt w:val="decimal"/>
      <w:lvlText w:val="%7."/>
      <w:lvlJc w:val="left"/>
      <w:pPr>
        <w:ind w:left="6741" w:hanging="360"/>
      </w:pPr>
    </w:lvl>
    <w:lvl w:ilvl="7" w:tplc="300A0019" w:tentative="1">
      <w:start w:val="1"/>
      <w:numFmt w:val="lowerLetter"/>
      <w:lvlText w:val="%8."/>
      <w:lvlJc w:val="left"/>
      <w:pPr>
        <w:ind w:left="7461" w:hanging="360"/>
      </w:pPr>
    </w:lvl>
    <w:lvl w:ilvl="8" w:tplc="300A001B" w:tentative="1">
      <w:start w:val="1"/>
      <w:numFmt w:val="lowerRoman"/>
      <w:lvlText w:val="%9."/>
      <w:lvlJc w:val="right"/>
      <w:pPr>
        <w:ind w:left="8181" w:hanging="180"/>
      </w:pPr>
    </w:lvl>
  </w:abstractNum>
  <w:abstractNum w:abstractNumId="106" w15:restartNumberingAfterBreak="0">
    <w:nsid w:val="1E2B1B75"/>
    <w:multiLevelType w:val="hybridMultilevel"/>
    <w:tmpl w:val="B4B2A014"/>
    <w:lvl w:ilvl="0" w:tplc="FFFFFFFF">
      <w:start w:val="1"/>
      <w:numFmt w:val="lowerLetter"/>
      <w:lvlText w:val="%1."/>
      <w:lvlJc w:val="left"/>
      <w:pPr>
        <w:ind w:left="2203" w:hanging="360"/>
      </w:pPr>
      <w:rPr>
        <w:rFonts w:ascii="Arial" w:hAnsi="Arial" w:cs="Arial" w:hint="default"/>
        <w:b w:val="0"/>
        <w:sz w:val="22"/>
        <w:szCs w:val="22"/>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07" w15:restartNumberingAfterBreak="0">
    <w:nsid w:val="1E584325"/>
    <w:multiLevelType w:val="hybridMultilevel"/>
    <w:tmpl w:val="45A665EC"/>
    <w:lvl w:ilvl="0" w:tplc="00342EBC">
      <w:start w:val="1"/>
      <w:numFmt w:val="bullet"/>
      <w:lvlText w:val=""/>
      <w:lvlJc w:val="left"/>
      <w:pPr>
        <w:ind w:left="1068" w:hanging="360"/>
      </w:pPr>
      <w:rPr>
        <w:rFonts w:ascii="Symbol" w:hAnsi="Symbol" w:hint="default"/>
      </w:rPr>
    </w:lvl>
    <w:lvl w:ilvl="1" w:tplc="544692B0" w:tentative="1">
      <w:start w:val="1"/>
      <w:numFmt w:val="bullet"/>
      <w:lvlText w:val="o"/>
      <w:lvlJc w:val="left"/>
      <w:pPr>
        <w:ind w:left="1788" w:hanging="360"/>
      </w:pPr>
      <w:rPr>
        <w:rFonts w:ascii="Courier New" w:hAnsi="Courier New" w:hint="default"/>
      </w:rPr>
    </w:lvl>
    <w:lvl w:ilvl="2" w:tplc="06DC5F4E" w:tentative="1">
      <w:start w:val="1"/>
      <w:numFmt w:val="bullet"/>
      <w:lvlText w:val=""/>
      <w:lvlJc w:val="left"/>
      <w:pPr>
        <w:ind w:left="2508" w:hanging="360"/>
      </w:pPr>
      <w:rPr>
        <w:rFonts w:ascii="Wingdings" w:hAnsi="Wingdings" w:hint="default"/>
      </w:rPr>
    </w:lvl>
    <w:lvl w:ilvl="3" w:tplc="BD062A1E" w:tentative="1">
      <w:start w:val="1"/>
      <w:numFmt w:val="bullet"/>
      <w:lvlText w:val=""/>
      <w:lvlJc w:val="left"/>
      <w:pPr>
        <w:ind w:left="3228" w:hanging="360"/>
      </w:pPr>
      <w:rPr>
        <w:rFonts w:ascii="Symbol" w:hAnsi="Symbol" w:hint="default"/>
      </w:rPr>
    </w:lvl>
    <w:lvl w:ilvl="4" w:tplc="47364994" w:tentative="1">
      <w:start w:val="1"/>
      <w:numFmt w:val="bullet"/>
      <w:lvlText w:val="o"/>
      <w:lvlJc w:val="left"/>
      <w:pPr>
        <w:ind w:left="3948" w:hanging="360"/>
      </w:pPr>
      <w:rPr>
        <w:rFonts w:ascii="Courier New" w:hAnsi="Courier New" w:hint="default"/>
      </w:rPr>
    </w:lvl>
    <w:lvl w:ilvl="5" w:tplc="168072D4" w:tentative="1">
      <w:start w:val="1"/>
      <w:numFmt w:val="bullet"/>
      <w:lvlText w:val=""/>
      <w:lvlJc w:val="left"/>
      <w:pPr>
        <w:ind w:left="4668" w:hanging="360"/>
      </w:pPr>
      <w:rPr>
        <w:rFonts w:ascii="Wingdings" w:hAnsi="Wingdings" w:hint="default"/>
      </w:rPr>
    </w:lvl>
    <w:lvl w:ilvl="6" w:tplc="CB76FD96" w:tentative="1">
      <w:start w:val="1"/>
      <w:numFmt w:val="bullet"/>
      <w:lvlText w:val=""/>
      <w:lvlJc w:val="left"/>
      <w:pPr>
        <w:ind w:left="5388" w:hanging="360"/>
      </w:pPr>
      <w:rPr>
        <w:rFonts w:ascii="Symbol" w:hAnsi="Symbol" w:hint="default"/>
      </w:rPr>
    </w:lvl>
    <w:lvl w:ilvl="7" w:tplc="078AA88E" w:tentative="1">
      <w:start w:val="1"/>
      <w:numFmt w:val="bullet"/>
      <w:lvlText w:val="o"/>
      <w:lvlJc w:val="left"/>
      <w:pPr>
        <w:ind w:left="6108" w:hanging="360"/>
      </w:pPr>
      <w:rPr>
        <w:rFonts w:ascii="Courier New" w:hAnsi="Courier New" w:hint="default"/>
      </w:rPr>
    </w:lvl>
    <w:lvl w:ilvl="8" w:tplc="FA0C3D60" w:tentative="1">
      <w:start w:val="1"/>
      <w:numFmt w:val="bullet"/>
      <w:lvlText w:val=""/>
      <w:lvlJc w:val="left"/>
      <w:pPr>
        <w:ind w:left="6828" w:hanging="360"/>
      </w:pPr>
      <w:rPr>
        <w:rFonts w:ascii="Wingdings" w:hAnsi="Wingdings" w:hint="default"/>
      </w:rPr>
    </w:lvl>
  </w:abstractNum>
  <w:abstractNum w:abstractNumId="108" w15:restartNumberingAfterBreak="0">
    <w:nsid w:val="1EE041CA"/>
    <w:multiLevelType w:val="hybridMultilevel"/>
    <w:tmpl w:val="5B788B8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09" w15:restartNumberingAfterBreak="0">
    <w:nsid w:val="1F9978D8"/>
    <w:multiLevelType w:val="hybridMultilevel"/>
    <w:tmpl w:val="8BEAF2E4"/>
    <w:lvl w:ilvl="0" w:tplc="300A0019">
      <w:start w:val="1"/>
      <w:numFmt w:val="lowerLetter"/>
      <w:lvlText w:val="%1."/>
      <w:lvlJc w:val="left"/>
      <w:pPr>
        <w:ind w:left="2136" w:hanging="360"/>
      </w:pPr>
      <w:rPr>
        <w:rFonts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10" w15:restartNumberingAfterBreak="0">
    <w:nsid w:val="1FBD41EE"/>
    <w:multiLevelType w:val="hybridMultilevel"/>
    <w:tmpl w:val="A96881CE"/>
    <w:lvl w:ilvl="0" w:tplc="B0B0F81A">
      <w:start w:val="1"/>
      <w:numFmt w:val="decimal"/>
      <w:lvlText w:val="53.%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016369A"/>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112" w15:restartNumberingAfterBreak="0">
    <w:nsid w:val="20534C75"/>
    <w:multiLevelType w:val="hybridMultilevel"/>
    <w:tmpl w:val="050E5A20"/>
    <w:lvl w:ilvl="0" w:tplc="FFFFFFFF">
      <w:start w:val="1"/>
      <w:numFmt w:val="lowerLetter"/>
      <w:lvlText w:val="%1."/>
      <w:lvlJc w:val="left"/>
      <w:pPr>
        <w:ind w:left="3337" w:hanging="360"/>
      </w:pPr>
      <w:rPr>
        <w:rFonts w:ascii="Calibri" w:eastAsia="Times New Roman" w:hAnsi="Calibri" w:cs="Calibri"/>
      </w:rPr>
    </w:lvl>
    <w:lvl w:ilvl="1" w:tplc="FFFFFFFF">
      <w:start w:val="1"/>
      <w:numFmt w:val="lowerLetter"/>
      <w:lvlText w:val="%2."/>
      <w:lvlJc w:val="left"/>
      <w:pPr>
        <w:ind w:left="4057" w:hanging="360"/>
      </w:pPr>
    </w:lvl>
    <w:lvl w:ilvl="2" w:tplc="FFFFFFFF" w:tentative="1">
      <w:start w:val="1"/>
      <w:numFmt w:val="lowerRoman"/>
      <w:lvlText w:val="%3."/>
      <w:lvlJc w:val="right"/>
      <w:pPr>
        <w:ind w:left="4777" w:hanging="180"/>
      </w:pPr>
    </w:lvl>
    <w:lvl w:ilvl="3" w:tplc="FFFFFFFF" w:tentative="1">
      <w:start w:val="1"/>
      <w:numFmt w:val="decimal"/>
      <w:lvlText w:val="%4."/>
      <w:lvlJc w:val="left"/>
      <w:pPr>
        <w:ind w:left="5497" w:hanging="360"/>
      </w:pPr>
    </w:lvl>
    <w:lvl w:ilvl="4" w:tplc="FFFFFFFF" w:tentative="1">
      <w:start w:val="1"/>
      <w:numFmt w:val="lowerLetter"/>
      <w:lvlText w:val="%5."/>
      <w:lvlJc w:val="left"/>
      <w:pPr>
        <w:ind w:left="6217" w:hanging="360"/>
      </w:pPr>
    </w:lvl>
    <w:lvl w:ilvl="5" w:tplc="FFFFFFFF" w:tentative="1">
      <w:start w:val="1"/>
      <w:numFmt w:val="lowerRoman"/>
      <w:lvlText w:val="%6."/>
      <w:lvlJc w:val="right"/>
      <w:pPr>
        <w:ind w:left="6937" w:hanging="180"/>
      </w:pPr>
    </w:lvl>
    <w:lvl w:ilvl="6" w:tplc="FFFFFFFF" w:tentative="1">
      <w:start w:val="1"/>
      <w:numFmt w:val="decimal"/>
      <w:lvlText w:val="%7."/>
      <w:lvlJc w:val="left"/>
      <w:pPr>
        <w:ind w:left="7657" w:hanging="360"/>
      </w:pPr>
    </w:lvl>
    <w:lvl w:ilvl="7" w:tplc="FFFFFFFF" w:tentative="1">
      <w:start w:val="1"/>
      <w:numFmt w:val="lowerLetter"/>
      <w:lvlText w:val="%8."/>
      <w:lvlJc w:val="left"/>
      <w:pPr>
        <w:ind w:left="8377" w:hanging="360"/>
      </w:pPr>
    </w:lvl>
    <w:lvl w:ilvl="8" w:tplc="FFFFFFFF" w:tentative="1">
      <w:start w:val="1"/>
      <w:numFmt w:val="lowerRoman"/>
      <w:lvlText w:val="%9."/>
      <w:lvlJc w:val="right"/>
      <w:pPr>
        <w:ind w:left="9097" w:hanging="180"/>
      </w:pPr>
    </w:lvl>
  </w:abstractNum>
  <w:abstractNum w:abstractNumId="113" w15:restartNumberingAfterBreak="0">
    <w:nsid w:val="21154FA4"/>
    <w:multiLevelType w:val="hybridMultilevel"/>
    <w:tmpl w:val="32321718"/>
    <w:lvl w:ilvl="0" w:tplc="300A0001">
      <w:start w:val="1"/>
      <w:numFmt w:val="bullet"/>
      <w:lvlText w:val=""/>
      <w:lvlJc w:val="left"/>
      <w:pPr>
        <w:ind w:left="3564" w:hanging="360"/>
      </w:pPr>
      <w:rPr>
        <w:rFonts w:ascii="Symbol" w:hAnsi="Symbol" w:hint="default"/>
      </w:rPr>
    </w:lvl>
    <w:lvl w:ilvl="1" w:tplc="300A0003" w:tentative="1">
      <w:start w:val="1"/>
      <w:numFmt w:val="bullet"/>
      <w:lvlText w:val="o"/>
      <w:lvlJc w:val="left"/>
      <w:pPr>
        <w:ind w:left="4284" w:hanging="360"/>
      </w:pPr>
      <w:rPr>
        <w:rFonts w:ascii="Courier New" w:hAnsi="Courier New" w:cs="Courier New" w:hint="default"/>
      </w:rPr>
    </w:lvl>
    <w:lvl w:ilvl="2" w:tplc="300A0005" w:tentative="1">
      <w:start w:val="1"/>
      <w:numFmt w:val="bullet"/>
      <w:lvlText w:val=""/>
      <w:lvlJc w:val="left"/>
      <w:pPr>
        <w:ind w:left="5004" w:hanging="360"/>
      </w:pPr>
      <w:rPr>
        <w:rFonts w:ascii="Wingdings" w:hAnsi="Wingdings" w:hint="default"/>
      </w:rPr>
    </w:lvl>
    <w:lvl w:ilvl="3" w:tplc="300A0001" w:tentative="1">
      <w:start w:val="1"/>
      <w:numFmt w:val="bullet"/>
      <w:lvlText w:val=""/>
      <w:lvlJc w:val="left"/>
      <w:pPr>
        <w:ind w:left="5724" w:hanging="360"/>
      </w:pPr>
      <w:rPr>
        <w:rFonts w:ascii="Symbol" w:hAnsi="Symbol" w:hint="default"/>
      </w:rPr>
    </w:lvl>
    <w:lvl w:ilvl="4" w:tplc="300A0003" w:tentative="1">
      <w:start w:val="1"/>
      <w:numFmt w:val="bullet"/>
      <w:lvlText w:val="o"/>
      <w:lvlJc w:val="left"/>
      <w:pPr>
        <w:ind w:left="6444" w:hanging="360"/>
      </w:pPr>
      <w:rPr>
        <w:rFonts w:ascii="Courier New" w:hAnsi="Courier New" w:cs="Courier New" w:hint="default"/>
      </w:rPr>
    </w:lvl>
    <w:lvl w:ilvl="5" w:tplc="300A0005" w:tentative="1">
      <w:start w:val="1"/>
      <w:numFmt w:val="bullet"/>
      <w:lvlText w:val=""/>
      <w:lvlJc w:val="left"/>
      <w:pPr>
        <w:ind w:left="7164" w:hanging="360"/>
      </w:pPr>
      <w:rPr>
        <w:rFonts w:ascii="Wingdings" w:hAnsi="Wingdings" w:hint="default"/>
      </w:rPr>
    </w:lvl>
    <w:lvl w:ilvl="6" w:tplc="300A0001" w:tentative="1">
      <w:start w:val="1"/>
      <w:numFmt w:val="bullet"/>
      <w:lvlText w:val=""/>
      <w:lvlJc w:val="left"/>
      <w:pPr>
        <w:ind w:left="7884" w:hanging="360"/>
      </w:pPr>
      <w:rPr>
        <w:rFonts w:ascii="Symbol" w:hAnsi="Symbol" w:hint="default"/>
      </w:rPr>
    </w:lvl>
    <w:lvl w:ilvl="7" w:tplc="300A0003" w:tentative="1">
      <w:start w:val="1"/>
      <w:numFmt w:val="bullet"/>
      <w:lvlText w:val="o"/>
      <w:lvlJc w:val="left"/>
      <w:pPr>
        <w:ind w:left="8604" w:hanging="360"/>
      </w:pPr>
      <w:rPr>
        <w:rFonts w:ascii="Courier New" w:hAnsi="Courier New" w:cs="Courier New" w:hint="default"/>
      </w:rPr>
    </w:lvl>
    <w:lvl w:ilvl="8" w:tplc="300A0005" w:tentative="1">
      <w:start w:val="1"/>
      <w:numFmt w:val="bullet"/>
      <w:lvlText w:val=""/>
      <w:lvlJc w:val="left"/>
      <w:pPr>
        <w:ind w:left="9324" w:hanging="360"/>
      </w:pPr>
      <w:rPr>
        <w:rFonts w:ascii="Wingdings" w:hAnsi="Wingdings" w:hint="default"/>
      </w:rPr>
    </w:lvl>
  </w:abstractNum>
  <w:abstractNum w:abstractNumId="114" w15:restartNumberingAfterBreak="0">
    <w:nsid w:val="217822D0"/>
    <w:multiLevelType w:val="hybridMultilevel"/>
    <w:tmpl w:val="F1F2930E"/>
    <w:lvl w:ilvl="0" w:tplc="FFFFFFFF">
      <w:start w:val="1"/>
      <w:numFmt w:val="lowerLetter"/>
      <w:lvlText w:val="%1."/>
      <w:lvlJc w:val="left"/>
      <w:pPr>
        <w:ind w:left="2484" w:hanging="360"/>
      </w:pPr>
      <w:rPr>
        <w:rFonts w:hint="default"/>
        <w:lang w:val="es-EC"/>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115" w15:restartNumberingAfterBreak="0">
    <w:nsid w:val="21C70628"/>
    <w:multiLevelType w:val="hybridMultilevel"/>
    <w:tmpl w:val="DB7811FC"/>
    <w:lvl w:ilvl="0" w:tplc="300A0001">
      <w:start w:val="1"/>
      <w:numFmt w:val="bullet"/>
      <w:lvlText w:val=""/>
      <w:lvlJc w:val="left"/>
      <w:pPr>
        <w:ind w:left="2850" w:hanging="360"/>
      </w:pPr>
      <w:rPr>
        <w:rFonts w:ascii="Symbol" w:hAnsi="Symbol" w:hint="default"/>
      </w:rPr>
    </w:lvl>
    <w:lvl w:ilvl="1" w:tplc="300A0003" w:tentative="1">
      <w:start w:val="1"/>
      <w:numFmt w:val="bullet"/>
      <w:lvlText w:val="o"/>
      <w:lvlJc w:val="left"/>
      <w:pPr>
        <w:ind w:left="3570" w:hanging="360"/>
      </w:pPr>
      <w:rPr>
        <w:rFonts w:ascii="Courier New" w:hAnsi="Courier New" w:cs="Courier New" w:hint="default"/>
      </w:rPr>
    </w:lvl>
    <w:lvl w:ilvl="2" w:tplc="300A0005" w:tentative="1">
      <w:start w:val="1"/>
      <w:numFmt w:val="bullet"/>
      <w:lvlText w:val=""/>
      <w:lvlJc w:val="left"/>
      <w:pPr>
        <w:ind w:left="4290" w:hanging="360"/>
      </w:pPr>
      <w:rPr>
        <w:rFonts w:ascii="Wingdings" w:hAnsi="Wingdings" w:hint="default"/>
      </w:rPr>
    </w:lvl>
    <w:lvl w:ilvl="3" w:tplc="300A0001">
      <w:start w:val="1"/>
      <w:numFmt w:val="bullet"/>
      <w:lvlText w:val=""/>
      <w:lvlJc w:val="left"/>
      <w:pPr>
        <w:ind w:left="5010" w:hanging="360"/>
      </w:pPr>
      <w:rPr>
        <w:rFonts w:ascii="Symbol" w:hAnsi="Symbol" w:hint="default"/>
      </w:rPr>
    </w:lvl>
    <w:lvl w:ilvl="4" w:tplc="300A0003" w:tentative="1">
      <w:start w:val="1"/>
      <w:numFmt w:val="bullet"/>
      <w:lvlText w:val="o"/>
      <w:lvlJc w:val="left"/>
      <w:pPr>
        <w:ind w:left="5730" w:hanging="360"/>
      </w:pPr>
      <w:rPr>
        <w:rFonts w:ascii="Courier New" w:hAnsi="Courier New" w:cs="Courier New" w:hint="default"/>
      </w:rPr>
    </w:lvl>
    <w:lvl w:ilvl="5" w:tplc="300A0005" w:tentative="1">
      <w:start w:val="1"/>
      <w:numFmt w:val="bullet"/>
      <w:lvlText w:val=""/>
      <w:lvlJc w:val="left"/>
      <w:pPr>
        <w:ind w:left="6450" w:hanging="360"/>
      </w:pPr>
      <w:rPr>
        <w:rFonts w:ascii="Wingdings" w:hAnsi="Wingdings" w:hint="default"/>
      </w:rPr>
    </w:lvl>
    <w:lvl w:ilvl="6" w:tplc="300A0001" w:tentative="1">
      <w:start w:val="1"/>
      <w:numFmt w:val="bullet"/>
      <w:lvlText w:val=""/>
      <w:lvlJc w:val="left"/>
      <w:pPr>
        <w:ind w:left="7170" w:hanging="360"/>
      </w:pPr>
      <w:rPr>
        <w:rFonts w:ascii="Symbol" w:hAnsi="Symbol" w:hint="default"/>
      </w:rPr>
    </w:lvl>
    <w:lvl w:ilvl="7" w:tplc="300A0003" w:tentative="1">
      <w:start w:val="1"/>
      <w:numFmt w:val="bullet"/>
      <w:lvlText w:val="o"/>
      <w:lvlJc w:val="left"/>
      <w:pPr>
        <w:ind w:left="7890" w:hanging="360"/>
      </w:pPr>
      <w:rPr>
        <w:rFonts w:ascii="Courier New" w:hAnsi="Courier New" w:cs="Courier New" w:hint="default"/>
      </w:rPr>
    </w:lvl>
    <w:lvl w:ilvl="8" w:tplc="300A0005" w:tentative="1">
      <w:start w:val="1"/>
      <w:numFmt w:val="bullet"/>
      <w:lvlText w:val=""/>
      <w:lvlJc w:val="left"/>
      <w:pPr>
        <w:ind w:left="8610" w:hanging="360"/>
      </w:pPr>
      <w:rPr>
        <w:rFonts w:ascii="Wingdings" w:hAnsi="Wingdings" w:hint="default"/>
      </w:rPr>
    </w:lvl>
  </w:abstractNum>
  <w:abstractNum w:abstractNumId="116" w15:restartNumberingAfterBreak="0">
    <w:nsid w:val="21EB79DD"/>
    <w:multiLevelType w:val="hybridMultilevel"/>
    <w:tmpl w:val="AD202696"/>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220A1518"/>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32743D0"/>
    <w:multiLevelType w:val="hybridMultilevel"/>
    <w:tmpl w:val="B4D2774A"/>
    <w:lvl w:ilvl="0" w:tplc="54BABD3C">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33B4955"/>
    <w:multiLevelType w:val="hybridMultilevel"/>
    <w:tmpl w:val="2C2AC214"/>
    <w:lvl w:ilvl="0" w:tplc="300A0019">
      <w:start w:val="1"/>
      <w:numFmt w:val="lowerLetter"/>
      <w:lvlText w:val="%1."/>
      <w:lvlJc w:val="left"/>
      <w:pPr>
        <w:ind w:left="2856" w:hanging="360"/>
      </w:pPr>
      <w:rPr>
        <w:rFonts w:hint="default"/>
      </w:rPr>
    </w:lvl>
    <w:lvl w:ilvl="1" w:tplc="300A0003" w:tentative="1">
      <w:start w:val="1"/>
      <w:numFmt w:val="bullet"/>
      <w:lvlText w:val="o"/>
      <w:lvlJc w:val="left"/>
      <w:pPr>
        <w:ind w:left="3576" w:hanging="360"/>
      </w:pPr>
      <w:rPr>
        <w:rFonts w:ascii="Courier New" w:hAnsi="Courier New" w:cs="Courier New" w:hint="default"/>
      </w:rPr>
    </w:lvl>
    <w:lvl w:ilvl="2" w:tplc="300A0005" w:tentative="1">
      <w:start w:val="1"/>
      <w:numFmt w:val="bullet"/>
      <w:lvlText w:val=""/>
      <w:lvlJc w:val="left"/>
      <w:pPr>
        <w:ind w:left="4296" w:hanging="360"/>
      </w:pPr>
      <w:rPr>
        <w:rFonts w:ascii="Wingdings" w:hAnsi="Wingdings" w:hint="default"/>
      </w:rPr>
    </w:lvl>
    <w:lvl w:ilvl="3" w:tplc="300A0001" w:tentative="1">
      <w:start w:val="1"/>
      <w:numFmt w:val="bullet"/>
      <w:lvlText w:val=""/>
      <w:lvlJc w:val="left"/>
      <w:pPr>
        <w:ind w:left="5016" w:hanging="360"/>
      </w:pPr>
      <w:rPr>
        <w:rFonts w:ascii="Symbol" w:hAnsi="Symbol" w:hint="default"/>
      </w:rPr>
    </w:lvl>
    <w:lvl w:ilvl="4" w:tplc="300A0003" w:tentative="1">
      <w:start w:val="1"/>
      <w:numFmt w:val="bullet"/>
      <w:lvlText w:val="o"/>
      <w:lvlJc w:val="left"/>
      <w:pPr>
        <w:ind w:left="5736" w:hanging="360"/>
      </w:pPr>
      <w:rPr>
        <w:rFonts w:ascii="Courier New" w:hAnsi="Courier New" w:cs="Courier New" w:hint="default"/>
      </w:rPr>
    </w:lvl>
    <w:lvl w:ilvl="5" w:tplc="300A0005" w:tentative="1">
      <w:start w:val="1"/>
      <w:numFmt w:val="bullet"/>
      <w:lvlText w:val=""/>
      <w:lvlJc w:val="left"/>
      <w:pPr>
        <w:ind w:left="6456" w:hanging="360"/>
      </w:pPr>
      <w:rPr>
        <w:rFonts w:ascii="Wingdings" w:hAnsi="Wingdings" w:hint="default"/>
      </w:rPr>
    </w:lvl>
    <w:lvl w:ilvl="6" w:tplc="300A0001" w:tentative="1">
      <w:start w:val="1"/>
      <w:numFmt w:val="bullet"/>
      <w:lvlText w:val=""/>
      <w:lvlJc w:val="left"/>
      <w:pPr>
        <w:ind w:left="7176" w:hanging="360"/>
      </w:pPr>
      <w:rPr>
        <w:rFonts w:ascii="Symbol" w:hAnsi="Symbol" w:hint="default"/>
      </w:rPr>
    </w:lvl>
    <w:lvl w:ilvl="7" w:tplc="300A0003" w:tentative="1">
      <w:start w:val="1"/>
      <w:numFmt w:val="bullet"/>
      <w:lvlText w:val="o"/>
      <w:lvlJc w:val="left"/>
      <w:pPr>
        <w:ind w:left="7896" w:hanging="360"/>
      </w:pPr>
      <w:rPr>
        <w:rFonts w:ascii="Courier New" w:hAnsi="Courier New" w:cs="Courier New" w:hint="default"/>
      </w:rPr>
    </w:lvl>
    <w:lvl w:ilvl="8" w:tplc="300A0005" w:tentative="1">
      <w:start w:val="1"/>
      <w:numFmt w:val="bullet"/>
      <w:lvlText w:val=""/>
      <w:lvlJc w:val="left"/>
      <w:pPr>
        <w:ind w:left="8616" w:hanging="360"/>
      </w:pPr>
      <w:rPr>
        <w:rFonts w:ascii="Wingdings" w:hAnsi="Wingdings" w:hint="default"/>
      </w:rPr>
    </w:lvl>
  </w:abstractNum>
  <w:abstractNum w:abstractNumId="120" w15:restartNumberingAfterBreak="0">
    <w:nsid w:val="24452061"/>
    <w:multiLevelType w:val="hybridMultilevel"/>
    <w:tmpl w:val="C200EF84"/>
    <w:lvl w:ilvl="0" w:tplc="B554D28E">
      <w:start w:val="1"/>
      <w:numFmt w:val="decimal"/>
      <w:lvlText w:val="41.%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46A302A"/>
    <w:multiLevelType w:val="hybridMultilevel"/>
    <w:tmpl w:val="AE266FE0"/>
    <w:lvl w:ilvl="0" w:tplc="90EE7DEE">
      <w:start w:val="1"/>
      <w:numFmt w:val="decimal"/>
      <w:lvlText w:val="%1."/>
      <w:lvlJc w:val="left"/>
      <w:pPr>
        <w:ind w:left="1068" w:hanging="708"/>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2" w15:restartNumberingAfterBreak="0">
    <w:nsid w:val="24C8538D"/>
    <w:multiLevelType w:val="hybridMultilevel"/>
    <w:tmpl w:val="90847F18"/>
    <w:lvl w:ilvl="0" w:tplc="C18A8310">
      <w:start w:val="1"/>
      <w:numFmt w:val="bullet"/>
      <w:pStyle w:val="BulletLevel1"/>
      <w:lvlText w:val="●"/>
      <w:lvlJc w:val="left"/>
      <w:pPr>
        <w:ind w:left="2136" w:hanging="360"/>
      </w:pPr>
      <w:rPr>
        <w:rFonts w:hint="default"/>
        <w:u w:val="none"/>
      </w:rPr>
    </w:lvl>
    <w:lvl w:ilvl="1" w:tplc="933A996E">
      <w:start w:val="1"/>
      <w:numFmt w:val="bullet"/>
      <w:lvlText w:val="•"/>
      <w:lvlJc w:val="left"/>
      <w:pPr>
        <w:ind w:left="2856" w:hanging="360"/>
      </w:pPr>
      <w:rPr>
        <w:rFonts w:ascii="Times New Roman" w:hAnsi="Times New Roman" w:hint="default"/>
      </w:rPr>
    </w:lvl>
    <w:lvl w:ilvl="2" w:tplc="9B6ABA42">
      <w:start w:val="1"/>
      <w:numFmt w:val="bullet"/>
      <w:lvlText w:val="■"/>
      <w:lvlJc w:val="left"/>
      <w:pPr>
        <w:ind w:left="3576" w:hanging="360"/>
      </w:pPr>
      <w:rPr>
        <w:rFonts w:hint="default"/>
        <w:u w:val="none"/>
      </w:rPr>
    </w:lvl>
    <w:lvl w:ilvl="3" w:tplc="06C407D6">
      <w:start w:val="1"/>
      <w:numFmt w:val="bullet"/>
      <w:lvlText w:val="●"/>
      <w:lvlJc w:val="left"/>
      <w:pPr>
        <w:ind w:left="4296" w:hanging="360"/>
      </w:pPr>
      <w:rPr>
        <w:rFonts w:hint="default"/>
        <w:u w:val="none"/>
      </w:rPr>
    </w:lvl>
    <w:lvl w:ilvl="4" w:tplc="F6B413C2">
      <w:start w:val="1"/>
      <w:numFmt w:val="bullet"/>
      <w:lvlText w:val="○"/>
      <w:lvlJc w:val="left"/>
      <w:pPr>
        <w:ind w:left="5016" w:hanging="360"/>
      </w:pPr>
      <w:rPr>
        <w:rFonts w:hint="default"/>
        <w:u w:val="none"/>
      </w:rPr>
    </w:lvl>
    <w:lvl w:ilvl="5" w:tplc="6AF46B0C">
      <w:start w:val="1"/>
      <w:numFmt w:val="bullet"/>
      <w:lvlText w:val="■"/>
      <w:lvlJc w:val="left"/>
      <w:pPr>
        <w:ind w:left="5736" w:hanging="360"/>
      </w:pPr>
      <w:rPr>
        <w:rFonts w:hint="default"/>
        <w:u w:val="none"/>
      </w:rPr>
    </w:lvl>
    <w:lvl w:ilvl="6" w:tplc="43663164">
      <w:start w:val="1"/>
      <w:numFmt w:val="bullet"/>
      <w:lvlText w:val="●"/>
      <w:lvlJc w:val="left"/>
      <w:pPr>
        <w:ind w:left="6456" w:hanging="360"/>
      </w:pPr>
      <w:rPr>
        <w:rFonts w:hint="default"/>
        <w:u w:val="none"/>
      </w:rPr>
    </w:lvl>
    <w:lvl w:ilvl="7" w:tplc="1152CC80">
      <w:start w:val="1"/>
      <w:numFmt w:val="bullet"/>
      <w:lvlText w:val="○"/>
      <w:lvlJc w:val="left"/>
      <w:pPr>
        <w:ind w:left="7176" w:hanging="360"/>
      </w:pPr>
      <w:rPr>
        <w:rFonts w:hint="default"/>
        <w:u w:val="none"/>
      </w:rPr>
    </w:lvl>
    <w:lvl w:ilvl="8" w:tplc="C388B01C">
      <w:start w:val="1"/>
      <w:numFmt w:val="bullet"/>
      <w:lvlText w:val="■"/>
      <w:lvlJc w:val="left"/>
      <w:pPr>
        <w:ind w:left="7896" w:hanging="360"/>
      </w:pPr>
      <w:rPr>
        <w:rFonts w:hint="default"/>
        <w:u w:val="none"/>
      </w:rPr>
    </w:lvl>
  </w:abstractNum>
  <w:abstractNum w:abstractNumId="123" w15:restartNumberingAfterBreak="0">
    <w:nsid w:val="2505E27D"/>
    <w:multiLevelType w:val="hybridMultilevel"/>
    <w:tmpl w:val="253A64D4"/>
    <w:lvl w:ilvl="0" w:tplc="9064EE5E">
      <w:start w:val="1"/>
      <w:numFmt w:val="bullet"/>
      <w:lvlText w:val="·"/>
      <w:lvlJc w:val="left"/>
      <w:pPr>
        <w:ind w:left="720" w:hanging="360"/>
      </w:pPr>
      <w:rPr>
        <w:rFonts w:ascii="Symbol" w:hAnsi="Symbol" w:hint="default"/>
      </w:rPr>
    </w:lvl>
    <w:lvl w:ilvl="1" w:tplc="0E7E6162">
      <w:start w:val="1"/>
      <w:numFmt w:val="bullet"/>
      <w:lvlText w:val="o"/>
      <w:lvlJc w:val="left"/>
      <w:pPr>
        <w:ind w:left="1440" w:hanging="360"/>
      </w:pPr>
      <w:rPr>
        <w:rFonts w:ascii="Courier New" w:hAnsi="Courier New" w:hint="default"/>
      </w:rPr>
    </w:lvl>
    <w:lvl w:ilvl="2" w:tplc="59A44FC4">
      <w:start w:val="1"/>
      <w:numFmt w:val="bullet"/>
      <w:lvlText w:val=""/>
      <w:lvlJc w:val="left"/>
      <w:pPr>
        <w:ind w:left="2160" w:hanging="360"/>
      </w:pPr>
      <w:rPr>
        <w:rFonts w:ascii="Wingdings" w:hAnsi="Wingdings" w:hint="default"/>
      </w:rPr>
    </w:lvl>
    <w:lvl w:ilvl="3" w:tplc="7CD2E0F6">
      <w:start w:val="1"/>
      <w:numFmt w:val="bullet"/>
      <w:lvlText w:val=""/>
      <w:lvlJc w:val="left"/>
      <w:pPr>
        <w:ind w:left="2880" w:hanging="360"/>
      </w:pPr>
      <w:rPr>
        <w:rFonts w:ascii="Symbol" w:hAnsi="Symbol" w:hint="default"/>
      </w:rPr>
    </w:lvl>
    <w:lvl w:ilvl="4" w:tplc="F8267DA8">
      <w:start w:val="1"/>
      <w:numFmt w:val="bullet"/>
      <w:lvlText w:val="o"/>
      <w:lvlJc w:val="left"/>
      <w:pPr>
        <w:ind w:left="3600" w:hanging="360"/>
      </w:pPr>
      <w:rPr>
        <w:rFonts w:ascii="Courier New" w:hAnsi="Courier New" w:hint="default"/>
      </w:rPr>
    </w:lvl>
    <w:lvl w:ilvl="5" w:tplc="1F08B5CC">
      <w:start w:val="1"/>
      <w:numFmt w:val="bullet"/>
      <w:lvlText w:val=""/>
      <w:lvlJc w:val="left"/>
      <w:pPr>
        <w:ind w:left="4320" w:hanging="360"/>
      </w:pPr>
      <w:rPr>
        <w:rFonts w:ascii="Wingdings" w:hAnsi="Wingdings" w:hint="default"/>
      </w:rPr>
    </w:lvl>
    <w:lvl w:ilvl="6" w:tplc="F140DEB2">
      <w:start w:val="1"/>
      <w:numFmt w:val="bullet"/>
      <w:lvlText w:val=""/>
      <w:lvlJc w:val="left"/>
      <w:pPr>
        <w:ind w:left="5040" w:hanging="360"/>
      </w:pPr>
      <w:rPr>
        <w:rFonts w:ascii="Symbol" w:hAnsi="Symbol" w:hint="default"/>
      </w:rPr>
    </w:lvl>
    <w:lvl w:ilvl="7" w:tplc="135067AE">
      <w:start w:val="1"/>
      <w:numFmt w:val="bullet"/>
      <w:lvlText w:val="o"/>
      <w:lvlJc w:val="left"/>
      <w:pPr>
        <w:ind w:left="5760" w:hanging="360"/>
      </w:pPr>
      <w:rPr>
        <w:rFonts w:ascii="Courier New" w:hAnsi="Courier New" w:hint="default"/>
      </w:rPr>
    </w:lvl>
    <w:lvl w:ilvl="8" w:tplc="064629EA">
      <w:start w:val="1"/>
      <w:numFmt w:val="bullet"/>
      <w:lvlText w:val=""/>
      <w:lvlJc w:val="left"/>
      <w:pPr>
        <w:ind w:left="6480" w:hanging="360"/>
      </w:pPr>
      <w:rPr>
        <w:rFonts w:ascii="Wingdings" w:hAnsi="Wingdings" w:hint="default"/>
      </w:rPr>
    </w:lvl>
  </w:abstractNum>
  <w:abstractNum w:abstractNumId="124" w15:restartNumberingAfterBreak="0">
    <w:nsid w:val="255B57AC"/>
    <w:multiLevelType w:val="hybridMultilevel"/>
    <w:tmpl w:val="1E8419B2"/>
    <w:lvl w:ilvl="0" w:tplc="7AE05328">
      <w:start w:val="1"/>
      <w:numFmt w:val="decimal"/>
      <w:lvlText w:val="4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55F5ADF"/>
    <w:multiLevelType w:val="hybridMultilevel"/>
    <w:tmpl w:val="E1AC4516"/>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126" w15:restartNumberingAfterBreak="0">
    <w:nsid w:val="25695ABF"/>
    <w:multiLevelType w:val="hybridMultilevel"/>
    <w:tmpl w:val="3384E0E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27" w15:restartNumberingAfterBreak="0">
    <w:nsid w:val="25D46317"/>
    <w:multiLevelType w:val="hybridMultilevel"/>
    <w:tmpl w:val="796C8762"/>
    <w:lvl w:ilvl="0" w:tplc="FFFFFFFF">
      <w:start w:val="1"/>
      <w:numFmt w:val="lowerLetter"/>
      <w:lvlText w:val="%1."/>
      <w:lvlJc w:val="left"/>
      <w:pPr>
        <w:ind w:left="2486" w:hanging="360"/>
      </w:p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128" w15:restartNumberingAfterBreak="0">
    <w:nsid w:val="260E1978"/>
    <w:multiLevelType w:val="hybridMultilevel"/>
    <w:tmpl w:val="A060FA14"/>
    <w:lvl w:ilvl="0" w:tplc="300A0001">
      <w:start w:val="1"/>
      <w:numFmt w:val="bullet"/>
      <w:lvlText w:val=""/>
      <w:lvlJc w:val="left"/>
      <w:pPr>
        <w:ind w:left="3900" w:hanging="360"/>
      </w:pPr>
      <w:rPr>
        <w:rFonts w:ascii="Symbol" w:hAnsi="Symbol" w:hint="default"/>
      </w:rPr>
    </w:lvl>
    <w:lvl w:ilvl="1" w:tplc="300A0003" w:tentative="1">
      <w:start w:val="1"/>
      <w:numFmt w:val="bullet"/>
      <w:lvlText w:val="o"/>
      <w:lvlJc w:val="left"/>
      <w:pPr>
        <w:ind w:left="4620" w:hanging="360"/>
      </w:pPr>
      <w:rPr>
        <w:rFonts w:ascii="Courier New" w:hAnsi="Courier New" w:cs="Courier New" w:hint="default"/>
      </w:rPr>
    </w:lvl>
    <w:lvl w:ilvl="2" w:tplc="300A0005" w:tentative="1">
      <w:start w:val="1"/>
      <w:numFmt w:val="bullet"/>
      <w:lvlText w:val=""/>
      <w:lvlJc w:val="left"/>
      <w:pPr>
        <w:ind w:left="5340" w:hanging="360"/>
      </w:pPr>
      <w:rPr>
        <w:rFonts w:ascii="Wingdings" w:hAnsi="Wingdings" w:hint="default"/>
      </w:rPr>
    </w:lvl>
    <w:lvl w:ilvl="3" w:tplc="300A0001" w:tentative="1">
      <w:start w:val="1"/>
      <w:numFmt w:val="bullet"/>
      <w:lvlText w:val=""/>
      <w:lvlJc w:val="left"/>
      <w:pPr>
        <w:ind w:left="6060" w:hanging="360"/>
      </w:pPr>
      <w:rPr>
        <w:rFonts w:ascii="Symbol" w:hAnsi="Symbol" w:hint="default"/>
      </w:rPr>
    </w:lvl>
    <w:lvl w:ilvl="4" w:tplc="300A0003" w:tentative="1">
      <w:start w:val="1"/>
      <w:numFmt w:val="bullet"/>
      <w:lvlText w:val="o"/>
      <w:lvlJc w:val="left"/>
      <w:pPr>
        <w:ind w:left="6780" w:hanging="360"/>
      </w:pPr>
      <w:rPr>
        <w:rFonts w:ascii="Courier New" w:hAnsi="Courier New" w:cs="Courier New" w:hint="default"/>
      </w:rPr>
    </w:lvl>
    <w:lvl w:ilvl="5" w:tplc="300A0005" w:tentative="1">
      <w:start w:val="1"/>
      <w:numFmt w:val="bullet"/>
      <w:lvlText w:val=""/>
      <w:lvlJc w:val="left"/>
      <w:pPr>
        <w:ind w:left="7500" w:hanging="360"/>
      </w:pPr>
      <w:rPr>
        <w:rFonts w:ascii="Wingdings" w:hAnsi="Wingdings" w:hint="default"/>
      </w:rPr>
    </w:lvl>
    <w:lvl w:ilvl="6" w:tplc="300A0001" w:tentative="1">
      <w:start w:val="1"/>
      <w:numFmt w:val="bullet"/>
      <w:lvlText w:val=""/>
      <w:lvlJc w:val="left"/>
      <w:pPr>
        <w:ind w:left="8220" w:hanging="360"/>
      </w:pPr>
      <w:rPr>
        <w:rFonts w:ascii="Symbol" w:hAnsi="Symbol" w:hint="default"/>
      </w:rPr>
    </w:lvl>
    <w:lvl w:ilvl="7" w:tplc="300A0003" w:tentative="1">
      <w:start w:val="1"/>
      <w:numFmt w:val="bullet"/>
      <w:lvlText w:val="o"/>
      <w:lvlJc w:val="left"/>
      <w:pPr>
        <w:ind w:left="8940" w:hanging="360"/>
      </w:pPr>
      <w:rPr>
        <w:rFonts w:ascii="Courier New" w:hAnsi="Courier New" w:cs="Courier New" w:hint="default"/>
      </w:rPr>
    </w:lvl>
    <w:lvl w:ilvl="8" w:tplc="300A0005" w:tentative="1">
      <w:start w:val="1"/>
      <w:numFmt w:val="bullet"/>
      <w:lvlText w:val=""/>
      <w:lvlJc w:val="left"/>
      <w:pPr>
        <w:ind w:left="9660" w:hanging="360"/>
      </w:pPr>
      <w:rPr>
        <w:rFonts w:ascii="Wingdings" w:hAnsi="Wingdings" w:hint="default"/>
      </w:rPr>
    </w:lvl>
  </w:abstractNum>
  <w:abstractNum w:abstractNumId="129" w15:restartNumberingAfterBreak="0">
    <w:nsid w:val="26890F31"/>
    <w:multiLevelType w:val="hybridMultilevel"/>
    <w:tmpl w:val="34340D0E"/>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0" w15:restartNumberingAfterBreak="0">
    <w:nsid w:val="26FD6FC6"/>
    <w:multiLevelType w:val="hybridMultilevel"/>
    <w:tmpl w:val="96DABF0C"/>
    <w:lvl w:ilvl="0" w:tplc="6204C170">
      <w:start w:val="1"/>
      <w:numFmt w:val="decimal"/>
      <w:lvlText w:val="55.%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7935BC4"/>
    <w:multiLevelType w:val="hybridMultilevel"/>
    <w:tmpl w:val="64CEB2F0"/>
    <w:lvl w:ilvl="0" w:tplc="327656A2">
      <w:start w:val="2"/>
      <w:numFmt w:val="lowerLetter"/>
      <w:lvlText w:val="%1."/>
      <w:lvlJc w:val="left"/>
      <w:pPr>
        <w:tabs>
          <w:tab w:val="num" w:pos="720"/>
        </w:tabs>
        <w:ind w:left="720" w:hanging="360"/>
      </w:pPr>
    </w:lvl>
    <w:lvl w:ilvl="1" w:tplc="1BA4C938" w:tentative="1">
      <w:start w:val="1"/>
      <w:numFmt w:val="decimal"/>
      <w:lvlText w:val="%2."/>
      <w:lvlJc w:val="left"/>
      <w:pPr>
        <w:tabs>
          <w:tab w:val="num" w:pos="1440"/>
        </w:tabs>
        <w:ind w:left="1440" w:hanging="360"/>
      </w:pPr>
    </w:lvl>
    <w:lvl w:ilvl="2" w:tplc="EA74259A" w:tentative="1">
      <w:start w:val="1"/>
      <w:numFmt w:val="decimal"/>
      <w:lvlText w:val="%3."/>
      <w:lvlJc w:val="left"/>
      <w:pPr>
        <w:tabs>
          <w:tab w:val="num" w:pos="2160"/>
        </w:tabs>
        <w:ind w:left="2160" w:hanging="360"/>
      </w:pPr>
    </w:lvl>
    <w:lvl w:ilvl="3" w:tplc="D3BC565E" w:tentative="1">
      <w:start w:val="1"/>
      <w:numFmt w:val="decimal"/>
      <w:lvlText w:val="%4."/>
      <w:lvlJc w:val="left"/>
      <w:pPr>
        <w:tabs>
          <w:tab w:val="num" w:pos="2880"/>
        </w:tabs>
        <w:ind w:left="2880" w:hanging="360"/>
      </w:pPr>
    </w:lvl>
    <w:lvl w:ilvl="4" w:tplc="AF8AF548" w:tentative="1">
      <w:start w:val="1"/>
      <w:numFmt w:val="decimal"/>
      <w:lvlText w:val="%5."/>
      <w:lvlJc w:val="left"/>
      <w:pPr>
        <w:tabs>
          <w:tab w:val="num" w:pos="3600"/>
        </w:tabs>
        <w:ind w:left="3600" w:hanging="360"/>
      </w:pPr>
    </w:lvl>
    <w:lvl w:ilvl="5" w:tplc="55C6F338" w:tentative="1">
      <w:start w:val="1"/>
      <w:numFmt w:val="decimal"/>
      <w:lvlText w:val="%6."/>
      <w:lvlJc w:val="left"/>
      <w:pPr>
        <w:tabs>
          <w:tab w:val="num" w:pos="4320"/>
        </w:tabs>
        <w:ind w:left="4320" w:hanging="360"/>
      </w:pPr>
    </w:lvl>
    <w:lvl w:ilvl="6" w:tplc="2B3AC0C6" w:tentative="1">
      <w:start w:val="1"/>
      <w:numFmt w:val="decimal"/>
      <w:lvlText w:val="%7."/>
      <w:lvlJc w:val="left"/>
      <w:pPr>
        <w:tabs>
          <w:tab w:val="num" w:pos="5040"/>
        </w:tabs>
        <w:ind w:left="5040" w:hanging="360"/>
      </w:pPr>
    </w:lvl>
    <w:lvl w:ilvl="7" w:tplc="0B1EB872" w:tentative="1">
      <w:start w:val="1"/>
      <w:numFmt w:val="decimal"/>
      <w:lvlText w:val="%8."/>
      <w:lvlJc w:val="left"/>
      <w:pPr>
        <w:tabs>
          <w:tab w:val="num" w:pos="5760"/>
        </w:tabs>
        <w:ind w:left="5760" w:hanging="360"/>
      </w:pPr>
    </w:lvl>
    <w:lvl w:ilvl="8" w:tplc="8550B000" w:tentative="1">
      <w:start w:val="1"/>
      <w:numFmt w:val="decimal"/>
      <w:lvlText w:val="%9."/>
      <w:lvlJc w:val="left"/>
      <w:pPr>
        <w:tabs>
          <w:tab w:val="num" w:pos="6480"/>
        </w:tabs>
        <w:ind w:left="6480" w:hanging="360"/>
      </w:pPr>
    </w:lvl>
  </w:abstractNum>
  <w:abstractNum w:abstractNumId="132" w15:restartNumberingAfterBreak="0">
    <w:nsid w:val="27B16234"/>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33" w15:restartNumberingAfterBreak="0">
    <w:nsid w:val="27D664C3"/>
    <w:multiLevelType w:val="multilevel"/>
    <w:tmpl w:val="CE148584"/>
    <w:lvl w:ilvl="0">
      <w:start w:val="1"/>
      <w:numFmt w:val="lowerLetter"/>
      <w:lvlText w:val="%1."/>
      <w:lvlJc w:val="left"/>
      <w:pPr>
        <w:tabs>
          <w:tab w:val="num" w:pos="1068"/>
        </w:tabs>
        <w:ind w:left="1068" w:hanging="360"/>
      </w:pPr>
      <w:rPr>
        <w:rFonts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4" w15:restartNumberingAfterBreak="0">
    <w:nsid w:val="2833600B"/>
    <w:multiLevelType w:val="hybridMultilevel"/>
    <w:tmpl w:val="B4B2A014"/>
    <w:lvl w:ilvl="0" w:tplc="FFFFFFFF">
      <w:start w:val="1"/>
      <w:numFmt w:val="lowerLetter"/>
      <w:lvlText w:val="%1."/>
      <w:lvlJc w:val="left"/>
      <w:pPr>
        <w:ind w:left="2203" w:hanging="360"/>
      </w:pPr>
      <w:rPr>
        <w:rFonts w:ascii="Arial" w:hAnsi="Arial" w:cs="Arial" w:hint="default"/>
        <w:b w:val="0"/>
        <w:sz w:val="22"/>
        <w:szCs w:val="22"/>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35" w15:restartNumberingAfterBreak="0">
    <w:nsid w:val="28EF0EBC"/>
    <w:multiLevelType w:val="hybridMultilevel"/>
    <w:tmpl w:val="0114D5E8"/>
    <w:lvl w:ilvl="0" w:tplc="04090019">
      <w:start w:val="1"/>
      <w:numFmt w:val="lowerLetter"/>
      <w:lvlText w:val="%1."/>
      <w:lvlJc w:val="left"/>
      <w:pPr>
        <w:ind w:left="2203" w:hanging="360"/>
      </w:p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136" w15:restartNumberingAfterBreak="0">
    <w:nsid w:val="28FF06C9"/>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3501"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137" w15:restartNumberingAfterBreak="0">
    <w:nsid w:val="290325C7"/>
    <w:multiLevelType w:val="hybridMultilevel"/>
    <w:tmpl w:val="EAF0BD54"/>
    <w:lvl w:ilvl="0" w:tplc="EBD61A80">
      <w:start w:val="1"/>
      <w:numFmt w:val="lowerLetter"/>
      <w:lvlText w:val="%1."/>
      <w:lvlJc w:val="left"/>
      <w:pPr>
        <w:ind w:left="2203" w:hanging="360"/>
      </w:pPr>
      <w:rPr>
        <w:rFonts w:ascii="Arial" w:hAnsi="Arial" w:cs="Arial" w:hint="default"/>
        <w:b w:val="0"/>
        <w:sz w:val="22"/>
        <w:szCs w:val="22"/>
      </w:rPr>
    </w:lvl>
    <w:lvl w:ilvl="1" w:tplc="04090003">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138" w15:restartNumberingAfterBreak="0">
    <w:nsid w:val="29113469"/>
    <w:multiLevelType w:val="hybridMultilevel"/>
    <w:tmpl w:val="DFBE3C86"/>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9" w15:restartNumberingAfterBreak="0">
    <w:nsid w:val="292A6DDA"/>
    <w:multiLevelType w:val="hybridMultilevel"/>
    <w:tmpl w:val="689A3414"/>
    <w:lvl w:ilvl="0" w:tplc="407E9E9C">
      <w:start w:val="1"/>
      <w:numFmt w:val="decimal"/>
      <w:lvlText w:val="2.%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93872EA"/>
    <w:multiLevelType w:val="hybridMultilevel"/>
    <w:tmpl w:val="BC2C8178"/>
    <w:lvl w:ilvl="0" w:tplc="300A0001">
      <w:start w:val="1"/>
      <w:numFmt w:val="bullet"/>
      <w:lvlText w:val=""/>
      <w:lvlJc w:val="left"/>
      <w:pPr>
        <w:tabs>
          <w:tab w:val="num" w:pos="720"/>
        </w:tabs>
        <w:ind w:left="720" w:hanging="360"/>
      </w:pPr>
      <w:rPr>
        <w:rFonts w:ascii="Symbol" w:hAnsi="Symbol" w:hint="default"/>
      </w:rPr>
    </w:lvl>
    <w:lvl w:ilvl="1" w:tplc="B056831C" w:tentative="1">
      <w:start w:val="1"/>
      <w:numFmt w:val="decimal"/>
      <w:lvlText w:val="%2."/>
      <w:lvlJc w:val="left"/>
      <w:pPr>
        <w:tabs>
          <w:tab w:val="num" w:pos="1440"/>
        </w:tabs>
        <w:ind w:left="1440" w:hanging="360"/>
      </w:pPr>
    </w:lvl>
    <w:lvl w:ilvl="2" w:tplc="64627AEE" w:tentative="1">
      <w:start w:val="1"/>
      <w:numFmt w:val="decimal"/>
      <w:lvlText w:val="%3."/>
      <w:lvlJc w:val="left"/>
      <w:pPr>
        <w:tabs>
          <w:tab w:val="num" w:pos="2160"/>
        </w:tabs>
        <w:ind w:left="2160" w:hanging="360"/>
      </w:pPr>
    </w:lvl>
    <w:lvl w:ilvl="3" w:tplc="9760A4B2" w:tentative="1">
      <w:start w:val="1"/>
      <w:numFmt w:val="decimal"/>
      <w:lvlText w:val="%4."/>
      <w:lvlJc w:val="left"/>
      <w:pPr>
        <w:tabs>
          <w:tab w:val="num" w:pos="2880"/>
        </w:tabs>
        <w:ind w:left="2880" w:hanging="360"/>
      </w:pPr>
    </w:lvl>
    <w:lvl w:ilvl="4" w:tplc="C5443E02" w:tentative="1">
      <w:start w:val="1"/>
      <w:numFmt w:val="decimal"/>
      <w:lvlText w:val="%5."/>
      <w:lvlJc w:val="left"/>
      <w:pPr>
        <w:tabs>
          <w:tab w:val="num" w:pos="3600"/>
        </w:tabs>
        <w:ind w:left="3600" w:hanging="360"/>
      </w:pPr>
    </w:lvl>
    <w:lvl w:ilvl="5" w:tplc="41083A24" w:tentative="1">
      <w:start w:val="1"/>
      <w:numFmt w:val="decimal"/>
      <w:lvlText w:val="%6."/>
      <w:lvlJc w:val="left"/>
      <w:pPr>
        <w:tabs>
          <w:tab w:val="num" w:pos="4320"/>
        </w:tabs>
        <w:ind w:left="4320" w:hanging="360"/>
      </w:pPr>
    </w:lvl>
    <w:lvl w:ilvl="6" w:tplc="F0AA4B7C" w:tentative="1">
      <w:start w:val="1"/>
      <w:numFmt w:val="decimal"/>
      <w:lvlText w:val="%7."/>
      <w:lvlJc w:val="left"/>
      <w:pPr>
        <w:tabs>
          <w:tab w:val="num" w:pos="5040"/>
        </w:tabs>
        <w:ind w:left="5040" w:hanging="360"/>
      </w:pPr>
    </w:lvl>
    <w:lvl w:ilvl="7" w:tplc="5A40D5A6" w:tentative="1">
      <w:start w:val="1"/>
      <w:numFmt w:val="decimal"/>
      <w:lvlText w:val="%8."/>
      <w:lvlJc w:val="left"/>
      <w:pPr>
        <w:tabs>
          <w:tab w:val="num" w:pos="5760"/>
        </w:tabs>
        <w:ind w:left="5760" w:hanging="360"/>
      </w:pPr>
    </w:lvl>
    <w:lvl w:ilvl="8" w:tplc="EDA8011E" w:tentative="1">
      <w:start w:val="1"/>
      <w:numFmt w:val="decimal"/>
      <w:lvlText w:val="%9."/>
      <w:lvlJc w:val="left"/>
      <w:pPr>
        <w:tabs>
          <w:tab w:val="num" w:pos="6480"/>
        </w:tabs>
        <w:ind w:left="6480" w:hanging="360"/>
      </w:pPr>
    </w:lvl>
  </w:abstractNum>
  <w:abstractNum w:abstractNumId="141" w15:restartNumberingAfterBreak="0">
    <w:nsid w:val="294048C8"/>
    <w:multiLevelType w:val="hybridMultilevel"/>
    <w:tmpl w:val="65A61D6E"/>
    <w:lvl w:ilvl="0" w:tplc="7E90FC92">
      <w:start w:val="1"/>
      <w:numFmt w:val="decimal"/>
      <w:lvlText w:val="22.%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9E27AE0"/>
    <w:multiLevelType w:val="hybridMultilevel"/>
    <w:tmpl w:val="0B88E292"/>
    <w:lvl w:ilvl="0" w:tplc="300A0019">
      <w:start w:val="1"/>
      <w:numFmt w:val="lowerLetter"/>
      <w:lvlText w:val="%1."/>
      <w:lvlJc w:val="left"/>
      <w:pPr>
        <w:ind w:left="3195" w:hanging="360"/>
      </w:pPr>
      <w:rPr>
        <w:rFonts w:hint="default"/>
      </w:rPr>
    </w:lvl>
    <w:lvl w:ilvl="1" w:tplc="300A0003">
      <w:start w:val="1"/>
      <w:numFmt w:val="bullet"/>
      <w:lvlText w:val="o"/>
      <w:lvlJc w:val="left"/>
      <w:pPr>
        <w:ind w:left="3915" w:hanging="360"/>
      </w:pPr>
      <w:rPr>
        <w:rFonts w:ascii="Courier New" w:hAnsi="Courier New" w:cs="Courier New" w:hint="default"/>
      </w:rPr>
    </w:lvl>
    <w:lvl w:ilvl="2" w:tplc="300A0005" w:tentative="1">
      <w:start w:val="1"/>
      <w:numFmt w:val="bullet"/>
      <w:lvlText w:val=""/>
      <w:lvlJc w:val="left"/>
      <w:pPr>
        <w:ind w:left="4635" w:hanging="360"/>
      </w:pPr>
      <w:rPr>
        <w:rFonts w:ascii="Wingdings" w:hAnsi="Wingdings" w:hint="default"/>
      </w:rPr>
    </w:lvl>
    <w:lvl w:ilvl="3" w:tplc="300A0001" w:tentative="1">
      <w:start w:val="1"/>
      <w:numFmt w:val="bullet"/>
      <w:lvlText w:val=""/>
      <w:lvlJc w:val="left"/>
      <w:pPr>
        <w:ind w:left="5355" w:hanging="360"/>
      </w:pPr>
      <w:rPr>
        <w:rFonts w:ascii="Symbol" w:hAnsi="Symbol" w:hint="default"/>
      </w:rPr>
    </w:lvl>
    <w:lvl w:ilvl="4" w:tplc="300A0003" w:tentative="1">
      <w:start w:val="1"/>
      <w:numFmt w:val="bullet"/>
      <w:lvlText w:val="o"/>
      <w:lvlJc w:val="left"/>
      <w:pPr>
        <w:ind w:left="6075" w:hanging="360"/>
      </w:pPr>
      <w:rPr>
        <w:rFonts w:ascii="Courier New" w:hAnsi="Courier New" w:cs="Courier New" w:hint="default"/>
      </w:rPr>
    </w:lvl>
    <w:lvl w:ilvl="5" w:tplc="300A0005" w:tentative="1">
      <w:start w:val="1"/>
      <w:numFmt w:val="bullet"/>
      <w:lvlText w:val=""/>
      <w:lvlJc w:val="left"/>
      <w:pPr>
        <w:ind w:left="6795" w:hanging="360"/>
      </w:pPr>
      <w:rPr>
        <w:rFonts w:ascii="Wingdings" w:hAnsi="Wingdings" w:hint="default"/>
      </w:rPr>
    </w:lvl>
    <w:lvl w:ilvl="6" w:tplc="300A0001" w:tentative="1">
      <w:start w:val="1"/>
      <w:numFmt w:val="bullet"/>
      <w:lvlText w:val=""/>
      <w:lvlJc w:val="left"/>
      <w:pPr>
        <w:ind w:left="7515" w:hanging="360"/>
      </w:pPr>
      <w:rPr>
        <w:rFonts w:ascii="Symbol" w:hAnsi="Symbol" w:hint="default"/>
      </w:rPr>
    </w:lvl>
    <w:lvl w:ilvl="7" w:tplc="300A0003" w:tentative="1">
      <w:start w:val="1"/>
      <w:numFmt w:val="bullet"/>
      <w:lvlText w:val="o"/>
      <w:lvlJc w:val="left"/>
      <w:pPr>
        <w:ind w:left="8235" w:hanging="360"/>
      </w:pPr>
      <w:rPr>
        <w:rFonts w:ascii="Courier New" w:hAnsi="Courier New" w:cs="Courier New" w:hint="default"/>
      </w:rPr>
    </w:lvl>
    <w:lvl w:ilvl="8" w:tplc="300A0005" w:tentative="1">
      <w:start w:val="1"/>
      <w:numFmt w:val="bullet"/>
      <w:lvlText w:val=""/>
      <w:lvlJc w:val="left"/>
      <w:pPr>
        <w:ind w:left="8955" w:hanging="360"/>
      </w:pPr>
      <w:rPr>
        <w:rFonts w:ascii="Wingdings" w:hAnsi="Wingdings" w:hint="default"/>
      </w:rPr>
    </w:lvl>
  </w:abstractNum>
  <w:abstractNum w:abstractNumId="143" w15:restartNumberingAfterBreak="0">
    <w:nsid w:val="29ED1D3E"/>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44" w15:restartNumberingAfterBreak="0">
    <w:nsid w:val="2A2B6801"/>
    <w:multiLevelType w:val="hybridMultilevel"/>
    <w:tmpl w:val="6388F636"/>
    <w:lvl w:ilvl="0" w:tplc="D5641AFA">
      <w:start w:val="1"/>
      <w:numFmt w:val="decimal"/>
      <w:lvlText w:val="19.%1"/>
      <w:lvlJc w:val="left"/>
      <w:pPr>
        <w:ind w:left="360" w:hanging="360"/>
      </w:pPr>
      <w:rPr>
        <w:rFonts w:ascii="Times New Roman" w:hAnsi="Times New Roman" w:cs="Times New Roman" w:hint="default"/>
      </w:rPr>
    </w:lvl>
    <w:lvl w:ilvl="1" w:tplc="245E9308">
      <w:start w:val="1"/>
      <w:numFmt w:val="lowerLetter"/>
      <w:lvlText w:val="%2)"/>
      <w:lvlJc w:val="left"/>
      <w:pPr>
        <w:ind w:left="1260" w:hanging="5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ADA2538"/>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146" w15:restartNumberingAfterBreak="0">
    <w:nsid w:val="2B8555A9"/>
    <w:multiLevelType w:val="hybridMultilevel"/>
    <w:tmpl w:val="17A2E014"/>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47" w15:restartNumberingAfterBreak="0">
    <w:nsid w:val="2BD948A7"/>
    <w:multiLevelType w:val="hybridMultilevel"/>
    <w:tmpl w:val="27EAC92E"/>
    <w:lvl w:ilvl="0" w:tplc="A3A09B60">
      <w:start w:val="1"/>
      <w:numFmt w:val="bullet"/>
      <w:lvlText w:val=""/>
      <w:lvlJc w:val="left"/>
      <w:pPr>
        <w:ind w:left="1068" w:hanging="360"/>
      </w:pPr>
      <w:rPr>
        <w:rFonts w:ascii="Symbol" w:hAnsi="Symbol" w:hint="default"/>
      </w:rPr>
    </w:lvl>
    <w:lvl w:ilvl="1" w:tplc="4D60A9FE">
      <w:start w:val="1"/>
      <w:numFmt w:val="bullet"/>
      <w:lvlText w:val="o"/>
      <w:lvlJc w:val="left"/>
      <w:pPr>
        <w:ind w:left="1788" w:hanging="360"/>
      </w:pPr>
      <w:rPr>
        <w:rFonts w:ascii="Courier New" w:hAnsi="Courier New" w:hint="default"/>
      </w:rPr>
    </w:lvl>
    <w:lvl w:ilvl="2" w:tplc="F86AC3E8">
      <w:start w:val="1"/>
      <w:numFmt w:val="bullet"/>
      <w:lvlText w:val=""/>
      <w:lvlJc w:val="left"/>
      <w:pPr>
        <w:ind w:left="2508" w:hanging="360"/>
      </w:pPr>
      <w:rPr>
        <w:rFonts w:ascii="Symbol" w:hAnsi="Symbol" w:hint="default"/>
      </w:rPr>
    </w:lvl>
    <w:lvl w:ilvl="3" w:tplc="4EC654EE">
      <w:start w:val="1"/>
      <w:numFmt w:val="bullet"/>
      <w:lvlText w:val=""/>
      <w:lvlJc w:val="left"/>
      <w:pPr>
        <w:ind w:left="3228" w:hanging="360"/>
      </w:pPr>
      <w:rPr>
        <w:rFonts w:ascii="Symbol" w:hAnsi="Symbol" w:hint="default"/>
      </w:rPr>
    </w:lvl>
    <w:lvl w:ilvl="4" w:tplc="9D2AFE06">
      <w:start w:val="1"/>
      <w:numFmt w:val="bullet"/>
      <w:lvlText w:val="o"/>
      <w:lvlJc w:val="left"/>
      <w:pPr>
        <w:ind w:left="3948" w:hanging="360"/>
      </w:pPr>
      <w:rPr>
        <w:rFonts w:ascii="Courier New" w:hAnsi="Courier New" w:hint="default"/>
      </w:rPr>
    </w:lvl>
    <w:lvl w:ilvl="5" w:tplc="F5F09270">
      <w:start w:val="1"/>
      <w:numFmt w:val="bullet"/>
      <w:lvlText w:val=""/>
      <w:lvlJc w:val="left"/>
      <w:pPr>
        <w:ind w:left="4668" w:hanging="360"/>
      </w:pPr>
      <w:rPr>
        <w:rFonts w:ascii="Wingdings" w:hAnsi="Wingdings" w:hint="default"/>
      </w:rPr>
    </w:lvl>
    <w:lvl w:ilvl="6" w:tplc="7F988C38">
      <w:start w:val="1"/>
      <w:numFmt w:val="bullet"/>
      <w:lvlText w:val=""/>
      <w:lvlJc w:val="left"/>
      <w:pPr>
        <w:ind w:left="5388" w:hanging="360"/>
      </w:pPr>
      <w:rPr>
        <w:rFonts w:ascii="Symbol" w:hAnsi="Symbol" w:hint="default"/>
      </w:rPr>
    </w:lvl>
    <w:lvl w:ilvl="7" w:tplc="E794BFC0">
      <w:start w:val="1"/>
      <w:numFmt w:val="bullet"/>
      <w:lvlText w:val="o"/>
      <w:lvlJc w:val="left"/>
      <w:pPr>
        <w:ind w:left="6108" w:hanging="360"/>
      </w:pPr>
      <w:rPr>
        <w:rFonts w:ascii="Courier New" w:hAnsi="Courier New" w:hint="default"/>
      </w:rPr>
    </w:lvl>
    <w:lvl w:ilvl="8" w:tplc="B9C68CE0">
      <w:start w:val="1"/>
      <w:numFmt w:val="bullet"/>
      <w:lvlText w:val=""/>
      <w:lvlJc w:val="left"/>
      <w:pPr>
        <w:ind w:left="6828" w:hanging="360"/>
      </w:pPr>
      <w:rPr>
        <w:rFonts w:ascii="Wingdings" w:hAnsi="Wingdings" w:hint="default"/>
      </w:rPr>
    </w:lvl>
  </w:abstractNum>
  <w:abstractNum w:abstractNumId="148" w15:restartNumberingAfterBreak="0">
    <w:nsid w:val="2C2679E9"/>
    <w:multiLevelType w:val="hybridMultilevel"/>
    <w:tmpl w:val="599AC05E"/>
    <w:lvl w:ilvl="0" w:tplc="300A0019">
      <w:start w:val="1"/>
      <w:numFmt w:val="lowerLetter"/>
      <w:lvlText w:val="%1."/>
      <w:lvlJc w:val="left"/>
      <w:pPr>
        <w:ind w:left="3195" w:hanging="360"/>
      </w:pPr>
    </w:lvl>
    <w:lvl w:ilvl="1" w:tplc="300A0019" w:tentative="1">
      <w:start w:val="1"/>
      <w:numFmt w:val="lowerLetter"/>
      <w:lvlText w:val="%2."/>
      <w:lvlJc w:val="left"/>
      <w:pPr>
        <w:ind w:left="3915" w:hanging="360"/>
      </w:pPr>
    </w:lvl>
    <w:lvl w:ilvl="2" w:tplc="300A001B" w:tentative="1">
      <w:start w:val="1"/>
      <w:numFmt w:val="lowerRoman"/>
      <w:lvlText w:val="%3."/>
      <w:lvlJc w:val="right"/>
      <w:pPr>
        <w:ind w:left="4635" w:hanging="180"/>
      </w:pPr>
    </w:lvl>
    <w:lvl w:ilvl="3" w:tplc="300A000F" w:tentative="1">
      <w:start w:val="1"/>
      <w:numFmt w:val="decimal"/>
      <w:lvlText w:val="%4."/>
      <w:lvlJc w:val="left"/>
      <w:pPr>
        <w:ind w:left="5355" w:hanging="360"/>
      </w:pPr>
    </w:lvl>
    <w:lvl w:ilvl="4" w:tplc="300A0019" w:tentative="1">
      <w:start w:val="1"/>
      <w:numFmt w:val="lowerLetter"/>
      <w:lvlText w:val="%5."/>
      <w:lvlJc w:val="left"/>
      <w:pPr>
        <w:ind w:left="6075" w:hanging="360"/>
      </w:pPr>
    </w:lvl>
    <w:lvl w:ilvl="5" w:tplc="300A001B" w:tentative="1">
      <w:start w:val="1"/>
      <w:numFmt w:val="lowerRoman"/>
      <w:lvlText w:val="%6."/>
      <w:lvlJc w:val="right"/>
      <w:pPr>
        <w:ind w:left="6795" w:hanging="180"/>
      </w:pPr>
    </w:lvl>
    <w:lvl w:ilvl="6" w:tplc="300A000F" w:tentative="1">
      <w:start w:val="1"/>
      <w:numFmt w:val="decimal"/>
      <w:lvlText w:val="%7."/>
      <w:lvlJc w:val="left"/>
      <w:pPr>
        <w:ind w:left="7515" w:hanging="360"/>
      </w:pPr>
    </w:lvl>
    <w:lvl w:ilvl="7" w:tplc="300A0019" w:tentative="1">
      <w:start w:val="1"/>
      <w:numFmt w:val="lowerLetter"/>
      <w:lvlText w:val="%8."/>
      <w:lvlJc w:val="left"/>
      <w:pPr>
        <w:ind w:left="8235" w:hanging="360"/>
      </w:pPr>
    </w:lvl>
    <w:lvl w:ilvl="8" w:tplc="300A001B" w:tentative="1">
      <w:start w:val="1"/>
      <w:numFmt w:val="lowerRoman"/>
      <w:lvlText w:val="%9."/>
      <w:lvlJc w:val="right"/>
      <w:pPr>
        <w:ind w:left="8955" w:hanging="180"/>
      </w:pPr>
    </w:lvl>
  </w:abstractNum>
  <w:abstractNum w:abstractNumId="149"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0" w15:restartNumberingAfterBreak="0">
    <w:nsid w:val="2CF445AC"/>
    <w:multiLevelType w:val="hybridMultilevel"/>
    <w:tmpl w:val="513E3670"/>
    <w:lvl w:ilvl="0" w:tplc="04090001">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03">
      <w:start w:val="1"/>
      <w:numFmt w:val="lowerLetter"/>
      <w:lvlText w:val="%2."/>
      <w:lvlJc w:val="left"/>
      <w:pPr>
        <w:tabs>
          <w:tab w:val="num" w:pos="2592"/>
        </w:tabs>
        <w:ind w:left="2592" w:hanging="360"/>
      </w:pPr>
    </w:lvl>
    <w:lvl w:ilvl="2" w:tplc="04090005">
      <w:start w:val="1"/>
      <w:numFmt w:val="lowerRoman"/>
      <w:lvlText w:val="%3."/>
      <w:lvlJc w:val="right"/>
      <w:pPr>
        <w:tabs>
          <w:tab w:val="num" w:pos="3312"/>
        </w:tabs>
        <w:ind w:left="3312" w:hanging="180"/>
      </w:pPr>
    </w:lvl>
    <w:lvl w:ilvl="3" w:tplc="04090001">
      <w:start w:val="1"/>
      <w:numFmt w:val="decimal"/>
      <w:lvlText w:val="%4."/>
      <w:lvlJc w:val="left"/>
      <w:pPr>
        <w:tabs>
          <w:tab w:val="num" w:pos="4032"/>
        </w:tabs>
        <w:ind w:left="4032" w:hanging="360"/>
      </w:pPr>
    </w:lvl>
    <w:lvl w:ilvl="4" w:tplc="04090003">
      <w:start w:val="1"/>
      <w:numFmt w:val="lowerLetter"/>
      <w:lvlText w:val="%5."/>
      <w:lvlJc w:val="left"/>
      <w:pPr>
        <w:tabs>
          <w:tab w:val="num" w:pos="4752"/>
        </w:tabs>
        <w:ind w:left="4752" w:hanging="360"/>
      </w:pPr>
    </w:lvl>
    <w:lvl w:ilvl="5" w:tplc="04090005">
      <w:start w:val="1"/>
      <w:numFmt w:val="lowerRoman"/>
      <w:lvlText w:val="%6."/>
      <w:lvlJc w:val="right"/>
      <w:pPr>
        <w:tabs>
          <w:tab w:val="num" w:pos="5472"/>
        </w:tabs>
        <w:ind w:left="5472" w:hanging="180"/>
      </w:pPr>
    </w:lvl>
    <w:lvl w:ilvl="6" w:tplc="04090001">
      <w:start w:val="1"/>
      <w:numFmt w:val="decimal"/>
      <w:lvlText w:val="%7."/>
      <w:lvlJc w:val="left"/>
      <w:pPr>
        <w:tabs>
          <w:tab w:val="num" w:pos="6192"/>
        </w:tabs>
        <w:ind w:left="6192" w:hanging="360"/>
      </w:pPr>
    </w:lvl>
    <w:lvl w:ilvl="7" w:tplc="04090003">
      <w:start w:val="1"/>
      <w:numFmt w:val="lowerLetter"/>
      <w:lvlText w:val="%8."/>
      <w:lvlJc w:val="left"/>
      <w:pPr>
        <w:tabs>
          <w:tab w:val="num" w:pos="6912"/>
        </w:tabs>
        <w:ind w:left="6912" w:hanging="360"/>
      </w:pPr>
    </w:lvl>
    <w:lvl w:ilvl="8" w:tplc="04090005">
      <w:start w:val="1"/>
      <w:numFmt w:val="lowerRoman"/>
      <w:lvlText w:val="%9."/>
      <w:lvlJc w:val="right"/>
      <w:pPr>
        <w:tabs>
          <w:tab w:val="num" w:pos="7632"/>
        </w:tabs>
        <w:ind w:left="7632" w:hanging="180"/>
      </w:pPr>
    </w:lvl>
  </w:abstractNum>
  <w:abstractNum w:abstractNumId="151" w15:restartNumberingAfterBreak="0">
    <w:nsid w:val="2DB70F74"/>
    <w:multiLevelType w:val="hybridMultilevel"/>
    <w:tmpl w:val="735281DE"/>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152" w15:restartNumberingAfterBreak="0">
    <w:nsid w:val="2DBF3AFD"/>
    <w:multiLevelType w:val="hybridMultilevel"/>
    <w:tmpl w:val="7332D962"/>
    <w:lvl w:ilvl="0" w:tplc="300A0019">
      <w:start w:val="1"/>
      <w:numFmt w:val="lowerLetter"/>
      <w:lvlText w:val="%1."/>
      <w:lvlJc w:val="left"/>
      <w:pPr>
        <w:ind w:left="1452" w:hanging="360"/>
      </w:pPr>
    </w:lvl>
    <w:lvl w:ilvl="1" w:tplc="300A0019" w:tentative="1">
      <w:start w:val="1"/>
      <w:numFmt w:val="lowerLetter"/>
      <w:lvlText w:val="%2."/>
      <w:lvlJc w:val="left"/>
      <w:pPr>
        <w:ind w:left="2172" w:hanging="360"/>
      </w:pPr>
    </w:lvl>
    <w:lvl w:ilvl="2" w:tplc="300A001B" w:tentative="1">
      <w:start w:val="1"/>
      <w:numFmt w:val="lowerRoman"/>
      <w:lvlText w:val="%3."/>
      <w:lvlJc w:val="right"/>
      <w:pPr>
        <w:ind w:left="2892" w:hanging="180"/>
      </w:pPr>
    </w:lvl>
    <w:lvl w:ilvl="3" w:tplc="300A000F" w:tentative="1">
      <w:start w:val="1"/>
      <w:numFmt w:val="decimal"/>
      <w:lvlText w:val="%4."/>
      <w:lvlJc w:val="left"/>
      <w:pPr>
        <w:ind w:left="3612" w:hanging="360"/>
      </w:pPr>
    </w:lvl>
    <w:lvl w:ilvl="4" w:tplc="300A0019" w:tentative="1">
      <w:start w:val="1"/>
      <w:numFmt w:val="lowerLetter"/>
      <w:lvlText w:val="%5."/>
      <w:lvlJc w:val="left"/>
      <w:pPr>
        <w:ind w:left="4332" w:hanging="360"/>
      </w:pPr>
    </w:lvl>
    <w:lvl w:ilvl="5" w:tplc="300A001B" w:tentative="1">
      <w:start w:val="1"/>
      <w:numFmt w:val="lowerRoman"/>
      <w:lvlText w:val="%6."/>
      <w:lvlJc w:val="right"/>
      <w:pPr>
        <w:ind w:left="5052" w:hanging="180"/>
      </w:pPr>
    </w:lvl>
    <w:lvl w:ilvl="6" w:tplc="300A000F" w:tentative="1">
      <w:start w:val="1"/>
      <w:numFmt w:val="decimal"/>
      <w:lvlText w:val="%7."/>
      <w:lvlJc w:val="left"/>
      <w:pPr>
        <w:ind w:left="5772" w:hanging="360"/>
      </w:pPr>
    </w:lvl>
    <w:lvl w:ilvl="7" w:tplc="300A0019" w:tentative="1">
      <w:start w:val="1"/>
      <w:numFmt w:val="lowerLetter"/>
      <w:lvlText w:val="%8."/>
      <w:lvlJc w:val="left"/>
      <w:pPr>
        <w:ind w:left="6492" w:hanging="360"/>
      </w:pPr>
    </w:lvl>
    <w:lvl w:ilvl="8" w:tplc="300A001B" w:tentative="1">
      <w:start w:val="1"/>
      <w:numFmt w:val="lowerRoman"/>
      <w:lvlText w:val="%9."/>
      <w:lvlJc w:val="right"/>
      <w:pPr>
        <w:ind w:left="7212" w:hanging="180"/>
      </w:pPr>
    </w:lvl>
  </w:abstractNum>
  <w:abstractNum w:abstractNumId="153" w15:restartNumberingAfterBreak="0">
    <w:nsid w:val="2DCE682A"/>
    <w:multiLevelType w:val="hybridMultilevel"/>
    <w:tmpl w:val="76DC543C"/>
    <w:lvl w:ilvl="0" w:tplc="FFFFFFFF">
      <w:start w:val="1"/>
      <w:numFmt w:val="lowerLetter"/>
      <w:lvlText w:val="%1."/>
      <w:lvlJc w:val="left"/>
      <w:pPr>
        <w:ind w:left="2203" w:hanging="360"/>
      </w:pPr>
      <w:rPr>
        <w:rFonts w:ascii="Arial" w:eastAsia="Calibri" w:hAnsi="Arial" w:cs="Arial"/>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154" w15:restartNumberingAfterBreak="0">
    <w:nsid w:val="2E2176E0"/>
    <w:multiLevelType w:val="hybridMultilevel"/>
    <w:tmpl w:val="5F8E6550"/>
    <w:lvl w:ilvl="0" w:tplc="0D1A0DE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2E2907C1"/>
    <w:multiLevelType w:val="hybridMultilevel"/>
    <w:tmpl w:val="A0765AC0"/>
    <w:lvl w:ilvl="0" w:tplc="300A0001">
      <w:start w:val="1"/>
      <w:numFmt w:val="bullet"/>
      <w:lvlText w:val=""/>
      <w:lvlJc w:val="left"/>
      <w:pPr>
        <w:ind w:left="2136" w:hanging="360"/>
      </w:pPr>
      <w:rPr>
        <w:rFonts w:ascii="Symbol" w:hAnsi="Symbol"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156" w15:restartNumberingAfterBreak="0">
    <w:nsid w:val="2E662B89"/>
    <w:multiLevelType w:val="hybridMultilevel"/>
    <w:tmpl w:val="E41A66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3195"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7" w15:restartNumberingAfterBreak="0">
    <w:nsid w:val="2E9F33E8"/>
    <w:multiLevelType w:val="multilevel"/>
    <w:tmpl w:val="0546C80C"/>
    <w:lvl w:ilvl="0">
      <w:start w:val="1"/>
      <w:numFmt w:val="lowerLetter"/>
      <w:lvlText w:val="%1."/>
      <w:lvlJc w:val="left"/>
      <w:pPr>
        <w:ind w:left="2487" w:hanging="360"/>
      </w:pPr>
      <w:rPr>
        <w:u w:val="none"/>
      </w:rPr>
    </w:lvl>
    <w:lvl w:ilvl="1">
      <w:start w:val="1"/>
      <w:numFmt w:val="bullet"/>
      <w:lvlText w:val="•"/>
      <w:lvlJc w:val="left"/>
      <w:pPr>
        <w:ind w:left="3207" w:hanging="360"/>
      </w:pPr>
      <w:rPr>
        <w:rFonts w:ascii="Times New Roman" w:eastAsia="Times New Roman" w:hAnsi="Times New Roman" w:cs="Times New Roman"/>
      </w:rPr>
    </w:lvl>
    <w:lvl w:ilvl="2">
      <w:start w:val="1"/>
      <w:numFmt w:val="bullet"/>
      <w:lvlText w:val="■"/>
      <w:lvlJc w:val="left"/>
      <w:pPr>
        <w:ind w:left="3927" w:hanging="360"/>
      </w:pPr>
      <w:rPr>
        <w:u w:val="none"/>
      </w:rPr>
    </w:lvl>
    <w:lvl w:ilvl="3">
      <w:start w:val="1"/>
      <w:numFmt w:val="bullet"/>
      <w:lvlText w:val="●"/>
      <w:lvlJc w:val="left"/>
      <w:pPr>
        <w:ind w:left="4647" w:hanging="360"/>
      </w:pPr>
      <w:rPr>
        <w:u w:val="none"/>
      </w:rPr>
    </w:lvl>
    <w:lvl w:ilvl="4">
      <w:start w:val="1"/>
      <w:numFmt w:val="bullet"/>
      <w:lvlText w:val="○"/>
      <w:lvlJc w:val="left"/>
      <w:pPr>
        <w:ind w:left="5367" w:hanging="360"/>
      </w:pPr>
      <w:rPr>
        <w:u w:val="none"/>
      </w:rPr>
    </w:lvl>
    <w:lvl w:ilvl="5">
      <w:start w:val="1"/>
      <w:numFmt w:val="bullet"/>
      <w:lvlText w:val="■"/>
      <w:lvlJc w:val="left"/>
      <w:pPr>
        <w:ind w:left="6087" w:hanging="360"/>
      </w:pPr>
      <w:rPr>
        <w:u w:val="none"/>
      </w:rPr>
    </w:lvl>
    <w:lvl w:ilvl="6">
      <w:start w:val="1"/>
      <w:numFmt w:val="bullet"/>
      <w:lvlText w:val="●"/>
      <w:lvlJc w:val="left"/>
      <w:pPr>
        <w:ind w:left="6807" w:hanging="360"/>
      </w:pPr>
      <w:rPr>
        <w:u w:val="none"/>
      </w:rPr>
    </w:lvl>
    <w:lvl w:ilvl="7">
      <w:start w:val="1"/>
      <w:numFmt w:val="bullet"/>
      <w:lvlText w:val="○"/>
      <w:lvlJc w:val="left"/>
      <w:pPr>
        <w:ind w:left="7527" w:hanging="360"/>
      </w:pPr>
      <w:rPr>
        <w:u w:val="none"/>
      </w:rPr>
    </w:lvl>
    <w:lvl w:ilvl="8">
      <w:start w:val="1"/>
      <w:numFmt w:val="bullet"/>
      <w:lvlText w:val="■"/>
      <w:lvlJc w:val="left"/>
      <w:pPr>
        <w:ind w:left="8247" w:hanging="360"/>
      </w:pPr>
      <w:rPr>
        <w:u w:val="none"/>
      </w:rPr>
    </w:lvl>
  </w:abstractNum>
  <w:abstractNum w:abstractNumId="158" w15:restartNumberingAfterBreak="0">
    <w:nsid w:val="2F174245"/>
    <w:multiLevelType w:val="hybridMultilevel"/>
    <w:tmpl w:val="B46886F4"/>
    <w:lvl w:ilvl="0" w:tplc="300A0019">
      <w:start w:val="1"/>
      <w:numFmt w:val="lowerLetter"/>
      <w:lvlText w:val="%1."/>
      <w:lvlJc w:val="left"/>
      <w:pPr>
        <w:ind w:left="2856" w:hanging="360"/>
      </w:pPr>
    </w:lvl>
    <w:lvl w:ilvl="1" w:tplc="300A0001">
      <w:start w:val="1"/>
      <w:numFmt w:val="bullet"/>
      <w:lvlText w:val=""/>
      <w:lvlJc w:val="left"/>
      <w:pPr>
        <w:ind w:left="3576" w:hanging="360"/>
      </w:pPr>
      <w:rPr>
        <w:rFonts w:ascii="Symbol" w:hAnsi="Symbol" w:hint="default"/>
      </w:rPr>
    </w:lvl>
    <w:lvl w:ilvl="2" w:tplc="300A001B" w:tentative="1">
      <w:start w:val="1"/>
      <w:numFmt w:val="lowerRoman"/>
      <w:lvlText w:val="%3."/>
      <w:lvlJc w:val="right"/>
      <w:pPr>
        <w:ind w:left="4296" w:hanging="180"/>
      </w:pPr>
    </w:lvl>
    <w:lvl w:ilvl="3" w:tplc="300A000F" w:tentative="1">
      <w:start w:val="1"/>
      <w:numFmt w:val="decimal"/>
      <w:lvlText w:val="%4."/>
      <w:lvlJc w:val="left"/>
      <w:pPr>
        <w:ind w:left="5016" w:hanging="360"/>
      </w:pPr>
    </w:lvl>
    <w:lvl w:ilvl="4" w:tplc="300A0019" w:tentative="1">
      <w:start w:val="1"/>
      <w:numFmt w:val="lowerLetter"/>
      <w:lvlText w:val="%5."/>
      <w:lvlJc w:val="left"/>
      <w:pPr>
        <w:ind w:left="5736" w:hanging="360"/>
      </w:pPr>
    </w:lvl>
    <w:lvl w:ilvl="5" w:tplc="300A001B" w:tentative="1">
      <w:start w:val="1"/>
      <w:numFmt w:val="lowerRoman"/>
      <w:lvlText w:val="%6."/>
      <w:lvlJc w:val="right"/>
      <w:pPr>
        <w:ind w:left="6456" w:hanging="180"/>
      </w:pPr>
    </w:lvl>
    <w:lvl w:ilvl="6" w:tplc="300A000F" w:tentative="1">
      <w:start w:val="1"/>
      <w:numFmt w:val="decimal"/>
      <w:lvlText w:val="%7."/>
      <w:lvlJc w:val="left"/>
      <w:pPr>
        <w:ind w:left="7176" w:hanging="360"/>
      </w:pPr>
    </w:lvl>
    <w:lvl w:ilvl="7" w:tplc="300A0019" w:tentative="1">
      <w:start w:val="1"/>
      <w:numFmt w:val="lowerLetter"/>
      <w:lvlText w:val="%8."/>
      <w:lvlJc w:val="left"/>
      <w:pPr>
        <w:ind w:left="7896" w:hanging="360"/>
      </w:pPr>
    </w:lvl>
    <w:lvl w:ilvl="8" w:tplc="300A001B" w:tentative="1">
      <w:start w:val="1"/>
      <w:numFmt w:val="lowerRoman"/>
      <w:lvlText w:val="%9."/>
      <w:lvlJc w:val="right"/>
      <w:pPr>
        <w:ind w:left="8616" w:hanging="180"/>
      </w:pPr>
    </w:lvl>
  </w:abstractNum>
  <w:abstractNum w:abstractNumId="159" w15:restartNumberingAfterBreak="0">
    <w:nsid w:val="2F760911"/>
    <w:multiLevelType w:val="hybridMultilevel"/>
    <w:tmpl w:val="021EB790"/>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0" w15:restartNumberingAfterBreak="0">
    <w:nsid w:val="2FEE7018"/>
    <w:multiLevelType w:val="hybridMultilevel"/>
    <w:tmpl w:val="4610517A"/>
    <w:lvl w:ilvl="0" w:tplc="04090019">
      <w:start w:val="1"/>
      <w:numFmt w:val="lowerLetter"/>
      <w:lvlText w:val="%1."/>
      <w:lvlJc w:val="left"/>
      <w:pPr>
        <w:ind w:left="720" w:hanging="360"/>
      </w:pPr>
    </w:lvl>
    <w:lvl w:ilvl="1" w:tplc="300A0019">
      <w:start w:val="1"/>
      <w:numFmt w:val="lowerLetter"/>
      <w:lvlText w:val="%2."/>
      <w:lvlJc w:val="left"/>
      <w:pPr>
        <w:ind w:left="2486"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1" w15:restartNumberingAfterBreak="0">
    <w:nsid w:val="300E3E49"/>
    <w:multiLevelType w:val="multilevel"/>
    <w:tmpl w:val="059222C4"/>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none"/>
      <w:lvlText w:val="2.1.1.1.1"/>
      <w:lvlJc w:val="left"/>
      <w:pPr>
        <w:ind w:left="720" w:hanging="720"/>
      </w:pPr>
      <w:rPr>
        <w:rFonts w:hint="default"/>
      </w:rPr>
    </w:lvl>
    <w:lvl w:ilvl="3">
      <w:start w:val="1"/>
      <w:numFmt w:val="decimal"/>
      <w:lvlText w:val="%1.%2.%3.%4"/>
      <w:lvlJc w:val="left"/>
      <w:pPr>
        <w:ind w:left="5116" w:hanging="864"/>
      </w:pPr>
      <w:rPr>
        <w:rFonts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2" w15:restartNumberingAfterBreak="0">
    <w:nsid w:val="302068CB"/>
    <w:multiLevelType w:val="hybridMultilevel"/>
    <w:tmpl w:val="CF103F12"/>
    <w:lvl w:ilvl="0" w:tplc="8F5AE10A">
      <w:start w:val="1"/>
      <w:numFmt w:val="lowerLetter"/>
      <w:lvlText w:val="(%1)"/>
      <w:lvlJc w:val="left"/>
      <w:pPr>
        <w:ind w:left="1800" w:hanging="360"/>
      </w:pPr>
      <w:rPr>
        <w:rFonts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3" w15:restartNumberingAfterBreak="0">
    <w:nsid w:val="31D50272"/>
    <w:multiLevelType w:val="hybridMultilevel"/>
    <w:tmpl w:val="852EC6E8"/>
    <w:lvl w:ilvl="0" w:tplc="9E14EA3E">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23B39E0"/>
    <w:multiLevelType w:val="hybridMultilevel"/>
    <w:tmpl w:val="ECCE3CBE"/>
    <w:lvl w:ilvl="0" w:tplc="300A0001">
      <w:start w:val="1"/>
      <w:numFmt w:val="bullet"/>
      <w:lvlText w:val=""/>
      <w:lvlJc w:val="left"/>
      <w:pPr>
        <w:ind w:left="3552" w:hanging="360"/>
      </w:pPr>
      <w:rPr>
        <w:rFonts w:ascii="Symbol" w:hAnsi="Symbol" w:hint="default"/>
      </w:rPr>
    </w:lvl>
    <w:lvl w:ilvl="1" w:tplc="300A0003" w:tentative="1">
      <w:start w:val="1"/>
      <w:numFmt w:val="bullet"/>
      <w:lvlText w:val="o"/>
      <w:lvlJc w:val="left"/>
      <w:pPr>
        <w:ind w:left="4272" w:hanging="360"/>
      </w:pPr>
      <w:rPr>
        <w:rFonts w:ascii="Courier New" w:hAnsi="Courier New" w:cs="Courier New" w:hint="default"/>
      </w:rPr>
    </w:lvl>
    <w:lvl w:ilvl="2" w:tplc="300A0005" w:tentative="1">
      <w:start w:val="1"/>
      <w:numFmt w:val="bullet"/>
      <w:lvlText w:val=""/>
      <w:lvlJc w:val="left"/>
      <w:pPr>
        <w:ind w:left="4992" w:hanging="360"/>
      </w:pPr>
      <w:rPr>
        <w:rFonts w:ascii="Wingdings" w:hAnsi="Wingdings" w:hint="default"/>
      </w:rPr>
    </w:lvl>
    <w:lvl w:ilvl="3" w:tplc="300A0001" w:tentative="1">
      <w:start w:val="1"/>
      <w:numFmt w:val="bullet"/>
      <w:lvlText w:val=""/>
      <w:lvlJc w:val="left"/>
      <w:pPr>
        <w:ind w:left="5712" w:hanging="360"/>
      </w:pPr>
      <w:rPr>
        <w:rFonts w:ascii="Symbol" w:hAnsi="Symbol" w:hint="default"/>
      </w:rPr>
    </w:lvl>
    <w:lvl w:ilvl="4" w:tplc="300A0003" w:tentative="1">
      <w:start w:val="1"/>
      <w:numFmt w:val="bullet"/>
      <w:lvlText w:val="o"/>
      <w:lvlJc w:val="left"/>
      <w:pPr>
        <w:ind w:left="6432" w:hanging="360"/>
      </w:pPr>
      <w:rPr>
        <w:rFonts w:ascii="Courier New" w:hAnsi="Courier New" w:cs="Courier New" w:hint="default"/>
      </w:rPr>
    </w:lvl>
    <w:lvl w:ilvl="5" w:tplc="300A0005" w:tentative="1">
      <w:start w:val="1"/>
      <w:numFmt w:val="bullet"/>
      <w:lvlText w:val=""/>
      <w:lvlJc w:val="left"/>
      <w:pPr>
        <w:ind w:left="7152" w:hanging="360"/>
      </w:pPr>
      <w:rPr>
        <w:rFonts w:ascii="Wingdings" w:hAnsi="Wingdings" w:hint="default"/>
      </w:rPr>
    </w:lvl>
    <w:lvl w:ilvl="6" w:tplc="300A0001" w:tentative="1">
      <w:start w:val="1"/>
      <w:numFmt w:val="bullet"/>
      <w:lvlText w:val=""/>
      <w:lvlJc w:val="left"/>
      <w:pPr>
        <w:ind w:left="7872" w:hanging="360"/>
      </w:pPr>
      <w:rPr>
        <w:rFonts w:ascii="Symbol" w:hAnsi="Symbol" w:hint="default"/>
      </w:rPr>
    </w:lvl>
    <w:lvl w:ilvl="7" w:tplc="300A0003" w:tentative="1">
      <w:start w:val="1"/>
      <w:numFmt w:val="bullet"/>
      <w:lvlText w:val="o"/>
      <w:lvlJc w:val="left"/>
      <w:pPr>
        <w:ind w:left="8592" w:hanging="360"/>
      </w:pPr>
      <w:rPr>
        <w:rFonts w:ascii="Courier New" w:hAnsi="Courier New" w:cs="Courier New" w:hint="default"/>
      </w:rPr>
    </w:lvl>
    <w:lvl w:ilvl="8" w:tplc="300A0005" w:tentative="1">
      <w:start w:val="1"/>
      <w:numFmt w:val="bullet"/>
      <w:lvlText w:val=""/>
      <w:lvlJc w:val="left"/>
      <w:pPr>
        <w:ind w:left="9312" w:hanging="360"/>
      </w:pPr>
      <w:rPr>
        <w:rFonts w:ascii="Wingdings" w:hAnsi="Wingdings" w:hint="default"/>
      </w:rPr>
    </w:lvl>
  </w:abstractNum>
  <w:abstractNum w:abstractNumId="165" w15:restartNumberingAfterBreak="0">
    <w:nsid w:val="325A5450"/>
    <w:multiLevelType w:val="hybridMultilevel"/>
    <w:tmpl w:val="38C2C37C"/>
    <w:lvl w:ilvl="0" w:tplc="FFFFFFFF">
      <w:start w:val="1"/>
      <w:numFmt w:val="lowerLetter"/>
      <w:lvlText w:val="%1."/>
      <w:lvlJc w:val="left"/>
      <w:pPr>
        <w:ind w:left="2484" w:hanging="360"/>
      </w:pPr>
      <w:rPr>
        <w:rFonts w:hint="default"/>
        <w:lang w:val="es-EC"/>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166" w15:restartNumberingAfterBreak="0">
    <w:nsid w:val="32A24078"/>
    <w:multiLevelType w:val="hybridMultilevel"/>
    <w:tmpl w:val="38C2C37C"/>
    <w:lvl w:ilvl="0" w:tplc="FFFFFFFF">
      <w:start w:val="1"/>
      <w:numFmt w:val="lowerLetter"/>
      <w:lvlText w:val="%1."/>
      <w:lvlJc w:val="left"/>
      <w:pPr>
        <w:ind w:left="2484" w:hanging="360"/>
      </w:pPr>
      <w:rPr>
        <w:rFonts w:hint="default"/>
        <w:lang w:val="es-EC"/>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167" w15:restartNumberingAfterBreak="0">
    <w:nsid w:val="32A8027B"/>
    <w:multiLevelType w:val="hybridMultilevel"/>
    <w:tmpl w:val="A68CB6B6"/>
    <w:lvl w:ilvl="0" w:tplc="FF1EDF6E">
      <w:start w:val="1"/>
      <w:numFmt w:val="lowerLetter"/>
      <w:lvlText w:val="%1."/>
      <w:lvlJc w:val="left"/>
      <w:pPr>
        <w:ind w:left="2203" w:hanging="360"/>
      </w:pPr>
      <w:rPr>
        <w:rFonts w:hint="default"/>
        <w:lang w:val="es-EC"/>
      </w:rPr>
    </w:lvl>
    <w:lvl w:ilvl="1" w:tplc="300A0019" w:tentative="1">
      <w:start w:val="1"/>
      <w:numFmt w:val="lowerLetter"/>
      <w:lvlText w:val="%2."/>
      <w:lvlJc w:val="left"/>
      <w:pPr>
        <w:ind w:left="2215" w:hanging="360"/>
      </w:pPr>
    </w:lvl>
    <w:lvl w:ilvl="2" w:tplc="300A001B" w:tentative="1">
      <w:start w:val="1"/>
      <w:numFmt w:val="lowerRoman"/>
      <w:lvlText w:val="%3."/>
      <w:lvlJc w:val="right"/>
      <w:pPr>
        <w:ind w:left="2935" w:hanging="180"/>
      </w:pPr>
    </w:lvl>
    <w:lvl w:ilvl="3" w:tplc="300A000F" w:tentative="1">
      <w:start w:val="1"/>
      <w:numFmt w:val="decimal"/>
      <w:lvlText w:val="%4."/>
      <w:lvlJc w:val="left"/>
      <w:pPr>
        <w:ind w:left="3655" w:hanging="360"/>
      </w:pPr>
    </w:lvl>
    <w:lvl w:ilvl="4" w:tplc="300A0019" w:tentative="1">
      <w:start w:val="1"/>
      <w:numFmt w:val="lowerLetter"/>
      <w:lvlText w:val="%5."/>
      <w:lvlJc w:val="left"/>
      <w:pPr>
        <w:ind w:left="4375" w:hanging="360"/>
      </w:pPr>
    </w:lvl>
    <w:lvl w:ilvl="5" w:tplc="300A001B" w:tentative="1">
      <w:start w:val="1"/>
      <w:numFmt w:val="lowerRoman"/>
      <w:lvlText w:val="%6."/>
      <w:lvlJc w:val="right"/>
      <w:pPr>
        <w:ind w:left="5095" w:hanging="180"/>
      </w:pPr>
    </w:lvl>
    <w:lvl w:ilvl="6" w:tplc="300A000F" w:tentative="1">
      <w:start w:val="1"/>
      <w:numFmt w:val="decimal"/>
      <w:lvlText w:val="%7."/>
      <w:lvlJc w:val="left"/>
      <w:pPr>
        <w:ind w:left="5815" w:hanging="360"/>
      </w:pPr>
    </w:lvl>
    <w:lvl w:ilvl="7" w:tplc="300A0019" w:tentative="1">
      <w:start w:val="1"/>
      <w:numFmt w:val="lowerLetter"/>
      <w:lvlText w:val="%8."/>
      <w:lvlJc w:val="left"/>
      <w:pPr>
        <w:ind w:left="6535" w:hanging="360"/>
      </w:pPr>
    </w:lvl>
    <w:lvl w:ilvl="8" w:tplc="300A001B" w:tentative="1">
      <w:start w:val="1"/>
      <w:numFmt w:val="lowerRoman"/>
      <w:lvlText w:val="%9."/>
      <w:lvlJc w:val="right"/>
      <w:pPr>
        <w:ind w:left="7255" w:hanging="180"/>
      </w:pPr>
    </w:lvl>
  </w:abstractNum>
  <w:abstractNum w:abstractNumId="168" w15:restartNumberingAfterBreak="0">
    <w:nsid w:val="32E24535"/>
    <w:multiLevelType w:val="hybridMultilevel"/>
    <w:tmpl w:val="9296F68C"/>
    <w:lvl w:ilvl="0" w:tplc="1BB2054C">
      <w:start w:val="1"/>
      <w:numFmt w:val="bullet"/>
      <w:lvlText w:val=""/>
      <w:lvlJc w:val="left"/>
      <w:pPr>
        <w:ind w:left="1068" w:hanging="360"/>
      </w:pPr>
      <w:rPr>
        <w:rFonts w:ascii="Symbol" w:hAnsi="Symbol" w:hint="default"/>
      </w:rPr>
    </w:lvl>
    <w:lvl w:ilvl="1" w:tplc="B3D0E56E">
      <w:start w:val="1"/>
      <w:numFmt w:val="bullet"/>
      <w:lvlText w:val="o"/>
      <w:lvlJc w:val="left"/>
      <w:pPr>
        <w:ind w:left="1788" w:hanging="360"/>
      </w:pPr>
      <w:rPr>
        <w:rFonts w:ascii="Courier New" w:hAnsi="Courier New" w:hint="default"/>
      </w:rPr>
    </w:lvl>
    <w:lvl w:ilvl="2" w:tplc="46408DE8" w:tentative="1">
      <w:start w:val="1"/>
      <w:numFmt w:val="bullet"/>
      <w:lvlText w:val=""/>
      <w:lvlJc w:val="left"/>
      <w:pPr>
        <w:ind w:left="2508" w:hanging="360"/>
      </w:pPr>
      <w:rPr>
        <w:rFonts w:ascii="Wingdings" w:hAnsi="Wingdings" w:hint="default"/>
      </w:rPr>
    </w:lvl>
    <w:lvl w:ilvl="3" w:tplc="A7F269EA" w:tentative="1">
      <w:start w:val="1"/>
      <w:numFmt w:val="bullet"/>
      <w:lvlText w:val=""/>
      <w:lvlJc w:val="left"/>
      <w:pPr>
        <w:ind w:left="3228" w:hanging="360"/>
      </w:pPr>
      <w:rPr>
        <w:rFonts w:ascii="Symbol" w:hAnsi="Symbol" w:hint="default"/>
      </w:rPr>
    </w:lvl>
    <w:lvl w:ilvl="4" w:tplc="D2BCF93A" w:tentative="1">
      <w:start w:val="1"/>
      <w:numFmt w:val="bullet"/>
      <w:lvlText w:val="o"/>
      <w:lvlJc w:val="left"/>
      <w:pPr>
        <w:ind w:left="3948" w:hanging="360"/>
      </w:pPr>
      <w:rPr>
        <w:rFonts w:ascii="Courier New" w:hAnsi="Courier New" w:hint="default"/>
      </w:rPr>
    </w:lvl>
    <w:lvl w:ilvl="5" w:tplc="AF68C2CC" w:tentative="1">
      <w:start w:val="1"/>
      <w:numFmt w:val="bullet"/>
      <w:lvlText w:val=""/>
      <w:lvlJc w:val="left"/>
      <w:pPr>
        <w:ind w:left="4668" w:hanging="360"/>
      </w:pPr>
      <w:rPr>
        <w:rFonts w:ascii="Wingdings" w:hAnsi="Wingdings" w:hint="default"/>
      </w:rPr>
    </w:lvl>
    <w:lvl w:ilvl="6" w:tplc="A1141050" w:tentative="1">
      <w:start w:val="1"/>
      <w:numFmt w:val="bullet"/>
      <w:lvlText w:val=""/>
      <w:lvlJc w:val="left"/>
      <w:pPr>
        <w:ind w:left="5388" w:hanging="360"/>
      </w:pPr>
      <w:rPr>
        <w:rFonts w:ascii="Symbol" w:hAnsi="Symbol" w:hint="default"/>
      </w:rPr>
    </w:lvl>
    <w:lvl w:ilvl="7" w:tplc="4566A592" w:tentative="1">
      <w:start w:val="1"/>
      <w:numFmt w:val="bullet"/>
      <w:lvlText w:val="o"/>
      <w:lvlJc w:val="left"/>
      <w:pPr>
        <w:ind w:left="6108" w:hanging="360"/>
      </w:pPr>
      <w:rPr>
        <w:rFonts w:ascii="Courier New" w:hAnsi="Courier New" w:hint="default"/>
      </w:rPr>
    </w:lvl>
    <w:lvl w:ilvl="8" w:tplc="56381DBC" w:tentative="1">
      <w:start w:val="1"/>
      <w:numFmt w:val="bullet"/>
      <w:lvlText w:val=""/>
      <w:lvlJc w:val="left"/>
      <w:pPr>
        <w:ind w:left="6828" w:hanging="360"/>
      </w:pPr>
      <w:rPr>
        <w:rFonts w:ascii="Wingdings" w:hAnsi="Wingdings" w:hint="default"/>
      </w:rPr>
    </w:lvl>
  </w:abstractNum>
  <w:abstractNum w:abstractNumId="169" w15:restartNumberingAfterBreak="0">
    <w:nsid w:val="330460D5"/>
    <w:multiLevelType w:val="hybridMultilevel"/>
    <w:tmpl w:val="1EE80740"/>
    <w:lvl w:ilvl="0" w:tplc="9E14EA3E">
      <w:start w:val="1"/>
      <w:numFmt w:val="lowerLetter"/>
      <w:lvlText w:val="(%1)"/>
      <w:lvlJc w:val="left"/>
      <w:pPr>
        <w:tabs>
          <w:tab w:val="num" w:pos="720"/>
        </w:tabs>
        <w:ind w:left="720" w:hanging="360"/>
      </w:pPr>
      <w:rPr>
        <w:rFonts w:hint="default"/>
        <w:b w:val="0"/>
        <w:i w:val="0"/>
        <w:color w:val="auto"/>
        <w:sz w:val="22"/>
        <w:szCs w:val="22"/>
        <w:u w:val="none"/>
      </w:rPr>
    </w:lvl>
    <w:lvl w:ilvl="1" w:tplc="41A819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334C2AF2"/>
    <w:multiLevelType w:val="hybridMultilevel"/>
    <w:tmpl w:val="6548D32E"/>
    <w:lvl w:ilvl="0" w:tplc="300A0001">
      <w:start w:val="1"/>
      <w:numFmt w:val="bullet"/>
      <w:lvlText w:val=""/>
      <w:lvlJc w:val="left"/>
      <w:pPr>
        <w:ind w:left="3195" w:hanging="360"/>
      </w:pPr>
      <w:rPr>
        <w:rFonts w:ascii="Symbol" w:hAnsi="Symbol" w:hint="default"/>
      </w:rPr>
    </w:lvl>
    <w:lvl w:ilvl="1" w:tplc="300A0003">
      <w:start w:val="1"/>
      <w:numFmt w:val="bullet"/>
      <w:lvlText w:val="o"/>
      <w:lvlJc w:val="left"/>
      <w:pPr>
        <w:ind w:left="3915" w:hanging="360"/>
      </w:pPr>
      <w:rPr>
        <w:rFonts w:ascii="Courier New" w:hAnsi="Courier New" w:cs="Courier New" w:hint="default"/>
      </w:rPr>
    </w:lvl>
    <w:lvl w:ilvl="2" w:tplc="300A0005" w:tentative="1">
      <w:start w:val="1"/>
      <w:numFmt w:val="bullet"/>
      <w:lvlText w:val=""/>
      <w:lvlJc w:val="left"/>
      <w:pPr>
        <w:ind w:left="4635" w:hanging="360"/>
      </w:pPr>
      <w:rPr>
        <w:rFonts w:ascii="Wingdings" w:hAnsi="Wingdings" w:hint="default"/>
      </w:rPr>
    </w:lvl>
    <w:lvl w:ilvl="3" w:tplc="300A0001" w:tentative="1">
      <w:start w:val="1"/>
      <w:numFmt w:val="bullet"/>
      <w:lvlText w:val=""/>
      <w:lvlJc w:val="left"/>
      <w:pPr>
        <w:ind w:left="5355" w:hanging="360"/>
      </w:pPr>
      <w:rPr>
        <w:rFonts w:ascii="Symbol" w:hAnsi="Symbol" w:hint="default"/>
      </w:rPr>
    </w:lvl>
    <w:lvl w:ilvl="4" w:tplc="300A0003" w:tentative="1">
      <w:start w:val="1"/>
      <w:numFmt w:val="bullet"/>
      <w:lvlText w:val="o"/>
      <w:lvlJc w:val="left"/>
      <w:pPr>
        <w:ind w:left="6075" w:hanging="360"/>
      </w:pPr>
      <w:rPr>
        <w:rFonts w:ascii="Courier New" w:hAnsi="Courier New" w:cs="Courier New" w:hint="default"/>
      </w:rPr>
    </w:lvl>
    <w:lvl w:ilvl="5" w:tplc="300A0005" w:tentative="1">
      <w:start w:val="1"/>
      <w:numFmt w:val="bullet"/>
      <w:lvlText w:val=""/>
      <w:lvlJc w:val="left"/>
      <w:pPr>
        <w:ind w:left="6795" w:hanging="360"/>
      </w:pPr>
      <w:rPr>
        <w:rFonts w:ascii="Wingdings" w:hAnsi="Wingdings" w:hint="default"/>
      </w:rPr>
    </w:lvl>
    <w:lvl w:ilvl="6" w:tplc="300A0001" w:tentative="1">
      <w:start w:val="1"/>
      <w:numFmt w:val="bullet"/>
      <w:lvlText w:val=""/>
      <w:lvlJc w:val="left"/>
      <w:pPr>
        <w:ind w:left="7515" w:hanging="360"/>
      </w:pPr>
      <w:rPr>
        <w:rFonts w:ascii="Symbol" w:hAnsi="Symbol" w:hint="default"/>
      </w:rPr>
    </w:lvl>
    <w:lvl w:ilvl="7" w:tplc="300A0003" w:tentative="1">
      <w:start w:val="1"/>
      <w:numFmt w:val="bullet"/>
      <w:lvlText w:val="o"/>
      <w:lvlJc w:val="left"/>
      <w:pPr>
        <w:ind w:left="8235" w:hanging="360"/>
      </w:pPr>
      <w:rPr>
        <w:rFonts w:ascii="Courier New" w:hAnsi="Courier New" w:cs="Courier New" w:hint="default"/>
      </w:rPr>
    </w:lvl>
    <w:lvl w:ilvl="8" w:tplc="300A0005" w:tentative="1">
      <w:start w:val="1"/>
      <w:numFmt w:val="bullet"/>
      <w:lvlText w:val=""/>
      <w:lvlJc w:val="left"/>
      <w:pPr>
        <w:ind w:left="8955" w:hanging="360"/>
      </w:pPr>
      <w:rPr>
        <w:rFonts w:ascii="Wingdings" w:hAnsi="Wingdings" w:hint="default"/>
      </w:rPr>
    </w:lvl>
  </w:abstractNum>
  <w:abstractNum w:abstractNumId="171" w15:restartNumberingAfterBreak="0">
    <w:nsid w:val="334C2F1C"/>
    <w:multiLevelType w:val="hybridMultilevel"/>
    <w:tmpl w:val="5DA04D9C"/>
    <w:lvl w:ilvl="0" w:tplc="A816E01A">
      <w:start w:val="1"/>
      <w:numFmt w:val="lowerLetter"/>
      <w:lvlText w:val="%1."/>
      <w:lvlJc w:val="left"/>
      <w:pPr>
        <w:ind w:left="2203" w:hanging="360"/>
      </w:pPr>
      <w:rPr>
        <w:rFonts w:hint="default"/>
        <w:w w:val="100"/>
        <w:lang w:val="es-ES" w:eastAsia="en-US" w:bidi="ar-SA"/>
      </w:rPr>
    </w:lvl>
    <w:lvl w:ilvl="1" w:tplc="FFFFFFFF">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172" w15:restartNumberingAfterBreak="0">
    <w:nsid w:val="33783A89"/>
    <w:multiLevelType w:val="hybridMultilevel"/>
    <w:tmpl w:val="797AB858"/>
    <w:lvl w:ilvl="0" w:tplc="FA74BDD0">
      <w:start w:val="1"/>
      <w:numFmt w:val="decimal"/>
      <w:lvlText w:val="3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3E939C4"/>
    <w:multiLevelType w:val="multilevel"/>
    <w:tmpl w:val="B04E237E"/>
    <w:lvl w:ilvl="0">
      <w:start w:val="1"/>
      <w:numFmt w:val="lowerLetter"/>
      <w:lvlText w:val="%1."/>
      <w:lvlJc w:val="left"/>
      <w:pPr>
        <w:ind w:left="3054" w:hanging="360"/>
      </w:pPr>
    </w:lvl>
    <w:lvl w:ilvl="1">
      <w:start w:val="1"/>
      <w:numFmt w:val="lowerLetter"/>
      <w:lvlText w:val="%2."/>
      <w:lvlJc w:val="left"/>
      <w:pPr>
        <w:ind w:left="3684" w:hanging="360"/>
      </w:pPr>
    </w:lvl>
    <w:lvl w:ilvl="2">
      <w:start w:val="1"/>
      <w:numFmt w:val="lowerRoman"/>
      <w:lvlText w:val="%3."/>
      <w:lvlJc w:val="right"/>
      <w:pPr>
        <w:ind w:left="4404" w:hanging="180"/>
      </w:pPr>
    </w:lvl>
    <w:lvl w:ilvl="3">
      <w:start w:val="1"/>
      <w:numFmt w:val="decimal"/>
      <w:lvlText w:val="%4."/>
      <w:lvlJc w:val="left"/>
      <w:pPr>
        <w:ind w:left="5124" w:hanging="360"/>
      </w:pPr>
    </w:lvl>
    <w:lvl w:ilvl="4">
      <w:start w:val="1"/>
      <w:numFmt w:val="lowerLetter"/>
      <w:lvlText w:val="%5."/>
      <w:lvlJc w:val="left"/>
      <w:pPr>
        <w:ind w:left="5844" w:hanging="360"/>
      </w:pPr>
    </w:lvl>
    <w:lvl w:ilvl="5">
      <w:start w:val="1"/>
      <w:numFmt w:val="lowerRoman"/>
      <w:lvlText w:val="%6."/>
      <w:lvlJc w:val="right"/>
      <w:pPr>
        <w:ind w:left="6564" w:hanging="180"/>
      </w:pPr>
    </w:lvl>
    <w:lvl w:ilvl="6">
      <w:start w:val="1"/>
      <w:numFmt w:val="decimal"/>
      <w:lvlText w:val="%7."/>
      <w:lvlJc w:val="left"/>
      <w:pPr>
        <w:ind w:left="7284" w:hanging="360"/>
      </w:pPr>
    </w:lvl>
    <w:lvl w:ilvl="7">
      <w:start w:val="1"/>
      <w:numFmt w:val="lowerLetter"/>
      <w:lvlText w:val="%8."/>
      <w:lvlJc w:val="left"/>
      <w:pPr>
        <w:ind w:left="8004" w:hanging="360"/>
      </w:pPr>
    </w:lvl>
    <w:lvl w:ilvl="8">
      <w:start w:val="1"/>
      <w:numFmt w:val="lowerRoman"/>
      <w:lvlText w:val="%9."/>
      <w:lvlJc w:val="right"/>
      <w:pPr>
        <w:ind w:left="8724" w:hanging="180"/>
      </w:pPr>
    </w:lvl>
  </w:abstractNum>
  <w:abstractNum w:abstractNumId="174"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75"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44A2777"/>
    <w:multiLevelType w:val="hybridMultilevel"/>
    <w:tmpl w:val="765C4028"/>
    <w:lvl w:ilvl="0" w:tplc="300A0001">
      <w:start w:val="1"/>
      <w:numFmt w:val="bullet"/>
      <w:lvlText w:val=""/>
      <w:lvlJc w:val="left"/>
      <w:pPr>
        <w:ind w:left="3552" w:hanging="360"/>
      </w:pPr>
      <w:rPr>
        <w:rFonts w:ascii="Symbol" w:hAnsi="Symbol" w:hint="default"/>
      </w:rPr>
    </w:lvl>
    <w:lvl w:ilvl="1" w:tplc="300A0003" w:tentative="1">
      <w:start w:val="1"/>
      <w:numFmt w:val="bullet"/>
      <w:lvlText w:val="o"/>
      <w:lvlJc w:val="left"/>
      <w:pPr>
        <w:ind w:left="4272" w:hanging="360"/>
      </w:pPr>
      <w:rPr>
        <w:rFonts w:ascii="Courier New" w:hAnsi="Courier New" w:cs="Courier New" w:hint="default"/>
      </w:rPr>
    </w:lvl>
    <w:lvl w:ilvl="2" w:tplc="300A0005" w:tentative="1">
      <w:start w:val="1"/>
      <w:numFmt w:val="bullet"/>
      <w:lvlText w:val=""/>
      <w:lvlJc w:val="left"/>
      <w:pPr>
        <w:ind w:left="4992" w:hanging="360"/>
      </w:pPr>
      <w:rPr>
        <w:rFonts w:ascii="Wingdings" w:hAnsi="Wingdings" w:hint="default"/>
      </w:rPr>
    </w:lvl>
    <w:lvl w:ilvl="3" w:tplc="300A0001" w:tentative="1">
      <w:start w:val="1"/>
      <w:numFmt w:val="bullet"/>
      <w:lvlText w:val=""/>
      <w:lvlJc w:val="left"/>
      <w:pPr>
        <w:ind w:left="5712" w:hanging="360"/>
      </w:pPr>
      <w:rPr>
        <w:rFonts w:ascii="Symbol" w:hAnsi="Symbol" w:hint="default"/>
      </w:rPr>
    </w:lvl>
    <w:lvl w:ilvl="4" w:tplc="300A0003" w:tentative="1">
      <w:start w:val="1"/>
      <w:numFmt w:val="bullet"/>
      <w:lvlText w:val="o"/>
      <w:lvlJc w:val="left"/>
      <w:pPr>
        <w:ind w:left="6432" w:hanging="360"/>
      </w:pPr>
      <w:rPr>
        <w:rFonts w:ascii="Courier New" w:hAnsi="Courier New" w:cs="Courier New" w:hint="default"/>
      </w:rPr>
    </w:lvl>
    <w:lvl w:ilvl="5" w:tplc="300A0005" w:tentative="1">
      <w:start w:val="1"/>
      <w:numFmt w:val="bullet"/>
      <w:lvlText w:val=""/>
      <w:lvlJc w:val="left"/>
      <w:pPr>
        <w:ind w:left="7152" w:hanging="360"/>
      </w:pPr>
      <w:rPr>
        <w:rFonts w:ascii="Wingdings" w:hAnsi="Wingdings" w:hint="default"/>
      </w:rPr>
    </w:lvl>
    <w:lvl w:ilvl="6" w:tplc="300A0001" w:tentative="1">
      <w:start w:val="1"/>
      <w:numFmt w:val="bullet"/>
      <w:lvlText w:val=""/>
      <w:lvlJc w:val="left"/>
      <w:pPr>
        <w:ind w:left="7872" w:hanging="360"/>
      </w:pPr>
      <w:rPr>
        <w:rFonts w:ascii="Symbol" w:hAnsi="Symbol" w:hint="default"/>
      </w:rPr>
    </w:lvl>
    <w:lvl w:ilvl="7" w:tplc="300A0003" w:tentative="1">
      <w:start w:val="1"/>
      <w:numFmt w:val="bullet"/>
      <w:lvlText w:val="o"/>
      <w:lvlJc w:val="left"/>
      <w:pPr>
        <w:ind w:left="8592" w:hanging="360"/>
      </w:pPr>
      <w:rPr>
        <w:rFonts w:ascii="Courier New" w:hAnsi="Courier New" w:cs="Courier New" w:hint="default"/>
      </w:rPr>
    </w:lvl>
    <w:lvl w:ilvl="8" w:tplc="300A0005" w:tentative="1">
      <w:start w:val="1"/>
      <w:numFmt w:val="bullet"/>
      <w:lvlText w:val=""/>
      <w:lvlJc w:val="left"/>
      <w:pPr>
        <w:ind w:left="9312" w:hanging="360"/>
      </w:pPr>
      <w:rPr>
        <w:rFonts w:ascii="Wingdings" w:hAnsi="Wingdings" w:hint="default"/>
      </w:rPr>
    </w:lvl>
  </w:abstractNum>
  <w:abstractNum w:abstractNumId="177" w15:restartNumberingAfterBreak="0">
    <w:nsid w:val="34670BBD"/>
    <w:multiLevelType w:val="hybridMultilevel"/>
    <w:tmpl w:val="0A6C4AAA"/>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8" w15:restartNumberingAfterBreak="0">
    <w:nsid w:val="3471F96E"/>
    <w:multiLevelType w:val="hybridMultilevel"/>
    <w:tmpl w:val="64D83B1C"/>
    <w:lvl w:ilvl="0" w:tplc="1B3EA194">
      <w:start w:val="1"/>
      <w:numFmt w:val="bullet"/>
      <w:lvlText w:val="·"/>
      <w:lvlJc w:val="left"/>
      <w:pPr>
        <w:ind w:left="720" w:hanging="360"/>
      </w:pPr>
      <w:rPr>
        <w:rFonts w:ascii="Symbol" w:hAnsi="Symbol" w:hint="default"/>
      </w:rPr>
    </w:lvl>
    <w:lvl w:ilvl="1" w:tplc="22D80692">
      <w:start w:val="1"/>
      <w:numFmt w:val="bullet"/>
      <w:lvlText w:val="o"/>
      <w:lvlJc w:val="left"/>
      <w:pPr>
        <w:ind w:left="1440" w:hanging="360"/>
      </w:pPr>
      <w:rPr>
        <w:rFonts w:ascii="Courier New" w:hAnsi="Courier New" w:hint="default"/>
      </w:rPr>
    </w:lvl>
    <w:lvl w:ilvl="2" w:tplc="4866ECBA">
      <w:start w:val="1"/>
      <w:numFmt w:val="bullet"/>
      <w:lvlText w:val=""/>
      <w:lvlJc w:val="left"/>
      <w:pPr>
        <w:ind w:left="2160" w:hanging="360"/>
      </w:pPr>
      <w:rPr>
        <w:rFonts w:ascii="Wingdings" w:hAnsi="Wingdings" w:hint="default"/>
      </w:rPr>
    </w:lvl>
    <w:lvl w:ilvl="3" w:tplc="22D21CA4">
      <w:start w:val="1"/>
      <w:numFmt w:val="bullet"/>
      <w:lvlText w:val=""/>
      <w:lvlJc w:val="left"/>
      <w:pPr>
        <w:ind w:left="2880" w:hanging="360"/>
      </w:pPr>
      <w:rPr>
        <w:rFonts w:ascii="Symbol" w:hAnsi="Symbol" w:hint="default"/>
      </w:rPr>
    </w:lvl>
    <w:lvl w:ilvl="4" w:tplc="120801FC">
      <w:start w:val="1"/>
      <w:numFmt w:val="bullet"/>
      <w:lvlText w:val="o"/>
      <w:lvlJc w:val="left"/>
      <w:pPr>
        <w:ind w:left="3600" w:hanging="360"/>
      </w:pPr>
      <w:rPr>
        <w:rFonts w:ascii="Courier New" w:hAnsi="Courier New" w:hint="default"/>
      </w:rPr>
    </w:lvl>
    <w:lvl w:ilvl="5" w:tplc="6AE43D06">
      <w:start w:val="1"/>
      <w:numFmt w:val="bullet"/>
      <w:lvlText w:val=""/>
      <w:lvlJc w:val="left"/>
      <w:pPr>
        <w:ind w:left="4320" w:hanging="360"/>
      </w:pPr>
      <w:rPr>
        <w:rFonts w:ascii="Wingdings" w:hAnsi="Wingdings" w:hint="default"/>
      </w:rPr>
    </w:lvl>
    <w:lvl w:ilvl="6" w:tplc="8AE055F4">
      <w:start w:val="1"/>
      <w:numFmt w:val="bullet"/>
      <w:lvlText w:val=""/>
      <w:lvlJc w:val="left"/>
      <w:pPr>
        <w:ind w:left="5040" w:hanging="360"/>
      </w:pPr>
      <w:rPr>
        <w:rFonts w:ascii="Symbol" w:hAnsi="Symbol" w:hint="default"/>
      </w:rPr>
    </w:lvl>
    <w:lvl w:ilvl="7" w:tplc="F4F02252">
      <w:start w:val="1"/>
      <w:numFmt w:val="bullet"/>
      <w:lvlText w:val="o"/>
      <w:lvlJc w:val="left"/>
      <w:pPr>
        <w:ind w:left="5760" w:hanging="360"/>
      </w:pPr>
      <w:rPr>
        <w:rFonts w:ascii="Courier New" w:hAnsi="Courier New" w:hint="default"/>
      </w:rPr>
    </w:lvl>
    <w:lvl w:ilvl="8" w:tplc="251854BC">
      <w:start w:val="1"/>
      <w:numFmt w:val="bullet"/>
      <w:lvlText w:val=""/>
      <w:lvlJc w:val="left"/>
      <w:pPr>
        <w:ind w:left="6480" w:hanging="360"/>
      </w:pPr>
      <w:rPr>
        <w:rFonts w:ascii="Wingdings" w:hAnsi="Wingdings" w:hint="default"/>
      </w:rPr>
    </w:lvl>
  </w:abstractNum>
  <w:abstractNum w:abstractNumId="179" w15:restartNumberingAfterBreak="0">
    <w:nsid w:val="34741227"/>
    <w:multiLevelType w:val="hybridMultilevel"/>
    <w:tmpl w:val="16CAA90C"/>
    <w:lvl w:ilvl="0" w:tplc="0296B596">
      <w:start w:val="1"/>
      <w:numFmt w:val="decimal"/>
      <w:lvlText w:val="●"/>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180" w15:restartNumberingAfterBreak="0">
    <w:nsid w:val="34F54CEA"/>
    <w:multiLevelType w:val="hybridMultilevel"/>
    <w:tmpl w:val="7B922600"/>
    <w:lvl w:ilvl="0" w:tplc="23E8D2B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3520E178"/>
    <w:multiLevelType w:val="hybridMultilevel"/>
    <w:tmpl w:val="2FCCEB48"/>
    <w:lvl w:ilvl="0" w:tplc="DF44EEF6">
      <w:start w:val="1"/>
      <w:numFmt w:val="bullet"/>
      <w:lvlText w:val="·"/>
      <w:lvlJc w:val="left"/>
      <w:pPr>
        <w:ind w:left="720" w:hanging="360"/>
      </w:pPr>
      <w:rPr>
        <w:rFonts w:ascii="Symbol" w:hAnsi="Symbol" w:hint="default"/>
      </w:rPr>
    </w:lvl>
    <w:lvl w:ilvl="1" w:tplc="0AB078A4">
      <w:start w:val="1"/>
      <w:numFmt w:val="bullet"/>
      <w:lvlText w:val="o"/>
      <w:lvlJc w:val="left"/>
      <w:pPr>
        <w:ind w:left="1440" w:hanging="360"/>
      </w:pPr>
      <w:rPr>
        <w:rFonts w:ascii="Courier New" w:hAnsi="Courier New" w:hint="default"/>
      </w:rPr>
    </w:lvl>
    <w:lvl w:ilvl="2" w:tplc="972C01A2">
      <w:start w:val="1"/>
      <w:numFmt w:val="bullet"/>
      <w:lvlText w:val=""/>
      <w:lvlJc w:val="left"/>
      <w:pPr>
        <w:ind w:left="2160" w:hanging="360"/>
      </w:pPr>
      <w:rPr>
        <w:rFonts w:ascii="Wingdings" w:hAnsi="Wingdings" w:hint="default"/>
      </w:rPr>
    </w:lvl>
    <w:lvl w:ilvl="3" w:tplc="F5428028">
      <w:start w:val="1"/>
      <w:numFmt w:val="bullet"/>
      <w:lvlText w:val=""/>
      <w:lvlJc w:val="left"/>
      <w:pPr>
        <w:ind w:left="2880" w:hanging="360"/>
      </w:pPr>
      <w:rPr>
        <w:rFonts w:ascii="Symbol" w:hAnsi="Symbol" w:hint="default"/>
      </w:rPr>
    </w:lvl>
    <w:lvl w:ilvl="4" w:tplc="1CFEB620">
      <w:start w:val="1"/>
      <w:numFmt w:val="bullet"/>
      <w:lvlText w:val="o"/>
      <w:lvlJc w:val="left"/>
      <w:pPr>
        <w:ind w:left="3600" w:hanging="360"/>
      </w:pPr>
      <w:rPr>
        <w:rFonts w:ascii="Courier New" w:hAnsi="Courier New" w:hint="default"/>
      </w:rPr>
    </w:lvl>
    <w:lvl w:ilvl="5" w:tplc="6BEEE17C">
      <w:start w:val="1"/>
      <w:numFmt w:val="bullet"/>
      <w:lvlText w:val=""/>
      <w:lvlJc w:val="left"/>
      <w:pPr>
        <w:ind w:left="4320" w:hanging="360"/>
      </w:pPr>
      <w:rPr>
        <w:rFonts w:ascii="Wingdings" w:hAnsi="Wingdings" w:hint="default"/>
      </w:rPr>
    </w:lvl>
    <w:lvl w:ilvl="6" w:tplc="D4323EEE">
      <w:start w:val="1"/>
      <w:numFmt w:val="bullet"/>
      <w:lvlText w:val=""/>
      <w:lvlJc w:val="left"/>
      <w:pPr>
        <w:ind w:left="5040" w:hanging="360"/>
      </w:pPr>
      <w:rPr>
        <w:rFonts w:ascii="Symbol" w:hAnsi="Symbol" w:hint="default"/>
      </w:rPr>
    </w:lvl>
    <w:lvl w:ilvl="7" w:tplc="B2EA70C2">
      <w:start w:val="1"/>
      <w:numFmt w:val="bullet"/>
      <w:lvlText w:val="o"/>
      <w:lvlJc w:val="left"/>
      <w:pPr>
        <w:ind w:left="5760" w:hanging="360"/>
      </w:pPr>
      <w:rPr>
        <w:rFonts w:ascii="Courier New" w:hAnsi="Courier New" w:hint="default"/>
      </w:rPr>
    </w:lvl>
    <w:lvl w:ilvl="8" w:tplc="428AFDCE">
      <w:start w:val="1"/>
      <w:numFmt w:val="bullet"/>
      <w:lvlText w:val=""/>
      <w:lvlJc w:val="left"/>
      <w:pPr>
        <w:ind w:left="6480" w:hanging="360"/>
      </w:pPr>
      <w:rPr>
        <w:rFonts w:ascii="Wingdings" w:hAnsi="Wingdings" w:hint="default"/>
      </w:rPr>
    </w:lvl>
  </w:abstractNum>
  <w:abstractNum w:abstractNumId="182" w15:restartNumberingAfterBreak="0">
    <w:nsid w:val="3523334D"/>
    <w:multiLevelType w:val="hybridMultilevel"/>
    <w:tmpl w:val="8782217C"/>
    <w:lvl w:ilvl="0" w:tplc="300A0001">
      <w:start w:val="1"/>
      <w:numFmt w:val="bullet"/>
      <w:lvlText w:val=""/>
      <w:lvlJc w:val="left"/>
      <w:pPr>
        <w:ind w:left="2061"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83" w15:restartNumberingAfterBreak="0">
    <w:nsid w:val="355420C7"/>
    <w:multiLevelType w:val="hybridMultilevel"/>
    <w:tmpl w:val="BE4282D8"/>
    <w:lvl w:ilvl="0" w:tplc="8C5E7C32">
      <w:start w:val="1"/>
      <w:numFmt w:val="bullet"/>
      <w:lvlText w:val="-"/>
      <w:lvlJc w:val="left"/>
      <w:pPr>
        <w:ind w:left="3762" w:hanging="360"/>
      </w:pPr>
      <w:rPr>
        <w:rFonts w:ascii="Calibri" w:hAnsi="Calibri" w:hint="default"/>
      </w:rPr>
    </w:lvl>
    <w:lvl w:ilvl="1" w:tplc="FFFFFFFF" w:tentative="1">
      <w:start w:val="1"/>
      <w:numFmt w:val="bullet"/>
      <w:lvlText w:val="o"/>
      <w:lvlJc w:val="left"/>
      <w:pPr>
        <w:ind w:left="4482" w:hanging="360"/>
      </w:pPr>
      <w:rPr>
        <w:rFonts w:ascii="Courier New" w:hAnsi="Courier New" w:cs="Courier New" w:hint="default"/>
      </w:rPr>
    </w:lvl>
    <w:lvl w:ilvl="2" w:tplc="FFFFFFFF" w:tentative="1">
      <w:start w:val="1"/>
      <w:numFmt w:val="bullet"/>
      <w:lvlText w:val=""/>
      <w:lvlJc w:val="left"/>
      <w:pPr>
        <w:ind w:left="5202" w:hanging="360"/>
      </w:pPr>
      <w:rPr>
        <w:rFonts w:ascii="Wingdings" w:hAnsi="Wingdings" w:hint="default"/>
      </w:rPr>
    </w:lvl>
    <w:lvl w:ilvl="3" w:tplc="FFFFFFFF" w:tentative="1">
      <w:start w:val="1"/>
      <w:numFmt w:val="bullet"/>
      <w:lvlText w:val=""/>
      <w:lvlJc w:val="left"/>
      <w:pPr>
        <w:ind w:left="5922" w:hanging="360"/>
      </w:pPr>
      <w:rPr>
        <w:rFonts w:ascii="Symbol" w:hAnsi="Symbol" w:hint="default"/>
      </w:rPr>
    </w:lvl>
    <w:lvl w:ilvl="4" w:tplc="FFFFFFFF" w:tentative="1">
      <w:start w:val="1"/>
      <w:numFmt w:val="bullet"/>
      <w:lvlText w:val="o"/>
      <w:lvlJc w:val="left"/>
      <w:pPr>
        <w:ind w:left="6642" w:hanging="360"/>
      </w:pPr>
      <w:rPr>
        <w:rFonts w:ascii="Courier New" w:hAnsi="Courier New" w:cs="Courier New" w:hint="default"/>
      </w:rPr>
    </w:lvl>
    <w:lvl w:ilvl="5" w:tplc="FFFFFFFF" w:tentative="1">
      <w:start w:val="1"/>
      <w:numFmt w:val="bullet"/>
      <w:lvlText w:val=""/>
      <w:lvlJc w:val="left"/>
      <w:pPr>
        <w:ind w:left="7362" w:hanging="360"/>
      </w:pPr>
      <w:rPr>
        <w:rFonts w:ascii="Wingdings" w:hAnsi="Wingdings" w:hint="default"/>
      </w:rPr>
    </w:lvl>
    <w:lvl w:ilvl="6" w:tplc="FFFFFFFF" w:tentative="1">
      <w:start w:val="1"/>
      <w:numFmt w:val="bullet"/>
      <w:lvlText w:val=""/>
      <w:lvlJc w:val="left"/>
      <w:pPr>
        <w:ind w:left="8082" w:hanging="360"/>
      </w:pPr>
      <w:rPr>
        <w:rFonts w:ascii="Symbol" w:hAnsi="Symbol" w:hint="default"/>
      </w:rPr>
    </w:lvl>
    <w:lvl w:ilvl="7" w:tplc="FFFFFFFF" w:tentative="1">
      <w:start w:val="1"/>
      <w:numFmt w:val="bullet"/>
      <w:lvlText w:val="o"/>
      <w:lvlJc w:val="left"/>
      <w:pPr>
        <w:ind w:left="8802" w:hanging="360"/>
      </w:pPr>
      <w:rPr>
        <w:rFonts w:ascii="Courier New" w:hAnsi="Courier New" w:cs="Courier New" w:hint="default"/>
      </w:rPr>
    </w:lvl>
    <w:lvl w:ilvl="8" w:tplc="FFFFFFFF" w:tentative="1">
      <w:start w:val="1"/>
      <w:numFmt w:val="bullet"/>
      <w:lvlText w:val=""/>
      <w:lvlJc w:val="left"/>
      <w:pPr>
        <w:ind w:left="9522" w:hanging="360"/>
      </w:pPr>
      <w:rPr>
        <w:rFonts w:ascii="Wingdings" w:hAnsi="Wingdings" w:hint="default"/>
      </w:rPr>
    </w:lvl>
  </w:abstractNum>
  <w:abstractNum w:abstractNumId="184" w15:restartNumberingAfterBreak="0">
    <w:nsid w:val="35B21D0B"/>
    <w:multiLevelType w:val="hybridMultilevel"/>
    <w:tmpl w:val="63C02056"/>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1DCEF202" w:tentative="1">
      <w:start w:val="1"/>
      <w:numFmt w:val="decimal"/>
      <w:lvlText w:val="%4."/>
      <w:lvlJc w:val="left"/>
      <w:pPr>
        <w:tabs>
          <w:tab w:val="num" w:pos="2880"/>
        </w:tabs>
        <w:ind w:left="2880" w:hanging="360"/>
      </w:p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185" w15:restartNumberingAfterBreak="0">
    <w:nsid w:val="35C326CA"/>
    <w:multiLevelType w:val="hybridMultilevel"/>
    <w:tmpl w:val="BEFEA434"/>
    <w:lvl w:ilvl="0" w:tplc="300A0001">
      <w:start w:val="1"/>
      <w:numFmt w:val="bullet"/>
      <w:lvlText w:val=""/>
      <w:lvlJc w:val="left"/>
      <w:pPr>
        <w:ind w:left="1429" w:hanging="360"/>
      </w:pPr>
      <w:rPr>
        <w:rFonts w:ascii="Symbol" w:hAnsi="Symbol" w:hint="default"/>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86" w15:restartNumberingAfterBreak="0">
    <w:nsid w:val="35C91C0B"/>
    <w:multiLevelType w:val="multilevel"/>
    <w:tmpl w:val="09B245F4"/>
    <w:lvl w:ilvl="0">
      <w:start w:val="1"/>
      <w:numFmt w:val="bullet"/>
      <w:lvlText w:val="●"/>
      <w:lvlJc w:val="left"/>
      <w:pPr>
        <w:ind w:left="2136" w:hanging="360"/>
      </w:pPr>
      <w:rPr>
        <w:u w:val="none"/>
      </w:rPr>
    </w:lvl>
    <w:lvl w:ilvl="1">
      <w:numFmt w:val="bullet"/>
      <w:lvlText w:val="•"/>
      <w:lvlJc w:val="left"/>
      <w:pPr>
        <w:ind w:left="2856" w:hanging="360"/>
      </w:pPr>
      <w:rPr>
        <w:rFonts w:ascii="Times New Roman" w:eastAsia="Arial Unicode MS" w:hAnsi="Times New Roman" w:cs="Times New Roman" w:hint="default"/>
      </w:rPr>
    </w:lvl>
    <w:lvl w:ilvl="2">
      <w:start w:val="1"/>
      <w:numFmt w:val="bullet"/>
      <w:lvlText w:val="-"/>
      <w:lvlJc w:val="left"/>
      <w:pPr>
        <w:ind w:left="3762" w:hanging="360"/>
      </w:pPr>
      <w:rPr>
        <w:rFonts w:ascii="Calibri" w:hAnsi="Calibri" w:hint="default"/>
      </w:rPr>
    </w:lvl>
    <w:lvl w:ilvl="3">
      <w:start w:val="1"/>
      <w:numFmt w:val="bullet"/>
      <w:lvlText w:val="●"/>
      <w:lvlJc w:val="left"/>
      <w:pPr>
        <w:ind w:left="4296" w:hanging="360"/>
      </w:pPr>
      <w:rPr>
        <w:u w:val="none"/>
      </w:rPr>
    </w:lvl>
    <w:lvl w:ilvl="4">
      <w:start w:val="1"/>
      <w:numFmt w:val="bullet"/>
      <w:lvlText w:val="○"/>
      <w:lvlJc w:val="left"/>
      <w:pPr>
        <w:ind w:left="5016" w:hanging="360"/>
      </w:pPr>
      <w:rPr>
        <w:u w:val="none"/>
      </w:rPr>
    </w:lvl>
    <w:lvl w:ilvl="5">
      <w:start w:val="1"/>
      <w:numFmt w:val="bullet"/>
      <w:lvlText w:val="■"/>
      <w:lvlJc w:val="left"/>
      <w:pPr>
        <w:ind w:left="5736" w:hanging="360"/>
      </w:pPr>
      <w:rPr>
        <w:u w:val="none"/>
      </w:rPr>
    </w:lvl>
    <w:lvl w:ilvl="6">
      <w:start w:val="1"/>
      <w:numFmt w:val="bullet"/>
      <w:lvlText w:val="●"/>
      <w:lvlJc w:val="left"/>
      <w:pPr>
        <w:ind w:left="6456" w:hanging="360"/>
      </w:pPr>
      <w:rPr>
        <w:u w:val="none"/>
      </w:rPr>
    </w:lvl>
    <w:lvl w:ilvl="7">
      <w:start w:val="1"/>
      <w:numFmt w:val="bullet"/>
      <w:lvlText w:val="○"/>
      <w:lvlJc w:val="left"/>
      <w:pPr>
        <w:ind w:left="7176" w:hanging="360"/>
      </w:pPr>
      <w:rPr>
        <w:u w:val="none"/>
      </w:rPr>
    </w:lvl>
    <w:lvl w:ilvl="8">
      <w:start w:val="1"/>
      <w:numFmt w:val="bullet"/>
      <w:lvlText w:val="■"/>
      <w:lvlJc w:val="left"/>
      <w:pPr>
        <w:ind w:left="7896" w:hanging="360"/>
      </w:pPr>
      <w:rPr>
        <w:u w:val="none"/>
      </w:rPr>
    </w:lvl>
  </w:abstractNum>
  <w:abstractNum w:abstractNumId="187" w15:restartNumberingAfterBreak="0">
    <w:nsid w:val="360927AD"/>
    <w:multiLevelType w:val="hybridMultilevel"/>
    <w:tmpl w:val="5E0C7192"/>
    <w:lvl w:ilvl="0" w:tplc="FFFFFFFF">
      <w:start w:val="1"/>
      <w:numFmt w:val="lowerRoman"/>
      <w:lvlText w:val="(%1)"/>
      <w:lvlJc w:val="left"/>
      <w:pPr>
        <w:ind w:left="735" w:hanging="360"/>
      </w:pPr>
      <w:rPr>
        <w:rFonts w:hint="default"/>
        <w:b w:val="0"/>
        <w:bCs/>
        <w:i w:val="0"/>
        <w:iCs w:val="0"/>
        <w:lang w:val="en-AU"/>
      </w:rPr>
    </w:lvl>
    <w:lvl w:ilvl="1" w:tplc="FFFFFFFF">
      <w:start w:val="1"/>
      <w:numFmt w:val="lowerLetter"/>
      <w:lvlText w:val="%2."/>
      <w:lvlJc w:val="left"/>
      <w:pPr>
        <w:ind w:left="1455" w:hanging="360"/>
      </w:pPr>
    </w:lvl>
    <w:lvl w:ilvl="2" w:tplc="FFFFFFFF" w:tentative="1">
      <w:start w:val="1"/>
      <w:numFmt w:val="lowerRoman"/>
      <w:lvlText w:val="%3."/>
      <w:lvlJc w:val="right"/>
      <w:pPr>
        <w:ind w:left="2175" w:hanging="180"/>
      </w:pPr>
    </w:lvl>
    <w:lvl w:ilvl="3" w:tplc="FFFFFFFF" w:tentative="1">
      <w:start w:val="1"/>
      <w:numFmt w:val="decimal"/>
      <w:lvlText w:val="%4."/>
      <w:lvlJc w:val="left"/>
      <w:pPr>
        <w:ind w:left="2895" w:hanging="360"/>
      </w:pPr>
    </w:lvl>
    <w:lvl w:ilvl="4" w:tplc="FFFFFFFF" w:tentative="1">
      <w:start w:val="1"/>
      <w:numFmt w:val="lowerLetter"/>
      <w:lvlText w:val="%5."/>
      <w:lvlJc w:val="left"/>
      <w:pPr>
        <w:ind w:left="3615" w:hanging="360"/>
      </w:pPr>
    </w:lvl>
    <w:lvl w:ilvl="5" w:tplc="FFFFFFFF" w:tentative="1">
      <w:start w:val="1"/>
      <w:numFmt w:val="lowerRoman"/>
      <w:lvlText w:val="%6."/>
      <w:lvlJc w:val="right"/>
      <w:pPr>
        <w:ind w:left="4335" w:hanging="180"/>
      </w:pPr>
    </w:lvl>
    <w:lvl w:ilvl="6" w:tplc="FFFFFFFF" w:tentative="1">
      <w:start w:val="1"/>
      <w:numFmt w:val="decimal"/>
      <w:lvlText w:val="%7."/>
      <w:lvlJc w:val="left"/>
      <w:pPr>
        <w:ind w:left="5055" w:hanging="360"/>
      </w:pPr>
    </w:lvl>
    <w:lvl w:ilvl="7" w:tplc="FFFFFFFF" w:tentative="1">
      <w:start w:val="1"/>
      <w:numFmt w:val="lowerLetter"/>
      <w:lvlText w:val="%8."/>
      <w:lvlJc w:val="left"/>
      <w:pPr>
        <w:ind w:left="5775" w:hanging="360"/>
      </w:pPr>
    </w:lvl>
    <w:lvl w:ilvl="8" w:tplc="FFFFFFFF" w:tentative="1">
      <w:start w:val="1"/>
      <w:numFmt w:val="lowerRoman"/>
      <w:lvlText w:val="%9."/>
      <w:lvlJc w:val="right"/>
      <w:pPr>
        <w:ind w:left="6495" w:hanging="180"/>
      </w:pPr>
    </w:lvl>
  </w:abstractNum>
  <w:abstractNum w:abstractNumId="188" w15:restartNumberingAfterBreak="0">
    <w:nsid w:val="365768B1"/>
    <w:multiLevelType w:val="hybridMultilevel"/>
    <w:tmpl w:val="0B88E292"/>
    <w:lvl w:ilvl="0" w:tplc="FFFFFFFF">
      <w:start w:val="1"/>
      <w:numFmt w:val="lowerLetter"/>
      <w:lvlText w:val="%1."/>
      <w:lvlJc w:val="left"/>
      <w:pPr>
        <w:ind w:left="2203" w:hanging="360"/>
      </w:pPr>
      <w:rPr>
        <w:rFont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89" w15:restartNumberingAfterBreak="0">
    <w:nsid w:val="367030E2"/>
    <w:multiLevelType w:val="hybridMultilevel"/>
    <w:tmpl w:val="00806760"/>
    <w:lvl w:ilvl="0" w:tplc="300A0001">
      <w:start w:val="1"/>
      <w:numFmt w:val="bullet"/>
      <w:lvlText w:val=""/>
      <w:lvlJc w:val="left"/>
      <w:pPr>
        <w:ind w:left="3195" w:hanging="360"/>
      </w:pPr>
      <w:rPr>
        <w:rFonts w:ascii="Symbol" w:hAnsi="Symbol" w:hint="default"/>
      </w:rPr>
    </w:lvl>
    <w:lvl w:ilvl="1" w:tplc="300A0019" w:tentative="1">
      <w:start w:val="1"/>
      <w:numFmt w:val="lowerLetter"/>
      <w:lvlText w:val="%2."/>
      <w:lvlJc w:val="left"/>
      <w:pPr>
        <w:ind w:left="3915" w:hanging="360"/>
      </w:pPr>
    </w:lvl>
    <w:lvl w:ilvl="2" w:tplc="300A001B" w:tentative="1">
      <w:start w:val="1"/>
      <w:numFmt w:val="lowerRoman"/>
      <w:lvlText w:val="%3."/>
      <w:lvlJc w:val="right"/>
      <w:pPr>
        <w:ind w:left="4635" w:hanging="180"/>
      </w:pPr>
    </w:lvl>
    <w:lvl w:ilvl="3" w:tplc="300A000F" w:tentative="1">
      <w:start w:val="1"/>
      <w:numFmt w:val="decimal"/>
      <w:lvlText w:val="%4."/>
      <w:lvlJc w:val="left"/>
      <w:pPr>
        <w:ind w:left="5355" w:hanging="360"/>
      </w:pPr>
    </w:lvl>
    <w:lvl w:ilvl="4" w:tplc="300A0019" w:tentative="1">
      <w:start w:val="1"/>
      <w:numFmt w:val="lowerLetter"/>
      <w:lvlText w:val="%5."/>
      <w:lvlJc w:val="left"/>
      <w:pPr>
        <w:ind w:left="6075" w:hanging="360"/>
      </w:pPr>
    </w:lvl>
    <w:lvl w:ilvl="5" w:tplc="300A001B" w:tentative="1">
      <w:start w:val="1"/>
      <w:numFmt w:val="lowerRoman"/>
      <w:lvlText w:val="%6."/>
      <w:lvlJc w:val="right"/>
      <w:pPr>
        <w:ind w:left="6795" w:hanging="180"/>
      </w:pPr>
    </w:lvl>
    <w:lvl w:ilvl="6" w:tplc="300A000F" w:tentative="1">
      <w:start w:val="1"/>
      <w:numFmt w:val="decimal"/>
      <w:lvlText w:val="%7."/>
      <w:lvlJc w:val="left"/>
      <w:pPr>
        <w:ind w:left="7515" w:hanging="360"/>
      </w:pPr>
    </w:lvl>
    <w:lvl w:ilvl="7" w:tplc="300A0019" w:tentative="1">
      <w:start w:val="1"/>
      <w:numFmt w:val="lowerLetter"/>
      <w:lvlText w:val="%8."/>
      <w:lvlJc w:val="left"/>
      <w:pPr>
        <w:ind w:left="8235" w:hanging="360"/>
      </w:pPr>
    </w:lvl>
    <w:lvl w:ilvl="8" w:tplc="300A001B" w:tentative="1">
      <w:start w:val="1"/>
      <w:numFmt w:val="lowerRoman"/>
      <w:lvlText w:val="%9."/>
      <w:lvlJc w:val="right"/>
      <w:pPr>
        <w:ind w:left="8955" w:hanging="180"/>
      </w:pPr>
    </w:lvl>
  </w:abstractNum>
  <w:abstractNum w:abstractNumId="190" w15:restartNumberingAfterBreak="0">
    <w:nsid w:val="36977C05"/>
    <w:multiLevelType w:val="hybridMultilevel"/>
    <w:tmpl w:val="5654674E"/>
    <w:lvl w:ilvl="0" w:tplc="300A0019">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91" w15:restartNumberingAfterBreak="0">
    <w:nsid w:val="378A625C"/>
    <w:multiLevelType w:val="hybridMultilevel"/>
    <w:tmpl w:val="E35E320A"/>
    <w:lvl w:ilvl="0" w:tplc="15D4ED2C">
      <w:start w:val="1"/>
      <w:numFmt w:val="lowerLetter"/>
      <w:lvlText w:val="%1."/>
      <w:lvlJc w:val="left"/>
      <w:pPr>
        <w:ind w:left="2203" w:hanging="360"/>
      </w:pPr>
      <w:rPr>
        <w:rFonts w:ascii="Arial" w:hAnsi="Arial" w:cs="Arial" w:hint="default"/>
        <w:lang w:val="es-EC"/>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2" w15:restartNumberingAfterBreak="0">
    <w:nsid w:val="37AA3A1D"/>
    <w:multiLevelType w:val="hybridMultilevel"/>
    <w:tmpl w:val="3E3CD1A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93" w15:restartNumberingAfterBreak="0">
    <w:nsid w:val="382346EA"/>
    <w:multiLevelType w:val="hybridMultilevel"/>
    <w:tmpl w:val="7C8478F2"/>
    <w:lvl w:ilvl="0" w:tplc="04090019">
      <w:start w:val="1"/>
      <w:numFmt w:val="lowerLetter"/>
      <w:lvlText w:val="%1."/>
      <w:lvlJc w:val="left"/>
      <w:pPr>
        <w:ind w:left="2345" w:hanging="360"/>
      </w:p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194"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388B0CF6"/>
    <w:multiLevelType w:val="hybridMultilevel"/>
    <w:tmpl w:val="F0EE93C4"/>
    <w:lvl w:ilvl="0" w:tplc="2FF65366">
      <w:start w:val="1"/>
      <w:numFmt w:val="bullet"/>
      <w:lvlText w:val="·"/>
      <w:lvlJc w:val="left"/>
      <w:pPr>
        <w:ind w:left="720" w:hanging="360"/>
      </w:pPr>
      <w:rPr>
        <w:rFonts w:ascii="Symbol" w:hAnsi="Symbol" w:hint="default"/>
      </w:rPr>
    </w:lvl>
    <w:lvl w:ilvl="1" w:tplc="0B809DD2">
      <w:start w:val="1"/>
      <w:numFmt w:val="bullet"/>
      <w:lvlText w:val="o"/>
      <w:lvlJc w:val="left"/>
      <w:pPr>
        <w:ind w:left="1440" w:hanging="360"/>
      </w:pPr>
      <w:rPr>
        <w:rFonts w:ascii="Courier New" w:hAnsi="Courier New" w:hint="default"/>
      </w:rPr>
    </w:lvl>
    <w:lvl w:ilvl="2" w:tplc="26026E28">
      <w:start w:val="1"/>
      <w:numFmt w:val="bullet"/>
      <w:lvlText w:val=""/>
      <w:lvlJc w:val="left"/>
      <w:pPr>
        <w:ind w:left="2160" w:hanging="360"/>
      </w:pPr>
      <w:rPr>
        <w:rFonts w:ascii="Wingdings" w:hAnsi="Wingdings" w:hint="default"/>
      </w:rPr>
    </w:lvl>
    <w:lvl w:ilvl="3" w:tplc="7DE43B5A">
      <w:start w:val="1"/>
      <w:numFmt w:val="bullet"/>
      <w:lvlText w:val=""/>
      <w:lvlJc w:val="left"/>
      <w:pPr>
        <w:ind w:left="2880" w:hanging="360"/>
      </w:pPr>
      <w:rPr>
        <w:rFonts w:ascii="Symbol" w:hAnsi="Symbol" w:hint="default"/>
      </w:rPr>
    </w:lvl>
    <w:lvl w:ilvl="4" w:tplc="3EE426DC">
      <w:start w:val="1"/>
      <w:numFmt w:val="bullet"/>
      <w:lvlText w:val="o"/>
      <w:lvlJc w:val="left"/>
      <w:pPr>
        <w:ind w:left="3600" w:hanging="360"/>
      </w:pPr>
      <w:rPr>
        <w:rFonts w:ascii="Courier New" w:hAnsi="Courier New" w:hint="default"/>
      </w:rPr>
    </w:lvl>
    <w:lvl w:ilvl="5" w:tplc="279CE358">
      <w:start w:val="1"/>
      <w:numFmt w:val="bullet"/>
      <w:lvlText w:val=""/>
      <w:lvlJc w:val="left"/>
      <w:pPr>
        <w:ind w:left="4320" w:hanging="360"/>
      </w:pPr>
      <w:rPr>
        <w:rFonts w:ascii="Wingdings" w:hAnsi="Wingdings" w:hint="default"/>
      </w:rPr>
    </w:lvl>
    <w:lvl w:ilvl="6" w:tplc="3F3EBDF4">
      <w:start w:val="1"/>
      <w:numFmt w:val="bullet"/>
      <w:lvlText w:val=""/>
      <w:lvlJc w:val="left"/>
      <w:pPr>
        <w:ind w:left="5040" w:hanging="360"/>
      </w:pPr>
      <w:rPr>
        <w:rFonts w:ascii="Symbol" w:hAnsi="Symbol" w:hint="default"/>
      </w:rPr>
    </w:lvl>
    <w:lvl w:ilvl="7" w:tplc="CDA26C50">
      <w:start w:val="1"/>
      <w:numFmt w:val="bullet"/>
      <w:lvlText w:val="o"/>
      <w:lvlJc w:val="left"/>
      <w:pPr>
        <w:ind w:left="5760" w:hanging="360"/>
      </w:pPr>
      <w:rPr>
        <w:rFonts w:ascii="Courier New" w:hAnsi="Courier New" w:hint="default"/>
      </w:rPr>
    </w:lvl>
    <w:lvl w:ilvl="8" w:tplc="9A649C34">
      <w:start w:val="1"/>
      <w:numFmt w:val="bullet"/>
      <w:lvlText w:val=""/>
      <w:lvlJc w:val="left"/>
      <w:pPr>
        <w:ind w:left="6480" w:hanging="360"/>
      </w:pPr>
      <w:rPr>
        <w:rFonts w:ascii="Wingdings" w:hAnsi="Wingdings" w:hint="default"/>
      </w:rPr>
    </w:lvl>
  </w:abstractNum>
  <w:abstractNum w:abstractNumId="196" w15:restartNumberingAfterBreak="0">
    <w:nsid w:val="3A0102D7"/>
    <w:multiLevelType w:val="hybridMultilevel"/>
    <w:tmpl w:val="431609EC"/>
    <w:lvl w:ilvl="0" w:tplc="300A0001">
      <w:start w:val="1"/>
      <w:numFmt w:val="bullet"/>
      <w:lvlText w:val=""/>
      <w:lvlJc w:val="left"/>
      <w:pPr>
        <w:ind w:left="3620" w:hanging="360"/>
      </w:pPr>
      <w:rPr>
        <w:rFonts w:ascii="Symbol" w:hAnsi="Symbol" w:hint="default"/>
      </w:rPr>
    </w:lvl>
    <w:lvl w:ilvl="1" w:tplc="300A0019" w:tentative="1">
      <w:start w:val="1"/>
      <w:numFmt w:val="lowerLetter"/>
      <w:lvlText w:val="%2."/>
      <w:lvlJc w:val="left"/>
      <w:pPr>
        <w:ind w:left="4340" w:hanging="360"/>
      </w:pPr>
    </w:lvl>
    <w:lvl w:ilvl="2" w:tplc="300A001B" w:tentative="1">
      <w:start w:val="1"/>
      <w:numFmt w:val="lowerRoman"/>
      <w:lvlText w:val="%3."/>
      <w:lvlJc w:val="right"/>
      <w:pPr>
        <w:ind w:left="5060" w:hanging="180"/>
      </w:pPr>
    </w:lvl>
    <w:lvl w:ilvl="3" w:tplc="300A000F" w:tentative="1">
      <w:start w:val="1"/>
      <w:numFmt w:val="decimal"/>
      <w:lvlText w:val="%4."/>
      <w:lvlJc w:val="left"/>
      <w:pPr>
        <w:ind w:left="5780" w:hanging="360"/>
      </w:pPr>
    </w:lvl>
    <w:lvl w:ilvl="4" w:tplc="300A0019" w:tentative="1">
      <w:start w:val="1"/>
      <w:numFmt w:val="lowerLetter"/>
      <w:lvlText w:val="%5."/>
      <w:lvlJc w:val="left"/>
      <w:pPr>
        <w:ind w:left="6500" w:hanging="360"/>
      </w:pPr>
    </w:lvl>
    <w:lvl w:ilvl="5" w:tplc="300A001B" w:tentative="1">
      <w:start w:val="1"/>
      <w:numFmt w:val="lowerRoman"/>
      <w:lvlText w:val="%6."/>
      <w:lvlJc w:val="right"/>
      <w:pPr>
        <w:ind w:left="7220" w:hanging="180"/>
      </w:pPr>
    </w:lvl>
    <w:lvl w:ilvl="6" w:tplc="300A000F" w:tentative="1">
      <w:start w:val="1"/>
      <w:numFmt w:val="decimal"/>
      <w:lvlText w:val="%7."/>
      <w:lvlJc w:val="left"/>
      <w:pPr>
        <w:ind w:left="7940" w:hanging="360"/>
      </w:pPr>
    </w:lvl>
    <w:lvl w:ilvl="7" w:tplc="300A0019" w:tentative="1">
      <w:start w:val="1"/>
      <w:numFmt w:val="lowerLetter"/>
      <w:lvlText w:val="%8."/>
      <w:lvlJc w:val="left"/>
      <w:pPr>
        <w:ind w:left="8660" w:hanging="360"/>
      </w:pPr>
    </w:lvl>
    <w:lvl w:ilvl="8" w:tplc="300A001B" w:tentative="1">
      <w:start w:val="1"/>
      <w:numFmt w:val="lowerRoman"/>
      <w:lvlText w:val="%9."/>
      <w:lvlJc w:val="right"/>
      <w:pPr>
        <w:ind w:left="9380" w:hanging="180"/>
      </w:pPr>
    </w:lvl>
  </w:abstractNum>
  <w:abstractNum w:abstractNumId="197" w15:restartNumberingAfterBreak="0">
    <w:nsid w:val="3A0A40BF"/>
    <w:multiLevelType w:val="hybridMultilevel"/>
    <w:tmpl w:val="C25E1F82"/>
    <w:lvl w:ilvl="0" w:tplc="3828D6B2">
      <w:start w:val="1"/>
      <w:numFmt w:val="lowerLetter"/>
      <w:lvlText w:val="%1."/>
      <w:lvlJc w:val="left"/>
      <w:pPr>
        <w:ind w:left="3337" w:hanging="360"/>
      </w:pPr>
      <w:rPr>
        <w:rFonts w:ascii="Arial" w:hAnsi="Arial" w:cs="Arial" w:hint="default"/>
        <w:b w:val="0"/>
        <w:sz w:val="22"/>
        <w:szCs w:val="22"/>
      </w:rPr>
    </w:lvl>
    <w:lvl w:ilvl="1" w:tplc="300A0003">
      <w:start w:val="1"/>
      <w:numFmt w:val="bullet"/>
      <w:lvlText w:val="o"/>
      <w:lvlJc w:val="left"/>
      <w:pPr>
        <w:ind w:left="4057" w:hanging="360"/>
      </w:pPr>
      <w:rPr>
        <w:rFonts w:ascii="Courier New" w:hAnsi="Courier New" w:cs="Courier New" w:hint="default"/>
      </w:rPr>
    </w:lvl>
    <w:lvl w:ilvl="2" w:tplc="300A0005" w:tentative="1">
      <w:start w:val="1"/>
      <w:numFmt w:val="bullet"/>
      <w:lvlText w:val=""/>
      <w:lvlJc w:val="left"/>
      <w:pPr>
        <w:ind w:left="4777" w:hanging="360"/>
      </w:pPr>
      <w:rPr>
        <w:rFonts w:ascii="Wingdings" w:hAnsi="Wingdings" w:hint="default"/>
      </w:rPr>
    </w:lvl>
    <w:lvl w:ilvl="3" w:tplc="300A0001" w:tentative="1">
      <w:start w:val="1"/>
      <w:numFmt w:val="bullet"/>
      <w:lvlText w:val=""/>
      <w:lvlJc w:val="left"/>
      <w:pPr>
        <w:ind w:left="5497" w:hanging="360"/>
      </w:pPr>
      <w:rPr>
        <w:rFonts w:ascii="Symbol" w:hAnsi="Symbol" w:hint="default"/>
      </w:rPr>
    </w:lvl>
    <w:lvl w:ilvl="4" w:tplc="300A0003" w:tentative="1">
      <w:start w:val="1"/>
      <w:numFmt w:val="bullet"/>
      <w:lvlText w:val="o"/>
      <w:lvlJc w:val="left"/>
      <w:pPr>
        <w:ind w:left="6217" w:hanging="360"/>
      </w:pPr>
      <w:rPr>
        <w:rFonts w:ascii="Courier New" w:hAnsi="Courier New" w:cs="Courier New" w:hint="default"/>
      </w:rPr>
    </w:lvl>
    <w:lvl w:ilvl="5" w:tplc="300A0005" w:tentative="1">
      <w:start w:val="1"/>
      <w:numFmt w:val="bullet"/>
      <w:lvlText w:val=""/>
      <w:lvlJc w:val="left"/>
      <w:pPr>
        <w:ind w:left="6937" w:hanging="360"/>
      </w:pPr>
      <w:rPr>
        <w:rFonts w:ascii="Wingdings" w:hAnsi="Wingdings" w:hint="default"/>
      </w:rPr>
    </w:lvl>
    <w:lvl w:ilvl="6" w:tplc="300A0001" w:tentative="1">
      <w:start w:val="1"/>
      <w:numFmt w:val="bullet"/>
      <w:lvlText w:val=""/>
      <w:lvlJc w:val="left"/>
      <w:pPr>
        <w:ind w:left="7657" w:hanging="360"/>
      </w:pPr>
      <w:rPr>
        <w:rFonts w:ascii="Symbol" w:hAnsi="Symbol" w:hint="default"/>
      </w:rPr>
    </w:lvl>
    <w:lvl w:ilvl="7" w:tplc="300A0003" w:tentative="1">
      <w:start w:val="1"/>
      <w:numFmt w:val="bullet"/>
      <w:lvlText w:val="o"/>
      <w:lvlJc w:val="left"/>
      <w:pPr>
        <w:ind w:left="8377" w:hanging="360"/>
      </w:pPr>
      <w:rPr>
        <w:rFonts w:ascii="Courier New" w:hAnsi="Courier New" w:cs="Courier New" w:hint="default"/>
      </w:rPr>
    </w:lvl>
    <w:lvl w:ilvl="8" w:tplc="300A0005" w:tentative="1">
      <w:start w:val="1"/>
      <w:numFmt w:val="bullet"/>
      <w:lvlText w:val=""/>
      <w:lvlJc w:val="left"/>
      <w:pPr>
        <w:ind w:left="9097" w:hanging="360"/>
      </w:pPr>
      <w:rPr>
        <w:rFonts w:ascii="Wingdings" w:hAnsi="Wingdings" w:hint="default"/>
      </w:rPr>
    </w:lvl>
  </w:abstractNum>
  <w:abstractNum w:abstractNumId="198" w15:restartNumberingAfterBreak="0">
    <w:nsid w:val="3ADC40B0"/>
    <w:multiLevelType w:val="hybridMultilevel"/>
    <w:tmpl w:val="7512A74C"/>
    <w:lvl w:ilvl="0" w:tplc="FFFFFFFF">
      <w:start w:val="1"/>
      <w:numFmt w:val="lowerLetter"/>
      <w:lvlText w:val="%1."/>
      <w:lvlJc w:val="left"/>
      <w:pPr>
        <w:ind w:left="2486" w:hanging="360"/>
      </w:pPr>
      <w:rPr>
        <w:b w:val="0"/>
        <w:bCs w:val="0"/>
      </w:rPr>
    </w:lvl>
    <w:lvl w:ilvl="1" w:tplc="FFFFFFFF" w:tentative="1">
      <w:start w:val="1"/>
      <w:numFmt w:val="lowerLetter"/>
      <w:lvlText w:val="%2."/>
      <w:lvlJc w:val="left"/>
      <w:pPr>
        <w:ind w:left="3206" w:hanging="360"/>
      </w:pPr>
    </w:lvl>
    <w:lvl w:ilvl="2" w:tplc="FFFFFFFF" w:tentative="1">
      <w:start w:val="1"/>
      <w:numFmt w:val="lowerRoman"/>
      <w:lvlText w:val="%3."/>
      <w:lvlJc w:val="right"/>
      <w:pPr>
        <w:ind w:left="3926" w:hanging="180"/>
      </w:pPr>
    </w:lvl>
    <w:lvl w:ilvl="3" w:tplc="FFFFFFFF" w:tentative="1">
      <w:start w:val="1"/>
      <w:numFmt w:val="decimal"/>
      <w:lvlText w:val="%4."/>
      <w:lvlJc w:val="left"/>
      <w:pPr>
        <w:ind w:left="4646" w:hanging="360"/>
      </w:pPr>
    </w:lvl>
    <w:lvl w:ilvl="4" w:tplc="FFFFFFFF" w:tentative="1">
      <w:start w:val="1"/>
      <w:numFmt w:val="lowerLetter"/>
      <w:lvlText w:val="%5."/>
      <w:lvlJc w:val="left"/>
      <w:pPr>
        <w:ind w:left="5366" w:hanging="360"/>
      </w:pPr>
    </w:lvl>
    <w:lvl w:ilvl="5" w:tplc="FFFFFFFF" w:tentative="1">
      <w:start w:val="1"/>
      <w:numFmt w:val="lowerRoman"/>
      <w:lvlText w:val="%6."/>
      <w:lvlJc w:val="right"/>
      <w:pPr>
        <w:ind w:left="6086" w:hanging="180"/>
      </w:pPr>
    </w:lvl>
    <w:lvl w:ilvl="6" w:tplc="FFFFFFFF" w:tentative="1">
      <w:start w:val="1"/>
      <w:numFmt w:val="decimal"/>
      <w:lvlText w:val="%7."/>
      <w:lvlJc w:val="left"/>
      <w:pPr>
        <w:ind w:left="6806" w:hanging="360"/>
      </w:pPr>
    </w:lvl>
    <w:lvl w:ilvl="7" w:tplc="FFFFFFFF" w:tentative="1">
      <w:start w:val="1"/>
      <w:numFmt w:val="lowerLetter"/>
      <w:lvlText w:val="%8."/>
      <w:lvlJc w:val="left"/>
      <w:pPr>
        <w:ind w:left="7526" w:hanging="360"/>
      </w:pPr>
    </w:lvl>
    <w:lvl w:ilvl="8" w:tplc="FFFFFFFF" w:tentative="1">
      <w:start w:val="1"/>
      <w:numFmt w:val="lowerRoman"/>
      <w:lvlText w:val="%9."/>
      <w:lvlJc w:val="right"/>
      <w:pPr>
        <w:ind w:left="8246" w:hanging="180"/>
      </w:pPr>
    </w:lvl>
  </w:abstractNum>
  <w:abstractNum w:abstractNumId="199" w15:restartNumberingAfterBreak="0">
    <w:nsid w:val="3B1308FC"/>
    <w:multiLevelType w:val="hybridMultilevel"/>
    <w:tmpl w:val="C97AD724"/>
    <w:lvl w:ilvl="0" w:tplc="300A0001">
      <w:start w:val="1"/>
      <w:numFmt w:val="bullet"/>
      <w:lvlText w:val=""/>
      <w:lvlJc w:val="left"/>
      <w:pPr>
        <w:ind w:left="2148" w:hanging="360"/>
      </w:pPr>
      <w:rPr>
        <w:rFonts w:ascii="Symbol" w:hAnsi="Symbol" w:hint="default"/>
      </w:rPr>
    </w:lvl>
    <w:lvl w:ilvl="1" w:tplc="300A0003" w:tentative="1">
      <w:start w:val="1"/>
      <w:numFmt w:val="bullet"/>
      <w:lvlText w:val="o"/>
      <w:lvlJc w:val="left"/>
      <w:pPr>
        <w:ind w:left="2868" w:hanging="360"/>
      </w:pPr>
      <w:rPr>
        <w:rFonts w:ascii="Courier New" w:hAnsi="Courier New" w:cs="Courier New" w:hint="default"/>
      </w:rPr>
    </w:lvl>
    <w:lvl w:ilvl="2" w:tplc="300A0005" w:tentative="1">
      <w:start w:val="1"/>
      <w:numFmt w:val="bullet"/>
      <w:lvlText w:val=""/>
      <w:lvlJc w:val="left"/>
      <w:pPr>
        <w:ind w:left="3588" w:hanging="360"/>
      </w:pPr>
      <w:rPr>
        <w:rFonts w:ascii="Wingdings" w:hAnsi="Wingdings" w:hint="default"/>
      </w:rPr>
    </w:lvl>
    <w:lvl w:ilvl="3" w:tplc="300A0001" w:tentative="1">
      <w:start w:val="1"/>
      <w:numFmt w:val="bullet"/>
      <w:lvlText w:val=""/>
      <w:lvlJc w:val="left"/>
      <w:pPr>
        <w:ind w:left="4308" w:hanging="360"/>
      </w:pPr>
      <w:rPr>
        <w:rFonts w:ascii="Symbol" w:hAnsi="Symbol" w:hint="default"/>
      </w:rPr>
    </w:lvl>
    <w:lvl w:ilvl="4" w:tplc="300A0003" w:tentative="1">
      <w:start w:val="1"/>
      <w:numFmt w:val="bullet"/>
      <w:lvlText w:val="o"/>
      <w:lvlJc w:val="left"/>
      <w:pPr>
        <w:ind w:left="5028" w:hanging="360"/>
      </w:pPr>
      <w:rPr>
        <w:rFonts w:ascii="Courier New" w:hAnsi="Courier New" w:cs="Courier New" w:hint="default"/>
      </w:rPr>
    </w:lvl>
    <w:lvl w:ilvl="5" w:tplc="300A0005" w:tentative="1">
      <w:start w:val="1"/>
      <w:numFmt w:val="bullet"/>
      <w:lvlText w:val=""/>
      <w:lvlJc w:val="left"/>
      <w:pPr>
        <w:ind w:left="5748" w:hanging="360"/>
      </w:pPr>
      <w:rPr>
        <w:rFonts w:ascii="Wingdings" w:hAnsi="Wingdings" w:hint="default"/>
      </w:rPr>
    </w:lvl>
    <w:lvl w:ilvl="6" w:tplc="300A0001" w:tentative="1">
      <w:start w:val="1"/>
      <w:numFmt w:val="bullet"/>
      <w:lvlText w:val=""/>
      <w:lvlJc w:val="left"/>
      <w:pPr>
        <w:ind w:left="6468" w:hanging="360"/>
      </w:pPr>
      <w:rPr>
        <w:rFonts w:ascii="Symbol" w:hAnsi="Symbol" w:hint="default"/>
      </w:rPr>
    </w:lvl>
    <w:lvl w:ilvl="7" w:tplc="300A0003" w:tentative="1">
      <w:start w:val="1"/>
      <w:numFmt w:val="bullet"/>
      <w:lvlText w:val="o"/>
      <w:lvlJc w:val="left"/>
      <w:pPr>
        <w:ind w:left="7188" w:hanging="360"/>
      </w:pPr>
      <w:rPr>
        <w:rFonts w:ascii="Courier New" w:hAnsi="Courier New" w:cs="Courier New" w:hint="default"/>
      </w:rPr>
    </w:lvl>
    <w:lvl w:ilvl="8" w:tplc="300A0005" w:tentative="1">
      <w:start w:val="1"/>
      <w:numFmt w:val="bullet"/>
      <w:lvlText w:val=""/>
      <w:lvlJc w:val="left"/>
      <w:pPr>
        <w:ind w:left="7908" w:hanging="360"/>
      </w:pPr>
      <w:rPr>
        <w:rFonts w:ascii="Wingdings" w:hAnsi="Wingdings" w:hint="default"/>
      </w:rPr>
    </w:lvl>
  </w:abstractNum>
  <w:abstractNum w:abstractNumId="200" w15:restartNumberingAfterBreak="0">
    <w:nsid w:val="3B196B9D"/>
    <w:multiLevelType w:val="hybridMultilevel"/>
    <w:tmpl w:val="7D88384A"/>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1" w15:restartNumberingAfterBreak="0">
    <w:nsid w:val="3BD05132"/>
    <w:multiLevelType w:val="hybridMultilevel"/>
    <w:tmpl w:val="24B0B8A2"/>
    <w:lvl w:ilvl="0" w:tplc="300A0019">
      <w:start w:val="1"/>
      <w:numFmt w:val="lowerLetter"/>
      <w:lvlText w:val="%1."/>
      <w:lvlJc w:val="left"/>
      <w:pPr>
        <w:ind w:left="2203" w:hanging="360"/>
      </w:pPr>
      <w:rPr>
        <w:rFonts w:hint="default"/>
      </w:rPr>
    </w:lvl>
    <w:lvl w:ilvl="1" w:tplc="300A0003" w:tentative="1">
      <w:start w:val="1"/>
      <w:numFmt w:val="bullet"/>
      <w:lvlText w:val="o"/>
      <w:lvlJc w:val="left"/>
      <w:pPr>
        <w:ind w:left="2923" w:hanging="360"/>
      </w:pPr>
      <w:rPr>
        <w:rFonts w:ascii="Courier New" w:hAnsi="Courier New" w:cs="Courier New" w:hint="default"/>
      </w:rPr>
    </w:lvl>
    <w:lvl w:ilvl="2" w:tplc="300A0005" w:tentative="1">
      <w:start w:val="1"/>
      <w:numFmt w:val="bullet"/>
      <w:lvlText w:val=""/>
      <w:lvlJc w:val="left"/>
      <w:pPr>
        <w:ind w:left="3643" w:hanging="360"/>
      </w:pPr>
      <w:rPr>
        <w:rFonts w:ascii="Wingdings" w:hAnsi="Wingdings" w:hint="default"/>
      </w:rPr>
    </w:lvl>
    <w:lvl w:ilvl="3" w:tplc="300A0001" w:tentative="1">
      <w:start w:val="1"/>
      <w:numFmt w:val="bullet"/>
      <w:lvlText w:val=""/>
      <w:lvlJc w:val="left"/>
      <w:pPr>
        <w:ind w:left="4363" w:hanging="360"/>
      </w:pPr>
      <w:rPr>
        <w:rFonts w:ascii="Symbol" w:hAnsi="Symbol" w:hint="default"/>
      </w:rPr>
    </w:lvl>
    <w:lvl w:ilvl="4" w:tplc="300A0003" w:tentative="1">
      <w:start w:val="1"/>
      <w:numFmt w:val="bullet"/>
      <w:lvlText w:val="o"/>
      <w:lvlJc w:val="left"/>
      <w:pPr>
        <w:ind w:left="5083" w:hanging="360"/>
      </w:pPr>
      <w:rPr>
        <w:rFonts w:ascii="Courier New" w:hAnsi="Courier New" w:cs="Courier New" w:hint="default"/>
      </w:rPr>
    </w:lvl>
    <w:lvl w:ilvl="5" w:tplc="300A0005" w:tentative="1">
      <w:start w:val="1"/>
      <w:numFmt w:val="bullet"/>
      <w:lvlText w:val=""/>
      <w:lvlJc w:val="left"/>
      <w:pPr>
        <w:ind w:left="5803" w:hanging="360"/>
      </w:pPr>
      <w:rPr>
        <w:rFonts w:ascii="Wingdings" w:hAnsi="Wingdings" w:hint="default"/>
      </w:rPr>
    </w:lvl>
    <w:lvl w:ilvl="6" w:tplc="300A0001" w:tentative="1">
      <w:start w:val="1"/>
      <w:numFmt w:val="bullet"/>
      <w:lvlText w:val=""/>
      <w:lvlJc w:val="left"/>
      <w:pPr>
        <w:ind w:left="6523" w:hanging="360"/>
      </w:pPr>
      <w:rPr>
        <w:rFonts w:ascii="Symbol" w:hAnsi="Symbol" w:hint="default"/>
      </w:rPr>
    </w:lvl>
    <w:lvl w:ilvl="7" w:tplc="300A0003" w:tentative="1">
      <w:start w:val="1"/>
      <w:numFmt w:val="bullet"/>
      <w:lvlText w:val="o"/>
      <w:lvlJc w:val="left"/>
      <w:pPr>
        <w:ind w:left="7243" w:hanging="360"/>
      </w:pPr>
      <w:rPr>
        <w:rFonts w:ascii="Courier New" w:hAnsi="Courier New" w:cs="Courier New" w:hint="default"/>
      </w:rPr>
    </w:lvl>
    <w:lvl w:ilvl="8" w:tplc="300A0005" w:tentative="1">
      <w:start w:val="1"/>
      <w:numFmt w:val="bullet"/>
      <w:lvlText w:val=""/>
      <w:lvlJc w:val="left"/>
      <w:pPr>
        <w:ind w:left="7963" w:hanging="360"/>
      </w:pPr>
      <w:rPr>
        <w:rFonts w:ascii="Wingdings" w:hAnsi="Wingdings" w:hint="default"/>
      </w:rPr>
    </w:lvl>
  </w:abstractNum>
  <w:abstractNum w:abstractNumId="202" w15:restartNumberingAfterBreak="0">
    <w:nsid w:val="3C084C4F"/>
    <w:multiLevelType w:val="hybridMultilevel"/>
    <w:tmpl w:val="CFDEF982"/>
    <w:lvl w:ilvl="0" w:tplc="B4B89AE2">
      <w:start w:val="1"/>
      <w:numFmt w:val="decimal"/>
      <w:lvlText w:val="3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C1F424F"/>
    <w:multiLevelType w:val="hybridMultilevel"/>
    <w:tmpl w:val="C540B182"/>
    <w:lvl w:ilvl="0" w:tplc="300A0019">
      <w:start w:val="1"/>
      <w:numFmt w:val="lowerLetter"/>
      <w:lvlText w:val="%1."/>
      <w:lvlJc w:val="left"/>
      <w:pPr>
        <w:ind w:left="1353" w:hanging="360"/>
      </w:pPr>
      <w:rPr>
        <w:rFonts w:hint="default"/>
      </w:rPr>
    </w:lvl>
    <w:lvl w:ilvl="1" w:tplc="FFFFFFFF">
      <w:start w:val="1"/>
      <w:numFmt w:val="bullet"/>
      <w:lvlText w:val="o"/>
      <w:lvlJc w:val="left"/>
      <w:pPr>
        <w:ind w:left="4272" w:hanging="360"/>
      </w:pPr>
      <w:rPr>
        <w:rFonts w:ascii="Courier New" w:hAnsi="Courier New" w:cs="Courier New" w:hint="default"/>
      </w:rPr>
    </w:lvl>
    <w:lvl w:ilvl="2" w:tplc="FFFFFFFF" w:tentative="1">
      <w:start w:val="1"/>
      <w:numFmt w:val="bullet"/>
      <w:lvlText w:val=""/>
      <w:lvlJc w:val="left"/>
      <w:pPr>
        <w:ind w:left="4992" w:hanging="360"/>
      </w:pPr>
      <w:rPr>
        <w:rFonts w:ascii="Wingdings" w:hAnsi="Wingdings" w:hint="default"/>
      </w:rPr>
    </w:lvl>
    <w:lvl w:ilvl="3" w:tplc="FFFFFFFF" w:tentative="1">
      <w:start w:val="1"/>
      <w:numFmt w:val="bullet"/>
      <w:lvlText w:val=""/>
      <w:lvlJc w:val="left"/>
      <w:pPr>
        <w:ind w:left="5712" w:hanging="360"/>
      </w:pPr>
      <w:rPr>
        <w:rFonts w:ascii="Symbol" w:hAnsi="Symbol" w:hint="default"/>
      </w:rPr>
    </w:lvl>
    <w:lvl w:ilvl="4" w:tplc="FFFFFFFF" w:tentative="1">
      <w:start w:val="1"/>
      <w:numFmt w:val="bullet"/>
      <w:lvlText w:val="o"/>
      <w:lvlJc w:val="left"/>
      <w:pPr>
        <w:ind w:left="6432" w:hanging="360"/>
      </w:pPr>
      <w:rPr>
        <w:rFonts w:ascii="Courier New" w:hAnsi="Courier New" w:cs="Courier New" w:hint="default"/>
      </w:rPr>
    </w:lvl>
    <w:lvl w:ilvl="5" w:tplc="FFFFFFFF" w:tentative="1">
      <w:start w:val="1"/>
      <w:numFmt w:val="bullet"/>
      <w:lvlText w:val=""/>
      <w:lvlJc w:val="left"/>
      <w:pPr>
        <w:ind w:left="7152" w:hanging="360"/>
      </w:pPr>
      <w:rPr>
        <w:rFonts w:ascii="Wingdings" w:hAnsi="Wingdings" w:hint="default"/>
      </w:rPr>
    </w:lvl>
    <w:lvl w:ilvl="6" w:tplc="FFFFFFFF" w:tentative="1">
      <w:start w:val="1"/>
      <w:numFmt w:val="bullet"/>
      <w:lvlText w:val=""/>
      <w:lvlJc w:val="left"/>
      <w:pPr>
        <w:ind w:left="7872" w:hanging="360"/>
      </w:pPr>
      <w:rPr>
        <w:rFonts w:ascii="Symbol" w:hAnsi="Symbol" w:hint="default"/>
      </w:rPr>
    </w:lvl>
    <w:lvl w:ilvl="7" w:tplc="FFFFFFFF" w:tentative="1">
      <w:start w:val="1"/>
      <w:numFmt w:val="bullet"/>
      <w:lvlText w:val="o"/>
      <w:lvlJc w:val="left"/>
      <w:pPr>
        <w:ind w:left="8592" w:hanging="360"/>
      </w:pPr>
      <w:rPr>
        <w:rFonts w:ascii="Courier New" w:hAnsi="Courier New" w:cs="Courier New" w:hint="default"/>
      </w:rPr>
    </w:lvl>
    <w:lvl w:ilvl="8" w:tplc="FFFFFFFF" w:tentative="1">
      <w:start w:val="1"/>
      <w:numFmt w:val="bullet"/>
      <w:lvlText w:val=""/>
      <w:lvlJc w:val="left"/>
      <w:pPr>
        <w:ind w:left="9312" w:hanging="360"/>
      </w:pPr>
      <w:rPr>
        <w:rFonts w:ascii="Wingdings" w:hAnsi="Wingdings" w:hint="default"/>
      </w:rPr>
    </w:lvl>
  </w:abstractNum>
  <w:abstractNum w:abstractNumId="204" w15:restartNumberingAfterBreak="0">
    <w:nsid w:val="3C2C0211"/>
    <w:multiLevelType w:val="hybridMultilevel"/>
    <w:tmpl w:val="43AA67D2"/>
    <w:lvl w:ilvl="0" w:tplc="79621448">
      <w:start w:val="1"/>
      <w:numFmt w:val="bullet"/>
      <w:lvlText w:val="·"/>
      <w:lvlJc w:val="left"/>
      <w:pPr>
        <w:ind w:left="720" w:hanging="360"/>
      </w:pPr>
      <w:rPr>
        <w:rFonts w:ascii="Symbol" w:hAnsi="Symbol" w:hint="default"/>
      </w:rPr>
    </w:lvl>
    <w:lvl w:ilvl="1" w:tplc="7ECCE17A">
      <w:start w:val="1"/>
      <w:numFmt w:val="bullet"/>
      <w:lvlText w:val="o"/>
      <w:lvlJc w:val="left"/>
      <w:pPr>
        <w:ind w:left="1440" w:hanging="360"/>
      </w:pPr>
      <w:rPr>
        <w:rFonts w:ascii="Courier New" w:hAnsi="Courier New" w:hint="default"/>
      </w:rPr>
    </w:lvl>
    <w:lvl w:ilvl="2" w:tplc="A38220F8">
      <w:start w:val="1"/>
      <w:numFmt w:val="bullet"/>
      <w:lvlText w:val=""/>
      <w:lvlJc w:val="left"/>
      <w:pPr>
        <w:ind w:left="2160" w:hanging="360"/>
      </w:pPr>
      <w:rPr>
        <w:rFonts w:ascii="Wingdings" w:hAnsi="Wingdings" w:hint="default"/>
      </w:rPr>
    </w:lvl>
    <w:lvl w:ilvl="3" w:tplc="0BF642F6">
      <w:start w:val="1"/>
      <w:numFmt w:val="bullet"/>
      <w:lvlText w:val=""/>
      <w:lvlJc w:val="left"/>
      <w:pPr>
        <w:ind w:left="2880" w:hanging="360"/>
      </w:pPr>
      <w:rPr>
        <w:rFonts w:ascii="Symbol" w:hAnsi="Symbol" w:hint="default"/>
      </w:rPr>
    </w:lvl>
    <w:lvl w:ilvl="4" w:tplc="3782F274">
      <w:start w:val="1"/>
      <w:numFmt w:val="bullet"/>
      <w:lvlText w:val="o"/>
      <w:lvlJc w:val="left"/>
      <w:pPr>
        <w:ind w:left="3600" w:hanging="360"/>
      </w:pPr>
      <w:rPr>
        <w:rFonts w:ascii="Courier New" w:hAnsi="Courier New" w:hint="default"/>
      </w:rPr>
    </w:lvl>
    <w:lvl w:ilvl="5" w:tplc="FB6875DE">
      <w:start w:val="1"/>
      <w:numFmt w:val="bullet"/>
      <w:lvlText w:val=""/>
      <w:lvlJc w:val="left"/>
      <w:pPr>
        <w:ind w:left="4320" w:hanging="360"/>
      </w:pPr>
      <w:rPr>
        <w:rFonts w:ascii="Wingdings" w:hAnsi="Wingdings" w:hint="default"/>
      </w:rPr>
    </w:lvl>
    <w:lvl w:ilvl="6" w:tplc="5C662A1E">
      <w:start w:val="1"/>
      <w:numFmt w:val="bullet"/>
      <w:lvlText w:val=""/>
      <w:lvlJc w:val="left"/>
      <w:pPr>
        <w:ind w:left="5040" w:hanging="360"/>
      </w:pPr>
      <w:rPr>
        <w:rFonts w:ascii="Symbol" w:hAnsi="Symbol" w:hint="default"/>
      </w:rPr>
    </w:lvl>
    <w:lvl w:ilvl="7" w:tplc="16562980">
      <w:start w:val="1"/>
      <w:numFmt w:val="bullet"/>
      <w:lvlText w:val="o"/>
      <w:lvlJc w:val="left"/>
      <w:pPr>
        <w:ind w:left="5760" w:hanging="360"/>
      </w:pPr>
      <w:rPr>
        <w:rFonts w:ascii="Courier New" w:hAnsi="Courier New" w:hint="default"/>
      </w:rPr>
    </w:lvl>
    <w:lvl w:ilvl="8" w:tplc="6EFAC434">
      <w:start w:val="1"/>
      <w:numFmt w:val="bullet"/>
      <w:lvlText w:val=""/>
      <w:lvlJc w:val="left"/>
      <w:pPr>
        <w:ind w:left="6480" w:hanging="360"/>
      </w:pPr>
      <w:rPr>
        <w:rFonts w:ascii="Wingdings" w:hAnsi="Wingdings" w:hint="default"/>
      </w:rPr>
    </w:lvl>
  </w:abstractNum>
  <w:abstractNum w:abstractNumId="205" w15:restartNumberingAfterBreak="0">
    <w:nsid w:val="3C3A467D"/>
    <w:multiLevelType w:val="hybridMultilevel"/>
    <w:tmpl w:val="20D294F8"/>
    <w:lvl w:ilvl="0" w:tplc="9B14CB14">
      <w:start w:val="1"/>
      <w:numFmt w:val="lowerLetter"/>
      <w:lvlText w:val="%1."/>
      <w:lvlJc w:val="left"/>
      <w:pPr>
        <w:ind w:left="1778" w:hanging="360"/>
      </w:pPr>
      <w:rPr>
        <w:b w:val="0"/>
        <w:bCs/>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206" w15:restartNumberingAfterBreak="0">
    <w:nsid w:val="3C5957A0"/>
    <w:multiLevelType w:val="hybridMultilevel"/>
    <w:tmpl w:val="B4B2A014"/>
    <w:lvl w:ilvl="0" w:tplc="FFFFFFFF">
      <w:start w:val="1"/>
      <w:numFmt w:val="lowerLetter"/>
      <w:lvlText w:val="%1."/>
      <w:lvlJc w:val="left"/>
      <w:pPr>
        <w:ind w:left="2844" w:hanging="360"/>
      </w:pPr>
      <w:rPr>
        <w:rFonts w:ascii="Arial" w:hAnsi="Arial" w:cs="Arial" w:hint="default"/>
        <w:b w:val="0"/>
        <w:sz w:val="22"/>
        <w:szCs w:val="22"/>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07" w15:restartNumberingAfterBreak="0">
    <w:nsid w:val="3C734819"/>
    <w:multiLevelType w:val="hybridMultilevel"/>
    <w:tmpl w:val="4BB4B580"/>
    <w:lvl w:ilvl="0" w:tplc="300A0001">
      <w:start w:val="1"/>
      <w:numFmt w:val="bullet"/>
      <w:lvlText w:val=""/>
      <w:lvlJc w:val="left"/>
      <w:pPr>
        <w:ind w:left="4754" w:hanging="360"/>
      </w:pPr>
      <w:rPr>
        <w:rFonts w:ascii="Symbol" w:hAnsi="Symbol" w:hint="default"/>
      </w:rPr>
    </w:lvl>
    <w:lvl w:ilvl="1" w:tplc="300A0001">
      <w:start w:val="1"/>
      <w:numFmt w:val="bullet"/>
      <w:lvlText w:val=""/>
      <w:lvlJc w:val="left"/>
      <w:pPr>
        <w:ind w:left="3195" w:hanging="360"/>
      </w:pPr>
      <w:rPr>
        <w:rFonts w:ascii="Symbol" w:hAnsi="Symbol" w:hint="default"/>
      </w:rPr>
    </w:lvl>
    <w:lvl w:ilvl="2" w:tplc="FFFFFFFF" w:tentative="1">
      <w:start w:val="1"/>
      <w:numFmt w:val="bullet"/>
      <w:lvlText w:val=""/>
      <w:lvlJc w:val="left"/>
      <w:pPr>
        <w:ind w:left="6194" w:hanging="360"/>
      </w:pPr>
      <w:rPr>
        <w:rFonts w:ascii="Wingdings" w:hAnsi="Wingdings" w:hint="default"/>
      </w:rPr>
    </w:lvl>
    <w:lvl w:ilvl="3" w:tplc="FFFFFFFF" w:tentative="1">
      <w:start w:val="1"/>
      <w:numFmt w:val="bullet"/>
      <w:lvlText w:val=""/>
      <w:lvlJc w:val="left"/>
      <w:pPr>
        <w:ind w:left="6914" w:hanging="360"/>
      </w:pPr>
      <w:rPr>
        <w:rFonts w:ascii="Symbol" w:hAnsi="Symbol" w:hint="default"/>
      </w:rPr>
    </w:lvl>
    <w:lvl w:ilvl="4" w:tplc="FFFFFFFF" w:tentative="1">
      <w:start w:val="1"/>
      <w:numFmt w:val="bullet"/>
      <w:lvlText w:val="o"/>
      <w:lvlJc w:val="left"/>
      <w:pPr>
        <w:ind w:left="7634" w:hanging="360"/>
      </w:pPr>
      <w:rPr>
        <w:rFonts w:ascii="Courier New" w:hAnsi="Courier New" w:cs="Courier New" w:hint="default"/>
      </w:rPr>
    </w:lvl>
    <w:lvl w:ilvl="5" w:tplc="FFFFFFFF" w:tentative="1">
      <w:start w:val="1"/>
      <w:numFmt w:val="bullet"/>
      <w:lvlText w:val=""/>
      <w:lvlJc w:val="left"/>
      <w:pPr>
        <w:ind w:left="8354" w:hanging="360"/>
      </w:pPr>
      <w:rPr>
        <w:rFonts w:ascii="Wingdings" w:hAnsi="Wingdings" w:hint="default"/>
      </w:rPr>
    </w:lvl>
    <w:lvl w:ilvl="6" w:tplc="FFFFFFFF" w:tentative="1">
      <w:start w:val="1"/>
      <w:numFmt w:val="bullet"/>
      <w:lvlText w:val=""/>
      <w:lvlJc w:val="left"/>
      <w:pPr>
        <w:ind w:left="9074" w:hanging="360"/>
      </w:pPr>
      <w:rPr>
        <w:rFonts w:ascii="Symbol" w:hAnsi="Symbol" w:hint="default"/>
      </w:rPr>
    </w:lvl>
    <w:lvl w:ilvl="7" w:tplc="FFFFFFFF" w:tentative="1">
      <w:start w:val="1"/>
      <w:numFmt w:val="bullet"/>
      <w:lvlText w:val="o"/>
      <w:lvlJc w:val="left"/>
      <w:pPr>
        <w:ind w:left="9794" w:hanging="360"/>
      </w:pPr>
      <w:rPr>
        <w:rFonts w:ascii="Courier New" w:hAnsi="Courier New" w:cs="Courier New" w:hint="default"/>
      </w:rPr>
    </w:lvl>
    <w:lvl w:ilvl="8" w:tplc="FFFFFFFF" w:tentative="1">
      <w:start w:val="1"/>
      <w:numFmt w:val="bullet"/>
      <w:lvlText w:val=""/>
      <w:lvlJc w:val="left"/>
      <w:pPr>
        <w:ind w:left="10514" w:hanging="360"/>
      </w:pPr>
      <w:rPr>
        <w:rFonts w:ascii="Wingdings" w:hAnsi="Wingdings" w:hint="default"/>
      </w:rPr>
    </w:lvl>
  </w:abstractNum>
  <w:abstractNum w:abstractNumId="208" w15:restartNumberingAfterBreak="0">
    <w:nsid w:val="3CB55E4C"/>
    <w:multiLevelType w:val="hybridMultilevel"/>
    <w:tmpl w:val="3C865656"/>
    <w:lvl w:ilvl="0" w:tplc="96025F48">
      <w:start w:val="1"/>
      <w:numFmt w:val="bullet"/>
      <w:lvlText w:val=""/>
      <w:lvlJc w:val="left"/>
      <w:pPr>
        <w:ind w:left="728" w:hanging="360"/>
      </w:pPr>
      <w:rPr>
        <w:rFonts w:ascii="Symbol" w:hAnsi="Symbol" w:hint="default"/>
      </w:rPr>
    </w:lvl>
    <w:lvl w:ilvl="1" w:tplc="C8A632E4">
      <w:start w:val="1"/>
      <w:numFmt w:val="bullet"/>
      <w:lvlText w:val="o"/>
      <w:lvlJc w:val="left"/>
      <w:pPr>
        <w:ind w:left="1448" w:hanging="360"/>
      </w:pPr>
      <w:rPr>
        <w:rFonts w:ascii="Courier New" w:hAnsi="Courier New" w:hint="default"/>
      </w:rPr>
    </w:lvl>
    <w:lvl w:ilvl="2" w:tplc="DD8CF99E">
      <w:start w:val="1"/>
      <w:numFmt w:val="bullet"/>
      <w:lvlText w:val="-"/>
      <w:lvlJc w:val="left"/>
      <w:pPr>
        <w:ind w:left="2168" w:hanging="360"/>
      </w:pPr>
      <w:rPr>
        <w:rFonts w:ascii="&quot;Times New Roman&quot;,serif" w:hAnsi="&quot;Times New Roman&quot;,serif" w:hint="default"/>
      </w:rPr>
    </w:lvl>
    <w:lvl w:ilvl="3" w:tplc="C8EE010A">
      <w:start w:val="1"/>
      <w:numFmt w:val="bullet"/>
      <w:lvlText w:val=""/>
      <w:lvlJc w:val="left"/>
      <w:pPr>
        <w:ind w:left="2888" w:hanging="360"/>
      </w:pPr>
      <w:rPr>
        <w:rFonts w:ascii="Symbol" w:hAnsi="Symbol" w:hint="default"/>
      </w:rPr>
    </w:lvl>
    <w:lvl w:ilvl="4" w:tplc="54467608">
      <w:start w:val="1"/>
      <w:numFmt w:val="bullet"/>
      <w:lvlText w:val="o"/>
      <w:lvlJc w:val="left"/>
      <w:pPr>
        <w:ind w:left="3608" w:hanging="360"/>
      </w:pPr>
      <w:rPr>
        <w:rFonts w:ascii="Courier New" w:hAnsi="Courier New" w:hint="default"/>
      </w:rPr>
    </w:lvl>
    <w:lvl w:ilvl="5" w:tplc="7D40A780">
      <w:start w:val="1"/>
      <w:numFmt w:val="bullet"/>
      <w:lvlText w:val=""/>
      <w:lvlJc w:val="left"/>
      <w:pPr>
        <w:ind w:left="4328" w:hanging="360"/>
      </w:pPr>
      <w:rPr>
        <w:rFonts w:ascii="Wingdings" w:hAnsi="Wingdings" w:hint="default"/>
      </w:rPr>
    </w:lvl>
    <w:lvl w:ilvl="6" w:tplc="7C7C1FE6">
      <w:start w:val="1"/>
      <w:numFmt w:val="bullet"/>
      <w:lvlText w:val=""/>
      <w:lvlJc w:val="left"/>
      <w:pPr>
        <w:ind w:left="5048" w:hanging="360"/>
      </w:pPr>
      <w:rPr>
        <w:rFonts w:ascii="Symbol" w:hAnsi="Symbol" w:hint="default"/>
      </w:rPr>
    </w:lvl>
    <w:lvl w:ilvl="7" w:tplc="061A85EC">
      <w:start w:val="1"/>
      <w:numFmt w:val="bullet"/>
      <w:lvlText w:val="o"/>
      <w:lvlJc w:val="left"/>
      <w:pPr>
        <w:ind w:left="5768" w:hanging="360"/>
      </w:pPr>
      <w:rPr>
        <w:rFonts w:ascii="Courier New" w:hAnsi="Courier New" w:hint="default"/>
      </w:rPr>
    </w:lvl>
    <w:lvl w:ilvl="8" w:tplc="1682F2BA">
      <w:start w:val="1"/>
      <w:numFmt w:val="bullet"/>
      <w:lvlText w:val=""/>
      <w:lvlJc w:val="left"/>
      <w:pPr>
        <w:ind w:left="6488" w:hanging="360"/>
      </w:pPr>
      <w:rPr>
        <w:rFonts w:ascii="Wingdings" w:hAnsi="Wingdings" w:hint="default"/>
      </w:rPr>
    </w:lvl>
  </w:abstractNum>
  <w:abstractNum w:abstractNumId="209" w15:restartNumberingAfterBreak="0">
    <w:nsid w:val="3D4F3D8A"/>
    <w:multiLevelType w:val="hybridMultilevel"/>
    <w:tmpl w:val="EF424E00"/>
    <w:lvl w:ilvl="0" w:tplc="300A0001">
      <w:start w:val="1"/>
      <w:numFmt w:val="bullet"/>
      <w:lvlText w:val=""/>
      <w:lvlJc w:val="left"/>
      <w:pPr>
        <w:ind w:left="2628" w:hanging="360"/>
      </w:pPr>
      <w:rPr>
        <w:rFonts w:ascii="Symbol" w:hAnsi="Symbol" w:hint="default"/>
        <w:u w:val="none"/>
      </w:rPr>
    </w:lvl>
    <w:lvl w:ilvl="1" w:tplc="FFFFFFFF">
      <w:start w:val="1"/>
      <w:numFmt w:val="bullet"/>
      <w:lvlText w:val="o"/>
      <w:lvlJc w:val="left"/>
      <w:pPr>
        <w:ind w:left="1600" w:hanging="360"/>
      </w:pPr>
      <w:rPr>
        <w:rFonts w:ascii="Courier New" w:hAnsi="Courier New" w:cs="Courier New" w:hint="default"/>
      </w:rPr>
    </w:lvl>
    <w:lvl w:ilvl="2" w:tplc="FFFFFFFF">
      <w:start w:val="1"/>
      <w:numFmt w:val="bullet"/>
      <w:lvlText w:val=""/>
      <w:lvlJc w:val="left"/>
      <w:pPr>
        <w:ind w:left="2320" w:hanging="360"/>
      </w:pPr>
      <w:rPr>
        <w:rFonts w:ascii="Wingdings" w:hAnsi="Wingdings" w:hint="default"/>
      </w:rPr>
    </w:lvl>
    <w:lvl w:ilvl="3" w:tplc="FFFFFFFF">
      <w:start w:val="1"/>
      <w:numFmt w:val="bullet"/>
      <w:lvlText w:val=""/>
      <w:lvlJc w:val="left"/>
      <w:pPr>
        <w:ind w:left="3040" w:hanging="360"/>
      </w:pPr>
      <w:rPr>
        <w:rFonts w:ascii="Symbol" w:hAnsi="Symbol" w:hint="default"/>
      </w:rPr>
    </w:lvl>
    <w:lvl w:ilvl="4" w:tplc="FFFFFFFF">
      <w:start w:val="1"/>
      <w:numFmt w:val="bullet"/>
      <w:lvlText w:val="o"/>
      <w:lvlJc w:val="left"/>
      <w:pPr>
        <w:ind w:left="3760" w:hanging="360"/>
      </w:pPr>
      <w:rPr>
        <w:rFonts w:ascii="Courier New" w:hAnsi="Courier New" w:cs="Courier New" w:hint="default"/>
      </w:rPr>
    </w:lvl>
    <w:lvl w:ilvl="5" w:tplc="FFFFFFFF">
      <w:start w:val="1"/>
      <w:numFmt w:val="bullet"/>
      <w:lvlText w:val=""/>
      <w:lvlJc w:val="left"/>
      <w:pPr>
        <w:ind w:left="4480" w:hanging="360"/>
      </w:pPr>
      <w:rPr>
        <w:rFonts w:ascii="Wingdings" w:hAnsi="Wingdings" w:hint="default"/>
      </w:rPr>
    </w:lvl>
    <w:lvl w:ilvl="6" w:tplc="FFFFFFFF">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210" w15:restartNumberingAfterBreak="0">
    <w:nsid w:val="3D5947C4"/>
    <w:multiLevelType w:val="hybridMultilevel"/>
    <w:tmpl w:val="DFFE95F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11" w15:restartNumberingAfterBreak="0">
    <w:nsid w:val="3DA92C8B"/>
    <w:multiLevelType w:val="hybridMultilevel"/>
    <w:tmpl w:val="29D2B4B4"/>
    <w:lvl w:ilvl="0" w:tplc="BA4ECF94">
      <w:start w:val="1"/>
      <w:numFmt w:val="decimal"/>
      <w:lvlText w:val="48.%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DE07FCD"/>
    <w:multiLevelType w:val="hybridMultilevel"/>
    <w:tmpl w:val="E968F400"/>
    <w:lvl w:ilvl="0" w:tplc="FFFFFFFF">
      <w:start w:val="1"/>
      <w:numFmt w:val="lowerLetter"/>
      <w:lvlText w:val="%1."/>
      <w:lvlJc w:val="left"/>
      <w:pPr>
        <w:ind w:left="2781" w:hanging="360"/>
      </w:pPr>
      <w:rPr>
        <w:rFonts w:ascii="Calibri" w:eastAsia="Times New Roman" w:hAnsi="Calibri" w:cs="Calibri"/>
      </w:rPr>
    </w:lvl>
    <w:lvl w:ilvl="1" w:tplc="FFFFFFFF">
      <w:start w:val="1"/>
      <w:numFmt w:val="lowerLetter"/>
      <w:lvlText w:val="%2."/>
      <w:lvlJc w:val="left"/>
      <w:pPr>
        <w:ind w:left="3501"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213" w15:restartNumberingAfterBreak="0">
    <w:nsid w:val="3E017CDF"/>
    <w:multiLevelType w:val="hybridMultilevel"/>
    <w:tmpl w:val="A6B4C4CC"/>
    <w:lvl w:ilvl="0" w:tplc="B2C26FBA">
      <w:start w:val="1"/>
      <w:numFmt w:val="lowerLetter"/>
      <w:lvlText w:val="%1."/>
      <w:lvlJc w:val="left"/>
      <w:pPr>
        <w:ind w:left="180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4" w15:restartNumberingAfterBreak="0">
    <w:nsid w:val="3ECD0A7D"/>
    <w:multiLevelType w:val="hybridMultilevel"/>
    <w:tmpl w:val="FBE074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5" w15:restartNumberingAfterBreak="0">
    <w:nsid w:val="3EFB637D"/>
    <w:multiLevelType w:val="multilevel"/>
    <w:tmpl w:val="EA6494EA"/>
    <w:lvl w:ilvl="0">
      <w:start w:val="3"/>
      <w:numFmt w:val="decimal"/>
      <w:lvlText w:val="%1"/>
      <w:lvlJc w:val="left"/>
      <w:pPr>
        <w:ind w:left="480" w:hanging="480"/>
      </w:pPr>
      <w:rPr>
        <w:rFonts w:hint="default"/>
        <w:i w:val="0"/>
        <w:color w:val="auto"/>
      </w:rPr>
    </w:lvl>
    <w:lvl w:ilvl="1">
      <w:start w:val="4"/>
      <w:numFmt w:val="decimal"/>
      <w:lvlText w:val="%1.%2"/>
      <w:lvlJc w:val="left"/>
      <w:pPr>
        <w:ind w:left="840" w:hanging="480"/>
      </w:pPr>
      <w:rPr>
        <w:rFonts w:hint="default"/>
        <w:i w:val="0"/>
        <w:color w:val="auto"/>
      </w:rPr>
    </w:lvl>
    <w:lvl w:ilvl="2">
      <w:start w:val="5"/>
      <w:numFmt w:val="decimal"/>
      <w:lvlText w:val="%1.%2.%3"/>
      <w:lvlJc w:val="left"/>
      <w:pPr>
        <w:ind w:left="1440" w:hanging="720"/>
      </w:pPr>
      <w:rPr>
        <w:rFonts w:hint="default"/>
        <w:i w:val="0"/>
        <w:color w:val="auto"/>
      </w:rPr>
    </w:lvl>
    <w:lvl w:ilvl="3">
      <w:start w:val="1"/>
      <w:numFmt w:val="decimal"/>
      <w:lvlText w:val="%1.%2.%3.%4"/>
      <w:lvlJc w:val="left"/>
      <w:pPr>
        <w:ind w:left="1800" w:hanging="720"/>
      </w:pPr>
      <w:rPr>
        <w:rFonts w:hint="default"/>
        <w:i w:val="0"/>
        <w:color w:val="auto"/>
      </w:rPr>
    </w:lvl>
    <w:lvl w:ilvl="4">
      <w:start w:val="1"/>
      <w:numFmt w:val="decimal"/>
      <w:lvlText w:val="%1.%2.%3.%4.%5"/>
      <w:lvlJc w:val="left"/>
      <w:pPr>
        <w:ind w:left="2520" w:hanging="1080"/>
      </w:pPr>
      <w:rPr>
        <w:rFonts w:hint="default"/>
        <w:i w:val="0"/>
        <w:color w:val="auto"/>
      </w:rPr>
    </w:lvl>
    <w:lvl w:ilvl="5">
      <w:start w:val="1"/>
      <w:numFmt w:val="decimal"/>
      <w:lvlText w:val="%1.%2.%3.%4.%5.%6"/>
      <w:lvlJc w:val="left"/>
      <w:pPr>
        <w:ind w:left="2880" w:hanging="1080"/>
      </w:pPr>
      <w:rPr>
        <w:rFonts w:hint="default"/>
        <w:i w:val="0"/>
        <w:color w:val="auto"/>
      </w:rPr>
    </w:lvl>
    <w:lvl w:ilvl="6">
      <w:start w:val="1"/>
      <w:numFmt w:val="decimal"/>
      <w:lvlText w:val="%1.%2.%3.%4.%5.%6.%7"/>
      <w:lvlJc w:val="left"/>
      <w:pPr>
        <w:ind w:left="3600" w:hanging="1440"/>
      </w:pPr>
      <w:rPr>
        <w:rFonts w:hint="default"/>
        <w:i w:val="0"/>
        <w:color w:val="auto"/>
      </w:rPr>
    </w:lvl>
    <w:lvl w:ilvl="7">
      <w:start w:val="1"/>
      <w:numFmt w:val="decimal"/>
      <w:lvlText w:val="%1.%2.%3.%4.%5.%6.%7.%8"/>
      <w:lvlJc w:val="left"/>
      <w:pPr>
        <w:ind w:left="3960" w:hanging="1440"/>
      </w:pPr>
      <w:rPr>
        <w:rFonts w:hint="default"/>
        <w:i w:val="0"/>
        <w:color w:val="auto"/>
      </w:rPr>
    </w:lvl>
    <w:lvl w:ilvl="8">
      <w:start w:val="1"/>
      <w:numFmt w:val="decimal"/>
      <w:lvlText w:val="%1.%2.%3.%4.%5.%6.%7.%8.%9"/>
      <w:lvlJc w:val="left"/>
      <w:pPr>
        <w:ind w:left="4680" w:hanging="1800"/>
      </w:pPr>
      <w:rPr>
        <w:rFonts w:hint="default"/>
        <w:i w:val="0"/>
        <w:color w:val="auto"/>
      </w:rPr>
    </w:lvl>
  </w:abstractNum>
  <w:abstractNum w:abstractNumId="216"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17" w15:restartNumberingAfterBreak="0">
    <w:nsid w:val="40023B86"/>
    <w:multiLevelType w:val="hybridMultilevel"/>
    <w:tmpl w:val="A68CB6B6"/>
    <w:lvl w:ilvl="0" w:tplc="FFFFFFFF">
      <w:start w:val="1"/>
      <w:numFmt w:val="lowerLetter"/>
      <w:lvlText w:val="%1."/>
      <w:lvlJc w:val="left"/>
      <w:pPr>
        <w:ind w:left="2345" w:hanging="360"/>
      </w:pPr>
      <w:rPr>
        <w:rFonts w:hint="default"/>
        <w:lang w:val="es-EC"/>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18" w15:restartNumberingAfterBreak="0">
    <w:nsid w:val="410362BF"/>
    <w:multiLevelType w:val="hybridMultilevel"/>
    <w:tmpl w:val="F22E71C8"/>
    <w:lvl w:ilvl="0" w:tplc="300A0001">
      <w:start w:val="1"/>
      <w:numFmt w:val="bullet"/>
      <w:lvlText w:val=""/>
      <w:lvlJc w:val="left"/>
      <w:pPr>
        <w:ind w:left="3053" w:hanging="360"/>
      </w:pPr>
      <w:rPr>
        <w:rFonts w:ascii="Symbol" w:hAnsi="Symbol" w:hint="default"/>
      </w:rPr>
    </w:lvl>
    <w:lvl w:ilvl="1" w:tplc="300A0003" w:tentative="1">
      <w:start w:val="1"/>
      <w:numFmt w:val="bullet"/>
      <w:lvlText w:val="o"/>
      <w:lvlJc w:val="left"/>
      <w:pPr>
        <w:ind w:left="3773" w:hanging="360"/>
      </w:pPr>
      <w:rPr>
        <w:rFonts w:ascii="Courier New" w:hAnsi="Courier New" w:cs="Courier New" w:hint="default"/>
      </w:rPr>
    </w:lvl>
    <w:lvl w:ilvl="2" w:tplc="300A0005" w:tentative="1">
      <w:start w:val="1"/>
      <w:numFmt w:val="bullet"/>
      <w:lvlText w:val=""/>
      <w:lvlJc w:val="left"/>
      <w:pPr>
        <w:ind w:left="4493" w:hanging="360"/>
      </w:pPr>
      <w:rPr>
        <w:rFonts w:ascii="Wingdings" w:hAnsi="Wingdings" w:hint="default"/>
      </w:rPr>
    </w:lvl>
    <w:lvl w:ilvl="3" w:tplc="300A0001" w:tentative="1">
      <w:start w:val="1"/>
      <w:numFmt w:val="bullet"/>
      <w:lvlText w:val=""/>
      <w:lvlJc w:val="left"/>
      <w:pPr>
        <w:ind w:left="5213" w:hanging="360"/>
      </w:pPr>
      <w:rPr>
        <w:rFonts w:ascii="Symbol" w:hAnsi="Symbol" w:hint="default"/>
      </w:rPr>
    </w:lvl>
    <w:lvl w:ilvl="4" w:tplc="300A0003" w:tentative="1">
      <w:start w:val="1"/>
      <w:numFmt w:val="bullet"/>
      <w:lvlText w:val="o"/>
      <w:lvlJc w:val="left"/>
      <w:pPr>
        <w:ind w:left="5933" w:hanging="360"/>
      </w:pPr>
      <w:rPr>
        <w:rFonts w:ascii="Courier New" w:hAnsi="Courier New" w:cs="Courier New" w:hint="default"/>
      </w:rPr>
    </w:lvl>
    <w:lvl w:ilvl="5" w:tplc="300A0005" w:tentative="1">
      <w:start w:val="1"/>
      <w:numFmt w:val="bullet"/>
      <w:lvlText w:val=""/>
      <w:lvlJc w:val="left"/>
      <w:pPr>
        <w:ind w:left="6653" w:hanging="360"/>
      </w:pPr>
      <w:rPr>
        <w:rFonts w:ascii="Wingdings" w:hAnsi="Wingdings" w:hint="default"/>
      </w:rPr>
    </w:lvl>
    <w:lvl w:ilvl="6" w:tplc="300A0001" w:tentative="1">
      <w:start w:val="1"/>
      <w:numFmt w:val="bullet"/>
      <w:lvlText w:val=""/>
      <w:lvlJc w:val="left"/>
      <w:pPr>
        <w:ind w:left="7373" w:hanging="360"/>
      </w:pPr>
      <w:rPr>
        <w:rFonts w:ascii="Symbol" w:hAnsi="Symbol" w:hint="default"/>
      </w:rPr>
    </w:lvl>
    <w:lvl w:ilvl="7" w:tplc="300A0003" w:tentative="1">
      <w:start w:val="1"/>
      <w:numFmt w:val="bullet"/>
      <w:lvlText w:val="o"/>
      <w:lvlJc w:val="left"/>
      <w:pPr>
        <w:ind w:left="8093" w:hanging="360"/>
      </w:pPr>
      <w:rPr>
        <w:rFonts w:ascii="Courier New" w:hAnsi="Courier New" w:cs="Courier New" w:hint="default"/>
      </w:rPr>
    </w:lvl>
    <w:lvl w:ilvl="8" w:tplc="300A0005" w:tentative="1">
      <w:start w:val="1"/>
      <w:numFmt w:val="bullet"/>
      <w:lvlText w:val=""/>
      <w:lvlJc w:val="left"/>
      <w:pPr>
        <w:ind w:left="8813" w:hanging="360"/>
      </w:pPr>
      <w:rPr>
        <w:rFonts w:ascii="Wingdings" w:hAnsi="Wingdings" w:hint="default"/>
      </w:rPr>
    </w:lvl>
  </w:abstractNum>
  <w:abstractNum w:abstractNumId="219" w15:restartNumberingAfterBreak="0">
    <w:nsid w:val="412A20CB"/>
    <w:multiLevelType w:val="hybridMultilevel"/>
    <w:tmpl w:val="76DC543C"/>
    <w:lvl w:ilvl="0" w:tplc="0E1E1B70">
      <w:start w:val="1"/>
      <w:numFmt w:val="lowerLetter"/>
      <w:lvlText w:val="%1."/>
      <w:lvlJc w:val="left"/>
      <w:pPr>
        <w:ind w:left="2203" w:hanging="360"/>
      </w:pPr>
      <w:rPr>
        <w:rFonts w:ascii="Arial" w:eastAsia="Calibri" w:hAnsi="Arial" w:cs="Arial"/>
      </w:r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220" w15:restartNumberingAfterBreak="0">
    <w:nsid w:val="41410AA0"/>
    <w:multiLevelType w:val="hybridMultilevel"/>
    <w:tmpl w:val="C0CE56BE"/>
    <w:lvl w:ilvl="0" w:tplc="300A0019">
      <w:start w:val="1"/>
      <w:numFmt w:val="lowerLetter"/>
      <w:lvlText w:val="%1."/>
      <w:lvlJc w:val="left"/>
      <w:pPr>
        <w:ind w:left="2203" w:hanging="360"/>
      </w:p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221" w15:restartNumberingAfterBreak="0">
    <w:nsid w:val="41551F6C"/>
    <w:multiLevelType w:val="hybridMultilevel"/>
    <w:tmpl w:val="370A04C4"/>
    <w:lvl w:ilvl="0" w:tplc="C3645EB4">
      <w:start w:val="6"/>
      <w:numFmt w:val="lowerLetter"/>
      <w:lvlText w:val="%1."/>
      <w:lvlJc w:val="left"/>
      <w:pPr>
        <w:ind w:left="177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2" w15:restartNumberingAfterBreak="0">
    <w:nsid w:val="41703574"/>
    <w:multiLevelType w:val="hybridMultilevel"/>
    <w:tmpl w:val="B4B2A014"/>
    <w:lvl w:ilvl="0" w:tplc="EBD61A80">
      <w:start w:val="1"/>
      <w:numFmt w:val="lowerLetter"/>
      <w:lvlText w:val="%1."/>
      <w:lvlJc w:val="left"/>
      <w:pPr>
        <w:ind w:left="2203" w:hanging="360"/>
      </w:pPr>
      <w:rPr>
        <w:rFonts w:ascii="Arial" w:hAnsi="Arial" w:cs="Arial" w:hint="default"/>
        <w:b w:val="0"/>
        <w:sz w:val="22"/>
        <w:szCs w:val="22"/>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223" w15:restartNumberingAfterBreak="0">
    <w:nsid w:val="41730DE3"/>
    <w:multiLevelType w:val="hybridMultilevel"/>
    <w:tmpl w:val="F67A2DCE"/>
    <w:lvl w:ilvl="0" w:tplc="300A0019">
      <w:start w:val="1"/>
      <w:numFmt w:val="lowerLetter"/>
      <w:lvlText w:val="%1."/>
      <w:lvlJc w:val="left"/>
      <w:pPr>
        <w:ind w:left="2203" w:hanging="360"/>
      </w:pPr>
    </w:lvl>
    <w:lvl w:ilvl="1" w:tplc="300A0019" w:tentative="1">
      <w:start w:val="1"/>
      <w:numFmt w:val="lowerLetter"/>
      <w:lvlText w:val="%2."/>
      <w:lvlJc w:val="left"/>
      <w:pPr>
        <w:ind w:left="2639" w:hanging="360"/>
      </w:pPr>
    </w:lvl>
    <w:lvl w:ilvl="2" w:tplc="300A001B" w:tentative="1">
      <w:start w:val="1"/>
      <w:numFmt w:val="lowerRoman"/>
      <w:lvlText w:val="%3."/>
      <w:lvlJc w:val="right"/>
      <w:pPr>
        <w:ind w:left="3359" w:hanging="180"/>
      </w:pPr>
    </w:lvl>
    <w:lvl w:ilvl="3" w:tplc="300A000F" w:tentative="1">
      <w:start w:val="1"/>
      <w:numFmt w:val="decimal"/>
      <w:lvlText w:val="%4."/>
      <w:lvlJc w:val="left"/>
      <w:pPr>
        <w:ind w:left="4079" w:hanging="360"/>
      </w:pPr>
    </w:lvl>
    <w:lvl w:ilvl="4" w:tplc="300A0019" w:tentative="1">
      <w:start w:val="1"/>
      <w:numFmt w:val="lowerLetter"/>
      <w:lvlText w:val="%5."/>
      <w:lvlJc w:val="left"/>
      <w:pPr>
        <w:ind w:left="4799" w:hanging="360"/>
      </w:pPr>
    </w:lvl>
    <w:lvl w:ilvl="5" w:tplc="300A001B" w:tentative="1">
      <w:start w:val="1"/>
      <w:numFmt w:val="lowerRoman"/>
      <w:lvlText w:val="%6."/>
      <w:lvlJc w:val="right"/>
      <w:pPr>
        <w:ind w:left="5519" w:hanging="180"/>
      </w:pPr>
    </w:lvl>
    <w:lvl w:ilvl="6" w:tplc="300A000F" w:tentative="1">
      <w:start w:val="1"/>
      <w:numFmt w:val="decimal"/>
      <w:lvlText w:val="%7."/>
      <w:lvlJc w:val="left"/>
      <w:pPr>
        <w:ind w:left="6239" w:hanging="360"/>
      </w:pPr>
    </w:lvl>
    <w:lvl w:ilvl="7" w:tplc="300A0019" w:tentative="1">
      <w:start w:val="1"/>
      <w:numFmt w:val="lowerLetter"/>
      <w:lvlText w:val="%8."/>
      <w:lvlJc w:val="left"/>
      <w:pPr>
        <w:ind w:left="6959" w:hanging="360"/>
      </w:pPr>
    </w:lvl>
    <w:lvl w:ilvl="8" w:tplc="300A001B" w:tentative="1">
      <w:start w:val="1"/>
      <w:numFmt w:val="lowerRoman"/>
      <w:lvlText w:val="%9."/>
      <w:lvlJc w:val="right"/>
      <w:pPr>
        <w:ind w:left="7679" w:hanging="180"/>
      </w:pPr>
    </w:lvl>
  </w:abstractNum>
  <w:abstractNum w:abstractNumId="224" w15:restartNumberingAfterBreak="0">
    <w:nsid w:val="41DD782B"/>
    <w:multiLevelType w:val="hybridMultilevel"/>
    <w:tmpl w:val="D6680DC4"/>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3283" w:hanging="360"/>
      </w:pPr>
      <w:rPr>
        <w:rFonts w:ascii="Courier New" w:hAnsi="Courier New" w:cs="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cs="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cs="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225" w15:restartNumberingAfterBreak="0">
    <w:nsid w:val="4215528D"/>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226" w15:restartNumberingAfterBreak="0">
    <w:nsid w:val="42450EFF"/>
    <w:multiLevelType w:val="hybridMultilevel"/>
    <w:tmpl w:val="00AAFA06"/>
    <w:lvl w:ilvl="0" w:tplc="300A0001">
      <w:start w:val="1"/>
      <w:numFmt w:val="bullet"/>
      <w:lvlText w:val=""/>
      <w:lvlJc w:val="left"/>
      <w:pPr>
        <w:ind w:left="3479" w:hanging="360"/>
      </w:pPr>
      <w:rPr>
        <w:rFonts w:ascii="Symbol" w:hAnsi="Symbol" w:hint="default"/>
      </w:rPr>
    </w:lvl>
    <w:lvl w:ilvl="1" w:tplc="300A0003" w:tentative="1">
      <w:start w:val="1"/>
      <w:numFmt w:val="bullet"/>
      <w:lvlText w:val="o"/>
      <w:lvlJc w:val="left"/>
      <w:pPr>
        <w:ind w:left="4199" w:hanging="360"/>
      </w:pPr>
      <w:rPr>
        <w:rFonts w:ascii="Courier New" w:hAnsi="Courier New" w:cs="Courier New" w:hint="default"/>
      </w:rPr>
    </w:lvl>
    <w:lvl w:ilvl="2" w:tplc="300A0005" w:tentative="1">
      <w:start w:val="1"/>
      <w:numFmt w:val="bullet"/>
      <w:lvlText w:val=""/>
      <w:lvlJc w:val="left"/>
      <w:pPr>
        <w:ind w:left="4919" w:hanging="360"/>
      </w:pPr>
      <w:rPr>
        <w:rFonts w:ascii="Wingdings" w:hAnsi="Wingdings" w:hint="default"/>
      </w:rPr>
    </w:lvl>
    <w:lvl w:ilvl="3" w:tplc="300A0001" w:tentative="1">
      <w:start w:val="1"/>
      <w:numFmt w:val="bullet"/>
      <w:lvlText w:val=""/>
      <w:lvlJc w:val="left"/>
      <w:pPr>
        <w:ind w:left="5639" w:hanging="360"/>
      </w:pPr>
      <w:rPr>
        <w:rFonts w:ascii="Symbol" w:hAnsi="Symbol" w:hint="default"/>
      </w:rPr>
    </w:lvl>
    <w:lvl w:ilvl="4" w:tplc="300A0003" w:tentative="1">
      <w:start w:val="1"/>
      <w:numFmt w:val="bullet"/>
      <w:lvlText w:val="o"/>
      <w:lvlJc w:val="left"/>
      <w:pPr>
        <w:ind w:left="6359" w:hanging="360"/>
      </w:pPr>
      <w:rPr>
        <w:rFonts w:ascii="Courier New" w:hAnsi="Courier New" w:cs="Courier New" w:hint="default"/>
      </w:rPr>
    </w:lvl>
    <w:lvl w:ilvl="5" w:tplc="300A0005" w:tentative="1">
      <w:start w:val="1"/>
      <w:numFmt w:val="bullet"/>
      <w:lvlText w:val=""/>
      <w:lvlJc w:val="left"/>
      <w:pPr>
        <w:ind w:left="7079" w:hanging="360"/>
      </w:pPr>
      <w:rPr>
        <w:rFonts w:ascii="Wingdings" w:hAnsi="Wingdings" w:hint="default"/>
      </w:rPr>
    </w:lvl>
    <w:lvl w:ilvl="6" w:tplc="300A0001" w:tentative="1">
      <w:start w:val="1"/>
      <w:numFmt w:val="bullet"/>
      <w:lvlText w:val=""/>
      <w:lvlJc w:val="left"/>
      <w:pPr>
        <w:ind w:left="7799" w:hanging="360"/>
      </w:pPr>
      <w:rPr>
        <w:rFonts w:ascii="Symbol" w:hAnsi="Symbol" w:hint="default"/>
      </w:rPr>
    </w:lvl>
    <w:lvl w:ilvl="7" w:tplc="300A0003" w:tentative="1">
      <w:start w:val="1"/>
      <w:numFmt w:val="bullet"/>
      <w:lvlText w:val="o"/>
      <w:lvlJc w:val="left"/>
      <w:pPr>
        <w:ind w:left="8519" w:hanging="360"/>
      </w:pPr>
      <w:rPr>
        <w:rFonts w:ascii="Courier New" w:hAnsi="Courier New" w:cs="Courier New" w:hint="default"/>
      </w:rPr>
    </w:lvl>
    <w:lvl w:ilvl="8" w:tplc="300A0005" w:tentative="1">
      <w:start w:val="1"/>
      <w:numFmt w:val="bullet"/>
      <w:lvlText w:val=""/>
      <w:lvlJc w:val="left"/>
      <w:pPr>
        <w:ind w:left="9239" w:hanging="360"/>
      </w:pPr>
      <w:rPr>
        <w:rFonts w:ascii="Wingdings" w:hAnsi="Wingdings" w:hint="default"/>
      </w:rPr>
    </w:lvl>
  </w:abstractNum>
  <w:abstractNum w:abstractNumId="227" w15:restartNumberingAfterBreak="0">
    <w:nsid w:val="42C425B3"/>
    <w:multiLevelType w:val="hybridMultilevel"/>
    <w:tmpl w:val="EA7C4746"/>
    <w:lvl w:ilvl="0" w:tplc="300A0001">
      <w:start w:val="1"/>
      <w:numFmt w:val="bullet"/>
      <w:lvlText w:val=""/>
      <w:lvlJc w:val="left"/>
      <w:pPr>
        <w:ind w:left="3192" w:hanging="360"/>
      </w:pPr>
      <w:rPr>
        <w:rFonts w:ascii="Symbol" w:hAnsi="Symbol" w:hint="default"/>
      </w:rPr>
    </w:lvl>
    <w:lvl w:ilvl="1" w:tplc="FFFFFFFF">
      <w:start w:val="1"/>
      <w:numFmt w:val="bullet"/>
      <w:lvlText w:val="o"/>
      <w:lvlJc w:val="left"/>
      <w:pPr>
        <w:ind w:left="3912" w:hanging="360"/>
      </w:pPr>
      <w:rPr>
        <w:rFonts w:ascii="Courier New" w:hAnsi="Courier New" w:cs="Courier New" w:hint="default"/>
      </w:rPr>
    </w:lvl>
    <w:lvl w:ilvl="2" w:tplc="FFFFFFFF">
      <w:start w:val="1"/>
      <w:numFmt w:val="bullet"/>
      <w:lvlText w:val=""/>
      <w:lvlJc w:val="left"/>
      <w:pPr>
        <w:ind w:left="4632" w:hanging="360"/>
      </w:pPr>
      <w:rPr>
        <w:rFonts w:ascii="Wingdings" w:hAnsi="Wingdings" w:hint="default"/>
      </w:rPr>
    </w:lvl>
    <w:lvl w:ilvl="3" w:tplc="FFFFFFFF">
      <w:start w:val="1"/>
      <w:numFmt w:val="bullet"/>
      <w:lvlText w:val=""/>
      <w:lvlJc w:val="left"/>
      <w:pPr>
        <w:ind w:left="5352" w:hanging="360"/>
      </w:pPr>
      <w:rPr>
        <w:rFonts w:ascii="Symbol" w:hAnsi="Symbol" w:hint="default"/>
      </w:rPr>
    </w:lvl>
    <w:lvl w:ilvl="4" w:tplc="FFFFFFFF">
      <w:start w:val="1"/>
      <w:numFmt w:val="bullet"/>
      <w:lvlText w:val="o"/>
      <w:lvlJc w:val="left"/>
      <w:pPr>
        <w:ind w:left="6072" w:hanging="360"/>
      </w:pPr>
      <w:rPr>
        <w:rFonts w:ascii="Courier New" w:hAnsi="Courier New" w:cs="Courier New" w:hint="default"/>
      </w:rPr>
    </w:lvl>
    <w:lvl w:ilvl="5" w:tplc="FFFFFFFF">
      <w:start w:val="1"/>
      <w:numFmt w:val="bullet"/>
      <w:lvlText w:val=""/>
      <w:lvlJc w:val="left"/>
      <w:pPr>
        <w:ind w:left="6792" w:hanging="360"/>
      </w:pPr>
      <w:rPr>
        <w:rFonts w:ascii="Wingdings" w:hAnsi="Wingdings" w:hint="default"/>
      </w:rPr>
    </w:lvl>
    <w:lvl w:ilvl="6" w:tplc="FFFFFFFF">
      <w:start w:val="1"/>
      <w:numFmt w:val="bullet"/>
      <w:lvlText w:val=""/>
      <w:lvlJc w:val="left"/>
      <w:pPr>
        <w:ind w:left="7512" w:hanging="360"/>
      </w:pPr>
      <w:rPr>
        <w:rFonts w:ascii="Symbol" w:hAnsi="Symbol" w:hint="default"/>
      </w:rPr>
    </w:lvl>
    <w:lvl w:ilvl="7" w:tplc="FFFFFFFF" w:tentative="1">
      <w:start w:val="1"/>
      <w:numFmt w:val="bullet"/>
      <w:lvlText w:val="o"/>
      <w:lvlJc w:val="left"/>
      <w:pPr>
        <w:ind w:left="8232" w:hanging="360"/>
      </w:pPr>
      <w:rPr>
        <w:rFonts w:ascii="Courier New" w:hAnsi="Courier New" w:cs="Courier New" w:hint="default"/>
      </w:rPr>
    </w:lvl>
    <w:lvl w:ilvl="8" w:tplc="FFFFFFFF" w:tentative="1">
      <w:start w:val="1"/>
      <w:numFmt w:val="bullet"/>
      <w:lvlText w:val=""/>
      <w:lvlJc w:val="left"/>
      <w:pPr>
        <w:ind w:left="8952" w:hanging="360"/>
      </w:pPr>
      <w:rPr>
        <w:rFonts w:ascii="Wingdings" w:hAnsi="Wingdings" w:hint="default"/>
      </w:rPr>
    </w:lvl>
  </w:abstractNum>
  <w:abstractNum w:abstractNumId="228" w15:restartNumberingAfterBreak="0">
    <w:nsid w:val="43206C39"/>
    <w:multiLevelType w:val="hybridMultilevel"/>
    <w:tmpl w:val="0114D5E8"/>
    <w:lvl w:ilvl="0" w:tplc="FFFFFFFF">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229" w15:restartNumberingAfterBreak="0">
    <w:nsid w:val="432771E6"/>
    <w:multiLevelType w:val="hybridMultilevel"/>
    <w:tmpl w:val="6C800A52"/>
    <w:lvl w:ilvl="0" w:tplc="2D5C66C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43A25375"/>
    <w:multiLevelType w:val="hybridMultilevel"/>
    <w:tmpl w:val="0D143900"/>
    <w:lvl w:ilvl="0" w:tplc="300A0001">
      <w:start w:val="1"/>
      <w:numFmt w:val="bullet"/>
      <w:lvlText w:val=""/>
      <w:lvlJc w:val="left"/>
      <w:pPr>
        <w:ind w:left="3337" w:hanging="360"/>
      </w:pPr>
      <w:rPr>
        <w:rFonts w:ascii="Symbol" w:hAnsi="Symbol" w:hint="default"/>
      </w:rPr>
    </w:lvl>
    <w:lvl w:ilvl="1" w:tplc="300A0003" w:tentative="1">
      <w:start w:val="1"/>
      <w:numFmt w:val="bullet"/>
      <w:lvlText w:val="o"/>
      <w:lvlJc w:val="left"/>
      <w:pPr>
        <w:ind w:left="4057" w:hanging="360"/>
      </w:pPr>
      <w:rPr>
        <w:rFonts w:ascii="Courier New" w:hAnsi="Courier New" w:cs="Courier New" w:hint="default"/>
      </w:rPr>
    </w:lvl>
    <w:lvl w:ilvl="2" w:tplc="300A0005" w:tentative="1">
      <w:start w:val="1"/>
      <w:numFmt w:val="bullet"/>
      <w:lvlText w:val=""/>
      <w:lvlJc w:val="left"/>
      <w:pPr>
        <w:ind w:left="4777" w:hanging="360"/>
      </w:pPr>
      <w:rPr>
        <w:rFonts w:ascii="Wingdings" w:hAnsi="Wingdings" w:hint="default"/>
      </w:rPr>
    </w:lvl>
    <w:lvl w:ilvl="3" w:tplc="300A0001" w:tentative="1">
      <w:start w:val="1"/>
      <w:numFmt w:val="bullet"/>
      <w:lvlText w:val=""/>
      <w:lvlJc w:val="left"/>
      <w:pPr>
        <w:ind w:left="5497" w:hanging="360"/>
      </w:pPr>
      <w:rPr>
        <w:rFonts w:ascii="Symbol" w:hAnsi="Symbol" w:hint="default"/>
      </w:rPr>
    </w:lvl>
    <w:lvl w:ilvl="4" w:tplc="300A0003" w:tentative="1">
      <w:start w:val="1"/>
      <w:numFmt w:val="bullet"/>
      <w:lvlText w:val="o"/>
      <w:lvlJc w:val="left"/>
      <w:pPr>
        <w:ind w:left="6217" w:hanging="360"/>
      </w:pPr>
      <w:rPr>
        <w:rFonts w:ascii="Courier New" w:hAnsi="Courier New" w:cs="Courier New" w:hint="default"/>
      </w:rPr>
    </w:lvl>
    <w:lvl w:ilvl="5" w:tplc="300A0005" w:tentative="1">
      <w:start w:val="1"/>
      <w:numFmt w:val="bullet"/>
      <w:lvlText w:val=""/>
      <w:lvlJc w:val="left"/>
      <w:pPr>
        <w:ind w:left="6937" w:hanging="360"/>
      </w:pPr>
      <w:rPr>
        <w:rFonts w:ascii="Wingdings" w:hAnsi="Wingdings" w:hint="default"/>
      </w:rPr>
    </w:lvl>
    <w:lvl w:ilvl="6" w:tplc="300A0001" w:tentative="1">
      <w:start w:val="1"/>
      <w:numFmt w:val="bullet"/>
      <w:lvlText w:val=""/>
      <w:lvlJc w:val="left"/>
      <w:pPr>
        <w:ind w:left="7657" w:hanging="360"/>
      </w:pPr>
      <w:rPr>
        <w:rFonts w:ascii="Symbol" w:hAnsi="Symbol" w:hint="default"/>
      </w:rPr>
    </w:lvl>
    <w:lvl w:ilvl="7" w:tplc="300A0003" w:tentative="1">
      <w:start w:val="1"/>
      <w:numFmt w:val="bullet"/>
      <w:lvlText w:val="o"/>
      <w:lvlJc w:val="left"/>
      <w:pPr>
        <w:ind w:left="8377" w:hanging="360"/>
      </w:pPr>
      <w:rPr>
        <w:rFonts w:ascii="Courier New" w:hAnsi="Courier New" w:cs="Courier New" w:hint="default"/>
      </w:rPr>
    </w:lvl>
    <w:lvl w:ilvl="8" w:tplc="300A0005" w:tentative="1">
      <w:start w:val="1"/>
      <w:numFmt w:val="bullet"/>
      <w:lvlText w:val=""/>
      <w:lvlJc w:val="left"/>
      <w:pPr>
        <w:ind w:left="9097" w:hanging="360"/>
      </w:pPr>
      <w:rPr>
        <w:rFonts w:ascii="Wingdings" w:hAnsi="Wingdings" w:hint="default"/>
      </w:rPr>
    </w:lvl>
  </w:abstractNum>
  <w:abstractNum w:abstractNumId="231" w15:restartNumberingAfterBreak="0">
    <w:nsid w:val="43AC6A45"/>
    <w:multiLevelType w:val="hybridMultilevel"/>
    <w:tmpl w:val="67327660"/>
    <w:lvl w:ilvl="0" w:tplc="7160EEF2">
      <w:start w:val="1"/>
      <w:numFmt w:val="decimal"/>
      <w:lvlText w:val="52.%1"/>
      <w:lvlJc w:val="left"/>
      <w:pPr>
        <w:ind w:left="72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43B35D58"/>
    <w:multiLevelType w:val="hybridMultilevel"/>
    <w:tmpl w:val="5E0C7192"/>
    <w:lvl w:ilvl="0" w:tplc="DBA299EA">
      <w:start w:val="1"/>
      <w:numFmt w:val="lowerRoman"/>
      <w:lvlText w:val="(%1)"/>
      <w:lvlJc w:val="left"/>
      <w:pPr>
        <w:ind w:left="735" w:hanging="360"/>
      </w:pPr>
      <w:rPr>
        <w:rFonts w:hint="default"/>
        <w:b w:val="0"/>
        <w:bCs/>
        <w:i w:val="0"/>
        <w:iCs w:val="0"/>
        <w:lang w:val="en-AU"/>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3" w15:restartNumberingAfterBreak="0">
    <w:nsid w:val="43BD5F64"/>
    <w:multiLevelType w:val="hybridMultilevel"/>
    <w:tmpl w:val="A6580186"/>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4" w15:restartNumberingAfterBreak="0">
    <w:nsid w:val="43E72A8E"/>
    <w:multiLevelType w:val="hybridMultilevel"/>
    <w:tmpl w:val="8982C664"/>
    <w:lvl w:ilvl="0" w:tplc="EBB2B33E">
      <w:start w:val="1"/>
      <w:numFmt w:val="decimal"/>
      <w:lvlText w:val="42.%1"/>
      <w:lvlJc w:val="left"/>
      <w:pPr>
        <w:ind w:left="706" w:hanging="360"/>
      </w:pPr>
      <w:rPr>
        <w:rFonts w:ascii="Times New Roman" w:hAnsi="Times New Roman" w:hint="default"/>
        <w:b w:val="0"/>
        <w:i w:val="0"/>
        <w:sz w:val="24"/>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35" w15:restartNumberingAfterBreak="0">
    <w:nsid w:val="444124CC"/>
    <w:multiLevelType w:val="hybridMultilevel"/>
    <w:tmpl w:val="DC8A1412"/>
    <w:lvl w:ilvl="0" w:tplc="FFFFFFFF">
      <w:start w:val="1"/>
      <w:numFmt w:val="lowerLetter"/>
      <w:lvlText w:val="%1."/>
      <w:lvlJc w:val="left"/>
      <w:pPr>
        <w:ind w:left="2484" w:hanging="360"/>
      </w:pPr>
      <w:rPr>
        <w:rFonts w:hint="default"/>
        <w:lang w:val="es-EC"/>
      </w:rPr>
    </w:lvl>
    <w:lvl w:ilvl="1" w:tplc="300A0019" w:tentative="1">
      <w:start w:val="1"/>
      <w:numFmt w:val="lowerLetter"/>
      <w:lvlText w:val="%2."/>
      <w:lvlJc w:val="left"/>
      <w:pPr>
        <w:ind w:left="1721" w:hanging="360"/>
      </w:pPr>
    </w:lvl>
    <w:lvl w:ilvl="2" w:tplc="300A001B" w:tentative="1">
      <w:start w:val="1"/>
      <w:numFmt w:val="lowerRoman"/>
      <w:lvlText w:val="%3."/>
      <w:lvlJc w:val="right"/>
      <w:pPr>
        <w:ind w:left="2441" w:hanging="180"/>
      </w:pPr>
    </w:lvl>
    <w:lvl w:ilvl="3" w:tplc="300A000F" w:tentative="1">
      <w:start w:val="1"/>
      <w:numFmt w:val="decimal"/>
      <w:lvlText w:val="%4."/>
      <w:lvlJc w:val="left"/>
      <w:pPr>
        <w:ind w:left="3161" w:hanging="360"/>
      </w:pPr>
    </w:lvl>
    <w:lvl w:ilvl="4" w:tplc="300A0019" w:tentative="1">
      <w:start w:val="1"/>
      <w:numFmt w:val="lowerLetter"/>
      <w:lvlText w:val="%5."/>
      <w:lvlJc w:val="left"/>
      <w:pPr>
        <w:ind w:left="3881" w:hanging="360"/>
      </w:pPr>
    </w:lvl>
    <w:lvl w:ilvl="5" w:tplc="300A001B" w:tentative="1">
      <w:start w:val="1"/>
      <w:numFmt w:val="lowerRoman"/>
      <w:lvlText w:val="%6."/>
      <w:lvlJc w:val="right"/>
      <w:pPr>
        <w:ind w:left="4601" w:hanging="180"/>
      </w:pPr>
    </w:lvl>
    <w:lvl w:ilvl="6" w:tplc="300A000F" w:tentative="1">
      <w:start w:val="1"/>
      <w:numFmt w:val="decimal"/>
      <w:lvlText w:val="%7."/>
      <w:lvlJc w:val="left"/>
      <w:pPr>
        <w:ind w:left="5321" w:hanging="360"/>
      </w:pPr>
    </w:lvl>
    <w:lvl w:ilvl="7" w:tplc="300A0019" w:tentative="1">
      <w:start w:val="1"/>
      <w:numFmt w:val="lowerLetter"/>
      <w:lvlText w:val="%8."/>
      <w:lvlJc w:val="left"/>
      <w:pPr>
        <w:ind w:left="6041" w:hanging="360"/>
      </w:pPr>
    </w:lvl>
    <w:lvl w:ilvl="8" w:tplc="300A001B" w:tentative="1">
      <w:start w:val="1"/>
      <w:numFmt w:val="lowerRoman"/>
      <w:lvlText w:val="%9."/>
      <w:lvlJc w:val="right"/>
      <w:pPr>
        <w:ind w:left="6761" w:hanging="180"/>
      </w:pPr>
    </w:lvl>
  </w:abstractNum>
  <w:abstractNum w:abstractNumId="236" w15:restartNumberingAfterBreak="0">
    <w:nsid w:val="44937876"/>
    <w:multiLevelType w:val="hybridMultilevel"/>
    <w:tmpl w:val="2ABAA6EA"/>
    <w:lvl w:ilvl="0" w:tplc="300A0019">
      <w:start w:val="1"/>
      <w:numFmt w:val="lowerLetter"/>
      <w:lvlText w:val="%1."/>
      <w:lvlJc w:val="left"/>
      <w:pPr>
        <w:ind w:left="2484" w:hanging="360"/>
      </w:pPr>
    </w:lvl>
    <w:lvl w:ilvl="1" w:tplc="300A0019" w:tentative="1">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237" w15:restartNumberingAfterBreak="0">
    <w:nsid w:val="44953EDA"/>
    <w:multiLevelType w:val="hybridMultilevel"/>
    <w:tmpl w:val="E7926C3E"/>
    <w:lvl w:ilvl="0" w:tplc="300A0019">
      <w:start w:val="1"/>
      <w:numFmt w:val="lowerLetter"/>
      <w:lvlText w:val="%1."/>
      <w:lvlJc w:val="left"/>
      <w:pPr>
        <w:ind w:left="3904" w:hanging="360"/>
      </w:pPr>
      <w:rPr>
        <w:rFonts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238" w15:restartNumberingAfterBreak="0">
    <w:nsid w:val="4497193E"/>
    <w:multiLevelType w:val="hybridMultilevel"/>
    <w:tmpl w:val="1BF84C82"/>
    <w:lvl w:ilvl="0" w:tplc="300A0001">
      <w:start w:val="1"/>
      <w:numFmt w:val="bullet"/>
      <w:lvlText w:val=""/>
      <w:lvlJc w:val="left"/>
      <w:pPr>
        <w:ind w:left="2484" w:hanging="360"/>
      </w:pPr>
      <w:rPr>
        <w:rFonts w:ascii="Symbol" w:hAnsi="Symbol" w:hint="default"/>
      </w:rPr>
    </w:lvl>
    <w:lvl w:ilvl="1" w:tplc="FFFFFFFF">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239" w15:restartNumberingAfterBreak="0">
    <w:nsid w:val="44C341F4"/>
    <w:multiLevelType w:val="hybridMultilevel"/>
    <w:tmpl w:val="31CA7B3E"/>
    <w:lvl w:ilvl="0" w:tplc="4A5647D8">
      <w:start w:val="1"/>
      <w:numFmt w:val="lowerLetter"/>
      <w:lvlText w:val="%1."/>
      <w:lvlJc w:val="left"/>
      <w:pPr>
        <w:ind w:left="2484" w:hanging="360"/>
      </w:pPr>
      <w:rPr>
        <w:rFonts w:ascii="Calibri" w:hAnsi="Calibri" w:hint="default"/>
      </w:rPr>
    </w:lvl>
    <w:lvl w:ilvl="1" w:tplc="6D8E843E">
      <w:start w:val="1"/>
      <w:numFmt w:val="lowerLetter"/>
      <w:lvlText w:val="%2."/>
      <w:lvlJc w:val="left"/>
      <w:pPr>
        <w:ind w:left="3204" w:hanging="360"/>
      </w:pPr>
      <w:rPr>
        <w:i w:val="0"/>
      </w:rPr>
    </w:lvl>
    <w:lvl w:ilvl="2" w:tplc="50F0650A" w:tentative="1">
      <w:start w:val="1"/>
      <w:numFmt w:val="lowerRoman"/>
      <w:lvlText w:val="%3."/>
      <w:lvlJc w:val="right"/>
      <w:pPr>
        <w:ind w:left="3924" w:hanging="180"/>
      </w:pPr>
    </w:lvl>
    <w:lvl w:ilvl="3" w:tplc="8F16AC02" w:tentative="1">
      <w:start w:val="1"/>
      <w:numFmt w:val="decimal"/>
      <w:lvlText w:val="%4."/>
      <w:lvlJc w:val="left"/>
      <w:pPr>
        <w:ind w:left="4644" w:hanging="360"/>
      </w:pPr>
    </w:lvl>
    <w:lvl w:ilvl="4" w:tplc="7A76A518" w:tentative="1">
      <w:start w:val="1"/>
      <w:numFmt w:val="lowerLetter"/>
      <w:lvlText w:val="%5."/>
      <w:lvlJc w:val="left"/>
      <w:pPr>
        <w:ind w:left="5364" w:hanging="360"/>
      </w:pPr>
    </w:lvl>
    <w:lvl w:ilvl="5" w:tplc="0D469BBE" w:tentative="1">
      <w:start w:val="1"/>
      <w:numFmt w:val="lowerRoman"/>
      <w:lvlText w:val="%6."/>
      <w:lvlJc w:val="right"/>
      <w:pPr>
        <w:ind w:left="6084" w:hanging="180"/>
      </w:pPr>
    </w:lvl>
    <w:lvl w:ilvl="6" w:tplc="73BEBB56" w:tentative="1">
      <w:start w:val="1"/>
      <w:numFmt w:val="decimal"/>
      <w:lvlText w:val="%7."/>
      <w:lvlJc w:val="left"/>
      <w:pPr>
        <w:ind w:left="6804" w:hanging="360"/>
      </w:pPr>
    </w:lvl>
    <w:lvl w:ilvl="7" w:tplc="774C4010" w:tentative="1">
      <w:start w:val="1"/>
      <w:numFmt w:val="lowerLetter"/>
      <w:lvlText w:val="%8."/>
      <w:lvlJc w:val="left"/>
      <w:pPr>
        <w:ind w:left="7524" w:hanging="360"/>
      </w:pPr>
    </w:lvl>
    <w:lvl w:ilvl="8" w:tplc="0AE66514" w:tentative="1">
      <w:start w:val="1"/>
      <w:numFmt w:val="lowerRoman"/>
      <w:lvlText w:val="%9."/>
      <w:lvlJc w:val="right"/>
      <w:pPr>
        <w:ind w:left="8244" w:hanging="180"/>
      </w:pPr>
    </w:lvl>
  </w:abstractNum>
  <w:abstractNum w:abstractNumId="240" w15:restartNumberingAfterBreak="0">
    <w:nsid w:val="44DA1056"/>
    <w:multiLevelType w:val="multilevel"/>
    <w:tmpl w:val="EC8AFB30"/>
    <w:lvl w:ilvl="0">
      <w:start w:val="1"/>
      <w:numFmt w:val="lowerLetter"/>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44F366E6"/>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242" w15:restartNumberingAfterBreak="0">
    <w:nsid w:val="450F1727"/>
    <w:multiLevelType w:val="hybridMultilevel"/>
    <w:tmpl w:val="7F3A49AC"/>
    <w:lvl w:ilvl="0" w:tplc="D756BDF4">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5144FF7"/>
    <w:multiLevelType w:val="hybridMultilevel"/>
    <w:tmpl w:val="DD56E0E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4" w15:restartNumberingAfterBreak="0">
    <w:nsid w:val="45E944F1"/>
    <w:multiLevelType w:val="hybridMultilevel"/>
    <w:tmpl w:val="336AB4B2"/>
    <w:lvl w:ilvl="0" w:tplc="300A0001">
      <w:start w:val="1"/>
      <w:numFmt w:val="bullet"/>
      <w:lvlText w:val=""/>
      <w:lvlJc w:val="left"/>
      <w:pPr>
        <w:ind w:left="3065" w:hanging="360"/>
      </w:pPr>
      <w:rPr>
        <w:rFonts w:ascii="Symbol" w:hAnsi="Symbol" w:hint="default"/>
      </w:rPr>
    </w:lvl>
    <w:lvl w:ilvl="1" w:tplc="300A0003" w:tentative="1">
      <w:start w:val="1"/>
      <w:numFmt w:val="bullet"/>
      <w:lvlText w:val="o"/>
      <w:lvlJc w:val="left"/>
      <w:pPr>
        <w:ind w:left="3785" w:hanging="360"/>
      </w:pPr>
      <w:rPr>
        <w:rFonts w:ascii="Courier New" w:hAnsi="Courier New" w:cs="Courier New" w:hint="default"/>
      </w:rPr>
    </w:lvl>
    <w:lvl w:ilvl="2" w:tplc="300A0005" w:tentative="1">
      <w:start w:val="1"/>
      <w:numFmt w:val="bullet"/>
      <w:lvlText w:val=""/>
      <w:lvlJc w:val="left"/>
      <w:pPr>
        <w:ind w:left="4505" w:hanging="360"/>
      </w:pPr>
      <w:rPr>
        <w:rFonts w:ascii="Wingdings" w:hAnsi="Wingdings" w:hint="default"/>
      </w:rPr>
    </w:lvl>
    <w:lvl w:ilvl="3" w:tplc="300A0001" w:tentative="1">
      <w:start w:val="1"/>
      <w:numFmt w:val="bullet"/>
      <w:lvlText w:val=""/>
      <w:lvlJc w:val="left"/>
      <w:pPr>
        <w:ind w:left="5225" w:hanging="360"/>
      </w:pPr>
      <w:rPr>
        <w:rFonts w:ascii="Symbol" w:hAnsi="Symbol" w:hint="default"/>
      </w:rPr>
    </w:lvl>
    <w:lvl w:ilvl="4" w:tplc="300A0003" w:tentative="1">
      <w:start w:val="1"/>
      <w:numFmt w:val="bullet"/>
      <w:lvlText w:val="o"/>
      <w:lvlJc w:val="left"/>
      <w:pPr>
        <w:ind w:left="5945" w:hanging="360"/>
      </w:pPr>
      <w:rPr>
        <w:rFonts w:ascii="Courier New" w:hAnsi="Courier New" w:cs="Courier New" w:hint="default"/>
      </w:rPr>
    </w:lvl>
    <w:lvl w:ilvl="5" w:tplc="300A0005" w:tentative="1">
      <w:start w:val="1"/>
      <w:numFmt w:val="bullet"/>
      <w:lvlText w:val=""/>
      <w:lvlJc w:val="left"/>
      <w:pPr>
        <w:ind w:left="6665" w:hanging="360"/>
      </w:pPr>
      <w:rPr>
        <w:rFonts w:ascii="Wingdings" w:hAnsi="Wingdings" w:hint="default"/>
      </w:rPr>
    </w:lvl>
    <w:lvl w:ilvl="6" w:tplc="300A0001" w:tentative="1">
      <w:start w:val="1"/>
      <w:numFmt w:val="bullet"/>
      <w:lvlText w:val=""/>
      <w:lvlJc w:val="left"/>
      <w:pPr>
        <w:ind w:left="7385" w:hanging="360"/>
      </w:pPr>
      <w:rPr>
        <w:rFonts w:ascii="Symbol" w:hAnsi="Symbol" w:hint="default"/>
      </w:rPr>
    </w:lvl>
    <w:lvl w:ilvl="7" w:tplc="300A0003" w:tentative="1">
      <w:start w:val="1"/>
      <w:numFmt w:val="bullet"/>
      <w:lvlText w:val="o"/>
      <w:lvlJc w:val="left"/>
      <w:pPr>
        <w:ind w:left="8105" w:hanging="360"/>
      </w:pPr>
      <w:rPr>
        <w:rFonts w:ascii="Courier New" w:hAnsi="Courier New" w:cs="Courier New" w:hint="default"/>
      </w:rPr>
    </w:lvl>
    <w:lvl w:ilvl="8" w:tplc="300A0005" w:tentative="1">
      <w:start w:val="1"/>
      <w:numFmt w:val="bullet"/>
      <w:lvlText w:val=""/>
      <w:lvlJc w:val="left"/>
      <w:pPr>
        <w:ind w:left="8825" w:hanging="360"/>
      </w:pPr>
      <w:rPr>
        <w:rFonts w:ascii="Wingdings" w:hAnsi="Wingdings" w:hint="default"/>
      </w:rPr>
    </w:lvl>
  </w:abstractNum>
  <w:abstractNum w:abstractNumId="245" w15:restartNumberingAfterBreak="0">
    <w:nsid w:val="485D6AC8"/>
    <w:multiLevelType w:val="hybridMultilevel"/>
    <w:tmpl w:val="B98810E2"/>
    <w:lvl w:ilvl="0" w:tplc="FFFFFFFF">
      <w:start w:val="1"/>
      <w:numFmt w:val="lowerLetter"/>
      <w:lvlText w:val="%1."/>
      <w:lvlJc w:val="left"/>
      <w:pPr>
        <w:ind w:left="1795" w:hanging="360"/>
      </w:pPr>
      <w:rPr>
        <w:rFonts w:hint="default"/>
        <w:lang w:val="es-EC"/>
      </w:rPr>
    </w:lvl>
    <w:lvl w:ilvl="1" w:tplc="300A0019" w:tentative="1">
      <w:start w:val="1"/>
      <w:numFmt w:val="lowerLetter"/>
      <w:lvlText w:val="%2."/>
      <w:lvlJc w:val="left"/>
      <w:pPr>
        <w:ind w:left="1032" w:hanging="360"/>
      </w:pPr>
    </w:lvl>
    <w:lvl w:ilvl="2" w:tplc="300A001B" w:tentative="1">
      <w:start w:val="1"/>
      <w:numFmt w:val="lowerRoman"/>
      <w:lvlText w:val="%3."/>
      <w:lvlJc w:val="right"/>
      <w:pPr>
        <w:ind w:left="1752" w:hanging="180"/>
      </w:pPr>
    </w:lvl>
    <w:lvl w:ilvl="3" w:tplc="300A000F" w:tentative="1">
      <w:start w:val="1"/>
      <w:numFmt w:val="decimal"/>
      <w:lvlText w:val="%4."/>
      <w:lvlJc w:val="left"/>
      <w:pPr>
        <w:ind w:left="2472" w:hanging="360"/>
      </w:pPr>
    </w:lvl>
    <w:lvl w:ilvl="4" w:tplc="300A0019" w:tentative="1">
      <w:start w:val="1"/>
      <w:numFmt w:val="lowerLetter"/>
      <w:lvlText w:val="%5."/>
      <w:lvlJc w:val="left"/>
      <w:pPr>
        <w:ind w:left="3192" w:hanging="360"/>
      </w:pPr>
    </w:lvl>
    <w:lvl w:ilvl="5" w:tplc="300A001B" w:tentative="1">
      <w:start w:val="1"/>
      <w:numFmt w:val="lowerRoman"/>
      <w:lvlText w:val="%6."/>
      <w:lvlJc w:val="right"/>
      <w:pPr>
        <w:ind w:left="3912" w:hanging="180"/>
      </w:pPr>
    </w:lvl>
    <w:lvl w:ilvl="6" w:tplc="300A000F" w:tentative="1">
      <w:start w:val="1"/>
      <w:numFmt w:val="decimal"/>
      <w:lvlText w:val="%7."/>
      <w:lvlJc w:val="left"/>
      <w:pPr>
        <w:ind w:left="4632" w:hanging="360"/>
      </w:pPr>
    </w:lvl>
    <w:lvl w:ilvl="7" w:tplc="300A0019" w:tentative="1">
      <w:start w:val="1"/>
      <w:numFmt w:val="lowerLetter"/>
      <w:lvlText w:val="%8."/>
      <w:lvlJc w:val="left"/>
      <w:pPr>
        <w:ind w:left="5352" w:hanging="360"/>
      </w:pPr>
    </w:lvl>
    <w:lvl w:ilvl="8" w:tplc="300A001B" w:tentative="1">
      <w:start w:val="1"/>
      <w:numFmt w:val="lowerRoman"/>
      <w:lvlText w:val="%9."/>
      <w:lvlJc w:val="right"/>
      <w:pPr>
        <w:ind w:left="6072" w:hanging="180"/>
      </w:pPr>
    </w:lvl>
  </w:abstractNum>
  <w:abstractNum w:abstractNumId="24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15:restartNumberingAfterBreak="0">
    <w:nsid w:val="489F520C"/>
    <w:multiLevelType w:val="multilevel"/>
    <w:tmpl w:val="A09282BC"/>
    <w:lvl w:ilvl="0">
      <w:start w:val="1"/>
      <w:numFmt w:val="bullet"/>
      <w:lvlText w:val=""/>
      <w:lvlJc w:val="left"/>
      <w:pPr>
        <w:ind w:left="2061" w:hanging="360"/>
      </w:pPr>
      <w:rPr>
        <w:rFonts w:ascii="Symbol" w:hAnsi="Symbol" w:hint="default"/>
      </w:rPr>
    </w:lvl>
    <w:lvl w:ilvl="1">
      <w:start w:val="1"/>
      <w:numFmt w:val="lowerLetter"/>
      <w:lvlText w:val="%2."/>
      <w:lvlJc w:val="left"/>
      <w:pPr>
        <w:ind w:left="2549" w:hanging="360"/>
      </w:pPr>
    </w:lvl>
    <w:lvl w:ilvl="2">
      <w:start w:val="1"/>
      <w:numFmt w:val="lowerRoman"/>
      <w:lvlText w:val="%3."/>
      <w:lvlJc w:val="right"/>
      <w:pPr>
        <w:ind w:left="3269" w:hanging="180"/>
      </w:pPr>
    </w:lvl>
    <w:lvl w:ilvl="3">
      <w:start w:val="1"/>
      <w:numFmt w:val="decimal"/>
      <w:lvlText w:val="%4."/>
      <w:lvlJc w:val="left"/>
      <w:pPr>
        <w:ind w:left="3989" w:hanging="360"/>
      </w:pPr>
    </w:lvl>
    <w:lvl w:ilvl="4">
      <w:start w:val="1"/>
      <w:numFmt w:val="lowerLetter"/>
      <w:lvlText w:val="%5."/>
      <w:lvlJc w:val="left"/>
      <w:pPr>
        <w:ind w:left="4709" w:hanging="360"/>
      </w:pPr>
    </w:lvl>
    <w:lvl w:ilvl="5">
      <w:start w:val="1"/>
      <w:numFmt w:val="lowerRoman"/>
      <w:lvlText w:val="%6."/>
      <w:lvlJc w:val="right"/>
      <w:pPr>
        <w:ind w:left="5429" w:hanging="180"/>
      </w:pPr>
    </w:lvl>
    <w:lvl w:ilvl="6">
      <w:start w:val="1"/>
      <w:numFmt w:val="decimal"/>
      <w:lvlText w:val="%7."/>
      <w:lvlJc w:val="left"/>
      <w:pPr>
        <w:ind w:left="6149" w:hanging="360"/>
      </w:pPr>
    </w:lvl>
    <w:lvl w:ilvl="7">
      <w:start w:val="1"/>
      <w:numFmt w:val="lowerLetter"/>
      <w:lvlText w:val="%8."/>
      <w:lvlJc w:val="left"/>
      <w:pPr>
        <w:ind w:left="6869" w:hanging="360"/>
      </w:pPr>
    </w:lvl>
    <w:lvl w:ilvl="8">
      <w:start w:val="1"/>
      <w:numFmt w:val="lowerRoman"/>
      <w:lvlText w:val="%9."/>
      <w:lvlJc w:val="right"/>
      <w:pPr>
        <w:ind w:left="7589" w:hanging="180"/>
      </w:pPr>
    </w:lvl>
  </w:abstractNum>
  <w:abstractNum w:abstractNumId="248" w15:restartNumberingAfterBreak="0">
    <w:nsid w:val="48F34FBE"/>
    <w:multiLevelType w:val="hybridMultilevel"/>
    <w:tmpl w:val="63C02056"/>
    <w:lvl w:ilvl="0" w:tplc="9E14EA3E">
      <w:start w:val="1"/>
      <w:numFmt w:val="lowerLetter"/>
      <w:lvlText w:val="(%1)"/>
      <w:lvlJc w:val="left"/>
      <w:pPr>
        <w:ind w:left="1080" w:hanging="360"/>
      </w:pPr>
      <w:rPr>
        <w:rFonts w:hint="default"/>
        <w:b w:val="0"/>
        <w:i w:val="0"/>
        <w:color w:val="auto"/>
        <w:sz w:val="22"/>
        <w:szCs w:val="22"/>
        <w:u w:val="none"/>
      </w:rPr>
    </w:lvl>
    <w:lvl w:ilvl="1" w:tplc="A72A6714">
      <w:start w:val="3"/>
      <w:numFmt w:val="lowerLetter"/>
      <w:lvlText w:val="(%2)"/>
      <w:lvlJc w:val="left"/>
      <w:pPr>
        <w:tabs>
          <w:tab w:val="num" w:pos="2319"/>
        </w:tabs>
        <w:ind w:left="2319" w:hanging="540"/>
      </w:pPr>
      <w:rPr>
        <w:rFonts w:hint="default"/>
      </w:rPr>
    </w:lvl>
    <w:lvl w:ilvl="2" w:tplc="F078DCD2">
      <w:start w:val="2"/>
      <w:numFmt w:val="lowerLetter"/>
      <w:lvlText w:val="(%3)"/>
      <w:lvlJc w:val="left"/>
      <w:pPr>
        <w:tabs>
          <w:tab w:val="num" w:pos="2880"/>
        </w:tabs>
        <w:ind w:left="2880" w:hanging="540"/>
      </w:pPr>
      <w:rPr>
        <w:rFonts w:hint="default"/>
        <w:b/>
        <w:i w:val="0"/>
        <w:color w:val="auto"/>
        <w:sz w:val="22"/>
        <w:szCs w:val="22"/>
        <w:u w:val="none"/>
      </w:rPr>
    </w:lvl>
    <w:lvl w:ilvl="3" w:tplc="1DCEF202" w:tentative="1">
      <w:start w:val="1"/>
      <w:numFmt w:val="decimal"/>
      <w:lvlText w:val="%4."/>
      <w:lvlJc w:val="left"/>
      <w:pPr>
        <w:tabs>
          <w:tab w:val="num" w:pos="3240"/>
        </w:tabs>
        <w:ind w:left="3240" w:hanging="360"/>
      </w:pPr>
    </w:lvl>
    <w:lvl w:ilvl="4" w:tplc="F36E7796" w:tentative="1">
      <w:start w:val="1"/>
      <w:numFmt w:val="lowerLetter"/>
      <w:lvlText w:val="%5."/>
      <w:lvlJc w:val="left"/>
      <w:pPr>
        <w:tabs>
          <w:tab w:val="num" w:pos="3960"/>
        </w:tabs>
        <w:ind w:left="3960" w:hanging="360"/>
      </w:pPr>
    </w:lvl>
    <w:lvl w:ilvl="5" w:tplc="22BE4C82" w:tentative="1">
      <w:start w:val="1"/>
      <w:numFmt w:val="lowerRoman"/>
      <w:lvlText w:val="%6."/>
      <w:lvlJc w:val="right"/>
      <w:pPr>
        <w:tabs>
          <w:tab w:val="num" w:pos="4680"/>
        </w:tabs>
        <w:ind w:left="4680" w:hanging="180"/>
      </w:pPr>
    </w:lvl>
    <w:lvl w:ilvl="6" w:tplc="8A66D35A" w:tentative="1">
      <w:start w:val="1"/>
      <w:numFmt w:val="decimal"/>
      <w:lvlText w:val="%7."/>
      <w:lvlJc w:val="left"/>
      <w:pPr>
        <w:tabs>
          <w:tab w:val="num" w:pos="5400"/>
        </w:tabs>
        <w:ind w:left="5400" w:hanging="360"/>
      </w:pPr>
    </w:lvl>
    <w:lvl w:ilvl="7" w:tplc="D6B44656" w:tentative="1">
      <w:start w:val="1"/>
      <w:numFmt w:val="lowerLetter"/>
      <w:lvlText w:val="%8."/>
      <w:lvlJc w:val="left"/>
      <w:pPr>
        <w:tabs>
          <w:tab w:val="num" w:pos="6120"/>
        </w:tabs>
        <w:ind w:left="6120" w:hanging="360"/>
      </w:pPr>
    </w:lvl>
    <w:lvl w:ilvl="8" w:tplc="A61C2B76" w:tentative="1">
      <w:start w:val="1"/>
      <w:numFmt w:val="lowerRoman"/>
      <w:lvlText w:val="%9."/>
      <w:lvlJc w:val="right"/>
      <w:pPr>
        <w:tabs>
          <w:tab w:val="num" w:pos="6840"/>
        </w:tabs>
        <w:ind w:left="6840" w:hanging="180"/>
      </w:pPr>
    </w:lvl>
  </w:abstractNum>
  <w:abstractNum w:abstractNumId="249" w15:restartNumberingAfterBreak="0">
    <w:nsid w:val="48F64649"/>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250" w15:restartNumberingAfterBreak="0">
    <w:nsid w:val="491D1292"/>
    <w:multiLevelType w:val="multilevel"/>
    <w:tmpl w:val="26AE645A"/>
    <w:lvl w:ilvl="0">
      <w:start w:val="1"/>
      <w:numFmt w:val="bullet"/>
      <w:lvlText w:val=""/>
      <w:lvlJc w:val="left"/>
      <w:pPr>
        <w:ind w:left="2138" w:hanging="360"/>
      </w:pPr>
      <w:rPr>
        <w:rFonts w:ascii="Symbol" w:hAnsi="Symbol" w:hint="default"/>
      </w:rPr>
    </w:lvl>
    <w:lvl w:ilvl="1">
      <w:start w:val="1"/>
      <w:numFmt w:val="lowerLetter"/>
      <w:lvlText w:val="%2."/>
      <w:lvlJc w:val="left"/>
      <w:pPr>
        <w:ind w:left="2768" w:hanging="360"/>
      </w:pPr>
    </w:lvl>
    <w:lvl w:ilvl="2">
      <w:start w:val="1"/>
      <w:numFmt w:val="lowerRoman"/>
      <w:lvlText w:val="%3."/>
      <w:lvlJc w:val="right"/>
      <w:pPr>
        <w:ind w:left="3488" w:hanging="180"/>
      </w:pPr>
    </w:lvl>
    <w:lvl w:ilvl="3">
      <w:start w:val="1"/>
      <w:numFmt w:val="decimal"/>
      <w:lvlText w:val="%4."/>
      <w:lvlJc w:val="left"/>
      <w:pPr>
        <w:ind w:left="4208" w:hanging="360"/>
      </w:pPr>
    </w:lvl>
    <w:lvl w:ilvl="4">
      <w:start w:val="1"/>
      <w:numFmt w:val="lowerLetter"/>
      <w:lvlText w:val="%5."/>
      <w:lvlJc w:val="left"/>
      <w:pPr>
        <w:ind w:left="4928" w:hanging="360"/>
      </w:pPr>
    </w:lvl>
    <w:lvl w:ilvl="5">
      <w:start w:val="1"/>
      <w:numFmt w:val="lowerRoman"/>
      <w:lvlText w:val="%6."/>
      <w:lvlJc w:val="right"/>
      <w:pPr>
        <w:ind w:left="5648" w:hanging="180"/>
      </w:pPr>
    </w:lvl>
    <w:lvl w:ilvl="6">
      <w:start w:val="1"/>
      <w:numFmt w:val="decimal"/>
      <w:lvlText w:val="%7."/>
      <w:lvlJc w:val="left"/>
      <w:pPr>
        <w:ind w:left="6368" w:hanging="360"/>
      </w:pPr>
    </w:lvl>
    <w:lvl w:ilvl="7">
      <w:start w:val="1"/>
      <w:numFmt w:val="lowerLetter"/>
      <w:lvlText w:val="%8."/>
      <w:lvlJc w:val="left"/>
      <w:pPr>
        <w:ind w:left="7088" w:hanging="360"/>
      </w:pPr>
    </w:lvl>
    <w:lvl w:ilvl="8">
      <w:start w:val="1"/>
      <w:numFmt w:val="lowerRoman"/>
      <w:lvlText w:val="%9."/>
      <w:lvlJc w:val="right"/>
      <w:pPr>
        <w:ind w:left="7808" w:hanging="180"/>
      </w:pPr>
    </w:lvl>
  </w:abstractNum>
  <w:abstractNum w:abstractNumId="251" w15:restartNumberingAfterBreak="0">
    <w:nsid w:val="49892331"/>
    <w:multiLevelType w:val="hybridMultilevel"/>
    <w:tmpl w:val="D7C8C310"/>
    <w:lvl w:ilvl="0" w:tplc="C3564D54">
      <w:start w:val="1"/>
      <w:numFmt w:val="lowerLetter"/>
      <w:lvlText w:val="%1."/>
      <w:lvlJc w:val="left"/>
      <w:pPr>
        <w:ind w:left="720" w:hanging="360"/>
      </w:pPr>
    </w:lvl>
    <w:lvl w:ilvl="1" w:tplc="E26835F8">
      <w:start w:val="1"/>
      <w:numFmt w:val="lowerLetter"/>
      <w:lvlText w:val="%2."/>
      <w:lvlJc w:val="left"/>
      <w:pPr>
        <w:ind w:left="1440" w:hanging="360"/>
      </w:pPr>
    </w:lvl>
    <w:lvl w:ilvl="2" w:tplc="C8F8619E">
      <w:start w:val="1"/>
      <w:numFmt w:val="lowerRoman"/>
      <w:lvlText w:val="%3."/>
      <w:lvlJc w:val="right"/>
      <w:pPr>
        <w:ind w:left="2160" w:hanging="180"/>
      </w:pPr>
    </w:lvl>
    <w:lvl w:ilvl="3" w:tplc="71BE15B8">
      <w:start w:val="1"/>
      <w:numFmt w:val="decimal"/>
      <w:lvlText w:val="%4."/>
      <w:lvlJc w:val="left"/>
      <w:pPr>
        <w:ind w:left="2880" w:hanging="360"/>
      </w:pPr>
    </w:lvl>
    <w:lvl w:ilvl="4" w:tplc="7AFA6996">
      <w:start w:val="1"/>
      <w:numFmt w:val="lowerLetter"/>
      <w:lvlText w:val="%5."/>
      <w:lvlJc w:val="left"/>
      <w:pPr>
        <w:ind w:left="3600" w:hanging="360"/>
      </w:pPr>
    </w:lvl>
    <w:lvl w:ilvl="5" w:tplc="FF4A52A0">
      <w:start w:val="1"/>
      <w:numFmt w:val="lowerRoman"/>
      <w:lvlText w:val="%6."/>
      <w:lvlJc w:val="right"/>
      <w:pPr>
        <w:ind w:left="4320" w:hanging="180"/>
      </w:pPr>
    </w:lvl>
    <w:lvl w:ilvl="6" w:tplc="211C9AB0">
      <w:start w:val="1"/>
      <w:numFmt w:val="decimal"/>
      <w:lvlText w:val="%7."/>
      <w:lvlJc w:val="left"/>
      <w:pPr>
        <w:ind w:left="5040" w:hanging="360"/>
      </w:pPr>
    </w:lvl>
    <w:lvl w:ilvl="7" w:tplc="B890F060">
      <w:start w:val="1"/>
      <w:numFmt w:val="lowerLetter"/>
      <w:lvlText w:val="%8."/>
      <w:lvlJc w:val="left"/>
      <w:pPr>
        <w:ind w:left="5760" w:hanging="360"/>
      </w:pPr>
    </w:lvl>
    <w:lvl w:ilvl="8" w:tplc="1206B0D0">
      <w:start w:val="1"/>
      <w:numFmt w:val="lowerRoman"/>
      <w:lvlText w:val="%9."/>
      <w:lvlJc w:val="right"/>
      <w:pPr>
        <w:ind w:left="6480" w:hanging="180"/>
      </w:pPr>
    </w:lvl>
  </w:abstractNum>
  <w:abstractNum w:abstractNumId="252" w15:restartNumberingAfterBreak="0">
    <w:nsid w:val="4A16650B"/>
    <w:multiLevelType w:val="hybridMultilevel"/>
    <w:tmpl w:val="3AF076E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3" w15:restartNumberingAfterBreak="0">
    <w:nsid w:val="4A241D9F"/>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254" w15:restartNumberingAfterBreak="0">
    <w:nsid w:val="4A7600C4"/>
    <w:multiLevelType w:val="hybridMultilevel"/>
    <w:tmpl w:val="5C466260"/>
    <w:lvl w:ilvl="0" w:tplc="7BAAAA8E">
      <w:start w:val="1"/>
      <w:numFmt w:val="bullet"/>
      <w:lvlText w:val=""/>
      <w:lvlJc w:val="left"/>
      <w:pPr>
        <w:ind w:left="728" w:hanging="360"/>
      </w:pPr>
      <w:rPr>
        <w:rFonts w:ascii="Symbol" w:hAnsi="Symbol" w:hint="default"/>
      </w:rPr>
    </w:lvl>
    <w:lvl w:ilvl="1" w:tplc="8C5E7C32">
      <w:start w:val="1"/>
      <w:numFmt w:val="bullet"/>
      <w:lvlText w:val="-"/>
      <w:lvlJc w:val="left"/>
      <w:pPr>
        <w:ind w:left="1448" w:hanging="360"/>
      </w:pPr>
      <w:rPr>
        <w:rFonts w:ascii="Calibri" w:hAnsi="Calibri" w:hint="default"/>
      </w:rPr>
    </w:lvl>
    <w:lvl w:ilvl="2" w:tplc="ECC87DCC">
      <w:start w:val="1"/>
      <w:numFmt w:val="bullet"/>
      <w:lvlText w:val=""/>
      <w:lvlJc w:val="left"/>
      <w:pPr>
        <w:ind w:left="2168" w:hanging="360"/>
      </w:pPr>
      <w:rPr>
        <w:rFonts w:ascii="Wingdings" w:hAnsi="Wingdings" w:hint="default"/>
      </w:rPr>
    </w:lvl>
    <w:lvl w:ilvl="3" w:tplc="712C2ECA">
      <w:start w:val="1"/>
      <w:numFmt w:val="bullet"/>
      <w:lvlText w:val=""/>
      <w:lvlJc w:val="left"/>
      <w:pPr>
        <w:ind w:left="2888" w:hanging="360"/>
      </w:pPr>
      <w:rPr>
        <w:rFonts w:ascii="Symbol" w:hAnsi="Symbol" w:hint="default"/>
      </w:rPr>
    </w:lvl>
    <w:lvl w:ilvl="4" w:tplc="7EAC1DB2">
      <w:start w:val="1"/>
      <w:numFmt w:val="bullet"/>
      <w:lvlText w:val="o"/>
      <w:lvlJc w:val="left"/>
      <w:pPr>
        <w:ind w:left="3608" w:hanging="360"/>
      </w:pPr>
      <w:rPr>
        <w:rFonts w:ascii="Courier New" w:hAnsi="Courier New" w:hint="default"/>
      </w:rPr>
    </w:lvl>
    <w:lvl w:ilvl="5" w:tplc="908EFBEE">
      <w:start w:val="1"/>
      <w:numFmt w:val="bullet"/>
      <w:lvlText w:val=""/>
      <w:lvlJc w:val="left"/>
      <w:pPr>
        <w:ind w:left="4328" w:hanging="360"/>
      </w:pPr>
      <w:rPr>
        <w:rFonts w:ascii="Wingdings" w:hAnsi="Wingdings" w:hint="default"/>
      </w:rPr>
    </w:lvl>
    <w:lvl w:ilvl="6" w:tplc="77F0C626">
      <w:start w:val="1"/>
      <w:numFmt w:val="bullet"/>
      <w:lvlText w:val=""/>
      <w:lvlJc w:val="left"/>
      <w:pPr>
        <w:ind w:left="5048" w:hanging="360"/>
      </w:pPr>
      <w:rPr>
        <w:rFonts w:ascii="Symbol" w:hAnsi="Symbol" w:hint="default"/>
      </w:rPr>
    </w:lvl>
    <w:lvl w:ilvl="7" w:tplc="45787BE2">
      <w:start w:val="1"/>
      <w:numFmt w:val="bullet"/>
      <w:lvlText w:val="o"/>
      <w:lvlJc w:val="left"/>
      <w:pPr>
        <w:ind w:left="5768" w:hanging="360"/>
      </w:pPr>
      <w:rPr>
        <w:rFonts w:ascii="Courier New" w:hAnsi="Courier New" w:hint="default"/>
      </w:rPr>
    </w:lvl>
    <w:lvl w:ilvl="8" w:tplc="E8A8F6A8">
      <w:start w:val="1"/>
      <w:numFmt w:val="bullet"/>
      <w:lvlText w:val=""/>
      <w:lvlJc w:val="left"/>
      <w:pPr>
        <w:ind w:left="6488" w:hanging="360"/>
      </w:pPr>
      <w:rPr>
        <w:rFonts w:ascii="Wingdings" w:hAnsi="Wingdings" w:hint="default"/>
      </w:rPr>
    </w:lvl>
  </w:abstractNum>
  <w:abstractNum w:abstractNumId="255" w15:restartNumberingAfterBreak="0">
    <w:nsid w:val="4A76655B"/>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256" w15:restartNumberingAfterBreak="0">
    <w:nsid w:val="4A932C7A"/>
    <w:multiLevelType w:val="hybridMultilevel"/>
    <w:tmpl w:val="C9F07624"/>
    <w:lvl w:ilvl="0" w:tplc="04FC8020">
      <w:start w:val="1"/>
      <w:numFmt w:val="decimal"/>
      <w:lvlText w:val="6.%1"/>
      <w:lvlJc w:val="left"/>
      <w:pPr>
        <w:ind w:left="144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AD1753D"/>
    <w:multiLevelType w:val="hybridMultilevel"/>
    <w:tmpl w:val="3C645AC8"/>
    <w:lvl w:ilvl="0" w:tplc="300A0001">
      <w:start w:val="1"/>
      <w:numFmt w:val="bullet"/>
      <w:lvlText w:val=""/>
      <w:lvlJc w:val="left"/>
      <w:pPr>
        <w:ind w:left="2160" w:hanging="360"/>
      </w:pPr>
      <w:rPr>
        <w:rFonts w:ascii="Symbol" w:hAnsi="Symbol" w:hint="default"/>
      </w:r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258" w15:restartNumberingAfterBreak="0">
    <w:nsid w:val="4AEF7143"/>
    <w:multiLevelType w:val="multilevel"/>
    <w:tmpl w:val="AC9E9F30"/>
    <w:lvl w:ilvl="0">
      <w:start w:val="1"/>
      <w:numFmt w:val="bullet"/>
      <w:lvlText w:val=""/>
      <w:lvlJc w:val="left"/>
      <w:pPr>
        <w:tabs>
          <w:tab w:val="num" w:pos="-468"/>
        </w:tabs>
        <w:ind w:left="-468" w:hanging="360"/>
      </w:pPr>
      <w:rPr>
        <w:rFonts w:ascii="Symbol" w:hAnsi="Symbol" w:hint="default"/>
        <w:sz w:val="20"/>
      </w:rPr>
    </w:lvl>
    <w:lvl w:ilvl="1" w:tentative="1">
      <w:start w:val="1"/>
      <w:numFmt w:val="bullet"/>
      <w:lvlText w:val="o"/>
      <w:lvlJc w:val="left"/>
      <w:pPr>
        <w:tabs>
          <w:tab w:val="num" w:pos="252"/>
        </w:tabs>
        <w:ind w:left="252" w:hanging="360"/>
      </w:pPr>
      <w:rPr>
        <w:rFonts w:ascii="Courier New" w:hAnsi="Courier New" w:hint="default"/>
        <w:sz w:val="20"/>
      </w:rPr>
    </w:lvl>
    <w:lvl w:ilvl="2" w:tentative="1">
      <w:start w:val="1"/>
      <w:numFmt w:val="bullet"/>
      <w:lvlText w:val=""/>
      <w:lvlJc w:val="left"/>
      <w:pPr>
        <w:tabs>
          <w:tab w:val="num" w:pos="972"/>
        </w:tabs>
        <w:ind w:left="972" w:hanging="360"/>
      </w:pPr>
      <w:rPr>
        <w:rFonts w:ascii="Wingdings" w:hAnsi="Wingdings" w:hint="default"/>
        <w:sz w:val="20"/>
      </w:rPr>
    </w:lvl>
    <w:lvl w:ilvl="3" w:tentative="1">
      <w:start w:val="1"/>
      <w:numFmt w:val="bullet"/>
      <w:lvlText w:val=""/>
      <w:lvlJc w:val="left"/>
      <w:pPr>
        <w:tabs>
          <w:tab w:val="num" w:pos="1692"/>
        </w:tabs>
        <w:ind w:left="1692" w:hanging="360"/>
      </w:pPr>
      <w:rPr>
        <w:rFonts w:ascii="Wingdings" w:hAnsi="Wingdings" w:hint="default"/>
        <w:sz w:val="20"/>
      </w:rPr>
    </w:lvl>
    <w:lvl w:ilvl="4" w:tentative="1">
      <w:start w:val="1"/>
      <w:numFmt w:val="bullet"/>
      <w:lvlText w:val=""/>
      <w:lvlJc w:val="left"/>
      <w:pPr>
        <w:tabs>
          <w:tab w:val="num" w:pos="2412"/>
        </w:tabs>
        <w:ind w:left="2412" w:hanging="360"/>
      </w:pPr>
      <w:rPr>
        <w:rFonts w:ascii="Wingdings" w:hAnsi="Wingdings" w:hint="default"/>
        <w:sz w:val="20"/>
      </w:rPr>
    </w:lvl>
    <w:lvl w:ilvl="5" w:tentative="1">
      <w:start w:val="1"/>
      <w:numFmt w:val="bullet"/>
      <w:lvlText w:val=""/>
      <w:lvlJc w:val="left"/>
      <w:pPr>
        <w:tabs>
          <w:tab w:val="num" w:pos="3132"/>
        </w:tabs>
        <w:ind w:left="3132" w:hanging="360"/>
      </w:pPr>
      <w:rPr>
        <w:rFonts w:ascii="Wingdings" w:hAnsi="Wingdings" w:hint="default"/>
        <w:sz w:val="20"/>
      </w:rPr>
    </w:lvl>
    <w:lvl w:ilvl="6" w:tentative="1">
      <w:start w:val="1"/>
      <w:numFmt w:val="bullet"/>
      <w:lvlText w:val=""/>
      <w:lvlJc w:val="left"/>
      <w:pPr>
        <w:tabs>
          <w:tab w:val="num" w:pos="3852"/>
        </w:tabs>
        <w:ind w:left="3852" w:hanging="360"/>
      </w:pPr>
      <w:rPr>
        <w:rFonts w:ascii="Wingdings" w:hAnsi="Wingdings" w:hint="default"/>
        <w:sz w:val="20"/>
      </w:rPr>
    </w:lvl>
    <w:lvl w:ilvl="7" w:tentative="1">
      <w:start w:val="1"/>
      <w:numFmt w:val="bullet"/>
      <w:lvlText w:val=""/>
      <w:lvlJc w:val="left"/>
      <w:pPr>
        <w:tabs>
          <w:tab w:val="num" w:pos="4572"/>
        </w:tabs>
        <w:ind w:left="4572" w:hanging="360"/>
      </w:pPr>
      <w:rPr>
        <w:rFonts w:ascii="Wingdings" w:hAnsi="Wingdings" w:hint="default"/>
        <w:sz w:val="20"/>
      </w:rPr>
    </w:lvl>
    <w:lvl w:ilvl="8" w:tentative="1">
      <w:start w:val="1"/>
      <w:numFmt w:val="bullet"/>
      <w:lvlText w:val=""/>
      <w:lvlJc w:val="left"/>
      <w:pPr>
        <w:tabs>
          <w:tab w:val="num" w:pos="5292"/>
        </w:tabs>
        <w:ind w:left="5292" w:hanging="360"/>
      </w:pPr>
      <w:rPr>
        <w:rFonts w:ascii="Wingdings" w:hAnsi="Wingdings" w:hint="default"/>
        <w:sz w:val="20"/>
      </w:rPr>
    </w:lvl>
  </w:abstractNum>
  <w:abstractNum w:abstractNumId="259" w15:restartNumberingAfterBreak="0">
    <w:nsid w:val="4BE7104E"/>
    <w:multiLevelType w:val="hybridMultilevel"/>
    <w:tmpl w:val="73DC44A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C285234"/>
    <w:multiLevelType w:val="hybridMultilevel"/>
    <w:tmpl w:val="D80CCCA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61" w15:restartNumberingAfterBreak="0">
    <w:nsid w:val="4C701C10"/>
    <w:multiLevelType w:val="hybridMultilevel"/>
    <w:tmpl w:val="92FC3C68"/>
    <w:lvl w:ilvl="0" w:tplc="8C5E7C32">
      <w:start w:val="1"/>
      <w:numFmt w:val="bullet"/>
      <w:lvlText w:val="-"/>
      <w:lvlJc w:val="left"/>
      <w:pPr>
        <w:ind w:left="3762" w:hanging="360"/>
      </w:pPr>
      <w:rPr>
        <w:rFonts w:ascii="Calibri" w:hAnsi="Calibri" w:hint="default"/>
      </w:rPr>
    </w:lvl>
    <w:lvl w:ilvl="1" w:tplc="FFFFFFFF" w:tentative="1">
      <w:start w:val="1"/>
      <w:numFmt w:val="bullet"/>
      <w:lvlText w:val="o"/>
      <w:lvlJc w:val="left"/>
      <w:pPr>
        <w:ind w:left="4482" w:hanging="360"/>
      </w:pPr>
      <w:rPr>
        <w:rFonts w:ascii="Courier New" w:hAnsi="Courier New" w:cs="Courier New" w:hint="default"/>
      </w:rPr>
    </w:lvl>
    <w:lvl w:ilvl="2" w:tplc="FFFFFFFF" w:tentative="1">
      <w:start w:val="1"/>
      <w:numFmt w:val="bullet"/>
      <w:lvlText w:val=""/>
      <w:lvlJc w:val="left"/>
      <w:pPr>
        <w:ind w:left="5202" w:hanging="360"/>
      </w:pPr>
      <w:rPr>
        <w:rFonts w:ascii="Wingdings" w:hAnsi="Wingdings" w:hint="default"/>
      </w:rPr>
    </w:lvl>
    <w:lvl w:ilvl="3" w:tplc="FFFFFFFF" w:tentative="1">
      <w:start w:val="1"/>
      <w:numFmt w:val="bullet"/>
      <w:lvlText w:val=""/>
      <w:lvlJc w:val="left"/>
      <w:pPr>
        <w:ind w:left="5922" w:hanging="360"/>
      </w:pPr>
      <w:rPr>
        <w:rFonts w:ascii="Symbol" w:hAnsi="Symbol" w:hint="default"/>
      </w:rPr>
    </w:lvl>
    <w:lvl w:ilvl="4" w:tplc="FFFFFFFF" w:tentative="1">
      <w:start w:val="1"/>
      <w:numFmt w:val="bullet"/>
      <w:lvlText w:val="o"/>
      <w:lvlJc w:val="left"/>
      <w:pPr>
        <w:ind w:left="6642" w:hanging="360"/>
      </w:pPr>
      <w:rPr>
        <w:rFonts w:ascii="Courier New" w:hAnsi="Courier New" w:cs="Courier New" w:hint="default"/>
      </w:rPr>
    </w:lvl>
    <w:lvl w:ilvl="5" w:tplc="FFFFFFFF" w:tentative="1">
      <w:start w:val="1"/>
      <w:numFmt w:val="bullet"/>
      <w:lvlText w:val=""/>
      <w:lvlJc w:val="left"/>
      <w:pPr>
        <w:ind w:left="7362" w:hanging="360"/>
      </w:pPr>
      <w:rPr>
        <w:rFonts w:ascii="Wingdings" w:hAnsi="Wingdings" w:hint="default"/>
      </w:rPr>
    </w:lvl>
    <w:lvl w:ilvl="6" w:tplc="FFFFFFFF" w:tentative="1">
      <w:start w:val="1"/>
      <w:numFmt w:val="bullet"/>
      <w:lvlText w:val=""/>
      <w:lvlJc w:val="left"/>
      <w:pPr>
        <w:ind w:left="8082" w:hanging="360"/>
      </w:pPr>
      <w:rPr>
        <w:rFonts w:ascii="Symbol" w:hAnsi="Symbol" w:hint="default"/>
      </w:rPr>
    </w:lvl>
    <w:lvl w:ilvl="7" w:tplc="FFFFFFFF" w:tentative="1">
      <w:start w:val="1"/>
      <w:numFmt w:val="bullet"/>
      <w:lvlText w:val="o"/>
      <w:lvlJc w:val="left"/>
      <w:pPr>
        <w:ind w:left="8802" w:hanging="360"/>
      </w:pPr>
      <w:rPr>
        <w:rFonts w:ascii="Courier New" w:hAnsi="Courier New" w:cs="Courier New" w:hint="default"/>
      </w:rPr>
    </w:lvl>
    <w:lvl w:ilvl="8" w:tplc="FFFFFFFF" w:tentative="1">
      <w:start w:val="1"/>
      <w:numFmt w:val="bullet"/>
      <w:lvlText w:val=""/>
      <w:lvlJc w:val="left"/>
      <w:pPr>
        <w:ind w:left="9522" w:hanging="360"/>
      </w:pPr>
      <w:rPr>
        <w:rFonts w:ascii="Wingdings" w:hAnsi="Wingdings" w:hint="default"/>
      </w:rPr>
    </w:lvl>
  </w:abstractNum>
  <w:abstractNum w:abstractNumId="262" w15:restartNumberingAfterBreak="0">
    <w:nsid w:val="4C7729AD"/>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263" w15:restartNumberingAfterBreak="0">
    <w:nsid w:val="4D0F1012"/>
    <w:multiLevelType w:val="hybridMultilevel"/>
    <w:tmpl w:val="2064F724"/>
    <w:lvl w:ilvl="0" w:tplc="0CDC983E">
      <w:start w:val="1"/>
      <w:numFmt w:val="bullet"/>
      <w:lvlText w:val=""/>
      <w:lvlJc w:val="left"/>
      <w:pPr>
        <w:ind w:left="2484" w:hanging="360"/>
      </w:pPr>
      <w:rPr>
        <w:rFonts w:ascii="Symbol" w:hAnsi="Symbol" w:hint="default"/>
      </w:rPr>
    </w:lvl>
    <w:lvl w:ilvl="1" w:tplc="F426F27E" w:tentative="1">
      <w:start w:val="1"/>
      <w:numFmt w:val="bullet"/>
      <w:lvlText w:val="o"/>
      <w:lvlJc w:val="left"/>
      <w:pPr>
        <w:ind w:left="3204" w:hanging="360"/>
      </w:pPr>
      <w:rPr>
        <w:rFonts w:ascii="Courier New" w:hAnsi="Courier New" w:hint="default"/>
      </w:rPr>
    </w:lvl>
    <w:lvl w:ilvl="2" w:tplc="70DC39DE" w:tentative="1">
      <w:start w:val="1"/>
      <w:numFmt w:val="bullet"/>
      <w:lvlText w:val=""/>
      <w:lvlJc w:val="left"/>
      <w:pPr>
        <w:ind w:left="3924" w:hanging="360"/>
      </w:pPr>
      <w:rPr>
        <w:rFonts w:ascii="Wingdings" w:hAnsi="Wingdings" w:hint="default"/>
      </w:rPr>
    </w:lvl>
    <w:lvl w:ilvl="3" w:tplc="80E0B98A" w:tentative="1">
      <w:start w:val="1"/>
      <w:numFmt w:val="bullet"/>
      <w:lvlText w:val=""/>
      <w:lvlJc w:val="left"/>
      <w:pPr>
        <w:ind w:left="4644" w:hanging="360"/>
      </w:pPr>
      <w:rPr>
        <w:rFonts w:ascii="Symbol" w:hAnsi="Symbol" w:hint="default"/>
      </w:rPr>
    </w:lvl>
    <w:lvl w:ilvl="4" w:tplc="87704B28" w:tentative="1">
      <w:start w:val="1"/>
      <w:numFmt w:val="bullet"/>
      <w:lvlText w:val="o"/>
      <w:lvlJc w:val="left"/>
      <w:pPr>
        <w:ind w:left="5364" w:hanging="360"/>
      </w:pPr>
      <w:rPr>
        <w:rFonts w:ascii="Courier New" w:hAnsi="Courier New" w:hint="default"/>
      </w:rPr>
    </w:lvl>
    <w:lvl w:ilvl="5" w:tplc="CA1E7800" w:tentative="1">
      <w:start w:val="1"/>
      <w:numFmt w:val="bullet"/>
      <w:lvlText w:val=""/>
      <w:lvlJc w:val="left"/>
      <w:pPr>
        <w:ind w:left="6084" w:hanging="360"/>
      </w:pPr>
      <w:rPr>
        <w:rFonts w:ascii="Wingdings" w:hAnsi="Wingdings" w:hint="default"/>
      </w:rPr>
    </w:lvl>
    <w:lvl w:ilvl="6" w:tplc="30E0923A" w:tentative="1">
      <w:start w:val="1"/>
      <w:numFmt w:val="bullet"/>
      <w:lvlText w:val=""/>
      <w:lvlJc w:val="left"/>
      <w:pPr>
        <w:ind w:left="6804" w:hanging="360"/>
      </w:pPr>
      <w:rPr>
        <w:rFonts w:ascii="Symbol" w:hAnsi="Symbol" w:hint="default"/>
      </w:rPr>
    </w:lvl>
    <w:lvl w:ilvl="7" w:tplc="4C4694B6" w:tentative="1">
      <w:start w:val="1"/>
      <w:numFmt w:val="bullet"/>
      <w:lvlText w:val="o"/>
      <w:lvlJc w:val="left"/>
      <w:pPr>
        <w:ind w:left="7524" w:hanging="360"/>
      </w:pPr>
      <w:rPr>
        <w:rFonts w:ascii="Courier New" w:hAnsi="Courier New" w:hint="default"/>
      </w:rPr>
    </w:lvl>
    <w:lvl w:ilvl="8" w:tplc="A7CCB3FA" w:tentative="1">
      <w:start w:val="1"/>
      <w:numFmt w:val="bullet"/>
      <w:lvlText w:val=""/>
      <w:lvlJc w:val="left"/>
      <w:pPr>
        <w:ind w:left="8244" w:hanging="360"/>
      </w:pPr>
      <w:rPr>
        <w:rFonts w:ascii="Wingdings" w:hAnsi="Wingdings" w:hint="default"/>
      </w:rPr>
    </w:lvl>
  </w:abstractNum>
  <w:abstractNum w:abstractNumId="264" w15:restartNumberingAfterBreak="0">
    <w:nsid w:val="4D1262E5"/>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D7549E5"/>
    <w:multiLevelType w:val="hybridMultilevel"/>
    <w:tmpl w:val="1C067D46"/>
    <w:lvl w:ilvl="0" w:tplc="300A0001">
      <w:start w:val="1"/>
      <w:numFmt w:val="bullet"/>
      <w:lvlText w:val=""/>
      <w:lvlJc w:val="left"/>
      <w:pPr>
        <w:ind w:left="3065" w:hanging="360"/>
      </w:pPr>
      <w:rPr>
        <w:rFonts w:ascii="Symbol" w:hAnsi="Symbol" w:hint="default"/>
      </w:rPr>
    </w:lvl>
    <w:lvl w:ilvl="1" w:tplc="300A0003" w:tentative="1">
      <w:start w:val="1"/>
      <w:numFmt w:val="bullet"/>
      <w:lvlText w:val="o"/>
      <w:lvlJc w:val="left"/>
      <w:pPr>
        <w:ind w:left="3785" w:hanging="360"/>
      </w:pPr>
      <w:rPr>
        <w:rFonts w:ascii="Courier New" w:hAnsi="Courier New" w:cs="Courier New" w:hint="default"/>
      </w:rPr>
    </w:lvl>
    <w:lvl w:ilvl="2" w:tplc="300A0005" w:tentative="1">
      <w:start w:val="1"/>
      <w:numFmt w:val="bullet"/>
      <w:lvlText w:val=""/>
      <w:lvlJc w:val="left"/>
      <w:pPr>
        <w:ind w:left="4505" w:hanging="360"/>
      </w:pPr>
      <w:rPr>
        <w:rFonts w:ascii="Wingdings" w:hAnsi="Wingdings" w:hint="default"/>
      </w:rPr>
    </w:lvl>
    <w:lvl w:ilvl="3" w:tplc="300A0001" w:tentative="1">
      <w:start w:val="1"/>
      <w:numFmt w:val="bullet"/>
      <w:lvlText w:val=""/>
      <w:lvlJc w:val="left"/>
      <w:pPr>
        <w:ind w:left="5225" w:hanging="360"/>
      </w:pPr>
      <w:rPr>
        <w:rFonts w:ascii="Symbol" w:hAnsi="Symbol" w:hint="default"/>
      </w:rPr>
    </w:lvl>
    <w:lvl w:ilvl="4" w:tplc="300A0003" w:tentative="1">
      <w:start w:val="1"/>
      <w:numFmt w:val="bullet"/>
      <w:lvlText w:val="o"/>
      <w:lvlJc w:val="left"/>
      <w:pPr>
        <w:ind w:left="5945" w:hanging="360"/>
      </w:pPr>
      <w:rPr>
        <w:rFonts w:ascii="Courier New" w:hAnsi="Courier New" w:cs="Courier New" w:hint="default"/>
      </w:rPr>
    </w:lvl>
    <w:lvl w:ilvl="5" w:tplc="300A0005" w:tentative="1">
      <w:start w:val="1"/>
      <w:numFmt w:val="bullet"/>
      <w:lvlText w:val=""/>
      <w:lvlJc w:val="left"/>
      <w:pPr>
        <w:ind w:left="6665" w:hanging="360"/>
      </w:pPr>
      <w:rPr>
        <w:rFonts w:ascii="Wingdings" w:hAnsi="Wingdings" w:hint="default"/>
      </w:rPr>
    </w:lvl>
    <w:lvl w:ilvl="6" w:tplc="300A0001" w:tentative="1">
      <w:start w:val="1"/>
      <w:numFmt w:val="bullet"/>
      <w:lvlText w:val=""/>
      <w:lvlJc w:val="left"/>
      <w:pPr>
        <w:ind w:left="7385" w:hanging="360"/>
      </w:pPr>
      <w:rPr>
        <w:rFonts w:ascii="Symbol" w:hAnsi="Symbol" w:hint="default"/>
      </w:rPr>
    </w:lvl>
    <w:lvl w:ilvl="7" w:tplc="300A0003" w:tentative="1">
      <w:start w:val="1"/>
      <w:numFmt w:val="bullet"/>
      <w:lvlText w:val="o"/>
      <w:lvlJc w:val="left"/>
      <w:pPr>
        <w:ind w:left="8105" w:hanging="360"/>
      </w:pPr>
      <w:rPr>
        <w:rFonts w:ascii="Courier New" w:hAnsi="Courier New" w:cs="Courier New" w:hint="default"/>
      </w:rPr>
    </w:lvl>
    <w:lvl w:ilvl="8" w:tplc="300A0005" w:tentative="1">
      <w:start w:val="1"/>
      <w:numFmt w:val="bullet"/>
      <w:lvlText w:val=""/>
      <w:lvlJc w:val="left"/>
      <w:pPr>
        <w:ind w:left="8825" w:hanging="360"/>
      </w:pPr>
      <w:rPr>
        <w:rFonts w:ascii="Wingdings" w:hAnsi="Wingdings" w:hint="default"/>
      </w:rPr>
    </w:lvl>
  </w:abstractNum>
  <w:abstractNum w:abstractNumId="266" w15:restartNumberingAfterBreak="0">
    <w:nsid w:val="4E6964D8"/>
    <w:multiLevelType w:val="hybridMultilevel"/>
    <w:tmpl w:val="F41EC898"/>
    <w:lvl w:ilvl="0" w:tplc="49ACBEC2">
      <w:start w:val="1"/>
      <w:numFmt w:val="lowerLetter"/>
      <w:lvlText w:val="%1."/>
      <w:lvlJc w:val="left"/>
      <w:pPr>
        <w:ind w:left="2421" w:hanging="360"/>
      </w:pPr>
      <w:rPr>
        <w:rFonts w:ascii="Calibri" w:eastAsia="Times New Roman" w:hAnsi="Calibri" w:cs="Calibri"/>
      </w:rPr>
    </w:lvl>
    <w:lvl w:ilvl="1" w:tplc="300A0001">
      <w:start w:val="1"/>
      <w:numFmt w:val="bullet"/>
      <w:lvlText w:val=""/>
      <w:lvlJc w:val="left"/>
      <w:pPr>
        <w:ind w:left="3620" w:hanging="360"/>
      </w:pPr>
      <w:rPr>
        <w:rFonts w:ascii="Symbol" w:hAnsi="Symbol" w:hint="default"/>
      </w:rPr>
    </w:lvl>
    <w:lvl w:ilvl="2" w:tplc="300A001B" w:tentative="1">
      <w:start w:val="1"/>
      <w:numFmt w:val="lowerRoman"/>
      <w:lvlText w:val="%3."/>
      <w:lvlJc w:val="right"/>
      <w:pPr>
        <w:ind w:left="3861" w:hanging="180"/>
      </w:pPr>
    </w:lvl>
    <w:lvl w:ilvl="3" w:tplc="300A000F" w:tentative="1">
      <w:start w:val="1"/>
      <w:numFmt w:val="decimal"/>
      <w:lvlText w:val="%4."/>
      <w:lvlJc w:val="left"/>
      <w:pPr>
        <w:ind w:left="4581" w:hanging="360"/>
      </w:pPr>
    </w:lvl>
    <w:lvl w:ilvl="4" w:tplc="300A0019" w:tentative="1">
      <w:start w:val="1"/>
      <w:numFmt w:val="lowerLetter"/>
      <w:lvlText w:val="%5."/>
      <w:lvlJc w:val="left"/>
      <w:pPr>
        <w:ind w:left="5301" w:hanging="360"/>
      </w:pPr>
    </w:lvl>
    <w:lvl w:ilvl="5" w:tplc="300A001B" w:tentative="1">
      <w:start w:val="1"/>
      <w:numFmt w:val="lowerRoman"/>
      <w:lvlText w:val="%6."/>
      <w:lvlJc w:val="right"/>
      <w:pPr>
        <w:ind w:left="6021" w:hanging="180"/>
      </w:pPr>
    </w:lvl>
    <w:lvl w:ilvl="6" w:tplc="300A000F" w:tentative="1">
      <w:start w:val="1"/>
      <w:numFmt w:val="decimal"/>
      <w:lvlText w:val="%7."/>
      <w:lvlJc w:val="left"/>
      <w:pPr>
        <w:ind w:left="6741" w:hanging="360"/>
      </w:pPr>
    </w:lvl>
    <w:lvl w:ilvl="7" w:tplc="300A0019" w:tentative="1">
      <w:start w:val="1"/>
      <w:numFmt w:val="lowerLetter"/>
      <w:lvlText w:val="%8."/>
      <w:lvlJc w:val="left"/>
      <w:pPr>
        <w:ind w:left="7461" w:hanging="360"/>
      </w:pPr>
    </w:lvl>
    <w:lvl w:ilvl="8" w:tplc="300A001B" w:tentative="1">
      <w:start w:val="1"/>
      <w:numFmt w:val="lowerRoman"/>
      <w:lvlText w:val="%9."/>
      <w:lvlJc w:val="right"/>
      <w:pPr>
        <w:ind w:left="8181" w:hanging="180"/>
      </w:pPr>
    </w:lvl>
  </w:abstractNum>
  <w:abstractNum w:abstractNumId="267"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8" w15:restartNumberingAfterBreak="0">
    <w:nsid w:val="4EC3527A"/>
    <w:multiLevelType w:val="hybridMultilevel"/>
    <w:tmpl w:val="0F34989A"/>
    <w:lvl w:ilvl="0" w:tplc="F494552C">
      <w:start w:val="3"/>
      <w:numFmt w:val="lowerLetter"/>
      <w:lvlText w:val="%1."/>
      <w:lvlJc w:val="left"/>
      <w:pPr>
        <w:ind w:left="3240" w:hanging="360"/>
      </w:pPr>
      <w:rPr>
        <w:rFonts w:hint="default"/>
      </w:rPr>
    </w:lvl>
    <w:lvl w:ilvl="1" w:tplc="300A0019" w:tentative="1">
      <w:start w:val="1"/>
      <w:numFmt w:val="lowerLetter"/>
      <w:lvlText w:val="%2."/>
      <w:lvlJc w:val="left"/>
      <w:pPr>
        <w:ind w:left="3960" w:hanging="360"/>
      </w:pPr>
    </w:lvl>
    <w:lvl w:ilvl="2" w:tplc="300A001B" w:tentative="1">
      <w:start w:val="1"/>
      <w:numFmt w:val="lowerRoman"/>
      <w:lvlText w:val="%3."/>
      <w:lvlJc w:val="right"/>
      <w:pPr>
        <w:ind w:left="4680" w:hanging="180"/>
      </w:pPr>
    </w:lvl>
    <w:lvl w:ilvl="3" w:tplc="300A000F" w:tentative="1">
      <w:start w:val="1"/>
      <w:numFmt w:val="decimal"/>
      <w:lvlText w:val="%4."/>
      <w:lvlJc w:val="left"/>
      <w:pPr>
        <w:ind w:left="5400" w:hanging="360"/>
      </w:pPr>
    </w:lvl>
    <w:lvl w:ilvl="4" w:tplc="300A0019" w:tentative="1">
      <w:start w:val="1"/>
      <w:numFmt w:val="lowerLetter"/>
      <w:lvlText w:val="%5."/>
      <w:lvlJc w:val="left"/>
      <w:pPr>
        <w:ind w:left="6120" w:hanging="360"/>
      </w:pPr>
    </w:lvl>
    <w:lvl w:ilvl="5" w:tplc="300A001B" w:tentative="1">
      <w:start w:val="1"/>
      <w:numFmt w:val="lowerRoman"/>
      <w:lvlText w:val="%6."/>
      <w:lvlJc w:val="right"/>
      <w:pPr>
        <w:ind w:left="6840" w:hanging="180"/>
      </w:pPr>
    </w:lvl>
    <w:lvl w:ilvl="6" w:tplc="300A000F" w:tentative="1">
      <w:start w:val="1"/>
      <w:numFmt w:val="decimal"/>
      <w:lvlText w:val="%7."/>
      <w:lvlJc w:val="left"/>
      <w:pPr>
        <w:ind w:left="7560" w:hanging="360"/>
      </w:pPr>
    </w:lvl>
    <w:lvl w:ilvl="7" w:tplc="300A0019" w:tentative="1">
      <w:start w:val="1"/>
      <w:numFmt w:val="lowerLetter"/>
      <w:lvlText w:val="%8."/>
      <w:lvlJc w:val="left"/>
      <w:pPr>
        <w:ind w:left="8280" w:hanging="360"/>
      </w:pPr>
    </w:lvl>
    <w:lvl w:ilvl="8" w:tplc="300A001B" w:tentative="1">
      <w:start w:val="1"/>
      <w:numFmt w:val="lowerRoman"/>
      <w:lvlText w:val="%9."/>
      <w:lvlJc w:val="right"/>
      <w:pPr>
        <w:ind w:left="9000" w:hanging="180"/>
      </w:pPr>
    </w:lvl>
  </w:abstractNum>
  <w:abstractNum w:abstractNumId="269" w15:restartNumberingAfterBreak="0">
    <w:nsid w:val="4EE31CC9"/>
    <w:multiLevelType w:val="hybridMultilevel"/>
    <w:tmpl w:val="EB942A68"/>
    <w:lvl w:ilvl="0" w:tplc="7982DB7E">
      <w:start w:val="1"/>
      <w:numFmt w:val="bullet"/>
      <w:lvlText w:val=""/>
      <w:lvlJc w:val="left"/>
      <w:pPr>
        <w:ind w:left="2880" w:hanging="360"/>
      </w:pPr>
      <w:rPr>
        <w:rFonts w:ascii="Symbol" w:hAnsi="Symbol" w:hint="default"/>
      </w:rPr>
    </w:lvl>
    <w:lvl w:ilvl="1" w:tplc="22FA1DC8" w:tentative="1">
      <w:start w:val="1"/>
      <w:numFmt w:val="bullet"/>
      <w:lvlText w:val="o"/>
      <w:lvlJc w:val="left"/>
      <w:pPr>
        <w:ind w:left="3600" w:hanging="360"/>
      </w:pPr>
      <w:rPr>
        <w:rFonts w:ascii="Courier New" w:hAnsi="Courier New" w:hint="default"/>
      </w:rPr>
    </w:lvl>
    <w:lvl w:ilvl="2" w:tplc="EAA201D6" w:tentative="1">
      <w:start w:val="1"/>
      <w:numFmt w:val="bullet"/>
      <w:lvlText w:val=""/>
      <w:lvlJc w:val="left"/>
      <w:pPr>
        <w:ind w:left="4320" w:hanging="360"/>
      </w:pPr>
      <w:rPr>
        <w:rFonts w:ascii="Wingdings" w:hAnsi="Wingdings" w:hint="default"/>
      </w:rPr>
    </w:lvl>
    <w:lvl w:ilvl="3" w:tplc="AD7029E4" w:tentative="1">
      <w:start w:val="1"/>
      <w:numFmt w:val="bullet"/>
      <w:lvlText w:val=""/>
      <w:lvlJc w:val="left"/>
      <w:pPr>
        <w:ind w:left="5040" w:hanging="360"/>
      </w:pPr>
      <w:rPr>
        <w:rFonts w:ascii="Symbol" w:hAnsi="Symbol" w:hint="default"/>
      </w:rPr>
    </w:lvl>
    <w:lvl w:ilvl="4" w:tplc="8C96D61C" w:tentative="1">
      <w:start w:val="1"/>
      <w:numFmt w:val="bullet"/>
      <w:lvlText w:val="o"/>
      <w:lvlJc w:val="left"/>
      <w:pPr>
        <w:ind w:left="5760" w:hanging="360"/>
      </w:pPr>
      <w:rPr>
        <w:rFonts w:ascii="Courier New" w:hAnsi="Courier New" w:hint="default"/>
      </w:rPr>
    </w:lvl>
    <w:lvl w:ilvl="5" w:tplc="94284744" w:tentative="1">
      <w:start w:val="1"/>
      <w:numFmt w:val="bullet"/>
      <w:lvlText w:val=""/>
      <w:lvlJc w:val="left"/>
      <w:pPr>
        <w:ind w:left="6480" w:hanging="360"/>
      </w:pPr>
      <w:rPr>
        <w:rFonts w:ascii="Wingdings" w:hAnsi="Wingdings" w:hint="default"/>
      </w:rPr>
    </w:lvl>
    <w:lvl w:ilvl="6" w:tplc="72A81AB2" w:tentative="1">
      <w:start w:val="1"/>
      <w:numFmt w:val="bullet"/>
      <w:lvlText w:val=""/>
      <w:lvlJc w:val="left"/>
      <w:pPr>
        <w:ind w:left="7200" w:hanging="360"/>
      </w:pPr>
      <w:rPr>
        <w:rFonts w:ascii="Symbol" w:hAnsi="Symbol" w:hint="default"/>
      </w:rPr>
    </w:lvl>
    <w:lvl w:ilvl="7" w:tplc="A1EEA618" w:tentative="1">
      <w:start w:val="1"/>
      <w:numFmt w:val="bullet"/>
      <w:lvlText w:val="o"/>
      <w:lvlJc w:val="left"/>
      <w:pPr>
        <w:ind w:left="7920" w:hanging="360"/>
      </w:pPr>
      <w:rPr>
        <w:rFonts w:ascii="Courier New" w:hAnsi="Courier New" w:hint="default"/>
      </w:rPr>
    </w:lvl>
    <w:lvl w:ilvl="8" w:tplc="528E8242" w:tentative="1">
      <w:start w:val="1"/>
      <w:numFmt w:val="bullet"/>
      <w:lvlText w:val=""/>
      <w:lvlJc w:val="left"/>
      <w:pPr>
        <w:ind w:left="8640" w:hanging="360"/>
      </w:pPr>
      <w:rPr>
        <w:rFonts w:ascii="Wingdings" w:hAnsi="Wingdings" w:hint="default"/>
      </w:rPr>
    </w:lvl>
  </w:abstractNum>
  <w:abstractNum w:abstractNumId="270" w15:restartNumberingAfterBreak="0">
    <w:nsid w:val="4F006923"/>
    <w:multiLevelType w:val="hybridMultilevel"/>
    <w:tmpl w:val="5ED45A76"/>
    <w:lvl w:ilvl="0" w:tplc="300A0019">
      <w:start w:val="1"/>
      <w:numFmt w:val="lowerLetter"/>
      <w:lvlText w:val="%1."/>
      <w:lvlJc w:val="left"/>
      <w:pPr>
        <w:ind w:left="1288" w:hanging="360"/>
      </w:pPr>
    </w:lvl>
    <w:lvl w:ilvl="1" w:tplc="300A0019" w:tentative="1">
      <w:start w:val="1"/>
      <w:numFmt w:val="lowerLetter"/>
      <w:lvlText w:val="%2."/>
      <w:lvlJc w:val="left"/>
      <w:pPr>
        <w:ind w:left="2008" w:hanging="360"/>
      </w:pPr>
    </w:lvl>
    <w:lvl w:ilvl="2" w:tplc="300A001B" w:tentative="1">
      <w:start w:val="1"/>
      <w:numFmt w:val="lowerRoman"/>
      <w:lvlText w:val="%3."/>
      <w:lvlJc w:val="right"/>
      <w:pPr>
        <w:ind w:left="2728" w:hanging="180"/>
      </w:pPr>
    </w:lvl>
    <w:lvl w:ilvl="3" w:tplc="300A000F" w:tentative="1">
      <w:start w:val="1"/>
      <w:numFmt w:val="decimal"/>
      <w:lvlText w:val="%4."/>
      <w:lvlJc w:val="left"/>
      <w:pPr>
        <w:ind w:left="3448" w:hanging="360"/>
      </w:pPr>
    </w:lvl>
    <w:lvl w:ilvl="4" w:tplc="300A0019" w:tentative="1">
      <w:start w:val="1"/>
      <w:numFmt w:val="lowerLetter"/>
      <w:lvlText w:val="%5."/>
      <w:lvlJc w:val="left"/>
      <w:pPr>
        <w:ind w:left="4168" w:hanging="360"/>
      </w:pPr>
    </w:lvl>
    <w:lvl w:ilvl="5" w:tplc="300A001B" w:tentative="1">
      <w:start w:val="1"/>
      <w:numFmt w:val="lowerRoman"/>
      <w:lvlText w:val="%6."/>
      <w:lvlJc w:val="right"/>
      <w:pPr>
        <w:ind w:left="4888" w:hanging="180"/>
      </w:pPr>
    </w:lvl>
    <w:lvl w:ilvl="6" w:tplc="300A000F" w:tentative="1">
      <w:start w:val="1"/>
      <w:numFmt w:val="decimal"/>
      <w:lvlText w:val="%7."/>
      <w:lvlJc w:val="left"/>
      <w:pPr>
        <w:ind w:left="5608" w:hanging="360"/>
      </w:pPr>
    </w:lvl>
    <w:lvl w:ilvl="7" w:tplc="300A0019" w:tentative="1">
      <w:start w:val="1"/>
      <w:numFmt w:val="lowerLetter"/>
      <w:lvlText w:val="%8."/>
      <w:lvlJc w:val="left"/>
      <w:pPr>
        <w:ind w:left="6328" w:hanging="360"/>
      </w:pPr>
    </w:lvl>
    <w:lvl w:ilvl="8" w:tplc="300A001B" w:tentative="1">
      <w:start w:val="1"/>
      <w:numFmt w:val="lowerRoman"/>
      <w:lvlText w:val="%9."/>
      <w:lvlJc w:val="right"/>
      <w:pPr>
        <w:ind w:left="7048" w:hanging="180"/>
      </w:pPr>
    </w:lvl>
  </w:abstractNum>
  <w:abstractNum w:abstractNumId="27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72" w15:restartNumberingAfterBreak="0">
    <w:nsid w:val="4F3456C8"/>
    <w:multiLevelType w:val="hybridMultilevel"/>
    <w:tmpl w:val="031CC0BA"/>
    <w:lvl w:ilvl="0" w:tplc="300A0019">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73" w15:restartNumberingAfterBreak="0">
    <w:nsid w:val="4F3618D5"/>
    <w:multiLevelType w:val="hybridMultilevel"/>
    <w:tmpl w:val="E3B406DA"/>
    <w:lvl w:ilvl="0" w:tplc="300A0001">
      <w:start w:val="1"/>
      <w:numFmt w:val="bullet"/>
      <w:lvlText w:val=""/>
      <w:lvlJc w:val="left"/>
      <w:pPr>
        <w:ind w:left="3552" w:hanging="360"/>
      </w:pPr>
      <w:rPr>
        <w:rFonts w:ascii="Symbol" w:hAnsi="Symbol" w:hint="default"/>
      </w:rPr>
    </w:lvl>
    <w:lvl w:ilvl="1" w:tplc="FFFFFFFF">
      <w:start w:val="1"/>
      <w:numFmt w:val="bullet"/>
      <w:lvlText w:val="o"/>
      <w:lvlJc w:val="left"/>
      <w:pPr>
        <w:ind w:left="4414" w:hanging="360"/>
      </w:pPr>
      <w:rPr>
        <w:rFonts w:ascii="Courier New" w:hAnsi="Courier New" w:cs="Courier New" w:hint="default"/>
      </w:rPr>
    </w:lvl>
    <w:lvl w:ilvl="2" w:tplc="FFFFFFFF" w:tentative="1">
      <w:start w:val="1"/>
      <w:numFmt w:val="bullet"/>
      <w:lvlText w:val=""/>
      <w:lvlJc w:val="left"/>
      <w:pPr>
        <w:ind w:left="5134" w:hanging="360"/>
      </w:pPr>
      <w:rPr>
        <w:rFonts w:ascii="Wingdings" w:hAnsi="Wingdings" w:hint="default"/>
      </w:rPr>
    </w:lvl>
    <w:lvl w:ilvl="3" w:tplc="FFFFFFFF" w:tentative="1">
      <w:start w:val="1"/>
      <w:numFmt w:val="bullet"/>
      <w:lvlText w:val=""/>
      <w:lvlJc w:val="left"/>
      <w:pPr>
        <w:ind w:left="5854" w:hanging="360"/>
      </w:pPr>
      <w:rPr>
        <w:rFonts w:ascii="Symbol" w:hAnsi="Symbol" w:hint="default"/>
      </w:rPr>
    </w:lvl>
    <w:lvl w:ilvl="4" w:tplc="FFFFFFFF" w:tentative="1">
      <w:start w:val="1"/>
      <w:numFmt w:val="bullet"/>
      <w:lvlText w:val="o"/>
      <w:lvlJc w:val="left"/>
      <w:pPr>
        <w:ind w:left="6574" w:hanging="360"/>
      </w:pPr>
      <w:rPr>
        <w:rFonts w:ascii="Courier New" w:hAnsi="Courier New" w:cs="Courier New" w:hint="default"/>
      </w:rPr>
    </w:lvl>
    <w:lvl w:ilvl="5" w:tplc="FFFFFFFF" w:tentative="1">
      <w:start w:val="1"/>
      <w:numFmt w:val="bullet"/>
      <w:lvlText w:val=""/>
      <w:lvlJc w:val="left"/>
      <w:pPr>
        <w:ind w:left="7294" w:hanging="360"/>
      </w:pPr>
      <w:rPr>
        <w:rFonts w:ascii="Wingdings" w:hAnsi="Wingdings" w:hint="default"/>
      </w:rPr>
    </w:lvl>
    <w:lvl w:ilvl="6" w:tplc="FFFFFFFF" w:tentative="1">
      <w:start w:val="1"/>
      <w:numFmt w:val="bullet"/>
      <w:lvlText w:val=""/>
      <w:lvlJc w:val="left"/>
      <w:pPr>
        <w:ind w:left="8014" w:hanging="360"/>
      </w:pPr>
      <w:rPr>
        <w:rFonts w:ascii="Symbol" w:hAnsi="Symbol" w:hint="default"/>
      </w:rPr>
    </w:lvl>
    <w:lvl w:ilvl="7" w:tplc="FFFFFFFF" w:tentative="1">
      <w:start w:val="1"/>
      <w:numFmt w:val="bullet"/>
      <w:lvlText w:val="o"/>
      <w:lvlJc w:val="left"/>
      <w:pPr>
        <w:ind w:left="8734" w:hanging="360"/>
      </w:pPr>
      <w:rPr>
        <w:rFonts w:ascii="Courier New" w:hAnsi="Courier New" w:cs="Courier New" w:hint="default"/>
      </w:rPr>
    </w:lvl>
    <w:lvl w:ilvl="8" w:tplc="FFFFFFFF" w:tentative="1">
      <w:start w:val="1"/>
      <w:numFmt w:val="bullet"/>
      <w:lvlText w:val=""/>
      <w:lvlJc w:val="left"/>
      <w:pPr>
        <w:ind w:left="9454" w:hanging="360"/>
      </w:pPr>
      <w:rPr>
        <w:rFonts w:ascii="Wingdings" w:hAnsi="Wingdings" w:hint="default"/>
      </w:rPr>
    </w:lvl>
  </w:abstractNum>
  <w:abstractNum w:abstractNumId="274" w15:restartNumberingAfterBreak="0">
    <w:nsid w:val="4F4B3780"/>
    <w:multiLevelType w:val="hybridMultilevel"/>
    <w:tmpl w:val="CA9A0DF6"/>
    <w:lvl w:ilvl="0" w:tplc="300A0019">
      <w:start w:val="1"/>
      <w:numFmt w:val="lowerLetter"/>
      <w:lvlText w:val="%1."/>
      <w:lvlJc w:val="left"/>
      <w:pPr>
        <w:ind w:left="1425" w:hanging="360"/>
      </w:pPr>
    </w:lvl>
    <w:lvl w:ilvl="1" w:tplc="300A0019" w:tentative="1">
      <w:start w:val="1"/>
      <w:numFmt w:val="lowerLetter"/>
      <w:lvlText w:val="%2."/>
      <w:lvlJc w:val="left"/>
      <w:pPr>
        <w:ind w:left="2145" w:hanging="360"/>
      </w:pPr>
    </w:lvl>
    <w:lvl w:ilvl="2" w:tplc="300A001B" w:tentative="1">
      <w:start w:val="1"/>
      <w:numFmt w:val="lowerRoman"/>
      <w:lvlText w:val="%3."/>
      <w:lvlJc w:val="right"/>
      <w:pPr>
        <w:ind w:left="2865" w:hanging="180"/>
      </w:pPr>
    </w:lvl>
    <w:lvl w:ilvl="3" w:tplc="300A000F" w:tentative="1">
      <w:start w:val="1"/>
      <w:numFmt w:val="decimal"/>
      <w:lvlText w:val="%4."/>
      <w:lvlJc w:val="left"/>
      <w:pPr>
        <w:ind w:left="3585" w:hanging="360"/>
      </w:pPr>
    </w:lvl>
    <w:lvl w:ilvl="4" w:tplc="300A0019" w:tentative="1">
      <w:start w:val="1"/>
      <w:numFmt w:val="lowerLetter"/>
      <w:lvlText w:val="%5."/>
      <w:lvlJc w:val="left"/>
      <w:pPr>
        <w:ind w:left="4305" w:hanging="360"/>
      </w:pPr>
    </w:lvl>
    <w:lvl w:ilvl="5" w:tplc="300A001B" w:tentative="1">
      <w:start w:val="1"/>
      <w:numFmt w:val="lowerRoman"/>
      <w:lvlText w:val="%6."/>
      <w:lvlJc w:val="right"/>
      <w:pPr>
        <w:ind w:left="5025" w:hanging="180"/>
      </w:pPr>
    </w:lvl>
    <w:lvl w:ilvl="6" w:tplc="300A000F" w:tentative="1">
      <w:start w:val="1"/>
      <w:numFmt w:val="decimal"/>
      <w:lvlText w:val="%7."/>
      <w:lvlJc w:val="left"/>
      <w:pPr>
        <w:ind w:left="5745" w:hanging="360"/>
      </w:pPr>
    </w:lvl>
    <w:lvl w:ilvl="7" w:tplc="300A0019" w:tentative="1">
      <w:start w:val="1"/>
      <w:numFmt w:val="lowerLetter"/>
      <w:lvlText w:val="%8."/>
      <w:lvlJc w:val="left"/>
      <w:pPr>
        <w:ind w:left="6465" w:hanging="360"/>
      </w:pPr>
    </w:lvl>
    <w:lvl w:ilvl="8" w:tplc="300A001B" w:tentative="1">
      <w:start w:val="1"/>
      <w:numFmt w:val="lowerRoman"/>
      <w:lvlText w:val="%9."/>
      <w:lvlJc w:val="right"/>
      <w:pPr>
        <w:ind w:left="7185" w:hanging="180"/>
      </w:pPr>
    </w:lvl>
  </w:abstractNum>
  <w:abstractNum w:abstractNumId="275"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03B20E4"/>
    <w:multiLevelType w:val="hybridMultilevel"/>
    <w:tmpl w:val="0C20A22C"/>
    <w:lvl w:ilvl="0" w:tplc="300A0019">
      <w:start w:val="1"/>
      <w:numFmt w:val="lowerLetter"/>
      <w:lvlText w:val="%1."/>
      <w:lvlJc w:val="left"/>
      <w:pPr>
        <w:ind w:left="2203" w:hanging="360"/>
      </w:pPr>
    </w:lvl>
    <w:lvl w:ilvl="1" w:tplc="300A0019" w:tentative="1">
      <w:start w:val="1"/>
      <w:numFmt w:val="lowerLetter"/>
      <w:lvlText w:val="%2."/>
      <w:lvlJc w:val="left"/>
      <w:pPr>
        <w:ind w:left="2923" w:hanging="360"/>
      </w:pPr>
    </w:lvl>
    <w:lvl w:ilvl="2" w:tplc="300A001B">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277" w15:restartNumberingAfterBreak="0">
    <w:nsid w:val="509C3094"/>
    <w:multiLevelType w:val="hybridMultilevel"/>
    <w:tmpl w:val="D5580896"/>
    <w:lvl w:ilvl="0" w:tplc="300A0001">
      <w:start w:val="1"/>
      <w:numFmt w:val="bullet"/>
      <w:lvlText w:val=""/>
      <w:lvlJc w:val="left"/>
      <w:pPr>
        <w:ind w:left="2639" w:hanging="360"/>
      </w:pPr>
      <w:rPr>
        <w:rFonts w:ascii="Symbol" w:hAnsi="Symbol" w:hint="default"/>
      </w:rPr>
    </w:lvl>
    <w:lvl w:ilvl="1" w:tplc="300A0003" w:tentative="1">
      <w:start w:val="1"/>
      <w:numFmt w:val="bullet"/>
      <w:lvlText w:val="o"/>
      <w:lvlJc w:val="left"/>
      <w:pPr>
        <w:ind w:left="3359" w:hanging="360"/>
      </w:pPr>
      <w:rPr>
        <w:rFonts w:ascii="Courier New" w:hAnsi="Courier New" w:cs="Courier New" w:hint="default"/>
      </w:rPr>
    </w:lvl>
    <w:lvl w:ilvl="2" w:tplc="300A0005" w:tentative="1">
      <w:start w:val="1"/>
      <w:numFmt w:val="bullet"/>
      <w:lvlText w:val=""/>
      <w:lvlJc w:val="left"/>
      <w:pPr>
        <w:ind w:left="4079" w:hanging="360"/>
      </w:pPr>
      <w:rPr>
        <w:rFonts w:ascii="Wingdings" w:hAnsi="Wingdings" w:hint="default"/>
      </w:rPr>
    </w:lvl>
    <w:lvl w:ilvl="3" w:tplc="300A0001" w:tentative="1">
      <w:start w:val="1"/>
      <w:numFmt w:val="bullet"/>
      <w:lvlText w:val=""/>
      <w:lvlJc w:val="left"/>
      <w:pPr>
        <w:ind w:left="4799" w:hanging="360"/>
      </w:pPr>
      <w:rPr>
        <w:rFonts w:ascii="Symbol" w:hAnsi="Symbol" w:hint="default"/>
      </w:rPr>
    </w:lvl>
    <w:lvl w:ilvl="4" w:tplc="300A0003" w:tentative="1">
      <w:start w:val="1"/>
      <w:numFmt w:val="bullet"/>
      <w:lvlText w:val="o"/>
      <w:lvlJc w:val="left"/>
      <w:pPr>
        <w:ind w:left="5519" w:hanging="360"/>
      </w:pPr>
      <w:rPr>
        <w:rFonts w:ascii="Courier New" w:hAnsi="Courier New" w:cs="Courier New" w:hint="default"/>
      </w:rPr>
    </w:lvl>
    <w:lvl w:ilvl="5" w:tplc="300A0005" w:tentative="1">
      <w:start w:val="1"/>
      <w:numFmt w:val="bullet"/>
      <w:lvlText w:val=""/>
      <w:lvlJc w:val="left"/>
      <w:pPr>
        <w:ind w:left="6239" w:hanging="360"/>
      </w:pPr>
      <w:rPr>
        <w:rFonts w:ascii="Wingdings" w:hAnsi="Wingdings" w:hint="default"/>
      </w:rPr>
    </w:lvl>
    <w:lvl w:ilvl="6" w:tplc="300A0001" w:tentative="1">
      <w:start w:val="1"/>
      <w:numFmt w:val="bullet"/>
      <w:lvlText w:val=""/>
      <w:lvlJc w:val="left"/>
      <w:pPr>
        <w:ind w:left="6959" w:hanging="360"/>
      </w:pPr>
      <w:rPr>
        <w:rFonts w:ascii="Symbol" w:hAnsi="Symbol" w:hint="default"/>
      </w:rPr>
    </w:lvl>
    <w:lvl w:ilvl="7" w:tplc="300A0003" w:tentative="1">
      <w:start w:val="1"/>
      <w:numFmt w:val="bullet"/>
      <w:lvlText w:val="o"/>
      <w:lvlJc w:val="left"/>
      <w:pPr>
        <w:ind w:left="7679" w:hanging="360"/>
      </w:pPr>
      <w:rPr>
        <w:rFonts w:ascii="Courier New" w:hAnsi="Courier New" w:cs="Courier New" w:hint="default"/>
      </w:rPr>
    </w:lvl>
    <w:lvl w:ilvl="8" w:tplc="300A0005" w:tentative="1">
      <w:start w:val="1"/>
      <w:numFmt w:val="bullet"/>
      <w:lvlText w:val=""/>
      <w:lvlJc w:val="left"/>
      <w:pPr>
        <w:ind w:left="8399" w:hanging="360"/>
      </w:pPr>
      <w:rPr>
        <w:rFonts w:ascii="Wingdings" w:hAnsi="Wingdings" w:hint="default"/>
      </w:rPr>
    </w:lvl>
  </w:abstractNum>
  <w:abstractNum w:abstractNumId="278" w15:restartNumberingAfterBreak="0">
    <w:nsid w:val="50B4542F"/>
    <w:multiLevelType w:val="hybridMultilevel"/>
    <w:tmpl w:val="B2E69458"/>
    <w:lvl w:ilvl="0" w:tplc="FFFFFFFF">
      <w:start w:val="1"/>
      <w:numFmt w:val="lowerLetter"/>
      <w:lvlText w:val="%1."/>
      <w:lvlJc w:val="left"/>
      <w:pPr>
        <w:ind w:left="2486"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279" w15:restartNumberingAfterBreak="0">
    <w:nsid w:val="50D70C61"/>
    <w:multiLevelType w:val="hybridMultilevel"/>
    <w:tmpl w:val="4F94660A"/>
    <w:lvl w:ilvl="0" w:tplc="56207A58">
      <w:start w:val="1"/>
      <w:numFmt w:val="decimal"/>
      <w:lvlText w:val="44.%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0E777C3"/>
    <w:multiLevelType w:val="hybridMultilevel"/>
    <w:tmpl w:val="082490FE"/>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0288644E">
      <w:start w:val="1"/>
      <w:numFmt w:val="lowerRoman"/>
      <w:lvlText w:val="%4)"/>
      <w:lvlJc w:val="left"/>
      <w:pPr>
        <w:ind w:left="3240" w:hanging="720"/>
      </w:pPr>
      <w:rPr>
        <w:rFonts w:hint="default"/>
      </w:r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281" w15:restartNumberingAfterBreak="0">
    <w:nsid w:val="512D7491"/>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282" w15:restartNumberingAfterBreak="0">
    <w:nsid w:val="51DE7EAC"/>
    <w:multiLevelType w:val="hybridMultilevel"/>
    <w:tmpl w:val="DFB60B4C"/>
    <w:lvl w:ilvl="0" w:tplc="7112349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1ED35B1"/>
    <w:multiLevelType w:val="hybridMultilevel"/>
    <w:tmpl w:val="E5E055BA"/>
    <w:lvl w:ilvl="0" w:tplc="300A0019">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84" w15:restartNumberingAfterBreak="0">
    <w:nsid w:val="524200B0"/>
    <w:multiLevelType w:val="hybridMultilevel"/>
    <w:tmpl w:val="6172D8B2"/>
    <w:lvl w:ilvl="0" w:tplc="9E14EA3E">
      <w:start w:val="1"/>
      <w:numFmt w:val="lowerLetter"/>
      <w:lvlText w:val="(%1)"/>
      <w:lvlJc w:val="left"/>
      <w:pPr>
        <w:ind w:left="1321"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52AC5F27"/>
    <w:multiLevelType w:val="hybridMultilevel"/>
    <w:tmpl w:val="34D67DE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9">
      <w:start w:val="1"/>
      <w:numFmt w:val="lowerLetter"/>
      <w:lvlText w:val="%3."/>
      <w:lvlJc w:val="left"/>
      <w:pPr>
        <w:ind w:left="2136" w:hanging="36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6" w15:restartNumberingAfterBreak="0">
    <w:nsid w:val="52E27B29"/>
    <w:multiLevelType w:val="hybridMultilevel"/>
    <w:tmpl w:val="67D6E7AE"/>
    <w:lvl w:ilvl="0" w:tplc="DBA299EA">
      <w:start w:val="1"/>
      <w:numFmt w:val="lowerRoman"/>
      <w:lvlText w:val="(%1)"/>
      <w:lvlJc w:val="left"/>
      <w:pPr>
        <w:ind w:left="2315" w:hanging="360"/>
      </w:pPr>
      <w:rPr>
        <w:rFonts w:hint="default"/>
        <w:b w:val="0"/>
        <w:lang w:val="en-AU"/>
      </w:rPr>
    </w:lvl>
    <w:lvl w:ilvl="1" w:tplc="04090019">
      <w:start w:val="1"/>
      <w:numFmt w:val="lowerLetter"/>
      <w:lvlText w:val="%2."/>
      <w:lvlJc w:val="left"/>
      <w:pPr>
        <w:ind w:left="3035" w:hanging="360"/>
      </w:pPr>
    </w:lvl>
    <w:lvl w:ilvl="2" w:tplc="0409001B">
      <w:start w:val="1"/>
      <w:numFmt w:val="lowerRoman"/>
      <w:lvlText w:val="%3."/>
      <w:lvlJc w:val="right"/>
      <w:pPr>
        <w:ind w:left="3755" w:hanging="180"/>
      </w:pPr>
    </w:lvl>
    <w:lvl w:ilvl="3" w:tplc="0409000F">
      <w:start w:val="1"/>
      <w:numFmt w:val="decimal"/>
      <w:lvlText w:val="%4."/>
      <w:lvlJc w:val="left"/>
      <w:pPr>
        <w:ind w:left="4475" w:hanging="360"/>
      </w:pPr>
    </w:lvl>
    <w:lvl w:ilvl="4" w:tplc="04090019" w:tentative="1">
      <w:start w:val="1"/>
      <w:numFmt w:val="lowerLetter"/>
      <w:lvlText w:val="%5."/>
      <w:lvlJc w:val="left"/>
      <w:pPr>
        <w:ind w:left="5195" w:hanging="360"/>
      </w:pPr>
    </w:lvl>
    <w:lvl w:ilvl="5" w:tplc="0409001B" w:tentative="1">
      <w:start w:val="1"/>
      <w:numFmt w:val="lowerRoman"/>
      <w:lvlText w:val="%6."/>
      <w:lvlJc w:val="right"/>
      <w:pPr>
        <w:ind w:left="5915" w:hanging="180"/>
      </w:pPr>
    </w:lvl>
    <w:lvl w:ilvl="6" w:tplc="0409000F" w:tentative="1">
      <w:start w:val="1"/>
      <w:numFmt w:val="decimal"/>
      <w:lvlText w:val="%7."/>
      <w:lvlJc w:val="left"/>
      <w:pPr>
        <w:ind w:left="6635" w:hanging="360"/>
      </w:pPr>
    </w:lvl>
    <w:lvl w:ilvl="7" w:tplc="04090019" w:tentative="1">
      <w:start w:val="1"/>
      <w:numFmt w:val="lowerLetter"/>
      <w:lvlText w:val="%8."/>
      <w:lvlJc w:val="left"/>
      <w:pPr>
        <w:ind w:left="7355" w:hanging="360"/>
      </w:pPr>
    </w:lvl>
    <w:lvl w:ilvl="8" w:tplc="0409001B" w:tentative="1">
      <w:start w:val="1"/>
      <w:numFmt w:val="lowerRoman"/>
      <w:lvlText w:val="%9."/>
      <w:lvlJc w:val="right"/>
      <w:pPr>
        <w:ind w:left="8075" w:hanging="180"/>
      </w:pPr>
    </w:lvl>
  </w:abstractNum>
  <w:abstractNum w:abstractNumId="287"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8" w15:restartNumberingAfterBreak="0">
    <w:nsid w:val="530B115A"/>
    <w:multiLevelType w:val="hybridMultilevel"/>
    <w:tmpl w:val="A68CB6B6"/>
    <w:lvl w:ilvl="0" w:tplc="FFFFFFFF">
      <w:start w:val="1"/>
      <w:numFmt w:val="lowerLetter"/>
      <w:lvlText w:val="%1."/>
      <w:lvlJc w:val="left"/>
      <w:pPr>
        <w:ind w:left="2203" w:hanging="360"/>
      </w:pPr>
      <w:rPr>
        <w:rFonts w:hint="default"/>
        <w:lang w:val="es-EC"/>
      </w:rPr>
    </w:lvl>
    <w:lvl w:ilvl="1" w:tplc="FFFFFFFF" w:tentative="1">
      <w:start w:val="1"/>
      <w:numFmt w:val="lowerLetter"/>
      <w:lvlText w:val="%2."/>
      <w:lvlJc w:val="left"/>
      <w:pPr>
        <w:ind w:left="2215" w:hanging="360"/>
      </w:pPr>
    </w:lvl>
    <w:lvl w:ilvl="2" w:tplc="FFFFFFFF" w:tentative="1">
      <w:start w:val="1"/>
      <w:numFmt w:val="lowerRoman"/>
      <w:lvlText w:val="%3."/>
      <w:lvlJc w:val="right"/>
      <w:pPr>
        <w:ind w:left="2935" w:hanging="180"/>
      </w:pPr>
    </w:lvl>
    <w:lvl w:ilvl="3" w:tplc="FFFFFFFF" w:tentative="1">
      <w:start w:val="1"/>
      <w:numFmt w:val="decimal"/>
      <w:lvlText w:val="%4."/>
      <w:lvlJc w:val="left"/>
      <w:pPr>
        <w:ind w:left="3655" w:hanging="360"/>
      </w:pPr>
    </w:lvl>
    <w:lvl w:ilvl="4" w:tplc="FFFFFFFF" w:tentative="1">
      <w:start w:val="1"/>
      <w:numFmt w:val="lowerLetter"/>
      <w:lvlText w:val="%5."/>
      <w:lvlJc w:val="left"/>
      <w:pPr>
        <w:ind w:left="4375" w:hanging="360"/>
      </w:pPr>
    </w:lvl>
    <w:lvl w:ilvl="5" w:tplc="FFFFFFFF" w:tentative="1">
      <w:start w:val="1"/>
      <w:numFmt w:val="lowerRoman"/>
      <w:lvlText w:val="%6."/>
      <w:lvlJc w:val="right"/>
      <w:pPr>
        <w:ind w:left="5095" w:hanging="180"/>
      </w:pPr>
    </w:lvl>
    <w:lvl w:ilvl="6" w:tplc="FFFFFFFF" w:tentative="1">
      <w:start w:val="1"/>
      <w:numFmt w:val="decimal"/>
      <w:lvlText w:val="%7."/>
      <w:lvlJc w:val="left"/>
      <w:pPr>
        <w:ind w:left="5815" w:hanging="360"/>
      </w:pPr>
    </w:lvl>
    <w:lvl w:ilvl="7" w:tplc="FFFFFFFF" w:tentative="1">
      <w:start w:val="1"/>
      <w:numFmt w:val="lowerLetter"/>
      <w:lvlText w:val="%8."/>
      <w:lvlJc w:val="left"/>
      <w:pPr>
        <w:ind w:left="6535" w:hanging="360"/>
      </w:pPr>
    </w:lvl>
    <w:lvl w:ilvl="8" w:tplc="FFFFFFFF" w:tentative="1">
      <w:start w:val="1"/>
      <w:numFmt w:val="lowerRoman"/>
      <w:lvlText w:val="%9."/>
      <w:lvlJc w:val="right"/>
      <w:pPr>
        <w:ind w:left="7255" w:hanging="180"/>
      </w:pPr>
    </w:lvl>
  </w:abstractNum>
  <w:abstractNum w:abstractNumId="289" w15:restartNumberingAfterBreak="0">
    <w:nsid w:val="53147D9C"/>
    <w:multiLevelType w:val="multilevel"/>
    <w:tmpl w:val="46F0B8A2"/>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lvlText w:val="20.%2"/>
      <w:lvlJc w:val="left"/>
      <w:pPr>
        <w:ind w:left="360" w:hanging="360"/>
      </w:pPr>
      <w:rPr>
        <w:rFonts w:hint="default"/>
        <w:b w:val="0"/>
        <w:i w:val="0"/>
        <w:sz w:val="24"/>
      </w:rPr>
    </w:lvl>
    <w:lvl w:ilvl="2">
      <w:start w:val="1"/>
      <w:numFmt w:val="lowerLetter"/>
      <w:lvlText w:val="(%3)"/>
      <w:lvlJc w:val="left"/>
      <w:pPr>
        <w:ind w:left="792" w:hanging="360"/>
      </w:pPr>
      <w:rPr>
        <w:rFonts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0" w15:restartNumberingAfterBreak="0">
    <w:nsid w:val="533A2C64"/>
    <w:multiLevelType w:val="hybridMultilevel"/>
    <w:tmpl w:val="758E26CE"/>
    <w:lvl w:ilvl="0" w:tplc="300A0001">
      <w:start w:val="1"/>
      <w:numFmt w:val="bullet"/>
      <w:lvlText w:val=""/>
      <w:lvlJc w:val="left"/>
      <w:pPr>
        <w:ind w:left="1495" w:hanging="360"/>
      </w:pPr>
      <w:rPr>
        <w:rFonts w:ascii="Symbol" w:hAnsi="Symbol"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291" w15:restartNumberingAfterBreak="0">
    <w:nsid w:val="5363E649"/>
    <w:multiLevelType w:val="hybridMultilevel"/>
    <w:tmpl w:val="0152E584"/>
    <w:lvl w:ilvl="0" w:tplc="84342A94">
      <w:start w:val="1"/>
      <w:numFmt w:val="lowerLetter"/>
      <w:lvlText w:val="%1."/>
      <w:lvlJc w:val="left"/>
      <w:pPr>
        <w:ind w:left="1800" w:hanging="360"/>
      </w:pPr>
    </w:lvl>
    <w:lvl w:ilvl="1" w:tplc="EF16BDB8">
      <w:start w:val="1"/>
      <w:numFmt w:val="lowerLetter"/>
      <w:lvlText w:val="%2."/>
      <w:lvlJc w:val="left"/>
      <w:pPr>
        <w:ind w:left="2520" w:hanging="360"/>
      </w:pPr>
    </w:lvl>
    <w:lvl w:ilvl="2" w:tplc="B39E5290">
      <w:start w:val="1"/>
      <w:numFmt w:val="lowerRoman"/>
      <w:lvlText w:val="%3."/>
      <w:lvlJc w:val="right"/>
      <w:pPr>
        <w:ind w:left="3240" w:hanging="180"/>
      </w:pPr>
    </w:lvl>
    <w:lvl w:ilvl="3" w:tplc="D230F204">
      <w:start w:val="1"/>
      <w:numFmt w:val="decimal"/>
      <w:lvlText w:val="%4."/>
      <w:lvlJc w:val="left"/>
      <w:pPr>
        <w:ind w:left="3960" w:hanging="360"/>
      </w:pPr>
    </w:lvl>
    <w:lvl w:ilvl="4" w:tplc="3D4E4020">
      <w:start w:val="1"/>
      <w:numFmt w:val="lowerLetter"/>
      <w:lvlText w:val="%5."/>
      <w:lvlJc w:val="left"/>
      <w:pPr>
        <w:ind w:left="4680" w:hanging="360"/>
      </w:pPr>
    </w:lvl>
    <w:lvl w:ilvl="5" w:tplc="94CCB992">
      <w:start w:val="1"/>
      <w:numFmt w:val="lowerRoman"/>
      <w:lvlText w:val="%6."/>
      <w:lvlJc w:val="right"/>
      <w:pPr>
        <w:ind w:left="5400" w:hanging="180"/>
      </w:pPr>
    </w:lvl>
    <w:lvl w:ilvl="6" w:tplc="95BA763E">
      <w:start w:val="1"/>
      <w:numFmt w:val="decimal"/>
      <w:lvlText w:val="%7."/>
      <w:lvlJc w:val="left"/>
      <w:pPr>
        <w:ind w:left="6120" w:hanging="360"/>
      </w:pPr>
    </w:lvl>
    <w:lvl w:ilvl="7" w:tplc="9118B976">
      <w:start w:val="1"/>
      <w:numFmt w:val="lowerLetter"/>
      <w:lvlText w:val="%8."/>
      <w:lvlJc w:val="left"/>
      <w:pPr>
        <w:ind w:left="6840" w:hanging="360"/>
      </w:pPr>
    </w:lvl>
    <w:lvl w:ilvl="8" w:tplc="9A30AFE0">
      <w:start w:val="1"/>
      <w:numFmt w:val="lowerRoman"/>
      <w:lvlText w:val="%9."/>
      <w:lvlJc w:val="right"/>
      <w:pPr>
        <w:ind w:left="7560" w:hanging="180"/>
      </w:pPr>
    </w:lvl>
  </w:abstractNum>
  <w:abstractNum w:abstractNumId="292" w15:restartNumberingAfterBreak="0">
    <w:nsid w:val="53A52DF5"/>
    <w:multiLevelType w:val="multilevel"/>
    <w:tmpl w:val="D0A84216"/>
    <w:lvl w:ilvl="0">
      <w:start w:val="2"/>
      <w:numFmt w:val="decimal"/>
      <w:lvlText w:val="%1"/>
      <w:lvlJc w:val="left"/>
      <w:pPr>
        <w:ind w:left="660" w:hanging="660"/>
      </w:pPr>
      <w:rPr>
        <w:rFonts w:hint="default"/>
        <w:b w:val="0"/>
        <w:color w:val="auto"/>
      </w:rPr>
    </w:lvl>
    <w:lvl w:ilvl="1">
      <w:start w:val="1"/>
      <w:numFmt w:val="decimal"/>
      <w:lvlText w:val="%1.%2"/>
      <w:lvlJc w:val="left"/>
      <w:pPr>
        <w:ind w:left="1380" w:hanging="660"/>
      </w:pPr>
      <w:rPr>
        <w:rFonts w:hint="default"/>
        <w:b w:val="0"/>
        <w:color w:val="auto"/>
      </w:rPr>
    </w:lvl>
    <w:lvl w:ilvl="2">
      <w:start w:val="1"/>
      <w:numFmt w:val="decimal"/>
      <w:lvlText w:val="%1.%2.%3"/>
      <w:lvlJc w:val="left"/>
      <w:pPr>
        <w:ind w:left="2160" w:hanging="720"/>
      </w:pPr>
      <w:rPr>
        <w:rFonts w:hint="default"/>
        <w:b w:val="0"/>
        <w:color w:val="auto"/>
      </w:rPr>
    </w:lvl>
    <w:lvl w:ilvl="3">
      <w:start w:val="3"/>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val="0"/>
        <w:color w:val="auto"/>
      </w:rPr>
    </w:lvl>
    <w:lvl w:ilvl="5">
      <w:start w:val="1"/>
      <w:numFmt w:val="decimal"/>
      <w:lvlText w:val="%1.%2.%3.%4.%5.%6"/>
      <w:lvlJc w:val="left"/>
      <w:pPr>
        <w:ind w:left="4680" w:hanging="1080"/>
      </w:pPr>
      <w:rPr>
        <w:rFonts w:hint="default"/>
        <w:b w:val="0"/>
        <w:color w:val="auto"/>
      </w:rPr>
    </w:lvl>
    <w:lvl w:ilvl="6">
      <w:start w:val="1"/>
      <w:numFmt w:val="decimal"/>
      <w:lvlText w:val="%1.%2.%3.%4.%5.%6.%7"/>
      <w:lvlJc w:val="left"/>
      <w:pPr>
        <w:ind w:left="5760" w:hanging="1440"/>
      </w:pPr>
      <w:rPr>
        <w:rFonts w:hint="default"/>
        <w:b w:val="0"/>
        <w:color w:val="auto"/>
      </w:rPr>
    </w:lvl>
    <w:lvl w:ilvl="7">
      <w:start w:val="1"/>
      <w:numFmt w:val="decimal"/>
      <w:lvlText w:val="%1.%2.%3.%4.%5.%6.%7.%8"/>
      <w:lvlJc w:val="left"/>
      <w:pPr>
        <w:ind w:left="6480" w:hanging="1440"/>
      </w:pPr>
      <w:rPr>
        <w:rFonts w:hint="default"/>
        <w:b w:val="0"/>
        <w:color w:val="auto"/>
      </w:rPr>
    </w:lvl>
    <w:lvl w:ilvl="8">
      <w:start w:val="1"/>
      <w:numFmt w:val="decimal"/>
      <w:lvlText w:val="%1.%2.%3.%4.%5.%6.%7.%8.%9"/>
      <w:lvlJc w:val="left"/>
      <w:pPr>
        <w:ind w:left="7560" w:hanging="1800"/>
      </w:pPr>
      <w:rPr>
        <w:rFonts w:hint="default"/>
        <w:b w:val="0"/>
        <w:color w:val="auto"/>
      </w:rPr>
    </w:lvl>
  </w:abstractNum>
  <w:abstractNum w:abstractNumId="293"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94" w15:restartNumberingAfterBreak="0">
    <w:nsid w:val="53E282A1"/>
    <w:multiLevelType w:val="hybridMultilevel"/>
    <w:tmpl w:val="FB38432E"/>
    <w:lvl w:ilvl="0" w:tplc="9B42D9FA">
      <w:start w:val="1"/>
      <w:numFmt w:val="decimal"/>
      <w:lvlText w:val="●"/>
      <w:lvlJc w:val="left"/>
      <w:pPr>
        <w:ind w:left="2484" w:hanging="360"/>
      </w:pPr>
    </w:lvl>
    <w:lvl w:ilvl="1" w:tplc="EEB2B37C">
      <w:start w:val="1"/>
      <w:numFmt w:val="lowerLetter"/>
      <w:lvlText w:val="%2."/>
      <w:lvlJc w:val="left"/>
      <w:pPr>
        <w:ind w:left="3204" w:hanging="360"/>
      </w:pPr>
    </w:lvl>
    <w:lvl w:ilvl="2" w:tplc="21E6D5BA">
      <w:start w:val="1"/>
      <w:numFmt w:val="lowerRoman"/>
      <w:lvlText w:val="%3."/>
      <w:lvlJc w:val="right"/>
      <w:pPr>
        <w:ind w:left="3924" w:hanging="180"/>
      </w:pPr>
    </w:lvl>
    <w:lvl w:ilvl="3" w:tplc="D17ACDD6">
      <w:start w:val="1"/>
      <w:numFmt w:val="decimal"/>
      <w:lvlText w:val="%4."/>
      <w:lvlJc w:val="left"/>
      <w:pPr>
        <w:ind w:left="4644" w:hanging="360"/>
      </w:pPr>
    </w:lvl>
    <w:lvl w:ilvl="4" w:tplc="2CAE7158">
      <w:start w:val="1"/>
      <w:numFmt w:val="lowerLetter"/>
      <w:lvlText w:val="%5."/>
      <w:lvlJc w:val="left"/>
      <w:pPr>
        <w:ind w:left="5364" w:hanging="360"/>
      </w:pPr>
    </w:lvl>
    <w:lvl w:ilvl="5" w:tplc="C638FE06">
      <w:start w:val="1"/>
      <w:numFmt w:val="lowerRoman"/>
      <w:lvlText w:val="%6."/>
      <w:lvlJc w:val="right"/>
      <w:pPr>
        <w:ind w:left="6084" w:hanging="180"/>
      </w:pPr>
    </w:lvl>
    <w:lvl w:ilvl="6" w:tplc="C7E66004">
      <w:start w:val="1"/>
      <w:numFmt w:val="decimal"/>
      <w:lvlText w:val="%7."/>
      <w:lvlJc w:val="left"/>
      <w:pPr>
        <w:ind w:left="6804" w:hanging="360"/>
      </w:pPr>
    </w:lvl>
    <w:lvl w:ilvl="7" w:tplc="0722110C">
      <w:start w:val="1"/>
      <w:numFmt w:val="lowerLetter"/>
      <w:lvlText w:val="%8."/>
      <w:lvlJc w:val="left"/>
      <w:pPr>
        <w:ind w:left="7524" w:hanging="360"/>
      </w:pPr>
    </w:lvl>
    <w:lvl w:ilvl="8" w:tplc="5BEE4A12">
      <w:start w:val="1"/>
      <w:numFmt w:val="lowerRoman"/>
      <w:lvlText w:val="%9."/>
      <w:lvlJc w:val="right"/>
      <w:pPr>
        <w:ind w:left="8244" w:hanging="180"/>
      </w:pPr>
    </w:lvl>
  </w:abstractNum>
  <w:abstractNum w:abstractNumId="295" w15:restartNumberingAfterBreak="0">
    <w:nsid w:val="53EE18E6"/>
    <w:multiLevelType w:val="hybridMultilevel"/>
    <w:tmpl w:val="2C2CDBC2"/>
    <w:lvl w:ilvl="0" w:tplc="56DC9504">
      <w:start w:val="1"/>
      <w:numFmt w:val="lowerLetter"/>
      <w:lvlText w:val="%1)"/>
      <w:lvlJc w:val="left"/>
      <w:pPr>
        <w:tabs>
          <w:tab w:val="num" w:pos="1440"/>
        </w:tabs>
        <w:ind w:left="1440" w:hanging="144"/>
      </w:pPr>
      <w:rPr>
        <w:rFonts w:hint="default"/>
        <w:b w:val="0"/>
        <w:i w:val="0"/>
      </w:rPr>
    </w:lvl>
    <w:lvl w:ilvl="1" w:tplc="DBA299EA">
      <w:start w:val="1"/>
      <w:numFmt w:val="lowerRoman"/>
      <w:lvlText w:val="(%2)"/>
      <w:lvlJc w:val="left"/>
      <w:pPr>
        <w:ind w:left="1782" w:hanging="360"/>
      </w:pPr>
      <w:rPr>
        <w:rFonts w:hint="default"/>
        <w:b w:val="0"/>
        <w:i w:val="0"/>
        <w:color w:val="auto"/>
        <w:lang w:val="en-AU"/>
      </w:rPr>
    </w:lvl>
    <w:lvl w:ilvl="2" w:tplc="662067C4">
      <w:start w:val="1"/>
      <w:numFmt w:val="lowerLetter"/>
      <w:lvlText w:val="(%3)"/>
      <w:lvlJc w:val="left"/>
      <w:pPr>
        <w:ind w:left="2340" w:hanging="360"/>
      </w:pPr>
      <w:rPr>
        <w:rFonts w:hint="default"/>
      </w:rPr>
    </w:lvl>
    <w:lvl w:ilvl="3" w:tplc="29E0E122" w:tentative="1">
      <w:start w:val="1"/>
      <w:numFmt w:val="decimal"/>
      <w:lvlText w:val="%4."/>
      <w:lvlJc w:val="left"/>
      <w:pPr>
        <w:tabs>
          <w:tab w:val="num" w:pos="2880"/>
        </w:tabs>
        <w:ind w:left="2880" w:hanging="360"/>
      </w:pPr>
    </w:lvl>
    <w:lvl w:ilvl="4" w:tplc="6DD05616">
      <w:start w:val="1"/>
      <w:numFmt w:val="lowerLetter"/>
      <w:lvlText w:val="%5."/>
      <w:lvlJc w:val="left"/>
      <w:pPr>
        <w:tabs>
          <w:tab w:val="num" w:pos="3600"/>
        </w:tabs>
        <w:ind w:left="3600" w:hanging="360"/>
      </w:pPr>
    </w:lvl>
    <w:lvl w:ilvl="5" w:tplc="0532CEFE" w:tentative="1">
      <w:start w:val="1"/>
      <w:numFmt w:val="lowerRoman"/>
      <w:lvlText w:val="%6."/>
      <w:lvlJc w:val="right"/>
      <w:pPr>
        <w:tabs>
          <w:tab w:val="num" w:pos="4320"/>
        </w:tabs>
        <w:ind w:left="4320" w:hanging="180"/>
      </w:pPr>
    </w:lvl>
    <w:lvl w:ilvl="6" w:tplc="9B020EEC" w:tentative="1">
      <w:start w:val="1"/>
      <w:numFmt w:val="decimal"/>
      <w:lvlText w:val="%7."/>
      <w:lvlJc w:val="left"/>
      <w:pPr>
        <w:tabs>
          <w:tab w:val="num" w:pos="5040"/>
        </w:tabs>
        <w:ind w:left="5040" w:hanging="360"/>
      </w:pPr>
    </w:lvl>
    <w:lvl w:ilvl="7" w:tplc="D3AAA49A" w:tentative="1">
      <w:start w:val="1"/>
      <w:numFmt w:val="lowerLetter"/>
      <w:lvlText w:val="%8."/>
      <w:lvlJc w:val="left"/>
      <w:pPr>
        <w:tabs>
          <w:tab w:val="num" w:pos="5760"/>
        </w:tabs>
        <w:ind w:left="5760" w:hanging="360"/>
      </w:pPr>
    </w:lvl>
    <w:lvl w:ilvl="8" w:tplc="5B7AC9C8" w:tentative="1">
      <w:start w:val="1"/>
      <w:numFmt w:val="lowerRoman"/>
      <w:lvlText w:val="%9."/>
      <w:lvlJc w:val="right"/>
      <w:pPr>
        <w:tabs>
          <w:tab w:val="num" w:pos="6480"/>
        </w:tabs>
        <w:ind w:left="6480" w:hanging="180"/>
      </w:pPr>
    </w:lvl>
  </w:abstractNum>
  <w:abstractNum w:abstractNumId="296" w15:restartNumberingAfterBreak="0">
    <w:nsid w:val="54354924"/>
    <w:multiLevelType w:val="hybridMultilevel"/>
    <w:tmpl w:val="DB142BD0"/>
    <w:lvl w:ilvl="0" w:tplc="9E14EA3E">
      <w:start w:val="1"/>
      <w:numFmt w:val="lowerLetter"/>
      <w:lvlText w:val="(%1)"/>
      <w:lvlJc w:val="left"/>
      <w:pPr>
        <w:ind w:left="1242" w:hanging="360"/>
      </w:pPr>
      <w:rPr>
        <w:rFonts w:hint="default"/>
        <w:b w:val="0"/>
        <w:i w:val="0"/>
        <w:color w:val="auto"/>
        <w:sz w:val="22"/>
        <w:szCs w:val="22"/>
        <w:u w:val="none"/>
      </w:rPr>
    </w:lvl>
    <w:lvl w:ilvl="1" w:tplc="04090003" w:tentative="1">
      <w:start w:val="1"/>
      <w:numFmt w:val="lowerLetter"/>
      <w:lvlText w:val="%2."/>
      <w:lvlJc w:val="left"/>
      <w:pPr>
        <w:tabs>
          <w:tab w:val="num" w:pos="3420"/>
        </w:tabs>
        <w:ind w:left="3420" w:hanging="360"/>
      </w:pPr>
    </w:lvl>
    <w:lvl w:ilvl="2" w:tplc="04090005" w:tentative="1">
      <w:start w:val="1"/>
      <w:numFmt w:val="lowerRoman"/>
      <w:lvlText w:val="%3."/>
      <w:lvlJc w:val="right"/>
      <w:pPr>
        <w:tabs>
          <w:tab w:val="num" w:pos="4140"/>
        </w:tabs>
        <w:ind w:left="4140" w:hanging="180"/>
      </w:pPr>
    </w:lvl>
    <w:lvl w:ilvl="3" w:tplc="04090001" w:tentative="1">
      <w:start w:val="1"/>
      <w:numFmt w:val="decimal"/>
      <w:lvlText w:val="%4."/>
      <w:lvlJc w:val="left"/>
      <w:pPr>
        <w:tabs>
          <w:tab w:val="num" w:pos="4860"/>
        </w:tabs>
        <w:ind w:left="4860" w:hanging="360"/>
      </w:pPr>
    </w:lvl>
    <w:lvl w:ilvl="4" w:tplc="04090003" w:tentative="1">
      <w:start w:val="1"/>
      <w:numFmt w:val="lowerLetter"/>
      <w:lvlText w:val="%5."/>
      <w:lvlJc w:val="left"/>
      <w:pPr>
        <w:tabs>
          <w:tab w:val="num" w:pos="5580"/>
        </w:tabs>
        <w:ind w:left="5580" w:hanging="360"/>
      </w:pPr>
    </w:lvl>
    <w:lvl w:ilvl="5" w:tplc="04090005" w:tentative="1">
      <w:start w:val="1"/>
      <w:numFmt w:val="lowerRoman"/>
      <w:lvlText w:val="%6."/>
      <w:lvlJc w:val="right"/>
      <w:pPr>
        <w:tabs>
          <w:tab w:val="num" w:pos="6300"/>
        </w:tabs>
        <w:ind w:left="6300" w:hanging="180"/>
      </w:pPr>
    </w:lvl>
    <w:lvl w:ilvl="6" w:tplc="04090001" w:tentative="1">
      <w:start w:val="1"/>
      <w:numFmt w:val="decimal"/>
      <w:lvlText w:val="%7."/>
      <w:lvlJc w:val="left"/>
      <w:pPr>
        <w:tabs>
          <w:tab w:val="num" w:pos="7020"/>
        </w:tabs>
        <w:ind w:left="7020" w:hanging="360"/>
      </w:pPr>
    </w:lvl>
    <w:lvl w:ilvl="7" w:tplc="04090003" w:tentative="1">
      <w:start w:val="1"/>
      <w:numFmt w:val="lowerLetter"/>
      <w:lvlText w:val="%8."/>
      <w:lvlJc w:val="left"/>
      <w:pPr>
        <w:tabs>
          <w:tab w:val="num" w:pos="7740"/>
        </w:tabs>
        <w:ind w:left="7740" w:hanging="360"/>
      </w:pPr>
    </w:lvl>
    <w:lvl w:ilvl="8" w:tplc="04090005" w:tentative="1">
      <w:start w:val="1"/>
      <w:numFmt w:val="lowerRoman"/>
      <w:lvlText w:val="%9."/>
      <w:lvlJc w:val="right"/>
      <w:pPr>
        <w:tabs>
          <w:tab w:val="num" w:pos="8460"/>
        </w:tabs>
        <w:ind w:left="8460" w:hanging="180"/>
      </w:pPr>
    </w:lvl>
  </w:abstractNum>
  <w:abstractNum w:abstractNumId="297" w15:restartNumberingAfterBreak="0">
    <w:nsid w:val="54E2218F"/>
    <w:multiLevelType w:val="hybridMultilevel"/>
    <w:tmpl w:val="6AEE9856"/>
    <w:lvl w:ilvl="0" w:tplc="300A0001">
      <w:start w:val="1"/>
      <w:numFmt w:val="bullet"/>
      <w:lvlText w:val=""/>
      <w:lvlJc w:val="left"/>
      <w:pPr>
        <w:ind w:left="3065" w:hanging="360"/>
      </w:pPr>
      <w:rPr>
        <w:rFonts w:ascii="Symbol" w:hAnsi="Symbol" w:hint="default"/>
      </w:rPr>
    </w:lvl>
    <w:lvl w:ilvl="1" w:tplc="300A0003" w:tentative="1">
      <w:start w:val="1"/>
      <w:numFmt w:val="bullet"/>
      <w:lvlText w:val="o"/>
      <w:lvlJc w:val="left"/>
      <w:pPr>
        <w:ind w:left="3785" w:hanging="360"/>
      </w:pPr>
      <w:rPr>
        <w:rFonts w:ascii="Courier New" w:hAnsi="Courier New" w:cs="Courier New" w:hint="default"/>
      </w:rPr>
    </w:lvl>
    <w:lvl w:ilvl="2" w:tplc="300A0005" w:tentative="1">
      <w:start w:val="1"/>
      <w:numFmt w:val="bullet"/>
      <w:lvlText w:val=""/>
      <w:lvlJc w:val="left"/>
      <w:pPr>
        <w:ind w:left="4505" w:hanging="360"/>
      </w:pPr>
      <w:rPr>
        <w:rFonts w:ascii="Wingdings" w:hAnsi="Wingdings" w:hint="default"/>
      </w:rPr>
    </w:lvl>
    <w:lvl w:ilvl="3" w:tplc="300A0001" w:tentative="1">
      <w:start w:val="1"/>
      <w:numFmt w:val="bullet"/>
      <w:lvlText w:val=""/>
      <w:lvlJc w:val="left"/>
      <w:pPr>
        <w:ind w:left="5225" w:hanging="360"/>
      </w:pPr>
      <w:rPr>
        <w:rFonts w:ascii="Symbol" w:hAnsi="Symbol" w:hint="default"/>
      </w:rPr>
    </w:lvl>
    <w:lvl w:ilvl="4" w:tplc="300A0003" w:tentative="1">
      <w:start w:val="1"/>
      <w:numFmt w:val="bullet"/>
      <w:lvlText w:val="o"/>
      <w:lvlJc w:val="left"/>
      <w:pPr>
        <w:ind w:left="5945" w:hanging="360"/>
      </w:pPr>
      <w:rPr>
        <w:rFonts w:ascii="Courier New" w:hAnsi="Courier New" w:cs="Courier New" w:hint="default"/>
      </w:rPr>
    </w:lvl>
    <w:lvl w:ilvl="5" w:tplc="300A0005" w:tentative="1">
      <w:start w:val="1"/>
      <w:numFmt w:val="bullet"/>
      <w:lvlText w:val=""/>
      <w:lvlJc w:val="left"/>
      <w:pPr>
        <w:ind w:left="6665" w:hanging="360"/>
      </w:pPr>
      <w:rPr>
        <w:rFonts w:ascii="Wingdings" w:hAnsi="Wingdings" w:hint="default"/>
      </w:rPr>
    </w:lvl>
    <w:lvl w:ilvl="6" w:tplc="300A0001" w:tentative="1">
      <w:start w:val="1"/>
      <w:numFmt w:val="bullet"/>
      <w:lvlText w:val=""/>
      <w:lvlJc w:val="left"/>
      <w:pPr>
        <w:ind w:left="7385" w:hanging="360"/>
      </w:pPr>
      <w:rPr>
        <w:rFonts w:ascii="Symbol" w:hAnsi="Symbol" w:hint="default"/>
      </w:rPr>
    </w:lvl>
    <w:lvl w:ilvl="7" w:tplc="300A0003" w:tentative="1">
      <w:start w:val="1"/>
      <w:numFmt w:val="bullet"/>
      <w:lvlText w:val="o"/>
      <w:lvlJc w:val="left"/>
      <w:pPr>
        <w:ind w:left="8105" w:hanging="360"/>
      </w:pPr>
      <w:rPr>
        <w:rFonts w:ascii="Courier New" w:hAnsi="Courier New" w:cs="Courier New" w:hint="default"/>
      </w:rPr>
    </w:lvl>
    <w:lvl w:ilvl="8" w:tplc="300A0005" w:tentative="1">
      <w:start w:val="1"/>
      <w:numFmt w:val="bullet"/>
      <w:lvlText w:val=""/>
      <w:lvlJc w:val="left"/>
      <w:pPr>
        <w:ind w:left="8825" w:hanging="360"/>
      </w:pPr>
      <w:rPr>
        <w:rFonts w:ascii="Wingdings" w:hAnsi="Wingdings" w:hint="default"/>
      </w:rPr>
    </w:lvl>
  </w:abstractNum>
  <w:abstractNum w:abstractNumId="298" w15:restartNumberingAfterBreak="0">
    <w:nsid w:val="55491F56"/>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299" w15:restartNumberingAfterBreak="0">
    <w:nsid w:val="555C6A53"/>
    <w:multiLevelType w:val="hybridMultilevel"/>
    <w:tmpl w:val="3D569B1E"/>
    <w:lvl w:ilvl="0" w:tplc="6A7C95D8">
      <w:start w:val="1"/>
      <w:numFmt w:val="lowerLetter"/>
      <w:lvlText w:val="%1."/>
      <w:lvlJc w:val="left"/>
      <w:pPr>
        <w:ind w:left="2203" w:hanging="360"/>
      </w:pPr>
      <w:rPr>
        <w:rFonts w:ascii="Arial" w:eastAsia="Times New Roman" w:hAnsi="Arial" w:cs="Arial" w:hint="default"/>
      </w:rPr>
    </w:lvl>
    <w:lvl w:ilvl="1" w:tplc="FFFFFFFF">
      <w:start w:val="1"/>
      <w:numFmt w:val="lowerLetter"/>
      <w:lvlText w:val="%2."/>
      <w:lvlJc w:val="left"/>
      <w:pPr>
        <w:ind w:left="2486" w:hanging="360"/>
      </w:pPr>
    </w:lvl>
    <w:lvl w:ilvl="2" w:tplc="BAE6BC72">
      <w:start w:val="12"/>
      <w:numFmt w:val="upperLetter"/>
      <w:lvlText w:val="%3."/>
      <w:lvlJc w:val="left"/>
      <w:pPr>
        <w:ind w:left="3823" w:hanging="360"/>
      </w:pPr>
      <w:rPr>
        <w:rFonts w:ascii="Arial" w:hAnsi="Arial" w:cs="Arial" w:hint="default"/>
        <w:color w:val="auto"/>
        <w:sz w:val="22"/>
      </w:r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00" w15:restartNumberingAfterBreak="0">
    <w:nsid w:val="55766A63"/>
    <w:multiLevelType w:val="hybridMultilevel"/>
    <w:tmpl w:val="4E36C41E"/>
    <w:lvl w:ilvl="0" w:tplc="0A081C42">
      <w:start w:val="1"/>
      <w:numFmt w:val="decimal"/>
      <w:lvlText w:val="46.%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01" w15:restartNumberingAfterBreak="0">
    <w:nsid w:val="564E3DF9"/>
    <w:multiLevelType w:val="hybridMultilevel"/>
    <w:tmpl w:val="AA3EBBC4"/>
    <w:lvl w:ilvl="0" w:tplc="D838946E">
      <w:start w:val="1"/>
      <w:numFmt w:val="decimal"/>
      <w:lvlText w:val="51.%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6E42838"/>
    <w:multiLevelType w:val="hybridMultilevel"/>
    <w:tmpl w:val="C2E457E4"/>
    <w:lvl w:ilvl="0" w:tplc="2A8CADF4">
      <w:start w:val="1"/>
      <w:numFmt w:val="decimal"/>
      <w:pStyle w:val="HeaderTechnicalandFinancialPartofEvaluationCriteria"/>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574777AA"/>
    <w:multiLevelType w:val="hybridMultilevel"/>
    <w:tmpl w:val="B1105D02"/>
    <w:lvl w:ilvl="0" w:tplc="300A0019">
      <w:start w:val="1"/>
      <w:numFmt w:val="lowerLetter"/>
      <w:lvlText w:val="%1."/>
      <w:lvlJc w:val="left"/>
      <w:pPr>
        <w:ind w:left="3204" w:hanging="360"/>
      </w:pPr>
    </w:lvl>
    <w:lvl w:ilvl="1" w:tplc="300A0019">
      <w:start w:val="1"/>
      <w:numFmt w:val="lowerLetter"/>
      <w:lvlText w:val="%2."/>
      <w:lvlJc w:val="left"/>
      <w:pPr>
        <w:ind w:left="2203" w:hanging="360"/>
      </w:pPr>
    </w:lvl>
    <w:lvl w:ilvl="2" w:tplc="300A001B" w:tentative="1">
      <w:start w:val="1"/>
      <w:numFmt w:val="lowerRoman"/>
      <w:lvlText w:val="%3."/>
      <w:lvlJc w:val="right"/>
      <w:pPr>
        <w:ind w:left="4644" w:hanging="180"/>
      </w:pPr>
    </w:lvl>
    <w:lvl w:ilvl="3" w:tplc="300A000F" w:tentative="1">
      <w:start w:val="1"/>
      <w:numFmt w:val="decimal"/>
      <w:lvlText w:val="%4."/>
      <w:lvlJc w:val="left"/>
      <w:pPr>
        <w:ind w:left="5364" w:hanging="360"/>
      </w:pPr>
    </w:lvl>
    <w:lvl w:ilvl="4" w:tplc="300A0019" w:tentative="1">
      <w:start w:val="1"/>
      <w:numFmt w:val="lowerLetter"/>
      <w:lvlText w:val="%5."/>
      <w:lvlJc w:val="left"/>
      <w:pPr>
        <w:ind w:left="6084" w:hanging="360"/>
      </w:pPr>
    </w:lvl>
    <w:lvl w:ilvl="5" w:tplc="300A001B" w:tentative="1">
      <w:start w:val="1"/>
      <w:numFmt w:val="lowerRoman"/>
      <w:lvlText w:val="%6."/>
      <w:lvlJc w:val="right"/>
      <w:pPr>
        <w:ind w:left="6804" w:hanging="180"/>
      </w:pPr>
    </w:lvl>
    <w:lvl w:ilvl="6" w:tplc="300A000F" w:tentative="1">
      <w:start w:val="1"/>
      <w:numFmt w:val="decimal"/>
      <w:lvlText w:val="%7."/>
      <w:lvlJc w:val="left"/>
      <w:pPr>
        <w:ind w:left="7524" w:hanging="360"/>
      </w:pPr>
    </w:lvl>
    <w:lvl w:ilvl="7" w:tplc="300A0019" w:tentative="1">
      <w:start w:val="1"/>
      <w:numFmt w:val="lowerLetter"/>
      <w:lvlText w:val="%8."/>
      <w:lvlJc w:val="left"/>
      <w:pPr>
        <w:ind w:left="8244" w:hanging="360"/>
      </w:pPr>
    </w:lvl>
    <w:lvl w:ilvl="8" w:tplc="300A001B" w:tentative="1">
      <w:start w:val="1"/>
      <w:numFmt w:val="lowerRoman"/>
      <w:lvlText w:val="%9."/>
      <w:lvlJc w:val="right"/>
      <w:pPr>
        <w:ind w:left="8964" w:hanging="180"/>
      </w:pPr>
    </w:lvl>
  </w:abstractNum>
  <w:abstractNum w:abstractNumId="305" w15:restartNumberingAfterBreak="0">
    <w:nsid w:val="57F4690B"/>
    <w:multiLevelType w:val="hybridMultilevel"/>
    <w:tmpl w:val="45680AF2"/>
    <w:lvl w:ilvl="0" w:tplc="9E14EA3E">
      <w:start w:val="1"/>
      <w:numFmt w:val="lowerLetter"/>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85627E8"/>
    <w:multiLevelType w:val="hybridMultilevel"/>
    <w:tmpl w:val="1C72C976"/>
    <w:lvl w:ilvl="0" w:tplc="56DE14A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7" w15:restartNumberingAfterBreak="0">
    <w:nsid w:val="5893387B"/>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08" w15:restartNumberingAfterBreak="0">
    <w:nsid w:val="58E87290"/>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09" w15:restartNumberingAfterBreak="0">
    <w:nsid w:val="591A0714"/>
    <w:multiLevelType w:val="hybridMultilevel"/>
    <w:tmpl w:val="7EB6A2B4"/>
    <w:lvl w:ilvl="0" w:tplc="300A0001">
      <w:start w:val="1"/>
      <w:numFmt w:val="bullet"/>
      <w:lvlText w:val=""/>
      <w:lvlJc w:val="left"/>
      <w:pPr>
        <w:ind w:left="1494" w:hanging="360"/>
      </w:pPr>
      <w:rPr>
        <w:rFonts w:ascii="Symbol" w:hAnsi="Symbol"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310" w15:restartNumberingAfterBreak="0">
    <w:nsid w:val="5952584E"/>
    <w:multiLevelType w:val="hybridMultilevel"/>
    <w:tmpl w:val="F33278C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11" w15:restartNumberingAfterBreak="0">
    <w:nsid w:val="5969698F"/>
    <w:multiLevelType w:val="hybridMultilevel"/>
    <w:tmpl w:val="0D3ADF10"/>
    <w:lvl w:ilvl="0" w:tplc="2A6857BA">
      <w:start w:val="1"/>
      <w:numFmt w:val="decimal"/>
      <w:lvlText w:val="3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59886E9A"/>
    <w:multiLevelType w:val="hybridMultilevel"/>
    <w:tmpl w:val="27E02CE2"/>
    <w:lvl w:ilvl="0" w:tplc="6A8A8D34">
      <w:start w:val="1"/>
      <w:numFmt w:val="decimal"/>
      <w:lvlText w:val="17.%1"/>
      <w:lvlJc w:val="left"/>
      <w:pPr>
        <w:ind w:left="720" w:hanging="360"/>
      </w:pPr>
      <w:rPr>
        <w:rFonts w:ascii="Times New Roman" w:hAnsi="Times New Roman" w:cs="Times New Roman" w:hint="default"/>
      </w:rPr>
    </w:lvl>
    <w:lvl w:ilvl="1" w:tplc="9E14EA3E">
      <w:start w:val="1"/>
      <w:numFmt w:val="lowerLetter"/>
      <w:lvlText w:val="(%2)"/>
      <w:lvlJc w:val="left"/>
      <w:pPr>
        <w:ind w:left="720" w:hanging="360"/>
      </w:pPr>
      <w:rPr>
        <w:rFonts w:hint="default"/>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9A85B30"/>
    <w:multiLevelType w:val="hybridMultilevel"/>
    <w:tmpl w:val="4C12E612"/>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4" w15:restartNumberingAfterBreak="0">
    <w:nsid w:val="59C10FA1"/>
    <w:multiLevelType w:val="hybridMultilevel"/>
    <w:tmpl w:val="0B88E292"/>
    <w:lvl w:ilvl="0" w:tplc="FFFFFFFF">
      <w:start w:val="1"/>
      <w:numFmt w:val="lowerLetter"/>
      <w:lvlText w:val="%1."/>
      <w:lvlJc w:val="left"/>
      <w:pPr>
        <w:ind w:left="2844" w:hanging="360"/>
      </w:pPr>
      <w:rPr>
        <w:rFonts w:hint="default"/>
      </w:rPr>
    </w:lvl>
    <w:lvl w:ilvl="1" w:tplc="FFFFFFFF">
      <w:start w:val="1"/>
      <w:numFmt w:val="bullet"/>
      <w:lvlText w:val="o"/>
      <w:lvlJc w:val="left"/>
      <w:pPr>
        <w:ind w:left="3706" w:hanging="360"/>
      </w:pPr>
      <w:rPr>
        <w:rFonts w:ascii="Courier New" w:hAnsi="Courier New" w:cs="Courier New" w:hint="default"/>
      </w:rPr>
    </w:lvl>
    <w:lvl w:ilvl="2" w:tplc="FFFFFFFF" w:tentative="1">
      <w:start w:val="1"/>
      <w:numFmt w:val="bullet"/>
      <w:lvlText w:val=""/>
      <w:lvlJc w:val="left"/>
      <w:pPr>
        <w:ind w:left="4426" w:hanging="360"/>
      </w:pPr>
      <w:rPr>
        <w:rFonts w:ascii="Wingdings" w:hAnsi="Wingdings" w:hint="default"/>
      </w:rPr>
    </w:lvl>
    <w:lvl w:ilvl="3" w:tplc="FFFFFFFF" w:tentative="1">
      <w:start w:val="1"/>
      <w:numFmt w:val="bullet"/>
      <w:lvlText w:val=""/>
      <w:lvlJc w:val="left"/>
      <w:pPr>
        <w:ind w:left="5146" w:hanging="360"/>
      </w:pPr>
      <w:rPr>
        <w:rFonts w:ascii="Symbol" w:hAnsi="Symbol" w:hint="default"/>
      </w:rPr>
    </w:lvl>
    <w:lvl w:ilvl="4" w:tplc="FFFFFFFF" w:tentative="1">
      <w:start w:val="1"/>
      <w:numFmt w:val="bullet"/>
      <w:lvlText w:val="o"/>
      <w:lvlJc w:val="left"/>
      <w:pPr>
        <w:ind w:left="5866" w:hanging="360"/>
      </w:pPr>
      <w:rPr>
        <w:rFonts w:ascii="Courier New" w:hAnsi="Courier New" w:cs="Courier New" w:hint="default"/>
      </w:rPr>
    </w:lvl>
    <w:lvl w:ilvl="5" w:tplc="FFFFFFFF" w:tentative="1">
      <w:start w:val="1"/>
      <w:numFmt w:val="bullet"/>
      <w:lvlText w:val=""/>
      <w:lvlJc w:val="left"/>
      <w:pPr>
        <w:ind w:left="6586" w:hanging="360"/>
      </w:pPr>
      <w:rPr>
        <w:rFonts w:ascii="Wingdings" w:hAnsi="Wingdings" w:hint="default"/>
      </w:rPr>
    </w:lvl>
    <w:lvl w:ilvl="6" w:tplc="FFFFFFFF" w:tentative="1">
      <w:start w:val="1"/>
      <w:numFmt w:val="bullet"/>
      <w:lvlText w:val=""/>
      <w:lvlJc w:val="left"/>
      <w:pPr>
        <w:ind w:left="7306" w:hanging="360"/>
      </w:pPr>
      <w:rPr>
        <w:rFonts w:ascii="Symbol" w:hAnsi="Symbol" w:hint="default"/>
      </w:rPr>
    </w:lvl>
    <w:lvl w:ilvl="7" w:tplc="FFFFFFFF" w:tentative="1">
      <w:start w:val="1"/>
      <w:numFmt w:val="bullet"/>
      <w:lvlText w:val="o"/>
      <w:lvlJc w:val="left"/>
      <w:pPr>
        <w:ind w:left="8026" w:hanging="360"/>
      </w:pPr>
      <w:rPr>
        <w:rFonts w:ascii="Courier New" w:hAnsi="Courier New" w:cs="Courier New" w:hint="default"/>
      </w:rPr>
    </w:lvl>
    <w:lvl w:ilvl="8" w:tplc="FFFFFFFF" w:tentative="1">
      <w:start w:val="1"/>
      <w:numFmt w:val="bullet"/>
      <w:lvlText w:val=""/>
      <w:lvlJc w:val="left"/>
      <w:pPr>
        <w:ind w:left="8746" w:hanging="360"/>
      </w:pPr>
      <w:rPr>
        <w:rFonts w:ascii="Wingdings" w:hAnsi="Wingdings" w:hint="default"/>
      </w:rPr>
    </w:lvl>
  </w:abstractNum>
  <w:abstractNum w:abstractNumId="315" w15:restartNumberingAfterBreak="0">
    <w:nsid w:val="5A2C0E0E"/>
    <w:multiLevelType w:val="hybridMultilevel"/>
    <w:tmpl w:val="7512A74C"/>
    <w:lvl w:ilvl="0" w:tplc="FFFFFFFF">
      <w:start w:val="1"/>
      <w:numFmt w:val="lowerLetter"/>
      <w:lvlText w:val="%1."/>
      <w:lvlJc w:val="left"/>
      <w:pPr>
        <w:ind w:left="2486" w:hanging="360"/>
      </w:pPr>
      <w:rPr>
        <w:b w:val="0"/>
        <w:bCs w:val="0"/>
      </w:rPr>
    </w:lvl>
    <w:lvl w:ilvl="1" w:tplc="FFFFFFFF" w:tentative="1">
      <w:start w:val="1"/>
      <w:numFmt w:val="lowerLetter"/>
      <w:lvlText w:val="%2."/>
      <w:lvlJc w:val="left"/>
      <w:pPr>
        <w:ind w:left="3206" w:hanging="360"/>
      </w:pPr>
    </w:lvl>
    <w:lvl w:ilvl="2" w:tplc="FFFFFFFF" w:tentative="1">
      <w:start w:val="1"/>
      <w:numFmt w:val="lowerRoman"/>
      <w:lvlText w:val="%3."/>
      <w:lvlJc w:val="right"/>
      <w:pPr>
        <w:ind w:left="3926" w:hanging="180"/>
      </w:pPr>
    </w:lvl>
    <w:lvl w:ilvl="3" w:tplc="FFFFFFFF" w:tentative="1">
      <w:start w:val="1"/>
      <w:numFmt w:val="decimal"/>
      <w:lvlText w:val="%4."/>
      <w:lvlJc w:val="left"/>
      <w:pPr>
        <w:ind w:left="4646" w:hanging="360"/>
      </w:pPr>
    </w:lvl>
    <w:lvl w:ilvl="4" w:tplc="FFFFFFFF" w:tentative="1">
      <w:start w:val="1"/>
      <w:numFmt w:val="lowerLetter"/>
      <w:lvlText w:val="%5."/>
      <w:lvlJc w:val="left"/>
      <w:pPr>
        <w:ind w:left="5366" w:hanging="360"/>
      </w:pPr>
    </w:lvl>
    <w:lvl w:ilvl="5" w:tplc="FFFFFFFF" w:tentative="1">
      <w:start w:val="1"/>
      <w:numFmt w:val="lowerRoman"/>
      <w:lvlText w:val="%6."/>
      <w:lvlJc w:val="right"/>
      <w:pPr>
        <w:ind w:left="6086" w:hanging="180"/>
      </w:pPr>
    </w:lvl>
    <w:lvl w:ilvl="6" w:tplc="FFFFFFFF" w:tentative="1">
      <w:start w:val="1"/>
      <w:numFmt w:val="decimal"/>
      <w:lvlText w:val="%7."/>
      <w:lvlJc w:val="left"/>
      <w:pPr>
        <w:ind w:left="6806" w:hanging="360"/>
      </w:pPr>
    </w:lvl>
    <w:lvl w:ilvl="7" w:tplc="FFFFFFFF" w:tentative="1">
      <w:start w:val="1"/>
      <w:numFmt w:val="lowerLetter"/>
      <w:lvlText w:val="%8."/>
      <w:lvlJc w:val="left"/>
      <w:pPr>
        <w:ind w:left="7526" w:hanging="360"/>
      </w:pPr>
    </w:lvl>
    <w:lvl w:ilvl="8" w:tplc="FFFFFFFF" w:tentative="1">
      <w:start w:val="1"/>
      <w:numFmt w:val="lowerRoman"/>
      <w:lvlText w:val="%9."/>
      <w:lvlJc w:val="right"/>
      <w:pPr>
        <w:ind w:left="8246" w:hanging="180"/>
      </w:pPr>
    </w:lvl>
  </w:abstractNum>
  <w:abstractNum w:abstractNumId="316"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7" w15:restartNumberingAfterBreak="0">
    <w:nsid w:val="5B2325D8"/>
    <w:multiLevelType w:val="hybridMultilevel"/>
    <w:tmpl w:val="F3EC3B22"/>
    <w:lvl w:ilvl="0" w:tplc="0596BCB0">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18" w15:restartNumberingAfterBreak="0">
    <w:nsid w:val="5B366D98"/>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19" w15:restartNumberingAfterBreak="0">
    <w:nsid w:val="5B423131"/>
    <w:multiLevelType w:val="hybridMultilevel"/>
    <w:tmpl w:val="BA943A3A"/>
    <w:lvl w:ilvl="0" w:tplc="300A0019">
      <w:start w:val="1"/>
      <w:numFmt w:val="lowerLetter"/>
      <w:lvlText w:val="%1."/>
      <w:lvlJc w:val="left"/>
      <w:pPr>
        <w:ind w:left="3129" w:hanging="360"/>
      </w:pPr>
    </w:lvl>
    <w:lvl w:ilvl="1" w:tplc="300A0019" w:tentative="1">
      <w:start w:val="1"/>
      <w:numFmt w:val="lowerLetter"/>
      <w:lvlText w:val="%2."/>
      <w:lvlJc w:val="left"/>
      <w:pPr>
        <w:ind w:left="3849" w:hanging="360"/>
      </w:pPr>
    </w:lvl>
    <w:lvl w:ilvl="2" w:tplc="300A001B" w:tentative="1">
      <w:start w:val="1"/>
      <w:numFmt w:val="lowerRoman"/>
      <w:lvlText w:val="%3."/>
      <w:lvlJc w:val="right"/>
      <w:pPr>
        <w:ind w:left="4569" w:hanging="180"/>
      </w:pPr>
    </w:lvl>
    <w:lvl w:ilvl="3" w:tplc="300A000F" w:tentative="1">
      <w:start w:val="1"/>
      <w:numFmt w:val="decimal"/>
      <w:lvlText w:val="%4."/>
      <w:lvlJc w:val="left"/>
      <w:pPr>
        <w:ind w:left="5289" w:hanging="360"/>
      </w:pPr>
    </w:lvl>
    <w:lvl w:ilvl="4" w:tplc="300A0019" w:tentative="1">
      <w:start w:val="1"/>
      <w:numFmt w:val="lowerLetter"/>
      <w:lvlText w:val="%5."/>
      <w:lvlJc w:val="left"/>
      <w:pPr>
        <w:ind w:left="6009" w:hanging="360"/>
      </w:pPr>
    </w:lvl>
    <w:lvl w:ilvl="5" w:tplc="300A001B" w:tentative="1">
      <w:start w:val="1"/>
      <w:numFmt w:val="lowerRoman"/>
      <w:lvlText w:val="%6."/>
      <w:lvlJc w:val="right"/>
      <w:pPr>
        <w:ind w:left="6729" w:hanging="180"/>
      </w:pPr>
    </w:lvl>
    <w:lvl w:ilvl="6" w:tplc="300A000F" w:tentative="1">
      <w:start w:val="1"/>
      <w:numFmt w:val="decimal"/>
      <w:lvlText w:val="%7."/>
      <w:lvlJc w:val="left"/>
      <w:pPr>
        <w:ind w:left="7449" w:hanging="360"/>
      </w:pPr>
    </w:lvl>
    <w:lvl w:ilvl="7" w:tplc="300A0019" w:tentative="1">
      <w:start w:val="1"/>
      <w:numFmt w:val="lowerLetter"/>
      <w:lvlText w:val="%8."/>
      <w:lvlJc w:val="left"/>
      <w:pPr>
        <w:ind w:left="8169" w:hanging="360"/>
      </w:pPr>
    </w:lvl>
    <w:lvl w:ilvl="8" w:tplc="300A001B" w:tentative="1">
      <w:start w:val="1"/>
      <w:numFmt w:val="lowerRoman"/>
      <w:lvlText w:val="%9."/>
      <w:lvlJc w:val="right"/>
      <w:pPr>
        <w:ind w:left="8889" w:hanging="180"/>
      </w:pPr>
    </w:lvl>
  </w:abstractNum>
  <w:abstractNum w:abstractNumId="320" w15:restartNumberingAfterBreak="0">
    <w:nsid w:val="5B4C3A05"/>
    <w:multiLevelType w:val="hybridMultilevel"/>
    <w:tmpl w:val="9F308390"/>
    <w:lvl w:ilvl="0" w:tplc="1354CD82">
      <w:start w:val="1"/>
      <w:numFmt w:val="lowerLetter"/>
      <w:lvlText w:val="%1."/>
      <w:lvlJc w:val="left"/>
      <w:pPr>
        <w:ind w:left="2345" w:hanging="360"/>
      </w:pPr>
      <w:rPr>
        <w:rFonts w:hint="default"/>
      </w:r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321" w15:restartNumberingAfterBreak="0">
    <w:nsid w:val="5B72674F"/>
    <w:multiLevelType w:val="hybridMultilevel"/>
    <w:tmpl w:val="40C88530"/>
    <w:lvl w:ilvl="0" w:tplc="300A0019">
      <w:start w:val="1"/>
      <w:numFmt w:val="lowerLetter"/>
      <w:lvlText w:val="%1."/>
      <w:lvlJc w:val="left"/>
      <w:pPr>
        <w:ind w:left="1800" w:hanging="360"/>
      </w:pPr>
    </w:lvl>
    <w:lvl w:ilvl="1" w:tplc="81F29724">
      <w:start w:val="1"/>
      <w:numFmt w:val="lowerLetter"/>
      <w:lvlText w:val="%2."/>
      <w:lvlJc w:val="left"/>
      <w:pPr>
        <w:ind w:left="2520" w:hanging="360"/>
      </w:pPr>
    </w:lvl>
    <w:lvl w:ilvl="2" w:tplc="DC262840">
      <w:start w:val="1"/>
      <w:numFmt w:val="lowerRoman"/>
      <w:lvlText w:val="%3."/>
      <w:lvlJc w:val="right"/>
      <w:pPr>
        <w:ind w:left="3240" w:hanging="180"/>
      </w:pPr>
    </w:lvl>
    <w:lvl w:ilvl="3" w:tplc="7402D32A">
      <w:start w:val="1"/>
      <w:numFmt w:val="decimal"/>
      <w:lvlText w:val="%4."/>
      <w:lvlJc w:val="left"/>
      <w:pPr>
        <w:ind w:left="3960" w:hanging="360"/>
      </w:pPr>
    </w:lvl>
    <w:lvl w:ilvl="4" w:tplc="B3320EFA">
      <w:start w:val="1"/>
      <w:numFmt w:val="lowerLetter"/>
      <w:lvlText w:val="%5."/>
      <w:lvlJc w:val="left"/>
      <w:pPr>
        <w:ind w:left="4680" w:hanging="360"/>
      </w:pPr>
    </w:lvl>
    <w:lvl w:ilvl="5" w:tplc="0198839A">
      <w:start w:val="1"/>
      <w:numFmt w:val="lowerRoman"/>
      <w:lvlText w:val="%6."/>
      <w:lvlJc w:val="right"/>
      <w:pPr>
        <w:ind w:left="5400" w:hanging="180"/>
      </w:pPr>
    </w:lvl>
    <w:lvl w:ilvl="6" w:tplc="40ECF430">
      <w:start w:val="1"/>
      <w:numFmt w:val="decimal"/>
      <w:lvlText w:val="%7."/>
      <w:lvlJc w:val="left"/>
      <w:pPr>
        <w:ind w:left="6120" w:hanging="360"/>
      </w:pPr>
    </w:lvl>
    <w:lvl w:ilvl="7" w:tplc="92F667DE">
      <w:start w:val="1"/>
      <w:numFmt w:val="lowerLetter"/>
      <w:lvlText w:val="%8."/>
      <w:lvlJc w:val="left"/>
      <w:pPr>
        <w:ind w:left="6840" w:hanging="360"/>
      </w:pPr>
    </w:lvl>
    <w:lvl w:ilvl="8" w:tplc="2BAA92E0">
      <w:start w:val="1"/>
      <w:numFmt w:val="lowerRoman"/>
      <w:lvlText w:val="%9."/>
      <w:lvlJc w:val="right"/>
      <w:pPr>
        <w:ind w:left="7560" w:hanging="180"/>
      </w:pPr>
    </w:lvl>
  </w:abstractNum>
  <w:abstractNum w:abstractNumId="322" w15:restartNumberingAfterBreak="0">
    <w:nsid w:val="5BAE64A1"/>
    <w:multiLevelType w:val="hybridMultilevel"/>
    <w:tmpl w:val="7F767098"/>
    <w:lvl w:ilvl="0" w:tplc="300A0001">
      <w:start w:val="1"/>
      <w:numFmt w:val="bullet"/>
      <w:lvlText w:val=""/>
      <w:lvlJc w:val="left"/>
      <w:pPr>
        <w:ind w:left="3762" w:hanging="360"/>
      </w:pPr>
      <w:rPr>
        <w:rFonts w:ascii="Symbol" w:hAnsi="Symbol" w:hint="default"/>
      </w:rPr>
    </w:lvl>
    <w:lvl w:ilvl="1" w:tplc="300A0019">
      <w:start w:val="1"/>
      <w:numFmt w:val="lowerLetter"/>
      <w:lvlText w:val="%2."/>
      <w:lvlJc w:val="left"/>
      <w:pPr>
        <w:ind w:left="4199" w:hanging="360"/>
      </w:pPr>
      <w:rPr>
        <w:rFonts w:hint="default"/>
      </w:rPr>
    </w:lvl>
    <w:lvl w:ilvl="2" w:tplc="300A0005" w:tentative="1">
      <w:start w:val="1"/>
      <w:numFmt w:val="bullet"/>
      <w:lvlText w:val=""/>
      <w:lvlJc w:val="left"/>
      <w:pPr>
        <w:ind w:left="4919" w:hanging="360"/>
      </w:pPr>
      <w:rPr>
        <w:rFonts w:ascii="Wingdings" w:hAnsi="Wingdings" w:hint="default"/>
      </w:rPr>
    </w:lvl>
    <w:lvl w:ilvl="3" w:tplc="300A0001" w:tentative="1">
      <w:start w:val="1"/>
      <w:numFmt w:val="bullet"/>
      <w:lvlText w:val=""/>
      <w:lvlJc w:val="left"/>
      <w:pPr>
        <w:ind w:left="5639" w:hanging="360"/>
      </w:pPr>
      <w:rPr>
        <w:rFonts w:ascii="Symbol" w:hAnsi="Symbol" w:hint="default"/>
      </w:rPr>
    </w:lvl>
    <w:lvl w:ilvl="4" w:tplc="300A0003" w:tentative="1">
      <w:start w:val="1"/>
      <w:numFmt w:val="bullet"/>
      <w:lvlText w:val="o"/>
      <w:lvlJc w:val="left"/>
      <w:pPr>
        <w:ind w:left="6359" w:hanging="360"/>
      </w:pPr>
      <w:rPr>
        <w:rFonts w:ascii="Courier New" w:hAnsi="Courier New" w:cs="Courier New" w:hint="default"/>
      </w:rPr>
    </w:lvl>
    <w:lvl w:ilvl="5" w:tplc="300A0005" w:tentative="1">
      <w:start w:val="1"/>
      <w:numFmt w:val="bullet"/>
      <w:lvlText w:val=""/>
      <w:lvlJc w:val="left"/>
      <w:pPr>
        <w:ind w:left="7079" w:hanging="360"/>
      </w:pPr>
      <w:rPr>
        <w:rFonts w:ascii="Wingdings" w:hAnsi="Wingdings" w:hint="default"/>
      </w:rPr>
    </w:lvl>
    <w:lvl w:ilvl="6" w:tplc="300A0001" w:tentative="1">
      <w:start w:val="1"/>
      <w:numFmt w:val="bullet"/>
      <w:lvlText w:val=""/>
      <w:lvlJc w:val="left"/>
      <w:pPr>
        <w:ind w:left="7799" w:hanging="360"/>
      </w:pPr>
      <w:rPr>
        <w:rFonts w:ascii="Symbol" w:hAnsi="Symbol" w:hint="default"/>
      </w:rPr>
    </w:lvl>
    <w:lvl w:ilvl="7" w:tplc="300A0003" w:tentative="1">
      <w:start w:val="1"/>
      <w:numFmt w:val="bullet"/>
      <w:lvlText w:val="o"/>
      <w:lvlJc w:val="left"/>
      <w:pPr>
        <w:ind w:left="8519" w:hanging="360"/>
      </w:pPr>
      <w:rPr>
        <w:rFonts w:ascii="Courier New" w:hAnsi="Courier New" w:cs="Courier New" w:hint="default"/>
      </w:rPr>
    </w:lvl>
    <w:lvl w:ilvl="8" w:tplc="300A0005" w:tentative="1">
      <w:start w:val="1"/>
      <w:numFmt w:val="bullet"/>
      <w:lvlText w:val=""/>
      <w:lvlJc w:val="left"/>
      <w:pPr>
        <w:ind w:left="9239" w:hanging="360"/>
      </w:pPr>
      <w:rPr>
        <w:rFonts w:ascii="Wingdings" w:hAnsi="Wingdings" w:hint="default"/>
      </w:rPr>
    </w:lvl>
  </w:abstractNum>
  <w:abstractNum w:abstractNumId="323" w15:restartNumberingAfterBreak="0">
    <w:nsid w:val="5BD119EB"/>
    <w:multiLevelType w:val="hybridMultilevel"/>
    <w:tmpl w:val="E5E055BA"/>
    <w:lvl w:ilvl="0" w:tplc="300A0019">
      <w:start w:val="1"/>
      <w:numFmt w:val="lowerLetter"/>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324" w15:restartNumberingAfterBreak="0">
    <w:nsid w:val="5BF756EF"/>
    <w:multiLevelType w:val="hybridMultilevel"/>
    <w:tmpl w:val="8C041D96"/>
    <w:lvl w:ilvl="0" w:tplc="ABEAE0E2">
      <w:start w:val="1"/>
      <w:numFmt w:val="lowerLetter"/>
      <w:lvlText w:val="%1."/>
      <w:lvlJc w:val="left"/>
      <w:pPr>
        <w:ind w:left="32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5" w15:restartNumberingAfterBreak="0">
    <w:nsid w:val="5C310B90"/>
    <w:multiLevelType w:val="hybridMultilevel"/>
    <w:tmpl w:val="836AFC54"/>
    <w:lvl w:ilvl="0" w:tplc="300A0019">
      <w:start w:val="1"/>
      <w:numFmt w:val="lowerLetter"/>
      <w:lvlText w:val="%1."/>
      <w:lvlJc w:val="left"/>
      <w:pPr>
        <w:ind w:left="720" w:hanging="360"/>
      </w:pPr>
    </w:lvl>
    <w:lvl w:ilvl="1" w:tplc="300A0019">
      <w:start w:val="1"/>
      <w:numFmt w:val="lowerLetter"/>
      <w:lvlText w:val="%2."/>
      <w:lvlJc w:val="left"/>
      <w:pPr>
        <w:ind w:left="1778"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6" w15:restartNumberingAfterBreak="0">
    <w:nsid w:val="5C4F38C6"/>
    <w:multiLevelType w:val="hybridMultilevel"/>
    <w:tmpl w:val="2D627A92"/>
    <w:lvl w:ilvl="0" w:tplc="300A0019">
      <w:start w:val="1"/>
      <w:numFmt w:val="lowerLetter"/>
      <w:lvlText w:val="%1."/>
      <w:lvlJc w:val="left"/>
      <w:pPr>
        <w:ind w:left="1800" w:hanging="360"/>
      </w:pPr>
    </w:lvl>
    <w:lvl w:ilvl="1" w:tplc="3EA2360C">
      <w:start w:val="1"/>
      <w:numFmt w:val="lowerLetter"/>
      <w:lvlText w:val="%2."/>
      <w:lvlJc w:val="left"/>
      <w:pPr>
        <w:ind w:left="2520" w:hanging="360"/>
      </w:pPr>
    </w:lvl>
    <w:lvl w:ilvl="2" w:tplc="BC38318C">
      <w:start w:val="1"/>
      <w:numFmt w:val="lowerRoman"/>
      <w:lvlText w:val="%3."/>
      <w:lvlJc w:val="right"/>
      <w:pPr>
        <w:ind w:left="3240" w:hanging="180"/>
      </w:pPr>
    </w:lvl>
    <w:lvl w:ilvl="3" w:tplc="515A45B0">
      <w:start w:val="1"/>
      <w:numFmt w:val="decimal"/>
      <w:lvlText w:val="%4."/>
      <w:lvlJc w:val="left"/>
      <w:pPr>
        <w:ind w:left="3960" w:hanging="360"/>
      </w:pPr>
    </w:lvl>
    <w:lvl w:ilvl="4" w:tplc="E91ED0D4">
      <w:start w:val="1"/>
      <w:numFmt w:val="lowerLetter"/>
      <w:lvlText w:val="%5."/>
      <w:lvlJc w:val="left"/>
      <w:pPr>
        <w:ind w:left="4680" w:hanging="360"/>
      </w:pPr>
    </w:lvl>
    <w:lvl w:ilvl="5" w:tplc="05946C10">
      <w:start w:val="1"/>
      <w:numFmt w:val="lowerRoman"/>
      <w:lvlText w:val="%6."/>
      <w:lvlJc w:val="right"/>
      <w:pPr>
        <w:ind w:left="5400" w:hanging="180"/>
      </w:pPr>
    </w:lvl>
    <w:lvl w:ilvl="6" w:tplc="2FB81D98">
      <w:start w:val="1"/>
      <w:numFmt w:val="decimal"/>
      <w:lvlText w:val="%7."/>
      <w:lvlJc w:val="left"/>
      <w:pPr>
        <w:ind w:left="6120" w:hanging="360"/>
      </w:pPr>
    </w:lvl>
    <w:lvl w:ilvl="7" w:tplc="9A9CF1B2">
      <w:start w:val="1"/>
      <w:numFmt w:val="lowerLetter"/>
      <w:lvlText w:val="%8."/>
      <w:lvlJc w:val="left"/>
      <w:pPr>
        <w:ind w:left="6840" w:hanging="360"/>
      </w:pPr>
    </w:lvl>
    <w:lvl w:ilvl="8" w:tplc="CD2ED86A">
      <w:start w:val="1"/>
      <w:numFmt w:val="lowerRoman"/>
      <w:lvlText w:val="%9."/>
      <w:lvlJc w:val="right"/>
      <w:pPr>
        <w:ind w:left="7560" w:hanging="180"/>
      </w:pPr>
    </w:lvl>
  </w:abstractNum>
  <w:abstractNum w:abstractNumId="327" w15:restartNumberingAfterBreak="0">
    <w:nsid w:val="5C6B4D93"/>
    <w:multiLevelType w:val="hybridMultilevel"/>
    <w:tmpl w:val="9E024FEC"/>
    <w:lvl w:ilvl="0" w:tplc="300A0001">
      <w:start w:val="1"/>
      <w:numFmt w:val="bullet"/>
      <w:lvlText w:val=""/>
      <w:lvlJc w:val="left"/>
      <w:pPr>
        <w:ind w:left="2770" w:hanging="360"/>
      </w:pPr>
      <w:rPr>
        <w:rFonts w:ascii="Symbol" w:hAnsi="Symbol" w:hint="default"/>
        <w:u w:val="none"/>
      </w:r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328"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9" w15:restartNumberingAfterBreak="0">
    <w:nsid w:val="5CA039E5"/>
    <w:multiLevelType w:val="hybridMultilevel"/>
    <w:tmpl w:val="BB8CA30C"/>
    <w:lvl w:ilvl="0" w:tplc="300A0001">
      <w:start w:val="1"/>
      <w:numFmt w:val="bullet"/>
      <w:lvlText w:val=""/>
      <w:lvlJc w:val="left"/>
      <w:pPr>
        <w:ind w:left="2136" w:hanging="360"/>
      </w:pPr>
      <w:rPr>
        <w:rFonts w:ascii="Symbol" w:hAnsi="Symbol" w:hint="default"/>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330" w15:restartNumberingAfterBreak="0">
    <w:nsid w:val="5CBD0C6F"/>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331"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2" w15:restartNumberingAfterBreak="0">
    <w:nsid w:val="5D427217"/>
    <w:multiLevelType w:val="hybridMultilevel"/>
    <w:tmpl w:val="48380528"/>
    <w:lvl w:ilvl="0" w:tplc="DBA299EA">
      <w:start w:val="1"/>
      <w:numFmt w:val="lowerRoman"/>
      <w:lvlText w:val="(%1)"/>
      <w:lvlJc w:val="left"/>
      <w:pPr>
        <w:ind w:left="1782" w:hanging="360"/>
      </w:pPr>
      <w:rPr>
        <w:rFonts w:hint="default"/>
        <w:b w:val="0"/>
        <w:i w:val="0"/>
        <w:color w:val="auto"/>
        <w:sz w:val="24"/>
        <w:lang w:val="en-AU"/>
      </w:rPr>
    </w:lvl>
    <w:lvl w:ilvl="1" w:tplc="69C2CB22">
      <w:start w:val="1"/>
      <w:numFmt w:val="lowerLetter"/>
      <w:lvlText w:val="%2."/>
      <w:lvlJc w:val="left"/>
      <w:pPr>
        <w:ind w:left="2502" w:hanging="360"/>
      </w:pPr>
      <w:rPr>
        <w:rFonts w:ascii="Times New Roman" w:hAnsi="Times New Roman" w:hint="default"/>
        <w:b w:val="0"/>
        <w:i w:val="0"/>
        <w:sz w:val="24"/>
      </w:r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333" w15:restartNumberingAfterBreak="0">
    <w:nsid w:val="5D461141"/>
    <w:multiLevelType w:val="hybridMultilevel"/>
    <w:tmpl w:val="70A6FC60"/>
    <w:lvl w:ilvl="0" w:tplc="9B8CC46E">
      <w:start w:val="1"/>
      <w:numFmt w:val="decimal"/>
      <w:lvlText w:val="47.%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D4D194D"/>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35" w15:restartNumberingAfterBreak="0">
    <w:nsid w:val="5D780740"/>
    <w:multiLevelType w:val="hybridMultilevel"/>
    <w:tmpl w:val="AC0AA456"/>
    <w:lvl w:ilvl="0" w:tplc="300A0001">
      <w:start w:val="1"/>
      <w:numFmt w:val="bullet"/>
      <w:lvlText w:val=""/>
      <w:lvlJc w:val="left"/>
      <w:pPr>
        <w:ind w:left="3053" w:hanging="360"/>
      </w:pPr>
      <w:rPr>
        <w:rFonts w:ascii="Symbol" w:hAnsi="Symbol" w:hint="default"/>
        <w:lang w:val="es-EC"/>
      </w:rPr>
    </w:lvl>
    <w:lvl w:ilvl="1" w:tplc="FFFFFFFF" w:tentative="1">
      <w:start w:val="1"/>
      <w:numFmt w:val="lowerLetter"/>
      <w:lvlText w:val="%2."/>
      <w:lvlJc w:val="left"/>
      <w:pPr>
        <w:ind w:left="2290" w:hanging="360"/>
      </w:pPr>
    </w:lvl>
    <w:lvl w:ilvl="2" w:tplc="FFFFFFFF" w:tentative="1">
      <w:start w:val="1"/>
      <w:numFmt w:val="lowerRoman"/>
      <w:lvlText w:val="%3."/>
      <w:lvlJc w:val="right"/>
      <w:pPr>
        <w:ind w:left="3010" w:hanging="180"/>
      </w:pPr>
    </w:lvl>
    <w:lvl w:ilvl="3" w:tplc="FFFFFFFF" w:tentative="1">
      <w:start w:val="1"/>
      <w:numFmt w:val="decimal"/>
      <w:lvlText w:val="%4."/>
      <w:lvlJc w:val="left"/>
      <w:pPr>
        <w:ind w:left="3730" w:hanging="360"/>
      </w:pPr>
    </w:lvl>
    <w:lvl w:ilvl="4" w:tplc="FFFFFFFF" w:tentative="1">
      <w:start w:val="1"/>
      <w:numFmt w:val="lowerLetter"/>
      <w:lvlText w:val="%5."/>
      <w:lvlJc w:val="left"/>
      <w:pPr>
        <w:ind w:left="4450" w:hanging="360"/>
      </w:pPr>
    </w:lvl>
    <w:lvl w:ilvl="5" w:tplc="FFFFFFFF" w:tentative="1">
      <w:start w:val="1"/>
      <w:numFmt w:val="lowerRoman"/>
      <w:lvlText w:val="%6."/>
      <w:lvlJc w:val="right"/>
      <w:pPr>
        <w:ind w:left="5170" w:hanging="180"/>
      </w:pPr>
    </w:lvl>
    <w:lvl w:ilvl="6" w:tplc="FFFFFFFF" w:tentative="1">
      <w:start w:val="1"/>
      <w:numFmt w:val="decimal"/>
      <w:lvlText w:val="%7."/>
      <w:lvlJc w:val="left"/>
      <w:pPr>
        <w:ind w:left="5890" w:hanging="360"/>
      </w:pPr>
    </w:lvl>
    <w:lvl w:ilvl="7" w:tplc="FFFFFFFF" w:tentative="1">
      <w:start w:val="1"/>
      <w:numFmt w:val="lowerLetter"/>
      <w:lvlText w:val="%8."/>
      <w:lvlJc w:val="left"/>
      <w:pPr>
        <w:ind w:left="6610" w:hanging="360"/>
      </w:pPr>
    </w:lvl>
    <w:lvl w:ilvl="8" w:tplc="FFFFFFFF" w:tentative="1">
      <w:start w:val="1"/>
      <w:numFmt w:val="lowerRoman"/>
      <w:lvlText w:val="%9."/>
      <w:lvlJc w:val="right"/>
      <w:pPr>
        <w:ind w:left="7330" w:hanging="180"/>
      </w:pPr>
    </w:lvl>
  </w:abstractNum>
  <w:abstractNum w:abstractNumId="336" w15:restartNumberingAfterBreak="0">
    <w:nsid w:val="5DDD4268"/>
    <w:multiLevelType w:val="hybridMultilevel"/>
    <w:tmpl w:val="4380DC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7" w15:restartNumberingAfterBreak="0">
    <w:nsid w:val="5E0364A8"/>
    <w:multiLevelType w:val="hybridMultilevel"/>
    <w:tmpl w:val="CFDA7FA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38" w15:restartNumberingAfterBreak="0">
    <w:nsid w:val="5E0D6080"/>
    <w:multiLevelType w:val="hybridMultilevel"/>
    <w:tmpl w:val="AEE4E5AE"/>
    <w:lvl w:ilvl="0" w:tplc="300A0001">
      <w:start w:val="1"/>
      <w:numFmt w:val="bullet"/>
      <w:lvlText w:val=""/>
      <w:lvlJc w:val="left"/>
      <w:pPr>
        <w:ind w:left="3900" w:hanging="360"/>
      </w:pPr>
      <w:rPr>
        <w:rFonts w:ascii="Symbol" w:hAnsi="Symbol" w:hint="default"/>
      </w:rPr>
    </w:lvl>
    <w:lvl w:ilvl="1" w:tplc="300A0003" w:tentative="1">
      <w:start w:val="1"/>
      <w:numFmt w:val="bullet"/>
      <w:lvlText w:val="o"/>
      <w:lvlJc w:val="left"/>
      <w:pPr>
        <w:ind w:left="4620" w:hanging="360"/>
      </w:pPr>
      <w:rPr>
        <w:rFonts w:ascii="Courier New" w:hAnsi="Courier New" w:cs="Courier New" w:hint="default"/>
      </w:rPr>
    </w:lvl>
    <w:lvl w:ilvl="2" w:tplc="300A0005" w:tentative="1">
      <w:start w:val="1"/>
      <w:numFmt w:val="bullet"/>
      <w:lvlText w:val=""/>
      <w:lvlJc w:val="left"/>
      <w:pPr>
        <w:ind w:left="5340" w:hanging="360"/>
      </w:pPr>
      <w:rPr>
        <w:rFonts w:ascii="Wingdings" w:hAnsi="Wingdings" w:hint="default"/>
      </w:rPr>
    </w:lvl>
    <w:lvl w:ilvl="3" w:tplc="300A0001" w:tentative="1">
      <w:start w:val="1"/>
      <w:numFmt w:val="bullet"/>
      <w:lvlText w:val=""/>
      <w:lvlJc w:val="left"/>
      <w:pPr>
        <w:ind w:left="6060" w:hanging="360"/>
      </w:pPr>
      <w:rPr>
        <w:rFonts w:ascii="Symbol" w:hAnsi="Symbol" w:hint="default"/>
      </w:rPr>
    </w:lvl>
    <w:lvl w:ilvl="4" w:tplc="300A0003" w:tentative="1">
      <w:start w:val="1"/>
      <w:numFmt w:val="bullet"/>
      <w:lvlText w:val="o"/>
      <w:lvlJc w:val="left"/>
      <w:pPr>
        <w:ind w:left="6780" w:hanging="360"/>
      </w:pPr>
      <w:rPr>
        <w:rFonts w:ascii="Courier New" w:hAnsi="Courier New" w:cs="Courier New" w:hint="default"/>
      </w:rPr>
    </w:lvl>
    <w:lvl w:ilvl="5" w:tplc="300A0005" w:tentative="1">
      <w:start w:val="1"/>
      <w:numFmt w:val="bullet"/>
      <w:lvlText w:val=""/>
      <w:lvlJc w:val="left"/>
      <w:pPr>
        <w:ind w:left="7500" w:hanging="360"/>
      </w:pPr>
      <w:rPr>
        <w:rFonts w:ascii="Wingdings" w:hAnsi="Wingdings" w:hint="default"/>
      </w:rPr>
    </w:lvl>
    <w:lvl w:ilvl="6" w:tplc="300A0001" w:tentative="1">
      <w:start w:val="1"/>
      <w:numFmt w:val="bullet"/>
      <w:lvlText w:val=""/>
      <w:lvlJc w:val="left"/>
      <w:pPr>
        <w:ind w:left="8220" w:hanging="360"/>
      </w:pPr>
      <w:rPr>
        <w:rFonts w:ascii="Symbol" w:hAnsi="Symbol" w:hint="default"/>
      </w:rPr>
    </w:lvl>
    <w:lvl w:ilvl="7" w:tplc="300A0003" w:tentative="1">
      <w:start w:val="1"/>
      <w:numFmt w:val="bullet"/>
      <w:lvlText w:val="o"/>
      <w:lvlJc w:val="left"/>
      <w:pPr>
        <w:ind w:left="8940" w:hanging="360"/>
      </w:pPr>
      <w:rPr>
        <w:rFonts w:ascii="Courier New" w:hAnsi="Courier New" w:cs="Courier New" w:hint="default"/>
      </w:rPr>
    </w:lvl>
    <w:lvl w:ilvl="8" w:tplc="300A0005" w:tentative="1">
      <w:start w:val="1"/>
      <w:numFmt w:val="bullet"/>
      <w:lvlText w:val=""/>
      <w:lvlJc w:val="left"/>
      <w:pPr>
        <w:ind w:left="9660" w:hanging="360"/>
      </w:pPr>
      <w:rPr>
        <w:rFonts w:ascii="Wingdings" w:hAnsi="Wingdings" w:hint="default"/>
      </w:rPr>
    </w:lvl>
  </w:abstractNum>
  <w:abstractNum w:abstractNumId="339" w15:restartNumberingAfterBreak="0">
    <w:nsid w:val="5E3A3073"/>
    <w:multiLevelType w:val="hybridMultilevel"/>
    <w:tmpl w:val="B81A5768"/>
    <w:lvl w:ilvl="0" w:tplc="12465F5C">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341" w15:restartNumberingAfterBreak="0">
    <w:nsid w:val="5ECF7FF6"/>
    <w:multiLevelType w:val="multilevel"/>
    <w:tmpl w:val="A2F63F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2" w15:restartNumberingAfterBreak="0">
    <w:nsid w:val="5EED6308"/>
    <w:multiLevelType w:val="hybridMultilevel"/>
    <w:tmpl w:val="810E9E66"/>
    <w:lvl w:ilvl="0" w:tplc="A816E01A">
      <w:start w:val="1"/>
      <w:numFmt w:val="lowerLetter"/>
      <w:lvlText w:val="%1."/>
      <w:lvlJc w:val="left"/>
      <w:pPr>
        <w:ind w:left="2484" w:hanging="360"/>
      </w:pPr>
      <w:rPr>
        <w:rFonts w:hint="default"/>
        <w:w w:val="100"/>
        <w:lang w:val="es-ES" w:eastAsia="en-US" w:bidi="ar-SA"/>
      </w:rPr>
    </w:lvl>
    <w:lvl w:ilvl="1" w:tplc="FFFFFFFF">
      <w:start w:val="1"/>
      <w:numFmt w:val="bullet"/>
      <w:lvlText w:val="o"/>
      <w:lvlJc w:val="left"/>
      <w:pPr>
        <w:ind w:left="3204" w:hanging="360"/>
      </w:pPr>
      <w:rPr>
        <w:rFonts w:ascii="Courier New" w:hAnsi="Courier New" w:cs="Courier New" w:hint="default"/>
      </w:rPr>
    </w:lvl>
    <w:lvl w:ilvl="2" w:tplc="FFFFFFFF" w:tentative="1">
      <w:start w:val="1"/>
      <w:numFmt w:val="bullet"/>
      <w:lvlText w:val=""/>
      <w:lvlJc w:val="left"/>
      <w:pPr>
        <w:ind w:left="3924" w:hanging="360"/>
      </w:pPr>
      <w:rPr>
        <w:rFonts w:ascii="Wingdings" w:hAnsi="Wingdings" w:hint="default"/>
      </w:rPr>
    </w:lvl>
    <w:lvl w:ilvl="3" w:tplc="FFFFFFFF" w:tentative="1">
      <w:start w:val="1"/>
      <w:numFmt w:val="bullet"/>
      <w:lvlText w:val=""/>
      <w:lvlJc w:val="left"/>
      <w:pPr>
        <w:ind w:left="4644" w:hanging="360"/>
      </w:pPr>
      <w:rPr>
        <w:rFonts w:ascii="Symbol" w:hAnsi="Symbol" w:hint="default"/>
      </w:rPr>
    </w:lvl>
    <w:lvl w:ilvl="4" w:tplc="FFFFFFFF" w:tentative="1">
      <w:start w:val="1"/>
      <w:numFmt w:val="bullet"/>
      <w:lvlText w:val="o"/>
      <w:lvlJc w:val="left"/>
      <w:pPr>
        <w:ind w:left="5364" w:hanging="360"/>
      </w:pPr>
      <w:rPr>
        <w:rFonts w:ascii="Courier New" w:hAnsi="Courier New" w:cs="Courier New" w:hint="default"/>
      </w:rPr>
    </w:lvl>
    <w:lvl w:ilvl="5" w:tplc="FFFFFFFF" w:tentative="1">
      <w:start w:val="1"/>
      <w:numFmt w:val="bullet"/>
      <w:lvlText w:val=""/>
      <w:lvlJc w:val="left"/>
      <w:pPr>
        <w:ind w:left="6084" w:hanging="360"/>
      </w:pPr>
      <w:rPr>
        <w:rFonts w:ascii="Wingdings" w:hAnsi="Wingdings" w:hint="default"/>
      </w:rPr>
    </w:lvl>
    <w:lvl w:ilvl="6" w:tplc="FFFFFFFF" w:tentative="1">
      <w:start w:val="1"/>
      <w:numFmt w:val="bullet"/>
      <w:lvlText w:val=""/>
      <w:lvlJc w:val="left"/>
      <w:pPr>
        <w:ind w:left="6804" w:hanging="360"/>
      </w:pPr>
      <w:rPr>
        <w:rFonts w:ascii="Symbol" w:hAnsi="Symbol" w:hint="default"/>
      </w:rPr>
    </w:lvl>
    <w:lvl w:ilvl="7" w:tplc="FFFFFFFF" w:tentative="1">
      <w:start w:val="1"/>
      <w:numFmt w:val="bullet"/>
      <w:lvlText w:val="o"/>
      <w:lvlJc w:val="left"/>
      <w:pPr>
        <w:ind w:left="7524" w:hanging="360"/>
      </w:pPr>
      <w:rPr>
        <w:rFonts w:ascii="Courier New" w:hAnsi="Courier New" w:cs="Courier New" w:hint="default"/>
      </w:rPr>
    </w:lvl>
    <w:lvl w:ilvl="8" w:tplc="FFFFFFFF" w:tentative="1">
      <w:start w:val="1"/>
      <w:numFmt w:val="bullet"/>
      <w:lvlText w:val=""/>
      <w:lvlJc w:val="left"/>
      <w:pPr>
        <w:ind w:left="8244" w:hanging="360"/>
      </w:pPr>
      <w:rPr>
        <w:rFonts w:ascii="Wingdings" w:hAnsi="Wingdings" w:hint="default"/>
      </w:rPr>
    </w:lvl>
  </w:abstractNum>
  <w:abstractNum w:abstractNumId="343" w15:restartNumberingAfterBreak="0">
    <w:nsid w:val="5F242B1F"/>
    <w:multiLevelType w:val="hybridMultilevel"/>
    <w:tmpl w:val="20CA31B2"/>
    <w:lvl w:ilvl="0" w:tplc="300A0001">
      <w:start w:val="1"/>
      <w:numFmt w:val="bullet"/>
      <w:lvlText w:val=""/>
      <w:lvlJc w:val="left"/>
      <w:pPr>
        <w:ind w:left="1996" w:hanging="360"/>
      </w:pPr>
      <w:rPr>
        <w:rFonts w:ascii="Symbol" w:hAnsi="Symbol" w:hint="default"/>
      </w:rPr>
    </w:lvl>
    <w:lvl w:ilvl="1" w:tplc="300A0003" w:tentative="1">
      <w:start w:val="1"/>
      <w:numFmt w:val="bullet"/>
      <w:lvlText w:val="o"/>
      <w:lvlJc w:val="left"/>
      <w:pPr>
        <w:ind w:left="2716" w:hanging="360"/>
      </w:pPr>
      <w:rPr>
        <w:rFonts w:ascii="Courier New" w:hAnsi="Courier New" w:cs="Courier New" w:hint="default"/>
      </w:rPr>
    </w:lvl>
    <w:lvl w:ilvl="2" w:tplc="300A0005" w:tentative="1">
      <w:start w:val="1"/>
      <w:numFmt w:val="bullet"/>
      <w:lvlText w:val=""/>
      <w:lvlJc w:val="left"/>
      <w:pPr>
        <w:ind w:left="3436" w:hanging="360"/>
      </w:pPr>
      <w:rPr>
        <w:rFonts w:ascii="Wingdings" w:hAnsi="Wingdings" w:hint="default"/>
      </w:rPr>
    </w:lvl>
    <w:lvl w:ilvl="3" w:tplc="300A0001" w:tentative="1">
      <w:start w:val="1"/>
      <w:numFmt w:val="bullet"/>
      <w:lvlText w:val=""/>
      <w:lvlJc w:val="left"/>
      <w:pPr>
        <w:ind w:left="4156" w:hanging="360"/>
      </w:pPr>
      <w:rPr>
        <w:rFonts w:ascii="Symbol" w:hAnsi="Symbol" w:hint="default"/>
      </w:rPr>
    </w:lvl>
    <w:lvl w:ilvl="4" w:tplc="300A0003" w:tentative="1">
      <w:start w:val="1"/>
      <w:numFmt w:val="bullet"/>
      <w:lvlText w:val="o"/>
      <w:lvlJc w:val="left"/>
      <w:pPr>
        <w:ind w:left="4876" w:hanging="360"/>
      </w:pPr>
      <w:rPr>
        <w:rFonts w:ascii="Courier New" w:hAnsi="Courier New" w:cs="Courier New" w:hint="default"/>
      </w:rPr>
    </w:lvl>
    <w:lvl w:ilvl="5" w:tplc="300A0005" w:tentative="1">
      <w:start w:val="1"/>
      <w:numFmt w:val="bullet"/>
      <w:lvlText w:val=""/>
      <w:lvlJc w:val="left"/>
      <w:pPr>
        <w:ind w:left="5596" w:hanging="360"/>
      </w:pPr>
      <w:rPr>
        <w:rFonts w:ascii="Wingdings" w:hAnsi="Wingdings" w:hint="default"/>
      </w:rPr>
    </w:lvl>
    <w:lvl w:ilvl="6" w:tplc="300A0001" w:tentative="1">
      <w:start w:val="1"/>
      <w:numFmt w:val="bullet"/>
      <w:lvlText w:val=""/>
      <w:lvlJc w:val="left"/>
      <w:pPr>
        <w:ind w:left="6316" w:hanging="360"/>
      </w:pPr>
      <w:rPr>
        <w:rFonts w:ascii="Symbol" w:hAnsi="Symbol" w:hint="default"/>
      </w:rPr>
    </w:lvl>
    <w:lvl w:ilvl="7" w:tplc="300A0003" w:tentative="1">
      <w:start w:val="1"/>
      <w:numFmt w:val="bullet"/>
      <w:lvlText w:val="o"/>
      <w:lvlJc w:val="left"/>
      <w:pPr>
        <w:ind w:left="7036" w:hanging="360"/>
      </w:pPr>
      <w:rPr>
        <w:rFonts w:ascii="Courier New" w:hAnsi="Courier New" w:cs="Courier New" w:hint="default"/>
      </w:rPr>
    </w:lvl>
    <w:lvl w:ilvl="8" w:tplc="300A0005" w:tentative="1">
      <w:start w:val="1"/>
      <w:numFmt w:val="bullet"/>
      <w:lvlText w:val=""/>
      <w:lvlJc w:val="left"/>
      <w:pPr>
        <w:ind w:left="7756" w:hanging="360"/>
      </w:pPr>
      <w:rPr>
        <w:rFonts w:ascii="Wingdings" w:hAnsi="Wingdings" w:hint="default"/>
      </w:rPr>
    </w:lvl>
  </w:abstractNum>
  <w:abstractNum w:abstractNumId="344" w15:restartNumberingAfterBreak="0">
    <w:nsid w:val="5F34083B"/>
    <w:multiLevelType w:val="hybridMultilevel"/>
    <w:tmpl w:val="C45CA9F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45" w15:restartNumberingAfterBreak="0">
    <w:nsid w:val="5F37136F"/>
    <w:multiLevelType w:val="hybridMultilevel"/>
    <w:tmpl w:val="8DEE7104"/>
    <w:lvl w:ilvl="0" w:tplc="D964723C">
      <w:start w:val="1"/>
      <w:numFmt w:val="lowerLetter"/>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DD8CF99E">
      <w:start w:val="1"/>
      <w:numFmt w:val="bullet"/>
      <w:lvlText w:val="-"/>
      <w:lvlJc w:val="left"/>
      <w:pPr>
        <w:ind w:left="5803" w:hanging="180"/>
      </w:pPr>
      <w:rPr>
        <w:rFonts w:ascii="&quot;Times New Roman&quot;,serif" w:hAnsi="&quot;Times New Roman&quot;,serif" w:hint="default"/>
      </w:rPr>
    </w:lvl>
    <w:lvl w:ilvl="6" w:tplc="300A000F">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346" w15:restartNumberingAfterBreak="0">
    <w:nsid w:val="5F5F019D"/>
    <w:multiLevelType w:val="hybridMultilevel"/>
    <w:tmpl w:val="CC6A776C"/>
    <w:lvl w:ilvl="0" w:tplc="300A0001">
      <w:start w:val="1"/>
      <w:numFmt w:val="bullet"/>
      <w:lvlText w:val=""/>
      <w:lvlJc w:val="left"/>
      <w:pPr>
        <w:ind w:left="2563" w:hanging="360"/>
      </w:pPr>
      <w:rPr>
        <w:rFonts w:ascii="Symbol" w:hAnsi="Symbol" w:hint="default"/>
      </w:rPr>
    </w:lvl>
    <w:lvl w:ilvl="1" w:tplc="300A0003">
      <w:start w:val="1"/>
      <w:numFmt w:val="bullet"/>
      <w:lvlText w:val="o"/>
      <w:lvlJc w:val="left"/>
      <w:pPr>
        <w:ind w:left="3283" w:hanging="360"/>
      </w:pPr>
      <w:rPr>
        <w:rFonts w:ascii="Courier New" w:hAnsi="Courier New" w:cs="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cs="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cs="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347" w15:restartNumberingAfterBreak="0">
    <w:nsid w:val="5F6C7791"/>
    <w:multiLevelType w:val="hybridMultilevel"/>
    <w:tmpl w:val="0114D5E8"/>
    <w:lvl w:ilvl="0" w:tplc="FFFFFFFF">
      <w:start w:val="1"/>
      <w:numFmt w:val="lowerLetter"/>
      <w:lvlText w:val="%1."/>
      <w:lvlJc w:val="left"/>
      <w:pPr>
        <w:ind w:left="2345" w:hanging="360"/>
      </w:p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348" w15:restartNumberingAfterBreak="0">
    <w:nsid w:val="5FAC2316"/>
    <w:multiLevelType w:val="hybridMultilevel"/>
    <w:tmpl w:val="826CDC22"/>
    <w:lvl w:ilvl="0" w:tplc="CE984A02">
      <w:start w:val="1"/>
      <w:numFmt w:val="decimal"/>
      <w:lvlText w:val="25.%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5FB32447"/>
    <w:multiLevelType w:val="hybridMultilevel"/>
    <w:tmpl w:val="E1EEEB32"/>
    <w:lvl w:ilvl="0" w:tplc="D964723C">
      <w:start w:val="1"/>
      <w:numFmt w:val="lowerLetter"/>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DD8CF99E">
      <w:start w:val="1"/>
      <w:numFmt w:val="bullet"/>
      <w:lvlText w:val="-"/>
      <w:lvlJc w:val="left"/>
      <w:pPr>
        <w:ind w:left="5803" w:hanging="180"/>
      </w:pPr>
      <w:rPr>
        <w:rFonts w:ascii="&quot;Times New Roman&quot;,serif" w:hAnsi="&quot;Times New Roman&quot;,serif" w:hint="default"/>
      </w:rPr>
    </w:lvl>
    <w:lvl w:ilvl="6" w:tplc="300A000F">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350" w15:restartNumberingAfterBreak="0">
    <w:nsid w:val="5FF15F22"/>
    <w:multiLevelType w:val="hybridMultilevel"/>
    <w:tmpl w:val="D7600574"/>
    <w:lvl w:ilvl="0" w:tplc="300A0019">
      <w:start w:val="1"/>
      <w:numFmt w:val="low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51" w15:restartNumberingAfterBreak="0">
    <w:nsid w:val="600E5361"/>
    <w:multiLevelType w:val="hybridMultilevel"/>
    <w:tmpl w:val="9BF0B1EA"/>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2" w15:restartNumberingAfterBreak="0">
    <w:nsid w:val="6087692B"/>
    <w:multiLevelType w:val="hybridMultilevel"/>
    <w:tmpl w:val="C0ECAC4C"/>
    <w:lvl w:ilvl="0" w:tplc="6BA03E0A">
      <w:start w:val="1"/>
      <w:numFmt w:val="lowerLetter"/>
      <w:lvlText w:val="(%1)"/>
      <w:lvlJc w:val="left"/>
      <w:pPr>
        <w:ind w:left="72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60CD69BE"/>
    <w:multiLevelType w:val="hybridMultilevel"/>
    <w:tmpl w:val="E7DEF556"/>
    <w:lvl w:ilvl="0" w:tplc="0296B596">
      <w:start w:val="1"/>
      <w:numFmt w:val="decimal"/>
      <w:lvlText w:val="●"/>
      <w:lvlJc w:val="left"/>
      <w:pPr>
        <w:ind w:left="2912" w:hanging="360"/>
      </w:pPr>
      <w:rPr>
        <w:rFonts w:hint="default"/>
      </w:rPr>
    </w:lvl>
    <w:lvl w:ilvl="1" w:tplc="FFFFFFFF">
      <w:start w:val="1"/>
      <w:numFmt w:val="bullet"/>
      <w:lvlText w:val="o"/>
      <w:lvlJc w:val="left"/>
      <w:pPr>
        <w:ind w:left="3774" w:hanging="360"/>
      </w:pPr>
      <w:rPr>
        <w:rFonts w:ascii="Courier New" w:hAnsi="Courier New" w:cs="Courier New" w:hint="default"/>
      </w:rPr>
    </w:lvl>
    <w:lvl w:ilvl="2" w:tplc="FFFFFFFF" w:tentative="1">
      <w:start w:val="1"/>
      <w:numFmt w:val="bullet"/>
      <w:lvlText w:val=""/>
      <w:lvlJc w:val="left"/>
      <w:pPr>
        <w:ind w:left="4494" w:hanging="360"/>
      </w:pPr>
      <w:rPr>
        <w:rFonts w:ascii="Wingdings" w:hAnsi="Wingdings" w:hint="default"/>
      </w:rPr>
    </w:lvl>
    <w:lvl w:ilvl="3" w:tplc="FFFFFFFF" w:tentative="1">
      <w:start w:val="1"/>
      <w:numFmt w:val="bullet"/>
      <w:lvlText w:val=""/>
      <w:lvlJc w:val="left"/>
      <w:pPr>
        <w:ind w:left="5214" w:hanging="360"/>
      </w:pPr>
      <w:rPr>
        <w:rFonts w:ascii="Symbol" w:hAnsi="Symbol" w:hint="default"/>
      </w:rPr>
    </w:lvl>
    <w:lvl w:ilvl="4" w:tplc="FFFFFFFF" w:tentative="1">
      <w:start w:val="1"/>
      <w:numFmt w:val="bullet"/>
      <w:lvlText w:val="o"/>
      <w:lvlJc w:val="left"/>
      <w:pPr>
        <w:ind w:left="5934" w:hanging="360"/>
      </w:pPr>
      <w:rPr>
        <w:rFonts w:ascii="Courier New" w:hAnsi="Courier New" w:cs="Courier New" w:hint="default"/>
      </w:rPr>
    </w:lvl>
    <w:lvl w:ilvl="5" w:tplc="FFFFFFFF" w:tentative="1">
      <w:start w:val="1"/>
      <w:numFmt w:val="bullet"/>
      <w:lvlText w:val=""/>
      <w:lvlJc w:val="left"/>
      <w:pPr>
        <w:ind w:left="6654" w:hanging="360"/>
      </w:pPr>
      <w:rPr>
        <w:rFonts w:ascii="Wingdings" w:hAnsi="Wingdings" w:hint="default"/>
      </w:rPr>
    </w:lvl>
    <w:lvl w:ilvl="6" w:tplc="FFFFFFFF" w:tentative="1">
      <w:start w:val="1"/>
      <w:numFmt w:val="bullet"/>
      <w:lvlText w:val=""/>
      <w:lvlJc w:val="left"/>
      <w:pPr>
        <w:ind w:left="7374" w:hanging="360"/>
      </w:pPr>
      <w:rPr>
        <w:rFonts w:ascii="Symbol" w:hAnsi="Symbol" w:hint="default"/>
      </w:rPr>
    </w:lvl>
    <w:lvl w:ilvl="7" w:tplc="FFFFFFFF" w:tentative="1">
      <w:start w:val="1"/>
      <w:numFmt w:val="bullet"/>
      <w:lvlText w:val="o"/>
      <w:lvlJc w:val="left"/>
      <w:pPr>
        <w:ind w:left="8094" w:hanging="360"/>
      </w:pPr>
      <w:rPr>
        <w:rFonts w:ascii="Courier New" w:hAnsi="Courier New" w:cs="Courier New" w:hint="default"/>
      </w:rPr>
    </w:lvl>
    <w:lvl w:ilvl="8" w:tplc="FFFFFFFF" w:tentative="1">
      <w:start w:val="1"/>
      <w:numFmt w:val="bullet"/>
      <w:lvlText w:val=""/>
      <w:lvlJc w:val="left"/>
      <w:pPr>
        <w:ind w:left="8814" w:hanging="360"/>
      </w:pPr>
      <w:rPr>
        <w:rFonts w:ascii="Wingdings" w:hAnsi="Wingdings" w:hint="default"/>
      </w:rPr>
    </w:lvl>
  </w:abstractNum>
  <w:abstractNum w:abstractNumId="354"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5" w15:restartNumberingAfterBreak="0">
    <w:nsid w:val="60ED30DB"/>
    <w:multiLevelType w:val="multilevel"/>
    <w:tmpl w:val="245C27D2"/>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56" w15:restartNumberingAfterBreak="0">
    <w:nsid w:val="60F155A3"/>
    <w:multiLevelType w:val="hybridMultilevel"/>
    <w:tmpl w:val="FE98B4F2"/>
    <w:lvl w:ilvl="0" w:tplc="FFFFFFFF">
      <w:start w:val="1"/>
      <w:numFmt w:val="lowerLetter"/>
      <w:lvlText w:val="%1."/>
      <w:lvlJc w:val="left"/>
      <w:pPr>
        <w:ind w:left="2484" w:hanging="360"/>
      </w:pPr>
      <w:rPr>
        <w:rFonts w:hint="default"/>
      </w:rPr>
    </w:lvl>
    <w:lvl w:ilvl="1" w:tplc="FFFFFFFF">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357" w15:restartNumberingAfterBreak="0">
    <w:nsid w:val="613D1C66"/>
    <w:multiLevelType w:val="hybridMultilevel"/>
    <w:tmpl w:val="41BA01E0"/>
    <w:lvl w:ilvl="0" w:tplc="300A0001">
      <w:start w:val="1"/>
      <w:numFmt w:val="bullet"/>
      <w:lvlText w:val=""/>
      <w:lvlJc w:val="left"/>
      <w:pPr>
        <w:ind w:left="3053" w:hanging="360"/>
      </w:pPr>
      <w:rPr>
        <w:rFonts w:ascii="Symbol" w:hAnsi="Symbol" w:hint="default"/>
      </w:rPr>
    </w:lvl>
    <w:lvl w:ilvl="1" w:tplc="300A0003" w:tentative="1">
      <w:start w:val="1"/>
      <w:numFmt w:val="bullet"/>
      <w:lvlText w:val="o"/>
      <w:lvlJc w:val="left"/>
      <w:pPr>
        <w:ind w:left="4221" w:hanging="360"/>
      </w:pPr>
      <w:rPr>
        <w:rFonts w:ascii="Courier New" w:hAnsi="Courier New" w:cs="Courier New" w:hint="default"/>
      </w:rPr>
    </w:lvl>
    <w:lvl w:ilvl="2" w:tplc="300A0005" w:tentative="1">
      <w:start w:val="1"/>
      <w:numFmt w:val="bullet"/>
      <w:lvlText w:val=""/>
      <w:lvlJc w:val="left"/>
      <w:pPr>
        <w:ind w:left="4941" w:hanging="360"/>
      </w:pPr>
      <w:rPr>
        <w:rFonts w:ascii="Wingdings" w:hAnsi="Wingdings" w:hint="default"/>
      </w:rPr>
    </w:lvl>
    <w:lvl w:ilvl="3" w:tplc="300A0001" w:tentative="1">
      <w:start w:val="1"/>
      <w:numFmt w:val="bullet"/>
      <w:lvlText w:val=""/>
      <w:lvlJc w:val="left"/>
      <w:pPr>
        <w:ind w:left="5661" w:hanging="360"/>
      </w:pPr>
      <w:rPr>
        <w:rFonts w:ascii="Symbol" w:hAnsi="Symbol" w:hint="default"/>
      </w:rPr>
    </w:lvl>
    <w:lvl w:ilvl="4" w:tplc="300A0003" w:tentative="1">
      <w:start w:val="1"/>
      <w:numFmt w:val="bullet"/>
      <w:lvlText w:val="o"/>
      <w:lvlJc w:val="left"/>
      <w:pPr>
        <w:ind w:left="6381" w:hanging="360"/>
      </w:pPr>
      <w:rPr>
        <w:rFonts w:ascii="Courier New" w:hAnsi="Courier New" w:cs="Courier New" w:hint="default"/>
      </w:rPr>
    </w:lvl>
    <w:lvl w:ilvl="5" w:tplc="300A0005" w:tentative="1">
      <w:start w:val="1"/>
      <w:numFmt w:val="bullet"/>
      <w:lvlText w:val=""/>
      <w:lvlJc w:val="left"/>
      <w:pPr>
        <w:ind w:left="7101" w:hanging="360"/>
      </w:pPr>
      <w:rPr>
        <w:rFonts w:ascii="Wingdings" w:hAnsi="Wingdings" w:hint="default"/>
      </w:rPr>
    </w:lvl>
    <w:lvl w:ilvl="6" w:tplc="300A0001" w:tentative="1">
      <w:start w:val="1"/>
      <w:numFmt w:val="bullet"/>
      <w:lvlText w:val=""/>
      <w:lvlJc w:val="left"/>
      <w:pPr>
        <w:ind w:left="7821" w:hanging="360"/>
      </w:pPr>
      <w:rPr>
        <w:rFonts w:ascii="Symbol" w:hAnsi="Symbol" w:hint="default"/>
      </w:rPr>
    </w:lvl>
    <w:lvl w:ilvl="7" w:tplc="300A0003" w:tentative="1">
      <w:start w:val="1"/>
      <w:numFmt w:val="bullet"/>
      <w:lvlText w:val="o"/>
      <w:lvlJc w:val="left"/>
      <w:pPr>
        <w:ind w:left="8541" w:hanging="360"/>
      </w:pPr>
      <w:rPr>
        <w:rFonts w:ascii="Courier New" w:hAnsi="Courier New" w:cs="Courier New" w:hint="default"/>
      </w:rPr>
    </w:lvl>
    <w:lvl w:ilvl="8" w:tplc="300A0005" w:tentative="1">
      <w:start w:val="1"/>
      <w:numFmt w:val="bullet"/>
      <w:lvlText w:val=""/>
      <w:lvlJc w:val="left"/>
      <w:pPr>
        <w:ind w:left="9261" w:hanging="360"/>
      </w:pPr>
      <w:rPr>
        <w:rFonts w:ascii="Wingdings" w:hAnsi="Wingdings" w:hint="default"/>
      </w:rPr>
    </w:lvl>
  </w:abstractNum>
  <w:abstractNum w:abstractNumId="358" w15:restartNumberingAfterBreak="0">
    <w:nsid w:val="616B1141"/>
    <w:multiLevelType w:val="multilevel"/>
    <w:tmpl w:val="1CECD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1AE135B"/>
    <w:multiLevelType w:val="hybridMultilevel"/>
    <w:tmpl w:val="050E5A20"/>
    <w:lvl w:ilvl="0" w:tplc="FFFFFFFF">
      <w:start w:val="1"/>
      <w:numFmt w:val="lowerLetter"/>
      <w:lvlText w:val="%1."/>
      <w:lvlJc w:val="left"/>
      <w:pPr>
        <w:ind w:left="3337" w:hanging="360"/>
      </w:pPr>
      <w:rPr>
        <w:rFonts w:ascii="Calibri" w:eastAsia="Times New Roman" w:hAnsi="Calibri" w:cs="Calibri"/>
      </w:rPr>
    </w:lvl>
    <w:lvl w:ilvl="1" w:tplc="FFFFFFFF">
      <w:start w:val="1"/>
      <w:numFmt w:val="lowerLetter"/>
      <w:lvlText w:val="%2."/>
      <w:lvlJc w:val="left"/>
      <w:pPr>
        <w:ind w:left="4057" w:hanging="360"/>
      </w:pPr>
    </w:lvl>
    <w:lvl w:ilvl="2" w:tplc="FFFFFFFF" w:tentative="1">
      <w:start w:val="1"/>
      <w:numFmt w:val="lowerRoman"/>
      <w:lvlText w:val="%3."/>
      <w:lvlJc w:val="right"/>
      <w:pPr>
        <w:ind w:left="4777" w:hanging="180"/>
      </w:pPr>
    </w:lvl>
    <w:lvl w:ilvl="3" w:tplc="FFFFFFFF" w:tentative="1">
      <w:start w:val="1"/>
      <w:numFmt w:val="decimal"/>
      <w:lvlText w:val="%4."/>
      <w:lvlJc w:val="left"/>
      <w:pPr>
        <w:ind w:left="5497" w:hanging="360"/>
      </w:pPr>
    </w:lvl>
    <w:lvl w:ilvl="4" w:tplc="FFFFFFFF" w:tentative="1">
      <w:start w:val="1"/>
      <w:numFmt w:val="lowerLetter"/>
      <w:lvlText w:val="%5."/>
      <w:lvlJc w:val="left"/>
      <w:pPr>
        <w:ind w:left="6217" w:hanging="360"/>
      </w:pPr>
    </w:lvl>
    <w:lvl w:ilvl="5" w:tplc="FFFFFFFF" w:tentative="1">
      <w:start w:val="1"/>
      <w:numFmt w:val="lowerRoman"/>
      <w:lvlText w:val="%6."/>
      <w:lvlJc w:val="right"/>
      <w:pPr>
        <w:ind w:left="6937" w:hanging="180"/>
      </w:pPr>
    </w:lvl>
    <w:lvl w:ilvl="6" w:tplc="FFFFFFFF" w:tentative="1">
      <w:start w:val="1"/>
      <w:numFmt w:val="decimal"/>
      <w:lvlText w:val="%7."/>
      <w:lvlJc w:val="left"/>
      <w:pPr>
        <w:ind w:left="7657" w:hanging="360"/>
      </w:pPr>
    </w:lvl>
    <w:lvl w:ilvl="7" w:tplc="FFFFFFFF" w:tentative="1">
      <w:start w:val="1"/>
      <w:numFmt w:val="lowerLetter"/>
      <w:lvlText w:val="%8."/>
      <w:lvlJc w:val="left"/>
      <w:pPr>
        <w:ind w:left="8377" w:hanging="360"/>
      </w:pPr>
    </w:lvl>
    <w:lvl w:ilvl="8" w:tplc="FFFFFFFF" w:tentative="1">
      <w:start w:val="1"/>
      <w:numFmt w:val="lowerRoman"/>
      <w:lvlText w:val="%9."/>
      <w:lvlJc w:val="right"/>
      <w:pPr>
        <w:ind w:left="9097" w:hanging="180"/>
      </w:pPr>
    </w:lvl>
  </w:abstractNum>
  <w:abstractNum w:abstractNumId="360" w15:restartNumberingAfterBreak="0">
    <w:nsid w:val="61B764CF"/>
    <w:multiLevelType w:val="hybridMultilevel"/>
    <w:tmpl w:val="48A2DFB2"/>
    <w:lvl w:ilvl="0" w:tplc="3752C5FC">
      <w:start w:val="1"/>
      <w:numFmt w:val="bullet"/>
      <w:lvlText w:val=""/>
      <w:lvlJc w:val="left"/>
      <w:pPr>
        <w:ind w:left="360" w:hanging="360"/>
      </w:pPr>
      <w:rPr>
        <w:rFonts w:ascii="Symbol" w:hAnsi="Symbol" w:hint="default"/>
      </w:rPr>
    </w:lvl>
    <w:lvl w:ilvl="1" w:tplc="F52C64A4" w:tentative="1">
      <w:start w:val="1"/>
      <w:numFmt w:val="bullet"/>
      <w:lvlText w:val="o"/>
      <w:lvlJc w:val="left"/>
      <w:pPr>
        <w:ind w:left="1080" w:hanging="360"/>
      </w:pPr>
      <w:rPr>
        <w:rFonts w:ascii="Courier New" w:hAnsi="Courier New" w:hint="default"/>
      </w:rPr>
    </w:lvl>
    <w:lvl w:ilvl="2" w:tplc="64D251BE" w:tentative="1">
      <w:start w:val="1"/>
      <w:numFmt w:val="bullet"/>
      <w:lvlText w:val=""/>
      <w:lvlJc w:val="left"/>
      <w:pPr>
        <w:ind w:left="1800" w:hanging="360"/>
      </w:pPr>
      <w:rPr>
        <w:rFonts w:ascii="Wingdings" w:hAnsi="Wingdings" w:hint="default"/>
      </w:rPr>
    </w:lvl>
    <w:lvl w:ilvl="3" w:tplc="757442F8" w:tentative="1">
      <w:start w:val="1"/>
      <w:numFmt w:val="bullet"/>
      <w:lvlText w:val=""/>
      <w:lvlJc w:val="left"/>
      <w:pPr>
        <w:ind w:left="2520" w:hanging="360"/>
      </w:pPr>
      <w:rPr>
        <w:rFonts w:ascii="Symbol" w:hAnsi="Symbol" w:hint="default"/>
      </w:rPr>
    </w:lvl>
    <w:lvl w:ilvl="4" w:tplc="8B940FD2" w:tentative="1">
      <w:start w:val="1"/>
      <w:numFmt w:val="bullet"/>
      <w:lvlText w:val="o"/>
      <w:lvlJc w:val="left"/>
      <w:pPr>
        <w:ind w:left="3240" w:hanging="360"/>
      </w:pPr>
      <w:rPr>
        <w:rFonts w:ascii="Courier New" w:hAnsi="Courier New" w:hint="default"/>
      </w:rPr>
    </w:lvl>
    <w:lvl w:ilvl="5" w:tplc="3B1AD9BE" w:tentative="1">
      <w:start w:val="1"/>
      <w:numFmt w:val="bullet"/>
      <w:lvlText w:val=""/>
      <w:lvlJc w:val="left"/>
      <w:pPr>
        <w:ind w:left="3960" w:hanging="360"/>
      </w:pPr>
      <w:rPr>
        <w:rFonts w:ascii="Wingdings" w:hAnsi="Wingdings" w:hint="default"/>
      </w:rPr>
    </w:lvl>
    <w:lvl w:ilvl="6" w:tplc="D706A72A" w:tentative="1">
      <w:start w:val="1"/>
      <w:numFmt w:val="bullet"/>
      <w:lvlText w:val=""/>
      <w:lvlJc w:val="left"/>
      <w:pPr>
        <w:ind w:left="4680" w:hanging="360"/>
      </w:pPr>
      <w:rPr>
        <w:rFonts w:ascii="Symbol" w:hAnsi="Symbol" w:hint="default"/>
      </w:rPr>
    </w:lvl>
    <w:lvl w:ilvl="7" w:tplc="6A7EE58C" w:tentative="1">
      <w:start w:val="1"/>
      <w:numFmt w:val="bullet"/>
      <w:lvlText w:val="o"/>
      <w:lvlJc w:val="left"/>
      <w:pPr>
        <w:ind w:left="5400" w:hanging="360"/>
      </w:pPr>
      <w:rPr>
        <w:rFonts w:ascii="Courier New" w:hAnsi="Courier New" w:hint="default"/>
      </w:rPr>
    </w:lvl>
    <w:lvl w:ilvl="8" w:tplc="C734A98E" w:tentative="1">
      <w:start w:val="1"/>
      <w:numFmt w:val="bullet"/>
      <w:lvlText w:val=""/>
      <w:lvlJc w:val="left"/>
      <w:pPr>
        <w:ind w:left="6120" w:hanging="360"/>
      </w:pPr>
      <w:rPr>
        <w:rFonts w:ascii="Wingdings" w:hAnsi="Wingdings" w:hint="default"/>
      </w:rPr>
    </w:lvl>
  </w:abstractNum>
  <w:abstractNum w:abstractNumId="361" w15:restartNumberingAfterBreak="0">
    <w:nsid w:val="61DB59F1"/>
    <w:multiLevelType w:val="hybridMultilevel"/>
    <w:tmpl w:val="58DA2E86"/>
    <w:lvl w:ilvl="0" w:tplc="300A0001">
      <w:start w:val="1"/>
      <w:numFmt w:val="bullet"/>
      <w:lvlText w:val=""/>
      <w:lvlJc w:val="left"/>
      <w:pPr>
        <w:ind w:left="1530" w:hanging="360"/>
      </w:pPr>
      <w:rPr>
        <w:rFonts w:ascii="Symbol" w:hAnsi="Symbol" w:hint="default"/>
      </w:rPr>
    </w:lvl>
    <w:lvl w:ilvl="1" w:tplc="300A0003" w:tentative="1">
      <w:start w:val="1"/>
      <w:numFmt w:val="bullet"/>
      <w:lvlText w:val="o"/>
      <w:lvlJc w:val="left"/>
      <w:pPr>
        <w:ind w:left="2250" w:hanging="360"/>
      </w:pPr>
      <w:rPr>
        <w:rFonts w:ascii="Courier New" w:hAnsi="Courier New" w:cs="Courier New" w:hint="default"/>
      </w:rPr>
    </w:lvl>
    <w:lvl w:ilvl="2" w:tplc="300A0005" w:tentative="1">
      <w:start w:val="1"/>
      <w:numFmt w:val="bullet"/>
      <w:lvlText w:val=""/>
      <w:lvlJc w:val="left"/>
      <w:pPr>
        <w:ind w:left="2970" w:hanging="360"/>
      </w:pPr>
      <w:rPr>
        <w:rFonts w:ascii="Wingdings" w:hAnsi="Wingdings" w:hint="default"/>
      </w:rPr>
    </w:lvl>
    <w:lvl w:ilvl="3" w:tplc="300A0001" w:tentative="1">
      <w:start w:val="1"/>
      <w:numFmt w:val="bullet"/>
      <w:lvlText w:val=""/>
      <w:lvlJc w:val="left"/>
      <w:pPr>
        <w:ind w:left="3690" w:hanging="360"/>
      </w:pPr>
      <w:rPr>
        <w:rFonts w:ascii="Symbol" w:hAnsi="Symbol" w:hint="default"/>
      </w:rPr>
    </w:lvl>
    <w:lvl w:ilvl="4" w:tplc="300A0003" w:tentative="1">
      <w:start w:val="1"/>
      <w:numFmt w:val="bullet"/>
      <w:lvlText w:val="o"/>
      <w:lvlJc w:val="left"/>
      <w:pPr>
        <w:ind w:left="4410" w:hanging="360"/>
      </w:pPr>
      <w:rPr>
        <w:rFonts w:ascii="Courier New" w:hAnsi="Courier New" w:cs="Courier New" w:hint="default"/>
      </w:rPr>
    </w:lvl>
    <w:lvl w:ilvl="5" w:tplc="300A0005" w:tentative="1">
      <w:start w:val="1"/>
      <w:numFmt w:val="bullet"/>
      <w:lvlText w:val=""/>
      <w:lvlJc w:val="left"/>
      <w:pPr>
        <w:ind w:left="5130" w:hanging="360"/>
      </w:pPr>
      <w:rPr>
        <w:rFonts w:ascii="Wingdings" w:hAnsi="Wingdings" w:hint="default"/>
      </w:rPr>
    </w:lvl>
    <w:lvl w:ilvl="6" w:tplc="300A0001" w:tentative="1">
      <w:start w:val="1"/>
      <w:numFmt w:val="bullet"/>
      <w:lvlText w:val=""/>
      <w:lvlJc w:val="left"/>
      <w:pPr>
        <w:ind w:left="5850" w:hanging="360"/>
      </w:pPr>
      <w:rPr>
        <w:rFonts w:ascii="Symbol" w:hAnsi="Symbol" w:hint="default"/>
      </w:rPr>
    </w:lvl>
    <w:lvl w:ilvl="7" w:tplc="300A0003" w:tentative="1">
      <w:start w:val="1"/>
      <w:numFmt w:val="bullet"/>
      <w:lvlText w:val="o"/>
      <w:lvlJc w:val="left"/>
      <w:pPr>
        <w:ind w:left="6570" w:hanging="360"/>
      </w:pPr>
      <w:rPr>
        <w:rFonts w:ascii="Courier New" w:hAnsi="Courier New" w:cs="Courier New" w:hint="default"/>
      </w:rPr>
    </w:lvl>
    <w:lvl w:ilvl="8" w:tplc="300A0005" w:tentative="1">
      <w:start w:val="1"/>
      <w:numFmt w:val="bullet"/>
      <w:lvlText w:val=""/>
      <w:lvlJc w:val="left"/>
      <w:pPr>
        <w:ind w:left="7290" w:hanging="360"/>
      </w:pPr>
      <w:rPr>
        <w:rFonts w:ascii="Wingdings" w:hAnsi="Wingdings" w:hint="default"/>
      </w:rPr>
    </w:lvl>
  </w:abstractNum>
  <w:abstractNum w:abstractNumId="362" w15:restartNumberingAfterBreak="0">
    <w:nsid w:val="622157F7"/>
    <w:multiLevelType w:val="hybridMultilevel"/>
    <w:tmpl w:val="C024A20C"/>
    <w:lvl w:ilvl="0" w:tplc="300A0019">
      <w:start w:val="1"/>
      <w:numFmt w:val="lowerLetter"/>
      <w:lvlText w:val="%1."/>
      <w:lvlJc w:val="left"/>
      <w:pPr>
        <w:ind w:left="1919" w:hanging="360"/>
      </w:pPr>
    </w:lvl>
    <w:lvl w:ilvl="1" w:tplc="300A0019" w:tentative="1">
      <w:start w:val="1"/>
      <w:numFmt w:val="lowerLetter"/>
      <w:lvlText w:val="%2."/>
      <w:lvlJc w:val="left"/>
      <w:pPr>
        <w:ind w:left="2639" w:hanging="360"/>
      </w:pPr>
    </w:lvl>
    <w:lvl w:ilvl="2" w:tplc="300A001B" w:tentative="1">
      <w:start w:val="1"/>
      <w:numFmt w:val="lowerRoman"/>
      <w:lvlText w:val="%3."/>
      <w:lvlJc w:val="right"/>
      <w:pPr>
        <w:ind w:left="3359" w:hanging="180"/>
      </w:pPr>
    </w:lvl>
    <w:lvl w:ilvl="3" w:tplc="300A000F" w:tentative="1">
      <w:start w:val="1"/>
      <w:numFmt w:val="decimal"/>
      <w:lvlText w:val="%4."/>
      <w:lvlJc w:val="left"/>
      <w:pPr>
        <w:ind w:left="4079" w:hanging="360"/>
      </w:pPr>
    </w:lvl>
    <w:lvl w:ilvl="4" w:tplc="300A0019" w:tentative="1">
      <w:start w:val="1"/>
      <w:numFmt w:val="lowerLetter"/>
      <w:lvlText w:val="%5."/>
      <w:lvlJc w:val="left"/>
      <w:pPr>
        <w:ind w:left="4799" w:hanging="360"/>
      </w:pPr>
    </w:lvl>
    <w:lvl w:ilvl="5" w:tplc="300A001B" w:tentative="1">
      <w:start w:val="1"/>
      <w:numFmt w:val="lowerRoman"/>
      <w:lvlText w:val="%6."/>
      <w:lvlJc w:val="right"/>
      <w:pPr>
        <w:ind w:left="5519" w:hanging="180"/>
      </w:pPr>
    </w:lvl>
    <w:lvl w:ilvl="6" w:tplc="300A000F" w:tentative="1">
      <w:start w:val="1"/>
      <w:numFmt w:val="decimal"/>
      <w:lvlText w:val="%7."/>
      <w:lvlJc w:val="left"/>
      <w:pPr>
        <w:ind w:left="6239" w:hanging="360"/>
      </w:pPr>
    </w:lvl>
    <w:lvl w:ilvl="7" w:tplc="300A0019" w:tentative="1">
      <w:start w:val="1"/>
      <w:numFmt w:val="lowerLetter"/>
      <w:lvlText w:val="%8."/>
      <w:lvlJc w:val="left"/>
      <w:pPr>
        <w:ind w:left="6959" w:hanging="360"/>
      </w:pPr>
    </w:lvl>
    <w:lvl w:ilvl="8" w:tplc="300A001B" w:tentative="1">
      <w:start w:val="1"/>
      <w:numFmt w:val="lowerRoman"/>
      <w:lvlText w:val="%9."/>
      <w:lvlJc w:val="right"/>
      <w:pPr>
        <w:ind w:left="7679" w:hanging="180"/>
      </w:pPr>
    </w:lvl>
  </w:abstractNum>
  <w:abstractNum w:abstractNumId="363" w15:restartNumberingAfterBreak="0">
    <w:nsid w:val="622E533E"/>
    <w:multiLevelType w:val="hybridMultilevel"/>
    <w:tmpl w:val="67B6134A"/>
    <w:lvl w:ilvl="0" w:tplc="04090019">
      <w:start w:val="1"/>
      <w:numFmt w:val="lowerLetter"/>
      <w:lvlText w:val="%1."/>
      <w:lvlJc w:val="left"/>
      <w:pPr>
        <w:ind w:left="2061"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64" w15:restartNumberingAfterBreak="0">
    <w:nsid w:val="62AD587A"/>
    <w:multiLevelType w:val="hybridMultilevel"/>
    <w:tmpl w:val="0A4455B2"/>
    <w:lvl w:ilvl="0" w:tplc="300A0019">
      <w:start w:val="1"/>
      <w:numFmt w:val="lowerLetter"/>
      <w:lvlText w:val="%1."/>
      <w:lvlJc w:val="left"/>
      <w:pPr>
        <w:ind w:left="3204" w:hanging="360"/>
      </w:pPr>
    </w:lvl>
    <w:lvl w:ilvl="1" w:tplc="300A0019">
      <w:start w:val="1"/>
      <w:numFmt w:val="lowerLetter"/>
      <w:lvlText w:val="%2."/>
      <w:lvlJc w:val="left"/>
      <w:pPr>
        <w:ind w:left="1919" w:hanging="360"/>
      </w:pPr>
    </w:lvl>
    <w:lvl w:ilvl="2" w:tplc="300A001B" w:tentative="1">
      <w:start w:val="1"/>
      <w:numFmt w:val="lowerRoman"/>
      <w:lvlText w:val="%3."/>
      <w:lvlJc w:val="right"/>
      <w:pPr>
        <w:ind w:left="4644" w:hanging="180"/>
      </w:pPr>
    </w:lvl>
    <w:lvl w:ilvl="3" w:tplc="300A000F" w:tentative="1">
      <w:start w:val="1"/>
      <w:numFmt w:val="decimal"/>
      <w:lvlText w:val="%4."/>
      <w:lvlJc w:val="left"/>
      <w:pPr>
        <w:ind w:left="5364" w:hanging="360"/>
      </w:pPr>
    </w:lvl>
    <w:lvl w:ilvl="4" w:tplc="300A0019" w:tentative="1">
      <w:start w:val="1"/>
      <w:numFmt w:val="lowerLetter"/>
      <w:lvlText w:val="%5."/>
      <w:lvlJc w:val="left"/>
      <w:pPr>
        <w:ind w:left="6084" w:hanging="360"/>
      </w:pPr>
    </w:lvl>
    <w:lvl w:ilvl="5" w:tplc="300A001B" w:tentative="1">
      <w:start w:val="1"/>
      <w:numFmt w:val="lowerRoman"/>
      <w:lvlText w:val="%6."/>
      <w:lvlJc w:val="right"/>
      <w:pPr>
        <w:ind w:left="6804" w:hanging="180"/>
      </w:pPr>
    </w:lvl>
    <w:lvl w:ilvl="6" w:tplc="300A000F" w:tentative="1">
      <w:start w:val="1"/>
      <w:numFmt w:val="decimal"/>
      <w:lvlText w:val="%7."/>
      <w:lvlJc w:val="left"/>
      <w:pPr>
        <w:ind w:left="7524" w:hanging="360"/>
      </w:pPr>
    </w:lvl>
    <w:lvl w:ilvl="7" w:tplc="300A0019" w:tentative="1">
      <w:start w:val="1"/>
      <w:numFmt w:val="lowerLetter"/>
      <w:lvlText w:val="%8."/>
      <w:lvlJc w:val="left"/>
      <w:pPr>
        <w:ind w:left="8244" w:hanging="360"/>
      </w:pPr>
    </w:lvl>
    <w:lvl w:ilvl="8" w:tplc="300A001B" w:tentative="1">
      <w:start w:val="1"/>
      <w:numFmt w:val="lowerRoman"/>
      <w:lvlText w:val="%9."/>
      <w:lvlJc w:val="right"/>
      <w:pPr>
        <w:ind w:left="8964" w:hanging="180"/>
      </w:pPr>
    </w:lvl>
  </w:abstractNum>
  <w:abstractNum w:abstractNumId="365" w15:restartNumberingAfterBreak="0">
    <w:nsid w:val="62B457F7"/>
    <w:multiLevelType w:val="hybridMultilevel"/>
    <w:tmpl w:val="FEACA07A"/>
    <w:lvl w:ilvl="0" w:tplc="EBD61A80">
      <w:start w:val="1"/>
      <w:numFmt w:val="lowerLetter"/>
      <w:lvlText w:val="%1."/>
      <w:lvlJc w:val="left"/>
      <w:pPr>
        <w:ind w:left="3192" w:hanging="360"/>
      </w:pPr>
      <w:rPr>
        <w:rFonts w:ascii="Arial" w:hAnsi="Arial" w:cs="Arial" w:hint="default"/>
        <w:b w:val="0"/>
        <w:sz w:val="22"/>
        <w:szCs w:val="22"/>
      </w:rPr>
    </w:lvl>
    <w:lvl w:ilvl="1" w:tplc="300A0003" w:tentative="1">
      <w:start w:val="1"/>
      <w:numFmt w:val="bullet"/>
      <w:lvlText w:val="o"/>
      <w:lvlJc w:val="left"/>
      <w:pPr>
        <w:ind w:left="3912" w:hanging="360"/>
      </w:pPr>
      <w:rPr>
        <w:rFonts w:ascii="Courier New" w:hAnsi="Courier New" w:cs="Courier New" w:hint="default"/>
      </w:rPr>
    </w:lvl>
    <w:lvl w:ilvl="2" w:tplc="300A0005" w:tentative="1">
      <w:start w:val="1"/>
      <w:numFmt w:val="bullet"/>
      <w:lvlText w:val=""/>
      <w:lvlJc w:val="left"/>
      <w:pPr>
        <w:ind w:left="4632" w:hanging="360"/>
      </w:pPr>
      <w:rPr>
        <w:rFonts w:ascii="Wingdings" w:hAnsi="Wingdings" w:hint="default"/>
      </w:rPr>
    </w:lvl>
    <w:lvl w:ilvl="3" w:tplc="300A0001" w:tentative="1">
      <w:start w:val="1"/>
      <w:numFmt w:val="bullet"/>
      <w:lvlText w:val=""/>
      <w:lvlJc w:val="left"/>
      <w:pPr>
        <w:ind w:left="5352" w:hanging="360"/>
      </w:pPr>
      <w:rPr>
        <w:rFonts w:ascii="Symbol" w:hAnsi="Symbol" w:hint="default"/>
      </w:rPr>
    </w:lvl>
    <w:lvl w:ilvl="4" w:tplc="300A0003" w:tentative="1">
      <w:start w:val="1"/>
      <w:numFmt w:val="bullet"/>
      <w:lvlText w:val="o"/>
      <w:lvlJc w:val="left"/>
      <w:pPr>
        <w:ind w:left="6072" w:hanging="360"/>
      </w:pPr>
      <w:rPr>
        <w:rFonts w:ascii="Courier New" w:hAnsi="Courier New" w:cs="Courier New" w:hint="default"/>
      </w:rPr>
    </w:lvl>
    <w:lvl w:ilvl="5" w:tplc="300A0005" w:tentative="1">
      <w:start w:val="1"/>
      <w:numFmt w:val="bullet"/>
      <w:lvlText w:val=""/>
      <w:lvlJc w:val="left"/>
      <w:pPr>
        <w:ind w:left="6792" w:hanging="360"/>
      </w:pPr>
      <w:rPr>
        <w:rFonts w:ascii="Wingdings" w:hAnsi="Wingdings" w:hint="default"/>
      </w:rPr>
    </w:lvl>
    <w:lvl w:ilvl="6" w:tplc="300A0001" w:tentative="1">
      <w:start w:val="1"/>
      <w:numFmt w:val="bullet"/>
      <w:lvlText w:val=""/>
      <w:lvlJc w:val="left"/>
      <w:pPr>
        <w:ind w:left="7512" w:hanging="360"/>
      </w:pPr>
      <w:rPr>
        <w:rFonts w:ascii="Symbol" w:hAnsi="Symbol" w:hint="default"/>
      </w:rPr>
    </w:lvl>
    <w:lvl w:ilvl="7" w:tplc="300A0003" w:tentative="1">
      <w:start w:val="1"/>
      <w:numFmt w:val="bullet"/>
      <w:lvlText w:val="o"/>
      <w:lvlJc w:val="left"/>
      <w:pPr>
        <w:ind w:left="8232" w:hanging="360"/>
      </w:pPr>
      <w:rPr>
        <w:rFonts w:ascii="Courier New" w:hAnsi="Courier New" w:cs="Courier New" w:hint="default"/>
      </w:rPr>
    </w:lvl>
    <w:lvl w:ilvl="8" w:tplc="300A0005" w:tentative="1">
      <w:start w:val="1"/>
      <w:numFmt w:val="bullet"/>
      <w:lvlText w:val=""/>
      <w:lvlJc w:val="left"/>
      <w:pPr>
        <w:ind w:left="8952" w:hanging="360"/>
      </w:pPr>
      <w:rPr>
        <w:rFonts w:ascii="Wingdings" w:hAnsi="Wingdings" w:hint="default"/>
      </w:rPr>
    </w:lvl>
  </w:abstractNum>
  <w:abstractNum w:abstractNumId="366" w15:restartNumberingAfterBreak="0">
    <w:nsid w:val="62FDC712"/>
    <w:multiLevelType w:val="hybridMultilevel"/>
    <w:tmpl w:val="8FA071CE"/>
    <w:lvl w:ilvl="0" w:tplc="61662596">
      <w:start w:val="1"/>
      <w:numFmt w:val="bullet"/>
      <w:lvlText w:val="·"/>
      <w:lvlJc w:val="left"/>
      <w:pPr>
        <w:ind w:left="720" w:hanging="360"/>
      </w:pPr>
      <w:rPr>
        <w:rFonts w:ascii="Symbol" w:hAnsi="Symbol" w:hint="default"/>
      </w:rPr>
    </w:lvl>
    <w:lvl w:ilvl="1" w:tplc="6346EA16">
      <w:start w:val="1"/>
      <w:numFmt w:val="bullet"/>
      <w:lvlText w:val="o"/>
      <w:lvlJc w:val="left"/>
      <w:pPr>
        <w:ind w:left="1440" w:hanging="360"/>
      </w:pPr>
      <w:rPr>
        <w:rFonts w:ascii="Courier New" w:hAnsi="Courier New" w:hint="default"/>
      </w:rPr>
    </w:lvl>
    <w:lvl w:ilvl="2" w:tplc="ECD89FEE">
      <w:start w:val="1"/>
      <w:numFmt w:val="bullet"/>
      <w:lvlText w:val=""/>
      <w:lvlJc w:val="left"/>
      <w:pPr>
        <w:ind w:left="2160" w:hanging="360"/>
      </w:pPr>
      <w:rPr>
        <w:rFonts w:ascii="Wingdings" w:hAnsi="Wingdings" w:hint="default"/>
      </w:rPr>
    </w:lvl>
    <w:lvl w:ilvl="3" w:tplc="F4AC1D7C">
      <w:start w:val="1"/>
      <w:numFmt w:val="bullet"/>
      <w:lvlText w:val=""/>
      <w:lvlJc w:val="left"/>
      <w:pPr>
        <w:ind w:left="2880" w:hanging="360"/>
      </w:pPr>
      <w:rPr>
        <w:rFonts w:ascii="Symbol" w:hAnsi="Symbol" w:hint="default"/>
      </w:rPr>
    </w:lvl>
    <w:lvl w:ilvl="4" w:tplc="7C0669D0">
      <w:start w:val="1"/>
      <w:numFmt w:val="bullet"/>
      <w:lvlText w:val="o"/>
      <w:lvlJc w:val="left"/>
      <w:pPr>
        <w:ind w:left="3600" w:hanging="360"/>
      </w:pPr>
      <w:rPr>
        <w:rFonts w:ascii="Courier New" w:hAnsi="Courier New" w:hint="default"/>
      </w:rPr>
    </w:lvl>
    <w:lvl w:ilvl="5" w:tplc="DF8A3AD6">
      <w:start w:val="1"/>
      <w:numFmt w:val="bullet"/>
      <w:lvlText w:val=""/>
      <w:lvlJc w:val="left"/>
      <w:pPr>
        <w:ind w:left="4320" w:hanging="360"/>
      </w:pPr>
      <w:rPr>
        <w:rFonts w:ascii="Wingdings" w:hAnsi="Wingdings" w:hint="default"/>
      </w:rPr>
    </w:lvl>
    <w:lvl w:ilvl="6" w:tplc="AB1E101E">
      <w:start w:val="1"/>
      <w:numFmt w:val="bullet"/>
      <w:lvlText w:val=""/>
      <w:lvlJc w:val="left"/>
      <w:pPr>
        <w:ind w:left="5040" w:hanging="360"/>
      </w:pPr>
      <w:rPr>
        <w:rFonts w:ascii="Symbol" w:hAnsi="Symbol" w:hint="default"/>
      </w:rPr>
    </w:lvl>
    <w:lvl w:ilvl="7" w:tplc="BD1699BA">
      <w:start w:val="1"/>
      <w:numFmt w:val="bullet"/>
      <w:lvlText w:val="o"/>
      <w:lvlJc w:val="left"/>
      <w:pPr>
        <w:ind w:left="5760" w:hanging="360"/>
      </w:pPr>
      <w:rPr>
        <w:rFonts w:ascii="Courier New" w:hAnsi="Courier New" w:hint="default"/>
      </w:rPr>
    </w:lvl>
    <w:lvl w:ilvl="8" w:tplc="F3D4B6E8">
      <w:start w:val="1"/>
      <w:numFmt w:val="bullet"/>
      <w:lvlText w:val=""/>
      <w:lvlJc w:val="left"/>
      <w:pPr>
        <w:ind w:left="6480" w:hanging="360"/>
      </w:pPr>
      <w:rPr>
        <w:rFonts w:ascii="Wingdings" w:hAnsi="Wingdings" w:hint="default"/>
      </w:rPr>
    </w:lvl>
  </w:abstractNum>
  <w:abstractNum w:abstractNumId="367"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68" w15:restartNumberingAfterBreak="0">
    <w:nsid w:val="63602973"/>
    <w:multiLevelType w:val="hybridMultilevel"/>
    <w:tmpl w:val="51C8EA1A"/>
    <w:lvl w:ilvl="0" w:tplc="866C6694">
      <w:start w:val="1"/>
      <w:numFmt w:val="decimal"/>
      <w:lvlText w:val="5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4600B92"/>
    <w:multiLevelType w:val="hybridMultilevel"/>
    <w:tmpl w:val="34F895B2"/>
    <w:lvl w:ilvl="0" w:tplc="300A0001">
      <w:start w:val="1"/>
      <w:numFmt w:val="bullet"/>
      <w:lvlText w:val=""/>
      <w:lvlJc w:val="left"/>
      <w:pPr>
        <w:ind w:left="3900" w:hanging="360"/>
      </w:pPr>
      <w:rPr>
        <w:rFonts w:ascii="Symbol" w:hAnsi="Symbol" w:hint="default"/>
      </w:rPr>
    </w:lvl>
    <w:lvl w:ilvl="1" w:tplc="300A0019" w:tentative="1">
      <w:start w:val="1"/>
      <w:numFmt w:val="lowerLetter"/>
      <w:lvlText w:val="%2."/>
      <w:lvlJc w:val="left"/>
      <w:pPr>
        <w:ind w:left="4620" w:hanging="360"/>
      </w:pPr>
    </w:lvl>
    <w:lvl w:ilvl="2" w:tplc="300A001B" w:tentative="1">
      <w:start w:val="1"/>
      <w:numFmt w:val="lowerRoman"/>
      <w:lvlText w:val="%3."/>
      <w:lvlJc w:val="right"/>
      <w:pPr>
        <w:ind w:left="5340" w:hanging="180"/>
      </w:pPr>
    </w:lvl>
    <w:lvl w:ilvl="3" w:tplc="300A000F" w:tentative="1">
      <w:start w:val="1"/>
      <w:numFmt w:val="decimal"/>
      <w:lvlText w:val="%4."/>
      <w:lvlJc w:val="left"/>
      <w:pPr>
        <w:ind w:left="6060" w:hanging="360"/>
      </w:pPr>
    </w:lvl>
    <w:lvl w:ilvl="4" w:tplc="300A0019" w:tentative="1">
      <w:start w:val="1"/>
      <w:numFmt w:val="lowerLetter"/>
      <w:lvlText w:val="%5."/>
      <w:lvlJc w:val="left"/>
      <w:pPr>
        <w:ind w:left="6780" w:hanging="360"/>
      </w:pPr>
    </w:lvl>
    <w:lvl w:ilvl="5" w:tplc="300A001B" w:tentative="1">
      <w:start w:val="1"/>
      <w:numFmt w:val="lowerRoman"/>
      <w:lvlText w:val="%6."/>
      <w:lvlJc w:val="right"/>
      <w:pPr>
        <w:ind w:left="7500" w:hanging="180"/>
      </w:pPr>
    </w:lvl>
    <w:lvl w:ilvl="6" w:tplc="300A000F" w:tentative="1">
      <w:start w:val="1"/>
      <w:numFmt w:val="decimal"/>
      <w:lvlText w:val="%7."/>
      <w:lvlJc w:val="left"/>
      <w:pPr>
        <w:ind w:left="8220" w:hanging="360"/>
      </w:pPr>
    </w:lvl>
    <w:lvl w:ilvl="7" w:tplc="300A0019" w:tentative="1">
      <w:start w:val="1"/>
      <w:numFmt w:val="lowerLetter"/>
      <w:lvlText w:val="%8."/>
      <w:lvlJc w:val="left"/>
      <w:pPr>
        <w:ind w:left="8940" w:hanging="360"/>
      </w:pPr>
    </w:lvl>
    <w:lvl w:ilvl="8" w:tplc="300A001B" w:tentative="1">
      <w:start w:val="1"/>
      <w:numFmt w:val="lowerRoman"/>
      <w:lvlText w:val="%9."/>
      <w:lvlJc w:val="right"/>
      <w:pPr>
        <w:ind w:left="9660" w:hanging="180"/>
      </w:pPr>
    </w:lvl>
  </w:abstractNum>
  <w:abstractNum w:abstractNumId="370" w15:restartNumberingAfterBreak="0">
    <w:nsid w:val="64A12E4D"/>
    <w:multiLevelType w:val="hybridMultilevel"/>
    <w:tmpl w:val="DE70F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4CC2A87"/>
    <w:multiLevelType w:val="hybridMultilevel"/>
    <w:tmpl w:val="86D8725E"/>
    <w:lvl w:ilvl="0" w:tplc="300A0019">
      <w:start w:val="1"/>
      <w:numFmt w:val="lowerLetter"/>
      <w:lvlText w:val="%1."/>
      <w:lvlJc w:val="left"/>
      <w:pPr>
        <w:ind w:left="3195"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2" w15:restartNumberingAfterBreak="0">
    <w:nsid w:val="64E275EE"/>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203"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373" w15:restartNumberingAfterBreak="0">
    <w:nsid w:val="64E56454"/>
    <w:multiLevelType w:val="multilevel"/>
    <w:tmpl w:val="DDB8662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52A4CF0"/>
    <w:multiLevelType w:val="hybridMultilevel"/>
    <w:tmpl w:val="FE4A23D6"/>
    <w:lvl w:ilvl="0" w:tplc="EBD61A80">
      <w:start w:val="1"/>
      <w:numFmt w:val="lowerLetter"/>
      <w:lvlText w:val="%1."/>
      <w:lvlJc w:val="left"/>
      <w:pPr>
        <w:ind w:left="2203" w:hanging="360"/>
      </w:pPr>
      <w:rPr>
        <w:rFonts w:ascii="Arial" w:hAnsi="Arial" w:cs="Arial" w:hint="default"/>
        <w:b w:val="0"/>
        <w:sz w:val="22"/>
        <w:szCs w:val="22"/>
      </w:rPr>
    </w:lvl>
    <w:lvl w:ilvl="1" w:tplc="04090003">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375" w15:restartNumberingAfterBreak="0">
    <w:nsid w:val="65D73A3F"/>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76" w15:restartNumberingAfterBreak="0">
    <w:nsid w:val="66906374"/>
    <w:multiLevelType w:val="hybridMultilevel"/>
    <w:tmpl w:val="3F5893F6"/>
    <w:lvl w:ilvl="0" w:tplc="300A0001">
      <w:start w:val="1"/>
      <w:numFmt w:val="bullet"/>
      <w:lvlText w:val=""/>
      <w:lvlJc w:val="left"/>
      <w:pPr>
        <w:ind w:left="3195" w:hanging="360"/>
      </w:pPr>
      <w:rPr>
        <w:rFonts w:ascii="Symbol" w:hAnsi="Symbol" w:hint="default"/>
      </w:rPr>
    </w:lvl>
    <w:lvl w:ilvl="1" w:tplc="300A0019" w:tentative="1">
      <w:start w:val="1"/>
      <w:numFmt w:val="lowerLetter"/>
      <w:lvlText w:val="%2."/>
      <w:lvlJc w:val="left"/>
      <w:pPr>
        <w:ind w:left="3915" w:hanging="360"/>
      </w:pPr>
    </w:lvl>
    <w:lvl w:ilvl="2" w:tplc="300A001B" w:tentative="1">
      <w:start w:val="1"/>
      <w:numFmt w:val="lowerRoman"/>
      <w:lvlText w:val="%3."/>
      <w:lvlJc w:val="right"/>
      <w:pPr>
        <w:ind w:left="4635" w:hanging="180"/>
      </w:pPr>
    </w:lvl>
    <w:lvl w:ilvl="3" w:tplc="300A000F" w:tentative="1">
      <w:start w:val="1"/>
      <w:numFmt w:val="decimal"/>
      <w:lvlText w:val="%4."/>
      <w:lvlJc w:val="left"/>
      <w:pPr>
        <w:ind w:left="5355" w:hanging="360"/>
      </w:pPr>
    </w:lvl>
    <w:lvl w:ilvl="4" w:tplc="300A0019" w:tentative="1">
      <w:start w:val="1"/>
      <w:numFmt w:val="lowerLetter"/>
      <w:lvlText w:val="%5."/>
      <w:lvlJc w:val="left"/>
      <w:pPr>
        <w:ind w:left="6075" w:hanging="360"/>
      </w:pPr>
    </w:lvl>
    <w:lvl w:ilvl="5" w:tplc="300A001B" w:tentative="1">
      <w:start w:val="1"/>
      <w:numFmt w:val="lowerRoman"/>
      <w:lvlText w:val="%6."/>
      <w:lvlJc w:val="right"/>
      <w:pPr>
        <w:ind w:left="6795" w:hanging="180"/>
      </w:pPr>
    </w:lvl>
    <w:lvl w:ilvl="6" w:tplc="300A000F" w:tentative="1">
      <w:start w:val="1"/>
      <w:numFmt w:val="decimal"/>
      <w:lvlText w:val="%7."/>
      <w:lvlJc w:val="left"/>
      <w:pPr>
        <w:ind w:left="7515" w:hanging="360"/>
      </w:pPr>
    </w:lvl>
    <w:lvl w:ilvl="7" w:tplc="300A0019" w:tentative="1">
      <w:start w:val="1"/>
      <w:numFmt w:val="lowerLetter"/>
      <w:lvlText w:val="%8."/>
      <w:lvlJc w:val="left"/>
      <w:pPr>
        <w:ind w:left="8235" w:hanging="360"/>
      </w:pPr>
    </w:lvl>
    <w:lvl w:ilvl="8" w:tplc="300A001B" w:tentative="1">
      <w:start w:val="1"/>
      <w:numFmt w:val="lowerRoman"/>
      <w:lvlText w:val="%9."/>
      <w:lvlJc w:val="right"/>
      <w:pPr>
        <w:ind w:left="8955" w:hanging="180"/>
      </w:pPr>
    </w:lvl>
  </w:abstractNum>
  <w:abstractNum w:abstractNumId="377" w15:restartNumberingAfterBreak="0">
    <w:nsid w:val="66B15410"/>
    <w:multiLevelType w:val="hybridMultilevel"/>
    <w:tmpl w:val="79089416"/>
    <w:lvl w:ilvl="0" w:tplc="04090001">
      <w:start w:val="1"/>
      <w:numFmt w:val="bullet"/>
      <w:lvlText w:val=""/>
      <w:lvlJc w:val="left"/>
      <w:pPr>
        <w:tabs>
          <w:tab w:val="num" w:pos="5040"/>
        </w:tabs>
        <w:ind w:left="5040" w:hanging="360"/>
      </w:pPr>
      <w:rPr>
        <w:rFonts w:ascii="Symbol" w:hAnsi="Symbol" w:hint="default"/>
      </w:rPr>
    </w:lvl>
    <w:lvl w:ilvl="1" w:tplc="A814854A" w:tentative="1">
      <w:start w:val="1"/>
      <w:numFmt w:val="bullet"/>
      <w:lvlText w:val="o"/>
      <w:lvlJc w:val="left"/>
      <w:pPr>
        <w:tabs>
          <w:tab w:val="num" w:pos="5760"/>
        </w:tabs>
        <w:ind w:left="5760" w:hanging="360"/>
      </w:pPr>
      <w:rPr>
        <w:rFonts w:ascii="Courier New" w:hAnsi="Courier New" w:cs="Courier New" w:hint="default"/>
      </w:rPr>
    </w:lvl>
    <w:lvl w:ilvl="2" w:tplc="1270C0CE" w:tentative="1">
      <w:start w:val="1"/>
      <w:numFmt w:val="bullet"/>
      <w:lvlText w:val=""/>
      <w:lvlJc w:val="left"/>
      <w:pPr>
        <w:tabs>
          <w:tab w:val="num" w:pos="6480"/>
        </w:tabs>
        <w:ind w:left="6480" w:hanging="360"/>
      </w:pPr>
      <w:rPr>
        <w:rFonts w:ascii="Wingdings" w:hAnsi="Wingdings" w:hint="default"/>
      </w:rPr>
    </w:lvl>
    <w:lvl w:ilvl="3" w:tplc="4B321EB2" w:tentative="1">
      <w:start w:val="1"/>
      <w:numFmt w:val="bullet"/>
      <w:lvlText w:val=""/>
      <w:lvlJc w:val="left"/>
      <w:pPr>
        <w:tabs>
          <w:tab w:val="num" w:pos="7200"/>
        </w:tabs>
        <w:ind w:left="7200" w:hanging="360"/>
      </w:pPr>
      <w:rPr>
        <w:rFonts w:ascii="Symbol" w:hAnsi="Symbol" w:hint="default"/>
      </w:rPr>
    </w:lvl>
    <w:lvl w:ilvl="4" w:tplc="0B7E1B02" w:tentative="1">
      <w:start w:val="1"/>
      <w:numFmt w:val="bullet"/>
      <w:lvlText w:val="o"/>
      <w:lvlJc w:val="left"/>
      <w:pPr>
        <w:tabs>
          <w:tab w:val="num" w:pos="7920"/>
        </w:tabs>
        <w:ind w:left="7920" w:hanging="360"/>
      </w:pPr>
      <w:rPr>
        <w:rFonts w:ascii="Courier New" w:hAnsi="Courier New" w:cs="Courier New" w:hint="default"/>
      </w:rPr>
    </w:lvl>
    <w:lvl w:ilvl="5" w:tplc="5EC88FD2" w:tentative="1">
      <w:start w:val="1"/>
      <w:numFmt w:val="bullet"/>
      <w:lvlText w:val=""/>
      <w:lvlJc w:val="left"/>
      <w:pPr>
        <w:tabs>
          <w:tab w:val="num" w:pos="8640"/>
        </w:tabs>
        <w:ind w:left="8640" w:hanging="360"/>
      </w:pPr>
      <w:rPr>
        <w:rFonts w:ascii="Wingdings" w:hAnsi="Wingdings" w:hint="default"/>
      </w:rPr>
    </w:lvl>
    <w:lvl w:ilvl="6" w:tplc="D7C6528E" w:tentative="1">
      <w:start w:val="1"/>
      <w:numFmt w:val="bullet"/>
      <w:lvlText w:val=""/>
      <w:lvlJc w:val="left"/>
      <w:pPr>
        <w:tabs>
          <w:tab w:val="num" w:pos="9360"/>
        </w:tabs>
        <w:ind w:left="9360" w:hanging="360"/>
      </w:pPr>
      <w:rPr>
        <w:rFonts w:ascii="Symbol" w:hAnsi="Symbol" w:hint="default"/>
      </w:rPr>
    </w:lvl>
    <w:lvl w:ilvl="7" w:tplc="8D8A490A" w:tentative="1">
      <w:start w:val="1"/>
      <w:numFmt w:val="bullet"/>
      <w:lvlText w:val="o"/>
      <w:lvlJc w:val="left"/>
      <w:pPr>
        <w:tabs>
          <w:tab w:val="num" w:pos="10080"/>
        </w:tabs>
        <w:ind w:left="10080" w:hanging="360"/>
      </w:pPr>
      <w:rPr>
        <w:rFonts w:ascii="Courier New" w:hAnsi="Courier New" w:cs="Courier New" w:hint="default"/>
      </w:rPr>
    </w:lvl>
    <w:lvl w:ilvl="8" w:tplc="87B25564" w:tentative="1">
      <w:start w:val="1"/>
      <w:numFmt w:val="bullet"/>
      <w:lvlText w:val=""/>
      <w:lvlJc w:val="left"/>
      <w:pPr>
        <w:tabs>
          <w:tab w:val="num" w:pos="10800"/>
        </w:tabs>
        <w:ind w:left="10800" w:hanging="360"/>
      </w:pPr>
      <w:rPr>
        <w:rFonts w:ascii="Wingdings" w:hAnsi="Wingdings" w:hint="default"/>
      </w:rPr>
    </w:lvl>
  </w:abstractNum>
  <w:abstractNum w:abstractNumId="378" w15:restartNumberingAfterBreak="0">
    <w:nsid w:val="67E04CFC"/>
    <w:multiLevelType w:val="hybridMultilevel"/>
    <w:tmpl w:val="FE98B4F2"/>
    <w:lvl w:ilvl="0" w:tplc="FFFFFFFF">
      <w:start w:val="1"/>
      <w:numFmt w:val="lowerLetter"/>
      <w:lvlText w:val="%1."/>
      <w:lvlJc w:val="left"/>
      <w:pPr>
        <w:ind w:left="2484" w:hanging="360"/>
      </w:pPr>
      <w:rPr>
        <w:rFonts w:hint="default"/>
      </w:rPr>
    </w:lvl>
    <w:lvl w:ilvl="1" w:tplc="FFFFFFFF">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379" w15:restartNumberingAfterBreak="0">
    <w:nsid w:val="686C38EE"/>
    <w:multiLevelType w:val="hybridMultilevel"/>
    <w:tmpl w:val="83A03712"/>
    <w:lvl w:ilvl="0" w:tplc="300A0001">
      <w:start w:val="1"/>
      <w:numFmt w:val="bullet"/>
      <w:lvlText w:val=""/>
      <w:lvlJc w:val="left"/>
      <w:pPr>
        <w:ind w:left="1495" w:hanging="360"/>
      </w:pPr>
      <w:rPr>
        <w:rFonts w:ascii="Symbol" w:hAnsi="Symbol"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380" w15:restartNumberingAfterBreak="0">
    <w:nsid w:val="694C5D61"/>
    <w:multiLevelType w:val="hybridMultilevel"/>
    <w:tmpl w:val="3B964F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1" w15:restartNumberingAfterBreak="0">
    <w:nsid w:val="698E43DA"/>
    <w:multiLevelType w:val="hybridMultilevel"/>
    <w:tmpl w:val="7512A74C"/>
    <w:lvl w:ilvl="0" w:tplc="BC0EF156">
      <w:start w:val="1"/>
      <w:numFmt w:val="lowerLetter"/>
      <w:lvlText w:val="%1."/>
      <w:lvlJc w:val="left"/>
      <w:pPr>
        <w:ind w:left="2486" w:hanging="360"/>
      </w:pPr>
      <w:rPr>
        <w:b w:val="0"/>
        <w:bCs w:val="0"/>
      </w:rPr>
    </w:lvl>
    <w:lvl w:ilvl="1" w:tplc="300A0019" w:tentative="1">
      <w:start w:val="1"/>
      <w:numFmt w:val="lowerLetter"/>
      <w:lvlText w:val="%2."/>
      <w:lvlJc w:val="left"/>
      <w:pPr>
        <w:ind w:left="3206" w:hanging="360"/>
      </w:pPr>
    </w:lvl>
    <w:lvl w:ilvl="2" w:tplc="300A001B" w:tentative="1">
      <w:start w:val="1"/>
      <w:numFmt w:val="lowerRoman"/>
      <w:lvlText w:val="%3."/>
      <w:lvlJc w:val="right"/>
      <w:pPr>
        <w:ind w:left="3926" w:hanging="180"/>
      </w:pPr>
    </w:lvl>
    <w:lvl w:ilvl="3" w:tplc="300A000F" w:tentative="1">
      <w:start w:val="1"/>
      <w:numFmt w:val="decimal"/>
      <w:lvlText w:val="%4."/>
      <w:lvlJc w:val="left"/>
      <w:pPr>
        <w:ind w:left="4646" w:hanging="360"/>
      </w:pPr>
    </w:lvl>
    <w:lvl w:ilvl="4" w:tplc="300A0019" w:tentative="1">
      <w:start w:val="1"/>
      <w:numFmt w:val="lowerLetter"/>
      <w:lvlText w:val="%5."/>
      <w:lvlJc w:val="left"/>
      <w:pPr>
        <w:ind w:left="5366" w:hanging="360"/>
      </w:pPr>
    </w:lvl>
    <w:lvl w:ilvl="5" w:tplc="300A001B" w:tentative="1">
      <w:start w:val="1"/>
      <w:numFmt w:val="lowerRoman"/>
      <w:lvlText w:val="%6."/>
      <w:lvlJc w:val="right"/>
      <w:pPr>
        <w:ind w:left="6086" w:hanging="180"/>
      </w:pPr>
    </w:lvl>
    <w:lvl w:ilvl="6" w:tplc="300A000F" w:tentative="1">
      <w:start w:val="1"/>
      <w:numFmt w:val="decimal"/>
      <w:lvlText w:val="%7."/>
      <w:lvlJc w:val="left"/>
      <w:pPr>
        <w:ind w:left="6806" w:hanging="360"/>
      </w:pPr>
    </w:lvl>
    <w:lvl w:ilvl="7" w:tplc="300A0019" w:tentative="1">
      <w:start w:val="1"/>
      <w:numFmt w:val="lowerLetter"/>
      <w:lvlText w:val="%8."/>
      <w:lvlJc w:val="left"/>
      <w:pPr>
        <w:ind w:left="7526" w:hanging="360"/>
      </w:pPr>
    </w:lvl>
    <w:lvl w:ilvl="8" w:tplc="300A001B" w:tentative="1">
      <w:start w:val="1"/>
      <w:numFmt w:val="lowerRoman"/>
      <w:lvlText w:val="%9."/>
      <w:lvlJc w:val="right"/>
      <w:pPr>
        <w:ind w:left="8246" w:hanging="180"/>
      </w:pPr>
    </w:lvl>
  </w:abstractNum>
  <w:abstractNum w:abstractNumId="382" w15:restartNumberingAfterBreak="0">
    <w:nsid w:val="69D132F5"/>
    <w:multiLevelType w:val="hybridMultilevel"/>
    <w:tmpl w:val="38C2C37C"/>
    <w:lvl w:ilvl="0" w:tplc="FFFFFFFF">
      <w:start w:val="1"/>
      <w:numFmt w:val="lowerLetter"/>
      <w:lvlText w:val="%1."/>
      <w:lvlJc w:val="left"/>
      <w:pPr>
        <w:ind w:left="2484" w:hanging="360"/>
      </w:pPr>
      <w:rPr>
        <w:rFonts w:hint="default"/>
        <w:lang w:val="es-EC"/>
      </w:rPr>
    </w:lvl>
    <w:lvl w:ilvl="1" w:tplc="300A0019" w:tentative="1">
      <w:start w:val="1"/>
      <w:numFmt w:val="lowerLetter"/>
      <w:lvlText w:val="%2."/>
      <w:lvlJc w:val="left"/>
      <w:pPr>
        <w:ind w:left="1721" w:hanging="360"/>
      </w:pPr>
    </w:lvl>
    <w:lvl w:ilvl="2" w:tplc="300A001B" w:tentative="1">
      <w:start w:val="1"/>
      <w:numFmt w:val="lowerRoman"/>
      <w:lvlText w:val="%3."/>
      <w:lvlJc w:val="right"/>
      <w:pPr>
        <w:ind w:left="2441" w:hanging="180"/>
      </w:pPr>
    </w:lvl>
    <w:lvl w:ilvl="3" w:tplc="300A000F" w:tentative="1">
      <w:start w:val="1"/>
      <w:numFmt w:val="decimal"/>
      <w:lvlText w:val="%4."/>
      <w:lvlJc w:val="left"/>
      <w:pPr>
        <w:ind w:left="3161" w:hanging="360"/>
      </w:pPr>
    </w:lvl>
    <w:lvl w:ilvl="4" w:tplc="300A0019" w:tentative="1">
      <w:start w:val="1"/>
      <w:numFmt w:val="lowerLetter"/>
      <w:lvlText w:val="%5."/>
      <w:lvlJc w:val="left"/>
      <w:pPr>
        <w:ind w:left="3881" w:hanging="360"/>
      </w:pPr>
    </w:lvl>
    <w:lvl w:ilvl="5" w:tplc="300A001B" w:tentative="1">
      <w:start w:val="1"/>
      <w:numFmt w:val="lowerRoman"/>
      <w:lvlText w:val="%6."/>
      <w:lvlJc w:val="right"/>
      <w:pPr>
        <w:ind w:left="4601" w:hanging="180"/>
      </w:pPr>
    </w:lvl>
    <w:lvl w:ilvl="6" w:tplc="300A000F" w:tentative="1">
      <w:start w:val="1"/>
      <w:numFmt w:val="decimal"/>
      <w:lvlText w:val="%7."/>
      <w:lvlJc w:val="left"/>
      <w:pPr>
        <w:ind w:left="5321" w:hanging="360"/>
      </w:pPr>
    </w:lvl>
    <w:lvl w:ilvl="7" w:tplc="300A0019" w:tentative="1">
      <w:start w:val="1"/>
      <w:numFmt w:val="lowerLetter"/>
      <w:lvlText w:val="%8."/>
      <w:lvlJc w:val="left"/>
      <w:pPr>
        <w:ind w:left="6041" w:hanging="360"/>
      </w:pPr>
    </w:lvl>
    <w:lvl w:ilvl="8" w:tplc="300A001B" w:tentative="1">
      <w:start w:val="1"/>
      <w:numFmt w:val="lowerRoman"/>
      <w:lvlText w:val="%9."/>
      <w:lvlJc w:val="right"/>
      <w:pPr>
        <w:ind w:left="6761" w:hanging="180"/>
      </w:pPr>
    </w:lvl>
  </w:abstractNum>
  <w:abstractNum w:abstractNumId="383" w15:restartNumberingAfterBreak="0">
    <w:nsid w:val="69DD1BE2"/>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384" w15:restartNumberingAfterBreak="0">
    <w:nsid w:val="69F6438C"/>
    <w:multiLevelType w:val="hybridMultilevel"/>
    <w:tmpl w:val="3F7E3534"/>
    <w:lvl w:ilvl="0" w:tplc="300A0001">
      <w:start w:val="1"/>
      <w:numFmt w:val="bullet"/>
      <w:lvlText w:val=""/>
      <w:lvlJc w:val="left"/>
      <w:pPr>
        <w:ind w:left="1494" w:hanging="360"/>
      </w:pPr>
      <w:rPr>
        <w:rFonts w:ascii="Symbol" w:hAnsi="Symbol"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385" w15:restartNumberingAfterBreak="0">
    <w:nsid w:val="6A3A0232"/>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86" w15:restartNumberingAfterBreak="0">
    <w:nsid w:val="6A80076D"/>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87" w15:restartNumberingAfterBreak="0">
    <w:nsid w:val="6AB86557"/>
    <w:multiLevelType w:val="multilevel"/>
    <w:tmpl w:val="1E1EB2AE"/>
    <w:lvl w:ilvl="0">
      <w:start w:val="1"/>
      <w:numFmt w:val="bullet"/>
      <w:lvlText w:val="●"/>
      <w:lvlJc w:val="left"/>
      <w:pPr>
        <w:ind w:left="2136" w:hanging="360"/>
      </w:pPr>
      <w:rPr>
        <w:u w:val="none"/>
      </w:rPr>
    </w:lvl>
    <w:lvl w:ilvl="1">
      <w:numFmt w:val="bullet"/>
      <w:lvlText w:val="•"/>
      <w:lvlJc w:val="left"/>
      <w:pPr>
        <w:ind w:left="2856" w:hanging="360"/>
      </w:pPr>
      <w:rPr>
        <w:rFonts w:ascii="Times New Roman" w:eastAsia="Arial Unicode MS" w:hAnsi="Times New Roman" w:cs="Times New Roman" w:hint="default"/>
      </w:rPr>
    </w:lvl>
    <w:lvl w:ilvl="2">
      <w:numFmt w:val="bullet"/>
      <w:pStyle w:val="BulletLevel3"/>
      <w:lvlText w:val="-"/>
      <w:lvlJc w:val="left"/>
      <w:pPr>
        <w:ind w:left="3576" w:hanging="360"/>
      </w:pPr>
      <w:rPr>
        <w:rFonts w:ascii="Times New Roman" w:eastAsia="Arial Unicode MS" w:hAnsi="Times New Roman" w:cs="Times New Roman" w:hint="default"/>
      </w:rPr>
    </w:lvl>
    <w:lvl w:ilvl="3">
      <w:start w:val="1"/>
      <w:numFmt w:val="bullet"/>
      <w:lvlText w:val="●"/>
      <w:lvlJc w:val="left"/>
      <w:pPr>
        <w:ind w:left="4296" w:hanging="360"/>
      </w:pPr>
      <w:rPr>
        <w:u w:val="none"/>
      </w:rPr>
    </w:lvl>
    <w:lvl w:ilvl="4">
      <w:start w:val="1"/>
      <w:numFmt w:val="bullet"/>
      <w:lvlText w:val="○"/>
      <w:lvlJc w:val="left"/>
      <w:pPr>
        <w:ind w:left="5016" w:hanging="360"/>
      </w:pPr>
      <w:rPr>
        <w:u w:val="none"/>
      </w:rPr>
    </w:lvl>
    <w:lvl w:ilvl="5">
      <w:start w:val="1"/>
      <w:numFmt w:val="bullet"/>
      <w:lvlText w:val="■"/>
      <w:lvlJc w:val="left"/>
      <w:pPr>
        <w:ind w:left="5736" w:hanging="360"/>
      </w:pPr>
      <w:rPr>
        <w:u w:val="none"/>
      </w:rPr>
    </w:lvl>
    <w:lvl w:ilvl="6">
      <w:start w:val="1"/>
      <w:numFmt w:val="bullet"/>
      <w:lvlText w:val="●"/>
      <w:lvlJc w:val="left"/>
      <w:pPr>
        <w:ind w:left="6456" w:hanging="360"/>
      </w:pPr>
      <w:rPr>
        <w:u w:val="none"/>
      </w:rPr>
    </w:lvl>
    <w:lvl w:ilvl="7">
      <w:start w:val="1"/>
      <w:numFmt w:val="bullet"/>
      <w:lvlText w:val="○"/>
      <w:lvlJc w:val="left"/>
      <w:pPr>
        <w:ind w:left="7176" w:hanging="360"/>
      </w:pPr>
      <w:rPr>
        <w:u w:val="none"/>
      </w:rPr>
    </w:lvl>
    <w:lvl w:ilvl="8">
      <w:start w:val="1"/>
      <w:numFmt w:val="bullet"/>
      <w:lvlText w:val="■"/>
      <w:lvlJc w:val="left"/>
      <w:pPr>
        <w:ind w:left="7896" w:hanging="360"/>
      </w:pPr>
      <w:rPr>
        <w:u w:val="none"/>
      </w:rPr>
    </w:lvl>
  </w:abstractNum>
  <w:abstractNum w:abstractNumId="388" w15:restartNumberingAfterBreak="0">
    <w:nsid w:val="6AD37380"/>
    <w:multiLevelType w:val="hybridMultilevel"/>
    <w:tmpl w:val="4FF4A5FA"/>
    <w:lvl w:ilvl="0" w:tplc="DB1EB658">
      <w:start w:val="1"/>
      <w:numFmt w:val="lowerLetter"/>
      <w:lvlText w:val="%1."/>
      <w:lvlJc w:val="left"/>
      <w:pPr>
        <w:ind w:left="2203" w:hanging="360"/>
      </w:pPr>
      <w:rPr>
        <w:rFonts w:ascii="Arial" w:eastAsia="Times New Roman" w:hAnsi="Arial" w:cs="Arial" w:hint="default"/>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389" w15:restartNumberingAfterBreak="0">
    <w:nsid w:val="6ADE1119"/>
    <w:multiLevelType w:val="multilevel"/>
    <w:tmpl w:val="4DA89C28"/>
    <w:lvl w:ilvl="0">
      <w:start w:val="1"/>
      <w:numFmt w:val="decimal"/>
      <w:lvlText w:val="%1."/>
      <w:lvlJc w:val="left"/>
      <w:pPr>
        <w:ind w:left="720" w:hanging="720"/>
      </w:pPr>
      <w:rPr>
        <w:rFonts w:hint="default"/>
        <w:b w:val="0"/>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8"/>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90" w15:restartNumberingAfterBreak="0">
    <w:nsid w:val="6B200001"/>
    <w:multiLevelType w:val="hybridMultilevel"/>
    <w:tmpl w:val="0114D5E8"/>
    <w:lvl w:ilvl="0" w:tplc="04090019">
      <w:start w:val="1"/>
      <w:numFmt w:val="lowerLetter"/>
      <w:lvlText w:val="%1."/>
      <w:lvlJc w:val="left"/>
      <w:pPr>
        <w:ind w:left="2203" w:hanging="360"/>
      </w:pPr>
    </w:lvl>
    <w:lvl w:ilvl="1" w:tplc="300A0019" w:tentative="1">
      <w:start w:val="1"/>
      <w:numFmt w:val="lowerLetter"/>
      <w:lvlText w:val="%2."/>
      <w:lvlJc w:val="left"/>
      <w:pPr>
        <w:ind w:left="3065" w:hanging="360"/>
      </w:pPr>
    </w:lvl>
    <w:lvl w:ilvl="2" w:tplc="300A001B" w:tentative="1">
      <w:start w:val="1"/>
      <w:numFmt w:val="lowerRoman"/>
      <w:lvlText w:val="%3."/>
      <w:lvlJc w:val="right"/>
      <w:pPr>
        <w:ind w:left="3785" w:hanging="180"/>
      </w:pPr>
    </w:lvl>
    <w:lvl w:ilvl="3" w:tplc="300A000F" w:tentative="1">
      <w:start w:val="1"/>
      <w:numFmt w:val="decimal"/>
      <w:lvlText w:val="%4."/>
      <w:lvlJc w:val="left"/>
      <w:pPr>
        <w:ind w:left="4505" w:hanging="360"/>
      </w:pPr>
    </w:lvl>
    <w:lvl w:ilvl="4" w:tplc="300A0019" w:tentative="1">
      <w:start w:val="1"/>
      <w:numFmt w:val="lowerLetter"/>
      <w:lvlText w:val="%5."/>
      <w:lvlJc w:val="left"/>
      <w:pPr>
        <w:ind w:left="5225" w:hanging="360"/>
      </w:pPr>
    </w:lvl>
    <w:lvl w:ilvl="5" w:tplc="300A001B" w:tentative="1">
      <w:start w:val="1"/>
      <w:numFmt w:val="lowerRoman"/>
      <w:lvlText w:val="%6."/>
      <w:lvlJc w:val="right"/>
      <w:pPr>
        <w:ind w:left="5945" w:hanging="180"/>
      </w:pPr>
    </w:lvl>
    <w:lvl w:ilvl="6" w:tplc="300A000F" w:tentative="1">
      <w:start w:val="1"/>
      <w:numFmt w:val="decimal"/>
      <w:lvlText w:val="%7."/>
      <w:lvlJc w:val="left"/>
      <w:pPr>
        <w:ind w:left="6665" w:hanging="360"/>
      </w:pPr>
    </w:lvl>
    <w:lvl w:ilvl="7" w:tplc="300A0019" w:tentative="1">
      <w:start w:val="1"/>
      <w:numFmt w:val="lowerLetter"/>
      <w:lvlText w:val="%8."/>
      <w:lvlJc w:val="left"/>
      <w:pPr>
        <w:ind w:left="7385" w:hanging="360"/>
      </w:pPr>
    </w:lvl>
    <w:lvl w:ilvl="8" w:tplc="300A001B" w:tentative="1">
      <w:start w:val="1"/>
      <w:numFmt w:val="lowerRoman"/>
      <w:lvlText w:val="%9."/>
      <w:lvlJc w:val="right"/>
      <w:pPr>
        <w:ind w:left="8105" w:hanging="180"/>
      </w:pPr>
    </w:lvl>
  </w:abstractNum>
  <w:abstractNum w:abstractNumId="391" w15:restartNumberingAfterBreak="0">
    <w:nsid w:val="6B8636D0"/>
    <w:multiLevelType w:val="hybridMultilevel"/>
    <w:tmpl w:val="1CFC3DB2"/>
    <w:lvl w:ilvl="0" w:tplc="4E405D2A">
      <w:start w:val="1"/>
      <w:numFmt w:val="lowerLetter"/>
      <w:lvlText w:val="%1."/>
      <w:lvlJc w:val="left"/>
      <w:pPr>
        <w:ind w:left="2203" w:hanging="360"/>
      </w:pPr>
      <w:rPr>
        <w:rFonts w:ascii="Arial" w:eastAsia="Times New Roman" w:hAnsi="Arial" w:cs="Arial" w:hint="default"/>
      </w:rPr>
    </w:lvl>
    <w:lvl w:ilvl="1" w:tplc="FFFFFFFF">
      <w:start w:val="1"/>
      <w:numFmt w:val="lowerLetter"/>
      <w:lvlText w:val="%2."/>
      <w:lvlJc w:val="left"/>
      <w:pPr>
        <w:ind w:left="3501"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392" w15:restartNumberingAfterBreak="0">
    <w:nsid w:val="6BC538AC"/>
    <w:multiLevelType w:val="multilevel"/>
    <w:tmpl w:val="D91A7E2A"/>
    <w:lvl w:ilvl="0">
      <w:start w:val="1"/>
      <w:numFmt w:val="lowerLetter"/>
      <w:lvlText w:val="%1."/>
      <w:lvlJc w:val="left"/>
      <w:pPr>
        <w:ind w:left="2486" w:hanging="360"/>
      </w:pPr>
      <w:rPr>
        <w:rFonts w:hint="default"/>
      </w:rPr>
    </w:lvl>
    <w:lvl w:ilvl="1">
      <w:start w:val="1"/>
      <w:numFmt w:val="bullet"/>
      <w:lvlText w:val="o"/>
      <w:lvlJc w:val="left"/>
      <w:pPr>
        <w:ind w:left="3206" w:hanging="360"/>
      </w:pPr>
      <w:rPr>
        <w:rFonts w:ascii="Courier New" w:hAnsi="Courier New" w:hint="default"/>
      </w:rPr>
    </w:lvl>
    <w:lvl w:ilvl="2">
      <w:start w:val="1"/>
      <w:numFmt w:val="bullet"/>
      <w:lvlText w:val="▪"/>
      <w:lvlJc w:val="left"/>
      <w:pPr>
        <w:ind w:left="3926" w:hanging="360"/>
      </w:pPr>
      <w:rPr>
        <w:rFonts w:ascii="Noto Sans Symbols" w:hAnsi="Noto Sans Symbols" w:hint="default"/>
      </w:rPr>
    </w:lvl>
    <w:lvl w:ilvl="3">
      <w:start w:val="1"/>
      <w:numFmt w:val="bullet"/>
      <w:lvlText w:val="●"/>
      <w:lvlJc w:val="left"/>
      <w:pPr>
        <w:ind w:left="4646" w:hanging="360"/>
      </w:pPr>
      <w:rPr>
        <w:rFonts w:ascii="Noto Sans Symbols" w:hAnsi="Noto Sans Symbols" w:hint="default"/>
      </w:rPr>
    </w:lvl>
    <w:lvl w:ilvl="4">
      <w:start w:val="1"/>
      <w:numFmt w:val="bullet"/>
      <w:lvlText w:val="o"/>
      <w:lvlJc w:val="left"/>
      <w:pPr>
        <w:ind w:left="5366" w:hanging="360"/>
      </w:pPr>
      <w:rPr>
        <w:rFonts w:ascii="Courier New" w:hAnsi="Courier New" w:hint="default"/>
      </w:rPr>
    </w:lvl>
    <w:lvl w:ilvl="5">
      <w:start w:val="1"/>
      <w:numFmt w:val="bullet"/>
      <w:lvlText w:val="▪"/>
      <w:lvlJc w:val="left"/>
      <w:pPr>
        <w:ind w:left="6086" w:hanging="360"/>
      </w:pPr>
      <w:rPr>
        <w:rFonts w:ascii="Noto Sans Symbols" w:hAnsi="Noto Sans Symbols" w:hint="default"/>
      </w:rPr>
    </w:lvl>
    <w:lvl w:ilvl="6">
      <w:start w:val="1"/>
      <w:numFmt w:val="bullet"/>
      <w:lvlText w:val="●"/>
      <w:lvlJc w:val="left"/>
      <w:pPr>
        <w:ind w:left="6806" w:hanging="360"/>
      </w:pPr>
      <w:rPr>
        <w:rFonts w:ascii="Noto Sans Symbols" w:hAnsi="Noto Sans Symbols" w:hint="default"/>
      </w:rPr>
    </w:lvl>
    <w:lvl w:ilvl="7">
      <w:start w:val="1"/>
      <w:numFmt w:val="bullet"/>
      <w:lvlText w:val="o"/>
      <w:lvlJc w:val="left"/>
      <w:pPr>
        <w:ind w:left="7526" w:hanging="360"/>
      </w:pPr>
      <w:rPr>
        <w:rFonts w:ascii="Courier New" w:hAnsi="Courier New" w:hint="default"/>
      </w:rPr>
    </w:lvl>
    <w:lvl w:ilvl="8">
      <w:start w:val="1"/>
      <w:numFmt w:val="bullet"/>
      <w:lvlText w:val="▪"/>
      <w:lvlJc w:val="left"/>
      <w:pPr>
        <w:ind w:left="8246" w:hanging="360"/>
      </w:pPr>
      <w:rPr>
        <w:rFonts w:ascii="Noto Sans Symbols" w:hAnsi="Noto Sans Symbols" w:hint="default"/>
      </w:rPr>
    </w:lvl>
  </w:abstractNum>
  <w:abstractNum w:abstractNumId="393" w15:restartNumberingAfterBreak="0">
    <w:nsid w:val="6BD10882"/>
    <w:multiLevelType w:val="hybridMultilevel"/>
    <w:tmpl w:val="4720E2BC"/>
    <w:lvl w:ilvl="0" w:tplc="300A0019">
      <w:start w:val="1"/>
      <w:numFmt w:val="lowerLetter"/>
      <w:lvlText w:val="%1."/>
      <w:lvlJc w:val="left"/>
      <w:pPr>
        <w:ind w:left="3195"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4" w15:restartNumberingAfterBreak="0">
    <w:nsid w:val="6C066FFB"/>
    <w:multiLevelType w:val="hybridMultilevel"/>
    <w:tmpl w:val="7E5E6A10"/>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3283" w:hanging="360"/>
      </w:pPr>
      <w:rPr>
        <w:rFonts w:ascii="Courier New" w:hAnsi="Courier New" w:cs="Courier New" w:hint="default"/>
      </w:rPr>
    </w:lvl>
    <w:lvl w:ilvl="2" w:tplc="300A0005" w:tentative="1">
      <w:start w:val="1"/>
      <w:numFmt w:val="bullet"/>
      <w:lvlText w:val=""/>
      <w:lvlJc w:val="left"/>
      <w:pPr>
        <w:ind w:left="4003" w:hanging="360"/>
      </w:pPr>
      <w:rPr>
        <w:rFonts w:ascii="Wingdings" w:hAnsi="Wingdings" w:hint="default"/>
      </w:rPr>
    </w:lvl>
    <w:lvl w:ilvl="3" w:tplc="300A0001" w:tentative="1">
      <w:start w:val="1"/>
      <w:numFmt w:val="bullet"/>
      <w:lvlText w:val=""/>
      <w:lvlJc w:val="left"/>
      <w:pPr>
        <w:ind w:left="4723" w:hanging="360"/>
      </w:pPr>
      <w:rPr>
        <w:rFonts w:ascii="Symbol" w:hAnsi="Symbol" w:hint="default"/>
      </w:rPr>
    </w:lvl>
    <w:lvl w:ilvl="4" w:tplc="300A0003" w:tentative="1">
      <w:start w:val="1"/>
      <w:numFmt w:val="bullet"/>
      <w:lvlText w:val="o"/>
      <w:lvlJc w:val="left"/>
      <w:pPr>
        <w:ind w:left="5443" w:hanging="360"/>
      </w:pPr>
      <w:rPr>
        <w:rFonts w:ascii="Courier New" w:hAnsi="Courier New" w:cs="Courier New" w:hint="default"/>
      </w:rPr>
    </w:lvl>
    <w:lvl w:ilvl="5" w:tplc="300A0005" w:tentative="1">
      <w:start w:val="1"/>
      <w:numFmt w:val="bullet"/>
      <w:lvlText w:val=""/>
      <w:lvlJc w:val="left"/>
      <w:pPr>
        <w:ind w:left="6163" w:hanging="360"/>
      </w:pPr>
      <w:rPr>
        <w:rFonts w:ascii="Wingdings" w:hAnsi="Wingdings" w:hint="default"/>
      </w:rPr>
    </w:lvl>
    <w:lvl w:ilvl="6" w:tplc="300A0001" w:tentative="1">
      <w:start w:val="1"/>
      <w:numFmt w:val="bullet"/>
      <w:lvlText w:val=""/>
      <w:lvlJc w:val="left"/>
      <w:pPr>
        <w:ind w:left="6883" w:hanging="360"/>
      </w:pPr>
      <w:rPr>
        <w:rFonts w:ascii="Symbol" w:hAnsi="Symbol" w:hint="default"/>
      </w:rPr>
    </w:lvl>
    <w:lvl w:ilvl="7" w:tplc="300A0003" w:tentative="1">
      <w:start w:val="1"/>
      <w:numFmt w:val="bullet"/>
      <w:lvlText w:val="o"/>
      <w:lvlJc w:val="left"/>
      <w:pPr>
        <w:ind w:left="7603" w:hanging="360"/>
      </w:pPr>
      <w:rPr>
        <w:rFonts w:ascii="Courier New" w:hAnsi="Courier New" w:cs="Courier New" w:hint="default"/>
      </w:rPr>
    </w:lvl>
    <w:lvl w:ilvl="8" w:tplc="300A0005" w:tentative="1">
      <w:start w:val="1"/>
      <w:numFmt w:val="bullet"/>
      <w:lvlText w:val=""/>
      <w:lvlJc w:val="left"/>
      <w:pPr>
        <w:ind w:left="8323" w:hanging="360"/>
      </w:pPr>
      <w:rPr>
        <w:rFonts w:ascii="Wingdings" w:hAnsi="Wingdings" w:hint="default"/>
      </w:rPr>
    </w:lvl>
  </w:abstractNum>
  <w:abstractNum w:abstractNumId="395" w15:restartNumberingAfterBreak="0">
    <w:nsid w:val="6C68127B"/>
    <w:multiLevelType w:val="hybridMultilevel"/>
    <w:tmpl w:val="7E5C09D4"/>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C8F76D5"/>
    <w:multiLevelType w:val="hybridMultilevel"/>
    <w:tmpl w:val="63C02056"/>
    <w:lvl w:ilvl="0" w:tplc="9E14EA3E">
      <w:start w:val="1"/>
      <w:numFmt w:val="lowerLetter"/>
      <w:lvlText w:val="(%1)"/>
      <w:lvlJc w:val="left"/>
      <w:pPr>
        <w:ind w:left="994" w:hanging="360"/>
      </w:pPr>
      <w:rPr>
        <w:rFonts w:hint="default"/>
        <w:b w:val="0"/>
        <w:i w:val="0"/>
        <w:color w:val="auto"/>
        <w:sz w:val="22"/>
        <w:szCs w:val="22"/>
        <w:u w:val="none"/>
      </w:rPr>
    </w:lvl>
    <w:lvl w:ilvl="1" w:tplc="A72A6714">
      <w:start w:val="3"/>
      <w:numFmt w:val="lowerLetter"/>
      <w:lvlText w:val="(%2)"/>
      <w:lvlJc w:val="left"/>
      <w:pPr>
        <w:tabs>
          <w:tab w:val="num" w:pos="2233"/>
        </w:tabs>
        <w:ind w:left="2233" w:hanging="540"/>
      </w:pPr>
      <w:rPr>
        <w:rFonts w:hint="default"/>
      </w:rPr>
    </w:lvl>
    <w:lvl w:ilvl="2" w:tplc="F078DCD2">
      <w:start w:val="2"/>
      <w:numFmt w:val="lowerLetter"/>
      <w:lvlText w:val="(%3)"/>
      <w:lvlJc w:val="left"/>
      <w:pPr>
        <w:tabs>
          <w:tab w:val="num" w:pos="2794"/>
        </w:tabs>
        <w:ind w:left="2794" w:hanging="540"/>
      </w:pPr>
      <w:rPr>
        <w:rFonts w:hint="default"/>
        <w:b/>
        <w:i w:val="0"/>
        <w:color w:val="auto"/>
        <w:sz w:val="22"/>
        <w:szCs w:val="22"/>
        <w:u w:val="none"/>
      </w:rPr>
    </w:lvl>
    <w:lvl w:ilvl="3" w:tplc="1DCEF202" w:tentative="1">
      <w:start w:val="1"/>
      <w:numFmt w:val="decimal"/>
      <w:lvlText w:val="%4."/>
      <w:lvlJc w:val="left"/>
      <w:pPr>
        <w:tabs>
          <w:tab w:val="num" w:pos="3154"/>
        </w:tabs>
        <w:ind w:left="3154" w:hanging="360"/>
      </w:pPr>
    </w:lvl>
    <w:lvl w:ilvl="4" w:tplc="F36E7796" w:tentative="1">
      <w:start w:val="1"/>
      <w:numFmt w:val="lowerLetter"/>
      <w:lvlText w:val="%5."/>
      <w:lvlJc w:val="left"/>
      <w:pPr>
        <w:tabs>
          <w:tab w:val="num" w:pos="3874"/>
        </w:tabs>
        <w:ind w:left="3874" w:hanging="360"/>
      </w:pPr>
    </w:lvl>
    <w:lvl w:ilvl="5" w:tplc="22BE4C82" w:tentative="1">
      <w:start w:val="1"/>
      <w:numFmt w:val="lowerRoman"/>
      <w:lvlText w:val="%6."/>
      <w:lvlJc w:val="right"/>
      <w:pPr>
        <w:tabs>
          <w:tab w:val="num" w:pos="4594"/>
        </w:tabs>
        <w:ind w:left="4594" w:hanging="180"/>
      </w:pPr>
    </w:lvl>
    <w:lvl w:ilvl="6" w:tplc="8A66D35A" w:tentative="1">
      <w:start w:val="1"/>
      <w:numFmt w:val="decimal"/>
      <w:lvlText w:val="%7."/>
      <w:lvlJc w:val="left"/>
      <w:pPr>
        <w:tabs>
          <w:tab w:val="num" w:pos="5314"/>
        </w:tabs>
        <w:ind w:left="5314" w:hanging="360"/>
      </w:pPr>
    </w:lvl>
    <w:lvl w:ilvl="7" w:tplc="D6B44656" w:tentative="1">
      <w:start w:val="1"/>
      <w:numFmt w:val="lowerLetter"/>
      <w:lvlText w:val="%8."/>
      <w:lvlJc w:val="left"/>
      <w:pPr>
        <w:tabs>
          <w:tab w:val="num" w:pos="6034"/>
        </w:tabs>
        <w:ind w:left="6034" w:hanging="360"/>
      </w:pPr>
    </w:lvl>
    <w:lvl w:ilvl="8" w:tplc="A61C2B76" w:tentative="1">
      <w:start w:val="1"/>
      <w:numFmt w:val="lowerRoman"/>
      <w:lvlText w:val="%9."/>
      <w:lvlJc w:val="right"/>
      <w:pPr>
        <w:tabs>
          <w:tab w:val="num" w:pos="6754"/>
        </w:tabs>
        <w:ind w:left="6754" w:hanging="180"/>
      </w:pPr>
    </w:lvl>
  </w:abstractNum>
  <w:abstractNum w:abstractNumId="397" w15:restartNumberingAfterBreak="0">
    <w:nsid w:val="6CA41803"/>
    <w:multiLevelType w:val="multilevel"/>
    <w:tmpl w:val="E3CCB684"/>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398" w15:restartNumberingAfterBreak="0">
    <w:nsid w:val="6DC278D0"/>
    <w:multiLevelType w:val="hybridMultilevel"/>
    <w:tmpl w:val="FCE8E0EC"/>
    <w:lvl w:ilvl="0" w:tplc="300A0019">
      <w:start w:val="1"/>
      <w:numFmt w:val="lowerLetter"/>
      <w:lvlText w:val="%1."/>
      <w:lvlJc w:val="left"/>
      <w:pPr>
        <w:ind w:left="3195" w:hanging="360"/>
      </w:pPr>
    </w:lvl>
    <w:lvl w:ilvl="1" w:tplc="300A0019" w:tentative="1">
      <w:start w:val="1"/>
      <w:numFmt w:val="lowerLetter"/>
      <w:lvlText w:val="%2."/>
      <w:lvlJc w:val="left"/>
      <w:pPr>
        <w:ind w:left="3915" w:hanging="360"/>
      </w:pPr>
    </w:lvl>
    <w:lvl w:ilvl="2" w:tplc="300A001B" w:tentative="1">
      <w:start w:val="1"/>
      <w:numFmt w:val="lowerRoman"/>
      <w:lvlText w:val="%3."/>
      <w:lvlJc w:val="right"/>
      <w:pPr>
        <w:ind w:left="4635" w:hanging="180"/>
      </w:pPr>
    </w:lvl>
    <w:lvl w:ilvl="3" w:tplc="300A000F" w:tentative="1">
      <w:start w:val="1"/>
      <w:numFmt w:val="decimal"/>
      <w:lvlText w:val="%4."/>
      <w:lvlJc w:val="left"/>
      <w:pPr>
        <w:ind w:left="5355" w:hanging="360"/>
      </w:pPr>
    </w:lvl>
    <w:lvl w:ilvl="4" w:tplc="300A0019" w:tentative="1">
      <w:start w:val="1"/>
      <w:numFmt w:val="lowerLetter"/>
      <w:lvlText w:val="%5."/>
      <w:lvlJc w:val="left"/>
      <w:pPr>
        <w:ind w:left="6075" w:hanging="360"/>
      </w:pPr>
    </w:lvl>
    <w:lvl w:ilvl="5" w:tplc="300A001B" w:tentative="1">
      <w:start w:val="1"/>
      <w:numFmt w:val="lowerRoman"/>
      <w:lvlText w:val="%6."/>
      <w:lvlJc w:val="right"/>
      <w:pPr>
        <w:ind w:left="6795" w:hanging="180"/>
      </w:pPr>
    </w:lvl>
    <w:lvl w:ilvl="6" w:tplc="300A000F" w:tentative="1">
      <w:start w:val="1"/>
      <w:numFmt w:val="decimal"/>
      <w:lvlText w:val="%7."/>
      <w:lvlJc w:val="left"/>
      <w:pPr>
        <w:ind w:left="7515" w:hanging="360"/>
      </w:pPr>
    </w:lvl>
    <w:lvl w:ilvl="7" w:tplc="300A0019" w:tentative="1">
      <w:start w:val="1"/>
      <w:numFmt w:val="lowerLetter"/>
      <w:lvlText w:val="%8."/>
      <w:lvlJc w:val="left"/>
      <w:pPr>
        <w:ind w:left="8235" w:hanging="360"/>
      </w:pPr>
    </w:lvl>
    <w:lvl w:ilvl="8" w:tplc="300A001B" w:tentative="1">
      <w:start w:val="1"/>
      <w:numFmt w:val="lowerRoman"/>
      <w:lvlText w:val="%9."/>
      <w:lvlJc w:val="right"/>
      <w:pPr>
        <w:ind w:left="8955" w:hanging="180"/>
      </w:pPr>
    </w:lvl>
  </w:abstractNum>
  <w:abstractNum w:abstractNumId="399" w15:restartNumberingAfterBreak="0">
    <w:nsid w:val="6EB31959"/>
    <w:multiLevelType w:val="hybridMultilevel"/>
    <w:tmpl w:val="62909704"/>
    <w:lvl w:ilvl="0" w:tplc="300A0001">
      <w:start w:val="1"/>
      <w:numFmt w:val="bullet"/>
      <w:lvlText w:val=""/>
      <w:lvlJc w:val="left"/>
      <w:pPr>
        <w:ind w:left="3900" w:hanging="360"/>
      </w:pPr>
      <w:rPr>
        <w:rFonts w:ascii="Symbol" w:hAnsi="Symbol" w:hint="default"/>
      </w:rPr>
    </w:lvl>
    <w:lvl w:ilvl="1" w:tplc="300A0003" w:tentative="1">
      <w:start w:val="1"/>
      <w:numFmt w:val="bullet"/>
      <w:lvlText w:val="o"/>
      <w:lvlJc w:val="left"/>
      <w:pPr>
        <w:ind w:left="4620" w:hanging="360"/>
      </w:pPr>
      <w:rPr>
        <w:rFonts w:ascii="Courier New" w:hAnsi="Courier New" w:cs="Courier New" w:hint="default"/>
      </w:rPr>
    </w:lvl>
    <w:lvl w:ilvl="2" w:tplc="300A0005" w:tentative="1">
      <w:start w:val="1"/>
      <w:numFmt w:val="bullet"/>
      <w:lvlText w:val=""/>
      <w:lvlJc w:val="left"/>
      <w:pPr>
        <w:ind w:left="5340" w:hanging="360"/>
      </w:pPr>
      <w:rPr>
        <w:rFonts w:ascii="Wingdings" w:hAnsi="Wingdings" w:hint="default"/>
      </w:rPr>
    </w:lvl>
    <w:lvl w:ilvl="3" w:tplc="300A0001" w:tentative="1">
      <w:start w:val="1"/>
      <w:numFmt w:val="bullet"/>
      <w:lvlText w:val=""/>
      <w:lvlJc w:val="left"/>
      <w:pPr>
        <w:ind w:left="6060" w:hanging="360"/>
      </w:pPr>
      <w:rPr>
        <w:rFonts w:ascii="Symbol" w:hAnsi="Symbol" w:hint="default"/>
      </w:rPr>
    </w:lvl>
    <w:lvl w:ilvl="4" w:tplc="300A0003" w:tentative="1">
      <w:start w:val="1"/>
      <w:numFmt w:val="bullet"/>
      <w:lvlText w:val="o"/>
      <w:lvlJc w:val="left"/>
      <w:pPr>
        <w:ind w:left="6780" w:hanging="360"/>
      </w:pPr>
      <w:rPr>
        <w:rFonts w:ascii="Courier New" w:hAnsi="Courier New" w:cs="Courier New" w:hint="default"/>
      </w:rPr>
    </w:lvl>
    <w:lvl w:ilvl="5" w:tplc="300A0005" w:tentative="1">
      <w:start w:val="1"/>
      <w:numFmt w:val="bullet"/>
      <w:lvlText w:val=""/>
      <w:lvlJc w:val="left"/>
      <w:pPr>
        <w:ind w:left="7500" w:hanging="360"/>
      </w:pPr>
      <w:rPr>
        <w:rFonts w:ascii="Wingdings" w:hAnsi="Wingdings" w:hint="default"/>
      </w:rPr>
    </w:lvl>
    <w:lvl w:ilvl="6" w:tplc="300A0001" w:tentative="1">
      <w:start w:val="1"/>
      <w:numFmt w:val="bullet"/>
      <w:lvlText w:val=""/>
      <w:lvlJc w:val="left"/>
      <w:pPr>
        <w:ind w:left="8220" w:hanging="360"/>
      </w:pPr>
      <w:rPr>
        <w:rFonts w:ascii="Symbol" w:hAnsi="Symbol" w:hint="default"/>
      </w:rPr>
    </w:lvl>
    <w:lvl w:ilvl="7" w:tplc="300A0003" w:tentative="1">
      <w:start w:val="1"/>
      <w:numFmt w:val="bullet"/>
      <w:lvlText w:val="o"/>
      <w:lvlJc w:val="left"/>
      <w:pPr>
        <w:ind w:left="8940" w:hanging="360"/>
      </w:pPr>
      <w:rPr>
        <w:rFonts w:ascii="Courier New" w:hAnsi="Courier New" w:cs="Courier New" w:hint="default"/>
      </w:rPr>
    </w:lvl>
    <w:lvl w:ilvl="8" w:tplc="300A0005" w:tentative="1">
      <w:start w:val="1"/>
      <w:numFmt w:val="bullet"/>
      <w:lvlText w:val=""/>
      <w:lvlJc w:val="left"/>
      <w:pPr>
        <w:ind w:left="9660" w:hanging="360"/>
      </w:pPr>
      <w:rPr>
        <w:rFonts w:ascii="Wingdings" w:hAnsi="Wingdings" w:hint="default"/>
      </w:rPr>
    </w:lvl>
  </w:abstractNum>
  <w:abstractNum w:abstractNumId="400" w15:restartNumberingAfterBreak="0">
    <w:nsid w:val="6EC0192B"/>
    <w:multiLevelType w:val="hybridMultilevel"/>
    <w:tmpl w:val="9530CA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1" w15:restartNumberingAfterBreak="0">
    <w:nsid w:val="6EC55BB9"/>
    <w:multiLevelType w:val="hybridMultilevel"/>
    <w:tmpl w:val="235E41D8"/>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402" w15:restartNumberingAfterBreak="0">
    <w:nsid w:val="6F4D24E5"/>
    <w:multiLevelType w:val="hybridMultilevel"/>
    <w:tmpl w:val="5C1C3786"/>
    <w:lvl w:ilvl="0" w:tplc="300A0001">
      <w:start w:val="1"/>
      <w:numFmt w:val="bullet"/>
      <w:lvlText w:val=""/>
      <w:lvlJc w:val="left"/>
      <w:pPr>
        <w:ind w:left="3337" w:hanging="360"/>
      </w:pPr>
      <w:rPr>
        <w:rFonts w:ascii="Symbol" w:hAnsi="Symbol" w:hint="default"/>
      </w:rPr>
    </w:lvl>
    <w:lvl w:ilvl="1" w:tplc="300A0003" w:tentative="1">
      <w:start w:val="1"/>
      <w:numFmt w:val="bullet"/>
      <w:lvlText w:val="o"/>
      <w:lvlJc w:val="left"/>
      <w:pPr>
        <w:ind w:left="4057" w:hanging="360"/>
      </w:pPr>
      <w:rPr>
        <w:rFonts w:ascii="Courier New" w:hAnsi="Courier New" w:cs="Courier New" w:hint="default"/>
      </w:rPr>
    </w:lvl>
    <w:lvl w:ilvl="2" w:tplc="300A0005" w:tentative="1">
      <w:start w:val="1"/>
      <w:numFmt w:val="bullet"/>
      <w:lvlText w:val=""/>
      <w:lvlJc w:val="left"/>
      <w:pPr>
        <w:ind w:left="4777" w:hanging="360"/>
      </w:pPr>
      <w:rPr>
        <w:rFonts w:ascii="Wingdings" w:hAnsi="Wingdings" w:hint="default"/>
      </w:rPr>
    </w:lvl>
    <w:lvl w:ilvl="3" w:tplc="300A0001" w:tentative="1">
      <w:start w:val="1"/>
      <w:numFmt w:val="bullet"/>
      <w:lvlText w:val=""/>
      <w:lvlJc w:val="left"/>
      <w:pPr>
        <w:ind w:left="5497" w:hanging="360"/>
      </w:pPr>
      <w:rPr>
        <w:rFonts w:ascii="Symbol" w:hAnsi="Symbol" w:hint="default"/>
      </w:rPr>
    </w:lvl>
    <w:lvl w:ilvl="4" w:tplc="300A0003" w:tentative="1">
      <w:start w:val="1"/>
      <w:numFmt w:val="bullet"/>
      <w:lvlText w:val="o"/>
      <w:lvlJc w:val="left"/>
      <w:pPr>
        <w:ind w:left="6217" w:hanging="360"/>
      </w:pPr>
      <w:rPr>
        <w:rFonts w:ascii="Courier New" w:hAnsi="Courier New" w:cs="Courier New" w:hint="default"/>
      </w:rPr>
    </w:lvl>
    <w:lvl w:ilvl="5" w:tplc="300A0005" w:tentative="1">
      <w:start w:val="1"/>
      <w:numFmt w:val="bullet"/>
      <w:lvlText w:val=""/>
      <w:lvlJc w:val="left"/>
      <w:pPr>
        <w:ind w:left="6937" w:hanging="360"/>
      </w:pPr>
      <w:rPr>
        <w:rFonts w:ascii="Wingdings" w:hAnsi="Wingdings" w:hint="default"/>
      </w:rPr>
    </w:lvl>
    <w:lvl w:ilvl="6" w:tplc="300A0001" w:tentative="1">
      <w:start w:val="1"/>
      <w:numFmt w:val="bullet"/>
      <w:lvlText w:val=""/>
      <w:lvlJc w:val="left"/>
      <w:pPr>
        <w:ind w:left="7657" w:hanging="360"/>
      </w:pPr>
      <w:rPr>
        <w:rFonts w:ascii="Symbol" w:hAnsi="Symbol" w:hint="default"/>
      </w:rPr>
    </w:lvl>
    <w:lvl w:ilvl="7" w:tplc="300A0003" w:tentative="1">
      <w:start w:val="1"/>
      <w:numFmt w:val="bullet"/>
      <w:lvlText w:val="o"/>
      <w:lvlJc w:val="left"/>
      <w:pPr>
        <w:ind w:left="8377" w:hanging="360"/>
      </w:pPr>
      <w:rPr>
        <w:rFonts w:ascii="Courier New" w:hAnsi="Courier New" w:cs="Courier New" w:hint="default"/>
      </w:rPr>
    </w:lvl>
    <w:lvl w:ilvl="8" w:tplc="300A0005" w:tentative="1">
      <w:start w:val="1"/>
      <w:numFmt w:val="bullet"/>
      <w:lvlText w:val=""/>
      <w:lvlJc w:val="left"/>
      <w:pPr>
        <w:ind w:left="9097" w:hanging="360"/>
      </w:pPr>
      <w:rPr>
        <w:rFonts w:ascii="Wingdings" w:hAnsi="Wingdings" w:hint="default"/>
      </w:rPr>
    </w:lvl>
  </w:abstractNum>
  <w:abstractNum w:abstractNumId="403" w15:restartNumberingAfterBreak="0">
    <w:nsid w:val="6F560A93"/>
    <w:multiLevelType w:val="hybridMultilevel"/>
    <w:tmpl w:val="5E2AF0F4"/>
    <w:lvl w:ilvl="0" w:tplc="300A0001">
      <w:start w:val="1"/>
      <w:numFmt w:val="bullet"/>
      <w:lvlText w:val=""/>
      <w:lvlJc w:val="left"/>
      <w:pPr>
        <w:ind w:left="2563"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4" w15:restartNumberingAfterBreak="0">
    <w:nsid w:val="6FB661FB"/>
    <w:multiLevelType w:val="hybridMultilevel"/>
    <w:tmpl w:val="39942A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5" w15:restartNumberingAfterBreak="0">
    <w:nsid w:val="70413996"/>
    <w:multiLevelType w:val="hybridMultilevel"/>
    <w:tmpl w:val="B7E2EC68"/>
    <w:lvl w:ilvl="0" w:tplc="FAECEF82">
      <w:start w:val="1"/>
      <w:numFmt w:val="lowerLetter"/>
      <w:lvlText w:val="%1."/>
      <w:lvlJc w:val="left"/>
      <w:pPr>
        <w:ind w:left="1800" w:hanging="360"/>
      </w:pPr>
    </w:lvl>
    <w:lvl w:ilvl="1" w:tplc="F76A5C86">
      <w:start w:val="1"/>
      <w:numFmt w:val="lowerLetter"/>
      <w:lvlText w:val="%2."/>
      <w:lvlJc w:val="left"/>
      <w:pPr>
        <w:ind w:left="2520" w:hanging="360"/>
      </w:pPr>
    </w:lvl>
    <w:lvl w:ilvl="2" w:tplc="E8582EF8">
      <w:start w:val="1"/>
      <w:numFmt w:val="lowerRoman"/>
      <w:lvlText w:val="%3."/>
      <w:lvlJc w:val="right"/>
      <w:pPr>
        <w:ind w:left="3240" w:hanging="180"/>
      </w:pPr>
    </w:lvl>
    <w:lvl w:ilvl="3" w:tplc="4FA6EFA8">
      <w:start w:val="1"/>
      <w:numFmt w:val="decimal"/>
      <w:lvlText w:val="%4."/>
      <w:lvlJc w:val="left"/>
      <w:pPr>
        <w:ind w:left="3960" w:hanging="360"/>
      </w:pPr>
    </w:lvl>
    <w:lvl w:ilvl="4" w:tplc="DD8CF99E">
      <w:start w:val="1"/>
      <w:numFmt w:val="bullet"/>
      <w:lvlText w:val="-"/>
      <w:lvlJc w:val="left"/>
      <w:pPr>
        <w:ind w:left="4680" w:hanging="360"/>
      </w:pPr>
      <w:rPr>
        <w:rFonts w:ascii="&quot;Times New Roman&quot;,serif" w:hAnsi="&quot;Times New Roman&quot;,serif" w:hint="default"/>
      </w:rPr>
    </w:lvl>
    <w:lvl w:ilvl="5" w:tplc="D65E8920">
      <w:start w:val="1"/>
      <w:numFmt w:val="lowerRoman"/>
      <w:lvlText w:val="%6."/>
      <w:lvlJc w:val="right"/>
      <w:pPr>
        <w:ind w:left="5400" w:hanging="180"/>
      </w:pPr>
    </w:lvl>
    <w:lvl w:ilvl="6" w:tplc="15CC764A">
      <w:start w:val="1"/>
      <w:numFmt w:val="decimal"/>
      <w:lvlText w:val="%7."/>
      <w:lvlJc w:val="left"/>
      <w:pPr>
        <w:ind w:left="6120" w:hanging="360"/>
      </w:pPr>
    </w:lvl>
    <w:lvl w:ilvl="7" w:tplc="52E0E00C">
      <w:start w:val="1"/>
      <w:numFmt w:val="lowerLetter"/>
      <w:lvlText w:val="%8."/>
      <w:lvlJc w:val="left"/>
      <w:pPr>
        <w:ind w:left="6840" w:hanging="360"/>
      </w:pPr>
    </w:lvl>
    <w:lvl w:ilvl="8" w:tplc="E20CA53A">
      <w:start w:val="1"/>
      <w:numFmt w:val="lowerRoman"/>
      <w:lvlText w:val="%9."/>
      <w:lvlJc w:val="right"/>
      <w:pPr>
        <w:ind w:left="7560" w:hanging="180"/>
      </w:pPr>
    </w:lvl>
  </w:abstractNum>
  <w:abstractNum w:abstractNumId="406" w15:restartNumberingAfterBreak="0">
    <w:nsid w:val="70D03C1B"/>
    <w:multiLevelType w:val="hybridMultilevel"/>
    <w:tmpl w:val="FD7C2214"/>
    <w:lvl w:ilvl="0" w:tplc="AF74985E">
      <w:start w:val="1"/>
      <w:numFmt w:val="lowerLetter"/>
      <w:lvlText w:val="%1."/>
      <w:lvlJc w:val="left"/>
      <w:pPr>
        <w:ind w:left="1495" w:hanging="360"/>
      </w:pPr>
      <w:rPr>
        <w:rFonts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407" w15:restartNumberingAfterBreak="0">
    <w:nsid w:val="714C3A41"/>
    <w:multiLevelType w:val="hybridMultilevel"/>
    <w:tmpl w:val="62F270AC"/>
    <w:lvl w:ilvl="0" w:tplc="2482F808">
      <w:start w:val="1"/>
      <w:numFmt w:val="bullet"/>
      <w:lvlText w:val=""/>
      <w:lvlJc w:val="left"/>
      <w:pPr>
        <w:ind w:left="1068" w:hanging="360"/>
      </w:pPr>
      <w:rPr>
        <w:rFonts w:ascii="Symbol" w:hAnsi="Symbol" w:hint="default"/>
      </w:rPr>
    </w:lvl>
    <w:lvl w:ilvl="1" w:tplc="DFDECBF0">
      <w:start w:val="1"/>
      <w:numFmt w:val="bullet"/>
      <w:lvlText w:val="o"/>
      <w:lvlJc w:val="left"/>
      <w:pPr>
        <w:ind w:left="1788" w:hanging="360"/>
      </w:pPr>
      <w:rPr>
        <w:rFonts w:ascii="Courier New" w:hAnsi="Courier New" w:hint="default"/>
      </w:rPr>
    </w:lvl>
    <w:lvl w:ilvl="2" w:tplc="E9948E8A">
      <w:numFmt w:val="bullet"/>
      <w:lvlText w:val="·"/>
      <w:lvlJc w:val="left"/>
      <w:pPr>
        <w:ind w:left="2508" w:hanging="360"/>
      </w:pPr>
      <w:rPr>
        <w:rFonts w:ascii="Times New Roman" w:eastAsia="Times New Roman" w:hAnsi="Times New Roman" w:cs="Times New Roman" w:hint="default"/>
      </w:rPr>
    </w:lvl>
    <w:lvl w:ilvl="3" w:tplc="4CC0DD40" w:tentative="1">
      <w:start w:val="1"/>
      <w:numFmt w:val="bullet"/>
      <w:lvlText w:val=""/>
      <w:lvlJc w:val="left"/>
      <w:pPr>
        <w:ind w:left="3228" w:hanging="360"/>
      </w:pPr>
      <w:rPr>
        <w:rFonts w:ascii="Symbol" w:hAnsi="Symbol" w:hint="default"/>
      </w:rPr>
    </w:lvl>
    <w:lvl w:ilvl="4" w:tplc="6DFE05BA" w:tentative="1">
      <w:start w:val="1"/>
      <w:numFmt w:val="bullet"/>
      <w:lvlText w:val="o"/>
      <w:lvlJc w:val="left"/>
      <w:pPr>
        <w:ind w:left="3948" w:hanging="360"/>
      </w:pPr>
      <w:rPr>
        <w:rFonts w:ascii="Courier New" w:hAnsi="Courier New" w:hint="default"/>
      </w:rPr>
    </w:lvl>
    <w:lvl w:ilvl="5" w:tplc="0FB60498" w:tentative="1">
      <w:start w:val="1"/>
      <w:numFmt w:val="bullet"/>
      <w:lvlText w:val=""/>
      <w:lvlJc w:val="left"/>
      <w:pPr>
        <w:ind w:left="4668" w:hanging="360"/>
      </w:pPr>
      <w:rPr>
        <w:rFonts w:ascii="Wingdings" w:hAnsi="Wingdings" w:hint="default"/>
      </w:rPr>
    </w:lvl>
    <w:lvl w:ilvl="6" w:tplc="9F9E2052" w:tentative="1">
      <w:start w:val="1"/>
      <w:numFmt w:val="bullet"/>
      <w:lvlText w:val=""/>
      <w:lvlJc w:val="left"/>
      <w:pPr>
        <w:ind w:left="5388" w:hanging="360"/>
      </w:pPr>
      <w:rPr>
        <w:rFonts w:ascii="Symbol" w:hAnsi="Symbol" w:hint="default"/>
      </w:rPr>
    </w:lvl>
    <w:lvl w:ilvl="7" w:tplc="5A90AD96" w:tentative="1">
      <w:start w:val="1"/>
      <w:numFmt w:val="bullet"/>
      <w:lvlText w:val="o"/>
      <w:lvlJc w:val="left"/>
      <w:pPr>
        <w:ind w:left="6108" w:hanging="360"/>
      </w:pPr>
      <w:rPr>
        <w:rFonts w:ascii="Courier New" w:hAnsi="Courier New" w:hint="default"/>
      </w:rPr>
    </w:lvl>
    <w:lvl w:ilvl="8" w:tplc="EBEC6E72" w:tentative="1">
      <w:start w:val="1"/>
      <w:numFmt w:val="bullet"/>
      <w:lvlText w:val=""/>
      <w:lvlJc w:val="left"/>
      <w:pPr>
        <w:ind w:left="6828" w:hanging="360"/>
      </w:pPr>
      <w:rPr>
        <w:rFonts w:ascii="Wingdings" w:hAnsi="Wingdings" w:hint="default"/>
      </w:rPr>
    </w:lvl>
  </w:abstractNum>
  <w:abstractNum w:abstractNumId="408" w15:restartNumberingAfterBreak="0">
    <w:nsid w:val="71D36BA1"/>
    <w:multiLevelType w:val="hybridMultilevel"/>
    <w:tmpl w:val="72DCEBA2"/>
    <w:lvl w:ilvl="0" w:tplc="FFFFFFFF">
      <w:start w:val="1"/>
      <w:numFmt w:val="lowerLetter"/>
      <w:lvlText w:val="%1."/>
      <w:lvlJc w:val="left"/>
      <w:pPr>
        <w:ind w:left="2203" w:hanging="360"/>
      </w:pPr>
      <w:rPr>
        <w:rFont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409" w15:restartNumberingAfterBreak="0">
    <w:nsid w:val="71EA5C10"/>
    <w:multiLevelType w:val="hybridMultilevel"/>
    <w:tmpl w:val="59F22BD8"/>
    <w:lvl w:ilvl="0" w:tplc="300A0001">
      <w:start w:val="1"/>
      <w:numFmt w:val="bullet"/>
      <w:lvlText w:val=""/>
      <w:lvlJc w:val="left"/>
      <w:pPr>
        <w:ind w:left="2847" w:hanging="360"/>
      </w:pPr>
      <w:rPr>
        <w:rFonts w:ascii="Symbol" w:hAnsi="Symbol" w:hint="default"/>
      </w:rPr>
    </w:lvl>
    <w:lvl w:ilvl="1" w:tplc="300A0003" w:tentative="1">
      <w:start w:val="1"/>
      <w:numFmt w:val="bullet"/>
      <w:lvlText w:val="o"/>
      <w:lvlJc w:val="left"/>
      <w:pPr>
        <w:ind w:left="3567" w:hanging="360"/>
      </w:pPr>
      <w:rPr>
        <w:rFonts w:ascii="Courier New" w:hAnsi="Courier New" w:cs="Courier New" w:hint="default"/>
      </w:rPr>
    </w:lvl>
    <w:lvl w:ilvl="2" w:tplc="300A0005" w:tentative="1">
      <w:start w:val="1"/>
      <w:numFmt w:val="bullet"/>
      <w:lvlText w:val=""/>
      <w:lvlJc w:val="left"/>
      <w:pPr>
        <w:ind w:left="4287" w:hanging="360"/>
      </w:pPr>
      <w:rPr>
        <w:rFonts w:ascii="Wingdings" w:hAnsi="Wingdings" w:hint="default"/>
      </w:rPr>
    </w:lvl>
    <w:lvl w:ilvl="3" w:tplc="300A0001" w:tentative="1">
      <w:start w:val="1"/>
      <w:numFmt w:val="bullet"/>
      <w:lvlText w:val=""/>
      <w:lvlJc w:val="left"/>
      <w:pPr>
        <w:ind w:left="5007" w:hanging="360"/>
      </w:pPr>
      <w:rPr>
        <w:rFonts w:ascii="Symbol" w:hAnsi="Symbol" w:hint="default"/>
      </w:rPr>
    </w:lvl>
    <w:lvl w:ilvl="4" w:tplc="300A0003" w:tentative="1">
      <w:start w:val="1"/>
      <w:numFmt w:val="bullet"/>
      <w:lvlText w:val="o"/>
      <w:lvlJc w:val="left"/>
      <w:pPr>
        <w:ind w:left="5727" w:hanging="360"/>
      </w:pPr>
      <w:rPr>
        <w:rFonts w:ascii="Courier New" w:hAnsi="Courier New" w:cs="Courier New" w:hint="default"/>
      </w:rPr>
    </w:lvl>
    <w:lvl w:ilvl="5" w:tplc="300A0005" w:tentative="1">
      <w:start w:val="1"/>
      <w:numFmt w:val="bullet"/>
      <w:lvlText w:val=""/>
      <w:lvlJc w:val="left"/>
      <w:pPr>
        <w:ind w:left="6447" w:hanging="360"/>
      </w:pPr>
      <w:rPr>
        <w:rFonts w:ascii="Wingdings" w:hAnsi="Wingdings" w:hint="default"/>
      </w:rPr>
    </w:lvl>
    <w:lvl w:ilvl="6" w:tplc="300A0001" w:tentative="1">
      <w:start w:val="1"/>
      <w:numFmt w:val="bullet"/>
      <w:lvlText w:val=""/>
      <w:lvlJc w:val="left"/>
      <w:pPr>
        <w:ind w:left="7167" w:hanging="360"/>
      </w:pPr>
      <w:rPr>
        <w:rFonts w:ascii="Symbol" w:hAnsi="Symbol" w:hint="default"/>
      </w:rPr>
    </w:lvl>
    <w:lvl w:ilvl="7" w:tplc="300A0003" w:tentative="1">
      <w:start w:val="1"/>
      <w:numFmt w:val="bullet"/>
      <w:lvlText w:val="o"/>
      <w:lvlJc w:val="left"/>
      <w:pPr>
        <w:ind w:left="7887" w:hanging="360"/>
      </w:pPr>
      <w:rPr>
        <w:rFonts w:ascii="Courier New" w:hAnsi="Courier New" w:cs="Courier New" w:hint="default"/>
      </w:rPr>
    </w:lvl>
    <w:lvl w:ilvl="8" w:tplc="300A0005" w:tentative="1">
      <w:start w:val="1"/>
      <w:numFmt w:val="bullet"/>
      <w:lvlText w:val=""/>
      <w:lvlJc w:val="left"/>
      <w:pPr>
        <w:ind w:left="8607" w:hanging="360"/>
      </w:pPr>
      <w:rPr>
        <w:rFonts w:ascii="Wingdings" w:hAnsi="Wingdings" w:hint="default"/>
      </w:rPr>
    </w:lvl>
  </w:abstractNum>
  <w:abstractNum w:abstractNumId="410" w15:restartNumberingAfterBreak="0">
    <w:nsid w:val="721B3BFA"/>
    <w:multiLevelType w:val="hybridMultilevel"/>
    <w:tmpl w:val="6750BE2A"/>
    <w:lvl w:ilvl="0" w:tplc="300A0001">
      <w:start w:val="1"/>
      <w:numFmt w:val="bullet"/>
      <w:lvlText w:val=""/>
      <w:lvlJc w:val="left"/>
      <w:pPr>
        <w:ind w:left="1495" w:hanging="360"/>
      </w:pPr>
      <w:rPr>
        <w:rFonts w:ascii="Symbol" w:hAnsi="Symbol" w:hint="default"/>
      </w:rPr>
    </w:lvl>
    <w:lvl w:ilvl="1" w:tplc="B5BA568A">
      <w:start w:val="1"/>
      <w:numFmt w:val="lowerLetter"/>
      <w:lvlText w:val="%2."/>
      <w:lvlJc w:val="left"/>
      <w:pPr>
        <w:ind w:left="1440" w:hanging="360"/>
      </w:pPr>
    </w:lvl>
    <w:lvl w:ilvl="2" w:tplc="3FDE93E6">
      <w:start w:val="1"/>
      <w:numFmt w:val="lowerRoman"/>
      <w:lvlText w:val="%3."/>
      <w:lvlJc w:val="right"/>
      <w:pPr>
        <w:ind w:left="2160" w:hanging="180"/>
      </w:pPr>
    </w:lvl>
    <w:lvl w:ilvl="3" w:tplc="5D1C7CCA">
      <w:start w:val="1"/>
      <w:numFmt w:val="decimal"/>
      <w:lvlText w:val="%4."/>
      <w:lvlJc w:val="left"/>
      <w:pPr>
        <w:ind w:left="1777" w:hanging="360"/>
      </w:pPr>
    </w:lvl>
    <w:lvl w:ilvl="4" w:tplc="D6C49EC2">
      <w:start w:val="1"/>
      <w:numFmt w:val="lowerLetter"/>
      <w:lvlText w:val="%5."/>
      <w:lvlJc w:val="left"/>
      <w:pPr>
        <w:ind w:left="3600" w:hanging="360"/>
      </w:pPr>
    </w:lvl>
    <w:lvl w:ilvl="5" w:tplc="0FA0AE1C">
      <w:start w:val="1"/>
      <w:numFmt w:val="lowerRoman"/>
      <w:lvlText w:val="%6."/>
      <w:lvlJc w:val="right"/>
      <w:pPr>
        <w:ind w:left="4320" w:hanging="180"/>
      </w:pPr>
    </w:lvl>
    <w:lvl w:ilvl="6" w:tplc="15803EB2">
      <w:start w:val="1"/>
      <w:numFmt w:val="decimal"/>
      <w:lvlText w:val="%7."/>
      <w:lvlJc w:val="left"/>
      <w:pPr>
        <w:ind w:left="5040" w:hanging="360"/>
      </w:pPr>
    </w:lvl>
    <w:lvl w:ilvl="7" w:tplc="C20E0EA6">
      <w:start w:val="1"/>
      <w:numFmt w:val="lowerLetter"/>
      <w:lvlText w:val="%8."/>
      <w:lvlJc w:val="left"/>
      <w:pPr>
        <w:ind w:left="5760" w:hanging="360"/>
      </w:pPr>
    </w:lvl>
    <w:lvl w:ilvl="8" w:tplc="5E40567A">
      <w:start w:val="1"/>
      <w:numFmt w:val="lowerRoman"/>
      <w:lvlText w:val="%9."/>
      <w:lvlJc w:val="right"/>
      <w:pPr>
        <w:ind w:left="6480" w:hanging="180"/>
      </w:pPr>
    </w:lvl>
  </w:abstractNum>
  <w:abstractNum w:abstractNumId="411" w15:restartNumberingAfterBreak="0">
    <w:nsid w:val="721F51E0"/>
    <w:multiLevelType w:val="hybridMultilevel"/>
    <w:tmpl w:val="6780322E"/>
    <w:lvl w:ilvl="0" w:tplc="300A0001">
      <w:start w:val="1"/>
      <w:numFmt w:val="bullet"/>
      <w:lvlText w:val=""/>
      <w:lvlJc w:val="left"/>
      <w:pPr>
        <w:ind w:left="3762" w:hanging="360"/>
      </w:pPr>
      <w:rPr>
        <w:rFonts w:ascii="Symbol" w:hAnsi="Symbol" w:hint="default"/>
      </w:rPr>
    </w:lvl>
    <w:lvl w:ilvl="1" w:tplc="300A0003">
      <w:start w:val="1"/>
      <w:numFmt w:val="bullet"/>
      <w:lvlText w:val="o"/>
      <w:lvlJc w:val="left"/>
      <w:pPr>
        <w:ind w:left="4199" w:hanging="360"/>
      </w:pPr>
      <w:rPr>
        <w:rFonts w:ascii="Courier New" w:hAnsi="Courier New" w:cs="Courier New" w:hint="default"/>
      </w:rPr>
    </w:lvl>
    <w:lvl w:ilvl="2" w:tplc="300A0005" w:tentative="1">
      <w:start w:val="1"/>
      <w:numFmt w:val="bullet"/>
      <w:lvlText w:val=""/>
      <w:lvlJc w:val="left"/>
      <w:pPr>
        <w:ind w:left="4919" w:hanging="360"/>
      </w:pPr>
      <w:rPr>
        <w:rFonts w:ascii="Wingdings" w:hAnsi="Wingdings" w:hint="default"/>
      </w:rPr>
    </w:lvl>
    <w:lvl w:ilvl="3" w:tplc="300A0001" w:tentative="1">
      <w:start w:val="1"/>
      <w:numFmt w:val="bullet"/>
      <w:lvlText w:val=""/>
      <w:lvlJc w:val="left"/>
      <w:pPr>
        <w:ind w:left="5639" w:hanging="360"/>
      </w:pPr>
      <w:rPr>
        <w:rFonts w:ascii="Symbol" w:hAnsi="Symbol" w:hint="default"/>
      </w:rPr>
    </w:lvl>
    <w:lvl w:ilvl="4" w:tplc="300A0003" w:tentative="1">
      <w:start w:val="1"/>
      <w:numFmt w:val="bullet"/>
      <w:lvlText w:val="o"/>
      <w:lvlJc w:val="left"/>
      <w:pPr>
        <w:ind w:left="6359" w:hanging="360"/>
      </w:pPr>
      <w:rPr>
        <w:rFonts w:ascii="Courier New" w:hAnsi="Courier New" w:cs="Courier New" w:hint="default"/>
      </w:rPr>
    </w:lvl>
    <w:lvl w:ilvl="5" w:tplc="300A0005" w:tentative="1">
      <w:start w:val="1"/>
      <w:numFmt w:val="bullet"/>
      <w:lvlText w:val=""/>
      <w:lvlJc w:val="left"/>
      <w:pPr>
        <w:ind w:left="7079" w:hanging="360"/>
      </w:pPr>
      <w:rPr>
        <w:rFonts w:ascii="Wingdings" w:hAnsi="Wingdings" w:hint="default"/>
      </w:rPr>
    </w:lvl>
    <w:lvl w:ilvl="6" w:tplc="300A0001" w:tentative="1">
      <w:start w:val="1"/>
      <w:numFmt w:val="bullet"/>
      <w:lvlText w:val=""/>
      <w:lvlJc w:val="left"/>
      <w:pPr>
        <w:ind w:left="7799" w:hanging="360"/>
      </w:pPr>
      <w:rPr>
        <w:rFonts w:ascii="Symbol" w:hAnsi="Symbol" w:hint="default"/>
      </w:rPr>
    </w:lvl>
    <w:lvl w:ilvl="7" w:tplc="300A0003" w:tentative="1">
      <w:start w:val="1"/>
      <w:numFmt w:val="bullet"/>
      <w:lvlText w:val="o"/>
      <w:lvlJc w:val="left"/>
      <w:pPr>
        <w:ind w:left="8519" w:hanging="360"/>
      </w:pPr>
      <w:rPr>
        <w:rFonts w:ascii="Courier New" w:hAnsi="Courier New" w:cs="Courier New" w:hint="default"/>
      </w:rPr>
    </w:lvl>
    <w:lvl w:ilvl="8" w:tplc="300A0005" w:tentative="1">
      <w:start w:val="1"/>
      <w:numFmt w:val="bullet"/>
      <w:lvlText w:val=""/>
      <w:lvlJc w:val="left"/>
      <w:pPr>
        <w:ind w:left="9239" w:hanging="360"/>
      </w:pPr>
      <w:rPr>
        <w:rFonts w:ascii="Wingdings" w:hAnsi="Wingdings" w:hint="default"/>
      </w:rPr>
    </w:lvl>
  </w:abstractNum>
  <w:abstractNum w:abstractNumId="412" w15:restartNumberingAfterBreak="0">
    <w:nsid w:val="72602CE7"/>
    <w:multiLevelType w:val="hybridMultilevel"/>
    <w:tmpl w:val="A57ADAB2"/>
    <w:lvl w:ilvl="0" w:tplc="300A0001">
      <w:start w:val="1"/>
      <w:numFmt w:val="bullet"/>
      <w:lvlText w:val=""/>
      <w:lvlJc w:val="left"/>
      <w:pPr>
        <w:ind w:left="3053" w:hanging="360"/>
      </w:pPr>
      <w:rPr>
        <w:rFonts w:ascii="Symbol" w:hAnsi="Symbol" w:hint="default"/>
      </w:rPr>
    </w:lvl>
    <w:lvl w:ilvl="1" w:tplc="300A0003" w:tentative="1">
      <w:start w:val="1"/>
      <w:numFmt w:val="bullet"/>
      <w:lvlText w:val="o"/>
      <w:lvlJc w:val="left"/>
      <w:pPr>
        <w:ind w:left="3773" w:hanging="360"/>
      </w:pPr>
      <w:rPr>
        <w:rFonts w:ascii="Courier New" w:hAnsi="Courier New" w:cs="Courier New" w:hint="default"/>
      </w:rPr>
    </w:lvl>
    <w:lvl w:ilvl="2" w:tplc="300A0005" w:tentative="1">
      <w:start w:val="1"/>
      <w:numFmt w:val="bullet"/>
      <w:lvlText w:val=""/>
      <w:lvlJc w:val="left"/>
      <w:pPr>
        <w:ind w:left="4493" w:hanging="360"/>
      </w:pPr>
      <w:rPr>
        <w:rFonts w:ascii="Wingdings" w:hAnsi="Wingdings" w:hint="default"/>
      </w:rPr>
    </w:lvl>
    <w:lvl w:ilvl="3" w:tplc="300A0001" w:tentative="1">
      <w:start w:val="1"/>
      <w:numFmt w:val="bullet"/>
      <w:lvlText w:val=""/>
      <w:lvlJc w:val="left"/>
      <w:pPr>
        <w:ind w:left="5213" w:hanging="360"/>
      </w:pPr>
      <w:rPr>
        <w:rFonts w:ascii="Symbol" w:hAnsi="Symbol" w:hint="default"/>
      </w:rPr>
    </w:lvl>
    <w:lvl w:ilvl="4" w:tplc="300A0003" w:tentative="1">
      <w:start w:val="1"/>
      <w:numFmt w:val="bullet"/>
      <w:lvlText w:val="o"/>
      <w:lvlJc w:val="left"/>
      <w:pPr>
        <w:ind w:left="5933" w:hanging="360"/>
      </w:pPr>
      <w:rPr>
        <w:rFonts w:ascii="Courier New" w:hAnsi="Courier New" w:cs="Courier New" w:hint="default"/>
      </w:rPr>
    </w:lvl>
    <w:lvl w:ilvl="5" w:tplc="300A0005" w:tentative="1">
      <w:start w:val="1"/>
      <w:numFmt w:val="bullet"/>
      <w:lvlText w:val=""/>
      <w:lvlJc w:val="left"/>
      <w:pPr>
        <w:ind w:left="6653" w:hanging="360"/>
      </w:pPr>
      <w:rPr>
        <w:rFonts w:ascii="Wingdings" w:hAnsi="Wingdings" w:hint="default"/>
      </w:rPr>
    </w:lvl>
    <w:lvl w:ilvl="6" w:tplc="300A0001" w:tentative="1">
      <w:start w:val="1"/>
      <w:numFmt w:val="bullet"/>
      <w:lvlText w:val=""/>
      <w:lvlJc w:val="left"/>
      <w:pPr>
        <w:ind w:left="7373" w:hanging="360"/>
      </w:pPr>
      <w:rPr>
        <w:rFonts w:ascii="Symbol" w:hAnsi="Symbol" w:hint="default"/>
      </w:rPr>
    </w:lvl>
    <w:lvl w:ilvl="7" w:tplc="300A0003" w:tentative="1">
      <w:start w:val="1"/>
      <w:numFmt w:val="bullet"/>
      <w:lvlText w:val="o"/>
      <w:lvlJc w:val="left"/>
      <w:pPr>
        <w:ind w:left="8093" w:hanging="360"/>
      </w:pPr>
      <w:rPr>
        <w:rFonts w:ascii="Courier New" w:hAnsi="Courier New" w:cs="Courier New" w:hint="default"/>
      </w:rPr>
    </w:lvl>
    <w:lvl w:ilvl="8" w:tplc="300A0005" w:tentative="1">
      <w:start w:val="1"/>
      <w:numFmt w:val="bullet"/>
      <w:lvlText w:val=""/>
      <w:lvlJc w:val="left"/>
      <w:pPr>
        <w:ind w:left="8813" w:hanging="360"/>
      </w:pPr>
      <w:rPr>
        <w:rFonts w:ascii="Wingdings" w:hAnsi="Wingdings" w:hint="default"/>
      </w:rPr>
    </w:lvl>
  </w:abstractNum>
  <w:abstractNum w:abstractNumId="413" w15:restartNumberingAfterBreak="0">
    <w:nsid w:val="72B300E1"/>
    <w:multiLevelType w:val="hybridMultilevel"/>
    <w:tmpl w:val="EC7C0D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4"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5" w15:restartNumberingAfterBreak="0">
    <w:nsid w:val="75D668F7"/>
    <w:multiLevelType w:val="hybridMultilevel"/>
    <w:tmpl w:val="3D22D584"/>
    <w:lvl w:ilvl="0" w:tplc="D68C671C">
      <w:start w:val="1"/>
      <w:numFmt w:val="decimal"/>
      <w:lvlText w:val="%1)"/>
      <w:lvlJc w:val="left"/>
      <w:pPr>
        <w:ind w:left="720" w:hanging="360"/>
      </w:pPr>
    </w:lvl>
    <w:lvl w:ilvl="1" w:tplc="FE5A8D60">
      <w:start w:val="1"/>
      <w:numFmt w:val="decimal"/>
      <w:lvlText w:val="%2)"/>
      <w:lvlJc w:val="left"/>
      <w:pPr>
        <w:ind w:left="720" w:hanging="360"/>
      </w:pPr>
    </w:lvl>
    <w:lvl w:ilvl="2" w:tplc="027CB86A">
      <w:start w:val="1"/>
      <w:numFmt w:val="decimal"/>
      <w:lvlText w:val="%3)"/>
      <w:lvlJc w:val="left"/>
      <w:pPr>
        <w:ind w:left="720" w:hanging="360"/>
      </w:pPr>
    </w:lvl>
    <w:lvl w:ilvl="3" w:tplc="2A80EFCE">
      <w:start w:val="1"/>
      <w:numFmt w:val="decimal"/>
      <w:lvlText w:val="%4)"/>
      <w:lvlJc w:val="left"/>
      <w:pPr>
        <w:ind w:left="720" w:hanging="360"/>
      </w:pPr>
    </w:lvl>
    <w:lvl w:ilvl="4" w:tplc="3F0E4B46">
      <w:start w:val="1"/>
      <w:numFmt w:val="decimal"/>
      <w:lvlText w:val="%5)"/>
      <w:lvlJc w:val="left"/>
      <w:pPr>
        <w:ind w:left="720" w:hanging="360"/>
      </w:pPr>
    </w:lvl>
    <w:lvl w:ilvl="5" w:tplc="0D5CF8D4">
      <w:start w:val="1"/>
      <w:numFmt w:val="decimal"/>
      <w:lvlText w:val="%6)"/>
      <w:lvlJc w:val="left"/>
      <w:pPr>
        <w:ind w:left="720" w:hanging="360"/>
      </w:pPr>
    </w:lvl>
    <w:lvl w:ilvl="6" w:tplc="9752923A">
      <w:start w:val="1"/>
      <w:numFmt w:val="decimal"/>
      <w:lvlText w:val="%7)"/>
      <w:lvlJc w:val="left"/>
      <w:pPr>
        <w:ind w:left="720" w:hanging="360"/>
      </w:pPr>
    </w:lvl>
    <w:lvl w:ilvl="7" w:tplc="606EAF9C">
      <w:start w:val="1"/>
      <w:numFmt w:val="decimal"/>
      <w:lvlText w:val="%8)"/>
      <w:lvlJc w:val="left"/>
      <w:pPr>
        <w:ind w:left="720" w:hanging="360"/>
      </w:pPr>
    </w:lvl>
    <w:lvl w:ilvl="8" w:tplc="83D29B88">
      <w:start w:val="1"/>
      <w:numFmt w:val="decimal"/>
      <w:lvlText w:val="%9)"/>
      <w:lvlJc w:val="left"/>
      <w:pPr>
        <w:ind w:left="720" w:hanging="360"/>
      </w:pPr>
    </w:lvl>
  </w:abstractNum>
  <w:abstractNum w:abstractNumId="416" w15:restartNumberingAfterBreak="0">
    <w:nsid w:val="75D83979"/>
    <w:multiLevelType w:val="singleLevel"/>
    <w:tmpl w:val="2ADECCE6"/>
    <w:lvl w:ilvl="0">
      <w:start w:val="1"/>
      <w:numFmt w:val="bullet"/>
      <w:pStyle w:val="Bullets"/>
      <w:lvlText w:val=""/>
      <w:lvlJc w:val="left"/>
      <w:pPr>
        <w:tabs>
          <w:tab w:val="num" w:pos="360"/>
        </w:tabs>
        <w:ind w:left="360" w:hanging="360"/>
      </w:pPr>
      <w:rPr>
        <w:rFonts w:ascii="Symbol" w:hAnsi="Symbol" w:hint="default"/>
      </w:rPr>
    </w:lvl>
  </w:abstractNum>
  <w:abstractNum w:abstractNumId="417" w15:restartNumberingAfterBreak="0">
    <w:nsid w:val="76020920"/>
    <w:multiLevelType w:val="hybridMultilevel"/>
    <w:tmpl w:val="66EE450E"/>
    <w:lvl w:ilvl="0" w:tplc="04090019">
      <w:start w:val="1"/>
      <w:numFmt w:val="lowerLetter"/>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418" w15:restartNumberingAfterBreak="0">
    <w:nsid w:val="760D303B"/>
    <w:multiLevelType w:val="hybridMultilevel"/>
    <w:tmpl w:val="E65E2A54"/>
    <w:lvl w:ilvl="0" w:tplc="300A0001">
      <w:start w:val="1"/>
      <w:numFmt w:val="bullet"/>
      <w:lvlText w:val=""/>
      <w:lvlJc w:val="left"/>
      <w:pPr>
        <w:ind w:left="3195" w:hanging="360"/>
      </w:pPr>
      <w:rPr>
        <w:rFonts w:ascii="Symbol" w:hAnsi="Symbol" w:hint="default"/>
      </w:rPr>
    </w:lvl>
    <w:lvl w:ilvl="1" w:tplc="300A0003">
      <w:start w:val="1"/>
      <w:numFmt w:val="bullet"/>
      <w:lvlText w:val="o"/>
      <w:lvlJc w:val="left"/>
      <w:pPr>
        <w:ind w:left="3915" w:hanging="360"/>
      </w:pPr>
      <w:rPr>
        <w:rFonts w:ascii="Courier New" w:hAnsi="Courier New" w:cs="Courier New" w:hint="default"/>
      </w:rPr>
    </w:lvl>
    <w:lvl w:ilvl="2" w:tplc="300A0005" w:tentative="1">
      <w:start w:val="1"/>
      <w:numFmt w:val="bullet"/>
      <w:lvlText w:val=""/>
      <w:lvlJc w:val="left"/>
      <w:pPr>
        <w:ind w:left="4635" w:hanging="360"/>
      </w:pPr>
      <w:rPr>
        <w:rFonts w:ascii="Wingdings" w:hAnsi="Wingdings" w:hint="default"/>
      </w:rPr>
    </w:lvl>
    <w:lvl w:ilvl="3" w:tplc="300A0001" w:tentative="1">
      <w:start w:val="1"/>
      <w:numFmt w:val="bullet"/>
      <w:lvlText w:val=""/>
      <w:lvlJc w:val="left"/>
      <w:pPr>
        <w:ind w:left="5355" w:hanging="360"/>
      </w:pPr>
      <w:rPr>
        <w:rFonts w:ascii="Symbol" w:hAnsi="Symbol" w:hint="default"/>
      </w:rPr>
    </w:lvl>
    <w:lvl w:ilvl="4" w:tplc="300A0003" w:tentative="1">
      <w:start w:val="1"/>
      <w:numFmt w:val="bullet"/>
      <w:lvlText w:val="o"/>
      <w:lvlJc w:val="left"/>
      <w:pPr>
        <w:ind w:left="6075" w:hanging="360"/>
      </w:pPr>
      <w:rPr>
        <w:rFonts w:ascii="Courier New" w:hAnsi="Courier New" w:cs="Courier New" w:hint="default"/>
      </w:rPr>
    </w:lvl>
    <w:lvl w:ilvl="5" w:tplc="300A0005" w:tentative="1">
      <w:start w:val="1"/>
      <w:numFmt w:val="bullet"/>
      <w:lvlText w:val=""/>
      <w:lvlJc w:val="left"/>
      <w:pPr>
        <w:ind w:left="6795" w:hanging="360"/>
      </w:pPr>
      <w:rPr>
        <w:rFonts w:ascii="Wingdings" w:hAnsi="Wingdings" w:hint="default"/>
      </w:rPr>
    </w:lvl>
    <w:lvl w:ilvl="6" w:tplc="300A0001" w:tentative="1">
      <w:start w:val="1"/>
      <w:numFmt w:val="bullet"/>
      <w:lvlText w:val=""/>
      <w:lvlJc w:val="left"/>
      <w:pPr>
        <w:ind w:left="7515" w:hanging="360"/>
      </w:pPr>
      <w:rPr>
        <w:rFonts w:ascii="Symbol" w:hAnsi="Symbol" w:hint="default"/>
      </w:rPr>
    </w:lvl>
    <w:lvl w:ilvl="7" w:tplc="300A0003" w:tentative="1">
      <w:start w:val="1"/>
      <w:numFmt w:val="bullet"/>
      <w:lvlText w:val="o"/>
      <w:lvlJc w:val="left"/>
      <w:pPr>
        <w:ind w:left="8235" w:hanging="360"/>
      </w:pPr>
      <w:rPr>
        <w:rFonts w:ascii="Courier New" w:hAnsi="Courier New" w:cs="Courier New" w:hint="default"/>
      </w:rPr>
    </w:lvl>
    <w:lvl w:ilvl="8" w:tplc="300A0005" w:tentative="1">
      <w:start w:val="1"/>
      <w:numFmt w:val="bullet"/>
      <w:lvlText w:val=""/>
      <w:lvlJc w:val="left"/>
      <w:pPr>
        <w:ind w:left="8955" w:hanging="360"/>
      </w:pPr>
      <w:rPr>
        <w:rFonts w:ascii="Wingdings" w:hAnsi="Wingdings" w:hint="default"/>
      </w:rPr>
    </w:lvl>
  </w:abstractNum>
  <w:abstractNum w:abstractNumId="419" w15:restartNumberingAfterBreak="0">
    <w:nsid w:val="767B0C34"/>
    <w:multiLevelType w:val="multilevel"/>
    <w:tmpl w:val="97A88346"/>
    <w:lvl w:ilvl="0">
      <w:start w:val="1"/>
      <w:numFmt w:val="bullet"/>
      <w:lvlText w:val=""/>
      <w:lvlJc w:val="left"/>
      <w:pPr>
        <w:tabs>
          <w:tab w:val="num" w:pos="3552"/>
        </w:tabs>
        <w:ind w:left="3552" w:hanging="360"/>
      </w:pPr>
      <w:rPr>
        <w:rFonts w:ascii="Symbol" w:hAnsi="Symbol" w:hint="default"/>
      </w:rPr>
    </w:lvl>
    <w:lvl w:ilvl="1" w:tentative="1">
      <w:start w:val="1"/>
      <w:numFmt w:val="decimal"/>
      <w:lvlText w:val="%2."/>
      <w:lvlJc w:val="left"/>
      <w:pPr>
        <w:tabs>
          <w:tab w:val="num" w:pos="4272"/>
        </w:tabs>
        <w:ind w:left="4272" w:hanging="360"/>
      </w:pPr>
    </w:lvl>
    <w:lvl w:ilvl="2" w:tentative="1">
      <w:start w:val="1"/>
      <w:numFmt w:val="decimal"/>
      <w:lvlText w:val="%3."/>
      <w:lvlJc w:val="left"/>
      <w:pPr>
        <w:tabs>
          <w:tab w:val="num" w:pos="4992"/>
        </w:tabs>
        <w:ind w:left="4992" w:hanging="360"/>
      </w:pPr>
    </w:lvl>
    <w:lvl w:ilvl="3" w:tentative="1">
      <w:start w:val="1"/>
      <w:numFmt w:val="decimal"/>
      <w:lvlText w:val="%4."/>
      <w:lvlJc w:val="left"/>
      <w:pPr>
        <w:tabs>
          <w:tab w:val="num" w:pos="5712"/>
        </w:tabs>
        <w:ind w:left="5712" w:hanging="360"/>
      </w:pPr>
    </w:lvl>
    <w:lvl w:ilvl="4" w:tentative="1">
      <w:start w:val="1"/>
      <w:numFmt w:val="decimal"/>
      <w:lvlText w:val="%5."/>
      <w:lvlJc w:val="left"/>
      <w:pPr>
        <w:tabs>
          <w:tab w:val="num" w:pos="6432"/>
        </w:tabs>
        <w:ind w:left="6432" w:hanging="360"/>
      </w:pPr>
    </w:lvl>
    <w:lvl w:ilvl="5" w:tentative="1">
      <w:start w:val="1"/>
      <w:numFmt w:val="decimal"/>
      <w:lvlText w:val="%6."/>
      <w:lvlJc w:val="left"/>
      <w:pPr>
        <w:tabs>
          <w:tab w:val="num" w:pos="7152"/>
        </w:tabs>
        <w:ind w:left="7152" w:hanging="360"/>
      </w:pPr>
    </w:lvl>
    <w:lvl w:ilvl="6" w:tentative="1">
      <w:start w:val="1"/>
      <w:numFmt w:val="decimal"/>
      <w:lvlText w:val="%7."/>
      <w:lvlJc w:val="left"/>
      <w:pPr>
        <w:tabs>
          <w:tab w:val="num" w:pos="7872"/>
        </w:tabs>
        <w:ind w:left="7872" w:hanging="360"/>
      </w:pPr>
    </w:lvl>
    <w:lvl w:ilvl="7" w:tentative="1">
      <w:start w:val="1"/>
      <w:numFmt w:val="decimal"/>
      <w:lvlText w:val="%8."/>
      <w:lvlJc w:val="left"/>
      <w:pPr>
        <w:tabs>
          <w:tab w:val="num" w:pos="8592"/>
        </w:tabs>
        <w:ind w:left="8592" w:hanging="360"/>
      </w:pPr>
    </w:lvl>
    <w:lvl w:ilvl="8" w:tentative="1">
      <w:start w:val="1"/>
      <w:numFmt w:val="decimal"/>
      <w:lvlText w:val="%9."/>
      <w:lvlJc w:val="left"/>
      <w:pPr>
        <w:tabs>
          <w:tab w:val="num" w:pos="9312"/>
        </w:tabs>
        <w:ind w:left="9312" w:hanging="360"/>
      </w:pPr>
    </w:lvl>
  </w:abstractNum>
  <w:abstractNum w:abstractNumId="420" w15:restartNumberingAfterBreak="0">
    <w:nsid w:val="76BB2A0A"/>
    <w:multiLevelType w:val="multilevel"/>
    <w:tmpl w:val="FCEC8370"/>
    <w:lvl w:ilvl="0">
      <w:start w:val="1"/>
      <w:numFmt w:val="bullet"/>
      <w:lvlText w:val=""/>
      <w:lvlJc w:val="left"/>
      <w:pPr>
        <w:ind w:left="1429" w:hanging="360"/>
      </w:pPr>
      <w:rPr>
        <w:rFonts w:ascii="Symbol" w:hAnsi="Symbol" w:hint="default"/>
        <w:b/>
      </w:rPr>
    </w:lvl>
    <w:lvl w:ilvl="1">
      <w:start w:val="1"/>
      <w:numFmt w:val="decimal"/>
      <w:isLgl/>
      <w:lvlText w:val="%1.%2"/>
      <w:lvlJc w:val="left"/>
      <w:pPr>
        <w:ind w:left="1459" w:hanging="39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21" w15:restartNumberingAfterBreak="0">
    <w:nsid w:val="76D63BDD"/>
    <w:multiLevelType w:val="hybridMultilevel"/>
    <w:tmpl w:val="EBD859D8"/>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22" w15:restartNumberingAfterBreak="0">
    <w:nsid w:val="77721299"/>
    <w:multiLevelType w:val="hybridMultilevel"/>
    <w:tmpl w:val="3D3A6A90"/>
    <w:lvl w:ilvl="0" w:tplc="49ACBEC2">
      <w:start w:val="1"/>
      <w:numFmt w:val="lowerLetter"/>
      <w:lvlText w:val="%1."/>
      <w:lvlJc w:val="left"/>
      <w:pPr>
        <w:ind w:left="2421" w:hanging="360"/>
      </w:pPr>
      <w:rPr>
        <w:rFonts w:ascii="Calibri" w:eastAsia="Times New Roman" w:hAnsi="Calibri" w:cs="Calibri"/>
      </w:rPr>
    </w:lvl>
    <w:lvl w:ilvl="1" w:tplc="300A0001">
      <w:start w:val="1"/>
      <w:numFmt w:val="bullet"/>
      <w:lvlText w:val=""/>
      <w:lvlJc w:val="left"/>
      <w:pPr>
        <w:ind w:left="3762" w:hanging="360"/>
      </w:pPr>
      <w:rPr>
        <w:rFonts w:ascii="Symbol" w:hAnsi="Symbol" w:hint="default"/>
      </w:rPr>
    </w:lvl>
    <w:lvl w:ilvl="2" w:tplc="300A001B" w:tentative="1">
      <w:start w:val="1"/>
      <w:numFmt w:val="lowerRoman"/>
      <w:lvlText w:val="%3."/>
      <w:lvlJc w:val="right"/>
      <w:pPr>
        <w:ind w:left="3861" w:hanging="180"/>
      </w:pPr>
    </w:lvl>
    <w:lvl w:ilvl="3" w:tplc="300A000F" w:tentative="1">
      <w:start w:val="1"/>
      <w:numFmt w:val="decimal"/>
      <w:lvlText w:val="%4."/>
      <w:lvlJc w:val="left"/>
      <w:pPr>
        <w:ind w:left="4581" w:hanging="360"/>
      </w:pPr>
    </w:lvl>
    <w:lvl w:ilvl="4" w:tplc="300A0019" w:tentative="1">
      <w:start w:val="1"/>
      <w:numFmt w:val="lowerLetter"/>
      <w:lvlText w:val="%5."/>
      <w:lvlJc w:val="left"/>
      <w:pPr>
        <w:ind w:left="5301" w:hanging="360"/>
      </w:pPr>
    </w:lvl>
    <w:lvl w:ilvl="5" w:tplc="300A001B" w:tentative="1">
      <w:start w:val="1"/>
      <w:numFmt w:val="lowerRoman"/>
      <w:lvlText w:val="%6."/>
      <w:lvlJc w:val="right"/>
      <w:pPr>
        <w:ind w:left="6021" w:hanging="180"/>
      </w:pPr>
    </w:lvl>
    <w:lvl w:ilvl="6" w:tplc="300A000F" w:tentative="1">
      <w:start w:val="1"/>
      <w:numFmt w:val="decimal"/>
      <w:lvlText w:val="%7."/>
      <w:lvlJc w:val="left"/>
      <w:pPr>
        <w:ind w:left="6741" w:hanging="360"/>
      </w:pPr>
    </w:lvl>
    <w:lvl w:ilvl="7" w:tplc="300A0019" w:tentative="1">
      <w:start w:val="1"/>
      <w:numFmt w:val="lowerLetter"/>
      <w:lvlText w:val="%8."/>
      <w:lvlJc w:val="left"/>
      <w:pPr>
        <w:ind w:left="7461" w:hanging="360"/>
      </w:pPr>
    </w:lvl>
    <w:lvl w:ilvl="8" w:tplc="300A001B" w:tentative="1">
      <w:start w:val="1"/>
      <w:numFmt w:val="lowerRoman"/>
      <w:lvlText w:val="%9."/>
      <w:lvlJc w:val="right"/>
      <w:pPr>
        <w:ind w:left="8181" w:hanging="180"/>
      </w:pPr>
    </w:lvl>
  </w:abstractNum>
  <w:abstractNum w:abstractNumId="423" w15:restartNumberingAfterBreak="0">
    <w:nsid w:val="78052FC8"/>
    <w:multiLevelType w:val="hybridMultilevel"/>
    <w:tmpl w:val="6C92B19A"/>
    <w:lvl w:ilvl="0" w:tplc="EBE09558">
      <w:start w:val="1"/>
      <w:numFmt w:val="lowerLetter"/>
      <w:lvlText w:val="%1."/>
      <w:lvlJc w:val="left"/>
      <w:pPr>
        <w:ind w:left="2203" w:hanging="360"/>
      </w:pPr>
      <w:rPr>
        <w:rFonts w:ascii="Arial" w:eastAsia="Times New Roman" w:hAnsi="Arial" w:cs="Arial" w:hint="default"/>
        <w:sz w:val="22"/>
        <w:szCs w:val="22"/>
      </w:rPr>
    </w:lvl>
    <w:lvl w:ilvl="1" w:tplc="FFFFFFFF">
      <w:start w:val="1"/>
      <w:numFmt w:val="lowerLetter"/>
      <w:lvlText w:val="%2."/>
      <w:lvlJc w:val="left"/>
      <w:pPr>
        <w:ind w:left="3501"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424" w15:restartNumberingAfterBreak="0">
    <w:nsid w:val="791274A4"/>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3501" w:hanging="360"/>
      </w:pPr>
    </w:lvl>
    <w:lvl w:ilvl="2" w:tplc="FFFFFFFF" w:tentative="1">
      <w:start w:val="1"/>
      <w:numFmt w:val="lowerRoman"/>
      <w:lvlText w:val="%3."/>
      <w:lvlJc w:val="right"/>
      <w:pPr>
        <w:ind w:left="4221" w:hanging="180"/>
      </w:pPr>
    </w:lvl>
    <w:lvl w:ilvl="3" w:tplc="FFFFFFFF" w:tentative="1">
      <w:start w:val="1"/>
      <w:numFmt w:val="decimal"/>
      <w:lvlText w:val="%4."/>
      <w:lvlJc w:val="left"/>
      <w:pPr>
        <w:ind w:left="4941" w:hanging="360"/>
      </w:pPr>
    </w:lvl>
    <w:lvl w:ilvl="4" w:tplc="FFFFFFFF" w:tentative="1">
      <w:start w:val="1"/>
      <w:numFmt w:val="lowerLetter"/>
      <w:lvlText w:val="%5."/>
      <w:lvlJc w:val="left"/>
      <w:pPr>
        <w:ind w:left="5661" w:hanging="360"/>
      </w:pPr>
    </w:lvl>
    <w:lvl w:ilvl="5" w:tplc="FFFFFFFF" w:tentative="1">
      <w:start w:val="1"/>
      <w:numFmt w:val="lowerRoman"/>
      <w:lvlText w:val="%6."/>
      <w:lvlJc w:val="right"/>
      <w:pPr>
        <w:ind w:left="6381" w:hanging="180"/>
      </w:pPr>
    </w:lvl>
    <w:lvl w:ilvl="6" w:tplc="FFFFFFFF" w:tentative="1">
      <w:start w:val="1"/>
      <w:numFmt w:val="decimal"/>
      <w:lvlText w:val="%7."/>
      <w:lvlJc w:val="left"/>
      <w:pPr>
        <w:ind w:left="7101" w:hanging="360"/>
      </w:pPr>
    </w:lvl>
    <w:lvl w:ilvl="7" w:tplc="FFFFFFFF" w:tentative="1">
      <w:start w:val="1"/>
      <w:numFmt w:val="lowerLetter"/>
      <w:lvlText w:val="%8."/>
      <w:lvlJc w:val="left"/>
      <w:pPr>
        <w:ind w:left="7821" w:hanging="360"/>
      </w:pPr>
    </w:lvl>
    <w:lvl w:ilvl="8" w:tplc="FFFFFFFF" w:tentative="1">
      <w:start w:val="1"/>
      <w:numFmt w:val="lowerRoman"/>
      <w:lvlText w:val="%9."/>
      <w:lvlJc w:val="right"/>
      <w:pPr>
        <w:ind w:left="8541" w:hanging="180"/>
      </w:pPr>
    </w:lvl>
  </w:abstractNum>
  <w:abstractNum w:abstractNumId="425" w15:restartNumberingAfterBreak="0">
    <w:nsid w:val="792E1EDE"/>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426" w15:restartNumberingAfterBreak="0">
    <w:nsid w:val="7951708F"/>
    <w:multiLevelType w:val="hybridMultilevel"/>
    <w:tmpl w:val="BF2CB670"/>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797375CE"/>
    <w:multiLevelType w:val="hybridMultilevel"/>
    <w:tmpl w:val="5874B484"/>
    <w:lvl w:ilvl="0" w:tplc="C6B24058">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A40F41C"/>
    <w:multiLevelType w:val="hybridMultilevel"/>
    <w:tmpl w:val="7556040E"/>
    <w:lvl w:ilvl="0" w:tplc="E46C9CE0">
      <w:start w:val="1"/>
      <w:numFmt w:val="bullet"/>
      <w:lvlText w:val="·"/>
      <w:lvlJc w:val="left"/>
      <w:pPr>
        <w:ind w:left="720" w:hanging="360"/>
      </w:pPr>
      <w:rPr>
        <w:rFonts w:ascii="Symbol" w:hAnsi="Symbol" w:hint="default"/>
      </w:rPr>
    </w:lvl>
    <w:lvl w:ilvl="1" w:tplc="BF62CC32">
      <w:start w:val="1"/>
      <w:numFmt w:val="bullet"/>
      <w:lvlText w:val="o"/>
      <w:lvlJc w:val="left"/>
      <w:pPr>
        <w:ind w:left="1440" w:hanging="360"/>
      </w:pPr>
      <w:rPr>
        <w:rFonts w:ascii="Courier New" w:hAnsi="Courier New" w:hint="default"/>
      </w:rPr>
    </w:lvl>
    <w:lvl w:ilvl="2" w:tplc="274A8F3A">
      <w:start w:val="1"/>
      <w:numFmt w:val="bullet"/>
      <w:lvlText w:val=""/>
      <w:lvlJc w:val="left"/>
      <w:pPr>
        <w:ind w:left="2160" w:hanging="360"/>
      </w:pPr>
      <w:rPr>
        <w:rFonts w:ascii="Wingdings" w:hAnsi="Wingdings" w:hint="default"/>
      </w:rPr>
    </w:lvl>
    <w:lvl w:ilvl="3" w:tplc="3864A014">
      <w:start w:val="1"/>
      <w:numFmt w:val="bullet"/>
      <w:lvlText w:val=""/>
      <w:lvlJc w:val="left"/>
      <w:pPr>
        <w:ind w:left="2880" w:hanging="360"/>
      </w:pPr>
      <w:rPr>
        <w:rFonts w:ascii="Symbol" w:hAnsi="Symbol" w:hint="default"/>
      </w:rPr>
    </w:lvl>
    <w:lvl w:ilvl="4" w:tplc="BEA413B2">
      <w:start w:val="1"/>
      <w:numFmt w:val="bullet"/>
      <w:lvlText w:val="o"/>
      <w:lvlJc w:val="left"/>
      <w:pPr>
        <w:ind w:left="3600" w:hanging="360"/>
      </w:pPr>
      <w:rPr>
        <w:rFonts w:ascii="Courier New" w:hAnsi="Courier New" w:hint="default"/>
      </w:rPr>
    </w:lvl>
    <w:lvl w:ilvl="5" w:tplc="06D21D88">
      <w:start w:val="1"/>
      <w:numFmt w:val="bullet"/>
      <w:lvlText w:val=""/>
      <w:lvlJc w:val="left"/>
      <w:pPr>
        <w:ind w:left="4320" w:hanging="360"/>
      </w:pPr>
      <w:rPr>
        <w:rFonts w:ascii="Wingdings" w:hAnsi="Wingdings" w:hint="default"/>
      </w:rPr>
    </w:lvl>
    <w:lvl w:ilvl="6" w:tplc="5996472C">
      <w:start w:val="1"/>
      <w:numFmt w:val="bullet"/>
      <w:lvlText w:val=""/>
      <w:lvlJc w:val="left"/>
      <w:pPr>
        <w:ind w:left="5040" w:hanging="360"/>
      </w:pPr>
      <w:rPr>
        <w:rFonts w:ascii="Symbol" w:hAnsi="Symbol" w:hint="default"/>
      </w:rPr>
    </w:lvl>
    <w:lvl w:ilvl="7" w:tplc="E702DF60">
      <w:start w:val="1"/>
      <w:numFmt w:val="bullet"/>
      <w:lvlText w:val="o"/>
      <w:lvlJc w:val="left"/>
      <w:pPr>
        <w:ind w:left="5760" w:hanging="360"/>
      </w:pPr>
      <w:rPr>
        <w:rFonts w:ascii="Courier New" w:hAnsi="Courier New" w:hint="default"/>
      </w:rPr>
    </w:lvl>
    <w:lvl w:ilvl="8" w:tplc="20CA38F6">
      <w:start w:val="1"/>
      <w:numFmt w:val="bullet"/>
      <w:lvlText w:val=""/>
      <w:lvlJc w:val="left"/>
      <w:pPr>
        <w:ind w:left="6480" w:hanging="360"/>
      </w:pPr>
      <w:rPr>
        <w:rFonts w:ascii="Wingdings" w:hAnsi="Wingdings" w:hint="default"/>
      </w:rPr>
    </w:lvl>
  </w:abstractNum>
  <w:abstractNum w:abstractNumId="429" w15:restartNumberingAfterBreak="0">
    <w:nsid w:val="7A502AFC"/>
    <w:multiLevelType w:val="hybridMultilevel"/>
    <w:tmpl w:val="6FB04CF8"/>
    <w:lvl w:ilvl="0" w:tplc="300A0001">
      <w:start w:val="1"/>
      <w:numFmt w:val="bullet"/>
      <w:lvlText w:val=""/>
      <w:lvlJc w:val="left"/>
      <w:pPr>
        <w:ind w:left="3195" w:hanging="360"/>
      </w:pPr>
      <w:rPr>
        <w:rFonts w:ascii="Symbol" w:hAnsi="Symbol" w:hint="default"/>
      </w:rPr>
    </w:lvl>
    <w:lvl w:ilvl="1" w:tplc="300A0003">
      <w:start w:val="1"/>
      <w:numFmt w:val="bullet"/>
      <w:lvlText w:val="o"/>
      <w:lvlJc w:val="left"/>
      <w:pPr>
        <w:ind w:left="3915" w:hanging="360"/>
      </w:pPr>
      <w:rPr>
        <w:rFonts w:ascii="Courier New" w:hAnsi="Courier New" w:cs="Courier New" w:hint="default"/>
      </w:rPr>
    </w:lvl>
    <w:lvl w:ilvl="2" w:tplc="300A0005" w:tentative="1">
      <w:start w:val="1"/>
      <w:numFmt w:val="bullet"/>
      <w:lvlText w:val=""/>
      <w:lvlJc w:val="left"/>
      <w:pPr>
        <w:ind w:left="4635" w:hanging="360"/>
      </w:pPr>
      <w:rPr>
        <w:rFonts w:ascii="Wingdings" w:hAnsi="Wingdings" w:hint="default"/>
      </w:rPr>
    </w:lvl>
    <w:lvl w:ilvl="3" w:tplc="300A0001" w:tentative="1">
      <w:start w:val="1"/>
      <w:numFmt w:val="bullet"/>
      <w:lvlText w:val=""/>
      <w:lvlJc w:val="left"/>
      <w:pPr>
        <w:ind w:left="5355" w:hanging="360"/>
      </w:pPr>
      <w:rPr>
        <w:rFonts w:ascii="Symbol" w:hAnsi="Symbol" w:hint="default"/>
      </w:rPr>
    </w:lvl>
    <w:lvl w:ilvl="4" w:tplc="300A0003" w:tentative="1">
      <w:start w:val="1"/>
      <w:numFmt w:val="bullet"/>
      <w:lvlText w:val="o"/>
      <w:lvlJc w:val="left"/>
      <w:pPr>
        <w:ind w:left="6075" w:hanging="360"/>
      </w:pPr>
      <w:rPr>
        <w:rFonts w:ascii="Courier New" w:hAnsi="Courier New" w:cs="Courier New" w:hint="default"/>
      </w:rPr>
    </w:lvl>
    <w:lvl w:ilvl="5" w:tplc="300A0005" w:tentative="1">
      <w:start w:val="1"/>
      <w:numFmt w:val="bullet"/>
      <w:lvlText w:val=""/>
      <w:lvlJc w:val="left"/>
      <w:pPr>
        <w:ind w:left="6795" w:hanging="360"/>
      </w:pPr>
      <w:rPr>
        <w:rFonts w:ascii="Wingdings" w:hAnsi="Wingdings" w:hint="default"/>
      </w:rPr>
    </w:lvl>
    <w:lvl w:ilvl="6" w:tplc="300A0001" w:tentative="1">
      <w:start w:val="1"/>
      <w:numFmt w:val="bullet"/>
      <w:lvlText w:val=""/>
      <w:lvlJc w:val="left"/>
      <w:pPr>
        <w:ind w:left="7515" w:hanging="360"/>
      </w:pPr>
      <w:rPr>
        <w:rFonts w:ascii="Symbol" w:hAnsi="Symbol" w:hint="default"/>
      </w:rPr>
    </w:lvl>
    <w:lvl w:ilvl="7" w:tplc="300A0003" w:tentative="1">
      <w:start w:val="1"/>
      <w:numFmt w:val="bullet"/>
      <w:lvlText w:val="o"/>
      <w:lvlJc w:val="left"/>
      <w:pPr>
        <w:ind w:left="8235" w:hanging="360"/>
      </w:pPr>
      <w:rPr>
        <w:rFonts w:ascii="Courier New" w:hAnsi="Courier New" w:cs="Courier New" w:hint="default"/>
      </w:rPr>
    </w:lvl>
    <w:lvl w:ilvl="8" w:tplc="300A0005" w:tentative="1">
      <w:start w:val="1"/>
      <w:numFmt w:val="bullet"/>
      <w:lvlText w:val=""/>
      <w:lvlJc w:val="left"/>
      <w:pPr>
        <w:ind w:left="8955" w:hanging="360"/>
      </w:pPr>
      <w:rPr>
        <w:rFonts w:ascii="Wingdings" w:hAnsi="Wingdings" w:hint="default"/>
      </w:rPr>
    </w:lvl>
  </w:abstractNum>
  <w:abstractNum w:abstractNumId="430" w15:restartNumberingAfterBreak="0">
    <w:nsid w:val="7A7E7A2E"/>
    <w:multiLevelType w:val="hybridMultilevel"/>
    <w:tmpl w:val="993C28B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31" w15:restartNumberingAfterBreak="0">
    <w:nsid w:val="7AA67572"/>
    <w:multiLevelType w:val="hybridMultilevel"/>
    <w:tmpl w:val="B6AC5AFA"/>
    <w:lvl w:ilvl="0" w:tplc="300A0001">
      <w:start w:val="1"/>
      <w:numFmt w:val="bullet"/>
      <w:lvlText w:val=""/>
      <w:lvlJc w:val="left"/>
      <w:pPr>
        <w:ind w:left="3240" w:hanging="360"/>
      </w:pPr>
      <w:rPr>
        <w:rFonts w:ascii="Symbol" w:hAnsi="Symbol" w:hint="default"/>
      </w:rPr>
    </w:lvl>
    <w:lvl w:ilvl="1" w:tplc="300A0003" w:tentative="1">
      <w:start w:val="1"/>
      <w:numFmt w:val="bullet"/>
      <w:lvlText w:val="o"/>
      <w:lvlJc w:val="left"/>
      <w:pPr>
        <w:ind w:left="3960" w:hanging="360"/>
      </w:pPr>
      <w:rPr>
        <w:rFonts w:ascii="Courier New" w:hAnsi="Courier New" w:cs="Courier New" w:hint="default"/>
      </w:rPr>
    </w:lvl>
    <w:lvl w:ilvl="2" w:tplc="300A0005" w:tentative="1">
      <w:start w:val="1"/>
      <w:numFmt w:val="bullet"/>
      <w:lvlText w:val=""/>
      <w:lvlJc w:val="left"/>
      <w:pPr>
        <w:ind w:left="4680" w:hanging="360"/>
      </w:pPr>
      <w:rPr>
        <w:rFonts w:ascii="Wingdings" w:hAnsi="Wingdings" w:hint="default"/>
      </w:rPr>
    </w:lvl>
    <w:lvl w:ilvl="3" w:tplc="300A0001" w:tentative="1">
      <w:start w:val="1"/>
      <w:numFmt w:val="bullet"/>
      <w:lvlText w:val=""/>
      <w:lvlJc w:val="left"/>
      <w:pPr>
        <w:ind w:left="5400" w:hanging="360"/>
      </w:pPr>
      <w:rPr>
        <w:rFonts w:ascii="Symbol" w:hAnsi="Symbol" w:hint="default"/>
      </w:rPr>
    </w:lvl>
    <w:lvl w:ilvl="4" w:tplc="300A0003" w:tentative="1">
      <w:start w:val="1"/>
      <w:numFmt w:val="bullet"/>
      <w:lvlText w:val="o"/>
      <w:lvlJc w:val="left"/>
      <w:pPr>
        <w:ind w:left="6120" w:hanging="360"/>
      </w:pPr>
      <w:rPr>
        <w:rFonts w:ascii="Courier New" w:hAnsi="Courier New" w:cs="Courier New" w:hint="default"/>
      </w:rPr>
    </w:lvl>
    <w:lvl w:ilvl="5" w:tplc="300A0005" w:tentative="1">
      <w:start w:val="1"/>
      <w:numFmt w:val="bullet"/>
      <w:lvlText w:val=""/>
      <w:lvlJc w:val="left"/>
      <w:pPr>
        <w:ind w:left="6840" w:hanging="360"/>
      </w:pPr>
      <w:rPr>
        <w:rFonts w:ascii="Wingdings" w:hAnsi="Wingdings" w:hint="default"/>
      </w:rPr>
    </w:lvl>
    <w:lvl w:ilvl="6" w:tplc="300A0001" w:tentative="1">
      <w:start w:val="1"/>
      <w:numFmt w:val="bullet"/>
      <w:lvlText w:val=""/>
      <w:lvlJc w:val="left"/>
      <w:pPr>
        <w:ind w:left="7560" w:hanging="360"/>
      </w:pPr>
      <w:rPr>
        <w:rFonts w:ascii="Symbol" w:hAnsi="Symbol" w:hint="default"/>
      </w:rPr>
    </w:lvl>
    <w:lvl w:ilvl="7" w:tplc="300A0003" w:tentative="1">
      <w:start w:val="1"/>
      <w:numFmt w:val="bullet"/>
      <w:lvlText w:val="o"/>
      <w:lvlJc w:val="left"/>
      <w:pPr>
        <w:ind w:left="8280" w:hanging="360"/>
      </w:pPr>
      <w:rPr>
        <w:rFonts w:ascii="Courier New" w:hAnsi="Courier New" w:cs="Courier New" w:hint="default"/>
      </w:rPr>
    </w:lvl>
    <w:lvl w:ilvl="8" w:tplc="300A0005" w:tentative="1">
      <w:start w:val="1"/>
      <w:numFmt w:val="bullet"/>
      <w:lvlText w:val=""/>
      <w:lvlJc w:val="left"/>
      <w:pPr>
        <w:ind w:left="9000" w:hanging="360"/>
      </w:pPr>
      <w:rPr>
        <w:rFonts w:ascii="Wingdings" w:hAnsi="Wingdings" w:hint="default"/>
      </w:rPr>
    </w:lvl>
  </w:abstractNum>
  <w:abstractNum w:abstractNumId="432" w15:restartNumberingAfterBreak="0">
    <w:nsid w:val="7AF26E84"/>
    <w:multiLevelType w:val="hybridMultilevel"/>
    <w:tmpl w:val="2996C89A"/>
    <w:lvl w:ilvl="0" w:tplc="300A0019">
      <w:start w:val="1"/>
      <w:numFmt w:val="lowerLetter"/>
      <w:lvlText w:val="%1."/>
      <w:lvlJc w:val="left"/>
      <w:pPr>
        <w:ind w:left="2486" w:hanging="360"/>
      </w:pPr>
    </w:lvl>
    <w:lvl w:ilvl="1" w:tplc="300A0019" w:tentative="1">
      <w:start w:val="1"/>
      <w:numFmt w:val="lowerLetter"/>
      <w:lvlText w:val="%2."/>
      <w:lvlJc w:val="left"/>
      <w:pPr>
        <w:ind w:left="3206" w:hanging="360"/>
      </w:pPr>
    </w:lvl>
    <w:lvl w:ilvl="2" w:tplc="300A001B" w:tentative="1">
      <w:start w:val="1"/>
      <w:numFmt w:val="lowerRoman"/>
      <w:lvlText w:val="%3."/>
      <w:lvlJc w:val="right"/>
      <w:pPr>
        <w:ind w:left="3926" w:hanging="180"/>
      </w:pPr>
    </w:lvl>
    <w:lvl w:ilvl="3" w:tplc="300A000F" w:tentative="1">
      <w:start w:val="1"/>
      <w:numFmt w:val="decimal"/>
      <w:lvlText w:val="%4."/>
      <w:lvlJc w:val="left"/>
      <w:pPr>
        <w:ind w:left="4646" w:hanging="360"/>
      </w:pPr>
    </w:lvl>
    <w:lvl w:ilvl="4" w:tplc="300A0019" w:tentative="1">
      <w:start w:val="1"/>
      <w:numFmt w:val="lowerLetter"/>
      <w:lvlText w:val="%5."/>
      <w:lvlJc w:val="left"/>
      <w:pPr>
        <w:ind w:left="5366" w:hanging="360"/>
      </w:pPr>
    </w:lvl>
    <w:lvl w:ilvl="5" w:tplc="300A001B" w:tentative="1">
      <w:start w:val="1"/>
      <w:numFmt w:val="lowerRoman"/>
      <w:lvlText w:val="%6."/>
      <w:lvlJc w:val="right"/>
      <w:pPr>
        <w:ind w:left="6086" w:hanging="180"/>
      </w:pPr>
    </w:lvl>
    <w:lvl w:ilvl="6" w:tplc="300A000F" w:tentative="1">
      <w:start w:val="1"/>
      <w:numFmt w:val="decimal"/>
      <w:lvlText w:val="%7."/>
      <w:lvlJc w:val="left"/>
      <w:pPr>
        <w:ind w:left="6806" w:hanging="360"/>
      </w:pPr>
    </w:lvl>
    <w:lvl w:ilvl="7" w:tplc="300A0019" w:tentative="1">
      <w:start w:val="1"/>
      <w:numFmt w:val="lowerLetter"/>
      <w:lvlText w:val="%8."/>
      <w:lvlJc w:val="left"/>
      <w:pPr>
        <w:ind w:left="7526" w:hanging="360"/>
      </w:pPr>
    </w:lvl>
    <w:lvl w:ilvl="8" w:tplc="300A001B" w:tentative="1">
      <w:start w:val="1"/>
      <w:numFmt w:val="lowerRoman"/>
      <w:lvlText w:val="%9."/>
      <w:lvlJc w:val="right"/>
      <w:pPr>
        <w:ind w:left="8246" w:hanging="180"/>
      </w:pPr>
    </w:lvl>
  </w:abstractNum>
  <w:abstractNum w:abstractNumId="433" w15:restartNumberingAfterBreak="0">
    <w:nsid w:val="7B0F493D"/>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434" w15:restartNumberingAfterBreak="0">
    <w:nsid w:val="7B3B64F0"/>
    <w:multiLevelType w:val="hybridMultilevel"/>
    <w:tmpl w:val="28D02568"/>
    <w:lvl w:ilvl="0" w:tplc="300A0001">
      <w:start w:val="1"/>
      <w:numFmt w:val="bullet"/>
      <w:lvlText w:val=""/>
      <w:lvlJc w:val="left"/>
      <w:pPr>
        <w:ind w:left="2563"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5" w15:restartNumberingAfterBreak="0">
    <w:nsid w:val="7B426F02"/>
    <w:multiLevelType w:val="hybridMultilevel"/>
    <w:tmpl w:val="D6B6B68C"/>
    <w:lvl w:ilvl="0" w:tplc="300A0019">
      <w:start w:val="1"/>
      <w:numFmt w:val="lowerLetter"/>
      <w:lvlText w:val="%1."/>
      <w:lvlJc w:val="left"/>
      <w:pPr>
        <w:ind w:left="2061" w:hanging="360"/>
      </w:pPr>
    </w:lvl>
    <w:lvl w:ilvl="1" w:tplc="300A0019" w:tentative="1">
      <w:start w:val="1"/>
      <w:numFmt w:val="lowerLetter"/>
      <w:lvlText w:val="%2."/>
      <w:lvlJc w:val="left"/>
      <w:pPr>
        <w:ind w:left="2781" w:hanging="360"/>
      </w:pPr>
    </w:lvl>
    <w:lvl w:ilvl="2" w:tplc="300A001B" w:tentative="1">
      <w:start w:val="1"/>
      <w:numFmt w:val="lowerRoman"/>
      <w:lvlText w:val="%3."/>
      <w:lvlJc w:val="right"/>
      <w:pPr>
        <w:ind w:left="3501" w:hanging="180"/>
      </w:pPr>
    </w:lvl>
    <w:lvl w:ilvl="3" w:tplc="300A000F" w:tentative="1">
      <w:start w:val="1"/>
      <w:numFmt w:val="decimal"/>
      <w:lvlText w:val="%4."/>
      <w:lvlJc w:val="left"/>
      <w:pPr>
        <w:ind w:left="4221" w:hanging="360"/>
      </w:pPr>
    </w:lvl>
    <w:lvl w:ilvl="4" w:tplc="300A0019" w:tentative="1">
      <w:start w:val="1"/>
      <w:numFmt w:val="lowerLetter"/>
      <w:lvlText w:val="%5."/>
      <w:lvlJc w:val="left"/>
      <w:pPr>
        <w:ind w:left="4941" w:hanging="360"/>
      </w:pPr>
    </w:lvl>
    <w:lvl w:ilvl="5" w:tplc="300A001B" w:tentative="1">
      <w:start w:val="1"/>
      <w:numFmt w:val="lowerRoman"/>
      <w:lvlText w:val="%6."/>
      <w:lvlJc w:val="right"/>
      <w:pPr>
        <w:ind w:left="5661" w:hanging="180"/>
      </w:pPr>
    </w:lvl>
    <w:lvl w:ilvl="6" w:tplc="300A000F" w:tentative="1">
      <w:start w:val="1"/>
      <w:numFmt w:val="decimal"/>
      <w:lvlText w:val="%7."/>
      <w:lvlJc w:val="left"/>
      <w:pPr>
        <w:ind w:left="6381" w:hanging="360"/>
      </w:pPr>
    </w:lvl>
    <w:lvl w:ilvl="7" w:tplc="300A0019" w:tentative="1">
      <w:start w:val="1"/>
      <w:numFmt w:val="lowerLetter"/>
      <w:lvlText w:val="%8."/>
      <w:lvlJc w:val="left"/>
      <w:pPr>
        <w:ind w:left="7101" w:hanging="360"/>
      </w:pPr>
    </w:lvl>
    <w:lvl w:ilvl="8" w:tplc="300A001B" w:tentative="1">
      <w:start w:val="1"/>
      <w:numFmt w:val="lowerRoman"/>
      <w:lvlText w:val="%9."/>
      <w:lvlJc w:val="right"/>
      <w:pPr>
        <w:ind w:left="7821" w:hanging="180"/>
      </w:pPr>
    </w:lvl>
  </w:abstractNum>
  <w:abstractNum w:abstractNumId="436" w15:restartNumberingAfterBreak="0">
    <w:nsid w:val="7B776320"/>
    <w:multiLevelType w:val="hybridMultilevel"/>
    <w:tmpl w:val="340651BE"/>
    <w:lvl w:ilvl="0" w:tplc="300A0001">
      <w:start w:val="1"/>
      <w:numFmt w:val="bullet"/>
      <w:lvlText w:val=""/>
      <w:lvlJc w:val="left"/>
      <w:pPr>
        <w:ind w:left="3620" w:hanging="360"/>
      </w:pPr>
      <w:rPr>
        <w:rFonts w:ascii="Symbol" w:hAnsi="Symbol" w:hint="default"/>
      </w:rPr>
    </w:lvl>
    <w:lvl w:ilvl="1" w:tplc="300A0003" w:tentative="1">
      <w:start w:val="1"/>
      <w:numFmt w:val="bullet"/>
      <w:lvlText w:val="o"/>
      <w:lvlJc w:val="left"/>
      <w:pPr>
        <w:ind w:left="2868" w:hanging="360"/>
      </w:pPr>
      <w:rPr>
        <w:rFonts w:ascii="Courier New" w:hAnsi="Courier New" w:cs="Courier New" w:hint="default"/>
      </w:rPr>
    </w:lvl>
    <w:lvl w:ilvl="2" w:tplc="300A0005" w:tentative="1">
      <w:start w:val="1"/>
      <w:numFmt w:val="bullet"/>
      <w:lvlText w:val=""/>
      <w:lvlJc w:val="left"/>
      <w:pPr>
        <w:ind w:left="3588" w:hanging="360"/>
      </w:pPr>
      <w:rPr>
        <w:rFonts w:ascii="Wingdings" w:hAnsi="Wingdings" w:hint="default"/>
      </w:rPr>
    </w:lvl>
    <w:lvl w:ilvl="3" w:tplc="300A0001" w:tentative="1">
      <w:start w:val="1"/>
      <w:numFmt w:val="bullet"/>
      <w:lvlText w:val=""/>
      <w:lvlJc w:val="left"/>
      <w:pPr>
        <w:ind w:left="4308" w:hanging="360"/>
      </w:pPr>
      <w:rPr>
        <w:rFonts w:ascii="Symbol" w:hAnsi="Symbol" w:hint="default"/>
      </w:rPr>
    </w:lvl>
    <w:lvl w:ilvl="4" w:tplc="300A0003" w:tentative="1">
      <w:start w:val="1"/>
      <w:numFmt w:val="bullet"/>
      <w:lvlText w:val="o"/>
      <w:lvlJc w:val="left"/>
      <w:pPr>
        <w:ind w:left="5028" w:hanging="360"/>
      </w:pPr>
      <w:rPr>
        <w:rFonts w:ascii="Courier New" w:hAnsi="Courier New" w:cs="Courier New" w:hint="default"/>
      </w:rPr>
    </w:lvl>
    <w:lvl w:ilvl="5" w:tplc="300A0005" w:tentative="1">
      <w:start w:val="1"/>
      <w:numFmt w:val="bullet"/>
      <w:lvlText w:val=""/>
      <w:lvlJc w:val="left"/>
      <w:pPr>
        <w:ind w:left="5748" w:hanging="360"/>
      </w:pPr>
      <w:rPr>
        <w:rFonts w:ascii="Wingdings" w:hAnsi="Wingdings" w:hint="default"/>
      </w:rPr>
    </w:lvl>
    <w:lvl w:ilvl="6" w:tplc="300A0001" w:tentative="1">
      <w:start w:val="1"/>
      <w:numFmt w:val="bullet"/>
      <w:lvlText w:val=""/>
      <w:lvlJc w:val="left"/>
      <w:pPr>
        <w:ind w:left="6468" w:hanging="360"/>
      </w:pPr>
      <w:rPr>
        <w:rFonts w:ascii="Symbol" w:hAnsi="Symbol" w:hint="default"/>
      </w:rPr>
    </w:lvl>
    <w:lvl w:ilvl="7" w:tplc="300A0003" w:tentative="1">
      <w:start w:val="1"/>
      <w:numFmt w:val="bullet"/>
      <w:lvlText w:val="o"/>
      <w:lvlJc w:val="left"/>
      <w:pPr>
        <w:ind w:left="7188" w:hanging="360"/>
      </w:pPr>
      <w:rPr>
        <w:rFonts w:ascii="Courier New" w:hAnsi="Courier New" w:cs="Courier New" w:hint="default"/>
      </w:rPr>
    </w:lvl>
    <w:lvl w:ilvl="8" w:tplc="300A0005" w:tentative="1">
      <w:start w:val="1"/>
      <w:numFmt w:val="bullet"/>
      <w:lvlText w:val=""/>
      <w:lvlJc w:val="left"/>
      <w:pPr>
        <w:ind w:left="7908" w:hanging="360"/>
      </w:pPr>
      <w:rPr>
        <w:rFonts w:ascii="Wingdings" w:hAnsi="Wingdings" w:hint="default"/>
      </w:rPr>
    </w:lvl>
  </w:abstractNum>
  <w:abstractNum w:abstractNumId="437" w15:restartNumberingAfterBreak="0">
    <w:nsid w:val="7B8ABEB8"/>
    <w:multiLevelType w:val="hybridMultilevel"/>
    <w:tmpl w:val="300F75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8" w15:restartNumberingAfterBreak="0">
    <w:nsid w:val="7C3F5B47"/>
    <w:multiLevelType w:val="hybridMultilevel"/>
    <w:tmpl w:val="DBAA9E08"/>
    <w:lvl w:ilvl="0" w:tplc="300A0001">
      <w:start w:val="1"/>
      <w:numFmt w:val="bullet"/>
      <w:lvlText w:val=""/>
      <w:lvlJc w:val="left"/>
      <w:pPr>
        <w:ind w:left="3900" w:hanging="360"/>
      </w:pPr>
      <w:rPr>
        <w:rFonts w:ascii="Symbol" w:hAnsi="Symbol" w:hint="default"/>
      </w:rPr>
    </w:lvl>
    <w:lvl w:ilvl="1" w:tplc="300A0003" w:tentative="1">
      <w:start w:val="1"/>
      <w:numFmt w:val="bullet"/>
      <w:lvlText w:val="o"/>
      <w:lvlJc w:val="left"/>
      <w:pPr>
        <w:ind w:left="4620" w:hanging="360"/>
      </w:pPr>
      <w:rPr>
        <w:rFonts w:ascii="Courier New" w:hAnsi="Courier New" w:cs="Courier New" w:hint="default"/>
      </w:rPr>
    </w:lvl>
    <w:lvl w:ilvl="2" w:tplc="300A0005" w:tentative="1">
      <w:start w:val="1"/>
      <w:numFmt w:val="bullet"/>
      <w:lvlText w:val=""/>
      <w:lvlJc w:val="left"/>
      <w:pPr>
        <w:ind w:left="5340" w:hanging="360"/>
      </w:pPr>
      <w:rPr>
        <w:rFonts w:ascii="Wingdings" w:hAnsi="Wingdings" w:hint="default"/>
      </w:rPr>
    </w:lvl>
    <w:lvl w:ilvl="3" w:tplc="300A0001" w:tentative="1">
      <w:start w:val="1"/>
      <w:numFmt w:val="bullet"/>
      <w:lvlText w:val=""/>
      <w:lvlJc w:val="left"/>
      <w:pPr>
        <w:ind w:left="6060" w:hanging="360"/>
      </w:pPr>
      <w:rPr>
        <w:rFonts w:ascii="Symbol" w:hAnsi="Symbol" w:hint="default"/>
      </w:rPr>
    </w:lvl>
    <w:lvl w:ilvl="4" w:tplc="300A0003" w:tentative="1">
      <w:start w:val="1"/>
      <w:numFmt w:val="bullet"/>
      <w:lvlText w:val="o"/>
      <w:lvlJc w:val="left"/>
      <w:pPr>
        <w:ind w:left="6780" w:hanging="360"/>
      </w:pPr>
      <w:rPr>
        <w:rFonts w:ascii="Courier New" w:hAnsi="Courier New" w:cs="Courier New" w:hint="default"/>
      </w:rPr>
    </w:lvl>
    <w:lvl w:ilvl="5" w:tplc="300A0005" w:tentative="1">
      <w:start w:val="1"/>
      <w:numFmt w:val="bullet"/>
      <w:lvlText w:val=""/>
      <w:lvlJc w:val="left"/>
      <w:pPr>
        <w:ind w:left="7500" w:hanging="360"/>
      </w:pPr>
      <w:rPr>
        <w:rFonts w:ascii="Wingdings" w:hAnsi="Wingdings" w:hint="default"/>
      </w:rPr>
    </w:lvl>
    <w:lvl w:ilvl="6" w:tplc="300A0001" w:tentative="1">
      <w:start w:val="1"/>
      <w:numFmt w:val="bullet"/>
      <w:lvlText w:val=""/>
      <w:lvlJc w:val="left"/>
      <w:pPr>
        <w:ind w:left="8220" w:hanging="360"/>
      </w:pPr>
      <w:rPr>
        <w:rFonts w:ascii="Symbol" w:hAnsi="Symbol" w:hint="default"/>
      </w:rPr>
    </w:lvl>
    <w:lvl w:ilvl="7" w:tplc="300A0003" w:tentative="1">
      <w:start w:val="1"/>
      <w:numFmt w:val="bullet"/>
      <w:lvlText w:val="o"/>
      <w:lvlJc w:val="left"/>
      <w:pPr>
        <w:ind w:left="8940" w:hanging="360"/>
      </w:pPr>
      <w:rPr>
        <w:rFonts w:ascii="Courier New" w:hAnsi="Courier New" w:cs="Courier New" w:hint="default"/>
      </w:rPr>
    </w:lvl>
    <w:lvl w:ilvl="8" w:tplc="300A0005" w:tentative="1">
      <w:start w:val="1"/>
      <w:numFmt w:val="bullet"/>
      <w:lvlText w:val=""/>
      <w:lvlJc w:val="left"/>
      <w:pPr>
        <w:ind w:left="9660" w:hanging="360"/>
      </w:pPr>
      <w:rPr>
        <w:rFonts w:ascii="Wingdings" w:hAnsi="Wingdings" w:hint="default"/>
      </w:rPr>
    </w:lvl>
  </w:abstractNum>
  <w:abstractNum w:abstractNumId="439" w15:restartNumberingAfterBreak="0">
    <w:nsid w:val="7C663838"/>
    <w:multiLevelType w:val="hybridMultilevel"/>
    <w:tmpl w:val="2028FFD0"/>
    <w:lvl w:ilvl="0" w:tplc="300A0019">
      <w:start w:val="1"/>
      <w:numFmt w:val="lowerLetter"/>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440" w15:restartNumberingAfterBreak="0">
    <w:nsid w:val="7CF80AC4"/>
    <w:multiLevelType w:val="hybridMultilevel"/>
    <w:tmpl w:val="8A04514A"/>
    <w:lvl w:ilvl="0" w:tplc="300A0001">
      <w:start w:val="1"/>
      <w:numFmt w:val="bullet"/>
      <w:lvlText w:val=""/>
      <w:lvlJc w:val="left"/>
      <w:pPr>
        <w:ind w:left="2923" w:hanging="360"/>
      </w:pPr>
      <w:rPr>
        <w:rFonts w:ascii="Symbol" w:hAnsi="Symbol" w:hint="default"/>
      </w:rPr>
    </w:lvl>
    <w:lvl w:ilvl="1" w:tplc="300A0003" w:tentative="1">
      <w:start w:val="1"/>
      <w:numFmt w:val="bullet"/>
      <w:lvlText w:val="o"/>
      <w:lvlJc w:val="left"/>
      <w:pPr>
        <w:ind w:left="3643" w:hanging="360"/>
      </w:pPr>
      <w:rPr>
        <w:rFonts w:ascii="Courier New" w:hAnsi="Courier New" w:cs="Courier New" w:hint="default"/>
      </w:rPr>
    </w:lvl>
    <w:lvl w:ilvl="2" w:tplc="300A0005" w:tentative="1">
      <w:start w:val="1"/>
      <w:numFmt w:val="bullet"/>
      <w:lvlText w:val=""/>
      <w:lvlJc w:val="left"/>
      <w:pPr>
        <w:ind w:left="4363" w:hanging="360"/>
      </w:pPr>
      <w:rPr>
        <w:rFonts w:ascii="Wingdings" w:hAnsi="Wingdings" w:hint="default"/>
      </w:rPr>
    </w:lvl>
    <w:lvl w:ilvl="3" w:tplc="300A0001" w:tentative="1">
      <w:start w:val="1"/>
      <w:numFmt w:val="bullet"/>
      <w:lvlText w:val=""/>
      <w:lvlJc w:val="left"/>
      <w:pPr>
        <w:ind w:left="5083" w:hanging="360"/>
      </w:pPr>
      <w:rPr>
        <w:rFonts w:ascii="Symbol" w:hAnsi="Symbol" w:hint="default"/>
      </w:rPr>
    </w:lvl>
    <w:lvl w:ilvl="4" w:tplc="300A0003" w:tentative="1">
      <w:start w:val="1"/>
      <w:numFmt w:val="bullet"/>
      <w:lvlText w:val="o"/>
      <w:lvlJc w:val="left"/>
      <w:pPr>
        <w:ind w:left="5803" w:hanging="360"/>
      </w:pPr>
      <w:rPr>
        <w:rFonts w:ascii="Courier New" w:hAnsi="Courier New" w:cs="Courier New" w:hint="default"/>
      </w:rPr>
    </w:lvl>
    <w:lvl w:ilvl="5" w:tplc="300A0005" w:tentative="1">
      <w:start w:val="1"/>
      <w:numFmt w:val="bullet"/>
      <w:lvlText w:val=""/>
      <w:lvlJc w:val="left"/>
      <w:pPr>
        <w:ind w:left="6523" w:hanging="360"/>
      </w:pPr>
      <w:rPr>
        <w:rFonts w:ascii="Wingdings" w:hAnsi="Wingdings" w:hint="default"/>
      </w:rPr>
    </w:lvl>
    <w:lvl w:ilvl="6" w:tplc="300A0001" w:tentative="1">
      <w:start w:val="1"/>
      <w:numFmt w:val="bullet"/>
      <w:lvlText w:val=""/>
      <w:lvlJc w:val="left"/>
      <w:pPr>
        <w:ind w:left="7243" w:hanging="360"/>
      </w:pPr>
      <w:rPr>
        <w:rFonts w:ascii="Symbol" w:hAnsi="Symbol" w:hint="default"/>
      </w:rPr>
    </w:lvl>
    <w:lvl w:ilvl="7" w:tplc="300A0003" w:tentative="1">
      <w:start w:val="1"/>
      <w:numFmt w:val="bullet"/>
      <w:lvlText w:val="o"/>
      <w:lvlJc w:val="left"/>
      <w:pPr>
        <w:ind w:left="7963" w:hanging="360"/>
      </w:pPr>
      <w:rPr>
        <w:rFonts w:ascii="Courier New" w:hAnsi="Courier New" w:cs="Courier New" w:hint="default"/>
      </w:rPr>
    </w:lvl>
    <w:lvl w:ilvl="8" w:tplc="300A0005" w:tentative="1">
      <w:start w:val="1"/>
      <w:numFmt w:val="bullet"/>
      <w:lvlText w:val=""/>
      <w:lvlJc w:val="left"/>
      <w:pPr>
        <w:ind w:left="8683" w:hanging="360"/>
      </w:pPr>
      <w:rPr>
        <w:rFonts w:ascii="Wingdings" w:hAnsi="Wingdings" w:hint="default"/>
      </w:rPr>
    </w:lvl>
  </w:abstractNum>
  <w:abstractNum w:abstractNumId="441" w15:restartNumberingAfterBreak="0">
    <w:nsid w:val="7E00C03C"/>
    <w:multiLevelType w:val="hybridMultilevel"/>
    <w:tmpl w:val="45BC96F0"/>
    <w:lvl w:ilvl="0" w:tplc="E466DB5A">
      <w:start w:val="1"/>
      <w:numFmt w:val="bullet"/>
      <w:lvlText w:val="·"/>
      <w:lvlJc w:val="left"/>
      <w:pPr>
        <w:ind w:left="720" w:hanging="360"/>
      </w:pPr>
      <w:rPr>
        <w:rFonts w:ascii="Symbol" w:hAnsi="Symbol" w:hint="default"/>
      </w:rPr>
    </w:lvl>
    <w:lvl w:ilvl="1" w:tplc="99E2FDFC">
      <w:start w:val="1"/>
      <w:numFmt w:val="bullet"/>
      <w:lvlText w:val="o"/>
      <w:lvlJc w:val="left"/>
      <w:pPr>
        <w:ind w:left="1440" w:hanging="360"/>
      </w:pPr>
      <w:rPr>
        <w:rFonts w:ascii="Courier New" w:hAnsi="Courier New" w:hint="default"/>
      </w:rPr>
    </w:lvl>
    <w:lvl w:ilvl="2" w:tplc="4AE21DDA">
      <w:start w:val="1"/>
      <w:numFmt w:val="bullet"/>
      <w:lvlText w:val=""/>
      <w:lvlJc w:val="left"/>
      <w:pPr>
        <w:ind w:left="2160" w:hanging="360"/>
      </w:pPr>
      <w:rPr>
        <w:rFonts w:ascii="Wingdings" w:hAnsi="Wingdings" w:hint="default"/>
      </w:rPr>
    </w:lvl>
    <w:lvl w:ilvl="3" w:tplc="ACC21FFC">
      <w:start w:val="1"/>
      <w:numFmt w:val="bullet"/>
      <w:lvlText w:val=""/>
      <w:lvlJc w:val="left"/>
      <w:pPr>
        <w:ind w:left="2880" w:hanging="360"/>
      </w:pPr>
      <w:rPr>
        <w:rFonts w:ascii="Symbol" w:hAnsi="Symbol" w:hint="default"/>
      </w:rPr>
    </w:lvl>
    <w:lvl w:ilvl="4" w:tplc="6DB4F798">
      <w:start w:val="1"/>
      <w:numFmt w:val="bullet"/>
      <w:lvlText w:val="o"/>
      <w:lvlJc w:val="left"/>
      <w:pPr>
        <w:ind w:left="3600" w:hanging="360"/>
      </w:pPr>
      <w:rPr>
        <w:rFonts w:ascii="Courier New" w:hAnsi="Courier New" w:hint="default"/>
      </w:rPr>
    </w:lvl>
    <w:lvl w:ilvl="5" w:tplc="4A5CF8AC">
      <w:start w:val="1"/>
      <w:numFmt w:val="bullet"/>
      <w:lvlText w:val=""/>
      <w:lvlJc w:val="left"/>
      <w:pPr>
        <w:ind w:left="4320" w:hanging="360"/>
      </w:pPr>
      <w:rPr>
        <w:rFonts w:ascii="Wingdings" w:hAnsi="Wingdings" w:hint="default"/>
      </w:rPr>
    </w:lvl>
    <w:lvl w:ilvl="6" w:tplc="9604A02E">
      <w:start w:val="1"/>
      <w:numFmt w:val="bullet"/>
      <w:lvlText w:val=""/>
      <w:lvlJc w:val="left"/>
      <w:pPr>
        <w:ind w:left="5040" w:hanging="360"/>
      </w:pPr>
      <w:rPr>
        <w:rFonts w:ascii="Symbol" w:hAnsi="Symbol" w:hint="default"/>
      </w:rPr>
    </w:lvl>
    <w:lvl w:ilvl="7" w:tplc="9FB69C8C">
      <w:start w:val="1"/>
      <w:numFmt w:val="bullet"/>
      <w:lvlText w:val="o"/>
      <w:lvlJc w:val="left"/>
      <w:pPr>
        <w:ind w:left="5760" w:hanging="360"/>
      </w:pPr>
      <w:rPr>
        <w:rFonts w:ascii="Courier New" w:hAnsi="Courier New" w:hint="default"/>
      </w:rPr>
    </w:lvl>
    <w:lvl w:ilvl="8" w:tplc="22AEF432">
      <w:start w:val="1"/>
      <w:numFmt w:val="bullet"/>
      <w:lvlText w:val=""/>
      <w:lvlJc w:val="left"/>
      <w:pPr>
        <w:ind w:left="6480" w:hanging="360"/>
      </w:pPr>
      <w:rPr>
        <w:rFonts w:ascii="Wingdings" w:hAnsi="Wingdings" w:hint="default"/>
      </w:rPr>
    </w:lvl>
  </w:abstractNum>
  <w:abstractNum w:abstractNumId="442" w15:restartNumberingAfterBreak="0">
    <w:nsid w:val="7E0723AD"/>
    <w:multiLevelType w:val="hybridMultilevel"/>
    <w:tmpl w:val="D6D4026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3" w15:restartNumberingAfterBreak="0">
    <w:nsid w:val="7F3616C1"/>
    <w:multiLevelType w:val="hybridMultilevel"/>
    <w:tmpl w:val="E968F400"/>
    <w:lvl w:ilvl="0" w:tplc="FFFFFFFF">
      <w:start w:val="1"/>
      <w:numFmt w:val="lowerLetter"/>
      <w:lvlText w:val="%1."/>
      <w:lvlJc w:val="left"/>
      <w:pPr>
        <w:ind w:left="2203" w:hanging="360"/>
      </w:pPr>
      <w:rPr>
        <w:rFonts w:ascii="Calibri" w:eastAsia="Times New Roman" w:hAnsi="Calibri" w:cs="Calibri"/>
      </w:rPr>
    </w:lvl>
    <w:lvl w:ilvl="1" w:tplc="FFFFFFFF">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444" w15:restartNumberingAfterBreak="0">
    <w:nsid w:val="7FD323E7"/>
    <w:multiLevelType w:val="hybridMultilevel"/>
    <w:tmpl w:val="050E5A20"/>
    <w:lvl w:ilvl="0" w:tplc="FFFFFFFF">
      <w:start w:val="1"/>
      <w:numFmt w:val="lowerLetter"/>
      <w:lvlText w:val="%1."/>
      <w:lvlJc w:val="left"/>
      <w:pPr>
        <w:ind w:left="2770" w:hanging="360"/>
      </w:pPr>
      <w:rPr>
        <w:rFonts w:ascii="Calibri" w:eastAsia="Times New Roman" w:hAnsi="Calibri" w:cs="Calibri"/>
      </w:rPr>
    </w:lvl>
    <w:lvl w:ilvl="1" w:tplc="FFFFFFFF">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num w:numId="1">
    <w:abstractNumId w:val="340"/>
  </w:num>
  <w:num w:numId="2">
    <w:abstractNumId w:val="108"/>
  </w:num>
  <w:num w:numId="3">
    <w:abstractNumId w:val="289"/>
  </w:num>
  <w:num w:numId="4">
    <w:abstractNumId w:val="295"/>
  </w:num>
  <w:num w:numId="5">
    <w:abstractNumId w:val="296"/>
  </w:num>
  <w:num w:numId="6">
    <w:abstractNumId w:val="280"/>
  </w:num>
  <w:num w:numId="7">
    <w:abstractNumId w:val="271"/>
  </w:num>
  <w:num w:numId="8">
    <w:abstractNumId w:val="169"/>
  </w:num>
  <w:num w:numId="9">
    <w:abstractNumId w:val="150"/>
  </w:num>
  <w:num w:numId="10">
    <w:abstractNumId w:val="88"/>
  </w:num>
  <w:num w:numId="11">
    <w:abstractNumId w:val="293"/>
  </w:num>
  <w:num w:numId="12">
    <w:abstractNumId w:val="117"/>
  </w:num>
  <w:num w:numId="13">
    <w:abstractNumId w:val="59"/>
  </w:num>
  <w:num w:numId="14">
    <w:abstractNumId w:val="354"/>
  </w:num>
  <w:num w:numId="15">
    <w:abstractNumId w:val="287"/>
  </w:num>
  <w:num w:numId="16">
    <w:abstractNumId w:val="163"/>
  </w:num>
  <w:num w:numId="17">
    <w:abstractNumId w:val="94"/>
  </w:num>
  <w:num w:numId="18">
    <w:abstractNumId w:val="242"/>
  </w:num>
  <w:num w:numId="19">
    <w:abstractNumId w:val="22"/>
  </w:num>
  <w:num w:numId="20">
    <w:abstractNumId w:val="312"/>
  </w:num>
  <w:num w:numId="21">
    <w:abstractNumId w:val="144"/>
  </w:num>
  <w:num w:numId="22">
    <w:abstractNumId w:val="120"/>
  </w:num>
  <w:num w:numId="23">
    <w:abstractNumId w:val="427"/>
  </w:num>
  <w:num w:numId="24">
    <w:abstractNumId w:val="284"/>
  </w:num>
  <w:num w:numId="25">
    <w:abstractNumId w:val="55"/>
  </w:num>
  <w:num w:numId="26">
    <w:abstractNumId w:val="341"/>
  </w:num>
  <w:num w:numId="27">
    <w:abstractNumId w:val="421"/>
  </w:num>
  <w:num w:numId="28">
    <w:abstractNumId w:val="0"/>
  </w:num>
  <w:num w:numId="29">
    <w:abstractNumId w:val="100"/>
  </w:num>
  <w:num w:numId="30">
    <w:abstractNumId w:val="51"/>
  </w:num>
  <w:num w:numId="31">
    <w:abstractNumId w:val="305"/>
  </w:num>
  <w:num w:numId="32">
    <w:abstractNumId w:val="377"/>
  </w:num>
  <w:num w:numId="33">
    <w:abstractNumId w:val="332"/>
  </w:num>
  <w:num w:numId="34">
    <w:abstractNumId w:val="370"/>
  </w:num>
  <w:num w:numId="35">
    <w:abstractNumId w:val="77"/>
  </w:num>
  <w:num w:numId="36">
    <w:abstractNumId w:val="396"/>
  </w:num>
  <w:num w:numId="37">
    <w:abstractNumId w:val="184"/>
  </w:num>
  <w:num w:numId="38">
    <w:abstractNumId w:val="248"/>
  </w:num>
  <w:num w:numId="39">
    <w:abstractNumId w:val="162"/>
  </w:num>
  <w:num w:numId="40">
    <w:abstractNumId w:val="232"/>
  </w:num>
  <w:num w:numId="41">
    <w:abstractNumId w:val="286"/>
  </w:num>
  <w:num w:numId="42">
    <w:abstractNumId w:val="426"/>
  </w:num>
  <w:num w:numId="43">
    <w:abstractNumId w:val="1"/>
  </w:num>
  <w:num w:numId="44">
    <w:abstractNumId w:val="259"/>
  </w:num>
  <w:num w:numId="45">
    <w:abstractNumId w:val="48"/>
  </w:num>
  <w:num w:numId="46">
    <w:abstractNumId w:val="10"/>
  </w:num>
  <w:num w:numId="47">
    <w:abstractNumId w:val="116"/>
  </w:num>
  <w:num w:numId="48">
    <w:abstractNumId w:val="348"/>
  </w:num>
  <w:num w:numId="49">
    <w:abstractNumId w:val="16"/>
  </w:num>
  <w:num w:numId="50">
    <w:abstractNumId w:val="352"/>
  </w:num>
  <w:num w:numId="51">
    <w:abstractNumId w:val="79"/>
  </w:num>
  <w:num w:numId="52">
    <w:abstractNumId w:val="303"/>
  </w:num>
  <w:num w:numId="53">
    <w:abstractNumId w:val="7"/>
  </w:num>
  <w:num w:numId="54">
    <w:abstractNumId w:val="139"/>
  </w:num>
  <w:num w:numId="55">
    <w:abstractNumId w:val="344"/>
  </w:num>
  <w:num w:numId="56">
    <w:abstractNumId w:val="81"/>
  </w:num>
  <w:num w:numId="57">
    <w:abstractNumId w:val="339"/>
  </w:num>
  <w:num w:numId="58">
    <w:abstractNumId w:val="282"/>
  </w:num>
  <w:num w:numId="59">
    <w:abstractNumId w:val="11"/>
  </w:num>
  <w:num w:numId="60">
    <w:abstractNumId w:val="141"/>
  </w:num>
  <w:num w:numId="61">
    <w:abstractNumId w:val="442"/>
  </w:num>
  <w:num w:numId="62">
    <w:abstractNumId w:val="83"/>
  </w:num>
  <w:num w:numId="63">
    <w:abstractNumId w:val="172"/>
  </w:num>
  <w:num w:numId="64">
    <w:abstractNumId w:val="202"/>
  </w:num>
  <w:num w:numId="65">
    <w:abstractNumId w:val="118"/>
  </w:num>
  <w:num w:numId="66">
    <w:abstractNumId w:val="34"/>
  </w:num>
  <w:num w:numId="67">
    <w:abstractNumId w:val="29"/>
  </w:num>
  <w:num w:numId="68">
    <w:abstractNumId w:val="368"/>
  </w:num>
  <w:num w:numId="69">
    <w:abstractNumId w:val="301"/>
  </w:num>
  <w:num w:numId="70">
    <w:abstractNumId w:val="110"/>
  </w:num>
  <w:num w:numId="71">
    <w:abstractNumId w:val="69"/>
  </w:num>
  <w:num w:numId="72">
    <w:abstractNumId w:val="311"/>
  </w:num>
  <w:num w:numId="73">
    <w:abstractNumId w:val="229"/>
  </w:num>
  <w:num w:numId="74">
    <w:abstractNumId w:val="306"/>
  </w:num>
  <w:num w:numId="75">
    <w:abstractNumId w:val="180"/>
  </w:num>
  <w:num w:numId="76">
    <w:abstractNumId w:val="26"/>
  </w:num>
  <w:num w:numId="77">
    <w:abstractNumId w:val="414"/>
  </w:num>
  <w:num w:numId="78">
    <w:abstractNumId w:val="316"/>
  </w:num>
  <w:num w:numId="79">
    <w:abstractNumId w:val="264"/>
  </w:num>
  <w:num w:numId="80">
    <w:abstractNumId w:val="149"/>
  </w:num>
  <w:num w:numId="81">
    <w:abstractNumId w:val="246"/>
  </w:num>
  <w:num w:numId="82">
    <w:abstractNumId w:val="175"/>
  </w:num>
  <w:num w:numId="83">
    <w:abstractNumId w:val="302"/>
  </w:num>
  <w:num w:numId="84">
    <w:abstractNumId w:val="367"/>
  </w:num>
  <w:num w:numId="85">
    <w:abstractNumId w:val="194"/>
  </w:num>
  <w:num w:numId="86">
    <w:abstractNumId w:val="234"/>
  </w:num>
  <w:num w:numId="87">
    <w:abstractNumId w:val="333"/>
  </w:num>
  <w:num w:numId="88">
    <w:abstractNumId w:val="211"/>
  </w:num>
  <w:num w:numId="89">
    <w:abstractNumId w:val="124"/>
  </w:num>
  <w:num w:numId="90">
    <w:abstractNumId w:val="4"/>
  </w:num>
  <w:num w:numId="91">
    <w:abstractNumId w:val="243"/>
  </w:num>
  <w:num w:numId="92">
    <w:abstractNumId w:val="73"/>
  </w:num>
  <w:num w:numId="93">
    <w:abstractNumId w:val="130"/>
  </w:num>
  <w:num w:numId="94">
    <w:abstractNumId w:val="44"/>
  </w:num>
  <w:num w:numId="95">
    <w:abstractNumId w:val="267"/>
  </w:num>
  <w:num w:numId="96">
    <w:abstractNumId w:val="231"/>
  </w:num>
  <w:num w:numId="97">
    <w:abstractNumId w:val="61"/>
  </w:num>
  <w:num w:numId="98">
    <w:abstractNumId w:val="279"/>
  </w:num>
  <w:num w:numId="99">
    <w:abstractNumId w:val="395"/>
  </w:num>
  <w:num w:numId="100">
    <w:abstractNumId w:val="300"/>
  </w:num>
  <w:num w:numId="101">
    <w:abstractNumId w:val="216"/>
  </w:num>
  <w:num w:numId="102">
    <w:abstractNumId w:val="87"/>
  </w:num>
  <w:num w:numId="103">
    <w:abstractNumId w:val="331"/>
  </w:num>
  <w:num w:numId="104">
    <w:abstractNumId w:val="174"/>
  </w:num>
  <w:num w:numId="105">
    <w:abstractNumId w:val="6"/>
  </w:num>
  <w:num w:numId="106">
    <w:abstractNumId w:val="275"/>
  </w:num>
  <w:num w:numId="107">
    <w:abstractNumId w:val="328"/>
  </w:num>
  <w:num w:numId="108">
    <w:abstractNumId w:val="256"/>
  </w:num>
  <w:num w:numId="109">
    <w:abstractNumId w:val="437"/>
  </w:num>
  <w:num w:numId="110">
    <w:abstractNumId w:val="373"/>
  </w:num>
  <w:num w:numId="111">
    <w:abstractNumId w:val="181"/>
  </w:num>
  <w:num w:numId="112">
    <w:abstractNumId w:val="366"/>
  </w:num>
  <w:num w:numId="113">
    <w:abstractNumId w:val="123"/>
  </w:num>
  <w:num w:numId="114">
    <w:abstractNumId w:val="428"/>
  </w:num>
  <w:num w:numId="115">
    <w:abstractNumId w:val="195"/>
  </w:num>
  <w:num w:numId="116">
    <w:abstractNumId w:val="441"/>
  </w:num>
  <w:num w:numId="117">
    <w:abstractNumId w:val="204"/>
  </w:num>
  <w:num w:numId="118">
    <w:abstractNumId w:val="76"/>
  </w:num>
  <w:num w:numId="119">
    <w:abstractNumId w:val="142"/>
  </w:num>
  <w:num w:numId="120">
    <w:abstractNumId w:val="119"/>
  </w:num>
  <w:num w:numId="121">
    <w:abstractNumId w:val="310"/>
  </w:num>
  <w:num w:numId="122">
    <w:abstractNumId w:val="146"/>
  </w:num>
  <w:num w:numId="123">
    <w:abstractNumId w:val="63"/>
  </w:num>
  <w:num w:numId="124">
    <w:abstractNumId w:val="190"/>
  </w:num>
  <w:num w:numId="125">
    <w:abstractNumId w:val="35"/>
  </w:num>
  <w:num w:numId="126">
    <w:abstractNumId w:val="80"/>
  </w:num>
  <w:num w:numId="127">
    <w:abstractNumId w:val="46"/>
  </w:num>
  <w:num w:numId="128">
    <w:abstractNumId w:val="263"/>
  </w:num>
  <w:num w:numId="129">
    <w:abstractNumId w:val="203"/>
  </w:num>
  <w:num w:numId="130">
    <w:abstractNumId w:val="57"/>
  </w:num>
  <w:num w:numId="131">
    <w:abstractNumId w:val="173"/>
  </w:num>
  <w:num w:numId="132">
    <w:abstractNumId w:val="319"/>
  </w:num>
  <w:num w:numId="133">
    <w:abstractNumId w:val="371"/>
  </w:num>
  <w:num w:numId="134">
    <w:abstractNumId w:val="40"/>
  </w:num>
  <w:num w:numId="135">
    <w:abstractNumId w:val="148"/>
  </w:num>
  <w:num w:numId="136">
    <w:abstractNumId w:val="196"/>
  </w:num>
  <w:num w:numId="137">
    <w:abstractNumId w:val="37"/>
  </w:num>
  <w:num w:numId="138">
    <w:abstractNumId w:val="398"/>
  </w:num>
  <w:num w:numId="139">
    <w:abstractNumId w:val="393"/>
  </w:num>
  <w:num w:numId="140">
    <w:abstractNumId w:val="411"/>
  </w:num>
  <w:num w:numId="141">
    <w:abstractNumId w:val="397"/>
  </w:num>
  <w:num w:numId="142">
    <w:abstractNumId w:val="192"/>
  </w:num>
  <w:num w:numId="143">
    <w:abstractNumId w:val="355"/>
  </w:num>
  <w:num w:numId="144">
    <w:abstractNumId w:val="15"/>
  </w:num>
  <w:num w:numId="145">
    <w:abstractNumId w:val="41"/>
  </w:num>
  <w:num w:numId="146">
    <w:abstractNumId w:val="240"/>
  </w:num>
  <w:num w:numId="147">
    <w:abstractNumId w:val="350"/>
  </w:num>
  <w:num w:numId="148">
    <w:abstractNumId w:val="30"/>
  </w:num>
  <w:num w:numId="149">
    <w:abstractNumId w:val="269"/>
  </w:num>
  <w:num w:numId="150">
    <w:abstractNumId w:val="52"/>
  </w:num>
  <w:num w:numId="151">
    <w:abstractNumId w:val="402"/>
  </w:num>
  <w:num w:numId="152">
    <w:abstractNumId w:val="113"/>
  </w:num>
  <w:num w:numId="153">
    <w:abstractNumId w:val="157"/>
  </w:num>
  <w:num w:numId="154">
    <w:abstractNumId w:val="250"/>
  </w:num>
  <w:num w:numId="155">
    <w:abstractNumId w:val="2"/>
  </w:num>
  <w:num w:numId="156">
    <w:abstractNumId w:val="260"/>
  </w:num>
  <w:num w:numId="157">
    <w:abstractNumId w:val="358"/>
    <w:lvlOverride w:ilvl="0">
      <w:lvl w:ilvl="0">
        <w:numFmt w:val="lowerLetter"/>
        <w:lvlText w:val="%1."/>
        <w:lvlJc w:val="left"/>
      </w:lvl>
    </w:lvlOverride>
  </w:num>
  <w:num w:numId="158">
    <w:abstractNumId w:val="131"/>
  </w:num>
  <w:num w:numId="159">
    <w:abstractNumId w:val="54"/>
  </w:num>
  <w:num w:numId="160">
    <w:abstractNumId w:val="337"/>
  </w:num>
  <w:num w:numId="161">
    <w:abstractNumId w:val="439"/>
  </w:num>
  <w:num w:numId="162">
    <w:abstractNumId w:val="164"/>
  </w:num>
  <w:num w:numId="163">
    <w:abstractNumId w:val="268"/>
  </w:num>
  <w:num w:numId="164">
    <w:abstractNumId w:val="5"/>
  </w:num>
  <w:num w:numId="165">
    <w:abstractNumId w:val="207"/>
  </w:num>
  <w:num w:numId="166">
    <w:abstractNumId w:val="226"/>
  </w:num>
  <w:num w:numId="167">
    <w:abstractNumId w:val="294"/>
  </w:num>
  <w:num w:numId="168">
    <w:abstractNumId w:val="208"/>
  </w:num>
  <w:num w:numId="169">
    <w:abstractNumId w:val="254"/>
  </w:num>
  <w:num w:numId="170">
    <w:abstractNumId w:val="326"/>
  </w:num>
  <w:num w:numId="171">
    <w:abstractNumId w:val="291"/>
  </w:num>
  <w:num w:numId="172">
    <w:abstractNumId w:val="147"/>
  </w:num>
  <w:num w:numId="173">
    <w:abstractNumId w:val="96"/>
  </w:num>
  <w:num w:numId="174">
    <w:abstractNumId w:val="251"/>
  </w:num>
  <w:num w:numId="175">
    <w:abstractNumId w:val="342"/>
  </w:num>
  <w:num w:numId="176">
    <w:abstractNumId w:val="171"/>
  </w:num>
  <w:num w:numId="177">
    <w:abstractNumId w:val="320"/>
  </w:num>
  <w:num w:numId="178">
    <w:abstractNumId w:val="103"/>
  </w:num>
  <w:num w:numId="179">
    <w:abstractNumId w:val="392"/>
  </w:num>
  <w:num w:numId="180">
    <w:abstractNumId w:val="378"/>
  </w:num>
  <w:num w:numId="181">
    <w:abstractNumId w:val="356"/>
  </w:num>
  <w:num w:numId="182">
    <w:abstractNumId w:val="32"/>
  </w:num>
  <w:num w:numId="183">
    <w:abstractNumId w:val="64"/>
  </w:num>
  <w:num w:numId="184">
    <w:abstractNumId w:val="112"/>
  </w:num>
  <w:num w:numId="185">
    <w:abstractNumId w:val="359"/>
  </w:num>
  <w:num w:numId="186">
    <w:abstractNumId w:val="444"/>
  </w:num>
  <w:num w:numId="187">
    <w:abstractNumId w:val="132"/>
  </w:num>
  <w:num w:numId="188">
    <w:abstractNumId w:val="308"/>
  </w:num>
  <w:num w:numId="189">
    <w:abstractNumId w:val="385"/>
  </w:num>
  <w:num w:numId="190">
    <w:abstractNumId w:val="20"/>
  </w:num>
  <w:num w:numId="191">
    <w:abstractNumId w:val="425"/>
  </w:num>
  <w:num w:numId="192">
    <w:abstractNumId w:val="225"/>
  </w:num>
  <w:num w:numId="193">
    <w:abstractNumId w:val="433"/>
  </w:num>
  <w:num w:numId="194">
    <w:abstractNumId w:val="386"/>
  </w:num>
  <w:num w:numId="195">
    <w:abstractNumId w:val="334"/>
  </w:num>
  <w:num w:numId="196">
    <w:abstractNumId w:val="102"/>
  </w:num>
  <w:num w:numId="197">
    <w:abstractNumId w:val="201"/>
  </w:num>
  <w:num w:numId="198">
    <w:abstractNumId w:val="72"/>
  </w:num>
  <w:num w:numId="199">
    <w:abstractNumId w:val="136"/>
  </w:num>
  <w:num w:numId="200">
    <w:abstractNumId w:val="56"/>
  </w:num>
  <w:num w:numId="201">
    <w:abstractNumId w:val="307"/>
  </w:num>
  <w:num w:numId="202">
    <w:abstractNumId w:val="375"/>
  </w:num>
  <w:num w:numId="203">
    <w:abstractNumId w:val="298"/>
  </w:num>
  <w:num w:numId="204">
    <w:abstractNumId w:val="262"/>
  </w:num>
  <w:num w:numId="205">
    <w:abstractNumId w:val="255"/>
  </w:num>
  <w:num w:numId="206">
    <w:abstractNumId w:val="78"/>
  </w:num>
  <w:num w:numId="207">
    <w:abstractNumId w:val="38"/>
  </w:num>
  <w:num w:numId="208">
    <w:abstractNumId w:val="60"/>
  </w:num>
  <w:num w:numId="209">
    <w:abstractNumId w:val="85"/>
  </w:num>
  <w:num w:numId="210">
    <w:abstractNumId w:val="126"/>
  </w:num>
  <w:num w:numId="211">
    <w:abstractNumId w:val="430"/>
  </w:num>
  <w:num w:numId="212">
    <w:abstractNumId w:val="325"/>
  </w:num>
  <w:num w:numId="213">
    <w:abstractNumId w:val="53"/>
  </w:num>
  <w:num w:numId="214">
    <w:abstractNumId w:val="205"/>
  </w:num>
  <w:num w:numId="215">
    <w:abstractNumId w:val="219"/>
  </w:num>
  <w:num w:numId="216">
    <w:abstractNumId w:val="436"/>
  </w:num>
  <w:num w:numId="217">
    <w:abstractNumId w:val="420"/>
  </w:num>
  <w:num w:numId="218">
    <w:abstractNumId w:val="122"/>
  </w:num>
  <w:num w:numId="219">
    <w:abstractNumId w:val="160"/>
  </w:num>
  <w:num w:numId="220">
    <w:abstractNumId w:val="363"/>
  </w:num>
  <w:num w:numId="221">
    <w:abstractNumId w:val="387"/>
  </w:num>
  <w:num w:numId="222">
    <w:abstractNumId w:val="23"/>
  </w:num>
  <w:num w:numId="223">
    <w:abstractNumId w:val="167"/>
  </w:num>
  <w:num w:numId="224">
    <w:abstractNumId w:val="28"/>
  </w:num>
  <w:num w:numId="225">
    <w:abstractNumId w:val="244"/>
  </w:num>
  <w:num w:numId="226">
    <w:abstractNumId w:val="193"/>
  </w:num>
  <w:num w:numId="227">
    <w:abstractNumId w:val="297"/>
  </w:num>
  <w:num w:numId="228">
    <w:abstractNumId w:val="265"/>
  </w:num>
  <w:num w:numId="229">
    <w:abstractNumId w:val="99"/>
  </w:num>
  <w:num w:numId="230">
    <w:abstractNumId w:val="404"/>
  </w:num>
  <w:num w:numId="231">
    <w:abstractNumId w:val="413"/>
  </w:num>
  <w:num w:numId="232">
    <w:abstractNumId w:val="336"/>
  </w:num>
  <w:num w:numId="233">
    <w:abstractNumId w:val="360"/>
  </w:num>
  <w:num w:numId="234">
    <w:abstractNumId w:val="14"/>
  </w:num>
  <w:num w:numId="235">
    <w:abstractNumId w:val="168"/>
  </w:num>
  <w:num w:numId="236">
    <w:abstractNumId w:val="407"/>
  </w:num>
  <w:num w:numId="237">
    <w:abstractNumId w:val="107"/>
  </w:num>
  <w:num w:numId="238">
    <w:abstractNumId w:val="239"/>
  </w:num>
  <w:num w:numId="239">
    <w:abstractNumId w:val="394"/>
  </w:num>
  <w:num w:numId="240">
    <w:abstractNumId w:val="21"/>
  </w:num>
  <w:num w:numId="241">
    <w:abstractNumId w:val="346"/>
  </w:num>
  <w:num w:numId="242">
    <w:abstractNumId w:val="97"/>
  </w:num>
  <w:num w:numId="243">
    <w:abstractNumId w:val="138"/>
  </w:num>
  <w:num w:numId="244">
    <w:abstractNumId w:val="351"/>
  </w:num>
  <w:num w:numId="245">
    <w:abstractNumId w:val="58"/>
  </w:num>
  <w:num w:numId="246">
    <w:abstractNumId w:val="159"/>
  </w:num>
  <w:num w:numId="247">
    <w:abstractNumId w:val="129"/>
  </w:num>
  <w:num w:numId="248">
    <w:abstractNumId w:val="403"/>
  </w:num>
  <w:num w:numId="249">
    <w:abstractNumId w:val="176"/>
  </w:num>
  <w:num w:numId="250">
    <w:abstractNumId w:val="434"/>
  </w:num>
  <w:num w:numId="251">
    <w:abstractNumId w:val="313"/>
  </w:num>
  <w:num w:numId="252">
    <w:abstractNumId w:val="440"/>
  </w:num>
  <w:num w:numId="253">
    <w:abstractNumId w:val="309"/>
  </w:num>
  <w:num w:numId="254">
    <w:abstractNumId w:val="210"/>
  </w:num>
  <w:num w:numId="255">
    <w:abstractNumId w:val="151"/>
  </w:num>
  <w:num w:numId="256">
    <w:abstractNumId w:val="419"/>
  </w:num>
  <w:num w:numId="257">
    <w:abstractNumId w:val="65"/>
  </w:num>
  <w:num w:numId="258">
    <w:abstractNumId w:val="197"/>
  </w:num>
  <w:num w:numId="259">
    <w:abstractNumId w:val="266"/>
  </w:num>
  <w:num w:numId="260">
    <w:abstractNumId w:val="105"/>
  </w:num>
  <w:num w:numId="261">
    <w:abstractNumId w:val="422"/>
  </w:num>
  <w:num w:numId="262">
    <w:abstractNumId w:val="137"/>
  </w:num>
  <w:num w:numId="263">
    <w:abstractNumId w:val="374"/>
  </w:num>
  <w:num w:numId="264">
    <w:abstractNumId w:val="222"/>
  </w:num>
  <w:num w:numId="265">
    <w:abstractNumId w:val="372"/>
  </w:num>
  <w:num w:numId="266">
    <w:abstractNumId w:val="365"/>
  </w:num>
  <w:num w:numId="267">
    <w:abstractNumId w:val="389"/>
  </w:num>
  <w:num w:numId="268">
    <w:abstractNumId w:val="292"/>
  </w:num>
  <w:num w:numId="269">
    <w:abstractNumId w:val="13"/>
  </w:num>
  <w:num w:numId="270">
    <w:abstractNumId w:val="13"/>
    <w:lvlOverride w:ilvl="0">
      <w:startOverride w:val="1"/>
    </w:lvlOverride>
  </w:num>
  <w:num w:numId="271">
    <w:abstractNumId w:val="317"/>
  </w:num>
  <w:num w:numId="272">
    <w:abstractNumId w:val="154"/>
  </w:num>
  <w:num w:numId="273">
    <w:abstractNumId w:val="179"/>
  </w:num>
  <w:num w:numId="274">
    <w:abstractNumId w:val="155"/>
  </w:num>
  <w:num w:numId="275">
    <w:abstractNumId w:val="285"/>
  </w:num>
  <w:num w:numId="276">
    <w:abstractNumId w:val="82"/>
  </w:num>
  <w:num w:numId="277">
    <w:abstractNumId w:val="432"/>
  </w:num>
  <w:num w:numId="278">
    <w:abstractNumId w:val="8"/>
  </w:num>
  <w:num w:numId="279">
    <w:abstractNumId w:val="140"/>
  </w:num>
  <w:num w:numId="280">
    <w:abstractNumId w:val="224"/>
  </w:num>
  <w:num w:numId="281">
    <w:abstractNumId w:val="236"/>
  </w:num>
  <w:num w:numId="282">
    <w:abstractNumId w:val="238"/>
  </w:num>
  <w:num w:numId="283">
    <w:abstractNumId w:val="227"/>
  </w:num>
  <w:num w:numId="284">
    <w:abstractNumId w:val="357"/>
  </w:num>
  <w:num w:numId="285">
    <w:abstractNumId w:val="212"/>
  </w:num>
  <w:num w:numId="286">
    <w:abstractNumId w:val="27"/>
  </w:num>
  <w:num w:numId="287">
    <w:abstractNumId w:val="50"/>
  </w:num>
  <w:num w:numId="288">
    <w:abstractNumId w:val="188"/>
  </w:num>
  <w:num w:numId="289">
    <w:abstractNumId w:val="206"/>
  </w:num>
  <w:num w:numId="290">
    <w:abstractNumId w:val="353"/>
  </w:num>
  <w:num w:numId="291">
    <w:abstractNumId w:val="143"/>
  </w:num>
  <w:num w:numId="292">
    <w:abstractNumId w:val="443"/>
  </w:num>
  <w:num w:numId="293">
    <w:abstractNumId w:val="134"/>
  </w:num>
  <w:num w:numId="294">
    <w:abstractNumId w:val="314"/>
  </w:num>
  <w:num w:numId="295">
    <w:abstractNumId w:val="36"/>
  </w:num>
  <w:num w:numId="296">
    <w:abstractNumId w:val="106"/>
  </w:num>
  <w:num w:numId="297">
    <w:abstractNumId w:val="318"/>
  </w:num>
  <w:num w:numId="298">
    <w:abstractNumId w:val="424"/>
  </w:num>
  <w:num w:numId="299">
    <w:abstractNumId w:val="273"/>
  </w:num>
  <w:num w:numId="300">
    <w:abstractNumId w:val="39"/>
  </w:num>
  <w:num w:numId="301">
    <w:abstractNumId w:val="276"/>
  </w:num>
  <w:num w:numId="302">
    <w:abstractNumId w:val="304"/>
  </w:num>
  <w:num w:numId="303">
    <w:abstractNumId w:val="364"/>
  </w:num>
  <w:num w:numId="304">
    <w:abstractNumId w:val="435"/>
  </w:num>
  <w:num w:numId="305">
    <w:abstractNumId w:val="381"/>
  </w:num>
  <w:num w:numId="306">
    <w:abstractNumId w:val="220"/>
  </w:num>
  <w:num w:numId="307">
    <w:abstractNumId w:val="327"/>
  </w:num>
  <w:num w:numId="308">
    <w:abstractNumId w:val="223"/>
  </w:num>
  <w:num w:numId="309">
    <w:abstractNumId w:val="277"/>
  </w:num>
  <w:num w:numId="310">
    <w:abstractNumId w:val="362"/>
  </w:num>
  <w:num w:numId="311">
    <w:abstractNumId w:val="230"/>
  </w:num>
  <w:num w:numId="312">
    <w:abstractNumId w:val="9"/>
  </w:num>
  <w:num w:numId="313">
    <w:abstractNumId w:val="153"/>
  </w:num>
  <w:num w:numId="314">
    <w:abstractNumId w:val="198"/>
  </w:num>
  <w:num w:numId="315">
    <w:abstractNumId w:val="315"/>
  </w:num>
  <w:num w:numId="316">
    <w:abstractNumId w:val="209"/>
  </w:num>
  <w:num w:numId="317">
    <w:abstractNumId w:val="409"/>
  </w:num>
  <w:num w:numId="318">
    <w:abstractNumId w:val="408"/>
  </w:num>
  <w:num w:numId="319">
    <w:abstractNumId w:val="68"/>
  </w:num>
  <w:num w:numId="320">
    <w:abstractNumId w:val="49"/>
  </w:num>
  <w:num w:numId="321">
    <w:abstractNumId w:val="93"/>
  </w:num>
  <w:num w:numId="322">
    <w:abstractNumId w:val="33"/>
  </w:num>
  <w:num w:numId="323">
    <w:abstractNumId w:val="299"/>
  </w:num>
  <w:num w:numId="324">
    <w:abstractNumId w:val="388"/>
  </w:num>
  <w:num w:numId="325">
    <w:abstractNumId w:val="183"/>
  </w:num>
  <w:num w:numId="326">
    <w:abstractNumId w:val="91"/>
  </w:num>
  <w:num w:numId="327">
    <w:abstractNumId w:val="261"/>
  </w:num>
  <w:num w:numId="328">
    <w:abstractNumId w:val="383"/>
  </w:num>
  <w:num w:numId="329">
    <w:abstractNumId w:val="95"/>
  </w:num>
  <w:num w:numId="330">
    <w:abstractNumId w:val="111"/>
  </w:num>
  <w:num w:numId="331">
    <w:abstractNumId w:val="253"/>
  </w:num>
  <w:num w:numId="332">
    <w:abstractNumId w:val="47"/>
  </w:num>
  <w:num w:numId="333">
    <w:abstractNumId w:val="186"/>
  </w:num>
  <w:num w:numId="334">
    <w:abstractNumId w:val="127"/>
  </w:num>
  <w:num w:numId="335">
    <w:abstractNumId w:val="156"/>
  </w:num>
  <w:num w:numId="336">
    <w:abstractNumId w:val="278"/>
  </w:num>
  <w:num w:numId="337">
    <w:abstractNumId w:val="391"/>
  </w:num>
  <w:num w:numId="338">
    <w:abstractNumId w:val="423"/>
  </w:num>
  <w:num w:numId="339">
    <w:abstractNumId w:val="228"/>
  </w:num>
  <w:num w:numId="340">
    <w:abstractNumId w:val="347"/>
  </w:num>
  <w:num w:numId="341">
    <w:abstractNumId w:val="288"/>
  </w:num>
  <w:num w:numId="342">
    <w:abstractNumId w:val="217"/>
  </w:num>
  <w:num w:numId="343">
    <w:abstractNumId w:val="245"/>
  </w:num>
  <w:num w:numId="344">
    <w:abstractNumId w:val="42"/>
  </w:num>
  <w:num w:numId="345">
    <w:abstractNumId w:val="235"/>
  </w:num>
  <w:num w:numId="346">
    <w:abstractNumId w:val="24"/>
  </w:num>
  <w:num w:numId="347">
    <w:abstractNumId w:val="84"/>
  </w:num>
  <w:num w:numId="348">
    <w:abstractNumId w:val="382"/>
  </w:num>
  <w:num w:numId="349">
    <w:abstractNumId w:val="335"/>
  </w:num>
  <w:num w:numId="350">
    <w:abstractNumId w:val="25"/>
  </w:num>
  <w:num w:numId="351">
    <w:abstractNumId w:val="166"/>
  </w:num>
  <w:num w:numId="352">
    <w:abstractNumId w:val="218"/>
  </w:num>
  <w:num w:numId="353">
    <w:abstractNumId w:val="165"/>
  </w:num>
  <w:num w:numId="354">
    <w:abstractNumId w:val="101"/>
  </w:num>
  <w:num w:numId="355">
    <w:abstractNumId w:val="75"/>
  </w:num>
  <w:num w:numId="356">
    <w:abstractNumId w:val="114"/>
  </w:num>
  <w:num w:numId="357">
    <w:abstractNumId w:val="247"/>
  </w:num>
  <w:num w:numId="358">
    <w:abstractNumId w:val="258"/>
  </w:num>
  <w:num w:numId="359">
    <w:abstractNumId w:val="115"/>
  </w:num>
  <w:num w:numId="360">
    <w:abstractNumId w:val="182"/>
  </w:num>
  <w:num w:numId="361">
    <w:abstractNumId w:val="274"/>
  </w:num>
  <w:num w:numId="362">
    <w:abstractNumId w:val="384"/>
  </w:num>
  <w:num w:numId="363">
    <w:abstractNumId w:val="92"/>
  </w:num>
  <w:num w:numId="364">
    <w:abstractNumId w:val="178"/>
  </w:num>
  <w:num w:numId="365">
    <w:abstractNumId w:val="214"/>
  </w:num>
  <w:num w:numId="366">
    <w:abstractNumId w:val="215"/>
  </w:num>
  <w:num w:numId="367">
    <w:abstractNumId w:val="438"/>
  </w:num>
  <w:num w:numId="368">
    <w:abstractNumId w:val="399"/>
  </w:num>
  <w:num w:numId="369">
    <w:abstractNumId w:val="338"/>
  </w:num>
  <w:num w:numId="370">
    <w:abstractNumId w:val="89"/>
  </w:num>
  <w:num w:numId="371">
    <w:abstractNumId w:val="135"/>
  </w:num>
  <w:num w:numId="372">
    <w:abstractNumId w:val="390"/>
  </w:num>
  <w:num w:numId="373">
    <w:abstractNumId w:val="412"/>
  </w:num>
  <w:num w:numId="374">
    <w:abstractNumId w:val="221"/>
  </w:num>
  <w:num w:numId="375">
    <w:abstractNumId w:val="191"/>
  </w:num>
  <w:num w:numId="376">
    <w:abstractNumId w:val="321"/>
  </w:num>
  <w:num w:numId="377">
    <w:abstractNumId w:val="345"/>
  </w:num>
  <w:num w:numId="378">
    <w:abstractNumId w:val="349"/>
  </w:num>
  <w:num w:numId="379">
    <w:abstractNumId w:val="405"/>
  </w:num>
  <w:num w:numId="380">
    <w:abstractNumId w:val="369"/>
  </w:num>
  <w:num w:numId="381">
    <w:abstractNumId w:val="128"/>
  </w:num>
  <w:num w:numId="382">
    <w:abstractNumId w:val="158"/>
  </w:num>
  <w:num w:numId="383">
    <w:abstractNumId w:val="31"/>
  </w:num>
  <w:num w:numId="384">
    <w:abstractNumId w:val="71"/>
  </w:num>
  <w:num w:numId="385">
    <w:abstractNumId w:val="152"/>
  </w:num>
  <w:num w:numId="386">
    <w:abstractNumId w:val="189"/>
  </w:num>
  <w:num w:numId="387">
    <w:abstractNumId w:val="237"/>
  </w:num>
  <w:num w:numId="388">
    <w:abstractNumId w:val="376"/>
  </w:num>
  <w:num w:numId="389">
    <w:abstractNumId w:val="86"/>
  </w:num>
  <w:num w:numId="390">
    <w:abstractNumId w:val="45"/>
  </w:num>
  <w:num w:numId="391">
    <w:abstractNumId w:val="104"/>
  </w:num>
  <w:num w:numId="392">
    <w:abstractNumId w:val="401"/>
  </w:num>
  <w:num w:numId="393">
    <w:abstractNumId w:val="329"/>
  </w:num>
  <w:num w:numId="394">
    <w:abstractNumId w:val="431"/>
  </w:num>
  <w:num w:numId="395">
    <w:abstractNumId w:val="257"/>
  </w:num>
  <w:num w:numId="396">
    <w:abstractNumId w:val="416"/>
  </w:num>
  <w:num w:numId="397">
    <w:abstractNumId w:val="417"/>
  </w:num>
  <w:num w:numId="398">
    <w:abstractNumId w:val="62"/>
  </w:num>
  <w:num w:numId="399">
    <w:abstractNumId w:val="272"/>
  </w:num>
  <w:num w:numId="400">
    <w:abstractNumId w:val="19"/>
  </w:num>
  <w:num w:numId="401">
    <w:abstractNumId w:val="200"/>
  </w:num>
  <w:num w:numId="402">
    <w:abstractNumId w:val="323"/>
  </w:num>
  <w:num w:numId="403">
    <w:abstractNumId w:val="185"/>
  </w:num>
  <w:num w:numId="404">
    <w:abstractNumId w:val="283"/>
  </w:num>
  <w:num w:numId="405">
    <w:abstractNumId w:val="12"/>
  </w:num>
  <w:num w:numId="406">
    <w:abstractNumId w:val="18"/>
  </w:num>
  <w:num w:numId="407">
    <w:abstractNumId w:val="177"/>
  </w:num>
  <w:num w:numId="408">
    <w:abstractNumId w:val="133"/>
  </w:num>
  <w:num w:numId="409">
    <w:abstractNumId w:val="109"/>
  </w:num>
  <w:num w:numId="410">
    <w:abstractNumId w:val="322"/>
  </w:num>
  <w:num w:numId="411">
    <w:abstractNumId w:val="233"/>
  </w:num>
  <w:num w:numId="412">
    <w:abstractNumId w:val="252"/>
  </w:num>
  <w:num w:numId="413">
    <w:abstractNumId w:val="17"/>
  </w:num>
  <w:num w:numId="414">
    <w:abstractNumId w:val="361"/>
  </w:num>
  <w:num w:numId="415">
    <w:abstractNumId w:val="67"/>
  </w:num>
  <w:num w:numId="416">
    <w:abstractNumId w:val="410"/>
  </w:num>
  <w:num w:numId="417">
    <w:abstractNumId w:val="290"/>
  </w:num>
  <w:num w:numId="418">
    <w:abstractNumId w:val="379"/>
  </w:num>
  <w:num w:numId="419">
    <w:abstractNumId w:val="249"/>
  </w:num>
  <w:num w:numId="420">
    <w:abstractNumId w:val="406"/>
  </w:num>
  <w:num w:numId="421">
    <w:abstractNumId w:val="145"/>
  </w:num>
  <w:num w:numId="422">
    <w:abstractNumId w:val="330"/>
  </w:num>
  <w:num w:numId="423">
    <w:abstractNumId w:val="281"/>
  </w:num>
  <w:num w:numId="424">
    <w:abstractNumId w:val="98"/>
  </w:num>
  <w:num w:numId="425">
    <w:abstractNumId w:val="241"/>
  </w:num>
  <w:num w:numId="426">
    <w:abstractNumId w:val="270"/>
  </w:num>
  <w:num w:numId="427">
    <w:abstractNumId w:val="199"/>
  </w:num>
  <w:num w:numId="428">
    <w:abstractNumId w:val="43"/>
  </w:num>
  <w:num w:numId="429">
    <w:abstractNumId w:val="343"/>
  </w:num>
  <w:num w:numId="430">
    <w:abstractNumId w:val="161"/>
  </w:num>
  <w:num w:numId="431">
    <w:abstractNumId w:val="187"/>
  </w:num>
  <w:num w:numId="432">
    <w:abstractNumId w:val="3"/>
  </w:num>
  <w:num w:numId="433">
    <w:abstractNumId w:val="380"/>
  </w:num>
  <w:num w:numId="434">
    <w:abstractNumId w:val="121"/>
  </w:num>
  <w:num w:numId="435">
    <w:abstractNumId w:val="90"/>
  </w:num>
  <w:num w:numId="436">
    <w:abstractNumId w:val="415"/>
  </w:num>
  <w:num w:numId="437">
    <w:abstractNumId w:val="70"/>
  </w:num>
  <w:num w:numId="438">
    <w:abstractNumId w:val="213"/>
  </w:num>
  <w:num w:numId="439">
    <w:abstractNumId w:val="324"/>
  </w:num>
  <w:num w:numId="440">
    <w:abstractNumId w:val="125"/>
  </w:num>
  <w:num w:numId="441">
    <w:abstractNumId w:val="66"/>
  </w:num>
  <w:num w:numId="442">
    <w:abstractNumId w:val="400"/>
  </w:num>
  <w:num w:numId="443">
    <w:abstractNumId w:val="429"/>
  </w:num>
  <w:num w:numId="444">
    <w:abstractNumId w:val="418"/>
  </w:num>
  <w:num w:numId="445">
    <w:abstractNumId w:val="74"/>
  </w:num>
  <w:num w:numId="446">
    <w:abstractNumId w:val="170"/>
  </w:num>
  <w:numIdMacAtCleanup w:val="4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numRestart w:val="eachPage"/>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39E"/>
    <w:rsid w:val="00000EF8"/>
    <w:rsid w:val="00000F35"/>
    <w:rsid w:val="00000FFD"/>
    <w:rsid w:val="00002C3C"/>
    <w:rsid w:val="000058C2"/>
    <w:rsid w:val="00005D3D"/>
    <w:rsid w:val="000071E3"/>
    <w:rsid w:val="00007CCC"/>
    <w:rsid w:val="000107E9"/>
    <w:rsid w:val="00010BC2"/>
    <w:rsid w:val="00010E6E"/>
    <w:rsid w:val="00011CC7"/>
    <w:rsid w:val="0001220E"/>
    <w:rsid w:val="00014011"/>
    <w:rsid w:val="00014767"/>
    <w:rsid w:val="00015BD8"/>
    <w:rsid w:val="00015EBB"/>
    <w:rsid w:val="000166C5"/>
    <w:rsid w:val="00016BED"/>
    <w:rsid w:val="00016F49"/>
    <w:rsid w:val="00020170"/>
    <w:rsid w:val="000202D1"/>
    <w:rsid w:val="000211B6"/>
    <w:rsid w:val="00021204"/>
    <w:rsid w:val="00021AAF"/>
    <w:rsid w:val="000220D8"/>
    <w:rsid w:val="000229FB"/>
    <w:rsid w:val="00022BE9"/>
    <w:rsid w:val="00023E90"/>
    <w:rsid w:val="00023F25"/>
    <w:rsid w:val="000241D1"/>
    <w:rsid w:val="00025354"/>
    <w:rsid w:val="00025B9E"/>
    <w:rsid w:val="00025C68"/>
    <w:rsid w:val="00025D41"/>
    <w:rsid w:val="00025E7A"/>
    <w:rsid w:val="00026398"/>
    <w:rsid w:val="00026564"/>
    <w:rsid w:val="00026C5C"/>
    <w:rsid w:val="000270FF"/>
    <w:rsid w:val="000303E7"/>
    <w:rsid w:val="00030F5F"/>
    <w:rsid w:val="00031093"/>
    <w:rsid w:val="00031191"/>
    <w:rsid w:val="00031486"/>
    <w:rsid w:val="00031A14"/>
    <w:rsid w:val="00031C15"/>
    <w:rsid w:val="00031CB1"/>
    <w:rsid w:val="00032612"/>
    <w:rsid w:val="000326E9"/>
    <w:rsid w:val="00032C53"/>
    <w:rsid w:val="00032D0E"/>
    <w:rsid w:val="00033004"/>
    <w:rsid w:val="00033207"/>
    <w:rsid w:val="00033997"/>
    <w:rsid w:val="00033A1B"/>
    <w:rsid w:val="000345E9"/>
    <w:rsid w:val="00034D69"/>
    <w:rsid w:val="0003541C"/>
    <w:rsid w:val="00035E73"/>
    <w:rsid w:val="00036AFC"/>
    <w:rsid w:val="0003711C"/>
    <w:rsid w:val="000375D0"/>
    <w:rsid w:val="000377D2"/>
    <w:rsid w:val="000379AE"/>
    <w:rsid w:val="00037CA7"/>
    <w:rsid w:val="00041E15"/>
    <w:rsid w:val="00043185"/>
    <w:rsid w:val="000434C9"/>
    <w:rsid w:val="000435F2"/>
    <w:rsid w:val="00043CA9"/>
    <w:rsid w:val="000440D5"/>
    <w:rsid w:val="000441B9"/>
    <w:rsid w:val="00045A2B"/>
    <w:rsid w:val="00045A53"/>
    <w:rsid w:val="000467C7"/>
    <w:rsid w:val="0004719E"/>
    <w:rsid w:val="000476FD"/>
    <w:rsid w:val="00052F9E"/>
    <w:rsid w:val="00054DCA"/>
    <w:rsid w:val="00055363"/>
    <w:rsid w:val="00055CCB"/>
    <w:rsid w:val="00056326"/>
    <w:rsid w:val="00056AF3"/>
    <w:rsid w:val="00056B1E"/>
    <w:rsid w:val="00057B31"/>
    <w:rsid w:val="0006090F"/>
    <w:rsid w:val="000619E2"/>
    <w:rsid w:val="00062DE4"/>
    <w:rsid w:val="0006317B"/>
    <w:rsid w:val="000632E1"/>
    <w:rsid w:val="000633CE"/>
    <w:rsid w:val="00063AEB"/>
    <w:rsid w:val="00063C5D"/>
    <w:rsid w:val="00065085"/>
    <w:rsid w:val="000651CF"/>
    <w:rsid w:val="000653DC"/>
    <w:rsid w:val="00065A7D"/>
    <w:rsid w:val="000660A4"/>
    <w:rsid w:val="000664B0"/>
    <w:rsid w:val="00066925"/>
    <w:rsid w:val="00066AF1"/>
    <w:rsid w:val="00066C4D"/>
    <w:rsid w:val="00067279"/>
    <w:rsid w:val="000672EE"/>
    <w:rsid w:val="0006791F"/>
    <w:rsid w:val="0007166F"/>
    <w:rsid w:val="00071981"/>
    <w:rsid w:val="00071F64"/>
    <w:rsid w:val="000726BE"/>
    <w:rsid w:val="0007347E"/>
    <w:rsid w:val="000742D8"/>
    <w:rsid w:val="0007498E"/>
    <w:rsid w:val="00075311"/>
    <w:rsid w:val="000764EC"/>
    <w:rsid w:val="00076AA7"/>
    <w:rsid w:val="00077377"/>
    <w:rsid w:val="000773BC"/>
    <w:rsid w:val="000779C1"/>
    <w:rsid w:val="00080EF8"/>
    <w:rsid w:val="00081C08"/>
    <w:rsid w:val="0008205C"/>
    <w:rsid w:val="00082292"/>
    <w:rsid w:val="0008396C"/>
    <w:rsid w:val="0008515F"/>
    <w:rsid w:val="000852EF"/>
    <w:rsid w:val="00085C47"/>
    <w:rsid w:val="00086489"/>
    <w:rsid w:val="0008737A"/>
    <w:rsid w:val="00087DEF"/>
    <w:rsid w:val="00090C06"/>
    <w:rsid w:val="000931F9"/>
    <w:rsid w:val="000936C3"/>
    <w:rsid w:val="00094872"/>
    <w:rsid w:val="00095243"/>
    <w:rsid w:val="00095E29"/>
    <w:rsid w:val="000968D2"/>
    <w:rsid w:val="000971FA"/>
    <w:rsid w:val="00097CE0"/>
    <w:rsid w:val="000A00DE"/>
    <w:rsid w:val="000A026C"/>
    <w:rsid w:val="000A0D2A"/>
    <w:rsid w:val="000A105C"/>
    <w:rsid w:val="000A210A"/>
    <w:rsid w:val="000A2764"/>
    <w:rsid w:val="000A32CA"/>
    <w:rsid w:val="000A3479"/>
    <w:rsid w:val="000A38C7"/>
    <w:rsid w:val="000A3F30"/>
    <w:rsid w:val="000A4430"/>
    <w:rsid w:val="000A4C4C"/>
    <w:rsid w:val="000A4C88"/>
    <w:rsid w:val="000A4E2F"/>
    <w:rsid w:val="000A60A5"/>
    <w:rsid w:val="000A6A36"/>
    <w:rsid w:val="000B084E"/>
    <w:rsid w:val="000B0DB3"/>
    <w:rsid w:val="000B0E83"/>
    <w:rsid w:val="000B1761"/>
    <w:rsid w:val="000B3AE5"/>
    <w:rsid w:val="000B3F4B"/>
    <w:rsid w:val="000B4D3E"/>
    <w:rsid w:val="000B5040"/>
    <w:rsid w:val="000B55EF"/>
    <w:rsid w:val="000B58AD"/>
    <w:rsid w:val="000B591A"/>
    <w:rsid w:val="000B6356"/>
    <w:rsid w:val="000B7304"/>
    <w:rsid w:val="000B75D7"/>
    <w:rsid w:val="000B782C"/>
    <w:rsid w:val="000B7A94"/>
    <w:rsid w:val="000B7AE8"/>
    <w:rsid w:val="000B7E5C"/>
    <w:rsid w:val="000C01C9"/>
    <w:rsid w:val="000C0C00"/>
    <w:rsid w:val="000C245A"/>
    <w:rsid w:val="000C2812"/>
    <w:rsid w:val="000C3189"/>
    <w:rsid w:val="000C359C"/>
    <w:rsid w:val="000C4234"/>
    <w:rsid w:val="000C6345"/>
    <w:rsid w:val="000C70E2"/>
    <w:rsid w:val="000C71AE"/>
    <w:rsid w:val="000C7C64"/>
    <w:rsid w:val="000D042B"/>
    <w:rsid w:val="000D0730"/>
    <w:rsid w:val="000D223F"/>
    <w:rsid w:val="000D2934"/>
    <w:rsid w:val="000D31B0"/>
    <w:rsid w:val="000D412C"/>
    <w:rsid w:val="000D4804"/>
    <w:rsid w:val="000D5030"/>
    <w:rsid w:val="000D51A2"/>
    <w:rsid w:val="000D5319"/>
    <w:rsid w:val="000D551C"/>
    <w:rsid w:val="000D5D3E"/>
    <w:rsid w:val="000D6731"/>
    <w:rsid w:val="000D6E44"/>
    <w:rsid w:val="000D73FF"/>
    <w:rsid w:val="000E19E6"/>
    <w:rsid w:val="000E1C95"/>
    <w:rsid w:val="000E25E9"/>
    <w:rsid w:val="000E2926"/>
    <w:rsid w:val="000E2E79"/>
    <w:rsid w:val="000E3308"/>
    <w:rsid w:val="000E36C4"/>
    <w:rsid w:val="000E391B"/>
    <w:rsid w:val="000E46C9"/>
    <w:rsid w:val="000E538B"/>
    <w:rsid w:val="000E5F6E"/>
    <w:rsid w:val="000E608C"/>
    <w:rsid w:val="000E64BB"/>
    <w:rsid w:val="000E76E0"/>
    <w:rsid w:val="000E78A7"/>
    <w:rsid w:val="000F0DC5"/>
    <w:rsid w:val="000F125B"/>
    <w:rsid w:val="000F149D"/>
    <w:rsid w:val="000F1C45"/>
    <w:rsid w:val="000F2099"/>
    <w:rsid w:val="000F2856"/>
    <w:rsid w:val="000F2925"/>
    <w:rsid w:val="000F2C13"/>
    <w:rsid w:val="000F37B1"/>
    <w:rsid w:val="000F3EB2"/>
    <w:rsid w:val="000F40C8"/>
    <w:rsid w:val="000F61EC"/>
    <w:rsid w:val="000F6482"/>
    <w:rsid w:val="000F6D42"/>
    <w:rsid w:val="000F7412"/>
    <w:rsid w:val="00101607"/>
    <w:rsid w:val="0010250D"/>
    <w:rsid w:val="00102A67"/>
    <w:rsid w:val="0010329A"/>
    <w:rsid w:val="0010367C"/>
    <w:rsid w:val="001040E4"/>
    <w:rsid w:val="0010666E"/>
    <w:rsid w:val="00106974"/>
    <w:rsid w:val="00106ADE"/>
    <w:rsid w:val="00106BA3"/>
    <w:rsid w:val="001070B2"/>
    <w:rsid w:val="0010712C"/>
    <w:rsid w:val="00110362"/>
    <w:rsid w:val="0011300D"/>
    <w:rsid w:val="00113E24"/>
    <w:rsid w:val="001142FF"/>
    <w:rsid w:val="001162B2"/>
    <w:rsid w:val="00116337"/>
    <w:rsid w:val="001166A4"/>
    <w:rsid w:val="00116FE6"/>
    <w:rsid w:val="00117550"/>
    <w:rsid w:val="001201C0"/>
    <w:rsid w:val="001206C4"/>
    <w:rsid w:val="001206E8"/>
    <w:rsid w:val="001207C4"/>
    <w:rsid w:val="00120D3E"/>
    <w:rsid w:val="001217AE"/>
    <w:rsid w:val="001219FA"/>
    <w:rsid w:val="00121E92"/>
    <w:rsid w:val="001229AA"/>
    <w:rsid w:val="00123904"/>
    <w:rsid w:val="00123971"/>
    <w:rsid w:val="00124826"/>
    <w:rsid w:val="00124A60"/>
    <w:rsid w:val="00124B62"/>
    <w:rsid w:val="00124BBC"/>
    <w:rsid w:val="00124C69"/>
    <w:rsid w:val="00124F67"/>
    <w:rsid w:val="00125076"/>
    <w:rsid w:val="0012575C"/>
    <w:rsid w:val="001257B0"/>
    <w:rsid w:val="001257F8"/>
    <w:rsid w:val="00125EE9"/>
    <w:rsid w:val="001260A4"/>
    <w:rsid w:val="0012620E"/>
    <w:rsid w:val="001265B3"/>
    <w:rsid w:val="00127250"/>
    <w:rsid w:val="001277D2"/>
    <w:rsid w:val="0013012F"/>
    <w:rsid w:val="001305E3"/>
    <w:rsid w:val="00131033"/>
    <w:rsid w:val="0013148F"/>
    <w:rsid w:val="001314C6"/>
    <w:rsid w:val="00131755"/>
    <w:rsid w:val="001317EB"/>
    <w:rsid w:val="00132E98"/>
    <w:rsid w:val="001336DB"/>
    <w:rsid w:val="00134502"/>
    <w:rsid w:val="001345E2"/>
    <w:rsid w:val="00135004"/>
    <w:rsid w:val="00135D53"/>
    <w:rsid w:val="00140B58"/>
    <w:rsid w:val="001410A0"/>
    <w:rsid w:val="001411F4"/>
    <w:rsid w:val="001413F0"/>
    <w:rsid w:val="00141FCB"/>
    <w:rsid w:val="00143DBF"/>
    <w:rsid w:val="00143DDF"/>
    <w:rsid w:val="00144558"/>
    <w:rsid w:val="00144924"/>
    <w:rsid w:val="00144B60"/>
    <w:rsid w:val="00145A7F"/>
    <w:rsid w:val="00145DD8"/>
    <w:rsid w:val="00145E3E"/>
    <w:rsid w:val="00146512"/>
    <w:rsid w:val="00146C8A"/>
    <w:rsid w:val="00147A05"/>
    <w:rsid w:val="001502B6"/>
    <w:rsid w:val="001504CB"/>
    <w:rsid w:val="00150775"/>
    <w:rsid w:val="00150B96"/>
    <w:rsid w:val="00151D19"/>
    <w:rsid w:val="001520EF"/>
    <w:rsid w:val="001539AD"/>
    <w:rsid w:val="00154342"/>
    <w:rsid w:val="00154508"/>
    <w:rsid w:val="00154F88"/>
    <w:rsid w:val="001553A5"/>
    <w:rsid w:val="00155B76"/>
    <w:rsid w:val="00155F38"/>
    <w:rsid w:val="00156D39"/>
    <w:rsid w:val="00157A4B"/>
    <w:rsid w:val="001604EC"/>
    <w:rsid w:val="00161352"/>
    <w:rsid w:val="001616F5"/>
    <w:rsid w:val="001622FF"/>
    <w:rsid w:val="0016293D"/>
    <w:rsid w:val="00162AAB"/>
    <w:rsid w:val="00162F9C"/>
    <w:rsid w:val="00163E02"/>
    <w:rsid w:val="00164F23"/>
    <w:rsid w:val="001652FF"/>
    <w:rsid w:val="001667B2"/>
    <w:rsid w:val="0016744F"/>
    <w:rsid w:val="00167DE4"/>
    <w:rsid w:val="0017005E"/>
    <w:rsid w:val="001707F5"/>
    <w:rsid w:val="00170BD7"/>
    <w:rsid w:val="00170DA7"/>
    <w:rsid w:val="00171285"/>
    <w:rsid w:val="00171BCD"/>
    <w:rsid w:val="00173A90"/>
    <w:rsid w:val="00173F6C"/>
    <w:rsid w:val="00174134"/>
    <w:rsid w:val="0017476F"/>
    <w:rsid w:val="00174974"/>
    <w:rsid w:val="00175513"/>
    <w:rsid w:val="001767DA"/>
    <w:rsid w:val="00176DBC"/>
    <w:rsid w:val="0018041D"/>
    <w:rsid w:val="001822A1"/>
    <w:rsid w:val="0018287A"/>
    <w:rsid w:val="00183427"/>
    <w:rsid w:val="00183C9D"/>
    <w:rsid w:val="00183FEA"/>
    <w:rsid w:val="00184B61"/>
    <w:rsid w:val="00185343"/>
    <w:rsid w:val="00187F2B"/>
    <w:rsid w:val="001914EE"/>
    <w:rsid w:val="001915AD"/>
    <w:rsid w:val="00191F64"/>
    <w:rsid w:val="0019299E"/>
    <w:rsid w:val="0019305C"/>
    <w:rsid w:val="001933C8"/>
    <w:rsid w:val="00193F16"/>
    <w:rsid w:val="00194DC4"/>
    <w:rsid w:val="00194FC3"/>
    <w:rsid w:val="00195076"/>
    <w:rsid w:val="0019636C"/>
    <w:rsid w:val="00196BAE"/>
    <w:rsid w:val="001A21B4"/>
    <w:rsid w:val="001A2464"/>
    <w:rsid w:val="001A353D"/>
    <w:rsid w:val="001A3953"/>
    <w:rsid w:val="001A39D3"/>
    <w:rsid w:val="001A409C"/>
    <w:rsid w:val="001A42C7"/>
    <w:rsid w:val="001A499A"/>
    <w:rsid w:val="001A4D94"/>
    <w:rsid w:val="001A5374"/>
    <w:rsid w:val="001A5753"/>
    <w:rsid w:val="001A5C0A"/>
    <w:rsid w:val="001A60EE"/>
    <w:rsid w:val="001A6BFB"/>
    <w:rsid w:val="001A7CD7"/>
    <w:rsid w:val="001B0040"/>
    <w:rsid w:val="001B03FB"/>
    <w:rsid w:val="001B042A"/>
    <w:rsid w:val="001B1441"/>
    <w:rsid w:val="001B2C98"/>
    <w:rsid w:val="001B2F04"/>
    <w:rsid w:val="001B39EE"/>
    <w:rsid w:val="001B476D"/>
    <w:rsid w:val="001B55F6"/>
    <w:rsid w:val="001B567A"/>
    <w:rsid w:val="001B6503"/>
    <w:rsid w:val="001B65FB"/>
    <w:rsid w:val="001B74CA"/>
    <w:rsid w:val="001B76A6"/>
    <w:rsid w:val="001B7F0A"/>
    <w:rsid w:val="001C088E"/>
    <w:rsid w:val="001C0B22"/>
    <w:rsid w:val="001C0B4B"/>
    <w:rsid w:val="001C0DC2"/>
    <w:rsid w:val="001C100D"/>
    <w:rsid w:val="001C13B2"/>
    <w:rsid w:val="001C171F"/>
    <w:rsid w:val="001C1A03"/>
    <w:rsid w:val="001C222A"/>
    <w:rsid w:val="001C30CB"/>
    <w:rsid w:val="001C3361"/>
    <w:rsid w:val="001C452F"/>
    <w:rsid w:val="001C4A7E"/>
    <w:rsid w:val="001C4B2A"/>
    <w:rsid w:val="001C4D48"/>
    <w:rsid w:val="001C501B"/>
    <w:rsid w:val="001C634C"/>
    <w:rsid w:val="001C63B9"/>
    <w:rsid w:val="001C6BE6"/>
    <w:rsid w:val="001C70BA"/>
    <w:rsid w:val="001C71AC"/>
    <w:rsid w:val="001C77FD"/>
    <w:rsid w:val="001D0525"/>
    <w:rsid w:val="001D0F39"/>
    <w:rsid w:val="001D12C1"/>
    <w:rsid w:val="001D13A5"/>
    <w:rsid w:val="001D177B"/>
    <w:rsid w:val="001D19C1"/>
    <w:rsid w:val="001D1A46"/>
    <w:rsid w:val="001D1CD4"/>
    <w:rsid w:val="001D36EB"/>
    <w:rsid w:val="001D445A"/>
    <w:rsid w:val="001D478C"/>
    <w:rsid w:val="001D4912"/>
    <w:rsid w:val="001D4F66"/>
    <w:rsid w:val="001D504A"/>
    <w:rsid w:val="001D53E9"/>
    <w:rsid w:val="001D56AA"/>
    <w:rsid w:val="001D5DEB"/>
    <w:rsid w:val="001D5F2C"/>
    <w:rsid w:val="001D696E"/>
    <w:rsid w:val="001D70C6"/>
    <w:rsid w:val="001D73A8"/>
    <w:rsid w:val="001D7803"/>
    <w:rsid w:val="001E0645"/>
    <w:rsid w:val="001E14C8"/>
    <w:rsid w:val="001E1BF5"/>
    <w:rsid w:val="001E1EDF"/>
    <w:rsid w:val="001E37C7"/>
    <w:rsid w:val="001E498D"/>
    <w:rsid w:val="001E5009"/>
    <w:rsid w:val="001E6139"/>
    <w:rsid w:val="001E64B8"/>
    <w:rsid w:val="001E661E"/>
    <w:rsid w:val="001E7E87"/>
    <w:rsid w:val="001F03E5"/>
    <w:rsid w:val="001F0E0B"/>
    <w:rsid w:val="001F1718"/>
    <w:rsid w:val="001F187B"/>
    <w:rsid w:val="001F2DFF"/>
    <w:rsid w:val="001F46ED"/>
    <w:rsid w:val="001F5925"/>
    <w:rsid w:val="001F5A3A"/>
    <w:rsid w:val="001F6942"/>
    <w:rsid w:val="001F7237"/>
    <w:rsid w:val="001F74A2"/>
    <w:rsid w:val="00200068"/>
    <w:rsid w:val="00200187"/>
    <w:rsid w:val="00201B1E"/>
    <w:rsid w:val="00201CD5"/>
    <w:rsid w:val="00201EA5"/>
    <w:rsid w:val="00202EB0"/>
    <w:rsid w:val="002031AC"/>
    <w:rsid w:val="0020339D"/>
    <w:rsid w:val="002034C3"/>
    <w:rsid w:val="00203596"/>
    <w:rsid w:val="00203B08"/>
    <w:rsid w:val="00204CA5"/>
    <w:rsid w:val="00204FF4"/>
    <w:rsid w:val="00205118"/>
    <w:rsid w:val="00205593"/>
    <w:rsid w:val="00206293"/>
    <w:rsid w:val="00206761"/>
    <w:rsid w:val="00207928"/>
    <w:rsid w:val="00207DAB"/>
    <w:rsid w:val="00211127"/>
    <w:rsid w:val="0021135D"/>
    <w:rsid w:val="00213146"/>
    <w:rsid w:val="002132B8"/>
    <w:rsid w:val="00213AA7"/>
    <w:rsid w:val="00214FB8"/>
    <w:rsid w:val="00215195"/>
    <w:rsid w:val="002151A3"/>
    <w:rsid w:val="0021530A"/>
    <w:rsid w:val="002156B7"/>
    <w:rsid w:val="00215BB6"/>
    <w:rsid w:val="00215FEC"/>
    <w:rsid w:val="00216ECF"/>
    <w:rsid w:val="002176A5"/>
    <w:rsid w:val="0021793A"/>
    <w:rsid w:val="002179BF"/>
    <w:rsid w:val="00220009"/>
    <w:rsid w:val="0022071E"/>
    <w:rsid w:val="00220823"/>
    <w:rsid w:val="00221A4E"/>
    <w:rsid w:val="0022239A"/>
    <w:rsid w:val="0022244C"/>
    <w:rsid w:val="00222A2F"/>
    <w:rsid w:val="00222A58"/>
    <w:rsid w:val="00223422"/>
    <w:rsid w:val="00223559"/>
    <w:rsid w:val="00223595"/>
    <w:rsid w:val="002237FB"/>
    <w:rsid w:val="00223DCA"/>
    <w:rsid w:val="00224173"/>
    <w:rsid w:val="00225009"/>
    <w:rsid w:val="0022568D"/>
    <w:rsid w:val="00225A3A"/>
    <w:rsid w:val="00226B63"/>
    <w:rsid w:val="00226F24"/>
    <w:rsid w:val="00227FC3"/>
    <w:rsid w:val="002301E7"/>
    <w:rsid w:val="00230EAD"/>
    <w:rsid w:val="002310DE"/>
    <w:rsid w:val="00231587"/>
    <w:rsid w:val="002330E1"/>
    <w:rsid w:val="00233E1A"/>
    <w:rsid w:val="002342B1"/>
    <w:rsid w:val="002363E1"/>
    <w:rsid w:val="0023708C"/>
    <w:rsid w:val="002401C7"/>
    <w:rsid w:val="0024083A"/>
    <w:rsid w:val="00240C8A"/>
    <w:rsid w:val="002413FE"/>
    <w:rsid w:val="0024153E"/>
    <w:rsid w:val="002423F5"/>
    <w:rsid w:val="00242668"/>
    <w:rsid w:val="0024276A"/>
    <w:rsid w:val="002427FE"/>
    <w:rsid w:val="00243521"/>
    <w:rsid w:val="00243843"/>
    <w:rsid w:val="0024400B"/>
    <w:rsid w:val="002445A9"/>
    <w:rsid w:val="00244EAD"/>
    <w:rsid w:val="00245441"/>
    <w:rsid w:val="002455AF"/>
    <w:rsid w:val="00246D3C"/>
    <w:rsid w:val="00246D59"/>
    <w:rsid w:val="002470A8"/>
    <w:rsid w:val="0025030E"/>
    <w:rsid w:val="00250B2C"/>
    <w:rsid w:val="00250E92"/>
    <w:rsid w:val="00251050"/>
    <w:rsid w:val="002514AC"/>
    <w:rsid w:val="0025326B"/>
    <w:rsid w:val="00253A1C"/>
    <w:rsid w:val="00253B19"/>
    <w:rsid w:val="00253E92"/>
    <w:rsid w:val="002557DD"/>
    <w:rsid w:val="002566AB"/>
    <w:rsid w:val="0025704E"/>
    <w:rsid w:val="00260198"/>
    <w:rsid w:val="0026069D"/>
    <w:rsid w:val="00261211"/>
    <w:rsid w:val="00261532"/>
    <w:rsid w:val="00261E27"/>
    <w:rsid w:val="00262408"/>
    <w:rsid w:val="0026312B"/>
    <w:rsid w:val="002637DC"/>
    <w:rsid w:val="002638F4"/>
    <w:rsid w:val="00263F6D"/>
    <w:rsid w:val="00264983"/>
    <w:rsid w:val="00264F1A"/>
    <w:rsid w:val="0026504B"/>
    <w:rsid w:val="00265CCD"/>
    <w:rsid w:val="00265D0D"/>
    <w:rsid w:val="00265D16"/>
    <w:rsid w:val="00266064"/>
    <w:rsid w:val="002660B4"/>
    <w:rsid w:val="00266E93"/>
    <w:rsid w:val="00267347"/>
    <w:rsid w:val="002675D8"/>
    <w:rsid w:val="00267C37"/>
    <w:rsid w:val="00267D93"/>
    <w:rsid w:val="0027040C"/>
    <w:rsid w:val="002708A7"/>
    <w:rsid w:val="002708C6"/>
    <w:rsid w:val="00271127"/>
    <w:rsid w:val="00271183"/>
    <w:rsid w:val="00271C84"/>
    <w:rsid w:val="00272B11"/>
    <w:rsid w:val="002733D0"/>
    <w:rsid w:val="0027342A"/>
    <w:rsid w:val="0027420C"/>
    <w:rsid w:val="00275627"/>
    <w:rsid w:val="00275E0F"/>
    <w:rsid w:val="00276BD8"/>
    <w:rsid w:val="00276FA9"/>
    <w:rsid w:val="002775D4"/>
    <w:rsid w:val="002778DA"/>
    <w:rsid w:val="00281C2C"/>
    <w:rsid w:val="00282902"/>
    <w:rsid w:val="002839F4"/>
    <w:rsid w:val="00284580"/>
    <w:rsid w:val="002847E6"/>
    <w:rsid w:val="00284AF9"/>
    <w:rsid w:val="00285B6B"/>
    <w:rsid w:val="0028612B"/>
    <w:rsid w:val="00286245"/>
    <w:rsid w:val="00286608"/>
    <w:rsid w:val="00286D11"/>
    <w:rsid w:val="00286F6B"/>
    <w:rsid w:val="0028729F"/>
    <w:rsid w:val="00287709"/>
    <w:rsid w:val="0029112A"/>
    <w:rsid w:val="002918CE"/>
    <w:rsid w:val="00292096"/>
    <w:rsid w:val="0029236C"/>
    <w:rsid w:val="00292433"/>
    <w:rsid w:val="00292B74"/>
    <w:rsid w:val="002938BA"/>
    <w:rsid w:val="002939A4"/>
    <w:rsid w:val="00293CE5"/>
    <w:rsid w:val="00293E3D"/>
    <w:rsid w:val="002942A0"/>
    <w:rsid w:val="00294917"/>
    <w:rsid w:val="00295429"/>
    <w:rsid w:val="002954EA"/>
    <w:rsid w:val="002960E1"/>
    <w:rsid w:val="0029665F"/>
    <w:rsid w:val="00296B3D"/>
    <w:rsid w:val="00296B58"/>
    <w:rsid w:val="00296B5D"/>
    <w:rsid w:val="00297482"/>
    <w:rsid w:val="00297AF4"/>
    <w:rsid w:val="002A03DD"/>
    <w:rsid w:val="002A1C2A"/>
    <w:rsid w:val="002A2405"/>
    <w:rsid w:val="002A29D1"/>
    <w:rsid w:val="002A381A"/>
    <w:rsid w:val="002A4150"/>
    <w:rsid w:val="002A4E52"/>
    <w:rsid w:val="002A6A01"/>
    <w:rsid w:val="002A6A6F"/>
    <w:rsid w:val="002A6C41"/>
    <w:rsid w:val="002A6E48"/>
    <w:rsid w:val="002A6FEE"/>
    <w:rsid w:val="002A707E"/>
    <w:rsid w:val="002A7831"/>
    <w:rsid w:val="002B016A"/>
    <w:rsid w:val="002B0295"/>
    <w:rsid w:val="002B1BEA"/>
    <w:rsid w:val="002B20C2"/>
    <w:rsid w:val="002B212A"/>
    <w:rsid w:val="002B2854"/>
    <w:rsid w:val="002B35AD"/>
    <w:rsid w:val="002B3635"/>
    <w:rsid w:val="002B46E4"/>
    <w:rsid w:val="002B47FB"/>
    <w:rsid w:val="002B4BE9"/>
    <w:rsid w:val="002B4E9F"/>
    <w:rsid w:val="002B54F6"/>
    <w:rsid w:val="002B5725"/>
    <w:rsid w:val="002B63BD"/>
    <w:rsid w:val="002B65F4"/>
    <w:rsid w:val="002B74C0"/>
    <w:rsid w:val="002B7764"/>
    <w:rsid w:val="002B7BF0"/>
    <w:rsid w:val="002C04C7"/>
    <w:rsid w:val="002C0614"/>
    <w:rsid w:val="002C1812"/>
    <w:rsid w:val="002C2E02"/>
    <w:rsid w:val="002C33A0"/>
    <w:rsid w:val="002C34AB"/>
    <w:rsid w:val="002C387A"/>
    <w:rsid w:val="002C3A16"/>
    <w:rsid w:val="002C3B1C"/>
    <w:rsid w:val="002C4733"/>
    <w:rsid w:val="002C5D2A"/>
    <w:rsid w:val="002C69DC"/>
    <w:rsid w:val="002C6A07"/>
    <w:rsid w:val="002C6CC7"/>
    <w:rsid w:val="002C6F65"/>
    <w:rsid w:val="002C746B"/>
    <w:rsid w:val="002C7814"/>
    <w:rsid w:val="002C7D88"/>
    <w:rsid w:val="002D0052"/>
    <w:rsid w:val="002D0101"/>
    <w:rsid w:val="002D0C31"/>
    <w:rsid w:val="002D1445"/>
    <w:rsid w:val="002D1D14"/>
    <w:rsid w:val="002D1EBF"/>
    <w:rsid w:val="002D20AB"/>
    <w:rsid w:val="002D3233"/>
    <w:rsid w:val="002D3400"/>
    <w:rsid w:val="002D3A20"/>
    <w:rsid w:val="002D43D4"/>
    <w:rsid w:val="002D4DEE"/>
    <w:rsid w:val="002D691E"/>
    <w:rsid w:val="002D6C4C"/>
    <w:rsid w:val="002D74D0"/>
    <w:rsid w:val="002D7CBA"/>
    <w:rsid w:val="002E04B6"/>
    <w:rsid w:val="002E0AB8"/>
    <w:rsid w:val="002E2161"/>
    <w:rsid w:val="002E28CE"/>
    <w:rsid w:val="002E467F"/>
    <w:rsid w:val="002E4CCA"/>
    <w:rsid w:val="002E4E84"/>
    <w:rsid w:val="002E6209"/>
    <w:rsid w:val="002E696D"/>
    <w:rsid w:val="002E6F4B"/>
    <w:rsid w:val="002E6F71"/>
    <w:rsid w:val="002E7DC5"/>
    <w:rsid w:val="002E7F03"/>
    <w:rsid w:val="002F0346"/>
    <w:rsid w:val="002F0684"/>
    <w:rsid w:val="002F0B0D"/>
    <w:rsid w:val="002F19A6"/>
    <w:rsid w:val="002F1E65"/>
    <w:rsid w:val="002F2AF1"/>
    <w:rsid w:val="002F2E2B"/>
    <w:rsid w:val="002F349B"/>
    <w:rsid w:val="002F374A"/>
    <w:rsid w:val="002F3F28"/>
    <w:rsid w:val="002F4112"/>
    <w:rsid w:val="002F4387"/>
    <w:rsid w:val="002F4822"/>
    <w:rsid w:val="002F4A01"/>
    <w:rsid w:val="002F4AA9"/>
    <w:rsid w:val="002F4FE7"/>
    <w:rsid w:val="002F5128"/>
    <w:rsid w:val="002F594D"/>
    <w:rsid w:val="002F5EF8"/>
    <w:rsid w:val="002F626D"/>
    <w:rsid w:val="002F665F"/>
    <w:rsid w:val="002F6717"/>
    <w:rsid w:val="002F7A6A"/>
    <w:rsid w:val="002F7ED3"/>
    <w:rsid w:val="002F7EE6"/>
    <w:rsid w:val="003002E5"/>
    <w:rsid w:val="003009B0"/>
    <w:rsid w:val="00300FAF"/>
    <w:rsid w:val="00300FF2"/>
    <w:rsid w:val="00301CC8"/>
    <w:rsid w:val="00301D4C"/>
    <w:rsid w:val="00302086"/>
    <w:rsid w:val="00302097"/>
    <w:rsid w:val="003023CB"/>
    <w:rsid w:val="003023FB"/>
    <w:rsid w:val="00302C13"/>
    <w:rsid w:val="00304688"/>
    <w:rsid w:val="00304AE9"/>
    <w:rsid w:val="00304B0B"/>
    <w:rsid w:val="00304BAD"/>
    <w:rsid w:val="00304FDB"/>
    <w:rsid w:val="00306B63"/>
    <w:rsid w:val="00307BFE"/>
    <w:rsid w:val="00307C11"/>
    <w:rsid w:val="00307C9E"/>
    <w:rsid w:val="0031023D"/>
    <w:rsid w:val="00310EB9"/>
    <w:rsid w:val="003116AD"/>
    <w:rsid w:val="00311792"/>
    <w:rsid w:val="003119F9"/>
    <w:rsid w:val="00312078"/>
    <w:rsid w:val="0031209B"/>
    <w:rsid w:val="0031317B"/>
    <w:rsid w:val="003133DB"/>
    <w:rsid w:val="003138BF"/>
    <w:rsid w:val="0031400A"/>
    <w:rsid w:val="003140E7"/>
    <w:rsid w:val="00314214"/>
    <w:rsid w:val="00314996"/>
    <w:rsid w:val="00314D08"/>
    <w:rsid w:val="00315898"/>
    <w:rsid w:val="00315B93"/>
    <w:rsid w:val="00316960"/>
    <w:rsid w:val="00316C5A"/>
    <w:rsid w:val="00316D8B"/>
    <w:rsid w:val="0031709C"/>
    <w:rsid w:val="003177D7"/>
    <w:rsid w:val="00317AAC"/>
    <w:rsid w:val="00317D34"/>
    <w:rsid w:val="003203B4"/>
    <w:rsid w:val="00320BBF"/>
    <w:rsid w:val="003220F0"/>
    <w:rsid w:val="003223AD"/>
    <w:rsid w:val="0032271A"/>
    <w:rsid w:val="00322C59"/>
    <w:rsid w:val="003233AA"/>
    <w:rsid w:val="00323E6F"/>
    <w:rsid w:val="00324145"/>
    <w:rsid w:val="003241CE"/>
    <w:rsid w:val="00324210"/>
    <w:rsid w:val="003246E9"/>
    <w:rsid w:val="00324BEF"/>
    <w:rsid w:val="0032545E"/>
    <w:rsid w:val="00325DDF"/>
    <w:rsid w:val="00326369"/>
    <w:rsid w:val="0032646B"/>
    <w:rsid w:val="00326AE2"/>
    <w:rsid w:val="003278CF"/>
    <w:rsid w:val="00330A83"/>
    <w:rsid w:val="00331103"/>
    <w:rsid w:val="00331C12"/>
    <w:rsid w:val="00332109"/>
    <w:rsid w:val="003335FC"/>
    <w:rsid w:val="00333B78"/>
    <w:rsid w:val="00334D66"/>
    <w:rsid w:val="003357DB"/>
    <w:rsid w:val="003359F2"/>
    <w:rsid w:val="00335A50"/>
    <w:rsid w:val="00335EC0"/>
    <w:rsid w:val="003362C0"/>
    <w:rsid w:val="00337EE8"/>
    <w:rsid w:val="0034069F"/>
    <w:rsid w:val="00340B75"/>
    <w:rsid w:val="00341D1C"/>
    <w:rsid w:val="003421C1"/>
    <w:rsid w:val="00342765"/>
    <w:rsid w:val="003429B8"/>
    <w:rsid w:val="00342FFC"/>
    <w:rsid w:val="00344234"/>
    <w:rsid w:val="003452A6"/>
    <w:rsid w:val="0034595C"/>
    <w:rsid w:val="00345B9B"/>
    <w:rsid w:val="0034631C"/>
    <w:rsid w:val="003463ED"/>
    <w:rsid w:val="003464CD"/>
    <w:rsid w:val="00347848"/>
    <w:rsid w:val="003479CD"/>
    <w:rsid w:val="00347B22"/>
    <w:rsid w:val="00350891"/>
    <w:rsid w:val="00350B53"/>
    <w:rsid w:val="003510E0"/>
    <w:rsid w:val="00351BF6"/>
    <w:rsid w:val="00351C62"/>
    <w:rsid w:val="00351FEC"/>
    <w:rsid w:val="00352133"/>
    <w:rsid w:val="0035225A"/>
    <w:rsid w:val="0035278C"/>
    <w:rsid w:val="00352ABB"/>
    <w:rsid w:val="00353068"/>
    <w:rsid w:val="00353DD6"/>
    <w:rsid w:val="003541D4"/>
    <w:rsid w:val="00354409"/>
    <w:rsid w:val="003560CB"/>
    <w:rsid w:val="00356224"/>
    <w:rsid w:val="003565A6"/>
    <w:rsid w:val="00356E4C"/>
    <w:rsid w:val="003573BF"/>
    <w:rsid w:val="00357A3D"/>
    <w:rsid w:val="00360EBB"/>
    <w:rsid w:val="00361F66"/>
    <w:rsid w:val="00361F6D"/>
    <w:rsid w:val="003622E6"/>
    <w:rsid w:val="00362EB8"/>
    <w:rsid w:val="003634C4"/>
    <w:rsid w:val="0036475D"/>
    <w:rsid w:val="0036482C"/>
    <w:rsid w:val="0036515A"/>
    <w:rsid w:val="00365313"/>
    <w:rsid w:val="00366934"/>
    <w:rsid w:val="0036710E"/>
    <w:rsid w:val="00370A53"/>
    <w:rsid w:val="003719F1"/>
    <w:rsid w:val="0037209E"/>
    <w:rsid w:val="00372252"/>
    <w:rsid w:val="0037315C"/>
    <w:rsid w:val="00373175"/>
    <w:rsid w:val="003732B5"/>
    <w:rsid w:val="003732C2"/>
    <w:rsid w:val="0037368A"/>
    <w:rsid w:val="003738AC"/>
    <w:rsid w:val="00373E79"/>
    <w:rsid w:val="003749BF"/>
    <w:rsid w:val="00375B20"/>
    <w:rsid w:val="00375CC2"/>
    <w:rsid w:val="00375D3B"/>
    <w:rsid w:val="00376CA5"/>
    <w:rsid w:val="003772F7"/>
    <w:rsid w:val="00377A8F"/>
    <w:rsid w:val="00380FEC"/>
    <w:rsid w:val="00381736"/>
    <w:rsid w:val="0038177F"/>
    <w:rsid w:val="00381BEF"/>
    <w:rsid w:val="00381C49"/>
    <w:rsid w:val="00381C5D"/>
    <w:rsid w:val="003829A8"/>
    <w:rsid w:val="00384694"/>
    <w:rsid w:val="003846BA"/>
    <w:rsid w:val="00384B9B"/>
    <w:rsid w:val="00385DC4"/>
    <w:rsid w:val="00386143"/>
    <w:rsid w:val="00386C0C"/>
    <w:rsid w:val="00387358"/>
    <w:rsid w:val="00387E36"/>
    <w:rsid w:val="003901F4"/>
    <w:rsid w:val="00392FFA"/>
    <w:rsid w:val="00393B72"/>
    <w:rsid w:val="00394107"/>
    <w:rsid w:val="003941E7"/>
    <w:rsid w:val="00394252"/>
    <w:rsid w:val="00394313"/>
    <w:rsid w:val="00394BA6"/>
    <w:rsid w:val="00395098"/>
    <w:rsid w:val="00397981"/>
    <w:rsid w:val="00397AD9"/>
    <w:rsid w:val="003A009F"/>
    <w:rsid w:val="003A1367"/>
    <w:rsid w:val="003A14B3"/>
    <w:rsid w:val="003A1A06"/>
    <w:rsid w:val="003A1C0C"/>
    <w:rsid w:val="003A1FEC"/>
    <w:rsid w:val="003A301F"/>
    <w:rsid w:val="003A3780"/>
    <w:rsid w:val="003A3C4E"/>
    <w:rsid w:val="003A437F"/>
    <w:rsid w:val="003A43AF"/>
    <w:rsid w:val="003A505C"/>
    <w:rsid w:val="003A5AD7"/>
    <w:rsid w:val="003A5D8D"/>
    <w:rsid w:val="003A65FA"/>
    <w:rsid w:val="003A69D1"/>
    <w:rsid w:val="003A6EAF"/>
    <w:rsid w:val="003B00FF"/>
    <w:rsid w:val="003B0C89"/>
    <w:rsid w:val="003B185C"/>
    <w:rsid w:val="003B1CB5"/>
    <w:rsid w:val="003B1DDB"/>
    <w:rsid w:val="003B2220"/>
    <w:rsid w:val="003B2B82"/>
    <w:rsid w:val="003B3435"/>
    <w:rsid w:val="003B3CF6"/>
    <w:rsid w:val="003B49A4"/>
    <w:rsid w:val="003B521C"/>
    <w:rsid w:val="003B61BD"/>
    <w:rsid w:val="003B61C9"/>
    <w:rsid w:val="003B6579"/>
    <w:rsid w:val="003B6742"/>
    <w:rsid w:val="003B7AA5"/>
    <w:rsid w:val="003C0675"/>
    <w:rsid w:val="003C18D6"/>
    <w:rsid w:val="003C1A9F"/>
    <w:rsid w:val="003C26E1"/>
    <w:rsid w:val="003C376D"/>
    <w:rsid w:val="003C5319"/>
    <w:rsid w:val="003C5E14"/>
    <w:rsid w:val="003C60FD"/>
    <w:rsid w:val="003C652C"/>
    <w:rsid w:val="003C7054"/>
    <w:rsid w:val="003C7A04"/>
    <w:rsid w:val="003D000C"/>
    <w:rsid w:val="003D0F0A"/>
    <w:rsid w:val="003D0F51"/>
    <w:rsid w:val="003D1DDD"/>
    <w:rsid w:val="003D2973"/>
    <w:rsid w:val="003D30B0"/>
    <w:rsid w:val="003D3722"/>
    <w:rsid w:val="003D4515"/>
    <w:rsid w:val="003D4E88"/>
    <w:rsid w:val="003D515B"/>
    <w:rsid w:val="003D5389"/>
    <w:rsid w:val="003D589C"/>
    <w:rsid w:val="003D5A56"/>
    <w:rsid w:val="003D5E7A"/>
    <w:rsid w:val="003D6212"/>
    <w:rsid w:val="003D7A3A"/>
    <w:rsid w:val="003E093B"/>
    <w:rsid w:val="003E0975"/>
    <w:rsid w:val="003E20BC"/>
    <w:rsid w:val="003E27FC"/>
    <w:rsid w:val="003E2EAE"/>
    <w:rsid w:val="003E50AA"/>
    <w:rsid w:val="003E534B"/>
    <w:rsid w:val="003E5614"/>
    <w:rsid w:val="003E58F4"/>
    <w:rsid w:val="003E59D2"/>
    <w:rsid w:val="003E5F0F"/>
    <w:rsid w:val="003E60F8"/>
    <w:rsid w:val="003E6B3D"/>
    <w:rsid w:val="003E6EDD"/>
    <w:rsid w:val="003E704C"/>
    <w:rsid w:val="003F0309"/>
    <w:rsid w:val="003F051C"/>
    <w:rsid w:val="003F126F"/>
    <w:rsid w:val="003F140E"/>
    <w:rsid w:val="003F1AFB"/>
    <w:rsid w:val="003F2581"/>
    <w:rsid w:val="003F2A5B"/>
    <w:rsid w:val="003F2D88"/>
    <w:rsid w:val="003F3620"/>
    <w:rsid w:val="003F3A77"/>
    <w:rsid w:val="003F4765"/>
    <w:rsid w:val="003F48E5"/>
    <w:rsid w:val="003F5A73"/>
    <w:rsid w:val="003F5BA2"/>
    <w:rsid w:val="003F60CA"/>
    <w:rsid w:val="003F6797"/>
    <w:rsid w:val="003F79BD"/>
    <w:rsid w:val="003F7A8F"/>
    <w:rsid w:val="0040049B"/>
    <w:rsid w:val="004010C2"/>
    <w:rsid w:val="00401ACE"/>
    <w:rsid w:val="00401AFC"/>
    <w:rsid w:val="00402306"/>
    <w:rsid w:val="00402CB2"/>
    <w:rsid w:val="00403368"/>
    <w:rsid w:val="00404147"/>
    <w:rsid w:val="0040634F"/>
    <w:rsid w:val="00407BA5"/>
    <w:rsid w:val="00410710"/>
    <w:rsid w:val="00410B06"/>
    <w:rsid w:val="00411843"/>
    <w:rsid w:val="00411BE9"/>
    <w:rsid w:val="00411CF9"/>
    <w:rsid w:val="00411E19"/>
    <w:rsid w:val="00412222"/>
    <w:rsid w:val="004122F5"/>
    <w:rsid w:val="0041234C"/>
    <w:rsid w:val="00412678"/>
    <w:rsid w:val="00412A0D"/>
    <w:rsid w:val="00412C1B"/>
    <w:rsid w:val="00412D90"/>
    <w:rsid w:val="004132F9"/>
    <w:rsid w:val="00413955"/>
    <w:rsid w:val="00413A3A"/>
    <w:rsid w:val="00413CDE"/>
    <w:rsid w:val="00413E8B"/>
    <w:rsid w:val="00415060"/>
    <w:rsid w:val="00415E4E"/>
    <w:rsid w:val="00416FC4"/>
    <w:rsid w:val="004171E8"/>
    <w:rsid w:val="00417A78"/>
    <w:rsid w:val="00417F28"/>
    <w:rsid w:val="00417FF9"/>
    <w:rsid w:val="00420588"/>
    <w:rsid w:val="00420ADD"/>
    <w:rsid w:val="00420E19"/>
    <w:rsid w:val="00420FB4"/>
    <w:rsid w:val="004211D4"/>
    <w:rsid w:val="00421FCA"/>
    <w:rsid w:val="00422E35"/>
    <w:rsid w:val="0042391B"/>
    <w:rsid w:val="00423F27"/>
    <w:rsid w:val="00424005"/>
    <w:rsid w:val="00424A10"/>
    <w:rsid w:val="00424FC7"/>
    <w:rsid w:val="004253AA"/>
    <w:rsid w:val="004256F1"/>
    <w:rsid w:val="0042663A"/>
    <w:rsid w:val="00426A15"/>
    <w:rsid w:val="00426F2E"/>
    <w:rsid w:val="00427F5D"/>
    <w:rsid w:val="00430F0F"/>
    <w:rsid w:val="004313F3"/>
    <w:rsid w:val="0043323C"/>
    <w:rsid w:val="00433D3A"/>
    <w:rsid w:val="00434E17"/>
    <w:rsid w:val="0043789E"/>
    <w:rsid w:val="00440589"/>
    <w:rsid w:val="00440F1D"/>
    <w:rsid w:val="00442928"/>
    <w:rsid w:val="00442F87"/>
    <w:rsid w:val="00443814"/>
    <w:rsid w:val="00443988"/>
    <w:rsid w:val="00443A7C"/>
    <w:rsid w:val="00444D42"/>
    <w:rsid w:val="00445896"/>
    <w:rsid w:val="0044596A"/>
    <w:rsid w:val="00445B13"/>
    <w:rsid w:val="00445B40"/>
    <w:rsid w:val="00445C3C"/>
    <w:rsid w:val="00446C4B"/>
    <w:rsid w:val="0044755F"/>
    <w:rsid w:val="0044766E"/>
    <w:rsid w:val="00450691"/>
    <w:rsid w:val="00450EA2"/>
    <w:rsid w:val="004511E7"/>
    <w:rsid w:val="00451284"/>
    <w:rsid w:val="004516A0"/>
    <w:rsid w:val="004516D3"/>
    <w:rsid w:val="0045242E"/>
    <w:rsid w:val="0045262A"/>
    <w:rsid w:val="00452AC2"/>
    <w:rsid w:val="00453B61"/>
    <w:rsid w:val="00453F39"/>
    <w:rsid w:val="00454109"/>
    <w:rsid w:val="004551BE"/>
    <w:rsid w:val="00455583"/>
    <w:rsid w:val="00455886"/>
    <w:rsid w:val="00455CD8"/>
    <w:rsid w:val="00455E20"/>
    <w:rsid w:val="004576A3"/>
    <w:rsid w:val="0046250A"/>
    <w:rsid w:val="00462CDB"/>
    <w:rsid w:val="00462D53"/>
    <w:rsid w:val="00463870"/>
    <w:rsid w:val="004648C4"/>
    <w:rsid w:val="0046518D"/>
    <w:rsid w:val="0046526C"/>
    <w:rsid w:val="00465DCE"/>
    <w:rsid w:val="00465E1D"/>
    <w:rsid w:val="00466486"/>
    <w:rsid w:val="00466A29"/>
    <w:rsid w:val="0046742A"/>
    <w:rsid w:val="00467979"/>
    <w:rsid w:val="004712E4"/>
    <w:rsid w:val="00471EE8"/>
    <w:rsid w:val="004724AE"/>
    <w:rsid w:val="00472C8C"/>
    <w:rsid w:val="00472EFF"/>
    <w:rsid w:val="00473FC5"/>
    <w:rsid w:val="0047420C"/>
    <w:rsid w:val="004743BF"/>
    <w:rsid w:val="00474472"/>
    <w:rsid w:val="00474562"/>
    <w:rsid w:val="004745B8"/>
    <w:rsid w:val="0047477C"/>
    <w:rsid w:val="00474F3A"/>
    <w:rsid w:val="004758D0"/>
    <w:rsid w:val="004764CB"/>
    <w:rsid w:val="00476C1B"/>
    <w:rsid w:val="00477B4C"/>
    <w:rsid w:val="00480A9F"/>
    <w:rsid w:val="00480ED3"/>
    <w:rsid w:val="004825E0"/>
    <w:rsid w:val="00482664"/>
    <w:rsid w:val="00483696"/>
    <w:rsid w:val="00483B9A"/>
    <w:rsid w:val="0048419A"/>
    <w:rsid w:val="00485749"/>
    <w:rsid w:val="00485E93"/>
    <w:rsid w:val="00486C5C"/>
    <w:rsid w:val="00486D5F"/>
    <w:rsid w:val="004874AA"/>
    <w:rsid w:val="00490167"/>
    <w:rsid w:val="00490D16"/>
    <w:rsid w:val="004912E3"/>
    <w:rsid w:val="004924C5"/>
    <w:rsid w:val="004934F4"/>
    <w:rsid w:val="00494669"/>
    <w:rsid w:val="0049659D"/>
    <w:rsid w:val="00496EAC"/>
    <w:rsid w:val="00497333"/>
    <w:rsid w:val="004A0A6E"/>
    <w:rsid w:val="004A0CE2"/>
    <w:rsid w:val="004A11FD"/>
    <w:rsid w:val="004A15D4"/>
    <w:rsid w:val="004A2D0D"/>
    <w:rsid w:val="004A3D93"/>
    <w:rsid w:val="004A4B46"/>
    <w:rsid w:val="004A5935"/>
    <w:rsid w:val="004A62D4"/>
    <w:rsid w:val="004A65B6"/>
    <w:rsid w:val="004A6C10"/>
    <w:rsid w:val="004A7008"/>
    <w:rsid w:val="004A798A"/>
    <w:rsid w:val="004B0AEF"/>
    <w:rsid w:val="004B0CD6"/>
    <w:rsid w:val="004B0CF7"/>
    <w:rsid w:val="004B11CB"/>
    <w:rsid w:val="004B1F84"/>
    <w:rsid w:val="004B2405"/>
    <w:rsid w:val="004B2E1E"/>
    <w:rsid w:val="004B5710"/>
    <w:rsid w:val="004B7434"/>
    <w:rsid w:val="004C0080"/>
    <w:rsid w:val="004C1558"/>
    <w:rsid w:val="004C1844"/>
    <w:rsid w:val="004C1905"/>
    <w:rsid w:val="004C2BCD"/>
    <w:rsid w:val="004C4901"/>
    <w:rsid w:val="004C4BAA"/>
    <w:rsid w:val="004C4E23"/>
    <w:rsid w:val="004C6211"/>
    <w:rsid w:val="004C623E"/>
    <w:rsid w:val="004C765C"/>
    <w:rsid w:val="004D067D"/>
    <w:rsid w:val="004D0C19"/>
    <w:rsid w:val="004D1673"/>
    <w:rsid w:val="004D190D"/>
    <w:rsid w:val="004D3871"/>
    <w:rsid w:val="004D4DD6"/>
    <w:rsid w:val="004D55DD"/>
    <w:rsid w:val="004D56E0"/>
    <w:rsid w:val="004D598F"/>
    <w:rsid w:val="004D5B67"/>
    <w:rsid w:val="004D5C5B"/>
    <w:rsid w:val="004D5D78"/>
    <w:rsid w:val="004D66D9"/>
    <w:rsid w:val="004D686D"/>
    <w:rsid w:val="004D6A59"/>
    <w:rsid w:val="004D6B9A"/>
    <w:rsid w:val="004D6F62"/>
    <w:rsid w:val="004D7025"/>
    <w:rsid w:val="004D7D8E"/>
    <w:rsid w:val="004E0A6F"/>
    <w:rsid w:val="004E1522"/>
    <w:rsid w:val="004E1638"/>
    <w:rsid w:val="004E1793"/>
    <w:rsid w:val="004E180C"/>
    <w:rsid w:val="004E1AD1"/>
    <w:rsid w:val="004E1FA8"/>
    <w:rsid w:val="004E1FBF"/>
    <w:rsid w:val="004E27DD"/>
    <w:rsid w:val="004E3B51"/>
    <w:rsid w:val="004E51A8"/>
    <w:rsid w:val="004E59F3"/>
    <w:rsid w:val="004E5BEE"/>
    <w:rsid w:val="004E6654"/>
    <w:rsid w:val="004E77C5"/>
    <w:rsid w:val="004F0812"/>
    <w:rsid w:val="004F0A2D"/>
    <w:rsid w:val="004F1D42"/>
    <w:rsid w:val="004F3E89"/>
    <w:rsid w:val="004F4072"/>
    <w:rsid w:val="004F4CFD"/>
    <w:rsid w:val="004F4D14"/>
    <w:rsid w:val="004F57EB"/>
    <w:rsid w:val="004F57F4"/>
    <w:rsid w:val="004F5C4C"/>
    <w:rsid w:val="004F60D2"/>
    <w:rsid w:val="004F6E7A"/>
    <w:rsid w:val="004F7570"/>
    <w:rsid w:val="004F7656"/>
    <w:rsid w:val="004F76C5"/>
    <w:rsid w:val="004F7B70"/>
    <w:rsid w:val="005002D1"/>
    <w:rsid w:val="00500E3B"/>
    <w:rsid w:val="00501A19"/>
    <w:rsid w:val="00501C52"/>
    <w:rsid w:val="00501D90"/>
    <w:rsid w:val="00501DEF"/>
    <w:rsid w:val="00502194"/>
    <w:rsid w:val="005025BE"/>
    <w:rsid w:val="00502A4B"/>
    <w:rsid w:val="00502CC1"/>
    <w:rsid w:val="00502E41"/>
    <w:rsid w:val="00503647"/>
    <w:rsid w:val="005037DC"/>
    <w:rsid w:val="00503833"/>
    <w:rsid w:val="005038C2"/>
    <w:rsid w:val="00503B50"/>
    <w:rsid w:val="0050486F"/>
    <w:rsid w:val="0050511C"/>
    <w:rsid w:val="005055EB"/>
    <w:rsid w:val="0050581E"/>
    <w:rsid w:val="00505A5B"/>
    <w:rsid w:val="00506D64"/>
    <w:rsid w:val="00506FFF"/>
    <w:rsid w:val="005071F2"/>
    <w:rsid w:val="00510A60"/>
    <w:rsid w:val="00511BBB"/>
    <w:rsid w:val="00511C36"/>
    <w:rsid w:val="00512862"/>
    <w:rsid w:val="00513039"/>
    <w:rsid w:val="0051327B"/>
    <w:rsid w:val="00513B85"/>
    <w:rsid w:val="00514F98"/>
    <w:rsid w:val="00514FB4"/>
    <w:rsid w:val="005154FD"/>
    <w:rsid w:val="00515EBD"/>
    <w:rsid w:val="00515FC7"/>
    <w:rsid w:val="0051676F"/>
    <w:rsid w:val="005174F3"/>
    <w:rsid w:val="005175BC"/>
    <w:rsid w:val="00517667"/>
    <w:rsid w:val="00517E5D"/>
    <w:rsid w:val="0052017B"/>
    <w:rsid w:val="00520697"/>
    <w:rsid w:val="00521577"/>
    <w:rsid w:val="00521805"/>
    <w:rsid w:val="00521A7B"/>
    <w:rsid w:val="00522CF3"/>
    <w:rsid w:val="00522F47"/>
    <w:rsid w:val="0052487E"/>
    <w:rsid w:val="0052539E"/>
    <w:rsid w:val="005254F1"/>
    <w:rsid w:val="005256AE"/>
    <w:rsid w:val="00526105"/>
    <w:rsid w:val="005266F7"/>
    <w:rsid w:val="00526B2B"/>
    <w:rsid w:val="00526B31"/>
    <w:rsid w:val="005272FA"/>
    <w:rsid w:val="0052734B"/>
    <w:rsid w:val="005279D0"/>
    <w:rsid w:val="005279D2"/>
    <w:rsid w:val="005316C7"/>
    <w:rsid w:val="00531F82"/>
    <w:rsid w:val="005337AB"/>
    <w:rsid w:val="005348B9"/>
    <w:rsid w:val="00534972"/>
    <w:rsid w:val="00535016"/>
    <w:rsid w:val="00535631"/>
    <w:rsid w:val="00536780"/>
    <w:rsid w:val="00537384"/>
    <w:rsid w:val="005400BE"/>
    <w:rsid w:val="00540290"/>
    <w:rsid w:val="005429FF"/>
    <w:rsid w:val="00542E5A"/>
    <w:rsid w:val="00542F0E"/>
    <w:rsid w:val="005432F2"/>
    <w:rsid w:val="005433F4"/>
    <w:rsid w:val="00543764"/>
    <w:rsid w:val="00543CA2"/>
    <w:rsid w:val="00543D82"/>
    <w:rsid w:val="0054598D"/>
    <w:rsid w:val="00545EE9"/>
    <w:rsid w:val="005469BC"/>
    <w:rsid w:val="00546D13"/>
    <w:rsid w:val="00547F8D"/>
    <w:rsid w:val="005543CA"/>
    <w:rsid w:val="005543EB"/>
    <w:rsid w:val="0055466E"/>
    <w:rsid w:val="0055552B"/>
    <w:rsid w:val="00555CBC"/>
    <w:rsid w:val="005566DC"/>
    <w:rsid w:val="00556A8E"/>
    <w:rsid w:val="005570B3"/>
    <w:rsid w:val="0055728E"/>
    <w:rsid w:val="00557EF8"/>
    <w:rsid w:val="00560044"/>
    <w:rsid w:val="00560490"/>
    <w:rsid w:val="0056177F"/>
    <w:rsid w:val="0056251D"/>
    <w:rsid w:val="00562612"/>
    <w:rsid w:val="00562837"/>
    <w:rsid w:val="00562B15"/>
    <w:rsid w:val="00563159"/>
    <w:rsid w:val="00563174"/>
    <w:rsid w:val="0056391C"/>
    <w:rsid w:val="00563E60"/>
    <w:rsid w:val="005643DE"/>
    <w:rsid w:val="005644D0"/>
    <w:rsid w:val="0056454D"/>
    <w:rsid w:val="005651CC"/>
    <w:rsid w:val="00566990"/>
    <w:rsid w:val="005674A7"/>
    <w:rsid w:val="00567771"/>
    <w:rsid w:val="00567A90"/>
    <w:rsid w:val="00567D70"/>
    <w:rsid w:val="0057091E"/>
    <w:rsid w:val="00570CC6"/>
    <w:rsid w:val="00572AAF"/>
    <w:rsid w:val="0057337F"/>
    <w:rsid w:val="00576294"/>
    <w:rsid w:val="00576462"/>
    <w:rsid w:val="00576AF8"/>
    <w:rsid w:val="005770FA"/>
    <w:rsid w:val="00577104"/>
    <w:rsid w:val="00577307"/>
    <w:rsid w:val="00577ABC"/>
    <w:rsid w:val="00577BB0"/>
    <w:rsid w:val="00577D28"/>
    <w:rsid w:val="00580092"/>
    <w:rsid w:val="00581019"/>
    <w:rsid w:val="005827D1"/>
    <w:rsid w:val="00582D37"/>
    <w:rsid w:val="00583685"/>
    <w:rsid w:val="00583B53"/>
    <w:rsid w:val="0058472F"/>
    <w:rsid w:val="005849AB"/>
    <w:rsid w:val="00584C2D"/>
    <w:rsid w:val="00584FB6"/>
    <w:rsid w:val="005875CF"/>
    <w:rsid w:val="00592B16"/>
    <w:rsid w:val="00593894"/>
    <w:rsid w:val="005938E1"/>
    <w:rsid w:val="005943B6"/>
    <w:rsid w:val="005961D3"/>
    <w:rsid w:val="00596D82"/>
    <w:rsid w:val="005A0F3A"/>
    <w:rsid w:val="005A1C6D"/>
    <w:rsid w:val="005A361B"/>
    <w:rsid w:val="005A3A7E"/>
    <w:rsid w:val="005A3A8E"/>
    <w:rsid w:val="005A44BA"/>
    <w:rsid w:val="005A4595"/>
    <w:rsid w:val="005A46D6"/>
    <w:rsid w:val="005A6EE3"/>
    <w:rsid w:val="005A715B"/>
    <w:rsid w:val="005A74D1"/>
    <w:rsid w:val="005A7D80"/>
    <w:rsid w:val="005B1146"/>
    <w:rsid w:val="005B1ABA"/>
    <w:rsid w:val="005B1CA1"/>
    <w:rsid w:val="005B2969"/>
    <w:rsid w:val="005B299C"/>
    <w:rsid w:val="005B3B14"/>
    <w:rsid w:val="005B50AA"/>
    <w:rsid w:val="005B5D67"/>
    <w:rsid w:val="005B66FB"/>
    <w:rsid w:val="005B793F"/>
    <w:rsid w:val="005B7D61"/>
    <w:rsid w:val="005C01AF"/>
    <w:rsid w:val="005C14A1"/>
    <w:rsid w:val="005C1734"/>
    <w:rsid w:val="005C1885"/>
    <w:rsid w:val="005C197A"/>
    <w:rsid w:val="005C2C86"/>
    <w:rsid w:val="005C3162"/>
    <w:rsid w:val="005C4D16"/>
    <w:rsid w:val="005C5870"/>
    <w:rsid w:val="005C5E07"/>
    <w:rsid w:val="005C689B"/>
    <w:rsid w:val="005C697F"/>
    <w:rsid w:val="005C6BFE"/>
    <w:rsid w:val="005C71FC"/>
    <w:rsid w:val="005C75AC"/>
    <w:rsid w:val="005D1346"/>
    <w:rsid w:val="005D1B6B"/>
    <w:rsid w:val="005D1E41"/>
    <w:rsid w:val="005D26F6"/>
    <w:rsid w:val="005D2936"/>
    <w:rsid w:val="005D33A7"/>
    <w:rsid w:val="005D3A16"/>
    <w:rsid w:val="005D4327"/>
    <w:rsid w:val="005D4C98"/>
    <w:rsid w:val="005D5173"/>
    <w:rsid w:val="005D5549"/>
    <w:rsid w:val="005D57FB"/>
    <w:rsid w:val="005D5C89"/>
    <w:rsid w:val="005D6091"/>
    <w:rsid w:val="005D6214"/>
    <w:rsid w:val="005D72B9"/>
    <w:rsid w:val="005D73C3"/>
    <w:rsid w:val="005E018E"/>
    <w:rsid w:val="005E23B6"/>
    <w:rsid w:val="005E2C8B"/>
    <w:rsid w:val="005E2F53"/>
    <w:rsid w:val="005E48BB"/>
    <w:rsid w:val="005E559E"/>
    <w:rsid w:val="005E59DC"/>
    <w:rsid w:val="005E61D4"/>
    <w:rsid w:val="005E641B"/>
    <w:rsid w:val="005E6539"/>
    <w:rsid w:val="005E74CA"/>
    <w:rsid w:val="005E7B19"/>
    <w:rsid w:val="005F0437"/>
    <w:rsid w:val="005F0A22"/>
    <w:rsid w:val="005F0D21"/>
    <w:rsid w:val="005F1E64"/>
    <w:rsid w:val="005F34D4"/>
    <w:rsid w:val="005F386B"/>
    <w:rsid w:val="005F3BC0"/>
    <w:rsid w:val="005F3F7B"/>
    <w:rsid w:val="005F5833"/>
    <w:rsid w:val="005F6073"/>
    <w:rsid w:val="005F68D4"/>
    <w:rsid w:val="005F70ED"/>
    <w:rsid w:val="005F77ED"/>
    <w:rsid w:val="005F7DBA"/>
    <w:rsid w:val="0060032B"/>
    <w:rsid w:val="00600769"/>
    <w:rsid w:val="00601189"/>
    <w:rsid w:val="00601DCC"/>
    <w:rsid w:val="006022A4"/>
    <w:rsid w:val="0060230F"/>
    <w:rsid w:val="00602394"/>
    <w:rsid w:val="00602598"/>
    <w:rsid w:val="00603768"/>
    <w:rsid w:val="0060478F"/>
    <w:rsid w:val="0060486E"/>
    <w:rsid w:val="0060611A"/>
    <w:rsid w:val="006066F7"/>
    <w:rsid w:val="00607716"/>
    <w:rsid w:val="00610CD4"/>
    <w:rsid w:val="00611F33"/>
    <w:rsid w:val="00612C89"/>
    <w:rsid w:val="00612D17"/>
    <w:rsid w:val="00613C0D"/>
    <w:rsid w:val="00613D9A"/>
    <w:rsid w:val="006149E0"/>
    <w:rsid w:val="00615B18"/>
    <w:rsid w:val="0061706A"/>
    <w:rsid w:val="00617077"/>
    <w:rsid w:val="006170CA"/>
    <w:rsid w:val="0062041C"/>
    <w:rsid w:val="00620D74"/>
    <w:rsid w:val="00622675"/>
    <w:rsid w:val="00622960"/>
    <w:rsid w:val="00623DBC"/>
    <w:rsid w:val="00623F3E"/>
    <w:rsid w:val="0062404A"/>
    <w:rsid w:val="0062526B"/>
    <w:rsid w:val="0062640D"/>
    <w:rsid w:val="0062773B"/>
    <w:rsid w:val="00627B2B"/>
    <w:rsid w:val="00627D5B"/>
    <w:rsid w:val="0063095D"/>
    <w:rsid w:val="0063159A"/>
    <w:rsid w:val="00631FD4"/>
    <w:rsid w:val="00631FDA"/>
    <w:rsid w:val="00632056"/>
    <w:rsid w:val="006334E7"/>
    <w:rsid w:val="00633EE7"/>
    <w:rsid w:val="0063414A"/>
    <w:rsid w:val="00634D0C"/>
    <w:rsid w:val="00635806"/>
    <w:rsid w:val="00635AEF"/>
    <w:rsid w:val="00635C32"/>
    <w:rsid w:val="0063665E"/>
    <w:rsid w:val="00636910"/>
    <w:rsid w:val="00636A89"/>
    <w:rsid w:val="00637008"/>
    <w:rsid w:val="00637907"/>
    <w:rsid w:val="00640B41"/>
    <w:rsid w:val="00640C58"/>
    <w:rsid w:val="006418D5"/>
    <w:rsid w:val="00641E75"/>
    <w:rsid w:val="006422D6"/>
    <w:rsid w:val="00643023"/>
    <w:rsid w:val="00643297"/>
    <w:rsid w:val="00643DD7"/>
    <w:rsid w:val="00644875"/>
    <w:rsid w:val="00645027"/>
    <w:rsid w:val="0064596A"/>
    <w:rsid w:val="00646031"/>
    <w:rsid w:val="006461A4"/>
    <w:rsid w:val="00646313"/>
    <w:rsid w:val="00646532"/>
    <w:rsid w:val="0064691C"/>
    <w:rsid w:val="006469F0"/>
    <w:rsid w:val="00646A3E"/>
    <w:rsid w:val="0064776F"/>
    <w:rsid w:val="006501EA"/>
    <w:rsid w:val="006506AD"/>
    <w:rsid w:val="006506EC"/>
    <w:rsid w:val="00651050"/>
    <w:rsid w:val="006516B6"/>
    <w:rsid w:val="00651CD7"/>
    <w:rsid w:val="00652EE5"/>
    <w:rsid w:val="006542C2"/>
    <w:rsid w:val="00655E91"/>
    <w:rsid w:val="00656946"/>
    <w:rsid w:val="006569D9"/>
    <w:rsid w:val="006572AB"/>
    <w:rsid w:val="00657620"/>
    <w:rsid w:val="0065777C"/>
    <w:rsid w:val="0066017B"/>
    <w:rsid w:val="00660850"/>
    <w:rsid w:val="006629A3"/>
    <w:rsid w:val="00663157"/>
    <w:rsid w:val="006631C7"/>
    <w:rsid w:val="0066357A"/>
    <w:rsid w:val="006637BF"/>
    <w:rsid w:val="00664CF0"/>
    <w:rsid w:val="0066536A"/>
    <w:rsid w:val="00665874"/>
    <w:rsid w:val="006665C3"/>
    <w:rsid w:val="006665E6"/>
    <w:rsid w:val="0066756E"/>
    <w:rsid w:val="0066768C"/>
    <w:rsid w:val="00667E39"/>
    <w:rsid w:val="00667FB3"/>
    <w:rsid w:val="0067069B"/>
    <w:rsid w:val="00670732"/>
    <w:rsid w:val="00670E25"/>
    <w:rsid w:val="00670E5B"/>
    <w:rsid w:val="00671212"/>
    <w:rsid w:val="00671EC5"/>
    <w:rsid w:val="00672C5C"/>
    <w:rsid w:val="006743C2"/>
    <w:rsid w:val="0067441F"/>
    <w:rsid w:val="00675061"/>
    <w:rsid w:val="00675215"/>
    <w:rsid w:val="006803FC"/>
    <w:rsid w:val="006806CC"/>
    <w:rsid w:val="00680B85"/>
    <w:rsid w:val="00680BDE"/>
    <w:rsid w:val="00680F25"/>
    <w:rsid w:val="00681945"/>
    <w:rsid w:val="0068225C"/>
    <w:rsid w:val="00682368"/>
    <w:rsid w:val="00682589"/>
    <w:rsid w:val="00682E37"/>
    <w:rsid w:val="00683744"/>
    <w:rsid w:val="00683F93"/>
    <w:rsid w:val="006854B0"/>
    <w:rsid w:val="006869DB"/>
    <w:rsid w:val="00686D83"/>
    <w:rsid w:val="00687779"/>
    <w:rsid w:val="0069021F"/>
    <w:rsid w:val="006905AD"/>
    <w:rsid w:val="00692066"/>
    <w:rsid w:val="00692F56"/>
    <w:rsid w:val="006934A1"/>
    <w:rsid w:val="006934CD"/>
    <w:rsid w:val="00693509"/>
    <w:rsid w:val="00693719"/>
    <w:rsid w:val="0069407A"/>
    <w:rsid w:val="00694F1B"/>
    <w:rsid w:val="00695249"/>
    <w:rsid w:val="00695B85"/>
    <w:rsid w:val="00695EAA"/>
    <w:rsid w:val="00696705"/>
    <w:rsid w:val="00697241"/>
    <w:rsid w:val="0069781B"/>
    <w:rsid w:val="006A0933"/>
    <w:rsid w:val="006A1459"/>
    <w:rsid w:val="006A1B6A"/>
    <w:rsid w:val="006A2575"/>
    <w:rsid w:val="006A2972"/>
    <w:rsid w:val="006A2DCA"/>
    <w:rsid w:val="006A539C"/>
    <w:rsid w:val="006A578B"/>
    <w:rsid w:val="006A5A5D"/>
    <w:rsid w:val="006A675A"/>
    <w:rsid w:val="006A7C57"/>
    <w:rsid w:val="006B06FD"/>
    <w:rsid w:val="006B09E1"/>
    <w:rsid w:val="006B0DC2"/>
    <w:rsid w:val="006B0FAE"/>
    <w:rsid w:val="006B1D98"/>
    <w:rsid w:val="006B2FE6"/>
    <w:rsid w:val="006B3F52"/>
    <w:rsid w:val="006B48A5"/>
    <w:rsid w:val="006B5A80"/>
    <w:rsid w:val="006B7D83"/>
    <w:rsid w:val="006C0655"/>
    <w:rsid w:val="006C0A83"/>
    <w:rsid w:val="006C2062"/>
    <w:rsid w:val="006C240F"/>
    <w:rsid w:val="006C2CB6"/>
    <w:rsid w:val="006C38A8"/>
    <w:rsid w:val="006C4179"/>
    <w:rsid w:val="006C423D"/>
    <w:rsid w:val="006C5223"/>
    <w:rsid w:val="006C6037"/>
    <w:rsid w:val="006C68C5"/>
    <w:rsid w:val="006C71B9"/>
    <w:rsid w:val="006C79F0"/>
    <w:rsid w:val="006D0855"/>
    <w:rsid w:val="006D17C0"/>
    <w:rsid w:val="006D1876"/>
    <w:rsid w:val="006D1D6D"/>
    <w:rsid w:val="006D1E26"/>
    <w:rsid w:val="006D23F1"/>
    <w:rsid w:val="006D26DC"/>
    <w:rsid w:val="006D27A8"/>
    <w:rsid w:val="006D27CD"/>
    <w:rsid w:val="006D2C88"/>
    <w:rsid w:val="006D324F"/>
    <w:rsid w:val="006D3AAB"/>
    <w:rsid w:val="006D5FE4"/>
    <w:rsid w:val="006D620F"/>
    <w:rsid w:val="006D63F3"/>
    <w:rsid w:val="006D66E9"/>
    <w:rsid w:val="006D69B3"/>
    <w:rsid w:val="006D7311"/>
    <w:rsid w:val="006E0018"/>
    <w:rsid w:val="006E022A"/>
    <w:rsid w:val="006E0425"/>
    <w:rsid w:val="006E0A06"/>
    <w:rsid w:val="006E1237"/>
    <w:rsid w:val="006E1915"/>
    <w:rsid w:val="006E2008"/>
    <w:rsid w:val="006E21AB"/>
    <w:rsid w:val="006E2D45"/>
    <w:rsid w:val="006E3126"/>
    <w:rsid w:val="006E3717"/>
    <w:rsid w:val="006E3B90"/>
    <w:rsid w:val="006E4BE0"/>
    <w:rsid w:val="006E4DD5"/>
    <w:rsid w:val="006E6739"/>
    <w:rsid w:val="006E6AD1"/>
    <w:rsid w:val="006E6D05"/>
    <w:rsid w:val="006E6D3F"/>
    <w:rsid w:val="006E715F"/>
    <w:rsid w:val="006E766F"/>
    <w:rsid w:val="006E7C86"/>
    <w:rsid w:val="006F0320"/>
    <w:rsid w:val="006F0354"/>
    <w:rsid w:val="006F058C"/>
    <w:rsid w:val="006F13B1"/>
    <w:rsid w:val="006F2356"/>
    <w:rsid w:val="006F275A"/>
    <w:rsid w:val="006F33D1"/>
    <w:rsid w:val="006F3B70"/>
    <w:rsid w:val="006F4776"/>
    <w:rsid w:val="006F4943"/>
    <w:rsid w:val="006F507F"/>
    <w:rsid w:val="006F5D7A"/>
    <w:rsid w:val="006F6223"/>
    <w:rsid w:val="006F6358"/>
    <w:rsid w:val="006F647A"/>
    <w:rsid w:val="006F6F9C"/>
    <w:rsid w:val="0070000C"/>
    <w:rsid w:val="0070045D"/>
    <w:rsid w:val="00700B17"/>
    <w:rsid w:val="007018AF"/>
    <w:rsid w:val="00701A6F"/>
    <w:rsid w:val="00701CE7"/>
    <w:rsid w:val="00702273"/>
    <w:rsid w:val="007028E7"/>
    <w:rsid w:val="00703EBD"/>
    <w:rsid w:val="0070424D"/>
    <w:rsid w:val="0070457C"/>
    <w:rsid w:val="0070507D"/>
    <w:rsid w:val="00705083"/>
    <w:rsid w:val="0070537D"/>
    <w:rsid w:val="007053BF"/>
    <w:rsid w:val="0070653F"/>
    <w:rsid w:val="0070727B"/>
    <w:rsid w:val="00710AEB"/>
    <w:rsid w:val="007111ED"/>
    <w:rsid w:val="007115A1"/>
    <w:rsid w:val="00711EE1"/>
    <w:rsid w:val="007120A0"/>
    <w:rsid w:val="0071308B"/>
    <w:rsid w:val="00713666"/>
    <w:rsid w:val="007147C7"/>
    <w:rsid w:val="00714CE3"/>
    <w:rsid w:val="00714D9E"/>
    <w:rsid w:val="00714EA3"/>
    <w:rsid w:val="007159A1"/>
    <w:rsid w:val="00715D4C"/>
    <w:rsid w:val="00716471"/>
    <w:rsid w:val="007172F2"/>
    <w:rsid w:val="00717387"/>
    <w:rsid w:val="00717D85"/>
    <w:rsid w:val="00717F06"/>
    <w:rsid w:val="00720CAD"/>
    <w:rsid w:val="00721352"/>
    <w:rsid w:val="007215B3"/>
    <w:rsid w:val="00721A11"/>
    <w:rsid w:val="00721AC7"/>
    <w:rsid w:val="00721E19"/>
    <w:rsid w:val="00721F97"/>
    <w:rsid w:val="0072303B"/>
    <w:rsid w:val="007236AA"/>
    <w:rsid w:val="00724BE1"/>
    <w:rsid w:val="00725F3F"/>
    <w:rsid w:val="00726C4B"/>
    <w:rsid w:val="007318C1"/>
    <w:rsid w:val="007324A9"/>
    <w:rsid w:val="007325A0"/>
    <w:rsid w:val="00733169"/>
    <w:rsid w:val="007335EC"/>
    <w:rsid w:val="00734231"/>
    <w:rsid w:val="0073434C"/>
    <w:rsid w:val="00735188"/>
    <w:rsid w:val="00735347"/>
    <w:rsid w:val="00735381"/>
    <w:rsid w:val="007357C1"/>
    <w:rsid w:val="00735831"/>
    <w:rsid w:val="0073599B"/>
    <w:rsid w:val="00735B7A"/>
    <w:rsid w:val="007362E8"/>
    <w:rsid w:val="007368D2"/>
    <w:rsid w:val="00737011"/>
    <w:rsid w:val="007379CB"/>
    <w:rsid w:val="00737EE2"/>
    <w:rsid w:val="007405F1"/>
    <w:rsid w:val="0074166E"/>
    <w:rsid w:val="00741F39"/>
    <w:rsid w:val="00741F68"/>
    <w:rsid w:val="007430E0"/>
    <w:rsid w:val="007443A2"/>
    <w:rsid w:val="007449BA"/>
    <w:rsid w:val="00745BC4"/>
    <w:rsid w:val="00746979"/>
    <w:rsid w:val="00746BDA"/>
    <w:rsid w:val="00747210"/>
    <w:rsid w:val="00747318"/>
    <w:rsid w:val="007508D1"/>
    <w:rsid w:val="007509B3"/>
    <w:rsid w:val="00751676"/>
    <w:rsid w:val="00751B19"/>
    <w:rsid w:val="00751C32"/>
    <w:rsid w:val="00751C61"/>
    <w:rsid w:val="00752C5A"/>
    <w:rsid w:val="007542CE"/>
    <w:rsid w:val="00754474"/>
    <w:rsid w:val="00754A14"/>
    <w:rsid w:val="00756DBA"/>
    <w:rsid w:val="00756F4D"/>
    <w:rsid w:val="00760367"/>
    <w:rsid w:val="00760E89"/>
    <w:rsid w:val="007616B4"/>
    <w:rsid w:val="0076235C"/>
    <w:rsid w:val="00763194"/>
    <w:rsid w:val="007637E4"/>
    <w:rsid w:val="0076405A"/>
    <w:rsid w:val="00764182"/>
    <w:rsid w:val="0076453E"/>
    <w:rsid w:val="007658A6"/>
    <w:rsid w:val="007658C4"/>
    <w:rsid w:val="007659EC"/>
    <w:rsid w:val="007663CA"/>
    <w:rsid w:val="0076654B"/>
    <w:rsid w:val="0076678F"/>
    <w:rsid w:val="00766B37"/>
    <w:rsid w:val="00766DF7"/>
    <w:rsid w:val="007674EA"/>
    <w:rsid w:val="0077032A"/>
    <w:rsid w:val="007703E4"/>
    <w:rsid w:val="00770767"/>
    <w:rsid w:val="00770FAA"/>
    <w:rsid w:val="00771428"/>
    <w:rsid w:val="00771A2A"/>
    <w:rsid w:val="00771E02"/>
    <w:rsid w:val="00771E19"/>
    <w:rsid w:val="0077228E"/>
    <w:rsid w:val="00772784"/>
    <w:rsid w:val="0077313B"/>
    <w:rsid w:val="007736E5"/>
    <w:rsid w:val="007749AF"/>
    <w:rsid w:val="007751C3"/>
    <w:rsid w:val="00775828"/>
    <w:rsid w:val="00775ACE"/>
    <w:rsid w:val="0077632D"/>
    <w:rsid w:val="00776A27"/>
    <w:rsid w:val="00780A02"/>
    <w:rsid w:val="007811A6"/>
    <w:rsid w:val="007811DB"/>
    <w:rsid w:val="00781819"/>
    <w:rsid w:val="00781A70"/>
    <w:rsid w:val="00781F39"/>
    <w:rsid w:val="00782256"/>
    <w:rsid w:val="00782483"/>
    <w:rsid w:val="0078289F"/>
    <w:rsid w:val="00782B09"/>
    <w:rsid w:val="00782B36"/>
    <w:rsid w:val="00782D82"/>
    <w:rsid w:val="0078301B"/>
    <w:rsid w:val="00784283"/>
    <w:rsid w:val="007845FD"/>
    <w:rsid w:val="00784903"/>
    <w:rsid w:val="00784C40"/>
    <w:rsid w:val="0078605C"/>
    <w:rsid w:val="00787436"/>
    <w:rsid w:val="00787EFE"/>
    <w:rsid w:val="007903DB"/>
    <w:rsid w:val="00790970"/>
    <w:rsid w:val="00790A4F"/>
    <w:rsid w:val="00791098"/>
    <w:rsid w:val="007915C0"/>
    <w:rsid w:val="0079382B"/>
    <w:rsid w:val="00793D45"/>
    <w:rsid w:val="007955F2"/>
    <w:rsid w:val="007966F5"/>
    <w:rsid w:val="0079693F"/>
    <w:rsid w:val="0079715D"/>
    <w:rsid w:val="007A0027"/>
    <w:rsid w:val="007A0271"/>
    <w:rsid w:val="007A074E"/>
    <w:rsid w:val="007A0F16"/>
    <w:rsid w:val="007A1336"/>
    <w:rsid w:val="007A1653"/>
    <w:rsid w:val="007A2272"/>
    <w:rsid w:val="007A315C"/>
    <w:rsid w:val="007A324F"/>
    <w:rsid w:val="007A32BB"/>
    <w:rsid w:val="007A40B2"/>
    <w:rsid w:val="007A5089"/>
    <w:rsid w:val="007A5C32"/>
    <w:rsid w:val="007A62E6"/>
    <w:rsid w:val="007A6651"/>
    <w:rsid w:val="007A699C"/>
    <w:rsid w:val="007A705B"/>
    <w:rsid w:val="007A747D"/>
    <w:rsid w:val="007A78F3"/>
    <w:rsid w:val="007A79C3"/>
    <w:rsid w:val="007A7CC9"/>
    <w:rsid w:val="007A7D90"/>
    <w:rsid w:val="007B045D"/>
    <w:rsid w:val="007B1202"/>
    <w:rsid w:val="007B12AF"/>
    <w:rsid w:val="007B2267"/>
    <w:rsid w:val="007B234D"/>
    <w:rsid w:val="007B2819"/>
    <w:rsid w:val="007B28C3"/>
    <w:rsid w:val="007B2A3A"/>
    <w:rsid w:val="007B2CED"/>
    <w:rsid w:val="007B328D"/>
    <w:rsid w:val="007B4274"/>
    <w:rsid w:val="007B50F0"/>
    <w:rsid w:val="007B7187"/>
    <w:rsid w:val="007B7FAD"/>
    <w:rsid w:val="007C1152"/>
    <w:rsid w:val="007C1CBC"/>
    <w:rsid w:val="007C2C86"/>
    <w:rsid w:val="007C2F50"/>
    <w:rsid w:val="007C3873"/>
    <w:rsid w:val="007C3C91"/>
    <w:rsid w:val="007C4228"/>
    <w:rsid w:val="007C43B9"/>
    <w:rsid w:val="007C46B5"/>
    <w:rsid w:val="007C4E2C"/>
    <w:rsid w:val="007C5B1F"/>
    <w:rsid w:val="007C5C0D"/>
    <w:rsid w:val="007C74AE"/>
    <w:rsid w:val="007D00B3"/>
    <w:rsid w:val="007D03FD"/>
    <w:rsid w:val="007D0CE0"/>
    <w:rsid w:val="007D2846"/>
    <w:rsid w:val="007D2D82"/>
    <w:rsid w:val="007D37D4"/>
    <w:rsid w:val="007D3BE8"/>
    <w:rsid w:val="007D5CA5"/>
    <w:rsid w:val="007D648D"/>
    <w:rsid w:val="007D75C4"/>
    <w:rsid w:val="007D7632"/>
    <w:rsid w:val="007D7969"/>
    <w:rsid w:val="007D7A67"/>
    <w:rsid w:val="007D7DA0"/>
    <w:rsid w:val="007E03CA"/>
    <w:rsid w:val="007E0897"/>
    <w:rsid w:val="007E1558"/>
    <w:rsid w:val="007E21B2"/>
    <w:rsid w:val="007E2E32"/>
    <w:rsid w:val="007E3CC9"/>
    <w:rsid w:val="007E49CC"/>
    <w:rsid w:val="007E528C"/>
    <w:rsid w:val="007E5537"/>
    <w:rsid w:val="007E6320"/>
    <w:rsid w:val="007E6352"/>
    <w:rsid w:val="007F111D"/>
    <w:rsid w:val="007F1286"/>
    <w:rsid w:val="007F2AB5"/>
    <w:rsid w:val="007F2D16"/>
    <w:rsid w:val="007F33F8"/>
    <w:rsid w:val="007F3A2F"/>
    <w:rsid w:val="007F4A04"/>
    <w:rsid w:val="007F5D1C"/>
    <w:rsid w:val="007F5F8F"/>
    <w:rsid w:val="007F6144"/>
    <w:rsid w:val="007F69EB"/>
    <w:rsid w:val="007F7789"/>
    <w:rsid w:val="00800F4E"/>
    <w:rsid w:val="00801455"/>
    <w:rsid w:val="008017EF"/>
    <w:rsid w:val="00801ABF"/>
    <w:rsid w:val="00802213"/>
    <w:rsid w:val="0080318E"/>
    <w:rsid w:val="00803414"/>
    <w:rsid w:val="0080348C"/>
    <w:rsid w:val="00803886"/>
    <w:rsid w:val="00803B80"/>
    <w:rsid w:val="00803EC1"/>
    <w:rsid w:val="008047F2"/>
    <w:rsid w:val="00805000"/>
    <w:rsid w:val="008053CC"/>
    <w:rsid w:val="00805644"/>
    <w:rsid w:val="00805BAB"/>
    <w:rsid w:val="00806740"/>
    <w:rsid w:val="008067BB"/>
    <w:rsid w:val="00806CE1"/>
    <w:rsid w:val="00806E4E"/>
    <w:rsid w:val="00806F76"/>
    <w:rsid w:val="00807C34"/>
    <w:rsid w:val="00807FBC"/>
    <w:rsid w:val="008108B7"/>
    <w:rsid w:val="00811092"/>
    <w:rsid w:val="00812796"/>
    <w:rsid w:val="00813018"/>
    <w:rsid w:val="00813126"/>
    <w:rsid w:val="00813164"/>
    <w:rsid w:val="008133DA"/>
    <w:rsid w:val="008134E7"/>
    <w:rsid w:val="008140BC"/>
    <w:rsid w:val="00814801"/>
    <w:rsid w:val="00814F5B"/>
    <w:rsid w:val="0081537B"/>
    <w:rsid w:val="00815CC1"/>
    <w:rsid w:val="00816A8F"/>
    <w:rsid w:val="00817CA8"/>
    <w:rsid w:val="008205F8"/>
    <w:rsid w:val="008208CA"/>
    <w:rsid w:val="00822213"/>
    <w:rsid w:val="00822242"/>
    <w:rsid w:val="00823764"/>
    <w:rsid w:val="008257FA"/>
    <w:rsid w:val="00825EB4"/>
    <w:rsid w:val="00825FC7"/>
    <w:rsid w:val="00826196"/>
    <w:rsid w:val="008300AB"/>
    <w:rsid w:val="0083065B"/>
    <w:rsid w:val="00830D37"/>
    <w:rsid w:val="008310F1"/>
    <w:rsid w:val="00832D24"/>
    <w:rsid w:val="00832DB3"/>
    <w:rsid w:val="00832F2A"/>
    <w:rsid w:val="00834372"/>
    <w:rsid w:val="00834DEB"/>
    <w:rsid w:val="008359C4"/>
    <w:rsid w:val="00836FAD"/>
    <w:rsid w:val="00840A85"/>
    <w:rsid w:val="00840E5B"/>
    <w:rsid w:val="00841EC6"/>
    <w:rsid w:val="0084290E"/>
    <w:rsid w:val="00843403"/>
    <w:rsid w:val="008434E8"/>
    <w:rsid w:val="00844110"/>
    <w:rsid w:val="00844830"/>
    <w:rsid w:val="00844921"/>
    <w:rsid w:val="00844A64"/>
    <w:rsid w:val="008451F2"/>
    <w:rsid w:val="008467FF"/>
    <w:rsid w:val="008470F0"/>
    <w:rsid w:val="008473A2"/>
    <w:rsid w:val="00847913"/>
    <w:rsid w:val="0085096C"/>
    <w:rsid w:val="00850CD4"/>
    <w:rsid w:val="0085200F"/>
    <w:rsid w:val="0085282F"/>
    <w:rsid w:val="008531DC"/>
    <w:rsid w:val="0085363C"/>
    <w:rsid w:val="00854865"/>
    <w:rsid w:val="00854BDB"/>
    <w:rsid w:val="00856A77"/>
    <w:rsid w:val="008572AD"/>
    <w:rsid w:val="00860585"/>
    <w:rsid w:val="00860608"/>
    <w:rsid w:val="0086075C"/>
    <w:rsid w:val="00861914"/>
    <w:rsid w:val="008622F4"/>
    <w:rsid w:val="00862498"/>
    <w:rsid w:val="00862CC7"/>
    <w:rsid w:val="008634EF"/>
    <w:rsid w:val="0086393F"/>
    <w:rsid w:val="008643B6"/>
    <w:rsid w:val="00865206"/>
    <w:rsid w:val="008664FC"/>
    <w:rsid w:val="00866570"/>
    <w:rsid w:val="0086784B"/>
    <w:rsid w:val="00867EE4"/>
    <w:rsid w:val="00871558"/>
    <w:rsid w:val="00871930"/>
    <w:rsid w:val="00871D5D"/>
    <w:rsid w:val="00872025"/>
    <w:rsid w:val="00873649"/>
    <w:rsid w:val="00874850"/>
    <w:rsid w:val="00875102"/>
    <w:rsid w:val="0087511E"/>
    <w:rsid w:val="00875712"/>
    <w:rsid w:val="00875DF3"/>
    <w:rsid w:val="008762DD"/>
    <w:rsid w:val="008762EF"/>
    <w:rsid w:val="008768F2"/>
    <w:rsid w:val="00876A71"/>
    <w:rsid w:val="00877A74"/>
    <w:rsid w:val="008800FA"/>
    <w:rsid w:val="0088036C"/>
    <w:rsid w:val="008808CF"/>
    <w:rsid w:val="00880922"/>
    <w:rsid w:val="008821CD"/>
    <w:rsid w:val="008826BC"/>
    <w:rsid w:val="00882FC0"/>
    <w:rsid w:val="008833CA"/>
    <w:rsid w:val="00883781"/>
    <w:rsid w:val="008838F8"/>
    <w:rsid w:val="008844EA"/>
    <w:rsid w:val="008847D2"/>
    <w:rsid w:val="0088493B"/>
    <w:rsid w:val="00884AB4"/>
    <w:rsid w:val="00886504"/>
    <w:rsid w:val="00886A39"/>
    <w:rsid w:val="00887332"/>
    <w:rsid w:val="008909DF"/>
    <w:rsid w:val="00891940"/>
    <w:rsid w:val="008924BA"/>
    <w:rsid w:val="00893362"/>
    <w:rsid w:val="00893448"/>
    <w:rsid w:val="008935B1"/>
    <w:rsid w:val="00893759"/>
    <w:rsid w:val="00893D4F"/>
    <w:rsid w:val="0089428E"/>
    <w:rsid w:val="00894450"/>
    <w:rsid w:val="00894D3C"/>
    <w:rsid w:val="008957B3"/>
    <w:rsid w:val="008957BF"/>
    <w:rsid w:val="00895831"/>
    <w:rsid w:val="00895878"/>
    <w:rsid w:val="008969E1"/>
    <w:rsid w:val="00896CDE"/>
    <w:rsid w:val="008970F3"/>
    <w:rsid w:val="008971BA"/>
    <w:rsid w:val="00897C48"/>
    <w:rsid w:val="00897E28"/>
    <w:rsid w:val="00897FD3"/>
    <w:rsid w:val="008A2A4B"/>
    <w:rsid w:val="008A2BE9"/>
    <w:rsid w:val="008A372C"/>
    <w:rsid w:val="008A3804"/>
    <w:rsid w:val="008A440D"/>
    <w:rsid w:val="008A5B70"/>
    <w:rsid w:val="008A6412"/>
    <w:rsid w:val="008A73AB"/>
    <w:rsid w:val="008A761F"/>
    <w:rsid w:val="008A79F1"/>
    <w:rsid w:val="008A7C89"/>
    <w:rsid w:val="008B0193"/>
    <w:rsid w:val="008B0690"/>
    <w:rsid w:val="008B1325"/>
    <w:rsid w:val="008B2C74"/>
    <w:rsid w:val="008B389C"/>
    <w:rsid w:val="008B3E82"/>
    <w:rsid w:val="008B5D0B"/>
    <w:rsid w:val="008B5F96"/>
    <w:rsid w:val="008B6093"/>
    <w:rsid w:val="008B6208"/>
    <w:rsid w:val="008B62E1"/>
    <w:rsid w:val="008B6E41"/>
    <w:rsid w:val="008B6E90"/>
    <w:rsid w:val="008B73AC"/>
    <w:rsid w:val="008C092A"/>
    <w:rsid w:val="008C0D90"/>
    <w:rsid w:val="008C108E"/>
    <w:rsid w:val="008C1ECF"/>
    <w:rsid w:val="008C274B"/>
    <w:rsid w:val="008C296E"/>
    <w:rsid w:val="008C2D6D"/>
    <w:rsid w:val="008C445B"/>
    <w:rsid w:val="008C44BD"/>
    <w:rsid w:val="008C496B"/>
    <w:rsid w:val="008C54FB"/>
    <w:rsid w:val="008C5C53"/>
    <w:rsid w:val="008C620E"/>
    <w:rsid w:val="008C6879"/>
    <w:rsid w:val="008C6B89"/>
    <w:rsid w:val="008C6F48"/>
    <w:rsid w:val="008C7C71"/>
    <w:rsid w:val="008D1671"/>
    <w:rsid w:val="008D1A69"/>
    <w:rsid w:val="008D228A"/>
    <w:rsid w:val="008D23AE"/>
    <w:rsid w:val="008D2F5B"/>
    <w:rsid w:val="008D38B8"/>
    <w:rsid w:val="008D4166"/>
    <w:rsid w:val="008D43A7"/>
    <w:rsid w:val="008D6497"/>
    <w:rsid w:val="008D6791"/>
    <w:rsid w:val="008D6865"/>
    <w:rsid w:val="008D6964"/>
    <w:rsid w:val="008D6E72"/>
    <w:rsid w:val="008D74D0"/>
    <w:rsid w:val="008D7B75"/>
    <w:rsid w:val="008E164D"/>
    <w:rsid w:val="008E17F4"/>
    <w:rsid w:val="008E1EA2"/>
    <w:rsid w:val="008E2650"/>
    <w:rsid w:val="008E2E67"/>
    <w:rsid w:val="008E3088"/>
    <w:rsid w:val="008E32C0"/>
    <w:rsid w:val="008E3C2E"/>
    <w:rsid w:val="008E3C4C"/>
    <w:rsid w:val="008E40B3"/>
    <w:rsid w:val="008E46AA"/>
    <w:rsid w:val="008E556E"/>
    <w:rsid w:val="008E564E"/>
    <w:rsid w:val="008E5923"/>
    <w:rsid w:val="008E5E1C"/>
    <w:rsid w:val="008E6263"/>
    <w:rsid w:val="008E76D2"/>
    <w:rsid w:val="008F02D2"/>
    <w:rsid w:val="008F0B4C"/>
    <w:rsid w:val="008F102A"/>
    <w:rsid w:val="008F178A"/>
    <w:rsid w:val="008F29C6"/>
    <w:rsid w:val="008F2C34"/>
    <w:rsid w:val="008F3089"/>
    <w:rsid w:val="008F39AA"/>
    <w:rsid w:val="008F3E18"/>
    <w:rsid w:val="008F4C93"/>
    <w:rsid w:val="008F4EF7"/>
    <w:rsid w:val="008F52D4"/>
    <w:rsid w:val="008F5DC3"/>
    <w:rsid w:val="008F5E6A"/>
    <w:rsid w:val="008F5E7C"/>
    <w:rsid w:val="008F6407"/>
    <w:rsid w:val="008F6646"/>
    <w:rsid w:val="00900483"/>
    <w:rsid w:val="00900647"/>
    <w:rsid w:val="00900AD4"/>
    <w:rsid w:val="00900EDE"/>
    <w:rsid w:val="00901635"/>
    <w:rsid w:val="00901AB5"/>
    <w:rsid w:val="00901F0A"/>
    <w:rsid w:val="00903917"/>
    <w:rsid w:val="00903B0F"/>
    <w:rsid w:val="0090427F"/>
    <w:rsid w:val="009048AF"/>
    <w:rsid w:val="00906052"/>
    <w:rsid w:val="009065D4"/>
    <w:rsid w:val="00906C29"/>
    <w:rsid w:val="00906F54"/>
    <w:rsid w:val="009070E4"/>
    <w:rsid w:val="00907548"/>
    <w:rsid w:val="0090792D"/>
    <w:rsid w:val="009079DB"/>
    <w:rsid w:val="009102A7"/>
    <w:rsid w:val="00910B70"/>
    <w:rsid w:val="00910E8C"/>
    <w:rsid w:val="009110CB"/>
    <w:rsid w:val="0091222B"/>
    <w:rsid w:val="009124EA"/>
    <w:rsid w:val="00912826"/>
    <w:rsid w:val="00913E07"/>
    <w:rsid w:val="0091459B"/>
    <w:rsid w:val="0091504C"/>
    <w:rsid w:val="00915CAA"/>
    <w:rsid w:val="00915E96"/>
    <w:rsid w:val="009160F0"/>
    <w:rsid w:val="00916177"/>
    <w:rsid w:val="0091750A"/>
    <w:rsid w:val="00920161"/>
    <w:rsid w:val="0092031C"/>
    <w:rsid w:val="009217D6"/>
    <w:rsid w:val="009219CF"/>
    <w:rsid w:val="0092268C"/>
    <w:rsid w:val="0092282C"/>
    <w:rsid w:val="00922C2F"/>
    <w:rsid w:val="0092346B"/>
    <w:rsid w:val="00923620"/>
    <w:rsid w:val="00923D08"/>
    <w:rsid w:val="0092426D"/>
    <w:rsid w:val="0092609B"/>
    <w:rsid w:val="0092797B"/>
    <w:rsid w:val="00927CE8"/>
    <w:rsid w:val="009309F2"/>
    <w:rsid w:val="00930DB0"/>
    <w:rsid w:val="00931ACA"/>
    <w:rsid w:val="00933481"/>
    <w:rsid w:val="009337E3"/>
    <w:rsid w:val="00933B9C"/>
    <w:rsid w:val="009341F9"/>
    <w:rsid w:val="0093447D"/>
    <w:rsid w:val="00934AA4"/>
    <w:rsid w:val="00934BE0"/>
    <w:rsid w:val="009369C6"/>
    <w:rsid w:val="00936C4C"/>
    <w:rsid w:val="009370E6"/>
    <w:rsid w:val="00940059"/>
    <w:rsid w:val="00940234"/>
    <w:rsid w:val="0094083A"/>
    <w:rsid w:val="00940956"/>
    <w:rsid w:val="00940EB6"/>
    <w:rsid w:val="009416E8"/>
    <w:rsid w:val="00941EB7"/>
    <w:rsid w:val="00942BCF"/>
    <w:rsid w:val="009465E7"/>
    <w:rsid w:val="009476DB"/>
    <w:rsid w:val="0095096D"/>
    <w:rsid w:val="00950BAE"/>
    <w:rsid w:val="009518C7"/>
    <w:rsid w:val="00952D55"/>
    <w:rsid w:val="00953905"/>
    <w:rsid w:val="009543BB"/>
    <w:rsid w:val="00955096"/>
    <w:rsid w:val="00955167"/>
    <w:rsid w:val="009559F9"/>
    <w:rsid w:val="00955C2D"/>
    <w:rsid w:val="0095613D"/>
    <w:rsid w:val="00956250"/>
    <w:rsid w:val="00956344"/>
    <w:rsid w:val="00956D74"/>
    <w:rsid w:val="0095701E"/>
    <w:rsid w:val="0095708A"/>
    <w:rsid w:val="009570DF"/>
    <w:rsid w:val="00957AF3"/>
    <w:rsid w:val="00960075"/>
    <w:rsid w:val="00960ED7"/>
    <w:rsid w:val="009616B9"/>
    <w:rsid w:val="00963897"/>
    <w:rsid w:val="00963D39"/>
    <w:rsid w:val="0096407D"/>
    <w:rsid w:val="009645F6"/>
    <w:rsid w:val="00964D20"/>
    <w:rsid w:val="00965A14"/>
    <w:rsid w:val="00965A87"/>
    <w:rsid w:val="009660F8"/>
    <w:rsid w:val="00966518"/>
    <w:rsid w:val="00966A37"/>
    <w:rsid w:val="00967350"/>
    <w:rsid w:val="00967543"/>
    <w:rsid w:val="00970958"/>
    <w:rsid w:val="00970C7E"/>
    <w:rsid w:val="0097104C"/>
    <w:rsid w:val="009714B7"/>
    <w:rsid w:val="00971747"/>
    <w:rsid w:val="00971857"/>
    <w:rsid w:val="009718A7"/>
    <w:rsid w:val="00971EDE"/>
    <w:rsid w:val="00972CBD"/>
    <w:rsid w:val="00973159"/>
    <w:rsid w:val="00973C95"/>
    <w:rsid w:val="00974D91"/>
    <w:rsid w:val="00975067"/>
    <w:rsid w:val="0097516A"/>
    <w:rsid w:val="00976197"/>
    <w:rsid w:val="00976451"/>
    <w:rsid w:val="009772B9"/>
    <w:rsid w:val="009815D5"/>
    <w:rsid w:val="009819BA"/>
    <w:rsid w:val="00981D91"/>
    <w:rsid w:val="00982064"/>
    <w:rsid w:val="00982F11"/>
    <w:rsid w:val="00982F93"/>
    <w:rsid w:val="00984225"/>
    <w:rsid w:val="00984B48"/>
    <w:rsid w:val="00984DF4"/>
    <w:rsid w:val="00984E5C"/>
    <w:rsid w:val="0098512E"/>
    <w:rsid w:val="009859E4"/>
    <w:rsid w:val="00985A46"/>
    <w:rsid w:val="00987998"/>
    <w:rsid w:val="009908DB"/>
    <w:rsid w:val="00990C63"/>
    <w:rsid w:val="00990F1B"/>
    <w:rsid w:val="009917EC"/>
    <w:rsid w:val="00991F39"/>
    <w:rsid w:val="00992BD7"/>
    <w:rsid w:val="00993E11"/>
    <w:rsid w:val="00994983"/>
    <w:rsid w:val="0099498E"/>
    <w:rsid w:val="00996426"/>
    <w:rsid w:val="00996873"/>
    <w:rsid w:val="00997225"/>
    <w:rsid w:val="009975EF"/>
    <w:rsid w:val="00997CAB"/>
    <w:rsid w:val="00997D9F"/>
    <w:rsid w:val="00997EDD"/>
    <w:rsid w:val="009A0922"/>
    <w:rsid w:val="009A129E"/>
    <w:rsid w:val="009A148B"/>
    <w:rsid w:val="009A18DF"/>
    <w:rsid w:val="009A1A14"/>
    <w:rsid w:val="009A1AFC"/>
    <w:rsid w:val="009A24F6"/>
    <w:rsid w:val="009A29B4"/>
    <w:rsid w:val="009A372B"/>
    <w:rsid w:val="009A37AD"/>
    <w:rsid w:val="009A4260"/>
    <w:rsid w:val="009A4E2A"/>
    <w:rsid w:val="009A53EC"/>
    <w:rsid w:val="009A54FE"/>
    <w:rsid w:val="009A6841"/>
    <w:rsid w:val="009A695B"/>
    <w:rsid w:val="009A7102"/>
    <w:rsid w:val="009B0D16"/>
    <w:rsid w:val="009B0E42"/>
    <w:rsid w:val="009B1340"/>
    <w:rsid w:val="009B1377"/>
    <w:rsid w:val="009B313D"/>
    <w:rsid w:val="009B36CC"/>
    <w:rsid w:val="009B3C2C"/>
    <w:rsid w:val="009B3DA0"/>
    <w:rsid w:val="009B4ECA"/>
    <w:rsid w:val="009B65A9"/>
    <w:rsid w:val="009B683D"/>
    <w:rsid w:val="009B6F3A"/>
    <w:rsid w:val="009B7329"/>
    <w:rsid w:val="009B7568"/>
    <w:rsid w:val="009B7FA1"/>
    <w:rsid w:val="009C10A5"/>
    <w:rsid w:val="009C133A"/>
    <w:rsid w:val="009C1DF9"/>
    <w:rsid w:val="009C2248"/>
    <w:rsid w:val="009C2BF7"/>
    <w:rsid w:val="009C3FBF"/>
    <w:rsid w:val="009C4244"/>
    <w:rsid w:val="009C43DC"/>
    <w:rsid w:val="009C47D4"/>
    <w:rsid w:val="009C4CDD"/>
    <w:rsid w:val="009C4D34"/>
    <w:rsid w:val="009C4DF7"/>
    <w:rsid w:val="009C60D6"/>
    <w:rsid w:val="009C6144"/>
    <w:rsid w:val="009C6AB9"/>
    <w:rsid w:val="009C6BEF"/>
    <w:rsid w:val="009D0216"/>
    <w:rsid w:val="009D0452"/>
    <w:rsid w:val="009D1682"/>
    <w:rsid w:val="009D1D8D"/>
    <w:rsid w:val="009D1EE8"/>
    <w:rsid w:val="009D1FFE"/>
    <w:rsid w:val="009D306C"/>
    <w:rsid w:val="009D322A"/>
    <w:rsid w:val="009D33AB"/>
    <w:rsid w:val="009D5D20"/>
    <w:rsid w:val="009D643F"/>
    <w:rsid w:val="009D64CF"/>
    <w:rsid w:val="009D66E5"/>
    <w:rsid w:val="009D6B15"/>
    <w:rsid w:val="009D79BF"/>
    <w:rsid w:val="009E00EE"/>
    <w:rsid w:val="009E0305"/>
    <w:rsid w:val="009E0594"/>
    <w:rsid w:val="009E103A"/>
    <w:rsid w:val="009E1D48"/>
    <w:rsid w:val="009E2635"/>
    <w:rsid w:val="009E2795"/>
    <w:rsid w:val="009E2E8E"/>
    <w:rsid w:val="009E2FCB"/>
    <w:rsid w:val="009E3077"/>
    <w:rsid w:val="009E3C81"/>
    <w:rsid w:val="009E49C6"/>
    <w:rsid w:val="009E4B01"/>
    <w:rsid w:val="009E542E"/>
    <w:rsid w:val="009E65DA"/>
    <w:rsid w:val="009E6C79"/>
    <w:rsid w:val="009F0201"/>
    <w:rsid w:val="009F0D63"/>
    <w:rsid w:val="009F2461"/>
    <w:rsid w:val="009F2841"/>
    <w:rsid w:val="009F36A5"/>
    <w:rsid w:val="009F388F"/>
    <w:rsid w:val="009F5132"/>
    <w:rsid w:val="009F5703"/>
    <w:rsid w:val="009F636C"/>
    <w:rsid w:val="009F648F"/>
    <w:rsid w:val="009F6B78"/>
    <w:rsid w:val="009F7216"/>
    <w:rsid w:val="00A00234"/>
    <w:rsid w:val="00A00A66"/>
    <w:rsid w:val="00A01121"/>
    <w:rsid w:val="00A01871"/>
    <w:rsid w:val="00A01897"/>
    <w:rsid w:val="00A01E9E"/>
    <w:rsid w:val="00A01F49"/>
    <w:rsid w:val="00A0389B"/>
    <w:rsid w:val="00A03C6D"/>
    <w:rsid w:val="00A04101"/>
    <w:rsid w:val="00A04E8E"/>
    <w:rsid w:val="00A04FA9"/>
    <w:rsid w:val="00A055ED"/>
    <w:rsid w:val="00A05825"/>
    <w:rsid w:val="00A0605E"/>
    <w:rsid w:val="00A06326"/>
    <w:rsid w:val="00A06333"/>
    <w:rsid w:val="00A065F5"/>
    <w:rsid w:val="00A06932"/>
    <w:rsid w:val="00A06D09"/>
    <w:rsid w:val="00A071B4"/>
    <w:rsid w:val="00A072B3"/>
    <w:rsid w:val="00A07824"/>
    <w:rsid w:val="00A07C8B"/>
    <w:rsid w:val="00A07DAC"/>
    <w:rsid w:val="00A07F82"/>
    <w:rsid w:val="00A10293"/>
    <w:rsid w:val="00A10D38"/>
    <w:rsid w:val="00A1263D"/>
    <w:rsid w:val="00A134FC"/>
    <w:rsid w:val="00A13B96"/>
    <w:rsid w:val="00A13FD2"/>
    <w:rsid w:val="00A14481"/>
    <w:rsid w:val="00A14A5F"/>
    <w:rsid w:val="00A14DD8"/>
    <w:rsid w:val="00A14F95"/>
    <w:rsid w:val="00A150F6"/>
    <w:rsid w:val="00A161EB"/>
    <w:rsid w:val="00A16D7E"/>
    <w:rsid w:val="00A1741F"/>
    <w:rsid w:val="00A20832"/>
    <w:rsid w:val="00A2095C"/>
    <w:rsid w:val="00A20ED9"/>
    <w:rsid w:val="00A21115"/>
    <w:rsid w:val="00A21AD2"/>
    <w:rsid w:val="00A21B56"/>
    <w:rsid w:val="00A22988"/>
    <w:rsid w:val="00A22AFD"/>
    <w:rsid w:val="00A22CE6"/>
    <w:rsid w:val="00A22F4F"/>
    <w:rsid w:val="00A2384E"/>
    <w:rsid w:val="00A23DFF"/>
    <w:rsid w:val="00A242C2"/>
    <w:rsid w:val="00A24758"/>
    <w:rsid w:val="00A24D1B"/>
    <w:rsid w:val="00A24EF4"/>
    <w:rsid w:val="00A264B5"/>
    <w:rsid w:val="00A264BF"/>
    <w:rsid w:val="00A2703E"/>
    <w:rsid w:val="00A2789D"/>
    <w:rsid w:val="00A301B4"/>
    <w:rsid w:val="00A301E6"/>
    <w:rsid w:val="00A31798"/>
    <w:rsid w:val="00A32748"/>
    <w:rsid w:val="00A33028"/>
    <w:rsid w:val="00A332E3"/>
    <w:rsid w:val="00A33A3E"/>
    <w:rsid w:val="00A33EDF"/>
    <w:rsid w:val="00A3545D"/>
    <w:rsid w:val="00A35BE3"/>
    <w:rsid w:val="00A3627B"/>
    <w:rsid w:val="00A365C1"/>
    <w:rsid w:val="00A36803"/>
    <w:rsid w:val="00A36EBD"/>
    <w:rsid w:val="00A3738D"/>
    <w:rsid w:val="00A3740C"/>
    <w:rsid w:val="00A40268"/>
    <w:rsid w:val="00A40391"/>
    <w:rsid w:val="00A40975"/>
    <w:rsid w:val="00A4154D"/>
    <w:rsid w:val="00A4196B"/>
    <w:rsid w:val="00A41D58"/>
    <w:rsid w:val="00A41DD0"/>
    <w:rsid w:val="00A4390B"/>
    <w:rsid w:val="00A43D61"/>
    <w:rsid w:val="00A4428F"/>
    <w:rsid w:val="00A4447D"/>
    <w:rsid w:val="00A447C6"/>
    <w:rsid w:val="00A44EB2"/>
    <w:rsid w:val="00A46FE2"/>
    <w:rsid w:val="00A473F2"/>
    <w:rsid w:val="00A477A1"/>
    <w:rsid w:val="00A47875"/>
    <w:rsid w:val="00A47D1D"/>
    <w:rsid w:val="00A50999"/>
    <w:rsid w:val="00A513C0"/>
    <w:rsid w:val="00A51A93"/>
    <w:rsid w:val="00A51E1E"/>
    <w:rsid w:val="00A52EB3"/>
    <w:rsid w:val="00A545A5"/>
    <w:rsid w:val="00A55985"/>
    <w:rsid w:val="00A559B5"/>
    <w:rsid w:val="00A6066E"/>
    <w:rsid w:val="00A60B55"/>
    <w:rsid w:val="00A60C83"/>
    <w:rsid w:val="00A611D4"/>
    <w:rsid w:val="00A61F0C"/>
    <w:rsid w:val="00A62857"/>
    <w:rsid w:val="00A62A35"/>
    <w:rsid w:val="00A62A3F"/>
    <w:rsid w:val="00A62F82"/>
    <w:rsid w:val="00A63014"/>
    <w:rsid w:val="00A6314F"/>
    <w:rsid w:val="00A63256"/>
    <w:rsid w:val="00A634FE"/>
    <w:rsid w:val="00A638E9"/>
    <w:rsid w:val="00A63C78"/>
    <w:rsid w:val="00A6438E"/>
    <w:rsid w:val="00A64A2E"/>
    <w:rsid w:val="00A669E5"/>
    <w:rsid w:val="00A66BFD"/>
    <w:rsid w:val="00A66C4F"/>
    <w:rsid w:val="00A674CF"/>
    <w:rsid w:val="00A6767A"/>
    <w:rsid w:val="00A679FC"/>
    <w:rsid w:val="00A71D98"/>
    <w:rsid w:val="00A71F23"/>
    <w:rsid w:val="00A723B9"/>
    <w:rsid w:val="00A729C1"/>
    <w:rsid w:val="00A73B9A"/>
    <w:rsid w:val="00A7557E"/>
    <w:rsid w:val="00A75C4B"/>
    <w:rsid w:val="00A75EA1"/>
    <w:rsid w:val="00A75F32"/>
    <w:rsid w:val="00A767CF"/>
    <w:rsid w:val="00A776F8"/>
    <w:rsid w:val="00A779CE"/>
    <w:rsid w:val="00A800A8"/>
    <w:rsid w:val="00A80780"/>
    <w:rsid w:val="00A8090D"/>
    <w:rsid w:val="00A81CAD"/>
    <w:rsid w:val="00A82162"/>
    <w:rsid w:val="00A83A31"/>
    <w:rsid w:val="00A83E47"/>
    <w:rsid w:val="00A83F3E"/>
    <w:rsid w:val="00A83F6C"/>
    <w:rsid w:val="00A85243"/>
    <w:rsid w:val="00A8534D"/>
    <w:rsid w:val="00A85483"/>
    <w:rsid w:val="00A855B2"/>
    <w:rsid w:val="00A85749"/>
    <w:rsid w:val="00A85AE0"/>
    <w:rsid w:val="00A85EC7"/>
    <w:rsid w:val="00A861ED"/>
    <w:rsid w:val="00A86DDD"/>
    <w:rsid w:val="00A87747"/>
    <w:rsid w:val="00A87CF3"/>
    <w:rsid w:val="00A90067"/>
    <w:rsid w:val="00A90649"/>
    <w:rsid w:val="00A91110"/>
    <w:rsid w:val="00A9114C"/>
    <w:rsid w:val="00A91A91"/>
    <w:rsid w:val="00A91BD1"/>
    <w:rsid w:val="00A91CDC"/>
    <w:rsid w:val="00A9216C"/>
    <w:rsid w:val="00A92740"/>
    <w:rsid w:val="00A9321D"/>
    <w:rsid w:val="00A93313"/>
    <w:rsid w:val="00A935B4"/>
    <w:rsid w:val="00A94442"/>
    <w:rsid w:val="00A95F7E"/>
    <w:rsid w:val="00A963A1"/>
    <w:rsid w:val="00A97280"/>
    <w:rsid w:val="00AA0F2D"/>
    <w:rsid w:val="00AA14B8"/>
    <w:rsid w:val="00AA17BA"/>
    <w:rsid w:val="00AA1CBF"/>
    <w:rsid w:val="00AA2778"/>
    <w:rsid w:val="00AA3B1B"/>
    <w:rsid w:val="00AA41B7"/>
    <w:rsid w:val="00AA45A7"/>
    <w:rsid w:val="00AA5A38"/>
    <w:rsid w:val="00AA6713"/>
    <w:rsid w:val="00AB011A"/>
    <w:rsid w:val="00AB03B8"/>
    <w:rsid w:val="00AB06F9"/>
    <w:rsid w:val="00AB0D00"/>
    <w:rsid w:val="00AB159D"/>
    <w:rsid w:val="00AB1A03"/>
    <w:rsid w:val="00AB33A3"/>
    <w:rsid w:val="00AB3699"/>
    <w:rsid w:val="00AB4AE3"/>
    <w:rsid w:val="00AB55ED"/>
    <w:rsid w:val="00AB5BFC"/>
    <w:rsid w:val="00AB5C5A"/>
    <w:rsid w:val="00AB660E"/>
    <w:rsid w:val="00AB6D4A"/>
    <w:rsid w:val="00AB7D36"/>
    <w:rsid w:val="00AC0012"/>
    <w:rsid w:val="00AC061A"/>
    <w:rsid w:val="00AC07F5"/>
    <w:rsid w:val="00AC07F9"/>
    <w:rsid w:val="00AC0BD4"/>
    <w:rsid w:val="00AC15A1"/>
    <w:rsid w:val="00AC1851"/>
    <w:rsid w:val="00AC1D37"/>
    <w:rsid w:val="00AC1DF2"/>
    <w:rsid w:val="00AC2244"/>
    <w:rsid w:val="00AC29DB"/>
    <w:rsid w:val="00AC3382"/>
    <w:rsid w:val="00AC3838"/>
    <w:rsid w:val="00AC4BC3"/>
    <w:rsid w:val="00AC6115"/>
    <w:rsid w:val="00AC6306"/>
    <w:rsid w:val="00AC666C"/>
    <w:rsid w:val="00AC72E5"/>
    <w:rsid w:val="00AC7CF7"/>
    <w:rsid w:val="00AD0203"/>
    <w:rsid w:val="00AD08CF"/>
    <w:rsid w:val="00AD14C8"/>
    <w:rsid w:val="00AD196A"/>
    <w:rsid w:val="00AD1DB8"/>
    <w:rsid w:val="00AD2B86"/>
    <w:rsid w:val="00AD312C"/>
    <w:rsid w:val="00AD3C00"/>
    <w:rsid w:val="00AD4BD6"/>
    <w:rsid w:val="00AD4FFD"/>
    <w:rsid w:val="00AD51F7"/>
    <w:rsid w:val="00AD5707"/>
    <w:rsid w:val="00AD6DE2"/>
    <w:rsid w:val="00AE06B4"/>
    <w:rsid w:val="00AE06DD"/>
    <w:rsid w:val="00AE12DB"/>
    <w:rsid w:val="00AE16B7"/>
    <w:rsid w:val="00AE1803"/>
    <w:rsid w:val="00AE1990"/>
    <w:rsid w:val="00AE1F5F"/>
    <w:rsid w:val="00AE2577"/>
    <w:rsid w:val="00AE260E"/>
    <w:rsid w:val="00AE2F00"/>
    <w:rsid w:val="00AE3A2D"/>
    <w:rsid w:val="00AE3D49"/>
    <w:rsid w:val="00AE4180"/>
    <w:rsid w:val="00AE5624"/>
    <w:rsid w:val="00AE5FB9"/>
    <w:rsid w:val="00AE6E42"/>
    <w:rsid w:val="00AF09DE"/>
    <w:rsid w:val="00AF1CAB"/>
    <w:rsid w:val="00AF389C"/>
    <w:rsid w:val="00AF5510"/>
    <w:rsid w:val="00AF6B24"/>
    <w:rsid w:val="00AF6DAD"/>
    <w:rsid w:val="00AF6E46"/>
    <w:rsid w:val="00AF70AD"/>
    <w:rsid w:val="00AF7C26"/>
    <w:rsid w:val="00B001A0"/>
    <w:rsid w:val="00B01863"/>
    <w:rsid w:val="00B01BA3"/>
    <w:rsid w:val="00B02371"/>
    <w:rsid w:val="00B02AA4"/>
    <w:rsid w:val="00B02F6D"/>
    <w:rsid w:val="00B03C34"/>
    <w:rsid w:val="00B03EAA"/>
    <w:rsid w:val="00B04003"/>
    <w:rsid w:val="00B04C66"/>
    <w:rsid w:val="00B04E14"/>
    <w:rsid w:val="00B056A9"/>
    <w:rsid w:val="00B05CA9"/>
    <w:rsid w:val="00B05D9C"/>
    <w:rsid w:val="00B061A9"/>
    <w:rsid w:val="00B0633B"/>
    <w:rsid w:val="00B06475"/>
    <w:rsid w:val="00B07192"/>
    <w:rsid w:val="00B07860"/>
    <w:rsid w:val="00B1049E"/>
    <w:rsid w:val="00B104A7"/>
    <w:rsid w:val="00B11AD7"/>
    <w:rsid w:val="00B12782"/>
    <w:rsid w:val="00B127E2"/>
    <w:rsid w:val="00B130A8"/>
    <w:rsid w:val="00B134F3"/>
    <w:rsid w:val="00B1388A"/>
    <w:rsid w:val="00B14849"/>
    <w:rsid w:val="00B15C89"/>
    <w:rsid w:val="00B1636E"/>
    <w:rsid w:val="00B178AD"/>
    <w:rsid w:val="00B17937"/>
    <w:rsid w:val="00B17DA4"/>
    <w:rsid w:val="00B17F30"/>
    <w:rsid w:val="00B21235"/>
    <w:rsid w:val="00B21A83"/>
    <w:rsid w:val="00B2247A"/>
    <w:rsid w:val="00B23087"/>
    <w:rsid w:val="00B2329B"/>
    <w:rsid w:val="00B241DA"/>
    <w:rsid w:val="00B24333"/>
    <w:rsid w:val="00B24398"/>
    <w:rsid w:val="00B24605"/>
    <w:rsid w:val="00B24B8F"/>
    <w:rsid w:val="00B2523D"/>
    <w:rsid w:val="00B255BA"/>
    <w:rsid w:val="00B2618B"/>
    <w:rsid w:val="00B26AD9"/>
    <w:rsid w:val="00B26DB1"/>
    <w:rsid w:val="00B26E1B"/>
    <w:rsid w:val="00B30201"/>
    <w:rsid w:val="00B30248"/>
    <w:rsid w:val="00B3040A"/>
    <w:rsid w:val="00B304A9"/>
    <w:rsid w:val="00B314AF"/>
    <w:rsid w:val="00B319FE"/>
    <w:rsid w:val="00B31AD5"/>
    <w:rsid w:val="00B327C2"/>
    <w:rsid w:val="00B32C2E"/>
    <w:rsid w:val="00B32F06"/>
    <w:rsid w:val="00B3363D"/>
    <w:rsid w:val="00B3384E"/>
    <w:rsid w:val="00B35297"/>
    <w:rsid w:val="00B353CB"/>
    <w:rsid w:val="00B35AB5"/>
    <w:rsid w:val="00B36672"/>
    <w:rsid w:val="00B368AF"/>
    <w:rsid w:val="00B37C9C"/>
    <w:rsid w:val="00B40A9A"/>
    <w:rsid w:val="00B40BFC"/>
    <w:rsid w:val="00B4144A"/>
    <w:rsid w:val="00B41579"/>
    <w:rsid w:val="00B41C2B"/>
    <w:rsid w:val="00B41D0B"/>
    <w:rsid w:val="00B42313"/>
    <w:rsid w:val="00B42735"/>
    <w:rsid w:val="00B435B2"/>
    <w:rsid w:val="00B43CDB"/>
    <w:rsid w:val="00B43CE6"/>
    <w:rsid w:val="00B44278"/>
    <w:rsid w:val="00B44C4E"/>
    <w:rsid w:val="00B44E91"/>
    <w:rsid w:val="00B45F26"/>
    <w:rsid w:val="00B461EC"/>
    <w:rsid w:val="00B468F3"/>
    <w:rsid w:val="00B46BA0"/>
    <w:rsid w:val="00B472F5"/>
    <w:rsid w:val="00B50139"/>
    <w:rsid w:val="00B50E4C"/>
    <w:rsid w:val="00B51B36"/>
    <w:rsid w:val="00B5296B"/>
    <w:rsid w:val="00B53766"/>
    <w:rsid w:val="00B53A74"/>
    <w:rsid w:val="00B53FE7"/>
    <w:rsid w:val="00B5418C"/>
    <w:rsid w:val="00B54BCB"/>
    <w:rsid w:val="00B54D9F"/>
    <w:rsid w:val="00B55DFD"/>
    <w:rsid w:val="00B55F68"/>
    <w:rsid w:val="00B563FA"/>
    <w:rsid w:val="00B5770E"/>
    <w:rsid w:val="00B57877"/>
    <w:rsid w:val="00B603E1"/>
    <w:rsid w:val="00B60860"/>
    <w:rsid w:val="00B6172D"/>
    <w:rsid w:val="00B61A92"/>
    <w:rsid w:val="00B61D5B"/>
    <w:rsid w:val="00B62252"/>
    <w:rsid w:val="00B6402D"/>
    <w:rsid w:val="00B64774"/>
    <w:rsid w:val="00B64C2A"/>
    <w:rsid w:val="00B663DA"/>
    <w:rsid w:val="00B66F2D"/>
    <w:rsid w:val="00B67F29"/>
    <w:rsid w:val="00B70370"/>
    <w:rsid w:val="00B705D5"/>
    <w:rsid w:val="00B71681"/>
    <w:rsid w:val="00B720D6"/>
    <w:rsid w:val="00B72473"/>
    <w:rsid w:val="00B7351D"/>
    <w:rsid w:val="00B738DE"/>
    <w:rsid w:val="00B73EA2"/>
    <w:rsid w:val="00B74271"/>
    <w:rsid w:val="00B74AC3"/>
    <w:rsid w:val="00B74C62"/>
    <w:rsid w:val="00B758B6"/>
    <w:rsid w:val="00B77007"/>
    <w:rsid w:val="00B777AC"/>
    <w:rsid w:val="00B77DE9"/>
    <w:rsid w:val="00B80AE5"/>
    <w:rsid w:val="00B80BE1"/>
    <w:rsid w:val="00B8162D"/>
    <w:rsid w:val="00B824F8"/>
    <w:rsid w:val="00B8295A"/>
    <w:rsid w:val="00B82CB3"/>
    <w:rsid w:val="00B8309A"/>
    <w:rsid w:val="00B8338E"/>
    <w:rsid w:val="00B847A5"/>
    <w:rsid w:val="00B84AF1"/>
    <w:rsid w:val="00B8551C"/>
    <w:rsid w:val="00B865FF"/>
    <w:rsid w:val="00B900BF"/>
    <w:rsid w:val="00B90948"/>
    <w:rsid w:val="00B91A4A"/>
    <w:rsid w:val="00B91BCA"/>
    <w:rsid w:val="00B92430"/>
    <w:rsid w:val="00B926BD"/>
    <w:rsid w:val="00B9328F"/>
    <w:rsid w:val="00B932AE"/>
    <w:rsid w:val="00B9332D"/>
    <w:rsid w:val="00B93551"/>
    <w:rsid w:val="00B93678"/>
    <w:rsid w:val="00B93F03"/>
    <w:rsid w:val="00B94EED"/>
    <w:rsid w:val="00B95484"/>
    <w:rsid w:val="00B95AEC"/>
    <w:rsid w:val="00B966E6"/>
    <w:rsid w:val="00B96A84"/>
    <w:rsid w:val="00B96C74"/>
    <w:rsid w:val="00B96EE0"/>
    <w:rsid w:val="00BA0607"/>
    <w:rsid w:val="00BA0EB3"/>
    <w:rsid w:val="00BA10BE"/>
    <w:rsid w:val="00BA4390"/>
    <w:rsid w:val="00BA4729"/>
    <w:rsid w:val="00BA4F46"/>
    <w:rsid w:val="00BA500E"/>
    <w:rsid w:val="00BA5B54"/>
    <w:rsid w:val="00BA738B"/>
    <w:rsid w:val="00BA757F"/>
    <w:rsid w:val="00BA7B3D"/>
    <w:rsid w:val="00BB0244"/>
    <w:rsid w:val="00BB025A"/>
    <w:rsid w:val="00BB03E3"/>
    <w:rsid w:val="00BB067E"/>
    <w:rsid w:val="00BB075B"/>
    <w:rsid w:val="00BB182C"/>
    <w:rsid w:val="00BB18A1"/>
    <w:rsid w:val="00BB19C8"/>
    <w:rsid w:val="00BB2041"/>
    <w:rsid w:val="00BB24CF"/>
    <w:rsid w:val="00BB24D0"/>
    <w:rsid w:val="00BB270E"/>
    <w:rsid w:val="00BB2FE4"/>
    <w:rsid w:val="00BB3814"/>
    <w:rsid w:val="00BB3DEF"/>
    <w:rsid w:val="00BB41D8"/>
    <w:rsid w:val="00BB5B9F"/>
    <w:rsid w:val="00BB7076"/>
    <w:rsid w:val="00BB73B8"/>
    <w:rsid w:val="00BC0F6E"/>
    <w:rsid w:val="00BC1BD7"/>
    <w:rsid w:val="00BC2075"/>
    <w:rsid w:val="00BC429B"/>
    <w:rsid w:val="00BC58A4"/>
    <w:rsid w:val="00BC6057"/>
    <w:rsid w:val="00BC60BC"/>
    <w:rsid w:val="00BC72E3"/>
    <w:rsid w:val="00BC776B"/>
    <w:rsid w:val="00BD0201"/>
    <w:rsid w:val="00BD06BD"/>
    <w:rsid w:val="00BD0F7D"/>
    <w:rsid w:val="00BD18BF"/>
    <w:rsid w:val="00BD28B9"/>
    <w:rsid w:val="00BD2C8A"/>
    <w:rsid w:val="00BD31EC"/>
    <w:rsid w:val="00BD3918"/>
    <w:rsid w:val="00BD4ED2"/>
    <w:rsid w:val="00BD5036"/>
    <w:rsid w:val="00BD54D6"/>
    <w:rsid w:val="00BD56C1"/>
    <w:rsid w:val="00BD5C81"/>
    <w:rsid w:val="00BD6AE6"/>
    <w:rsid w:val="00BD6D2F"/>
    <w:rsid w:val="00BE043C"/>
    <w:rsid w:val="00BE0C62"/>
    <w:rsid w:val="00BE25DA"/>
    <w:rsid w:val="00BE31FC"/>
    <w:rsid w:val="00BE44FB"/>
    <w:rsid w:val="00BE4512"/>
    <w:rsid w:val="00BE4AB0"/>
    <w:rsid w:val="00BE5409"/>
    <w:rsid w:val="00BE5C89"/>
    <w:rsid w:val="00BE7AE6"/>
    <w:rsid w:val="00BE7FCC"/>
    <w:rsid w:val="00BF0B54"/>
    <w:rsid w:val="00BF1BE2"/>
    <w:rsid w:val="00BF1C5E"/>
    <w:rsid w:val="00BF1EFB"/>
    <w:rsid w:val="00BF22BB"/>
    <w:rsid w:val="00BF2926"/>
    <w:rsid w:val="00BF300F"/>
    <w:rsid w:val="00BF4898"/>
    <w:rsid w:val="00BF5357"/>
    <w:rsid w:val="00BF551F"/>
    <w:rsid w:val="00BF5636"/>
    <w:rsid w:val="00BF5A42"/>
    <w:rsid w:val="00BF5A59"/>
    <w:rsid w:val="00BF69F0"/>
    <w:rsid w:val="00BF7734"/>
    <w:rsid w:val="00BF78E0"/>
    <w:rsid w:val="00BF797B"/>
    <w:rsid w:val="00BF79D1"/>
    <w:rsid w:val="00BF7C02"/>
    <w:rsid w:val="00C00755"/>
    <w:rsid w:val="00C013ED"/>
    <w:rsid w:val="00C01517"/>
    <w:rsid w:val="00C02715"/>
    <w:rsid w:val="00C02D78"/>
    <w:rsid w:val="00C0301D"/>
    <w:rsid w:val="00C04C72"/>
    <w:rsid w:val="00C0522C"/>
    <w:rsid w:val="00C05616"/>
    <w:rsid w:val="00C0578B"/>
    <w:rsid w:val="00C05973"/>
    <w:rsid w:val="00C0597B"/>
    <w:rsid w:val="00C05F8A"/>
    <w:rsid w:val="00C0629E"/>
    <w:rsid w:val="00C06892"/>
    <w:rsid w:val="00C07053"/>
    <w:rsid w:val="00C0742C"/>
    <w:rsid w:val="00C079AF"/>
    <w:rsid w:val="00C10A6A"/>
    <w:rsid w:val="00C114FF"/>
    <w:rsid w:val="00C11979"/>
    <w:rsid w:val="00C11BBA"/>
    <w:rsid w:val="00C12545"/>
    <w:rsid w:val="00C12621"/>
    <w:rsid w:val="00C13C49"/>
    <w:rsid w:val="00C14094"/>
    <w:rsid w:val="00C142C3"/>
    <w:rsid w:val="00C147F0"/>
    <w:rsid w:val="00C1488E"/>
    <w:rsid w:val="00C153DD"/>
    <w:rsid w:val="00C15E3A"/>
    <w:rsid w:val="00C15E45"/>
    <w:rsid w:val="00C17152"/>
    <w:rsid w:val="00C1729D"/>
    <w:rsid w:val="00C204E9"/>
    <w:rsid w:val="00C21C16"/>
    <w:rsid w:val="00C226E2"/>
    <w:rsid w:val="00C2318E"/>
    <w:rsid w:val="00C233E0"/>
    <w:rsid w:val="00C2413B"/>
    <w:rsid w:val="00C24C36"/>
    <w:rsid w:val="00C24F45"/>
    <w:rsid w:val="00C258D2"/>
    <w:rsid w:val="00C25F3C"/>
    <w:rsid w:val="00C25F97"/>
    <w:rsid w:val="00C26109"/>
    <w:rsid w:val="00C2611A"/>
    <w:rsid w:val="00C26669"/>
    <w:rsid w:val="00C26994"/>
    <w:rsid w:val="00C27362"/>
    <w:rsid w:val="00C300B4"/>
    <w:rsid w:val="00C310A8"/>
    <w:rsid w:val="00C31C7D"/>
    <w:rsid w:val="00C3236A"/>
    <w:rsid w:val="00C327F0"/>
    <w:rsid w:val="00C32A3F"/>
    <w:rsid w:val="00C3370E"/>
    <w:rsid w:val="00C33A71"/>
    <w:rsid w:val="00C3408A"/>
    <w:rsid w:val="00C34501"/>
    <w:rsid w:val="00C36EDA"/>
    <w:rsid w:val="00C379F8"/>
    <w:rsid w:val="00C40DD2"/>
    <w:rsid w:val="00C4144C"/>
    <w:rsid w:val="00C43C35"/>
    <w:rsid w:val="00C43D68"/>
    <w:rsid w:val="00C43DF3"/>
    <w:rsid w:val="00C43E64"/>
    <w:rsid w:val="00C43FE6"/>
    <w:rsid w:val="00C446E4"/>
    <w:rsid w:val="00C45054"/>
    <w:rsid w:val="00C4597A"/>
    <w:rsid w:val="00C45A9D"/>
    <w:rsid w:val="00C462D0"/>
    <w:rsid w:val="00C50428"/>
    <w:rsid w:val="00C50BD4"/>
    <w:rsid w:val="00C51C1F"/>
    <w:rsid w:val="00C51F20"/>
    <w:rsid w:val="00C51F82"/>
    <w:rsid w:val="00C52312"/>
    <w:rsid w:val="00C52A4E"/>
    <w:rsid w:val="00C537BE"/>
    <w:rsid w:val="00C53803"/>
    <w:rsid w:val="00C53B16"/>
    <w:rsid w:val="00C54102"/>
    <w:rsid w:val="00C541FB"/>
    <w:rsid w:val="00C54338"/>
    <w:rsid w:val="00C5460B"/>
    <w:rsid w:val="00C5481A"/>
    <w:rsid w:val="00C54980"/>
    <w:rsid w:val="00C54AF3"/>
    <w:rsid w:val="00C55426"/>
    <w:rsid w:val="00C563D5"/>
    <w:rsid w:val="00C579B7"/>
    <w:rsid w:val="00C57FD3"/>
    <w:rsid w:val="00C60620"/>
    <w:rsid w:val="00C60AB8"/>
    <w:rsid w:val="00C60F6C"/>
    <w:rsid w:val="00C6150A"/>
    <w:rsid w:val="00C62106"/>
    <w:rsid w:val="00C62E7F"/>
    <w:rsid w:val="00C63A4A"/>
    <w:rsid w:val="00C63C23"/>
    <w:rsid w:val="00C66433"/>
    <w:rsid w:val="00C66F4F"/>
    <w:rsid w:val="00C67889"/>
    <w:rsid w:val="00C70741"/>
    <w:rsid w:val="00C709A6"/>
    <w:rsid w:val="00C727D4"/>
    <w:rsid w:val="00C72DFB"/>
    <w:rsid w:val="00C73694"/>
    <w:rsid w:val="00C73F46"/>
    <w:rsid w:val="00C741D6"/>
    <w:rsid w:val="00C74939"/>
    <w:rsid w:val="00C7540B"/>
    <w:rsid w:val="00C7560A"/>
    <w:rsid w:val="00C75DA5"/>
    <w:rsid w:val="00C7748B"/>
    <w:rsid w:val="00C774E7"/>
    <w:rsid w:val="00C77CF9"/>
    <w:rsid w:val="00C81BC4"/>
    <w:rsid w:val="00C81C08"/>
    <w:rsid w:val="00C81C50"/>
    <w:rsid w:val="00C81F49"/>
    <w:rsid w:val="00C825BF"/>
    <w:rsid w:val="00C82E90"/>
    <w:rsid w:val="00C832CF"/>
    <w:rsid w:val="00C8395F"/>
    <w:rsid w:val="00C84E96"/>
    <w:rsid w:val="00C85A18"/>
    <w:rsid w:val="00C85FC3"/>
    <w:rsid w:val="00C86002"/>
    <w:rsid w:val="00C8767A"/>
    <w:rsid w:val="00C87ACE"/>
    <w:rsid w:val="00C901A9"/>
    <w:rsid w:val="00C90281"/>
    <w:rsid w:val="00C91EC5"/>
    <w:rsid w:val="00C92016"/>
    <w:rsid w:val="00C9201B"/>
    <w:rsid w:val="00C92129"/>
    <w:rsid w:val="00C92CE6"/>
    <w:rsid w:val="00C92F75"/>
    <w:rsid w:val="00C941E8"/>
    <w:rsid w:val="00C947EB"/>
    <w:rsid w:val="00C95EED"/>
    <w:rsid w:val="00C96738"/>
    <w:rsid w:val="00C97596"/>
    <w:rsid w:val="00C97768"/>
    <w:rsid w:val="00C9786C"/>
    <w:rsid w:val="00C97CCB"/>
    <w:rsid w:val="00CA0027"/>
    <w:rsid w:val="00CA0A00"/>
    <w:rsid w:val="00CA2AC9"/>
    <w:rsid w:val="00CA44BF"/>
    <w:rsid w:val="00CA46E1"/>
    <w:rsid w:val="00CA49E2"/>
    <w:rsid w:val="00CA511A"/>
    <w:rsid w:val="00CA59E4"/>
    <w:rsid w:val="00CA60AB"/>
    <w:rsid w:val="00CA6BD6"/>
    <w:rsid w:val="00CA6FB3"/>
    <w:rsid w:val="00CB0462"/>
    <w:rsid w:val="00CB0BA3"/>
    <w:rsid w:val="00CB0D9F"/>
    <w:rsid w:val="00CB15DC"/>
    <w:rsid w:val="00CB1737"/>
    <w:rsid w:val="00CB1A64"/>
    <w:rsid w:val="00CB2BED"/>
    <w:rsid w:val="00CB32A7"/>
    <w:rsid w:val="00CB33DF"/>
    <w:rsid w:val="00CB529C"/>
    <w:rsid w:val="00CB597C"/>
    <w:rsid w:val="00CB5A64"/>
    <w:rsid w:val="00CB5B22"/>
    <w:rsid w:val="00CB5F64"/>
    <w:rsid w:val="00CB6035"/>
    <w:rsid w:val="00CB6930"/>
    <w:rsid w:val="00CB6C26"/>
    <w:rsid w:val="00CB706D"/>
    <w:rsid w:val="00CC008E"/>
    <w:rsid w:val="00CC030D"/>
    <w:rsid w:val="00CC22D8"/>
    <w:rsid w:val="00CC2E04"/>
    <w:rsid w:val="00CC2E88"/>
    <w:rsid w:val="00CC2F3C"/>
    <w:rsid w:val="00CC2FB9"/>
    <w:rsid w:val="00CC5C3C"/>
    <w:rsid w:val="00CC5C75"/>
    <w:rsid w:val="00CC63B3"/>
    <w:rsid w:val="00CC7032"/>
    <w:rsid w:val="00CC76B5"/>
    <w:rsid w:val="00CC7AB6"/>
    <w:rsid w:val="00CD01E1"/>
    <w:rsid w:val="00CD05D6"/>
    <w:rsid w:val="00CD0D7B"/>
    <w:rsid w:val="00CD0F5B"/>
    <w:rsid w:val="00CD1205"/>
    <w:rsid w:val="00CD189A"/>
    <w:rsid w:val="00CD19A9"/>
    <w:rsid w:val="00CD1ED3"/>
    <w:rsid w:val="00CD43AC"/>
    <w:rsid w:val="00CD44CA"/>
    <w:rsid w:val="00CD4C4F"/>
    <w:rsid w:val="00CD69FB"/>
    <w:rsid w:val="00CD6A52"/>
    <w:rsid w:val="00CE01A5"/>
    <w:rsid w:val="00CE0EB8"/>
    <w:rsid w:val="00CE1976"/>
    <w:rsid w:val="00CE2CE2"/>
    <w:rsid w:val="00CE45C8"/>
    <w:rsid w:val="00CE4CD7"/>
    <w:rsid w:val="00CE53AF"/>
    <w:rsid w:val="00CE7E7D"/>
    <w:rsid w:val="00CF05E5"/>
    <w:rsid w:val="00CF0774"/>
    <w:rsid w:val="00CF13FD"/>
    <w:rsid w:val="00CF1B54"/>
    <w:rsid w:val="00CF204B"/>
    <w:rsid w:val="00CF325C"/>
    <w:rsid w:val="00CF43E0"/>
    <w:rsid w:val="00CF465F"/>
    <w:rsid w:val="00CF62D1"/>
    <w:rsid w:val="00CF6C0B"/>
    <w:rsid w:val="00CF73EB"/>
    <w:rsid w:val="00CF76C1"/>
    <w:rsid w:val="00CF7C59"/>
    <w:rsid w:val="00CF7F09"/>
    <w:rsid w:val="00D00072"/>
    <w:rsid w:val="00D0052D"/>
    <w:rsid w:val="00D007B4"/>
    <w:rsid w:val="00D00811"/>
    <w:rsid w:val="00D00A40"/>
    <w:rsid w:val="00D02970"/>
    <w:rsid w:val="00D02F66"/>
    <w:rsid w:val="00D03367"/>
    <w:rsid w:val="00D04DEE"/>
    <w:rsid w:val="00D0530F"/>
    <w:rsid w:val="00D059B2"/>
    <w:rsid w:val="00D05B7E"/>
    <w:rsid w:val="00D061AD"/>
    <w:rsid w:val="00D0630A"/>
    <w:rsid w:val="00D07CC3"/>
    <w:rsid w:val="00D07D65"/>
    <w:rsid w:val="00D107EC"/>
    <w:rsid w:val="00D10AC2"/>
    <w:rsid w:val="00D10AF0"/>
    <w:rsid w:val="00D10CD1"/>
    <w:rsid w:val="00D11BA4"/>
    <w:rsid w:val="00D12261"/>
    <w:rsid w:val="00D12275"/>
    <w:rsid w:val="00D12BF9"/>
    <w:rsid w:val="00D1306A"/>
    <w:rsid w:val="00D13410"/>
    <w:rsid w:val="00D1393E"/>
    <w:rsid w:val="00D14AA3"/>
    <w:rsid w:val="00D1723B"/>
    <w:rsid w:val="00D1726A"/>
    <w:rsid w:val="00D201E8"/>
    <w:rsid w:val="00D20FF4"/>
    <w:rsid w:val="00D213D5"/>
    <w:rsid w:val="00D2156E"/>
    <w:rsid w:val="00D223D3"/>
    <w:rsid w:val="00D224BE"/>
    <w:rsid w:val="00D22EEC"/>
    <w:rsid w:val="00D23071"/>
    <w:rsid w:val="00D23093"/>
    <w:rsid w:val="00D230E8"/>
    <w:rsid w:val="00D23DFD"/>
    <w:rsid w:val="00D24154"/>
    <w:rsid w:val="00D24C3E"/>
    <w:rsid w:val="00D250F3"/>
    <w:rsid w:val="00D254B5"/>
    <w:rsid w:val="00D25BF1"/>
    <w:rsid w:val="00D272B7"/>
    <w:rsid w:val="00D27934"/>
    <w:rsid w:val="00D27EAC"/>
    <w:rsid w:val="00D302A1"/>
    <w:rsid w:val="00D3066D"/>
    <w:rsid w:val="00D30872"/>
    <w:rsid w:val="00D30CEC"/>
    <w:rsid w:val="00D30FCB"/>
    <w:rsid w:val="00D310A5"/>
    <w:rsid w:val="00D31AC9"/>
    <w:rsid w:val="00D32324"/>
    <w:rsid w:val="00D3244A"/>
    <w:rsid w:val="00D32648"/>
    <w:rsid w:val="00D327BC"/>
    <w:rsid w:val="00D33083"/>
    <w:rsid w:val="00D3430D"/>
    <w:rsid w:val="00D350FB"/>
    <w:rsid w:val="00D35E07"/>
    <w:rsid w:val="00D37879"/>
    <w:rsid w:val="00D400E6"/>
    <w:rsid w:val="00D40195"/>
    <w:rsid w:val="00D405F1"/>
    <w:rsid w:val="00D40B25"/>
    <w:rsid w:val="00D417F1"/>
    <w:rsid w:val="00D41B2B"/>
    <w:rsid w:val="00D41DB7"/>
    <w:rsid w:val="00D448F5"/>
    <w:rsid w:val="00D450EB"/>
    <w:rsid w:val="00D4542C"/>
    <w:rsid w:val="00D46756"/>
    <w:rsid w:val="00D5127B"/>
    <w:rsid w:val="00D513D9"/>
    <w:rsid w:val="00D522FE"/>
    <w:rsid w:val="00D525BD"/>
    <w:rsid w:val="00D53291"/>
    <w:rsid w:val="00D54A66"/>
    <w:rsid w:val="00D54CF2"/>
    <w:rsid w:val="00D55161"/>
    <w:rsid w:val="00D55C82"/>
    <w:rsid w:val="00D56107"/>
    <w:rsid w:val="00D6002B"/>
    <w:rsid w:val="00D60196"/>
    <w:rsid w:val="00D612AE"/>
    <w:rsid w:val="00D61830"/>
    <w:rsid w:val="00D61B0B"/>
    <w:rsid w:val="00D62B6F"/>
    <w:rsid w:val="00D63497"/>
    <w:rsid w:val="00D63780"/>
    <w:rsid w:val="00D63A82"/>
    <w:rsid w:val="00D63BCF"/>
    <w:rsid w:val="00D64943"/>
    <w:rsid w:val="00D64F70"/>
    <w:rsid w:val="00D653FF"/>
    <w:rsid w:val="00D66CC6"/>
    <w:rsid w:val="00D66D26"/>
    <w:rsid w:val="00D67AA2"/>
    <w:rsid w:val="00D67CC1"/>
    <w:rsid w:val="00D714D0"/>
    <w:rsid w:val="00D7235F"/>
    <w:rsid w:val="00D72565"/>
    <w:rsid w:val="00D728EA"/>
    <w:rsid w:val="00D72C5C"/>
    <w:rsid w:val="00D73041"/>
    <w:rsid w:val="00D743B5"/>
    <w:rsid w:val="00D74401"/>
    <w:rsid w:val="00D754FF"/>
    <w:rsid w:val="00D75692"/>
    <w:rsid w:val="00D75C8D"/>
    <w:rsid w:val="00D76471"/>
    <w:rsid w:val="00D766A6"/>
    <w:rsid w:val="00D76ED9"/>
    <w:rsid w:val="00D77457"/>
    <w:rsid w:val="00D77815"/>
    <w:rsid w:val="00D77ADA"/>
    <w:rsid w:val="00D77C98"/>
    <w:rsid w:val="00D77E11"/>
    <w:rsid w:val="00D80434"/>
    <w:rsid w:val="00D80D1A"/>
    <w:rsid w:val="00D8120F"/>
    <w:rsid w:val="00D81311"/>
    <w:rsid w:val="00D813AC"/>
    <w:rsid w:val="00D81502"/>
    <w:rsid w:val="00D815ED"/>
    <w:rsid w:val="00D82419"/>
    <w:rsid w:val="00D828C8"/>
    <w:rsid w:val="00D82D04"/>
    <w:rsid w:val="00D839F4"/>
    <w:rsid w:val="00D83F5C"/>
    <w:rsid w:val="00D83FEB"/>
    <w:rsid w:val="00D847EE"/>
    <w:rsid w:val="00D850E0"/>
    <w:rsid w:val="00D85909"/>
    <w:rsid w:val="00D861FC"/>
    <w:rsid w:val="00D86C23"/>
    <w:rsid w:val="00D909A0"/>
    <w:rsid w:val="00D91457"/>
    <w:rsid w:val="00D92031"/>
    <w:rsid w:val="00D923ED"/>
    <w:rsid w:val="00D92410"/>
    <w:rsid w:val="00D92445"/>
    <w:rsid w:val="00D92C42"/>
    <w:rsid w:val="00D9329E"/>
    <w:rsid w:val="00D934FD"/>
    <w:rsid w:val="00D9419D"/>
    <w:rsid w:val="00D9432B"/>
    <w:rsid w:val="00D945E8"/>
    <w:rsid w:val="00D95AFA"/>
    <w:rsid w:val="00D95DA9"/>
    <w:rsid w:val="00D95F7F"/>
    <w:rsid w:val="00D960FC"/>
    <w:rsid w:val="00D966AD"/>
    <w:rsid w:val="00D97113"/>
    <w:rsid w:val="00DA19EE"/>
    <w:rsid w:val="00DA1C82"/>
    <w:rsid w:val="00DA1CA1"/>
    <w:rsid w:val="00DA2811"/>
    <w:rsid w:val="00DA3F9D"/>
    <w:rsid w:val="00DA3FF8"/>
    <w:rsid w:val="00DA464A"/>
    <w:rsid w:val="00DA48A0"/>
    <w:rsid w:val="00DA51EB"/>
    <w:rsid w:val="00DA64EB"/>
    <w:rsid w:val="00DA6DFF"/>
    <w:rsid w:val="00DA7111"/>
    <w:rsid w:val="00DA7687"/>
    <w:rsid w:val="00DB0F3B"/>
    <w:rsid w:val="00DB1254"/>
    <w:rsid w:val="00DB160D"/>
    <w:rsid w:val="00DB19AD"/>
    <w:rsid w:val="00DB1F2C"/>
    <w:rsid w:val="00DB39F2"/>
    <w:rsid w:val="00DB45EC"/>
    <w:rsid w:val="00DB4FB7"/>
    <w:rsid w:val="00DB5021"/>
    <w:rsid w:val="00DB518A"/>
    <w:rsid w:val="00DB54D1"/>
    <w:rsid w:val="00DB5546"/>
    <w:rsid w:val="00DB6601"/>
    <w:rsid w:val="00DB6D63"/>
    <w:rsid w:val="00DB79F6"/>
    <w:rsid w:val="00DC0056"/>
    <w:rsid w:val="00DC0282"/>
    <w:rsid w:val="00DC0A9B"/>
    <w:rsid w:val="00DC0B39"/>
    <w:rsid w:val="00DC145E"/>
    <w:rsid w:val="00DC1E3D"/>
    <w:rsid w:val="00DC4A8C"/>
    <w:rsid w:val="00DC4A9E"/>
    <w:rsid w:val="00DC4BA3"/>
    <w:rsid w:val="00DC5198"/>
    <w:rsid w:val="00DC623A"/>
    <w:rsid w:val="00DC6C6D"/>
    <w:rsid w:val="00DC73DF"/>
    <w:rsid w:val="00DC7DC0"/>
    <w:rsid w:val="00DC7E92"/>
    <w:rsid w:val="00DC7EAB"/>
    <w:rsid w:val="00DC7FD6"/>
    <w:rsid w:val="00DD028E"/>
    <w:rsid w:val="00DD06FE"/>
    <w:rsid w:val="00DD0E22"/>
    <w:rsid w:val="00DD16F0"/>
    <w:rsid w:val="00DD24F3"/>
    <w:rsid w:val="00DD2DA1"/>
    <w:rsid w:val="00DD300D"/>
    <w:rsid w:val="00DD33B9"/>
    <w:rsid w:val="00DD4D7E"/>
    <w:rsid w:val="00DD5500"/>
    <w:rsid w:val="00DD5AC4"/>
    <w:rsid w:val="00DE0454"/>
    <w:rsid w:val="00DE0484"/>
    <w:rsid w:val="00DE1879"/>
    <w:rsid w:val="00DE2990"/>
    <w:rsid w:val="00DE376A"/>
    <w:rsid w:val="00DE3F63"/>
    <w:rsid w:val="00DE40E6"/>
    <w:rsid w:val="00DE4C37"/>
    <w:rsid w:val="00DE5287"/>
    <w:rsid w:val="00DE57B4"/>
    <w:rsid w:val="00DE57D7"/>
    <w:rsid w:val="00DE5F66"/>
    <w:rsid w:val="00DE670F"/>
    <w:rsid w:val="00DE6F08"/>
    <w:rsid w:val="00DE7061"/>
    <w:rsid w:val="00DF0466"/>
    <w:rsid w:val="00DF049A"/>
    <w:rsid w:val="00DF07B4"/>
    <w:rsid w:val="00DF0955"/>
    <w:rsid w:val="00DF14F6"/>
    <w:rsid w:val="00DF21A6"/>
    <w:rsid w:val="00DF27FF"/>
    <w:rsid w:val="00DF3CF9"/>
    <w:rsid w:val="00DF4A37"/>
    <w:rsid w:val="00DF4A5C"/>
    <w:rsid w:val="00DF4FA2"/>
    <w:rsid w:val="00DF6822"/>
    <w:rsid w:val="00DF7214"/>
    <w:rsid w:val="00DF732E"/>
    <w:rsid w:val="00DF7446"/>
    <w:rsid w:val="00DF7661"/>
    <w:rsid w:val="00DF7E58"/>
    <w:rsid w:val="00DF7EAF"/>
    <w:rsid w:val="00E00078"/>
    <w:rsid w:val="00E00091"/>
    <w:rsid w:val="00E0024C"/>
    <w:rsid w:val="00E00432"/>
    <w:rsid w:val="00E00ACA"/>
    <w:rsid w:val="00E00BC8"/>
    <w:rsid w:val="00E00C44"/>
    <w:rsid w:val="00E00F60"/>
    <w:rsid w:val="00E011C3"/>
    <w:rsid w:val="00E01CEF"/>
    <w:rsid w:val="00E036A4"/>
    <w:rsid w:val="00E03D7D"/>
    <w:rsid w:val="00E04FE6"/>
    <w:rsid w:val="00E05481"/>
    <w:rsid w:val="00E06C07"/>
    <w:rsid w:val="00E07B6B"/>
    <w:rsid w:val="00E10CE3"/>
    <w:rsid w:val="00E10FF9"/>
    <w:rsid w:val="00E11145"/>
    <w:rsid w:val="00E11451"/>
    <w:rsid w:val="00E13FA7"/>
    <w:rsid w:val="00E14CEF"/>
    <w:rsid w:val="00E16706"/>
    <w:rsid w:val="00E16890"/>
    <w:rsid w:val="00E175DB"/>
    <w:rsid w:val="00E176E6"/>
    <w:rsid w:val="00E204B2"/>
    <w:rsid w:val="00E20E76"/>
    <w:rsid w:val="00E21D16"/>
    <w:rsid w:val="00E23280"/>
    <w:rsid w:val="00E2396D"/>
    <w:rsid w:val="00E23ACB"/>
    <w:rsid w:val="00E23CAF"/>
    <w:rsid w:val="00E241E6"/>
    <w:rsid w:val="00E25A8F"/>
    <w:rsid w:val="00E26BC0"/>
    <w:rsid w:val="00E26C52"/>
    <w:rsid w:val="00E27BC3"/>
    <w:rsid w:val="00E30147"/>
    <w:rsid w:val="00E30228"/>
    <w:rsid w:val="00E30E0B"/>
    <w:rsid w:val="00E31F7F"/>
    <w:rsid w:val="00E338E9"/>
    <w:rsid w:val="00E33FD3"/>
    <w:rsid w:val="00E34D44"/>
    <w:rsid w:val="00E36279"/>
    <w:rsid w:val="00E36438"/>
    <w:rsid w:val="00E36B09"/>
    <w:rsid w:val="00E37207"/>
    <w:rsid w:val="00E37CEC"/>
    <w:rsid w:val="00E37F48"/>
    <w:rsid w:val="00E4025D"/>
    <w:rsid w:val="00E40376"/>
    <w:rsid w:val="00E4115D"/>
    <w:rsid w:val="00E42235"/>
    <w:rsid w:val="00E4230F"/>
    <w:rsid w:val="00E42907"/>
    <w:rsid w:val="00E43505"/>
    <w:rsid w:val="00E43C53"/>
    <w:rsid w:val="00E43ED0"/>
    <w:rsid w:val="00E44015"/>
    <w:rsid w:val="00E44C26"/>
    <w:rsid w:val="00E44C27"/>
    <w:rsid w:val="00E46108"/>
    <w:rsid w:val="00E46CAF"/>
    <w:rsid w:val="00E46FB0"/>
    <w:rsid w:val="00E47201"/>
    <w:rsid w:val="00E47805"/>
    <w:rsid w:val="00E47FDB"/>
    <w:rsid w:val="00E50750"/>
    <w:rsid w:val="00E5078A"/>
    <w:rsid w:val="00E50AD0"/>
    <w:rsid w:val="00E50F96"/>
    <w:rsid w:val="00E51547"/>
    <w:rsid w:val="00E51B41"/>
    <w:rsid w:val="00E521EA"/>
    <w:rsid w:val="00E5232B"/>
    <w:rsid w:val="00E53922"/>
    <w:rsid w:val="00E54F4D"/>
    <w:rsid w:val="00E5583E"/>
    <w:rsid w:val="00E55BA4"/>
    <w:rsid w:val="00E55BDB"/>
    <w:rsid w:val="00E564ED"/>
    <w:rsid w:val="00E56866"/>
    <w:rsid w:val="00E56FB6"/>
    <w:rsid w:val="00E577E0"/>
    <w:rsid w:val="00E60B1C"/>
    <w:rsid w:val="00E611F6"/>
    <w:rsid w:val="00E614FB"/>
    <w:rsid w:val="00E625F7"/>
    <w:rsid w:val="00E62DD5"/>
    <w:rsid w:val="00E6424E"/>
    <w:rsid w:val="00E646AE"/>
    <w:rsid w:val="00E65609"/>
    <w:rsid w:val="00E6762E"/>
    <w:rsid w:val="00E715F6"/>
    <w:rsid w:val="00E718D4"/>
    <w:rsid w:val="00E71956"/>
    <w:rsid w:val="00E72680"/>
    <w:rsid w:val="00E72A93"/>
    <w:rsid w:val="00E72BFA"/>
    <w:rsid w:val="00E7421E"/>
    <w:rsid w:val="00E74AE2"/>
    <w:rsid w:val="00E74C7C"/>
    <w:rsid w:val="00E752CD"/>
    <w:rsid w:val="00E753F5"/>
    <w:rsid w:val="00E75E12"/>
    <w:rsid w:val="00E7734E"/>
    <w:rsid w:val="00E775CA"/>
    <w:rsid w:val="00E777F3"/>
    <w:rsid w:val="00E8079B"/>
    <w:rsid w:val="00E81A52"/>
    <w:rsid w:val="00E81EDC"/>
    <w:rsid w:val="00E82F50"/>
    <w:rsid w:val="00E83356"/>
    <w:rsid w:val="00E83983"/>
    <w:rsid w:val="00E83A0A"/>
    <w:rsid w:val="00E83CB2"/>
    <w:rsid w:val="00E83E96"/>
    <w:rsid w:val="00E840CE"/>
    <w:rsid w:val="00E8483B"/>
    <w:rsid w:val="00E84998"/>
    <w:rsid w:val="00E852E1"/>
    <w:rsid w:val="00E85A07"/>
    <w:rsid w:val="00E85C20"/>
    <w:rsid w:val="00E861B9"/>
    <w:rsid w:val="00E86B5F"/>
    <w:rsid w:val="00E86C46"/>
    <w:rsid w:val="00E87031"/>
    <w:rsid w:val="00E871BD"/>
    <w:rsid w:val="00E87513"/>
    <w:rsid w:val="00E87D0F"/>
    <w:rsid w:val="00E87F5B"/>
    <w:rsid w:val="00E903DA"/>
    <w:rsid w:val="00E909B4"/>
    <w:rsid w:val="00E9130E"/>
    <w:rsid w:val="00E918E7"/>
    <w:rsid w:val="00E91E70"/>
    <w:rsid w:val="00E92C82"/>
    <w:rsid w:val="00E93C69"/>
    <w:rsid w:val="00E93DAB"/>
    <w:rsid w:val="00E94621"/>
    <w:rsid w:val="00E946E4"/>
    <w:rsid w:val="00E947BB"/>
    <w:rsid w:val="00E951FA"/>
    <w:rsid w:val="00E95738"/>
    <w:rsid w:val="00E95995"/>
    <w:rsid w:val="00E96692"/>
    <w:rsid w:val="00E96BE1"/>
    <w:rsid w:val="00EA03EE"/>
    <w:rsid w:val="00EA0E4D"/>
    <w:rsid w:val="00EA1C8D"/>
    <w:rsid w:val="00EA2BF6"/>
    <w:rsid w:val="00EA35D4"/>
    <w:rsid w:val="00EA3D63"/>
    <w:rsid w:val="00EA43F9"/>
    <w:rsid w:val="00EA4562"/>
    <w:rsid w:val="00EA50A5"/>
    <w:rsid w:val="00EA5B91"/>
    <w:rsid w:val="00EA6AB4"/>
    <w:rsid w:val="00EA70A3"/>
    <w:rsid w:val="00EA70A4"/>
    <w:rsid w:val="00EA721E"/>
    <w:rsid w:val="00EA7C53"/>
    <w:rsid w:val="00EB035A"/>
    <w:rsid w:val="00EB0953"/>
    <w:rsid w:val="00EB2458"/>
    <w:rsid w:val="00EB3FAE"/>
    <w:rsid w:val="00EB4F3F"/>
    <w:rsid w:val="00EB53D5"/>
    <w:rsid w:val="00EB5EF0"/>
    <w:rsid w:val="00EB6598"/>
    <w:rsid w:val="00EB68B0"/>
    <w:rsid w:val="00EB6982"/>
    <w:rsid w:val="00EB6DC8"/>
    <w:rsid w:val="00EB6DDF"/>
    <w:rsid w:val="00EB6EFF"/>
    <w:rsid w:val="00EB72D1"/>
    <w:rsid w:val="00EB7675"/>
    <w:rsid w:val="00EB7BE3"/>
    <w:rsid w:val="00EC07C7"/>
    <w:rsid w:val="00EC08D7"/>
    <w:rsid w:val="00EC0ACC"/>
    <w:rsid w:val="00EC0FD8"/>
    <w:rsid w:val="00EC14EA"/>
    <w:rsid w:val="00EC160D"/>
    <w:rsid w:val="00EC2031"/>
    <w:rsid w:val="00EC217D"/>
    <w:rsid w:val="00EC3093"/>
    <w:rsid w:val="00EC431D"/>
    <w:rsid w:val="00EC446C"/>
    <w:rsid w:val="00EC4B6A"/>
    <w:rsid w:val="00EC4F4C"/>
    <w:rsid w:val="00EC6118"/>
    <w:rsid w:val="00EC77BC"/>
    <w:rsid w:val="00EC7E9B"/>
    <w:rsid w:val="00ED075C"/>
    <w:rsid w:val="00ED1730"/>
    <w:rsid w:val="00ED17BE"/>
    <w:rsid w:val="00ED1812"/>
    <w:rsid w:val="00ED31A9"/>
    <w:rsid w:val="00ED39A6"/>
    <w:rsid w:val="00ED3E84"/>
    <w:rsid w:val="00ED3F79"/>
    <w:rsid w:val="00ED5010"/>
    <w:rsid w:val="00ED65CD"/>
    <w:rsid w:val="00ED66C6"/>
    <w:rsid w:val="00ED6E1D"/>
    <w:rsid w:val="00ED70AF"/>
    <w:rsid w:val="00ED7611"/>
    <w:rsid w:val="00EE004A"/>
    <w:rsid w:val="00EE0362"/>
    <w:rsid w:val="00EE0BE8"/>
    <w:rsid w:val="00EE125F"/>
    <w:rsid w:val="00EE24FD"/>
    <w:rsid w:val="00EE29FC"/>
    <w:rsid w:val="00EE35CC"/>
    <w:rsid w:val="00EE415F"/>
    <w:rsid w:val="00EE42DF"/>
    <w:rsid w:val="00EE4382"/>
    <w:rsid w:val="00EE43D3"/>
    <w:rsid w:val="00EE4549"/>
    <w:rsid w:val="00EE490D"/>
    <w:rsid w:val="00EE5059"/>
    <w:rsid w:val="00EE57D2"/>
    <w:rsid w:val="00EE5EC0"/>
    <w:rsid w:val="00EE6393"/>
    <w:rsid w:val="00EE6611"/>
    <w:rsid w:val="00EE686B"/>
    <w:rsid w:val="00EE6A6A"/>
    <w:rsid w:val="00EE7DE0"/>
    <w:rsid w:val="00EF023B"/>
    <w:rsid w:val="00EF04A6"/>
    <w:rsid w:val="00EF1DAC"/>
    <w:rsid w:val="00EF1FDD"/>
    <w:rsid w:val="00EF3246"/>
    <w:rsid w:val="00EF43A0"/>
    <w:rsid w:val="00EF4A9E"/>
    <w:rsid w:val="00EF5011"/>
    <w:rsid w:val="00EF50A0"/>
    <w:rsid w:val="00EF61A7"/>
    <w:rsid w:val="00EF6A1C"/>
    <w:rsid w:val="00EF72A3"/>
    <w:rsid w:val="00EF7E34"/>
    <w:rsid w:val="00F01A84"/>
    <w:rsid w:val="00F01DA8"/>
    <w:rsid w:val="00F01F5E"/>
    <w:rsid w:val="00F02B1F"/>
    <w:rsid w:val="00F02DBB"/>
    <w:rsid w:val="00F02DF7"/>
    <w:rsid w:val="00F03F1A"/>
    <w:rsid w:val="00F04DA4"/>
    <w:rsid w:val="00F05ACB"/>
    <w:rsid w:val="00F05C2F"/>
    <w:rsid w:val="00F06272"/>
    <w:rsid w:val="00F069A5"/>
    <w:rsid w:val="00F06E3A"/>
    <w:rsid w:val="00F075BA"/>
    <w:rsid w:val="00F07CAE"/>
    <w:rsid w:val="00F10EE3"/>
    <w:rsid w:val="00F117C1"/>
    <w:rsid w:val="00F12F4E"/>
    <w:rsid w:val="00F13375"/>
    <w:rsid w:val="00F13AF6"/>
    <w:rsid w:val="00F13FDC"/>
    <w:rsid w:val="00F1432D"/>
    <w:rsid w:val="00F14A7B"/>
    <w:rsid w:val="00F15682"/>
    <w:rsid w:val="00F16002"/>
    <w:rsid w:val="00F17532"/>
    <w:rsid w:val="00F201FF"/>
    <w:rsid w:val="00F2065B"/>
    <w:rsid w:val="00F20758"/>
    <w:rsid w:val="00F21539"/>
    <w:rsid w:val="00F237A6"/>
    <w:rsid w:val="00F241A1"/>
    <w:rsid w:val="00F243C3"/>
    <w:rsid w:val="00F244D1"/>
    <w:rsid w:val="00F24702"/>
    <w:rsid w:val="00F24849"/>
    <w:rsid w:val="00F25394"/>
    <w:rsid w:val="00F25EDD"/>
    <w:rsid w:val="00F261EA"/>
    <w:rsid w:val="00F261FD"/>
    <w:rsid w:val="00F263CF"/>
    <w:rsid w:val="00F26971"/>
    <w:rsid w:val="00F269D4"/>
    <w:rsid w:val="00F27819"/>
    <w:rsid w:val="00F302F4"/>
    <w:rsid w:val="00F3152F"/>
    <w:rsid w:val="00F32294"/>
    <w:rsid w:val="00F33FB7"/>
    <w:rsid w:val="00F3439A"/>
    <w:rsid w:val="00F344C8"/>
    <w:rsid w:val="00F3488E"/>
    <w:rsid w:val="00F35287"/>
    <w:rsid w:val="00F358DC"/>
    <w:rsid w:val="00F35C3F"/>
    <w:rsid w:val="00F36705"/>
    <w:rsid w:val="00F36F62"/>
    <w:rsid w:val="00F37DB2"/>
    <w:rsid w:val="00F407A0"/>
    <w:rsid w:val="00F408EE"/>
    <w:rsid w:val="00F40B3E"/>
    <w:rsid w:val="00F40B88"/>
    <w:rsid w:val="00F40C43"/>
    <w:rsid w:val="00F40F2B"/>
    <w:rsid w:val="00F420CD"/>
    <w:rsid w:val="00F42A02"/>
    <w:rsid w:val="00F42CF8"/>
    <w:rsid w:val="00F43857"/>
    <w:rsid w:val="00F43877"/>
    <w:rsid w:val="00F45409"/>
    <w:rsid w:val="00F4566D"/>
    <w:rsid w:val="00F47080"/>
    <w:rsid w:val="00F47E67"/>
    <w:rsid w:val="00F50D13"/>
    <w:rsid w:val="00F51A2E"/>
    <w:rsid w:val="00F51F48"/>
    <w:rsid w:val="00F5275F"/>
    <w:rsid w:val="00F52F6F"/>
    <w:rsid w:val="00F53216"/>
    <w:rsid w:val="00F53A8D"/>
    <w:rsid w:val="00F53BD6"/>
    <w:rsid w:val="00F55936"/>
    <w:rsid w:val="00F57526"/>
    <w:rsid w:val="00F60A14"/>
    <w:rsid w:val="00F6106E"/>
    <w:rsid w:val="00F616D9"/>
    <w:rsid w:val="00F619F2"/>
    <w:rsid w:val="00F61E37"/>
    <w:rsid w:val="00F638D8"/>
    <w:rsid w:val="00F642BC"/>
    <w:rsid w:val="00F645F9"/>
    <w:rsid w:val="00F64F4D"/>
    <w:rsid w:val="00F659D3"/>
    <w:rsid w:val="00F65F07"/>
    <w:rsid w:val="00F6635F"/>
    <w:rsid w:val="00F663F0"/>
    <w:rsid w:val="00F66863"/>
    <w:rsid w:val="00F67DF5"/>
    <w:rsid w:val="00F704FF"/>
    <w:rsid w:val="00F70BAF"/>
    <w:rsid w:val="00F71133"/>
    <w:rsid w:val="00F71758"/>
    <w:rsid w:val="00F7195A"/>
    <w:rsid w:val="00F72394"/>
    <w:rsid w:val="00F748EA"/>
    <w:rsid w:val="00F74A0B"/>
    <w:rsid w:val="00F7604E"/>
    <w:rsid w:val="00F772EC"/>
    <w:rsid w:val="00F776E4"/>
    <w:rsid w:val="00F803E9"/>
    <w:rsid w:val="00F8098E"/>
    <w:rsid w:val="00F80CB9"/>
    <w:rsid w:val="00F8212B"/>
    <w:rsid w:val="00F824A4"/>
    <w:rsid w:val="00F829E8"/>
    <w:rsid w:val="00F8343F"/>
    <w:rsid w:val="00F83794"/>
    <w:rsid w:val="00F83B8A"/>
    <w:rsid w:val="00F85063"/>
    <w:rsid w:val="00F85F85"/>
    <w:rsid w:val="00F86E9D"/>
    <w:rsid w:val="00F87CDD"/>
    <w:rsid w:val="00F90013"/>
    <w:rsid w:val="00F91B13"/>
    <w:rsid w:val="00F91B90"/>
    <w:rsid w:val="00F92598"/>
    <w:rsid w:val="00F92764"/>
    <w:rsid w:val="00F92FC0"/>
    <w:rsid w:val="00F93E2C"/>
    <w:rsid w:val="00F9447A"/>
    <w:rsid w:val="00F94C34"/>
    <w:rsid w:val="00F95350"/>
    <w:rsid w:val="00F954A0"/>
    <w:rsid w:val="00F95C05"/>
    <w:rsid w:val="00F96DD0"/>
    <w:rsid w:val="00F97D84"/>
    <w:rsid w:val="00FA0218"/>
    <w:rsid w:val="00FA07FF"/>
    <w:rsid w:val="00FA0E65"/>
    <w:rsid w:val="00FA1BDA"/>
    <w:rsid w:val="00FA1D81"/>
    <w:rsid w:val="00FA2D33"/>
    <w:rsid w:val="00FA3176"/>
    <w:rsid w:val="00FA3E0C"/>
    <w:rsid w:val="00FA4633"/>
    <w:rsid w:val="00FA4B1D"/>
    <w:rsid w:val="00FA5370"/>
    <w:rsid w:val="00FA60C3"/>
    <w:rsid w:val="00FA7174"/>
    <w:rsid w:val="00FA7CF4"/>
    <w:rsid w:val="00FA7F37"/>
    <w:rsid w:val="00FB03C0"/>
    <w:rsid w:val="00FB0AF0"/>
    <w:rsid w:val="00FB0C07"/>
    <w:rsid w:val="00FB0CB5"/>
    <w:rsid w:val="00FB0F0E"/>
    <w:rsid w:val="00FB1406"/>
    <w:rsid w:val="00FB1E48"/>
    <w:rsid w:val="00FB2923"/>
    <w:rsid w:val="00FB317F"/>
    <w:rsid w:val="00FB3F41"/>
    <w:rsid w:val="00FB40BE"/>
    <w:rsid w:val="00FB4EC6"/>
    <w:rsid w:val="00FB52D1"/>
    <w:rsid w:val="00FB5E04"/>
    <w:rsid w:val="00FB6703"/>
    <w:rsid w:val="00FB69EE"/>
    <w:rsid w:val="00FB7C10"/>
    <w:rsid w:val="00FC0012"/>
    <w:rsid w:val="00FC05E6"/>
    <w:rsid w:val="00FC08E9"/>
    <w:rsid w:val="00FC0E8E"/>
    <w:rsid w:val="00FC2628"/>
    <w:rsid w:val="00FC3858"/>
    <w:rsid w:val="00FC4C98"/>
    <w:rsid w:val="00FC4E12"/>
    <w:rsid w:val="00FC5A22"/>
    <w:rsid w:val="00FC662F"/>
    <w:rsid w:val="00FC6804"/>
    <w:rsid w:val="00FC6B74"/>
    <w:rsid w:val="00FD2B0E"/>
    <w:rsid w:val="00FD4376"/>
    <w:rsid w:val="00FD4697"/>
    <w:rsid w:val="00FD50FD"/>
    <w:rsid w:val="00FD511E"/>
    <w:rsid w:val="00FD5CEC"/>
    <w:rsid w:val="00FD67C0"/>
    <w:rsid w:val="00FD6F9F"/>
    <w:rsid w:val="00FD7322"/>
    <w:rsid w:val="00FD7D79"/>
    <w:rsid w:val="00FE044D"/>
    <w:rsid w:val="00FE0736"/>
    <w:rsid w:val="00FE182F"/>
    <w:rsid w:val="00FE1F5B"/>
    <w:rsid w:val="00FE1F8E"/>
    <w:rsid w:val="00FE2379"/>
    <w:rsid w:val="00FE242D"/>
    <w:rsid w:val="00FE3AFF"/>
    <w:rsid w:val="00FE4382"/>
    <w:rsid w:val="00FE4D81"/>
    <w:rsid w:val="00FE60EC"/>
    <w:rsid w:val="00FE612E"/>
    <w:rsid w:val="00FE64D2"/>
    <w:rsid w:val="00FE65EB"/>
    <w:rsid w:val="00FE79A7"/>
    <w:rsid w:val="00FF0893"/>
    <w:rsid w:val="00FF0ABB"/>
    <w:rsid w:val="00FF0D31"/>
    <w:rsid w:val="00FF199A"/>
    <w:rsid w:val="00FF31EB"/>
    <w:rsid w:val="00FF3383"/>
    <w:rsid w:val="00FF3CF8"/>
    <w:rsid w:val="00FF3ED6"/>
    <w:rsid w:val="00FF54E4"/>
    <w:rsid w:val="00FF564E"/>
    <w:rsid w:val="00FF5EF2"/>
    <w:rsid w:val="00FF6000"/>
    <w:rsid w:val="00FF60E6"/>
    <w:rsid w:val="00FF735E"/>
    <w:rsid w:val="00FF7ADF"/>
    <w:rsid w:val="00FF7C9B"/>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3D5F5"/>
  <w15:docId w15:val="{6595633E-7BE1-477C-A887-A72C3051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1D90"/>
    <w:pPr>
      <w:suppressAutoHyphens/>
      <w:spacing w:after="120"/>
      <w:jc w:val="both"/>
    </w:pPr>
    <w:rPr>
      <w:sz w:val="24"/>
    </w:rPr>
  </w:style>
  <w:style w:type="paragraph" w:styleId="Ttulo1">
    <w:name w:val="heading 1"/>
    <w:aliases w:val="Document Header1,TITULO 1"/>
    <w:basedOn w:val="Normal"/>
    <w:next w:val="Normal"/>
    <w:link w:val="Ttulo1Car"/>
    <w:qFormat/>
    <w:rsid w:val="00971747"/>
    <w:pPr>
      <w:spacing w:before="48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uiPriority w:val="9"/>
    <w:qFormat/>
    <w:rsid w:val="00971747"/>
    <w:pPr>
      <w:pBdr>
        <w:bottom w:val="single" w:sz="24" w:space="3" w:color="C0C0C0"/>
      </w:pBdr>
      <w:jc w:val="center"/>
      <w:outlineLvl w:val="1"/>
    </w:pPr>
    <w:rPr>
      <w:rFonts w:ascii="Arial" w:hAnsi="Arial"/>
      <w:b/>
      <w:sz w:val="28"/>
    </w:rPr>
  </w:style>
  <w:style w:type="paragraph" w:styleId="Ttulo3">
    <w:name w:val="heading 3"/>
    <w:aliases w:val="Section Header3,ClauseSub_No&amp;Name,Heading 3 Char,Section Header3 Char Char Char Char Char,Section Header3 Char Char Char,TITULO 3,Section HeadTITULO 3,Título 3;Section Header3;ClauseSub_No&amp;Name;Heading 3 Char;Section HeadTITULO 3"/>
    <w:basedOn w:val="Normal"/>
    <w:next w:val="Normal"/>
    <w:link w:val="Ttulo3Car"/>
    <w:uiPriority w:val="9"/>
    <w:qFormat/>
    <w:rsid w:val="00971747"/>
    <w:pPr>
      <w:jc w:val="center"/>
      <w:outlineLvl w:val="2"/>
    </w:pPr>
    <w:rPr>
      <w:rFonts w:ascii="Times New Roman Bold" w:hAnsi="Times New Roman Bold"/>
      <w:b/>
      <w:sz w:val="28"/>
    </w:rPr>
  </w:style>
  <w:style w:type="paragraph" w:styleId="Ttulo4">
    <w:name w:val="heading 4"/>
    <w:aliases w:val=" Sub-Clause Sub-paragraph,ClauseSubSub_No&amp;Name,Sub-Clause Sub-paragraph,Subsection,Heading4,Kop 4"/>
    <w:basedOn w:val="Normal"/>
    <w:next w:val="Normal"/>
    <w:link w:val="Ttulo4Car"/>
    <w:qFormat/>
    <w:rsid w:val="00971747"/>
    <w:pPr>
      <w:keepNext/>
      <w:spacing w:before="240"/>
      <w:jc w:val="center"/>
      <w:outlineLvl w:val="3"/>
    </w:pPr>
    <w:rPr>
      <w:b/>
    </w:rPr>
  </w:style>
  <w:style w:type="paragraph" w:styleId="Ttulo5">
    <w:name w:val="heading 5"/>
    <w:basedOn w:val="Normal"/>
    <w:next w:val="Normal"/>
    <w:link w:val="Ttulo5Car"/>
    <w:qFormat/>
    <w:rsid w:val="00971747"/>
    <w:pPr>
      <w:keepNext/>
      <w:keepLines/>
      <w:spacing w:before="240"/>
      <w:outlineLvl w:val="4"/>
    </w:pPr>
    <w:rPr>
      <w:b/>
    </w:rPr>
  </w:style>
  <w:style w:type="paragraph" w:styleId="Ttulo6">
    <w:name w:val="heading 6"/>
    <w:basedOn w:val="Normal"/>
    <w:next w:val="Normal"/>
    <w:link w:val="Ttulo6Car"/>
    <w:qFormat/>
    <w:rsid w:val="00971747"/>
    <w:pPr>
      <w:spacing w:before="240" w:after="60"/>
      <w:outlineLvl w:val="5"/>
    </w:pPr>
    <w:rPr>
      <w:rFonts w:ascii="Univers" w:hAnsi="Univers"/>
      <w:i/>
    </w:rPr>
  </w:style>
  <w:style w:type="paragraph" w:styleId="Ttulo7">
    <w:name w:val="heading 7"/>
    <w:basedOn w:val="Normal"/>
    <w:next w:val="Normal"/>
    <w:link w:val="Ttulo7Car"/>
    <w:qFormat/>
    <w:rsid w:val="00971747"/>
    <w:pPr>
      <w:spacing w:before="240" w:after="60"/>
      <w:outlineLvl w:val="6"/>
    </w:pPr>
    <w:rPr>
      <w:rFonts w:ascii="Univers" w:hAnsi="Univers"/>
      <w:sz w:val="20"/>
    </w:rPr>
  </w:style>
  <w:style w:type="paragraph" w:styleId="Ttulo8">
    <w:name w:val="heading 8"/>
    <w:basedOn w:val="Normal"/>
    <w:next w:val="Normal"/>
    <w:link w:val="Ttulo8Car"/>
    <w:qFormat/>
    <w:rsid w:val="00971747"/>
    <w:pPr>
      <w:spacing w:before="240" w:after="60"/>
      <w:outlineLvl w:val="7"/>
    </w:pPr>
    <w:rPr>
      <w:rFonts w:ascii="Univers" w:hAnsi="Univers"/>
      <w:i/>
      <w:sz w:val="20"/>
    </w:rPr>
  </w:style>
  <w:style w:type="paragraph" w:styleId="Ttulo9">
    <w:name w:val="heading 9"/>
    <w:basedOn w:val="Normal"/>
    <w:next w:val="Normal"/>
    <w:link w:val="Ttulo9Car"/>
    <w:qFormat/>
    <w:rsid w:val="00971747"/>
    <w:pPr>
      <w:spacing w:before="240" w:after="60"/>
      <w:outlineLvl w:val="8"/>
    </w:pPr>
    <w:rPr>
      <w:rFonts w:ascii="Univers" w:hAnsi="Univers"/>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semiHidden/>
    <w:rsid w:val="00971747"/>
    <w:rPr>
      <w:vertAlign w:val="superscript"/>
    </w:rPr>
  </w:style>
  <w:style w:type="paragraph" w:styleId="Textonotaalfinal">
    <w:name w:val="endnote text"/>
    <w:basedOn w:val="Normal"/>
    <w:link w:val="TextonotaalfinalCar"/>
    <w:semiHidden/>
    <w:rsid w:val="0097174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styleId="Refdenotaalpie">
    <w:name w:val="footnote reference"/>
    <w:basedOn w:val="Fuentedeprrafopredeter"/>
    <w:uiPriority w:val="99"/>
    <w:rsid w:val="00971747"/>
    <w:rPr>
      <w:rFonts w:ascii="Times New Roman" w:hAnsi="Times New Roman"/>
      <w:spacing w:val="0"/>
      <w:kern w:val="0"/>
      <w:position w:val="0"/>
      <w:sz w:val="2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971747"/>
    <w:pPr>
      <w:ind w:left="360" w:hanging="360"/>
      <w:jc w:val="left"/>
    </w:pPr>
    <w:rPr>
      <w:rFonts w:ascii="Arial" w:hAnsi="Arial"/>
      <w:sz w:val="20"/>
    </w:rPr>
  </w:style>
  <w:style w:type="character" w:styleId="Refdecomentario">
    <w:name w:val="annotation reference"/>
    <w:basedOn w:val="Fuentedeprrafopredeter"/>
    <w:uiPriority w:val="99"/>
    <w:rsid w:val="00971747"/>
    <w:rPr>
      <w:sz w:val="16"/>
    </w:rPr>
  </w:style>
  <w:style w:type="paragraph" w:styleId="Textocomentario">
    <w:name w:val="annotation text"/>
    <w:basedOn w:val="Normal"/>
    <w:link w:val="TextocomentarioCar"/>
    <w:uiPriority w:val="99"/>
    <w:rsid w:val="00971747"/>
    <w:pPr>
      <w:ind w:left="533" w:hanging="533"/>
    </w:pPr>
    <w:rPr>
      <w:sz w:val="20"/>
    </w:rPr>
  </w:style>
  <w:style w:type="paragraph" w:styleId="TDC4">
    <w:name w:val="toc 4"/>
    <w:basedOn w:val="Normal"/>
    <w:next w:val="Normal"/>
    <w:uiPriority w:val="39"/>
    <w:rsid w:val="00971747"/>
    <w:pPr>
      <w:spacing w:after="0"/>
      <w:ind w:left="720"/>
      <w:jc w:val="left"/>
    </w:pPr>
    <w:rPr>
      <w:sz w:val="18"/>
    </w:rPr>
  </w:style>
  <w:style w:type="paragraph" w:styleId="TDC1">
    <w:name w:val="toc 1"/>
    <w:basedOn w:val="Normal"/>
    <w:next w:val="TDC2"/>
    <w:uiPriority w:val="39"/>
    <w:rsid w:val="00895831"/>
    <w:pPr>
      <w:tabs>
        <w:tab w:val="right" w:leader="dot" w:pos="9299"/>
      </w:tabs>
      <w:spacing w:before="120"/>
      <w:jc w:val="left"/>
    </w:pPr>
    <w:rPr>
      <w:rFonts w:ascii="Times New Roman Bold" w:hAnsi="Times New Roman Bold"/>
      <w:b/>
    </w:rPr>
  </w:style>
  <w:style w:type="paragraph" w:styleId="TDC2">
    <w:name w:val="toc 2"/>
    <w:basedOn w:val="Normal"/>
    <w:uiPriority w:val="39"/>
    <w:rsid w:val="00895831"/>
    <w:pPr>
      <w:tabs>
        <w:tab w:val="left" w:pos="900"/>
        <w:tab w:val="right" w:leader="dot" w:pos="9299"/>
      </w:tabs>
      <w:spacing w:after="0"/>
      <w:ind w:left="900" w:hanging="540"/>
      <w:jc w:val="left"/>
    </w:pPr>
    <w:rPr>
      <w:noProof/>
    </w:rPr>
  </w:style>
  <w:style w:type="paragraph" w:styleId="TDC3">
    <w:name w:val="toc 3"/>
    <w:basedOn w:val="Normal"/>
    <w:next w:val="Normal"/>
    <w:uiPriority w:val="39"/>
    <w:rsid w:val="009A148B"/>
    <w:pPr>
      <w:spacing w:after="0"/>
      <w:ind w:left="480"/>
      <w:jc w:val="left"/>
    </w:pPr>
  </w:style>
  <w:style w:type="paragraph" w:styleId="TDC5">
    <w:name w:val="toc 5"/>
    <w:basedOn w:val="Normal"/>
    <w:next w:val="Normal"/>
    <w:uiPriority w:val="39"/>
    <w:rsid w:val="00971747"/>
    <w:pPr>
      <w:spacing w:after="0"/>
      <w:ind w:left="960"/>
      <w:jc w:val="left"/>
    </w:pPr>
    <w:rPr>
      <w:sz w:val="18"/>
    </w:rPr>
  </w:style>
  <w:style w:type="paragraph" w:styleId="TDC6">
    <w:name w:val="toc 6"/>
    <w:basedOn w:val="Normal"/>
    <w:next w:val="Normal"/>
    <w:uiPriority w:val="39"/>
    <w:rsid w:val="00971747"/>
    <w:pPr>
      <w:spacing w:after="0"/>
      <w:ind w:left="1200"/>
      <w:jc w:val="left"/>
    </w:pPr>
    <w:rPr>
      <w:sz w:val="18"/>
    </w:rPr>
  </w:style>
  <w:style w:type="paragraph" w:styleId="TDC7">
    <w:name w:val="toc 7"/>
    <w:basedOn w:val="Normal"/>
    <w:next w:val="Normal"/>
    <w:uiPriority w:val="39"/>
    <w:rsid w:val="00971747"/>
    <w:pPr>
      <w:spacing w:after="0"/>
      <w:ind w:left="1440"/>
      <w:jc w:val="left"/>
    </w:pPr>
    <w:rPr>
      <w:sz w:val="18"/>
    </w:rPr>
  </w:style>
  <w:style w:type="paragraph" w:styleId="TDC8">
    <w:name w:val="toc 8"/>
    <w:basedOn w:val="Normal"/>
    <w:next w:val="Normal"/>
    <w:uiPriority w:val="39"/>
    <w:rsid w:val="00971747"/>
    <w:pPr>
      <w:spacing w:after="0"/>
      <w:ind w:left="1680"/>
      <w:jc w:val="left"/>
    </w:pPr>
    <w:rPr>
      <w:sz w:val="18"/>
    </w:rPr>
  </w:style>
  <w:style w:type="paragraph" w:styleId="TDC9">
    <w:name w:val="toc 9"/>
    <w:basedOn w:val="Normal"/>
    <w:next w:val="Normal"/>
    <w:uiPriority w:val="39"/>
    <w:rsid w:val="00971747"/>
    <w:pPr>
      <w:spacing w:after="0"/>
      <w:ind w:left="1920"/>
      <w:jc w:val="left"/>
    </w:pPr>
    <w:rPr>
      <w:sz w:val="18"/>
    </w:rPr>
  </w:style>
  <w:style w:type="paragraph" w:customStyle="1" w:styleId="explanatorynotes">
    <w:name w:val="explanatory_notes"/>
    <w:basedOn w:val="Normal"/>
    <w:link w:val="explanatorynotesChar"/>
    <w:rsid w:val="001D19C1"/>
    <w:rPr>
      <w:rFonts w:ascii="Arial" w:hAnsi="Arial"/>
      <w:sz w:val="22"/>
    </w:rPr>
  </w:style>
  <w:style w:type="character" w:customStyle="1" w:styleId="explanatorynotesChar">
    <w:name w:val="explanatory_notes Char"/>
    <w:basedOn w:val="Fuentedeprrafopredeter"/>
    <w:link w:val="explanatorynotes"/>
    <w:rsid w:val="004D598F"/>
    <w:rPr>
      <w:rFonts w:ascii="Arial" w:hAnsi="Arial"/>
      <w:sz w:val="22"/>
    </w:rPr>
  </w:style>
  <w:style w:type="paragraph" w:customStyle="1" w:styleId="explanatoryclause">
    <w:name w:val="explanatory_clause"/>
    <w:basedOn w:val="Normal"/>
    <w:rsid w:val="00971747"/>
    <w:pPr>
      <w:ind w:left="738" w:right="-14" w:hanging="738"/>
      <w:jc w:val="left"/>
    </w:pPr>
    <w:rPr>
      <w:rFonts w:ascii="Arial" w:hAnsi="Arial"/>
      <w:sz w:val="22"/>
    </w:rPr>
  </w:style>
  <w:style w:type="character" w:styleId="Nmerodepgina">
    <w:name w:val="page number"/>
    <w:basedOn w:val="Fuentedeprrafopredeter"/>
    <w:rsid w:val="004D598F"/>
    <w:rPr>
      <w:rFonts w:ascii="Times New Roman" w:hAnsi="Times New Roman"/>
      <w:spacing w:val="0"/>
      <w:position w:val="0"/>
      <w:sz w:val="20"/>
      <w:vertAlign w:val="baseline"/>
    </w:rPr>
  </w:style>
  <w:style w:type="paragraph" w:styleId="Mapadeldocumento">
    <w:name w:val="Document Map"/>
    <w:basedOn w:val="Normal"/>
    <w:link w:val="MapadeldocumentoCar"/>
    <w:semiHidden/>
    <w:rsid w:val="00971747"/>
    <w:pPr>
      <w:shd w:val="clear" w:color="auto" w:fill="000080"/>
    </w:pPr>
    <w:rPr>
      <w:rFonts w:ascii="Tahoma" w:hAnsi="Tahoma"/>
    </w:rPr>
  </w:style>
  <w:style w:type="character" w:styleId="Hipervnculo">
    <w:name w:val="Hyperlink"/>
    <w:basedOn w:val="Fuentedeprrafopredeter"/>
    <w:uiPriority w:val="99"/>
    <w:rsid w:val="00971747"/>
    <w:rPr>
      <w:color w:val="0000FF"/>
      <w:u w:val="single"/>
    </w:rPr>
  </w:style>
  <w:style w:type="paragraph" w:styleId="Descripcin">
    <w:name w:val="caption"/>
    <w:basedOn w:val="Normal"/>
    <w:next w:val="Normal"/>
    <w:qFormat/>
    <w:rsid w:val="00971747"/>
    <w:pPr>
      <w:spacing w:before="120"/>
      <w:jc w:val="center"/>
    </w:pPr>
    <w:rPr>
      <w:b/>
      <w:sz w:val="22"/>
    </w:rPr>
  </w:style>
  <w:style w:type="character" w:styleId="Hipervnculovisitado">
    <w:name w:val="FollowedHyperlink"/>
    <w:basedOn w:val="Fuentedeprrafopredeter"/>
    <w:uiPriority w:val="99"/>
    <w:rsid w:val="00971747"/>
    <w:rPr>
      <w:color w:val="800080"/>
      <w:u w:val="single"/>
    </w:rPr>
  </w:style>
  <w:style w:type="paragraph" w:styleId="Asuntodelcomentario">
    <w:name w:val="annotation subject"/>
    <w:basedOn w:val="Textocomentario"/>
    <w:next w:val="Textocomentario"/>
    <w:link w:val="AsuntodelcomentarioCar"/>
    <w:semiHidden/>
    <w:rsid w:val="00CB529C"/>
    <w:pPr>
      <w:ind w:left="0" w:firstLine="0"/>
    </w:pPr>
    <w:rPr>
      <w:b/>
      <w:bCs/>
    </w:rPr>
  </w:style>
  <w:style w:type="paragraph" w:styleId="Textodeglobo">
    <w:name w:val="Balloon Text"/>
    <w:basedOn w:val="Normal"/>
    <w:link w:val="TextodegloboCar"/>
    <w:semiHidden/>
    <w:rsid w:val="00CB529C"/>
    <w:rPr>
      <w:rFonts w:ascii="Tahoma" w:hAnsi="Tahoma" w:cs="Tahoma"/>
      <w:sz w:val="16"/>
      <w:szCs w:val="16"/>
    </w:rPr>
  </w:style>
  <w:style w:type="paragraph" w:styleId="Encabezado">
    <w:name w:val="header"/>
    <w:basedOn w:val="Normal"/>
    <w:link w:val="EncabezadoCar"/>
    <w:uiPriority w:val="99"/>
    <w:rsid w:val="00975067"/>
    <w:pPr>
      <w:tabs>
        <w:tab w:val="center" w:pos="4320"/>
        <w:tab w:val="right" w:pos="8640"/>
      </w:tabs>
    </w:pPr>
  </w:style>
  <w:style w:type="paragraph" w:styleId="Piedepgina">
    <w:name w:val="footer"/>
    <w:basedOn w:val="Normal"/>
    <w:link w:val="PiedepginaCar"/>
    <w:uiPriority w:val="99"/>
    <w:rsid w:val="00975067"/>
    <w:pPr>
      <w:tabs>
        <w:tab w:val="center" w:pos="4320"/>
        <w:tab w:val="right" w:pos="8640"/>
      </w:tabs>
    </w:pPr>
  </w:style>
  <w:style w:type="paragraph" w:customStyle="1" w:styleId="Head21a">
    <w:name w:val="Head 2.1a"/>
    <w:basedOn w:val="Normal"/>
    <w:rsid w:val="004D598F"/>
    <w:pPr>
      <w:keepNext/>
      <w:pBdr>
        <w:bottom w:val="single" w:sz="24" w:space="3" w:color="auto"/>
      </w:pBdr>
      <w:spacing w:before="480"/>
      <w:jc w:val="center"/>
    </w:pPr>
    <w:rPr>
      <w:rFonts w:ascii="Times New Roman Bold" w:hAnsi="Times New Roman Bold"/>
      <w:b/>
      <w:smallCaps/>
      <w:sz w:val="32"/>
    </w:rPr>
  </w:style>
  <w:style w:type="paragraph" w:customStyle="1" w:styleId="Head01">
    <w:name w:val="Head 0.1"/>
    <w:basedOn w:val="Head0"/>
    <w:qFormat/>
    <w:rsid w:val="006905AD"/>
    <w:pPr>
      <w:suppressAutoHyphens w:val="0"/>
      <w:spacing w:after="0"/>
    </w:pPr>
    <w:rPr>
      <w:sz w:val="56"/>
    </w:rPr>
  </w:style>
  <w:style w:type="paragraph" w:customStyle="1" w:styleId="TOC11">
    <w:name w:val="TOC 11"/>
    <w:rsid w:val="004D598F"/>
    <w:pPr>
      <w:tabs>
        <w:tab w:val="left" w:pos="360"/>
      </w:tabs>
      <w:suppressAutoHyphens/>
    </w:pPr>
    <w:rPr>
      <w:rFonts w:ascii="CG Times" w:hAnsi="CG Times"/>
      <w:smallCaps/>
      <w:sz w:val="22"/>
    </w:rPr>
  </w:style>
  <w:style w:type="paragraph" w:customStyle="1" w:styleId="BankNormal">
    <w:name w:val="BankNormal"/>
    <w:rsid w:val="004D598F"/>
    <w:pPr>
      <w:tabs>
        <w:tab w:val="left" w:pos="-720"/>
      </w:tabs>
      <w:suppressAutoHyphens/>
    </w:pPr>
    <w:rPr>
      <w:rFonts w:ascii="CG Times" w:hAnsi="CG Times"/>
      <w:sz w:val="22"/>
    </w:rPr>
  </w:style>
  <w:style w:type="character" w:customStyle="1" w:styleId="preparersnote">
    <w:name w:val="preparer's note"/>
    <w:basedOn w:val="Fuentedeprrafopredeter"/>
    <w:rsid w:val="004D598F"/>
    <w:rPr>
      <w:b/>
      <w:i/>
      <w:iCs/>
    </w:rPr>
  </w:style>
  <w:style w:type="paragraph" w:styleId="NormalWeb">
    <w:name w:val="Normal (Web)"/>
    <w:basedOn w:val="Normal"/>
    <w:uiPriority w:val="99"/>
    <w:rsid w:val="004D598F"/>
    <w:pPr>
      <w:spacing w:before="100" w:beforeAutospacing="1" w:after="100" w:afterAutospacing="1"/>
    </w:pPr>
    <w:rPr>
      <w:rFonts w:ascii="Arial Unicode MS" w:eastAsia="Arial Unicode MS" w:hAnsi="Arial Unicode MS" w:cs="Arial Unicode MS"/>
      <w:szCs w:val="24"/>
    </w:rPr>
  </w:style>
  <w:style w:type="paragraph" w:customStyle="1" w:styleId="Head11a">
    <w:name w:val="Head 1.1a"/>
    <w:rsid w:val="004D598F"/>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4D598F"/>
    <w:pPr>
      <w:numPr>
        <w:ilvl w:val="12"/>
      </w:numPr>
      <w:spacing w:after="120"/>
      <w:ind w:left="360" w:hanging="360"/>
    </w:pPr>
    <w:rPr>
      <w:b/>
      <w:sz w:val="24"/>
    </w:rPr>
  </w:style>
  <w:style w:type="paragraph" w:customStyle="1" w:styleId="Head32">
    <w:name w:val="Head 3.2"/>
    <w:basedOn w:val="Normal"/>
    <w:link w:val="Head32Char"/>
    <w:rsid w:val="004D598F"/>
    <w:pPr>
      <w:numPr>
        <w:ilvl w:val="12"/>
      </w:numPr>
      <w:suppressAutoHyphens w:val="0"/>
      <w:ind w:left="360" w:hanging="360"/>
      <w:jc w:val="center"/>
    </w:pPr>
    <w:rPr>
      <w:b/>
      <w:sz w:val="28"/>
    </w:rPr>
  </w:style>
  <w:style w:type="character" w:customStyle="1" w:styleId="Head32Char">
    <w:name w:val="Head 3.2 Char"/>
    <w:basedOn w:val="Fuentedeprrafopredeter"/>
    <w:link w:val="Head32"/>
    <w:rsid w:val="004D598F"/>
    <w:rPr>
      <w:b/>
      <w:sz w:val="28"/>
    </w:rPr>
  </w:style>
  <w:style w:type="paragraph" w:customStyle="1" w:styleId="Head31">
    <w:name w:val="Head 3.1"/>
    <w:basedOn w:val="Normal"/>
    <w:rsid w:val="004D598F"/>
    <w:pPr>
      <w:keepNext/>
      <w:numPr>
        <w:ilvl w:val="12"/>
      </w:numPr>
      <w:pBdr>
        <w:bottom w:val="single" w:sz="24" w:space="1" w:color="auto"/>
      </w:pBdr>
      <w:suppressAutoHyphens w:val="0"/>
      <w:spacing w:before="360"/>
      <w:jc w:val="center"/>
    </w:pPr>
    <w:rPr>
      <w:rFonts w:ascii="Times New Roman Bold" w:hAnsi="Times New Roman Bold"/>
      <w:b/>
      <w:smallCaps/>
      <w:sz w:val="32"/>
    </w:rPr>
  </w:style>
  <w:style w:type="paragraph" w:customStyle="1" w:styleId="Head5a1">
    <w:name w:val="Head 5a.1"/>
    <w:basedOn w:val="Normal"/>
    <w:link w:val="Head5a1Char"/>
    <w:rsid w:val="004D598F"/>
    <w:pPr>
      <w:keepNext/>
      <w:numPr>
        <w:ilvl w:val="12"/>
      </w:numPr>
      <w:pBdr>
        <w:bottom w:val="single" w:sz="24" w:space="1" w:color="auto"/>
      </w:pBdr>
      <w:suppressAutoHyphens w:val="0"/>
      <w:spacing w:before="480" w:after="240"/>
      <w:jc w:val="center"/>
    </w:pPr>
    <w:rPr>
      <w:rFonts w:ascii="Times New Roman Bold" w:hAnsi="Times New Roman Bold"/>
      <w:b/>
      <w:smallCaps/>
      <w:sz w:val="32"/>
    </w:rPr>
  </w:style>
  <w:style w:type="paragraph" w:customStyle="1" w:styleId="Head5a2">
    <w:name w:val="Head 5a.2"/>
    <w:basedOn w:val="Head5a1"/>
    <w:next w:val="Normal"/>
    <w:link w:val="Head5a2Char"/>
    <w:rsid w:val="004D598F"/>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4D598F"/>
    <w:rPr>
      <w:i/>
    </w:rPr>
  </w:style>
  <w:style w:type="paragraph" w:customStyle="1" w:styleId="Head5b1">
    <w:name w:val="Head 5b.1"/>
    <w:basedOn w:val="Head11a"/>
    <w:next w:val="Normal"/>
    <w:rsid w:val="004D598F"/>
    <w:pPr>
      <w:tabs>
        <w:tab w:val="left" w:pos="9900"/>
      </w:tabs>
    </w:pPr>
  </w:style>
  <w:style w:type="paragraph" w:customStyle="1" w:styleId="Head5c1">
    <w:name w:val="Head 5c.1"/>
    <w:basedOn w:val="Head11a"/>
    <w:rsid w:val="004D598F"/>
  </w:style>
  <w:style w:type="paragraph" w:customStyle="1" w:styleId="Head5d1">
    <w:name w:val="Head 5d.1"/>
    <w:basedOn w:val="Head11a"/>
    <w:next w:val="Normal"/>
    <w:rsid w:val="004D598F"/>
  </w:style>
  <w:style w:type="paragraph" w:customStyle="1" w:styleId="Head5d2">
    <w:name w:val="Head 5d.2"/>
    <w:basedOn w:val="Head12a"/>
    <w:next w:val="Normal"/>
    <w:rsid w:val="004D598F"/>
    <w:pPr>
      <w:ind w:left="720" w:hanging="720"/>
      <w:jc w:val="both"/>
    </w:pPr>
  </w:style>
  <w:style w:type="paragraph" w:styleId="Sangranormal">
    <w:name w:val="Normal Indent"/>
    <w:basedOn w:val="Normal"/>
    <w:uiPriority w:val="99"/>
    <w:rsid w:val="004D598F"/>
    <w:pPr>
      <w:ind w:left="720"/>
    </w:pPr>
  </w:style>
  <w:style w:type="paragraph" w:customStyle="1" w:styleId="Head61">
    <w:name w:val="Head 6.1"/>
    <w:basedOn w:val="Head11a"/>
    <w:next w:val="Normal"/>
    <w:rsid w:val="004D598F"/>
  </w:style>
  <w:style w:type="paragraph" w:customStyle="1" w:styleId="Head62">
    <w:name w:val="Head 6.2"/>
    <w:basedOn w:val="Head12a"/>
    <w:next w:val="Normal"/>
    <w:rsid w:val="004D598F"/>
    <w:pPr>
      <w:suppressAutoHyphens/>
    </w:pPr>
  </w:style>
  <w:style w:type="paragraph" w:customStyle="1" w:styleId="Head72">
    <w:name w:val="Head 7.2"/>
    <w:basedOn w:val="Head12a"/>
    <w:next w:val="Normal"/>
    <w:rsid w:val="004D598F"/>
    <w:pPr>
      <w:keepNext/>
      <w:spacing w:before="480"/>
      <w:jc w:val="center"/>
    </w:pPr>
  </w:style>
  <w:style w:type="paragraph" w:customStyle="1" w:styleId="Head71">
    <w:name w:val="Head 7.1"/>
    <w:basedOn w:val="Head11a"/>
    <w:rsid w:val="004D598F"/>
  </w:style>
  <w:style w:type="paragraph" w:customStyle="1" w:styleId="Head81">
    <w:name w:val="Head 8.1"/>
    <w:basedOn w:val="Head11a"/>
    <w:next w:val="Normal"/>
    <w:rsid w:val="00C45A9D"/>
  </w:style>
  <w:style w:type="paragraph" w:customStyle="1" w:styleId="Head82">
    <w:name w:val="Head 8.2"/>
    <w:basedOn w:val="Head12a"/>
    <w:next w:val="Normal"/>
    <w:rsid w:val="00C45A9D"/>
    <w:pPr>
      <w:jc w:val="center"/>
    </w:pPr>
    <w:rPr>
      <w:sz w:val="32"/>
    </w:rPr>
  </w:style>
  <w:style w:type="paragraph" w:customStyle="1" w:styleId="Head0">
    <w:name w:val="Head 0"/>
    <w:basedOn w:val="Normal"/>
    <w:qFormat/>
    <w:rsid w:val="008E6263"/>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8E6263"/>
  </w:style>
  <w:style w:type="paragraph" w:customStyle="1" w:styleId="Head11b">
    <w:name w:val="Head 1.1b"/>
    <w:basedOn w:val="Head11a"/>
    <w:qFormat/>
    <w:rsid w:val="00454109"/>
  </w:style>
  <w:style w:type="paragraph" w:customStyle="1" w:styleId="Head12b">
    <w:name w:val="Head 1.2b"/>
    <w:basedOn w:val="Head12a"/>
    <w:qFormat/>
    <w:rsid w:val="00454109"/>
  </w:style>
  <w:style w:type="paragraph" w:customStyle="1" w:styleId="Head21b">
    <w:name w:val="Head 2.1b"/>
    <w:basedOn w:val="Head21a"/>
    <w:qFormat/>
    <w:rsid w:val="00955C2D"/>
  </w:style>
  <w:style w:type="paragraph" w:customStyle="1" w:styleId="P3Header1-Clauses">
    <w:name w:val="P3 Header1-Clauses"/>
    <w:basedOn w:val="Normal"/>
    <w:rsid w:val="00A21115"/>
    <w:pPr>
      <w:suppressAutoHyphens w:val="0"/>
      <w:spacing w:after="0"/>
      <w:jc w:val="left"/>
    </w:pPr>
    <w:rPr>
      <w:b/>
    </w:rPr>
  </w:style>
  <w:style w:type="paragraph" w:styleId="Revisin">
    <w:name w:val="Revision"/>
    <w:hidden/>
    <w:uiPriority w:val="99"/>
    <w:semiHidden/>
    <w:rsid w:val="00602394"/>
    <w:rPr>
      <w:sz w:val="24"/>
    </w:rPr>
  </w:style>
  <w:style w:type="paragraph" w:customStyle="1" w:styleId="S1-Header2">
    <w:name w:val="S1-Header2"/>
    <w:basedOn w:val="Normal"/>
    <w:link w:val="S1-Header2Car"/>
    <w:autoRedefine/>
    <w:rsid w:val="00784903"/>
    <w:pPr>
      <w:numPr>
        <w:numId w:val="3"/>
      </w:numPr>
      <w:suppressAutoHyphens w:val="0"/>
      <w:jc w:val="left"/>
    </w:pPr>
    <w:rPr>
      <w:b/>
    </w:rPr>
  </w:style>
  <w:style w:type="paragraph" w:customStyle="1" w:styleId="S1-subpara">
    <w:name w:val="S1-sub para"/>
    <w:basedOn w:val="Normal"/>
    <w:link w:val="S1-subparaChar"/>
    <w:rsid w:val="00784903"/>
    <w:pPr>
      <w:suppressAutoHyphens w:val="0"/>
      <w:spacing w:after="200"/>
    </w:pPr>
  </w:style>
  <w:style w:type="character" w:customStyle="1" w:styleId="S1-subparaChar">
    <w:name w:val="S1-sub para Char"/>
    <w:basedOn w:val="Fuentedeprrafopredeter"/>
    <w:link w:val="S1-subpara"/>
    <w:rsid w:val="00784903"/>
    <w:rPr>
      <w:sz w:val="24"/>
    </w:rPr>
  </w:style>
  <w:style w:type="paragraph" w:styleId="Prrafodelista">
    <w:name w:val="List Paragraph"/>
    <w:aliases w:val="Citation List,본문(내용),List Paragraph (numbered (a)),Colorful List - Accent 11,Titulo 1,Lista vistosa - Énfasis 11,Capítulo,Bullet 1,Use Case List Paragraph,Texto,List Paragraph1,TIT 2 IND,Párrafo de lista1,Listados numerados,Listado,lp1"/>
    <w:basedOn w:val="Normal"/>
    <w:link w:val="PrrafodelistaCar"/>
    <w:uiPriority w:val="34"/>
    <w:qFormat/>
    <w:rsid w:val="00016F49"/>
    <w:pPr>
      <w:ind w:left="720"/>
      <w:contextualSpacing/>
    </w:pPr>
  </w:style>
  <w:style w:type="paragraph" w:customStyle="1" w:styleId="Header2-SubClauses">
    <w:name w:val="Header 2 - SubClauses"/>
    <w:basedOn w:val="Normal"/>
    <w:autoRedefine/>
    <w:rsid w:val="00805000"/>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spacing w:after="200"/>
      <w:ind w:left="720" w:hanging="720"/>
    </w:pPr>
    <w:rPr>
      <w:b/>
    </w:rPr>
  </w:style>
  <w:style w:type="paragraph" w:styleId="Subttulo">
    <w:name w:val="Subtitle"/>
    <w:basedOn w:val="Normal"/>
    <w:link w:val="SubttuloCar"/>
    <w:qFormat/>
    <w:rsid w:val="00455E20"/>
    <w:pPr>
      <w:suppressAutoHyphens w:val="0"/>
      <w:spacing w:after="0"/>
      <w:jc w:val="center"/>
    </w:pPr>
    <w:rPr>
      <w:b/>
      <w:sz w:val="44"/>
    </w:rPr>
  </w:style>
  <w:style w:type="character" w:customStyle="1" w:styleId="SubttuloCar">
    <w:name w:val="Subtítulo Car"/>
    <w:basedOn w:val="Fuentedeprrafopredeter"/>
    <w:link w:val="Subttulo"/>
    <w:rsid w:val="00455E20"/>
    <w:rPr>
      <w:b/>
      <w:sz w:val="44"/>
    </w:rPr>
  </w:style>
  <w:style w:type="paragraph" w:customStyle="1" w:styleId="i">
    <w:name w:val="(i)"/>
    <w:basedOn w:val="Normal"/>
    <w:rsid w:val="00455E20"/>
    <w:pPr>
      <w:spacing w:after="0"/>
    </w:pPr>
    <w:rPr>
      <w:rFonts w:ascii="Tms Rmn" w:hAnsi="Tms Rmn"/>
    </w:rPr>
  </w:style>
  <w:style w:type="paragraph" w:styleId="Textoindependiente">
    <w:name w:val="Body Text"/>
    <w:basedOn w:val="Normal"/>
    <w:link w:val="TextoindependienteCar"/>
    <w:uiPriority w:val="1"/>
    <w:qFormat/>
    <w:rsid w:val="001040E4"/>
    <w:pPr>
      <w:suppressAutoHyphens w:val="0"/>
      <w:spacing w:after="0"/>
    </w:pPr>
  </w:style>
  <w:style w:type="character" w:customStyle="1" w:styleId="TextoindependienteCar">
    <w:name w:val="Texto independiente Car"/>
    <w:basedOn w:val="Fuentedeprrafopredeter"/>
    <w:link w:val="Textoindependiente"/>
    <w:rsid w:val="001040E4"/>
    <w:rPr>
      <w:sz w:val="24"/>
    </w:rPr>
  </w:style>
  <w:style w:type="paragraph" w:styleId="Sangradetextonormal">
    <w:name w:val="Body Text Indent"/>
    <w:basedOn w:val="Normal"/>
    <w:link w:val="SangradetextonormalCar"/>
    <w:rsid w:val="001040E4"/>
    <w:pPr>
      <w:suppressAutoHyphens w:val="0"/>
      <w:spacing w:after="0"/>
      <w:ind w:left="720"/>
    </w:pPr>
  </w:style>
  <w:style w:type="character" w:customStyle="1" w:styleId="SangradetextonormalCar">
    <w:name w:val="Sangría de texto normal Car"/>
    <w:basedOn w:val="Fuentedeprrafopredeter"/>
    <w:link w:val="Sangradetextonormal"/>
    <w:rsid w:val="001040E4"/>
    <w:rPr>
      <w:sz w:val="24"/>
    </w:rPr>
  </w:style>
  <w:style w:type="paragraph" w:customStyle="1" w:styleId="Outline">
    <w:name w:val="Outline"/>
    <w:basedOn w:val="Normal"/>
    <w:rsid w:val="001040E4"/>
    <w:pPr>
      <w:suppressAutoHyphens w:val="0"/>
      <w:spacing w:before="240" w:after="0"/>
      <w:jc w:val="left"/>
    </w:pPr>
    <w:rPr>
      <w:kern w:val="28"/>
    </w:rPr>
  </w:style>
  <w:style w:type="paragraph" w:styleId="Listaconnmeros">
    <w:name w:val="List Number"/>
    <w:basedOn w:val="Normal"/>
    <w:rsid w:val="001040E4"/>
    <w:pPr>
      <w:tabs>
        <w:tab w:val="num" w:pos="360"/>
      </w:tabs>
      <w:suppressAutoHyphens w:val="0"/>
      <w:spacing w:after="0"/>
      <w:ind w:left="360" w:hanging="360"/>
    </w:pPr>
  </w:style>
  <w:style w:type="paragraph" w:customStyle="1" w:styleId="titulo">
    <w:name w:val="titulo"/>
    <w:basedOn w:val="Ttulo5"/>
    <w:rsid w:val="001040E4"/>
    <w:pPr>
      <w:keepNext w:val="0"/>
      <w:keepLines w:val="0"/>
      <w:suppressAutoHyphens w:val="0"/>
      <w:spacing w:before="0" w:after="240"/>
      <w:jc w:val="center"/>
    </w:pPr>
    <w:rPr>
      <w:rFonts w:ascii="Times New Roman Bold" w:hAnsi="Times New Roman Bold"/>
    </w:rPr>
  </w:style>
  <w:style w:type="paragraph" w:customStyle="1" w:styleId="Option">
    <w:name w:val="Option"/>
    <w:basedOn w:val="Ttulo1"/>
    <w:rsid w:val="001040E4"/>
    <w:pPr>
      <w:suppressAutoHyphens w:val="0"/>
      <w:spacing w:before="1800"/>
    </w:pPr>
    <w:rPr>
      <w:rFonts w:ascii="Times New Roman" w:hAnsi="Times New Roman"/>
      <w:bCs/>
      <w:smallCaps w:val="0"/>
      <w:kern w:val="28"/>
      <w:sz w:val="48"/>
    </w:rPr>
  </w:style>
  <w:style w:type="paragraph" w:customStyle="1" w:styleId="S1-OptB-header2">
    <w:name w:val="S1-OptB-header2"/>
    <w:basedOn w:val="Normal"/>
    <w:rsid w:val="005D6214"/>
    <w:pPr>
      <w:numPr>
        <w:numId w:val="14"/>
      </w:numPr>
      <w:suppressAutoHyphens w:val="0"/>
      <w:spacing w:after="0"/>
      <w:jc w:val="left"/>
    </w:pPr>
    <w:rPr>
      <w:b/>
    </w:rPr>
  </w:style>
  <w:style w:type="paragraph" w:customStyle="1" w:styleId="OptB-S1-subpara">
    <w:name w:val="OptB-S1-sub para"/>
    <w:basedOn w:val="Normal"/>
    <w:rsid w:val="005D6214"/>
    <w:pPr>
      <w:numPr>
        <w:ilvl w:val="1"/>
        <w:numId w:val="14"/>
      </w:numPr>
      <w:suppressAutoHyphens w:val="0"/>
      <w:spacing w:after="200"/>
    </w:pPr>
  </w:style>
  <w:style w:type="paragraph" w:customStyle="1" w:styleId="StyleHeading4Sub-ClauseSub-paragraphClauseSubSubNoNameAft">
    <w:name w:val="Style Heading 4Sub-Clause Sub-paragraphClauseSubSub_No&amp;Name + Aft..."/>
    <w:basedOn w:val="Ttulo4"/>
    <w:rsid w:val="005D6214"/>
    <w:pPr>
      <w:tabs>
        <w:tab w:val="left" w:pos="1512"/>
      </w:tabs>
      <w:suppressAutoHyphens w:val="0"/>
      <w:spacing w:before="0" w:after="180"/>
      <w:ind w:left="1512" w:right="18" w:hanging="540"/>
      <w:jc w:val="both"/>
    </w:pPr>
    <w:rPr>
      <w:bCs/>
    </w:rPr>
  </w:style>
  <w:style w:type="character" w:customStyle="1" w:styleId="Ttulo3Car">
    <w:name w:val="Título 3 Car"/>
    <w:aliases w:val="Section Header3 Car,ClauseSub_No&amp;Name Car,Heading 3 Char Car,Section Header3 Char Char Char Char Char Car,Section Header3 Char Char Char Car,TITULO 3 Car,Section HeadTITULO 3 Car"/>
    <w:basedOn w:val="Fuentedeprrafopredeter"/>
    <w:link w:val="Ttulo3"/>
    <w:uiPriority w:val="9"/>
    <w:rsid w:val="00583685"/>
    <w:rPr>
      <w:rFonts w:ascii="Times New Roman Bold" w:hAnsi="Times New Roman Bold"/>
      <w:b/>
      <w:sz w:val="28"/>
    </w:rPr>
  </w:style>
  <w:style w:type="paragraph" w:styleId="Textoindependiente2">
    <w:name w:val="Body Text 2"/>
    <w:basedOn w:val="Normal"/>
    <w:link w:val="Textoindependiente2Car"/>
    <w:rsid w:val="004B11CB"/>
    <w:pPr>
      <w:spacing w:line="480" w:lineRule="auto"/>
    </w:pPr>
  </w:style>
  <w:style w:type="character" w:customStyle="1" w:styleId="Textoindependiente2Car">
    <w:name w:val="Texto independiente 2 Car"/>
    <w:basedOn w:val="Fuentedeprrafopredeter"/>
    <w:link w:val="Textoindependiente2"/>
    <w:rsid w:val="004B11CB"/>
    <w:rPr>
      <w:sz w:val="24"/>
    </w:rPr>
  </w:style>
  <w:style w:type="paragraph" w:styleId="Sangra2detindependiente">
    <w:name w:val="Body Text Indent 2"/>
    <w:basedOn w:val="Normal"/>
    <w:link w:val="Sangra2detindependienteCar"/>
    <w:rsid w:val="00580092"/>
    <w:pPr>
      <w:suppressAutoHyphens w:val="0"/>
      <w:spacing w:after="0"/>
      <w:ind w:left="360" w:firstLine="360"/>
    </w:pPr>
  </w:style>
  <w:style w:type="character" w:customStyle="1" w:styleId="Sangra2detindependienteCar">
    <w:name w:val="Sangría 2 de t. independiente Car"/>
    <w:basedOn w:val="Fuentedeprrafopredeter"/>
    <w:link w:val="Sangra2detindependiente"/>
    <w:rsid w:val="00580092"/>
    <w:rPr>
      <w:sz w:val="24"/>
    </w:rPr>
  </w:style>
  <w:style w:type="paragraph" w:styleId="Ttulo">
    <w:name w:val="Title"/>
    <w:basedOn w:val="Normal"/>
    <w:link w:val="TtuloCar"/>
    <w:qFormat/>
    <w:rsid w:val="00580092"/>
    <w:pPr>
      <w:suppressAutoHyphens w:val="0"/>
      <w:spacing w:after="0"/>
      <w:jc w:val="center"/>
    </w:pPr>
    <w:rPr>
      <w:b/>
      <w:sz w:val="48"/>
    </w:rPr>
  </w:style>
  <w:style w:type="character" w:customStyle="1" w:styleId="TtuloCar">
    <w:name w:val="Título Car"/>
    <w:basedOn w:val="Fuentedeprrafopredeter"/>
    <w:link w:val="Ttulo"/>
    <w:rsid w:val="00580092"/>
    <w:rPr>
      <w:b/>
      <w:sz w:val="48"/>
    </w:rPr>
  </w:style>
  <w:style w:type="paragraph" w:styleId="Lista">
    <w:name w:val="List"/>
    <w:aliases w:val="1. List"/>
    <w:basedOn w:val="Normal"/>
    <w:rsid w:val="00580092"/>
    <w:pPr>
      <w:suppressAutoHyphens w:val="0"/>
      <w:spacing w:before="120"/>
      <w:ind w:left="1440"/>
    </w:pPr>
  </w:style>
  <w:style w:type="paragraph" w:styleId="Textoindependiente3">
    <w:name w:val="Body Text 3"/>
    <w:basedOn w:val="Normal"/>
    <w:link w:val="Textoindependiente3Car"/>
    <w:rsid w:val="00580092"/>
    <w:pPr>
      <w:suppressAutoHyphens w:val="0"/>
      <w:spacing w:after="0"/>
    </w:pPr>
    <w:rPr>
      <w:i/>
      <w:sz w:val="20"/>
    </w:rPr>
  </w:style>
  <w:style w:type="character" w:customStyle="1" w:styleId="Textoindependiente3Car">
    <w:name w:val="Texto independiente 3 Car"/>
    <w:basedOn w:val="Fuentedeprrafopredeter"/>
    <w:link w:val="Textoindependiente3"/>
    <w:rsid w:val="00580092"/>
    <w:rPr>
      <w:i/>
    </w:rPr>
  </w:style>
  <w:style w:type="paragraph" w:customStyle="1" w:styleId="Document1">
    <w:name w:val="Document 1"/>
    <w:rsid w:val="00580092"/>
    <w:pPr>
      <w:keepNext/>
      <w:keepLines/>
      <w:tabs>
        <w:tab w:val="left" w:pos="-720"/>
      </w:tabs>
      <w:suppressAutoHyphens/>
    </w:pPr>
    <w:rPr>
      <w:rFonts w:ascii="Courier New" w:hAnsi="Courier New"/>
    </w:rPr>
  </w:style>
  <w:style w:type="paragraph" w:customStyle="1" w:styleId="SectionVHeader">
    <w:name w:val="Section V. Header"/>
    <w:basedOn w:val="Normal"/>
    <w:rsid w:val="00580092"/>
    <w:pPr>
      <w:suppressAutoHyphens w:val="0"/>
      <w:spacing w:after="0"/>
      <w:jc w:val="center"/>
    </w:pPr>
    <w:rPr>
      <w:b/>
      <w:sz w:val="36"/>
    </w:rPr>
  </w:style>
  <w:style w:type="paragraph" w:customStyle="1" w:styleId="SectionVIIHeader2">
    <w:name w:val="Section VII Header2"/>
    <w:basedOn w:val="Ttulo1"/>
    <w:autoRedefine/>
    <w:rsid w:val="00580092"/>
    <w:pPr>
      <w:suppressAutoHyphens w:val="0"/>
      <w:spacing w:before="120"/>
    </w:pPr>
    <w:rPr>
      <w:rFonts w:ascii="Times New Roman" w:hAnsi="Times New Roman"/>
      <w:bCs/>
      <w:i/>
      <w:smallCaps w:val="0"/>
      <w:kern w:val="28"/>
      <w:sz w:val="20"/>
    </w:rPr>
  </w:style>
  <w:style w:type="paragraph" w:customStyle="1" w:styleId="SectionXHeader3">
    <w:name w:val="Section X Header 3"/>
    <w:basedOn w:val="Ttulo1"/>
    <w:autoRedefine/>
    <w:rsid w:val="00580092"/>
    <w:pPr>
      <w:suppressAutoHyphens w:val="0"/>
      <w:spacing w:before="240" w:after="0"/>
    </w:pPr>
    <w:rPr>
      <w:rFonts w:ascii="Times New Roman" w:hAnsi="Times New Roman"/>
      <w:bCs/>
      <w:smallCaps w:val="0"/>
      <w:sz w:val="72"/>
      <w:szCs w:val="72"/>
    </w:rPr>
  </w:style>
  <w:style w:type="paragraph" w:customStyle="1" w:styleId="TOCNumber1">
    <w:name w:val="TOC Number1"/>
    <w:basedOn w:val="Ttulo4"/>
    <w:autoRedefine/>
    <w:rsid w:val="00580092"/>
    <w:pPr>
      <w:keepNext w:val="0"/>
      <w:spacing w:before="0"/>
      <w:jc w:val="left"/>
      <w:outlineLvl w:val="9"/>
    </w:pPr>
  </w:style>
  <w:style w:type="paragraph" w:customStyle="1" w:styleId="Part1">
    <w:name w:val="Part 1"/>
    <w:aliases w:val="2,3 Header 4"/>
    <w:basedOn w:val="Normal"/>
    <w:autoRedefine/>
    <w:rsid w:val="00580092"/>
    <w:pPr>
      <w:suppressAutoHyphens w:val="0"/>
      <w:spacing w:before="3120" w:after="240"/>
      <w:jc w:val="center"/>
    </w:pPr>
    <w:rPr>
      <w:b/>
      <w:sz w:val="72"/>
      <w:szCs w:val="72"/>
    </w:rPr>
  </w:style>
  <w:style w:type="paragraph" w:customStyle="1" w:styleId="Subtitle2">
    <w:name w:val="Subtitle 2"/>
    <w:basedOn w:val="Piedepgina"/>
    <w:autoRedefine/>
    <w:rsid w:val="00DB5021"/>
    <w:pPr>
      <w:jc w:val="center"/>
    </w:pPr>
    <w:rPr>
      <w:b/>
      <w:sz w:val="36"/>
    </w:rPr>
  </w:style>
  <w:style w:type="paragraph" w:customStyle="1" w:styleId="BlockQuotation">
    <w:name w:val="Block Quotation"/>
    <w:basedOn w:val="Normal"/>
    <w:rsid w:val="00580092"/>
    <w:pPr>
      <w:suppressAutoHyphens w:val="0"/>
      <w:spacing w:after="0"/>
      <w:ind w:left="855" w:right="-72" w:hanging="315"/>
    </w:pPr>
  </w:style>
  <w:style w:type="paragraph" w:styleId="Tabladeilustraciones">
    <w:name w:val="table of figures"/>
    <w:basedOn w:val="Normal"/>
    <w:next w:val="Normal"/>
    <w:uiPriority w:val="99"/>
    <w:rsid w:val="00580092"/>
    <w:pPr>
      <w:suppressAutoHyphens w:val="0"/>
      <w:spacing w:after="0"/>
      <w:ind w:left="480" w:hanging="480"/>
    </w:pPr>
  </w:style>
  <w:style w:type="paragraph" w:customStyle="1" w:styleId="2AutoList1">
    <w:name w:val="2AutoList1"/>
    <w:basedOn w:val="Normal"/>
    <w:rsid w:val="00580092"/>
    <w:pPr>
      <w:numPr>
        <w:ilvl w:val="1"/>
        <w:numId w:val="7"/>
      </w:numPr>
      <w:suppressAutoHyphens w:val="0"/>
      <w:spacing w:after="0"/>
    </w:pPr>
  </w:style>
  <w:style w:type="paragraph" w:styleId="Textodebloque">
    <w:name w:val="Block Text"/>
    <w:basedOn w:val="Normal"/>
    <w:rsid w:val="00580092"/>
    <w:pPr>
      <w:tabs>
        <w:tab w:val="left" w:pos="387"/>
        <w:tab w:val="left" w:pos="1107"/>
      </w:tabs>
      <w:spacing w:after="0"/>
      <w:ind w:left="720" w:right="-72"/>
      <w:jc w:val="left"/>
    </w:pPr>
    <w:rPr>
      <w:i/>
    </w:rPr>
  </w:style>
  <w:style w:type="paragraph" w:styleId="Sangra3detindependiente">
    <w:name w:val="Body Text Indent 3"/>
    <w:basedOn w:val="Normal"/>
    <w:link w:val="Sangra3detindependienteCar"/>
    <w:rsid w:val="00580092"/>
    <w:pPr>
      <w:suppressAutoHyphens w:val="0"/>
      <w:spacing w:before="240" w:after="0"/>
      <w:ind w:left="576"/>
    </w:pPr>
  </w:style>
  <w:style w:type="character" w:customStyle="1" w:styleId="Sangra3detindependienteCar">
    <w:name w:val="Sangría 3 de t. independiente Car"/>
    <w:basedOn w:val="Fuentedeprrafopredeter"/>
    <w:link w:val="Sangra3detindependiente"/>
    <w:rsid w:val="00580092"/>
    <w:rPr>
      <w:sz w:val="24"/>
    </w:rPr>
  </w:style>
  <w:style w:type="paragraph" w:customStyle="1" w:styleId="Header1-Clauses">
    <w:name w:val="Header 1 - Clauses"/>
    <w:basedOn w:val="Normal"/>
    <w:link w:val="Header1-ClausesChar"/>
    <w:rsid w:val="00580092"/>
    <w:pPr>
      <w:suppressAutoHyphens w:val="0"/>
      <w:spacing w:after="0"/>
      <w:jc w:val="left"/>
    </w:pPr>
    <w:rPr>
      <w:b/>
    </w:rPr>
  </w:style>
  <w:style w:type="character" w:customStyle="1" w:styleId="Header1-ClausesChar">
    <w:name w:val="Header 1 - Clauses Char"/>
    <w:basedOn w:val="Fuentedeprrafopredeter"/>
    <w:link w:val="Header1-Clauses"/>
    <w:rsid w:val="00580092"/>
    <w:rPr>
      <w:b/>
      <w:sz w:val="24"/>
    </w:rPr>
  </w:style>
  <w:style w:type="paragraph" w:customStyle="1" w:styleId="Header3-Paragraph">
    <w:name w:val="Header 3 - Paragraph"/>
    <w:basedOn w:val="Normal"/>
    <w:rsid w:val="00580092"/>
    <w:pPr>
      <w:tabs>
        <w:tab w:val="num" w:pos="504"/>
      </w:tabs>
      <w:suppressAutoHyphens w:val="0"/>
      <w:spacing w:after="200"/>
      <w:ind w:left="504" w:hanging="504"/>
    </w:pPr>
  </w:style>
  <w:style w:type="paragraph" w:customStyle="1" w:styleId="Outline1">
    <w:name w:val="Outline1"/>
    <w:basedOn w:val="Outline"/>
    <w:next w:val="Outline2"/>
    <w:rsid w:val="00580092"/>
    <w:pPr>
      <w:keepNext/>
      <w:tabs>
        <w:tab w:val="num" w:pos="360"/>
        <w:tab w:val="num" w:pos="720"/>
      </w:tabs>
      <w:ind w:left="360" w:hanging="360"/>
    </w:pPr>
  </w:style>
  <w:style w:type="paragraph" w:customStyle="1" w:styleId="Outline2">
    <w:name w:val="Outline2"/>
    <w:basedOn w:val="Normal"/>
    <w:rsid w:val="00580092"/>
    <w:pPr>
      <w:tabs>
        <w:tab w:val="num" w:pos="360"/>
        <w:tab w:val="num" w:pos="720"/>
        <w:tab w:val="num" w:pos="864"/>
      </w:tabs>
      <w:suppressAutoHyphens w:val="0"/>
      <w:spacing w:before="240" w:after="0"/>
      <w:ind w:left="864" w:hanging="504"/>
      <w:jc w:val="left"/>
    </w:pPr>
    <w:rPr>
      <w:kern w:val="28"/>
    </w:rPr>
  </w:style>
  <w:style w:type="paragraph" w:customStyle="1" w:styleId="Outline3">
    <w:name w:val="Outline3"/>
    <w:basedOn w:val="Normal"/>
    <w:rsid w:val="00580092"/>
    <w:pPr>
      <w:tabs>
        <w:tab w:val="num" w:pos="1728"/>
      </w:tabs>
      <w:suppressAutoHyphens w:val="0"/>
      <w:spacing w:before="240" w:after="0"/>
      <w:ind w:left="1728" w:hanging="432"/>
      <w:jc w:val="left"/>
    </w:pPr>
    <w:rPr>
      <w:kern w:val="28"/>
    </w:rPr>
  </w:style>
  <w:style w:type="paragraph" w:customStyle="1" w:styleId="Outline4">
    <w:name w:val="Outline4"/>
    <w:basedOn w:val="Normal"/>
    <w:autoRedefine/>
    <w:rsid w:val="001A42C7"/>
    <w:pPr>
      <w:suppressAutoHyphens w:val="0"/>
      <w:spacing w:before="120" w:after="0"/>
      <w:ind w:left="720"/>
      <w:jc w:val="left"/>
    </w:pPr>
    <w:rPr>
      <w:kern w:val="28"/>
    </w:rPr>
  </w:style>
  <w:style w:type="paragraph" w:customStyle="1" w:styleId="SectionVIHeader">
    <w:name w:val="Section VI. Header"/>
    <w:basedOn w:val="SectionVHeader"/>
    <w:rsid w:val="00580092"/>
  </w:style>
  <w:style w:type="paragraph" w:customStyle="1" w:styleId="Sub-ClauseText">
    <w:name w:val="Sub-Clause Text"/>
    <w:basedOn w:val="Normal"/>
    <w:rsid w:val="00580092"/>
    <w:pPr>
      <w:suppressAutoHyphens w:val="0"/>
      <w:spacing w:before="120"/>
    </w:pPr>
    <w:rPr>
      <w:spacing w:val="-4"/>
    </w:rPr>
  </w:style>
  <w:style w:type="paragraph" w:customStyle="1" w:styleId="Head12">
    <w:name w:val="Head 1.2"/>
    <w:basedOn w:val="Normal"/>
    <w:rsid w:val="00580092"/>
    <w:pPr>
      <w:tabs>
        <w:tab w:val="num" w:pos="504"/>
      </w:tabs>
      <w:suppressAutoHyphens w:val="0"/>
      <w:spacing w:after="0"/>
      <w:ind w:left="504" w:hanging="504"/>
    </w:pPr>
  </w:style>
  <w:style w:type="paragraph" w:customStyle="1" w:styleId="pq-annexb">
    <w:name w:val="pq-annexb"/>
    <w:basedOn w:val="Normal"/>
    <w:rsid w:val="00580092"/>
    <w:pPr>
      <w:tabs>
        <w:tab w:val="num" w:pos="900"/>
      </w:tabs>
      <w:suppressAutoHyphens w:val="0"/>
      <w:spacing w:after="0"/>
      <w:ind w:left="900" w:hanging="900"/>
    </w:pPr>
    <w:rPr>
      <w:b/>
    </w:rPr>
  </w:style>
  <w:style w:type="paragraph" w:styleId="ndice1">
    <w:name w:val="index 1"/>
    <w:basedOn w:val="Normal"/>
    <w:next w:val="Normal"/>
    <w:autoRedefine/>
    <w:rsid w:val="00580092"/>
    <w:pPr>
      <w:tabs>
        <w:tab w:val="right" w:pos="4140"/>
      </w:tabs>
      <w:suppressAutoHyphens w:val="0"/>
      <w:spacing w:after="0"/>
      <w:ind w:left="240" w:hanging="240"/>
      <w:jc w:val="left"/>
    </w:pPr>
    <w:rPr>
      <w:sz w:val="20"/>
    </w:rPr>
  </w:style>
  <w:style w:type="paragraph" w:customStyle="1" w:styleId="Outlinei">
    <w:name w:val="Outline i)"/>
    <w:basedOn w:val="Normal"/>
    <w:rsid w:val="00580092"/>
    <w:pPr>
      <w:tabs>
        <w:tab w:val="num" w:pos="1782"/>
      </w:tabs>
      <w:suppressAutoHyphens w:val="0"/>
      <w:spacing w:before="120" w:after="0"/>
      <w:ind w:left="1782" w:hanging="792"/>
      <w:jc w:val="left"/>
    </w:pPr>
  </w:style>
  <w:style w:type="paragraph" w:styleId="Ttulodendice">
    <w:name w:val="index heading"/>
    <w:basedOn w:val="Normal"/>
    <w:next w:val="ndice1"/>
    <w:rsid w:val="00580092"/>
    <w:pPr>
      <w:suppressAutoHyphens w:val="0"/>
      <w:spacing w:after="0"/>
      <w:jc w:val="left"/>
    </w:pPr>
    <w:rPr>
      <w:sz w:val="20"/>
    </w:rPr>
  </w:style>
  <w:style w:type="paragraph" w:customStyle="1" w:styleId="Technical4">
    <w:name w:val="Technical 4"/>
    <w:rsid w:val="00580092"/>
    <w:pPr>
      <w:tabs>
        <w:tab w:val="left" w:pos="-720"/>
      </w:tabs>
      <w:suppressAutoHyphens/>
    </w:pPr>
    <w:rPr>
      <w:rFonts w:ascii="Times" w:hAnsi="Times"/>
      <w:b/>
      <w:sz w:val="24"/>
    </w:rPr>
  </w:style>
  <w:style w:type="character" w:customStyle="1" w:styleId="Table">
    <w:name w:val="Table"/>
    <w:basedOn w:val="Fuentedeprrafopredeter"/>
    <w:rsid w:val="00580092"/>
    <w:rPr>
      <w:rFonts w:ascii="Arial" w:hAnsi="Arial"/>
      <w:sz w:val="20"/>
    </w:rPr>
  </w:style>
  <w:style w:type="paragraph" w:customStyle="1" w:styleId="Head2">
    <w:name w:val="Head 2"/>
    <w:basedOn w:val="Ttulo9"/>
    <w:rsid w:val="00580092"/>
    <w:pPr>
      <w:keepNext/>
      <w:widowControl w:val="0"/>
      <w:spacing w:before="0" w:after="0"/>
      <w:outlineLvl w:val="9"/>
    </w:pPr>
    <w:rPr>
      <w:rFonts w:ascii="Times New Roman Bold" w:hAnsi="Times New Roman Bold"/>
      <w:i w:val="0"/>
      <w:spacing w:val="-4"/>
      <w:sz w:val="32"/>
    </w:rPr>
  </w:style>
  <w:style w:type="paragraph" w:customStyle="1" w:styleId="FooterLandscape">
    <w:name w:val="Footer Landscape"/>
    <w:basedOn w:val="Piedepgina"/>
    <w:next w:val="Normal"/>
    <w:rsid w:val="00580092"/>
  </w:style>
  <w:style w:type="paragraph" w:customStyle="1" w:styleId="HeaderLandscape">
    <w:name w:val="Header Landscape"/>
    <w:basedOn w:val="Encabezado"/>
    <w:next w:val="Normal"/>
    <w:rsid w:val="00580092"/>
    <w:pPr>
      <w:pBdr>
        <w:bottom w:val="single" w:sz="4" w:space="1" w:color="000000"/>
      </w:pBdr>
      <w:tabs>
        <w:tab w:val="clear" w:pos="4320"/>
        <w:tab w:val="clear" w:pos="8640"/>
        <w:tab w:val="right" w:pos="12816"/>
      </w:tabs>
      <w:suppressAutoHyphens w:val="0"/>
      <w:spacing w:after="0"/>
    </w:pPr>
  </w:style>
  <w:style w:type="paragraph" w:customStyle="1" w:styleId="Head51">
    <w:name w:val="Head 5.1"/>
    <w:basedOn w:val="Normal"/>
    <w:rsid w:val="00580092"/>
    <w:pPr>
      <w:spacing w:after="0"/>
      <w:ind w:left="540" w:hanging="540"/>
    </w:pPr>
    <w:rPr>
      <w:rFonts w:ascii="Tms Rmn" w:hAnsi="Tms Rmn"/>
      <w:b/>
    </w:rPr>
  </w:style>
  <w:style w:type="paragraph" w:customStyle="1" w:styleId="Head21">
    <w:name w:val="Head 2.1"/>
    <w:basedOn w:val="Normal"/>
    <w:rsid w:val="00580092"/>
    <w:pPr>
      <w:spacing w:after="0"/>
      <w:jc w:val="center"/>
    </w:pPr>
    <w:rPr>
      <w:rFonts w:ascii="Tms Rmn" w:hAnsi="Tms Rmn"/>
      <w:b/>
      <w:sz w:val="28"/>
    </w:rPr>
  </w:style>
  <w:style w:type="paragraph" w:customStyle="1" w:styleId="Head22">
    <w:name w:val="Head 2.2"/>
    <w:basedOn w:val="Normal"/>
    <w:rsid w:val="00580092"/>
    <w:pPr>
      <w:spacing w:after="0"/>
      <w:ind w:left="360" w:hanging="360"/>
      <w:jc w:val="left"/>
    </w:pPr>
    <w:rPr>
      <w:rFonts w:ascii="Tms Rmn" w:hAnsi="Tms Rmn"/>
      <w:b/>
    </w:rPr>
  </w:style>
  <w:style w:type="paragraph" w:customStyle="1" w:styleId="Head22b">
    <w:name w:val="Head 2.2b"/>
    <w:basedOn w:val="Normal"/>
    <w:rsid w:val="00580092"/>
    <w:pPr>
      <w:spacing w:after="0"/>
      <w:ind w:left="360" w:hanging="360"/>
      <w:jc w:val="left"/>
    </w:pPr>
    <w:rPr>
      <w:rFonts w:ascii="Tms Rmn" w:hAnsi="Tms Rmn"/>
      <w:b/>
    </w:rPr>
  </w:style>
  <w:style w:type="paragraph" w:customStyle="1" w:styleId="Head41">
    <w:name w:val="Head 4.1"/>
    <w:basedOn w:val="Normal"/>
    <w:rsid w:val="00580092"/>
    <w:pPr>
      <w:spacing w:after="0"/>
      <w:jc w:val="center"/>
    </w:pPr>
    <w:rPr>
      <w:rFonts w:ascii="Tms Rmn" w:hAnsi="Tms Rmn"/>
      <w:b/>
      <w:sz w:val="28"/>
    </w:rPr>
  </w:style>
  <w:style w:type="paragraph" w:customStyle="1" w:styleId="Head42">
    <w:name w:val="Head 4.2"/>
    <w:basedOn w:val="Normal"/>
    <w:rsid w:val="00580092"/>
    <w:pPr>
      <w:spacing w:after="0"/>
      <w:ind w:left="360" w:hanging="360"/>
      <w:jc w:val="left"/>
    </w:pPr>
    <w:rPr>
      <w:rFonts w:ascii="Tms Rmn" w:hAnsi="Tms Rmn"/>
      <w:b/>
    </w:rPr>
  </w:style>
  <w:style w:type="paragraph" w:customStyle="1" w:styleId="TextBoxdots">
    <w:name w:val="Text Box (dots)"/>
    <w:basedOn w:val="Normal"/>
    <w:rsid w:val="0058009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uppressAutoHyphens w:val="0"/>
      <w:spacing w:after="0"/>
    </w:pPr>
    <w:rPr>
      <w:sz w:val="22"/>
    </w:rPr>
  </w:style>
  <w:style w:type="paragraph" w:customStyle="1" w:styleId="plane">
    <w:name w:val="plane"/>
    <w:basedOn w:val="Normal"/>
    <w:rsid w:val="00580092"/>
    <w:pPr>
      <w:spacing w:after="0"/>
    </w:pPr>
    <w:rPr>
      <w:rFonts w:ascii="Tms Rmn" w:hAnsi="Tms Rmn"/>
    </w:rPr>
  </w:style>
  <w:style w:type="paragraph" w:customStyle="1" w:styleId="1">
    <w:name w:val="1"/>
    <w:basedOn w:val="Normal"/>
    <w:rsid w:val="00580092"/>
    <w:pPr>
      <w:spacing w:after="0"/>
      <w:ind w:left="720" w:hanging="720"/>
    </w:pPr>
    <w:rPr>
      <w:rFonts w:ascii="Tms Rmn" w:hAnsi="Tms Rmn"/>
    </w:rPr>
  </w:style>
  <w:style w:type="paragraph" w:customStyle="1" w:styleId="a">
    <w:name w:val="(a)"/>
    <w:basedOn w:val="Normal"/>
    <w:rsid w:val="00580092"/>
    <w:pPr>
      <w:spacing w:after="0"/>
      <w:ind w:left="1440" w:hanging="720"/>
    </w:pPr>
    <w:rPr>
      <w:rFonts w:ascii="Tms Rmn" w:hAnsi="Tms Rmn"/>
    </w:rPr>
  </w:style>
  <w:style w:type="table" w:styleId="Tablaconcuadrcula">
    <w:name w:val="Table Grid"/>
    <w:basedOn w:val="Tablanormal"/>
    <w:uiPriority w:val="59"/>
    <w:rsid w:val="005800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580092"/>
    <w:pPr>
      <w:spacing w:after="200"/>
    </w:pPr>
    <w:rPr>
      <w:bCs/>
    </w:rPr>
  </w:style>
  <w:style w:type="paragraph" w:customStyle="1" w:styleId="ClauseSubPara">
    <w:name w:val="ClauseSub_Para"/>
    <w:rsid w:val="00580092"/>
    <w:pPr>
      <w:spacing w:before="60" w:after="60"/>
      <w:ind w:left="2268"/>
    </w:pPr>
    <w:rPr>
      <w:sz w:val="22"/>
      <w:szCs w:val="22"/>
    </w:rPr>
  </w:style>
  <w:style w:type="paragraph" w:customStyle="1" w:styleId="DefaultParagraphFont1">
    <w:name w:val="Default Paragraph Font1"/>
    <w:next w:val="Normal"/>
    <w:rsid w:val="00580092"/>
    <w:pPr>
      <w:numPr>
        <w:numId w:val="9"/>
      </w:numPr>
    </w:pPr>
    <w:rPr>
      <w:rFonts w:ascii="‚l‚r –¾’©" w:hAnsi="‚l‚r –¾’©" w:cs="‚l‚r –¾’©"/>
      <w:noProof/>
      <w:sz w:val="21"/>
    </w:rPr>
  </w:style>
  <w:style w:type="paragraph" w:customStyle="1" w:styleId="ClauseSubList">
    <w:name w:val="ClauseSub_List"/>
    <w:rsid w:val="00580092"/>
    <w:pPr>
      <w:tabs>
        <w:tab w:val="num" w:pos="3987"/>
      </w:tabs>
      <w:suppressAutoHyphens/>
      <w:ind w:left="3987" w:hanging="567"/>
    </w:pPr>
    <w:rPr>
      <w:sz w:val="22"/>
      <w:szCs w:val="22"/>
    </w:rPr>
  </w:style>
  <w:style w:type="paragraph" w:customStyle="1" w:styleId="ClauseSubListSubList">
    <w:name w:val="ClauseSub_List_SubList"/>
    <w:rsid w:val="00580092"/>
    <w:pPr>
      <w:tabs>
        <w:tab w:val="num" w:pos="360"/>
      </w:tabs>
      <w:ind w:left="360" w:hanging="360"/>
    </w:pPr>
    <w:rPr>
      <w:sz w:val="22"/>
      <w:szCs w:val="22"/>
    </w:rPr>
  </w:style>
  <w:style w:type="paragraph" w:customStyle="1" w:styleId="ClauseSubParaIndent">
    <w:name w:val="ClauseSub_ParaIndent"/>
    <w:basedOn w:val="ClauseSubPara"/>
    <w:rsid w:val="00580092"/>
    <w:pPr>
      <w:ind w:left="2835"/>
    </w:pPr>
  </w:style>
  <w:style w:type="paragraph" w:customStyle="1" w:styleId="S1-Header">
    <w:name w:val="S1-Header"/>
    <w:basedOn w:val="Textoindependiente2"/>
    <w:rsid w:val="00580092"/>
    <w:pPr>
      <w:tabs>
        <w:tab w:val="num" w:pos="360"/>
      </w:tabs>
      <w:suppressAutoHyphens w:val="0"/>
      <w:spacing w:before="120" w:after="200" w:line="240" w:lineRule="auto"/>
      <w:ind w:left="360" w:hanging="360"/>
      <w:jc w:val="center"/>
    </w:pPr>
    <w:rPr>
      <w:b/>
      <w:sz w:val="28"/>
    </w:rPr>
  </w:style>
  <w:style w:type="paragraph" w:customStyle="1" w:styleId="S1a-header">
    <w:name w:val="S1a-header"/>
    <w:basedOn w:val="S1-Header"/>
    <w:autoRedefine/>
    <w:rsid w:val="00580092"/>
  </w:style>
  <w:style w:type="paragraph" w:customStyle="1" w:styleId="S1b-header1">
    <w:name w:val="S1b-header1"/>
    <w:basedOn w:val="Normal"/>
    <w:rsid w:val="00580092"/>
    <w:pPr>
      <w:numPr>
        <w:numId w:val="10"/>
      </w:numPr>
      <w:suppressAutoHyphens w:val="0"/>
      <w:spacing w:before="120" w:after="240"/>
      <w:jc w:val="center"/>
    </w:pPr>
    <w:rPr>
      <w:b/>
      <w:sz w:val="28"/>
    </w:rPr>
  </w:style>
  <w:style w:type="paragraph" w:customStyle="1" w:styleId="S4Header">
    <w:name w:val="S4 Header"/>
    <w:basedOn w:val="Normal"/>
    <w:next w:val="Normal"/>
    <w:link w:val="S4HeaderChar"/>
    <w:rsid w:val="00580092"/>
    <w:pPr>
      <w:suppressAutoHyphens w:val="0"/>
      <w:spacing w:before="120" w:after="240"/>
      <w:jc w:val="center"/>
    </w:pPr>
    <w:rPr>
      <w:b/>
      <w:sz w:val="32"/>
    </w:rPr>
  </w:style>
  <w:style w:type="paragraph" w:customStyle="1" w:styleId="StyleTOC1NotBold">
    <w:name w:val="Style TOC 1 + Not Bold"/>
    <w:basedOn w:val="TDC1"/>
    <w:rsid w:val="00580092"/>
    <w:pPr>
      <w:suppressAutoHyphens w:val="0"/>
      <w:spacing w:before="0"/>
      <w:outlineLvl w:val="0"/>
    </w:pPr>
    <w:rPr>
      <w:rFonts w:ascii="Times New Roman" w:hAnsi="Times New Roman"/>
      <w:b w:val="0"/>
    </w:rPr>
  </w:style>
  <w:style w:type="paragraph" w:customStyle="1" w:styleId="S9Header">
    <w:name w:val="S9 Header"/>
    <w:basedOn w:val="Normal"/>
    <w:rsid w:val="00580092"/>
    <w:pPr>
      <w:suppressAutoHyphens w:val="0"/>
      <w:spacing w:before="120" w:after="240"/>
      <w:jc w:val="center"/>
    </w:pPr>
    <w:rPr>
      <w:b/>
      <w:sz w:val="36"/>
    </w:rPr>
  </w:style>
  <w:style w:type="paragraph" w:customStyle="1" w:styleId="S7Header1">
    <w:name w:val="S7 Header 1"/>
    <w:basedOn w:val="S1-Header"/>
    <w:next w:val="Normal"/>
    <w:rsid w:val="00580092"/>
    <w:pPr>
      <w:tabs>
        <w:tab w:val="clear" w:pos="360"/>
        <w:tab w:val="num" w:pos="648"/>
      </w:tabs>
      <w:spacing w:after="240"/>
      <w:ind w:hanging="72"/>
    </w:pPr>
  </w:style>
  <w:style w:type="paragraph" w:customStyle="1" w:styleId="S7Header2">
    <w:name w:val="S7 Header 2"/>
    <w:basedOn w:val="Normal"/>
    <w:next w:val="Normal"/>
    <w:autoRedefine/>
    <w:rsid w:val="00580092"/>
    <w:pPr>
      <w:suppressAutoHyphens w:val="0"/>
      <w:ind w:left="432" w:hanging="432"/>
      <w:jc w:val="left"/>
    </w:pPr>
    <w:rPr>
      <w:b/>
    </w:rPr>
  </w:style>
  <w:style w:type="paragraph" w:customStyle="1" w:styleId="StyleS7Header2NotBold">
    <w:name w:val="Style S7 Header 2 + Not Bold"/>
    <w:basedOn w:val="S7Header2"/>
    <w:rsid w:val="00580092"/>
  </w:style>
  <w:style w:type="paragraph" w:customStyle="1" w:styleId="S8Header1">
    <w:name w:val="S8 Header 1"/>
    <w:basedOn w:val="Normal"/>
    <w:next w:val="Normal"/>
    <w:rsid w:val="00580092"/>
    <w:pPr>
      <w:suppressAutoHyphens w:val="0"/>
      <w:spacing w:before="120" w:after="200"/>
    </w:pPr>
    <w:rPr>
      <w:b/>
    </w:rPr>
  </w:style>
  <w:style w:type="paragraph" w:customStyle="1" w:styleId="S9-appx">
    <w:name w:val="S9 - appx"/>
    <w:basedOn w:val="Normal"/>
    <w:rsid w:val="00580092"/>
    <w:pPr>
      <w:suppressAutoHyphens w:val="0"/>
      <w:spacing w:before="120" w:after="240"/>
      <w:jc w:val="center"/>
    </w:pPr>
    <w:rPr>
      <w:b/>
      <w:sz w:val="28"/>
    </w:rPr>
  </w:style>
  <w:style w:type="paragraph" w:customStyle="1" w:styleId="UGHeading1">
    <w:name w:val="UG Heading 1"/>
    <w:basedOn w:val="Normal"/>
    <w:rsid w:val="00580092"/>
    <w:pPr>
      <w:suppressAutoHyphens w:val="0"/>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580092"/>
    <w:pPr>
      <w:spacing w:after="240"/>
    </w:pPr>
  </w:style>
  <w:style w:type="paragraph" w:customStyle="1" w:styleId="S1-OptB-subpara">
    <w:name w:val="S1-OptB-sub para"/>
    <w:basedOn w:val="Normal"/>
    <w:rsid w:val="00580092"/>
    <w:pPr>
      <w:numPr>
        <w:ilvl w:val="1"/>
        <w:numId w:val="11"/>
      </w:numPr>
      <w:suppressAutoHyphens w:val="0"/>
      <w:spacing w:after="200"/>
    </w:pPr>
  </w:style>
  <w:style w:type="paragraph" w:customStyle="1" w:styleId="S4-header1">
    <w:name w:val="S4-header1"/>
    <w:basedOn w:val="Normal"/>
    <w:link w:val="S4-header1Char"/>
    <w:rsid w:val="00580092"/>
    <w:pPr>
      <w:suppressAutoHyphens w:val="0"/>
      <w:spacing w:before="120" w:after="240"/>
      <w:jc w:val="center"/>
    </w:pPr>
    <w:rPr>
      <w:b/>
      <w:sz w:val="36"/>
    </w:rPr>
  </w:style>
  <w:style w:type="character" w:customStyle="1" w:styleId="S4HeaderChar">
    <w:name w:val="S4 Header Char"/>
    <w:basedOn w:val="Fuentedeprrafopredeter"/>
    <w:link w:val="S4Header"/>
    <w:rsid w:val="00580092"/>
    <w:rPr>
      <w:b/>
      <w:sz w:val="32"/>
    </w:rPr>
  </w:style>
  <w:style w:type="paragraph" w:customStyle="1" w:styleId="UserGuide">
    <w:name w:val="User Guide"/>
    <w:basedOn w:val="Normal"/>
    <w:rsid w:val="00580092"/>
    <w:pPr>
      <w:suppressAutoHyphens w:val="0"/>
      <w:spacing w:after="0"/>
      <w:jc w:val="center"/>
    </w:pPr>
    <w:rPr>
      <w:b/>
      <w:sz w:val="72"/>
    </w:rPr>
  </w:style>
  <w:style w:type="paragraph" w:customStyle="1" w:styleId="StyleHeader1-ClausesAfter0pt">
    <w:name w:val="Style Header 1 - Clauses + After:  0 pt"/>
    <w:basedOn w:val="Normal"/>
    <w:rsid w:val="00580092"/>
    <w:pPr>
      <w:suppressAutoHyphens w:val="0"/>
      <w:spacing w:after="200"/>
    </w:pPr>
    <w:rPr>
      <w:bCs/>
    </w:rPr>
  </w:style>
  <w:style w:type="paragraph" w:customStyle="1" w:styleId="StyleHeading3SectionHeader3ClauseSubNoNameBold">
    <w:name w:val="Style Heading 3Section Header3ClauseSub_No&amp;Name + Bold"/>
    <w:basedOn w:val="Ttulo3"/>
    <w:rsid w:val="00580092"/>
    <w:pPr>
      <w:tabs>
        <w:tab w:val="num" w:pos="864"/>
      </w:tabs>
      <w:suppressAutoHyphens w:val="0"/>
      <w:spacing w:after="200"/>
      <w:ind w:left="864" w:hanging="432"/>
    </w:pPr>
    <w:rPr>
      <w:rFonts w:ascii="Times New Roman" w:hAnsi="Times New Roman"/>
      <w:bCs/>
    </w:rPr>
  </w:style>
  <w:style w:type="paragraph" w:customStyle="1" w:styleId="outlinebullet">
    <w:name w:val="outlinebullet"/>
    <w:basedOn w:val="Normal"/>
    <w:rsid w:val="00580092"/>
    <w:pPr>
      <w:tabs>
        <w:tab w:val="num" w:pos="720"/>
        <w:tab w:val="num" w:pos="1037"/>
        <w:tab w:val="left" w:pos="1440"/>
      </w:tabs>
      <w:suppressAutoHyphens w:val="0"/>
      <w:spacing w:before="120" w:after="0"/>
      <w:ind w:left="1440" w:hanging="450"/>
      <w:jc w:val="left"/>
    </w:pPr>
  </w:style>
  <w:style w:type="paragraph" w:customStyle="1" w:styleId="a11">
    <w:name w:val="a1 1"/>
    <w:rsid w:val="00580092"/>
    <w:pPr>
      <w:widowControl w:val="0"/>
      <w:tabs>
        <w:tab w:val="left" w:pos="-720"/>
      </w:tabs>
      <w:suppressAutoHyphens/>
    </w:pPr>
    <w:rPr>
      <w:rFonts w:ascii="CG Times" w:hAnsi="CG Times"/>
      <w:sz w:val="24"/>
    </w:rPr>
  </w:style>
  <w:style w:type="paragraph" w:customStyle="1" w:styleId="REGULAR3">
    <w:name w:val="REGULAR 3"/>
    <w:rsid w:val="00580092"/>
    <w:pPr>
      <w:widowControl w:val="0"/>
      <w:tabs>
        <w:tab w:val="left" w:pos="0"/>
        <w:tab w:val="right" w:pos="1560"/>
        <w:tab w:val="left" w:pos="1800"/>
        <w:tab w:val="left" w:pos="2160"/>
      </w:tabs>
      <w:suppressAutoHyphens/>
    </w:pPr>
    <w:rPr>
      <w:rFonts w:ascii="CG Times" w:hAnsi="CG Times"/>
      <w:sz w:val="24"/>
    </w:rPr>
  </w:style>
  <w:style w:type="paragraph" w:styleId="Encabezadodelista">
    <w:name w:val="toa heading"/>
    <w:basedOn w:val="Normal"/>
    <w:next w:val="Normal"/>
    <w:rsid w:val="00580092"/>
    <w:pPr>
      <w:tabs>
        <w:tab w:val="left" w:pos="9000"/>
        <w:tab w:val="right" w:pos="9360"/>
      </w:tabs>
      <w:spacing w:after="0"/>
    </w:pPr>
  </w:style>
  <w:style w:type="paragraph" w:customStyle="1" w:styleId="Headfid1">
    <w:name w:val="Head fid1"/>
    <w:basedOn w:val="Normal"/>
    <w:rsid w:val="00580092"/>
    <w:pPr>
      <w:suppressAutoHyphens w:val="0"/>
      <w:spacing w:before="120"/>
    </w:pPr>
    <w:rPr>
      <w:b/>
    </w:rPr>
  </w:style>
  <w:style w:type="paragraph" w:customStyle="1" w:styleId="UG-Sec3-heading1">
    <w:name w:val="UG-Sec3-heading1"/>
    <w:basedOn w:val="Ttulo2"/>
    <w:link w:val="UG-Sec3-heading1Char"/>
    <w:rsid w:val="00580092"/>
    <w:pPr>
      <w:pBdr>
        <w:bottom w:val="none" w:sz="0" w:space="0" w:color="auto"/>
      </w:pBdr>
      <w:tabs>
        <w:tab w:val="left" w:pos="619"/>
      </w:tabs>
      <w:suppressAutoHyphens w:val="0"/>
      <w:spacing w:before="120" w:after="200"/>
      <w:jc w:val="left"/>
    </w:pPr>
    <w:rPr>
      <w:szCs w:val="28"/>
    </w:rPr>
  </w:style>
  <w:style w:type="paragraph" w:customStyle="1" w:styleId="UG-Sec3-Heading2">
    <w:name w:val="UG-Sec3-Heading2"/>
    <w:basedOn w:val="Normal"/>
    <w:rsid w:val="00580092"/>
    <w:pPr>
      <w:suppressAutoHyphens w:val="0"/>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580092"/>
    <w:rPr>
      <w:bCs/>
      <w:color w:val="000000"/>
      <w:sz w:val="24"/>
    </w:rPr>
  </w:style>
  <w:style w:type="character" w:customStyle="1" w:styleId="Ttulo2Car">
    <w:name w:val="Título 2 Car"/>
    <w:aliases w:val="Title Header2 Car"/>
    <w:basedOn w:val="Fuentedeprrafopredeter"/>
    <w:link w:val="Ttulo2"/>
    <w:uiPriority w:val="9"/>
    <w:rsid w:val="00580092"/>
    <w:rPr>
      <w:rFonts w:ascii="Arial" w:hAnsi="Arial"/>
      <w:b/>
      <w:sz w:val="28"/>
    </w:rPr>
  </w:style>
  <w:style w:type="character" w:customStyle="1" w:styleId="UG-Sec3-heading1Char">
    <w:name w:val="UG-Sec3-heading1 Char"/>
    <w:basedOn w:val="Ttulo2Car"/>
    <w:link w:val="UG-Sec3-heading1"/>
    <w:rsid w:val="00580092"/>
    <w:rPr>
      <w:rFonts w:ascii="Arial" w:hAnsi="Arial"/>
      <w:b/>
      <w:sz w:val="28"/>
      <w:szCs w:val="28"/>
    </w:rPr>
  </w:style>
  <w:style w:type="character" w:customStyle="1" w:styleId="StyleUG-Sec3-heading18ptBlackChar">
    <w:name w:val="Style UG-Sec3-heading1 + 8 pt Black Char"/>
    <w:basedOn w:val="UG-Sec3-heading1Char"/>
    <w:link w:val="StyleUG-Sec3-heading18ptBlack"/>
    <w:rsid w:val="00580092"/>
    <w:rPr>
      <w:rFonts w:ascii="Arial" w:hAnsi="Arial"/>
      <w:b/>
      <w:bCs/>
      <w:color w:val="000000"/>
      <w:sz w:val="24"/>
      <w:szCs w:val="28"/>
    </w:rPr>
  </w:style>
  <w:style w:type="paragraph" w:customStyle="1" w:styleId="UG-Sec3b-Heading1">
    <w:name w:val="UG-Sec3b-Heading1"/>
    <w:basedOn w:val="UG-Sec3-heading1"/>
    <w:rsid w:val="00580092"/>
  </w:style>
  <w:style w:type="paragraph" w:customStyle="1" w:styleId="UG-Sec3b-Heading2">
    <w:name w:val="UG-Sec3b-Heading2"/>
    <w:basedOn w:val="UG-Sec3-Heading2"/>
    <w:rsid w:val="00580092"/>
  </w:style>
  <w:style w:type="paragraph" w:customStyle="1" w:styleId="SecVI-Header2">
    <w:name w:val="Sec VI - Header 2"/>
    <w:basedOn w:val="Ttulo3"/>
    <w:link w:val="SecVI-Header2Char"/>
    <w:rsid w:val="00580092"/>
    <w:pPr>
      <w:tabs>
        <w:tab w:val="num" w:pos="864"/>
      </w:tabs>
      <w:suppressAutoHyphens w:val="0"/>
      <w:spacing w:after="200"/>
    </w:pPr>
    <w:rPr>
      <w:rFonts w:ascii="Times New Roman" w:hAnsi="Times New Roman"/>
      <w:szCs w:val="28"/>
    </w:rPr>
  </w:style>
  <w:style w:type="paragraph" w:customStyle="1" w:styleId="SecVI-Header3">
    <w:name w:val="Sec VI - Header 3"/>
    <w:basedOn w:val="SecVI-Header2"/>
    <w:link w:val="SecVI-Header3Char"/>
    <w:rsid w:val="00580092"/>
    <w:rPr>
      <w:sz w:val="24"/>
    </w:rPr>
  </w:style>
  <w:style w:type="character" w:customStyle="1" w:styleId="SecVI-Header2Char">
    <w:name w:val="Sec VI - Header 2 Char"/>
    <w:basedOn w:val="Ttulo3Car"/>
    <w:link w:val="SecVI-Header2"/>
    <w:rsid w:val="00580092"/>
    <w:rPr>
      <w:rFonts w:ascii="Times New Roman Bold" w:hAnsi="Times New Roman Bold"/>
      <w:b/>
      <w:sz w:val="28"/>
      <w:szCs w:val="28"/>
    </w:rPr>
  </w:style>
  <w:style w:type="character" w:customStyle="1" w:styleId="SecVI-Header3Char">
    <w:name w:val="Sec VI - Header 3 Char"/>
    <w:basedOn w:val="SecVI-Header2Char"/>
    <w:link w:val="SecVI-Header3"/>
    <w:rsid w:val="00580092"/>
    <w:rPr>
      <w:rFonts w:ascii="Times New Roman Bold" w:hAnsi="Times New Roman Bold"/>
      <w:b/>
      <w:sz w:val="24"/>
      <w:szCs w:val="28"/>
    </w:rPr>
  </w:style>
  <w:style w:type="paragraph" w:customStyle="1" w:styleId="SecVI-Header1">
    <w:name w:val="Sec VI - Header 1"/>
    <w:basedOn w:val="SectionVHeader"/>
    <w:rsid w:val="00580092"/>
  </w:style>
  <w:style w:type="paragraph" w:customStyle="1" w:styleId="UG-Part">
    <w:name w:val="UG - Part"/>
    <w:basedOn w:val="Ttulo1"/>
    <w:rsid w:val="00580092"/>
    <w:pPr>
      <w:suppressAutoHyphens w:val="0"/>
      <w:spacing w:before="120"/>
    </w:pPr>
    <w:rPr>
      <w:rFonts w:ascii="Times New Roman" w:hAnsi="Times New Roman"/>
      <w:bCs/>
      <w:smallCaps w:val="0"/>
      <w:kern w:val="28"/>
    </w:rPr>
  </w:style>
  <w:style w:type="paragraph" w:customStyle="1" w:styleId="UG-Option">
    <w:name w:val="UG - Option"/>
    <w:basedOn w:val="Option"/>
    <w:rsid w:val="00580092"/>
    <w:pPr>
      <w:spacing w:before="240"/>
    </w:pPr>
    <w:rPr>
      <w:sz w:val="44"/>
    </w:rPr>
  </w:style>
  <w:style w:type="paragraph" w:customStyle="1" w:styleId="UG-OptB-Sec3-heading1">
    <w:name w:val="UG-OptB-Sec 3 - heading1"/>
    <w:basedOn w:val="UG-Sec3-heading1"/>
    <w:rsid w:val="00580092"/>
  </w:style>
  <w:style w:type="paragraph" w:customStyle="1" w:styleId="UGOptB-Sec3-Heading2">
    <w:name w:val="UG OptB - Sec 3 - Heading 2"/>
    <w:basedOn w:val="UG-Sec3-Heading2"/>
    <w:rsid w:val="00580092"/>
  </w:style>
  <w:style w:type="paragraph" w:customStyle="1" w:styleId="UG-OptB-Sec3b-heading1">
    <w:name w:val="UG-OptB-Sec 3b - heading 1"/>
    <w:basedOn w:val="UG-OptB-Sec3-heading1"/>
    <w:rsid w:val="00580092"/>
  </w:style>
  <w:style w:type="paragraph" w:customStyle="1" w:styleId="UGOptB-Sec3b-Heading2">
    <w:name w:val="UG OptB - Sec 3b - Heading 2"/>
    <w:basedOn w:val="UGOptB-Sec3-Heading2"/>
    <w:rsid w:val="00580092"/>
  </w:style>
  <w:style w:type="paragraph" w:customStyle="1" w:styleId="UG-SectionIV-Heading1">
    <w:name w:val="UG - Section IV - Heading 1"/>
    <w:basedOn w:val="Subttulo"/>
    <w:rsid w:val="00580092"/>
    <w:pPr>
      <w:spacing w:before="120" w:after="200"/>
    </w:pPr>
    <w:rPr>
      <w:sz w:val="40"/>
    </w:rPr>
  </w:style>
  <w:style w:type="paragraph" w:customStyle="1" w:styleId="UG-SectionIV-Heading2">
    <w:name w:val="UG - Section IV - Heading 2"/>
    <w:basedOn w:val="Normal"/>
    <w:next w:val="Normal"/>
    <w:rsid w:val="00580092"/>
    <w:pPr>
      <w:suppressAutoHyphens w:val="0"/>
      <w:spacing w:before="120" w:after="200"/>
      <w:jc w:val="left"/>
    </w:pPr>
    <w:rPr>
      <w:b/>
      <w:sz w:val="32"/>
      <w:szCs w:val="22"/>
    </w:rPr>
  </w:style>
  <w:style w:type="paragraph" w:customStyle="1" w:styleId="UG-SectionVI-Heading1">
    <w:name w:val="UG - Section VI - Heading 1"/>
    <w:basedOn w:val="UG-SectionIV-Heading1"/>
    <w:rsid w:val="00580092"/>
  </w:style>
  <w:style w:type="paragraph" w:customStyle="1" w:styleId="UG-SectionVI-Heading2">
    <w:name w:val="UG - Section VI - Heading 2"/>
    <w:basedOn w:val="UG-SectionIV-Heading2"/>
    <w:next w:val="Normal"/>
    <w:rsid w:val="00580092"/>
    <w:pPr>
      <w:jc w:val="center"/>
    </w:pPr>
  </w:style>
  <w:style w:type="paragraph" w:customStyle="1" w:styleId="UG-SectionVI-Heading3">
    <w:name w:val="UG - Section VI - Heading 3"/>
    <w:basedOn w:val="Normal"/>
    <w:next w:val="Normal"/>
    <w:rsid w:val="00580092"/>
    <w:pPr>
      <w:suppressAutoHyphens w:val="0"/>
      <w:spacing w:before="120" w:after="200"/>
      <w:jc w:val="center"/>
    </w:pPr>
    <w:rPr>
      <w:b/>
      <w:sz w:val="28"/>
    </w:rPr>
  </w:style>
  <w:style w:type="paragraph" w:customStyle="1" w:styleId="UG-SectionIX-Heading1">
    <w:name w:val="UG - Section IX - Heading 1"/>
    <w:basedOn w:val="Ttulo2"/>
    <w:rsid w:val="0058009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UG-SectionIX-Heading2">
    <w:name w:val="UG - Section IX - Heading 2"/>
    <w:basedOn w:val="Ttulo2"/>
    <w:rsid w:val="00580092"/>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Ttulo3"/>
    <w:rsid w:val="00580092"/>
    <w:pPr>
      <w:tabs>
        <w:tab w:val="num" w:pos="864"/>
      </w:tabs>
      <w:suppressAutoHyphens w:val="0"/>
      <w:spacing w:after="200"/>
      <w:ind w:left="864" w:hanging="432"/>
    </w:pPr>
    <w:rPr>
      <w:rFonts w:ascii="Times New Roman" w:hAnsi="Times New Roman"/>
    </w:rPr>
  </w:style>
  <w:style w:type="paragraph" w:customStyle="1" w:styleId="StyleHeader2-SubClausesBold">
    <w:name w:val="Style Header 2 - SubClauses + Bold"/>
    <w:basedOn w:val="Normal"/>
    <w:link w:val="StyleHeader2-SubClausesBoldChar"/>
    <w:autoRedefine/>
    <w:rsid w:val="00CA2AC9"/>
    <w:pPr>
      <w:tabs>
        <w:tab w:val="left" w:pos="576"/>
      </w:tabs>
      <w:suppressAutoHyphens w:val="0"/>
      <w:spacing w:after="200"/>
      <w:ind w:left="612"/>
    </w:pPr>
    <w:rPr>
      <w:b/>
      <w:bCs/>
    </w:rPr>
  </w:style>
  <w:style w:type="character" w:customStyle="1" w:styleId="StyleHeader2-SubClausesBoldChar">
    <w:name w:val="Style Header 2 - SubClauses + Bold Char"/>
    <w:basedOn w:val="Fuentedeprrafopredeter"/>
    <w:link w:val="StyleHeader2-SubClausesBold"/>
    <w:rsid w:val="00CA2AC9"/>
    <w:rPr>
      <w:b/>
      <w:bCs/>
      <w:sz w:val="24"/>
      <w:lang w:val="es-ES"/>
    </w:rPr>
  </w:style>
  <w:style w:type="character" w:customStyle="1" w:styleId="apple-converted-space">
    <w:name w:val="apple-converted-space"/>
    <w:basedOn w:val="Fuentedeprrafopredeter"/>
    <w:rsid w:val="00A82162"/>
  </w:style>
  <w:style w:type="paragraph" w:customStyle="1" w:styleId="HeadingQT2">
    <w:name w:val="Heading QT2"/>
    <w:basedOn w:val="Normal"/>
    <w:link w:val="HeadingQT2Char"/>
    <w:autoRedefine/>
    <w:qFormat/>
    <w:rsid w:val="00A82162"/>
    <w:pPr>
      <w:suppressAutoHyphens w:val="0"/>
      <w:spacing w:after="134"/>
      <w:ind w:left="720" w:right="-14" w:hanging="360"/>
      <w:jc w:val="left"/>
    </w:pPr>
    <w:rPr>
      <w:b/>
      <w:sz w:val="28"/>
      <w:szCs w:val="28"/>
    </w:rPr>
  </w:style>
  <w:style w:type="character" w:customStyle="1" w:styleId="HeadingQT2Char">
    <w:name w:val="Heading QT2 Char"/>
    <w:basedOn w:val="Fuentedeprrafopredeter"/>
    <w:link w:val="HeadingQT2"/>
    <w:rsid w:val="00A82162"/>
    <w:rPr>
      <w:b/>
      <w:sz w:val="28"/>
      <w:szCs w:val="2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253AA"/>
    <w:rPr>
      <w:rFonts w:ascii="Arial" w:hAnsi="Arial"/>
    </w:rPr>
  </w:style>
  <w:style w:type="character" w:customStyle="1" w:styleId="PrrafodelistaCar">
    <w:name w:val="Párrafo de lista Car"/>
    <w:aliases w:val="Citation List Car,본문(내용) Car,List Paragraph (numbered (a)) Car,Colorful List - Accent 11 Car,Titulo 1 Car,Lista vistosa - Énfasis 11 Car,Capítulo Car,Bullet 1 Car,Use Case List Paragraph Car,Texto Car,List Paragraph1 Car,Listado Car"/>
    <w:link w:val="Prrafodelista"/>
    <w:uiPriority w:val="34"/>
    <w:qFormat/>
    <w:locked/>
    <w:rsid w:val="00B8338E"/>
    <w:rPr>
      <w:sz w:val="24"/>
    </w:rPr>
  </w:style>
  <w:style w:type="character" w:customStyle="1" w:styleId="PiedepginaCar">
    <w:name w:val="Pie de página Car"/>
    <w:basedOn w:val="Fuentedeprrafopredeter"/>
    <w:link w:val="Piedepgina"/>
    <w:uiPriority w:val="99"/>
    <w:rsid w:val="003009B0"/>
    <w:rPr>
      <w:sz w:val="24"/>
    </w:rPr>
  </w:style>
  <w:style w:type="paragraph" w:customStyle="1" w:styleId="Style11">
    <w:name w:val="Style 11"/>
    <w:basedOn w:val="Normal"/>
    <w:rsid w:val="0065777C"/>
    <w:pPr>
      <w:widowControl w:val="0"/>
      <w:suppressAutoHyphens w:val="0"/>
      <w:autoSpaceDE w:val="0"/>
      <w:autoSpaceDN w:val="0"/>
      <w:spacing w:after="0" w:line="384" w:lineRule="atLeast"/>
      <w:jc w:val="left"/>
    </w:pPr>
    <w:rPr>
      <w:szCs w:val="24"/>
    </w:rPr>
  </w:style>
  <w:style w:type="paragraph" w:styleId="TtuloTDC">
    <w:name w:val="TOC Heading"/>
    <w:basedOn w:val="Ttulo1"/>
    <w:next w:val="Normal"/>
    <w:uiPriority w:val="39"/>
    <w:unhideWhenUsed/>
    <w:qFormat/>
    <w:rsid w:val="001B65FB"/>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character" w:customStyle="1" w:styleId="EncabezadoCar">
    <w:name w:val="Encabezado Car"/>
    <w:basedOn w:val="Fuentedeprrafopredeter"/>
    <w:link w:val="Encabezado"/>
    <w:uiPriority w:val="99"/>
    <w:rsid w:val="00FA7F37"/>
    <w:rPr>
      <w:sz w:val="24"/>
    </w:rPr>
  </w:style>
  <w:style w:type="paragraph" w:customStyle="1" w:styleId="tabletxt">
    <w:name w:val="table_txt"/>
    <w:basedOn w:val="Normal"/>
    <w:rsid w:val="00D75C8D"/>
    <w:pPr>
      <w:jc w:val="left"/>
    </w:pPr>
    <w:rPr>
      <w:sz w:val="22"/>
    </w:rPr>
  </w:style>
  <w:style w:type="paragraph" w:styleId="Listaconnmeros2">
    <w:name w:val="List Number 2"/>
    <w:basedOn w:val="Normal"/>
    <w:unhideWhenUsed/>
    <w:rsid w:val="00BB182C"/>
    <w:pPr>
      <w:numPr>
        <w:numId w:val="28"/>
      </w:numPr>
      <w:contextualSpacing/>
    </w:pPr>
  </w:style>
  <w:style w:type="paragraph" w:customStyle="1" w:styleId="TDC11">
    <w:name w:val="TDC 11"/>
    <w:basedOn w:val="Head02"/>
    <w:qFormat/>
    <w:rsid w:val="00FB0AF0"/>
    <w:rPr>
      <w:rFonts w:ascii="Times New Roman" w:hAnsi="Times New Roman"/>
    </w:rPr>
  </w:style>
  <w:style w:type="paragraph" w:customStyle="1" w:styleId="Toc2-1">
    <w:name w:val="Toc 2-1"/>
    <w:basedOn w:val="Head11a"/>
    <w:qFormat/>
    <w:rsid w:val="00FB1E48"/>
    <w:pPr>
      <w:pBdr>
        <w:bottom w:val="none" w:sz="0" w:space="0" w:color="auto"/>
      </w:pBdr>
      <w:spacing w:before="0" w:after="200"/>
    </w:pPr>
    <w:rPr>
      <w:rFonts w:ascii="Times New Roman" w:hAnsi="Times New Roman"/>
      <w:sz w:val="36"/>
      <w:szCs w:val="36"/>
    </w:rPr>
  </w:style>
  <w:style w:type="paragraph" w:customStyle="1" w:styleId="TOC2-2">
    <w:name w:val="TOC 2-2"/>
    <w:basedOn w:val="Head12a"/>
    <w:qFormat/>
    <w:rsid w:val="00FB1E48"/>
    <w:pPr>
      <w:spacing w:after="200"/>
    </w:pPr>
    <w:rPr>
      <w:szCs w:val="24"/>
    </w:rPr>
  </w:style>
  <w:style w:type="paragraph" w:customStyle="1" w:styleId="TOC3-1">
    <w:name w:val="TOC 3-1"/>
    <w:basedOn w:val="S4-header1"/>
    <w:link w:val="TOC3-1Char"/>
    <w:qFormat/>
    <w:rsid w:val="002D3400"/>
  </w:style>
  <w:style w:type="paragraph" w:customStyle="1" w:styleId="TOC3-2">
    <w:name w:val="TOC 3-2"/>
    <w:basedOn w:val="S4Header"/>
    <w:link w:val="TOC3-2Char"/>
    <w:qFormat/>
    <w:rsid w:val="002D3400"/>
  </w:style>
  <w:style w:type="character" w:customStyle="1" w:styleId="S4-header1Char">
    <w:name w:val="S4-header1 Char"/>
    <w:basedOn w:val="Fuentedeprrafopredeter"/>
    <w:link w:val="S4-header1"/>
    <w:rsid w:val="002D3400"/>
    <w:rPr>
      <w:b/>
      <w:sz w:val="36"/>
    </w:rPr>
  </w:style>
  <w:style w:type="character" w:customStyle="1" w:styleId="TOC3-1Char">
    <w:name w:val="TOC 3-1 Char"/>
    <w:basedOn w:val="S4-header1Char"/>
    <w:link w:val="TOC3-1"/>
    <w:rsid w:val="002D3400"/>
    <w:rPr>
      <w:b/>
      <w:sz w:val="36"/>
    </w:rPr>
  </w:style>
  <w:style w:type="paragraph" w:customStyle="1" w:styleId="TOC4-1">
    <w:name w:val="TOC 4-1"/>
    <w:basedOn w:val="Head5a1"/>
    <w:link w:val="TOC4-1Char"/>
    <w:qFormat/>
    <w:rsid w:val="007325A0"/>
    <w:pPr>
      <w:ind w:right="-360"/>
    </w:pPr>
  </w:style>
  <w:style w:type="character" w:customStyle="1" w:styleId="TOC3-2Char">
    <w:name w:val="TOC 3-2 Char"/>
    <w:basedOn w:val="S4HeaderChar"/>
    <w:link w:val="TOC3-2"/>
    <w:rsid w:val="002D3400"/>
    <w:rPr>
      <w:b/>
      <w:sz w:val="32"/>
    </w:rPr>
  </w:style>
  <w:style w:type="paragraph" w:customStyle="1" w:styleId="TOC4-2">
    <w:name w:val="TOC 4-2"/>
    <w:basedOn w:val="Head5a2"/>
    <w:link w:val="TOC4-2Char"/>
    <w:qFormat/>
    <w:rsid w:val="007325A0"/>
    <w:pPr>
      <w:ind w:right="-360"/>
    </w:pPr>
  </w:style>
  <w:style w:type="character" w:customStyle="1" w:styleId="Head5a1Char">
    <w:name w:val="Head 5a.1 Char"/>
    <w:basedOn w:val="Fuentedeprrafopredeter"/>
    <w:link w:val="Head5a1"/>
    <w:rsid w:val="007325A0"/>
    <w:rPr>
      <w:rFonts w:ascii="Times New Roman Bold" w:hAnsi="Times New Roman Bold"/>
      <w:b/>
      <w:smallCaps/>
      <w:sz w:val="32"/>
    </w:rPr>
  </w:style>
  <w:style w:type="character" w:customStyle="1" w:styleId="TOC4-1Char">
    <w:name w:val="TOC 4-1 Char"/>
    <w:basedOn w:val="Head5a1Char"/>
    <w:link w:val="TOC4-1"/>
    <w:rsid w:val="007325A0"/>
    <w:rPr>
      <w:rFonts w:ascii="Times New Roman Bold" w:hAnsi="Times New Roman Bold"/>
      <w:b/>
      <w:smallCaps/>
      <w:sz w:val="32"/>
    </w:rPr>
  </w:style>
  <w:style w:type="character" w:customStyle="1" w:styleId="Head5a2Char">
    <w:name w:val="Head 5a.2 Char"/>
    <w:basedOn w:val="Head5a1Char"/>
    <w:link w:val="Head5a2"/>
    <w:rsid w:val="007325A0"/>
    <w:rPr>
      <w:rFonts w:ascii="Times New Roman Bold" w:hAnsi="Times New Roman Bold"/>
      <w:b/>
      <w:smallCaps w:val="0"/>
      <w:sz w:val="28"/>
    </w:rPr>
  </w:style>
  <w:style w:type="character" w:customStyle="1" w:styleId="TOC4-2Char">
    <w:name w:val="TOC 4-2 Char"/>
    <w:basedOn w:val="Head5a2Char"/>
    <w:link w:val="TOC4-2"/>
    <w:rsid w:val="007325A0"/>
    <w:rPr>
      <w:rFonts w:ascii="Times New Roman Bold" w:hAnsi="Times New Roman Bold"/>
      <w:b/>
      <w:smallCaps w:val="0"/>
      <w:sz w:val="28"/>
    </w:rPr>
  </w:style>
  <w:style w:type="paragraph" w:customStyle="1" w:styleId="Style9">
    <w:name w:val="Style9"/>
    <w:basedOn w:val="Normal"/>
    <w:link w:val="Style9Char"/>
    <w:qFormat/>
    <w:rsid w:val="00A800A8"/>
    <w:pPr>
      <w:suppressAutoHyphens w:val="0"/>
      <w:spacing w:before="240" w:after="240"/>
      <w:jc w:val="center"/>
    </w:pPr>
    <w:rPr>
      <w:rFonts w:ascii="Times New Roman Bold" w:hAnsi="Times New Roman Bold"/>
      <w:b/>
      <w:bCs/>
      <w:sz w:val="36"/>
      <w:szCs w:val="24"/>
      <w:lang w:val="es-ES_tradnl" w:eastAsia="en-US" w:bidi="ar-SA"/>
    </w:rPr>
  </w:style>
  <w:style w:type="character" w:customStyle="1" w:styleId="Style9Char">
    <w:name w:val="Style9 Char"/>
    <w:basedOn w:val="Fuentedeprrafopredeter"/>
    <w:link w:val="Style9"/>
    <w:rsid w:val="00A800A8"/>
    <w:rPr>
      <w:rFonts w:ascii="Times New Roman Bold" w:hAnsi="Times New Roman Bold"/>
      <w:b/>
      <w:bCs/>
      <w:sz w:val="36"/>
      <w:szCs w:val="24"/>
      <w:lang w:val="es-ES_tradnl" w:eastAsia="en-US" w:bidi="ar-SA"/>
    </w:rPr>
  </w:style>
  <w:style w:type="character" w:customStyle="1" w:styleId="Mention1">
    <w:name w:val="Mention1"/>
    <w:basedOn w:val="Fuentedeprrafopredeter"/>
    <w:uiPriority w:val="99"/>
    <w:semiHidden/>
    <w:unhideWhenUsed/>
    <w:rsid w:val="002D1EBF"/>
    <w:rPr>
      <w:color w:val="2B579A"/>
      <w:shd w:val="clear" w:color="auto" w:fill="E6E6E6"/>
    </w:rPr>
  </w:style>
  <w:style w:type="paragraph" w:customStyle="1" w:styleId="S3h1">
    <w:name w:val="S3 h1"/>
    <w:basedOn w:val="Normal"/>
    <w:link w:val="S3h1Char"/>
    <w:qFormat/>
    <w:rsid w:val="002D1EBF"/>
    <w:pPr>
      <w:jc w:val="left"/>
    </w:pPr>
    <w:rPr>
      <w:b/>
      <w:iCs/>
      <w:sz w:val="28"/>
      <w:lang w:val="en-US" w:eastAsia="en-US" w:bidi="ar-SA"/>
    </w:rPr>
  </w:style>
  <w:style w:type="paragraph" w:customStyle="1" w:styleId="Sec3h1">
    <w:name w:val="Sec3 h1"/>
    <w:basedOn w:val="Prrafodelista"/>
    <w:link w:val="Sec3h1Char"/>
    <w:qFormat/>
    <w:rsid w:val="002D1EBF"/>
    <w:pPr>
      <w:numPr>
        <w:numId w:val="51"/>
      </w:numPr>
      <w:jc w:val="left"/>
    </w:pPr>
    <w:rPr>
      <w:lang w:val="en-US" w:eastAsia="en-US" w:bidi="ar-SA"/>
    </w:rPr>
  </w:style>
  <w:style w:type="character" w:customStyle="1" w:styleId="S3h1Char">
    <w:name w:val="S3 h1 Char"/>
    <w:basedOn w:val="Fuentedeprrafopredeter"/>
    <w:link w:val="S3h1"/>
    <w:rsid w:val="002D1EBF"/>
    <w:rPr>
      <w:b/>
      <w:iCs/>
      <w:sz w:val="28"/>
      <w:lang w:val="en-US" w:eastAsia="en-US" w:bidi="ar-SA"/>
    </w:rPr>
  </w:style>
  <w:style w:type="character" w:customStyle="1" w:styleId="Sec3h1Char">
    <w:name w:val="Sec3 h1 Char"/>
    <w:basedOn w:val="PrrafodelistaCar"/>
    <w:link w:val="Sec3h1"/>
    <w:rsid w:val="002D1EBF"/>
    <w:rPr>
      <w:sz w:val="24"/>
      <w:lang w:val="en-US" w:eastAsia="en-US" w:bidi="ar-SA"/>
    </w:rPr>
  </w:style>
  <w:style w:type="paragraph" w:customStyle="1" w:styleId="Formulariosseccion">
    <w:name w:val="Formularios seccion"/>
    <w:basedOn w:val="SectionVHeader"/>
    <w:link w:val="FormulariosseccionChar"/>
    <w:qFormat/>
    <w:rsid w:val="002A4150"/>
    <w:pPr>
      <w:ind w:left="720" w:right="983"/>
    </w:pPr>
    <w:rPr>
      <w:bCs/>
      <w:szCs w:val="24"/>
      <w:lang w:val="es-ES_tradnl" w:eastAsia="en-US" w:bidi="ar-SA"/>
    </w:rPr>
  </w:style>
  <w:style w:type="character" w:customStyle="1" w:styleId="FormulariosseccionChar">
    <w:name w:val="Formularios seccion Char"/>
    <w:basedOn w:val="Fuentedeprrafopredeter"/>
    <w:link w:val="Formulariosseccion"/>
    <w:rsid w:val="002A4150"/>
    <w:rPr>
      <w:b/>
      <w:bCs/>
      <w:sz w:val="36"/>
      <w:szCs w:val="24"/>
      <w:lang w:val="es-ES_tradnl" w:eastAsia="en-US" w:bidi="ar-SA"/>
    </w:rPr>
  </w:style>
  <w:style w:type="paragraph" w:customStyle="1" w:styleId="Atercernivel">
    <w:name w:val="Atercer nivel"/>
    <w:basedOn w:val="Normal"/>
    <w:qFormat/>
    <w:rsid w:val="002A4150"/>
    <w:pPr>
      <w:suppressAutoHyphens w:val="0"/>
      <w:spacing w:after="0"/>
      <w:jc w:val="center"/>
    </w:pPr>
    <w:rPr>
      <w:b/>
      <w:noProof/>
      <w:sz w:val="28"/>
      <w:szCs w:val="24"/>
      <w:lang w:val="es-AR" w:eastAsia="en-US" w:bidi="ar-SA"/>
    </w:rPr>
  </w:style>
  <w:style w:type="paragraph" w:customStyle="1" w:styleId="SectionXHeading">
    <w:name w:val="Section X Heading"/>
    <w:basedOn w:val="Normal"/>
    <w:rsid w:val="006A2575"/>
    <w:pPr>
      <w:suppressAutoHyphens w:val="0"/>
      <w:spacing w:before="240" w:after="240"/>
      <w:jc w:val="center"/>
    </w:pPr>
    <w:rPr>
      <w:rFonts w:ascii="Times New Roman Bold" w:hAnsi="Times New Roman Bold"/>
      <w:b/>
      <w:sz w:val="36"/>
      <w:szCs w:val="24"/>
      <w:lang w:val="en-US" w:eastAsia="en-US" w:bidi="ar-SA"/>
    </w:rPr>
  </w:style>
  <w:style w:type="character" w:customStyle="1" w:styleId="S1-Header2Car">
    <w:name w:val="S1-Header2 Car"/>
    <w:basedOn w:val="Fuentedeprrafopredeter"/>
    <w:link w:val="S1-Header2"/>
    <w:rsid w:val="005174F3"/>
    <w:rPr>
      <w:b/>
      <w:sz w:val="24"/>
    </w:rPr>
  </w:style>
  <w:style w:type="paragraph" w:styleId="HTMLconformatoprevio">
    <w:name w:val="HTML Preformatted"/>
    <w:basedOn w:val="Normal"/>
    <w:link w:val="HTMLconformatoprevioCar"/>
    <w:uiPriority w:val="99"/>
    <w:unhideWhenUsed/>
    <w:rsid w:val="00314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lang w:val="en-US" w:eastAsia="en-US" w:bidi="ar-SA"/>
    </w:rPr>
  </w:style>
  <w:style w:type="character" w:customStyle="1" w:styleId="HTMLconformatoprevioCar">
    <w:name w:val="HTML con formato previo Car"/>
    <w:basedOn w:val="Fuentedeprrafopredeter"/>
    <w:link w:val="HTMLconformatoprevio"/>
    <w:uiPriority w:val="99"/>
    <w:rsid w:val="00314996"/>
    <w:rPr>
      <w:rFonts w:ascii="Courier New" w:hAnsi="Courier New" w:cs="Courier New"/>
      <w:lang w:val="en-US" w:eastAsia="en-US" w:bidi="ar-SA"/>
    </w:rPr>
  </w:style>
  <w:style w:type="character" w:customStyle="1" w:styleId="StyleHeader2-SubClausesItalicChar">
    <w:name w:val="Style Header 2 - SubClauses + Italic Char"/>
    <w:rsid w:val="00FE4382"/>
    <w:rPr>
      <w:rFonts w:cs="Arial"/>
      <w:i/>
      <w:iCs/>
      <w:sz w:val="24"/>
      <w:szCs w:val="24"/>
      <w:lang w:val="en-US" w:eastAsia="en-US" w:bidi="ar-SA"/>
    </w:rPr>
  </w:style>
  <w:style w:type="character" w:customStyle="1" w:styleId="TextocomentarioCar">
    <w:name w:val="Texto comentario Car"/>
    <w:link w:val="Textocomentario"/>
    <w:uiPriority w:val="99"/>
    <w:rsid w:val="00066AF1"/>
  </w:style>
  <w:style w:type="paragraph" w:customStyle="1" w:styleId="Normali">
    <w:name w:val="Normal(i)"/>
    <w:basedOn w:val="Normal"/>
    <w:rsid w:val="00304688"/>
    <w:pPr>
      <w:keepLines/>
      <w:tabs>
        <w:tab w:val="left" w:pos="1843"/>
      </w:tabs>
      <w:suppressAutoHyphens w:val="0"/>
    </w:pPr>
    <w:rPr>
      <w:lang w:val="en-GB" w:eastAsia="en-GB" w:bidi="ar-SA"/>
    </w:rPr>
  </w:style>
  <w:style w:type="paragraph" w:customStyle="1" w:styleId="aparagraphs">
    <w:name w:val="(a) paragraphs"/>
    <w:next w:val="Normal"/>
    <w:rsid w:val="00304688"/>
    <w:pPr>
      <w:spacing w:before="120" w:after="120"/>
      <w:jc w:val="both"/>
    </w:pPr>
    <w:rPr>
      <w:snapToGrid w:val="0"/>
      <w:sz w:val="24"/>
      <w:lang w:val="es-ES_tradnl" w:eastAsia="en-US" w:bidi="ar-SA"/>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5C5870"/>
    <w:pPr>
      <w:numPr>
        <w:numId w:val="83"/>
      </w:numPr>
      <w:suppressAutoHyphens w:val="0"/>
      <w:spacing w:after="0"/>
    </w:pPr>
    <w:rPr>
      <w:b/>
      <w:noProof/>
      <w:sz w:val="28"/>
      <w:szCs w:val="24"/>
      <w:lang w:eastAsia="en-US" w:bidi="ar-SA"/>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5C5870"/>
    <w:rPr>
      <w:b/>
      <w:noProof/>
      <w:sz w:val="28"/>
      <w:szCs w:val="24"/>
      <w:lang w:eastAsia="en-US" w:bidi="ar-SA"/>
    </w:rPr>
  </w:style>
  <w:style w:type="paragraph" w:styleId="Continuarlista3">
    <w:name w:val="List Continue 3"/>
    <w:basedOn w:val="Normal"/>
    <w:semiHidden/>
    <w:unhideWhenUsed/>
    <w:rsid w:val="00FF7ADF"/>
    <w:pPr>
      <w:ind w:left="849"/>
      <w:contextualSpacing/>
    </w:pPr>
  </w:style>
  <w:style w:type="paragraph" w:customStyle="1" w:styleId="Sec1-ClausesAfter10pt1">
    <w:name w:val="Sec1-Clauses + After:  10 pt1"/>
    <w:basedOn w:val="Normal"/>
    <w:link w:val="Sec1-ClausesAfter10pt1Car"/>
    <w:rsid w:val="001C171F"/>
    <w:pPr>
      <w:numPr>
        <w:numId w:val="95"/>
      </w:numPr>
      <w:suppressAutoHyphens w:val="0"/>
      <w:spacing w:after="200"/>
      <w:jc w:val="left"/>
    </w:pPr>
    <w:rPr>
      <w:b/>
      <w:bCs/>
      <w:szCs w:val="24"/>
      <w:lang w:val="en-US" w:eastAsia="en-US" w:bidi="ar-SA"/>
    </w:rPr>
  </w:style>
  <w:style w:type="character" w:customStyle="1" w:styleId="Sec1-ClausesAfter10pt1Car">
    <w:name w:val="Sec1-Clauses + After:  10 pt1 Car"/>
    <w:basedOn w:val="Fuentedeprrafopredeter"/>
    <w:link w:val="Sec1-ClausesAfter10pt1"/>
    <w:rsid w:val="001C171F"/>
    <w:rPr>
      <w:b/>
      <w:bCs/>
      <w:sz w:val="24"/>
      <w:szCs w:val="24"/>
      <w:lang w:val="en-US" w:eastAsia="en-US" w:bidi="ar-SA"/>
    </w:rPr>
  </w:style>
  <w:style w:type="paragraph" w:customStyle="1" w:styleId="Parte">
    <w:name w:val="Parte"/>
    <w:basedOn w:val="Ttulo1"/>
    <w:link w:val="ParteChar"/>
    <w:qFormat/>
    <w:rsid w:val="00E775CA"/>
    <w:pPr>
      <w:keepNext/>
      <w:tabs>
        <w:tab w:val="left" w:pos="1422"/>
      </w:tabs>
      <w:suppressAutoHyphens w:val="0"/>
      <w:spacing w:before="0" w:after="0"/>
      <w:ind w:left="518"/>
    </w:pPr>
    <w:rPr>
      <w:rFonts w:ascii="Times New Roman" w:hAnsi="Times New Roman" w:cs="Arial"/>
      <w:smallCaps w:val="0"/>
      <w:sz w:val="44"/>
      <w:szCs w:val="24"/>
      <w:lang w:val="en-US" w:eastAsia="en-US" w:bidi="ar-SA"/>
    </w:rPr>
  </w:style>
  <w:style w:type="character" w:customStyle="1" w:styleId="ParteChar">
    <w:name w:val="Parte Char"/>
    <w:basedOn w:val="Fuentedeprrafopredeter"/>
    <w:link w:val="Parte"/>
    <w:rsid w:val="00E775CA"/>
    <w:rPr>
      <w:rFonts w:cs="Arial"/>
      <w:b/>
      <w:sz w:val="44"/>
      <w:szCs w:val="24"/>
      <w:lang w:val="en-US" w:eastAsia="en-US" w:bidi="ar-SA"/>
    </w:rPr>
  </w:style>
  <w:style w:type="character" w:customStyle="1" w:styleId="Head02Char">
    <w:name w:val="Head 0.2 Char"/>
    <w:basedOn w:val="Fuentedeprrafopredeter"/>
    <w:link w:val="Head02"/>
    <w:rsid w:val="00A2703E"/>
    <w:rPr>
      <w:rFonts w:ascii="Times New Roman Bold" w:hAnsi="Times New Roman Bold"/>
      <w:b/>
      <w:smallCaps/>
      <w:sz w:val="36"/>
    </w:rPr>
  </w:style>
  <w:style w:type="table" w:customStyle="1" w:styleId="TableGridLight1">
    <w:name w:val="Table Grid Light1"/>
    <w:basedOn w:val="Tablanormal"/>
    <w:uiPriority w:val="40"/>
    <w:rsid w:val="00A2703E"/>
    <w:rPr>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ightPar7">
    <w:name w:val="Right Par[7]"/>
    <w:rsid w:val="00BE0C6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bidi="ar-SA"/>
    </w:rPr>
  </w:style>
  <w:style w:type="character" w:customStyle="1" w:styleId="Style1Char">
    <w:name w:val="Style1 Char"/>
    <w:link w:val="Style1"/>
    <w:locked/>
    <w:rsid w:val="006806CC"/>
    <w:rPr>
      <w:rFonts w:ascii="Times New Roman Bold" w:hAnsi="Times New Roman Bold"/>
      <w:b/>
      <w:bCs/>
      <w:smallCaps/>
      <w:sz w:val="28"/>
      <w:szCs w:val="24"/>
      <w:lang w:val="es-ES_tradnl"/>
    </w:rPr>
  </w:style>
  <w:style w:type="paragraph" w:customStyle="1" w:styleId="Style1">
    <w:name w:val="Style1"/>
    <w:basedOn w:val="Ttulo1"/>
    <w:link w:val="Style1Char"/>
    <w:qFormat/>
    <w:rsid w:val="006806CC"/>
    <w:pPr>
      <w:suppressAutoHyphens w:val="0"/>
      <w:spacing w:before="0" w:after="0"/>
      <w:ind w:right="907"/>
    </w:pPr>
    <w:rPr>
      <w:bCs/>
      <w:sz w:val="28"/>
      <w:szCs w:val="24"/>
      <w:lang w:val="es-ES_tradnl"/>
    </w:rPr>
  </w:style>
  <w:style w:type="paragraph" w:customStyle="1" w:styleId="Heading1a">
    <w:name w:val="Heading 1a"/>
    <w:rsid w:val="006806CC"/>
    <w:pPr>
      <w:keepNext/>
      <w:keepLines/>
      <w:tabs>
        <w:tab w:val="left" w:pos="-720"/>
      </w:tabs>
      <w:suppressAutoHyphens/>
      <w:jc w:val="center"/>
    </w:pPr>
    <w:rPr>
      <w:b/>
      <w:smallCaps/>
      <w:sz w:val="32"/>
      <w:szCs w:val="24"/>
      <w:lang w:val="en-US" w:eastAsia="en-US" w:bidi="ar-SA"/>
    </w:rPr>
  </w:style>
  <w:style w:type="paragraph" w:customStyle="1" w:styleId="Default">
    <w:name w:val="Default"/>
    <w:rsid w:val="004D56E0"/>
    <w:pPr>
      <w:autoSpaceDE w:val="0"/>
      <w:autoSpaceDN w:val="0"/>
      <w:adjustRightInd w:val="0"/>
    </w:pPr>
    <w:rPr>
      <w:color w:val="000000"/>
      <w:sz w:val="24"/>
      <w:szCs w:val="24"/>
      <w:lang w:val="es-EC" w:bidi="ar-SA"/>
    </w:rPr>
  </w:style>
  <w:style w:type="character" w:customStyle="1" w:styleId="Mencinsinresolver1">
    <w:name w:val="Mención sin resolver1"/>
    <w:basedOn w:val="Fuentedeprrafopredeter"/>
    <w:uiPriority w:val="99"/>
    <w:semiHidden/>
    <w:unhideWhenUsed/>
    <w:rsid w:val="002C3B1C"/>
    <w:rPr>
      <w:color w:val="605E5C"/>
      <w:shd w:val="clear" w:color="auto" w:fill="E1DFDD"/>
    </w:rPr>
  </w:style>
  <w:style w:type="character" w:customStyle="1" w:styleId="Ttulo1Car">
    <w:name w:val="Título 1 Car"/>
    <w:aliases w:val="Document Header1 Car,TITULO 1 Car"/>
    <w:link w:val="Ttulo1"/>
    <w:rsid w:val="00CA0A00"/>
    <w:rPr>
      <w:rFonts w:ascii="Times New Roman Bold" w:hAnsi="Times New Roman Bold"/>
      <w:b/>
      <w:smallCaps/>
      <w:sz w:val="36"/>
    </w:rPr>
  </w:style>
  <w:style w:type="character" w:customStyle="1" w:styleId="Ttulo4Car">
    <w:name w:val="Título 4 Car"/>
    <w:aliases w:val=" Sub-Clause Sub-paragraph Car,ClauseSubSub_No&amp;Name Car,Sub-Clause Sub-paragraph Car,Subsection Car,Heading4 Car,Kop 4 Car"/>
    <w:link w:val="Ttulo4"/>
    <w:rsid w:val="00CA0A00"/>
    <w:rPr>
      <w:b/>
      <w:sz w:val="24"/>
    </w:rPr>
  </w:style>
  <w:style w:type="character" w:customStyle="1" w:styleId="Ttulo5Car">
    <w:name w:val="Título 5 Car"/>
    <w:link w:val="Ttulo5"/>
    <w:rsid w:val="00CA0A00"/>
    <w:rPr>
      <w:b/>
      <w:sz w:val="24"/>
    </w:rPr>
  </w:style>
  <w:style w:type="character" w:customStyle="1" w:styleId="Ttulo6Car">
    <w:name w:val="Título 6 Car"/>
    <w:link w:val="Ttulo6"/>
    <w:rsid w:val="00CA0A00"/>
    <w:rPr>
      <w:rFonts w:ascii="Univers" w:hAnsi="Univers"/>
      <w:i/>
      <w:sz w:val="24"/>
    </w:rPr>
  </w:style>
  <w:style w:type="character" w:customStyle="1" w:styleId="Ttulo7Car">
    <w:name w:val="Título 7 Car"/>
    <w:link w:val="Ttulo7"/>
    <w:rsid w:val="00CA0A00"/>
    <w:rPr>
      <w:rFonts w:ascii="Univers" w:hAnsi="Univers"/>
    </w:rPr>
  </w:style>
  <w:style w:type="character" w:customStyle="1" w:styleId="Ttulo8Car">
    <w:name w:val="Título 8 Car"/>
    <w:link w:val="Ttulo8"/>
    <w:rsid w:val="00CA0A00"/>
    <w:rPr>
      <w:rFonts w:ascii="Univers" w:hAnsi="Univers"/>
      <w:i/>
    </w:rPr>
  </w:style>
  <w:style w:type="character" w:customStyle="1" w:styleId="Ttulo9Car">
    <w:name w:val="Título 9 Car"/>
    <w:link w:val="Ttulo9"/>
    <w:rsid w:val="00CA0A00"/>
    <w:rPr>
      <w:rFonts w:ascii="Univers" w:hAnsi="Univers"/>
      <w:i/>
      <w:sz w:val="18"/>
    </w:rPr>
  </w:style>
  <w:style w:type="character" w:customStyle="1" w:styleId="TextonotaalfinalCar">
    <w:name w:val="Texto nota al final Car"/>
    <w:link w:val="Textonotaalfinal"/>
    <w:semiHidden/>
    <w:rsid w:val="00CA0A00"/>
    <w:rPr>
      <w:sz w:val="24"/>
    </w:rPr>
  </w:style>
  <w:style w:type="character" w:customStyle="1" w:styleId="MapadeldocumentoCar">
    <w:name w:val="Mapa del documento Car"/>
    <w:link w:val="Mapadeldocumento"/>
    <w:semiHidden/>
    <w:rsid w:val="00CA0A00"/>
    <w:rPr>
      <w:rFonts w:ascii="Tahoma" w:hAnsi="Tahoma"/>
      <w:sz w:val="24"/>
      <w:shd w:val="clear" w:color="auto" w:fill="000080"/>
    </w:rPr>
  </w:style>
  <w:style w:type="character" w:customStyle="1" w:styleId="AsuntodelcomentarioCar">
    <w:name w:val="Asunto del comentario Car"/>
    <w:link w:val="Asuntodelcomentario"/>
    <w:semiHidden/>
    <w:rsid w:val="00CA0A00"/>
    <w:rPr>
      <w:b/>
      <w:bCs/>
    </w:rPr>
  </w:style>
  <w:style w:type="character" w:customStyle="1" w:styleId="TextodegloboCar">
    <w:name w:val="Texto de globo Car"/>
    <w:link w:val="Textodeglobo"/>
    <w:semiHidden/>
    <w:rsid w:val="00CA0A00"/>
    <w:rPr>
      <w:rFonts w:ascii="Tahoma" w:hAnsi="Tahoma" w:cs="Tahoma"/>
      <w:sz w:val="16"/>
      <w:szCs w:val="16"/>
    </w:rPr>
  </w:style>
  <w:style w:type="paragraph" w:customStyle="1" w:styleId="titulo4">
    <w:name w:val="titulo 4"/>
    <w:basedOn w:val="Ttulo3"/>
    <w:link w:val="titulo4Car"/>
    <w:qFormat/>
    <w:rsid w:val="00CA0A00"/>
    <w:pPr>
      <w:ind w:left="720" w:hanging="720"/>
      <w:jc w:val="left"/>
    </w:pPr>
    <w:rPr>
      <w:rFonts w:ascii="Arial" w:hAnsi="Arial"/>
      <w:sz w:val="22"/>
    </w:rPr>
  </w:style>
  <w:style w:type="character" w:customStyle="1" w:styleId="titulo4Car">
    <w:name w:val="titulo 4 Car"/>
    <w:basedOn w:val="Fuentedeprrafopredeter"/>
    <w:link w:val="titulo4"/>
    <w:rsid w:val="00CA0A00"/>
    <w:rPr>
      <w:rFonts w:ascii="Arial" w:hAnsi="Arial"/>
      <w:b/>
      <w:sz w:val="22"/>
    </w:rPr>
  </w:style>
  <w:style w:type="table" w:styleId="Tablaconcuadrculaclara">
    <w:name w:val="Grid Table Light"/>
    <w:basedOn w:val="Tablanormal"/>
    <w:uiPriority w:val="40"/>
    <w:rsid w:val="00CA0A00"/>
    <w:rPr>
      <w:rFonts w:ascii="Calibri" w:eastAsia="Calibri" w:hAnsi="Calibri"/>
      <w:sz w:val="24"/>
      <w:szCs w:val="24"/>
      <w:lang w:eastAsia="ja-JP"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Normal"/>
    <w:uiPriority w:val="99"/>
    <w:rsid w:val="00CA0A00"/>
    <w:pPr>
      <w:suppressAutoHyphens w:val="0"/>
      <w:spacing w:before="100" w:beforeAutospacing="1" w:after="100" w:afterAutospacing="1"/>
      <w:jc w:val="left"/>
    </w:pPr>
    <w:rPr>
      <w:szCs w:val="24"/>
      <w:lang w:val="es-EC" w:eastAsia="es-EC" w:bidi="ar-SA"/>
    </w:rPr>
  </w:style>
  <w:style w:type="paragraph" w:customStyle="1" w:styleId="TableParagraph">
    <w:name w:val="Table Paragraph"/>
    <w:basedOn w:val="Normal"/>
    <w:uiPriority w:val="1"/>
    <w:qFormat/>
    <w:rsid w:val="00CA0A00"/>
    <w:pPr>
      <w:widowControl w:val="0"/>
      <w:suppressAutoHyphens w:val="0"/>
      <w:autoSpaceDE w:val="0"/>
      <w:autoSpaceDN w:val="0"/>
      <w:spacing w:before="97" w:after="0"/>
      <w:jc w:val="left"/>
    </w:pPr>
    <w:rPr>
      <w:rFonts w:ascii="Calibri" w:eastAsia="Calibri" w:hAnsi="Calibri" w:cs="Calibri"/>
      <w:sz w:val="22"/>
      <w:szCs w:val="22"/>
    </w:rPr>
  </w:style>
  <w:style w:type="table" w:customStyle="1" w:styleId="NormalTable0">
    <w:name w:val="Normal Table0"/>
    <w:uiPriority w:val="2"/>
    <w:semiHidden/>
    <w:unhideWhenUsed/>
    <w:qFormat/>
    <w:rsid w:val="00CA0A00"/>
    <w:pPr>
      <w:widowControl w:val="0"/>
      <w:autoSpaceDE w:val="0"/>
      <w:autoSpaceDN w:val="0"/>
    </w:pPr>
    <w:rPr>
      <w:rFonts w:ascii="Calibri" w:eastAsia="Calibri" w:hAnsi="Calibri"/>
      <w:sz w:val="22"/>
      <w:szCs w:val="22"/>
      <w:lang w:val="en-US" w:eastAsia="en-US" w:bidi="ar-SA"/>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CA0A00"/>
    <w:rPr>
      <w:b/>
      <w:bCs/>
    </w:rPr>
  </w:style>
  <w:style w:type="paragraph" w:customStyle="1" w:styleId="ESTitle">
    <w:name w:val="ES Title"/>
    <w:basedOn w:val="NormalWeb"/>
    <w:qFormat/>
    <w:rsid w:val="00CA0A00"/>
    <w:pPr>
      <w:suppressAutoHyphens w:val="0"/>
      <w:kinsoku w:val="0"/>
      <w:overflowPunct w:val="0"/>
      <w:spacing w:before="120" w:beforeAutospacing="0" w:after="0" w:afterAutospacing="0"/>
      <w:jc w:val="left"/>
      <w:textAlignment w:val="baseline"/>
    </w:pPr>
    <w:rPr>
      <w:rFonts w:ascii="Arial" w:eastAsia="Times New Roman" w:hAnsi="Arial" w:cs="Times New Roman"/>
      <w:b/>
      <w:sz w:val="26"/>
      <w:szCs w:val="26"/>
      <w:lang w:val="es-419" w:eastAsia="es-EC" w:bidi="ar-SA"/>
    </w:rPr>
  </w:style>
  <w:style w:type="paragraph" w:customStyle="1" w:styleId="subtituloCDH">
    <w:name w:val="subtitulo CDH"/>
    <w:basedOn w:val="Normal"/>
    <w:link w:val="subtituloCDHCar"/>
    <w:qFormat/>
    <w:rsid w:val="00CA0A00"/>
    <w:pPr>
      <w:suppressAutoHyphens w:val="0"/>
      <w:spacing w:after="0"/>
      <w:ind w:left="1416" w:firstLine="708"/>
    </w:pPr>
    <w:rPr>
      <w:rFonts w:ascii="Calibri" w:hAnsi="Calibri" w:cs="Calibri"/>
      <w:color w:val="000000" w:themeColor="text1"/>
      <w:lang w:val="es-EC" w:eastAsia="es-EC" w:bidi="ar-SA"/>
    </w:rPr>
  </w:style>
  <w:style w:type="character" w:customStyle="1" w:styleId="subtituloCDHCar">
    <w:name w:val="subtitulo CDH Car"/>
    <w:basedOn w:val="Fuentedeprrafopredeter"/>
    <w:link w:val="subtituloCDH"/>
    <w:rsid w:val="00CA0A00"/>
    <w:rPr>
      <w:rFonts w:ascii="Calibri" w:hAnsi="Calibri" w:cs="Calibri"/>
      <w:color w:val="000000" w:themeColor="text1"/>
      <w:sz w:val="24"/>
      <w:lang w:val="es-EC" w:eastAsia="es-EC" w:bidi="ar-SA"/>
    </w:rPr>
  </w:style>
  <w:style w:type="paragraph" w:customStyle="1" w:styleId="Level1Letter">
    <w:name w:val="Level 1 Letter"/>
    <w:basedOn w:val="Normal"/>
    <w:link w:val="Level1LetterChar"/>
    <w:qFormat/>
    <w:rsid w:val="00CA0A0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ind w:left="1495" w:hanging="360"/>
    </w:pPr>
    <w:rPr>
      <w:rFonts w:ascii="Calibri" w:eastAsia="Calibri" w:hAnsi="Calibri" w:cs="Calibri"/>
      <w:szCs w:val="24"/>
      <w:lang w:val="es-419" w:eastAsia="en-US" w:bidi="ar-SA"/>
    </w:rPr>
  </w:style>
  <w:style w:type="character" w:customStyle="1" w:styleId="Level1LetterChar">
    <w:name w:val="Level 1 Letter Char"/>
    <w:basedOn w:val="Fuentedeprrafopredeter"/>
    <w:link w:val="Level1Letter"/>
    <w:rsid w:val="00CA0A00"/>
    <w:rPr>
      <w:rFonts w:ascii="Calibri" w:eastAsia="Calibri" w:hAnsi="Calibri" w:cs="Calibri"/>
      <w:sz w:val="24"/>
      <w:szCs w:val="24"/>
      <w:lang w:val="es-419" w:eastAsia="en-US" w:bidi="ar-SA"/>
    </w:rPr>
  </w:style>
  <w:style w:type="character" w:customStyle="1" w:styleId="Mencinsinresolver11">
    <w:name w:val="Mención sin resolver11"/>
    <w:basedOn w:val="Fuentedeprrafopredeter"/>
    <w:uiPriority w:val="99"/>
    <w:semiHidden/>
    <w:unhideWhenUsed/>
    <w:rsid w:val="00CA0A00"/>
    <w:rPr>
      <w:color w:val="605E5C"/>
      <w:shd w:val="clear" w:color="auto" w:fill="E1DFDD"/>
    </w:rPr>
  </w:style>
  <w:style w:type="paragraph" w:customStyle="1" w:styleId="BulletLevel2">
    <w:name w:val="Bullet Level 2"/>
    <w:basedOn w:val="Normal"/>
    <w:link w:val="BulletLevel2Char"/>
    <w:qFormat/>
    <w:rsid w:val="00CA0A00"/>
    <w:p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pPr>
    <w:rPr>
      <w:rFonts w:ascii="Calibri" w:eastAsia="Calibri" w:hAnsi="Calibri" w:cs="Calibri"/>
      <w:szCs w:val="24"/>
      <w:lang w:val="es-419" w:eastAsia="en-US" w:bidi="ar-SA"/>
    </w:rPr>
  </w:style>
  <w:style w:type="character" w:customStyle="1" w:styleId="BulletLevel2Char">
    <w:name w:val="Bullet Level 2 Char"/>
    <w:basedOn w:val="Fuentedeprrafopredeter"/>
    <w:link w:val="BulletLevel2"/>
    <w:rsid w:val="00CA0A00"/>
    <w:rPr>
      <w:rFonts w:ascii="Calibri" w:eastAsia="Calibri" w:hAnsi="Calibri" w:cs="Calibri"/>
      <w:sz w:val="24"/>
      <w:szCs w:val="24"/>
      <w:lang w:val="es-419" w:eastAsia="en-US" w:bidi="ar-SA"/>
    </w:rPr>
  </w:style>
  <w:style w:type="paragraph" w:styleId="Sinespaciado">
    <w:name w:val="No Spacing"/>
    <w:uiPriority w:val="1"/>
    <w:qFormat/>
    <w:rsid w:val="00CA0A00"/>
    <w:pPr>
      <w:suppressAutoHyphens/>
      <w:jc w:val="both"/>
    </w:pPr>
    <w:rPr>
      <w:sz w:val="24"/>
    </w:rPr>
  </w:style>
  <w:style w:type="paragraph" w:customStyle="1" w:styleId="EPRISubBulletedList2">
    <w:name w:val="EPRI Sub Bulleted List 2"/>
    <w:basedOn w:val="Normal"/>
    <w:rsid w:val="00CA0A00"/>
    <w:pPr>
      <w:tabs>
        <w:tab w:val="num" w:pos="1080"/>
      </w:tabs>
      <w:suppressAutoHyphens w:val="0"/>
      <w:ind w:left="1080" w:hanging="360"/>
      <w:jc w:val="left"/>
    </w:pPr>
    <w:rPr>
      <w:lang w:val="en-US" w:eastAsia="en-US" w:bidi="ar-SA"/>
    </w:rPr>
  </w:style>
  <w:style w:type="paragraph" w:customStyle="1" w:styleId="EPRINumberedList">
    <w:name w:val="EPRI Numbered List"/>
    <w:rsid w:val="00CA0A00"/>
    <w:pPr>
      <w:numPr>
        <w:numId w:val="209"/>
      </w:numPr>
      <w:spacing w:after="120" w:line="360" w:lineRule="auto"/>
      <w:jc w:val="both"/>
    </w:pPr>
    <w:rPr>
      <w:rFonts w:ascii="Calibri" w:eastAsia="Calibri" w:hAnsi="Calibri" w:cs="Calibri"/>
      <w:sz w:val="24"/>
      <w:szCs w:val="24"/>
      <w:lang w:val="es-419" w:eastAsia="es-EC" w:bidi="ar-SA"/>
    </w:rPr>
  </w:style>
  <w:style w:type="paragraph" w:customStyle="1" w:styleId="ESSubheading">
    <w:name w:val="ES Subheading"/>
    <w:basedOn w:val="Normal"/>
    <w:qFormat/>
    <w:rsid w:val="00CA0A00"/>
    <w:pPr>
      <w:tabs>
        <w:tab w:val="right" w:pos="10620"/>
      </w:tabs>
      <w:suppressAutoHyphens w:val="0"/>
      <w:spacing w:before="240" w:after="0"/>
      <w:ind w:right="274"/>
    </w:pPr>
    <w:rPr>
      <w:rFonts w:ascii="Arial" w:eastAsia="Calibri" w:hAnsi="Arial"/>
      <w:b/>
      <w:sz w:val="22"/>
      <w:szCs w:val="22"/>
      <w:lang w:val="en-US" w:eastAsia="en-US" w:bidi="ar-SA"/>
    </w:rPr>
  </w:style>
  <w:style w:type="paragraph" w:customStyle="1" w:styleId="BulletLevel1">
    <w:name w:val="Bullet Level 1"/>
    <w:basedOn w:val="Normal"/>
    <w:link w:val="BulletLevel1Char"/>
    <w:qFormat/>
    <w:rsid w:val="00CA0A00"/>
    <w:pPr>
      <w:numPr>
        <w:numId w:val="218"/>
      </w:numPr>
      <w:pBdr>
        <w:top w:val="none" w:sz="0" w:space="0" w:color="000000"/>
        <w:left w:val="none" w:sz="0" w:space="0" w:color="000000"/>
        <w:bottom w:val="none" w:sz="0" w:space="0" w:color="000000"/>
        <w:right w:val="none" w:sz="0" w:space="0" w:color="000000"/>
        <w:between w:val="none" w:sz="0" w:space="0" w:color="000000"/>
      </w:pBdr>
      <w:suppressAutoHyphens w:val="0"/>
      <w:spacing w:before="120" w:after="0" w:line="360" w:lineRule="auto"/>
    </w:pPr>
    <w:rPr>
      <w:rFonts w:ascii="Calibri" w:eastAsia="Calibri" w:hAnsi="Calibri" w:cs="Calibri"/>
      <w:szCs w:val="24"/>
      <w:lang w:val="es-419" w:eastAsia="en-US" w:bidi="ar-SA"/>
    </w:rPr>
  </w:style>
  <w:style w:type="character" w:customStyle="1" w:styleId="BulletLevel1Char">
    <w:name w:val="Bullet Level 1 Char"/>
    <w:link w:val="BulletLevel1"/>
    <w:rsid w:val="00CA0A00"/>
    <w:rPr>
      <w:rFonts w:ascii="Calibri" w:eastAsia="Calibri" w:hAnsi="Calibri" w:cs="Calibri"/>
      <w:sz w:val="24"/>
      <w:szCs w:val="24"/>
      <w:lang w:val="es-419" w:eastAsia="en-US" w:bidi="ar-SA"/>
    </w:rPr>
  </w:style>
  <w:style w:type="paragraph" w:customStyle="1" w:styleId="BulletLevel3">
    <w:name w:val="Bullet Level 3"/>
    <w:basedOn w:val="BulletLevel2"/>
    <w:link w:val="BulletLevel3Char"/>
    <w:qFormat/>
    <w:rsid w:val="00CA0A00"/>
    <w:pPr>
      <w:numPr>
        <w:ilvl w:val="2"/>
        <w:numId w:val="221"/>
      </w:numPr>
    </w:pPr>
  </w:style>
  <w:style w:type="character" w:customStyle="1" w:styleId="BulletLevel3Char">
    <w:name w:val="Bullet Level 3 Char"/>
    <w:link w:val="BulletLevel3"/>
    <w:rsid w:val="00CA0A00"/>
    <w:rPr>
      <w:rFonts w:ascii="Calibri" w:eastAsia="Calibri" w:hAnsi="Calibri" w:cs="Calibri"/>
      <w:sz w:val="24"/>
      <w:szCs w:val="24"/>
      <w:lang w:val="es-419" w:eastAsia="en-US" w:bidi="ar-SA"/>
    </w:rPr>
  </w:style>
  <w:style w:type="character" w:customStyle="1" w:styleId="Mencinsinresolver2">
    <w:name w:val="Mención sin resolver2"/>
    <w:basedOn w:val="Fuentedeprrafopredeter"/>
    <w:uiPriority w:val="99"/>
    <w:semiHidden/>
    <w:unhideWhenUsed/>
    <w:rsid w:val="00CA0A00"/>
    <w:rPr>
      <w:color w:val="605E5C"/>
      <w:shd w:val="clear" w:color="auto" w:fill="E1DFDD"/>
    </w:rPr>
  </w:style>
  <w:style w:type="paragraph" w:customStyle="1" w:styleId="titulo22">
    <w:name w:val="titulo 22"/>
    <w:basedOn w:val="Head5a2"/>
    <w:link w:val="titulo22Car"/>
    <w:qFormat/>
    <w:rsid w:val="00CA0A00"/>
    <w:pPr>
      <w:ind w:right="-360"/>
      <w:jc w:val="both"/>
    </w:pPr>
    <w:rPr>
      <w:rFonts w:ascii="Arial" w:hAnsi="Arial"/>
      <w:b w:val="0"/>
      <w:sz w:val="22"/>
    </w:rPr>
  </w:style>
  <w:style w:type="character" w:customStyle="1" w:styleId="titulo22Car">
    <w:name w:val="titulo 22 Car"/>
    <w:link w:val="titulo22"/>
    <w:rsid w:val="00CA0A00"/>
    <w:rPr>
      <w:rFonts w:ascii="Arial" w:hAnsi="Arial"/>
      <w:sz w:val="22"/>
    </w:rPr>
  </w:style>
  <w:style w:type="character" w:customStyle="1" w:styleId="xnormaltextrun">
    <w:name w:val="x_normaltextrun"/>
    <w:basedOn w:val="Fuentedeprrafopredeter"/>
    <w:rsid w:val="00CA0A00"/>
  </w:style>
  <w:style w:type="character" w:customStyle="1" w:styleId="xeop">
    <w:name w:val="x_eop"/>
    <w:basedOn w:val="Fuentedeprrafopredeter"/>
    <w:rsid w:val="00CA0A00"/>
  </w:style>
  <w:style w:type="paragraph" w:styleId="Cita">
    <w:name w:val="Quote"/>
    <w:basedOn w:val="Normal"/>
    <w:next w:val="Normal"/>
    <w:link w:val="CitaCar"/>
    <w:uiPriority w:val="29"/>
    <w:qFormat/>
    <w:rsid w:val="00CA0A0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A0A00"/>
    <w:rPr>
      <w:i/>
      <w:iCs/>
      <w:color w:val="404040" w:themeColor="text1" w:themeTint="BF"/>
      <w:sz w:val="24"/>
    </w:rPr>
  </w:style>
  <w:style w:type="paragraph" w:customStyle="1" w:styleId="paragraph">
    <w:name w:val="paragraph"/>
    <w:basedOn w:val="Normal"/>
    <w:rsid w:val="00CA0A00"/>
    <w:pPr>
      <w:suppressAutoHyphens w:val="0"/>
      <w:spacing w:before="100" w:beforeAutospacing="1" w:after="100" w:afterAutospacing="1"/>
      <w:jc w:val="left"/>
    </w:pPr>
    <w:rPr>
      <w:szCs w:val="24"/>
      <w:lang w:val="es-EC" w:eastAsia="es-EC" w:bidi="ar-SA"/>
    </w:rPr>
  </w:style>
  <w:style w:type="character" w:customStyle="1" w:styleId="normaltextrun">
    <w:name w:val="normaltextrun"/>
    <w:basedOn w:val="Fuentedeprrafopredeter"/>
    <w:rsid w:val="00CA0A00"/>
  </w:style>
  <w:style w:type="character" w:customStyle="1" w:styleId="eop">
    <w:name w:val="eop"/>
    <w:basedOn w:val="Fuentedeprrafopredeter"/>
    <w:rsid w:val="00CA0A00"/>
  </w:style>
  <w:style w:type="paragraph" w:customStyle="1" w:styleId="Bullets">
    <w:name w:val="Bullets"/>
    <w:basedOn w:val="Textoindependiente"/>
    <w:link w:val="BulletsChar"/>
    <w:qFormat/>
    <w:rsid w:val="00CA0A00"/>
    <w:pPr>
      <w:numPr>
        <w:numId w:val="396"/>
      </w:numPr>
      <w:spacing w:after="60"/>
      <w:jc w:val="left"/>
    </w:pPr>
    <w:rPr>
      <w:lang w:val="en-US" w:eastAsia="en-US"/>
    </w:rPr>
  </w:style>
  <w:style w:type="character" w:customStyle="1" w:styleId="BulletsChar">
    <w:name w:val="Bullets Char"/>
    <w:basedOn w:val="TextoindependienteCar"/>
    <w:link w:val="Bullets"/>
    <w:rsid w:val="00CA0A00"/>
    <w:rPr>
      <w:sz w:val="24"/>
      <w:lang w:val="en-US" w:eastAsia="en-US"/>
    </w:rPr>
  </w:style>
  <w:style w:type="numbering" w:customStyle="1" w:styleId="Sinlista1">
    <w:name w:val="Sin lista1"/>
    <w:next w:val="Sinlista"/>
    <w:uiPriority w:val="99"/>
    <w:semiHidden/>
    <w:unhideWhenUsed/>
    <w:rsid w:val="00B95484"/>
  </w:style>
  <w:style w:type="table" w:customStyle="1" w:styleId="Tablaconcuadrcula1">
    <w:name w:val="Tabla con cuadrícula1"/>
    <w:basedOn w:val="Tablanormal"/>
    <w:next w:val="Tablaconcuadrcula"/>
    <w:uiPriority w:val="59"/>
    <w:rsid w:val="00B9548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anormal"/>
    <w:uiPriority w:val="40"/>
    <w:rsid w:val="00B95484"/>
    <w:rPr>
      <w:lang w:val="en-US" w:eastAsia="ja-JP"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next w:val="Tablaconcuadrculaclara"/>
    <w:uiPriority w:val="40"/>
    <w:rsid w:val="00B95484"/>
    <w:rPr>
      <w:rFonts w:ascii="Calibri" w:eastAsia="Calibri" w:hAnsi="Calibri"/>
      <w:sz w:val="24"/>
      <w:szCs w:val="24"/>
      <w:lang w:eastAsia="ja-JP"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ormalTable01">
    <w:name w:val="Normal Table01"/>
    <w:uiPriority w:val="2"/>
    <w:semiHidden/>
    <w:unhideWhenUsed/>
    <w:qFormat/>
    <w:rsid w:val="00B95484"/>
    <w:pPr>
      <w:widowControl w:val="0"/>
      <w:autoSpaceDE w:val="0"/>
      <w:autoSpaceDN w:val="0"/>
    </w:pPr>
    <w:rPr>
      <w:rFonts w:ascii="Calibri" w:eastAsia="Calibri" w:hAnsi="Calibri"/>
      <w:sz w:val="22"/>
      <w:szCs w:val="22"/>
      <w:lang w:val="en-US" w:eastAsia="en-US" w:bidi="ar-SA"/>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B95484"/>
  </w:style>
  <w:style w:type="table" w:customStyle="1" w:styleId="Tablaconcuadrcula2">
    <w:name w:val="Tabla con cuadrícula2"/>
    <w:basedOn w:val="Tablanormal"/>
    <w:next w:val="Tablaconcuadrcula"/>
    <w:uiPriority w:val="59"/>
    <w:rsid w:val="00B9548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anormal"/>
    <w:uiPriority w:val="40"/>
    <w:rsid w:val="00B95484"/>
    <w:rPr>
      <w:lang w:val="en-US" w:eastAsia="ja-JP"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2">
    <w:name w:val="Tabla con cuadrícula clara2"/>
    <w:basedOn w:val="Tablanormal"/>
    <w:next w:val="Tablaconcuadrculaclara"/>
    <w:uiPriority w:val="40"/>
    <w:rsid w:val="00B95484"/>
    <w:rPr>
      <w:rFonts w:ascii="Calibri" w:eastAsia="Calibri" w:hAnsi="Calibri"/>
      <w:sz w:val="24"/>
      <w:szCs w:val="24"/>
      <w:lang w:eastAsia="ja-JP"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ormalTable02">
    <w:name w:val="Normal Table02"/>
    <w:uiPriority w:val="2"/>
    <w:semiHidden/>
    <w:unhideWhenUsed/>
    <w:qFormat/>
    <w:locked/>
    <w:rsid w:val="00B95484"/>
    <w:pPr>
      <w:widowControl w:val="0"/>
      <w:autoSpaceDE w:val="0"/>
      <w:autoSpaceDN w:val="0"/>
    </w:pPr>
    <w:rPr>
      <w:rFonts w:ascii="Calibri" w:eastAsia="Calibri" w:hAnsi="Calibri"/>
      <w:sz w:val="22"/>
      <w:szCs w:val="22"/>
      <w:lang w:val="en-US" w:eastAsia="en-US" w:bidi="ar-SA"/>
    </w:rPr>
    <w:tblPr>
      <w:tblInd w:w="0" w:type="dxa"/>
      <w:tblCellMar>
        <w:top w:w="0" w:type="dxa"/>
        <w:left w:w="0" w:type="dxa"/>
        <w:bottom w:w="0" w:type="dxa"/>
        <w:right w:w="0" w:type="dxa"/>
      </w:tblCellMar>
    </w:tblPr>
  </w:style>
  <w:style w:type="character" w:customStyle="1" w:styleId="UnresolvedMention1">
    <w:name w:val="Unresolved Mention1"/>
    <w:basedOn w:val="Fuentedeprrafopredeter"/>
    <w:uiPriority w:val="99"/>
    <w:semiHidden/>
    <w:unhideWhenUsed/>
    <w:rsid w:val="009A372B"/>
    <w:rPr>
      <w:color w:val="605E5C"/>
      <w:shd w:val="clear" w:color="auto" w:fill="E1DFDD"/>
    </w:rPr>
  </w:style>
  <w:style w:type="character" w:styleId="nfasis">
    <w:name w:val="Emphasis"/>
    <w:basedOn w:val="Fuentedeprrafopredeter"/>
    <w:uiPriority w:val="20"/>
    <w:qFormat/>
    <w:rsid w:val="00041E15"/>
    <w:rPr>
      <w:i/>
      <w:iCs/>
    </w:rPr>
  </w:style>
  <w:style w:type="paragraph" w:customStyle="1" w:styleId="xl63">
    <w:name w:val="xl63"/>
    <w:basedOn w:val="Normal"/>
    <w:uiPriority w:val="99"/>
    <w:semiHidden/>
    <w:rsid w:val="005348B9"/>
    <w:pPr>
      <w:suppressAutoHyphens w:val="0"/>
      <w:spacing w:before="100" w:beforeAutospacing="1" w:after="100" w:afterAutospacing="1"/>
      <w:jc w:val="center"/>
    </w:pPr>
    <w:rPr>
      <w:rFonts w:eastAsiaTheme="minorHAnsi"/>
      <w:szCs w:val="24"/>
      <w:lang w:val="es-EC" w:eastAsia="es-EC" w:bidi="ar-SA"/>
    </w:rPr>
  </w:style>
  <w:style w:type="paragraph" w:customStyle="1" w:styleId="xl64">
    <w:name w:val="xl64"/>
    <w:basedOn w:val="Normal"/>
    <w:uiPriority w:val="99"/>
    <w:semiHidden/>
    <w:rsid w:val="005348B9"/>
    <w:pPr>
      <w:suppressAutoHyphens w:val="0"/>
      <w:spacing w:before="100" w:beforeAutospacing="1" w:after="100" w:afterAutospacing="1"/>
      <w:jc w:val="left"/>
    </w:pPr>
    <w:rPr>
      <w:rFonts w:eastAsiaTheme="minorHAnsi"/>
      <w:szCs w:val="24"/>
      <w:lang w:val="es-EC" w:eastAsia="es-EC" w:bidi="ar-SA"/>
    </w:rPr>
  </w:style>
  <w:style w:type="character" w:customStyle="1" w:styleId="object">
    <w:name w:val="object"/>
    <w:basedOn w:val="Fuentedeprrafopredeter"/>
    <w:rsid w:val="005348B9"/>
  </w:style>
  <w:style w:type="character" w:customStyle="1" w:styleId="estilocorreo24">
    <w:name w:val="estilocorreo24"/>
    <w:basedOn w:val="Fuentedeprrafopredeter"/>
    <w:semiHidden/>
    <w:rsid w:val="005348B9"/>
    <w:rPr>
      <w:rFonts w:ascii="Calibri" w:hAnsi="Calibri" w:cs="Calibri" w:hint="default"/>
      <w:color w:val="auto"/>
    </w:rPr>
  </w:style>
  <w:style w:type="character" w:customStyle="1" w:styleId="estilocorreo25">
    <w:name w:val="estilocorreo25"/>
    <w:basedOn w:val="Fuentedeprrafopredeter"/>
    <w:semiHidden/>
    <w:rsid w:val="005348B9"/>
    <w:rPr>
      <w:rFonts w:ascii="Calibri" w:hAnsi="Calibri" w:cs="Calibri" w:hint="default"/>
      <w:color w:val="1F497D"/>
    </w:rPr>
  </w:style>
  <w:style w:type="character" w:customStyle="1" w:styleId="estilocorreo26">
    <w:name w:val="estilocorreo26"/>
    <w:basedOn w:val="Fuentedeprrafopredeter"/>
    <w:semiHidden/>
    <w:rsid w:val="005348B9"/>
    <w:rPr>
      <w:rFonts w:ascii="Calibri" w:hAnsi="Calibri" w:cs="Calibri" w:hint="default"/>
      <w:color w:val="1F497D"/>
    </w:rPr>
  </w:style>
  <w:style w:type="character" w:customStyle="1" w:styleId="estilocorreo27">
    <w:name w:val="estilocorreo27"/>
    <w:basedOn w:val="Fuentedeprrafopredeter"/>
    <w:semiHidden/>
    <w:rsid w:val="005348B9"/>
    <w:rPr>
      <w:rFonts w:ascii="Calibri" w:hAnsi="Calibri" w:cs="Calibri" w:hint="default"/>
      <w:color w:val="1F497D"/>
    </w:rPr>
  </w:style>
  <w:style w:type="character" w:customStyle="1" w:styleId="estilocorreo28">
    <w:name w:val="estilocorreo28"/>
    <w:basedOn w:val="Fuentedeprrafopredeter"/>
    <w:semiHidden/>
    <w:rsid w:val="005348B9"/>
    <w:rPr>
      <w:rFonts w:ascii="Calibri" w:hAnsi="Calibri" w:cs="Calibri" w:hint="default"/>
      <w:color w:val="1F497D"/>
    </w:rPr>
  </w:style>
  <w:style w:type="character" w:customStyle="1" w:styleId="estilocorreo29">
    <w:name w:val="estilocorreo29"/>
    <w:basedOn w:val="Fuentedeprrafopredeter"/>
    <w:semiHidden/>
    <w:rsid w:val="005348B9"/>
    <w:rPr>
      <w:rFonts w:ascii="Calibri" w:hAnsi="Calibri" w:cs="Calibri" w:hint="default"/>
      <w:color w:val="1F497D"/>
    </w:rPr>
  </w:style>
  <w:style w:type="character" w:customStyle="1" w:styleId="estilocorreo30">
    <w:name w:val="estilocorreo30"/>
    <w:basedOn w:val="Fuentedeprrafopredeter"/>
    <w:semiHidden/>
    <w:rsid w:val="005348B9"/>
    <w:rPr>
      <w:rFonts w:ascii="Calibri" w:hAnsi="Calibri" w:cs="Calibri" w:hint="default"/>
      <w:color w:val="1F497D"/>
    </w:rPr>
  </w:style>
  <w:style w:type="character" w:customStyle="1" w:styleId="estilocorreo31">
    <w:name w:val="estilocorreo31"/>
    <w:basedOn w:val="Fuentedeprrafopredeter"/>
    <w:semiHidden/>
    <w:rsid w:val="005348B9"/>
    <w:rPr>
      <w:rFonts w:ascii="Calibri" w:hAnsi="Calibri" w:cs="Calibri" w:hint="default"/>
      <w:color w:val="1F497D"/>
    </w:rPr>
  </w:style>
  <w:style w:type="character" w:customStyle="1" w:styleId="Mencinsinresolver3">
    <w:name w:val="Mención sin resolver3"/>
    <w:basedOn w:val="Fuentedeprrafopredeter"/>
    <w:uiPriority w:val="99"/>
    <w:semiHidden/>
    <w:unhideWhenUsed/>
    <w:rsid w:val="00543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472">
      <w:bodyDiv w:val="1"/>
      <w:marLeft w:val="0"/>
      <w:marRight w:val="0"/>
      <w:marTop w:val="0"/>
      <w:marBottom w:val="0"/>
      <w:divBdr>
        <w:top w:val="none" w:sz="0" w:space="0" w:color="auto"/>
        <w:left w:val="none" w:sz="0" w:space="0" w:color="auto"/>
        <w:bottom w:val="none" w:sz="0" w:space="0" w:color="auto"/>
        <w:right w:val="none" w:sz="0" w:space="0" w:color="auto"/>
      </w:divBdr>
    </w:div>
    <w:div w:id="132606078">
      <w:bodyDiv w:val="1"/>
      <w:marLeft w:val="0"/>
      <w:marRight w:val="0"/>
      <w:marTop w:val="0"/>
      <w:marBottom w:val="0"/>
      <w:divBdr>
        <w:top w:val="none" w:sz="0" w:space="0" w:color="auto"/>
        <w:left w:val="none" w:sz="0" w:space="0" w:color="auto"/>
        <w:bottom w:val="none" w:sz="0" w:space="0" w:color="auto"/>
        <w:right w:val="none" w:sz="0" w:space="0" w:color="auto"/>
      </w:divBdr>
    </w:div>
    <w:div w:id="171842858">
      <w:bodyDiv w:val="1"/>
      <w:marLeft w:val="0"/>
      <w:marRight w:val="0"/>
      <w:marTop w:val="0"/>
      <w:marBottom w:val="0"/>
      <w:divBdr>
        <w:top w:val="none" w:sz="0" w:space="0" w:color="auto"/>
        <w:left w:val="none" w:sz="0" w:space="0" w:color="auto"/>
        <w:bottom w:val="none" w:sz="0" w:space="0" w:color="auto"/>
        <w:right w:val="none" w:sz="0" w:space="0" w:color="auto"/>
      </w:divBdr>
    </w:div>
    <w:div w:id="251165371">
      <w:bodyDiv w:val="1"/>
      <w:marLeft w:val="0"/>
      <w:marRight w:val="0"/>
      <w:marTop w:val="0"/>
      <w:marBottom w:val="0"/>
      <w:divBdr>
        <w:top w:val="none" w:sz="0" w:space="0" w:color="auto"/>
        <w:left w:val="none" w:sz="0" w:space="0" w:color="auto"/>
        <w:bottom w:val="none" w:sz="0" w:space="0" w:color="auto"/>
        <w:right w:val="none" w:sz="0" w:space="0" w:color="auto"/>
      </w:divBdr>
    </w:div>
    <w:div w:id="338627465">
      <w:bodyDiv w:val="1"/>
      <w:marLeft w:val="0"/>
      <w:marRight w:val="0"/>
      <w:marTop w:val="0"/>
      <w:marBottom w:val="0"/>
      <w:divBdr>
        <w:top w:val="none" w:sz="0" w:space="0" w:color="auto"/>
        <w:left w:val="none" w:sz="0" w:space="0" w:color="auto"/>
        <w:bottom w:val="none" w:sz="0" w:space="0" w:color="auto"/>
        <w:right w:val="none" w:sz="0" w:space="0" w:color="auto"/>
      </w:divBdr>
    </w:div>
    <w:div w:id="347219990">
      <w:bodyDiv w:val="1"/>
      <w:marLeft w:val="0"/>
      <w:marRight w:val="0"/>
      <w:marTop w:val="0"/>
      <w:marBottom w:val="0"/>
      <w:divBdr>
        <w:top w:val="none" w:sz="0" w:space="0" w:color="auto"/>
        <w:left w:val="none" w:sz="0" w:space="0" w:color="auto"/>
        <w:bottom w:val="none" w:sz="0" w:space="0" w:color="auto"/>
        <w:right w:val="none" w:sz="0" w:space="0" w:color="auto"/>
      </w:divBdr>
    </w:div>
    <w:div w:id="449475085">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668630555">
      <w:bodyDiv w:val="1"/>
      <w:marLeft w:val="0"/>
      <w:marRight w:val="0"/>
      <w:marTop w:val="0"/>
      <w:marBottom w:val="0"/>
      <w:divBdr>
        <w:top w:val="none" w:sz="0" w:space="0" w:color="auto"/>
        <w:left w:val="none" w:sz="0" w:space="0" w:color="auto"/>
        <w:bottom w:val="none" w:sz="0" w:space="0" w:color="auto"/>
        <w:right w:val="none" w:sz="0" w:space="0" w:color="auto"/>
      </w:divBdr>
    </w:div>
    <w:div w:id="856384159">
      <w:bodyDiv w:val="1"/>
      <w:marLeft w:val="0"/>
      <w:marRight w:val="0"/>
      <w:marTop w:val="0"/>
      <w:marBottom w:val="0"/>
      <w:divBdr>
        <w:top w:val="none" w:sz="0" w:space="0" w:color="auto"/>
        <w:left w:val="none" w:sz="0" w:space="0" w:color="auto"/>
        <w:bottom w:val="none" w:sz="0" w:space="0" w:color="auto"/>
        <w:right w:val="none" w:sz="0" w:space="0" w:color="auto"/>
      </w:divBdr>
    </w:div>
    <w:div w:id="869490108">
      <w:bodyDiv w:val="1"/>
      <w:marLeft w:val="0"/>
      <w:marRight w:val="0"/>
      <w:marTop w:val="0"/>
      <w:marBottom w:val="0"/>
      <w:divBdr>
        <w:top w:val="none" w:sz="0" w:space="0" w:color="auto"/>
        <w:left w:val="none" w:sz="0" w:space="0" w:color="auto"/>
        <w:bottom w:val="none" w:sz="0" w:space="0" w:color="auto"/>
        <w:right w:val="none" w:sz="0" w:space="0" w:color="auto"/>
      </w:divBdr>
    </w:div>
    <w:div w:id="975836312">
      <w:bodyDiv w:val="1"/>
      <w:marLeft w:val="0"/>
      <w:marRight w:val="0"/>
      <w:marTop w:val="0"/>
      <w:marBottom w:val="0"/>
      <w:divBdr>
        <w:top w:val="none" w:sz="0" w:space="0" w:color="auto"/>
        <w:left w:val="none" w:sz="0" w:space="0" w:color="auto"/>
        <w:bottom w:val="none" w:sz="0" w:space="0" w:color="auto"/>
        <w:right w:val="none" w:sz="0" w:space="0" w:color="auto"/>
      </w:divBdr>
    </w:div>
    <w:div w:id="1055474586">
      <w:bodyDiv w:val="1"/>
      <w:marLeft w:val="0"/>
      <w:marRight w:val="0"/>
      <w:marTop w:val="0"/>
      <w:marBottom w:val="0"/>
      <w:divBdr>
        <w:top w:val="none" w:sz="0" w:space="0" w:color="auto"/>
        <w:left w:val="none" w:sz="0" w:space="0" w:color="auto"/>
        <w:bottom w:val="none" w:sz="0" w:space="0" w:color="auto"/>
        <w:right w:val="none" w:sz="0" w:space="0" w:color="auto"/>
      </w:divBdr>
    </w:div>
    <w:div w:id="1211962877">
      <w:bodyDiv w:val="1"/>
      <w:marLeft w:val="0"/>
      <w:marRight w:val="0"/>
      <w:marTop w:val="0"/>
      <w:marBottom w:val="0"/>
      <w:divBdr>
        <w:top w:val="none" w:sz="0" w:space="0" w:color="auto"/>
        <w:left w:val="none" w:sz="0" w:space="0" w:color="auto"/>
        <w:bottom w:val="none" w:sz="0" w:space="0" w:color="auto"/>
        <w:right w:val="none" w:sz="0" w:space="0" w:color="auto"/>
      </w:divBdr>
    </w:div>
    <w:div w:id="1396512839">
      <w:bodyDiv w:val="1"/>
      <w:marLeft w:val="0"/>
      <w:marRight w:val="0"/>
      <w:marTop w:val="0"/>
      <w:marBottom w:val="0"/>
      <w:divBdr>
        <w:top w:val="none" w:sz="0" w:space="0" w:color="auto"/>
        <w:left w:val="none" w:sz="0" w:space="0" w:color="auto"/>
        <w:bottom w:val="none" w:sz="0" w:space="0" w:color="auto"/>
        <w:right w:val="none" w:sz="0" w:space="0" w:color="auto"/>
      </w:divBdr>
    </w:div>
    <w:div w:id="1584335832">
      <w:bodyDiv w:val="1"/>
      <w:marLeft w:val="0"/>
      <w:marRight w:val="0"/>
      <w:marTop w:val="0"/>
      <w:marBottom w:val="0"/>
      <w:divBdr>
        <w:top w:val="none" w:sz="0" w:space="0" w:color="auto"/>
        <w:left w:val="none" w:sz="0" w:space="0" w:color="auto"/>
        <w:bottom w:val="none" w:sz="0" w:space="0" w:color="auto"/>
        <w:right w:val="none" w:sz="0" w:space="0" w:color="auto"/>
      </w:divBdr>
    </w:div>
    <w:div w:id="1919434191">
      <w:bodyDiv w:val="1"/>
      <w:marLeft w:val="0"/>
      <w:marRight w:val="0"/>
      <w:marTop w:val="0"/>
      <w:marBottom w:val="0"/>
      <w:divBdr>
        <w:top w:val="none" w:sz="0" w:space="0" w:color="auto"/>
        <w:left w:val="none" w:sz="0" w:space="0" w:color="auto"/>
        <w:bottom w:val="none" w:sz="0" w:space="0" w:color="auto"/>
        <w:right w:val="none" w:sz="0" w:space="0" w:color="auto"/>
      </w:divBdr>
    </w:div>
    <w:div w:id="2014795226">
      <w:bodyDiv w:val="1"/>
      <w:marLeft w:val="0"/>
      <w:marRight w:val="0"/>
      <w:marTop w:val="0"/>
      <w:marBottom w:val="0"/>
      <w:divBdr>
        <w:top w:val="none" w:sz="0" w:space="0" w:color="auto"/>
        <w:left w:val="none" w:sz="0" w:space="0" w:color="auto"/>
        <w:bottom w:val="none" w:sz="0" w:space="0" w:color="auto"/>
        <w:right w:val="none" w:sz="0" w:space="0" w:color="auto"/>
      </w:divBdr>
    </w:div>
    <w:div w:id="2095007392">
      <w:bodyDiv w:val="1"/>
      <w:marLeft w:val="0"/>
      <w:marRight w:val="0"/>
      <w:marTop w:val="0"/>
      <w:marBottom w:val="0"/>
      <w:divBdr>
        <w:top w:val="none" w:sz="0" w:space="0" w:color="auto"/>
        <w:left w:val="none" w:sz="0" w:space="0" w:color="auto"/>
        <w:bottom w:val="none" w:sz="0" w:space="0" w:color="auto"/>
        <w:right w:val="none" w:sz="0" w:space="0" w:color="auto"/>
      </w:divBdr>
    </w:div>
    <w:div w:id="210164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2.xml"/><Relationship Id="rId68" Type="http://schemas.openxmlformats.org/officeDocument/2006/relationships/header" Target="header37.xml"/><Relationship Id="rId16" Type="http://schemas.openxmlformats.org/officeDocument/2006/relationships/header" Target="header4.xml"/><Relationship Id="rId11" Type="http://schemas.openxmlformats.org/officeDocument/2006/relationships/footnotes" Target="footnotes.xml"/><Relationship Id="rId32" Type="http://schemas.openxmlformats.org/officeDocument/2006/relationships/image" Target="media/image5.wmf"/><Relationship Id="rId37" Type="http://schemas.openxmlformats.org/officeDocument/2006/relationships/header" Target="header13.xml"/><Relationship Id="rId53" Type="http://schemas.openxmlformats.org/officeDocument/2006/relationships/image" Target="media/image8.png"/><Relationship Id="rId58" Type="http://schemas.openxmlformats.org/officeDocument/2006/relationships/header" Target="header28.xml"/><Relationship Id="rId74" Type="http://schemas.openxmlformats.org/officeDocument/2006/relationships/header" Target="header43.xml"/><Relationship Id="rId79" Type="http://schemas.openxmlformats.org/officeDocument/2006/relationships/header" Target="header48.xml"/><Relationship Id="rId5" Type="http://schemas.openxmlformats.org/officeDocument/2006/relationships/customXml" Target="../customXml/item5.xml"/><Relationship Id="rId61" Type="http://schemas.openxmlformats.org/officeDocument/2006/relationships/header" Target="header30.xml"/><Relationship Id="rId82" Type="http://schemas.openxmlformats.org/officeDocument/2006/relationships/theme" Target="theme/theme1.xml"/><Relationship Id="rId19" Type="http://schemas.openxmlformats.org/officeDocument/2006/relationships/hyperlink" Target="http://www.iadb.org/integrity" TargetMode="Externa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oleObject" Target="embeddings/oleObject2.bin"/><Relationship Id="rId30" Type="http://schemas.openxmlformats.org/officeDocument/2006/relationships/image" Target="media/image4.wmf"/><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27.xml"/><Relationship Id="rId64" Type="http://schemas.openxmlformats.org/officeDocument/2006/relationships/header" Target="header33.xml"/><Relationship Id="rId69" Type="http://schemas.openxmlformats.org/officeDocument/2006/relationships/header" Target="header38.xml"/><Relationship Id="rId77" Type="http://schemas.openxmlformats.org/officeDocument/2006/relationships/header" Target="header46.xml"/><Relationship Id="rId8" Type="http://schemas.openxmlformats.org/officeDocument/2006/relationships/styles" Target="styles.xml"/><Relationship Id="rId51" Type="http://schemas.openxmlformats.org/officeDocument/2006/relationships/image" Target="media/image6.gif"/><Relationship Id="rId72" Type="http://schemas.openxmlformats.org/officeDocument/2006/relationships/header" Target="header41.xml"/><Relationship Id="rId80" Type="http://schemas.openxmlformats.org/officeDocument/2006/relationships/header" Target="header49.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footer" Target="footer2.xml"/><Relationship Id="rId67" Type="http://schemas.openxmlformats.org/officeDocument/2006/relationships/header" Target="header36.xml"/><Relationship Id="rId20" Type="http://schemas.openxmlformats.org/officeDocument/2006/relationships/hyperlink" Target="mailto:licitacionems@energiayminas.gob.ec" TargetMode="External"/><Relationship Id="rId41" Type="http://schemas.openxmlformats.org/officeDocument/2006/relationships/header" Target="header17.xml"/><Relationship Id="rId54" Type="http://schemas.openxmlformats.org/officeDocument/2006/relationships/image" Target="media/image9.jpeg"/><Relationship Id="rId62" Type="http://schemas.openxmlformats.org/officeDocument/2006/relationships/header" Target="header31.xml"/><Relationship Id="rId70" Type="http://schemas.openxmlformats.org/officeDocument/2006/relationships/header" Target="header39.xml"/><Relationship Id="rId75" Type="http://schemas.openxmlformats.org/officeDocument/2006/relationships/header" Target="header44.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3.wmf"/><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header" Target="header20.xml"/><Relationship Id="rId52" Type="http://schemas.openxmlformats.org/officeDocument/2006/relationships/image" Target="media/image7.png"/><Relationship Id="rId60" Type="http://schemas.openxmlformats.org/officeDocument/2006/relationships/header" Target="header29.xml"/><Relationship Id="rId65" Type="http://schemas.openxmlformats.org/officeDocument/2006/relationships/header" Target="header34.xml"/><Relationship Id="rId73" Type="http://schemas.openxmlformats.org/officeDocument/2006/relationships/header" Target="header42.xml"/><Relationship Id="rId78" Type="http://schemas.openxmlformats.org/officeDocument/2006/relationships/header" Target="header4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header" Target="header26.xml"/><Relationship Id="rId55" Type="http://schemas.openxmlformats.org/officeDocument/2006/relationships/image" Target="media/image10.jpeg"/><Relationship Id="rId76" Type="http://schemas.openxmlformats.org/officeDocument/2006/relationships/header" Target="header45.xml"/><Relationship Id="rId7" Type="http://schemas.openxmlformats.org/officeDocument/2006/relationships/numbering" Target="numbering.xml"/><Relationship Id="rId71"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1.wmf"/><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header" Target="header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ae61f9b1-e23d-4f49-b3d7-56b991556c4b" ContentTypeId="0x010100ACF722E9F6B0B149B0CD8BE2560A6672" PreviousValue="false"/>
</file>

<file path=customXml/item3.xml><?xml version="1.0" encoding="utf-8"?>
<ct:contentTypeSchema xmlns:ct="http://schemas.microsoft.com/office/2006/metadata/contentType" xmlns:ma="http://schemas.microsoft.com/office/2006/metadata/properties/metaAttributes" ct:_="" ma:_="" ma:contentTypeName="ez-Operations" ma:contentTypeID="0x010100ACF722E9F6B0B149B0CD8BE2560A667200E133A5F66C1B05478877698D73AD108A" ma:contentTypeVersion="10475" ma:contentTypeDescription="The base project type from which other project content types inherit their information." ma:contentTypeScope="" ma:versionID="e1b82cf9ef81bccf887faf4d3f6956ad">
  <xsd:schema xmlns:xsd="http://www.w3.org/2001/XMLSchema" xmlns:xs="http://www.w3.org/2001/XMLSchema" xmlns:p="http://schemas.microsoft.com/office/2006/metadata/properties" xmlns:ns2="cdc7663a-08f0-4737-9e8c-148ce897a09c" xmlns:ns3="6430b01c-0b9d-432a-b0dd-06b9282248cc" targetNamespace="http://schemas.microsoft.com/office/2006/metadata/properties" ma:root="true" ma:fieldsID="7edec09e13860e6decd9db899241b302" ns2:_="" ns3:_="">
    <xsd:import namespace="cdc7663a-08f0-4737-9e8c-148ce897a09c"/>
    <xsd:import namespace="6430b01c-0b9d-432a-b0dd-06b9282248c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EC-L1257"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30b01c-0b9d-432a-b0dd-06b9282248cc" elementFormDefault="qualified">
    <xsd:import namespace="http://schemas.microsoft.com/office/2006/documentManagement/types"/>
    <xsd:import namespace="http://schemas.microsoft.com/office/infopath/2007/PartnerControls"/>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Urls xmlns="http://schemas.microsoft.com/sharepoint/v3/contenttype/forms/url">
  <Display>_catalogs/masterpage/ECMForms/OperationsCT/View.aspx</Display>
  <Edit>_catalogs/masterpage/ECMForms/OperationsCT/Edit.aspx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Ecuador</TermName>
          <TermId xmlns="http://schemas.microsoft.com/office/infopath/2007/PartnerControls">8f163189-00fa-4e7c-827d-28fb5798781c</TermId>
        </TermInfo>
      </Terms>
    </ic46d7e087fd4a108fb86518ca413cc6>
    <IDBDocs_x0020_Number xmlns="cdc7663a-08f0-4737-9e8c-148ce897a09c" xsi:nil="true"/>
    <Division_x0020_or_x0020_Unit xmlns="cdc7663a-08f0-4737-9e8c-148ce897a09c" xsi:nil="true"/>
    <From_x003a_ xmlns="cdc7663a-08f0-4737-9e8c-148ce897a09c" xsi:nil="true"/>
    <Fiscal_x0020_Year_x0020_IDB xmlns="cdc7663a-08f0-4737-9e8c-148ce897a09c">2024</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4989/OC-EC</Approval_x0020_Number>
    <Phase xmlns="cdc7663a-08f0-4737-9e8c-148ce897a09c">PHASE_IMPLEMENTATION</Phase>
    <Document_x0020_Author xmlns="cdc7663a-08f0-4737-9e8c-148ce897a09c" xsi:nil="true"/>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NEW OIL AND GAS AND EXTRACTIVE INDUSTRIES</TermName>
          <TermId xmlns="http://schemas.microsoft.com/office/infopath/2007/PartnerControls">bcc83a9b-50a8-4d09-8319-26ca493c6afc</TermId>
        </TermInfo>
      </Terms>
    </b2ec7cfb18674cb8803df6b262e8b107>
    <Business_x0020_Area xmlns="cdc7663a-08f0-4737-9e8c-148ce897a09c">Bussiness Area SGP</Business_x0020_Area>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50</Value>
      <Value>32</Value>
      <Value>30</Value>
      <Value>8</Value>
      <Value>121</Value>
    </TaxCatchAll>
    <Operation_x0020_Type xmlns="cdc7663a-08f0-4737-9e8c-148ce897a09c">LON</Operation_x0020_Type>
    <Package_x0020_Code xmlns="cdc7663a-08f0-4737-9e8c-148ce897a09c" xsi:nil="true"/>
    <To_x003a_ xmlns="cdc7663a-08f0-4737-9e8c-148ce897a09c" xsi:nil="true"/>
    <Identifier xmlns="cdc7663a-08f0-4737-9e8c-148ce897a09c" xsi:nil="true"/>
    <Project_x0020_Number xmlns="cdc7663a-08f0-4737-9e8c-148ce897a09c">EC-L1257</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 xsi:nil="true"/>
    <Transaction_x0020_Number xmlns="cdc7663a-08f0-4737-9e8c-148ce897a09c" xsi:nil="true"/>
    <Extracted_x0020_Keywords xmlns="cdc7663a-08f0-4737-9e8c-148ce897a09c">
      <Value>caso</Value>
      <Value>información</Value>
      <Value>Comprador</Value>
      <Value>ejecución</Value>
      <Value>Proveedor</Value>
      <Value>datos</Value>
      <Value>parte</Value>
      <Value>conformidad</Value>
      <Value>manera</Value>
      <Value>período</Value>
      <Value>ejemplo</Value>
      <Value>fecha</Value>
      <Value>base</Value>
      <Value>Contrato</Value>
      <Value>equipos</Value>
      <Value>operación</Value>
      <Value>aplicación</Value>
      <Value>configuración</Value>
      <Value>proceso</Value>
      <Value>uso</Value>
      <Value>tiempo real</Value>
      <Value>momento</Value>
      <Value>aplicaciones</Value>
      <Value>software</Value>
      <Value>función</Value>
    </Extracted_x0020_Keywords>
    <Approval_x0020_date xmlns="cdc7663a-08f0-4737-9e8c-148ce897a09c" xsi:nil="true"/>
    <_dlc_DocId xmlns="cdc7663a-08f0-4737-9e8c-148ce897a09c">EZIDB0000233-449796562-2123</_dlc_DocId>
    <_dlc_DocIdUrl xmlns="cdc7663a-08f0-4737-9e8c-148ce897a09c">
      <Url>https://idbg.sharepoint.com/teams/EZ-EC-LON/EC-L1257/_layouts/15/DocIdRedir.aspx?ID=EZIDB0000233-449796562-2123</Url>
      <Description>EZIDB0000233-449796562-2123</Description>
    </_dlc_DocIdUrl>
  </documentManagement>
</p:properties>
</file>

<file path=customXml/itemProps1.xml><?xml version="1.0" encoding="utf-8"?>
<ds:datastoreItem xmlns:ds="http://schemas.openxmlformats.org/officeDocument/2006/customXml" ds:itemID="{0FEFC16A-4BF5-49FB-974B-8A678744A264}">
  <ds:schemaRefs>
    <ds:schemaRef ds:uri="http://schemas.microsoft.com/sharepoint/events"/>
  </ds:schemaRefs>
</ds:datastoreItem>
</file>

<file path=customXml/itemProps2.xml><?xml version="1.0" encoding="utf-8"?>
<ds:datastoreItem xmlns:ds="http://schemas.openxmlformats.org/officeDocument/2006/customXml" ds:itemID="{D1BFFAED-8AAC-4A1F-A7FF-855D7239D456}">
  <ds:schemaRefs>
    <ds:schemaRef ds:uri="Microsoft.SharePoint.Taxonomy.ContentTypeSync"/>
  </ds:schemaRefs>
</ds:datastoreItem>
</file>

<file path=customXml/itemProps3.xml><?xml version="1.0" encoding="utf-8"?>
<ds:datastoreItem xmlns:ds="http://schemas.openxmlformats.org/officeDocument/2006/customXml" ds:itemID="{7FB49803-12D2-4D12-B395-0B5B8F304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6430b01c-0b9d-432a-b0dd-06b928224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A8675E-2D48-46AC-8114-F006A7B7C2C3}">
  <ds:schemaRefs>
    <ds:schemaRef ds:uri="http://schemas.microsoft.com/sharepoint/v3/contenttype/forms"/>
  </ds:schemaRefs>
</ds:datastoreItem>
</file>

<file path=customXml/itemProps5.xml><?xml version="1.0" encoding="utf-8"?>
<ds:datastoreItem xmlns:ds="http://schemas.openxmlformats.org/officeDocument/2006/customXml" ds:itemID="{F0814DA3-B4B7-4168-A517-B7CAE220B095}">
  <ds:schemaRefs>
    <ds:schemaRef ds:uri="http://schemas.microsoft.com/sharepoint/v3/contenttype/forms/url"/>
  </ds:schemaRefs>
</ds:datastoreItem>
</file>

<file path=customXml/itemProps6.xml><?xml version="1.0" encoding="utf-8"?>
<ds:datastoreItem xmlns:ds="http://schemas.openxmlformats.org/officeDocument/2006/customXml" ds:itemID="{7DD3D698-C2EC-4C0C-AD74-BD8F3F8BF7D3}">
  <ds:schemaRefs>
    <ds:schemaRef ds:uri="http://schemas.microsoft.com/office/2006/metadata/properties"/>
    <ds:schemaRef ds:uri="http://schemas.microsoft.com/office/infopath/2007/PartnerControls"/>
    <ds:schemaRef ds:uri="cdc7663a-08f0-4737-9e8c-148ce897a09c"/>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571</Pages>
  <Words>176326</Words>
  <Characters>969799</Characters>
  <Application>Microsoft Office Word</Application>
  <DocSecurity>0</DocSecurity>
  <Lines>8081</Lines>
  <Paragraphs>2287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Sistemas Informáticos</vt:lpstr>
    </vt:vector>
  </TitlesOfParts>
  <Manager>María Eugenia Roca, Asesora Técnica de Adquisiciones</Manager>
  <Company>Inter-American Development Bank</Company>
  <LinksUpToDate>false</LinksUpToDate>
  <CharactersWithSpaces>1143838</CharactersWithSpaces>
  <SharedDoc>false</SharedDoc>
  <HyperlinkBase/>
  <HLinks>
    <vt:vector size="2058" baseType="variant">
      <vt:variant>
        <vt:i4>1114174</vt:i4>
      </vt:variant>
      <vt:variant>
        <vt:i4>2075</vt:i4>
      </vt:variant>
      <vt:variant>
        <vt:i4>0</vt:i4>
      </vt:variant>
      <vt:variant>
        <vt:i4>5</vt:i4>
      </vt:variant>
      <vt:variant>
        <vt:lpwstr/>
      </vt:variant>
      <vt:variant>
        <vt:lpwstr>_Toc237436871</vt:lpwstr>
      </vt:variant>
      <vt:variant>
        <vt:i4>1114174</vt:i4>
      </vt:variant>
      <vt:variant>
        <vt:i4>2069</vt:i4>
      </vt:variant>
      <vt:variant>
        <vt:i4>0</vt:i4>
      </vt:variant>
      <vt:variant>
        <vt:i4>5</vt:i4>
      </vt:variant>
      <vt:variant>
        <vt:lpwstr/>
      </vt:variant>
      <vt:variant>
        <vt:lpwstr>_Toc237436870</vt:lpwstr>
      </vt:variant>
      <vt:variant>
        <vt:i4>1048638</vt:i4>
      </vt:variant>
      <vt:variant>
        <vt:i4>2063</vt:i4>
      </vt:variant>
      <vt:variant>
        <vt:i4>0</vt:i4>
      </vt:variant>
      <vt:variant>
        <vt:i4>5</vt:i4>
      </vt:variant>
      <vt:variant>
        <vt:lpwstr/>
      </vt:variant>
      <vt:variant>
        <vt:lpwstr>_Toc237436869</vt:lpwstr>
      </vt:variant>
      <vt:variant>
        <vt:i4>1048638</vt:i4>
      </vt:variant>
      <vt:variant>
        <vt:i4>2057</vt:i4>
      </vt:variant>
      <vt:variant>
        <vt:i4>0</vt:i4>
      </vt:variant>
      <vt:variant>
        <vt:i4>5</vt:i4>
      </vt:variant>
      <vt:variant>
        <vt:lpwstr/>
      </vt:variant>
      <vt:variant>
        <vt:lpwstr>_Toc237436868</vt:lpwstr>
      </vt:variant>
      <vt:variant>
        <vt:i4>1048638</vt:i4>
      </vt:variant>
      <vt:variant>
        <vt:i4>2051</vt:i4>
      </vt:variant>
      <vt:variant>
        <vt:i4>0</vt:i4>
      </vt:variant>
      <vt:variant>
        <vt:i4>5</vt:i4>
      </vt:variant>
      <vt:variant>
        <vt:lpwstr/>
      </vt:variant>
      <vt:variant>
        <vt:lpwstr>_Toc237436867</vt:lpwstr>
      </vt:variant>
      <vt:variant>
        <vt:i4>1048638</vt:i4>
      </vt:variant>
      <vt:variant>
        <vt:i4>2045</vt:i4>
      </vt:variant>
      <vt:variant>
        <vt:i4>0</vt:i4>
      </vt:variant>
      <vt:variant>
        <vt:i4>5</vt:i4>
      </vt:variant>
      <vt:variant>
        <vt:lpwstr/>
      </vt:variant>
      <vt:variant>
        <vt:lpwstr>_Toc237436866</vt:lpwstr>
      </vt:variant>
      <vt:variant>
        <vt:i4>1048638</vt:i4>
      </vt:variant>
      <vt:variant>
        <vt:i4>2039</vt:i4>
      </vt:variant>
      <vt:variant>
        <vt:i4>0</vt:i4>
      </vt:variant>
      <vt:variant>
        <vt:i4>5</vt:i4>
      </vt:variant>
      <vt:variant>
        <vt:lpwstr/>
      </vt:variant>
      <vt:variant>
        <vt:lpwstr>_Toc237436865</vt:lpwstr>
      </vt:variant>
      <vt:variant>
        <vt:i4>1048638</vt:i4>
      </vt:variant>
      <vt:variant>
        <vt:i4>2033</vt:i4>
      </vt:variant>
      <vt:variant>
        <vt:i4>0</vt:i4>
      </vt:variant>
      <vt:variant>
        <vt:i4>5</vt:i4>
      </vt:variant>
      <vt:variant>
        <vt:lpwstr/>
      </vt:variant>
      <vt:variant>
        <vt:lpwstr>_Toc237436864</vt:lpwstr>
      </vt:variant>
      <vt:variant>
        <vt:i4>1048638</vt:i4>
      </vt:variant>
      <vt:variant>
        <vt:i4>2027</vt:i4>
      </vt:variant>
      <vt:variant>
        <vt:i4>0</vt:i4>
      </vt:variant>
      <vt:variant>
        <vt:i4>5</vt:i4>
      </vt:variant>
      <vt:variant>
        <vt:lpwstr/>
      </vt:variant>
      <vt:variant>
        <vt:lpwstr>_Toc237436863</vt:lpwstr>
      </vt:variant>
      <vt:variant>
        <vt:i4>1048638</vt:i4>
      </vt:variant>
      <vt:variant>
        <vt:i4>2021</vt:i4>
      </vt:variant>
      <vt:variant>
        <vt:i4>0</vt:i4>
      </vt:variant>
      <vt:variant>
        <vt:i4>5</vt:i4>
      </vt:variant>
      <vt:variant>
        <vt:lpwstr/>
      </vt:variant>
      <vt:variant>
        <vt:lpwstr>_Toc237436862</vt:lpwstr>
      </vt:variant>
      <vt:variant>
        <vt:i4>1048638</vt:i4>
      </vt:variant>
      <vt:variant>
        <vt:i4>2015</vt:i4>
      </vt:variant>
      <vt:variant>
        <vt:i4>0</vt:i4>
      </vt:variant>
      <vt:variant>
        <vt:i4>5</vt:i4>
      </vt:variant>
      <vt:variant>
        <vt:lpwstr/>
      </vt:variant>
      <vt:variant>
        <vt:lpwstr>_Toc237436861</vt:lpwstr>
      </vt:variant>
      <vt:variant>
        <vt:i4>1048638</vt:i4>
      </vt:variant>
      <vt:variant>
        <vt:i4>2009</vt:i4>
      </vt:variant>
      <vt:variant>
        <vt:i4>0</vt:i4>
      </vt:variant>
      <vt:variant>
        <vt:i4>5</vt:i4>
      </vt:variant>
      <vt:variant>
        <vt:lpwstr/>
      </vt:variant>
      <vt:variant>
        <vt:lpwstr>_Toc237436860</vt:lpwstr>
      </vt:variant>
      <vt:variant>
        <vt:i4>1245246</vt:i4>
      </vt:variant>
      <vt:variant>
        <vt:i4>2003</vt:i4>
      </vt:variant>
      <vt:variant>
        <vt:i4>0</vt:i4>
      </vt:variant>
      <vt:variant>
        <vt:i4>5</vt:i4>
      </vt:variant>
      <vt:variant>
        <vt:lpwstr/>
      </vt:variant>
      <vt:variant>
        <vt:lpwstr>_Toc237436859</vt:lpwstr>
      </vt:variant>
      <vt:variant>
        <vt:i4>1245246</vt:i4>
      </vt:variant>
      <vt:variant>
        <vt:i4>1997</vt:i4>
      </vt:variant>
      <vt:variant>
        <vt:i4>0</vt:i4>
      </vt:variant>
      <vt:variant>
        <vt:i4>5</vt:i4>
      </vt:variant>
      <vt:variant>
        <vt:lpwstr/>
      </vt:variant>
      <vt:variant>
        <vt:lpwstr>_Toc237436858</vt:lpwstr>
      </vt:variant>
      <vt:variant>
        <vt:i4>1245246</vt:i4>
      </vt:variant>
      <vt:variant>
        <vt:i4>1991</vt:i4>
      </vt:variant>
      <vt:variant>
        <vt:i4>0</vt:i4>
      </vt:variant>
      <vt:variant>
        <vt:i4>5</vt:i4>
      </vt:variant>
      <vt:variant>
        <vt:lpwstr/>
      </vt:variant>
      <vt:variant>
        <vt:lpwstr>_Toc237436857</vt:lpwstr>
      </vt:variant>
      <vt:variant>
        <vt:i4>1245246</vt:i4>
      </vt:variant>
      <vt:variant>
        <vt:i4>1985</vt:i4>
      </vt:variant>
      <vt:variant>
        <vt:i4>0</vt:i4>
      </vt:variant>
      <vt:variant>
        <vt:i4>5</vt:i4>
      </vt:variant>
      <vt:variant>
        <vt:lpwstr/>
      </vt:variant>
      <vt:variant>
        <vt:lpwstr>_Toc237436856</vt:lpwstr>
      </vt:variant>
      <vt:variant>
        <vt:i4>1245246</vt:i4>
      </vt:variant>
      <vt:variant>
        <vt:i4>1979</vt:i4>
      </vt:variant>
      <vt:variant>
        <vt:i4>0</vt:i4>
      </vt:variant>
      <vt:variant>
        <vt:i4>5</vt:i4>
      </vt:variant>
      <vt:variant>
        <vt:lpwstr/>
      </vt:variant>
      <vt:variant>
        <vt:lpwstr>_Toc237436855</vt:lpwstr>
      </vt:variant>
      <vt:variant>
        <vt:i4>1245246</vt:i4>
      </vt:variant>
      <vt:variant>
        <vt:i4>1973</vt:i4>
      </vt:variant>
      <vt:variant>
        <vt:i4>0</vt:i4>
      </vt:variant>
      <vt:variant>
        <vt:i4>5</vt:i4>
      </vt:variant>
      <vt:variant>
        <vt:lpwstr/>
      </vt:variant>
      <vt:variant>
        <vt:lpwstr>_Toc237436854</vt:lpwstr>
      </vt:variant>
      <vt:variant>
        <vt:i4>1245246</vt:i4>
      </vt:variant>
      <vt:variant>
        <vt:i4>1967</vt:i4>
      </vt:variant>
      <vt:variant>
        <vt:i4>0</vt:i4>
      </vt:variant>
      <vt:variant>
        <vt:i4>5</vt:i4>
      </vt:variant>
      <vt:variant>
        <vt:lpwstr/>
      </vt:variant>
      <vt:variant>
        <vt:lpwstr>_Toc237436853</vt:lpwstr>
      </vt:variant>
      <vt:variant>
        <vt:i4>1245246</vt:i4>
      </vt:variant>
      <vt:variant>
        <vt:i4>1961</vt:i4>
      </vt:variant>
      <vt:variant>
        <vt:i4>0</vt:i4>
      </vt:variant>
      <vt:variant>
        <vt:i4>5</vt:i4>
      </vt:variant>
      <vt:variant>
        <vt:lpwstr/>
      </vt:variant>
      <vt:variant>
        <vt:lpwstr>_Toc237436852</vt:lpwstr>
      </vt:variant>
      <vt:variant>
        <vt:i4>1245246</vt:i4>
      </vt:variant>
      <vt:variant>
        <vt:i4>1955</vt:i4>
      </vt:variant>
      <vt:variant>
        <vt:i4>0</vt:i4>
      </vt:variant>
      <vt:variant>
        <vt:i4>5</vt:i4>
      </vt:variant>
      <vt:variant>
        <vt:lpwstr/>
      </vt:variant>
      <vt:variant>
        <vt:lpwstr>_Toc237436851</vt:lpwstr>
      </vt:variant>
      <vt:variant>
        <vt:i4>1245246</vt:i4>
      </vt:variant>
      <vt:variant>
        <vt:i4>1946</vt:i4>
      </vt:variant>
      <vt:variant>
        <vt:i4>0</vt:i4>
      </vt:variant>
      <vt:variant>
        <vt:i4>5</vt:i4>
      </vt:variant>
      <vt:variant>
        <vt:lpwstr/>
      </vt:variant>
      <vt:variant>
        <vt:lpwstr>_Toc237436850</vt:lpwstr>
      </vt:variant>
      <vt:variant>
        <vt:i4>1179710</vt:i4>
      </vt:variant>
      <vt:variant>
        <vt:i4>1940</vt:i4>
      </vt:variant>
      <vt:variant>
        <vt:i4>0</vt:i4>
      </vt:variant>
      <vt:variant>
        <vt:i4>5</vt:i4>
      </vt:variant>
      <vt:variant>
        <vt:lpwstr/>
      </vt:variant>
      <vt:variant>
        <vt:lpwstr>_Toc237436849</vt:lpwstr>
      </vt:variant>
      <vt:variant>
        <vt:i4>1179710</vt:i4>
      </vt:variant>
      <vt:variant>
        <vt:i4>1934</vt:i4>
      </vt:variant>
      <vt:variant>
        <vt:i4>0</vt:i4>
      </vt:variant>
      <vt:variant>
        <vt:i4>5</vt:i4>
      </vt:variant>
      <vt:variant>
        <vt:lpwstr/>
      </vt:variant>
      <vt:variant>
        <vt:lpwstr>_Toc237436848</vt:lpwstr>
      </vt:variant>
      <vt:variant>
        <vt:i4>1179710</vt:i4>
      </vt:variant>
      <vt:variant>
        <vt:i4>1928</vt:i4>
      </vt:variant>
      <vt:variant>
        <vt:i4>0</vt:i4>
      </vt:variant>
      <vt:variant>
        <vt:i4>5</vt:i4>
      </vt:variant>
      <vt:variant>
        <vt:lpwstr/>
      </vt:variant>
      <vt:variant>
        <vt:lpwstr>_Toc237436847</vt:lpwstr>
      </vt:variant>
      <vt:variant>
        <vt:i4>1179710</vt:i4>
      </vt:variant>
      <vt:variant>
        <vt:i4>1922</vt:i4>
      </vt:variant>
      <vt:variant>
        <vt:i4>0</vt:i4>
      </vt:variant>
      <vt:variant>
        <vt:i4>5</vt:i4>
      </vt:variant>
      <vt:variant>
        <vt:lpwstr/>
      </vt:variant>
      <vt:variant>
        <vt:lpwstr>_Toc237436846</vt:lpwstr>
      </vt:variant>
      <vt:variant>
        <vt:i4>1179710</vt:i4>
      </vt:variant>
      <vt:variant>
        <vt:i4>1916</vt:i4>
      </vt:variant>
      <vt:variant>
        <vt:i4>0</vt:i4>
      </vt:variant>
      <vt:variant>
        <vt:i4>5</vt:i4>
      </vt:variant>
      <vt:variant>
        <vt:lpwstr/>
      </vt:variant>
      <vt:variant>
        <vt:lpwstr>_Toc237436845</vt:lpwstr>
      </vt:variant>
      <vt:variant>
        <vt:i4>1179710</vt:i4>
      </vt:variant>
      <vt:variant>
        <vt:i4>1910</vt:i4>
      </vt:variant>
      <vt:variant>
        <vt:i4>0</vt:i4>
      </vt:variant>
      <vt:variant>
        <vt:i4>5</vt:i4>
      </vt:variant>
      <vt:variant>
        <vt:lpwstr/>
      </vt:variant>
      <vt:variant>
        <vt:lpwstr>_Toc237436844</vt:lpwstr>
      </vt:variant>
      <vt:variant>
        <vt:i4>1179710</vt:i4>
      </vt:variant>
      <vt:variant>
        <vt:i4>1904</vt:i4>
      </vt:variant>
      <vt:variant>
        <vt:i4>0</vt:i4>
      </vt:variant>
      <vt:variant>
        <vt:i4>5</vt:i4>
      </vt:variant>
      <vt:variant>
        <vt:lpwstr/>
      </vt:variant>
      <vt:variant>
        <vt:lpwstr>_Toc237436843</vt:lpwstr>
      </vt:variant>
      <vt:variant>
        <vt:i4>1179710</vt:i4>
      </vt:variant>
      <vt:variant>
        <vt:i4>1898</vt:i4>
      </vt:variant>
      <vt:variant>
        <vt:i4>0</vt:i4>
      </vt:variant>
      <vt:variant>
        <vt:i4>5</vt:i4>
      </vt:variant>
      <vt:variant>
        <vt:lpwstr/>
      </vt:variant>
      <vt:variant>
        <vt:lpwstr>_Toc237436842</vt:lpwstr>
      </vt:variant>
      <vt:variant>
        <vt:i4>1179710</vt:i4>
      </vt:variant>
      <vt:variant>
        <vt:i4>1892</vt:i4>
      </vt:variant>
      <vt:variant>
        <vt:i4>0</vt:i4>
      </vt:variant>
      <vt:variant>
        <vt:i4>5</vt:i4>
      </vt:variant>
      <vt:variant>
        <vt:lpwstr/>
      </vt:variant>
      <vt:variant>
        <vt:lpwstr>_Toc237436841</vt:lpwstr>
      </vt:variant>
      <vt:variant>
        <vt:i4>1179710</vt:i4>
      </vt:variant>
      <vt:variant>
        <vt:i4>1886</vt:i4>
      </vt:variant>
      <vt:variant>
        <vt:i4>0</vt:i4>
      </vt:variant>
      <vt:variant>
        <vt:i4>5</vt:i4>
      </vt:variant>
      <vt:variant>
        <vt:lpwstr/>
      </vt:variant>
      <vt:variant>
        <vt:lpwstr>_Toc237436840</vt:lpwstr>
      </vt:variant>
      <vt:variant>
        <vt:i4>1376318</vt:i4>
      </vt:variant>
      <vt:variant>
        <vt:i4>1880</vt:i4>
      </vt:variant>
      <vt:variant>
        <vt:i4>0</vt:i4>
      </vt:variant>
      <vt:variant>
        <vt:i4>5</vt:i4>
      </vt:variant>
      <vt:variant>
        <vt:lpwstr/>
      </vt:variant>
      <vt:variant>
        <vt:lpwstr>_Toc237436839</vt:lpwstr>
      </vt:variant>
      <vt:variant>
        <vt:i4>1376318</vt:i4>
      </vt:variant>
      <vt:variant>
        <vt:i4>1874</vt:i4>
      </vt:variant>
      <vt:variant>
        <vt:i4>0</vt:i4>
      </vt:variant>
      <vt:variant>
        <vt:i4>5</vt:i4>
      </vt:variant>
      <vt:variant>
        <vt:lpwstr/>
      </vt:variant>
      <vt:variant>
        <vt:lpwstr>_Toc237436838</vt:lpwstr>
      </vt:variant>
      <vt:variant>
        <vt:i4>1376318</vt:i4>
      </vt:variant>
      <vt:variant>
        <vt:i4>1868</vt:i4>
      </vt:variant>
      <vt:variant>
        <vt:i4>0</vt:i4>
      </vt:variant>
      <vt:variant>
        <vt:i4>5</vt:i4>
      </vt:variant>
      <vt:variant>
        <vt:lpwstr/>
      </vt:variant>
      <vt:variant>
        <vt:lpwstr>_Toc237436837</vt:lpwstr>
      </vt:variant>
      <vt:variant>
        <vt:i4>1376318</vt:i4>
      </vt:variant>
      <vt:variant>
        <vt:i4>1862</vt:i4>
      </vt:variant>
      <vt:variant>
        <vt:i4>0</vt:i4>
      </vt:variant>
      <vt:variant>
        <vt:i4>5</vt:i4>
      </vt:variant>
      <vt:variant>
        <vt:lpwstr/>
      </vt:variant>
      <vt:variant>
        <vt:lpwstr>_Toc237436836</vt:lpwstr>
      </vt:variant>
      <vt:variant>
        <vt:i4>1376318</vt:i4>
      </vt:variant>
      <vt:variant>
        <vt:i4>1856</vt:i4>
      </vt:variant>
      <vt:variant>
        <vt:i4>0</vt:i4>
      </vt:variant>
      <vt:variant>
        <vt:i4>5</vt:i4>
      </vt:variant>
      <vt:variant>
        <vt:lpwstr/>
      </vt:variant>
      <vt:variant>
        <vt:lpwstr>_Toc237436835</vt:lpwstr>
      </vt:variant>
      <vt:variant>
        <vt:i4>1376318</vt:i4>
      </vt:variant>
      <vt:variant>
        <vt:i4>1850</vt:i4>
      </vt:variant>
      <vt:variant>
        <vt:i4>0</vt:i4>
      </vt:variant>
      <vt:variant>
        <vt:i4>5</vt:i4>
      </vt:variant>
      <vt:variant>
        <vt:lpwstr/>
      </vt:variant>
      <vt:variant>
        <vt:lpwstr>_Toc237436834</vt:lpwstr>
      </vt:variant>
      <vt:variant>
        <vt:i4>1376318</vt:i4>
      </vt:variant>
      <vt:variant>
        <vt:i4>1844</vt:i4>
      </vt:variant>
      <vt:variant>
        <vt:i4>0</vt:i4>
      </vt:variant>
      <vt:variant>
        <vt:i4>5</vt:i4>
      </vt:variant>
      <vt:variant>
        <vt:lpwstr/>
      </vt:variant>
      <vt:variant>
        <vt:lpwstr>_Toc237436833</vt:lpwstr>
      </vt:variant>
      <vt:variant>
        <vt:i4>1376318</vt:i4>
      </vt:variant>
      <vt:variant>
        <vt:i4>1838</vt:i4>
      </vt:variant>
      <vt:variant>
        <vt:i4>0</vt:i4>
      </vt:variant>
      <vt:variant>
        <vt:i4>5</vt:i4>
      </vt:variant>
      <vt:variant>
        <vt:lpwstr/>
      </vt:variant>
      <vt:variant>
        <vt:lpwstr>_Toc237436832</vt:lpwstr>
      </vt:variant>
      <vt:variant>
        <vt:i4>1376318</vt:i4>
      </vt:variant>
      <vt:variant>
        <vt:i4>1832</vt:i4>
      </vt:variant>
      <vt:variant>
        <vt:i4>0</vt:i4>
      </vt:variant>
      <vt:variant>
        <vt:i4>5</vt:i4>
      </vt:variant>
      <vt:variant>
        <vt:lpwstr/>
      </vt:variant>
      <vt:variant>
        <vt:lpwstr>_Toc237436831</vt:lpwstr>
      </vt:variant>
      <vt:variant>
        <vt:i4>1376318</vt:i4>
      </vt:variant>
      <vt:variant>
        <vt:i4>1826</vt:i4>
      </vt:variant>
      <vt:variant>
        <vt:i4>0</vt:i4>
      </vt:variant>
      <vt:variant>
        <vt:i4>5</vt:i4>
      </vt:variant>
      <vt:variant>
        <vt:lpwstr/>
      </vt:variant>
      <vt:variant>
        <vt:lpwstr>_Toc237436830</vt:lpwstr>
      </vt:variant>
      <vt:variant>
        <vt:i4>1310782</vt:i4>
      </vt:variant>
      <vt:variant>
        <vt:i4>1820</vt:i4>
      </vt:variant>
      <vt:variant>
        <vt:i4>0</vt:i4>
      </vt:variant>
      <vt:variant>
        <vt:i4>5</vt:i4>
      </vt:variant>
      <vt:variant>
        <vt:lpwstr/>
      </vt:variant>
      <vt:variant>
        <vt:lpwstr>_Toc237436829</vt:lpwstr>
      </vt:variant>
      <vt:variant>
        <vt:i4>1310782</vt:i4>
      </vt:variant>
      <vt:variant>
        <vt:i4>1814</vt:i4>
      </vt:variant>
      <vt:variant>
        <vt:i4>0</vt:i4>
      </vt:variant>
      <vt:variant>
        <vt:i4>5</vt:i4>
      </vt:variant>
      <vt:variant>
        <vt:lpwstr/>
      </vt:variant>
      <vt:variant>
        <vt:lpwstr>_Toc237436828</vt:lpwstr>
      </vt:variant>
      <vt:variant>
        <vt:i4>1310782</vt:i4>
      </vt:variant>
      <vt:variant>
        <vt:i4>1808</vt:i4>
      </vt:variant>
      <vt:variant>
        <vt:i4>0</vt:i4>
      </vt:variant>
      <vt:variant>
        <vt:i4>5</vt:i4>
      </vt:variant>
      <vt:variant>
        <vt:lpwstr/>
      </vt:variant>
      <vt:variant>
        <vt:lpwstr>_Toc237436827</vt:lpwstr>
      </vt:variant>
      <vt:variant>
        <vt:i4>1310782</vt:i4>
      </vt:variant>
      <vt:variant>
        <vt:i4>1802</vt:i4>
      </vt:variant>
      <vt:variant>
        <vt:i4>0</vt:i4>
      </vt:variant>
      <vt:variant>
        <vt:i4>5</vt:i4>
      </vt:variant>
      <vt:variant>
        <vt:lpwstr/>
      </vt:variant>
      <vt:variant>
        <vt:lpwstr>_Toc237436826</vt:lpwstr>
      </vt:variant>
      <vt:variant>
        <vt:i4>1310782</vt:i4>
      </vt:variant>
      <vt:variant>
        <vt:i4>1796</vt:i4>
      </vt:variant>
      <vt:variant>
        <vt:i4>0</vt:i4>
      </vt:variant>
      <vt:variant>
        <vt:i4>5</vt:i4>
      </vt:variant>
      <vt:variant>
        <vt:lpwstr/>
      </vt:variant>
      <vt:variant>
        <vt:lpwstr>_Toc237436825</vt:lpwstr>
      </vt:variant>
      <vt:variant>
        <vt:i4>1310782</vt:i4>
      </vt:variant>
      <vt:variant>
        <vt:i4>1790</vt:i4>
      </vt:variant>
      <vt:variant>
        <vt:i4>0</vt:i4>
      </vt:variant>
      <vt:variant>
        <vt:i4>5</vt:i4>
      </vt:variant>
      <vt:variant>
        <vt:lpwstr/>
      </vt:variant>
      <vt:variant>
        <vt:lpwstr>_Toc237436824</vt:lpwstr>
      </vt:variant>
      <vt:variant>
        <vt:i4>1310782</vt:i4>
      </vt:variant>
      <vt:variant>
        <vt:i4>1784</vt:i4>
      </vt:variant>
      <vt:variant>
        <vt:i4>0</vt:i4>
      </vt:variant>
      <vt:variant>
        <vt:i4>5</vt:i4>
      </vt:variant>
      <vt:variant>
        <vt:lpwstr/>
      </vt:variant>
      <vt:variant>
        <vt:lpwstr>_Toc237436823</vt:lpwstr>
      </vt:variant>
      <vt:variant>
        <vt:i4>1310782</vt:i4>
      </vt:variant>
      <vt:variant>
        <vt:i4>1778</vt:i4>
      </vt:variant>
      <vt:variant>
        <vt:i4>0</vt:i4>
      </vt:variant>
      <vt:variant>
        <vt:i4>5</vt:i4>
      </vt:variant>
      <vt:variant>
        <vt:lpwstr/>
      </vt:variant>
      <vt:variant>
        <vt:lpwstr>_Toc237436822</vt:lpwstr>
      </vt:variant>
      <vt:variant>
        <vt:i4>1310782</vt:i4>
      </vt:variant>
      <vt:variant>
        <vt:i4>1772</vt:i4>
      </vt:variant>
      <vt:variant>
        <vt:i4>0</vt:i4>
      </vt:variant>
      <vt:variant>
        <vt:i4>5</vt:i4>
      </vt:variant>
      <vt:variant>
        <vt:lpwstr/>
      </vt:variant>
      <vt:variant>
        <vt:lpwstr>_Toc237436821</vt:lpwstr>
      </vt:variant>
      <vt:variant>
        <vt:i4>1310782</vt:i4>
      </vt:variant>
      <vt:variant>
        <vt:i4>1766</vt:i4>
      </vt:variant>
      <vt:variant>
        <vt:i4>0</vt:i4>
      </vt:variant>
      <vt:variant>
        <vt:i4>5</vt:i4>
      </vt:variant>
      <vt:variant>
        <vt:lpwstr/>
      </vt:variant>
      <vt:variant>
        <vt:lpwstr>_Toc237436820</vt:lpwstr>
      </vt:variant>
      <vt:variant>
        <vt:i4>1507390</vt:i4>
      </vt:variant>
      <vt:variant>
        <vt:i4>1760</vt:i4>
      </vt:variant>
      <vt:variant>
        <vt:i4>0</vt:i4>
      </vt:variant>
      <vt:variant>
        <vt:i4>5</vt:i4>
      </vt:variant>
      <vt:variant>
        <vt:lpwstr/>
      </vt:variant>
      <vt:variant>
        <vt:lpwstr>_Toc237436819</vt:lpwstr>
      </vt:variant>
      <vt:variant>
        <vt:i4>1507390</vt:i4>
      </vt:variant>
      <vt:variant>
        <vt:i4>1754</vt:i4>
      </vt:variant>
      <vt:variant>
        <vt:i4>0</vt:i4>
      </vt:variant>
      <vt:variant>
        <vt:i4>5</vt:i4>
      </vt:variant>
      <vt:variant>
        <vt:lpwstr/>
      </vt:variant>
      <vt:variant>
        <vt:lpwstr>_Toc237436818</vt:lpwstr>
      </vt:variant>
      <vt:variant>
        <vt:i4>1507390</vt:i4>
      </vt:variant>
      <vt:variant>
        <vt:i4>1748</vt:i4>
      </vt:variant>
      <vt:variant>
        <vt:i4>0</vt:i4>
      </vt:variant>
      <vt:variant>
        <vt:i4>5</vt:i4>
      </vt:variant>
      <vt:variant>
        <vt:lpwstr/>
      </vt:variant>
      <vt:variant>
        <vt:lpwstr>_Toc237436817</vt:lpwstr>
      </vt:variant>
      <vt:variant>
        <vt:i4>1507390</vt:i4>
      </vt:variant>
      <vt:variant>
        <vt:i4>1742</vt:i4>
      </vt:variant>
      <vt:variant>
        <vt:i4>0</vt:i4>
      </vt:variant>
      <vt:variant>
        <vt:i4>5</vt:i4>
      </vt:variant>
      <vt:variant>
        <vt:lpwstr/>
      </vt:variant>
      <vt:variant>
        <vt:lpwstr>_Toc237436816</vt:lpwstr>
      </vt:variant>
      <vt:variant>
        <vt:i4>1507390</vt:i4>
      </vt:variant>
      <vt:variant>
        <vt:i4>1736</vt:i4>
      </vt:variant>
      <vt:variant>
        <vt:i4>0</vt:i4>
      </vt:variant>
      <vt:variant>
        <vt:i4>5</vt:i4>
      </vt:variant>
      <vt:variant>
        <vt:lpwstr/>
      </vt:variant>
      <vt:variant>
        <vt:lpwstr>_Toc237436815</vt:lpwstr>
      </vt:variant>
      <vt:variant>
        <vt:i4>1507390</vt:i4>
      </vt:variant>
      <vt:variant>
        <vt:i4>1730</vt:i4>
      </vt:variant>
      <vt:variant>
        <vt:i4>0</vt:i4>
      </vt:variant>
      <vt:variant>
        <vt:i4>5</vt:i4>
      </vt:variant>
      <vt:variant>
        <vt:lpwstr/>
      </vt:variant>
      <vt:variant>
        <vt:lpwstr>_Toc237436814</vt:lpwstr>
      </vt:variant>
      <vt:variant>
        <vt:i4>1507390</vt:i4>
      </vt:variant>
      <vt:variant>
        <vt:i4>1724</vt:i4>
      </vt:variant>
      <vt:variant>
        <vt:i4>0</vt:i4>
      </vt:variant>
      <vt:variant>
        <vt:i4>5</vt:i4>
      </vt:variant>
      <vt:variant>
        <vt:lpwstr/>
      </vt:variant>
      <vt:variant>
        <vt:lpwstr>_Toc237436813</vt:lpwstr>
      </vt:variant>
      <vt:variant>
        <vt:i4>1507390</vt:i4>
      </vt:variant>
      <vt:variant>
        <vt:i4>1718</vt:i4>
      </vt:variant>
      <vt:variant>
        <vt:i4>0</vt:i4>
      </vt:variant>
      <vt:variant>
        <vt:i4>5</vt:i4>
      </vt:variant>
      <vt:variant>
        <vt:lpwstr/>
      </vt:variant>
      <vt:variant>
        <vt:lpwstr>_Toc237436812</vt:lpwstr>
      </vt:variant>
      <vt:variant>
        <vt:i4>1507390</vt:i4>
      </vt:variant>
      <vt:variant>
        <vt:i4>1712</vt:i4>
      </vt:variant>
      <vt:variant>
        <vt:i4>0</vt:i4>
      </vt:variant>
      <vt:variant>
        <vt:i4>5</vt:i4>
      </vt:variant>
      <vt:variant>
        <vt:lpwstr/>
      </vt:variant>
      <vt:variant>
        <vt:lpwstr>_Toc237436811</vt:lpwstr>
      </vt:variant>
      <vt:variant>
        <vt:i4>1507390</vt:i4>
      </vt:variant>
      <vt:variant>
        <vt:i4>1706</vt:i4>
      </vt:variant>
      <vt:variant>
        <vt:i4>0</vt:i4>
      </vt:variant>
      <vt:variant>
        <vt:i4>5</vt:i4>
      </vt:variant>
      <vt:variant>
        <vt:lpwstr/>
      </vt:variant>
      <vt:variant>
        <vt:lpwstr>_Toc237436810</vt:lpwstr>
      </vt:variant>
      <vt:variant>
        <vt:i4>1441854</vt:i4>
      </vt:variant>
      <vt:variant>
        <vt:i4>1700</vt:i4>
      </vt:variant>
      <vt:variant>
        <vt:i4>0</vt:i4>
      </vt:variant>
      <vt:variant>
        <vt:i4>5</vt:i4>
      </vt:variant>
      <vt:variant>
        <vt:lpwstr/>
      </vt:variant>
      <vt:variant>
        <vt:lpwstr>_Toc237436809</vt:lpwstr>
      </vt:variant>
      <vt:variant>
        <vt:i4>1441854</vt:i4>
      </vt:variant>
      <vt:variant>
        <vt:i4>1694</vt:i4>
      </vt:variant>
      <vt:variant>
        <vt:i4>0</vt:i4>
      </vt:variant>
      <vt:variant>
        <vt:i4>5</vt:i4>
      </vt:variant>
      <vt:variant>
        <vt:lpwstr/>
      </vt:variant>
      <vt:variant>
        <vt:lpwstr>_Toc237436808</vt:lpwstr>
      </vt:variant>
      <vt:variant>
        <vt:i4>1441854</vt:i4>
      </vt:variant>
      <vt:variant>
        <vt:i4>1688</vt:i4>
      </vt:variant>
      <vt:variant>
        <vt:i4>0</vt:i4>
      </vt:variant>
      <vt:variant>
        <vt:i4>5</vt:i4>
      </vt:variant>
      <vt:variant>
        <vt:lpwstr/>
      </vt:variant>
      <vt:variant>
        <vt:lpwstr>_Toc237436807</vt:lpwstr>
      </vt:variant>
      <vt:variant>
        <vt:i4>1441854</vt:i4>
      </vt:variant>
      <vt:variant>
        <vt:i4>1682</vt:i4>
      </vt:variant>
      <vt:variant>
        <vt:i4>0</vt:i4>
      </vt:variant>
      <vt:variant>
        <vt:i4>5</vt:i4>
      </vt:variant>
      <vt:variant>
        <vt:lpwstr/>
      </vt:variant>
      <vt:variant>
        <vt:lpwstr>_Toc237436806</vt:lpwstr>
      </vt:variant>
      <vt:variant>
        <vt:i4>1441854</vt:i4>
      </vt:variant>
      <vt:variant>
        <vt:i4>1676</vt:i4>
      </vt:variant>
      <vt:variant>
        <vt:i4>0</vt:i4>
      </vt:variant>
      <vt:variant>
        <vt:i4>5</vt:i4>
      </vt:variant>
      <vt:variant>
        <vt:lpwstr/>
      </vt:variant>
      <vt:variant>
        <vt:lpwstr>_Toc237436805</vt:lpwstr>
      </vt:variant>
      <vt:variant>
        <vt:i4>1441854</vt:i4>
      </vt:variant>
      <vt:variant>
        <vt:i4>1670</vt:i4>
      </vt:variant>
      <vt:variant>
        <vt:i4>0</vt:i4>
      </vt:variant>
      <vt:variant>
        <vt:i4>5</vt:i4>
      </vt:variant>
      <vt:variant>
        <vt:lpwstr/>
      </vt:variant>
      <vt:variant>
        <vt:lpwstr>_Toc237436804</vt:lpwstr>
      </vt:variant>
      <vt:variant>
        <vt:i4>1441854</vt:i4>
      </vt:variant>
      <vt:variant>
        <vt:i4>1664</vt:i4>
      </vt:variant>
      <vt:variant>
        <vt:i4>0</vt:i4>
      </vt:variant>
      <vt:variant>
        <vt:i4>5</vt:i4>
      </vt:variant>
      <vt:variant>
        <vt:lpwstr/>
      </vt:variant>
      <vt:variant>
        <vt:lpwstr>_Toc237436803</vt:lpwstr>
      </vt:variant>
      <vt:variant>
        <vt:i4>1441854</vt:i4>
      </vt:variant>
      <vt:variant>
        <vt:i4>1658</vt:i4>
      </vt:variant>
      <vt:variant>
        <vt:i4>0</vt:i4>
      </vt:variant>
      <vt:variant>
        <vt:i4>5</vt:i4>
      </vt:variant>
      <vt:variant>
        <vt:lpwstr/>
      </vt:variant>
      <vt:variant>
        <vt:lpwstr>_Toc237436802</vt:lpwstr>
      </vt:variant>
      <vt:variant>
        <vt:i4>1441854</vt:i4>
      </vt:variant>
      <vt:variant>
        <vt:i4>1652</vt:i4>
      </vt:variant>
      <vt:variant>
        <vt:i4>0</vt:i4>
      </vt:variant>
      <vt:variant>
        <vt:i4>5</vt:i4>
      </vt:variant>
      <vt:variant>
        <vt:lpwstr/>
      </vt:variant>
      <vt:variant>
        <vt:lpwstr>_Toc237436801</vt:lpwstr>
      </vt:variant>
      <vt:variant>
        <vt:i4>1441854</vt:i4>
      </vt:variant>
      <vt:variant>
        <vt:i4>1643</vt:i4>
      </vt:variant>
      <vt:variant>
        <vt:i4>0</vt:i4>
      </vt:variant>
      <vt:variant>
        <vt:i4>5</vt:i4>
      </vt:variant>
      <vt:variant>
        <vt:lpwstr/>
      </vt:variant>
      <vt:variant>
        <vt:lpwstr>_Toc237436800</vt:lpwstr>
      </vt:variant>
      <vt:variant>
        <vt:i4>2031665</vt:i4>
      </vt:variant>
      <vt:variant>
        <vt:i4>1637</vt:i4>
      </vt:variant>
      <vt:variant>
        <vt:i4>0</vt:i4>
      </vt:variant>
      <vt:variant>
        <vt:i4>5</vt:i4>
      </vt:variant>
      <vt:variant>
        <vt:lpwstr/>
      </vt:variant>
      <vt:variant>
        <vt:lpwstr>_Toc237436799</vt:lpwstr>
      </vt:variant>
      <vt:variant>
        <vt:i4>2031665</vt:i4>
      </vt:variant>
      <vt:variant>
        <vt:i4>1631</vt:i4>
      </vt:variant>
      <vt:variant>
        <vt:i4>0</vt:i4>
      </vt:variant>
      <vt:variant>
        <vt:i4>5</vt:i4>
      </vt:variant>
      <vt:variant>
        <vt:lpwstr/>
      </vt:variant>
      <vt:variant>
        <vt:lpwstr>_Toc237436798</vt:lpwstr>
      </vt:variant>
      <vt:variant>
        <vt:i4>2031665</vt:i4>
      </vt:variant>
      <vt:variant>
        <vt:i4>1625</vt:i4>
      </vt:variant>
      <vt:variant>
        <vt:i4>0</vt:i4>
      </vt:variant>
      <vt:variant>
        <vt:i4>5</vt:i4>
      </vt:variant>
      <vt:variant>
        <vt:lpwstr/>
      </vt:variant>
      <vt:variant>
        <vt:lpwstr>_Toc237436797</vt:lpwstr>
      </vt:variant>
      <vt:variant>
        <vt:i4>2031665</vt:i4>
      </vt:variant>
      <vt:variant>
        <vt:i4>1619</vt:i4>
      </vt:variant>
      <vt:variant>
        <vt:i4>0</vt:i4>
      </vt:variant>
      <vt:variant>
        <vt:i4>5</vt:i4>
      </vt:variant>
      <vt:variant>
        <vt:lpwstr/>
      </vt:variant>
      <vt:variant>
        <vt:lpwstr>_Toc237436796</vt:lpwstr>
      </vt:variant>
      <vt:variant>
        <vt:i4>2031665</vt:i4>
      </vt:variant>
      <vt:variant>
        <vt:i4>1613</vt:i4>
      </vt:variant>
      <vt:variant>
        <vt:i4>0</vt:i4>
      </vt:variant>
      <vt:variant>
        <vt:i4>5</vt:i4>
      </vt:variant>
      <vt:variant>
        <vt:lpwstr/>
      </vt:variant>
      <vt:variant>
        <vt:lpwstr>_Toc237436795</vt:lpwstr>
      </vt:variant>
      <vt:variant>
        <vt:i4>2031665</vt:i4>
      </vt:variant>
      <vt:variant>
        <vt:i4>1607</vt:i4>
      </vt:variant>
      <vt:variant>
        <vt:i4>0</vt:i4>
      </vt:variant>
      <vt:variant>
        <vt:i4>5</vt:i4>
      </vt:variant>
      <vt:variant>
        <vt:lpwstr/>
      </vt:variant>
      <vt:variant>
        <vt:lpwstr>_Toc237436794</vt:lpwstr>
      </vt:variant>
      <vt:variant>
        <vt:i4>2031665</vt:i4>
      </vt:variant>
      <vt:variant>
        <vt:i4>1601</vt:i4>
      </vt:variant>
      <vt:variant>
        <vt:i4>0</vt:i4>
      </vt:variant>
      <vt:variant>
        <vt:i4>5</vt:i4>
      </vt:variant>
      <vt:variant>
        <vt:lpwstr/>
      </vt:variant>
      <vt:variant>
        <vt:lpwstr>_Toc237436793</vt:lpwstr>
      </vt:variant>
      <vt:variant>
        <vt:i4>2031665</vt:i4>
      </vt:variant>
      <vt:variant>
        <vt:i4>1595</vt:i4>
      </vt:variant>
      <vt:variant>
        <vt:i4>0</vt:i4>
      </vt:variant>
      <vt:variant>
        <vt:i4>5</vt:i4>
      </vt:variant>
      <vt:variant>
        <vt:lpwstr/>
      </vt:variant>
      <vt:variant>
        <vt:lpwstr>_Toc237436792</vt:lpwstr>
      </vt:variant>
      <vt:variant>
        <vt:i4>2031665</vt:i4>
      </vt:variant>
      <vt:variant>
        <vt:i4>1589</vt:i4>
      </vt:variant>
      <vt:variant>
        <vt:i4>0</vt:i4>
      </vt:variant>
      <vt:variant>
        <vt:i4>5</vt:i4>
      </vt:variant>
      <vt:variant>
        <vt:lpwstr/>
      </vt:variant>
      <vt:variant>
        <vt:lpwstr>_Toc237436791</vt:lpwstr>
      </vt:variant>
      <vt:variant>
        <vt:i4>2031665</vt:i4>
      </vt:variant>
      <vt:variant>
        <vt:i4>1583</vt:i4>
      </vt:variant>
      <vt:variant>
        <vt:i4>0</vt:i4>
      </vt:variant>
      <vt:variant>
        <vt:i4>5</vt:i4>
      </vt:variant>
      <vt:variant>
        <vt:lpwstr/>
      </vt:variant>
      <vt:variant>
        <vt:lpwstr>_Toc237436790</vt:lpwstr>
      </vt:variant>
      <vt:variant>
        <vt:i4>1966129</vt:i4>
      </vt:variant>
      <vt:variant>
        <vt:i4>1577</vt:i4>
      </vt:variant>
      <vt:variant>
        <vt:i4>0</vt:i4>
      </vt:variant>
      <vt:variant>
        <vt:i4>5</vt:i4>
      </vt:variant>
      <vt:variant>
        <vt:lpwstr/>
      </vt:variant>
      <vt:variant>
        <vt:lpwstr>_Toc237436789</vt:lpwstr>
      </vt:variant>
      <vt:variant>
        <vt:i4>1966129</vt:i4>
      </vt:variant>
      <vt:variant>
        <vt:i4>1571</vt:i4>
      </vt:variant>
      <vt:variant>
        <vt:i4>0</vt:i4>
      </vt:variant>
      <vt:variant>
        <vt:i4>5</vt:i4>
      </vt:variant>
      <vt:variant>
        <vt:lpwstr/>
      </vt:variant>
      <vt:variant>
        <vt:lpwstr>_Toc237436788</vt:lpwstr>
      </vt:variant>
      <vt:variant>
        <vt:i4>1966129</vt:i4>
      </vt:variant>
      <vt:variant>
        <vt:i4>1565</vt:i4>
      </vt:variant>
      <vt:variant>
        <vt:i4>0</vt:i4>
      </vt:variant>
      <vt:variant>
        <vt:i4>5</vt:i4>
      </vt:variant>
      <vt:variant>
        <vt:lpwstr/>
      </vt:variant>
      <vt:variant>
        <vt:lpwstr>_Toc237436787</vt:lpwstr>
      </vt:variant>
      <vt:variant>
        <vt:i4>1966129</vt:i4>
      </vt:variant>
      <vt:variant>
        <vt:i4>1559</vt:i4>
      </vt:variant>
      <vt:variant>
        <vt:i4>0</vt:i4>
      </vt:variant>
      <vt:variant>
        <vt:i4>5</vt:i4>
      </vt:variant>
      <vt:variant>
        <vt:lpwstr/>
      </vt:variant>
      <vt:variant>
        <vt:lpwstr>_Toc237436786</vt:lpwstr>
      </vt:variant>
      <vt:variant>
        <vt:i4>1966129</vt:i4>
      </vt:variant>
      <vt:variant>
        <vt:i4>1553</vt:i4>
      </vt:variant>
      <vt:variant>
        <vt:i4>0</vt:i4>
      </vt:variant>
      <vt:variant>
        <vt:i4>5</vt:i4>
      </vt:variant>
      <vt:variant>
        <vt:lpwstr/>
      </vt:variant>
      <vt:variant>
        <vt:lpwstr>_Toc237436785</vt:lpwstr>
      </vt:variant>
      <vt:variant>
        <vt:i4>1966129</vt:i4>
      </vt:variant>
      <vt:variant>
        <vt:i4>1547</vt:i4>
      </vt:variant>
      <vt:variant>
        <vt:i4>0</vt:i4>
      </vt:variant>
      <vt:variant>
        <vt:i4>5</vt:i4>
      </vt:variant>
      <vt:variant>
        <vt:lpwstr/>
      </vt:variant>
      <vt:variant>
        <vt:lpwstr>_Toc237436784</vt:lpwstr>
      </vt:variant>
      <vt:variant>
        <vt:i4>1966129</vt:i4>
      </vt:variant>
      <vt:variant>
        <vt:i4>1541</vt:i4>
      </vt:variant>
      <vt:variant>
        <vt:i4>0</vt:i4>
      </vt:variant>
      <vt:variant>
        <vt:i4>5</vt:i4>
      </vt:variant>
      <vt:variant>
        <vt:lpwstr/>
      </vt:variant>
      <vt:variant>
        <vt:lpwstr>_Toc237436783</vt:lpwstr>
      </vt:variant>
      <vt:variant>
        <vt:i4>1966129</vt:i4>
      </vt:variant>
      <vt:variant>
        <vt:i4>1535</vt:i4>
      </vt:variant>
      <vt:variant>
        <vt:i4>0</vt:i4>
      </vt:variant>
      <vt:variant>
        <vt:i4>5</vt:i4>
      </vt:variant>
      <vt:variant>
        <vt:lpwstr/>
      </vt:variant>
      <vt:variant>
        <vt:lpwstr>_Toc237436782</vt:lpwstr>
      </vt:variant>
      <vt:variant>
        <vt:i4>1966129</vt:i4>
      </vt:variant>
      <vt:variant>
        <vt:i4>1529</vt:i4>
      </vt:variant>
      <vt:variant>
        <vt:i4>0</vt:i4>
      </vt:variant>
      <vt:variant>
        <vt:i4>5</vt:i4>
      </vt:variant>
      <vt:variant>
        <vt:lpwstr/>
      </vt:variant>
      <vt:variant>
        <vt:lpwstr>_Toc237436781</vt:lpwstr>
      </vt:variant>
      <vt:variant>
        <vt:i4>1966129</vt:i4>
      </vt:variant>
      <vt:variant>
        <vt:i4>1523</vt:i4>
      </vt:variant>
      <vt:variant>
        <vt:i4>0</vt:i4>
      </vt:variant>
      <vt:variant>
        <vt:i4>5</vt:i4>
      </vt:variant>
      <vt:variant>
        <vt:lpwstr/>
      </vt:variant>
      <vt:variant>
        <vt:lpwstr>_Toc237436780</vt:lpwstr>
      </vt:variant>
      <vt:variant>
        <vt:i4>1114161</vt:i4>
      </vt:variant>
      <vt:variant>
        <vt:i4>1517</vt:i4>
      </vt:variant>
      <vt:variant>
        <vt:i4>0</vt:i4>
      </vt:variant>
      <vt:variant>
        <vt:i4>5</vt:i4>
      </vt:variant>
      <vt:variant>
        <vt:lpwstr/>
      </vt:variant>
      <vt:variant>
        <vt:lpwstr>_Toc237436779</vt:lpwstr>
      </vt:variant>
      <vt:variant>
        <vt:i4>1114161</vt:i4>
      </vt:variant>
      <vt:variant>
        <vt:i4>1511</vt:i4>
      </vt:variant>
      <vt:variant>
        <vt:i4>0</vt:i4>
      </vt:variant>
      <vt:variant>
        <vt:i4>5</vt:i4>
      </vt:variant>
      <vt:variant>
        <vt:lpwstr/>
      </vt:variant>
      <vt:variant>
        <vt:lpwstr>_Toc237436778</vt:lpwstr>
      </vt:variant>
      <vt:variant>
        <vt:i4>1114161</vt:i4>
      </vt:variant>
      <vt:variant>
        <vt:i4>1505</vt:i4>
      </vt:variant>
      <vt:variant>
        <vt:i4>0</vt:i4>
      </vt:variant>
      <vt:variant>
        <vt:i4>5</vt:i4>
      </vt:variant>
      <vt:variant>
        <vt:lpwstr/>
      </vt:variant>
      <vt:variant>
        <vt:lpwstr>_Toc237436777</vt:lpwstr>
      </vt:variant>
      <vt:variant>
        <vt:i4>1114161</vt:i4>
      </vt:variant>
      <vt:variant>
        <vt:i4>1499</vt:i4>
      </vt:variant>
      <vt:variant>
        <vt:i4>0</vt:i4>
      </vt:variant>
      <vt:variant>
        <vt:i4>5</vt:i4>
      </vt:variant>
      <vt:variant>
        <vt:lpwstr/>
      </vt:variant>
      <vt:variant>
        <vt:lpwstr>_Toc237436776</vt:lpwstr>
      </vt:variant>
      <vt:variant>
        <vt:i4>1114161</vt:i4>
      </vt:variant>
      <vt:variant>
        <vt:i4>1493</vt:i4>
      </vt:variant>
      <vt:variant>
        <vt:i4>0</vt:i4>
      </vt:variant>
      <vt:variant>
        <vt:i4>5</vt:i4>
      </vt:variant>
      <vt:variant>
        <vt:lpwstr/>
      </vt:variant>
      <vt:variant>
        <vt:lpwstr>_Toc237436775</vt:lpwstr>
      </vt:variant>
      <vt:variant>
        <vt:i4>1114161</vt:i4>
      </vt:variant>
      <vt:variant>
        <vt:i4>1487</vt:i4>
      </vt:variant>
      <vt:variant>
        <vt:i4>0</vt:i4>
      </vt:variant>
      <vt:variant>
        <vt:i4>5</vt:i4>
      </vt:variant>
      <vt:variant>
        <vt:lpwstr/>
      </vt:variant>
      <vt:variant>
        <vt:lpwstr>_Toc237436774</vt:lpwstr>
      </vt:variant>
      <vt:variant>
        <vt:i4>1114161</vt:i4>
      </vt:variant>
      <vt:variant>
        <vt:i4>1481</vt:i4>
      </vt:variant>
      <vt:variant>
        <vt:i4>0</vt:i4>
      </vt:variant>
      <vt:variant>
        <vt:i4>5</vt:i4>
      </vt:variant>
      <vt:variant>
        <vt:lpwstr/>
      </vt:variant>
      <vt:variant>
        <vt:lpwstr>_Toc237436773</vt:lpwstr>
      </vt:variant>
      <vt:variant>
        <vt:i4>1114161</vt:i4>
      </vt:variant>
      <vt:variant>
        <vt:i4>1475</vt:i4>
      </vt:variant>
      <vt:variant>
        <vt:i4>0</vt:i4>
      </vt:variant>
      <vt:variant>
        <vt:i4>5</vt:i4>
      </vt:variant>
      <vt:variant>
        <vt:lpwstr/>
      </vt:variant>
      <vt:variant>
        <vt:lpwstr>_Toc237436772</vt:lpwstr>
      </vt:variant>
      <vt:variant>
        <vt:i4>1114161</vt:i4>
      </vt:variant>
      <vt:variant>
        <vt:i4>1469</vt:i4>
      </vt:variant>
      <vt:variant>
        <vt:i4>0</vt:i4>
      </vt:variant>
      <vt:variant>
        <vt:i4>5</vt:i4>
      </vt:variant>
      <vt:variant>
        <vt:lpwstr/>
      </vt:variant>
      <vt:variant>
        <vt:lpwstr>_Toc237436771</vt:lpwstr>
      </vt:variant>
      <vt:variant>
        <vt:i4>1114161</vt:i4>
      </vt:variant>
      <vt:variant>
        <vt:i4>1463</vt:i4>
      </vt:variant>
      <vt:variant>
        <vt:i4>0</vt:i4>
      </vt:variant>
      <vt:variant>
        <vt:i4>5</vt:i4>
      </vt:variant>
      <vt:variant>
        <vt:lpwstr/>
      </vt:variant>
      <vt:variant>
        <vt:lpwstr>_Toc237436770</vt:lpwstr>
      </vt:variant>
      <vt:variant>
        <vt:i4>1048625</vt:i4>
      </vt:variant>
      <vt:variant>
        <vt:i4>1457</vt:i4>
      </vt:variant>
      <vt:variant>
        <vt:i4>0</vt:i4>
      </vt:variant>
      <vt:variant>
        <vt:i4>5</vt:i4>
      </vt:variant>
      <vt:variant>
        <vt:lpwstr/>
      </vt:variant>
      <vt:variant>
        <vt:lpwstr>_Toc237436769</vt:lpwstr>
      </vt:variant>
      <vt:variant>
        <vt:i4>1048625</vt:i4>
      </vt:variant>
      <vt:variant>
        <vt:i4>1451</vt:i4>
      </vt:variant>
      <vt:variant>
        <vt:i4>0</vt:i4>
      </vt:variant>
      <vt:variant>
        <vt:i4>5</vt:i4>
      </vt:variant>
      <vt:variant>
        <vt:lpwstr/>
      </vt:variant>
      <vt:variant>
        <vt:lpwstr>_Toc237436768</vt:lpwstr>
      </vt:variant>
      <vt:variant>
        <vt:i4>1048625</vt:i4>
      </vt:variant>
      <vt:variant>
        <vt:i4>1445</vt:i4>
      </vt:variant>
      <vt:variant>
        <vt:i4>0</vt:i4>
      </vt:variant>
      <vt:variant>
        <vt:i4>5</vt:i4>
      </vt:variant>
      <vt:variant>
        <vt:lpwstr/>
      </vt:variant>
      <vt:variant>
        <vt:lpwstr>_Toc237436767</vt:lpwstr>
      </vt:variant>
      <vt:variant>
        <vt:i4>1048625</vt:i4>
      </vt:variant>
      <vt:variant>
        <vt:i4>1439</vt:i4>
      </vt:variant>
      <vt:variant>
        <vt:i4>0</vt:i4>
      </vt:variant>
      <vt:variant>
        <vt:i4>5</vt:i4>
      </vt:variant>
      <vt:variant>
        <vt:lpwstr/>
      </vt:variant>
      <vt:variant>
        <vt:lpwstr>_Toc237436766</vt:lpwstr>
      </vt:variant>
      <vt:variant>
        <vt:i4>1048625</vt:i4>
      </vt:variant>
      <vt:variant>
        <vt:i4>1433</vt:i4>
      </vt:variant>
      <vt:variant>
        <vt:i4>0</vt:i4>
      </vt:variant>
      <vt:variant>
        <vt:i4>5</vt:i4>
      </vt:variant>
      <vt:variant>
        <vt:lpwstr/>
      </vt:variant>
      <vt:variant>
        <vt:lpwstr>_Toc237436765</vt:lpwstr>
      </vt:variant>
      <vt:variant>
        <vt:i4>1048625</vt:i4>
      </vt:variant>
      <vt:variant>
        <vt:i4>1427</vt:i4>
      </vt:variant>
      <vt:variant>
        <vt:i4>0</vt:i4>
      </vt:variant>
      <vt:variant>
        <vt:i4>5</vt:i4>
      </vt:variant>
      <vt:variant>
        <vt:lpwstr/>
      </vt:variant>
      <vt:variant>
        <vt:lpwstr>_Toc237436764</vt:lpwstr>
      </vt:variant>
      <vt:variant>
        <vt:i4>1048625</vt:i4>
      </vt:variant>
      <vt:variant>
        <vt:i4>1421</vt:i4>
      </vt:variant>
      <vt:variant>
        <vt:i4>0</vt:i4>
      </vt:variant>
      <vt:variant>
        <vt:i4>5</vt:i4>
      </vt:variant>
      <vt:variant>
        <vt:lpwstr/>
      </vt:variant>
      <vt:variant>
        <vt:lpwstr>_Toc237436763</vt:lpwstr>
      </vt:variant>
      <vt:variant>
        <vt:i4>1048625</vt:i4>
      </vt:variant>
      <vt:variant>
        <vt:i4>1415</vt:i4>
      </vt:variant>
      <vt:variant>
        <vt:i4>0</vt:i4>
      </vt:variant>
      <vt:variant>
        <vt:i4>5</vt:i4>
      </vt:variant>
      <vt:variant>
        <vt:lpwstr/>
      </vt:variant>
      <vt:variant>
        <vt:lpwstr>_Toc237436762</vt:lpwstr>
      </vt:variant>
      <vt:variant>
        <vt:i4>1048625</vt:i4>
      </vt:variant>
      <vt:variant>
        <vt:i4>1409</vt:i4>
      </vt:variant>
      <vt:variant>
        <vt:i4>0</vt:i4>
      </vt:variant>
      <vt:variant>
        <vt:i4>5</vt:i4>
      </vt:variant>
      <vt:variant>
        <vt:lpwstr/>
      </vt:variant>
      <vt:variant>
        <vt:lpwstr>_Toc237436761</vt:lpwstr>
      </vt:variant>
      <vt:variant>
        <vt:i4>1048625</vt:i4>
      </vt:variant>
      <vt:variant>
        <vt:i4>1403</vt:i4>
      </vt:variant>
      <vt:variant>
        <vt:i4>0</vt:i4>
      </vt:variant>
      <vt:variant>
        <vt:i4>5</vt:i4>
      </vt:variant>
      <vt:variant>
        <vt:lpwstr/>
      </vt:variant>
      <vt:variant>
        <vt:lpwstr>_Toc237436760</vt:lpwstr>
      </vt:variant>
      <vt:variant>
        <vt:i4>1245233</vt:i4>
      </vt:variant>
      <vt:variant>
        <vt:i4>1397</vt:i4>
      </vt:variant>
      <vt:variant>
        <vt:i4>0</vt:i4>
      </vt:variant>
      <vt:variant>
        <vt:i4>5</vt:i4>
      </vt:variant>
      <vt:variant>
        <vt:lpwstr/>
      </vt:variant>
      <vt:variant>
        <vt:lpwstr>_Toc237436759</vt:lpwstr>
      </vt:variant>
      <vt:variant>
        <vt:i4>1245233</vt:i4>
      </vt:variant>
      <vt:variant>
        <vt:i4>1391</vt:i4>
      </vt:variant>
      <vt:variant>
        <vt:i4>0</vt:i4>
      </vt:variant>
      <vt:variant>
        <vt:i4>5</vt:i4>
      </vt:variant>
      <vt:variant>
        <vt:lpwstr/>
      </vt:variant>
      <vt:variant>
        <vt:lpwstr>_Toc237436758</vt:lpwstr>
      </vt:variant>
      <vt:variant>
        <vt:i4>1245233</vt:i4>
      </vt:variant>
      <vt:variant>
        <vt:i4>1385</vt:i4>
      </vt:variant>
      <vt:variant>
        <vt:i4>0</vt:i4>
      </vt:variant>
      <vt:variant>
        <vt:i4>5</vt:i4>
      </vt:variant>
      <vt:variant>
        <vt:lpwstr/>
      </vt:variant>
      <vt:variant>
        <vt:lpwstr>_Toc237436757</vt:lpwstr>
      </vt:variant>
      <vt:variant>
        <vt:i4>1245233</vt:i4>
      </vt:variant>
      <vt:variant>
        <vt:i4>1379</vt:i4>
      </vt:variant>
      <vt:variant>
        <vt:i4>0</vt:i4>
      </vt:variant>
      <vt:variant>
        <vt:i4>5</vt:i4>
      </vt:variant>
      <vt:variant>
        <vt:lpwstr/>
      </vt:variant>
      <vt:variant>
        <vt:lpwstr>_Toc237436756</vt:lpwstr>
      </vt:variant>
      <vt:variant>
        <vt:i4>1245233</vt:i4>
      </vt:variant>
      <vt:variant>
        <vt:i4>1373</vt:i4>
      </vt:variant>
      <vt:variant>
        <vt:i4>0</vt:i4>
      </vt:variant>
      <vt:variant>
        <vt:i4>5</vt:i4>
      </vt:variant>
      <vt:variant>
        <vt:lpwstr/>
      </vt:variant>
      <vt:variant>
        <vt:lpwstr>_Toc237436755</vt:lpwstr>
      </vt:variant>
      <vt:variant>
        <vt:i4>1245233</vt:i4>
      </vt:variant>
      <vt:variant>
        <vt:i4>1367</vt:i4>
      </vt:variant>
      <vt:variant>
        <vt:i4>0</vt:i4>
      </vt:variant>
      <vt:variant>
        <vt:i4>5</vt:i4>
      </vt:variant>
      <vt:variant>
        <vt:lpwstr/>
      </vt:variant>
      <vt:variant>
        <vt:lpwstr>_Toc237436754</vt:lpwstr>
      </vt:variant>
      <vt:variant>
        <vt:i4>1245233</vt:i4>
      </vt:variant>
      <vt:variant>
        <vt:i4>1361</vt:i4>
      </vt:variant>
      <vt:variant>
        <vt:i4>0</vt:i4>
      </vt:variant>
      <vt:variant>
        <vt:i4>5</vt:i4>
      </vt:variant>
      <vt:variant>
        <vt:lpwstr/>
      </vt:variant>
      <vt:variant>
        <vt:lpwstr>_Toc237436753</vt:lpwstr>
      </vt:variant>
      <vt:variant>
        <vt:i4>1245233</vt:i4>
      </vt:variant>
      <vt:variant>
        <vt:i4>1355</vt:i4>
      </vt:variant>
      <vt:variant>
        <vt:i4>0</vt:i4>
      </vt:variant>
      <vt:variant>
        <vt:i4>5</vt:i4>
      </vt:variant>
      <vt:variant>
        <vt:lpwstr/>
      </vt:variant>
      <vt:variant>
        <vt:lpwstr>_Toc237436752</vt:lpwstr>
      </vt:variant>
      <vt:variant>
        <vt:i4>1245233</vt:i4>
      </vt:variant>
      <vt:variant>
        <vt:i4>1349</vt:i4>
      </vt:variant>
      <vt:variant>
        <vt:i4>0</vt:i4>
      </vt:variant>
      <vt:variant>
        <vt:i4>5</vt:i4>
      </vt:variant>
      <vt:variant>
        <vt:lpwstr/>
      </vt:variant>
      <vt:variant>
        <vt:lpwstr>_Toc237436751</vt:lpwstr>
      </vt:variant>
      <vt:variant>
        <vt:i4>1245233</vt:i4>
      </vt:variant>
      <vt:variant>
        <vt:i4>1340</vt:i4>
      </vt:variant>
      <vt:variant>
        <vt:i4>0</vt:i4>
      </vt:variant>
      <vt:variant>
        <vt:i4>5</vt:i4>
      </vt:variant>
      <vt:variant>
        <vt:lpwstr/>
      </vt:variant>
      <vt:variant>
        <vt:lpwstr>_Toc237436750</vt:lpwstr>
      </vt:variant>
      <vt:variant>
        <vt:i4>1179697</vt:i4>
      </vt:variant>
      <vt:variant>
        <vt:i4>1334</vt:i4>
      </vt:variant>
      <vt:variant>
        <vt:i4>0</vt:i4>
      </vt:variant>
      <vt:variant>
        <vt:i4>5</vt:i4>
      </vt:variant>
      <vt:variant>
        <vt:lpwstr/>
      </vt:variant>
      <vt:variant>
        <vt:lpwstr>_Toc237436749</vt:lpwstr>
      </vt:variant>
      <vt:variant>
        <vt:i4>1179697</vt:i4>
      </vt:variant>
      <vt:variant>
        <vt:i4>1328</vt:i4>
      </vt:variant>
      <vt:variant>
        <vt:i4>0</vt:i4>
      </vt:variant>
      <vt:variant>
        <vt:i4>5</vt:i4>
      </vt:variant>
      <vt:variant>
        <vt:lpwstr/>
      </vt:variant>
      <vt:variant>
        <vt:lpwstr>_Toc237436748</vt:lpwstr>
      </vt:variant>
      <vt:variant>
        <vt:i4>1179697</vt:i4>
      </vt:variant>
      <vt:variant>
        <vt:i4>1322</vt:i4>
      </vt:variant>
      <vt:variant>
        <vt:i4>0</vt:i4>
      </vt:variant>
      <vt:variant>
        <vt:i4>5</vt:i4>
      </vt:variant>
      <vt:variant>
        <vt:lpwstr/>
      </vt:variant>
      <vt:variant>
        <vt:lpwstr>_Toc237436747</vt:lpwstr>
      </vt:variant>
      <vt:variant>
        <vt:i4>1179697</vt:i4>
      </vt:variant>
      <vt:variant>
        <vt:i4>1316</vt:i4>
      </vt:variant>
      <vt:variant>
        <vt:i4>0</vt:i4>
      </vt:variant>
      <vt:variant>
        <vt:i4>5</vt:i4>
      </vt:variant>
      <vt:variant>
        <vt:lpwstr/>
      </vt:variant>
      <vt:variant>
        <vt:lpwstr>_Toc237436746</vt:lpwstr>
      </vt:variant>
      <vt:variant>
        <vt:i4>1179697</vt:i4>
      </vt:variant>
      <vt:variant>
        <vt:i4>1310</vt:i4>
      </vt:variant>
      <vt:variant>
        <vt:i4>0</vt:i4>
      </vt:variant>
      <vt:variant>
        <vt:i4>5</vt:i4>
      </vt:variant>
      <vt:variant>
        <vt:lpwstr/>
      </vt:variant>
      <vt:variant>
        <vt:lpwstr>_Toc237436745</vt:lpwstr>
      </vt:variant>
      <vt:variant>
        <vt:i4>1179697</vt:i4>
      </vt:variant>
      <vt:variant>
        <vt:i4>1304</vt:i4>
      </vt:variant>
      <vt:variant>
        <vt:i4>0</vt:i4>
      </vt:variant>
      <vt:variant>
        <vt:i4>5</vt:i4>
      </vt:variant>
      <vt:variant>
        <vt:lpwstr/>
      </vt:variant>
      <vt:variant>
        <vt:lpwstr>_Toc237436744</vt:lpwstr>
      </vt:variant>
      <vt:variant>
        <vt:i4>1179697</vt:i4>
      </vt:variant>
      <vt:variant>
        <vt:i4>1298</vt:i4>
      </vt:variant>
      <vt:variant>
        <vt:i4>0</vt:i4>
      </vt:variant>
      <vt:variant>
        <vt:i4>5</vt:i4>
      </vt:variant>
      <vt:variant>
        <vt:lpwstr/>
      </vt:variant>
      <vt:variant>
        <vt:lpwstr>_Toc237436743</vt:lpwstr>
      </vt:variant>
      <vt:variant>
        <vt:i4>1179697</vt:i4>
      </vt:variant>
      <vt:variant>
        <vt:i4>1292</vt:i4>
      </vt:variant>
      <vt:variant>
        <vt:i4>0</vt:i4>
      </vt:variant>
      <vt:variant>
        <vt:i4>5</vt:i4>
      </vt:variant>
      <vt:variant>
        <vt:lpwstr/>
      </vt:variant>
      <vt:variant>
        <vt:lpwstr>_Toc237436742</vt:lpwstr>
      </vt:variant>
      <vt:variant>
        <vt:i4>1179697</vt:i4>
      </vt:variant>
      <vt:variant>
        <vt:i4>1286</vt:i4>
      </vt:variant>
      <vt:variant>
        <vt:i4>0</vt:i4>
      </vt:variant>
      <vt:variant>
        <vt:i4>5</vt:i4>
      </vt:variant>
      <vt:variant>
        <vt:lpwstr/>
      </vt:variant>
      <vt:variant>
        <vt:lpwstr>_Toc237436741</vt:lpwstr>
      </vt:variant>
      <vt:variant>
        <vt:i4>1179697</vt:i4>
      </vt:variant>
      <vt:variant>
        <vt:i4>1280</vt:i4>
      </vt:variant>
      <vt:variant>
        <vt:i4>0</vt:i4>
      </vt:variant>
      <vt:variant>
        <vt:i4>5</vt:i4>
      </vt:variant>
      <vt:variant>
        <vt:lpwstr/>
      </vt:variant>
      <vt:variant>
        <vt:lpwstr>_Toc237436740</vt:lpwstr>
      </vt:variant>
      <vt:variant>
        <vt:i4>1376305</vt:i4>
      </vt:variant>
      <vt:variant>
        <vt:i4>1274</vt:i4>
      </vt:variant>
      <vt:variant>
        <vt:i4>0</vt:i4>
      </vt:variant>
      <vt:variant>
        <vt:i4>5</vt:i4>
      </vt:variant>
      <vt:variant>
        <vt:lpwstr/>
      </vt:variant>
      <vt:variant>
        <vt:lpwstr>_Toc237436739</vt:lpwstr>
      </vt:variant>
      <vt:variant>
        <vt:i4>1376305</vt:i4>
      </vt:variant>
      <vt:variant>
        <vt:i4>1268</vt:i4>
      </vt:variant>
      <vt:variant>
        <vt:i4>0</vt:i4>
      </vt:variant>
      <vt:variant>
        <vt:i4>5</vt:i4>
      </vt:variant>
      <vt:variant>
        <vt:lpwstr/>
      </vt:variant>
      <vt:variant>
        <vt:lpwstr>_Toc237436738</vt:lpwstr>
      </vt:variant>
      <vt:variant>
        <vt:i4>1376305</vt:i4>
      </vt:variant>
      <vt:variant>
        <vt:i4>1262</vt:i4>
      </vt:variant>
      <vt:variant>
        <vt:i4>0</vt:i4>
      </vt:variant>
      <vt:variant>
        <vt:i4>5</vt:i4>
      </vt:variant>
      <vt:variant>
        <vt:lpwstr/>
      </vt:variant>
      <vt:variant>
        <vt:lpwstr>_Toc237436737</vt:lpwstr>
      </vt:variant>
      <vt:variant>
        <vt:i4>1376305</vt:i4>
      </vt:variant>
      <vt:variant>
        <vt:i4>1256</vt:i4>
      </vt:variant>
      <vt:variant>
        <vt:i4>0</vt:i4>
      </vt:variant>
      <vt:variant>
        <vt:i4>5</vt:i4>
      </vt:variant>
      <vt:variant>
        <vt:lpwstr/>
      </vt:variant>
      <vt:variant>
        <vt:lpwstr>_Toc237436736</vt:lpwstr>
      </vt:variant>
      <vt:variant>
        <vt:i4>1376305</vt:i4>
      </vt:variant>
      <vt:variant>
        <vt:i4>1250</vt:i4>
      </vt:variant>
      <vt:variant>
        <vt:i4>0</vt:i4>
      </vt:variant>
      <vt:variant>
        <vt:i4>5</vt:i4>
      </vt:variant>
      <vt:variant>
        <vt:lpwstr/>
      </vt:variant>
      <vt:variant>
        <vt:lpwstr>_Toc237436735</vt:lpwstr>
      </vt:variant>
      <vt:variant>
        <vt:i4>1376305</vt:i4>
      </vt:variant>
      <vt:variant>
        <vt:i4>1244</vt:i4>
      </vt:variant>
      <vt:variant>
        <vt:i4>0</vt:i4>
      </vt:variant>
      <vt:variant>
        <vt:i4>5</vt:i4>
      </vt:variant>
      <vt:variant>
        <vt:lpwstr/>
      </vt:variant>
      <vt:variant>
        <vt:lpwstr>_Toc237436734</vt:lpwstr>
      </vt:variant>
      <vt:variant>
        <vt:i4>1376305</vt:i4>
      </vt:variant>
      <vt:variant>
        <vt:i4>1238</vt:i4>
      </vt:variant>
      <vt:variant>
        <vt:i4>0</vt:i4>
      </vt:variant>
      <vt:variant>
        <vt:i4>5</vt:i4>
      </vt:variant>
      <vt:variant>
        <vt:lpwstr/>
      </vt:variant>
      <vt:variant>
        <vt:lpwstr>_Toc237436733</vt:lpwstr>
      </vt:variant>
      <vt:variant>
        <vt:i4>1376305</vt:i4>
      </vt:variant>
      <vt:variant>
        <vt:i4>1232</vt:i4>
      </vt:variant>
      <vt:variant>
        <vt:i4>0</vt:i4>
      </vt:variant>
      <vt:variant>
        <vt:i4>5</vt:i4>
      </vt:variant>
      <vt:variant>
        <vt:lpwstr/>
      </vt:variant>
      <vt:variant>
        <vt:lpwstr>_Toc237436732</vt:lpwstr>
      </vt:variant>
      <vt:variant>
        <vt:i4>1376305</vt:i4>
      </vt:variant>
      <vt:variant>
        <vt:i4>1226</vt:i4>
      </vt:variant>
      <vt:variant>
        <vt:i4>0</vt:i4>
      </vt:variant>
      <vt:variant>
        <vt:i4>5</vt:i4>
      </vt:variant>
      <vt:variant>
        <vt:lpwstr/>
      </vt:variant>
      <vt:variant>
        <vt:lpwstr>_Toc237436731</vt:lpwstr>
      </vt:variant>
      <vt:variant>
        <vt:i4>1376305</vt:i4>
      </vt:variant>
      <vt:variant>
        <vt:i4>1220</vt:i4>
      </vt:variant>
      <vt:variant>
        <vt:i4>0</vt:i4>
      </vt:variant>
      <vt:variant>
        <vt:i4>5</vt:i4>
      </vt:variant>
      <vt:variant>
        <vt:lpwstr/>
      </vt:variant>
      <vt:variant>
        <vt:lpwstr>_Toc237436730</vt:lpwstr>
      </vt:variant>
      <vt:variant>
        <vt:i4>1310769</vt:i4>
      </vt:variant>
      <vt:variant>
        <vt:i4>1214</vt:i4>
      </vt:variant>
      <vt:variant>
        <vt:i4>0</vt:i4>
      </vt:variant>
      <vt:variant>
        <vt:i4>5</vt:i4>
      </vt:variant>
      <vt:variant>
        <vt:lpwstr/>
      </vt:variant>
      <vt:variant>
        <vt:lpwstr>_Toc237436729</vt:lpwstr>
      </vt:variant>
      <vt:variant>
        <vt:i4>1310769</vt:i4>
      </vt:variant>
      <vt:variant>
        <vt:i4>1208</vt:i4>
      </vt:variant>
      <vt:variant>
        <vt:i4>0</vt:i4>
      </vt:variant>
      <vt:variant>
        <vt:i4>5</vt:i4>
      </vt:variant>
      <vt:variant>
        <vt:lpwstr/>
      </vt:variant>
      <vt:variant>
        <vt:lpwstr>_Toc237436728</vt:lpwstr>
      </vt:variant>
      <vt:variant>
        <vt:i4>1310769</vt:i4>
      </vt:variant>
      <vt:variant>
        <vt:i4>1202</vt:i4>
      </vt:variant>
      <vt:variant>
        <vt:i4>0</vt:i4>
      </vt:variant>
      <vt:variant>
        <vt:i4>5</vt:i4>
      </vt:variant>
      <vt:variant>
        <vt:lpwstr/>
      </vt:variant>
      <vt:variant>
        <vt:lpwstr>_Toc237436727</vt:lpwstr>
      </vt:variant>
      <vt:variant>
        <vt:i4>1310769</vt:i4>
      </vt:variant>
      <vt:variant>
        <vt:i4>1196</vt:i4>
      </vt:variant>
      <vt:variant>
        <vt:i4>0</vt:i4>
      </vt:variant>
      <vt:variant>
        <vt:i4>5</vt:i4>
      </vt:variant>
      <vt:variant>
        <vt:lpwstr/>
      </vt:variant>
      <vt:variant>
        <vt:lpwstr>_Toc237436726</vt:lpwstr>
      </vt:variant>
      <vt:variant>
        <vt:i4>1310769</vt:i4>
      </vt:variant>
      <vt:variant>
        <vt:i4>1190</vt:i4>
      </vt:variant>
      <vt:variant>
        <vt:i4>0</vt:i4>
      </vt:variant>
      <vt:variant>
        <vt:i4>5</vt:i4>
      </vt:variant>
      <vt:variant>
        <vt:lpwstr/>
      </vt:variant>
      <vt:variant>
        <vt:lpwstr>_Toc237436725</vt:lpwstr>
      </vt:variant>
      <vt:variant>
        <vt:i4>1310769</vt:i4>
      </vt:variant>
      <vt:variant>
        <vt:i4>1184</vt:i4>
      </vt:variant>
      <vt:variant>
        <vt:i4>0</vt:i4>
      </vt:variant>
      <vt:variant>
        <vt:i4>5</vt:i4>
      </vt:variant>
      <vt:variant>
        <vt:lpwstr/>
      </vt:variant>
      <vt:variant>
        <vt:lpwstr>_Toc237436724</vt:lpwstr>
      </vt:variant>
      <vt:variant>
        <vt:i4>1310769</vt:i4>
      </vt:variant>
      <vt:variant>
        <vt:i4>1178</vt:i4>
      </vt:variant>
      <vt:variant>
        <vt:i4>0</vt:i4>
      </vt:variant>
      <vt:variant>
        <vt:i4>5</vt:i4>
      </vt:variant>
      <vt:variant>
        <vt:lpwstr/>
      </vt:variant>
      <vt:variant>
        <vt:lpwstr>_Toc237436723</vt:lpwstr>
      </vt:variant>
      <vt:variant>
        <vt:i4>1310769</vt:i4>
      </vt:variant>
      <vt:variant>
        <vt:i4>1172</vt:i4>
      </vt:variant>
      <vt:variant>
        <vt:i4>0</vt:i4>
      </vt:variant>
      <vt:variant>
        <vt:i4>5</vt:i4>
      </vt:variant>
      <vt:variant>
        <vt:lpwstr/>
      </vt:variant>
      <vt:variant>
        <vt:lpwstr>_Toc237436722</vt:lpwstr>
      </vt:variant>
      <vt:variant>
        <vt:i4>1310769</vt:i4>
      </vt:variant>
      <vt:variant>
        <vt:i4>1166</vt:i4>
      </vt:variant>
      <vt:variant>
        <vt:i4>0</vt:i4>
      </vt:variant>
      <vt:variant>
        <vt:i4>5</vt:i4>
      </vt:variant>
      <vt:variant>
        <vt:lpwstr/>
      </vt:variant>
      <vt:variant>
        <vt:lpwstr>_Toc237436721</vt:lpwstr>
      </vt:variant>
      <vt:variant>
        <vt:i4>1310769</vt:i4>
      </vt:variant>
      <vt:variant>
        <vt:i4>1160</vt:i4>
      </vt:variant>
      <vt:variant>
        <vt:i4>0</vt:i4>
      </vt:variant>
      <vt:variant>
        <vt:i4>5</vt:i4>
      </vt:variant>
      <vt:variant>
        <vt:lpwstr/>
      </vt:variant>
      <vt:variant>
        <vt:lpwstr>_Toc237436720</vt:lpwstr>
      </vt:variant>
      <vt:variant>
        <vt:i4>1507377</vt:i4>
      </vt:variant>
      <vt:variant>
        <vt:i4>1154</vt:i4>
      </vt:variant>
      <vt:variant>
        <vt:i4>0</vt:i4>
      </vt:variant>
      <vt:variant>
        <vt:i4>5</vt:i4>
      </vt:variant>
      <vt:variant>
        <vt:lpwstr/>
      </vt:variant>
      <vt:variant>
        <vt:lpwstr>_Toc237436719</vt:lpwstr>
      </vt:variant>
      <vt:variant>
        <vt:i4>1507377</vt:i4>
      </vt:variant>
      <vt:variant>
        <vt:i4>1148</vt:i4>
      </vt:variant>
      <vt:variant>
        <vt:i4>0</vt:i4>
      </vt:variant>
      <vt:variant>
        <vt:i4>5</vt:i4>
      </vt:variant>
      <vt:variant>
        <vt:lpwstr/>
      </vt:variant>
      <vt:variant>
        <vt:lpwstr>_Toc237436718</vt:lpwstr>
      </vt:variant>
      <vt:variant>
        <vt:i4>1507377</vt:i4>
      </vt:variant>
      <vt:variant>
        <vt:i4>1142</vt:i4>
      </vt:variant>
      <vt:variant>
        <vt:i4>0</vt:i4>
      </vt:variant>
      <vt:variant>
        <vt:i4>5</vt:i4>
      </vt:variant>
      <vt:variant>
        <vt:lpwstr/>
      </vt:variant>
      <vt:variant>
        <vt:lpwstr>_Toc237436717</vt:lpwstr>
      </vt:variant>
      <vt:variant>
        <vt:i4>1507377</vt:i4>
      </vt:variant>
      <vt:variant>
        <vt:i4>1136</vt:i4>
      </vt:variant>
      <vt:variant>
        <vt:i4>0</vt:i4>
      </vt:variant>
      <vt:variant>
        <vt:i4>5</vt:i4>
      </vt:variant>
      <vt:variant>
        <vt:lpwstr/>
      </vt:variant>
      <vt:variant>
        <vt:lpwstr>_Toc237436716</vt:lpwstr>
      </vt:variant>
      <vt:variant>
        <vt:i4>1507377</vt:i4>
      </vt:variant>
      <vt:variant>
        <vt:i4>1130</vt:i4>
      </vt:variant>
      <vt:variant>
        <vt:i4>0</vt:i4>
      </vt:variant>
      <vt:variant>
        <vt:i4>5</vt:i4>
      </vt:variant>
      <vt:variant>
        <vt:lpwstr/>
      </vt:variant>
      <vt:variant>
        <vt:lpwstr>_Toc237436715</vt:lpwstr>
      </vt:variant>
      <vt:variant>
        <vt:i4>1507377</vt:i4>
      </vt:variant>
      <vt:variant>
        <vt:i4>1124</vt:i4>
      </vt:variant>
      <vt:variant>
        <vt:i4>0</vt:i4>
      </vt:variant>
      <vt:variant>
        <vt:i4>5</vt:i4>
      </vt:variant>
      <vt:variant>
        <vt:lpwstr/>
      </vt:variant>
      <vt:variant>
        <vt:lpwstr>_Toc237436714</vt:lpwstr>
      </vt:variant>
      <vt:variant>
        <vt:i4>1507377</vt:i4>
      </vt:variant>
      <vt:variant>
        <vt:i4>1118</vt:i4>
      </vt:variant>
      <vt:variant>
        <vt:i4>0</vt:i4>
      </vt:variant>
      <vt:variant>
        <vt:i4>5</vt:i4>
      </vt:variant>
      <vt:variant>
        <vt:lpwstr/>
      </vt:variant>
      <vt:variant>
        <vt:lpwstr>_Toc237436713</vt:lpwstr>
      </vt:variant>
      <vt:variant>
        <vt:i4>1507377</vt:i4>
      </vt:variant>
      <vt:variant>
        <vt:i4>1112</vt:i4>
      </vt:variant>
      <vt:variant>
        <vt:i4>0</vt:i4>
      </vt:variant>
      <vt:variant>
        <vt:i4>5</vt:i4>
      </vt:variant>
      <vt:variant>
        <vt:lpwstr/>
      </vt:variant>
      <vt:variant>
        <vt:lpwstr>_Toc237436712</vt:lpwstr>
      </vt:variant>
      <vt:variant>
        <vt:i4>1507377</vt:i4>
      </vt:variant>
      <vt:variant>
        <vt:i4>1106</vt:i4>
      </vt:variant>
      <vt:variant>
        <vt:i4>0</vt:i4>
      </vt:variant>
      <vt:variant>
        <vt:i4>5</vt:i4>
      </vt:variant>
      <vt:variant>
        <vt:lpwstr/>
      </vt:variant>
      <vt:variant>
        <vt:lpwstr>_Toc237436711</vt:lpwstr>
      </vt:variant>
      <vt:variant>
        <vt:i4>1507377</vt:i4>
      </vt:variant>
      <vt:variant>
        <vt:i4>1100</vt:i4>
      </vt:variant>
      <vt:variant>
        <vt:i4>0</vt:i4>
      </vt:variant>
      <vt:variant>
        <vt:i4>5</vt:i4>
      </vt:variant>
      <vt:variant>
        <vt:lpwstr/>
      </vt:variant>
      <vt:variant>
        <vt:lpwstr>_Toc237436710</vt:lpwstr>
      </vt:variant>
      <vt:variant>
        <vt:i4>1441841</vt:i4>
      </vt:variant>
      <vt:variant>
        <vt:i4>1094</vt:i4>
      </vt:variant>
      <vt:variant>
        <vt:i4>0</vt:i4>
      </vt:variant>
      <vt:variant>
        <vt:i4>5</vt:i4>
      </vt:variant>
      <vt:variant>
        <vt:lpwstr/>
      </vt:variant>
      <vt:variant>
        <vt:lpwstr>_Toc237436709</vt:lpwstr>
      </vt:variant>
      <vt:variant>
        <vt:i4>1441841</vt:i4>
      </vt:variant>
      <vt:variant>
        <vt:i4>1088</vt:i4>
      </vt:variant>
      <vt:variant>
        <vt:i4>0</vt:i4>
      </vt:variant>
      <vt:variant>
        <vt:i4>5</vt:i4>
      </vt:variant>
      <vt:variant>
        <vt:lpwstr/>
      </vt:variant>
      <vt:variant>
        <vt:lpwstr>_Toc237436708</vt:lpwstr>
      </vt:variant>
      <vt:variant>
        <vt:i4>1441841</vt:i4>
      </vt:variant>
      <vt:variant>
        <vt:i4>1082</vt:i4>
      </vt:variant>
      <vt:variant>
        <vt:i4>0</vt:i4>
      </vt:variant>
      <vt:variant>
        <vt:i4>5</vt:i4>
      </vt:variant>
      <vt:variant>
        <vt:lpwstr/>
      </vt:variant>
      <vt:variant>
        <vt:lpwstr>_Toc237436707</vt:lpwstr>
      </vt:variant>
      <vt:variant>
        <vt:i4>1441841</vt:i4>
      </vt:variant>
      <vt:variant>
        <vt:i4>1076</vt:i4>
      </vt:variant>
      <vt:variant>
        <vt:i4>0</vt:i4>
      </vt:variant>
      <vt:variant>
        <vt:i4>5</vt:i4>
      </vt:variant>
      <vt:variant>
        <vt:lpwstr/>
      </vt:variant>
      <vt:variant>
        <vt:lpwstr>_Toc237436706</vt:lpwstr>
      </vt:variant>
      <vt:variant>
        <vt:i4>1441841</vt:i4>
      </vt:variant>
      <vt:variant>
        <vt:i4>1070</vt:i4>
      </vt:variant>
      <vt:variant>
        <vt:i4>0</vt:i4>
      </vt:variant>
      <vt:variant>
        <vt:i4>5</vt:i4>
      </vt:variant>
      <vt:variant>
        <vt:lpwstr/>
      </vt:variant>
      <vt:variant>
        <vt:lpwstr>_Toc237436705</vt:lpwstr>
      </vt:variant>
      <vt:variant>
        <vt:i4>1441841</vt:i4>
      </vt:variant>
      <vt:variant>
        <vt:i4>1064</vt:i4>
      </vt:variant>
      <vt:variant>
        <vt:i4>0</vt:i4>
      </vt:variant>
      <vt:variant>
        <vt:i4>5</vt:i4>
      </vt:variant>
      <vt:variant>
        <vt:lpwstr/>
      </vt:variant>
      <vt:variant>
        <vt:lpwstr>_Toc237436704</vt:lpwstr>
      </vt:variant>
      <vt:variant>
        <vt:i4>1441841</vt:i4>
      </vt:variant>
      <vt:variant>
        <vt:i4>1058</vt:i4>
      </vt:variant>
      <vt:variant>
        <vt:i4>0</vt:i4>
      </vt:variant>
      <vt:variant>
        <vt:i4>5</vt:i4>
      </vt:variant>
      <vt:variant>
        <vt:lpwstr/>
      </vt:variant>
      <vt:variant>
        <vt:lpwstr>_Toc237436703</vt:lpwstr>
      </vt:variant>
      <vt:variant>
        <vt:i4>1441841</vt:i4>
      </vt:variant>
      <vt:variant>
        <vt:i4>1052</vt:i4>
      </vt:variant>
      <vt:variant>
        <vt:i4>0</vt:i4>
      </vt:variant>
      <vt:variant>
        <vt:i4>5</vt:i4>
      </vt:variant>
      <vt:variant>
        <vt:lpwstr/>
      </vt:variant>
      <vt:variant>
        <vt:lpwstr>_Toc237436702</vt:lpwstr>
      </vt:variant>
      <vt:variant>
        <vt:i4>1441841</vt:i4>
      </vt:variant>
      <vt:variant>
        <vt:i4>1046</vt:i4>
      </vt:variant>
      <vt:variant>
        <vt:i4>0</vt:i4>
      </vt:variant>
      <vt:variant>
        <vt:i4>5</vt:i4>
      </vt:variant>
      <vt:variant>
        <vt:lpwstr/>
      </vt:variant>
      <vt:variant>
        <vt:lpwstr>_Toc237436701</vt:lpwstr>
      </vt:variant>
      <vt:variant>
        <vt:i4>2031664</vt:i4>
      </vt:variant>
      <vt:variant>
        <vt:i4>1037</vt:i4>
      </vt:variant>
      <vt:variant>
        <vt:i4>0</vt:i4>
      </vt:variant>
      <vt:variant>
        <vt:i4>5</vt:i4>
      </vt:variant>
      <vt:variant>
        <vt:lpwstr/>
      </vt:variant>
      <vt:variant>
        <vt:lpwstr>_Toc237436693</vt:lpwstr>
      </vt:variant>
      <vt:variant>
        <vt:i4>2031664</vt:i4>
      </vt:variant>
      <vt:variant>
        <vt:i4>1031</vt:i4>
      </vt:variant>
      <vt:variant>
        <vt:i4>0</vt:i4>
      </vt:variant>
      <vt:variant>
        <vt:i4>5</vt:i4>
      </vt:variant>
      <vt:variant>
        <vt:lpwstr/>
      </vt:variant>
      <vt:variant>
        <vt:lpwstr>_Toc237436692</vt:lpwstr>
      </vt:variant>
      <vt:variant>
        <vt:i4>2031664</vt:i4>
      </vt:variant>
      <vt:variant>
        <vt:i4>1025</vt:i4>
      </vt:variant>
      <vt:variant>
        <vt:i4>0</vt:i4>
      </vt:variant>
      <vt:variant>
        <vt:i4>5</vt:i4>
      </vt:variant>
      <vt:variant>
        <vt:lpwstr/>
      </vt:variant>
      <vt:variant>
        <vt:lpwstr>_Toc237436691</vt:lpwstr>
      </vt:variant>
      <vt:variant>
        <vt:i4>2031664</vt:i4>
      </vt:variant>
      <vt:variant>
        <vt:i4>1019</vt:i4>
      </vt:variant>
      <vt:variant>
        <vt:i4>0</vt:i4>
      </vt:variant>
      <vt:variant>
        <vt:i4>5</vt:i4>
      </vt:variant>
      <vt:variant>
        <vt:lpwstr/>
      </vt:variant>
      <vt:variant>
        <vt:lpwstr>_Toc237436690</vt:lpwstr>
      </vt:variant>
      <vt:variant>
        <vt:i4>1966128</vt:i4>
      </vt:variant>
      <vt:variant>
        <vt:i4>1013</vt:i4>
      </vt:variant>
      <vt:variant>
        <vt:i4>0</vt:i4>
      </vt:variant>
      <vt:variant>
        <vt:i4>5</vt:i4>
      </vt:variant>
      <vt:variant>
        <vt:lpwstr/>
      </vt:variant>
      <vt:variant>
        <vt:lpwstr>_Toc237436689</vt:lpwstr>
      </vt:variant>
      <vt:variant>
        <vt:i4>1966128</vt:i4>
      </vt:variant>
      <vt:variant>
        <vt:i4>1007</vt:i4>
      </vt:variant>
      <vt:variant>
        <vt:i4>0</vt:i4>
      </vt:variant>
      <vt:variant>
        <vt:i4>5</vt:i4>
      </vt:variant>
      <vt:variant>
        <vt:lpwstr/>
      </vt:variant>
      <vt:variant>
        <vt:lpwstr>_Toc237436688</vt:lpwstr>
      </vt:variant>
      <vt:variant>
        <vt:i4>1966128</vt:i4>
      </vt:variant>
      <vt:variant>
        <vt:i4>1001</vt:i4>
      </vt:variant>
      <vt:variant>
        <vt:i4>0</vt:i4>
      </vt:variant>
      <vt:variant>
        <vt:i4>5</vt:i4>
      </vt:variant>
      <vt:variant>
        <vt:lpwstr/>
      </vt:variant>
      <vt:variant>
        <vt:lpwstr>_Toc237436687</vt:lpwstr>
      </vt:variant>
      <vt:variant>
        <vt:i4>1966128</vt:i4>
      </vt:variant>
      <vt:variant>
        <vt:i4>995</vt:i4>
      </vt:variant>
      <vt:variant>
        <vt:i4>0</vt:i4>
      </vt:variant>
      <vt:variant>
        <vt:i4>5</vt:i4>
      </vt:variant>
      <vt:variant>
        <vt:lpwstr/>
      </vt:variant>
      <vt:variant>
        <vt:lpwstr>_Toc237436686</vt:lpwstr>
      </vt:variant>
      <vt:variant>
        <vt:i4>1114160</vt:i4>
      </vt:variant>
      <vt:variant>
        <vt:i4>986</vt:i4>
      </vt:variant>
      <vt:variant>
        <vt:i4>0</vt:i4>
      </vt:variant>
      <vt:variant>
        <vt:i4>5</vt:i4>
      </vt:variant>
      <vt:variant>
        <vt:lpwstr/>
      </vt:variant>
      <vt:variant>
        <vt:lpwstr>_Toc237436672</vt:lpwstr>
      </vt:variant>
      <vt:variant>
        <vt:i4>1114160</vt:i4>
      </vt:variant>
      <vt:variant>
        <vt:i4>980</vt:i4>
      </vt:variant>
      <vt:variant>
        <vt:i4>0</vt:i4>
      </vt:variant>
      <vt:variant>
        <vt:i4>5</vt:i4>
      </vt:variant>
      <vt:variant>
        <vt:lpwstr/>
      </vt:variant>
      <vt:variant>
        <vt:lpwstr>_Toc237436671</vt:lpwstr>
      </vt:variant>
      <vt:variant>
        <vt:i4>1048624</vt:i4>
      </vt:variant>
      <vt:variant>
        <vt:i4>968</vt:i4>
      </vt:variant>
      <vt:variant>
        <vt:i4>0</vt:i4>
      </vt:variant>
      <vt:variant>
        <vt:i4>5</vt:i4>
      </vt:variant>
      <vt:variant>
        <vt:lpwstr/>
      </vt:variant>
      <vt:variant>
        <vt:lpwstr>_Toc237436661</vt:lpwstr>
      </vt:variant>
      <vt:variant>
        <vt:i4>1048624</vt:i4>
      </vt:variant>
      <vt:variant>
        <vt:i4>962</vt:i4>
      </vt:variant>
      <vt:variant>
        <vt:i4>0</vt:i4>
      </vt:variant>
      <vt:variant>
        <vt:i4>5</vt:i4>
      </vt:variant>
      <vt:variant>
        <vt:lpwstr/>
      </vt:variant>
      <vt:variant>
        <vt:lpwstr>_Toc237436660</vt:lpwstr>
      </vt:variant>
      <vt:variant>
        <vt:i4>1245232</vt:i4>
      </vt:variant>
      <vt:variant>
        <vt:i4>956</vt:i4>
      </vt:variant>
      <vt:variant>
        <vt:i4>0</vt:i4>
      </vt:variant>
      <vt:variant>
        <vt:i4>5</vt:i4>
      </vt:variant>
      <vt:variant>
        <vt:lpwstr/>
      </vt:variant>
      <vt:variant>
        <vt:lpwstr>_Toc237436659</vt:lpwstr>
      </vt:variant>
      <vt:variant>
        <vt:i4>1245232</vt:i4>
      </vt:variant>
      <vt:variant>
        <vt:i4>947</vt:i4>
      </vt:variant>
      <vt:variant>
        <vt:i4>0</vt:i4>
      </vt:variant>
      <vt:variant>
        <vt:i4>5</vt:i4>
      </vt:variant>
      <vt:variant>
        <vt:lpwstr/>
      </vt:variant>
      <vt:variant>
        <vt:lpwstr>_Toc237436658</vt:lpwstr>
      </vt:variant>
      <vt:variant>
        <vt:i4>1245232</vt:i4>
      </vt:variant>
      <vt:variant>
        <vt:i4>941</vt:i4>
      </vt:variant>
      <vt:variant>
        <vt:i4>0</vt:i4>
      </vt:variant>
      <vt:variant>
        <vt:i4>5</vt:i4>
      </vt:variant>
      <vt:variant>
        <vt:lpwstr/>
      </vt:variant>
      <vt:variant>
        <vt:lpwstr>_Toc237436657</vt:lpwstr>
      </vt:variant>
      <vt:variant>
        <vt:i4>1245232</vt:i4>
      </vt:variant>
      <vt:variant>
        <vt:i4>935</vt:i4>
      </vt:variant>
      <vt:variant>
        <vt:i4>0</vt:i4>
      </vt:variant>
      <vt:variant>
        <vt:i4>5</vt:i4>
      </vt:variant>
      <vt:variant>
        <vt:lpwstr/>
      </vt:variant>
      <vt:variant>
        <vt:lpwstr>_Toc237436656</vt:lpwstr>
      </vt:variant>
      <vt:variant>
        <vt:i4>1245232</vt:i4>
      </vt:variant>
      <vt:variant>
        <vt:i4>929</vt:i4>
      </vt:variant>
      <vt:variant>
        <vt:i4>0</vt:i4>
      </vt:variant>
      <vt:variant>
        <vt:i4>5</vt:i4>
      </vt:variant>
      <vt:variant>
        <vt:lpwstr/>
      </vt:variant>
      <vt:variant>
        <vt:lpwstr>_Toc237436655</vt:lpwstr>
      </vt:variant>
      <vt:variant>
        <vt:i4>1245232</vt:i4>
      </vt:variant>
      <vt:variant>
        <vt:i4>923</vt:i4>
      </vt:variant>
      <vt:variant>
        <vt:i4>0</vt:i4>
      </vt:variant>
      <vt:variant>
        <vt:i4>5</vt:i4>
      </vt:variant>
      <vt:variant>
        <vt:lpwstr/>
      </vt:variant>
      <vt:variant>
        <vt:lpwstr>_Toc237436654</vt:lpwstr>
      </vt:variant>
      <vt:variant>
        <vt:i4>1245232</vt:i4>
      </vt:variant>
      <vt:variant>
        <vt:i4>917</vt:i4>
      </vt:variant>
      <vt:variant>
        <vt:i4>0</vt:i4>
      </vt:variant>
      <vt:variant>
        <vt:i4>5</vt:i4>
      </vt:variant>
      <vt:variant>
        <vt:lpwstr/>
      </vt:variant>
      <vt:variant>
        <vt:lpwstr>_Toc237436653</vt:lpwstr>
      </vt:variant>
      <vt:variant>
        <vt:i4>1245232</vt:i4>
      </vt:variant>
      <vt:variant>
        <vt:i4>911</vt:i4>
      </vt:variant>
      <vt:variant>
        <vt:i4>0</vt:i4>
      </vt:variant>
      <vt:variant>
        <vt:i4>5</vt:i4>
      </vt:variant>
      <vt:variant>
        <vt:lpwstr/>
      </vt:variant>
      <vt:variant>
        <vt:lpwstr>_Toc237436652</vt:lpwstr>
      </vt:variant>
      <vt:variant>
        <vt:i4>1245232</vt:i4>
      </vt:variant>
      <vt:variant>
        <vt:i4>905</vt:i4>
      </vt:variant>
      <vt:variant>
        <vt:i4>0</vt:i4>
      </vt:variant>
      <vt:variant>
        <vt:i4>5</vt:i4>
      </vt:variant>
      <vt:variant>
        <vt:lpwstr/>
      </vt:variant>
      <vt:variant>
        <vt:lpwstr>_Toc237436651</vt:lpwstr>
      </vt:variant>
      <vt:variant>
        <vt:i4>1245232</vt:i4>
      </vt:variant>
      <vt:variant>
        <vt:i4>899</vt:i4>
      </vt:variant>
      <vt:variant>
        <vt:i4>0</vt:i4>
      </vt:variant>
      <vt:variant>
        <vt:i4>5</vt:i4>
      </vt:variant>
      <vt:variant>
        <vt:lpwstr/>
      </vt:variant>
      <vt:variant>
        <vt:lpwstr>_Toc237436650</vt:lpwstr>
      </vt:variant>
      <vt:variant>
        <vt:i4>1179696</vt:i4>
      </vt:variant>
      <vt:variant>
        <vt:i4>893</vt:i4>
      </vt:variant>
      <vt:variant>
        <vt:i4>0</vt:i4>
      </vt:variant>
      <vt:variant>
        <vt:i4>5</vt:i4>
      </vt:variant>
      <vt:variant>
        <vt:lpwstr/>
      </vt:variant>
      <vt:variant>
        <vt:lpwstr>_Toc237436649</vt:lpwstr>
      </vt:variant>
      <vt:variant>
        <vt:i4>1179696</vt:i4>
      </vt:variant>
      <vt:variant>
        <vt:i4>887</vt:i4>
      </vt:variant>
      <vt:variant>
        <vt:i4>0</vt:i4>
      </vt:variant>
      <vt:variant>
        <vt:i4>5</vt:i4>
      </vt:variant>
      <vt:variant>
        <vt:lpwstr/>
      </vt:variant>
      <vt:variant>
        <vt:lpwstr>_Toc237436648</vt:lpwstr>
      </vt:variant>
      <vt:variant>
        <vt:i4>1179696</vt:i4>
      </vt:variant>
      <vt:variant>
        <vt:i4>881</vt:i4>
      </vt:variant>
      <vt:variant>
        <vt:i4>0</vt:i4>
      </vt:variant>
      <vt:variant>
        <vt:i4>5</vt:i4>
      </vt:variant>
      <vt:variant>
        <vt:lpwstr/>
      </vt:variant>
      <vt:variant>
        <vt:lpwstr>_Toc237436647</vt:lpwstr>
      </vt:variant>
      <vt:variant>
        <vt:i4>1179696</vt:i4>
      </vt:variant>
      <vt:variant>
        <vt:i4>875</vt:i4>
      </vt:variant>
      <vt:variant>
        <vt:i4>0</vt:i4>
      </vt:variant>
      <vt:variant>
        <vt:i4>5</vt:i4>
      </vt:variant>
      <vt:variant>
        <vt:lpwstr/>
      </vt:variant>
      <vt:variant>
        <vt:lpwstr>_Toc237436646</vt:lpwstr>
      </vt:variant>
      <vt:variant>
        <vt:i4>1179696</vt:i4>
      </vt:variant>
      <vt:variant>
        <vt:i4>869</vt:i4>
      </vt:variant>
      <vt:variant>
        <vt:i4>0</vt:i4>
      </vt:variant>
      <vt:variant>
        <vt:i4>5</vt:i4>
      </vt:variant>
      <vt:variant>
        <vt:lpwstr/>
      </vt:variant>
      <vt:variant>
        <vt:lpwstr>_Toc237436645</vt:lpwstr>
      </vt:variant>
      <vt:variant>
        <vt:i4>1179696</vt:i4>
      </vt:variant>
      <vt:variant>
        <vt:i4>863</vt:i4>
      </vt:variant>
      <vt:variant>
        <vt:i4>0</vt:i4>
      </vt:variant>
      <vt:variant>
        <vt:i4>5</vt:i4>
      </vt:variant>
      <vt:variant>
        <vt:lpwstr/>
      </vt:variant>
      <vt:variant>
        <vt:lpwstr>_Toc237436644</vt:lpwstr>
      </vt:variant>
      <vt:variant>
        <vt:i4>1179696</vt:i4>
      </vt:variant>
      <vt:variant>
        <vt:i4>857</vt:i4>
      </vt:variant>
      <vt:variant>
        <vt:i4>0</vt:i4>
      </vt:variant>
      <vt:variant>
        <vt:i4>5</vt:i4>
      </vt:variant>
      <vt:variant>
        <vt:lpwstr/>
      </vt:variant>
      <vt:variant>
        <vt:lpwstr>_Toc237436643</vt:lpwstr>
      </vt:variant>
      <vt:variant>
        <vt:i4>1179696</vt:i4>
      </vt:variant>
      <vt:variant>
        <vt:i4>851</vt:i4>
      </vt:variant>
      <vt:variant>
        <vt:i4>0</vt:i4>
      </vt:variant>
      <vt:variant>
        <vt:i4>5</vt:i4>
      </vt:variant>
      <vt:variant>
        <vt:lpwstr/>
      </vt:variant>
      <vt:variant>
        <vt:lpwstr>_Toc237436642</vt:lpwstr>
      </vt:variant>
      <vt:variant>
        <vt:i4>1179696</vt:i4>
      </vt:variant>
      <vt:variant>
        <vt:i4>845</vt:i4>
      </vt:variant>
      <vt:variant>
        <vt:i4>0</vt:i4>
      </vt:variant>
      <vt:variant>
        <vt:i4>5</vt:i4>
      </vt:variant>
      <vt:variant>
        <vt:lpwstr/>
      </vt:variant>
      <vt:variant>
        <vt:lpwstr>_Toc237436641</vt:lpwstr>
      </vt:variant>
      <vt:variant>
        <vt:i4>1179696</vt:i4>
      </vt:variant>
      <vt:variant>
        <vt:i4>839</vt:i4>
      </vt:variant>
      <vt:variant>
        <vt:i4>0</vt:i4>
      </vt:variant>
      <vt:variant>
        <vt:i4>5</vt:i4>
      </vt:variant>
      <vt:variant>
        <vt:lpwstr/>
      </vt:variant>
      <vt:variant>
        <vt:lpwstr>_Toc237436640</vt:lpwstr>
      </vt:variant>
      <vt:variant>
        <vt:i4>1376304</vt:i4>
      </vt:variant>
      <vt:variant>
        <vt:i4>833</vt:i4>
      </vt:variant>
      <vt:variant>
        <vt:i4>0</vt:i4>
      </vt:variant>
      <vt:variant>
        <vt:i4>5</vt:i4>
      </vt:variant>
      <vt:variant>
        <vt:lpwstr/>
      </vt:variant>
      <vt:variant>
        <vt:lpwstr>_Toc237436639</vt:lpwstr>
      </vt:variant>
      <vt:variant>
        <vt:i4>1376304</vt:i4>
      </vt:variant>
      <vt:variant>
        <vt:i4>827</vt:i4>
      </vt:variant>
      <vt:variant>
        <vt:i4>0</vt:i4>
      </vt:variant>
      <vt:variant>
        <vt:i4>5</vt:i4>
      </vt:variant>
      <vt:variant>
        <vt:lpwstr/>
      </vt:variant>
      <vt:variant>
        <vt:lpwstr>_Toc237436638</vt:lpwstr>
      </vt:variant>
      <vt:variant>
        <vt:i4>1376304</vt:i4>
      </vt:variant>
      <vt:variant>
        <vt:i4>821</vt:i4>
      </vt:variant>
      <vt:variant>
        <vt:i4>0</vt:i4>
      </vt:variant>
      <vt:variant>
        <vt:i4>5</vt:i4>
      </vt:variant>
      <vt:variant>
        <vt:lpwstr/>
      </vt:variant>
      <vt:variant>
        <vt:lpwstr>_Toc237436637</vt:lpwstr>
      </vt:variant>
      <vt:variant>
        <vt:i4>1376304</vt:i4>
      </vt:variant>
      <vt:variant>
        <vt:i4>815</vt:i4>
      </vt:variant>
      <vt:variant>
        <vt:i4>0</vt:i4>
      </vt:variant>
      <vt:variant>
        <vt:i4>5</vt:i4>
      </vt:variant>
      <vt:variant>
        <vt:lpwstr/>
      </vt:variant>
      <vt:variant>
        <vt:lpwstr>_Toc237436636</vt:lpwstr>
      </vt:variant>
      <vt:variant>
        <vt:i4>1376304</vt:i4>
      </vt:variant>
      <vt:variant>
        <vt:i4>809</vt:i4>
      </vt:variant>
      <vt:variant>
        <vt:i4>0</vt:i4>
      </vt:variant>
      <vt:variant>
        <vt:i4>5</vt:i4>
      </vt:variant>
      <vt:variant>
        <vt:lpwstr/>
      </vt:variant>
      <vt:variant>
        <vt:lpwstr>_Toc237436635</vt:lpwstr>
      </vt:variant>
      <vt:variant>
        <vt:i4>1376304</vt:i4>
      </vt:variant>
      <vt:variant>
        <vt:i4>803</vt:i4>
      </vt:variant>
      <vt:variant>
        <vt:i4>0</vt:i4>
      </vt:variant>
      <vt:variant>
        <vt:i4>5</vt:i4>
      </vt:variant>
      <vt:variant>
        <vt:lpwstr/>
      </vt:variant>
      <vt:variant>
        <vt:lpwstr>_Toc237436634</vt:lpwstr>
      </vt:variant>
      <vt:variant>
        <vt:i4>1376304</vt:i4>
      </vt:variant>
      <vt:variant>
        <vt:i4>797</vt:i4>
      </vt:variant>
      <vt:variant>
        <vt:i4>0</vt:i4>
      </vt:variant>
      <vt:variant>
        <vt:i4>5</vt:i4>
      </vt:variant>
      <vt:variant>
        <vt:lpwstr/>
      </vt:variant>
      <vt:variant>
        <vt:lpwstr>_Toc237436633</vt:lpwstr>
      </vt:variant>
      <vt:variant>
        <vt:i4>1376304</vt:i4>
      </vt:variant>
      <vt:variant>
        <vt:i4>791</vt:i4>
      </vt:variant>
      <vt:variant>
        <vt:i4>0</vt:i4>
      </vt:variant>
      <vt:variant>
        <vt:i4>5</vt:i4>
      </vt:variant>
      <vt:variant>
        <vt:lpwstr/>
      </vt:variant>
      <vt:variant>
        <vt:lpwstr>_Toc237436632</vt:lpwstr>
      </vt:variant>
      <vt:variant>
        <vt:i4>1376304</vt:i4>
      </vt:variant>
      <vt:variant>
        <vt:i4>785</vt:i4>
      </vt:variant>
      <vt:variant>
        <vt:i4>0</vt:i4>
      </vt:variant>
      <vt:variant>
        <vt:i4>5</vt:i4>
      </vt:variant>
      <vt:variant>
        <vt:lpwstr/>
      </vt:variant>
      <vt:variant>
        <vt:lpwstr>_Toc237436631</vt:lpwstr>
      </vt:variant>
      <vt:variant>
        <vt:i4>1376304</vt:i4>
      </vt:variant>
      <vt:variant>
        <vt:i4>779</vt:i4>
      </vt:variant>
      <vt:variant>
        <vt:i4>0</vt:i4>
      </vt:variant>
      <vt:variant>
        <vt:i4>5</vt:i4>
      </vt:variant>
      <vt:variant>
        <vt:lpwstr/>
      </vt:variant>
      <vt:variant>
        <vt:lpwstr>_Toc237436630</vt:lpwstr>
      </vt:variant>
      <vt:variant>
        <vt:i4>1310768</vt:i4>
      </vt:variant>
      <vt:variant>
        <vt:i4>773</vt:i4>
      </vt:variant>
      <vt:variant>
        <vt:i4>0</vt:i4>
      </vt:variant>
      <vt:variant>
        <vt:i4>5</vt:i4>
      </vt:variant>
      <vt:variant>
        <vt:lpwstr/>
      </vt:variant>
      <vt:variant>
        <vt:lpwstr>_Toc237436629</vt:lpwstr>
      </vt:variant>
      <vt:variant>
        <vt:i4>1310768</vt:i4>
      </vt:variant>
      <vt:variant>
        <vt:i4>767</vt:i4>
      </vt:variant>
      <vt:variant>
        <vt:i4>0</vt:i4>
      </vt:variant>
      <vt:variant>
        <vt:i4>5</vt:i4>
      </vt:variant>
      <vt:variant>
        <vt:lpwstr/>
      </vt:variant>
      <vt:variant>
        <vt:lpwstr>_Toc237436628</vt:lpwstr>
      </vt:variant>
      <vt:variant>
        <vt:i4>1310768</vt:i4>
      </vt:variant>
      <vt:variant>
        <vt:i4>761</vt:i4>
      </vt:variant>
      <vt:variant>
        <vt:i4>0</vt:i4>
      </vt:variant>
      <vt:variant>
        <vt:i4>5</vt:i4>
      </vt:variant>
      <vt:variant>
        <vt:lpwstr/>
      </vt:variant>
      <vt:variant>
        <vt:lpwstr>_Toc237436627</vt:lpwstr>
      </vt:variant>
      <vt:variant>
        <vt:i4>1310768</vt:i4>
      </vt:variant>
      <vt:variant>
        <vt:i4>755</vt:i4>
      </vt:variant>
      <vt:variant>
        <vt:i4>0</vt:i4>
      </vt:variant>
      <vt:variant>
        <vt:i4>5</vt:i4>
      </vt:variant>
      <vt:variant>
        <vt:lpwstr/>
      </vt:variant>
      <vt:variant>
        <vt:lpwstr>_Toc237436626</vt:lpwstr>
      </vt:variant>
      <vt:variant>
        <vt:i4>1310768</vt:i4>
      </vt:variant>
      <vt:variant>
        <vt:i4>749</vt:i4>
      </vt:variant>
      <vt:variant>
        <vt:i4>0</vt:i4>
      </vt:variant>
      <vt:variant>
        <vt:i4>5</vt:i4>
      </vt:variant>
      <vt:variant>
        <vt:lpwstr/>
      </vt:variant>
      <vt:variant>
        <vt:lpwstr>_Toc237436625</vt:lpwstr>
      </vt:variant>
      <vt:variant>
        <vt:i4>1310768</vt:i4>
      </vt:variant>
      <vt:variant>
        <vt:i4>743</vt:i4>
      </vt:variant>
      <vt:variant>
        <vt:i4>0</vt:i4>
      </vt:variant>
      <vt:variant>
        <vt:i4>5</vt:i4>
      </vt:variant>
      <vt:variant>
        <vt:lpwstr/>
      </vt:variant>
      <vt:variant>
        <vt:lpwstr>_Toc237436624</vt:lpwstr>
      </vt:variant>
      <vt:variant>
        <vt:i4>1310768</vt:i4>
      </vt:variant>
      <vt:variant>
        <vt:i4>737</vt:i4>
      </vt:variant>
      <vt:variant>
        <vt:i4>0</vt:i4>
      </vt:variant>
      <vt:variant>
        <vt:i4>5</vt:i4>
      </vt:variant>
      <vt:variant>
        <vt:lpwstr/>
      </vt:variant>
      <vt:variant>
        <vt:lpwstr>_Toc237436623</vt:lpwstr>
      </vt:variant>
      <vt:variant>
        <vt:i4>1310768</vt:i4>
      </vt:variant>
      <vt:variant>
        <vt:i4>731</vt:i4>
      </vt:variant>
      <vt:variant>
        <vt:i4>0</vt:i4>
      </vt:variant>
      <vt:variant>
        <vt:i4>5</vt:i4>
      </vt:variant>
      <vt:variant>
        <vt:lpwstr/>
      </vt:variant>
      <vt:variant>
        <vt:lpwstr>_Toc237436622</vt:lpwstr>
      </vt:variant>
      <vt:variant>
        <vt:i4>3997816</vt:i4>
      </vt:variant>
      <vt:variant>
        <vt:i4>726</vt:i4>
      </vt:variant>
      <vt:variant>
        <vt:i4>0</vt:i4>
      </vt:variant>
      <vt:variant>
        <vt:i4>5</vt:i4>
      </vt:variant>
      <vt:variant>
        <vt:lpwstr>http://www.devbusiness.com/</vt:lpwstr>
      </vt:variant>
      <vt:variant>
        <vt:lpwstr/>
      </vt:variant>
      <vt:variant>
        <vt:i4>7274581</vt:i4>
      </vt:variant>
      <vt:variant>
        <vt:i4>723</vt:i4>
      </vt:variant>
      <vt:variant>
        <vt:i4>0</vt:i4>
      </vt:variant>
      <vt:variant>
        <vt:i4>5</vt:i4>
      </vt:variant>
      <vt:variant>
        <vt:lpwstr>mailto:dbusiness@worldbank.org</vt:lpwstr>
      </vt:variant>
      <vt:variant>
        <vt:lpwstr/>
      </vt:variant>
      <vt:variant>
        <vt:i4>5963847</vt:i4>
      </vt:variant>
      <vt:variant>
        <vt:i4>720</vt:i4>
      </vt:variant>
      <vt:variant>
        <vt:i4>0</vt:i4>
      </vt:variant>
      <vt:variant>
        <vt:i4>5</vt:i4>
      </vt:variant>
      <vt:variant>
        <vt:lpwstr>http://www.dgmarket.com/</vt:lpwstr>
      </vt:variant>
      <vt:variant>
        <vt:lpwstr/>
      </vt:variant>
      <vt:variant>
        <vt:i4>1245246</vt:i4>
      </vt:variant>
      <vt:variant>
        <vt:i4>713</vt:i4>
      </vt:variant>
      <vt:variant>
        <vt:i4>0</vt:i4>
      </vt:variant>
      <vt:variant>
        <vt:i4>5</vt:i4>
      </vt:variant>
      <vt:variant>
        <vt:lpwstr/>
      </vt:variant>
      <vt:variant>
        <vt:lpwstr>_Toc237437846</vt:lpwstr>
      </vt:variant>
      <vt:variant>
        <vt:i4>1245246</vt:i4>
      </vt:variant>
      <vt:variant>
        <vt:i4>707</vt:i4>
      </vt:variant>
      <vt:variant>
        <vt:i4>0</vt:i4>
      </vt:variant>
      <vt:variant>
        <vt:i4>5</vt:i4>
      </vt:variant>
      <vt:variant>
        <vt:lpwstr/>
      </vt:variant>
      <vt:variant>
        <vt:lpwstr>_Toc237437845</vt:lpwstr>
      </vt:variant>
      <vt:variant>
        <vt:i4>1245246</vt:i4>
      </vt:variant>
      <vt:variant>
        <vt:i4>701</vt:i4>
      </vt:variant>
      <vt:variant>
        <vt:i4>0</vt:i4>
      </vt:variant>
      <vt:variant>
        <vt:i4>5</vt:i4>
      </vt:variant>
      <vt:variant>
        <vt:lpwstr/>
      </vt:variant>
      <vt:variant>
        <vt:lpwstr>_Toc237437844</vt:lpwstr>
      </vt:variant>
      <vt:variant>
        <vt:i4>1245246</vt:i4>
      </vt:variant>
      <vt:variant>
        <vt:i4>695</vt:i4>
      </vt:variant>
      <vt:variant>
        <vt:i4>0</vt:i4>
      </vt:variant>
      <vt:variant>
        <vt:i4>5</vt:i4>
      </vt:variant>
      <vt:variant>
        <vt:lpwstr/>
      </vt:variant>
      <vt:variant>
        <vt:lpwstr>_Toc237437843</vt:lpwstr>
      </vt:variant>
      <vt:variant>
        <vt:i4>1245246</vt:i4>
      </vt:variant>
      <vt:variant>
        <vt:i4>689</vt:i4>
      </vt:variant>
      <vt:variant>
        <vt:i4>0</vt:i4>
      </vt:variant>
      <vt:variant>
        <vt:i4>5</vt:i4>
      </vt:variant>
      <vt:variant>
        <vt:lpwstr/>
      </vt:variant>
      <vt:variant>
        <vt:lpwstr>_Toc237437842</vt:lpwstr>
      </vt:variant>
      <vt:variant>
        <vt:i4>1245246</vt:i4>
      </vt:variant>
      <vt:variant>
        <vt:i4>683</vt:i4>
      </vt:variant>
      <vt:variant>
        <vt:i4>0</vt:i4>
      </vt:variant>
      <vt:variant>
        <vt:i4>5</vt:i4>
      </vt:variant>
      <vt:variant>
        <vt:lpwstr/>
      </vt:variant>
      <vt:variant>
        <vt:lpwstr>_Toc237437841</vt:lpwstr>
      </vt:variant>
      <vt:variant>
        <vt:i4>1245246</vt:i4>
      </vt:variant>
      <vt:variant>
        <vt:i4>677</vt:i4>
      </vt:variant>
      <vt:variant>
        <vt:i4>0</vt:i4>
      </vt:variant>
      <vt:variant>
        <vt:i4>5</vt:i4>
      </vt:variant>
      <vt:variant>
        <vt:lpwstr/>
      </vt:variant>
      <vt:variant>
        <vt:lpwstr>_Toc237437840</vt:lpwstr>
      </vt:variant>
      <vt:variant>
        <vt:i4>1310782</vt:i4>
      </vt:variant>
      <vt:variant>
        <vt:i4>671</vt:i4>
      </vt:variant>
      <vt:variant>
        <vt:i4>0</vt:i4>
      </vt:variant>
      <vt:variant>
        <vt:i4>5</vt:i4>
      </vt:variant>
      <vt:variant>
        <vt:lpwstr/>
      </vt:variant>
      <vt:variant>
        <vt:lpwstr>_Toc237437839</vt:lpwstr>
      </vt:variant>
      <vt:variant>
        <vt:i4>1310782</vt:i4>
      </vt:variant>
      <vt:variant>
        <vt:i4>665</vt:i4>
      </vt:variant>
      <vt:variant>
        <vt:i4>0</vt:i4>
      </vt:variant>
      <vt:variant>
        <vt:i4>5</vt:i4>
      </vt:variant>
      <vt:variant>
        <vt:lpwstr/>
      </vt:variant>
      <vt:variant>
        <vt:lpwstr>_Toc237437838</vt:lpwstr>
      </vt:variant>
      <vt:variant>
        <vt:i4>1310782</vt:i4>
      </vt:variant>
      <vt:variant>
        <vt:i4>659</vt:i4>
      </vt:variant>
      <vt:variant>
        <vt:i4>0</vt:i4>
      </vt:variant>
      <vt:variant>
        <vt:i4>5</vt:i4>
      </vt:variant>
      <vt:variant>
        <vt:lpwstr/>
      </vt:variant>
      <vt:variant>
        <vt:lpwstr>_Toc237437837</vt:lpwstr>
      </vt:variant>
      <vt:variant>
        <vt:i4>1310782</vt:i4>
      </vt:variant>
      <vt:variant>
        <vt:i4>653</vt:i4>
      </vt:variant>
      <vt:variant>
        <vt:i4>0</vt:i4>
      </vt:variant>
      <vt:variant>
        <vt:i4>5</vt:i4>
      </vt:variant>
      <vt:variant>
        <vt:lpwstr/>
      </vt:variant>
      <vt:variant>
        <vt:lpwstr>_Toc237437836</vt:lpwstr>
      </vt:variant>
      <vt:variant>
        <vt:i4>1310782</vt:i4>
      </vt:variant>
      <vt:variant>
        <vt:i4>647</vt:i4>
      </vt:variant>
      <vt:variant>
        <vt:i4>0</vt:i4>
      </vt:variant>
      <vt:variant>
        <vt:i4>5</vt:i4>
      </vt:variant>
      <vt:variant>
        <vt:lpwstr/>
      </vt:variant>
      <vt:variant>
        <vt:lpwstr>_Toc237437835</vt:lpwstr>
      </vt:variant>
      <vt:variant>
        <vt:i4>1310782</vt:i4>
      </vt:variant>
      <vt:variant>
        <vt:i4>641</vt:i4>
      </vt:variant>
      <vt:variant>
        <vt:i4>0</vt:i4>
      </vt:variant>
      <vt:variant>
        <vt:i4>5</vt:i4>
      </vt:variant>
      <vt:variant>
        <vt:lpwstr/>
      </vt:variant>
      <vt:variant>
        <vt:lpwstr>_Toc237437834</vt:lpwstr>
      </vt:variant>
      <vt:variant>
        <vt:i4>1310782</vt:i4>
      </vt:variant>
      <vt:variant>
        <vt:i4>635</vt:i4>
      </vt:variant>
      <vt:variant>
        <vt:i4>0</vt:i4>
      </vt:variant>
      <vt:variant>
        <vt:i4>5</vt:i4>
      </vt:variant>
      <vt:variant>
        <vt:lpwstr/>
      </vt:variant>
      <vt:variant>
        <vt:lpwstr>_Toc237437833</vt:lpwstr>
      </vt:variant>
      <vt:variant>
        <vt:i4>1310782</vt:i4>
      </vt:variant>
      <vt:variant>
        <vt:i4>629</vt:i4>
      </vt:variant>
      <vt:variant>
        <vt:i4>0</vt:i4>
      </vt:variant>
      <vt:variant>
        <vt:i4>5</vt:i4>
      </vt:variant>
      <vt:variant>
        <vt:lpwstr/>
      </vt:variant>
      <vt:variant>
        <vt:lpwstr>_Toc237437832</vt:lpwstr>
      </vt:variant>
      <vt:variant>
        <vt:i4>1310782</vt:i4>
      </vt:variant>
      <vt:variant>
        <vt:i4>623</vt:i4>
      </vt:variant>
      <vt:variant>
        <vt:i4>0</vt:i4>
      </vt:variant>
      <vt:variant>
        <vt:i4>5</vt:i4>
      </vt:variant>
      <vt:variant>
        <vt:lpwstr/>
      </vt:variant>
      <vt:variant>
        <vt:lpwstr>_Toc237437831</vt:lpwstr>
      </vt:variant>
      <vt:variant>
        <vt:i4>1310782</vt:i4>
      </vt:variant>
      <vt:variant>
        <vt:i4>617</vt:i4>
      </vt:variant>
      <vt:variant>
        <vt:i4>0</vt:i4>
      </vt:variant>
      <vt:variant>
        <vt:i4>5</vt:i4>
      </vt:variant>
      <vt:variant>
        <vt:lpwstr/>
      </vt:variant>
      <vt:variant>
        <vt:lpwstr>_Toc237437830</vt:lpwstr>
      </vt:variant>
      <vt:variant>
        <vt:i4>1376318</vt:i4>
      </vt:variant>
      <vt:variant>
        <vt:i4>611</vt:i4>
      </vt:variant>
      <vt:variant>
        <vt:i4>0</vt:i4>
      </vt:variant>
      <vt:variant>
        <vt:i4>5</vt:i4>
      </vt:variant>
      <vt:variant>
        <vt:lpwstr/>
      </vt:variant>
      <vt:variant>
        <vt:lpwstr>_Toc237437829</vt:lpwstr>
      </vt:variant>
      <vt:variant>
        <vt:i4>1376318</vt:i4>
      </vt:variant>
      <vt:variant>
        <vt:i4>605</vt:i4>
      </vt:variant>
      <vt:variant>
        <vt:i4>0</vt:i4>
      </vt:variant>
      <vt:variant>
        <vt:i4>5</vt:i4>
      </vt:variant>
      <vt:variant>
        <vt:lpwstr/>
      </vt:variant>
      <vt:variant>
        <vt:lpwstr>_Toc237437828</vt:lpwstr>
      </vt:variant>
      <vt:variant>
        <vt:i4>1376318</vt:i4>
      </vt:variant>
      <vt:variant>
        <vt:i4>599</vt:i4>
      </vt:variant>
      <vt:variant>
        <vt:i4>0</vt:i4>
      </vt:variant>
      <vt:variant>
        <vt:i4>5</vt:i4>
      </vt:variant>
      <vt:variant>
        <vt:lpwstr/>
      </vt:variant>
      <vt:variant>
        <vt:lpwstr>_Toc237437827</vt:lpwstr>
      </vt:variant>
      <vt:variant>
        <vt:i4>1376318</vt:i4>
      </vt:variant>
      <vt:variant>
        <vt:i4>593</vt:i4>
      </vt:variant>
      <vt:variant>
        <vt:i4>0</vt:i4>
      </vt:variant>
      <vt:variant>
        <vt:i4>5</vt:i4>
      </vt:variant>
      <vt:variant>
        <vt:lpwstr/>
      </vt:variant>
      <vt:variant>
        <vt:lpwstr>_Toc237437826</vt:lpwstr>
      </vt:variant>
      <vt:variant>
        <vt:i4>1376318</vt:i4>
      </vt:variant>
      <vt:variant>
        <vt:i4>587</vt:i4>
      </vt:variant>
      <vt:variant>
        <vt:i4>0</vt:i4>
      </vt:variant>
      <vt:variant>
        <vt:i4>5</vt:i4>
      </vt:variant>
      <vt:variant>
        <vt:lpwstr/>
      </vt:variant>
      <vt:variant>
        <vt:lpwstr>_Toc237437825</vt:lpwstr>
      </vt:variant>
      <vt:variant>
        <vt:i4>1376318</vt:i4>
      </vt:variant>
      <vt:variant>
        <vt:i4>581</vt:i4>
      </vt:variant>
      <vt:variant>
        <vt:i4>0</vt:i4>
      </vt:variant>
      <vt:variant>
        <vt:i4>5</vt:i4>
      </vt:variant>
      <vt:variant>
        <vt:lpwstr/>
      </vt:variant>
      <vt:variant>
        <vt:lpwstr>_Toc237437824</vt:lpwstr>
      </vt:variant>
      <vt:variant>
        <vt:i4>1376318</vt:i4>
      </vt:variant>
      <vt:variant>
        <vt:i4>575</vt:i4>
      </vt:variant>
      <vt:variant>
        <vt:i4>0</vt:i4>
      </vt:variant>
      <vt:variant>
        <vt:i4>5</vt:i4>
      </vt:variant>
      <vt:variant>
        <vt:lpwstr/>
      </vt:variant>
      <vt:variant>
        <vt:lpwstr>_Toc237437823</vt:lpwstr>
      </vt:variant>
      <vt:variant>
        <vt:i4>1376318</vt:i4>
      </vt:variant>
      <vt:variant>
        <vt:i4>569</vt:i4>
      </vt:variant>
      <vt:variant>
        <vt:i4>0</vt:i4>
      </vt:variant>
      <vt:variant>
        <vt:i4>5</vt:i4>
      </vt:variant>
      <vt:variant>
        <vt:lpwstr/>
      </vt:variant>
      <vt:variant>
        <vt:lpwstr>_Toc237437822</vt:lpwstr>
      </vt:variant>
      <vt:variant>
        <vt:i4>1376318</vt:i4>
      </vt:variant>
      <vt:variant>
        <vt:i4>563</vt:i4>
      </vt:variant>
      <vt:variant>
        <vt:i4>0</vt:i4>
      </vt:variant>
      <vt:variant>
        <vt:i4>5</vt:i4>
      </vt:variant>
      <vt:variant>
        <vt:lpwstr/>
      </vt:variant>
      <vt:variant>
        <vt:lpwstr>_Toc237437821</vt:lpwstr>
      </vt:variant>
      <vt:variant>
        <vt:i4>1376318</vt:i4>
      </vt:variant>
      <vt:variant>
        <vt:i4>557</vt:i4>
      </vt:variant>
      <vt:variant>
        <vt:i4>0</vt:i4>
      </vt:variant>
      <vt:variant>
        <vt:i4>5</vt:i4>
      </vt:variant>
      <vt:variant>
        <vt:lpwstr/>
      </vt:variant>
      <vt:variant>
        <vt:lpwstr>_Toc237437820</vt:lpwstr>
      </vt:variant>
      <vt:variant>
        <vt:i4>1441854</vt:i4>
      </vt:variant>
      <vt:variant>
        <vt:i4>551</vt:i4>
      </vt:variant>
      <vt:variant>
        <vt:i4>0</vt:i4>
      </vt:variant>
      <vt:variant>
        <vt:i4>5</vt:i4>
      </vt:variant>
      <vt:variant>
        <vt:lpwstr/>
      </vt:variant>
      <vt:variant>
        <vt:lpwstr>_Toc237437819</vt:lpwstr>
      </vt:variant>
      <vt:variant>
        <vt:i4>1441854</vt:i4>
      </vt:variant>
      <vt:variant>
        <vt:i4>545</vt:i4>
      </vt:variant>
      <vt:variant>
        <vt:i4>0</vt:i4>
      </vt:variant>
      <vt:variant>
        <vt:i4>5</vt:i4>
      </vt:variant>
      <vt:variant>
        <vt:lpwstr/>
      </vt:variant>
      <vt:variant>
        <vt:lpwstr>_Toc237437818</vt:lpwstr>
      </vt:variant>
      <vt:variant>
        <vt:i4>1441854</vt:i4>
      </vt:variant>
      <vt:variant>
        <vt:i4>539</vt:i4>
      </vt:variant>
      <vt:variant>
        <vt:i4>0</vt:i4>
      </vt:variant>
      <vt:variant>
        <vt:i4>5</vt:i4>
      </vt:variant>
      <vt:variant>
        <vt:lpwstr/>
      </vt:variant>
      <vt:variant>
        <vt:lpwstr>_Toc237437817</vt:lpwstr>
      </vt:variant>
      <vt:variant>
        <vt:i4>1441854</vt:i4>
      </vt:variant>
      <vt:variant>
        <vt:i4>533</vt:i4>
      </vt:variant>
      <vt:variant>
        <vt:i4>0</vt:i4>
      </vt:variant>
      <vt:variant>
        <vt:i4>5</vt:i4>
      </vt:variant>
      <vt:variant>
        <vt:lpwstr/>
      </vt:variant>
      <vt:variant>
        <vt:lpwstr>_Toc237437816</vt:lpwstr>
      </vt:variant>
      <vt:variant>
        <vt:i4>1441854</vt:i4>
      </vt:variant>
      <vt:variant>
        <vt:i4>527</vt:i4>
      </vt:variant>
      <vt:variant>
        <vt:i4>0</vt:i4>
      </vt:variant>
      <vt:variant>
        <vt:i4>5</vt:i4>
      </vt:variant>
      <vt:variant>
        <vt:lpwstr/>
      </vt:variant>
      <vt:variant>
        <vt:lpwstr>_Toc237437815</vt:lpwstr>
      </vt:variant>
      <vt:variant>
        <vt:i4>1441854</vt:i4>
      </vt:variant>
      <vt:variant>
        <vt:i4>521</vt:i4>
      </vt:variant>
      <vt:variant>
        <vt:i4>0</vt:i4>
      </vt:variant>
      <vt:variant>
        <vt:i4>5</vt:i4>
      </vt:variant>
      <vt:variant>
        <vt:lpwstr/>
      </vt:variant>
      <vt:variant>
        <vt:lpwstr>_Toc237437814</vt:lpwstr>
      </vt:variant>
      <vt:variant>
        <vt:i4>1441854</vt:i4>
      </vt:variant>
      <vt:variant>
        <vt:i4>515</vt:i4>
      </vt:variant>
      <vt:variant>
        <vt:i4>0</vt:i4>
      </vt:variant>
      <vt:variant>
        <vt:i4>5</vt:i4>
      </vt:variant>
      <vt:variant>
        <vt:lpwstr/>
      </vt:variant>
      <vt:variant>
        <vt:lpwstr>_Toc237437813</vt:lpwstr>
      </vt:variant>
      <vt:variant>
        <vt:i4>1441854</vt:i4>
      </vt:variant>
      <vt:variant>
        <vt:i4>509</vt:i4>
      </vt:variant>
      <vt:variant>
        <vt:i4>0</vt:i4>
      </vt:variant>
      <vt:variant>
        <vt:i4>5</vt:i4>
      </vt:variant>
      <vt:variant>
        <vt:lpwstr/>
      </vt:variant>
      <vt:variant>
        <vt:lpwstr>_Toc237437812</vt:lpwstr>
      </vt:variant>
      <vt:variant>
        <vt:i4>1441854</vt:i4>
      </vt:variant>
      <vt:variant>
        <vt:i4>503</vt:i4>
      </vt:variant>
      <vt:variant>
        <vt:i4>0</vt:i4>
      </vt:variant>
      <vt:variant>
        <vt:i4>5</vt:i4>
      </vt:variant>
      <vt:variant>
        <vt:lpwstr/>
      </vt:variant>
      <vt:variant>
        <vt:lpwstr>_Toc237437811</vt:lpwstr>
      </vt:variant>
      <vt:variant>
        <vt:i4>1441854</vt:i4>
      </vt:variant>
      <vt:variant>
        <vt:i4>497</vt:i4>
      </vt:variant>
      <vt:variant>
        <vt:i4>0</vt:i4>
      </vt:variant>
      <vt:variant>
        <vt:i4>5</vt:i4>
      </vt:variant>
      <vt:variant>
        <vt:lpwstr/>
      </vt:variant>
      <vt:variant>
        <vt:lpwstr>_Toc237437810</vt:lpwstr>
      </vt:variant>
      <vt:variant>
        <vt:i4>1507390</vt:i4>
      </vt:variant>
      <vt:variant>
        <vt:i4>491</vt:i4>
      </vt:variant>
      <vt:variant>
        <vt:i4>0</vt:i4>
      </vt:variant>
      <vt:variant>
        <vt:i4>5</vt:i4>
      </vt:variant>
      <vt:variant>
        <vt:lpwstr/>
      </vt:variant>
      <vt:variant>
        <vt:lpwstr>_Toc237437809</vt:lpwstr>
      </vt:variant>
      <vt:variant>
        <vt:i4>1507390</vt:i4>
      </vt:variant>
      <vt:variant>
        <vt:i4>485</vt:i4>
      </vt:variant>
      <vt:variant>
        <vt:i4>0</vt:i4>
      </vt:variant>
      <vt:variant>
        <vt:i4>5</vt:i4>
      </vt:variant>
      <vt:variant>
        <vt:lpwstr/>
      </vt:variant>
      <vt:variant>
        <vt:lpwstr>_Toc237437808</vt:lpwstr>
      </vt:variant>
      <vt:variant>
        <vt:i4>1507390</vt:i4>
      </vt:variant>
      <vt:variant>
        <vt:i4>479</vt:i4>
      </vt:variant>
      <vt:variant>
        <vt:i4>0</vt:i4>
      </vt:variant>
      <vt:variant>
        <vt:i4>5</vt:i4>
      </vt:variant>
      <vt:variant>
        <vt:lpwstr/>
      </vt:variant>
      <vt:variant>
        <vt:lpwstr>_Toc237437807</vt:lpwstr>
      </vt:variant>
      <vt:variant>
        <vt:i4>1507390</vt:i4>
      </vt:variant>
      <vt:variant>
        <vt:i4>473</vt:i4>
      </vt:variant>
      <vt:variant>
        <vt:i4>0</vt:i4>
      </vt:variant>
      <vt:variant>
        <vt:i4>5</vt:i4>
      </vt:variant>
      <vt:variant>
        <vt:lpwstr/>
      </vt:variant>
      <vt:variant>
        <vt:lpwstr>_Toc237437806</vt:lpwstr>
      </vt:variant>
      <vt:variant>
        <vt:i4>1507390</vt:i4>
      </vt:variant>
      <vt:variant>
        <vt:i4>467</vt:i4>
      </vt:variant>
      <vt:variant>
        <vt:i4>0</vt:i4>
      </vt:variant>
      <vt:variant>
        <vt:i4>5</vt:i4>
      </vt:variant>
      <vt:variant>
        <vt:lpwstr/>
      </vt:variant>
      <vt:variant>
        <vt:lpwstr>_Toc237437805</vt:lpwstr>
      </vt:variant>
      <vt:variant>
        <vt:i4>3145800</vt:i4>
      </vt:variant>
      <vt:variant>
        <vt:i4>462</vt:i4>
      </vt:variant>
      <vt:variant>
        <vt:i4>0</vt:i4>
      </vt:variant>
      <vt:variant>
        <vt:i4>5</vt:i4>
      </vt:variant>
      <vt:variant>
        <vt:lpwstr>http://www.iccwbo.org/index_incoterms.asp</vt:lpwstr>
      </vt:variant>
      <vt:variant>
        <vt:lpwstr/>
      </vt:variant>
      <vt:variant>
        <vt:i4>1245274</vt:i4>
      </vt:variant>
      <vt:variant>
        <vt:i4>447</vt:i4>
      </vt:variant>
      <vt:variant>
        <vt:i4>0</vt:i4>
      </vt:variant>
      <vt:variant>
        <vt:i4>5</vt:i4>
      </vt:variant>
      <vt:variant>
        <vt:lpwstr>http://www.worldbank.org/debarr/</vt:lpwstr>
      </vt:variant>
      <vt:variant>
        <vt:lpwstr/>
      </vt:variant>
      <vt:variant>
        <vt:i4>1114163</vt:i4>
      </vt:variant>
      <vt:variant>
        <vt:i4>440</vt:i4>
      </vt:variant>
      <vt:variant>
        <vt:i4>0</vt:i4>
      </vt:variant>
      <vt:variant>
        <vt:i4>5</vt:i4>
      </vt:variant>
      <vt:variant>
        <vt:lpwstr/>
      </vt:variant>
      <vt:variant>
        <vt:lpwstr>_Toc237436570</vt:lpwstr>
      </vt:variant>
      <vt:variant>
        <vt:i4>1048627</vt:i4>
      </vt:variant>
      <vt:variant>
        <vt:i4>434</vt:i4>
      </vt:variant>
      <vt:variant>
        <vt:i4>0</vt:i4>
      </vt:variant>
      <vt:variant>
        <vt:i4>5</vt:i4>
      </vt:variant>
      <vt:variant>
        <vt:lpwstr/>
      </vt:variant>
      <vt:variant>
        <vt:lpwstr>_Toc237436569</vt:lpwstr>
      </vt:variant>
      <vt:variant>
        <vt:i4>1048627</vt:i4>
      </vt:variant>
      <vt:variant>
        <vt:i4>428</vt:i4>
      </vt:variant>
      <vt:variant>
        <vt:i4>0</vt:i4>
      </vt:variant>
      <vt:variant>
        <vt:i4>5</vt:i4>
      </vt:variant>
      <vt:variant>
        <vt:lpwstr/>
      </vt:variant>
      <vt:variant>
        <vt:lpwstr>_Toc237436568</vt:lpwstr>
      </vt:variant>
      <vt:variant>
        <vt:i4>1048627</vt:i4>
      </vt:variant>
      <vt:variant>
        <vt:i4>422</vt:i4>
      </vt:variant>
      <vt:variant>
        <vt:i4>0</vt:i4>
      </vt:variant>
      <vt:variant>
        <vt:i4>5</vt:i4>
      </vt:variant>
      <vt:variant>
        <vt:lpwstr/>
      </vt:variant>
      <vt:variant>
        <vt:lpwstr>_Toc237436567</vt:lpwstr>
      </vt:variant>
      <vt:variant>
        <vt:i4>1048627</vt:i4>
      </vt:variant>
      <vt:variant>
        <vt:i4>416</vt:i4>
      </vt:variant>
      <vt:variant>
        <vt:i4>0</vt:i4>
      </vt:variant>
      <vt:variant>
        <vt:i4>5</vt:i4>
      </vt:variant>
      <vt:variant>
        <vt:lpwstr/>
      </vt:variant>
      <vt:variant>
        <vt:lpwstr>_Toc237436566</vt:lpwstr>
      </vt:variant>
      <vt:variant>
        <vt:i4>1048627</vt:i4>
      </vt:variant>
      <vt:variant>
        <vt:i4>410</vt:i4>
      </vt:variant>
      <vt:variant>
        <vt:i4>0</vt:i4>
      </vt:variant>
      <vt:variant>
        <vt:i4>5</vt:i4>
      </vt:variant>
      <vt:variant>
        <vt:lpwstr/>
      </vt:variant>
      <vt:variant>
        <vt:lpwstr>_Toc237436565</vt:lpwstr>
      </vt:variant>
      <vt:variant>
        <vt:i4>1048627</vt:i4>
      </vt:variant>
      <vt:variant>
        <vt:i4>404</vt:i4>
      </vt:variant>
      <vt:variant>
        <vt:i4>0</vt:i4>
      </vt:variant>
      <vt:variant>
        <vt:i4>5</vt:i4>
      </vt:variant>
      <vt:variant>
        <vt:lpwstr/>
      </vt:variant>
      <vt:variant>
        <vt:lpwstr>_Toc237436564</vt:lpwstr>
      </vt:variant>
      <vt:variant>
        <vt:i4>1048627</vt:i4>
      </vt:variant>
      <vt:variant>
        <vt:i4>398</vt:i4>
      </vt:variant>
      <vt:variant>
        <vt:i4>0</vt:i4>
      </vt:variant>
      <vt:variant>
        <vt:i4>5</vt:i4>
      </vt:variant>
      <vt:variant>
        <vt:lpwstr/>
      </vt:variant>
      <vt:variant>
        <vt:lpwstr>_Toc237436563</vt:lpwstr>
      </vt:variant>
      <vt:variant>
        <vt:i4>1048627</vt:i4>
      </vt:variant>
      <vt:variant>
        <vt:i4>392</vt:i4>
      </vt:variant>
      <vt:variant>
        <vt:i4>0</vt:i4>
      </vt:variant>
      <vt:variant>
        <vt:i4>5</vt:i4>
      </vt:variant>
      <vt:variant>
        <vt:lpwstr/>
      </vt:variant>
      <vt:variant>
        <vt:lpwstr>_Toc237436562</vt:lpwstr>
      </vt:variant>
      <vt:variant>
        <vt:i4>1048627</vt:i4>
      </vt:variant>
      <vt:variant>
        <vt:i4>386</vt:i4>
      </vt:variant>
      <vt:variant>
        <vt:i4>0</vt:i4>
      </vt:variant>
      <vt:variant>
        <vt:i4>5</vt:i4>
      </vt:variant>
      <vt:variant>
        <vt:lpwstr/>
      </vt:variant>
      <vt:variant>
        <vt:lpwstr>_Toc237436561</vt:lpwstr>
      </vt:variant>
      <vt:variant>
        <vt:i4>1048627</vt:i4>
      </vt:variant>
      <vt:variant>
        <vt:i4>380</vt:i4>
      </vt:variant>
      <vt:variant>
        <vt:i4>0</vt:i4>
      </vt:variant>
      <vt:variant>
        <vt:i4>5</vt:i4>
      </vt:variant>
      <vt:variant>
        <vt:lpwstr/>
      </vt:variant>
      <vt:variant>
        <vt:lpwstr>_Toc237436560</vt:lpwstr>
      </vt:variant>
      <vt:variant>
        <vt:i4>1245235</vt:i4>
      </vt:variant>
      <vt:variant>
        <vt:i4>374</vt:i4>
      </vt:variant>
      <vt:variant>
        <vt:i4>0</vt:i4>
      </vt:variant>
      <vt:variant>
        <vt:i4>5</vt:i4>
      </vt:variant>
      <vt:variant>
        <vt:lpwstr/>
      </vt:variant>
      <vt:variant>
        <vt:lpwstr>_Toc237436559</vt:lpwstr>
      </vt:variant>
      <vt:variant>
        <vt:i4>1245235</vt:i4>
      </vt:variant>
      <vt:variant>
        <vt:i4>368</vt:i4>
      </vt:variant>
      <vt:variant>
        <vt:i4>0</vt:i4>
      </vt:variant>
      <vt:variant>
        <vt:i4>5</vt:i4>
      </vt:variant>
      <vt:variant>
        <vt:lpwstr/>
      </vt:variant>
      <vt:variant>
        <vt:lpwstr>_Toc237436558</vt:lpwstr>
      </vt:variant>
      <vt:variant>
        <vt:i4>1245235</vt:i4>
      </vt:variant>
      <vt:variant>
        <vt:i4>362</vt:i4>
      </vt:variant>
      <vt:variant>
        <vt:i4>0</vt:i4>
      </vt:variant>
      <vt:variant>
        <vt:i4>5</vt:i4>
      </vt:variant>
      <vt:variant>
        <vt:lpwstr/>
      </vt:variant>
      <vt:variant>
        <vt:lpwstr>_Toc237436557</vt:lpwstr>
      </vt:variant>
      <vt:variant>
        <vt:i4>1245235</vt:i4>
      </vt:variant>
      <vt:variant>
        <vt:i4>356</vt:i4>
      </vt:variant>
      <vt:variant>
        <vt:i4>0</vt:i4>
      </vt:variant>
      <vt:variant>
        <vt:i4>5</vt:i4>
      </vt:variant>
      <vt:variant>
        <vt:lpwstr/>
      </vt:variant>
      <vt:variant>
        <vt:lpwstr>_Toc237436556</vt:lpwstr>
      </vt:variant>
      <vt:variant>
        <vt:i4>1245235</vt:i4>
      </vt:variant>
      <vt:variant>
        <vt:i4>350</vt:i4>
      </vt:variant>
      <vt:variant>
        <vt:i4>0</vt:i4>
      </vt:variant>
      <vt:variant>
        <vt:i4>5</vt:i4>
      </vt:variant>
      <vt:variant>
        <vt:lpwstr/>
      </vt:variant>
      <vt:variant>
        <vt:lpwstr>_Toc237436555</vt:lpwstr>
      </vt:variant>
      <vt:variant>
        <vt:i4>1245235</vt:i4>
      </vt:variant>
      <vt:variant>
        <vt:i4>344</vt:i4>
      </vt:variant>
      <vt:variant>
        <vt:i4>0</vt:i4>
      </vt:variant>
      <vt:variant>
        <vt:i4>5</vt:i4>
      </vt:variant>
      <vt:variant>
        <vt:lpwstr/>
      </vt:variant>
      <vt:variant>
        <vt:lpwstr>_Toc237436554</vt:lpwstr>
      </vt:variant>
      <vt:variant>
        <vt:i4>1245235</vt:i4>
      </vt:variant>
      <vt:variant>
        <vt:i4>338</vt:i4>
      </vt:variant>
      <vt:variant>
        <vt:i4>0</vt:i4>
      </vt:variant>
      <vt:variant>
        <vt:i4>5</vt:i4>
      </vt:variant>
      <vt:variant>
        <vt:lpwstr/>
      </vt:variant>
      <vt:variant>
        <vt:lpwstr>_Toc237436553</vt:lpwstr>
      </vt:variant>
      <vt:variant>
        <vt:i4>1245235</vt:i4>
      </vt:variant>
      <vt:variant>
        <vt:i4>332</vt:i4>
      </vt:variant>
      <vt:variant>
        <vt:i4>0</vt:i4>
      </vt:variant>
      <vt:variant>
        <vt:i4>5</vt:i4>
      </vt:variant>
      <vt:variant>
        <vt:lpwstr/>
      </vt:variant>
      <vt:variant>
        <vt:lpwstr>_Toc237436552</vt:lpwstr>
      </vt:variant>
      <vt:variant>
        <vt:i4>1245235</vt:i4>
      </vt:variant>
      <vt:variant>
        <vt:i4>326</vt:i4>
      </vt:variant>
      <vt:variant>
        <vt:i4>0</vt:i4>
      </vt:variant>
      <vt:variant>
        <vt:i4>5</vt:i4>
      </vt:variant>
      <vt:variant>
        <vt:lpwstr/>
      </vt:variant>
      <vt:variant>
        <vt:lpwstr>_Toc237436551</vt:lpwstr>
      </vt:variant>
      <vt:variant>
        <vt:i4>1245235</vt:i4>
      </vt:variant>
      <vt:variant>
        <vt:i4>320</vt:i4>
      </vt:variant>
      <vt:variant>
        <vt:i4>0</vt:i4>
      </vt:variant>
      <vt:variant>
        <vt:i4>5</vt:i4>
      </vt:variant>
      <vt:variant>
        <vt:lpwstr/>
      </vt:variant>
      <vt:variant>
        <vt:lpwstr>_Toc237436550</vt:lpwstr>
      </vt:variant>
      <vt:variant>
        <vt:i4>1179699</vt:i4>
      </vt:variant>
      <vt:variant>
        <vt:i4>314</vt:i4>
      </vt:variant>
      <vt:variant>
        <vt:i4>0</vt:i4>
      </vt:variant>
      <vt:variant>
        <vt:i4>5</vt:i4>
      </vt:variant>
      <vt:variant>
        <vt:lpwstr/>
      </vt:variant>
      <vt:variant>
        <vt:lpwstr>_Toc237436549</vt:lpwstr>
      </vt:variant>
      <vt:variant>
        <vt:i4>1179699</vt:i4>
      </vt:variant>
      <vt:variant>
        <vt:i4>308</vt:i4>
      </vt:variant>
      <vt:variant>
        <vt:i4>0</vt:i4>
      </vt:variant>
      <vt:variant>
        <vt:i4>5</vt:i4>
      </vt:variant>
      <vt:variant>
        <vt:lpwstr/>
      </vt:variant>
      <vt:variant>
        <vt:lpwstr>_Toc237436548</vt:lpwstr>
      </vt:variant>
      <vt:variant>
        <vt:i4>1179699</vt:i4>
      </vt:variant>
      <vt:variant>
        <vt:i4>302</vt:i4>
      </vt:variant>
      <vt:variant>
        <vt:i4>0</vt:i4>
      </vt:variant>
      <vt:variant>
        <vt:i4>5</vt:i4>
      </vt:variant>
      <vt:variant>
        <vt:lpwstr/>
      </vt:variant>
      <vt:variant>
        <vt:lpwstr>_Toc237436547</vt:lpwstr>
      </vt:variant>
      <vt:variant>
        <vt:i4>1179699</vt:i4>
      </vt:variant>
      <vt:variant>
        <vt:i4>296</vt:i4>
      </vt:variant>
      <vt:variant>
        <vt:i4>0</vt:i4>
      </vt:variant>
      <vt:variant>
        <vt:i4>5</vt:i4>
      </vt:variant>
      <vt:variant>
        <vt:lpwstr/>
      </vt:variant>
      <vt:variant>
        <vt:lpwstr>_Toc237436546</vt:lpwstr>
      </vt:variant>
      <vt:variant>
        <vt:i4>1179699</vt:i4>
      </vt:variant>
      <vt:variant>
        <vt:i4>290</vt:i4>
      </vt:variant>
      <vt:variant>
        <vt:i4>0</vt:i4>
      </vt:variant>
      <vt:variant>
        <vt:i4>5</vt:i4>
      </vt:variant>
      <vt:variant>
        <vt:lpwstr/>
      </vt:variant>
      <vt:variant>
        <vt:lpwstr>_Toc237436545</vt:lpwstr>
      </vt:variant>
      <vt:variant>
        <vt:i4>1179699</vt:i4>
      </vt:variant>
      <vt:variant>
        <vt:i4>284</vt:i4>
      </vt:variant>
      <vt:variant>
        <vt:i4>0</vt:i4>
      </vt:variant>
      <vt:variant>
        <vt:i4>5</vt:i4>
      </vt:variant>
      <vt:variant>
        <vt:lpwstr/>
      </vt:variant>
      <vt:variant>
        <vt:lpwstr>_Toc237436544</vt:lpwstr>
      </vt:variant>
      <vt:variant>
        <vt:i4>1179699</vt:i4>
      </vt:variant>
      <vt:variant>
        <vt:i4>278</vt:i4>
      </vt:variant>
      <vt:variant>
        <vt:i4>0</vt:i4>
      </vt:variant>
      <vt:variant>
        <vt:i4>5</vt:i4>
      </vt:variant>
      <vt:variant>
        <vt:lpwstr/>
      </vt:variant>
      <vt:variant>
        <vt:lpwstr>_Toc237436543</vt:lpwstr>
      </vt:variant>
      <vt:variant>
        <vt:i4>1179699</vt:i4>
      </vt:variant>
      <vt:variant>
        <vt:i4>272</vt:i4>
      </vt:variant>
      <vt:variant>
        <vt:i4>0</vt:i4>
      </vt:variant>
      <vt:variant>
        <vt:i4>5</vt:i4>
      </vt:variant>
      <vt:variant>
        <vt:lpwstr/>
      </vt:variant>
      <vt:variant>
        <vt:lpwstr>_Toc237436542</vt:lpwstr>
      </vt:variant>
      <vt:variant>
        <vt:i4>1179699</vt:i4>
      </vt:variant>
      <vt:variant>
        <vt:i4>266</vt:i4>
      </vt:variant>
      <vt:variant>
        <vt:i4>0</vt:i4>
      </vt:variant>
      <vt:variant>
        <vt:i4>5</vt:i4>
      </vt:variant>
      <vt:variant>
        <vt:lpwstr/>
      </vt:variant>
      <vt:variant>
        <vt:lpwstr>_Toc237436541</vt:lpwstr>
      </vt:variant>
      <vt:variant>
        <vt:i4>1179699</vt:i4>
      </vt:variant>
      <vt:variant>
        <vt:i4>260</vt:i4>
      </vt:variant>
      <vt:variant>
        <vt:i4>0</vt:i4>
      </vt:variant>
      <vt:variant>
        <vt:i4>5</vt:i4>
      </vt:variant>
      <vt:variant>
        <vt:lpwstr/>
      </vt:variant>
      <vt:variant>
        <vt:lpwstr>_Toc237436540</vt:lpwstr>
      </vt:variant>
      <vt:variant>
        <vt:i4>1376307</vt:i4>
      </vt:variant>
      <vt:variant>
        <vt:i4>254</vt:i4>
      </vt:variant>
      <vt:variant>
        <vt:i4>0</vt:i4>
      </vt:variant>
      <vt:variant>
        <vt:i4>5</vt:i4>
      </vt:variant>
      <vt:variant>
        <vt:lpwstr/>
      </vt:variant>
      <vt:variant>
        <vt:lpwstr>_Toc237436539</vt:lpwstr>
      </vt:variant>
      <vt:variant>
        <vt:i4>1376307</vt:i4>
      </vt:variant>
      <vt:variant>
        <vt:i4>248</vt:i4>
      </vt:variant>
      <vt:variant>
        <vt:i4>0</vt:i4>
      </vt:variant>
      <vt:variant>
        <vt:i4>5</vt:i4>
      </vt:variant>
      <vt:variant>
        <vt:lpwstr/>
      </vt:variant>
      <vt:variant>
        <vt:lpwstr>_Toc237436538</vt:lpwstr>
      </vt:variant>
      <vt:variant>
        <vt:i4>1376307</vt:i4>
      </vt:variant>
      <vt:variant>
        <vt:i4>242</vt:i4>
      </vt:variant>
      <vt:variant>
        <vt:i4>0</vt:i4>
      </vt:variant>
      <vt:variant>
        <vt:i4>5</vt:i4>
      </vt:variant>
      <vt:variant>
        <vt:lpwstr/>
      </vt:variant>
      <vt:variant>
        <vt:lpwstr>_Toc237436537</vt:lpwstr>
      </vt:variant>
      <vt:variant>
        <vt:i4>1376307</vt:i4>
      </vt:variant>
      <vt:variant>
        <vt:i4>236</vt:i4>
      </vt:variant>
      <vt:variant>
        <vt:i4>0</vt:i4>
      </vt:variant>
      <vt:variant>
        <vt:i4>5</vt:i4>
      </vt:variant>
      <vt:variant>
        <vt:lpwstr/>
      </vt:variant>
      <vt:variant>
        <vt:lpwstr>_Toc237436536</vt:lpwstr>
      </vt:variant>
      <vt:variant>
        <vt:i4>1376307</vt:i4>
      </vt:variant>
      <vt:variant>
        <vt:i4>230</vt:i4>
      </vt:variant>
      <vt:variant>
        <vt:i4>0</vt:i4>
      </vt:variant>
      <vt:variant>
        <vt:i4>5</vt:i4>
      </vt:variant>
      <vt:variant>
        <vt:lpwstr/>
      </vt:variant>
      <vt:variant>
        <vt:lpwstr>_Toc237436535</vt:lpwstr>
      </vt:variant>
      <vt:variant>
        <vt:i4>1376307</vt:i4>
      </vt:variant>
      <vt:variant>
        <vt:i4>224</vt:i4>
      </vt:variant>
      <vt:variant>
        <vt:i4>0</vt:i4>
      </vt:variant>
      <vt:variant>
        <vt:i4>5</vt:i4>
      </vt:variant>
      <vt:variant>
        <vt:lpwstr/>
      </vt:variant>
      <vt:variant>
        <vt:lpwstr>_Toc237436534</vt:lpwstr>
      </vt:variant>
      <vt:variant>
        <vt:i4>1376307</vt:i4>
      </vt:variant>
      <vt:variant>
        <vt:i4>218</vt:i4>
      </vt:variant>
      <vt:variant>
        <vt:i4>0</vt:i4>
      </vt:variant>
      <vt:variant>
        <vt:i4>5</vt:i4>
      </vt:variant>
      <vt:variant>
        <vt:lpwstr/>
      </vt:variant>
      <vt:variant>
        <vt:lpwstr>_Toc237436533</vt:lpwstr>
      </vt:variant>
      <vt:variant>
        <vt:i4>1376307</vt:i4>
      </vt:variant>
      <vt:variant>
        <vt:i4>212</vt:i4>
      </vt:variant>
      <vt:variant>
        <vt:i4>0</vt:i4>
      </vt:variant>
      <vt:variant>
        <vt:i4>5</vt:i4>
      </vt:variant>
      <vt:variant>
        <vt:lpwstr/>
      </vt:variant>
      <vt:variant>
        <vt:lpwstr>_Toc237436532</vt:lpwstr>
      </vt:variant>
      <vt:variant>
        <vt:i4>1376307</vt:i4>
      </vt:variant>
      <vt:variant>
        <vt:i4>206</vt:i4>
      </vt:variant>
      <vt:variant>
        <vt:i4>0</vt:i4>
      </vt:variant>
      <vt:variant>
        <vt:i4>5</vt:i4>
      </vt:variant>
      <vt:variant>
        <vt:lpwstr/>
      </vt:variant>
      <vt:variant>
        <vt:lpwstr>_Toc237436531</vt:lpwstr>
      </vt:variant>
      <vt:variant>
        <vt:i4>1376307</vt:i4>
      </vt:variant>
      <vt:variant>
        <vt:i4>200</vt:i4>
      </vt:variant>
      <vt:variant>
        <vt:i4>0</vt:i4>
      </vt:variant>
      <vt:variant>
        <vt:i4>5</vt:i4>
      </vt:variant>
      <vt:variant>
        <vt:lpwstr/>
      </vt:variant>
      <vt:variant>
        <vt:lpwstr>_Toc237436530</vt:lpwstr>
      </vt:variant>
      <vt:variant>
        <vt:i4>1310771</vt:i4>
      </vt:variant>
      <vt:variant>
        <vt:i4>194</vt:i4>
      </vt:variant>
      <vt:variant>
        <vt:i4>0</vt:i4>
      </vt:variant>
      <vt:variant>
        <vt:i4>5</vt:i4>
      </vt:variant>
      <vt:variant>
        <vt:lpwstr/>
      </vt:variant>
      <vt:variant>
        <vt:lpwstr>_Toc237436529</vt:lpwstr>
      </vt:variant>
      <vt:variant>
        <vt:i4>1310771</vt:i4>
      </vt:variant>
      <vt:variant>
        <vt:i4>188</vt:i4>
      </vt:variant>
      <vt:variant>
        <vt:i4>0</vt:i4>
      </vt:variant>
      <vt:variant>
        <vt:i4>5</vt:i4>
      </vt:variant>
      <vt:variant>
        <vt:lpwstr/>
      </vt:variant>
      <vt:variant>
        <vt:lpwstr>_Toc237436528</vt:lpwstr>
      </vt:variant>
      <vt:variant>
        <vt:i4>1310771</vt:i4>
      </vt:variant>
      <vt:variant>
        <vt:i4>182</vt:i4>
      </vt:variant>
      <vt:variant>
        <vt:i4>0</vt:i4>
      </vt:variant>
      <vt:variant>
        <vt:i4>5</vt:i4>
      </vt:variant>
      <vt:variant>
        <vt:lpwstr/>
      </vt:variant>
      <vt:variant>
        <vt:lpwstr>_Toc237436527</vt:lpwstr>
      </vt:variant>
      <vt:variant>
        <vt:i4>1310771</vt:i4>
      </vt:variant>
      <vt:variant>
        <vt:i4>176</vt:i4>
      </vt:variant>
      <vt:variant>
        <vt:i4>0</vt:i4>
      </vt:variant>
      <vt:variant>
        <vt:i4>5</vt:i4>
      </vt:variant>
      <vt:variant>
        <vt:lpwstr/>
      </vt:variant>
      <vt:variant>
        <vt:lpwstr>_Toc237436526</vt:lpwstr>
      </vt:variant>
      <vt:variant>
        <vt:i4>1310771</vt:i4>
      </vt:variant>
      <vt:variant>
        <vt:i4>170</vt:i4>
      </vt:variant>
      <vt:variant>
        <vt:i4>0</vt:i4>
      </vt:variant>
      <vt:variant>
        <vt:i4>5</vt:i4>
      </vt:variant>
      <vt:variant>
        <vt:lpwstr/>
      </vt:variant>
      <vt:variant>
        <vt:lpwstr>_Toc237436525</vt:lpwstr>
      </vt:variant>
      <vt:variant>
        <vt:i4>1310771</vt:i4>
      </vt:variant>
      <vt:variant>
        <vt:i4>164</vt:i4>
      </vt:variant>
      <vt:variant>
        <vt:i4>0</vt:i4>
      </vt:variant>
      <vt:variant>
        <vt:i4>5</vt:i4>
      </vt:variant>
      <vt:variant>
        <vt:lpwstr/>
      </vt:variant>
      <vt:variant>
        <vt:lpwstr>_Toc237436524</vt:lpwstr>
      </vt:variant>
      <vt:variant>
        <vt:i4>1310771</vt:i4>
      </vt:variant>
      <vt:variant>
        <vt:i4>158</vt:i4>
      </vt:variant>
      <vt:variant>
        <vt:i4>0</vt:i4>
      </vt:variant>
      <vt:variant>
        <vt:i4>5</vt:i4>
      </vt:variant>
      <vt:variant>
        <vt:lpwstr/>
      </vt:variant>
      <vt:variant>
        <vt:lpwstr>_Toc237436523</vt:lpwstr>
      </vt:variant>
      <vt:variant>
        <vt:i4>1310771</vt:i4>
      </vt:variant>
      <vt:variant>
        <vt:i4>152</vt:i4>
      </vt:variant>
      <vt:variant>
        <vt:i4>0</vt:i4>
      </vt:variant>
      <vt:variant>
        <vt:i4>5</vt:i4>
      </vt:variant>
      <vt:variant>
        <vt:lpwstr/>
      </vt:variant>
      <vt:variant>
        <vt:lpwstr>_Toc237436522</vt:lpwstr>
      </vt:variant>
      <vt:variant>
        <vt:i4>1310771</vt:i4>
      </vt:variant>
      <vt:variant>
        <vt:i4>146</vt:i4>
      </vt:variant>
      <vt:variant>
        <vt:i4>0</vt:i4>
      </vt:variant>
      <vt:variant>
        <vt:i4>5</vt:i4>
      </vt:variant>
      <vt:variant>
        <vt:lpwstr/>
      </vt:variant>
      <vt:variant>
        <vt:lpwstr>_Toc237436521</vt:lpwstr>
      </vt:variant>
      <vt:variant>
        <vt:i4>1310771</vt:i4>
      </vt:variant>
      <vt:variant>
        <vt:i4>140</vt:i4>
      </vt:variant>
      <vt:variant>
        <vt:i4>0</vt:i4>
      </vt:variant>
      <vt:variant>
        <vt:i4>5</vt:i4>
      </vt:variant>
      <vt:variant>
        <vt:lpwstr/>
      </vt:variant>
      <vt:variant>
        <vt:lpwstr>_Toc237436520</vt:lpwstr>
      </vt:variant>
      <vt:variant>
        <vt:i4>1507379</vt:i4>
      </vt:variant>
      <vt:variant>
        <vt:i4>134</vt:i4>
      </vt:variant>
      <vt:variant>
        <vt:i4>0</vt:i4>
      </vt:variant>
      <vt:variant>
        <vt:i4>5</vt:i4>
      </vt:variant>
      <vt:variant>
        <vt:lpwstr/>
      </vt:variant>
      <vt:variant>
        <vt:lpwstr>_Toc237436519</vt:lpwstr>
      </vt:variant>
      <vt:variant>
        <vt:i4>1507379</vt:i4>
      </vt:variant>
      <vt:variant>
        <vt:i4>128</vt:i4>
      </vt:variant>
      <vt:variant>
        <vt:i4>0</vt:i4>
      </vt:variant>
      <vt:variant>
        <vt:i4>5</vt:i4>
      </vt:variant>
      <vt:variant>
        <vt:lpwstr/>
      </vt:variant>
      <vt:variant>
        <vt:lpwstr>_Toc237436518</vt:lpwstr>
      </vt:variant>
      <vt:variant>
        <vt:i4>1507379</vt:i4>
      </vt:variant>
      <vt:variant>
        <vt:i4>122</vt:i4>
      </vt:variant>
      <vt:variant>
        <vt:i4>0</vt:i4>
      </vt:variant>
      <vt:variant>
        <vt:i4>5</vt:i4>
      </vt:variant>
      <vt:variant>
        <vt:lpwstr/>
      </vt:variant>
      <vt:variant>
        <vt:lpwstr>_Toc237436517</vt:lpwstr>
      </vt:variant>
      <vt:variant>
        <vt:i4>1507379</vt:i4>
      </vt:variant>
      <vt:variant>
        <vt:i4>116</vt:i4>
      </vt:variant>
      <vt:variant>
        <vt:i4>0</vt:i4>
      </vt:variant>
      <vt:variant>
        <vt:i4>5</vt:i4>
      </vt:variant>
      <vt:variant>
        <vt:lpwstr/>
      </vt:variant>
      <vt:variant>
        <vt:lpwstr>_Toc237436516</vt:lpwstr>
      </vt:variant>
      <vt:variant>
        <vt:i4>1507379</vt:i4>
      </vt:variant>
      <vt:variant>
        <vt:i4>110</vt:i4>
      </vt:variant>
      <vt:variant>
        <vt:i4>0</vt:i4>
      </vt:variant>
      <vt:variant>
        <vt:i4>5</vt:i4>
      </vt:variant>
      <vt:variant>
        <vt:lpwstr/>
      </vt:variant>
      <vt:variant>
        <vt:lpwstr>_Toc237436515</vt:lpwstr>
      </vt:variant>
      <vt:variant>
        <vt:i4>1507379</vt:i4>
      </vt:variant>
      <vt:variant>
        <vt:i4>104</vt:i4>
      </vt:variant>
      <vt:variant>
        <vt:i4>0</vt:i4>
      </vt:variant>
      <vt:variant>
        <vt:i4>5</vt:i4>
      </vt:variant>
      <vt:variant>
        <vt:lpwstr/>
      </vt:variant>
      <vt:variant>
        <vt:lpwstr>_Toc237436514</vt:lpwstr>
      </vt:variant>
      <vt:variant>
        <vt:i4>1507379</vt:i4>
      </vt:variant>
      <vt:variant>
        <vt:i4>98</vt:i4>
      </vt:variant>
      <vt:variant>
        <vt:i4>0</vt:i4>
      </vt:variant>
      <vt:variant>
        <vt:i4>5</vt:i4>
      </vt:variant>
      <vt:variant>
        <vt:lpwstr/>
      </vt:variant>
      <vt:variant>
        <vt:lpwstr>_Toc237436513</vt:lpwstr>
      </vt:variant>
      <vt:variant>
        <vt:i4>1507379</vt:i4>
      </vt:variant>
      <vt:variant>
        <vt:i4>92</vt:i4>
      </vt:variant>
      <vt:variant>
        <vt:i4>0</vt:i4>
      </vt:variant>
      <vt:variant>
        <vt:i4>5</vt:i4>
      </vt:variant>
      <vt:variant>
        <vt:lpwstr/>
      </vt:variant>
      <vt:variant>
        <vt:lpwstr>_Toc237436512</vt:lpwstr>
      </vt:variant>
      <vt:variant>
        <vt:i4>1507379</vt:i4>
      </vt:variant>
      <vt:variant>
        <vt:i4>86</vt:i4>
      </vt:variant>
      <vt:variant>
        <vt:i4>0</vt:i4>
      </vt:variant>
      <vt:variant>
        <vt:i4>5</vt:i4>
      </vt:variant>
      <vt:variant>
        <vt:lpwstr/>
      </vt:variant>
      <vt:variant>
        <vt:lpwstr>_Toc237436511</vt:lpwstr>
      </vt:variant>
      <vt:variant>
        <vt:i4>1507379</vt:i4>
      </vt:variant>
      <vt:variant>
        <vt:i4>80</vt:i4>
      </vt:variant>
      <vt:variant>
        <vt:i4>0</vt:i4>
      </vt:variant>
      <vt:variant>
        <vt:i4>5</vt:i4>
      </vt:variant>
      <vt:variant>
        <vt:lpwstr/>
      </vt:variant>
      <vt:variant>
        <vt:lpwstr>_Toc237436510</vt:lpwstr>
      </vt:variant>
      <vt:variant>
        <vt:i4>1114165</vt:i4>
      </vt:variant>
      <vt:variant>
        <vt:i4>71</vt:i4>
      </vt:variant>
      <vt:variant>
        <vt:i4>0</vt:i4>
      </vt:variant>
      <vt:variant>
        <vt:i4>5</vt:i4>
      </vt:variant>
      <vt:variant>
        <vt:lpwstr/>
      </vt:variant>
      <vt:variant>
        <vt:lpwstr>_Toc237437368</vt:lpwstr>
      </vt:variant>
      <vt:variant>
        <vt:i4>1114165</vt:i4>
      </vt:variant>
      <vt:variant>
        <vt:i4>65</vt:i4>
      </vt:variant>
      <vt:variant>
        <vt:i4>0</vt:i4>
      </vt:variant>
      <vt:variant>
        <vt:i4>5</vt:i4>
      </vt:variant>
      <vt:variant>
        <vt:lpwstr/>
      </vt:variant>
      <vt:variant>
        <vt:lpwstr>_Toc237437367</vt:lpwstr>
      </vt:variant>
      <vt:variant>
        <vt:i4>1114165</vt:i4>
      </vt:variant>
      <vt:variant>
        <vt:i4>59</vt:i4>
      </vt:variant>
      <vt:variant>
        <vt:i4>0</vt:i4>
      </vt:variant>
      <vt:variant>
        <vt:i4>5</vt:i4>
      </vt:variant>
      <vt:variant>
        <vt:lpwstr/>
      </vt:variant>
      <vt:variant>
        <vt:lpwstr>_Toc237437366</vt:lpwstr>
      </vt:variant>
      <vt:variant>
        <vt:i4>1114165</vt:i4>
      </vt:variant>
      <vt:variant>
        <vt:i4>53</vt:i4>
      </vt:variant>
      <vt:variant>
        <vt:i4>0</vt:i4>
      </vt:variant>
      <vt:variant>
        <vt:i4>5</vt:i4>
      </vt:variant>
      <vt:variant>
        <vt:lpwstr/>
      </vt:variant>
      <vt:variant>
        <vt:lpwstr>_Toc237437365</vt:lpwstr>
      </vt:variant>
      <vt:variant>
        <vt:i4>1114165</vt:i4>
      </vt:variant>
      <vt:variant>
        <vt:i4>47</vt:i4>
      </vt:variant>
      <vt:variant>
        <vt:i4>0</vt:i4>
      </vt:variant>
      <vt:variant>
        <vt:i4>5</vt:i4>
      </vt:variant>
      <vt:variant>
        <vt:lpwstr/>
      </vt:variant>
      <vt:variant>
        <vt:lpwstr>_Toc237437364</vt:lpwstr>
      </vt:variant>
      <vt:variant>
        <vt:i4>1114165</vt:i4>
      </vt:variant>
      <vt:variant>
        <vt:i4>41</vt:i4>
      </vt:variant>
      <vt:variant>
        <vt:i4>0</vt:i4>
      </vt:variant>
      <vt:variant>
        <vt:i4>5</vt:i4>
      </vt:variant>
      <vt:variant>
        <vt:lpwstr/>
      </vt:variant>
      <vt:variant>
        <vt:lpwstr>_Toc237437363</vt:lpwstr>
      </vt:variant>
      <vt:variant>
        <vt:i4>1114165</vt:i4>
      </vt:variant>
      <vt:variant>
        <vt:i4>35</vt:i4>
      </vt:variant>
      <vt:variant>
        <vt:i4>0</vt:i4>
      </vt:variant>
      <vt:variant>
        <vt:i4>5</vt:i4>
      </vt:variant>
      <vt:variant>
        <vt:lpwstr/>
      </vt:variant>
      <vt:variant>
        <vt:lpwstr>_Toc237437362</vt:lpwstr>
      </vt:variant>
      <vt:variant>
        <vt:i4>1114165</vt:i4>
      </vt:variant>
      <vt:variant>
        <vt:i4>29</vt:i4>
      </vt:variant>
      <vt:variant>
        <vt:i4>0</vt:i4>
      </vt:variant>
      <vt:variant>
        <vt:i4>5</vt:i4>
      </vt:variant>
      <vt:variant>
        <vt:lpwstr/>
      </vt:variant>
      <vt:variant>
        <vt:lpwstr>_Toc237437361</vt:lpwstr>
      </vt:variant>
      <vt:variant>
        <vt:i4>1114165</vt:i4>
      </vt:variant>
      <vt:variant>
        <vt:i4>23</vt:i4>
      </vt:variant>
      <vt:variant>
        <vt:i4>0</vt:i4>
      </vt:variant>
      <vt:variant>
        <vt:i4>5</vt:i4>
      </vt:variant>
      <vt:variant>
        <vt:lpwstr/>
      </vt:variant>
      <vt:variant>
        <vt:lpwstr>_Toc237437360</vt:lpwstr>
      </vt:variant>
      <vt:variant>
        <vt:i4>1179701</vt:i4>
      </vt:variant>
      <vt:variant>
        <vt:i4>17</vt:i4>
      </vt:variant>
      <vt:variant>
        <vt:i4>0</vt:i4>
      </vt:variant>
      <vt:variant>
        <vt:i4>5</vt:i4>
      </vt:variant>
      <vt:variant>
        <vt:lpwstr/>
      </vt:variant>
      <vt:variant>
        <vt:lpwstr>_Toc237437359</vt:lpwstr>
      </vt:variant>
      <vt:variant>
        <vt:i4>1179701</vt:i4>
      </vt:variant>
      <vt:variant>
        <vt:i4>11</vt:i4>
      </vt:variant>
      <vt:variant>
        <vt:i4>0</vt:i4>
      </vt:variant>
      <vt:variant>
        <vt:i4>5</vt:i4>
      </vt:variant>
      <vt:variant>
        <vt:lpwstr/>
      </vt:variant>
      <vt:variant>
        <vt:lpwstr>_Toc237437358</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Documento Estándar de Licitación</dc:subject>
  <dc:creator>Efraim Jimenez, consultant</dc:creator>
  <cp:keywords/>
  <dc:description/>
  <cp:lastModifiedBy>DAVID ALEJANDRO HIDALGO BELTRAN</cp:lastModifiedBy>
  <cp:revision>4</cp:revision>
  <cp:lastPrinted>2017-07-31T16:52:00Z</cp:lastPrinted>
  <dcterms:created xsi:type="dcterms:W3CDTF">2024-12-24T17:10:00Z</dcterms:created>
  <dcterms:modified xsi:type="dcterms:W3CDTF">2024-12-24T18:00:00Z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0x010100ACF722E9F6B0B149B0CD8BE2560A667200E133A5F66C1B05478877698D73AD108A</vt:lpwstr>
  </property>
  <property fmtid="{D5CDD505-2E9C-101B-9397-08002B2CF9AE}" pid="3" name="TaxKeyword">
    <vt:lpwstr/>
  </property>
  <property fmtid="{D5CDD505-2E9C-101B-9397-08002B2CF9AE}" pid="4" name="Function_x0020_Operations_x0020_IDB">
    <vt:lpwstr>8;#Goods and Services|5bfebf1b-9f1f-4411-b1dd-4c19b807b799</vt:lpwstr>
  </property>
  <property fmtid="{D5CDD505-2E9C-101B-9397-08002B2CF9AE}" pid="5" name="Sub_x002d_Sector">
    <vt:lpwstr>121;#NEW OIL AND GAS AND EXTRACTIVE INDUSTRIES|bcc83a9b-50a8-4d09-8319-26ca493c6afc</vt:lpwstr>
  </property>
  <property fmtid="{D5CDD505-2E9C-101B-9397-08002B2CF9AE}" pid="6" name="TaxKeywordTaxHTField">
    <vt:lpwstr/>
  </property>
  <property fmtid="{D5CDD505-2E9C-101B-9397-08002B2CF9AE}" pid="7" name="Country">
    <vt:lpwstr>32;#Ecuador|8f163189-00fa-4e7c-827d-28fb5798781c</vt:lpwstr>
  </property>
  <property fmtid="{D5CDD505-2E9C-101B-9397-08002B2CF9AE}" pid="8" name="Fund_x0020_IDB">
    <vt:lpwstr>30;#ORC|c028a4b2-ad8b-4cf4-9cac-a2ae6a778e23</vt:lpwstr>
  </property>
  <property fmtid="{D5CDD505-2E9C-101B-9397-08002B2CF9AE}" pid="9" name="Series_x0020_Operations_x0020_IDB">
    <vt:lpwstr/>
  </property>
  <property fmtid="{D5CDD505-2E9C-101B-9397-08002B2CF9AE}" pid="10" name="Function Operations IDB">
    <vt:lpwstr>8;#Goods and Services|5bfebf1b-9f1f-4411-b1dd-4c19b807b799</vt:lpwstr>
  </property>
  <property fmtid="{D5CDD505-2E9C-101B-9397-08002B2CF9AE}" pid="11" name="Sector_x0020_IDB">
    <vt:lpwstr>50;#ENERGY|4fed196a-cd0b-4970-87de-42da17f9b203</vt:lpwstr>
  </property>
  <property fmtid="{D5CDD505-2E9C-101B-9397-08002B2CF9AE}" pid="12" name="Fund IDB">
    <vt:lpwstr>30;#ORC|c028a4b2-ad8b-4cf4-9cac-a2ae6a778e23</vt:lpwstr>
  </property>
  <property fmtid="{D5CDD505-2E9C-101B-9397-08002B2CF9AE}" pid="13" name="Sector IDB">
    <vt:lpwstr>50;#ENERGY|4fed196a-cd0b-4970-87de-42da17f9b203</vt:lpwstr>
  </property>
  <property fmtid="{D5CDD505-2E9C-101B-9397-08002B2CF9AE}" pid="14" name="Sub-Sector">
    <vt:lpwstr>121;#NEW OIL AND GAS AND EXTRACTIVE INDUSTRIES|bcc83a9b-50a8-4d09-8319-26ca493c6afc</vt:lpwstr>
  </property>
  <property fmtid="{D5CDD505-2E9C-101B-9397-08002B2CF9AE}" pid="15" name="Series Operations IDB">
    <vt:lpwstr/>
  </property>
  <property fmtid="{D5CDD505-2E9C-101B-9397-08002B2CF9AE}" pid="16" name="_dlc_DocIdItemGuid">
    <vt:lpwstr>85d8b8d5-d316-4c48-91de-f35ab6e00515</vt:lpwstr>
  </property>
</Properties>
</file>